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Times New Roman" w:hAnsi="宋体"/>
          <w:kern w:val="2"/>
          <w:sz w:val="21"/>
          <w:szCs w:val="24"/>
        </w:rPr>
        <w:id w:val="147467970"/>
        <w:docPartObj>
          <w:docPartGallery w:val="Table of Contents"/>
          <w:docPartUnique/>
        </w:docPartObj>
      </w:sdtPr>
      <w:sdtEndPr>
        <w:rPr>
          <w:rFonts w:hint="eastAsia" w:ascii="Times New Roman" w:hAnsi="宋体"/>
          <w:kern w:val="2"/>
          <w:sz w:val="21"/>
          <w:szCs w:val="24"/>
        </w:rPr>
      </w:sdtEndPr>
      <w:sdtContent>
        <w:p w14:paraId="2FDC31ED">
          <w:pPr>
            <w:pStyle w:val="21"/>
            <w:jc w:val="center"/>
            <w:rPr>
              <w:b/>
              <w:bCs/>
              <w:sz w:val="36"/>
              <w:szCs w:val="36"/>
            </w:rPr>
          </w:pPr>
          <w:r>
            <w:rPr>
              <w:rFonts w:hAnsi="宋体"/>
              <w:b/>
              <w:bCs/>
              <w:sz w:val="36"/>
              <w:szCs w:val="36"/>
            </w:rPr>
            <w:t>目</w:t>
          </w:r>
          <w:r>
            <w:rPr>
              <w:rFonts w:hint="eastAsia" w:hAnsi="宋体"/>
              <w:b/>
              <w:bCs/>
              <w:sz w:val="36"/>
              <w:szCs w:val="36"/>
            </w:rPr>
            <w:t xml:space="preserve"> </w:t>
          </w:r>
          <w:r>
            <w:rPr>
              <w:rFonts w:hAnsi="宋体"/>
              <w:b/>
              <w:bCs/>
              <w:sz w:val="36"/>
              <w:szCs w:val="36"/>
            </w:rPr>
            <w:t>录</w:t>
          </w:r>
        </w:p>
        <w:p w14:paraId="2CD27ABE">
          <w:pPr>
            <w:pStyle w:val="24"/>
            <w:tabs>
              <w:tab w:val="right" w:leader="dot" w:pos="9070"/>
            </w:tabs>
          </w:pPr>
          <w:r>
            <w:rPr>
              <w:rFonts w:hint="eastAsia"/>
              <w:color w:val="FF0000"/>
              <w:sz w:val="30"/>
              <w:szCs w:val="30"/>
            </w:rPr>
            <w:fldChar w:fldCharType="begin"/>
          </w:r>
          <w:r>
            <w:rPr>
              <w:rFonts w:hint="eastAsia"/>
              <w:color w:val="FF0000"/>
              <w:sz w:val="30"/>
              <w:szCs w:val="30"/>
            </w:rPr>
            <w:instrText xml:space="preserve">TOC \o "1-2" \h \u </w:instrText>
          </w:r>
          <w:r>
            <w:rPr>
              <w:rFonts w:hint="eastAsia"/>
              <w:color w:val="FF0000"/>
              <w:sz w:val="30"/>
              <w:szCs w:val="30"/>
            </w:rPr>
            <w:fldChar w:fldCharType="separate"/>
          </w:r>
          <w:r>
            <w:rPr>
              <w:rFonts w:hint="eastAsia"/>
              <w:color w:val="FF0000"/>
              <w:szCs w:val="30"/>
            </w:rPr>
            <w:fldChar w:fldCharType="begin"/>
          </w:r>
          <w:r>
            <w:rPr>
              <w:rFonts w:hint="eastAsia"/>
              <w:szCs w:val="30"/>
            </w:rPr>
            <w:instrText xml:space="preserve"> HYPERLINK \l _Toc2986 </w:instrText>
          </w:r>
          <w:r>
            <w:rPr>
              <w:rFonts w:hint="eastAsia"/>
              <w:szCs w:val="30"/>
            </w:rPr>
            <w:fldChar w:fldCharType="separate"/>
          </w:r>
          <w:r>
            <w:rPr>
              <w:rFonts w:hint="default" w:ascii="宋体" w:hAnsi="宋体" w:eastAsia="宋体" w:cs="宋体"/>
              <w:bCs/>
              <w:kern w:val="44"/>
              <w:szCs w:val="32"/>
              <w:lang w:val="en-US" w:eastAsia="zh-CN" w:bidi="ar-SA"/>
            </w:rPr>
            <w:t>第1章</w:t>
          </w:r>
          <w:r>
            <w:rPr>
              <w:rFonts w:hint="eastAsia"/>
            </w:rPr>
            <w:t>概述</w:t>
          </w:r>
          <w:r>
            <w:tab/>
          </w:r>
          <w:r>
            <w:fldChar w:fldCharType="begin"/>
          </w:r>
          <w:r>
            <w:instrText xml:space="preserve"> PAGEREF _Toc2986 \h </w:instrText>
          </w:r>
          <w:r>
            <w:fldChar w:fldCharType="separate"/>
          </w:r>
          <w:r>
            <w:t>- 1 -</w:t>
          </w:r>
          <w:r>
            <w:fldChar w:fldCharType="end"/>
          </w:r>
          <w:r>
            <w:rPr>
              <w:rFonts w:hint="eastAsia"/>
              <w:color w:val="FF0000"/>
              <w:szCs w:val="30"/>
            </w:rPr>
            <w:fldChar w:fldCharType="end"/>
          </w:r>
        </w:p>
        <w:p w14:paraId="242CC73B">
          <w:pPr>
            <w:pStyle w:val="25"/>
            <w:tabs>
              <w:tab w:val="right" w:leader="dot" w:pos="9070"/>
            </w:tabs>
          </w:pPr>
          <w:r>
            <w:rPr>
              <w:rFonts w:hint="eastAsia"/>
              <w:color w:val="FF0000"/>
              <w:szCs w:val="30"/>
            </w:rPr>
            <w:fldChar w:fldCharType="begin"/>
          </w:r>
          <w:r>
            <w:rPr>
              <w:rFonts w:hint="eastAsia"/>
              <w:szCs w:val="30"/>
            </w:rPr>
            <w:instrText xml:space="preserve"> HYPERLINK \l _Toc13898 </w:instrText>
          </w:r>
          <w:r>
            <w:rPr>
              <w:rFonts w:hint="eastAsia"/>
              <w:szCs w:val="30"/>
            </w:rPr>
            <w:fldChar w:fldCharType="separate"/>
          </w:r>
          <w:r>
            <w:rPr>
              <w:rFonts w:hint="default" w:ascii="宋体" w:hAnsi="宋体" w:eastAsia="宋体" w:cs="宋体"/>
              <w:bCs/>
              <w:kern w:val="2"/>
              <w:szCs w:val="28"/>
              <w:lang w:val="en-US" w:eastAsia="zh-CN" w:bidi="ar-SA"/>
            </w:rPr>
            <w:t>1.1</w:t>
          </w:r>
          <w:r>
            <w:rPr>
              <w:rFonts w:hint="eastAsia"/>
              <w:szCs w:val="28"/>
            </w:rPr>
            <w:t>项目由来及必要性</w:t>
          </w:r>
          <w:r>
            <w:tab/>
          </w:r>
          <w:r>
            <w:fldChar w:fldCharType="begin"/>
          </w:r>
          <w:r>
            <w:instrText xml:space="preserve"> PAGEREF _Toc13898 \h </w:instrText>
          </w:r>
          <w:r>
            <w:fldChar w:fldCharType="separate"/>
          </w:r>
          <w:r>
            <w:t>- 1 -</w:t>
          </w:r>
          <w:r>
            <w:fldChar w:fldCharType="end"/>
          </w:r>
          <w:r>
            <w:rPr>
              <w:rFonts w:hint="eastAsia"/>
              <w:color w:val="FF0000"/>
              <w:szCs w:val="30"/>
            </w:rPr>
            <w:fldChar w:fldCharType="end"/>
          </w:r>
        </w:p>
        <w:p w14:paraId="32829D60">
          <w:pPr>
            <w:pStyle w:val="25"/>
            <w:tabs>
              <w:tab w:val="right" w:leader="dot" w:pos="9070"/>
            </w:tabs>
          </w:pPr>
          <w:r>
            <w:rPr>
              <w:rFonts w:hint="eastAsia"/>
              <w:color w:val="FF0000"/>
              <w:szCs w:val="30"/>
            </w:rPr>
            <w:fldChar w:fldCharType="begin"/>
          </w:r>
          <w:r>
            <w:rPr>
              <w:rFonts w:hint="eastAsia"/>
              <w:szCs w:val="30"/>
            </w:rPr>
            <w:instrText xml:space="preserve"> HYPERLINK \l _Toc52 </w:instrText>
          </w:r>
          <w:r>
            <w:rPr>
              <w:rFonts w:hint="eastAsia"/>
              <w:szCs w:val="30"/>
            </w:rPr>
            <w:fldChar w:fldCharType="separate"/>
          </w:r>
          <w:r>
            <w:rPr>
              <w:rFonts w:hint="default" w:ascii="宋体" w:hAnsi="宋体" w:eastAsia="宋体" w:cs="宋体"/>
              <w:bCs/>
              <w:kern w:val="2"/>
              <w:szCs w:val="28"/>
              <w:lang w:val="en-US" w:eastAsia="zh-CN" w:bidi="ar-SA"/>
            </w:rPr>
            <w:t>1.2</w:t>
          </w:r>
          <w:r>
            <w:rPr>
              <w:rFonts w:hint="eastAsia" w:hAnsi="宋体"/>
              <w:szCs w:val="28"/>
            </w:rPr>
            <w:t>环境影响评价工作过程</w:t>
          </w:r>
          <w:r>
            <w:tab/>
          </w:r>
          <w:r>
            <w:fldChar w:fldCharType="begin"/>
          </w:r>
          <w:r>
            <w:instrText xml:space="preserve"> PAGEREF _Toc52 \h </w:instrText>
          </w:r>
          <w:r>
            <w:fldChar w:fldCharType="separate"/>
          </w:r>
          <w:r>
            <w:t>- 2 -</w:t>
          </w:r>
          <w:r>
            <w:fldChar w:fldCharType="end"/>
          </w:r>
          <w:r>
            <w:rPr>
              <w:rFonts w:hint="eastAsia"/>
              <w:color w:val="FF0000"/>
              <w:szCs w:val="30"/>
            </w:rPr>
            <w:fldChar w:fldCharType="end"/>
          </w:r>
        </w:p>
        <w:p w14:paraId="22F3BC75">
          <w:pPr>
            <w:pStyle w:val="25"/>
            <w:tabs>
              <w:tab w:val="right" w:leader="dot" w:pos="9070"/>
            </w:tabs>
          </w:pPr>
          <w:r>
            <w:rPr>
              <w:rFonts w:hint="eastAsia"/>
              <w:color w:val="FF0000"/>
              <w:szCs w:val="30"/>
            </w:rPr>
            <w:fldChar w:fldCharType="begin"/>
          </w:r>
          <w:r>
            <w:rPr>
              <w:rFonts w:hint="eastAsia"/>
              <w:szCs w:val="30"/>
            </w:rPr>
            <w:instrText xml:space="preserve"> HYPERLINK \l _Toc28613 </w:instrText>
          </w:r>
          <w:r>
            <w:rPr>
              <w:rFonts w:hint="eastAsia"/>
              <w:szCs w:val="30"/>
            </w:rPr>
            <w:fldChar w:fldCharType="separate"/>
          </w:r>
          <w:r>
            <w:rPr>
              <w:rFonts w:hint="default" w:ascii="宋体" w:hAnsi="宋体" w:eastAsia="宋体" w:cs="宋体"/>
              <w:bCs/>
              <w:kern w:val="2"/>
              <w:szCs w:val="28"/>
              <w:lang w:val="en-US" w:eastAsia="zh-CN" w:bidi="ar-SA"/>
            </w:rPr>
            <w:t>1.3</w:t>
          </w:r>
          <w:r>
            <w:rPr>
              <w:rFonts w:hint="eastAsia"/>
              <w:szCs w:val="28"/>
            </w:rPr>
            <w:t>建设项目特点及环评工作重点</w:t>
          </w:r>
          <w:r>
            <w:tab/>
          </w:r>
          <w:r>
            <w:fldChar w:fldCharType="begin"/>
          </w:r>
          <w:r>
            <w:instrText xml:space="preserve"> PAGEREF _Toc28613 \h </w:instrText>
          </w:r>
          <w:r>
            <w:fldChar w:fldCharType="separate"/>
          </w:r>
          <w:r>
            <w:t>- 3 -</w:t>
          </w:r>
          <w:r>
            <w:fldChar w:fldCharType="end"/>
          </w:r>
          <w:r>
            <w:rPr>
              <w:rFonts w:hint="eastAsia"/>
              <w:color w:val="FF0000"/>
              <w:szCs w:val="30"/>
            </w:rPr>
            <w:fldChar w:fldCharType="end"/>
          </w:r>
        </w:p>
        <w:p w14:paraId="647AFB5C">
          <w:pPr>
            <w:pStyle w:val="25"/>
            <w:tabs>
              <w:tab w:val="right" w:leader="dot" w:pos="9070"/>
            </w:tabs>
          </w:pPr>
          <w:r>
            <w:rPr>
              <w:rFonts w:hint="eastAsia"/>
              <w:color w:val="FF0000"/>
              <w:szCs w:val="30"/>
            </w:rPr>
            <w:fldChar w:fldCharType="begin"/>
          </w:r>
          <w:r>
            <w:rPr>
              <w:rFonts w:hint="eastAsia"/>
              <w:szCs w:val="30"/>
            </w:rPr>
            <w:instrText xml:space="preserve"> HYPERLINK \l _Toc30997 </w:instrText>
          </w:r>
          <w:r>
            <w:rPr>
              <w:rFonts w:hint="eastAsia"/>
              <w:szCs w:val="30"/>
            </w:rPr>
            <w:fldChar w:fldCharType="separate"/>
          </w:r>
          <w:r>
            <w:rPr>
              <w:rFonts w:hint="default" w:ascii="宋体" w:hAnsi="宋体" w:eastAsia="宋体" w:cs="宋体"/>
              <w:bCs/>
              <w:kern w:val="2"/>
              <w:szCs w:val="28"/>
              <w:lang w:val="en-US" w:eastAsia="zh-CN" w:bidi="ar-SA"/>
            </w:rPr>
            <w:t>1.4</w:t>
          </w:r>
          <w:r>
            <w:rPr>
              <w:rFonts w:hint="eastAsia"/>
              <w:szCs w:val="28"/>
            </w:rPr>
            <w:t>关注的主要环境问题</w:t>
          </w:r>
          <w:r>
            <w:tab/>
          </w:r>
          <w:r>
            <w:fldChar w:fldCharType="begin"/>
          </w:r>
          <w:r>
            <w:instrText xml:space="preserve"> PAGEREF _Toc30997 \h </w:instrText>
          </w:r>
          <w:r>
            <w:fldChar w:fldCharType="separate"/>
          </w:r>
          <w:r>
            <w:t>- 6 -</w:t>
          </w:r>
          <w:r>
            <w:fldChar w:fldCharType="end"/>
          </w:r>
          <w:r>
            <w:rPr>
              <w:rFonts w:hint="eastAsia"/>
              <w:color w:val="FF0000"/>
              <w:szCs w:val="30"/>
            </w:rPr>
            <w:fldChar w:fldCharType="end"/>
          </w:r>
        </w:p>
        <w:p w14:paraId="6FFD812D">
          <w:pPr>
            <w:pStyle w:val="25"/>
            <w:tabs>
              <w:tab w:val="right" w:leader="dot" w:pos="9070"/>
            </w:tabs>
          </w:pPr>
          <w:r>
            <w:rPr>
              <w:rFonts w:hint="eastAsia"/>
              <w:color w:val="FF0000"/>
              <w:szCs w:val="30"/>
            </w:rPr>
            <w:fldChar w:fldCharType="begin"/>
          </w:r>
          <w:r>
            <w:rPr>
              <w:rFonts w:hint="eastAsia"/>
              <w:szCs w:val="30"/>
            </w:rPr>
            <w:instrText xml:space="preserve"> HYPERLINK \l _Toc21837 </w:instrText>
          </w:r>
          <w:r>
            <w:rPr>
              <w:rFonts w:hint="eastAsia"/>
              <w:szCs w:val="30"/>
            </w:rPr>
            <w:fldChar w:fldCharType="separate"/>
          </w:r>
          <w:r>
            <w:rPr>
              <w:rFonts w:hint="default" w:ascii="宋体" w:hAnsi="宋体" w:eastAsia="宋体" w:cs="宋体"/>
              <w:bCs/>
              <w:kern w:val="2"/>
              <w:szCs w:val="28"/>
              <w:lang w:val="en-US" w:eastAsia="zh-CN" w:bidi="ar-SA"/>
            </w:rPr>
            <w:t>1.5</w:t>
          </w:r>
          <w:r>
            <w:rPr>
              <w:rFonts w:hint="eastAsia"/>
              <w:szCs w:val="28"/>
            </w:rPr>
            <w:t>分析判定相关情况</w:t>
          </w:r>
          <w:r>
            <w:tab/>
          </w:r>
          <w:r>
            <w:fldChar w:fldCharType="begin"/>
          </w:r>
          <w:r>
            <w:instrText xml:space="preserve"> PAGEREF _Toc21837 \h </w:instrText>
          </w:r>
          <w:r>
            <w:fldChar w:fldCharType="separate"/>
          </w:r>
          <w:r>
            <w:t>- 6 -</w:t>
          </w:r>
          <w:r>
            <w:fldChar w:fldCharType="end"/>
          </w:r>
          <w:r>
            <w:rPr>
              <w:rFonts w:hint="eastAsia"/>
              <w:color w:val="FF0000"/>
              <w:szCs w:val="30"/>
            </w:rPr>
            <w:fldChar w:fldCharType="end"/>
          </w:r>
        </w:p>
        <w:p w14:paraId="1D032DCF">
          <w:pPr>
            <w:pStyle w:val="25"/>
            <w:tabs>
              <w:tab w:val="right" w:leader="dot" w:pos="9070"/>
            </w:tabs>
          </w:pPr>
          <w:r>
            <w:rPr>
              <w:rFonts w:hint="eastAsia"/>
              <w:color w:val="FF0000"/>
              <w:szCs w:val="30"/>
            </w:rPr>
            <w:fldChar w:fldCharType="begin"/>
          </w:r>
          <w:r>
            <w:rPr>
              <w:rFonts w:hint="eastAsia"/>
              <w:szCs w:val="30"/>
            </w:rPr>
            <w:instrText xml:space="preserve"> HYPERLINK \l _Toc6042 </w:instrText>
          </w:r>
          <w:r>
            <w:rPr>
              <w:rFonts w:hint="eastAsia"/>
              <w:szCs w:val="30"/>
            </w:rPr>
            <w:fldChar w:fldCharType="separate"/>
          </w:r>
          <w:r>
            <w:rPr>
              <w:rFonts w:hint="default" w:ascii="宋体" w:hAnsi="宋体" w:eastAsia="宋体" w:cs="宋体"/>
              <w:bCs/>
              <w:kern w:val="2"/>
              <w:szCs w:val="28"/>
              <w:lang w:val="en-US" w:eastAsia="zh-CN" w:bidi="ar-SA"/>
            </w:rPr>
            <w:t>1.6</w:t>
          </w:r>
          <w:r>
            <w:rPr>
              <w:rFonts w:hint="eastAsia"/>
              <w:szCs w:val="28"/>
            </w:rPr>
            <w:t>环境影响评价主要结论</w:t>
          </w:r>
          <w:r>
            <w:tab/>
          </w:r>
          <w:r>
            <w:fldChar w:fldCharType="begin"/>
          </w:r>
          <w:r>
            <w:instrText xml:space="preserve"> PAGEREF _Toc6042 \h </w:instrText>
          </w:r>
          <w:r>
            <w:fldChar w:fldCharType="separate"/>
          </w:r>
          <w:r>
            <w:t>- 21 -</w:t>
          </w:r>
          <w:r>
            <w:fldChar w:fldCharType="end"/>
          </w:r>
          <w:r>
            <w:rPr>
              <w:rFonts w:hint="eastAsia"/>
              <w:color w:val="FF0000"/>
              <w:szCs w:val="30"/>
            </w:rPr>
            <w:fldChar w:fldCharType="end"/>
          </w:r>
        </w:p>
        <w:p w14:paraId="7A9556DA">
          <w:pPr>
            <w:pStyle w:val="24"/>
            <w:tabs>
              <w:tab w:val="right" w:leader="dot" w:pos="9070"/>
            </w:tabs>
          </w:pPr>
          <w:r>
            <w:rPr>
              <w:rFonts w:hint="eastAsia"/>
              <w:color w:val="FF0000"/>
              <w:szCs w:val="30"/>
            </w:rPr>
            <w:fldChar w:fldCharType="begin"/>
          </w:r>
          <w:r>
            <w:rPr>
              <w:rFonts w:hint="eastAsia"/>
              <w:szCs w:val="30"/>
            </w:rPr>
            <w:instrText xml:space="preserve"> HYPERLINK \l _Toc19846 </w:instrText>
          </w:r>
          <w:r>
            <w:rPr>
              <w:rFonts w:hint="eastAsia"/>
              <w:szCs w:val="30"/>
            </w:rPr>
            <w:fldChar w:fldCharType="separate"/>
          </w:r>
          <w:r>
            <w:rPr>
              <w:rFonts w:hint="default" w:ascii="宋体" w:hAnsi="宋体" w:eastAsia="宋体" w:cs="宋体"/>
              <w:bCs/>
              <w:kern w:val="44"/>
              <w:szCs w:val="32"/>
              <w:lang w:val="en-US" w:eastAsia="zh-CN" w:bidi="ar-SA"/>
            </w:rPr>
            <w:t>第2章</w:t>
          </w:r>
          <w:r>
            <w:rPr>
              <w:rFonts w:hint="eastAsia"/>
            </w:rPr>
            <w:t>总则</w:t>
          </w:r>
          <w:r>
            <w:tab/>
          </w:r>
          <w:r>
            <w:fldChar w:fldCharType="begin"/>
          </w:r>
          <w:r>
            <w:instrText xml:space="preserve"> PAGEREF _Toc19846 \h </w:instrText>
          </w:r>
          <w:r>
            <w:fldChar w:fldCharType="separate"/>
          </w:r>
          <w:r>
            <w:t>- 22 -</w:t>
          </w:r>
          <w:r>
            <w:fldChar w:fldCharType="end"/>
          </w:r>
          <w:r>
            <w:rPr>
              <w:rFonts w:hint="eastAsia"/>
              <w:color w:val="FF0000"/>
              <w:szCs w:val="30"/>
            </w:rPr>
            <w:fldChar w:fldCharType="end"/>
          </w:r>
        </w:p>
        <w:p w14:paraId="2A781153">
          <w:pPr>
            <w:pStyle w:val="25"/>
            <w:tabs>
              <w:tab w:val="right" w:leader="dot" w:pos="9070"/>
            </w:tabs>
          </w:pPr>
          <w:r>
            <w:rPr>
              <w:rFonts w:hint="eastAsia"/>
              <w:color w:val="FF0000"/>
              <w:szCs w:val="30"/>
            </w:rPr>
            <w:fldChar w:fldCharType="begin"/>
          </w:r>
          <w:r>
            <w:rPr>
              <w:rFonts w:hint="eastAsia"/>
              <w:szCs w:val="30"/>
            </w:rPr>
            <w:instrText xml:space="preserve"> HYPERLINK \l _Toc28732 </w:instrText>
          </w:r>
          <w:r>
            <w:rPr>
              <w:rFonts w:hint="eastAsia"/>
              <w:szCs w:val="30"/>
            </w:rPr>
            <w:fldChar w:fldCharType="separate"/>
          </w:r>
          <w:r>
            <w:rPr>
              <w:rFonts w:hint="default" w:ascii="宋体" w:hAnsi="宋体" w:eastAsia="宋体" w:cs="宋体"/>
              <w:bCs/>
              <w:kern w:val="2"/>
              <w:szCs w:val="28"/>
              <w:lang w:val="en-US" w:eastAsia="zh-CN" w:bidi="ar-SA"/>
            </w:rPr>
            <w:t>2.1</w:t>
          </w:r>
          <w:r>
            <w:rPr>
              <w:rFonts w:hint="eastAsia"/>
              <w:szCs w:val="28"/>
            </w:rPr>
            <w:t>评价目的与原则</w:t>
          </w:r>
          <w:r>
            <w:tab/>
          </w:r>
          <w:r>
            <w:fldChar w:fldCharType="begin"/>
          </w:r>
          <w:r>
            <w:instrText xml:space="preserve"> PAGEREF _Toc28732 \h </w:instrText>
          </w:r>
          <w:r>
            <w:fldChar w:fldCharType="separate"/>
          </w:r>
          <w:r>
            <w:t>- 22 -</w:t>
          </w:r>
          <w:r>
            <w:fldChar w:fldCharType="end"/>
          </w:r>
          <w:r>
            <w:rPr>
              <w:rFonts w:hint="eastAsia"/>
              <w:color w:val="FF0000"/>
              <w:szCs w:val="30"/>
            </w:rPr>
            <w:fldChar w:fldCharType="end"/>
          </w:r>
        </w:p>
        <w:p w14:paraId="37141215">
          <w:pPr>
            <w:pStyle w:val="25"/>
            <w:tabs>
              <w:tab w:val="right" w:leader="dot" w:pos="9070"/>
            </w:tabs>
          </w:pPr>
          <w:r>
            <w:rPr>
              <w:rFonts w:hint="eastAsia"/>
              <w:color w:val="FF0000"/>
              <w:szCs w:val="30"/>
            </w:rPr>
            <w:fldChar w:fldCharType="begin"/>
          </w:r>
          <w:r>
            <w:rPr>
              <w:rFonts w:hint="eastAsia"/>
              <w:szCs w:val="30"/>
            </w:rPr>
            <w:instrText xml:space="preserve"> HYPERLINK \l _Toc18907 </w:instrText>
          </w:r>
          <w:r>
            <w:rPr>
              <w:rFonts w:hint="eastAsia"/>
              <w:szCs w:val="30"/>
            </w:rPr>
            <w:fldChar w:fldCharType="separate"/>
          </w:r>
          <w:r>
            <w:rPr>
              <w:rFonts w:hint="default" w:ascii="宋体" w:hAnsi="宋体" w:eastAsia="宋体" w:cs="宋体"/>
              <w:bCs/>
              <w:kern w:val="2"/>
              <w:szCs w:val="28"/>
              <w:lang w:val="en-US" w:eastAsia="zh-CN" w:bidi="ar-SA"/>
            </w:rPr>
            <w:t>2.2</w:t>
          </w:r>
          <w:r>
            <w:rPr>
              <w:rFonts w:hint="eastAsia"/>
              <w:szCs w:val="28"/>
            </w:rPr>
            <w:t>编制依据</w:t>
          </w:r>
          <w:r>
            <w:tab/>
          </w:r>
          <w:r>
            <w:fldChar w:fldCharType="begin"/>
          </w:r>
          <w:r>
            <w:instrText xml:space="preserve"> PAGEREF _Toc18907 \h </w:instrText>
          </w:r>
          <w:r>
            <w:fldChar w:fldCharType="separate"/>
          </w:r>
          <w:r>
            <w:t>- 23 -</w:t>
          </w:r>
          <w:r>
            <w:fldChar w:fldCharType="end"/>
          </w:r>
          <w:r>
            <w:rPr>
              <w:rFonts w:hint="eastAsia"/>
              <w:color w:val="FF0000"/>
              <w:szCs w:val="30"/>
            </w:rPr>
            <w:fldChar w:fldCharType="end"/>
          </w:r>
        </w:p>
        <w:p w14:paraId="7F161034">
          <w:pPr>
            <w:pStyle w:val="25"/>
            <w:tabs>
              <w:tab w:val="right" w:leader="dot" w:pos="9070"/>
            </w:tabs>
          </w:pPr>
          <w:r>
            <w:rPr>
              <w:rFonts w:hint="eastAsia"/>
              <w:color w:val="FF0000"/>
              <w:szCs w:val="30"/>
            </w:rPr>
            <w:fldChar w:fldCharType="begin"/>
          </w:r>
          <w:r>
            <w:rPr>
              <w:rFonts w:hint="eastAsia"/>
              <w:szCs w:val="30"/>
            </w:rPr>
            <w:instrText xml:space="preserve"> HYPERLINK \l _Toc2601 </w:instrText>
          </w:r>
          <w:r>
            <w:rPr>
              <w:rFonts w:hint="eastAsia"/>
              <w:szCs w:val="30"/>
            </w:rPr>
            <w:fldChar w:fldCharType="separate"/>
          </w:r>
          <w:r>
            <w:rPr>
              <w:rFonts w:hint="default" w:ascii="宋体" w:hAnsi="宋体" w:eastAsia="宋体" w:cs="宋体"/>
              <w:bCs/>
              <w:kern w:val="2"/>
              <w:szCs w:val="28"/>
              <w:lang w:val="en-US" w:eastAsia="zh-CN" w:bidi="ar-SA"/>
            </w:rPr>
            <w:t>2.3</w:t>
          </w:r>
          <w:r>
            <w:rPr>
              <w:rFonts w:hint="eastAsia"/>
            </w:rPr>
            <w:t>地方有关政策依据</w:t>
          </w:r>
          <w:r>
            <w:tab/>
          </w:r>
          <w:r>
            <w:fldChar w:fldCharType="begin"/>
          </w:r>
          <w:r>
            <w:instrText xml:space="preserve"> PAGEREF _Toc2601 \h </w:instrText>
          </w:r>
          <w:r>
            <w:fldChar w:fldCharType="separate"/>
          </w:r>
          <w:r>
            <w:t>- 24 -</w:t>
          </w:r>
          <w:r>
            <w:fldChar w:fldCharType="end"/>
          </w:r>
          <w:r>
            <w:rPr>
              <w:rFonts w:hint="eastAsia"/>
              <w:color w:val="FF0000"/>
              <w:szCs w:val="30"/>
            </w:rPr>
            <w:fldChar w:fldCharType="end"/>
          </w:r>
        </w:p>
        <w:p w14:paraId="2FA5F180">
          <w:pPr>
            <w:pStyle w:val="25"/>
            <w:tabs>
              <w:tab w:val="right" w:leader="dot" w:pos="9070"/>
            </w:tabs>
          </w:pPr>
          <w:r>
            <w:rPr>
              <w:rFonts w:hint="eastAsia"/>
              <w:color w:val="FF0000"/>
              <w:szCs w:val="30"/>
            </w:rPr>
            <w:fldChar w:fldCharType="begin"/>
          </w:r>
          <w:r>
            <w:rPr>
              <w:rFonts w:hint="eastAsia"/>
              <w:szCs w:val="30"/>
            </w:rPr>
            <w:instrText xml:space="preserve"> HYPERLINK \l _Toc27246 </w:instrText>
          </w:r>
          <w:r>
            <w:rPr>
              <w:rFonts w:hint="eastAsia"/>
              <w:szCs w:val="30"/>
            </w:rPr>
            <w:fldChar w:fldCharType="separate"/>
          </w:r>
          <w:r>
            <w:rPr>
              <w:rFonts w:hint="default" w:ascii="宋体" w:hAnsi="宋体" w:eastAsia="宋体" w:cs="宋体"/>
              <w:bCs/>
              <w:kern w:val="2"/>
              <w:szCs w:val="28"/>
              <w:lang w:val="en-US" w:eastAsia="zh-CN" w:bidi="ar-SA"/>
            </w:rPr>
            <w:t>2.4</w:t>
          </w:r>
          <w:r>
            <w:rPr>
              <w:rFonts w:hint="eastAsia"/>
            </w:rPr>
            <w:t>技术导则和技术规范</w:t>
          </w:r>
          <w:r>
            <w:tab/>
          </w:r>
          <w:r>
            <w:fldChar w:fldCharType="begin"/>
          </w:r>
          <w:r>
            <w:instrText xml:space="preserve"> PAGEREF _Toc27246 \h </w:instrText>
          </w:r>
          <w:r>
            <w:fldChar w:fldCharType="separate"/>
          </w:r>
          <w:r>
            <w:t>- 25 -</w:t>
          </w:r>
          <w:r>
            <w:fldChar w:fldCharType="end"/>
          </w:r>
          <w:r>
            <w:rPr>
              <w:rFonts w:hint="eastAsia"/>
              <w:color w:val="FF0000"/>
              <w:szCs w:val="30"/>
            </w:rPr>
            <w:fldChar w:fldCharType="end"/>
          </w:r>
        </w:p>
        <w:p w14:paraId="21C5CCD9">
          <w:pPr>
            <w:pStyle w:val="25"/>
            <w:tabs>
              <w:tab w:val="right" w:leader="dot" w:pos="9070"/>
            </w:tabs>
          </w:pPr>
          <w:r>
            <w:rPr>
              <w:rFonts w:hint="eastAsia"/>
              <w:color w:val="FF0000"/>
              <w:szCs w:val="30"/>
            </w:rPr>
            <w:fldChar w:fldCharType="begin"/>
          </w:r>
          <w:r>
            <w:rPr>
              <w:rFonts w:hint="eastAsia"/>
              <w:szCs w:val="30"/>
            </w:rPr>
            <w:instrText xml:space="preserve"> HYPERLINK \l _Toc3070 </w:instrText>
          </w:r>
          <w:r>
            <w:rPr>
              <w:rFonts w:hint="eastAsia"/>
              <w:szCs w:val="30"/>
            </w:rPr>
            <w:fldChar w:fldCharType="separate"/>
          </w:r>
          <w:r>
            <w:rPr>
              <w:rFonts w:hint="default" w:ascii="宋体" w:hAnsi="宋体" w:eastAsia="宋体" w:cs="宋体"/>
              <w:bCs/>
              <w:kern w:val="2"/>
              <w:szCs w:val="28"/>
              <w:lang w:val="en-US" w:eastAsia="zh-CN" w:bidi="ar-SA"/>
            </w:rPr>
            <w:t>2.5</w:t>
          </w:r>
          <w:r>
            <w:rPr>
              <w:rFonts w:hint="eastAsia"/>
              <w:szCs w:val="28"/>
            </w:rPr>
            <w:t>环境影响识别与评价因子筛选</w:t>
          </w:r>
          <w:r>
            <w:tab/>
          </w:r>
          <w:r>
            <w:fldChar w:fldCharType="begin"/>
          </w:r>
          <w:r>
            <w:instrText xml:space="preserve"> PAGEREF _Toc3070 \h </w:instrText>
          </w:r>
          <w:r>
            <w:fldChar w:fldCharType="separate"/>
          </w:r>
          <w:r>
            <w:t>- 26 -</w:t>
          </w:r>
          <w:r>
            <w:fldChar w:fldCharType="end"/>
          </w:r>
          <w:r>
            <w:rPr>
              <w:rFonts w:hint="eastAsia"/>
              <w:color w:val="FF0000"/>
              <w:szCs w:val="30"/>
            </w:rPr>
            <w:fldChar w:fldCharType="end"/>
          </w:r>
        </w:p>
        <w:p w14:paraId="624B57BA">
          <w:pPr>
            <w:pStyle w:val="25"/>
            <w:tabs>
              <w:tab w:val="right" w:leader="dot" w:pos="9070"/>
            </w:tabs>
          </w:pPr>
          <w:r>
            <w:rPr>
              <w:rFonts w:hint="eastAsia"/>
              <w:color w:val="FF0000"/>
              <w:szCs w:val="30"/>
            </w:rPr>
            <w:fldChar w:fldCharType="begin"/>
          </w:r>
          <w:r>
            <w:rPr>
              <w:rFonts w:hint="eastAsia"/>
              <w:szCs w:val="30"/>
            </w:rPr>
            <w:instrText xml:space="preserve"> HYPERLINK \l _Toc11876 </w:instrText>
          </w:r>
          <w:r>
            <w:rPr>
              <w:rFonts w:hint="eastAsia"/>
              <w:szCs w:val="30"/>
            </w:rPr>
            <w:fldChar w:fldCharType="separate"/>
          </w:r>
          <w:r>
            <w:rPr>
              <w:rFonts w:hint="default" w:ascii="宋体" w:hAnsi="宋体" w:eastAsia="宋体" w:cs="宋体"/>
              <w:bCs/>
              <w:kern w:val="2"/>
              <w:szCs w:val="28"/>
              <w:lang w:val="en-US" w:eastAsia="zh-CN" w:bidi="ar-SA"/>
            </w:rPr>
            <w:t>2.6</w:t>
          </w:r>
          <w:r>
            <w:rPr>
              <w:szCs w:val="28"/>
            </w:rPr>
            <w:t>环境</w:t>
          </w:r>
          <w:r>
            <w:rPr>
              <w:rFonts w:hint="eastAsia"/>
              <w:szCs w:val="28"/>
            </w:rPr>
            <w:t>功能</w:t>
          </w:r>
          <w:r>
            <w:rPr>
              <w:szCs w:val="28"/>
            </w:rPr>
            <w:t>区和</w:t>
          </w:r>
          <w:r>
            <w:rPr>
              <w:rFonts w:hint="eastAsia"/>
              <w:szCs w:val="28"/>
            </w:rPr>
            <w:t>评价标准</w:t>
          </w:r>
          <w:r>
            <w:tab/>
          </w:r>
          <w:r>
            <w:fldChar w:fldCharType="begin"/>
          </w:r>
          <w:r>
            <w:instrText xml:space="preserve"> PAGEREF _Toc11876 \h </w:instrText>
          </w:r>
          <w:r>
            <w:fldChar w:fldCharType="separate"/>
          </w:r>
          <w:r>
            <w:t>- 27 -</w:t>
          </w:r>
          <w:r>
            <w:fldChar w:fldCharType="end"/>
          </w:r>
          <w:r>
            <w:rPr>
              <w:rFonts w:hint="eastAsia"/>
              <w:color w:val="FF0000"/>
              <w:szCs w:val="30"/>
            </w:rPr>
            <w:fldChar w:fldCharType="end"/>
          </w:r>
        </w:p>
        <w:p w14:paraId="0D3F2122">
          <w:pPr>
            <w:pStyle w:val="25"/>
            <w:tabs>
              <w:tab w:val="right" w:leader="dot" w:pos="9070"/>
            </w:tabs>
          </w:pPr>
          <w:r>
            <w:rPr>
              <w:rFonts w:hint="eastAsia"/>
              <w:color w:val="FF0000"/>
              <w:szCs w:val="30"/>
            </w:rPr>
            <w:fldChar w:fldCharType="begin"/>
          </w:r>
          <w:r>
            <w:rPr>
              <w:rFonts w:hint="eastAsia"/>
              <w:szCs w:val="30"/>
            </w:rPr>
            <w:instrText xml:space="preserve"> HYPERLINK \l _Toc1887 </w:instrText>
          </w:r>
          <w:r>
            <w:rPr>
              <w:rFonts w:hint="eastAsia"/>
              <w:szCs w:val="30"/>
            </w:rPr>
            <w:fldChar w:fldCharType="separate"/>
          </w:r>
          <w:r>
            <w:rPr>
              <w:rFonts w:hint="default" w:ascii="宋体" w:hAnsi="宋体" w:eastAsia="宋体" w:cs="宋体"/>
              <w:bCs/>
              <w:kern w:val="2"/>
              <w:szCs w:val="28"/>
              <w:lang w:val="en-US" w:eastAsia="zh-CN" w:bidi="ar-SA"/>
            </w:rPr>
            <w:t>2.7</w:t>
          </w:r>
          <w:r>
            <w:rPr>
              <w:szCs w:val="28"/>
            </w:rPr>
            <w:t>评价工作等级</w:t>
          </w:r>
          <w:r>
            <w:rPr>
              <w:rFonts w:hint="eastAsia"/>
              <w:szCs w:val="28"/>
            </w:rPr>
            <w:t>与</w:t>
          </w:r>
          <w:r>
            <w:rPr>
              <w:szCs w:val="28"/>
            </w:rPr>
            <w:t>评价范围、评价工作重点</w:t>
          </w:r>
          <w:r>
            <w:tab/>
          </w:r>
          <w:r>
            <w:fldChar w:fldCharType="begin"/>
          </w:r>
          <w:r>
            <w:instrText xml:space="preserve"> PAGEREF _Toc1887 \h </w:instrText>
          </w:r>
          <w:r>
            <w:fldChar w:fldCharType="separate"/>
          </w:r>
          <w:r>
            <w:t>- 34 -</w:t>
          </w:r>
          <w:r>
            <w:fldChar w:fldCharType="end"/>
          </w:r>
          <w:r>
            <w:rPr>
              <w:rFonts w:hint="eastAsia"/>
              <w:color w:val="FF0000"/>
              <w:szCs w:val="30"/>
            </w:rPr>
            <w:fldChar w:fldCharType="end"/>
          </w:r>
        </w:p>
        <w:p w14:paraId="2ADD9E9C">
          <w:pPr>
            <w:pStyle w:val="25"/>
            <w:tabs>
              <w:tab w:val="right" w:leader="dot" w:pos="9070"/>
            </w:tabs>
          </w:pPr>
          <w:r>
            <w:rPr>
              <w:rFonts w:hint="eastAsia"/>
              <w:color w:val="FF0000"/>
              <w:szCs w:val="30"/>
            </w:rPr>
            <w:fldChar w:fldCharType="begin"/>
          </w:r>
          <w:r>
            <w:rPr>
              <w:rFonts w:hint="eastAsia"/>
              <w:szCs w:val="30"/>
            </w:rPr>
            <w:instrText xml:space="preserve"> HYPERLINK \l _Toc31643 </w:instrText>
          </w:r>
          <w:r>
            <w:rPr>
              <w:rFonts w:hint="eastAsia"/>
              <w:szCs w:val="30"/>
            </w:rPr>
            <w:fldChar w:fldCharType="separate"/>
          </w:r>
          <w:r>
            <w:rPr>
              <w:rFonts w:hint="default" w:ascii="宋体" w:hAnsi="宋体" w:eastAsia="宋体" w:cs="宋体"/>
              <w:bCs/>
              <w:kern w:val="2"/>
              <w:szCs w:val="28"/>
              <w:lang w:val="en-US" w:eastAsia="zh-CN" w:bidi="ar-SA"/>
            </w:rPr>
            <w:t>2.8</w:t>
          </w:r>
          <w:r>
            <w:rPr>
              <w:szCs w:val="28"/>
            </w:rPr>
            <w:t>评价</w:t>
          </w:r>
          <w:r>
            <w:rPr>
              <w:rFonts w:hint="eastAsia"/>
              <w:szCs w:val="28"/>
            </w:rPr>
            <w:t>工作重点</w:t>
          </w:r>
          <w:r>
            <w:tab/>
          </w:r>
          <w:r>
            <w:fldChar w:fldCharType="begin"/>
          </w:r>
          <w:r>
            <w:instrText xml:space="preserve"> PAGEREF _Toc31643 \h </w:instrText>
          </w:r>
          <w:r>
            <w:fldChar w:fldCharType="separate"/>
          </w:r>
          <w:r>
            <w:t>- 40 -</w:t>
          </w:r>
          <w:r>
            <w:fldChar w:fldCharType="end"/>
          </w:r>
          <w:r>
            <w:rPr>
              <w:rFonts w:hint="eastAsia"/>
              <w:color w:val="FF0000"/>
              <w:szCs w:val="30"/>
            </w:rPr>
            <w:fldChar w:fldCharType="end"/>
          </w:r>
        </w:p>
        <w:p w14:paraId="7F07CEF4">
          <w:pPr>
            <w:pStyle w:val="25"/>
            <w:tabs>
              <w:tab w:val="right" w:leader="dot" w:pos="9070"/>
            </w:tabs>
          </w:pPr>
          <w:r>
            <w:rPr>
              <w:rFonts w:hint="eastAsia"/>
              <w:color w:val="FF0000"/>
              <w:szCs w:val="30"/>
            </w:rPr>
            <w:fldChar w:fldCharType="begin"/>
          </w:r>
          <w:r>
            <w:rPr>
              <w:rFonts w:hint="eastAsia"/>
              <w:szCs w:val="30"/>
            </w:rPr>
            <w:instrText xml:space="preserve"> HYPERLINK \l _Toc8788 </w:instrText>
          </w:r>
          <w:r>
            <w:rPr>
              <w:rFonts w:hint="eastAsia"/>
              <w:szCs w:val="30"/>
            </w:rPr>
            <w:fldChar w:fldCharType="separate"/>
          </w:r>
          <w:r>
            <w:rPr>
              <w:rFonts w:hint="default" w:ascii="宋体" w:hAnsi="宋体" w:eastAsia="宋体" w:cs="宋体"/>
              <w:bCs/>
              <w:kern w:val="2"/>
              <w:szCs w:val="28"/>
              <w:lang w:val="en-US" w:eastAsia="zh-CN" w:bidi="ar-SA"/>
            </w:rPr>
            <w:t>2.9</w:t>
          </w:r>
          <w:r>
            <w:rPr>
              <w:rFonts w:hint="eastAsia"/>
              <w:szCs w:val="28"/>
            </w:rPr>
            <w:t>环境保护目标</w:t>
          </w:r>
          <w:r>
            <w:tab/>
          </w:r>
          <w:r>
            <w:fldChar w:fldCharType="begin"/>
          </w:r>
          <w:r>
            <w:instrText xml:space="preserve"> PAGEREF _Toc8788 \h </w:instrText>
          </w:r>
          <w:r>
            <w:fldChar w:fldCharType="separate"/>
          </w:r>
          <w:r>
            <w:t>- 40 -</w:t>
          </w:r>
          <w:r>
            <w:fldChar w:fldCharType="end"/>
          </w:r>
          <w:r>
            <w:rPr>
              <w:rFonts w:hint="eastAsia"/>
              <w:color w:val="FF0000"/>
              <w:szCs w:val="30"/>
            </w:rPr>
            <w:fldChar w:fldCharType="end"/>
          </w:r>
        </w:p>
        <w:p w14:paraId="0F6D7231">
          <w:pPr>
            <w:pStyle w:val="24"/>
            <w:tabs>
              <w:tab w:val="right" w:leader="dot" w:pos="9070"/>
            </w:tabs>
          </w:pPr>
          <w:r>
            <w:rPr>
              <w:rFonts w:hint="eastAsia"/>
              <w:color w:val="FF0000"/>
              <w:szCs w:val="30"/>
            </w:rPr>
            <w:fldChar w:fldCharType="begin"/>
          </w:r>
          <w:r>
            <w:rPr>
              <w:rFonts w:hint="eastAsia"/>
              <w:szCs w:val="30"/>
            </w:rPr>
            <w:instrText xml:space="preserve"> HYPERLINK \l _Toc24847 </w:instrText>
          </w:r>
          <w:r>
            <w:rPr>
              <w:rFonts w:hint="eastAsia"/>
              <w:szCs w:val="30"/>
            </w:rPr>
            <w:fldChar w:fldCharType="separate"/>
          </w:r>
          <w:r>
            <w:rPr>
              <w:rFonts w:hint="default" w:ascii="宋体" w:hAnsi="宋体" w:eastAsia="宋体" w:cs="宋体"/>
              <w:bCs/>
              <w:kern w:val="44"/>
              <w:szCs w:val="32"/>
              <w:lang w:val="en-US" w:eastAsia="zh-CN" w:bidi="ar-SA"/>
            </w:rPr>
            <w:t>第3章</w:t>
          </w:r>
          <w:r>
            <w:rPr>
              <w:rFonts w:hint="eastAsia"/>
            </w:rPr>
            <w:t>现有工程概况</w:t>
          </w:r>
          <w:r>
            <w:tab/>
          </w:r>
          <w:r>
            <w:fldChar w:fldCharType="begin"/>
          </w:r>
          <w:r>
            <w:instrText xml:space="preserve"> PAGEREF _Toc24847 \h </w:instrText>
          </w:r>
          <w:r>
            <w:fldChar w:fldCharType="separate"/>
          </w:r>
          <w:r>
            <w:t>- 44 -</w:t>
          </w:r>
          <w:r>
            <w:fldChar w:fldCharType="end"/>
          </w:r>
          <w:r>
            <w:rPr>
              <w:rFonts w:hint="eastAsia"/>
              <w:color w:val="FF0000"/>
              <w:szCs w:val="30"/>
            </w:rPr>
            <w:fldChar w:fldCharType="end"/>
          </w:r>
        </w:p>
        <w:p w14:paraId="2F07CFFE">
          <w:pPr>
            <w:pStyle w:val="25"/>
            <w:tabs>
              <w:tab w:val="right" w:leader="dot" w:pos="9070"/>
            </w:tabs>
          </w:pPr>
          <w:r>
            <w:rPr>
              <w:rFonts w:hint="eastAsia"/>
              <w:color w:val="FF0000"/>
              <w:szCs w:val="30"/>
            </w:rPr>
            <w:fldChar w:fldCharType="begin"/>
          </w:r>
          <w:r>
            <w:rPr>
              <w:rFonts w:hint="eastAsia"/>
              <w:szCs w:val="30"/>
            </w:rPr>
            <w:instrText xml:space="preserve"> HYPERLINK \l _Toc5272 </w:instrText>
          </w:r>
          <w:r>
            <w:rPr>
              <w:rFonts w:hint="eastAsia"/>
              <w:szCs w:val="30"/>
            </w:rPr>
            <w:fldChar w:fldCharType="separate"/>
          </w:r>
          <w:r>
            <w:rPr>
              <w:rFonts w:hint="default" w:ascii="宋体" w:hAnsi="宋体" w:eastAsia="宋体" w:cs="宋体"/>
              <w:bCs/>
              <w:kern w:val="2"/>
              <w:szCs w:val="28"/>
              <w:lang w:val="en-US" w:eastAsia="zh-CN" w:bidi="ar-SA"/>
            </w:rPr>
            <w:t>3.1</w:t>
          </w:r>
          <w:r>
            <w:rPr>
              <w:rFonts w:hint="eastAsia"/>
              <w:szCs w:val="28"/>
            </w:rPr>
            <w:t>已建工程概况</w:t>
          </w:r>
          <w:r>
            <w:tab/>
          </w:r>
          <w:r>
            <w:fldChar w:fldCharType="begin"/>
          </w:r>
          <w:r>
            <w:instrText xml:space="preserve"> PAGEREF _Toc5272 \h </w:instrText>
          </w:r>
          <w:r>
            <w:fldChar w:fldCharType="separate"/>
          </w:r>
          <w:r>
            <w:t>- 44 -</w:t>
          </w:r>
          <w:r>
            <w:fldChar w:fldCharType="end"/>
          </w:r>
          <w:r>
            <w:rPr>
              <w:rFonts w:hint="eastAsia"/>
              <w:color w:val="FF0000"/>
              <w:szCs w:val="30"/>
            </w:rPr>
            <w:fldChar w:fldCharType="end"/>
          </w:r>
        </w:p>
        <w:p w14:paraId="7AD0B691">
          <w:pPr>
            <w:pStyle w:val="25"/>
            <w:tabs>
              <w:tab w:val="right" w:leader="dot" w:pos="9070"/>
            </w:tabs>
          </w:pPr>
          <w:r>
            <w:rPr>
              <w:rFonts w:hint="eastAsia"/>
              <w:color w:val="FF0000"/>
              <w:szCs w:val="30"/>
            </w:rPr>
            <w:fldChar w:fldCharType="begin"/>
          </w:r>
          <w:r>
            <w:rPr>
              <w:rFonts w:hint="eastAsia"/>
              <w:szCs w:val="30"/>
            </w:rPr>
            <w:instrText xml:space="preserve"> HYPERLINK \l _Toc20863 </w:instrText>
          </w:r>
          <w:r>
            <w:rPr>
              <w:rFonts w:hint="eastAsia"/>
              <w:szCs w:val="30"/>
            </w:rPr>
            <w:fldChar w:fldCharType="separate"/>
          </w:r>
          <w:r>
            <w:rPr>
              <w:rFonts w:hint="default" w:ascii="宋体" w:hAnsi="宋体" w:eastAsia="宋体" w:cs="宋体"/>
              <w:bCs/>
              <w:kern w:val="2"/>
              <w:szCs w:val="28"/>
              <w:lang w:val="en-US" w:eastAsia="zh-CN" w:bidi="ar-SA"/>
            </w:rPr>
            <w:t>3.2</w:t>
          </w:r>
          <w:r>
            <w:rPr>
              <w:rFonts w:hint="eastAsia"/>
              <w:szCs w:val="28"/>
            </w:rPr>
            <w:t>在建工程概况</w:t>
          </w:r>
          <w:r>
            <w:tab/>
          </w:r>
          <w:r>
            <w:fldChar w:fldCharType="begin"/>
          </w:r>
          <w:r>
            <w:instrText xml:space="preserve"> PAGEREF _Toc20863 \h </w:instrText>
          </w:r>
          <w:r>
            <w:fldChar w:fldCharType="separate"/>
          </w:r>
          <w:r>
            <w:t>- 60 -</w:t>
          </w:r>
          <w:r>
            <w:fldChar w:fldCharType="end"/>
          </w:r>
          <w:r>
            <w:rPr>
              <w:rFonts w:hint="eastAsia"/>
              <w:color w:val="FF0000"/>
              <w:szCs w:val="30"/>
            </w:rPr>
            <w:fldChar w:fldCharType="end"/>
          </w:r>
        </w:p>
        <w:p w14:paraId="354EC22A">
          <w:pPr>
            <w:pStyle w:val="24"/>
            <w:tabs>
              <w:tab w:val="right" w:leader="dot" w:pos="9070"/>
            </w:tabs>
          </w:pPr>
          <w:r>
            <w:rPr>
              <w:rFonts w:hint="eastAsia"/>
              <w:color w:val="FF0000"/>
              <w:szCs w:val="30"/>
            </w:rPr>
            <w:fldChar w:fldCharType="begin"/>
          </w:r>
          <w:r>
            <w:rPr>
              <w:rFonts w:hint="eastAsia"/>
              <w:szCs w:val="30"/>
            </w:rPr>
            <w:instrText xml:space="preserve"> HYPERLINK \l _Toc24628 </w:instrText>
          </w:r>
          <w:r>
            <w:rPr>
              <w:rFonts w:hint="eastAsia"/>
              <w:szCs w:val="30"/>
            </w:rPr>
            <w:fldChar w:fldCharType="separate"/>
          </w:r>
          <w:r>
            <w:rPr>
              <w:rFonts w:hint="default" w:ascii="宋体" w:hAnsi="宋体" w:eastAsia="宋体" w:cs="宋体"/>
              <w:bCs/>
              <w:kern w:val="44"/>
              <w:szCs w:val="32"/>
              <w:lang w:val="en-US" w:eastAsia="zh-CN" w:bidi="ar-SA"/>
            </w:rPr>
            <w:t>第4章</w:t>
          </w:r>
          <w:r>
            <w:rPr>
              <w:rFonts w:hint="eastAsia"/>
            </w:rPr>
            <w:t>在建工程变更概况</w:t>
          </w:r>
          <w:r>
            <w:tab/>
          </w:r>
          <w:r>
            <w:fldChar w:fldCharType="begin"/>
          </w:r>
          <w:r>
            <w:instrText xml:space="preserve"> PAGEREF _Toc24628 \h </w:instrText>
          </w:r>
          <w:r>
            <w:fldChar w:fldCharType="separate"/>
          </w:r>
          <w:r>
            <w:t>- 85 -</w:t>
          </w:r>
          <w:r>
            <w:fldChar w:fldCharType="end"/>
          </w:r>
          <w:r>
            <w:rPr>
              <w:rFonts w:hint="eastAsia"/>
              <w:color w:val="FF0000"/>
              <w:szCs w:val="30"/>
            </w:rPr>
            <w:fldChar w:fldCharType="end"/>
          </w:r>
        </w:p>
        <w:p w14:paraId="698B6192">
          <w:pPr>
            <w:pStyle w:val="25"/>
            <w:tabs>
              <w:tab w:val="right" w:leader="dot" w:pos="9070"/>
            </w:tabs>
          </w:pPr>
          <w:r>
            <w:rPr>
              <w:rFonts w:hint="eastAsia"/>
              <w:color w:val="FF0000"/>
              <w:szCs w:val="30"/>
            </w:rPr>
            <w:fldChar w:fldCharType="begin"/>
          </w:r>
          <w:r>
            <w:rPr>
              <w:rFonts w:hint="eastAsia"/>
              <w:szCs w:val="30"/>
            </w:rPr>
            <w:instrText xml:space="preserve"> HYPERLINK \l _Toc16393 </w:instrText>
          </w:r>
          <w:r>
            <w:rPr>
              <w:rFonts w:hint="eastAsia"/>
              <w:szCs w:val="30"/>
            </w:rPr>
            <w:fldChar w:fldCharType="separate"/>
          </w:r>
          <w:r>
            <w:rPr>
              <w:rFonts w:hint="default" w:ascii="宋体" w:hAnsi="宋体" w:eastAsia="宋体" w:cs="宋体"/>
              <w:bCs/>
              <w:kern w:val="2"/>
              <w:szCs w:val="28"/>
              <w:lang w:val="en-US" w:eastAsia="zh-CN" w:bidi="ar-SA"/>
            </w:rPr>
            <w:t>4.1</w:t>
          </w:r>
          <w:r>
            <w:rPr>
              <w:rFonts w:hint="eastAsia"/>
            </w:rPr>
            <w:t>在建工程变更概况</w:t>
          </w:r>
          <w:r>
            <w:tab/>
          </w:r>
          <w:r>
            <w:fldChar w:fldCharType="begin"/>
          </w:r>
          <w:r>
            <w:instrText xml:space="preserve"> PAGEREF _Toc16393 \h </w:instrText>
          </w:r>
          <w:r>
            <w:fldChar w:fldCharType="separate"/>
          </w:r>
          <w:r>
            <w:t>- 85 -</w:t>
          </w:r>
          <w:r>
            <w:fldChar w:fldCharType="end"/>
          </w:r>
          <w:r>
            <w:rPr>
              <w:rFonts w:hint="eastAsia"/>
              <w:color w:val="FF0000"/>
              <w:szCs w:val="30"/>
            </w:rPr>
            <w:fldChar w:fldCharType="end"/>
          </w:r>
        </w:p>
        <w:p w14:paraId="14EAF925">
          <w:pPr>
            <w:pStyle w:val="25"/>
            <w:tabs>
              <w:tab w:val="right" w:leader="dot" w:pos="9070"/>
            </w:tabs>
          </w:pPr>
          <w:r>
            <w:rPr>
              <w:rFonts w:hint="eastAsia"/>
              <w:color w:val="FF0000"/>
              <w:szCs w:val="30"/>
            </w:rPr>
            <w:fldChar w:fldCharType="begin"/>
          </w:r>
          <w:r>
            <w:rPr>
              <w:rFonts w:hint="eastAsia"/>
              <w:szCs w:val="30"/>
            </w:rPr>
            <w:instrText xml:space="preserve"> HYPERLINK \l _Toc10268 </w:instrText>
          </w:r>
          <w:r>
            <w:rPr>
              <w:rFonts w:hint="eastAsia"/>
              <w:szCs w:val="30"/>
            </w:rPr>
            <w:fldChar w:fldCharType="separate"/>
          </w:r>
          <w:r>
            <w:rPr>
              <w:rFonts w:hint="default" w:ascii="宋体" w:hAnsi="宋体" w:eastAsia="宋体" w:cs="宋体"/>
              <w:bCs/>
              <w:kern w:val="2"/>
              <w:szCs w:val="28"/>
              <w:lang w:val="en-US" w:eastAsia="zh-CN" w:bidi="ar-SA"/>
            </w:rPr>
            <w:t>4.2</w:t>
          </w:r>
          <w:r>
            <w:rPr>
              <w:rFonts w:hint="eastAsia"/>
            </w:rPr>
            <w:t>工程分析</w:t>
          </w:r>
          <w:r>
            <w:tab/>
          </w:r>
          <w:r>
            <w:fldChar w:fldCharType="begin"/>
          </w:r>
          <w:r>
            <w:instrText xml:space="preserve"> PAGEREF _Toc10268 \h </w:instrText>
          </w:r>
          <w:r>
            <w:fldChar w:fldCharType="separate"/>
          </w:r>
          <w:r>
            <w:t>- 103 -</w:t>
          </w:r>
          <w:r>
            <w:fldChar w:fldCharType="end"/>
          </w:r>
          <w:r>
            <w:rPr>
              <w:rFonts w:hint="eastAsia"/>
              <w:color w:val="FF0000"/>
              <w:szCs w:val="30"/>
            </w:rPr>
            <w:fldChar w:fldCharType="end"/>
          </w:r>
        </w:p>
        <w:p w14:paraId="388CDE5E">
          <w:pPr>
            <w:pStyle w:val="25"/>
            <w:tabs>
              <w:tab w:val="right" w:leader="dot" w:pos="9070"/>
            </w:tabs>
          </w:pPr>
          <w:r>
            <w:rPr>
              <w:rFonts w:hint="eastAsia"/>
              <w:color w:val="FF0000"/>
              <w:szCs w:val="30"/>
            </w:rPr>
            <w:fldChar w:fldCharType="begin"/>
          </w:r>
          <w:r>
            <w:rPr>
              <w:rFonts w:hint="eastAsia"/>
              <w:szCs w:val="30"/>
            </w:rPr>
            <w:instrText xml:space="preserve"> HYPERLINK \l _Toc5849 </w:instrText>
          </w:r>
          <w:r>
            <w:rPr>
              <w:rFonts w:hint="eastAsia"/>
              <w:szCs w:val="30"/>
            </w:rPr>
            <w:fldChar w:fldCharType="separate"/>
          </w:r>
          <w:r>
            <w:rPr>
              <w:rFonts w:hint="default" w:ascii="宋体" w:hAnsi="宋体" w:eastAsia="宋体" w:cs="宋体"/>
              <w:bCs/>
              <w:kern w:val="2"/>
              <w:szCs w:val="28"/>
              <w:lang w:val="en-US" w:eastAsia="zh-CN" w:bidi="ar-SA"/>
            </w:rPr>
            <w:t>4.3</w:t>
          </w:r>
          <w:r>
            <w:rPr>
              <w:rFonts w:hint="eastAsia"/>
              <w:szCs w:val="28"/>
            </w:rPr>
            <w:t>污染物源强分析</w:t>
          </w:r>
          <w:r>
            <w:tab/>
          </w:r>
          <w:r>
            <w:fldChar w:fldCharType="begin"/>
          </w:r>
          <w:r>
            <w:instrText xml:space="preserve"> PAGEREF _Toc5849 \h </w:instrText>
          </w:r>
          <w:r>
            <w:fldChar w:fldCharType="separate"/>
          </w:r>
          <w:r>
            <w:t>- 111 -</w:t>
          </w:r>
          <w:r>
            <w:fldChar w:fldCharType="end"/>
          </w:r>
          <w:r>
            <w:rPr>
              <w:rFonts w:hint="eastAsia"/>
              <w:color w:val="FF0000"/>
              <w:szCs w:val="30"/>
            </w:rPr>
            <w:fldChar w:fldCharType="end"/>
          </w:r>
        </w:p>
        <w:p w14:paraId="0BE8C44F">
          <w:pPr>
            <w:pStyle w:val="24"/>
            <w:tabs>
              <w:tab w:val="right" w:leader="dot" w:pos="9070"/>
            </w:tabs>
          </w:pPr>
          <w:r>
            <w:rPr>
              <w:rFonts w:hint="eastAsia"/>
              <w:color w:val="FF0000"/>
              <w:szCs w:val="30"/>
            </w:rPr>
            <w:fldChar w:fldCharType="begin"/>
          </w:r>
          <w:r>
            <w:rPr>
              <w:rFonts w:hint="eastAsia"/>
              <w:szCs w:val="30"/>
            </w:rPr>
            <w:instrText xml:space="preserve"> HYPERLINK \l _Toc23733 </w:instrText>
          </w:r>
          <w:r>
            <w:rPr>
              <w:rFonts w:hint="eastAsia"/>
              <w:szCs w:val="30"/>
            </w:rPr>
            <w:fldChar w:fldCharType="separate"/>
          </w:r>
          <w:r>
            <w:rPr>
              <w:rFonts w:hint="default" w:ascii="宋体" w:hAnsi="宋体" w:eastAsia="宋体" w:cs="宋体"/>
              <w:bCs/>
              <w:kern w:val="44"/>
              <w:szCs w:val="32"/>
              <w:lang w:val="en-US" w:eastAsia="zh-CN" w:bidi="ar-SA"/>
            </w:rPr>
            <w:t>第5章</w:t>
          </w:r>
          <w:r>
            <w:rPr>
              <w:rFonts w:hint="eastAsia"/>
            </w:rPr>
            <w:t>环境现状调查与评价</w:t>
          </w:r>
          <w:r>
            <w:tab/>
          </w:r>
          <w:r>
            <w:fldChar w:fldCharType="begin"/>
          </w:r>
          <w:r>
            <w:instrText xml:space="preserve"> PAGEREF _Toc23733 \h </w:instrText>
          </w:r>
          <w:r>
            <w:fldChar w:fldCharType="separate"/>
          </w:r>
          <w:r>
            <w:t>- 137 -</w:t>
          </w:r>
          <w:r>
            <w:fldChar w:fldCharType="end"/>
          </w:r>
          <w:r>
            <w:rPr>
              <w:rFonts w:hint="eastAsia"/>
              <w:color w:val="FF0000"/>
              <w:szCs w:val="30"/>
            </w:rPr>
            <w:fldChar w:fldCharType="end"/>
          </w:r>
        </w:p>
        <w:p w14:paraId="42F5653D">
          <w:pPr>
            <w:pStyle w:val="25"/>
            <w:tabs>
              <w:tab w:val="right" w:leader="dot" w:pos="9070"/>
            </w:tabs>
          </w:pPr>
          <w:r>
            <w:rPr>
              <w:rFonts w:hint="eastAsia"/>
              <w:color w:val="FF0000"/>
              <w:szCs w:val="30"/>
            </w:rPr>
            <w:fldChar w:fldCharType="begin"/>
          </w:r>
          <w:r>
            <w:rPr>
              <w:rFonts w:hint="eastAsia"/>
              <w:szCs w:val="30"/>
            </w:rPr>
            <w:instrText xml:space="preserve"> HYPERLINK \l _Toc29 </w:instrText>
          </w:r>
          <w:r>
            <w:rPr>
              <w:rFonts w:hint="eastAsia"/>
              <w:szCs w:val="30"/>
            </w:rPr>
            <w:fldChar w:fldCharType="separate"/>
          </w:r>
          <w:r>
            <w:rPr>
              <w:rFonts w:hint="default" w:ascii="宋体" w:hAnsi="宋体" w:eastAsia="宋体" w:cs="宋体"/>
              <w:bCs/>
              <w:kern w:val="2"/>
              <w:szCs w:val="28"/>
              <w:lang w:val="en-US" w:eastAsia="zh-CN" w:bidi="ar-SA"/>
            </w:rPr>
            <w:t>5.1</w:t>
          </w:r>
          <w:r>
            <w:rPr>
              <w:rFonts w:hint="eastAsia"/>
              <w:szCs w:val="28"/>
            </w:rPr>
            <w:t>自然环境现状调查与评价</w:t>
          </w:r>
          <w:r>
            <w:tab/>
          </w:r>
          <w:r>
            <w:fldChar w:fldCharType="begin"/>
          </w:r>
          <w:r>
            <w:instrText xml:space="preserve"> PAGEREF _Toc29 \h </w:instrText>
          </w:r>
          <w:r>
            <w:fldChar w:fldCharType="separate"/>
          </w:r>
          <w:r>
            <w:t>- 137 -</w:t>
          </w:r>
          <w:r>
            <w:fldChar w:fldCharType="end"/>
          </w:r>
          <w:r>
            <w:rPr>
              <w:rFonts w:hint="eastAsia"/>
              <w:color w:val="FF0000"/>
              <w:szCs w:val="30"/>
            </w:rPr>
            <w:fldChar w:fldCharType="end"/>
          </w:r>
        </w:p>
        <w:p w14:paraId="1D12BEC5">
          <w:pPr>
            <w:pStyle w:val="25"/>
            <w:tabs>
              <w:tab w:val="right" w:leader="dot" w:pos="9070"/>
            </w:tabs>
          </w:pPr>
          <w:r>
            <w:rPr>
              <w:rFonts w:hint="eastAsia"/>
              <w:color w:val="FF0000"/>
              <w:szCs w:val="30"/>
            </w:rPr>
            <w:fldChar w:fldCharType="begin"/>
          </w:r>
          <w:r>
            <w:rPr>
              <w:rFonts w:hint="eastAsia"/>
              <w:szCs w:val="30"/>
            </w:rPr>
            <w:instrText xml:space="preserve"> HYPERLINK \l _Toc30044 </w:instrText>
          </w:r>
          <w:r>
            <w:rPr>
              <w:rFonts w:hint="eastAsia"/>
              <w:szCs w:val="30"/>
            </w:rPr>
            <w:fldChar w:fldCharType="separate"/>
          </w:r>
          <w:r>
            <w:rPr>
              <w:rFonts w:hint="default" w:ascii="宋体" w:hAnsi="宋体" w:eastAsia="宋体" w:cs="宋体"/>
              <w:bCs/>
              <w:kern w:val="2"/>
              <w:szCs w:val="28"/>
              <w:lang w:val="en-US" w:eastAsia="zh-CN" w:bidi="ar-SA"/>
            </w:rPr>
            <w:t>5.2</w:t>
          </w:r>
          <w:r>
            <w:rPr>
              <w:rFonts w:hint="eastAsia"/>
              <w:szCs w:val="28"/>
            </w:rPr>
            <w:t>环境质量现状调查与评价</w:t>
          </w:r>
          <w:r>
            <w:tab/>
          </w:r>
          <w:r>
            <w:fldChar w:fldCharType="begin"/>
          </w:r>
          <w:r>
            <w:instrText xml:space="preserve"> PAGEREF _Toc30044 \h </w:instrText>
          </w:r>
          <w:r>
            <w:fldChar w:fldCharType="separate"/>
          </w:r>
          <w:r>
            <w:t>- 140 -</w:t>
          </w:r>
          <w:r>
            <w:fldChar w:fldCharType="end"/>
          </w:r>
          <w:r>
            <w:rPr>
              <w:rFonts w:hint="eastAsia"/>
              <w:color w:val="FF0000"/>
              <w:szCs w:val="30"/>
            </w:rPr>
            <w:fldChar w:fldCharType="end"/>
          </w:r>
        </w:p>
        <w:p w14:paraId="5CE1E4FF">
          <w:pPr>
            <w:pStyle w:val="25"/>
            <w:tabs>
              <w:tab w:val="right" w:leader="dot" w:pos="9070"/>
            </w:tabs>
          </w:pPr>
          <w:r>
            <w:rPr>
              <w:rFonts w:hint="eastAsia"/>
              <w:color w:val="FF0000"/>
              <w:szCs w:val="30"/>
            </w:rPr>
            <w:fldChar w:fldCharType="begin"/>
          </w:r>
          <w:r>
            <w:rPr>
              <w:rFonts w:hint="eastAsia"/>
              <w:szCs w:val="30"/>
            </w:rPr>
            <w:instrText xml:space="preserve"> HYPERLINK \l _Toc31715 </w:instrText>
          </w:r>
          <w:r>
            <w:rPr>
              <w:rFonts w:hint="eastAsia"/>
              <w:szCs w:val="30"/>
            </w:rPr>
            <w:fldChar w:fldCharType="separate"/>
          </w:r>
          <w:r>
            <w:rPr>
              <w:rFonts w:hint="default" w:ascii="宋体" w:hAnsi="宋体" w:eastAsia="宋体" w:cs="宋体"/>
              <w:bCs/>
              <w:kern w:val="2"/>
              <w:szCs w:val="28"/>
              <w:lang w:val="en-US" w:eastAsia="zh-CN" w:bidi="ar-SA"/>
            </w:rPr>
            <w:t>5.3</w:t>
          </w:r>
          <w:r>
            <w:rPr>
              <w:rFonts w:hint="eastAsia"/>
              <w:szCs w:val="28"/>
            </w:rPr>
            <w:t>园区概况及与本项目有关原有污染情况调查</w:t>
          </w:r>
          <w:r>
            <w:tab/>
          </w:r>
          <w:r>
            <w:fldChar w:fldCharType="begin"/>
          </w:r>
          <w:r>
            <w:instrText xml:space="preserve"> PAGEREF _Toc31715 \h </w:instrText>
          </w:r>
          <w:r>
            <w:fldChar w:fldCharType="separate"/>
          </w:r>
          <w:r>
            <w:t>- 144 -</w:t>
          </w:r>
          <w:r>
            <w:fldChar w:fldCharType="end"/>
          </w:r>
          <w:r>
            <w:rPr>
              <w:rFonts w:hint="eastAsia"/>
              <w:color w:val="FF0000"/>
              <w:szCs w:val="30"/>
            </w:rPr>
            <w:fldChar w:fldCharType="end"/>
          </w:r>
        </w:p>
        <w:p w14:paraId="43A9997A">
          <w:pPr>
            <w:pStyle w:val="25"/>
            <w:tabs>
              <w:tab w:val="right" w:leader="dot" w:pos="9070"/>
            </w:tabs>
          </w:pPr>
          <w:r>
            <w:rPr>
              <w:rFonts w:hint="eastAsia"/>
              <w:color w:val="FF0000"/>
              <w:szCs w:val="30"/>
            </w:rPr>
            <w:fldChar w:fldCharType="begin"/>
          </w:r>
          <w:r>
            <w:rPr>
              <w:rFonts w:hint="eastAsia"/>
              <w:szCs w:val="30"/>
            </w:rPr>
            <w:instrText xml:space="preserve"> HYPERLINK \l _Toc26483 </w:instrText>
          </w:r>
          <w:r>
            <w:rPr>
              <w:rFonts w:hint="eastAsia"/>
              <w:szCs w:val="30"/>
            </w:rPr>
            <w:fldChar w:fldCharType="separate"/>
          </w:r>
          <w:r>
            <w:rPr>
              <w:rFonts w:hint="default" w:ascii="宋体" w:hAnsi="宋体" w:eastAsia="宋体" w:cs="宋体"/>
              <w:bCs/>
              <w:kern w:val="2"/>
              <w:szCs w:val="28"/>
              <w:lang w:val="en-US" w:eastAsia="zh-CN" w:bidi="ar-SA"/>
            </w:rPr>
            <w:t>5.4</w:t>
          </w:r>
          <w:r>
            <w:rPr>
              <w:rFonts w:hint="eastAsia"/>
              <w:szCs w:val="28"/>
            </w:rPr>
            <w:t>湘潭县顺业污水处理有限公司污水处理厂概况</w:t>
          </w:r>
          <w:r>
            <w:tab/>
          </w:r>
          <w:r>
            <w:fldChar w:fldCharType="begin"/>
          </w:r>
          <w:r>
            <w:instrText xml:space="preserve"> PAGEREF _Toc26483 \h </w:instrText>
          </w:r>
          <w:r>
            <w:fldChar w:fldCharType="separate"/>
          </w:r>
          <w:r>
            <w:t>- 151 -</w:t>
          </w:r>
          <w:r>
            <w:fldChar w:fldCharType="end"/>
          </w:r>
          <w:r>
            <w:rPr>
              <w:rFonts w:hint="eastAsia"/>
              <w:color w:val="FF0000"/>
              <w:szCs w:val="30"/>
            </w:rPr>
            <w:fldChar w:fldCharType="end"/>
          </w:r>
        </w:p>
        <w:p w14:paraId="20E5ADA9">
          <w:pPr>
            <w:pStyle w:val="25"/>
            <w:tabs>
              <w:tab w:val="right" w:leader="dot" w:pos="9070"/>
            </w:tabs>
          </w:pPr>
          <w:r>
            <w:rPr>
              <w:rFonts w:hint="eastAsia"/>
              <w:color w:val="FF0000"/>
              <w:szCs w:val="30"/>
            </w:rPr>
            <w:fldChar w:fldCharType="begin"/>
          </w:r>
          <w:r>
            <w:rPr>
              <w:rFonts w:hint="eastAsia"/>
              <w:szCs w:val="30"/>
            </w:rPr>
            <w:instrText xml:space="preserve"> HYPERLINK \l _Toc20870 </w:instrText>
          </w:r>
          <w:r>
            <w:rPr>
              <w:rFonts w:hint="eastAsia"/>
              <w:szCs w:val="30"/>
            </w:rPr>
            <w:fldChar w:fldCharType="separate"/>
          </w:r>
          <w:r>
            <w:rPr>
              <w:rFonts w:hint="default" w:ascii="宋体" w:hAnsi="宋体" w:eastAsia="宋体" w:cs="宋体"/>
              <w:bCs/>
              <w:kern w:val="2"/>
              <w:szCs w:val="28"/>
              <w:lang w:val="en-US" w:eastAsia="zh-CN" w:bidi="ar-SA"/>
            </w:rPr>
            <w:t>5.5</w:t>
          </w:r>
          <w:r>
            <w:rPr>
              <w:rFonts w:hint="eastAsia"/>
              <w:szCs w:val="28"/>
            </w:rPr>
            <w:t>区域污染源调查</w:t>
          </w:r>
          <w:r>
            <w:tab/>
          </w:r>
          <w:r>
            <w:fldChar w:fldCharType="begin"/>
          </w:r>
          <w:r>
            <w:instrText xml:space="preserve"> PAGEREF _Toc20870 \h </w:instrText>
          </w:r>
          <w:r>
            <w:fldChar w:fldCharType="separate"/>
          </w:r>
          <w:r>
            <w:t>- 151 -</w:t>
          </w:r>
          <w:r>
            <w:fldChar w:fldCharType="end"/>
          </w:r>
          <w:r>
            <w:rPr>
              <w:rFonts w:hint="eastAsia"/>
              <w:color w:val="FF0000"/>
              <w:szCs w:val="30"/>
            </w:rPr>
            <w:fldChar w:fldCharType="end"/>
          </w:r>
        </w:p>
        <w:p w14:paraId="6B0539E1">
          <w:pPr>
            <w:pStyle w:val="24"/>
            <w:tabs>
              <w:tab w:val="right" w:leader="dot" w:pos="9070"/>
            </w:tabs>
          </w:pPr>
          <w:r>
            <w:rPr>
              <w:rFonts w:hint="eastAsia"/>
              <w:color w:val="FF0000"/>
              <w:szCs w:val="30"/>
            </w:rPr>
            <w:fldChar w:fldCharType="begin"/>
          </w:r>
          <w:r>
            <w:rPr>
              <w:rFonts w:hint="eastAsia"/>
              <w:szCs w:val="30"/>
            </w:rPr>
            <w:instrText xml:space="preserve"> HYPERLINK \l _Toc20089 </w:instrText>
          </w:r>
          <w:r>
            <w:rPr>
              <w:rFonts w:hint="eastAsia"/>
              <w:szCs w:val="30"/>
            </w:rPr>
            <w:fldChar w:fldCharType="separate"/>
          </w:r>
          <w:r>
            <w:rPr>
              <w:rFonts w:hint="default" w:ascii="宋体" w:hAnsi="宋体" w:eastAsia="宋体" w:cs="宋体"/>
              <w:bCs/>
              <w:kern w:val="44"/>
              <w:szCs w:val="32"/>
              <w:lang w:val="en-US" w:eastAsia="zh-CN" w:bidi="ar-SA"/>
            </w:rPr>
            <w:t>第6章</w:t>
          </w:r>
          <w:r>
            <w:rPr>
              <w:rFonts w:hint="eastAsia"/>
            </w:rPr>
            <w:t>环境影响预测与评价</w:t>
          </w:r>
          <w:r>
            <w:tab/>
          </w:r>
          <w:r>
            <w:fldChar w:fldCharType="begin"/>
          </w:r>
          <w:r>
            <w:instrText xml:space="preserve"> PAGEREF _Toc20089 \h </w:instrText>
          </w:r>
          <w:r>
            <w:fldChar w:fldCharType="separate"/>
          </w:r>
          <w:r>
            <w:t>- 156 -</w:t>
          </w:r>
          <w:r>
            <w:fldChar w:fldCharType="end"/>
          </w:r>
          <w:r>
            <w:rPr>
              <w:rFonts w:hint="eastAsia"/>
              <w:color w:val="FF0000"/>
              <w:szCs w:val="30"/>
            </w:rPr>
            <w:fldChar w:fldCharType="end"/>
          </w:r>
        </w:p>
        <w:p w14:paraId="1727E792">
          <w:pPr>
            <w:pStyle w:val="25"/>
            <w:tabs>
              <w:tab w:val="right" w:leader="dot" w:pos="9070"/>
            </w:tabs>
          </w:pPr>
          <w:r>
            <w:rPr>
              <w:rFonts w:hint="eastAsia"/>
              <w:color w:val="FF0000"/>
              <w:szCs w:val="30"/>
            </w:rPr>
            <w:fldChar w:fldCharType="begin"/>
          </w:r>
          <w:r>
            <w:rPr>
              <w:rFonts w:hint="eastAsia"/>
              <w:szCs w:val="30"/>
            </w:rPr>
            <w:instrText xml:space="preserve"> HYPERLINK \l _Toc8653 </w:instrText>
          </w:r>
          <w:r>
            <w:rPr>
              <w:rFonts w:hint="eastAsia"/>
              <w:szCs w:val="30"/>
            </w:rPr>
            <w:fldChar w:fldCharType="separate"/>
          </w:r>
          <w:r>
            <w:rPr>
              <w:rFonts w:hint="default" w:ascii="宋体" w:hAnsi="宋体" w:eastAsia="宋体" w:cs="宋体"/>
              <w:bCs/>
              <w:kern w:val="2"/>
              <w:szCs w:val="28"/>
              <w:lang w:val="en-US" w:eastAsia="zh-CN" w:bidi="ar-SA"/>
            </w:rPr>
            <w:t>6.1</w:t>
          </w:r>
          <w:r>
            <w:rPr>
              <w:rFonts w:hint="eastAsia"/>
              <w:szCs w:val="28"/>
            </w:rPr>
            <w:t>施工期环境影响预测与评价</w:t>
          </w:r>
          <w:r>
            <w:tab/>
          </w:r>
          <w:r>
            <w:fldChar w:fldCharType="begin"/>
          </w:r>
          <w:r>
            <w:instrText xml:space="preserve"> PAGEREF _Toc8653 \h </w:instrText>
          </w:r>
          <w:r>
            <w:fldChar w:fldCharType="separate"/>
          </w:r>
          <w:r>
            <w:t>- 156 -</w:t>
          </w:r>
          <w:r>
            <w:fldChar w:fldCharType="end"/>
          </w:r>
          <w:r>
            <w:rPr>
              <w:rFonts w:hint="eastAsia"/>
              <w:color w:val="FF0000"/>
              <w:szCs w:val="30"/>
            </w:rPr>
            <w:fldChar w:fldCharType="end"/>
          </w:r>
        </w:p>
        <w:p w14:paraId="1AE6C575">
          <w:pPr>
            <w:pStyle w:val="25"/>
            <w:tabs>
              <w:tab w:val="right" w:leader="dot" w:pos="9070"/>
            </w:tabs>
          </w:pPr>
          <w:r>
            <w:rPr>
              <w:rFonts w:hint="eastAsia"/>
              <w:color w:val="FF0000"/>
              <w:szCs w:val="30"/>
            </w:rPr>
            <w:fldChar w:fldCharType="begin"/>
          </w:r>
          <w:r>
            <w:rPr>
              <w:rFonts w:hint="eastAsia"/>
              <w:szCs w:val="30"/>
            </w:rPr>
            <w:instrText xml:space="preserve"> HYPERLINK \l _Toc5685 </w:instrText>
          </w:r>
          <w:r>
            <w:rPr>
              <w:rFonts w:hint="eastAsia"/>
              <w:szCs w:val="30"/>
            </w:rPr>
            <w:fldChar w:fldCharType="separate"/>
          </w:r>
          <w:r>
            <w:rPr>
              <w:rFonts w:hint="default" w:ascii="宋体" w:hAnsi="宋体" w:eastAsia="宋体" w:cs="宋体"/>
              <w:bCs/>
              <w:kern w:val="2"/>
              <w:szCs w:val="28"/>
              <w:lang w:val="en-US" w:eastAsia="zh-CN" w:bidi="ar-SA"/>
            </w:rPr>
            <w:t>6.2</w:t>
          </w:r>
          <w:r>
            <w:rPr>
              <w:rFonts w:hint="eastAsia"/>
              <w:szCs w:val="28"/>
            </w:rPr>
            <w:t>运营期环境影响预测与评价</w:t>
          </w:r>
          <w:r>
            <w:tab/>
          </w:r>
          <w:r>
            <w:fldChar w:fldCharType="begin"/>
          </w:r>
          <w:r>
            <w:instrText xml:space="preserve"> PAGEREF _Toc5685 \h </w:instrText>
          </w:r>
          <w:r>
            <w:fldChar w:fldCharType="separate"/>
          </w:r>
          <w:r>
            <w:t>- 156 -</w:t>
          </w:r>
          <w:r>
            <w:fldChar w:fldCharType="end"/>
          </w:r>
          <w:r>
            <w:rPr>
              <w:rFonts w:hint="eastAsia"/>
              <w:color w:val="FF0000"/>
              <w:szCs w:val="30"/>
            </w:rPr>
            <w:fldChar w:fldCharType="end"/>
          </w:r>
        </w:p>
        <w:p w14:paraId="55A47051">
          <w:pPr>
            <w:pStyle w:val="24"/>
            <w:tabs>
              <w:tab w:val="right" w:leader="dot" w:pos="9070"/>
            </w:tabs>
          </w:pPr>
          <w:r>
            <w:rPr>
              <w:rFonts w:hint="eastAsia"/>
              <w:color w:val="FF0000"/>
              <w:szCs w:val="30"/>
            </w:rPr>
            <w:fldChar w:fldCharType="begin"/>
          </w:r>
          <w:r>
            <w:rPr>
              <w:rFonts w:hint="eastAsia"/>
              <w:szCs w:val="30"/>
            </w:rPr>
            <w:instrText xml:space="preserve"> HYPERLINK \l _Toc18177 </w:instrText>
          </w:r>
          <w:r>
            <w:rPr>
              <w:rFonts w:hint="eastAsia"/>
              <w:szCs w:val="30"/>
            </w:rPr>
            <w:fldChar w:fldCharType="separate"/>
          </w:r>
          <w:r>
            <w:rPr>
              <w:rFonts w:hint="default" w:ascii="宋体" w:hAnsi="宋体" w:eastAsia="宋体" w:cs="宋体"/>
              <w:bCs/>
              <w:kern w:val="44"/>
              <w:szCs w:val="32"/>
              <w:lang w:val="en-US" w:eastAsia="zh-CN" w:bidi="ar-SA"/>
            </w:rPr>
            <w:t>第7章</w:t>
          </w:r>
          <w:r>
            <w:rPr>
              <w:rFonts w:hint="eastAsia"/>
            </w:rPr>
            <w:t>环境风险评价</w:t>
          </w:r>
          <w:r>
            <w:tab/>
          </w:r>
          <w:r>
            <w:fldChar w:fldCharType="begin"/>
          </w:r>
          <w:r>
            <w:instrText xml:space="preserve"> PAGEREF _Toc18177 \h </w:instrText>
          </w:r>
          <w:r>
            <w:fldChar w:fldCharType="separate"/>
          </w:r>
          <w:r>
            <w:t>- 219 -</w:t>
          </w:r>
          <w:r>
            <w:fldChar w:fldCharType="end"/>
          </w:r>
          <w:r>
            <w:rPr>
              <w:rFonts w:hint="eastAsia"/>
              <w:color w:val="FF0000"/>
              <w:szCs w:val="30"/>
            </w:rPr>
            <w:fldChar w:fldCharType="end"/>
          </w:r>
        </w:p>
        <w:p w14:paraId="65041A77">
          <w:pPr>
            <w:pStyle w:val="25"/>
            <w:tabs>
              <w:tab w:val="right" w:leader="dot" w:pos="9070"/>
            </w:tabs>
          </w:pPr>
          <w:r>
            <w:rPr>
              <w:rFonts w:hint="eastAsia"/>
              <w:color w:val="FF0000"/>
              <w:szCs w:val="30"/>
            </w:rPr>
            <w:fldChar w:fldCharType="begin"/>
          </w:r>
          <w:r>
            <w:rPr>
              <w:rFonts w:hint="eastAsia"/>
              <w:szCs w:val="30"/>
            </w:rPr>
            <w:instrText xml:space="preserve"> HYPERLINK \l _Toc16134 </w:instrText>
          </w:r>
          <w:r>
            <w:rPr>
              <w:rFonts w:hint="eastAsia"/>
              <w:szCs w:val="30"/>
            </w:rPr>
            <w:fldChar w:fldCharType="separate"/>
          </w:r>
          <w:r>
            <w:rPr>
              <w:rFonts w:hint="default" w:ascii="宋体" w:hAnsi="宋体" w:eastAsia="宋体" w:cs="宋体"/>
              <w:bCs/>
              <w:kern w:val="2"/>
              <w:szCs w:val="28"/>
              <w:lang w:val="en-US" w:eastAsia="zh-CN" w:bidi="ar-SA"/>
            </w:rPr>
            <w:t>7.1</w:t>
          </w:r>
          <w:r>
            <w:rPr>
              <w:rFonts w:hint="eastAsia"/>
              <w:szCs w:val="28"/>
            </w:rPr>
            <w:t>评价目的及重点</w:t>
          </w:r>
          <w:r>
            <w:tab/>
          </w:r>
          <w:r>
            <w:fldChar w:fldCharType="begin"/>
          </w:r>
          <w:r>
            <w:instrText xml:space="preserve"> PAGEREF _Toc16134 \h </w:instrText>
          </w:r>
          <w:r>
            <w:fldChar w:fldCharType="separate"/>
          </w:r>
          <w:r>
            <w:t>- 219 -</w:t>
          </w:r>
          <w:r>
            <w:fldChar w:fldCharType="end"/>
          </w:r>
          <w:r>
            <w:rPr>
              <w:rFonts w:hint="eastAsia"/>
              <w:color w:val="FF0000"/>
              <w:szCs w:val="30"/>
            </w:rPr>
            <w:fldChar w:fldCharType="end"/>
          </w:r>
        </w:p>
        <w:p w14:paraId="58D194C9">
          <w:pPr>
            <w:pStyle w:val="25"/>
            <w:tabs>
              <w:tab w:val="right" w:leader="dot" w:pos="9070"/>
            </w:tabs>
          </w:pPr>
          <w:r>
            <w:rPr>
              <w:rFonts w:hint="eastAsia"/>
              <w:color w:val="FF0000"/>
              <w:szCs w:val="30"/>
            </w:rPr>
            <w:fldChar w:fldCharType="begin"/>
          </w:r>
          <w:r>
            <w:rPr>
              <w:rFonts w:hint="eastAsia"/>
              <w:szCs w:val="30"/>
            </w:rPr>
            <w:instrText xml:space="preserve"> HYPERLINK \l _Toc23147 </w:instrText>
          </w:r>
          <w:r>
            <w:rPr>
              <w:rFonts w:hint="eastAsia"/>
              <w:szCs w:val="30"/>
            </w:rPr>
            <w:fldChar w:fldCharType="separate"/>
          </w:r>
          <w:r>
            <w:rPr>
              <w:rFonts w:hint="default" w:ascii="宋体" w:hAnsi="宋体" w:eastAsia="宋体" w:cs="宋体"/>
              <w:bCs/>
              <w:kern w:val="2"/>
              <w:szCs w:val="28"/>
              <w:lang w:val="en-US" w:eastAsia="zh-CN" w:bidi="ar-SA"/>
            </w:rPr>
            <w:t>7.2</w:t>
          </w:r>
          <w:r>
            <w:rPr>
              <w:rFonts w:hint="eastAsia"/>
              <w:szCs w:val="28"/>
            </w:rPr>
            <w:t>风险调查</w:t>
          </w:r>
          <w:r>
            <w:tab/>
          </w:r>
          <w:r>
            <w:fldChar w:fldCharType="begin"/>
          </w:r>
          <w:r>
            <w:instrText xml:space="preserve"> PAGEREF _Toc23147 \h </w:instrText>
          </w:r>
          <w:r>
            <w:fldChar w:fldCharType="separate"/>
          </w:r>
          <w:r>
            <w:t>- 219 -</w:t>
          </w:r>
          <w:r>
            <w:fldChar w:fldCharType="end"/>
          </w:r>
          <w:r>
            <w:rPr>
              <w:rFonts w:hint="eastAsia"/>
              <w:color w:val="FF0000"/>
              <w:szCs w:val="30"/>
            </w:rPr>
            <w:fldChar w:fldCharType="end"/>
          </w:r>
        </w:p>
        <w:p w14:paraId="6C5CCC7A">
          <w:pPr>
            <w:pStyle w:val="25"/>
            <w:tabs>
              <w:tab w:val="right" w:leader="dot" w:pos="9070"/>
            </w:tabs>
          </w:pPr>
          <w:r>
            <w:rPr>
              <w:rFonts w:hint="eastAsia"/>
              <w:color w:val="FF0000"/>
              <w:szCs w:val="30"/>
            </w:rPr>
            <w:fldChar w:fldCharType="begin"/>
          </w:r>
          <w:r>
            <w:rPr>
              <w:rFonts w:hint="eastAsia"/>
              <w:szCs w:val="30"/>
            </w:rPr>
            <w:instrText xml:space="preserve"> HYPERLINK \l _Toc21965 </w:instrText>
          </w:r>
          <w:r>
            <w:rPr>
              <w:rFonts w:hint="eastAsia"/>
              <w:szCs w:val="30"/>
            </w:rPr>
            <w:fldChar w:fldCharType="separate"/>
          </w:r>
          <w:r>
            <w:rPr>
              <w:rFonts w:hint="default" w:ascii="宋体" w:hAnsi="宋体" w:eastAsia="宋体" w:cs="宋体"/>
              <w:bCs/>
              <w:kern w:val="2"/>
              <w:szCs w:val="28"/>
              <w:lang w:val="en-US" w:eastAsia="zh-CN" w:bidi="ar-SA"/>
            </w:rPr>
            <w:t>7.3</w:t>
          </w:r>
          <w:r>
            <w:rPr>
              <w:rFonts w:hint="eastAsia"/>
              <w:szCs w:val="28"/>
            </w:rPr>
            <w:t>环境敏感目标</w:t>
          </w:r>
          <w:r>
            <w:tab/>
          </w:r>
          <w:r>
            <w:fldChar w:fldCharType="begin"/>
          </w:r>
          <w:r>
            <w:instrText xml:space="preserve"> PAGEREF _Toc21965 \h </w:instrText>
          </w:r>
          <w:r>
            <w:fldChar w:fldCharType="separate"/>
          </w:r>
          <w:r>
            <w:t>- 226 -</w:t>
          </w:r>
          <w:r>
            <w:fldChar w:fldCharType="end"/>
          </w:r>
          <w:r>
            <w:rPr>
              <w:rFonts w:hint="eastAsia"/>
              <w:color w:val="FF0000"/>
              <w:szCs w:val="30"/>
            </w:rPr>
            <w:fldChar w:fldCharType="end"/>
          </w:r>
        </w:p>
        <w:p w14:paraId="5CD0724B">
          <w:pPr>
            <w:pStyle w:val="25"/>
            <w:tabs>
              <w:tab w:val="right" w:leader="dot" w:pos="9070"/>
            </w:tabs>
          </w:pPr>
          <w:r>
            <w:rPr>
              <w:rFonts w:hint="eastAsia"/>
              <w:color w:val="FF0000"/>
              <w:szCs w:val="30"/>
            </w:rPr>
            <w:fldChar w:fldCharType="begin"/>
          </w:r>
          <w:r>
            <w:rPr>
              <w:rFonts w:hint="eastAsia"/>
              <w:szCs w:val="30"/>
            </w:rPr>
            <w:instrText xml:space="preserve"> HYPERLINK \l _Toc13094 </w:instrText>
          </w:r>
          <w:r>
            <w:rPr>
              <w:rFonts w:hint="eastAsia"/>
              <w:szCs w:val="30"/>
            </w:rPr>
            <w:fldChar w:fldCharType="separate"/>
          </w:r>
          <w:r>
            <w:rPr>
              <w:rFonts w:hint="default" w:ascii="宋体" w:hAnsi="宋体" w:eastAsia="宋体" w:cs="宋体"/>
              <w:bCs/>
              <w:kern w:val="2"/>
              <w:szCs w:val="28"/>
              <w:lang w:val="en-US" w:eastAsia="zh-CN" w:bidi="ar-SA"/>
            </w:rPr>
            <w:t>7.4</w:t>
          </w:r>
          <w:r>
            <w:rPr>
              <w:rFonts w:hint="eastAsia"/>
              <w:szCs w:val="28"/>
            </w:rPr>
            <w:t>环境风险识别</w:t>
          </w:r>
          <w:r>
            <w:tab/>
          </w:r>
          <w:r>
            <w:fldChar w:fldCharType="begin"/>
          </w:r>
          <w:r>
            <w:instrText xml:space="preserve"> PAGEREF _Toc13094 \h </w:instrText>
          </w:r>
          <w:r>
            <w:fldChar w:fldCharType="separate"/>
          </w:r>
          <w:r>
            <w:t>- 228 -</w:t>
          </w:r>
          <w:r>
            <w:fldChar w:fldCharType="end"/>
          </w:r>
          <w:r>
            <w:rPr>
              <w:rFonts w:hint="eastAsia"/>
              <w:color w:val="FF0000"/>
              <w:szCs w:val="30"/>
            </w:rPr>
            <w:fldChar w:fldCharType="end"/>
          </w:r>
        </w:p>
        <w:p w14:paraId="1D859FF7">
          <w:pPr>
            <w:pStyle w:val="25"/>
            <w:tabs>
              <w:tab w:val="right" w:leader="dot" w:pos="9070"/>
            </w:tabs>
          </w:pPr>
          <w:r>
            <w:rPr>
              <w:rFonts w:hint="eastAsia"/>
              <w:color w:val="FF0000"/>
              <w:szCs w:val="30"/>
            </w:rPr>
            <w:fldChar w:fldCharType="begin"/>
          </w:r>
          <w:r>
            <w:rPr>
              <w:rFonts w:hint="eastAsia"/>
              <w:szCs w:val="30"/>
            </w:rPr>
            <w:instrText xml:space="preserve"> HYPERLINK \l _Toc17423 </w:instrText>
          </w:r>
          <w:r>
            <w:rPr>
              <w:rFonts w:hint="eastAsia"/>
              <w:szCs w:val="30"/>
            </w:rPr>
            <w:fldChar w:fldCharType="separate"/>
          </w:r>
          <w:r>
            <w:rPr>
              <w:rFonts w:hint="default" w:ascii="宋体" w:hAnsi="宋体" w:eastAsia="宋体" w:cs="宋体"/>
              <w:bCs/>
              <w:kern w:val="2"/>
              <w:szCs w:val="28"/>
              <w:lang w:val="en-US" w:eastAsia="zh-CN" w:bidi="ar-SA"/>
            </w:rPr>
            <w:t>7.5</w:t>
          </w:r>
          <w:r>
            <w:rPr>
              <w:rFonts w:hint="eastAsia"/>
              <w:szCs w:val="28"/>
            </w:rPr>
            <w:t>环境风险分析</w:t>
          </w:r>
          <w:r>
            <w:tab/>
          </w:r>
          <w:r>
            <w:fldChar w:fldCharType="begin"/>
          </w:r>
          <w:r>
            <w:instrText xml:space="preserve"> PAGEREF _Toc17423 \h </w:instrText>
          </w:r>
          <w:r>
            <w:fldChar w:fldCharType="separate"/>
          </w:r>
          <w:r>
            <w:t>- 234 -</w:t>
          </w:r>
          <w:r>
            <w:fldChar w:fldCharType="end"/>
          </w:r>
          <w:r>
            <w:rPr>
              <w:rFonts w:hint="eastAsia"/>
              <w:color w:val="FF0000"/>
              <w:szCs w:val="30"/>
            </w:rPr>
            <w:fldChar w:fldCharType="end"/>
          </w:r>
        </w:p>
        <w:p w14:paraId="236358C8">
          <w:pPr>
            <w:pStyle w:val="25"/>
            <w:tabs>
              <w:tab w:val="right" w:leader="dot" w:pos="9070"/>
            </w:tabs>
          </w:pPr>
          <w:r>
            <w:rPr>
              <w:rFonts w:hint="eastAsia"/>
              <w:color w:val="FF0000"/>
              <w:szCs w:val="30"/>
            </w:rPr>
            <w:fldChar w:fldCharType="begin"/>
          </w:r>
          <w:r>
            <w:rPr>
              <w:rFonts w:hint="eastAsia"/>
              <w:szCs w:val="30"/>
            </w:rPr>
            <w:instrText xml:space="preserve"> HYPERLINK \l _Toc4139 </w:instrText>
          </w:r>
          <w:r>
            <w:rPr>
              <w:rFonts w:hint="eastAsia"/>
              <w:szCs w:val="30"/>
            </w:rPr>
            <w:fldChar w:fldCharType="separate"/>
          </w:r>
          <w:r>
            <w:rPr>
              <w:rFonts w:hint="default" w:ascii="宋体" w:hAnsi="宋体" w:eastAsia="宋体" w:cs="宋体"/>
              <w:bCs/>
              <w:kern w:val="2"/>
              <w:szCs w:val="28"/>
              <w:lang w:val="en-US" w:eastAsia="zh-CN" w:bidi="ar-SA"/>
            </w:rPr>
            <w:t>7.6</w:t>
          </w:r>
          <w:r>
            <w:rPr>
              <w:rFonts w:hint="eastAsia"/>
              <w:szCs w:val="28"/>
            </w:rPr>
            <w:t>事故后果分析</w:t>
          </w:r>
          <w:r>
            <w:tab/>
          </w:r>
          <w:r>
            <w:fldChar w:fldCharType="begin"/>
          </w:r>
          <w:r>
            <w:instrText xml:space="preserve"> PAGEREF _Toc4139 \h </w:instrText>
          </w:r>
          <w:r>
            <w:fldChar w:fldCharType="separate"/>
          </w:r>
          <w:r>
            <w:t>- 236 -</w:t>
          </w:r>
          <w:r>
            <w:fldChar w:fldCharType="end"/>
          </w:r>
          <w:r>
            <w:rPr>
              <w:rFonts w:hint="eastAsia"/>
              <w:color w:val="FF0000"/>
              <w:szCs w:val="30"/>
            </w:rPr>
            <w:fldChar w:fldCharType="end"/>
          </w:r>
        </w:p>
        <w:p w14:paraId="69905752">
          <w:pPr>
            <w:pStyle w:val="25"/>
            <w:tabs>
              <w:tab w:val="right" w:leader="dot" w:pos="9070"/>
            </w:tabs>
          </w:pPr>
          <w:r>
            <w:rPr>
              <w:rFonts w:hint="eastAsia"/>
              <w:color w:val="FF0000"/>
              <w:szCs w:val="30"/>
            </w:rPr>
            <w:fldChar w:fldCharType="begin"/>
          </w:r>
          <w:r>
            <w:rPr>
              <w:rFonts w:hint="eastAsia"/>
              <w:szCs w:val="30"/>
            </w:rPr>
            <w:instrText xml:space="preserve"> HYPERLINK \l _Toc576 </w:instrText>
          </w:r>
          <w:r>
            <w:rPr>
              <w:rFonts w:hint="eastAsia"/>
              <w:szCs w:val="30"/>
            </w:rPr>
            <w:fldChar w:fldCharType="separate"/>
          </w:r>
          <w:r>
            <w:rPr>
              <w:rFonts w:hint="default" w:ascii="宋体" w:hAnsi="宋体" w:eastAsia="宋体" w:cs="宋体"/>
              <w:bCs/>
              <w:kern w:val="2"/>
              <w:szCs w:val="28"/>
              <w:lang w:val="en-US" w:eastAsia="zh-CN" w:bidi="ar-SA"/>
            </w:rPr>
            <w:t>7.7</w:t>
          </w:r>
          <w:r>
            <w:rPr>
              <w:rFonts w:hint="eastAsia"/>
              <w:szCs w:val="28"/>
            </w:rPr>
            <w:t>环境风险防范措施及应急要求</w:t>
          </w:r>
          <w:r>
            <w:tab/>
          </w:r>
          <w:r>
            <w:fldChar w:fldCharType="begin"/>
          </w:r>
          <w:r>
            <w:instrText xml:space="preserve"> PAGEREF _Toc576 \h </w:instrText>
          </w:r>
          <w:r>
            <w:fldChar w:fldCharType="separate"/>
          </w:r>
          <w:r>
            <w:t>- 237 -</w:t>
          </w:r>
          <w:r>
            <w:fldChar w:fldCharType="end"/>
          </w:r>
          <w:r>
            <w:rPr>
              <w:rFonts w:hint="eastAsia"/>
              <w:color w:val="FF0000"/>
              <w:szCs w:val="30"/>
            </w:rPr>
            <w:fldChar w:fldCharType="end"/>
          </w:r>
        </w:p>
        <w:p w14:paraId="4D06BA9B">
          <w:pPr>
            <w:pStyle w:val="25"/>
            <w:tabs>
              <w:tab w:val="right" w:leader="dot" w:pos="9070"/>
            </w:tabs>
          </w:pPr>
          <w:r>
            <w:rPr>
              <w:rFonts w:hint="eastAsia"/>
              <w:color w:val="FF0000"/>
              <w:szCs w:val="30"/>
            </w:rPr>
            <w:fldChar w:fldCharType="begin"/>
          </w:r>
          <w:r>
            <w:rPr>
              <w:rFonts w:hint="eastAsia"/>
              <w:szCs w:val="30"/>
            </w:rPr>
            <w:instrText xml:space="preserve"> HYPERLINK \l _Toc28663 </w:instrText>
          </w:r>
          <w:r>
            <w:rPr>
              <w:rFonts w:hint="eastAsia"/>
              <w:szCs w:val="30"/>
            </w:rPr>
            <w:fldChar w:fldCharType="separate"/>
          </w:r>
          <w:r>
            <w:rPr>
              <w:rFonts w:hint="default" w:ascii="宋体" w:hAnsi="宋体" w:eastAsia="宋体" w:cs="宋体"/>
              <w:bCs/>
              <w:kern w:val="2"/>
              <w:szCs w:val="28"/>
              <w:lang w:val="en-US" w:eastAsia="zh-CN" w:bidi="ar-SA"/>
            </w:rPr>
            <w:t>7.8</w:t>
          </w:r>
          <w:r>
            <w:rPr>
              <w:rFonts w:hint="eastAsia"/>
              <w:szCs w:val="28"/>
            </w:rPr>
            <w:t>应急预案</w:t>
          </w:r>
          <w:r>
            <w:tab/>
          </w:r>
          <w:r>
            <w:fldChar w:fldCharType="begin"/>
          </w:r>
          <w:r>
            <w:instrText xml:space="preserve"> PAGEREF _Toc28663 \h </w:instrText>
          </w:r>
          <w:r>
            <w:fldChar w:fldCharType="separate"/>
          </w:r>
          <w:r>
            <w:t>- 243 -</w:t>
          </w:r>
          <w:r>
            <w:fldChar w:fldCharType="end"/>
          </w:r>
          <w:r>
            <w:rPr>
              <w:rFonts w:hint="eastAsia"/>
              <w:color w:val="FF0000"/>
              <w:szCs w:val="30"/>
            </w:rPr>
            <w:fldChar w:fldCharType="end"/>
          </w:r>
        </w:p>
        <w:p w14:paraId="4A6AA15B">
          <w:pPr>
            <w:pStyle w:val="25"/>
            <w:tabs>
              <w:tab w:val="right" w:leader="dot" w:pos="9070"/>
            </w:tabs>
          </w:pPr>
          <w:r>
            <w:rPr>
              <w:rFonts w:hint="eastAsia"/>
              <w:color w:val="FF0000"/>
              <w:szCs w:val="30"/>
            </w:rPr>
            <w:fldChar w:fldCharType="begin"/>
          </w:r>
          <w:r>
            <w:rPr>
              <w:rFonts w:hint="eastAsia"/>
              <w:szCs w:val="30"/>
            </w:rPr>
            <w:instrText xml:space="preserve"> HYPERLINK \l _Toc17754 </w:instrText>
          </w:r>
          <w:r>
            <w:rPr>
              <w:rFonts w:hint="eastAsia"/>
              <w:szCs w:val="30"/>
            </w:rPr>
            <w:fldChar w:fldCharType="separate"/>
          </w:r>
          <w:r>
            <w:rPr>
              <w:rFonts w:hint="default" w:ascii="宋体" w:hAnsi="宋体" w:eastAsia="宋体" w:cs="宋体"/>
              <w:bCs/>
              <w:kern w:val="2"/>
              <w:szCs w:val="28"/>
              <w:lang w:val="en-US" w:eastAsia="zh-CN" w:bidi="ar-SA"/>
            </w:rPr>
            <w:t>7.9</w:t>
          </w:r>
          <w:r>
            <w:rPr>
              <w:rFonts w:hint="eastAsia"/>
              <w:szCs w:val="28"/>
            </w:rPr>
            <w:t>分析结论</w:t>
          </w:r>
          <w:r>
            <w:tab/>
          </w:r>
          <w:r>
            <w:fldChar w:fldCharType="begin"/>
          </w:r>
          <w:r>
            <w:instrText xml:space="preserve"> PAGEREF _Toc17754 \h </w:instrText>
          </w:r>
          <w:r>
            <w:fldChar w:fldCharType="separate"/>
          </w:r>
          <w:r>
            <w:t>- 246 -</w:t>
          </w:r>
          <w:r>
            <w:fldChar w:fldCharType="end"/>
          </w:r>
          <w:r>
            <w:rPr>
              <w:rFonts w:hint="eastAsia"/>
              <w:color w:val="FF0000"/>
              <w:szCs w:val="30"/>
            </w:rPr>
            <w:fldChar w:fldCharType="end"/>
          </w:r>
        </w:p>
        <w:p w14:paraId="3E78B9A9">
          <w:pPr>
            <w:pStyle w:val="24"/>
            <w:tabs>
              <w:tab w:val="right" w:leader="dot" w:pos="9070"/>
            </w:tabs>
          </w:pPr>
          <w:r>
            <w:rPr>
              <w:rFonts w:hint="eastAsia"/>
              <w:color w:val="FF0000"/>
              <w:szCs w:val="30"/>
            </w:rPr>
            <w:fldChar w:fldCharType="begin"/>
          </w:r>
          <w:r>
            <w:rPr>
              <w:rFonts w:hint="eastAsia"/>
              <w:szCs w:val="30"/>
            </w:rPr>
            <w:instrText xml:space="preserve"> HYPERLINK \l _Toc27209 </w:instrText>
          </w:r>
          <w:r>
            <w:rPr>
              <w:rFonts w:hint="eastAsia"/>
              <w:szCs w:val="30"/>
            </w:rPr>
            <w:fldChar w:fldCharType="separate"/>
          </w:r>
          <w:r>
            <w:rPr>
              <w:rFonts w:hint="default" w:ascii="宋体" w:hAnsi="宋体" w:eastAsia="宋体" w:cs="宋体"/>
              <w:bCs/>
              <w:kern w:val="44"/>
              <w:szCs w:val="32"/>
              <w:lang w:val="en-US" w:eastAsia="zh-CN" w:bidi="ar-SA"/>
            </w:rPr>
            <w:t>第8章</w:t>
          </w:r>
          <w:r>
            <w:rPr>
              <w:rFonts w:hint="eastAsia"/>
            </w:rPr>
            <w:t>环境保护措施及可行性论证</w:t>
          </w:r>
          <w:r>
            <w:tab/>
          </w:r>
          <w:r>
            <w:fldChar w:fldCharType="begin"/>
          </w:r>
          <w:r>
            <w:instrText xml:space="preserve"> PAGEREF _Toc27209 \h </w:instrText>
          </w:r>
          <w:r>
            <w:fldChar w:fldCharType="separate"/>
          </w:r>
          <w:r>
            <w:t>- 248 -</w:t>
          </w:r>
          <w:r>
            <w:fldChar w:fldCharType="end"/>
          </w:r>
          <w:r>
            <w:rPr>
              <w:rFonts w:hint="eastAsia"/>
              <w:color w:val="FF0000"/>
              <w:szCs w:val="30"/>
            </w:rPr>
            <w:fldChar w:fldCharType="end"/>
          </w:r>
        </w:p>
        <w:p w14:paraId="742E3CBF">
          <w:pPr>
            <w:pStyle w:val="25"/>
            <w:tabs>
              <w:tab w:val="right" w:leader="dot" w:pos="9070"/>
            </w:tabs>
          </w:pPr>
          <w:r>
            <w:rPr>
              <w:rFonts w:hint="eastAsia"/>
              <w:color w:val="FF0000"/>
              <w:szCs w:val="30"/>
            </w:rPr>
            <w:fldChar w:fldCharType="begin"/>
          </w:r>
          <w:r>
            <w:rPr>
              <w:rFonts w:hint="eastAsia"/>
              <w:szCs w:val="30"/>
            </w:rPr>
            <w:instrText xml:space="preserve"> HYPERLINK \l _Toc18983 </w:instrText>
          </w:r>
          <w:r>
            <w:rPr>
              <w:rFonts w:hint="eastAsia"/>
              <w:szCs w:val="30"/>
            </w:rPr>
            <w:fldChar w:fldCharType="separate"/>
          </w:r>
          <w:r>
            <w:rPr>
              <w:rFonts w:hint="default" w:ascii="宋体" w:hAnsi="宋体" w:eastAsia="宋体" w:cs="宋体"/>
              <w:bCs/>
              <w:kern w:val="2"/>
              <w:szCs w:val="28"/>
              <w:lang w:val="en-US" w:eastAsia="zh-CN" w:bidi="ar-SA"/>
            </w:rPr>
            <w:t>8.1</w:t>
          </w:r>
          <w:r>
            <w:rPr>
              <w:rFonts w:hint="eastAsia"/>
              <w:szCs w:val="28"/>
            </w:rPr>
            <w:t>施工期环境保护措施评述</w:t>
          </w:r>
          <w:r>
            <w:tab/>
          </w:r>
          <w:r>
            <w:fldChar w:fldCharType="begin"/>
          </w:r>
          <w:r>
            <w:instrText xml:space="preserve"> PAGEREF _Toc18983 \h </w:instrText>
          </w:r>
          <w:r>
            <w:fldChar w:fldCharType="separate"/>
          </w:r>
          <w:r>
            <w:t>- 248 -</w:t>
          </w:r>
          <w:r>
            <w:fldChar w:fldCharType="end"/>
          </w:r>
          <w:r>
            <w:rPr>
              <w:rFonts w:hint="eastAsia"/>
              <w:color w:val="FF0000"/>
              <w:szCs w:val="30"/>
            </w:rPr>
            <w:fldChar w:fldCharType="end"/>
          </w:r>
        </w:p>
        <w:p w14:paraId="38BD6664">
          <w:pPr>
            <w:pStyle w:val="25"/>
            <w:tabs>
              <w:tab w:val="right" w:leader="dot" w:pos="9070"/>
            </w:tabs>
          </w:pPr>
          <w:r>
            <w:rPr>
              <w:rFonts w:hint="eastAsia"/>
              <w:color w:val="FF0000"/>
              <w:szCs w:val="30"/>
            </w:rPr>
            <w:fldChar w:fldCharType="begin"/>
          </w:r>
          <w:r>
            <w:rPr>
              <w:rFonts w:hint="eastAsia"/>
              <w:szCs w:val="30"/>
            </w:rPr>
            <w:instrText xml:space="preserve"> HYPERLINK \l _Toc17594 </w:instrText>
          </w:r>
          <w:r>
            <w:rPr>
              <w:rFonts w:hint="eastAsia"/>
              <w:szCs w:val="30"/>
            </w:rPr>
            <w:fldChar w:fldCharType="separate"/>
          </w:r>
          <w:r>
            <w:rPr>
              <w:rFonts w:hint="default" w:ascii="宋体" w:hAnsi="宋体" w:eastAsia="宋体" w:cs="宋体"/>
              <w:bCs/>
              <w:kern w:val="2"/>
              <w:szCs w:val="28"/>
              <w:lang w:val="en-US" w:eastAsia="zh-CN" w:bidi="ar-SA"/>
            </w:rPr>
            <w:t>8.2</w:t>
          </w:r>
          <w:r>
            <w:rPr>
              <w:rFonts w:hint="eastAsia"/>
              <w:szCs w:val="28"/>
            </w:rPr>
            <w:t>运营期环境保护措施及可行性分析</w:t>
          </w:r>
          <w:r>
            <w:tab/>
          </w:r>
          <w:r>
            <w:fldChar w:fldCharType="begin"/>
          </w:r>
          <w:r>
            <w:instrText xml:space="preserve"> PAGEREF _Toc17594 \h </w:instrText>
          </w:r>
          <w:r>
            <w:fldChar w:fldCharType="separate"/>
          </w:r>
          <w:r>
            <w:t>- 248 -</w:t>
          </w:r>
          <w:r>
            <w:fldChar w:fldCharType="end"/>
          </w:r>
          <w:r>
            <w:rPr>
              <w:rFonts w:hint="eastAsia"/>
              <w:color w:val="FF0000"/>
              <w:szCs w:val="30"/>
            </w:rPr>
            <w:fldChar w:fldCharType="end"/>
          </w:r>
        </w:p>
        <w:p w14:paraId="0F99DF2C">
          <w:pPr>
            <w:pStyle w:val="24"/>
            <w:tabs>
              <w:tab w:val="right" w:leader="dot" w:pos="9070"/>
            </w:tabs>
          </w:pPr>
          <w:r>
            <w:rPr>
              <w:rFonts w:hint="eastAsia"/>
              <w:color w:val="FF0000"/>
              <w:szCs w:val="30"/>
            </w:rPr>
            <w:fldChar w:fldCharType="begin"/>
          </w:r>
          <w:r>
            <w:rPr>
              <w:rFonts w:hint="eastAsia"/>
              <w:szCs w:val="30"/>
            </w:rPr>
            <w:instrText xml:space="preserve"> HYPERLINK \l _Toc13292 </w:instrText>
          </w:r>
          <w:r>
            <w:rPr>
              <w:rFonts w:hint="eastAsia"/>
              <w:szCs w:val="30"/>
            </w:rPr>
            <w:fldChar w:fldCharType="separate"/>
          </w:r>
          <w:r>
            <w:rPr>
              <w:rFonts w:hint="default" w:ascii="宋体" w:hAnsi="宋体" w:eastAsia="宋体" w:cs="宋体"/>
              <w:bCs/>
              <w:kern w:val="44"/>
              <w:szCs w:val="32"/>
              <w:lang w:val="en-US" w:eastAsia="zh-CN" w:bidi="ar-SA"/>
            </w:rPr>
            <w:t>第9章</w:t>
          </w:r>
          <w:r>
            <w:rPr>
              <w:rFonts w:hint="eastAsia"/>
            </w:rPr>
            <w:t>环境经济损益分析及清洁生产</w:t>
          </w:r>
          <w:r>
            <w:tab/>
          </w:r>
          <w:r>
            <w:fldChar w:fldCharType="begin"/>
          </w:r>
          <w:r>
            <w:instrText xml:space="preserve"> PAGEREF _Toc13292 \h </w:instrText>
          </w:r>
          <w:r>
            <w:fldChar w:fldCharType="separate"/>
          </w:r>
          <w:r>
            <w:t>- 273 -</w:t>
          </w:r>
          <w:r>
            <w:fldChar w:fldCharType="end"/>
          </w:r>
          <w:r>
            <w:rPr>
              <w:rFonts w:hint="eastAsia"/>
              <w:color w:val="FF0000"/>
              <w:szCs w:val="30"/>
            </w:rPr>
            <w:fldChar w:fldCharType="end"/>
          </w:r>
        </w:p>
        <w:p w14:paraId="599DA390">
          <w:pPr>
            <w:pStyle w:val="25"/>
            <w:tabs>
              <w:tab w:val="right" w:leader="dot" w:pos="9070"/>
            </w:tabs>
          </w:pPr>
          <w:r>
            <w:rPr>
              <w:rFonts w:hint="eastAsia"/>
              <w:color w:val="FF0000"/>
              <w:szCs w:val="30"/>
            </w:rPr>
            <w:fldChar w:fldCharType="begin"/>
          </w:r>
          <w:r>
            <w:rPr>
              <w:rFonts w:hint="eastAsia"/>
              <w:szCs w:val="30"/>
            </w:rPr>
            <w:instrText xml:space="preserve"> HYPERLINK \l _Toc326 </w:instrText>
          </w:r>
          <w:r>
            <w:rPr>
              <w:rFonts w:hint="eastAsia"/>
              <w:szCs w:val="30"/>
            </w:rPr>
            <w:fldChar w:fldCharType="separate"/>
          </w:r>
          <w:r>
            <w:rPr>
              <w:rFonts w:hint="default" w:ascii="宋体" w:hAnsi="宋体" w:eastAsia="宋体" w:cs="宋体"/>
              <w:bCs/>
              <w:kern w:val="2"/>
              <w:szCs w:val="28"/>
              <w:lang w:val="en-US" w:eastAsia="zh-CN" w:bidi="ar-SA"/>
            </w:rPr>
            <w:t>9.1</w:t>
          </w:r>
          <w:r>
            <w:rPr>
              <w:rFonts w:hint="eastAsia"/>
              <w:szCs w:val="28"/>
            </w:rPr>
            <w:t>环境影响经济损益核算</w:t>
          </w:r>
          <w:r>
            <w:tab/>
          </w:r>
          <w:r>
            <w:fldChar w:fldCharType="begin"/>
          </w:r>
          <w:r>
            <w:instrText xml:space="preserve"> PAGEREF _Toc326 \h </w:instrText>
          </w:r>
          <w:r>
            <w:fldChar w:fldCharType="separate"/>
          </w:r>
          <w:r>
            <w:t>- 273 -</w:t>
          </w:r>
          <w:r>
            <w:fldChar w:fldCharType="end"/>
          </w:r>
          <w:r>
            <w:rPr>
              <w:rFonts w:hint="eastAsia"/>
              <w:color w:val="FF0000"/>
              <w:szCs w:val="30"/>
            </w:rPr>
            <w:fldChar w:fldCharType="end"/>
          </w:r>
        </w:p>
        <w:p w14:paraId="2C2B99F0">
          <w:pPr>
            <w:pStyle w:val="25"/>
            <w:tabs>
              <w:tab w:val="right" w:leader="dot" w:pos="9070"/>
            </w:tabs>
          </w:pPr>
          <w:r>
            <w:rPr>
              <w:rFonts w:hint="eastAsia"/>
              <w:color w:val="FF0000"/>
              <w:szCs w:val="30"/>
            </w:rPr>
            <w:fldChar w:fldCharType="begin"/>
          </w:r>
          <w:r>
            <w:rPr>
              <w:rFonts w:hint="eastAsia"/>
              <w:szCs w:val="30"/>
            </w:rPr>
            <w:instrText xml:space="preserve"> HYPERLINK \l _Toc24917 </w:instrText>
          </w:r>
          <w:r>
            <w:rPr>
              <w:rFonts w:hint="eastAsia"/>
              <w:szCs w:val="30"/>
            </w:rPr>
            <w:fldChar w:fldCharType="separate"/>
          </w:r>
          <w:r>
            <w:rPr>
              <w:rFonts w:hint="default" w:ascii="宋体" w:hAnsi="宋体" w:eastAsia="宋体" w:cs="宋体"/>
              <w:bCs/>
              <w:kern w:val="2"/>
              <w:szCs w:val="28"/>
              <w:lang w:val="en-US" w:eastAsia="zh-CN" w:bidi="ar-SA"/>
            </w:rPr>
            <w:t>9.2</w:t>
          </w:r>
          <w:r>
            <w:rPr>
              <w:rFonts w:hint="eastAsia"/>
              <w:szCs w:val="28"/>
            </w:rPr>
            <w:t>经济损益核算</w:t>
          </w:r>
          <w:r>
            <w:tab/>
          </w:r>
          <w:r>
            <w:fldChar w:fldCharType="begin"/>
          </w:r>
          <w:r>
            <w:instrText xml:space="preserve"> PAGEREF _Toc24917 \h </w:instrText>
          </w:r>
          <w:r>
            <w:fldChar w:fldCharType="separate"/>
          </w:r>
          <w:r>
            <w:t>- 274 -</w:t>
          </w:r>
          <w:r>
            <w:fldChar w:fldCharType="end"/>
          </w:r>
          <w:r>
            <w:rPr>
              <w:rFonts w:hint="eastAsia"/>
              <w:color w:val="FF0000"/>
              <w:szCs w:val="30"/>
            </w:rPr>
            <w:fldChar w:fldCharType="end"/>
          </w:r>
        </w:p>
        <w:p w14:paraId="196FF936">
          <w:pPr>
            <w:pStyle w:val="25"/>
            <w:tabs>
              <w:tab w:val="right" w:leader="dot" w:pos="9070"/>
            </w:tabs>
          </w:pPr>
          <w:r>
            <w:rPr>
              <w:rFonts w:hint="eastAsia"/>
              <w:color w:val="FF0000"/>
              <w:szCs w:val="30"/>
            </w:rPr>
            <w:fldChar w:fldCharType="begin"/>
          </w:r>
          <w:r>
            <w:rPr>
              <w:rFonts w:hint="eastAsia"/>
              <w:szCs w:val="30"/>
            </w:rPr>
            <w:instrText xml:space="preserve"> HYPERLINK \l _Toc24068 </w:instrText>
          </w:r>
          <w:r>
            <w:rPr>
              <w:rFonts w:hint="eastAsia"/>
              <w:szCs w:val="30"/>
            </w:rPr>
            <w:fldChar w:fldCharType="separate"/>
          </w:r>
          <w:r>
            <w:rPr>
              <w:rFonts w:hint="default" w:ascii="宋体" w:hAnsi="宋体" w:eastAsia="宋体" w:cs="宋体"/>
              <w:bCs/>
              <w:kern w:val="2"/>
              <w:szCs w:val="28"/>
              <w:lang w:val="en-US" w:eastAsia="zh-CN" w:bidi="ar-SA"/>
            </w:rPr>
            <w:t>9.3</w:t>
          </w:r>
          <w:r>
            <w:rPr>
              <w:rFonts w:hint="eastAsia"/>
              <w:szCs w:val="28"/>
            </w:rPr>
            <w:t>环境损益分析</w:t>
          </w:r>
          <w:r>
            <w:tab/>
          </w:r>
          <w:r>
            <w:fldChar w:fldCharType="begin"/>
          </w:r>
          <w:r>
            <w:instrText xml:space="preserve"> PAGEREF _Toc24068 \h </w:instrText>
          </w:r>
          <w:r>
            <w:fldChar w:fldCharType="separate"/>
          </w:r>
          <w:r>
            <w:t>- 274 -</w:t>
          </w:r>
          <w:r>
            <w:fldChar w:fldCharType="end"/>
          </w:r>
          <w:r>
            <w:rPr>
              <w:rFonts w:hint="eastAsia"/>
              <w:color w:val="FF0000"/>
              <w:szCs w:val="30"/>
            </w:rPr>
            <w:fldChar w:fldCharType="end"/>
          </w:r>
        </w:p>
        <w:p w14:paraId="009DACC7">
          <w:pPr>
            <w:pStyle w:val="25"/>
            <w:tabs>
              <w:tab w:val="right" w:leader="dot" w:pos="9070"/>
            </w:tabs>
          </w:pPr>
          <w:r>
            <w:rPr>
              <w:rFonts w:hint="eastAsia"/>
              <w:color w:val="FF0000"/>
              <w:szCs w:val="30"/>
            </w:rPr>
            <w:fldChar w:fldCharType="begin"/>
          </w:r>
          <w:r>
            <w:rPr>
              <w:rFonts w:hint="eastAsia"/>
              <w:szCs w:val="30"/>
            </w:rPr>
            <w:instrText xml:space="preserve"> HYPERLINK \l _Toc29135 </w:instrText>
          </w:r>
          <w:r>
            <w:rPr>
              <w:rFonts w:hint="eastAsia"/>
              <w:szCs w:val="30"/>
            </w:rPr>
            <w:fldChar w:fldCharType="separate"/>
          </w:r>
          <w:r>
            <w:rPr>
              <w:rFonts w:hint="default" w:ascii="宋体" w:hAnsi="宋体" w:eastAsia="宋体" w:cs="宋体"/>
              <w:bCs/>
              <w:kern w:val="2"/>
              <w:szCs w:val="28"/>
              <w:lang w:val="en-US" w:eastAsia="zh-CN" w:bidi="ar-SA"/>
            </w:rPr>
            <w:t>9.4</w:t>
          </w:r>
          <w:r>
            <w:rPr>
              <w:rFonts w:hint="eastAsia"/>
              <w:szCs w:val="28"/>
            </w:rPr>
            <w:t>环境经济损益分析结论</w:t>
          </w:r>
          <w:r>
            <w:tab/>
          </w:r>
          <w:r>
            <w:fldChar w:fldCharType="begin"/>
          </w:r>
          <w:r>
            <w:instrText xml:space="preserve"> PAGEREF _Toc29135 \h </w:instrText>
          </w:r>
          <w:r>
            <w:fldChar w:fldCharType="separate"/>
          </w:r>
          <w:r>
            <w:t>- 276 -</w:t>
          </w:r>
          <w:r>
            <w:fldChar w:fldCharType="end"/>
          </w:r>
          <w:r>
            <w:rPr>
              <w:rFonts w:hint="eastAsia"/>
              <w:color w:val="FF0000"/>
              <w:szCs w:val="30"/>
            </w:rPr>
            <w:fldChar w:fldCharType="end"/>
          </w:r>
        </w:p>
        <w:p w14:paraId="57FE099A">
          <w:pPr>
            <w:pStyle w:val="25"/>
            <w:tabs>
              <w:tab w:val="right" w:leader="dot" w:pos="9070"/>
            </w:tabs>
          </w:pPr>
          <w:r>
            <w:rPr>
              <w:rFonts w:hint="eastAsia"/>
              <w:color w:val="FF0000"/>
              <w:szCs w:val="30"/>
            </w:rPr>
            <w:fldChar w:fldCharType="begin"/>
          </w:r>
          <w:r>
            <w:rPr>
              <w:rFonts w:hint="eastAsia"/>
              <w:szCs w:val="30"/>
            </w:rPr>
            <w:instrText xml:space="preserve"> HYPERLINK \l _Toc14230 </w:instrText>
          </w:r>
          <w:r>
            <w:rPr>
              <w:rFonts w:hint="eastAsia"/>
              <w:szCs w:val="30"/>
            </w:rPr>
            <w:fldChar w:fldCharType="separate"/>
          </w:r>
          <w:r>
            <w:rPr>
              <w:rFonts w:hint="default" w:ascii="宋体" w:hAnsi="宋体" w:eastAsia="宋体" w:cs="宋体"/>
              <w:bCs/>
              <w:kern w:val="2"/>
              <w:szCs w:val="28"/>
              <w:lang w:val="en-US" w:eastAsia="zh-CN" w:bidi="ar-SA"/>
            </w:rPr>
            <w:t>9.5</w:t>
          </w:r>
          <w:r>
            <w:rPr>
              <w:rFonts w:hint="eastAsia"/>
              <w:szCs w:val="28"/>
            </w:rPr>
            <w:t>清洁生产分析</w:t>
          </w:r>
          <w:r>
            <w:tab/>
          </w:r>
          <w:r>
            <w:fldChar w:fldCharType="begin"/>
          </w:r>
          <w:r>
            <w:instrText xml:space="preserve"> PAGEREF _Toc14230 \h </w:instrText>
          </w:r>
          <w:r>
            <w:fldChar w:fldCharType="separate"/>
          </w:r>
          <w:r>
            <w:t>- 277 -</w:t>
          </w:r>
          <w:r>
            <w:fldChar w:fldCharType="end"/>
          </w:r>
          <w:r>
            <w:rPr>
              <w:rFonts w:hint="eastAsia"/>
              <w:color w:val="FF0000"/>
              <w:szCs w:val="30"/>
            </w:rPr>
            <w:fldChar w:fldCharType="end"/>
          </w:r>
        </w:p>
        <w:p w14:paraId="5779EDF0">
          <w:pPr>
            <w:pStyle w:val="25"/>
            <w:tabs>
              <w:tab w:val="right" w:leader="dot" w:pos="9070"/>
            </w:tabs>
          </w:pPr>
          <w:r>
            <w:rPr>
              <w:rFonts w:hint="eastAsia"/>
              <w:color w:val="FF0000"/>
              <w:szCs w:val="30"/>
            </w:rPr>
            <w:fldChar w:fldCharType="begin"/>
          </w:r>
          <w:r>
            <w:rPr>
              <w:rFonts w:hint="eastAsia"/>
              <w:szCs w:val="30"/>
            </w:rPr>
            <w:instrText xml:space="preserve"> HYPERLINK \l _Toc18106 </w:instrText>
          </w:r>
          <w:r>
            <w:rPr>
              <w:rFonts w:hint="eastAsia"/>
              <w:szCs w:val="30"/>
            </w:rPr>
            <w:fldChar w:fldCharType="separate"/>
          </w:r>
          <w:r>
            <w:rPr>
              <w:rFonts w:hint="default" w:ascii="宋体" w:hAnsi="宋体" w:eastAsia="宋体" w:cs="宋体"/>
              <w:bCs/>
              <w:kern w:val="2"/>
              <w:szCs w:val="28"/>
              <w:lang w:val="en-US" w:eastAsia="zh-CN" w:bidi="ar-SA"/>
            </w:rPr>
            <w:t>9.6</w:t>
          </w:r>
          <w:r>
            <w:rPr>
              <w:rFonts w:hint="eastAsia"/>
              <w:szCs w:val="28"/>
            </w:rPr>
            <w:t>清洁生产建议</w:t>
          </w:r>
          <w:r>
            <w:tab/>
          </w:r>
          <w:r>
            <w:fldChar w:fldCharType="begin"/>
          </w:r>
          <w:r>
            <w:instrText xml:space="preserve"> PAGEREF _Toc18106 \h </w:instrText>
          </w:r>
          <w:r>
            <w:fldChar w:fldCharType="separate"/>
          </w:r>
          <w:r>
            <w:t>283</w:t>
          </w:r>
          <w:r>
            <w:fldChar w:fldCharType="end"/>
          </w:r>
          <w:r>
            <w:rPr>
              <w:rFonts w:hint="eastAsia"/>
              <w:color w:val="FF0000"/>
              <w:szCs w:val="30"/>
            </w:rPr>
            <w:fldChar w:fldCharType="end"/>
          </w:r>
        </w:p>
        <w:p w14:paraId="195FA7DD">
          <w:pPr>
            <w:pStyle w:val="24"/>
            <w:tabs>
              <w:tab w:val="right" w:leader="dot" w:pos="9070"/>
            </w:tabs>
          </w:pPr>
          <w:r>
            <w:rPr>
              <w:rFonts w:hint="eastAsia"/>
              <w:color w:val="FF0000"/>
              <w:szCs w:val="30"/>
            </w:rPr>
            <w:fldChar w:fldCharType="begin"/>
          </w:r>
          <w:r>
            <w:rPr>
              <w:rFonts w:hint="eastAsia"/>
              <w:szCs w:val="30"/>
            </w:rPr>
            <w:instrText xml:space="preserve"> HYPERLINK \l _Toc3095 </w:instrText>
          </w:r>
          <w:r>
            <w:rPr>
              <w:rFonts w:hint="eastAsia"/>
              <w:szCs w:val="30"/>
            </w:rPr>
            <w:fldChar w:fldCharType="separate"/>
          </w:r>
          <w:r>
            <w:rPr>
              <w:rFonts w:hint="default" w:ascii="宋体" w:hAnsi="宋体" w:eastAsia="宋体" w:cs="宋体"/>
              <w:bCs/>
              <w:kern w:val="44"/>
              <w:szCs w:val="32"/>
              <w:lang w:val="en-US" w:eastAsia="zh-CN" w:bidi="ar-SA"/>
            </w:rPr>
            <w:t>第10章</w:t>
          </w:r>
          <w:r>
            <w:rPr>
              <w:rFonts w:hint="eastAsia"/>
            </w:rPr>
            <w:t>污染物总量控制</w:t>
          </w:r>
          <w:r>
            <w:tab/>
          </w:r>
          <w:r>
            <w:fldChar w:fldCharType="begin"/>
          </w:r>
          <w:r>
            <w:instrText xml:space="preserve"> PAGEREF _Toc3095 \h </w:instrText>
          </w:r>
          <w:r>
            <w:fldChar w:fldCharType="separate"/>
          </w:r>
          <w:r>
            <w:t>285</w:t>
          </w:r>
          <w:r>
            <w:fldChar w:fldCharType="end"/>
          </w:r>
          <w:r>
            <w:rPr>
              <w:rFonts w:hint="eastAsia"/>
              <w:color w:val="FF0000"/>
              <w:szCs w:val="30"/>
            </w:rPr>
            <w:fldChar w:fldCharType="end"/>
          </w:r>
        </w:p>
        <w:p w14:paraId="24117D7C">
          <w:pPr>
            <w:pStyle w:val="25"/>
            <w:tabs>
              <w:tab w:val="right" w:leader="dot" w:pos="9070"/>
            </w:tabs>
          </w:pPr>
          <w:r>
            <w:rPr>
              <w:rFonts w:hint="eastAsia"/>
              <w:color w:val="FF0000"/>
              <w:szCs w:val="30"/>
            </w:rPr>
            <w:fldChar w:fldCharType="begin"/>
          </w:r>
          <w:r>
            <w:rPr>
              <w:rFonts w:hint="eastAsia"/>
              <w:szCs w:val="30"/>
            </w:rPr>
            <w:instrText xml:space="preserve"> HYPERLINK \l _Toc26387 </w:instrText>
          </w:r>
          <w:r>
            <w:rPr>
              <w:rFonts w:hint="eastAsia"/>
              <w:szCs w:val="30"/>
            </w:rPr>
            <w:fldChar w:fldCharType="separate"/>
          </w:r>
          <w:r>
            <w:rPr>
              <w:rFonts w:hint="default" w:ascii="宋体" w:hAnsi="宋体" w:eastAsia="宋体" w:cs="宋体"/>
              <w:bCs/>
              <w:kern w:val="2"/>
              <w:szCs w:val="28"/>
              <w:lang w:val="en-US" w:eastAsia="zh-CN" w:bidi="ar-SA"/>
            </w:rPr>
            <w:t>10.1</w:t>
          </w:r>
          <w:r>
            <w:rPr>
              <w:rFonts w:hint="eastAsia"/>
              <w:szCs w:val="28"/>
            </w:rPr>
            <w:t>总量控制因子</w:t>
          </w:r>
          <w:r>
            <w:tab/>
          </w:r>
          <w:r>
            <w:fldChar w:fldCharType="begin"/>
          </w:r>
          <w:r>
            <w:instrText xml:space="preserve"> PAGEREF _Toc26387 \h </w:instrText>
          </w:r>
          <w:r>
            <w:fldChar w:fldCharType="separate"/>
          </w:r>
          <w:r>
            <w:t>285</w:t>
          </w:r>
          <w:r>
            <w:fldChar w:fldCharType="end"/>
          </w:r>
          <w:r>
            <w:rPr>
              <w:rFonts w:hint="eastAsia"/>
              <w:color w:val="FF0000"/>
              <w:szCs w:val="30"/>
            </w:rPr>
            <w:fldChar w:fldCharType="end"/>
          </w:r>
        </w:p>
        <w:p w14:paraId="3AC6DF26">
          <w:pPr>
            <w:pStyle w:val="25"/>
            <w:tabs>
              <w:tab w:val="right" w:leader="dot" w:pos="9070"/>
            </w:tabs>
          </w:pPr>
          <w:r>
            <w:rPr>
              <w:rFonts w:hint="eastAsia"/>
              <w:color w:val="FF0000"/>
              <w:szCs w:val="30"/>
            </w:rPr>
            <w:fldChar w:fldCharType="begin"/>
          </w:r>
          <w:r>
            <w:rPr>
              <w:rFonts w:hint="eastAsia"/>
              <w:szCs w:val="30"/>
            </w:rPr>
            <w:instrText xml:space="preserve"> HYPERLINK \l _Toc2713 </w:instrText>
          </w:r>
          <w:r>
            <w:rPr>
              <w:rFonts w:hint="eastAsia"/>
              <w:szCs w:val="30"/>
            </w:rPr>
            <w:fldChar w:fldCharType="separate"/>
          </w:r>
          <w:r>
            <w:rPr>
              <w:rFonts w:hint="default" w:ascii="宋体" w:hAnsi="宋体" w:eastAsia="宋体" w:cs="宋体"/>
              <w:bCs/>
              <w:kern w:val="2"/>
              <w:szCs w:val="28"/>
              <w:lang w:val="en-US" w:eastAsia="zh-CN" w:bidi="ar-SA"/>
            </w:rPr>
            <w:t>10.2</w:t>
          </w:r>
          <w:r>
            <w:rPr>
              <w:rFonts w:hint="eastAsia"/>
              <w:szCs w:val="28"/>
            </w:rPr>
            <w:t>污染物排放总量控制指标分析</w:t>
          </w:r>
          <w:r>
            <w:tab/>
          </w:r>
          <w:r>
            <w:fldChar w:fldCharType="begin"/>
          </w:r>
          <w:r>
            <w:instrText xml:space="preserve"> PAGEREF _Toc2713 \h </w:instrText>
          </w:r>
          <w:r>
            <w:fldChar w:fldCharType="separate"/>
          </w:r>
          <w:r>
            <w:t>285</w:t>
          </w:r>
          <w:r>
            <w:fldChar w:fldCharType="end"/>
          </w:r>
          <w:r>
            <w:rPr>
              <w:rFonts w:hint="eastAsia"/>
              <w:color w:val="FF0000"/>
              <w:szCs w:val="30"/>
            </w:rPr>
            <w:fldChar w:fldCharType="end"/>
          </w:r>
        </w:p>
        <w:p w14:paraId="24DDF16F">
          <w:pPr>
            <w:pStyle w:val="24"/>
            <w:tabs>
              <w:tab w:val="right" w:leader="dot" w:pos="9070"/>
            </w:tabs>
          </w:pPr>
          <w:r>
            <w:rPr>
              <w:rFonts w:hint="eastAsia"/>
              <w:color w:val="FF0000"/>
              <w:szCs w:val="30"/>
            </w:rPr>
            <w:fldChar w:fldCharType="begin"/>
          </w:r>
          <w:r>
            <w:rPr>
              <w:rFonts w:hint="eastAsia"/>
              <w:szCs w:val="30"/>
            </w:rPr>
            <w:instrText xml:space="preserve"> HYPERLINK \l _Toc8583 </w:instrText>
          </w:r>
          <w:r>
            <w:rPr>
              <w:rFonts w:hint="eastAsia"/>
              <w:szCs w:val="30"/>
            </w:rPr>
            <w:fldChar w:fldCharType="separate"/>
          </w:r>
          <w:r>
            <w:rPr>
              <w:rFonts w:hint="default" w:ascii="宋体" w:hAnsi="宋体" w:eastAsia="宋体" w:cs="宋体"/>
              <w:bCs/>
              <w:kern w:val="44"/>
              <w:szCs w:val="32"/>
              <w:lang w:val="en-US" w:eastAsia="zh-CN" w:bidi="ar-SA"/>
            </w:rPr>
            <w:t>第11章</w:t>
          </w:r>
          <w:r>
            <w:rPr>
              <w:rFonts w:hint="eastAsia"/>
            </w:rPr>
            <w:t>环境管理与监测计划</w:t>
          </w:r>
          <w:r>
            <w:tab/>
          </w:r>
          <w:r>
            <w:fldChar w:fldCharType="begin"/>
          </w:r>
          <w:r>
            <w:instrText xml:space="preserve"> PAGEREF _Toc8583 \h </w:instrText>
          </w:r>
          <w:r>
            <w:fldChar w:fldCharType="separate"/>
          </w:r>
          <w:r>
            <w:t>- 287 -</w:t>
          </w:r>
          <w:r>
            <w:fldChar w:fldCharType="end"/>
          </w:r>
          <w:r>
            <w:rPr>
              <w:rFonts w:hint="eastAsia"/>
              <w:color w:val="FF0000"/>
              <w:szCs w:val="30"/>
            </w:rPr>
            <w:fldChar w:fldCharType="end"/>
          </w:r>
        </w:p>
        <w:p w14:paraId="67CE5446">
          <w:pPr>
            <w:pStyle w:val="25"/>
            <w:tabs>
              <w:tab w:val="right" w:leader="dot" w:pos="9070"/>
            </w:tabs>
          </w:pPr>
          <w:r>
            <w:rPr>
              <w:rFonts w:hint="eastAsia"/>
              <w:color w:val="FF0000"/>
              <w:szCs w:val="30"/>
            </w:rPr>
            <w:fldChar w:fldCharType="begin"/>
          </w:r>
          <w:r>
            <w:rPr>
              <w:rFonts w:hint="eastAsia"/>
              <w:szCs w:val="30"/>
            </w:rPr>
            <w:instrText xml:space="preserve"> HYPERLINK \l _Toc15213 </w:instrText>
          </w:r>
          <w:r>
            <w:rPr>
              <w:rFonts w:hint="eastAsia"/>
              <w:szCs w:val="30"/>
            </w:rPr>
            <w:fldChar w:fldCharType="separate"/>
          </w:r>
          <w:r>
            <w:rPr>
              <w:rFonts w:hint="default" w:ascii="宋体" w:hAnsi="宋体" w:eastAsia="宋体" w:cs="宋体"/>
              <w:bCs/>
              <w:kern w:val="2"/>
              <w:szCs w:val="28"/>
              <w:lang w:val="en-US" w:eastAsia="zh-CN" w:bidi="ar-SA"/>
            </w:rPr>
            <w:t>11.1</w:t>
          </w:r>
          <w:r>
            <w:rPr>
              <w:rFonts w:hint="eastAsia"/>
              <w:szCs w:val="28"/>
            </w:rPr>
            <w:t>环境管理</w:t>
          </w:r>
          <w:r>
            <w:tab/>
          </w:r>
          <w:r>
            <w:fldChar w:fldCharType="begin"/>
          </w:r>
          <w:r>
            <w:instrText xml:space="preserve"> PAGEREF _Toc15213 \h </w:instrText>
          </w:r>
          <w:r>
            <w:fldChar w:fldCharType="separate"/>
          </w:r>
          <w:r>
            <w:t>- 287 -</w:t>
          </w:r>
          <w:r>
            <w:fldChar w:fldCharType="end"/>
          </w:r>
          <w:r>
            <w:rPr>
              <w:rFonts w:hint="eastAsia"/>
              <w:color w:val="FF0000"/>
              <w:szCs w:val="30"/>
            </w:rPr>
            <w:fldChar w:fldCharType="end"/>
          </w:r>
        </w:p>
        <w:p w14:paraId="0A20F67E">
          <w:pPr>
            <w:pStyle w:val="25"/>
            <w:tabs>
              <w:tab w:val="right" w:leader="dot" w:pos="9070"/>
            </w:tabs>
          </w:pPr>
          <w:r>
            <w:rPr>
              <w:rFonts w:hint="eastAsia"/>
              <w:color w:val="FF0000"/>
              <w:szCs w:val="30"/>
            </w:rPr>
            <w:fldChar w:fldCharType="begin"/>
          </w:r>
          <w:r>
            <w:rPr>
              <w:rFonts w:hint="eastAsia"/>
              <w:szCs w:val="30"/>
            </w:rPr>
            <w:instrText xml:space="preserve"> HYPERLINK \l _Toc26643 </w:instrText>
          </w:r>
          <w:r>
            <w:rPr>
              <w:rFonts w:hint="eastAsia"/>
              <w:szCs w:val="30"/>
            </w:rPr>
            <w:fldChar w:fldCharType="separate"/>
          </w:r>
          <w:r>
            <w:rPr>
              <w:rFonts w:hint="default" w:ascii="宋体" w:hAnsi="宋体" w:eastAsia="宋体" w:cs="宋体"/>
              <w:bCs/>
              <w:kern w:val="2"/>
              <w:szCs w:val="28"/>
              <w:lang w:val="en-US" w:eastAsia="zh-CN" w:bidi="ar-SA"/>
            </w:rPr>
            <w:t>11.2</w:t>
          </w:r>
          <w:r>
            <w:rPr>
              <w:rFonts w:hint="eastAsia"/>
            </w:rPr>
            <w:t>环境监测</w:t>
          </w:r>
          <w:r>
            <w:tab/>
          </w:r>
          <w:r>
            <w:fldChar w:fldCharType="begin"/>
          </w:r>
          <w:r>
            <w:instrText xml:space="preserve"> PAGEREF _Toc26643 \h </w:instrText>
          </w:r>
          <w:r>
            <w:fldChar w:fldCharType="separate"/>
          </w:r>
          <w:r>
            <w:t>- 289 -</w:t>
          </w:r>
          <w:r>
            <w:fldChar w:fldCharType="end"/>
          </w:r>
          <w:r>
            <w:rPr>
              <w:rFonts w:hint="eastAsia"/>
              <w:color w:val="FF0000"/>
              <w:szCs w:val="30"/>
            </w:rPr>
            <w:fldChar w:fldCharType="end"/>
          </w:r>
        </w:p>
        <w:p w14:paraId="2488D222">
          <w:pPr>
            <w:pStyle w:val="25"/>
            <w:tabs>
              <w:tab w:val="right" w:leader="dot" w:pos="9070"/>
            </w:tabs>
          </w:pPr>
          <w:r>
            <w:rPr>
              <w:rFonts w:hint="eastAsia"/>
              <w:color w:val="FF0000"/>
              <w:szCs w:val="30"/>
            </w:rPr>
            <w:fldChar w:fldCharType="begin"/>
          </w:r>
          <w:r>
            <w:rPr>
              <w:rFonts w:hint="eastAsia"/>
              <w:szCs w:val="30"/>
            </w:rPr>
            <w:instrText xml:space="preserve"> HYPERLINK \l _Toc28620 </w:instrText>
          </w:r>
          <w:r>
            <w:rPr>
              <w:rFonts w:hint="eastAsia"/>
              <w:szCs w:val="30"/>
            </w:rPr>
            <w:fldChar w:fldCharType="separate"/>
          </w:r>
          <w:r>
            <w:rPr>
              <w:rFonts w:hint="default" w:ascii="宋体" w:hAnsi="宋体" w:eastAsia="宋体" w:cs="宋体"/>
              <w:bCs/>
              <w:kern w:val="2"/>
              <w:szCs w:val="28"/>
              <w:lang w:val="en-US" w:eastAsia="zh-CN" w:bidi="ar-SA"/>
            </w:rPr>
            <w:t>11.3</w:t>
          </w:r>
          <w:r>
            <w:rPr>
              <w:rFonts w:hint="eastAsia"/>
              <w:szCs w:val="28"/>
            </w:rPr>
            <w:t>环境保护验收</w:t>
          </w:r>
          <w:r>
            <w:tab/>
          </w:r>
          <w:r>
            <w:fldChar w:fldCharType="begin"/>
          </w:r>
          <w:r>
            <w:instrText xml:space="preserve"> PAGEREF _Toc28620 \h </w:instrText>
          </w:r>
          <w:r>
            <w:fldChar w:fldCharType="separate"/>
          </w:r>
          <w:r>
            <w:t>- 291 -</w:t>
          </w:r>
          <w:r>
            <w:fldChar w:fldCharType="end"/>
          </w:r>
          <w:r>
            <w:rPr>
              <w:rFonts w:hint="eastAsia"/>
              <w:color w:val="FF0000"/>
              <w:szCs w:val="30"/>
            </w:rPr>
            <w:fldChar w:fldCharType="end"/>
          </w:r>
        </w:p>
        <w:p w14:paraId="37FE1FB9">
          <w:pPr>
            <w:pStyle w:val="25"/>
            <w:tabs>
              <w:tab w:val="right" w:leader="dot" w:pos="9070"/>
            </w:tabs>
          </w:pPr>
          <w:r>
            <w:rPr>
              <w:rFonts w:hint="eastAsia"/>
              <w:color w:val="FF0000"/>
              <w:szCs w:val="30"/>
            </w:rPr>
            <w:fldChar w:fldCharType="begin"/>
          </w:r>
          <w:r>
            <w:rPr>
              <w:rFonts w:hint="eastAsia"/>
              <w:szCs w:val="30"/>
            </w:rPr>
            <w:instrText xml:space="preserve"> HYPERLINK \l _Toc31123 </w:instrText>
          </w:r>
          <w:r>
            <w:rPr>
              <w:rFonts w:hint="eastAsia"/>
              <w:szCs w:val="30"/>
            </w:rPr>
            <w:fldChar w:fldCharType="separate"/>
          </w:r>
          <w:r>
            <w:rPr>
              <w:rFonts w:hint="default" w:ascii="宋体" w:hAnsi="宋体" w:eastAsia="宋体" w:cs="宋体"/>
              <w:bCs/>
              <w:kern w:val="2"/>
              <w:szCs w:val="28"/>
              <w:lang w:val="en-US" w:eastAsia="zh-CN" w:bidi="ar-SA"/>
            </w:rPr>
            <w:t>11.4</w:t>
          </w:r>
          <w:r>
            <w:rPr>
              <w:rFonts w:hint="eastAsia"/>
              <w:szCs w:val="28"/>
            </w:rPr>
            <w:t>排污口规范化管理</w:t>
          </w:r>
          <w:r>
            <w:tab/>
          </w:r>
          <w:r>
            <w:fldChar w:fldCharType="begin"/>
          </w:r>
          <w:r>
            <w:instrText xml:space="preserve"> PAGEREF _Toc31123 \h </w:instrText>
          </w:r>
          <w:r>
            <w:fldChar w:fldCharType="separate"/>
          </w:r>
          <w:r>
            <w:t>- 294 -</w:t>
          </w:r>
          <w:r>
            <w:fldChar w:fldCharType="end"/>
          </w:r>
          <w:r>
            <w:rPr>
              <w:rFonts w:hint="eastAsia"/>
              <w:color w:val="FF0000"/>
              <w:szCs w:val="30"/>
            </w:rPr>
            <w:fldChar w:fldCharType="end"/>
          </w:r>
        </w:p>
        <w:p w14:paraId="64E8F047">
          <w:pPr>
            <w:pStyle w:val="24"/>
            <w:tabs>
              <w:tab w:val="right" w:leader="dot" w:pos="9070"/>
            </w:tabs>
          </w:pPr>
          <w:r>
            <w:rPr>
              <w:rFonts w:hint="eastAsia"/>
              <w:color w:val="FF0000"/>
              <w:szCs w:val="30"/>
            </w:rPr>
            <w:fldChar w:fldCharType="begin"/>
          </w:r>
          <w:r>
            <w:rPr>
              <w:rFonts w:hint="eastAsia"/>
              <w:szCs w:val="30"/>
            </w:rPr>
            <w:instrText xml:space="preserve"> HYPERLINK \l _Toc23445 </w:instrText>
          </w:r>
          <w:r>
            <w:rPr>
              <w:rFonts w:hint="eastAsia"/>
              <w:szCs w:val="30"/>
            </w:rPr>
            <w:fldChar w:fldCharType="separate"/>
          </w:r>
          <w:r>
            <w:rPr>
              <w:rFonts w:hint="default" w:ascii="宋体" w:hAnsi="宋体" w:eastAsia="宋体" w:cs="宋体"/>
              <w:bCs/>
              <w:kern w:val="44"/>
              <w:szCs w:val="32"/>
              <w:lang w:val="en-US" w:eastAsia="zh-CN" w:bidi="ar-SA"/>
            </w:rPr>
            <w:t>第12章</w:t>
          </w:r>
          <w:r>
            <w:rPr>
              <w:rFonts w:hint="eastAsia"/>
            </w:rPr>
            <w:t>结论与建议</w:t>
          </w:r>
          <w:r>
            <w:tab/>
          </w:r>
          <w:r>
            <w:fldChar w:fldCharType="begin"/>
          </w:r>
          <w:r>
            <w:instrText xml:space="preserve"> PAGEREF _Toc23445 \h </w:instrText>
          </w:r>
          <w:r>
            <w:fldChar w:fldCharType="separate"/>
          </w:r>
          <w:r>
            <w:t>297</w:t>
          </w:r>
          <w:r>
            <w:fldChar w:fldCharType="end"/>
          </w:r>
          <w:r>
            <w:rPr>
              <w:rFonts w:hint="eastAsia"/>
              <w:color w:val="FF0000"/>
              <w:szCs w:val="30"/>
            </w:rPr>
            <w:fldChar w:fldCharType="end"/>
          </w:r>
        </w:p>
        <w:p w14:paraId="671DB714">
          <w:pPr>
            <w:pStyle w:val="25"/>
            <w:tabs>
              <w:tab w:val="right" w:leader="dot" w:pos="9070"/>
            </w:tabs>
          </w:pPr>
          <w:r>
            <w:rPr>
              <w:rFonts w:hint="eastAsia"/>
              <w:color w:val="FF0000"/>
              <w:szCs w:val="30"/>
            </w:rPr>
            <w:fldChar w:fldCharType="begin"/>
          </w:r>
          <w:r>
            <w:rPr>
              <w:rFonts w:hint="eastAsia"/>
              <w:szCs w:val="30"/>
            </w:rPr>
            <w:instrText xml:space="preserve"> HYPERLINK \l _Toc20730 </w:instrText>
          </w:r>
          <w:r>
            <w:rPr>
              <w:rFonts w:hint="eastAsia"/>
              <w:szCs w:val="30"/>
            </w:rPr>
            <w:fldChar w:fldCharType="separate"/>
          </w:r>
          <w:r>
            <w:rPr>
              <w:rFonts w:hint="default" w:ascii="宋体" w:hAnsi="宋体" w:eastAsia="宋体" w:cs="宋体"/>
              <w:bCs/>
              <w:kern w:val="2"/>
              <w:szCs w:val="28"/>
              <w:lang w:val="en-US" w:eastAsia="zh-CN" w:bidi="ar-SA"/>
            </w:rPr>
            <w:t>12.1</w:t>
          </w:r>
          <w:r>
            <w:rPr>
              <w:rFonts w:hint="eastAsia"/>
              <w:szCs w:val="28"/>
            </w:rPr>
            <w:t>结论</w:t>
          </w:r>
          <w:r>
            <w:tab/>
          </w:r>
          <w:r>
            <w:fldChar w:fldCharType="begin"/>
          </w:r>
          <w:r>
            <w:instrText xml:space="preserve"> PAGEREF _Toc20730 \h </w:instrText>
          </w:r>
          <w:r>
            <w:fldChar w:fldCharType="separate"/>
          </w:r>
          <w:r>
            <w:t>297</w:t>
          </w:r>
          <w:r>
            <w:fldChar w:fldCharType="end"/>
          </w:r>
          <w:r>
            <w:rPr>
              <w:rFonts w:hint="eastAsia"/>
              <w:color w:val="FF0000"/>
              <w:szCs w:val="30"/>
            </w:rPr>
            <w:fldChar w:fldCharType="end"/>
          </w:r>
        </w:p>
        <w:p w14:paraId="418C9167">
          <w:pPr>
            <w:pStyle w:val="25"/>
            <w:tabs>
              <w:tab w:val="right" w:leader="dot" w:pos="9070"/>
            </w:tabs>
          </w:pPr>
          <w:r>
            <w:rPr>
              <w:rFonts w:hint="eastAsia"/>
              <w:color w:val="FF0000"/>
              <w:szCs w:val="30"/>
            </w:rPr>
            <w:fldChar w:fldCharType="begin"/>
          </w:r>
          <w:r>
            <w:rPr>
              <w:rFonts w:hint="eastAsia"/>
              <w:szCs w:val="30"/>
            </w:rPr>
            <w:instrText xml:space="preserve"> HYPERLINK \l _Toc4673 </w:instrText>
          </w:r>
          <w:r>
            <w:rPr>
              <w:rFonts w:hint="eastAsia"/>
              <w:szCs w:val="30"/>
            </w:rPr>
            <w:fldChar w:fldCharType="separate"/>
          </w:r>
          <w:r>
            <w:rPr>
              <w:rFonts w:hint="default" w:ascii="宋体" w:hAnsi="宋体" w:eastAsia="宋体" w:cs="宋体"/>
              <w:bCs/>
              <w:kern w:val="2"/>
              <w:szCs w:val="28"/>
              <w:lang w:val="en-US" w:eastAsia="zh-CN" w:bidi="ar-SA"/>
            </w:rPr>
            <w:t>12.2</w:t>
          </w:r>
          <w:r>
            <w:rPr>
              <w:rFonts w:hint="eastAsia"/>
              <w:szCs w:val="28"/>
            </w:rPr>
            <w:t>建议</w:t>
          </w:r>
          <w:r>
            <w:tab/>
          </w:r>
          <w:r>
            <w:fldChar w:fldCharType="begin"/>
          </w:r>
          <w:r>
            <w:instrText xml:space="preserve"> PAGEREF _Toc4673 \h </w:instrText>
          </w:r>
          <w:r>
            <w:fldChar w:fldCharType="separate"/>
          </w:r>
          <w:r>
            <w:t>302</w:t>
          </w:r>
          <w:r>
            <w:fldChar w:fldCharType="end"/>
          </w:r>
          <w:r>
            <w:rPr>
              <w:rFonts w:hint="eastAsia"/>
              <w:color w:val="FF0000"/>
              <w:szCs w:val="30"/>
            </w:rPr>
            <w:fldChar w:fldCharType="end"/>
          </w:r>
        </w:p>
        <w:p w14:paraId="136B0084">
          <w:pPr>
            <w:ind w:firstLine="480"/>
          </w:pPr>
          <w:r>
            <w:rPr>
              <w:rFonts w:hint="eastAsia"/>
              <w:color w:val="FF0000"/>
              <w:szCs w:val="30"/>
            </w:rPr>
            <w:fldChar w:fldCharType="end"/>
          </w:r>
        </w:p>
      </w:sdtContent>
    </w:sdt>
    <w:p w14:paraId="7F0A851A">
      <w:pPr>
        <w:spacing w:line="240" w:lineRule="auto"/>
        <w:ind w:firstLine="480" w:firstLineChars="0"/>
        <w:rPr>
          <w:b/>
          <w:bCs/>
          <w:kern w:val="13"/>
          <w:sz w:val="21"/>
          <w:szCs w:val="21"/>
        </w:rPr>
      </w:pPr>
    </w:p>
    <w:p w14:paraId="0A385CBC">
      <w:pPr>
        <w:spacing w:line="240" w:lineRule="auto"/>
        <w:ind w:firstLine="480" w:firstLineChars="0"/>
        <w:rPr>
          <w:b/>
          <w:bCs/>
          <w:kern w:val="13"/>
          <w:sz w:val="21"/>
          <w:szCs w:val="21"/>
        </w:rPr>
      </w:pPr>
    </w:p>
    <w:p w14:paraId="3959397F">
      <w:pPr>
        <w:spacing w:line="240" w:lineRule="auto"/>
        <w:ind w:firstLine="480" w:firstLineChars="0"/>
        <w:rPr>
          <w:b/>
          <w:bCs/>
          <w:kern w:val="13"/>
          <w:sz w:val="21"/>
          <w:szCs w:val="21"/>
        </w:rPr>
      </w:pPr>
    </w:p>
    <w:p w14:paraId="56E2A2C3">
      <w:pPr>
        <w:spacing w:line="240" w:lineRule="auto"/>
        <w:ind w:firstLine="480" w:firstLineChars="0"/>
        <w:rPr>
          <w:b/>
          <w:bCs/>
          <w:kern w:val="13"/>
          <w:sz w:val="21"/>
          <w:szCs w:val="21"/>
        </w:rPr>
      </w:pPr>
      <w:r>
        <w:rPr>
          <w:b/>
          <w:bCs/>
          <w:kern w:val="13"/>
          <w:sz w:val="21"/>
          <w:szCs w:val="21"/>
        </w:rPr>
        <w:t>附件</w:t>
      </w:r>
    </w:p>
    <w:p w14:paraId="3CFE3BFC">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附件1：环评委托合同</w:t>
      </w:r>
    </w:p>
    <w:p w14:paraId="38294A9D">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附件2：环境影响评价及验收批复</w:t>
      </w:r>
    </w:p>
    <w:p w14:paraId="3A7568EE">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附件3：入园协议</w:t>
      </w:r>
    </w:p>
    <w:p w14:paraId="0D910636">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附件4：建设用地规划许可证</w:t>
      </w:r>
    </w:p>
    <w:p w14:paraId="69CD17C9">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w:t>
      </w:r>
      <w:r>
        <w:rPr>
          <w:rFonts w:hint="eastAsia" w:ascii="Times New Roman" w:hAnsi="Times New Roman" w:cs="Times New Roman"/>
          <w:sz w:val="21"/>
          <w:szCs w:val="21"/>
          <w:lang w:val="en-US"/>
        </w:rPr>
        <w:t>5</w:t>
      </w:r>
      <w:r>
        <w:rPr>
          <w:rFonts w:ascii="Times New Roman" w:hAnsi="Times New Roman" w:cs="Times New Roman"/>
          <w:sz w:val="21"/>
          <w:szCs w:val="21"/>
          <w:lang w:val="en-US"/>
        </w:rPr>
        <w:t>：排污许可证</w:t>
      </w:r>
    </w:p>
    <w:p w14:paraId="0575D4D0">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w:t>
      </w:r>
      <w:r>
        <w:rPr>
          <w:rFonts w:hint="eastAsia" w:ascii="Times New Roman" w:hAnsi="Times New Roman" w:cs="Times New Roman"/>
          <w:sz w:val="21"/>
          <w:szCs w:val="21"/>
          <w:lang w:val="en-US"/>
        </w:rPr>
        <w:t>6</w:t>
      </w:r>
      <w:r>
        <w:rPr>
          <w:rFonts w:ascii="Times New Roman" w:hAnsi="Times New Roman" w:cs="Times New Roman"/>
          <w:sz w:val="21"/>
          <w:szCs w:val="21"/>
          <w:lang w:val="en-US"/>
        </w:rPr>
        <w:t>：</w:t>
      </w:r>
      <w:r>
        <w:rPr>
          <w:rFonts w:hint="eastAsia" w:ascii="Times New Roman" w:hAnsi="Times New Roman" w:cs="Times New Roman"/>
          <w:sz w:val="21"/>
          <w:szCs w:val="21"/>
          <w:lang w:val="en-US"/>
        </w:rPr>
        <w:t>MSDS</w:t>
      </w:r>
    </w:p>
    <w:p w14:paraId="5D6FE1BE">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w:t>
      </w:r>
      <w:r>
        <w:rPr>
          <w:rFonts w:hint="eastAsia" w:ascii="Times New Roman" w:hAnsi="Times New Roman" w:cs="Times New Roman"/>
          <w:sz w:val="21"/>
          <w:szCs w:val="21"/>
          <w:lang w:val="en-US"/>
        </w:rPr>
        <w:t>7</w:t>
      </w:r>
      <w:r>
        <w:rPr>
          <w:rFonts w:ascii="Times New Roman" w:hAnsi="Times New Roman" w:cs="Times New Roman"/>
          <w:sz w:val="21"/>
          <w:szCs w:val="21"/>
          <w:lang w:val="en-US"/>
        </w:rPr>
        <w:t>：</w:t>
      </w:r>
      <w:r>
        <w:rPr>
          <w:rFonts w:hint="eastAsia" w:ascii="Times New Roman" w:hAnsi="Times New Roman" w:cs="Times New Roman"/>
          <w:sz w:val="21"/>
          <w:szCs w:val="21"/>
          <w:lang w:val="en-US"/>
        </w:rPr>
        <w:t>危废协议</w:t>
      </w:r>
    </w:p>
    <w:p w14:paraId="582B02D1">
      <w:pPr>
        <w:pStyle w:val="29"/>
        <w:adjustRightInd w:val="0"/>
        <w:snapToGrid w:val="0"/>
        <w:spacing w:line="360" w:lineRule="exact"/>
        <w:ind w:firstLine="210"/>
        <w:rPr>
          <w:rFonts w:ascii="Times New Roman" w:hAnsi="Times New Roman" w:cs="Times New Roman"/>
          <w:sz w:val="21"/>
          <w:szCs w:val="21"/>
          <w:lang w:val="en-US"/>
        </w:rPr>
      </w:pPr>
      <w:r>
        <w:rPr>
          <w:rFonts w:hint="eastAsia" w:ascii="Times New Roman" w:hAnsi="Times New Roman" w:cs="Times New Roman"/>
          <w:sz w:val="21"/>
          <w:szCs w:val="21"/>
          <w:lang w:val="en-US"/>
        </w:rPr>
        <w:t>附件8：溶剂回收公司资质</w:t>
      </w:r>
    </w:p>
    <w:p w14:paraId="490575C6">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w:t>
      </w:r>
      <w:r>
        <w:rPr>
          <w:rFonts w:hint="eastAsia" w:ascii="Times New Roman" w:hAnsi="Times New Roman" w:cs="Times New Roman"/>
          <w:sz w:val="21"/>
          <w:szCs w:val="21"/>
          <w:lang w:val="en-US"/>
        </w:rPr>
        <w:t>9</w:t>
      </w:r>
      <w:r>
        <w:rPr>
          <w:rFonts w:ascii="Times New Roman" w:hAnsi="Times New Roman" w:cs="Times New Roman"/>
          <w:sz w:val="21"/>
          <w:szCs w:val="21"/>
          <w:lang w:val="en-US"/>
        </w:rPr>
        <w:t>：</w:t>
      </w:r>
      <w:r>
        <w:rPr>
          <w:rFonts w:hint="eastAsia" w:ascii="Times New Roman" w:hAnsi="Times New Roman" w:cs="Times New Roman"/>
          <w:sz w:val="21"/>
          <w:szCs w:val="21"/>
          <w:lang w:val="en-US"/>
        </w:rPr>
        <w:t>现有项目检测报告</w:t>
      </w:r>
    </w:p>
    <w:p w14:paraId="552974CB">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附件</w:t>
      </w:r>
      <w:r>
        <w:rPr>
          <w:rFonts w:hint="eastAsia" w:ascii="Times New Roman" w:hAnsi="Times New Roman" w:cs="Times New Roman"/>
          <w:sz w:val="21"/>
          <w:szCs w:val="21"/>
          <w:lang w:val="en-US"/>
        </w:rPr>
        <w:t>10</w:t>
      </w:r>
      <w:r>
        <w:rPr>
          <w:rFonts w:ascii="Times New Roman" w:hAnsi="Times New Roman" w:cs="Times New Roman"/>
          <w:sz w:val="21"/>
          <w:szCs w:val="21"/>
          <w:lang w:val="en-US"/>
        </w:rPr>
        <w:t>：</w:t>
      </w:r>
      <w:r>
        <w:rPr>
          <w:rFonts w:hint="eastAsia" w:ascii="Times New Roman" w:hAnsi="Times New Roman" w:cs="Times New Roman"/>
          <w:sz w:val="21"/>
          <w:szCs w:val="21"/>
          <w:lang w:val="en-US"/>
        </w:rPr>
        <w:t>现状监测数据</w:t>
      </w:r>
    </w:p>
    <w:p w14:paraId="1608A594">
      <w:pPr>
        <w:pStyle w:val="29"/>
        <w:adjustRightInd w:val="0"/>
        <w:snapToGrid w:val="0"/>
        <w:spacing w:line="360" w:lineRule="exact"/>
        <w:ind w:firstLine="210"/>
        <w:rPr>
          <w:rFonts w:ascii="Times New Roman" w:hAnsi="Times New Roman" w:cs="Times New Roman"/>
          <w:sz w:val="21"/>
          <w:szCs w:val="21"/>
          <w:lang w:val="en-US"/>
        </w:rPr>
      </w:pPr>
      <w:r>
        <w:rPr>
          <w:rFonts w:hint="eastAsia" w:ascii="Times New Roman" w:hAnsi="Times New Roman" w:cs="Times New Roman"/>
          <w:sz w:val="21"/>
          <w:szCs w:val="21"/>
          <w:lang w:val="en-US"/>
        </w:rPr>
        <w:t>附件11：特征污染因子引用监测数据</w:t>
      </w:r>
    </w:p>
    <w:p w14:paraId="79AAB7CB">
      <w:pPr>
        <w:pStyle w:val="29"/>
        <w:adjustRightInd w:val="0"/>
        <w:snapToGrid w:val="0"/>
        <w:spacing w:line="360" w:lineRule="exact"/>
        <w:ind w:firstLine="210"/>
        <w:rPr>
          <w:rFonts w:ascii="Times New Roman" w:hAnsi="Times New Roman" w:cs="Times New Roman"/>
          <w:sz w:val="21"/>
          <w:szCs w:val="21"/>
          <w:lang w:val="en-US"/>
        </w:rPr>
      </w:pPr>
      <w:r>
        <w:rPr>
          <w:rFonts w:hint="eastAsia" w:ascii="Times New Roman" w:hAnsi="Times New Roman" w:cs="Times New Roman"/>
          <w:sz w:val="21"/>
          <w:szCs w:val="21"/>
          <w:lang w:val="en-US"/>
        </w:rPr>
        <w:t>附件12：湘潭市工业企业“三改一扩”方案</w:t>
      </w:r>
    </w:p>
    <w:p w14:paraId="2EE35C47">
      <w:pPr>
        <w:pStyle w:val="29"/>
        <w:adjustRightInd w:val="0"/>
        <w:snapToGrid w:val="0"/>
        <w:spacing w:line="360" w:lineRule="exact"/>
        <w:ind w:firstLine="210"/>
        <w:rPr>
          <w:rFonts w:ascii="Times New Roman" w:hAnsi="Times New Roman" w:cs="Times New Roman"/>
          <w:sz w:val="21"/>
          <w:szCs w:val="21"/>
          <w:lang w:val="en-US"/>
        </w:rPr>
      </w:pPr>
      <w:r>
        <w:rPr>
          <w:rFonts w:hint="eastAsia" w:ascii="Times New Roman" w:hAnsi="Times New Roman" w:cs="Times New Roman"/>
          <w:sz w:val="21"/>
          <w:szCs w:val="21"/>
          <w:lang w:val="en-US"/>
        </w:rPr>
        <w:t>附件13：排污权证</w:t>
      </w:r>
    </w:p>
    <w:p w14:paraId="592E6012">
      <w:pPr>
        <w:adjustRightInd w:val="0"/>
        <w:snapToGrid w:val="0"/>
        <w:spacing w:line="360" w:lineRule="exact"/>
        <w:ind w:firstLine="482"/>
        <w:rPr>
          <w:b/>
          <w:bCs/>
          <w:kern w:val="13"/>
          <w:sz w:val="21"/>
          <w:szCs w:val="21"/>
        </w:rPr>
      </w:pPr>
      <w:r>
        <w:rPr>
          <w:b/>
          <w:bCs/>
          <w:kern w:val="13"/>
          <w:sz w:val="21"/>
          <w:szCs w:val="21"/>
        </w:rPr>
        <w:t>附图</w:t>
      </w:r>
    </w:p>
    <w:p w14:paraId="58E533EA">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附图1：项目地理位置及</w:t>
      </w:r>
      <w:r>
        <w:rPr>
          <w:rFonts w:hint="eastAsia" w:ascii="Times New Roman" w:hAnsi="Times New Roman" w:cs="Times New Roman"/>
          <w:sz w:val="21"/>
          <w:szCs w:val="21"/>
          <w:lang w:val="en-US"/>
        </w:rPr>
        <w:t>地表水</w:t>
      </w:r>
      <w:r>
        <w:rPr>
          <w:rFonts w:ascii="Times New Roman" w:hAnsi="Times New Roman" w:cs="Times New Roman"/>
          <w:sz w:val="21"/>
          <w:szCs w:val="21"/>
          <w:lang w:val="en-US"/>
        </w:rPr>
        <w:t>监测布点示意图</w:t>
      </w:r>
    </w:p>
    <w:p w14:paraId="258D02EC">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附图2：项目厂区平面布置</w:t>
      </w:r>
    </w:p>
    <w:p w14:paraId="40CBDC9A">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附图3：项目周边敏感点位图</w:t>
      </w:r>
    </w:p>
    <w:p w14:paraId="4C4D3525">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附图4：项目现状噪声、常规大气及特征污染因子监测点位图</w:t>
      </w:r>
    </w:p>
    <w:p w14:paraId="42EFC746">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w:t>
      </w:r>
      <w:r>
        <w:rPr>
          <w:rFonts w:hint="eastAsia" w:ascii="Times New Roman" w:hAnsi="Times New Roman" w:cs="Times New Roman"/>
          <w:sz w:val="21"/>
          <w:szCs w:val="21"/>
          <w:lang w:val="en-US"/>
        </w:rPr>
        <w:t>5</w:t>
      </w:r>
      <w:r>
        <w:rPr>
          <w:rFonts w:ascii="Times New Roman" w:hAnsi="Times New Roman" w:cs="Times New Roman"/>
          <w:sz w:val="21"/>
          <w:szCs w:val="21"/>
          <w:lang w:val="en-US"/>
        </w:rPr>
        <w:t>：项目在长株潭城市群两型社会示范区湘潭易俗河规划图中的位置</w:t>
      </w:r>
    </w:p>
    <w:p w14:paraId="52260EF6">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w:t>
      </w:r>
      <w:r>
        <w:rPr>
          <w:rFonts w:hint="eastAsia" w:ascii="Times New Roman" w:hAnsi="Times New Roman" w:cs="Times New Roman"/>
          <w:sz w:val="21"/>
          <w:szCs w:val="21"/>
          <w:lang w:val="en-US"/>
        </w:rPr>
        <w:t>6</w:t>
      </w:r>
      <w:r>
        <w:rPr>
          <w:rFonts w:ascii="Times New Roman" w:hAnsi="Times New Roman" w:cs="Times New Roman"/>
          <w:sz w:val="21"/>
          <w:szCs w:val="21"/>
          <w:lang w:val="en-US"/>
        </w:rPr>
        <w:t>：项目在湘潭天意示范区污水工程规划图中的位置</w:t>
      </w:r>
    </w:p>
    <w:p w14:paraId="111E136D">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w:t>
      </w:r>
      <w:r>
        <w:rPr>
          <w:rFonts w:hint="eastAsia" w:ascii="Times New Roman" w:hAnsi="Times New Roman" w:cs="Times New Roman"/>
          <w:sz w:val="21"/>
          <w:szCs w:val="21"/>
          <w:lang w:val="en-US"/>
        </w:rPr>
        <w:t>7</w:t>
      </w:r>
      <w:r>
        <w:rPr>
          <w:rFonts w:ascii="Times New Roman" w:hAnsi="Times New Roman" w:cs="Times New Roman"/>
          <w:sz w:val="21"/>
          <w:szCs w:val="21"/>
          <w:lang w:val="en-US"/>
        </w:rPr>
        <w:t>：本项目与601号文边界图、天易经开区总体规划位置关系图</w:t>
      </w:r>
    </w:p>
    <w:p w14:paraId="10348962">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附图</w:t>
      </w:r>
      <w:r>
        <w:rPr>
          <w:rFonts w:hint="eastAsia" w:ascii="Times New Roman" w:hAnsi="Times New Roman" w:cs="Times New Roman"/>
          <w:sz w:val="21"/>
          <w:szCs w:val="21"/>
          <w:lang w:val="en-US"/>
        </w:rPr>
        <w:t>8</w:t>
      </w:r>
      <w:r>
        <w:rPr>
          <w:rFonts w:ascii="Times New Roman" w:hAnsi="Times New Roman" w:cs="Times New Roman"/>
          <w:sz w:val="21"/>
          <w:szCs w:val="21"/>
          <w:lang w:val="en-US"/>
        </w:rPr>
        <w:t>：项目在</w:t>
      </w:r>
      <w:r>
        <w:rPr>
          <w:rFonts w:hint="eastAsia" w:ascii="Times New Roman" w:hAnsi="Times New Roman" w:cs="Times New Roman"/>
          <w:sz w:val="21"/>
          <w:szCs w:val="21"/>
          <w:lang w:val="en-US"/>
        </w:rPr>
        <w:t>“三区三线”图中的位置</w:t>
      </w:r>
    </w:p>
    <w:p w14:paraId="43AA7345">
      <w:pPr>
        <w:adjustRightInd w:val="0"/>
        <w:snapToGrid w:val="0"/>
        <w:spacing w:line="360" w:lineRule="exact"/>
        <w:ind w:firstLine="482"/>
        <w:rPr>
          <w:b/>
          <w:bCs/>
          <w:kern w:val="13"/>
          <w:sz w:val="21"/>
          <w:szCs w:val="21"/>
        </w:rPr>
      </w:pPr>
      <w:r>
        <w:rPr>
          <w:b/>
          <w:bCs/>
          <w:kern w:val="13"/>
          <w:sz w:val="21"/>
          <w:szCs w:val="21"/>
        </w:rPr>
        <w:t>附</w:t>
      </w:r>
      <w:r>
        <w:rPr>
          <w:rFonts w:hint="eastAsia"/>
          <w:b/>
          <w:bCs/>
          <w:kern w:val="13"/>
          <w:sz w:val="21"/>
          <w:szCs w:val="21"/>
        </w:rPr>
        <w:t>表</w:t>
      </w:r>
    </w:p>
    <w:p w14:paraId="006F1698">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w:t>
      </w:r>
      <w:r>
        <w:rPr>
          <w:rFonts w:hint="eastAsia" w:ascii="Times New Roman" w:hAnsi="Times New Roman" w:cs="Times New Roman"/>
          <w:sz w:val="21"/>
          <w:szCs w:val="21"/>
          <w:lang w:val="en-US"/>
        </w:rPr>
        <w:t>表</w:t>
      </w:r>
      <w:r>
        <w:rPr>
          <w:rFonts w:ascii="Times New Roman" w:hAnsi="Times New Roman" w:cs="Times New Roman"/>
          <w:sz w:val="21"/>
          <w:szCs w:val="21"/>
          <w:lang w:val="en-US"/>
        </w:rPr>
        <w:t>1：大气环境影响评价自查表</w:t>
      </w:r>
    </w:p>
    <w:p w14:paraId="7FC52A77">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w:t>
      </w:r>
      <w:r>
        <w:rPr>
          <w:rFonts w:hint="eastAsia" w:ascii="Times New Roman" w:hAnsi="Times New Roman" w:cs="Times New Roman"/>
          <w:sz w:val="21"/>
          <w:szCs w:val="21"/>
          <w:lang w:val="en-US"/>
        </w:rPr>
        <w:t>表</w:t>
      </w:r>
      <w:r>
        <w:rPr>
          <w:rFonts w:ascii="Times New Roman" w:hAnsi="Times New Roman" w:cs="Times New Roman"/>
          <w:sz w:val="21"/>
          <w:szCs w:val="21"/>
          <w:lang w:val="en-US"/>
        </w:rPr>
        <w:t>2：地表水环境影响评价自查表</w:t>
      </w:r>
    </w:p>
    <w:p w14:paraId="50F2447F">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w:t>
      </w:r>
      <w:r>
        <w:rPr>
          <w:rFonts w:hint="eastAsia" w:ascii="Times New Roman" w:hAnsi="Times New Roman" w:cs="Times New Roman"/>
          <w:sz w:val="21"/>
          <w:szCs w:val="21"/>
          <w:lang w:val="en-US"/>
        </w:rPr>
        <w:t>表</w:t>
      </w:r>
      <w:r>
        <w:rPr>
          <w:rFonts w:ascii="Times New Roman" w:hAnsi="Times New Roman" w:cs="Times New Roman"/>
          <w:sz w:val="21"/>
          <w:szCs w:val="21"/>
          <w:lang w:val="en-US"/>
        </w:rPr>
        <w:t>3：环境风险评价自查表</w:t>
      </w:r>
    </w:p>
    <w:p w14:paraId="0589CAD3">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w:t>
      </w:r>
      <w:r>
        <w:rPr>
          <w:rFonts w:hint="eastAsia" w:ascii="Times New Roman" w:hAnsi="Times New Roman" w:cs="Times New Roman"/>
          <w:sz w:val="21"/>
          <w:szCs w:val="21"/>
          <w:lang w:val="en-US"/>
        </w:rPr>
        <w:t>表</w:t>
      </w:r>
      <w:r>
        <w:rPr>
          <w:rFonts w:ascii="Times New Roman" w:hAnsi="Times New Roman" w:cs="Times New Roman"/>
          <w:sz w:val="21"/>
          <w:szCs w:val="21"/>
          <w:lang w:val="en-US"/>
        </w:rPr>
        <w:t>4：声环境影响评价自查表</w:t>
      </w:r>
    </w:p>
    <w:p w14:paraId="484FB4D5">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w:t>
      </w:r>
      <w:r>
        <w:rPr>
          <w:rFonts w:hint="eastAsia" w:ascii="Times New Roman" w:hAnsi="Times New Roman" w:cs="Times New Roman"/>
          <w:sz w:val="21"/>
          <w:szCs w:val="21"/>
          <w:lang w:val="en-US"/>
        </w:rPr>
        <w:t>表5</w:t>
      </w:r>
      <w:r>
        <w:rPr>
          <w:rFonts w:ascii="Times New Roman" w:hAnsi="Times New Roman" w:cs="Times New Roman"/>
          <w:sz w:val="21"/>
          <w:szCs w:val="21"/>
          <w:lang w:val="en-US"/>
        </w:rPr>
        <w:t>：</w:t>
      </w:r>
      <w:r>
        <w:rPr>
          <w:rFonts w:hint="eastAsia" w:ascii="Times New Roman" w:hAnsi="Times New Roman" w:cs="Times New Roman"/>
          <w:sz w:val="21"/>
          <w:szCs w:val="21"/>
          <w:lang w:val="en-US"/>
        </w:rPr>
        <w:t>土壤环境影响评价自查表</w:t>
      </w:r>
    </w:p>
    <w:p w14:paraId="283E4097">
      <w:pPr>
        <w:pStyle w:val="29"/>
        <w:adjustRightInd w:val="0"/>
        <w:snapToGrid w:val="0"/>
        <w:spacing w:line="360" w:lineRule="exact"/>
        <w:ind w:firstLine="210"/>
        <w:rPr>
          <w:rFonts w:ascii="Times New Roman" w:hAnsi="Times New Roman" w:cs="Times New Roman"/>
          <w:sz w:val="21"/>
          <w:szCs w:val="21"/>
          <w:lang w:val="en-US"/>
        </w:rPr>
      </w:pPr>
      <w:r>
        <w:rPr>
          <w:rFonts w:ascii="Times New Roman" w:hAnsi="Times New Roman" w:cs="Times New Roman"/>
          <w:sz w:val="21"/>
          <w:szCs w:val="21"/>
          <w:lang w:val="en-US"/>
        </w:rPr>
        <w:t>附</w:t>
      </w:r>
      <w:r>
        <w:rPr>
          <w:rFonts w:hint="eastAsia" w:ascii="Times New Roman" w:hAnsi="Times New Roman" w:cs="Times New Roman"/>
          <w:sz w:val="21"/>
          <w:szCs w:val="21"/>
          <w:lang w:val="en-US"/>
        </w:rPr>
        <w:t>表6</w:t>
      </w:r>
      <w:r>
        <w:rPr>
          <w:rFonts w:ascii="Times New Roman" w:hAnsi="Times New Roman" w:cs="Times New Roman"/>
          <w:sz w:val="21"/>
          <w:szCs w:val="21"/>
          <w:lang w:val="en-US"/>
        </w:rPr>
        <w:t>：生态影响评价自查表</w:t>
      </w:r>
    </w:p>
    <w:p w14:paraId="6B3D9166">
      <w:pPr>
        <w:pStyle w:val="25"/>
        <w:ind w:left="0" w:leftChars="0"/>
      </w:pPr>
    </w:p>
    <w:p w14:paraId="4063734D">
      <w:pPr>
        <w:pStyle w:val="9"/>
      </w:pPr>
    </w:p>
    <w:p w14:paraId="209BCEDD">
      <w:pPr>
        <w:pStyle w:val="10"/>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964" w:gutter="0"/>
          <w:pgBorders>
            <w:top w:val="none" w:sz="0" w:space="0"/>
            <w:left w:val="none" w:sz="0" w:space="0"/>
            <w:bottom w:val="none" w:sz="0" w:space="0"/>
            <w:right w:val="none" w:sz="0" w:space="0"/>
          </w:pgBorders>
          <w:pgNumType w:fmt="numberInDash" w:start="1"/>
          <w:cols w:space="720" w:num="1"/>
          <w:docGrid w:linePitch="312" w:charSpace="0"/>
        </w:sectPr>
      </w:pPr>
    </w:p>
    <w:p w14:paraId="5EF2F45F">
      <w:pPr>
        <w:pStyle w:val="2"/>
        <w:numPr>
          <w:ilvl w:val="0"/>
          <w:numId w:val="0"/>
        </w:numPr>
        <w:ind w:left="425" w:leftChars="0" w:hanging="425" w:firstLineChars="0"/>
        <w:rPr>
          <w:color w:val="auto"/>
        </w:rPr>
      </w:pPr>
      <w:bookmarkStart w:id="0" w:name="_Toc2986"/>
      <w:r>
        <w:rPr>
          <w:rFonts w:hint="default" w:ascii="宋体" w:hAnsi="宋体" w:eastAsia="宋体" w:cs="宋体"/>
          <w:b/>
          <w:bCs/>
          <w:color w:val="auto"/>
          <w:kern w:val="44"/>
          <w:sz w:val="32"/>
          <w:szCs w:val="32"/>
          <w:lang w:val="en-US" w:eastAsia="zh-CN" w:bidi="ar-SA"/>
        </w:rPr>
        <w:t>第1章</w:t>
      </w:r>
      <w:r>
        <w:rPr>
          <w:rFonts w:hint="eastAsia"/>
          <w:color w:val="auto"/>
        </w:rPr>
        <w:t>概述</w:t>
      </w:r>
      <w:bookmarkEnd w:id="0"/>
    </w:p>
    <w:p w14:paraId="0A47779D">
      <w:pPr>
        <w:pStyle w:val="3"/>
        <w:numPr>
          <w:ilvl w:val="1"/>
          <w:numId w:val="0"/>
        </w:numPr>
        <w:ind w:left="567" w:leftChars="0" w:hanging="567" w:firstLineChars="0"/>
        <w:rPr>
          <w:sz w:val="28"/>
          <w:szCs w:val="28"/>
        </w:rPr>
      </w:pPr>
      <w:bookmarkStart w:id="1" w:name="_Toc13898"/>
      <w:bookmarkStart w:id="2" w:name="_Toc24551"/>
      <w:r>
        <w:rPr>
          <w:rFonts w:hint="default" w:ascii="宋体" w:hAnsi="宋体" w:eastAsia="宋体" w:cs="宋体"/>
          <w:b/>
          <w:bCs/>
          <w:kern w:val="2"/>
          <w:sz w:val="28"/>
          <w:szCs w:val="28"/>
          <w:lang w:val="en-US" w:eastAsia="zh-CN" w:bidi="ar-SA"/>
        </w:rPr>
        <w:t>1.1</w:t>
      </w:r>
      <w:r>
        <w:rPr>
          <w:rFonts w:hint="eastAsia"/>
          <w:sz w:val="28"/>
          <w:szCs w:val="28"/>
        </w:rPr>
        <w:t>项目由来及必要性</w:t>
      </w:r>
      <w:bookmarkEnd w:id="1"/>
    </w:p>
    <w:p w14:paraId="6F70E10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1.1.1</w:t>
      </w:r>
      <w:r>
        <w:rPr>
          <w:rFonts w:hint="eastAsia"/>
        </w:rPr>
        <w:t>全厂环保手续履行情况</w:t>
      </w:r>
    </w:p>
    <w:p w14:paraId="68709F7F">
      <w:pPr>
        <w:ind w:firstLine="480"/>
      </w:pPr>
      <w:bookmarkStart w:id="3" w:name="OLE_LINK3"/>
      <w:bookmarkStart w:id="4" w:name="OLE_LINK4"/>
      <w:r>
        <w:rPr>
          <w:rFonts w:hint="eastAsia"/>
        </w:rPr>
        <w:t>湖南新向维包装有限公司</w:t>
      </w:r>
      <w:bookmarkEnd w:id="3"/>
      <w:bookmarkEnd w:id="4"/>
      <w:r>
        <w:rPr>
          <w:rFonts w:hint="eastAsia"/>
        </w:rPr>
        <w:t>（以下简称“新向维公司”）位于湘潭天易经济开发区海鸥路，是一家集专业设计、开发、生产为一体的软包装印刷生产企业，成立于2010年8月11日，注册资本1000万元，经营范围包含：塑料零件及其他塑料制品制造；塑料包装袋、食品用塑料包装容器工具、日化用品包装袋、镀铝薄膜、吹塑薄膜的加工、销售。</w:t>
      </w:r>
    </w:p>
    <w:p w14:paraId="0341959F">
      <w:pPr>
        <w:ind w:firstLine="480"/>
      </w:pPr>
      <w:r>
        <w:rPr>
          <w:rFonts w:hint="eastAsia"/>
        </w:rPr>
        <w:t>企业现有工程为凹版印刷塑料包装袋，现有产能规模为15000吨/年印刷品，企业项目实施、环保手续履行情况如下：</w:t>
      </w:r>
    </w:p>
    <w:p w14:paraId="5FF10EAD">
      <w:pPr>
        <w:ind w:firstLine="480"/>
      </w:pPr>
      <w:r>
        <w:rPr>
          <w:rFonts w:hint="eastAsia"/>
        </w:rPr>
        <w:t>（1）2010年7月《年产7000吨塑料包装生产线一条和年产4000吨镀铝膜生产线建设项目环境影响报告表》，批文号：2010﹝185﹞号；</w:t>
      </w:r>
    </w:p>
    <w:p w14:paraId="4982FA40">
      <w:pPr>
        <w:ind w:firstLine="480"/>
      </w:pPr>
      <w:r>
        <w:rPr>
          <w:rFonts w:hint="eastAsia"/>
        </w:rPr>
        <w:t>（2）2014年7月《湖南新向维包装有限公司仓储及办公生活区项目环境影响报告表》，批文号：潭天易环审2014﹝017﹞号；</w:t>
      </w:r>
    </w:p>
    <w:p w14:paraId="60240358">
      <w:pPr>
        <w:ind w:firstLine="480"/>
      </w:pPr>
      <w:r>
        <w:rPr>
          <w:rFonts w:hint="eastAsia"/>
        </w:rPr>
        <w:t>（3）2016年3月，长沙佳蓝检测技术有限公司编制《年产7000吨塑料包装生产线和年产4000吨镀铝膜生产线建设项目、仓储及办公生活区项目》验收报告，2016年8月24日通过了湘潭市环保局验收，验收文号潭环审﹝2016﹞251号；</w:t>
      </w:r>
    </w:p>
    <w:p w14:paraId="5F588AB6">
      <w:pPr>
        <w:ind w:firstLine="480"/>
      </w:pPr>
      <w:r>
        <w:rPr>
          <w:rFonts w:hint="eastAsia"/>
        </w:rPr>
        <w:t>（4）2018年5月《新增3080吨/年塑料包装袋改扩建项目》，批文号：潭环审字﹝2018﹞72号，此次环评镀铝膜部分整体被搬迁至千里码数据服务有限公司，新向维部分不再涉及此产品生产；</w:t>
      </w:r>
    </w:p>
    <w:p w14:paraId="240FFC2F">
      <w:pPr>
        <w:ind w:firstLine="480"/>
      </w:pPr>
      <w:r>
        <w:rPr>
          <w:rFonts w:hint="eastAsia"/>
        </w:rPr>
        <w:t>（5） 2021年4月，湖南宏润检测有限公司编制了《新增3080吨/年塑料包装袋改扩建项目》验收报告，6月完成自主验收；</w:t>
      </w:r>
    </w:p>
    <w:p w14:paraId="446ABBF1">
      <w:pPr>
        <w:ind w:firstLine="480"/>
      </w:pPr>
      <w:r>
        <w:t>（</w:t>
      </w:r>
      <w:r>
        <w:rPr>
          <w:rFonts w:hint="eastAsia"/>
        </w:rPr>
        <w:t>6</w:t>
      </w:r>
      <w:r>
        <w:t>）2021年9月</w:t>
      </w:r>
      <w:r>
        <w:rPr>
          <w:rFonts w:hint="eastAsia"/>
        </w:rPr>
        <w:t>，新建</w:t>
      </w:r>
      <w:r>
        <w:t>更换环保措施</w:t>
      </w:r>
      <w:r>
        <w:rPr>
          <w:rFonts w:asciiTheme="minorEastAsia" w:hAnsiTheme="minorEastAsia" w:eastAsiaTheme="minorEastAsia"/>
        </w:rPr>
        <w:t>为“</w:t>
      </w:r>
      <w:r>
        <w:t>（2+1）三通路处理凹印有机废气的节能减排系统（催化氧化双通路、碱液喷淋）</w:t>
      </w:r>
      <w:r>
        <w:rPr>
          <w:rFonts w:asciiTheme="minorEastAsia" w:hAnsiTheme="minorEastAsia" w:eastAsiaTheme="minorEastAsia"/>
        </w:rPr>
        <w:t>”处</w:t>
      </w:r>
      <w:r>
        <w:t>理措施，2021年10月完成《湖南新向维包装有限公司VOCs综合整</w:t>
      </w:r>
      <w:r>
        <w:rPr>
          <w:rFonts w:asciiTheme="minorEastAsia" w:hAnsiTheme="minorEastAsia" w:eastAsiaTheme="minorEastAsia"/>
        </w:rPr>
        <w:t>治“一企一方案”验</w:t>
      </w:r>
      <w:r>
        <w:t>收监测报告》</w:t>
      </w:r>
      <w:r>
        <w:rPr>
          <w:rFonts w:hint="eastAsia"/>
        </w:rPr>
        <w:t>；</w:t>
      </w:r>
    </w:p>
    <w:p w14:paraId="2DF823EE">
      <w:pPr>
        <w:ind w:firstLine="480"/>
        <w:rPr>
          <w:rFonts w:hint="eastAsia" w:eastAsia="宋体"/>
          <w:lang w:eastAsia="zh-CN"/>
        </w:rPr>
      </w:pPr>
      <w:r>
        <w:rPr>
          <w:rFonts w:hint="eastAsia"/>
          <w:b/>
        </w:rPr>
        <w:t>（7）</w:t>
      </w:r>
      <w:r>
        <w:rPr>
          <w:rFonts w:hint="eastAsia"/>
          <w:b/>
          <w:bCs/>
        </w:rPr>
        <w:t>2024年1月3日，《年产15000吨印刷品改扩建项目环境影响报告书》取得湘潭市生态环境局湘潭县分局批复，批文号：潭环审（湘潭县）【2024】1号，暂未验收。</w:t>
      </w:r>
      <w:r>
        <w:rPr>
          <w:rFonts w:hint="eastAsia"/>
          <w:b/>
          <w:bCs/>
          <w:lang w:eastAsia="zh-CN"/>
        </w:rPr>
        <w:t>（</w:t>
      </w:r>
      <w:r>
        <w:rPr>
          <w:rFonts w:hint="eastAsia"/>
          <w:b/>
        </w:rPr>
        <w:t>本次</w:t>
      </w:r>
      <w:r>
        <w:rPr>
          <w:rFonts w:hint="eastAsia"/>
          <w:b/>
          <w:lang w:val="en-US" w:eastAsia="zh-CN"/>
        </w:rPr>
        <w:t>变动对象</w:t>
      </w:r>
      <w:r>
        <w:rPr>
          <w:rFonts w:hint="eastAsia"/>
          <w:b/>
          <w:bCs/>
          <w:lang w:eastAsia="zh-CN"/>
        </w:rPr>
        <w:t>）</w:t>
      </w:r>
    </w:p>
    <w:p w14:paraId="6AF6B6D9">
      <w:pPr>
        <w:ind w:firstLine="482"/>
      </w:pPr>
      <w:r>
        <w:rPr>
          <w:rFonts w:hint="eastAsia"/>
        </w:rPr>
        <w:t>排污许可：根据《固定污染源排污许可分类管理名录》（2019年版），公司属于“十八、印刷和记录媒介复制业23—39印刷231——纳入重点排污单位名录的”企业，应按照“重点管理”类别进行排污许可证的申请工作。2023年6月，湖南新向维包装有限公司在“全国排污许可证管理信息平台”进行了重点管理排污许可最新申报，证书编号：91430300559530360G001V，有效期限：自2023年6月15日起至2028年6月14日止。</w:t>
      </w:r>
    </w:p>
    <w:p w14:paraId="3BA0335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1.1.2</w:t>
      </w:r>
      <w:r>
        <w:rPr>
          <w:rFonts w:hint="eastAsia"/>
          <w:lang w:val="en-US" w:eastAsia="zh-CN"/>
        </w:rPr>
        <w:t>变动</w:t>
      </w:r>
      <w:r>
        <w:rPr>
          <w:rFonts w:hint="eastAsia"/>
        </w:rPr>
        <w:t>背景</w:t>
      </w:r>
    </w:p>
    <w:p w14:paraId="3DBC72A5">
      <w:pPr>
        <w:ind w:firstLine="480"/>
      </w:pPr>
      <w:r>
        <w:rPr>
          <w:rFonts w:hint="eastAsia"/>
          <w:u w:val="single"/>
        </w:rPr>
        <w:t>“年产15000吨印刷品改扩建项目”于2024年11月基本完</w:t>
      </w:r>
      <w:r>
        <w:rPr>
          <w:rFonts w:hint="eastAsia"/>
          <w:u w:val="single"/>
        </w:rPr>
        <w:tab/>
      </w:r>
      <w:r>
        <w:rPr>
          <w:rFonts w:hint="eastAsia"/>
          <w:u w:val="single"/>
        </w:rPr>
        <w:t>成设备的安装与调试</w:t>
      </w:r>
      <w:r>
        <w:rPr>
          <w:rFonts w:hint="eastAsia"/>
          <w:u w:val="single"/>
          <w:lang w:eastAsia="zh-CN"/>
        </w:rPr>
        <w:t>。</w:t>
      </w:r>
      <w:r>
        <w:rPr>
          <w:rFonts w:hint="eastAsia"/>
          <w:u w:val="single"/>
          <w:lang w:val="en-US" w:eastAsia="zh-CN"/>
        </w:rPr>
        <w:t>在该项目建设期间，企业也紧跟行业的实时先进经验和生产技术，将部分印机、复合机更换成了转速更高的设备，</w:t>
      </w:r>
      <w:r>
        <w:rPr>
          <w:rFonts w:hint="eastAsia"/>
          <w:u w:val="single"/>
        </w:rPr>
        <w:t>根据调试阶段的</w:t>
      </w:r>
      <w:r>
        <w:rPr>
          <w:rFonts w:hint="eastAsia"/>
          <w:u w:val="single"/>
          <w:lang w:val="en-US" w:eastAsia="zh-CN"/>
        </w:rPr>
        <w:t>结果</w:t>
      </w:r>
      <w:r>
        <w:rPr>
          <w:rFonts w:hint="eastAsia"/>
          <w:u w:val="single"/>
        </w:rPr>
        <w:t>，</w:t>
      </w:r>
      <w:r>
        <w:rPr>
          <w:rFonts w:hint="eastAsia"/>
          <w:u w:val="single"/>
          <w:lang w:val="en-US" w:eastAsia="zh-CN"/>
        </w:rPr>
        <w:t>企业环评期间</w:t>
      </w:r>
      <w:r>
        <w:rPr>
          <w:rFonts w:hint="eastAsia"/>
          <w:u w:val="single"/>
        </w:rPr>
        <w:t>产能预估偏</w:t>
      </w:r>
      <w:r>
        <w:rPr>
          <w:rFonts w:hint="eastAsia"/>
          <w:u w:val="single"/>
          <w:lang w:val="en-US" w:eastAsia="zh-CN"/>
        </w:rPr>
        <w:t>保守</w:t>
      </w:r>
      <w:r>
        <w:rPr>
          <w:rFonts w:hint="eastAsia"/>
          <w:u w:val="single"/>
        </w:rPr>
        <w:t>，</w:t>
      </w:r>
      <w:r>
        <w:rPr>
          <w:rFonts w:hint="eastAsia"/>
          <w:u w:val="single"/>
          <w:lang w:val="en-US" w:eastAsia="zh-CN"/>
        </w:rPr>
        <w:t>特别是部分设备进一步提高转速后，既定</w:t>
      </w:r>
      <w:r>
        <w:rPr>
          <w:rFonts w:hint="eastAsia"/>
          <w:u w:val="single"/>
        </w:rPr>
        <w:t>生产时长</w:t>
      </w:r>
      <w:r>
        <w:rPr>
          <w:rFonts w:hint="eastAsia"/>
          <w:u w:val="single"/>
          <w:lang w:val="en-US" w:eastAsia="zh-CN"/>
        </w:rPr>
        <w:t>的</w:t>
      </w:r>
      <w:r>
        <w:rPr>
          <w:rFonts w:hint="eastAsia"/>
          <w:u w:val="single"/>
        </w:rPr>
        <w:t>产能可达到30000t/a</w:t>
      </w:r>
      <w:r>
        <w:rPr>
          <w:rFonts w:hint="eastAsia"/>
          <w:u w:val="single"/>
          <w:lang w:eastAsia="zh-CN"/>
        </w:rPr>
        <w:t>。</w:t>
      </w:r>
      <w:r>
        <w:rPr>
          <w:rFonts w:hint="eastAsia"/>
          <w:u w:val="single"/>
        </w:rPr>
        <w:t>同时近年来湘潭地区槟榔、熟食、休闲食品等行业发展稳定，对塑料软包装需求量逐年上涨，</w:t>
      </w:r>
      <w:r>
        <w:rPr>
          <w:rFonts w:hint="eastAsia"/>
          <w:u w:val="single"/>
          <w:lang w:val="en-US" w:eastAsia="zh-CN"/>
        </w:rPr>
        <w:t>在此背景下，</w:t>
      </w:r>
      <w:r>
        <w:rPr>
          <w:rFonts w:hint="eastAsia"/>
          <w:u w:val="single"/>
        </w:rPr>
        <w:t>建设单位决定对在建项目进行变更：生产设备和环保设备不变的情况下，将全厂印刷品总产能由已批复的15000t/a提高至30000t/a，同时增加相应原辅材料用量。</w:t>
      </w:r>
    </w:p>
    <w:p w14:paraId="44BE6CBA">
      <w:pPr>
        <w:ind w:firstLine="480"/>
        <w:rPr>
          <w:rFonts w:hint="eastAsia"/>
          <w:u w:val="single"/>
          <w:lang w:val="en-US" w:eastAsia="zh-CN"/>
        </w:rPr>
      </w:pPr>
      <w:r>
        <w:rPr>
          <w:rFonts w:hint="eastAsia"/>
          <w:u w:val="single"/>
        </w:rPr>
        <w:t>查阅《污染影响类建设项目重大变动清单（试行）》，本项目</w:t>
      </w:r>
      <w:r>
        <w:rPr>
          <w:rFonts w:hint="eastAsia"/>
          <w:u w:val="single"/>
          <w:lang w:val="en-US" w:eastAsia="zh-CN"/>
        </w:rPr>
        <w:t>变动判定详见下表：</w:t>
      </w:r>
    </w:p>
    <w:p w14:paraId="4A076DBC">
      <w:pPr>
        <w:spacing w:line="240" w:lineRule="auto"/>
        <w:ind w:firstLine="2168" w:firstLineChars="900"/>
        <w:rPr>
          <w:rFonts w:hint="default"/>
          <w:b/>
          <w:bCs/>
          <w:u w:val="single"/>
          <w:lang w:val="en-US" w:eastAsia="zh-CN"/>
        </w:rPr>
      </w:pPr>
      <w:r>
        <w:rPr>
          <w:rFonts w:hint="eastAsia"/>
          <w:b/>
          <w:bCs/>
          <w:u w:val="single"/>
          <w:lang w:val="en-US" w:eastAsia="zh-CN"/>
        </w:rPr>
        <w:t>表1.1-1   重大变动判定结果一览表</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1295"/>
        <w:gridCol w:w="3508"/>
        <w:gridCol w:w="2609"/>
        <w:gridCol w:w="1710"/>
      </w:tblGrid>
      <w:tr w14:paraId="1FEA2E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tcBorders>
              <w:tl2br w:val="nil"/>
              <w:tr2bl w:val="nil"/>
            </w:tcBorders>
            <w:shd w:val="clear" w:color="auto" w:fill="FFFFFF"/>
            <w:noWrap w:val="0"/>
            <w:vAlign w:val="center"/>
          </w:tcPr>
          <w:p w14:paraId="4A385B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类别</w:t>
            </w:r>
          </w:p>
        </w:tc>
        <w:tc>
          <w:tcPr>
            <w:tcW w:w="1922" w:type="pct"/>
            <w:tcBorders>
              <w:tl2br w:val="nil"/>
              <w:tr2bl w:val="nil"/>
            </w:tcBorders>
            <w:shd w:val="clear" w:color="auto" w:fill="FFFFFF"/>
            <w:noWrap w:val="0"/>
            <w:vAlign w:val="center"/>
          </w:tcPr>
          <w:p w14:paraId="4D39FBD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重点变动判定依据</w:t>
            </w:r>
          </w:p>
        </w:tc>
        <w:tc>
          <w:tcPr>
            <w:tcW w:w="1430" w:type="pct"/>
            <w:tcBorders>
              <w:tl2br w:val="nil"/>
              <w:tr2bl w:val="nil"/>
            </w:tcBorders>
            <w:shd w:val="clear" w:color="auto" w:fill="FFFFFF"/>
            <w:noWrap w:val="0"/>
            <w:vAlign w:val="center"/>
          </w:tcPr>
          <w:p w14:paraId="431897C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本次变动情况</w:t>
            </w:r>
          </w:p>
        </w:tc>
        <w:tc>
          <w:tcPr>
            <w:tcW w:w="937" w:type="pct"/>
            <w:tcBorders>
              <w:tl2br w:val="nil"/>
              <w:tr2bl w:val="nil"/>
            </w:tcBorders>
            <w:shd w:val="clear" w:color="auto" w:fill="FFFFFF"/>
            <w:noWrap w:val="0"/>
            <w:vAlign w:val="center"/>
          </w:tcPr>
          <w:p w14:paraId="4DAFB8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判定结果</w:t>
            </w:r>
          </w:p>
        </w:tc>
      </w:tr>
      <w:tr w14:paraId="3C75D7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tcBorders>
              <w:tl2br w:val="nil"/>
              <w:tr2bl w:val="nil"/>
            </w:tcBorders>
            <w:shd w:val="clear" w:color="auto" w:fill="FFFFFF"/>
            <w:noWrap w:val="0"/>
            <w:vAlign w:val="center"/>
          </w:tcPr>
          <w:p w14:paraId="34E9DC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性质</w:t>
            </w:r>
          </w:p>
        </w:tc>
        <w:tc>
          <w:tcPr>
            <w:tcW w:w="1922" w:type="pct"/>
            <w:tcBorders>
              <w:tl2br w:val="nil"/>
              <w:tr2bl w:val="nil"/>
            </w:tcBorders>
            <w:shd w:val="clear" w:color="auto" w:fill="FFFFFF"/>
            <w:noWrap w:val="0"/>
            <w:vAlign w:val="center"/>
          </w:tcPr>
          <w:p w14:paraId="1FE17F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1.建设项目开发、使用功能发生变化的。</w:t>
            </w:r>
          </w:p>
        </w:tc>
        <w:tc>
          <w:tcPr>
            <w:tcW w:w="1430" w:type="pct"/>
            <w:tcBorders>
              <w:tl2br w:val="nil"/>
              <w:tr2bl w:val="nil"/>
            </w:tcBorders>
            <w:shd w:val="clear" w:color="auto" w:fill="FFFFFF"/>
            <w:noWrap w:val="0"/>
            <w:vAlign w:val="center"/>
          </w:tcPr>
          <w:p w14:paraId="0258C7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项目开发、使用功能不</w:t>
            </w:r>
          </w:p>
          <w:p w14:paraId="6B38C16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lang w:val="en-US" w:eastAsia="zh-CN"/>
              </w:rPr>
            </w:pPr>
            <w:r>
              <w:rPr>
                <w:rFonts w:hint="eastAsia"/>
                <w:sz w:val="21"/>
                <w:szCs w:val="21"/>
                <w:u w:val="single"/>
              </w:rPr>
              <w:t>变，</w:t>
            </w:r>
            <w:r>
              <w:rPr>
                <w:rFonts w:hint="eastAsia"/>
                <w:sz w:val="21"/>
                <w:szCs w:val="21"/>
                <w:u w:val="single"/>
                <w:lang w:val="en-US" w:eastAsia="zh-CN"/>
              </w:rPr>
              <w:t>生产规模不变；</w:t>
            </w:r>
          </w:p>
          <w:p w14:paraId="05D0F1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生产搪瓷静电干粉10000t/a，搪瓷预磨粉10000t/a</w:t>
            </w:r>
          </w:p>
        </w:tc>
        <w:tc>
          <w:tcPr>
            <w:tcW w:w="937" w:type="pct"/>
            <w:tcBorders>
              <w:tl2br w:val="nil"/>
              <w:tr2bl w:val="nil"/>
            </w:tcBorders>
            <w:shd w:val="clear" w:color="auto" w:fill="FFFFFF"/>
            <w:noWrap w:val="0"/>
            <w:vAlign w:val="center"/>
          </w:tcPr>
          <w:p w14:paraId="64A250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lang w:val="en-US" w:eastAsia="zh-CN"/>
              </w:rPr>
            </w:pPr>
            <w:r>
              <w:rPr>
                <w:rFonts w:hint="eastAsia"/>
                <w:sz w:val="21"/>
                <w:szCs w:val="21"/>
                <w:u w:val="single"/>
                <w:lang w:val="en-US" w:eastAsia="zh-CN"/>
              </w:rPr>
              <w:t>无变化</w:t>
            </w:r>
          </w:p>
        </w:tc>
      </w:tr>
      <w:tr w14:paraId="0427A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restart"/>
            <w:tcBorders>
              <w:tl2br w:val="nil"/>
              <w:tr2bl w:val="nil"/>
            </w:tcBorders>
            <w:shd w:val="clear" w:color="auto" w:fill="FFFFFF"/>
            <w:noWrap w:val="0"/>
            <w:vAlign w:val="center"/>
          </w:tcPr>
          <w:p w14:paraId="1A6DA9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规模</w:t>
            </w:r>
          </w:p>
        </w:tc>
        <w:tc>
          <w:tcPr>
            <w:tcW w:w="1922" w:type="pct"/>
            <w:tcBorders>
              <w:tl2br w:val="nil"/>
              <w:tr2bl w:val="nil"/>
            </w:tcBorders>
            <w:shd w:val="clear" w:color="auto" w:fill="FFFFFF"/>
            <w:noWrap w:val="0"/>
            <w:vAlign w:val="center"/>
          </w:tcPr>
          <w:p w14:paraId="3FDE48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b/>
                <w:bCs/>
                <w:sz w:val="21"/>
                <w:szCs w:val="21"/>
                <w:u w:val="single"/>
              </w:rPr>
              <w:t>2.生产、处置或储存能力增大30%及以上的。</w:t>
            </w:r>
          </w:p>
        </w:tc>
        <w:tc>
          <w:tcPr>
            <w:tcW w:w="1430" w:type="pct"/>
            <w:tcBorders>
              <w:tl2br w:val="nil"/>
              <w:tr2bl w:val="nil"/>
            </w:tcBorders>
            <w:shd w:val="clear" w:color="auto" w:fill="FFFFFF"/>
            <w:noWrap w:val="0"/>
            <w:vAlign w:val="center"/>
          </w:tcPr>
          <w:p w14:paraId="3E83AB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eastAsia="宋体"/>
                <w:b/>
                <w:bCs/>
                <w:sz w:val="21"/>
                <w:szCs w:val="21"/>
                <w:u w:val="single"/>
                <w:lang w:val="en-US" w:eastAsia="zh-CN"/>
              </w:rPr>
            </w:pPr>
            <w:r>
              <w:rPr>
                <w:rFonts w:hint="eastAsia"/>
                <w:b/>
                <w:bCs/>
                <w:sz w:val="21"/>
                <w:szCs w:val="21"/>
                <w:u w:val="single"/>
                <w:lang w:val="en-US" w:eastAsia="zh-CN"/>
              </w:rPr>
              <w:t>印刷</w:t>
            </w:r>
            <w:r>
              <w:rPr>
                <w:rFonts w:hint="eastAsia"/>
                <w:b/>
                <w:bCs/>
                <w:sz w:val="21"/>
                <w:szCs w:val="21"/>
                <w:u w:val="single"/>
              </w:rPr>
              <w:t>产能</w:t>
            </w:r>
            <w:r>
              <w:rPr>
                <w:rFonts w:hint="eastAsia"/>
                <w:b/>
                <w:bCs/>
                <w:sz w:val="21"/>
                <w:szCs w:val="21"/>
                <w:u w:val="single"/>
                <w:lang w:val="en-US" w:eastAsia="zh-CN"/>
              </w:rPr>
              <w:t>提升100%</w:t>
            </w:r>
          </w:p>
        </w:tc>
        <w:tc>
          <w:tcPr>
            <w:tcW w:w="937" w:type="pct"/>
            <w:tcBorders>
              <w:tl2br w:val="nil"/>
              <w:tr2bl w:val="nil"/>
            </w:tcBorders>
            <w:shd w:val="clear" w:color="auto" w:fill="FFFFFF"/>
            <w:noWrap w:val="0"/>
            <w:vAlign w:val="center"/>
          </w:tcPr>
          <w:p w14:paraId="2E36120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lang w:val="zh-TW" w:eastAsia="zh-CN"/>
              </w:rPr>
            </w:pPr>
            <w:r>
              <w:rPr>
                <w:rFonts w:hint="eastAsia"/>
                <w:b/>
                <w:bCs/>
                <w:sz w:val="21"/>
                <w:szCs w:val="21"/>
                <w:u w:val="single"/>
                <w:lang w:val="en-US" w:eastAsia="zh-CN"/>
              </w:rPr>
              <w:t>重大变动</w:t>
            </w:r>
          </w:p>
        </w:tc>
      </w:tr>
      <w:tr w14:paraId="19518D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22CC46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5E29CF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3.生产、处置或储存能力增大，导致废水第一类污染物排放量增加的。</w:t>
            </w:r>
          </w:p>
        </w:tc>
        <w:tc>
          <w:tcPr>
            <w:tcW w:w="1430" w:type="pct"/>
            <w:tcBorders>
              <w:tl2br w:val="nil"/>
              <w:tr2bl w:val="nil"/>
            </w:tcBorders>
            <w:shd w:val="clear" w:color="auto" w:fill="FFFFFF"/>
            <w:noWrap w:val="0"/>
            <w:vAlign w:val="center"/>
          </w:tcPr>
          <w:p w14:paraId="3C0AF80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lang w:val="en-US" w:eastAsia="zh-CN"/>
              </w:rPr>
            </w:pPr>
            <w:r>
              <w:rPr>
                <w:rFonts w:hint="eastAsia"/>
                <w:sz w:val="21"/>
                <w:szCs w:val="21"/>
                <w:u w:val="single"/>
              </w:rPr>
              <w:t>无废水</w:t>
            </w:r>
            <w:r>
              <w:rPr>
                <w:rFonts w:hint="eastAsia"/>
                <w:sz w:val="21"/>
                <w:szCs w:val="21"/>
                <w:u w:val="single"/>
                <w:lang w:val="en-US" w:eastAsia="zh-CN"/>
              </w:rPr>
              <w:t>排放</w:t>
            </w:r>
          </w:p>
        </w:tc>
        <w:tc>
          <w:tcPr>
            <w:tcW w:w="937" w:type="pct"/>
            <w:tcBorders>
              <w:tl2br w:val="nil"/>
              <w:tr2bl w:val="nil"/>
            </w:tcBorders>
            <w:shd w:val="clear" w:color="auto" w:fill="FFFFFF"/>
            <w:noWrap w:val="0"/>
            <w:vAlign w:val="center"/>
          </w:tcPr>
          <w:p w14:paraId="07798E0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4055B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30E7043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40E38EA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4.位于环境质量不达标区的建设项目生产、处置或储存能力增大，导致相应污染物排放量增加的（细颗粒物不达标区，相应污染物为二置化琉、氮氧化物、可吸入颗粒物、挥发性有机物；臭氧不达标区，相应污染物为氮氧化物、挥发性有机物；其他大气、水污染物因子不达标区，相应污染物为超标污染因子）；</w:t>
            </w:r>
            <w:r>
              <w:rPr>
                <w:rFonts w:hint="eastAsia"/>
                <w:b/>
                <w:bCs/>
                <w:sz w:val="21"/>
                <w:szCs w:val="21"/>
                <w:u w:val="single"/>
              </w:rPr>
              <w:t>位于达标区的</w:t>
            </w:r>
            <w:r>
              <w:rPr>
                <w:rFonts w:hint="eastAsia"/>
                <w:b/>
                <w:bCs/>
                <w:sz w:val="21"/>
                <w:szCs w:val="21"/>
                <w:u w:val="single"/>
                <w:lang w:val="en-US" w:eastAsia="zh-CN"/>
              </w:rPr>
              <w:t>建设</w:t>
            </w:r>
            <w:r>
              <w:rPr>
                <w:rFonts w:hint="eastAsia"/>
                <w:b/>
                <w:bCs/>
                <w:sz w:val="21"/>
                <w:szCs w:val="21"/>
                <w:u w:val="single"/>
              </w:rPr>
              <w:t>项目生产、处置或储存能力增大，导致污染物排放量増加10%及以上的。</w:t>
            </w:r>
          </w:p>
        </w:tc>
        <w:tc>
          <w:tcPr>
            <w:tcW w:w="1430" w:type="pct"/>
            <w:tcBorders>
              <w:tl2br w:val="nil"/>
              <w:tr2bl w:val="nil"/>
            </w:tcBorders>
            <w:shd w:val="clear" w:color="auto" w:fill="FFFFFF"/>
            <w:noWrap w:val="0"/>
            <w:vAlign w:val="center"/>
          </w:tcPr>
          <w:p w14:paraId="06BBC6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lang w:val="en-US" w:eastAsia="zh-CN"/>
              </w:rPr>
            </w:pPr>
            <w:r>
              <w:rPr>
                <w:rFonts w:hint="eastAsia"/>
                <w:b/>
                <w:bCs/>
                <w:sz w:val="21"/>
                <w:szCs w:val="21"/>
                <w:u w:val="single"/>
                <w:lang w:val="en-US" w:eastAsia="zh-CN"/>
              </w:rPr>
              <w:t>变动后有机废气VOCs的排放增量大于10%</w:t>
            </w:r>
          </w:p>
          <w:p w14:paraId="0A4896A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lang w:val="en-US" w:eastAsia="zh-CN"/>
              </w:rPr>
            </w:pPr>
          </w:p>
          <w:p w14:paraId="675507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lang w:val="en-US" w:eastAsia="zh-CN"/>
              </w:rPr>
            </w:pPr>
          </w:p>
        </w:tc>
        <w:tc>
          <w:tcPr>
            <w:tcW w:w="937" w:type="pct"/>
            <w:tcBorders>
              <w:tl2br w:val="nil"/>
              <w:tr2bl w:val="nil"/>
            </w:tcBorders>
            <w:shd w:val="clear" w:color="auto" w:fill="FFFFFF"/>
            <w:noWrap w:val="0"/>
            <w:vAlign w:val="center"/>
          </w:tcPr>
          <w:p w14:paraId="76875BF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rPr>
            </w:pPr>
            <w:r>
              <w:rPr>
                <w:rFonts w:hint="eastAsia"/>
                <w:b/>
                <w:bCs/>
                <w:sz w:val="21"/>
                <w:szCs w:val="21"/>
                <w:u w:val="single"/>
              </w:rPr>
              <w:t>重大变动</w:t>
            </w:r>
          </w:p>
        </w:tc>
      </w:tr>
      <w:tr w14:paraId="7F6876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tcBorders>
              <w:tl2br w:val="nil"/>
              <w:tr2bl w:val="nil"/>
            </w:tcBorders>
            <w:shd w:val="clear" w:color="auto" w:fill="FFFFFF"/>
            <w:noWrap w:val="0"/>
            <w:vAlign w:val="center"/>
          </w:tcPr>
          <w:p w14:paraId="678737D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地点</w:t>
            </w:r>
          </w:p>
        </w:tc>
        <w:tc>
          <w:tcPr>
            <w:tcW w:w="1922" w:type="pct"/>
            <w:tcBorders>
              <w:tl2br w:val="nil"/>
              <w:tr2bl w:val="nil"/>
            </w:tcBorders>
            <w:shd w:val="clear" w:color="auto" w:fill="FFFFFF"/>
            <w:noWrap w:val="0"/>
            <w:vAlign w:val="center"/>
          </w:tcPr>
          <w:p w14:paraId="31D86B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5.重新选址；在原厂址附近调整（包括总平面布置变化）导致环境防护距离范围变化且新增敏感点的。</w:t>
            </w:r>
          </w:p>
        </w:tc>
        <w:tc>
          <w:tcPr>
            <w:tcW w:w="1430" w:type="pct"/>
            <w:tcBorders>
              <w:tl2br w:val="nil"/>
              <w:tr2bl w:val="nil"/>
            </w:tcBorders>
            <w:shd w:val="clear" w:color="auto" w:fill="FFFFFF"/>
            <w:noWrap w:val="0"/>
            <w:vAlign w:val="center"/>
          </w:tcPr>
          <w:p w14:paraId="130382E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lang w:eastAsia="zh-CN"/>
              </w:rPr>
            </w:pPr>
            <w:r>
              <w:rPr>
                <w:rFonts w:hint="eastAsia"/>
                <w:sz w:val="21"/>
                <w:szCs w:val="21"/>
                <w:u w:val="single"/>
                <w:lang w:eastAsia="zh-CN"/>
              </w:rPr>
              <w:t>项目</w:t>
            </w:r>
            <w:r>
              <w:rPr>
                <w:rFonts w:hint="eastAsia"/>
                <w:sz w:val="21"/>
                <w:szCs w:val="21"/>
                <w:u w:val="single"/>
              </w:rPr>
              <w:t>厂界</w:t>
            </w:r>
            <w:r>
              <w:rPr>
                <w:rFonts w:hint="eastAsia"/>
                <w:sz w:val="21"/>
                <w:szCs w:val="21"/>
                <w:u w:val="single"/>
                <w:lang w:val="en-US" w:eastAsia="zh-CN"/>
              </w:rPr>
              <w:t>及建筑布局</w:t>
            </w:r>
            <w:r>
              <w:rPr>
                <w:rFonts w:hint="eastAsia"/>
                <w:sz w:val="21"/>
                <w:szCs w:val="21"/>
                <w:u w:val="single"/>
                <w:lang w:eastAsia="zh-CN"/>
              </w:rPr>
              <w:t>未变，</w:t>
            </w:r>
            <w:r>
              <w:rPr>
                <w:rFonts w:hint="eastAsia"/>
                <w:sz w:val="21"/>
                <w:szCs w:val="21"/>
                <w:u w:val="single"/>
                <w:lang w:val="en-US" w:eastAsia="zh-CN"/>
              </w:rPr>
              <w:t>车间内设备布局</w:t>
            </w:r>
            <w:r>
              <w:rPr>
                <w:rFonts w:hint="eastAsia"/>
                <w:sz w:val="21"/>
                <w:szCs w:val="21"/>
                <w:u w:val="single"/>
                <w:lang w:eastAsia="zh-CN"/>
              </w:rPr>
              <w:t>有微调。</w:t>
            </w:r>
            <w:r>
              <w:rPr>
                <w:rFonts w:hint="eastAsia"/>
                <w:sz w:val="21"/>
                <w:szCs w:val="21"/>
                <w:u w:val="single"/>
              </w:rPr>
              <w:t>环境防护距离范围</w:t>
            </w:r>
            <w:r>
              <w:rPr>
                <w:rFonts w:hint="eastAsia"/>
                <w:sz w:val="21"/>
                <w:szCs w:val="21"/>
                <w:u w:val="single"/>
                <w:lang w:eastAsia="zh-CN"/>
              </w:rPr>
              <w:t>也未发生变化。</w:t>
            </w:r>
          </w:p>
        </w:tc>
        <w:tc>
          <w:tcPr>
            <w:tcW w:w="937" w:type="pct"/>
            <w:tcBorders>
              <w:tl2br w:val="nil"/>
              <w:tr2bl w:val="nil"/>
            </w:tcBorders>
            <w:shd w:val="clear" w:color="auto" w:fill="FFFFFF"/>
            <w:noWrap w:val="0"/>
            <w:vAlign w:val="center"/>
          </w:tcPr>
          <w:p w14:paraId="32BE8B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非重大变动</w:t>
            </w:r>
          </w:p>
        </w:tc>
      </w:tr>
      <w:tr w14:paraId="71E7AB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restart"/>
            <w:tcBorders>
              <w:tl2br w:val="nil"/>
              <w:tr2bl w:val="nil"/>
            </w:tcBorders>
            <w:shd w:val="clear" w:color="auto" w:fill="FFFFFF"/>
            <w:noWrap w:val="0"/>
            <w:vAlign w:val="center"/>
          </w:tcPr>
          <w:p w14:paraId="6BF27EB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生产工艺</w:t>
            </w:r>
          </w:p>
        </w:tc>
        <w:tc>
          <w:tcPr>
            <w:tcW w:w="1922" w:type="pct"/>
            <w:tcBorders>
              <w:tl2br w:val="nil"/>
              <w:tr2bl w:val="nil"/>
            </w:tcBorders>
            <w:shd w:val="clear" w:color="auto" w:fill="FFFFFF"/>
            <w:noWrap w:val="0"/>
            <w:vAlign w:val="center"/>
          </w:tcPr>
          <w:p w14:paraId="443327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6.新増产品品种或生产工艺（含主要生产装置、设备及配套设施）、主要原辅材料、燃料变化，导致以下情形之一：</w:t>
            </w:r>
          </w:p>
          <w:p w14:paraId="7F4B426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（1）新增排放污染物种类的（毒性、挥发性降低的除外）；</w:t>
            </w:r>
          </w:p>
          <w:p w14:paraId="737BD50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（2）位于环境质量不达标区的建设项目相应污染物排放量增加的；</w:t>
            </w:r>
          </w:p>
          <w:p w14:paraId="2A49E0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（3）废水第一类污染物排放量增加的：</w:t>
            </w:r>
          </w:p>
          <w:p w14:paraId="0EA1AC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b/>
                <w:bCs/>
                <w:sz w:val="21"/>
                <w:szCs w:val="21"/>
                <w:u w:val="single"/>
              </w:rPr>
              <w:t>（4）其他污染物排放量増加10%及以上的。</w:t>
            </w:r>
          </w:p>
        </w:tc>
        <w:tc>
          <w:tcPr>
            <w:tcW w:w="1430" w:type="pct"/>
            <w:tcBorders>
              <w:tl2br w:val="nil"/>
              <w:tr2bl w:val="nil"/>
            </w:tcBorders>
            <w:shd w:val="clear" w:color="auto" w:fill="FFFFFF"/>
            <w:noWrap w:val="0"/>
            <w:vAlign w:val="center"/>
          </w:tcPr>
          <w:p w14:paraId="491F0D6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lang w:val="en-US" w:eastAsia="zh-CN"/>
              </w:rPr>
            </w:pPr>
            <w:r>
              <w:rPr>
                <w:rFonts w:hint="eastAsia"/>
                <w:b/>
                <w:bCs/>
                <w:sz w:val="21"/>
                <w:szCs w:val="21"/>
                <w:u w:val="single"/>
                <w:lang w:val="en-US" w:eastAsia="zh-CN"/>
              </w:rPr>
              <w:t>设备变动后未新增污染因子，但有机废气VOCs的排放增量大于10%</w:t>
            </w:r>
          </w:p>
        </w:tc>
        <w:tc>
          <w:tcPr>
            <w:tcW w:w="937" w:type="pct"/>
            <w:tcBorders>
              <w:tl2br w:val="nil"/>
              <w:tr2bl w:val="nil"/>
            </w:tcBorders>
            <w:shd w:val="clear" w:color="auto" w:fill="FFFFFF"/>
            <w:noWrap w:val="0"/>
            <w:vAlign w:val="center"/>
          </w:tcPr>
          <w:p w14:paraId="5DC683E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b/>
                <w:bCs/>
                <w:sz w:val="21"/>
                <w:szCs w:val="21"/>
                <w:u w:val="single"/>
                <w:lang w:val="zh-TW" w:eastAsia="zh-TW"/>
              </w:rPr>
            </w:pPr>
            <w:r>
              <w:rPr>
                <w:rFonts w:hint="eastAsia"/>
                <w:b/>
                <w:bCs/>
                <w:sz w:val="21"/>
                <w:szCs w:val="21"/>
                <w:u w:val="single"/>
              </w:rPr>
              <w:t>重大变动</w:t>
            </w:r>
          </w:p>
        </w:tc>
      </w:tr>
      <w:tr w14:paraId="657D2D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093" w:hRule="atLeast"/>
          <w:jc w:val="center"/>
        </w:trPr>
        <w:tc>
          <w:tcPr>
            <w:tcW w:w="709" w:type="pct"/>
            <w:vMerge w:val="continue"/>
            <w:tcBorders>
              <w:tl2br w:val="nil"/>
              <w:tr2bl w:val="nil"/>
            </w:tcBorders>
            <w:shd w:val="clear" w:color="auto" w:fill="FFFFFF"/>
            <w:noWrap w:val="0"/>
            <w:vAlign w:val="center"/>
          </w:tcPr>
          <w:p w14:paraId="41A8F66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1ABEF38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7.物料运输、装卸、贮存方式变化，导致大气污染物无组织排放量增加10%及以上的。</w:t>
            </w:r>
          </w:p>
        </w:tc>
        <w:tc>
          <w:tcPr>
            <w:tcW w:w="1430" w:type="pct"/>
            <w:tcBorders>
              <w:tl2br w:val="nil"/>
              <w:tr2bl w:val="nil"/>
            </w:tcBorders>
            <w:shd w:val="clear" w:color="auto" w:fill="FFFFFF"/>
            <w:noWrap w:val="0"/>
            <w:vAlign w:val="center"/>
          </w:tcPr>
          <w:p w14:paraId="1B7567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物料运输、装卸、贮存方式未发生变化</w:t>
            </w:r>
          </w:p>
        </w:tc>
        <w:tc>
          <w:tcPr>
            <w:tcW w:w="937" w:type="pct"/>
            <w:tcBorders>
              <w:tl2br w:val="nil"/>
              <w:tr2bl w:val="nil"/>
            </w:tcBorders>
            <w:shd w:val="clear" w:color="auto" w:fill="FFFFFF"/>
            <w:noWrap w:val="0"/>
            <w:vAlign w:val="center"/>
          </w:tcPr>
          <w:p w14:paraId="193558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2EAA66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restart"/>
            <w:tcBorders>
              <w:tl2br w:val="nil"/>
              <w:tr2bl w:val="nil"/>
            </w:tcBorders>
            <w:shd w:val="clear" w:color="auto" w:fill="FFFFFF"/>
            <w:noWrap w:val="0"/>
            <w:vAlign w:val="center"/>
          </w:tcPr>
          <w:p w14:paraId="1C92949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环境保护措施</w:t>
            </w:r>
          </w:p>
        </w:tc>
        <w:tc>
          <w:tcPr>
            <w:tcW w:w="1922" w:type="pct"/>
            <w:tcBorders>
              <w:tl2br w:val="nil"/>
              <w:tr2bl w:val="nil"/>
            </w:tcBorders>
            <w:shd w:val="clear" w:color="auto" w:fill="FFFFFF"/>
            <w:noWrap w:val="0"/>
            <w:vAlign w:val="center"/>
          </w:tcPr>
          <w:p w14:paraId="4485648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8.废气、废水污染防治措施变化，导致第6条中所列情形之一（废气无组织排放改为有组织排放、污染防治措施强化或改进的除外）或大气污染物无组织排放量增加10%及以上的。</w:t>
            </w:r>
          </w:p>
        </w:tc>
        <w:tc>
          <w:tcPr>
            <w:tcW w:w="1430" w:type="pct"/>
            <w:tcBorders>
              <w:tl2br w:val="nil"/>
              <w:tr2bl w:val="nil"/>
            </w:tcBorders>
            <w:shd w:val="clear" w:color="auto" w:fill="FFFFFF"/>
            <w:noWrap w:val="0"/>
            <w:vAlign w:val="center"/>
          </w:tcPr>
          <w:p w14:paraId="748F81C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sz w:val="21"/>
                <w:szCs w:val="21"/>
                <w:u w:val="single"/>
                <w:lang w:val="en-US" w:eastAsia="zh-CN"/>
              </w:rPr>
            </w:pPr>
            <w:r>
              <w:rPr>
                <w:rFonts w:hint="eastAsia"/>
                <w:sz w:val="21"/>
                <w:szCs w:val="21"/>
                <w:u w:val="single"/>
                <w:lang w:val="en-US" w:eastAsia="zh-CN"/>
              </w:rPr>
              <w:t>废气排放措施有调整，但未导致污染物排放量增加</w:t>
            </w:r>
          </w:p>
        </w:tc>
        <w:tc>
          <w:tcPr>
            <w:tcW w:w="937" w:type="pct"/>
            <w:tcBorders>
              <w:tl2br w:val="nil"/>
              <w:tr2bl w:val="nil"/>
            </w:tcBorders>
            <w:shd w:val="clear" w:color="auto" w:fill="FFFFFF"/>
            <w:noWrap w:val="0"/>
            <w:vAlign w:val="center"/>
          </w:tcPr>
          <w:p w14:paraId="607CB7D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4D73C9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4478D99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5AAC7A8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9.新增废水直接排放口：废水由间接排放改为直接排放：废水直接排放口位置变化，导致不利环境影响加重的。</w:t>
            </w:r>
          </w:p>
        </w:tc>
        <w:tc>
          <w:tcPr>
            <w:tcW w:w="1430" w:type="pct"/>
            <w:tcBorders>
              <w:tl2br w:val="nil"/>
              <w:tr2bl w:val="nil"/>
            </w:tcBorders>
            <w:shd w:val="clear" w:color="auto" w:fill="FFFFFF"/>
            <w:noWrap w:val="0"/>
            <w:vAlign w:val="center"/>
          </w:tcPr>
          <w:p w14:paraId="239FD56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lang w:val="en-US" w:eastAsia="zh-CN"/>
              </w:rPr>
            </w:pPr>
            <w:r>
              <w:rPr>
                <w:rFonts w:hint="eastAsia"/>
                <w:sz w:val="21"/>
                <w:szCs w:val="21"/>
                <w:u w:val="single"/>
                <w:lang w:val="en-US" w:eastAsia="zh-CN"/>
              </w:rPr>
              <w:t>生活污水排放口无变化</w:t>
            </w:r>
          </w:p>
        </w:tc>
        <w:tc>
          <w:tcPr>
            <w:tcW w:w="937" w:type="pct"/>
            <w:tcBorders>
              <w:tl2br w:val="nil"/>
              <w:tr2bl w:val="nil"/>
            </w:tcBorders>
            <w:shd w:val="clear" w:color="auto" w:fill="FFFFFF"/>
            <w:noWrap w:val="0"/>
            <w:vAlign w:val="center"/>
          </w:tcPr>
          <w:p w14:paraId="7537033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232A90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4D37FD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07707BA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en-US"/>
              </w:rPr>
              <w:t>10.</w:t>
            </w:r>
            <w:r>
              <w:rPr>
                <w:rFonts w:hint="eastAsia"/>
                <w:sz w:val="21"/>
                <w:szCs w:val="21"/>
                <w:u w:val="single"/>
              </w:rPr>
              <w:t>新増废气主要排放口（废气无组织排放改为有组织排放的除外）；主要排放口排气筒高度降低10%及以上的。</w:t>
            </w:r>
          </w:p>
        </w:tc>
        <w:tc>
          <w:tcPr>
            <w:tcW w:w="1430" w:type="pct"/>
            <w:tcBorders>
              <w:tl2br w:val="nil"/>
              <w:tr2bl w:val="nil"/>
            </w:tcBorders>
            <w:shd w:val="clear" w:color="auto" w:fill="FFFFFF"/>
            <w:noWrap w:val="0"/>
            <w:vAlign w:val="center"/>
          </w:tcPr>
          <w:p w14:paraId="51EE3E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sz w:val="21"/>
                <w:szCs w:val="21"/>
                <w:u w:val="single"/>
                <w:lang w:val="en-US" w:eastAsia="zh-CN"/>
              </w:rPr>
            </w:pPr>
            <w:r>
              <w:rPr>
                <w:rFonts w:hint="eastAsia"/>
                <w:sz w:val="21"/>
                <w:szCs w:val="21"/>
                <w:u w:val="single"/>
                <w:lang w:val="en-US" w:eastAsia="zh-CN"/>
              </w:rPr>
              <w:t>废气排放口无变化</w:t>
            </w:r>
          </w:p>
        </w:tc>
        <w:tc>
          <w:tcPr>
            <w:tcW w:w="937" w:type="pct"/>
            <w:tcBorders>
              <w:tl2br w:val="nil"/>
              <w:tr2bl w:val="nil"/>
            </w:tcBorders>
            <w:shd w:val="clear" w:color="auto" w:fill="FFFFFF"/>
            <w:noWrap w:val="0"/>
            <w:vAlign w:val="center"/>
          </w:tcPr>
          <w:p w14:paraId="23612D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47F63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1877766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6E986FF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11</w:t>
            </w:r>
            <w:r>
              <w:rPr>
                <w:rFonts w:hint="eastAsia"/>
                <w:sz w:val="21"/>
                <w:szCs w:val="21"/>
                <w:u w:val="single"/>
                <w:lang w:val="en-US" w:eastAsia="en-US"/>
              </w:rPr>
              <w:t>.</w:t>
            </w:r>
            <w:r>
              <w:rPr>
                <w:rFonts w:hint="eastAsia"/>
                <w:sz w:val="21"/>
                <w:szCs w:val="21"/>
                <w:u w:val="single"/>
              </w:rPr>
              <w:t>噪声、土壤或地下水污染防治措施变化，导致不利环境影响加重的。</w:t>
            </w:r>
          </w:p>
        </w:tc>
        <w:tc>
          <w:tcPr>
            <w:tcW w:w="1430" w:type="pct"/>
            <w:tcBorders>
              <w:tl2br w:val="nil"/>
              <w:tr2bl w:val="nil"/>
            </w:tcBorders>
            <w:shd w:val="clear" w:color="auto" w:fill="FFFFFF"/>
            <w:noWrap w:val="0"/>
            <w:vAlign w:val="center"/>
          </w:tcPr>
          <w:p w14:paraId="06FB0B7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lang w:eastAsia="zh-CN"/>
              </w:rPr>
            </w:pPr>
            <w:r>
              <w:rPr>
                <w:rFonts w:hint="eastAsia"/>
                <w:sz w:val="21"/>
                <w:szCs w:val="21"/>
                <w:u w:val="single"/>
                <w:lang w:val="en-US" w:eastAsia="zh-CN"/>
              </w:rPr>
              <w:t>无变化</w:t>
            </w:r>
          </w:p>
        </w:tc>
        <w:tc>
          <w:tcPr>
            <w:tcW w:w="937" w:type="pct"/>
            <w:tcBorders>
              <w:tl2br w:val="nil"/>
              <w:tr2bl w:val="nil"/>
            </w:tcBorders>
            <w:shd w:val="clear" w:color="auto" w:fill="FFFFFF"/>
            <w:noWrap w:val="0"/>
            <w:vAlign w:val="center"/>
          </w:tcPr>
          <w:p w14:paraId="0F36A54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48F4C9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6849D2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40F190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12.固体废物利用处置方式由委托外单位利用处置改为自行利用处置的（自行利用处置设施</w:t>
            </w:r>
            <w:r>
              <w:rPr>
                <w:rFonts w:hint="eastAsia"/>
                <w:sz w:val="21"/>
                <w:szCs w:val="21"/>
                <w:u w:val="single"/>
                <w:lang w:val="en-US" w:eastAsia="zh-CN"/>
              </w:rPr>
              <w:t>单独</w:t>
            </w:r>
            <w:r>
              <w:rPr>
                <w:rFonts w:hint="eastAsia"/>
                <w:sz w:val="21"/>
                <w:szCs w:val="21"/>
                <w:u w:val="single"/>
              </w:rPr>
              <w:t>开展环境影响评价的除外）；固体废物自行处置方式变化，导致不利环境影响加重的。</w:t>
            </w:r>
          </w:p>
        </w:tc>
        <w:tc>
          <w:tcPr>
            <w:tcW w:w="1430" w:type="pct"/>
            <w:tcBorders>
              <w:tl2br w:val="nil"/>
              <w:tr2bl w:val="nil"/>
            </w:tcBorders>
            <w:shd w:val="clear" w:color="auto" w:fill="FFFFFF"/>
            <w:noWrap w:val="0"/>
            <w:vAlign w:val="center"/>
          </w:tcPr>
          <w:p w14:paraId="4016B6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c>
          <w:tcPr>
            <w:tcW w:w="937" w:type="pct"/>
            <w:tcBorders>
              <w:tl2br w:val="nil"/>
              <w:tr2bl w:val="nil"/>
            </w:tcBorders>
            <w:shd w:val="clear" w:color="auto" w:fill="FFFFFF"/>
            <w:noWrap w:val="0"/>
            <w:vAlign w:val="center"/>
          </w:tcPr>
          <w:p w14:paraId="67AC3F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r w14:paraId="1AF017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09" w:type="pct"/>
            <w:vMerge w:val="continue"/>
            <w:tcBorders>
              <w:tl2br w:val="nil"/>
              <w:tr2bl w:val="nil"/>
            </w:tcBorders>
            <w:shd w:val="clear" w:color="auto" w:fill="FFFFFF"/>
            <w:noWrap w:val="0"/>
            <w:vAlign w:val="center"/>
          </w:tcPr>
          <w:p w14:paraId="045D13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p>
        </w:tc>
        <w:tc>
          <w:tcPr>
            <w:tcW w:w="1922" w:type="pct"/>
            <w:tcBorders>
              <w:tl2br w:val="nil"/>
              <w:tr2bl w:val="nil"/>
            </w:tcBorders>
            <w:shd w:val="clear" w:color="auto" w:fill="FFFFFF"/>
            <w:noWrap w:val="0"/>
            <w:vAlign w:val="center"/>
          </w:tcPr>
          <w:p w14:paraId="0D46A4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rPr>
              <w:t>13.事故废水暂存能力或拦截设施变化，导致环境风险防范能力弱化或降低的。</w:t>
            </w:r>
          </w:p>
        </w:tc>
        <w:tc>
          <w:tcPr>
            <w:tcW w:w="1430" w:type="pct"/>
            <w:tcBorders>
              <w:tl2br w:val="nil"/>
              <w:tr2bl w:val="nil"/>
            </w:tcBorders>
            <w:shd w:val="clear" w:color="auto" w:fill="FFFFFF"/>
            <w:noWrap w:val="0"/>
            <w:vAlign w:val="center"/>
          </w:tcPr>
          <w:p w14:paraId="397E4AF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c>
          <w:tcPr>
            <w:tcW w:w="937" w:type="pct"/>
            <w:tcBorders>
              <w:tl2br w:val="nil"/>
              <w:tr2bl w:val="nil"/>
            </w:tcBorders>
            <w:shd w:val="clear" w:color="auto" w:fill="FFFFFF"/>
            <w:noWrap w:val="0"/>
            <w:vAlign w:val="center"/>
          </w:tcPr>
          <w:p w14:paraId="1FBD22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single"/>
              </w:rPr>
            </w:pPr>
            <w:r>
              <w:rPr>
                <w:rFonts w:hint="eastAsia"/>
                <w:sz w:val="21"/>
                <w:szCs w:val="21"/>
                <w:u w:val="single"/>
                <w:lang w:val="en-US" w:eastAsia="zh-CN"/>
              </w:rPr>
              <w:t>无变化</w:t>
            </w:r>
          </w:p>
        </w:tc>
      </w:tr>
    </w:tbl>
    <w:p w14:paraId="2C4383D0">
      <w:pPr>
        <w:ind w:firstLine="480"/>
      </w:pPr>
      <w:r>
        <w:rPr>
          <w:rFonts w:hint="eastAsia"/>
          <w:u w:val="single"/>
          <w:lang w:val="en-US" w:eastAsia="zh-CN"/>
        </w:rPr>
        <w:t>根据上表，本次变动</w:t>
      </w:r>
      <w:r>
        <w:rPr>
          <w:rFonts w:hint="eastAsia"/>
          <w:u w:val="single"/>
        </w:rPr>
        <w:t>属于</w:t>
      </w:r>
      <w:r>
        <w:rPr>
          <w:rFonts w:hint="eastAsia"/>
          <w:b/>
          <w:u w:val="single"/>
        </w:rPr>
        <w:t>“生产、处置或储存能力增大30%及以上的”、“主要原辅材料增加，导致污染物排放量增加10%及以上的”，</w:t>
      </w:r>
      <w:r>
        <w:rPr>
          <w:rFonts w:hint="eastAsia"/>
          <w:u w:val="single"/>
        </w:rPr>
        <w:t>根据《中华人民共和国环境影响评价法》中“第二十四条 建设项目的环境影响评价文件经批准后，建设项目的性质、规模、地点、采用的生产工艺或者防治污染、防止生态破坏的措施发生重大变动的，建设单位应当重新报批建设项目的环境影响评价文件”，特此委托我单位编制了“年产15000吨印刷品改扩建项目</w:t>
      </w:r>
      <w:r>
        <w:rPr>
          <w:rFonts w:hint="eastAsia"/>
          <w:u w:val="single"/>
          <w:lang w:val="en-US" w:eastAsia="zh-CN"/>
        </w:rPr>
        <w:t>重大变动</w:t>
      </w:r>
      <w:r>
        <w:rPr>
          <w:rFonts w:hint="eastAsia"/>
          <w:u w:val="single"/>
        </w:rPr>
        <w:t>环境影响报告书”重新呈报湘潭市生态环境局审批。</w:t>
      </w:r>
    </w:p>
    <w:p w14:paraId="19BE1EB5">
      <w:pPr>
        <w:pStyle w:val="3"/>
        <w:numPr>
          <w:ilvl w:val="1"/>
          <w:numId w:val="0"/>
        </w:numPr>
        <w:ind w:left="567" w:leftChars="0" w:hanging="567" w:firstLineChars="0"/>
        <w:rPr>
          <w:rFonts w:hAnsi="宋体"/>
          <w:sz w:val="28"/>
          <w:szCs w:val="28"/>
        </w:rPr>
      </w:pPr>
      <w:bookmarkStart w:id="5" w:name="_Toc52"/>
      <w:bookmarkStart w:id="6" w:name="_Toc191459280"/>
      <w:bookmarkStart w:id="7" w:name="_Toc191371196"/>
      <w:bookmarkStart w:id="8" w:name="_Toc189817833"/>
      <w:bookmarkStart w:id="9" w:name="_Toc231272708"/>
      <w:bookmarkStart w:id="10" w:name="_Toc191367684"/>
      <w:bookmarkStart w:id="11" w:name="_Toc231529612"/>
      <w:bookmarkStart w:id="12" w:name="_Toc195687565"/>
      <w:bookmarkStart w:id="13" w:name="_Toc214621545"/>
      <w:bookmarkStart w:id="14" w:name="_Toc231699641"/>
      <w:bookmarkStart w:id="15" w:name="_Toc227825151"/>
      <w:r>
        <w:rPr>
          <w:rFonts w:hint="default" w:ascii="宋体" w:hAnsi="宋体" w:eastAsia="宋体" w:cs="宋体"/>
          <w:b/>
          <w:bCs/>
          <w:kern w:val="2"/>
          <w:sz w:val="28"/>
          <w:szCs w:val="28"/>
          <w:lang w:val="en-US" w:eastAsia="zh-CN" w:bidi="ar-SA"/>
        </w:rPr>
        <w:t>1.2</w:t>
      </w:r>
      <w:r>
        <w:rPr>
          <w:rFonts w:hint="eastAsia" w:hAnsi="宋体"/>
          <w:sz w:val="28"/>
          <w:szCs w:val="28"/>
        </w:rPr>
        <w:t>环境影响评价工作过程</w:t>
      </w:r>
      <w:bookmarkEnd w:id="5"/>
    </w:p>
    <w:p w14:paraId="24F6C52A">
      <w:pPr>
        <w:ind w:firstLine="480"/>
      </w:pPr>
      <w:r>
        <w:rPr>
          <w:rFonts w:hint="eastAsia"/>
        </w:rPr>
        <w:t>根据《中华人民共和国环境保护法》《中华人民共和国环境影响评价法》和《建设项目环境保护管理条例》和省、市生态环境部门有关文件规定，建设对环境有影响的项目，必须遵守环境影响评价制度；项目开工前，建设单位应当按照《建设项目环境影响评价分类管理名录》要求，编制环境影响报告书、环境影响报告表或者填报环境影响登记表，并向有审批权的环境保护行政主管部门申报。根据《建设项目环境影响评价分类管理名录》，本项目塑料软包装袋印刷属于“二十、印刷和记录媒介复制业23”中“印刷231*”“年用溶剂油墨10吨及以上的”，需编制环境影响报告书。</w:t>
      </w:r>
    </w:p>
    <w:p w14:paraId="3E0A9C5D">
      <w:pPr>
        <w:ind w:firstLine="480"/>
      </w:pPr>
      <w:r>
        <w:rPr>
          <w:rFonts w:hint="eastAsia"/>
        </w:rPr>
        <w:t>为此湖南新向维包装有限公司特委托湖南国网环境科学研究院有限公司承担“年产15000吨印刷品改扩建变更项目环境影响报告书”编制工作，接受委托后，我单位随即组织环评技术人员进行现场踏勘、资料图件收集、环境质量现状调查及工程建设情况调查，随后结合现场踏勘情况，制定了环评工作方案，全面开展环评报告编制工作，工作流程如下：</w:t>
      </w:r>
    </w:p>
    <w:p w14:paraId="40EC348A">
      <w:pPr>
        <w:jc w:val="center"/>
        <w:rPr>
          <w:rFonts w:hAnsi="宋体"/>
          <w:color w:val="FF0000"/>
        </w:rPr>
      </w:pPr>
      <w:r>
        <w:rPr>
          <w:color w:val="FF0000"/>
        </w:rPr>
        <w:drawing>
          <wp:inline distT="0" distB="0" distL="114300" distR="114300">
            <wp:extent cx="5183505" cy="5407025"/>
            <wp:effectExtent l="0" t="0" r="17145" b="317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5"/>
                    <a:stretch>
                      <a:fillRect/>
                    </a:stretch>
                  </pic:blipFill>
                  <pic:spPr>
                    <a:xfrm>
                      <a:off x="0" y="0"/>
                      <a:ext cx="5183505" cy="5407025"/>
                    </a:xfrm>
                    <a:prstGeom prst="rect">
                      <a:avLst/>
                    </a:prstGeom>
                    <a:noFill/>
                    <a:ln>
                      <a:noFill/>
                    </a:ln>
                  </pic:spPr>
                </pic:pic>
              </a:graphicData>
            </a:graphic>
          </wp:inline>
        </w:drawing>
      </w:r>
    </w:p>
    <w:p w14:paraId="779BCD2E">
      <w:pPr>
        <w:pStyle w:val="45"/>
        <w:numPr>
          <w:ilvl w:val="6"/>
          <w:numId w:val="0"/>
        </w:numPr>
        <w:spacing w:before="120"/>
        <w:ind w:left="6096" w:leftChars="0" w:hanging="4962" w:firstLineChars="0"/>
        <w:rPr>
          <w:color w:val="auto"/>
        </w:rPr>
      </w:pPr>
      <w:r>
        <w:rPr>
          <w:rFonts w:hint="default" w:ascii="宋体" w:hAnsi="宋体" w:eastAsia="宋体" w:cs="宋体"/>
          <w:b/>
          <w:bCs/>
          <w:color w:val="auto"/>
          <w:kern w:val="2"/>
          <w:sz w:val="21"/>
          <w:szCs w:val="21"/>
          <w:lang w:val="en-US" w:eastAsia="zh-CN" w:bidi="ar-SA"/>
        </w:rPr>
        <w:t xml:space="preserve">图1.2-1 </w:t>
      </w:r>
      <w:r>
        <w:rPr>
          <w:rFonts w:hint="eastAsia"/>
          <w:color w:val="auto"/>
        </w:rPr>
        <w:t>环境影响评价工作程序</w:t>
      </w:r>
    </w:p>
    <w:bookmarkEnd w:id="6"/>
    <w:bookmarkEnd w:id="7"/>
    <w:bookmarkEnd w:id="8"/>
    <w:bookmarkEnd w:id="9"/>
    <w:bookmarkEnd w:id="10"/>
    <w:bookmarkEnd w:id="11"/>
    <w:bookmarkEnd w:id="12"/>
    <w:bookmarkEnd w:id="13"/>
    <w:bookmarkEnd w:id="14"/>
    <w:bookmarkEnd w:id="15"/>
    <w:p w14:paraId="1611A81E">
      <w:pPr>
        <w:pStyle w:val="3"/>
        <w:numPr>
          <w:ilvl w:val="1"/>
          <w:numId w:val="0"/>
        </w:numPr>
        <w:spacing w:before="120" w:beforeLines="50"/>
        <w:ind w:left="567" w:leftChars="0" w:hanging="567" w:firstLineChars="0"/>
        <w:rPr>
          <w:sz w:val="28"/>
          <w:szCs w:val="28"/>
        </w:rPr>
      </w:pPr>
      <w:bookmarkStart w:id="16" w:name="_Toc28613"/>
      <w:r>
        <w:rPr>
          <w:rFonts w:hint="default" w:ascii="宋体" w:hAnsi="宋体" w:eastAsia="宋体" w:cs="宋体"/>
          <w:b/>
          <w:bCs/>
          <w:kern w:val="2"/>
          <w:sz w:val="28"/>
          <w:szCs w:val="28"/>
          <w:lang w:val="en-US" w:eastAsia="zh-CN" w:bidi="ar-SA"/>
        </w:rPr>
        <w:t>1.3</w:t>
      </w:r>
      <w:r>
        <w:rPr>
          <w:rFonts w:hint="eastAsia"/>
          <w:sz w:val="28"/>
          <w:szCs w:val="28"/>
        </w:rPr>
        <w:t>建设项目特点及环评工作重点</w:t>
      </w:r>
      <w:bookmarkEnd w:id="16"/>
    </w:p>
    <w:p w14:paraId="1568AA77">
      <w:pPr>
        <w:adjustRightInd w:val="0"/>
        <w:snapToGrid w:val="0"/>
        <w:ind w:firstLine="480"/>
        <w:rPr>
          <w:kern w:val="0"/>
        </w:rPr>
      </w:pPr>
      <w:bookmarkStart w:id="17" w:name="_Toc23307"/>
      <w:bookmarkStart w:id="18" w:name="_Toc231272709"/>
      <w:bookmarkStart w:id="19" w:name="_Toc23791"/>
      <w:bookmarkStart w:id="20" w:name="_Toc231529613"/>
      <w:bookmarkStart w:id="21" w:name="_Toc227825152"/>
      <w:bookmarkStart w:id="22" w:name="_Toc191367685"/>
      <w:bookmarkStart w:id="23" w:name="_Toc467841694"/>
      <w:bookmarkStart w:id="24" w:name="_Toc214621546"/>
      <w:bookmarkStart w:id="25" w:name="_Toc189817834"/>
      <w:bookmarkStart w:id="26" w:name="_Toc4053"/>
      <w:bookmarkStart w:id="27" w:name="_Toc195687566"/>
      <w:bookmarkStart w:id="28" w:name="_Toc191459281"/>
      <w:bookmarkStart w:id="29" w:name="_Toc191371197"/>
      <w:bookmarkStart w:id="30" w:name="_Toc231699642"/>
      <w:bookmarkStart w:id="31" w:name="_Toc28930"/>
      <w:r>
        <w:rPr>
          <w:kern w:val="0"/>
        </w:rPr>
        <w:t>在对拟</w:t>
      </w:r>
      <w:r>
        <w:rPr>
          <w:rFonts w:hint="eastAsia"/>
          <w:kern w:val="0"/>
          <w:lang w:val="en-US" w:eastAsia="zh-CN"/>
        </w:rPr>
        <w:t>变动</w:t>
      </w:r>
      <w:r>
        <w:rPr>
          <w:kern w:val="0"/>
        </w:rPr>
        <w:t>项目环评资料及现场踏勘基础上，本项目主要特点见</w:t>
      </w:r>
      <w:r>
        <w:rPr>
          <w:rFonts w:hint="eastAsia"/>
          <w:kern w:val="0"/>
        </w:rPr>
        <w:t>下</w:t>
      </w:r>
      <w:r>
        <w:rPr>
          <w:kern w:val="0"/>
        </w:rPr>
        <w:t>表。</w:t>
      </w:r>
    </w:p>
    <w:p w14:paraId="330F0BD0">
      <w:pPr>
        <w:pStyle w:val="51"/>
        <w:numPr>
          <w:ilvl w:val="5"/>
          <w:numId w:val="0"/>
        </w:numPr>
        <w:spacing w:before="120"/>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表1.3-1</w:t>
      </w:r>
      <w:r>
        <w:rPr>
          <w:rFonts w:hint="eastAsia" w:ascii="宋体" w:hAnsi="宋体" w:cs="宋体"/>
          <w:b/>
          <w:bCs/>
          <w:color w:val="auto"/>
          <w:kern w:val="2"/>
          <w:sz w:val="21"/>
          <w:szCs w:val="21"/>
          <w:lang w:val="en-US" w:eastAsia="zh-CN" w:bidi="ar-SA"/>
        </w:rPr>
        <w:t xml:space="preserve"> </w:t>
      </w:r>
      <w:r>
        <w:rPr>
          <w:rFonts w:hint="eastAsia"/>
        </w:rPr>
        <w:t>项目特点</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9"/>
        <w:gridCol w:w="786"/>
        <w:gridCol w:w="7761"/>
      </w:tblGrid>
      <w:tr w14:paraId="0966BB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98" w:type="pct"/>
            <w:vAlign w:val="center"/>
          </w:tcPr>
          <w:p w14:paraId="6E707E21">
            <w:pPr>
              <w:spacing w:line="240" w:lineRule="auto"/>
              <w:jc w:val="center"/>
              <w:rPr>
                <w:sz w:val="21"/>
                <w:szCs w:val="21"/>
              </w:rPr>
            </w:pPr>
            <w:r>
              <w:rPr>
                <w:sz w:val="21"/>
                <w:szCs w:val="21"/>
              </w:rPr>
              <w:t>序号</w:t>
            </w:r>
          </w:p>
        </w:tc>
        <w:tc>
          <w:tcPr>
            <w:tcW w:w="423" w:type="pct"/>
            <w:vAlign w:val="center"/>
          </w:tcPr>
          <w:p w14:paraId="2F1A7A69">
            <w:pPr>
              <w:spacing w:line="240" w:lineRule="auto"/>
              <w:jc w:val="center"/>
              <w:rPr>
                <w:sz w:val="21"/>
                <w:szCs w:val="21"/>
              </w:rPr>
            </w:pPr>
            <w:r>
              <w:rPr>
                <w:sz w:val="21"/>
                <w:szCs w:val="21"/>
              </w:rPr>
              <w:t>项目</w:t>
            </w:r>
          </w:p>
        </w:tc>
        <w:tc>
          <w:tcPr>
            <w:tcW w:w="4178" w:type="pct"/>
            <w:vAlign w:val="center"/>
          </w:tcPr>
          <w:p w14:paraId="048F5E9F">
            <w:pPr>
              <w:spacing w:line="240" w:lineRule="auto"/>
              <w:jc w:val="center"/>
              <w:rPr>
                <w:sz w:val="21"/>
                <w:szCs w:val="21"/>
              </w:rPr>
            </w:pPr>
            <w:r>
              <w:rPr>
                <w:sz w:val="21"/>
                <w:szCs w:val="21"/>
              </w:rPr>
              <w:t>特点</w:t>
            </w:r>
          </w:p>
        </w:tc>
      </w:tr>
      <w:tr w14:paraId="3A6325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8" w:type="pct"/>
            <w:vAlign w:val="center"/>
          </w:tcPr>
          <w:p w14:paraId="1F4B2B6E">
            <w:pPr>
              <w:spacing w:line="240" w:lineRule="auto"/>
              <w:jc w:val="center"/>
              <w:rPr>
                <w:sz w:val="21"/>
                <w:szCs w:val="21"/>
              </w:rPr>
            </w:pPr>
            <w:r>
              <w:rPr>
                <w:sz w:val="21"/>
                <w:szCs w:val="21"/>
              </w:rPr>
              <w:t>1</w:t>
            </w:r>
          </w:p>
        </w:tc>
        <w:tc>
          <w:tcPr>
            <w:tcW w:w="423" w:type="pct"/>
            <w:vAlign w:val="center"/>
          </w:tcPr>
          <w:p w14:paraId="1986E7A3">
            <w:pPr>
              <w:spacing w:line="240" w:lineRule="auto"/>
              <w:jc w:val="center"/>
              <w:rPr>
                <w:sz w:val="21"/>
                <w:szCs w:val="21"/>
              </w:rPr>
            </w:pPr>
            <w:r>
              <w:rPr>
                <w:sz w:val="21"/>
                <w:szCs w:val="21"/>
              </w:rPr>
              <w:t>性质</w:t>
            </w:r>
          </w:p>
        </w:tc>
        <w:tc>
          <w:tcPr>
            <w:tcW w:w="4178" w:type="pct"/>
            <w:vAlign w:val="center"/>
          </w:tcPr>
          <w:p w14:paraId="56B959BC">
            <w:pPr>
              <w:spacing w:line="240" w:lineRule="auto"/>
              <w:jc w:val="center"/>
              <w:rPr>
                <w:sz w:val="21"/>
                <w:szCs w:val="21"/>
              </w:rPr>
            </w:pPr>
            <w:r>
              <w:rPr>
                <w:rFonts w:hint="eastAsia"/>
                <w:sz w:val="21"/>
                <w:szCs w:val="21"/>
              </w:rPr>
              <w:t>改扩</w:t>
            </w:r>
            <w:r>
              <w:rPr>
                <w:sz w:val="21"/>
                <w:szCs w:val="21"/>
              </w:rPr>
              <w:t>建（</w:t>
            </w:r>
            <w:r>
              <w:rPr>
                <w:rFonts w:hint="eastAsia"/>
                <w:sz w:val="21"/>
                <w:szCs w:val="21"/>
                <w:lang w:val="en-US" w:eastAsia="zh-CN"/>
              </w:rPr>
              <w:t>重大变动</w:t>
            </w:r>
            <w:r>
              <w:rPr>
                <w:sz w:val="21"/>
                <w:szCs w:val="21"/>
              </w:rPr>
              <w:t>）</w:t>
            </w:r>
          </w:p>
        </w:tc>
      </w:tr>
      <w:tr w14:paraId="11CEF3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8" w:type="pct"/>
            <w:vAlign w:val="center"/>
          </w:tcPr>
          <w:p w14:paraId="7F717CD7">
            <w:pPr>
              <w:spacing w:line="240" w:lineRule="auto"/>
              <w:jc w:val="center"/>
              <w:rPr>
                <w:sz w:val="21"/>
                <w:szCs w:val="21"/>
              </w:rPr>
            </w:pPr>
            <w:r>
              <w:rPr>
                <w:sz w:val="21"/>
                <w:szCs w:val="21"/>
              </w:rPr>
              <w:t>2</w:t>
            </w:r>
          </w:p>
        </w:tc>
        <w:tc>
          <w:tcPr>
            <w:tcW w:w="423" w:type="pct"/>
            <w:vAlign w:val="center"/>
          </w:tcPr>
          <w:p w14:paraId="59E3F4ED">
            <w:pPr>
              <w:spacing w:line="240" w:lineRule="auto"/>
              <w:jc w:val="center"/>
              <w:rPr>
                <w:sz w:val="21"/>
                <w:szCs w:val="21"/>
              </w:rPr>
            </w:pPr>
            <w:r>
              <w:rPr>
                <w:sz w:val="21"/>
                <w:szCs w:val="21"/>
              </w:rPr>
              <w:t>建设内容</w:t>
            </w:r>
          </w:p>
        </w:tc>
        <w:tc>
          <w:tcPr>
            <w:tcW w:w="4178" w:type="pct"/>
            <w:vAlign w:val="center"/>
          </w:tcPr>
          <w:p w14:paraId="126FF7A0">
            <w:pPr>
              <w:spacing w:line="240" w:lineRule="auto"/>
              <w:jc w:val="left"/>
              <w:rPr>
                <w:sz w:val="21"/>
                <w:szCs w:val="21"/>
              </w:rPr>
            </w:pPr>
            <w:r>
              <w:rPr>
                <w:rFonts w:hint="eastAsia"/>
                <w:sz w:val="21"/>
                <w:szCs w:val="21"/>
              </w:rPr>
              <w:t>（1）设计产能由已批复的15000t/a增加至30000t/a，同时增加相应原辅材料；</w:t>
            </w:r>
          </w:p>
          <w:p w14:paraId="07960E18">
            <w:pPr>
              <w:spacing w:line="240" w:lineRule="auto"/>
              <w:jc w:val="left"/>
              <w:rPr>
                <w:sz w:val="21"/>
                <w:szCs w:val="21"/>
              </w:rPr>
            </w:pPr>
            <w:r>
              <w:rPr>
                <w:rFonts w:hint="eastAsia"/>
                <w:sz w:val="21"/>
                <w:szCs w:val="21"/>
                <w:u w:val="single"/>
              </w:rPr>
              <w:t>（2）</w:t>
            </w:r>
            <w:r>
              <w:rPr>
                <w:rFonts w:hint="eastAsia"/>
                <w:sz w:val="21"/>
                <w:szCs w:val="21"/>
                <w:u w:val="single"/>
                <w:lang w:val="en-US" w:eastAsia="zh-CN"/>
              </w:rPr>
              <w:t>调整现有</w:t>
            </w:r>
            <w:r>
              <w:rPr>
                <w:rFonts w:hint="eastAsia"/>
                <w:sz w:val="21"/>
                <w:szCs w:val="21"/>
                <w:u w:val="single"/>
              </w:rPr>
              <w:t>废气收集</w:t>
            </w:r>
            <w:r>
              <w:rPr>
                <w:rFonts w:hint="eastAsia"/>
                <w:sz w:val="21"/>
                <w:szCs w:val="21"/>
                <w:u w:val="single"/>
                <w:lang w:val="en-US" w:eastAsia="zh-CN"/>
              </w:rPr>
              <w:t>装置：由于生产线生产节拍大幅度提高，须提升负压收集能力，因此拟将原</w:t>
            </w:r>
            <w:r>
              <w:rPr>
                <w:rFonts w:hint="eastAsia"/>
                <w:sz w:val="21"/>
                <w:szCs w:val="21"/>
                <w:u w:val="single"/>
              </w:rPr>
              <w:t>94000m</w:t>
            </w:r>
            <w:r>
              <w:rPr>
                <w:rFonts w:hint="eastAsia"/>
                <w:sz w:val="21"/>
                <w:szCs w:val="21"/>
                <w:u w:val="single"/>
                <w:vertAlign w:val="superscript"/>
              </w:rPr>
              <w:t>3</w:t>
            </w:r>
            <w:r>
              <w:rPr>
                <w:rFonts w:hint="eastAsia"/>
                <w:sz w:val="21"/>
                <w:szCs w:val="21"/>
                <w:u w:val="single"/>
              </w:rPr>
              <w:t>/h的烘干循环风</w:t>
            </w:r>
            <w:r>
              <w:rPr>
                <w:rFonts w:hint="eastAsia"/>
                <w:sz w:val="21"/>
                <w:szCs w:val="21"/>
                <w:u w:val="single"/>
                <w:lang w:val="en-US" w:eastAsia="zh-CN"/>
              </w:rPr>
              <w:t>并入</w:t>
            </w:r>
            <w:r>
              <w:rPr>
                <w:rFonts w:hint="eastAsia"/>
                <w:sz w:val="21"/>
                <w:szCs w:val="21"/>
                <w:u w:val="single"/>
              </w:rPr>
              <w:t>总</w:t>
            </w:r>
            <w:r>
              <w:rPr>
                <w:rFonts w:hint="eastAsia"/>
                <w:sz w:val="21"/>
                <w:szCs w:val="21"/>
                <w:u w:val="single"/>
                <w:lang w:val="en-US" w:eastAsia="zh-CN"/>
              </w:rPr>
              <w:t>排</w:t>
            </w:r>
            <w:r>
              <w:rPr>
                <w:rFonts w:hint="eastAsia"/>
                <w:sz w:val="21"/>
                <w:szCs w:val="21"/>
                <w:u w:val="single"/>
              </w:rPr>
              <w:t>风</w:t>
            </w:r>
            <w:r>
              <w:rPr>
                <w:rFonts w:hint="eastAsia"/>
                <w:sz w:val="21"/>
                <w:szCs w:val="21"/>
                <w:u w:val="single"/>
                <w:lang w:eastAsia="zh-CN"/>
              </w:rPr>
              <w:t>，</w:t>
            </w:r>
            <w:r>
              <w:rPr>
                <w:rFonts w:hint="eastAsia"/>
                <w:sz w:val="21"/>
                <w:szCs w:val="21"/>
                <w:u w:val="single"/>
                <w:lang w:val="en-US" w:eastAsia="zh-CN"/>
              </w:rPr>
              <w:t>并更新现有风机，将总风</w:t>
            </w:r>
            <w:r>
              <w:rPr>
                <w:rFonts w:hint="eastAsia"/>
                <w:sz w:val="21"/>
                <w:szCs w:val="21"/>
                <w:u w:val="single"/>
              </w:rPr>
              <w:t>量由</w:t>
            </w:r>
            <w:r>
              <w:rPr>
                <w:rFonts w:hint="eastAsia"/>
                <w:sz w:val="21"/>
                <w:szCs w:val="21"/>
                <w:u w:val="single"/>
                <w:lang w:val="en-US" w:eastAsia="zh-CN"/>
              </w:rPr>
              <w:t>原250</w:t>
            </w:r>
            <w:r>
              <w:rPr>
                <w:rFonts w:hint="eastAsia"/>
                <w:sz w:val="21"/>
                <w:szCs w:val="21"/>
                <w:u w:val="single"/>
              </w:rPr>
              <w:t>000m</w:t>
            </w:r>
            <w:r>
              <w:rPr>
                <w:rFonts w:hint="eastAsia"/>
                <w:sz w:val="21"/>
                <w:szCs w:val="21"/>
                <w:u w:val="single"/>
                <w:vertAlign w:val="superscript"/>
              </w:rPr>
              <w:t>3</w:t>
            </w:r>
            <w:r>
              <w:rPr>
                <w:rFonts w:hint="eastAsia"/>
                <w:sz w:val="21"/>
                <w:szCs w:val="21"/>
                <w:u w:val="single"/>
              </w:rPr>
              <w:t>/h增加至</w:t>
            </w:r>
            <w:r>
              <w:rPr>
                <w:rFonts w:hint="eastAsia"/>
                <w:sz w:val="21"/>
                <w:szCs w:val="21"/>
                <w:u w:val="single"/>
                <w:lang w:val="en-US" w:eastAsia="zh-CN"/>
              </w:rPr>
              <w:t>38</w:t>
            </w:r>
            <w:r>
              <w:rPr>
                <w:rFonts w:hint="eastAsia"/>
                <w:sz w:val="21"/>
                <w:szCs w:val="21"/>
                <w:u w:val="single"/>
              </w:rPr>
              <w:t>0000m</w:t>
            </w:r>
            <w:r>
              <w:rPr>
                <w:rFonts w:hint="eastAsia"/>
                <w:sz w:val="21"/>
                <w:szCs w:val="21"/>
                <w:u w:val="single"/>
                <w:vertAlign w:val="superscript"/>
              </w:rPr>
              <w:t>3</w:t>
            </w:r>
            <w:r>
              <w:rPr>
                <w:rFonts w:hint="eastAsia"/>
                <w:sz w:val="21"/>
                <w:szCs w:val="21"/>
                <w:u w:val="single"/>
              </w:rPr>
              <w:t>/h</w:t>
            </w:r>
            <w:r>
              <w:rPr>
                <w:rFonts w:hint="eastAsia"/>
                <w:sz w:val="21"/>
                <w:szCs w:val="21"/>
                <w:u w:val="single"/>
                <w:lang w:eastAsia="zh-CN"/>
              </w:rPr>
              <w:t>，</w:t>
            </w:r>
            <w:r>
              <w:rPr>
                <w:rFonts w:hint="eastAsia"/>
                <w:sz w:val="21"/>
                <w:szCs w:val="21"/>
                <w:u w:val="single"/>
                <w:lang w:val="en-US" w:eastAsia="zh-CN"/>
              </w:rPr>
              <w:t>同时为提高大风量工况下的废气浓缩效率，生产车间集气系统升级为“减风增浓”工艺</w:t>
            </w:r>
            <w:r>
              <w:rPr>
                <w:rFonts w:hint="eastAsia"/>
                <w:sz w:val="21"/>
                <w:szCs w:val="21"/>
                <w:u w:val="single"/>
                <w:lang w:eastAsia="zh-CN"/>
              </w:rPr>
              <w:t>；</w:t>
            </w:r>
            <w:r>
              <w:rPr>
                <w:rFonts w:hint="eastAsia"/>
                <w:sz w:val="21"/>
                <w:szCs w:val="21"/>
                <w:u w:val="single"/>
                <w:lang w:val="en-US" w:eastAsia="zh-CN"/>
              </w:rPr>
              <w:t>尾端“吸附浓缩+溶剂回收设备”不变动。</w:t>
            </w:r>
          </w:p>
          <w:p w14:paraId="2CBA5759">
            <w:pPr>
              <w:spacing w:line="240" w:lineRule="auto"/>
              <w:jc w:val="left"/>
              <w:rPr>
                <w:sz w:val="21"/>
                <w:szCs w:val="21"/>
              </w:rPr>
            </w:pPr>
            <w:r>
              <w:rPr>
                <w:rFonts w:hint="eastAsia"/>
                <w:sz w:val="21"/>
                <w:szCs w:val="21"/>
              </w:rPr>
              <w:t>（3）变更印刷复合烘干工艺，由天然气热风炉变更为天然气热水锅炉烘干。</w:t>
            </w:r>
          </w:p>
        </w:tc>
      </w:tr>
      <w:tr w14:paraId="510179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8" w:type="pct"/>
            <w:vAlign w:val="center"/>
          </w:tcPr>
          <w:p w14:paraId="18C592FD">
            <w:pPr>
              <w:spacing w:line="240" w:lineRule="auto"/>
              <w:jc w:val="center"/>
              <w:rPr>
                <w:sz w:val="21"/>
                <w:szCs w:val="21"/>
              </w:rPr>
            </w:pPr>
            <w:r>
              <w:rPr>
                <w:sz w:val="21"/>
                <w:szCs w:val="21"/>
              </w:rPr>
              <w:t>3</w:t>
            </w:r>
          </w:p>
        </w:tc>
        <w:tc>
          <w:tcPr>
            <w:tcW w:w="423" w:type="pct"/>
            <w:vAlign w:val="center"/>
          </w:tcPr>
          <w:p w14:paraId="3D9E9320">
            <w:pPr>
              <w:spacing w:line="240" w:lineRule="auto"/>
              <w:jc w:val="center"/>
              <w:rPr>
                <w:sz w:val="21"/>
                <w:szCs w:val="21"/>
              </w:rPr>
            </w:pPr>
            <w:r>
              <w:rPr>
                <w:sz w:val="21"/>
                <w:szCs w:val="21"/>
              </w:rPr>
              <w:t>选址</w:t>
            </w:r>
          </w:p>
        </w:tc>
        <w:tc>
          <w:tcPr>
            <w:tcW w:w="4178" w:type="pct"/>
            <w:vAlign w:val="center"/>
          </w:tcPr>
          <w:p w14:paraId="3CC39F85">
            <w:pPr>
              <w:spacing w:line="240" w:lineRule="auto"/>
              <w:jc w:val="left"/>
              <w:rPr>
                <w:sz w:val="21"/>
                <w:szCs w:val="21"/>
              </w:rPr>
            </w:pPr>
            <w:r>
              <w:rPr>
                <w:sz w:val="21"/>
                <w:szCs w:val="21"/>
              </w:rPr>
              <w:t>选址不变更，位于湘潭天易经济开发区海鸥路以北、丁香路以西</w:t>
            </w:r>
            <w:r>
              <w:rPr>
                <w:rFonts w:hint="eastAsia"/>
                <w:sz w:val="21"/>
                <w:szCs w:val="21"/>
              </w:rPr>
              <w:t>现有厂区已建厂房内，该地块</w:t>
            </w:r>
            <w:r>
              <w:rPr>
                <w:sz w:val="21"/>
                <w:szCs w:val="21"/>
              </w:rPr>
              <w:t>基础设施条件较好，水、电等有保障，市政污水管网较完善</w:t>
            </w:r>
          </w:p>
        </w:tc>
      </w:tr>
      <w:tr w14:paraId="68A00A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8" w:type="pct"/>
            <w:vAlign w:val="center"/>
          </w:tcPr>
          <w:p w14:paraId="56374F06">
            <w:pPr>
              <w:spacing w:line="240" w:lineRule="auto"/>
              <w:jc w:val="center"/>
              <w:rPr>
                <w:sz w:val="21"/>
                <w:szCs w:val="21"/>
              </w:rPr>
            </w:pPr>
            <w:r>
              <w:rPr>
                <w:sz w:val="21"/>
                <w:szCs w:val="21"/>
              </w:rPr>
              <w:t>4</w:t>
            </w:r>
          </w:p>
        </w:tc>
        <w:tc>
          <w:tcPr>
            <w:tcW w:w="423" w:type="pct"/>
            <w:vAlign w:val="center"/>
          </w:tcPr>
          <w:p w14:paraId="6A984BCC">
            <w:pPr>
              <w:spacing w:line="240" w:lineRule="auto"/>
              <w:jc w:val="center"/>
              <w:rPr>
                <w:sz w:val="21"/>
                <w:szCs w:val="21"/>
              </w:rPr>
            </w:pPr>
            <w:r>
              <w:rPr>
                <w:sz w:val="21"/>
                <w:szCs w:val="21"/>
              </w:rPr>
              <w:t>工艺</w:t>
            </w:r>
          </w:p>
        </w:tc>
        <w:tc>
          <w:tcPr>
            <w:tcW w:w="4178" w:type="pct"/>
            <w:vAlign w:val="center"/>
          </w:tcPr>
          <w:p w14:paraId="01D32F09">
            <w:pPr>
              <w:spacing w:line="240" w:lineRule="auto"/>
              <w:jc w:val="left"/>
              <w:rPr>
                <w:sz w:val="21"/>
                <w:szCs w:val="21"/>
              </w:rPr>
            </w:pPr>
            <w:r>
              <w:rPr>
                <w:sz w:val="21"/>
                <w:szCs w:val="21"/>
              </w:rPr>
              <w:t>主要工艺不变更，流程为：调墨→印刷、烘干→复合、烘干→熟化→分切→烫金→制袋</w:t>
            </w:r>
          </w:p>
        </w:tc>
      </w:tr>
      <w:tr w14:paraId="5D5268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8" w:type="pct"/>
            <w:vAlign w:val="center"/>
          </w:tcPr>
          <w:p w14:paraId="7ED46C73">
            <w:pPr>
              <w:spacing w:line="240" w:lineRule="auto"/>
              <w:jc w:val="center"/>
              <w:rPr>
                <w:sz w:val="21"/>
                <w:szCs w:val="21"/>
              </w:rPr>
            </w:pPr>
            <w:r>
              <w:rPr>
                <w:sz w:val="21"/>
                <w:szCs w:val="21"/>
              </w:rPr>
              <w:t>5</w:t>
            </w:r>
          </w:p>
        </w:tc>
        <w:tc>
          <w:tcPr>
            <w:tcW w:w="423" w:type="pct"/>
            <w:vAlign w:val="center"/>
          </w:tcPr>
          <w:p w14:paraId="6C7AF541">
            <w:pPr>
              <w:spacing w:line="240" w:lineRule="auto"/>
              <w:jc w:val="center"/>
              <w:rPr>
                <w:sz w:val="21"/>
                <w:szCs w:val="21"/>
              </w:rPr>
            </w:pPr>
            <w:r>
              <w:rPr>
                <w:sz w:val="21"/>
                <w:szCs w:val="21"/>
              </w:rPr>
              <w:t>环保特征</w:t>
            </w:r>
          </w:p>
        </w:tc>
        <w:tc>
          <w:tcPr>
            <w:tcW w:w="4178" w:type="pct"/>
            <w:vAlign w:val="center"/>
          </w:tcPr>
          <w:p w14:paraId="2F9F5E14">
            <w:pPr>
              <w:spacing w:line="240" w:lineRule="auto"/>
              <w:jc w:val="left"/>
              <w:rPr>
                <w:sz w:val="21"/>
                <w:szCs w:val="21"/>
              </w:rPr>
            </w:pPr>
            <w:r>
              <w:rPr>
                <w:sz w:val="21"/>
                <w:szCs w:val="21"/>
              </w:rPr>
              <w:t>废水：主要为职工生活污水和初期雨水等，经处理后纳管。</w:t>
            </w:r>
            <w:r>
              <w:rPr>
                <w:rFonts w:hint="eastAsia"/>
                <w:sz w:val="21"/>
                <w:szCs w:val="21"/>
              </w:rPr>
              <w:t>在营运过程中不涉及生产废水外排</w:t>
            </w:r>
          </w:p>
          <w:p w14:paraId="2A27A4F9">
            <w:pPr>
              <w:spacing w:line="240" w:lineRule="auto"/>
              <w:rPr>
                <w:sz w:val="21"/>
                <w:szCs w:val="21"/>
              </w:rPr>
            </w:pPr>
            <w:r>
              <w:rPr>
                <w:sz w:val="21"/>
                <w:szCs w:val="21"/>
              </w:rPr>
              <w:t>废气：主要为印刷工序废气、</w:t>
            </w:r>
            <w:r>
              <w:rPr>
                <w:rFonts w:hint="eastAsia"/>
                <w:sz w:val="21"/>
                <w:szCs w:val="21"/>
              </w:rPr>
              <w:t>干式</w:t>
            </w:r>
            <w:r>
              <w:rPr>
                <w:sz w:val="21"/>
                <w:szCs w:val="21"/>
              </w:rPr>
              <w:t>复合</w:t>
            </w:r>
            <w:r>
              <w:rPr>
                <w:rFonts w:hint="eastAsia"/>
                <w:sz w:val="21"/>
                <w:szCs w:val="21"/>
              </w:rPr>
              <w:t>成型</w:t>
            </w:r>
            <w:r>
              <w:rPr>
                <w:sz w:val="21"/>
                <w:szCs w:val="21"/>
              </w:rPr>
              <w:t>工序废气</w:t>
            </w:r>
            <w:r>
              <w:rPr>
                <w:rFonts w:hint="eastAsia"/>
                <w:sz w:val="21"/>
                <w:szCs w:val="21"/>
              </w:rPr>
              <w:t>、调墨调胶废气、危废间</w:t>
            </w:r>
            <w:r>
              <w:rPr>
                <w:sz w:val="21"/>
                <w:szCs w:val="21"/>
              </w:rPr>
              <w:t>废气，主要</w:t>
            </w:r>
            <w:r>
              <w:rPr>
                <w:rFonts w:hint="eastAsia"/>
                <w:sz w:val="21"/>
                <w:szCs w:val="21"/>
              </w:rPr>
              <w:t>废气：</w:t>
            </w:r>
            <w:r>
              <w:rPr>
                <w:sz w:val="21"/>
                <w:szCs w:val="21"/>
              </w:rPr>
              <w:t>1套</w:t>
            </w:r>
            <w:r>
              <w:rPr>
                <w:rFonts w:hint="eastAsia"/>
                <w:sz w:val="21"/>
                <w:szCs w:val="21"/>
              </w:rPr>
              <w:t>“</w:t>
            </w:r>
            <w:r>
              <w:rPr>
                <w:sz w:val="21"/>
                <w:szCs w:val="21"/>
              </w:rPr>
              <w:t>吸附浓缩+溶剂回收设备</w:t>
            </w:r>
            <w:r>
              <w:rPr>
                <w:rFonts w:hint="eastAsia"/>
                <w:sz w:val="21"/>
                <w:szCs w:val="21"/>
              </w:rPr>
              <w:t>”</w:t>
            </w:r>
            <w:r>
              <w:rPr>
                <w:sz w:val="21"/>
                <w:szCs w:val="21"/>
              </w:rPr>
              <w:t>处理</w:t>
            </w:r>
            <w:r>
              <w:rPr>
                <w:rFonts w:hint="eastAsia"/>
                <w:sz w:val="21"/>
                <w:szCs w:val="21"/>
              </w:rPr>
              <w:t>，处理后经新建DA001（20.5m）</w:t>
            </w:r>
            <w:r>
              <w:rPr>
                <w:sz w:val="21"/>
                <w:szCs w:val="21"/>
              </w:rPr>
              <w:t>排气筒排出</w:t>
            </w:r>
            <w:r>
              <w:rPr>
                <w:rFonts w:hint="eastAsia"/>
                <w:sz w:val="21"/>
                <w:szCs w:val="21"/>
              </w:rPr>
              <w:t>；导热油锅炉采用天然气低氮燃烧法处理后经新建DA002（16m）</w:t>
            </w:r>
            <w:r>
              <w:rPr>
                <w:sz w:val="21"/>
                <w:szCs w:val="21"/>
              </w:rPr>
              <w:t>排气筒排出</w:t>
            </w:r>
            <w:r>
              <w:rPr>
                <w:rFonts w:hint="eastAsia"/>
                <w:sz w:val="21"/>
                <w:szCs w:val="21"/>
              </w:rPr>
              <w:t>；印刷复合烘干变更为天然气热水锅炉加热烘干，其燃烧废气经DA002（16m）合并排放。原有车间3碱液喷淋措施及P2排气筒和催化燃烧措施排气筒P1拆除；4车间碱液喷淋措施和排气筒（P3）留作备用以防特殊环境事故。</w:t>
            </w:r>
          </w:p>
          <w:p w14:paraId="2F919670">
            <w:pPr>
              <w:spacing w:line="240" w:lineRule="auto"/>
              <w:rPr>
                <w:sz w:val="21"/>
                <w:szCs w:val="21"/>
              </w:rPr>
            </w:pPr>
            <w:r>
              <w:rPr>
                <w:sz w:val="21"/>
                <w:szCs w:val="21"/>
              </w:rPr>
              <w:t>固体废弃物污</w:t>
            </w:r>
            <w:r>
              <w:rPr>
                <w:rFonts w:hint="eastAsia"/>
                <w:sz w:val="21"/>
                <w:szCs w:val="21"/>
              </w:rPr>
              <w:t>：</w:t>
            </w:r>
            <w:r>
              <w:rPr>
                <w:sz w:val="21"/>
                <w:szCs w:val="21"/>
              </w:rPr>
              <w:t>生活垃圾</w:t>
            </w:r>
            <w:r>
              <w:rPr>
                <w:rFonts w:hint="eastAsia"/>
                <w:sz w:val="21"/>
                <w:szCs w:val="21"/>
              </w:rPr>
              <w:t>；一般</w:t>
            </w:r>
            <w:r>
              <w:rPr>
                <w:sz w:val="21"/>
                <w:szCs w:val="21"/>
              </w:rPr>
              <w:t>固废包括</w:t>
            </w:r>
            <w:r>
              <w:rPr>
                <w:rFonts w:hint="eastAsia"/>
                <w:sz w:val="21"/>
                <w:szCs w:val="21"/>
              </w:rPr>
              <w:t>废印刷版、废边角料、废烫金膜、不合格品等；危险废物</w:t>
            </w:r>
            <w:r>
              <w:rPr>
                <w:sz w:val="21"/>
                <w:szCs w:val="21"/>
              </w:rPr>
              <w:t>包括</w:t>
            </w:r>
            <w:r>
              <w:rPr>
                <w:rFonts w:hint="eastAsia"/>
                <w:sz w:val="21"/>
                <w:szCs w:val="21"/>
              </w:rPr>
              <w:t>：废包装废弃物（含废油墨桶、废胶水桶、废溶剂桶等）；废油墨、废溶剂、废胶、含油抹布手套、废矿物油、废过滤棉、废活性炭、废沸石转轮、溶剂回收装置残液等</w:t>
            </w:r>
            <w:r>
              <w:rPr>
                <w:sz w:val="21"/>
                <w:szCs w:val="21"/>
              </w:rPr>
              <w:t>危险废物需规范收集贮存后委托有资质单位处置</w:t>
            </w:r>
            <w:r>
              <w:rPr>
                <w:rFonts w:hint="eastAsia"/>
                <w:sz w:val="21"/>
                <w:szCs w:val="21"/>
              </w:rPr>
              <w:t>。</w:t>
            </w:r>
          </w:p>
        </w:tc>
      </w:tr>
      <w:tr w14:paraId="1C2371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8" w:type="pct"/>
            <w:vAlign w:val="center"/>
          </w:tcPr>
          <w:p w14:paraId="521395DC">
            <w:pPr>
              <w:spacing w:line="240" w:lineRule="auto"/>
              <w:jc w:val="center"/>
              <w:rPr>
                <w:sz w:val="21"/>
                <w:szCs w:val="21"/>
              </w:rPr>
            </w:pPr>
            <w:r>
              <w:rPr>
                <w:sz w:val="21"/>
                <w:szCs w:val="21"/>
              </w:rPr>
              <w:t>6</w:t>
            </w:r>
          </w:p>
        </w:tc>
        <w:tc>
          <w:tcPr>
            <w:tcW w:w="423" w:type="pct"/>
            <w:vAlign w:val="center"/>
          </w:tcPr>
          <w:p w14:paraId="51FDB07C">
            <w:pPr>
              <w:spacing w:line="240" w:lineRule="auto"/>
              <w:jc w:val="center"/>
              <w:rPr>
                <w:sz w:val="21"/>
                <w:szCs w:val="21"/>
              </w:rPr>
            </w:pPr>
            <w:r>
              <w:rPr>
                <w:sz w:val="21"/>
                <w:szCs w:val="21"/>
              </w:rPr>
              <w:t>能源</w:t>
            </w:r>
          </w:p>
        </w:tc>
        <w:tc>
          <w:tcPr>
            <w:tcW w:w="4178" w:type="pct"/>
            <w:vAlign w:val="center"/>
          </w:tcPr>
          <w:p w14:paraId="4D50ABAC">
            <w:pPr>
              <w:spacing w:line="240" w:lineRule="auto"/>
              <w:jc w:val="left"/>
              <w:rPr>
                <w:sz w:val="21"/>
                <w:szCs w:val="21"/>
              </w:rPr>
            </w:pPr>
            <w:r>
              <w:rPr>
                <w:rFonts w:hint="eastAsia"/>
                <w:sz w:val="21"/>
                <w:szCs w:val="21"/>
              </w:rPr>
              <w:t>导热油锅炉采用天然气，烘干采用天然气、电。</w:t>
            </w:r>
          </w:p>
        </w:tc>
      </w:tr>
    </w:tbl>
    <w:p w14:paraId="502CFBB9">
      <w:pPr>
        <w:spacing w:before="120" w:beforeLines="50"/>
        <w:ind w:firstLine="480"/>
      </w:pPr>
      <w:r>
        <w:rPr>
          <w:rFonts w:hint="eastAsia" w:ascii="宋体" w:hAnsi="宋体" w:cs="宋体"/>
        </w:rPr>
        <w:t>⑴</w:t>
      </w:r>
      <w:r>
        <w:rPr>
          <w:rFonts w:hint="eastAsia"/>
        </w:rPr>
        <w:t>项目特点：</w:t>
      </w:r>
    </w:p>
    <w:p w14:paraId="09289811">
      <w:pPr>
        <w:ind w:firstLine="480"/>
      </w:pPr>
      <w:r>
        <w:rPr>
          <w:rFonts w:hint="eastAsia" w:ascii="宋体" w:hAnsi="宋体" w:cs="宋体"/>
        </w:rPr>
        <w:t>①</w:t>
      </w:r>
      <w:r>
        <w:rPr>
          <w:rFonts w:hint="eastAsia"/>
        </w:rPr>
        <w:t>本项目属于印刷行业，为VOCs排放重点行业，本次变更未改变在建工程的各类环保处理方式，主要措施如下：</w:t>
      </w:r>
    </w:p>
    <w:p w14:paraId="7B52F8F1">
      <w:pPr>
        <w:ind w:firstLine="480"/>
        <w:rPr>
          <w:u w:val="single"/>
        </w:rPr>
      </w:pPr>
      <w:r>
        <w:rPr>
          <w:rFonts w:hint="eastAsia"/>
        </w:rPr>
        <w:t>a.在满足工艺生产要求的前提下，积极推进使用低VOCs含量原辅材料和环境友好型技术替代。已建+在建工程无溶剂胶水用量为51.5t/a，变更后全厂无溶剂胶水用量为520t/a，无溶剂胶水使用量提高。本项目复合技术中优先使用无溶剂复合技术，逐步提高无溶剂复合技术，从源头减少VOCs产生。</w:t>
      </w:r>
    </w:p>
    <w:p w14:paraId="680C1063">
      <w:pPr>
        <w:pStyle w:val="38"/>
        <w:ind w:firstLine="480"/>
      </w:pPr>
      <w:r>
        <w:rPr>
          <w:rFonts w:hint="eastAsia"/>
        </w:rPr>
        <w:t>水性油墨因色彩达不到产品需求，显色度不够，附着力不强等原因暂未投入应用，建设方也在积极探索研究，拟在日后的生产过程中根据生产工艺进行逐步替代，在满足工艺生产要求的前提下逐步使用水醇性油墨、水性油墨、辐射固化油墨等替代油性油墨；在满足工艺生产要求的前提下逐步使用紫外光固化光油、低(无)挥发和高沸点的清洁剂等代替易挥发清洁剂（稀释剂乙酸乙酯）。项目的印刷工序采用凹版印刷工艺，建设单位可在日后的生产过程中逐步调整印制方式，在满足生产要求的前提下采用柔印替代凹印、挤出复合代替溶剂复合等方式减小有机废气的产生量。</w:t>
      </w:r>
    </w:p>
    <w:p w14:paraId="4EB1EABB">
      <w:pPr>
        <w:ind w:firstLine="480"/>
      </w:pPr>
      <w:r>
        <w:rPr>
          <w:rFonts w:hint="eastAsia"/>
        </w:rPr>
        <w:t>b.采用高效率且可行的废气处理方式：</w:t>
      </w:r>
    </w:p>
    <w:p w14:paraId="3AA597A5">
      <w:pPr>
        <w:ind w:firstLine="480"/>
      </w:pPr>
      <w:r>
        <w:rPr>
          <w:rFonts w:hint="eastAsia"/>
        </w:rPr>
        <w:t>本项目有机废气主要为印刷工序废气、干式复合成型工序废气，拟对印刷工序、干式复合工序进行全封闭处理，各产气点废气经收集后由1套“吸附浓缩+溶剂回收”设备处理后经DA001排气筒排出。车间无组织废气经抽排风负压收集系统收集，调墨调胶间在车间3隔出单间由微负压收集后由印刷工序，干式复合成型工序相同环保措施“吸附浓缩+溶剂回收”设备处理后经DA001排气筒排出。印刷、干式复合车间设置全封闭式，且设备全封闭，减少有机废气的无组织排放。</w:t>
      </w:r>
    </w:p>
    <w:p w14:paraId="2916ED55">
      <w:pPr>
        <w:ind w:firstLine="480"/>
      </w:pPr>
      <w:r>
        <w:rPr>
          <w:rFonts w:hint="eastAsia"/>
        </w:rPr>
        <w:t>c.本项目在整个生产过程中对涉VOCs物料的储存、运输、装卸严格按照《挥发性有机物无组织排放控制标准》以及《重点行业挥发性有机物综合治理方案》等文件要求进行，尽量减少无组织有机废气的产生量。</w:t>
      </w:r>
    </w:p>
    <w:p w14:paraId="00A11DD3">
      <w:pPr>
        <w:ind w:firstLine="480"/>
        <w:rPr>
          <w:color w:val="FF0000"/>
        </w:rPr>
      </w:pPr>
      <w:r>
        <w:rPr>
          <w:rFonts w:hint="eastAsia"/>
        </w:rPr>
        <w:t>d.根据《湖南省“三线一单”生态环境总体管控要求暨省级以上产业园区生态环境准入清单》涉VOCs建设项目须实行区域内VOCs排放等量或倍量削减替代。本项目现有工程已批复总量为38.3t/a，本次变更后总排放量210.203t/a，须新申请总量171.903t/a。</w:t>
      </w:r>
    </w:p>
    <w:p w14:paraId="02DEF5A0">
      <w:pPr>
        <w:ind w:firstLine="480"/>
      </w:pPr>
      <w:r>
        <w:rPr>
          <w:rFonts w:hint="eastAsia"/>
        </w:rPr>
        <w:t>②项目选址于湘潭天易经济开发区海鸥路以北、丁香路以西，利用原有生产车间，利用专业技术团队、研发团队、设计团队及先进的专业生产设备。本次变更不改变在建工程的生产设备改造方案，塑料软包装袋由现有15000t/a增加至30000t/a。</w:t>
      </w:r>
    </w:p>
    <w:p w14:paraId="00E8381F">
      <w:pPr>
        <w:ind w:firstLine="480"/>
      </w:pPr>
      <w:r>
        <w:rPr>
          <w:rFonts w:hint="eastAsia"/>
        </w:rPr>
        <w:t>③生产过程中主要污染物为有机废气、天然气燃烧废气、设备噪声、生活污水及一般固体废弃物、危险废物、生活垃圾等。</w:t>
      </w:r>
    </w:p>
    <w:p w14:paraId="2A26EB4D">
      <w:pPr>
        <w:ind w:firstLine="480"/>
      </w:pPr>
      <w:r>
        <w:t>⑵评价工作重点</w:t>
      </w:r>
    </w:p>
    <w:p w14:paraId="04C964B4">
      <w:pPr>
        <w:ind w:firstLine="480"/>
      </w:pPr>
      <w:r>
        <w:t>本次环评的工作重点是：</w:t>
      </w:r>
    </w:p>
    <w:p w14:paraId="7301294A">
      <w:pPr>
        <w:ind w:firstLine="480"/>
      </w:pPr>
      <w:r>
        <w:t>①工程分析：项目生产工艺和排污特征的分析。</w:t>
      </w:r>
    </w:p>
    <w:p w14:paraId="2E347D53">
      <w:pPr>
        <w:ind w:firstLine="480"/>
      </w:pPr>
      <w:r>
        <w:t>②针对本次变更扩产后的污染物排放依托现有环保处理设施的可行性论证</w:t>
      </w:r>
      <w:r>
        <w:rPr>
          <w:rFonts w:hint="eastAsia"/>
        </w:rPr>
        <w:t>（重点</w:t>
      </w:r>
      <w:r>
        <w:t>是废气治理措施</w:t>
      </w:r>
      <w:r>
        <w:rPr>
          <w:rFonts w:hint="eastAsia"/>
        </w:rPr>
        <w:t>）</w:t>
      </w:r>
      <w:r>
        <w:t>。</w:t>
      </w:r>
    </w:p>
    <w:p w14:paraId="49443866">
      <w:pPr>
        <w:ind w:firstLine="480"/>
      </w:pPr>
      <w:r>
        <w:t>③采用参考相关标准核算和物料衡算相结合，做好工程物料平衡。加强大气部分环境影响评价，分析、预测拟建项目建成后对环境保护目标的影响。</w:t>
      </w:r>
    </w:p>
    <w:p w14:paraId="5CA7118F">
      <w:pPr>
        <w:ind w:firstLine="480"/>
      </w:pPr>
      <w:r>
        <w:t>④做好环境风险评价。对项目运行期发生的突发性环境事件或事故引起有毒物质泄漏所造成的环境影响进行预测与分析，提出</w:t>
      </w:r>
      <w:r>
        <w:rPr>
          <w:rFonts w:hint="eastAsia"/>
        </w:rPr>
        <w:t>环境</w:t>
      </w:r>
      <w:r>
        <w:t>风险防范、应急与减缓措施。</w:t>
      </w:r>
    </w:p>
    <w:p w14:paraId="2B2C98C0">
      <w:pPr>
        <w:ind w:firstLine="480"/>
      </w:pPr>
      <w:r>
        <w:t>⑤结合国家相关产业政策和环保政策、评价区域的发展总体规划和环境保护规划、工程所在地的环境质量现状及环境特征来论述该项目选址和平面布置的可行性、项目建设的可行性。</w:t>
      </w:r>
    </w:p>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14:paraId="0B8D9B07">
      <w:pPr>
        <w:pStyle w:val="3"/>
        <w:numPr>
          <w:ilvl w:val="1"/>
          <w:numId w:val="0"/>
        </w:numPr>
        <w:ind w:left="567" w:leftChars="0" w:hanging="567" w:firstLineChars="0"/>
        <w:rPr>
          <w:sz w:val="28"/>
          <w:szCs w:val="28"/>
        </w:rPr>
      </w:pPr>
      <w:bookmarkStart w:id="32" w:name="_Toc30997"/>
      <w:r>
        <w:rPr>
          <w:rFonts w:hint="default" w:ascii="宋体" w:hAnsi="宋体" w:eastAsia="宋体" w:cs="宋体"/>
          <w:b/>
          <w:bCs/>
          <w:kern w:val="2"/>
          <w:sz w:val="28"/>
          <w:szCs w:val="28"/>
          <w:lang w:val="en-US" w:eastAsia="zh-CN" w:bidi="ar-SA"/>
        </w:rPr>
        <w:t>1.4</w:t>
      </w:r>
      <w:r>
        <w:rPr>
          <w:rFonts w:hint="eastAsia"/>
          <w:sz w:val="28"/>
          <w:szCs w:val="28"/>
        </w:rPr>
        <w:t>关注的主要环境问题</w:t>
      </w:r>
      <w:bookmarkEnd w:id="32"/>
    </w:p>
    <w:p w14:paraId="2AEC47CA">
      <w:pPr>
        <w:ind w:firstLine="480"/>
      </w:pPr>
      <w:r>
        <w:rPr>
          <w:rFonts w:hint="eastAsia"/>
        </w:rPr>
        <w:t>本项目为印刷业，项目排放的主要污染物为印刷、复合等工序产生的有机废气、噪声、固体废物以及生活污水，故项目评价工作重点主要为废气污染物排放对区域环境空气质量及敏感目标的影响预测、生活污水纳管处理达标可行性分析、环保措施技术可行性及经济合理性分析及风险评价等内容。</w:t>
      </w:r>
    </w:p>
    <w:p w14:paraId="6BBFFF48">
      <w:pPr>
        <w:pStyle w:val="3"/>
        <w:numPr>
          <w:ilvl w:val="1"/>
          <w:numId w:val="0"/>
        </w:numPr>
        <w:ind w:left="567" w:leftChars="0" w:hanging="567" w:firstLineChars="0"/>
        <w:rPr>
          <w:sz w:val="28"/>
          <w:szCs w:val="28"/>
        </w:rPr>
      </w:pPr>
      <w:bookmarkStart w:id="33" w:name="_Toc21837"/>
      <w:bookmarkStart w:id="34" w:name="_Toc191459284"/>
      <w:bookmarkStart w:id="35" w:name="_Toc195687569"/>
      <w:bookmarkStart w:id="36" w:name="_Toc191371200"/>
      <w:bookmarkStart w:id="37" w:name="_Toc189817837"/>
      <w:bookmarkStart w:id="38" w:name="_Toc231529616"/>
      <w:bookmarkStart w:id="39" w:name="_Toc214621549"/>
      <w:bookmarkStart w:id="40" w:name="_Toc231699643"/>
      <w:bookmarkStart w:id="41" w:name="_Toc231272712"/>
      <w:bookmarkStart w:id="42" w:name="_Toc227825155"/>
      <w:bookmarkStart w:id="43" w:name="_Toc191367688"/>
      <w:r>
        <w:rPr>
          <w:rFonts w:hint="default" w:ascii="宋体" w:hAnsi="宋体" w:eastAsia="宋体" w:cs="宋体"/>
          <w:b/>
          <w:bCs/>
          <w:kern w:val="2"/>
          <w:sz w:val="28"/>
          <w:szCs w:val="28"/>
          <w:lang w:val="en-US" w:eastAsia="zh-CN" w:bidi="ar-SA"/>
        </w:rPr>
        <w:t>1.5</w:t>
      </w:r>
      <w:r>
        <w:rPr>
          <w:rFonts w:hint="eastAsia"/>
          <w:sz w:val="28"/>
          <w:szCs w:val="28"/>
        </w:rPr>
        <w:t>分析判定相关情况</w:t>
      </w:r>
      <w:bookmarkEnd w:id="33"/>
    </w:p>
    <w:p w14:paraId="0D225773">
      <w:pPr>
        <w:ind w:firstLine="480"/>
        <w:jc w:val="left"/>
        <w:rPr>
          <w:kern w:val="0"/>
          <w:lang w:bidi="ar"/>
        </w:rPr>
      </w:pPr>
      <w:r>
        <w:rPr>
          <w:kern w:val="0"/>
          <w:lang w:bidi="ar"/>
        </w:rPr>
        <w:t>根据《建设项目环境影响评价技术导则 总纲》（HJ2.1-2016），环评单位接受委托后，通过收集、研究该项目的相关资料及其他相关文件，对建设项目进行了初步分析判定。初步分析判定具体内容如下：</w:t>
      </w:r>
    </w:p>
    <w:p w14:paraId="51697477">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1.5.1</w:t>
      </w:r>
      <w:r>
        <w:rPr>
          <w:rFonts w:hint="eastAsia"/>
        </w:rPr>
        <w:t>与产业政策相符性</w:t>
      </w:r>
    </w:p>
    <w:p w14:paraId="53CF109B">
      <w:pPr>
        <w:ind w:firstLine="480"/>
        <w:jc w:val="left"/>
      </w:pPr>
      <w:r>
        <w:rPr>
          <w:kern w:val="0"/>
          <w:lang w:bidi="ar"/>
        </w:rPr>
        <w:t>经查阅</w:t>
      </w:r>
      <w:r>
        <w:rPr>
          <w:rFonts w:hint="eastAsia"/>
          <w:kern w:val="0"/>
          <w:lang w:bidi="ar"/>
        </w:rPr>
        <w:t>《产业结构调整指导目录（2024年本）》</w:t>
      </w:r>
      <w:r>
        <w:rPr>
          <w:kern w:val="0"/>
          <w:lang w:bidi="ar"/>
        </w:rPr>
        <w:t>，本项目不属于上述文件中的</w:t>
      </w:r>
      <w:r>
        <w:rPr>
          <w:rFonts w:hint="eastAsia" w:ascii="宋体" w:hAnsi="宋体" w:cs="宋体"/>
          <w:kern w:val="0"/>
          <w:lang w:bidi="ar"/>
        </w:rPr>
        <w:t>“鼓励类、限制类和淘汰类”</w:t>
      </w:r>
      <w:r>
        <w:rPr>
          <w:kern w:val="0"/>
          <w:lang w:bidi="ar"/>
        </w:rPr>
        <w:t>，属于允许类；本项目生产设备、产品不属于目录中明令淘汰的落后生产工艺装备、落后产品，因此项目符合国家产业政策。具有较好的社会效益、经济效益和发展前景。</w:t>
      </w:r>
      <w:r>
        <w:rPr>
          <w:rFonts w:hint="eastAsia"/>
          <w:kern w:val="0"/>
          <w:lang w:bidi="ar"/>
        </w:rPr>
        <w:t>查阅</w:t>
      </w:r>
      <w:r>
        <w:rPr>
          <w:rFonts w:ascii="Helvetica" w:hAnsi="Helvetica" w:eastAsia="Helvetica" w:cs="Helvetica"/>
          <w:shd w:val="clear" w:color="auto" w:fill="FFFFFF"/>
        </w:rPr>
        <w:t>《市场准入负面清单（</w:t>
      </w:r>
      <w:r>
        <w:rPr>
          <w:rFonts w:eastAsia="Helvetica"/>
          <w:shd w:val="clear" w:color="auto" w:fill="FFFFFF"/>
        </w:rPr>
        <w:t>202</w:t>
      </w:r>
      <w:r>
        <w:rPr>
          <w:rFonts w:hint="eastAsia"/>
          <w:shd w:val="clear" w:color="auto" w:fill="FFFFFF"/>
        </w:rPr>
        <w:t>2</w:t>
      </w:r>
      <w:r>
        <w:rPr>
          <w:rFonts w:ascii="Helvetica" w:hAnsi="Helvetica" w:eastAsia="Helvetica" w:cs="Helvetica"/>
          <w:shd w:val="clear" w:color="auto" w:fill="FFFFFF"/>
        </w:rPr>
        <w:t>年版）》</w:t>
      </w:r>
      <w:r>
        <w:rPr>
          <w:rFonts w:hint="eastAsia" w:ascii="Helvetica" w:hAnsi="Helvetica" w:cs="Helvetica"/>
          <w:shd w:val="clear" w:color="auto" w:fill="FFFFFF"/>
        </w:rPr>
        <w:t>，本项目建设内容及生产工艺均不属于禁止准入类和许可准入类，不在该负面清单内。符合市场准入要求。</w:t>
      </w:r>
    </w:p>
    <w:p w14:paraId="24D85AD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1.5.2</w:t>
      </w:r>
      <w:r>
        <w:rPr>
          <w:rFonts w:hint="eastAsia"/>
        </w:rPr>
        <w:t>项目选址可行性分析</w:t>
      </w:r>
    </w:p>
    <w:p w14:paraId="5C91AE79">
      <w:pPr>
        <w:ind w:firstLine="480"/>
      </w:pPr>
      <w:r>
        <w:rPr>
          <w:kern w:val="0"/>
          <w:lang w:bidi="ar"/>
        </w:rPr>
        <w:t>本项目位于</w:t>
      </w:r>
      <w:r>
        <w:rPr>
          <w:rFonts w:hint="eastAsia"/>
        </w:rPr>
        <w:t>湘潭天易经济开发区海鸥路以北、丁香路以西</w:t>
      </w:r>
      <w:r>
        <w:rPr>
          <w:kern w:val="0"/>
          <w:lang w:bidi="ar"/>
        </w:rPr>
        <w:t>，根据</w:t>
      </w:r>
      <w:r>
        <w:rPr>
          <w:rFonts w:hint="eastAsia"/>
          <w:kern w:val="0"/>
          <w:lang w:bidi="ar"/>
        </w:rPr>
        <w:t>湘潭天易经济开发区</w:t>
      </w:r>
      <w:r>
        <w:rPr>
          <w:kern w:val="0"/>
          <w:lang w:bidi="ar"/>
        </w:rPr>
        <w:t>总体布局以及湘潭县自然资源局颁发的建设用地规划许可证</w:t>
      </w:r>
      <w:r>
        <w:rPr>
          <w:rFonts w:hint="eastAsia"/>
          <w:kern w:val="0"/>
          <w:lang w:bidi="ar"/>
        </w:rPr>
        <w:t>（地字第430321202000067）</w:t>
      </w:r>
      <w:r>
        <w:rPr>
          <w:kern w:val="0"/>
          <w:lang w:bidi="ar"/>
        </w:rPr>
        <w:t>，项目所在地块属工业用地，符合规划用地要求。</w:t>
      </w:r>
    </w:p>
    <w:p w14:paraId="78844CE5">
      <w:pPr>
        <w:ind w:firstLine="480"/>
        <w:jc w:val="left"/>
        <w:rPr>
          <w:rFonts w:ascii="宋体" w:hAnsi="宋体" w:cs="宋体"/>
          <w:kern w:val="0"/>
          <w:lang w:bidi="ar"/>
        </w:rPr>
      </w:pPr>
      <w:r>
        <w:rPr>
          <w:kern w:val="0"/>
          <w:lang w:bidi="ar"/>
        </w:rPr>
        <w:t>本项目所在地目前环境质量基本满足功能区划要求，厂址周围无自然保护区、名胜古迹、生活饮用水源地、生态脆弱敏感区和其他需要特殊保护的敏感目标。</w:t>
      </w:r>
      <w:r>
        <w:rPr>
          <w:rFonts w:hint="eastAsia" w:ascii="宋体" w:hAnsi="宋体" w:cs="宋体"/>
          <w:kern w:val="0"/>
          <w:lang w:bidi="ar"/>
        </w:rPr>
        <w:t>项目厂址外环境关系较为简单，周边均为工业用地，无集中居住区、学校、医院等环境敏感点。项目在采取本报告提出的污染防治措施并确保其正常有效运行的前提下，污染物均能达标排放，对周围环境污染影响小，符合区域环境功能要求。从环境保护角度分析，项目选址较为合理。</w:t>
      </w:r>
    </w:p>
    <w:p w14:paraId="7602E44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1.5.3</w:t>
      </w:r>
      <w:r>
        <w:rPr>
          <w:rFonts w:hint="eastAsia"/>
        </w:rPr>
        <w:t>平面布局合理性分析</w:t>
      </w:r>
    </w:p>
    <w:p w14:paraId="52C10991">
      <w:pPr>
        <w:ind w:firstLine="480"/>
        <w:jc w:val="left"/>
        <w:rPr>
          <w:rFonts w:ascii="宋体" w:hAnsi="宋体" w:cs="宋体"/>
          <w:kern w:val="0"/>
          <w:lang w:bidi="ar"/>
        </w:rPr>
      </w:pPr>
      <w:r>
        <w:rPr>
          <w:rFonts w:hint="eastAsia" w:ascii="宋体" w:hAnsi="宋体" w:cs="宋体"/>
          <w:kern w:val="0"/>
          <w:lang w:bidi="ar"/>
        </w:rPr>
        <w:t>根据厂方提供平面布置图，本项目办公区位于湘潭天易经济开发区海鸥东路南侧，生产区位于湘潭天易经济开发区海鸥路以北、丁香路以西。生产厂区主入口位于南侧，靠近海鸥路，方便原辅材料及成品的运输；厂区东侧为车间一原料成品仓库，南侧为车间二是制袋车间分为制袋和烫金工艺，最北侧为车间四危废间位于此车间1F西侧，一般固废间位于此车间1F西侧危废间右侧，其余面积作为发展预留区域。车间一和车间四中间为车间三，本项目主要生产车间，分为印刷区（位于车间内东侧，印刷区全封闭负压收集，且设备全封闭处理，确保了收集效率）、干式复合区（位于车间内西侧，该区全封闭负压收集，且上胶处做隔断密闭，确保了收集效率）、无溶剂复合区、熟化区、调墨间、调胶间；锅炉房位于车间三东北侧，环保措施位于车间三东侧，危化品仓库位于车间四东侧。</w:t>
      </w:r>
    </w:p>
    <w:p w14:paraId="1F00E408">
      <w:pPr>
        <w:ind w:firstLine="480"/>
        <w:jc w:val="left"/>
        <w:rPr>
          <w:rFonts w:ascii="宋体" w:hAnsi="宋体" w:cs="宋体"/>
          <w:kern w:val="0"/>
          <w:lang w:bidi="ar"/>
        </w:rPr>
      </w:pPr>
      <w:r>
        <w:rPr>
          <w:rFonts w:hint="eastAsia" w:ascii="宋体" w:hAnsi="宋体" w:cs="宋体"/>
          <w:kern w:val="0"/>
          <w:lang w:bidi="ar"/>
        </w:rPr>
        <w:t>根据项目的平面布置，各区功能明确，员工办公区和生产区、环保设施区分流，环保设备排气口位于主导风向的侧风向，对环境影响较小，因此本项目平面布局合理。</w:t>
      </w:r>
    </w:p>
    <w:p w14:paraId="7A528AC4">
      <w:pPr>
        <w:pStyle w:val="4"/>
        <w:numPr>
          <w:ilvl w:val="2"/>
          <w:numId w:val="0"/>
        </w:numPr>
        <w:ind w:left="992" w:leftChars="0" w:hanging="992" w:firstLineChars="0"/>
        <w:jc w:val="left"/>
      </w:pPr>
      <w:r>
        <w:rPr>
          <w:rFonts w:hint="default" w:ascii="宋体" w:hAnsi="宋体" w:eastAsia="宋体" w:cs="宋体"/>
          <w:b/>
          <w:bCs/>
          <w:kern w:val="2"/>
          <w:sz w:val="24"/>
          <w:szCs w:val="24"/>
          <w:lang w:val="en-US" w:eastAsia="zh-CN" w:bidi="ar-SA"/>
        </w:rPr>
        <w:t>1.5.4</w:t>
      </w:r>
      <w:r>
        <w:t>与《湖南省发展和改革委员会湖南省自然厅关于发布湖南省省级及以上产业园区边界面积及四至范围目录的通知》（湘发改园区〔2022〕601号）的分析</w:t>
      </w:r>
    </w:p>
    <w:p w14:paraId="5B52E89A">
      <w:pPr>
        <w:ind w:firstLine="480"/>
        <w:jc w:val="left"/>
        <w:rPr>
          <w:kern w:val="0"/>
          <w:lang w:bidi="ar"/>
        </w:rPr>
      </w:pPr>
      <w:r>
        <w:rPr>
          <w:rFonts w:hint="eastAsia"/>
          <w:kern w:val="0"/>
          <w:lang w:bidi="ar"/>
        </w:rPr>
        <w:t>根据《湖南省省级及以上产业园区边界面积及四至范围目录》，湘潭天易经济开发区园区边界范围总面积为106.02公顷，包括区块一：面积1018.01公顷，四至范围为东至杨柳路、梧桐路、南至武广大道、西至玫瑰路、北至天易大道区块二：面积38.43公顷，四至范围为东至紫竹路、南至云龙东路、西至紫云路、北至天易大道辅路；区块三：面积10.58公顷，四至范围为东至青光村、南至七湾坡、西至海棠路、北至湘莲大道。本项目位于湘潭天易经济开发区海鸥路以北、丁香路以西湖南新向维包装有限公司现有生产车间内，属于湘潭天易经济开发区园区区块一范围内。</w:t>
      </w:r>
    </w:p>
    <w:p w14:paraId="3496EBF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1.5.5</w:t>
      </w:r>
      <w:r>
        <w:rPr>
          <w:rFonts w:hint="eastAsia"/>
        </w:rPr>
        <w:t>与天易经济开发区规划的符合性分析</w:t>
      </w:r>
    </w:p>
    <w:p w14:paraId="2E9FF59F">
      <w:pPr>
        <w:ind w:firstLine="480"/>
        <w:jc w:val="left"/>
        <w:rPr>
          <w:kern w:val="0"/>
          <w:lang w:bidi="ar"/>
        </w:rPr>
      </w:pPr>
      <w:r>
        <w:rPr>
          <w:rFonts w:hint="eastAsia"/>
          <w:kern w:val="0"/>
          <w:lang w:bidi="ar"/>
        </w:rPr>
        <w:t>（1）空间布局结构</w:t>
      </w:r>
    </w:p>
    <w:p w14:paraId="5A242893">
      <w:pPr>
        <w:ind w:firstLine="480"/>
        <w:jc w:val="left"/>
        <w:rPr>
          <w:kern w:val="0"/>
          <w:lang w:bidi="ar"/>
        </w:rPr>
      </w:pPr>
      <w:r>
        <w:rPr>
          <w:rFonts w:hint="eastAsia"/>
          <w:kern w:val="0"/>
          <w:lang w:bidi="ar"/>
        </w:rPr>
        <w:t>依据湘潭天易经济开发区规划，用地主要围绕海棠路及武广大道建设，整体</w:t>
      </w:r>
    </w:p>
    <w:p w14:paraId="41BFF146">
      <w:pPr>
        <w:ind w:firstLine="480"/>
        <w:jc w:val="left"/>
        <w:rPr>
          <w:kern w:val="0"/>
          <w:lang w:bidi="ar"/>
        </w:rPr>
      </w:pPr>
      <w:r>
        <w:rPr>
          <w:rFonts w:hint="eastAsia"/>
          <w:kern w:val="0"/>
          <w:lang w:bidi="ar"/>
        </w:rPr>
        <w:t>形成“一心、两轴、四片”的空间布局结构。</w:t>
      </w:r>
    </w:p>
    <w:p w14:paraId="200F13DE">
      <w:pPr>
        <w:ind w:firstLine="480"/>
        <w:jc w:val="left"/>
        <w:rPr>
          <w:kern w:val="0"/>
          <w:lang w:bidi="ar"/>
        </w:rPr>
      </w:pPr>
      <w:r>
        <w:rPr>
          <w:rFonts w:hint="eastAsia"/>
          <w:kern w:val="0"/>
          <w:lang w:bidi="ar"/>
        </w:rPr>
        <w:t>一心：海棠路公共服务中心；</w:t>
      </w:r>
    </w:p>
    <w:p w14:paraId="1DDF0314">
      <w:pPr>
        <w:ind w:firstLine="480"/>
        <w:jc w:val="left"/>
        <w:rPr>
          <w:kern w:val="0"/>
          <w:lang w:bidi="ar"/>
        </w:rPr>
      </w:pPr>
      <w:r>
        <w:rPr>
          <w:rFonts w:hint="eastAsia"/>
          <w:kern w:val="0"/>
          <w:lang w:bidi="ar"/>
        </w:rPr>
        <w:t>两轴：海棠路城市发展轴，武广大道交通联系轴；</w:t>
      </w:r>
    </w:p>
    <w:p w14:paraId="2D8BCDC0">
      <w:pPr>
        <w:ind w:firstLine="480"/>
        <w:jc w:val="left"/>
        <w:rPr>
          <w:kern w:val="0"/>
          <w:lang w:bidi="ar"/>
        </w:rPr>
      </w:pPr>
      <w:r>
        <w:rPr>
          <w:rFonts w:hint="eastAsia"/>
          <w:kern w:val="0"/>
          <w:lang w:bidi="ar"/>
        </w:rPr>
        <w:t>四片：东部先进装备制造片，节能环保产业基地，西部农产品加工及物流基</w:t>
      </w:r>
    </w:p>
    <w:p w14:paraId="4D7E5D51">
      <w:pPr>
        <w:ind w:firstLine="480"/>
        <w:jc w:val="left"/>
        <w:rPr>
          <w:kern w:val="0"/>
          <w:lang w:bidi="ar"/>
        </w:rPr>
      </w:pPr>
      <w:r>
        <w:rPr>
          <w:rFonts w:hint="eastAsia"/>
          <w:kern w:val="0"/>
          <w:lang w:bidi="ar"/>
        </w:rPr>
        <w:t>地，新材料产业基地。</w:t>
      </w:r>
    </w:p>
    <w:p w14:paraId="3641CC2D">
      <w:pPr>
        <w:ind w:firstLine="480"/>
        <w:jc w:val="left"/>
        <w:rPr>
          <w:kern w:val="0"/>
          <w:lang w:bidi="ar"/>
        </w:rPr>
      </w:pPr>
      <w:r>
        <w:rPr>
          <w:rFonts w:hint="eastAsia"/>
          <w:kern w:val="0"/>
          <w:lang w:bidi="ar"/>
        </w:rPr>
        <w:t>（2）产业发展结构</w:t>
      </w:r>
    </w:p>
    <w:p w14:paraId="1D9AEA52">
      <w:pPr>
        <w:ind w:firstLine="480"/>
        <w:jc w:val="left"/>
        <w:rPr>
          <w:kern w:val="0"/>
          <w:lang w:bidi="ar"/>
        </w:rPr>
      </w:pPr>
      <w:r>
        <w:rPr>
          <w:rFonts w:hint="eastAsia"/>
          <w:kern w:val="0"/>
          <w:lang w:bidi="ar"/>
        </w:rPr>
        <w:t>拟打“先进装备制造业、农产品精深加工业、现代服务业”三大主导产业，新材料产业、节能环保产业两大战略性新兴产业的“3+2”现代产业体系。其中现代服务业包括现代物流业和专业服务业，专业服务业的主要定位为新材料产业基地和节能环保产业基地，节能环保产业基地的主要定位为聚集工业节能设备、环保设备制造企业，并设立资源再利用中心，引入汽车零部件、机械零部件再制造企业，打造以设备生产和再制造为特色的节能环保产业基地。</w:t>
      </w:r>
    </w:p>
    <w:p w14:paraId="231009F5">
      <w:pPr>
        <w:ind w:firstLine="480"/>
        <w:jc w:val="left"/>
        <w:rPr>
          <w:kern w:val="0"/>
          <w:u w:val="single"/>
          <w:lang w:bidi="ar"/>
        </w:rPr>
      </w:pPr>
      <w:r>
        <w:rPr>
          <w:rFonts w:hint="eastAsia"/>
          <w:kern w:val="0"/>
          <w:lang w:bidi="ar"/>
        </w:rPr>
        <w:t>本项目位于湘潭天易经济开发区海鸥路以北、丁香路以西湖南新向维包装有限公司现有生产车间内，属于湘潭天易经济开发区园区区块一1018.01公顷范围内，</w:t>
      </w:r>
      <w:r>
        <w:rPr>
          <w:kern w:val="0"/>
          <w:lang w:bidi="ar"/>
        </w:rPr>
        <w:t>本项目为</w:t>
      </w:r>
      <w:r>
        <w:rPr>
          <w:rFonts w:hint="eastAsia"/>
          <w:kern w:val="0"/>
          <w:lang w:bidi="ar"/>
        </w:rPr>
        <w:t>塑料软包装印刷</w:t>
      </w:r>
      <w:r>
        <w:rPr>
          <w:kern w:val="0"/>
          <w:lang w:bidi="ar"/>
        </w:rPr>
        <w:t>，不属于区域禁止引进产业类型，</w:t>
      </w:r>
      <w:r>
        <w:rPr>
          <w:rFonts w:hint="eastAsia"/>
          <w:kern w:val="0"/>
          <w:lang w:bidi="ar"/>
        </w:rPr>
        <w:t>与湘潭天易经济开发区的产业定位不冲突。</w:t>
      </w:r>
      <w:r>
        <w:rPr>
          <w:kern w:val="0"/>
          <w:lang w:bidi="ar"/>
        </w:rPr>
        <w:t>项目用地为工业用地，符合规划要求。</w:t>
      </w:r>
    </w:p>
    <w:p w14:paraId="604F99EF">
      <w:pPr>
        <w:pStyle w:val="4"/>
        <w:numPr>
          <w:ilvl w:val="2"/>
          <w:numId w:val="0"/>
        </w:numPr>
        <w:ind w:left="992" w:leftChars="0" w:hanging="992" w:firstLineChars="0"/>
        <w:rPr>
          <w:u w:val="single"/>
        </w:rPr>
      </w:pPr>
      <w:r>
        <w:rPr>
          <w:rFonts w:hint="default" w:ascii="宋体" w:hAnsi="宋体" w:eastAsia="宋体" w:cs="宋体"/>
          <w:b/>
          <w:bCs/>
          <w:kern w:val="2"/>
          <w:sz w:val="24"/>
          <w:szCs w:val="24"/>
          <w:lang w:val="en-US" w:eastAsia="zh-CN" w:bidi="ar-SA"/>
        </w:rPr>
        <w:t>1.5.6</w:t>
      </w:r>
      <w:r>
        <w:rPr>
          <w:rFonts w:hint="eastAsia"/>
          <w:u w:val="single"/>
        </w:rPr>
        <w:t>与</w:t>
      </w:r>
      <w:r>
        <w:rPr>
          <w:rFonts w:hint="eastAsia"/>
          <w:u w:val="single"/>
          <w:lang w:val="en-US" w:eastAsia="zh-CN"/>
        </w:rPr>
        <w:t>天易经开区</w:t>
      </w:r>
      <w:r>
        <w:rPr>
          <w:rFonts w:hint="eastAsia"/>
          <w:u w:val="single"/>
        </w:rPr>
        <w:t>规划产业定位的相符性分析</w:t>
      </w:r>
    </w:p>
    <w:p w14:paraId="61655D71">
      <w:pPr>
        <w:ind w:firstLine="480"/>
        <w:jc w:val="left"/>
        <w:rPr>
          <w:kern w:val="0"/>
          <w:u w:val="single"/>
          <w:lang w:bidi="ar"/>
        </w:rPr>
      </w:pPr>
      <w:r>
        <w:rPr>
          <w:rFonts w:hint="eastAsia"/>
          <w:kern w:val="0"/>
          <w:u w:val="single"/>
          <w:lang w:bidi="ar"/>
        </w:rPr>
        <w:t>根据</w:t>
      </w:r>
      <w:r>
        <w:rPr>
          <w:rFonts w:hint="eastAsia"/>
          <w:kern w:val="0"/>
          <w:u w:val="single"/>
          <w:lang w:val="en-US" w:eastAsia="zh-CN" w:bidi="ar"/>
        </w:rPr>
        <w:t>《湘潭天易经济开发区总体规划环境影响报告书》</w:t>
      </w:r>
      <w:r>
        <w:rPr>
          <w:rFonts w:hint="eastAsia"/>
          <w:kern w:val="0"/>
          <w:u w:val="single"/>
          <w:lang w:bidi="ar"/>
        </w:rPr>
        <w:t>，规划经开区以调后面积（848.26ha）为基准进行扩区，扩区后总面积为1187.68公顷，形成“一园两片区”，即核心区（区块一），东城片区（区块二）。核心区规划面积978.04公顷，紧靠湘潭县城，北至天易大道，东至向东渠西路（规划），南至梧桐南路，西至湘南路，重点发展先进装备制造业、食品医药、新材料产业。东城片区规划面积 209.64公顷，位于县城东部，北临天易大道，西至芙蓉大道，南抵海鸥东路（规划），东邻紫竹路，发展先进装备制造产业。</w:t>
      </w:r>
      <w:r>
        <w:rPr>
          <w:rFonts w:hint="eastAsia"/>
          <w:kern w:val="0"/>
          <w:u w:val="single"/>
          <w:lang w:val="en-US" w:eastAsia="zh-CN" w:bidi="ar"/>
        </w:rPr>
        <w:t>本项目位于天易经开区核心区，</w:t>
      </w:r>
      <w:r>
        <w:rPr>
          <w:rFonts w:hint="eastAsia"/>
          <w:kern w:val="0"/>
          <w:u w:val="single"/>
          <w:lang w:bidi="ar"/>
        </w:rPr>
        <w:t>其入区企业准入条件如下表：</w:t>
      </w:r>
    </w:p>
    <w:p w14:paraId="6874DE86">
      <w:pPr>
        <w:pStyle w:val="51"/>
        <w:numPr>
          <w:ilvl w:val="5"/>
          <w:numId w:val="0"/>
        </w:numPr>
        <w:spacing w:before="120"/>
        <w:ind w:left="305" w:leftChars="0" w:hanging="3260" w:firstLineChars="0"/>
        <w:rPr>
          <w:rFonts w:hint="eastAsia" w:eastAsia="宋体"/>
          <w:u w:val="single"/>
          <w:lang w:eastAsia="zh-CN"/>
        </w:rPr>
      </w:pP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表1.5-1 </w:t>
      </w:r>
      <w:r>
        <w:rPr>
          <w:rFonts w:hint="eastAsia" w:ascii="宋体" w:hAnsi="宋体" w:cs="宋体"/>
          <w:b/>
          <w:bCs/>
          <w:color w:val="auto"/>
          <w:kern w:val="2"/>
          <w:sz w:val="21"/>
          <w:szCs w:val="21"/>
          <w:u w:val="single"/>
          <w:lang w:val="en-US" w:eastAsia="zh-CN" w:bidi="ar-SA"/>
        </w:rPr>
        <w:t xml:space="preserve">    </w:t>
      </w:r>
      <w:r>
        <w:rPr>
          <w:rFonts w:hint="eastAsia"/>
          <w:u w:val="single"/>
        </w:rPr>
        <w:t>与</w:t>
      </w:r>
      <w:r>
        <w:rPr>
          <w:rFonts w:hint="eastAsia"/>
          <w:u w:val="single"/>
          <w:lang w:val="en-US" w:eastAsia="zh-CN"/>
        </w:rPr>
        <w:t>天易经开区</w:t>
      </w:r>
      <w:r>
        <w:rPr>
          <w:rFonts w:hint="eastAsia"/>
          <w:u w:val="single"/>
        </w:rPr>
        <w:t>规划企业准入条件</w:t>
      </w:r>
      <w:r>
        <w:rPr>
          <w:rFonts w:hint="eastAsia"/>
          <w:u w:val="single"/>
          <w:lang w:eastAsia="zh-CN"/>
        </w:rPr>
        <w:t>（</w:t>
      </w:r>
      <w:r>
        <w:rPr>
          <w:rFonts w:hint="eastAsia"/>
          <w:u w:val="single"/>
          <w:lang w:val="en-US" w:eastAsia="zh-CN"/>
        </w:rPr>
        <w:t>核心区</w:t>
      </w:r>
      <w:r>
        <w:rPr>
          <w:rFonts w:hint="eastAsia"/>
          <w:u w:val="single"/>
          <w:lang w:eastAsia="zh-CN"/>
        </w:rPr>
        <w:t>）</w:t>
      </w:r>
    </w:p>
    <w:tbl>
      <w:tblPr>
        <w:tblStyle w:val="32"/>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3954"/>
        <w:gridCol w:w="3082"/>
        <w:gridCol w:w="1131"/>
      </w:tblGrid>
      <w:tr w14:paraId="682C84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1119" w:type="dxa"/>
            <w:tcBorders>
              <w:tl2br w:val="nil"/>
              <w:tr2bl w:val="nil"/>
            </w:tcBorders>
            <w:vAlign w:val="center"/>
          </w:tcPr>
          <w:p w14:paraId="6EB4568E">
            <w:pPr>
              <w:spacing w:line="240" w:lineRule="auto"/>
              <w:jc w:val="center"/>
              <w:rPr>
                <w:sz w:val="21"/>
                <w:szCs w:val="21"/>
                <w:u w:val="single"/>
              </w:rPr>
            </w:pPr>
            <w:r>
              <w:rPr>
                <w:sz w:val="21"/>
                <w:szCs w:val="21"/>
                <w:u w:val="single"/>
              </w:rPr>
              <w:t>控制类别</w:t>
            </w:r>
          </w:p>
        </w:tc>
        <w:tc>
          <w:tcPr>
            <w:tcW w:w="3954" w:type="dxa"/>
            <w:tcBorders>
              <w:tl2br w:val="nil"/>
              <w:tr2bl w:val="nil"/>
            </w:tcBorders>
            <w:vAlign w:val="center"/>
          </w:tcPr>
          <w:p w14:paraId="19DF2102">
            <w:pPr>
              <w:spacing w:line="240" w:lineRule="auto"/>
              <w:jc w:val="center"/>
              <w:rPr>
                <w:sz w:val="21"/>
                <w:szCs w:val="21"/>
                <w:u w:val="single"/>
              </w:rPr>
            </w:pPr>
            <w:r>
              <w:rPr>
                <w:sz w:val="21"/>
                <w:szCs w:val="21"/>
                <w:u w:val="single"/>
              </w:rPr>
              <w:t>界定范围和划分标准</w:t>
            </w:r>
          </w:p>
        </w:tc>
        <w:tc>
          <w:tcPr>
            <w:tcW w:w="3082" w:type="dxa"/>
            <w:tcBorders>
              <w:tl2br w:val="nil"/>
              <w:tr2bl w:val="nil"/>
            </w:tcBorders>
            <w:vAlign w:val="center"/>
          </w:tcPr>
          <w:p w14:paraId="6EB26947">
            <w:pPr>
              <w:spacing w:line="240" w:lineRule="auto"/>
              <w:jc w:val="center"/>
              <w:rPr>
                <w:sz w:val="21"/>
                <w:szCs w:val="21"/>
                <w:u w:val="single"/>
              </w:rPr>
            </w:pPr>
            <w:r>
              <w:rPr>
                <w:sz w:val="21"/>
                <w:szCs w:val="21"/>
                <w:u w:val="single"/>
              </w:rPr>
              <w:t>本项目情况</w:t>
            </w:r>
          </w:p>
        </w:tc>
        <w:tc>
          <w:tcPr>
            <w:tcW w:w="1131" w:type="dxa"/>
            <w:tcBorders>
              <w:tl2br w:val="nil"/>
              <w:tr2bl w:val="nil"/>
            </w:tcBorders>
            <w:vAlign w:val="center"/>
          </w:tcPr>
          <w:p w14:paraId="0B261E69">
            <w:pPr>
              <w:spacing w:line="240" w:lineRule="auto"/>
              <w:jc w:val="center"/>
              <w:rPr>
                <w:sz w:val="21"/>
                <w:szCs w:val="21"/>
                <w:u w:val="single"/>
              </w:rPr>
            </w:pPr>
            <w:r>
              <w:rPr>
                <w:sz w:val="21"/>
                <w:szCs w:val="21"/>
                <w:u w:val="single"/>
              </w:rPr>
              <w:t>符合性</w:t>
            </w:r>
          </w:p>
        </w:tc>
      </w:tr>
      <w:tr w14:paraId="380F6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tcBorders>
              <w:tl2br w:val="nil"/>
              <w:tr2bl w:val="nil"/>
            </w:tcBorders>
            <w:vAlign w:val="center"/>
          </w:tcPr>
          <w:p w14:paraId="4C42383F">
            <w:pPr>
              <w:spacing w:line="240" w:lineRule="auto"/>
              <w:jc w:val="center"/>
              <w:rPr>
                <w:rFonts w:hint="eastAsia" w:eastAsia="宋体"/>
                <w:sz w:val="21"/>
                <w:szCs w:val="21"/>
                <w:u w:val="single"/>
                <w:lang w:eastAsia="zh-CN"/>
              </w:rPr>
            </w:pPr>
            <w:r>
              <w:rPr>
                <w:rFonts w:hint="eastAsia"/>
                <w:sz w:val="21"/>
                <w:szCs w:val="21"/>
                <w:u w:val="single"/>
                <w:lang w:val="en-US" w:eastAsia="zh-CN"/>
              </w:rPr>
              <w:t>禁止类</w:t>
            </w:r>
          </w:p>
        </w:tc>
        <w:tc>
          <w:tcPr>
            <w:tcW w:w="3954" w:type="dxa"/>
            <w:tcBorders>
              <w:tl2br w:val="nil"/>
              <w:tr2bl w:val="nil"/>
            </w:tcBorders>
            <w:vAlign w:val="center"/>
          </w:tcPr>
          <w:p w14:paraId="279C15D7">
            <w:pPr>
              <w:spacing w:line="240" w:lineRule="auto"/>
              <w:rPr>
                <w:rFonts w:hint="eastAsia"/>
                <w:sz w:val="21"/>
                <w:szCs w:val="21"/>
                <w:u w:val="single"/>
              </w:rPr>
            </w:pPr>
            <w:r>
              <w:rPr>
                <w:rFonts w:hint="eastAsia"/>
                <w:sz w:val="21"/>
                <w:szCs w:val="21"/>
                <w:u w:val="single"/>
              </w:rPr>
              <w:t>1、禁止引进《产业结构调整指导目录》淘汰类工艺和设备的项目。</w:t>
            </w:r>
          </w:p>
          <w:p w14:paraId="4A835EDB">
            <w:pPr>
              <w:spacing w:line="240" w:lineRule="auto"/>
              <w:rPr>
                <w:rFonts w:hint="eastAsia"/>
                <w:sz w:val="21"/>
                <w:szCs w:val="21"/>
                <w:u w:val="single"/>
              </w:rPr>
            </w:pPr>
            <w:r>
              <w:rPr>
                <w:rFonts w:hint="eastAsia"/>
                <w:sz w:val="21"/>
                <w:szCs w:val="21"/>
                <w:u w:val="single"/>
              </w:rPr>
              <w:t>2、根据国、省政策要求必须入化工园区的项目，先进装备制造业禁止引进集中电镀；新材料产业禁止新引进基础化学原料项目（单纯物理分离、物理提纯、混合、分装的除外）、火法冶炼项目（合金制造除外）；禁止新引进涉及《有毒有害水污染物名录》排放的项目；禁止新引进涉及持久性有机污染物的化学药品原料药的项目；禁止新引进涉及第一类重金属污染物排放的项目。</w:t>
            </w:r>
          </w:p>
          <w:p w14:paraId="122D051F">
            <w:pPr>
              <w:spacing w:line="240" w:lineRule="auto"/>
              <w:rPr>
                <w:sz w:val="21"/>
                <w:szCs w:val="21"/>
                <w:u w:val="single"/>
              </w:rPr>
            </w:pPr>
            <w:r>
              <w:rPr>
                <w:rFonts w:hint="eastAsia"/>
                <w:sz w:val="21"/>
                <w:szCs w:val="21"/>
                <w:u w:val="single"/>
                <w:lang w:val="en-US" w:eastAsia="zh-CN"/>
              </w:rPr>
              <w:t>3、禁止新引入原辅材料或产品中含有《重点管控新污染物清单》现行版中禁止生产、加工使用的新污染物的项目；禁燃区禁止审批、新建、扩建、改建燃用高污染燃料的燃烧设施，禁止燃用高污染燃料。</w:t>
            </w:r>
          </w:p>
        </w:tc>
        <w:tc>
          <w:tcPr>
            <w:tcW w:w="3082" w:type="dxa"/>
            <w:tcBorders>
              <w:tl2br w:val="nil"/>
              <w:tr2bl w:val="nil"/>
            </w:tcBorders>
            <w:vAlign w:val="center"/>
          </w:tcPr>
          <w:p w14:paraId="2E37879D">
            <w:pPr>
              <w:spacing w:line="240" w:lineRule="auto"/>
              <w:rPr>
                <w:rFonts w:hint="default" w:eastAsia="宋体"/>
                <w:sz w:val="21"/>
                <w:szCs w:val="21"/>
                <w:u w:val="single"/>
                <w:lang w:val="en-US" w:eastAsia="zh-CN"/>
              </w:rPr>
            </w:pPr>
            <w:r>
              <w:rPr>
                <w:sz w:val="21"/>
                <w:szCs w:val="21"/>
                <w:u w:val="single"/>
              </w:rPr>
              <w:t>项目符合国家产业政策</w:t>
            </w:r>
            <w:r>
              <w:rPr>
                <w:rFonts w:hint="eastAsia"/>
                <w:sz w:val="21"/>
                <w:szCs w:val="21"/>
                <w:u w:val="single"/>
                <w:lang w:eastAsia="zh-CN"/>
              </w:rPr>
              <w:t>，</w:t>
            </w:r>
            <w:r>
              <w:rPr>
                <w:rFonts w:hint="eastAsia"/>
                <w:sz w:val="21"/>
                <w:szCs w:val="21"/>
                <w:u w:val="single"/>
                <w:lang w:val="en-US" w:eastAsia="zh-CN"/>
              </w:rPr>
              <w:t>不属于《产业结构调整指导目录》淘汰类工艺和设备的项目；项目不属于化工项目，</w:t>
            </w:r>
            <w:r>
              <w:rPr>
                <w:sz w:val="21"/>
                <w:szCs w:val="21"/>
                <w:u w:val="single"/>
              </w:rPr>
              <w:t>不属于重金属、水型污染企业</w:t>
            </w:r>
            <w:r>
              <w:rPr>
                <w:rFonts w:hint="eastAsia"/>
                <w:sz w:val="21"/>
                <w:szCs w:val="21"/>
                <w:u w:val="single"/>
                <w:lang w:eastAsia="zh-CN"/>
              </w:rPr>
              <w:t>，</w:t>
            </w:r>
            <w:r>
              <w:rPr>
                <w:rFonts w:hint="eastAsia"/>
                <w:sz w:val="21"/>
                <w:szCs w:val="21"/>
                <w:u w:val="single"/>
                <w:lang w:val="en-US" w:eastAsia="zh-CN"/>
              </w:rPr>
              <w:t>不涉及一类重金属排放</w:t>
            </w:r>
            <w:r>
              <w:rPr>
                <w:sz w:val="21"/>
                <w:szCs w:val="21"/>
                <w:u w:val="single"/>
              </w:rPr>
              <w:t>；</w:t>
            </w:r>
            <w:r>
              <w:rPr>
                <w:rFonts w:hint="eastAsia"/>
                <w:sz w:val="21"/>
                <w:szCs w:val="21"/>
                <w:u w:val="single"/>
                <w:lang w:val="en-US" w:eastAsia="zh-CN"/>
              </w:rPr>
              <w:t>原辅材料和产品不涉及《重点管控新污染物清单》，项目使用天然气为能源，不涉及高污染燃料的使用。</w:t>
            </w:r>
          </w:p>
        </w:tc>
        <w:tc>
          <w:tcPr>
            <w:tcW w:w="1131" w:type="dxa"/>
            <w:tcBorders>
              <w:tl2br w:val="nil"/>
              <w:tr2bl w:val="nil"/>
            </w:tcBorders>
            <w:vAlign w:val="center"/>
          </w:tcPr>
          <w:p w14:paraId="38D4285A">
            <w:pPr>
              <w:spacing w:line="240" w:lineRule="auto"/>
              <w:jc w:val="center"/>
              <w:rPr>
                <w:sz w:val="21"/>
                <w:szCs w:val="21"/>
                <w:u w:val="single"/>
              </w:rPr>
            </w:pPr>
            <w:r>
              <w:rPr>
                <w:sz w:val="21"/>
                <w:szCs w:val="21"/>
                <w:u w:val="single"/>
              </w:rPr>
              <w:t>符合</w:t>
            </w:r>
          </w:p>
        </w:tc>
      </w:tr>
      <w:tr w14:paraId="7F4CE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9" w:type="dxa"/>
            <w:tcBorders>
              <w:tl2br w:val="nil"/>
              <w:tr2bl w:val="nil"/>
            </w:tcBorders>
            <w:vAlign w:val="center"/>
          </w:tcPr>
          <w:p w14:paraId="06410A78">
            <w:pPr>
              <w:spacing w:line="240" w:lineRule="auto"/>
              <w:jc w:val="center"/>
              <w:rPr>
                <w:rFonts w:hint="eastAsia" w:eastAsia="宋体"/>
                <w:sz w:val="21"/>
                <w:szCs w:val="21"/>
                <w:u w:val="single"/>
                <w:lang w:eastAsia="zh-CN"/>
              </w:rPr>
            </w:pPr>
            <w:r>
              <w:rPr>
                <w:rFonts w:hint="eastAsia"/>
                <w:sz w:val="21"/>
                <w:szCs w:val="21"/>
                <w:u w:val="single"/>
                <w:lang w:val="en-US" w:eastAsia="zh-CN"/>
              </w:rPr>
              <w:t>限制类</w:t>
            </w:r>
          </w:p>
        </w:tc>
        <w:tc>
          <w:tcPr>
            <w:tcW w:w="3954" w:type="dxa"/>
            <w:tcBorders>
              <w:tl2br w:val="nil"/>
              <w:tr2bl w:val="nil"/>
            </w:tcBorders>
            <w:vAlign w:val="center"/>
          </w:tcPr>
          <w:p w14:paraId="740189ED">
            <w:pPr>
              <w:spacing w:line="240" w:lineRule="auto"/>
              <w:rPr>
                <w:rFonts w:hint="eastAsia"/>
                <w:sz w:val="21"/>
                <w:szCs w:val="21"/>
                <w:u w:val="single"/>
              </w:rPr>
            </w:pPr>
            <w:r>
              <w:rPr>
                <w:rFonts w:hint="eastAsia"/>
                <w:sz w:val="21"/>
                <w:szCs w:val="21"/>
                <w:u w:val="single"/>
              </w:rPr>
              <w:t>1、属于《产业结构调整指导目录》限制类工艺和设备的项目。</w:t>
            </w:r>
          </w:p>
          <w:p w14:paraId="4C850DA7">
            <w:pPr>
              <w:spacing w:line="240" w:lineRule="auto"/>
              <w:rPr>
                <w:rFonts w:hint="eastAsia"/>
                <w:sz w:val="21"/>
                <w:szCs w:val="21"/>
                <w:u w:val="single"/>
              </w:rPr>
            </w:pPr>
            <w:r>
              <w:rPr>
                <w:rFonts w:hint="eastAsia"/>
                <w:sz w:val="21"/>
                <w:szCs w:val="21"/>
                <w:u w:val="single"/>
                <w:lang w:val="en-US" w:eastAsia="zh-CN"/>
              </w:rPr>
              <w:t>2</w:t>
            </w:r>
            <w:r>
              <w:rPr>
                <w:rFonts w:hint="eastAsia"/>
                <w:sz w:val="21"/>
                <w:szCs w:val="21"/>
                <w:u w:val="single"/>
              </w:rPr>
              <w:t>、邻近居住用地、学校等敏感点相邻的工业用地限制引入气型污染大、噪声大的企业，建议优先布局气型污染轻、噪声小的产业。</w:t>
            </w:r>
          </w:p>
          <w:p w14:paraId="0AEA8B67">
            <w:pPr>
              <w:spacing w:line="240" w:lineRule="auto"/>
              <w:rPr>
                <w:sz w:val="21"/>
                <w:szCs w:val="21"/>
                <w:u w:val="single"/>
              </w:rPr>
            </w:pPr>
            <w:r>
              <w:rPr>
                <w:rFonts w:hint="eastAsia"/>
                <w:sz w:val="21"/>
                <w:szCs w:val="21"/>
                <w:u w:val="single"/>
              </w:rPr>
              <w:t>3、严格限制两高项目入园。</w:t>
            </w:r>
          </w:p>
        </w:tc>
        <w:tc>
          <w:tcPr>
            <w:tcW w:w="3082" w:type="dxa"/>
            <w:tcBorders>
              <w:tl2br w:val="nil"/>
              <w:tr2bl w:val="nil"/>
            </w:tcBorders>
            <w:vAlign w:val="center"/>
          </w:tcPr>
          <w:p w14:paraId="063D48CF">
            <w:pPr>
              <w:spacing w:line="240" w:lineRule="auto"/>
              <w:jc w:val="center"/>
              <w:rPr>
                <w:rFonts w:hint="default"/>
                <w:sz w:val="21"/>
                <w:szCs w:val="21"/>
                <w:u w:val="single"/>
                <w:lang w:val="en-US"/>
              </w:rPr>
            </w:pPr>
            <w:r>
              <w:rPr>
                <w:sz w:val="21"/>
                <w:szCs w:val="21"/>
                <w:u w:val="single"/>
              </w:rPr>
              <w:t>项目符合国家产业政策</w:t>
            </w:r>
            <w:r>
              <w:rPr>
                <w:rFonts w:hint="eastAsia"/>
                <w:sz w:val="21"/>
                <w:szCs w:val="21"/>
                <w:u w:val="single"/>
                <w:lang w:eastAsia="zh-CN"/>
              </w:rPr>
              <w:t>，</w:t>
            </w:r>
            <w:r>
              <w:rPr>
                <w:rFonts w:hint="eastAsia"/>
                <w:sz w:val="21"/>
                <w:szCs w:val="21"/>
                <w:u w:val="single"/>
                <w:lang w:val="en-US" w:eastAsia="zh-CN"/>
              </w:rPr>
              <w:t>不属于《产业结构调整指导目录》限制类工艺和设备的项目；项目厂区四周均为工业企业，无敏感点分布。不属于“两高”项目。</w:t>
            </w:r>
          </w:p>
        </w:tc>
        <w:tc>
          <w:tcPr>
            <w:tcW w:w="1131" w:type="dxa"/>
            <w:tcBorders>
              <w:tl2br w:val="nil"/>
              <w:tr2bl w:val="nil"/>
            </w:tcBorders>
            <w:vAlign w:val="center"/>
          </w:tcPr>
          <w:p w14:paraId="0FE11482">
            <w:pPr>
              <w:spacing w:line="240" w:lineRule="auto"/>
              <w:jc w:val="center"/>
              <w:rPr>
                <w:sz w:val="21"/>
                <w:szCs w:val="21"/>
                <w:u w:val="single"/>
              </w:rPr>
            </w:pPr>
            <w:r>
              <w:rPr>
                <w:sz w:val="21"/>
                <w:szCs w:val="21"/>
                <w:u w:val="single"/>
              </w:rPr>
              <w:t>符合</w:t>
            </w:r>
          </w:p>
        </w:tc>
      </w:tr>
    </w:tbl>
    <w:p w14:paraId="3BD174B7">
      <w:pPr>
        <w:spacing w:before="120" w:beforeLines="50"/>
        <w:ind w:firstLine="480"/>
        <w:jc w:val="left"/>
        <w:rPr>
          <w:kern w:val="0"/>
          <w:lang w:bidi="ar"/>
        </w:rPr>
      </w:pPr>
      <w:r>
        <w:rPr>
          <w:rFonts w:hint="eastAsia"/>
          <w:kern w:val="0"/>
          <w:u w:val="single"/>
          <w:lang w:bidi="ar"/>
        </w:rPr>
        <w:t>综上，本项目不属于</w:t>
      </w:r>
      <w:r>
        <w:rPr>
          <w:rFonts w:hint="eastAsia"/>
          <w:kern w:val="0"/>
          <w:u w:val="single"/>
          <w:lang w:val="en-US" w:eastAsia="zh-CN" w:bidi="ar"/>
        </w:rPr>
        <w:t>天易经开区</w:t>
      </w:r>
      <w:r>
        <w:rPr>
          <w:rFonts w:hint="eastAsia"/>
          <w:kern w:val="0"/>
          <w:u w:val="single"/>
          <w:lang w:bidi="ar"/>
        </w:rPr>
        <w:t>禁止发展、限制发展的产业类型，不在示范区总体发展规划禁止之列，本项目用地符合区域用地规划要求，因此本项目的建设符合规划中的产业定位。</w:t>
      </w:r>
    </w:p>
    <w:p w14:paraId="1F3C38D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1.5.7</w:t>
      </w:r>
      <w:r>
        <w:rPr>
          <w:rFonts w:hint="eastAsia"/>
        </w:rPr>
        <w:t>与区域规划环评批复要求的符合性分析</w:t>
      </w:r>
    </w:p>
    <w:p w14:paraId="066ACE92">
      <w:pPr>
        <w:ind w:firstLine="482"/>
        <w:rPr>
          <w:b/>
          <w:bCs/>
        </w:rPr>
      </w:pPr>
      <w:r>
        <w:rPr>
          <w:rFonts w:hint="eastAsia"/>
          <w:b/>
          <w:bCs/>
          <w:kern w:val="0"/>
          <w:lang w:bidi="ar"/>
        </w:rPr>
        <w:t>1.</w:t>
      </w:r>
      <w:r>
        <w:rPr>
          <w:rFonts w:hint="eastAsia"/>
          <w:b/>
          <w:bCs/>
        </w:rPr>
        <w:t>与湘潭天易经开区规划环评符合性分析</w:t>
      </w:r>
    </w:p>
    <w:p w14:paraId="3E42F88B">
      <w:pPr>
        <w:spacing w:before="120" w:beforeLines="50"/>
        <w:ind w:firstLine="480"/>
        <w:jc w:val="left"/>
        <w:rPr>
          <w:kern w:val="0"/>
          <w:u w:val="single"/>
          <w:lang w:bidi="ar"/>
        </w:rPr>
      </w:pPr>
      <w:r>
        <w:rPr>
          <w:rFonts w:hint="eastAsia"/>
          <w:kern w:val="0"/>
          <w:u w:val="single"/>
          <w:lang w:bidi="ar"/>
        </w:rPr>
        <w:t>根据《</w:t>
      </w:r>
      <w:r>
        <w:rPr>
          <w:rFonts w:hint="eastAsia"/>
          <w:kern w:val="0"/>
          <w:u w:val="single"/>
          <w:lang w:val="en-US" w:eastAsia="zh-CN" w:bidi="ar"/>
        </w:rPr>
        <w:t>湘潭天易经济开发区总体规划环境影响报告书</w:t>
      </w:r>
      <w:r>
        <w:rPr>
          <w:rFonts w:hint="eastAsia"/>
          <w:kern w:val="0"/>
          <w:u w:val="single"/>
          <w:lang w:bidi="ar"/>
        </w:rPr>
        <w:t>的批复的函》（湘环评函〔20</w:t>
      </w:r>
      <w:r>
        <w:rPr>
          <w:rFonts w:hint="eastAsia"/>
          <w:kern w:val="0"/>
          <w:u w:val="single"/>
          <w:lang w:val="en-US" w:eastAsia="zh-CN" w:bidi="ar"/>
        </w:rPr>
        <w:t>26</w:t>
      </w:r>
      <w:r>
        <w:rPr>
          <w:rFonts w:hint="eastAsia"/>
          <w:kern w:val="0"/>
          <w:u w:val="single"/>
          <w:lang w:bidi="ar"/>
        </w:rPr>
        <w:t>〕</w:t>
      </w:r>
      <w:r>
        <w:rPr>
          <w:rFonts w:hint="eastAsia"/>
          <w:kern w:val="0"/>
          <w:u w:val="single"/>
          <w:lang w:val="en-US" w:eastAsia="zh-CN" w:bidi="ar"/>
        </w:rPr>
        <w:t>8</w:t>
      </w:r>
      <w:r>
        <w:rPr>
          <w:rFonts w:hint="eastAsia"/>
          <w:kern w:val="0"/>
          <w:u w:val="single"/>
          <w:lang w:bidi="ar"/>
        </w:rPr>
        <w:t>号），与本项目有关的要求符合性分析如下：</w:t>
      </w:r>
    </w:p>
    <w:p w14:paraId="1DDAD683">
      <w:pPr>
        <w:keepNext w:val="0"/>
        <w:keepLines w:val="0"/>
        <w:pageBreakBefore w:val="0"/>
        <w:widowControl/>
        <w:kinsoku/>
        <w:wordWrap/>
        <w:overflowPunct/>
        <w:topLinePunct w:val="0"/>
        <w:autoSpaceDE/>
        <w:autoSpaceDN/>
        <w:bidi w:val="0"/>
        <w:adjustRightInd/>
        <w:snapToGrid/>
        <w:spacing w:line="240" w:lineRule="auto"/>
        <w:ind w:firstLine="2108" w:firstLineChars="1000"/>
        <w:jc w:val="both"/>
        <w:textAlignment w:val="auto"/>
        <w:rPr>
          <w:b/>
          <w:bCs/>
          <w:sz w:val="21"/>
          <w:szCs w:val="21"/>
          <w:u w:val="single"/>
        </w:rPr>
      </w:pPr>
      <w:r>
        <w:rPr>
          <w:rFonts w:hint="default" w:ascii="宋体" w:hAnsi="宋体" w:eastAsia="宋体" w:cs="宋体"/>
          <w:b/>
          <w:bCs/>
          <w:color w:val="auto"/>
          <w:kern w:val="2"/>
          <w:sz w:val="21"/>
          <w:szCs w:val="21"/>
          <w:u w:val="single"/>
          <w:lang w:val="en-US" w:eastAsia="zh-CN" w:bidi="ar-SA"/>
        </w:rPr>
        <w:t>表1.5-2</w:t>
      </w: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 </w:t>
      </w:r>
      <w:r>
        <w:rPr>
          <w:rFonts w:hint="eastAsia"/>
          <w:b/>
          <w:bCs/>
          <w:u w:val="single"/>
        </w:rPr>
        <w:t>与</w:t>
      </w:r>
      <w:r>
        <w:rPr>
          <w:rFonts w:hint="eastAsia"/>
          <w:b/>
          <w:bCs/>
          <w:u w:val="single"/>
          <w:lang w:val="en-US" w:eastAsia="zh-CN"/>
        </w:rPr>
        <w:t>环评批复</w:t>
      </w:r>
      <w:r>
        <w:rPr>
          <w:rFonts w:hint="eastAsia"/>
          <w:b/>
          <w:bCs/>
          <w:sz w:val="21"/>
          <w:szCs w:val="21"/>
          <w:u w:val="single"/>
        </w:rPr>
        <w:t>的符合性分析</w:t>
      </w:r>
    </w:p>
    <w:tbl>
      <w:tblPr>
        <w:tblStyle w:val="32"/>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4395"/>
        <w:gridCol w:w="3974"/>
        <w:gridCol w:w="470"/>
      </w:tblGrid>
      <w:tr w14:paraId="66BC74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164C3396">
            <w:pPr>
              <w:spacing w:line="240" w:lineRule="auto"/>
              <w:jc w:val="center"/>
              <w:rPr>
                <w:sz w:val="21"/>
                <w:szCs w:val="21"/>
                <w:u w:val="single"/>
              </w:rPr>
            </w:pPr>
            <w:r>
              <w:rPr>
                <w:sz w:val="21"/>
                <w:szCs w:val="21"/>
                <w:u w:val="single"/>
              </w:rPr>
              <w:t>序号</w:t>
            </w:r>
          </w:p>
        </w:tc>
        <w:tc>
          <w:tcPr>
            <w:tcW w:w="0" w:type="auto"/>
            <w:tcBorders>
              <w:tl2br w:val="nil"/>
              <w:tr2bl w:val="nil"/>
            </w:tcBorders>
            <w:vAlign w:val="center"/>
          </w:tcPr>
          <w:p w14:paraId="679C067D">
            <w:pPr>
              <w:spacing w:line="240" w:lineRule="auto"/>
              <w:jc w:val="center"/>
              <w:rPr>
                <w:sz w:val="21"/>
                <w:szCs w:val="21"/>
                <w:u w:val="single"/>
              </w:rPr>
            </w:pPr>
            <w:r>
              <w:rPr>
                <w:sz w:val="21"/>
                <w:szCs w:val="21"/>
                <w:u w:val="single"/>
              </w:rPr>
              <w:t>规划环评批复要求</w:t>
            </w:r>
          </w:p>
        </w:tc>
        <w:tc>
          <w:tcPr>
            <w:tcW w:w="0" w:type="auto"/>
            <w:tcBorders>
              <w:tl2br w:val="nil"/>
              <w:tr2bl w:val="nil"/>
            </w:tcBorders>
            <w:vAlign w:val="center"/>
          </w:tcPr>
          <w:p w14:paraId="5767959E">
            <w:pPr>
              <w:spacing w:line="240" w:lineRule="auto"/>
              <w:jc w:val="center"/>
              <w:rPr>
                <w:sz w:val="21"/>
                <w:szCs w:val="21"/>
                <w:u w:val="single"/>
              </w:rPr>
            </w:pPr>
            <w:r>
              <w:rPr>
                <w:sz w:val="21"/>
                <w:szCs w:val="21"/>
                <w:u w:val="single"/>
              </w:rPr>
              <w:t>本项目情况</w:t>
            </w:r>
          </w:p>
        </w:tc>
        <w:tc>
          <w:tcPr>
            <w:tcW w:w="0" w:type="auto"/>
            <w:tcBorders>
              <w:tl2br w:val="nil"/>
              <w:tr2bl w:val="nil"/>
            </w:tcBorders>
            <w:vAlign w:val="center"/>
          </w:tcPr>
          <w:p w14:paraId="5E381D6D">
            <w:pPr>
              <w:spacing w:line="240" w:lineRule="auto"/>
              <w:jc w:val="center"/>
              <w:rPr>
                <w:sz w:val="21"/>
                <w:szCs w:val="21"/>
                <w:u w:val="single"/>
              </w:rPr>
            </w:pPr>
            <w:r>
              <w:rPr>
                <w:sz w:val="21"/>
                <w:szCs w:val="21"/>
                <w:u w:val="single"/>
              </w:rPr>
              <w:t>符合性</w:t>
            </w:r>
          </w:p>
        </w:tc>
      </w:tr>
      <w:tr w14:paraId="050D6D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22E78D5C">
            <w:pPr>
              <w:spacing w:line="240" w:lineRule="auto"/>
              <w:jc w:val="center"/>
              <w:rPr>
                <w:sz w:val="21"/>
                <w:szCs w:val="21"/>
                <w:u w:val="single"/>
              </w:rPr>
            </w:pPr>
            <w:r>
              <w:rPr>
                <w:sz w:val="21"/>
                <w:szCs w:val="21"/>
                <w:u w:val="single"/>
              </w:rPr>
              <w:t>1</w:t>
            </w:r>
          </w:p>
        </w:tc>
        <w:tc>
          <w:tcPr>
            <w:tcW w:w="0" w:type="auto"/>
            <w:tcBorders>
              <w:tl2br w:val="nil"/>
              <w:tr2bl w:val="nil"/>
            </w:tcBorders>
            <w:vAlign w:val="center"/>
          </w:tcPr>
          <w:p w14:paraId="03B8DCCA">
            <w:pPr>
              <w:spacing w:line="240" w:lineRule="auto"/>
              <w:jc w:val="center"/>
              <w:rPr>
                <w:rFonts w:hint="eastAsia" w:eastAsia="宋体"/>
                <w:sz w:val="21"/>
                <w:szCs w:val="21"/>
                <w:u w:val="single"/>
                <w:lang w:eastAsia="zh-CN"/>
              </w:rPr>
            </w:pPr>
            <w:r>
              <w:rPr>
                <w:sz w:val="21"/>
                <w:szCs w:val="21"/>
                <w:u w:val="single"/>
              </w:rPr>
              <w:t>优化空间功能布局。园区应从规划层面提升环境相容 性，以减小工业开发对周边居住及社会服务功能的影响。核心区(区块一)部分区域与已有居住区工居混杂，在紧邻集中居住区 的工业地块应限制新引入异味大、气型污染为主的工业项目，并加强对已有气型污染企业的污染管控。加强规划居住用地上的现有8家工业企业环境监管，不得原址改扩建及新增污染物排放</w:t>
            </w:r>
            <w:r>
              <w:rPr>
                <w:rFonts w:hint="eastAsia"/>
                <w:sz w:val="21"/>
                <w:szCs w:val="21"/>
                <w:u w:val="single"/>
                <w:lang w:eastAsia="zh-CN"/>
              </w:rPr>
              <w:t>，</w:t>
            </w:r>
          </w:p>
        </w:tc>
        <w:tc>
          <w:tcPr>
            <w:tcW w:w="0" w:type="auto"/>
            <w:tcBorders>
              <w:tl2br w:val="nil"/>
              <w:tr2bl w:val="nil"/>
            </w:tcBorders>
            <w:vAlign w:val="center"/>
          </w:tcPr>
          <w:p w14:paraId="529C6CB8">
            <w:pPr>
              <w:spacing w:line="240" w:lineRule="auto"/>
              <w:rPr>
                <w:rFonts w:hint="default" w:eastAsia="宋体"/>
                <w:sz w:val="21"/>
                <w:szCs w:val="21"/>
                <w:u w:val="single"/>
                <w:lang w:val="en-US" w:eastAsia="zh-CN"/>
              </w:rPr>
            </w:pPr>
            <w:r>
              <w:rPr>
                <w:sz w:val="21"/>
                <w:szCs w:val="21"/>
                <w:u w:val="single"/>
              </w:rPr>
              <w:t>本项目位于园区</w:t>
            </w:r>
            <w:r>
              <w:rPr>
                <w:rFonts w:hint="eastAsia"/>
                <w:sz w:val="21"/>
                <w:szCs w:val="21"/>
                <w:u w:val="single"/>
                <w:lang w:val="en-US" w:eastAsia="zh-CN"/>
              </w:rPr>
              <w:t>核心区</w:t>
            </w:r>
            <w:r>
              <w:rPr>
                <w:sz w:val="21"/>
                <w:szCs w:val="21"/>
                <w:u w:val="single"/>
              </w:rPr>
              <w:t>，周边200米范围内均为工业厂区</w:t>
            </w:r>
            <w:r>
              <w:rPr>
                <w:rFonts w:hint="eastAsia"/>
                <w:sz w:val="21"/>
                <w:szCs w:val="21"/>
                <w:u w:val="single"/>
                <w:lang w:eastAsia="zh-CN"/>
              </w:rPr>
              <w:t>，</w:t>
            </w:r>
            <w:r>
              <w:rPr>
                <w:rFonts w:hint="eastAsia"/>
                <w:sz w:val="21"/>
                <w:szCs w:val="21"/>
                <w:u w:val="single"/>
                <w:lang w:val="en-US" w:eastAsia="zh-CN"/>
              </w:rPr>
              <w:t>用地为工业用地</w:t>
            </w:r>
          </w:p>
        </w:tc>
        <w:tc>
          <w:tcPr>
            <w:tcW w:w="0" w:type="auto"/>
            <w:tcBorders>
              <w:tl2br w:val="nil"/>
              <w:tr2bl w:val="nil"/>
            </w:tcBorders>
            <w:vAlign w:val="center"/>
          </w:tcPr>
          <w:p w14:paraId="595C8802">
            <w:pPr>
              <w:spacing w:line="240" w:lineRule="auto"/>
              <w:jc w:val="center"/>
              <w:rPr>
                <w:sz w:val="21"/>
                <w:szCs w:val="21"/>
                <w:u w:val="single"/>
              </w:rPr>
            </w:pPr>
            <w:r>
              <w:rPr>
                <w:sz w:val="21"/>
                <w:szCs w:val="21"/>
                <w:u w:val="single"/>
              </w:rPr>
              <w:t>符合</w:t>
            </w:r>
          </w:p>
        </w:tc>
      </w:tr>
      <w:tr w14:paraId="25025F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5F92E4DB">
            <w:pPr>
              <w:spacing w:line="240" w:lineRule="auto"/>
              <w:jc w:val="center"/>
              <w:rPr>
                <w:sz w:val="21"/>
                <w:szCs w:val="21"/>
                <w:u w:val="single"/>
              </w:rPr>
            </w:pPr>
            <w:r>
              <w:rPr>
                <w:sz w:val="21"/>
                <w:szCs w:val="21"/>
                <w:u w:val="single"/>
              </w:rPr>
              <w:t>2</w:t>
            </w:r>
          </w:p>
        </w:tc>
        <w:tc>
          <w:tcPr>
            <w:tcW w:w="0" w:type="auto"/>
            <w:tcBorders>
              <w:tl2br w:val="nil"/>
              <w:tr2bl w:val="nil"/>
            </w:tcBorders>
            <w:vAlign w:val="center"/>
          </w:tcPr>
          <w:p w14:paraId="33F2ECF9">
            <w:pPr>
              <w:spacing w:line="240" w:lineRule="auto"/>
              <w:jc w:val="center"/>
              <w:rPr>
                <w:sz w:val="21"/>
                <w:szCs w:val="21"/>
                <w:u w:val="single"/>
              </w:rPr>
            </w:pPr>
            <w:r>
              <w:rPr>
                <w:sz w:val="21"/>
                <w:szCs w:val="21"/>
                <w:u w:val="single"/>
              </w:rPr>
              <w:t>严格项目环境准入。园区产业引进应严格遵守《长江 保护法长江经济带发展负面清单指南湖南省湘江保护条例》 等法律法规及相关政策的要求，落实园区生态环境分区管控要求，严格执行园区的产业定位和生态环境准入清单</w:t>
            </w:r>
          </w:p>
        </w:tc>
        <w:tc>
          <w:tcPr>
            <w:tcW w:w="0" w:type="auto"/>
            <w:tcBorders>
              <w:tl2br w:val="nil"/>
              <w:tr2bl w:val="nil"/>
            </w:tcBorders>
            <w:vAlign w:val="center"/>
          </w:tcPr>
          <w:p w14:paraId="48EA8847">
            <w:pPr>
              <w:spacing w:line="240" w:lineRule="auto"/>
              <w:rPr>
                <w:rFonts w:hint="default" w:eastAsia="宋体"/>
                <w:sz w:val="21"/>
                <w:szCs w:val="21"/>
                <w:u w:val="single"/>
                <w:lang w:val="en-US" w:eastAsia="zh-CN"/>
              </w:rPr>
            </w:pPr>
            <w:r>
              <w:rPr>
                <w:sz w:val="21"/>
                <w:szCs w:val="21"/>
                <w:u w:val="single"/>
              </w:rPr>
              <w:t>项目选址均符合湖南省湘江保护条例、经开区总体规划、用地规划、环保规划及产业</w:t>
            </w:r>
            <w:r>
              <w:rPr>
                <w:rFonts w:hint="eastAsia"/>
                <w:sz w:val="21"/>
                <w:szCs w:val="21"/>
                <w:u w:val="single"/>
                <w:lang w:val="en-US" w:eastAsia="zh-CN"/>
              </w:rPr>
              <w:t>规划</w:t>
            </w:r>
            <w:r>
              <w:rPr>
                <w:sz w:val="21"/>
                <w:szCs w:val="21"/>
                <w:u w:val="single"/>
              </w:rPr>
              <w:t>，</w:t>
            </w:r>
            <w:r>
              <w:rPr>
                <w:rFonts w:hint="eastAsia"/>
                <w:sz w:val="21"/>
                <w:szCs w:val="21"/>
                <w:u w:val="single"/>
                <w:lang w:val="en-US" w:eastAsia="zh-CN"/>
              </w:rPr>
              <w:t>符合生态环境准入要求</w:t>
            </w:r>
          </w:p>
        </w:tc>
        <w:tc>
          <w:tcPr>
            <w:tcW w:w="0" w:type="auto"/>
            <w:tcBorders>
              <w:tl2br w:val="nil"/>
              <w:tr2bl w:val="nil"/>
            </w:tcBorders>
            <w:vAlign w:val="center"/>
          </w:tcPr>
          <w:p w14:paraId="6A0D7DC9">
            <w:pPr>
              <w:spacing w:line="240" w:lineRule="auto"/>
              <w:jc w:val="center"/>
              <w:rPr>
                <w:sz w:val="21"/>
                <w:szCs w:val="21"/>
                <w:u w:val="single"/>
              </w:rPr>
            </w:pPr>
            <w:r>
              <w:rPr>
                <w:sz w:val="21"/>
                <w:szCs w:val="21"/>
                <w:u w:val="single"/>
              </w:rPr>
              <w:t>符合</w:t>
            </w:r>
          </w:p>
        </w:tc>
      </w:tr>
      <w:tr w14:paraId="1C1211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65F0C4F3">
            <w:pPr>
              <w:spacing w:line="240" w:lineRule="auto"/>
              <w:jc w:val="center"/>
              <w:rPr>
                <w:sz w:val="21"/>
                <w:szCs w:val="21"/>
                <w:u w:val="single"/>
              </w:rPr>
            </w:pPr>
            <w:r>
              <w:rPr>
                <w:sz w:val="21"/>
                <w:szCs w:val="21"/>
                <w:u w:val="single"/>
              </w:rPr>
              <w:t>3</w:t>
            </w:r>
          </w:p>
        </w:tc>
        <w:tc>
          <w:tcPr>
            <w:tcW w:w="0" w:type="auto"/>
            <w:tcBorders>
              <w:tl2br w:val="nil"/>
              <w:tr2bl w:val="nil"/>
            </w:tcBorders>
            <w:vAlign w:val="center"/>
          </w:tcPr>
          <w:p w14:paraId="4847CF44">
            <w:pPr>
              <w:spacing w:line="240" w:lineRule="auto"/>
              <w:jc w:val="center"/>
              <w:rPr>
                <w:sz w:val="21"/>
                <w:szCs w:val="21"/>
                <w:u w:val="single"/>
              </w:rPr>
            </w:pPr>
            <w:r>
              <w:rPr>
                <w:sz w:val="21"/>
                <w:szCs w:val="21"/>
                <w:u w:val="single"/>
              </w:rPr>
              <w:t>强化污染物排放管控。 完善污水管网建设，加快调蓄 工程改造工作，做好雨污分流、污污分流，确保园区各片区生产 废水及生活污水应收尽收，排入污水处理厂处理。园区不得超过 污水处理厂处理能力和排污口审批所规定的废水排放量引进项目，确保尾水达到污水处理厂环评及排污口批复的相关标准。园区须加强大气污染防治。严格落实《产业结构指导目录》 等政策文件关于淘汰落后生物质锅炉的要求，使用清洁能源，从 源头减少大气污染物产生。园区企业须采用高效、稳定、成熟的 环保技术和设施，限期淘汰水膜除尘、湿法除尘一体化等现有低 效类治理工艺，加强对颗粒物、二氧化硫、氮氧化物、酸雾等污 染物的治理，确保污染物达标排放。VOCs 排放企业须推行低挥 发性有机物原辅材料替代，加强无组织挥发性有机物排放控制， 采用高效治理技术，限期淘汰光催化、光解、低温等离子体等低效类技术。加强对恶臭异味的防治，对群众反映强烈的恶臭异味 扰民问题加强排查整治，投诉集中的重点企业要安装在线监测系统。严格无组织排放控制，针对物料储存、输送、装卸、投料等 无组织排放环节，园区须制定统一的管控规定，督促企业采取密 闭等防控措施，采取合适的收集处理方式。园区道路实施硬化并定期清扫洒水，车辆冲洗上路，最大程度减少扬尘污染。严格监管重点排放企业，确保其处理设施稳定运行，严格落实重污染天气应急减排措施要求和大气污染防治特护期的相关减排要求。园区须严格落实《中华人民共和国土壤污染防治法》《湖南省实施&lt;中华人民共和国土壤污染防治法&gt;办法》《土壤污染源头防控行动计划》等要求，采取有效措施，从源头上减少污染物排放。定期组织重点监管企业开展土壤、地下水污染隐患排查，及时发现问题并推进整改，防止、减少土壤污染，确保周边土壤、地下水环境安全。园区须建立固废规范化管理体系，做好工业固体废物和生活垃圾的分类收集、转运、综合利用和无害化处理，鼓励园区配套 建设1个危废处置项目，原则上支持园区配套建设1个危废利用 项目。园区应督促企业落实《一般工业固体废物贮存和填埋污染控制标准》( GB18599)和《危险废物贮存污染控制标准》( GB 18597)要求，严格按照国家有关规定妥善处理危险废物，分级分类强化日常环境监管。按照国家《重点管控新污染物清单(2023年版)》要求，强化新污染物管控。</w:t>
            </w:r>
          </w:p>
        </w:tc>
        <w:tc>
          <w:tcPr>
            <w:tcW w:w="0" w:type="auto"/>
            <w:tcBorders>
              <w:tl2br w:val="nil"/>
              <w:tr2bl w:val="nil"/>
            </w:tcBorders>
            <w:vAlign w:val="center"/>
          </w:tcPr>
          <w:p w14:paraId="3CE80608">
            <w:pPr>
              <w:spacing w:line="240" w:lineRule="auto"/>
              <w:rPr>
                <w:rFonts w:hint="eastAsia"/>
                <w:sz w:val="21"/>
                <w:szCs w:val="21"/>
                <w:u w:val="single"/>
                <w:lang w:val="en-US" w:eastAsia="zh-CN"/>
              </w:rPr>
            </w:pPr>
            <w:r>
              <w:rPr>
                <w:sz w:val="21"/>
                <w:szCs w:val="21"/>
                <w:u w:val="single"/>
              </w:rPr>
              <w:t>项目厂区内排水采用雨污分流制。雨水经厂区内雨水管道排入市政雨水管网；无外排生产废水；生活污水依托厂区现有化粪池处理后排入市政污水管网，进入</w:t>
            </w:r>
            <w:r>
              <w:rPr>
                <w:rFonts w:hint="eastAsia"/>
                <w:sz w:val="21"/>
                <w:szCs w:val="21"/>
                <w:u w:val="single"/>
              </w:rPr>
              <w:t>湘潭县顺业污水处理有限公司污水处理厂</w:t>
            </w:r>
            <w:r>
              <w:rPr>
                <w:sz w:val="21"/>
                <w:szCs w:val="21"/>
                <w:u w:val="single"/>
              </w:rPr>
              <w:t>进一步处理达标后外排</w:t>
            </w:r>
            <w:r>
              <w:rPr>
                <w:rFonts w:hint="eastAsia"/>
                <w:sz w:val="21"/>
                <w:szCs w:val="21"/>
                <w:u w:val="single"/>
                <w:lang w:eastAsia="zh-CN"/>
              </w:rPr>
              <w:t>。</w:t>
            </w:r>
            <w:r>
              <w:rPr>
                <w:rFonts w:hint="eastAsia"/>
                <w:sz w:val="21"/>
                <w:szCs w:val="21"/>
                <w:u w:val="single"/>
                <w:lang w:val="en-US" w:eastAsia="zh-CN"/>
              </w:rPr>
              <w:t>有机废气采取了先进的“吸附浓缩+冷凝回收”技术，不属于低效类技术。</w:t>
            </w:r>
          </w:p>
          <w:p w14:paraId="25961E5F">
            <w:pPr>
              <w:spacing w:line="240" w:lineRule="auto"/>
              <w:rPr>
                <w:rFonts w:hint="default" w:eastAsia="宋体"/>
                <w:color w:val="FF0000"/>
                <w:sz w:val="21"/>
                <w:szCs w:val="21"/>
                <w:u w:val="single"/>
                <w:lang w:val="en-US" w:eastAsia="zh-CN"/>
              </w:rPr>
            </w:pPr>
            <w:r>
              <w:rPr>
                <w:rFonts w:hint="eastAsia"/>
                <w:sz w:val="21"/>
                <w:szCs w:val="21"/>
                <w:u w:val="single"/>
                <w:lang w:val="en-US" w:eastAsia="zh-CN"/>
              </w:rPr>
              <w:t>企业落实《一般工业固体废物贮存和填埋污染控制标准》( GB18599)和《危险废物贮存污染控制标准》( GB 18597)要求，严格按照国家有关规定妥善处理危险废物，分级分类强化日常环境监管。按照国家《重点管控新污染物清单(2023年版)》要求，强化新污染物管控。</w:t>
            </w:r>
          </w:p>
        </w:tc>
        <w:tc>
          <w:tcPr>
            <w:tcW w:w="0" w:type="auto"/>
            <w:tcBorders>
              <w:tl2br w:val="nil"/>
              <w:tr2bl w:val="nil"/>
            </w:tcBorders>
            <w:vAlign w:val="center"/>
          </w:tcPr>
          <w:p w14:paraId="2BE5FDAA">
            <w:pPr>
              <w:spacing w:line="240" w:lineRule="auto"/>
              <w:jc w:val="center"/>
              <w:rPr>
                <w:sz w:val="21"/>
                <w:szCs w:val="21"/>
                <w:u w:val="single"/>
              </w:rPr>
            </w:pPr>
            <w:r>
              <w:rPr>
                <w:sz w:val="21"/>
                <w:szCs w:val="21"/>
                <w:u w:val="single"/>
              </w:rPr>
              <w:t>符合</w:t>
            </w:r>
          </w:p>
        </w:tc>
      </w:tr>
      <w:tr w14:paraId="6DD4D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2F3783F9">
            <w:pPr>
              <w:spacing w:line="240" w:lineRule="auto"/>
              <w:jc w:val="center"/>
              <w:rPr>
                <w:sz w:val="21"/>
                <w:szCs w:val="21"/>
                <w:u w:val="single"/>
              </w:rPr>
            </w:pPr>
            <w:r>
              <w:rPr>
                <w:sz w:val="21"/>
                <w:szCs w:val="21"/>
                <w:u w:val="single"/>
              </w:rPr>
              <w:t>4</w:t>
            </w:r>
          </w:p>
        </w:tc>
        <w:tc>
          <w:tcPr>
            <w:tcW w:w="0" w:type="auto"/>
            <w:tcBorders>
              <w:tl2br w:val="nil"/>
              <w:tr2bl w:val="nil"/>
            </w:tcBorders>
            <w:vAlign w:val="center"/>
          </w:tcPr>
          <w:p w14:paraId="7C612E91">
            <w:pPr>
              <w:spacing w:line="240" w:lineRule="auto"/>
              <w:jc w:val="center"/>
              <w:rPr>
                <w:sz w:val="21"/>
                <w:szCs w:val="21"/>
                <w:u w:val="single"/>
              </w:rPr>
            </w:pPr>
            <w:r>
              <w:rPr>
                <w:sz w:val="21"/>
                <w:szCs w:val="21"/>
                <w:u w:val="single"/>
              </w:rPr>
              <w:t>健全环境监测体系。依据园区规划的功能分区、产业布局、重点企业分布、特征污染物的排放种类和状况、环境敏感 目标分布等，建立健全环境空气、地表水、地下水、土壤等环境要素的监控体系，定期开展园区及周边土壤、地下水环境质量监测。按要求做好生态环境监测自动站布点、建设与运维，进一步完善环境监管信息平台数据对接工作。督促排污单位按要求安装视频监控设备，实现对检测活动过程和监测设备运行情况的监控。园区须跟踪监测污水处理厂尾水排放受纳水体的环境质量变化情况，其监测时间、频次、采样点应能反映园区整体的排放影响。园区须督促现有11家和后续新增的环境监管重点单位，按照《环境监管重点单位名录管理办法》的要求履行自行监测、信息公开等法律义务，采取措施防治</w:t>
            </w:r>
          </w:p>
          <w:p w14:paraId="5F92AD74">
            <w:pPr>
              <w:spacing w:line="240" w:lineRule="auto"/>
              <w:jc w:val="both"/>
              <w:rPr>
                <w:rFonts w:hint="eastAsia" w:eastAsia="宋体"/>
                <w:sz w:val="21"/>
                <w:szCs w:val="21"/>
                <w:u w:val="single"/>
                <w:lang w:eastAsia="zh-CN"/>
              </w:rPr>
            </w:pPr>
            <w:r>
              <w:rPr>
                <w:sz w:val="21"/>
                <w:szCs w:val="21"/>
                <w:u w:val="single"/>
              </w:rPr>
              <w:t>环境污染，防范环境风险</w:t>
            </w:r>
            <w:r>
              <w:rPr>
                <w:rFonts w:hint="eastAsia"/>
                <w:sz w:val="21"/>
                <w:szCs w:val="21"/>
                <w:u w:val="single"/>
                <w:lang w:eastAsia="zh-CN"/>
              </w:rPr>
              <w:t>。</w:t>
            </w:r>
          </w:p>
        </w:tc>
        <w:tc>
          <w:tcPr>
            <w:tcW w:w="0" w:type="auto"/>
            <w:tcBorders>
              <w:tl2br w:val="nil"/>
              <w:tr2bl w:val="nil"/>
            </w:tcBorders>
            <w:vAlign w:val="center"/>
          </w:tcPr>
          <w:p w14:paraId="4357F4CA">
            <w:pPr>
              <w:spacing w:line="240" w:lineRule="auto"/>
              <w:rPr>
                <w:rFonts w:hint="default" w:eastAsia="宋体"/>
                <w:color w:val="FF0000"/>
                <w:sz w:val="21"/>
                <w:szCs w:val="21"/>
                <w:u w:val="single"/>
                <w:lang w:val="en-US" w:eastAsia="zh-CN"/>
              </w:rPr>
            </w:pPr>
            <w:r>
              <w:rPr>
                <w:sz w:val="21"/>
                <w:szCs w:val="21"/>
                <w:u w:val="single"/>
              </w:rPr>
              <w:t>企业</w:t>
            </w:r>
            <w:r>
              <w:rPr>
                <w:rFonts w:hint="eastAsia"/>
                <w:sz w:val="21"/>
                <w:szCs w:val="21"/>
                <w:u w:val="single"/>
                <w:lang w:val="en-US" w:eastAsia="zh-CN"/>
              </w:rPr>
              <w:t>属于11家环境监管重点单位之一，有机废气采取了先进的“吸附浓缩+冷凝回收”技术，并已安装在线监控装置</w:t>
            </w:r>
          </w:p>
        </w:tc>
        <w:tc>
          <w:tcPr>
            <w:tcW w:w="0" w:type="auto"/>
            <w:tcBorders>
              <w:tl2br w:val="nil"/>
              <w:tr2bl w:val="nil"/>
            </w:tcBorders>
            <w:vAlign w:val="center"/>
          </w:tcPr>
          <w:p w14:paraId="1B850B43">
            <w:pPr>
              <w:spacing w:line="240" w:lineRule="auto"/>
              <w:jc w:val="center"/>
              <w:rPr>
                <w:sz w:val="21"/>
                <w:szCs w:val="21"/>
                <w:u w:val="single"/>
              </w:rPr>
            </w:pPr>
            <w:r>
              <w:rPr>
                <w:sz w:val="21"/>
                <w:szCs w:val="21"/>
                <w:u w:val="single"/>
              </w:rPr>
              <w:t>符合</w:t>
            </w:r>
          </w:p>
        </w:tc>
      </w:tr>
      <w:tr w14:paraId="09CE5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0C11F8FB">
            <w:pPr>
              <w:spacing w:line="240" w:lineRule="auto"/>
              <w:jc w:val="center"/>
              <w:rPr>
                <w:sz w:val="21"/>
                <w:szCs w:val="21"/>
                <w:u w:val="single"/>
              </w:rPr>
            </w:pPr>
            <w:r>
              <w:rPr>
                <w:sz w:val="21"/>
                <w:szCs w:val="21"/>
                <w:u w:val="single"/>
              </w:rPr>
              <w:t>5</w:t>
            </w:r>
          </w:p>
        </w:tc>
        <w:tc>
          <w:tcPr>
            <w:tcW w:w="0" w:type="auto"/>
            <w:tcBorders>
              <w:tl2br w:val="nil"/>
              <w:tr2bl w:val="nil"/>
            </w:tcBorders>
            <w:vAlign w:val="center"/>
          </w:tcPr>
          <w:p w14:paraId="1FB98BE3">
            <w:pPr>
              <w:spacing w:line="240" w:lineRule="auto"/>
              <w:jc w:val="center"/>
              <w:rPr>
                <w:sz w:val="21"/>
                <w:szCs w:val="21"/>
                <w:u w:val="single"/>
              </w:rPr>
            </w:pPr>
            <w:r>
              <w:rPr>
                <w:sz w:val="21"/>
                <w:szCs w:val="21"/>
                <w:u w:val="single"/>
              </w:rPr>
              <w:t>强化环境风险管控。落实环境风险防控措施，配套建 设相应规模的事故废水应急池，确保事故状态下事故废水不排入外环境。及时完成园区突发环境事件应急预案的修订和备案工 作，推动重点风险企业突发环境事件应急预案编制和备案工作。加强应急救援队伍、装备和设施建设，储备必要的应急物资，有计划地组织应急培训和演练，全面提升园区突发环境风险防控和环境事故应急处置能力。</w:t>
            </w:r>
          </w:p>
        </w:tc>
        <w:tc>
          <w:tcPr>
            <w:tcW w:w="0" w:type="auto"/>
            <w:tcBorders>
              <w:tl2br w:val="nil"/>
              <w:tr2bl w:val="nil"/>
            </w:tcBorders>
            <w:vAlign w:val="center"/>
          </w:tcPr>
          <w:p w14:paraId="3047271D">
            <w:pPr>
              <w:spacing w:line="240" w:lineRule="auto"/>
              <w:rPr>
                <w:sz w:val="21"/>
                <w:szCs w:val="21"/>
                <w:u w:val="single"/>
              </w:rPr>
            </w:pPr>
            <w:r>
              <w:rPr>
                <w:sz w:val="21"/>
                <w:szCs w:val="21"/>
                <w:u w:val="single"/>
              </w:rPr>
              <w:t>严格执行工业固体废物和生活垃圾的分类收集、转运、综合利用和无害化处理；依托现有危险废物暂存间，危险废物委托给有资质的单位进行处理</w:t>
            </w:r>
          </w:p>
        </w:tc>
        <w:tc>
          <w:tcPr>
            <w:tcW w:w="0" w:type="auto"/>
            <w:tcBorders>
              <w:tl2br w:val="nil"/>
              <w:tr2bl w:val="nil"/>
            </w:tcBorders>
            <w:vAlign w:val="center"/>
          </w:tcPr>
          <w:p w14:paraId="2F4D1C63">
            <w:pPr>
              <w:spacing w:line="240" w:lineRule="auto"/>
              <w:jc w:val="center"/>
              <w:rPr>
                <w:sz w:val="21"/>
                <w:szCs w:val="21"/>
                <w:u w:val="single"/>
              </w:rPr>
            </w:pPr>
            <w:r>
              <w:rPr>
                <w:sz w:val="21"/>
                <w:szCs w:val="21"/>
                <w:u w:val="single"/>
              </w:rPr>
              <w:t>符合</w:t>
            </w:r>
          </w:p>
        </w:tc>
      </w:tr>
      <w:tr w14:paraId="2A9147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5CECAEAB">
            <w:pPr>
              <w:spacing w:line="240" w:lineRule="auto"/>
              <w:jc w:val="center"/>
              <w:rPr>
                <w:sz w:val="21"/>
                <w:szCs w:val="21"/>
                <w:u w:val="single"/>
              </w:rPr>
            </w:pPr>
            <w:r>
              <w:rPr>
                <w:sz w:val="21"/>
                <w:szCs w:val="21"/>
                <w:u w:val="single"/>
              </w:rPr>
              <w:t>6</w:t>
            </w:r>
          </w:p>
        </w:tc>
        <w:tc>
          <w:tcPr>
            <w:tcW w:w="0" w:type="auto"/>
            <w:tcBorders>
              <w:tl2br w:val="nil"/>
              <w:tr2bl w:val="nil"/>
            </w:tcBorders>
            <w:vAlign w:val="center"/>
          </w:tcPr>
          <w:p w14:paraId="3A69D811">
            <w:pPr>
              <w:spacing w:line="240" w:lineRule="auto"/>
              <w:jc w:val="center"/>
              <w:rPr>
                <w:sz w:val="21"/>
                <w:szCs w:val="21"/>
                <w:u w:val="single"/>
              </w:rPr>
            </w:pPr>
            <w:r>
              <w:rPr>
                <w:sz w:val="21"/>
                <w:szCs w:val="21"/>
                <w:u w:val="single"/>
              </w:rPr>
              <w:t>做好周边规划控制。园区管委会与地方政府应共同做好控规，杜绝在规划的工业用地上新增环境敏感目标，做好园区开发过程中的居民搬迁安置工作，避免发生居民再次安置和次生 环境问题。具体建设项目环评设置防护距离和拆迁要求的，要确保予以落实，对未完成环评所提防护距离要求的建设项目，园区应确保其不得投产。</w:t>
            </w:r>
          </w:p>
        </w:tc>
        <w:tc>
          <w:tcPr>
            <w:tcW w:w="0" w:type="auto"/>
            <w:tcBorders>
              <w:tl2br w:val="nil"/>
              <w:tr2bl w:val="nil"/>
            </w:tcBorders>
            <w:vAlign w:val="center"/>
          </w:tcPr>
          <w:p w14:paraId="6A86BCAC">
            <w:pPr>
              <w:spacing w:line="240" w:lineRule="auto"/>
              <w:rPr>
                <w:sz w:val="21"/>
                <w:szCs w:val="21"/>
                <w:u w:val="single"/>
              </w:rPr>
            </w:pPr>
            <w:r>
              <w:rPr>
                <w:sz w:val="21"/>
                <w:szCs w:val="21"/>
                <w:u w:val="single"/>
              </w:rPr>
              <w:t>项目选址均符合湖南省湘江保护条例、经开区总体规划、用地规划、环保规划及产业</w:t>
            </w:r>
            <w:r>
              <w:rPr>
                <w:rFonts w:hint="eastAsia"/>
                <w:sz w:val="21"/>
                <w:szCs w:val="21"/>
                <w:u w:val="single"/>
                <w:lang w:val="en-US" w:eastAsia="zh-CN"/>
              </w:rPr>
              <w:t>规划</w:t>
            </w:r>
            <w:r>
              <w:rPr>
                <w:sz w:val="21"/>
                <w:szCs w:val="21"/>
                <w:u w:val="single"/>
              </w:rPr>
              <w:t>，</w:t>
            </w:r>
            <w:r>
              <w:rPr>
                <w:rFonts w:hint="eastAsia"/>
                <w:sz w:val="21"/>
                <w:szCs w:val="21"/>
                <w:u w:val="single"/>
                <w:lang w:val="en-US" w:eastAsia="zh-CN"/>
              </w:rPr>
              <w:t>符合生态环境准入要求</w:t>
            </w:r>
          </w:p>
        </w:tc>
        <w:tc>
          <w:tcPr>
            <w:tcW w:w="0" w:type="auto"/>
            <w:tcBorders>
              <w:tl2br w:val="nil"/>
              <w:tr2bl w:val="nil"/>
            </w:tcBorders>
            <w:vAlign w:val="center"/>
          </w:tcPr>
          <w:p w14:paraId="6D9FEAAF">
            <w:pPr>
              <w:spacing w:line="240" w:lineRule="auto"/>
              <w:jc w:val="center"/>
              <w:rPr>
                <w:sz w:val="21"/>
                <w:szCs w:val="21"/>
                <w:u w:val="single"/>
              </w:rPr>
            </w:pPr>
            <w:r>
              <w:rPr>
                <w:sz w:val="21"/>
                <w:szCs w:val="21"/>
                <w:u w:val="single"/>
              </w:rPr>
              <w:t>符合</w:t>
            </w:r>
          </w:p>
        </w:tc>
      </w:tr>
      <w:tr w14:paraId="0C216A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tcBorders>
              <w:tl2br w:val="nil"/>
              <w:tr2bl w:val="nil"/>
            </w:tcBorders>
            <w:vAlign w:val="center"/>
          </w:tcPr>
          <w:p w14:paraId="4A4E5935">
            <w:pPr>
              <w:spacing w:line="240" w:lineRule="auto"/>
              <w:jc w:val="center"/>
              <w:rPr>
                <w:sz w:val="21"/>
                <w:szCs w:val="21"/>
                <w:u w:val="single"/>
              </w:rPr>
            </w:pPr>
            <w:r>
              <w:rPr>
                <w:sz w:val="21"/>
                <w:szCs w:val="21"/>
                <w:u w:val="single"/>
              </w:rPr>
              <w:t>7</w:t>
            </w:r>
          </w:p>
        </w:tc>
        <w:tc>
          <w:tcPr>
            <w:tcW w:w="0" w:type="auto"/>
            <w:tcBorders>
              <w:tl2br w:val="nil"/>
              <w:tr2bl w:val="nil"/>
            </w:tcBorders>
            <w:vAlign w:val="center"/>
          </w:tcPr>
          <w:p w14:paraId="385F5F4B">
            <w:pPr>
              <w:spacing w:line="240" w:lineRule="auto"/>
              <w:jc w:val="center"/>
              <w:rPr>
                <w:sz w:val="21"/>
                <w:szCs w:val="21"/>
                <w:u w:val="single"/>
              </w:rPr>
            </w:pPr>
            <w:r>
              <w:rPr>
                <w:sz w:val="21"/>
                <w:szCs w:val="21"/>
                <w:u w:val="single"/>
              </w:rPr>
              <w:t>做好园区建设期生态保护。 园区开发建设过程中尽可能保留自然水体，施工期对土石方开挖、堆存及回填要实施围挡、护坡等措施，裸露地及时恢复植被，防止水土流失，杜绝施工建设对地表水的污染。</w:t>
            </w:r>
          </w:p>
        </w:tc>
        <w:tc>
          <w:tcPr>
            <w:tcW w:w="0" w:type="auto"/>
            <w:tcBorders>
              <w:tl2br w:val="nil"/>
              <w:tr2bl w:val="nil"/>
            </w:tcBorders>
            <w:vAlign w:val="center"/>
          </w:tcPr>
          <w:p w14:paraId="08128F12">
            <w:pPr>
              <w:spacing w:line="240" w:lineRule="auto"/>
              <w:rPr>
                <w:rFonts w:hint="eastAsia" w:eastAsia="宋体"/>
                <w:sz w:val="21"/>
                <w:szCs w:val="21"/>
                <w:u w:val="single"/>
                <w:lang w:eastAsia="zh-CN"/>
              </w:rPr>
            </w:pPr>
            <w:r>
              <w:rPr>
                <w:sz w:val="21"/>
                <w:szCs w:val="21"/>
                <w:u w:val="single"/>
              </w:rPr>
              <w:t>项目不涉及</w:t>
            </w:r>
            <w:r>
              <w:rPr>
                <w:rFonts w:hint="eastAsia"/>
                <w:sz w:val="21"/>
                <w:szCs w:val="21"/>
                <w:u w:val="single"/>
                <w:lang w:val="en-US" w:eastAsia="zh-CN"/>
              </w:rPr>
              <w:t>土建工程</w:t>
            </w:r>
          </w:p>
        </w:tc>
        <w:tc>
          <w:tcPr>
            <w:tcW w:w="0" w:type="auto"/>
            <w:tcBorders>
              <w:tl2br w:val="nil"/>
              <w:tr2bl w:val="nil"/>
            </w:tcBorders>
            <w:vAlign w:val="center"/>
          </w:tcPr>
          <w:p w14:paraId="51969A59">
            <w:pPr>
              <w:spacing w:line="240" w:lineRule="auto"/>
              <w:jc w:val="center"/>
              <w:rPr>
                <w:sz w:val="21"/>
                <w:szCs w:val="21"/>
                <w:u w:val="single"/>
              </w:rPr>
            </w:pPr>
            <w:r>
              <w:rPr>
                <w:sz w:val="21"/>
                <w:szCs w:val="21"/>
                <w:u w:val="single"/>
              </w:rPr>
              <w:t>符合</w:t>
            </w:r>
          </w:p>
        </w:tc>
      </w:tr>
    </w:tbl>
    <w:p w14:paraId="7FAACE8F">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1.5.8</w:t>
      </w:r>
      <w:r>
        <w:rPr>
          <w:rFonts w:hint="eastAsia"/>
        </w:rPr>
        <w:t>环境保护政策相符性分析</w:t>
      </w:r>
    </w:p>
    <w:p w14:paraId="1F8902F5">
      <w:pPr>
        <w:pStyle w:val="51"/>
        <w:numPr>
          <w:ilvl w:val="5"/>
          <w:numId w:val="0"/>
        </w:numPr>
        <w:spacing w:before="120"/>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表1.5-5 </w:t>
      </w:r>
      <w:r>
        <w:rPr>
          <w:rFonts w:hint="eastAsia" w:ascii="宋体" w:hAnsi="宋体" w:cs="宋体"/>
          <w:b/>
          <w:bCs/>
          <w:color w:val="auto"/>
          <w:kern w:val="2"/>
          <w:sz w:val="21"/>
          <w:szCs w:val="21"/>
          <w:lang w:val="en-US" w:eastAsia="zh-CN" w:bidi="ar-SA"/>
        </w:rPr>
        <w:t xml:space="preserve">   </w:t>
      </w:r>
      <w:r>
        <w:rPr>
          <w:rFonts w:hint="eastAsia"/>
        </w:rPr>
        <w:t>环境保护政策相符性对比表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99"/>
        <w:gridCol w:w="3788"/>
        <w:gridCol w:w="2712"/>
        <w:gridCol w:w="987"/>
      </w:tblGrid>
      <w:tr w14:paraId="061BC2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tcBorders>
              <w:tl2br w:val="nil"/>
              <w:tr2bl w:val="nil"/>
            </w:tcBorders>
            <w:vAlign w:val="center"/>
          </w:tcPr>
          <w:p w14:paraId="3DC49F14">
            <w:pPr>
              <w:spacing w:line="240" w:lineRule="auto"/>
              <w:jc w:val="center"/>
              <w:rPr>
                <w:sz w:val="21"/>
                <w:szCs w:val="21"/>
              </w:rPr>
            </w:pPr>
            <w:r>
              <w:rPr>
                <w:sz w:val="21"/>
                <w:szCs w:val="21"/>
              </w:rPr>
              <w:t>环保政策</w:t>
            </w:r>
          </w:p>
        </w:tc>
        <w:tc>
          <w:tcPr>
            <w:tcW w:w="3788" w:type="dxa"/>
            <w:tcBorders>
              <w:tl2br w:val="nil"/>
              <w:tr2bl w:val="nil"/>
            </w:tcBorders>
            <w:vAlign w:val="center"/>
          </w:tcPr>
          <w:p w14:paraId="02E1FB79">
            <w:pPr>
              <w:spacing w:line="240" w:lineRule="auto"/>
              <w:jc w:val="center"/>
              <w:rPr>
                <w:sz w:val="21"/>
                <w:szCs w:val="21"/>
              </w:rPr>
            </w:pPr>
            <w:r>
              <w:rPr>
                <w:sz w:val="21"/>
                <w:szCs w:val="21"/>
              </w:rPr>
              <w:t>要求</w:t>
            </w:r>
          </w:p>
        </w:tc>
        <w:tc>
          <w:tcPr>
            <w:tcW w:w="2712" w:type="dxa"/>
            <w:tcBorders>
              <w:tl2br w:val="nil"/>
              <w:tr2bl w:val="nil"/>
            </w:tcBorders>
            <w:vAlign w:val="center"/>
          </w:tcPr>
          <w:p w14:paraId="496EA5D9">
            <w:pPr>
              <w:spacing w:line="240" w:lineRule="auto"/>
              <w:jc w:val="center"/>
              <w:rPr>
                <w:sz w:val="21"/>
                <w:szCs w:val="21"/>
              </w:rPr>
            </w:pPr>
            <w:r>
              <w:rPr>
                <w:sz w:val="21"/>
                <w:szCs w:val="21"/>
              </w:rPr>
              <w:t>本项目</w:t>
            </w:r>
          </w:p>
        </w:tc>
        <w:tc>
          <w:tcPr>
            <w:tcW w:w="987" w:type="dxa"/>
            <w:tcBorders>
              <w:tl2br w:val="nil"/>
              <w:tr2bl w:val="nil"/>
            </w:tcBorders>
            <w:vAlign w:val="center"/>
          </w:tcPr>
          <w:p w14:paraId="48DB0843">
            <w:pPr>
              <w:spacing w:line="240" w:lineRule="auto"/>
              <w:jc w:val="center"/>
              <w:rPr>
                <w:sz w:val="21"/>
                <w:szCs w:val="21"/>
              </w:rPr>
            </w:pPr>
            <w:r>
              <w:rPr>
                <w:sz w:val="21"/>
                <w:szCs w:val="21"/>
              </w:rPr>
              <w:t>相符性</w:t>
            </w:r>
          </w:p>
        </w:tc>
      </w:tr>
      <w:tr w14:paraId="5C704B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tcBorders>
              <w:tl2br w:val="nil"/>
              <w:tr2bl w:val="nil"/>
            </w:tcBorders>
            <w:vAlign w:val="center"/>
          </w:tcPr>
          <w:p w14:paraId="0B2ACC37">
            <w:pPr>
              <w:spacing w:line="240" w:lineRule="auto"/>
              <w:jc w:val="center"/>
              <w:rPr>
                <w:sz w:val="21"/>
                <w:szCs w:val="21"/>
              </w:rPr>
            </w:pPr>
            <w:r>
              <w:rPr>
                <w:sz w:val="21"/>
                <w:szCs w:val="21"/>
              </w:rPr>
              <w:t>《2020年挥发性有机物治理攻坚方案》（环大气〔2020〕33号）</w:t>
            </w:r>
          </w:p>
        </w:tc>
        <w:tc>
          <w:tcPr>
            <w:tcW w:w="3788" w:type="dxa"/>
            <w:tcBorders>
              <w:tl2br w:val="nil"/>
              <w:tr2bl w:val="nil"/>
            </w:tcBorders>
            <w:vAlign w:val="center"/>
          </w:tcPr>
          <w:p w14:paraId="06060F49">
            <w:pPr>
              <w:spacing w:line="240" w:lineRule="auto"/>
              <w:rPr>
                <w:sz w:val="21"/>
                <w:szCs w:val="21"/>
              </w:rPr>
            </w:pPr>
            <w:r>
              <w:rPr>
                <w:sz w:val="21"/>
                <w:szCs w:val="21"/>
              </w:rPr>
              <w:t>挥发性有机物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交有资质的单位处置。</w:t>
            </w:r>
          </w:p>
        </w:tc>
        <w:tc>
          <w:tcPr>
            <w:tcW w:w="2712" w:type="dxa"/>
            <w:tcBorders>
              <w:tl2br w:val="nil"/>
              <w:tr2bl w:val="nil"/>
            </w:tcBorders>
            <w:vAlign w:val="center"/>
          </w:tcPr>
          <w:p w14:paraId="3B9C90B9">
            <w:pPr>
              <w:spacing w:line="240" w:lineRule="auto"/>
              <w:rPr>
                <w:sz w:val="21"/>
                <w:szCs w:val="21"/>
              </w:rPr>
            </w:pPr>
            <w:r>
              <w:rPr>
                <w:sz w:val="21"/>
                <w:szCs w:val="21"/>
              </w:rPr>
              <w:t>本项目使用的VOCs物料主要为油墨、稀释剂、聚氨酯粘合剂等，全部由桶装密闭储存，存放于专用原料库内；储存以及装卸、转移和输送环节均为密闭容器；使用时采用密闭车间设置，各产气点作业区设置高效集气设施，废气经集气收集后进入</w:t>
            </w:r>
            <w:r>
              <w:rPr>
                <w:rFonts w:hint="eastAsia"/>
                <w:sz w:val="21"/>
                <w:szCs w:val="21"/>
              </w:rPr>
              <w:t>“</w:t>
            </w:r>
            <w:r>
              <w:rPr>
                <w:sz w:val="21"/>
                <w:szCs w:val="21"/>
              </w:rPr>
              <w:t>吸附浓缩+溶剂回收</w:t>
            </w:r>
            <w:r>
              <w:rPr>
                <w:rFonts w:hint="eastAsia"/>
                <w:sz w:val="21"/>
                <w:szCs w:val="21"/>
              </w:rPr>
              <w:t>”</w:t>
            </w:r>
            <w:r>
              <w:rPr>
                <w:sz w:val="21"/>
                <w:szCs w:val="21"/>
              </w:rPr>
              <w:t>，可实现达标排放；处置环节将盛装过VOCs物料的包装容器、含VOCs废料（渣、液）等通过加盖、封装等方式密闭存放在危废暂存间内，并定期交由有资质单位处置。</w:t>
            </w:r>
          </w:p>
        </w:tc>
        <w:tc>
          <w:tcPr>
            <w:tcW w:w="987" w:type="dxa"/>
            <w:tcBorders>
              <w:tl2br w:val="nil"/>
              <w:tr2bl w:val="nil"/>
            </w:tcBorders>
            <w:vAlign w:val="center"/>
          </w:tcPr>
          <w:p w14:paraId="57C805C2">
            <w:pPr>
              <w:spacing w:line="240" w:lineRule="auto"/>
              <w:jc w:val="center"/>
              <w:rPr>
                <w:sz w:val="21"/>
                <w:szCs w:val="21"/>
              </w:rPr>
            </w:pPr>
            <w:r>
              <w:rPr>
                <w:sz w:val="21"/>
                <w:szCs w:val="21"/>
              </w:rPr>
              <w:t>符合</w:t>
            </w:r>
          </w:p>
        </w:tc>
      </w:tr>
      <w:tr w14:paraId="661B05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tcBorders>
              <w:tl2br w:val="nil"/>
              <w:tr2bl w:val="nil"/>
            </w:tcBorders>
            <w:vAlign w:val="center"/>
          </w:tcPr>
          <w:p w14:paraId="0AE17939">
            <w:pPr>
              <w:spacing w:line="240" w:lineRule="auto"/>
              <w:jc w:val="center"/>
              <w:rPr>
                <w:sz w:val="21"/>
                <w:szCs w:val="21"/>
              </w:rPr>
            </w:pPr>
            <w:r>
              <w:rPr>
                <w:sz w:val="21"/>
                <w:szCs w:val="21"/>
              </w:rPr>
              <w:t>《重点行业挥发性有机物综合治理方案》（环大气〔2019〕53号）</w:t>
            </w:r>
          </w:p>
        </w:tc>
        <w:tc>
          <w:tcPr>
            <w:tcW w:w="3788" w:type="dxa"/>
            <w:tcBorders>
              <w:tl2br w:val="nil"/>
              <w:tr2bl w:val="nil"/>
            </w:tcBorders>
            <w:vAlign w:val="center"/>
          </w:tcPr>
          <w:p w14:paraId="5712D97D">
            <w:pPr>
              <w:spacing w:line="240" w:lineRule="auto"/>
              <w:rPr>
                <w:sz w:val="21"/>
                <w:szCs w:val="21"/>
              </w:rPr>
            </w:pPr>
            <w:r>
              <w:rPr>
                <w:rFonts w:hint="eastAsia"/>
                <w:sz w:val="21"/>
                <w:szCs w:val="21"/>
              </w:rPr>
              <w:t>包装印刷行业VOCs综合治理：</w:t>
            </w:r>
          </w:p>
          <w:p w14:paraId="2D966845">
            <w:pPr>
              <w:spacing w:line="240" w:lineRule="auto"/>
              <w:rPr>
                <w:sz w:val="21"/>
                <w:szCs w:val="21"/>
              </w:rPr>
            </w:pPr>
            <w:r>
              <w:rPr>
                <w:rFonts w:hint="eastAsia"/>
                <w:sz w:val="21"/>
                <w:szCs w:val="21"/>
              </w:rPr>
              <w:t>重点推进塑料软包装印刷、印铁制罐等VOCs治理，积极推进使用低(无)VOCs含量原辅材料和环境友好型技术替代、全面加强无组织排放控制。建设高效末端净化设施。重点区域逐步开展出版物印刷VOCs治理工作，推广使用植物油基油墨、辐射固化油墨、低(无)醇润版液等低(无)VOCs含量原辅材料和无水印刷、橡皮布自动清洗等技术，实现污染减排。</w:t>
            </w:r>
          </w:p>
          <w:p w14:paraId="6B05196F">
            <w:pPr>
              <w:spacing w:line="240" w:lineRule="auto"/>
              <w:rPr>
                <w:sz w:val="21"/>
                <w:szCs w:val="21"/>
              </w:rPr>
            </w:pPr>
            <w:r>
              <w:rPr>
                <w:rFonts w:hint="eastAsia"/>
                <w:sz w:val="21"/>
                <w:szCs w:val="21"/>
              </w:rPr>
              <w:t>强化源头控制。塑料软包装印刷企业推广使用水醇性油墨、单一组分溶剂油墨，无溶剂复合技术、共挤出复合技术等，鼓励使用水性油墨、辐射固化油墨、紫外光固化光油、低(无)挥发和高沸点的清洁剂等。印铁企业加快推广使用辐射固化涂料、辐射固化油墨、紫外光固化光油。制罐企业推广使用水性油墨、水性涂料。鼓励包装印刷企业实施胶印、柔印等技术改造。</w:t>
            </w:r>
          </w:p>
          <w:p w14:paraId="3A4A458E">
            <w:pPr>
              <w:spacing w:line="240" w:lineRule="auto"/>
              <w:rPr>
                <w:sz w:val="21"/>
                <w:szCs w:val="21"/>
              </w:rPr>
            </w:pPr>
            <w:r>
              <w:rPr>
                <w:rFonts w:hint="eastAsia"/>
                <w:sz w:val="21"/>
                <w:szCs w:val="21"/>
              </w:rPr>
              <w:t>加强无组织排放控制。加强油墨、稀释剂、胶粘剂、涂布液、清洗剂等含VOCs物料储存、调配、输送、使用等工艺环节VOCs无组织逸散控制。含VOCs物料储存和输送过程应保持密闭。调配应在密闭装置或空间内进行并有效收集，非即用状态应加盖密封。涂布、印刷、覆膜、复合、上光、清洗等含VOCs物料使用过程应采用密闭设备或在密闭空间内操作；无法密闭的，应采取局部气体收集措施，废气排至VOCs废气收集系统。凹版、柔版印刷机宜采用封闭刮刀，或通过安装盖板、改变墨槽开口形状等措施减少墨槽无组织逸散。鼓励重点区域印刷企业对涉VOCs排放车间进行负压改造或局部围风改造。</w:t>
            </w:r>
          </w:p>
          <w:p w14:paraId="5C082A9B">
            <w:pPr>
              <w:spacing w:line="240" w:lineRule="auto"/>
              <w:rPr>
                <w:sz w:val="21"/>
                <w:szCs w:val="21"/>
              </w:rPr>
            </w:pPr>
            <w:r>
              <w:rPr>
                <w:rFonts w:hint="eastAsia"/>
                <w:sz w:val="21"/>
                <w:szCs w:val="21"/>
              </w:rPr>
              <w:t>提升末端治理水平。包装印刷企业印刷、干式复合等VOCs排放工序，宜采用吸附浓缩+冷凝回收、吸附浓缩+燃烧、减风增浓+燃烧等高效处理技术。</w:t>
            </w:r>
          </w:p>
        </w:tc>
        <w:tc>
          <w:tcPr>
            <w:tcW w:w="2712" w:type="dxa"/>
            <w:tcBorders>
              <w:tl2br w:val="nil"/>
              <w:tr2bl w:val="nil"/>
            </w:tcBorders>
            <w:vAlign w:val="center"/>
          </w:tcPr>
          <w:p w14:paraId="77D63284">
            <w:pPr>
              <w:spacing w:line="240" w:lineRule="auto"/>
              <w:rPr>
                <w:sz w:val="21"/>
                <w:szCs w:val="21"/>
              </w:rPr>
            </w:pPr>
            <w:r>
              <w:rPr>
                <w:rFonts w:hint="eastAsia"/>
                <w:sz w:val="21"/>
                <w:szCs w:val="21"/>
              </w:rPr>
              <w:t>水性油墨因色彩达不到产品需求，显色度不够，附着力不强等原因暂未投入应用，建设方也在积极探索研究，拟在日后的生产过程中根据生产工艺进行逐步替代，在满足工艺生产要求的前提下逐步使用水醇性油墨、水性油墨、辐射固化油墨等替代油性油墨；在满足工艺生产要求的前提下逐步使用紫外光固化光油、低(无)挥发和高沸点的清洁剂等代替易挥发清洁剂（稀释剂乙酸乙酯）。项目的印刷工序采用凹版印刷工艺，建设单位可在日后的生产过程中逐步调整印制方式，在满足生产要求的前提下采用柔印替代凹印、挤出复合代替溶剂复合等方式减小有机废气的产生量。</w:t>
            </w:r>
          </w:p>
          <w:p w14:paraId="655085C3">
            <w:pPr>
              <w:spacing w:line="240" w:lineRule="auto"/>
              <w:rPr>
                <w:sz w:val="21"/>
                <w:szCs w:val="21"/>
              </w:rPr>
            </w:pPr>
            <w:r>
              <w:rPr>
                <w:sz w:val="21"/>
                <w:szCs w:val="21"/>
              </w:rPr>
              <w:t>本项目所有含VOCs的物料在储存和输送过程保持密闭；根据</w:t>
            </w:r>
            <w:r>
              <w:rPr>
                <w:rFonts w:hint="eastAsia"/>
                <w:sz w:val="21"/>
                <w:szCs w:val="21"/>
              </w:rPr>
              <w:t>“</w:t>
            </w:r>
            <w:r>
              <w:rPr>
                <w:sz w:val="21"/>
                <w:szCs w:val="21"/>
              </w:rPr>
              <w:t>应收尽收、分质收集</w:t>
            </w:r>
            <w:r>
              <w:rPr>
                <w:rFonts w:hint="eastAsia"/>
                <w:sz w:val="21"/>
                <w:szCs w:val="21"/>
              </w:rPr>
              <w:t>”</w:t>
            </w:r>
            <w:r>
              <w:rPr>
                <w:sz w:val="21"/>
                <w:szCs w:val="21"/>
              </w:rPr>
              <w:t>的原则，建设全封闭式印刷工区，复合工区采用负压收集设施；调墨调胶间</w:t>
            </w:r>
            <w:r>
              <w:rPr>
                <w:rFonts w:hint="eastAsia"/>
                <w:sz w:val="21"/>
                <w:szCs w:val="21"/>
              </w:rPr>
              <w:t>只抽风，负压收集</w:t>
            </w:r>
            <w:r>
              <w:rPr>
                <w:sz w:val="21"/>
                <w:szCs w:val="21"/>
              </w:rPr>
              <w:t>有机废气VOCs经收集后进入</w:t>
            </w:r>
            <w:r>
              <w:rPr>
                <w:rFonts w:hint="eastAsia"/>
                <w:sz w:val="21"/>
                <w:szCs w:val="21"/>
              </w:rPr>
              <w:t>“</w:t>
            </w:r>
            <w:r>
              <w:rPr>
                <w:sz w:val="21"/>
                <w:szCs w:val="21"/>
              </w:rPr>
              <w:t>吸附浓缩+溶剂回收</w:t>
            </w:r>
            <w:r>
              <w:rPr>
                <w:rFonts w:hint="eastAsia"/>
                <w:sz w:val="21"/>
                <w:szCs w:val="21"/>
              </w:rPr>
              <w:t>”</w:t>
            </w:r>
            <w:r>
              <w:rPr>
                <w:sz w:val="21"/>
                <w:szCs w:val="21"/>
              </w:rPr>
              <w:t>，处理后高空排放。</w:t>
            </w:r>
          </w:p>
        </w:tc>
        <w:tc>
          <w:tcPr>
            <w:tcW w:w="987" w:type="dxa"/>
            <w:tcBorders>
              <w:tl2br w:val="nil"/>
              <w:tr2bl w:val="nil"/>
            </w:tcBorders>
            <w:vAlign w:val="center"/>
          </w:tcPr>
          <w:p w14:paraId="770350B5">
            <w:pPr>
              <w:spacing w:line="240" w:lineRule="auto"/>
              <w:jc w:val="center"/>
              <w:rPr>
                <w:sz w:val="21"/>
                <w:szCs w:val="21"/>
              </w:rPr>
            </w:pPr>
            <w:r>
              <w:rPr>
                <w:sz w:val="21"/>
                <w:szCs w:val="21"/>
              </w:rPr>
              <w:t>符合</w:t>
            </w:r>
          </w:p>
        </w:tc>
      </w:tr>
      <w:tr w14:paraId="75755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41" w:hRule="atLeast"/>
        </w:trPr>
        <w:tc>
          <w:tcPr>
            <w:tcW w:w="1799" w:type="dxa"/>
            <w:tcBorders>
              <w:tl2br w:val="nil"/>
              <w:tr2bl w:val="nil"/>
            </w:tcBorders>
            <w:vAlign w:val="center"/>
          </w:tcPr>
          <w:p w14:paraId="65D0FB61">
            <w:pPr>
              <w:spacing w:line="240" w:lineRule="auto"/>
              <w:jc w:val="center"/>
              <w:rPr>
                <w:color w:val="FF0000"/>
                <w:sz w:val="21"/>
                <w:szCs w:val="21"/>
              </w:rPr>
            </w:pPr>
            <w:r>
              <w:rPr>
                <w:sz w:val="21"/>
                <w:szCs w:val="21"/>
              </w:rPr>
              <w:t>《挥发性有机物污染防治技术政策》（公告2013年第31号）</w:t>
            </w:r>
          </w:p>
        </w:tc>
        <w:tc>
          <w:tcPr>
            <w:tcW w:w="3788" w:type="dxa"/>
            <w:tcBorders>
              <w:tl2br w:val="nil"/>
              <w:tr2bl w:val="nil"/>
            </w:tcBorders>
            <w:vAlign w:val="center"/>
          </w:tcPr>
          <w:p w14:paraId="2EBC685D">
            <w:pPr>
              <w:spacing w:line="240" w:lineRule="auto"/>
              <w:jc w:val="center"/>
              <w:rPr>
                <w:sz w:val="21"/>
                <w:szCs w:val="21"/>
              </w:rPr>
            </w:pPr>
            <w:r>
              <w:rPr>
                <w:sz w:val="21"/>
                <w:szCs w:val="21"/>
              </w:rPr>
              <w:t>鼓励使用通过环境标志产品认证的环保型涂料；含VOCs产品的使用过程中，应采取废气收集措施，提高废气收集效率，减少废气的无组织排放与逸散，并对收集后的废气进行回收或处理后达标排放。</w:t>
            </w:r>
          </w:p>
        </w:tc>
        <w:tc>
          <w:tcPr>
            <w:tcW w:w="2712" w:type="dxa"/>
            <w:tcBorders>
              <w:tl2br w:val="nil"/>
              <w:tr2bl w:val="nil"/>
            </w:tcBorders>
            <w:vAlign w:val="center"/>
          </w:tcPr>
          <w:p w14:paraId="08D1272C">
            <w:pPr>
              <w:spacing w:line="240" w:lineRule="auto"/>
              <w:rPr>
                <w:sz w:val="21"/>
                <w:szCs w:val="21"/>
              </w:rPr>
            </w:pPr>
            <w:r>
              <w:rPr>
                <w:rFonts w:hint="eastAsia"/>
                <w:sz w:val="21"/>
                <w:szCs w:val="21"/>
              </w:rPr>
              <w:t>本项目位于湘潭县湘潭天易经济开发区，</w:t>
            </w:r>
            <w:r>
              <w:rPr>
                <w:sz w:val="21"/>
                <w:szCs w:val="21"/>
              </w:rPr>
              <w:t>所使用的涂料均为具备环境标志产品认证。本项目涉及有机废气排放的工序，做到“应收尽收”，项目设置了封闭式印刷、复合工区，并采用负压集气系统，废气收集率不低于95%；调胶</w:t>
            </w:r>
            <w:r>
              <w:rPr>
                <w:rFonts w:hint="eastAsia"/>
                <w:sz w:val="21"/>
                <w:szCs w:val="21"/>
              </w:rPr>
              <w:t>、</w:t>
            </w:r>
            <w:r>
              <w:rPr>
                <w:sz w:val="21"/>
                <w:szCs w:val="21"/>
              </w:rPr>
              <w:t>调墨</w:t>
            </w:r>
            <w:r>
              <w:rPr>
                <w:rFonts w:hint="eastAsia"/>
                <w:sz w:val="21"/>
                <w:szCs w:val="21"/>
              </w:rPr>
              <w:t>间和危废间只抽风，微负压收集</w:t>
            </w:r>
            <w:r>
              <w:rPr>
                <w:sz w:val="21"/>
                <w:szCs w:val="21"/>
              </w:rPr>
              <w:t>，收集效率不低于8</w:t>
            </w:r>
            <w:r>
              <w:rPr>
                <w:rFonts w:hint="eastAsia"/>
                <w:sz w:val="21"/>
                <w:szCs w:val="21"/>
              </w:rPr>
              <w:t>5</w:t>
            </w:r>
            <w:r>
              <w:rPr>
                <w:sz w:val="21"/>
                <w:szCs w:val="21"/>
              </w:rPr>
              <w:t>%；废气经收集后进入</w:t>
            </w:r>
            <w:r>
              <w:rPr>
                <w:rFonts w:hint="eastAsia"/>
                <w:sz w:val="21"/>
                <w:szCs w:val="21"/>
              </w:rPr>
              <w:t>“</w:t>
            </w:r>
            <w:r>
              <w:rPr>
                <w:sz w:val="21"/>
                <w:szCs w:val="21"/>
              </w:rPr>
              <w:t>吸附浓缩+溶剂回收</w:t>
            </w:r>
            <w:r>
              <w:rPr>
                <w:rFonts w:hint="eastAsia"/>
                <w:sz w:val="21"/>
                <w:szCs w:val="21"/>
              </w:rPr>
              <w:t>”</w:t>
            </w:r>
            <w:r>
              <w:rPr>
                <w:sz w:val="21"/>
                <w:szCs w:val="21"/>
              </w:rPr>
              <w:t>，处理效率高浓度废气可达到98%，低浓度废气可达到90%，经处理后有机废气</w:t>
            </w:r>
            <w:r>
              <w:rPr>
                <w:rFonts w:hint="eastAsia"/>
                <w:sz w:val="21"/>
                <w:szCs w:val="21"/>
              </w:rPr>
              <w:t>经DA001排气筒</w:t>
            </w:r>
            <w:r>
              <w:rPr>
                <w:sz w:val="21"/>
                <w:szCs w:val="21"/>
              </w:rPr>
              <w:t>达标排放。整套设施风量设计为排气筒进风量2</w:t>
            </w:r>
            <w:r>
              <w:rPr>
                <w:rFonts w:hint="eastAsia"/>
                <w:sz w:val="21"/>
                <w:szCs w:val="21"/>
              </w:rPr>
              <w:t>288</w:t>
            </w:r>
            <w:r>
              <w:rPr>
                <w:sz w:val="21"/>
                <w:szCs w:val="21"/>
              </w:rPr>
              <w:t>00m</w:t>
            </w:r>
            <w:r>
              <w:rPr>
                <w:sz w:val="21"/>
                <w:szCs w:val="21"/>
                <w:vertAlign w:val="superscript"/>
              </w:rPr>
              <w:t>3</w:t>
            </w:r>
            <w:r>
              <w:rPr>
                <w:sz w:val="21"/>
                <w:szCs w:val="21"/>
              </w:rPr>
              <w:t>/h，其中排风风量为</w:t>
            </w:r>
            <w:r>
              <w:rPr>
                <w:rFonts w:hint="eastAsia"/>
                <w:sz w:val="21"/>
                <w:szCs w:val="21"/>
              </w:rPr>
              <w:t>1348</w:t>
            </w:r>
            <w:r>
              <w:rPr>
                <w:sz w:val="21"/>
                <w:szCs w:val="21"/>
              </w:rPr>
              <w:t>00m</w:t>
            </w:r>
            <w:r>
              <w:rPr>
                <w:sz w:val="21"/>
                <w:szCs w:val="21"/>
                <w:vertAlign w:val="superscript"/>
              </w:rPr>
              <w:t>3</w:t>
            </w:r>
            <w:r>
              <w:rPr>
                <w:sz w:val="21"/>
                <w:szCs w:val="21"/>
              </w:rPr>
              <w:t>/h，循环回用烘干风量</w:t>
            </w:r>
            <w:r>
              <w:rPr>
                <w:rFonts w:hint="eastAsia"/>
                <w:sz w:val="21"/>
                <w:szCs w:val="21"/>
              </w:rPr>
              <w:t>94</w:t>
            </w:r>
            <w:r>
              <w:rPr>
                <w:sz w:val="21"/>
                <w:szCs w:val="21"/>
              </w:rPr>
              <w:t>000m</w:t>
            </w:r>
            <w:r>
              <w:rPr>
                <w:sz w:val="21"/>
                <w:szCs w:val="21"/>
                <w:vertAlign w:val="superscript"/>
              </w:rPr>
              <w:t>3</w:t>
            </w:r>
            <w:r>
              <w:rPr>
                <w:sz w:val="21"/>
                <w:szCs w:val="21"/>
              </w:rPr>
              <w:t>/h，</w:t>
            </w:r>
            <w:r>
              <w:rPr>
                <w:rFonts w:hint="eastAsia"/>
                <w:sz w:val="21"/>
                <w:szCs w:val="21"/>
              </w:rPr>
              <w:t>安装在线监测设备</w:t>
            </w:r>
          </w:p>
        </w:tc>
        <w:tc>
          <w:tcPr>
            <w:tcW w:w="987" w:type="dxa"/>
            <w:tcBorders>
              <w:tl2br w:val="nil"/>
              <w:tr2bl w:val="nil"/>
            </w:tcBorders>
            <w:vAlign w:val="center"/>
          </w:tcPr>
          <w:p w14:paraId="61BD5366">
            <w:pPr>
              <w:spacing w:line="240" w:lineRule="auto"/>
              <w:jc w:val="center"/>
              <w:rPr>
                <w:sz w:val="21"/>
                <w:szCs w:val="21"/>
              </w:rPr>
            </w:pPr>
            <w:r>
              <w:rPr>
                <w:sz w:val="21"/>
                <w:szCs w:val="21"/>
              </w:rPr>
              <w:t>符合</w:t>
            </w:r>
          </w:p>
        </w:tc>
      </w:tr>
      <w:tr w14:paraId="3BF2D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tcBorders>
              <w:tl2br w:val="nil"/>
              <w:tr2bl w:val="nil"/>
            </w:tcBorders>
            <w:vAlign w:val="center"/>
          </w:tcPr>
          <w:p w14:paraId="1B65DAC1">
            <w:pPr>
              <w:spacing w:line="240" w:lineRule="auto"/>
              <w:jc w:val="center"/>
              <w:rPr>
                <w:color w:val="FF0000"/>
                <w:sz w:val="21"/>
                <w:szCs w:val="21"/>
              </w:rPr>
            </w:pPr>
            <w:r>
              <w:rPr>
                <w:sz w:val="21"/>
                <w:szCs w:val="21"/>
              </w:rPr>
              <w:t>《湖南省大气污染防治条例》</w:t>
            </w:r>
          </w:p>
        </w:tc>
        <w:tc>
          <w:tcPr>
            <w:tcW w:w="3788" w:type="dxa"/>
            <w:tcBorders>
              <w:tl2br w:val="nil"/>
              <w:tr2bl w:val="nil"/>
            </w:tcBorders>
            <w:vAlign w:val="center"/>
          </w:tcPr>
          <w:p w14:paraId="75E5531E">
            <w:pPr>
              <w:spacing w:line="240" w:lineRule="auto"/>
              <w:rPr>
                <w:sz w:val="21"/>
                <w:szCs w:val="21"/>
              </w:rPr>
            </w:pPr>
            <w:r>
              <w:rPr>
                <w:sz w:val="21"/>
                <w:szCs w:val="21"/>
              </w:rPr>
              <w:t>第十条 县级以上人民政府发展和改革主管部门应当会同环境保护、经济和信息化、质量技术监督等主管部门，限期淘汰不符合国家规定的燃煤锅炉，加快改造燃煤锅炉和燃煤工业窑炉，推广使用清洁燃料。</w:t>
            </w:r>
          </w:p>
          <w:p w14:paraId="51477013">
            <w:pPr>
              <w:spacing w:line="240" w:lineRule="auto"/>
              <w:rPr>
                <w:sz w:val="21"/>
                <w:szCs w:val="21"/>
              </w:rPr>
            </w:pPr>
            <w:r>
              <w:rPr>
                <w:sz w:val="21"/>
                <w:szCs w:val="21"/>
              </w:rPr>
              <w:t>第十一条 鼓励城市建成区、工业园区等实行集中供热。在集中供热管网覆盖区域内，禁止新建、改建、扩建分散燃煤锅炉，集中供热管网覆盖前已建成使用的分散燃煤锅炉应当限期停止使用。</w:t>
            </w:r>
          </w:p>
          <w:p w14:paraId="521FB8F4">
            <w:pPr>
              <w:spacing w:line="240" w:lineRule="auto"/>
              <w:rPr>
                <w:sz w:val="21"/>
                <w:szCs w:val="21"/>
              </w:rPr>
            </w:pPr>
            <w:r>
              <w:rPr>
                <w:sz w:val="21"/>
                <w:szCs w:val="21"/>
              </w:rPr>
              <w:t>第十二条 设区的市、自治州、县(市、区)人民政府应当划定并公布高污染燃料禁燃区，报省人民政府环境保护主管部门备案。高污染燃料禁燃区面积应当逐步扩大。长沙市、株洲市、湘潭市城市建成区可以划定为高污染燃料禁燃区。</w:t>
            </w:r>
          </w:p>
          <w:p w14:paraId="0AD8896F">
            <w:pPr>
              <w:spacing w:line="240" w:lineRule="auto"/>
              <w:rPr>
                <w:sz w:val="21"/>
                <w:szCs w:val="21"/>
              </w:rPr>
            </w:pPr>
            <w:r>
              <w:rPr>
                <w:sz w:val="21"/>
                <w:szCs w:val="21"/>
              </w:rPr>
              <w:t>第二十七条 省人民政府环境保护主管部门应当划定本省大气污染防治重点区域，报省人民政府批准，并向社会公布。省人民政府环境保护主管部门应当会同大气污染防治重点区域的设区的市、自治州人民政府按照《中华人民共和国大气污染防治法》规定实施大气污染联合防治。在大气污染重点区域城市建成区内禁止新建、扩建钢铁、水泥、有色金属、石油、化工等重污染企业以及新增产能项目。省人民政府应当在长沙市、株洲市、湘潭市和其他大气污染防治重点区域提前执行国家大气污染物排放标准中排放限值。</w:t>
            </w:r>
          </w:p>
        </w:tc>
        <w:tc>
          <w:tcPr>
            <w:tcW w:w="2712" w:type="dxa"/>
            <w:tcBorders>
              <w:tl2br w:val="nil"/>
              <w:tr2bl w:val="nil"/>
            </w:tcBorders>
            <w:vAlign w:val="center"/>
          </w:tcPr>
          <w:p w14:paraId="5B2F7D9D">
            <w:pPr>
              <w:spacing w:line="240" w:lineRule="auto"/>
              <w:rPr>
                <w:sz w:val="21"/>
                <w:szCs w:val="21"/>
              </w:rPr>
            </w:pPr>
            <w:r>
              <w:rPr>
                <w:rFonts w:hint="eastAsia"/>
                <w:sz w:val="21"/>
                <w:szCs w:val="21"/>
              </w:rPr>
              <w:t>本项目能源采用天然气为燃料，不涉及燃煤锅炉，不使用高污染燃料，采用清洁能源天然气作为燃料。不涉及钢铁、水泥、有色金属、石油、化工等重污染项目。本项目大气污染物采取相应的治理措施后能够满足相应的排放标准。</w:t>
            </w:r>
          </w:p>
        </w:tc>
        <w:tc>
          <w:tcPr>
            <w:tcW w:w="987" w:type="dxa"/>
            <w:tcBorders>
              <w:tl2br w:val="nil"/>
              <w:tr2bl w:val="nil"/>
            </w:tcBorders>
            <w:vAlign w:val="center"/>
          </w:tcPr>
          <w:p w14:paraId="10ABDA3A">
            <w:pPr>
              <w:spacing w:line="240" w:lineRule="auto"/>
              <w:jc w:val="center"/>
              <w:rPr>
                <w:sz w:val="21"/>
                <w:szCs w:val="21"/>
              </w:rPr>
            </w:pPr>
            <w:r>
              <w:rPr>
                <w:rFonts w:hint="eastAsia"/>
                <w:sz w:val="21"/>
                <w:szCs w:val="21"/>
              </w:rPr>
              <w:t>符合</w:t>
            </w:r>
          </w:p>
        </w:tc>
      </w:tr>
      <w:tr w14:paraId="0F969F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restart"/>
            <w:tcBorders>
              <w:tl2br w:val="nil"/>
              <w:tr2bl w:val="nil"/>
            </w:tcBorders>
            <w:vAlign w:val="center"/>
          </w:tcPr>
          <w:p w14:paraId="42E62805">
            <w:pPr>
              <w:spacing w:line="240" w:lineRule="auto"/>
              <w:rPr>
                <w:sz w:val="21"/>
                <w:szCs w:val="21"/>
              </w:rPr>
            </w:pPr>
            <w:r>
              <w:rPr>
                <w:sz w:val="21"/>
                <w:szCs w:val="21"/>
              </w:rPr>
              <w:t>《湖南省</w:t>
            </w:r>
            <w:r>
              <w:rPr>
                <w:rFonts w:hint="eastAsia"/>
                <w:sz w:val="21"/>
                <w:szCs w:val="21"/>
              </w:rPr>
              <w:t>“</w:t>
            </w:r>
            <w:r>
              <w:rPr>
                <w:sz w:val="21"/>
                <w:szCs w:val="21"/>
              </w:rPr>
              <w:t>十四五</w:t>
            </w:r>
            <w:r>
              <w:rPr>
                <w:rFonts w:hint="eastAsia"/>
                <w:sz w:val="21"/>
                <w:szCs w:val="21"/>
              </w:rPr>
              <w:t>”</w:t>
            </w:r>
            <w:r>
              <w:rPr>
                <w:sz w:val="21"/>
                <w:szCs w:val="21"/>
              </w:rPr>
              <w:t>生态环境保护规划》（湘政办发〔2021〕61号）</w:t>
            </w:r>
          </w:p>
        </w:tc>
        <w:tc>
          <w:tcPr>
            <w:tcW w:w="3788" w:type="dxa"/>
            <w:tcBorders>
              <w:tl2br w:val="nil"/>
              <w:tr2bl w:val="nil"/>
            </w:tcBorders>
            <w:vAlign w:val="center"/>
          </w:tcPr>
          <w:p w14:paraId="48DA41B6">
            <w:pPr>
              <w:spacing w:line="240" w:lineRule="auto"/>
              <w:rPr>
                <w:sz w:val="21"/>
                <w:szCs w:val="21"/>
              </w:rPr>
            </w:pPr>
            <w:r>
              <w:rPr>
                <w:sz w:val="21"/>
                <w:szCs w:val="21"/>
              </w:rPr>
              <w:t>严格生态环境分区引导。严格落实湖南省“三线一单”生态环境总体管控要求，将生态保护红线、环境质量底线、资源利用上线和生态环境准入清单作为硬约束落实到环境管控单元，根据生态环境功能、自然资源禀赋、经济与社会发展实际，对环境管控单元实施差异化生态环境准入管理。加强“三线一单”与国土空间规划的衔接，区域资源开发、产业布局和结构调整、城镇建设、重大项目选址应以“三线一单”确定的环境管控单元及生态环境准入清单作为重要依据，加强省级以上产业园区生态环境准入管理。推进“三线一单”与排污许可、环评审批、环境监测、环境执法等数据系统共享，细化“三线一单”数据支撑体系及分区管控要求。</w:t>
            </w:r>
          </w:p>
        </w:tc>
        <w:tc>
          <w:tcPr>
            <w:tcW w:w="2712" w:type="dxa"/>
            <w:tcBorders>
              <w:tl2br w:val="nil"/>
              <w:tr2bl w:val="nil"/>
            </w:tcBorders>
            <w:vAlign w:val="center"/>
          </w:tcPr>
          <w:p w14:paraId="39E0F91A">
            <w:pPr>
              <w:spacing w:line="240" w:lineRule="auto"/>
              <w:rPr>
                <w:sz w:val="21"/>
                <w:szCs w:val="21"/>
              </w:rPr>
            </w:pPr>
            <w:r>
              <w:rPr>
                <w:sz w:val="21"/>
                <w:szCs w:val="21"/>
              </w:rPr>
              <w:t>本项目的建设符合湖南省“三线一单”生态环境总体管控要求；项目的建设符合湖南</w:t>
            </w:r>
            <w:r>
              <w:rPr>
                <w:rFonts w:hint="eastAsia"/>
                <w:sz w:val="21"/>
                <w:szCs w:val="21"/>
              </w:rPr>
              <w:t>省</w:t>
            </w:r>
            <w:r>
              <w:rPr>
                <w:sz w:val="21"/>
                <w:szCs w:val="21"/>
              </w:rPr>
              <w:t>“三线一单”生态环境管控要求</w:t>
            </w:r>
          </w:p>
        </w:tc>
        <w:tc>
          <w:tcPr>
            <w:tcW w:w="987" w:type="dxa"/>
            <w:tcBorders>
              <w:tl2br w:val="nil"/>
              <w:tr2bl w:val="nil"/>
            </w:tcBorders>
            <w:vAlign w:val="center"/>
          </w:tcPr>
          <w:p w14:paraId="193DAD27">
            <w:pPr>
              <w:spacing w:line="240" w:lineRule="auto"/>
              <w:jc w:val="center"/>
              <w:rPr>
                <w:sz w:val="21"/>
                <w:szCs w:val="21"/>
              </w:rPr>
            </w:pPr>
            <w:r>
              <w:rPr>
                <w:rFonts w:hint="eastAsia"/>
                <w:sz w:val="21"/>
                <w:szCs w:val="21"/>
              </w:rPr>
              <w:t>符合</w:t>
            </w:r>
          </w:p>
        </w:tc>
      </w:tr>
      <w:tr w14:paraId="68D45C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tcBorders>
              <w:tl2br w:val="nil"/>
              <w:tr2bl w:val="nil"/>
            </w:tcBorders>
            <w:vAlign w:val="center"/>
          </w:tcPr>
          <w:p w14:paraId="41ACD1C2">
            <w:pPr>
              <w:spacing w:line="240" w:lineRule="auto"/>
              <w:jc w:val="center"/>
              <w:rPr>
                <w:sz w:val="21"/>
                <w:szCs w:val="21"/>
              </w:rPr>
            </w:pPr>
          </w:p>
        </w:tc>
        <w:tc>
          <w:tcPr>
            <w:tcW w:w="3788" w:type="dxa"/>
            <w:tcBorders>
              <w:tl2br w:val="nil"/>
              <w:tr2bl w:val="nil"/>
            </w:tcBorders>
            <w:vAlign w:val="center"/>
          </w:tcPr>
          <w:p w14:paraId="2FD420BE">
            <w:pPr>
              <w:spacing w:line="240" w:lineRule="auto"/>
              <w:rPr>
                <w:sz w:val="21"/>
                <w:szCs w:val="21"/>
              </w:rPr>
            </w:pPr>
            <w:r>
              <w:rPr>
                <w:sz w:val="21"/>
                <w:szCs w:val="21"/>
              </w:rPr>
              <w:t>加强规划环境影响评价。严格执行以环评制度为主体的生态环境源头预防制度，以国土空间规划、区域规划、行业发展规划引导经济社会发展，全面推进重点区域、重点流域、重点行业规划环评。规划编制要充分考虑底线约束、空间管制、总量管控和生态环境准入，统筹区域空间布局与生态安全格局。严格审查涉“两高”行业的有关综合性规划和工业、能源等专项规划，严格控制“两高”行业发展规模，优化规划布局、产业结构与实施时序。加强规划环评对建设项目环评工作的指导和约束，推动规划环评成果落实。</w:t>
            </w:r>
          </w:p>
        </w:tc>
        <w:tc>
          <w:tcPr>
            <w:tcW w:w="2712" w:type="dxa"/>
            <w:tcBorders>
              <w:tl2br w:val="nil"/>
              <w:tr2bl w:val="nil"/>
            </w:tcBorders>
            <w:vAlign w:val="center"/>
          </w:tcPr>
          <w:p w14:paraId="63ADBE60">
            <w:pPr>
              <w:spacing w:line="240" w:lineRule="auto"/>
              <w:rPr>
                <w:sz w:val="21"/>
                <w:szCs w:val="21"/>
              </w:rPr>
            </w:pPr>
            <w:r>
              <w:rPr>
                <w:sz w:val="21"/>
                <w:szCs w:val="21"/>
              </w:rPr>
              <w:t>本项目的建设符合国家的地区的产业政策，用地属于工业用地。本项目的建设符合“三线一单”的相关要求和总量控制指标；本项目不涉及“两高”行业</w:t>
            </w:r>
          </w:p>
        </w:tc>
        <w:tc>
          <w:tcPr>
            <w:tcW w:w="987" w:type="dxa"/>
            <w:tcBorders>
              <w:tl2br w:val="nil"/>
              <w:tr2bl w:val="nil"/>
            </w:tcBorders>
            <w:vAlign w:val="center"/>
          </w:tcPr>
          <w:p w14:paraId="70ABFB08">
            <w:pPr>
              <w:spacing w:line="240" w:lineRule="auto"/>
              <w:jc w:val="center"/>
              <w:rPr>
                <w:sz w:val="21"/>
                <w:szCs w:val="21"/>
              </w:rPr>
            </w:pPr>
            <w:r>
              <w:rPr>
                <w:rFonts w:hint="eastAsia"/>
                <w:sz w:val="21"/>
                <w:szCs w:val="21"/>
              </w:rPr>
              <w:t>符合</w:t>
            </w:r>
          </w:p>
        </w:tc>
      </w:tr>
      <w:tr w14:paraId="64CA62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tcBorders>
              <w:tl2br w:val="nil"/>
              <w:tr2bl w:val="nil"/>
            </w:tcBorders>
            <w:vAlign w:val="center"/>
          </w:tcPr>
          <w:p w14:paraId="64BDF58C">
            <w:pPr>
              <w:spacing w:line="240" w:lineRule="auto"/>
              <w:jc w:val="center"/>
              <w:rPr>
                <w:sz w:val="21"/>
                <w:szCs w:val="21"/>
              </w:rPr>
            </w:pPr>
          </w:p>
        </w:tc>
        <w:tc>
          <w:tcPr>
            <w:tcW w:w="3788" w:type="dxa"/>
            <w:tcBorders>
              <w:tl2br w:val="nil"/>
              <w:tr2bl w:val="nil"/>
            </w:tcBorders>
            <w:vAlign w:val="center"/>
          </w:tcPr>
          <w:p w14:paraId="6E9A5D1D">
            <w:pPr>
              <w:spacing w:line="240" w:lineRule="auto"/>
              <w:rPr>
                <w:sz w:val="21"/>
                <w:szCs w:val="21"/>
              </w:rPr>
            </w:pPr>
            <w:r>
              <w:rPr>
                <w:sz w:val="21"/>
                <w:szCs w:val="21"/>
              </w:rPr>
              <w:t>全面实行排污许可制度。推动构建以排污许可制为核心的固定污染源监管制度体系，实现固定污染源排污许可全覆盖，推动工业固体废物、土壤环境要素全覆盖，探索将碳排放纳入排污许可管理内容。依托排污许可证实施企事业单位污染物排放总量指标分配、监管和考核。建立以排污许可证为主要依据的生态环境日常监管执法体系，落实排污许可“一证式”管理。推进排污许可制度与环境影响评价制度有效融合，推动重点行业企业环境影响评价、排污许可、监管执法全闭环管理。持续做好排污许可证换证或登记延续动态更新。</w:t>
            </w:r>
          </w:p>
        </w:tc>
        <w:tc>
          <w:tcPr>
            <w:tcW w:w="2712" w:type="dxa"/>
            <w:tcBorders>
              <w:tl2br w:val="nil"/>
              <w:tr2bl w:val="nil"/>
            </w:tcBorders>
            <w:vAlign w:val="center"/>
          </w:tcPr>
          <w:p w14:paraId="4EC5D66E">
            <w:pPr>
              <w:spacing w:line="240" w:lineRule="auto"/>
              <w:rPr>
                <w:sz w:val="21"/>
                <w:szCs w:val="21"/>
              </w:rPr>
            </w:pPr>
            <w:r>
              <w:rPr>
                <w:sz w:val="21"/>
                <w:szCs w:val="21"/>
              </w:rPr>
              <w:t>本环评要求企业落实排污许可制度，持续做好排污许可证换证或登记延续动态更新</w:t>
            </w:r>
          </w:p>
        </w:tc>
        <w:tc>
          <w:tcPr>
            <w:tcW w:w="987" w:type="dxa"/>
            <w:tcBorders>
              <w:tl2br w:val="nil"/>
              <w:tr2bl w:val="nil"/>
            </w:tcBorders>
            <w:vAlign w:val="center"/>
          </w:tcPr>
          <w:p w14:paraId="269561BE">
            <w:pPr>
              <w:spacing w:line="240" w:lineRule="auto"/>
              <w:jc w:val="center"/>
              <w:rPr>
                <w:sz w:val="21"/>
                <w:szCs w:val="21"/>
              </w:rPr>
            </w:pPr>
            <w:r>
              <w:rPr>
                <w:rFonts w:hint="eastAsia"/>
                <w:sz w:val="21"/>
                <w:szCs w:val="21"/>
              </w:rPr>
              <w:t>符合</w:t>
            </w:r>
          </w:p>
        </w:tc>
      </w:tr>
      <w:tr w14:paraId="4D252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tcBorders>
              <w:tl2br w:val="nil"/>
              <w:tr2bl w:val="nil"/>
            </w:tcBorders>
            <w:vAlign w:val="center"/>
          </w:tcPr>
          <w:p w14:paraId="2C14CA47">
            <w:pPr>
              <w:spacing w:line="240" w:lineRule="auto"/>
              <w:jc w:val="center"/>
              <w:rPr>
                <w:sz w:val="21"/>
                <w:szCs w:val="21"/>
              </w:rPr>
            </w:pPr>
          </w:p>
        </w:tc>
        <w:tc>
          <w:tcPr>
            <w:tcW w:w="3788" w:type="dxa"/>
            <w:tcBorders>
              <w:tl2br w:val="nil"/>
              <w:tr2bl w:val="nil"/>
            </w:tcBorders>
            <w:vAlign w:val="center"/>
          </w:tcPr>
          <w:p w14:paraId="0E99B684">
            <w:pPr>
              <w:spacing w:line="240" w:lineRule="auto"/>
              <w:rPr>
                <w:sz w:val="21"/>
                <w:szCs w:val="21"/>
              </w:rPr>
            </w:pPr>
            <w:r>
              <w:rPr>
                <w:sz w:val="21"/>
                <w:szCs w:val="21"/>
              </w:rPr>
              <w:t>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加强涉重金属行业企业废水治理，推进重点行业氨氮和总磷排放总量控制。</w:t>
            </w:r>
          </w:p>
        </w:tc>
        <w:tc>
          <w:tcPr>
            <w:tcW w:w="2712" w:type="dxa"/>
            <w:tcBorders>
              <w:tl2br w:val="nil"/>
              <w:tr2bl w:val="nil"/>
            </w:tcBorders>
            <w:vAlign w:val="center"/>
          </w:tcPr>
          <w:p w14:paraId="6C4568BC">
            <w:pPr>
              <w:spacing w:line="240" w:lineRule="auto"/>
              <w:rPr>
                <w:sz w:val="21"/>
                <w:szCs w:val="21"/>
              </w:rPr>
            </w:pPr>
            <w:r>
              <w:rPr>
                <w:sz w:val="21"/>
                <w:szCs w:val="21"/>
              </w:rPr>
              <w:t>本项目位于天易经济开发区范围内，</w:t>
            </w:r>
            <w:r>
              <w:rPr>
                <w:rFonts w:hint="eastAsia"/>
                <w:sz w:val="21"/>
                <w:szCs w:val="21"/>
              </w:rPr>
              <w:t>无生产废水外排</w:t>
            </w:r>
            <w:r>
              <w:rPr>
                <w:sz w:val="21"/>
                <w:szCs w:val="21"/>
              </w:rPr>
              <w:t>。生活污水经化粪池处理后进入园区污水管网，通过</w:t>
            </w:r>
            <w:r>
              <w:rPr>
                <w:rFonts w:hint="eastAsia"/>
                <w:sz w:val="21"/>
                <w:szCs w:val="21"/>
              </w:rPr>
              <w:t>湘潭县顺业污水处理有限公司污水处理厂</w:t>
            </w:r>
            <w:r>
              <w:rPr>
                <w:sz w:val="21"/>
                <w:szCs w:val="21"/>
              </w:rPr>
              <w:t>进一步处理达标后外排</w:t>
            </w:r>
          </w:p>
        </w:tc>
        <w:tc>
          <w:tcPr>
            <w:tcW w:w="987" w:type="dxa"/>
            <w:tcBorders>
              <w:tl2br w:val="nil"/>
              <w:tr2bl w:val="nil"/>
            </w:tcBorders>
            <w:vAlign w:val="center"/>
          </w:tcPr>
          <w:p w14:paraId="55FCE2A5">
            <w:pPr>
              <w:spacing w:line="240" w:lineRule="auto"/>
              <w:jc w:val="center"/>
              <w:rPr>
                <w:sz w:val="21"/>
                <w:szCs w:val="21"/>
              </w:rPr>
            </w:pPr>
            <w:r>
              <w:rPr>
                <w:rFonts w:hint="eastAsia"/>
                <w:sz w:val="21"/>
                <w:szCs w:val="21"/>
              </w:rPr>
              <w:t>符合</w:t>
            </w:r>
          </w:p>
        </w:tc>
      </w:tr>
      <w:tr w14:paraId="0B75FC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tcBorders>
              <w:tl2br w:val="nil"/>
              <w:tr2bl w:val="nil"/>
            </w:tcBorders>
            <w:vAlign w:val="center"/>
          </w:tcPr>
          <w:p w14:paraId="77E2B16A">
            <w:pPr>
              <w:spacing w:line="240" w:lineRule="auto"/>
              <w:jc w:val="center"/>
              <w:rPr>
                <w:sz w:val="21"/>
                <w:szCs w:val="21"/>
              </w:rPr>
            </w:pPr>
          </w:p>
        </w:tc>
        <w:tc>
          <w:tcPr>
            <w:tcW w:w="3788" w:type="dxa"/>
            <w:tcBorders>
              <w:tl2br w:val="nil"/>
              <w:tr2bl w:val="nil"/>
            </w:tcBorders>
            <w:vAlign w:val="center"/>
          </w:tcPr>
          <w:p w14:paraId="1031F388">
            <w:pPr>
              <w:spacing w:line="240" w:lineRule="auto"/>
              <w:rPr>
                <w:sz w:val="21"/>
                <w:szCs w:val="21"/>
              </w:rPr>
            </w:pPr>
            <w:r>
              <w:rPr>
                <w:sz w:val="21"/>
                <w:szCs w:val="21"/>
              </w:rPr>
              <w:t>加强长江干支流系统治理。按照《湖南省沿江化工企业搬迁改造实施方案》要求，沿江岸线1公里范围内严禁新建、扩建化工园区、化工生产项目；严禁现有合规化工园区在沿江岸线1公里范围内靠江扩建；安全环保达标的化工生产企业因生产需要可向背江一面逐步搬迁，2025年底前完成沿江化工企业搬迁改造任务。全面加强入河排污口排查整治与监管，2023年完成长江干流湖南段、湘资沅澧干流及重要支流入河排污口排查，建立入河排污口名录，初步建成统一的流域排污口信息管理系统，2025年完成全流域排污口排查，建成流域排污口信息管理系统。完成入河排污口区域分区体系建设，明确禁止设置、限制设置区域范围，有效规范和管控入河排污口。</w:t>
            </w:r>
          </w:p>
        </w:tc>
        <w:tc>
          <w:tcPr>
            <w:tcW w:w="2712" w:type="dxa"/>
            <w:tcBorders>
              <w:tl2br w:val="nil"/>
              <w:tr2bl w:val="nil"/>
            </w:tcBorders>
            <w:vAlign w:val="center"/>
          </w:tcPr>
          <w:p w14:paraId="5565EE97">
            <w:pPr>
              <w:spacing w:line="240" w:lineRule="auto"/>
              <w:jc w:val="center"/>
              <w:rPr>
                <w:sz w:val="21"/>
                <w:szCs w:val="21"/>
              </w:rPr>
            </w:pPr>
            <w:r>
              <w:rPr>
                <w:sz w:val="21"/>
                <w:szCs w:val="21"/>
              </w:rPr>
              <w:t>本项目属于印刷行业，是改建项目，不涉及化工行业，不设置入河排污口</w:t>
            </w:r>
          </w:p>
        </w:tc>
        <w:tc>
          <w:tcPr>
            <w:tcW w:w="987" w:type="dxa"/>
            <w:tcBorders>
              <w:tl2br w:val="nil"/>
              <w:tr2bl w:val="nil"/>
            </w:tcBorders>
            <w:vAlign w:val="center"/>
          </w:tcPr>
          <w:p w14:paraId="22C8C5CB">
            <w:pPr>
              <w:spacing w:line="240" w:lineRule="auto"/>
              <w:jc w:val="center"/>
              <w:rPr>
                <w:sz w:val="21"/>
                <w:szCs w:val="21"/>
              </w:rPr>
            </w:pPr>
            <w:r>
              <w:rPr>
                <w:rFonts w:hint="eastAsia"/>
                <w:sz w:val="21"/>
                <w:szCs w:val="21"/>
              </w:rPr>
              <w:t>符合</w:t>
            </w:r>
          </w:p>
        </w:tc>
      </w:tr>
      <w:tr w14:paraId="521D8C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tcBorders>
              <w:tl2br w:val="nil"/>
              <w:tr2bl w:val="nil"/>
            </w:tcBorders>
            <w:vAlign w:val="center"/>
          </w:tcPr>
          <w:p w14:paraId="2E4C5543">
            <w:pPr>
              <w:spacing w:line="240" w:lineRule="auto"/>
              <w:jc w:val="center"/>
              <w:rPr>
                <w:sz w:val="21"/>
                <w:szCs w:val="21"/>
              </w:rPr>
            </w:pPr>
          </w:p>
        </w:tc>
        <w:tc>
          <w:tcPr>
            <w:tcW w:w="3788" w:type="dxa"/>
            <w:tcBorders>
              <w:tl2br w:val="nil"/>
              <w:tr2bl w:val="nil"/>
            </w:tcBorders>
            <w:vAlign w:val="center"/>
          </w:tcPr>
          <w:p w14:paraId="3ECCAE36">
            <w:pPr>
              <w:spacing w:line="240" w:lineRule="auto"/>
              <w:rPr>
                <w:sz w:val="21"/>
                <w:szCs w:val="21"/>
              </w:rPr>
            </w:pPr>
            <w:r>
              <w:rPr>
                <w:sz w:val="21"/>
                <w:szCs w:val="21"/>
              </w:rPr>
              <w:t>强化重点行业NOx深度治理。推进烧结砖瓦行业治理设施升级改造，淘汰“双碱法”脱硫除尘一体化技术，到2025年，烧结砖瓦企业完成高效脱硫除尘改造。推进水泥熟料生产企业采用分级燃烧等技术，配备高效除尘和脱硝设施，实施氮氧化物深度治理，到2023年，NOx排放浓度控制在100毫克/立方米以下。有序推进钢铁行业超低排放改造，到2023年底，全省钢铁企业超低排放改造取得明显进展，到2025年底，钢铁企业全面完成超低排放改造。推进玻璃、陶瓷、铸造、有色等行业污染深度治理。加强自备燃煤机组污染治理设施运行管控，确保按照超低排放运行。焦化、水泥、砖瓦、石灰、耐火材料、有色金属冶炼等行业，严格控制无组织排放。重点涉气排放企业逐步取消烟气旁路，因安全原因无法取消的，安装在线监管系统。开展燃气锅炉低氮改造。</w:t>
            </w:r>
          </w:p>
        </w:tc>
        <w:tc>
          <w:tcPr>
            <w:tcW w:w="2712" w:type="dxa"/>
            <w:tcBorders>
              <w:tl2br w:val="nil"/>
              <w:tr2bl w:val="nil"/>
            </w:tcBorders>
            <w:vAlign w:val="center"/>
          </w:tcPr>
          <w:p w14:paraId="2FA962ED">
            <w:pPr>
              <w:spacing w:line="240" w:lineRule="auto"/>
              <w:rPr>
                <w:sz w:val="21"/>
                <w:szCs w:val="21"/>
              </w:rPr>
            </w:pPr>
            <w:r>
              <w:rPr>
                <w:sz w:val="21"/>
                <w:szCs w:val="21"/>
              </w:rPr>
              <w:t>本项目使用清洁能源天然气作为燃料，</w:t>
            </w:r>
            <w:r>
              <w:rPr>
                <w:rFonts w:hint="eastAsia"/>
                <w:sz w:val="21"/>
                <w:szCs w:val="21"/>
              </w:rPr>
              <w:t>导热油锅炉</w:t>
            </w:r>
            <w:r>
              <w:rPr>
                <w:sz w:val="21"/>
                <w:szCs w:val="21"/>
              </w:rPr>
              <w:t>采用低氮燃烧。NOx排放浓度可以满足《锅炉大气污染物排放标准》（GB13271-2014）表3中的排放限值。</w:t>
            </w:r>
          </w:p>
        </w:tc>
        <w:tc>
          <w:tcPr>
            <w:tcW w:w="987" w:type="dxa"/>
            <w:tcBorders>
              <w:tl2br w:val="nil"/>
              <w:tr2bl w:val="nil"/>
            </w:tcBorders>
            <w:vAlign w:val="center"/>
          </w:tcPr>
          <w:p w14:paraId="416F1FEA">
            <w:pPr>
              <w:spacing w:line="240" w:lineRule="auto"/>
              <w:jc w:val="center"/>
              <w:rPr>
                <w:sz w:val="21"/>
                <w:szCs w:val="21"/>
              </w:rPr>
            </w:pPr>
            <w:r>
              <w:rPr>
                <w:rFonts w:hint="eastAsia"/>
                <w:sz w:val="21"/>
                <w:szCs w:val="21"/>
              </w:rPr>
              <w:t>符合</w:t>
            </w:r>
          </w:p>
        </w:tc>
      </w:tr>
      <w:tr w14:paraId="1701A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tcBorders>
              <w:tl2br w:val="nil"/>
              <w:tr2bl w:val="nil"/>
            </w:tcBorders>
            <w:vAlign w:val="center"/>
          </w:tcPr>
          <w:p w14:paraId="679B6FE7">
            <w:pPr>
              <w:spacing w:line="240" w:lineRule="auto"/>
              <w:jc w:val="center"/>
              <w:rPr>
                <w:sz w:val="21"/>
                <w:szCs w:val="21"/>
              </w:rPr>
            </w:pPr>
          </w:p>
        </w:tc>
        <w:tc>
          <w:tcPr>
            <w:tcW w:w="3788" w:type="dxa"/>
            <w:tcBorders>
              <w:tl2br w:val="nil"/>
              <w:tr2bl w:val="nil"/>
            </w:tcBorders>
            <w:vAlign w:val="center"/>
          </w:tcPr>
          <w:p w14:paraId="39EA0B69">
            <w:pPr>
              <w:spacing w:line="240" w:lineRule="auto"/>
              <w:rPr>
                <w:sz w:val="21"/>
                <w:szCs w:val="21"/>
              </w:rPr>
            </w:pPr>
            <w:r>
              <w:rPr>
                <w:sz w:val="21"/>
                <w:szCs w:val="21"/>
              </w:rPr>
              <w:t>推进一般工业固体废物综合利用。鼓励县级以上地方人民政府统筹或联合规划建设一般工业固体废物集中处置设施，支持资源化利用新技术、新设备、新产品的研发与应用；在环境风险可控下，充分利用工业窑炉、水泥窑等设施消纳采选尾矿、粉煤灰、炉渣、冶炼废渣、脱硫石膏等大宗工业固体废物；构建以水泥、建材、冶金等行业为核心的工业固体废物综合利用系统；推动工业固体废物资源综合利用示范基地（园区）、示范企业、示范项目建设，到2025年，全省一般工业固体废物资源综合利用率达到80%。</w:t>
            </w:r>
          </w:p>
        </w:tc>
        <w:tc>
          <w:tcPr>
            <w:tcW w:w="2712" w:type="dxa"/>
            <w:tcBorders>
              <w:tl2br w:val="nil"/>
              <w:tr2bl w:val="nil"/>
            </w:tcBorders>
            <w:vAlign w:val="center"/>
          </w:tcPr>
          <w:p w14:paraId="1446CC00">
            <w:pPr>
              <w:spacing w:line="240" w:lineRule="auto"/>
              <w:rPr>
                <w:sz w:val="21"/>
                <w:szCs w:val="21"/>
              </w:rPr>
            </w:pPr>
            <w:r>
              <w:rPr>
                <w:sz w:val="21"/>
                <w:szCs w:val="21"/>
              </w:rPr>
              <w:t>本项目的一般工业固体废物暂存于固废暂存间，经收集后外售综合利用。</w:t>
            </w:r>
          </w:p>
        </w:tc>
        <w:tc>
          <w:tcPr>
            <w:tcW w:w="987" w:type="dxa"/>
            <w:tcBorders>
              <w:tl2br w:val="nil"/>
              <w:tr2bl w:val="nil"/>
            </w:tcBorders>
            <w:vAlign w:val="center"/>
          </w:tcPr>
          <w:p w14:paraId="7D52881E">
            <w:pPr>
              <w:spacing w:line="240" w:lineRule="auto"/>
              <w:jc w:val="center"/>
              <w:rPr>
                <w:sz w:val="21"/>
                <w:szCs w:val="21"/>
              </w:rPr>
            </w:pPr>
            <w:r>
              <w:rPr>
                <w:rFonts w:hint="eastAsia"/>
                <w:sz w:val="21"/>
                <w:szCs w:val="21"/>
              </w:rPr>
              <w:t>符合</w:t>
            </w:r>
          </w:p>
        </w:tc>
      </w:tr>
    </w:tbl>
    <w:p w14:paraId="6BDD1A6D">
      <w:pPr>
        <w:pStyle w:val="4"/>
        <w:numPr>
          <w:ilvl w:val="2"/>
          <w:numId w:val="0"/>
        </w:numPr>
        <w:spacing w:before="120" w:beforeLines="50"/>
        <w:ind w:left="992" w:leftChars="0" w:hanging="992" w:firstLineChars="0"/>
      </w:pPr>
      <w:r>
        <w:rPr>
          <w:rFonts w:hint="default" w:ascii="宋体" w:hAnsi="宋体" w:eastAsia="宋体" w:cs="宋体"/>
          <w:b/>
          <w:bCs/>
          <w:kern w:val="2"/>
          <w:sz w:val="24"/>
          <w:szCs w:val="24"/>
          <w:lang w:val="en-US" w:eastAsia="zh-CN" w:bidi="ar-SA"/>
        </w:rPr>
        <w:t>1.5.9</w:t>
      </w:r>
      <w:r>
        <w:rPr>
          <w:rFonts w:hint="eastAsia"/>
        </w:rPr>
        <w:t>《湖南省长江经济带发展负面清单实施细则（试行，2022 年版）》符合性分析</w:t>
      </w:r>
    </w:p>
    <w:p w14:paraId="542B3DFD">
      <w:pPr>
        <w:pStyle w:val="51"/>
        <w:numPr>
          <w:ilvl w:val="5"/>
          <w:numId w:val="0"/>
        </w:numPr>
        <w:spacing w:before="120"/>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表1.5-6 </w:t>
      </w:r>
      <w:r>
        <w:rPr>
          <w:rFonts w:hint="eastAsia"/>
        </w:rPr>
        <w:t>与《湖南省长江经济带发展负面清单实施细则（试行，2022 年版）》符合性一览表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6"/>
        <w:gridCol w:w="4791"/>
        <w:gridCol w:w="2712"/>
        <w:gridCol w:w="987"/>
      </w:tblGrid>
      <w:tr w14:paraId="3D052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305BDF7F">
            <w:pPr>
              <w:spacing w:line="240" w:lineRule="auto"/>
              <w:jc w:val="center"/>
              <w:rPr>
                <w:sz w:val="21"/>
                <w:szCs w:val="21"/>
              </w:rPr>
            </w:pPr>
            <w:r>
              <w:rPr>
                <w:rFonts w:hint="eastAsia"/>
                <w:sz w:val="21"/>
                <w:szCs w:val="21"/>
              </w:rPr>
              <w:t>序号</w:t>
            </w:r>
          </w:p>
        </w:tc>
        <w:tc>
          <w:tcPr>
            <w:tcW w:w="4791" w:type="dxa"/>
            <w:tcBorders>
              <w:tl2br w:val="nil"/>
              <w:tr2bl w:val="nil"/>
            </w:tcBorders>
            <w:vAlign w:val="center"/>
          </w:tcPr>
          <w:p w14:paraId="752BE210">
            <w:pPr>
              <w:spacing w:line="240" w:lineRule="auto"/>
              <w:jc w:val="center"/>
              <w:rPr>
                <w:sz w:val="21"/>
                <w:szCs w:val="21"/>
              </w:rPr>
            </w:pPr>
            <w:r>
              <w:rPr>
                <w:sz w:val="21"/>
                <w:szCs w:val="21"/>
              </w:rPr>
              <w:t>《湖南省长江经济带发展负面清单实施细则（试行，2022 年版）》</w:t>
            </w:r>
          </w:p>
        </w:tc>
        <w:tc>
          <w:tcPr>
            <w:tcW w:w="2712" w:type="dxa"/>
            <w:tcBorders>
              <w:tl2br w:val="nil"/>
              <w:tr2bl w:val="nil"/>
            </w:tcBorders>
            <w:vAlign w:val="center"/>
          </w:tcPr>
          <w:p w14:paraId="1E1BCFD2">
            <w:pPr>
              <w:spacing w:line="240" w:lineRule="auto"/>
              <w:jc w:val="center"/>
              <w:rPr>
                <w:sz w:val="21"/>
                <w:szCs w:val="21"/>
              </w:rPr>
            </w:pPr>
            <w:r>
              <w:rPr>
                <w:sz w:val="21"/>
                <w:szCs w:val="21"/>
              </w:rPr>
              <w:t>本项目</w:t>
            </w:r>
          </w:p>
        </w:tc>
        <w:tc>
          <w:tcPr>
            <w:tcW w:w="987" w:type="dxa"/>
            <w:tcBorders>
              <w:tl2br w:val="nil"/>
              <w:tr2bl w:val="nil"/>
            </w:tcBorders>
            <w:vAlign w:val="center"/>
          </w:tcPr>
          <w:p w14:paraId="779AEDC4">
            <w:pPr>
              <w:spacing w:line="240" w:lineRule="auto"/>
              <w:jc w:val="center"/>
              <w:rPr>
                <w:sz w:val="21"/>
                <w:szCs w:val="21"/>
              </w:rPr>
            </w:pPr>
            <w:r>
              <w:rPr>
                <w:sz w:val="21"/>
                <w:szCs w:val="21"/>
              </w:rPr>
              <w:t>相符性</w:t>
            </w:r>
          </w:p>
        </w:tc>
      </w:tr>
      <w:tr w14:paraId="34D5D8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269B9D72">
            <w:pPr>
              <w:spacing w:line="240" w:lineRule="auto"/>
              <w:jc w:val="center"/>
              <w:rPr>
                <w:sz w:val="21"/>
                <w:szCs w:val="21"/>
              </w:rPr>
            </w:pPr>
            <w:r>
              <w:rPr>
                <w:rFonts w:hint="eastAsia"/>
                <w:sz w:val="21"/>
                <w:szCs w:val="21"/>
              </w:rPr>
              <w:t>1</w:t>
            </w:r>
          </w:p>
        </w:tc>
        <w:tc>
          <w:tcPr>
            <w:tcW w:w="4791" w:type="dxa"/>
            <w:tcBorders>
              <w:tl2br w:val="nil"/>
              <w:tr2bl w:val="nil"/>
            </w:tcBorders>
            <w:vAlign w:val="center"/>
          </w:tcPr>
          <w:p w14:paraId="61A3CBAF">
            <w:pPr>
              <w:spacing w:line="240" w:lineRule="auto"/>
              <w:rPr>
                <w:sz w:val="21"/>
                <w:szCs w:val="21"/>
              </w:rPr>
            </w:pPr>
            <w:r>
              <w:rPr>
                <w:sz w:val="21"/>
                <w:szCs w:val="21"/>
              </w:rPr>
              <w:t>禁止建设不符合全国和省级港口布局规划以及港口总体规划的码头项目。</w:t>
            </w:r>
          </w:p>
        </w:tc>
        <w:tc>
          <w:tcPr>
            <w:tcW w:w="2712" w:type="dxa"/>
            <w:tcBorders>
              <w:tl2br w:val="nil"/>
              <w:tr2bl w:val="nil"/>
            </w:tcBorders>
            <w:vAlign w:val="center"/>
          </w:tcPr>
          <w:p w14:paraId="41DE59BC">
            <w:pPr>
              <w:spacing w:line="240" w:lineRule="auto"/>
              <w:rPr>
                <w:sz w:val="21"/>
                <w:szCs w:val="21"/>
              </w:rPr>
            </w:pPr>
            <w:r>
              <w:rPr>
                <w:sz w:val="21"/>
                <w:szCs w:val="21"/>
              </w:rPr>
              <w:t>项目不属于码头建设项目</w:t>
            </w:r>
          </w:p>
        </w:tc>
        <w:tc>
          <w:tcPr>
            <w:tcW w:w="987" w:type="dxa"/>
            <w:tcBorders>
              <w:tl2br w:val="nil"/>
              <w:tr2bl w:val="nil"/>
            </w:tcBorders>
            <w:vAlign w:val="center"/>
          </w:tcPr>
          <w:p w14:paraId="5A35E538">
            <w:pPr>
              <w:spacing w:line="240" w:lineRule="auto"/>
              <w:jc w:val="center"/>
              <w:rPr>
                <w:sz w:val="21"/>
                <w:szCs w:val="21"/>
              </w:rPr>
            </w:pPr>
            <w:r>
              <w:rPr>
                <w:sz w:val="21"/>
                <w:szCs w:val="21"/>
              </w:rPr>
              <w:t>符合</w:t>
            </w:r>
          </w:p>
        </w:tc>
      </w:tr>
      <w:tr w14:paraId="43F1E9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30855E7F">
            <w:pPr>
              <w:spacing w:line="240" w:lineRule="auto"/>
              <w:jc w:val="center"/>
              <w:rPr>
                <w:sz w:val="21"/>
                <w:szCs w:val="21"/>
              </w:rPr>
            </w:pPr>
            <w:r>
              <w:rPr>
                <w:rFonts w:hint="eastAsia"/>
                <w:sz w:val="21"/>
                <w:szCs w:val="21"/>
              </w:rPr>
              <w:t>2</w:t>
            </w:r>
          </w:p>
        </w:tc>
        <w:tc>
          <w:tcPr>
            <w:tcW w:w="4791" w:type="dxa"/>
            <w:tcBorders>
              <w:tl2br w:val="nil"/>
              <w:tr2bl w:val="nil"/>
            </w:tcBorders>
            <w:vAlign w:val="center"/>
          </w:tcPr>
          <w:p w14:paraId="5CAB5356">
            <w:pPr>
              <w:spacing w:line="240" w:lineRule="auto"/>
              <w:rPr>
                <w:sz w:val="21"/>
                <w:szCs w:val="21"/>
              </w:rPr>
            </w:pPr>
            <w:r>
              <w:rPr>
                <w:sz w:val="21"/>
                <w:szCs w:val="21"/>
              </w:rPr>
              <w:t>禁止在自然保护区核心区、缓冲区的岸线和河段范围内投资建设旅游和生产经营项目</w:t>
            </w:r>
          </w:p>
        </w:tc>
        <w:tc>
          <w:tcPr>
            <w:tcW w:w="2712" w:type="dxa"/>
            <w:tcBorders>
              <w:tl2br w:val="nil"/>
              <w:tr2bl w:val="nil"/>
            </w:tcBorders>
            <w:vAlign w:val="center"/>
          </w:tcPr>
          <w:p w14:paraId="2842D4ED">
            <w:pPr>
              <w:spacing w:line="240" w:lineRule="auto"/>
              <w:rPr>
                <w:sz w:val="21"/>
                <w:szCs w:val="21"/>
              </w:rPr>
            </w:pPr>
            <w:r>
              <w:rPr>
                <w:sz w:val="21"/>
                <w:szCs w:val="21"/>
              </w:rPr>
              <w:t>本项目位于湘潭天易经济开发区，不涉及自然保护区核心区、缓冲区和风景名</w:t>
            </w:r>
          </w:p>
          <w:p w14:paraId="18C02202">
            <w:pPr>
              <w:spacing w:line="240" w:lineRule="auto"/>
              <w:rPr>
                <w:sz w:val="21"/>
                <w:szCs w:val="21"/>
              </w:rPr>
            </w:pPr>
            <w:r>
              <w:rPr>
                <w:sz w:val="21"/>
                <w:szCs w:val="21"/>
              </w:rPr>
              <w:t>胜区核心区</w:t>
            </w:r>
          </w:p>
        </w:tc>
        <w:tc>
          <w:tcPr>
            <w:tcW w:w="987" w:type="dxa"/>
            <w:tcBorders>
              <w:tl2br w:val="nil"/>
              <w:tr2bl w:val="nil"/>
            </w:tcBorders>
            <w:vAlign w:val="center"/>
          </w:tcPr>
          <w:p w14:paraId="48CCCD05">
            <w:pPr>
              <w:spacing w:line="240" w:lineRule="auto"/>
              <w:jc w:val="center"/>
              <w:rPr>
                <w:sz w:val="21"/>
                <w:szCs w:val="21"/>
              </w:rPr>
            </w:pPr>
            <w:r>
              <w:rPr>
                <w:sz w:val="21"/>
                <w:szCs w:val="21"/>
              </w:rPr>
              <w:t>符合</w:t>
            </w:r>
          </w:p>
        </w:tc>
      </w:tr>
      <w:tr w14:paraId="479E1E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0B426062">
            <w:pPr>
              <w:spacing w:line="240" w:lineRule="auto"/>
              <w:jc w:val="center"/>
              <w:rPr>
                <w:sz w:val="21"/>
                <w:szCs w:val="21"/>
              </w:rPr>
            </w:pPr>
            <w:r>
              <w:rPr>
                <w:rFonts w:hint="eastAsia"/>
                <w:sz w:val="21"/>
                <w:szCs w:val="21"/>
              </w:rPr>
              <w:t>3</w:t>
            </w:r>
          </w:p>
        </w:tc>
        <w:tc>
          <w:tcPr>
            <w:tcW w:w="4791" w:type="dxa"/>
            <w:tcBorders>
              <w:tl2br w:val="nil"/>
              <w:tr2bl w:val="nil"/>
            </w:tcBorders>
            <w:vAlign w:val="center"/>
          </w:tcPr>
          <w:p w14:paraId="420DD147">
            <w:pPr>
              <w:spacing w:line="240" w:lineRule="auto"/>
              <w:rPr>
                <w:sz w:val="21"/>
                <w:szCs w:val="21"/>
              </w:rPr>
            </w:pPr>
            <w:r>
              <w:rPr>
                <w:sz w:val="21"/>
                <w:szCs w:val="21"/>
              </w:rPr>
              <w:t>饮用水水源一级保护区内禁止新建、改建、扩建与供水设施和保护水源无关的建设项目，以及网箱养殖、畜禽养殖、旅游等可能污染饮用水水体的投资建设项目</w:t>
            </w:r>
            <w:r>
              <w:rPr>
                <w:rFonts w:hint="eastAsia"/>
                <w:sz w:val="21"/>
                <w:szCs w:val="21"/>
              </w:rPr>
              <w:t>；</w:t>
            </w:r>
            <w:r>
              <w:rPr>
                <w:sz w:val="21"/>
                <w:szCs w:val="21"/>
              </w:rPr>
              <w:t>禁止向水域排放污水，已设置的排污口必须拆除</w:t>
            </w:r>
            <w:r>
              <w:rPr>
                <w:rFonts w:hint="eastAsia"/>
                <w:sz w:val="21"/>
                <w:szCs w:val="21"/>
              </w:rPr>
              <w:t>：</w:t>
            </w:r>
            <w:r>
              <w:rPr>
                <w:sz w:val="21"/>
                <w:szCs w:val="21"/>
              </w:rPr>
              <w:t>不得设置与供水需要无关的码头，禁止停靠船舶</w:t>
            </w:r>
            <w:r>
              <w:rPr>
                <w:rFonts w:hint="eastAsia"/>
                <w:sz w:val="21"/>
                <w:szCs w:val="21"/>
              </w:rPr>
              <w:t>：</w:t>
            </w:r>
            <w:r>
              <w:rPr>
                <w:sz w:val="21"/>
                <w:szCs w:val="21"/>
              </w:rPr>
              <w:t>禁止堆置和存放工业废渣、城市垃圾、粪便和其它废弃物</w:t>
            </w:r>
            <w:r>
              <w:rPr>
                <w:rFonts w:hint="eastAsia"/>
                <w:sz w:val="21"/>
                <w:szCs w:val="21"/>
              </w:rPr>
              <w:t>；</w:t>
            </w:r>
            <w:r>
              <w:rPr>
                <w:sz w:val="21"/>
                <w:szCs w:val="21"/>
              </w:rPr>
              <w:t>禁止设置油库</w:t>
            </w:r>
            <w:r>
              <w:rPr>
                <w:rFonts w:hint="eastAsia"/>
                <w:sz w:val="21"/>
                <w:szCs w:val="21"/>
              </w:rPr>
              <w:t>；</w:t>
            </w:r>
            <w:r>
              <w:rPr>
                <w:sz w:val="21"/>
                <w:szCs w:val="21"/>
              </w:rPr>
              <w:t>禁止使用含磷洗涤用品。</w:t>
            </w:r>
          </w:p>
        </w:tc>
        <w:tc>
          <w:tcPr>
            <w:tcW w:w="2712" w:type="dxa"/>
            <w:tcBorders>
              <w:tl2br w:val="nil"/>
              <w:tr2bl w:val="nil"/>
            </w:tcBorders>
            <w:vAlign w:val="center"/>
          </w:tcPr>
          <w:p w14:paraId="436195FE">
            <w:pPr>
              <w:spacing w:line="240" w:lineRule="auto"/>
              <w:rPr>
                <w:sz w:val="21"/>
                <w:szCs w:val="21"/>
              </w:rPr>
            </w:pPr>
            <w:r>
              <w:rPr>
                <w:sz w:val="21"/>
                <w:szCs w:val="21"/>
              </w:rPr>
              <w:t>本项目位于湘潭天易经济开发区，不涉及饮用水源保护区</w:t>
            </w:r>
          </w:p>
        </w:tc>
        <w:tc>
          <w:tcPr>
            <w:tcW w:w="987" w:type="dxa"/>
            <w:tcBorders>
              <w:tl2br w:val="nil"/>
              <w:tr2bl w:val="nil"/>
            </w:tcBorders>
            <w:vAlign w:val="center"/>
          </w:tcPr>
          <w:p w14:paraId="1956887F">
            <w:pPr>
              <w:spacing w:line="240" w:lineRule="auto"/>
              <w:jc w:val="center"/>
              <w:rPr>
                <w:sz w:val="21"/>
                <w:szCs w:val="21"/>
              </w:rPr>
            </w:pPr>
            <w:r>
              <w:rPr>
                <w:sz w:val="21"/>
                <w:szCs w:val="21"/>
              </w:rPr>
              <w:t>符合</w:t>
            </w:r>
          </w:p>
        </w:tc>
      </w:tr>
      <w:tr w14:paraId="68110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1190D6A7">
            <w:pPr>
              <w:spacing w:line="240" w:lineRule="auto"/>
              <w:jc w:val="center"/>
              <w:rPr>
                <w:sz w:val="21"/>
                <w:szCs w:val="21"/>
              </w:rPr>
            </w:pPr>
            <w:r>
              <w:rPr>
                <w:rFonts w:hint="eastAsia"/>
                <w:sz w:val="21"/>
                <w:szCs w:val="21"/>
              </w:rPr>
              <w:t>4</w:t>
            </w:r>
          </w:p>
        </w:tc>
        <w:tc>
          <w:tcPr>
            <w:tcW w:w="4791" w:type="dxa"/>
            <w:tcBorders>
              <w:tl2br w:val="nil"/>
              <w:tr2bl w:val="nil"/>
            </w:tcBorders>
            <w:vAlign w:val="center"/>
          </w:tcPr>
          <w:p w14:paraId="6EC99FD3">
            <w:pPr>
              <w:spacing w:line="240" w:lineRule="auto"/>
              <w:rPr>
                <w:sz w:val="21"/>
                <w:szCs w:val="21"/>
              </w:rPr>
            </w:pPr>
            <w:r>
              <w:rPr>
                <w:sz w:val="21"/>
                <w:szCs w:val="21"/>
              </w:rPr>
              <w:t>禁止在水产种质资源保护区的岸线和河段范围内新建排污口，以及围湖造田、围海造地或围填海等投资建设项目。禁止在国家湿地公园的岸线和河段</w:t>
            </w:r>
          </w:p>
          <w:p w14:paraId="4B73F541">
            <w:pPr>
              <w:spacing w:line="240" w:lineRule="auto"/>
              <w:rPr>
                <w:sz w:val="21"/>
                <w:szCs w:val="21"/>
              </w:rPr>
            </w:pPr>
            <w:r>
              <w:rPr>
                <w:sz w:val="21"/>
                <w:szCs w:val="21"/>
              </w:rPr>
              <w:t>范围内挖沙、采矿，以及任何不符合主体功能定位的投资建设项目。</w:t>
            </w:r>
          </w:p>
        </w:tc>
        <w:tc>
          <w:tcPr>
            <w:tcW w:w="2712" w:type="dxa"/>
            <w:tcBorders>
              <w:tl2br w:val="nil"/>
              <w:tr2bl w:val="nil"/>
            </w:tcBorders>
            <w:vAlign w:val="center"/>
          </w:tcPr>
          <w:p w14:paraId="03ABF156">
            <w:pPr>
              <w:spacing w:line="240" w:lineRule="auto"/>
              <w:rPr>
                <w:sz w:val="21"/>
                <w:szCs w:val="21"/>
              </w:rPr>
            </w:pPr>
            <w:r>
              <w:rPr>
                <w:sz w:val="21"/>
                <w:szCs w:val="21"/>
              </w:rPr>
              <w:t>本项目位于湘潭天易经济开发区内，不涉及水产种质资源保护区；不涉及围湖造田；不占用国家湿地公园，不涉及岸线和河段范围内挖沙、采矿及任何不符合主体功能定位的投资建设项目</w:t>
            </w:r>
          </w:p>
        </w:tc>
        <w:tc>
          <w:tcPr>
            <w:tcW w:w="987" w:type="dxa"/>
            <w:tcBorders>
              <w:tl2br w:val="nil"/>
              <w:tr2bl w:val="nil"/>
            </w:tcBorders>
            <w:vAlign w:val="center"/>
          </w:tcPr>
          <w:p w14:paraId="3E2554A0">
            <w:pPr>
              <w:spacing w:line="240" w:lineRule="auto"/>
              <w:jc w:val="center"/>
              <w:rPr>
                <w:sz w:val="21"/>
                <w:szCs w:val="21"/>
              </w:rPr>
            </w:pPr>
            <w:r>
              <w:rPr>
                <w:sz w:val="21"/>
                <w:szCs w:val="21"/>
              </w:rPr>
              <w:t>符合</w:t>
            </w:r>
          </w:p>
        </w:tc>
      </w:tr>
      <w:tr w14:paraId="2573C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60DF5703">
            <w:pPr>
              <w:spacing w:line="240" w:lineRule="auto"/>
              <w:jc w:val="center"/>
              <w:rPr>
                <w:sz w:val="21"/>
                <w:szCs w:val="21"/>
              </w:rPr>
            </w:pPr>
            <w:r>
              <w:rPr>
                <w:rFonts w:hint="eastAsia"/>
                <w:sz w:val="21"/>
                <w:szCs w:val="21"/>
              </w:rPr>
              <w:t>5</w:t>
            </w:r>
          </w:p>
        </w:tc>
        <w:tc>
          <w:tcPr>
            <w:tcW w:w="4791" w:type="dxa"/>
            <w:tcBorders>
              <w:tl2br w:val="nil"/>
              <w:tr2bl w:val="nil"/>
            </w:tcBorders>
            <w:vAlign w:val="center"/>
          </w:tcPr>
          <w:p w14:paraId="488E6848">
            <w:pPr>
              <w:spacing w:line="240" w:lineRule="auto"/>
              <w:rPr>
                <w:sz w:val="21"/>
                <w:szCs w:val="21"/>
              </w:rPr>
            </w:pPr>
            <w:r>
              <w:rPr>
                <w:sz w:val="21"/>
                <w:szCs w:val="21"/>
              </w:rPr>
              <w:t>禁止在《长江岸线保护和开发利用总体规划》划定的岸线保护区内投资建设除保障防洪安全、河势稳定、洪水安全以及保护生态环境、已建重要枢纽工程以外的项目，禁止在岸线保留区内投资建设除保障防洪安全、河势稳定、洪水安全、航道稳定以及保护生态环境以外的项目。禁止《全国重要江河湖泊水功能区划》划定的河段保护区、保留区内投资建设不利于水资源及自然生态保护的项目。</w:t>
            </w:r>
          </w:p>
        </w:tc>
        <w:tc>
          <w:tcPr>
            <w:tcW w:w="2712" w:type="dxa"/>
            <w:tcBorders>
              <w:tl2br w:val="nil"/>
              <w:tr2bl w:val="nil"/>
            </w:tcBorders>
            <w:vAlign w:val="center"/>
          </w:tcPr>
          <w:p w14:paraId="47839D9C">
            <w:pPr>
              <w:spacing w:line="240" w:lineRule="auto"/>
              <w:rPr>
                <w:sz w:val="21"/>
                <w:szCs w:val="21"/>
              </w:rPr>
            </w:pPr>
            <w:r>
              <w:rPr>
                <w:sz w:val="21"/>
                <w:szCs w:val="21"/>
              </w:rPr>
              <w:t>本项目不在《长江岸线保护和开发利用总体规划》划定的岸线保护区和保留区内</w:t>
            </w:r>
          </w:p>
        </w:tc>
        <w:tc>
          <w:tcPr>
            <w:tcW w:w="987" w:type="dxa"/>
            <w:tcBorders>
              <w:tl2br w:val="nil"/>
              <w:tr2bl w:val="nil"/>
            </w:tcBorders>
            <w:vAlign w:val="center"/>
          </w:tcPr>
          <w:p w14:paraId="0B687966">
            <w:pPr>
              <w:spacing w:line="240" w:lineRule="auto"/>
              <w:jc w:val="center"/>
              <w:rPr>
                <w:sz w:val="21"/>
                <w:szCs w:val="21"/>
              </w:rPr>
            </w:pPr>
            <w:r>
              <w:rPr>
                <w:sz w:val="21"/>
                <w:szCs w:val="21"/>
              </w:rPr>
              <w:t>符合</w:t>
            </w:r>
          </w:p>
        </w:tc>
      </w:tr>
      <w:tr w14:paraId="089A4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411512F9">
            <w:pPr>
              <w:spacing w:line="240" w:lineRule="auto"/>
              <w:jc w:val="center"/>
              <w:rPr>
                <w:sz w:val="21"/>
                <w:szCs w:val="21"/>
              </w:rPr>
            </w:pPr>
            <w:r>
              <w:rPr>
                <w:rFonts w:hint="eastAsia"/>
                <w:sz w:val="21"/>
                <w:szCs w:val="21"/>
              </w:rPr>
              <w:t>6</w:t>
            </w:r>
          </w:p>
        </w:tc>
        <w:tc>
          <w:tcPr>
            <w:tcW w:w="4791" w:type="dxa"/>
            <w:tcBorders>
              <w:tl2br w:val="nil"/>
              <w:tr2bl w:val="nil"/>
            </w:tcBorders>
            <w:vAlign w:val="center"/>
          </w:tcPr>
          <w:p w14:paraId="501B4D81">
            <w:pPr>
              <w:spacing w:line="240" w:lineRule="auto"/>
              <w:rPr>
                <w:sz w:val="21"/>
                <w:szCs w:val="21"/>
              </w:rPr>
            </w:pPr>
            <w:r>
              <w:rPr>
                <w:sz w:val="21"/>
                <w:szCs w:val="21"/>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2712" w:type="dxa"/>
            <w:tcBorders>
              <w:tl2br w:val="nil"/>
              <w:tr2bl w:val="nil"/>
            </w:tcBorders>
            <w:vAlign w:val="center"/>
          </w:tcPr>
          <w:p w14:paraId="7B479718">
            <w:pPr>
              <w:spacing w:line="240" w:lineRule="auto"/>
              <w:rPr>
                <w:sz w:val="21"/>
                <w:szCs w:val="21"/>
              </w:rPr>
            </w:pPr>
            <w:r>
              <w:rPr>
                <w:sz w:val="21"/>
                <w:szCs w:val="21"/>
              </w:rPr>
              <w:t>本项目范围内不涉及生态保护红线和基本农田</w:t>
            </w:r>
          </w:p>
        </w:tc>
        <w:tc>
          <w:tcPr>
            <w:tcW w:w="987" w:type="dxa"/>
            <w:tcBorders>
              <w:tl2br w:val="nil"/>
              <w:tr2bl w:val="nil"/>
            </w:tcBorders>
            <w:vAlign w:val="center"/>
          </w:tcPr>
          <w:p w14:paraId="0BC81A1E">
            <w:pPr>
              <w:spacing w:line="240" w:lineRule="auto"/>
              <w:jc w:val="center"/>
              <w:rPr>
                <w:sz w:val="21"/>
                <w:szCs w:val="21"/>
              </w:rPr>
            </w:pPr>
            <w:r>
              <w:rPr>
                <w:sz w:val="21"/>
                <w:szCs w:val="21"/>
              </w:rPr>
              <w:t>符合</w:t>
            </w:r>
          </w:p>
        </w:tc>
      </w:tr>
      <w:tr w14:paraId="0A053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6118ADEB">
            <w:pPr>
              <w:spacing w:line="240" w:lineRule="auto"/>
              <w:jc w:val="center"/>
              <w:rPr>
                <w:sz w:val="21"/>
                <w:szCs w:val="21"/>
              </w:rPr>
            </w:pPr>
            <w:r>
              <w:rPr>
                <w:rFonts w:hint="eastAsia"/>
                <w:sz w:val="21"/>
                <w:szCs w:val="21"/>
              </w:rPr>
              <w:t>7</w:t>
            </w:r>
          </w:p>
        </w:tc>
        <w:tc>
          <w:tcPr>
            <w:tcW w:w="4791" w:type="dxa"/>
            <w:tcBorders>
              <w:tl2br w:val="nil"/>
              <w:tr2bl w:val="nil"/>
            </w:tcBorders>
            <w:vAlign w:val="center"/>
          </w:tcPr>
          <w:p w14:paraId="711196EF">
            <w:pPr>
              <w:spacing w:line="240" w:lineRule="auto"/>
              <w:rPr>
                <w:sz w:val="21"/>
                <w:szCs w:val="21"/>
              </w:rPr>
            </w:pPr>
            <w:r>
              <w:rPr>
                <w:sz w:val="21"/>
                <w:szCs w:val="21"/>
              </w:rPr>
              <w:t>禁止在长江湖南段和洞庭湖、湘江、资江、沅江、遭水干流岸线一公里范围内新建、扩建化工园区和化工项目。禁止在长江湖南段岸线三公里范围内和湘江、资江、沅江、遭水岸线一公里范围内新建、改建、扩建尾矿库、冶炼渣库和磷石膏库，以提升安全、生态环境保护水平为目的的改建除外。</w:t>
            </w:r>
          </w:p>
        </w:tc>
        <w:tc>
          <w:tcPr>
            <w:tcW w:w="2712" w:type="dxa"/>
            <w:tcBorders>
              <w:tl2br w:val="nil"/>
              <w:tr2bl w:val="nil"/>
            </w:tcBorders>
            <w:vAlign w:val="center"/>
          </w:tcPr>
          <w:p w14:paraId="723236F4">
            <w:pPr>
              <w:spacing w:line="240" w:lineRule="auto"/>
              <w:rPr>
                <w:sz w:val="21"/>
                <w:szCs w:val="21"/>
              </w:rPr>
            </w:pPr>
            <w:r>
              <w:rPr>
                <w:sz w:val="21"/>
                <w:szCs w:val="21"/>
              </w:rPr>
              <w:t>本项目不属于化工项目，本项目距离湘江3.</w:t>
            </w:r>
            <w:r>
              <w:rPr>
                <w:rFonts w:hint="eastAsia"/>
                <w:sz w:val="21"/>
                <w:szCs w:val="21"/>
              </w:rPr>
              <w:t>5</w:t>
            </w:r>
            <w:r>
              <w:rPr>
                <w:sz w:val="21"/>
                <w:szCs w:val="21"/>
              </w:rPr>
              <w:t>km</w:t>
            </w:r>
          </w:p>
        </w:tc>
        <w:tc>
          <w:tcPr>
            <w:tcW w:w="987" w:type="dxa"/>
            <w:tcBorders>
              <w:tl2br w:val="nil"/>
              <w:tr2bl w:val="nil"/>
            </w:tcBorders>
            <w:vAlign w:val="center"/>
          </w:tcPr>
          <w:p w14:paraId="0BF67BC9">
            <w:pPr>
              <w:spacing w:line="240" w:lineRule="auto"/>
              <w:jc w:val="center"/>
              <w:rPr>
                <w:sz w:val="21"/>
                <w:szCs w:val="21"/>
              </w:rPr>
            </w:pPr>
            <w:r>
              <w:rPr>
                <w:sz w:val="21"/>
                <w:szCs w:val="21"/>
              </w:rPr>
              <w:t>符合</w:t>
            </w:r>
          </w:p>
        </w:tc>
      </w:tr>
      <w:tr w14:paraId="4DC974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00AB2D18">
            <w:pPr>
              <w:spacing w:line="240" w:lineRule="auto"/>
              <w:jc w:val="center"/>
              <w:rPr>
                <w:sz w:val="21"/>
                <w:szCs w:val="21"/>
              </w:rPr>
            </w:pPr>
            <w:r>
              <w:rPr>
                <w:rFonts w:hint="eastAsia"/>
                <w:sz w:val="21"/>
                <w:szCs w:val="21"/>
              </w:rPr>
              <w:t>8</w:t>
            </w:r>
          </w:p>
        </w:tc>
        <w:tc>
          <w:tcPr>
            <w:tcW w:w="4791" w:type="dxa"/>
            <w:tcBorders>
              <w:tl2br w:val="nil"/>
              <w:tr2bl w:val="nil"/>
            </w:tcBorders>
            <w:vAlign w:val="center"/>
          </w:tcPr>
          <w:p w14:paraId="66B35E29">
            <w:pPr>
              <w:spacing w:line="240" w:lineRule="auto"/>
              <w:rPr>
                <w:sz w:val="21"/>
                <w:szCs w:val="21"/>
              </w:rPr>
            </w:pPr>
            <w:r>
              <w:rPr>
                <w:sz w:val="21"/>
                <w:szCs w:val="21"/>
              </w:rPr>
              <w:t>禁止新建、扩建法律法规和相关政策明令禁止的落后产能项目</w:t>
            </w:r>
            <w:r>
              <w:rPr>
                <w:rFonts w:hint="eastAsia"/>
                <w:sz w:val="21"/>
                <w:szCs w:val="21"/>
              </w:rPr>
              <w:t>；</w:t>
            </w:r>
            <w:r>
              <w:rPr>
                <w:sz w:val="21"/>
                <w:szCs w:val="21"/>
              </w:rPr>
              <w:t>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2712" w:type="dxa"/>
            <w:tcBorders>
              <w:tl2br w:val="nil"/>
              <w:tr2bl w:val="nil"/>
            </w:tcBorders>
            <w:vAlign w:val="center"/>
          </w:tcPr>
          <w:p w14:paraId="43B0C6D7">
            <w:pPr>
              <w:spacing w:line="240" w:lineRule="auto"/>
              <w:rPr>
                <w:sz w:val="21"/>
                <w:szCs w:val="21"/>
              </w:rPr>
            </w:pPr>
            <w:r>
              <w:rPr>
                <w:sz w:val="21"/>
                <w:szCs w:val="21"/>
              </w:rPr>
              <w:t>本项目不属于法律法规和相关政策明令禁止的落后产能项目、不属于国家产能置换要求的严重过剩产能行业(钢铁、水泥、电解铝、</w:t>
            </w:r>
          </w:p>
          <w:p w14:paraId="05F22789">
            <w:pPr>
              <w:spacing w:line="240" w:lineRule="auto"/>
              <w:rPr>
                <w:sz w:val="21"/>
                <w:szCs w:val="21"/>
              </w:rPr>
            </w:pPr>
            <w:r>
              <w:rPr>
                <w:sz w:val="21"/>
                <w:szCs w:val="21"/>
              </w:rPr>
              <w:t>平板玻璃、船舶等行业)的项目</w:t>
            </w:r>
          </w:p>
        </w:tc>
        <w:tc>
          <w:tcPr>
            <w:tcW w:w="987" w:type="dxa"/>
            <w:tcBorders>
              <w:tl2br w:val="nil"/>
              <w:tr2bl w:val="nil"/>
            </w:tcBorders>
            <w:vAlign w:val="center"/>
          </w:tcPr>
          <w:p w14:paraId="1297032C">
            <w:pPr>
              <w:spacing w:line="240" w:lineRule="auto"/>
              <w:jc w:val="center"/>
              <w:rPr>
                <w:sz w:val="21"/>
                <w:szCs w:val="21"/>
              </w:rPr>
            </w:pPr>
            <w:r>
              <w:rPr>
                <w:sz w:val="21"/>
                <w:szCs w:val="21"/>
              </w:rPr>
              <w:t>符合</w:t>
            </w:r>
          </w:p>
        </w:tc>
      </w:tr>
      <w:tr w14:paraId="330E72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17BA370A">
            <w:pPr>
              <w:spacing w:line="240" w:lineRule="auto"/>
              <w:jc w:val="center"/>
              <w:rPr>
                <w:sz w:val="21"/>
                <w:szCs w:val="21"/>
              </w:rPr>
            </w:pPr>
            <w:r>
              <w:rPr>
                <w:rFonts w:hint="eastAsia"/>
                <w:sz w:val="21"/>
                <w:szCs w:val="21"/>
              </w:rPr>
              <w:t>9</w:t>
            </w:r>
          </w:p>
        </w:tc>
        <w:tc>
          <w:tcPr>
            <w:tcW w:w="4791" w:type="dxa"/>
            <w:tcBorders>
              <w:tl2br w:val="nil"/>
              <w:tr2bl w:val="nil"/>
            </w:tcBorders>
            <w:vAlign w:val="center"/>
          </w:tcPr>
          <w:p w14:paraId="4752489D">
            <w:pPr>
              <w:spacing w:line="240" w:lineRule="auto"/>
              <w:rPr>
                <w:sz w:val="21"/>
                <w:szCs w:val="21"/>
              </w:rPr>
            </w:pPr>
            <w:r>
              <w:rPr>
                <w:sz w:val="21"/>
                <w:szCs w:val="21"/>
              </w:rPr>
              <w:t>禁止在合规园区外新建、扩建钢铁、石化、化工、焦化、建材、有色、制浆造纸等高污染项目。高污染项目严格按照生态环境部《环境保护综合名录(2021年版)》有关要求执行</w:t>
            </w:r>
          </w:p>
        </w:tc>
        <w:tc>
          <w:tcPr>
            <w:tcW w:w="2712" w:type="dxa"/>
            <w:tcBorders>
              <w:tl2br w:val="nil"/>
              <w:tr2bl w:val="nil"/>
            </w:tcBorders>
            <w:vAlign w:val="center"/>
          </w:tcPr>
          <w:p w14:paraId="496FB415">
            <w:pPr>
              <w:spacing w:line="240" w:lineRule="auto"/>
              <w:rPr>
                <w:sz w:val="21"/>
                <w:szCs w:val="21"/>
              </w:rPr>
            </w:pPr>
            <w:r>
              <w:rPr>
                <w:sz w:val="21"/>
                <w:szCs w:val="21"/>
              </w:rPr>
              <w:t>本项目不属于钢铁、石化、化工、焦化、建材、有色、制浆造纸等高污染项目</w:t>
            </w:r>
          </w:p>
        </w:tc>
        <w:tc>
          <w:tcPr>
            <w:tcW w:w="987" w:type="dxa"/>
            <w:tcBorders>
              <w:tl2br w:val="nil"/>
              <w:tr2bl w:val="nil"/>
            </w:tcBorders>
            <w:vAlign w:val="center"/>
          </w:tcPr>
          <w:p w14:paraId="262FC3AE">
            <w:pPr>
              <w:spacing w:line="240" w:lineRule="auto"/>
              <w:jc w:val="center"/>
              <w:rPr>
                <w:sz w:val="21"/>
                <w:szCs w:val="21"/>
              </w:rPr>
            </w:pPr>
            <w:r>
              <w:rPr>
                <w:sz w:val="21"/>
                <w:szCs w:val="21"/>
              </w:rPr>
              <w:t>符合</w:t>
            </w:r>
          </w:p>
        </w:tc>
      </w:tr>
      <w:tr w14:paraId="749ED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 w:type="dxa"/>
            <w:tcBorders>
              <w:tl2br w:val="nil"/>
              <w:tr2bl w:val="nil"/>
            </w:tcBorders>
            <w:vAlign w:val="center"/>
          </w:tcPr>
          <w:p w14:paraId="2F23B246">
            <w:pPr>
              <w:spacing w:line="240" w:lineRule="auto"/>
              <w:jc w:val="center"/>
              <w:rPr>
                <w:sz w:val="21"/>
                <w:szCs w:val="21"/>
              </w:rPr>
            </w:pPr>
            <w:r>
              <w:rPr>
                <w:rFonts w:hint="eastAsia"/>
                <w:sz w:val="21"/>
                <w:szCs w:val="21"/>
              </w:rPr>
              <w:t>10</w:t>
            </w:r>
          </w:p>
        </w:tc>
        <w:tc>
          <w:tcPr>
            <w:tcW w:w="4791" w:type="dxa"/>
            <w:tcBorders>
              <w:tl2br w:val="nil"/>
              <w:tr2bl w:val="nil"/>
            </w:tcBorders>
            <w:vAlign w:val="center"/>
          </w:tcPr>
          <w:p w14:paraId="6C14D68E">
            <w:pPr>
              <w:spacing w:line="240" w:lineRule="auto"/>
              <w:rPr>
                <w:sz w:val="21"/>
                <w:szCs w:val="21"/>
              </w:rPr>
            </w:pPr>
            <w:r>
              <w:rPr>
                <w:sz w:val="21"/>
                <w:szCs w:val="21"/>
              </w:rPr>
              <w:t>禁止在《全国重要江河湖泊水功能区划》划定的河段及湖泊保护区、保留区内投资建设不利于水资源及自然生态保护的项目</w:t>
            </w:r>
          </w:p>
        </w:tc>
        <w:tc>
          <w:tcPr>
            <w:tcW w:w="2712" w:type="dxa"/>
            <w:tcBorders>
              <w:tl2br w:val="nil"/>
              <w:tr2bl w:val="nil"/>
            </w:tcBorders>
            <w:vAlign w:val="center"/>
          </w:tcPr>
          <w:p w14:paraId="06B98F00">
            <w:pPr>
              <w:spacing w:line="240" w:lineRule="auto"/>
              <w:rPr>
                <w:sz w:val="21"/>
                <w:szCs w:val="21"/>
              </w:rPr>
            </w:pPr>
            <w:r>
              <w:rPr>
                <w:sz w:val="21"/>
                <w:szCs w:val="21"/>
              </w:rPr>
              <w:t>本项目不在《全国重要江河湖泊水功能区划》划定的河段及湖泊保护区、保留区</w:t>
            </w:r>
          </w:p>
          <w:p w14:paraId="4CD40A86">
            <w:pPr>
              <w:spacing w:line="240" w:lineRule="auto"/>
              <w:rPr>
                <w:sz w:val="21"/>
                <w:szCs w:val="21"/>
              </w:rPr>
            </w:pPr>
            <w:r>
              <w:rPr>
                <w:sz w:val="21"/>
                <w:szCs w:val="21"/>
              </w:rPr>
              <w:t>内</w:t>
            </w:r>
          </w:p>
        </w:tc>
        <w:tc>
          <w:tcPr>
            <w:tcW w:w="987" w:type="dxa"/>
            <w:tcBorders>
              <w:tl2br w:val="nil"/>
              <w:tr2bl w:val="nil"/>
            </w:tcBorders>
            <w:vAlign w:val="center"/>
          </w:tcPr>
          <w:p w14:paraId="71986E31">
            <w:pPr>
              <w:spacing w:line="240" w:lineRule="auto"/>
              <w:jc w:val="center"/>
              <w:rPr>
                <w:sz w:val="21"/>
                <w:szCs w:val="21"/>
              </w:rPr>
            </w:pPr>
            <w:r>
              <w:rPr>
                <w:sz w:val="21"/>
                <w:szCs w:val="21"/>
              </w:rPr>
              <w:t>符合</w:t>
            </w:r>
          </w:p>
        </w:tc>
      </w:tr>
    </w:tbl>
    <w:p w14:paraId="4B02BD95">
      <w:pPr>
        <w:ind w:firstLine="480"/>
      </w:pPr>
      <w:r>
        <w:rPr>
          <w:rFonts w:hint="eastAsia"/>
        </w:rPr>
        <w:t>综上，本项目不属于湖南省长江经济带发展负面清单实施细则（试行，2022年版）内禁止建设的项目，符合文件要求。</w:t>
      </w:r>
    </w:p>
    <w:p w14:paraId="77F5B962">
      <w:pPr>
        <w:pStyle w:val="4"/>
        <w:numPr>
          <w:ilvl w:val="2"/>
          <w:numId w:val="0"/>
        </w:numPr>
        <w:ind w:left="992" w:leftChars="0" w:hanging="992" w:firstLineChars="0"/>
        <w:rPr>
          <w:rFonts w:hint="default" w:ascii="宋体" w:hAnsi="宋体" w:eastAsia="宋体" w:cs="宋体"/>
          <w:b/>
          <w:bCs/>
          <w:kern w:val="2"/>
          <w:sz w:val="24"/>
          <w:szCs w:val="24"/>
          <w:lang w:val="en-US" w:eastAsia="zh-CN" w:bidi="ar-SA"/>
        </w:rPr>
      </w:pPr>
      <w:r>
        <w:rPr>
          <w:rFonts w:hint="default" w:ascii="宋体" w:hAnsi="宋体" w:eastAsia="宋体" w:cs="宋体"/>
          <w:b/>
          <w:bCs/>
          <w:kern w:val="2"/>
          <w:sz w:val="24"/>
          <w:szCs w:val="24"/>
          <w:lang w:val="en-US" w:eastAsia="zh-CN" w:bidi="ar-SA"/>
        </w:rPr>
        <w:t>1.5.10</w:t>
      </w:r>
      <w:r>
        <w:rPr>
          <w:rFonts w:hint="eastAsia" w:ascii="宋体" w:hAnsi="宋体" w:eastAsia="宋体" w:cs="宋体"/>
          <w:b/>
          <w:bCs/>
          <w:kern w:val="2"/>
          <w:sz w:val="24"/>
          <w:szCs w:val="24"/>
          <w:lang w:val="en-US" w:eastAsia="zh-CN" w:bidi="ar-SA"/>
        </w:rPr>
        <w:t>生态环境准入</w:t>
      </w:r>
    </w:p>
    <w:p w14:paraId="4C26ABE6">
      <w:pPr>
        <w:pStyle w:val="51"/>
        <w:numPr>
          <w:ilvl w:val="5"/>
          <w:numId w:val="0"/>
        </w:numPr>
        <w:spacing w:before="12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表1.5-9 </w:t>
      </w:r>
      <w:r>
        <w:rPr>
          <w:rFonts w:hint="eastAsia"/>
        </w:rPr>
        <w:t>本项目与“湖南湘潭天易经济开发区产业园区生态环境准入清单”相符性分析</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4135"/>
        <w:gridCol w:w="3529"/>
        <w:gridCol w:w="885"/>
      </w:tblGrid>
      <w:tr w14:paraId="5C9FAB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l2br w:val="nil"/>
              <w:tr2bl w:val="nil"/>
            </w:tcBorders>
            <w:vAlign w:val="center"/>
          </w:tcPr>
          <w:p w14:paraId="6CBAE651">
            <w:pPr>
              <w:tabs>
                <w:tab w:val="left" w:pos="1021"/>
              </w:tabs>
              <w:spacing w:line="240" w:lineRule="auto"/>
              <w:jc w:val="center"/>
            </w:pPr>
          </w:p>
        </w:tc>
        <w:tc>
          <w:tcPr>
            <w:tcW w:w="4135" w:type="dxa"/>
            <w:tcBorders>
              <w:tl2br w:val="nil"/>
              <w:tr2bl w:val="nil"/>
            </w:tcBorders>
            <w:vAlign w:val="center"/>
          </w:tcPr>
          <w:p w14:paraId="26B8720B">
            <w:pPr>
              <w:tabs>
                <w:tab w:val="left" w:pos="1021"/>
              </w:tabs>
              <w:spacing w:line="240" w:lineRule="auto"/>
              <w:jc w:val="center"/>
            </w:pPr>
            <w:r>
              <w:rPr>
                <w:sz w:val="21"/>
                <w:szCs w:val="21"/>
              </w:rPr>
              <w:t>相关内容</w:t>
            </w:r>
          </w:p>
        </w:tc>
        <w:tc>
          <w:tcPr>
            <w:tcW w:w="3529" w:type="dxa"/>
            <w:tcBorders>
              <w:tl2br w:val="nil"/>
              <w:tr2bl w:val="nil"/>
            </w:tcBorders>
            <w:vAlign w:val="center"/>
          </w:tcPr>
          <w:p w14:paraId="5E4C04A0">
            <w:pPr>
              <w:tabs>
                <w:tab w:val="left" w:pos="1021"/>
              </w:tabs>
              <w:spacing w:line="240" w:lineRule="auto"/>
              <w:jc w:val="center"/>
            </w:pPr>
            <w:r>
              <w:rPr>
                <w:sz w:val="21"/>
                <w:szCs w:val="21"/>
              </w:rPr>
              <w:t>本项目内容</w:t>
            </w:r>
          </w:p>
        </w:tc>
        <w:tc>
          <w:tcPr>
            <w:tcW w:w="885" w:type="dxa"/>
            <w:tcBorders>
              <w:tl2br w:val="nil"/>
              <w:tr2bl w:val="nil"/>
            </w:tcBorders>
            <w:vAlign w:val="center"/>
          </w:tcPr>
          <w:p w14:paraId="1FCFA0C0">
            <w:pPr>
              <w:tabs>
                <w:tab w:val="left" w:pos="1021"/>
              </w:tabs>
              <w:spacing w:line="240" w:lineRule="auto"/>
              <w:jc w:val="center"/>
            </w:pPr>
            <w:r>
              <w:rPr>
                <w:sz w:val="21"/>
                <w:szCs w:val="21"/>
              </w:rPr>
              <w:t>结论</w:t>
            </w:r>
          </w:p>
        </w:tc>
      </w:tr>
      <w:tr w14:paraId="46E042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l2br w:val="nil"/>
              <w:tr2bl w:val="nil"/>
            </w:tcBorders>
            <w:vAlign w:val="center"/>
          </w:tcPr>
          <w:p w14:paraId="532CB5BE">
            <w:pPr>
              <w:tabs>
                <w:tab w:val="left" w:pos="1021"/>
              </w:tabs>
              <w:spacing w:line="240" w:lineRule="auto"/>
              <w:jc w:val="center"/>
            </w:pPr>
            <w:r>
              <w:rPr>
                <w:sz w:val="21"/>
                <w:szCs w:val="21"/>
              </w:rPr>
              <w:t>空间布局约束</w:t>
            </w:r>
          </w:p>
        </w:tc>
        <w:tc>
          <w:tcPr>
            <w:tcW w:w="4135" w:type="dxa"/>
            <w:tcBorders>
              <w:tl2br w:val="nil"/>
              <w:tr2bl w:val="nil"/>
            </w:tcBorders>
            <w:vAlign w:val="center"/>
          </w:tcPr>
          <w:p w14:paraId="5D7B13E3">
            <w:pPr>
              <w:tabs>
                <w:tab w:val="left" w:pos="1021"/>
              </w:tabs>
              <w:spacing w:line="240" w:lineRule="auto"/>
              <w:jc w:val="center"/>
              <w:rPr>
                <w:sz w:val="21"/>
                <w:szCs w:val="21"/>
              </w:rPr>
            </w:pPr>
            <w:r>
              <w:rPr>
                <w:rFonts w:hint="eastAsia"/>
                <w:sz w:val="21"/>
                <w:szCs w:val="21"/>
              </w:rPr>
              <w:t>（1.1）</w:t>
            </w:r>
            <w:r>
              <w:rPr>
                <w:sz w:val="21"/>
                <w:szCs w:val="21"/>
              </w:rPr>
              <w:t>新建工业项目应集中在天易经开区内建设，对示范区范围内不符合规划要求的已有项目逐步调整。禁止建设对区域大气环境造成明显不利影响的大气污染型项目。经开区禁止引进三类工业和外排水污染物涉及重金属和持久性有机物的项目。</w:t>
            </w:r>
          </w:p>
          <w:p w14:paraId="09EB966D">
            <w:pPr>
              <w:tabs>
                <w:tab w:val="left" w:pos="1021"/>
              </w:tabs>
              <w:spacing w:line="240" w:lineRule="auto"/>
              <w:jc w:val="center"/>
            </w:pPr>
            <w:r>
              <w:rPr>
                <w:sz w:val="21"/>
                <w:szCs w:val="21"/>
              </w:rPr>
              <w:t>（1.2）合理优化工业布局，将气型污染相对明显的企业远离居住区等环境敏感区域，园区北部居住用地周边禁止引进气型污染企业，做好工业用地与居住等</w:t>
            </w:r>
            <w:r>
              <w:rPr>
                <w:rFonts w:hint="eastAsia"/>
                <w:sz w:val="21"/>
                <w:szCs w:val="21"/>
              </w:rPr>
              <w:t>其他</w:t>
            </w:r>
            <w:r>
              <w:rPr>
                <w:sz w:val="21"/>
                <w:szCs w:val="21"/>
              </w:rPr>
              <w:t>用地之间的隔离。</w:t>
            </w:r>
          </w:p>
        </w:tc>
        <w:tc>
          <w:tcPr>
            <w:tcW w:w="3529" w:type="dxa"/>
            <w:tcBorders>
              <w:tl2br w:val="nil"/>
              <w:tr2bl w:val="nil"/>
            </w:tcBorders>
            <w:vAlign w:val="center"/>
          </w:tcPr>
          <w:p w14:paraId="7A7D42DA">
            <w:pPr>
              <w:tabs>
                <w:tab w:val="left" w:pos="1021"/>
              </w:tabs>
              <w:spacing w:line="240" w:lineRule="auto"/>
              <w:jc w:val="left"/>
              <w:rPr>
                <w:sz w:val="21"/>
                <w:szCs w:val="21"/>
              </w:rPr>
            </w:pPr>
            <w:r>
              <w:rPr>
                <w:rFonts w:hint="eastAsia"/>
                <w:sz w:val="21"/>
                <w:szCs w:val="21"/>
              </w:rPr>
              <w:t>（1.1）</w:t>
            </w:r>
            <w:r>
              <w:rPr>
                <w:sz w:val="21"/>
                <w:szCs w:val="21"/>
              </w:rPr>
              <w:t>项目</w:t>
            </w:r>
            <w:r>
              <w:rPr>
                <w:rFonts w:hint="eastAsia"/>
                <w:sz w:val="21"/>
                <w:szCs w:val="21"/>
                <w:lang w:val="en-US" w:eastAsia="zh-CN"/>
              </w:rPr>
              <w:t>为园区现有企业，且</w:t>
            </w:r>
            <w:r>
              <w:rPr>
                <w:sz w:val="21"/>
                <w:szCs w:val="21"/>
              </w:rPr>
              <w:t>不属于园区禁止引进类项目。废气经有效处理措施处理后达标排放，污染物排放量小，对大气环境的影响较小</w:t>
            </w:r>
            <w:r>
              <w:rPr>
                <w:rFonts w:hint="eastAsia"/>
                <w:sz w:val="21"/>
                <w:szCs w:val="21"/>
              </w:rPr>
              <w:t>。</w:t>
            </w:r>
          </w:p>
          <w:p w14:paraId="30689A60">
            <w:pPr>
              <w:tabs>
                <w:tab w:val="left" w:pos="1021"/>
              </w:tabs>
              <w:spacing w:line="240" w:lineRule="auto"/>
              <w:jc w:val="left"/>
            </w:pPr>
            <w:r>
              <w:rPr>
                <w:rFonts w:hint="eastAsia"/>
                <w:sz w:val="21"/>
                <w:szCs w:val="21"/>
              </w:rPr>
              <w:t>（1.2）项目位于湘潭天易经济开发区</w:t>
            </w:r>
          </w:p>
        </w:tc>
        <w:tc>
          <w:tcPr>
            <w:tcW w:w="885" w:type="dxa"/>
            <w:tcBorders>
              <w:tl2br w:val="nil"/>
              <w:tr2bl w:val="nil"/>
            </w:tcBorders>
            <w:vAlign w:val="center"/>
          </w:tcPr>
          <w:p w14:paraId="45EE639F">
            <w:pPr>
              <w:tabs>
                <w:tab w:val="left" w:pos="1021"/>
              </w:tabs>
              <w:spacing w:line="240" w:lineRule="auto"/>
              <w:jc w:val="center"/>
            </w:pPr>
            <w:r>
              <w:rPr>
                <w:sz w:val="21"/>
                <w:szCs w:val="21"/>
              </w:rPr>
              <w:t>符合</w:t>
            </w:r>
          </w:p>
        </w:tc>
      </w:tr>
      <w:tr w14:paraId="7871F5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l2br w:val="nil"/>
              <w:tr2bl w:val="nil"/>
            </w:tcBorders>
            <w:vAlign w:val="center"/>
          </w:tcPr>
          <w:p w14:paraId="20134AA6">
            <w:pPr>
              <w:tabs>
                <w:tab w:val="left" w:pos="1021"/>
              </w:tabs>
              <w:spacing w:line="240" w:lineRule="auto"/>
              <w:jc w:val="center"/>
            </w:pPr>
            <w:r>
              <w:rPr>
                <w:sz w:val="21"/>
                <w:szCs w:val="21"/>
              </w:rPr>
              <w:t>污染物排放管控</w:t>
            </w:r>
          </w:p>
        </w:tc>
        <w:tc>
          <w:tcPr>
            <w:tcW w:w="4135" w:type="dxa"/>
            <w:tcBorders>
              <w:tl2br w:val="nil"/>
              <w:tr2bl w:val="nil"/>
            </w:tcBorders>
            <w:vAlign w:val="center"/>
          </w:tcPr>
          <w:p w14:paraId="4E1E47F5">
            <w:pPr>
              <w:tabs>
                <w:tab w:val="left" w:pos="1021"/>
              </w:tabs>
              <w:spacing w:line="240" w:lineRule="auto"/>
              <w:jc w:val="left"/>
              <w:rPr>
                <w:sz w:val="21"/>
                <w:szCs w:val="21"/>
              </w:rPr>
            </w:pPr>
            <w:r>
              <w:rPr>
                <w:sz w:val="21"/>
                <w:szCs w:val="21"/>
              </w:rPr>
              <w:t>（2.1）废水：</w:t>
            </w:r>
          </w:p>
          <w:p w14:paraId="567767DE">
            <w:pPr>
              <w:tabs>
                <w:tab w:val="left" w:pos="1021"/>
              </w:tabs>
              <w:spacing w:line="240" w:lineRule="auto"/>
              <w:jc w:val="left"/>
              <w:rPr>
                <w:sz w:val="21"/>
                <w:szCs w:val="21"/>
              </w:rPr>
            </w:pPr>
            <w:r>
              <w:rPr>
                <w:sz w:val="21"/>
                <w:szCs w:val="21"/>
              </w:rPr>
              <w:t>（2.1.1）持续推进湘潭天易经济开发区</w:t>
            </w:r>
            <w:r>
              <w:rPr>
                <w:rFonts w:hint="eastAsia"/>
                <w:sz w:val="21"/>
                <w:szCs w:val="21"/>
              </w:rPr>
              <w:t>“</w:t>
            </w:r>
            <w:r>
              <w:rPr>
                <w:sz w:val="21"/>
                <w:szCs w:val="21"/>
              </w:rPr>
              <w:t>雨污分流</w:t>
            </w:r>
            <w:r>
              <w:rPr>
                <w:rFonts w:hint="eastAsia"/>
                <w:sz w:val="21"/>
                <w:szCs w:val="21"/>
              </w:rPr>
              <w:t>”</w:t>
            </w:r>
            <w:r>
              <w:rPr>
                <w:sz w:val="21"/>
                <w:szCs w:val="21"/>
              </w:rPr>
              <w:t>，污水经企业污水处理设施预处理达到污水处理厂接纳标准后分区排放，排入</w:t>
            </w:r>
            <w:r>
              <w:rPr>
                <w:rFonts w:hint="eastAsia"/>
                <w:sz w:val="21"/>
                <w:szCs w:val="21"/>
              </w:rPr>
              <w:t>湘潭县顺业污水处理有限公司污水处理厂</w:t>
            </w:r>
            <w:r>
              <w:rPr>
                <w:sz w:val="21"/>
                <w:szCs w:val="21"/>
              </w:rPr>
              <w:t>的废水处理达标后外排湘江，排入湘潭县第二污水处理厂的废水处理达标后外排涓水。区域雨水由南北两侧自流向云水渠，再分别往西流入涓水，往东流入向东渠，涓水和向东渠均往北流入湘江。</w:t>
            </w:r>
          </w:p>
          <w:p w14:paraId="3A768CF6">
            <w:pPr>
              <w:tabs>
                <w:tab w:val="left" w:pos="1021"/>
              </w:tabs>
              <w:spacing w:line="240" w:lineRule="auto"/>
              <w:jc w:val="left"/>
              <w:rPr>
                <w:sz w:val="21"/>
                <w:szCs w:val="21"/>
              </w:rPr>
            </w:pPr>
            <w:r>
              <w:rPr>
                <w:sz w:val="21"/>
                <w:szCs w:val="21"/>
              </w:rPr>
              <w:t>（2.1.2）新、改、扩建的具体项目水污染物实施等量置换或倍量削减，严控新增量。</w:t>
            </w:r>
          </w:p>
          <w:p w14:paraId="2BC52F21">
            <w:pPr>
              <w:tabs>
                <w:tab w:val="left" w:pos="1021"/>
              </w:tabs>
              <w:spacing w:line="240" w:lineRule="auto"/>
              <w:jc w:val="left"/>
              <w:rPr>
                <w:sz w:val="21"/>
                <w:szCs w:val="21"/>
              </w:rPr>
            </w:pPr>
            <w:r>
              <w:rPr>
                <w:sz w:val="21"/>
                <w:szCs w:val="21"/>
              </w:rPr>
              <w:t>（2.2）废气：</w:t>
            </w:r>
          </w:p>
          <w:p w14:paraId="69564991">
            <w:pPr>
              <w:tabs>
                <w:tab w:val="left" w:pos="1021"/>
              </w:tabs>
              <w:spacing w:line="240" w:lineRule="auto"/>
              <w:jc w:val="left"/>
              <w:rPr>
                <w:sz w:val="21"/>
                <w:szCs w:val="21"/>
              </w:rPr>
            </w:pPr>
            <w:r>
              <w:rPr>
                <w:sz w:val="21"/>
                <w:szCs w:val="21"/>
              </w:rPr>
              <w:t>（2.2.1）加快推进工业涂装、包装印刷等重点行业企业VOC</w:t>
            </w:r>
            <w:r>
              <w:rPr>
                <w:sz w:val="21"/>
                <w:szCs w:val="21"/>
                <w:vertAlign w:val="subscript"/>
              </w:rPr>
              <w:t>S</w:t>
            </w:r>
            <w:r>
              <w:rPr>
                <w:sz w:val="21"/>
                <w:szCs w:val="21"/>
              </w:rPr>
              <w:t>治理，确保达标排放。严格环境准入，严格限制包装印刷、工业涂装等高VOC</w:t>
            </w:r>
            <w:r>
              <w:rPr>
                <w:sz w:val="21"/>
                <w:szCs w:val="21"/>
                <w:vertAlign w:val="subscript"/>
              </w:rPr>
              <w:t>S</w:t>
            </w:r>
            <w:r>
              <w:rPr>
                <w:sz w:val="21"/>
                <w:szCs w:val="21"/>
              </w:rPr>
              <w:t>排放建设项目，新建涉VOC</w:t>
            </w:r>
            <w:r>
              <w:rPr>
                <w:sz w:val="21"/>
                <w:szCs w:val="21"/>
                <w:vertAlign w:val="subscript"/>
              </w:rPr>
              <w:t>S</w:t>
            </w:r>
            <w:r>
              <w:rPr>
                <w:sz w:val="21"/>
                <w:szCs w:val="21"/>
              </w:rPr>
              <w:t>排放的工业企业要入园区，VOC</w:t>
            </w:r>
            <w:r>
              <w:rPr>
                <w:sz w:val="21"/>
                <w:szCs w:val="21"/>
                <w:vertAlign w:val="subscript"/>
              </w:rPr>
              <w:t>S</w:t>
            </w:r>
            <w:r>
              <w:rPr>
                <w:sz w:val="21"/>
                <w:szCs w:val="21"/>
              </w:rPr>
              <w:t>排放等量或倍量削减替代。</w:t>
            </w:r>
            <w:r>
              <w:rPr>
                <w:rFonts w:hint="eastAsia"/>
                <w:sz w:val="21"/>
                <w:szCs w:val="21"/>
              </w:rPr>
              <w:t>湘潭天易经济开发区</w:t>
            </w:r>
            <w:r>
              <w:rPr>
                <w:sz w:val="21"/>
                <w:szCs w:val="21"/>
              </w:rPr>
              <w:t>应建设VOC</w:t>
            </w:r>
            <w:r>
              <w:rPr>
                <w:sz w:val="21"/>
                <w:szCs w:val="21"/>
                <w:vertAlign w:val="subscript"/>
              </w:rPr>
              <w:t>S</w:t>
            </w:r>
            <w:r>
              <w:rPr>
                <w:sz w:val="21"/>
                <w:szCs w:val="21"/>
              </w:rPr>
              <w:t>环境质量监测设施。</w:t>
            </w:r>
          </w:p>
          <w:p w14:paraId="28A985D6">
            <w:pPr>
              <w:tabs>
                <w:tab w:val="left" w:pos="1021"/>
              </w:tabs>
              <w:spacing w:line="240" w:lineRule="auto"/>
              <w:jc w:val="left"/>
              <w:rPr>
                <w:sz w:val="21"/>
                <w:szCs w:val="21"/>
              </w:rPr>
            </w:pPr>
            <w:r>
              <w:rPr>
                <w:sz w:val="21"/>
                <w:szCs w:val="21"/>
              </w:rPr>
              <w:t>（2.2.2）加强企业管理，对各企业有工艺废气产出的生产节点，应督促其配置废气收集与处理净化装置，做到达标排放。工业生产企业采取密闭、围挡、遮盖、清扫、洒水等措施，减少内部物料堆存、传输、装卸等环节产生的粉尘和气态污染物的排放。</w:t>
            </w:r>
          </w:p>
          <w:p w14:paraId="37224A7F">
            <w:pPr>
              <w:tabs>
                <w:tab w:val="left" w:pos="1021"/>
              </w:tabs>
              <w:spacing w:line="240" w:lineRule="auto"/>
              <w:jc w:val="left"/>
            </w:pPr>
            <w:r>
              <w:rPr>
                <w:sz w:val="21"/>
                <w:szCs w:val="21"/>
              </w:rPr>
              <w:t>（2.3）固体废弃物：做好工业固体废物和生活垃圾的分类收集贮存、转运、综合利用和无害化处理。推行清洁生产，减少固体废物产生量；加强固体废物的资源化进程，提高综合利用率；规范固体废物处理措施，对工业企业产生固体废物特别是危险固废应按国家有关规定综合利用或妥善处置，严防二次污染。强化固体废物、危险废物等污染源管控。全面开展固体废物堆存场所排查。</w:t>
            </w:r>
          </w:p>
        </w:tc>
        <w:tc>
          <w:tcPr>
            <w:tcW w:w="3529" w:type="dxa"/>
            <w:tcBorders>
              <w:tl2br w:val="nil"/>
              <w:tr2bl w:val="nil"/>
            </w:tcBorders>
            <w:vAlign w:val="center"/>
          </w:tcPr>
          <w:p w14:paraId="0D89A2A4">
            <w:pPr>
              <w:tabs>
                <w:tab w:val="left" w:pos="1021"/>
              </w:tabs>
              <w:spacing w:line="240" w:lineRule="auto"/>
              <w:jc w:val="left"/>
              <w:rPr>
                <w:sz w:val="21"/>
                <w:szCs w:val="21"/>
              </w:rPr>
            </w:pPr>
            <w:r>
              <w:rPr>
                <w:rFonts w:hint="eastAsia"/>
                <w:sz w:val="21"/>
                <w:szCs w:val="21"/>
              </w:rPr>
              <w:t>（2.1.1）</w:t>
            </w:r>
            <w:r>
              <w:rPr>
                <w:sz w:val="21"/>
                <w:szCs w:val="21"/>
              </w:rPr>
              <w:t>项目排水实施雨污分流，生活污水依托厂区化粪池处理达到《污水综合排放标准》（GB8978-1996）表4三级排放标准后，通过</w:t>
            </w:r>
            <w:r>
              <w:rPr>
                <w:rFonts w:hint="eastAsia"/>
                <w:sz w:val="21"/>
                <w:szCs w:val="21"/>
              </w:rPr>
              <w:t>湘潭天易经济开发区</w:t>
            </w:r>
            <w:r>
              <w:rPr>
                <w:sz w:val="21"/>
                <w:szCs w:val="21"/>
              </w:rPr>
              <w:t>污水管道汇入市政污水管网，最终进入</w:t>
            </w:r>
            <w:r>
              <w:rPr>
                <w:rFonts w:hint="eastAsia"/>
                <w:sz w:val="21"/>
                <w:szCs w:val="21"/>
              </w:rPr>
              <w:t>湘潭县顺业污水处理有限公司污水处理厂</w:t>
            </w:r>
            <w:r>
              <w:rPr>
                <w:sz w:val="21"/>
                <w:szCs w:val="21"/>
              </w:rPr>
              <w:t>进一步处理达《城镇污水处理厂污染物排放标准》（GB18918-2002）一级A标准排入湘江；</w:t>
            </w:r>
          </w:p>
          <w:p w14:paraId="0334848E">
            <w:pPr>
              <w:tabs>
                <w:tab w:val="left" w:pos="1021"/>
              </w:tabs>
              <w:spacing w:line="240" w:lineRule="auto"/>
              <w:jc w:val="left"/>
              <w:rPr>
                <w:sz w:val="21"/>
                <w:szCs w:val="21"/>
              </w:rPr>
            </w:pPr>
            <w:r>
              <w:rPr>
                <w:rFonts w:hint="eastAsia"/>
                <w:sz w:val="21"/>
                <w:szCs w:val="21"/>
              </w:rPr>
              <w:t>（2.1.2）项目无生产废水产生，生活污水经化粪池处理达标后进入湘潭县顺业污水处理有限公司污水处理厂处理。</w:t>
            </w:r>
          </w:p>
          <w:p w14:paraId="79149A4D">
            <w:pPr>
              <w:tabs>
                <w:tab w:val="left" w:pos="1021"/>
              </w:tabs>
              <w:spacing w:line="240" w:lineRule="auto"/>
              <w:jc w:val="left"/>
              <w:rPr>
                <w:sz w:val="21"/>
                <w:szCs w:val="21"/>
              </w:rPr>
            </w:pPr>
            <w:r>
              <w:rPr>
                <w:rFonts w:hint="eastAsia"/>
                <w:sz w:val="21"/>
                <w:szCs w:val="21"/>
              </w:rPr>
              <w:t>（2.2.1）本项目属于印刷项目，位于湘潭天易经济开发区内，符合新建涉VOC</w:t>
            </w:r>
            <w:r>
              <w:rPr>
                <w:rFonts w:hint="eastAsia"/>
                <w:sz w:val="21"/>
                <w:szCs w:val="21"/>
                <w:vertAlign w:val="subscript"/>
              </w:rPr>
              <w:t>S</w:t>
            </w:r>
            <w:r>
              <w:rPr>
                <w:rFonts w:hint="eastAsia"/>
                <w:sz w:val="21"/>
                <w:szCs w:val="21"/>
              </w:rPr>
              <w:t>排放的工业企业要入园区的要求；项目在保证生产工艺可行的基础上积极推进使用低（无）VOCs含量原辅材料和环境友好型技术替代，生产过程中尽可能使用环保型油墨、无溶剂胶水等原料、逐步改善印刷工艺；车间内主要产气工序在密闭环境中进行，主要产气点设置高效负压集气系统进行VOCs的收集，收集后的废气“吸附浓缩+溶剂回收”处理后高空排放；企业拟设置在线监测设备，监测数据实时传输至省、市相应的信息管理平台，实现省市联网；本项目VOCs排放实行等量替代，所需VOCs已找到替代来源。</w:t>
            </w:r>
          </w:p>
          <w:p w14:paraId="6A667783">
            <w:pPr>
              <w:tabs>
                <w:tab w:val="left" w:pos="1021"/>
              </w:tabs>
              <w:spacing w:line="240" w:lineRule="auto"/>
              <w:jc w:val="left"/>
              <w:rPr>
                <w:sz w:val="21"/>
                <w:szCs w:val="21"/>
              </w:rPr>
            </w:pPr>
            <w:r>
              <w:rPr>
                <w:rFonts w:hint="eastAsia"/>
                <w:sz w:val="21"/>
                <w:szCs w:val="21"/>
              </w:rPr>
              <w:t>（2.2.2）企业加强管理，项目各</w:t>
            </w:r>
            <w:r>
              <w:rPr>
                <w:sz w:val="21"/>
                <w:szCs w:val="21"/>
              </w:rPr>
              <w:t>产生的大气污染物经有效处理措施处理达标后排入大气环境；</w:t>
            </w:r>
          </w:p>
          <w:p w14:paraId="017C1523">
            <w:pPr>
              <w:tabs>
                <w:tab w:val="left" w:pos="1021"/>
              </w:tabs>
              <w:spacing w:line="240" w:lineRule="auto"/>
              <w:jc w:val="left"/>
            </w:pPr>
            <w:r>
              <w:rPr>
                <w:rFonts w:hint="eastAsia"/>
                <w:sz w:val="21"/>
                <w:szCs w:val="21"/>
              </w:rPr>
              <w:t>（2.3）</w:t>
            </w:r>
            <w:r>
              <w:rPr>
                <w:sz w:val="21"/>
                <w:szCs w:val="21"/>
              </w:rPr>
              <w:t>项目各类固废规范收集、综合利用和安全处置，危险废物按规定交由有资质的单位处置，不会造成二次污染。</w:t>
            </w:r>
          </w:p>
        </w:tc>
        <w:tc>
          <w:tcPr>
            <w:tcW w:w="885" w:type="dxa"/>
            <w:tcBorders>
              <w:tl2br w:val="nil"/>
              <w:tr2bl w:val="nil"/>
            </w:tcBorders>
            <w:vAlign w:val="center"/>
          </w:tcPr>
          <w:p w14:paraId="3A2026C0">
            <w:pPr>
              <w:tabs>
                <w:tab w:val="left" w:pos="1021"/>
              </w:tabs>
              <w:spacing w:line="240" w:lineRule="auto"/>
              <w:jc w:val="center"/>
            </w:pPr>
            <w:r>
              <w:rPr>
                <w:sz w:val="21"/>
                <w:szCs w:val="21"/>
              </w:rPr>
              <w:t>符合</w:t>
            </w:r>
          </w:p>
        </w:tc>
      </w:tr>
      <w:tr w14:paraId="08AEF3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7" w:type="dxa"/>
            <w:tcBorders>
              <w:tl2br w:val="nil"/>
              <w:tr2bl w:val="nil"/>
            </w:tcBorders>
            <w:vAlign w:val="center"/>
          </w:tcPr>
          <w:p w14:paraId="46AB0C13">
            <w:pPr>
              <w:tabs>
                <w:tab w:val="left" w:pos="1021"/>
              </w:tabs>
              <w:spacing w:line="240" w:lineRule="auto"/>
              <w:jc w:val="center"/>
            </w:pPr>
            <w:r>
              <w:rPr>
                <w:sz w:val="21"/>
                <w:szCs w:val="21"/>
              </w:rPr>
              <w:t>环境风险防控</w:t>
            </w:r>
          </w:p>
        </w:tc>
        <w:tc>
          <w:tcPr>
            <w:tcW w:w="4135" w:type="dxa"/>
            <w:tcBorders>
              <w:tl2br w:val="nil"/>
              <w:tr2bl w:val="nil"/>
            </w:tcBorders>
            <w:vAlign w:val="center"/>
          </w:tcPr>
          <w:p w14:paraId="3EA74CC7">
            <w:pPr>
              <w:tabs>
                <w:tab w:val="left" w:pos="1021"/>
              </w:tabs>
              <w:spacing w:line="240" w:lineRule="auto"/>
              <w:jc w:val="left"/>
              <w:rPr>
                <w:sz w:val="21"/>
                <w:szCs w:val="21"/>
              </w:rPr>
            </w:pPr>
            <w:r>
              <w:rPr>
                <w:sz w:val="21"/>
                <w:szCs w:val="21"/>
              </w:rPr>
              <w:t>（3.1）园区应严格落实《湖南湘潭天易经济开发区突发环境事件应急预案》中相关要求，严防突发环境事件发生，提高应急处置能力。</w:t>
            </w:r>
          </w:p>
          <w:p w14:paraId="588D42CD">
            <w:pPr>
              <w:tabs>
                <w:tab w:val="left" w:pos="1021"/>
              </w:tabs>
              <w:spacing w:line="240" w:lineRule="auto"/>
              <w:jc w:val="left"/>
              <w:rPr>
                <w:sz w:val="21"/>
                <w:szCs w:val="21"/>
              </w:rPr>
            </w:pPr>
            <w:r>
              <w:rPr>
                <w:sz w:val="21"/>
                <w:szCs w:val="21"/>
              </w:rPr>
              <w:t>（3.2）园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14:paraId="5041D6C5">
            <w:pPr>
              <w:tabs>
                <w:tab w:val="left" w:pos="1021"/>
              </w:tabs>
              <w:spacing w:line="240" w:lineRule="auto"/>
              <w:jc w:val="left"/>
              <w:rPr>
                <w:sz w:val="21"/>
                <w:szCs w:val="21"/>
              </w:rPr>
            </w:pPr>
            <w:r>
              <w:rPr>
                <w:sz w:val="21"/>
                <w:szCs w:val="21"/>
              </w:rPr>
              <w:t>（3.3）建设用地土壤风险防控：严格环境准入，优化空间布局。严格排放重点污染物的建设项目土壤环境影响评价，提出防范土壤污染的具体措施。建立污染地块名录及开发利用负面清单，合理确定土地用途。加强对建设用地土壤环境状况调查、风险评估和污染地块治理与修复的监管。</w:t>
            </w:r>
          </w:p>
          <w:p w14:paraId="2E991446">
            <w:pPr>
              <w:tabs>
                <w:tab w:val="left" w:pos="1021"/>
              </w:tabs>
              <w:spacing w:line="240" w:lineRule="auto"/>
              <w:jc w:val="left"/>
            </w:pPr>
            <w:r>
              <w:rPr>
                <w:sz w:val="21"/>
                <w:szCs w:val="21"/>
              </w:rPr>
              <w:t>（3.4）农用地土壤污染风险防控：严控工矿企业污染，控制污染源头。加强涉重金属行业污染防控，加大涉重金属企业治污设施升级与清洁生产改造力度，规范企业无组织排放与无组织堆存堆放固体废物、物料，稳步推进重金属减排。以农用地为重点，加快推进重点行业企业用地调查。</w:t>
            </w:r>
          </w:p>
        </w:tc>
        <w:tc>
          <w:tcPr>
            <w:tcW w:w="3529" w:type="dxa"/>
            <w:tcBorders>
              <w:tl2br w:val="nil"/>
              <w:tr2bl w:val="nil"/>
            </w:tcBorders>
            <w:vAlign w:val="center"/>
          </w:tcPr>
          <w:p w14:paraId="04BD75F8">
            <w:pPr>
              <w:tabs>
                <w:tab w:val="left" w:pos="1021"/>
              </w:tabs>
              <w:spacing w:line="240" w:lineRule="auto"/>
            </w:pPr>
            <w:r>
              <w:rPr>
                <w:sz w:val="21"/>
                <w:szCs w:val="21"/>
              </w:rPr>
              <w:t>企业建立健全环境风险事故防范措施和应急预案；完成企业突发环境事件应急预案备案；原料暂存间并设置明显的危险物品标志，暂存区周围地面采取硬化措施及疏导措施，并设立事故池，确保一旦发生事故性泄漏时，泄漏液能汇入事故池</w:t>
            </w:r>
          </w:p>
        </w:tc>
        <w:tc>
          <w:tcPr>
            <w:tcW w:w="885" w:type="dxa"/>
            <w:tcBorders>
              <w:tl2br w:val="nil"/>
              <w:tr2bl w:val="nil"/>
            </w:tcBorders>
            <w:vAlign w:val="center"/>
          </w:tcPr>
          <w:p w14:paraId="2B1F628F">
            <w:pPr>
              <w:tabs>
                <w:tab w:val="left" w:pos="1021"/>
              </w:tabs>
              <w:spacing w:line="240" w:lineRule="auto"/>
              <w:jc w:val="center"/>
            </w:pPr>
            <w:r>
              <w:rPr>
                <w:sz w:val="21"/>
                <w:szCs w:val="21"/>
              </w:rPr>
              <w:t>符合</w:t>
            </w:r>
          </w:p>
        </w:tc>
      </w:tr>
    </w:tbl>
    <w:p w14:paraId="1B184EB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1.5.11</w:t>
      </w:r>
      <w:r>
        <w:t>湘潭县“三区三线”相符性分析</w:t>
      </w:r>
    </w:p>
    <w:p w14:paraId="16F13803">
      <w:pPr>
        <w:ind w:firstLine="480"/>
        <w:rPr>
          <w:rFonts w:hint="eastAsia"/>
        </w:rPr>
      </w:pPr>
      <w:r>
        <w:rPr>
          <w:rFonts w:hint="eastAsia"/>
        </w:rPr>
        <w:t>2022年7月18日，湘潭县自然资源局召开了“三区三线”划定工作会议，会议强调按照耕地和永久基本农田、生态保护红线、城镇开发边界次序，以前期永久基本农田核实整改补足、生态保护红线评估调整和城镇开发边界模拟划定成果为基础，结合湘潭县国土空间总体规划编制，统筹划定耕地和永久基本农田、生态保护红线、城镇开发边界，为高水平编制国土空间规划打下坚实基础。本项目所在区域为城镇空间（具体见附图7），土地类型为工业用地，区域内无生态保护红线区，不涉及占用或穿越生态保护红线，不新增用地，不占用基本农田，符合“三区三线”划定规则。</w:t>
      </w:r>
    </w:p>
    <w:p w14:paraId="772DFA1D">
      <w:pPr>
        <w:pStyle w:val="4"/>
        <w:numPr>
          <w:ilvl w:val="2"/>
          <w:numId w:val="0"/>
        </w:numPr>
        <w:ind w:left="992" w:leftChars="0" w:hanging="992" w:firstLineChars="0"/>
        <w:rPr>
          <w:rFonts w:hint="eastAsia"/>
          <w:u w:val="single"/>
        </w:rPr>
      </w:pPr>
      <w:bookmarkStart w:id="44" w:name="_Toc44493941"/>
      <w:r>
        <w:rPr>
          <w:rFonts w:hint="eastAsia" w:ascii="宋体" w:hAnsi="宋体" w:eastAsia="宋体" w:cs="宋体"/>
          <w:b/>
          <w:bCs/>
          <w:kern w:val="2"/>
          <w:sz w:val="24"/>
          <w:szCs w:val="24"/>
          <w:u w:val="single"/>
          <w:lang w:val="en-US" w:eastAsia="zh-CN" w:bidi="ar-SA"/>
        </w:rPr>
        <w:t>1.5.12与《重污染天气重点行业绩效分级及减排措施》</w:t>
      </w:r>
      <w:bookmarkEnd w:id="44"/>
      <w:r>
        <w:rPr>
          <w:rFonts w:hint="eastAsia" w:ascii="宋体" w:hAnsi="宋体" w:eastAsia="宋体" w:cs="宋体"/>
          <w:b/>
          <w:bCs/>
          <w:kern w:val="2"/>
          <w:sz w:val="24"/>
          <w:szCs w:val="24"/>
          <w:u w:val="single"/>
          <w:lang w:val="en-US" w:eastAsia="zh-CN" w:bidi="ar-SA"/>
        </w:rPr>
        <w:t>相符性分析</w:t>
      </w:r>
    </w:p>
    <w:p w14:paraId="3FFF7B52">
      <w:pPr>
        <w:ind w:firstLine="480"/>
        <w:rPr>
          <w:rFonts w:hint="default" w:eastAsia="宋体"/>
          <w:lang w:val="en-US" w:eastAsia="zh-CN"/>
        </w:rPr>
      </w:pPr>
      <w:r>
        <w:rPr>
          <w:rFonts w:hint="eastAsia"/>
          <w:u w:val="single"/>
          <w:lang w:val="en-US" w:eastAsia="zh-CN"/>
        </w:rPr>
        <w:t>企业目前正在开展“创A创B”升级改造工作，除原辅材料中水性油墨受限于订单要求和印刷基材的限制，水性油墨在塑料基材表面吸附能力较差，且本项目主要订单为食品包装类，使用前须进行辐照消毒，水性油墨会在该环节溶解脱落，因此该水性油墨的使用比例无法满足A级企业（达到60%及以上），其余“无组织排放”、“污染治理技术”、“排放限值”、“监测监控水平”、“环境管理水平”、“运输方式”和“运输监管”等指标全部达到A级企业水平。</w:t>
      </w:r>
    </w:p>
    <w:bookmarkEnd w:id="34"/>
    <w:bookmarkEnd w:id="35"/>
    <w:bookmarkEnd w:id="36"/>
    <w:bookmarkEnd w:id="37"/>
    <w:bookmarkEnd w:id="38"/>
    <w:bookmarkEnd w:id="39"/>
    <w:bookmarkEnd w:id="40"/>
    <w:bookmarkEnd w:id="41"/>
    <w:bookmarkEnd w:id="42"/>
    <w:bookmarkEnd w:id="43"/>
    <w:p w14:paraId="19CD314A">
      <w:pPr>
        <w:pStyle w:val="3"/>
        <w:numPr>
          <w:ilvl w:val="1"/>
          <w:numId w:val="0"/>
        </w:numPr>
        <w:ind w:left="567" w:leftChars="0" w:hanging="567" w:firstLineChars="0"/>
        <w:rPr>
          <w:sz w:val="28"/>
          <w:szCs w:val="28"/>
        </w:rPr>
      </w:pPr>
      <w:bookmarkStart w:id="45" w:name="_Toc6042"/>
      <w:r>
        <w:rPr>
          <w:rFonts w:hint="default" w:ascii="宋体" w:hAnsi="宋体" w:eastAsia="宋体" w:cs="宋体"/>
          <w:b/>
          <w:bCs/>
          <w:kern w:val="2"/>
          <w:sz w:val="28"/>
          <w:szCs w:val="28"/>
          <w:lang w:val="en-US" w:eastAsia="zh-CN" w:bidi="ar-SA"/>
        </w:rPr>
        <w:t>1.6</w:t>
      </w:r>
      <w:r>
        <w:rPr>
          <w:rFonts w:hint="eastAsia"/>
          <w:sz w:val="28"/>
          <w:szCs w:val="28"/>
        </w:rPr>
        <w:t>环境影响评价主要结论</w:t>
      </w:r>
      <w:bookmarkEnd w:id="45"/>
      <w:bookmarkStart w:id="46" w:name="_Toc191371206"/>
      <w:bookmarkStart w:id="47" w:name="_Toc24224"/>
      <w:bookmarkStart w:id="48" w:name="_Toc189817843"/>
      <w:bookmarkStart w:id="49" w:name="_Toc191459290"/>
      <w:bookmarkStart w:id="50" w:name="_Toc195687575"/>
      <w:bookmarkStart w:id="51" w:name="_Toc214621555"/>
      <w:bookmarkStart w:id="52" w:name="_Toc191367694"/>
    </w:p>
    <w:p w14:paraId="01153E58">
      <w:pPr>
        <w:pStyle w:val="38"/>
        <w:ind w:firstLine="480"/>
        <w:rPr>
          <w:color w:val="auto"/>
        </w:rPr>
      </w:pPr>
      <w:r>
        <w:rPr>
          <w:rFonts w:hint="eastAsia"/>
          <w:color w:val="auto"/>
        </w:rPr>
        <w:t>本项目无明显环境制约因素，在土地规划、产业政策和园区定位等方面均符合政策要求，同时也得到了所在区域公众的支持，只要认真落实本次环评提出的各项环境保护措施，加强项目建设不同阶段的环境管理和监控，可以做到污染物达标排放，生态环境影响小，项目建成后工程区域及周边的环境质量能够满足环境功能的要求。</w:t>
      </w:r>
    </w:p>
    <w:p w14:paraId="6FCB9897">
      <w:pPr>
        <w:pStyle w:val="38"/>
        <w:ind w:firstLine="480"/>
        <w:rPr>
          <w:color w:val="auto"/>
        </w:rPr>
        <w:sectPr>
          <w:footerReference r:id="rId11" w:type="default"/>
          <w:pgSz w:w="11906" w:h="16838"/>
          <w:pgMar w:top="1418" w:right="1418" w:bottom="1418" w:left="1418" w:header="851" w:footer="964" w:gutter="0"/>
          <w:pgBorders>
            <w:top w:val="none" w:sz="0" w:space="0"/>
            <w:left w:val="none" w:sz="0" w:space="0"/>
            <w:bottom w:val="none" w:sz="0" w:space="0"/>
            <w:right w:val="none" w:sz="0" w:space="0"/>
          </w:pgBorders>
          <w:pgNumType w:fmt="numberInDash" w:start="1"/>
          <w:cols w:space="720" w:num="1"/>
          <w:docGrid w:linePitch="312" w:charSpace="0"/>
        </w:sectPr>
      </w:pPr>
      <w:r>
        <w:rPr>
          <w:rFonts w:hint="eastAsia"/>
          <w:color w:val="auto"/>
        </w:rPr>
        <w:t>从环境保护的角度看，本项目建设可行。</w:t>
      </w:r>
    </w:p>
    <w:bookmarkEnd w:id="2"/>
    <w:bookmarkEnd w:id="46"/>
    <w:bookmarkEnd w:id="47"/>
    <w:bookmarkEnd w:id="48"/>
    <w:bookmarkEnd w:id="49"/>
    <w:bookmarkEnd w:id="50"/>
    <w:bookmarkEnd w:id="51"/>
    <w:bookmarkEnd w:id="52"/>
    <w:p w14:paraId="5B81C11E">
      <w:pPr>
        <w:pStyle w:val="2"/>
        <w:numPr>
          <w:ilvl w:val="0"/>
          <w:numId w:val="0"/>
        </w:numPr>
        <w:ind w:left="425" w:leftChars="0" w:hanging="425" w:firstLineChars="0"/>
        <w:rPr>
          <w:color w:val="auto"/>
        </w:rPr>
      </w:pPr>
      <w:bookmarkStart w:id="53" w:name="_Toc19846"/>
      <w:bookmarkStart w:id="54" w:name="_Toc12990"/>
      <w:bookmarkStart w:id="55" w:name="_Toc8154"/>
      <w:bookmarkStart w:id="56" w:name="_Toc11424"/>
      <w:bookmarkStart w:id="57" w:name="_Toc18724"/>
      <w:bookmarkStart w:id="58" w:name="_Toc30523"/>
      <w:r>
        <w:rPr>
          <w:rFonts w:hint="default" w:ascii="宋体" w:hAnsi="宋体" w:eastAsia="宋体" w:cs="宋体"/>
          <w:b/>
          <w:bCs/>
          <w:color w:val="auto"/>
          <w:kern w:val="44"/>
          <w:sz w:val="32"/>
          <w:szCs w:val="32"/>
          <w:lang w:val="en-US" w:eastAsia="zh-CN" w:bidi="ar-SA"/>
        </w:rPr>
        <w:t>第2章</w:t>
      </w:r>
      <w:r>
        <w:rPr>
          <w:rFonts w:hint="eastAsia"/>
          <w:color w:val="auto"/>
        </w:rPr>
        <w:t>总则</w:t>
      </w:r>
      <w:bookmarkEnd w:id="53"/>
    </w:p>
    <w:p w14:paraId="229BFA1A">
      <w:pPr>
        <w:pStyle w:val="3"/>
        <w:numPr>
          <w:ilvl w:val="1"/>
          <w:numId w:val="0"/>
        </w:numPr>
        <w:ind w:left="567" w:leftChars="0" w:hanging="567" w:firstLineChars="0"/>
        <w:rPr>
          <w:sz w:val="28"/>
          <w:szCs w:val="28"/>
        </w:rPr>
      </w:pPr>
      <w:bookmarkStart w:id="59" w:name="_Toc28732"/>
      <w:r>
        <w:rPr>
          <w:rFonts w:hint="default" w:ascii="宋体" w:hAnsi="宋体" w:eastAsia="宋体" w:cs="宋体"/>
          <w:b/>
          <w:bCs/>
          <w:kern w:val="2"/>
          <w:sz w:val="28"/>
          <w:szCs w:val="28"/>
          <w:lang w:val="en-US" w:eastAsia="zh-CN" w:bidi="ar-SA"/>
        </w:rPr>
        <w:t>2.1</w:t>
      </w:r>
      <w:r>
        <w:rPr>
          <w:rFonts w:hint="eastAsia"/>
          <w:sz w:val="28"/>
          <w:szCs w:val="28"/>
        </w:rPr>
        <w:t>评价目的与原则</w:t>
      </w:r>
      <w:bookmarkEnd w:id="59"/>
    </w:p>
    <w:p w14:paraId="4EA7B2C2">
      <w:pPr>
        <w:pStyle w:val="4"/>
        <w:numPr>
          <w:ilvl w:val="2"/>
          <w:numId w:val="0"/>
        </w:numPr>
        <w:ind w:left="995" w:leftChars="0" w:hanging="995" w:hangingChars="413"/>
      </w:pPr>
      <w:r>
        <w:rPr>
          <w:rFonts w:hint="default" w:ascii="宋体" w:hAnsi="宋体" w:eastAsia="宋体" w:cs="宋体"/>
          <w:b/>
          <w:bCs/>
          <w:kern w:val="2"/>
          <w:sz w:val="24"/>
          <w:szCs w:val="24"/>
          <w:lang w:val="en-US" w:eastAsia="zh-CN" w:bidi="ar-SA"/>
        </w:rPr>
        <w:t>2.1.1</w:t>
      </w:r>
      <w:r>
        <w:rPr>
          <w:rFonts w:hint="eastAsia"/>
        </w:rPr>
        <w:t>评价原则</w:t>
      </w:r>
    </w:p>
    <w:p w14:paraId="22F7722D">
      <w:pPr>
        <w:ind w:firstLine="480"/>
        <w:jc w:val="left"/>
        <w:rPr>
          <w:kern w:val="0"/>
          <w:lang w:bidi="ar"/>
        </w:rPr>
      </w:pPr>
      <w:r>
        <w:rPr>
          <w:kern w:val="0"/>
          <w:lang w:bidi="ar"/>
        </w:rPr>
        <w:t>突出环境影响评价的源头预防作用，坚持保护和改善环境质量。</w:t>
      </w:r>
    </w:p>
    <w:p w14:paraId="7E058894">
      <w:pPr>
        <w:ind w:firstLine="480"/>
        <w:jc w:val="left"/>
        <w:rPr>
          <w:kern w:val="0"/>
          <w:lang w:bidi="ar"/>
        </w:rPr>
      </w:pPr>
      <w:r>
        <w:rPr>
          <w:rFonts w:hint="eastAsia" w:ascii="宋体" w:hAnsi="宋体" w:cs="宋体"/>
          <w:kern w:val="0"/>
          <w:lang w:bidi="ar"/>
        </w:rPr>
        <w:t>⑴</w:t>
      </w:r>
      <w:r>
        <w:rPr>
          <w:kern w:val="0"/>
          <w:lang w:bidi="ar"/>
        </w:rPr>
        <w:t>依法评价</w:t>
      </w:r>
    </w:p>
    <w:p w14:paraId="6F363329">
      <w:pPr>
        <w:ind w:firstLine="480"/>
        <w:jc w:val="left"/>
        <w:rPr>
          <w:kern w:val="0"/>
          <w:lang w:bidi="ar"/>
        </w:rPr>
      </w:pPr>
      <w:r>
        <w:rPr>
          <w:kern w:val="0"/>
          <w:lang w:bidi="ar"/>
        </w:rPr>
        <w:t>贯彻执行我国环境保护相关法律法规、标准、政策和规划等，优化项目建设，服务环境管理。</w:t>
      </w:r>
    </w:p>
    <w:p w14:paraId="1C0FD09B">
      <w:pPr>
        <w:ind w:firstLine="480"/>
        <w:jc w:val="left"/>
        <w:rPr>
          <w:kern w:val="0"/>
          <w:lang w:bidi="ar"/>
        </w:rPr>
      </w:pPr>
      <w:r>
        <w:rPr>
          <w:rFonts w:hint="eastAsia" w:ascii="宋体" w:hAnsi="宋体" w:cs="宋体"/>
          <w:kern w:val="0"/>
          <w:lang w:bidi="ar"/>
        </w:rPr>
        <w:t>⑵</w:t>
      </w:r>
      <w:r>
        <w:rPr>
          <w:kern w:val="0"/>
          <w:lang w:bidi="ar"/>
        </w:rPr>
        <w:t>科学评价</w:t>
      </w:r>
    </w:p>
    <w:p w14:paraId="7CF381E1">
      <w:pPr>
        <w:keepNext w:val="0"/>
        <w:keepLines w:val="0"/>
        <w:pageBreakBefore w:val="0"/>
        <w:widowControl/>
        <w:kinsoku/>
        <w:wordWrap/>
        <w:overflowPunct/>
        <w:topLinePunct w:val="0"/>
        <w:autoSpaceDE/>
        <w:autoSpaceDN/>
        <w:bidi w:val="0"/>
        <w:adjustRightInd/>
        <w:snapToGrid/>
        <w:ind w:firstLine="539"/>
        <w:jc w:val="left"/>
        <w:textAlignment w:val="auto"/>
        <w:rPr>
          <w:kern w:val="0"/>
          <w:lang w:bidi="ar"/>
        </w:rPr>
      </w:pPr>
      <w:r>
        <w:rPr>
          <w:kern w:val="0"/>
          <w:lang w:bidi="ar"/>
        </w:rPr>
        <w:t>规范环境影响评价方法，科学分析项目建设对环境质量的影响。</w:t>
      </w:r>
    </w:p>
    <w:p w14:paraId="0DB0FF89">
      <w:pPr>
        <w:ind w:firstLine="480"/>
        <w:jc w:val="left"/>
      </w:pPr>
      <w:r>
        <w:rPr>
          <w:rFonts w:hint="eastAsia" w:ascii="宋体" w:hAnsi="宋体" w:cs="宋体"/>
          <w:color w:val="0D0D0D"/>
          <w:kern w:val="0"/>
          <w:lang w:bidi="ar"/>
        </w:rPr>
        <w:t>⑶突出重点</w:t>
      </w:r>
    </w:p>
    <w:p w14:paraId="7D7BE5F4">
      <w:pPr>
        <w:ind w:firstLine="480"/>
        <w:jc w:val="left"/>
      </w:pPr>
      <w:r>
        <w:rPr>
          <w:rFonts w:hint="eastAsia" w:ascii="宋体" w:hAnsi="宋体" w:cs="宋体"/>
          <w:color w:val="0D0D0D"/>
          <w:kern w:val="0"/>
          <w:lang w:bidi="ar"/>
        </w:rPr>
        <w:t>根据建设项目的工程内容及其特点，明确与环境要素间的作用效应关系，根据规划环境影响评价结论和审查意见，充分利用符合时效的数据资料及成果，对建设项目主要环境影响予以重点分析和评价。</w:t>
      </w:r>
    </w:p>
    <w:p w14:paraId="3DF8B4F9">
      <w:pPr>
        <w:pStyle w:val="4"/>
        <w:numPr>
          <w:ilvl w:val="2"/>
          <w:numId w:val="0"/>
        </w:numPr>
        <w:ind w:left="995" w:leftChars="0" w:hanging="995" w:hangingChars="413"/>
      </w:pPr>
      <w:r>
        <w:rPr>
          <w:rFonts w:hint="default" w:ascii="宋体" w:hAnsi="宋体" w:eastAsia="宋体" w:cs="宋体"/>
          <w:b/>
          <w:bCs/>
          <w:kern w:val="2"/>
          <w:sz w:val="24"/>
          <w:szCs w:val="24"/>
          <w:lang w:val="en-US" w:eastAsia="zh-CN" w:bidi="ar-SA"/>
        </w:rPr>
        <w:t>2.1.2</w:t>
      </w:r>
      <w:r>
        <w:rPr>
          <w:rFonts w:hint="eastAsia"/>
        </w:rPr>
        <w:t>评价目的</w:t>
      </w:r>
    </w:p>
    <w:p w14:paraId="482CEBCC">
      <w:pPr>
        <w:ind w:firstLine="480"/>
        <w:jc w:val="left"/>
      </w:pPr>
      <w:r>
        <w:rPr>
          <w:rFonts w:hint="eastAsia" w:ascii="宋体" w:hAnsi="宋体" w:cs="宋体"/>
          <w:kern w:val="0"/>
          <w:lang w:bidi="ar"/>
        </w:rPr>
        <w:t>⑴</w:t>
      </w:r>
      <w:r>
        <w:rPr>
          <w:kern w:val="0"/>
          <w:lang w:bidi="ar"/>
        </w:rPr>
        <w:t>调查本项目所在地的环境状况和环境质量现状，区域环境特征，确定环境敏感点及其环境质量保护目标，论证项目的建设及其选址符合国家法律、法规、相关标准及政策的要求。</w:t>
      </w:r>
    </w:p>
    <w:p w14:paraId="34377CF5">
      <w:pPr>
        <w:ind w:firstLine="480"/>
        <w:jc w:val="left"/>
      </w:pPr>
      <w:r>
        <w:rPr>
          <w:rFonts w:hint="eastAsia" w:ascii="宋体" w:hAnsi="宋体" w:cs="宋体"/>
          <w:kern w:val="0"/>
          <w:lang w:bidi="ar"/>
        </w:rPr>
        <w:t>⑵</w:t>
      </w:r>
      <w:r>
        <w:rPr>
          <w:kern w:val="0"/>
          <w:lang w:bidi="ar"/>
        </w:rPr>
        <w:t>根据本项目的原料、处理规模和处理工艺特点，弄清主要环境影响因素、主要污染源和主要污染物，分析评价本项目所排放的废气、废水、废渣以及产生的噪声对当地环境空气、水体环境、声环境、生态环境、地下水的影响程度和范围；论证项目运营期对环境的影响可控制在法律、法规和标准的允许范围之内。</w:t>
      </w:r>
    </w:p>
    <w:p w14:paraId="4A5DB65B">
      <w:pPr>
        <w:ind w:firstLine="480"/>
        <w:jc w:val="left"/>
      </w:pPr>
      <w:r>
        <w:rPr>
          <w:rFonts w:hint="eastAsia" w:ascii="宋体" w:hAnsi="宋体" w:cs="宋体"/>
          <w:color w:val="0D0D0D"/>
          <w:kern w:val="0"/>
          <w:lang w:bidi="ar"/>
        </w:rPr>
        <w:t>⑶</w:t>
      </w:r>
      <w:r>
        <w:rPr>
          <w:kern w:val="0"/>
          <w:lang w:bidi="ar"/>
        </w:rPr>
        <w:t>分析本项目运营期所采取的污染防治措施的经济技术可行性，为本项目提供切实可行的环境保护建议措施和对策。</w:t>
      </w:r>
    </w:p>
    <w:p w14:paraId="1112E9DF">
      <w:pPr>
        <w:ind w:firstLine="480"/>
        <w:jc w:val="left"/>
      </w:pPr>
      <w:r>
        <w:rPr>
          <w:rFonts w:hint="eastAsia" w:ascii="宋体" w:hAnsi="宋体" w:cs="宋体"/>
          <w:kern w:val="0"/>
          <w:lang w:bidi="ar"/>
        </w:rPr>
        <w:t>⑷</w:t>
      </w:r>
      <w:r>
        <w:rPr>
          <w:kern w:val="0"/>
          <w:lang w:bidi="ar"/>
        </w:rPr>
        <w:t>提出运营期的环境管理与监测计划、环境风险防范措施和风险事故应急预案的实施方案，以保证环境保护措施和环境风险防范措施的有效实施。</w:t>
      </w:r>
    </w:p>
    <w:p w14:paraId="4F7160BD">
      <w:pPr>
        <w:ind w:firstLine="480"/>
      </w:pPr>
      <w:r>
        <w:rPr>
          <w:rFonts w:hint="eastAsia" w:ascii="宋体" w:hAnsi="宋体" w:cs="宋体"/>
          <w:kern w:val="0"/>
          <w:lang w:bidi="ar"/>
        </w:rPr>
        <w:t>⑸</w:t>
      </w:r>
      <w:r>
        <w:rPr>
          <w:kern w:val="0"/>
          <w:lang w:bidi="ar"/>
        </w:rPr>
        <w:t>根据环境影响、环境风险、公众意见调查、环境经济损益分析的结论，结合国家和地方相关法规标准、政策和规划，对本项目的选址和工程建设方案的合理合法性以及在环境保护方面的可行性给出结论。</w:t>
      </w:r>
    </w:p>
    <w:p w14:paraId="447F63B8">
      <w:pPr>
        <w:pStyle w:val="3"/>
        <w:numPr>
          <w:ilvl w:val="1"/>
          <w:numId w:val="0"/>
        </w:numPr>
        <w:ind w:left="567" w:leftChars="0" w:hanging="567" w:firstLineChars="0"/>
        <w:rPr>
          <w:sz w:val="28"/>
          <w:szCs w:val="28"/>
        </w:rPr>
      </w:pPr>
      <w:bookmarkStart w:id="60" w:name="_Toc18907"/>
      <w:r>
        <w:rPr>
          <w:rFonts w:hint="default" w:ascii="宋体" w:hAnsi="宋体" w:eastAsia="宋体" w:cs="宋体"/>
          <w:b/>
          <w:bCs/>
          <w:kern w:val="2"/>
          <w:sz w:val="28"/>
          <w:szCs w:val="28"/>
          <w:lang w:val="en-US" w:eastAsia="zh-CN" w:bidi="ar-SA"/>
        </w:rPr>
        <w:t>2.2</w:t>
      </w:r>
      <w:r>
        <w:rPr>
          <w:rFonts w:hint="eastAsia"/>
          <w:sz w:val="28"/>
          <w:szCs w:val="28"/>
        </w:rPr>
        <w:t>编制依据</w:t>
      </w:r>
      <w:bookmarkEnd w:id="60"/>
    </w:p>
    <w:p w14:paraId="57E1FB7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2.2.1</w:t>
      </w:r>
      <w:r>
        <w:rPr>
          <w:rFonts w:hint="eastAsia"/>
        </w:rPr>
        <w:t>法律法规</w:t>
      </w:r>
    </w:p>
    <w:p w14:paraId="4FDC7C03">
      <w:pPr>
        <w:ind w:firstLine="480"/>
        <w:jc w:val="left"/>
        <w:rPr>
          <w:rFonts w:ascii="宋体" w:hAnsi="宋体" w:cs="宋体"/>
          <w:kern w:val="0"/>
          <w:lang w:bidi="ar"/>
        </w:rPr>
      </w:pPr>
      <w:r>
        <w:rPr>
          <w:rFonts w:hint="eastAsia" w:ascii="宋体" w:hAnsi="宋体" w:cs="宋体"/>
          <w:kern w:val="0"/>
          <w:lang w:bidi="ar"/>
        </w:rPr>
        <w:t>（1）《中华人民共和国环境保护法》（2014年4月24日修订，2015年1月1日实施）；</w:t>
      </w:r>
    </w:p>
    <w:p w14:paraId="2F06EF3D">
      <w:pPr>
        <w:ind w:firstLine="480"/>
        <w:jc w:val="left"/>
        <w:rPr>
          <w:rFonts w:ascii="宋体" w:hAnsi="宋体" w:cs="宋体"/>
          <w:kern w:val="0"/>
          <w:lang w:bidi="ar"/>
        </w:rPr>
      </w:pPr>
      <w:r>
        <w:rPr>
          <w:rFonts w:hint="eastAsia" w:ascii="宋体" w:hAnsi="宋体" w:cs="宋体"/>
          <w:kern w:val="0"/>
          <w:lang w:bidi="ar"/>
        </w:rPr>
        <w:t>（2）《中华人民共和国环境影响评价法》（2018年12月29日修订并实施）；</w:t>
      </w:r>
    </w:p>
    <w:p w14:paraId="1DB002F3">
      <w:pPr>
        <w:ind w:firstLine="480"/>
        <w:jc w:val="left"/>
        <w:rPr>
          <w:rFonts w:ascii="宋体" w:hAnsi="宋体" w:cs="宋体"/>
          <w:kern w:val="0"/>
          <w:lang w:bidi="ar"/>
        </w:rPr>
      </w:pPr>
      <w:r>
        <w:rPr>
          <w:rFonts w:hint="eastAsia" w:ascii="宋体" w:hAnsi="宋体" w:cs="宋体"/>
          <w:kern w:val="0"/>
          <w:lang w:bidi="ar"/>
        </w:rPr>
        <w:t>（3）《中华人民共和国大气污染防治法》（2018年10月26日修订并实施）；</w:t>
      </w:r>
    </w:p>
    <w:p w14:paraId="38E75A42">
      <w:pPr>
        <w:ind w:firstLine="480"/>
        <w:jc w:val="left"/>
        <w:rPr>
          <w:rFonts w:ascii="宋体" w:hAnsi="宋体" w:cs="宋体"/>
          <w:kern w:val="0"/>
          <w:lang w:bidi="ar"/>
        </w:rPr>
      </w:pPr>
      <w:r>
        <w:rPr>
          <w:rFonts w:hint="eastAsia" w:ascii="宋体" w:hAnsi="宋体" w:cs="宋体"/>
          <w:kern w:val="0"/>
          <w:lang w:bidi="ar"/>
        </w:rPr>
        <w:t>（4）《中华人民共和国水污染防治法》（2017年6月27日修订，2018年1月1日起施行）；</w:t>
      </w:r>
    </w:p>
    <w:p w14:paraId="5FD42EA6">
      <w:pPr>
        <w:ind w:firstLine="480"/>
        <w:jc w:val="left"/>
        <w:rPr>
          <w:rFonts w:ascii="宋体" w:hAnsi="宋体" w:cs="宋体"/>
          <w:kern w:val="0"/>
          <w:lang w:bidi="ar"/>
        </w:rPr>
      </w:pPr>
      <w:r>
        <w:rPr>
          <w:rFonts w:hint="eastAsia" w:ascii="宋体" w:hAnsi="宋体" w:cs="宋体"/>
          <w:kern w:val="0"/>
          <w:lang w:bidi="ar"/>
        </w:rPr>
        <w:t>（5）《中华人民共和国土壤污染防治法》（2018年8月31日通过，2019年1月1日施行）</w:t>
      </w:r>
    </w:p>
    <w:p w14:paraId="7EF96606">
      <w:pPr>
        <w:ind w:firstLine="480"/>
        <w:jc w:val="left"/>
        <w:rPr>
          <w:rFonts w:ascii="宋体" w:hAnsi="宋体" w:cs="宋体"/>
          <w:kern w:val="0"/>
          <w:lang w:bidi="ar"/>
        </w:rPr>
      </w:pPr>
      <w:r>
        <w:rPr>
          <w:rFonts w:hint="eastAsia" w:ascii="宋体" w:hAnsi="宋体" w:cs="宋体"/>
          <w:kern w:val="0"/>
          <w:lang w:bidi="ar"/>
        </w:rPr>
        <w:t>（6）《中华人民共和国固体废物污染环境防治法》（2020年4月29日修订，2020年9月1日起实施）；</w:t>
      </w:r>
    </w:p>
    <w:p w14:paraId="08F3C54F">
      <w:pPr>
        <w:ind w:firstLine="480"/>
        <w:jc w:val="left"/>
        <w:rPr>
          <w:rFonts w:ascii="宋体" w:hAnsi="宋体" w:cs="宋体"/>
          <w:kern w:val="0"/>
          <w:lang w:bidi="ar"/>
        </w:rPr>
      </w:pPr>
      <w:r>
        <w:rPr>
          <w:rFonts w:hint="eastAsia" w:ascii="宋体" w:hAnsi="宋体" w:cs="宋体"/>
          <w:kern w:val="0"/>
          <w:lang w:bidi="ar"/>
        </w:rPr>
        <w:t>（7）《中华人民共和国噪声污染防治法》（2021年12月24日通过，2022年6月5日起施行）；</w:t>
      </w:r>
    </w:p>
    <w:p w14:paraId="0B688163">
      <w:pPr>
        <w:ind w:firstLine="480"/>
        <w:jc w:val="left"/>
        <w:rPr>
          <w:rFonts w:ascii="宋体" w:hAnsi="宋体" w:cs="宋体"/>
          <w:kern w:val="0"/>
          <w:lang w:bidi="ar"/>
        </w:rPr>
      </w:pPr>
      <w:r>
        <w:rPr>
          <w:rFonts w:hint="eastAsia" w:ascii="宋体" w:hAnsi="宋体" w:cs="宋体"/>
          <w:kern w:val="0"/>
          <w:lang w:bidi="ar"/>
        </w:rPr>
        <w:t>（8）《中华人民共和国清洁生产促进法》（2012年2月29日修订，2012年7月1日起施行）；</w:t>
      </w:r>
    </w:p>
    <w:p w14:paraId="3586215E">
      <w:pPr>
        <w:ind w:firstLine="480"/>
        <w:jc w:val="left"/>
        <w:rPr>
          <w:rFonts w:ascii="宋体" w:hAnsi="宋体" w:cs="宋体"/>
          <w:kern w:val="0"/>
          <w:lang w:bidi="ar"/>
        </w:rPr>
      </w:pPr>
      <w:r>
        <w:rPr>
          <w:rFonts w:hint="eastAsia" w:ascii="宋体" w:hAnsi="宋体" w:cs="宋体"/>
          <w:kern w:val="0"/>
          <w:lang w:bidi="ar"/>
        </w:rPr>
        <w:t>（9）《中华人民共和国节约能源法》（2018年10月26日修订并实施）；</w:t>
      </w:r>
    </w:p>
    <w:p w14:paraId="42C3596A">
      <w:pPr>
        <w:ind w:firstLine="480"/>
        <w:jc w:val="left"/>
        <w:rPr>
          <w:rFonts w:ascii="宋体" w:hAnsi="宋体" w:cs="宋体"/>
          <w:kern w:val="0"/>
          <w:lang w:bidi="ar"/>
        </w:rPr>
      </w:pPr>
      <w:r>
        <w:rPr>
          <w:rFonts w:hint="eastAsia" w:ascii="宋体" w:hAnsi="宋体" w:cs="宋体"/>
          <w:kern w:val="0"/>
          <w:lang w:bidi="ar"/>
        </w:rPr>
        <w:t>（10）《中华人民共和国土地管理法》（2019年8月26日修订并实施）；</w:t>
      </w:r>
    </w:p>
    <w:p w14:paraId="332BD8C6">
      <w:pPr>
        <w:ind w:firstLine="480"/>
        <w:jc w:val="left"/>
        <w:rPr>
          <w:rFonts w:ascii="宋体" w:hAnsi="宋体" w:cs="宋体"/>
          <w:kern w:val="0"/>
          <w:lang w:bidi="ar"/>
        </w:rPr>
      </w:pPr>
      <w:r>
        <w:rPr>
          <w:rFonts w:hint="eastAsia" w:ascii="宋体" w:hAnsi="宋体" w:cs="宋体"/>
          <w:kern w:val="0"/>
          <w:lang w:bidi="ar"/>
        </w:rPr>
        <w:t>（11）《建设项目环境保护管理条例》（2017年7月16日修订，2017年10月1日实施）；</w:t>
      </w:r>
    </w:p>
    <w:p w14:paraId="4549E5CF">
      <w:pPr>
        <w:ind w:firstLine="480"/>
        <w:jc w:val="left"/>
        <w:rPr>
          <w:rFonts w:ascii="宋体" w:hAnsi="宋体" w:cs="宋体"/>
          <w:kern w:val="0"/>
          <w:lang w:bidi="ar"/>
        </w:rPr>
      </w:pPr>
      <w:r>
        <w:rPr>
          <w:rFonts w:hint="eastAsia" w:ascii="宋体" w:hAnsi="宋体" w:cs="宋体"/>
          <w:kern w:val="0"/>
          <w:lang w:bidi="ar"/>
        </w:rPr>
        <w:t>（12）《建设项目环境影响评价分类管理名录》（2021年1月1日实施）；</w:t>
      </w:r>
    </w:p>
    <w:p w14:paraId="61956A40">
      <w:pPr>
        <w:ind w:firstLine="480"/>
        <w:jc w:val="left"/>
        <w:rPr>
          <w:rFonts w:ascii="宋体" w:hAnsi="宋体" w:cs="宋体"/>
          <w:kern w:val="0"/>
          <w:lang w:bidi="ar"/>
        </w:rPr>
      </w:pPr>
      <w:r>
        <w:rPr>
          <w:rFonts w:hint="eastAsia" w:ascii="宋体" w:hAnsi="宋体" w:cs="宋体"/>
          <w:kern w:val="0"/>
          <w:lang w:bidi="ar"/>
        </w:rPr>
        <w:t>（13）《国民经济行业分类》（GB/T 4754-2017）国家标准第1号修改单（2019年3月25日批准，2019年3月29日起实施）；</w:t>
      </w:r>
    </w:p>
    <w:p w14:paraId="3AA69E39">
      <w:pPr>
        <w:ind w:firstLine="480"/>
        <w:jc w:val="left"/>
        <w:rPr>
          <w:rFonts w:ascii="宋体" w:hAnsi="宋体" w:cs="宋体"/>
          <w:kern w:val="0"/>
          <w:lang w:bidi="ar"/>
        </w:rPr>
      </w:pPr>
      <w:r>
        <w:rPr>
          <w:rFonts w:hint="eastAsia" w:ascii="宋体" w:hAnsi="宋体" w:cs="宋体"/>
          <w:kern w:val="0"/>
          <w:lang w:bidi="ar"/>
        </w:rPr>
        <w:t>（14）《促进产业结构调整暂行规定》（国务院国发〔2005〕40号，2005年12月2日）；</w:t>
      </w:r>
    </w:p>
    <w:p w14:paraId="6DAF9CF2">
      <w:pPr>
        <w:ind w:firstLine="480"/>
        <w:jc w:val="left"/>
        <w:rPr>
          <w:rFonts w:ascii="宋体" w:hAnsi="宋体" w:cs="宋体"/>
          <w:kern w:val="0"/>
          <w:lang w:bidi="ar"/>
        </w:rPr>
      </w:pPr>
      <w:r>
        <w:rPr>
          <w:rFonts w:hint="eastAsia" w:ascii="宋体" w:hAnsi="宋体" w:cs="宋体"/>
          <w:kern w:val="0"/>
          <w:lang w:bidi="ar"/>
        </w:rPr>
        <w:t>（15）《国家发展改革委关于修改&lt;产业结构调整指导目录（2019年本）&gt;的决定》（中华人民共和国国家发展和改革委员会令第49号令，2021.12.27）</w:t>
      </w:r>
    </w:p>
    <w:p w14:paraId="2DB8E58C">
      <w:pPr>
        <w:ind w:firstLine="480"/>
        <w:jc w:val="left"/>
        <w:rPr>
          <w:rFonts w:ascii="宋体" w:hAnsi="宋体" w:cs="宋体"/>
          <w:kern w:val="0"/>
          <w:lang w:bidi="ar"/>
        </w:rPr>
      </w:pPr>
      <w:r>
        <w:rPr>
          <w:rFonts w:hint="eastAsia" w:ascii="宋体" w:hAnsi="宋体" w:cs="宋体"/>
          <w:kern w:val="0"/>
          <w:lang w:bidi="ar"/>
        </w:rPr>
        <w:t>（16）《国务院关于印发节能减排综合性工作方案的通知》（国发〔2007〕15号）；</w:t>
      </w:r>
    </w:p>
    <w:p w14:paraId="0C87C2F8">
      <w:pPr>
        <w:ind w:firstLine="480"/>
        <w:jc w:val="left"/>
        <w:rPr>
          <w:rFonts w:ascii="宋体" w:hAnsi="宋体" w:cs="宋体"/>
          <w:kern w:val="0"/>
          <w:lang w:bidi="ar"/>
        </w:rPr>
      </w:pPr>
      <w:r>
        <w:rPr>
          <w:rFonts w:hint="eastAsia" w:ascii="宋体" w:hAnsi="宋体" w:cs="宋体"/>
          <w:kern w:val="0"/>
          <w:lang w:bidi="ar"/>
        </w:rPr>
        <w:t>（17）《关于进一步加强环境影响评价管理防范环境风险的通知》（环发〔2012〕77号）；</w:t>
      </w:r>
    </w:p>
    <w:p w14:paraId="626FFF86">
      <w:pPr>
        <w:ind w:firstLine="480"/>
        <w:jc w:val="left"/>
        <w:rPr>
          <w:rFonts w:ascii="宋体" w:hAnsi="宋体" w:cs="宋体"/>
          <w:kern w:val="0"/>
          <w:lang w:bidi="ar"/>
        </w:rPr>
      </w:pPr>
      <w:r>
        <w:rPr>
          <w:rFonts w:hint="eastAsia" w:ascii="宋体" w:hAnsi="宋体" w:cs="宋体"/>
          <w:kern w:val="0"/>
          <w:lang w:bidi="ar"/>
        </w:rPr>
        <w:t>（18）《环境影响评价公众参与办法》（生态环境部，2019年部令第4号）；</w:t>
      </w:r>
    </w:p>
    <w:p w14:paraId="4546E319">
      <w:pPr>
        <w:ind w:firstLine="480"/>
        <w:jc w:val="left"/>
        <w:rPr>
          <w:rFonts w:ascii="宋体" w:hAnsi="宋体" w:cs="宋体"/>
          <w:kern w:val="0"/>
          <w:lang w:bidi="ar"/>
        </w:rPr>
      </w:pPr>
      <w:r>
        <w:rPr>
          <w:rFonts w:hint="eastAsia" w:ascii="宋体" w:hAnsi="宋体" w:cs="宋体"/>
          <w:kern w:val="0"/>
          <w:lang w:bidi="ar"/>
        </w:rPr>
        <w:t>（19）《湖南省地方标准用水定额》（DB43/T388—2020）；</w:t>
      </w:r>
    </w:p>
    <w:p w14:paraId="592BF20E">
      <w:pPr>
        <w:ind w:firstLine="480"/>
        <w:jc w:val="left"/>
        <w:rPr>
          <w:rFonts w:ascii="宋体" w:hAnsi="宋体" w:cs="宋体"/>
          <w:kern w:val="0"/>
          <w:lang w:bidi="ar"/>
        </w:rPr>
      </w:pPr>
      <w:r>
        <w:rPr>
          <w:rFonts w:hint="eastAsia" w:ascii="宋体" w:hAnsi="宋体" w:cs="宋体"/>
          <w:kern w:val="0"/>
          <w:lang w:bidi="ar"/>
        </w:rPr>
        <w:t>（20）《环境空气细颗粒物污染综合防治技术政策》（2013年9月25日）</w:t>
      </w:r>
    </w:p>
    <w:p w14:paraId="1C18084D">
      <w:pPr>
        <w:ind w:firstLine="480"/>
        <w:jc w:val="left"/>
        <w:rPr>
          <w:rFonts w:ascii="宋体" w:hAnsi="宋体" w:cs="宋体"/>
          <w:kern w:val="0"/>
          <w:lang w:bidi="ar"/>
        </w:rPr>
      </w:pPr>
      <w:r>
        <w:rPr>
          <w:rFonts w:hint="eastAsia" w:ascii="宋体" w:hAnsi="宋体" w:cs="宋体"/>
          <w:kern w:val="0"/>
          <w:lang w:bidi="ar"/>
        </w:rPr>
        <w:t>（21）《湖南省环境保护条例》2019年9月28日修正；</w:t>
      </w:r>
    </w:p>
    <w:p w14:paraId="4B7C4B68">
      <w:pPr>
        <w:ind w:firstLine="480"/>
        <w:jc w:val="left"/>
        <w:rPr>
          <w:rFonts w:ascii="宋体" w:hAnsi="宋体" w:cs="宋体"/>
          <w:kern w:val="0"/>
          <w:lang w:bidi="ar"/>
        </w:rPr>
      </w:pPr>
      <w:r>
        <w:rPr>
          <w:rFonts w:hint="eastAsia" w:ascii="宋体" w:hAnsi="宋体" w:cs="宋体"/>
          <w:kern w:val="0"/>
          <w:lang w:bidi="ar"/>
        </w:rPr>
        <w:t>（22）《国家危险废物名录》2021年1月1日起施行；</w:t>
      </w:r>
    </w:p>
    <w:p w14:paraId="3035D014">
      <w:pPr>
        <w:ind w:firstLine="480"/>
        <w:jc w:val="left"/>
        <w:rPr>
          <w:rFonts w:ascii="宋体" w:hAnsi="宋体" w:cs="宋体"/>
          <w:kern w:val="0"/>
          <w:lang w:bidi="ar"/>
        </w:rPr>
      </w:pPr>
      <w:r>
        <w:rPr>
          <w:rFonts w:hint="eastAsia" w:ascii="宋体" w:hAnsi="宋体" w:cs="宋体"/>
          <w:kern w:val="0"/>
          <w:lang w:bidi="ar"/>
        </w:rPr>
        <w:t>（23）《危险化学品重大危险源辨识》（GB18218—2018）；</w:t>
      </w:r>
    </w:p>
    <w:p w14:paraId="5FFF41C9">
      <w:pPr>
        <w:ind w:firstLine="480"/>
        <w:jc w:val="left"/>
        <w:rPr>
          <w:rFonts w:ascii="宋体" w:hAnsi="宋体" w:cs="宋体"/>
          <w:kern w:val="0"/>
          <w:lang w:bidi="ar"/>
        </w:rPr>
      </w:pPr>
      <w:r>
        <w:rPr>
          <w:rFonts w:hint="eastAsia" w:ascii="宋体" w:hAnsi="宋体" w:cs="宋体"/>
          <w:kern w:val="0"/>
          <w:lang w:bidi="ar"/>
        </w:rPr>
        <w:t>（24）《危险废物贮存污染控制标准》（GB18597—2023）；</w:t>
      </w:r>
    </w:p>
    <w:p w14:paraId="53BCA898">
      <w:pPr>
        <w:ind w:firstLine="480"/>
        <w:jc w:val="left"/>
        <w:rPr>
          <w:rFonts w:ascii="宋体" w:hAnsi="宋体" w:cs="宋体"/>
          <w:kern w:val="0"/>
          <w:lang w:bidi="ar"/>
        </w:rPr>
      </w:pPr>
      <w:r>
        <w:rPr>
          <w:rFonts w:hint="eastAsia" w:ascii="宋体" w:hAnsi="宋体" w:cs="宋体"/>
          <w:kern w:val="0"/>
          <w:lang w:bidi="ar"/>
        </w:rPr>
        <w:t>（25）《关于加强规划环境影响评价与建设项目环境影响评价联动工作的意见》（环发〔2015〕178号）；</w:t>
      </w:r>
    </w:p>
    <w:p w14:paraId="69981CF9">
      <w:pPr>
        <w:ind w:firstLine="480"/>
        <w:jc w:val="left"/>
        <w:rPr>
          <w:rFonts w:ascii="宋体" w:hAnsi="宋体" w:cs="宋体"/>
          <w:kern w:val="0"/>
          <w:lang w:bidi="ar"/>
        </w:rPr>
      </w:pPr>
      <w:r>
        <w:rPr>
          <w:rFonts w:hint="eastAsia" w:ascii="宋体" w:hAnsi="宋体" w:cs="宋体"/>
          <w:kern w:val="0"/>
          <w:lang w:bidi="ar"/>
        </w:rPr>
        <w:t>（26）《国务院关于印发水污染防治行动计划的通知》（国发〔2015〕17号）；</w:t>
      </w:r>
    </w:p>
    <w:p w14:paraId="3E5E6C58">
      <w:pPr>
        <w:ind w:firstLine="480"/>
        <w:jc w:val="left"/>
        <w:rPr>
          <w:rFonts w:ascii="宋体" w:hAnsi="宋体" w:cs="宋体"/>
          <w:kern w:val="0"/>
          <w:lang w:bidi="ar"/>
        </w:rPr>
      </w:pPr>
      <w:r>
        <w:rPr>
          <w:rFonts w:hint="eastAsia" w:ascii="宋体" w:hAnsi="宋体" w:cs="宋体"/>
          <w:kern w:val="0"/>
          <w:lang w:bidi="ar"/>
        </w:rPr>
        <w:t>（27）《国务院关于印发大气污染防治行动计划的通知》（国发〔2013〕37号）；</w:t>
      </w:r>
    </w:p>
    <w:p w14:paraId="153BCFF2">
      <w:pPr>
        <w:ind w:firstLine="480"/>
        <w:jc w:val="left"/>
        <w:rPr>
          <w:rFonts w:ascii="宋体" w:hAnsi="宋体" w:cs="宋体"/>
          <w:kern w:val="0"/>
          <w:lang w:bidi="ar"/>
        </w:rPr>
      </w:pPr>
      <w:r>
        <w:rPr>
          <w:rFonts w:hint="eastAsia" w:ascii="宋体" w:hAnsi="宋体" w:cs="宋体"/>
          <w:kern w:val="0"/>
          <w:lang w:bidi="ar"/>
        </w:rPr>
        <w:t>（28）《国务院关于印发土壤污染防治行动计划的通知》（国发〔2016〕31号）。</w:t>
      </w:r>
    </w:p>
    <w:p w14:paraId="7D25EF6B">
      <w:pPr>
        <w:pStyle w:val="3"/>
        <w:numPr>
          <w:ilvl w:val="1"/>
          <w:numId w:val="0"/>
        </w:numPr>
        <w:ind w:left="567" w:leftChars="0" w:hanging="567" w:firstLineChars="0"/>
      </w:pPr>
      <w:bookmarkStart w:id="61" w:name="_Toc2601"/>
      <w:r>
        <w:rPr>
          <w:rFonts w:hint="default" w:ascii="宋体" w:hAnsi="宋体" w:eastAsia="宋体" w:cs="宋体"/>
          <w:b/>
          <w:bCs/>
          <w:kern w:val="2"/>
          <w:sz w:val="28"/>
          <w:szCs w:val="28"/>
          <w:lang w:val="en-US" w:eastAsia="zh-CN" w:bidi="ar-SA"/>
        </w:rPr>
        <w:t>2.3</w:t>
      </w:r>
      <w:r>
        <w:rPr>
          <w:rFonts w:hint="eastAsia"/>
        </w:rPr>
        <w:t>地方有关政策依据</w:t>
      </w:r>
      <w:bookmarkEnd w:id="61"/>
    </w:p>
    <w:p w14:paraId="5F8D5C98">
      <w:pPr>
        <w:ind w:firstLine="480"/>
        <w:jc w:val="left"/>
        <w:rPr>
          <w:rFonts w:ascii="宋体" w:hAnsi="宋体" w:cs="宋体"/>
          <w:kern w:val="0"/>
          <w:lang w:bidi="ar"/>
        </w:rPr>
      </w:pPr>
      <w:r>
        <w:rPr>
          <w:rFonts w:hint="eastAsia"/>
        </w:rPr>
        <w:t>（</w:t>
      </w:r>
      <w:r>
        <w:rPr>
          <w:rFonts w:hint="eastAsia" w:ascii="宋体" w:hAnsi="宋体" w:cs="宋体"/>
          <w:kern w:val="0"/>
          <w:lang w:bidi="ar"/>
        </w:rPr>
        <w:t>1）《湖南省环境保护条例（修正案）》（2019年9月28日）；</w:t>
      </w:r>
    </w:p>
    <w:p w14:paraId="2463F966">
      <w:pPr>
        <w:ind w:firstLine="480"/>
        <w:jc w:val="left"/>
        <w:rPr>
          <w:rFonts w:ascii="宋体" w:hAnsi="宋体" w:cs="宋体"/>
          <w:kern w:val="0"/>
          <w:lang w:bidi="ar"/>
        </w:rPr>
      </w:pPr>
      <w:r>
        <w:rPr>
          <w:rFonts w:hint="eastAsia" w:ascii="宋体" w:hAnsi="宋体" w:cs="宋体"/>
          <w:kern w:val="0"/>
          <w:lang w:bidi="ar"/>
        </w:rPr>
        <w:t>（2）《湖南省建设项目环境保护管理办法》（第215号）（2007年8月28日）；</w:t>
      </w:r>
    </w:p>
    <w:p w14:paraId="2DCBF598">
      <w:pPr>
        <w:ind w:firstLine="480"/>
        <w:jc w:val="left"/>
        <w:rPr>
          <w:rFonts w:ascii="宋体" w:hAnsi="宋体" w:cs="宋体"/>
          <w:kern w:val="0"/>
          <w:lang w:bidi="ar"/>
        </w:rPr>
      </w:pPr>
      <w:r>
        <w:rPr>
          <w:rFonts w:hint="eastAsia" w:ascii="宋体" w:hAnsi="宋体" w:cs="宋体"/>
          <w:kern w:val="0"/>
          <w:lang w:bidi="ar"/>
        </w:rPr>
        <w:t>（3）《湖南省污染源自动监控管理办法》（第203号）（2006年4月1日）；</w:t>
      </w:r>
    </w:p>
    <w:p w14:paraId="5D881FE3">
      <w:pPr>
        <w:ind w:firstLine="480"/>
        <w:jc w:val="left"/>
        <w:rPr>
          <w:rFonts w:ascii="宋体" w:hAnsi="宋体" w:cs="宋体"/>
          <w:kern w:val="0"/>
          <w:lang w:bidi="ar"/>
        </w:rPr>
      </w:pPr>
      <w:r>
        <w:rPr>
          <w:rFonts w:hint="eastAsia" w:ascii="宋体" w:hAnsi="宋体" w:cs="宋体"/>
          <w:kern w:val="0"/>
          <w:lang w:bidi="ar"/>
        </w:rPr>
        <w:t>（4）《湖南省大气污染防治条例》于2017年3月31日经湖南省第十二届人民代表大会常务委员会第二十九次会议通过，自2017年6月1日起实施；</w:t>
      </w:r>
    </w:p>
    <w:p w14:paraId="31D1DB95">
      <w:pPr>
        <w:ind w:firstLine="480"/>
        <w:jc w:val="left"/>
        <w:rPr>
          <w:rFonts w:ascii="宋体" w:hAnsi="宋体" w:cs="宋体"/>
          <w:kern w:val="0"/>
          <w:lang w:bidi="ar"/>
        </w:rPr>
      </w:pPr>
      <w:r>
        <w:rPr>
          <w:rFonts w:hint="eastAsia" w:ascii="宋体" w:hAnsi="宋体" w:cs="宋体"/>
          <w:kern w:val="0"/>
          <w:lang w:bidi="ar"/>
        </w:rPr>
        <w:t>（5）《关于贯彻落实〈大气污染防治行动计划〉实施细则的通知》（湘政办发〔2013〕77 号）；</w:t>
      </w:r>
    </w:p>
    <w:p w14:paraId="0EEDDD57">
      <w:pPr>
        <w:ind w:firstLine="480"/>
        <w:jc w:val="left"/>
        <w:rPr>
          <w:rFonts w:ascii="宋体" w:hAnsi="宋体" w:cs="宋体"/>
          <w:kern w:val="0"/>
          <w:lang w:bidi="ar"/>
        </w:rPr>
      </w:pPr>
      <w:r>
        <w:rPr>
          <w:rFonts w:hint="eastAsia" w:ascii="宋体" w:hAnsi="宋体" w:cs="宋体"/>
          <w:kern w:val="0"/>
          <w:lang w:bidi="ar"/>
        </w:rPr>
        <w:t>（6）《湖南省主要水系地表水环境功能区划》（DB43/023-2005）；</w:t>
      </w:r>
    </w:p>
    <w:p w14:paraId="130BA598">
      <w:pPr>
        <w:ind w:firstLine="480"/>
        <w:jc w:val="left"/>
        <w:rPr>
          <w:rFonts w:ascii="宋体" w:hAnsi="宋体" w:cs="宋体"/>
          <w:kern w:val="0"/>
          <w:lang w:bidi="ar"/>
        </w:rPr>
      </w:pPr>
      <w:r>
        <w:rPr>
          <w:rFonts w:hint="eastAsia" w:ascii="宋体" w:hAnsi="宋体" w:cs="宋体"/>
          <w:kern w:val="0"/>
          <w:lang w:bidi="ar"/>
        </w:rPr>
        <w:t>（7）湖南省人民政府《湖南省人民政府关于公布湖南省县级以上地表水集中式饮用水水源保护区划定方案的通知》（湘政函〔2016〕176号）；</w:t>
      </w:r>
    </w:p>
    <w:p w14:paraId="4D82B937">
      <w:pPr>
        <w:ind w:firstLine="480"/>
        <w:jc w:val="left"/>
        <w:rPr>
          <w:rFonts w:ascii="宋体" w:hAnsi="宋体" w:cs="宋体"/>
          <w:kern w:val="0"/>
          <w:lang w:bidi="ar"/>
        </w:rPr>
      </w:pPr>
      <w:r>
        <w:rPr>
          <w:rFonts w:hint="eastAsia" w:ascii="宋体" w:hAnsi="宋体" w:cs="宋体"/>
          <w:kern w:val="0"/>
          <w:lang w:bidi="ar"/>
        </w:rPr>
        <w:t>（8）《湖南省饮用水水源保护条例》（2018年1月1日）；</w:t>
      </w:r>
    </w:p>
    <w:p w14:paraId="47DE8FF6">
      <w:pPr>
        <w:ind w:firstLine="480"/>
        <w:jc w:val="left"/>
        <w:rPr>
          <w:rFonts w:ascii="宋体" w:hAnsi="宋体" w:cs="宋体"/>
          <w:kern w:val="0"/>
          <w:lang w:bidi="ar"/>
        </w:rPr>
      </w:pPr>
      <w:r>
        <w:rPr>
          <w:rFonts w:hint="eastAsia" w:ascii="宋体" w:hAnsi="宋体" w:cs="宋体"/>
          <w:kern w:val="0"/>
          <w:lang w:bidi="ar"/>
        </w:rPr>
        <w:t>（9）《湖南省长株潭城市群区域规划条例》（2008年1月1日实施）；</w:t>
      </w:r>
    </w:p>
    <w:p w14:paraId="25CCCE6C">
      <w:pPr>
        <w:ind w:firstLine="480"/>
        <w:jc w:val="left"/>
        <w:rPr>
          <w:rFonts w:ascii="宋体" w:hAnsi="宋体" w:cs="宋体"/>
          <w:kern w:val="0"/>
          <w:lang w:bidi="ar"/>
        </w:rPr>
      </w:pPr>
      <w:r>
        <w:rPr>
          <w:rFonts w:hint="eastAsia" w:ascii="宋体" w:hAnsi="宋体" w:cs="宋体"/>
          <w:kern w:val="0"/>
          <w:lang w:bidi="ar"/>
        </w:rPr>
        <w:t>（10）《湖南省人民政府关于推进长株潭大气污染联防联控工作的意见》（湘政发〔2012〕22号）；</w:t>
      </w:r>
    </w:p>
    <w:p w14:paraId="54644B12">
      <w:pPr>
        <w:ind w:firstLine="480"/>
        <w:jc w:val="left"/>
        <w:rPr>
          <w:rFonts w:ascii="宋体" w:hAnsi="宋体" w:cs="宋体"/>
          <w:kern w:val="0"/>
          <w:lang w:bidi="ar"/>
        </w:rPr>
      </w:pPr>
      <w:r>
        <w:rPr>
          <w:rFonts w:hint="eastAsia" w:ascii="宋体" w:hAnsi="宋体" w:cs="宋体"/>
          <w:kern w:val="0"/>
          <w:lang w:bidi="ar"/>
        </w:rPr>
        <w:t>（11）湖南省人民政府办公厅关于印发《湖南省“十四五”生态环境保护规划》的通知，湘政办发〔2021〕61号；</w:t>
      </w:r>
    </w:p>
    <w:p w14:paraId="625CC15B">
      <w:pPr>
        <w:ind w:firstLine="480"/>
        <w:jc w:val="left"/>
        <w:rPr>
          <w:rFonts w:ascii="宋体" w:hAnsi="宋体" w:cs="宋体"/>
          <w:kern w:val="0"/>
          <w:lang w:bidi="ar"/>
        </w:rPr>
      </w:pPr>
      <w:r>
        <w:rPr>
          <w:rFonts w:hint="eastAsia" w:ascii="宋体" w:hAnsi="宋体" w:cs="宋体"/>
          <w:kern w:val="0"/>
          <w:lang w:bidi="ar"/>
        </w:rPr>
        <w:t>（12）《湖南省人民政府关于落实科学发展观切实加强环境保护的决定》（湘政发〔2006〕23号，2006年9月9日）；</w:t>
      </w:r>
    </w:p>
    <w:p w14:paraId="24DC8946">
      <w:pPr>
        <w:ind w:firstLine="480"/>
        <w:jc w:val="left"/>
        <w:rPr>
          <w:rFonts w:ascii="宋体" w:hAnsi="宋体" w:cs="宋体"/>
          <w:kern w:val="0"/>
          <w:lang w:bidi="ar"/>
        </w:rPr>
      </w:pPr>
      <w:r>
        <w:rPr>
          <w:rFonts w:hint="eastAsia" w:ascii="宋体" w:hAnsi="宋体" w:cs="宋体"/>
          <w:kern w:val="0"/>
          <w:lang w:bidi="ar"/>
        </w:rPr>
        <w:t>（13）《关于进一步规范建设项目重点污染物排放总量指标审核及管理工作的通知》（湘环函〔2015〕233号）；</w:t>
      </w:r>
    </w:p>
    <w:p w14:paraId="787BE1AE">
      <w:pPr>
        <w:ind w:firstLine="480"/>
        <w:jc w:val="left"/>
        <w:rPr>
          <w:rFonts w:ascii="宋体" w:hAnsi="宋体" w:cs="宋体"/>
          <w:kern w:val="0"/>
          <w:lang w:bidi="ar"/>
        </w:rPr>
      </w:pPr>
      <w:r>
        <w:rPr>
          <w:rFonts w:hint="eastAsia" w:ascii="宋体" w:hAnsi="宋体" w:cs="宋体"/>
          <w:kern w:val="0"/>
          <w:lang w:bidi="ar"/>
        </w:rPr>
        <w:t>（14）湖南省人民政府关于印发《湖南省生态保护红线》的通知（湘政发〔2018〕20号）；</w:t>
      </w:r>
    </w:p>
    <w:p w14:paraId="2B01D7E3">
      <w:pPr>
        <w:ind w:firstLine="480"/>
        <w:jc w:val="left"/>
        <w:rPr>
          <w:rFonts w:ascii="宋体" w:hAnsi="宋体" w:cs="宋体"/>
          <w:kern w:val="0"/>
          <w:lang w:bidi="ar"/>
        </w:rPr>
      </w:pPr>
      <w:r>
        <w:rPr>
          <w:rFonts w:hint="eastAsia" w:ascii="宋体" w:hAnsi="宋体" w:cs="宋体"/>
          <w:kern w:val="0"/>
          <w:lang w:bidi="ar"/>
        </w:rPr>
        <w:t>（15）《湖南省人民政府关于印发〈湖南省土壤污染防治工作方案〉的通知》（湘政发〔2017〕4 号）；</w:t>
      </w:r>
    </w:p>
    <w:p w14:paraId="398DB82A">
      <w:pPr>
        <w:ind w:firstLine="480"/>
        <w:jc w:val="left"/>
        <w:rPr>
          <w:rFonts w:ascii="宋体" w:hAnsi="宋体" w:cs="宋体"/>
          <w:kern w:val="0"/>
          <w:lang w:bidi="ar"/>
        </w:rPr>
      </w:pPr>
      <w:r>
        <w:rPr>
          <w:rFonts w:hint="eastAsia" w:ascii="宋体" w:hAnsi="宋体" w:cs="宋体"/>
          <w:kern w:val="0"/>
          <w:lang w:bidi="ar"/>
        </w:rPr>
        <w:t>（16）《湖南省主体功能区规划》（湘政发〔2012〕39号）；</w:t>
      </w:r>
    </w:p>
    <w:p w14:paraId="1C1AA5FD">
      <w:pPr>
        <w:spacing w:line="360" w:lineRule="auto"/>
        <w:ind w:firstLine="480"/>
        <w:jc w:val="left"/>
        <w:rPr>
          <w:rFonts w:ascii="宋体" w:hAnsi="宋体" w:cs="宋体"/>
          <w:kern w:val="0"/>
          <w:u w:val="none"/>
          <w:lang w:bidi="ar"/>
        </w:rPr>
      </w:pPr>
      <w:r>
        <w:rPr>
          <w:rFonts w:hint="eastAsia" w:ascii="宋体" w:hAnsi="宋体" w:cs="宋体"/>
          <w:kern w:val="0"/>
          <w:u w:val="none"/>
          <w:lang w:bidi="ar"/>
        </w:rPr>
        <w:t>（17）</w:t>
      </w:r>
      <w:r>
        <w:rPr>
          <w:rFonts w:ascii="宋体" w:hAnsi="宋体" w:cs="宋体"/>
          <w:kern w:val="0"/>
          <w:lang w:bidi="ar"/>
        </w:rPr>
        <w:t>《湘潭市大气污染防治攻坚行动实施方案》</w:t>
      </w:r>
    </w:p>
    <w:p w14:paraId="7FB40E5B">
      <w:pPr>
        <w:spacing w:line="360" w:lineRule="auto"/>
        <w:ind w:firstLine="480"/>
        <w:jc w:val="left"/>
        <w:rPr>
          <w:rFonts w:ascii="宋体" w:hAnsi="宋体" w:cs="宋体"/>
          <w:kern w:val="0"/>
          <w:u w:val="none"/>
          <w:lang w:bidi="ar"/>
        </w:rPr>
      </w:pPr>
      <w:r>
        <w:rPr>
          <w:rFonts w:hint="eastAsia" w:ascii="宋体" w:hAnsi="宋体" w:cs="宋体"/>
          <w:kern w:val="0"/>
          <w:u w:val="none"/>
          <w:lang w:bidi="ar"/>
        </w:rPr>
        <w:t>（18）《湘潭市“十四五”生态环境保护规划》（潭政办发〔2021〕47号）；</w:t>
      </w:r>
    </w:p>
    <w:p w14:paraId="03C30A21">
      <w:pPr>
        <w:spacing w:line="360" w:lineRule="auto"/>
        <w:ind w:firstLine="480"/>
        <w:jc w:val="left"/>
        <w:rPr>
          <w:rFonts w:hint="eastAsia" w:ascii="宋体" w:hAnsi="宋体" w:cs="宋体"/>
          <w:kern w:val="0"/>
          <w:u w:val="none"/>
          <w:lang w:bidi="ar"/>
        </w:rPr>
      </w:pPr>
      <w:r>
        <w:rPr>
          <w:rFonts w:hint="eastAsia" w:ascii="宋体" w:hAnsi="宋体" w:cs="宋体"/>
          <w:kern w:val="0"/>
          <w:u w:val="none"/>
          <w:lang w:bidi="ar"/>
        </w:rPr>
        <w:t>（19）《湖南省长江经济带发展负面清单实施细则（试行，2022年版）》。</w:t>
      </w:r>
    </w:p>
    <w:p w14:paraId="59AC148B">
      <w:pPr>
        <w:pStyle w:val="95"/>
        <w:spacing w:line="360" w:lineRule="auto"/>
        <w:ind w:firstLine="480" w:firstLineChars="200"/>
      </w:pPr>
      <w:r>
        <w:rPr>
          <w:rFonts w:hint="eastAsia"/>
          <w:u w:val="single"/>
        </w:rPr>
        <w:t>（</w:t>
      </w:r>
      <w:r>
        <w:rPr>
          <w:rFonts w:hint="eastAsia"/>
          <w:u w:val="single"/>
          <w:lang w:val="en-US" w:eastAsia="zh-CN"/>
        </w:rPr>
        <w:t>20</w:t>
      </w:r>
      <w:r>
        <w:rPr>
          <w:rFonts w:hint="eastAsia"/>
          <w:u w:val="single"/>
        </w:rPr>
        <w:t>）《</w:t>
      </w:r>
      <w:r>
        <w:rPr>
          <w:rFonts w:hint="eastAsia"/>
          <w:u w:val="single"/>
          <w:lang w:val="en-US" w:eastAsia="zh-CN"/>
        </w:rPr>
        <w:t>长株潭及传输通道城市环境空气质量达标攻坚行动计划</w:t>
      </w:r>
      <w:r>
        <w:rPr>
          <w:rFonts w:hint="eastAsia"/>
          <w:u w:val="single"/>
        </w:rPr>
        <w:t>》（潭政办发〔202</w:t>
      </w:r>
      <w:r>
        <w:rPr>
          <w:rFonts w:hint="eastAsia"/>
          <w:u w:val="single"/>
          <w:lang w:val="en-US" w:eastAsia="zh-CN"/>
        </w:rPr>
        <w:t>3</w:t>
      </w:r>
      <w:r>
        <w:rPr>
          <w:rFonts w:hint="eastAsia"/>
          <w:u w:val="single"/>
        </w:rPr>
        <w:t>〕</w:t>
      </w:r>
      <w:r>
        <w:rPr>
          <w:rFonts w:hint="eastAsia"/>
          <w:u w:val="single"/>
          <w:lang w:val="en-US" w:eastAsia="zh-CN"/>
        </w:rPr>
        <w:t>3</w:t>
      </w:r>
      <w:r>
        <w:rPr>
          <w:rFonts w:hint="eastAsia"/>
          <w:u w:val="single"/>
        </w:rPr>
        <w:t>号。</w:t>
      </w:r>
    </w:p>
    <w:p w14:paraId="4D769947">
      <w:pPr>
        <w:pStyle w:val="3"/>
        <w:numPr>
          <w:ilvl w:val="1"/>
          <w:numId w:val="0"/>
        </w:numPr>
        <w:ind w:left="567" w:leftChars="0" w:hanging="567" w:firstLineChars="0"/>
      </w:pPr>
      <w:bookmarkStart w:id="62" w:name="_Toc27246"/>
      <w:r>
        <w:rPr>
          <w:rFonts w:hint="default" w:ascii="宋体" w:hAnsi="宋体" w:eastAsia="宋体" w:cs="宋体"/>
          <w:b/>
          <w:bCs/>
          <w:kern w:val="2"/>
          <w:sz w:val="28"/>
          <w:szCs w:val="28"/>
          <w:lang w:val="en-US" w:eastAsia="zh-CN" w:bidi="ar-SA"/>
        </w:rPr>
        <w:t>2.4</w:t>
      </w:r>
      <w:r>
        <w:rPr>
          <w:rFonts w:hint="eastAsia"/>
        </w:rPr>
        <w:t>技术导则和技术规范</w:t>
      </w:r>
      <w:bookmarkEnd w:id="62"/>
    </w:p>
    <w:p w14:paraId="4D20A023">
      <w:pPr>
        <w:ind w:firstLine="480"/>
        <w:jc w:val="left"/>
        <w:rPr>
          <w:kern w:val="0"/>
          <w:lang w:bidi="ar"/>
        </w:rPr>
      </w:pPr>
      <w:r>
        <w:t>（</w:t>
      </w:r>
      <w:r>
        <w:rPr>
          <w:kern w:val="0"/>
          <w:lang w:bidi="ar"/>
        </w:rPr>
        <w:t>1）《</w:t>
      </w:r>
      <w:r>
        <w:rPr>
          <w:rFonts w:hint="eastAsia"/>
          <w:kern w:val="0"/>
          <w:lang w:bidi="ar"/>
        </w:rPr>
        <w:t>建设项目环境影响评价技术导则 总纲</w:t>
      </w:r>
      <w:r>
        <w:rPr>
          <w:kern w:val="0"/>
          <w:lang w:bidi="ar"/>
        </w:rPr>
        <w:t>》（HJ2.1-2016）；</w:t>
      </w:r>
    </w:p>
    <w:p w14:paraId="256CBD26">
      <w:pPr>
        <w:ind w:firstLine="480"/>
        <w:jc w:val="left"/>
        <w:rPr>
          <w:kern w:val="0"/>
          <w:lang w:bidi="ar"/>
        </w:rPr>
      </w:pPr>
      <w:r>
        <w:rPr>
          <w:kern w:val="0"/>
          <w:lang w:bidi="ar"/>
        </w:rPr>
        <w:t>（2）《</w:t>
      </w:r>
      <w:r>
        <w:rPr>
          <w:rFonts w:hint="eastAsia"/>
          <w:kern w:val="0"/>
          <w:lang w:bidi="ar"/>
        </w:rPr>
        <w:t>环境影响评价技术导则 大气环境</w:t>
      </w:r>
      <w:r>
        <w:rPr>
          <w:kern w:val="0"/>
          <w:lang w:bidi="ar"/>
        </w:rPr>
        <w:t>》（HJ2.2-2018）；</w:t>
      </w:r>
    </w:p>
    <w:p w14:paraId="02127106">
      <w:pPr>
        <w:ind w:firstLine="480"/>
        <w:jc w:val="left"/>
        <w:rPr>
          <w:kern w:val="0"/>
          <w:lang w:bidi="ar"/>
        </w:rPr>
      </w:pPr>
      <w:r>
        <w:rPr>
          <w:kern w:val="0"/>
          <w:lang w:bidi="ar"/>
        </w:rPr>
        <w:t>（3）《</w:t>
      </w:r>
      <w:r>
        <w:rPr>
          <w:rFonts w:hint="eastAsia"/>
          <w:kern w:val="0"/>
          <w:lang w:bidi="ar"/>
        </w:rPr>
        <w:t>环境影响评价技术导则 地表水环境</w:t>
      </w:r>
      <w:r>
        <w:rPr>
          <w:kern w:val="0"/>
          <w:lang w:bidi="ar"/>
        </w:rPr>
        <w:t>》（HJ2.3-2018）；</w:t>
      </w:r>
    </w:p>
    <w:p w14:paraId="275D0885">
      <w:pPr>
        <w:ind w:firstLine="480"/>
        <w:jc w:val="left"/>
        <w:rPr>
          <w:kern w:val="0"/>
          <w:lang w:bidi="ar"/>
        </w:rPr>
      </w:pPr>
      <w:r>
        <w:rPr>
          <w:kern w:val="0"/>
          <w:lang w:bidi="ar"/>
        </w:rPr>
        <w:t>（4）《</w:t>
      </w:r>
      <w:r>
        <w:rPr>
          <w:rFonts w:hint="eastAsia"/>
          <w:kern w:val="0"/>
          <w:lang w:bidi="ar"/>
        </w:rPr>
        <w:t>环境影响评价技术导则 地下水环境</w:t>
      </w:r>
      <w:r>
        <w:rPr>
          <w:kern w:val="0"/>
          <w:lang w:bidi="ar"/>
        </w:rPr>
        <w:t>》（HJ610-2016）；</w:t>
      </w:r>
    </w:p>
    <w:p w14:paraId="412D55BE">
      <w:pPr>
        <w:ind w:firstLine="480"/>
        <w:jc w:val="left"/>
        <w:rPr>
          <w:kern w:val="0"/>
          <w:lang w:bidi="ar"/>
        </w:rPr>
      </w:pPr>
      <w:r>
        <w:rPr>
          <w:kern w:val="0"/>
          <w:lang w:bidi="ar"/>
        </w:rPr>
        <w:t>（5）《环境影响评价技术导则-土壤环境》（试行）（HJ964-2018）；</w:t>
      </w:r>
    </w:p>
    <w:p w14:paraId="4A88EDC4">
      <w:pPr>
        <w:ind w:firstLine="480"/>
        <w:jc w:val="left"/>
        <w:rPr>
          <w:kern w:val="0"/>
          <w:lang w:bidi="ar"/>
        </w:rPr>
      </w:pPr>
      <w:r>
        <w:rPr>
          <w:kern w:val="0"/>
          <w:lang w:bidi="ar"/>
        </w:rPr>
        <w:t>（6）《</w:t>
      </w:r>
      <w:r>
        <w:rPr>
          <w:rFonts w:hint="eastAsia"/>
          <w:kern w:val="0"/>
          <w:lang w:bidi="ar"/>
        </w:rPr>
        <w:t>环境影响评价技术导则 声环境</w:t>
      </w:r>
      <w:r>
        <w:rPr>
          <w:kern w:val="0"/>
          <w:lang w:bidi="ar"/>
        </w:rPr>
        <w:t>》（HJ2.4-2021）；</w:t>
      </w:r>
    </w:p>
    <w:p w14:paraId="20224F77">
      <w:pPr>
        <w:ind w:firstLine="480"/>
        <w:jc w:val="left"/>
        <w:rPr>
          <w:kern w:val="0"/>
          <w:lang w:bidi="ar"/>
        </w:rPr>
      </w:pPr>
      <w:r>
        <w:rPr>
          <w:kern w:val="0"/>
          <w:lang w:bidi="ar"/>
        </w:rPr>
        <w:t>（7）《</w:t>
      </w:r>
      <w:r>
        <w:rPr>
          <w:rFonts w:hint="eastAsia"/>
          <w:kern w:val="0"/>
          <w:lang w:bidi="ar"/>
        </w:rPr>
        <w:t>环境影响评价技术导则 生态影响</w:t>
      </w:r>
      <w:r>
        <w:rPr>
          <w:kern w:val="0"/>
          <w:lang w:bidi="ar"/>
        </w:rPr>
        <w:t>》（HJ19-20</w:t>
      </w:r>
      <w:r>
        <w:rPr>
          <w:rFonts w:hint="eastAsia"/>
          <w:kern w:val="0"/>
          <w:lang w:bidi="ar"/>
        </w:rPr>
        <w:t>22</w:t>
      </w:r>
      <w:r>
        <w:rPr>
          <w:kern w:val="0"/>
          <w:lang w:bidi="ar"/>
        </w:rPr>
        <w:t>）；</w:t>
      </w:r>
    </w:p>
    <w:p w14:paraId="42E9F481">
      <w:pPr>
        <w:ind w:firstLine="480"/>
        <w:jc w:val="left"/>
        <w:rPr>
          <w:kern w:val="0"/>
          <w:lang w:bidi="ar"/>
        </w:rPr>
      </w:pPr>
      <w:r>
        <w:rPr>
          <w:kern w:val="0"/>
          <w:lang w:bidi="ar"/>
        </w:rPr>
        <w:t>（8）《建设项目环境风险评价技术导则》（HJ169-2018）；</w:t>
      </w:r>
    </w:p>
    <w:p w14:paraId="68163CEB">
      <w:pPr>
        <w:ind w:firstLine="480"/>
        <w:jc w:val="left"/>
        <w:rPr>
          <w:kern w:val="0"/>
          <w:lang w:bidi="ar"/>
        </w:rPr>
      </w:pPr>
      <w:r>
        <w:rPr>
          <w:kern w:val="0"/>
          <w:lang w:bidi="ar"/>
        </w:rPr>
        <w:t>（9）《湖南省主要水系地表水环境功能区划》（DB43/023-2005）；</w:t>
      </w:r>
    </w:p>
    <w:p w14:paraId="1806F2A4">
      <w:pPr>
        <w:ind w:firstLine="480"/>
        <w:jc w:val="left"/>
        <w:rPr>
          <w:kern w:val="0"/>
          <w:lang w:bidi="ar"/>
        </w:rPr>
      </w:pPr>
      <w:r>
        <w:rPr>
          <w:kern w:val="0"/>
          <w:lang w:bidi="ar"/>
        </w:rPr>
        <w:t>（10）《环境空气质量功能区划分原则与技术方法》（HJ14-1996）；</w:t>
      </w:r>
    </w:p>
    <w:p w14:paraId="28E64BA6">
      <w:pPr>
        <w:ind w:firstLine="480"/>
        <w:jc w:val="left"/>
        <w:rPr>
          <w:kern w:val="0"/>
          <w:lang w:bidi="ar"/>
        </w:rPr>
      </w:pPr>
      <w:r>
        <w:rPr>
          <w:kern w:val="0"/>
          <w:lang w:bidi="ar"/>
        </w:rPr>
        <w:t>（11）《大气污染治理工程技术导则》（HJ2000-2010）；</w:t>
      </w:r>
    </w:p>
    <w:p w14:paraId="7108D833">
      <w:pPr>
        <w:ind w:firstLine="480"/>
        <w:jc w:val="left"/>
        <w:rPr>
          <w:kern w:val="0"/>
          <w:lang w:bidi="ar"/>
        </w:rPr>
      </w:pPr>
      <w:r>
        <w:rPr>
          <w:kern w:val="0"/>
          <w:lang w:bidi="ar"/>
        </w:rPr>
        <w:t>（12）《水污染治理工程技术导则》（HJ2014-2012）；</w:t>
      </w:r>
    </w:p>
    <w:p w14:paraId="4E5E6645">
      <w:pPr>
        <w:ind w:firstLine="480"/>
        <w:jc w:val="left"/>
        <w:rPr>
          <w:kern w:val="0"/>
          <w:lang w:bidi="ar"/>
        </w:rPr>
      </w:pPr>
      <w:r>
        <w:rPr>
          <w:kern w:val="0"/>
          <w:lang w:bidi="ar"/>
        </w:rPr>
        <w:t>（13）《环境噪声与振动控制工程技术导则》（HJ2034-2013）；</w:t>
      </w:r>
    </w:p>
    <w:p w14:paraId="526D564E">
      <w:pPr>
        <w:ind w:firstLine="480"/>
        <w:jc w:val="left"/>
        <w:rPr>
          <w:kern w:val="0"/>
          <w:lang w:bidi="ar"/>
        </w:rPr>
      </w:pPr>
      <w:r>
        <w:rPr>
          <w:kern w:val="0"/>
          <w:lang w:bidi="ar"/>
        </w:rPr>
        <w:t>（14）《危险废物鉴别技术规范》（HJ298-20</w:t>
      </w:r>
      <w:r>
        <w:rPr>
          <w:rFonts w:hint="eastAsia"/>
          <w:kern w:val="0"/>
          <w:lang w:bidi="ar"/>
        </w:rPr>
        <w:t>19</w:t>
      </w:r>
      <w:r>
        <w:rPr>
          <w:kern w:val="0"/>
          <w:lang w:bidi="ar"/>
        </w:rPr>
        <w:t>）；</w:t>
      </w:r>
    </w:p>
    <w:p w14:paraId="4425FBD1">
      <w:pPr>
        <w:ind w:firstLine="480"/>
        <w:jc w:val="left"/>
        <w:rPr>
          <w:kern w:val="0"/>
          <w:lang w:bidi="ar"/>
        </w:rPr>
      </w:pPr>
      <w:r>
        <w:rPr>
          <w:kern w:val="0"/>
          <w:lang w:bidi="ar"/>
        </w:rPr>
        <w:t>（15）《危险废物鉴别标准浸出毒性鉴别》（GB5083.5-2007）；</w:t>
      </w:r>
    </w:p>
    <w:p w14:paraId="4B82AFFC">
      <w:pPr>
        <w:ind w:firstLine="480"/>
        <w:jc w:val="left"/>
        <w:rPr>
          <w:kern w:val="0"/>
          <w:lang w:bidi="ar"/>
        </w:rPr>
      </w:pPr>
      <w:r>
        <w:rPr>
          <w:kern w:val="0"/>
          <w:lang w:bidi="ar"/>
        </w:rPr>
        <w:t>（16）《污染源源强核算技术指南准则》（HJ884-2018）；</w:t>
      </w:r>
    </w:p>
    <w:p w14:paraId="74918574">
      <w:pPr>
        <w:ind w:firstLine="480"/>
        <w:jc w:val="left"/>
        <w:rPr>
          <w:kern w:val="0"/>
          <w:lang w:bidi="ar"/>
        </w:rPr>
      </w:pPr>
      <w:r>
        <w:rPr>
          <w:kern w:val="0"/>
          <w:lang w:bidi="ar"/>
        </w:rPr>
        <w:t>（17）《排污许可证申请与核发技术规范总则》(HJ942-2018)；</w:t>
      </w:r>
    </w:p>
    <w:p w14:paraId="7A5EB2C9">
      <w:pPr>
        <w:ind w:firstLine="480"/>
        <w:jc w:val="left"/>
        <w:rPr>
          <w:kern w:val="0"/>
          <w:lang w:bidi="ar"/>
        </w:rPr>
      </w:pPr>
      <w:r>
        <w:rPr>
          <w:kern w:val="0"/>
          <w:lang w:bidi="ar"/>
        </w:rPr>
        <w:t xml:space="preserve">（18）《排污单位自行监测技术指南总则》（HJ891-2017）； </w:t>
      </w:r>
    </w:p>
    <w:p w14:paraId="080AF946">
      <w:pPr>
        <w:ind w:firstLine="480"/>
        <w:jc w:val="left"/>
        <w:rPr>
          <w:kern w:val="0"/>
          <w:lang w:bidi="ar"/>
        </w:rPr>
      </w:pPr>
      <w:r>
        <w:rPr>
          <w:kern w:val="0"/>
          <w:u w:val="single"/>
          <w:lang w:bidi="ar"/>
        </w:rPr>
        <w:t>（19）《排污单位自行监测技术指南 印刷工业》（HJ 1246-2022）;</w:t>
      </w:r>
    </w:p>
    <w:p w14:paraId="1C1DB8AF">
      <w:pPr>
        <w:ind w:firstLine="480"/>
        <w:jc w:val="left"/>
        <w:rPr>
          <w:kern w:val="0"/>
          <w:lang w:bidi="ar"/>
        </w:rPr>
      </w:pPr>
      <w:r>
        <w:rPr>
          <w:kern w:val="0"/>
          <w:lang w:bidi="ar"/>
        </w:rPr>
        <w:t>（20）《排污许可管理条例》（2021年3月1日起施行）；</w:t>
      </w:r>
    </w:p>
    <w:p w14:paraId="491C821A">
      <w:pPr>
        <w:ind w:firstLine="480"/>
        <w:rPr>
          <w:kern w:val="0"/>
          <w:lang w:bidi="ar"/>
        </w:rPr>
      </w:pPr>
      <w:r>
        <w:rPr>
          <w:kern w:val="0"/>
          <w:lang w:bidi="ar"/>
        </w:rPr>
        <w:t>（2</w:t>
      </w:r>
      <w:r>
        <w:rPr>
          <w:rFonts w:hint="eastAsia"/>
          <w:kern w:val="0"/>
          <w:lang w:bidi="ar"/>
        </w:rPr>
        <w:t>1</w:t>
      </w:r>
      <w:r>
        <w:rPr>
          <w:kern w:val="0"/>
          <w:lang w:bidi="ar"/>
        </w:rPr>
        <w:t>）《建设项目主要污染物排放总量指标审核及管理暂行办法》，环发</w:t>
      </w:r>
      <w:r>
        <w:rPr>
          <w:rFonts w:hint="eastAsia"/>
          <w:kern w:val="0"/>
          <w:lang w:bidi="ar"/>
        </w:rPr>
        <w:t>〔</w:t>
      </w:r>
      <w:r>
        <w:rPr>
          <w:kern w:val="0"/>
          <w:lang w:bidi="ar"/>
        </w:rPr>
        <w:t>2014</w:t>
      </w:r>
      <w:r>
        <w:rPr>
          <w:rFonts w:hint="eastAsia"/>
          <w:kern w:val="0"/>
          <w:lang w:bidi="ar"/>
        </w:rPr>
        <w:t>〕</w:t>
      </w:r>
      <w:r>
        <w:rPr>
          <w:kern w:val="0"/>
          <w:lang w:bidi="ar"/>
        </w:rPr>
        <w:t>197号</w:t>
      </w:r>
      <w:r>
        <w:rPr>
          <w:rFonts w:hint="eastAsia"/>
          <w:kern w:val="0"/>
          <w:lang w:bidi="ar"/>
        </w:rPr>
        <w:t>；</w:t>
      </w:r>
    </w:p>
    <w:p w14:paraId="6BA4165F">
      <w:pPr>
        <w:ind w:firstLine="480"/>
        <w:jc w:val="left"/>
        <w:rPr>
          <w:kern w:val="0"/>
          <w:u w:val="none"/>
          <w:lang w:bidi="ar"/>
        </w:rPr>
      </w:pPr>
      <w:r>
        <w:rPr>
          <w:kern w:val="0"/>
          <w:u w:val="none"/>
          <w:lang w:bidi="ar"/>
        </w:rPr>
        <w:t>（2</w:t>
      </w:r>
      <w:r>
        <w:rPr>
          <w:rFonts w:hint="eastAsia"/>
          <w:kern w:val="0"/>
          <w:u w:val="none"/>
          <w:lang w:bidi="ar"/>
        </w:rPr>
        <w:t>2</w:t>
      </w:r>
      <w:r>
        <w:rPr>
          <w:kern w:val="0"/>
          <w:u w:val="none"/>
          <w:lang w:bidi="ar"/>
        </w:rPr>
        <w:t>）《排污许可证申请与核发技术规范 印刷工业》（HJ1066-2019）；</w:t>
      </w:r>
    </w:p>
    <w:p w14:paraId="7B12052A">
      <w:pPr>
        <w:ind w:firstLine="480"/>
        <w:jc w:val="left"/>
        <w:rPr>
          <w:kern w:val="0"/>
          <w:u w:val="none"/>
          <w:lang w:bidi="ar"/>
        </w:rPr>
      </w:pPr>
      <w:r>
        <w:rPr>
          <w:kern w:val="0"/>
          <w:u w:val="none"/>
          <w:lang w:bidi="ar"/>
        </w:rPr>
        <w:t>（2</w:t>
      </w:r>
      <w:r>
        <w:rPr>
          <w:rFonts w:hint="eastAsia"/>
          <w:kern w:val="0"/>
          <w:u w:val="none"/>
          <w:lang w:bidi="ar"/>
        </w:rPr>
        <w:t>3</w:t>
      </w:r>
      <w:r>
        <w:rPr>
          <w:kern w:val="0"/>
          <w:u w:val="none"/>
          <w:lang w:bidi="ar"/>
        </w:rPr>
        <w:t>）《挥发性有机物治理实用手册》；</w:t>
      </w:r>
    </w:p>
    <w:p w14:paraId="5335DCD7">
      <w:pPr>
        <w:ind w:firstLine="480"/>
        <w:jc w:val="left"/>
        <w:rPr>
          <w:kern w:val="0"/>
          <w:u w:val="none"/>
          <w:lang w:bidi="ar"/>
        </w:rPr>
      </w:pPr>
      <w:r>
        <w:rPr>
          <w:kern w:val="0"/>
          <w:u w:val="none"/>
          <w:lang w:bidi="ar"/>
        </w:rPr>
        <w:t>（2</w:t>
      </w:r>
      <w:r>
        <w:rPr>
          <w:rFonts w:hint="eastAsia"/>
          <w:kern w:val="0"/>
          <w:u w:val="none"/>
          <w:lang w:bidi="ar"/>
        </w:rPr>
        <w:t>4</w:t>
      </w:r>
      <w:r>
        <w:rPr>
          <w:kern w:val="0"/>
          <w:u w:val="none"/>
          <w:lang w:bidi="ar"/>
        </w:rPr>
        <w:t>）《印刷工业污染防治可行技术指南》（HJ1089—2020）；</w:t>
      </w:r>
    </w:p>
    <w:p w14:paraId="0ED96587">
      <w:pPr>
        <w:ind w:firstLine="480"/>
        <w:jc w:val="left"/>
        <w:rPr>
          <w:kern w:val="0"/>
          <w:u w:val="none"/>
          <w:lang w:bidi="ar"/>
        </w:rPr>
      </w:pPr>
      <w:r>
        <w:rPr>
          <w:kern w:val="0"/>
          <w:u w:val="none"/>
          <w:lang w:bidi="ar"/>
        </w:rPr>
        <w:t>（2</w:t>
      </w:r>
      <w:r>
        <w:rPr>
          <w:rFonts w:hint="eastAsia"/>
          <w:kern w:val="0"/>
          <w:u w:val="none"/>
          <w:lang w:bidi="ar"/>
        </w:rPr>
        <w:t>5</w:t>
      </w:r>
      <w:r>
        <w:rPr>
          <w:kern w:val="0"/>
          <w:u w:val="none"/>
          <w:lang w:bidi="ar"/>
        </w:rPr>
        <w:t>）《包装印刷业有机废气治理工程技术规范》</w:t>
      </w:r>
      <w:r>
        <w:rPr>
          <w:rFonts w:hint="eastAsia"/>
          <w:kern w:val="0"/>
          <w:u w:val="none"/>
          <w:lang w:bidi="ar"/>
        </w:rPr>
        <w:t>（HJ1163-2021）</w:t>
      </w:r>
      <w:r>
        <w:rPr>
          <w:kern w:val="0"/>
          <w:u w:val="none"/>
          <w:lang w:bidi="ar"/>
        </w:rPr>
        <w:t>；</w:t>
      </w:r>
    </w:p>
    <w:p w14:paraId="45D0E48B">
      <w:pPr>
        <w:pStyle w:val="38"/>
        <w:ind w:firstLine="480"/>
        <w:rPr>
          <w:rFonts w:ascii="Times New Roman" w:hAnsi="Times New Roman" w:cs="Times New Roman"/>
          <w:color w:val="auto"/>
          <w:kern w:val="0"/>
          <w:u w:val="none"/>
          <w:lang w:bidi="ar"/>
        </w:rPr>
      </w:pPr>
      <w:r>
        <w:rPr>
          <w:rFonts w:hint="eastAsia" w:ascii="Times New Roman" w:hAnsi="Times New Roman" w:eastAsia="宋体" w:cs="Times New Roman"/>
          <w:color w:val="auto"/>
          <w:kern w:val="0"/>
          <w:u w:val="none"/>
          <w:lang w:bidi="ar"/>
        </w:rPr>
        <w:t>（26）</w:t>
      </w:r>
      <w:r>
        <w:rPr>
          <w:rFonts w:hint="eastAsia"/>
          <w:u w:val="none"/>
        </w:rPr>
        <w:t>湖南省地标《工业企业挥发性有机物排放标准》（</w:t>
      </w:r>
      <w:r>
        <w:rPr>
          <w:rFonts w:hint="eastAsia"/>
          <w:u w:val="none"/>
          <w:lang w:val="en-US" w:eastAsia="zh-CN"/>
        </w:rPr>
        <w:t>DB43/3550-2026</w:t>
      </w:r>
      <w:r>
        <w:rPr>
          <w:rFonts w:hint="eastAsia"/>
          <w:u w:val="none"/>
        </w:rPr>
        <w:t>）。</w:t>
      </w:r>
    </w:p>
    <w:p w14:paraId="6B0D5BD4">
      <w:pPr>
        <w:pStyle w:val="4"/>
        <w:numPr>
          <w:ilvl w:val="2"/>
          <w:numId w:val="0"/>
        </w:numPr>
        <w:ind w:left="993" w:leftChars="200" w:hanging="513" w:hangingChars="213"/>
        <w:jc w:val="left"/>
      </w:pPr>
      <w:r>
        <w:rPr>
          <w:rFonts w:hint="default" w:ascii="宋体" w:hAnsi="宋体" w:eastAsia="宋体" w:cs="宋体"/>
          <w:b/>
          <w:bCs/>
          <w:kern w:val="2"/>
          <w:sz w:val="24"/>
          <w:szCs w:val="24"/>
          <w:lang w:val="en-US" w:eastAsia="zh-CN" w:bidi="ar-SA"/>
        </w:rPr>
        <w:t>2.4.1</w:t>
      </w:r>
      <w:r>
        <w:rPr>
          <w:rFonts w:hint="eastAsia"/>
        </w:rPr>
        <w:t>其它文件</w:t>
      </w:r>
    </w:p>
    <w:p w14:paraId="2F87BF03">
      <w:pPr>
        <w:ind w:firstLine="480"/>
        <w:jc w:val="left"/>
        <w:rPr>
          <w:kern w:val="0"/>
          <w:lang w:bidi="ar"/>
        </w:rPr>
      </w:pPr>
      <w:r>
        <w:t>（</w:t>
      </w:r>
      <w:r>
        <w:rPr>
          <w:kern w:val="0"/>
          <w:lang w:bidi="ar"/>
        </w:rPr>
        <w:t>1）</w:t>
      </w:r>
      <w:r>
        <w:rPr>
          <w:rFonts w:hint="eastAsia"/>
          <w:kern w:val="0"/>
          <w:lang w:bidi="ar"/>
        </w:rPr>
        <w:t>项目环境影响评价协议合同</w:t>
      </w:r>
      <w:r>
        <w:rPr>
          <w:kern w:val="0"/>
          <w:lang w:bidi="ar"/>
        </w:rPr>
        <w:t>；</w:t>
      </w:r>
    </w:p>
    <w:p w14:paraId="51102524">
      <w:pPr>
        <w:ind w:firstLine="480"/>
        <w:jc w:val="left"/>
        <w:rPr>
          <w:kern w:val="0"/>
          <w:lang w:bidi="ar"/>
        </w:rPr>
      </w:pPr>
      <w:r>
        <w:rPr>
          <w:kern w:val="0"/>
          <w:lang w:bidi="ar"/>
        </w:rPr>
        <w:t>（2）湖南新向维包装有限公司提供的其它相关资料（具体产品方案、具体生产设备、所需原辅材料情况、土地证、厂区总平面图、</w:t>
      </w:r>
      <w:r>
        <w:rPr>
          <w:rFonts w:hint="eastAsia"/>
          <w:kern w:val="0"/>
          <w:lang w:bidi="ar"/>
        </w:rPr>
        <w:t>环保措施设计方案、</w:t>
      </w:r>
      <w:r>
        <w:rPr>
          <w:kern w:val="0"/>
          <w:lang w:bidi="ar"/>
        </w:rPr>
        <w:t>周边环境现状监测资料等）；</w:t>
      </w:r>
    </w:p>
    <w:p w14:paraId="777DC3EC">
      <w:pPr>
        <w:pStyle w:val="3"/>
        <w:numPr>
          <w:ilvl w:val="1"/>
          <w:numId w:val="0"/>
        </w:numPr>
        <w:ind w:left="567" w:leftChars="0" w:hanging="567" w:firstLineChars="0"/>
        <w:rPr>
          <w:sz w:val="28"/>
          <w:szCs w:val="28"/>
        </w:rPr>
      </w:pPr>
      <w:bookmarkStart w:id="63" w:name="_Toc3070"/>
      <w:r>
        <w:rPr>
          <w:rFonts w:hint="default" w:ascii="宋体" w:hAnsi="宋体" w:eastAsia="宋体" w:cs="宋体"/>
          <w:b/>
          <w:bCs/>
          <w:kern w:val="2"/>
          <w:sz w:val="28"/>
          <w:szCs w:val="28"/>
          <w:lang w:val="en-US" w:eastAsia="zh-CN" w:bidi="ar-SA"/>
        </w:rPr>
        <w:t>2.5</w:t>
      </w:r>
      <w:r>
        <w:rPr>
          <w:rFonts w:hint="eastAsia"/>
          <w:sz w:val="28"/>
          <w:szCs w:val="28"/>
        </w:rPr>
        <w:t>环境影响识别与评价因子筛选</w:t>
      </w:r>
      <w:bookmarkEnd w:id="63"/>
    </w:p>
    <w:p w14:paraId="52B39BE3">
      <w:pPr>
        <w:pStyle w:val="4"/>
        <w:numPr>
          <w:ilvl w:val="2"/>
          <w:numId w:val="0"/>
        </w:numPr>
        <w:ind w:left="993" w:leftChars="200" w:hanging="513" w:hangingChars="213"/>
      </w:pPr>
      <w:r>
        <w:rPr>
          <w:rFonts w:hint="default" w:ascii="宋体" w:hAnsi="宋体" w:eastAsia="宋体" w:cs="宋体"/>
          <w:b/>
          <w:bCs/>
          <w:kern w:val="2"/>
          <w:sz w:val="24"/>
          <w:szCs w:val="24"/>
          <w:lang w:val="en-US" w:eastAsia="zh-CN" w:bidi="ar-SA"/>
        </w:rPr>
        <w:t>2.5.1</w:t>
      </w:r>
      <w:r>
        <w:rPr>
          <w:rFonts w:hint="eastAsia"/>
        </w:rPr>
        <w:t>环境影响因素</w:t>
      </w:r>
    </w:p>
    <w:p w14:paraId="1436C18F">
      <w:pPr>
        <w:ind w:firstLine="480"/>
      </w:pPr>
      <w:r>
        <w:t>本评价采用矩阵法进行环境影响因子识别，详见下表2.3-1。</w:t>
      </w:r>
    </w:p>
    <w:p w14:paraId="04A4B5F4">
      <w:pPr>
        <w:pStyle w:val="51"/>
        <w:numPr>
          <w:ilvl w:val="5"/>
          <w:numId w:val="0"/>
        </w:numPr>
        <w:spacing w:before="156"/>
        <w:ind w:left="305" w:leftChars="0" w:hanging="3260" w:firstLineChars="0"/>
      </w:pPr>
      <w:r>
        <w:rPr>
          <w:rFonts w:hint="default" w:ascii="宋体" w:hAnsi="宋体" w:eastAsia="宋体" w:cs="宋体"/>
          <w:b/>
          <w:bCs/>
          <w:color w:val="auto"/>
          <w:kern w:val="2"/>
          <w:sz w:val="21"/>
          <w:szCs w:val="21"/>
          <w:lang w:val="en-US" w:eastAsia="zh-CN" w:bidi="ar-SA"/>
        </w:rPr>
        <w:t xml:space="preserve">表2.5-1 </w:t>
      </w:r>
      <w:r>
        <w:rPr>
          <w:rFonts w:hint="eastAsia"/>
        </w:rPr>
        <w:t>项目环境影响识别矩阵一览表</w:t>
      </w:r>
    </w:p>
    <w:tbl>
      <w:tblPr>
        <w:tblStyle w:val="31"/>
        <w:tblW w:w="85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151"/>
        <w:gridCol w:w="1152"/>
        <w:gridCol w:w="692"/>
        <w:gridCol w:w="692"/>
        <w:gridCol w:w="693"/>
        <w:gridCol w:w="693"/>
        <w:gridCol w:w="693"/>
        <w:gridCol w:w="693"/>
        <w:gridCol w:w="693"/>
        <w:gridCol w:w="693"/>
        <w:gridCol w:w="682"/>
      </w:tblGrid>
      <w:tr w14:paraId="2D6201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restart"/>
            <w:vAlign w:val="center"/>
          </w:tcPr>
          <w:p w14:paraId="29D24827">
            <w:pPr>
              <w:spacing w:line="240" w:lineRule="auto"/>
              <w:jc w:val="center"/>
              <w:rPr>
                <w:sz w:val="21"/>
                <w:szCs w:val="21"/>
              </w:rPr>
            </w:pPr>
            <w:r>
              <w:rPr>
                <w:sz w:val="21"/>
                <w:szCs w:val="21"/>
              </w:rPr>
              <w:t>环境要素</w:t>
            </w:r>
          </w:p>
        </w:tc>
        <w:tc>
          <w:tcPr>
            <w:tcW w:w="1149" w:type="dxa"/>
            <w:vMerge w:val="restart"/>
            <w:vAlign w:val="center"/>
          </w:tcPr>
          <w:p w14:paraId="764D35F1">
            <w:pPr>
              <w:spacing w:line="240" w:lineRule="auto"/>
              <w:jc w:val="center"/>
              <w:rPr>
                <w:sz w:val="21"/>
                <w:szCs w:val="21"/>
              </w:rPr>
            </w:pPr>
            <w:r>
              <w:rPr>
                <w:sz w:val="21"/>
                <w:szCs w:val="21"/>
              </w:rPr>
              <w:t>因素</w:t>
            </w:r>
          </w:p>
          <w:p w14:paraId="2B160176">
            <w:pPr>
              <w:spacing w:line="240" w:lineRule="auto"/>
              <w:jc w:val="center"/>
              <w:rPr>
                <w:sz w:val="21"/>
                <w:szCs w:val="21"/>
              </w:rPr>
            </w:pPr>
            <w:r>
              <w:rPr>
                <w:sz w:val="21"/>
                <w:szCs w:val="21"/>
              </w:rPr>
              <w:t>类别</w:t>
            </w:r>
          </w:p>
        </w:tc>
        <w:tc>
          <w:tcPr>
            <w:tcW w:w="2762" w:type="dxa"/>
            <w:gridSpan w:val="4"/>
            <w:vAlign w:val="center"/>
          </w:tcPr>
          <w:p w14:paraId="7F27A7B4">
            <w:pPr>
              <w:spacing w:line="240" w:lineRule="auto"/>
              <w:jc w:val="center"/>
              <w:rPr>
                <w:sz w:val="21"/>
                <w:szCs w:val="21"/>
              </w:rPr>
            </w:pPr>
            <w:r>
              <w:rPr>
                <w:rFonts w:hint="eastAsia"/>
                <w:sz w:val="21"/>
                <w:szCs w:val="21"/>
              </w:rPr>
              <w:t>施工</w:t>
            </w:r>
            <w:r>
              <w:rPr>
                <w:sz w:val="21"/>
                <w:szCs w:val="21"/>
              </w:rPr>
              <w:t>期</w:t>
            </w:r>
          </w:p>
        </w:tc>
        <w:tc>
          <w:tcPr>
            <w:tcW w:w="3444" w:type="dxa"/>
            <w:gridSpan w:val="5"/>
            <w:vAlign w:val="center"/>
          </w:tcPr>
          <w:p w14:paraId="5E7CD8A3">
            <w:pPr>
              <w:spacing w:line="240" w:lineRule="auto"/>
              <w:jc w:val="center"/>
              <w:rPr>
                <w:sz w:val="21"/>
                <w:szCs w:val="21"/>
              </w:rPr>
            </w:pPr>
            <w:r>
              <w:rPr>
                <w:sz w:val="21"/>
                <w:szCs w:val="21"/>
              </w:rPr>
              <w:t>营运期</w:t>
            </w:r>
          </w:p>
        </w:tc>
      </w:tr>
      <w:tr w14:paraId="452040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0CFA5533">
            <w:pPr>
              <w:spacing w:line="240" w:lineRule="auto"/>
              <w:jc w:val="center"/>
              <w:rPr>
                <w:sz w:val="21"/>
                <w:szCs w:val="21"/>
              </w:rPr>
            </w:pPr>
          </w:p>
        </w:tc>
        <w:tc>
          <w:tcPr>
            <w:tcW w:w="1149" w:type="dxa"/>
            <w:vMerge w:val="continue"/>
            <w:vAlign w:val="center"/>
          </w:tcPr>
          <w:p w14:paraId="49857EE5">
            <w:pPr>
              <w:spacing w:line="240" w:lineRule="auto"/>
              <w:jc w:val="center"/>
              <w:rPr>
                <w:sz w:val="21"/>
                <w:szCs w:val="21"/>
              </w:rPr>
            </w:pPr>
          </w:p>
        </w:tc>
        <w:tc>
          <w:tcPr>
            <w:tcW w:w="690" w:type="dxa"/>
            <w:vAlign w:val="center"/>
          </w:tcPr>
          <w:p w14:paraId="3655C92E">
            <w:pPr>
              <w:spacing w:line="240" w:lineRule="auto"/>
              <w:jc w:val="center"/>
              <w:rPr>
                <w:sz w:val="21"/>
                <w:szCs w:val="21"/>
              </w:rPr>
            </w:pPr>
            <w:r>
              <w:rPr>
                <w:sz w:val="21"/>
                <w:szCs w:val="21"/>
              </w:rPr>
              <w:t>土建</w:t>
            </w:r>
          </w:p>
        </w:tc>
        <w:tc>
          <w:tcPr>
            <w:tcW w:w="690" w:type="dxa"/>
            <w:vAlign w:val="center"/>
          </w:tcPr>
          <w:p w14:paraId="335747A3">
            <w:pPr>
              <w:spacing w:line="240" w:lineRule="auto"/>
              <w:jc w:val="center"/>
              <w:rPr>
                <w:sz w:val="21"/>
                <w:szCs w:val="21"/>
              </w:rPr>
            </w:pPr>
            <w:r>
              <w:rPr>
                <w:sz w:val="21"/>
                <w:szCs w:val="21"/>
              </w:rPr>
              <w:t>安装</w:t>
            </w:r>
          </w:p>
        </w:tc>
        <w:tc>
          <w:tcPr>
            <w:tcW w:w="691" w:type="dxa"/>
            <w:vAlign w:val="center"/>
          </w:tcPr>
          <w:p w14:paraId="627AC707">
            <w:pPr>
              <w:spacing w:line="240" w:lineRule="auto"/>
              <w:jc w:val="center"/>
              <w:rPr>
                <w:sz w:val="21"/>
                <w:szCs w:val="21"/>
              </w:rPr>
            </w:pPr>
            <w:r>
              <w:rPr>
                <w:sz w:val="21"/>
                <w:szCs w:val="21"/>
              </w:rPr>
              <w:t>运输</w:t>
            </w:r>
          </w:p>
        </w:tc>
        <w:tc>
          <w:tcPr>
            <w:tcW w:w="691" w:type="dxa"/>
            <w:vAlign w:val="center"/>
          </w:tcPr>
          <w:p w14:paraId="067E8F93">
            <w:pPr>
              <w:spacing w:line="240" w:lineRule="auto"/>
              <w:jc w:val="center"/>
              <w:rPr>
                <w:sz w:val="21"/>
                <w:szCs w:val="21"/>
              </w:rPr>
            </w:pPr>
            <w:r>
              <w:rPr>
                <w:sz w:val="21"/>
                <w:szCs w:val="21"/>
              </w:rPr>
              <w:t>噪声</w:t>
            </w:r>
          </w:p>
        </w:tc>
        <w:tc>
          <w:tcPr>
            <w:tcW w:w="691" w:type="dxa"/>
            <w:vAlign w:val="center"/>
          </w:tcPr>
          <w:p w14:paraId="7343A7EF">
            <w:pPr>
              <w:spacing w:line="240" w:lineRule="auto"/>
              <w:jc w:val="center"/>
              <w:rPr>
                <w:sz w:val="21"/>
                <w:szCs w:val="21"/>
              </w:rPr>
            </w:pPr>
            <w:r>
              <w:rPr>
                <w:sz w:val="21"/>
                <w:szCs w:val="21"/>
              </w:rPr>
              <w:t>废水</w:t>
            </w:r>
          </w:p>
        </w:tc>
        <w:tc>
          <w:tcPr>
            <w:tcW w:w="691" w:type="dxa"/>
            <w:vAlign w:val="center"/>
          </w:tcPr>
          <w:p w14:paraId="420DBD3C">
            <w:pPr>
              <w:spacing w:line="240" w:lineRule="auto"/>
              <w:jc w:val="center"/>
              <w:rPr>
                <w:sz w:val="21"/>
                <w:szCs w:val="21"/>
              </w:rPr>
            </w:pPr>
            <w:r>
              <w:rPr>
                <w:sz w:val="21"/>
                <w:szCs w:val="21"/>
              </w:rPr>
              <w:t>废气</w:t>
            </w:r>
          </w:p>
        </w:tc>
        <w:tc>
          <w:tcPr>
            <w:tcW w:w="691" w:type="dxa"/>
            <w:vAlign w:val="center"/>
          </w:tcPr>
          <w:p w14:paraId="3F92D568">
            <w:pPr>
              <w:spacing w:line="240" w:lineRule="auto"/>
              <w:jc w:val="center"/>
              <w:rPr>
                <w:sz w:val="21"/>
                <w:szCs w:val="21"/>
              </w:rPr>
            </w:pPr>
            <w:r>
              <w:rPr>
                <w:sz w:val="21"/>
                <w:szCs w:val="21"/>
              </w:rPr>
              <w:t>固废</w:t>
            </w:r>
          </w:p>
        </w:tc>
        <w:tc>
          <w:tcPr>
            <w:tcW w:w="691" w:type="dxa"/>
            <w:vAlign w:val="center"/>
          </w:tcPr>
          <w:p w14:paraId="16C60EB4">
            <w:pPr>
              <w:spacing w:line="240" w:lineRule="auto"/>
              <w:jc w:val="center"/>
              <w:rPr>
                <w:sz w:val="21"/>
                <w:szCs w:val="21"/>
              </w:rPr>
            </w:pPr>
            <w:r>
              <w:rPr>
                <w:sz w:val="21"/>
                <w:szCs w:val="21"/>
              </w:rPr>
              <w:t>噪声</w:t>
            </w:r>
          </w:p>
        </w:tc>
        <w:tc>
          <w:tcPr>
            <w:tcW w:w="680" w:type="dxa"/>
            <w:vAlign w:val="center"/>
          </w:tcPr>
          <w:p w14:paraId="612845FD">
            <w:pPr>
              <w:spacing w:line="240" w:lineRule="auto"/>
              <w:jc w:val="center"/>
              <w:rPr>
                <w:sz w:val="21"/>
                <w:szCs w:val="21"/>
              </w:rPr>
            </w:pPr>
            <w:r>
              <w:rPr>
                <w:sz w:val="21"/>
                <w:szCs w:val="21"/>
              </w:rPr>
              <w:t>运输</w:t>
            </w:r>
          </w:p>
        </w:tc>
      </w:tr>
      <w:tr w14:paraId="258708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restart"/>
            <w:vAlign w:val="center"/>
          </w:tcPr>
          <w:p w14:paraId="60A15FF3">
            <w:pPr>
              <w:spacing w:line="240" w:lineRule="auto"/>
              <w:jc w:val="center"/>
              <w:rPr>
                <w:sz w:val="21"/>
                <w:szCs w:val="21"/>
              </w:rPr>
            </w:pPr>
            <w:r>
              <w:rPr>
                <w:sz w:val="21"/>
                <w:szCs w:val="21"/>
              </w:rPr>
              <w:t>自然</w:t>
            </w:r>
          </w:p>
          <w:p w14:paraId="4AB1B31F">
            <w:pPr>
              <w:spacing w:line="240" w:lineRule="auto"/>
              <w:jc w:val="center"/>
              <w:rPr>
                <w:sz w:val="21"/>
                <w:szCs w:val="21"/>
              </w:rPr>
            </w:pPr>
            <w:r>
              <w:rPr>
                <w:sz w:val="21"/>
                <w:szCs w:val="21"/>
              </w:rPr>
              <w:t>环境</w:t>
            </w:r>
          </w:p>
        </w:tc>
        <w:tc>
          <w:tcPr>
            <w:tcW w:w="1149" w:type="dxa"/>
            <w:vAlign w:val="center"/>
          </w:tcPr>
          <w:p w14:paraId="1D360C32">
            <w:pPr>
              <w:spacing w:line="240" w:lineRule="auto"/>
              <w:jc w:val="center"/>
              <w:rPr>
                <w:sz w:val="21"/>
                <w:szCs w:val="21"/>
              </w:rPr>
            </w:pPr>
            <w:r>
              <w:rPr>
                <w:sz w:val="21"/>
                <w:szCs w:val="21"/>
              </w:rPr>
              <w:t>地表水</w:t>
            </w:r>
          </w:p>
        </w:tc>
        <w:tc>
          <w:tcPr>
            <w:tcW w:w="690" w:type="dxa"/>
            <w:vAlign w:val="center"/>
          </w:tcPr>
          <w:p w14:paraId="67CA7905">
            <w:pPr>
              <w:spacing w:line="240" w:lineRule="auto"/>
              <w:jc w:val="center"/>
              <w:rPr>
                <w:sz w:val="21"/>
                <w:szCs w:val="21"/>
              </w:rPr>
            </w:pPr>
            <w:r>
              <w:rPr>
                <w:rFonts w:hint="eastAsia"/>
                <w:sz w:val="21"/>
                <w:szCs w:val="21"/>
              </w:rPr>
              <w:t>1SP</w:t>
            </w:r>
          </w:p>
        </w:tc>
        <w:tc>
          <w:tcPr>
            <w:tcW w:w="690" w:type="dxa"/>
            <w:vAlign w:val="center"/>
          </w:tcPr>
          <w:p w14:paraId="5E640FF2">
            <w:pPr>
              <w:spacing w:line="240" w:lineRule="auto"/>
              <w:jc w:val="center"/>
              <w:rPr>
                <w:sz w:val="21"/>
                <w:szCs w:val="21"/>
              </w:rPr>
            </w:pPr>
          </w:p>
        </w:tc>
        <w:tc>
          <w:tcPr>
            <w:tcW w:w="691" w:type="dxa"/>
            <w:vAlign w:val="center"/>
          </w:tcPr>
          <w:p w14:paraId="147CAFCB">
            <w:pPr>
              <w:spacing w:line="240" w:lineRule="auto"/>
              <w:jc w:val="center"/>
              <w:rPr>
                <w:sz w:val="21"/>
                <w:szCs w:val="21"/>
              </w:rPr>
            </w:pPr>
          </w:p>
        </w:tc>
        <w:tc>
          <w:tcPr>
            <w:tcW w:w="691" w:type="dxa"/>
            <w:vAlign w:val="center"/>
          </w:tcPr>
          <w:p w14:paraId="027C2FA8">
            <w:pPr>
              <w:spacing w:line="240" w:lineRule="auto"/>
              <w:jc w:val="center"/>
              <w:rPr>
                <w:sz w:val="21"/>
                <w:szCs w:val="21"/>
              </w:rPr>
            </w:pPr>
          </w:p>
        </w:tc>
        <w:tc>
          <w:tcPr>
            <w:tcW w:w="691" w:type="dxa"/>
            <w:vAlign w:val="center"/>
          </w:tcPr>
          <w:p w14:paraId="633CCD01">
            <w:pPr>
              <w:spacing w:line="240" w:lineRule="auto"/>
              <w:jc w:val="center"/>
              <w:rPr>
                <w:sz w:val="21"/>
                <w:szCs w:val="21"/>
              </w:rPr>
            </w:pPr>
            <w:r>
              <w:rPr>
                <w:sz w:val="21"/>
                <w:szCs w:val="21"/>
              </w:rPr>
              <w:t>1LP</w:t>
            </w:r>
          </w:p>
        </w:tc>
        <w:tc>
          <w:tcPr>
            <w:tcW w:w="691" w:type="dxa"/>
            <w:vAlign w:val="center"/>
          </w:tcPr>
          <w:p w14:paraId="313EC6E4">
            <w:pPr>
              <w:spacing w:line="240" w:lineRule="auto"/>
              <w:jc w:val="center"/>
              <w:rPr>
                <w:sz w:val="21"/>
                <w:szCs w:val="21"/>
              </w:rPr>
            </w:pPr>
          </w:p>
        </w:tc>
        <w:tc>
          <w:tcPr>
            <w:tcW w:w="691" w:type="dxa"/>
            <w:vAlign w:val="center"/>
          </w:tcPr>
          <w:p w14:paraId="1AE8ADD0">
            <w:pPr>
              <w:spacing w:line="240" w:lineRule="auto"/>
              <w:jc w:val="center"/>
              <w:rPr>
                <w:sz w:val="21"/>
                <w:szCs w:val="21"/>
              </w:rPr>
            </w:pPr>
          </w:p>
        </w:tc>
        <w:tc>
          <w:tcPr>
            <w:tcW w:w="691" w:type="dxa"/>
            <w:vAlign w:val="center"/>
          </w:tcPr>
          <w:p w14:paraId="3FC8A5D8">
            <w:pPr>
              <w:spacing w:line="240" w:lineRule="auto"/>
              <w:jc w:val="center"/>
              <w:rPr>
                <w:sz w:val="21"/>
                <w:szCs w:val="21"/>
              </w:rPr>
            </w:pPr>
          </w:p>
        </w:tc>
        <w:tc>
          <w:tcPr>
            <w:tcW w:w="680" w:type="dxa"/>
            <w:vAlign w:val="center"/>
          </w:tcPr>
          <w:p w14:paraId="4CBED938">
            <w:pPr>
              <w:spacing w:line="240" w:lineRule="auto"/>
              <w:jc w:val="center"/>
              <w:rPr>
                <w:sz w:val="21"/>
                <w:szCs w:val="21"/>
              </w:rPr>
            </w:pPr>
          </w:p>
        </w:tc>
      </w:tr>
      <w:tr w14:paraId="60EDD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2E61B8F2">
            <w:pPr>
              <w:spacing w:line="240" w:lineRule="auto"/>
              <w:jc w:val="center"/>
              <w:rPr>
                <w:sz w:val="21"/>
                <w:szCs w:val="21"/>
              </w:rPr>
            </w:pPr>
          </w:p>
        </w:tc>
        <w:tc>
          <w:tcPr>
            <w:tcW w:w="1149" w:type="dxa"/>
            <w:vAlign w:val="center"/>
          </w:tcPr>
          <w:p w14:paraId="3CA2CFA2">
            <w:pPr>
              <w:spacing w:line="240" w:lineRule="auto"/>
              <w:jc w:val="center"/>
              <w:rPr>
                <w:sz w:val="21"/>
                <w:szCs w:val="21"/>
              </w:rPr>
            </w:pPr>
            <w:r>
              <w:rPr>
                <w:sz w:val="21"/>
                <w:szCs w:val="21"/>
              </w:rPr>
              <w:t>地下水</w:t>
            </w:r>
          </w:p>
        </w:tc>
        <w:tc>
          <w:tcPr>
            <w:tcW w:w="690" w:type="dxa"/>
            <w:vAlign w:val="center"/>
          </w:tcPr>
          <w:p w14:paraId="2A097C9D">
            <w:pPr>
              <w:spacing w:line="240" w:lineRule="auto"/>
              <w:jc w:val="center"/>
              <w:rPr>
                <w:sz w:val="21"/>
                <w:szCs w:val="21"/>
              </w:rPr>
            </w:pPr>
          </w:p>
        </w:tc>
        <w:tc>
          <w:tcPr>
            <w:tcW w:w="690" w:type="dxa"/>
            <w:vAlign w:val="center"/>
          </w:tcPr>
          <w:p w14:paraId="0BB2677D">
            <w:pPr>
              <w:spacing w:line="240" w:lineRule="auto"/>
              <w:jc w:val="center"/>
              <w:rPr>
                <w:sz w:val="21"/>
                <w:szCs w:val="21"/>
              </w:rPr>
            </w:pPr>
          </w:p>
        </w:tc>
        <w:tc>
          <w:tcPr>
            <w:tcW w:w="691" w:type="dxa"/>
            <w:vAlign w:val="center"/>
          </w:tcPr>
          <w:p w14:paraId="0457F80C">
            <w:pPr>
              <w:spacing w:line="240" w:lineRule="auto"/>
              <w:jc w:val="center"/>
              <w:rPr>
                <w:sz w:val="21"/>
                <w:szCs w:val="21"/>
              </w:rPr>
            </w:pPr>
          </w:p>
        </w:tc>
        <w:tc>
          <w:tcPr>
            <w:tcW w:w="691" w:type="dxa"/>
            <w:vAlign w:val="center"/>
          </w:tcPr>
          <w:p w14:paraId="1342D6E7">
            <w:pPr>
              <w:spacing w:line="240" w:lineRule="auto"/>
              <w:jc w:val="center"/>
              <w:rPr>
                <w:sz w:val="21"/>
                <w:szCs w:val="21"/>
              </w:rPr>
            </w:pPr>
          </w:p>
        </w:tc>
        <w:tc>
          <w:tcPr>
            <w:tcW w:w="691" w:type="dxa"/>
            <w:vAlign w:val="center"/>
          </w:tcPr>
          <w:p w14:paraId="46705E22">
            <w:pPr>
              <w:spacing w:line="240" w:lineRule="auto"/>
              <w:jc w:val="center"/>
              <w:rPr>
                <w:sz w:val="21"/>
                <w:szCs w:val="21"/>
              </w:rPr>
            </w:pPr>
            <w:r>
              <w:rPr>
                <w:sz w:val="21"/>
                <w:szCs w:val="21"/>
              </w:rPr>
              <w:t>1LP</w:t>
            </w:r>
          </w:p>
        </w:tc>
        <w:tc>
          <w:tcPr>
            <w:tcW w:w="691" w:type="dxa"/>
            <w:vAlign w:val="center"/>
          </w:tcPr>
          <w:p w14:paraId="1C6CA10A">
            <w:pPr>
              <w:spacing w:line="240" w:lineRule="auto"/>
              <w:jc w:val="center"/>
              <w:rPr>
                <w:sz w:val="21"/>
                <w:szCs w:val="21"/>
              </w:rPr>
            </w:pPr>
          </w:p>
        </w:tc>
        <w:tc>
          <w:tcPr>
            <w:tcW w:w="691" w:type="dxa"/>
            <w:vAlign w:val="center"/>
          </w:tcPr>
          <w:p w14:paraId="34FDE3F1">
            <w:pPr>
              <w:spacing w:line="240" w:lineRule="auto"/>
              <w:jc w:val="center"/>
              <w:rPr>
                <w:sz w:val="21"/>
                <w:szCs w:val="21"/>
              </w:rPr>
            </w:pPr>
          </w:p>
        </w:tc>
        <w:tc>
          <w:tcPr>
            <w:tcW w:w="691" w:type="dxa"/>
            <w:vAlign w:val="center"/>
          </w:tcPr>
          <w:p w14:paraId="3F84AE35">
            <w:pPr>
              <w:spacing w:line="240" w:lineRule="auto"/>
              <w:jc w:val="center"/>
              <w:rPr>
                <w:sz w:val="21"/>
                <w:szCs w:val="21"/>
              </w:rPr>
            </w:pPr>
          </w:p>
        </w:tc>
        <w:tc>
          <w:tcPr>
            <w:tcW w:w="680" w:type="dxa"/>
            <w:vAlign w:val="center"/>
          </w:tcPr>
          <w:p w14:paraId="78AD3335">
            <w:pPr>
              <w:spacing w:line="240" w:lineRule="auto"/>
              <w:jc w:val="center"/>
              <w:rPr>
                <w:sz w:val="21"/>
                <w:szCs w:val="21"/>
              </w:rPr>
            </w:pPr>
          </w:p>
        </w:tc>
      </w:tr>
      <w:tr w14:paraId="038BF9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7A9A9842">
            <w:pPr>
              <w:spacing w:line="240" w:lineRule="auto"/>
              <w:jc w:val="center"/>
              <w:rPr>
                <w:sz w:val="21"/>
                <w:szCs w:val="21"/>
              </w:rPr>
            </w:pPr>
          </w:p>
        </w:tc>
        <w:tc>
          <w:tcPr>
            <w:tcW w:w="1149" w:type="dxa"/>
            <w:vAlign w:val="center"/>
          </w:tcPr>
          <w:p w14:paraId="68215FCE">
            <w:pPr>
              <w:spacing w:line="240" w:lineRule="auto"/>
              <w:jc w:val="center"/>
              <w:rPr>
                <w:sz w:val="21"/>
                <w:szCs w:val="21"/>
              </w:rPr>
            </w:pPr>
            <w:r>
              <w:rPr>
                <w:sz w:val="21"/>
                <w:szCs w:val="21"/>
              </w:rPr>
              <w:t>环境空气</w:t>
            </w:r>
          </w:p>
        </w:tc>
        <w:tc>
          <w:tcPr>
            <w:tcW w:w="690" w:type="dxa"/>
            <w:vAlign w:val="center"/>
          </w:tcPr>
          <w:p w14:paraId="085F98E0">
            <w:pPr>
              <w:spacing w:line="240" w:lineRule="auto"/>
              <w:jc w:val="center"/>
              <w:rPr>
                <w:sz w:val="21"/>
                <w:szCs w:val="21"/>
              </w:rPr>
            </w:pPr>
            <w:r>
              <w:rPr>
                <w:rFonts w:hint="eastAsia"/>
                <w:sz w:val="21"/>
                <w:szCs w:val="21"/>
              </w:rPr>
              <w:t>1SP</w:t>
            </w:r>
          </w:p>
        </w:tc>
        <w:tc>
          <w:tcPr>
            <w:tcW w:w="690" w:type="dxa"/>
            <w:vAlign w:val="center"/>
          </w:tcPr>
          <w:p w14:paraId="3167F72B">
            <w:pPr>
              <w:spacing w:line="240" w:lineRule="auto"/>
              <w:jc w:val="center"/>
              <w:rPr>
                <w:sz w:val="21"/>
                <w:szCs w:val="21"/>
              </w:rPr>
            </w:pPr>
          </w:p>
        </w:tc>
        <w:tc>
          <w:tcPr>
            <w:tcW w:w="691" w:type="dxa"/>
            <w:vAlign w:val="center"/>
          </w:tcPr>
          <w:p w14:paraId="380F7826">
            <w:pPr>
              <w:spacing w:line="240" w:lineRule="auto"/>
              <w:jc w:val="center"/>
              <w:rPr>
                <w:sz w:val="21"/>
                <w:szCs w:val="21"/>
              </w:rPr>
            </w:pPr>
            <w:r>
              <w:rPr>
                <w:sz w:val="21"/>
                <w:szCs w:val="21"/>
              </w:rPr>
              <w:t>1SP</w:t>
            </w:r>
          </w:p>
        </w:tc>
        <w:tc>
          <w:tcPr>
            <w:tcW w:w="691" w:type="dxa"/>
            <w:vAlign w:val="center"/>
          </w:tcPr>
          <w:p w14:paraId="1C1A668A">
            <w:pPr>
              <w:spacing w:line="240" w:lineRule="auto"/>
              <w:jc w:val="center"/>
              <w:rPr>
                <w:sz w:val="21"/>
                <w:szCs w:val="21"/>
              </w:rPr>
            </w:pPr>
          </w:p>
        </w:tc>
        <w:tc>
          <w:tcPr>
            <w:tcW w:w="691" w:type="dxa"/>
            <w:vAlign w:val="center"/>
          </w:tcPr>
          <w:p w14:paraId="4C3D0202">
            <w:pPr>
              <w:spacing w:line="240" w:lineRule="auto"/>
              <w:jc w:val="center"/>
              <w:rPr>
                <w:sz w:val="21"/>
                <w:szCs w:val="21"/>
              </w:rPr>
            </w:pPr>
          </w:p>
        </w:tc>
        <w:tc>
          <w:tcPr>
            <w:tcW w:w="691" w:type="dxa"/>
            <w:vAlign w:val="center"/>
          </w:tcPr>
          <w:p w14:paraId="0CE698FA">
            <w:pPr>
              <w:spacing w:line="240" w:lineRule="auto"/>
              <w:jc w:val="center"/>
              <w:rPr>
                <w:sz w:val="21"/>
                <w:szCs w:val="21"/>
              </w:rPr>
            </w:pPr>
            <w:r>
              <w:rPr>
                <w:sz w:val="21"/>
                <w:szCs w:val="21"/>
              </w:rPr>
              <w:t>2LP</w:t>
            </w:r>
          </w:p>
        </w:tc>
        <w:tc>
          <w:tcPr>
            <w:tcW w:w="691" w:type="dxa"/>
            <w:vAlign w:val="center"/>
          </w:tcPr>
          <w:p w14:paraId="08120512">
            <w:pPr>
              <w:spacing w:line="240" w:lineRule="auto"/>
              <w:jc w:val="center"/>
              <w:rPr>
                <w:sz w:val="21"/>
                <w:szCs w:val="21"/>
              </w:rPr>
            </w:pPr>
          </w:p>
        </w:tc>
        <w:tc>
          <w:tcPr>
            <w:tcW w:w="691" w:type="dxa"/>
            <w:vAlign w:val="center"/>
          </w:tcPr>
          <w:p w14:paraId="65E4A9F7">
            <w:pPr>
              <w:spacing w:line="240" w:lineRule="auto"/>
              <w:jc w:val="center"/>
              <w:rPr>
                <w:sz w:val="21"/>
                <w:szCs w:val="21"/>
              </w:rPr>
            </w:pPr>
          </w:p>
        </w:tc>
        <w:tc>
          <w:tcPr>
            <w:tcW w:w="680" w:type="dxa"/>
            <w:vAlign w:val="center"/>
          </w:tcPr>
          <w:p w14:paraId="6780A89A">
            <w:pPr>
              <w:spacing w:line="240" w:lineRule="auto"/>
              <w:jc w:val="center"/>
              <w:rPr>
                <w:sz w:val="21"/>
                <w:szCs w:val="21"/>
              </w:rPr>
            </w:pPr>
            <w:r>
              <w:rPr>
                <w:sz w:val="21"/>
                <w:szCs w:val="21"/>
              </w:rPr>
              <w:t>1LP</w:t>
            </w:r>
          </w:p>
        </w:tc>
      </w:tr>
      <w:tr w14:paraId="447F8B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0DF9AC07">
            <w:pPr>
              <w:spacing w:line="240" w:lineRule="auto"/>
              <w:jc w:val="center"/>
              <w:rPr>
                <w:sz w:val="21"/>
                <w:szCs w:val="21"/>
              </w:rPr>
            </w:pPr>
          </w:p>
        </w:tc>
        <w:tc>
          <w:tcPr>
            <w:tcW w:w="1149" w:type="dxa"/>
            <w:vAlign w:val="center"/>
          </w:tcPr>
          <w:p w14:paraId="5DAA3408">
            <w:pPr>
              <w:spacing w:line="240" w:lineRule="auto"/>
              <w:jc w:val="center"/>
              <w:rPr>
                <w:sz w:val="21"/>
                <w:szCs w:val="21"/>
              </w:rPr>
            </w:pPr>
            <w:r>
              <w:rPr>
                <w:sz w:val="21"/>
                <w:szCs w:val="21"/>
              </w:rPr>
              <w:t>声环境</w:t>
            </w:r>
          </w:p>
        </w:tc>
        <w:tc>
          <w:tcPr>
            <w:tcW w:w="690" w:type="dxa"/>
            <w:vAlign w:val="center"/>
          </w:tcPr>
          <w:p w14:paraId="0322896C">
            <w:pPr>
              <w:spacing w:line="240" w:lineRule="auto"/>
              <w:jc w:val="center"/>
              <w:rPr>
                <w:sz w:val="21"/>
                <w:szCs w:val="21"/>
              </w:rPr>
            </w:pPr>
            <w:r>
              <w:rPr>
                <w:rFonts w:hint="eastAsia"/>
                <w:sz w:val="21"/>
                <w:szCs w:val="21"/>
              </w:rPr>
              <w:t>1SP</w:t>
            </w:r>
          </w:p>
        </w:tc>
        <w:tc>
          <w:tcPr>
            <w:tcW w:w="690" w:type="dxa"/>
            <w:vAlign w:val="center"/>
          </w:tcPr>
          <w:p w14:paraId="3D48D09C">
            <w:pPr>
              <w:spacing w:line="240" w:lineRule="auto"/>
              <w:jc w:val="center"/>
              <w:rPr>
                <w:sz w:val="21"/>
                <w:szCs w:val="21"/>
              </w:rPr>
            </w:pPr>
            <w:r>
              <w:rPr>
                <w:sz w:val="21"/>
                <w:szCs w:val="21"/>
              </w:rPr>
              <w:t>1SP</w:t>
            </w:r>
          </w:p>
        </w:tc>
        <w:tc>
          <w:tcPr>
            <w:tcW w:w="691" w:type="dxa"/>
            <w:vAlign w:val="center"/>
          </w:tcPr>
          <w:p w14:paraId="068196C9">
            <w:pPr>
              <w:spacing w:line="240" w:lineRule="auto"/>
              <w:jc w:val="center"/>
              <w:rPr>
                <w:sz w:val="21"/>
                <w:szCs w:val="21"/>
              </w:rPr>
            </w:pPr>
            <w:r>
              <w:rPr>
                <w:sz w:val="21"/>
                <w:szCs w:val="21"/>
              </w:rPr>
              <w:t>1SP</w:t>
            </w:r>
          </w:p>
        </w:tc>
        <w:tc>
          <w:tcPr>
            <w:tcW w:w="691" w:type="dxa"/>
            <w:vAlign w:val="center"/>
          </w:tcPr>
          <w:p w14:paraId="6944E9AC">
            <w:pPr>
              <w:spacing w:line="240" w:lineRule="auto"/>
              <w:jc w:val="center"/>
              <w:rPr>
                <w:sz w:val="21"/>
                <w:szCs w:val="21"/>
              </w:rPr>
            </w:pPr>
            <w:r>
              <w:rPr>
                <w:sz w:val="21"/>
                <w:szCs w:val="21"/>
              </w:rPr>
              <w:t>1SP</w:t>
            </w:r>
          </w:p>
        </w:tc>
        <w:tc>
          <w:tcPr>
            <w:tcW w:w="691" w:type="dxa"/>
            <w:vAlign w:val="center"/>
          </w:tcPr>
          <w:p w14:paraId="0AB793B5">
            <w:pPr>
              <w:spacing w:line="240" w:lineRule="auto"/>
              <w:jc w:val="center"/>
              <w:rPr>
                <w:sz w:val="21"/>
                <w:szCs w:val="21"/>
              </w:rPr>
            </w:pPr>
          </w:p>
        </w:tc>
        <w:tc>
          <w:tcPr>
            <w:tcW w:w="691" w:type="dxa"/>
            <w:vAlign w:val="center"/>
          </w:tcPr>
          <w:p w14:paraId="26E0D885">
            <w:pPr>
              <w:spacing w:line="240" w:lineRule="auto"/>
              <w:jc w:val="center"/>
              <w:rPr>
                <w:sz w:val="21"/>
                <w:szCs w:val="21"/>
              </w:rPr>
            </w:pPr>
          </w:p>
        </w:tc>
        <w:tc>
          <w:tcPr>
            <w:tcW w:w="691" w:type="dxa"/>
            <w:vAlign w:val="center"/>
          </w:tcPr>
          <w:p w14:paraId="6B219E34">
            <w:pPr>
              <w:spacing w:line="240" w:lineRule="auto"/>
              <w:jc w:val="center"/>
              <w:rPr>
                <w:sz w:val="21"/>
                <w:szCs w:val="21"/>
              </w:rPr>
            </w:pPr>
          </w:p>
        </w:tc>
        <w:tc>
          <w:tcPr>
            <w:tcW w:w="691" w:type="dxa"/>
            <w:vAlign w:val="center"/>
          </w:tcPr>
          <w:p w14:paraId="628CB88D">
            <w:pPr>
              <w:spacing w:line="240" w:lineRule="auto"/>
              <w:jc w:val="center"/>
              <w:rPr>
                <w:sz w:val="21"/>
                <w:szCs w:val="21"/>
              </w:rPr>
            </w:pPr>
            <w:r>
              <w:rPr>
                <w:sz w:val="21"/>
                <w:szCs w:val="21"/>
              </w:rPr>
              <w:t>2LP</w:t>
            </w:r>
          </w:p>
        </w:tc>
        <w:tc>
          <w:tcPr>
            <w:tcW w:w="680" w:type="dxa"/>
            <w:vAlign w:val="center"/>
          </w:tcPr>
          <w:p w14:paraId="79F3B04F">
            <w:pPr>
              <w:spacing w:line="240" w:lineRule="auto"/>
              <w:jc w:val="center"/>
              <w:rPr>
                <w:sz w:val="21"/>
                <w:szCs w:val="21"/>
              </w:rPr>
            </w:pPr>
            <w:r>
              <w:rPr>
                <w:sz w:val="21"/>
                <w:szCs w:val="21"/>
              </w:rPr>
              <w:t>1LP</w:t>
            </w:r>
          </w:p>
        </w:tc>
      </w:tr>
      <w:tr w14:paraId="6A85B5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restart"/>
            <w:vAlign w:val="center"/>
          </w:tcPr>
          <w:p w14:paraId="18E57927">
            <w:pPr>
              <w:spacing w:line="240" w:lineRule="auto"/>
              <w:jc w:val="center"/>
              <w:rPr>
                <w:sz w:val="21"/>
                <w:szCs w:val="21"/>
              </w:rPr>
            </w:pPr>
            <w:r>
              <w:rPr>
                <w:sz w:val="21"/>
                <w:szCs w:val="21"/>
              </w:rPr>
              <w:t>生态</w:t>
            </w:r>
          </w:p>
          <w:p w14:paraId="5CC4405A">
            <w:pPr>
              <w:spacing w:line="240" w:lineRule="auto"/>
              <w:jc w:val="center"/>
              <w:rPr>
                <w:sz w:val="21"/>
                <w:szCs w:val="21"/>
              </w:rPr>
            </w:pPr>
            <w:r>
              <w:rPr>
                <w:sz w:val="21"/>
                <w:szCs w:val="21"/>
              </w:rPr>
              <w:t>环境</w:t>
            </w:r>
          </w:p>
        </w:tc>
        <w:tc>
          <w:tcPr>
            <w:tcW w:w="1149" w:type="dxa"/>
            <w:vAlign w:val="center"/>
          </w:tcPr>
          <w:p w14:paraId="597BD180">
            <w:pPr>
              <w:spacing w:line="240" w:lineRule="auto"/>
              <w:jc w:val="center"/>
              <w:rPr>
                <w:sz w:val="21"/>
                <w:szCs w:val="21"/>
              </w:rPr>
            </w:pPr>
            <w:r>
              <w:rPr>
                <w:sz w:val="21"/>
                <w:szCs w:val="21"/>
              </w:rPr>
              <w:t>土壤</w:t>
            </w:r>
          </w:p>
        </w:tc>
        <w:tc>
          <w:tcPr>
            <w:tcW w:w="690" w:type="dxa"/>
            <w:vAlign w:val="center"/>
          </w:tcPr>
          <w:p w14:paraId="716FFA58">
            <w:pPr>
              <w:spacing w:line="240" w:lineRule="auto"/>
              <w:jc w:val="center"/>
              <w:rPr>
                <w:sz w:val="21"/>
                <w:szCs w:val="21"/>
              </w:rPr>
            </w:pPr>
          </w:p>
        </w:tc>
        <w:tc>
          <w:tcPr>
            <w:tcW w:w="690" w:type="dxa"/>
            <w:vAlign w:val="center"/>
          </w:tcPr>
          <w:p w14:paraId="3B93DDEF">
            <w:pPr>
              <w:spacing w:line="240" w:lineRule="auto"/>
              <w:jc w:val="center"/>
              <w:rPr>
                <w:sz w:val="21"/>
                <w:szCs w:val="21"/>
              </w:rPr>
            </w:pPr>
          </w:p>
        </w:tc>
        <w:tc>
          <w:tcPr>
            <w:tcW w:w="691" w:type="dxa"/>
            <w:vAlign w:val="center"/>
          </w:tcPr>
          <w:p w14:paraId="08BF8B9D">
            <w:pPr>
              <w:spacing w:line="240" w:lineRule="auto"/>
              <w:jc w:val="center"/>
              <w:rPr>
                <w:sz w:val="21"/>
                <w:szCs w:val="21"/>
              </w:rPr>
            </w:pPr>
          </w:p>
        </w:tc>
        <w:tc>
          <w:tcPr>
            <w:tcW w:w="691" w:type="dxa"/>
            <w:vAlign w:val="center"/>
          </w:tcPr>
          <w:p w14:paraId="2A9555B7">
            <w:pPr>
              <w:spacing w:line="240" w:lineRule="auto"/>
              <w:jc w:val="center"/>
              <w:rPr>
                <w:sz w:val="21"/>
                <w:szCs w:val="21"/>
              </w:rPr>
            </w:pPr>
          </w:p>
        </w:tc>
        <w:tc>
          <w:tcPr>
            <w:tcW w:w="691" w:type="dxa"/>
            <w:vAlign w:val="center"/>
          </w:tcPr>
          <w:p w14:paraId="605CF3B7">
            <w:pPr>
              <w:spacing w:line="240" w:lineRule="auto"/>
              <w:jc w:val="center"/>
              <w:rPr>
                <w:sz w:val="21"/>
                <w:szCs w:val="21"/>
              </w:rPr>
            </w:pPr>
            <w:r>
              <w:rPr>
                <w:sz w:val="21"/>
                <w:szCs w:val="21"/>
              </w:rPr>
              <w:t>1LP</w:t>
            </w:r>
          </w:p>
        </w:tc>
        <w:tc>
          <w:tcPr>
            <w:tcW w:w="691" w:type="dxa"/>
            <w:vAlign w:val="center"/>
          </w:tcPr>
          <w:p w14:paraId="1EF4C59B">
            <w:pPr>
              <w:spacing w:line="240" w:lineRule="auto"/>
              <w:jc w:val="center"/>
              <w:rPr>
                <w:sz w:val="21"/>
                <w:szCs w:val="21"/>
              </w:rPr>
            </w:pPr>
            <w:r>
              <w:rPr>
                <w:sz w:val="21"/>
                <w:szCs w:val="21"/>
              </w:rPr>
              <w:t>1LP</w:t>
            </w:r>
          </w:p>
        </w:tc>
        <w:tc>
          <w:tcPr>
            <w:tcW w:w="691" w:type="dxa"/>
            <w:vAlign w:val="center"/>
          </w:tcPr>
          <w:p w14:paraId="48055D96">
            <w:pPr>
              <w:spacing w:line="240" w:lineRule="auto"/>
              <w:jc w:val="center"/>
              <w:rPr>
                <w:sz w:val="21"/>
                <w:szCs w:val="21"/>
              </w:rPr>
            </w:pPr>
            <w:r>
              <w:rPr>
                <w:sz w:val="21"/>
                <w:szCs w:val="21"/>
              </w:rPr>
              <w:t>1LP</w:t>
            </w:r>
          </w:p>
        </w:tc>
        <w:tc>
          <w:tcPr>
            <w:tcW w:w="691" w:type="dxa"/>
            <w:vAlign w:val="center"/>
          </w:tcPr>
          <w:p w14:paraId="54EF0778">
            <w:pPr>
              <w:spacing w:line="240" w:lineRule="auto"/>
              <w:jc w:val="center"/>
              <w:rPr>
                <w:sz w:val="21"/>
                <w:szCs w:val="21"/>
              </w:rPr>
            </w:pPr>
          </w:p>
        </w:tc>
        <w:tc>
          <w:tcPr>
            <w:tcW w:w="680" w:type="dxa"/>
            <w:vAlign w:val="center"/>
          </w:tcPr>
          <w:p w14:paraId="2EDD957F">
            <w:pPr>
              <w:spacing w:line="240" w:lineRule="auto"/>
              <w:jc w:val="center"/>
              <w:rPr>
                <w:sz w:val="21"/>
                <w:szCs w:val="21"/>
              </w:rPr>
            </w:pPr>
          </w:p>
        </w:tc>
      </w:tr>
      <w:tr w14:paraId="67467D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59304A39">
            <w:pPr>
              <w:spacing w:line="240" w:lineRule="auto"/>
              <w:jc w:val="center"/>
              <w:rPr>
                <w:sz w:val="21"/>
                <w:szCs w:val="21"/>
              </w:rPr>
            </w:pPr>
          </w:p>
        </w:tc>
        <w:tc>
          <w:tcPr>
            <w:tcW w:w="1149" w:type="dxa"/>
            <w:vAlign w:val="center"/>
          </w:tcPr>
          <w:p w14:paraId="2374B8DF">
            <w:pPr>
              <w:spacing w:line="240" w:lineRule="auto"/>
              <w:jc w:val="center"/>
              <w:rPr>
                <w:sz w:val="21"/>
                <w:szCs w:val="21"/>
              </w:rPr>
            </w:pPr>
            <w:r>
              <w:rPr>
                <w:sz w:val="21"/>
                <w:szCs w:val="21"/>
              </w:rPr>
              <w:t>植被</w:t>
            </w:r>
          </w:p>
        </w:tc>
        <w:tc>
          <w:tcPr>
            <w:tcW w:w="690" w:type="dxa"/>
            <w:vAlign w:val="center"/>
          </w:tcPr>
          <w:p w14:paraId="33FF01BD">
            <w:pPr>
              <w:spacing w:line="240" w:lineRule="auto"/>
              <w:jc w:val="center"/>
              <w:rPr>
                <w:sz w:val="21"/>
                <w:szCs w:val="21"/>
              </w:rPr>
            </w:pPr>
          </w:p>
        </w:tc>
        <w:tc>
          <w:tcPr>
            <w:tcW w:w="690" w:type="dxa"/>
            <w:vAlign w:val="center"/>
          </w:tcPr>
          <w:p w14:paraId="412CEEF0">
            <w:pPr>
              <w:spacing w:line="240" w:lineRule="auto"/>
              <w:jc w:val="center"/>
              <w:rPr>
                <w:sz w:val="21"/>
                <w:szCs w:val="21"/>
              </w:rPr>
            </w:pPr>
          </w:p>
        </w:tc>
        <w:tc>
          <w:tcPr>
            <w:tcW w:w="691" w:type="dxa"/>
            <w:vAlign w:val="center"/>
          </w:tcPr>
          <w:p w14:paraId="57769A7B">
            <w:pPr>
              <w:spacing w:line="240" w:lineRule="auto"/>
              <w:jc w:val="center"/>
              <w:rPr>
                <w:sz w:val="21"/>
                <w:szCs w:val="21"/>
              </w:rPr>
            </w:pPr>
          </w:p>
        </w:tc>
        <w:tc>
          <w:tcPr>
            <w:tcW w:w="691" w:type="dxa"/>
            <w:vAlign w:val="center"/>
          </w:tcPr>
          <w:p w14:paraId="2615E73C">
            <w:pPr>
              <w:spacing w:line="240" w:lineRule="auto"/>
              <w:jc w:val="center"/>
              <w:rPr>
                <w:sz w:val="21"/>
                <w:szCs w:val="21"/>
              </w:rPr>
            </w:pPr>
          </w:p>
        </w:tc>
        <w:tc>
          <w:tcPr>
            <w:tcW w:w="691" w:type="dxa"/>
            <w:vAlign w:val="center"/>
          </w:tcPr>
          <w:p w14:paraId="33847AF7">
            <w:pPr>
              <w:spacing w:line="240" w:lineRule="auto"/>
              <w:jc w:val="center"/>
              <w:rPr>
                <w:sz w:val="21"/>
                <w:szCs w:val="21"/>
              </w:rPr>
            </w:pPr>
            <w:r>
              <w:rPr>
                <w:sz w:val="21"/>
                <w:szCs w:val="21"/>
              </w:rPr>
              <w:t>1LP</w:t>
            </w:r>
          </w:p>
        </w:tc>
        <w:tc>
          <w:tcPr>
            <w:tcW w:w="691" w:type="dxa"/>
            <w:vAlign w:val="center"/>
          </w:tcPr>
          <w:p w14:paraId="78C1EEF5">
            <w:pPr>
              <w:spacing w:line="240" w:lineRule="auto"/>
              <w:jc w:val="center"/>
              <w:rPr>
                <w:sz w:val="21"/>
                <w:szCs w:val="21"/>
              </w:rPr>
            </w:pPr>
            <w:r>
              <w:rPr>
                <w:sz w:val="21"/>
                <w:szCs w:val="21"/>
              </w:rPr>
              <w:t>1LP</w:t>
            </w:r>
          </w:p>
        </w:tc>
        <w:tc>
          <w:tcPr>
            <w:tcW w:w="691" w:type="dxa"/>
            <w:vAlign w:val="center"/>
          </w:tcPr>
          <w:p w14:paraId="2819CD61">
            <w:pPr>
              <w:spacing w:line="240" w:lineRule="auto"/>
              <w:jc w:val="center"/>
              <w:rPr>
                <w:sz w:val="21"/>
                <w:szCs w:val="21"/>
              </w:rPr>
            </w:pPr>
            <w:r>
              <w:rPr>
                <w:sz w:val="21"/>
                <w:szCs w:val="21"/>
              </w:rPr>
              <w:t>1LP</w:t>
            </w:r>
          </w:p>
        </w:tc>
        <w:tc>
          <w:tcPr>
            <w:tcW w:w="691" w:type="dxa"/>
            <w:vAlign w:val="center"/>
          </w:tcPr>
          <w:p w14:paraId="04916175">
            <w:pPr>
              <w:spacing w:line="240" w:lineRule="auto"/>
              <w:jc w:val="center"/>
              <w:rPr>
                <w:sz w:val="21"/>
                <w:szCs w:val="21"/>
              </w:rPr>
            </w:pPr>
          </w:p>
        </w:tc>
        <w:tc>
          <w:tcPr>
            <w:tcW w:w="680" w:type="dxa"/>
            <w:vAlign w:val="center"/>
          </w:tcPr>
          <w:p w14:paraId="7AAA59CD">
            <w:pPr>
              <w:spacing w:line="240" w:lineRule="auto"/>
              <w:jc w:val="center"/>
              <w:rPr>
                <w:sz w:val="21"/>
                <w:szCs w:val="21"/>
              </w:rPr>
            </w:pPr>
          </w:p>
        </w:tc>
      </w:tr>
      <w:tr w14:paraId="290621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restart"/>
            <w:vAlign w:val="center"/>
          </w:tcPr>
          <w:p w14:paraId="0FBE4137">
            <w:pPr>
              <w:spacing w:line="240" w:lineRule="auto"/>
              <w:jc w:val="center"/>
              <w:rPr>
                <w:sz w:val="21"/>
                <w:szCs w:val="21"/>
              </w:rPr>
            </w:pPr>
            <w:r>
              <w:rPr>
                <w:sz w:val="21"/>
                <w:szCs w:val="21"/>
              </w:rPr>
              <w:t>社会</w:t>
            </w:r>
          </w:p>
          <w:p w14:paraId="7F231FE6">
            <w:pPr>
              <w:spacing w:line="240" w:lineRule="auto"/>
              <w:jc w:val="center"/>
              <w:rPr>
                <w:sz w:val="21"/>
                <w:szCs w:val="21"/>
              </w:rPr>
            </w:pPr>
            <w:r>
              <w:rPr>
                <w:sz w:val="21"/>
                <w:szCs w:val="21"/>
              </w:rPr>
              <w:t>经济</w:t>
            </w:r>
          </w:p>
          <w:p w14:paraId="3AD2D5C3">
            <w:pPr>
              <w:spacing w:line="240" w:lineRule="auto"/>
              <w:jc w:val="center"/>
              <w:rPr>
                <w:sz w:val="21"/>
                <w:szCs w:val="21"/>
              </w:rPr>
            </w:pPr>
            <w:r>
              <w:rPr>
                <w:sz w:val="21"/>
                <w:szCs w:val="21"/>
              </w:rPr>
              <w:t>环境</w:t>
            </w:r>
          </w:p>
        </w:tc>
        <w:tc>
          <w:tcPr>
            <w:tcW w:w="1149" w:type="dxa"/>
            <w:vAlign w:val="center"/>
          </w:tcPr>
          <w:p w14:paraId="0FA385FE">
            <w:pPr>
              <w:spacing w:line="240" w:lineRule="auto"/>
              <w:jc w:val="center"/>
              <w:rPr>
                <w:sz w:val="21"/>
                <w:szCs w:val="21"/>
              </w:rPr>
            </w:pPr>
            <w:r>
              <w:rPr>
                <w:sz w:val="21"/>
                <w:szCs w:val="21"/>
              </w:rPr>
              <w:t>农业</w:t>
            </w:r>
          </w:p>
        </w:tc>
        <w:tc>
          <w:tcPr>
            <w:tcW w:w="690" w:type="dxa"/>
            <w:vAlign w:val="center"/>
          </w:tcPr>
          <w:p w14:paraId="4066EECC">
            <w:pPr>
              <w:spacing w:line="240" w:lineRule="auto"/>
              <w:jc w:val="center"/>
              <w:rPr>
                <w:sz w:val="21"/>
                <w:szCs w:val="21"/>
              </w:rPr>
            </w:pPr>
          </w:p>
        </w:tc>
        <w:tc>
          <w:tcPr>
            <w:tcW w:w="690" w:type="dxa"/>
            <w:vAlign w:val="center"/>
          </w:tcPr>
          <w:p w14:paraId="7B33D52D">
            <w:pPr>
              <w:spacing w:line="240" w:lineRule="auto"/>
              <w:jc w:val="center"/>
              <w:rPr>
                <w:sz w:val="21"/>
                <w:szCs w:val="21"/>
              </w:rPr>
            </w:pPr>
          </w:p>
        </w:tc>
        <w:tc>
          <w:tcPr>
            <w:tcW w:w="691" w:type="dxa"/>
            <w:vAlign w:val="center"/>
          </w:tcPr>
          <w:p w14:paraId="7DCC72AD">
            <w:pPr>
              <w:spacing w:line="240" w:lineRule="auto"/>
              <w:jc w:val="center"/>
              <w:rPr>
                <w:sz w:val="21"/>
                <w:szCs w:val="21"/>
              </w:rPr>
            </w:pPr>
          </w:p>
        </w:tc>
        <w:tc>
          <w:tcPr>
            <w:tcW w:w="691" w:type="dxa"/>
            <w:vAlign w:val="center"/>
          </w:tcPr>
          <w:p w14:paraId="703C1213">
            <w:pPr>
              <w:spacing w:line="240" w:lineRule="auto"/>
              <w:jc w:val="center"/>
              <w:rPr>
                <w:sz w:val="21"/>
                <w:szCs w:val="21"/>
              </w:rPr>
            </w:pPr>
          </w:p>
        </w:tc>
        <w:tc>
          <w:tcPr>
            <w:tcW w:w="691" w:type="dxa"/>
            <w:vAlign w:val="center"/>
          </w:tcPr>
          <w:p w14:paraId="36421916">
            <w:pPr>
              <w:spacing w:line="240" w:lineRule="auto"/>
              <w:jc w:val="center"/>
              <w:rPr>
                <w:sz w:val="21"/>
                <w:szCs w:val="21"/>
              </w:rPr>
            </w:pPr>
            <w:r>
              <w:rPr>
                <w:sz w:val="21"/>
                <w:szCs w:val="21"/>
              </w:rPr>
              <w:t>1LP</w:t>
            </w:r>
          </w:p>
        </w:tc>
        <w:tc>
          <w:tcPr>
            <w:tcW w:w="691" w:type="dxa"/>
            <w:vAlign w:val="center"/>
          </w:tcPr>
          <w:p w14:paraId="546632DE">
            <w:pPr>
              <w:spacing w:line="240" w:lineRule="auto"/>
              <w:jc w:val="center"/>
              <w:rPr>
                <w:sz w:val="21"/>
                <w:szCs w:val="21"/>
              </w:rPr>
            </w:pPr>
            <w:r>
              <w:rPr>
                <w:sz w:val="21"/>
                <w:szCs w:val="21"/>
              </w:rPr>
              <w:t>1LP</w:t>
            </w:r>
          </w:p>
        </w:tc>
        <w:tc>
          <w:tcPr>
            <w:tcW w:w="691" w:type="dxa"/>
            <w:vAlign w:val="center"/>
          </w:tcPr>
          <w:p w14:paraId="456D5D3B">
            <w:pPr>
              <w:spacing w:line="240" w:lineRule="auto"/>
              <w:jc w:val="center"/>
              <w:rPr>
                <w:sz w:val="21"/>
                <w:szCs w:val="21"/>
              </w:rPr>
            </w:pPr>
          </w:p>
        </w:tc>
        <w:tc>
          <w:tcPr>
            <w:tcW w:w="691" w:type="dxa"/>
            <w:vAlign w:val="center"/>
          </w:tcPr>
          <w:p w14:paraId="7720B408">
            <w:pPr>
              <w:spacing w:line="240" w:lineRule="auto"/>
              <w:jc w:val="center"/>
              <w:rPr>
                <w:sz w:val="21"/>
                <w:szCs w:val="21"/>
              </w:rPr>
            </w:pPr>
          </w:p>
        </w:tc>
        <w:tc>
          <w:tcPr>
            <w:tcW w:w="680" w:type="dxa"/>
            <w:vAlign w:val="center"/>
          </w:tcPr>
          <w:p w14:paraId="2CB5B441">
            <w:pPr>
              <w:spacing w:line="240" w:lineRule="auto"/>
              <w:jc w:val="center"/>
              <w:rPr>
                <w:sz w:val="21"/>
                <w:szCs w:val="21"/>
              </w:rPr>
            </w:pPr>
          </w:p>
        </w:tc>
      </w:tr>
      <w:tr w14:paraId="752C12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6B67D544">
            <w:pPr>
              <w:spacing w:line="240" w:lineRule="auto"/>
              <w:jc w:val="center"/>
              <w:rPr>
                <w:sz w:val="21"/>
                <w:szCs w:val="21"/>
              </w:rPr>
            </w:pPr>
          </w:p>
        </w:tc>
        <w:tc>
          <w:tcPr>
            <w:tcW w:w="1149" w:type="dxa"/>
            <w:vAlign w:val="center"/>
          </w:tcPr>
          <w:p w14:paraId="4F316823">
            <w:pPr>
              <w:spacing w:line="240" w:lineRule="auto"/>
              <w:jc w:val="center"/>
              <w:rPr>
                <w:sz w:val="21"/>
                <w:szCs w:val="21"/>
              </w:rPr>
            </w:pPr>
            <w:r>
              <w:rPr>
                <w:sz w:val="21"/>
                <w:szCs w:val="21"/>
              </w:rPr>
              <w:t>交通</w:t>
            </w:r>
          </w:p>
        </w:tc>
        <w:tc>
          <w:tcPr>
            <w:tcW w:w="690" w:type="dxa"/>
            <w:vAlign w:val="center"/>
          </w:tcPr>
          <w:p w14:paraId="25A28F65">
            <w:pPr>
              <w:spacing w:line="240" w:lineRule="auto"/>
              <w:jc w:val="center"/>
              <w:rPr>
                <w:sz w:val="21"/>
                <w:szCs w:val="21"/>
              </w:rPr>
            </w:pPr>
          </w:p>
        </w:tc>
        <w:tc>
          <w:tcPr>
            <w:tcW w:w="690" w:type="dxa"/>
            <w:vAlign w:val="center"/>
          </w:tcPr>
          <w:p w14:paraId="5B7FD6A4">
            <w:pPr>
              <w:spacing w:line="240" w:lineRule="auto"/>
              <w:jc w:val="center"/>
              <w:rPr>
                <w:sz w:val="21"/>
                <w:szCs w:val="21"/>
              </w:rPr>
            </w:pPr>
            <w:r>
              <w:rPr>
                <w:sz w:val="21"/>
                <w:szCs w:val="21"/>
              </w:rPr>
              <w:t>1SP</w:t>
            </w:r>
          </w:p>
        </w:tc>
        <w:tc>
          <w:tcPr>
            <w:tcW w:w="691" w:type="dxa"/>
            <w:vAlign w:val="center"/>
          </w:tcPr>
          <w:p w14:paraId="66B437E5">
            <w:pPr>
              <w:spacing w:line="240" w:lineRule="auto"/>
              <w:jc w:val="center"/>
              <w:rPr>
                <w:sz w:val="21"/>
                <w:szCs w:val="21"/>
              </w:rPr>
            </w:pPr>
            <w:r>
              <w:rPr>
                <w:sz w:val="21"/>
                <w:szCs w:val="21"/>
              </w:rPr>
              <w:t>1SP</w:t>
            </w:r>
          </w:p>
        </w:tc>
        <w:tc>
          <w:tcPr>
            <w:tcW w:w="691" w:type="dxa"/>
            <w:vAlign w:val="center"/>
          </w:tcPr>
          <w:p w14:paraId="28A1C627">
            <w:pPr>
              <w:spacing w:line="240" w:lineRule="auto"/>
              <w:jc w:val="center"/>
              <w:rPr>
                <w:sz w:val="21"/>
                <w:szCs w:val="21"/>
              </w:rPr>
            </w:pPr>
          </w:p>
        </w:tc>
        <w:tc>
          <w:tcPr>
            <w:tcW w:w="691" w:type="dxa"/>
            <w:vAlign w:val="center"/>
          </w:tcPr>
          <w:p w14:paraId="00BAB1DB">
            <w:pPr>
              <w:spacing w:line="240" w:lineRule="auto"/>
              <w:jc w:val="center"/>
              <w:rPr>
                <w:sz w:val="21"/>
                <w:szCs w:val="21"/>
              </w:rPr>
            </w:pPr>
          </w:p>
        </w:tc>
        <w:tc>
          <w:tcPr>
            <w:tcW w:w="691" w:type="dxa"/>
            <w:vAlign w:val="center"/>
          </w:tcPr>
          <w:p w14:paraId="3D5546FB">
            <w:pPr>
              <w:spacing w:line="240" w:lineRule="auto"/>
              <w:jc w:val="center"/>
              <w:rPr>
                <w:sz w:val="21"/>
                <w:szCs w:val="21"/>
              </w:rPr>
            </w:pPr>
          </w:p>
        </w:tc>
        <w:tc>
          <w:tcPr>
            <w:tcW w:w="691" w:type="dxa"/>
            <w:vAlign w:val="center"/>
          </w:tcPr>
          <w:p w14:paraId="35E53AB8">
            <w:pPr>
              <w:spacing w:line="240" w:lineRule="auto"/>
              <w:jc w:val="center"/>
              <w:rPr>
                <w:sz w:val="21"/>
                <w:szCs w:val="21"/>
              </w:rPr>
            </w:pPr>
          </w:p>
        </w:tc>
        <w:tc>
          <w:tcPr>
            <w:tcW w:w="691" w:type="dxa"/>
            <w:vAlign w:val="center"/>
          </w:tcPr>
          <w:p w14:paraId="42A6F1D2">
            <w:pPr>
              <w:spacing w:line="240" w:lineRule="auto"/>
              <w:jc w:val="center"/>
              <w:rPr>
                <w:sz w:val="21"/>
                <w:szCs w:val="21"/>
              </w:rPr>
            </w:pPr>
            <w:r>
              <w:rPr>
                <w:sz w:val="21"/>
                <w:szCs w:val="21"/>
              </w:rPr>
              <w:t>1LP</w:t>
            </w:r>
          </w:p>
        </w:tc>
        <w:tc>
          <w:tcPr>
            <w:tcW w:w="680" w:type="dxa"/>
            <w:vAlign w:val="center"/>
          </w:tcPr>
          <w:p w14:paraId="509805FE">
            <w:pPr>
              <w:spacing w:line="240" w:lineRule="auto"/>
              <w:jc w:val="center"/>
              <w:rPr>
                <w:sz w:val="21"/>
                <w:szCs w:val="21"/>
              </w:rPr>
            </w:pPr>
            <w:r>
              <w:rPr>
                <w:sz w:val="21"/>
                <w:szCs w:val="21"/>
              </w:rPr>
              <w:t>1LP</w:t>
            </w:r>
          </w:p>
        </w:tc>
      </w:tr>
      <w:tr w14:paraId="1ABF25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14E36FD1">
            <w:pPr>
              <w:spacing w:line="240" w:lineRule="auto"/>
              <w:jc w:val="center"/>
              <w:rPr>
                <w:sz w:val="21"/>
                <w:szCs w:val="21"/>
              </w:rPr>
            </w:pPr>
          </w:p>
        </w:tc>
        <w:tc>
          <w:tcPr>
            <w:tcW w:w="1149" w:type="dxa"/>
            <w:vAlign w:val="center"/>
          </w:tcPr>
          <w:p w14:paraId="50987AF6">
            <w:pPr>
              <w:spacing w:line="240" w:lineRule="auto"/>
              <w:jc w:val="center"/>
              <w:rPr>
                <w:sz w:val="21"/>
                <w:szCs w:val="21"/>
              </w:rPr>
            </w:pPr>
            <w:r>
              <w:rPr>
                <w:sz w:val="21"/>
                <w:szCs w:val="21"/>
              </w:rPr>
              <w:t>土地利用</w:t>
            </w:r>
          </w:p>
        </w:tc>
        <w:tc>
          <w:tcPr>
            <w:tcW w:w="690" w:type="dxa"/>
            <w:vAlign w:val="center"/>
          </w:tcPr>
          <w:p w14:paraId="2B12C6DF">
            <w:pPr>
              <w:spacing w:line="240" w:lineRule="auto"/>
              <w:jc w:val="center"/>
              <w:rPr>
                <w:sz w:val="21"/>
                <w:szCs w:val="21"/>
              </w:rPr>
            </w:pPr>
          </w:p>
        </w:tc>
        <w:tc>
          <w:tcPr>
            <w:tcW w:w="690" w:type="dxa"/>
            <w:vAlign w:val="center"/>
          </w:tcPr>
          <w:p w14:paraId="381A0318">
            <w:pPr>
              <w:spacing w:line="240" w:lineRule="auto"/>
              <w:jc w:val="center"/>
              <w:rPr>
                <w:sz w:val="21"/>
                <w:szCs w:val="21"/>
              </w:rPr>
            </w:pPr>
          </w:p>
        </w:tc>
        <w:tc>
          <w:tcPr>
            <w:tcW w:w="691" w:type="dxa"/>
            <w:vAlign w:val="center"/>
          </w:tcPr>
          <w:p w14:paraId="13DDC6DF">
            <w:pPr>
              <w:spacing w:line="240" w:lineRule="auto"/>
              <w:jc w:val="center"/>
              <w:rPr>
                <w:sz w:val="21"/>
                <w:szCs w:val="21"/>
              </w:rPr>
            </w:pPr>
          </w:p>
        </w:tc>
        <w:tc>
          <w:tcPr>
            <w:tcW w:w="691" w:type="dxa"/>
            <w:vAlign w:val="center"/>
          </w:tcPr>
          <w:p w14:paraId="60626214">
            <w:pPr>
              <w:spacing w:line="240" w:lineRule="auto"/>
              <w:jc w:val="center"/>
              <w:rPr>
                <w:sz w:val="21"/>
                <w:szCs w:val="21"/>
              </w:rPr>
            </w:pPr>
          </w:p>
        </w:tc>
        <w:tc>
          <w:tcPr>
            <w:tcW w:w="691" w:type="dxa"/>
            <w:vAlign w:val="center"/>
          </w:tcPr>
          <w:p w14:paraId="0558E922">
            <w:pPr>
              <w:spacing w:line="240" w:lineRule="auto"/>
              <w:jc w:val="center"/>
              <w:rPr>
                <w:sz w:val="21"/>
                <w:szCs w:val="21"/>
              </w:rPr>
            </w:pPr>
          </w:p>
        </w:tc>
        <w:tc>
          <w:tcPr>
            <w:tcW w:w="691" w:type="dxa"/>
            <w:vAlign w:val="center"/>
          </w:tcPr>
          <w:p w14:paraId="44146B9C">
            <w:pPr>
              <w:spacing w:line="240" w:lineRule="auto"/>
              <w:jc w:val="center"/>
              <w:rPr>
                <w:sz w:val="21"/>
                <w:szCs w:val="21"/>
              </w:rPr>
            </w:pPr>
          </w:p>
        </w:tc>
        <w:tc>
          <w:tcPr>
            <w:tcW w:w="691" w:type="dxa"/>
            <w:vAlign w:val="center"/>
          </w:tcPr>
          <w:p w14:paraId="414DED79">
            <w:pPr>
              <w:spacing w:line="240" w:lineRule="auto"/>
              <w:jc w:val="center"/>
              <w:rPr>
                <w:sz w:val="21"/>
                <w:szCs w:val="21"/>
              </w:rPr>
            </w:pPr>
            <w:r>
              <w:rPr>
                <w:sz w:val="21"/>
                <w:szCs w:val="21"/>
              </w:rPr>
              <w:t>1LP</w:t>
            </w:r>
          </w:p>
        </w:tc>
        <w:tc>
          <w:tcPr>
            <w:tcW w:w="691" w:type="dxa"/>
            <w:vAlign w:val="center"/>
          </w:tcPr>
          <w:p w14:paraId="3426E701">
            <w:pPr>
              <w:spacing w:line="240" w:lineRule="auto"/>
              <w:jc w:val="center"/>
              <w:rPr>
                <w:sz w:val="21"/>
                <w:szCs w:val="21"/>
              </w:rPr>
            </w:pPr>
          </w:p>
        </w:tc>
        <w:tc>
          <w:tcPr>
            <w:tcW w:w="680" w:type="dxa"/>
            <w:vAlign w:val="center"/>
          </w:tcPr>
          <w:p w14:paraId="105D1C95">
            <w:pPr>
              <w:spacing w:line="240" w:lineRule="auto"/>
              <w:jc w:val="center"/>
              <w:rPr>
                <w:sz w:val="21"/>
                <w:szCs w:val="21"/>
              </w:rPr>
            </w:pPr>
          </w:p>
        </w:tc>
      </w:tr>
      <w:tr w14:paraId="534AA7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7CC0A04B">
            <w:pPr>
              <w:spacing w:line="240" w:lineRule="auto"/>
              <w:jc w:val="center"/>
              <w:rPr>
                <w:sz w:val="21"/>
                <w:szCs w:val="21"/>
              </w:rPr>
            </w:pPr>
          </w:p>
        </w:tc>
        <w:tc>
          <w:tcPr>
            <w:tcW w:w="1149" w:type="dxa"/>
            <w:vAlign w:val="center"/>
          </w:tcPr>
          <w:p w14:paraId="7E74570F">
            <w:pPr>
              <w:spacing w:line="240" w:lineRule="auto"/>
              <w:jc w:val="center"/>
              <w:rPr>
                <w:sz w:val="21"/>
                <w:szCs w:val="21"/>
              </w:rPr>
            </w:pPr>
            <w:r>
              <w:rPr>
                <w:sz w:val="21"/>
                <w:szCs w:val="21"/>
              </w:rPr>
              <w:t>公众健康</w:t>
            </w:r>
          </w:p>
        </w:tc>
        <w:tc>
          <w:tcPr>
            <w:tcW w:w="690" w:type="dxa"/>
            <w:vAlign w:val="center"/>
          </w:tcPr>
          <w:p w14:paraId="0B05533C">
            <w:pPr>
              <w:spacing w:line="240" w:lineRule="auto"/>
              <w:jc w:val="center"/>
              <w:rPr>
                <w:sz w:val="21"/>
                <w:szCs w:val="21"/>
              </w:rPr>
            </w:pPr>
          </w:p>
        </w:tc>
        <w:tc>
          <w:tcPr>
            <w:tcW w:w="690" w:type="dxa"/>
            <w:vAlign w:val="center"/>
          </w:tcPr>
          <w:p w14:paraId="37CF28BE">
            <w:pPr>
              <w:spacing w:line="240" w:lineRule="auto"/>
              <w:jc w:val="center"/>
              <w:rPr>
                <w:sz w:val="21"/>
                <w:szCs w:val="21"/>
              </w:rPr>
            </w:pPr>
          </w:p>
        </w:tc>
        <w:tc>
          <w:tcPr>
            <w:tcW w:w="691" w:type="dxa"/>
            <w:vAlign w:val="center"/>
          </w:tcPr>
          <w:p w14:paraId="2B78C12E">
            <w:pPr>
              <w:spacing w:line="240" w:lineRule="auto"/>
              <w:jc w:val="center"/>
              <w:rPr>
                <w:sz w:val="21"/>
                <w:szCs w:val="21"/>
              </w:rPr>
            </w:pPr>
          </w:p>
        </w:tc>
        <w:tc>
          <w:tcPr>
            <w:tcW w:w="691" w:type="dxa"/>
            <w:vAlign w:val="center"/>
          </w:tcPr>
          <w:p w14:paraId="75F13FEF">
            <w:pPr>
              <w:spacing w:line="240" w:lineRule="auto"/>
              <w:jc w:val="center"/>
              <w:rPr>
                <w:sz w:val="21"/>
                <w:szCs w:val="21"/>
              </w:rPr>
            </w:pPr>
          </w:p>
        </w:tc>
        <w:tc>
          <w:tcPr>
            <w:tcW w:w="691" w:type="dxa"/>
            <w:vAlign w:val="center"/>
          </w:tcPr>
          <w:p w14:paraId="0A18DBB8">
            <w:pPr>
              <w:spacing w:line="240" w:lineRule="auto"/>
              <w:jc w:val="center"/>
              <w:rPr>
                <w:sz w:val="21"/>
                <w:szCs w:val="21"/>
              </w:rPr>
            </w:pPr>
            <w:r>
              <w:rPr>
                <w:sz w:val="21"/>
                <w:szCs w:val="21"/>
              </w:rPr>
              <w:t>1LP</w:t>
            </w:r>
          </w:p>
        </w:tc>
        <w:tc>
          <w:tcPr>
            <w:tcW w:w="691" w:type="dxa"/>
            <w:vAlign w:val="center"/>
          </w:tcPr>
          <w:p w14:paraId="539F1F78">
            <w:pPr>
              <w:spacing w:line="240" w:lineRule="auto"/>
              <w:jc w:val="center"/>
              <w:rPr>
                <w:sz w:val="21"/>
                <w:szCs w:val="21"/>
              </w:rPr>
            </w:pPr>
            <w:r>
              <w:rPr>
                <w:sz w:val="21"/>
                <w:szCs w:val="21"/>
              </w:rPr>
              <w:t>1LP</w:t>
            </w:r>
          </w:p>
        </w:tc>
        <w:tc>
          <w:tcPr>
            <w:tcW w:w="691" w:type="dxa"/>
            <w:vAlign w:val="center"/>
          </w:tcPr>
          <w:p w14:paraId="5F8BA32B">
            <w:pPr>
              <w:spacing w:line="240" w:lineRule="auto"/>
              <w:jc w:val="center"/>
              <w:rPr>
                <w:sz w:val="21"/>
                <w:szCs w:val="21"/>
              </w:rPr>
            </w:pPr>
            <w:r>
              <w:rPr>
                <w:sz w:val="21"/>
                <w:szCs w:val="21"/>
              </w:rPr>
              <w:t>1LP</w:t>
            </w:r>
          </w:p>
        </w:tc>
        <w:tc>
          <w:tcPr>
            <w:tcW w:w="691" w:type="dxa"/>
            <w:vAlign w:val="center"/>
          </w:tcPr>
          <w:p w14:paraId="7D4F9B50">
            <w:pPr>
              <w:spacing w:line="240" w:lineRule="auto"/>
              <w:jc w:val="center"/>
              <w:rPr>
                <w:sz w:val="21"/>
                <w:szCs w:val="21"/>
              </w:rPr>
            </w:pPr>
            <w:r>
              <w:rPr>
                <w:sz w:val="21"/>
                <w:szCs w:val="21"/>
              </w:rPr>
              <w:t>1LP</w:t>
            </w:r>
          </w:p>
        </w:tc>
        <w:tc>
          <w:tcPr>
            <w:tcW w:w="680" w:type="dxa"/>
            <w:vAlign w:val="center"/>
          </w:tcPr>
          <w:p w14:paraId="52229531">
            <w:pPr>
              <w:spacing w:line="240" w:lineRule="auto"/>
              <w:jc w:val="center"/>
              <w:rPr>
                <w:sz w:val="21"/>
                <w:szCs w:val="21"/>
              </w:rPr>
            </w:pPr>
          </w:p>
        </w:tc>
      </w:tr>
      <w:tr w14:paraId="1C9084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1149" w:type="dxa"/>
            <w:vMerge w:val="continue"/>
            <w:vAlign w:val="center"/>
          </w:tcPr>
          <w:p w14:paraId="31A867E8">
            <w:pPr>
              <w:spacing w:line="240" w:lineRule="auto"/>
              <w:jc w:val="center"/>
              <w:rPr>
                <w:sz w:val="21"/>
                <w:szCs w:val="21"/>
              </w:rPr>
            </w:pPr>
          </w:p>
        </w:tc>
        <w:tc>
          <w:tcPr>
            <w:tcW w:w="1149" w:type="dxa"/>
            <w:vAlign w:val="center"/>
          </w:tcPr>
          <w:p w14:paraId="4E75711A">
            <w:pPr>
              <w:spacing w:line="240" w:lineRule="auto"/>
              <w:jc w:val="center"/>
              <w:rPr>
                <w:sz w:val="21"/>
                <w:szCs w:val="21"/>
              </w:rPr>
            </w:pPr>
            <w:r>
              <w:rPr>
                <w:sz w:val="21"/>
                <w:szCs w:val="21"/>
              </w:rPr>
              <w:t>生活质量</w:t>
            </w:r>
          </w:p>
        </w:tc>
        <w:tc>
          <w:tcPr>
            <w:tcW w:w="690" w:type="dxa"/>
            <w:vAlign w:val="center"/>
          </w:tcPr>
          <w:p w14:paraId="269DD890">
            <w:pPr>
              <w:spacing w:line="240" w:lineRule="auto"/>
              <w:jc w:val="center"/>
              <w:rPr>
                <w:sz w:val="21"/>
                <w:szCs w:val="21"/>
              </w:rPr>
            </w:pPr>
          </w:p>
        </w:tc>
        <w:tc>
          <w:tcPr>
            <w:tcW w:w="690" w:type="dxa"/>
            <w:vAlign w:val="center"/>
          </w:tcPr>
          <w:p w14:paraId="64F80423">
            <w:pPr>
              <w:spacing w:line="240" w:lineRule="auto"/>
              <w:jc w:val="center"/>
              <w:rPr>
                <w:sz w:val="21"/>
                <w:szCs w:val="21"/>
              </w:rPr>
            </w:pPr>
          </w:p>
        </w:tc>
        <w:tc>
          <w:tcPr>
            <w:tcW w:w="691" w:type="dxa"/>
            <w:vAlign w:val="center"/>
          </w:tcPr>
          <w:p w14:paraId="767E6AD0">
            <w:pPr>
              <w:spacing w:line="240" w:lineRule="auto"/>
              <w:jc w:val="center"/>
              <w:rPr>
                <w:sz w:val="21"/>
                <w:szCs w:val="21"/>
              </w:rPr>
            </w:pPr>
          </w:p>
        </w:tc>
        <w:tc>
          <w:tcPr>
            <w:tcW w:w="691" w:type="dxa"/>
            <w:vAlign w:val="center"/>
          </w:tcPr>
          <w:p w14:paraId="1EB417DC">
            <w:pPr>
              <w:spacing w:line="240" w:lineRule="auto"/>
              <w:jc w:val="center"/>
              <w:rPr>
                <w:sz w:val="21"/>
                <w:szCs w:val="21"/>
              </w:rPr>
            </w:pPr>
          </w:p>
        </w:tc>
        <w:tc>
          <w:tcPr>
            <w:tcW w:w="691" w:type="dxa"/>
            <w:vAlign w:val="center"/>
          </w:tcPr>
          <w:p w14:paraId="4A0101E5">
            <w:pPr>
              <w:spacing w:line="240" w:lineRule="auto"/>
              <w:jc w:val="center"/>
              <w:rPr>
                <w:sz w:val="21"/>
                <w:szCs w:val="21"/>
              </w:rPr>
            </w:pPr>
            <w:r>
              <w:rPr>
                <w:sz w:val="21"/>
                <w:szCs w:val="21"/>
              </w:rPr>
              <w:t>1LP</w:t>
            </w:r>
          </w:p>
        </w:tc>
        <w:tc>
          <w:tcPr>
            <w:tcW w:w="691" w:type="dxa"/>
            <w:vAlign w:val="center"/>
          </w:tcPr>
          <w:p w14:paraId="352FE6AC">
            <w:pPr>
              <w:spacing w:line="240" w:lineRule="auto"/>
              <w:jc w:val="center"/>
              <w:rPr>
                <w:sz w:val="21"/>
                <w:szCs w:val="21"/>
              </w:rPr>
            </w:pPr>
            <w:r>
              <w:rPr>
                <w:sz w:val="21"/>
                <w:szCs w:val="21"/>
              </w:rPr>
              <w:t>1LP</w:t>
            </w:r>
          </w:p>
        </w:tc>
        <w:tc>
          <w:tcPr>
            <w:tcW w:w="691" w:type="dxa"/>
            <w:vAlign w:val="center"/>
          </w:tcPr>
          <w:p w14:paraId="063F0197">
            <w:pPr>
              <w:spacing w:line="240" w:lineRule="auto"/>
              <w:jc w:val="center"/>
              <w:rPr>
                <w:sz w:val="21"/>
                <w:szCs w:val="21"/>
              </w:rPr>
            </w:pPr>
            <w:r>
              <w:rPr>
                <w:sz w:val="21"/>
                <w:szCs w:val="21"/>
              </w:rPr>
              <w:t>1LP</w:t>
            </w:r>
          </w:p>
        </w:tc>
        <w:tc>
          <w:tcPr>
            <w:tcW w:w="691" w:type="dxa"/>
            <w:vAlign w:val="center"/>
          </w:tcPr>
          <w:p w14:paraId="7D08887A">
            <w:pPr>
              <w:spacing w:line="240" w:lineRule="auto"/>
              <w:jc w:val="center"/>
              <w:rPr>
                <w:sz w:val="21"/>
                <w:szCs w:val="21"/>
              </w:rPr>
            </w:pPr>
            <w:r>
              <w:rPr>
                <w:sz w:val="21"/>
                <w:szCs w:val="21"/>
              </w:rPr>
              <w:t>1LP</w:t>
            </w:r>
          </w:p>
        </w:tc>
        <w:tc>
          <w:tcPr>
            <w:tcW w:w="680" w:type="dxa"/>
            <w:vAlign w:val="center"/>
          </w:tcPr>
          <w:p w14:paraId="6B8E8D05">
            <w:pPr>
              <w:spacing w:line="240" w:lineRule="auto"/>
              <w:jc w:val="center"/>
              <w:rPr>
                <w:sz w:val="21"/>
                <w:szCs w:val="21"/>
              </w:rPr>
            </w:pPr>
            <w:r>
              <w:rPr>
                <w:sz w:val="21"/>
                <w:szCs w:val="21"/>
              </w:rPr>
              <w:t>1LP</w:t>
            </w:r>
          </w:p>
        </w:tc>
      </w:tr>
      <w:tr w14:paraId="0A72AB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8504" w:type="dxa"/>
            <w:gridSpan w:val="11"/>
            <w:vAlign w:val="center"/>
          </w:tcPr>
          <w:p w14:paraId="602FECB9">
            <w:pPr>
              <w:spacing w:line="240" w:lineRule="auto"/>
              <w:jc w:val="center"/>
              <w:rPr>
                <w:sz w:val="21"/>
                <w:szCs w:val="21"/>
              </w:rPr>
            </w:pPr>
            <w:r>
              <w:rPr>
                <w:sz w:val="21"/>
                <w:szCs w:val="21"/>
              </w:rPr>
              <w:t>影响程度：1-轻微；2-一般；3-显著；影响时段：S-短期；L-长期；影响范围：P-局部；W-大范围。</w:t>
            </w:r>
          </w:p>
        </w:tc>
      </w:tr>
    </w:tbl>
    <w:p w14:paraId="23006F75">
      <w:pPr>
        <w:ind w:firstLine="480"/>
      </w:pPr>
      <w:r>
        <w:t>从上表可以看出：工程生产运营期间生活污水及废气排放、噪声、固废将对评价区环境质量产生长期影响。通过上述环境影响因素识别，根据工程运行期产生的不利长期环境影响，评价将进行详细预测分析，提出有效的污染防治措施，将不利影响降至最低程度，使工程建设实现经济、社会和环境效益的统一。</w:t>
      </w:r>
    </w:p>
    <w:p w14:paraId="0E28C131">
      <w:pPr>
        <w:pStyle w:val="4"/>
        <w:numPr>
          <w:ilvl w:val="2"/>
          <w:numId w:val="0"/>
        </w:numPr>
        <w:ind w:left="994" w:leftChars="100" w:hanging="754" w:hangingChars="313"/>
        <w:rPr>
          <w:sz w:val="28"/>
          <w:szCs w:val="28"/>
        </w:rPr>
      </w:pPr>
      <w:r>
        <w:rPr>
          <w:rFonts w:hint="default" w:ascii="宋体" w:hAnsi="宋体" w:eastAsia="宋体" w:cs="宋体"/>
          <w:b/>
          <w:bCs/>
          <w:kern w:val="2"/>
          <w:sz w:val="24"/>
          <w:szCs w:val="24"/>
          <w:lang w:val="en-US" w:eastAsia="zh-CN" w:bidi="ar-SA"/>
        </w:rPr>
        <w:t>2.5.2</w:t>
      </w:r>
      <w:r>
        <w:rPr>
          <w:rFonts w:hint="eastAsia"/>
          <w:sz w:val="28"/>
          <w:szCs w:val="28"/>
        </w:rPr>
        <w:t>评价因子筛选</w:t>
      </w:r>
    </w:p>
    <w:p w14:paraId="52F82E2A">
      <w:pPr>
        <w:ind w:firstLine="480"/>
      </w:pPr>
      <w:r>
        <w:t>根据项目污染物排放特征，区域环境状况及环境影响因素等，确定本项目的评价因子，见表2.3-2。</w:t>
      </w:r>
    </w:p>
    <w:p w14:paraId="1164EC42">
      <w:pPr>
        <w:pStyle w:val="51"/>
        <w:numPr>
          <w:ilvl w:val="5"/>
          <w:numId w:val="0"/>
        </w:numPr>
        <w:spacing w:before="156"/>
        <w:ind w:left="305" w:leftChars="0" w:hanging="3260" w:firstLineChars="0"/>
      </w:pPr>
      <w:r>
        <w:rPr>
          <w:rFonts w:hint="default" w:ascii="宋体" w:hAnsi="宋体" w:eastAsia="宋体" w:cs="宋体"/>
          <w:b/>
          <w:bCs/>
          <w:color w:val="auto"/>
          <w:kern w:val="2"/>
          <w:sz w:val="21"/>
          <w:szCs w:val="21"/>
          <w:lang w:val="en-US" w:eastAsia="zh-CN" w:bidi="ar-SA"/>
        </w:rPr>
        <w:t xml:space="preserve">表2.5-2 </w:t>
      </w:r>
      <w:r>
        <w:rPr>
          <w:rFonts w:hint="eastAsia"/>
        </w:rPr>
        <w:t>主要环境影响评价因子</w:t>
      </w:r>
    </w:p>
    <w:tbl>
      <w:tblPr>
        <w:tblStyle w:val="31"/>
        <w:tblW w:w="8524"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393"/>
        <w:gridCol w:w="1075"/>
        <w:gridCol w:w="1107"/>
        <w:gridCol w:w="4949"/>
      </w:tblGrid>
      <w:tr w14:paraId="3DECEA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2468" w:type="dxa"/>
            <w:gridSpan w:val="2"/>
            <w:vAlign w:val="center"/>
          </w:tcPr>
          <w:p w14:paraId="52B0EF25">
            <w:pPr>
              <w:tabs>
                <w:tab w:val="left" w:pos="1021"/>
              </w:tabs>
              <w:spacing w:line="240" w:lineRule="auto"/>
              <w:jc w:val="center"/>
              <w:rPr>
                <w:sz w:val="21"/>
                <w:szCs w:val="21"/>
              </w:rPr>
            </w:pPr>
            <w:r>
              <w:rPr>
                <w:sz w:val="21"/>
                <w:szCs w:val="21"/>
              </w:rPr>
              <w:t>项目</w:t>
            </w:r>
          </w:p>
        </w:tc>
        <w:tc>
          <w:tcPr>
            <w:tcW w:w="6056" w:type="dxa"/>
            <w:gridSpan w:val="2"/>
            <w:vAlign w:val="center"/>
          </w:tcPr>
          <w:p w14:paraId="3C43F27F">
            <w:pPr>
              <w:tabs>
                <w:tab w:val="left" w:pos="1021"/>
              </w:tabs>
              <w:spacing w:line="240" w:lineRule="auto"/>
              <w:jc w:val="center"/>
              <w:rPr>
                <w:sz w:val="21"/>
                <w:szCs w:val="21"/>
              </w:rPr>
            </w:pPr>
            <w:r>
              <w:rPr>
                <w:sz w:val="21"/>
                <w:szCs w:val="21"/>
              </w:rPr>
              <w:t>评价因子</w:t>
            </w:r>
          </w:p>
        </w:tc>
      </w:tr>
      <w:tr w14:paraId="758C17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restart"/>
            <w:vAlign w:val="center"/>
          </w:tcPr>
          <w:p w14:paraId="07100035">
            <w:pPr>
              <w:tabs>
                <w:tab w:val="left" w:pos="1021"/>
              </w:tabs>
              <w:spacing w:line="240" w:lineRule="auto"/>
              <w:jc w:val="center"/>
              <w:rPr>
                <w:sz w:val="21"/>
                <w:szCs w:val="21"/>
              </w:rPr>
            </w:pPr>
            <w:r>
              <w:rPr>
                <w:sz w:val="21"/>
                <w:szCs w:val="21"/>
              </w:rPr>
              <w:t>大气环境</w:t>
            </w:r>
          </w:p>
        </w:tc>
        <w:tc>
          <w:tcPr>
            <w:tcW w:w="1075" w:type="dxa"/>
            <w:vMerge w:val="restart"/>
            <w:vAlign w:val="center"/>
          </w:tcPr>
          <w:p w14:paraId="38F29D41">
            <w:pPr>
              <w:tabs>
                <w:tab w:val="left" w:pos="1021"/>
              </w:tabs>
              <w:spacing w:line="240" w:lineRule="auto"/>
              <w:jc w:val="center"/>
              <w:rPr>
                <w:sz w:val="21"/>
                <w:szCs w:val="21"/>
              </w:rPr>
            </w:pPr>
            <w:r>
              <w:rPr>
                <w:sz w:val="21"/>
                <w:szCs w:val="21"/>
              </w:rPr>
              <w:t>现状评价</w:t>
            </w:r>
          </w:p>
        </w:tc>
        <w:tc>
          <w:tcPr>
            <w:tcW w:w="1107" w:type="dxa"/>
            <w:tcBorders>
              <w:right w:val="single" w:color="auto" w:sz="4" w:space="0"/>
            </w:tcBorders>
            <w:vAlign w:val="center"/>
          </w:tcPr>
          <w:p w14:paraId="276F7F40">
            <w:pPr>
              <w:tabs>
                <w:tab w:val="left" w:pos="1021"/>
              </w:tabs>
              <w:spacing w:line="240" w:lineRule="auto"/>
              <w:jc w:val="center"/>
              <w:rPr>
                <w:sz w:val="21"/>
                <w:szCs w:val="21"/>
              </w:rPr>
            </w:pPr>
            <w:r>
              <w:rPr>
                <w:rFonts w:hint="eastAsia"/>
                <w:sz w:val="21"/>
                <w:szCs w:val="21"/>
              </w:rPr>
              <w:t>常规因子</w:t>
            </w:r>
          </w:p>
        </w:tc>
        <w:tc>
          <w:tcPr>
            <w:tcW w:w="4949" w:type="dxa"/>
            <w:tcBorders>
              <w:left w:val="single" w:color="auto" w:sz="4" w:space="0"/>
            </w:tcBorders>
            <w:vAlign w:val="center"/>
          </w:tcPr>
          <w:p w14:paraId="618AB31B">
            <w:pPr>
              <w:tabs>
                <w:tab w:val="left" w:pos="1021"/>
              </w:tabs>
              <w:spacing w:line="240" w:lineRule="auto"/>
              <w:jc w:val="center"/>
              <w:rPr>
                <w:sz w:val="21"/>
                <w:szCs w:val="21"/>
              </w:rPr>
            </w:pPr>
            <w:r>
              <w:rPr>
                <w:sz w:val="21"/>
                <w:szCs w:val="21"/>
              </w:rPr>
              <w:t>SO</w:t>
            </w:r>
            <w:r>
              <w:rPr>
                <w:sz w:val="21"/>
                <w:szCs w:val="21"/>
                <w:vertAlign w:val="subscript"/>
              </w:rPr>
              <w:t>2</w:t>
            </w:r>
            <w:r>
              <w:rPr>
                <w:sz w:val="21"/>
                <w:szCs w:val="21"/>
              </w:rPr>
              <w:t>、NO</w:t>
            </w:r>
            <w:r>
              <w:rPr>
                <w:sz w:val="21"/>
                <w:szCs w:val="21"/>
                <w:vertAlign w:val="subscript"/>
              </w:rPr>
              <w:t>2</w:t>
            </w:r>
            <w:r>
              <w:rPr>
                <w:sz w:val="21"/>
                <w:szCs w:val="21"/>
              </w:rPr>
              <w:t>、PM</w:t>
            </w:r>
            <w:r>
              <w:rPr>
                <w:sz w:val="21"/>
                <w:szCs w:val="21"/>
                <w:vertAlign w:val="subscript"/>
              </w:rPr>
              <w:t>10</w:t>
            </w:r>
            <w:r>
              <w:rPr>
                <w:sz w:val="21"/>
                <w:szCs w:val="21"/>
              </w:rPr>
              <w:t>、CO、臭氧、PM</w:t>
            </w:r>
            <w:r>
              <w:rPr>
                <w:sz w:val="21"/>
                <w:szCs w:val="21"/>
                <w:vertAlign w:val="subscript"/>
              </w:rPr>
              <w:t>2.5</w:t>
            </w:r>
          </w:p>
        </w:tc>
      </w:tr>
      <w:tr w14:paraId="06AD267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continue"/>
            <w:vAlign w:val="center"/>
          </w:tcPr>
          <w:p w14:paraId="3683D298">
            <w:pPr>
              <w:tabs>
                <w:tab w:val="left" w:pos="1021"/>
              </w:tabs>
              <w:spacing w:line="240" w:lineRule="auto"/>
              <w:jc w:val="center"/>
              <w:rPr>
                <w:sz w:val="21"/>
                <w:szCs w:val="21"/>
              </w:rPr>
            </w:pPr>
          </w:p>
        </w:tc>
        <w:tc>
          <w:tcPr>
            <w:tcW w:w="1075" w:type="dxa"/>
            <w:vMerge w:val="continue"/>
            <w:vAlign w:val="center"/>
          </w:tcPr>
          <w:p w14:paraId="39BAFB60">
            <w:pPr>
              <w:tabs>
                <w:tab w:val="left" w:pos="1021"/>
              </w:tabs>
              <w:spacing w:line="240" w:lineRule="auto"/>
              <w:jc w:val="center"/>
              <w:rPr>
                <w:sz w:val="21"/>
                <w:szCs w:val="21"/>
              </w:rPr>
            </w:pPr>
          </w:p>
        </w:tc>
        <w:tc>
          <w:tcPr>
            <w:tcW w:w="1107" w:type="dxa"/>
            <w:tcBorders>
              <w:right w:val="single" w:color="auto" w:sz="4" w:space="0"/>
            </w:tcBorders>
            <w:vAlign w:val="center"/>
          </w:tcPr>
          <w:p w14:paraId="394F3941">
            <w:pPr>
              <w:tabs>
                <w:tab w:val="left" w:pos="1021"/>
              </w:tabs>
              <w:spacing w:line="240" w:lineRule="auto"/>
              <w:jc w:val="center"/>
              <w:rPr>
                <w:sz w:val="21"/>
                <w:szCs w:val="21"/>
              </w:rPr>
            </w:pPr>
            <w:r>
              <w:rPr>
                <w:rFonts w:hint="eastAsia"/>
                <w:sz w:val="21"/>
                <w:szCs w:val="21"/>
              </w:rPr>
              <w:t>特征因子</w:t>
            </w:r>
          </w:p>
        </w:tc>
        <w:tc>
          <w:tcPr>
            <w:tcW w:w="4949" w:type="dxa"/>
            <w:tcBorders>
              <w:left w:val="single" w:color="auto" w:sz="4" w:space="0"/>
            </w:tcBorders>
            <w:vAlign w:val="center"/>
          </w:tcPr>
          <w:p w14:paraId="6597AAE4">
            <w:pPr>
              <w:tabs>
                <w:tab w:val="left" w:pos="1021"/>
              </w:tabs>
              <w:spacing w:line="240" w:lineRule="auto"/>
              <w:jc w:val="center"/>
              <w:rPr>
                <w:sz w:val="21"/>
                <w:szCs w:val="21"/>
              </w:rPr>
            </w:pPr>
            <w:r>
              <w:rPr>
                <w:rFonts w:hint="eastAsia"/>
                <w:sz w:val="21"/>
                <w:szCs w:val="21"/>
              </w:rPr>
              <w:t>TVOC</w:t>
            </w:r>
            <w:r>
              <w:rPr>
                <w:rFonts w:hint="eastAsia"/>
                <w:sz w:val="21"/>
                <w:szCs w:val="21"/>
                <w:vertAlign w:val="subscript"/>
              </w:rPr>
              <w:t>S</w:t>
            </w:r>
          </w:p>
        </w:tc>
      </w:tr>
      <w:tr w14:paraId="6705C9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continue"/>
            <w:vAlign w:val="center"/>
          </w:tcPr>
          <w:p w14:paraId="5494F1D6">
            <w:pPr>
              <w:tabs>
                <w:tab w:val="left" w:pos="1021"/>
              </w:tabs>
              <w:spacing w:line="240" w:lineRule="auto"/>
              <w:jc w:val="center"/>
              <w:rPr>
                <w:color w:val="FF0000"/>
                <w:sz w:val="21"/>
                <w:szCs w:val="21"/>
              </w:rPr>
            </w:pPr>
          </w:p>
        </w:tc>
        <w:tc>
          <w:tcPr>
            <w:tcW w:w="1075" w:type="dxa"/>
            <w:vAlign w:val="center"/>
          </w:tcPr>
          <w:p w14:paraId="1635D89A">
            <w:pPr>
              <w:tabs>
                <w:tab w:val="left" w:pos="1021"/>
              </w:tabs>
              <w:spacing w:line="240" w:lineRule="auto"/>
              <w:jc w:val="center"/>
              <w:rPr>
                <w:color w:val="FF0000"/>
                <w:sz w:val="21"/>
                <w:szCs w:val="21"/>
              </w:rPr>
            </w:pPr>
            <w:r>
              <w:rPr>
                <w:sz w:val="21"/>
                <w:szCs w:val="21"/>
              </w:rPr>
              <w:t>影响评价</w:t>
            </w:r>
          </w:p>
        </w:tc>
        <w:tc>
          <w:tcPr>
            <w:tcW w:w="6056" w:type="dxa"/>
            <w:gridSpan w:val="2"/>
            <w:vAlign w:val="center"/>
          </w:tcPr>
          <w:p w14:paraId="104D81EA">
            <w:pPr>
              <w:tabs>
                <w:tab w:val="left" w:pos="1021"/>
              </w:tabs>
              <w:spacing w:line="240" w:lineRule="auto"/>
              <w:jc w:val="center"/>
              <w:rPr>
                <w:sz w:val="21"/>
                <w:szCs w:val="21"/>
              </w:rPr>
            </w:pPr>
            <w:r>
              <w:rPr>
                <w:sz w:val="21"/>
                <w:szCs w:val="21"/>
              </w:rPr>
              <w:t>SO</w:t>
            </w:r>
            <w:r>
              <w:rPr>
                <w:sz w:val="21"/>
                <w:szCs w:val="21"/>
                <w:vertAlign w:val="subscript"/>
              </w:rPr>
              <w:t>2</w:t>
            </w:r>
            <w:r>
              <w:rPr>
                <w:sz w:val="21"/>
                <w:szCs w:val="21"/>
              </w:rPr>
              <w:t>、NO</w:t>
            </w:r>
            <w:r>
              <w:rPr>
                <w:rFonts w:hint="eastAsia"/>
                <w:sz w:val="21"/>
                <w:szCs w:val="21"/>
                <w:vertAlign w:val="subscript"/>
              </w:rPr>
              <w:t>2</w:t>
            </w:r>
            <w:r>
              <w:rPr>
                <w:sz w:val="21"/>
                <w:szCs w:val="21"/>
              </w:rPr>
              <w:t>、</w:t>
            </w:r>
            <w:r>
              <w:rPr>
                <w:rFonts w:hint="eastAsia"/>
                <w:sz w:val="21"/>
                <w:szCs w:val="21"/>
              </w:rPr>
              <w:t>颗粒物</w:t>
            </w:r>
            <w:r>
              <w:rPr>
                <w:sz w:val="21"/>
                <w:szCs w:val="21"/>
              </w:rPr>
              <w:t>、</w:t>
            </w:r>
            <w:r>
              <w:rPr>
                <w:rFonts w:hint="eastAsia"/>
                <w:sz w:val="21"/>
                <w:szCs w:val="21"/>
              </w:rPr>
              <w:t>VOC</w:t>
            </w:r>
            <w:r>
              <w:rPr>
                <w:rFonts w:hint="eastAsia"/>
                <w:sz w:val="21"/>
                <w:szCs w:val="21"/>
                <w:vertAlign w:val="subscript"/>
              </w:rPr>
              <w:t>S</w:t>
            </w:r>
            <w:r>
              <w:rPr>
                <w:rFonts w:hint="eastAsia"/>
                <w:sz w:val="21"/>
                <w:szCs w:val="21"/>
              </w:rPr>
              <w:t>、臭气浓度</w:t>
            </w:r>
          </w:p>
        </w:tc>
      </w:tr>
      <w:tr w14:paraId="34282EA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restart"/>
            <w:vAlign w:val="center"/>
          </w:tcPr>
          <w:p w14:paraId="482E3746">
            <w:pPr>
              <w:tabs>
                <w:tab w:val="left" w:pos="1021"/>
              </w:tabs>
              <w:spacing w:line="240" w:lineRule="auto"/>
              <w:jc w:val="center"/>
              <w:rPr>
                <w:sz w:val="21"/>
                <w:szCs w:val="21"/>
              </w:rPr>
            </w:pPr>
            <w:r>
              <w:rPr>
                <w:sz w:val="21"/>
                <w:szCs w:val="21"/>
              </w:rPr>
              <w:t>地表水环境</w:t>
            </w:r>
          </w:p>
        </w:tc>
        <w:tc>
          <w:tcPr>
            <w:tcW w:w="1075" w:type="dxa"/>
            <w:vAlign w:val="center"/>
          </w:tcPr>
          <w:p w14:paraId="3910174B">
            <w:pPr>
              <w:tabs>
                <w:tab w:val="left" w:pos="1021"/>
              </w:tabs>
              <w:spacing w:line="240" w:lineRule="auto"/>
              <w:jc w:val="center"/>
              <w:rPr>
                <w:sz w:val="21"/>
                <w:szCs w:val="21"/>
              </w:rPr>
            </w:pPr>
            <w:r>
              <w:rPr>
                <w:sz w:val="21"/>
                <w:szCs w:val="21"/>
              </w:rPr>
              <w:t>现状评价</w:t>
            </w:r>
          </w:p>
        </w:tc>
        <w:tc>
          <w:tcPr>
            <w:tcW w:w="6056" w:type="dxa"/>
            <w:gridSpan w:val="2"/>
            <w:vAlign w:val="center"/>
          </w:tcPr>
          <w:p w14:paraId="16BF8D9E">
            <w:pPr>
              <w:tabs>
                <w:tab w:val="left" w:pos="1021"/>
              </w:tabs>
              <w:spacing w:line="240" w:lineRule="auto"/>
              <w:jc w:val="center"/>
              <w:rPr>
                <w:sz w:val="21"/>
                <w:szCs w:val="21"/>
              </w:rPr>
            </w:pPr>
            <w:r>
              <w:rPr>
                <w:sz w:val="21"/>
                <w:szCs w:val="21"/>
              </w:rPr>
              <w:t>pH、</w:t>
            </w:r>
            <w:r>
              <w:rPr>
                <w:rFonts w:hint="eastAsia"/>
                <w:sz w:val="21"/>
                <w:szCs w:val="21"/>
              </w:rPr>
              <w:t>溶解氧</w:t>
            </w:r>
            <w:r>
              <w:rPr>
                <w:sz w:val="21"/>
                <w:szCs w:val="21"/>
              </w:rPr>
              <w:t>、化学需氧量、</w:t>
            </w:r>
            <w:r>
              <w:rPr>
                <w:rFonts w:hint="eastAsia"/>
                <w:sz w:val="21"/>
                <w:szCs w:val="21"/>
              </w:rPr>
              <w:t>BOD</w:t>
            </w:r>
            <w:r>
              <w:rPr>
                <w:rFonts w:hint="eastAsia"/>
                <w:sz w:val="21"/>
                <w:szCs w:val="21"/>
                <w:vertAlign w:val="subscript"/>
              </w:rPr>
              <w:t>5</w:t>
            </w:r>
            <w:r>
              <w:rPr>
                <w:sz w:val="21"/>
                <w:szCs w:val="21"/>
              </w:rPr>
              <w:t>、氨氮、总磷</w:t>
            </w:r>
            <w:r>
              <w:rPr>
                <w:rFonts w:hint="eastAsia"/>
                <w:sz w:val="21"/>
                <w:szCs w:val="21"/>
              </w:rPr>
              <w:t>、石油类</w:t>
            </w:r>
          </w:p>
        </w:tc>
      </w:tr>
      <w:tr w14:paraId="0E956BE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continue"/>
            <w:vAlign w:val="center"/>
          </w:tcPr>
          <w:p w14:paraId="530EA99C">
            <w:pPr>
              <w:tabs>
                <w:tab w:val="left" w:pos="1021"/>
              </w:tabs>
              <w:spacing w:line="240" w:lineRule="auto"/>
              <w:jc w:val="center"/>
              <w:rPr>
                <w:sz w:val="21"/>
                <w:szCs w:val="21"/>
              </w:rPr>
            </w:pPr>
          </w:p>
        </w:tc>
        <w:tc>
          <w:tcPr>
            <w:tcW w:w="1075" w:type="dxa"/>
            <w:vAlign w:val="center"/>
          </w:tcPr>
          <w:p w14:paraId="3E7979E1">
            <w:pPr>
              <w:tabs>
                <w:tab w:val="left" w:pos="1021"/>
              </w:tabs>
              <w:spacing w:line="240" w:lineRule="auto"/>
              <w:jc w:val="center"/>
              <w:rPr>
                <w:sz w:val="21"/>
                <w:szCs w:val="21"/>
              </w:rPr>
            </w:pPr>
            <w:r>
              <w:rPr>
                <w:sz w:val="21"/>
                <w:szCs w:val="21"/>
              </w:rPr>
              <w:t>影响评价</w:t>
            </w:r>
          </w:p>
        </w:tc>
        <w:tc>
          <w:tcPr>
            <w:tcW w:w="6056" w:type="dxa"/>
            <w:gridSpan w:val="2"/>
            <w:vAlign w:val="center"/>
          </w:tcPr>
          <w:p w14:paraId="2FD34B19">
            <w:pPr>
              <w:tabs>
                <w:tab w:val="left" w:pos="1021"/>
              </w:tabs>
              <w:spacing w:line="240" w:lineRule="auto"/>
              <w:jc w:val="center"/>
              <w:rPr>
                <w:sz w:val="21"/>
                <w:szCs w:val="21"/>
              </w:rPr>
            </w:pPr>
            <w:r>
              <w:rPr>
                <w:sz w:val="21"/>
                <w:szCs w:val="21"/>
              </w:rPr>
              <w:t>COD、BOD</w:t>
            </w:r>
            <w:r>
              <w:rPr>
                <w:sz w:val="21"/>
                <w:szCs w:val="21"/>
                <w:vertAlign w:val="subscript"/>
              </w:rPr>
              <w:t>5</w:t>
            </w:r>
            <w:r>
              <w:rPr>
                <w:sz w:val="21"/>
                <w:szCs w:val="21"/>
              </w:rPr>
              <w:t>、SS、NH</w:t>
            </w:r>
            <w:r>
              <w:rPr>
                <w:sz w:val="21"/>
                <w:szCs w:val="21"/>
                <w:vertAlign w:val="subscript"/>
              </w:rPr>
              <w:t>3</w:t>
            </w:r>
            <w:r>
              <w:rPr>
                <w:sz w:val="21"/>
                <w:szCs w:val="21"/>
              </w:rPr>
              <w:t>-N、动植物油</w:t>
            </w:r>
          </w:p>
        </w:tc>
      </w:tr>
      <w:tr w14:paraId="15B5A66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restart"/>
            <w:vAlign w:val="center"/>
          </w:tcPr>
          <w:p w14:paraId="01C55C05">
            <w:pPr>
              <w:tabs>
                <w:tab w:val="left" w:pos="1021"/>
              </w:tabs>
              <w:spacing w:line="240" w:lineRule="auto"/>
              <w:jc w:val="center"/>
              <w:rPr>
                <w:sz w:val="21"/>
                <w:szCs w:val="21"/>
              </w:rPr>
            </w:pPr>
            <w:r>
              <w:rPr>
                <w:sz w:val="21"/>
                <w:szCs w:val="21"/>
              </w:rPr>
              <w:t>声环境</w:t>
            </w:r>
          </w:p>
        </w:tc>
        <w:tc>
          <w:tcPr>
            <w:tcW w:w="1075" w:type="dxa"/>
            <w:vAlign w:val="center"/>
          </w:tcPr>
          <w:p w14:paraId="193A54B9">
            <w:pPr>
              <w:tabs>
                <w:tab w:val="left" w:pos="1021"/>
              </w:tabs>
              <w:spacing w:line="240" w:lineRule="auto"/>
              <w:jc w:val="center"/>
              <w:rPr>
                <w:sz w:val="21"/>
                <w:szCs w:val="21"/>
              </w:rPr>
            </w:pPr>
            <w:r>
              <w:rPr>
                <w:sz w:val="21"/>
                <w:szCs w:val="21"/>
              </w:rPr>
              <w:t>现状评价</w:t>
            </w:r>
          </w:p>
        </w:tc>
        <w:tc>
          <w:tcPr>
            <w:tcW w:w="6056" w:type="dxa"/>
            <w:gridSpan w:val="2"/>
            <w:vMerge w:val="restart"/>
            <w:vAlign w:val="center"/>
          </w:tcPr>
          <w:p w14:paraId="30A96176">
            <w:pPr>
              <w:tabs>
                <w:tab w:val="left" w:pos="1021"/>
              </w:tabs>
              <w:spacing w:line="240" w:lineRule="auto"/>
              <w:jc w:val="center"/>
              <w:rPr>
                <w:sz w:val="21"/>
                <w:szCs w:val="21"/>
              </w:rPr>
            </w:pPr>
            <w:r>
              <w:rPr>
                <w:sz w:val="21"/>
                <w:szCs w:val="21"/>
              </w:rPr>
              <w:t>Leq(A)</w:t>
            </w:r>
          </w:p>
        </w:tc>
      </w:tr>
      <w:tr w14:paraId="5F2211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Merge w:val="continue"/>
            <w:vAlign w:val="center"/>
          </w:tcPr>
          <w:p w14:paraId="24D231C8">
            <w:pPr>
              <w:tabs>
                <w:tab w:val="left" w:pos="1021"/>
              </w:tabs>
              <w:spacing w:line="240" w:lineRule="auto"/>
              <w:jc w:val="center"/>
              <w:rPr>
                <w:sz w:val="21"/>
                <w:szCs w:val="21"/>
              </w:rPr>
            </w:pPr>
          </w:p>
        </w:tc>
        <w:tc>
          <w:tcPr>
            <w:tcW w:w="1075" w:type="dxa"/>
            <w:vAlign w:val="center"/>
          </w:tcPr>
          <w:p w14:paraId="64BC9286">
            <w:pPr>
              <w:tabs>
                <w:tab w:val="left" w:pos="1021"/>
              </w:tabs>
              <w:spacing w:line="240" w:lineRule="auto"/>
              <w:jc w:val="center"/>
              <w:rPr>
                <w:sz w:val="21"/>
                <w:szCs w:val="21"/>
              </w:rPr>
            </w:pPr>
            <w:r>
              <w:rPr>
                <w:sz w:val="21"/>
                <w:szCs w:val="21"/>
              </w:rPr>
              <w:t>影响评价</w:t>
            </w:r>
          </w:p>
        </w:tc>
        <w:tc>
          <w:tcPr>
            <w:tcW w:w="6056" w:type="dxa"/>
            <w:gridSpan w:val="2"/>
            <w:vMerge w:val="continue"/>
            <w:vAlign w:val="center"/>
          </w:tcPr>
          <w:p w14:paraId="2986D903">
            <w:pPr>
              <w:tabs>
                <w:tab w:val="left" w:pos="1021"/>
              </w:tabs>
              <w:spacing w:line="240" w:lineRule="auto"/>
              <w:jc w:val="center"/>
              <w:rPr>
                <w:sz w:val="21"/>
                <w:szCs w:val="21"/>
              </w:rPr>
            </w:pPr>
          </w:p>
        </w:tc>
      </w:tr>
      <w:tr w14:paraId="48FC3B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Align w:val="center"/>
          </w:tcPr>
          <w:p w14:paraId="6EB1FABD">
            <w:pPr>
              <w:tabs>
                <w:tab w:val="left" w:pos="1021"/>
              </w:tabs>
              <w:spacing w:line="240" w:lineRule="auto"/>
              <w:jc w:val="center"/>
              <w:rPr>
                <w:sz w:val="21"/>
                <w:szCs w:val="21"/>
              </w:rPr>
            </w:pPr>
            <w:r>
              <w:rPr>
                <w:sz w:val="21"/>
                <w:szCs w:val="21"/>
              </w:rPr>
              <w:t>固体废物</w:t>
            </w:r>
          </w:p>
        </w:tc>
        <w:tc>
          <w:tcPr>
            <w:tcW w:w="1075" w:type="dxa"/>
            <w:vAlign w:val="center"/>
          </w:tcPr>
          <w:p w14:paraId="210C949B">
            <w:pPr>
              <w:tabs>
                <w:tab w:val="left" w:pos="1021"/>
              </w:tabs>
              <w:spacing w:line="240" w:lineRule="auto"/>
              <w:jc w:val="center"/>
              <w:rPr>
                <w:sz w:val="21"/>
                <w:szCs w:val="21"/>
              </w:rPr>
            </w:pPr>
            <w:r>
              <w:rPr>
                <w:sz w:val="21"/>
                <w:szCs w:val="21"/>
              </w:rPr>
              <w:t>影响评价</w:t>
            </w:r>
          </w:p>
        </w:tc>
        <w:tc>
          <w:tcPr>
            <w:tcW w:w="6056" w:type="dxa"/>
            <w:gridSpan w:val="2"/>
            <w:vAlign w:val="center"/>
          </w:tcPr>
          <w:p w14:paraId="18BBE74C">
            <w:pPr>
              <w:tabs>
                <w:tab w:val="left" w:pos="1021"/>
              </w:tabs>
              <w:spacing w:line="240" w:lineRule="auto"/>
              <w:jc w:val="center"/>
              <w:rPr>
                <w:sz w:val="21"/>
                <w:szCs w:val="21"/>
              </w:rPr>
            </w:pPr>
            <w:r>
              <w:rPr>
                <w:sz w:val="21"/>
                <w:szCs w:val="21"/>
              </w:rPr>
              <w:t>生活垃圾、一般固废、危险固废</w:t>
            </w:r>
          </w:p>
        </w:tc>
      </w:tr>
      <w:tr w14:paraId="597C56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1393" w:type="dxa"/>
            <w:vAlign w:val="center"/>
          </w:tcPr>
          <w:p w14:paraId="4BDC0C66">
            <w:pPr>
              <w:tabs>
                <w:tab w:val="left" w:pos="1021"/>
              </w:tabs>
              <w:spacing w:line="240" w:lineRule="auto"/>
              <w:jc w:val="center"/>
              <w:rPr>
                <w:sz w:val="21"/>
                <w:szCs w:val="21"/>
              </w:rPr>
            </w:pPr>
            <w:r>
              <w:rPr>
                <w:sz w:val="21"/>
                <w:szCs w:val="21"/>
              </w:rPr>
              <w:t>生态环境</w:t>
            </w:r>
          </w:p>
        </w:tc>
        <w:tc>
          <w:tcPr>
            <w:tcW w:w="1075" w:type="dxa"/>
            <w:vAlign w:val="center"/>
          </w:tcPr>
          <w:p w14:paraId="07DE4EE2">
            <w:pPr>
              <w:tabs>
                <w:tab w:val="left" w:pos="1021"/>
              </w:tabs>
              <w:spacing w:line="240" w:lineRule="auto"/>
              <w:jc w:val="center"/>
              <w:rPr>
                <w:sz w:val="21"/>
                <w:szCs w:val="21"/>
              </w:rPr>
            </w:pPr>
            <w:r>
              <w:rPr>
                <w:sz w:val="21"/>
                <w:szCs w:val="21"/>
              </w:rPr>
              <w:t>影响评价</w:t>
            </w:r>
          </w:p>
        </w:tc>
        <w:tc>
          <w:tcPr>
            <w:tcW w:w="6056" w:type="dxa"/>
            <w:gridSpan w:val="2"/>
            <w:vAlign w:val="center"/>
          </w:tcPr>
          <w:p w14:paraId="03487B6E">
            <w:pPr>
              <w:tabs>
                <w:tab w:val="left" w:pos="1021"/>
              </w:tabs>
              <w:spacing w:line="240" w:lineRule="auto"/>
              <w:jc w:val="center"/>
              <w:rPr>
                <w:sz w:val="21"/>
                <w:szCs w:val="21"/>
              </w:rPr>
            </w:pPr>
            <w:r>
              <w:rPr>
                <w:sz w:val="21"/>
                <w:szCs w:val="21"/>
              </w:rPr>
              <w:t>植被破坏、水土流失</w:t>
            </w:r>
          </w:p>
        </w:tc>
      </w:tr>
    </w:tbl>
    <w:p w14:paraId="4E184C58">
      <w:pPr>
        <w:pStyle w:val="3"/>
        <w:numPr>
          <w:ilvl w:val="1"/>
          <w:numId w:val="0"/>
        </w:numPr>
        <w:ind w:left="660" w:leftChars="116" w:hanging="382" w:hangingChars="136"/>
        <w:rPr>
          <w:sz w:val="28"/>
          <w:szCs w:val="28"/>
        </w:rPr>
      </w:pPr>
      <w:bookmarkStart w:id="64" w:name="_Toc11876"/>
      <w:r>
        <w:rPr>
          <w:rFonts w:hint="default" w:ascii="宋体" w:hAnsi="宋体" w:eastAsia="宋体" w:cs="宋体"/>
          <w:b/>
          <w:bCs/>
          <w:kern w:val="2"/>
          <w:sz w:val="28"/>
          <w:szCs w:val="28"/>
          <w:lang w:val="en-US" w:eastAsia="zh-CN" w:bidi="ar-SA"/>
        </w:rPr>
        <w:t>2.6</w:t>
      </w:r>
      <w:r>
        <w:rPr>
          <w:sz w:val="28"/>
          <w:szCs w:val="28"/>
        </w:rPr>
        <w:t>环境</w:t>
      </w:r>
      <w:r>
        <w:rPr>
          <w:rFonts w:hint="eastAsia"/>
          <w:sz w:val="28"/>
          <w:szCs w:val="28"/>
        </w:rPr>
        <w:t>功能</w:t>
      </w:r>
      <w:r>
        <w:rPr>
          <w:sz w:val="28"/>
          <w:szCs w:val="28"/>
        </w:rPr>
        <w:t>区和</w:t>
      </w:r>
      <w:r>
        <w:rPr>
          <w:rFonts w:hint="eastAsia"/>
          <w:sz w:val="28"/>
          <w:szCs w:val="28"/>
        </w:rPr>
        <w:t>评价标准</w:t>
      </w:r>
      <w:bookmarkEnd w:id="64"/>
    </w:p>
    <w:p w14:paraId="6DF53D17">
      <w:pPr>
        <w:ind w:firstLine="480"/>
      </w:pPr>
      <w:r>
        <w:t>根据本项目所在地环境功能划分以及湘潭市生态环境局湘潭县分局《印刷</w:t>
      </w:r>
      <w:r>
        <w:rPr>
          <w:rFonts w:hint="eastAsia"/>
        </w:rPr>
        <w:t>年产15000吨印刷品改扩建项目</w:t>
      </w:r>
      <w:r>
        <w:rPr>
          <w:rFonts w:hint="eastAsia"/>
          <w:lang w:val="en-US" w:eastAsia="zh-CN"/>
        </w:rPr>
        <w:t>重大变动</w:t>
      </w:r>
      <w:r>
        <w:t>环境影响报告书选用标准请示函》的复函，本项目各环境功能区划以及环境要素执行标准如下</w:t>
      </w:r>
      <w:r>
        <w:rPr>
          <w:rFonts w:hint="eastAsia"/>
        </w:rPr>
        <w:t>：</w:t>
      </w:r>
    </w:p>
    <w:p w14:paraId="759ED22C">
      <w:pPr>
        <w:pStyle w:val="4"/>
        <w:numPr>
          <w:ilvl w:val="2"/>
          <w:numId w:val="0"/>
        </w:numPr>
        <w:ind w:left="0" w:leftChars="0" w:firstLine="0" w:firstLineChars="0"/>
      </w:pPr>
      <w:r>
        <w:rPr>
          <w:rFonts w:hint="default" w:ascii="宋体" w:hAnsi="宋体" w:eastAsia="宋体" w:cs="宋体"/>
          <w:b/>
          <w:bCs/>
          <w:kern w:val="2"/>
          <w:sz w:val="24"/>
          <w:szCs w:val="24"/>
          <w:lang w:val="en-US" w:eastAsia="zh-CN" w:bidi="ar-SA"/>
        </w:rPr>
        <w:t>2.6.1</w:t>
      </w:r>
      <w:r>
        <w:rPr>
          <w:rFonts w:hint="eastAsia"/>
        </w:rPr>
        <w:t>环境功能区划</w:t>
      </w:r>
    </w:p>
    <w:p w14:paraId="4A3B3705">
      <w:pPr>
        <w:pStyle w:val="5"/>
        <w:numPr>
          <w:ilvl w:val="3"/>
          <w:numId w:val="0"/>
        </w:numPr>
        <w:ind w:left="0" w:leftChars="0" w:firstLine="0" w:firstLineChars="0"/>
        <w:rPr>
          <w:rFonts w:ascii="Times New Roman" w:hAnsi="Times New Roman"/>
        </w:rPr>
      </w:pPr>
      <w:r>
        <w:rPr>
          <w:rFonts w:hint="default" w:ascii="宋体" w:hAnsi="宋体" w:eastAsia="宋体" w:cs="宋体"/>
          <w:b/>
          <w:bCs/>
          <w:kern w:val="2"/>
          <w:sz w:val="24"/>
          <w:szCs w:val="24"/>
          <w:lang w:val="en-US" w:eastAsia="zh-CN" w:bidi="ar-SA"/>
        </w:rPr>
        <w:t>2.6.1.1</w:t>
      </w:r>
      <w:r>
        <w:rPr>
          <w:rFonts w:hint="eastAsia" w:ascii="Times New Roman" w:hAnsi="Times New Roman"/>
        </w:rPr>
        <w:t>大气环境功能区划</w:t>
      </w:r>
    </w:p>
    <w:p w14:paraId="75A33C6D">
      <w:pPr>
        <w:pStyle w:val="38"/>
        <w:ind w:firstLine="480"/>
        <w:rPr>
          <w:rFonts w:ascii="Times New Roman" w:hAnsi="Times New Roman" w:eastAsia="宋体" w:cs="Times New Roman"/>
          <w:color w:val="auto"/>
        </w:rPr>
      </w:pPr>
      <w:r>
        <w:rPr>
          <w:rFonts w:ascii="Times New Roman" w:hAnsi="Times New Roman" w:eastAsia="宋体" w:cs="Times New Roman"/>
          <w:color w:val="auto"/>
        </w:rPr>
        <w:t>项目位于湘潭天易经开区，根据《环境空气质量功能区划分原则与技术方法》（HJ14-1996），项目所在区域的大气环境为二类环境空气质量功能区（二类区）。</w:t>
      </w:r>
    </w:p>
    <w:p w14:paraId="28B9D219">
      <w:pPr>
        <w:pStyle w:val="5"/>
        <w:numPr>
          <w:ilvl w:val="3"/>
          <w:numId w:val="0"/>
        </w:numPr>
        <w:ind w:left="0" w:leftChars="0" w:firstLine="0" w:firstLineChars="0"/>
        <w:rPr>
          <w:rFonts w:ascii="Times New Roman" w:hAnsi="Times New Roman"/>
        </w:rPr>
      </w:pPr>
      <w:r>
        <w:rPr>
          <w:rFonts w:hint="default" w:ascii="宋体" w:hAnsi="宋体" w:eastAsia="宋体" w:cs="宋体"/>
          <w:b/>
          <w:bCs/>
          <w:kern w:val="2"/>
          <w:sz w:val="24"/>
          <w:szCs w:val="24"/>
          <w:lang w:val="en-US" w:eastAsia="zh-CN" w:bidi="ar-SA"/>
        </w:rPr>
        <w:t>2.6.1.2</w:t>
      </w:r>
      <w:r>
        <w:rPr>
          <w:rFonts w:hint="eastAsia" w:ascii="Times New Roman" w:hAnsi="Times New Roman"/>
        </w:rPr>
        <w:t>地表水环境功能区划</w:t>
      </w:r>
    </w:p>
    <w:p w14:paraId="752D7D33">
      <w:pPr>
        <w:pStyle w:val="40"/>
        <w:ind w:firstLine="480"/>
      </w:pPr>
      <w:r>
        <w:t>根据《湖南省主要水系地表水环境功能区划》，区域纳污水体为湘江，易俗河</w:t>
      </w:r>
      <w:r>
        <w:rPr>
          <w:rFonts w:hint="eastAsia"/>
        </w:rPr>
        <w:t>水厂</w:t>
      </w:r>
      <w:r>
        <w:t>、五星</w:t>
      </w:r>
      <w:r>
        <w:rPr>
          <w:rFonts w:hint="eastAsia"/>
        </w:rPr>
        <w:t>（一水厂）</w:t>
      </w:r>
      <w:r>
        <w:t>断面均执行《地表水环境质量标准》（GB3838－2002）中Ⅲ类标准。</w:t>
      </w:r>
    </w:p>
    <w:p w14:paraId="44D2A0E4">
      <w:pPr>
        <w:pStyle w:val="5"/>
        <w:numPr>
          <w:ilvl w:val="3"/>
          <w:numId w:val="0"/>
        </w:numPr>
        <w:ind w:left="0" w:leftChars="0" w:firstLine="0" w:firstLineChars="0"/>
        <w:rPr>
          <w:rFonts w:ascii="Times New Roman" w:hAnsi="Times New Roman"/>
        </w:rPr>
      </w:pPr>
      <w:r>
        <w:rPr>
          <w:rFonts w:hint="default" w:ascii="宋体" w:hAnsi="宋体" w:eastAsia="宋体" w:cs="宋体"/>
          <w:b/>
          <w:bCs/>
          <w:kern w:val="2"/>
          <w:sz w:val="24"/>
          <w:szCs w:val="24"/>
          <w:lang w:val="en-US" w:eastAsia="zh-CN" w:bidi="ar-SA"/>
        </w:rPr>
        <w:t>2.6.1.3</w:t>
      </w:r>
      <w:r>
        <w:rPr>
          <w:rFonts w:hint="eastAsia" w:ascii="Times New Roman" w:hAnsi="Times New Roman"/>
        </w:rPr>
        <w:t>声环境功能区划</w:t>
      </w:r>
    </w:p>
    <w:p w14:paraId="466E5DEC">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项目位于湘潭天易经开区，工业园为集中工业用地，属《声环境质量标准》（GB3096-2008）中3类区，地块所在区域执行3类区功能限值，区域声环境执行《声环境质量标准》（GB3096 -2008）3类标准，厂界南面临城市道路侧</w:t>
      </w:r>
      <w:r>
        <w:rPr>
          <w:rFonts w:hint="eastAsia" w:ascii="Times New Roman" w:hAnsi="Times New Roman" w:cs="Times New Roman"/>
          <w:kern w:val="2"/>
          <w:sz w:val="24"/>
        </w:rPr>
        <w:t>2</w:t>
      </w:r>
      <w:r>
        <w:rPr>
          <w:rFonts w:ascii="Times New Roman" w:hAnsi="Times New Roman" w:cs="Times New Roman"/>
          <w:kern w:val="2"/>
          <w:sz w:val="24"/>
        </w:rPr>
        <w:t>5米范围内执行该标准4a类标准。</w:t>
      </w:r>
    </w:p>
    <w:p w14:paraId="1E41590C">
      <w:pPr>
        <w:pStyle w:val="5"/>
        <w:numPr>
          <w:ilvl w:val="3"/>
          <w:numId w:val="0"/>
        </w:numPr>
        <w:ind w:left="142" w:leftChars="0" w:hanging="142" w:firstLineChars="0"/>
        <w:rPr>
          <w:rFonts w:ascii="Times New Roman" w:hAnsi="Times New Roman"/>
        </w:rPr>
      </w:pPr>
      <w:r>
        <w:rPr>
          <w:rFonts w:hint="default" w:ascii="宋体" w:hAnsi="宋体" w:eastAsia="宋体" w:cs="宋体"/>
          <w:b/>
          <w:bCs/>
          <w:kern w:val="2"/>
          <w:sz w:val="24"/>
          <w:szCs w:val="24"/>
          <w:lang w:val="en-US" w:eastAsia="zh-CN" w:bidi="ar-SA"/>
        </w:rPr>
        <w:t>2.6.1.4</w:t>
      </w:r>
      <w:r>
        <w:rPr>
          <w:rFonts w:hint="eastAsia" w:ascii="Times New Roman" w:hAnsi="Times New Roman"/>
        </w:rPr>
        <w:t>环境功能区划汇总</w:t>
      </w:r>
    </w:p>
    <w:p w14:paraId="31A17DAB">
      <w:pPr>
        <w:pStyle w:val="38"/>
        <w:ind w:firstLine="480"/>
        <w:rPr>
          <w:rFonts w:ascii="Times New Roman" w:hAnsi="Times New Roman"/>
          <w:color w:val="auto"/>
        </w:rPr>
      </w:pPr>
      <w:r>
        <w:rPr>
          <w:rFonts w:hint="eastAsia" w:ascii="Times New Roman" w:hAnsi="Times New Roman"/>
          <w:color w:val="auto"/>
        </w:rPr>
        <w:t>建设项目所属环境功能属性表见2.4-1。</w:t>
      </w:r>
    </w:p>
    <w:p w14:paraId="26245CF6">
      <w:pPr>
        <w:pStyle w:val="51"/>
        <w:numPr>
          <w:ilvl w:val="5"/>
          <w:numId w:val="0"/>
        </w:numPr>
        <w:spacing w:before="0" w:beforeLines="0" w:line="360" w:lineRule="auto"/>
        <w:ind w:left="-295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表2.6-1 </w:t>
      </w:r>
      <w:r>
        <w:rPr>
          <w:rFonts w:hint="eastAsia" w:ascii="宋体" w:hAnsi="宋体" w:cs="宋体"/>
          <w:b/>
          <w:bCs/>
          <w:color w:val="auto"/>
          <w:kern w:val="2"/>
          <w:sz w:val="21"/>
          <w:szCs w:val="21"/>
          <w:lang w:val="en-US" w:eastAsia="zh-CN" w:bidi="ar-SA"/>
        </w:rPr>
        <w:t xml:space="preserve">   </w:t>
      </w:r>
      <w:r>
        <w:rPr>
          <w:rFonts w:hint="eastAsia"/>
        </w:rPr>
        <w:t>项目选址环境功能属性</w:t>
      </w:r>
    </w:p>
    <w:tbl>
      <w:tblPr>
        <w:tblStyle w:val="31"/>
        <w:tblW w:w="852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687"/>
        <w:gridCol w:w="2782"/>
        <w:gridCol w:w="5058"/>
      </w:tblGrid>
      <w:tr w14:paraId="2F4B19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00845ECA">
            <w:pPr>
              <w:tabs>
                <w:tab w:val="left" w:pos="1021"/>
              </w:tabs>
              <w:spacing w:line="240" w:lineRule="auto"/>
              <w:jc w:val="center"/>
              <w:rPr>
                <w:sz w:val="21"/>
                <w:szCs w:val="21"/>
              </w:rPr>
            </w:pPr>
            <w:r>
              <w:rPr>
                <w:sz w:val="21"/>
                <w:szCs w:val="21"/>
              </w:rPr>
              <w:t>编号</w:t>
            </w:r>
          </w:p>
        </w:tc>
        <w:tc>
          <w:tcPr>
            <w:tcW w:w="2782" w:type="dxa"/>
            <w:tcBorders>
              <w:tl2br w:val="nil"/>
              <w:tr2bl w:val="nil"/>
            </w:tcBorders>
            <w:vAlign w:val="center"/>
          </w:tcPr>
          <w:p w14:paraId="3A332826">
            <w:pPr>
              <w:tabs>
                <w:tab w:val="left" w:pos="1021"/>
              </w:tabs>
              <w:spacing w:line="240" w:lineRule="auto"/>
              <w:jc w:val="center"/>
              <w:rPr>
                <w:sz w:val="21"/>
                <w:szCs w:val="21"/>
              </w:rPr>
            </w:pPr>
            <w:r>
              <w:rPr>
                <w:sz w:val="21"/>
                <w:szCs w:val="21"/>
              </w:rPr>
              <w:t>项目</w:t>
            </w:r>
          </w:p>
        </w:tc>
        <w:tc>
          <w:tcPr>
            <w:tcW w:w="5058" w:type="dxa"/>
            <w:tcBorders>
              <w:tl2br w:val="nil"/>
              <w:tr2bl w:val="nil"/>
            </w:tcBorders>
            <w:vAlign w:val="center"/>
          </w:tcPr>
          <w:p w14:paraId="3F52E228">
            <w:pPr>
              <w:tabs>
                <w:tab w:val="left" w:pos="1021"/>
              </w:tabs>
              <w:spacing w:line="240" w:lineRule="auto"/>
              <w:jc w:val="center"/>
              <w:rPr>
                <w:sz w:val="21"/>
                <w:szCs w:val="21"/>
              </w:rPr>
            </w:pPr>
            <w:r>
              <w:rPr>
                <w:sz w:val="21"/>
                <w:szCs w:val="21"/>
              </w:rPr>
              <w:t>类别</w:t>
            </w:r>
          </w:p>
        </w:tc>
      </w:tr>
      <w:tr w14:paraId="3AB0C7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07004C57">
            <w:pPr>
              <w:tabs>
                <w:tab w:val="left" w:pos="1021"/>
              </w:tabs>
              <w:spacing w:line="240" w:lineRule="auto"/>
              <w:jc w:val="center"/>
              <w:rPr>
                <w:sz w:val="21"/>
                <w:szCs w:val="21"/>
              </w:rPr>
            </w:pPr>
            <w:r>
              <w:rPr>
                <w:sz w:val="21"/>
                <w:szCs w:val="21"/>
              </w:rPr>
              <w:t>1</w:t>
            </w:r>
          </w:p>
        </w:tc>
        <w:tc>
          <w:tcPr>
            <w:tcW w:w="2782" w:type="dxa"/>
            <w:tcBorders>
              <w:tl2br w:val="nil"/>
              <w:tr2bl w:val="nil"/>
            </w:tcBorders>
            <w:vAlign w:val="center"/>
          </w:tcPr>
          <w:p w14:paraId="02F00A77">
            <w:pPr>
              <w:tabs>
                <w:tab w:val="left" w:pos="1021"/>
              </w:tabs>
              <w:spacing w:line="240" w:lineRule="auto"/>
              <w:jc w:val="center"/>
              <w:rPr>
                <w:sz w:val="21"/>
                <w:szCs w:val="21"/>
              </w:rPr>
            </w:pPr>
            <w:r>
              <w:rPr>
                <w:sz w:val="21"/>
                <w:szCs w:val="21"/>
              </w:rPr>
              <w:t>水环境功能区</w:t>
            </w:r>
          </w:p>
        </w:tc>
        <w:tc>
          <w:tcPr>
            <w:tcW w:w="5058" w:type="dxa"/>
            <w:tcBorders>
              <w:tl2br w:val="nil"/>
              <w:tr2bl w:val="nil"/>
            </w:tcBorders>
            <w:vAlign w:val="center"/>
          </w:tcPr>
          <w:p w14:paraId="287584ED">
            <w:pPr>
              <w:tabs>
                <w:tab w:val="left" w:pos="1021"/>
              </w:tabs>
              <w:spacing w:line="240" w:lineRule="auto"/>
              <w:jc w:val="center"/>
              <w:rPr>
                <w:sz w:val="21"/>
                <w:szCs w:val="21"/>
              </w:rPr>
            </w:pPr>
            <w:r>
              <w:rPr>
                <w:sz w:val="21"/>
                <w:szCs w:val="21"/>
              </w:rPr>
              <w:t>易俗河水厂、五星（一水厂）断面评价断面执行《地表水环境质量标准》（GB3838-2002）Ⅲ类标准</w:t>
            </w:r>
          </w:p>
        </w:tc>
      </w:tr>
      <w:tr w14:paraId="7128C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56F1B5DF">
            <w:pPr>
              <w:tabs>
                <w:tab w:val="left" w:pos="1021"/>
              </w:tabs>
              <w:spacing w:line="240" w:lineRule="auto"/>
              <w:jc w:val="center"/>
              <w:rPr>
                <w:sz w:val="21"/>
                <w:szCs w:val="21"/>
              </w:rPr>
            </w:pPr>
            <w:r>
              <w:rPr>
                <w:sz w:val="21"/>
                <w:szCs w:val="21"/>
              </w:rPr>
              <w:t>2</w:t>
            </w:r>
          </w:p>
        </w:tc>
        <w:tc>
          <w:tcPr>
            <w:tcW w:w="2782" w:type="dxa"/>
            <w:tcBorders>
              <w:tl2br w:val="nil"/>
              <w:tr2bl w:val="nil"/>
            </w:tcBorders>
            <w:vAlign w:val="center"/>
          </w:tcPr>
          <w:p w14:paraId="7A5C2B48">
            <w:pPr>
              <w:tabs>
                <w:tab w:val="left" w:pos="1021"/>
              </w:tabs>
              <w:spacing w:line="240" w:lineRule="auto"/>
              <w:jc w:val="center"/>
              <w:rPr>
                <w:sz w:val="21"/>
                <w:szCs w:val="21"/>
              </w:rPr>
            </w:pPr>
            <w:r>
              <w:rPr>
                <w:sz w:val="21"/>
                <w:szCs w:val="21"/>
              </w:rPr>
              <w:t>环境空气质量功能区</w:t>
            </w:r>
          </w:p>
        </w:tc>
        <w:tc>
          <w:tcPr>
            <w:tcW w:w="5058" w:type="dxa"/>
            <w:tcBorders>
              <w:tl2br w:val="nil"/>
              <w:tr2bl w:val="nil"/>
            </w:tcBorders>
            <w:vAlign w:val="center"/>
          </w:tcPr>
          <w:p w14:paraId="2ADF8545">
            <w:pPr>
              <w:tabs>
                <w:tab w:val="left" w:pos="1021"/>
              </w:tabs>
              <w:spacing w:line="240" w:lineRule="auto"/>
              <w:jc w:val="center"/>
              <w:rPr>
                <w:rFonts w:hint="eastAsia" w:eastAsia="宋体"/>
                <w:sz w:val="21"/>
                <w:szCs w:val="21"/>
                <w:lang w:eastAsia="zh-CN"/>
              </w:rPr>
            </w:pPr>
            <w:r>
              <w:rPr>
                <w:sz w:val="21"/>
                <w:szCs w:val="21"/>
                <w:u w:val="single"/>
              </w:rPr>
              <w:t>二类区，执行《环境空气质量标准》（GB3095-20</w:t>
            </w:r>
            <w:r>
              <w:rPr>
                <w:rFonts w:hint="eastAsia"/>
                <w:sz w:val="21"/>
                <w:szCs w:val="21"/>
                <w:u w:val="single"/>
                <w:lang w:val="en-US" w:eastAsia="zh-CN"/>
              </w:rPr>
              <w:t>26</w:t>
            </w:r>
            <w:r>
              <w:rPr>
                <w:sz w:val="21"/>
                <w:szCs w:val="21"/>
                <w:u w:val="single"/>
              </w:rPr>
              <w:t>）二级标准</w:t>
            </w:r>
            <w:r>
              <w:rPr>
                <w:rFonts w:hint="eastAsia"/>
                <w:sz w:val="21"/>
                <w:szCs w:val="21"/>
                <w:u w:val="single"/>
                <w:lang w:eastAsia="zh-CN"/>
              </w:rPr>
              <w:t>（</w:t>
            </w:r>
            <w:r>
              <w:rPr>
                <w:rFonts w:hint="eastAsia"/>
                <w:sz w:val="21"/>
                <w:szCs w:val="21"/>
                <w:u w:val="single"/>
                <w:lang w:val="en-US" w:eastAsia="zh-CN"/>
              </w:rPr>
              <w:t>过渡阶段</w:t>
            </w:r>
            <w:r>
              <w:rPr>
                <w:rFonts w:hint="eastAsia"/>
                <w:sz w:val="21"/>
                <w:szCs w:val="21"/>
                <w:u w:val="single"/>
                <w:lang w:eastAsia="zh-CN"/>
              </w:rPr>
              <w:t>）</w:t>
            </w:r>
          </w:p>
        </w:tc>
      </w:tr>
      <w:tr w14:paraId="17F5F1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04ED251E">
            <w:pPr>
              <w:tabs>
                <w:tab w:val="left" w:pos="1021"/>
              </w:tabs>
              <w:spacing w:line="240" w:lineRule="auto"/>
              <w:jc w:val="center"/>
              <w:rPr>
                <w:sz w:val="21"/>
                <w:szCs w:val="21"/>
              </w:rPr>
            </w:pPr>
            <w:r>
              <w:rPr>
                <w:sz w:val="21"/>
                <w:szCs w:val="21"/>
              </w:rPr>
              <w:t>3</w:t>
            </w:r>
          </w:p>
        </w:tc>
        <w:tc>
          <w:tcPr>
            <w:tcW w:w="2782" w:type="dxa"/>
            <w:tcBorders>
              <w:tl2br w:val="nil"/>
              <w:tr2bl w:val="nil"/>
            </w:tcBorders>
            <w:vAlign w:val="center"/>
          </w:tcPr>
          <w:p w14:paraId="25800954">
            <w:pPr>
              <w:tabs>
                <w:tab w:val="left" w:pos="1021"/>
              </w:tabs>
              <w:spacing w:line="240" w:lineRule="auto"/>
              <w:jc w:val="center"/>
              <w:rPr>
                <w:sz w:val="21"/>
                <w:szCs w:val="21"/>
              </w:rPr>
            </w:pPr>
            <w:r>
              <w:rPr>
                <w:sz w:val="21"/>
                <w:szCs w:val="21"/>
              </w:rPr>
              <w:t>声环境功能区</w:t>
            </w:r>
          </w:p>
        </w:tc>
        <w:tc>
          <w:tcPr>
            <w:tcW w:w="5058" w:type="dxa"/>
            <w:tcBorders>
              <w:tl2br w:val="nil"/>
              <w:tr2bl w:val="nil"/>
            </w:tcBorders>
            <w:vAlign w:val="center"/>
          </w:tcPr>
          <w:p w14:paraId="64F2A1D6">
            <w:pPr>
              <w:tabs>
                <w:tab w:val="left" w:pos="1021"/>
              </w:tabs>
              <w:spacing w:line="240" w:lineRule="auto"/>
              <w:jc w:val="center"/>
              <w:rPr>
                <w:sz w:val="21"/>
                <w:szCs w:val="21"/>
              </w:rPr>
            </w:pPr>
            <w:r>
              <w:rPr>
                <w:sz w:val="21"/>
                <w:szCs w:val="21"/>
              </w:rPr>
              <w:t>3类区，执行《声环境质量标准》（GB3096-2008）3类；场界南面临城市道路侧</w:t>
            </w:r>
            <w:r>
              <w:rPr>
                <w:rFonts w:hint="eastAsia"/>
                <w:sz w:val="21"/>
                <w:szCs w:val="21"/>
              </w:rPr>
              <w:t>25</w:t>
            </w:r>
            <w:r>
              <w:rPr>
                <w:sz w:val="21"/>
                <w:szCs w:val="21"/>
              </w:rPr>
              <w:t>米范围内执行该标准4a类标准</w:t>
            </w:r>
          </w:p>
        </w:tc>
      </w:tr>
      <w:tr w14:paraId="48830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6E9FE83E">
            <w:pPr>
              <w:tabs>
                <w:tab w:val="left" w:pos="1021"/>
              </w:tabs>
              <w:spacing w:line="240" w:lineRule="auto"/>
              <w:jc w:val="center"/>
              <w:rPr>
                <w:sz w:val="21"/>
                <w:szCs w:val="21"/>
              </w:rPr>
            </w:pPr>
            <w:r>
              <w:rPr>
                <w:sz w:val="21"/>
                <w:szCs w:val="21"/>
              </w:rPr>
              <w:t>4</w:t>
            </w:r>
          </w:p>
        </w:tc>
        <w:tc>
          <w:tcPr>
            <w:tcW w:w="2782" w:type="dxa"/>
            <w:tcBorders>
              <w:tl2br w:val="nil"/>
              <w:tr2bl w:val="nil"/>
            </w:tcBorders>
            <w:vAlign w:val="center"/>
          </w:tcPr>
          <w:p w14:paraId="2FFD9D12">
            <w:pPr>
              <w:tabs>
                <w:tab w:val="left" w:pos="1021"/>
              </w:tabs>
              <w:spacing w:line="240" w:lineRule="auto"/>
              <w:jc w:val="center"/>
              <w:rPr>
                <w:sz w:val="21"/>
                <w:szCs w:val="21"/>
              </w:rPr>
            </w:pPr>
            <w:r>
              <w:rPr>
                <w:sz w:val="21"/>
                <w:szCs w:val="21"/>
              </w:rPr>
              <w:t>是否两控区</w:t>
            </w:r>
          </w:p>
        </w:tc>
        <w:tc>
          <w:tcPr>
            <w:tcW w:w="5058" w:type="dxa"/>
            <w:tcBorders>
              <w:tl2br w:val="nil"/>
              <w:tr2bl w:val="nil"/>
            </w:tcBorders>
            <w:vAlign w:val="center"/>
          </w:tcPr>
          <w:p w14:paraId="4C2F8000">
            <w:pPr>
              <w:tabs>
                <w:tab w:val="left" w:pos="1021"/>
              </w:tabs>
              <w:spacing w:line="240" w:lineRule="auto"/>
              <w:jc w:val="center"/>
              <w:rPr>
                <w:sz w:val="21"/>
                <w:szCs w:val="21"/>
              </w:rPr>
            </w:pPr>
            <w:r>
              <w:rPr>
                <w:sz w:val="21"/>
                <w:szCs w:val="21"/>
              </w:rPr>
              <w:t>是</w:t>
            </w:r>
          </w:p>
        </w:tc>
      </w:tr>
      <w:tr w14:paraId="66B58B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194A28D2">
            <w:pPr>
              <w:tabs>
                <w:tab w:val="left" w:pos="1021"/>
              </w:tabs>
              <w:spacing w:line="240" w:lineRule="auto"/>
              <w:jc w:val="center"/>
              <w:rPr>
                <w:sz w:val="21"/>
                <w:szCs w:val="21"/>
              </w:rPr>
            </w:pPr>
            <w:r>
              <w:rPr>
                <w:sz w:val="21"/>
                <w:szCs w:val="21"/>
              </w:rPr>
              <w:t>5</w:t>
            </w:r>
          </w:p>
        </w:tc>
        <w:tc>
          <w:tcPr>
            <w:tcW w:w="2782" w:type="dxa"/>
            <w:tcBorders>
              <w:tl2br w:val="nil"/>
              <w:tr2bl w:val="nil"/>
            </w:tcBorders>
            <w:vAlign w:val="center"/>
          </w:tcPr>
          <w:p w14:paraId="28B090C8">
            <w:pPr>
              <w:tabs>
                <w:tab w:val="left" w:pos="1021"/>
              </w:tabs>
              <w:spacing w:line="240" w:lineRule="auto"/>
              <w:jc w:val="center"/>
              <w:rPr>
                <w:sz w:val="21"/>
                <w:szCs w:val="21"/>
              </w:rPr>
            </w:pPr>
            <w:r>
              <w:rPr>
                <w:sz w:val="21"/>
                <w:szCs w:val="21"/>
              </w:rPr>
              <w:t>是否基本农田保护区</w:t>
            </w:r>
          </w:p>
        </w:tc>
        <w:tc>
          <w:tcPr>
            <w:tcW w:w="5058" w:type="dxa"/>
            <w:tcBorders>
              <w:tl2br w:val="nil"/>
              <w:tr2bl w:val="nil"/>
            </w:tcBorders>
            <w:vAlign w:val="center"/>
          </w:tcPr>
          <w:p w14:paraId="5C7A7DD3">
            <w:pPr>
              <w:tabs>
                <w:tab w:val="left" w:pos="1021"/>
              </w:tabs>
              <w:spacing w:line="240" w:lineRule="auto"/>
              <w:jc w:val="center"/>
              <w:rPr>
                <w:sz w:val="21"/>
                <w:szCs w:val="21"/>
              </w:rPr>
            </w:pPr>
            <w:r>
              <w:rPr>
                <w:sz w:val="21"/>
                <w:szCs w:val="21"/>
              </w:rPr>
              <w:t>否</w:t>
            </w:r>
          </w:p>
        </w:tc>
      </w:tr>
      <w:tr w14:paraId="742EBC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0F48CB4A">
            <w:pPr>
              <w:tabs>
                <w:tab w:val="left" w:pos="1021"/>
              </w:tabs>
              <w:spacing w:line="240" w:lineRule="auto"/>
              <w:jc w:val="center"/>
              <w:rPr>
                <w:sz w:val="21"/>
                <w:szCs w:val="21"/>
              </w:rPr>
            </w:pPr>
            <w:r>
              <w:rPr>
                <w:sz w:val="21"/>
                <w:szCs w:val="21"/>
              </w:rPr>
              <w:t>6</w:t>
            </w:r>
          </w:p>
        </w:tc>
        <w:tc>
          <w:tcPr>
            <w:tcW w:w="2782" w:type="dxa"/>
            <w:tcBorders>
              <w:tl2br w:val="nil"/>
              <w:tr2bl w:val="nil"/>
            </w:tcBorders>
            <w:vAlign w:val="center"/>
          </w:tcPr>
          <w:p w14:paraId="36B16F8C">
            <w:pPr>
              <w:tabs>
                <w:tab w:val="left" w:pos="1021"/>
              </w:tabs>
              <w:spacing w:line="240" w:lineRule="auto"/>
              <w:jc w:val="center"/>
              <w:rPr>
                <w:sz w:val="21"/>
                <w:szCs w:val="21"/>
              </w:rPr>
            </w:pPr>
            <w:r>
              <w:rPr>
                <w:sz w:val="21"/>
                <w:szCs w:val="21"/>
              </w:rPr>
              <w:t>是否风景名胜保护区</w:t>
            </w:r>
          </w:p>
        </w:tc>
        <w:tc>
          <w:tcPr>
            <w:tcW w:w="5058" w:type="dxa"/>
            <w:tcBorders>
              <w:tl2br w:val="nil"/>
              <w:tr2bl w:val="nil"/>
            </w:tcBorders>
            <w:vAlign w:val="center"/>
          </w:tcPr>
          <w:p w14:paraId="59E1C7AD">
            <w:pPr>
              <w:tabs>
                <w:tab w:val="left" w:pos="1021"/>
              </w:tabs>
              <w:spacing w:line="240" w:lineRule="auto"/>
              <w:jc w:val="center"/>
              <w:rPr>
                <w:sz w:val="21"/>
                <w:szCs w:val="21"/>
              </w:rPr>
            </w:pPr>
            <w:r>
              <w:rPr>
                <w:sz w:val="21"/>
                <w:szCs w:val="21"/>
              </w:rPr>
              <w:t>否</w:t>
            </w:r>
          </w:p>
        </w:tc>
      </w:tr>
      <w:tr w14:paraId="385665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481814AF">
            <w:pPr>
              <w:tabs>
                <w:tab w:val="left" w:pos="1021"/>
              </w:tabs>
              <w:spacing w:line="240" w:lineRule="auto"/>
              <w:jc w:val="center"/>
              <w:rPr>
                <w:sz w:val="21"/>
                <w:szCs w:val="21"/>
              </w:rPr>
            </w:pPr>
            <w:r>
              <w:rPr>
                <w:sz w:val="21"/>
                <w:szCs w:val="21"/>
              </w:rPr>
              <w:t>7</w:t>
            </w:r>
          </w:p>
        </w:tc>
        <w:tc>
          <w:tcPr>
            <w:tcW w:w="2782" w:type="dxa"/>
            <w:tcBorders>
              <w:tl2br w:val="nil"/>
              <w:tr2bl w:val="nil"/>
            </w:tcBorders>
            <w:vAlign w:val="center"/>
          </w:tcPr>
          <w:p w14:paraId="1015AF73">
            <w:pPr>
              <w:tabs>
                <w:tab w:val="left" w:pos="1021"/>
              </w:tabs>
              <w:spacing w:line="240" w:lineRule="auto"/>
              <w:jc w:val="center"/>
              <w:rPr>
                <w:sz w:val="21"/>
                <w:szCs w:val="21"/>
              </w:rPr>
            </w:pPr>
            <w:r>
              <w:rPr>
                <w:sz w:val="21"/>
                <w:szCs w:val="21"/>
              </w:rPr>
              <w:t>是否自然保护区</w:t>
            </w:r>
          </w:p>
        </w:tc>
        <w:tc>
          <w:tcPr>
            <w:tcW w:w="5058" w:type="dxa"/>
            <w:tcBorders>
              <w:tl2br w:val="nil"/>
              <w:tr2bl w:val="nil"/>
            </w:tcBorders>
            <w:vAlign w:val="center"/>
          </w:tcPr>
          <w:p w14:paraId="35BF4418">
            <w:pPr>
              <w:tabs>
                <w:tab w:val="left" w:pos="1021"/>
              </w:tabs>
              <w:spacing w:line="240" w:lineRule="auto"/>
              <w:jc w:val="center"/>
              <w:rPr>
                <w:sz w:val="21"/>
                <w:szCs w:val="21"/>
              </w:rPr>
            </w:pPr>
            <w:r>
              <w:rPr>
                <w:sz w:val="21"/>
                <w:szCs w:val="21"/>
              </w:rPr>
              <w:t>否</w:t>
            </w:r>
          </w:p>
        </w:tc>
      </w:tr>
      <w:tr w14:paraId="20FBD9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46E9B64D">
            <w:pPr>
              <w:tabs>
                <w:tab w:val="left" w:pos="1021"/>
              </w:tabs>
              <w:spacing w:line="240" w:lineRule="auto"/>
              <w:jc w:val="center"/>
              <w:rPr>
                <w:sz w:val="21"/>
                <w:szCs w:val="21"/>
              </w:rPr>
            </w:pPr>
            <w:r>
              <w:rPr>
                <w:sz w:val="21"/>
                <w:szCs w:val="21"/>
              </w:rPr>
              <w:t>8</w:t>
            </w:r>
          </w:p>
        </w:tc>
        <w:tc>
          <w:tcPr>
            <w:tcW w:w="2782" w:type="dxa"/>
            <w:tcBorders>
              <w:tl2br w:val="nil"/>
              <w:tr2bl w:val="nil"/>
            </w:tcBorders>
            <w:vAlign w:val="center"/>
          </w:tcPr>
          <w:p w14:paraId="4B54B544">
            <w:pPr>
              <w:tabs>
                <w:tab w:val="left" w:pos="1021"/>
              </w:tabs>
              <w:spacing w:line="240" w:lineRule="auto"/>
              <w:jc w:val="center"/>
              <w:rPr>
                <w:sz w:val="21"/>
                <w:szCs w:val="21"/>
              </w:rPr>
            </w:pPr>
            <w:r>
              <w:rPr>
                <w:sz w:val="21"/>
                <w:szCs w:val="21"/>
              </w:rPr>
              <w:t>是否水土流失重点防治区</w:t>
            </w:r>
          </w:p>
        </w:tc>
        <w:tc>
          <w:tcPr>
            <w:tcW w:w="5058" w:type="dxa"/>
            <w:tcBorders>
              <w:tl2br w:val="nil"/>
              <w:tr2bl w:val="nil"/>
            </w:tcBorders>
            <w:vAlign w:val="center"/>
          </w:tcPr>
          <w:p w14:paraId="5B7E8DEA">
            <w:pPr>
              <w:tabs>
                <w:tab w:val="left" w:pos="1021"/>
              </w:tabs>
              <w:spacing w:line="240" w:lineRule="auto"/>
              <w:jc w:val="center"/>
              <w:rPr>
                <w:sz w:val="21"/>
                <w:szCs w:val="21"/>
              </w:rPr>
            </w:pPr>
            <w:r>
              <w:rPr>
                <w:sz w:val="21"/>
                <w:szCs w:val="21"/>
              </w:rPr>
              <w:t>否</w:t>
            </w:r>
          </w:p>
        </w:tc>
      </w:tr>
      <w:tr w14:paraId="75531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2BD6187B">
            <w:pPr>
              <w:tabs>
                <w:tab w:val="left" w:pos="1021"/>
              </w:tabs>
              <w:spacing w:line="240" w:lineRule="auto"/>
              <w:jc w:val="center"/>
              <w:rPr>
                <w:sz w:val="21"/>
                <w:szCs w:val="21"/>
              </w:rPr>
            </w:pPr>
            <w:r>
              <w:rPr>
                <w:sz w:val="21"/>
                <w:szCs w:val="21"/>
              </w:rPr>
              <w:t>9</w:t>
            </w:r>
          </w:p>
        </w:tc>
        <w:tc>
          <w:tcPr>
            <w:tcW w:w="2782" w:type="dxa"/>
            <w:tcBorders>
              <w:tl2br w:val="nil"/>
              <w:tr2bl w:val="nil"/>
            </w:tcBorders>
            <w:vAlign w:val="center"/>
          </w:tcPr>
          <w:p w14:paraId="179F4FBD">
            <w:pPr>
              <w:tabs>
                <w:tab w:val="left" w:pos="1021"/>
              </w:tabs>
              <w:spacing w:line="240" w:lineRule="auto"/>
              <w:jc w:val="center"/>
              <w:rPr>
                <w:sz w:val="21"/>
                <w:szCs w:val="21"/>
              </w:rPr>
            </w:pPr>
            <w:r>
              <w:rPr>
                <w:sz w:val="21"/>
                <w:szCs w:val="21"/>
              </w:rPr>
              <w:t>是否水库库区</w:t>
            </w:r>
          </w:p>
        </w:tc>
        <w:tc>
          <w:tcPr>
            <w:tcW w:w="5058" w:type="dxa"/>
            <w:tcBorders>
              <w:tl2br w:val="nil"/>
              <w:tr2bl w:val="nil"/>
            </w:tcBorders>
            <w:vAlign w:val="center"/>
          </w:tcPr>
          <w:p w14:paraId="2543C4EB">
            <w:pPr>
              <w:tabs>
                <w:tab w:val="left" w:pos="1021"/>
              </w:tabs>
              <w:spacing w:line="240" w:lineRule="auto"/>
              <w:jc w:val="center"/>
              <w:rPr>
                <w:sz w:val="21"/>
                <w:szCs w:val="21"/>
              </w:rPr>
            </w:pPr>
            <w:r>
              <w:rPr>
                <w:sz w:val="21"/>
                <w:szCs w:val="21"/>
              </w:rPr>
              <w:t>否</w:t>
            </w:r>
          </w:p>
        </w:tc>
      </w:tr>
      <w:tr w14:paraId="10541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687" w:type="dxa"/>
            <w:tcBorders>
              <w:tl2br w:val="nil"/>
              <w:tr2bl w:val="nil"/>
            </w:tcBorders>
            <w:vAlign w:val="center"/>
          </w:tcPr>
          <w:p w14:paraId="190E0844">
            <w:pPr>
              <w:tabs>
                <w:tab w:val="left" w:pos="1021"/>
              </w:tabs>
              <w:spacing w:line="240" w:lineRule="auto"/>
              <w:jc w:val="center"/>
              <w:rPr>
                <w:sz w:val="21"/>
                <w:szCs w:val="21"/>
              </w:rPr>
            </w:pPr>
            <w:r>
              <w:rPr>
                <w:sz w:val="21"/>
                <w:szCs w:val="21"/>
              </w:rPr>
              <w:t>10</w:t>
            </w:r>
          </w:p>
        </w:tc>
        <w:tc>
          <w:tcPr>
            <w:tcW w:w="2782" w:type="dxa"/>
            <w:tcBorders>
              <w:tl2br w:val="nil"/>
              <w:tr2bl w:val="nil"/>
            </w:tcBorders>
            <w:vAlign w:val="center"/>
          </w:tcPr>
          <w:p w14:paraId="1FBEBCFA">
            <w:pPr>
              <w:tabs>
                <w:tab w:val="left" w:pos="1021"/>
              </w:tabs>
              <w:spacing w:line="240" w:lineRule="auto"/>
              <w:jc w:val="center"/>
              <w:rPr>
                <w:sz w:val="21"/>
                <w:szCs w:val="21"/>
              </w:rPr>
            </w:pPr>
            <w:r>
              <w:rPr>
                <w:sz w:val="21"/>
                <w:szCs w:val="21"/>
              </w:rPr>
              <w:t>是否污水处理厂集水范围</w:t>
            </w:r>
          </w:p>
        </w:tc>
        <w:tc>
          <w:tcPr>
            <w:tcW w:w="5058" w:type="dxa"/>
            <w:tcBorders>
              <w:tl2br w:val="nil"/>
              <w:tr2bl w:val="nil"/>
            </w:tcBorders>
            <w:vAlign w:val="center"/>
          </w:tcPr>
          <w:p w14:paraId="24CBF2D0">
            <w:pPr>
              <w:tabs>
                <w:tab w:val="left" w:pos="1021"/>
              </w:tabs>
              <w:spacing w:line="240" w:lineRule="auto"/>
              <w:jc w:val="center"/>
              <w:rPr>
                <w:sz w:val="21"/>
                <w:szCs w:val="21"/>
              </w:rPr>
            </w:pPr>
            <w:r>
              <w:rPr>
                <w:sz w:val="21"/>
                <w:szCs w:val="21"/>
              </w:rPr>
              <w:t>是</w:t>
            </w:r>
          </w:p>
        </w:tc>
      </w:tr>
    </w:tbl>
    <w:p w14:paraId="11694325">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2.6.2</w:t>
      </w:r>
      <w:r>
        <w:rPr>
          <w:rFonts w:hint="eastAsia"/>
        </w:rPr>
        <w:t>环境质量标准</w:t>
      </w:r>
    </w:p>
    <w:p w14:paraId="08F5C844">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2.6.2.1</w:t>
      </w:r>
      <w:r>
        <w:rPr>
          <w:rFonts w:hint="eastAsia" w:ascii="Times New Roman" w:hAnsi="Times New Roman"/>
        </w:rPr>
        <w:t>环境空气质量</w:t>
      </w:r>
    </w:p>
    <w:p w14:paraId="11814FB6">
      <w:pPr>
        <w:ind w:firstLine="480"/>
      </w:pPr>
      <w:r>
        <w:rPr>
          <w:rFonts w:hint="eastAsia"/>
          <w:u w:val="single"/>
        </w:rPr>
        <w:t>项目位于湘潭天易经开区，属《环境空气质量标准》（GB3095-20</w:t>
      </w:r>
      <w:r>
        <w:rPr>
          <w:rFonts w:hint="eastAsia"/>
          <w:u w:val="single"/>
          <w:lang w:val="en-US" w:eastAsia="zh-CN"/>
        </w:rPr>
        <w:t>26</w:t>
      </w:r>
      <w:r>
        <w:rPr>
          <w:rFonts w:hint="eastAsia"/>
          <w:u w:val="single"/>
        </w:rPr>
        <w:t>）二类区，SO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、P</w:t>
      </w:r>
      <w:r>
        <w:rPr>
          <w:u w:val="single"/>
        </w:rPr>
        <w:t>M</w:t>
      </w:r>
      <w:r>
        <w:rPr>
          <w:u w:val="single"/>
          <w:vertAlign w:val="subscript"/>
        </w:rPr>
        <w:t>10</w:t>
      </w:r>
      <w:r>
        <w:rPr>
          <w:u w:val="single"/>
        </w:rPr>
        <w:t>、</w:t>
      </w:r>
      <w:r>
        <w:rPr>
          <w:rFonts w:hint="eastAsia"/>
          <w:u w:val="single"/>
        </w:rPr>
        <w:t>TSP</w:t>
      </w:r>
      <w:r>
        <w:rPr>
          <w:u w:val="single"/>
        </w:rPr>
        <w:t>、</w:t>
      </w:r>
      <w:r>
        <w:rPr>
          <w:kern w:val="0"/>
          <w:u w:val="single"/>
        </w:rPr>
        <w:t>O</w:t>
      </w:r>
      <w:r>
        <w:rPr>
          <w:kern w:val="0"/>
          <w:u w:val="single"/>
          <w:vertAlign w:val="subscript"/>
        </w:rPr>
        <w:t>3</w:t>
      </w:r>
      <w:r>
        <w:rPr>
          <w:u w:val="single"/>
        </w:rPr>
        <w:t>、C</w:t>
      </w:r>
      <w:r>
        <w:rPr>
          <w:rFonts w:hint="eastAsia"/>
          <w:u w:val="single"/>
        </w:rPr>
        <w:t>O等执行</w:t>
      </w:r>
      <w:r>
        <w:rPr>
          <w:rFonts w:hint="eastAsia"/>
          <w:u w:val="single"/>
          <w:lang w:val="en-US" w:eastAsia="zh-CN"/>
        </w:rPr>
        <w:t>表1</w:t>
      </w:r>
      <w:r>
        <w:rPr>
          <w:rFonts w:hint="eastAsia"/>
          <w:u w:val="single"/>
        </w:rPr>
        <w:t>二级标准</w:t>
      </w:r>
      <w:r>
        <w:rPr>
          <w:rFonts w:hint="eastAsia"/>
          <w:u w:val="single"/>
          <w:lang w:eastAsia="zh-CN"/>
        </w:rPr>
        <w:t>（</w:t>
      </w:r>
      <w:r>
        <w:rPr>
          <w:rFonts w:hint="eastAsia"/>
          <w:u w:val="single"/>
          <w:lang w:val="en-US" w:eastAsia="zh-CN"/>
        </w:rPr>
        <w:t>过渡阶段</w:t>
      </w:r>
      <w:r>
        <w:rPr>
          <w:rFonts w:hint="eastAsia"/>
          <w:u w:val="single"/>
          <w:lang w:eastAsia="zh-CN"/>
        </w:rPr>
        <w:t>）</w:t>
      </w:r>
      <w:r>
        <w:rPr>
          <w:rFonts w:hint="eastAsia"/>
          <w:u w:val="single"/>
        </w:rPr>
        <w:t>；</w:t>
      </w:r>
      <w:r>
        <w:rPr>
          <w:rFonts w:hint="eastAsia"/>
        </w:rPr>
        <w:t>特征因子TVOCs参考《环境影响评价技术导则 大气环境》（HJ2.2-2018）附录D中TVOC质量浓度参考限值。</w:t>
      </w:r>
    </w:p>
    <w:p w14:paraId="14CE1762">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表2.6-2 </w:t>
      </w:r>
      <w:r>
        <w:rPr>
          <w:rFonts w:hint="eastAsia" w:ascii="宋体" w:hAnsi="宋体" w:cs="宋体"/>
          <w:b/>
          <w:bCs/>
          <w:color w:val="auto"/>
          <w:kern w:val="2"/>
          <w:sz w:val="21"/>
          <w:szCs w:val="21"/>
          <w:lang w:val="en-US" w:eastAsia="zh-CN" w:bidi="ar-SA"/>
        </w:rPr>
        <w:t xml:space="preserve">     </w:t>
      </w:r>
      <w:r>
        <w:rPr>
          <w:rFonts w:hint="eastAsia"/>
        </w:rPr>
        <w:t>环境空气质量标准     单位：ug/m</w:t>
      </w:r>
      <w:r>
        <w:rPr>
          <w:rFonts w:hint="eastAsia"/>
          <w:vertAlign w:val="superscript"/>
        </w:rPr>
        <w:t>3</w:t>
      </w:r>
    </w:p>
    <w:tbl>
      <w:tblPr>
        <w:tblStyle w:val="31"/>
        <w:tblW w:w="85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12"/>
        <w:gridCol w:w="2209"/>
        <w:gridCol w:w="1323"/>
        <w:gridCol w:w="1282"/>
        <w:gridCol w:w="1653"/>
        <w:gridCol w:w="1048"/>
      </w:tblGrid>
      <w:tr w14:paraId="12239D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Merge w:val="restart"/>
            <w:vAlign w:val="center"/>
          </w:tcPr>
          <w:p w14:paraId="77CA36C5">
            <w:pPr>
              <w:pStyle w:val="19"/>
              <w:spacing w:line="240" w:lineRule="auto"/>
              <w:ind w:firstLine="0"/>
              <w:jc w:val="center"/>
              <w:rPr>
                <w:sz w:val="21"/>
                <w:szCs w:val="21"/>
              </w:rPr>
            </w:pPr>
            <w:r>
              <w:rPr>
                <w:sz w:val="21"/>
                <w:szCs w:val="21"/>
              </w:rPr>
              <w:t>污染物</w:t>
            </w:r>
          </w:p>
          <w:p w14:paraId="41A01C9E">
            <w:pPr>
              <w:pStyle w:val="19"/>
              <w:spacing w:line="240" w:lineRule="auto"/>
              <w:ind w:firstLine="0"/>
              <w:jc w:val="center"/>
              <w:rPr>
                <w:sz w:val="21"/>
                <w:szCs w:val="21"/>
              </w:rPr>
            </w:pPr>
            <w:r>
              <w:rPr>
                <w:sz w:val="21"/>
                <w:szCs w:val="21"/>
              </w:rPr>
              <w:t>名称</w:t>
            </w:r>
          </w:p>
        </w:tc>
        <w:tc>
          <w:tcPr>
            <w:tcW w:w="2209" w:type="dxa"/>
            <w:vMerge w:val="restart"/>
            <w:vAlign w:val="center"/>
          </w:tcPr>
          <w:p w14:paraId="621F7992">
            <w:pPr>
              <w:pStyle w:val="19"/>
              <w:spacing w:line="240" w:lineRule="auto"/>
              <w:ind w:firstLine="0"/>
              <w:jc w:val="center"/>
              <w:rPr>
                <w:sz w:val="21"/>
                <w:szCs w:val="21"/>
              </w:rPr>
            </w:pPr>
            <w:r>
              <w:rPr>
                <w:sz w:val="21"/>
                <w:szCs w:val="21"/>
              </w:rPr>
              <w:t>标准</w:t>
            </w:r>
          </w:p>
        </w:tc>
        <w:tc>
          <w:tcPr>
            <w:tcW w:w="5306" w:type="dxa"/>
            <w:gridSpan w:val="4"/>
            <w:vAlign w:val="center"/>
          </w:tcPr>
          <w:p w14:paraId="682276FF">
            <w:pPr>
              <w:pStyle w:val="19"/>
              <w:spacing w:line="240" w:lineRule="auto"/>
              <w:ind w:firstLine="0"/>
              <w:jc w:val="center"/>
              <w:rPr>
                <w:sz w:val="21"/>
                <w:szCs w:val="21"/>
              </w:rPr>
            </w:pPr>
            <w:r>
              <w:rPr>
                <w:sz w:val="21"/>
                <w:szCs w:val="21"/>
              </w:rPr>
              <w:t>浓度</w:t>
            </w:r>
          </w:p>
        </w:tc>
      </w:tr>
      <w:tr w14:paraId="2FD81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Merge w:val="continue"/>
            <w:vAlign w:val="center"/>
          </w:tcPr>
          <w:p w14:paraId="215D158D">
            <w:pPr>
              <w:pStyle w:val="19"/>
              <w:spacing w:line="240" w:lineRule="auto"/>
              <w:ind w:firstLine="0"/>
              <w:jc w:val="center"/>
              <w:rPr>
                <w:sz w:val="21"/>
                <w:szCs w:val="21"/>
              </w:rPr>
            </w:pPr>
          </w:p>
        </w:tc>
        <w:tc>
          <w:tcPr>
            <w:tcW w:w="2209" w:type="dxa"/>
            <w:vMerge w:val="continue"/>
            <w:vAlign w:val="center"/>
          </w:tcPr>
          <w:p w14:paraId="629779FA">
            <w:pPr>
              <w:pStyle w:val="19"/>
              <w:spacing w:line="240" w:lineRule="auto"/>
              <w:ind w:firstLine="0"/>
              <w:jc w:val="center"/>
              <w:rPr>
                <w:sz w:val="21"/>
                <w:szCs w:val="21"/>
              </w:rPr>
            </w:pPr>
          </w:p>
        </w:tc>
        <w:tc>
          <w:tcPr>
            <w:tcW w:w="1323" w:type="dxa"/>
            <w:vAlign w:val="center"/>
          </w:tcPr>
          <w:p w14:paraId="20493121">
            <w:pPr>
              <w:pStyle w:val="19"/>
              <w:spacing w:line="240" w:lineRule="auto"/>
              <w:ind w:firstLine="0"/>
              <w:jc w:val="center"/>
              <w:rPr>
                <w:sz w:val="21"/>
                <w:szCs w:val="21"/>
              </w:rPr>
            </w:pPr>
            <w:r>
              <w:rPr>
                <w:sz w:val="21"/>
                <w:szCs w:val="21"/>
              </w:rPr>
              <w:t>1小时平均</w:t>
            </w:r>
          </w:p>
        </w:tc>
        <w:tc>
          <w:tcPr>
            <w:tcW w:w="1282" w:type="dxa"/>
            <w:vAlign w:val="center"/>
          </w:tcPr>
          <w:p w14:paraId="566BA219">
            <w:pPr>
              <w:pStyle w:val="19"/>
              <w:spacing w:line="240" w:lineRule="auto"/>
              <w:ind w:firstLine="0"/>
              <w:jc w:val="center"/>
              <w:rPr>
                <w:sz w:val="21"/>
                <w:szCs w:val="21"/>
              </w:rPr>
            </w:pPr>
            <w:r>
              <w:rPr>
                <w:sz w:val="21"/>
                <w:szCs w:val="21"/>
              </w:rPr>
              <w:t>8小时平均</w:t>
            </w:r>
          </w:p>
        </w:tc>
        <w:tc>
          <w:tcPr>
            <w:tcW w:w="1653" w:type="dxa"/>
            <w:vAlign w:val="center"/>
          </w:tcPr>
          <w:p w14:paraId="594F7F50">
            <w:pPr>
              <w:pStyle w:val="19"/>
              <w:spacing w:line="240" w:lineRule="auto"/>
              <w:ind w:firstLine="0"/>
              <w:jc w:val="center"/>
              <w:rPr>
                <w:sz w:val="21"/>
                <w:szCs w:val="21"/>
              </w:rPr>
            </w:pPr>
            <w:r>
              <w:rPr>
                <w:sz w:val="21"/>
                <w:szCs w:val="21"/>
              </w:rPr>
              <w:t>日平均</w:t>
            </w:r>
          </w:p>
        </w:tc>
        <w:tc>
          <w:tcPr>
            <w:tcW w:w="1048" w:type="dxa"/>
            <w:vAlign w:val="center"/>
          </w:tcPr>
          <w:p w14:paraId="3EE576D1">
            <w:pPr>
              <w:pStyle w:val="19"/>
              <w:spacing w:line="240" w:lineRule="auto"/>
              <w:ind w:firstLine="0"/>
              <w:jc w:val="center"/>
              <w:rPr>
                <w:sz w:val="21"/>
                <w:szCs w:val="21"/>
              </w:rPr>
            </w:pPr>
            <w:r>
              <w:rPr>
                <w:sz w:val="21"/>
                <w:szCs w:val="21"/>
              </w:rPr>
              <w:t>年平均</w:t>
            </w:r>
          </w:p>
        </w:tc>
      </w:tr>
      <w:tr w14:paraId="65F9C2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3A3D42B4">
            <w:pPr>
              <w:pStyle w:val="19"/>
              <w:spacing w:line="240" w:lineRule="auto"/>
              <w:ind w:firstLine="0"/>
              <w:jc w:val="center"/>
              <w:rPr>
                <w:sz w:val="21"/>
                <w:szCs w:val="21"/>
                <w:u w:val="single"/>
              </w:rPr>
            </w:pPr>
            <w:r>
              <w:rPr>
                <w:sz w:val="21"/>
                <w:szCs w:val="21"/>
                <w:u w:val="single"/>
              </w:rPr>
              <w:t>SO</w:t>
            </w:r>
            <w:r>
              <w:rPr>
                <w:sz w:val="21"/>
                <w:szCs w:val="21"/>
                <w:u w:val="single"/>
                <w:vertAlign w:val="subscript"/>
              </w:rPr>
              <w:t>2</w:t>
            </w:r>
          </w:p>
        </w:tc>
        <w:tc>
          <w:tcPr>
            <w:tcW w:w="2209" w:type="dxa"/>
            <w:vMerge w:val="restart"/>
            <w:vAlign w:val="center"/>
          </w:tcPr>
          <w:p w14:paraId="0BADAC6B">
            <w:pPr>
              <w:pStyle w:val="19"/>
              <w:spacing w:line="240" w:lineRule="auto"/>
              <w:ind w:firstLine="0"/>
              <w:jc w:val="center"/>
              <w:rPr>
                <w:rFonts w:hint="eastAsia" w:eastAsia="宋体"/>
                <w:sz w:val="21"/>
                <w:szCs w:val="21"/>
                <w:u w:val="single"/>
                <w:lang w:eastAsia="zh-CN"/>
              </w:rPr>
            </w:pPr>
            <w:r>
              <w:rPr>
                <w:sz w:val="21"/>
                <w:szCs w:val="21"/>
                <w:u w:val="single"/>
              </w:rPr>
              <w:t>《环境空气质量标准》（GB3095-20</w:t>
            </w:r>
            <w:r>
              <w:rPr>
                <w:rFonts w:hint="eastAsia"/>
                <w:sz w:val="21"/>
                <w:szCs w:val="21"/>
                <w:u w:val="single"/>
                <w:lang w:val="en-US" w:eastAsia="zh-CN"/>
              </w:rPr>
              <w:t>26</w:t>
            </w:r>
            <w:r>
              <w:rPr>
                <w:sz w:val="21"/>
                <w:szCs w:val="21"/>
                <w:u w:val="single"/>
              </w:rPr>
              <w:t>）二级标准</w:t>
            </w:r>
            <w:r>
              <w:rPr>
                <w:rFonts w:hint="eastAsia"/>
                <w:sz w:val="21"/>
                <w:szCs w:val="21"/>
                <w:u w:val="single"/>
                <w:lang w:eastAsia="zh-CN"/>
              </w:rPr>
              <w:t>（</w:t>
            </w:r>
            <w:r>
              <w:rPr>
                <w:rFonts w:hint="eastAsia"/>
                <w:sz w:val="21"/>
                <w:szCs w:val="21"/>
                <w:u w:val="single"/>
                <w:lang w:val="en-US" w:eastAsia="zh-CN"/>
              </w:rPr>
              <w:t>过渡阶段</w:t>
            </w:r>
            <w:r>
              <w:rPr>
                <w:rFonts w:hint="eastAsia"/>
                <w:sz w:val="21"/>
                <w:szCs w:val="21"/>
                <w:u w:val="single"/>
                <w:lang w:eastAsia="zh-CN"/>
              </w:rPr>
              <w:t>）</w:t>
            </w:r>
          </w:p>
        </w:tc>
        <w:tc>
          <w:tcPr>
            <w:tcW w:w="1323" w:type="dxa"/>
            <w:vAlign w:val="center"/>
          </w:tcPr>
          <w:p w14:paraId="2C0AE7E8">
            <w:pPr>
              <w:pStyle w:val="19"/>
              <w:spacing w:line="240" w:lineRule="auto"/>
              <w:ind w:firstLine="0"/>
              <w:jc w:val="center"/>
              <w:rPr>
                <w:sz w:val="21"/>
                <w:szCs w:val="21"/>
                <w:u w:val="single"/>
              </w:rPr>
            </w:pPr>
            <w:r>
              <w:rPr>
                <w:sz w:val="21"/>
                <w:szCs w:val="21"/>
                <w:u w:val="single"/>
              </w:rPr>
              <w:t>500μg/m</w:t>
            </w:r>
            <w:r>
              <w:rPr>
                <w:sz w:val="21"/>
                <w:szCs w:val="21"/>
                <w:u w:val="single"/>
                <w:vertAlign w:val="superscript"/>
              </w:rPr>
              <w:t>3</w:t>
            </w:r>
          </w:p>
        </w:tc>
        <w:tc>
          <w:tcPr>
            <w:tcW w:w="1282" w:type="dxa"/>
            <w:vAlign w:val="center"/>
          </w:tcPr>
          <w:p w14:paraId="4A262485">
            <w:pPr>
              <w:tabs>
                <w:tab w:val="left" w:pos="1021"/>
              </w:tabs>
              <w:spacing w:line="240" w:lineRule="auto"/>
              <w:jc w:val="center"/>
              <w:rPr>
                <w:sz w:val="21"/>
                <w:szCs w:val="21"/>
                <w:u w:val="single"/>
              </w:rPr>
            </w:pPr>
            <w:r>
              <w:rPr>
                <w:sz w:val="21"/>
                <w:szCs w:val="21"/>
                <w:u w:val="single"/>
              </w:rPr>
              <w:t>——</w:t>
            </w:r>
          </w:p>
        </w:tc>
        <w:tc>
          <w:tcPr>
            <w:tcW w:w="1653" w:type="dxa"/>
            <w:vAlign w:val="center"/>
          </w:tcPr>
          <w:p w14:paraId="58662B22">
            <w:pPr>
              <w:pStyle w:val="19"/>
              <w:spacing w:line="240" w:lineRule="auto"/>
              <w:ind w:firstLine="0"/>
              <w:jc w:val="center"/>
              <w:rPr>
                <w:sz w:val="21"/>
                <w:szCs w:val="21"/>
                <w:u w:val="single"/>
              </w:rPr>
            </w:pPr>
            <w:r>
              <w:rPr>
                <w:sz w:val="21"/>
                <w:szCs w:val="21"/>
                <w:u w:val="single"/>
              </w:rPr>
              <w:t>150μg/m</w:t>
            </w:r>
            <w:r>
              <w:rPr>
                <w:sz w:val="21"/>
                <w:szCs w:val="21"/>
                <w:u w:val="single"/>
                <w:vertAlign w:val="superscript"/>
              </w:rPr>
              <w:t>3</w:t>
            </w:r>
          </w:p>
        </w:tc>
        <w:tc>
          <w:tcPr>
            <w:tcW w:w="1048" w:type="dxa"/>
            <w:vAlign w:val="center"/>
          </w:tcPr>
          <w:p w14:paraId="4D4A0376">
            <w:pPr>
              <w:pStyle w:val="19"/>
              <w:spacing w:line="240" w:lineRule="auto"/>
              <w:ind w:firstLine="0"/>
              <w:jc w:val="center"/>
              <w:rPr>
                <w:sz w:val="21"/>
                <w:szCs w:val="21"/>
                <w:u w:val="single"/>
              </w:rPr>
            </w:pPr>
            <w:r>
              <w:rPr>
                <w:sz w:val="21"/>
                <w:szCs w:val="21"/>
                <w:u w:val="single"/>
              </w:rPr>
              <w:t>60μg/m</w:t>
            </w:r>
            <w:r>
              <w:rPr>
                <w:sz w:val="21"/>
                <w:szCs w:val="21"/>
                <w:u w:val="single"/>
                <w:vertAlign w:val="superscript"/>
              </w:rPr>
              <w:t>3</w:t>
            </w:r>
          </w:p>
        </w:tc>
      </w:tr>
      <w:tr w14:paraId="40D3D9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3FBD9BAC">
            <w:pPr>
              <w:pStyle w:val="19"/>
              <w:spacing w:line="240" w:lineRule="auto"/>
              <w:ind w:firstLine="0"/>
              <w:jc w:val="center"/>
              <w:rPr>
                <w:sz w:val="21"/>
                <w:szCs w:val="21"/>
                <w:u w:val="single"/>
              </w:rPr>
            </w:pPr>
            <w:r>
              <w:rPr>
                <w:sz w:val="21"/>
                <w:szCs w:val="21"/>
                <w:u w:val="single"/>
              </w:rPr>
              <w:t>NO</w:t>
            </w:r>
            <w:r>
              <w:rPr>
                <w:sz w:val="21"/>
                <w:szCs w:val="21"/>
                <w:u w:val="single"/>
                <w:vertAlign w:val="subscript"/>
              </w:rPr>
              <w:t>2</w:t>
            </w:r>
          </w:p>
        </w:tc>
        <w:tc>
          <w:tcPr>
            <w:tcW w:w="2209" w:type="dxa"/>
            <w:vMerge w:val="continue"/>
            <w:vAlign w:val="center"/>
          </w:tcPr>
          <w:p w14:paraId="469B20C6">
            <w:pPr>
              <w:pStyle w:val="19"/>
              <w:spacing w:line="240" w:lineRule="auto"/>
              <w:ind w:firstLine="0"/>
              <w:jc w:val="center"/>
              <w:rPr>
                <w:sz w:val="21"/>
                <w:szCs w:val="21"/>
                <w:u w:val="single"/>
              </w:rPr>
            </w:pPr>
          </w:p>
        </w:tc>
        <w:tc>
          <w:tcPr>
            <w:tcW w:w="1323" w:type="dxa"/>
            <w:vAlign w:val="center"/>
          </w:tcPr>
          <w:p w14:paraId="10BD29C5">
            <w:pPr>
              <w:pStyle w:val="19"/>
              <w:spacing w:line="240" w:lineRule="auto"/>
              <w:ind w:firstLine="0"/>
              <w:jc w:val="center"/>
              <w:rPr>
                <w:sz w:val="21"/>
                <w:szCs w:val="21"/>
                <w:u w:val="single"/>
              </w:rPr>
            </w:pPr>
            <w:r>
              <w:rPr>
                <w:sz w:val="21"/>
                <w:szCs w:val="21"/>
                <w:u w:val="single"/>
              </w:rPr>
              <w:t>200μg/m</w:t>
            </w:r>
            <w:r>
              <w:rPr>
                <w:sz w:val="21"/>
                <w:szCs w:val="21"/>
                <w:u w:val="single"/>
                <w:vertAlign w:val="superscript"/>
              </w:rPr>
              <w:t>3</w:t>
            </w:r>
          </w:p>
        </w:tc>
        <w:tc>
          <w:tcPr>
            <w:tcW w:w="1282" w:type="dxa"/>
            <w:vAlign w:val="center"/>
          </w:tcPr>
          <w:p w14:paraId="16F80394">
            <w:pPr>
              <w:tabs>
                <w:tab w:val="left" w:pos="1021"/>
              </w:tabs>
              <w:spacing w:line="240" w:lineRule="auto"/>
              <w:jc w:val="center"/>
              <w:rPr>
                <w:sz w:val="21"/>
                <w:szCs w:val="21"/>
                <w:u w:val="single"/>
              </w:rPr>
            </w:pPr>
            <w:r>
              <w:rPr>
                <w:sz w:val="21"/>
                <w:szCs w:val="21"/>
                <w:u w:val="single"/>
              </w:rPr>
              <w:t>——</w:t>
            </w:r>
          </w:p>
        </w:tc>
        <w:tc>
          <w:tcPr>
            <w:tcW w:w="1653" w:type="dxa"/>
            <w:vAlign w:val="center"/>
          </w:tcPr>
          <w:p w14:paraId="4C83D54F">
            <w:pPr>
              <w:pStyle w:val="19"/>
              <w:spacing w:line="240" w:lineRule="auto"/>
              <w:ind w:firstLine="0"/>
              <w:jc w:val="center"/>
              <w:rPr>
                <w:sz w:val="21"/>
                <w:szCs w:val="21"/>
                <w:u w:val="single"/>
              </w:rPr>
            </w:pPr>
            <w:r>
              <w:rPr>
                <w:sz w:val="21"/>
                <w:szCs w:val="21"/>
                <w:u w:val="single"/>
              </w:rPr>
              <w:t>80μg/m</w:t>
            </w:r>
            <w:r>
              <w:rPr>
                <w:sz w:val="21"/>
                <w:szCs w:val="21"/>
                <w:u w:val="single"/>
                <w:vertAlign w:val="superscript"/>
              </w:rPr>
              <w:t>3</w:t>
            </w:r>
          </w:p>
        </w:tc>
        <w:tc>
          <w:tcPr>
            <w:tcW w:w="1048" w:type="dxa"/>
            <w:vAlign w:val="center"/>
          </w:tcPr>
          <w:p w14:paraId="0C6F0F3A">
            <w:pPr>
              <w:pStyle w:val="19"/>
              <w:spacing w:line="240" w:lineRule="auto"/>
              <w:ind w:firstLine="0"/>
              <w:jc w:val="center"/>
              <w:rPr>
                <w:sz w:val="21"/>
                <w:szCs w:val="21"/>
                <w:u w:val="single"/>
              </w:rPr>
            </w:pPr>
            <w:r>
              <w:rPr>
                <w:sz w:val="21"/>
                <w:szCs w:val="21"/>
                <w:u w:val="single"/>
              </w:rPr>
              <w:t>40μg/m</w:t>
            </w:r>
            <w:r>
              <w:rPr>
                <w:sz w:val="21"/>
                <w:szCs w:val="21"/>
                <w:u w:val="single"/>
                <w:vertAlign w:val="superscript"/>
              </w:rPr>
              <w:t>3</w:t>
            </w:r>
          </w:p>
        </w:tc>
      </w:tr>
      <w:tr w14:paraId="27C75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72126968">
            <w:pPr>
              <w:pStyle w:val="19"/>
              <w:spacing w:line="240" w:lineRule="auto"/>
              <w:ind w:firstLine="0"/>
              <w:jc w:val="center"/>
              <w:rPr>
                <w:sz w:val="21"/>
                <w:szCs w:val="21"/>
                <w:u w:val="single"/>
              </w:rPr>
            </w:pPr>
            <w:r>
              <w:rPr>
                <w:sz w:val="21"/>
                <w:szCs w:val="21"/>
                <w:u w:val="single"/>
              </w:rPr>
              <w:t>PM</w:t>
            </w:r>
            <w:r>
              <w:rPr>
                <w:sz w:val="21"/>
                <w:szCs w:val="21"/>
                <w:u w:val="single"/>
                <w:vertAlign w:val="subscript"/>
              </w:rPr>
              <w:t>10</w:t>
            </w:r>
          </w:p>
        </w:tc>
        <w:tc>
          <w:tcPr>
            <w:tcW w:w="2209" w:type="dxa"/>
            <w:vMerge w:val="continue"/>
            <w:vAlign w:val="center"/>
          </w:tcPr>
          <w:p w14:paraId="62269453">
            <w:pPr>
              <w:pStyle w:val="19"/>
              <w:spacing w:line="240" w:lineRule="auto"/>
              <w:ind w:firstLine="0"/>
              <w:jc w:val="center"/>
              <w:rPr>
                <w:sz w:val="21"/>
                <w:szCs w:val="21"/>
                <w:u w:val="single"/>
              </w:rPr>
            </w:pPr>
          </w:p>
        </w:tc>
        <w:tc>
          <w:tcPr>
            <w:tcW w:w="1323" w:type="dxa"/>
            <w:vAlign w:val="center"/>
          </w:tcPr>
          <w:p w14:paraId="4E6D73D2">
            <w:pPr>
              <w:pStyle w:val="19"/>
              <w:spacing w:line="240" w:lineRule="auto"/>
              <w:ind w:firstLine="0"/>
              <w:jc w:val="center"/>
              <w:rPr>
                <w:sz w:val="21"/>
                <w:szCs w:val="21"/>
                <w:u w:val="single"/>
              </w:rPr>
            </w:pPr>
            <w:r>
              <w:rPr>
                <w:sz w:val="21"/>
                <w:szCs w:val="21"/>
                <w:u w:val="single"/>
              </w:rPr>
              <w:t>——</w:t>
            </w:r>
          </w:p>
        </w:tc>
        <w:tc>
          <w:tcPr>
            <w:tcW w:w="1282" w:type="dxa"/>
            <w:vAlign w:val="center"/>
          </w:tcPr>
          <w:p w14:paraId="73122A6B">
            <w:pPr>
              <w:tabs>
                <w:tab w:val="left" w:pos="1021"/>
              </w:tabs>
              <w:spacing w:line="240" w:lineRule="auto"/>
              <w:jc w:val="center"/>
              <w:rPr>
                <w:sz w:val="21"/>
                <w:szCs w:val="21"/>
                <w:u w:val="single"/>
              </w:rPr>
            </w:pPr>
            <w:r>
              <w:rPr>
                <w:sz w:val="21"/>
                <w:szCs w:val="21"/>
                <w:u w:val="single"/>
              </w:rPr>
              <w:t>——</w:t>
            </w:r>
          </w:p>
        </w:tc>
        <w:tc>
          <w:tcPr>
            <w:tcW w:w="1653" w:type="dxa"/>
            <w:vAlign w:val="center"/>
          </w:tcPr>
          <w:p w14:paraId="77168EDE">
            <w:pPr>
              <w:pStyle w:val="19"/>
              <w:spacing w:line="240" w:lineRule="auto"/>
              <w:ind w:firstLine="0"/>
              <w:jc w:val="center"/>
              <w:rPr>
                <w:sz w:val="21"/>
                <w:szCs w:val="21"/>
                <w:u w:val="single"/>
              </w:rPr>
            </w:pPr>
            <w:r>
              <w:rPr>
                <w:rFonts w:hint="eastAsia"/>
                <w:sz w:val="21"/>
                <w:szCs w:val="21"/>
                <w:u w:val="single"/>
                <w:lang w:val="en-US" w:eastAsia="zh-CN"/>
              </w:rPr>
              <w:t>120</w:t>
            </w:r>
            <w:r>
              <w:rPr>
                <w:sz w:val="21"/>
                <w:szCs w:val="21"/>
                <w:u w:val="single"/>
              </w:rPr>
              <w:t>μg/m</w:t>
            </w:r>
            <w:r>
              <w:rPr>
                <w:sz w:val="21"/>
                <w:szCs w:val="21"/>
                <w:u w:val="single"/>
                <w:vertAlign w:val="superscript"/>
              </w:rPr>
              <w:t>3</w:t>
            </w:r>
          </w:p>
        </w:tc>
        <w:tc>
          <w:tcPr>
            <w:tcW w:w="1048" w:type="dxa"/>
            <w:vAlign w:val="center"/>
          </w:tcPr>
          <w:p w14:paraId="7817A95D">
            <w:pPr>
              <w:pStyle w:val="19"/>
              <w:spacing w:line="240" w:lineRule="auto"/>
              <w:ind w:firstLine="0"/>
              <w:jc w:val="center"/>
              <w:rPr>
                <w:sz w:val="21"/>
                <w:szCs w:val="21"/>
                <w:u w:val="single"/>
              </w:rPr>
            </w:pPr>
            <w:r>
              <w:rPr>
                <w:rFonts w:hint="eastAsia"/>
                <w:sz w:val="21"/>
                <w:szCs w:val="21"/>
                <w:u w:val="single"/>
                <w:lang w:val="en-US" w:eastAsia="zh-CN"/>
              </w:rPr>
              <w:t>60</w:t>
            </w:r>
            <w:r>
              <w:rPr>
                <w:sz w:val="21"/>
                <w:szCs w:val="21"/>
                <w:u w:val="single"/>
              </w:rPr>
              <w:t>μg/m</w:t>
            </w:r>
            <w:r>
              <w:rPr>
                <w:sz w:val="21"/>
                <w:szCs w:val="21"/>
                <w:u w:val="single"/>
                <w:vertAlign w:val="superscript"/>
              </w:rPr>
              <w:t>3</w:t>
            </w:r>
          </w:p>
        </w:tc>
      </w:tr>
      <w:tr w14:paraId="7C7721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3F311D74">
            <w:pPr>
              <w:pStyle w:val="19"/>
              <w:spacing w:line="240" w:lineRule="auto"/>
              <w:ind w:firstLine="0"/>
              <w:jc w:val="center"/>
              <w:rPr>
                <w:sz w:val="21"/>
                <w:szCs w:val="21"/>
                <w:u w:val="single"/>
              </w:rPr>
            </w:pPr>
            <w:r>
              <w:rPr>
                <w:sz w:val="21"/>
                <w:szCs w:val="21"/>
                <w:u w:val="single"/>
              </w:rPr>
              <w:t>CO</w:t>
            </w:r>
          </w:p>
        </w:tc>
        <w:tc>
          <w:tcPr>
            <w:tcW w:w="2209" w:type="dxa"/>
            <w:vMerge w:val="continue"/>
            <w:vAlign w:val="center"/>
          </w:tcPr>
          <w:p w14:paraId="43691362">
            <w:pPr>
              <w:pStyle w:val="19"/>
              <w:spacing w:line="240" w:lineRule="auto"/>
              <w:ind w:firstLine="0"/>
              <w:jc w:val="center"/>
              <w:rPr>
                <w:sz w:val="21"/>
                <w:szCs w:val="21"/>
                <w:u w:val="single"/>
              </w:rPr>
            </w:pPr>
          </w:p>
        </w:tc>
        <w:tc>
          <w:tcPr>
            <w:tcW w:w="1323" w:type="dxa"/>
            <w:vAlign w:val="center"/>
          </w:tcPr>
          <w:p w14:paraId="3FCE2577">
            <w:pPr>
              <w:pStyle w:val="19"/>
              <w:spacing w:line="240" w:lineRule="auto"/>
              <w:ind w:firstLine="0"/>
              <w:jc w:val="center"/>
              <w:rPr>
                <w:sz w:val="21"/>
                <w:szCs w:val="21"/>
                <w:u w:val="single"/>
              </w:rPr>
            </w:pPr>
            <w:r>
              <w:rPr>
                <w:sz w:val="21"/>
                <w:szCs w:val="21"/>
                <w:u w:val="single"/>
              </w:rPr>
              <w:t>10mg/m</w:t>
            </w:r>
            <w:r>
              <w:rPr>
                <w:sz w:val="21"/>
                <w:szCs w:val="21"/>
                <w:u w:val="single"/>
                <w:vertAlign w:val="superscript"/>
              </w:rPr>
              <w:t>3</w:t>
            </w:r>
          </w:p>
        </w:tc>
        <w:tc>
          <w:tcPr>
            <w:tcW w:w="1282" w:type="dxa"/>
            <w:vAlign w:val="center"/>
          </w:tcPr>
          <w:p w14:paraId="77AC4EFC">
            <w:pPr>
              <w:tabs>
                <w:tab w:val="left" w:pos="1021"/>
              </w:tabs>
              <w:spacing w:line="240" w:lineRule="auto"/>
              <w:jc w:val="center"/>
              <w:rPr>
                <w:sz w:val="21"/>
                <w:szCs w:val="21"/>
                <w:u w:val="single"/>
              </w:rPr>
            </w:pPr>
            <w:r>
              <w:rPr>
                <w:sz w:val="21"/>
                <w:szCs w:val="21"/>
                <w:u w:val="single"/>
              </w:rPr>
              <w:t>——</w:t>
            </w:r>
          </w:p>
        </w:tc>
        <w:tc>
          <w:tcPr>
            <w:tcW w:w="1653" w:type="dxa"/>
            <w:vAlign w:val="center"/>
          </w:tcPr>
          <w:p w14:paraId="4E583F6D">
            <w:pPr>
              <w:pStyle w:val="19"/>
              <w:spacing w:line="240" w:lineRule="auto"/>
              <w:ind w:firstLine="0"/>
              <w:jc w:val="center"/>
              <w:rPr>
                <w:sz w:val="21"/>
                <w:szCs w:val="21"/>
                <w:u w:val="single"/>
              </w:rPr>
            </w:pPr>
            <w:r>
              <w:rPr>
                <w:sz w:val="21"/>
                <w:szCs w:val="21"/>
                <w:u w:val="single"/>
              </w:rPr>
              <w:t>4mg/m</w:t>
            </w:r>
            <w:r>
              <w:rPr>
                <w:sz w:val="21"/>
                <w:szCs w:val="21"/>
                <w:u w:val="single"/>
                <w:vertAlign w:val="superscript"/>
              </w:rPr>
              <w:t>3</w:t>
            </w:r>
          </w:p>
        </w:tc>
        <w:tc>
          <w:tcPr>
            <w:tcW w:w="1048" w:type="dxa"/>
            <w:vAlign w:val="center"/>
          </w:tcPr>
          <w:p w14:paraId="58268CE9">
            <w:pPr>
              <w:pStyle w:val="19"/>
              <w:spacing w:line="240" w:lineRule="auto"/>
              <w:ind w:firstLine="0"/>
              <w:jc w:val="center"/>
              <w:rPr>
                <w:sz w:val="21"/>
                <w:szCs w:val="21"/>
                <w:u w:val="single"/>
              </w:rPr>
            </w:pPr>
            <w:r>
              <w:rPr>
                <w:sz w:val="21"/>
                <w:szCs w:val="21"/>
                <w:u w:val="single"/>
              </w:rPr>
              <w:t>——</w:t>
            </w:r>
          </w:p>
        </w:tc>
      </w:tr>
      <w:tr w14:paraId="173A52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5DB00308">
            <w:pPr>
              <w:pStyle w:val="19"/>
              <w:spacing w:line="240" w:lineRule="auto"/>
              <w:ind w:firstLine="0"/>
              <w:jc w:val="center"/>
              <w:rPr>
                <w:sz w:val="21"/>
                <w:szCs w:val="21"/>
                <w:u w:val="single"/>
              </w:rPr>
            </w:pPr>
            <w:r>
              <w:rPr>
                <w:sz w:val="21"/>
                <w:szCs w:val="21"/>
                <w:u w:val="single"/>
              </w:rPr>
              <w:t>O</w:t>
            </w:r>
            <w:r>
              <w:rPr>
                <w:sz w:val="21"/>
                <w:szCs w:val="21"/>
                <w:u w:val="single"/>
                <w:vertAlign w:val="subscript"/>
              </w:rPr>
              <w:t>3</w:t>
            </w:r>
          </w:p>
        </w:tc>
        <w:tc>
          <w:tcPr>
            <w:tcW w:w="2209" w:type="dxa"/>
            <w:vMerge w:val="continue"/>
            <w:vAlign w:val="center"/>
          </w:tcPr>
          <w:p w14:paraId="4528BD5D">
            <w:pPr>
              <w:pStyle w:val="19"/>
              <w:spacing w:line="240" w:lineRule="auto"/>
              <w:ind w:firstLine="0"/>
              <w:jc w:val="center"/>
              <w:rPr>
                <w:sz w:val="21"/>
                <w:szCs w:val="21"/>
                <w:u w:val="single"/>
              </w:rPr>
            </w:pPr>
          </w:p>
        </w:tc>
        <w:tc>
          <w:tcPr>
            <w:tcW w:w="1323" w:type="dxa"/>
            <w:vAlign w:val="center"/>
          </w:tcPr>
          <w:p w14:paraId="691A889B">
            <w:pPr>
              <w:pStyle w:val="19"/>
              <w:spacing w:line="240" w:lineRule="auto"/>
              <w:ind w:firstLine="0"/>
              <w:jc w:val="center"/>
              <w:rPr>
                <w:sz w:val="21"/>
                <w:szCs w:val="21"/>
                <w:u w:val="single"/>
              </w:rPr>
            </w:pPr>
            <w:r>
              <w:rPr>
                <w:sz w:val="21"/>
                <w:szCs w:val="21"/>
                <w:u w:val="single"/>
              </w:rPr>
              <w:t>200μg/m</w:t>
            </w:r>
            <w:r>
              <w:rPr>
                <w:sz w:val="21"/>
                <w:szCs w:val="21"/>
                <w:u w:val="single"/>
                <w:vertAlign w:val="superscript"/>
              </w:rPr>
              <w:t>3</w:t>
            </w:r>
          </w:p>
        </w:tc>
        <w:tc>
          <w:tcPr>
            <w:tcW w:w="1282" w:type="dxa"/>
            <w:vAlign w:val="center"/>
          </w:tcPr>
          <w:p w14:paraId="32614406">
            <w:pPr>
              <w:tabs>
                <w:tab w:val="left" w:pos="1021"/>
              </w:tabs>
              <w:spacing w:line="240" w:lineRule="auto"/>
              <w:jc w:val="center"/>
              <w:rPr>
                <w:sz w:val="21"/>
                <w:szCs w:val="21"/>
                <w:u w:val="single"/>
              </w:rPr>
            </w:pPr>
            <w:r>
              <w:rPr>
                <w:sz w:val="21"/>
                <w:szCs w:val="21"/>
                <w:u w:val="single"/>
              </w:rPr>
              <w:t>——</w:t>
            </w:r>
          </w:p>
        </w:tc>
        <w:tc>
          <w:tcPr>
            <w:tcW w:w="1653" w:type="dxa"/>
            <w:vAlign w:val="center"/>
          </w:tcPr>
          <w:p w14:paraId="1398D504">
            <w:pPr>
              <w:pStyle w:val="19"/>
              <w:spacing w:line="240" w:lineRule="auto"/>
              <w:ind w:firstLine="0"/>
              <w:jc w:val="center"/>
              <w:rPr>
                <w:sz w:val="21"/>
                <w:szCs w:val="21"/>
                <w:u w:val="single"/>
              </w:rPr>
            </w:pPr>
            <w:r>
              <w:rPr>
                <w:sz w:val="21"/>
                <w:szCs w:val="21"/>
                <w:u w:val="single"/>
              </w:rPr>
              <w:t>160（日最大8小时平均μg/m</w:t>
            </w:r>
            <w:r>
              <w:rPr>
                <w:sz w:val="21"/>
                <w:szCs w:val="21"/>
                <w:u w:val="single"/>
                <w:vertAlign w:val="superscript"/>
              </w:rPr>
              <w:t>3</w:t>
            </w:r>
          </w:p>
        </w:tc>
        <w:tc>
          <w:tcPr>
            <w:tcW w:w="1048" w:type="dxa"/>
            <w:vAlign w:val="center"/>
          </w:tcPr>
          <w:p w14:paraId="7D749BCD">
            <w:pPr>
              <w:pStyle w:val="19"/>
              <w:spacing w:line="240" w:lineRule="auto"/>
              <w:ind w:firstLine="0"/>
              <w:jc w:val="center"/>
              <w:rPr>
                <w:sz w:val="21"/>
                <w:szCs w:val="21"/>
                <w:u w:val="single"/>
              </w:rPr>
            </w:pPr>
            <w:r>
              <w:rPr>
                <w:sz w:val="21"/>
                <w:szCs w:val="21"/>
                <w:u w:val="single"/>
              </w:rPr>
              <w:t>——</w:t>
            </w:r>
          </w:p>
        </w:tc>
      </w:tr>
      <w:tr w14:paraId="5561F6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0DDB7B3C">
            <w:pPr>
              <w:pStyle w:val="19"/>
              <w:spacing w:line="240" w:lineRule="auto"/>
              <w:ind w:firstLine="0"/>
              <w:jc w:val="center"/>
              <w:rPr>
                <w:sz w:val="21"/>
                <w:szCs w:val="21"/>
                <w:u w:val="single"/>
              </w:rPr>
            </w:pPr>
            <w:r>
              <w:rPr>
                <w:sz w:val="21"/>
                <w:szCs w:val="21"/>
                <w:u w:val="single"/>
              </w:rPr>
              <w:t>PM</w:t>
            </w:r>
            <w:r>
              <w:rPr>
                <w:sz w:val="21"/>
                <w:szCs w:val="21"/>
                <w:u w:val="single"/>
                <w:vertAlign w:val="subscript"/>
              </w:rPr>
              <w:t>2.5</w:t>
            </w:r>
          </w:p>
        </w:tc>
        <w:tc>
          <w:tcPr>
            <w:tcW w:w="2209" w:type="dxa"/>
            <w:vMerge w:val="continue"/>
            <w:vAlign w:val="center"/>
          </w:tcPr>
          <w:p w14:paraId="3237E0A0">
            <w:pPr>
              <w:pStyle w:val="19"/>
              <w:spacing w:line="240" w:lineRule="auto"/>
              <w:ind w:firstLine="0"/>
              <w:jc w:val="center"/>
              <w:rPr>
                <w:sz w:val="21"/>
                <w:szCs w:val="21"/>
                <w:u w:val="single"/>
              </w:rPr>
            </w:pPr>
          </w:p>
        </w:tc>
        <w:tc>
          <w:tcPr>
            <w:tcW w:w="1323" w:type="dxa"/>
            <w:vAlign w:val="center"/>
          </w:tcPr>
          <w:p w14:paraId="08FEC9F2">
            <w:pPr>
              <w:pStyle w:val="19"/>
              <w:spacing w:line="240" w:lineRule="auto"/>
              <w:ind w:firstLine="0"/>
              <w:jc w:val="center"/>
              <w:rPr>
                <w:sz w:val="21"/>
                <w:szCs w:val="21"/>
                <w:u w:val="single"/>
              </w:rPr>
            </w:pPr>
            <w:r>
              <w:rPr>
                <w:sz w:val="21"/>
                <w:szCs w:val="21"/>
                <w:u w:val="single"/>
              </w:rPr>
              <w:t>——</w:t>
            </w:r>
          </w:p>
        </w:tc>
        <w:tc>
          <w:tcPr>
            <w:tcW w:w="1282" w:type="dxa"/>
            <w:vAlign w:val="center"/>
          </w:tcPr>
          <w:p w14:paraId="6F5BAC48">
            <w:pPr>
              <w:tabs>
                <w:tab w:val="left" w:pos="1021"/>
              </w:tabs>
              <w:spacing w:line="240" w:lineRule="auto"/>
              <w:jc w:val="center"/>
              <w:rPr>
                <w:sz w:val="21"/>
                <w:szCs w:val="21"/>
                <w:u w:val="single"/>
              </w:rPr>
            </w:pPr>
            <w:r>
              <w:rPr>
                <w:sz w:val="21"/>
                <w:szCs w:val="21"/>
                <w:u w:val="single"/>
              </w:rPr>
              <w:t>——</w:t>
            </w:r>
          </w:p>
        </w:tc>
        <w:tc>
          <w:tcPr>
            <w:tcW w:w="1653" w:type="dxa"/>
            <w:vAlign w:val="center"/>
          </w:tcPr>
          <w:p w14:paraId="5071F581">
            <w:pPr>
              <w:pStyle w:val="19"/>
              <w:spacing w:line="240" w:lineRule="auto"/>
              <w:ind w:firstLine="0"/>
              <w:jc w:val="center"/>
              <w:rPr>
                <w:sz w:val="21"/>
                <w:szCs w:val="21"/>
                <w:u w:val="single"/>
              </w:rPr>
            </w:pPr>
            <w:r>
              <w:rPr>
                <w:rFonts w:hint="eastAsia"/>
                <w:sz w:val="21"/>
                <w:szCs w:val="21"/>
                <w:u w:val="single"/>
                <w:lang w:val="en-US" w:eastAsia="zh-CN"/>
              </w:rPr>
              <w:t>60</w:t>
            </w:r>
            <w:r>
              <w:rPr>
                <w:sz w:val="21"/>
                <w:szCs w:val="21"/>
                <w:u w:val="single"/>
              </w:rPr>
              <w:t>μg/m</w:t>
            </w:r>
            <w:r>
              <w:rPr>
                <w:sz w:val="21"/>
                <w:szCs w:val="21"/>
                <w:u w:val="single"/>
                <w:vertAlign w:val="superscript"/>
              </w:rPr>
              <w:t>3</w:t>
            </w:r>
          </w:p>
        </w:tc>
        <w:tc>
          <w:tcPr>
            <w:tcW w:w="1048" w:type="dxa"/>
            <w:vAlign w:val="center"/>
          </w:tcPr>
          <w:p w14:paraId="2443BC40">
            <w:pPr>
              <w:pStyle w:val="19"/>
              <w:spacing w:line="240" w:lineRule="auto"/>
              <w:ind w:firstLine="0"/>
              <w:jc w:val="center"/>
              <w:rPr>
                <w:sz w:val="21"/>
                <w:szCs w:val="21"/>
                <w:u w:val="single"/>
              </w:rPr>
            </w:pPr>
            <w:r>
              <w:rPr>
                <w:rFonts w:hint="eastAsia"/>
                <w:sz w:val="21"/>
                <w:szCs w:val="21"/>
                <w:u w:val="single"/>
                <w:lang w:val="en-US" w:eastAsia="zh-CN"/>
              </w:rPr>
              <w:t>30</w:t>
            </w:r>
            <w:r>
              <w:rPr>
                <w:sz w:val="21"/>
                <w:szCs w:val="21"/>
                <w:u w:val="single"/>
              </w:rPr>
              <w:t>μg/m</w:t>
            </w:r>
            <w:r>
              <w:rPr>
                <w:sz w:val="21"/>
                <w:szCs w:val="21"/>
                <w:u w:val="single"/>
                <w:vertAlign w:val="superscript"/>
              </w:rPr>
              <w:t>3</w:t>
            </w:r>
          </w:p>
        </w:tc>
      </w:tr>
      <w:tr w14:paraId="5C1AEC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5D1CCF5B">
            <w:pPr>
              <w:pStyle w:val="19"/>
              <w:spacing w:line="240" w:lineRule="auto"/>
              <w:ind w:firstLine="0"/>
              <w:jc w:val="center"/>
              <w:rPr>
                <w:sz w:val="21"/>
                <w:szCs w:val="21"/>
                <w:u w:val="single"/>
              </w:rPr>
            </w:pPr>
            <w:r>
              <w:rPr>
                <w:sz w:val="21"/>
                <w:szCs w:val="21"/>
                <w:u w:val="single"/>
              </w:rPr>
              <w:t>TSP</w:t>
            </w:r>
          </w:p>
        </w:tc>
        <w:tc>
          <w:tcPr>
            <w:tcW w:w="2209" w:type="dxa"/>
            <w:vMerge w:val="continue"/>
            <w:vAlign w:val="center"/>
          </w:tcPr>
          <w:p w14:paraId="160703D2">
            <w:pPr>
              <w:pStyle w:val="19"/>
              <w:spacing w:line="240" w:lineRule="auto"/>
              <w:ind w:firstLine="0"/>
              <w:jc w:val="center"/>
              <w:rPr>
                <w:sz w:val="21"/>
                <w:szCs w:val="21"/>
                <w:u w:val="single"/>
              </w:rPr>
            </w:pPr>
          </w:p>
        </w:tc>
        <w:tc>
          <w:tcPr>
            <w:tcW w:w="1323" w:type="dxa"/>
            <w:vAlign w:val="center"/>
          </w:tcPr>
          <w:p w14:paraId="6E89A3B9">
            <w:pPr>
              <w:pStyle w:val="19"/>
              <w:spacing w:line="240" w:lineRule="auto"/>
              <w:ind w:firstLine="0"/>
              <w:jc w:val="center"/>
              <w:rPr>
                <w:sz w:val="21"/>
                <w:szCs w:val="21"/>
                <w:u w:val="single"/>
              </w:rPr>
            </w:pPr>
            <w:r>
              <w:rPr>
                <w:sz w:val="21"/>
                <w:szCs w:val="21"/>
                <w:u w:val="single"/>
              </w:rPr>
              <w:t>——</w:t>
            </w:r>
          </w:p>
        </w:tc>
        <w:tc>
          <w:tcPr>
            <w:tcW w:w="1282" w:type="dxa"/>
            <w:vAlign w:val="center"/>
          </w:tcPr>
          <w:p w14:paraId="70A7B9B9">
            <w:pPr>
              <w:tabs>
                <w:tab w:val="left" w:pos="1021"/>
              </w:tabs>
              <w:spacing w:line="240" w:lineRule="auto"/>
              <w:jc w:val="center"/>
              <w:rPr>
                <w:sz w:val="21"/>
                <w:szCs w:val="21"/>
                <w:u w:val="single"/>
              </w:rPr>
            </w:pPr>
            <w:r>
              <w:rPr>
                <w:sz w:val="21"/>
                <w:szCs w:val="21"/>
                <w:u w:val="single"/>
              </w:rPr>
              <w:t>——</w:t>
            </w:r>
          </w:p>
        </w:tc>
        <w:tc>
          <w:tcPr>
            <w:tcW w:w="1653" w:type="dxa"/>
            <w:vAlign w:val="center"/>
          </w:tcPr>
          <w:p w14:paraId="42018CAC">
            <w:pPr>
              <w:pStyle w:val="19"/>
              <w:spacing w:line="240" w:lineRule="auto"/>
              <w:ind w:firstLine="0"/>
              <w:jc w:val="center"/>
              <w:rPr>
                <w:sz w:val="21"/>
                <w:szCs w:val="21"/>
                <w:u w:val="single"/>
              </w:rPr>
            </w:pPr>
            <w:r>
              <w:rPr>
                <w:sz w:val="21"/>
                <w:szCs w:val="21"/>
                <w:u w:val="single"/>
              </w:rPr>
              <w:t>300μg/m</w:t>
            </w:r>
            <w:r>
              <w:rPr>
                <w:sz w:val="21"/>
                <w:szCs w:val="21"/>
                <w:u w:val="single"/>
                <w:vertAlign w:val="superscript"/>
              </w:rPr>
              <w:t>3</w:t>
            </w:r>
          </w:p>
        </w:tc>
        <w:tc>
          <w:tcPr>
            <w:tcW w:w="1048" w:type="dxa"/>
            <w:vAlign w:val="center"/>
          </w:tcPr>
          <w:p w14:paraId="155951C8">
            <w:pPr>
              <w:pStyle w:val="19"/>
              <w:spacing w:line="240" w:lineRule="auto"/>
              <w:ind w:firstLine="0"/>
              <w:jc w:val="center"/>
              <w:rPr>
                <w:sz w:val="21"/>
                <w:szCs w:val="21"/>
                <w:u w:val="single"/>
              </w:rPr>
            </w:pPr>
            <w:r>
              <w:rPr>
                <w:sz w:val="21"/>
                <w:szCs w:val="21"/>
                <w:u w:val="single"/>
              </w:rPr>
              <w:t>200μg/m</w:t>
            </w:r>
            <w:r>
              <w:rPr>
                <w:sz w:val="21"/>
                <w:szCs w:val="21"/>
                <w:u w:val="single"/>
                <w:vertAlign w:val="superscript"/>
              </w:rPr>
              <w:t>3</w:t>
            </w:r>
          </w:p>
        </w:tc>
      </w:tr>
      <w:tr w14:paraId="15BB5D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012" w:type="dxa"/>
            <w:vAlign w:val="center"/>
          </w:tcPr>
          <w:p w14:paraId="10DC3582">
            <w:pPr>
              <w:pStyle w:val="19"/>
              <w:spacing w:line="240" w:lineRule="auto"/>
              <w:ind w:firstLine="0"/>
              <w:jc w:val="center"/>
              <w:rPr>
                <w:sz w:val="21"/>
                <w:szCs w:val="21"/>
              </w:rPr>
            </w:pPr>
            <w:r>
              <w:rPr>
                <w:rFonts w:hint="eastAsia"/>
                <w:sz w:val="21"/>
                <w:szCs w:val="21"/>
              </w:rPr>
              <w:t>TVOC</w:t>
            </w:r>
          </w:p>
        </w:tc>
        <w:tc>
          <w:tcPr>
            <w:tcW w:w="2209" w:type="dxa"/>
            <w:vAlign w:val="center"/>
          </w:tcPr>
          <w:p w14:paraId="16C03590">
            <w:pPr>
              <w:pStyle w:val="19"/>
              <w:spacing w:line="240" w:lineRule="auto"/>
              <w:ind w:firstLine="0"/>
              <w:jc w:val="center"/>
              <w:rPr>
                <w:sz w:val="21"/>
                <w:szCs w:val="21"/>
              </w:rPr>
            </w:pPr>
            <w:r>
              <w:rPr>
                <w:sz w:val="21"/>
                <w:szCs w:val="21"/>
              </w:rPr>
              <w:t>《环境影响评价技术导则大气环境》（HJ2.2-2018）附录D</w:t>
            </w:r>
          </w:p>
        </w:tc>
        <w:tc>
          <w:tcPr>
            <w:tcW w:w="1323" w:type="dxa"/>
            <w:vAlign w:val="center"/>
          </w:tcPr>
          <w:p w14:paraId="40772732">
            <w:pPr>
              <w:pStyle w:val="19"/>
              <w:spacing w:line="240" w:lineRule="auto"/>
              <w:ind w:firstLine="0"/>
              <w:jc w:val="center"/>
              <w:rPr>
                <w:sz w:val="21"/>
                <w:szCs w:val="21"/>
              </w:rPr>
            </w:pPr>
            <w:r>
              <w:rPr>
                <w:sz w:val="21"/>
                <w:szCs w:val="21"/>
              </w:rPr>
              <w:t>——</w:t>
            </w:r>
          </w:p>
        </w:tc>
        <w:tc>
          <w:tcPr>
            <w:tcW w:w="1282" w:type="dxa"/>
            <w:vAlign w:val="center"/>
          </w:tcPr>
          <w:p w14:paraId="12B4C431">
            <w:pPr>
              <w:pStyle w:val="19"/>
              <w:spacing w:line="240" w:lineRule="auto"/>
              <w:ind w:firstLine="0"/>
              <w:jc w:val="center"/>
              <w:rPr>
                <w:sz w:val="21"/>
                <w:szCs w:val="21"/>
              </w:rPr>
            </w:pPr>
            <w:r>
              <w:rPr>
                <w:rFonts w:hint="eastAsia"/>
                <w:sz w:val="21"/>
                <w:szCs w:val="21"/>
              </w:rPr>
              <w:t>600</w:t>
            </w:r>
            <w:r>
              <w:rPr>
                <w:sz w:val="21"/>
                <w:szCs w:val="21"/>
              </w:rPr>
              <w:t>μg/m</w:t>
            </w:r>
            <w:r>
              <w:rPr>
                <w:sz w:val="21"/>
                <w:szCs w:val="21"/>
                <w:vertAlign w:val="superscript"/>
              </w:rPr>
              <w:t>3</w:t>
            </w:r>
          </w:p>
        </w:tc>
        <w:tc>
          <w:tcPr>
            <w:tcW w:w="1653" w:type="dxa"/>
            <w:vAlign w:val="center"/>
          </w:tcPr>
          <w:p w14:paraId="5129C6D3">
            <w:pPr>
              <w:pStyle w:val="19"/>
              <w:spacing w:line="240" w:lineRule="auto"/>
              <w:ind w:firstLine="0"/>
              <w:jc w:val="center"/>
              <w:rPr>
                <w:sz w:val="21"/>
                <w:szCs w:val="21"/>
              </w:rPr>
            </w:pPr>
            <w:r>
              <w:rPr>
                <w:sz w:val="21"/>
                <w:szCs w:val="21"/>
              </w:rPr>
              <w:t>——</w:t>
            </w:r>
          </w:p>
        </w:tc>
        <w:tc>
          <w:tcPr>
            <w:tcW w:w="1048" w:type="dxa"/>
            <w:vAlign w:val="center"/>
          </w:tcPr>
          <w:p w14:paraId="5356D160">
            <w:pPr>
              <w:pStyle w:val="19"/>
              <w:spacing w:line="240" w:lineRule="auto"/>
              <w:ind w:firstLine="0"/>
              <w:jc w:val="center"/>
              <w:rPr>
                <w:sz w:val="21"/>
                <w:szCs w:val="21"/>
              </w:rPr>
            </w:pPr>
            <w:r>
              <w:rPr>
                <w:sz w:val="21"/>
                <w:szCs w:val="21"/>
              </w:rPr>
              <w:t>——</w:t>
            </w:r>
          </w:p>
        </w:tc>
      </w:tr>
    </w:tbl>
    <w:p w14:paraId="12BBB20A">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2.6.2.2</w:t>
      </w:r>
      <w:r>
        <w:rPr>
          <w:rFonts w:hint="eastAsia" w:ascii="Times New Roman" w:hAnsi="Times New Roman"/>
        </w:rPr>
        <w:t>地表水环境</w:t>
      </w:r>
    </w:p>
    <w:p w14:paraId="72029E44">
      <w:pPr>
        <w:ind w:firstLine="480"/>
      </w:pPr>
      <w:r>
        <w:t>项目评价区域水系为湘江，易俗河水厂、五星（一水厂）评价断面均执行《地表水环境质量标准》（GB3838-2002）中III类</w:t>
      </w:r>
      <w:r>
        <w:rPr>
          <w:rFonts w:hint="eastAsia"/>
        </w:rPr>
        <w:t>、Ⅱ类</w:t>
      </w:r>
      <w:r>
        <w:t>标准。</w:t>
      </w:r>
    </w:p>
    <w:p w14:paraId="1A3A6561">
      <w:pPr>
        <w:pStyle w:val="51"/>
        <w:numPr>
          <w:ilvl w:val="5"/>
          <w:numId w:val="0"/>
        </w:numPr>
        <w:spacing w:before="0" w:beforeLines="0" w:line="360" w:lineRule="auto"/>
        <w:ind w:left="305" w:leftChars="0" w:hanging="3260" w:firstLineChars="0"/>
        <w:rPr>
          <w:sz w:val="18"/>
          <w:szCs w:val="18"/>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表2.6-3 </w:t>
      </w:r>
      <w:r>
        <w:rPr>
          <w:rFonts w:hint="eastAsia" w:ascii="宋体" w:hAnsi="宋体" w:cs="宋体"/>
          <w:b/>
          <w:bCs/>
          <w:color w:val="auto"/>
          <w:kern w:val="2"/>
          <w:sz w:val="21"/>
          <w:szCs w:val="21"/>
          <w:lang w:val="en-US" w:eastAsia="zh-CN" w:bidi="ar-SA"/>
        </w:rPr>
        <w:t xml:space="preserve">     </w:t>
      </w:r>
      <w:r>
        <w:rPr>
          <w:rFonts w:hint="eastAsia"/>
        </w:rPr>
        <w:t xml:space="preserve">地表水环境质量标准     </w:t>
      </w:r>
      <w:r>
        <w:rPr>
          <w:rFonts w:hint="eastAsia"/>
          <w:sz w:val="18"/>
          <w:szCs w:val="18"/>
        </w:rPr>
        <w:t>单位：mg/L（pH无量纲）</w:t>
      </w:r>
    </w:p>
    <w:tbl>
      <w:tblPr>
        <w:tblStyle w:val="31"/>
        <w:tblW w:w="852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3"/>
        <w:gridCol w:w="743"/>
        <w:gridCol w:w="937"/>
        <w:gridCol w:w="952"/>
        <w:gridCol w:w="993"/>
        <w:gridCol w:w="807"/>
        <w:gridCol w:w="807"/>
        <w:gridCol w:w="1054"/>
        <w:gridCol w:w="1491"/>
      </w:tblGrid>
      <w:tr w14:paraId="27C30C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6" w:type="pct"/>
            <w:vAlign w:val="center"/>
          </w:tcPr>
          <w:p w14:paraId="1727A12C">
            <w:pPr>
              <w:pStyle w:val="19"/>
              <w:spacing w:line="240" w:lineRule="auto"/>
              <w:ind w:firstLine="0"/>
              <w:jc w:val="center"/>
              <w:rPr>
                <w:sz w:val="21"/>
                <w:szCs w:val="21"/>
              </w:rPr>
            </w:pPr>
            <w:r>
              <w:rPr>
                <w:rFonts w:hint="eastAsia"/>
                <w:sz w:val="21"/>
                <w:szCs w:val="21"/>
              </w:rPr>
              <w:t>分类</w:t>
            </w:r>
          </w:p>
        </w:tc>
        <w:tc>
          <w:tcPr>
            <w:tcW w:w="436" w:type="pct"/>
            <w:vAlign w:val="center"/>
          </w:tcPr>
          <w:p w14:paraId="1737093B">
            <w:pPr>
              <w:pStyle w:val="19"/>
              <w:spacing w:line="240" w:lineRule="auto"/>
              <w:ind w:firstLine="0"/>
              <w:jc w:val="center"/>
              <w:rPr>
                <w:sz w:val="21"/>
                <w:szCs w:val="21"/>
              </w:rPr>
            </w:pPr>
            <w:r>
              <w:rPr>
                <w:rFonts w:hint="eastAsia"/>
                <w:sz w:val="21"/>
                <w:szCs w:val="21"/>
              </w:rPr>
              <w:t>pH</w:t>
            </w:r>
          </w:p>
        </w:tc>
        <w:tc>
          <w:tcPr>
            <w:tcW w:w="550" w:type="pct"/>
            <w:vAlign w:val="center"/>
          </w:tcPr>
          <w:p w14:paraId="06933196">
            <w:pPr>
              <w:pStyle w:val="19"/>
              <w:spacing w:line="240" w:lineRule="auto"/>
              <w:ind w:firstLine="0"/>
              <w:jc w:val="center"/>
              <w:rPr>
                <w:sz w:val="21"/>
                <w:szCs w:val="21"/>
              </w:rPr>
            </w:pPr>
            <w:r>
              <w:rPr>
                <w:rFonts w:hint="eastAsia"/>
                <w:sz w:val="21"/>
                <w:szCs w:val="21"/>
              </w:rPr>
              <w:t>COD</w:t>
            </w:r>
          </w:p>
        </w:tc>
        <w:tc>
          <w:tcPr>
            <w:tcW w:w="558" w:type="pct"/>
            <w:vAlign w:val="center"/>
          </w:tcPr>
          <w:p w14:paraId="4457686F">
            <w:pPr>
              <w:pStyle w:val="19"/>
              <w:spacing w:line="240" w:lineRule="auto"/>
              <w:ind w:firstLine="0"/>
              <w:jc w:val="center"/>
              <w:rPr>
                <w:sz w:val="21"/>
                <w:szCs w:val="21"/>
              </w:rPr>
            </w:pPr>
            <w:r>
              <w:rPr>
                <w:rFonts w:hint="eastAsia"/>
                <w:sz w:val="21"/>
                <w:szCs w:val="21"/>
              </w:rPr>
              <w:t>NH</w:t>
            </w:r>
            <w:r>
              <w:rPr>
                <w:rFonts w:hint="eastAsia"/>
                <w:sz w:val="21"/>
                <w:szCs w:val="21"/>
                <w:vertAlign w:val="subscript"/>
              </w:rPr>
              <w:t>3</w:t>
            </w:r>
            <w:r>
              <w:rPr>
                <w:rFonts w:hint="eastAsia"/>
                <w:sz w:val="21"/>
                <w:szCs w:val="21"/>
              </w:rPr>
              <w:t>-N</w:t>
            </w:r>
          </w:p>
        </w:tc>
        <w:tc>
          <w:tcPr>
            <w:tcW w:w="582" w:type="pct"/>
            <w:vAlign w:val="center"/>
          </w:tcPr>
          <w:p w14:paraId="483B0A45">
            <w:pPr>
              <w:pStyle w:val="19"/>
              <w:spacing w:line="240" w:lineRule="auto"/>
              <w:ind w:firstLine="0"/>
              <w:jc w:val="center"/>
              <w:rPr>
                <w:sz w:val="21"/>
                <w:szCs w:val="21"/>
              </w:rPr>
            </w:pPr>
            <w:r>
              <w:rPr>
                <w:rFonts w:hint="eastAsia"/>
                <w:sz w:val="21"/>
                <w:szCs w:val="21"/>
              </w:rPr>
              <w:t>石油类</w:t>
            </w:r>
          </w:p>
        </w:tc>
        <w:tc>
          <w:tcPr>
            <w:tcW w:w="473" w:type="pct"/>
            <w:vAlign w:val="center"/>
          </w:tcPr>
          <w:p w14:paraId="6B70F045">
            <w:pPr>
              <w:pStyle w:val="19"/>
              <w:spacing w:line="240" w:lineRule="auto"/>
              <w:ind w:firstLine="0"/>
              <w:jc w:val="center"/>
              <w:rPr>
                <w:sz w:val="21"/>
                <w:szCs w:val="21"/>
              </w:rPr>
            </w:pPr>
            <w:r>
              <w:rPr>
                <w:rFonts w:hint="eastAsia"/>
                <w:sz w:val="21"/>
                <w:szCs w:val="21"/>
              </w:rPr>
              <w:t>TN</w:t>
            </w:r>
          </w:p>
        </w:tc>
        <w:tc>
          <w:tcPr>
            <w:tcW w:w="473" w:type="pct"/>
            <w:vAlign w:val="center"/>
          </w:tcPr>
          <w:p w14:paraId="10F4A370">
            <w:pPr>
              <w:pStyle w:val="19"/>
              <w:spacing w:line="240" w:lineRule="auto"/>
              <w:ind w:firstLine="0"/>
              <w:jc w:val="center"/>
              <w:rPr>
                <w:sz w:val="21"/>
                <w:szCs w:val="21"/>
              </w:rPr>
            </w:pPr>
            <w:r>
              <w:rPr>
                <w:rFonts w:hint="eastAsia"/>
                <w:sz w:val="21"/>
                <w:szCs w:val="21"/>
              </w:rPr>
              <w:t>TP</w:t>
            </w:r>
          </w:p>
        </w:tc>
        <w:tc>
          <w:tcPr>
            <w:tcW w:w="618" w:type="pct"/>
            <w:vAlign w:val="center"/>
          </w:tcPr>
          <w:p w14:paraId="483BE825">
            <w:pPr>
              <w:pStyle w:val="19"/>
              <w:spacing w:line="240" w:lineRule="auto"/>
              <w:ind w:firstLine="0"/>
              <w:jc w:val="center"/>
              <w:rPr>
                <w:sz w:val="21"/>
                <w:szCs w:val="21"/>
              </w:rPr>
            </w:pPr>
            <w:r>
              <w:rPr>
                <w:rFonts w:hint="eastAsia"/>
                <w:sz w:val="21"/>
                <w:szCs w:val="21"/>
              </w:rPr>
              <w:t>挥发酚</w:t>
            </w:r>
          </w:p>
        </w:tc>
        <w:tc>
          <w:tcPr>
            <w:tcW w:w="870" w:type="pct"/>
            <w:vAlign w:val="center"/>
          </w:tcPr>
          <w:p w14:paraId="4DBFBA1B">
            <w:pPr>
              <w:pStyle w:val="19"/>
              <w:spacing w:line="240" w:lineRule="auto"/>
              <w:ind w:firstLine="0"/>
              <w:jc w:val="center"/>
              <w:rPr>
                <w:sz w:val="21"/>
                <w:szCs w:val="21"/>
              </w:rPr>
            </w:pPr>
            <w:r>
              <w:rPr>
                <w:rFonts w:hint="eastAsia"/>
                <w:sz w:val="21"/>
                <w:szCs w:val="21"/>
              </w:rPr>
              <w:t>粪大肠菌群</w:t>
            </w:r>
          </w:p>
        </w:tc>
      </w:tr>
      <w:tr w14:paraId="789876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6" w:type="pct"/>
            <w:tcBorders>
              <w:bottom w:val="single" w:color="000000" w:sz="8" w:space="0"/>
            </w:tcBorders>
            <w:vAlign w:val="center"/>
          </w:tcPr>
          <w:p w14:paraId="0176553B">
            <w:pPr>
              <w:pStyle w:val="19"/>
              <w:spacing w:line="240" w:lineRule="auto"/>
              <w:ind w:firstLine="0"/>
              <w:jc w:val="center"/>
              <w:rPr>
                <w:sz w:val="21"/>
                <w:szCs w:val="21"/>
              </w:rPr>
            </w:pPr>
            <w:r>
              <w:rPr>
                <w:sz w:val="21"/>
                <w:szCs w:val="21"/>
              </w:rPr>
              <w:t>III类</w:t>
            </w:r>
          </w:p>
        </w:tc>
        <w:tc>
          <w:tcPr>
            <w:tcW w:w="436" w:type="pct"/>
            <w:tcBorders>
              <w:bottom w:val="single" w:color="000000" w:sz="8" w:space="0"/>
            </w:tcBorders>
            <w:vAlign w:val="center"/>
          </w:tcPr>
          <w:p w14:paraId="566D0B3B">
            <w:pPr>
              <w:pStyle w:val="19"/>
              <w:spacing w:line="240" w:lineRule="auto"/>
              <w:ind w:firstLine="0"/>
              <w:jc w:val="center"/>
              <w:rPr>
                <w:sz w:val="21"/>
                <w:szCs w:val="21"/>
              </w:rPr>
            </w:pPr>
            <w:r>
              <w:rPr>
                <w:rFonts w:hint="eastAsia"/>
                <w:sz w:val="21"/>
                <w:szCs w:val="21"/>
              </w:rPr>
              <w:t>6～9</w:t>
            </w:r>
          </w:p>
        </w:tc>
        <w:tc>
          <w:tcPr>
            <w:tcW w:w="550" w:type="pct"/>
            <w:vAlign w:val="center"/>
          </w:tcPr>
          <w:p w14:paraId="3A04CE09">
            <w:pPr>
              <w:pStyle w:val="19"/>
              <w:spacing w:line="240" w:lineRule="auto"/>
              <w:ind w:firstLine="0"/>
              <w:jc w:val="center"/>
              <w:rPr>
                <w:sz w:val="21"/>
                <w:szCs w:val="21"/>
              </w:rPr>
            </w:pPr>
            <w:r>
              <w:rPr>
                <w:rFonts w:hint="eastAsia"/>
                <w:sz w:val="21"/>
                <w:szCs w:val="21"/>
              </w:rPr>
              <w:t>≤20</w:t>
            </w:r>
          </w:p>
        </w:tc>
        <w:tc>
          <w:tcPr>
            <w:tcW w:w="558" w:type="pct"/>
            <w:vAlign w:val="center"/>
          </w:tcPr>
          <w:p w14:paraId="157D6112">
            <w:pPr>
              <w:pStyle w:val="19"/>
              <w:spacing w:line="240" w:lineRule="auto"/>
              <w:ind w:firstLine="0"/>
              <w:jc w:val="center"/>
              <w:rPr>
                <w:sz w:val="21"/>
                <w:szCs w:val="21"/>
              </w:rPr>
            </w:pPr>
            <w:r>
              <w:rPr>
                <w:rFonts w:hint="eastAsia"/>
                <w:sz w:val="21"/>
                <w:szCs w:val="21"/>
              </w:rPr>
              <w:t>≤1.0</w:t>
            </w:r>
          </w:p>
        </w:tc>
        <w:tc>
          <w:tcPr>
            <w:tcW w:w="582" w:type="pct"/>
            <w:vAlign w:val="center"/>
          </w:tcPr>
          <w:p w14:paraId="5F64F3F9">
            <w:pPr>
              <w:pStyle w:val="19"/>
              <w:spacing w:line="240" w:lineRule="auto"/>
              <w:ind w:firstLine="0"/>
              <w:jc w:val="center"/>
              <w:rPr>
                <w:sz w:val="21"/>
                <w:szCs w:val="21"/>
              </w:rPr>
            </w:pPr>
            <w:r>
              <w:rPr>
                <w:rFonts w:hint="eastAsia"/>
                <w:sz w:val="21"/>
                <w:szCs w:val="21"/>
              </w:rPr>
              <w:t>≤0.05</w:t>
            </w:r>
          </w:p>
        </w:tc>
        <w:tc>
          <w:tcPr>
            <w:tcW w:w="473" w:type="pct"/>
            <w:vAlign w:val="center"/>
          </w:tcPr>
          <w:p w14:paraId="52F8F1EF">
            <w:pPr>
              <w:pStyle w:val="19"/>
              <w:spacing w:line="240" w:lineRule="auto"/>
              <w:ind w:firstLine="0"/>
              <w:jc w:val="center"/>
              <w:rPr>
                <w:sz w:val="21"/>
                <w:szCs w:val="21"/>
              </w:rPr>
            </w:pPr>
            <w:r>
              <w:rPr>
                <w:rFonts w:hint="eastAsia"/>
                <w:sz w:val="21"/>
                <w:szCs w:val="21"/>
              </w:rPr>
              <w:t>≤1.0</w:t>
            </w:r>
          </w:p>
        </w:tc>
        <w:tc>
          <w:tcPr>
            <w:tcW w:w="473" w:type="pct"/>
            <w:vAlign w:val="center"/>
          </w:tcPr>
          <w:p w14:paraId="6230E403">
            <w:pPr>
              <w:pStyle w:val="19"/>
              <w:spacing w:line="240" w:lineRule="auto"/>
              <w:ind w:firstLine="0"/>
              <w:jc w:val="center"/>
              <w:rPr>
                <w:sz w:val="21"/>
                <w:szCs w:val="21"/>
              </w:rPr>
            </w:pPr>
            <w:r>
              <w:rPr>
                <w:rFonts w:hint="eastAsia"/>
                <w:sz w:val="21"/>
                <w:szCs w:val="21"/>
              </w:rPr>
              <w:t>≤0.2</w:t>
            </w:r>
          </w:p>
        </w:tc>
        <w:tc>
          <w:tcPr>
            <w:tcW w:w="618" w:type="pct"/>
            <w:vAlign w:val="center"/>
          </w:tcPr>
          <w:p w14:paraId="5EE07587">
            <w:pPr>
              <w:pStyle w:val="19"/>
              <w:spacing w:line="240" w:lineRule="auto"/>
              <w:ind w:firstLine="0"/>
              <w:jc w:val="center"/>
              <w:rPr>
                <w:sz w:val="21"/>
                <w:szCs w:val="21"/>
              </w:rPr>
            </w:pPr>
            <w:r>
              <w:rPr>
                <w:rFonts w:hint="eastAsia"/>
                <w:sz w:val="21"/>
                <w:szCs w:val="21"/>
              </w:rPr>
              <w:t>≤0.005</w:t>
            </w:r>
          </w:p>
        </w:tc>
        <w:tc>
          <w:tcPr>
            <w:tcW w:w="870" w:type="pct"/>
            <w:vAlign w:val="center"/>
          </w:tcPr>
          <w:p w14:paraId="4330CE5D">
            <w:pPr>
              <w:pStyle w:val="19"/>
              <w:spacing w:line="240" w:lineRule="auto"/>
              <w:ind w:firstLine="0"/>
              <w:jc w:val="center"/>
              <w:rPr>
                <w:sz w:val="21"/>
                <w:szCs w:val="21"/>
              </w:rPr>
            </w:pPr>
            <w:r>
              <w:rPr>
                <w:rFonts w:hint="eastAsia"/>
                <w:sz w:val="21"/>
                <w:szCs w:val="21"/>
              </w:rPr>
              <w:t>≤10000</w:t>
            </w:r>
          </w:p>
        </w:tc>
      </w:tr>
      <w:tr w14:paraId="21A7A4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6" w:type="pct"/>
            <w:tcBorders>
              <w:top w:val="single" w:color="000000" w:sz="8" w:space="0"/>
              <w:bottom w:val="single" w:color="000000" w:sz="8" w:space="0"/>
            </w:tcBorders>
            <w:vAlign w:val="center"/>
          </w:tcPr>
          <w:p w14:paraId="7BE5545D">
            <w:pPr>
              <w:pStyle w:val="19"/>
              <w:spacing w:line="240" w:lineRule="auto"/>
              <w:ind w:firstLine="0"/>
              <w:jc w:val="center"/>
              <w:rPr>
                <w:sz w:val="21"/>
                <w:szCs w:val="21"/>
              </w:rPr>
            </w:pPr>
            <w:r>
              <w:rPr>
                <w:rFonts w:hint="eastAsia"/>
                <w:sz w:val="21"/>
                <w:szCs w:val="21"/>
              </w:rPr>
              <w:t>Ⅱ</w:t>
            </w:r>
            <w:r>
              <w:rPr>
                <w:sz w:val="21"/>
                <w:szCs w:val="21"/>
              </w:rPr>
              <w:t>类</w:t>
            </w:r>
          </w:p>
        </w:tc>
        <w:tc>
          <w:tcPr>
            <w:tcW w:w="436" w:type="pct"/>
            <w:tcBorders>
              <w:top w:val="single" w:color="000000" w:sz="8" w:space="0"/>
              <w:bottom w:val="single" w:color="000000" w:sz="8" w:space="0"/>
            </w:tcBorders>
            <w:vAlign w:val="center"/>
          </w:tcPr>
          <w:p w14:paraId="51F5927A">
            <w:pPr>
              <w:pStyle w:val="19"/>
              <w:spacing w:line="240" w:lineRule="auto"/>
              <w:ind w:firstLine="0"/>
              <w:jc w:val="center"/>
              <w:rPr>
                <w:sz w:val="21"/>
                <w:szCs w:val="21"/>
              </w:rPr>
            </w:pPr>
            <w:r>
              <w:rPr>
                <w:rFonts w:hint="eastAsia"/>
                <w:sz w:val="21"/>
                <w:szCs w:val="21"/>
              </w:rPr>
              <w:t>6～9</w:t>
            </w:r>
          </w:p>
        </w:tc>
        <w:tc>
          <w:tcPr>
            <w:tcW w:w="550" w:type="pct"/>
            <w:vAlign w:val="center"/>
          </w:tcPr>
          <w:p w14:paraId="12F75C53">
            <w:pPr>
              <w:pStyle w:val="19"/>
              <w:spacing w:line="240" w:lineRule="auto"/>
              <w:ind w:firstLine="0"/>
              <w:jc w:val="center"/>
              <w:rPr>
                <w:sz w:val="21"/>
                <w:szCs w:val="21"/>
              </w:rPr>
            </w:pPr>
            <w:r>
              <w:rPr>
                <w:rFonts w:hint="eastAsia"/>
                <w:sz w:val="21"/>
                <w:szCs w:val="21"/>
              </w:rPr>
              <w:t>≤15</w:t>
            </w:r>
          </w:p>
        </w:tc>
        <w:tc>
          <w:tcPr>
            <w:tcW w:w="558" w:type="pct"/>
            <w:vAlign w:val="center"/>
          </w:tcPr>
          <w:p w14:paraId="0A031F57">
            <w:pPr>
              <w:pStyle w:val="19"/>
              <w:spacing w:line="240" w:lineRule="auto"/>
              <w:ind w:firstLine="0"/>
              <w:jc w:val="center"/>
              <w:rPr>
                <w:sz w:val="21"/>
                <w:szCs w:val="21"/>
              </w:rPr>
            </w:pPr>
            <w:r>
              <w:rPr>
                <w:rFonts w:hint="eastAsia"/>
                <w:sz w:val="21"/>
                <w:szCs w:val="21"/>
              </w:rPr>
              <w:t>≤0.5</w:t>
            </w:r>
          </w:p>
        </w:tc>
        <w:tc>
          <w:tcPr>
            <w:tcW w:w="582" w:type="pct"/>
            <w:vAlign w:val="center"/>
          </w:tcPr>
          <w:p w14:paraId="00D3939B">
            <w:pPr>
              <w:pStyle w:val="19"/>
              <w:spacing w:line="240" w:lineRule="auto"/>
              <w:ind w:firstLine="0"/>
              <w:jc w:val="center"/>
              <w:rPr>
                <w:sz w:val="21"/>
                <w:szCs w:val="21"/>
              </w:rPr>
            </w:pPr>
            <w:r>
              <w:rPr>
                <w:rFonts w:hint="eastAsia"/>
                <w:sz w:val="21"/>
                <w:szCs w:val="21"/>
              </w:rPr>
              <w:t>≤0.05</w:t>
            </w:r>
          </w:p>
        </w:tc>
        <w:tc>
          <w:tcPr>
            <w:tcW w:w="473" w:type="pct"/>
            <w:vAlign w:val="center"/>
          </w:tcPr>
          <w:p w14:paraId="7F4EE9AB">
            <w:pPr>
              <w:pStyle w:val="19"/>
              <w:spacing w:line="240" w:lineRule="auto"/>
              <w:ind w:firstLine="0"/>
              <w:jc w:val="center"/>
              <w:rPr>
                <w:sz w:val="21"/>
                <w:szCs w:val="21"/>
              </w:rPr>
            </w:pPr>
            <w:r>
              <w:rPr>
                <w:rFonts w:hint="eastAsia"/>
                <w:sz w:val="21"/>
                <w:szCs w:val="21"/>
              </w:rPr>
              <w:t>≤0.5</w:t>
            </w:r>
          </w:p>
        </w:tc>
        <w:tc>
          <w:tcPr>
            <w:tcW w:w="473" w:type="pct"/>
            <w:vAlign w:val="center"/>
          </w:tcPr>
          <w:p w14:paraId="20E9BA90">
            <w:pPr>
              <w:pStyle w:val="19"/>
              <w:spacing w:line="240" w:lineRule="auto"/>
              <w:ind w:firstLine="0"/>
              <w:jc w:val="center"/>
              <w:rPr>
                <w:sz w:val="21"/>
                <w:szCs w:val="21"/>
              </w:rPr>
            </w:pPr>
            <w:r>
              <w:rPr>
                <w:rFonts w:hint="eastAsia"/>
                <w:sz w:val="21"/>
                <w:szCs w:val="21"/>
              </w:rPr>
              <w:t>≤0.1</w:t>
            </w:r>
          </w:p>
        </w:tc>
        <w:tc>
          <w:tcPr>
            <w:tcW w:w="618" w:type="pct"/>
            <w:vAlign w:val="center"/>
          </w:tcPr>
          <w:p w14:paraId="1B6FDD02">
            <w:pPr>
              <w:pStyle w:val="19"/>
              <w:spacing w:line="240" w:lineRule="auto"/>
              <w:ind w:firstLine="0"/>
              <w:jc w:val="center"/>
              <w:rPr>
                <w:sz w:val="21"/>
                <w:szCs w:val="21"/>
              </w:rPr>
            </w:pPr>
            <w:r>
              <w:rPr>
                <w:rFonts w:hint="eastAsia"/>
                <w:sz w:val="21"/>
                <w:szCs w:val="21"/>
              </w:rPr>
              <w:t>≤0.002</w:t>
            </w:r>
          </w:p>
        </w:tc>
        <w:tc>
          <w:tcPr>
            <w:tcW w:w="870" w:type="pct"/>
            <w:vAlign w:val="center"/>
          </w:tcPr>
          <w:p w14:paraId="40AAC89C">
            <w:pPr>
              <w:pStyle w:val="19"/>
              <w:spacing w:line="240" w:lineRule="auto"/>
              <w:ind w:firstLine="0"/>
              <w:jc w:val="center"/>
              <w:rPr>
                <w:sz w:val="21"/>
                <w:szCs w:val="21"/>
              </w:rPr>
            </w:pPr>
            <w:r>
              <w:rPr>
                <w:rFonts w:hint="eastAsia"/>
                <w:sz w:val="21"/>
                <w:szCs w:val="21"/>
              </w:rPr>
              <w:t>≤2000</w:t>
            </w:r>
          </w:p>
        </w:tc>
      </w:tr>
      <w:tr w14:paraId="7F63E9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9"/>
            <w:vAlign w:val="center"/>
          </w:tcPr>
          <w:p w14:paraId="3DA07EFB">
            <w:pPr>
              <w:pStyle w:val="19"/>
              <w:spacing w:line="240" w:lineRule="auto"/>
              <w:ind w:firstLine="0"/>
              <w:jc w:val="center"/>
              <w:rPr>
                <w:sz w:val="21"/>
                <w:szCs w:val="21"/>
              </w:rPr>
            </w:pPr>
            <w:r>
              <w:rPr>
                <w:rFonts w:hint="eastAsia"/>
                <w:sz w:val="21"/>
                <w:szCs w:val="21"/>
              </w:rPr>
              <w:t>GB3838-2002</w:t>
            </w:r>
          </w:p>
        </w:tc>
      </w:tr>
    </w:tbl>
    <w:p w14:paraId="62842B5D">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2.6.2.3</w:t>
      </w:r>
      <w:r>
        <w:rPr>
          <w:rFonts w:hint="eastAsia" w:ascii="Times New Roman" w:hAnsi="Times New Roman"/>
        </w:rPr>
        <w:t>地下水环境质量</w:t>
      </w:r>
    </w:p>
    <w:p w14:paraId="09D26B1A">
      <w:pPr>
        <w:ind w:firstLine="480"/>
      </w:pPr>
      <w:r>
        <w:t>项目评价区域地下水质量现状执行《地下水质量标准》（GB/T 14848-2017）III类标准。</w:t>
      </w:r>
    </w:p>
    <w:p w14:paraId="1E004F43">
      <w:pPr>
        <w:pStyle w:val="38"/>
      </w:pPr>
    </w:p>
    <w:p w14:paraId="1ED89FA9">
      <w:pPr>
        <w:pStyle w:val="51"/>
        <w:numPr>
          <w:ilvl w:val="5"/>
          <w:numId w:val="0"/>
        </w:numPr>
        <w:spacing w:before="0" w:beforeLines="0" w:line="360" w:lineRule="auto"/>
        <w:ind w:left="305" w:leftChars="0" w:hanging="3260" w:firstLineChars="0"/>
        <w:rPr>
          <w:sz w:val="18"/>
          <w:szCs w:val="18"/>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表2.6-4 </w:t>
      </w:r>
      <w:r>
        <w:rPr>
          <w:rFonts w:hint="eastAsia" w:ascii="宋体" w:hAnsi="宋体" w:cs="宋体"/>
          <w:b/>
          <w:bCs/>
          <w:color w:val="auto"/>
          <w:kern w:val="2"/>
          <w:sz w:val="21"/>
          <w:szCs w:val="21"/>
          <w:lang w:val="en-US" w:eastAsia="zh-CN" w:bidi="ar-SA"/>
        </w:rPr>
        <w:t xml:space="preserve">    </w:t>
      </w:r>
      <w:r>
        <w:rPr>
          <w:rFonts w:hint="eastAsia"/>
        </w:rPr>
        <w:t xml:space="preserve">地下水质量标准     </w:t>
      </w:r>
      <w:r>
        <w:rPr>
          <w:rFonts w:hint="eastAsia"/>
          <w:sz w:val="18"/>
          <w:szCs w:val="18"/>
        </w:rPr>
        <w:t>单位：mg/L（pH无量纲）</w:t>
      </w:r>
    </w:p>
    <w:tbl>
      <w:tblPr>
        <w:tblStyle w:val="31"/>
        <w:tblW w:w="852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40"/>
        <w:gridCol w:w="957"/>
        <w:gridCol w:w="851"/>
        <w:gridCol w:w="640"/>
        <w:gridCol w:w="851"/>
        <w:gridCol w:w="693"/>
        <w:gridCol w:w="693"/>
        <w:gridCol w:w="851"/>
        <w:gridCol w:w="588"/>
        <w:gridCol w:w="828"/>
        <w:gridCol w:w="935"/>
      </w:tblGrid>
      <w:tr w14:paraId="6DD7A0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Align w:val="center"/>
          </w:tcPr>
          <w:p w14:paraId="7FBA0147">
            <w:pPr>
              <w:pStyle w:val="19"/>
              <w:spacing w:line="240" w:lineRule="auto"/>
              <w:ind w:firstLine="0"/>
              <w:jc w:val="center"/>
              <w:rPr>
                <w:sz w:val="21"/>
                <w:szCs w:val="21"/>
              </w:rPr>
            </w:pPr>
            <w:r>
              <w:rPr>
                <w:sz w:val="21"/>
                <w:szCs w:val="21"/>
              </w:rPr>
              <w:t>项目</w:t>
            </w:r>
          </w:p>
        </w:tc>
        <w:tc>
          <w:tcPr>
            <w:tcW w:w="0" w:type="auto"/>
            <w:vAlign w:val="center"/>
          </w:tcPr>
          <w:p w14:paraId="32A43ED7">
            <w:pPr>
              <w:pStyle w:val="19"/>
              <w:spacing w:line="240" w:lineRule="auto"/>
              <w:ind w:firstLine="0"/>
              <w:jc w:val="center"/>
              <w:rPr>
                <w:sz w:val="21"/>
                <w:szCs w:val="21"/>
              </w:rPr>
            </w:pPr>
            <w:r>
              <w:rPr>
                <w:sz w:val="21"/>
                <w:szCs w:val="21"/>
              </w:rPr>
              <w:t>pH</w:t>
            </w:r>
          </w:p>
        </w:tc>
        <w:tc>
          <w:tcPr>
            <w:tcW w:w="0" w:type="auto"/>
            <w:vAlign w:val="center"/>
          </w:tcPr>
          <w:p w14:paraId="7B4FA398">
            <w:pPr>
              <w:pStyle w:val="19"/>
              <w:spacing w:line="240" w:lineRule="auto"/>
              <w:ind w:firstLine="0"/>
              <w:jc w:val="center"/>
              <w:rPr>
                <w:sz w:val="21"/>
                <w:szCs w:val="21"/>
              </w:rPr>
            </w:pPr>
            <w:r>
              <w:rPr>
                <w:sz w:val="21"/>
                <w:szCs w:val="21"/>
              </w:rPr>
              <w:t>耗氧量</w:t>
            </w:r>
          </w:p>
        </w:tc>
        <w:tc>
          <w:tcPr>
            <w:tcW w:w="0" w:type="auto"/>
            <w:vAlign w:val="center"/>
          </w:tcPr>
          <w:p w14:paraId="14D55922">
            <w:pPr>
              <w:pStyle w:val="19"/>
              <w:spacing w:line="240" w:lineRule="auto"/>
              <w:ind w:firstLine="0"/>
              <w:jc w:val="center"/>
              <w:rPr>
                <w:sz w:val="21"/>
                <w:szCs w:val="21"/>
              </w:rPr>
            </w:pPr>
            <w:r>
              <w:rPr>
                <w:sz w:val="21"/>
                <w:szCs w:val="21"/>
              </w:rPr>
              <w:t>氨氮</w:t>
            </w:r>
          </w:p>
        </w:tc>
        <w:tc>
          <w:tcPr>
            <w:tcW w:w="0" w:type="auto"/>
            <w:vAlign w:val="center"/>
          </w:tcPr>
          <w:p w14:paraId="6416A41B">
            <w:pPr>
              <w:pStyle w:val="19"/>
              <w:spacing w:line="240" w:lineRule="auto"/>
              <w:ind w:firstLine="0"/>
              <w:jc w:val="center"/>
              <w:rPr>
                <w:sz w:val="21"/>
                <w:szCs w:val="21"/>
              </w:rPr>
            </w:pPr>
            <w:r>
              <w:rPr>
                <w:sz w:val="21"/>
                <w:szCs w:val="21"/>
              </w:rPr>
              <w:t>挥发酚</w:t>
            </w:r>
          </w:p>
        </w:tc>
        <w:tc>
          <w:tcPr>
            <w:tcW w:w="0" w:type="auto"/>
            <w:vAlign w:val="center"/>
          </w:tcPr>
          <w:p w14:paraId="18613854">
            <w:pPr>
              <w:pStyle w:val="19"/>
              <w:spacing w:line="240" w:lineRule="auto"/>
              <w:ind w:firstLine="0"/>
              <w:jc w:val="center"/>
              <w:rPr>
                <w:sz w:val="21"/>
                <w:szCs w:val="21"/>
              </w:rPr>
            </w:pPr>
            <w:r>
              <w:rPr>
                <w:sz w:val="21"/>
                <w:szCs w:val="21"/>
              </w:rPr>
              <w:t>汞</w:t>
            </w:r>
          </w:p>
        </w:tc>
        <w:tc>
          <w:tcPr>
            <w:tcW w:w="0" w:type="auto"/>
            <w:vAlign w:val="center"/>
          </w:tcPr>
          <w:p w14:paraId="2E9EBBED">
            <w:pPr>
              <w:pStyle w:val="19"/>
              <w:spacing w:line="240" w:lineRule="auto"/>
              <w:ind w:firstLine="0"/>
              <w:jc w:val="center"/>
              <w:rPr>
                <w:sz w:val="21"/>
                <w:szCs w:val="21"/>
              </w:rPr>
            </w:pPr>
            <w:r>
              <w:rPr>
                <w:sz w:val="21"/>
                <w:szCs w:val="21"/>
              </w:rPr>
              <w:t>镉</w:t>
            </w:r>
          </w:p>
        </w:tc>
        <w:tc>
          <w:tcPr>
            <w:tcW w:w="0" w:type="auto"/>
            <w:vAlign w:val="center"/>
          </w:tcPr>
          <w:p w14:paraId="1916B4DD">
            <w:pPr>
              <w:pStyle w:val="19"/>
              <w:spacing w:line="240" w:lineRule="auto"/>
              <w:ind w:firstLine="0"/>
              <w:jc w:val="center"/>
              <w:rPr>
                <w:sz w:val="21"/>
                <w:szCs w:val="21"/>
              </w:rPr>
            </w:pPr>
            <w:r>
              <w:rPr>
                <w:sz w:val="21"/>
                <w:szCs w:val="21"/>
              </w:rPr>
              <w:t>六价铬</w:t>
            </w:r>
          </w:p>
        </w:tc>
        <w:tc>
          <w:tcPr>
            <w:tcW w:w="0" w:type="auto"/>
            <w:vAlign w:val="center"/>
          </w:tcPr>
          <w:p w14:paraId="72AA4852">
            <w:pPr>
              <w:pStyle w:val="19"/>
              <w:spacing w:line="240" w:lineRule="auto"/>
              <w:ind w:firstLine="0"/>
              <w:jc w:val="center"/>
              <w:rPr>
                <w:sz w:val="21"/>
                <w:szCs w:val="21"/>
              </w:rPr>
            </w:pPr>
            <w:r>
              <w:rPr>
                <w:sz w:val="21"/>
                <w:szCs w:val="21"/>
              </w:rPr>
              <w:t>铅</w:t>
            </w:r>
          </w:p>
        </w:tc>
        <w:tc>
          <w:tcPr>
            <w:tcW w:w="0" w:type="auto"/>
            <w:vAlign w:val="center"/>
          </w:tcPr>
          <w:p w14:paraId="49ABEBF9">
            <w:pPr>
              <w:pStyle w:val="19"/>
              <w:spacing w:line="240" w:lineRule="auto"/>
              <w:ind w:firstLine="0"/>
              <w:jc w:val="center"/>
              <w:rPr>
                <w:sz w:val="21"/>
                <w:szCs w:val="21"/>
              </w:rPr>
            </w:pPr>
            <w:r>
              <w:rPr>
                <w:sz w:val="21"/>
                <w:szCs w:val="21"/>
              </w:rPr>
              <w:t>甲苯</w:t>
            </w:r>
          </w:p>
        </w:tc>
        <w:tc>
          <w:tcPr>
            <w:tcW w:w="0" w:type="auto"/>
            <w:vAlign w:val="center"/>
          </w:tcPr>
          <w:p w14:paraId="6304E31C">
            <w:pPr>
              <w:pStyle w:val="19"/>
              <w:spacing w:line="240" w:lineRule="auto"/>
              <w:ind w:firstLine="0"/>
              <w:jc w:val="center"/>
              <w:rPr>
                <w:sz w:val="21"/>
                <w:szCs w:val="21"/>
              </w:rPr>
            </w:pPr>
            <w:r>
              <w:rPr>
                <w:sz w:val="21"/>
                <w:szCs w:val="21"/>
              </w:rPr>
              <w:t>二甲苯</w:t>
            </w:r>
          </w:p>
        </w:tc>
      </w:tr>
      <w:tr w14:paraId="7D871B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Align w:val="center"/>
          </w:tcPr>
          <w:p w14:paraId="5C8EF4D1">
            <w:pPr>
              <w:pStyle w:val="19"/>
              <w:spacing w:line="240" w:lineRule="auto"/>
              <w:ind w:firstLine="0"/>
              <w:jc w:val="center"/>
              <w:rPr>
                <w:sz w:val="21"/>
                <w:szCs w:val="21"/>
              </w:rPr>
            </w:pPr>
            <w:r>
              <w:rPr>
                <w:sz w:val="21"/>
                <w:szCs w:val="21"/>
              </w:rPr>
              <w:t>限值</w:t>
            </w:r>
          </w:p>
        </w:tc>
        <w:tc>
          <w:tcPr>
            <w:tcW w:w="0" w:type="auto"/>
            <w:vAlign w:val="center"/>
          </w:tcPr>
          <w:p w14:paraId="1FA0C72B">
            <w:pPr>
              <w:pStyle w:val="19"/>
              <w:spacing w:line="240" w:lineRule="auto"/>
              <w:ind w:firstLine="0"/>
              <w:jc w:val="center"/>
              <w:rPr>
                <w:sz w:val="21"/>
                <w:szCs w:val="21"/>
              </w:rPr>
            </w:pPr>
            <w:r>
              <w:rPr>
                <w:sz w:val="21"/>
                <w:szCs w:val="21"/>
              </w:rPr>
              <w:t>6.5～8.5</w:t>
            </w:r>
          </w:p>
        </w:tc>
        <w:tc>
          <w:tcPr>
            <w:tcW w:w="0" w:type="auto"/>
            <w:vAlign w:val="center"/>
          </w:tcPr>
          <w:p w14:paraId="2BAF23DA">
            <w:pPr>
              <w:pStyle w:val="19"/>
              <w:spacing w:line="240" w:lineRule="auto"/>
              <w:ind w:firstLine="0"/>
              <w:jc w:val="center"/>
              <w:rPr>
                <w:sz w:val="21"/>
                <w:szCs w:val="21"/>
              </w:rPr>
            </w:pPr>
            <w:r>
              <w:rPr>
                <w:sz w:val="21"/>
                <w:szCs w:val="21"/>
              </w:rPr>
              <w:t>≤3</w:t>
            </w:r>
          </w:p>
        </w:tc>
        <w:tc>
          <w:tcPr>
            <w:tcW w:w="0" w:type="auto"/>
            <w:vAlign w:val="center"/>
          </w:tcPr>
          <w:p w14:paraId="21751A9C">
            <w:pPr>
              <w:pStyle w:val="19"/>
              <w:spacing w:line="240" w:lineRule="auto"/>
              <w:ind w:firstLine="0"/>
              <w:jc w:val="center"/>
              <w:rPr>
                <w:sz w:val="21"/>
                <w:szCs w:val="21"/>
              </w:rPr>
            </w:pPr>
            <w:r>
              <w:rPr>
                <w:sz w:val="21"/>
                <w:szCs w:val="21"/>
              </w:rPr>
              <w:t>≤0.5</w:t>
            </w:r>
          </w:p>
        </w:tc>
        <w:tc>
          <w:tcPr>
            <w:tcW w:w="0" w:type="auto"/>
            <w:vAlign w:val="center"/>
          </w:tcPr>
          <w:p w14:paraId="53E6EE7E">
            <w:pPr>
              <w:pStyle w:val="19"/>
              <w:spacing w:line="240" w:lineRule="auto"/>
              <w:ind w:firstLine="0"/>
              <w:jc w:val="center"/>
              <w:rPr>
                <w:sz w:val="21"/>
                <w:szCs w:val="21"/>
              </w:rPr>
            </w:pPr>
            <w:r>
              <w:rPr>
                <w:sz w:val="21"/>
                <w:szCs w:val="21"/>
              </w:rPr>
              <w:t>≤0.005</w:t>
            </w:r>
          </w:p>
        </w:tc>
        <w:tc>
          <w:tcPr>
            <w:tcW w:w="0" w:type="auto"/>
            <w:vAlign w:val="center"/>
          </w:tcPr>
          <w:p w14:paraId="78526E61">
            <w:pPr>
              <w:pStyle w:val="19"/>
              <w:spacing w:line="240" w:lineRule="auto"/>
              <w:ind w:firstLine="0"/>
              <w:jc w:val="center"/>
              <w:rPr>
                <w:sz w:val="21"/>
                <w:szCs w:val="21"/>
              </w:rPr>
            </w:pPr>
            <w:r>
              <w:rPr>
                <w:sz w:val="21"/>
                <w:szCs w:val="21"/>
              </w:rPr>
              <w:t>0.001</w:t>
            </w:r>
          </w:p>
        </w:tc>
        <w:tc>
          <w:tcPr>
            <w:tcW w:w="0" w:type="auto"/>
            <w:vAlign w:val="center"/>
          </w:tcPr>
          <w:p w14:paraId="4F3967AE">
            <w:pPr>
              <w:pStyle w:val="19"/>
              <w:spacing w:line="240" w:lineRule="auto"/>
              <w:ind w:firstLine="0"/>
              <w:jc w:val="center"/>
              <w:rPr>
                <w:sz w:val="21"/>
                <w:szCs w:val="21"/>
              </w:rPr>
            </w:pPr>
            <w:r>
              <w:rPr>
                <w:sz w:val="21"/>
                <w:szCs w:val="21"/>
              </w:rPr>
              <w:t>0.005</w:t>
            </w:r>
          </w:p>
        </w:tc>
        <w:tc>
          <w:tcPr>
            <w:tcW w:w="0" w:type="auto"/>
            <w:vAlign w:val="center"/>
          </w:tcPr>
          <w:p w14:paraId="41614BD0">
            <w:pPr>
              <w:pStyle w:val="19"/>
              <w:spacing w:line="240" w:lineRule="auto"/>
              <w:ind w:firstLine="0"/>
              <w:jc w:val="center"/>
              <w:rPr>
                <w:sz w:val="21"/>
                <w:szCs w:val="21"/>
              </w:rPr>
            </w:pPr>
            <w:r>
              <w:rPr>
                <w:sz w:val="21"/>
                <w:szCs w:val="21"/>
              </w:rPr>
              <w:t>0.05</w:t>
            </w:r>
          </w:p>
        </w:tc>
        <w:tc>
          <w:tcPr>
            <w:tcW w:w="0" w:type="auto"/>
            <w:vAlign w:val="center"/>
          </w:tcPr>
          <w:p w14:paraId="0673FFCA">
            <w:pPr>
              <w:pStyle w:val="19"/>
              <w:spacing w:line="240" w:lineRule="auto"/>
              <w:ind w:firstLine="0"/>
              <w:jc w:val="center"/>
              <w:rPr>
                <w:sz w:val="21"/>
                <w:szCs w:val="21"/>
              </w:rPr>
            </w:pPr>
            <w:r>
              <w:rPr>
                <w:sz w:val="21"/>
                <w:szCs w:val="21"/>
              </w:rPr>
              <w:t>0.01</w:t>
            </w:r>
          </w:p>
        </w:tc>
        <w:tc>
          <w:tcPr>
            <w:tcW w:w="0" w:type="auto"/>
            <w:vAlign w:val="center"/>
          </w:tcPr>
          <w:p w14:paraId="5ADEB3BC">
            <w:pPr>
              <w:pStyle w:val="19"/>
              <w:spacing w:line="240" w:lineRule="auto"/>
              <w:ind w:firstLine="0"/>
              <w:jc w:val="center"/>
              <w:rPr>
                <w:sz w:val="21"/>
                <w:szCs w:val="21"/>
              </w:rPr>
            </w:pPr>
            <w:r>
              <w:rPr>
                <w:sz w:val="21"/>
                <w:szCs w:val="21"/>
              </w:rPr>
              <w:t>10ug/L</w:t>
            </w:r>
          </w:p>
        </w:tc>
        <w:tc>
          <w:tcPr>
            <w:tcW w:w="0" w:type="auto"/>
            <w:vAlign w:val="center"/>
          </w:tcPr>
          <w:p w14:paraId="3449FE55">
            <w:pPr>
              <w:pStyle w:val="19"/>
              <w:spacing w:line="240" w:lineRule="auto"/>
              <w:ind w:firstLine="0"/>
              <w:jc w:val="center"/>
              <w:rPr>
                <w:sz w:val="21"/>
                <w:szCs w:val="21"/>
              </w:rPr>
            </w:pPr>
            <w:r>
              <w:rPr>
                <w:sz w:val="21"/>
                <w:szCs w:val="21"/>
              </w:rPr>
              <w:t>700ug/L</w:t>
            </w:r>
          </w:p>
        </w:tc>
      </w:tr>
    </w:tbl>
    <w:p w14:paraId="4944BB67">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2.6.2.4</w:t>
      </w:r>
      <w:r>
        <w:rPr>
          <w:rFonts w:hint="eastAsia" w:ascii="Times New Roman" w:hAnsi="Times New Roman"/>
        </w:rPr>
        <w:t>土壤环境质量标准</w:t>
      </w:r>
    </w:p>
    <w:p w14:paraId="18FEA649">
      <w:pPr>
        <w:pStyle w:val="65"/>
        <w:ind w:firstLine="480"/>
        <w:rPr>
          <w:rFonts w:ascii="Times New Roman" w:hAnsi="Times New Roman"/>
        </w:rPr>
      </w:pPr>
      <w:r>
        <w:rPr>
          <w:rFonts w:ascii="Times New Roman" w:hAnsi="Times New Roman"/>
        </w:rPr>
        <w:t>土壤环境执行《土壤环境质量建设用地土壤污染风险管控标准（试行）》（GB36600-2018）</w:t>
      </w:r>
      <w:r>
        <w:rPr>
          <w:rFonts w:hint="eastAsia" w:ascii="Times New Roman" w:hAnsi="Times New Roman"/>
        </w:rPr>
        <w:t>。</w:t>
      </w:r>
      <w:r>
        <w:rPr>
          <w:rFonts w:ascii="Times New Roman" w:hAnsi="Times New Roman"/>
          <w:spacing w:val="-6"/>
          <w:szCs w:val="28"/>
        </w:rPr>
        <w:t>标准值详见表</w:t>
      </w:r>
      <w:r>
        <w:rPr>
          <w:rFonts w:hint="eastAsia" w:ascii="Times New Roman" w:hAnsi="Times New Roman"/>
          <w:spacing w:val="-6"/>
        </w:rPr>
        <w:t>2.4-5</w:t>
      </w:r>
      <w:r>
        <w:rPr>
          <w:rFonts w:ascii="Times New Roman" w:hAnsi="Times New Roman"/>
          <w:spacing w:val="-6"/>
          <w:szCs w:val="28"/>
        </w:rPr>
        <w:t>。</w:t>
      </w:r>
    </w:p>
    <w:p w14:paraId="10260661">
      <w:pPr>
        <w:pStyle w:val="51"/>
        <w:numPr>
          <w:ilvl w:val="5"/>
          <w:numId w:val="0"/>
        </w:numPr>
        <w:spacing w:before="0" w:beforeLines="0" w:line="360" w:lineRule="auto"/>
        <w:ind w:left="305" w:leftChars="0" w:hanging="3260" w:firstLineChars="0"/>
        <w:rPr>
          <w:sz w:val="18"/>
          <w:szCs w:val="18"/>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表2.6-5</w:t>
      </w: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 </w:t>
      </w:r>
      <w:r>
        <w:rPr>
          <w:rFonts w:hint="eastAsia"/>
        </w:rPr>
        <w:t>建设用地土壤污染风险筛选值和管制值（基本项目 mg/kg）</w:t>
      </w:r>
    </w:p>
    <w:tbl>
      <w:tblPr>
        <w:tblStyle w:val="31"/>
        <w:tblW w:w="852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75"/>
        <w:gridCol w:w="1802"/>
        <w:gridCol w:w="1343"/>
        <w:gridCol w:w="1316"/>
        <w:gridCol w:w="1023"/>
        <w:gridCol w:w="1438"/>
        <w:gridCol w:w="1121"/>
        <w:gridCol w:w="9"/>
      </w:tblGrid>
      <w:tr w14:paraId="5B5E19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Merge w:val="restart"/>
            <w:vAlign w:val="center"/>
          </w:tcPr>
          <w:p w14:paraId="09FF97C9">
            <w:pPr>
              <w:pStyle w:val="19"/>
              <w:spacing w:line="240" w:lineRule="auto"/>
              <w:ind w:firstLine="0"/>
              <w:jc w:val="center"/>
              <w:rPr>
                <w:sz w:val="21"/>
                <w:szCs w:val="21"/>
              </w:rPr>
            </w:pPr>
            <w:r>
              <w:rPr>
                <w:sz w:val="21"/>
                <w:szCs w:val="21"/>
              </w:rPr>
              <w:t>序号</w:t>
            </w:r>
          </w:p>
        </w:tc>
        <w:tc>
          <w:tcPr>
            <w:tcW w:w="1762" w:type="dxa"/>
            <w:vMerge w:val="restart"/>
            <w:vAlign w:val="center"/>
          </w:tcPr>
          <w:p w14:paraId="106A97F7">
            <w:pPr>
              <w:pStyle w:val="19"/>
              <w:spacing w:line="240" w:lineRule="auto"/>
              <w:ind w:firstLine="0"/>
              <w:jc w:val="center"/>
              <w:rPr>
                <w:sz w:val="21"/>
                <w:szCs w:val="21"/>
              </w:rPr>
            </w:pPr>
            <w:r>
              <w:rPr>
                <w:sz w:val="21"/>
                <w:szCs w:val="21"/>
              </w:rPr>
              <w:t>污染物项目</w:t>
            </w:r>
          </w:p>
        </w:tc>
        <w:tc>
          <w:tcPr>
            <w:tcW w:w="1313" w:type="dxa"/>
            <w:vMerge w:val="restart"/>
            <w:vAlign w:val="center"/>
          </w:tcPr>
          <w:p w14:paraId="437F57CA">
            <w:pPr>
              <w:pStyle w:val="19"/>
              <w:spacing w:line="240" w:lineRule="auto"/>
              <w:ind w:firstLine="0"/>
              <w:jc w:val="center"/>
              <w:rPr>
                <w:sz w:val="21"/>
                <w:szCs w:val="21"/>
              </w:rPr>
            </w:pPr>
            <w:r>
              <w:rPr>
                <w:sz w:val="21"/>
                <w:szCs w:val="21"/>
              </w:rPr>
              <w:t>CAS编号</w:t>
            </w:r>
          </w:p>
        </w:tc>
        <w:tc>
          <w:tcPr>
            <w:tcW w:w="2287" w:type="dxa"/>
            <w:gridSpan w:val="2"/>
            <w:vAlign w:val="center"/>
          </w:tcPr>
          <w:p w14:paraId="09765302">
            <w:pPr>
              <w:pStyle w:val="19"/>
              <w:spacing w:line="240" w:lineRule="auto"/>
              <w:ind w:firstLine="0"/>
              <w:jc w:val="center"/>
              <w:rPr>
                <w:sz w:val="21"/>
                <w:szCs w:val="21"/>
              </w:rPr>
            </w:pPr>
            <w:r>
              <w:rPr>
                <w:sz w:val="21"/>
                <w:szCs w:val="21"/>
              </w:rPr>
              <w:t>筛选值</w:t>
            </w:r>
          </w:p>
        </w:tc>
        <w:tc>
          <w:tcPr>
            <w:tcW w:w="2502" w:type="dxa"/>
            <w:gridSpan w:val="2"/>
            <w:vAlign w:val="center"/>
          </w:tcPr>
          <w:p w14:paraId="3BE9DD30">
            <w:pPr>
              <w:pStyle w:val="19"/>
              <w:spacing w:line="240" w:lineRule="auto"/>
              <w:ind w:firstLine="0"/>
              <w:jc w:val="center"/>
              <w:rPr>
                <w:sz w:val="21"/>
                <w:szCs w:val="21"/>
              </w:rPr>
            </w:pPr>
            <w:r>
              <w:rPr>
                <w:sz w:val="21"/>
                <w:szCs w:val="21"/>
              </w:rPr>
              <w:t>管制值</w:t>
            </w:r>
          </w:p>
        </w:tc>
      </w:tr>
      <w:tr w14:paraId="0ECA9D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Merge w:val="continue"/>
            <w:vAlign w:val="center"/>
          </w:tcPr>
          <w:p w14:paraId="7DD0E7FE">
            <w:pPr>
              <w:pStyle w:val="19"/>
              <w:spacing w:line="240" w:lineRule="auto"/>
              <w:ind w:firstLine="0"/>
              <w:jc w:val="center"/>
              <w:rPr>
                <w:sz w:val="21"/>
                <w:szCs w:val="21"/>
              </w:rPr>
            </w:pPr>
          </w:p>
        </w:tc>
        <w:tc>
          <w:tcPr>
            <w:tcW w:w="1762" w:type="dxa"/>
            <w:vMerge w:val="continue"/>
            <w:vAlign w:val="center"/>
          </w:tcPr>
          <w:p w14:paraId="3EE548FB">
            <w:pPr>
              <w:pStyle w:val="19"/>
              <w:spacing w:line="240" w:lineRule="auto"/>
              <w:ind w:firstLine="0"/>
              <w:jc w:val="center"/>
              <w:rPr>
                <w:sz w:val="21"/>
                <w:szCs w:val="21"/>
              </w:rPr>
            </w:pPr>
          </w:p>
        </w:tc>
        <w:tc>
          <w:tcPr>
            <w:tcW w:w="1313" w:type="dxa"/>
            <w:vMerge w:val="continue"/>
            <w:vAlign w:val="center"/>
          </w:tcPr>
          <w:p w14:paraId="0E643B31">
            <w:pPr>
              <w:pStyle w:val="19"/>
              <w:spacing w:line="240" w:lineRule="auto"/>
              <w:ind w:firstLine="0"/>
              <w:jc w:val="center"/>
              <w:rPr>
                <w:sz w:val="21"/>
                <w:szCs w:val="21"/>
              </w:rPr>
            </w:pPr>
          </w:p>
        </w:tc>
        <w:tc>
          <w:tcPr>
            <w:tcW w:w="1287" w:type="dxa"/>
            <w:vAlign w:val="center"/>
          </w:tcPr>
          <w:p w14:paraId="31765D51">
            <w:pPr>
              <w:pStyle w:val="19"/>
              <w:spacing w:line="240" w:lineRule="auto"/>
              <w:ind w:firstLine="0"/>
              <w:jc w:val="center"/>
              <w:rPr>
                <w:sz w:val="21"/>
                <w:szCs w:val="21"/>
              </w:rPr>
            </w:pPr>
            <w:r>
              <w:rPr>
                <w:sz w:val="21"/>
                <w:szCs w:val="21"/>
              </w:rPr>
              <w:t>第一类用地</w:t>
            </w:r>
          </w:p>
        </w:tc>
        <w:tc>
          <w:tcPr>
            <w:tcW w:w="1000" w:type="dxa"/>
            <w:vAlign w:val="center"/>
          </w:tcPr>
          <w:p w14:paraId="5CC33067">
            <w:pPr>
              <w:pStyle w:val="19"/>
              <w:spacing w:line="240" w:lineRule="auto"/>
              <w:ind w:firstLine="0"/>
              <w:jc w:val="center"/>
              <w:rPr>
                <w:sz w:val="21"/>
                <w:szCs w:val="21"/>
              </w:rPr>
            </w:pPr>
            <w:r>
              <w:rPr>
                <w:sz w:val="21"/>
                <w:szCs w:val="21"/>
              </w:rPr>
              <w:t>第二类用地</w:t>
            </w:r>
          </w:p>
        </w:tc>
        <w:tc>
          <w:tcPr>
            <w:tcW w:w="1406" w:type="dxa"/>
            <w:vAlign w:val="center"/>
          </w:tcPr>
          <w:p w14:paraId="44B40FE2">
            <w:pPr>
              <w:pStyle w:val="19"/>
              <w:spacing w:line="240" w:lineRule="auto"/>
              <w:ind w:firstLine="0"/>
              <w:jc w:val="center"/>
              <w:rPr>
                <w:sz w:val="21"/>
                <w:szCs w:val="21"/>
              </w:rPr>
            </w:pPr>
            <w:r>
              <w:rPr>
                <w:sz w:val="21"/>
                <w:szCs w:val="21"/>
              </w:rPr>
              <w:t>第一类用地</w:t>
            </w:r>
          </w:p>
        </w:tc>
        <w:tc>
          <w:tcPr>
            <w:tcW w:w="1096" w:type="dxa"/>
            <w:vAlign w:val="center"/>
          </w:tcPr>
          <w:p w14:paraId="113146CF">
            <w:pPr>
              <w:pStyle w:val="19"/>
              <w:spacing w:line="240" w:lineRule="auto"/>
              <w:ind w:firstLine="0"/>
              <w:jc w:val="center"/>
              <w:rPr>
                <w:sz w:val="21"/>
                <w:szCs w:val="21"/>
              </w:rPr>
            </w:pPr>
            <w:r>
              <w:rPr>
                <w:sz w:val="21"/>
                <w:szCs w:val="21"/>
              </w:rPr>
              <w:t>第二类用地</w:t>
            </w:r>
          </w:p>
        </w:tc>
      </w:tr>
      <w:tr w14:paraId="72A445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8328" w:type="dxa"/>
            <w:gridSpan w:val="7"/>
            <w:vAlign w:val="center"/>
          </w:tcPr>
          <w:p w14:paraId="40F9371D">
            <w:pPr>
              <w:pStyle w:val="19"/>
              <w:spacing w:line="240" w:lineRule="auto"/>
              <w:ind w:firstLine="0"/>
              <w:jc w:val="center"/>
              <w:rPr>
                <w:sz w:val="21"/>
                <w:szCs w:val="21"/>
              </w:rPr>
            </w:pPr>
            <w:r>
              <w:rPr>
                <w:sz w:val="21"/>
                <w:szCs w:val="21"/>
              </w:rPr>
              <w:t>重金属和无机物</w:t>
            </w:r>
          </w:p>
        </w:tc>
      </w:tr>
      <w:tr w14:paraId="2B265A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694563F2">
            <w:pPr>
              <w:pStyle w:val="19"/>
              <w:spacing w:line="240" w:lineRule="auto"/>
              <w:ind w:firstLine="0"/>
              <w:jc w:val="center"/>
              <w:rPr>
                <w:sz w:val="21"/>
                <w:szCs w:val="21"/>
              </w:rPr>
            </w:pPr>
            <w:r>
              <w:rPr>
                <w:sz w:val="21"/>
                <w:szCs w:val="21"/>
              </w:rPr>
              <w:t>1</w:t>
            </w:r>
          </w:p>
        </w:tc>
        <w:tc>
          <w:tcPr>
            <w:tcW w:w="1762" w:type="dxa"/>
            <w:vAlign w:val="center"/>
          </w:tcPr>
          <w:p w14:paraId="148B18F4">
            <w:pPr>
              <w:pStyle w:val="19"/>
              <w:spacing w:line="240" w:lineRule="auto"/>
              <w:ind w:firstLine="0"/>
              <w:jc w:val="center"/>
              <w:rPr>
                <w:sz w:val="21"/>
                <w:szCs w:val="21"/>
              </w:rPr>
            </w:pPr>
            <w:r>
              <w:rPr>
                <w:sz w:val="21"/>
                <w:szCs w:val="21"/>
              </w:rPr>
              <w:t>砷</w:t>
            </w:r>
          </w:p>
        </w:tc>
        <w:tc>
          <w:tcPr>
            <w:tcW w:w="1313" w:type="dxa"/>
            <w:vAlign w:val="center"/>
          </w:tcPr>
          <w:p w14:paraId="39A1970B">
            <w:pPr>
              <w:pStyle w:val="19"/>
              <w:spacing w:line="240" w:lineRule="auto"/>
              <w:ind w:firstLine="0"/>
              <w:jc w:val="center"/>
              <w:rPr>
                <w:sz w:val="21"/>
                <w:szCs w:val="21"/>
              </w:rPr>
            </w:pPr>
            <w:r>
              <w:rPr>
                <w:sz w:val="21"/>
                <w:szCs w:val="21"/>
              </w:rPr>
              <w:t>7440-38-2</w:t>
            </w:r>
          </w:p>
        </w:tc>
        <w:tc>
          <w:tcPr>
            <w:tcW w:w="1287" w:type="dxa"/>
            <w:vAlign w:val="center"/>
          </w:tcPr>
          <w:p w14:paraId="2AF28C6B">
            <w:pPr>
              <w:pStyle w:val="19"/>
              <w:spacing w:line="240" w:lineRule="auto"/>
              <w:ind w:firstLine="0"/>
              <w:jc w:val="center"/>
              <w:rPr>
                <w:sz w:val="21"/>
                <w:szCs w:val="21"/>
              </w:rPr>
            </w:pPr>
            <w:r>
              <w:rPr>
                <w:sz w:val="21"/>
                <w:szCs w:val="21"/>
              </w:rPr>
              <w:t>20</w:t>
            </w:r>
            <w:r>
              <w:rPr>
                <w:rFonts w:hint="eastAsia"/>
                <w:sz w:val="21"/>
                <w:szCs w:val="21"/>
              </w:rPr>
              <w:t>①</w:t>
            </w:r>
          </w:p>
        </w:tc>
        <w:tc>
          <w:tcPr>
            <w:tcW w:w="1000" w:type="dxa"/>
            <w:vAlign w:val="center"/>
          </w:tcPr>
          <w:p w14:paraId="6490AA29">
            <w:pPr>
              <w:pStyle w:val="19"/>
              <w:spacing w:line="240" w:lineRule="auto"/>
              <w:ind w:firstLine="0"/>
              <w:jc w:val="center"/>
              <w:rPr>
                <w:sz w:val="21"/>
                <w:szCs w:val="21"/>
              </w:rPr>
            </w:pPr>
            <w:r>
              <w:rPr>
                <w:sz w:val="21"/>
                <w:szCs w:val="21"/>
              </w:rPr>
              <w:t>60</w:t>
            </w:r>
            <w:r>
              <w:rPr>
                <w:rFonts w:hint="eastAsia"/>
                <w:sz w:val="21"/>
                <w:szCs w:val="21"/>
              </w:rPr>
              <w:t>①</w:t>
            </w:r>
          </w:p>
        </w:tc>
        <w:tc>
          <w:tcPr>
            <w:tcW w:w="1406" w:type="dxa"/>
            <w:vAlign w:val="center"/>
          </w:tcPr>
          <w:p w14:paraId="32B62512">
            <w:pPr>
              <w:pStyle w:val="19"/>
              <w:spacing w:line="240" w:lineRule="auto"/>
              <w:ind w:firstLine="0"/>
              <w:jc w:val="center"/>
              <w:rPr>
                <w:sz w:val="21"/>
                <w:szCs w:val="21"/>
              </w:rPr>
            </w:pPr>
            <w:r>
              <w:rPr>
                <w:sz w:val="21"/>
                <w:szCs w:val="21"/>
              </w:rPr>
              <w:t>120</w:t>
            </w:r>
          </w:p>
        </w:tc>
        <w:tc>
          <w:tcPr>
            <w:tcW w:w="1096" w:type="dxa"/>
            <w:vAlign w:val="center"/>
          </w:tcPr>
          <w:p w14:paraId="71927A11">
            <w:pPr>
              <w:pStyle w:val="19"/>
              <w:spacing w:line="240" w:lineRule="auto"/>
              <w:ind w:firstLine="0"/>
              <w:jc w:val="center"/>
              <w:rPr>
                <w:sz w:val="21"/>
                <w:szCs w:val="21"/>
              </w:rPr>
            </w:pPr>
            <w:r>
              <w:rPr>
                <w:sz w:val="21"/>
                <w:szCs w:val="21"/>
              </w:rPr>
              <w:t>140</w:t>
            </w:r>
          </w:p>
        </w:tc>
      </w:tr>
      <w:tr w14:paraId="12E1F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B943812">
            <w:pPr>
              <w:pStyle w:val="19"/>
              <w:spacing w:line="240" w:lineRule="auto"/>
              <w:ind w:firstLine="0"/>
              <w:jc w:val="center"/>
              <w:rPr>
                <w:sz w:val="21"/>
                <w:szCs w:val="21"/>
              </w:rPr>
            </w:pPr>
            <w:r>
              <w:rPr>
                <w:sz w:val="21"/>
                <w:szCs w:val="21"/>
              </w:rPr>
              <w:t>2</w:t>
            </w:r>
          </w:p>
        </w:tc>
        <w:tc>
          <w:tcPr>
            <w:tcW w:w="1762" w:type="dxa"/>
            <w:vAlign w:val="center"/>
          </w:tcPr>
          <w:p w14:paraId="138CABF3">
            <w:pPr>
              <w:pStyle w:val="19"/>
              <w:spacing w:line="240" w:lineRule="auto"/>
              <w:ind w:firstLine="0"/>
              <w:jc w:val="center"/>
              <w:rPr>
                <w:sz w:val="21"/>
                <w:szCs w:val="21"/>
              </w:rPr>
            </w:pPr>
            <w:r>
              <w:rPr>
                <w:sz w:val="21"/>
                <w:szCs w:val="21"/>
              </w:rPr>
              <w:t>镉</w:t>
            </w:r>
          </w:p>
        </w:tc>
        <w:tc>
          <w:tcPr>
            <w:tcW w:w="1313" w:type="dxa"/>
            <w:vAlign w:val="center"/>
          </w:tcPr>
          <w:p w14:paraId="37B0F46A">
            <w:pPr>
              <w:pStyle w:val="19"/>
              <w:spacing w:line="240" w:lineRule="auto"/>
              <w:ind w:firstLine="0"/>
              <w:jc w:val="center"/>
              <w:rPr>
                <w:sz w:val="21"/>
                <w:szCs w:val="21"/>
              </w:rPr>
            </w:pPr>
            <w:r>
              <w:rPr>
                <w:sz w:val="21"/>
                <w:szCs w:val="21"/>
              </w:rPr>
              <w:t>7440-43-9</w:t>
            </w:r>
          </w:p>
        </w:tc>
        <w:tc>
          <w:tcPr>
            <w:tcW w:w="1287" w:type="dxa"/>
            <w:vAlign w:val="center"/>
          </w:tcPr>
          <w:p w14:paraId="2F8439A5">
            <w:pPr>
              <w:pStyle w:val="19"/>
              <w:spacing w:line="240" w:lineRule="auto"/>
              <w:ind w:firstLine="0"/>
              <w:jc w:val="center"/>
              <w:rPr>
                <w:sz w:val="21"/>
                <w:szCs w:val="21"/>
              </w:rPr>
            </w:pPr>
            <w:r>
              <w:rPr>
                <w:sz w:val="21"/>
                <w:szCs w:val="21"/>
              </w:rPr>
              <w:t>20</w:t>
            </w:r>
          </w:p>
        </w:tc>
        <w:tc>
          <w:tcPr>
            <w:tcW w:w="1000" w:type="dxa"/>
            <w:vAlign w:val="center"/>
          </w:tcPr>
          <w:p w14:paraId="0717AD0D">
            <w:pPr>
              <w:pStyle w:val="19"/>
              <w:spacing w:line="240" w:lineRule="auto"/>
              <w:ind w:firstLine="0"/>
              <w:jc w:val="center"/>
              <w:rPr>
                <w:sz w:val="21"/>
                <w:szCs w:val="21"/>
              </w:rPr>
            </w:pPr>
            <w:r>
              <w:rPr>
                <w:sz w:val="21"/>
                <w:szCs w:val="21"/>
              </w:rPr>
              <w:t>65</w:t>
            </w:r>
          </w:p>
        </w:tc>
        <w:tc>
          <w:tcPr>
            <w:tcW w:w="1406" w:type="dxa"/>
            <w:vAlign w:val="center"/>
          </w:tcPr>
          <w:p w14:paraId="49A6E00F">
            <w:pPr>
              <w:pStyle w:val="19"/>
              <w:spacing w:line="240" w:lineRule="auto"/>
              <w:ind w:firstLine="0"/>
              <w:jc w:val="center"/>
              <w:rPr>
                <w:sz w:val="21"/>
                <w:szCs w:val="21"/>
              </w:rPr>
            </w:pPr>
            <w:r>
              <w:rPr>
                <w:sz w:val="21"/>
                <w:szCs w:val="21"/>
              </w:rPr>
              <w:t>47</w:t>
            </w:r>
          </w:p>
        </w:tc>
        <w:tc>
          <w:tcPr>
            <w:tcW w:w="1096" w:type="dxa"/>
            <w:vAlign w:val="center"/>
          </w:tcPr>
          <w:p w14:paraId="6D08630F">
            <w:pPr>
              <w:pStyle w:val="19"/>
              <w:spacing w:line="240" w:lineRule="auto"/>
              <w:ind w:firstLine="0"/>
              <w:jc w:val="center"/>
              <w:rPr>
                <w:sz w:val="21"/>
                <w:szCs w:val="21"/>
              </w:rPr>
            </w:pPr>
            <w:r>
              <w:rPr>
                <w:sz w:val="21"/>
                <w:szCs w:val="21"/>
              </w:rPr>
              <w:t>172</w:t>
            </w:r>
          </w:p>
        </w:tc>
      </w:tr>
      <w:tr w14:paraId="7F77E2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051D9600">
            <w:pPr>
              <w:pStyle w:val="19"/>
              <w:spacing w:line="240" w:lineRule="auto"/>
              <w:ind w:firstLine="0"/>
              <w:jc w:val="center"/>
              <w:rPr>
                <w:sz w:val="21"/>
                <w:szCs w:val="21"/>
              </w:rPr>
            </w:pPr>
            <w:r>
              <w:rPr>
                <w:sz w:val="21"/>
                <w:szCs w:val="21"/>
              </w:rPr>
              <w:t>3</w:t>
            </w:r>
          </w:p>
        </w:tc>
        <w:tc>
          <w:tcPr>
            <w:tcW w:w="1762" w:type="dxa"/>
            <w:vAlign w:val="center"/>
          </w:tcPr>
          <w:p w14:paraId="3137DC13">
            <w:pPr>
              <w:pStyle w:val="19"/>
              <w:spacing w:line="240" w:lineRule="auto"/>
              <w:ind w:firstLine="0"/>
              <w:jc w:val="center"/>
              <w:rPr>
                <w:sz w:val="21"/>
                <w:szCs w:val="21"/>
              </w:rPr>
            </w:pPr>
            <w:r>
              <w:rPr>
                <w:sz w:val="21"/>
                <w:szCs w:val="21"/>
              </w:rPr>
              <w:t>铬（六价）</w:t>
            </w:r>
          </w:p>
        </w:tc>
        <w:tc>
          <w:tcPr>
            <w:tcW w:w="1313" w:type="dxa"/>
            <w:vAlign w:val="center"/>
          </w:tcPr>
          <w:p w14:paraId="72287A1C">
            <w:pPr>
              <w:pStyle w:val="19"/>
              <w:spacing w:line="240" w:lineRule="auto"/>
              <w:ind w:firstLine="0"/>
              <w:jc w:val="center"/>
              <w:rPr>
                <w:sz w:val="21"/>
                <w:szCs w:val="21"/>
              </w:rPr>
            </w:pPr>
            <w:r>
              <w:rPr>
                <w:sz w:val="21"/>
                <w:szCs w:val="21"/>
              </w:rPr>
              <w:t>18540-29-9</w:t>
            </w:r>
          </w:p>
        </w:tc>
        <w:tc>
          <w:tcPr>
            <w:tcW w:w="1287" w:type="dxa"/>
            <w:vAlign w:val="center"/>
          </w:tcPr>
          <w:p w14:paraId="7AD63A84">
            <w:pPr>
              <w:pStyle w:val="19"/>
              <w:spacing w:line="240" w:lineRule="auto"/>
              <w:ind w:firstLine="0"/>
              <w:jc w:val="center"/>
              <w:rPr>
                <w:sz w:val="21"/>
                <w:szCs w:val="21"/>
              </w:rPr>
            </w:pPr>
            <w:r>
              <w:rPr>
                <w:sz w:val="21"/>
                <w:szCs w:val="21"/>
              </w:rPr>
              <w:t>3</w:t>
            </w:r>
          </w:p>
        </w:tc>
        <w:tc>
          <w:tcPr>
            <w:tcW w:w="1000" w:type="dxa"/>
            <w:vAlign w:val="center"/>
          </w:tcPr>
          <w:p w14:paraId="21566071">
            <w:pPr>
              <w:pStyle w:val="19"/>
              <w:spacing w:line="240" w:lineRule="auto"/>
              <w:ind w:firstLine="0"/>
              <w:jc w:val="center"/>
              <w:rPr>
                <w:sz w:val="21"/>
                <w:szCs w:val="21"/>
              </w:rPr>
            </w:pPr>
            <w:r>
              <w:rPr>
                <w:sz w:val="21"/>
                <w:szCs w:val="21"/>
              </w:rPr>
              <w:t>5.7</w:t>
            </w:r>
          </w:p>
        </w:tc>
        <w:tc>
          <w:tcPr>
            <w:tcW w:w="1406" w:type="dxa"/>
            <w:vAlign w:val="center"/>
          </w:tcPr>
          <w:p w14:paraId="0B2E42C0">
            <w:pPr>
              <w:pStyle w:val="19"/>
              <w:spacing w:line="240" w:lineRule="auto"/>
              <w:ind w:firstLine="0"/>
              <w:jc w:val="center"/>
              <w:rPr>
                <w:sz w:val="21"/>
                <w:szCs w:val="21"/>
              </w:rPr>
            </w:pPr>
            <w:r>
              <w:rPr>
                <w:sz w:val="21"/>
                <w:szCs w:val="21"/>
              </w:rPr>
              <w:t>30</w:t>
            </w:r>
          </w:p>
        </w:tc>
        <w:tc>
          <w:tcPr>
            <w:tcW w:w="1096" w:type="dxa"/>
            <w:vAlign w:val="center"/>
          </w:tcPr>
          <w:p w14:paraId="5ADECBEC">
            <w:pPr>
              <w:pStyle w:val="19"/>
              <w:spacing w:line="240" w:lineRule="auto"/>
              <w:ind w:firstLine="0"/>
              <w:jc w:val="center"/>
              <w:rPr>
                <w:sz w:val="21"/>
                <w:szCs w:val="21"/>
              </w:rPr>
            </w:pPr>
            <w:r>
              <w:rPr>
                <w:sz w:val="21"/>
                <w:szCs w:val="21"/>
              </w:rPr>
              <w:t>78</w:t>
            </w:r>
          </w:p>
        </w:tc>
      </w:tr>
      <w:tr w14:paraId="362B0D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36EC01D">
            <w:pPr>
              <w:pStyle w:val="19"/>
              <w:spacing w:line="240" w:lineRule="auto"/>
              <w:ind w:firstLine="0"/>
              <w:jc w:val="center"/>
              <w:rPr>
                <w:sz w:val="21"/>
                <w:szCs w:val="21"/>
              </w:rPr>
            </w:pPr>
            <w:r>
              <w:rPr>
                <w:sz w:val="21"/>
                <w:szCs w:val="21"/>
              </w:rPr>
              <w:t>4</w:t>
            </w:r>
          </w:p>
        </w:tc>
        <w:tc>
          <w:tcPr>
            <w:tcW w:w="1762" w:type="dxa"/>
            <w:vAlign w:val="center"/>
          </w:tcPr>
          <w:p w14:paraId="46D08653">
            <w:pPr>
              <w:pStyle w:val="19"/>
              <w:spacing w:line="240" w:lineRule="auto"/>
              <w:ind w:firstLine="0"/>
              <w:jc w:val="center"/>
              <w:rPr>
                <w:sz w:val="21"/>
                <w:szCs w:val="21"/>
              </w:rPr>
            </w:pPr>
            <w:r>
              <w:rPr>
                <w:sz w:val="21"/>
                <w:szCs w:val="21"/>
              </w:rPr>
              <w:t>铜</w:t>
            </w:r>
          </w:p>
        </w:tc>
        <w:tc>
          <w:tcPr>
            <w:tcW w:w="1313" w:type="dxa"/>
            <w:vAlign w:val="center"/>
          </w:tcPr>
          <w:p w14:paraId="00608297">
            <w:pPr>
              <w:pStyle w:val="19"/>
              <w:spacing w:line="240" w:lineRule="auto"/>
              <w:ind w:firstLine="0"/>
              <w:jc w:val="center"/>
              <w:rPr>
                <w:sz w:val="21"/>
                <w:szCs w:val="21"/>
              </w:rPr>
            </w:pPr>
            <w:r>
              <w:rPr>
                <w:sz w:val="21"/>
                <w:szCs w:val="21"/>
              </w:rPr>
              <w:t>7440-50-8</w:t>
            </w:r>
          </w:p>
        </w:tc>
        <w:tc>
          <w:tcPr>
            <w:tcW w:w="1287" w:type="dxa"/>
            <w:vAlign w:val="center"/>
          </w:tcPr>
          <w:p w14:paraId="70B800C2">
            <w:pPr>
              <w:pStyle w:val="19"/>
              <w:spacing w:line="240" w:lineRule="auto"/>
              <w:ind w:firstLine="0"/>
              <w:jc w:val="center"/>
              <w:rPr>
                <w:sz w:val="21"/>
                <w:szCs w:val="21"/>
              </w:rPr>
            </w:pPr>
            <w:r>
              <w:rPr>
                <w:sz w:val="21"/>
                <w:szCs w:val="21"/>
              </w:rPr>
              <w:t>2000</w:t>
            </w:r>
          </w:p>
        </w:tc>
        <w:tc>
          <w:tcPr>
            <w:tcW w:w="1000" w:type="dxa"/>
            <w:vAlign w:val="center"/>
          </w:tcPr>
          <w:p w14:paraId="787E6B1B">
            <w:pPr>
              <w:pStyle w:val="19"/>
              <w:spacing w:line="240" w:lineRule="auto"/>
              <w:ind w:firstLine="0"/>
              <w:jc w:val="center"/>
              <w:rPr>
                <w:sz w:val="21"/>
                <w:szCs w:val="21"/>
              </w:rPr>
            </w:pPr>
            <w:r>
              <w:rPr>
                <w:sz w:val="21"/>
                <w:szCs w:val="21"/>
              </w:rPr>
              <w:t>18000</w:t>
            </w:r>
          </w:p>
        </w:tc>
        <w:tc>
          <w:tcPr>
            <w:tcW w:w="1406" w:type="dxa"/>
            <w:vAlign w:val="center"/>
          </w:tcPr>
          <w:p w14:paraId="6651C5FB">
            <w:pPr>
              <w:pStyle w:val="19"/>
              <w:spacing w:line="240" w:lineRule="auto"/>
              <w:ind w:firstLine="0"/>
              <w:jc w:val="center"/>
              <w:rPr>
                <w:sz w:val="21"/>
                <w:szCs w:val="21"/>
              </w:rPr>
            </w:pPr>
            <w:r>
              <w:rPr>
                <w:sz w:val="21"/>
                <w:szCs w:val="21"/>
              </w:rPr>
              <w:t>8000</w:t>
            </w:r>
          </w:p>
        </w:tc>
        <w:tc>
          <w:tcPr>
            <w:tcW w:w="1096" w:type="dxa"/>
            <w:vAlign w:val="center"/>
          </w:tcPr>
          <w:p w14:paraId="7FA2932B">
            <w:pPr>
              <w:pStyle w:val="19"/>
              <w:spacing w:line="240" w:lineRule="auto"/>
              <w:ind w:firstLine="0"/>
              <w:jc w:val="center"/>
              <w:rPr>
                <w:sz w:val="21"/>
                <w:szCs w:val="21"/>
              </w:rPr>
            </w:pPr>
            <w:r>
              <w:rPr>
                <w:sz w:val="21"/>
                <w:szCs w:val="21"/>
              </w:rPr>
              <w:t>36000</w:t>
            </w:r>
          </w:p>
        </w:tc>
      </w:tr>
      <w:tr w14:paraId="483F47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1504A08">
            <w:pPr>
              <w:pStyle w:val="19"/>
              <w:spacing w:line="240" w:lineRule="auto"/>
              <w:ind w:firstLine="0"/>
              <w:jc w:val="center"/>
              <w:rPr>
                <w:sz w:val="21"/>
                <w:szCs w:val="21"/>
              </w:rPr>
            </w:pPr>
            <w:r>
              <w:rPr>
                <w:sz w:val="21"/>
                <w:szCs w:val="21"/>
              </w:rPr>
              <w:t>5</w:t>
            </w:r>
          </w:p>
        </w:tc>
        <w:tc>
          <w:tcPr>
            <w:tcW w:w="1762" w:type="dxa"/>
            <w:vAlign w:val="center"/>
          </w:tcPr>
          <w:p w14:paraId="68A373EF">
            <w:pPr>
              <w:pStyle w:val="19"/>
              <w:spacing w:line="240" w:lineRule="auto"/>
              <w:ind w:firstLine="0"/>
              <w:jc w:val="center"/>
              <w:rPr>
                <w:sz w:val="21"/>
                <w:szCs w:val="21"/>
              </w:rPr>
            </w:pPr>
            <w:r>
              <w:rPr>
                <w:sz w:val="21"/>
                <w:szCs w:val="21"/>
              </w:rPr>
              <w:t>铅</w:t>
            </w:r>
          </w:p>
        </w:tc>
        <w:tc>
          <w:tcPr>
            <w:tcW w:w="1313" w:type="dxa"/>
            <w:vAlign w:val="center"/>
          </w:tcPr>
          <w:p w14:paraId="1F9A10B0">
            <w:pPr>
              <w:pStyle w:val="19"/>
              <w:spacing w:line="240" w:lineRule="auto"/>
              <w:ind w:firstLine="0"/>
              <w:jc w:val="center"/>
              <w:rPr>
                <w:sz w:val="21"/>
                <w:szCs w:val="21"/>
              </w:rPr>
            </w:pPr>
            <w:r>
              <w:rPr>
                <w:sz w:val="21"/>
                <w:szCs w:val="21"/>
              </w:rPr>
              <w:t>7439-92-1</w:t>
            </w:r>
          </w:p>
        </w:tc>
        <w:tc>
          <w:tcPr>
            <w:tcW w:w="1287" w:type="dxa"/>
            <w:vAlign w:val="center"/>
          </w:tcPr>
          <w:p w14:paraId="0E78B71F">
            <w:pPr>
              <w:pStyle w:val="19"/>
              <w:spacing w:line="240" w:lineRule="auto"/>
              <w:ind w:firstLine="0"/>
              <w:jc w:val="center"/>
              <w:rPr>
                <w:sz w:val="21"/>
                <w:szCs w:val="21"/>
              </w:rPr>
            </w:pPr>
            <w:r>
              <w:rPr>
                <w:sz w:val="21"/>
                <w:szCs w:val="21"/>
              </w:rPr>
              <w:t>400</w:t>
            </w:r>
          </w:p>
        </w:tc>
        <w:tc>
          <w:tcPr>
            <w:tcW w:w="1000" w:type="dxa"/>
            <w:vAlign w:val="center"/>
          </w:tcPr>
          <w:p w14:paraId="30E7275F">
            <w:pPr>
              <w:pStyle w:val="19"/>
              <w:spacing w:line="240" w:lineRule="auto"/>
              <w:ind w:firstLine="0"/>
              <w:jc w:val="center"/>
              <w:rPr>
                <w:sz w:val="21"/>
                <w:szCs w:val="21"/>
              </w:rPr>
            </w:pPr>
            <w:r>
              <w:rPr>
                <w:sz w:val="21"/>
                <w:szCs w:val="21"/>
              </w:rPr>
              <w:t>800</w:t>
            </w:r>
          </w:p>
        </w:tc>
        <w:tc>
          <w:tcPr>
            <w:tcW w:w="1406" w:type="dxa"/>
            <w:vAlign w:val="center"/>
          </w:tcPr>
          <w:p w14:paraId="082B1BFB">
            <w:pPr>
              <w:pStyle w:val="19"/>
              <w:spacing w:line="240" w:lineRule="auto"/>
              <w:ind w:firstLine="0"/>
              <w:jc w:val="center"/>
              <w:rPr>
                <w:sz w:val="21"/>
                <w:szCs w:val="21"/>
              </w:rPr>
            </w:pPr>
            <w:r>
              <w:rPr>
                <w:sz w:val="21"/>
                <w:szCs w:val="21"/>
              </w:rPr>
              <w:t>800</w:t>
            </w:r>
          </w:p>
        </w:tc>
        <w:tc>
          <w:tcPr>
            <w:tcW w:w="1096" w:type="dxa"/>
            <w:vAlign w:val="center"/>
          </w:tcPr>
          <w:p w14:paraId="3A9B1753">
            <w:pPr>
              <w:pStyle w:val="19"/>
              <w:spacing w:line="240" w:lineRule="auto"/>
              <w:ind w:firstLine="0"/>
              <w:jc w:val="center"/>
              <w:rPr>
                <w:sz w:val="21"/>
                <w:szCs w:val="21"/>
              </w:rPr>
            </w:pPr>
            <w:r>
              <w:rPr>
                <w:sz w:val="21"/>
                <w:szCs w:val="21"/>
              </w:rPr>
              <w:t>2500</w:t>
            </w:r>
          </w:p>
        </w:tc>
      </w:tr>
      <w:tr w14:paraId="7AFF97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06D35334">
            <w:pPr>
              <w:pStyle w:val="19"/>
              <w:spacing w:line="240" w:lineRule="auto"/>
              <w:ind w:firstLine="0"/>
              <w:jc w:val="center"/>
              <w:rPr>
                <w:sz w:val="21"/>
                <w:szCs w:val="21"/>
              </w:rPr>
            </w:pPr>
            <w:r>
              <w:rPr>
                <w:sz w:val="21"/>
                <w:szCs w:val="21"/>
              </w:rPr>
              <w:t>6</w:t>
            </w:r>
          </w:p>
        </w:tc>
        <w:tc>
          <w:tcPr>
            <w:tcW w:w="1762" w:type="dxa"/>
            <w:vAlign w:val="center"/>
          </w:tcPr>
          <w:p w14:paraId="1D0E4618">
            <w:pPr>
              <w:pStyle w:val="19"/>
              <w:spacing w:line="240" w:lineRule="auto"/>
              <w:ind w:firstLine="0"/>
              <w:jc w:val="center"/>
              <w:rPr>
                <w:sz w:val="21"/>
                <w:szCs w:val="21"/>
              </w:rPr>
            </w:pPr>
            <w:r>
              <w:rPr>
                <w:sz w:val="21"/>
                <w:szCs w:val="21"/>
              </w:rPr>
              <w:t>汞</w:t>
            </w:r>
          </w:p>
        </w:tc>
        <w:tc>
          <w:tcPr>
            <w:tcW w:w="1313" w:type="dxa"/>
            <w:vAlign w:val="center"/>
          </w:tcPr>
          <w:p w14:paraId="076D6B42">
            <w:pPr>
              <w:pStyle w:val="19"/>
              <w:spacing w:line="240" w:lineRule="auto"/>
              <w:ind w:firstLine="0"/>
              <w:jc w:val="center"/>
              <w:rPr>
                <w:sz w:val="21"/>
                <w:szCs w:val="21"/>
              </w:rPr>
            </w:pPr>
            <w:r>
              <w:rPr>
                <w:sz w:val="21"/>
                <w:szCs w:val="21"/>
              </w:rPr>
              <w:t>7439-97-6</w:t>
            </w:r>
          </w:p>
        </w:tc>
        <w:tc>
          <w:tcPr>
            <w:tcW w:w="1287" w:type="dxa"/>
            <w:vAlign w:val="center"/>
          </w:tcPr>
          <w:p w14:paraId="523C94D6">
            <w:pPr>
              <w:pStyle w:val="19"/>
              <w:spacing w:line="240" w:lineRule="auto"/>
              <w:ind w:firstLine="0"/>
              <w:jc w:val="center"/>
              <w:rPr>
                <w:sz w:val="21"/>
                <w:szCs w:val="21"/>
              </w:rPr>
            </w:pPr>
            <w:r>
              <w:rPr>
                <w:sz w:val="21"/>
                <w:szCs w:val="21"/>
              </w:rPr>
              <w:t>8</w:t>
            </w:r>
          </w:p>
        </w:tc>
        <w:tc>
          <w:tcPr>
            <w:tcW w:w="1000" w:type="dxa"/>
            <w:vAlign w:val="center"/>
          </w:tcPr>
          <w:p w14:paraId="454D4449">
            <w:pPr>
              <w:pStyle w:val="19"/>
              <w:spacing w:line="240" w:lineRule="auto"/>
              <w:ind w:firstLine="0"/>
              <w:jc w:val="center"/>
              <w:rPr>
                <w:sz w:val="21"/>
                <w:szCs w:val="21"/>
              </w:rPr>
            </w:pPr>
            <w:r>
              <w:rPr>
                <w:sz w:val="21"/>
                <w:szCs w:val="21"/>
              </w:rPr>
              <w:t>38</w:t>
            </w:r>
          </w:p>
        </w:tc>
        <w:tc>
          <w:tcPr>
            <w:tcW w:w="1406" w:type="dxa"/>
            <w:vAlign w:val="center"/>
          </w:tcPr>
          <w:p w14:paraId="0552C6E4">
            <w:pPr>
              <w:pStyle w:val="19"/>
              <w:spacing w:line="240" w:lineRule="auto"/>
              <w:ind w:firstLine="0"/>
              <w:jc w:val="center"/>
              <w:rPr>
                <w:sz w:val="21"/>
                <w:szCs w:val="21"/>
              </w:rPr>
            </w:pPr>
            <w:r>
              <w:rPr>
                <w:sz w:val="21"/>
                <w:szCs w:val="21"/>
              </w:rPr>
              <w:t>33</w:t>
            </w:r>
          </w:p>
        </w:tc>
        <w:tc>
          <w:tcPr>
            <w:tcW w:w="1096" w:type="dxa"/>
            <w:vAlign w:val="center"/>
          </w:tcPr>
          <w:p w14:paraId="1380E676">
            <w:pPr>
              <w:pStyle w:val="19"/>
              <w:spacing w:line="240" w:lineRule="auto"/>
              <w:ind w:firstLine="0"/>
              <w:jc w:val="center"/>
              <w:rPr>
                <w:sz w:val="21"/>
                <w:szCs w:val="21"/>
              </w:rPr>
            </w:pPr>
            <w:r>
              <w:rPr>
                <w:sz w:val="21"/>
                <w:szCs w:val="21"/>
              </w:rPr>
              <w:t>82</w:t>
            </w:r>
          </w:p>
        </w:tc>
      </w:tr>
      <w:tr w14:paraId="4B69FC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3E141A85">
            <w:pPr>
              <w:pStyle w:val="19"/>
              <w:spacing w:line="240" w:lineRule="auto"/>
              <w:ind w:firstLine="0"/>
              <w:jc w:val="center"/>
              <w:rPr>
                <w:sz w:val="21"/>
                <w:szCs w:val="21"/>
              </w:rPr>
            </w:pPr>
            <w:r>
              <w:rPr>
                <w:sz w:val="21"/>
                <w:szCs w:val="21"/>
              </w:rPr>
              <w:t>7</w:t>
            </w:r>
          </w:p>
        </w:tc>
        <w:tc>
          <w:tcPr>
            <w:tcW w:w="1762" w:type="dxa"/>
            <w:vAlign w:val="center"/>
          </w:tcPr>
          <w:p w14:paraId="7CA34D79">
            <w:pPr>
              <w:pStyle w:val="19"/>
              <w:spacing w:line="240" w:lineRule="auto"/>
              <w:ind w:firstLine="0"/>
              <w:jc w:val="center"/>
              <w:rPr>
                <w:sz w:val="21"/>
                <w:szCs w:val="21"/>
              </w:rPr>
            </w:pPr>
            <w:r>
              <w:rPr>
                <w:sz w:val="21"/>
                <w:szCs w:val="21"/>
              </w:rPr>
              <w:t>镍</w:t>
            </w:r>
          </w:p>
        </w:tc>
        <w:tc>
          <w:tcPr>
            <w:tcW w:w="1313" w:type="dxa"/>
            <w:vAlign w:val="center"/>
          </w:tcPr>
          <w:p w14:paraId="28BBBBB2">
            <w:pPr>
              <w:pStyle w:val="19"/>
              <w:spacing w:line="240" w:lineRule="auto"/>
              <w:ind w:firstLine="0"/>
              <w:jc w:val="center"/>
              <w:rPr>
                <w:sz w:val="21"/>
                <w:szCs w:val="21"/>
              </w:rPr>
            </w:pPr>
            <w:r>
              <w:rPr>
                <w:sz w:val="21"/>
                <w:szCs w:val="21"/>
              </w:rPr>
              <w:t>7440-02-0</w:t>
            </w:r>
          </w:p>
        </w:tc>
        <w:tc>
          <w:tcPr>
            <w:tcW w:w="1287" w:type="dxa"/>
            <w:vAlign w:val="center"/>
          </w:tcPr>
          <w:p w14:paraId="70037428">
            <w:pPr>
              <w:pStyle w:val="19"/>
              <w:spacing w:line="240" w:lineRule="auto"/>
              <w:ind w:firstLine="0"/>
              <w:jc w:val="center"/>
              <w:rPr>
                <w:sz w:val="21"/>
                <w:szCs w:val="21"/>
              </w:rPr>
            </w:pPr>
            <w:r>
              <w:rPr>
                <w:sz w:val="21"/>
                <w:szCs w:val="21"/>
              </w:rPr>
              <w:t>150</w:t>
            </w:r>
          </w:p>
        </w:tc>
        <w:tc>
          <w:tcPr>
            <w:tcW w:w="1000" w:type="dxa"/>
            <w:vAlign w:val="center"/>
          </w:tcPr>
          <w:p w14:paraId="52F6D87A">
            <w:pPr>
              <w:pStyle w:val="19"/>
              <w:spacing w:line="240" w:lineRule="auto"/>
              <w:ind w:firstLine="0"/>
              <w:jc w:val="center"/>
              <w:rPr>
                <w:sz w:val="21"/>
                <w:szCs w:val="21"/>
              </w:rPr>
            </w:pPr>
            <w:r>
              <w:rPr>
                <w:sz w:val="21"/>
                <w:szCs w:val="21"/>
              </w:rPr>
              <w:t>900</w:t>
            </w:r>
          </w:p>
        </w:tc>
        <w:tc>
          <w:tcPr>
            <w:tcW w:w="1406" w:type="dxa"/>
            <w:vAlign w:val="center"/>
          </w:tcPr>
          <w:p w14:paraId="14203E7E">
            <w:pPr>
              <w:pStyle w:val="19"/>
              <w:spacing w:line="240" w:lineRule="auto"/>
              <w:ind w:firstLine="0"/>
              <w:jc w:val="center"/>
              <w:rPr>
                <w:sz w:val="21"/>
                <w:szCs w:val="21"/>
              </w:rPr>
            </w:pPr>
            <w:r>
              <w:rPr>
                <w:sz w:val="21"/>
                <w:szCs w:val="21"/>
              </w:rPr>
              <w:t>600</w:t>
            </w:r>
          </w:p>
        </w:tc>
        <w:tc>
          <w:tcPr>
            <w:tcW w:w="1096" w:type="dxa"/>
            <w:vAlign w:val="center"/>
          </w:tcPr>
          <w:p w14:paraId="3139DF87">
            <w:pPr>
              <w:pStyle w:val="19"/>
              <w:spacing w:line="240" w:lineRule="auto"/>
              <w:ind w:firstLine="0"/>
              <w:jc w:val="center"/>
              <w:rPr>
                <w:sz w:val="21"/>
                <w:szCs w:val="21"/>
              </w:rPr>
            </w:pPr>
            <w:r>
              <w:rPr>
                <w:sz w:val="21"/>
                <w:szCs w:val="21"/>
              </w:rPr>
              <w:t>2000</w:t>
            </w:r>
          </w:p>
        </w:tc>
      </w:tr>
      <w:tr w14:paraId="694C2A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8328" w:type="dxa"/>
            <w:gridSpan w:val="7"/>
            <w:vAlign w:val="center"/>
          </w:tcPr>
          <w:p w14:paraId="11F10FB5">
            <w:pPr>
              <w:pStyle w:val="19"/>
              <w:spacing w:line="240" w:lineRule="auto"/>
              <w:ind w:firstLine="0"/>
              <w:jc w:val="center"/>
              <w:rPr>
                <w:sz w:val="21"/>
                <w:szCs w:val="21"/>
              </w:rPr>
            </w:pPr>
            <w:r>
              <w:rPr>
                <w:sz w:val="21"/>
                <w:szCs w:val="21"/>
              </w:rPr>
              <w:t>挥发性有机物</w:t>
            </w:r>
          </w:p>
        </w:tc>
      </w:tr>
      <w:tr w14:paraId="5547A8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29F08A2C">
            <w:pPr>
              <w:pStyle w:val="19"/>
              <w:spacing w:line="240" w:lineRule="auto"/>
              <w:ind w:firstLine="0"/>
              <w:jc w:val="center"/>
              <w:rPr>
                <w:sz w:val="21"/>
                <w:szCs w:val="21"/>
              </w:rPr>
            </w:pPr>
            <w:r>
              <w:rPr>
                <w:sz w:val="21"/>
                <w:szCs w:val="21"/>
              </w:rPr>
              <w:t>8</w:t>
            </w:r>
          </w:p>
        </w:tc>
        <w:tc>
          <w:tcPr>
            <w:tcW w:w="1762" w:type="dxa"/>
            <w:vAlign w:val="center"/>
          </w:tcPr>
          <w:p w14:paraId="0E36ACA1">
            <w:pPr>
              <w:pStyle w:val="19"/>
              <w:spacing w:line="240" w:lineRule="auto"/>
              <w:ind w:firstLine="0"/>
              <w:jc w:val="center"/>
              <w:rPr>
                <w:sz w:val="21"/>
                <w:szCs w:val="21"/>
              </w:rPr>
            </w:pPr>
            <w:r>
              <w:rPr>
                <w:sz w:val="21"/>
                <w:szCs w:val="21"/>
              </w:rPr>
              <w:t>四氯化碳</w:t>
            </w:r>
          </w:p>
        </w:tc>
        <w:tc>
          <w:tcPr>
            <w:tcW w:w="1313" w:type="dxa"/>
            <w:vAlign w:val="center"/>
          </w:tcPr>
          <w:p w14:paraId="6D7B8EEA">
            <w:pPr>
              <w:pStyle w:val="19"/>
              <w:spacing w:line="240" w:lineRule="auto"/>
              <w:ind w:firstLine="0"/>
              <w:jc w:val="center"/>
              <w:rPr>
                <w:sz w:val="21"/>
                <w:szCs w:val="21"/>
              </w:rPr>
            </w:pPr>
            <w:r>
              <w:rPr>
                <w:sz w:val="21"/>
                <w:szCs w:val="21"/>
              </w:rPr>
              <w:t>56-23-5</w:t>
            </w:r>
          </w:p>
        </w:tc>
        <w:tc>
          <w:tcPr>
            <w:tcW w:w="1287" w:type="dxa"/>
            <w:vAlign w:val="center"/>
          </w:tcPr>
          <w:p w14:paraId="0B53A861">
            <w:pPr>
              <w:pStyle w:val="19"/>
              <w:spacing w:line="240" w:lineRule="auto"/>
              <w:ind w:firstLine="0"/>
              <w:jc w:val="center"/>
              <w:rPr>
                <w:sz w:val="21"/>
                <w:szCs w:val="21"/>
              </w:rPr>
            </w:pPr>
            <w:r>
              <w:rPr>
                <w:sz w:val="21"/>
                <w:szCs w:val="21"/>
              </w:rPr>
              <w:t>0.9</w:t>
            </w:r>
          </w:p>
        </w:tc>
        <w:tc>
          <w:tcPr>
            <w:tcW w:w="1000" w:type="dxa"/>
            <w:vAlign w:val="center"/>
          </w:tcPr>
          <w:p w14:paraId="58703D1B">
            <w:pPr>
              <w:pStyle w:val="19"/>
              <w:spacing w:line="240" w:lineRule="auto"/>
              <w:ind w:firstLine="0"/>
              <w:jc w:val="center"/>
              <w:rPr>
                <w:sz w:val="21"/>
                <w:szCs w:val="21"/>
              </w:rPr>
            </w:pPr>
            <w:r>
              <w:rPr>
                <w:sz w:val="21"/>
                <w:szCs w:val="21"/>
              </w:rPr>
              <w:t>2.8</w:t>
            </w:r>
          </w:p>
        </w:tc>
        <w:tc>
          <w:tcPr>
            <w:tcW w:w="1406" w:type="dxa"/>
            <w:vAlign w:val="center"/>
          </w:tcPr>
          <w:p w14:paraId="1484AB4A">
            <w:pPr>
              <w:pStyle w:val="19"/>
              <w:spacing w:line="240" w:lineRule="auto"/>
              <w:ind w:firstLine="0"/>
              <w:jc w:val="center"/>
              <w:rPr>
                <w:sz w:val="21"/>
                <w:szCs w:val="21"/>
              </w:rPr>
            </w:pPr>
            <w:r>
              <w:rPr>
                <w:sz w:val="21"/>
                <w:szCs w:val="21"/>
              </w:rPr>
              <w:t>9</w:t>
            </w:r>
          </w:p>
        </w:tc>
        <w:tc>
          <w:tcPr>
            <w:tcW w:w="1096" w:type="dxa"/>
            <w:vAlign w:val="center"/>
          </w:tcPr>
          <w:p w14:paraId="0C97979C">
            <w:pPr>
              <w:pStyle w:val="19"/>
              <w:spacing w:line="240" w:lineRule="auto"/>
              <w:ind w:firstLine="0"/>
              <w:jc w:val="center"/>
              <w:rPr>
                <w:sz w:val="21"/>
                <w:szCs w:val="21"/>
              </w:rPr>
            </w:pPr>
            <w:r>
              <w:rPr>
                <w:sz w:val="21"/>
                <w:szCs w:val="21"/>
              </w:rPr>
              <w:t>36</w:t>
            </w:r>
          </w:p>
        </w:tc>
      </w:tr>
      <w:tr w14:paraId="549A90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6403FA26">
            <w:pPr>
              <w:pStyle w:val="19"/>
              <w:spacing w:line="240" w:lineRule="auto"/>
              <w:ind w:firstLine="0"/>
              <w:jc w:val="center"/>
              <w:rPr>
                <w:sz w:val="21"/>
                <w:szCs w:val="21"/>
              </w:rPr>
            </w:pPr>
            <w:r>
              <w:rPr>
                <w:sz w:val="21"/>
                <w:szCs w:val="21"/>
              </w:rPr>
              <w:t>9</w:t>
            </w:r>
          </w:p>
        </w:tc>
        <w:tc>
          <w:tcPr>
            <w:tcW w:w="1762" w:type="dxa"/>
            <w:vAlign w:val="center"/>
          </w:tcPr>
          <w:p w14:paraId="6849D2C0">
            <w:pPr>
              <w:pStyle w:val="19"/>
              <w:spacing w:line="240" w:lineRule="auto"/>
              <w:ind w:firstLine="0"/>
              <w:jc w:val="center"/>
              <w:rPr>
                <w:sz w:val="21"/>
                <w:szCs w:val="21"/>
              </w:rPr>
            </w:pPr>
            <w:r>
              <w:rPr>
                <w:sz w:val="21"/>
                <w:szCs w:val="21"/>
              </w:rPr>
              <w:t>氯仿</w:t>
            </w:r>
          </w:p>
        </w:tc>
        <w:tc>
          <w:tcPr>
            <w:tcW w:w="1313" w:type="dxa"/>
            <w:vAlign w:val="center"/>
          </w:tcPr>
          <w:p w14:paraId="11864211">
            <w:pPr>
              <w:pStyle w:val="19"/>
              <w:spacing w:line="240" w:lineRule="auto"/>
              <w:ind w:firstLine="0"/>
              <w:jc w:val="center"/>
              <w:rPr>
                <w:sz w:val="21"/>
                <w:szCs w:val="21"/>
              </w:rPr>
            </w:pPr>
            <w:r>
              <w:rPr>
                <w:sz w:val="21"/>
                <w:szCs w:val="21"/>
              </w:rPr>
              <w:t>67-66-3</w:t>
            </w:r>
          </w:p>
        </w:tc>
        <w:tc>
          <w:tcPr>
            <w:tcW w:w="1287" w:type="dxa"/>
            <w:vAlign w:val="center"/>
          </w:tcPr>
          <w:p w14:paraId="144A290D">
            <w:pPr>
              <w:pStyle w:val="19"/>
              <w:spacing w:line="240" w:lineRule="auto"/>
              <w:ind w:firstLine="0"/>
              <w:jc w:val="center"/>
              <w:rPr>
                <w:sz w:val="21"/>
                <w:szCs w:val="21"/>
              </w:rPr>
            </w:pPr>
            <w:r>
              <w:rPr>
                <w:sz w:val="21"/>
                <w:szCs w:val="21"/>
              </w:rPr>
              <w:t>0.3</w:t>
            </w:r>
          </w:p>
        </w:tc>
        <w:tc>
          <w:tcPr>
            <w:tcW w:w="1000" w:type="dxa"/>
            <w:vAlign w:val="center"/>
          </w:tcPr>
          <w:p w14:paraId="58A2D6EF">
            <w:pPr>
              <w:pStyle w:val="19"/>
              <w:spacing w:line="240" w:lineRule="auto"/>
              <w:ind w:firstLine="0"/>
              <w:jc w:val="center"/>
              <w:rPr>
                <w:sz w:val="21"/>
                <w:szCs w:val="21"/>
              </w:rPr>
            </w:pPr>
            <w:r>
              <w:rPr>
                <w:sz w:val="21"/>
                <w:szCs w:val="21"/>
              </w:rPr>
              <w:t>0.9</w:t>
            </w:r>
          </w:p>
        </w:tc>
        <w:tc>
          <w:tcPr>
            <w:tcW w:w="1406" w:type="dxa"/>
            <w:vAlign w:val="center"/>
          </w:tcPr>
          <w:p w14:paraId="2B42E97A">
            <w:pPr>
              <w:pStyle w:val="19"/>
              <w:spacing w:line="240" w:lineRule="auto"/>
              <w:ind w:firstLine="0"/>
              <w:jc w:val="center"/>
              <w:rPr>
                <w:sz w:val="21"/>
                <w:szCs w:val="21"/>
              </w:rPr>
            </w:pPr>
            <w:r>
              <w:rPr>
                <w:sz w:val="21"/>
                <w:szCs w:val="21"/>
              </w:rPr>
              <w:t>5</w:t>
            </w:r>
          </w:p>
        </w:tc>
        <w:tc>
          <w:tcPr>
            <w:tcW w:w="1096" w:type="dxa"/>
            <w:vAlign w:val="center"/>
          </w:tcPr>
          <w:p w14:paraId="45AF1925">
            <w:pPr>
              <w:pStyle w:val="19"/>
              <w:spacing w:line="240" w:lineRule="auto"/>
              <w:ind w:firstLine="0"/>
              <w:jc w:val="center"/>
              <w:rPr>
                <w:sz w:val="21"/>
                <w:szCs w:val="21"/>
              </w:rPr>
            </w:pPr>
            <w:r>
              <w:rPr>
                <w:sz w:val="21"/>
                <w:szCs w:val="21"/>
              </w:rPr>
              <w:t>10</w:t>
            </w:r>
          </w:p>
        </w:tc>
      </w:tr>
      <w:tr w14:paraId="3D3AA6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8DA92FA">
            <w:pPr>
              <w:pStyle w:val="19"/>
              <w:spacing w:line="240" w:lineRule="auto"/>
              <w:ind w:firstLine="0"/>
              <w:jc w:val="center"/>
              <w:rPr>
                <w:sz w:val="21"/>
                <w:szCs w:val="21"/>
              </w:rPr>
            </w:pPr>
            <w:r>
              <w:rPr>
                <w:sz w:val="21"/>
                <w:szCs w:val="21"/>
              </w:rPr>
              <w:t>10</w:t>
            </w:r>
          </w:p>
        </w:tc>
        <w:tc>
          <w:tcPr>
            <w:tcW w:w="1762" w:type="dxa"/>
            <w:vAlign w:val="center"/>
          </w:tcPr>
          <w:p w14:paraId="066A9E93">
            <w:pPr>
              <w:pStyle w:val="19"/>
              <w:spacing w:line="240" w:lineRule="auto"/>
              <w:ind w:firstLine="0"/>
              <w:jc w:val="center"/>
              <w:rPr>
                <w:sz w:val="21"/>
                <w:szCs w:val="21"/>
              </w:rPr>
            </w:pPr>
            <w:r>
              <w:rPr>
                <w:sz w:val="21"/>
                <w:szCs w:val="21"/>
              </w:rPr>
              <w:t>氯甲烷</w:t>
            </w:r>
          </w:p>
        </w:tc>
        <w:tc>
          <w:tcPr>
            <w:tcW w:w="1313" w:type="dxa"/>
            <w:vAlign w:val="center"/>
          </w:tcPr>
          <w:p w14:paraId="2946F408">
            <w:pPr>
              <w:pStyle w:val="19"/>
              <w:spacing w:line="240" w:lineRule="auto"/>
              <w:ind w:firstLine="0"/>
              <w:jc w:val="center"/>
              <w:rPr>
                <w:sz w:val="21"/>
                <w:szCs w:val="21"/>
              </w:rPr>
            </w:pPr>
            <w:r>
              <w:rPr>
                <w:sz w:val="21"/>
                <w:szCs w:val="21"/>
              </w:rPr>
              <w:t>74-87-3</w:t>
            </w:r>
          </w:p>
        </w:tc>
        <w:tc>
          <w:tcPr>
            <w:tcW w:w="1287" w:type="dxa"/>
            <w:vAlign w:val="center"/>
          </w:tcPr>
          <w:p w14:paraId="3A681334">
            <w:pPr>
              <w:pStyle w:val="19"/>
              <w:spacing w:line="240" w:lineRule="auto"/>
              <w:ind w:firstLine="0"/>
              <w:jc w:val="center"/>
              <w:rPr>
                <w:sz w:val="21"/>
                <w:szCs w:val="21"/>
              </w:rPr>
            </w:pPr>
            <w:r>
              <w:rPr>
                <w:sz w:val="21"/>
                <w:szCs w:val="21"/>
              </w:rPr>
              <w:t>12</w:t>
            </w:r>
          </w:p>
        </w:tc>
        <w:tc>
          <w:tcPr>
            <w:tcW w:w="1000" w:type="dxa"/>
            <w:vAlign w:val="center"/>
          </w:tcPr>
          <w:p w14:paraId="71351591">
            <w:pPr>
              <w:pStyle w:val="19"/>
              <w:spacing w:line="240" w:lineRule="auto"/>
              <w:ind w:firstLine="0"/>
              <w:jc w:val="center"/>
              <w:rPr>
                <w:sz w:val="21"/>
                <w:szCs w:val="21"/>
              </w:rPr>
            </w:pPr>
            <w:r>
              <w:rPr>
                <w:sz w:val="21"/>
                <w:szCs w:val="21"/>
              </w:rPr>
              <w:t>37</w:t>
            </w:r>
          </w:p>
        </w:tc>
        <w:tc>
          <w:tcPr>
            <w:tcW w:w="1406" w:type="dxa"/>
            <w:vAlign w:val="center"/>
          </w:tcPr>
          <w:p w14:paraId="7D64AC54">
            <w:pPr>
              <w:pStyle w:val="19"/>
              <w:spacing w:line="240" w:lineRule="auto"/>
              <w:ind w:firstLine="0"/>
              <w:jc w:val="center"/>
              <w:rPr>
                <w:sz w:val="21"/>
                <w:szCs w:val="21"/>
              </w:rPr>
            </w:pPr>
            <w:r>
              <w:rPr>
                <w:sz w:val="21"/>
                <w:szCs w:val="21"/>
              </w:rPr>
              <w:t>21</w:t>
            </w:r>
          </w:p>
        </w:tc>
        <w:tc>
          <w:tcPr>
            <w:tcW w:w="1096" w:type="dxa"/>
            <w:vAlign w:val="center"/>
          </w:tcPr>
          <w:p w14:paraId="41A02E47">
            <w:pPr>
              <w:pStyle w:val="19"/>
              <w:spacing w:line="240" w:lineRule="auto"/>
              <w:ind w:firstLine="0"/>
              <w:jc w:val="center"/>
              <w:rPr>
                <w:sz w:val="21"/>
                <w:szCs w:val="21"/>
              </w:rPr>
            </w:pPr>
            <w:r>
              <w:rPr>
                <w:sz w:val="21"/>
                <w:szCs w:val="21"/>
              </w:rPr>
              <w:t>120</w:t>
            </w:r>
          </w:p>
        </w:tc>
      </w:tr>
      <w:tr w14:paraId="192797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183E49F">
            <w:pPr>
              <w:pStyle w:val="19"/>
              <w:spacing w:line="240" w:lineRule="auto"/>
              <w:ind w:firstLine="0"/>
              <w:jc w:val="center"/>
              <w:rPr>
                <w:sz w:val="21"/>
                <w:szCs w:val="21"/>
              </w:rPr>
            </w:pPr>
            <w:r>
              <w:rPr>
                <w:sz w:val="21"/>
                <w:szCs w:val="21"/>
              </w:rPr>
              <w:t>11</w:t>
            </w:r>
          </w:p>
        </w:tc>
        <w:tc>
          <w:tcPr>
            <w:tcW w:w="1762" w:type="dxa"/>
            <w:vAlign w:val="center"/>
          </w:tcPr>
          <w:p w14:paraId="4DE19D7B">
            <w:pPr>
              <w:pStyle w:val="19"/>
              <w:spacing w:line="240" w:lineRule="auto"/>
              <w:ind w:firstLine="0"/>
              <w:jc w:val="center"/>
              <w:rPr>
                <w:sz w:val="21"/>
                <w:szCs w:val="21"/>
              </w:rPr>
            </w:pPr>
            <w:r>
              <w:rPr>
                <w:sz w:val="21"/>
                <w:szCs w:val="21"/>
              </w:rPr>
              <w:t>1</w:t>
            </w:r>
            <w:r>
              <w:rPr>
                <w:rFonts w:hint="eastAsia"/>
                <w:sz w:val="21"/>
                <w:szCs w:val="21"/>
              </w:rPr>
              <w:t>，</w:t>
            </w:r>
            <w:r>
              <w:rPr>
                <w:sz w:val="21"/>
                <w:szCs w:val="21"/>
              </w:rPr>
              <w:t>1-二氯乙烷</w:t>
            </w:r>
          </w:p>
        </w:tc>
        <w:tc>
          <w:tcPr>
            <w:tcW w:w="1313" w:type="dxa"/>
            <w:vAlign w:val="center"/>
          </w:tcPr>
          <w:p w14:paraId="6B852DD1">
            <w:pPr>
              <w:pStyle w:val="19"/>
              <w:spacing w:line="240" w:lineRule="auto"/>
              <w:ind w:firstLine="0"/>
              <w:jc w:val="center"/>
              <w:rPr>
                <w:sz w:val="21"/>
                <w:szCs w:val="21"/>
              </w:rPr>
            </w:pPr>
            <w:r>
              <w:rPr>
                <w:sz w:val="21"/>
                <w:szCs w:val="21"/>
              </w:rPr>
              <w:t>75-34-3</w:t>
            </w:r>
          </w:p>
        </w:tc>
        <w:tc>
          <w:tcPr>
            <w:tcW w:w="1287" w:type="dxa"/>
            <w:vAlign w:val="center"/>
          </w:tcPr>
          <w:p w14:paraId="3E557523">
            <w:pPr>
              <w:pStyle w:val="19"/>
              <w:spacing w:line="240" w:lineRule="auto"/>
              <w:ind w:firstLine="0"/>
              <w:jc w:val="center"/>
              <w:rPr>
                <w:sz w:val="21"/>
                <w:szCs w:val="21"/>
              </w:rPr>
            </w:pPr>
            <w:r>
              <w:rPr>
                <w:sz w:val="21"/>
                <w:szCs w:val="21"/>
              </w:rPr>
              <w:t>3</w:t>
            </w:r>
          </w:p>
        </w:tc>
        <w:tc>
          <w:tcPr>
            <w:tcW w:w="1000" w:type="dxa"/>
            <w:vAlign w:val="center"/>
          </w:tcPr>
          <w:p w14:paraId="559F2131">
            <w:pPr>
              <w:pStyle w:val="19"/>
              <w:spacing w:line="240" w:lineRule="auto"/>
              <w:ind w:firstLine="0"/>
              <w:jc w:val="center"/>
              <w:rPr>
                <w:sz w:val="21"/>
                <w:szCs w:val="21"/>
              </w:rPr>
            </w:pPr>
            <w:r>
              <w:rPr>
                <w:sz w:val="21"/>
                <w:szCs w:val="21"/>
              </w:rPr>
              <w:t>9</w:t>
            </w:r>
          </w:p>
        </w:tc>
        <w:tc>
          <w:tcPr>
            <w:tcW w:w="1406" w:type="dxa"/>
            <w:vAlign w:val="center"/>
          </w:tcPr>
          <w:p w14:paraId="4ABFE892">
            <w:pPr>
              <w:pStyle w:val="19"/>
              <w:spacing w:line="240" w:lineRule="auto"/>
              <w:ind w:firstLine="0"/>
              <w:jc w:val="center"/>
              <w:rPr>
                <w:sz w:val="21"/>
                <w:szCs w:val="21"/>
              </w:rPr>
            </w:pPr>
            <w:r>
              <w:rPr>
                <w:sz w:val="21"/>
                <w:szCs w:val="21"/>
              </w:rPr>
              <w:t>20</w:t>
            </w:r>
          </w:p>
        </w:tc>
        <w:tc>
          <w:tcPr>
            <w:tcW w:w="1096" w:type="dxa"/>
            <w:vAlign w:val="center"/>
          </w:tcPr>
          <w:p w14:paraId="207A031F">
            <w:pPr>
              <w:pStyle w:val="19"/>
              <w:spacing w:line="240" w:lineRule="auto"/>
              <w:ind w:firstLine="0"/>
              <w:jc w:val="center"/>
              <w:rPr>
                <w:sz w:val="21"/>
                <w:szCs w:val="21"/>
              </w:rPr>
            </w:pPr>
            <w:r>
              <w:rPr>
                <w:sz w:val="21"/>
                <w:szCs w:val="21"/>
              </w:rPr>
              <w:t>100</w:t>
            </w:r>
          </w:p>
        </w:tc>
      </w:tr>
      <w:tr w14:paraId="7ABC51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D911AB6">
            <w:pPr>
              <w:pStyle w:val="19"/>
              <w:spacing w:line="240" w:lineRule="auto"/>
              <w:ind w:firstLine="0"/>
              <w:jc w:val="center"/>
              <w:rPr>
                <w:sz w:val="21"/>
                <w:szCs w:val="21"/>
              </w:rPr>
            </w:pPr>
            <w:r>
              <w:rPr>
                <w:sz w:val="21"/>
                <w:szCs w:val="21"/>
              </w:rPr>
              <w:t>12</w:t>
            </w:r>
          </w:p>
        </w:tc>
        <w:tc>
          <w:tcPr>
            <w:tcW w:w="1762" w:type="dxa"/>
            <w:vAlign w:val="center"/>
          </w:tcPr>
          <w:p w14:paraId="0D977A6F">
            <w:pPr>
              <w:pStyle w:val="19"/>
              <w:spacing w:line="240" w:lineRule="auto"/>
              <w:ind w:firstLine="0"/>
              <w:jc w:val="center"/>
              <w:rPr>
                <w:sz w:val="21"/>
                <w:szCs w:val="21"/>
              </w:rPr>
            </w:pPr>
            <w:r>
              <w:rPr>
                <w:sz w:val="21"/>
                <w:szCs w:val="21"/>
              </w:rPr>
              <w:t>1</w:t>
            </w:r>
            <w:r>
              <w:rPr>
                <w:rFonts w:hint="eastAsia"/>
                <w:sz w:val="21"/>
                <w:szCs w:val="21"/>
              </w:rPr>
              <w:t>，</w:t>
            </w:r>
            <w:r>
              <w:rPr>
                <w:sz w:val="21"/>
                <w:szCs w:val="21"/>
              </w:rPr>
              <w:t>2-二氯乙烷</w:t>
            </w:r>
          </w:p>
        </w:tc>
        <w:tc>
          <w:tcPr>
            <w:tcW w:w="1313" w:type="dxa"/>
            <w:vAlign w:val="center"/>
          </w:tcPr>
          <w:p w14:paraId="3AE3A27F">
            <w:pPr>
              <w:pStyle w:val="19"/>
              <w:spacing w:line="240" w:lineRule="auto"/>
              <w:ind w:firstLine="0"/>
              <w:jc w:val="center"/>
              <w:rPr>
                <w:sz w:val="21"/>
                <w:szCs w:val="21"/>
              </w:rPr>
            </w:pPr>
            <w:r>
              <w:rPr>
                <w:sz w:val="21"/>
                <w:szCs w:val="21"/>
              </w:rPr>
              <w:t>107-06-2</w:t>
            </w:r>
          </w:p>
        </w:tc>
        <w:tc>
          <w:tcPr>
            <w:tcW w:w="1287" w:type="dxa"/>
            <w:vAlign w:val="center"/>
          </w:tcPr>
          <w:p w14:paraId="6F05A7F4">
            <w:pPr>
              <w:pStyle w:val="19"/>
              <w:spacing w:line="240" w:lineRule="auto"/>
              <w:ind w:firstLine="0"/>
              <w:jc w:val="center"/>
              <w:rPr>
                <w:sz w:val="21"/>
                <w:szCs w:val="21"/>
              </w:rPr>
            </w:pPr>
            <w:r>
              <w:rPr>
                <w:sz w:val="21"/>
                <w:szCs w:val="21"/>
              </w:rPr>
              <w:t>0.52</w:t>
            </w:r>
          </w:p>
        </w:tc>
        <w:tc>
          <w:tcPr>
            <w:tcW w:w="1000" w:type="dxa"/>
            <w:vAlign w:val="center"/>
          </w:tcPr>
          <w:p w14:paraId="104B7FBA">
            <w:pPr>
              <w:pStyle w:val="19"/>
              <w:spacing w:line="240" w:lineRule="auto"/>
              <w:ind w:firstLine="0"/>
              <w:jc w:val="center"/>
              <w:rPr>
                <w:sz w:val="21"/>
                <w:szCs w:val="21"/>
              </w:rPr>
            </w:pPr>
            <w:r>
              <w:rPr>
                <w:sz w:val="21"/>
                <w:szCs w:val="21"/>
              </w:rPr>
              <w:t>5</w:t>
            </w:r>
          </w:p>
        </w:tc>
        <w:tc>
          <w:tcPr>
            <w:tcW w:w="1406" w:type="dxa"/>
            <w:vAlign w:val="center"/>
          </w:tcPr>
          <w:p w14:paraId="2E1148A8">
            <w:pPr>
              <w:pStyle w:val="19"/>
              <w:spacing w:line="240" w:lineRule="auto"/>
              <w:ind w:firstLine="0"/>
              <w:jc w:val="center"/>
              <w:rPr>
                <w:sz w:val="21"/>
                <w:szCs w:val="21"/>
              </w:rPr>
            </w:pPr>
            <w:r>
              <w:rPr>
                <w:sz w:val="21"/>
                <w:szCs w:val="21"/>
              </w:rPr>
              <w:t>6</w:t>
            </w:r>
          </w:p>
        </w:tc>
        <w:tc>
          <w:tcPr>
            <w:tcW w:w="1096" w:type="dxa"/>
            <w:vAlign w:val="center"/>
          </w:tcPr>
          <w:p w14:paraId="31210F68">
            <w:pPr>
              <w:pStyle w:val="19"/>
              <w:spacing w:line="240" w:lineRule="auto"/>
              <w:ind w:firstLine="0"/>
              <w:jc w:val="center"/>
              <w:rPr>
                <w:sz w:val="21"/>
                <w:szCs w:val="21"/>
              </w:rPr>
            </w:pPr>
            <w:r>
              <w:rPr>
                <w:sz w:val="21"/>
                <w:szCs w:val="21"/>
              </w:rPr>
              <w:t>21</w:t>
            </w:r>
          </w:p>
        </w:tc>
      </w:tr>
      <w:tr w14:paraId="311B9A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3407557E">
            <w:pPr>
              <w:pStyle w:val="19"/>
              <w:spacing w:line="240" w:lineRule="auto"/>
              <w:ind w:firstLine="0"/>
              <w:jc w:val="center"/>
              <w:rPr>
                <w:sz w:val="21"/>
                <w:szCs w:val="21"/>
              </w:rPr>
            </w:pPr>
            <w:r>
              <w:rPr>
                <w:sz w:val="21"/>
                <w:szCs w:val="21"/>
              </w:rPr>
              <w:t>13</w:t>
            </w:r>
          </w:p>
        </w:tc>
        <w:tc>
          <w:tcPr>
            <w:tcW w:w="1762" w:type="dxa"/>
            <w:vAlign w:val="center"/>
          </w:tcPr>
          <w:p w14:paraId="3A4A0578">
            <w:pPr>
              <w:pStyle w:val="19"/>
              <w:spacing w:line="240" w:lineRule="auto"/>
              <w:ind w:firstLine="0"/>
              <w:jc w:val="center"/>
              <w:rPr>
                <w:sz w:val="21"/>
                <w:szCs w:val="21"/>
              </w:rPr>
            </w:pPr>
            <w:r>
              <w:rPr>
                <w:sz w:val="21"/>
                <w:szCs w:val="21"/>
              </w:rPr>
              <w:t>1</w:t>
            </w:r>
            <w:r>
              <w:rPr>
                <w:rFonts w:hint="eastAsia"/>
                <w:sz w:val="21"/>
                <w:szCs w:val="21"/>
              </w:rPr>
              <w:t>，</w:t>
            </w:r>
            <w:r>
              <w:rPr>
                <w:sz w:val="21"/>
                <w:szCs w:val="21"/>
              </w:rPr>
              <w:t>1-二氯乙烯</w:t>
            </w:r>
          </w:p>
        </w:tc>
        <w:tc>
          <w:tcPr>
            <w:tcW w:w="1313" w:type="dxa"/>
            <w:vAlign w:val="center"/>
          </w:tcPr>
          <w:p w14:paraId="0E7A01CF">
            <w:pPr>
              <w:pStyle w:val="19"/>
              <w:spacing w:line="240" w:lineRule="auto"/>
              <w:ind w:firstLine="0"/>
              <w:jc w:val="center"/>
              <w:rPr>
                <w:sz w:val="21"/>
                <w:szCs w:val="21"/>
              </w:rPr>
            </w:pPr>
            <w:r>
              <w:rPr>
                <w:sz w:val="21"/>
                <w:szCs w:val="21"/>
              </w:rPr>
              <w:t>75-35-4</w:t>
            </w:r>
          </w:p>
        </w:tc>
        <w:tc>
          <w:tcPr>
            <w:tcW w:w="1287" w:type="dxa"/>
            <w:vAlign w:val="center"/>
          </w:tcPr>
          <w:p w14:paraId="4A92BCC1">
            <w:pPr>
              <w:pStyle w:val="19"/>
              <w:spacing w:line="240" w:lineRule="auto"/>
              <w:ind w:firstLine="0"/>
              <w:jc w:val="center"/>
              <w:rPr>
                <w:sz w:val="21"/>
                <w:szCs w:val="21"/>
              </w:rPr>
            </w:pPr>
            <w:r>
              <w:rPr>
                <w:sz w:val="21"/>
                <w:szCs w:val="21"/>
              </w:rPr>
              <w:t>12</w:t>
            </w:r>
          </w:p>
        </w:tc>
        <w:tc>
          <w:tcPr>
            <w:tcW w:w="1000" w:type="dxa"/>
            <w:vAlign w:val="center"/>
          </w:tcPr>
          <w:p w14:paraId="38DFAA29">
            <w:pPr>
              <w:pStyle w:val="19"/>
              <w:spacing w:line="240" w:lineRule="auto"/>
              <w:ind w:firstLine="0"/>
              <w:jc w:val="center"/>
              <w:rPr>
                <w:sz w:val="21"/>
                <w:szCs w:val="21"/>
              </w:rPr>
            </w:pPr>
            <w:r>
              <w:rPr>
                <w:sz w:val="21"/>
                <w:szCs w:val="21"/>
              </w:rPr>
              <w:t>66</w:t>
            </w:r>
          </w:p>
        </w:tc>
        <w:tc>
          <w:tcPr>
            <w:tcW w:w="1406" w:type="dxa"/>
            <w:vAlign w:val="center"/>
          </w:tcPr>
          <w:p w14:paraId="4B928649">
            <w:pPr>
              <w:pStyle w:val="19"/>
              <w:spacing w:line="240" w:lineRule="auto"/>
              <w:ind w:firstLine="0"/>
              <w:jc w:val="center"/>
              <w:rPr>
                <w:sz w:val="21"/>
                <w:szCs w:val="21"/>
              </w:rPr>
            </w:pPr>
            <w:r>
              <w:rPr>
                <w:sz w:val="21"/>
                <w:szCs w:val="21"/>
              </w:rPr>
              <w:t>40</w:t>
            </w:r>
          </w:p>
        </w:tc>
        <w:tc>
          <w:tcPr>
            <w:tcW w:w="1096" w:type="dxa"/>
            <w:vAlign w:val="center"/>
          </w:tcPr>
          <w:p w14:paraId="24B65AE5">
            <w:pPr>
              <w:pStyle w:val="19"/>
              <w:spacing w:line="240" w:lineRule="auto"/>
              <w:ind w:firstLine="0"/>
              <w:jc w:val="center"/>
              <w:rPr>
                <w:sz w:val="21"/>
                <w:szCs w:val="21"/>
              </w:rPr>
            </w:pPr>
            <w:r>
              <w:rPr>
                <w:sz w:val="21"/>
                <w:szCs w:val="21"/>
              </w:rPr>
              <w:t>200</w:t>
            </w:r>
          </w:p>
        </w:tc>
      </w:tr>
      <w:tr w14:paraId="2C1BD3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2DCB4DF">
            <w:pPr>
              <w:pStyle w:val="19"/>
              <w:spacing w:line="240" w:lineRule="auto"/>
              <w:ind w:firstLine="0"/>
              <w:jc w:val="center"/>
              <w:rPr>
                <w:sz w:val="21"/>
                <w:szCs w:val="21"/>
              </w:rPr>
            </w:pPr>
            <w:r>
              <w:rPr>
                <w:sz w:val="21"/>
                <w:szCs w:val="21"/>
              </w:rPr>
              <w:t>14</w:t>
            </w:r>
          </w:p>
        </w:tc>
        <w:tc>
          <w:tcPr>
            <w:tcW w:w="1762" w:type="dxa"/>
            <w:vAlign w:val="center"/>
          </w:tcPr>
          <w:p w14:paraId="45B03429">
            <w:pPr>
              <w:pStyle w:val="19"/>
              <w:spacing w:line="240" w:lineRule="auto"/>
              <w:ind w:firstLine="0"/>
              <w:jc w:val="center"/>
              <w:rPr>
                <w:sz w:val="21"/>
                <w:szCs w:val="21"/>
              </w:rPr>
            </w:pPr>
            <w:r>
              <w:rPr>
                <w:sz w:val="21"/>
                <w:szCs w:val="21"/>
              </w:rPr>
              <w:t>顺-1</w:t>
            </w:r>
            <w:r>
              <w:rPr>
                <w:rFonts w:hint="eastAsia"/>
                <w:sz w:val="21"/>
                <w:szCs w:val="21"/>
              </w:rPr>
              <w:t>，</w:t>
            </w:r>
            <w:r>
              <w:rPr>
                <w:sz w:val="21"/>
                <w:szCs w:val="21"/>
              </w:rPr>
              <w:t>2-二氯乙烯</w:t>
            </w:r>
          </w:p>
        </w:tc>
        <w:tc>
          <w:tcPr>
            <w:tcW w:w="1313" w:type="dxa"/>
            <w:vAlign w:val="center"/>
          </w:tcPr>
          <w:p w14:paraId="152FDCF4">
            <w:pPr>
              <w:pStyle w:val="19"/>
              <w:spacing w:line="240" w:lineRule="auto"/>
              <w:ind w:firstLine="0"/>
              <w:jc w:val="center"/>
              <w:rPr>
                <w:sz w:val="21"/>
                <w:szCs w:val="21"/>
              </w:rPr>
            </w:pPr>
            <w:r>
              <w:rPr>
                <w:sz w:val="21"/>
                <w:szCs w:val="21"/>
              </w:rPr>
              <w:t>156-59-2</w:t>
            </w:r>
          </w:p>
        </w:tc>
        <w:tc>
          <w:tcPr>
            <w:tcW w:w="1287" w:type="dxa"/>
            <w:vAlign w:val="center"/>
          </w:tcPr>
          <w:p w14:paraId="615E4B3D">
            <w:pPr>
              <w:pStyle w:val="19"/>
              <w:spacing w:line="240" w:lineRule="auto"/>
              <w:ind w:firstLine="0"/>
              <w:jc w:val="center"/>
              <w:rPr>
                <w:sz w:val="21"/>
                <w:szCs w:val="21"/>
              </w:rPr>
            </w:pPr>
            <w:r>
              <w:rPr>
                <w:sz w:val="21"/>
                <w:szCs w:val="21"/>
              </w:rPr>
              <w:t>66</w:t>
            </w:r>
          </w:p>
        </w:tc>
        <w:tc>
          <w:tcPr>
            <w:tcW w:w="1000" w:type="dxa"/>
            <w:vAlign w:val="center"/>
          </w:tcPr>
          <w:p w14:paraId="4D8A65AB">
            <w:pPr>
              <w:pStyle w:val="19"/>
              <w:spacing w:line="240" w:lineRule="auto"/>
              <w:ind w:firstLine="0"/>
              <w:jc w:val="center"/>
              <w:rPr>
                <w:sz w:val="21"/>
                <w:szCs w:val="21"/>
              </w:rPr>
            </w:pPr>
            <w:r>
              <w:rPr>
                <w:sz w:val="21"/>
                <w:szCs w:val="21"/>
              </w:rPr>
              <w:t>596</w:t>
            </w:r>
          </w:p>
        </w:tc>
        <w:tc>
          <w:tcPr>
            <w:tcW w:w="1406" w:type="dxa"/>
            <w:vAlign w:val="center"/>
          </w:tcPr>
          <w:p w14:paraId="661270BA">
            <w:pPr>
              <w:pStyle w:val="19"/>
              <w:spacing w:line="240" w:lineRule="auto"/>
              <w:ind w:firstLine="0"/>
              <w:jc w:val="center"/>
              <w:rPr>
                <w:sz w:val="21"/>
                <w:szCs w:val="21"/>
              </w:rPr>
            </w:pPr>
            <w:r>
              <w:rPr>
                <w:sz w:val="21"/>
                <w:szCs w:val="21"/>
              </w:rPr>
              <w:t>200</w:t>
            </w:r>
          </w:p>
        </w:tc>
        <w:tc>
          <w:tcPr>
            <w:tcW w:w="1096" w:type="dxa"/>
            <w:vAlign w:val="center"/>
          </w:tcPr>
          <w:p w14:paraId="7E08AF1B">
            <w:pPr>
              <w:pStyle w:val="19"/>
              <w:spacing w:line="240" w:lineRule="auto"/>
              <w:ind w:firstLine="0"/>
              <w:jc w:val="center"/>
              <w:rPr>
                <w:sz w:val="21"/>
                <w:szCs w:val="21"/>
              </w:rPr>
            </w:pPr>
            <w:r>
              <w:rPr>
                <w:sz w:val="21"/>
                <w:szCs w:val="21"/>
              </w:rPr>
              <w:t>2000</w:t>
            </w:r>
          </w:p>
        </w:tc>
      </w:tr>
      <w:tr w14:paraId="7E0181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14781204">
            <w:pPr>
              <w:pStyle w:val="19"/>
              <w:spacing w:line="240" w:lineRule="auto"/>
              <w:ind w:firstLine="0"/>
              <w:jc w:val="center"/>
              <w:rPr>
                <w:sz w:val="21"/>
                <w:szCs w:val="21"/>
              </w:rPr>
            </w:pPr>
            <w:r>
              <w:rPr>
                <w:sz w:val="21"/>
                <w:szCs w:val="21"/>
              </w:rPr>
              <w:t>15</w:t>
            </w:r>
          </w:p>
        </w:tc>
        <w:tc>
          <w:tcPr>
            <w:tcW w:w="1762" w:type="dxa"/>
            <w:vAlign w:val="center"/>
          </w:tcPr>
          <w:p w14:paraId="34FD776A">
            <w:pPr>
              <w:pStyle w:val="19"/>
              <w:spacing w:line="240" w:lineRule="auto"/>
              <w:ind w:firstLine="0"/>
              <w:jc w:val="center"/>
              <w:rPr>
                <w:sz w:val="21"/>
                <w:szCs w:val="21"/>
              </w:rPr>
            </w:pPr>
            <w:r>
              <w:rPr>
                <w:sz w:val="21"/>
                <w:szCs w:val="21"/>
              </w:rPr>
              <w:t>反-1</w:t>
            </w:r>
            <w:r>
              <w:rPr>
                <w:rFonts w:hint="eastAsia"/>
                <w:sz w:val="21"/>
                <w:szCs w:val="21"/>
              </w:rPr>
              <w:t>，</w:t>
            </w:r>
            <w:r>
              <w:rPr>
                <w:sz w:val="21"/>
                <w:szCs w:val="21"/>
              </w:rPr>
              <w:t>2-二氯乙烯</w:t>
            </w:r>
          </w:p>
        </w:tc>
        <w:tc>
          <w:tcPr>
            <w:tcW w:w="1313" w:type="dxa"/>
            <w:vAlign w:val="center"/>
          </w:tcPr>
          <w:p w14:paraId="164D8ED7">
            <w:pPr>
              <w:pStyle w:val="19"/>
              <w:spacing w:line="240" w:lineRule="auto"/>
              <w:ind w:firstLine="0"/>
              <w:jc w:val="center"/>
              <w:rPr>
                <w:sz w:val="21"/>
                <w:szCs w:val="21"/>
              </w:rPr>
            </w:pPr>
            <w:r>
              <w:rPr>
                <w:sz w:val="21"/>
                <w:szCs w:val="21"/>
              </w:rPr>
              <w:t>156-60-5</w:t>
            </w:r>
          </w:p>
        </w:tc>
        <w:tc>
          <w:tcPr>
            <w:tcW w:w="1287" w:type="dxa"/>
            <w:vAlign w:val="center"/>
          </w:tcPr>
          <w:p w14:paraId="62CDB9BD">
            <w:pPr>
              <w:pStyle w:val="19"/>
              <w:spacing w:line="240" w:lineRule="auto"/>
              <w:ind w:firstLine="0"/>
              <w:jc w:val="center"/>
              <w:rPr>
                <w:sz w:val="21"/>
                <w:szCs w:val="21"/>
              </w:rPr>
            </w:pPr>
            <w:r>
              <w:rPr>
                <w:sz w:val="21"/>
                <w:szCs w:val="21"/>
              </w:rPr>
              <w:t>10</w:t>
            </w:r>
          </w:p>
        </w:tc>
        <w:tc>
          <w:tcPr>
            <w:tcW w:w="1000" w:type="dxa"/>
            <w:vAlign w:val="center"/>
          </w:tcPr>
          <w:p w14:paraId="04E53628">
            <w:pPr>
              <w:pStyle w:val="19"/>
              <w:spacing w:line="240" w:lineRule="auto"/>
              <w:ind w:firstLine="0"/>
              <w:jc w:val="center"/>
              <w:rPr>
                <w:sz w:val="21"/>
                <w:szCs w:val="21"/>
              </w:rPr>
            </w:pPr>
            <w:r>
              <w:rPr>
                <w:sz w:val="21"/>
                <w:szCs w:val="21"/>
              </w:rPr>
              <w:t>54</w:t>
            </w:r>
          </w:p>
        </w:tc>
        <w:tc>
          <w:tcPr>
            <w:tcW w:w="1406" w:type="dxa"/>
            <w:vAlign w:val="center"/>
          </w:tcPr>
          <w:p w14:paraId="036B7A2F">
            <w:pPr>
              <w:pStyle w:val="19"/>
              <w:spacing w:line="240" w:lineRule="auto"/>
              <w:ind w:firstLine="0"/>
              <w:jc w:val="center"/>
              <w:rPr>
                <w:sz w:val="21"/>
                <w:szCs w:val="21"/>
              </w:rPr>
            </w:pPr>
            <w:r>
              <w:rPr>
                <w:sz w:val="21"/>
                <w:szCs w:val="21"/>
              </w:rPr>
              <w:t>31</w:t>
            </w:r>
          </w:p>
        </w:tc>
        <w:tc>
          <w:tcPr>
            <w:tcW w:w="1096" w:type="dxa"/>
            <w:vAlign w:val="center"/>
          </w:tcPr>
          <w:p w14:paraId="2C5900F3">
            <w:pPr>
              <w:pStyle w:val="19"/>
              <w:spacing w:line="240" w:lineRule="auto"/>
              <w:ind w:firstLine="0"/>
              <w:jc w:val="center"/>
              <w:rPr>
                <w:sz w:val="21"/>
                <w:szCs w:val="21"/>
              </w:rPr>
            </w:pPr>
            <w:r>
              <w:rPr>
                <w:sz w:val="21"/>
                <w:szCs w:val="21"/>
              </w:rPr>
              <w:t>163</w:t>
            </w:r>
          </w:p>
        </w:tc>
      </w:tr>
      <w:tr w14:paraId="4814B7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06EDF7A">
            <w:pPr>
              <w:pStyle w:val="19"/>
              <w:spacing w:line="240" w:lineRule="auto"/>
              <w:ind w:firstLine="0"/>
              <w:jc w:val="center"/>
              <w:rPr>
                <w:sz w:val="21"/>
                <w:szCs w:val="21"/>
              </w:rPr>
            </w:pPr>
            <w:r>
              <w:rPr>
                <w:sz w:val="21"/>
                <w:szCs w:val="21"/>
              </w:rPr>
              <w:t>16</w:t>
            </w:r>
          </w:p>
        </w:tc>
        <w:tc>
          <w:tcPr>
            <w:tcW w:w="1762" w:type="dxa"/>
            <w:vAlign w:val="center"/>
          </w:tcPr>
          <w:p w14:paraId="6B4FC6BE">
            <w:pPr>
              <w:pStyle w:val="19"/>
              <w:spacing w:line="240" w:lineRule="auto"/>
              <w:ind w:firstLine="0"/>
              <w:jc w:val="center"/>
              <w:rPr>
                <w:sz w:val="21"/>
                <w:szCs w:val="21"/>
              </w:rPr>
            </w:pPr>
            <w:r>
              <w:rPr>
                <w:sz w:val="21"/>
                <w:szCs w:val="21"/>
              </w:rPr>
              <w:t>二氯甲烷</w:t>
            </w:r>
          </w:p>
        </w:tc>
        <w:tc>
          <w:tcPr>
            <w:tcW w:w="1313" w:type="dxa"/>
            <w:vAlign w:val="center"/>
          </w:tcPr>
          <w:p w14:paraId="50D0B56C">
            <w:pPr>
              <w:pStyle w:val="19"/>
              <w:spacing w:line="240" w:lineRule="auto"/>
              <w:ind w:firstLine="0"/>
              <w:jc w:val="center"/>
              <w:rPr>
                <w:sz w:val="21"/>
                <w:szCs w:val="21"/>
              </w:rPr>
            </w:pPr>
            <w:r>
              <w:rPr>
                <w:sz w:val="21"/>
                <w:szCs w:val="21"/>
              </w:rPr>
              <w:t>1975-9-2</w:t>
            </w:r>
          </w:p>
        </w:tc>
        <w:tc>
          <w:tcPr>
            <w:tcW w:w="1287" w:type="dxa"/>
            <w:vAlign w:val="center"/>
          </w:tcPr>
          <w:p w14:paraId="5973C8EC">
            <w:pPr>
              <w:pStyle w:val="19"/>
              <w:spacing w:line="240" w:lineRule="auto"/>
              <w:ind w:firstLine="0"/>
              <w:jc w:val="center"/>
              <w:rPr>
                <w:sz w:val="21"/>
                <w:szCs w:val="21"/>
              </w:rPr>
            </w:pPr>
            <w:r>
              <w:rPr>
                <w:sz w:val="21"/>
                <w:szCs w:val="21"/>
              </w:rPr>
              <w:t>94</w:t>
            </w:r>
          </w:p>
        </w:tc>
        <w:tc>
          <w:tcPr>
            <w:tcW w:w="1000" w:type="dxa"/>
            <w:vAlign w:val="center"/>
          </w:tcPr>
          <w:p w14:paraId="2DEB7053">
            <w:pPr>
              <w:pStyle w:val="19"/>
              <w:spacing w:line="240" w:lineRule="auto"/>
              <w:ind w:firstLine="0"/>
              <w:jc w:val="center"/>
              <w:rPr>
                <w:sz w:val="21"/>
                <w:szCs w:val="21"/>
              </w:rPr>
            </w:pPr>
            <w:r>
              <w:rPr>
                <w:sz w:val="21"/>
                <w:szCs w:val="21"/>
              </w:rPr>
              <w:t>616</w:t>
            </w:r>
          </w:p>
        </w:tc>
        <w:tc>
          <w:tcPr>
            <w:tcW w:w="1406" w:type="dxa"/>
            <w:vAlign w:val="center"/>
          </w:tcPr>
          <w:p w14:paraId="3E99D14A">
            <w:pPr>
              <w:pStyle w:val="19"/>
              <w:spacing w:line="240" w:lineRule="auto"/>
              <w:ind w:firstLine="0"/>
              <w:jc w:val="center"/>
              <w:rPr>
                <w:sz w:val="21"/>
                <w:szCs w:val="21"/>
              </w:rPr>
            </w:pPr>
            <w:r>
              <w:rPr>
                <w:sz w:val="21"/>
                <w:szCs w:val="21"/>
              </w:rPr>
              <w:t>300</w:t>
            </w:r>
          </w:p>
        </w:tc>
        <w:tc>
          <w:tcPr>
            <w:tcW w:w="1096" w:type="dxa"/>
            <w:vAlign w:val="center"/>
          </w:tcPr>
          <w:p w14:paraId="0B438BA4">
            <w:pPr>
              <w:pStyle w:val="19"/>
              <w:spacing w:line="240" w:lineRule="auto"/>
              <w:ind w:firstLine="0"/>
              <w:jc w:val="center"/>
              <w:rPr>
                <w:sz w:val="21"/>
                <w:szCs w:val="21"/>
              </w:rPr>
            </w:pPr>
            <w:r>
              <w:rPr>
                <w:sz w:val="21"/>
                <w:szCs w:val="21"/>
              </w:rPr>
              <w:t>2000</w:t>
            </w:r>
          </w:p>
        </w:tc>
      </w:tr>
      <w:tr w14:paraId="46A698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gridAfter w:val="1"/>
          <w:wAfter w:w="9" w:type="dxa"/>
          <w:trHeight w:val="340" w:hRule="atLeast"/>
          <w:jc w:val="center"/>
        </w:trPr>
        <w:tc>
          <w:tcPr>
            <w:tcW w:w="464" w:type="dxa"/>
            <w:vAlign w:val="center"/>
          </w:tcPr>
          <w:p w14:paraId="18F6BBBD">
            <w:pPr>
              <w:pStyle w:val="19"/>
              <w:spacing w:line="240" w:lineRule="auto"/>
              <w:ind w:firstLine="0"/>
              <w:jc w:val="center"/>
              <w:rPr>
                <w:sz w:val="21"/>
                <w:szCs w:val="21"/>
              </w:rPr>
            </w:pPr>
            <w:r>
              <w:rPr>
                <w:sz w:val="21"/>
                <w:szCs w:val="21"/>
              </w:rPr>
              <w:t>17</w:t>
            </w:r>
          </w:p>
        </w:tc>
        <w:tc>
          <w:tcPr>
            <w:tcW w:w="1762" w:type="dxa"/>
            <w:vAlign w:val="center"/>
          </w:tcPr>
          <w:p w14:paraId="2324A86F">
            <w:pPr>
              <w:pStyle w:val="19"/>
              <w:spacing w:line="240" w:lineRule="auto"/>
              <w:ind w:firstLine="0"/>
              <w:jc w:val="center"/>
              <w:rPr>
                <w:sz w:val="21"/>
                <w:szCs w:val="21"/>
              </w:rPr>
            </w:pPr>
            <w:r>
              <w:rPr>
                <w:sz w:val="21"/>
                <w:szCs w:val="21"/>
              </w:rPr>
              <w:t>1</w:t>
            </w:r>
            <w:r>
              <w:rPr>
                <w:rFonts w:hint="eastAsia"/>
                <w:sz w:val="21"/>
                <w:szCs w:val="21"/>
              </w:rPr>
              <w:t>，</w:t>
            </w:r>
            <w:r>
              <w:rPr>
                <w:sz w:val="21"/>
                <w:szCs w:val="21"/>
              </w:rPr>
              <w:t>2-二氯丙烷</w:t>
            </w:r>
          </w:p>
        </w:tc>
        <w:tc>
          <w:tcPr>
            <w:tcW w:w="1313" w:type="dxa"/>
            <w:vAlign w:val="center"/>
          </w:tcPr>
          <w:p w14:paraId="759E4681">
            <w:pPr>
              <w:pStyle w:val="19"/>
              <w:spacing w:line="240" w:lineRule="auto"/>
              <w:ind w:firstLine="0"/>
              <w:jc w:val="center"/>
              <w:rPr>
                <w:sz w:val="21"/>
                <w:szCs w:val="21"/>
              </w:rPr>
            </w:pPr>
            <w:r>
              <w:rPr>
                <w:sz w:val="21"/>
                <w:szCs w:val="21"/>
              </w:rPr>
              <w:t>78-87-5</w:t>
            </w:r>
          </w:p>
        </w:tc>
        <w:tc>
          <w:tcPr>
            <w:tcW w:w="1287" w:type="dxa"/>
            <w:vAlign w:val="center"/>
          </w:tcPr>
          <w:p w14:paraId="2CE79F13">
            <w:pPr>
              <w:pStyle w:val="19"/>
              <w:spacing w:line="240" w:lineRule="auto"/>
              <w:ind w:firstLine="0"/>
              <w:jc w:val="center"/>
              <w:rPr>
                <w:sz w:val="21"/>
                <w:szCs w:val="21"/>
              </w:rPr>
            </w:pPr>
            <w:r>
              <w:rPr>
                <w:sz w:val="21"/>
                <w:szCs w:val="21"/>
              </w:rPr>
              <w:t>1</w:t>
            </w:r>
          </w:p>
        </w:tc>
        <w:tc>
          <w:tcPr>
            <w:tcW w:w="1000" w:type="dxa"/>
            <w:vAlign w:val="center"/>
          </w:tcPr>
          <w:p w14:paraId="0E706045">
            <w:pPr>
              <w:pStyle w:val="19"/>
              <w:spacing w:line="240" w:lineRule="auto"/>
              <w:ind w:firstLine="0"/>
              <w:jc w:val="center"/>
              <w:rPr>
                <w:sz w:val="21"/>
                <w:szCs w:val="21"/>
              </w:rPr>
            </w:pPr>
            <w:r>
              <w:rPr>
                <w:sz w:val="21"/>
                <w:szCs w:val="21"/>
              </w:rPr>
              <w:t>5</w:t>
            </w:r>
          </w:p>
        </w:tc>
        <w:tc>
          <w:tcPr>
            <w:tcW w:w="1406" w:type="dxa"/>
            <w:vAlign w:val="center"/>
          </w:tcPr>
          <w:p w14:paraId="0006584A">
            <w:pPr>
              <w:pStyle w:val="19"/>
              <w:spacing w:line="240" w:lineRule="auto"/>
              <w:ind w:firstLine="0"/>
              <w:jc w:val="center"/>
              <w:rPr>
                <w:sz w:val="21"/>
                <w:szCs w:val="21"/>
              </w:rPr>
            </w:pPr>
            <w:r>
              <w:rPr>
                <w:sz w:val="21"/>
                <w:szCs w:val="21"/>
              </w:rPr>
              <w:t>5</w:t>
            </w:r>
          </w:p>
        </w:tc>
        <w:tc>
          <w:tcPr>
            <w:tcW w:w="1096" w:type="dxa"/>
            <w:vAlign w:val="center"/>
          </w:tcPr>
          <w:p w14:paraId="024E2E5E">
            <w:pPr>
              <w:pStyle w:val="19"/>
              <w:spacing w:line="240" w:lineRule="auto"/>
              <w:ind w:firstLine="0"/>
              <w:jc w:val="center"/>
              <w:rPr>
                <w:sz w:val="21"/>
                <w:szCs w:val="21"/>
              </w:rPr>
            </w:pPr>
            <w:r>
              <w:rPr>
                <w:sz w:val="21"/>
                <w:szCs w:val="21"/>
              </w:rPr>
              <w:t>47</w:t>
            </w:r>
          </w:p>
        </w:tc>
      </w:tr>
      <w:tr w14:paraId="556014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E2B764C">
            <w:pPr>
              <w:pStyle w:val="19"/>
              <w:spacing w:line="240" w:lineRule="auto"/>
              <w:ind w:firstLine="0"/>
              <w:jc w:val="center"/>
              <w:rPr>
                <w:sz w:val="21"/>
                <w:szCs w:val="21"/>
              </w:rPr>
            </w:pPr>
            <w:r>
              <w:rPr>
                <w:sz w:val="21"/>
                <w:szCs w:val="21"/>
              </w:rPr>
              <w:t>18</w:t>
            </w:r>
          </w:p>
        </w:tc>
        <w:tc>
          <w:tcPr>
            <w:tcW w:w="1762" w:type="dxa"/>
            <w:vAlign w:val="center"/>
          </w:tcPr>
          <w:p w14:paraId="73AD73E4">
            <w:pPr>
              <w:pStyle w:val="19"/>
              <w:spacing w:line="240" w:lineRule="auto"/>
              <w:ind w:firstLine="0"/>
              <w:jc w:val="center"/>
              <w:rPr>
                <w:sz w:val="21"/>
                <w:szCs w:val="21"/>
              </w:rPr>
            </w:pPr>
            <w:r>
              <w:rPr>
                <w:sz w:val="21"/>
                <w:szCs w:val="21"/>
              </w:rPr>
              <w:t>1</w:t>
            </w:r>
            <w:r>
              <w:rPr>
                <w:rFonts w:hint="eastAsia"/>
                <w:sz w:val="21"/>
                <w:szCs w:val="21"/>
              </w:rPr>
              <w:t>，</w:t>
            </w:r>
            <w:r>
              <w:rPr>
                <w:sz w:val="21"/>
                <w:szCs w:val="21"/>
              </w:rPr>
              <w:t>1</w:t>
            </w:r>
            <w:r>
              <w:rPr>
                <w:rFonts w:hint="eastAsia"/>
                <w:sz w:val="21"/>
                <w:szCs w:val="21"/>
              </w:rPr>
              <w:t>，</w:t>
            </w:r>
            <w:r>
              <w:rPr>
                <w:sz w:val="21"/>
                <w:szCs w:val="21"/>
              </w:rPr>
              <w:t>1</w:t>
            </w:r>
            <w:r>
              <w:rPr>
                <w:rFonts w:hint="eastAsia"/>
                <w:sz w:val="21"/>
                <w:szCs w:val="21"/>
              </w:rPr>
              <w:t>，</w:t>
            </w:r>
            <w:r>
              <w:rPr>
                <w:sz w:val="21"/>
                <w:szCs w:val="21"/>
              </w:rPr>
              <w:t>2-四氯乙烷</w:t>
            </w:r>
          </w:p>
        </w:tc>
        <w:tc>
          <w:tcPr>
            <w:tcW w:w="1313" w:type="dxa"/>
            <w:vAlign w:val="center"/>
          </w:tcPr>
          <w:p w14:paraId="65940179">
            <w:pPr>
              <w:pStyle w:val="19"/>
              <w:spacing w:line="240" w:lineRule="auto"/>
              <w:ind w:firstLine="0"/>
              <w:jc w:val="center"/>
              <w:rPr>
                <w:sz w:val="21"/>
                <w:szCs w:val="21"/>
              </w:rPr>
            </w:pPr>
            <w:r>
              <w:rPr>
                <w:sz w:val="21"/>
                <w:szCs w:val="21"/>
              </w:rPr>
              <w:t>630-20-6</w:t>
            </w:r>
          </w:p>
        </w:tc>
        <w:tc>
          <w:tcPr>
            <w:tcW w:w="1287" w:type="dxa"/>
            <w:vAlign w:val="center"/>
          </w:tcPr>
          <w:p w14:paraId="405ABEA0">
            <w:pPr>
              <w:pStyle w:val="19"/>
              <w:spacing w:line="240" w:lineRule="auto"/>
              <w:ind w:firstLine="0"/>
              <w:jc w:val="center"/>
              <w:rPr>
                <w:sz w:val="21"/>
                <w:szCs w:val="21"/>
              </w:rPr>
            </w:pPr>
            <w:r>
              <w:rPr>
                <w:sz w:val="21"/>
                <w:szCs w:val="21"/>
              </w:rPr>
              <w:t>2.6</w:t>
            </w:r>
          </w:p>
        </w:tc>
        <w:tc>
          <w:tcPr>
            <w:tcW w:w="1000" w:type="dxa"/>
            <w:vAlign w:val="center"/>
          </w:tcPr>
          <w:p w14:paraId="67AA51E5">
            <w:pPr>
              <w:pStyle w:val="19"/>
              <w:spacing w:line="240" w:lineRule="auto"/>
              <w:ind w:firstLine="0"/>
              <w:jc w:val="center"/>
              <w:rPr>
                <w:sz w:val="21"/>
                <w:szCs w:val="21"/>
              </w:rPr>
            </w:pPr>
            <w:r>
              <w:rPr>
                <w:sz w:val="21"/>
                <w:szCs w:val="21"/>
              </w:rPr>
              <w:t>10</w:t>
            </w:r>
          </w:p>
        </w:tc>
        <w:tc>
          <w:tcPr>
            <w:tcW w:w="1406" w:type="dxa"/>
            <w:vAlign w:val="center"/>
          </w:tcPr>
          <w:p w14:paraId="5C112696">
            <w:pPr>
              <w:pStyle w:val="19"/>
              <w:spacing w:line="240" w:lineRule="auto"/>
              <w:ind w:firstLine="0"/>
              <w:jc w:val="center"/>
              <w:rPr>
                <w:sz w:val="21"/>
                <w:szCs w:val="21"/>
              </w:rPr>
            </w:pPr>
            <w:r>
              <w:rPr>
                <w:sz w:val="21"/>
                <w:szCs w:val="21"/>
              </w:rPr>
              <w:t>26</w:t>
            </w:r>
          </w:p>
        </w:tc>
        <w:tc>
          <w:tcPr>
            <w:tcW w:w="1096" w:type="dxa"/>
            <w:vAlign w:val="center"/>
          </w:tcPr>
          <w:p w14:paraId="0084CA38">
            <w:pPr>
              <w:pStyle w:val="19"/>
              <w:spacing w:line="240" w:lineRule="auto"/>
              <w:ind w:firstLine="0"/>
              <w:jc w:val="center"/>
              <w:rPr>
                <w:sz w:val="21"/>
                <w:szCs w:val="21"/>
              </w:rPr>
            </w:pPr>
            <w:r>
              <w:rPr>
                <w:sz w:val="21"/>
                <w:szCs w:val="21"/>
              </w:rPr>
              <w:t>100</w:t>
            </w:r>
          </w:p>
        </w:tc>
      </w:tr>
      <w:tr w14:paraId="659B5E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181D714A">
            <w:pPr>
              <w:pStyle w:val="19"/>
              <w:spacing w:line="240" w:lineRule="auto"/>
              <w:ind w:firstLine="0"/>
              <w:jc w:val="center"/>
              <w:rPr>
                <w:sz w:val="21"/>
                <w:szCs w:val="21"/>
              </w:rPr>
            </w:pPr>
            <w:r>
              <w:rPr>
                <w:sz w:val="21"/>
                <w:szCs w:val="21"/>
              </w:rPr>
              <w:t>19</w:t>
            </w:r>
          </w:p>
        </w:tc>
        <w:tc>
          <w:tcPr>
            <w:tcW w:w="1762" w:type="dxa"/>
            <w:vAlign w:val="center"/>
          </w:tcPr>
          <w:p w14:paraId="60B4D7B2">
            <w:pPr>
              <w:pStyle w:val="19"/>
              <w:spacing w:line="240" w:lineRule="auto"/>
              <w:ind w:firstLine="0"/>
              <w:jc w:val="center"/>
              <w:rPr>
                <w:sz w:val="21"/>
                <w:szCs w:val="21"/>
              </w:rPr>
            </w:pPr>
            <w:r>
              <w:rPr>
                <w:sz w:val="21"/>
                <w:szCs w:val="21"/>
              </w:rPr>
              <w:t>1</w:t>
            </w:r>
            <w:r>
              <w:rPr>
                <w:rFonts w:hint="eastAsia"/>
                <w:sz w:val="21"/>
                <w:szCs w:val="21"/>
              </w:rPr>
              <w:t>，</w:t>
            </w:r>
            <w:r>
              <w:rPr>
                <w:sz w:val="21"/>
                <w:szCs w:val="21"/>
              </w:rPr>
              <w:t>1</w:t>
            </w:r>
            <w:r>
              <w:rPr>
                <w:rFonts w:hint="eastAsia"/>
                <w:sz w:val="21"/>
                <w:szCs w:val="21"/>
              </w:rPr>
              <w:t>，</w:t>
            </w:r>
            <w:r>
              <w:rPr>
                <w:sz w:val="21"/>
                <w:szCs w:val="21"/>
              </w:rPr>
              <w:t>2</w:t>
            </w:r>
            <w:r>
              <w:rPr>
                <w:rFonts w:hint="eastAsia"/>
                <w:sz w:val="21"/>
                <w:szCs w:val="21"/>
              </w:rPr>
              <w:t>，</w:t>
            </w:r>
            <w:r>
              <w:rPr>
                <w:sz w:val="21"/>
                <w:szCs w:val="21"/>
              </w:rPr>
              <w:t>2-四氯乙烷</w:t>
            </w:r>
          </w:p>
        </w:tc>
        <w:tc>
          <w:tcPr>
            <w:tcW w:w="1313" w:type="dxa"/>
            <w:vAlign w:val="center"/>
          </w:tcPr>
          <w:p w14:paraId="07F5F60E">
            <w:pPr>
              <w:pStyle w:val="19"/>
              <w:spacing w:line="240" w:lineRule="auto"/>
              <w:ind w:firstLine="0"/>
              <w:jc w:val="center"/>
              <w:rPr>
                <w:sz w:val="21"/>
                <w:szCs w:val="21"/>
              </w:rPr>
            </w:pPr>
            <w:r>
              <w:rPr>
                <w:sz w:val="21"/>
                <w:szCs w:val="21"/>
              </w:rPr>
              <w:t>79-34-5</w:t>
            </w:r>
          </w:p>
        </w:tc>
        <w:tc>
          <w:tcPr>
            <w:tcW w:w="1287" w:type="dxa"/>
            <w:vAlign w:val="center"/>
          </w:tcPr>
          <w:p w14:paraId="0A96DAAF">
            <w:pPr>
              <w:pStyle w:val="19"/>
              <w:spacing w:line="240" w:lineRule="auto"/>
              <w:ind w:firstLine="0"/>
              <w:jc w:val="center"/>
              <w:rPr>
                <w:sz w:val="21"/>
                <w:szCs w:val="21"/>
              </w:rPr>
            </w:pPr>
            <w:r>
              <w:rPr>
                <w:sz w:val="21"/>
                <w:szCs w:val="21"/>
              </w:rPr>
              <w:t>1.6</w:t>
            </w:r>
          </w:p>
        </w:tc>
        <w:tc>
          <w:tcPr>
            <w:tcW w:w="1000" w:type="dxa"/>
            <w:vAlign w:val="center"/>
          </w:tcPr>
          <w:p w14:paraId="4B1DA34C">
            <w:pPr>
              <w:pStyle w:val="19"/>
              <w:spacing w:line="240" w:lineRule="auto"/>
              <w:ind w:firstLine="0"/>
              <w:jc w:val="center"/>
              <w:rPr>
                <w:sz w:val="21"/>
                <w:szCs w:val="21"/>
              </w:rPr>
            </w:pPr>
            <w:r>
              <w:rPr>
                <w:sz w:val="21"/>
                <w:szCs w:val="21"/>
              </w:rPr>
              <w:t>6.8</w:t>
            </w:r>
          </w:p>
        </w:tc>
        <w:tc>
          <w:tcPr>
            <w:tcW w:w="1406" w:type="dxa"/>
            <w:vAlign w:val="center"/>
          </w:tcPr>
          <w:p w14:paraId="62375256">
            <w:pPr>
              <w:pStyle w:val="19"/>
              <w:spacing w:line="240" w:lineRule="auto"/>
              <w:ind w:firstLine="0"/>
              <w:jc w:val="center"/>
              <w:rPr>
                <w:sz w:val="21"/>
                <w:szCs w:val="21"/>
              </w:rPr>
            </w:pPr>
            <w:r>
              <w:rPr>
                <w:sz w:val="21"/>
                <w:szCs w:val="21"/>
              </w:rPr>
              <w:t>14</w:t>
            </w:r>
          </w:p>
        </w:tc>
        <w:tc>
          <w:tcPr>
            <w:tcW w:w="1096" w:type="dxa"/>
            <w:vAlign w:val="center"/>
          </w:tcPr>
          <w:p w14:paraId="13DD9FF1">
            <w:pPr>
              <w:pStyle w:val="19"/>
              <w:spacing w:line="240" w:lineRule="auto"/>
              <w:ind w:firstLine="0"/>
              <w:jc w:val="center"/>
              <w:rPr>
                <w:sz w:val="21"/>
                <w:szCs w:val="21"/>
              </w:rPr>
            </w:pPr>
            <w:r>
              <w:rPr>
                <w:sz w:val="21"/>
                <w:szCs w:val="21"/>
              </w:rPr>
              <w:t>50</w:t>
            </w:r>
          </w:p>
        </w:tc>
      </w:tr>
      <w:tr w14:paraId="18F7A2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9603227">
            <w:pPr>
              <w:pStyle w:val="19"/>
              <w:spacing w:line="240" w:lineRule="auto"/>
              <w:ind w:firstLine="0"/>
              <w:jc w:val="center"/>
              <w:rPr>
                <w:sz w:val="21"/>
                <w:szCs w:val="21"/>
              </w:rPr>
            </w:pPr>
            <w:r>
              <w:rPr>
                <w:sz w:val="21"/>
                <w:szCs w:val="21"/>
              </w:rPr>
              <w:t>20</w:t>
            </w:r>
          </w:p>
        </w:tc>
        <w:tc>
          <w:tcPr>
            <w:tcW w:w="1762" w:type="dxa"/>
            <w:vAlign w:val="center"/>
          </w:tcPr>
          <w:p w14:paraId="0D030601">
            <w:pPr>
              <w:pStyle w:val="19"/>
              <w:spacing w:line="240" w:lineRule="auto"/>
              <w:ind w:firstLine="0"/>
              <w:jc w:val="center"/>
              <w:rPr>
                <w:sz w:val="21"/>
                <w:szCs w:val="21"/>
              </w:rPr>
            </w:pPr>
            <w:r>
              <w:rPr>
                <w:sz w:val="21"/>
                <w:szCs w:val="21"/>
              </w:rPr>
              <w:t>四氯乙烯</w:t>
            </w:r>
          </w:p>
        </w:tc>
        <w:tc>
          <w:tcPr>
            <w:tcW w:w="1313" w:type="dxa"/>
            <w:vAlign w:val="center"/>
          </w:tcPr>
          <w:p w14:paraId="14EF05D5">
            <w:pPr>
              <w:pStyle w:val="19"/>
              <w:spacing w:line="240" w:lineRule="auto"/>
              <w:ind w:firstLine="0"/>
              <w:jc w:val="center"/>
              <w:rPr>
                <w:sz w:val="21"/>
                <w:szCs w:val="21"/>
              </w:rPr>
            </w:pPr>
            <w:r>
              <w:rPr>
                <w:sz w:val="21"/>
                <w:szCs w:val="21"/>
              </w:rPr>
              <w:t>127-18-4</w:t>
            </w:r>
          </w:p>
        </w:tc>
        <w:tc>
          <w:tcPr>
            <w:tcW w:w="1287" w:type="dxa"/>
            <w:vAlign w:val="center"/>
          </w:tcPr>
          <w:p w14:paraId="00D86849">
            <w:pPr>
              <w:pStyle w:val="19"/>
              <w:spacing w:line="240" w:lineRule="auto"/>
              <w:ind w:firstLine="0"/>
              <w:jc w:val="center"/>
              <w:rPr>
                <w:sz w:val="21"/>
                <w:szCs w:val="21"/>
              </w:rPr>
            </w:pPr>
            <w:r>
              <w:rPr>
                <w:sz w:val="21"/>
                <w:szCs w:val="21"/>
              </w:rPr>
              <w:t>11</w:t>
            </w:r>
          </w:p>
        </w:tc>
        <w:tc>
          <w:tcPr>
            <w:tcW w:w="1000" w:type="dxa"/>
            <w:vAlign w:val="center"/>
          </w:tcPr>
          <w:p w14:paraId="6A4193EB">
            <w:pPr>
              <w:pStyle w:val="19"/>
              <w:spacing w:line="240" w:lineRule="auto"/>
              <w:ind w:firstLine="0"/>
              <w:jc w:val="center"/>
              <w:rPr>
                <w:sz w:val="21"/>
                <w:szCs w:val="21"/>
              </w:rPr>
            </w:pPr>
            <w:r>
              <w:rPr>
                <w:sz w:val="21"/>
                <w:szCs w:val="21"/>
              </w:rPr>
              <w:t>53</w:t>
            </w:r>
          </w:p>
        </w:tc>
        <w:tc>
          <w:tcPr>
            <w:tcW w:w="1406" w:type="dxa"/>
            <w:vAlign w:val="center"/>
          </w:tcPr>
          <w:p w14:paraId="69653BAE">
            <w:pPr>
              <w:pStyle w:val="19"/>
              <w:spacing w:line="240" w:lineRule="auto"/>
              <w:ind w:firstLine="0"/>
              <w:jc w:val="center"/>
              <w:rPr>
                <w:sz w:val="21"/>
                <w:szCs w:val="21"/>
              </w:rPr>
            </w:pPr>
            <w:r>
              <w:rPr>
                <w:sz w:val="21"/>
                <w:szCs w:val="21"/>
              </w:rPr>
              <w:t>34</w:t>
            </w:r>
          </w:p>
        </w:tc>
        <w:tc>
          <w:tcPr>
            <w:tcW w:w="1096" w:type="dxa"/>
            <w:vAlign w:val="center"/>
          </w:tcPr>
          <w:p w14:paraId="103D270D">
            <w:pPr>
              <w:pStyle w:val="19"/>
              <w:spacing w:line="240" w:lineRule="auto"/>
              <w:ind w:firstLine="0"/>
              <w:jc w:val="center"/>
              <w:rPr>
                <w:sz w:val="21"/>
                <w:szCs w:val="21"/>
              </w:rPr>
            </w:pPr>
            <w:r>
              <w:rPr>
                <w:sz w:val="21"/>
                <w:szCs w:val="21"/>
              </w:rPr>
              <w:t>183</w:t>
            </w:r>
          </w:p>
        </w:tc>
      </w:tr>
      <w:tr w14:paraId="745A4B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2098158A">
            <w:pPr>
              <w:pStyle w:val="19"/>
              <w:spacing w:line="240" w:lineRule="auto"/>
              <w:ind w:firstLine="0"/>
              <w:jc w:val="center"/>
              <w:rPr>
                <w:sz w:val="21"/>
                <w:szCs w:val="21"/>
              </w:rPr>
            </w:pPr>
            <w:r>
              <w:rPr>
                <w:sz w:val="21"/>
                <w:szCs w:val="21"/>
              </w:rPr>
              <w:t>21</w:t>
            </w:r>
          </w:p>
        </w:tc>
        <w:tc>
          <w:tcPr>
            <w:tcW w:w="1762" w:type="dxa"/>
            <w:vAlign w:val="center"/>
          </w:tcPr>
          <w:p w14:paraId="30F3E0F1">
            <w:pPr>
              <w:pStyle w:val="19"/>
              <w:spacing w:line="240" w:lineRule="auto"/>
              <w:ind w:firstLine="0"/>
              <w:jc w:val="center"/>
              <w:rPr>
                <w:sz w:val="21"/>
                <w:szCs w:val="21"/>
              </w:rPr>
            </w:pPr>
            <w:r>
              <w:rPr>
                <w:sz w:val="21"/>
                <w:szCs w:val="21"/>
              </w:rPr>
              <w:t>1</w:t>
            </w:r>
            <w:r>
              <w:rPr>
                <w:rFonts w:hint="eastAsia"/>
                <w:sz w:val="21"/>
                <w:szCs w:val="21"/>
              </w:rPr>
              <w:t>，</w:t>
            </w:r>
            <w:r>
              <w:rPr>
                <w:sz w:val="21"/>
                <w:szCs w:val="21"/>
              </w:rPr>
              <w:t>1</w:t>
            </w:r>
            <w:r>
              <w:rPr>
                <w:rFonts w:hint="eastAsia"/>
                <w:sz w:val="21"/>
                <w:szCs w:val="21"/>
              </w:rPr>
              <w:t>，</w:t>
            </w:r>
            <w:r>
              <w:rPr>
                <w:sz w:val="21"/>
                <w:szCs w:val="21"/>
              </w:rPr>
              <w:t>1-三氯乙烷</w:t>
            </w:r>
          </w:p>
        </w:tc>
        <w:tc>
          <w:tcPr>
            <w:tcW w:w="1313" w:type="dxa"/>
            <w:vAlign w:val="center"/>
          </w:tcPr>
          <w:p w14:paraId="4D918F9D">
            <w:pPr>
              <w:pStyle w:val="19"/>
              <w:spacing w:line="240" w:lineRule="auto"/>
              <w:ind w:firstLine="0"/>
              <w:jc w:val="center"/>
              <w:rPr>
                <w:sz w:val="21"/>
                <w:szCs w:val="21"/>
              </w:rPr>
            </w:pPr>
            <w:r>
              <w:rPr>
                <w:sz w:val="21"/>
                <w:szCs w:val="21"/>
              </w:rPr>
              <w:t>71-55-6</w:t>
            </w:r>
          </w:p>
        </w:tc>
        <w:tc>
          <w:tcPr>
            <w:tcW w:w="1287" w:type="dxa"/>
            <w:vAlign w:val="center"/>
          </w:tcPr>
          <w:p w14:paraId="4A379B09">
            <w:pPr>
              <w:pStyle w:val="19"/>
              <w:spacing w:line="240" w:lineRule="auto"/>
              <w:ind w:firstLine="0"/>
              <w:jc w:val="center"/>
              <w:rPr>
                <w:sz w:val="21"/>
                <w:szCs w:val="21"/>
              </w:rPr>
            </w:pPr>
            <w:r>
              <w:rPr>
                <w:sz w:val="21"/>
                <w:szCs w:val="21"/>
              </w:rPr>
              <w:t>701</w:t>
            </w:r>
          </w:p>
        </w:tc>
        <w:tc>
          <w:tcPr>
            <w:tcW w:w="1000" w:type="dxa"/>
            <w:vAlign w:val="center"/>
          </w:tcPr>
          <w:p w14:paraId="4170A6E1">
            <w:pPr>
              <w:pStyle w:val="19"/>
              <w:spacing w:line="240" w:lineRule="auto"/>
              <w:ind w:firstLine="0"/>
              <w:jc w:val="center"/>
              <w:rPr>
                <w:sz w:val="21"/>
                <w:szCs w:val="21"/>
              </w:rPr>
            </w:pPr>
            <w:r>
              <w:rPr>
                <w:sz w:val="21"/>
                <w:szCs w:val="21"/>
              </w:rPr>
              <w:t>840</w:t>
            </w:r>
          </w:p>
        </w:tc>
        <w:tc>
          <w:tcPr>
            <w:tcW w:w="1406" w:type="dxa"/>
            <w:vAlign w:val="center"/>
          </w:tcPr>
          <w:p w14:paraId="40E35FB6">
            <w:pPr>
              <w:pStyle w:val="19"/>
              <w:spacing w:line="240" w:lineRule="auto"/>
              <w:ind w:firstLine="0"/>
              <w:jc w:val="center"/>
              <w:rPr>
                <w:sz w:val="21"/>
                <w:szCs w:val="21"/>
              </w:rPr>
            </w:pPr>
            <w:r>
              <w:rPr>
                <w:sz w:val="21"/>
                <w:szCs w:val="21"/>
              </w:rPr>
              <w:t>840</w:t>
            </w:r>
          </w:p>
        </w:tc>
        <w:tc>
          <w:tcPr>
            <w:tcW w:w="1096" w:type="dxa"/>
            <w:vAlign w:val="center"/>
          </w:tcPr>
          <w:p w14:paraId="6E4C9C26">
            <w:pPr>
              <w:pStyle w:val="19"/>
              <w:spacing w:line="240" w:lineRule="auto"/>
              <w:ind w:firstLine="0"/>
              <w:jc w:val="center"/>
              <w:rPr>
                <w:sz w:val="21"/>
                <w:szCs w:val="21"/>
              </w:rPr>
            </w:pPr>
            <w:r>
              <w:rPr>
                <w:sz w:val="21"/>
                <w:szCs w:val="21"/>
              </w:rPr>
              <w:t>840</w:t>
            </w:r>
          </w:p>
        </w:tc>
      </w:tr>
      <w:tr w14:paraId="1D7844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1551E05C">
            <w:pPr>
              <w:pStyle w:val="19"/>
              <w:spacing w:line="240" w:lineRule="auto"/>
              <w:ind w:firstLine="0"/>
              <w:jc w:val="center"/>
              <w:rPr>
                <w:sz w:val="21"/>
                <w:szCs w:val="21"/>
              </w:rPr>
            </w:pPr>
            <w:r>
              <w:rPr>
                <w:sz w:val="21"/>
                <w:szCs w:val="21"/>
              </w:rPr>
              <w:t>22</w:t>
            </w:r>
          </w:p>
        </w:tc>
        <w:tc>
          <w:tcPr>
            <w:tcW w:w="1762" w:type="dxa"/>
            <w:vAlign w:val="center"/>
          </w:tcPr>
          <w:p w14:paraId="365B0358">
            <w:pPr>
              <w:pStyle w:val="19"/>
              <w:spacing w:line="240" w:lineRule="auto"/>
              <w:ind w:firstLine="0"/>
              <w:jc w:val="center"/>
              <w:rPr>
                <w:sz w:val="21"/>
                <w:szCs w:val="21"/>
              </w:rPr>
            </w:pPr>
            <w:r>
              <w:rPr>
                <w:sz w:val="21"/>
                <w:szCs w:val="21"/>
              </w:rPr>
              <w:t>1</w:t>
            </w:r>
            <w:r>
              <w:rPr>
                <w:rFonts w:hint="eastAsia"/>
                <w:sz w:val="21"/>
                <w:szCs w:val="21"/>
              </w:rPr>
              <w:t>，</w:t>
            </w:r>
            <w:r>
              <w:rPr>
                <w:sz w:val="21"/>
                <w:szCs w:val="21"/>
              </w:rPr>
              <w:t>1</w:t>
            </w:r>
            <w:r>
              <w:rPr>
                <w:rFonts w:hint="eastAsia"/>
                <w:sz w:val="21"/>
                <w:szCs w:val="21"/>
              </w:rPr>
              <w:t>，</w:t>
            </w:r>
            <w:r>
              <w:rPr>
                <w:sz w:val="21"/>
                <w:szCs w:val="21"/>
              </w:rPr>
              <w:t>2-三氯乙烷</w:t>
            </w:r>
          </w:p>
        </w:tc>
        <w:tc>
          <w:tcPr>
            <w:tcW w:w="1313" w:type="dxa"/>
            <w:vAlign w:val="center"/>
          </w:tcPr>
          <w:p w14:paraId="06BB14F1">
            <w:pPr>
              <w:pStyle w:val="19"/>
              <w:spacing w:line="240" w:lineRule="auto"/>
              <w:ind w:firstLine="0"/>
              <w:jc w:val="center"/>
              <w:rPr>
                <w:sz w:val="21"/>
                <w:szCs w:val="21"/>
              </w:rPr>
            </w:pPr>
            <w:r>
              <w:rPr>
                <w:sz w:val="21"/>
                <w:szCs w:val="21"/>
              </w:rPr>
              <w:t>79-00-5</w:t>
            </w:r>
          </w:p>
        </w:tc>
        <w:tc>
          <w:tcPr>
            <w:tcW w:w="1287" w:type="dxa"/>
            <w:vAlign w:val="center"/>
          </w:tcPr>
          <w:p w14:paraId="253F5860">
            <w:pPr>
              <w:pStyle w:val="19"/>
              <w:spacing w:line="240" w:lineRule="auto"/>
              <w:ind w:firstLine="0"/>
              <w:jc w:val="center"/>
              <w:rPr>
                <w:sz w:val="21"/>
                <w:szCs w:val="21"/>
              </w:rPr>
            </w:pPr>
            <w:r>
              <w:rPr>
                <w:sz w:val="21"/>
                <w:szCs w:val="21"/>
              </w:rPr>
              <w:t>0.6</w:t>
            </w:r>
          </w:p>
        </w:tc>
        <w:tc>
          <w:tcPr>
            <w:tcW w:w="1000" w:type="dxa"/>
            <w:vAlign w:val="center"/>
          </w:tcPr>
          <w:p w14:paraId="44D3D390">
            <w:pPr>
              <w:pStyle w:val="19"/>
              <w:spacing w:line="240" w:lineRule="auto"/>
              <w:ind w:firstLine="0"/>
              <w:jc w:val="center"/>
              <w:rPr>
                <w:sz w:val="21"/>
                <w:szCs w:val="21"/>
              </w:rPr>
            </w:pPr>
            <w:r>
              <w:rPr>
                <w:sz w:val="21"/>
                <w:szCs w:val="21"/>
              </w:rPr>
              <w:t>2.8</w:t>
            </w:r>
          </w:p>
        </w:tc>
        <w:tc>
          <w:tcPr>
            <w:tcW w:w="1406" w:type="dxa"/>
            <w:vAlign w:val="center"/>
          </w:tcPr>
          <w:p w14:paraId="494FE924">
            <w:pPr>
              <w:pStyle w:val="19"/>
              <w:spacing w:line="240" w:lineRule="auto"/>
              <w:ind w:firstLine="0"/>
              <w:jc w:val="center"/>
              <w:rPr>
                <w:sz w:val="21"/>
                <w:szCs w:val="21"/>
              </w:rPr>
            </w:pPr>
            <w:r>
              <w:rPr>
                <w:sz w:val="21"/>
                <w:szCs w:val="21"/>
              </w:rPr>
              <w:t>5</w:t>
            </w:r>
          </w:p>
        </w:tc>
        <w:tc>
          <w:tcPr>
            <w:tcW w:w="1096" w:type="dxa"/>
            <w:vAlign w:val="center"/>
          </w:tcPr>
          <w:p w14:paraId="4375DA1B">
            <w:pPr>
              <w:pStyle w:val="19"/>
              <w:spacing w:line="240" w:lineRule="auto"/>
              <w:ind w:firstLine="0"/>
              <w:jc w:val="center"/>
              <w:rPr>
                <w:sz w:val="21"/>
                <w:szCs w:val="21"/>
              </w:rPr>
            </w:pPr>
            <w:r>
              <w:rPr>
                <w:sz w:val="21"/>
                <w:szCs w:val="21"/>
              </w:rPr>
              <w:t>15</w:t>
            </w:r>
          </w:p>
        </w:tc>
      </w:tr>
      <w:tr w14:paraId="4CE362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3C2532AA">
            <w:pPr>
              <w:pStyle w:val="19"/>
              <w:spacing w:line="240" w:lineRule="auto"/>
              <w:ind w:firstLine="0"/>
              <w:jc w:val="center"/>
              <w:rPr>
                <w:sz w:val="21"/>
                <w:szCs w:val="21"/>
              </w:rPr>
            </w:pPr>
            <w:r>
              <w:rPr>
                <w:sz w:val="21"/>
                <w:szCs w:val="21"/>
              </w:rPr>
              <w:t>23</w:t>
            </w:r>
          </w:p>
        </w:tc>
        <w:tc>
          <w:tcPr>
            <w:tcW w:w="1762" w:type="dxa"/>
            <w:vAlign w:val="center"/>
          </w:tcPr>
          <w:p w14:paraId="13764384">
            <w:pPr>
              <w:pStyle w:val="19"/>
              <w:spacing w:line="240" w:lineRule="auto"/>
              <w:ind w:firstLine="0"/>
              <w:jc w:val="center"/>
              <w:rPr>
                <w:sz w:val="21"/>
                <w:szCs w:val="21"/>
              </w:rPr>
            </w:pPr>
            <w:r>
              <w:rPr>
                <w:sz w:val="21"/>
                <w:szCs w:val="21"/>
              </w:rPr>
              <w:t>三氯乙烯</w:t>
            </w:r>
          </w:p>
        </w:tc>
        <w:tc>
          <w:tcPr>
            <w:tcW w:w="1313" w:type="dxa"/>
            <w:vAlign w:val="center"/>
          </w:tcPr>
          <w:p w14:paraId="35F5F98B">
            <w:pPr>
              <w:pStyle w:val="19"/>
              <w:spacing w:line="240" w:lineRule="auto"/>
              <w:ind w:firstLine="0"/>
              <w:jc w:val="center"/>
              <w:rPr>
                <w:sz w:val="21"/>
                <w:szCs w:val="21"/>
              </w:rPr>
            </w:pPr>
            <w:r>
              <w:rPr>
                <w:sz w:val="21"/>
                <w:szCs w:val="21"/>
              </w:rPr>
              <w:t>1979-1-6</w:t>
            </w:r>
          </w:p>
        </w:tc>
        <w:tc>
          <w:tcPr>
            <w:tcW w:w="1287" w:type="dxa"/>
            <w:vAlign w:val="center"/>
          </w:tcPr>
          <w:p w14:paraId="6C2DEB93">
            <w:pPr>
              <w:pStyle w:val="19"/>
              <w:spacing w:line="240" w:lineRule="auto"/>
              <w:ind w:firstLine="0"/>
              <w:jc w:val="center"/>
              <w:rPr>
                <w:sz w:val="21"/>
                <w:szCs w:val="21"/>
              </w:rPr>
            </w:pPr>
            <w:r>
              <w:rPr>
                <w:sz w:val="21"/>
                <w:szCs w:val="21"/>
              </w:rPr>
              <w:t>0.7</w:t>
            </w:r>
          </w:p>
        </w:tc>
        <w:tc>
          <w:tcPr>
            <w:tcW w:w="1000" w:type="dxa"/>
            <w:vAlign w:val="center"/>
          </w:tcPr>
          <w:p w14:paraId="55CEAD65">
            <w:pPr>
              <w:pStyle w:val="19"/>
              <w:spacing w:line="240" w:lineRule="auto"/>
              <w:ind w:firstLine="0"/>
              <w:jc w:val="center"/>
              <w:rPr>
                <w:sz w:val="21"/>
                <w:szCs w:val="21"/>
              </w:rPr>
            </w:pPr>
            <w:r>
              <w:rPr>
                <w:sz w:val="21"/>
                <w:szCs w:val="21"/>
              </w:rPr>
              <w:t>2.8</w:t>
            </w:r>
          </w:p>
        </w:tc>
        <w:tc>
          <w:tcPr>
            <w:tcW w:w="1406" w:type="dxa"/>
            <w:vAlign w:val="center"/>
          </w:tcPr>
          <w:p w14:paraId="1081A15F">
            <w:pPr>
              <w:pStyle w:val="19"/>
              <w:spacing w:line="240" w:lineRule="auto"/>
              <w:ind w:firstLine="0"/>
              <w:jc w:val="center"/>
              <w:rPr>
                <w:sz w:val="21"/>
                <w:szCs w:val="21"/>
              </w:rPr>
            </w:pPr>
            <w:r>
              <w:rPr>
                <w:sz w:val="21"/>
                <w:szCs w:val="21"/>
              </w:rPr>
              <w:t>7</w:t>
            </w:r>
          </w:p>
        </w:tc>
        <w:tc>
          <w:tcPr>
            <w:tcW w:w="1096" w:type="dxa"/>
            <w:vAlign w:val="center"/>
          </w:tcPr>
          <w:p w14:paraId="50992E03">
            <w:pPr>
              <w:pStyle w:val="19"/>
              <w:spacing w:line="240" w:lineRule="auto"/>
              <w:ind w:firstLine="0"/>
              <w:jc w:val="center"/>
              <w:rPr>
                <w:sz w:val="21"/>
                <w:szCs w:val="21"/>
              </w:rPr>
            </w:pPr>
            <w:r>
              <w:rPr>
                <w:sz w:val="21"/>
                <w:szCs w:val="21"/>
              </w:rPr>
              <w:t>20</w:t>
            </w:r>
          </w:p>
        </w:tc>
      </w:tr>
      <w:tr w14:paraId="298E90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6081F615">
            <w:pPr>
              <w:pStyle w:val="19"/>
              <w:spacing w:line="240" w:lineRule="auto"/>
              <w:ind w:firstLine="0"/>
              <w:jc w:val="center"/>
              <w:rPr>
                <w:sz w:val="21"/>
                <w:szCs w:val="21"/>
              </w:rPr>
            </w:pPr>
            <w:r>
              <w:rPr>
                <w:sz w:val="21"/>
                <w:szCs w:val="21"/>
              </w:rPr>
              <w:t>24</w:t>
            </w:r>
          </w:p>
        </w:tc>
        <w:tc>
          <w:tcPr>
            <w:tcW w:w="1762" w:type="dxa"/>
            <w:vAlign w:val="center"/>
          </w:tcPr>
          <w:p w14:paraId="4AD9BA83">
            <w:pPr>
              <w:pStyle w:val="19"/>
              <w:spacing w:line="240" w:lineRule="auto"/>
              <w:ind w:firstLine="0"/>
              <w:jc w:val="center"/>
              <w:rPr>
                <w:sz w:val="21"/>
                <w:szCs w:val="21"/>
              </w:rPr>
            </w:pPr>
            <w:r>
              <w:rPr>
                <w:sz w:val="21"/>
                <w:szCs w:val="21"/>
              </w:rPr>
              <w:t>1</w:t>
            </w:r>
            <w:r>
              <w:rPr>
                <w:rFonts w:hint="eastAsia"/>
                <w:sz w:val="21"/>
                <w:szCs w:val="21"/>
              </w:rPr>
              <w:t>，</w:t>
            </w:r>
            <w:r>
              <w:rPr>
                <w:sz w:val="21"/>
                <w:szCs w:val="21"/>
              </w:rPr>
              <w:t>2</w:t>
            </w:r>
            <w:r>
              <w:rPr>
                <w:rFonts w:hint="eastAsia"/>
                <w:sz w:val="21"/>
                <w:szCs w:val="21"/>
              </w:rPr>
              <w:t>，</w:t>
            </w:r>
            <w:r>
              <w:rPr>
                <w:sz w:val="21"/>
                <w:szCs w:val="21"/>
              </w:rPr>
              <w:t>3-三氯丙烷</w:t>
            </w:r>
          </w:p>
        </w:tc>
        <w:tc>
          <w:tcPr>
            <w:tcW w:w="1313" w:type="dxa"/>
            <w:vAlign w:val="center"/>
          </w:tcPr>
          <w:p w14:paraId="02500B97">
            <w:pPr>
              <w:pStyle w:val="19"/>
              <w:spacing w:line="240" w:lineRule="auto"/>
              <w:ind w:firstLine="0"/>
              <w:jc w:val="center"/>
              <w:rPr>
                <w:sz w:val="21"/>
                <w:szCs w:val="21"/>
              </w:rPr>
            </w:pPr>
            <w:r>
              <w:rPr>
                <w:sz w:val="21"/>
                <w:szCs w:val="21"/>
              </w:rPr>
              <w:t>96-18-4</w:t>
            </w:r>
          </w:p>
        </w:tc>
        <w:tc>
          <w:tcPr>
            <w:tcW w:w="1287" w:type="dxa"/>
            <w:vAlign w:val="center"/>
          </w:tcPr>
          <w:p w14:paraId="29FF4B0D">
            <w:pPr>
              <w:pStyle w:val="19"/>
              <w:spacing w:line="240" w:lineRule="auto"/>
              <w:ind w:firstLine="0"/>
              <w:jc w:val="center"/>
              <w:rPr>
                <w:sz w:val="21"/>
                <w:szCs w:val="21"/>
              </w:rPr>
            </w:pPr>
            <w:r>
              <w:rPr>
                <w:sz w:val="21"/>
                <w:szCs w:val="21"/>
              </w:rPr>
              <w:t>0.05</w:t>
            </w:r>
          </w:p>
        </w:tc>
        <w:tc>
          <w:tcPr>
            <w:tcW w:w="1000" w:type="dxa"/>
            <w:vAlign w:val="center"/>
          </w:tcPr>
          <w:p w14:paraId="6DC6B7B0">
            <w:pPr>
              <w:pStyle w:val="19"/>
              <w:spacing w:line="240" w:lineRule="auto"/>
              <w:ind w:firstLine="0"/>
              <w:jc w:val="center"/>
              <w:rPr>
                <w:sz w:val="21"/>
                <w:szCs w:val="21"/>
              </w:rPr>
            </w:pPr>
            <w:r>
              <w:rPr>
                <w:sz w:val="21"/>
                <w:szCs w:val="21"/>
              </w:rPr>
              <w:t>0.5</w:t>
            </w:r>
          </w:p>
        </w:tc>
        <w:tc>
          <w:tcPr>
            <w:tcW w:w="1406" w:type="dxa"/>
            <w:vAlign w:val="center"/>
          </w:tcPr>
          <w:p w14:paraId="26C49FC0">
            <w:pPr>
              <w:pStyle w:val="19"/>
              <w:spacing w:line="240" w:lineRule="auto"/>
              <w:ind w:firstLine="0"/>
              <w:jc w:val="center"/>
              <w:rPr>
                <w:sz w:val="21"/>
                <w:szCs w:val="21"/>
              </w:rPr>
            </w:pPr>
            <w:r>
              <w:rPr>
                <w:sz w:val="21"/>
                <w:szCs w:val="21"/>
              </w:rPr>
              <w:t>0.5</w:t>
            </w:r>
          </w:p>
        </w:tc>
        <w:tc>
          <w:tcPr>
            <w:tcW w:w="1096" w:type="dxa"/>
            <w:vAlign w:val="center"/>
          </w:tcPr>
          <w:p w14:paraId="37D44271">
            <w:pPr>
              <w:pStyle w:val="19"/>
              <w:spacing w:line="240" w:lineRule="auto"/>
              <w:ind w:firstLine="0"/>
              <w:jc w:val="center"/>
              <w:rPr>
                <w:sz w:val="21"/>
                <w:szCs w:val="21"/>
              </w:rPr>
            </w:pPr>
            <w:r>
              <w:rPr>
                <w:sz w:val="21"/>
                <w:szCs w:val="21"/>
              </w:rPr>
              <w:t>5</w:t>
            </w:r>
          </w:p>
        </w:tc>
      </w:tr>
      <w:tr w14:paraId="42DBFE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gridAfter w:val="1"/>
          <w:wAfter w:w="9" w:type="dxa"/>
          <w:trHeight w:val="340" w:hRule="atLeast"/>
          <w:jc w:val="center"/>
        </w:trPr>
        <w:tc>
          <w:tcPr>
            <w:tcW w:w="464" w:type="dxa"/>
            <w:vAlign w:val="center"/>
          </w:tcPr>
          <w:p w14:paraId="4685980A">
            <w:pPr>
              <w:pStyle w:val="19"/>
              <w:spacing w:line="240" w:lineRule="auto"/>
              <w:ind w:firstLine="0"/>
              <w:jc w:val="center"/>
              <w:rPr>
                <w:sz w:val="21"/>
                <w:szCs w:val="21"/>
              </w:rPr>
            </w:pPr>
            <w:r>
              <w:rPr>
                <w:sz w:val="21"/>
                <w:szCs w:val="21"/>
              </w:rPr>
              <w:t>25</w:t>
            </w:r>
          </w:p>
        </w:tc>
        <w:tc>
          <w:tcPr>
            <w:tcW w:w="1762" w:type="dxa"/>
            <w:vAlign w:val="center"/>
          </w:tcPr>
          <w:p w14:paraId="16304D85">
            <w:pPr>
              <w:pStyle w:val="19"/>
              <w:spacing w:line="240" w:lineRule="auto"/>
              <w:ind w:firstLine="0"/>
              <w:jc w:val="center"/>
              <w:rPr>
                <w:sz w:val="21"/>
                <w:szCs w:val="21"/>
              </w:rPr>
            </w:pPr>
            <w:r>
              <w:rPr>
                <w:sz w:val="21"/>
                <w:szCs w:val="21"/>
              </w:rPr>
              <w:t>氯乙烯</w:t>
            </w:r>
          </w:p>
        </w:tc>
        <w:tc>
          <w:tcPr>
            <w:tcW w:w="1313" w:type="dxa"/>
            <w:vAlign w:val="center"/>
          </w:tcPr>
          <w:p w14:paraId="1C1EF749">
            <w:pPr>
              <w:pStyle w:val="19"/>
              <w:spacing w:line="240" w:lineRule="auto"/>
              <w:ind w:firstLine="0"/>
              <w:jc w:val="center"/>
              <w:rPr>
                <w:sz w:val="21"/>
                <w:szCs w:val="21"/>
              </w:rPr>
            </w:pPr>
            <w:r>
              <w:rPr>
                <w:sz w:val="21"/>
                <w:szCs w:val="21"/>
              </w:rPr>
              <w:t>1975-1-4</w:t>
            </w:r>
          </w:p>
        </w:tc>
        <w:tc>
          <w:tcPr>
            <w:tcW w:w="1287" w:type="dxa"/>
            <w:vAlign w:val="center"/>
          </w:tcPr>
          <w:p w14:paraId="233E69F5">
            <w:pPr>
              <w:pStyle w:val="19"/>
              <w:spacing w:line="240" w:lineRule="auto"/>
              <w:ind w:firstLine="0"/>
              <w:jc w:val="center"/>
              <w:rPr>
                <w:sz w:val="21"/>
                <w:szCs w:val="21"/>
              </w:rPr>
            </w:pPr>
            <w:r>
              <w:rPr>
                <w:sz w:val="21"/>
                <w:szCs w:val="21"/>
              </w:rPr>
              <w:t>0.12</w:t>
            </w:r>
          </w:p>
        </w:tc>
        <w:tc>
          <w:tcPr>
            <w:tcW w:w="1000" w:type="dxa"/>
            <w:vAlign w:val="center"/>
          </w:tcPr>
          <w:p w14:paraId="5A0BE136">
            <w:pPr>
              <w:pStyle w:val="19"/>
              <w:spacing w:line="240" w:lineRule="auto"/>
              <w:ind w:firstLine="0"/>
              <w:jc w:val="center"/>
              <w:rPr>
                <w:sz w:val="21"/>
                <w:szCs w:val="21"/>
              </w:rPr>
            </w:pPr>
            <w:r>
              <w:rPr>
                <w:sz w:val="21"/>
                <w:szCs w:val="21"/>
              </w:rPr>
              <w:t>0.43</w:t>
            </w:r>
          </w:p>
        </w:tc>
        <w:tc>
          <w:tcPr>
            <w:tcW w:w="1406" w:type="dxa"/>
            <w:vAlign w:val="center"/>
          </w:tcPr>
          <w:p w14:paraId="7A1FD340">
            <w:pPr>
              <w:pStyle w:val="19"/>
              <w:spacing w:line="240" w:lineRule="auto"/>
              <w:ind w:firstLine="0"/>
              <w:jc w:val="center"/>
              <w:rPr>
                <w:sz w:val="21"/>
                <w:szCs w:val="21"/>
              </w:rPr>
            </w:pPr>
            <w:r>
              <w:rPr>
                <w:sz w:val="21"/>
                <w:szCs w:val="21"/>
              </w:rPr>
              <w:t>1.2</w:t>
            </w:r>
          </w:p>
        </w:tc>
        <w:tc>
          <w:tcPr>
            <w:tcW w:w="1096" w:type="dxa"/>
            <w:vAlign w:val="center"/>
          </w:tcPr>
          <w:p w14:paraId="0138E949">
            <w:pPr>
              <w:pStyle w:val="19"/>
              <w:spacing w:line="240" w:lineRule="auto"/>
              <w:ind w:firstLine="0"/>
              <w:jc w:val="center"/>
              <w:rPr>
                <w:sz w:val="21"/>
                <w:szCs w:val="21"/>
              </w:rPr>
            </w:pPr>
            <w:r>
              <w:rPr>
                <w:sz w:val="21"/>
                <w:szCs w:val="21"/>
              </w:rPr>
              <w:t>4.3</w:t>
            </w:r>
          </w:p>
        </w:tc>
      </w:tr>
      <w:tr w14:paraId="75D2F8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626806BC">
            <w:pPr>
              <w:pStyle w:val="19"/>
              <w:spacing w:line="240" w:lineRule="auto"/>
              <w:ind w:firstLine="0"/>
              <w:jc w:val="center"/>
              <w:rPr>
                <w:sz w:val="21"/>
                <w:szCs w:val="21"/>
              </w:rPr>
            </w:pPr>
            <w:r>
              <w:rPr>
                <w:sz w:val="21"/>
                <w:szCs w:val="21"/>
              </w:rPr>
              <w:t>26</w:t>
            </w:r>
          </w:p>
        </w:tc>
        <w:tc>
          <w:tcPr>
            <w:tcW w:w="1762" w:type="dxa"/>
            <w:vAlign w:val="center"/>
          </w:tcPr>
          <w:p w14:paraId="25F77296">
            <w:pPr>
              <w:pStyle w:val="19"/>
              <w:spacing w:line="240" w:lineRule="auto"/>
              <w:ind w:firstLine="0"/>
              <w:jc w:val="center"/>
              <w:rPr>
                <w:sz w:val="21"/>
                <w:szCs w:val="21"/>
              </w:rPr>
            </w:pPr>
            <w:r>
              <w:rPr>
                <w:sz w:val="21"/>
                <w:szCs w:val="21"/>
              </w:rPr>
              <w:t>苯</w:t>
            </w:r>
          </w:p>
        </w:tc>
        <w:tc>
          <w:tcPr>
            <w:tcW w:w="1313" w:type="dxa"/>
            <w:vAlign w:val="center"/>
          </w:tcPr>
          <w:p w14:paraId="6FFC34EA">
            <w:pPr>
              <w:pStyle w:val="19"/>
              <w:spacing w:line="240" w:lineRule="auto"/>
              <w:ind w:firstLine="0"/>
              <w:jc w:val="center"/>
              <w:rPr>
                <w:sz w:val="21"/>
                <w:szCs w:val="21"/>
              </w:rPr>
            </w:pPr>
            <w:r>
              <w:rPr>
                <w:sz w:val="21"/>
                <w:szCs w:val="21"/>
              </w:rPr>
              <w:t>71-43-2</w:t>
            </w:r>
          </w:p>
        </w:tc>
        <w:tc>
          <w:tcPr>
            <w:tcW w:w="1287" w:type="dxa"/>
            <w:vAlign w:val="center"/>
          </w:tcPr>
          <w:p w14:paraId="77ACFCFC">
            <w:pPr>
              <w:pStyle w:val="19"/>
              <w:spacing w:line="240" w:lineRule="auto"/>
              <w:ind w:firstLine="0"/>
              <w:jc w:val="center"/>
              <w:rPr>
                <w:sz w:val="21"/>
                <w:szCs w:val="21"/>
              </w:rPr>
            </w:pPr>
            <w:r>
              <w:rPr>
                <w:sz w:val="21"/>
                <w:szCs w:val="21"/>
              </w:rPr>
              <w:t>1</w:t>
            </w:r>
          </w:p>
        </w:tc>
        <w:tc>
          <w:tcPr>
            <w:tcW w:w="1000" w:type="dxa"/>
            <w:vAlign w:val="center"/>
          </w:tcPr>
          <w:p w14:paraId="5A58932A">
            <w:pPr>
              <w:pStyle w:val="19"/>
              <w:spacing w:line="240" w:lineRule="auto"/>
              <w:ind w:firstLine="0"/>
              <w:jc w:val="center"/>
              <w:rPr>
                <w:sz w:val="21"/>
                <w:szCs w:val="21"/>
              </w:rPr>
            </w:pPr>
            <w:r>
              <w:rPr>
                <w:sz w:val="21"/>
                <w:szCs w:val="21"/>
              </w:rPr>
              <w:t>4</w:t>
            </w:r>
          </w:p>
        </w:tc>
        <w:tc>
          <w:tcPr>
            <w:tcW w:w="1406" w:type="dxa"/>
            <w:vAlign w:val="center"/>
          </w:tcPr>
          <w:p w14:paraId="2AFDA4FA">
            <w:pPr>
              <w:pStyle w:val="19"/>
              <w:spacing w:line="240" w:lineRule="auto"/>
              <w:ind w:firstLine="0"/>
              <w:jc w:val="center"/>
              <w:rPr>
                <w:sz w:val="21"/>
                <w:szCs w:val="21"/>
              </w:rPr>
            </w:pPr>
            <w:r>
              <w:rPr>
                <w:sz w:val="21"/>
                <w:szCs w:val="21"/>
              </w:rPr>
              <w:t>10</w:t>
            </w:r>
          </w:p>
        </w:tc>
        <w:tc>
          <w:tcPr>
            <w:tcW w:w="1096" w:type="dxa"/>
            <w:vAlign w:val="center"/>
          </w:tcPr>
          <w:p w14:paraId="4D0267A6">
            <w:pPr>
              <w:pStyle w:val="19"/>
              <w:spacing w:line="240" w:lineRule="auto"/>
              <w:ind w:firstLine="0"/>
              <w:jc w:val="center"/>
              <w:rPr>
                <w:sz w:val="21"/>
                <w:szCs w:val="21"/>
              </w:rPr>
            </w:pPr>
            <w:r>
              <w:rPr>
                <w:sz w:val="21"/>
                <w:szCs w:val="21"/>
              </w:rPr>
              <w:t>40</w:t>
            </w:r>
          </w:p>
        </w:tc>
      </w:tr>
      <w:tr w14:paraId="48C990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69274DE">
            <w:pPr>
              <w:pStyle w:val="19"/>
              <w:spacing w:line="240" w:lineRule="auto"/>
              <w:ind w:firstLine="0"/>
              <w:jc w:val="center"/>
              <w:rPr>
                <w:sz w:val="21"/>
                <w:szCs w:val="21"/>
              </w:rPr>
            </w:pPr>
            <w:r>
              <w:rPr>
                <w:sz w:val="21"/>
                <w:szCs w:val="21"/>
              </w:rPr>
              <w:t>27</w:t>
            </w:r>
          </w:p>
        </w:tc>
        <w:tc>
          <w:tcPr>
            <w:tcW w:w="1762" w:type="dxa"/>
            <w:vAlign w:val="center"/>
          </w:tcPr>
          <w:p w14:paraId="65B3B46D">
            <w:pPr>
              <w:pStyle w:val="19"/>
              <w:spacing w:line="240" w:lineRule="auto"/>
              <w:ind w:firstLine="0"/>
              <w:jc w:val="center"/>
              <w:rPr>
                <w:sz w:val="21"/>
                <w:szCs w:val="21"/>
              </w:rPr>
            </w:pPr>
            <w:r>
              <w:rPr>
                <w:sz w:val="21"/>
                <w:szCs w:val="21"/>
              </w:rPr>
              <w:t>氯苯</w:t>
            </w:r>
          </w:p>
        </w:tc>
        <w:tc>
          <w:tcPr>
            <w:tcW w:w="1313" w:type="dxa"/>
            <w:vAlign w:val="center"/>
          </w:tcPr>
          <w:p w14:paraId="420FE5E0">
            <w:pPr>
              <w:pStyle w:val="19"/>
              <w:spacing w:line="240" w:lineRule="auto"/>
              <w:ind w:firstLine="0"/>
              <w:jc w:val="center"/>
              <w:rPr>
                <w:sz w:val="21"/>
                <w:szCs w:val="21"/>
              </w:rPr>
            </w:pPr>
            <w:r>
              <w:rPr>
                <w:sz w:val="21"/>
                <w:szCs w:val="21"/>
              </w:rPr>
              <w:t>108-90-7</w:t>
            </w:r>
          </w:p>
        </w:tc>
        <w:tc>
          <w:tcPr>
            <w:tcW w:w="1287" w:type="dxa"/>
            <w:vAlign w:val="center"/>
          </w:tcPr>
          <w:p w14:paraId="05FE70A8">
            <w:pPr>
              <w:pStyle w:val="19"/>
              <w:spacing w:line="240" w:lineRule="auto"/>
              <w:ind w:firstLine="0"/>
              <w:jc w:val="center"/>
              <w:rPr>
                <w:sz w:val="21"/>
                <w:szCs w:val="21"/>
              </w:rPr>
            </w:pPr>
            <w:r>
              <w:rPr>
                <w:sz w:val="21"/>
                <w:szCs w:val="21"/>
              </w:rPr>
              <w:t>68</w:t>
            </w:r>
          </w:p>
        </w:tc>
        <w:tc>
          <w:tcPr>
            <w:tcW w:w="1000" w:type="dxa"/>
            <w:vAlign w:val="center"/>
          </w:tcPr>
          <w:p w14:paraId="1C8C536B">
            <w:pPr>
              <w:pStyle w:val="19"/>
              <w:spacing w:line="240" w:lineRule="auto"/>
              <w:ind w:firstLine="0"/>
              <w:jc w:val="center"/>
              <w:rPr>
                <w:sz w:val="21"/>
                <w:szCs w:val="21"/>
              </w:rPr>
            </w:pPr>
            <w:r>
              <w:rPr>
                <w:sz w:val="21"/>
                <w:szCs w:val="21"/>
              </w:rPr>
              <w:t>270</w:t>
            </w:r>
          </w:p>
        </w:tc>
        <w:tc>
          <w:tcPr>
            <w:tcW w:w="1406" w:type="dxa"/>
            <w:vAlign w:val="center"/>
          </w:tcPr>
          <w:p w14:paraId="2B27085E">
            <w:pPr>
              <w:pStyle w:val="19"/>
              <w:spacing w:line="240" w:lineRule="auto"/>
              <w:ind w:firstLine="0"/>
              <w:jc w:val="center"/>
              <w:rPr>
                <w:sz w:val="21"/>
                <w:szCs w:val="21"/>
              </w:rPr>
            </w:pPr>
            <w:r>
              <w:rPr>
                <w:sz w:val="21"/>
                <w:szCs w:val="21"/>
              </w:rPr>
              <w:t>200</w:t>
            </w:r>
          </w:p>
        </w:tc>
        <w:tc>
          <w:tcPr>
            <w:tcW w:w="1096" w:type="dxa"/>
            <w:vAlign w:val="center"/>
          </w:tcPr>
          <w:p w14:paraId="5C88435C">
            <w:pPr>
              <w:pStyle w:val="19"/>
              <w:spacing w:line="240" w:lineRule="auto"/>
              <w:ind w:firstLine="0"/>
              <w:jc w:val="center"/>
              <w:rPr>
                <w:sz w:val="21"/>
                <w:szCs w:val="21"/>
              </w:rPr>
            </w:pPr>
            <w:r>
              <w:rPr>
                <w:sz w:val="21"/>
                <w:szCs w:val="21"/>
              </w:rPr>
              <w:t>1000</w:t>
            </w:r>
          </w:p>
        </w:tc>
      </w:tr>
      <w:tr w14:paraId="0E4B7D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B77C0BA">
            <w:pPr>
              <w:pStyle w:val="19"/>
              <w:spacing w:line="240" w:lineRule="auto"/>
              <w:ind w:firstLine="0"/>
              <w:jc w:val="center"/>
              <w:rPr>
                <w:sz w:val="21"/>
                <w:szCs w:val="21"/>
              </w:rPr>
            </w:pPr>
            <w:r>
              <w:rPr>
                <w:sz w:val="21"/>
                <w:szCs w:val="21"/>
              </w:rPr>
              <w:t>28</w:t>
            </w:r>
          </w:p>
        </w:tc>
        <w:tc>
          <w:tcPr>
            <w:tcW w:w="1762" w:type="dxa"/>
            <w:vAlign w:val="center"/>
          </w:tcPr>
          <w:p w14:paraId="2FDFD266">
            <w:pPr>
              <w:pStyle w:val="19"/>
              <w:spacing w:line="240" w:lineRule="auto"/>
              <w:ind w:firstLine="0"/>
              <w:jc w:val="center"/>
              <w:rPr>
                <w:sz w:val="21"/>
                <w:szCs w:val="21"/>
              </w:rPr>
            </w:pPr>
            <w:r>
              <w:rPr>
                <w:sz w:val="21"/>
                <w:szCs w:val="21"/>
              </w:rPr>
              <w:t>1</w:t>
            </w:r>
            <w:r>
              <w:rPr>
                <w:rFonts w:hint="eastAsia"/>
                <w:sz w:val="21"/>
                <w:szCs w:val="21"/>
              </w:rPr>
              <w:t>，</w:t>
            </w:r>
            <w:r>
              <w:rPr>
                <w:sz w:val="21"/>
                <w:szCs w:val="21"/>
              </w:rPr>
              <w:t>2-二氯苯</w:t>
            </w:r>
          </w:p>
        </w:tc>
        <w:tc>
          <w:tcPr>
            <w:tcW w:w="1313" w:type="dxa"/>
            <w:vAlign w:val="center"/>
          </w:tcPr>
          <w:p w14:paraId="644FB6A5">
            <w:pPr>
              <w:pStyle w:val="19"/>
              <w:spacing w:line="240" w:lineRule="auto"/>
              <w:ind w:firstLine="0"/>
              <w:jc w:val="center"/>
              <w:rPr>
                <w:sz w:val="21"/>
                <w:szCs w:val="21"/>
              </w:rPr>
            </w:pPr>
            <w:r>
              <w:rPr>
                <w:sz w:val="21"/>
                <w:szCs w:val="21"/>
              </w:rPr>
              <w:t>95-50-1</w:t>
            </w:r>
          </w:p>
        </w:tc>
        <w:tc>
          <w:tcPr>
            <w:tcW w:w="1287" w:type="dxa"/>
            <w:vAlign w:val="center"/>
          </w:tcPr>
          <w:p w14:paraId="63C78E2E">
            <w:pPr>
              <w:pStyle w:val="19"/>
              <w:spacing w:line="240" w:lineRule="auto"/>
              <w:ind w:firstLine="0"/>
              <w:jc w:val="center"/>
              <w:rPr>
                <w:sz w:val="21"/>
                <w:szCs w:val="21"/>
              </w:rPr>
            </w:pPr>
            <w:r>
              <w:rPr>
                <w:sz w:val="21"/>
                <w:szCs w:val="21"/>
              </w:rPr>
              <w:t>560</w:t>
            </w:r>
          </w:p>
        </w:tc>
        <w:tc>
          <w:tcPr>
            <w:tcW w:w="1000" w:type="dxa"/>
            <w:vAlign w:val="center"/>
          </w:tcPr>
          <w:p w14:paraId="45EA5BA7">
            <w:pPr>
              <w:pStyle w:val="19"/>
              <w:spacing w:line="240" w:lineRule="auto"/>
              <w:ind w:firstLine="0"/>
              <w:jc w:val="center"/>
              <w:rPr>
                <w:sz w:val="21"/>
                <w:szCs w:val="21"/>
              </w:rPr>
            </w:pPr>
            <w:r>
              <w:rPr>
                <w:sz w:val="21"/>
                <w:szCs w:val="21"/>
              </w:rPr>
              <w:t>560</w:t>
            </w:r>
          </w:p>
        </w:tc>
        <w:tc>
          <w:tcPr>
            <w:tcW w:w="1406" w:type="dxa"/>
            <w:vAlign w:val="center"/>
          </w:tcPr>
          <w:p w14:paraId="30F16082">
            <w:pPr>
              <w:pStyle w:val="19"/>
              <w:spacing w:line="240" w:lineRule="auto"/>
              <w:ind w:firstLine="0"/>
              <w:jc w:val="center"/>
              <w:rPr>
                <w:sz w:val="21"/>
                <w:szCs w:val="21"/>
              </w:rPr>
            </w:pPr>
            <w:r>
              <w:rPr>
                <w:sz w:val="21"/>
                <w:szCs w:val="21"/>
              </w:rPr>
              <w:t>560</w:t>
            </w:r>
          </w:p>
        </w:tc>
        <w:tc>
          <w:tcPr>
            <w:tcW w:w="1096" w:type="dxa"/>
            <w:vAlign w:val="center"/>
          </w:tcPr>
          <w:p w14:paraId="775412CD">
            <w:pPr>
              <w:pStyle w:val="19"/>
              <w:spacing w:line="240" w:lineRule="auto"/>
              <w:ind w:firstLine="0"/>
              <w:jc w:val="center"/>
              <w:rPr>
                <w:sz w:val="21"/>
                <w:szCs w:val="21"/>
              </w:rPr>
            </w:pPr>
            <w:r>
              <w:rPr>
                <w:sz w:val="21"/>
                <w:szCs w:val="21"/>
              </w:rPr>
              <w:t>560</w:t>
            </w:r>
          </w:p>
        </w:tc>
      </w:tr>
      <w:tr w14:paraId="78184A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7813CD6F">
            <w:pPr>
              <w:pStyle w:val="19"/>
              <w:spacing w:line="240" w:lineRule="auto"/>
              <w:ind w:firstLine="0"/>
              <w:jc w:val="center"/>
              <w:rPr>
                <w:sz w:val="21"/>
                <w:szCs w:val="21"/>
              </w:rPr>
            </w:pPr>
            <w:r>
              <w:rPr>
                <w:sz w:val="21"/>
                <w:szCs w:val="21"/>
              </w:rPr>
              <w:t>29</w:t>
            </w:r>
          </w:p>
        </w:tc>
        <w:tc>
          <w:tcPr>
            <w:tcW w:w="1762" w:type="dxa"/>
            <w:vAlign w:val="center"/>
          </w:tcPr>
          <w:p w14:paraId="394B366B">
            <w:pPr>
              <w:pStyle w:val="19"/>
              <w:spacing w:line="240" w:lineRule="auto"/>
              <w:ind w:firstLine="0"/>
              <w:jc w:val="center"/>
              <w:rPr>
                <w:sz w:val="21"/>
                <w:szCs w:val="21"/>
              </w:rPr>
            </w:pPr>
            <w:r>
              <w:rPr>
                <w:sz w:val="21"/>
                <w:szCs w:val="21"/>
              </w:rPr>
              <w:t>1</w:t>
            </w:r>
            <w:r>
              <w:rPr>
                <w:rFonts w:hint="eastAsia"/>
                <w:sz w:val="21"/>
                <w:szCs w:val="21"/>
              </w:rPr>
              <w:t>，</w:t>
            </w:r>
            <w:r>
              <w:rPr>
                <w:sz w:val="21"/>
                <w:szCs w:val="21"/>
              </w:rPr>
              <w:t>4-二氯苯</w:t>
            </w:r>
          </w:p>
        </w:tc>
        <w:tc>
          <w:tcPr>
            <w:tcW w:w="1313" w:type="dxa"/>
            <w:vAlign w:val="center"/>
          </w:tcPr>
          <w:p w14:paraId="33DA5401">
            <w:pPr>
              <w:pStyle w:val="19"/>
              <w:spacing w:line="240" w:lineRule="auto"/>
              <w:ind w:firstLine="0"/>
              <w:jc w:val="center"/>
              <w:rPr>
                <w:sz w:val="21"/>
                <w:szCs w:val="21"/>
              </w:rPr>
            </w:pPr>
            <w:r>
              <w:rPr>
                <w:sz w:val="21"/>
                <w:szCs w:val="21"/>
              </w:rPr>
              <w:t>106-46-7</w:t>
            </w:r>
          </w:p>
        </w:tc>
        <w:tc>
          <w:tcPr>
            <w:tcW w:w="1287" w:type="dxa"/>
            <w:vAlign w:val="center"/>
          </w:tcPr>
          <w:p w14:paraId="06037D19">
            <w:pPr>
              <w:pStyle w:val="19"/>
              <w:spacing w:line="240" w:lineRule="auto"/>
              <w:ind w:firstLine="0"/>
              <w:jc w:val="center"/>
              <w:rPr>
                <w:sz w:val="21"/>
                <w:szCs w:val="21"/>
              </w:rPr>
            </w:pPr>
            <w:r>
              <w:rPr>
                <w:sz w:val="21"/>
                <w:szCs w:val="21"/>
              </w:rPr>
              <w:t>5.6</w:t>
            </w:r>
          </w:p>
        </w:tc>
        <w:tc>
          <w:tcPr>
            <w:tcW w:w="1000" w:type="dxa"/>
            <w:vAlign w:val="center"/>
          </w:tcPr>
          <w:p w14:paraId="7EC509CD">
            <w:pPr>
              <w:pStyle w:val="19"/>
              <w:spacing w:line="240" w:lineRule="auto"/>
              <w:ind w:firstLine="0"/>
              <w:jc w:val="center"/>
              <w:rPr>
                <w:sz w:val="21"/>
                <w:szCs w:val="21"/>
              </w:rPr>
            </w:pPr>
            <w:r>
              <w:rPr>
                <w:sz w:val="21"/>
                <w:szCs w:val="21"/>
              </w:rPr>
              <w:t>20</w:t>
            </w:r>
          </w:p>
        </w:tc>
        <w:tc>
          <w:tcPr>
            <w:tcW w:w="1406" w:type="dxa"/>
            <w:vAlign w:val="center"/>
          </w:tcPr>
          <w:p w14:paraId="17BFFC98">
            <w:pPr>
              <w:pStyle w:val="19"/>
              <w:spacing w:line="240" w:lineRule="auto"/>
              <w:ind w:firstLine="0"/>
              <w:jc w:val="center"/>
              <w:rPr>
                <w:sz w:val="21"/>
                <w:szCs w:val="21"/>
              </w:rPr>
            </w:pPr>
            <w:r>
              <w:rPr>
                <w:sz w:val="21"/>
                <w:szCs w:val="21"/>
              </w:rPr>
              <w:t>56</w:t>
            </w:r>
          </w:p>
        </w:tc>
        <w:tc>
          <w:tcPr>
            <w:tcW w:w="1096" w:type="dxa"/>
            <w:vAlign w:val="center"/>
          </w:tcPr>
          <w:p w14:paraId="087067E9">
            <w:pPr>
              <w:pStyle w:val="19"/>
              <w:spacing w:line="240" w:lineRule="auto"/>
              <w:ind w:firstLine="0"/>
              <w:jc w:val="center"/>
              <w:rPr>
                <w:sz w:val="21"/>
                <w:szCs w:val="21"/>
              </w:rPr>
            </w:pPr>
            <w:r>
              <w:rPr>
                <w:sz w:val="21"/>
                <w:szCs w:val="21"/>
              </w:rPr>
              <w:t>200</w:t>
            </w:r>
          </w:p>
        </w:tc>
      </w:tr>
      <w:tr w14:paraId="3960BC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47C78FBC">
            <w:pPr>
              <w:pStyle w:val="19"/>
              <w:spacing w:line="240" w:lineRule="auto"/>
              <w:ind w:firstLine="0"/>
              <w:jc w:val="center"/>
              <w:rPr>
                <w:sz w:val="21"/>
                <w:szCs w:val="21"/>
              </w:rPr>
            </w:pPr>
            <w:r>
              <w:rPr>
                <w:sz w:val="21"/>
                <w:szCs w:val="21"/>
              </w:rPr>
              <w:t>30</w:t>
            </w:r>
          </w:p>
        </w:tc>
        <w:tc>
          <w:tcPr>
            <w:tcW w:w="1762" w:type="dxa"/>
            <w:vAlign w:val="center"/>
          </w:tcPr>
          <w:p w14:paraId="566CAD9F">
            <w:pPr>
              <w:pStyle w:val="19"/>
              <w:spacing w:line="240" w:lineRule="auto"/>
              <w:ind w:firstLine="0"/>
              <w:jc w:val="center"/>
              <w:rPr>
                <w:sz w:val="21"/>
                <w:szCs w:val="21"/>
              </w:rPr>
            </w:pPr>
            <w:r>
              <w:rPr>
                <w:sz w:val="21"/>
                <w:szCs w:val="21"/>
              </w:rPr>
              <w:t>乙苯</w:t>
            </w:r>
          </w:p>
        </w:tc>
        <w:tc>
          <w:tcPr>
            <w:tcW w:w="1313" w:type="dxa"/>
            <w:vAlign w:val="center"/>
          </w:tcPr>
          <w:p w14:paraId="2C6AC4CB">
            <w:pPr>
              <w:pStyle w:val="19"/>
              <w:spacing w:line="240" w:lineRule="auto"/>
              <w:ind w:firstLine="0"/>
              <w:jc w:val="center"/>
              <w:rPr>
                <w:sz w:val="21"/>
                <w:szCs w:val="21"/>
              </w:rPr>
            </w:pPr>
            <w:r>
              <w:rPr>
                <w:sz w:val="21"/>
                <w:szCs w:val="21"/>
              </w:rPr>
              <w:t>100-41-4</w:t>
            </w:r>
          </w:p>
        </w:tc>
        <w:tc>
          <w:tcPr>
            <w:tcW w:w="1287" w:type="dxa"/>
            <w:vAlign w:val="center"/>
          </w:tcPr>
          <w:p w14:paraId="75AFDDE6">
            <w:pPr>
              <w:pStyle w:val="19"/>
              <w:spacing w:line="240" w:lineRule="auto"/>
              <w:ind w:firstLine="0"/>
              <w:jc w:val="center"/>
              <w:rPr>
                <w:sz w:val="21"/>
                <w:szCs w:val="21"/>
              </w:rPr>
            </w:pPr>
            <w:r>
              <w:rPr>
                <w:sz w:val="21"/>
                <w:szCs w:val="21"/>
              </w:rPr>
              <w:t>7.2</w:t>
            </w:r>
          </w:p>
        </w:tc>
        <w:tc>
          <w:tcPr>
            <w:tcW w:w="1000" w:type="dxa"/>
            <w:vAlign w:val="center"/>
          </w:tcPr>
          <w:p w14:paraId="7E1E013A">
            <w:pPr>
              <w:pStyle w:val="19"/>
              <w:spacing w:line="240" w:lineRule="auto"/>
              <w:ind w:firstLine="0"/>
              <w:jc w:val="center"/>
              <w:rPr>
                <w:sz w:val="21"/>
                <w:szCs w:val="21"/>
              </w:rPr>
            </w:pPr>
            <w:r>
              <w:rPr>
                <w:sz w:val="21"/>
                <w:szCs w:val="21"/>
              </w:rPr>
              <w:t>28</w:t>
            </w:r>
          </w:p>
        </w:tc>
        <w:tc>
          <w:tcPr>
            <w:tcW w:w="1406" w:type="dxa"/>
            <w:vAlign w:val="center"/>
          </w:tcPr>
          <w:p w14:paraId="1AF5FE6D">
            <w:pPr>
              <w:pStyle w:val="19"/>
              <w:spacing w:line="240" w:lineRule="auto"/>
              <w:ind w:firstLine="0"/>
              <w:jc w:val="center"/>
              <w:rPr>
                <w:sz w:val="21"/>
                <w:szCs w:val="21"/>
              </w:rPr>
            </w:pPr>
            <w:r>
              <w:rPr>
                <w:sz w:val="21"/>
                <w:szCs w:val="21"/>
              </w:rPr>
              <w:t>72</w:t>
            </w:r>
          </w:p>
        </w:tc>
        <w:tc>
          <w:tcPr>
            <w:tcW w:w="1096" w:type="dxa"/>
            <w:vAlign w:val="center"/>
          </w:tcPr>
          <w:p w14:paraId="46B828AD">
            <w:pPr>
              <w:pStyle w:val="19"/>
              <w:spacing w:line="240" w:lineRule="auto"/>
              <w:ind w:firstLine="0"/>
              <w:jc w:val="center"/>
              <w:rPr>
                <w:sz w:val="21"/>
                <w:szCs w:val="21"/>
              </w:rPr>
            </w:pPr>
            <w:r>
              <w:rPr>
                <w:sz w:val="21"/>
                <w:szCs w:val="21"/>
              </w:rPr>
              <w:t>280</w:t>
            </w:r>
          </w:p>
        </w:tc>
      </w:tr>
      <w:tr w14:paraId="4E9A51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0AEB2EA4">
            <w:pPr>
              <w:pStyle w:val="19"/>
              <w:spacing w:line="240" w:lineRule="auto"/>
              <w:ind w:firstLine="0"/>
              <w:jc w:val="center"/>
              <w:rPr>
                <w:sz w:val="21"/>
                <w:szCs w:val="21"/>
              </w:rPr>
            </w:pPr>
            <w:r>
              <w:rPr>
                <w:sz w:val="21"/>
                <w:szCs w:val="21"/>
              </w:rPr>
              <w:t>31</w:t>
            </w:r>
          </w:p>
        </w:tc>
        <w:tc>
          <w:tcPr>
            <w:tcW w:w="1762" w:type="dxa"/>
            <w:vAlign w:val="center"/>
          </w:tcPr>
          <w:p w14:paraId="2BDB6533">
            <w:pPr>
              <w:pStyle w:val="19"/>
              <w:spacing w:line="240" w:lineRule="auto"/>
              <w:ind w:firstLine="0"/>
              <w:jc w:val="center"/>
              <w:rPr>
                <w:sz w:val="21"/>
                <w:szCs w:val="21"/>
              </w:rPr>
            </w:pPr>
            <w:r>
              <w:rPr>
                <w:sz w:val="21"/>
                <w:szCs w:val="21"/>
              </w:rPr>
              <w:t>苯乙烯</w:t>
            </w:r>
          </w:p>
        </w:tc>
        <w:tc>
          <w:tcPr>
            <w:tcW w:w="1313" w:type="dxa"/>
            <w:vAlign w:val="center"/>
          </w:tcPr>
          <w:p w14:paraId="45A64C11">
            <w:pPr>
              <w:pStyle w:val="19"/>
              <w:spacing w:line="240" w:lineRule="auto"/>
              <w:ind w:firstLine="0"/>
              <w:jc w:val="center"/>
              <w:rPr>
                <w:sz w:val="21"/>
                <w:szCs w:val="21"/>
              </w:rPr>
            </w:pPr>
            <w:r>
              <w:rPr>
                <w:sz w:val="21"/>
                <w:szCs w:val="21"/>
              </w:rPr>
              <w:t>100-42-5</w:t>
            </w:r>
          </w:p>
        </w:tc>
        <w:tc>
          <w:tcPr>
            <w:tcW w:w="1287" w:type="dxa"/>
            <w:vAlign w:val="center"/>
          </w:tcPr>
          <w:p w14:paraId="55F50693">
            <w:pPr>
              <w:pStyle w:val="19"/>
              <w:spacing w:line="240" w:lineRule="auto"/>
              <w:ind w:firstLine="0"/>
              <w:jc w:val="center"/>
              <w:rPr>
                <w:sz w:val="21"/>
                <w:szCs w:val="21"/>
              </w:rPr>
            </w:pPr>
            <w:r>
              <w:rPr>
                <w:sz w:val="21"/>
                <w:szCs w:val="21"/>
              </w:rPr>
              <w:t>1290</w:t>
            </w:r>
          </w:p>
        </w:tc>
        <w:tc>
          <w:tcPr>
            <w:tcW w:w="1000" w:type="dxa"/>
            <w:vAlign w:val="center"/>
          </w:tcPr>
          <w:p w14:paraId="65E386D5">
            <w:pPr>
              <w:pStyle w:val="19"/>
              <w:spacing w:line="240" w:lineRule="auto"/>
              <w:ind w:firstLine="0"/>
              <w:jc w:val="center"/>
              <w:rPr>
                <w:sz w:val="21"/>
                <w:szCs w:val="21"/>
              </w:rPr>
            </w:pPr>
            <w:r>
              <w:rPr>
                <w:sz w:val="21"/>
                <w:szCs w:val="21"/>
              </w:rPr>
              <w:t>1290</w:t>
            </w:r>
          </w:p>
        </w:tc>
        <w:tc>
          <w:tcPr>
            <w:tcW w:w="1406" w:type="dxa"/>
            <w:vAlign w:val="center"/>
          </w:tcPr>
          <w:p w14:paraId="02BD29A5">
            <w:pPr>
              <w:pStyle w:val="19"/>
              <w:spacing w:line="240" w:lineRule="auto"/>
              <w:ind w:firstLine="0"/>
              <w:jc w:val="center"/>
              <w:rPr>
                <w:sz w:val="21"/>
                <w:szCs w:val="21"/>
              </w:rPr>
            </w:pPr>
            <w:r>
              <w:rPr>
                <w:sz w:val="21"/>
                <w:szCs w:val="21"/>
              </w:rPr>
              <w:t>1290</w:t>
            </w:r>
          </w:p>
        </w:tc>
        <w:tc>
          <w:tcPr>
            <w:tcW w:w="1096" w:type="dxa"/>
            <w:vAlign w:val="center"/>
          </w:tcPr>
          <w:p w14:paraId="0BAAE317">
            <w:pPr>
              <w:pStyle w:val="19"/>
              <w:spacing w:line="240" w:lineRule="auto"/>
              <w:ind w:firstLine="0"/>
              <w:jc w:val="center"/>
              <w:rPr>
                <w:sz w:val="21"/>
                <w:szCs w:val="21"/>
              </w:rPr>
            </w:pPr>
            <w:r>
              <w:rPr>
                <w:sz w:val="21"/>
                <w:szCs w:val="21"/>
              </w:rPr>
              <w:t>1290</w:t>
            </w:r>
          </w:p>
        </w:tc>
      </w:tr>
      <w:tr w14:paraId="14A297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1AC62CBE">
            <w:pPr>
              <w:pStyle w:val="19"/>
              <w:spacing w:line="240" w:lineRule="auto"/>
              <w:ind w:firstLine="0"/>
              <w:jc w:val="center"/>
              <w:rPr>
                <w:sz w:val="21"/>
                <w:szCs w:val="21"/>
              </w:rPr>
            </w:pPr>
            <w:r>
              <w:rPr>
                <w:sz w:val="21"/>
                <w:szCs w:val="21"/>
              </w:rPr>
              <w:t>32</w:t>
            </w:r>
          </w:p>
        </w:tc>
        <w:tc>
          <w:tcPr>
            <w:tcW w:w="1762" w:type="dxa"/>
            <w:vAlign w:val="center"/>
          </w:tcPr>
          <w:p w14:paraId="3651C58D">
            <w:pPr>
              <w:pStyle w:val="19"/>
              <w:spacing w:line="240" w:lineRule="auto"/>
              <w:ind w:firstLine="0"/>
              <w:jc w:val="center"/>
              <w:rPr>
                <w:sz w:val="21"/>
                <w:szCs w:val="21"/>
              </w:rPr>
            </w:pPr>
            <w:r>
              <w:rPr>
                <w:sz w:val="21"/>
                <w:szCs w:val="21"/>
              </w:rPr>
              <w:t>甲苯</w:t>
            </w:r>
          </w:p>
        </w:tc>
        <w:tc>
          <w:tcPr>
            <w:tcW w:w="1313" w:type="dxa"/>
            <w:vAlign w:val="center"/>
          </w:tcPr>
          <w:p w14:paraId="1F8617A4">
            <w:pPr>
              <w:pStyle w:val="19"/>
              <w:spacing w:line="240" w:lineRule="auto"/>
              <w:ind w:firstLine="0"/>
              <w:jc w:val="center"/>
              <w:rPr>
                <w:sz w:val="21"/>
                <w:szCs w:val="21"/>
              </w:rPr>
            </w:pPr>
            <w:r>
              <w:rPr>
                <w:sz w:val="21"/>
                <w:szCs w:val="21"/>
              </w:rPr>
              <w:t>108-88-3</w:t>
            </w:r>
          </w:p>
        </w:tc>
        <w:tc>
          <w:tcPr>
            <w:tcW w:w="1287" w:type="dxa"/>
            <w:vAlign w:val="center"/>
          </w:tcPr>
          <w:p w14:paraId="36206EAF">
            <w:pPr>
              <w:pStyle w:val="19"/>
              <w:spacing w:line="240" w:lineRule="auto"/>
              <w:ind w:firstLine="0"/>
              <w:jc w:val="center"/>
              <w:rPr>
                <w:sz w:val="21"/>
                <w:szCs w:val="21"/>
              </w:rPr>
            </w:pPr>
            <w:r>
              <w:rPr>
                <w:sz w:val="21"/>
                <w:szCs w:val="21"/>
              </w:rPr>
              <w:t>1200</w:t>
            </w:r>
          </w:p>
        </w:tc>
        <w:tc>
          <w:tcPr>
            <w:tcW w:w="1000" w:type="dxa"/>
            <w:vAlign w:val="center"/>
          </w:tcPr>
          <w:p w14:paraId="6FCB2B74">
            <w:pPr>
              <w:pStyle w:val="19"/>
              <w:spacing w:line="240" w:lineRule="auto"/>
              <w:ind w:firstLine="0"/>
              <w:jc w:val="center"/>
              <w:rPr>
                <w:sz w:val="21"/>
                <w:szCs w:val="21"/>
              </w:rPr>
            </w:pPr>
            <w:r>
              <w:rPr>
                <w:sz w:val="21"/>
                <w:szCs w:val="21"/>
              </w:rPr>
              <w:t>1200</w:t>
            </w:r>
          </w:p>
        </w:tc>
        <w:tc>
          <w:tcPr>
            <w:tcW w:w="1406" w:type="dxa"/>
            <w:vAlign w:val="center"/>
          </w:tcPr>
          <w:p w14:paraId="017FD8C2">
            <w:pPr>
              <w:pStyle w:val="19"/>
              <w:spacing w:line="240" w:lineRule="auto"/>
              <w:ind w:firstLine="0"/>
              <w:jc w:val="center"/>
              <w:rPr>
                <w:sz w:val="21"/>
                <w:szCs w:val="21"/>
              </w:rPr>
            </w:pPr>
            <w:r>
              <w:rPr>
                <w:sz w:val="21"/>
                <w:szCs w:val="21"/>
              </w:rPr>
              <w:t>1200</w:t>
            </w:r>
          </w:p>
        </w:tc>
        <w:tc>
          <w:tcPr>
            <w:tcW w:w="1096" w:type="dxa"/>
            <w:vAlign w:val="center"/>
          </w:tcPr>
          <w:p w14:paraId="1102D62F">
            <w:pPr>
              <w:pStyle w:val="19"/>
              <w:spacing w:line="240" w:lineRule="auto"/>
              <w:ind w:firstLine="0"/>
              <w:jc w:val="center"/>
              <w:rPr>
                <w:sz w:val="21"/>
                <w:szCs w:val="21"/>
              </w:rPr>
            </w:pPr>
            <w:r>
              <w:rPr>
                <w:sz w:val="21"/>
                <w:szCs w:val="21"/>
              </w:rPr>
              <w:t>1200</w:t>
            </w:r>
          </w:p>
        </w:tc>
      </w:tr>
      <w:tr w14:paraId="31E0CA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2EBB633E">
            <w:pPr>
              <w:pStyle w:val="19"/>
              <w:spacing w:line="240" w:lineRule="auto"/>
              <w:ind w:firstLine="0"/>
              <w:jc w:val="center"/>
              <w:rPr>
                <w:sz w:val="21"/>
                <w:szCs w:val="21"/>
              </w:rPr>
            </w:pPr>
            <w:r>
              <w:rPr>
                <w:sz w:val="21"/>
                <w:szCs w:val="21"/>
              </w:rPr>
              <w:t>33</w:t>
            </w:r>
          </w:p>
        </w:tc>
        <w:tc>
          <w:tcPr>
            <w:tcW w:w="1762" w:type="dxa"/>
            <w:vAlign w:val="center"/>
          </w:tcPr>
          <w:p w14:paraId="482727E3">
            <w:pPr>
              <w:pStyle w:val="19"/>
              <w:spacing w:line="240" w:lineRule="auto"/>
              <w:ind w:firstLine="0"/>
              <w:jc w:val="center"/>
              <w:rPr>
                <w:sz w:val="21"/>
                <w:szCs w:val="21"/>
              </w:rPr>
            </w:pPr>
            <w:r>
              <w:rPr>
                <w:sz w:val="21"/>
                <w:szCs w:val="21"/>
              </w:rPr>
              <w:t>间二甲苯+对二甲苯</w:t>
            </w:r>
          </w:p>
        </w:tc>
        <w:tc>
          <w:tcPr>
            <w:tcW w:w="1313" w:type="dxa"/>
            <w:vAlign w:val="center"/>
          </w:tcPr>
          <w:p w14:paraId="38219B28">
            <w:pPr>
              <w:pStyle w:val="19"/>
              <w:spacing w:line="240" w:lineRule="auto"/>
              <w:ind w:firstLine="0"/>
              <w:jc w:val="center"/>
              <w:rPr>
                <w:sz w:val="21"/>
                <w:szCs w:val="21"/>
              </w:rPr>
            </w:pPr>
            <w:r>
              <w:rPr>
                <w:sz w:val="21"/>
                <w:szCs w:val="21"/>
              </w:rPr>
              <w:t>108-38-3</w:t>
            </w:r>
            <w:r>
              <w:rPr>
                <w:rFonts w:hint="eastAsia"/>
                <w:sz w:val="21"/>
                <w:szCs w:val="21"/>
              </w:rPr>
              <w:t>，</w:t>
            </w:r>
            <w:r>
              <w:rPr>
                <w:sz w:val="21"/>
                <w:szCs w:val="21"/>
              </w:rPr>
              <w:t>106-42-3</w:t>
            </w:r>
          </w:p>
        </w:tc>
        <w:tc>
          <w:tcPr>
            <w:tcW w:w="1287" w:type="dxa"/>
            <w:vAlign w:val="center"/>
          </w:tcPr>
          <w:p w14:paraId="3D0761C2">
            <w:pPr>
              <w:pStyle w:val="19"/>
              <w:spacing w:line="240" w:lineRule="auto"/>
              <w:ind w:firstLine="0"/>
              <w:jc w:val="center"/>
              <w:rPr>
                <w:sz w:val="21"/>
                <w:szCs w:val="21"/>
              </w:rPr>
            </w:pPr>
            <w:r>
              <w:rPr>
                <w:sz w:val="21"/>
                <w:szCs w:val="21"/>
              </w:rPr>
              <w:t>163</w:t>
            </w:r>
          </w:p>
        </w:tc>
        <w:tc>
          <w:tcPr>
            <w:tcW w:w="1000" w:type="dxa"/>
            <w:vAlign w:val="center"/>
          </w:tcPr>
          <w:p w14:paraId="3DFB88B2">
            <w:pPr>
              <w:pStyle w:val="19"/>
              <w:spacing w:line="240" w:lineRule="auto"/>
              <w:ind w:firstLine="0"/>
              <w:jc w:val="center"/>
              <w:rPr>
                <w:sz w:val="21"/>
                <w:szCs w:val="21"/>
              </w:rPr>
            </w:pPr>
            <w:r>
              <w:rPr>
                <w:sz w:val="21"/>
                <w:szCs w:val="21"/>
              </w:rPr>
              <w:t>570</w:t>
            </w:r>
          </w:p>
        </w:tc>
        <w:tc>
          <w:tcPr>
            <w:tcW w:w="1406" w:type="dxa"/>
            <w:vAlign w:val="center"/>
          </w:tcPr>
          <w:p w14:paraId="75E4DEE9">
            <w:pPr>
              <w:pStyle w:val="19"/>
              <w:spacing w:line="240" w:lineRule="auto"/>
              <w:ind w:firstLine="0"/>
              <w:jc w:val="center"/>
              <w:rPr>
                <w:sz w:val="21"/>
                <w:szCs w:val="21"/>
              </w:rPr>
            </w:pPr>
            <w:r>
              <w:rPr>
                <w:sz w:val="21"/>
                <w:szCs w:val="21"/>
              </w:rPr>
              <w:t>500</w:t>
            </w:r>
          </w:p>
        </w:tc>
        <w:tc>
          <w:tcPr>
            <w:tcW w:w="1096" w:type="dxa"/>
            <w:vAlign w:val="center"/>
          </w:tcPr>
          <w:p w14:paraId="46195AE3">
            <w:pPr>
              <w:pStyle w:val="19"/>
              <w:spacing w:line="240" w:lineRule="auto"/>
              <w:ind w:firstLine="0"/>
              <w:jc w:val="center"/>
              <w:rPr>
                <w:sz w:val="21"/>
                <w:szCs w:val="21"/>
              </w:rPr>
            </w:pPr>
            <w:r>
              <w:rPr>
                <w:sz w:val="21"/>
                <w:szCs w:val="21"/>
              </w:rPr>
              <w:t>570</w:t>
            </w:r>
          </w:p>
        </w:tc>
      </w:tr>
      <w:tr w14:paraId="7B71C9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0374EBB1">
            <w:pPr>
              <w:pStyle w:val="19"/>
              <w:spacing w:line="240" w:lineRule="auto"/>
              <w:ind w:firstLine="0"/>
              <w:jc w:val="center"/>
              <w:rPr>
                <w:sz w:val="21"/>
                <w:szCs w:val="21"/>
              </w:rPr>
            </w:pPr>
            <w:r>
              <w:rPr>
                <w:sz w:val="21"/>
                <w:szCs w:val="21"/>
              </w:rPr>
              <w:t>34</w:t>
            </w:r>
          </w:p>
        </w:tc>
        <w:tc>
          <w:tcPr>
            <w:tcW w:w="1762" w:type="dxa"/>
            <w:vAlign w:val="center"/>
          </w:tcPr>
          <w:p w14:paraId="55C3A247">
            <w:pPr>
              <w:pStyle w:val="19"/>
              <w:spacing w:line="240" w:lineRule="auto"/>
              <w:ind w:firstLine="0"/>
              <w:jc w:val="center"/>
              <w:rPr>
                <w:sz w:val="21"/>
                <w:szCs w:val="21"/>
              </w:rPr>
            </w:pPr>
            <w:r>
              <w:rPr>
                <w:sz w:val="21"/>
                <w:szCs w:val="21"/>
              </w:rPr>
              <w:t>邻二甲苯</w:t>
            </w:r>
          </w:p>
        </w:tc>
        <w:tc>
          <w:tcPr>
            <w:tcW w:w="1313" w:type="dxa"/>
            <w:vAlign w:val="center"/>
          </w:tcPr>
          <w:p w14:paraId="64E8987D">
            <w:pPr>
              <w:pStyle w:val="19"/>
              <w:spacing w:line="240" w:lineRule="auto"/>
              <w:ind w:firstLine="0"/>
              <w:jc w:val="center"/>
              <w:rPr>
                <w:sz w:val="21"/>
                <w:szCs w:val="21"/>
              </w:rPr>
            </w:pPr>
            <w:r>
              <w:rPr>
                <w:sz w:val="21"/>
                <w:szCs w:val="21"/>
              </w:rPr>
              <w:t>95-47-6</w:t>
            </w:r>
          </w:p>
        </w:tc>
        <w:tc>
          <w:tcPr>
            <w:tcW w:w="1287" w:type="dxa"/>
            <w:vAlign w:val="center"/>
          </w:tcPr>
          <w:p w14:paraId="6D968BDD">
            <w:pPr>
              <w:pStyle w:val="19"/>
              <w:spacing w:line="240" w:lineRule="auto"/>
              <w:ind w:firstLine="0"/>
              <w:jc w:val="center"/>
              <w:rPr>
                <w:sz w:val="21"/>
                <w:szCs w:val="21"/>
              </w:rPr>
            </w:pPr>
            <w:r>
              <w:rPr>
                <w:sz w:val="21"/>
                <w:szCs w:val="21"/>
              </w:rPr>
              <w:t>222</w:t>
            </w:r>
          </w:p>
        </w:tc>
        <w:tc>
          <w:tcPr>
            <w:tcW w:w="1000" w:type="dxa"/>
            <w:vAlign w:val="center"/>
          </w:tcPr>
          <w:p w14:paraId="3E235C81">
            <w:pPr>
              <w:pStyle w:val="19"/>
              <w:spacing w:line="240" w:lineRule="auto"/>
              <w:ind w:firstLine="0"/>
              <w:jc w:val="center"/>
              <w:rPr>
                <w:sz w:val="21"/>
                <w:szCs w:val="21"/>
              </w:rPr>
            </w:pPr>
            <w:r>
              <w:rPr>
                <w:sz w:val="21"/>
                <w:szCs w:val="21"/>
              </w:rPr>
              <w:t>640</w:t>
            </w:r>
          </w:p>
        </w:tc>
        <w:tc>
          <w:tcPr>
            <w:tcW w:w="1406" w:type="dxa"/>
            <w:vAlign w:val="center"/>
          </w:tcPr>
          <w:p w14:paraId="3771AC73">
            <w:pPr>
              <w:pStyle w:val="19"/>
              <w:spacing w:line="240" w:lineRule="auto"/>
              <w:ind w:firstLine="0"/>
              <w:jc w:val="center"/>
              <w:rPr>
                <w:sz w:val="21"/>
                <w:szCs w:val="21"/>
              </w:rPr>
            </w:pPr>
            <w:r>
              <w:rPr>
                <w:sz w:val="21"/>
                <w:szCs w:val="21"/>
              </w:rPr>
              <w:t>640</w:t>
            </w:r>
          </w:p>
        </w:tc>
        <w:tc>
          <w:tcPr>
            <w:tcW w:w="1096" w:type="dxa"/>
            <w:vAlign w:val="center"/>
          </w:tcPr>
          <w:p w14:paraId="09930722">
            <w:pPr>
              <w:pStyle w:val="19"/>
              <w:spacing w:line="240" w:lineRule="auto"/>
              <w:ind w:firstLine="0"/>
              <w:jc w:val="center"/>
              <w:rPr>
                <w:sz w:val="21"/>
                <w:szCs w:val="21"/>
              </w:rPr>
            </w:pPr>
            <w:r>
              <w:rPr>
                <w:sz w:val="21"/>
                <w:szCs w:val="21"/>
              </w:rPr>
              <w:t>640</w:t>
            </w:r>
          </w:p>
        </w:tc>
      </w:tr>
      <w:tr w14:paraId="1ADE40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8328" w:type="dxa"/>
            <w:gridSpan w:val="7"/>
            <w:vAlign w:val="center"/>
          </w:tcPr>
          <w:p w14:paraId="35AC9A25">
            <w:pPr>
              <w:pStyle w:val="19"/>
              <w:spacing w:line="240" w:lineRule="auto"/>
              <w:ind w:firstLine="0"/>
              <w:jc w:val="center"/>
              <w:rPr>
                <w:sz w:val="21"/>
                <w:szCs w:val="21"/>
              </w:rPr>
            </w:pPr>
            <w:r>
              <w:rPr>
                <w:sz w:val="21"/>
                <w:szCs w:val="21"/>
              </w:rPr>
              <w:t>半挥发性有机物</w:t>
            </w:r>
          </w:p>
        </w:tc>
      </w:tr>
      <w:tr w14:paraId="21D2BE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63D3D10C">
            <w:pPr>
              <w:pStyle w:val="19"/>
              <w:spacing w:line="240" w:lineRule="auto"/>
              <w:ind w:firstLine="0"/>
              <w:jc w:val="center"/>
              <w:rPr>
                <w:sz w:val="21"/>
                <w:szCs w:val="21"/>
              </w:rPr>
            </w:pPr>
            <w:r>
              <w:rPr>
                <w:sz w:val="21"/>
                <w:szCs w:val="21"/>
              </w:rPr>
              <w:t>35</w:t>
            </w:r>
          </w:p>
        </w:tc>
        <w:tc>
          <w:tcPr>
            <w:tcW w:w="1762" w:type="dxa"/>
            <w:vAlign w:val="center"/>
          </w:tcPr>
          <w:p w14:paraId="77AF6D63">
            <w:pPr>
              <w:pStyle w:val="19"/>
              <w:spacing w:line="240" w:lineRule="auto"/>
              <w:ind w:firstLine="0"/>
              <w:jc w:val="center"/>
              <w:rPr>
                <w:sz w:val="21"/>
                <w:szCs w:val="21"/>
              </w:rPr>
            </w:pPr>
            <w:r>
              <w:rPr>
                <w:sz w:val="21"/>
                <w:szCs w:val="21"/>
              </w:rPr>
              <w:t>硝基苯</w:t>
            </w:r>
          </w:p>
        </w:tc>
        <w:tc>
          <w:tcPr>
            <w:tcW w:w="1313" w:type="dxa"/>
            <w:vAlign w:val="center"/>
          </w:tcPr>
          <w:p w14:paraId="78E69F02">
            <w:pPr>
              <w:pStyle w:val="19"/>
              <w:spacing w:line="240" w:lineRule="auto"/>
              <w:ind w:firstLine="0"/>
              <w:jc w:val="center"/>
              <w:rPr>
                <w:sz w:val="21"/>
                <w:szCs w:val="21"/>
              </w:rPr>
            </w:pPr>
            <w:r>
              <w:rPr>
                <w:sz w:val="21"/>
                <w:szCs w:val="21"/>
              </w:rPr>
              <w:t>98-95-3</w:t>
            </w:r>
          </w:p>
        </w:tc>
        <w:tc>
          <w:tcPr>
            <w:tcW w:w="1287" w:type="dxa"/>
            <w:vAlign w:val="center"/>
          </w:tcPr>
          <w:p w14:paraId="225FAD51">
            <w:pPr>
              <w:pStyle w:val="19"/>
              <w:spacing w:line="240" w:lineRule="auto"/>
              <w:ind w:firstLine="0"/>
              <w:jc w:val="center"/>
              <w:rPr>
                <w:sz w:val="21"/>
                <w:szCs w:val="21"/>
              </w:rPr>
            </w:pPr>
            <w:r>
              <w:rPr>
                <w:sz w:val="21"/>
                <w:szCs w:val="21"/>
              </w:rPr>
              <w:t>34</w:t>
            </w:r>
          </w:p>
        </w:tc>
        <w:tc>
          <w:tcPr>
            <w:tcW w:w="1000" w:type="dxa"/>
            <w:vAlign w:val="center"/>
          </w:tcPr>
          <w:p w14:paraId="1138C60F">
            <w:pPr>
              <w:pStyle w:val="19"/>
              <w:spacing w:line="240" w:lineRule="auto"/>
              <w:ind w:firstLine="0"/>
              <w:jc w:val="center"/>
              <w:rPr>
                <w:sz w:val="21"/>
                <w:szCs w:val="21"/>
              </w:rPr>
            </w:pPr>
            <w:r>
              <w:rPr>
                <w:sz w:val="21"/>
                <w:szCs w:val="21"/>
              </w:rPr>
              <w:t>76</w:t>
            </w:r>
          </w:p>
        </w:tc>
        <w:tc>
          <w:tcPr>
            <w:tcW w:w="1406" w:type="dxa"/>
            <w:vAlign w:val="center"/>
          </w:tcPr>
          <w:p w14:paraId="5471FA2E">
            <w:pPr>
              <w:pStyle w:val="19"/>
              <w:spacing w:line="240" w:lineRule="auto"/>
              <w:ind w:firstLine="0"/>
              <w:jc w:val="center"/>
              <w:rPr>
                <w:sz w:val="21"/>
                <w:szCs w:val="21"/>
              </w:rPr>
            </w:pPr>
            <w:r>
              <w:rPr>
                <w:sz w:val="21"/>
                <w:szCs w:val="21"/>
              </w:rPr>
              <w:t>190</w:t>
            </w:r>
          </w:p>
        </w:tc>
        <w:tc>
          <w:tcPr>
            <w:tcW w:w="1096" w:type="dxa"/>
            <w:vAlign w:val="center"/>
          </w:tcPr>
          <w:p w14:paraId="0ABF4C88">
            <w:pPr>
              <w:pStyle w:val="19"/>
              <w:spacing w:line="240" w:lineRule="auto"/>
              <w:ind w:firstLine="0"/>
              <w:jc w:val="center"/>
              <w:rPr>
                <w:sz w:val="21"/>
                <w:szCs w:val="21"/>
              </w:rPr>
            </w:pPr>
            <w:r>
              <w:rPr>
                <w:sz w:val="21"/>
                <w:szCs w:val="21"/>
              </w:rPr>
              <w:t>760</w:t>
            </w:r>
          </w:p>
        </w:tc>
      </w:tr>
      <w:tr w14:paraId="02DF10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102D0170">
            <w:pPr>
              <w:pStyle w:val="19"/>
              <w:spacing w:line="240" w:lineRule="auto"/>
              <w:ind w:firstLine="0"/>
              <w:jc w:val="center"/>
              <w:rPr>
                <w:sz w:val="21"/>
                <w:szCs w:val="21"/>
              </w:rPr>
            </w:pPr>
            <w:r>
              <w:rPr>
                <w:sz w:val="21"/>
                <w:szCs w:val="21"/>
              </w:rPr>
              <w:t>36</w:t>
            </w:r>
          </w:p>
        </w:tc>
        <w:tc>
          <w:tcPr>
            <w:tcW w:w="1762" w:type="dxa"/>
            <w:vAlign w:val="center"/>
          </w:tcPr>
          <w:p w14:paraId="3FDA4E85">
            <w:pPr>
              <w:pStyle w:val="19"/>
              <w:spacing w:line="240" w:lineRule="auto"/>
              <w:ind w:firstLine="0"/>
              <w:jc w:val="center"/>
              <w:rPr>
                <w:sz w:val="21"/>
                <w:szCs w:val="21"/>
              </w:rPr>
            </w:pPr>
            <w:r>
              <w:rPr>
                <w:sz w:val="21"/>
                <w:szCs w:val="21"/>
              </w:rPr>
              <w:t>苯胺</w:t>
            </w:r>
          </w:p>
        </w:tc>
        <w:tc>
          <w:tcPr>
            <w:tcW w:w="1313" w:type="dxa"/>
            <w:vAlign w:val="center"/>
          </w:tcPr>
          <w:p w14:paraId="42C2FA36">
            <w:pPr>
              <w:pStyle w:val="19"/>
              <w:spacing w:line="240" w:lineRule="auto"/>
              <w:ind w:firstLine="0"/>
              <w:jc w:val="center"/>
              <w:rPr>
                <w:sz w:val="21"/>
                <w:szCs w:val="21"/>
              </w:rPr>
            </w:pPr>
            <w:r>
              <w:rPr>
                <w:sz w:val="21"/>
                <w:szCs w:val="21"/>
              </w:rPr>
              <w:t>62-53-3</w:t>
            </w:r>
          </w:p>
        </w:tc>
        <w:tc>
          <w:tcPr>
            <w:tcW w:w="1287" w:type="dxa"/>
            <w:vAlign w:val="center"/>
          </w:tcPr>
          <w:p w14:paraId="7459C04A">
            <w:pPr>
              <w:pStyle w:val="19"/>
              <w:spacing w:line="240" w:lineRule="auto"/>
              <w:ind w:firstLine="0"/>
              <w:jc w:val="center"/>
              <w:rPr>
                <w:sz w:val="21"/>
                <w:szCs w:val="21"/>
              </w:rPr>
            </w:pPr>
            <w:r>
              <w:rPr>
                <w:sz w:val="21"/>
                <w:szCs w:val="21"/>
              </w:rPr>
              <w:t>92</w:t>
            </w:r>
          </w:p>
        </w:tc>
        <w:tc>
          <w:tcPr>
            <w:tcW w:w="1000" w:type="dxa"/>
            <w:vAlign w:val="center"/>
          </w:tcPr>
          <w:p w14:paraId="4B7F6722">
            <w:pPr>
              <w:pStyle w:val="19"/>
              <w:spacing w:line="240" w:lineRule="auto"/>
              <w:ind w:firstLine="0"/>
              <w:jc w:val="center"/>
              <w:rPr>
                <w:sz w:val="21"/>
                <w:szCs w:val="21"/>
              </w:rPr>
            </w:pPr>
            <w:r>
              <w:rPr>
                <w:sz w:val="21"/>
                <w:szCs w:val="21"/>
              </w:rPr>
              <w:t>260</w:t>
            </w:r>
          </w:p>
        </w:tc>
        <w:tc>
          <w:tcPr>
            <w:tcW w:w="1406" w:type="dxa"/>
            <w:vAlign w:val="center"/>
          </w:tcPr>
          <w:p w14:paraId="7828A044">
            <w:pPr>
              <w:pStyle w:val="19"/>
              <w:spacing w:line="240" w:lineRule="auto"/>
              <w:ind w:firstLine="0"/>
              <w:jc w:val="center"/>
              <w:rPr>
                <w:sz w:val="21"/>
                <w:szCs w:val="21"/>
              </w:rPr>
            </w:pPr>
            <w:r>
              <w:rPr>
                <w:sz w:val="21"/>
                <w:szCs w:val="21"/>
              </w:rPr>
              <w:t>211</w:t>
            </w:r>
          </w:p>
        </w:tc>
        <w:tc>
          <w:tcPr>
            <w:tcW w:w="1096" w:type="dxa"/>
            <w:vAlign w:val="center"/>
          </w:tcPr>
          <w:p w14:paraId="685FBAEA">
            <w:pPr>
              <w:pStyle w:val="19"/>
              <w:spacing w:line="240" w:lineRule="auto"/>
              <w:ind w:firstLine="0"/>
              <w:jc w:val="center"/>
              <w:rPr>
                <w:sz w:val="21"/>
                <w:szCs w:val="21"/>
              </w:rPr>
            </w:pPr>
            <w:r>
              <w:rPr>
                <w:sz w:val="21"/>
                <w:szCs w:val="21"/>
              </w:rPr>
              <w:t>663</w:t>
            </w:r>
          </w:p>
        </w:tc>
      </w:tr>
      <w:tr w14:paraId="6796E7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661858C5">
            <w:pPr>
              <w:pStyle w:val="19"/>
              <w:spacing w:line="240" w:lineRule="auto"/>
              <w:ind w:firstLine="0"/>
              <w:jc w:val="center"/>
              <w:rPr>
                <w:sz w:val="21"/>
                <w:szCs w:val="21"/>
              </w:rPr>
            </w:pPr>
            <w:r>
              <w:rPr>
                <w:sz w:val="21"/>
                <w:szCs w:val="21"/>
              </w:rPr>
              <w:t>37</w:t>
            </w:r>
          </w:p>
        </w:tc>
        <w:tc>
          <w:tcPr>
            <w:tcW w:w="1762" w:type="dxa"/>
            <w:vAlign w:val="center"/>
          </w:tcPr>
          <w:p w14:paraId="6C4E108A">
            <w:pPr>
              <w:pStyle w:val="19"/>
              <w:spacing w:line="240" w:lineRule="auto"/>
              <w:ind w:firstLine="0"/>
              <w:jc w:val="center"/>
              <w:rPr>
                <w:sz w:val="21"/>
                <w:szCs w:val="21"/>
              </w:rPr>
            </w:pPr>
            <w:r>
              <w:rPr>
                <w:sz w:val="21"/>
                <w:szCs w:val="21"/>
              </w:rPr>
              <w:t>2-氯酚</w:t>
            </w:r>
          </w:p>
        </w:tc>
        <w:tc>
          <w:tcPr>
            <w:tcW w:w="1313" w:type="dxa"/>
            <w:vAlign w:val="center"/>
          </w:tcPr>
          <w:p w14:paraId="5DF1E6B2">
            <w:pPr>
              <w:pStyle w:val="19"/>
              <w:spacing w:line="240" w:lineRule="auto"/>
              <w:ind w:firstLine="0"/>
              <w:jc w:val="center"/>
              <w:rPr>
                <w:sz w:val="21"/>
                <w:szCs w:val="21"/>
              </w:rPr>
            </w:pPr>
            <w:r>
              <w:rPr>
                <w:sz w:val="21"/>
                <w:szCs w:val="21"/>
              </w:rPr>
              <w:t>95-57-8</w:t>
            </w:r>
          </w:p>
        </w:tc>
        <w:tc>
          <w:tcPr>
            <w:tcW w:w="1287" w:type="dxa"/>
            <w:vAlign w:val="center"/>
          </w:tcPr>
          <w:p w14:paraId="195C58F7">
            <w:pPr>
              <w:pStyle w:val="19"/>
              <w:spacing w:line="240" w:lineRule="auto"/>
              <w:ind w:firstLine="0"/>
              <w:jc w:val="center"/>
              <w:rPr>
                <w:sz w:val="21"/>
                <w:szCs w:val="21"/>
              </w:rPr>
            </w:pPr>
            <w:r>
              <w:rPr>
                <w:sz w:val="21"/>
                <w:szCs w:val="21"/>
              </w:rPr>
              <w:t>250</w:t>
            </w:r>
          </w:p>
        </w:tc>
        <w:tc>
          <w:tcPr>
            <w:tcW w:w="1000" w:type="dxa"/>
            <w:vAlign w:val="center"/>
          </w:tcPr>
          <w:p w14:paraId="0FCC7CF6">
            <w:pPr>
              <w:pStyle w:val="19"/>
              <w:spacing w:line="240" w:lineRule="auto"/>
              <w:ind w:firstLine="0"/>
              <w:jc w:val="center"/>
              <w:rPr>
                <w:sz w:val="21"/>
                <w:szCs w:val="21"/>
              </w:rPr>
            </w:pPr>
            <w:r>
              <w:rPr>
                <w:sz w:val="21"/>
                <w:szCs w:val="21"/>
              </w:rPr>
              <w:t>2256</w:t>
            </w:r>
          </w:p>
        </w:tc>
        <w:tc>
          <w:tcPr>
            <w:tcW w:w="1406" w:type="dxa"/>
            <w:vAlign w:val="center"/>
          </w:tcPr>
          <w:p w14:paraId="4E63BE55">
            <w:pPr>
              <w:pStyle w:val="19"/>
              <w:spacing w:line="240" w:lineRule="auto"/>
              <w:ind w:firstLine="0"/>
              <w:jc w:val="center"/>
              <w:rPr>
                <w:sz w:val="21"/>
                <w:szCs w:val="21"/>
              </w:rPr>
            </w:pPr>
            <w:r>
              <w:rPr>
                <w:sz w:val="21"/>
                <w:szCs w:val="21"/>
              </w:rPr>
              <w:t>500</w:t>
            </w:r>
          </w:p>
        </w:tc>
        <w:tc>
          <w:tcPr>
            <w:tcW w:w="1096" w:type="dxa"/>
            <w:vAlign w:val="center"/>
          </w:tcPr>
          <w:p w14:paraId="1F191C6A">
            <w:pPr>
              <w:pStyle w:val="19"/>
              <w:spacing w:line="240" w:lineRule="auto"/>
              <w:ind w:firstLine="0"/>
              <w:jc w:val="center"/>
              <w:rPr>
                <w:sz w:val="21"/>
                <w:szCs w:val="21"/>
              </w:rPr>
            </w:pPr>
            <w:r>
              <w:rPr>
                <w:sz w:val="21"/>
                <w:szCs w:val="21"/>
              </w:rPr>
              <w:t>4500</w:t>
            </w:r>
          </w:p>
        </w:tc>
      </w:tr>
      <w:tr w14:paraId="040F58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0FD12503">
            <w:pPr>
              <w:pStyle w:val="19"/>
              <w:spacing w:line="240" w:lineRule="auto"/>
              <w:ind w:firstLine="0"/>
              <w:jc w:val="center"/>
              <w:rPr>
                <w:sz w:val="21"/>
                <w:szCs w:val="21"/>
              </w:rPr>
            </w:pPr>
            <w:r>
              <w:rPr>
                <w:sz w:val="21"/>
                <w:szCs w:val="21"/>
              </w:rPr>
              <w:t>38</w:t>
            </w:r>
          </w:p>
        </w:tc>
        <w:tc>
          <w:tcPr>
            <w:tcW w:w="1762" w:type="dxa"/>
            <w:vAlign w:val="center"/>
          </w:tcPr>
          <w:p w14:paraId="7F07068A">
            <w:pPr>
              <w:pStyle w:val="19"/>
              <w:spacing w:line="240" w:lineRule="auto"/>
              <w:ind w:firstLine="0"/>
              <w:jc w:val="center"/>
              <w:rPr>
                <w:sz w:val="21"/>
                <w:szCs w:val="21"/>
              </w:rPr>
            </w:pPr>
            <w:r>
              <w:rPr>
                <w:sz w:val="21"/>
                <w:szCs w:val="21"/>
              </w:rPr>
              <w:t>苯并[a]蒽</w:t>
            </w:r>
          </w:p>
        </w:tc>
        <w:tc>
          <w:tcPr>
            <w:tcW w:w="1313" w:type="dxa"/>
            <w:vAlign w:val="center"/>
          </w:tcPr>
          <w:p w14:paraId="1DD6D3F5">
            <w:pPr>
              <w:pStyle w:val="19"/>
              <w:spacing w:line="240" w:lineRule="auto"/>
              <w:ind w:firstLine="0"/>
              <w:jc w:val="center"/>
              <w:rPr>
                <w:sz w:val="21"/>
                <w:szCs w:val="21"/>
              </w:rPr>
            </w:pPr>
            <w:r>
              <w:rPr>
                <w:sz w:val="21"/>
                <w:szCs w:val="21"/>
              </w:rPr>
              <w:t>56-55-3</w:t>
            </w:r>
          </w:p>
        </w:tc>
        <w:tc>
          <w:tcPr>
            <w:tcW w:w="1287" w:type="dxa"/>
            <w:vAlign w:val="center"/>
          </w:tcPr>
          <w:p w14:paraId="02F8C122">
            <w:pPr>
              <w:pStyle w:val="19"/>
              <w:spacing w:line="240" w:lineRule="auto"/>
              <w:ind w:firstLine="0"/>
              <w:jc w:val="center"/>
              <w:rPr>
                <w:sz w:val="21"/>
                <w:szCs w:val="21"/>
              </w:rPr>
            </w:pPr>
            <w:r>
              <w:rPr>
                <w:sz w:val="21"/>
                <w:szCs w:val="21"/>
              </w:rPr>
              <w:t>5.5</w:t>
            </w:r>
          </w:p>
        </w:tc>
        <w:tc>
          <w:tcPr>
            <w:tcW w:w="1000" w:type="dxa"/>
            <w:vAlign w:val="center"/>
          </w:tcPr>
          <w:p w14:paraId="3609C15C">
            <w:pPr>
              <w:pStyle w:val="19"/>
              <w:spacing w:line="240" w:lineRule="auto"/>
              <w:ind w:firstLine="0"/>
              <w:jc w:val="center"/>
              <w:rPr>
                <w:sz w:val="21"/>
                <w:szCs w:val="21"/>
              </w:rPr>
            </w:pPr>
            <w:r>
              <w:rPr>
                <w:sz w:val="21"/>
                <w:szCs w:val="21"/>
              </w:rPr>
              <w:t>15</w:t>
            </w:r>
          </w:p>
        </w:tc>
        <w:tc>
          <w:tcPr>
            <w:tcW w:w="1406" w:type="dxa"/>
            <w:vAlign w:val="center"/>
          </w:tcPr>
          <w:p w14:paraId="2ADFBB15">
            <w:pPr>
              <w:pStyle w:val="19"/>
              <w:spacing w:line="240" w:lineRule="auto"/>
              <w:ind w:firstLine="0"/>
              <w:jc w:val="center"/>
              <w:rPr>
                <w:sz w:val="21"/>
                <w:szCs w:val="21"/>
              </w:rPr>
            </w:pPr>
            <w:r>
              <w:rPr>
                <w:sz w:val="21"/>
                <w:szCs w:val="21"/>
              </w:rPr>
              <w:t>55</w:t>
            </w:r>
          </w:p>
        </w:tc>
        <w:tc>
          <w:tcPr>
            <w:tcW w:w="1096" w:type="dxa"/>
            <w:vAlign w:val="center"/>
          </w:tcPr>
          <w:p w14:paraId="4AFDB010">
            <w:pPr>
              <w:pStyle w:val="19"/>
              <w:spacing w:line="240" w:lineRule="auto"/>
              <w:ind w:firstLine="0"/>
              <w:jc w:val="center"/>
              <w:rPr>
                <w:sz w:val="21"/>
                <w:szCs w:val="21"/>
              </w:rPr>
            </w:pPr>
            <w:r>
              <w:rPr>
                <w:sz w:val="21"/>
                <w:szCs w:val="21"/>
              </w:rPr>
              <w:t>151</w:t>
            </w:r>
          </w:p>
        </w:tc>
      </w:tr>
      <w:tr w14:paraId="775795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gridAfter w:val="1"/>
          <w:wAfter w:w="9" w:type="dxa"/>
          <w:trHeight w:val="340" w:hRule="atLeast"/>
          <w:jc w:val="center"/>
        </w:trPr>
        <w:tc>
          <w:tcPr>
            <w:tcW w:w="464" w:type="dxa"/>
            <w:vAlign w:val="center"/>
          </w:tcPr>
          <w:p w14:paraId="58E1E2F7">
            <w:pPr>
              <w:pStyle w:val="19"/>
              <w:spacing w:line="240" w:lineRule="auto"/>
              <w:ind w:firstLine="0"/>
              <w:jc w:val="center"/>
              <w:rPr>
                <w:sz w:val="21"/>
                <w:szCs w:val="21"/>
              </w:rPr>
            </w:pPr>
            <w:r>
              <w:rPr>
                <w:sz w:val="21"/>
                <w:szCs w:val="21"/>
              </w:rPr>
              <w:t>39</w:t>
            </w:r>
          </w:p>
        </w:tc>
        <w:tc>
          <w:tcPr>
            <w:tcW w:w="1762" w:type="dxa"/>
            <w:vAlign w:val="center"/>
          </w:tcPr>
          <w:p w14:paraId="10A8BE33">
            <w:pPr>
              <w:pStyle w:val="19"/>
              <w:spacing w:line="240" w:lineRule="auto"/>
              <w:ind w:firstLine="0"/>
              <w:jc w:val="center"/>
              <w:rPr>
                <w:sz w:val="21"/>
                <w:szCs w:val="21"/>
              </w:rPr>
            </w:pPr>
            <w:r>
              <w:rPr>
                <w:sz w:val="21"/>
                <w:szCs w:val="21"/>
              </w:rPr>
              <w:t>苯并[a]芘</w:t>
            </w:r>
          </w:p>
        </w:tc>
        <w:tc>
          <w:tcPr>
            <w:tcW w:w="1313" w:type="dxa"/>
            <w:vAlign w:val="center"/>
          </w:tcPr>
          <w:p w14:paraId="09C46E60">
            <w:pPr>
              <w:pStyle w:val="19"/>
              <w:spacing w:line="240" w:lineRule="auto"/>
              <w:ind w:firstLine="0"/>
              <w:jc w:val="center"/>
              <w:rPr>
                <w:sz w:val="21"/>
                <w:szCs w:val="21"/>
              </w:rPr>
            </w:pPr>
            <w:r>
              <w:rPr>
                <w:sz w:val="21"/>
                <w:szCs w:val="21"/>
              </w:rPr>
              <w:t>50-32-8</w:t>
            </w:r>
          </w:p>
        </w:tc>
        <w:tc>
          <w:tcPr>
            <w:tcW w:w="1287" w:type="dxa"/>
            <w:vAlign w:val="center"/>
          </w:tcPr>
          <w:p w14:paraId="4E6B5D04">
            <w:pPr>
              <w:pStyle w:val="19"/>
              <w:spacing w:line="240" w:lineRule="auto"/>
              <w:ind w:firstLine="0"/>
              <w:jc w:val="center"/>
              <w:rPr>
                <w:sz w:val="21"/>
                <w:szCs w:val="21"/>
              </w:rPr>
            </w:pPr>
            <w:r>
              <w:rPr>
                <w:sz w:val="21"/>
                <w:szCs w:val="21"/>
              </w:rPr>
              <w:t>0.55</w:t>
            </w:r>
          </w:p>
        </w:tc>
        <w:tc>
          <w:tcPr>
            <w:tcW w:w="1000" w:type="dxa"/>
            <w:vAlign w:val="center"/>
          </w:tcPr>
          <w:p w14:paraId="7894047F">
            <w:pPr>
              <w:pStyle w:val="19"/>
              <w:spacing w:line="240" w:lineRule="auto"/>
              <w:ind w:firstLine="0"/>
              <w:jc w:val="center"/>
              <w:rPr>
                <w:sz w:val="21"/>
                <w:szCs w:val="21"/>
              </w:rPr>
            </w:pPr>
            <w:r>
              <w:rPr>
                <w:sz w:val="21"/>
                <w:szCs w:val="21"/>
              </w:rPr>
              <w:t>1.5</w:t>
            </w:r>
          </w:p>
        </w:tc>
        <w:tc>
          <w:tcPr>
            <w:tcW w:w="1406" w:type="dxa"/>
            <w:vAlign w:val="center"/>
          </w:tcPr>
          <w:p w14:paraId="74030698">
            <w:pPr>
              <w:pStyle w:val="19"/>
              <w:spacing w:line="240" w:lineRule="auto"/>
              <w:ind w:firstLine="0"/>
              <w:jc w:val="center"/>
              <w:rPr>
                <w:sz w:val="21"/>
                <w:szCs w:val="21"/>
              </w:rPr>
            </w:pPr>
            <w:r>
              <w:rPr>
                <w:sz w:val="21"/>
                <w:szCs w:val="21"/>
              </w:rPr>
              <w:t>5.5</w:t>
            </w:r>
          </w:p>
        </w:tc>
        <w:tc>
          <w:tcPr>
            <w:tcW w:w="1096" w:type="dxa"/>
            <w:vAlign w:val="center"/>
          </w:tcPr>
          <w:p w14:paraId="5F8DB65D">
            <w:pPr>
              <w:pStyle w:val="19"/>
              <w:spacing w:line="240" w:lineRule="auto"/>
              <w:ind w:firstLine="0"/>
              <w:jc w:val="center"/>
              <w:rPr>
                <w:sz w:val="21"/>
                <w:szCs w:val="21"/>
              </w:rPr>
            </w:pPr>
            <w:r>
              <w:rPr>
                <w:sz w:val="21"/>
                <w:szCs w:val="21"/>
              </w:rPr>
              <w:t>15</w:t>
            </w:r>
          </w:p>
        </w:tc>
      </w:tr>
      <w:tr w14:paraId="280CE0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4" w:type="dxa"/>
            <w:vAlign w:val="center"/>
          </w:tcPr>
          <w:p w14:paraId="2A0202EB">
            <w:pPr>
              <w:pStyle w:val="19"/>
              <w:spacing w:line="240" w:lineRule="auto"/>
              <w:ind w:firstLine="0"/>
              <w:jc w:val="center"/>
              <w:rPr>
                <w:sz w:val="21"/>
                <w:szCs w:val="21"/>
              </w:rPr>
            </w:pPr>
            <w:r>
              <w:rPr>
                <w:sz w:val="21"/>
                <w:szCs w:val="21"/>
              </w:rPr>
              <w:t>40</w:t>
            </w:r>
          </w:p>
        </w:tc>
        <w:tc>
          <w:tcPr>
            <w:tcW w:w="1762" w:type="dxa"/>
            <w:vAlign w:val="center"/>
          </w:tcPr>
          <w:p w14:paraId="40709328">
            <w:pPr>
              <w:pStyle w:val="19"/>
              <w:spacing w:line="240" w:lineRule="auto"/>
              <w:ind w:firstLine="0"/>
              <w:jc w:val="center"/>
              <w:rPr>
                <w:sz w:val="21"/>
                <w:szCs w:val="21"/>
              </w:rPr>
            </w:pPr>
            <w:r>
              <w:rPr>
                <w:sz w:val="21"/>
                <w:szCs w:val="21"/>
              </w:rPr>
              <w:t>苯并[b]荧蒽</w:t>
            </w:r>
          </w:p>
        </w:tc>
        <w:tc>
          <w:tcPr>
            <w:tcW w:w="1313" w:type="dxa"/>
            <w:vAlign w:val="center"/>
          </w:tcPr>
          <w:p w14:paraId="09ED772D">
            <w:pPr>
              <w:pStyle w:val="19"/>
              <w:spacing w:line="240" w:lineRule="auto"/>
              <w:ind w:firstLine="0"/>
              <w:jc w:val="center"/>
              <w:rPr>
                <w:sz w:val="21"/>
                <w:szCs w:val="21"/>
              </w:rPr>
            </w:pPr>
            <w:r>
              <w:rPr>
                <w:sz w:val="21"/>
                <w:szCs w:val="21"/>
              </w:rPr>
              <w:t>205-99-2</w:t>
            </w:r>
          </w:p>
        </w:tc>
        <w:tc>
          <w:tcPr>
            <w:tcW w:w="1287" w:type="dxa"/>
            <w:vAlign w:val="center"/>
          </w:tcPr>
          <w:p w14:paraId="3905D142">
            <w:pPr>
              <w:pStyle w:val="19"/>
              <w:spacing w:line="240" w:lineRule="auto"/>
              <w:ind w:firstLine="0"/>
              <w:jc w:val="center"/>
              <w:rPr>
                <w:sz w:val="21"/>
                <w:szCs w:val="21"/>
              </w:rPr>
            </w:pPr>
            <w:r>
              <w:rPr>
                <w:sz w:val="21"/>
                <w:szCs w:val="21"/>
              </w:rPr>
              <w:t>5.5</w:t>
            </w:r>
          </w:p>
        </w:tc>
        <w:tc>
          <w:tcPr>
            <w:tcW w:w="1000" w:type="dxa"/>
            <w:vAlign w:val="center"/>
          </w:tcPr>
          <w:p w14:paraId="0E15BD5E">
            <w:pPr>
              <w:pStyle w:val="19"/>
              <w:spacing w:line="240" w:lineRule="auto"/>
              <w:ind w:firstLine="0"/>
              <w:jc w:val="center"/>
              <w:rPr>
                <w:sz w:val="21"/>
                <w:szCs w:val="21"/>
              </w:rPr>
            </w:pPr>
            <w:r>
              <w:rPr>
                <w:sz w:val="21"/>
                <w:szCs w:val="21"/>
              </w:rPr>
              <w:t>15</w:t>
            </w:r>
          </w:p>
        </w:tc>
        <w:tc>
          <w:tcPr>
            <w:tcW w:w="1406" w:type="dxa"/>
            <w:vAlign w:val="center"/>
          </w:tcPr>
          <w:p w14:paraId="792D7E77">
            <w:pPr>
              <w:pStyle w:val="19"/>
              <w:spacing w:line="240" w:lineRule="auto"/>
              <w:ind w:firstLine="0"/>
              <w:jc w:val="center"/>
              <w:rPr>
                <w:sz w:val="21"/>
                <w:szCs w:val="21"/>
              </w:rPr>
            </w:pPr>
            <w:r>
              <w:rPr>
                <w:sz w:val="21"/>
                <w:szCs w:val="21"/>
              </w:rPr>
              <w:t>55</w:t>
            </w:r>
          </w:p>
        </w:tc>
        <w:tc>
          <w:tcPr>
            <w:tcW w:w="1105" w:type="dxa"/>
            <w:gridSpan w:val="2"/>
            <w:vAlign w:val="center"/>
          </w:tcPr>
          <w:p w14:paraId="396A56E0">
            <w:pPr>
              <w:pStyle w:val="19"/>
              <w:spacing w:line="240" w:lineRule="auto"/>
              <w:ind w:firstLine="0"/>
              <w:jc w:val="center"/>
              <w:rPr>
                <w:sz w:val="21"/>
                <w:szCs w:val="21"/>
              </w:rPr>
            </w:pPr>
            <w:r>
              <w:rPr>
                <w:sz w:val="21"/>
                <w:szCs w:val="21"/>
              </w:rPr>
              <w:t>151</w:t>
            </w:r>
          </w:p>
        </w:tc>
      </w:tr>
      <w:tr w14:paraId="5FAFD0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4" w:type="dxa"/>
            <w:vAlign w:val="center"/>
          </w:tcPr>
          <w:p w14:paraId="1F5F8264">
            <w:pPr>
              <w:pStyle w:val="19"/>
              <w:spacing w:line="240" w:lineRule="auto"/>
              <w:ind w:firstLine="0"/>
              <w:jc w:val="center"/>
              <w:rPr>
                <w:sz w:val="21"/>
                <w:szCs w:val="21"/>
              </w:rPr>
            </w:pPr>
            <w:r>
              <w:rPr>
                <w:sz w:val="21"/>
                <w:szCs w:val="21"/>
              </w:rPr>
              <w:t>41</w:t>
            </w:r>
          </w:p>
        </w:tc>
        <w:tc>
          <w:tcPr>
            <w:tcW w:w="1762" w:type="dxa"/>
            <w:vAlign w:val="center"/>
          </w:tcPr>
          <w:p w14:paraId="367E9E92">
            <w:pPr>
              <w:pStyle w:val="19"/>
              <w:spacing w:line="240" w:lineRule="auto"/>
              <w:ind w:firstLine="0"/>
              <w:jc w:val="center"/>
              <w:rPr>
                <w:sz w:val="21"/>
                <w:szCs w:val="21"/>
              </w:rPr>
            </w:pPr>
            <w:r>
              <w:rPr>
                <w:sz w:val="21"/>
                <w:szCs w:val="21"/>
              </w:rPr>
              <w:t>苯并[k]荧蒽</w:t>
            </w:r>
          </w:p>
        </w:tc>
        <w:tc>
          <w:tcPr>
            <w:tcW w:w="1313" w:type="dxa"/>
            <w:vAlign w:val="center"/>
          </w:tcPr>
          <w:p w14:paraId="07D0776E">
            <w:pPr>
              <w:pStyle w:val="19"/>
              <w:spacing w:line="240" w:lineRule="auto"/>
              <w:ind w:firstLine="0"/>
              <w:jc w:val="center"/>
              <w:rPr>
                <w:sz w:val="21"/>
                <w:szCs w:val="21"/>
              </w:rPr>
            </w:pPr>
            <w:r>
              <w:rPr>
                <w:sz w:val="21"/>
                <w:szCs w:val="21"/>
              </w:rPr>
              <w:t>207-08-9</w:t>
            </w:r>
          </w:p>
        </w:tc>
        <w:tc>
          <w:tcPr>
            <w:tcW w:w="1287" w:type="dxa"/>
            <w:vAlign w:val="center"/>
          </w:tcPr>
          <w:p w14:paraId="415D400E">
            <w:pPr>
              <w:pStyle w:val="19"/>
              <w:spacing w:line="240" w:lineRule="auto"/>
              <w:ind w:firstLine="0"/>
              <w:jc w:val="center"/>
              <w:rPr>
                <w:sz w:val="21"/>
                <w:szCs w:val="21"/>
              </w:rPr>
            </w:pPr>
            <w:r>
              <w:rPr>
                <w:sz w:val="21"/>
                <w:szCs w:val="21"/>
              </w:rPr>
              <w:t>55</w:t>
            </w:r>
          </w:p>
        </w:tc>
        <w:tc>
          <w:tcPr>
            <w:tcW w:w="1000" w:type="dxa"/>
            <w:vAlign w:val="center"/>
          </w:tcPr>
          <w:p w14:paraId="112E8FB6">
            <w:pPr>
              <w:pStyle w:val="19"/>
              <w:spacing w:line="240" w:lineRule="auto"/>
              <w:ind w:firstLine="0"/>
              <w:jc w:val="center"/>
              <w:rPr>
                <w:sz w:val="21"/>
                <w:szCs w:val="21"/>
              </w:rPr>
            </w:pPr>
            <w:r>
              <w:rPr>
                <w:sz w:val="21"/>
                <w:szCs w:val="21"/>
              </w:rPr>
              <w:t>151</w:t>
            </w:r>
          </w:p>
        </w:tc>
        <w:tc>
          <w:tcPr>
            <w:tcW w:w="1406" w:type="dxa"/>
            <w:vAlign w:val="center"/>
          </w:tcPr>
          <w:p w14:paraId="39A33C2A">
            <w:pPr>
              <w:pStyle w:val="19"/>
              <w:spacing w:line="240" w:lineRule="auto"/>
              <w:ind w:firstLine="0"/>
              <w:jc w:val="center"/>
              <w:rPr>
                <w:sz w:val="21"/>
                <w:szCs w:val="21"/>
              </w:rPr>
            </w:pPr>
            <w:r>
              <w:rPr>
                <w:sz w:val="21"/>
                <w:szCs w:val="21"/>
              </w:rPr>
              <w:t>550</w:t>
            </w:r>
          </w:p>
        </w:tc>
        <w:tc>
          <w:tcPr>
            <w:tcW w:w="1105" w:type="dxa"/>
            <w:gridSpan w:val="2"/>
            <w:vAlign w:val="center"/>
          </w:tcPr>
          <w:p w14:paraId="03FA0D67">
            <w:pPr>
              <w:pStyle w:val="19"/>
              <w:spacing w:line="240" w:lineRule="auto"/>
              <w:ind w:firstLine="0"/>
              <w:jc w:val="center"/>
              <w:rPr>
                <w:sz w:val="21"/>
                <w:szCs w:val="21"/>
              </w:rPr>
            </w:pPr>
            <w:r>
              <w:rPr>
                <w:sz w:val="21"/>
                <w:szCs w:val="21"/>
              </w:rPr>
              <w:t>1500</w:t>
            </w:r>
          </w:p>
        </w:tc>
      </w:tr>
      <w:tr w14:paraId="22615B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4" w:type="dxa"/>
            <w:vAlign w:val="center"/>
          </w:tcPr>
          <w:p w14:paraId="32C6AF9D">
            <w:pPr>
              <w:pStyle w:val="19"/>
              <w:spacing w:line="240" w:lineRule="auto"/>
              <w:ind w:firstLine="0"/>
              <w:jc w:val="center"/>
              <w:rPr>
                <w:sz w:val="21"/>
                <w:szCs w:val="21"/>
              </w:rPr>
            </w:pPr>
            <w:r>
              <w:rPr>
                <w:sz w:val="21"/>
                <w:szCs w:val="21"/>
              </w:rPr>
              <w:t>42</w:t>
            </w:r>
          </w:p>
        </w:tc>
        <w:tc>
          <w:tcPr>
            <w:tcW w:w="1762" w:type="dxa"/>
            <w:vAlign w:val="center"/>
          </w:tcPr>
          <w:p w14:paraId="6732EAAC">
            <w:pPr>
              <w:pStyle w:val="19"/>
              <w:spacing w:line="240" w:lineRule="auto"/>
              <w:ind w:firstLine="0"/>
              <w:jc w:val="center"/>
              <w:rPr>
                <w:sz w:val="21"/>
                <w:szCs w:val="21"/>
              </w:rPr>
            </w:pPr>
            <w:r>
              <w:rPr>
                <w:sz w:val="21"/>
                <w:szCs w:val="21"/>
              </w:rPr>
              <w:t>䓛</w:t>
            </w:r>
          </w:p>
        </w:tc>
        <w:tc>
          <w:tcPr>
            <w:tcW w:w="1313" w:type="dxa"/>
            <w:vAlign w:val="center"/>
          </w:tcPr>
          <w:p w14:paraId="11098081">
            <w:pPr>
              <w:pStyle w:val="19"/>
              <w:spacing w:line="240" w:lineRule="auto"/>
              <w:ind w:firstLine="0"/>
              <w:jc w:val="center"/>
              <w:rPr>
                <w:sz w:val="21"/>
                <w:szCs w:val="21"/>
              </w:rPr>
            </w:pPr>
            <w:r>
              <w:rPr>
                <w:sz w:val="21"/>
                <w:szCs w:val="21"/>
              </w:rPr>
              <w:t>218-01-9</w:t>
            </w:r>
          </w:p>
        </w:tc>
        <w:tc>
          <w:tcPr>
            <w:tcW w:w="1287" w:type="dxa"/>
            <w:vAlign w:val="center"/>
          </w:tcPr>
          <w:p w14:paraId="185A7C2A">
            <w:pPr>
              <w:pStyle w:val="19"/>
              <w:spacing w:line="240" w:lineRule="auto"/>
              <w:ind w:firstLine="0"/>
              <w:jc w:val="center"/>
              <w:rPr>
                <w:sz w:val="21"/>
                <w:szCs w:val="21"/>
              </w:rPr>
            </w:pPr>
            <w:r>
              <w:rPr>
                <w:sz w:val="21"/>
                <w:szCs w:val="21"/>
              </w:rPr>
              <w:t>490</w:t>
            </w:r>
          </w:p>
        </w:tc>
        <w:tc>
          <w:tcPr>
            <w:tcW w:w="1000" w:type="dxa"/>
            <w:vAlign w:val="center"/>
          </w:tcPr>
          <w:p w14:paraId="0115B9A3">
            <w:pPr>
              <w:pStyle w:val="19"/>
              <w:spacing w:line="240" w:lineRule="auto"/>
              <w:ind w:firstLine="0"/>
              <w:jc w:val="center"/>
              <w:rPr>
                <w:sz w:val="21"/>
                <w:szCs w:val="21"/>
              </w:rPr>
            </w:pPr>
            <w:r>
              <w:rPr>
                <w:sz w:val="21"/>
                <w:szCs w:val="21"/>
              </w:rPr>
              <w:t>1293</w:t>
            </w:r>
          </w:p>
        </w:tc>
        <w:tc>
          <w:tcPr>
            <w:tcW w:w="1406" w:type="dxa"/>
            <w:vAlign w:val="center"/>
          </w:tcPr>
          <w:p w14:paraId="334D3024">
            <w:pPr>
              <w:pStyle w:val="19"/>
              <w:spacing w:line="240" w:lineRule="auto"/>
              <w:ind w:firstLine="0"/>
              <w:jc w:val="center"/>
              <w:rPr>
                <w:sz w:val="21"/>
                <w:szCs w:val="21"/>
              </w:rPr>
            </w:pPr>
            <w:r>
              <w:rPr>
                <w:sz w:val="21"/>
                <w:szCs w:val="21"/>
              </w:rPr>
              <w:t>4900</w:t>
            </w:r>
          </w:p>
        </w:tc>
        <w:tc>
          <w:tcPr>
            <w:tcW w:w="1105" w:type="dxa"/>
            <w:gridSpan w:val="2"/>
            <w:vAlign w:val="center"/>
          </w:tcPr>
          <w:p w14:paraId="51D384FE">
            <w:pPr>
              <w:pStyle w:val="19"/>
              <w:spacing w:line="240" w:lineRule="auto"/>
              <w:ind w:firstLine="0"/>
              <w:jc w:val="center"/>
              <w:rPr>
                <w:sz w:val="21"/>
                <w:szCs w:val="21"/>
              </w:rPr>
            </w:pPr>
            <w:r>
              <w:rPr>
                <w:sz w:val="21"/>
                <w:szCs w:val="21"/>
              </w:rPr>
              <w:t>12900</w:t>
            </w:r>
          </w:p>
        </w:tc>
      </w:tr>
      <w:tr w14:paraId="15AC25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464" w:type="dxa"/>
            <w:vAlign w:val="center"/>
          </w:tcPr>
          <w:p w14:paraId="7712D63D">
            <w:pPr>
              <w:pStyle w:val="19"/>
              <w:spacing w:line="240" w:lineRule="auto"/>
              <w:ind w:firstLine="0"/>
              <w:jc w:val="center"/>
              <w:rPr>
                <w:sz w:val="21"/>
                <w:szCs w:val="21"/>
              </w:rPr>
            </w:pPr>
            <w:r>
              <w:rPr>
                <w:sz w:val="21"/>
                <w:szCs w:val="21"/>
              </w:rPr>
              <w:t>43</w:t>
            </w:r>
          </w:p>
        </w:tc>
        <w:tc>
          <w:tcPr>
            <w:tcW w:w="1762" w:type="dxa"/>
            <w:vAlign w:val="center"/>
          </w:tcPr>
          <w:p w14:paraId="0A9645DF">
            <w:pPr>
              <w:pStyle w:val="19"/>
              <w:spacing w:line="240" w:lineRule="auto"/>
              <w:ind w:firstLine="0"/>
              <w:jc w:val="center"/>
              <w:rPr>
                <w:sz w:val="21"/>
                <w:szCs w:val="21"/>
              </w:rPr>
            </w:pPr>
            <w:r>
              <w:rPr>
                <w:sz w:val="21"/>
                <w:szCs w:val="21"/>
              </w:rPr>
              <w:t>二苯并[a</w:t>
            </w:r>
            <w:r>
              <w:rPr>
                <w:rFonts w:hint="eastAsia"/>
                <w:sz w:val="21"/>
                <w:szCs w:val="21"/>
              </w:rPr>
              <w:t>，</w:t>
            </w:r>
            <w:r>
              <w:rPr>
                <w:sz w:val="21"/>
                <w:szCs w:val="21"/>
              </w:rPr>
              <w:t>h]蒽</w:t>
            </w:r>
          </w:p>
        </w:tc>
        <w:tc>
          <w:tcPr>
            <w:tcW w:w="1313" w:type="dxa"/>
            <w:vAlign w:val="center"/>
          </w:tcPr>
          <w:p w14:paraId="2AA8A527">
            <w:pPr>
              <w:pStyle w:val="19"/>
              <w:spacing w:line="240" w:lineRule="auto"/>
              <w:ind w:firstLine="0"/>
              <w:jc w:val="center"/>
              <w:rPr>
                <w:sz w:val="21"/>
                <w:szCs w:val="21"/>
              </w:rPr>
            </w:pPr>
            <w:r>
              <w:rPr>
                <w:sz w:val="21"/>
                <w:szCs w:val="21"/>
              </w:rPr>
              <w:t>53-70-3</w:t>
            </w:r>
          </w:p>
        </w:tc>
        <w:tc>
          <w:tcPr>
            <w:tcW w:w="1287" w:type="dxa"/>
            <w:vAlign w:val="center"/>
          </w:tcPr>
          <w:p w14:paraId="380DBB4A">
            <w:pPr>
              <w:pStyle w:val="19"/>
              <w:spacing w:line="240" w:lineRule="auto"/>
              <w:ind w:firstLine="0"/>
              <w:jc w:val="center"/>
              <w:rPr>
                <w:sz w:val="21"/>
                <w:szCs w:val="21"/>
              </w:rPr>
            </w:pPr>
            <w:r>
              <w:rPr>
                <w:sz w:val="21"/>
                <w:szCs w:val="21"/>
              </w:rPr>
              <w:t>0.55</w:t>
            </w:r>
          </w:p>
        </w:tc>
        <w:tc>
          <w:tcPr>
            <w:tcW w:w="1000" w:type="dxa"/>
            <w:vAlign w:val="center"/>
          </w:tcPr>
          <w:p w14:paraId="344C5777">
            <w:pPr>
              <w:pStyle w:val="19"/>
              <w:spacing w:line="240" w:lineRule="auto"/>
              <w:ind w:firstLine="0"/>
              <w:jc w:val="center"/>
              <w:rPr>
                <w:sz w:val="21"/>
                <w:szCs w:val="21"/>
              </w:rPr>
            </w:pPr>
            <w:r>
              <w:rPr>
                <w:sz w:val="21"/>
                <w:szCs w:val="21"/>
              </w:rPr>
              <w:t>1.5</w:t>
            </w:r>
          </w:p>
        </w:tc>
        <w:tc>
          <w:tcPr>
            <w:tcW w:w="1406" w:type="dxa"/>
            <w:vAlign w:val="center"/>
          </w:tcPr>
          <w:p w14:paraId="0EF6101C">
            <w:pPr>
              <w:pStyle w:val="19"/>
              <w:spacing w:line="240" w:lineRule="auto"/>
              <w:ind w:firstLine="0"/>
              <w:jc w:val="center"/>
              <w:rPr>
                <w:sz w:val="21"/>
                <w:szCs w:val="21"/>
              </w:rPr>
            </w:pPr>
            <w:r>
              <w:rPr>
                <w:sz w:val="21"/>
                <w:szCs w:val="21"/>
              </w:rPr>
              <w:t>5.5</w:t>
            </w:r>
          </w:p>
        </w:tc>
        <w:tc>
          <w:tcPr>
            <w:tcW w:w="1105" w:type="dxa"/>
            <w:gridSpan w:val="2"/>
            <w:vAlign w:val="center"/>
          </w:tcPr>
          <w:p w14:paraId="2863D5EA">
            <w:pPr>
              <w:pStyle w:val="19"/>
              <w:spacing w:line="240" w:lineRule="auto"/>
              <w:ind w:firstLine="0"/>
              <w:jc w:val="center"/>
              <w:rPr>
                <w:sz w:val="21"/>
                <w:szCs w:val="21"/>
              </w:rPr>
            </w:pPr>
            <w:r>
              <w:rPr>
                <w:sz w:val="21"/>
                <w:szCs w:val="21"/>
              </w:rPr>
              <w:t>15</w:t>
            </w:r>
          </w:p>
        </w:tc>
      </w:tr>
      <w:tr w14:paraId="5CDF4A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4" w:type="dxa"/>
            <w:vAlign w:val="center"/>
          </w:tcPr>
          <w:p w14:paraId="2072E953">
            <w:pPr>
              <w:pStyle w:val="19"/>
              <w:spacing w:line="240" w:lineRule="auto"/>
              <w:ind w:firstLine="0"/>
              <w:jc w:val="center"/>
              <w:rPr>
                <w:sz w:val="21"/>
                <w:szCs w:val="21"/>
              </w:rPr>
            </w:pPr>
            <w:r>
              <w:rPr>
                <w:sz w:val="21"/>
                <w:szCs w:val="21"/>
              </w:rPr>
              <w:t>44</w:t>
            </w:r>
          </w:p>
        </w:tc>
        <w:tc>
          <w:tcPr>
            <w:tcW w:w="1762" w:type="dxa"/>
            <w:vAlign w:val="center"/>
          </w:tcPr>
          <w:p w14:paraId="79CC35F0">
            <w:pPr>
              <w:pStyle w:val="19"/>
              <w:spacing w:line="240" w:lineRule="auto"/>
              <w:ind w:firstLine="0"/>
              <w:jc w:val="center"/>
              <w:rPr>
                <w:sz w:val="21"/>
                <w:szCs w:val="21"/>
              </w:rPr>
            </w:pPr>
            <w:r>
              <w:rPr>
                <w:sz w:val="21"/>
                <w:szCs w:val="21"/>
              </w:rPr>
              <w:t>茚并[1</w:t>
            </w:r>
            <w:r>
              <w:rPr>
                <w:rFonts w:hint="eastAsia"/>
                <w:sz w:val="21"/>
                <w:szCs w:val="21"/>
              </w:rPr>
              <w:t>，</w:t>
            </w:r>
            <w:r>
              <w:rPr>
                <w:sz w:val="21"/>
                <w:szCs w:val="21"/>
              </w:rPr>
              <w:t>2</w:t>
            </w:r>
            <w:r>
              <w:rPr>
                <w:rFonts w:hint="eastAsia"/>
                <w:sz w:val="21"/>
                <w:szCs w:val="21"/>
              </w:rPr>
              <w:t>，</w:t>
            </w:r>
            <w:r>
              <w:rPr>
                <w:sz w:val="21"/>
                <w:szCs w:val="21"/>
              </w:rPr>
              <w:t>3-cd]芘</w:t>
            </w:r>
          </w:p>
        </w:tc>
        <w:tc>
          <w:tcPr>
            <w:tcW w:w="1313" w:type="dxa"/>
            <w:vAlign w:val="center"/>
          </w:tcPr>
          <w:p w14:paraId="558ED42E">
            <w:pPr>
              <w:pStyle w:val="19"/>
              <w:spacing w:line="240" w:lineRule="auto"/>
              <w:ind w:firstLine="0"/>
              <w:jc w:val="center"/>
              <w:rPr>
                <w:sz w:val="21"/>
                <w:szCs w:val="21"/>
              </w:rPr>
            </w:pPr>
            <w:r>
              <w:rPr>
                <w:sz w:val="21"/>
                <w:szCs w:val="21"/>
              </w:rPr>
              <w:t>193-39-5</w:t>
            </w:r>
          </w:p>
        </w:tc>
        <w:tc>
          <w:tcPr>
            <w:tcW w:w="1287" w:type="dxa"/>
            <w:vAlign w:val="center"/>
          </w:tcPr>
          <w:p w14:paraId="4195E47A">
            <w:pPr>
              <w:pStyle w:val="19"/>
              <w:spacing w:line="240" w:lineRule="auto"/>
              <w:ind w:firstLine="0"/>
              <w:jc w:val="center"/>
              <w:rPr>
                <w:sz w:val="21"/>
                <w:szCs w:val="21"/>
              </w:rPr>
            </w:pPr>
            <w:r>
              <w:rPr>
                <w:sz w:val="21"/>
                <w:szCs w:val="21"/>
              </w:rPr>
              <w:t>5.5</w:t>
            </w:r>
          </w:p>
        </w:tc>
        <w:tc>
          <w:tcPr>
            <w:tcW w:w="1000" w:type="dxa"/>
            <w:vAlign w:val="center"/>
          </w:tcPr>
          <w:p w14:paraId="22773B45">
            <w:pPr>
              <w:pStyle w:val="19"/>
              <w:spacing w:line="240" w:lineRule="auto"/>
              <w:ind w:firstLine="0"/>
              <w:jc w:val="center"/>
              <w:rPr>
                <w:sz w:val="21"/>
                <w:szCs w:val="21"/>
              </w:rPr>
            </w:pPr>
            <w:r>
              <w:rPr>
                <w:sz w:val="21"/>
                <w:szCs w:val="21"/>
              </w:rPr>
              <w:t>15</w:t>
            </w:r>
          </w:p>
        </w:tc>
        <w:tc>
          <w:tcPr>
            <w:tcW w:w="1406" w:type="dxa"/>
            <w:vAlign w:val="center"/>
          </w:tcPr>
          <w:p w14:paraId="2B565C24">
            <w:pPr>
              <w:pStyle w:val="19"/>
              <w:spacing w:line="240" w:lineRule="auto"/>
              <w:ind w:firstLine="0"/>
              <w:jc w:val="center"/>
              <w:rPr>
                <w:sz w:val="21"/>
                <w:szCs w:val="21"/>
              </w:rPr>
            </w:pPr>
            <w:r>
              <w:rPr>
                <w:sz w:val="21"/>
                <w:szCs w:val="21"/>
              </w:rPr>
              <w:t>55</w:t>
            </w:r>
          </w:p>
        </w:tc>
        <w:tc>
          <w:tcPr>
            <w:tcW w:w="1105" w:type="dxa"/>
            <w:gridSpan w:val="2"/>
            <w:vAlign w:val="center"/>
          </w:tcPr>
          <w:p w14:paraId="750595FB">
            <w:pPr>
              <w:pStyle w:val="19"/>
              <w:spacing w:line="240" w:lineRule="auto"/>
              <w:ind w:firstLine="0"/>
              <w:jc w:val="center"/>
              <w:rPr>
                <w:sz w:val="21"/>
                <w:szCs w:val="21"/>
              </w:rPr>
            </w:pPr>
            <w:r>
              <w:rPr>
                <w:sz w:val="21"/>
                <w:szCs w:val="21"/>
              </w:rPr>
              <w:t>151</w:t>
            </w:r>
          </w:p>
        </w:tc>
      </w:tr>
      <w:tr w14:paraId="4569EB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4" w:type="dxa"/>
            <w:vAlign w:val="center"/>
          </w:tcPr>
          <w:p w14:paraId="7C6F8E52">
            <w:pPr>
              <w:pStyle w:val="19"/>
              <w:spacing w:line="240" w:lineRule="auto"/>
              <w:ind w:firstLine="0"/>
              <w:jc w:val="center"/>
              <w:rPr>
                <w:sz w:val="21"/>
                <w:szCs w:val="21"/>
              </w:rPr>
            </w:pPr>
            <w:r>
              <w:rPr>
                <w:sz w:val="21"/>
                <w:szCs w:val="21"/>
              </w:rPr>
              <w:t>45</w:t>
            </w:r>
          </w:p>
        </w:tc>
        <w:tc>
          <w:tcPr>
            <w:tcW w:w="1762" w:type="dxa"/>
            <w:vAlign w:val="center"/>
          </w:tcPr>
          <w:p w14:paraId="34C71621">
            <w:pPr>
              <w:pStyle w:val="19"/>
              <w:spacing w:line="240" w:lineRule="auto"/>
              <w:ind w:firstLine="0"/>
              <w:jc w:val="center"/>
              <w:rPr>
                <w:sz w:val="21"/>
                <w:szCs w:val="21"/>
              </w:rPr>
            </w:pPr>
            <w:r>
              <w:rPr>
                <w:sz w:val="21"/>
                <w:szCs w:val="21"/>
              </w:rPr>
              <w:t>萘</w:t>
            </w:r>
          </w:p>
        </w:tc>
        <w:tc>
          <w:tcPr>
            <w:tcW w:w="1313" w:type="dxa"/>
            <w:vAlign w:val="center"/>
          </w:tcPr>
          <w:p w14:paraId="271637B6">
            <w:pPr>
              <w:pStyle w:val="19"/>
              <w:spacing w:line="240" w:lineRule="auto"/>
              <w:ind w:firstLine="0"/>
              <w:jc w:val="center"/>
              <w:rPr>
                <w:sz w:val="21"/>
                <w:szCs w:val="21"/>
              </w:rPr>
            </w:pPr>
            <w:r>
              <w:rPr>
                <w:sz w:val="21"/>
                <w:szCs w:val="21"/>
              </w:rPr>
              <w:t>91-20-3</w:t>
            </w:r>
          </w:p>
        </w:tc>
        <w:tc>
          <w:tcPr>
            <w:tcW w:w="1287" w:type="dxa"/>
            <w:vAlign w:val="center"/>
          </w:tcPr>
          <w:p w14:paraId="22EDE7A2">
            <w:pPr>
              <w:pStyle w:val="19"/>
              <w:spacing w:line="240" w:lineRule="auto"/>
              <w:ind w:firstLine="0"/>
              <w:jc w:val="center"/>
              <w:rPr>
                <w:sz w:val="21"/>
                <w:szCs w:val="21"/>
              </w:rPr>
            </w:pPr>
            <w:r>
              <w:rPr>
                <w:sz w:val="21"/>
                <w:szCs w:val="21"/>
              </w:rPr>
              <w:t>25</w:t>
            </w:r>
          </w:p>
        </w:tc>
        <w:tc>
          <w:tcPr>
            <w:tcW w:w="1000" w:type="dxa"/>
            <w:vAlign w:val="center"/>
          </w:tcPr>
          <w:p w14:paraId="0A2F64B6">
            <w:pPr>
              <w:pStyle w:val="19"/>
              <w:spacing w:line="240" w:lineRule="auto"/>
              <w:ind w:firstLine="0"/>
              <w:jc w:val="center"/>
              <w:rPr>
                <w:sz w:val="21"/>
                <w:szCs w:val="21"/>
              </w:rPr>
            </w:pPr>
            <w:r>
              <w:rPr>
                <w:sz w:val="21"/>
                <w:szCs w:val="21"/>
              </w:rPr>
              <w:t>70</w:t>
            </w:r>
          </w:p>
        </w:tc>
        <w:tc>
          <w:tcPr>
            <w:tcW w:w="1406" w:type="dxa"/>
            <w:vAlign w:val="center"/>
          </w:tcPr>
          <w:p w14:paraId="16F1FDC5">
            <w:pPr>
              <w:pStyle w:val="19"/>
              <w:spacing w:line="240" w:lineRule="auto"/>
              <w:ind w:firstLine="0"/>
              <w:jc w:val="center"/>
              <w:rPr>
                <w:sz w:val="21"/>
                <w:szCs w:val="21"/>
              </w:rPr>
            </w:pPr>
            <w:r>
              <w:rPr>
                <w:sz w:val="21"/>
                <w:szCs w:val="21"/>
              </w:rPr>
              <w:t>255</w:t>
            </w:r>
          </w:p>
        </w:tc>
        <w:tc>
          <w:tcPr>
            <w:tcW w:w="1105" w:type="dxa"/>
            <w:gridSpan w:val="2"/>
            <w:vAlign w:val="center"/>
          </w:tcPr>
          <w:p w14:paraId="0EAEDEFB">
            <w:pPr>
              <w:pStyle w:val="19"/>
              <w:spacing w:line="240" w:lineRule="auto"/>
              <w:ind w:firstLine="0"/>
              <w:jc w:val="center"/>
              <w:rPr>
                <w:sz w:val="21"/>
                <w:szCs w:val="21"/>
              </w:rPr>
            </w:pPr>
            <w:r>
              <w:rPr>
                <w:sz w:val="21"/>
                <w:szCs w:val="21"/>
              </w:rPr>
              <w:t>700</w:t>
            </w:r>
          </w:p>
        </w:tc>
      </w:tr>
      <w:tr w14:paraId="6532A3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37" w:type="dxa"/>
            <w:gridSpan w:val="8"/>
            <w:vAlign w:val="center"/>
          </w:tcPr>
          <w:p w14:paraId="34D5A166">
            <w:pPr>
              <w:pStyle w:val="19"/>
              <w:spacing w:line="240" w:lineRule="auto"/>
              <w:ind w:firstLine="0"/>
              <w:jc w:val="center"/>
              <w:rPr>
                <w:sz w:val="21"/>
                <w:szCs w:val="21"/>
              </w:rPr>
            </w:pPr>
            <w:r>
              <w:rPr>
                <w:rFonts w:hint="eastAsia"/>
                <w:sz w:val="21"/>
                <w:szCs w:val="21"/>
              </w:rPr>
              <w:t>石油烃类</w:t>
            </w:r>
          </w:p>
        </w:tc>
      </w:tr>
      <w:tr w14:paraId="28B935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4" w:type="dxa"/>
            <w:vAlign w:val="center"/>
          </w:tcPr>
          <w:p w14:paraId="5A3C17EC">
            <w:pPr>
              <w:pStyle w:val="19"/>
              <w:spacing w:line="240" w:lineRule="auto"/>
              <w:ind w:firstLine="0"/>
              <w:jc w:val="center"/>
              <w:rPr>
                <w:sz w:val="21"/>
                <w:szCs w:val="21"/>
              </w:rPr>
            </w:pPr>
            <w:r>
              <w:rPr>
                <w:rFonts w:hint="eastAsia"/>
                <w:sz w:val="21"/>
                <w:szCs w:val="21"/>
              </w:rPr>
              <w:t>46</w:t>
            </w:r>
          </w:p>
        </w:tc>
        <w:tc>
          <w:tcPr>
            <w:tcW w:w="1762" w:type="dxa"/>
            <w:vAlign w:val="center"/>
          </w:tcPr>
          <w:p w14:paraId="2CB0E4E5">
            <w:pPr>
              <w:pStyle w:val="19"/>
              <w:spacing w:line="240" w:lineRule="auto"/>
              <w:ind w:firstLine="0"/>
              <w:jc w:val="center"/>
              <w:rPr>
                <w:sz w:val="21"/>
                <w:szCs w:val="21"/>
              </w:rPr>
            </w:pPr>
            <w:r>
              <w:rPr>
                <w:rFonts w:hint="eastAsia"/>
                <w:sz w:val="21"/>
                <w:szCs w:val="21"/>
              </w:rPr>
              <w:t>石油烃（C10-C40）</w:t>
            </w:r>
          </w:p>
        </w:tc>
        <w:tc>
          <w:tcPr>
            <w:tcW w:w="1313" w:type="dxa"/>
            <w:vAlign w:val="center"/>
          </w:tcPr>
          <w:p w14:paraId="2774D600">
            <w:pPr>
              <w:pStyle w:val="19"/>
              <w:spacing w:line="240" w:lineRule="auto"/>
              <w:ind w:firstLine="0"/>
              <w:jc w:val="center"/>
              <w:rPr>
                <w:sz w:val="21"/>
                <w:szCs w:val="21"/>
              </w:rPr>
            </w:pPr>
            <w:r>
              <w:rPr>
                <w:rFonts w:hint="eastAsia"/>
                <w:sz w:val="21"/>
                <w:szCs w:val="21"/>
              </w:rPr>
              <w:t>5000</w:t>
            </w:r>
          </w:p>
        </w:tc>
        <w:tc>
          <w:tcPr>
            <w:tcW w:w="1287" w:type="dxa"/>
            <w:vAlign w:val="center"/>
          </w:tcPr>
          <w:p w14:paraId="7E4E9471">
            <w:pPr>
              <w:pStyle w:val="19"/>
              <w:spacing w:line="240" w:lineRule="auto"/>
              <w:ind w:firstLine="0"/>
              <w:jc w:val="center"/>
              <w:rPr>
                <w:sz w:val="21"/>
                <w:szCs w:val="21"/>
              </w:rPr>
            </w:pPr>
            <w:r>
              <w:rPr>
                <w:rFonts w:hint="eastAsia"/>
                <w:sz w:val="21"/>
                <w:szCs w:val="21"/>
              </w:rPr>
              <w:t>9000</w:t>
            </w:r>
          </w:p>
        </w:tc>
        <w:tc>
          <w:tcPr>
            <w:tcW w:w="1000" w:type="dxa"/>
            <w:vAlign w:val="center"/>
          </w:tcPr>
          <w:p w14:paraId="182BAACA">
            <w:pPr>
              <w:pStyle w:val="19"/>
              <w:spacing w:line="240" w:lineRule="auto"/>
              <w:ind w:firstLine="0"/>
              <w:jc w:val="center"/>
              <w:rPr>
                <w:sz w:val="21"/>
                <w:szCs w:val="21"/>
              </w:rPr>
            </w:pPr>
          </w:p>
        </w:tc>
        <w:tc>
          <w:tcPr>
            <w:tcW w:w="1406" w:type="dxa"/>
            <w:vAlign w:val="center"/>
          </w:tcPr>
          <w:p w14:paraId="51139356">
            <w:pPr>
              <w:pStyle w:val="19"/>
              <w:spacing w:line="240" w:lineRule="auto"/>
              <w:ind w:firstLine="0"/>
              <w:jc w:val="center"/>
              <w:rPr>
                <w:sz w:val="21"/>
                <w:szCs w:val="21"/>
              </w:rPr>
            </w:pPr>
          </w:p>
        </w:tc>
        <w:tc>
          <w:tcPr>
            <w:tcW w:w="1105" w:type="dxa"/>
            <w:gridSpan w:val="2"/>
            <w:vAlign w:val="center"/>
          </w:tcPr>
          <w:p w14:paraId="6BA55BAC">
            <w:pPr>
              <w:pStyle w:val="19"/>
              <w:spacing w:line="240" w:lineRule="auto"/>
              <w:ind w:firstLine="0"/>
              <w:jc w:val="center"/>
              <w:rPr>
                <w:sz w:val="21"/>
                <w:szCs w:val="21"/>
              </w:rPr>
            </w:pPr>
          </w:p>
        </w:tc>
      </w:tr>
      <w:tr w14:paraId="58C3DE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37" w:type="dxa"/>
            <w:gridSpan w:val="8"/>
            <w:vAlign w:val="center"/>
          </w:tcPr>
          <w:p w14:paraId="44A6AF33">
            <w:pPr>
              <w:pStyle w:val="19"/>
              <w:spacing w:line="240" w:lineRule="auto"/>
              <w:ind w:firstLine="0"/>
              <w:jc w:val="left"/>
              <w:rPr>
                <w:sz w:val="21"/>
                <w:szCs w:val="21"/>
              </w:rPr>
            </w:pPr>
            <w:r>
              <w:rPr>
                <w:sz w:val="21"/>
                <w:szCs w:val="21"/>
              </w:rPr>
              <w:t>注：</w:t>
            </w:r>
            <w:r>
              <w:rPr>
                <w:rFonts w:hint="eastAsia"/>
                <w:sz w:val="21"/>
                <w:szCs w:val="21"/>
              </w:rPr>
              <w:t>①</w:t>
            </w:r>
            <w:r>
              <w:rPr>
                <w:sz w:val="21"/>
                <w:szCs w:val="21"/>
              </w:rPr>
              <w:t>具体地块土壤中污染物检测含量超过筛选值，但等于或者低于土壤环境背景值（见3.6）水平的，不纳入污染地块管理。土壤环境背景值可参见附录A。</w:t>
            </w:r>
          </w:p>
        </w:tc>
      </w:tr>
    </w:tbl>
    <w:p w14:paraId="7868EA7E">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2.6.2.5</w:t>
      </w:r>
      <w:r>
        <w:rPr>
          <w:rFonts w:hint="eastAsia" w:ascii="Times New Roman" w:hAnsi="Times New Roman"/>
        </w:rPr>
        <w:t>声环境</w:t>
      </w:r>
    </w:p>
    <w:p w14:paraId="05CA76DB">
      <w:pPr>
        <w:ind w:firstLine="480"/>
        <w:rPr>
          <w:rFonts w:hint="eastAsia"/>
        </w:rPr>
      </w:pPr>
      <w:r>
        <w:rPr>
          <w:rFonts w:hint="eastAsia"/>
        </w:rPr>
        <w:t>项目位于湘潭天易经开区，区域声环境执行《声环境质量标准》（GB3096-2008）3类区，地块所在区域执行3类区功能限值，厂界南面临城市道路侧25米范围内执行该标准4a类标准。</w:t>
      </w:r>
    </w:p>
    <w:p w14:paraId="3376C08F">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表2.6-6</w:t>
      </w: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 </w:t>
      </w:r>
      <w:r>
        <w:rPr>
          <w:rFonts w:hint="eastAsia"/>
        </w:rPr>
        <w:t xml:space="preserve"> 声环境质量标准      单位：dB（A）</w:t>
      </w:r>
    </w:p>
    <w:tbl>
      <w:tblPr>
        <w:tblStyle w:val="31"/>
        <w:tblW w:w="852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3"/>
        <w:gridCol w:w="1595"/>
        <w:gridCol w:w="1881"/>
        <w:gridCol w:w="1878"/>
        <w:gridCol w:w="1880"/>
      </w:tblGrid>
      <w:tr w14:paraId="0234F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pct"/>
            <w:vAlign w:val="center"/>
          </w:tcPr>
          <w:p w14:paraId="6B37FE2A">
            <w:pPr>
              <w:pStyle w:val="19"/>
              <w:spacing w:line="240" w:lineRule="auto"/>
              <w:ind w:firstLine="0"/>
              <w:jc w:val="center"/>
              <w:rPr>
                <w:sz w:val="21"/>
                <w:szCs w:val="21"/>
              </w:rPr>
            </w:pPr>
            <w:r>
              <w:rPr>
                <w:sz w:val="21"/>
                <w:szCs w:val="21"/>
              </w:rPr>
              <w:t>项目</w:t>
            </w:r>
          </w:p>
        </w:tc>
        <w:tc>
          <w:tcPr>
            <w:tcW w:w="935" w:type="pct"/>
            <w:vAlign w:val="center"/>
          </w:tcPr>
          <w:p w14:paraId="2C1CE550">
            <w:pPr>
              <w:pStyle w:val="19"/>
              <w:spacing w:line="240" w:lineRule="auto"/>
              <w:ind w:firstLine="0"/>
              <w:jc w:val="center"/>
              <w:rPr>
                <w:sz w:val="21"/>
                <w:szCs w:val="21"/>
              </w:rPr>
            </w:pPr>
            <w:r>
              <w:rPr>
                <w:sz w:val="21"/>
                <w:szCs w:val="21"/>
              </w:rPr>
              <w:t>昼间</w:t>
            </w:r>
          </w:p>
        </w:tc>
        <w:tc>
          <w:tcPr>
            <w:tcW w:w="1102" w:type="pct"/>
            <w:vAlign w:val="center"/>
          </w:tcPr>
          <w:p w14:paraId="75A53BFC">
            <w:pPr>
              <w:pStyle w:val="19"/>
              <w:spacing w:line="240" w:lineRule="auto"/>
              <w:ind w:firstLine="0"/>
              <w:jc w:val="center"/>
              <w:rPr>
                <w:sz w:val="21"/>
                <w:szCs w:val="21"/>
              </w:rPr>
            </w:pPr>
            <w:r>
              <w:rPr>
                <w:sz w:val="21"/>
                <w:szCs w:val="21"/>
              </w:rPr>
              <w:t>夜间</w:t>
            </w:r>
          </w:p>
        </w:tc>
        <w:tc>
          <w:tcPr>
            <w:tcW w:w="1101" w:type="pct"/>
            <w:vAlign w:val="center"/>
          </w:tcPr>
          <w:p w14:paraId="4797C743">
            <w:pPr>
              <w:pStyle w:val="19"/>
              <w:spacing w:line="240" w:lineRule="auto"/>
              <w:ind w:firstLine="0"/>
              <w:jc w:val="center"/>
              <w:rPr>
                <w:sz w:val="21"/>
                <w:szCs w:val="21"/>
              </w:rPr>
            </w:pPr>
            <w:r>
              <w:rPr>
                <w:sz w:val="21"/>
                <w:szCs w:val="21"/>
              </w:rPr>
              <w:t>昼间</w:t>
            </w:r>
          </w:p>
        </w:tc>
        <w:tc>
          <w:tcPr>
            <w:tcW w:w="1102" w:type="pct"/>
            <w:vAlign w:val="center"/>
          </w:tcPr>
          <w:p w14:paraId="6633FBDC">
            <w:pPr>
              <w:pStyle w:val="19"/>
              <w:spacing w:line="240" w:lineRule="auto"/>
              <w:ind w:firstLine="0"/>
              <w:jc w:val="center"/>
              <w:rPr>
                <w:sz w:val="21"/>
                <w:szCs w:val="21"/>
              </w:rPr>
            </w:pPr>
            <w:r>
              <w:rPr>
                <w:sz w:val="21"/>
                <w:szCs w:val="21"/>
              </w:rPr>
              <w:t>夜间</w:t>
            </w:r>
          </w:p>
        </w:tc>
      </w:tr>
      <w:tr w14:paraId="3EF8F9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pct"/>
            <w:vMerge w:val="restart"/>
            <w:vAlign w:val="center"/>
          </w:tcPr>
          <w:p w14:paraId="460D6E63">
            <w:pPr>
              <w:pStyle w:val="19"/>
              <w:spacing w:line="240" w:lineRule="auto"/>
              <w:ind w:firstLine="0"/>
              <w:jc w:val="center"/>
              <w:rPr>
                <w:sz w:val="21"/>
                <w:szCs w:val="21"/>
              </w:rPr>
            </w:pPr>
            <w:r>
              <w:rPr>
                <w:sz w:val="21"/>
                <w:szCs w:val="21"/>
              </w:rPr>
              <w:t>限值</w:t>
            </w:r>
          </w:p>
        </w:tc>
        <w:tc>
          <w:tcPr>
            <w:tcW w:w="935" w:type="pct"/>
            <w:vAlign w:val="center"/>
          </w:tcPr>
          <w:p w14:paraId="0F19A222">
            <w:pPr>
              <w:pStyle w:val="19"/>
              <w:spacing w:line="240" w:lineRule="auto"/>
              <w:ind w:firstLine="0"/>
              <w:jc w:val="center"/>
              <w:rPr>
                <w:sz w:val="21"/>
                <w:szCs w:val="21"/>
              </w:rPr>
            </w:pPr>
            <w:r>
              <w:rPr>
                <w:sz w:val="21"/>
                <w:szCs w:val="21"/>
              </w:rPr>
              <w:t>65</w:t>
            </w:r>
          </w:p>
        </w:tc>
        <w:tc>
          <w:tcPr>
            <w:tcW w:w="1102" w:type="pct"/>
            <w:vAlign w:val="center"/>
          </w:tcPr>
          <w:p w14:paraId="57ED41D0">
            <w:pPr>
              <w:pStyle w:val="19"/>
              <w:spacing w:line="240" w:lineRule="auto"/>
              <w:ind w:firstLine="0"/>
              <w:jc w:val="center"/>
              <w:rPr>
                <w:sz w:val="21"/>
                <w:szCs w:val="21"/>
              </w:rPr>
            </w:pPr>
            <w:r>
              <w:rPr>
                <w:sz w:val="21"/>
                <w:szCs w:val="21"/>
              </w:rPr>
              <w:t>55</w:t>
            </w:r>
          </w:p>
        </w:tc>
        <w:tc>
          <w:tcPr>
            <w:tcW w:w="1101" w:type="pct"/>
            <w:vAlign w:val="center"/>
          </w:tcPr>
          <w:p w14:paraId="6A92D84F">
            <w:pPr>
              <w:pStyle w:val="19"/>
              <w:spacing w:line="240" w:lineRule="auto"/>
              <w:ind w:firstLine="0"/>
              <w:jc w:val="center"/>
              <w:rPr>
                <w:sz w:val="21"/>
                <w:szCs w:val="21"/>
              </w:rPr>
            </w:pPr>
            <w:r>
              <w:rPr>
                <w:sz w:val="21"/>
                <w:szCs w:val="21"/>
              </w:rPr>
              <w:t>70</w:t>
            </w:r>
          </w:p>
        </w:tc>
        <w:tc>
          <w:tcPr>
            <w:tcW w:w="1102" w:type="pct"/>
            <w:vAlign w:val="center"/>
          </w:tcPr>
          <w:p w14:paraId="46C27B43">
            <w:pPr>
              <w:pStyle w:val="19"/>
              <w:spacing w:line="240" w:lineRule="auto"/>
              <w:ind w:firstLine="0"/>
              <w:jc w:val="center"/>
              <w:rPr>
                <w:sz w:val="21"/>
                <w:szCs w:val="21"/>
              </w:rPr>
            </w:pPr>
            <w:r>
              <w:rPr>
                <w:sz w:val="21"/>
                <w:szCs w:val="21"/>
              </w:rPr>
              <w:t>55</w:t>
            </w:r>
          </w:p>
        </w:tc>
      </w:tr>
      <w:tr w14:paraId="1A4C4E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pct"/>
            <w:vMerge w:val="continue"/>
            <w:vAlign w:val="center"/>
          </w:tcPr>
          <w:p w14:paraId="288B5F68">
            <w:pPr>
              <w:pStyle w:val="19"/>
              <w:spacing w:line="240" w:lineRule="auto"/>
              <w:ind w:firstLine="0"/>
              <w:jc w:val="center"/>
              <w:rPr>
                <w:sz w:val="21"/>
                <w:szCs w:val="21"/>
              </w:rPr>
            </w:pPr>
          </w:p>
        </w:tc>
        <w:tc>
          <w:tcPr>
            <w:tcW w:w="2038" w:type="pct"/>
            <w:gridSpan w:val="2"/>
            <w:vAlign w:val="center"/>
          </w:tcPr>
          <w:p w14:paraId="0F4295F6">
            <w:pPr>
              <w:pStyle w:val="19"/>
              <w:spacing w:line="240" w:lineRule="auto"/>
              <w:ind w:firstLine="0"/>
              <w:jc w:val="center"/>
              <w:rPr>
                <w:sz w:val="21"/>
                <w:szCs w:val="21"/>
              </w:rPr>
            </w:pPr>
            <w:r>
              <w:rPr>
                <w:sz w:val="21"/>
                <w:szCs w:val="21"/>
              </w:rPr>
              <w:t>3类</w:t>
            </w:r>
          </w:p>
        </w:tc>
        <w:tc>
          <w:tcPr>
            <w:tcW w:w="2203" w:type="pct"/>
            <w:gridSpan w:val="2"/>
            <w:vAlign w:val="center"/>
          </w:tcPr>
          <w:p w14:paraId="6D657668">
            <w:pPr>
              <w:pStyle w:val="19"/>
              <w:spacing w:line="240" w:lineRule="auto"/>
              <w:ind w:firstLine="0"/>
              <w:jc w:val="center"/>
              <w:rPr>
                <w:sz w:val="21"/>
                <w:szCs w:val="21"/>
              </w:rPr>
            </w:pPr>
            <w:r>
              <w:rPr>
                <w:sz w:val="21"/>
                <w:szCs w:val="21"/>
              </w:rPr>
              <w:t>4a类</w:t>
            </w:r>
          </w:p>
        </w:tc>
      </w:tr>
    </w:tbl>
    <w:p w14:paraId="614FE31E">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2.6.2.6</w:t>
      </w:r>
      <w:r>
        <w:rPr>
          <w:rFonts w:hint="eastAsia" w:ascii="Times New Roman" w:hAnsi="Times New Roman"/>
        </w:rPr>
        <w:t>油墨产品质量标准</w:t>
      </w:r>
    </w:p>
    <w:p w14:paraId="3232411D">
      <w:pPr>
        <w:ind w:firstLine="480"/>
      </w:pPr>
      <w:r>
        <w:t>本项目使用的油墨应符合《</w:t>
      </w:r>
      <w:r>
        <w:rPr>
          <w:rFonts w:hint="eastAsia"/>
        </w:rPr>
        <w:t>油墨中可挥发性有机化合物（VOCs）含量的限值</w:t>
      </w:r>
      <w:r>
        <w:t>》(GB38507-2020)表1中凹印油墨相应限制，详见下表。</w:t>
      </w:r>
    </w:p>
    <w:p w14:paraId="68A36192">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表2.6-7 </w:t>
      </w:r>
      <w:r>
        <w:rPr>
          <w:rFonts w:hint="eastAsia" w:ascii="宋体" w:hAnsi="宋体" w:cs="宋体"/>
          <w:b/>
          <w:bCs/>
          <w:color w:val="auto"/>
          <w:kern w:val="2"/>
          <w:sz w:val="21"/>
          <w:szCs w:val="21"/>
          <w:lang w:val="en-US" w:eastAsia="zh-CN" w:bidi="ar-SA"/>
        </w:rPr>
        <w:t xml:space="preserve">   </w:t>
      </w:r>
      <w:r>
        <w:rPr>
          <w:rFonts w:hint="eastAsia"/>
        </w:rPr>
        <w:t xml:space="preserve"> 油墨中可挥发性有机化合物含量的限值</w:t>
      </w:r>
    </w:p>
    <w:tbl>
      <w:tblPr>
        <w:tblStyle w:val="66"/>
        <w:tblW w:w="8527" w:type="dxa"/>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0" w:type="dxa"/>
          <w:bottom w:w="0" w:type="dxa"/>
          <w:right w:w="0" w:type="dxa"/>
        </w:tblCellMar>
      </w:tblPr>
      <w:tblGrid>
        <w:gridCol w:w="1851"/>
        <w:gridCol w:w="3218"/>
        <w:gridCol w:w="3458"/>
      </w:tblGrid>
      <w:tr w14:paraId="2FFF5584">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069" w:type="dxa"/>
            <w:gridSpan w:val="2"/>
            <w:tcBorders>
              <w:tl2br w:val="nil"/>
              <w:tr2bl w:val="nil"/>
            </w:tcBorders>
          </w:tcPr>
          <w:p w14:paraId="650CB643">
            <w:pPr>
              <w:pStyle w:val="19"/>
              <w:widowControl w:val="0"/>
              <w:spacing w:line="240" w:lineRule="auto"/>
              <w:ind w:firstLine="0"/>
              <w:jc w:val="center"/>
              <w:rPr>
                <w:sz w:val="21"/>
                <w:szCs w:val="21"/>
                <w:lang w:eastAsia="en-US"/>
              </w:rPr>
            </w:pPr>
            <w:r>
              <w:rPr>
                <w:sz w:val="21"/>
                <w:szCs w:val="21"/>
                <w:lang w:eastAsia="en-US"/>
              </w:rPr>
              <w:t>油墨品种</w:t>
            </w:r>
          </w:p>
        </w:tc>
        <w:tc>
          <w:tcPr>
            <w:tcW w:w="3458" w:type="dxa"/>
            <w:tcBorders>
              <w:tl2br w:val="nil"/>
              <w:tr2bl w:val="nil"/>
            </w:tcBorders>
          </w:tcPr>
          <w:p w14:paraId="146E4C13">
            <w:pPr>
              <w:pStyle w:val="19"/>
              <w:widowControl w:val="0"/>
              <w:spacing w:line="240" w:lineRule="auto"/>
              <w:ind w:firstLine="0"/>
              <w:jc w:val="center"/>
              <w:rPr>
                <w:sz w:val="21"/>
                <w:szCs w:val="21"/>
                <w:lang w:eastAsia="zh-CN"/>
              </w:rPr>
            </w:pPr>
            <w:r>
              <w:rPr>
                <w:sz w:val="21"/>
                <w:szCs w:val="21"/>
                <w:lang w:eastAsia="zh-CN"/>
              </w:rPr>
              <w:t>挥发性有机化合物(VOCs)限值%</w:t>
            </w:r>
          </w:p>
        </w:tc>
      </w:tr>
      <w:tr w14:paraId="0188BFEC">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851" w:type="dxa"/>
            <w:tcBorders>
              <w:tl2br w:val="nil"/>
              <w:tr2bl w:val="nil"/>
            </w:tcBorders>
          </w:tcPr>
          <w:p w14:paraId="45EFDDAA">
            <w:pPr>
              <w:pStyle w:val="19"/>
              <w:widowControl w:val="0"/>
              <w:spacing w:line="240" w:lineRule="auto"/>
              <w:ind w:firstLine="0"/>
              <w:jc w:val="center"/>
              <w:rPr>
                <w:sz w:val="21"/>
                <w:szCs w:val="21"/>
                <w:lang w:eastAsia="en-US"/>
              </w:rPr>
            </w:pPr>
            <w:r>
              <w:rPr>
                <w:sz w:val="21"/>
                <w:szCs w:val="21"/>
                <w:lang w:eastAsia="en-US"/>
              </w:rPr>
              <w:t>溶剂油墨</w:t>
            </w:r>
          </w:p>
        </w:tc>
        <w:tc>
          <w:tcPr>
            <w:tcW w:w="3218" w:type="dxa"/>
            <w:tcBorders>
              <w:tl2br w:val="nil"/>
              <w:tr2bl w:val="nil"/>
            </w:tcBorders>
          </w:tcPr>
          <w:p w14:paraId="4E637D84">
            <w:pPr>
              <w:pStyle w:val="19"/>
              <w:widowControl w:val="0"/>
              <w:spacing w:line="240" w:lineRule="auto"/>
              <w:ind w:firstLine="0"/>
              <w:jc w:val="center"/>
              <w:rPr>
                <w:sz w:val="21"/>
                <w:szCs w:val="21"/>
                <w:lang w:eastAsia="en-US"/>
              </w:rPr>
            </w:pPr>
            <w:r>
              <w:rPr>
                <w:sz w:val="21"/>
                <w:szCs w:val="21"/>
                <w:lang w:eastAsia="en-US"/>
              </w:rPr>
              <w:t>凹印油墨</w:t>
            </w:r>
          </w:p>
        </w:tc>
        <w:tc>
          <w:tcPr>
            <w:tcW w:w="3458" w:type="dxa"/>
            <w:tcBorders>
              <w:tl2br w:val="nil"/>
              <w:tr2bl w:val="nil"/>
            </w:tcBorders>
          </w:tcPr>
          <w:p w14:paraId="1349A457">
            <w:pPr>
              <w:pStyle w:val="19"/>
              <w:widowControl w:val="0"/>
              <w:spacing w:line="240" w:lineRule="auto"/>
              <w:ind w:firstLine="0"/>
              <w:jc w:val="center"/>
              <w:rPr>
                <w:sz w:val="21"/>
                <w:szCs w:val="21"/>
                <w:lang w:eastAsia="en-US"/>
              </w:rPr>
            </w:pPr>
            <w:r>
              <w:rPr>
                <w:sz w:val="21"/>
                <w:szCs w:val="21"/>
                <w:lang w:eastAsia="en-US"/>
              </w:rPr>
              <w:t>≤75</w:t>
            </w:r>
          </w:p>
        </w:tc>
      </w:tr>
    </w:tbl>
    <w:p w14:paraId="7B9B55F9">
      <w:pPr>
        <w:pStyle w:val="4"/>
        <w:numPr>
          <w:ilvl w:val="2"/>
          <w:numId w:val="0"/>
        </w:numPr>
        <w:ind w:left="992" w:leftChars="0" w:hanging="992" w:firstLineChars="0"/>
        <w:rPr>
          <w:sz w:val="28"/>
          <w:szCs w:val="28"/>
        </w:rPr>
      </w:pPr>
      <w:r>
        <w:rPr>
          <w:rFonts w:hint="default" w:ascii="宋体" w:hAnsi="宋体" w:eastAsia="宋体" w:cs="宋体"/>
          <w:b/>
          <w:bCs/>
          <w:kern w:val="2"/>
          <w:sz w:val="24"/>
          <w:szCs w:val="24"/>
          <w:lang w:val="en-US" w:eastAsia="zh-CN" w:bidi="ar-SA"/>
        </w:rPr>
        <w:t>2.6.3</w:t>
      </w:r>
      <w:r>
        <w:rPr>
          <w:rFonts w:hint="eastAsia"/>
          <w:sz w:val="28"/>
          <w:szCs w:val="28"/>
        </w:rPr>
        <w:t>污染物排放标准</w:t>
      </w:r>
    </w:p>
    <w:p w14:paraId="2CBEC96A">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2.6.3.1</w:t>
      </w:r>
      <w:r>
        <w:rPr>
          <w:rFonts w:hint="eastAsia" w:ascii="Times New Roman" w:hAnsi="Times New Roman"/>
        </w:rPr>
        <w:t>废气污染物排放标准</w:t>
      </w:r>
    </w:p>
    <w:p w14:paraId="7D4D0D82">
      <w:pPr>
        <w:ind w:firstLine="480"/>
      </w:pPr>
      <w:r>
        <w:rPr>
          <w:rFonts w:hint="eastAsia"/>
        </w:rPr>
        <w:t>根据本项目油墨、胶水、稀释剂的MSDS文件，原料中不含苯、甲苯、二甲苯，</w:t>
      </w:r>
      <w:r>
        <w:rPr>
          <w:rFonts w:hint="eastAsia"/>
          <w:u w:val="single"/>
        </w:rPr>
        <w:t>有机废气VOCs有组织</w:t>
      </w:r>
      <w:r>
        <w:rPr>
          <w:rFonts w:hint="eastAsia"/>
          <w:u w:val="single"/>
          <w:lang w:val="en-US" w:eastAsia="zh-CN"/>
        </w:rPr>
        <w:t>排放浓度</w:t>
      </w:r>
      <w:r>
        <w:rPr>
          <w:rFonts w:hint="eastAsia"/>
          <w:u w:val="single"/>
        </w:rPr>
        <w:t>执行湖南省地标《工业企业挥发性有机物排放标准》（</w:t>
      </w:r>
      <w:r>
        <w:rPr>
          <w:rFonts w:hint="eastAsia"/>
          <w:u w:val="single"/>
          <w:lang w:val="en-US" w:eastAsia="zh-CN"/>
        </w:rPr>
        <w:t>DB43/3550-2026</w:t>
      </w:r>
      <w:r>
        <w:rPr>
          <w:rFonts w:hint="eastAsia"/>
          <w:u w:val="single"/>
        </w:rPr>
        <w:t>）表1中印刷业</w:t>
      </w:r>
      <w:r>
        <w:rPr>
          <w:rFonts w:hint="eastAsia"/>
          <w:u w:val="single"/>
          <w:lang w:val="en-US" w:eastAsia="zh-CN"/>
        </w:rPr>
        <w:t>NMHC</w:t>
      </w:r>
      <w:r>
        <w:rPr>
          <w:rFonts w:hint="eastAsia"/>
          <w:u w:val="single"/>
        </w:rPr>
        <w:t>限值，</w:t>
      </w:r>
      <w:r>
        <w:rPr>
          <w:rFonts w:hint="eastAsia"/>
        </w:rPr>
        <w:t>厂区内无组织有机废气</w:t>
      </w:r>
      <w:r>
        <w:rPr>
          <w:rFonts w:hint="eastAsia"/>
          <w:lang w:val="en-US" w:eastAsia="zh-CN"/>
        </w:rPr>
        <w:t>浓度</w:t>
      </w:r>
      <w:r>
        <w:rPr>
          <w:rFonts w:hint="eastAsia"/>
        </w:rPr>
        <w:t>执行该标准表</w:t>
      </w:r>
      <w:r>
        <w:rPr>
          <w:rFonts w:hint="eastAsia"/>
          <w:lang w:val="en-US" w:eastAsia="zh-CN"/>
        </w:rPr>
        <w:t>2</w:t>
      </w:r>
      <w:r>
        <w:rPr>
          <w:rFonts w:hint="eastAsia"/>
        </w:rPr>
        <w:t>限值。厂界有机废气执行《大气污染物综合排放标准》（GB16297-1996）表2限值。</w:t>
      </w:r>
    </w:p>
    <w:p w14:paraId="413B8269">
      <w:pPr>
        <w:ind w:firstLine="480"/>
      </w:pPr>
      <w:r>
        <w:rPr>
          <w:rFonts w:hint="eastAsia"/>
        </w:rPr>
        <w:t>导热油锅炉和热水锅炉天然气燃烧产生的颗粒物、SO</w:t>
      </w:r>
      <w:r>
        <w:rPr>
          <w:rFonts w:hint="eastAsia"/>
          <w:vertAlign w:val="subscript"/>
        </w:rPr>
        <w:t>2</w:t>
      </w:r>
      <w:r>
        <w:rPr>
          <w:rFonts w:hint="eastAsia"/>
        </w:rPr>
        <w:t>、NO</w:t>
      </w:r>
      <w:r>
        <w:rPr>
          <w:rFonts w:hint="eastAsia"/>
          <w:vertAlign w:val="subscript"/>
        </w:rPr>
        <w:t>X</w:t>
      </w:r>
      <w:r>
        <w:rPr>
          <w:rFonts w:hint="eastAsia"/>
        </w:rPr>
        <w:t>合并至DA002排气筒外排，执行《锅炉大气污染物排放标准》（GB13271-2014）表3中特别排放限值燃气锅炉标准；</w:t>
      </w:r>
    </w:p>
    <w:p w14:paraId="099D5205">
      <w:pPr>
        <w:ind w:firstLine="480"/>
      </w:pPr>
      <w:r>
        <w:rPr>
          <w:rFonts w:hint="eastAsia"/>
        </w:rPr>
        <w:t>项目在印刷、干式复合生产过程中会产生恶臭，有组织臭气浓度执行《恶臭污染物排放标准》（GB14554-93）表2标准，无组织臭气浓度执行《恶臭污染物排放标准》（GB14554-93）表1中二级标准；</w:t>
      </w:r>
    </w:p>
    <w:p w14:paraId="0C461DB3">
      <w:pPr>
        <w:ind w:firstLine="480"/>
      </w:pPr>
      <w:r>
        <w:rPr>
          <w:rFonts w:hint="eastAsia"/>
        </w:rPr>
        <w:t>食堂油烟参照《饮食业油烟排放标准（试行）》（GB18483-2001）表2中最高</w:t>
      </w:r>
      <w:r>
        <w:t>允许排放浓度</w:t>
      </w:r>
      <w:r>
        <w:rPr>
          <w:rFonts w:hint="eastAsia"/>
        </w:rPr>
        <w:t>。</w:t>
      </w:r>
    </w:p>
    <w:p w14:paraId="30C8D673">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表2.6-8 </w:t>
      </w:r>
      <w:r>
        <w:rPr>
          <w:rFonts w:hint="eastAsia"/>
          <w:color w:val="FF0000"/>
        </w:rPr>
        <w:t xml:space="preserve"> </w:t>
      </w:r>
      <w:r>
        <w:rPr>
          <w:rFonts w:hint="eastAsia"/>
          <w:color w:val="FF0000"/>
          <w:lang w:val="en-US" w:eastAsia="zh-CN"/>
        </w:rPr>
        <w:t xml:space="preserve">    </w:t>
      </w:r>
      <w:r>
        <w:rPr>
          <w:rFonts w:hint="eastAsia"/>
        </w:rPr>
        <w:t>有组织排放大气污染物排放限值</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0"/>
        <w:gridCol w:w="855"/>
        <w:gridCol w:w="1200"/>
        <w:gridCol w:w="1096"/>
        <w:gridCol w:w="1881"/>
        <w:gridCol w:w="2530"/>
      </w:tblGrid>
      <w:tr w14:paraId="65198D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3" w:type="pct"/>
            <w:vAlign w:val="center"/>
          </w:tcPr>
          <w:p w14:paraId="5BA9F7ED">
            <w:pPr>
              <w:pStyle w:val="19"/>
              <w:spacing w:line="240" w:lineRule="auto"/>
              <w:ind w:firstLine="0"/>
              <w:jc w:val="center"/>
              <w:rPr>
                <w:sz w:val="21"/>
                <w:szCs w:val="21"/>
              </w:rPr>
            </w:pPr>
            <w:r>
              <w:rPr>
                <w:rFonts w:hint="eastAsia"/>
                <w:sz w:val="21"/>
                <w:szCs w:val="21"/>
              </w:rPr>
              <w:t>产物环节</w:t>
            </w:r>
          </w:p>
        </w:tc>
        <w:tc>
          <w:tcPr>
            <w:tcW w:w="501" w:type="pct"/>
            <w:vAlign w:val="center"/>
          </w:tcPr>
          <w:p w14:paraId="3CC9E666">
            <w:pPr>
              <w:pStyle w:val="19"/>
              <w:spacing w:line="240" w:lineRule="auto"/>
              <w:ind w:firstLine="0"/>
              <w:jc w:val="center"/>
              <w:rPr>
                <w:sz w:val="21"/>
                <w:szCs w:val="21"/>
              </w:rPr>
            </w:pPr>
            <w:r>
              <w:rPr>
                <w:rFonts w:hint="eastAsia"/>
                <w:sz w:val="21"/>
                <w:szCs w:val="21"/>
              </w:rPr>
              <w:t>污染物</w:t>
            </w:r>
          </w:p>
        </w:tc>
        <w:tc>
          <w:tcPr>
            <w:tcW w:w="704" w:type="pct"/>
            <w:vAlign w:val="center"/>
          </w:tcPr>
          <w:p w14:paraId="6B73F7EB">
            <w:pPr>
              <w:pStyle w:val="19"/>
              <w:spacing w:line="240" w:lineRule="auto"/>
              <w:ind w:firstLine="0"/>
              <w:jc w:val="center"/>
              <w:rPr>
                <w:sz w:val="21"/>
                <w:szCs w:val="21"/>
              </w:rPr>
            </w:pPr>
            <w:r>
              <w:rPr>
                <w:rFonts w:hint="eastAsia"/>
                <w:sz w:val="21"/>
                <w:szCs w:val="21"/>
              </w:rPr>
              <w:t>排放浓度（mg/m</w:t>
            </w:r>
            <w:r>
              <w:rPr>
                <w:rFonts w:hint="eastAsia"/>
                <w:sz w:val="21"/>
                <w:szCs w:val="21"/>
                <w:vertAlign w:val="superscript"/>
              </w:rPr>
              <w:t>3</w:t>
            </w:r>
            <w:r>
              <w:rPr>
                <w:rFonts w:hint="eastAsia"/>
                <w:sz w:val="21"/>
                <w:szCs w:val="21"/>
              </w:rPr>
              <w:t>）</w:t>
            </w:r>
          </w:p>
        </w:tc>
        <w:tc>
          <w:tcPr>
            <w:tcW w:w="643" w:type="pct"/>
            <w:vAlign w:val="center"/>
          </w:tcPr>
          <w:p w14:paraId="5E160830">
            <w:pPr>
              <w:pStyle w:val="19"/>
              <w:spacing w:line="240" w:lineRule="auto"/>
              <w:ind w:firstLine="0"/>
              <w:jc w:val="center"/>
              <w:rPr>
                <w:sz w:val="21"/>
                <w:szCs w:val="21"/>
              </w:rPr>
            </w:pPr>
            <w:r>
              <w:rPr>
                <w:rFonts w:hint="eastAsia"/>
                <w:sz w:val="21"/>
                <w:szCs w:val="21"/>
              </w:rPr>
              <w:t>排放速率（kg/h）</w:t>
            </w:r>
          </w:p>
        </w:tc>
        <w:tc>
          <w:tcPr>
            <w:tcW w:w="1103" w:type="pct"/>
            <w:vAlign w:val="center"/>
          </w:tcPr>
          <w:p w14:paraId="6ABB6EFD">
            <w:pPr>
              <w:pStyle w:val="19"/>
              <w:spacing w:line="240" w:lineRule="auto"/>
              <w:ind w:firstLine="0"/>
              <w:jc w:val="center"/>
              <w:rPr>
                <w:sz w:val="21"/>
                <w:szCs w:val="21"/>
              </w:rPr>
            </w:pPr>
            <w:r>
              <w:rPr>
                <w:rFonts w:hint="eastAsia"/>
                <w:sz w:val="21"/>
                <w:szCs w:val="21"/>
              </w:rPr>
              <w:t>排气筒高度（m）</w:t>
            </w:r>
          </w:p>
        </w:tc>
        <w:tc>
          <w:tcPr>
            <w:tcW w:w="1484" w:type="pct"/>
            <w:vAlign w:val="center"/>
          </w:tcPr>
          <w:p w14:paraId="384AC0F2">
            <w:pPr>
              <w:pStyle w:val="19"/>
              <w:spacing w:line="240" w:lineRule="auto"/>
              <w:ind w:firstLine="0"/>
              <w:jc w:val="center"/>
              <w:rPr>
                <w:sz w:val="21"/>
                <w:szCs w:val="21"/>
              </w:rPr>
            </w:pPr>
            <w:r>
              <w:rPr>
                <w:rFonts w:hint="eastAsia"/>
                <w:sz w:val="21"/>
                <w:szCs w:val="21"/>
              </w:rPr>
              <w:t>执行标准</w:t>
            </w:r>
          </w:p>
        </w:tc>
      </w:tr>
      <w:tr w14:paraId="48BCF4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3" w:type="pct"/>
            <w:vMerge w:val="restart"/>
            <w:vAlign w:val="center"/>
          </w:tcPr>
          <w:p w14:paraId="417D44B5">
            <w:pPr>
              <w:pStyle w:val="19"/>
              <w:spacing w:line="240" w:lineRule="auto"/>
              <w:ind w:firstLine="0"/>
              <w:jc w:val="center"/>
              <w:rPr>
                <w:sz w:val="21"/>
                <w:szCs w:val="21"/>
              </w:rPr>
            </w:pPr>
            <w:r>
              <w:rPr>
                <w:rFonts w:hint="eastAsia"/>
                <w:sz w:val="21"/>
                <w:szCs w:val="21"/>
              </w:rPr>
              <w:t>导热油</w:t>
            </w:r>
          </w:p>
          <w:p w14:paraId="6FD7136D">
            <w:pPr>
              <w:pStyle w:val="19"/>
              <w:spacing w:line="240" w:lineRule="auto"/>
              <w:ind w:firstLine="0"/>
              <w:jc w:val="center"/>
              <w:rPr>
                <w:sz w:val="21"/>
                <w:szCs w:val="21"/>
              </w:rPr>
            </w:pPr>
            <w:r>
              <w:rPr>
                <w:rFonts w:hint="eastAsia"/>
                <w:sz w:val="21"/>
                <w:szCs w:val="21"/>
              </w:rPr>
              <w:t>锅炉、热水锅炉</w:t>
            </w:r>
          </w:p>
        </w:tc>
        <w:tc>
          <w:tcPr>
            <w:tcW w:w="501" w:type="pct"/>
            <w:vAlign w:val="center"/>
          </w:tcPr>
          <w:p w14:paraId="4CB068F6">
            <w:pPr>
              <w:pStyle w:val="19"/>
              <w:spacing w:line="240" w:lineRule="auto"/>
              <w:ind w:firstLine="0"/>
              <w:jc w:val="center"/>
              <w:rPr>
                <w:sz w:val="21"/>
                <w:szCs w:val="21"/>
              </w:rPr>
            </w:pPr>
            <w:r>
              <w:rPr>
                <w:rFonts w:hint="eastAsia"/>
                <w:sz w:val="21"/>
                <w:szCs w:val="21"/>
              </w:rPr>
              <w:t>颗粒物</w:t>
            </w:r>
          </w:p>
        </w:tc>
        <w:tc>
          <w:tcPr>
            <w:tcW w:w="704" w:type="pct"/>
            <w:vAlign w:val="center"/>
          </w:tcPr>
          <w:p w14:paraId="34C0EDCA">
            <w:pPr>
              <w:pStyle w:val="19"/>
              <w:spacing w:line="240" w:lineRule="auto"/>
              <w:ind w:firstLine="0"/>
              <w:jc w:val="center"/>
              <w:rPr>
                <w:sz w:val="21"/>
                <w:szCs w:val="21"/>
              </w:rPr>
            </w:pPr>
            <w:r>
              <w:rPr>
                <w:rFonts w:hint="eastAsia"/>
                <w:sz w:val="21"/>
                <w:szCs w:val="21"/>
              </w:rPr>
              <w:t>20</w:t>
            </w:r>
          </w:p>
        </w:tc>
        <w:tc>
          <w:tcPr>
            <w:tcW w:w="643" w:type="pct"/>
            <w:vAlign w:val="center"/>
          </w:tcPr>
          <w:p w14:paraId="06BDB76E">
            <w:pPr>
              <w:pStyle w:val="19"/>
              <w:spacing w:line="240" w:lineRule="auto"/>
              <w:ind w:firstLine="0"/>
              <w:jc w:val="center"/>
              <w:rPr>
                <w:sz w:val="21"/>
                <w:szCs w:val="21"/>
              </w:rPr>
            </w:pPr>
            <w:r>
              <w:rPr>
                <w:rFonts w:hint="eastAsia"/>
                <w:sz w:val="21"/>
                <w:szCs w:val="21"/>
              </w:rPr>
              <w:t>/</w:t>
            </w:r>
          </w:p>
        </w:tc>
        <w:tc>
          <w:tcPr>
            <w:tcW w:w="1103" w:type="pct"/>
            <w:vMerge w:val="restart"/>
            <w:vAlign w:val="center"/>
          </w:tcPr>
          <w:p w14:paraId="1C52B067">
            <w:pPr>
              <w:pStyle w:val="19"/>
              <w:spacing w:line="240" w:lineRule="auto"/>
              <w:ind w:firstLine="0"/>
              <w:jc w:val="center"/>
              <w:rPr>
                <w:sz w:val="21"/>
                <w:szCs w:val="21"/>
              </w:rPr>
            </w:pPr>
            <w:r>
              <w:rPr>
                <w:rFonts w:hint="eastAsia"/>
                <w:sz w:val="21"/>
                <w:szCs w:val="21"/>
              </w:rPr>
              <w:t>新建锅炉房的烟囱周围半径200m距离内有建筑物时，其烟囱应高出最高建筑物3m以上</w:t>
            </w:r>
          </w:p>
        </w:tc>
        <w:tc>
          <w:tcPr>
            <w:tcW w:w="1484" w:type="pct"/>
            <w:vMerge w:val="restart"/>
            <w:vAlign w:val="center"/>
          </w:tcPr>
          <w:p w14:paraId="2D63388D">
            <w:pPr>
              <w:pStyle w:val="19"/>
              <w:spacing w:line="240" w:lineRule="auto"/>
              <w:ind w:firstLine="0"/>
              <w:jc w:val="left"/>
              <w:rPr>
                <w:sz w:val="21"/>
                <w:szCs w:val="21"/>
              </w:rPr>
            </w:pPr>
            <w:r>
              <w:rPr>
                <w:rFonts w:hint="eastAsia"/>
                <w:sz w:val="21"/>
                <w:szCs w:val="21"/>
              </w:rPr>
              <w:t>《锅炉大气污染物排放标准》（GB13271-2014）表3中特别排放限值燃气锅炉标准</w:t>
            </w:r>
          </w:p>
        </w:tc>
      </w:tr>
      <w:tr w14:paraId="16B968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563" w:type="pct"/>
            <w:vMerge w:val="continue"/>
            <w:vAlign w:val="center"/>
          </w:tcPr>
          <w:p w14:paraId="0B66B928">
            <w:pPr>
              <w:pStyle w:val="19"/>
              <w:spacing w:line="240" w:lineRule="auto"/>
              <w:ind w:firstLine="0"/>
              <w:jc w:val="center"/>
              <w:rPr>
                <w:sz w:val="21"/>
                <w:szCs w:val="21"/>
              </w:rPr>
            </w:pPr>
          </w:p>
        </w:tc>
        <w:tc>
          <w:tcPr>
            <w:tcW w:w="501" w:type="pct"/>
            <w:vAlign w:val="center"/>
          </w:tcPr>
          <w:p w14:paraId="5CE41F5F">
            <w:pPr>
              <w:pStyle w:val="19"/>
              <w:spacing w:line="240" w:lineRule="auto"/>
              <w:ind w:firstLine="0"/>
              <w:jc w:val="center"/>
              <w:rPr>
                <w:sz w:val="21"/>
                <w:szCs w:val="21"/>
              </w:rPr>
            </w:pPr>
            <w:r>
              <w:rPr>
                <w:rFonts w:hint="eastAsia"/>
                <w:sz w:val="21"/>
                <w:szCs w:val="21"/>
              </w:rPr>
              <w:t>SO</w:t>
            </w:r>
            <w:r>
              <w:rPr>
                <w:rFonts w:hint="eastAsia"/>
                <w:sz w:val="21"/>
                <w:szCs w:val="21"/>
                <w:vertAlign w:val="subscript"/>
              </w:rPr>
              <w:t>2</w:t>
            </w:r>
          </w:p>
        </w:tc>
        <w:tc>
          <w:tcPr>
            <w:tcW w:w="704" w:type="pct"/>
            <w:vAlign w:val="center"/>
          </w:tcPr>
          <w:p w14:paraId="4631B5F3">
            <w:pPr>
              <w:pStyle w:val="19"/>
              <w:spacing w:line="240" w:lineRule="auto"/>
              <w:ind w:firstLine="0"/>
              <w:jc w:val="center"/>
              <w:rPr>
                <w:sz w:val="21"/>
                <w:szCs w:val="21"/>
              </w:rPr>
            </w:pPr>
            <w:r>
              <w:rPr>
                <w:rFonts w:hint="eastAsia"/>
                <w:sz w:val="21"/>
                <w:szCs w:val="21"/>
              </w:rPr>
              <w:t>50</w:t>
            </w:r>
          </w:p>
        </w:tc>
        <w:tc>
          <w:tcPr>
            <w:tcW w:w="643" w:type="pct"/>
            <w:vAlign w:val="center"/>
          </w:tcPr>
          <w:p w14:paraId="5A3BBA2D">
            <w:pPr>
              <w:pStyle w:val="19"/>
              <w:spacing w:line="240" w:lineRule="auto"/>
              <w:ind w:firstLine="0"/>
              <w:jc w:val="center"/>
              <w:rPr>
                <w:sz w:val="21"/>
                <w:szCs w:val="21"/>
              </w:rPr>
            </w:pPr>
            <w:r>
              <w:rPr>
                <w:rFonts w:hint="eastAsia"/>
                <w:sz w:val="21"/>
                <w:szCs w:val="21"/>
              </w:rPr>
              <w:t>/</w:t>
            </w:r>
          </w:p>
        </w:tc>
        <w:tc>
          <w:tcPr>
            <w:tcW w:w="1103" w:type="pct"/>
            <w:vMerge w:val="continue"/>
            <w:vAlign w:val="center"/>
          </w:tcPr>
          <w:p w14:paraId="361BD416">
            <w:pPr>
              <w:pStyle w:val="19"/>
              <w:spacing w:line="240" w:lineRule="auto"/>
              <w:ind w:firstLine="0"/>
              <w:jc w:val="center"/>
              <w:rPr>
                <w:sz w:val="21"/>
                <w:szCs w:val="21"/>
              </w:rPr>
            </w:pPr>
          </w:p>
        </w:tc>
        <w:tc>
          <w:tcPr>
            <w:tcW w:w="1484" w:type="pct"/>
            <w:vMerge w:val="continue"/>
          </w:tcPr>
          <w:p w14:paraId="7DCE9024">
            <w:pPr>
              <w:pStyle w:val="19"/>
              <w:spacing w:line="240" w:lineRule="auto"/>
              <w:ind w:firstLine="0"/>
              <w:jc w:val="center"/>
              <w:rPr>
                <w:sz w:val="21"/>
                <w:szCs w:val="21"/>
              </w:rPr>
            </w:pPr>
          </w:p>
        </w:tc>
      </w:tr>
      <w:tr w14:paraId="0DBE8F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3" w:type="pct"/>
            <w:vMerge w:val="continue"/>
            <w:vAlign w:val="center"/>
          </w:tcPr>
          <w:p w14:paraId="4D6B1623">
            <w:pPr>
              <w:pStyle w:val="19"/>
              <w:spacing w:line="240" w:lineRule="auto"/>
              <w:ind w:firstLine="0"/>
              <w:jc w:val="center"/>
              <w:rPr>
                <w:sz w:val="21"/>
                <w:szCs w:val="21"/>
              </w:rPr>
            </w:pPr>
          </w:p>
        </w:tc>
        <w:tc>
          <w:tcPr>
            <w:tcW w:w="501" w:type="pct"/>
            <w:vAlign w:val="center"/>
          </w:tcPr>
          <w:p w14:paraId="0E53C349">
            <w:pPr>
              <w:pStyle w:val="19"/>
              <w:spacing w:line="240" w:lineRule="auto"/>
              <w:ind w:firstLine="0"/>
              <w:jc w:val="center"/>
              <w:rPr>
                <w:sz w:val="21"/>
                <w:szCs w:val="21"/>
              </w:rPr>
            </w:pPr>
            <w:r>
              <w:rPr>
                <w:rFonts w:hint="eastAsia"/>
                <w:sz w:val="21"/>
                <w:szCs w:val="21"/>
              </w:rPr>
              <w:t>NOx</w:t>
            </w:r>
          </w:p>
        </w:tc>
        <w:tc>
          <w:tcPr>
            <w:tcW w:w="704" w:type="pct"/>
            <w:vAlign w:val="center"/>
          </w:tcPr>
          <w:p w14:paraId="21A02146">
            <w:pPr>
              <w:pStyle w:val="19"/>
              <w:spacing w:line="240" w:lineRule="auto"/>
              <w:ind w:firstLine="0"/>
              <w:jc w:val="center"/>
              <w:rPr>
                <w:sz w:val="21"/>
                <w:szCs w:val="21"/>
              </w:rPr>
            </w:pPr>
            <w:r>
              <w:rPr>
                <w:rFonts w:hint="eastAsia"/>
                <w:sz w:val="21"/>
                <w:szCs w:val="21"/>
              </w:rPr>
              <w:t>150</w:t>
            </w:r>
          </w:p>
        </w:tc>
        <w:tc>
          <w:tcPr>
            <w:tcW w:w="643" w:type="pct"/>
            <w:vAlign w:val="center"/>
          </w:tcPr>
          <w:p w14:paraId="7D245DBA">
            <w:pPr>
              <w:pStyle w:val="19"/>
              <w:spacing w:line="240" w:lineRule="auto"/>
              <w:ind w:firstLine="0"/>
              <w:jc w:val="center"/>
              <w:rPr>
                <w:sz w:val="21"/>
                <w:szCs w:val="21"/>
              </w:rPr>
            </w:pPr>
            <w:r>
              <w:rPr>
                <w:rFonts w:hint="eastAsia"/>
                <w:sz w:val="21"/>
                <w:szCs w:val="21"/>
              </w:rPr>
              <w:t>/</w:t>
            </w:r>
          </w:p>
        </w:tc>
        <w:tc>
          <w:tcPr>
            <w:tcW w:w="1103" w:type="pct"/>
            <w:vMerge w:val="continue"/>
            <w:vAlign w:val="center"/>
          </w:tcPr>
          <w:p w14:paraId="41F2BB8F">
            <w:pPr>
              <w:pStyle w:val="19"/>
              <w:spacing w:line="240" w:lineRule="auto"/>
              <w:ind w:firstLine="0"/>
              <w:jc w:val="center"/>
              <w:rPr>
                <w:sz w:val="21"/>
                <w:szCs w:val="21"/>
              </w:rPr>
            </w:pPr>
          </w:p>
        </w:tc>
        <w:tc>
          <w:tcPr>
            <w:tcW w:w="1484" w:type="pct"/>
            <w:vMerge w:val="continue"/>
          </w:tcPr>
          <w:p w14:paraId="2D60A7D0">
            <w:pPr>
              <w:pStyle w:val="19"/>
              <w:spacing w:line="240" w:lineRule="auto"/>
              <w:ind w:firstLine="0"/>
              <w:jc w:val="center"/>
              <w:rPr>
                <w:sz w:val="21"/>
                <w:szCs w:val="21"/>
              </w:rPr>
            </w:pPr>
          </w:p>
        </w:tc>
      </w:tr>
      <w:tr w14:paraId="63075D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3" w:type="pct"/>
            <w:tcBorders>
              <w:top w:val="single" w:color="000000" w:sz="8" w:space="0"/>
            </w:tcBorders>
            <w:vAlign w:val="center"/>
          </w:tcPr>
          <w:p w14:paraId="492A732C">
            <w:pPr>
              <w:spacing w:line="340" w:lineRule="exact"/>
            </w:pPr>
            <w:r>
              <w:rPr>
                <w:rFonts w:hint="eastAsia"/>
                <w:sz w:val="21"/>
                <w:szCs w:val="21"/>
              </w:rPr>
              <w:t>印刷、复合、调墨、调胶等</w:t>
            </w:r>
          </w:p>
        </w:tc>
        <w:tc>
          <w:tcPr>
            <w:tcW w:w="501" w:type="pct"/>
            <w:tcBorders>
              <w:top w:val="single" w:color="000000" w:sz="8" w:space="0"/>
            </w:tcBorders>
            <w:vAlign w:val="center"/>
          </w:tcPr>
          <w:p w14:paraId="7109815C">
            <w:pPr>
              <w:pStyle w:val="19"/>
              <w:spacing w:line="240" w:lineRule="auto"/>
              <w:ind w:firstLine="0"/>
              <w:jc w:val="center"/>
              <w:rPr>
                <w:sz w:val="21"/>
                <w:szCs w:val="21"/>
              </w:rPr>
            </w:pPr>
            <w:r>
              <w:rPr>
                <w:rFonts w:hint="eastAsia"/>
                <w:sz w:val="21"/>
                <w:szCs w:val="21"/>
              </w:rPr>
              <w:t>TVOC</w:t>
            </w:r>
          </w:p>
        </w:tc>
        <w:tc>
          <w:tcPr>
            <w:tcW w:w="704" w:type="pct"/>
            <w:vAlign w:val="center"/>
          </w:tcPr>
          <w:p w14:paraId="5E64AAE3">
            <w:pPr>
              <w:pStyle w:val="19"/>
              <w:spacing w:line="240" w:lineRule="auto"/>
              <w:ind w:firstLine="0"/>
              <w:jc w:val="center"/>
              <w:rPr>
                <w:rFonts w:hint="default" w:eastAsia="宋体"/>
                <w:sz w:val="21"/>
                <w:szCs w:val="21"/>
                <w:lang w:val="en-US" w:eastAsia="zh-CN"/>
              </w:rPr>
            </w:pPr>
            <w:r>
              <w:rPr>
                <w:rFonts w:hint="eastAsia"/>
                <w:sz w:val="21"/>
                <w:szCs w:val="21"/>
                <w:lang w:val="en-US" w:eastAsia="zh-CN"/>
              </w:rPr>
              <w:t>40</w:t>
            </w:r>
          </w:p>
        </w:tc>
        <w:tc>
          <w:tcPr>
            <w:tcW w:w="643" w:type="pct"/>
            <w:tcBorders>
              <w:bottom w:val="single" w:color="auto" w:sz="4" w:space="0"/>
            </w:tcBorders>
            <w:vAlign w:val="center"/>
          </w:tcPr>
          <w:p w14:paraId="3F5169C7">
            <w:pPr>
              <w:pStyle w:val="19"/>
              <w:spacing w:line="240" w:lineRule="auto"/>
              <w:ind w:firstLine="0"/>
              <w:jc w:val="center"/>
              <w:rPr>
                <w:sz w:val="21"/>
                <w:szCs w:val="21"/>
              </w:rPr>
            </w:pPr>
            <w:r>
              <w:rPr>
                <w:rFonts w:hint="eastAsia"/>
                <w:sz w:val="21"/>
                <w:szCs w:val="21"/>
              </w:rPr>
              <w:t>/</w:t>
            </w:r>
          </w:p>
        </w:tc>
        <w:tc>
          <w:tcPr>
            <w:tcW w:w="1103" w:type="pct"/>
            <w:tcBorders>
              <w:bottom w:val="single" w:color="auto" w:sz="4" w:space="0"/>
            </w:tcBorders>
            <w:vAlign w:val="center"/>
          </w:tcPr>
          <w:p w14:paraId="2FE88FD0">
            <w:pPr>
              <w:pStyle w:val="19"/>
              <w:spacing w:line="240" w:lineRule="auto"/>
              <w:ind w:firstLine="0"/>
              <w:jc w:val="center"/>
              <w:rPr>
                <w:sz w:val="21"/>
                <w:szCs w:val="21"/>
              </w:rPr>
            </w:pPr>
            <w:r>
              <w:rPr>
                <w:sz w:val="21"/>
                <w:szCs w:val="21"/>
              </w:rPr>
              <w:t>≥</w:t>
            </w:r>
            <w:r>
              <w:rPr>
                <w:rFonts w:hint="eastAsia"/>
                <w:sz w:val="21"/>
                <w:szCs w:val="21"/>
              </w:rPr>
              <w:t>15m</w:t>
            </w:r>
          </w:p>
        </w:tc>
        <w:tc>
          <w:tcPr>
            <w:tcW w:w="1484" w:type="pct"/>
            <w:tcBorders>
              <w:top w:val="single" w:color="000000" w:sz="8" w:space="0"/>
            </w:tcBorders>
            <w:vAlign w:val="center"/>
          </w:tcPr>
          <w:p w14:paraId="28B07040">
            <w:pPr>
              <w:spacing w:line="340" w:lineRule="exact"/>
              <w:rPr>
                <w:rFonts w:hint="default" w:eastAsia="宋体"/>
                <w:sz w:val="21"/>
                <w:szCs w:val="21"/>
                <w:lang w:val="en-US" w:eastAsia="zh-CN"/>
              </w:rPr>
            </w:pPr>
            <w:r>
              <w:rPr>
                <w:rFonts w:hint="eastAsia"/>
                <w:sz w:val="21"/>
                <w:szCs w:val="21"/>
              </w:rPr>
              <w:t>湖南省地标《工业企业挥发性有机物排放标准》（</w:t>
            </w:r>
            <w:r>
              <w:rPr>
                <w:rFonts w:hint="eastAsia"/>
                <w:sz w:val="21"/>
                <w:szCs w:val="21"/>
                <w:lang w:val="en-US" w:eastAsia="zh-CN"/>
              </w:rPr>
              <w:t>DB43/3550-2026</w:t>
            </w:r>
            <w:r>
              <w:rPr>
                <w:rFonts w:hint="eastAsia"/>
                <w:sz w:val="21"/>
                <w:szCs w:val="21"/>
              </w:rPr>
              <w:t>）表1</w:t>
            </w:r>
            <w:r>
              <w:rPr>
                <w:rFonts w:hint="eastAsia"/>
                <w:sz w:val="21"/>
                <w:szCs w:val="21"/>
                <w:lang w:val="en-US" w:eastAsia="zh-CN"/>
              </w:rPr>
              <w:t>中印刷业NMHC限值</w:t>
            </w:r>
          </w:p>
        </w:tc>
      </w:tr>
      <w:tr w14:paraId="17F449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5" w:hRule="atLeast"/>
          <w:jc w:val="center"/>
        </w:trPr>
        <w:tc>
          <w:tcPr>
            <w:tcW w:w="563" w:type="pct"/>
            <w:tcBorders>
              <w:top w:val="single" w:color="auto" w:sz="4" w:space="0"/>
            </w:tcBorders>
            <w:vAlign w:val="center"/>
          </w:tcPr>
          <w:p w14:paraId="5ACEA92A">
            <w:pPr>
              <w:spacing w:line="340" w:lineRule="exact"/>
              <w:rPr>
                <w:sz w:val="21"/>
                <w:szCs w:val="21"/>
              </w:rPr>
            </w:pPr>
            <w:r>
              <w:rPr>
                <w:rFonts w:hint="eastAsia"/>
                <w:sz w:val="21"/>
                <w:szCs w:val="21"/>
              </w:rPr>
              <w:t>印刷、复合</w:t>
            </w:r>
          </w:p>
        </w:tc>
        <w:tc>
          <w:tcPr>
            <w:tcW w:w="501" w:type="pct"/>
            <w:tcBorders>
              <w:top w:val="single" w:color="auto" w:sz="4" w:space="0"/>
            </w:tcBorders>
            <w:vAlign w:val="center"/>
          </w:tcPr>
          <w:p w14:paraId="1CE54BF4">
            <w:pPr>
              <w:pStyle w:val="19"/>
              <w:spacing w:line="240" w:lineRule="auto"/>
              <w:ind w:firstLine="0"/>
              <w:jc w:val="center"/>
              <w:rPr>
                <w:sz w:val="21"/>
                <w:szCs w:val="21"/>
              </w:rPr>
            </w:pPr>
            <w:r>
              <w:rPr>
                <w:rFonts w:hint="eastAsia"/>
                <w:sz w:val="21"/>
                <w:szCs w:val="21"/>
              </w:rPr>
              <w:t>臭气</w:t>
            </w:r>
          </w:p>
          <w:p w14:paraId="2F7BC641">
            <w:pPr>
              <w:pStyle w:val="19"/>
              <w:spacing w:line="240" w:lineRule="auto"/>
              <w:ind w:firstLine="0"/>
              <w:jc w:val="center"/>
              <w:rPr>
                <w:sz w:val="21"/>
                <w:szCs w:val="21"/>
              </w:rPr>
            </w:pPr>
            <w:r>
              <w:rPr>
                <w:rFonts w:hint="eastAsia"/>
                <w:sz w:val="21"/>
                <w:szCs w:val="21"/>
              </w:rPr>
              <w:t>浓度</w:t>
            </w:r>
          </w:p>
        </w:tc>
        <w:tc>
          <w:tcPr>
            <w:tcW w:w="704" w:type="pct"/>
            <w:vAlign w:val="center"/>
          </w:tcPr>
          <w:p w14:paraId="59A9CA1C">
            <w:pPr>
              <w:pStyle w:val="19"/>
              <w:spacing w:line="240" w:lineRule="auto"/>
              <w:ind w:firstLine="0"/>
              <w:jc w:val="center"/>
              <w:rPr>
                <w:sz w:val="21"/>
                <w:szCs w:val="21"/>
              </w:rPr>
            </w:pPr>
            <w:r>
              <w:rPr>
                <w:rFonts w:hint="eastAsia"/>
                <w:sz w:val="21"/>
                <w:szCs w:val="21"/>
              </w:rPr>
              <w:t>2000（无量纲）</w:t>
            </w:r>
          </w:p>
        </w:tc>
        <w:tc>
          <w:tcPr>
            <w:tcW w:w="643" w:type="pct"/>
            <w:tcBorders>
              <w:top w:val="single" w:color="auto" w:sz="4" w:space="0"/>
            </w:tcBorders>
            <w:vAlign w:val="center"/>
          </w:tcPr>
          <w:p w14:paraId="7637F6A0">
            <w:pPr>
              <w:pStyle w:val="19"/>
              <w:spacing w:line="240" w:lineRule="auto"/>
              <w:ind w:firstLine="0"/>
              <w:jc w:val="center"/>
              <w:rPr>
                <w:sz w:val="21"/>
                <w:szCs w:val="21"/>
              </w:rPr>
            </w:pPr>
            <w:r>
              <w:rPr>
                <w:rFonts w:hint="eastAsia"/>
                <w:sz w:val="21"/>
                <w:szCs w:val="21"/>
              </w:rPr>
              <w:t>/</w:t>
            </w:r>
          </w:p>
        </w:tc>
        <w:tc>
          <w:tcPr>
            <w:tcW w:w="1103" w:type="pct"/>
            <w:tcBorders>
              <w:top w:val="single" w:color="auto" w:sz="4" w:space="0"/>
            </w:tcBorders>
            <w:vAlign w:val="center"/>
          </w:tcPr>
          <w:p w14:paraId="07118654">
            <w:pPr>
              <w:pStyle w:val="19"/>
              <w:spacing w:line="240" w:lineRule="auto"/>
              <w:ind w:firstLine="0"/>
              <w:jc w:val="center"/>
              <w:rPr>
                <w:sz w:val="21"/>
                <w:szCs w:val="21"/>
              </w:rPr>
            </w:pPr>
            <w:r>
              <w:rPr>
                <w:rFonts w:hint="eastAsia"/>
                <w:sz w:val="21"/>
                <w:szCs w:val="21"/>
              </w:rPr>
              <w:t>15m</w:t>
            </w:r>
          </w:p>
        </w:tc>
        <w:tc>
          <w:tcPr>
            <w:tcW w:w="1484" w:type="pct"/>
            <w:tcBorders>
              <w:top w:val="single" w:color="auto" w:sz="4" w:space="0"/>
            </w:tcBorders>
          </w:tcPr>
          <w:p w14:paraId="6D9C5F43">
            <w:pPr>
              <w:spacing w:line="340" w:lineRule="exact"/>
              <w:rPr>
                <w:sz w:val="21"/>
                <w:szCs w:val="21"/>
              </w:rPr>
            </w:pPr>
            <w:r>
              <w:rPr>
                <w:rFonts w:hint="eastAsia"/>
                <w:sz w:val="21"/>
                <w:szCs w:val="21"/>
              </w:rPr>
              <w:t>《恶臭污染物排放标准》（GB14554-93）表2</w:t>
            </w:r>
          </w:p>
        </w:tc>
      </w:tr>
    </w:tbl>
    <w:p w14:paraId="722EF5B6">
      <w:pPr>
        <w:pStyle w:val="51"/>
        <w:numPr>
          <w:ilvl w:val="5"/>
          <w:numId w:val="0"/>
        </w:numPr>
        <w:spacing w:before="156"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表2.6-9 </w:t>
      </w:r>
      <w:r>
        <w:rPr>
          <w:rFonts w:hint="eastAsia"/>
          <w:color w:val="FF0000"/>
        </w:rPr>
        <w:t xml:space="preserve"> </w:t>
      </w:r>
      <w:r>
        <w:rPr>
          <w:rFonts w:hint="eastAsia"/>
        </w:rPr>
        <w:t>无组织排放大气污染物排放限值      单位：浓度mg/m</w:t>
      </w:r>
      <w:r>
        <w:rPr>
          <w:rFonts w:hint="eastAsia"/>
          <w:vertAlign w:val="superscript"/>
        </w:rPr>
        <w:t>3</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Layout w:type="fixed"/>
        <w:tblCellMar>
          <w:top w:w="0" w:type="dxa"/>
          <w:left w:w="108" w:type="dxa"/>
          <w:bottom w:w="0" w:type="dxa"/>
          <w:right w:w="108" w:type="dxa"/>
        </w:tblCellMar>
      </w:tblPr>
      <w:tblGrid>
        <w:gridCol w:w="666"/>
        <w:gridCol w:w="649"/>
        <w:gridCol w:w="1203"/>
        <w:gridCol w:w="1398"/>
        <w:gridCol w:w="2429"/>
        <w:gridCol w:w="2177"/>
      </w:tblGrid>
      <w:tr w14:paraId="37678C8E">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40" w:hRule="atLeast"/>
          <w:jc w:val="center"/>
        </w:trPr>
        <w:tc>
          <w:tcPr>
            <w:tcW w:w="390" w:type="pct"/>
            <w:vMerge w:val="restart"/>
            <w:tcBorders>
              <w:tl2br w:val="nil"/>
              <w:tr2bl w:val="nil"/>
            </w:tcBorders>
            <w:vAlign w:val="center"/>
          </w:tcPr>
          <w:p w14:paraId="65AB1FF0">
            <w:pPr>
              <w:pStyle w:val="19"/>
              <w:spacing w:line="240" w:lineRule="auto"/>
              <w:ind w:firstLine="0"/>
              <w:jc w:val="center"/>
              <w:rPr>
                <w:sz w:val="21"/>
                <w:szCs w:val="21"/>
              </w:rPr>
            </w:pPr>
            <w:r>
              <w:rPr>
                <w:rFonts w:hint="eastAsia"/>
                <w:sz w:val="21"/>
                <w:szCs w:val="21"/>
              </w:rPr>
              <w:t>产污</w:t>
            </w:r>
          </w:p>
          <w:p w14:paraId="065D25D8">
            <w:pPr>
              <w:pStyle w:val="19"/>
              <w:spacing w:line="240" w:lineRule="auto"/>
              <w:ind w:firstLine="0"/>
              <w:jc w:val="center"/>
              <w:rPr>
                <w:sz w:val="21"/>
                <w:szCs w:val="21"/>
              </w:rPr>
            </w:pPr>
            <w:r>
              <w:rPr>
                <w:rFonts w:hint="eastAsia"/>
                <w:sz w:val="21"/>
                <w:szCs w:val="21"/>
              </w:rPr>
              <w:t>环节</w:t>
            </w:r>
          </w:p>
        </w:tc>
        <w:tc>
          <w:tcPr>
            <w:tcW w:w="380" w:type="pct"/>
            <w:vMerge w:val="restart"/>
            <w:tcBorders>
              <w:tl2br w:val="nil"/>
              <w:tr2bl w:val="nil"/>
            </w:tcBorders>
            <w:vAlign w:val="center"/>
          </w:tcPr>
          <w:p w14:paraId="29CB21DB">
            <w:pPr>
              <w:pStyle w:val="19"/>
              <w:spacing w:line="240" w:lineRule="auto"/>
              <w:ind w:firstLine="0"/>
              <w:jc w:val="center"/>
              <w:rPr>
                <w:sz w:val="21"/>
                <w:szCs w:val="21"/>
              </w:rPr>
            </w:pPr>
            <w:r>
              <w:rPr>
                <w:rFonts w:hint="eastAsia"/>
                <w:sz w:val="21"/>
                <w:szCs w:val="21"/>
              </w:rPr>
              <w:t>污染物</w:t>
            </w:r>
          </w:p>
        </w:tc>
        <w:tc>
          <w:tcPr>
            <w:tcW w:w="1526" w:type="pct"/>
            <w:gridSpan w:val="2"/>
            <w:tcBorders>
              <w:tl2br w:val="nil"/>
              <w:tr2bl w:val="nil"/>
            </w:tcBorders>
            <w:vAlign w:val="center"/>
          </w:tcPr>
          <w:p w14:paraId="6D296D4C">
            <w:pPr>
              <w:pStyle w:val="19"/>
              <w:spacing w:line="240" w:lineRule="auto"/>
              <w:ind w:firstLine="0"/>
              <w:jc w:val="center"/>
              <w:rPr>
                <w:sz w:val="21"/>
                <w:szCs w:val="21"/>
              </w:rPr>
            </w:pPr>
            <w:r>
              <w:rPr>
                <w:rFonts w:hint="eastAsia"/>
                <w:sz w:val="21"/>
                <w:szCs w:val="21"/>
              </w:rPr>
              <w:t>无组织排放监控浓度限值</w:t>
            </w:r>
          </w:p>
        </w:tc>
        <w:tc>
          <w:tcPr>
            <w:tcW w:w="1425" w:type="pct"/>
            <w:vMerge w:val="restart"/>
            <w:tcBorders>
              <w:tl2br w:val="nil"/>
              <w:tr2bl w:val="nil"/>
            </w:tcBorders>
            <w:vAlign w:val="center"/>
          </w:tcPr>
          <w:p w14:paraId="28C2B2EB">
            <w:pPr>
              <w:pStyle w:val="19"/>
              <w:spacing w:line="240" w:lineRule="auto"/>
              <w:ind w:firstLine="0"/>
              <w:jc w:val="center"/>
              <w:rPr>
                <w:sz w:val="21"/>
                <w:szCs w:val="21"/>
              </w:rPr>
            </w:pPr>
            <w:r>
              <w:rPr>
                <w:rFonts w:hint="eastAsia"/>
                <w:sz w:val="21"/>
                <w:szCs w:val="21"/>
              </w:rPr>
              <w:t>无组织排放监控位置</w:t>
            </w:r>
          </w:p>
        </w:tc>
        <w:tc>
          <w:tcPr>
            <w:tcW w:w="1277" w:type="pct"/>
            <w:vMerge w:val="restart"/>
            <w:tcBorders>
              <w:tl2br w:val="nil"/>
              <w:tr2bl w:val="nil"/>
            </w:tcBorders>
            <w:vAlign w:val="center"/>
          </w:tcPr>
          <w:p w14:paraId="0A69FC2E">
            <w:pPr>
              <w:pStyle w:val="19"/>
              <w:spacing w:line="240" w:lineRule="auto"/>
              <w:ind w:firstLine="0"/>
              <w:jc w:val="center"/>
              <w:rPr>
                <w:sz w:val="21"/>
                <w:szCs w:val="21"/>
              </w:rPr>
            </w:pPr>
            <w:r>
              <w:rPr>
                <w:rFonts w:hint="eastAsia"/>
                <w:sz w:val="21"/>
                <w:szCs w:val="21"/>
              </w:rPr>
              <w:t>执行标准</w:t>
            </w:r>
          </w:p>
        </w:tc>
      </w:tr>
      <w:tr w14:paraId="4B499BDE">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40" w:hRule="atLeast"/>
          <w:jc w:val="center"/>
        </w:trPr>
        <w:tc>
          <w:tcPr>
            <w:tcW w:w="390" w:type="pct"/>
            <w:vMerge w:val="continue"/>
            <w:tcBorders>
              <w:tl2br w:val="nil"/>
              <w:tr2bl w:val="nil"/>
            </w:tcBorders>
            <w:vAlign w:val="center"/>
          </w:tcPr>
          <w:p w14:paraId="20D90857">
            <w:pPr>
              <w:pStyle w:val="19"/>
              <w:spacing w:line="240" w:lineRule="auto"/>
              <w:ind w:firstLine="0"/>
              <w:jc w:val="center"/>
              <w:rPr>
                <w:sz w:val="21"/>
                <w:szCs w:val="21"/>
              </w:rPr>
            </w:pPr>
          </w:p>
        </w:tc>
        <w:tc>
          <w:tcPr>
            <w:tcW w:w="380" w:type="pct"/>
            <w:vMerge w:val="continue"/>
            <w:tcBorders>
              <w:tl2br w:val="nil"/>
              <w:tr2bl w:val="nil"/>
            </w:tcBorders>
            <w:vAlign w:val="center"/>
          </w:tcPr>
          <w:p w14:paraId="4F03B417">
            <w:pPr>
              <w:pStyle w:val="19"/>
              <w:spacing w:line="240" w:lineRule="auto"/>
              <w:ind w:firstLine="0"/>
              <w:jc w:val="center"/>
              <w:rPr>
                <w:sz w:val="21"/>
                <w:szCs w:val="21"/>
              </w:rPr>
            </w:pPr>
          </w:p>
        </w:tc>
        <w:tc>
          <w:tcPr>
            <w:tcW w:w="705" w:type="pct"/>
            <w:tcBorders>
              <w:tl2br w:val="nil"/>
              <w:tr2bl w:val="nil"/>
            </w:tcBorders>
            <w:vAlign w:val="center"/>
          </w:tcPr>
          <w:p w14:paraId="20286EF2">
            <w:pPr>
              <w:pStyle w:val="19"/>
              <w:spacing w:line="240" w:lineRule="auto"/>
              <w:ind w:firstLine="0"/>
              <w:jc w:val="center"/>
              <w:rPr>
                <w:sz w:val="21"/>
                <w:szCs w:val="21"/>
              </w:rPr>
            </w:pPr>
            <w:r>
              <w:rPr>
                <w:rFonts w:hint="eastAsia"/>
                <w:sz w:val="21"/>
                <w:szCs w:val="21"/>
              </w:rPr>
              <w:t>监控点</w:t>
            </w:r>
          </w:p>
        </w:tc>
        <w:tc>
          <w:tcPr>
            <w:tcW w:w="820" w:type="pct"/>
            <w:tcBorders>
              <w:tl2br w:val="nil"/>
              <w:tr2bl w:val="nil"/>
            </w:tcBorders>
            <w:vAlign w:val="center"/>
          </w:tcPr>
          <w:p w14:paraId="3DC4DF8F">
            <w:pPr>
              <w:pStyle w:val="19"/>
              <w:spacing w:line="240" w:lineRule="auto"/>
              <w:ind w:firstLine="0"/>
              <w:jc w:val="center"/>
              <w:rPr>
                <w:sz w:val="21"/>
                <w:szCs w:val="21"/>
              </w:rPr>
            </w:pPr>
            <w:r>
              <w:rPr>
                <w:rFonts w:hint="eastAsia"/>
                <w:sz w:val="21"/>
                <w:szCs w:val="21"/>
              </w:rPr>
              <w:t>浓度（mg/m</w:t>
            </w:r>
            <w:r>
              <w:rPr>
                <w:rFonts w:hint="eastAsia"/>
                <w:sz w:val="21"/>
                <w:szCs w:val="21"/>
                <w:vertAlign w:val="superscript"/>
              </w:rPr>
              <w:t>3</w:t>
            </w:r>
            <w:r>
              <w:rPr>
                <w:rFonts w:hint="eastAsia"/>
                <w:sz w:val="21"/>
                <w:szCs w:val="21"/>
              </w:rPr>
              <w:t>）</w:t>
            </w:r>
          </w:p>
        </w:tc>
        <w:tc>
          <w:tcPr>
            <w:tcW w:w="1425" w:type="pct"/>
            <w:vMerge w:val="continue"/>
            <w:tcBorders>
              <w:tl2br w:val="nil"/>
              <w:tr2bl w:val="nil"/>
            </w:tcBorders>
          </w:tcPr>
          <w:p w14:paraId="5602C4E5">
            <w:pPr>
              <w:pStyle w:val="19"/>
              <w:spacing w:line="240" w:lineRule="auto"/>
              <w:ind w:firstLine="0"/>
              <w:jc w:val="center"/>
              <w:rPr>
                <w:sz w:val="21"/>
                <w:szCs w:val="21"/>
              </w:rPr>
            </w:pPr>
          </w:p>
        </w:tc>
        <w:tc>
          <w:tcPr>
            <w:tcW w:w="1277" w:type="pct"/>
            <w:vMerge w:val="continue"/>
            <w:tcBorders>
              <w:tl2br w:val="nil"/>
              <w:tr2bl w:val="nil"/>
            </w:tcBorders>
          </w:tcPr>
          <w:p w14:paraId="2396738B">
            <w:pPr>
              <w:pStyle w:val="19"/>
              <w:spacing w:line="240" w:lineRule="auto"/>
              <w:ind w:firstLine="0"/>
              <w:jc w:val="center"/>
              <w:rPr>
                <w:sz w:val="21"/>
                <w:szCs w:val="21"/>
              </w:rPr>
            </w:pPr>
          </w:p>
        </w:tc>
      </w:tr>
      <w:tr w14:paraId="35F2B35D">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638" w:hRule="atLeast"/>
          <w:jc w:val="center"/>
        </w:trPr>
        <w:tc>
          <w:tcPr>
            <w:tcW w:w="390" w:type="pct"/>
            <w:vMerge w:val="restart"/>
            <w:tcBorders>
              <w:top w:val="single" w:color="auto" w:sz="4" w:space="0"/>
              <w:tl2br w:val="nil"/>
              <w:tr2bl w:val="nil"/>
            </w:tcBorders>
            <w:vAlign w:val="center"/>
          </w:tcPr>
          <w:p w14:paraId="55E7D679">
            <w:pPr>
              <w:pStyle w:val="19"/>
              <w:spacing w:line="240" w:lineRule="auto"/>
              <w:ind w:firstLine="0"/>
              <w:jc w:val="center"/>
              <w:rPr>
                <w:sz w:val="21"/>
                <w:szCs w:val="21"/>
              </w:rPr>
            </w:pPr>
            <w:r>
              <w:rPr>
                <w:rFonts w:hint="eastAsia"/>
                <w:sz w:val="21"/>
                <w:szCs w:val="21"/>
              </w:rPr>
              <w:t>车间</w:t>
            </w:r>
          </w:p>
        </w:tc>
        <w:tc>
          <w:tcPr>
            <w:tcW w:w="380" w:type="pct"/>
            <w:vMerge w:val="restart"/>
            <w:tcBorders>
              <w:top w:val="single" w:color="auto" w:sz="4" w:space="0"/>
              <w:tl2br w:val="nil"/>
              <w:tr2bl w:val="nil"/>
            </w:tcBorders>
            <w:vAlign w:val="center"/>
          </w:tcPr>
          <w:p w14:paraId="0CA94EE0">
            <w:pPr>
              <w:pStyle w:val="19"/>
              <w:spacing w:line="240" w:lineRule="auto"/>
              <w:ind w:firstLine="0"/>
              <w:jc w:val="center"/>
              <w:rPr>
                <w:sz w:val="21"/>
                <w:szCs w:val="21"/>
              </w:rPr>
            </w:pPr>
            <w:r>
              <w:rPr>
                <w:rFonts w:hint="eastAsia"/>
                <w:sz w:val="21"/>
                <w:szCs w:val="21"/>
              </w:rPr>
              <w:t>NMHC</w:t>
            </w:r>
          </w:p>
        </w:tc>
        <w:tc>
          <w:tcPr>
            <w:tcW w:w="705" w:type="pct"/>
            <w:vMerge w:val="restart"/>
            <w:tcBorders>
              <w:tl2br w:val="nil"/>
              <w:tr2bl w:val="nil"/>
            </w:tcBorders>
            <w:vAlign w:val="center"/>
          </w:tcPr>
          <w:p w14:paraId="18CB1BFB">
            <w:pPr>
              <w:pStyle w:val="19"/>
              <w:spacing w:line="240" w:lineRule="auto"/>
              <w:ind w:firstLine="0"/>
              <w:jc w:val="center"/>
              <w:rPr>
                <w:sz w:val="21"/>
                <w:szCs w:val="21"/>
              </w:rPr>
            </w:pPr>
            <w:r>
              <w:rPr>
                <w:rFonts w:hint="eastAsia"/>
                <w:sz w:val="21"/>
                <w:szCs w:val="21"/>
              </w:rPr>
              <w:t>厂内</w:t>
            </w:r>
          </w:p>
        </w:tc>
        <w:tc>
          <w:tcPr>
            <w:tcW w:w="820" w:type="pct"/>
            <w:tcBorders>
              <w:tl2br w:val="nil"/>
              <w:tr2bl w:val="nil"/>
            </w:tcBorders>
            <w:vAlign w:val="center"/>
          </w:tcPr>
          <w:p w14:paraId="3D0F4DD0">
            <w:pPr>
              <w:pStyle w:val="19"/>
              <w:spacing w:line="240" w:lineRule="auto"/>
              <w:ind w:firstLine="0"/>
              <w:jc w:val="center"/>
              <w:rPr>
                <w:sz w:val="21"/>
                <w:szCs w:val="21"/>
              </w:rPr>
            </w:pPr>
            <w:r>
              <w:rPr>
                <w:rFonts w:hint="eastAsia"/>
                <w:sz w:val="21"/>
                <w:szCs w:val="21"/>
              </w:rPr>
              <w:t>6.0</w:t>
            </w:r>
          </w:p>
        </w:tc>
        <w:tc>
          <w:tcPr>
            <w:tcW w:w="1425" w:type="pct"/>
            <w:tcBorders>
              <w:tl2br w:val="nil"/>
              <w:tr2bl w:val="nil"/>
            </w:tcBorders>
            <w:vAlign w:val="center"/>
          </w:tcPr>
          <w:p w14:paraId="43068CA7">
            <w:pPr>
              <w:pStyle w:val="19"/>
              <w:spacing w:line="240" w:lineRule="auto"/>
              <w:ind w:firstLine="0"/>
              <w:jc w:val="center"/>
              <w:rPr>
                <w:sz w:val="21"/>
                <w:szCs w:val="21"/>
              </w:rPr>
            </w:pPr>
            <w:r>
              <w:rPr>
                <w:rFonts w:hint="eastAsia"/>
                <w:sz w:val="21"/>
                <w:szCs w:val="21"/>
              </w:rPr>
              <w:t>监控点处1h平均浓度</w:t>
            </w:r>
          </w:p>
        </w:tc>
        <w:tc>
          <w:tcPr>
            <w:tcW w:w="1277" w:type="pct"/>
            <w:vMerge w:val="restart"/>
            <w:tcBorders>
              <w:tl2br w:val="nil"/>
              <w:tr2bl w:val="nil"/>
            </w:tcBorders>
            <w:vAlign w:val="center"/>
          </w:tcPr>
          <w:p w14:paraId="469CCCAA">
            <w:pPr>
              <w:pStyle w:val="19"/>
              <w:spacing w:line="240" w:lineRule="auto"/>
              <w:ind w:firstLine="0"/>
              <w:rPr>
                <w:rFonts w:hint="default" w:eastAsia="宋体"/>
                <w:sz w:val="21"/>
                <w:szCs w:val="21"/>
                <w:lang w:val="en-US" w:eastAsia="zh-CN"/>
              </w:rPr>
            </w:pPr>
            <w:r>
              <w:rPr>
                <w:rFonts w:hint="eastAsia"/>
                <w:sz w:val="21"/>
                <w:szCs w:val="21"/>
              </w:rPr>
              <w:t>《工业企业挥发性有机物排放标准》（</w:t>
            </w:r>
            <w:r>
              <w:rPr>
                <w:rFonts w:hint="eastAsia"/>
                <w:sz w:val="21"/>
                <w:szCs w:val="21"/>
                <w:lang w:val="en-US" w:eastAsia="zh-CN"/>
              </w:rPr>
              <w:t>DB43/3550-2026</w:t>
            </w:r>
            <w:r>
              <w:rPr>
                <w:rFonts w:hint="eastAsia"/>
                <w:sz w:val="21"/>
                <w:szCs w:val="21"/>
              </w:rPr>
              <w:t>）</w:t>
            </w:r>
            <w:r>
              <w:rPr>
                <w:rFonts w:hint="eastAsia"/>
                <w:sz w:val="21"/>
                <w:szCs w:val="21"/>
                <w:lang w:val="en-US" w:eastAsia="zh-CN"/>
              </w:rPr>
              <w:t>表2</w:t>
            </w:r>
          </w:p>
        </w:tc>
      </w:tr>
      <w:tr w14:paraId="6E5C31ED">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710" w:hRule="atLeast"/>
          <w:jc w:val="center"/>
        </w:trPr>
        <w:tc>
          <w:tcPr>
            <w:tcW w:w="390" w:type="pct"/>
            <w:vMerge w:val="continue"/>
            <w:tcBorders>
              <w:tl2br w:val="nil"/>
              <w:tr2bl w:val="nil"/>
            </w:tcBorders>
            <w:vAlign w:val="center"/>
          </w:tcPr>
          <w:p w14:paraId="13E67FB9">
            <w:pPr>
              <w:pStyle w:val="19"/>
              <w:spacing w:line="240" w:lineRule="auto"/>
              <w:ind w:firstLine="0"/>
              <w:jc w:val="center"/>
              <w:rPr>
                <w:sz w:val="21"/>
                <w:szCs w:val="21"/>
              </w:rPr>
            </w:pPr>
          </w:p>
        </w:tc>
        <w:tc>
          <w:tcPr>
            <w:tcW w:w="380" w:type="pct"/>
            <w:vMerge w:val="continue"/>
            <w:tcBorders>
              <w:bottom w:val="single" w:color="auto" w:sz="8" w:space="0"/>
              <w:tl2br w:val="nil"/>
              <w:tr2bl w:val="nil"/>
            </w:tcBorders>
            <w:vAlign w:val="center"/>
          </w:tcPr>
          <w:p w14:paraId="07145EBE">
            <w:pPr>
              <w:pStyle w:val="19"/>
              <w:spacing w:line="240" w:lineRule="auto"/>
              <w:ind w:firstLine="0"/>
              <w:jc w:val="center"/>
              <w:rPr>
                <w:sz w:val="21"/>
                <w:szCs w:val="21"/>
              </w:rPr>
            </w:pPr>
          </w:p>
        </w:tc>
        <w:tc>
          <w:tcPr>
            <w:tcW w:w="705" w:type="pct"/>
            <w:vMerge w:val="continue"/>
            <w:tcBorders>
              <w:bottom w:val="single" w:color="auto" w:sz="8" w:space="0"/>
              <w:tl2br w:val="nil"/>
              <w:tr2bl w:val="nil"/>
            </w:tcBorders>
            <w:vAlign w:val="center"/>
          </w:tcPr>
          <w:p w14:paraId="129DEDD6">
            <w:pPr>
              <w:pStyle w:val="19"/>
              <w:spacing w:line="240" w:lineRule="auto"/>
              <w:ind w:firstLine="0"/>
              <w:jc w:val="center"/>
              <w:rPr>
                <w:sz w:val="21"/>
                <w:szCs w:val="21"/>
              </w:rPr>
            </w:pPr>
          </w:p>
        </w:tc>
        <w:tc>
          <w:tcPr>
            <w:tcW w:w="820" w:type="pct"/>
            <w:tcBorders>
              <w:bottom w:val="single" w:color="auto" w:sz="4" w:space="0"/>
              <w:tl2br w:val="nil"/>
              <w:tr2bl w:val="nil"/>
            </w:tcBorders>
            <w:vAlign w:val="center"/>
          </w:tcPr>
          <w:p w14:paraId="660D58FC">
            <w:pPr>
              <w:pStyle w:val="19"/>
              <w:spacing w:line="240" w:lineRule="auto"/>
              <w:ind w:firstLine="0"/>
              <w:jc w:val="center"/>
              <w:rPr>
                <w:sz w:val="21"/>
                <w:szCs w:val="21"/>
              </w:rPr>
            </w:pPr>
            <w:r>
              <w:rPr>
                <w:rFonts w:hint="eastAsia"/>
                <w:sz w:val="21"/>
                <w:szCs w:val="21"/>
              </w:rPr>
              <w:t>20.0</w:t>
            </w:r>
          </w:p>
        </w:tc>
        <w:tc>
          <w:tcPr>
            <w:tcW w:w="1425" w:type="pct"/>
            <w:tcBorders>
              <w:bottom w:val="single" w:color="auto" w:sz="8" w:space="0"/>
              <w:tl2br w:val="nil"/>
              <w:tr2bl w:val="nil"/>
            </w:tcBorders>
            <w:vAlign w:val="center"/>
          </w:tcPr>
          <w:p w14:paraId="00BD3AD3">
            <w:pPr>
              <w:pStyle w:val="19"/>
              <w:spacing w:line="240" w:lineRule="auto"/>
              <w:ind w:firstLine="0"/>
              <w:jc w:val="center"/>
              <w:rPr>
                <w:sz w:val="21"/>
                <w:szCs w:val="21"/>
              </w:rPr>
            </w:pPr>
            <w:r>
              <w:rPr>
                <w:rFonts w:hint="eastAsia"/>
                <w:sz w:val="21"/>
                <w:szCs w:val="21"/>
              </w:rPr>
              <w:t>监控点处任意一次浓度</w:t>
            </w:r>
          </w:p>
        </w:tc>
        <w:tc>
          <w:tcPr>
            <w:tcW w:w="1277" w:type="pct"/>
            <w:vMerge w:val="continue"/>
            <w:tcBorders>
              <w:bottom w:val="single" w:color="auto" w:sz="8" w:space="0"/>
              <w:tl2br w:val="nil"/>
              <w:tr2bl w:val="nil"/>
            </w:tcBorders>
            <w:vAlign w:val="center"/>
          </w:tcPr>
          <w:p w14:paraId="47B0FA34">
            <w:pPr>
              <w:pStyle w:val="19"/>
              <w:spacing w:line="240" w:lineRule="auto"/>
              <w:ind w:firstLine="0"/>
              <w:rPr>
                <w:sz w:val="21"/>
                <w:szCs w:val="21"/>
              </w:rPr>
            </w:pPr>
          </w:p>
        </w:tc>
      </w:tr>
      <w:tr w14:paraId="27E61E2C">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40" w:hRule="atLeast"/>
          <w:jc w:val="center"/>
        </w:trPr>
        <w:tc>
          <w:tcPr>
            <w:tcW w:w="390" w:type="pct"/>
            <w:vMerge w:val="continue"/>
            <w:tcBorders>
              <w:tl2br w:val="nil"/>
              <w:tr2bl w:val="nil"/>
            </w:tcBorders>
            <w:vAlign w:val="center"/>
          </w:tcPr>
          <w:p w14:paraId="2E238240">
            <w:pPr>
              <w:pStyle w:val="19"/>
              <w:spacing w:line="240" w:lineRule="auto"/>
              <w:ind w:firstLine="0"/>
              <w:jc w:val="center"/>
              <w:rPr>
                <w:sz w:val="21"/>
                <w:szCs w:val="21"/>
              </w:rPr>
            </w:pPr>
          </w:p>
        </w:tc>
        <w:tc>
          <w:tcPr>
            <w:tcW w:w="380" w:type="pct"/>
            <w:vMerge w:val="continue"/>
            <w:tcBorders>
              <w:tl2br w:val="nil"/>
              <w:tr2bl w:val="nil"/>
            </w:tcBorders>
            <w:vAlign w:val="center"/>
          </w:tcPr>
          <w:p w14:paraId="45115CA0">
            <w:pPr>
              <w:pStyle w:val="19"/>
              <w:spacing w:line="240" w:lineRule="auto"/>
              <w:ind w:firstLine="0"/>
              <w:jc w:val="center"/>
              <w:rPr>
                <w:sz w:val="21"/>
                <w:szCs w:val="21"/>
              </w:rPr>
            </w:pPr>
          </w:p>
        </w:tc>
        <w:tc>
          <w:tcPr>
            <w:tcW w:w="705" w:type="pct"/>
            <w:tcBorders>
              <w:tl2br w:val="nil"/>
              <w:tr2bl w:val="nil"/>
            </w:tcBorders>
            <w:vAlign w:val="center"/>
          </w:tcPr>
          <w:p w14:paraId="7778D5C4">
            <w:pPr>
              <w:pStyle w:val="19"/>
              <w:spacing w:line="240" w:lineRule="auto"/>
              <w:ind w:firstLine="0"/>
              <w:jc w:val="center"/>
              <w:rPr>
                <w:sz w:val="21"/>
                <w:szCs w:val="21"/>
              </w:rPr>
            </w:pPr>
            <w:r>
              <w:rPr>
                <w:sz w:val="21"/>
                <w:szCs w:val="21"/>
              </w:rPr>
              <w:t>厂界</w:t>
            </w:r>
          </w:p>
        </w:tc>
        <w:tc>
          <w:tcPr>
            <w:tcW w:w="820" w:type="pct"/>
            <w:tcBorders>
              <w:bottom w:val="single" w:color="auto" w:sz="4" w:space="0"/>
              <w:tl2br w:val="nil"/>
              <w:tr2bl w:val="nil"/>
            </w:tcBorders>
            <w:vAlign w:val="center"/>
          </w:tcPr>
          <w:p w14:paraId="1E452137">
            <w:pPr>
              <w:pStyle w:val="19"/>
              <w:spacing w:line="240" w:lineRule="auto"/>
              <w:ind w:firstLine="0"/>
              <w:jc w:val="center"/>
              <w:rPr>
                <w:sz w:val="21"/>
                <w:szCs w:val="21"/>
              </w:rPr>
            </w:pPr>
            <w:r>
              <w:rPr>
                <w:rFonts w:hint="eastAsia"/>
                <w:sz w:val="21"/>
                <w:szCs w:val="21"/>
              </w:rPr>
              <w:t>4.0</w:t>
            </w:r>
          </w:p>
        </w:tc>
        <w:tc>
          <w:tcPr>
            <w:tcW w:w="1425" w:type="pct"/>
            <w:tcBorders>
              <w:tl2br w:val="nil"/>
              <w:tr2bl w:val="nil"/>
            </w:tcBorders>
            <w:vAlign w:val="center"/>
          </w:tcPr>
          <w:p w14:paraId="657CEFC4">
            <w:pPr>
              <w:pStyle w:val="19"/>
              <w:spacing w:line="240" w:lineRule="auto"/>
              <w:ind w:firstLine="0"/>
              <w:jc w:val="center"/>
              <w:rPr>
                <w:sz w:val="21"/>
                <w:szCs w:val="21"/>
              </w:rPr>
            </w:pPr>
            <w:r>
              <w:rPr>
                <w:sz w:val="21"/>
                <w:szCs w:val="21"/>
              </w:rPr>
              <w:t>厂界</w:t>
            </w:r>
          </w:p>
        </w:tc>
        <w:tc>
          <w:tcPr>
            <w:tcW w:w="1277" w:type="pct"/>
            <w:tcBorders>
              <w:tl2br w:val="nil"/>
              <w:tr2bl w:val="nil"/>
            </w:tcBorders>
            <w:vAlign w:val="center"/>
          </w:tcPr>
          <w:p w14:paraId="774FFC9F">
            <w:pPr>
              <w:pStyle w:val="19"/>
              <w:spacing w:line="240" w:lineRule="auto"/>
              <w:ind w:firstLine="0"/>
              <w:jc w:val="center"/>
              <w:rPr>
                <w:sz w:val="21"/>
                <w:szCs w:val="21"/>
              </w:rPr>
            </w:pPr>
            <w:bookmarkStart w:id="65" w:name="OLE_LINK5"/>
            <w:r>
              <w:rPr>
                <w:rFonts w:hint="eastAsia"/>
                <w:sz w:val="21"/>
                <w:szCs w:val="21"/>
              </w:rPr>
              <w:t>《大气污染物综合排放标准》（GB16297-1996）表2</w:t>
            </w:r>
            <w:bookmarkEnd w:id="65"/>
          </w:p>
        </w:tc>
      </w:tr>
      <w:tr w14:paraId="3DF59975">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615" w:hRule="atLeast"/>
          <w:jc w:val="center"/>
        </w:trPr>
        <w:tc>
          <w:tcPr>
            <w:tcW w:w="390" w:type="pct"/>
            <w:tcBorders>
              <w:tl2br w:val="nil"/>
              <w:tr2bl w:val="nil"/>
            </w:tcBorders>
            <w:vAlign w:val="center"/>
          </w:tcPr>
          <w:p w14:paraId="05889D2E">
            <w:pPr>
              <w:pStyle w:val="19"/>
              <w:spacing w:line="240" w:lineRule="auto"/>
              <w:ind w:firstLine="0"/>
              <w:jc w:val="center"/>
              <w:rPr>
                <w:sz w:val="21"/>
                <w:szCs w:val="21"/>
              </w:rPr>
            </w:pPr>
            <w:r>
              <w:rPr>
                <w:rFonts w:hint="eastAsia"/>
                <w:sz w:val="21"/>
                <w:szCs w:val="21"/>
              </w:rPr>
              <w:t>车间</w:t>
            </w:r>
          </w:p>
        </w:tc>
        <w:tc>
          <w:tcPr>
            <w:tcW w:w="380" w:type="pct"/>
            <w:tcBorders>
              <w:tl2br w:val="nil"/>
              <w:tr2bl w:val="nil"/>
            </w:tcBorders>
            <w:vAlign w:val="center"/>
          </w:tcPr>
          <w:p w14:paraId="3F22F109">
            <w:pPr>
              <w:pStyle w:val="19"/>
              <w:spacing w:line="240" w:lineRule="auto"/>
              <w:ind w:firstLine="0"/>
              <w:jc w:val="center"/>
              <w:rPr>
                <w:sz w:val="21"/>
                <w:szCs w:val="21"/>
              </w:rPr>
            </w:pPr>
            <w:r>
              <w:rPr>
                <w:rFonts w:hint="eastAsia"/>
                <w:sz w:val="21"/>
                <w:szCs w:val="21"/>
              </w:rPr>
              <w:t>臭气浓度</w:t>
            </w:r>
          </w:p>
        </w:tc>
        <w:tc>
          <w:tcPr>
            <w:tcW w:w="705" w:type="pct"/>
            <w:tcBorders>
              <w:tl2br w:val="nil"/>
              <w:tr2bl w:val="nil"/>
            </w:tcBorders>
            <w:vAlign w:val="center"/>
          </w:tcPr>
          <w:p w14:paraId="5B9DB712">
            <w:pPr>
              <w:pStyle w:val="19"/>
              <w:spacing w:line="240" w:lineRule="auto"/>
              <w:ind w:firstLine="0"/>
              <w:jc w:val="center"/>
              <w:rPr>
                <w:sz w:val="21"/>
                <w:szCs w:val="21"/>
              </w:rPr>
            </w:pPr>
            <w:r>
              <w:rPr>
                <w:rFonts w:hint="eastAsia"/>
                <w:sz w:val="21"/>
                <w:szCs w:val="21"/>
              </w:rPr>
              <w:t>厂界</w:t>
            </w:r>
          </w:p>
        </w:tc>
        <w:tc>
          <w:tcPr>
            <w:tcW w:w="820" w:type="pct"/>
            <w:tcBorders>
              <w:top w:val="single" w:color="auto" w:sz="4" w:space="0"/>
              <w:tl2br w:val="nil"/>
              <w:tr2bl w:val="nil"/>
            </w:tcBorders>
            <w:vAlign w:val="center"/>
          </w:tcPr>
          <w:p w14:paraId="29736339">
            <w:pPr>
              <w:pStyle w:val="19"/>
              <w:spacing w:line="240" w:lineRule="auto"/>
              <w:ind w:firstLine="0"/>
              <w:jc w:val="center"/>
              <w:rPr>
                <w:sz w:val="21"/>
                <w:szCs w:val="21"/>
              </w:rPr>
            </w:pPr>
            <w:r>
              <w:rPr>
                <w:rFonts w:hint="eastAsia"/>
                <w:sz w:val="21"/>
                <w:szCs w:val="21"/>
              </w:rPr>
              <w:t>20（无量纲）</w:t>
            </w:r>
          </w:p>
        </w:tc>
        <w:tc>
          <w:tcPr>
            <w:tcW w:w="1425" w:type="pct"/>
            <w:tcBorders>
              <w:tl2br w:val="nil"/>
              <w:tr2bl w:val="nil"/>
            </w:tcBorders>
            <w:vAlign w:val="center"/>
          </w:tcPr>
          <w:p w14:paraId="0D4068F3">
            <w:pPr>
              <w:pStyle w:val="19"/>
              <w:spacing w:line="240" w:lineRule="auto"/>
              <w:ind w:firstLine="0"/>
              <w:jc w:val="center"/>
              <w:rPr>
                <w:sz w:val="21"/>
                <w:szCs w:val="21"/>
              </w:rPr>
            </w:pPr>
            <w:r>
              <w:rPr>
                <w:rFonts w:hint="eastAsia"/>
                <w:sz w:val="21"/>
                <w:szCs w:val="21"/>
              </w:rPr>
              <w:t>厂界</w:t>
            </w:r>
          </w:p>
        </w:tc>
        <w:tc>
          <w:tcPr>
            <w:tcW w:w="1277" w:type="pct"/>
            <w:tcBorders>
              <w:tl2br w:val="nil"/>
              <w:tr2bl w:val="nil"/>
            </w:tcBorders>
            <w:vAlign w:val="center"/>
          </w:tcPr>
          <w:p w14:paraId="6C8E4C7D">
            <w:pPr>
              <w:pStyle w:val="19"/>
              <w:spacing w:line="240" w:lineRule="auto"/>
              <w:ind w:firstLine="0"/>
              <w:jc w:val="center"/>
              <w:rPr>
                <w:sz w:val="21"/>
                <w:szCs w:val="21"/>
              </w:rPr>
            </w:pPr>
            <w:r>
              <w:rPr>
                <w:rFonts w:hint="eastAsia"/>
                <w:sz w:val="21"/>
                <w:szCs w:val="21"/>
              </w:rPr>
              <w:t>《恶臭污染物排放标准》（GB14554-93）表1中二级标准</w:t>
            </w:r>
          </w:p>
        </w:tc>
      </w:tr>
    </w:tbl>
    <w:p w14:paraId="5C31375B">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表2.6-10 </w:t>
      </w:r>
      <w:r>
        <w:rPr>
          <w:rFonts w:hint="eastAsia" w:ascii="宋体" w:hAnsi="宋体" w:cs="宋体"/>
          <w:b/>
          <w:bCs/>
          <w:color w:val="auto"/>
          <w:kern w:val="2"/>
          <w:sz w:val="21"/>
          <w:szCs w:val="21"/>
          <w:lang w:val="en-US" w:eastAsia="zh-CN" w:bidi="ar-SA"/>
        </w:rPr>
        <w:t xml:space="preserve">  </w:t>
      </w:r>
      <w:r>
        <w:rPr>
          <w:rFonts w:hint="eastAsia"/>
        </w:rPr>
        <w:t xml:space="preserve"> 饮食业油烟排放标准（GB18483-2001）</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1846"/>
        <w:gridCol w:w="1766"/>
        <w:gridCol w:w="1711"/>
      </w:tblGrid>
      <w:tr w14:paraId="0E4A36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99" w:type="dxa"/>
            <w:tcBorders>
              <w:tl2br w:val="nil"/>
              <w:tr2bl w:val="nil"/>
            </w:tcBorders>
          </w:tcPr>
          <w:p w14:paraId="6BF32184">
            <w:pPr>
              <w:pStyle w:val="19"/>
              <w:spacing w:line="240" w:lineRule="auto"/>
              <w:ind w:firstLine="0"/>
              <w:jc w:val="center"/>
              <w:rPr>
                <w:sz w:val="21"/>
                <w:szCs w:val="21"/>
              </w:rPr>
            </w:pPr>
            <w:r>
              <w:rPr>
                <w:rFonts w:hint="eastAsia"/>
                <w:sz w:val="21"/>
                <w:szCs w:val="21"/>
              </w:rPr>
              <w:t>规模</w:t>
            </w:r>
          </w:p>
        </w:tc>
        <w:tc>
          <w:tcPr>
            <w:tcW w:w="1846" w:type="dxa"/>
            <w:tcBorders>
              <w:tl2br w:val="nil"/>
              <w:tr2bl w:val="nil"/>
            </w:tcBorders>
          </w:tcPr>
          <w:p w14:paraId="50E17294">
            <w:pPr>
              <w:pStyle w:val="19"/>
              <w:spacing w:line="240" w:lineRule="auto"/>
              <w:ind w:firstLine="0"/>
              <w:jc w:val="center"/>
              <w:rPr>
                <w:sz w:val="21"/>
                <w:szCs w:val="21"/>
              </w:rPr>
            </w:pPr>
            <w:r>
              <w:rPr>
                <w:rFonts w:hint="eastAsia"/>
                <w:sz w:val="21"/>
                <w:szCs w:val="21"/>
              </w:rPr>
              <w:t>小型</w:t>
            </w:r>
          </w:p>
        </w:tc>
        <w:tc>
          <w:tcPr>
            <w:tcW w:w="1766" w:type="dxa"/>
            <w:tcBorders>
              <w:tl2br w:val="nil"/>
              <w:tr2bl w:val="nil"/>
            </w:tcBorders>
          </w:tcPr>
          <w:p w14:paraId="7C0820D5">
            <w:pPr>
              <w:pStyle w:val="19"/>
              <w:spacing w:line="240" w:lineRule="auto"/>
              <w:ind w:firstLine="0"/>
              <w:jc w:val="center"/>
              <w:rPr>
                <w:sz w:val="21"/>
                <w:szCs w:val="21"/>
              </w:rPr>
            </w:pPr>
            <w:r>
              <w:rPr>
                <w:rFonts w:hint="eastAsia"/>
                <w:sz w:val="21"/>
                <w:szCs w:val="21"/>
              </w:rPr>
              <w:t>中型</w:t>
            </w:r>
          </w:p>
        </w:tc>
        <w:tc>
          <w:tcPr>
            <w:tcW w:w="1711" w:type="dxa"/>
            <w:tcBorders>
              <w:tl2br w:val="nil"/>
              <w:tr2bl w:val="nil"/>
            </w:tcBorders>
          </w:tcPr>
          <w:p w14:paraId="0C81D280">
            <w:pPr>
              <w:pStyle w:val="19"/>
              <w:spacing w:line="240" w:lineRule="auto"/>
              <w:ind w:firstLine="0"/>
              <w:jc w:val="center"/>
              <w:rPr>
                <w:sz w:val="21"/>
                <w:szCs w:val="21"/>
              </w:rPr>
            </w:pPr>
            <w:r>
              <w:rPr>
                <w:rFonts w:hint="eastAsia"/>
                <w:sz w:val="21"/>
                <w:szCs w:val="21"/>
              </w:rPr>
              <w:t>大型</w:t>
            </w:r>
          </w:p>
        </w:tc>
      </w:tr>
      <w:tr w14:paraId="337FA3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99" w:type="dxa"/>
            <w:tcBorders>
              <w:tl2br w:val="nil"/>
              <w:tr2bl w:val="nil"/>
            </w:tcBorders>
          </w:tcPr>
          <w:p w14:paraId="3D0F05DC">
            <w:pPr>
              <w:pStyle w:val="19"/>
              <w:spacing w:line="240" w:lineRule="auto"/>
              <w:ind w:firstLine="0"/>
              <w:jc w:val="center"/>
              <w:rPr>
                <w:sz w:val="21"/>
                <w:szCs w:val="21"/>
              </w:rPr>
            </w:pPr>
            <w:r>
              <w:rPr>
                <w:rFonts w:hint="eastAsia"/>
                <w:sz w:val="21"/>
                <w:szCs w:val="21"/>
              </w:rPr>
              <w:t>基准灶头数</w:t>
            </w:r>
          </w:p>
        </w:tc>
        <w:tc>
          <w:tcPr>
            <w:tcW w:w="1846" w:type="dxa"/>
            <w:tcBorders>
              <w:tl2br w:val="nil"/>
              <w:tr2bl w:val="nil"/>
            </w:tcBorders>
          </w:tcPr>
          <w:p w14:paraId="528C4BED">
            <w:pPr>
              <w:pStyle w:val="19"/>
              <w:spacing w:line="240" w:lineRule="auto"/>
              <w:ind w:firstLine="0"/>
              <w:jc w:val="center"/>
              <w:rPr>
                <w:sz w:val="21"/>
                <w:szCs w:val="21"/>
              </w:rPr>
            </w:pPr>
            <w:r>
              <w:rPr>
                <w:sz w:val="21"/>
                <w:szCs w:val="21"/>
              </w:rPr>
              <w:t>≥</w:t>
            </w:r>
            <w:r>
              <w:rPr>
                <w:rFonts w:hint="eastAsia"/>
                <w:sz w:val="21"/>
                <w:szCs w:val="21"/>
              </w:rPr>
              <w:t>1，〈3</w:t>
            </w:r>
          </w:p>
        </w:tc>
        <w:tc>
          <w:tcPr>
            <w:tcW w:w="1766" w:type="dxa"/>
            <w:tcBorders>
              <w:tl2br w:val="nil"/>
              <w:tr2bl w:val="nil"/>
            </w:tcBorders>
          </w:tcPr>
          <w:p w14:paraId="533AF8C7">
            <w:pPr>
              <w:pStyle w:val="19"/>
              <w:spacing w:line="240" w:lineRule="auto"/>
              <w:ind w:firstLine="0"/>
              <w:jc w:val="center"/>
              <w:rPr>
                <w:sz w:val="21"/>
                <w:szCs w:val="21"/>
              </w:rPr>
            </w:pPr>
            <w:r>
              <w:rPr>
                <w:sz w:val="21"/>
                <w:szCs w:val="21"/>
              </w:rPr>
              <w:t>≥</w:t>
            </w:r>
            <w:r>
              <w:rPr>
                <w:rFonts w:hint="eastAsia"/>
                <w:sz w:val="21"/>
                <w:szCs w:val="21"/>
              </w:rPr>
              <w:t>3，〈6</w:t>
            </w:r>
          </w:p>
        </w:tc>
        <w:tc>
          <w:tcPr>
            <w:tcW w:w="1711" w:type="dxa"/>
            <w:tcBorders>
              <w:tl2br w:val="nil"/>
              <w:tr2bl w:val="nil"/>
            </w:tcBorders>
          </w:tcPr>
          <w:p w14:paraId="25FD1B2D">
            <w:pPr>
              <w:pStyle w:val="19"/>
              <w:spacing w:line="240" w:lineRule="auto"/>
              <w:ind w:firstLine="0"/>
              <w:jc w:val="center"/>
              <w:rPr>
                <w:sz w:val="21"/>
                <w:szCs w:val="21"/>
              </w:rPr>
            </w:pPr>
            <w:r>
              <w:rPr>
                <w:sz w:val="21"/>
                <w:szCs w:val="21"/>
              </w:rPr>
              <w:t>≥</w:t>
            </w:r>
            <w:r>
              <w:rPr>
                <w:rFonts w:hint="eastAsia"/>
                <w:sz w:val="21"/>
                <w:szCs w:val="21"/>
              </w:rPr>
              <w:t>6</w:t>
            </w:r>
          </w:p>
        </w:tc>
      </w:tr>
      <w:tr w14:paraId="031BE7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99" w:type="dxa"/>
            <w:tcBorders>
              <w:tl2br w:val="nil"/>
              <w:tr2bl w:val="nil"/>
            </w:tcBorders>
          </w:tcPr>
          <w:p w14:paraId="26736FA1">
            <w:pPr>
              <w:pStyle w:val="19"/>
              <w:spacing w:line="240" w:lineRule="auto"/>
              <w:ind w:firstLine="0"/>
              <w:jc w:val="center"/>
              <w:rPr>
                <w:sz w:val="21"/>
                <w:szCs w:val="21"/>
              </w:rPr>
            </w:pPr>
            <w:r>
              <w:rPr>
                <w:rFonts w:hint="eastAsia"/>
                <w:sz w:val="21"/>
                <w:szCs w:val="21"/>
              </w:rPr>
              <w:t>最高允许排放浓度（mg/m</w:t>
            </w:r>
            <w:r>
              <w:rPr>
                <w:rFonts w:hint="eastAsia"/>
                <w:sz w:val="21"/>
                <w:szCs w:val="21"/>
                <w:vertAlign w:val="superscript"/>
              </w:rPr>
              <w:t>3</w:t>
            </w:r>
            <w:r>
              <w:rPr>
                <w:rFonts w:hint="eastAsia"/>
                <w:sz w:val="21"/>
                <w:szCs w:val="21"/>
              </w:rPr>
              <w:t>）</w:t>
            </w:r>
          </w:p>
        </w:tc>
        <w:tc>
          <w:tcPr>
            <w:tcW w:w="5323" w:type="dxa"/>
            <w:gridSpan w:val="3"/>
            <w:tcBorders>
              <w:tl2br w:val="nil"/>
              <w:tr2bl w:val="nil"/>
            </w:tcBorders>
          </w:tcPr>
          <w:p w14:paraId="2EA7841F">
            <w:pPr>
              <w:pStyle w:val="19"/>
              <w:spacing w:line="240" w:lineRule="auto"/>
              <w:ind w:firstLine="0"/>
              <w:jc w:val="center"/>
              <w:rPr>
                <w:sz w:val="21"/>
                <w:szCs w:val="21"/>
              </w:rPr>
            </w:pPr>
            <w:r>
              <w:rPr>
                <w:rFonts w:hint="eastAsia"/>
                <w:sz w:val="21"/>
                <w:szCs w:val="21"/>
              </w:rPr>
              <w:t>2.0</w:t>
            </w:r>
          </w:p>
        </w:tc>
      </w:tr>
      <w:tr w14:paraId="4A148F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99" w:type="dxa"/>
            <w:tcBorders>
              <w:tl2br w:val="nil"/>
              <w:tr2bl w:val="nil"/>
            </w:tcBorders>
          </w:tcPr>
          <w:p w14:paraId="6C93F1D4">
            <w:pPr>
              <w:pStyle w:val="19"/>
              <w:spacing w:line="240" w:lineRule="auto"/>
              <w:ind w:firstLine="0"/>
              <w:jc w:val="center"/>
              <w:rPr>
                <w:sz w:val="21"/>
                <w:szCs w:val="21"/>
              </w:rPr>
            </w:pPr>
            <w:r>
              <w:rPr>
                <w:rFonts w:hint="eastAsia"/>
                <w:sz w:val="21"/>
                <w:szCs w:val="21"/>
              </w:rPr>
              <w:t>净化设备最低去除率（%）</w:t>
            </w:r>
          </w:p>
        </w:tc>
        <w:tc>
          <w:tcPr>
            <w:tcW w:w="1846" w:type="dxa"/>
            <w:tcBorders>
              <w:tl2br w:val="nil"/>
              <w:tr2bl w:val="nil"/>
            </w:tcBorders>
          </w:tcPr>
          <w:p w14:paraId="0F406C3C">
            <w:pPr>
              <w:pStyle w:val="19"/>
              <w:spacing w:line="240" w:lineRule="auto"/>
              <w:ind w:firstLine="0"/>
              <w:jc w:val="center"/>
              <w:rPr>
                <w:sz w:val="21"/>
                <w:szCs w:val="21"/>
              </w:rPr>
            </w:pPr>
            <w:r>
              <w:rPr>
                <w:rFonts w:hint="eastAsia"/>
                <w:sz w:val="21"/>
                <w:szCs w:val="21"/>
              </w:rPr>
              <w:t>60</w:t>
            </w:r>
          </w:p>
        </w:tc>
        <w:tc>
          <w:tcPr>
            <w:tcW w:w="1766" w:type="dxa"/>
            <w:tcBorders>
              <w:tl2br w:val="nil"/>
              <w:tr2bl w:val="nil"/>
            </w:tcBorders>
          </w:tcPr>
          <w:p w14:paraId="12CDCB9B">
            <w:pPr>
              <w:pStyle w:val="19"/>
              <w:spacing w:line="240" w:lineRule="auto"/>
              <w:ind w:firstLine="0"/>
              <w:jc w:val="center"/>
              <w:rPr>
                <w:sz w:val="21"/>
                <w:szCs w:val="21"/>
              </w:rPr>
            </w:pPr>
            <w:r>
              <w:rPr>
                <w:rFonts w:hint="eastAsia"/>
                <w:sz w:val="21"/>
                <w:szCs w:val="21"/>
              </w:rPr>
              <w:t>75</w:t>
            </w:r>
          </w:p>
        </w:tc>
        <w:tc>
          <w:tcPr>
            <w:tcW w:w="1711" w:type="dxa"/>
            <w:tcBorders>
              <w:tl2br w:val="nil"/>
              <w:tr2bl w:val="nil"/>
            </w:tcBorders>
          </w:tcPr>
          <w:p w14:paraId="3FE216DA">
            <w:pPr>
              <w:pStyle w:val="19"/>
              <w:spacing w:line="240" w:lineRule="auto"/>
              <w:ind w:firstLine="0"/>
              <w:jc w:val="center"/>
              <w:rPr>
                <w:sz w:val="21"/>
                <w:szCs w:val="21"/>
              </w:rPr>
            </w:pPr>
            <w:r>
              <w:rPr>
                <w:rFonts w:hint="eastAsia"/>
                <w:sz w:val="21"/>
                <w:szCs w:val="21"/>
              </w:rPr>
              <w:t>85</w:t>
            </w:r>
          </w:p>
        </w:tc>
      </w:tr>
    </w:tbl>
    <w:p w14:paraId="7AB2944E">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2.6.3.2</w:t>
      </w:r>
      <w:r>
        <w:rPr>
          <w:rFonts w:hint="eastAsia" w:ascii="Times New Roman" w:hAnsi="Times New Roman"/>
        </w:rPr>
        <w:t>废水污染物排放标准</w:t>
      </w:r>
    </w:p>
    <w:p w14:paraId="0BDD3194">
      <w:pPr>
        <w:pStyle w:val="38"/>
        <w:ind w:firstLine="480"/>
        <w:rPr>
          <w:rFonts w:cs="Times New Roman"/>
          <w:color w:val="auto"/>
        </w:rPr>
      </w:pPr>
      <w:r>
        <w:rPr>
          <w:rFonts w:hint="eastAsia" w:cs="Times New Roman"/>
          <w:color w:val="auto"/>
        </w:rPr>
        <w:t>生活污水经相应预处理后满足《污水综合排放标准》（GB8978-1996）表4中三级标准同时应满足湘潭县顺业污水处理有限公司污水处理厂纳管标准后纳管排放，由污水处理厂集中处理达《城镇污水处理厂污染物排放标准》（GB18918-2002）及其修改单要求后外排湘江。</w:t>
      </w:r>
      <w:bookmarkStart w:id="200" w:name="_GoBack"/>
      <w:bookmarkEnd w:id="200"/>
    </w:p>
    <w:p w14:paraId="43EA7B21">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表2.6-11 </w:t>
      </w:r>
      <w:r>
        <w:rPr>
          <w:rFonts w:hint="eastAsia" w:ascii="宋体" w:hAnsi="宋体" w:cs="宋体"/>
          <w:b/>
          <w:bCs/>
          <w:color w:val="auto"/>
          <w:kern w:val="2"/>
          <w:sz w:val="21"/>
          <w:szCs w:val="21"/>
          <w:lang w:val="en-US" w:eastAsia="zh-CN" w:bidi="ar-SA"/>
        </w:rPr>
        <w:t xml:space="preserve">   </w:t>
      </w:r>
      <w:r>
        <w:rPr>
          <w:rFonts w:hint="eastAsia"/>
        </w:rPr>
        <w:t xml:space="preserve"> 废水污染物纳管和排放标准      单位：浓度mg/L</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54"/>
        <w:gridCol w:w="1200"/>
        <w:gridCol w:w="1215"/>
        <w:gridCol w:w="1268"/>
        <w:gridCol w:w="953"/>
        <w:gridCol w:w="1033"/>
        <w:gridCol w:w="1899"/>
      </w:tblGrid>
      <w:tr w14:paraId="6D77D9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60" w:type="pct"/>
            <w:vAlign w:val="center"/>
          </w:tcPr>
          <w:p w14:paraId="31313A7A">
            <w:pPr>
              <w:pStyle w:val="19"/>
              <w:spacing w:line="240" w:lineRule="auto"/>
              <w:ind w:firstLine="0"/>
              <w:jc w:val="center"/>
              <w:rPr>
                <w:sz w:val="21"/>
                <w:szCs w:val="21"/>
              </w:rPr>
            </w:pPr>
            <w:r>
              <w:rPr>
                <w:rFonts w:hint="eastAsia"/>
                <w:sz w:val="21"/>
                <w:szCs w:val="21"/>
              </w:rPr>
              <w:t>项目</w:t>
            </w:r>
          </w:p>
        </w:tc>
        <w:tc>
          <w:tcPr>
            <w:tcW w:w="704" w:type="pct"/>
            <w:vAlign w:val="center"/>
          </w:tcPr>
          <w:p w14:paraId="1CBDECCA">
            <w:pPr>
              <w:pStyle w:val="19"/>
              <w:spacing w:line="240" w:lineRule="auto"/>
              <w:ind w:firstLine="0"/>
              <w:jc w:val="center"/>
              <w:rPr>
                <w:sz w:val="21"/>
                <w:szCs w:val="21"/>
              </w:rPr>
            </w:pPr>
            <w:r>
              <w:rPr>
                <w:rFonts w:hint="eastAsia"/>
                <w:sz w:val="21"/>
                <w:szCs w:val="21"/>
              </w:rPr>
              <w:t>COD</w:t>
            </w:r>
            <w:r>
              <w:rPr>
                <w:rFonts w:hint="eastAsia"/>
                <w:sz w:val="21"/>
                <w:szCs w:val="21"/>
                <w:vertAlign w:val="subscript"/>
              </w:rPr>
              <w:t>Cr</w:t>
            </w:r>
          </w:p>
        </w:tc>
        <w:tc>
          <w:tcPr>
            <w:tcW w:w="713" w:type="pct"/>
            <w:vAlign w:val="center"/>
          </w:tcPr>
          <w:p w14:paraId="7EF562BC">
            <w:pPr>
              <w:pStyle w:val="19"/>
              <w:spacing w:line="240" w:lineRule="auto"/>
              <w:ind w:firstLine="0"/>
              <w:jc w:val="center"/>
              <w:rPr>
                <w:sz w:val="21"/>
                <w:szCs w:val="21"/>
              </w:rPr>
            </w:pPr>
            <w:r>
              <w:rPr>
                <w:rFonts w:hint="eastAsia"/>
                <w:sz w:val="21"/>
                <w:szCs w:val="21"/>
              </w:rPr>
              <w:t>NH</w:t>
            </w:r>
            <w:r>
              <w:rPr>
                <w:rFonts w:hint="eastAsia"/>
                <w:sz w:val="21"/>
                <w:szCs w:val="21"/>
                <w:vertAlign w:val="subscript"/>
              </w:rPr>
              <w:t>3</w:t>
            </w:r>
            <w:r>
              <w:rPr>
                <w:rFonts w:hint="eastAsia"/>
                <w:sz w:val="21"/>
                <w:szCs w:val="21"/>
              </w:rPr>
              <w:t>-N</w:t>
            </w:r>
          </w:p>
        </w:tc>
        <w:tc>
          <w:tcPr>
            <w:tcW w:w="744" w:type="pct"/>
            <w:vAlign w:val="center"/>
          </w:tcPr>
          <w:p w14:paraId="4FBA2B8C">
            <w:pPr>
              <w:pStyle w:val="19"/>
              <w:spacing w:line="240" w:lineRule="auto"/>
              <w:ind w:firstLine="0"/>
              <w:jc w:val="center"/>
              <w:rPr>
                <w:sz w:val="21"/>
                <w:szCs w:val="21"/>
              </w:rPr>
            </w:pPr>
            <w:r>
              <w:rPr>
                <w:rFonts w:hint="eastAsia"/>
                <w:sz w:val="21"/>
                <w:szCs w:val="21"/>
              </w:rPr>
              <w:t>石油类</w:t>
            </w:r>
          </w:p>
        </w:tc>
        <w:tc>
          <w:tcPr>
            <w:tcW w:w="559" w:type="pct"/>
            <w:vAlign w:val="center"/>
          </w:tcPr>
          <w:p w14:paraId="6AA8E663">
            <w:pPr>
              <w:pStyle w:val="19"/>
              <w:spacing w:line="240" w:lineRule="auto"/>
              <w:ind w:firstLine="0"/>
              <w:jc w:val="center"/>
              <w:rPr>
                <w:sz w:val="21"/>
                <w:szCs w:val="21"/>
              </w:rPr>
            </w:pPr>
            <w:r>
              <w:rPr>
                <w:rFonts w:hint="eastAsia"/>
                <w:sz w:val="21"/>
                <w:szCs w:val="21"/>
              </w:rPr>
              <w:t>TN</w:t>
            </w:r>
          </w:p>
        </w:tc>
        <w:tc>
          <w:tcPr>
            <w:tcW w:w="606" w:type="pct"/>
            <w:vAlign w:val="center"/>
          </w:tcPr>
          <w:p w14:paraId="28881C57">
            <w:pPr>
              <w:pStyle w:val="19"/>
              <w:spacing w:line="240" w:lineRule="auto"/>
              <w:ind w:firstLine="0"/>
              <w:jc w:val="center"/>
              <w:rPr>
                <w:sz w:val="21"/>
                <w:szCs w:val="21"/>
              </w:rPr>
            </w:pPr>
            <w:r>
              <w:rPr>
                <w:rFonts w:hint="eastAsia"/>
                <w:sz w:val="21"/>
                <w:szCs w:val="21"/>
              </w:rPr>
              <w:t>TP</w:t>
            </w:r>
          </w:p>
        </w:tc>
        <w:tc>
          <w:tcPr>
            <w:tcW w:w="1114" w:type="pct"/>
            <w:vAlign w:val="center"/>
          </w:tcPr>
          <w:p w14:paraId="3AFA4158">
            <w:pPr>
              <w:pStyle w:val="19"/>
              <w:spacing w:line="240" w:lineRule="auto"/>
              <w:ind w:firstLine="0"/>
              <w:jc w:val="center"/>
              <w:rPr>
                <w:sz w:val="21"/>
                <w:szCs w:val="21"/>
              </w:rPr>
            </w:pPr>
            <w:r>
              <w:rPr>
                <w:rFonts w:hint="eastAsia"/>
                <w:sz w:val="21"/>
                <w:szCs w:val="21"/>
              </w:rPr>
              <w:t>粪大肠菌群</w:t>
            </w:r>
          </w:p>
        </w:tc>
      </w:tr>
      <w:tr w14:paraId="0FA82A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60" w:type="pct"/>
            <w:vAlign w:val="center"/>
          </w:tcPr>
          <w:p w14:paraId="0EA09D8E">
            <w:pPr>
              <w:pStyle w:val="19"/>
              <w:spacing w:line="240" w:lineRule="auto"/>
              <w:ind w:firstLine="0"/>
              <w:jc w:val="center"/>
              <w:rPr>
                <w:sz w:val="21"/>
                <w:szCs w:val="21"/>
              </w:rPr>
            </w:pPr>
            <w:r>
              <w:rPr>
                <w:rFonts w:hint="eastAsia"/>
                <w:sz w:val="21"/>
                <w:szCs w:val="21"/>
              </w:rPr>
              <w:t>纳管</w:t>
            </w:r>
          </w:p>
        </w:tc>
        <w:tc>
          <w:tcPr>
            <w:tcW w:w="704" w:type="pct"/>
            <w:vAlign w:val="center"/>
          </w:tcPr>
          <w:p w14:paraId="1BE5E91E">
            <w:pPr>
              <w:pStyle w:val="19"/>
              <w:spacing w:line="240" w:lineRule="auto"/>
              <w:ind w:firstLine="0"/>
              <w:jc w:val="center"/>
              <w:rPr>
                <w:sz w:val="21"/>
                <w:szCs w:val="21"/>
              </w:rPr>
            </w:pPr>
            <w:r>
              <w:rPr>
                <w:rFonts w:hint="eastAsia"/>
                <w:sz w:val="21"/>
                <w:szCs w:val="21"/>
              </w:rPr>
              <w:t>≤350</w:t>
            </w:r>
          </w:p>
        </w:tc>
        <w:tc>
          <w:tcPr>
            <w:tcW w:w="713" w:type="pct"/>
            <w:vAlign w:val="center"/>
          </w:tcPr>
          <w:p w14:paraId="61CB3C6F">
            <w:pPr>
              <w:pStyle w:val="19"/>
              <w:spacing w:line="240" w:lineRule="auto"/>
              <w:ind w:firstLine="0"/>
              <w:jc w:val="center"/>
              <w:rPr>
                <w:sz w:val="21"/>
                <w:szCs w:val="21"/>
              </w:rPr>
            </w:pPr>
            <w:r>
              <w:rPr>
                <w:rFonts w:hint="eastAsia"/>
                <w:sz w:val="21"/>
                <w:szCs w:val="21"/>
              </w:rPr>
              <w:t>≤50</w:t>
            </w:r>
          </w:p>
        </w:tc>
        <w:tc>
          <w:tcPr>
            <w:tcW w:w="744" w:type="pct"/>
            <w:vAlign w:val="center"/>
          </w:tcPr>
          <w:p w14:paraId="37E06FE5">
            <w:pPr>
              <w:pStyle w:val="19"/>
              <w:spacing w:line="240" w:lineRule="auto"/>
              <w:ind w:firstLine="0"/>
              <w:jc w:val="center"/>
              <w:rPr>
                <w:sz w:val="21"/>
                <w:szCs w:val="21"/>
              </w:rPr>
            </w:pPr>
            <w:r>
              <w:rPr>
                <w:rFonts w:hint="eastAsia"/>
                <w:sz w:val="21"/>
                <w:szCs w:val="21"/>
              </w:rPr>
              <w:t>≤10</w:t>
            </w:r>
          </w:p>
        </w:tc>
        <w:tc>
          <w:tcPr>
            <w:tcW w:w="559" w:type="pct"/>
            <w:vAlign w:val="center"/>
          </w:tcPr>
          <w:p w14:paraId="54E61B80">
            <w:pPr>
              <w:pStyle w:val="19"/>
              <w:spacing w:line="240" w:lineRule="auto"/>
              <w:ind w:firstLine="0"/>
              <w:jc w:val="center"/>
              <w:rPr>
                <w:sz w:val="21"/>
                <w:szCs w:val="21"/>
              </w:rPr>
            </w:pPr>
            <w:r>
              <w:rPr>
                <w:rFonts w:hint="eastAsia"/>
                <w:sz w:val="21"/>
                <w:szCs w:val="21"/>
              </w:rPr>
              <w:t>≤50</w:t>
            </w:r>
          </w:p>
        </w:tc>
        <w:tc>
          <w:tcPr>
            <w:tcW w:w="606" w:type="pct"/>
            <w:vAlign w:val="center"/>
          </w:tcPr>
          <w:p w14:paraId="5A0FFBC0">
            <w:pPr>
              <w:pStyle w:val="19"/>
              <w:spacing w:line="240" w:lineRule="auto"/>
              <w:ind w:firstLine="0"/>
              <w:jc w:val="center"/>
              <w:rPr>
                <w:sz w:val="21"/>
                <w:szCs w:val="21"/>
              </w:rPr>
            </w:pPr>
            <w:r>
              <w:rPr>
                <w:rFonts w:hint="eastAsia"/>
                <w:sz w:val="21"/>
                <w:szCs w:val="21"/>
              </w:rPr>
              <w:t>≤5</w:t>
            </w:r>
          </w:p>
        </w:tc>
        <w:tc>
          <w:tcPr>
            <w:tcW w:w="1114" w:type="pct"/>
            <w:vAlign w:val="center"/>
          </w:tcPr>
          <w:p w14:paraId="04F9566E">
            <w:pPr>
              <w:pStyle w:val="19"/>
              <w:spacing w:line="240" w:lineRule="auto"/>
              <w:ind w:firstLine="0"/>
              <w:jc w:val="center"/>
              <w:rPr>
                <w:sz w:val="21"/>
                <w:szCs w:val="21"/>
              </w:rPr>
            </w:pPr>
            <w:r>
              <w:rPr>
                <w:rFonts w:hint="eastAsia"/>
                <w:sz w:val="21"/>
                <w:szCs w:val="21"/>
              </w:rPr>
              <w:t>≤3000</w:t>
            </w:r>
          </w:p>
        </w:tc>
      </w:tr>
      <w:tr w14:paraId="572B1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60" w:type="pct"/>
            <w:vAlign w:val="center"/>
          </w:tcPr>
          <w:p w14:paraId="3F16E901">
            <w:pPr>
              <w:pStyle w:val="19"/>
              <w:spacing w:line="240" w:lineRule="auto"/>
              <w:ind w:firstLine="0"/>
              <w:jc w:val="center"/>
              <w:rPr>
                <w:sz w:val="21"/>
                <w:szCs w:val="21"/>
              </w:rPr>
            </w:pPr>
            <w:r>
              <w:rPr>
                <w:rFonts w:hint="eastAsia"/>
                <w:sz w:val="21"/>
                <w:szCs w:val="21"/>
              </w:rPr>
              <w:t>排放</w:t>
            </w:r>
          </w:p>
        </w:tc>
        <w:tc>
          <w:tcPr>
            <w:tcW w:w="704" w:type="pct"/>
            <w:vAlign w:val="center"/>
          </w:tcPr>
          <w:p w14:paraId="7C40AF88">
            <w:pPr>
              <w:pStyle w:val="19"/>
              <w:spacing w:line="240" w:lineRule="auto"/>
              <w:ind w:firstLine="0"/>
              <w:jc w:val="center"/>
              <w:rPr>
                <w:sz w:val="21"/>
                <w:szCs w:val="21"/>
              </w:rPr>
            </w:pPr>
            <w:r>
              <w:rPr>
                <w:rFonts w:hint="eastAsia"/>
                <w:sz w:val="21"/>
                <w:szCs w:val="21"/>
              </w:rPr>
              <w:t>≤50</w:t>
            </w:r>
          </w:p>
        </w:tc>
        <w:tc>
          <w:tcPr>
            <w:tcW w:w="713" w:type="pct"/>
            <w:vAlign w:val="center"/>
          </w:tcPr>
          <w:p w14:paraId="2957B120">
            <w:pPr>
              <w:pStyle w:val="19"/>
              <w:spacing w:line="240" w:lineRule="auto"/>
              <w:ind w:firstLine="0"/>
              <w:jc w:val="center"/>
              <w:rPr>
                <w:sz w:val="21"/>
                <w:szCs w:val="21"/>
              </w:rPr>
            </w:pPr>
            <w:r>
              <w:rPr>
                <w:rFonts w:hint="eastAsia"/>
                <w:sz w:val="21"/>
                <w:szCs w:val="21"/>
              </w:rPr>
              <w:t>≤5</w:t>
            </w:r>
          </w:p>
        </w:tc>
        <w:tc>
          <w:tcPr>
            <w:tcW w:w="744" w:type="pct"/>
            <w:vAlign w:val="center"/>
          </w:tcPr>
          <w:p w14:paraId="59F72B6D">
            <w:pPr>
              <w:pStyle w:val="19"/>
              <w:spacing w:line="240" w:lineRule="auto"/>
              <w:ind w:firstLine="0"/>
              <w:jc w:val="center"/>
              <w:rPr>
                <w:sz w:val="21"/>
                <w:szCs w:val="21"/>
              </w:rPr>
            </w:pPr>
            <w:r>
              <w:rPr>
                <w:rFonts w:hint="eastAsia"/>
                <w:sz w:val="21"/>
                <w:szCs w:val="21"/>
              </w:rPr>
              <w:t>≤1</w:t>
            </w:r>
          </w:p>
        </w:tc>
        <w:tc>
          <w:tcPr>
            <w:tcW w:w="559" w:type="pct"/>
            <w:vAlign w:val="center"/>
          </w:tcPr>
          <w:p w14:paraId="3464A40B">
            <w:pPr>
              <w:pStyle w:val="19"/>
              <w:spacing w:line="240" w:lineRule="auto"/>
              <w:ind w:firstLine="0"/>
              <w:jc w:val="center"/>
              <w:rPr>
                <w:sz w:val="21"/>
                <w:szCs w:val="21"/>
              </w:rPr>
            </w:pPr>
            <w:r>
              <w:rPr>
                <w:rFonts w:hint="eastAsia"/>
                <w:sz w:val="21"/>
                <w:szCs w:val="21"/>
              </w:rPr>
              <w:t>≤15</w:t>
            </w:r>
          </w:p>
        </w:tc>
        <w:tc>
          <w:tcPr>
            <w:tcW w:w="606" w:type="pct"/>
            <w:vAlign w:val="center"/>
          </w:tcPr>
          <w:p w14:paraId="0B36EDF1">
            <w:pPr>
              <w:pStyle w:val="19"/>
              <w:spacing w:line="240" w:lineRule="auto"/>
              <w:ind w:firstLine="0"/>
              <w:jc w:val="center"/>
              <w:rPr>
                <w:sz w:val="21"/>
                <w:szCs w:val="21"/>
              </w:rPr>
            </w:pPr>
            <w:r>
              <w:rPr>
                <w:rFonts w:hint="eastAsia"/>
                <w:sz w:val="21"/>
                <w:szCs w:val="21"/>
              </w:rPr>
              <w:t>≤0.5</w:t>
            </w:r>
          </w:p>
        </w:tc>
        <w:tc>
          <w:tcPr>
            <w:tcW w:w="1114" w:type="pct"/>
            <w:vAlign w:val="center"/>
          </w:tcPr>
          <w:p w14:paraId="09DCCEF4">
            <w:pPr>
              <w:pStyle w:val="19"/>
              <w:spacing w:line="240" w:lineRule="auto"/>
              <w:ind w:firstLine="0"/>
              <w:jc w:val="center"/>
              <w:rPr>
                <w:sz w:val="21"/>
                <w:szCs w:val="21"/>
              </w:rPr>
            </w:pPr>
            <w:r>
              <w:rPr>
                <w:rFonts w:hint="eastAsia"/>
                <w:sz w:val="21"/>
                <w:szCs w:val="21"/>
              </w:rPr>
              <w:t>≤1000</w:t>
            </w:r>
          </w:p>
        </w:tc>
      </w:tr>
      <w:tr w14:paraId="3D160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7"/>
            <w:vAlign w:val="center"/>
          </w:tcPr>
          <w:p w14:paraId="24C9C6A6">
            <w:pPr>
              <w:pStyle w:val="19"/>
              <w:spacing w:line="240" w:lineRule="auto"/>
              <w:ind w:firstLine="0"/>
              <w:jc w:val="center"/>
              <w:rPr>
                <w:sz w:val="21"/>
                <w:szCs w:val="21"/>
              </w:rPr>
            </w:pPr>
            <w:r>
              <w:rPr>
                <w:rFonts w:hint="eastAsia"/>
                <w:sz w:val="21"/>
                <w:szCs w:val="21"/>
              </w:rPr>
              <w:t>湘潭县顺业污水处理有限公司污水处理厂进出口水质要求</w:t>
            </w:r>
          </w:p>
        </w:tc>
      </w:tr>
    </w:tbl>
    <w:p w14:paraId="77E37F46">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2.6.3.3</w:t>
      </w:r>
      <w:r>
        <w:rPr>
          <w:rFonts w:hint="eastAsia" w:ascii="Times New Roman" w:hAnsi="Times New Roman"/>
        </w:rPr>
        <w:t>厂界噪声排放标准</w:t>
      </w:r>
    </w:p>
    <w:p w14:paraId="3647ADF6">
      <w:pPr>
        <w:pStyle w:val="40"/>
        <w:spacing w:line="360" w:lineRule="auto"/>
        <w:ind w:firstLine="480"/>
        <w:rPr>
          <w:rFonts w:ascii="Times New Roman"/>
        </w:rPr>
      </w:pPr>
      <w:r>
        <w:rPr>
          <w:rFonts w:hint="eastAsia" w:ascii="Times New Roman"/>
        </w:rPr>
        <w:t>运营期</w:t>
      </w:r>
      <w:r>
        <w:rPr>
          <w:rFonts w:ascii="Times New Roman"/>
        </w:rPr>
        <w:t>项目厂界噪声执行《工业企业厂界环境噪声排放标准》（GB12348 -2008）中3类、4类限值要求。</w:t>
      </w:r>
      <w:r>
        <w:rPr>
          <w:rFonts w:hint="eastAsia" w:ascii="Times New Roman"/>
        </w:rPr>
        <w:t>施工噪声执行《建筑施工场界环境噪声排放标准》（GB12523-2011），详见下表。</w:t>
      </w:r>
    </w:p>
    <w:p w14:paraId="37315BC6">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表2.6-12</w:t>
      </w: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 </w:t>
      </w:r>
      <w:r>
        <w:rPr>
          <w:rFonts w:hint="eastAsia"/>
        </w:rPr>
        <w:t xml:space="preserve"> 厂界环境噪声排放标准      单位：dB（A）</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2"/>
        <w:gridCol w:w="1592"/>
        <w:gridCol w:w="1882"/>
        <w:gridCol w:w="3756"/>
      </w:tblGrid>
      <w:tr w14:paraId="69DA05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8" w:type="pct"/>
            <w:vAlign w:val="center"/>
          </w:tcPr>
          <w:p w14:paraId="58B42CD4">
            <w:pPr>
              <w:pStyle w:val="19"/>
              <w:spacing w:line="240" w:lineRule="auto"/>
              <w:ind w:firstLine="0"/>
              <w:jc w:val="center"/>
              <w:rPr>
                <w:sz w:val="21"/>
                <w:szCs w:val="21"/>
              </w:rPr>
            </w:pPr>
            <w:r>
              <w:rPr>
                <w:rFonts w:hint="eastAsia"/>
                <w:sz w:val="21"/>
                <w:szCs w:val="21"/>
              </w:rPr>
              <w:t>类别</w:t>
            </w:r>
          </w:p>
        </w:tc>
        <w:tc>
          <w:tcPr>
            <w:tcW w:w="934" w:type="pct"/>
            <w:vAlign w:val="center"/>
          </w:tcPr>
          <w:p w14:paraId="19A3C5D5">
            <w:pPr>
              <w:pStyle w:val="19"/>
              <w:spacing w:line="240" w:lineRule="auto"/>
              <w:ind w:firstLine="0"/>
              <w:jc w:val="center"/>
              <w:rPr>
                <w:sz w:val="21"/>
                <w:szCs w:val="21"/>
              </w:rPr>
            </w:pPr>
            <w:r>
              <w:rPr>
                <w:rFonts w:hint="eastAsia"/>
                <w:sz w:val="21"/>
                <w:szCs w:val="21"/>
              </w:rPr>
              <w:t>昼间</w:t>
            </w:r>
          </w:p>
        </w:tc>
        <w:tc>
          <w:tcPr>
            <w:tcW w:w="1104" w:type="pct"/>
            <w:vAlign w:val="center"/>
          </w:tcPr>
          <w:p w14:paraId="36480D8B">
            <w:pPr>
              <w:pStyle w:val="19"/>
              <w:spacing w:line="240" w:lineRule="auto"/>
              <w:ind w:firstLine="0"/>
              <w:jc w:val="center"/>
              <w:rPr>
                <w:sz w:val="21"/>
                <w:szCs w:val="21"/>
              </w:rPr>
            </w:pPr>
            <w:r>
              <w:rPr>
                <w:rFonts w:hint="eastAsia"/>
                <w:sz w:val="21"/>
                <w:szCs w:val="21"/>
              </w:rPr>
              <w:t>夜间</w:t>
            </w:r>
          </w:p>
        </w:tc>
        <w:tc>
          <w:tcPr>
            <w:tcW w:w="2203" w:type="pct"/>
            <w:vAlign w:val="center"/>
          </w:tcPr>
          <w:p w14:paraId="01D52B59">
            <w:pPr>
              <w:pStyle w:val="19"/>
              <w:spacing w:line="240" w:lineRule="auto"/>
              <w:ind w:firstLine="0"/>
              <w:jc w:val="center"/>
              <w:rPr>
                <w:sz w:val="21"/>
                <w:szCs w:val="21"/>
              </w:rPr>
            </w:pPr>
            <w:r>
              <w:rPr>
                <w:rFonts w:hint="eastAsia"/>
                <w:sz w:val="21"/>
                <w:szCs w:val="21"/>
              </w:rPr>
              <w:t>依据</w:t>
            </w:r>
          </w:p>
        </w:tc>
      </w:tr>
      <w:tr w14:paraId="57E93E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8" w:type="pct"/>
            <w:tcBorders>
              <w:bottom w:val="single" w:color="000000" w:sz="8" w:space="0"/>
            </w:tcBorders>
            <w:vAlign w:val="center"/>
          </w:tcPr>
          <w:p w14:paraId="5F8A356E">
            <w:pPr>
              <w:pStyle w:val="19"/>
              <w:spacing w:line="240" w:lineRule="auto"/>
              <w:ind w:firstLine="0"/>
              <w:jc w:val="center"/>
              <w:rPr>
                <w:sz w:val="21"/>
                <w:szCs w:val="21"/>
              </w:rPr>
            </w:pPr>
            <w:r>
              <w:rPr>
                <w:rFonts w:hint="eastAsia"/>
                <w:sz w:val="21"/>
                <w:szCs w:val="21"/>
              </w:rPr>
              <w:t>3</w:t>
            </w:r>
          </w:p>
        </w:tc>
        <w:tc>
          <w:tcPr>
            <w:tcW w:w="934" w:type="pct"/>
            <w:tcBorders>
              <w:bottom w:val="single" w:color="000000" w:sz="8" w:space="0"/>
            </w:tcBorders>
            <w:vAlign w:val="center"/>
          </w:tcPr>
          <w:p w14:paraId="6B4D5D36">
            <w:pPr>
              <w:pStyle w:val="19"/>
              <w:spacing w:line="240" w:lineRule="auto"/>
              <w:ind w:firstLine="0"/>
              <w:jc w:val="center"/>
              <w:rPr>
                <w:sz w:val="21"/>
                <w:szCs w:val="21"/>
              </w:rPr>
            </w:pPr>
            <w:r>
              <w:rPr>
                <w:rFonts w:hint="eastAsia"/>
                <w:sz w:val="21"/>
                <w:szCs w:val="21"/>
              </w:rPr>
              <w:t>65</w:t>
            </w:r>
          </w:p>
        </w:tc>
        <w:tc>
          <w:tcPr>
            <w:tcW w:w="1104" w:type="pct"/>
            <w:vAlign w:val="center"/>
          </w:tcPr>
          <w:p w14:paraId="37733B16">
            <w:pPr>
              <w:pStyle w:val="19"/>
              <w:spacing w:line="240" w:lineRule="auto"/>
              <w:ind w:firstLine="0"/>
              <w:jc w:val="center"/>
              <w:rPr>
                <w:sz w:val="21"/>
                <w:szCs w:val="21"/>
              </w:rPr>
            </w:pPr>
            <w:r>
              <w:rPr>
                <w:rFonts w:hint="eastAsia"/>
                <w:sz w:val="21"/>
                <w:szCs w:val="21"/>
              </w:rPr>
              <w:t>55</w:t>
            </w:r>
          </w:p>
        </w:tc>
        <w:tc>
          <w:tcPr>
            <w:tcW w:w="2203" w:type="pct"/>
            <w:vMerge w:val="restart"/>
            <w:vAlign w:val="center"/>
          </w:tcPr>
          <w:p w14:paraId="51505A3A">
            <w:pPr>
              <w:pStyle w:val="19"/>
              <w:spacing w:line="240" w:lineRule="auto"/>
              <w:ind w:firstLine="0"/>
              <w:jc w:val="center"/>
              <w:rPr>
                <w:sz w:val="21"/>
                <w:szCs w:val="21"/>
              </w:rPr>
            </w:pPr>
            <w:r>
              <w:rPr>
                <w:rFonts w:hint="eastAsia"/>
                <w:sz w:val="21"/>
                <w:szCs w:val="21"/>
              </w:rPr>
              <w:t>《工业企业厂界环境噪声排放标准》（GB12348－2008）</w:t>
            </w:r>
          </w:p>
        </w:tc>
      </w:tr>
      <w:tr w14:paraId="78FBD0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8" w:type="pct"/>
            <w:tcBorders>
              <w:top w:val="single" w:color="000000" w:sz="8" w:space="0"/>
              <w:bottom w:val="single" w:color="000000" w:sz="8" w:space="0"/>
            </w:tcBorders>
            <w:vAlign w:val="center"/>
          </w:tcPr>
          <w:p w14:paraId="1F68B032">
            <w:pPr>
              <w:pStyle w:val="19"/>
              <w:spacing w:line="240" w:lineRule="auto"/>
              <w:ind w:firstLine="0"/>
              <w:jc w:val="center"/>
              <w:rPr>
                <w:sz w:val="21"/>
                <w:szCs w:val="21"/>
              </w:rPr>
            </w:pPr>
            <w:r>
              <w:rPr>
                <w:rFonts w:hint="eastAsia"/>
                <w:sz w:val="21"/>
                <w:szCs w:val="21"/>
              </w:rPr>
              <w:t>4</w:t>
            </w:r>
          </w:p>
        </w:tc>
        <w:tc>
          <w:tcPr>
            <w:tcW w:w="934" w:type="pct"/>
            <w:tcBorders>
              <w:top w:val="single" w:color="000000" w:sz="8" w:space="0"/>
              <w:bottom w:val="single" w:color="000000" w:sz="8" w:space="0"/>
            </w:tcBorders>
            <w:vAlign w:val="center"/>
          </w:tcPr>
          <w:p w14:paraId="5CB4DA47">
            <w:pPr>
              <w:pStyle w:val="19"/>
              <w:spacing w:line="240" w:lineRule="auto"/>
              <w:ind w:firstLine="0"/>
              <w:jc w:val="center"/>
              <w:rPr>
                <w:sz w:val="21"/>
                <w:szCs w:val="21"/>
              </w:rPr>
            </w:pPr>
            <w:r>
              <w:rPr>
                <w:rFonts w:hint="eastAsia"/>
                <w:sz w:val="21"/>
                <w:szCs w:val="21"/>
              </w:rPr>
              <w:t>70</w:t>
            </w:r>
          </w:p>
        </w:tc>
        <w:tc>
          <w:tcPr>
            <w:tcW w:w="1104" w:type="pct"/>
            <w:vAlign w:val="center"/>
          </w:tcPr>
          <w:p w14:paraId="567F21B7">
            <w:pPr>
              <w:pStyle w:val="19"/>
              <w:spacing w:line="240" w:lineRule="auto"/>
              <w:ind w:firstLine="0"/>
              <w:jc w:val="center"/>
              <w:rPr>
                <w:sz w:val="21"/>
                <w:szCs w:val="21"/>
              </w:rPr>
            </w:pPr>
            <w:r>
              <w:rPr>
                <w:rFonts w:hint="eastAsia"/>
                <w:sz w:val="21"/>
                <w:szCs w:val="21"/>
              </w:rPr>
              <w:t>55</w:t>
            </w:r>
          </w:p>
        </w:tc>
        <w:tc>
          <w:tcPr>
            <w:tcW w:w="2203" w:type="pct"/>
            <w:vMerge w:val="continue"/>
            <w:vAlign w:val="center"/>
          </w:tcPr>
          <w:p w14:paraId="79E35EAC">
            <w:pPr>
              <w:pStyle w:val="19"/>
              <w:spacing w:line="240" w:lineRule="auto"/>
              <w:ind w:firstLine="0"/>
              <w:jc w:val="center"/>
              <w:rPr>
                <w:sz w:val="21"/>
                <w:szCs w:val="21"/>
              </w:rPr>
            </w:pPr>
          </w:p>
        </w:tc>
      </w:tr>
      <w:tr w14:paraId="057964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8" w:type="pct"/>
            <w:tcBorders>
              <w:top w:val="single" w:color="000000" w:sz="8" w:space="0"/>
            </w:tcBorders>
            <w:vAlign w:val="center"/>
          </w:tcPr>
          <w:p w14:paraId="5F1AE1D1">
            <w:pPr>
              <w:pStyle w:val="19"/>
              <w:spacing w:line="240" w:lineRule="auto"/>
              <w:ind w:firstLine="0"/>
              <w:jc w:val="center"/>
              <w:rPr>
                <w:sz w:val="21"/>
                <w:szCs w:val="21"/>
              </w:rPr>
            </w:pPr>
            <w:r>
              <w:rPr>
                <w:rFonts w:hint="eastAsia"/>
                <w:sz w:val="21"/>
                <w:szCs w:val="21"/>
              </w:rPr>
              <w:t>3</w:t>
            </w:r>
          </w:p>
        </w:tc>
        <w:tc>
          <w:tcPr>
            <w:tcW w:w="934" w:type="pct"/>
            <w:tcBorders>
              <w:top w:val="single" w:color="000000" w:sz="8" w:space="0"/>
            </w:tcBorders>
            <w:vAlign w:val="center"/>
          </w:tcPr>
          <w:p w14:paraId="674EDE34">
            <w:pPr>
              <w:pStyle w:val="19"/>
              <w:spacing w:line="240" w:lineRule="auto"/>
              <w:ind w:firstLine="0"/>
              <w:jc w:val="center"/>
              <w:rPr>
                <w:sz w:val="21"/>
                <w:szCs w:val="21"/>
              </w:rPr>
            </w:pPr>
            <w:r>
              <w:rPr>
                <w:rFonts w:hint="eastAsia"/>
                <w:sz w:val="21"/>
                <w:szCs w:val="21"/>
              </w:rPr>
              <w:t>70</w:t>
            </w:r>
          </w:p>
        </w:tc>
        <w:tc>
          <w:tcPr>
            <w:tcW w:w="1104" w:type="pct"/>
            <w:vAlign w:val="center"/>
          </w:tcPr>
          <w:p w14:paraId="04EC376A">
            <w:pPr>
              <w:pStyle w:val="19"/>
              <w:spacing w:line="240" w:lineRule="auto"/>
              <w:ind w:firstLine="0"/>
              <w:jc w:val="center"/>
              <w:rPr>
                <w:sz w:val="21"/>
                <w:szCs w:val="21"/>
              </w:rPr>
            </w:pPr>
            <w:r>
              <w:rPr>
                <w:rFonts w:hint="eastAsia"/>
                <w:sz w:val="21"/>
                <w:szCs w:val="21"/>
              </w:rPr>
              <w:t>55</w:t>
            </w:r>
          </w:p>
        </w:tc>
        <w:tc>
          <w:tcPr>
            <w:tcW w:w="2203" w:type="pct"/>
            <w:vAlign w:val="center"/>
          </w:tcPr>
          <w:p w14:paraId="4AD2377E">
            <w:pPr>
              <w:pStyle w:val="19"/>
              <w:spacing w:line="240" w:lineRule="auto"/>
              <w:ind w:firstLine="0"/>
              <w:jc w:val="center"/>
              <w:rPr>
                <w:sz w:val="21"/>
                <w:szCs w:val="21"/>
              </w:rPr>
            </w:pPr>
            <w:r>
              <w:rPr>
                <w:rFonts w:hint="eastAsia"/>
                <w:sz w:val="21"/>
                <w:szCs w:val="21"/>
              </w:rPr>
              <w:t>《建筑施工场界环境噪声排放标准》（GB12523-2011）</w:t>
            </w:r>
          </w:p>
        </w:tc>
      </w:tr>
    </w:tbl>
    <w:p w14:paraId="74274675">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2.6.3.4</w:t>
      </w:r>
      <w:r>
        <w:rPr>
          <w:rFonts w:hint="eastAsia" w:ascii="Times New Roman" w:hAnsi="Times New Roman"/>
        </w:rPr>
        <w:t>固废贮存执行标准</w:t>
      </w:r>
    </w:p>
    <w:p w14:paraId="2458D510">
      <w:pPr>
        <w:pStyle w:val="40"/>
        <w:spacing w:line="360" w:lineRule="auto"/>
        <w:ind w:firstLine="480"/>
        <w:rPr>
          <w:rFonts w:ascii="Times New Roman"/>
        </w:rPr>
      </w:pPr>
      <w:r>
        <w:rPr>
          <w:rFonts w:ascii="Times New Roman"/>
        </w:rPr>
        <w:t>项目产生的固废主要为废边角料、不合格产品、废包装废弃物（不含废油墨桶、废胶水桶、溶剂桶等）、</w:t>
      </w:r>
      <w:r>
        <w:rPr>
          <w:rFonts w:hint="eastAsia" w:ascii="Times New Roman"/>
        </w:rPr>
        <w:t>含油抹布</w:t>
      </w:r>
      <w:r>
        <w:rPr>
          <w:rFonts w:ascii="Times New Roman"/>
        </w:rPr>
        <w:t>、手套和生活垃圾等，其中废边角料、不合格产品等属一般工业固体废物，其贮存执行《一般工业固体废物贮存和填埋污染控制标准》（GB18599-2020）；</w:t>
      </w:r>
      <w:r>
        <w:rPr>
          <w:rFonts w:hint="eastAsia" w:ascii="Times New Roman"/>
        </w:rPr>
        <w:t>溶剂回收精馏残液、</w:t>
      </w:r>
      <w:r>
        <w:rPr>
          <w:rFonts w:ascii="Times New Roman"/>
        </w:rPr>
        <w:t>废活性炭、</w:t>
      </w:r>
      <w:r>
        <w:rPr>
          <w:rFonts w:hint="eastAsia" w:ascii="Times New Roman"/>
        </w:rPr>
        <w:t>废沸石转轮、</w:t>
      </w:r>
      <w:r>
        <w:rPr>
          <w:rFonts w:ascii="Times New Roman"/>
        </w:rPr>
        <w:t>废油墨桶、废胶水桶、溶剂桶等、</w:t>
      </w:r>
      <w:r>
        <w:rPr>
          <w:rFonts w:hint="eastAsia" w:ascii="Times New Roman"/>
        </w:rPr>
        <w:t>含油抹布</w:t>
      </w:r>
      <w:r>
        <w:rPr>
          <w:rFonts w:ascii="Times New Roman"/>
        </w:rPr>
        <w:t>手套</w:t>
      </w:r>
      <w:r>
        <w:rPr>
          <w:rFonts w:hint="eastAsia" w:ascii="Times New Roman"/>
        </w:rPr>
        <w:t>、废导热油、废机油</w:t>
      </w:r>
      <w:r>
        <w:rPr>
          <w:rFonts w:ascii="Times New Roman"/>
        </w:rPr>
        <w:t>等属于危险废物，须委托有资质单位安全处置，其贮存执行《危险废物贮存污染控制标准》（GB18597-20</w:t>
      </w:r>
      <w:r>
        <w:rPr>
          <w:rFonts w:hint="eastAsia" w:ascii="Times New Roman"/>
        </w:rPr>
        <w:t>23</w:t>
      </w:r>
      <w:r>
        <w:rPr>
          <w:rFonts w:ascii="Times New Roman"/>
        </w:rPr>
        <w:t>）；生活垃圾分类收集后及时委托环卫清运。</w:t>
      </w:r>
    </w:p>
    <w:p w14:paraId="4D65DE28">
      <w:pPr>
        <w:pStyle w:val="3"/>
        <w:numPr>
          <w:ilvl w:val="1"/>
          <w:numId w:val="0"/>
        </w:numPr>
        <w:ind w:left="567" w:leftChars="0" w:hanging="567" w:firstLineChars="0"/>
        <w:rPr>
          <w:sz w:val="28"/>
          <w:szCs w:val="28"/>
        </w:rPr>
      </w:pPr>
      <w:bookmarkStart w:id="66" w:name="_Toc7054"/>
      <w:bookmarkStart w:id="67" w:name="_Toc1887"/>
      <w:r>
        <w:rPr>
          <w:rFonts w:hint="default" w:ascii="宋体" w:hAnsi="宋体" w:eastAsia="宋体" w:cs="宋体"/>
          <w:b/>
          <w:bCs/>
          <w:kern w:val="2"/>
          <w:sz w:val="28"/>
          <w:szCs w:val="28"/>
          <w:lang w:val="en-US" w:eastAsia="zh-CN" w:bidi="ar-SA"/>
        </w:rPr>
        <w:t>2.7</w:t>
      </w:r>
      <w:r>
        <w:rPr>
          <w:sz w:val="28"/>
          <w:szCs w:val="28"/>
        </w:rPr>
        <w:t>评价</w:t>
      </w:r>
      <w:bookmarkEnd w:id="66"/>
      <w:r>
        <w:rPr>
          <w:sz w:val="28"/>
          <w:szCs w:val="28"/>
        </w:rPr>
        <w:t>工作等级</w:t>
      </w:r>
      <w:r>
        <w:rPr>
          <w:rFonts w:hint="eastAsia"/>
          <w:sz w:val="28"/>
          <w:szCs w:val="28"/>
        </w:rPr>
        <w:t>与</w:t>
      </w:r>
      <w:r>
        <w:rPr>
          <w:sz w:val="28"/>
          <w:szCs w:val="28"/>
        </w:rPr>
        <w:t>评价范围、评价工作重点</w:t>
      </w:r>
      <w:bookmarkEnd w:id="67"/>
    </w:p>
    <w:p w14:paraId="21ACD9A5">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2.7.1</w:t>
      </w:r>
      <w:r>
        <w:t>评价工作等级及评价范围</w:t>
      </w:r>
    </w:p>
    <w:p w14:paraId="2D95AEEC">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2.7.1.1</w:t>
      </w:r>
      <w:r>
        <w:rPr>
          <w:rFonts w:hint="eastAsia" w:ascii="Times New Roman" w:hAnsi="Times New Roman"/>
        </w:rPr>
        <w:t>环境空气</w:t>
      </w:r>
    </w:p>
    <w:p w14:paraId="62E73D1E">
      <w:pPr>
        <w:ind w:firstLine="480"/>
      </w:pPr>
      <w:r>
        <w:rPr>
          <w:rFonts w:hint="eastAsia" w:ascii="宋体" w:hAnsi="宋体" w:cs="宋体"/>
        </w:rPr>
        <w:t>1.大气评价等级</w:t>
      </w:r>
    </w:p>
    <w:p w14:paraId="0C80F635">
      <w:pPr>
        <w:ind w:firstLine="480"/>
      </w:pPr>
      <w:r>
        <w:t>根据《环境影响评价技术导则 大气环境》（HJ2.2-2018）中5.2节工作等级的确定方法，结合项目工程分析结果，选择正常排放的主要污染物及排放参数，采用附录A推荐模型中的AERSCREEN模式计算项目污染源的最大环境影响，然后按评价工作分级判据进行分级。按照《环境影响评价技术导则 大气环境》（HJ2.2-2018）要求，通过计算污染物的最大地面空气质量浓度占标率Pi（第i个污染物，简称“最大浓度占标率”），及第i个污染物的地面空气质量浓度达到标准值的10%时对应的最远距离D10%。其中Pi定义为</w:t>
      </w:r>
      <w:r>
        <w:rPr>
          <w:rFonts w:hint="eastAsia"/>
        </w:rPr>
        <w:t>：</w:t>
      </w:r>
    </w:p>
    <w:p w14:paraId="78C5F0B0">
      <w:pPr>
        <w:ind w:firstLine="480"/>
        <w:jc w:val="center"/>
        <w:rPr>
          <w:color w:val="FF0000"/>
        </w:rPr>
      </w:pPr>
      <w:r>
        <w:rPr>
          <w:position w:val="-30"/>
        </w:rPr>
        <w:object>
          <v:shape id="_x0000_i1025" o:spt="75" type="#_x0000_t75" style="height:34pt;width:80pt;" o:ole="t" filled="f" o:preferrelative="t" stroked="f" coordsize="21600,21600">
            <v:path/>
            <v:fill on="f" focussize="0,0"/>
            <v:stroke on="f" joinstyle="miter"/>
            <v:imagedata r:id="rId17" o:title=""/>
            <o:lock v:ext="edit" aspectratio="t"/>
            <w10:wrap type="none"/>
            <w10:anchorlock/>
          </v:shape>
          <o:OLEObject Type="Embed" ProgID="Equation.3" ShapeID="_x0000_i1025" DrawAspect="Content" ObjectID="_1468075725" r:id="rId16">
            <o:LockedField>false</o:LockedField>
          </o:OLEObject>
        </w:object>
      </w:r>
    </w:p>
    <w:p w14:paraId="07A171AE">
      <w:pPr>
        <w:ind w:firstLine="480"/>
      </w:pPr>
      <w:r>
        <w:t>式中：</w:t>
      </w:r>
    </w:p>
    <w:p w14:paraId="633349A1">
      <w:pPr>
        <w:ind w:firstLine="480"/>
      </w:pPr>
      <w:r>
        <w:t>Pi——第i个污染物的最大地面空气质量浓度占标率，%；</w:t>
      </w:r>
    </w:p>
    <w:p w14:paraId="626F1A66">
      <w:pPr>
        <w:ind w:firstLine="480"/>
      </w:pPr>
      <w:r>
        <w:t>Ci——采用估算模式计算出的第i个污染物的最大1h地面空气质量浓度，μg/m3；</w:t>
      </w:r>
    </w:p>
    <w:p w14:paraId="24C45C41">
      <w:pPr>
        <w:ind w:firstLine="480"/>
      </w:pPr>
      <w:r>
        <w:t>Coi——第i个污染物的环境空气质量浓度标准，μg/m</w:t>
      </w:r>
      <w:r>
        <w:rPr>
          <w:vertAlign w:val="superscript"/>
        </w:rPr>
        <w:t>3</w:t>
      </w:r>
      <w:r>
        <w:t>；</w:t>
      </w:r>
    </w:p>
    <w:p w14:paraId="3DD975E8">
      <w:pPr>
        <w:ind w:firstLine="480"/>
        <w:rPr>
          <w:color w:val="FF0000"/>
        </w:rPr>
      </w:pPr>
      <w:r>
        <w:t>Coi本项目位于二类区，选用GB3095中1h平均质量浓度的二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5C31C69C">
      <w:pPr>
        <w:pStyle w:val="51"/>
        <w:numPr>
          <w:ilvl w:val="5"/>
          <w:numId w:val="0"/>
        </w:numPr>
        <w:spacing w:before="0" w:beforeLines="0" w:line="360" w:lineRule="auto"/>
        <w:ind w:left="305" w:leftChars="0" w:hanging="3260" w:firstLineChars="0"/>
        <w:rPr>
          <w:u w:val="none"/>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表2.7-1 </w:t>
      </w:r>
      <w:r>
        <w:rPr>
          <w:rFonts w:hint="eastAsia" w:ascii="宋体" w:hAnsi="宋体" w:cs="宋体"/>
          <w:b/>
          <w:bCs/>
          <w:color w:val="auto"/>
          <w:kern w:val="2"/>
          <w:sz w:val="21"/>
          <w:szCs w:val="21"/>
          <w:lang w:val="en-US" w:eastAsia="zh-CN" w:bidi="ar-SA"/>
        </w:rPr>
        <w:t xml:space="preserve">        </w:t>
      </w:r>
      <w:r>
        <w:rPr>
          <w:rFonts w:hint="eastAsia"/>
          <w:u w:val="none"/>
        </w:rPr>
        <w:t>估算模型参数表</w:t>
      </w:r>
    </w:p>
    <w:tbl>
      <w:tblPr>
        <w:tblStyle w:val="32"/>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7F6353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81" w:type="dxa"/>
            <w:gridSpan w:val="2"/>
            <w:tcBorders>
              <w:tl2br w:val="nil"/>
              <w:tr2bl w:val="nil"/>
            </w:tcBorders>
            <w:vAlign w:val="center"/>
          </w:tcPr>
          <w:p w14:paraId="093F6FEF">
            <w:pPr>
              <w:pStyle w:val="89"/>
              <w:rPr>
                <w:u w:val="none"/>
              </w:rPr>
            </w:pPr>
            <w:r>
              <w:rPr>
                <w:rFonts w:hint="eastAsia"/>
                <w:u w:val="none"/>
              </w:rPr>
              <w:t>参数</w:t>
            </w:r>
          </w:p>
        </w:tc>
        <w:tc>
          <w:tcPr>
            <w:tcW w:w="2841" w:type="dxa"/>
            <w:tcBorders>
              <w:tl2br w:val="nil"/>
              <w:tr2bl w:val="nil"/>
            </w:tcBorders>
            <w:vAlign w:val="center"/>
          </w:tcPr>
          <w:p w14:paraId="0C1990CE">
            <w:pPr>
              <w:pStyle w:val="89"/>
              <w:rPr>
                <w:u w:val="none"/>
              </w:rPr>
            </w:pPr>
            <w:r>
              <w:rPr>
                <w:rFonts w:hint="eastAsia"/>
                <w:u w:val="none"/>
              </w:rPr>
              <w:t>取值</w:t>
            </w:r>
          </w:p>
        </w:tc>
      </w:tr>
      <w:tr w14:paraId="292E4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restart"/>
            <w:tcBorders>
              <w:tl2br w:val="nil"/>
              <w:tr2bl w:val="nil"/>
            </w:tcBorders>
            <w:vAlign w:val="center"/>
          </w:tcPr>
          <w:p w14:paraId="0B4C2333">
            <w:pPr>
              <w:pStyle w:val="89"/>
              <w:rPr>
                <w:u w:val="none"/>
              </w:rPr>
            </w:pPr>
            <w:r>
              <w:rPr>
                <w:u w:val="none"/>
              </w:rPr>
              <w:t>城市/农村选项</w:t>
            </w:r>
          </w:p>
        </w:tc>
        <w:tc>
          <w:tcPr>
            <w:tcW w:w="2841" w:type="dxa"/>
            <w:tcBorders>
              <w:tl2br w:val="nil"/>
              <w:tr2bl w:val="nil"/>
            </w:tcBorders>
            <w:vAlign w:val="center"/>
          </w:tcPr>
          <w:p w14:paraId="03EF6435">
            <w:pPr>
              <w:pStyle w:val="89"/>
              <w:rPr>
                <w:u w:val="none"/>
              </w:rPr>
            </w:pPr>
            <w:r>
              <w:rPr>
                <w:rFonts w:hint="eastAsia"/>
                <w:u w:val="none"/>
              </w:rPr>
              <w:t>城市</w:t>
            </w:r>
            <w:r>
              <w:rPr>
                <w:u w:val="none"/>
              </w:rPr>
              <w:t>/</w:t>
            </w:r>
            <w:r>
              <w:rPr>
                <w:rFonts w:hint="eastAsia"/>
                <w:u w:val="none"/>
              </w:rPr>
              <w:t>农村</w:t>
            </w:r>
          </w:p>
        </w:tc>
        <w:tc>
          <w:tcPr>
            <w:tcW w:w="2841" w:type="dxa"/>
            <w:tcBorders>
              <w:tl2br w:val="nil"/>
              <w:tr2bl w:val="nil"/>
            </w:tcBorders>
            <w:vAlign w:val="center"/>
          </w:tcPr>
          <w:p w14:paraId="1614AA5C">
            <w:pPr>
              <w:pStyle w:val="89"/>
              <w:rPr>
                <w:u w:val="none"/>
              </w:rPr>
            </w:pPr>
            <w:r>
              <w:rPr>
                <w:rFonts w:hint="eastAsia"/>
                <w:u w:val="none"/>
              </w:rPr>
              <w:t>城市</w:t>
            </w:r>
          </w:p>
        </w:tc>
      </w:tr>
      <w:tr w14:paraId="68508A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continue"/>
            <w:tcBorders>
              <w:tl2br w:val="nil"/>
              <w:tr2bl w:val="nil"/>
            </w:tcBorders>
            <w:vAlign w:val="center"/>
          </w:tcPr>
          <w:p w14:paraId="32F64F4B">
            <w:pPr>
              <w:pStyle w:val="89"/>
              <w:rPr>
                <w:u w:val="none"/>
              </w:rPr>
            </w:pPr>
          </w:p>
        </w:tc>
        <w:tc>
          <w:tcPr>
            <w:tcW w:w="2841" w:type="dxa"/>
            <w:tcBorders>
              <w:tl2br w:val="nil"/>
              <w:tr2bl w:val="nil"/>
            </w:tcBorders>
            <w:vAlign w:val="center"/>
          </w:tcPr>
          <w:p w14:paraId="75581D77">
            <w:pPr>
              <w:pStyle w:val="89"/>
              <w:rPr>
                <w:u w:val="none"/>
              </w:rPr>
            </w:pPr>
            <w:r>
              <w:rPr>
                <w:rFonts w:hint="eastAsia"/>
                <w:u w:val="none"/>
              </w:rPr>
              <w:t>人口数（城市选项）</w:t>
            </w:r>
          </w:p>
        </w:tc>
        <w:tc>
          <w:tcPr>
            <w:tcW w:w="2841" w:type="dxa"/>
            <w:tcBorders>
              <w:tl2br w:val="nil"/>
              <w:tr2bl w:val="nil"/>
            </w:tcBorders>
            <w:vAlign w:val="center"/>
          </w:tcPr>
          <w:p w14:paraId="44921D9B">
            <w:pPr>
              <w:pStyle w:val="89"/>
              <w:rPr>
                <w:u w:val="none"/>
              </w:rPr>
            </w:pPr>
            <w:r>
              <w:rPr>
                <w:rFonts w:hint="eastAsia"/>
                <w:u w:val="none"/>
              </w:rPr>
              <w:t>286.5万</w:t>
            </w:r>
          </w:p>
        </w:tc>
      </w:tr>
      <w:tr w14:paraId="67E70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81" w:type="dxa"/>
            <w:gridSpan w:val="2"/>
            <w:tcBorders>
              <w:tl2br w:val="nil"/>
              <w:tr2bl w:val="nil"/>
            </w:tcBorders>
            <w:vAlign w:val="center"/>
          </w:tcPr>
          <w:p w14:paraId="7A075992">
            <w:pPr>
              <w:pStyle w:val="89"/>
              <w:rPr>
                <w:u w:val="none"/>
              </w:rPr>
            </w:pPr>
            <w:r>
              <w:rPr>
                <w:rFonts w:hint="eastAsia"/>
                <w:u w:val="none"/>
              </w:rPr>
              <w:t>最高环境温度</w:t>
            </w:r>
            <w:r>
              <w:rPr>
                <w:u w:val="none"/>
              </w:rPr>
              <w:t>/℃</w:t>
            </w:r>
          </w:p>
        </w:tc>
        <w:tc>
          <w:tcPr>
            <w:tcW w:w="2841" w:type="dxa"/>
            <w:tcBorders>
              <w:tl2br w:val="nil"/>
              <w:tr2bl w:val="nil"/>
            </w:tcBorders>
            <w:vAlign w:val="center"/>
          </w:tcPr>
          <w:p w14:paraId="4C083964">
            <w:pPr>
              <w:pStyle w:val="89"/>
              <w:rPr>
                <w:u w:val="none"/>
              </w:rPr>
            </w:pPr>
            <w:r>
              <w:rPr>
                <w:rFonts w:hint="eastAsia"/>
                <w:u w:val="none"/>
              </w:rPr>
              <w:t>42.2</w:t>
            </w:r>
          </w:p>
        </w:tc>
      </w:tr>
      <w:tr w14:paraId="305EAA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81" w:type="dxa"/>
            <w:gridSpan w:val="2"/>
            <w:tcBorders>
              <w:tl2br w:val="nil"/>
              <w:tr2bl w:val="nil"/>
            </w:tcBorders>
            <w:vAlign w:val="center"/>
          </w:tcPr>
          <w:p w14:paraId="1F89BBAE">
            <w:pPr>
              <w:pStyle w:val="89"/>
              <w:rPr>
                <w:u w:val="none"/>
              </w:rPr>
            </w:pPr>
            <w:r>
              <w:rPr>
                <w:rFonts w:hint="eastAsia"/>
                <w:u w:val="none"/>
              </w:rPr>
              <w:t>最低环境温度</w:t>
            </w:r>
            <w:r>
              <w:rPr>
                <w:u w:val="none"/>
              </w:rPr>
              <w:t>/℃</w:t>
            </w:r>
          </w:p>
        </w:tc>
        <w:tc>
          <w:tcPr>
            <w:tcW w:w="2841" w:type="dxa"/>
            <w:tcBorders>
              <w:tl2br w:val="nil"/>
              <w:tr2bl w:val="nil"/>
            </w:tcBorders>
            <w:vAlign w:val="center"/>
          </w:tcPr>
          <w:p w14:paraId="79A742E8">
            <w:pPr>
              <w:pStyle w:val="89"/>
              <w:rPr>
                <w:u w:val="none"/>
              </w:rPr>
            </w:pPr>
            <w:r>
              <w:rPr>
                <w:rFonts w:hint="eastAsia"/>
                <w:u w:val="none"/>
              </w:rPr>
              <w:t>-8.5</w:t>
            </w:r>
          </w:p>
        </w:tc>
      </w:tr>
      <w:tr w14:paraId="2D95D9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81" w:type="dxa"/>
            <w:gridSpan w:val="2"/>
            <w:tcBorders>
              <w:tl2br w:val="nil"/>
              <w:tr2bl w:val="nil"/>
            </w:tcBorders>
            <w:vAlign w:val="center"/>
          </w:tcPr>
          <w:p w14:paraId="0641C191">
            <w:pPr>
              <w:pStyle w:val="89"/>
              <w:rPr>
                <w:u w:val="none"/>
              </w:rPr>
            </w:pPr>
            <w:r>
              <w:rPr>
                <w:rFonts w:hint="eastAsia"/>
                <w:u w:val="none"/>
              </w:rPr>
              <w:t>土地利用类型</w:t>
            </w:r>
          </w:p>
        </w:tc>
        <w:tc>
          <w:tcPr>
            <w:tcW w:w="2841" w:type="dxa"/>
            <w:tcBorders>
              <w:tl2br w:val="nil"/>
              <w:tr2bl w:val="nil"/>
            </w:tcBorders>
            <w:vAlign w:val="center"/>
          </w:tcPr>
          <w:p w14:paraId="4434767F">
            <w:pPr>
              <w:pStyle w:val="89"/>
              <w:rPr>
                <w:u w:val="none"/>
              </w:rPr>
            </w:pPr>
            <w:r>
              <w:rPr>
                <w:rFonts w:hint="eastAsia"/>
                <w:u w:val="none"/>
              </w:rPr>
              <w:t>城市</w:t>
            </w:r>
          </w:p>
        </w:tc>
      </w:tr>
      <w:tr w14:paraId="5CD69D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81" w:type="dxa"/>
            <w:gridSpan w:val="2"/>
            <w:tcBorders>
              <w:tl2br w:val="nil"/>
              <w:tr2bl w:val="nil"/>
            </w:tcBorders>
            <w:vAlign w:val="center"/>
          </w:tcPr>
          <w:p w14:paraId="20DB7488">
            <w:pPr>
              <w:pStyle w:val="89"/>
              <w:rPr>
                <w:u w:val="none"/>
              </w:rPr>
            </w:pPr>
            <w:r>
              <w:rPr>
                <w:rFonts w:hint="eastAsia"/>
                <w:u w:val="none"/>
              </w:rPr>
              <w:t>区域湿度条件</w:t>
            </w:r>
          </w:p>
        </w:tc>
        <w:tc>
          <w:tcPr>
            <w:tcW w:w="2841" w:type="dxa"/>
            <w:tcBorders>
              <w:tl2br w:val="nil"/>
              <w:tr2bl w:val="nil"/>
            </w:tcBorders>
            <w:vAlign w:val="center"/>
          </w:tcPr>
          <w:p w14:paraId="736BA6E8">
            <w:pPr>
              <w:pStyle w:val="89"/>
              <w:rPr>
                <w:u w:val="none"/>
              </w:rPr>
            </w:pPr>
            <w:r>
              <w:rPr>
                <w:rFonts w:hint="eastAsia"/>
                <w:u w:val="none"/>
              </w:rPr>
              <w:t>潮湿气候</w:t>
            </w:r>
          </w:p>
        </w:tc>
      </w:tr>
      <w:tr w14:paraId="0337AE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restart"/>
            <w:tcBorders>
              <w:tl2br w:val="nil"/>
              <w:tr2bl w:val="nil"/>
            </w:tcBorders>
            <w:vAlign w:val="center"/>
          </w:tcPr>
          <w:p w14:paraId="12B4BCD1">
            <w:pPr>
              <w:pStyle w:val="89"/>
              <w:rPr>
                <w:u w:val="none"/>
              </w:rPr>
            </w:pPr>
            <w:r>
              <w:rPr>
                <w:rFonts w:hint="eastAsia"/>
                <w:u w:val="none"/>
              </w:rPr>
              <w:t>是否考虑地形</w:t>
            </w:r>
          </w:p>
        </w:tc>
        <w:tc>
          <w:tcPr>
            <w:tcW w:w="2841" w:type="dxa"/>
            <w:tcBorders>
              <w:tl2br w:val="nil"/>
              <w:tr2bl w:val="nil"/>
            </w:tcBorders>
            <w:vAlign w:val="center"/>
          </w:tcPr>
          <w:p w14:paraId="172081EE">
            <w:pPr>
              <w:pStyle w:val="89"/>
              <w:rPr>
                <w:u w:val="none"/>
              </w:rPr>
            </w:pPr>
            <w:r>
              <w:rPr>
                <w:rFonts w:hint="eastAsia"/>
                <w:u w:val="none"/>
              </w:rPr>
              <w:t>考虑地形</w:t>
            </w:r>
          </w:p>
        </w:tc>
        <w:tc>
          <w:tcPr>
            <w:tcW w:w="2841" w:type="dxa"/>
            <w:tcBorders>
              <w:tl2br w:val="nil"/>
              <w:tr2bl w:val="nil"/>
            </w:tcBorders>
            <w:vAlign w:val="center"/>
          </w:tcPr>
          <w:p w14:paraId="0465DFB7">
            <w:pPr>
              <w:pStyle w:val="89"/>
              <w:rPr>
                <w:u w:val="none"/>
              </w:rPr>
            </w:pPr>
            <w:r>
              <w:rPr>
                <w:rFonts w:hint="eastAsia"/>
                <w:u w:val="none"/>
              </w:rPr>
              <w:t>是</w:t>
            </w:r>
            <w:r>
              <w:rPr>
                <w:rFonts w:hint="eastAsia"/>
                <w:u w:val="none"/>
              </w:rPr>
              <w:sym w:font="Wingdings 2" w:char="F052"/>
            </w:r>
            <w:r>
              <w:rPr>
                <w:rFonts w:hint="eastAsia"/>
                <w:u w:val="none"/>
              </w:rPr>
              <w:t xml:space="preserve"> 否</w:t>
            </w:r>
            <w:r>
              <w:rPr>
                <w:rFonts w:hint="eastAsia"/>
                <w:u w:val="none"/>
              </w:rPr>
              <w:sym w:font="Wingdings 2" w:char="00A3"/>
            </w:r>
          </w:p>
        </w:tc>
      </w:tr>
      <w:tr w14:paraId="0E793A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continue"/>
            <w:tcBorders>
              <w:tl2br w:val="nil"/>
              <w:tr2bl w:val="nil"/>
            </w:tcBorders>
            <w:vAlign w:val="center"/>
          </w:tcPr>
          <w:p w14:paraId="2F3C2A4A">
            <w:pPr>
              <w:pStyle w:val="89"/>
              <w:rPr>
                <w:u w:val="none"/>
              </w:rPr>
            </w:pPr>
          </w:p>
        </w:tc>
        <w:tc>
          <w:tcPr>
            <w:tcW w:w="2841" w:type="dxa"/>
            <w:tcBorders>
              <w:tl2br w:val="nil"/>
              <w:tr2bl w:val="nil"/>
            </w:tcBorders>
            <w:vAlign w:val="center"/>
          </w:tcPr>
          <w:p w14:paraId="32BA51A2">
            <w:pPr>
              <w:pStyle w:val="89"/>
              <w:rPr>
                <w:u w:val="none"/>
              </w:rPr>
            </w:pPr>
            <w:r>
              <w:rPr>
                <w:rFonts w:hint="eastAsia"/>
                <w:u w:val="none"/>
              </w:rPr>
              <w:t>地形数据分辨率</w:t>
            </w:r>
            <w:r>
              <w:rPr>
                <w:u w:val="none"/>
              </w:rPr>
              <w:t>/m</w:t>
            </w:r>
          </w:p>
        </w:tc>
        <w:tc>
          <w:tcPr>
            <w:tcW w:w="2841" w:type="dxa"/>
            <w:tcBorders>
              <w:tl2br w:val="nil"/>
              <w:tr2bl w:val="nil"/>
            </w:tcBorders>
            <w:vAlign w:val="center"/>
          </w:tcPr>
          <w:p w14:paraId="7E48DDAF">
            <w:pPr>
              <w:pStyle w:val="89"/>
              <w:rPr>
                <w:u w:val="none"/>
              </w:rPr>
            </w:pPr>
            <w:r>
              <w:rPr>
                <w:rFonts w:hint="eastAsia"/>
                <w:u w:val="none"/>
              </w:rPr>
              <w:t>90</w:t>
            </w:r>
          </w:p>
        </w:tc>
      </w:tr>
      <w:tr w14:paraId="2E097F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restart"/>
            <w:tcBorders>
              <w:tl2br w:val="nil"/>
              <w:tr2bl w:val="nil"/>
            </w:tcBorders>
            <w:vAlign w:val="center"/>
          </w:tcPr>
          <w:p w14:paraId="12B2712E">
            <w:pPr>
              <w:pStyle w:val="89"/>
              <w:rPr>
                <w:u w:val="none"/>
              </w:rPr>
            </w:pPr>
            <w:r>
              <w:rPr>
                <w:rFonts w:hint="eastAsia"/>
                <w:u w:val="none"/>
              </w:rPr>
              <w:t>是否考虑岸线熏烟</w:t>
            </w:r>
          </w:p>
        </w:tc>
        <w:tc>
          <w:tcPr>
            <w:tcW w:w="2841" w:type="dxa"/>
            <w:tcBorders>
              <w:tl2br w:val="nil"/>
              <w:tr2bl w:val="nil"/>
            </w:tcBorders>
            <w:vAlign w:val="center"/>
          </w:tcPr>
          <w:p w14:paraId="4F23591C">
            <w:pPr>
              <w:pStyle w:val="89"/>
              <w:rPr>
                <w:u w:val="none"/>
              </w:rPr>
            </w:pPr>
            <w:r>
              <w:rPr>
                <w:rFonts w:hint="eastAsia"/>
                <w:u w:val="none"/>
              </w:rPr>
              <w:t>考虑岸线熏烟</w:t>
            </w:r>
          </w:p>
        </w:tc>
        <w:tc>
          <w:tcPr>
            <w:tcW w:w="2841" w:type="dxa"/>
            <w:tcBorders>
              <w:tl2br w:val="nil"/>
              <w:tr2bl w:val="nil"/>
            </w:tcBorders>
            <w:vAlign w:val="center"/>
          </w:tcPr>
          <w:p w14:paraId="11A667FD">
            <w:pPr>
              <w:pStyle w:val="89"/>
              <w:rPr>
                <w:u w:val="none"/>
              </w:rPr>
            </w:pPr>
            <w:r>
              <w:rPr>
                <w:rFonts w:hint="eastAsia"/>
                <w:u w:val="none"/>
              </w:rPr>
              <w:t>是</w:t>
            </w:r>
            <w:r>
              <w:rPr>
                <w:rFonts w:hint="eastAsia"/>
                <w:u w:val="none"/>
              </w:rPr>
              <w:sym w:font="Wingdings 2" w:char="00A3"/>
            </w:r>
            <w:r>
              <w:rPr>
                <w:rFonts w:hint="eastAsia"/>
                <w:u w:val="none"/>
              </w:rPr>
              <w:t xml:space="preserve"> 否</w:t>
            </w:r>
            <w:r>
              <w:rPr>
                <w:rFonts w:hint="eastAsia"/>
                <w:u w:val="none"/>
              </w:rPr>
              <w:sym w:font="Wingdings 2" w:char="0052"/>
            </w:r>
          </w:p>
        </w:tc>
      </w:tr>
      <w:tr w14:paraId="6B289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continue"/>
            <w:tcBorders>
              <w:tl2br w:val="nil"/>
              <w:tr2bl w:val="nil"/>
            </w:tcBorders>
            <w:vAlign w:val="center"/>
          </w:tcPr>
          <w:p w14:paraId="17A54241">
            <w:pPr>
              <w:pStyle w:val="89"/>
              <w:rPr>
                <w:u w:val="none"/>
              </w:rPr>
            </w:pPr>
          </w:p>
        </w:tc>
        <w:tc>
          <w:tcPr>
            <w:tcW w:w="2841" w:type="dxa"/>
            <w:tcBorders>
              <w:tl2br w:val="nil"/>
              <w:tr2bl w:val="nil"/>
            </w:tcBorders>
            <w:vAlign w:val="center"/>
          </w:tcPr>
          <w:p w14:paraId="36C68C85">
            <w:pPr>
              <w:pStyle w:val="89"/>
              <w:rPr>
                <w:u w:val="none"/>
              </w:rPr>
            </w:pPr>
            <w:r>
              <w:rPr>
                <w:rFonts w:hint="eastAsia"/>
                <w:u w:val="none"/>
              </w:rPr>
              <w:t>岸线距离</w:t>
            </w:r>
            <w:r>
              <w:rPr>
                <w:u w:val="none"/>
              </w:rPr>
              <w:t>/km</w:t>
            </w:r>
          </w:p>
        </w:tc>
        <w:tc>
          <w:tcPr>
            <w:tcW w:w="2841" w:type="dxa"/>
            <w:tcBorders>
              <w:tl2br w:val="nil"/>
              <w:tr2bl w:val="nil"/>
            </w:tcBorders>
            <w:vAlign w:val="center"/>
          </w:tcPr>
          <w:p w14:paraId="7C235D0B">
            <w:pPr>
              <w:pStyle w:val="89"/>
              <w:rPr>
                <w:u w:val="none"/>
              </w:rPr>
            </w:pPr>
            <w:r>
              <w:rPr>
                <w:rFonts w:hint="eastAsia"/>
                <w:u w:val="none"/>
              </w:rPr>
              <w:t>-</w:t>
            </w:r>
          </w:p>
        </w:tc>
      </w:tr>
      <w:tr w14:paraId="6B0336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0" w:type="dxa"/>
            <w:vMerge w:val="continue"/>
            <w:tcBorders>
              <w:tl2br w:val="nil"/>
              <w:tr2bl w:val="nil"/>
            </w:tcBorders>
            <w:vAlign w:val="center"/>
          </w:tcPr>
          <w:p w14:paraId="5463C8F2">
            <w:pPr>
              <w:pStyle w:val="89"/>
              <w:rPr>
                <w:u w:val="none"/>
              </w:rPr>
            </w:pPr>
          </w:p>
        </w:tc>
        <w:tc>
          <w:tcPr>
            <w:tcW w:w="2841" w:type="dxa"/>
            <w:tcBorders>
              <w:tl2br w:val="nil"/>
              <w:tr2bl w:val="nil"/>
            </w:tcBorders>
            <w:vAlign w:val="center"/>
          </w:tcPr>
          <w:p w14:paraId="099B6391">
            <w:pPr>
              <w:pStyle w:val="89"/>
              <w:rPr>
                <w:u w:val="none"/>
              </w:rPr>
            </w:pPr>
            <w:r>
              <w:rPr>
                <w:rFonts w:hint="eastAsia"/>
                <w:u w:val="none"/>
              </w:rPr>
              <w:t>岸线方向</w:t>
            </w:r>
            <w:r>
              <w:rPr>
                <w:u w:val="none"/>
              </w:rPr>
              <w:t>/°</w:t>
            </w:r>
          </w:p>
        </w:tc>
        <w:tc>
          <w:tcPr>
            <w:tcW w:w="2841" w:type="dxa"/>
            <w:tcBorders>
              <w:tl2br w:val="nil"/>
              <w:tr2bl w:val="nil"/>
            </w:tcBorders>
            <w:vAlign w:val="center"/>
          </w:tcPr>
          <w:p w14:paraId="6DE3756B">
            <w:pPr>
              <w:pStyle w:val="89"/>
              <w:rPr>
                <w:u w:val="none"/>
              </w:rPr>
            </w:pPr>
            <w:r>
              <w:rPr>
                <w:rFonts w:hint="eastAsia"/>
                <w:u w:val="none"/>
              </w:rPr>
              <w:t>-</w:t>
            </w:r>
          </w:p>
        </w:tc>
      </w:tr>
    </w:tbl>
    <w:p w14:paraId="51879AB8">
      <w:pPr>
        <w:ind w:firstLine="480"/>
        <w:rPr>
          <w:u w:val="none"/>
        </w:rPr>
      </w:pPr>
      <w:r>
        <w:rPr>
          <w:u w:val="none"/>
        </w:rPr>
        <w:t>按照《环境影响评价技术导则 大气环境》（HJ2.2-2018），经初步工程分析结果，采用估算模式分别计算最大地面质量浓度占标率，本项目废气污染源调查清单，根据污染源调查结果，采用《环境影响评价技术导则 大气环境》（HJ2.2-2018）推荐的估算模式AERSCREEN进行预测，预测出主要污染物最大地面质量浓度占标率见下</w:t>
      </w:r>
      <w:r>
        <w:rPr>
          <w:rFonts w:hint="eastAsia"/>
          <w:u w:val="none"/>
          <w:lang w:val="en-US" w:eastAsia="zh-CN"/>
        </w:rPr>
        <w:t>图</w:t>
      </w:r>
      <w:r>
        <w:rPr>
          <w:u w:val="none"/>
        </w:rPr>
        <w:t>。</w:t>
      </w:r>
    </w:p>
    <w:p w14:paraId="76EC7EDB">
      <w:pPr>
        <w:pStyle w:val="38"/>
        <w:rPr>
          <w:u w:val="none"/>
        </w:rPr>
      </w:pPr>
    </w:p>
    <w:p w14:paraId="73568680">
      <w:pPr>
        <w:pStyle w:val="38"/>
        <w:rPr>
          <w:rFonts w:ascii="宋体" w:hAnsi="宋体" w:cs="宋体"/>
          <w:color w:val="000000"/>
          <w:kern w:val="0"/>
          <w:u w:val="none"/>
          <w:lang w:bidi="ar"/>
        </w:rPr>
      </w:pPr>
      <w:r>
        <w:rPr>
          <w:rFonts w:hint="eastAsia" w:eastAsia="宋体"/>
          <w:b/>
          <w:bCs/>
          <w:sz w:val="24"/>
          <w:szCs w:val="24"/>
          <w:u w:val="none"/>
          <w:lang w:eastAsia="zh-CN"/>
        </w:rPr>
        <w:drawing>
          <wp:anchor distT="0" distB="0" distL="114300" distR="114300" simplePos="0" relativeHeight="251672576" behindDoc="0" locked="0" layoutInCell="1" allowOverlap="1">
            <wp:simplePos x="0" y="0"/>
            <wp:positionH relativeFrom="column">
              <wp:posOffset>9525</wp:posOffset>
            </wp:positionH>
            <wp:positionV relativeFrom="paragraph">
              <wp:posOffset>53975</wp:posOffset>
            </wp:positionV>
            <wp:extent cx="5273675" cy="2860675"/>
            <wp:effectExtent l="0" t="0" r="3175" b="15875"/>
            <wp:wrapSquare wrapText="bothSides"/>
            <wp:docPr id="23" name="图片 23" descr="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33333"/>
                    <pic:cNvPicPr>
                      <a:picLocks noChangeAspect="1"/>
                    </pic:cNvPicPr>
                  </pic:nvPicPr>
                  <pic:blipFill>
                    <a:blip r:embed="rId18"/>
                    <a:stretch>
                      <a:fillRect/>
                    </a:stretch>
                  </pic:blipFill>
                  <pic:spPr>
                    <a:xfrm>
                      <a:off x="0" y="0"/>
                      <a:ext cx="5273675" cy="2860675"/>
                    </a:xfrm>
                    <a:prstGeom prst="rect">
                      <a:avLst/>
                    </a:prstGeom>
                  </pic:spPr>
                </pic:pic>
              </a:graphicData>
            </a:graphic>
          </wp:anchor>
        </w:drawing>
      </w:r>
      <w:r>
        <w:rPr>
          <w:rFonts w:hint="eastAsia" w:eastAsia="宋体"/>
          <w:b/>
          <w:bCs/>
          <w:sz w:val="24"/>
          <w:szCs w:val="24"/>
          <w:u w:val="none"/>
          <w:lang w:val="en-US" w:eastAsia="zh-CN"/>
        </w:rPr>
        <w:t xml:space="preserve">    </w:t>
      </w:r>
      <w:r>
        <w:rPr>
          <w:rFonts w:hint="eastAsia" w:ascii="宋体" w:hAnsi="宋体" w:cs="宋体"/>
          <w:color w:val="000000"/>
          <w:kern w:val="0"/>
          <w:u w:val="none"/>
          <w:lang w:bidi="ar"/>
        </w:rPr>
        <w:t>按照《环境影响评价技术导则 大气环境》（</w:t>
      </w:r>
      <w:r>
        <w:rPr>
          <w:color w:val="000000"/>
          <w:kern w:val="0"/>
          <w:u w:val="none"/>
          <w:lang w:bidi="ar"/>
        </w:rPr>
        <w:t>HJ2.2-2018</w:t>
      </w:r>
      <w:r>
        <w:rPr>
          <w:rFonts w:hint="eastAsia" w:ascii="宋体" w:hAnsi="宋体" w:cs="宋体"/>
          <w:color w:val="000000"/>
          <w:kern w:val="0"/>
          <w:u w:val="none"/>
          <w:lang w:bidi="ar"/>
        </w:rPr>
        <w:t>），大气环境影响评价工作等级判断如下表所示：</w:t>
      </w:r>
    </w:p>
    <w:p w14:paraId="2789A3B5">
      <w:pPr>
        <w:pStyle w:val="51"/>
        <w:numPr>
          <w:ilvl w:val="5"/>
          <w:numId w:val="0"/>
        </w:numPr>
        <w:spacing w:before="0" w:beforeLines="0" w:line="360" w:lineRule="auto"/>
        <w:ind w:left="305" w:leftChars="0" w:hanging="3260" w:firstLineChars="0"/>
        <w:rPr>
          <w:u w:val="none"/>
        </w:rPr>
      </w:pPr>
      <w:r>
        <w:rPr>
          <w:rFonts w:hint="eastAsia" w:ascii="宋体" w:hAnsi="宋体" w:cs="宋体"/>
          <w:b/>
          <w:bCs/>
          <w:color w:val="auto"/>
          <w:kern w:val="2"/>
          <w:sz w:val="21"/>
          <w:szCs w:val="21"/>
          <w:u w:val="none"/>
          <w:lang w:val="en-US" w:eastAsia="zh-CN" w:bidi="ar-SA"/>
        </w:rPr>
        <w:t xml:space="preserve">              </w:t>
      </w:r>
      <w:r>
        <w:rPr>
          <w:rFonts w:hint="default" w:ascii="宋体" w:hAnsi="宋体" w:eastAsia="宋体" w:cs="宋体"/>
          <w:b/>
          <w:bCs/>
          <w:color w:val="auto"/>
          <w:kern w:val="2"/>
          <w:sz w:val="21"/>
          <w:szCs w:val="21"/>
          <w:u w:val="none"/>
          <w:lang w:val="en-US" w:eastAsia="zh-CN" w:bidi="ar-SA"/>
        </w:rPr>
        <w:t xml:space="preserve">表2.7-3 </w:t>
      </w:r>
      <w:r>
        <w:rPr>
          <w:rFonts w:hint="eastAsia" w:ascii="宋体" w:hAnsi="宋体" w:cs="宋体"/>
          <w:b/>
          <w:bCs/>
          <w:color w:val="auto"/>
          <w:kern w:val="2"/>
          <w:sz w:val="21"/>
          <w:szCs w:val="21"/>
          <w:u w:val="none"/>
          <w:lang w:val="en-US" w:eastAsia="zh-CN" w:bidi="ar-SA"/>
        </w:rPr>
        <w:t xml:space="preserve">   </w:t>
      </w:r>
      <w:r>
        <w:rPr>
          <w:rFonts w:hint="eastAsia"/>
          <w:u w:val="none"/>
        </w:rPr>
        <w:t xml:space="preserve"> 大气评价工作等级划分判据</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77"/>
        <w:gridCol w:w="4245"/>
      </w:tblGrid>
      <w:tr w14:paraId="7C9737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9" w:type="pct"/>
            <w:vAlign w:val="center"/>
          </w:tcPr>
          <w:p w14:paraId="1D58C1DA">
            <w:pPr>
              <w:pStyle w:val="19"/>
              <w:spacing w:line="240" w:lineRule="auto"/>
              <w:ind w:firstLine="0"/>
              <w:jc w:val="center"/>
              <w:rPr>
                <w:sz w:val="21"/>
                <w:szCs w:val="21"/>
                <w:u w:val="none"/>
              </w:rPr>
            </w:pPr>
            <w:r>
              <w:rPr>
                <w:rFonts w:hint="eastAsia"/>
                <w:sz w:val="21"/>
                <w:szCs w:val="21"/>
                <w:u w:val="none"/>
              </w:rPr>
              <w:t>评价工作等级</w:t>
            </w:r>
          </w:p>
        </w:tc>
        <w:tc>
          <w:tcPr>
            <w:tcW w:w="2490" w:type="pct"/>
            <w:vAlign w:val="center"/>
          </w:tcPr>
          <w:p w14:paraId="1E63E314">
            <w:pPr>
              <w:pStyle w:val="19"/>
              <w:spacing w:line="240" w:lineRule="auto"/>
              <w:ind w:firstLine="0"/>
              <w:jc w:val="center"/>
              <w:rPr>
                <w:sz w:val="21"/>
                <w:szCs w:val="21"/>
                <w:u w:val="none"/>
              </w:rPr>
            </w:pPr>
            <w:r>
              <w:rPr>
                <w:rFonts w:hint="eastAsia"/>
                <w:sz w:val="21"/>
                <w:szCs w:val="21"/>
                <w:u w:val="none"/>
              </w:rPr>
              <w:t>评价工作分级判据</w:t>
            </w:r>
          </w:p>
        </w:tc>
      </w:tr>
      <w:tr w14:paraId="036DAA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9" w:type="pct"/>
            <w:vAlign w:val="center"/>
          </w:tcPr>
          <w:p w14:paraId="75065602">
            <w:pPr>
              <w:pStyle w:val="19"/>
              <w:spacing w:line="240" w:lineRule="auto"/>
              <w:ind w:firstLine="0"/>
              <w:jc w:val="center"/>
              <w:rPr>
                <w:sz w:val="21"/>
                <w:szCs w:val="21"/>
                <w:u w:val="none"/>
              </w:rPr>
            </w:pPr>
            <w:r>
              <w:rPr>
                <w:rFonts w:hint="eastAsia"/>
                <w:sz w:val="21"/>
                <w:szCs w:val="21"/>
                <w:u w:val="none"/>
              </w:rPr>
              <w:t>一级</w:t>
            </w:r>
          </w:p>
        </w:tc>
        <w:tc>
          <w:tcPr>
            <w:tcW w:w="2490" w:type="pct"/>
            <w:vAlign w:val="center"/>
          </w:tcPr>
          <w:p w14:paraId="5B522DEC">
            <w:pPr>
              <w:pStyle w:val="19"/>
              <w:spacing w:line="240" w:lineRule="auto"/>
              <w:ind w:firstLine="0"/>
              <w:jc w:val="center"/>
              <w:rPr>
                <w:sz w:val="21"/>
                <w:szCs w:val="21"/>
                <w:u w:val="none"/>
              </w:rPr>
            </w:pPr>
            <w:r>
              <w:rPr>
                <w:rFonts w:hint="eastAsia"/>
                <w:sz w:val="21"/>
                <w:szCs w:val="21"/>
                <w:u w:val="none"/>
              </w:rPr>
              <w:t>P</w:t>
            </w:r>
            <w:r>
              <w:rPr>
                <w:rFonts w:hint="eastAsia"/>
                <w:sz w:val="21"/>
                <w:szCs w:val="21"/>
                <w:u w:val="none"/>
                <w:vertAlign w:val="subscript"/>
              </w:rPr>
              <w:t>max</w:t>
            </w:r>
            <w:r>
              <w:rPr>
                <w:sz w:val="21"/>
                <w:szCs w:val="21"/>
                <w:u w:val="none"/>
              </w:rPr>
              <w:t>≥</w:t>
            </w:r>
            <w:r>
              <w:rPr>
                <w:rFonts w:hint="eastAsia"/>
                <w:sz w:val="21"/>
                <w:szCs w:val="21"/>
                <w:u w:val="none"/>
              </w:rPr>
              <w:t>10%</w:t>
            </w:r>
          </w:p>
        </w:tc>
      </w:tr>
      <w:tr w14:paraId="034B2E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9" w:type="pct"/>
            <w:vAlign w:val="center"/>
          </w:tcPr>
          <w:p w14:paraId="509D9C2C">
            <w:pPr>
              <w:pStyle w:val="19"/>
              <w:spacing w:line="240" w:lineRule="auto"/>
              <w:ind w:firstLine="0"/>
              <w:jc w:val="center"/>
              <w:rPr>
                <w:sz w:val="21"/>
                <w:szCs w:val="21"/>
                <w:u w:val="none"/>
              </w:rPr>
            </w:pPr>
            <w:r>
              <w:rPr>
                <w:rFonts w:hint="eastAsia"/>
                <w:sz w:val="21"/>
                <w:szCs w:val="21"/>
                <w:u w:val="none"/>
              </w:rPr>
              <w:t>二级</w:t>
            </w:r>
          </w:p>
        </w:tc>
        <w:tc>
          <w:tcPr>
            <w:tcW w:w="2490" w:type="pct"/>
            <w:vAlign w:val="center"/>
          </w:tcPr>
          <w:p w14:paraId="7D6DE402">
            <w:pPr>
              <w:pStyle w:val="19"/>
              <w:spacing w:line="240" w:lineRule="auto"/>
              <w:ind w:firstLine="0"/>
              <w:jc w:val="center"/>
              <w:rPr>
                <w:sz w:val="21"/>
                <w:szCs w:val="21"/>
                <w:u w:val="none"/>
              </w:rPr>
            </w:pPr>
            <w:r>
              <w:rPr>
                <w:rFonts w:hint="eastAsia"/>
                <w:sz w:val="21"/>
                <w:szCs w:val="21"/>
                <w:u w:val="none"/>
              </w:rPr>
              <w:t>1%</w:t>
            </w:r>
            <w:r>
              <w:rPr>
                <w:sz w:val="21"/>
                <w:szCs w:val="21"/>
                <w:u w:val="none"/>
              </w:rPr>
              <w:t>≤</w:t>
            </w:r>
            <w:r>
              <w:rPr>
                <w:rFonts w:hint="eastAsia"/>
                <w:sz w:val="21"/>
                <w:szCs w:val="21"/>
                <w:u w:val="none"/>
              </w:rPr>
              <w:t>P</w:t>
            </w:r>
            <w:r>
              <w:rPr>
                <w:rFonts w:hint="eastAsia"/>
                <w:sz w:val="21"/>
                <w:szCs w:val="21"/>
                <w:u w:val="none"/>
                <w:vertAlign w:val="subscript"/>
              </w:rPr>
              <w:t>max</w:t>
            </w:r>
            <w:r>
              <w:rPr>
                <w:sz w:val="21"/>
                <w:szCs w:val="21"/>
                <w:u w:val="none"/>
              </w:rPr>
              <w:t>&lt;</w:t>
            </w:r>
            <w:r>
              <w:rPr>
                <w:rFonts w:hint="eastAsia"/>
                <w:sz w:val="21"/>
                <w:szCs w:val="21"/>
                <w:u w:val="none"/>
              </w:rPr>
              <w:t>10%</w:t>
            </w:r>
          </w:p>
        </w:tc>
      </w:tr>
      <w:tr w14:paraId="6A6E8A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9" w:type="pct"/>
            <w:vAlign w:val="center"/>
          </w:tcPr>
          <w:p w14:paraId="0B3861F2">
            <w:pPr>
              <w:pStyle w:val="19"/>
              <w:spacing w:line="240" w:lineRule="auto"/>
              <w:ind w:firstLine="0"/>
              <w:jc w:val="center"/>
              <w:rPr>
                <w:sz w:val="21"/>
                <w:szCs w:val="21"/>
                <w:u w:val="none"/>
              </w:rPr>
            </w:pPr>
            <w:r>
              <w:rPr>
                <w:rFonts w:hint="eastAsia"/>
                <w:sz w:val="21"/>
                <w:szCs w:val="21"/>
                <w:u w:val="none"/>
              </w:rPr>
              <w:t>三级</w:t>
            </w:r>
          </w:p>
        </w:tc>
        <w:tc>
          <w:tcPr>
            <w:tcW w:w="2490" w:type="pct"/>
            <w:vAlign w:val="center"/>
          </w:tcPr>
          <w:p w14:paraId="42FC06B7">
            <w:pPr>
              <w:pStyle w:val="19"/>
              <w:spacing w:line="240" w:lineRule="auto"/>
              <w:ind w:firstLine="0"/>
              <w:jc w:val="center"/>
              <w:rPr>
                <w:sz w:val="21"/>
                <w:szCs w:val="21"/>
                <w:u w:val="none"/>
              </w:rPr>
            </w:pPr>
            <w:r>
              <w:rPr>
                <w:rFonts w:hint="eastAsia"/>
                <w:sz w:val="21"/>
                <w:szCs w:val="21"/>
                <w:u w:val="none"/>
              </w:rPr>
              <w:t>P</w:t>
            </w:r>
            <w:r>
              <w:rPr>
                <w:rFonts w:hint="eastAsia"/>
                <w:sz w:val="21"/>
                <w:szCs w:val="21"/>
                <w:u w:val="none"/>
                <w:vertAlign w:val="subscript"/>
              </w:rPr>
              <w:t>max</w:t>
            </w:r>
            <w:r>
              <w:rPr>
                <w:sz w:val="21"/>
                <w:szCs w:val="21"/>
                <w:u w:val="none"/>
              </w:rPr>
              <w:t>&lt;</w:t>
            </w:r>
            <w:r>
              <w:rPr>
                <w:rFonts w:hint="eastAsia"/>
                <w:sz w:val="21"/>
                <w:szCs w:val="21"/>
                <w:u w:val="none"/>
              </w:rPr>
              <w:t>1%</w:t>
            </w:r>
          </w:p>
        </w:tc>
      </w:tr>
    </w:tbl>
    <w:p w14:paraId="76C863C3">
      <w:pPr>
        <w:ind w:firstLine="480"/>
        <w:rPr>
          <w:u w:val="none"/>
        </w:rPr>
      </w:pPr>
      <w:r>
        <w:rPr>
          <w:rFonts w:hint="eastAsia"/>
          <w:u w:val="none"/>
        </w:rPr>
        <w:t>根据表2.5-2主要污染物最大地面质量浓度占标率，结合表2.5-3大气环境影响评价等级判定依据，最大占标率Pmax</w:t>
      </w:r>
      <w:r>
        <w:rPr>
          <w:u w:val="none"/>
        </w:rPr>
        <w:t>≥</w:t>
      </w:r>
      <w:r>
        <w:rPr>
          <w:rFonts w:hint="eastAsia"/>
          <w:u w:val="none"/>
        </w:rPr>
        <w:t>10%，确定本项目大气环境评价等级为一级。</w:t>
      </w:r>
    </w:p>
    <w:p w14:paraId="7D577770">
      <w:pPr>
        <w:ind w:firstLine="480"/>
        <w:rPr>
          <w:u w:val="none"/>
        </w:rPr>
      </w:pPr>
      <w:r>
        <w:rPr>
          <w:rFonts w:hint="eastAsia"/>
          <w:u w:val="none"/>
        </w:rPr>
        <w:t>2.评价范围</w:t>
      </w:r>
    </w:p>
    <w:p w14:paraId="3C3BA276">
      <w:pPr>
        <w:pStyle w:val="40"/>
        <w:spacing w:line="360" w:lineRule="auto"/>
        <w:ind w:firstLine="480"/>
        <w:rPr>
          <w:rFonts w:ascii="Times New Roman"/>
          <w:u w:val="single"/>
        </w:rPr>
      </w:pPr>
      <w:r>
        <w:rPr>
          <w:rFonts w:ascii="Times New Roman"/>
          <w:u w:val="none"/>
        </w:rPr>
        <w:t>根据《环境影响评价技术导则 大气环境》（HJ2.2-2018）中“5.4 评价范围确定”的相关规定，本项目D10%小于2.5km，确定本项目评价范围为以项目厂址为中心区域，边长为5km的矩形区域范围。大气环境影响评价范围为以项目</w:t>
      </w:r>
      <w:r>
        <w:rPr>
          <w:rFonts w:hint="eastAsia" w:ascii="Times New Roman"/>
          <w:u w:val="none"/>
        </w:rPr>
        <w:t>厂址</w:t>
      </w:r>
      <w:r>
        <w:rPr>
          <w:rFonts w:ascii="Times New Roman"/>
          <w:u w:val="none"/>
        </w:rPr>
        <w:t>为中心，东西、南北边长均为5km的矩形区域。</w:t>
      </w:r>
    </w:p>
    <w:p w14:paraId="7B274F84">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2.7.1.2</w:t>
      </w:r>
      <w:r>
        <w:rPr>
          <w:rFonts w:hint="eastAsia" w:ascii="Times New Roman" w:hAnsi="Times New Roman"/>
        </w:rPr>
        <w:t>水环境</w:t>
      </w:r>
    </w:p>
    <w:p w14:paraId="3226EB04">
      <w:pPr>
        <w:ind w:firstLine="480"/>
      </w:pPr>
      <w:r>
        <w:rPr>
          <w:rFonts w:hint="eastAsia" w:ascii="宋体" w:hAnsi="宋体" w:cs="宋体"/>
        </w:rPr>
        <w:t>1.地表水</w:t>
      </w:r>
    </w:p>
    <w:p w14:paraId="548CFFC3">
      <w:pPr>
        <w:ind w:firstLine="480"/>
      </w:pPr>
      <w:r>
        <w:rPr>
          <w:rFonts w:hint="eastAsia" w:ascii="宋体" w:hAnsi="宋体" w:cs="宋体"/>
        </w:rPr>
        <w:t>⑴</w:t>
      </w:r>
      <w:r>
        <w:rPr>
          <w:rFonts w:hint="eastAsia"/>
        </w:rPr>
        <w:t>评价等级</w:t>
      </w:r>
    </w:p>
    <w:p w14:paraId="42EF1FA1">
      <w:pPr>
        <w:ind w:firstLine="480"/>
      </w:pPr>
      <w:r>
        <w:t>根据《</w:t>
      </w:r>
      <w:r>
        <w:rPr>
          <w:rFonts w:hint="eastAsia"/>
        </w:rPr>
        <w:t>环境影响评价技术导则 地表水环境</w:t>
      </w:r>
      <w:r>
        <w:t>》（HJ 2.3-2018）中关于评价等级划分的原则，建设项目地表水环境影响评价等级按照影响类型、排放方式、排放量或影响情况、受纳水体环境质量现状、水环境保护目标等综合确定，见表</w:t>
      </w:r>
      <w:r>
        <w:rPr>
          <w:rFonts w:hint="eastAsia"/>
        </w:rPr>
        <w:t>2.5-4。</w:t>
      </w:r>
    </w:p>
    <w:p w14:paraId="56B6D387">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表2.7-4 </w:t>
      </w:r>
      <w:r>
        <w:rPr>
          <w:rFonts w:hint="eastAsia"/>
        </w:rPr>
        <w:t xml:space="preserve"> 项目大气评价工作等级判定结果一览表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1E1F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Borders>
              <w:top w:val="single" w:color="auto" w:sz="12" w:space="0"/>
              <w:left w:val="single" w:color="auto" w:sz="12" w:space="0"/>
            </w:tcBorders>
            <w:vAlign w:val="center"/>
          </w:tcPr>
          <w:p w14:paraId="69C7689E">
            <w:pPr>
              <w:pStyle w:val="19"/>
              <w:spacing w:line="240" w:lineRule="auto"/>
              <w:ind w:firstLine="0"/>
              <w:jc w:val="center"/>
              <w:rPr>
                <w:sz w:val="21"/>
                <w:szCs w:val="21"/>
              </w:rPr>
            </w:pPr>
            <w:r>
              <w:rPr>
                <w:rFonts w:hint="eastAsia"/>
                <w:sz w:val="21"/>
                <w:szCs w:val="21"/>
              </w:rPr>
              <w:t>评价等级</w:t>
            </w:r>
          </w:p>
        </w:tc>
        <w:tc>
          <w:tcPr>
            <w:tcW w:w="5682" w:type="dxa"/>
            <w:gridSpan w:val="2"/>
            <w:tcBorders>
              <w:top w:val="single" w:color="auto" w:sz="12" w:space="0"/>
              <w:right w:val="single" w:color="auto" w:sz="12" w:space="0"/>
            </w:tcBorders>
            <w:vAlign w:val="center"/>
          </w:tcPr>
          <w:p w14:paraId="5ED87DC8">
            <w:pPr>
              <w:pStyle w:val="19"/>
              <w:spacing w:line="240" w:lineRule="auto"/>
              <w:ind w:firstLine="0"/>
              <w:jc w:val="center"/>
              <w:rPr>
                <w:sz w:val="21"/>
                <w:szCs w:val="21"/>
              </w:rPr>
            </w:pPr>
            <w:r>
              <w:rPr>
                <w:rFonts w:hint="eastAsia"/>
                <w:sz w:val="21"/>
                <w:szCs w:val="21"/>
              </w:rPr>
              <w:t>判定依据</w:t>
            </w:r>
          </w:p>
        </w:tc>
      </w:tr>
      <w:tr w14:paraId="135B6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Borders>
              <w:left w:val="single" w:color="auto" w:sz="12" w:space="0"/>
            </w:tcBorders>
            <w:vAlign w:val="center"/>
          </w:tcPr>
          <w:p w14:paraId="01D6EF77">
            <w:pPr>
              <w:pStyle w:val="19"/>
              <w:spacing w:line="240" w:lineRule="auto"/>
              <w:ind w:firstLine="0"/>
              <w:jc w:val="center"/>
              <w:rPr>
                <w:sz w:val="21"/>
                <w:szCs w:val="21"/>
              </w:rPr>
            </w:pPr>
          </w:p>
        </w:tc>
        <w:tc>
          <w:tcPr>
            <w:tcW w:w="2841" w:type="dxa"/>
            <w:vAlign w:val="center"/>
          </w:tcPr>
          <w:p w14:paraId="3E37E8F9">
            <w:pPr>
              <w:pStyle w:val="19"/>
              <w:spacing w:line="240" w:lineRule="auto"/>
              <w:ind w:firstLine="0"/>
              <w:jc w:val="center"/>
              <w:rPr>
                <w:sz w:val="21"/>
                <w:szCs w:val="21"/>
              </w:rPr>
            </w:pPr>
            <w:r>
              <w:rPr>
                <w:rFonts w:hint="eastAsia"/>
                <w:sz w:val="21"/>
                <w:szCs w:val="21"/>
              </w:rPr>
              <w:t>排放方式</w:t>
            </w:r>
          </w:p>
        </w:tc>
        <w:tc>
          <w:tcPr>
            <w:tcW w:w="2841" w:type="dxa"/>
            <w:tcBorders>
              <w:right w:val="single" w:color="auto" w:sz="12" w:space="0"/>
            </w:tcBorders>
            <w:vAlign w:val="center"/>
          </w:tcPr>
          <w:p w14:paraId="28E2C09F">
            <w:pPr>
              <w:pStyle w:val="19"/>
              <w:spacing w:line="240" w:lineRule="auto"/>
              <w:ind w:firstLine="0"/>
              <w:jc w:val="center"/>
              <w:rPr>
                <w:sz w:val="21"/>
                <w:szCs w:val="21"/>
              </w:rPr>
            </w:pPr>
            <w:r>
              <w:rPr>
                <w:rFonts w:hint="eastAsia"/>
                <w:sz w:val="21"/>
                <w:szCs w:val="21"/>
              </w:rPr>
              <w:t>废水排放量Q/（m</w:t>
            </w:r>
            <w:r>
              <w:rPr>
                <w:rFonts w:hint="eastAsia"/>
                <w:sz w:val="21"/>
                <w:szCs w:val="21"/>
                <w:vertAlign w:val="superscript"/>
              </w:rPr>
              <w:t>3</w:t>
            </w:r>
            <w:r>
              <w:rPr>
                <w:rFonts w:hint="eastAsia"/>
                <w:sz w:val="21"/>
                <w:szCs w:val="21"/>
              </w:rPr>
              <w:t>/d）；水污染物当量数W/（无量纲）</w:t>
            </w:r>
          </w:p>
        </w:tc>
      </w:tr>
      <w:tr w14:paraId="0F681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single" w:color="auto" w:sz="12" w:space="0"/>
            </w:tcBorders>
            <w:vAlign w:val="center"/>
          </w:tcPr>
          <w:p w14:paraId="70E2C94B">
            <w:pPr>
              <w:pStyle w:val="19"/>
              <w:spacing w:line="240" w:lineRule="auto"/>
              <w:ind w:firstLine="0"/>
              <w:jc w:val="center"/>
              <w:rPr>
                <w:sz w:val="21"/>
                <w:szCs w:val="21"/>
              </w:rPr>
            </w:pPr>
            <w:r>
              <w:rPr>
                <w:rFonts w:hint="eastAsia"/>
                <w:sz w:val="21"/>
                <w:szCs w:val="21"/>
              </w:rPr>
              <w:t>一级</w:t>
            </w:r>
          </w:p>
        </w:tc>
        <w:tc>
          <w:tcPr>
            <w:tcW w:w="2841" w:type="dxa"/>
            <w:vAlign w:val="center"/>
          </w:tcPr>
          <w:p w14:paraId="61AC5825">
            <w:pPr>
              <w:pStyle w:val="19"/>
              <w:spacing w:line="240" w:lineRule="auto"/>
              <w:ind w:firstLine="0"/>
              <w:jc w:val="center"/>
              <w:rPr>
                <w:sz w:val="21"/>
                <w:szCs w:val="21"/>
              </w:rPr>
            </w:pPr>
            <w:r>
              <w:rPr>
                <w:rFonts w:hint="eastAsia"/>
                <w:sz w:val="21"/>
                <w:szCs w:val="21"/>
              </w:rPr>
              <w:t>直接排放</w:t>
            </w:r>
          </w:p>
        </w:tc>
        <w:tc>
          <w:tcPr>
            <w:tcW w:w="2841" w:type="dxa"/>
            <w:tcBorders>
              <w:right w:val="single" w:color="auto" w:sz="12" w:space="0"/>
            </w:tcBorders>
            <w:vAlign w:val="center"/>
          </w:tcPr>
          <w:p w14:paraId="733F61B1">
            <w:pPr>
              <w:pStyle w:val="19"/>
              <w:spacing w:line="240" w:lineRule="auto"/>
              <w:ind w:firstLine="0"/>
              <w:jc w:val="center"/>
              <w:rPr>
                <w:sz w:val="21"/>
                <w:szCs w:val="21"/>
              </w:rPr>
            </w:pPr>
            <w:r>
              <w:rPr>
                <w:rFonts w:hint="eastAsia"/>
                <w:sz w:val="21"/>
                <w:szCs w:val="21"/>
              </w:rPr>
              <w:t>Q</w:t>
            </w:r>
            <w:r>
              <w:rPr>
                <w:sz w:val="21"/>
                <w:szCs w:val="21"/>
              </w:rPr>
              <w:t>≥</w:t>
            </w:r>
            <w:r>
              <w:rPr>
                <w:rFonts w:hint="eastAsia"/>
                <w:sz w:val="21"/>
                <w:szCs w:val="21"/>
              </w:rPr>
              <w:t>20000或W</w:t>
            </w:r>
            <w:r>
              <w:rPr>
                <w:sz w:val="21"/>
                <w:szCs w:val="21"/>
              </w:rPr>
              <w:t>≥</w:t>
            </w:r>
            <w:r>
              <w:rPr>
                <w:rFonts w:hint="eastAsia"/>
                <w:sz w:val="21"/>
                <w:szCs w:val="21"/>
              </w:rPr>
              <w:t>600000</w:t>
            </w:r>
          </w:p>
        </w:tc>
      </w:tr>
      <w:tr w14:paraId="5868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single" w:color="auto" w:sz="12" w:space="0"/>
            </w:tcBorders>
            <w:vAlign w:val="center"/>
          </w:tcPr>
          <w:p w14:paraId="5198B439">
            <w:pPr>
              <w:pStyle w:val="19"/>
              <w:spacing w:line="240" w:lineRule="auto"/>
              <w:ind w:firstLine="0"/>
              <w:jc w:val="center"/>
              <w:rPr>
                <w:sz w:val="21"/>
                <w:szCs w:val="21"/>
              </w:rPr>
            </w:pPr>
            <w:r>
              <w:rPr>
                <w:rFonts w:hint="eastAsia"/>
                <w:sz w:val="21"/>
                <w:szCs w:val="21"/>
              </w:rPr>
              <w:t>二级</w:t>
            </w:r>
          </w:p>
        </w:tc>
        <w:tc>
          <w:tcPr>
            <w:tcW w:w="2841" w:type="dxa"/>
            <w:vAlign w:val="center"/>
          </w:tcPr>
          <w:p w14:paraId="0FDDE57B">
            <w:pPr>
              <w:pStyle w:val="19"/>
              <w:spacing w:line="240" w:lineRule="auto"/>
              <w:ind w:firstLine="0"/>
              <w:jc w:val="center"/>
              <w:rPr>
                <w:sz w:val="21"/>
                <w:szCs w:val="21"/>
              </w:rPr>
            </w:pPr>
            <w:r>
              <w:rPr>
                <w:rFonts w:hint="eastAsia"/>
                <w:sz w:val="21"/>
                <w:szCs w:val="21"/>
              </w:rPr>
              <w:t>直接排放</w:t>
            </w:r>
          </w:p>
        </w:tc>
        <w:tc>
          <w:tcPr>
            <w:tcW w:w="2841" w:type="dxa"/>
            <w:tcBorders>
              <w:right w:val="single" w:color="auto" w:sz="12" w:space="0"/>
            </w:tcBorders>
            <w:vAlign w:val="center"/>
          </w:tcPr>
          <w:p w14:paraId="01A006E3">
            <w:pPr>
              <w:pStyle w:val="19"/>
              <w:spacing w:line="240" w:lineRule="auto"/>
              <w:ind w:firstLine="0"/>
              <w:jc w:val="center"/>
              <w:rPr>
                <w:sz w:val="21"/>
                <w:szCs w:val="21"/>
              </w:rPr>
            </w:pPr>
            <w:r>
              <w:rPr>
                <w:rFonts w:hint="eastAsia"/>
                <w:sz w:val="21"/>
                <w:szCs w:val="21"/>
              </w:rPr>
              <w:t>其他</w:t>
            </w:r>
          </w:p>
        </w:tc>
      </w:tr>
      <w:tr w14:paraId="1E8D8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single" w:color="auto" w:sz="12" w:space="0"/>
            </w:tcBorders>
            <w:vAlign w:val="center"/>
          </w:tcPr>
          <w:p w14:paraId="181DE547">
            <w:pPr>
              <w:pStyle w:val="19"/>
              <w:spacing w:line="240" w:lineRule="auto"/>
              <w:ind w:firstLine="0"/>
              <w:jc w:val="center"/>
              <w:rPr>
                <w:sz w:val="21"/>
                <w:szCs w:val="21"/>
              </w:rPr>
            </w:pPr>
            <w:r>
              <w:rPr>
                <w:rFonts w:hint="eastAsia"/>
                <w:sz w:val="21"/>
                <w:szCs w:val="21"/>
              </w:rPr>
              <w:t>三级A</w:t>
            </w:r>
          </w:p>
        </w:tc>
        <w:tc>
          <w:tcPr>
            <w:tcW w:w="2841" w:type="dxa"/>
            <w:vAlign w:val="center"/>
          </w:tcPr>
          <w:p w14:paraId="40ED3E89">
            <w:pPr>
              <w:pStyle w:val="19"/>
              <w:spacing w:line="240" w:lineRule="auto"/>
              <w:ind w:firstLine="0"/>
              <w:jc w:val="center"/>
              <w:rPr>
                <w:sz w:val="21"/>
                <w:szCs w:val="21"/>
              </w:rPr>
            </w:pPr>
            <w:r>
              <w:rPr>
                <w:rFonts w:hint="eastAsia"/>
                <w:sz w:val="21"/>
                <w:szCs w:val="21"/>
              </w:rPr>
              <w:t>直接排放</w:t>
            </w:r>
          </w:p>
        </w:tc>
        <w:tc>
          <w:tcPr>
            <w:tcW w:w="2841" w:type="dxa"/>
            <w:tcBorders>
              <w:right w:val="single" w:color="auto" w:sz="12" w:space="0"/>
            </w:tcBorders>
            <w:vAlign w:val="center"/>
          </w:tcPr>
          <w:p w14:paraId="6B80AA23">
            <w:pPr>
              <w:pStyle w:val="19"/>
              <w:spacing w:line="240" w:lineRule="auto"/>
              <w:ind w:firstLine="0"/>
              <w:jc w:val="center"/>
              <w:rPr>
                <w:sz w:val="21"/>
                <w:szCs w:val="21"/>
              </w:rPr>
            </w:pPr>
            <w:r>
              <w:rPr>
                <w:rFonts w:hint="eastAsia"/>
                <w:sz w:val="21"/>
                <w:szCs w:val="21"/>
              </w:rPr>
              <w:t>Q</w:t>
            </w:r>
            <w:r>
              <w:rPr>
                <w:sz w:val="21"/>
                <w:szCs w:val="21"/>
              </w:rPr>
              <w:t>&lt;</w:t>
            </w:r>
            <w:r>
              <w:rPr>
                <w:rFonts w:hint="eastAsia"/>
                <w:sz w:val="21"/>
                <w:szCs w:val="21"/>
              </w:rPr>
              <w:t>200且W</w:t>
            </w:r>
            <w:r>
              <w:rPr>
                <w:sz w:val="21"/>
                <w:szCs w:val="21"/>
              </w:rPr>
              <w:t>&lt;</w:t>
            </w:r>
            <w:r>
              <w:rPr>
                <w:rFonts w:hint="eastAsia"/>
                <w:sz w:val="21"/>
                <w:szCs w:val="21"/>
              </w:rPr>
              <w:t>6000</w:t>
            </w:r>
          </w:p>
        </w:tc>
      </w:tr>
      <w:tr w14:paraId="270D7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left w:val="single" w:color="auto" w:sz="12" w:space="0"/>
              <w:bottom w:val="single" w:color="auto" w:sz="12" w:space="0"/>
            </w:tcBorders>
            <w:vAlign w:val="center"/>
          </w:tcPr>
          <w:p w14:paraId="6790ED88">
            <w:pPr>
              <w:pStyle w:val="19"/>
              <w:spacing w:line="240" w:lineRule="auto"/>
              <w:ind w:firstLine="0"/>
              <w:jc w:val="center"/>
              <w:rPr>
                <w:sz w:val="21"/>
                <w:szCs w:val="21"/>
              </w:rPr>
            </w:pPr>
            <w:r>
              <w:rPr>
                <w:rFonts w:hint="eastAsia"/>
                <w:sz w:val="21"/>
                <w:szCs w:val="21"/>
              </w:rPr>
              <w:t>三级B</w:t>
            </w:r>
          </w:p>
        </w:tc>
        <w:tc>
          <w:tcPr>
            <w:tcW w:w="2841" w:type="dxa"/>
            <w:tcBorders>
              <w:bottom w:val="single" w:color="auto" w:sz="12" w:space="0"/>
            </w:tcBorders>
            <w:vAlign w:val="center"/>
          </w:tcPr>
          <w:p w14:paraId="1F12C2E4">
            <w:pPr>
              <w:pStyle w:val="19"/>
              <w:spacing w:line="240" w:lineRule="auto"/>
              <w:ind w:firstLine="0"/>
              <w:jc w:val="center"/>
              <w:rPr>
                <w:sz w:val="21"/>
                <w:szCs w:val="21"/>
              </w:rPr>
            </w:pPr>
            <w:r>
              <w:rPr>
                <w:rFonts w:hint="eastAsia"/>
                <w:sz w:val="21"/>
                <w:szCs w:val="21"/>
              </w:rPr>
              <w:t>间接排放</w:t>
            </w:r>
          </w:p>
        </w:tc>
        <w:tc>
          <w:tcPr>
            <w:tcW w:w="2841" w:type="dxa"/>
            <w:tcBorders>
              <w:bottom w:val="single" w:color="auto" w:sz="12" w:space="0"/>
              <w:right w:val="single" w:color="auto" w:sz="12" w:space="0"/>
            </w:tcBorders>
            <w:vAlign w:val="center"/>
          </w:tcPr>
          <w:p w14:paraId="7F57B7DE">
            <w:pPr>
              <w:pStyle w:val="19"/>
              <w:spacing w:line="240" w:lineRule="auto"/>
              <w:ind w:firstLine="0"/>
              <w:jc w:val="center"/>
              <w:rPr>
                <w:sz w:val="21"/>
                <w:szCs w:val="21"/>
              </w:rPr>
            </w:pPr>
            <w:r>
              <w:rPr>
                <w:rFonts w:hint="eastAsia"/>
                <w:sz w:val="21"/>
                <w:szCs w:val="21"/>
              </w:rPr>
              <w:t>—</w:t>
            </w:r>
          </w:p>
        </w:tc>
      </w:tr>
    </w:tbl>
    <w:p w14:paraId="445EC2AB">
      <w:pPr>
        <w:ind w:firstLine="480"/>
      </w:pPr>
      <w:r>
        <w:rPr>
          <w:rFonts w:hint="eastAsia"/>
        </w:rPr>
        <w:t>本</w:t>
      </w:r>
      <w:r>
        <w:t>项目排放的废水主要为员工生活污水，经隔油池、化粪池预处理后纳管，由</w:t>
      </w:r>
      <w:r>
        <w:rPr>
          <w:rFonts w:hint="eastAsia"/>
        </w:rPr>
        <w:t>湘潭县顺业污水处理有限公司污水处理厂</w:t>
      </w:r>
      <w:r>
        <w:t>集中处理达《城镇污水处理厂污染物排放标准》（GB18918-2002）及其修改单要求的一级A标准后外排湘江。项目属于水污染影响型，Q＜200m</w:t>
      </w:r>
      <w:r>
        <w:rPr>
          <w:vertAlign w:val="superscript"/>
        </w:rPr>
        <w:t>3</w:t>
      </w:r>
      <w:r>
        <w:t>/d，排放方式为间接排放，根据HJ/2.3-2018，项目评级等级为三级B，可只进行简单地表水环境影响分析。</w:t>
      </w:r>
    </w:p>
    <w:p w14:paraId="79FCD414">
      <w:pPr>
        <w:pStyle w:val="38"/>
        <w:ind w:firstLine="480"/>
        <w:rPr>
          <w:rFonts w:ascii="Times New Roman" w:hAnsi="Times New Roman" w:eastAsia="宋体" w:cs="Times New Roman"/>
          <w:color w:val="auto"/>
        </w:rPr>
      </w:pPr>
      <w:r>
        <w:rPr>
          <w:rFonts w:hint="eastAsia" w:hAnsi="宋体" w:eastAsia="宋体"/>
          <w:color w:val="auto"/>
        </w:rPr>
        <w:t>⑵</w:t>
      </w:r>
      <w:r>
        <w:rPr>
          <w:rFonts w:hint="eastAsia" w:ascii="Times New Roman" w:hAnsi="Times New Roman" w:eastAsia="宋体" w:cs="Times New Roman"/>
          <w:color w:val="auto"/>
        </w:rPr>
        <w:t>评价范围</w:t>
      </w:r>
    </w:p>
    <w:p w14:paraId="129630C8">
      <w:pPr>
        <w:pStyle w:val="40"/>
        <w:ind w:firstLine="480"/>
        <w:rPr>
          <w:rFonts w:ascii="Times New Roman"/>
        </w:rPr>
      </w:pPr>
      <w:r>
        <w:rPr>
          <w:rFonts w:ascii="Times New Roman"/>
        </w:rPr>
        <w:t>地表水环境影响评价范围为污水处理厂排污口上游1.5km至排放口下游15km的水域。</w:t>
      </w:r>
    </w:p>
    <w:p w14:paraId="732F5D80">
      <w:pPr>
        <w:ind w:firstLine="480"/>
      </w:pPr>
      <w:r>
        <w:rPr>
          <w:rFonts w:hint="eastAsia" w:ascii="宋体" w:hAnsi="宋体" w:cs="宋体"/>
        </w:rPr>
        <w:t>2.地下水</w:t>
      </w:r>
    </w:p>
    <w:p w14:paraId="5341748C">
      <w:pPr>
        <w:ind w:firstLine="480"/>
      </w:pPr>
      <w:r>
        <w:t>本项目为</w:t>
      </w:r>
      <w:r>
        <w:rPr>
          <w:rFonts w:hint="eastAsia"/>
        </w:rPr>
        <w:t>印刷塑料软包装袋</w:t>
      </w:r>
      <w:r>
        <w:t>，属于《环境影响评价技术导则 地下水环境》（HJ610-2016）中“N轻工114印刷、116塑料制品制造”类，因此本项目为Ⅳ类项目。可不开展地下水环境影响评价。</w:t>
      </w:r>
    </w:p>
    <w:p w14:paraId="425B6ADA">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2.7.1.3</w:t>
      </w:r>
      <w:r>
        <w:rPr>
          <w:rFonts w:hint="eastAsia" w:ascii="Times New Roman" w:hAnsi="Times New Roman"/>
        </w:rPr>
        <w:t>声环境</w:t>
      </w:r>
    </w:p>
    <w:p w14:paraId="721EB013">
      <w:pPr>
        <w:ind w:firstLine="480"/>
      </w:pPr>
      <w:r>
        <w:rPr>
          <w:rFonts w:hint="eastAsia" w:ascii="宋体" w:hAnsi="宋体" w:cs="宋体"/>
        </w:rPr>
        <w:t>⑴</w:t>
      </w:r>
      <w:r>
        <w:rPr>
          <w:rFonts w:hint="eastAsia"/>
        </w:rPr>
        <w:t>评价等级</w:t>
      </w:r>
    </w:p>
    <w:p w14:paraId="45D1027B">
      <w:pPr>
        <w:ind w:firstLine="480"/>
      </w:pPr>
      <w:r>
        <w:t>项目所在区域声环境功能区为3类区，项目建设前后受影响人口变化不大。根据《环境影响评价技术导则声环境》（HJ 2.4-2021）中评价工作分级的规定，确定本次声环境影响评价工作等级为三级，详见下表。</w:t>
      </w:r>
    </w:p>
    <w:p w14:paraId="17A984FE">
      <w:pPr>
        <w:pStyle w:val="51"/>
        <w:numPr>
          <w:ilvl w:val="5"/>
          <w:numId w:val="0"/>
        </w:numPr>
        <w:spacing w:before="0" w:beforeLines="0" w:line="360" w:lineRule="auto"/>
        <w:ind w:left="305" w:leftChars="0" w:hanging="3260" w:firstLineChars="0"/>
      </w:pPr>
      <w:r>
        <w:rPr>
          <w:rFonts w:hint="default" w:ascii="宋体" w:hAnsi="宋体" w:eastAsia="宋体" w:cs="宋体"/>
          <w:b/>
          <w:bCs/>
          <w:color w:val="auto"/>
          <w:kern w:val="2"/>
          <w:sz w:val="21"/>
          <w:szCs w:val="21"/>
          <w:lang w:val="en-US" w:eastAsia="zh-CN" w:bidi="ar-SA"/>
        </w:rPr>
        <w:t xml:space="preserve">表2.7-5 </w:t>
      </w:r>
      <w:r>
        <w:rPr>
          <w:rFonts w:hint="eastAsia"/>
        </w:rPr>
        <w:t xml:space="preserve"> 声环境评价工作等级判定表</w:t>
      </w:r>
    </w:p>
    <w:tbl>
      <w:tblPr>
        <w:tblStyle w:val="31"/>
        <w:tblW w:w="85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50"/>
        <w:gridCol w:w="6777"/>
      </w:tblGrid>
      <w:tr w14:paraId="4882FD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6" w:type="pct"/>
            <w:vAlign w:val="center"/>
          </w:tcPr>
          <w:p w14:paraId="27930CA4">
            <w:pPr>
              <w:adjustRightInd w:val="0"/>
              <w:snapToGrid w:val="0"/>
              <w:spacing w:line="240" w:lineRule="auto"/>
              <w:jc w:val="center"/>
              <w:rPr>
                <w:sz w:val="21"/>
                <w:szCs w:val="21"/>
              </w:rPr>
            </w:pPr>
            <w:r>
              <w:rPr>
                <w:sz w:val="21"/>
                <w:szCs w:val="21"/>
              </w:rPr>
              <w:t>三级评价标准</w:t>
            </w:r>
          </w:p>
          <w:p w14:paraId="278FDC17">
            <w:pPr>
              <w:adjustRightInd w:val="0"/>
              <w:snapToGrid w:val="0"/>
              <w:spacing w:line="240" w:lineRule="auto"/>
              <w:jc w:val="center"/>
              <w:rPr>
                <w:sz w:val="21"/>
                <w:szCs w:val="21"/>
              </w:rPr>
            </w:pPr>
            <w:r>
              <w:rPr>
                <w:sz w:val="21"/>
                <w:szCs w:val="21"/>
              </w:rPr>
              <w:t>依据</w:t>
            </w:r>
          </w:p>
        </w:tc>
        <w:tc>
          <w:tcPr>
            <w:tcW w:w="3973" w:type="pct"/>
            <w:vAlign w:val="center"/>
          </w:tcPr>
          <w:p w14:paraId="58B34203">
            <w:pPr>
              <w:adjustRightInd w:val="0"/>
              <w:snapToGrid w:val="0"/>
              <w:spacing w:line="240" w:lineRule="auto"/>
              <w:jc w:val="left"/>
              <w:rPr>
                <w:sz w:val="21"/>
                <w:szCs w:val="21"/>
              </w:rPr>
            </w:pPr>
            <w:r>
              <w:rPr>
                <w:sz w:val="21"/>
                <w:szCs w:val="21"/>
              </w:rPr>
              <w:t>建设项目所处的声环境功能区为GB 3096规定的3类、4类地区，或建设项目建设前后评价范围内敏感目标噪声级增高量在3dB(A)以下[不含3dB(A)]，且受影响人口数量变化不大时，按三级评价。</w:t>
            </w:r>
          </w:p>
        </w:tc>
      </w:tr>
      <w:tr w14:paraId="6D8DC2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6" w:type="pct"/>
            <w:vAlign w:val="center"/>
          </w:tcPr>
          <w:p w14:paraId="765BD4F6">
            <w:pPr>
              <w:adjustRightInd w:val="0"/>
              <w:snapToGrid w:val="0"/>
              <w:spacing w:line="240" w:lineRule="auto"/>
              <w:jc w:val="center"/>
              <w:rPr>
                <w:sz w:val="21"/>
                <w:szCs w:val="21"/>
              </w:rPr>
            </w:pPr>
            <w:r>
              <w:rPr>
                <w:sz w:val="21"/>
                <w:szCs w:val="21"/>
              </w:rPr>
              <w:t>本项目</w:t>
            </w:r>
          </w:p>
        </w:tc>
        <w:tc>
          <w:tcPr>
            <w:tcW w:w="3973" w:type="pct"/>
            <w:vAlign w:val="center"/>
          </w:tcPr>
          <w:p w14:paraId="35791A2D">
            <w:pPr>
              <w:adjustRightInd w:val="0"/>
              <w:snapToGrid w:val="0"/>
              <w:spacing w:line="240" w:lineRule="auto"/>
              <w:jc w:val="left"/>
              <w:rPr>
                <w:sz w:val="21"/>
                <w:szCs w:val="21"/>
              </w:rPr>
            </w:pPr>
            <w:r>
              <w:rPr>
                <w:sz w:val="21"/>
                <w:szCs w:val="21"/>
              </w:rPr>
              <w:t>本项目所处的声环境功能区为GB 3096规定的3类；</w:t>
            </w:r>
            <w:r>
              <w:rPr>
                <w:rFonts w:hint="eastAsia"/>
                <w:sz w:val="21"/>
                <w:szCs w:val="21"/>
              </w:rPr>
              <w:t>厂界</w:t>
            </w:r>
            <w:r>
              <w:rPr>
                <w:sz w:val="21"/>
                <w:szCs w:val="21"/>
              </w:rPr>
              <w:t>南面临城市道路侧25m范围内执行该标准4a类标准，且项目建设前后受影响人口数量变化不大，因此，按三级评价。</w:t>
            </w:r>
          </w:p>
        </w:tc>
      </w:tr>
    </w:tbl>
    <w:p w14:paraId="660BC8D9">
      <w:pPr>
        <w:ind w:firstLine="480"/>
      </w:pPr>
      <w:r>
        <w:t>⑵评价范围</w:t>
      </w:r>
    </w:p>
    <w:p w14:paraId="20BF2455">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根据《环境影响评价技术导则声环境》（HJ2.4-2021）中关于三级声环境影响评价的要求，确定声环境影响评价预测范围为项目边界外200m。</w:t>
      </w:r>
    </w:p>
    <w:p w14:paraId="373FAF8C">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2.7.1.4</w:t>
      </w:r>
      <w:r>
        <w:rPr>
          <w:rFonts w:hint="eastAsia" w:ascii="Times New Roman" w:hAnsi="Times New Roman"/>
        </w:rPr>
        <w:t>土壤环境</w:t>
      </w:r>
    </w:p>
    <w:p w14:paraId="5A8095E6">
      <w:pPr>
        <w:ind w:firstLine="480"/>
        <w:jc w:val="left"/>
      </w:pPr>
      <w:r>
        <w:rPr>
          <w:rFonts w:hint="eastAsia" w:ascii="宋体" w:hAnsi="宋体" w:cs="宋体"/>
          <w:color w:val="000000"/>
          <w:kern w:val="0"/>
          <w:lang w:bidi="ar"/>
        </w:rPr>
        <w:t>本项目行业类别涉及</w:t>
      </w:r>
      <w:r>
        <w:rPr>
          <w:color w:val="000000"/>
          <w:kern w:val="0"/>
          <w:lang w:bidi="ar"/>
        </w:rPr>
        <w:t>C2319</w:t>
      </w:r>
      <w:r>
        <w:rPr>
          <w:rFonts w:hint="eastAsia" w:ascii="宋体" w:hAnsi="宋体" w:cs="宋体"/>
          <w:color w:val="000000"/>
          <w:kern w:val="0"/>
          <w:lang w:bidi="ar"/>
        </w:rPr>
        <w:t>包装装潢及其他印刷，根据《环境影响评价技术导则土壤环境（试行）》（</w:t>
      </w:r>
      <w:r>
        <w:rPr>
          <w:color w:val="000000"/>
          <w:kern w:val="0"/>
          <w:lang w:bidi="ar"/>
        </w:rPr>
        <w:t>HJ 964-2018</w:t>
      </w:r>
      <w:r>
        <w:rPr>
          <w:rFonts w:hint="eastAsia" w:ascii="宋体" w:hAnsi="宋体" w:cs="宋体"/>
          <w:color w:val="000000"/>
          <w:kern w:val="0"/>
          <w:lang w:bidi="ar"/>
        </w:rPr>
        <w:t>）附录</w:t>
      </w:r>
      <w:r>
        <w:rPr>
          <w:color w:val="000000"/>
          <w:kern w:val="0"/>
          <w:lang w:bidi="ar"/>
        </w:rPr>
        <w:t>A</w:t>
      </w:r>
      <w:r>
        <w:rPr>
          <w:rFonts w:hint="eastAsia" w:ascii="宋体" w:hAnsi="宋体" w:cs="宋体"/>
          <w:color w:val="000000"/>
          <w:kern w:val="0"/>
          <w:lang w:bidi="ar"/>
        </w:rPr>
        <w:t>：制造业中的其他用品制造－－其他，确定变动项目土壤环境影响评价项目类别为</w:t>
      </w:r>
      <w:r>
        <w:rPr>
          <w:color w:val="000000"/>
          <w:kern w:val="0"/>
          <w:lang w:bidi="ar"/>
        </w:rPr>
        <w:t>III</w:t>
      </w:r>
      <w:r>
        <w:rPr>
          <w:rFonts w:hint="eastAsia" w:ascii="宋体" w:hAnsi="宋体" w:cs="宋体"/>
          <w:color w:val="000000"/>
          <w:kern w:val="0"/>
          <w:lang w:bidi="ar"/>
        </w:rPr>
        <w:t>类。改扩建项目总占地规模为</w:t>
      </w:r>
      <w:r>
        <w:rPr>
          <w:rFonts w:hint="eastAsia"/>
          <w:color w:val="000000"/>
          <w:kern w:val="0"/>
          <w:lang w:bidi="ar"/>
        </w:rPr>
        <w:t>2355.82m</w:t>
      </w:r>
      <w:r>
        <w:rPr>
          <w:rFonts w:hint="eastAsia"/>
          <w:color w:val="000000"/>
          <w:kern w:val="0"/>
          <w:vertAlign w:val="superscript"/>
          <w:lang w:bidi="ar"/>
        </w:rPr>
        <w:t>2</w:t>
      </w:r>
      <w:r>
        <w:rPr>
          <w:rFonts w:hint="eastAsia" w:ascii="宋体" w:hAnsi="宋体" w:cs="宋体"/>
          <w:color w:val="000000"/>
          <w:kern w:val="0"/>
          <w:lang w:bidi="ar"/>
        </w:rPr>
        <w:t>，厂区总占地</w:t>
      </w:r>
      <w:r>
        <w:rPr>
          <w:color w:val="000000"/>
          <w:kern w:val="0"/>
          <w:lang w:bidi="ar"/>
        </w:rPr>
        <w:t>面积45155.7m</w:t>
      </w:r>
      <w:r>
        <w:rPr>
          <w:color w:val="000000"/>
          <w:kern w:val="0"/>
          <w:vertAlign w:val="superscript"/>
          <w:lang w:bidi="ar"/>
        </w:rPr>
        <w:t>2</w:t>
      </w:r>
      <w:r>
        <w:rPr>
          <w:color w:val="000000"/>
          <w:kern w:val="0"/>
          <w:lang w:bidi="ar"/>
        </w:rPr>
        <w:t>，属</w:t>
      </w:r>
      <w:r>
        <w:rPr>
          <w:rFonts w:hint="eastAsia" w:ascii="宋体" w:hAnsi="宋体" w:cs="宋体"/>
          <w:color w:val="000000"/>
          <w:kern w:val="0"/>
          <w:lang w:bidi="ar"/>
        </w:rPr>
        <w:t>于小型（</w:t>
      </w:r>
      <w:r>
        <w:rPr>
          <w:color w:val="000000"/>
          <w:kern w:val="0"/>
          <w:lang w:bidi="ar"/>
        </w:rPr>
        <w:t>&lt;5h</w:t>
      </w:r>
      <w:r>
        <w:rPr>
          <w:rFonts w:hint="eastAsia"/>
          <w:color w:val="000000"/>
          <w:kern w:val="0"/>
          <w:lang w:bidi="ar"/>
        </w:rPr>
        <w:t>m</w:t>
      </w:r>
      <w:r>
        <w:rPr>
          <w:rFonts w:hint="eastAsia"/>
          <w:color w:val="000000"/>
          <w:kern w:val="0"/>
          <w:vertAlign w:val="superscript"/>
          <w:lang w:bidi="ar"/>
        </w:rPr>
        <w:t>2</w:t>
      </w:r>
      <w:r>
        <w:rPr>
          <w:rFonts w:hint="eastAsia" w:ascii="宋体" w:hAnsi="宋体" w:cs="宋体"/>
          <w:color w:val="000000"/>
          <w:kern w:val="0"/>
          <w:lang w:bidi="ar"/>
        </w:rPr>
        <w:t>）。同时根据现场踏勘情况，改扩建项目位于工业园区内，周边范围不存在土壤敏感目标。对照</w:t>
      </w:r>
      <w:r>
        <w:t>《环境影响评价</w:t>
      </w:r>
      <w:r>
        <w:rPr>
          <w:rFonts w:hint="eastAsia"/>
        </w:rPr>
        <w:t>技术</w:t>
      </w:r>
      <w:r>
        <w:t>导则 土壤环境</w:t>
      </w:r>
      <w:r>
        <w:rPr>
          <w:rFonts w:hint="eastAsia"/>
        </w:rPr>
        <w:t>（试行）</w:t>
      </w:r>
      <w:r>
        <w:t>》（HJ964-2018）4.2.2小节的要求，</w:t>
      </w:r>
      <w:r>
        <w:rPr>
          <w:rFonts w:hint="eastAsia"/>
        </w:rPr>
        <w:t>“</w:t>
      </w:r>
      <w:r>
        <w:t>根据行业特征、工艺特点或规模大小等将建设项目类别分为Ⅰ类、Ⅱ类、Ⅲ类、Ⅳ类，见附录A，其中Ⅳ类建设项目可不开展土壤环境影响评价</w:t>
      </w:r>
      <w:r>
        <w:rPr>
          <w:rFonts w:hint="eastAsia"/>
        </w:rPr>
        <w:t>”</w:t>
      </w:r>
      <w:r>
        <w:t>，本项目为塑料食品软包装袋生产，根据附录A属于</w:t>
      </w:r>
      <w:r>
        <w:rPr>
          <w:rFonts w:hint="eastAsia"/>
        </w:rPr>
        <w:t>“</w:t>
      </w:r>
      <w:r>
        <w:t>其他行业</w:t>
      </w:r>
      <w:r>
        <w:rPr>
          <w:rFonts w:hint="eastAsia"/>
        </w:rPr>
        <w:t>”</w:t>
      </w:r>
      <w:r>
        <w:t>，为Ⅳ类项目，可不开展土壤环境影响评价</w:t>
      </w:r>
      <w:r>
        <w:rPr>
          <w:rFonts w:hint="eastAsia"/>
        </w:rPr>
        <w:t>。</w:t>
      </w:r>
    </w:p>
    <w:p w14:paraId="60201ABA">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2.7.1.5</w:t>
      </w:r>
      <w:r>
        <w:rPr>
          <w:rFonts w:hint="eastAsia" w:ascii="Times New Roman" w:hAnsi="Times New Roman"/>
        </w:rPr>
        <w:t>生态环境</w:t>
      </w:r>
    </w:p>
    <w:p w14:paraId="7D97EAB3">
      <w:pPr>
        <w:ind w:firstLine="480"/>
      </w:pPr>
      <w:r>
        <w:t>根据《环境影响评价技术导则 生态影响》（HJ 19-2022）中的</w:t>
      </w:r>
      <w:r>
        <w:rPr>
          <w:rFonts w:hint="eastAsia"/>
        </w:rPr>
        <w:t>“</w:t>
      </w:r>
      <w:r>
        <w:t>6.1.8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r>
        <w:rPr>
          <w:rFonts w:hint="eastAsia"/>
        </w:rPr>
        <w:t>”</w:t>
      </w:r>
      <w:r>
        <w:t>。本项目属于</w:t>
      </w:r>
      <w:r>
        <w:rPr>
          <w:rFonts w:hint="eastAsia"/>
        </w:rPr>
        <w:t>“</w:t>
      </w:r>
      <w:r>
        <w:t>符合生态环境分区管控要求且位于原厂界（或永久用地）范围内的污染影响类改扩建项目</w:t>
      </w:r>
      <w:r>
        <w:rPr>
          <w:rFonts w:hint="eastAsia"/>
        </w:rPr>
        <w:t>”</w:t>
      </w:r>
      <w:r>
        <w:t>，故本环评不确定其评价等级，直接进行生态影响简单分析。</w:t>
      </w:r>
    </w:p>
    <w:p w14:paraId="3FF5DDAB">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2.7.1.6</w:t>
      </w:r>
      <w:r>
        <w:rPr>
          <w:rFonts w:hint="eastAsia" w:ascii="Times New Roman" w:hAnsi="Times New Roman"/>
        </w:rPr>
        <w:t>环境风险</w:t>
      </w:r>
    </w:p>
    <w:p w14:paraId="36C85FB5">
      <w:pPr>
        <w:ind w:firstLine="480"/>
        <w:jc w:val="left"/>
        <w:rPr>
          <w:rFonts w:hint="eastAsia"/>
          <w:kern w:val="0"/>
          <w:lang w:bidi="ar"/>
        </w:rPr>
      </w:pPr>
      <w:r>
        <w:rPr>
          <w:rFonts w:hint="eastAsia"/>
          <w:kern w:val="0"/>
          <w:lang w:bidi="ar"/>
        </w:rPr>
        <w:t>本项目危险物质和工艺系统的危险性（P）为P4，大气环境、地表水环境、地下水环境敏感程度分别为E2、E3、E3，项目大气环境、地表水环境、地下水环境风险潜势分别为Ⅱ、Ⅰ、Ⅰ级。根据《建设项目环境风险评价技术导则》(HJ169-2018）的要求，评价工作等级判定依据如表2.5-6所示。本项目环境风险评价等级取高值为三级、简单分析。</w:t>
      </w:r>
    </w:p>
    <w:p w14:paraId="5EA61CEC">
      <w:pPr>
        <w:pStyle w:val="38"/>
      </w:pPr>
    </w:p>
    <w:p w14:paraId="0C2AB8B9">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表2.7-6 </w:t>
      </w:r>
      <w:r>
        <w:rPr>
          <w:rFonts w:hint="eastAsia"/>
        </w:rPr>
        <w:t xml:space="preserve"> </w:t>
      </w:r>
      <w:r>
        <w:rPr>
          <w:rFonts w:hint="eastAsia"/>
          <w:lang w:val="en-US" w:eastAsia="zh-CN"/>
        </w:rPr>
        <w:t xml:space="preserve">     </w:t>
      </w:r>
      <w:r>
        <w:rPr>
          <w:rFonts w:hint="eastAsia"/>
        </w:rPr>
        <w:t>环境风险评价等级判定结果</w:t>
      </w:r>
    </w:p>
    <w:tbl>
      <w:tblPr>
        <w:tblStyle w:val="31"/>
        <w:tblW w:w="85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89"/>
        <w:gridCol w:w="1707"/>
        <w:gridCol w:w="1707"/>
        <w:gridCol w:w="1707"/>
        <w:gridCol w:w="1717"/>
      </w:tblGrid>
      <w:tr w14:paraId="2C1FE3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689" w:type="dxa"/>
            <w:vAlign w:val="center"/>
          </w:tcPr>
          <w:p w14:paraId="07890ED1">
            <w:pPr>
              <w:adjustRightInd w:val="0"/>
              <w:snapToGrid w:val="0"/>
              <w:spacing w:line="240" w:lineRule="auto"/>
              <w:jc w:val="center"/>
              <w:rPr>
                <w:sz w:val="21"/>
                <w:szCs w:val="21"/>
              </w:rPr>
            </w:pPr>
            <w:r>
              <w:rPr>
                <w:sz w:val="21"/>
                <w:szCs w:val="21"/>
              </w:rPr>
              <w:t>环境风险潜势</w:t>
            </w:r>
          </w:p>
        </w:tc>
        <w:tc>
          <w:tcPr>
            <w:tcW w:w="1706" w:type="dxa"/>
            <w:vAlign w:val="center"/>
          </w:tcPr>
          <w:p w14:paraId="170CF52F">
            <w:pPr>
              <w:adjustRightInd w:val="0"/>
              <w:snapToGrid w:val="0"/>
              <w:spacing w:line="240" w:lineRule="auto"/>
              <w:jc w:val="center"/>
              <w:rPr>
                <w:sz w:val="21"/>
                <w:szCs w:val="21"/>
              </w:rPr>
            </w:pPr>
            <w:r>
              <w:rPr>
                <w:sz w:val="21"/>
                <w:szCs w:val="21"/>
              </w:rPr>
              <w:t>Ⅳ、Ⅳ+</w:t>
            </w:r>
          </w:p>
        </w:tc>
        <w:tc>
          <w:tcPr>
            <w:tcW w:w="1706" w:type="dxa"/>
            <w:vAlign w:val="center"/>
          </w:tcPr>
          <w:p w14:paraId="3FBE8D3A">
            <w:pPr>
              <w:adjustRightInd w:val="0"/>
              <w:snapToGrid w:val="0"/>
              <w:spacing w:line="240" w:lineRule="auto"/>
              <w:jc w:val="center"/>
              <w:rPr>
                <w:sz w:val="21"/>
                <w:szCs w:val="21"/>
              </w:rPr>
            </w:pPr>
            <w:r>
              <w:rPr>
                <w:sz w:val="21"/>
                <w:szCs w:val="21"/>
              </w:rPr>
              <w:t>Ⅲ</w:t>
            </w:r>
          </w:p>
        </w:tc>
        <w:tc>
          <w:tcPr>
            <w:tcW w:w="1706" w:type="dxa"/>
            <w:vAlign w:val="center"/>
          </w:tcPr>
          <w:p w14:paraId="4BC8C632">
            <w:pPr>
              <w:adjustRightInd w:val="0"/>
              <w:snapToGrid w:val="0"/>
              <w:spacing w:line="240" w:lineRule="auto"/>
              <w:jc w:val="center"/>
              <w:rPr>
                <w:sz w:val="21"/>
                <w:szCs w:val="21"/>
              </w:rPr>
            </w:pPr>
            <w:r>
              <w:rPr>
                <w:sz w:val="21"/>
                <w:szCs w:val="21"/>
              </w:rPr>
              <w:t>Ⅱ</w:t>
            </w:r>
          </w:p>
        </w:tc>
        <w:tc>
          <w:tcPr>
            <w:tcW w:w="1716" w:type="dxa"/>
            <w:vAlign w:val="center"/>
          </w:tcPr>
          <w:p w14:paraId="63F90B26">
            <w:pPr>
              <w:adjustRightInd w:val="0"/>
              <w:snapToGrid w:val="0"/>
              <w:spacing w:line="240" w:lineRule="auto"/>
              <w:jc w:val="center"/>
              <w:rPr>
                <w:sz w:val="21"/>
                <w:szCs w:val="21"/>
              </w:rPr>
            </w:pPr>
            <w:r>
              <w:rPr>
                <w:sz w:val="21"/>
                <w:szCs w:val="21"/>
              </w:rPr>
              <w:t>Ⅰ</w:t>
            </w:r>
          </w:p>
        </w:tc>
      </w:tr>
      <w:tr w14:paraId="22E6FB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689" w:type="dxa"/>
            <w:vAlign w:val="center"/>
          </w:tcPr>
          <w:p w14:paraId="20CE34C6">
            <w:pPr>
              <w:adjustRightInd w:val="0"/>
              <w:snapToGrid w:val="0"/>
              <w:spacing w:line="240" w:lineRule="auto"/>
              <w:jc w:val="center"/>
              <w:rPr>
                <w:sz w:val="21"/>
                <w:szCs w:val="21"/>
              </w:rPr>
            </w:pPr>
            <w:r>
              <w:rPr>
                <w:sz w:val="21"/>
                <w:szCs w:val="21"/>
              </w:rPr>
              <w:t>评价工作等级</w:t>
            </w:r>
          </w:p>
        </w:tc>
        <w:tc>
          <w:tcPr>
            <w:tcW w:w="1706" w:type="dxa"/>
            <w:vAlign w:val="center"/>
          </w:tcPr>
          <w:p w14:paraId="6B1D8AD9">
            <w:pPr>
              <w:adjustRightInd w:val="0"/>
              <w:snapToGrid w:val="0"/>
              <w:spacing w:line="240" w:lineRule="auto"/>
              <w:jc w:val="center"/>
              <w:rPr>
                <w:sz w:val="21"/>
                <w:szCs w:val="21"/>
              </w:rPr>
            </w:pPr>
            <w:r>
              <w:rPr>
                <w:sz w:val="21"/>
                <w:szCs w:val="21"/>
              </w:rPr>
              <w:t>一</w:t>
            </w:r>
          </w:p>
        </w:tc>
        <w:tc>
          <w:tcPr>
            <w:tcW w:w="1706" w:type="dxa"/>
            <w:vAlign w:val="center"/>
          </w:tcPr>
          <w:p w14:paraId="65F0CDE9">
            <w:pPr>
              <w:adjustRightInd w:val="0"/>
              <w:snapToGrid w:val="0"/>
              <w:spacing w:line="240" w:lineRule="auto"/>
              <w:jc w:val="center"/>
              <w:rPr>
                <w:sz w:val="21"/>
                <w:szCs w:val="21"/>
              </w:rPr>
            </w:pPr>
            <w:r>
              <w:rPr>
                <w:sz w:val="21"/>
                <w:szCs w:val="21"/>
              </w:rPr>
              <w:t>二</w:t>
            </w:r>
          </w:p>
        </w:tc>
        <w:tc>
          <w:tcPr>
            <w:tcW w:w="1706" w:type="dxa"/>
            <w:vAlign w:val="center"/>
          </w:tcPr>
          <w:p w14:paraId="75FA3B48">
            <w:pPr>
              <w:adjustRightInd w:val="0"/>
              <w:snapToGrid w:val="0"/>
              <w:spacing w:line="240" w:lineRule="auto"/>
              <w:jc w:val="center"/>
              <w:rPr>
                <w:sz w:val="21"/>
                <w:szCs w:val="21"/>
              </w:rPr>
            </w:pPr>
            <w:r>
              <w:rPr>
                <w:sz w:val="21"/>
                <w:szCs w:val="21"/>
              </w:rPr>
              <w:t>三</w:t>
            </w:r>
          </w:p>
        </w:tc>
        <w:tc>
          <w:tcPr>
            <w:tcW w:w="1716" w:type="dxa"/>
            <w:vAlign w:val="center"/>
          </w:tcPr>
          <w:p w14:paraId="6A354DCE">
            <w:pPr>
              <w:adjustRightInd w:val="0"/>
              <w:snapToGrid w:val="0"/>
              <w:spacing w:line="240" w:lineRule="auto"/>
              <w:jc w:val="center"/>
              <w:rPr>
                <w:sz w:val="21"/>
                <w:szCs w:val="21"/>
              </w:rPr>
            </w:pPr>
            <w:r>
              <w:rPr>
                <w:sz w:val="21"/>
                <w:szCs w:val="21"/>
              </w:rPr>
              <w:t>简单分析a</w:t>
            </w:r>
          </w:p>
        </w:tc>
      </w:tr>
      <w:tr w14:paraId="4E0195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523" w:type="dxa"/>
            <w:gridSpan w:val="5"/>
            <w:vAlign w:val="center"/>
          </w:tcPr>
          <w:p w14:paraId="7B03F8EC">
            <w:pPr>
              <w:adjustRightInd w:val="0"/>
              <w:snapToGrid w:val="0"/>
              <w:spacing w:line="240" w:lineRule="auto"/>
              <w:jc w:val="left"/>
              <w:rPr>
                <w:sz w:val="21"/>
                <w:szCs w:val="21"/>
              </w:rPr>
            </w:pPr>
            <w:r>
              <w:rPr>
                <w:sz w:val="21"/>
                <w:szCs w:val="21"/>
              </w:rPr>
              <w:t>a是相对于详细评价工作内容而言，在描述危险物质、环境影响途径、环境危害后果、风险防范措施等方面给出定性的说明。见附录A。</w:t>
            </w:r>
          </w:p>
        </w:tc>
      </w:tr>
    </w:tbl>
    <w:p w14:paraId="65402BC3">
      <w:pPr>
        <w:ind w:firstLine="480"/>
        <w:jc w:val="left"/>
        <w:rPr>
          <w:kern w:val="0"/>
          <w:lang w:bidi="ar"/>
        </w:rPr>
      </w:pPr>
      <w:r>
        <w:rPr>
          <w:rFonts w:hint="eastAsia"/>
          <w:kern w:val="0"/>
          <w:lang w:bidi="ar"/>
        </w:rPr>
        <w:t>综上所述，下表给出本次环境影响评价工作级别。</w:t>
      </w:r>
    </w:p>
    <w:p w14:paraId="0EE4DB4E">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表2.7-7 </w:t>
      </w:r>
      <w:r>
        <w:rPr>
          <w:rFonts w:hint="eastAsia"/>
        </w:rPr>
        <w:t xml:space="preserve"> 环境风险评价等级判定结果</w:t>
      </w:r>
    </w:p>
    <w:tbl>
      <w:tblPr>
        <w:tblStyle w:val="31"/>
        <w:tblW w:w="852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34"/>
        <w:gridCol w:w="1287"/>
        <w:gridCol w:w="3538"/>
        <w:gridCol w:w="2468"/>
      </w:tblGrid>
      <w:tr w14:paraId="257723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3E92FA4B">
            <w:pPr>
              <w:adjustRightInd w:val="0"/>
              <w:snapToGrid w:val="0"/>
              <w:spacing w:line="240" w:lineRule="auto"/>
              <w:jc w:val="center"/>
              <w:rPr>
                <w:sz w:val="21"/>
                <w:szCs w:val="21"/>
              </w:rPr>
            </w:pPr>
            <w:r>
              <w:rPr>
                <w:sz w:val="21"/>
                <w:szCs w:val="21"/>
              </w:rPr>
              <w:t>环境要素</w:t>
            </w:r>
          </w:p>
        </w:tc>
        <w:tc>
          <w:tcPr>
            <w:tcW w:w="1287" w:type="dxa"/>
            <w:tcBorders>
              <w:tl2br w:val="nil"/>
              <w:tr2bl w:val="nil"/>
            </w:tcBorders>
            <w:vAlign w:val="center"/>
          </w:tcPr>
          <w:p w14:paraId="5F036992">
            <w:pPr>
              <w:adjustRightInd w:val="0"/>
              <w:snapToGrid w:val="0"/>
              <w:spacing w:line="240" w:lineRule="auto"/>
              <w:jc w:val="center"/>
              <w:rPr>
                <w:sz w:val="21"/>
                <w:szCs w:val="21"/>
              </w:rPr>
            </w:pPr>
            <w:r>
              <w:rPr>
                <w:sz w:val="21"/>
                <w:szCs w:val="21"/>
              </w:rPr>
              <w:t>评价级别</w:t>
            </w:r>
          </w:p>
        </w:tc>
        <w:tc>
          <w:tcPr>
            <w:tcW w:w="3538" w:type="dxa"/>
            <w:tcBorders>
              <w:tl2br w:val="nil"/>
              <w:tr2bl w:val="nil"/>
            </w:tcBorders>
            <w:vAlign w:val="center"/>
          </w:tcPr>
          <w:p w14:paraId="7526C64E">
            <w:pPr>
              <w:adjustRightInd w:val="0"/>
              <w:snapToGrid w:val="0"/>
              <w:spacing w:line="240" w:lineRule="auto"/>
              <w:jc w:val="center"/>
              <w:rPr>
                <w:sz w:val="21"/>
                <w:szCs w:val="21"/>
              </w:rPr>
            </w:pPr>
            <w:r>
              <w:rPr>
                <w:sz w:val="21"/>
                <w:szCs w:val="21"/>
              </w:rPr>
              <w:t>评价范围</w:t>
            </w:r>
          </w:p>
        </w:tc>
        <w:tc>
          <w:tcPr>
            <w:tcW w:w="2468" w:type="dxa"/>
            <w:tcBorders>
              <w:tl2br w:val="nil"/>
              <w:tr2bl w:val="nil"/>
            </w:tcBorders>
            <w:vAlign w:val="center"/>
          </w:tcPr>
          <w:p w14:paraId="2A0493A3">
            <w:pPr>
              <w:adjustRightInd w:val="0"/>
              <w:snapToGrid w:val="0"/>
              <w:spacing w:line="240" w:lineRule="auto"/>
              <w:jc w:val="center"/>
              <w:rPr>
                <w:sz w:val="21"/>
                <w:szCs w:val="21"/>
              </w:rPr>
            </w:pPr>
            <w:r>
              <w:rPr>
                <w:sz w:val="21"/>
                <w:szCs w:val="21"/>
              </w:rPr>
              <w:t>判据</w:t>
            </w:r>
          </w:p>
        </w:tc>
      </w:tr>
      <w:tr w14:paraId="4B71CE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337125AC">
            <w:pPr>
              <w:adjustRightInd w:val="0"/>
              <w:snapToGrid w:val="0"/>
              <w:spacing w:line="240" w:lineRule="auto"/>
              <w:jc w:val="center"/>
              <w:rPr>
                <w:sz w:val="21"/>
                <w:szCs w:val="21"/>
              </w:rPr>
            </w:pPr>
            <w:r>
              <w:rPr>
                <w:sz w:val="21"/>
                <w:szCs w:val="21"/>
              </w:rPr>
              <w:t>大气环境</w:t>
            </w:r>
          </w:p>
        </w:tc>
        <w:tc>
          <w:tcPr>
            <w:tcW w:w="1287" w:type="dxa"/>
            <w:tcBorders>
              <w:tl2br w:val="nil"/>
              <w:tr2bl w:val="nil"/>
            </w:tcBorders>
            <w:vAlign w:val="center"/>
          </w:tcPr>
          <w:p w14:paraId="190CC725">
            <w:pPr>
              <w:adjustRightInd w:val="0"/>
              <w:snapToGrid w:val="0"/>
              <w:spacing w:line="240" w:lineRule="auto"/>
              <w:jc w:val="center"/>
              <w:rPr>
                <w:sz w:val="21"/>
                <w:szCs w:val="21"/>
              </w:rPr>
            </w:pPr>
            <w:r>
              <w:rPr>
                <w:rFonts w:hint="eastAsia"/>
                <w:sz w:val="21"/>
                <w:szCs w:val="21"/>
              </w:rPr>
              <w:t>一</w:t>
            </w:r>
            <w:r>
              <w:rPr>
                <w:sz w:val="21"/>
                <w:szCs w:val="21"/>
              </w:rPr>
              <w:t>级</w:t>
            </w:r>
          </w:p>
        </w:tc>
        <w:tc>
          <w:tcPr>
            <w:tcW w:w="3538" w:type="dxa"/>
            <w:tcBorders>
              <w:tl2br w:val="nil"/>
              <w:tr2bl w:val="nil"/>
            </w:tcBorders>
            <w:vAlign w:val="center"/>
          </w:tcPr>
          <w:p w14:paraId="5977ADCB">
            <w:pPr>
              <w:adjustRightInd w:val="0"/>
              <w:snapToGrid w:val="0"/>
              <w:spacing w:line="240" w:lineRule="auto"/>
              <w:jc w:val="center"/>
              <w:rPr>
                <w:sz w:val="21"/>
                <w:szCs w:val="21"/>
              </w:rPr>
            </w:pPr>
            <w:r>
              <w:rPr>
                <w:sz w:val="21"/>
                <w:szCs w:val="21"/>
              </w:rPr>
              <w:t>以项目厂址中心，边长5km的矩形区域</w:t>
            </w:r>
          </w:p>
        </w:tc>
        <w:tc>
          <w:tcPr>
            <w:tcW w:w="2468" w:type="dxa"/>
            <w:tcBorders>
              <w:tl2br w:val="nil"/>
              <w:tr2bl w:val="nil"/>
            </w:tcBorders>
            <w:vAlign w:val="center"/>
          </w:tcPr>
          <w:p w14:paraId="424506C1">
            <w:pPr>
              <w:adjustRightInd w:val="0"/>
              <w:snapToGrid w:val="0"/>
              <w:spacing w:line="240" w:lineRule="auto"/>
              <w:jc w:val="center"/>
              <w:rPr>
                <w:sz w:val="21"/>
                <w:szCs w:val="21"/>
              </w:rPr>
            </w:pPr>
            <w:r>
              <w:rPr>
                <w:sz w:val="21"/>
                <w:szCs w:val="21"/>
              </w:rPr>
              <w:t>HJ2.2-2018</w:t>
            </w:r>
          </w:p>
        </w:tc>
      </w:tr>
      <w:tr w14:paraId="2F8513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1845B01A">
            <w:pPr>
              <w:adjustRightInd w:val="0"/>
              <w:snapToGrid w:val="0"/>
              <w:spacing w:line="240" w:lineRule="auto"/>
              <w:jc w:val="center"/>
              <w:rPr>
                <w:sz w:val="21"/>
                <w:szCs w:val="21"/>
              </w:rPr>
            </w:pPr>
            <w:r>
              <w:rPr>
                <w:sz w:val="21"/>
                <w:szCs w:val="21"/>
              </w:rPr>
              <w:t>地表水环境</w:t>
            </w:r>
          </w:p>
        </w:tc>
        <w:tc>
          <w:tcPr>
            <w:tcW w:w="1287" w:type="dxa"/>
            <w:tcBorders>
              <w:tl2br w:val="nil"/>
              <w:tr2bl w:val="nil"/>
            </w:tcBorders>
            <w:vAlign w:val="center"/>
          </w:tcPr>
          <w:p w14:paraId="53A36869">
            <w:pPr>
              <w:adjustRightInd w:val="0"/>
              <w:snapToGrid w:val="0"/>
              <w:spacing w:line="240" w:lineRule="auto"/>
              <w:jc w:val="center"/>
              <w:rPr>
                <w:sz w:val="21"/>
                <w:szCs w:val="21"/>
              </w:rPr>
            </w:pPr>
            <w:r>
              <w:rPr>
                <w:sz w:val="21"/>
                <w:szCs w:val="21"/>
              </w:rPr>
              <w:t>三级B</w:t>
            </w:r>
          </w:p>
        </w:tc>
        <w:tc>
          <w:tcPr>
            <w:tcW w:w="3538" w:type="dxa"/>
            <w:tcBorders>
              <w:tl2br w:val="nil"/>
              <w:tr2bl w:val="nil"/>
            </w:tcBorders>
            <w:vAlign w:val="center"/>
          </w:tcPr>
          <w:p w14:paraId="71E71535">
            <w:pPr>
              <w:adjustRightInd w:val="0"/>
              <w:snapToGrid w:val="0"/>
              <w:spacing w:line="240" w:lineRule="auto"/>
              <w:jc w:val="center"/>
              <w:rPr>
                <w:sz w:val="21"/>
                <w:szCs w:val="21"/>
              </w:rPr>
            </w:pPr>
            <w:r>
              <w:rPr>
                <w:rFonts w:hint="eastAsia"/>
                <w:sz w:val="21"/>
                <w:szCs w:val="21"/>
              </w:rPr>
              <w:t>本项目不涉及地表水环境风险，可不设评价范围，但应满足其依托污水处理设施环境可行性分析的要求</w:t>
            </w:r>
          </w:p>
        </w:tc>
        <w:tc>
          <w:tcPr>
            <w:tcW w:w="2468" w:type="dxa"/>
            <w:tcBorders>
              <w:tl2br w:val="nil"/>
              <w:tr2bl w:val="nil"/>
            </w:tcBorders>
            <w:vAlign w:val="center"/>
          </w:tcPr>
          <w:p w14:paraId="78BC6713">
            <w:pPr>
              <w:adjustRightInd w:val="0"/>
              <w:snapToGrid w:val="0"/>
              <w:spacing w:line="240" w:lineRule="auto"/>
              <w:jc w:val="center"/>
              <w:rPr>
                <w:sz w:val="21"/>
                <w:szCs w:val="21"/>
              </w:rPr>
            </w:pPr>
            <w:r>
              <w:rPr>
                <w:sz w:val="21"/>
                <w:szCs w:val="21"/>
              </w:rPr>
              <w:t>HJ2.3-2018</w:t>
            </w:r>
          </w:p>
        </w:tc>
      </w:tr>
      <w:tr w14:paraId="2B296C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7B0ECDEB">
            <w:pPr>
              <w:adjustRightInd w:val="0"/>
              <w:snapToGrid w:val="0"/>
              <w:spacing w:line="240" w:lineRule="auto"/>
              <w:jc w:val="center"/>
              <w:rPr>
                <w:sz w:val="21"/>
                <w:szCs w:val="21"/>
              </w:rPr>
            </w:pPr>
            <w:r>
              <w:rPr>
                <w:rFonts w:hint="eastAsia"/>
                <w:sz w:val="21"/>
                <w:szCs w:val="21"/>
              </w:rPr>
              <w:t>地下水环境</w:t>
            </w:r>
          </w:p>
        </w:tc>
        <w:tc>
          <w:tcPr>
            <w:tcW w:w="1287" w:type="dxa"/>
            <w:tcBorders>
              <w:tl2br w:val="nil"/>
              <w:tr2bl w:val="nil"/>
            </w:tcBorders>
            <w:vAlign w:val="center"/>
          </w:tcPr>
          <w:p w14:paraId="0F91B110">
            <w:pPr>
              <w:adjustRightInd w:val="0"/>
              <w:snapToGrid w:val="0"/>
              <w:spacing w:line="240" w:lineRule="auto"/>
              <w:jc w:val="center"/>
              <w:rPr>
                <w:sz w:val="21"/>
                <w:szCs w:val="21"/>
              </w:rPr>
            </w:pPr>
            <w:r>
              <w:rPr>
                <w:rFonts w:hint="eastAsia"/>
                <w:sz w:val="21"/>
                <w:szCs w:val="21"/>
              </w:rPr>
              <w:t>/</w:t>
            </w:r>
          </w:p>
        </w:tc>
        <w:tc>
          <w:tcPr>
            <w:tcW w:w="3538" w:type="dxa"/>
            <w:tcBorders>
              <w:tl2br w:val="nil"/>
              <w:tr2bl w:val="nil"/>
            </w:tcBorders>
            <w:vAlign w:val="center"/>
          </w:tcPr>
          <w:p w14:paraId="55CC50B2">
            <w:pPr>
              <w:adjustRightInd w:val="0"/>
              <w:snapToGrid w:val="0"/>
              <w:spacing w:line="240" w:lineRule="auto"/>
              <w:jc w:val="center"/>
              <w:rPr>
                <w:sz w:val="21"/>
                <w:szCs w:val="21"/>
              </w:rPr>
            </w:pPr>
            <w:r>
              <w:rPr>
                <w:rFonts w:hint="eastAsia"/>
                <w:sz w:val="21"/>
                <w:szCs w:val="21"/>
              </w:rPr>
              <w:t>不开展地下水环境影响评价，仅进行简单的定性分析</w:t>
            </w:r>
          </w:p>
        </w:tc>
        <w:tc>
          <w:tcPr>
            <w:tcW w:w="2468" w:type="dxa"/>
            <w:tcBorders>
              <w:tl2br w:val="nil"/>
              <w:tr2bl w:val="nil"/>
            </w:tcBorders>
            <w:vAlign w:val="center"/>
          </w:tcPr>
          <w:p w14:paraId="30FC00AC">
            <w:pPr>
              <w:adjustRightInd w:val="0"/>
              <w:snapToGrid w:val="0"/>
              <w:spacing w:line="240" w:lineRule="auto"/>
              <w:jc w:val="center"/>
              <w:rPr>
                <w:sz w:val="21"/>
                <w:szCs w:val="21"/>
              </w:rPr>
            </w:pPr>
            <w:r>
              <w:rPr>
                <w:sz w:val="21"/>
                <w:szCs w:val="21"/>
              </w:rPr>
              <w:t>HJ</w:t>
            </w:r>
            <w:r>
              <w:rPr>
                <w:rFonts w:hint="eastAsia"/>
                <w:sz w:val="21"/>
                <w:szCs w:val="21"/>
              </w:rPr>
              <w:t>610</w:t>
            </w:r>
            <w:r>
              <w:rPr>
                <w:sz w:val="21"/>
                <w:szCs w:val="21"/>
              </w:rPr>
              <w:t>-201</w:t>
            </w:r>
            <w:r>
              <w:rPr>
                <w:rFonts w:hint="eastAsia"/>
                <w:sz w:val="21"/>
                <w:szCs w:val="21"/>
              </w:rPr>
              <w:t>6</w:t>
            </w:r>
          </w:p>
        </w:tc>
      </w:tr>
      <w:tr w14:paraId="01AC05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3652C168">
            <w:pPr>
              <w:adjustRightInd w:val="0"/>
              <w:snapToGrid w:val="0"/>
              <w:spacing w:line="240" w:lineRule="auto"/>
              <w:jc w:val="center"/>
              <w:rPr>
                <w:sz w:val="21"/>
                <w:szCs w:val="21"/>
              </w:rPr>
            </w:pPr>
            <w:r>
              <w:rPr>
                <w:sz w:val="21"/>
                <w:szCs w:val="21"/>
              </w:rPr>
              <w:t>声环境</w:t>
            </w:r>
          </w:p>
        </w:tc>
        <w:tc>
          <w:tcPr>
            <w:tcW w:w="1287" w:type="dxa"/>
            <w:tcBorders>
              <w:tl2br w:val="nil"/>
              <w:tr2bl w:val="nil"/>
            </w:tcBorders>
            <w:vAlign w:val="center"/>
          </w:tcPr>
          <w:p w14:paraId="160C1D87">
            <w:pPr>
              <w:adjustRightInd w:val="0"/>
              <w:snapToGrid w:val="0"/>
              <w:spacing w:line="240" w:lineRule="auto"/>
              <w:jc w:val="center"/>
              <w:rPr>
                <w:sz w:val="21"/>
                <w:szCs w:val="21"/>
              </w:rPr>
            </w:pPr>
            <w:r>
              <w:rPr>
                <w:sz w:val="21"/>
                <w:szCs w:val="21"/>
              </w:rPr>
              <w:t>三级</w:t>
            </w:r>
          </w:p>
        </w:tc>
        <w:tc>
          <w:tcPr>
            <w:tcW w:w="3538" w:type="dxa"/>
            <w:tcBorders>
              <w:tl2br w:val="nil"/>
              <w:tr2bl w:val="nil"/>
            </w:tcBorders>
            <w:vAlign w:val="center"/>
          </w:tcPr>
          <w:p w14:paraId="45D04B54">
            <w:pPr>
              <w:adjustRightInd w:val="0"/>
              <w:snapToGrid w:val="0"/>
              <w:spacing w:line="240" w:lineRule="auto"/>
              <w:jc w:val="center"/>
              <w:rPr>
                <w:sz w:val="21"/>
                <w:szCs w:val="21"/>
              </w:rPr>
            </w:pPr>
            <w:r>
              <w:rPr>
                <w:sz w:val="21"/>
                <w:szCs w:val="21"/>
              </w:rPr>
              <w:t>项目厂界及边界外200m范围</w:t>
            </w:r>
          </w:p>
        </w:tc>
        <w:tc>
          <w:tcPr>
            <w:tcW w:w="2468" w:type="dxa"/>
            <w:tcBorders>
              <w:tl2br w:val="nil"/>
              <w:tr2bl w:val="nil"/>
            </w:tcBorders>
            <w:vAlign w:val="center"/>
          </w:tcPr>
          <w:p w14:paraId="563956E2">
            <w:pPr>
              <w:adjustRightInd w:val="0"/>
              <w:snapToGrid w:val="0"/>
              <w:spacing w:line="240" w:lineRule="auto"/>
              <w:jc w:val="center"/>
              <w:rPr>
                <w:sz w:val="21"/>
                <w:szCs w:val="21"/>
              </w:rPr>
            </w:pPr>
            <w:r>
              <w:rPr>
                <w:sz w:val="21"/>
                <w:szCs w:val="21"/>
              </w:rPr>
              <w:t>HJ2.4-20</w:t>
            </w:r>
            <w:r>
              <w:rPr>
                <w:rFonts w:hint="eastAsia"/>
                <w:sz w:val="21"/>
                <w:szCs w:val="21"/>
              </w:rPr>
              <w:t>21</w:t>
            </w:r>
          </w:p>
        </w:tc>
      </w:tr>
      <w:tr w14:paraId="5FE606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79E59F11">
            <w:pPr>
              <w:adjustRightInd w:val="0"/>
              <w:snapToGrid w:val="0"/>
              <w:spacing w:line="240" w:lineRule="auto"/>
              <w:jc w:val="center"/>
              <w:rPr>
                <w:sz w:val="21"/>
                <w:szCs w:val="21"/>
              </w:rPr>
            </w:pPr>
            <w:r>
              <w:rPr>
                <w:rFonts w:hint="eastAsia"/>
                <w:sz w:val="21"/>
                <w:szCs w:val="21"/>
              </w:rPr>
              <w:t>土壤环境</w:t>
            </w:r>
          </w:p>
        </w:tc>
        <w:tc>
          <w:tcPr>
            <w:tcW w:w="1287" w:type="dxa"/>
            <w:tcBorders>
              <w:tl2br w:val="nil"/>
              <w:tr2bl w:val="nil"/>
            </w:tcBorders>
            <w:vAlign w:val="center"/>
          </w:tcPr>
          <w:p w14:paraId="4E005E19">
            <w:pPr>
              <w:adjustRightInd w:val="0"/>
              <w:snapToGrid w:val="0"/>
              <w:spacing w:line="240" w:lineRule="auto"/>
              <w:jc w:val="center"/>
              <w:rPr>
                <w:sz w:val="21"/>
                <w:szCs w:val="21"/>
              </w:rPr>
            </w:pPr>
            <w:r>
              <w:rPr>
                <w:rFonts w:hint="eastAsia"/>
                <w:sz w:val="21"/>
                <w:szCs w:val="21"/>
              </w:rPr>
              <w:t>/</w:t>
            </w:r>
          </w:p>
        </w:tc>
        <w:tc>
          <w:tcPr>
            <w:tcW w:w="3538" w:type="dxa"/>
            <w:tcBorders>
              <w:tl2br w:val="nil"/>
              <w:tr2bl w:val="nil"/>
            </w:tcBorders>
            <w:vAlign w:val="center"/>
          </w:tcPr>
          <w:p w14:paraId="0081D215">
            <w:pPr>
              <w:adjustRightInd w:val="0"/>
              <w:snapToGrid w:val="0"/>
              <w:spacing w:line="240" w:lineRule="auto"/>
              <w:jc w:val="center"/>
              <w:rPr>
                <w:sz w:val="21"/>
                <w:szCs w:val="21"/>
              </w:rPr>
            </w:pPr>
            <w:r>
              <w:rPr>
                <w:sz w:val="21"/>
                <w:szCs w:val="21"/>
              </w:rPr>
              <w:t>不开展土壤环境影响评价，仅进行简单的定性分析</w:t>
            </w:r>
          </w:p>
        </w:tc>
        <w:tc>
          <w:tcPr>
            <w:tcW w:w="2468" w:type="dxa"/>
            <w:tcBorders>
              <w:tl2br w:val="nil"/>
              <w:tr2bl w:val="nil"/>
            </w:tcBorders>
            <w:vAlign w:val="center"/>
          </w:tcPr>
          <w:p w14:paraId="3D8CCE27">
            <w:pPr>
              <w:adjustRightInd w:val="0"/>
              <w:snapToGrid w:val="0"/>
              <w:spacing w:line="240" w:lineRule="auto"/>
              <w:jc w:val="center"/>
              <w:rPr>
                <w:sz w:val="21"/>
                <w:szCs w:val="21"/>
              </w:rPr>
            </w:pPr>
            <w:r>
              <w:rPr>
                <w:sz w:val="21"/>
                <w:szCs w:val="21"/>
              </w:rPr>
              <w:t>HJ</w:t>
            </w:r>
            <w:r>
              <w:rPr>
                <w:rFonts w:hint="eastAsia"/>
                <w:sz w:val="21"/>
                <w:szCs w:val="21"/>
              </w:rPr>
              <w:t>964</w:t>
            </w:r>
            <w:r>
              <w:rPr>
                <w:sz w:val="21"/>
                <w:szCs w:val="21"/>
              </w:rPr>
              <w:t>-20</w:t>
            </w:r>
            <w:r>
              <w:rPr>
                <w:rFonts w:hint="eastAsia"/>
                <w:sz w:val="21"/>
                <w:szCs w:val="21"/>
              </w:rPr>
              <w:t>18</w:t>
            </w:r>
          </w:p>
        </w:tc>
      </w:tr>
      <w:tr w14:paraId="0FE746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23DE8AD8">
            <w:pPr>
              <w:adjustRightInd w:val="0"/>
              <w:snapToGrid w:val="0"/>
              <w:spacing w:line="240" w:lineRule="auto"/>
              <w:jc w:val="center"/>
              <w:rPr>
                <w:sz w:val="21"/>
                <w:szCs w:val="21"/>
              </w:rPr>
            </w:pPr>
            <w:r>
              <w:rPr>
                <w:sz w:val="21"/>
                <w:szCs w:val="21"/>
              </w:rPr>
              <w:t>生态环境</w:t>
            </w:r>
          </w:p>
        </w:tc>
        <w:tc>
          <w:tcPr>
            <w:tcW w:w="1287" w:type="dxa"/>
            <w:tcBorders>
              <w:tl2br w:val="nil"/>
              <w:tr2bl w:val="nil"/>
            </w:tcBorders>
            <w:vAlign w:val="center"/>
          </w:tcPr>
          <w:p w14:paraId="66AC3C50">
            <w:pPr>
              <w:adjustRightInd w:val="0"/>
              <w:snapToGrid w:val="0"/>
              <w:spacing w:line="240" w:lineRule="auto"/>
              <w:jc w:val="center"/>
              <w:rPr>
                <w:sz w:val="21"/>
                <w:szCs w:val="21"/>
              </w:rPr>
            </w:pPr>
            <w:r>
              <w:rPr>
                <w:rFonts w:hint="eastAsia"/>
                <w:sz w:val="21"/>
                <w:szCs w:val="21"/>
              </w:rPr>
              <w:t>简单分析</w:t>
            </w:r>
          </w:p>
        </w:tc>
        <w:tc>
          <w:tcPr>
            <w:tcW w:w="3538" w:type="dxa"/>
            <w:tcBorders>
              <w:tl2br w:val="nil"/>
              <w:tr2bl w:val="nil"/>
            </w:tcBorders>
            <w:vAlign w:val="center"/>
          </w:tcPr>
          <w:p w14:paraId="3B899AF7">
            <w:pPr>
              <w:adjustRightInd w:val="0"/>
              <w:snapToGrid w:val="0"/>
              <w:spacing w:line="240" w:lineRule="auto"/>
              <w:jc w:val="center"/>
              <w:rPr>
                <w:sz w:val="21"/>
                <w:szCs w:val="21"/>
              </w:rPr>
            </w:pPr>
            <w:r>
              <w:rPr>
                <w:sz w:val="21"/>
                <w:szCs w:val="21"/>
              </w:rPr>
              <w:t>项目厂区占地范围</w:t>
            </w:r>
          </w:p>
        </w:tc>
        <w:tc>
          <w:tcPr>
            <w:tcW w:w="2468" w:type="dxa"/>
            <w:tcBorders>
              <w:tl2br w:val="nil"/>
              <w:tr2bl w:val="nil"/>
            </w:tcBorders>
            <w:vAlign w:val="center"/>
          </w:tcPr>
          <w:p w14:paraId="179B54D2">
            <w:pPr>
              <w:adjustRightInd w:val="0"/>
              <w:snapToGrid w:val="0"/>
              <w:spacing w:line="240" w:lineRule="auto"/>
              <w:jc w:val="center"/>
              <w:rPr>
                <w:sz w:val="21"/>
                <w:szCs w:val="21"/>
              </w:rPr>
            </w:pPr>
            <w:r>
              <w:rPr>
                <w:sz w:val="21"/>
                <w:szCs w:val="21"/>
              </w:rPr>
              <w:t>HJ19-20</w:t>
            </w:r>
            <w:r>
              <w:rPr>
                <w:rFonts w:hint="eastAsia"/>
                <w:sz w:val="21"/>
                <w:szCs w:val="21"/>
              </w:rPr>
              <w:t>22</w:t>
            </w:r>
          </w:p>
        </w:tc>
      </w:tr>
      <w:tr w14:paraId="6BC115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4" w:type="dxa"/>
            <w:tcBorders>
              <w:tl2br w:val="nil"/>
              <w:tr2bl w:val="nil"/>
            </w:tcBorders>
            <w:vAlign w:val="center"/>
          </w:tcPr>
          <w:p w14:paraId="49B80C4B">
            <w:pPr>
              <w:adjustRightInd w:val="0"/>
              <w:snapToGrid w:val="0"/>
              <w:spacing w:line="240" w:lineRule="auto"/>
              <w:jc w:val="center"/>
              <w:rPr>
                <w:sz w:val="21"/>
                <w:szCs w:val="21"/>
              </w:rPr>
            </w:pPr>
            <w:r>
              <w:rPr>
                <w:sz w:val="21"/>
                <w:szCs w:val="21"/>
              </w:rPr>
              <w:t>环境风险</w:t>
            </w:r>
          </w:p>
        </w:tc>
        <w:tc>
          <w:tcPr>
            <w:tcW w:w="1287" w:type="dxa"/>
            <w:tcBorders>
              <w:tl2br w:val="nil"/>
              <w:tr2bl w:val="nil"/>
            </w:tcBorders>
            <w:vAlign w:val="center"/>
          </w:tcPr>
          <w:p w14:paraId="76DE8BE5">
            <w:pPr>
              <w:adjustRightInd w:val="0"/>
              <w:snapToGrid w:val="0"/>
              <w:spacing w:line="240" w:lineRule="auto"/>
              <w:jc w:val="center"/>
              <w:rPr>
                <w:sz w:val="21"/>
                <w:szCs w:val="21"/>
              </w:rPr>
            </w:pPr>
            <w:r>
              <w:rPr>
                <w:rFonts w:hint="eastAsia"/>
                <w:sz w:val="21"/>
                <w:szCs w:val="21"/>
              </w:rPr>
              <w:t>简单分析</w:t>
            </w:r>
          </w:p>
        </w:tc>
        <w:tc>
          <w:tcPr>
            <w:tcW w:w="3538" w:type="dxa"/>
            <w:tcBorders>
              <w:tl2br w:val="nil"/>
              <w:tr2bl w:val="nil"/>
            </w:tcBorders>
            <w:vAlign w:val="center"/>
          </w:tcPr>
          <w:p w14:paraId="5EFCF9E0">
            <w:pPr>
              <w:adjustRightInd w:val="0"/>
              <w:snapToGrid w:val="0"/>
              <w:spacing w:line="240" w:lineRule="auto"/>
              <w:jc w:val="center"/>
              <w:rPr>
                <w:sz w:val="21"/>
                <w:szCs w:val="21"/>
              </w:rPr>
            </w:pPr>
            <w:r>
              <w:rPr>
                <w:sz w:val="21"/>
                <w:szCs w:val="21"/>
              </w:rPr>
              <w:t>项目厂区占地范围</w:t>
            </w:r>
          </w:p>
        </w:tc>
        <w:tc>
          <w:tcPr>
            <w:tcW w:w="2468" w:type="dxa"/>
            <w:tcBorders>
              <w:tl2br w:val="nil"/>
              <w:tr2bl w:val="nil"/>
            </w:tcBorders>
            <w:vAlign w:val="center"/>
          </w:tcPr>
          <w:p w14:paraId="019700D9">
            <w:pPr>
              <w:adjustRightInd w:val="0"/>
              <w:snapToGrid w:val="0"/>
              <w:spacing w:line="240" w:lineRule="auto"/>
              <w:jc w:val="center"/>
              <w:rPr>
                <w:sz w:val="21"/>
                <w:szCs w:val="21"/>
              </w:rPr>
            </w:pPr>
            <w:r>
              <w:rPr>
                <w:sz w:val="21"/>
                <w:szCs w:val="21"/>
              </w:rPr>
              <w:t>HJ169-2018</w:t>
            </w:r>
          </w:p>
        </w:tc>
      </w:tr>
    </w:tbl>
    <w:p w14:paraId="2A8AE913">
      <w:pPr>
        <w:jc w:val="center"/>
      </w:pPr>
      <w:r>
        <w:drawing>
          <wp:inline distT="0" distB="0" distL="114300" distR="114300">
            <wp:extent cx="4331335" cy="4010660"/>
            <wp:effectExtent l="0" t="0" r="12065" b="8890"/>
            <wp:docPr id="56" name="图片 56" descr="大气、噪声保护距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大气、噪声保护距离"/>
                    <pic:cNvPicPr>
                      <a:picLocks noChangeAspect="1"/>
                    </pic:cNvPicPr>
                  </pic:nvPicPr>
                  <pic:blipFill>
                    <a:blip r:embed="rId19"/>
                    <a:stretch>
                      <a:fillRect/>
                    </a:stretch>
                  </pic:blipFill>
                  <pic:spPr>
                    <a:xfrm>
                      <a:off x="0" y="0"/>
                      <a:ext cx="4331335" cy="4010660"/>
                    </a:xfrm>
                    <a:prstGeom prst="rect">
                      <a:avLst/>
                    </a:prstGeom>
                  </pic:spPr>
                </pic:pic>
              </a:graphicData>
            </a:graphic>
          </wp:inline>
        </w:drawing>
      </w:r>
    </w:p>
    <w:p w14:paraId="60209025">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图2.7-1 </w:t>
      </w:r>
      <w:r>
        <w:rPr>
          <w:rFonts w:hint="eastAsia"/>
          <w:color w:val="auto"/>
        </w:rPr>
        <w:t>大气、噪声评价范围图</w:t>
      </w:r>
    </w:p>
    <w:p w14:paraId="4A65F133">
      <w:pPr>
        <w:pStyle w:val="3"/>
        <w:numPr>
          <w:ilvl w:val="1"/>
          <w:numId w:val="0"/>
        </w:numPr>
        <w:ind w:left="567" w:leftChars="0" w:hanging="567" w:firstLineChars="0"/>
        <w:rPr>
          <w:sz w:val="28"/>
          <w:szCs w:val="28"/>
        </w:rPr>
      </w:pPr>
      <w:bookmarkStart w:id="68" w:name="_Toc31643"/>
      <w:r>
        <w:rPr>
          <w:rFonts w:hint="default" w:ascii="宋体" w:hAnsi="宋体" w:eastAsia="宋体" w:cs="宋体"/>
          <w:b/>
          <w:bCs/>
          <w:kern w:val="2"/>
          <w:sz w:val="28"/>
          <w:szCs w:val="28"/>
          <w:lang w:val="en-US" w:eastAsia="zh-CN" w:bidi="ar-SA"/>
        </w:rPr>
        <w:t>2.8</w:t>
      </w:r>
      <w:r>
        <w:rPr>
          <w:sz w:val="28"/>
          <w:szCs w:val="28"/>
        </w:rPr>
        <w:t>评价</w:t>
      </w:r>
      <w:r>
        <w:rPr>
          <w:rFonts w:hint="eastAsia"/>
          <w:sz w:val="28"/>
          <w:szCs w:val="28"/>
        </w:rPr>
        <w:t>工作重点</w:t>
      </w:r>
      <w:bookmarkEnd w:id="68"/>
    </w:p>
    <w:p w14:paraId="216BEFDD">
      <w:pPr>
        <w:ind w:firstLine="480"/>
      </w:pPr>
      <w:r>
        <w:t>本次环评的工作重点是</w:t>
      </w:r>
    </w:p>
    <w:p w14:paraId="2BD5F2BA">
      <w:pPr>
        <w:ind w:firstLine="480"/>
      </w:pPr>
      <w:r>
        <w:t>①工程分析</w:t>
      </w:r>
      <w:r>
        <w:rPr>
          <w:rFonts w:hint="eastAsia"/>
        </w:rPr>
        <w:t>：项目生产</w:t>
      </w:r>
      <w:r>
        <w:t>工艺和排污特征的分析。</w:t>
      </w:r>
    </w:p>
    <w:p w14:paraId="777C309D">
      <w:pPr>
        <w:ind w:firstLine="480"/>
      </w:pPr>
      <w:r>
        <w:t>②针对排污</w:t>
      </w:r>
      <w:r>
        <w:rPr>
          <w:rFonts w:hint="eastAsia"/>
        </w:rPr>
        <w:t>特征</w:t>
      </w:r>
      <w:r>
        <w:t>提出相关的环保措施，对工程目前采取的污染防治措施进行可行性</w:t>
      </w:r>
      <w:r>
        <w:rPr>
          <w:rFonts w:hint="eastAsia"/>
        </w:rPr>
        <w:t>论证（尤其是废气治理措</w:t>
      </w:r>
      <w:r>
        <w:t>施</w:t>
      </w:r>
      <w:r>
        <w:rPr>
          <w:rFonts w:hint="eastAsia"/>
        </w:rPr>
        <w:t>）</w:t>
      </w:r>
      <w:r>
        <w:t>，进一步提出相关的环保用施。</w:t>
      </w:r>
    </w:p>
    <w:p w14:paraId="6C27E29D">
      <w:pPr>
        <w:ind w:firstLine="480"/>
        <w:rPr>
          <w:rFonts w:ascii="宋体" w:hAnsi="宋体" w:cs="宋体"/>
        </w:rPr>
      </w:pPr>
      <w:r>
        <w:rPr>
          <w:rFonts w:hint="eastAsia" w:ascii="宋体" w:hAnsi="宋体" w:cs="宋体"/>
        </w:rPr>
        <w:t>③采用参考相关标准核算和物料衡算相结合，做好工程水平衡和物料平衡。加强大气部分环境影响评价，分析、预测拟建项目建成后对环境保护目标的影响。</w:t>
      </w:r>
    </w:p>
    <w:p w14:paraId="495D1DDB">
      <w:pPr>
        <w:ind w:firstLine="480"/>
      </w:pPr>
      <w:r>
        <w:rPr>
          <w:rFonts w:hint="eastAsia" w:ascii="宋体" w:hAnsi="宋体" w:cs="宋体"/>
        </w:rPr>
        <w:t>④</w:t>
      </w:r>
      <w:r>
        <w:t>做好环境风险评价。对项目运行期发生的突发性环境事件或事故引起有毒物质泄漏所造成的环境影响进行预测与分析，提出坏境风险防范、应急与减缓措施。</w:t>
      </w:r>
    </w:p>
    <w:p w14:paraId="3479242F">
      <w:pPr>
        <w:ind w:firstLine="480"/>
      </w:pPr>
      <w:r>
        <w:t>⑤结合国家相关产业政策和环保政策、评价区域的发展总体规划和环境保护规划、工程所在地的环境质量现状及环境特征来论述该项目选址和平面布置的可行性、项目</w:t>
      </w:r>
      <w:r>
        <w:rPr>
          <w:rFonts w:hint="eastAsia"/>
        </w:rPr>
        <w:t>建设的可行性。</w:t>
      </w:r>
    </w:p>
    <w:p w14:paraId="4B4DD602">
      <w:pPr>
        <w:pStyle w:val="3"/>
        <w:numPr>
          <w:ilvl w:val="1"/>
          <w:numId w:val="0"/>
        </w:numPr>
        <w:ind w:left="567" w:leftChars="0" w:hanging="567" w:firstLineChars="0"/>
        <w:rPr>
          <w:sz w:val="28"/>
          <w:szCs w:val="28"/>
          <w:u w:val="none"/>
        </w:rPr>
      </w:pPr>
      <w:bookmarkStart w:id="69" w:name="_Toc8788"/>
      <w:r>
        <w:rPr>
          <w:rFonts w:hint="default" w:ascii="宋体" w:hAnsi="宋体" w:eastAsia="宋体" w:cs="宋体"/>
          <w:b/>
          <w:bCs/>
          <w:kern w:val="2"/>
          <w:sz w:val="28"/>
          <w:szCs w:val="28"/>
          <w:lang w:val="en-US" w:eastAsia="zh-CN" w:bidi="ar-SA"/>
        </w:rPr>
        <w:t>2.9</w:t>
      </w:r>
      <w:r>
        <w:rPr>
          <w:rFonts w:hint="eastAsia"/>
          <w:sz w:val="28"/>
          <w:szCs w:val="28"/>
          <w:u w:val="none"/>
        </w:rPr>
        <w:t>环境保护目标</w:t>
      </w:r>
      <w:bookmarkEnd w:id="69"/>
    </w:p>
    <w:p w14:paraId="14211BB8">
      <w:pPr>
        <w:pStyle w:val="4"/>
        <w:numPr>
          <w:ilvl w:val="2"/>
          <w:numId w:val="0"/>
        </w:numPr>
        <w:ind w:left="992" w:leftChars="0" w:hanging="992" w:firstLineChars="0"/>
        <w:rPr>
          <w:u w:val="none"/>
        </w:rPr>
      </w:pPr>
      <w:r>
        <w:rPr>
          <w:rFonts w:hint="default" w:ascii="宋体" w:hAnsi="宋体" w:eastAsia="宋体" w:cs="宋体"/>
          <w:b/>
          <w:bCs/>
          <w:kern w:val="2"/>
          <w:sz w:val="24"/>
          <w:szCs w:val="24"/>
          <w:u w:val="none"/>
          <w:lang w:val="en-US" w:eastAsia="zh-CN" w:bidi="ar-SA"/>
        </w:rPr>
        <w:t>2.9.1</w:t>
      </w:r>
      <w:r>
        <w:rPr>
          <w:rFonts w:hint="eastAsia"/>
          <w:u w:val="none"/>
        </w:rPr>
        <w:t>大气环境保护目标</w:t>
      </w:r>
    </w:p>
    <w:p w14:paraId="6A460018">
      <w:pPr>
        <w:ind w:firstLine="480"/>
        <w:rPr>
          <w:u w:val="none"/>
        </w:rPr>
      </w:pPr>
      <w:r>
        <w:rPr>
          <w:u w:val="none"/>
        </w:rPr>
        <w:t>根据《环境影响评价技术导则 大气环境》（HJ2.2-2018），环境空气保护目标指评价范围内按GB3095规定划分为一类区的自然保护区、风景名胜区和其他需要特殊保护的区域，二类区中的居住区、文化区和农村地区中人群较集中的区域。</w:t>
      </w:r>
    </w:p>
    <w:p w14:paraId="70C656BA">
      <w:pPr>
        <w:ind w:firstLine="480"/>
        <w:rPr>
          <w:u w:val="none"/>
        </w:rPr>
      </w:pPr>
      <w:r>
        <w:rPr>
          <w:u w:val="none"/>
        </w:rPr>
        <w:t>根据估算结果，评价范围为以厂区为中心区域，边长为5km的矩形区域。范围内没有按GB3095规定划分为一类区的自然保护区、风景名胜区和其他需要特殊保护的区域，所以本项目的环境空气保护目标主要是二类区中的居住区、文化区和农村地区中人群较集中的区域。参照《环境影响评价技术导则大气环境》（HJ2.2-2018）附录C中的表C.4。</w:t>
      </w:r>
    </w:p>
    <w:p w14:paraId="7FD44136">
      <w:pPr>
        <w:ind w:firstLine="480"/>
        <w:rPr>
          <w:u w:val="none"/>
        </w:rPr>
      </w:pPr>
      <w:r>
        <w:rPr>
          <w:u w:val="none"/>
        </w:rPr>
        <w:t>本项目环境空气保护目标调查相关内容详见下表。</w:t>
      </w:r>
    </w:p>
    <w:p w14:paraId="3B145860">
      <w:pPr>
        <w:pStyle w:val="51"/>
        <w:numPr>
          <w:ilvl w:val="5"/>
          <w:numId w:val="0"/>
        </w:numPr>
        <w:spacing w:before="0" w:beforeLines="0" w:line="360" w:lineRule="auto"/>
        <w:ind w:left="305" w:leftChars="0" w:hanging="3260" w:firstLineChars="0"/>
        <w:rPr>
          <w:u w:val="none"/>
        </w:rPr>
      </w:pPr>
      <w:r>
        <w:rPr>
          <w:rFonts w:hint="default" w:ascii="宋体" w:hAnsi="宋体" w:eastAsia="宋体" w:cs="宋体"/>
          <w:b/>
          <w:bCs/>
          <w:color w:val="auto"/>
          <w:kern w:val="2"/>
          <w:sz w:val="21"/>
          <w:szCs w:val="21"/>
          <w:u w:val="none"/>
          <w:lang w:val="en-US" w:eastAsia="zh-CN" w:bidi="ar-SA"/>
        </w:rPr>
        <w:t xml:space="preserve">表2.9-1 </w:t>
      </w:r>
      <w:r>
        <w:rPr>
          <w:rFonts w:hint="eastAsia"/>
          <w:u w:val="none"/>
        </w:rPr>
        <w:t xml:space="preserve"> 大气环境保护目标一览表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1383"/>
        <w:gridCol w:w="1181"/>
        <w:gridCol w:w="984"/>
        <w:gridCol w:w="950"/>
        <w:gridCol w:w="951"/>
        <w:gridCol w:w="950"/>
        <w:gridCol w:w="1172"/>
      </w:tblGrid>
      <w:tr w14:paraId="22380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restart"/>
            <w:tcBorders>
              <w:tl2br w:val="nil"/>
              <w:tr2bl w:val="nil"/>
            </w:tcBorders>
            <w:vAlign w:val="center"/>
          </w:tcPr>
          <w:p w14:paraId="26D05723">
            <w:pPr>
              <w:adjustRightInd w:val="0"/>
              <w:snapToGrid w:val="0"/>
              <w:spacing w:line="240" w:lineRule="auto"/>
              <w:jc w:val="center"/>
              <w:rPr>
                <w:sz w:val="21"/>
                <w:szCs w:val="21"/>
                <w:u w:val="none"/>
              </w:rPr>
            </w:pPr>
            <w:r>
              <w:rPr>
                <w:rFonts w:hint="eastAsia"/>
                <w:sz w:val="21"/>
                <w:szCs w:val="21"/>
                <w:u w:val="none"/>
              </w:rPr>
              <w:t>名称</w:t>
            </w:r>
          </w:p>
        </w:tc>
        <w:tc>
          <w:tcPr>
            <w:tcW w:w="2518" w:type="dxa"/>
            <w:gridSpan w:val="2"/>
            <w:tcBorders>
              <w:tl2br w:val="nil"/>
              <w:tr2bl w:val="nil"/>
            </w:tcBorders>
            <w:vAlign w:val="center"/>
          </w:tcPr>
          <w:p w14:paraId="674D37BA">
            <w:pPr>
              <w:adjustRightInd w:val="0"/>
              <w:snapToGrid w:val="0"/>
              <w:spacing w:line="240" w:lineRule="auto"/>
              <w:jc w:val="center"/>
              <w:rPr>
                <w:sz w:val="21"/>
                <w:szCs w:val="21"/>
                <w:u w:val="none"/>
              </w:rPr>
            </w:pPr>
            <w:r>
              <w:rPr>
                <w:rFonts w:hint="eastAsia"/>
                <w:sz w:val="21"/>
                <w:szCs w:val="21"/>
                <w:u w:val="none"/>
              </w:rPr>
              <w:t>坐标</w:t>
            </w:r>
          </w:p>
        </w:tc>
        <w:tc>
          <w:tcPr>
            <w:tcW w:w="982" w:type="dxa"/>
            <w:vMerge w:val="restart"/>
            <w:tcBorders>
              <w:tl2br w:val="nil"/>
              <w:tr2bl w:val="nil"/>
            </w:tcBorders>
            <w:vAlign w:val="center"/>
          </w:tcPr>
          <w:p w14:paraId="2B1A763D">
            <w:pPr>
              <w:adjustRightInd w:val="0"/>
              <w:snapToGrid w:val="0"/>
              <w:spacing w:line="240" w:lineRule="auto"/>
              <w:jc w:val="center"/>
              <w:rPr>
                <w:sz w:val="21"/>
                <w:szCs w:val="21"/>
                <w:u w:val="none"/>
              </w:rPr>
            </w:pPr>
            <w:r>
              <w:rPr>
                <w:rFonts w:hint="eastAsia"/>
                <w:sz w:val="21"/>
                <w:szCs w:val="21"/>
                <w:u w:val="none"/>
              </w:rPr>
              <w:t>保护对象</w:t>
            </w:r>
          </w:p>
        </w:tc>
        <w:tc>
          <w:tcPr>
            <w:tcW w:w="948" w:type="dxa"/>
            <w:vMerge w:val="restart"/>
            <w:tcBorders>
              <w:tl2br w:val="nil"/>
              <w:tr2bl w:val="nil"/>
            </w:tcBorders>
            <w:vAlign w:val="center"/>
          </w:tcPr>
          <w:p w14:paraId="1159ABB3">
            <w:pPr>
              <w:adjustRightInd w:val="0"/>
              <w:snapToGrid w:val="0"/>
              <w:spacing w:line="240" w:lineRule="auto"/>
              <w:jc w:val="center"/>
              <w:rPr>
                <w:sz w:val="21"/>
                <w:szCs w:val="21"/>
                <w:u w:val="none"/>
              </w:rPr>
            </w:pPr>
            <w:r>
              <w:rPr>
                <w:rFonts w:hint="eastAsia"/>
                <w:sz w:val="21"/>
                <w:szCs w:val="21"/>
                <w:u w:val="none"/>
              </w:rPr>
              <w:t>保护内容</w:t>
            </w:r>
          </w:p>
        </w:tc>
        <w:tc>
          <w:tcPr>
            <w:tcW w:w="949" w:type="dxa"/>
            <w:vMerge w:val="restart"/>
            <w:tcBorders>
              <w:tl2br w:val="nil"/>
              <w:tr2bl w:val="nil"/>
            </w:tcBorders>
            <w:vAlign w:val="center"/>
          </w:tcPr>
          <w:p w14:paraId="398F53B7">
            <w:pPr>
              <w:adjustRightInd w:val="0"/>
              <w:snapToGrid w:val="0"/>
              <w:spacing w:line="240" w:lineRule="auto"/>
              <w:jc w:val="center"/>
              <w:rPr>
                <w:sz w:val="21"/>
                <w:szCs w:val="21"/>
                <w:u w:val="none"/>
              </w:rPr>
            </w:pPr>
            <w:r>
              <w:rPr>
                <w:rFonts w:hint="eastAsia"/>
                <w:sz w:val="21"/>
                <w:szCs w:val="21"/>
                <w:u w:val="none"/>
              </w:rPr>
              <w:t>环境功能区</w:t>
            </w:r>
          </w:p>
        </w:tc>
        <w:tc>
          <w:tcPr>
            <w:tcW w:w="948" w:type="dxa"/>
            <w:vMerge w:val="restart"/>
            <w:tcBorders>
              <w:tl2br w:val="nil"/>
              <w:tr2bl w:val="nil"/>
            </w:tcBorders>
            <w:vAlign w:val="center"/>
          </w:tcPr>
          <w:p w14:paraId="548B4325">
            <w:pPr>
              <w:adjustRightInd w:val="0"/>
              <w:snapToGrid w:val="0"/>
              <w:spacing w:line="240" w:lineRule="auto"/>
              <w:jc w:val="center"/>
              <w:rPr>
                <w:sz w:val="21"/>
                <w:szCs w:val="21"/>
                <w:u w:val="none"/>
              </w:rPr>
            </w:pPr>
            <w:r>
              <w:rPr>
                <w:rFonts w:hint="eastAsia"/>
                <w:sz w:val="21"/>
                <w:szCs w:val="21"/>
                <w:u w:val="none"/>
              </w:rPr>
              <w:t>相对方位</w:t>
            </w:r>
          </w:p>
        </w:tc>
        <w:tc>
          <w:tcPr>
            <w:tcW w:w="1095" w:type="dxa"/>
            <w:vMerge w:val="restart"/>
            <w:tcBorders>
              <w:tl2br w:val="nil"/>
              <w:tr2bl w:val="nil"/>
            </w:tcBorders>
            <w:vAlign w:val="center"/>
          </w:tcPr>
          <w:p w14:paraId="2B21C976">
            <w:pPr>
              <w:adjustRightInd w:val="0"/>
              <w:snapToGrid w:val="0"/>
              <w:spacing w:line="240" w:lineRule="auto"/>
              <w:jc w:val="center"/>
              <w:rPr>
                <w:sz w:val="21"/>
                <w:szCs w:val="21"/>
                <w:u w:val="none"/>
              </w:rPr>
            </w:pPr>
            <w:r>
              <w:rPr>
                <w:rFonts w:hint="eastAsia"/>
                <w:sz w:val="21"/>
                <w:szCs w:val="21"/>
                <w:u w:val="none"/>
              </w:rPr>
              <w:t>相对厂界最近距离（m）</w:t>
            </w:r>
          </w:p>
        </w:tc>
      </w:tr>
      <w:tr w14:paraId="7C9CD4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continue"/>
            <w:tcBorders>
              <w:tl2br w:val="nil"/>
              <w:tr2bl w:val="nil"/>
            </w:tcBorders>
            <w:vAlign w:val="center"/>
          </w:tcPr>
          <w:p w14:paraId="52A6EC5A">
            <w:pPr>
              <w:adjustRightInd w:val="0"/>
              <w:snapToGrid w:val="0"/>
              <w:spacing w:line="240" w:lineRule="auto"/>
              <w:jc w:val="center"/>
              <w:rPr>
                <w:sz w:val="21"/>
                <w:szCs w:val="21"/>
                <w:u w:val="none"/>
              </w:rPr>
            </w:pPr>
          </w:p>
        </w:tc>
        <w:tc>
          <w:tcPr>
            <w:tcW w:w="1360" w:type="dxa"/>
            <w:tcBorders>
              <w:tl2br w:val="nil"/>
              <w:tr2bl w:val="nil"/>
            </w:tcBorders>
            <w:vAlign w:val="center"/>
          </w:tcPr>
          <w:p w14:paraId="04C5A1D1">
            <w:pPr>
              <w:adjustRightInd w:val="0"/>
              <w:snapToGrid w:val="0"/>
              <w:spacing w:line="240" w:lineRule="auto"/>
              <w:jc w:val="center"/>
              <w:rPr>
                <w:sz w:val="21"/>
                <w:szCs w:val="21"/>
                <w:u w:val="none"/>
              </w:rPr>
            </w:pPr>
            <w:r>
              <w:rPr>
                <w:rFonts w:hint="eastAsia"/>
                <w:sz w:val="21"/>
                <w:szCs w:val="21"/>
                <w:u w:val="none"/>
              </w:rPr>
              <w:t>经度</w:t>
            </w:r>
          </w:p>
        </w:tc>
        <w:tc>
          <w:tcPr>
            <w:tcW w:w="1158" w:type="dxa"/>
            <w:tcBorders>
              <w:tl2br w:val="nil"/>
              <w:tr2bl w:val="nil"/>
            </w:tcBorders>
            <w:vAlign w:val="center"/>
          </w:tcPr>
          <w:p w14:paraId="5487B2A5">
            <w:pPr>
              <w:adjustRightInd w:val="0"/>
              <w:snapToGrid w:val="0"/>
              <w:spacing w:line="240" w:lineRule="auto"/>
              <w:jc w:val="center"/>
              <w:rPr>
                <w:sz w:val="21"/>
                <w:szCs w:val="21"/>
                <w:u w:val="none"/>
              </w:rPr>
            </w:pPr>
            <w:r>
              <w:rPr>
                <w:rFonts w:hint="eastAsia"/>
                <w:sz w:val="21"/>
                <w:szCs w:val="21"/>
                <w:u w:val="none"/>
              </w:rPr>
              <w:t>纬度</w:t>
            </w:r>
          </w:p>
        </w:tc>
        <w:tc>
          <w:tcPr>
            <w:tcW w:w="982" w:type="dxa"/>
            <w:vMerge w:val="continue"/>
            <w:tcBorders>
              <w:tl2br w:val="nil"/>
              <w:tr2bl w:val="nil"/>
            </w:tcBorders>
            <w:vAlign w:val="center"/>
          </w:tcPr>
          <w:p w14:paraId="6B449F1C">
            <w:pPr>
              <w:adjustRightInd w:val="0"/>
              <w:snapToGrid w:val="0"/>
              <w:spacing w:line="240" w:lineRule="auto"/>
              <w:jc w:val="center"/>
              <w:rPr>
                <w:sz w:val="21"/>
                <w:szCs w:val="21"/>
                <w:u w:val="none"/>
              </w:rPr>
            </w:pPr>
          </w:p>
        </w:tc>
        <w:tc>
          <w:tcPr>
            <w:tcW w:w="948" w:type="dxa"/>
            <w:vMerge w:val="continue"/>
            <w:tcBorders>
              <w:tl2br w:val="nil"/>
              <w:tr2bl w:val="nil"/>
            </w:tcBorders>
            <w:vAlign w:val="center"/>
          </w:tcPr>
          <w:p w14:paraId="6E30E117">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703D6B05">
            <w:pPr>
              <w:adjustRightInd w:val="0"/>
              <w:snapToGrid w:val="0"/>
              <w:spacing w:line="240" w:lineRule="auto"/>
              <w:jc w:val="center"/>
              <w:rPr>
                <w:sz w:val="21"/>
                <w:szCs w:val="21"/>
                <w:u w:val="none"/>
              </w:rPr>
            </w:pPr>
          </w:p>
        </w:tc>
        <w:tc>
          <w:tcPr>
            <w:tcW w:w="948" w:type="dxa"/>
            <w:vMerge w:val="continue"/>
            <w:tcBorders>
              <w:tl2br w:val="nil"/>
              <w:tr2bl w:val="nil"/>
            </w:tcBorders>
            <w:vAlign w:val="center"/>
          </w:tcPr>
          <w:p w14:paraId="159DF59C">
            <w:pPr>
              <w:adjustRightInd w:val="0"/>
              <w:snapToGrid w:val="0"/>
              <w:spacing w:line="240" w:lineRule="auto"/>
              <w:jc w:val="center"/>
              <w:rPr>
                <w:sz w:val="21"/>
                <w:szCs w:val="21"/>
                <w:u w:val="none"/>
              </w:rPr>
            </w:pPr>
          </w:p>
        </w:tc>
        <w:tc>
          <w:tcPr>
            <w:tcW w:w="1095" w:type="dxa"/>
            <w:vMerge w:val="continue"/>
            <w:tcBorders>
              <w:tl2br w:val="nil"/>
              <w:tr2bl w:val="nil"/>
            </w:tcBorders>
            <w:vAlign w:val="center"/>
          </w:tcPr>
          <w:p w14:paraId="74D92B7A">
            <w:pPr>
              <w:adjustRightInd w:val="0"/>
              <w:snapToGrid w:val="0"/>
              <w:spacing w:line="240" w:lineRule="auto"/>
              <w:jc w:val="center"/>
              <w:rPr>
                <w:sz w:val="21"/>
                <w:szCs w:val="21"/>
                <w:u w:val="none"/>
              </w:rPr>
            </w:pPr>
          </w:p>
        </w:tc>
      </w:tr>
      <w:tr w14:paraId="4C488E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62D098E1">
            <w:pPr>
              <w:adjustRightInd w:val="0"/>
              <w:snapToGrid w:val="0"/>
              <w:spacing w:line="240" w:lineRule="auto"/>
              <w:jc w:val="center"/>
              <w:rPr>
                <w:sz w:val="21"/>
                <w:szCs w:val="21"/>
                <w:u w:val="none"/>
              </w:rPr>
            </w:pPr>
            <w:r>
              <w:rPr>
                <w:rFonts w:hint="eastAsia"/>
                <w:sz w:val="21"/>
                <w:szCs w:val="21"/>
                <w:u w:val="none"/>
              </w:rPr>
              <w:t>涓江香水湾小区</w:t>
            </w:r>
          </w:p>
        </w:tc>
        <w:tc>
          <w:tcPr>
            <w:tcW w:w="1360" w:type="dxa"/>
            <w:tcBorders>
              <w:tl2br w:val="nil"/>
              <w:tr2bl w:val="nil"/>
            </w:tcBorders>
            <w:vAlign w:val="center"/>
          </w:tcPr>
          <w:p w14:paraId="0C4B37A2">
            <w:pPr>
              <w:adjustRightInd w:val="0"/>
              <w:snapToGrid w:val="0"/>
              <w:spacing w:line="240" w:lineRule="auto"/>
              <w:jc w:val="center"/>
              <w:rPr>
                <w:sz w:val="21"/>
                <w:szCs w:val="21"/>
                <w:u w:val="none"/>
              </w:rPr>
            </w:pPr>
            <w:r>
              <w:rPr>
                <w:sz w:val="21"/>
                <w:szCs w:val="21"/>
                <w:u w:val="none"/>
              </w:rPr>
              <w:t>112.5</w:t>
            </w:r>
            <w:r>
              <w:rPr>
                <w:rFonts w:hint="eastAsia"/>
                <w:sz w:val="21"/>
                <w:szCs w:val="21"/>
                <w:u w:val="none"/>
              </w:rPr>
              <w:t>70442</w:t>
            </w:r>
            <w:r>
              <w:rPr>
                <w:sz w:val="21"/>
                <w:szCs w:val="21"/>
                <w:u w:val="none"/>
              </w:rPr>
              <w:t>˚</w:t>
            </w:r>
          </w:p>
        </w:tc>
        <w:tc>
          <w:tcPr>
            <w:tcW w:w="1158" w:type="dxa"/>
            <w:tcBorders>
              <w:tl2br w:val="nil"/>
              <w:tr2bl w:val="nil"/>
            </w:tcBorders>
            <w:vAlign w:val="center"/>
          </w:tcPr>
          <w:p w14:paraId="417D0FCF">
            <w:pPr>
              <w:adjustRightInd w:val="0"/>
              <w:snapToGrid w:val="0"/>
              <w:spacing w:line="240" w:lineRule="auto"/>
              <w:jc w:val="center"/>
              <w:rPr>
                <w:sz w:val="21"/>
                <w:szCs w:val="21"/>
                <w:u w:val="none"/>
              </w:rPr>
            </w:pPr>
            <w:r>
              <w:rPr>
                <w:sz w:val="21"/>
                <w:szCs w:val="21"/>
                <w:u w:val="none"/>
              </w:rPr>
              <w:t>27.460</w:t>
            </w:r>
            <w:r>
              <w:rPr>
                <w:rFonts w:hint="eastAsia"/>
                <w:sz w:val="21"/>
                <w:szCs w:val="21"/>
                <w:u w:val="none"/>
              </w:rPr>
              <w:t>166</w:t>
            </w:r>
            <w:r>
              <w:rPr>
                <w:sz w:val="21"/>
                <w:szCs w:val="21"/>
                <w:u w:val="none"/>
              </w:rPr>
              <w:t>˚</w:t>
            </w:r>
          </w:p>
        </w:tc>
        <w:tc>
          <w:tcPr>
            <w:tcW w:w="982" w:type="dxa"/>
            <w:tcBorders>
              <w:tl2br w:val="nil"/>
              <w:tr2bl w:val="nil"/>
            </w:tcBorders>
            <w:vAlign w:val="center"/>
          </w:tcPr>
          <w:p w14:paraId="6CC24AC2">
            <w:pPr>
              <w:adjustRightInd w:val="0"/>
              <w:snapToGrid w:val="0"/>
              <w:spacing w:line="240" w:lineRule="auto"/>
              <w:jc w:val="center"/>
              <w:rPr>
                <w:sz w:val="21"/>
                <w:szCs w:val="21"/>
                <w:u w:val="none"/>
              </w:rPr>
            </w:pPr>
            <w:r>
              <w:rPr>
                <w:rFonts w:hint="eastAsia"/>
                <w:sz w:val="21"/>
                <w:szCs w:val="21"/>
                <w:u w:val="none"/>
              </w:rPr>
              <w:t>约95户，380人</w:t>
            </w:r>
          </w:p>
        </w:tc>
        <w:tc>
          <w:tcPr>
            <w:tcW w:w="948" w:type="dxa"/>
            <w:vMerge w:val="restart"/>
            <w:tcBorders>
              <w:tl2br w:val="nil"/>
              <w:tr2bl w:val="nil"/>
            </w:tcBorders>
            <w:vAlign w:val="center"/>
          </w:tcPr>
          <w:p w14:paraId="11A84DA6">
            <w:pPr>
              <w:adjustRightInd w:val="0"/>
              <w:snapToGrid w:val="0"/>
              <w:spacing w:line="240" w:lineRule="auto"/>
              <w:jc w:val="center"/>
              <w:rPr>
                <w:sz w:val="21"/>
                <w:szCs w:val="21"/>
                <w:u w:val="none"/>
              </w:rPr>
            </w:pPr>
            <w:r>
              <w:rPr>
                <w:sz w:val="21"/>
                <w:szCs w:val="21"/>
                <w:u w:val="none"/>
              </w:rPr>
              <w:t>保护人体健康</w:t>
            </w:r>
          </w:p>
        </w:tc>
        <w:tc>
          <w:tcPr>
            <w:tcW w:w="949" w:type="dxa"/>
            <w:vMerge w:val="restart"/>
            <w:tcBorders>
              <w:tl2br w:val="nil"/>
              <w:tr2bl w:val="nil"/>
            </w:tcBorders>
            <w:vAlign w:val="center"/>
          </w:tcPr>
          <w:p w14:paraId="7DD9FFD7">
            <w:pPr>
              <w:adjustRightInd w:val="0"/>
              <w:snapToGrid w:val="0"/>
              <w:spacing w:line="240" w:lineRule="auto"/>
              <w:jc w:val="center"/>
              <w:rPr>
                <w:sz w:val="21"/>
                <w:szCs w:val="21"/>
                <w:u w:val="none"/>
              </w:rPr>
            </w:pPr>
            <w:r>
              <w:rPr>
                <w:sz w:val="21"/>
                <w:szCs w:val="21"/>
                <w:u w:val="none"/>
              </w:rPr>
              <w:t>环境空气二类功能区</w:t>
            </w:r>
          </w:p>
        </w:tc>
        <w:tc>
          <w:tcPr>
            <w:tcW w:w="948" w:type="dxa"/>
            <w:tcBorders>
              <w:tl2br w:val="nil"/>
              <w:tr2bl w:val="nil"/>
            </w:tcBorders>
            <w:vAlign w:val="center"/>
          </w:tcPr>
          <w:p w14:paraId="073C4983">
            <w:pPr>
              <w:adjustRightInd w:val="0"/>
              <w:snapToGrid w:val="0"/>
              <w:spacing w:line="240" w:lineRule="auto"/>
              <w:jc w:val="center"/>
              <w:rPr>
                <w:sz w:val="21"/>
                <w:szCs w:val="21"/>
                <w:u w:val="none"/>
              </w:rPr>
            </w:pPr>
            <w:r>
              <w:rPr>
                <w:rFonts w:hint="eastAsia"/>
                <w:sz w:val="21"/>
                <w:szCs w:val="21"/>
                <w:u w:val="none"/>
              </w:rPr>
              <w:t>西侧</w:t>
            </w:r>
          </w:p>
        </w:tc>
        <w:tc>
          <w:tcPr>
            <w:tcW w:w="1095" w:type="dxa"/>
            <w:tcBorders>
              <w:tl2br w:val="nil"/>
              <w:tr2bl w:val="nil"/>
            </w:tcBorders>
            <w:vAlign w:val="center"/>
          </w:tcPr>
          <w:p w14:paraId="13BCC851">
            <w:pPr>
              <w:adjustRightInd w:val="0"/>
              <w:snapToGrid w:val="0"/>
              <w:spacing w:line="240" w:lineRule="auto"/>
              <w:jc w:val="center"/>
              <w:rPr>
                <w:sz w:val="21"/>
                <w:szCs w:val="21"/>
                <w:u w:val="none"/>
              </w:rPr>
            </w:pPr>
            <w:r>
              <w:rPr>
                <w:rFonts w:hint="eastAsia"/>
                <w:sz w:val="21"/>
                <w:szCs w:val="21"/>
                <w:u w:val="none"/>
              </w:rPr>
              <w:t>520</w:t>
            </w:r>
            <w:r>
              <w:rPr>
                <w:sz w:val="21"/>
                <w:szCs w:val="21"/>
                <w:u w:val="none"/>
              </w:rPr>
              <w:t>~</w:t>
            </w:r>
            <w:r>
              <w:rPr>
                <w:rFonts w:hint="eastAsia"/>
                <w:sz w:val="21"/>
                <w:szCs w:val="21"/>
                <w:u w:val="none"/>
              </w:rPr>
              <w:t>680</w:t>
            </w:r>
          </w:p>
        </w:tc>
      </w:tr>
      <w:tr w14:paraId="07F5FE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38E0B8B3">
            <w:pPr>
              <w:adjustRightInd w:val="0"/>
              <w:snapToGrid w:val="0"/>
              <w:spacing w:line="240" w:lineRule="auto"/>
              <w:jc w:val="center"/>
              <w:rPr>
                <w:sz w:val="21"/>
                <w:szCs w:val="21"/>
                <w:u w:val="none"/>
              </w:rPr>
            </w:pPr>
            <w:r>
              <w:rPr>
                <w:rFonts w:hint="eastAsia"/>
                <w:sz w:val="21"/>
                <w:szCs w:val="21"/>
                <w:u w:val="none"/>
              </w:rPr>
              <w:t>松香苑小区</w:t>
            </w:r>
          </w:p>
        </w:tc>
        <w:tc>
          <w:tcPr>
            <w:tcW w:w="1360" w:type="dxa"/>
            <w:tcBorders>
              <w:tl2br w:val="nil"/>
              <w:tr2bl w:val="nil"/>
            </w:tcBorders>
            <w:vAlign w:val="center"/>
          </w:tcPr>
          <w:p w14:paraId="6D7C5FF1">
            <w:pPr>
              <w:adjustRightInd w:val="0"/>
              <w:snapToGrid w:val="0"/>
              <w:spacing w:line="240" w:lineRule="auto"/>
              <w:jc w:val="center"/>
              <w:rPr>
                <w:sz w:val="21"/>
                <w:szCs w:val="21"/>
                <w:u w:val="none"/>
              </w:rPr>
            </w:pPr>
            <w:r>
              <w:rPr>
                <w:sz w:val="21"/>
                <w:szCs w:val="21"/>
                <w:u w:val="none"/>
              </w:rPr>
              <w:t>112.</w:t>
            </w:r>
            <w:r>
              <w:rPr>
                <w:rFonts w:hint="eastAsia"/>
                <w:sz w:val="21"/>
                <w:szCs w:val="21"/>
                <w:u w:val="none"/>
              </w:rPr>
              <w:t>565264</w:t>
            </w:r>
            <w:r>
              <w:rPr>
                <w:sz w:val="21"/>
                <w:szCs w:val="21"/>
                <w:u w:val="none"/>
              </w:rPr>
              <w:t>˚</w:t>
            </w:r>
          </w:p>
        </w:tc>
        <w:tc>
          <w:tcPr>
            <w:tcW w:w="1158" w:type="dxa"/>
            <w:tcBorders>
              <w:tl2br w:val="nil"/>
              <w:tr2bl w:val="nil"/>
            </w:tcBorders>
            <w:vAlign w:val="center"/>
          </w:tcPr>
          <w:p w14:paraId="56A409AF">
            <w:pPr>
              <w:adjustRightInd w:val="0"/>
              <w:snapToGrid w:val="0"/>
              <w:spacing w:line="240" w:lineRule="auto"/>
              <w:jc w:val="center"/>
              <w:rPr>
                <w:sz w:val="21"/>
                <w:szCs w:val="21"/>
                <w:u w:val="none"/>
              </w:rPr>
            </w:pPr>
            <w:r>
              <w:rPr>
                <w:sz w:val="21"/>
                <w:szCs w:val="21"/>
                <w:u w:val="none"/>
              </w:rPr>
              <w:t>27.4</w:t>
            </w:r>
            <w:r>
              <w:rPr>
                <w:rFonts w:hint="eastAsia"/>
                <w:sz w:val="21"/>
                <w:szCs w:val="21"/>
                <w:u w:val="none"/>
              </w:rPr>
              <w:t>61866</w:t>
            </w:r>
            <w:r>
              <w:rPr>
                <w:sz w:val="21"/>
                <w:szCs w:val="21"/>
                <w:u w:val="none"/>
              </w:rPr>
              <w:t>˚</w:t>
            </w:r>
          </w:p>
        </w:tc>
        <w:tc>
          <w:tcPr>
            <w:tcW w:w="982" w:type="dxa"/>
            <w:tcBorders>
              <w:tl2br w:val="nil"/>
              <w:tr2bl w:val="nil"/>
            </w:tcBorders>
            <w:vAlign w:val="center"/>
          </w:tcPr>
          <w:p w14:paraId="0E43F490">
            <w:pPr>
              <w:adjustRightInd w:val="0"/>
              <w:snapToGrid w:val="0"/>
              <w:spacing w:line="240" w:lineRule="auto"/>
              <w:jc w:val="center"/>
              <w:rPr>
                <w:sz w:val="21"/>
                <w:szCs w:val="21"/>
                <w:u w:val="none"/>
              </w:rPr>
            </w:pPr>
            <w:r>
              <w:rPr>
                <w:rFonts w:hint="eastAsia"/>
                <w:sz w:val="21"/>
                <w:szCs w:val="21"/>
                <w:u w:val="none"/>
              </w:rPr>
              <w:t>约70户，280</w:t>
            </w:r>
          </w:p>
          <w:p w14:paraId="28D3AE6E">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21BA74C4">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4D27B5C9">
            <w:pPr>
              <w:adjustRightInd w:val="0"/>
              <w:snapToGrid w:val="0"/>
              <w:spacing w:line="240" w:lineRule="auto"/>
              <w:jc w:val="center"/>
              <w:rPr>
                <w:sz w:val="21"/>
                <w:szCs w:val="21"/>
                <w:u w:val="none"/>
              </w:rPr>
            </w:pPr>
          </w:p>
        </w:tc>
        <w:tc>
          <w:tcPr>
            <w:tcW w:w="948" w:type="dxa"/>
            <w:tcBorders>
              <w:tl2br w:val="nil"/>
              <w:tr2bl w:val="nil"/>
            </w:tcBorders>
            <w:vAlign w:val="center"/>
          </w:tcPr>
          <w:p w14:paraId="03BE1303">
            <w:pPr>
              <w:adjustRightInd w:val="0"/>
              <w:snapToGrid w:val="0"/>
              <w:spacing w:line="240" w:lineRule="auto"/>
              <w:jc w:val="center"/>
              <w:rPr>
                <w:sz w:val="21"/>
                <w:szCs w:val="21"/>
                <w:u w:val="none"/>
              </w:rPr>
            </w:pPr>
            <w:r>
              <w:rPr>
                <w:rFonts w:hint="eastAsia"/>
                <w:sz w:val="21"/>
                <w:szCs w:val="21"/>
                <w:u w:val="none"/>
              </w:rPr>
              <w:t>西北</w:t>
            </w:r>
          </w:p>
        </w:tc>
        <w:tc>
          <w:tcPr>
            <w:tcW w:w="1095" w:type="dxa"/>
            <w:tcBorders>
              <w:tl2br w:val="nil"/>
              <w:tr2bl w:val="nil"/>
            </w:tcBorders>
            <w:vAlign w:val="center"/>
          </w:tcPr>
          <w:p w14:paraId="62C3347B">
            <w:pPr>
              <w:adjustRightInd w:val="0"/>
              <w:snapToGrid w:val="0"/>
              <w:spacing w:line="240" w:lineRule="auto"/>
              <w:jc w:val="center"/>
              <w:rPr>
                <w:sz w:val="21"/>
                <w:szCs w:val="21"/>
                <w:u w:val="none"/>
              </w:rPr>
            </w:pPr>
            <w:r>
              <w:rPr>
                <w:rFonts w:hint="eastAsia"/>
                <w:sz w:val="21"/>
                <w:szCs w:val="21"/>
                <w:u w:val="none"/>
              </w:rPr>
              <w:t>980</w:t>
            </w:r>
            <w:r>
              <w:rPr>
                <w:sz w:val="21"/>
                <w:szCs w:val="21"/>
                <w:u w:val="none"/>
              </w:rPr>
              <w:t>~</w:t>
            </w:r>
            <w:r>
              <w:rPr>
                <w:rFonts w:hint="eastAsia"/>
                <w:sz w:val="21"/>
                <w:szCs w:val="21"/>
                <w:u w:val="none"/>
              </w:rPr>
              <w:t>1200</w:t>
            </w:r>
          </w:p>
        </w:tc>
      </w:tr>
      <w:tr w14:paraId="3CE169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76063E6">
            <w:pPr>
              <w:adjustRightInd w:val="0"/>
              <w:snapToGrid w:val="0"/>
              <w:spacing w:line="240" w:lineRule="auto"/>
              <w:jc w:val="center"/>
              <w:rPr>
                <w:sz w:val="21"/>
                <w:szCs w:val="21"/>
                <w:u w:val="none"/>
              </w:rPr>
            </w:pPr>
            <w:r>
              <w:rPr>
                <w:rFonts w:hint="eastAsia"/>
                <w:sz w:val="21"/>
                <w:szCs w:val="21"/>
                <w:u w:val="none"/>
              </w:rPr>
              <w:t>吴家巷散户居民</w:t>
            </w:r>
          </w:p>
        </w:tc>
        <w:tc>
          <w:tcPr>
            <w:tcW w:w="1360" w:type="dxa"/>
            <w:tcBorders>
              <w:tl2br w:val="nil"/>
              <w:tr2bl w:val="nil"/>
            </w:tcBorders>
            <w:vAlign w:val="center"/>
          </w:tcPr>
          <w:p w14:paraId="1AF700BA">
            <w:pPr>
              <w:adjustRightInd w:val="0"/>
              <w:snapToGrid w:val="0"/>
              <w:spacing w:line="240" w:lineRule="auto"/>
              <w:jc w:val="center"/>
              <w:rPr>
                <w:sz w:val="21"/>
                <w:szCs w:val="21"/>
                <w:u w:val="none"/>
              </w:rPr>
            </w:pPr>
            <w:r>
              <w:rPr>
                <w:sz w:val="21"/>
                <w:szCs w:val="21"/>
                <w:u w:val="none"/>
              </w:rPr>
              <w:t>112.5</w:t>
            </w:r>
            <w:r>
              <w:rPr>
                <w:rFonts w:hint="eastAsia"/>
                <w:sz w:val="21"/>
                <w:szCs w:val="21"/>
                <w:u w:val="none"/>
              </w:rPr>
              <w:t>70283</w:t>
            </w:r>
            <w:r>
              <w:rPr>
                <w:sz w:val="21"/>
                <w:szCs w:val="21"/>
                <w:u w:val="none"/>
              </w:rPr>
              <w:t>˚</w:t>
            </w:r>
          </w:p>
        </w:tc>
        <w:tc>
          <w:tcPr>
            <w:tcW w:w="1158" w:type="dxa"/>
            <w:tcBorders>
              <w:tl2br w:val="nil"/>
              <w:tr2bl w:val="nil"/>
            </w:tcBorders>
            <w:vAlign w:val="center"/>
          </w:tcPr>
          <w:p w14:paraId="40F56DBB">
            <w:pPr>
              <w:adjustRightInd w:val="0"/>
              <w:snapToGrid w:val="0"/>
              <w:spacing w:line="240" w:lineRule="auto"/>
              <w:jc w:val="center"/>
              <w:rPr>
                <w:sz w:val="21"/>
                <w:szCs w:val="21"/>
                <w:u w:val="none"/>
              </w:rPr>
            </w:pPr>
            <w:r>
              <w:rPr>
                <w:sz w:val="21"/>
                <w:szCs w:val="21"/>
                <w:u w:val="none"/>
              </w:rPr>
              <w:t>27.4</w:t>
            </w:r>
            <w:r>
              <w:rPr>
                <w:rFonts w:hint="eastAsia"/>
                <w:sz w:val="21"/>
                <w:szCs w:val="21"/>
                <w:u w:val="none"/>
              </w:rPr>
              <w:t>55467</w:t>
            </w:r>
            <w:r>
              <w:rPr>
                <w:sz w:val="21"/>
                <w:szCs w:val="21"/>
                <w:u w:val="none"/>
              </w:rPr>
              <w:t>˚</w:t>
            </w:r>
          </w:p>
        </w:tc>
        <w:tc>
          <w:tcPr>
            <w:tcW w:w="982" w:type="dxa"/>
            <w:tcBorders>
              <w:tl2br w:val="nil"/>
              <w:tr2bl w:val="nil"/>
            </w:tcBorders>
            <w:vAlign w:val="center"/>
          </w:tcPr>
          <w:p w14:paraId="65E33FA4">
            <w:pPr>
              <w:adjustRightInd w:val="0"/>
              <w:snapToGrid w:val="0"/>
              <w:spacing w:line="240" w:lineRule="auto"/>
              <w:jc w:val="center"/>
              <w:rPr>
                <w:sz w:val="21"/>
                <w:szCs w:val="21"/>
                <w:u w:val="none"/>
              </w:rPr>
            </w:pPr>
            <w:r>
              <w:rPr>
                <w:rFonts w:hint="eastAsia"/>
                <w:sz w:val="21"/>
                <w:szCs w:val="21"/>
                <w:u w:val="none"/>
              </w:rPr>
              <w:t>约45户，180</w:t>
            </w:r>
          </w:p>
          <w:p w14:paraId="2EF63ACB">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235D4095">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0B787891">
            <w:pPr>
              <w:adjustRightInd w:val="0"/>
              <w:snapToGrid w:val="0"/>
              <w:spacing w:line="240" w:lineRule="auto"/>
              <w:jc w:val="center"/>
              <w:rPr>
                <w:sz w:val="21"/>
                <w:szCs w:val="21"/>
                <w:u w:val="none"/>
              </w:rPr>
            </w:pPr>
          </w:p>
        </w:tc>
        <w:tc>
          <w:tcPr>
            <w:tcW w:w="948" w:type="dxa"/>
            <w:tcBorders>
              <w:tl2br w:val="nil"/>
              <w:tr2bl w:val="nil"/>
            </w:tcBorders>
            <w:vAlign w:val="center"/>
          </w:tcPr>
          <w:p w14:paraId="3429B60A">
            <w:pPr>
              <w:adjustRightInd w:val="0"/>
              <w:snapToGrid w:val="0"/>
              <w:spacing w:line="240" w:lineRule="auto"/>
              <w:jc w:val="center"/>
              <w:rPr>
                <w:sz w:val="21"/>
                <w:szCs w:val="21"/>
                <w:u w:val="none"/>
              </w:rPr>
            </w:pPr>
            <w:r>
              <w:rPr>
                <w:rFonts w:hint="eastAsia"/>
                <w:sz w:val="21"/>
                <w:szCs w:val="21"/>
                <w:u w:val="none"/>
              </w:rPr>
              <w:t>西南</w:t>
            </w:r>
          </w:p>
        </w:tc>
        <w:tc>
          <w:tcPr>
            <w:tcW w:w="1095" w:type="dxa"/>
            <w:tcBorders>
              <w:tl2br w:val="nil"/>
              <w:tr2bl w:val="nil"/>
            </w:tcBorders>
            <w:vAlign w:val="center"/>
          </w:tcPr>
          <w:p w14:paraId="775CAEFC">
            <w:pPr>
              <w:adjustRightInd w:val="0"/>
              <w:snapToGrid w:val="0"/>
              <w:spacing w:line="240" w:lineRule="auto"/>
              <w:jc w:val="center"/>
              <w:rPr>
                <w:sz w:val="21"/>
                <w:szCs w:val="21"/>
                <w:u w:val="none"/>
              </w:rPr>
            </w:pPr>
            <w:r>
              <w:rPr>
                <w:rFonts w:hint="eastAsia"/>
                <w:sz w:val="21"/>
                <w:szCs w:val="21"/>
                <w:u w:val="none"/>
              </w:rPr>
              <w:t>600</w:t>
            </w:r>
            <w:r>
              <w:rPr>
                <w:sz w:val="21"/>
                <w:szCs w:val="21"/>
                <w:u w:val="none"/>
              </w:rPr>
              <w:t>~</w:t>
            </w:r>
            <w:r>
              <w:rPr>
                <w:rFonts w:hint="eastAsia"/>
                <w:sz w:val="21"/>
                <w:szCs w:val="21"/>
                <w:u w:val="none"/>
              </w:rPr>
              <w:t>760</w:t>
            </w:r>
          </w:p>
        </w:tc>
      </w:tr>
      <w:tr w14:paraId="70698E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09C14D96">
            <w:pPr>
              <w:adjustRightInd w:val="0"/>
              <w:snapToGrid w:val="0"/>
              <w:spacing w:line="240" w:lineRule="auto"/>
              <w:jc w:val="center"/>
              <w:rPr>
                <w:sz w:val="21"/>
                <w:szCs w:val="21"/>
                <w:u w:val="none"/>
              </w:rPr>
            </w:pPr>
            <w:r>
              <w:rPr>
                <w:rFonts w:hint="eastAsia"/>
                <w:sz w:val="21"/>
                <w:szCs w:val="21"/>
                <w:u w:val="none"/>
              </w:rPr>
              <w:t>黄莺花苑小区</w:t>
            </w:r>
          </w:p>
        </w:tc>
        <w:tc>
          <w:tcPr>
            <w:tcW w:w="1360" w:type="dxa"/>
            <w:tcBorders>
              <w:tl2br w:val="nil"/>
              <w:tr2bl w:val="nil"/>
            </w:tcBorders>
            <w:vAlign w:val="center"/>
          </w:tcPr>
          <w:p w14:paraId="0EAA9572">
            <w:pPr>
              <w:adjustRightInd w:val="0"/>
              <w:snapToGrid w:val="0"/>
              <w:spacing w:line="240" w:lineRule="auto"/>
              <w:jc w:val="center"/>
              <w:rPr>
                <w:sz w:val="21"/>
                <w:szCs w:val="21"/>
                <w:u w:val="none"/>
              </w:rPr>
            </w:pPr>
            <w:r>
              <w:rPr>
                <w:sz w:val="21"/>
                <w:szCs w:val="21"/>
                <w:u w:val="none"/>
              </w:rPr>
              <w:t>112.</w:t>
            </w:r>
            <w:r>
              <w:rPr>
                <w:rFonts w:hint="eastAsia"/>
                <w:sz w:val="21"/>
                <w:szCs w:val="21"/>
                <w:u w:val="none"/>
              </w:rPr>
              <w:t>270094</w:t>
            </w:r>
            <w:r>
              <w:rPr>
                <w:sz w:val="21"/>
                <w:szCs w:val="21"/>
                <w:u w:val="none"/>
              </w:rPr>
              <w:t>6˚</w:t>
            </w:r>
          </w:p>
        </w:tc>
        <w:tc>
          <w:tcPr>
            <w:tcW w:w="1158" w:type="dxa"/>
            <w:tcBorders>
              <w:tl2br w:val="nil"/>
              <w:tr2bl w:val="nil"/>
            </w:tcBorders>
            <w:vAlign w:val="center"/>
          </w:tcPr>
          <w:p w14:paraId="291BD438">
            <w:pPr>
              <w:adjustRightInd w:val="0"/>
              <w:snapToGrid w:val="0"/>
              <w:spacing w:line="240" w:lineRule="auto"/>
              <w:jc w:val="center"/>
              <w:rPr>
                <w:sz w:val="21"/>
                <w:szCs w:val="21"/>
                <w:u w:val="none"/>
              </w:rPr>
            </w:pPr>
            <w:r>
              <w:rPr>
                <w:sz w:val="21"/>
                <w:szCs w:val="21"/>
                <w:u w:val="none"/>
              </w:rPr>
              <w:t>27.</w:t>
            </w:r>
            <w:r>
              <w:rPr>
                <w:rFonts w:hint="eastAsia"/>
                <w:sz w:val="21"/>
                <w:szCs w:val="21"/>
                <w:u w:val="none"/>
              </w:rPr>
              <w:t>454394</w:t>
            </w:r>
            <w:r>
              <w:rPr>
                <w:sz w:val="21"/>
                <w:szCs w:val="21"/>
                <w:u w:val="none"/>
              </w:rPr>
              <w:t>˚</w:t>
            </w:r>
          </w:p>
        </w:tc>
        <w:tc>
          <w:tcPr>
            <w:tcW w:w="982" w:type="dxa"/>
            <w:tcBorders>
              <w:tl2br w:val="nil"/>
              <w:tr2bl w:val="nil"/>
            </w:tcBorders>
            <w:vAlign w:val="center"/>
          </w:tcPr>
          <w:p w14:paraId="025A5A33">
            <w:pPr>
              <w:adjustRightInd w:val="0"/>
              <w:snapToGrid w:val="0"/>
              <w:spacing w:line="240" w:lineRule="auto"/>
              <w:jc w:val="center"/>
              <w:rPr>
                <w:sz w:val="21"/>
                <w:szCs w:val="21"/>
                <w:u w:val="none"/>
              </w:rPr>
            </w:pPr>
            <w:r>
              <w:rPr>
                <w:rFonts w:hint="eastAsia"/>
                <w:sz w:val="21"/>
                <w:szCs w:val="21"/>
                <w:u w:val="none"/>
              </w:rPr>
              <w:t>约110户，440人</w:t>
            </w:r>
          </w:p>
        </w:tc>
        <w:tc>
          <w:tcPr>
            <w:tcW w:w="948" w:type="dxa"/>
            <w:vMerge w:val="continue"/>
            <w:tcBorders>
              <w:tl2br w:val="nil"/>
              <w:tr2bl w:val="nil"/>
            </w:tcBorders>
            <w:vAlign w:val="center"/>
          </w:tcPr>
          <w:p w14:paraId="3D41498E">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7A70EDCD">
            <w:pPr>
              <w:adjustRightInd w:val="0"/>
              <w:snapToGrid w:val="0"/>
              <w:spacing w:line="240" w:lineRule="auto"/>
              <w:jc w:val="center"/>
              <w:rPr>
                <w:sz w:val="21"/>
                <w:szCs w:val="21"/>
                <w:u w:val="none"/>
              </w:rPr>
            </w:pPr>
          </w:p>
        </w:tc>
        <w:tc>
          <w:tcPr>
            <w:tcW w:w="948" w:type="dxa"/>
            <w:tcBorders>
              <w:tl2br w:val="nil"/>
              <w:tr2bl w:val="nil"/>
            </w:tcBorders>
            <w:vAlign w:val="center"/>
          </w:tcPr>
          <w:p w14:paraId="7F613E4C">
            <w:pPr>
              <w:adjustRightInd w:val="0"/>
              <w:snapToGrid w:val="0"/>
              <w:spacing w:line="240" w:lineRule="auto"/>
              <w:jc w:val="center"/>
              <w:rPr>
                <w:sz w:val="21"/>
                <w:szCs w:val="21"/>
                <w:u w:val="none"/>
              </w:rPr>
            </w:pPr>
            <w:r>
              <w:rPr>
                <w:rFonts w:hint="eastAsia"/>
                <w:sz w:val="21"/>
                <w:szCs w:val="21"/>
                <w:u w:val="none"/>
              </w:rPr>
              <w:t>西南</w:t>
            </w:r>
          </w:p>
        </w:tc>
        <w:tc>
          <w:tcPr>
            <w:tcW w:w="1095" w:type="dxa"/>
            <w:tcBorders>
              <w:tl2br w:val="nil"/>
              <w:tr2bl w:val="nil"/>
            </w:tcBorders>
            <w:vAlign w:val="center"/>
          </w:tcPr>
          <w:p w14:paraId="0EED0B57">
            <w:pPr>
              <w:adjustRightInd w:val="0"/>
              <w:snapToGrid w:val="0"/>
              <w:spacing w:line="240" w:lineRule="auto"/>
              <w:jc w:val="center"/>
              <w:rPr>
                <w:sz w:val="21"/>
                <w:szCs w:val="21"/>
                <w:u w:val="none"/>
              </w:rPr>
            </w:pPr>
            <w:r>
              <w:rPr>
                <w:rFonts w:hint="eastAsia"/>
                <w:sz w:val="21"/>
                <w:szCs w:val="21"/>
                <w:u w:val="none"/>
              </w:rPr>
              <w:t>730</w:t>
            </w:r>
            <w:r>
              <w:rPr>
                <w:sz w:val="21"/>
                <w:szCs w:val="21"/>
                <w:u w:val="none"/>
              </w:rPr>
              <w:t>~</w:t>
            </w:r>
            <w:r>
              <w:rPr>
                <w:rFonts w:hint="eastAsia"/>
                <w:sz w:val="21"/>
                <w:szCs w:val="21"/>
                <w:u w:val="none"/>
              </w:rPr>
              <w:t>1000</w:t>
            </w:r>
          </w:p>
        </w:tc>
      </w:tr>
      <w:tr w14:paraId="18082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5C3CCCD4">
            <w:pPr>
              <w:adjustRightInd w:val="0"/>
              <w:snapToGrid w:val="0"/>
              <w:spacing w:line="240" w:lineRule="auto"/>
              <w:jc w:val="center"/>
              <w:rPr>
                <w:sz w:val="21"/>
                <w:szCs w:val="21"/>
                <w:u w:val="none"/>
              </w:rPr>
            </w:pPr>
            <w:r>
              <w:rPr>
                <w:rFonts w:hint="eastAsia"/>
                <w:sz w:val="21"/>
                <w:szCs w:val="21"/>
                <w:u w:val="none"/>
              </w:rPr>
              <w:t>城南御花园小区</w:t>
            </w:r>
          </w:p>
        </w:tc>
        <w:tc>
          <w:tcPr>
            <w:tcW w:w="1360" w:type="dxa"/>
            <w:tcBorders>
              <w:tl2br w:val="nil"/>
              <w:tr2bl w:val="nil"/>
            </w:tcBorders>
            <w:vAlign w:val="center"/>
          </w:tcPr>
          <w:p w14:paraId="38617F58">
            <w:pPr>
              <w:adjustRightInd w:val="0"/>
              <w:snapToGrid w:val="0"/>
              <w:spacing w:line="240" w:lineRule="auto"/>
              <w:jc w:val="center"/>
              <w:rPr>
                <w:sz w:val="21"/>
                <w:szCs w:val="21"/>
                <w:u w:val="none"/>
              </w:rPr>
            </w:pPr>
            <w:r>
              <w:rPr>
                <w:sz w:val="21"/>
                <w:szCs w:val="21"/>
                <w:u w:val="none"/>
              </w:rPr>
              <w:t>112.5</w:t>
            </w:r>
            <w:r>
              <w:rPr>
                <w:rFonts w:hint="eastAsia"/>
                <w:sz w:val="21"/>
                <w:szCs w:val="21"/>
                <w:u w:val="none"/>
              </w:rPr>
              <w:t>70117</w:t>
            </w:r>
            <w:r>
              <w:rPr>
                <w:sz w:val="21"/>
                <w:szCs w:val="21"/>
                <w:u w:val="none"/>
              </w:rPr>
              <w:t>˚</w:t>
            </w:r>
          </w:p>
        </w:tc>
        <w:tc>
          <w:tcPr>
            <w:tcW w:w="1158" w:type="dxa"/>
            <w:tcBorders>
              <w:tl2br w:val="nil"/>
              <w:tr2bl w:val="nil"/>
            </w:tcBorders>
            <w:vAlign w:val="center"/>
          </w:tcPr>
          <w:p w14:paraId="29906CC6">
            <w:pPr>
              <w:adjustRightInd w:val="0"/>
              <w:snapToGrid w:val="0"/>
              <w:spacing w:line="240" w:lineRule="auto"/>
              <w:jc w:val="center"/>
              <w:rPr>
                <w:sz w:val="21"/>
                <w:szCs w:val="21"/>
                <w:u w:val="none"/>
              </w:rPr>
            </w:pPr>
            <w:r>
              <w:rPr>
                <w:sz w:val="21"/>
                <w:szCs w:val="21"/>
                <w:u w:val="none"/>
              </w:rPr>
              <w:t>27.4</w:t>
            </w:r>
            <w:r>
              <w:rPr>
                <w:rFonts w:hint="eastAsia"/>
                <w:sz w:val="21"/>
                <w:szCs w:val="21"/>
                <w:u w:val="none"/>
              </w:rPr>
              <w:t>54077</w:t>
            </w:r>
            <w:r>
              <w:rPr>
                <w:sz w:val="21"/>
                <w:szCs w:val="21"/>
                <w:u w:val="none"/>
              </w:rPr>
              <w:t>˚</w:t>
            </w:r>
          </w:p>
        </w:tc>
        <w:tc>
          <w:tcPr>
            <w:tcW w:w="982" w:type="dxa"/>
            <w:tcBorders>
              <w:tl2br w:val="nil"/>
              <w:tr2bl w:val="nil"/>
            </w:tcBorders>
            <w:vAlign w:val="center"/>
          </w:tcPr>
          <w:p w14:paraId="24E7B9BF">
            <w:pPr>
              <w:adjustRightInd w:val="0"/>
              <w:snapToGrid w:val="0"/>
              <w:spacing w:line="240" w:lineRule="auto"/>
              <w:jc w:val="center"/>
              <w:rPr>
                <w:sz w:val="21"/>
                <w:szCs w:val="21"/>
                <w:u w:val="none"/>
              </w:rPr>
            </w:pPr>
            <w:r>
              <w:rPr>
                <w:rFonts w:hint="eastAsia"/>
                <w:sz w:val="21"/>
                <w:szCs w:val="21"/>
                <w:u w:val="none"/>
              </w:rPr>
              <w:t>约120户，480</w:t>
            </w:r>
          </w:p>
          <w:p w14:paraId="37657201">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18754DBA">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48486D0D">
            <w:pPr>
              <w:adjustRightInd w:val="0"/>
              <w:snapToGrid w:val="0"/>
              <w:spacing w:line="240" w:lineRule="auto"/>
              <w:jc w:val="center"/>
              <w:rPr>
                <w:sz w:val="21"/>
                <w:szCs w:val="21"/>
                <w:u w:val="none"/>
              </w:rPr>
            </w:pPr>
          </w:p>
        </w:tc>
        <w:tc>
          <w:tcPr>
            <w:tcW w:w="948" w:type="dxa"/>
            <w:tcBorders>
              <w:tl2br w:val="nil"/>
              <w:tr2bl w:val="nil"/>
            </w:tcBorders>
            <w:vAlign w:val="center"/>
          </w:tcPr>
          <w:p w14:paraId="3E6FB2E9">
            <w:pPr>
              <w:adjustRightInd w:val="0"/>
              <w:snapToGrid w:val="0"/>
              <w:spacing w:line="240" w:lineRule="auto"/>
              <w:jc w:val="center"/>
              <w:rPr>
                <w:sz w:val="21"/>
                <w:szCs w:val="21"/>
                <w:u w:val="none"/>
              </w:rPr>
            </w:pPr>
            <w:r>
              <w:rPr>
                <w:rFonts w:hint="eastAsia"/>
                <w:sz w:val="21"/>
                <w:szCs w:val="21"/>
                <w:u w:val="none"/>
              </w:rPr>
              <w:t>西南</w:t>
            </w:r>
          </w:p>
        </w:tc>
        <w:tc>
          <w:tcPr>
            <w:tcW w:w="1095" w:type="dxa"/>
            <w:tcBorders>
              <w:tl2br w:val="nil"/>
              <w:tr2bl w:val="nil"/>
            </w:tcBorders>
            <w:vAlign w:val="center"/>
          </w:tcPr>
          <w:p w14:paraId="3A6FAF98">
            <w:pPr>
              <w:adjustRightInd w:val="0"/>
              <w:snapToGrid w:val="0"/>
              <w:spacing w:line="240" w:lineRule="auto"/>
              <w:jc w:val="center"/>
              <w:rPr>
                <w:sz w:val="21"/>
                <w:szCs w:val="21"/>
                <w:u w:val="none"/>
              </w:rPr>
            </w:pPr>
            <w:r>
              <w:rPr>
                <w:rFonts w:hint="eastAsia"/>
                <w:sz w:val="21"/>
                <w:szCs w:val="21"/>
                <w:u w:val="none"/>
              </w:rPr>
              <w:t>790</w:t>
            </w:r>
            <w:r>
              <w:rPr>
                <w:sz w:val="21"/>
                <w:szCs w:val="21"/>
                <w:u w:val="none"/>
              </w:rPr>
              <w:t>~</w:t>
            </w:r>
            <w:r>
              <w:rPr>
                <w:rFonts w:hint="eastAsia"/>
                <w:sz w:val="21"/>
                <w:szCs w:val="21"/>
                <w:u w:val="none"/>
              </w:rPr>
              <w:t>1100</w:t>
            </w:r>
          </w:p>
        </w:tc>
      </w:tr>
      <w:tr w14:paraId="49C28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C03644E">
            <w:pPr>
              <w:adjustRightInd w:val="0"/>
              <w:snapToGrid w:val="0"/>
              <w:spacing w:line="240" w:lineRule="auto"/>
              <w:jc w:val="center"/>
              <w:rPr>
                <w:sz w:val="21"/>
                <w:szCs w:val="21"/>
                <w:u w:val="none"/>
              </w:rPr>
            </w:pPr>
            <w:r>
              <w:rPr>
                <w:rFonts w:hint="eastAsia"/>
                <w:sz w:val="21"/>
                <w:szCs w:val="21"/>
                <w:u w:val="none"/>
              </w:rPr>
              <w:t>润玉时代城小区</w:t>
            </w:r>
          </w:p>
        </w:tc>
        <w:tc>
          <w:tcPr>
            <w:tcW w:w="1360" w:type="dxa"/>
            <w:tcBorders>
              <w:tl2br w:val="nil"/>
              <w:tr2bl w:val="nil"/>
            </w:tcBorders>
            <w:vAlign w:val="center"/>
          </w:tcPr>
          <w:p w14:paraId="50272F2C">
            <w:pPr>
              <w:adjustRightInd w:val="0"/>
              <w:snapToGrid w:val="0"/>
              <w:spacing w:line="240" w:lineRule="auto"/>
              <w:jc w:val="center"/>
              <w:rPr>
                <w:sz w:val="21"/>
                <w:szCs w:val="21"/>
                <w:u w:val="none"/>
              </w:rPr>
            </w:pPr>
            <w:r>
              <w:rPr>
                <w:sz w:val="21"/>
                <w:szCs w:val="21"/>
                <w:u w:val="none"/>
              </w:rPr>
              <w:t>112.</w:t>
            </w:r>
            <w:r>
              <w:rPr>
                <w:rFonts w:hint="eastAsia"/>
                <w:sz w:val="21"/>
                <w:szCs w:val="21"/>
                <w:u w:val="none"/>
              </w:rPr>
              <w:t>564497</w:t>
            </w:r>
            <w:r>
              <w:rPr>
                <w:sz w:val="21"/>
                <w:szCs w:val="21"/>
                <w:u w:val="none"/>
              </w:rPr>
              <w:t>˚</w:t>
            </w:r>
          </w:p>
        </w:tc>
        <w:tc>
          <w:tcPr>
            <w:tcW w:w="1158" w:type="dxa"/>
            <w:tcBorders>
              <w:tl2br w:val="nil"/>
              <w:tr2bl w:val="nil"/>
            </w:tcBorders>
            <w:vAlign w:val="center"/>
          </w:tcPr>
          <w:p w14:paraId="495F2E71">
            <w:pPr>
              <w:adjustRightInd w:val="0"/>
              <w:snapToGrid w:val="0"/>
              <w:spacing w:line="240" w:lineRule="auto"/>
              <w:jc w:val="center"/>
              <w:rPr>
                <w:sz w:val="21"/>
                <w:szCs w:val="21"/>
                <w:u w:val="none"/>
              </w:rPr>
            </w:pPr>
            <w:r>
              <w:rPr>
                <w:sz w:val="21"/>
                <w:szCs w:val="21"/>
                <w:u w:val="none"/>
              </w:rPr>
              <w:t>27.4</w:t>
            </w:r>
            <w:r>
              <w:rPr>
                <w:rFonts w:hint="eastAsia"/>
                <w:sz w:val="21"/>
                <w:szCs w:val="21"/>
                <w:u w:val="none"/>
              </w:rPr>
              <w:t>54077</w:t>
            </w:r>
            <w:r>
              <w:rPr>
                <w:sz w:val="21"/>
                <w:szCs w:val="21"/>
                <w:u w:val="none"/>
              </w:rPr>
              <w:t>˚</w:t>
            </w:r>
          </w:p>
        </w:tc>
        <w:tc>
          <w:tcPr>
            <w:tcW w:w="982" w:type="dxa"/>
            <w:tcBorders>
              <w:tl2br w:val="nil"/>
              <w:tr2bl w:val="nil"/>
            </w:tcBorders>
            <w:vAlign w:val="center"/>
          </w:tcPr>
          <w:p w14:paraId="56538A88">
            <w:pPr>
              <w:adjustRightInd w:val="0"/>
              <w:snapToGrid w:val="0"/>
              <w:spacing w:line="240" w:lineRule="auto"/>
              <w:jc w:val="center"/>
              <w:rPr>
                <w:sz w:val="21"/>
                <w:szCs w:val="21"/>
                <w:u w:val="none"/>
              </w:rPr>
            </w:pPr>
            <w:r>
              <w:rPr>
                <w:rFonts w:hint="eastAsia"/>
                <w:sz w:val="21"/>
                <w:szCs w:val="21"/>
                <w:u w:val="none"/>
              </w:rPr>
              <w:t>约250户，1000人</w:t>
            </w:r>
          </w:p>
        </w:tc>
        <w:tc>
          <w:tcPr>
            <w:tcW w:w="948" w:type="dxa"/>
            <w:vMerge w:val="continue"/>
            <w:tcBorders>
              <w:tl2br w:val="nil"/>
              <w:tr2bl w:val="nil"/>
            </w:tcBorders>
            <w:vAlign w:val="center"/>
          </w:tcPr>
          <w:p w14:paraId="34FA4848">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6E5B19D3">
            <w:pPr>
              <w:adjustRightInd w:val="0"/>
              <w:snapToGrid w:val="0"/>
              <w:spacing w:line="240" w:lineRule="auto"/>
              <w:jc w:val="center"/>
              <w:rPr>
                <w:sz w:val="21"/>
                <w:szCs w:val="21"/>
                <w:u w:val="none"/>
              </w:rPr>
            </w:pPr>
          </w:p>
        </w:tc>
        <w:tc>
          <w:tcPr>
            <w:tcW w:w="948" w:type="dxa"/>
            <w:tcBorders>
              <w:tl2br w:val="nil"/>
              <w:tr2bl w:val="nil"/>
            </w:tcBorders>
            <w:vAlign w:val="center"/>
          </w:tcPr>
          <w:p w14:paraId="1DF7FF03">
            <w:pPr>
              <w:adjustRightInd w:val="0"/>
              <w:snapToGrid w:val="0"/>
              <w:spacing w:line="240" w:lineRule="auto"/>
              <w:jc w:val="center"/>
              <w:rPr>
                <w:sz w:val="21"/>
                <w:szCs w:val="21"/>
                <w:u w:val="none"/>
              </w:rPr>
            </w:pPr>
            <w:r>
              <w:rPr>
                <w:rFonts w:hint="eastAsia"/>
                <w:sz w:val="21"/>
                <w:szCs w:val="21"/>
                <w:u w:val="none"/>
              </w:rPr>
              <w:t>西南</w:t>
            </w:r>
          </w:p>
        </w:tc>
        <w:tc>
          <w:tcPr>
            <w:tcW w:w="1095" w:type="dxa"/>
            <w:tcBorders>
              <w:tl2br w:val="nil"/>
              <w:tr2bl w:val="nil"/>
            </w:tcBorders>
            <w:vAlign w:val="center"/>
          </w:tcPr>
          <w:p w14:paraId="15ECC270">
            <w:pPr>
              <w:adjustRightInd w:val="0"/>
              <w:snapToGrid w:val="0"/>
              <w:spacing w:line="240" w:lineRule="auto"/>
              <w:jc w:val="center"/>
              <w:rPr>
                <w:sz w:val="21"/>
                <w:szCs w:val="21"/>
                <w:u w:val="none"/>
              </w:rPr>
            </w:pPr>
            <w:r>
              <w:rPr>
                <w:rFonts w:hint="eastAsia"/>
                <w:sz w:val="21"/>
                <w:szCs w:val="21"/>
                <w:u w:val="none"/>
              </w:rPr>
              <w:t>1070</w:t>
            </w:r>
            <w:r>
              <w:rPr>
                <w:sz w:val="21"/>
                <w:szCs w:val="21"/>
                <w:u w:val="none"/>
              </w:rPr>
              <w:t>~</w:t>
            </w:r>
            <w:r>
              <w:rPr>
                <w:rFonts w:hint="eastAsia"/>
                <w:sz w:val="21"/>
                <w:szCs w:val="21"/>
                <w:u w:val="none"/>
              </w:rPr>
              <w:t>1340</w:t>
            </w:r>
          </w:p>
        </w:tc>
      </w:tr>
      <w:tr w14:paraId="18BFCB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546AD2D7">
            <w:pPr>
              <w:adjustRightInd w:val="0"/>
              <w:snapToGrid w:val="0"/>
              <w:spacing w:line="240" w:lineRule="auto"/>
              <w:jc w:val="center"/>
              <w:rPr>
                <w:sz w:val="21"/>
                <w:szCs w:val="21"/>
                <w:u w:val="none"/>
              </w:rPr>
            </w:pPr>
            <w:r>
              <w:rPr>
                <w:rFonts w:hint="eastAsia"/>
                <w:sz w:val="21"/>
                <w:szCs w:val="21"/>
                <w:u w:val="none"/>
              </w:rPr>
              <w:t>山塘学校</w:t>
            </w:r>
          </w:p>
        </w:tc>
        <w:tc>
          <w:tcPr>
            <w:tcW w:w="1360" w:type="dxa"/>
            <w:tcBorders>
              <w:tl2br w:val="nil"/>
              <w:tr2bl w:val="nil"/>
            </w:tcBorders>
            <w:vAlign w:val="center"/>
          </w:tcPr>
          <w:p w14:paraId="1B338BDD">
            <w:pPr>
              <w:adjustRightInd w:val="0"/>
              <w:snapToGrid w:val="0"/>
              <w:spacing w:line="240" w:lineRule="auto"/>
              <w:jc w:val="center"/>
              <w:rPr>
                <w:sz w:val="21"/>
                <w:szCs w:val="21"/>
                <w:u w:val="none"/>
              </w:rPr>
            </w:pPr>
            <w:r>
              <w:rPr>
                <w:sz w:val="21"/>
                <w:szCs w:val="21"/>
                <w:u w:val="none"/>
              </w:rPr>
              <w:t>112.</w:t>
            </w:r>
            <w:r>
              <w:rPr>
                <w:rFonts w:hint="eastAsia"/>
                <w:sz w:val="21"/>
                <w:szCs w:val="21"/>
                <w:u w:val="none"/>
              </w:rPr>
              <w:t>565231</w:t>
            </w:r>
            <w:r>
              <w:rPr>
                <w:sz w:val="21"/>
                <w:szCs w:val="21"/>
                <w:u w:val="none"/>
              </w:rPr>
              <w:t>˚</w:t>
            </w:r>
          </w:p>
        </w:tc>
        <w:tc>
          <w:tcPr>
            <w:tcW w:w="1158" w:type="dxa"/>
            <w:tcBorders>
              <w:tl2br w:val="nil"/>
              <w:tr2bl w:val="nil"/>
            </w:tcBorders>
            <w:vAlign w:val="center"/>
          </w:tcPr>
          <w:p w14:paraId="632CAD30">
            <w:pPr>
              <w:adjustRightInd w:val="0"/>
              <w:snapToGrid w:val="0"/>
              <w:spacing w:line="240" w:lineRule="auto"/>
              <w:jc w:val="center"/>
              <w:rPr>
                <w:sz w:val="21"/>
                <w:szCs w:val="21"/>
                <w:u w:val="none"/>
              </w:rPr>
            </w:pPr>
            <w:r>
              <w:rPr>
                <w:sz w:val="21"/>
                <w:szCs w:val="21"/>
                <w:u w:val="none"/>
              </w:rPr>
              <w:t>27.4</w:t>
            </w:r>
            <w:r>
              <w:rPr>
                <w:rFonts w:hint="eastAsia"/>
                <w:sz w:val="21"/>
                <w:szCs w:val="21"/>
                <w:u w:val="none"/>
              </w:rPr>
              <w:t>54007</w:t>
            </w:r>
            <w:r>
              <w:rPr>
                <w:sz w:val="21"/>
                <w:szCs w:val="21"/>
                <w:u w:val="none"/>
              </w:rPr>
              <w:t>˚</w:t>
            </w:r>
          </w:p>
        </w:tc>
        <w:tc>
          <w:tcPr>
            <w:tcW w:w="982" w:type="dxa"/>
            <w:tcBorders>
              <w:tl2br w:val="nil"/>
              <w:tr2bl w:val="nil"/>
            </w:tcBorders>
            <w:vAlign w:val="center"/>
          </w:tcPr>
          <w:p w14:paraId="66F4DD03">
            <w:pPr>
              <w:adjustRightInd w:val="0"/>
              <w:snapToGrid w:val="0"/>
              <w:spacing w:line="240" w:lineRule="auto"/>
              <w:jc w:val="center"/>
              <w:rPr>
                <w:sz w:val="21"/>
                <w:szCs w:val="21"/>
                <w:u w:val="none"/>
              </w:rPr>
            </w:pPr>
            <w:r>
              <w:rPr>
                <w:rFonts w:hint="eastAsia"/>
                <w:sz w:val="21"/>
                <w:szCs w:val="21"/>
                <w:u w:val="none"/>
              </w:rPr>
              <w:t>师生约500人</w:t>
            </w:r>
          </w:p>
        </w:tc>
        <w:tc>
          <w:tcPr>
            <w:tcW w:w="948" w:type="dxa"/>
            <w:vMerge w:val="continue"/>
            <w:tcBorders>
              <w:tl2br w:val="nil"/>
              <w:tr2bl w:val="nil"/>
            </w:tcBorders>
            <w:vAlign w:val="center"/>
          </w:tcPr>
          <w:p w14:paraId="1CB5FE35">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1FACEE2F">
            <w:pPr>
              <w:adjustRightInd w:val="0"/>
              <w:snapToGrid w:val="0"/>
              <w:spacing w:line="240" w:lineRule="auto"/>
              <w:jc w:val="center"/>
              <w:rPr>
                <w:sz w:val="21"/>
                <w:szCs w:val="21"/>
                <w:u w:val="none"/>
              </w:rPr>
            </w:pPr>
          </w:p>
        </w:tc>
        <w:tc>
          <w:tcPr>
            <w:tcW w:w="948" w:type="dxa"/>
            <w:tcBorders>
              <w:tl2br w:val="nil"/>
              <w:tr2bl w:val="nil"/>
            </w:tcBorders>
            <w:vAlign w:val="center"/>
          </w:tcPr>
          <w:p w14:paraId="18F96CAB">
            <w:pPr>
              <w:adjustRightInd w:val="0"/>
              <w:snapToGrid w:val="0"/>
              <w:spacing w:line="240" w:lineRule="auto"/>
              <w:jc w:val="center"/>
              <w:rPr>
                <w:sz w:val="21"/>
                <w:szCs w:val="21"/>
                <w:u w:val="none"/>
              </w:rPr>
            </w:pPr>
            <w:r>
              <w:rPr>
                <w:rFonts w:hint="eastAsia"/>
                <w:sz w:val="21"/>
                <w:szCs w:val="21"/>
                <w:u w:val="none"/>
              </w:rPr>
              <w:t>西南</w:t>
            </w:r>
          </w:p>
        </w:tc>
        <w:tc>
          <w:tcPr>
            <w:tcW w:w="1095" w:type="dxa"/>
            <w:tcBorders>
              <w:tl2br w:val="nil"/>
              <w:tr2bl w:val="nil"/>
            </w:tcBorders>
            <w:vAlign w:val="center"/>
          </w:tcPr>
          <w:p w14:paraId="2A1F5B4E">
            <w:pPr>
              <w:adjustRightInd w:val="0"/>
              <w:snapToGrid w:val="0"/>
              <w:spacing w:line="240" w:lineRule="auto"/>
              <w:jc w:val="center"/>
              <w:rPr>
                <w:sz w:val="21"/>
                <w:szCs w:val="21"/>
                <w:u w:val="none"/>
              </w:rPr>
            </w:pPr>
            <w:r>
              <w:rPr>
                <w:rFonts w:hint="eastAsia"/>
                <w:sz w:val="21"/>
                <w:szCs w:val="21"/>
                <w:u w:val="none"/>
              </w:rPr>
              <w:t>1060</w:t>
            </w:r>
            <w:r>
              <w:rPr>
                <w:sz w:val="21"/>
                <w:szCs w:val="21"/>
                <w:u w:val="none"/>
              </w:rPr>
              <w:t>~</w:t>
            </w:r>
            <w:r>
              <w:rPr>
                <w:rFonts w:hint="eastAsia"/>
                <w:sz w:val="21"/>
                <w:szCs w:val="21"/>
                <w:u w:val="none"/>
              </w:rPr>
              <w:t>1230</w:t>
            </w:r>
          </w:p>
        </w:tc>
      </w:tr>
      <w:tr w14:paraId="68C507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50" w:type="dxa"/>
            <w:tcBorders>
              <w:tl2br w:val="nil"/>
              <w:tr2bl w:val="nil"/>
            </w:tcBorders>
            <w:vAlign w:val="center"/>
          </w:tcPr>
          <w:p w14:paraId="1EDF8AE7">
            <w:pPr>
              <w:adjustRightInd w:val="0"/>
              <w:snapToGrid w:val="0"/>
              <w:spacing w:line="240" w:lineRule="auto"/>
              <w:jc w:val="center"/>
              <w:rPr>
                <w:sz w:val="21"/>
                <w:szCs w:val="21"/>
                <w:u w:val="none"/>
              </w:rPr>
            </w:pPr>
            <w:r>
              <w:rPr>
                <w:rFonts w:hint="eastAsia"/>
                <w:sz w:val="21"/>
                <w:szCs w:val="21"/>
                <w:u w:val="none"/>
              </w:rPr>
              <w:t>和园小区</w:t>
            </w:r>
          </w:p>
        </w:tc>
        <w:tc>
          <w:tcPr>
            <w:tcW w:w="1360" w:type="dxa"/>
            <w:tcBorders>
              <w:tl2br w:val="nil"/>
              <w:tr2bl w:val="nil"/>
            </w:tcBorders>
            <w:vAlign w:val="center"/>
          </w:tcPr>
          <w:p w14:paraId="2CE3E7F8">
            <w:pPr>
              <w:adjustRightInd w:val="0"/>
              <w:snapToGrid w:val="0"/>
              <w:spacing w:line="240" w:lineRule="auto"/>
              <w:jc w:val="center"/>
              <w:rPr>
                <w:sz w:val="21"/>
                <w:szCs w:val="21"/>
                <w:u w:val="none"/>
              </w:rPr>
            </w:pPr>
            <w:r>
              <w:rPr>
                <w:sz w:val="21"/>
                <w:szCs w:val="21"/>
                <w:u w:val="none"/>
              </w:rPr>
              <w:t>112.5</w:t>
            </w:r>
            <w:r>
              <w:rPr>
                <w:rFonts w:hint="eastAsia"/>
                <w:sz w:val="21"/>
                <w:szCs w:val="21"/>
                <w:u w:val="none"/>
              </w:rPr>
              <w:t>65524</w:t>
            </w:r>
            <w:r>
              <w:rPr>
                <w:sz w:val="21"/>
                <w:szCs w:val="21"/>
                <w:u w:val="none"/>
              </w:rPr>
              <w:t>˚</w:t>
            </w:r>
          </w:p>
        </w:tc>
        <w:tc>
          <w:tcPr>
            <w:tcW w:w="1158" w:type="dxa"/>
            <w:tcBorders>
              <w:tl2br w:val="nil"/>
              <w:tr2bl w:val="nil"/>
            </w:tcBorders>
            <w:vAlign w:val="center"/>
          </w:tcPr>
          <w:p w14:paraId="1356948E">
            <w:pPr>
              <w:adjustRightInd w:val="0"/>
              <w:snapToGrid w:val="0"/>
              <w:spacing w:line="240" w:lineRule="auto"/>
              <w:jc w:val="center"/>
              <w:rPr>
                <w:sz w:val="21"/>
                <w:szCs w:val="21"/>
                <w:u w:val="none"/>
              </w:rPr>
            </w:pPr>
            <w:r>
              <w:rPr>
                <w:sz w:val="21"/>
                <w:szCs w:val="21"/>
                <w:u w:val="none"/>
              </w:rPr>
              <w:t>27.</w:t>
            </w:r>
            <w:r>
              <w:rPr>
                <w:rFonts w:hint="eastAsia"/>
                <w:sz w:val="21"/>
                <w:szCs w:val="21"/>
                <w:u w:val="none"/>
              </w:rPr>
              <w:t>455597</w:t>
            </w:r>
            <w:r>
              <w:rPr>
                <w:sz w:val="21"/>
                <w:szCs w:val="21"/>
                <w:u w:val="none"/>
              </w:rPr>
              <w:t>˚</w:t>
            </w:r>
          </w:p>
        </w:tc>
        <w:tc>
          <w:tcPr>
            <w:tcW w:w="982" w:type="dxa"/>
            <w:tcBorders>
              <w:tl2br w:val="nil"/>
              <w:tr2bl w:val="nil"/>
            </w:tcBorders>
            <w:vAlign w:val="center"/>
          </w:tcPr>
          <w:p w14:paraId="77167926">
            <w:pPr>
              <w:adjustRightInd w:val="0"/>
              <w:snapToGrid w:val="0"/>
              <w:spacing w:line="240" w:lineRule="auto"/>
              <w:jc w:val="center"/>
              <w:rPr>
                <w:sz w:val="21"/>
                <w:szCs w:val="21"/>
                <w:u w:val="none"/>
              </w:rPr>
            </w:pPr>
            <w:r>
              <w:rPr>
                <w:rFonts w:hint="eastAsia"/>
                <w:sz w:val="21"/>
                <w:szCs w:val="21"/>
                <w:u w:val="none"/>
              </w:rPr>
              <w:t>约160户，480</w:t>
            </w:r>
          </w:p>
          <w:p w14:paraId="3EA73327">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73CA24A5">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4D919591">
            <w:pPr>
              <w:adjustRightInd w:val="0"/>
              <w:snapToGrid w:val="0"/>
              <w:spacing w:line="240" w:lineRule="auto"/>
              <w:jc w:val="center"/>
              <w:rPr>
                <w:sz w:val="21"/>
                <w:szCs w:val="21"/>
                <w:u w:val="none"/>
              </w:rPr>
            </w:pPr>
          </w:p>
        </w:tc>
        <w:tc>
          <w:tcPr>
            <w:tcW w:w="948" w:type="dxa"/>
            <w:tcBorders>
              <w:tl2br w:val="nil"/>
              <w:tr2bl w:val="nil"/>
            </w:tcBorders>
            <w:vAlign w:val="center"/>
          </w:tcPr>
          <w:p w14:paraId="1A2BE9F5">
            <w:pPr>
              <w:adjustRightInd w:val="0"/>
              <w:snapToGrid w:val="0"/>
              <w:spacing w:line="240" w:lineRule="auto"/>
              <w:jc w:val="center"/>
              <w:rPr>
                <w:sz w:val="21"/>
                <w:szCs w:val="21"/>
                <w:u w:val="none"/>
              </w:rPr>
            </w:pPr>
            <w:r>
              <w:rPr>
                <w:rFonts w:hint="eastAsia"/>
                <w:sz w:val="21"/>
                <w:szCs w:val="21"/>
                <w:u w:val="none"/>
              </w:rPr>
              <w:t>西南</w:t>
            </w:r>
          </w:p>
        </w:tc>
        <w:tc>
          <w:tcPr>
            <w:tcW w:w="1095" w:type="dxa"/>
            <w:tcBorders>
              <w:tl2br w:val="nil"/>
              <w:tr2bl w:val="nil"/>
            </w:tcBorders>
            <w:vAlign w:val="center"/>
          </w:tcPr>
          <w:p w14:paraId="4C38B07B">
            <w:pPr>
              <w:adjustRightInd w:val="0"/>
              <w:snapToGrid w:val="0"/>
              <w:spacing w:line="240" w:lineRule="auto"/>
              <w:jc w:val="center"/>
              <w:rPr>
                <w:sz w:val="21"/>
                <w:szCs w:val="21"/>
                <w:u w:val="none"/>
              </w:rPr>
            </w:pPr>
            <w:r>
              <w:rPr>
                <w:rFonts w:hint="eastAsia"/>
                <w:sz w:val="21"/>
                <w:szCs w:val="21"/>
                <w:u w:val="none"/>
              </w:rPr>
              <w:t>780</w:t>
            </w:r>
            <w:r>
              <w:rPr>
                <w:sz w:val="21"/>
                <w:szCs w:val="21"/>
                <w:u w:val="none"/>
              </w:rPr>
              <w:t>~</w:t>
            </w:r>
            <w:r>
              <w:rPr>
                <w:rFonts w:hint="eastAsia"/>
                <w:sz w:val="21"/>
                <w:szCs w:val="21"/>
                <w:u w:val="none"/>
              </w:rPr>
              <w:t>920</w:t>
            </w:r>
          </w:p>
        </w:tc>
      </w:tr>
      <w:tr w14:paraId="4BFF65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A127E02">
            <w:pPr>
              <w:adjustRightInd w:val="0"/>
              <w:snapToGrid w:val="0"/>
              <w:spacing w:line="240" w:lineRule="auto"/>
              <w:jc w:val="center"/>
              <w:rPr>
                <w:sz w:val="21"/>
                <w:szCs w:val="21"/>
                <w:u w:val="none"/>
              </w:rPr>
            </w:pPr>
            <w:r>
              <w:rPr>
                <w:rFonts w:hint="eastAsia"/>
                <w:sz w:val="21"/>
                <w:szCs w:val="21"/>
                <w:u w:val="none"/>
              </w:rPr>
              <w:t>子敬学校</w:t>
            </w:r>
          </w:p>
        </w:tc>
        <w:tc>
          <w:tcPr>
            <w:tcW w:w="1360" w:type="dxa"/>
            <w:tcBorders>
              <w:tl2br w:val="nil"/>
              <w:tr2bl w:val="nil"/>
            </w:tcBorders>
            <w:vAlign w:val="center"/>
          </w:tcPr>
          <w:p w14:paraId="5D2334F6">
            <w:pPr>
              <w:adjustRightInd w:val="0"/>
              <w:snapToGrid w:val="0"/>
              <w:spacing w:line="240" w:lineRule="auto"/>
              <w:jc w:val="center"/>
              <w:rPr>
                <w:sz w:val="21"/>
                <w:szCs w:val="21"/>
                <w:u w:val="none"/>
              </w:rPr>
            </w:pPr>
            <w:r>
              <w:rPr>
                <w:sz w:val="21"/>
                <w:szCs w:val="21"/>
                <w:u w:val="none"/>
              </w:rPr>
              <w:t>112.561585˚</w:t>
            </w:r>
          </w:p>
        </w:tc>
        <w:tc>
          <w:tcPr>
            <w:tcW w:w="1158" w:type="dxa"/>
            <w:tcBorders>
              <w:tl2br w:val="nil"/>
              <w:tr2bl w:val="nil"/>
            </w:tcBorders>
            <w:vAlign w:val="center"/>
          </w:tcPr>
          <w:p w14:paraId="308D1726">
            <w:pPr>
              <w:adjustRightInd w:val="0"/>
              <w:snapToGrid w:val="0"/>
              <w:spacing w:line="240" w:lineRule="auto"/>
              <w:jc w:val="center"/>
              <w:rPr>
                <w:sz w:val="21"/>
                <w:szCs w:val="21"/>
                <w:u w:val="none"/>
              </w:rPr>
            </w:pPr>
            <w:r>
              <w:rPr>
                <w:sz w:val="21"/>
                <w:szCs w:val="21"/>
                <w:u w:val="none"/>
              </w:rPr>
              <w:t>27.462795˚</w:t>
            </w:r>
          </w:p>
        </w:tc>
        <w:tc>
          <w:tcPr>
            <w:tcW w:w="982" w:type="dxa"/>
            <w:tcBorders>
              <w:tl2br w:val="nil"/>
              <w:tr2bl w:val="nil"/>
            </w:tcBorders>
            <w:vAlign w:val="center"/>
          </w:tcPr>
          <w:p w14:paraId="0547E311">
            <w:pPr>
              <w:adjustRightInd w:val="0"/>
              <w:snapToGrid w:val="0"/>
              <w:spacing w:line="240" w:lineRule="auto"/>
              <w:jc w:val="center"/>
              <w:rPr>
                <w:sz w:val="21"/>
                <w:szCs w:val="21"/>
                <w:u w:val="none"/>
              </w:rPr>
            </w:pPr>
            <w:r>
              <w:rPr>
                <w:rFonts w:hint="eastAsia"/>
                <w:sz w:val="21"/>
                <w:szCs w:val="21"/>
                <w:u w:val="none"/>
              </w:rPr>
              <w:t>师生约2700人</w:t>
            </w:r>
          </w:p>
        </w:tc>
        <w:tc>
          <w:tcPr>
            <w:tcW w:w="948" w:type="dxa"/>
            <w:vMerge w:val="continue"/>
            <w:tcBorders>
              <w:tl2br w:val="nil"/>
              <w:tr2bl w:val="nil"/>
            </w:tcBorders>
            <w:vAlign w:val="center"/>
          </w:tcPr>
          <w:p w14:paraId="1F070086">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5FDB19B6">
            <w:pPr>
              <w:adjustRightInd w:val="0"/>
              <w:snapToGrid w:val="0"/>
              <w:spacing w:line="240" w:lineRule="auto"/>
              <w:jc w:val="center"/>
              <w:rPr>
                <w:sz w:val="21"/>
                <w:szCs w:val="21"/>
                <w:u w:val="none"/>
              </w:rPr>
            </w:pPr>
          </w:p>
        </w:tc>
        <w:tc>
          <w:tcPr>
            <w:tcW w:w="948" w:type="dxa"/>
            <w:tcBorders>
              <w:tl2br w:val="nil"/>
              <w:tr2bl w:val="nil"/>
            </w:tcBorders>
            <w:vAlign w:val="center"/>
          </w:tcPr>
          <w:p w14:paraId="55586C4F">
            <w:pPr>
              <w:adjustRightInd w:val="0"/>
              <w:snapToGrid w:val="0"/>
              <w:spacing w:line="240" w:lineRule="auto"/>
              <w:jc w:val="center"/>
              <w:rPr>
                <w:sz w:val="21"/>
                <w:szCs w:val="21"/>
                <w:u w:val="none"/>
              </w:rPr>
            </w:pPr>
            <w:r>
              <w:rPr>
                <w:rFonts w:hint="eastAsia"/>
                <w:sz w:val="21"/>
                <w:szCs w:val="21"/>
                <w:u w:val="none"/>
              </w:rPr>
              <w:t>西北</w:t>
            </w:r>
          </w:p>
        </w:tc>
        <w:tc>
          <w:tcPr>
            <w:tcW w:w="1095" w:type="dxa"/>
            <w:tcBorders>
              <w:tl2br w:val="nil"/>
              <w:tr2bl w:val="nil"/>
            </w:tcBorders>
            <w:vAlign w:val="center"/>
          </w:tcPr>
          <w:p w14:paraId="4AB3E95E">
            <w:pPr>
              <w:adjustRightInd w:val="0"/>
              <w:snapToGrid w:val="0"/>
              <w:spacing w:line="240" w:lineRule="auto"/>
              <w:jc w:val="center"/>
              <w:rPr>
                <w:sz w:val="21"/>
                <w:szCs w:val="21"/>
                <w:u w:val="none"/>
              </w:rPr>
            </w:pPr>
            <w:r>
              <w:rPr>
                <w:rFonts w:hint="eastAsia"/>
                <w:sz w:val="21"/>
                <w:szCs w:val="21"/>
                <w:u w:val="none"/>
              </w:rPr>
              <w:t>1940</w:t>
            </w:r>
            <w:r>
              <w:rPr>
                <w:sz w:val="21"/>
                <w:szCs w:val="21"/>
                <w:u w:val="none"/>
              </w:rPr>
              <w:t>~</w:t>
            </w:r>
            <w:r>
              <w:rPr>
                <w:rFonts w:hint="eastAsia"/>
                <w:sz w:val="21"/>
                <w:szCs w:val="21"/>
                <w:u w:val="none"/>
              </w:rPr>
              <w:t>2200</w:t>
            </w:r>
          </w:p>
        </w:tc>
      </w:tr>
      <w:tr w14:paraId="7E006F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29C4A324">
            <w:pPr>
              <w:adjustRightInd w:val="0"/>
              <w:snapToGrid w:val="0"/>
              <w:spacing w:line="240" w:lineRule="auto"/>
              <w:jc w:val="center"/>
              <w:rPr>
                <w:sz w:val="21"/>
                <w:szCs w:val="21"/>
                <w:u w:val="none"/>
              </w:rPr>
            </w:pPr>
            <w:r>
              <w:rPr>
                <w:sz w:val="21"/>
                <w:szCs w:val="21"/>
                <w:u w:val="none"/>
              </w:rPr>
              <w:t>芙蓉廉租小区</w:t>
            </w:r>
          </w:p>
        </w:tc>
        <w:tc>
          <w:tcPr>
            <w:tcW w:w="1360" w:type="dxa"/>
            <w:tcBorders>
              <w:tl2br w:val="nil"/>
              <w:tr2bl w:val="nil"/>
            </w:tcBorders>
            <w:vAlign w:val="center"/>
          </w:tcPr>
          <w:p w14:paraId="77E47BBE">
            <w:pPr>
              <w:adjustRightInd w:val="0"/>
              <w:snapToGrid w:val="0"/>
              <w:spacing w:line="240" w:lineRule="auto"/>
              <w:jc w:val="center"/>
              <w:rPr>
                <w:sz w:val="21"/>
                <w:szCs w:val="21"/>
                <w:u w:val="none"/>
              </w:rPr>
            </w:pPr>
            <w:r>
              <w:rPr>
                <w:sz w:val="21"/>
                <w:szCs w:val="21"/>
                <w:u w:val="none"/>
              </w:rPr>
              <w:t>112.580481˚</w:t>
            </w:r>
          </w:p>
        </w:tc>
        <w:tc>
          <w:tcPr>
            <w:tcW w:w="1158" w:type="dxa"/>
            <w:tcBorders>
              <w:tl2br w:val="nil"/>
              <w:tr2bl w:val="nil"/>
            </w:tcBorders>
            <w:vAlign w:val="center"/>
          </w:tcPr>
          <w:p w14:paraId="51D35541">
            <w:pPr>
              <w:adjustRightInd w:val="0"/>
              <w:snapToGrid w:val="0"/>
              <w:spacing w:line="240" w:lineRule="auto"/>
              <w:jc w:val="center"/>
              <w:rPr>
                <w:sz w:val="21"/>
                <w:szCs w:val="21"/>
                <w:u w:val="none"/>
              </w:rPr>
            </w:pPr>
            <w:r>
              <w:rPr>
                <w:sz w:val="21"/>
                <w:szCs w:val="21"/>
                <w:u w:val="none"/>
              </w:rPr>
              <w:t>27.460203˚</w:t>
            </w:r>
          </w:p>
        </w:tc>
        <w:tc>
          <w:tcPr>
            <w:tcW w:w="982" w:type="dxa"/>
            <w:tcBorders>
              <w:tl2br w:val="nil"/>
              <w:tr2bl w:val="nil"/>
            </w:tcBorders>
            <w:vAlign w:val="center"/>
          </w:tcPr>
          <w:p w14:paraId="656BAA38">
            <w:pPr>
              <w:adjustRightInd w:val="0"/>
              <w:snapToGrid w:val="0"/>
              <w:spacing w:line="240" w:lineRule="auto"/>
              <w:jc w:val="center"/>
              <w:rPr>
                <w:sz w:val="21"/>
                <w:szCs w:val="21"/>
                <w:u w:val="none"/>
              </w:rPr>
            </w:pPr>
            <w:r>
              <w:rPr>
                <w:rFonts w:hint="eastAsia"/>
                <w:sz w:val="21"/>
                <w:szCs w:val="21"/>
                <w:u w:val="none"/>
              </w:rPr>
              <w:t>约396户，1200人</w:t>
            </w:r>
          </w:p>
        </w:tc>
        <w:tc>
          <w:tcPr>
            <w:tcW w:w="948" w:type="dxa"/>
            <w:vMerge w:val="continue"/>
            <w:tcBorders>
              <w:tl2br w:val="nil"/>
              <w:tr2bl w:val="nil"/>
            </w:tcBorders>
            <w:vAlign w:val="center"/>
          </w:tcPr>
          <w:p w14:paraId="2D65E69E">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6A39EF97">
            <w:pPr>
              <w:adjustRightInd w:val="0"/>
              <w:snapToGrid w:val="0"/>
              <w:spacing w:line="240" w:lineRule="auto"/>
              <w:jc w:val="center"/>
              <w:rPr>
                <w:sz w:val="21"/>
                <w:szCs w:val="21"/>
                <w:u w:val="none"/>
              </w:rPr>
            </w:pPr>
          </w:p>
        </w:tc>
        <w:tc>
          <w:tcPr>
            <w:tcW w:w="948" w:type="dxa"/>
            <w:tcBorders>
              <w:tl2br w:val="nil"/>
              <w:tr2bl w:val="nil"/>
            </w:tcBorders>
            <w:vAlign w:val="center"/>
          </w:tcPr>
          <w:p w14:paraId="17E7E0F4">
            <w:pPr>
              <w:adjustRightInd w:val="0"/>
              <w:snapToGrid w:val="0"/>
              <w:spacing w:line="240" w:lineRule="auto"/>
              <w:jc w:val="center"/>
              <w:rPr>
                <w:sz w:val="21"/>
                <w:szCs w:val="21"/>
                <w:u w:val="none"/>
              </w:rPr>
            </w:pPr>
            <w:r>
              <w:rPr>
                <w:rFonts w:hint="eastAsia"/>
                <w:sz w:val="21"/>
                <w:szCs w:val="21"/>
                <w:u w:val="none"/>
              </w:rPr>
              <w:t>东侧</w:t>
            </w:r>
          </w:p>
        </w:tc>
        <w:tc>
          <w:tcPr>
            <w:tcW w:w="1095" w:type="dxa"/>
            <w:tcBorders>
              <w:tl2br w:val="nil"/>
              <w:tr2bl w:val="nil"/>
            </w:tcBorders>
            <w:vAlign w:val="center"/>
          </w:tcPr>
          <w:p w14:paraId="29270C23">
            <w:pPr>
              <w:adjustRightInd w:val="0"/>
              <w:snapToGrid w:val="0"/>
              <w:spacing w:line="240" w:lineRule="auto"/>
              <w:jc w:val="center"/>
              <w:rPr>
                <w:sz w:val="21"/>
                <w:szCs w:val="21"/>
                <w:u w:val="none"/>
              </w:rPr>
            </w:pPr>
            <w:r>
              <w:rPr>
                <w:rFonts w:hint="eastAsia"/>
                <w:sz w:val="21"/>
                <w:szCs w:val="21"/>
                <w:u w:val="none"/>
              </w:rPr>
              <w:t>760</w:t>
            </w:r>
            <w:r>
              <w:rPr>
                <w:sz w:val="21"/>
                <w:szCs w:val="21"/>
                <w:u w:val="none"/>
              </w:rPr>
              <w:t>~</w:t>
            </w:r>
            <w:r>
              <w:rPr>
                <w:rFonts w:hint="eastAsia"/>
                <w:sz w:val="21"/>
                <w:szCs w:val="21"/>
                <w:u w:val="none"/>
              </w:rPr>
              <w:t>870</w:t>
            </w:r>
          </w:p>
        </w:tc>
      </w:tr>
      <w:tr w14:paraId="3262C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536E6CA4">
            <w:pPr>
              <w:adjustRightInd w:val="0"/>
              <w:snapToGrid w:val="0"/>
              <w:spacing w:line="240" w:lineRule="auto"/>
              <w:jc w:val="center"/>
              <w:rPr>
                <w:sz w:val="21"/>
                <w:szCs w:val="21"/>
                <w:u w:val="none"/>
              </w:rPr>
            </w:pPr>
            <w:r>
              <w:rPr>
                <w:sz w:val="21"/>
                <w:szCs w:val="21"/>
                <w:u w:val="none"/>
              </w:rPr>
              <w:t>易俗河镇第二中学</w:t>
            </w:r>
          </w:p>
        </w:tc>
        <w:tc>
          <w:tcPr>
            <w:tcW w:w="1360" w:type="dxa"/>
            <w:tcBorders>
              <w:tl2br w:val="nil"/>
              <w:tr2bl w:val="nil"/>
            </w:tcBorders>
            <w:vAlign w:val="center"/>
          </w:tcPr>
          <w:p w14:paraId="5D5D61DA">
            <w:pPr>
              <w:adjustRightInd w:val="0"/>
              <w:snapToGrid w:val="0"/>
              <w:spacing w:line="240" w:lineRule="auto"/>
              <w:jc w:val="center"/>
              <w:rPr>
                <w:sz w:val="21"/>
                <w:szCs w:val="21"/>
                <w:u w:val="none"/>
              </w:rPr>
            </w:pPr>
            <w:r>
              <w:rPr>
                <w:sz w:val="21"/>
                <w:szCs w:val="21"/>
                <w:u w:val="none"/>
              </w:rPr>
              <w:t>112.575957˚</w:t>
            </w:r>
          </w:p>
        </w:tc>
        <w:tc>
          <w:tcPr>
            <w:tcW w:w="1158" w:type="dxa"/>
            <w:tcBorders>
              <w:tl2br w:val="nil"/>
              <w:tr2bl w:val="nil"/>
            </w:tcBorders>
            <w:vAlign w:val="center"/>
          </w:tcPr>
          <w:p w14:paraId="3C1CE4CE">
            <w:pPr>
              <w:adjustRightInd w:val="0"/>
              <w:snapToGrid w:val="0"/>
              <w:spacing w:line="240" w:lineRule="auto"/>
              <w:jc w:val="center"/>
              <w:rPr>
                <w:sz w:val="21"/>
                <w:szCs w:val="21"/>
                <w:u w:val="none"/>
              </w:rPr>
            </w:pPr>
            <w:r>
              <w:rPr>
                <w:sz w:val="21"/>
                <w:szCs w:val="21"/>
                <w:u w:val="none"/>
              </w:rPr>
              <w:t>27.461182˚</w:t>
            </w:r>
          </w:p>
        </w:tc>
        <w:tc>
          <w:tcPr>
            <w:tcW w:w="982" w:type="dxa"/>
            <w:tcBorders>
              <w:tl2br w:val="nil"/>
              <w:tr2bl w:val="nil"/>
            </w:tcBorders>
            <w:vAlign w:val="center"/>
          </w:tcPr>
          <w:p w14:paraId="3F1B48B0">
            <w:pPr>
              <w:adjustRightInd w:val="0"/>
              <w:snapToGrid w:val="0"/>
              <w:spacing w:line="240" w:lineRule="auto"/>
              <w:jc w:val="center"/>
              <w:rPr>
                <w:sz w:val="21"/>
                <w:szCs w:val="21"/>
                <w:u w:val="none"/>
              </w:rPr>
            </w:pPr>
            <w:r>
              <w:rPr>
                <w:rFonts w:hint="eastAsia"/>
                <w:sz w:val="21"/>
                <w:szCs w:val="21"/>
                <w:u w:val="none"/>
              </w:rPr>
              <w:t>师生约1800人</w:t>
            </w:r>
          </w:p>
        </w:tc>
        <w:tc>
          <w:tcPr>
            <w:tcW w:w="948" w:type="dxa"/>
            <w:vMerge w:val="continue"/>
            <w:tcBorders>
              <w:tl2br w:val="nil"/>
              <w:tr2bl w:val="nil"/>
            </w:tcBorders>
            <w:vAlign w:val="center"/>
          </w:tcPr>
          <w:p w14:paraId="699F8716">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544FC934">
            <w:pPr>
              <w:adjustRightInd w:val="0"/>
              <w:snapToGrid w:val="0"/>
              <w:spacing w:line="240" w:lineRule="auto"/>
              <w:jc w:val="center"/>
              <w:rPr>
                <w:sz w:val="21"/>
                <w:szCs w:val="21"/>
                <w:u w:val="none"/>
              </w:rPr>
            </w:pPr>
          </w:p>
        </w:tc>
        <w:tc>
          <w:tcPr>
            <w:tcW w:w="948" w:type="dxa"/>
            <w:tcBorders>
              <w:tl2br w:val="nil"/>
              <w:tr2bl w:val="nil"/>
            </w:tcBorders>
            <w:vAlign w:val="center"/>
          </w:tcPr>
          <w:p w14:paraId="0D6C350D">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7CCF9057">
            <w:pPr>
              <w:adjustRightInd w:val="0"/>
              <w:snapToGrid w:val="0"/>
              <w:spacing w:line="240" w:lineRule="auto"/>
              <w:jc w:val="center"/>
              <w:rPr>
                <w:sz w:val="21"/>
                <w:szCs w:val="21"/>
                <w:u w:val="none"/>
              </w:rPr>
            </w:pPr>
            <w:r>
              <w:rPr>
                <w:rFonts w:hint="eastAsia"/>
                <w:sz w:val="21"/>
                <w:szCs w:val="21"/>
                <w:u w:val="none"/>
              </w:rPr>
              <w:t>640</w:t>
            </w:r>
            <w:r>
              <w:rPr>
                <w:sz w:val="21"/>
                <w:szCs w:val="21"/>
                <w:u w:val="none"/>
              </w:rPr>
              <w:t>~</w:t>
            </w:r>
            <w:r>
              <w:rPr>
                <w:rFonts w:hint="eastAsia"/>
                <w:sz w:val="21"/>
                <w:szCs w:val="21"/>
                <w:u w:val="none"/>
              </w:rPr>
              <w:t>760</w:t>
            </w:r>
          </w:p>
        </w:tc>
      </w:tr>
      <w:tr w14:paraId="5BFDE2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3DC2CFFC">
            <w:pPr>
              <w:adjustRightInd w:val="0"/>
              <w:snapToGrid w:val="0"/>
              <w:spacing w:line="240" w:lineRule="auto"/>
              <w:jc w:val="center"/>
              <w:rPr>
                <w:sz w:val="21"/>
                <w:szCs w:val="21"/>
                <w:u w:val="none"/>
              </w:rPr>
            </w:pPr>
            <w:r>
              <w:rPr>
                <w:sz w:val="21"/>
                <w:szCs w:val="21"/>
                <w:u w:val="none"/>
              </w:rPr>
              <w:t>天易水竹学校</w:t>
            </w:r>
          </w:p>
        </w:tc>
        <w:tc>
          <w:tcPr>
            <w:tcW w:w="1360" w:type="dxa"/>
            <w:tcBorders>
              <w:tl2br w:val="nil"/>
              <w:tr2bl w:val="nil"/>
            </w:tcBorders>
            <w:vAlign w:val="center"/>
          </w:tcPr>
          <w:p w14:paraId="52C2D091">
            <w:pPr>
              <w:adjustRightInd w:val="0"/>
              <w:snapToGrid w:val="0"/>
              <w:spacing w:line="240" w:lineRule="auto"/>
              <w:jc w:val="center"/>
              <w:rPr>
                <w:sz w:val="21"/>
                <w:szCs w:val="21"/>
                <w:u w:val="none"/>
              </w:rPr>
            </w:pPr>
            <w:r>
              <w:rPr>
                <w:sz w:val="21"/>
                <w:szCs w:val="21"/>
                <w:u w:val="none"/>
              </w:rPr>
              <w:t>112.580292˚</w:t>
            </w:r>
          </w:p>
        </w:tc>
        <w:tc>
          <w:tcPr>
            <w:tcW w:w="1158" w:type="dxa"/>
            <w:tcBorders>
              <w:tl2br w:val="nil"/>
              <w:tr2bl w:val="nil"/>
            </w:tcBorders>
            <w:vAlign w:val="center"/>
          </w:tcPr>
          <w:p w14:paraId="766AC100">
            <w:pPr>
              <w:adjustRightInd w:val="0"/>
              <w:snapToGrid w:val="0"/>
              <w:spacing w:line="240" w:lineRule="auto"/>
              <w:jc w:val="center"/>
              <w:rPr>
                <w:sz w:val="21"/>
                <w:szCs w:val="21"/>
                <w:u w:val="none"/>
              </w:rPr>
            </w:pPr>
            <w:r>
              <w:rPr>
                <w:sz w:val="21"/>
                <w:szCs w:val="21"/>
                <w:u w:val="none"/>
              </w:rPr>
              <w:t>27.461305˚</w:t>
            </w:r>
          </w:p>
        </w:tc>
        <w:tc>
          <w:tcPr>
            <w:tcW w:w="982" w:type="dxa"/>
            <w:tcBorders>
              <w:tl2br w:val="nil"/>
              <w:tr2bl w:val="nil"/>
            </w:tcBorders>
            <w:vAlign w:val="center"/>
          </w:tcPr>
          <w:p w14:paraId="0784DACB">
            <w:pPr>
              <w:adjustRightInd w:val="0"/>
              <w:snapToGrid w:val="0"/>
              <w:spacing w:line="240" w:lineRule="auto"/>
              <w:jc w:val="center"/>
              <w:rPr>
                <w:sz w:val="21"/>
                <w:szCs w:val="21"/>
                <w:u w:val="none"/>
              </w:rPr>
            </w:pPr>
            <w:r>
              <w:rPr>
                <w:rFonts w:hint="eastAsia"/>
                <w:sz w:val="21"/>
                <w:szCs w:val="21"/>
                <w:u w:val="none"/>
              </w:rPr>
              <w:t>师生约800人</w:t>
            </w:r>
          </w:p>
        </w:tc>
        <w:tc>
          <w:tcPr>
            <w:tcW w:w="948" w:type="dxa"/>
            <w:vMerge w:val="continue"/>
            <w:tcBorders>
              <w:tl2br w:val="nil"/>
              <w:tr2bl w:val="nil"/>
            </w:tcBorders>
            <w:vAlign w:val="center"/>
          </w:tcPr>
          <w:p w14:paraId="10375690">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4E764D49">
            <w:pPr>
              <w:adjustRightInd w:val="0"/>
              <w:snapToGrid w:val="0"/>
              <w:spacing w:line="240" w:lineRule="auto"/>
              <w:jc w:val="center"/>
              <w:rPr>
                <w:sz w:val="21"/>
                <w:szCs w:val="21"/>
                <w:u w:val="none"/>
              </w:rPr>
            </w:pPr>
          </w:p>
        </w:tc>
        <w:tc>
          <w:tcPr>
            <w:tcW w:w="948" w:type="dxa"/>
            <w:tcBorders>
              <w:tl2br w:val="nil"/>
              <w:tr2bl w:val="nil"/>
            </w:tcBorders>
            <w:vAlign w:val="center"/>
          </w:tcPr>
          <w:p w14:paraId="7CC216AA">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211B9C7A">
            <w:pPr>
              <w:adjustRightInd w:val="0"/>
              <w:snapToGrid w:val="0"/>
              <w:spacing w:line="240" w:lineRule="auto"/>
              <w:jc w:val="center"/>
              <w:rPr>
                <w:sz w:val="21"/>
                <w:szCs w:val="21"/>
                <w:u w:val="none"/>
              </w:rPr>
            </w:pPr>
            <w:r>
              <w:rPr>
                <w:rFonts w:hint="eastAsia"/>
                <w:sz w:val="21"/>
                <w:szCs w:val="21"/>
                <w:u w:val="none"/>
              </w:rPr>
              <w:t>750</w:t>
            </w:r>
            <w:r>
              <w:rPr>
                <w:sz w:val="21"/>
                <w:szCs w:val="21"/>
                <w:u w:val="none"/>
              </w:rPr>
              <w:t>~</w:t>
            </w:r>
            <w:r>
              <w:rPr>
                <w:rFonts w:hint="eastAsia"/>
                <w:sz w:val="21"/>
                <w:szCs w:val="21"/>
                <w:u w:val="none"/>
              </w:rPr>
              <w:t>840</w:t>
            </w:r>
          </w:p>
        </w:tc>
      </w:tr>
      <w:tr w14:paraId="6C375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5306DC94">
            <w:pPr>
              <w:adjustRightInd w:val="0"/>
              <w:snapToGrid w:val="0"/>
              <w:spacing w:line="240" w:lineRule="auto"/>
              <w:jc w:val="center"/>
              <w:rPr>
                <w:sz w:val="21"/>
                <w:szCs w:val="21"/>
                <w:u w:val="none"/>
              </w:rPr>
            </w:pPr>
            <w:r>
              <w:rPr>
                <w:sz w:val="21"/>
                <w:szCs w:val="21"/>
                <w:u w:val="none"/>
              </w:rPr>
              <w:t>水竹安置区</w:t>
            </w:r>
          </w:p>
        </w:tc>
        <w:tc>
          <w:tcPr>
            <w:tcW w:w="1360" w:type="dxa"/>
            <w:tcBorders>
              <w:tl2br w:val="nil"/>
              <w:tr2bl w:val="nil"/>
            </w:tcBorders>
            <w:vAlign w:val="center"/>
          </w:tcPr>
          <w:p w14:paraId="520DD5A0">
            <w:pPr>
              <w:adjustRightInd w:val="0"/>
              <w:snapToGrid w:val="0"/>
              <w:spacing w:line="240" w:lineRule="auto"/>
              <w:jc w:val="center"/>
              <w:rPr>
                <w:sz w:val="21"/>
                <w:szCs w:val="21"/>
                <w:u w:val="none"/>
              </w:rPr>
            </w:pPr>
            <w:r>
              <w:rPr>
                <w:sz w:val="21"/>
                <w:szCs w:val="21"/>
                <w:u w:val="none"/>
              </w:rPr>
              <w:t>112.575855˚</w:t>
            </w:r>
          </w:p>
        </w:tc>
        <w:tc>
          <w:tcPr>
            <w:tcW w:w="1158" w:type="dxa"/>
            <w:tcBorders>
              <w:tl2br w:val="nil"/>
              <w:tr2bl w:val="nil"/>
            </w:tcBorders>
            <w:vAlign w:val="center"/>
          </w:tcPr>
          <w:p w14:paraId="7122F9AE">
            <w:pPr>
              <w:adjustRightInd w:val="0"/>
              <w:snapToGrid w:val="0"/>
              <w:spacing w:line="240" w:lineRule="auto"/>
              <w:jc w:val="center"/>
              <w:rPr>
                <w:sz w:val="21"/>
                <w:szCs w:val="21"/>
                <w:u w:val="none"/>
              </w:rPr>
            </w:pPr>
            <w:r>
              <w:rPr>
                <w:sz w:val="21"/>
                <w:szCs w:val="21"/>
                <w:u w:val="none"/>
              </w:rPr>
              <w:t>27.460288˚</w:t>
            </w:r>
          </w:p>
        </w:tc>
        <w:tc>
          <w:tcPr>
            <w:tcW w:w="982" w:type="dxa"/>
            <w:tcBorders>
              <w:tl2br w:val="nil"/>
              <w:tr2bl w:val="nil"/>
            </w:tcBorders>
            <w:vAlign w:val="center"/>
          </w:tcPr>
          <w:p w14:paraId="23531EC3">
            <w:pPr>
              <w:adjustRightInd w:val="0"/>
              <w:snapToGrid w:val="0"/>
              <w:spacing w:line="240" w:lineRule="auto"/>
              <w:jc w:val="center"/>
              <w:rPr>
                <w:sz w:val="21"/>
                <w:szCs w:val="21"/>
                <w:u w:val="none"/>
              </w:rPr>
            </w:pPr>
            <w:r>
              <w:rPr>
                <w:sz w:val="21"/>
                <w:szCs w:val="21"/>
                <w:u w:val="none"/>
              </w:rPr>
              <w:t>约</w:t>
            </w:r>
            <w:r>
              <w:rPr>
                <w:rFonts w:hint="eastAsia"/>
                <w:sz w:val="21"/>
                <w:szCs w:val="21"/>
                <w:u w:val="none"/>
              </w:rPr>
              <w:t>500</w:t>
            </w:r>
            <w:r>
              <w:rPr>
                <w:sz w:val="21"/>
                <w:szCs w:val="21"/>
                <w:u w:val="none"/>
              </w:rPr>
              <w:t>户</w:t>
            </w:r>
            <w:r>
              <w:rPr>
                <w:rFonts w:hint="eastAsia"/>
                <w:sz w:val="21"/>
                <w:szCs w:val="21"/>
                <w:u w:val="none"/>
              </w:rPr>
              <w:t>，1500人</w:t>
            </w:r>
          </w:p>
        </w:tc>
        <w:tc>
          <w:tcPr>
            <w:tcW w:w="948" w:type="dxa"/>
            <w:vMerge w:val="continue"/>
            <w:tcBorders>
              <w:tl2br w:val="nil"/>
              <w:tr2bl w:val="nil"/>
            </w:tcBorders>
            <w:vAlign w:val="center"/>
          </w:tcPr>
          <w:p w14:paraId="12FDACE3">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08FD7BA2">
            <w:pPr>
              <w:adjustRightInd w:val="0"/>
              <w:snapToGrid w:val="0"/>
              <w:spacing w:line="240" w:lineRule="auto"/>
              <w:jc w:val="center"/>
              <w:rPr>
                <w:sz w:val="21"/>
                <w:szCs w:val="21"/>
                <w:u w:val="none"/>
              </w:rPr>
            </w:pPr>
          </w:p>
        </w:tc>
        <w:tc>
          <w:tcPr>
            <w:tcW w:w="948" w:type="dxa"/>
            <w:tcBorders>
              <w:tl2br w:val="nil"/>
              <w:tr2bl w:val="nil"/>
            </w:tcBorders>
            <w:vAlign w:val="center"/>
          </w:tcPr>
          <w:p w14:paraId="3827A74E">
            <w:pPr>
              <w:adjustRightInd w:val="0"/>
              <w:snapToGrid w:val="0"/>
              <w:spacing w:line="240" w:lineRule="auto"/>
              <w:jc w:val="center"/>
              <w:rPr>
                <w:sz w:val="21"/>
                <w:szCs w:val="21"/>
                <w:u w:val="none"/>
              </w:rPr>
            </w:pPr>
            <w:r>
              <w:rPr>
                <w:rFonts w:hint="eastAsia"/>
                <w:sz w:val="21"/>
                <w:szCs w:val="21"/>
                <w:u w:val="none"/>
              </w:rPr>
              <w:t>东侧</w:t>
            </w:r>
          </w:p>
        </w:tc>
        <w:tc>
          <w:tcPr>
            <w:tcW w:w="1095" w:type="dxa"/>
            <w:tcBorders>
              <w:tl2br w:val="nil"/>
              <w:tr2bl w:val="nil"/>
            </w:tcBorders>
            <w:vAlign w:val="center"/>
          </w:tcPr>
          <w:p w14:paraId="17B9A471">
            <w:pPr>
              <w:adjustRightInd w:val="0"/>
              <w:snapToGrid w:val="0"/>
              <w:spacing w:line="240" w:lineRule="auto"/>
              <w:jc w:val="center"/>
              <w:rPr>
                <w:sz w:val="21"/>
                <w:szCs w:val="21"/>
                <w:u w:val="none"/>
              </w:rPr>
            </w:pPr>
            <w:r>
              <w:rPr>
                <w:rFonts w:hint="eastAsia"/>
                <w:sz w:val="21"/>
                <w:szCs w:val="21"/>
                <w:u w:val="none"/>
              </w:rPr>
              <w:t>550</w:t>
            </w:r>
            <w:r>
              <w:rPr>
                <w:sz w:val="21"/>
                <w:szCs w:val="21"/>
                <w:u w:val="none"/>
              </w:rPr>
              <w:t>~</w:t>
            </w:r>
            <w:r>
              <w:rPr>
                <w:rFonts w:hint="eastAsia"/>
                <w:sz w:val="21"/>
                <w:szCs w:val="21"/>
                <w:u w:val="none"/>
              </w:rPr>
              <w:t>750</w:t>
            </w:r>
          </w:p>
        </w:tc>
      </w:tr>
      <w:tr w14:paraId="450C13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2FD5B835">
            <w:pPr>
              <w:adjustRightInd w:val="0"/>
              <w:snapToGrid w:val="0"/>
              <w:spacing w:line="240" w:lineRule="auto"/>
              <w:jc w:val="center"/>
              <w:rPr>
                <w:sz w:val="21"/>
                <w:szCs w:val="21"/>
                <w:u w:val="none"/>
              </w:rPr>
            </w:pPr>
            <w:r>
              <w:rPr>
                <w:rFonts w:hint="eastAsia"/>
                <w:sz w:val="21"/>
                <w:szCs w:val="21"/>
                <w:u w:val="none"/>
              </w:rPr>
              <w:t>湘潭县行政学校</w:t>
            </w:r>
          </w:p>
        </w:tc>
        <w:tc>
          <w:tcPr>
            <w:tcW w:w="1360" w:type="dxa"/>
            <w:tcBorders>
              <w:tl2br w:val="nil"/>
              <w:tr2bl w:val="nil"/>
            </w:tcBorders>
            <w:vAlign w:val="center"/>
          </w:tcPr>
          <w:p w14:paraId="369096B9">
            <w:pPr>
              <w:adjustRightInd w:val="0"/>
              <w:snapToGrid w:val="0"/>
              <w:spacing w:line="240" w:lineRule="auto"/>
              <w:jc w:val="center"/>
              <w:rPr>
                <w:sz w:val="21"/>
                <w:szCs w:val="21"/>
                <w:u w:val="none"/>
              </w:rPr>
            </w:pPr>
            <w:r>
              <w:rPr>
                <w:sz w:val="21"/>
                <w:szCs w:val="21"/>
                <w:u w:val="none"/>
              </w:rPr>
              <w:t>112.575925˚</w:t>
            </w:r>
          </w:p>
        </w:tc>
        <w:tc>
          <w:tcPr>
            <w:tcW w:w="1158" w:type="dxa"/>
            <w:tcBorders>
              <w:tl2br w:val="nil"/>
              <w:tr2bl w:val="nil"/>
            </w:tcBorders>
            <w:vAlign w:val="center"/>
          </w:tcPr>
          <w:p w14:paraId="670EC716">
            <w:pPr>
              <w:adjustRightInd w:val="0"/>
              <w:snapToGrid w:val="0"/>
              <w:spacing w:line="240" w:lineRule="auto"/>
              <w:jc w:val="center"/>
              <w:rPr>
                <w:sz w:val="21"/>
                <w:szCs w:val="21"/>
                <w:u w:val="none"/>
              </w:rPr>
            </w:pPr>
            <w:r>
              <w:rPr>
                <w:sz w:val="21"/>
                <w:szCs w:val="21"/>
                <w:u w:val="none"/>
              </w:rPr>
              <w:t>27.461852˚</w:t>
            </w:r>
          </w:p>
        </w:tc>
        <w:tc>
          <w:tcPr>
            <w:tcW w:w="982" w:type="dxa"/>
            <w:tcBorders>
              <w:tl2br w:val="nil"/>
              <w:tr2bl w:val="nil"/>
            </w:tcBorders>
            <w:vAlign w:val="center"/>
          </w:tcPr>
          <w:p w14:paraId="10C8319E">
            <w:pPr>
              <w:adjustRightInd w:val="0"/>
              <w:snapToGrid w:val="0"/>
              <w:spacing w:line="240" w:lineRule="auto"/>
              <w:jc w:val="center"/>
              <w:rPr>
                <w:sz w:val="21"/>
                <w:szCs w:val="21"/>
                <w:u w:val="none"/>
              </w:rPr>
            </w:pPr>
            <w:r>
              <w:rPr>
                <w:rFonts w:hint="eastAsia"/>
                <w:sz w:val="21"/>
                <w:szCs w:val="21"/>
                <w:u w:val="none"/>
              </w:rPr>
              <w:t>师生约750人</w:t>
            </w:r>
          </w:p>
        </w:tc>
        <w:tc>
          <w:tcPr>
            <w:tcW w:w="948" w:type="dxa"/>
            <w:vMerge w:val="continue"/>
            <w:tcBorders>
              <w:tl2br w:val="nil"/>
              <w:tr2bl w:val="nil"/>
            </w:tcBorders>
            <w:vAlign w:val="center"/>
          </w:tcPr>
          <w:p w14:paraId="76801722">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29B85D45">
            <w:pPr>
              <w:adjustRightInd w:val="0"/>
              <w:snapToGrid w:val="0"/>
              <w:spacing w:line="240" w:lineRule="auto"/>
              <w:jc w:val="center"/>
              <w:rPr>
                <w:sz w:val="21"/>
                <w:szCs w:val="21"/>
                <w:u w:val="none"/>
              </w:rPr>
            </w:pPr>
          </w:p>
        </w:tc>
        <w:tc>
          <w:tcPr>
            <w:tcW w:w="948" w:type="dxa"/>
            <w:tcBorders>
              <w:tl2br w:val="nil"/>
              <w:tr2bl w:val="nil"/>
            </w:tcBorders>
            <w:vAlign w:val="center"/>
          </w:tcPr>
          <w:p w14:paraId="7C5B1B69">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3118FCE3">
            <w:pPr>
              <w:adjustRightInd w:val="0"/>
              <w:snapToGrid w:val="0"/>
              <w:spacing w:line="240" w:lineRule="auto"/>
              <w:jc w:val="center"/>
              <w:rPr>
                <w:sz w:val="21"/>
                <w:szCs w:val="21"/>
                <w:u w:val="none"/>
              </w:rPr>
            </w:pPr>
            <w:r>
              <w:rPr>
                <w:rFonts w:hint="eastAsia"/>
                <w:sz w:val="21"/>
                <w:szCs w:val="21"/>
                <w:u w:val="none"/>
              </w:rPr>
              <w:t>760</w:t>
            </w:r>
          </w:p>
        </w:tc>
      </w:tr>
      <w:tr w14:paraId="364AF6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B26BACF">
            <w:pPr>
              <w:adjustRightInd w:val="0"/>
              <w:snapToGrid w:val="0"/>
              <w:spacing w:line="240" w:lineRule="auto"/>
              <w:jc w:val="center"/>
              <w:rPr>
                <w:sz w:val="21"/>
                <w:szCs w:val="21"/>
                <w:u w:val="none"/>
              </w:rPr>
            </w:pPr>
            <w:r>
              <w:rPr>
                <w:rFonts w:hint="eastAsia"/>
                <w:sz w:val="21"/>
                <w:szCs w:val="21"/>
                <w:u w:val="none"/>
              </w:rPr>
              <w:t>湘潭县公安局</w:t>
            </w:r>
          </w:p>
        </w:tc>
        <w:tc>
          <w:tcPr>
            <w:tcW w:w="1360" w:type="dxa"/>
            <w:tcBorders>
              <w:tl2br w:val="nil"/>
              <w:tr2bl w:val="nil"/>
            </w:tcBorders>
            <w:vAlign w:val="center"/>
          </w:tcPr>
          <w:p w14:paraId="3F503190">
            <w:pPr>
              <w:adjustRightInd w:val="0"/>
              <w:snapToGrid w:val="0"/>
              <w:spacing w:line="240" w:lineRule="auto"/>
              <w:jc w:val="center"/>
              <w:rPr>
                <w:sz w:val="21"/>
                <w:szCs w:val="21"/>
                <w:u w:val="none"/>
              </w:rPr>
            </w:pPr>
            <w:r>
              <w:rPr>
                <w:sz w:val="21"/>
                <w:szCs w:val="21"/>
                <w:u w:val="none"/>
              </w:rPr>
              <w:t>112.580482˚</w:t>
            </w:r>
          </w:p>
        </w:tc>
        <w:tc>
          <w:tcPr>
            <w:tcW w:w="1158" w:type="dxa"/>
            <w:tcBorders>
              <w:tl2br w:val="nil"/>
              <w:tr2bl w:val="nil"/>
            </w:tcBorders>
            <w:vAlign w:val="center"/>
          </w:tcPr>
          <w:p w14:paraId="531B3A4D">
            <w:pPr>
              <w:adjustRightInd w:val="0"/>
              <w:snapToGrid w:val="0"/>
              <w:spacing w:line="240" w:lineRule="auto"/>
              <w:jc w:val="center"/>
              <w:rPr>
                <w:sz w:val="21"/>
                <w:szCs w:val="21"/>
                <w:u w:val="none"/>
              </w:rPr>
            </w:pPr>
            <w:r>
              <w:rPr>
                <w:sz w:val="21"/>
                <w:szCs w:val="21"/>
                <w:u w:val="none"/>
              </w:rPr>
              <w:t>27.461796˚</w:t>
            </w:r>
          </w:p>
        </w:tc>
        <w:tc>
          <w:tcPr>
            <w:tcW w:w="982" w:type="dxa"/>
            <w:tcBorders>
              <w:tl2br w:val="nil"/>
              <w:tr2bl w:val="nil"/>
            </w:tcBorders>
            <w:vAlign w:val="center"/>
          </w:tcPr>
          <w:p w14:paraId="5995FF71">
            <w:pPr>
              <w:adjustRightInd w:val="0"/>
              <w:snapToGrid w:val="0"/>
              <w:spacing w:line="240" w:lineRule="auto"/>
              <w:jc w:val="center"/>
              <w:rPr>
                <w:sz w:val="21"/>
                <w:szCs w:val="21"/>
                <w:u w:val="none"/>
              </w:rPr>
            </w:pPr>
            <w:r>
              <w:rPr>
                <w:rFonts w:hint="eastAsia"/>
                <w:sz w:val="21"/>
                <w:szCs w:val="21"/>
                <w:u w:val="none"/>
              </w:rPr>
              <w:t>约200人</w:t>
            </w:r>
          </w:p>
        </w:tc>
        <w:tc>
          <w:tcPr>
            <w:tcW w:w="948" w:type="dxa"/>
            <w:vMerge w:val="continue"/>
            <w:tcBorders>
              <w:tl2br w:val="nil"/>
              <w:tr2bl w:val="nil"/>
            </w:tcBorders>
            <w:vAlign w:val="center"/>
          </w:tcPr>
          <w:p w14:paraId="5F451F14">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69D5CEFD">
            <w:pPr>
              <w:adjustRightInd w:val="0"/>
              <w:snapToGrid w:val="0"/>
              <w:spacing w:line="240" w:lineRule="auto"/>
              <w:jc w:val="center"/>
              <w:rPr>
                <w:sz w:val="21"/>
                <w:szCs w:val="21"/>
                <w:u w:val="none"/>
              </w:rPr>
            </w:pPr>
          </w:p>
        </w:tc>
        <w:tc>
          <w:tcPr>
            <w:tcW w:w="948" w:type="dxa"/>
            <w:tcBorders>
              <w:tl2br w:val="nil"/>
              <w:tr2bl w:val="nil"/>
            </w:tcBorders>
            <w:vAlign w:val="center"/>
          </w:tcPr>
          <w:p w14:paraId="017F9F70">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63E01D52">
            <w:pPr>
              <w:adjustRightInd w:val="0"/>
              <w:snapToGrid w:val="0"/>
              <w:spacing w:line="240" w:lineRule="auto"/>
              <w:jc w:val="center"/>
              <w:rPr>
                <w:sz w:val="21"/>
                <w:szCs w:val="21"/>
                <w:u w:val="none"/>
              </w:rPr>
            </w:pPr>
            <w:r>
              <w:rPr>
                <w:rFonts w:hint="eastAsia"/>
                <w:sz w:val="21"/>
                <w:szCs w:val="21"/>
                <w:u w:val="none"/>
              </w:rPr>
              <w:t>890</w:t>
            </w:r>
          </w:p>
        </w:tc>
      </w:tr>
      <w:tr w14:paraId="2D046B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55270ACD">
            <w:pPr>
              <w:adjustRightInd w:val="0"/>
              <w:snapToGrid w:val="0"/>
              <w:spacing w:line="240" w:lineRule="auto"/>
              <w:jc w:val="center"/>
              <w:rPr>
                <w:sz w:val="21"/>
                <w:szCs w:val="21"/>
                <w:u w:val="none"/>
              </w:rPr>
            </w:pPr>
            <w:r>
              <w:rPr>
                <w:rFonts w:hint="eastAsia"/>
                <w:sz w:val="21"/>
                <w:szCs w:val="21"/>
                <w:u w:val="none"/>
              </w:rPr>
              <w:t>学府雅苑</w:t>
            </w:r>
          </w:p>
        </w:tc>
        <w:tc>
          <w:tcPr>
            <w:tcW w:w="1360" w:type="dxa"/>
            <w:tcBorders>
              <w:tl2br w:val="nil"/>
              <w:tr2bl w:val="nil"/>
            </w:tcBorders>
            <w:vAlign w:val="center"/>
          </w:tcPr>
          <w:p w14:paraId="470F61C8">
            <w:pPr>
              <w:adjustRightInd w:val="0"/>
              <w:snapToGrid w:val="0"/>
              <w:spacing w:line="240" w:lineRule="auto"/>
              <w:jc w:val="center"/>
              <w:rPr>
                <w:sz w:val="21"/>
                <w:szCs w:val="21"/>
                <w:u w:val="none"/>
              </w:rPr>
            </w:pPr>
            <w:r>
              <w:rPr>
                <w:sz w:val="21"/>
                <w:szCs w:val="21"/>
                <w:u w:val="none"/>
              </w:rPr>
              <w:t>112.580107˚</w:t>
            </w:r>
          </w:p>
        </w:tc>
        <w:tc>
          <w:tcPr>
            <w:tcW w:w="1158" w:type="dxa"/>
            <w:tcBorders>
              <w:tl2br w:val="nil"/>
              <w:tr2bl w:val="nil"/>
            </w:tcBorders>
            <w:vAlign w:val="center"/>
          </w:tcPr>
          <w:p w14:paraId="270C4B8D">
            <w:pPr>
              <w:adjustRightInd w:val="0"/>
              <w:snapToGrid w:val="0"/>
              <w:spacing w:line="240" w:lineRule="auto"/>
              <w:jc w:val="center"/>
              <w:rPr>
                <w:sz w:val="21"/>
                <w:szCs w:val="21"/>
                <w:u w:val="none"/>
              </w:rPr>
            </w:pPr>
            <w:r>
              <w:rPr>
                <w:sz w:val="21"/>
                <w:szCs w:val="21"/>
                <w:u w:val="none"/>
              </w:rPr>
              <w:t>27.462866˚</w:t>
            </w:r>
          </w:p>
        </w:tc>
        <w:tc>
          <w:tcPr>
            <w:tcW w:w="982" w:type="dxa"/>
            <w:tcBorders>
              <w:tl2br w:val="nil"/>
              <w:tr2bl w:val="nil"/>
            </w:tcBorders>
            <w:vAlign w:val="center"/>
          </w:tcPr>
          <w:p w14:paraId="37EDD125">
            <w:pPr>
              <w:adjustRightInd w:val="0"/>
              <w:snapToGrid w:val="0"/>
              <w:spacing w:line="240" w:lineRule="auto"/>
              <w:jc w:val="center"/>
              <w:rPr>
                <w:sz w:val="21"/>
                <w:szCs w:val="21"/>
                <w:u w:val="none"/>
              </w:rPr>
            </w:pPr>
            <w:r>
              <w:rPr>
                <w:rFonts w:hint="eastAsia"/>
                <w:sz w:val="21"/>
                <w:szCs w:val="21"/>
                <w:u w:val="none"/>
              </w:rPr>
              <w:t>约250户，1000</w:t>
            </w:r>
          </w:p>
          <w:p w14:paraId="4328BB61">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745627C2">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1A8287F0">
            <w:pPr>
              <w:adjustRightInd w:val="0"/>
              <w:snapToGrid w:val="0"/>
              <w:spacing w:line="240" w:lineRule="auto"/>
              <w:jc w:val="center"/>
              <w:rPr>
                <w:sz w:val="21"/>
                <w:szCs w:val="21"/>
                <w:u w:val="none"/>
              </w:rPr>
            </w:pPr>
          </w:p>
        </w:tc>
        <w:tc>
          <w:tcPr>
            <w:tcW w:w="948" w:type="dxa"/>
            <w:tcBorders>
              <w:tl2br w:val="nil"/>
              <w:tr2bl w:val="nil"/>
            </w:tcBorders>
            <w:vAlign w:val="center"/>
          </w:tcPr>
          <w:p w14:paraId="346242C4">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10381F34">
            <w:pPr>
              <w:adjustRightInd w:val="0"/>
              <w:snapToGrid w:val="0"/>
              <w:spacing w:line="240" w:lineRule="auto"/>
              <w:jc w:val="center"/>
              <w:rPr>
                <w:sz w:val="21"/>
                <w:szCs w:val="21"/>
                <w:u w:val="none"/>
              </w:rPr>
            </w:pPr>
            <w:r>
              <w:rPr>
                <w:rFonts w:hint="eastAsia"/>
                <w:sz w:val="21"/>
                <w:szCs w:val="21"/>
                <w:u w:val="none"/>
              </w:rPr>
              <w:t>800</w:t>
            </w:r>
            <w:r>
              <w:rPr>
                <w:sz w:val="21"/>
                <w:szCs w:val="21"/>
                <w:u w:val="none"/>
              </w:rPr>
              <w:t>~</w:t>
            </w:r>
            <w:r>
              <w:rPr>
                <w:rFonts w:hint="eastAsia"/>
                <w:sz w:val="21"/>
                <w:szCs w:val="21"/>
                <w:u w:val="none"/>
              </w:rPr>
              <w:t>1200</w:t>
            </w:r>
          </w:p>
        </w:tc>
      </w:tr>
      <w:tr w14:paraId="330569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2D956137">
            <w:pPr>
              <w:adjustRightInd w:val="0"/>
              <w:snapToGrid w:val="0"/>
              <w:spacing w:line="240" w:lineRule="auto"/>
              <w:jc w:val="center"/>
              <w:rPr>
                <w:sz w:val="21"/>
                <w:szCs w:val="21"/>
                <w:u w:val="none"/>
              </w:rPr>
            </w:pPr>
            <w:r>
              <w:rPr>
                <w:rFonts w:hint="eastAsia"/>
                <w:sz w:val="21"/>
                <w:szCs w:val="21"/>
                <w:u w:val="none"/>
              </w:rPr>
              <w:t>天一家园</w:t>
            </w:r>
          </w:p>
        </w:tc>
        <w:tc>
          <w:tcPr>
            <w:tcW w:w="1360" w:type="dxa"/>
            <w:tcBorders>
              <w:tl2br w:val="nil"/>
              <w:tr2bl w:val="nil"/>
            </w:tcBorders>
            <w:vAlign w:val="center"/>
          </w:tcPr>
          <w:p w14:paraId="1DBA70E4">
            <w:pPr>
              <w:adjustRightInd w:val="0"/>
              <w:snapToGrid w:val="0"/>
              <w:spacing w:line="240" w:lineRule="auto"/>
              <w:jc w:val="center"/>
              <w:rPr>
                <w:sz w:val="21"/>
                <w:szCs w:val="21"/>
                <w:u w:val="none"/>
              </w:rPr>
            </w:pPr>
            <w:r>
              <w:rPr>
                <w:sz w:val="21"/>
                <w:szCs w:val="21"/>
                <w:u w:val="none"/>
              </w:rPr>
              <w:t>112.574871˚</w:t>
            </w:r>
          </w:p>
        </w:tc>
        <w:tc>
          <w:tcPr>
            <w:tcW w:w="1158" w:type="dxa"/>
            <w:tcBorders>
              <w:tl2br w:val="nil"/>
              <w:tr2bl w:val="nil"/>
            </w:tcBorders>
            <w:vAlign w:val="center"/>
          </w:tcPr>
          <w:p w14:paraId="3FCFD742">
            <w:pPr>
              <w:adjustRightInd w:val="0"/>
              <w:snapToGrid w:val="0"/>
              <w:spacing w:line="240" w:lineRule="auto"/>
              <w:jc w:val="center"/>
              <w:rPr>
                <w:sz w:val="21"/>
                <w:szCs w:val="21"/>
                <w:u w:val="none"/>
              </w:rPr>
            </w:pPr>
            <w:r>
              <w:rPr>
                <w:sz w:val="21"/>
                <w:szCs w:val="21"/>
                <w:u w:val="none"/>
              </w:rPr>
              <w:t>27.463728˚</w:t>
            </w:r>
          </w:p>
        </w:tc>
        <w:tc>
          <w:tcPr>
            <w:tcW w:w="982" w:type="dxa"/>
            <w:tcBorders>
              <w:tl2br w:val="nil"/>
              <w:tr2bl w:val="nil"/>
            </w:tcBorders>
            <w:vAlign w:val="center"/>
          </w:tcPr>
          <w:p w14:paraId="1DF7925A">
            <w:pPr>
              <w:adjustRightInd w:val="0"/>
              <w:snapToGrid w:val="0"/>
              <w:spacing w:line="240" w:lineRule="auto"/>
              <w:jc w:val="center"/>
              <w:rPr>
                <w:sz w:val="21"/>
                <w:szCs w:val="21"/>
                <w:u w:val="none"/>
              </w:rPr>
            </w:pPr>
            <w:r>
              <w:rPr>
                <w:rFonts w:hint="eastAsia"/>
                <w:sz w:val="21"/>
                <w:szCs w:val="21"/>
                <w:u w:val="none"/>
              </w:rPr>
              <w:t>约160户，640</w:t>
            </w:r>
          </w:p>
          <w:p w14:paraId="24BA8554">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1C89626F">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3430E5E5">
            <w:pPr>
              <w:adjustRightInd w:val="0"/>
              <w:snapToGrid w:val="0"/>
              <w:spacing w:line="240" w:lineRule="auto"/>
              <w:jc w:val="center"/>
              <w:rPr>
                <w:sz w:val="21"/>
                <w:szCs w:val="21"/>
                <w:u w:val="none"/>
              </w:rPr>
            </w:pPr>
          </w:p>
        </w:tc>
        <w:tc>
          <w:tcPr>
            <w:tcW w:w="948" w:type="dxa"/>
            <w:tcBorders>
              <w:tl2br w:val="nil"/>
              <w:tr2bl w:val="nil"/>
            </w:tcBorders>
            <w:vAlign w:val="center"/>
          </w:tcPr>
          <w:p w14:paraId="36CD4F07">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58B147B9">
            <w:pPr>
              <w:adjustRightInd w:val="0"/>
              <w:snapToGrid w:val="0"/>
              <w:spacing w:line="240" w:lineRule="auto"/>
              <w:jc w:val="center"/>
              <w:rPr>
                <w:sz w:val="21"/>
                <w:szCs w:val="21"/>
                <w:u w:val="none"/>
              </w:rPr>
            </w:pPr>
            <w:r>
              <w:rPr>
                <w:rFonts w:hint="eastAsia"/>
                <w:sz w:val="21"/>
                <w:szCs w:val="21"/>
                <w:u w:val="none"/>
              </w:rPr>
              <w:t>1000</w:t>
            </w:r>
            <w:r>
              <w:rPr>
                <w:sz w:val="21"/>
                <w:szCs w:val="21"/>
                <w:u w:val="none"/>
              </w:rPr>
              <w:t>~</w:t>
            </w:r>
            <w:r>
              <w:rPr>
                <w:rFonts w:hint="eastAsia"/>
                <w:sz w:val="21"/>
                <w:szCs w:val="21"/>
                <w:u w:val="none"/>
              </w:rPr>
              <w:t>1200</w:t>
            </w:r>
          </w:p>
        </w:tc>
      </w:tr>
      <w:tr w14:paraId="3A9A1E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29A4F0D8">
            <w:pPr>
              <w:adjustRightInd w:val="0"/>
              <w:snapToGrid w:val="0"/>
              <w:spacing w:line="240" w:lineRule="auto"/>
              <w:jc w:val="center"/>
              <w:rPr>
                <w:sz w:val="21"/>
                <w:szCs w:val="21"/>
                <w:u w:val="none"/>
              </w:rPr>
            </w:pPr>
            <w:r>
              <w:rPr>
                <w:rFonts w:hint="eastAsia"/>
                <w:sz w:val="21"/>
                <w:szCs w:val="21"/>
                <w:u w:val="none"/>
              </w:rPr>
              <w:t>长通名城</w:t>
            </w:r>
          </w:p>
        </w:tc>
        <w:tc>
          <w:tcPr>
            <w:tcW w:w="1360" w:type="dxa"/>
            <w:tcBorders>
              <w:tl2br w:val="nil"/>
              <w:tr2bl w:val="nil"/>
            </w:tcBorders>
            <w:vAlign w:val="center"/>
          </w:tcPr>
          <w:p w14:paraId="20431F7F">
            <w:pPr>
              <w:adjustRightInd w:val="0"/>
              <w:snapToGrid w:val="0"/>
              <w:spacing w:line="240" w:lineRule="auto"/>
              <w:jc w:val="center"/>
              <w:rPr>
                <w:sz w:val="21"/>
                <w:szCs w:val="21"/>
                <w:u w:val="none"/>
              </w:rPr>
            </w:pPr>
            <w:r>
              <w:rPr>
                <w:sz w:val="21"/>
                <w:szCs w:val="21"/>
                <w:u w:val="none"/>
              </w:rPr>
              <w:t>112.574871˚</w:t>
            </w:r>
          </w:p>
        </w:tc>
        <w:tc>
          <w:tcPr>
            <w:tcW w:w="1158" w:type="dxa"/>
            <w:tcBorders>
              <w:tl2br w:val="nil"/>
              <w:tr2bl w:val="nil"/>
            </w:tcBorders>
            <w:vAlign w:val="center"/>
          </w:tcPr>
          <w:p w14:paraId="6E43B92F">
            <w:pPr>
              <w:adjustRightInd w:val="0"/>
              <w:snapToGrid w:val="0"/>
              <w:spacing w:line="240" w:lineRule="auto"/>
              <w:jc w:val="center"/>
              <w:rPr>
                <w:sz w:val="21"/>
                <w:szCs w:val="21"/>
                <w:u w:val="none"/>
              </w:rPr>
            </w:pPr>
            <w:r>
              <w:rPr>
                <w:sz w:val="21"/>
                <w:szCs w:val="21"/>
                <w:u w:val="none"/>
              </w:rPr>
              <w:t>27.464492˚</w:t>
            </w:r>
          </w:p>
        </w:tc>
        <w:tc>
          <w:tcPr>
            <w:tcW w:w="982" w:type="dxa"/>
            <w:tcBorders>
              <w:tl2br w:val="nil"/>
              <w:tr2bl w:val="nil"/>
            </w:tcBorders>
            <w:vAlign w:val="center"/>
          </w:tcPr>
          <w:p w14:paraId="16141765">
            <w:pPr>
              <w:adjustRightInd w:val="0"/>
              <w:snapToGrid w:val="0"/>
              <w:spacing w:line="240" w:lineRule="auto"/>
              <w:jc w:val="center"/>
              <w:rPr>
                <w:sz w:val="21"/>
                <w:szCs w:val="21"/>
                <w:u w:val="none"/>
              </w:rPr>
            </w:pPr>
            <w:r>
              <w:rPr>
                <w:rFonts w:hint="eastAsia"/>
                <w:sz w:val="21"/>
                <w:szCs w:val="21"/>
                <w:u w:val="none"/>
              </w:rPr>
              <w:t>约180户，720</w:t>
            </w:r>
          </w:p>
          <w:p w14:paraId="58D77631">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2195ABB8">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639B24EA">
            <w:pPr>
              <w:adjustRightInd w:val="0"/>
              <w:snapToGrid w:val="0"/>
              <w:spacing w:line="240" w:lineRule="auto"/>
              <w:jc w:val="center"/>
              <w:rPr>
                <w:sz w:val="21"/>
                <w:szCs w:val="21"/>
                <w:u w:val="none"/>
              </w:rPr>
            </w:pPr>
          </w:p>
        </w:tc>
        <w:tc>
          <w:tcPr>
            <w:tcW w:w="948" w:type="dxa"/>
            <w:tcBorders>
              <w:tl2br w:val="nil"/>
              <w:tr2bl w:val="nil"/>
            </w:tcBorders>
            <w:vAlign w:val="center"/>
          </w:tcPr>
          <w:p w14:paraId="6BDC02BA">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170A7029">
            <w:pPr>
              <w:adjustRightInd w:val="0"/>
              <w:snapToGrid w:val="0"/>
              <w:spacing w:line="240" w:lineRule="auto"/>
              <w:jc w:val="center"/>
              <w:rPr>
                <w:sz w:val="21"/>
                <w:szCs w:val="21"/>
                <w:u w:val="none"/>
              </w:rPr>
            </w:pPr>
            <w:r>
              <w:rPr>
                <w:rFonts w:hint="eastAsia"/>
                <w:sz w:val="21"/>
                <w:szCs w:val="21"/>
                <w:u w:val="none"/>
              </w:rPr>
              <w:t>1200</w:t>
            </w:r>
            <w:r>
              <w:rPr>
                <w:sz w:val="21"/>
                <w:szCs w:val="21"/>
                <w:u w:val="none"/>
              </w:rPr>
              <w:t>~</w:t>
            </w:r>
            <w:r>
              <w:rPr>
                <w:rFonts w:hint="eastAsia"/>
                <w:sz w:val="21"/>
                <w:szCs w:val="21"/>
                <w:u w:val="none"/>
              </w:rPr>
              <w:t>1400</w:t>
            </w:r>
          </w:p>
        </w:tc>
      </w:tr>
      <w:tr w14:paraId="214A0B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D9C4BBC">
            <w:pPr>
              <w:adjustRightInd w:val="0"/>
              <w:snapToGrid w:val="0"/>
              <w:spacing w:line="240" w:lineRule="auto"/>
              <w:jc w:val="center"/>
              <w:rPr>
                <w:sz w:val="21"/>
                <w:szCs w:val="21"/>
                <w:u w:val="none"/>
              </w:rPr>
            </w:pPr>
            <w:r>
              <w:rPr>
                <w:rFonts w:hint="eastAsia"/>
                <w:sz w:val="21"/>
                <w:szCs w:val="21"/>
                <w:u w:val="none"/>
              </w:rPr>
              <w:t>湘潭碧桂园</w:t>
            </w:r>
          </w:p>
        </w:tc>
        <w:tc>
          <w:tcPr>
            <w:tcW w:w="1360" w:type="dxa"/>
            <w:tcBorders>
              <w:tl2br w:val="nil"/>
              <w:tr2bl w:val="nil"/>
            </w:tcBorders>
            <w:vAlign w:val="center"/>
          </w:tcPr>
          <w:p w14:paraId="1260F846">
            <w:pPr>
              <w:adjustRightInd w:val="0"/>
              <w:snapToGrid w:val="0"/>
              <w:spacing w:line="240" w:lineRule="auto"/>
              <w:jc w:val="center"/>
              <w:rPr>
                <w:sz w:val="21"/>
                <w:szCs w:val="21"/>
                <w:u w:val="none"/>
              </w:rPr>
            </w:pPr>
            <w:r>
              <w:rPr>
                <w:sz w:val="21"/>
                <w:szCs w:val="21"/>
                <w:u w:val="none"/>
              </w:rPr>
              <w:t>112.583429˚</w:t>
            </w:r>
          </w:p>
        </w:tc>
        <w:tc>
          <w:tcPr>
            <w:tcW w:w="1158" w:type="dxa"/>
            <w:tcBorders>
              <w:tl2br w:val="nil"/>
              <w:tr2bl w:val="nil"/>
            </w:tcBorders>
            <w:vAlign w:val="center"/>
          </w:tcPr>
          <w:p w14:paraId="6128F05C">
            <w:pPr>
              <w:adjustRightInd w:val="0"/>
              <w:snapToGrid w:val="0"/>
              <w:spacing w:line="240" w:lineRule="auto"/>
              <w:jc w:val="center"/>
              <w:rPr>
                <w:sz w:val="21"/>
                <w:szCs w:val="21"/>
                <w:u w:val="none"/>
              </w:rPr>
            </w:pPr>
            <w:r>
              <w:rPr>
                <w:sz w:val="21"/>
                <w:szCs w:val="21"/>
                <w:u w:val="none"/>
              </w:rPr>
              <w:t>27.465010˚</w:t>
            </w:r>
          </w:p>
        </w:tc>
        <w:tc>
          <w:tcPr>
            <w:tcW w:w="982" w:type="dxa"/>
            <w:tcBorders>
              <w:tl2br w:val="nil"/>
              <w:tr2bl w:val="nil"/>
            </w:tcBorders>
            <w:vAlign w:val="center"/>
          </w:tcPr>
          <w:p w14:paraId="759C7C64">
            <w:pPr>
              <w:adjustRightInd w:val="0"/>
              <w:snapToGrid w:val="0"/>
              <w:spacing w:line="240" w:lineRule="auto"/>
              <w:jc w:val="center"/>
              <w:rPr>
                <w:sz w:val="21"/>
                <w:szCs w:val="21"/>
                <w:u w:val="none"/>
              </w:rPr>
            </w:pPr>
            <w:r>
              <w:rPr>
                <w:rFonts w:hint="eastAsia"/>
                <w:sz w:val="21"/>
                <w:szCs w:val="21"/>
                <w:u w:val="none"/>
              </w:rPr>
              <w:t>约1200户，3600</w:t>
            </w:r>
          </w:p>
          <w:p w14:paraId="5A44B2F6">
            <w:pPr>
              <w:adjustRightInd w:val="0"/>
              <w:snapToGrid w:val="0"/>
              <w:spacing w:line="240" w:lineRule="auto"/>
              <w:jc w:val="center"/>
              <w:rPr>
                <w:sz w:val="21"/>
                <w:szCs w:val="21"/>
                <w:u w:val="none"/>
              </w:rPr>
            </w:pPr>
            <w:r>
              <w:rPr>
                <w:rFonts w:hint="eastAsia"/>
                <w:sz w:val="21"/>
                <w:szCs w:val="21"/>
                <w:u w:val="none"/>
              </w:rPr>
              <w:t>人</w:t>
            </w:r>
          </w:p>
        </w:tc>
        <w:tc>
          <w:tcPr>
            <w:tcW w:w="948" w:type="dxa"/>
            <w:vMerge w:val="continue"/>
            <w:tcBorders>
              <w:tl2br w:val="nil"/>
              <w:tr2bl w:val="nil"/>
            </w:tcBorders>
            <w:vAlign w:val="center"/>
          </w:tcPr>
          <w:p w14:paraId="2DA0069B">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709BA35C">
            <w:pPr>
              <w:adjustRightInd w:val="0"/>
              <w:snapToGrid w:val="0"/>
              <w:spacing w:line="240" w:lineRule="auto"/>
              <w:jc w:val="center"/>
              <w:rPr>
                <w:sz w:val="21"/>
                <w:szCs w:val="21"/>
                <w:u w:val="none"/>
              </w:rPr>
            </w:pPr>
          </w:p>
        </w:tc>
        <w:tc>
          <w:tcPr>
            <w:tcW w:w="948" w:type="dxa"/>
            <w:tcBorders>
              <w:tl2br w:val="nil"/>
              <w:tr2bl w:val="nil"/>
            </w:tcBorders>
            <w:vAlign w:val="center"/>
          </w:tcPr>
          <w:p w14:paraId="1138D4A1">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76E9C09A">
            <w:pPr>
              <w:adjustRightInd w:val="0"/>
              <w:snapToGrid w:val="0"/>
              <w:spacing w:line="240" w:lineRule="auto"/>
              <w:jc w:val="center"/>
              <w:rPr>
                <w:sz w:val="21"/>
                <w:szCs w:val="21"/>
                <w:u w:val="none"/>
              </w:rPr>
            </w:pPr>
            <w:r>
              <w:rPr>
                <w:rFonts w:hint="eastAsia"/>
                <w:sz w:val="21"/>
                <w:szCs w:val="21"/>
                <w:u w:val="none"/>
              </w:rPr>
              <w:t>1600</w:t>
            </w:r>
            <w:r>
              <w:rPr>
                <w:sz w:val="21"/>
                <w:szCs w:val="21"/>
                <w:u w:val="none"/>
              </w:rPr>
              <w:t>~</w:t>
            </w:r>
            <w:r>
              <w:rPr>
                <w:rFonts w:hint="eastAsia"/>
                <w:sz w:val="21"/>
                <w:szCs w:val="21"/>
                <w:u w:val="none"/>
              </w:rPr>
              <w:t>2600</w:t>
            </w:r>
          </w:p>
        </w:tc>
      </w:tr>
      <w:tr w14:paraId="79CEDD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4BC8136C">
            <w:pPr>
              <w:adjustRightInd w:val="0"/>
              <w:snapToGrid w:val="0"/>
              <w:spacing w:line="240" w:lineRule="auto"/>
              <w:jc w:val="center"/>
              <w:rPr>
                <w:sz w:val="21"/>
                <w:szCs w:val="21"/>
                <w:u w:val="none"/>
              </w:rPr>
            </w:pPr>
            <w:r>
              <w:rPr>
                <w:rFonts w:hint="eastAsia"/>
                <w:sz w:val="21"/>
                <w:szCs w:val="21"/>
                <w:u w:val="none"/>
              </w:rPr>
              <w:t>东北侧湘潭县居民居住集中区</w:t>
            </w:r>
          </w:p>
        </w:tc>
        <w:tc>
          <w:tcPr>
            <w:tcW w:w="1360" w:type="dxa"/>
            <w:tcBorders>
              <w:tl2br w:val="nil"/>
              <w:tr2bl w:val="nil"/>
            </w:tcBorders>
            <w:vAlign w:val="center"/>
          </w:tcPr>
          <w:p w14:paraId="6CB78110">
            <w:pPr>
              <w:adjustRightInd w:val="0"/>
              <w:snapToGrid w:val="0"/>
              <w:spacing w:line="240" w:lineRule="auto"/>
              <w:jc w:val="center"/>
              <w:rPr>
                <w:sz w:val="21"/>
                <w:szCs w:val="21"/>
                <w:u w:val="none"/>
              </w:rPr>
            </w:pPr>
            <w:r>
              <w:rPr>
                <w:sz w:val="21"/>
                <w:szCs w:val="21"/>
                <w:u w:val="none"/>
              </w:rPr>
              <w:t>112.580478˚</w:t>
            </w:r>
          </w:p>
        </w:tc>
        <w:tc>
          <w:tcPr>
            <w:tcW w:w="1158" w:type="dxa"/>
            <w:tcBorders>
              <w:tl2br w:val="nil"/>
              <w:tr2bl w:val="nil"/>
            </w:tcBorders>
            <w:vAlign w:val="center"/>
          </w:tcPr>
          <w:p w14:paraId="71076D83">
            <w:pPr>
              <w:adjustRightInd w:val="0"/>
              <w:snapToGrid w:val="0"/>
              <w:spacing w:line="240" w:lineRule="auto"/>
              <w:jc w:val="center"/>
              <w:rPr>
                <w:sz w:val="21"/>
                <w:szCs w:val="21"/>
                <w:u w:val="none"/>
              </w:rPr>
            </w:pPr>
            <w:r>
              <w:rPr>
                <w:sz w:val="21"/>
                <w:szCs w:val="21"/>
                <w:u w:val="none"/>
              </w:rPr>
              <w:t>27.470408˚</w:t>
            </w:r>
          </w:p>
        </w:tc>
        <w:tc>
          <w:tcPr>
            <w:tcW w:w="982" w:type="dxa"/>
            <w:tcBorders>
              <w:tl2br w:val="nil"/>
              <w:tr2bl w:val="nil"/>
            </w:tcBorders>
            <w:vAlign w:val="center"/>
          </w:tcPr>
          <w:p w14:paraId="5CFDC8B1">
            <w:pPr>
              <w:adjustRightInd w:val="0"/>
              <w:snapToGrid w:val="0"/>
              <w:spacing w:line="240" w:lineRule="auto"/>
              <w:jc w:val="center"/>
              <w:rPr>
                <w:sz w:val="21"/>
                <w:szCs w:val="21"/>
                <w:u w:val="none"/>
              </w:rPr>
            </w:pPr>
            <w:r>
              <w:rPr>
                <w:rFonts w:hint="eastAsia"/>
                <w:sz w:val="21"/>
                <w:szCs w:val="21"/>
                <w:u w:val="none"/>
              </w:rPr>
              <w:t>约5000人</w:t>
            </w:r>
          </w:p>
        </w:tc>
        <w:tc>
          <w:tcPr>
            <w:tcW w:w="948" w:type="dxa"/>
            <w:vMerge w:val="continue"/>
            <w:tcBorders>
              <w:tl2br w:val="nil"/>
              <w:tr2bl w:val="nil"/>
            </w:tcBorders>
            <w:vAlign w:val="center"/>
          </w:tcPr>
          <w:p w14:paraId="7FEA69C0">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779E1FD1">
            <w:pPr>
              <w:adjustRightInd w:val="0"/>
              <w:snapToGrid w:val="0"/>
              <w:spacing w:line="240" w:lineRule="auto"/>
              <w:jc w:val="center"/>
              <w:rPr>
                <w:sz w:val="21"/>
                <w:szCs w:val="21"/>
                <w:u w:val="none"/>
              </w:rPr>
            </w:pPr>
          </w:p>
        </w:tc>
        <w:tc>
          <w:tcPr>
            <w:tcW w:w="948" w:type="dxa"/>
            <w:tcBorders>
              <w:tl2br w:val="nil"/>
              <w:tr2bl w:val="nil"/>
            </w:tcBorders>
            <w:vAlign w:val="center"/>
          </w:tcPr>
          <w:p w14:paraId="7ED43551">
            <w:pPr>
              <w:adjustRightInd w:val="0"/>
              <w:snapToGrid w:val="0"/>
              <w:spacing w:line="240" w:lineRule="auto"/>
              <w:jc w:val="center"/>
              <w:rPr>
                <w:sz w:val="21"/>
                <w:szCs w:val="21"/>
                <w:u w:val="none"/>
              </w:rPr>
            </w:pPr>
            <w:r>
              <w:rPr>
                <w:rFonts w:hint="eastAsia"/>
                <w:sz w:val="21"/>
                <w:szCs w:val="21"/>
                <w:u w:val="none"/>
              </w:rPr>
              <w:t>东北侧</w:t>
            </w:r>
          </w:p>
        </w:tc>
        <w:tc>
          <w:tcPr>
            <w:tcW w:w="1095" w:type="dxa"/>
            <w:tcBorders>
              <w:tl2br w:val="nil"/>
              <w:tr2bl w:val="nil"/>
            </w:tcBorders>
            <w:vAlign w:val="center"/>
          </w:tcPr>
          <w:p w14:paraId="73132F2A">
            <w:pPr>
              <w:adjustRightInd w:val="0"/>
              <w:snapToGrid w:val="0"/>
              <w:spacing w:line="240" w:lineRule="auto"/>
              <w:jc w:val="center"/>
              <w:rPr>
                <w:sz w:val="21"/>
                <w:szCs w:val="21"/>
                <w:u w:val="none"/>
              </w:rPr>
            </w:pPr>
            <w:r>
              <w:rPr>
                <w:rFonts w:hint="eastAsia"/>
                <w:sz w:val="21"/>
                <w:szCs w:val="21"/>
                <w:u w:val="none"/>
              </w:rPr>
              <w:t>1700</w:t>
            </w:r>
            <w:r>
              <w:rPr>
                <w:sz w:val="21"/>
                <w:szCs w:val="21"/>
                <w:u w:val="none"/>
              </w:rPr>
              <w:t>~</w:t>
            </w:r>
            <w:r>
              <w:rPr>
                <w:rFonts w:hint="eastAsia"/>
                <w:sz w:val="21"/>
                <w:szCs w:val="21"/>
                <w:u w:val="none"/>
              </w:rPr>
              <w:t>2600</w:t>
            </w:r>
          </w:p>
        </w:tc>
      </w:tr>
      <w:tr w14:paraId="61914E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2A783DF0">
            <w:pPr>
              <w:adjustRightInd w:val="0"/>
              <w:snapToGrid w:val="0"/>
              <w:spacing w:line="240" w:lineRule="auto"/>
              <w:jc w:val="center"/>
              <w:rPr>
                <w:sz w:val="21"/>
                <w:szCs w:val="21"/>
                <w:u w:val="none"/>
              </w:rPr>
            </w:pPr>
            <w:r>
              <w:rPr>
                <w:rFonts w:hint="eastAsia"/>
                <w:sz w:val="21"/>
                <w:szCs w:val="21"/>
                <w:u w:val="none"/>
              </w:rPr>
              <w:t>西北侧湘潭县居民居住集中区</w:t>
            </w:r>
          </w:p>
        </w:tc>
        <w:tc>
          <w:tcPr>
            <w:tcW w:w="1360" w:type="dxa"/>
            <w:tcBorders>
              <w:tl2br w:val="nil"/>
              <w:tr2bl w:val="nil"/>
            </w:tcBorders>
            <w:vAlign w:val="center"/>
          </w:tcPr>
          <w:p w14:paraId="2E602FB5">
            <w:pPr>
              <w:adjustRightInd w:val="0"/>
              <w:snapToGrid w:val="0"/>
              <w:spacing w:line="240" w:lineRule="auto"/>
              <w:jc w:val="center"/>
              <w:rPr>
                <w:sz w:val="21"/>
                <w:szCs w:val="21"/>
                <w:u w:val="none"/>
              </w:rPr>
            </w:pPr>
            <w:r>
              <w:rPr>
                <w:sz w:val="21"/>
                <w:szCs w:val="21"/>
                <w:u w:val="none"/>
              </w:rPr>
              <w:t>112.563378˚</w:t>
            </w:r>
          </w:p>
        </w:tc>
        <w:tc>
          <w:tcPr>
            <w:tcW w:w="1158" w:type="dxa"/>
            <w:tcBorders>
              <w:tl2br w:val="nil"/>
              <w:tr2bl w:val="nil"/>
            </w:tcBorders>
            <w:vAlign w:val="center"/>
          </w:tcPr>
          <w:p w14:paraId="571D0306">
            <w:pPr>
              <w:adjustRightInd w:val="0"/>
              <w:snapToGrid w:val="0"/>
              <w:spacing w:line="240" w:lineRule="auto"/>
              <w:jc w:val="center"/>
              <w:rPr>
                <w:sz w:val="21"/>
                <w:szCs w:val="21"/>
                <w:u w:val="none"/>
              </w:rPr>
            </w:pPr>
            <w:r>
              <w:rPr>
                <w:sz w:val="21"/>
                <w:szCs w:val="21"/>
                <w:u w:val="none"/>
              </w:rPr>
              <w:t>27.470068˚</w:t>
            </w:r>
          </w:p>
        </w:tc>
        <w:tc>
          <w:tcPr>
            <w:tcW w:w="982" w:type="dxa"/>
            <w:tcBorders>
              <w:tl2br w:val="nil"/>
              <w:tr2bl w:val="nil"/>
            </w:tcBorders>
            <w:vAlign w:val="center"/>
          </w:tcPr>
          <w:p w14:paraId="0E151777">
            <w:pPr>
              <w:adjustRightInd w:val="0"/>
              <w:snapToGrid w:val="0"/>
              <w:spacing w:line="240" w:lineRule="auto"/>
              <w:jc w:val="center"/>
              <w:rPr>
                <w:sz w:val="21"/>
                <w:szCs w:val="21"/>
                <w:u w:val="none"/>
              </w:rPr>
            </w:pPr>
            <w:r>
              <w:rPr>
                <w:rFonts w:hint="eastAsia"/>
                <w:sz w:val="21"/>
                <w:szCs w:val="21"/>
                <w:u w:val="none"/>
              </w:rPr>
              <w:t>约7000人</w:t>
            </w:r>
          </w:p>
        </w:tc>
        <w:tc>
          <w:tcPr>
            <w:tcW w:w="948" w:type="dxa"/>
            <w:vMerge w:val="continue"/>
            <w:tcBorders>
              <w:tl2br w:val="nil"/>
              <w:tr2bl w:val="nil"/>
            </w:tcBorders>
            <w:vAlign w:val="center"/>
          </w:tcPr>
          <w:p w14:paraId="45F693B1">
            <w:pPr>
              <w:adjustRightInd w:val="0"/>
              <w:snapToGrid w:val="0"/>
              <w:spacing w:line="240" w:lineRule="auto"/>
              <w:jc w:val="center"/>
              <w:rPr>
                <w:sz w:val="21"/>
                <w:szCs w:val="21"/>
                <w:u w:val="none"/>
              </w:rPr>
            </w:pPr>
          </w:p>
        </w:tc>
        <w:tc>
          <w:tcPr>
            <w:tcW w:w="949" w:type="dxa"/>
            <w:vMerge w:val="continue"/>
            <w:tcBorders>
              <w:tl2br w:val="nil"/>
              <w:tr2bl w:val="nil"/>
            </w:tcBorders>
            <w:vAlign w:val="center"/>
          </w:tcPr>
          <w:p w14:paraId="58024086">
            <w:pPr>
              <w:adjustRightInd w:val="0"/>
              <w:snapToGrid w:val="0"/>
              <w:spacing w:line="240" w:lineRule="auto"/>
              <w:jc w:val="center"/>
              <w:rPr>
                <w:sz w:val="21"/>
                <w:szCs w:val="21"/>
                <w:u w:val="none"/>
              </w:rPr>
            </w:pPr>
          </w:p>
        </w:tc>
        <w:tc>
          <w:tcPr>
            <w:tcW w:w="948" w:type="dxa"/>
            <w:tcBorders>
              <w:tl2br w:val="nil"/>
              <w:tr2bl w:val="nil"/>
            </w:tcBorders>
            <w:vAlign w:val="center"/>
          </w:tcPr>
          <w:p w14:paraId="0BC9A177">
            <w:pPr>
              <w:adjustRightInd w:val="0"/>
              <w:snapToGrid w:val="0"/>
              <w:spacing w:line="240" w:lineRule="auto"/>
              <w:jc w:val="center"/>
              <w:rPr>
                <w:sz w:val="21"/>
                <w:szCs w:val="21"/>
                <w:u w:val="none"/>
              </w:rPr>
            </w:pPr>
            <w:r>
              <w:rPr>
                <w:rFonts w:hint="eastAsia"/>
                <w:sz w:val="21"/>
                <w:szCs w:val="21"/>
                <w:u w:val="none"/>
              </w:rPr>
              <w:t>西北侧</w:t>
            </w:r>
          </w:p>
        </w:tc>
        <w:tc>
          <w:tcPr>
            <w:tcW w:w="1095" w:type="dxa"/>
            <w:tcBorders>
              <w:tl2br w:val="nil"/>
              <w:tr2bl w:val="nil"/>
            </w:tcBorders>
            <w:vAlign w:val="center"/>
          </w:tcPr>
          <w:p w14:paraId="551837D7">
            <w:pPr>
              <w:adjustRightInd w:val="0"/>
              <w:snapToGrid w:val="0"/>
              <w:spacing w:line="240" w:lineRule="auto"/>
              <w:jc w:val="center"/>
              <w:rPr>
                <w:sz w:val="21"/>
                <w:szCs w:val="21"/>
                <w:u w:val="none"/>
              </w:rPr>
            </w:pPr>
            <w:r>
              <w:rPr>
                <w:rFonts w:hint="eastAsia"/>
                <w:sz w:val="21"/>
                <w:szCs w:val="21"/>
                <w:u w:val="none"/>
              </w:rPr>
              <w:t>1900</w:t>
            </w:r>
            <w:r>
              <w:rPr>
                <w:sz w:val="21"/>
                <w:szCs w:val="21"/>
                <w:u w:val="none"/>
              </w:rPr>
              <w:t>~</w:t>
            </w:r>
            <w:r>
              <w:rPr>
                <w:rFonts w:hint="eastAsia"/>
                <w:sz w:val="21"/>
                <w:szCs w:val="21"/>
                <w:u w:val="none"/>
              </w:rPr>
              <w:t>3000</w:t>
            </w:r>
          </w:p>
        </w:tc>
      </w:tr>
    </w:tbl>
    <w:p w14:paraId="1FEAF774">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2.9.2</w:t>
      </w:r>
      <w:r>
        <w:rPr>
          <w:rFonts w:hint="eastAsia"/>
        </w:rPr>
        <w:t>声环境保护目标</w:t>
      </w:r>
    </w:p>
    <w:p w14:paraId="459A6D60">
      <w:pPr>
        <w:pStyle w:val="38"/>
        <w:ind w:firstLine="480"/>
        <w:rPr>
          <w:rFonts w:ascii="Times New Roman" w:hAnsi="Times New Roman" w:cs="Times New Roman"/>
          <w:color w:val="auto"/>
        </w:rPr>
      </w:pPr>
      <w:r>
        <w:rPr>
          <w:rFonts w:ascii="Times New Roman" w:hAnsi="Times New Roman" w:eastAsia="宋体" w:cs="Times New Roman"/>
          <w:color w:val="auto"/>
        </w:rPr>
        <w:t>根据《环境影响评价技术导则声环境》（HJ2.4-20</w:t>
      </w:r>
      <w:r>
        <w:rPr>
          <w:rFonts w:hint="eastAsia" w:ascii="Times New Roman" w:hAnsi="Times New Roman" w:eastAsia="宋体" w:cs="Times New Roman"/>
          <w:color w:val="auto"/>
        </w:rPr>
        <w:t>21</w:t>
      </w:r>
      <w:r>
        <w:rPr>
          <w:rFonts w:ascii="Times New Roman" w:hAnsi="Times New Roman" w:eastAsia="宋体" w:cs="Times New Roman"/>
          <w:color w:val="auto"/>
        </w:rPr>
        <w:t>），声环境敏感目标指依据法律、法规、标准政策等确定的需要保持安静的建筑物及建筑物集中区</w:t>
      </w:r>
      <w:r>
        <w:rPr>
          <w:rFonts w:hint="eastAsia" w:ascii="Times New Roman" w:hAnsi="Times New Roman" w:eastAsia="宋体" w:cs="Times New Roman"/>
          <w:color w:val="auto"/>
        </w:rPr>
        <w:t>。</w:t>
      </w:r>
      <w:r>
        <w:rPr>
          <w:rFonts w:ascii="Times New Roman" w:hAnsi="Times New Roman" w:eastAsia="宋体" w:cs="Times New Roman"/>
          <w:color w:val="auto"/>
        </w:rPr>
        <w:t>根据环境功能区划，项目所在地属于工业为主的区域，为3类功能区，声环境执行《声环境质量标准》(GB3096-2008)中3类标准，厂界南面临城市道路侧25m范围内执行该标准4a类标准。</w:t>
      </w:r>
      <w:r>
        <w:rPr>
          <w:rFonts w:ascii="Times New Roman" w:hAnsi="Times New Roman" w:eastAsia="宋体" w:cs="Times New Roman"/>
        </w:rPr>
        <w:t>本项目200m范围内无声环境保护目标</w:t>
      </w:r>
      <w:r>
        <w:rPr>
          <w:rFonts w:hint="eastAsia"/>
        </w:rPr>
        <w:t>。</w:t>
      </w:r>
    </w:p>
    <w:p w14:paraId="540C531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2.9.3</w:t>
      </w:r>
      <w:r>
        <w:rPr>
          <w:rFonts w:hint="eastAsia"/>
        </w:rPr>
        <w:t>地表水环境保护目标</w:t>
      </w:r>
    </w:p>
    <w:p w14:paraId="551DA847">
      <w:pPr>
        <w:ind w:firstLine="480"/>
      </w:pPr>
      <w:r>
        <w:t>根据《环境影响评价技术导则 地表水环境》（HJ 2.3-2018），地表水环境保护目标见表2.</w:t>
      </w:r>
      <w:r>
        <w:rPr>
          <w:rFonts w:hint="eastAsia"/>
        </w:rPr>
        <w:t>7</w:t>
      </w:r>
      <w:r>
        <w:t>-</w:t>
      </w:r>
      <w:r>
        <w:rPr>
          <w:rFonts w:hint="eastAsia"/>
        </w:rPr>
        <w:t>2</w:t>
      </w:r>
      <w:r>
        <w:t>。</w:t>
      </w:r>
    </w:p>
    <w:p w14:paraId="4ED8A327">
      <w:pPr>
        <w:pStyle w:val="51"/>
        <w:numPr>
          <w:ilvl w:val="5"/>
          <w:numId w:val="0"/>
        </w:numPr>
        <w:spacing w:before="0" w:beforeLines="0" w:line="360" w:lineRule="auto"/>
        <w:ind w:left="305" w:leftChars="0" w:hanging="3260" w:firstLineChars="0"/>
      </w:pPr>
      <w:r>
        <w:rPr>
          <w:rFonts w:hint="default" w:ascii="宋体" w:hAnsi="宋体" w:eastAsia="宋体" w:cs="宋体"/>
          <w:b/>
          <w:bCs/>
          <w:color w:val="auto"/>
          <w:kern w:val="2"/>
          <w:sz w:val="21"/>
          <w:szCs w:val="21"/>
          <w:lang w:val="en-US" w:eastAsia="zh-CN" w:bidi="ar-SA"/>
        </w:rPr>
        <w:t xml:space="preserve">表2.9-2 </w:t>
      </w:r>
      <w:r>
        <w:rPr>
          <w:rFonts w:hint="eastAsia"/>
        </w:rPr>
        <w:t xml:space="preserve"> 地表水环境保护目标一览表</w:t>
      </w:r>
    </w:p>
    <w:tbl>
      <w:tblPr>
        <w:tblStyle w:val="66"/>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105"/>
        <w:gridCol w:w="1018"/>
        <w:gridCol w:w="913"/>
        <w:gridCol w:w="789"/>
        <w:gridCol w:w="579"/>
        <w:gridCol w:w="793"/>
        <w:gridCol w:w="700"/>
        <w:gridCol w:w="1212"/>
        <w:gridCol w:w="1227"/>
      </w:tblGrid>
      <w:tr w14:paraId="25C353C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05" w:type="dxa"/>
            <w:vMerge w:val="restart"/>
            <w:vAlign w:val="center"/>
          </w:tcPr>
          <w:p w14:paraId="6CF8E55B">
            <w:pPr>
              <w:widowControl w:val="0"/>
              <w:adjustRightInd w:val="0"/>
              <w:snapToGrid w:val="0"/>
              <w:spacing w:line="240" w:lineRule="auto"/>
              <w:jc w:val="center"/>
              <w:rPr>
                <w:sz w:val="21"/>
                <w:szCs w:val="21"/>
                <w:lang w:eastAsia="en-US"/>
              </w:rPr>
            </w:pPr>
            <w:r>
              <w:rPr>
                <w:sz w:val="21"/>
                <w:szCs w:val="21"/>
                <w:lang w:eastAsia="en-US"/>
              </w:rPr>
              <w:t>保护</w:t>
            </w:r>
          </w:p>
          <w:p w14:paraId="092C56F4">
            <w:pPr>
              <w:widowControl w:val="0"/>
              <w:adjustRightInd w:val="0"/>
              <w:snapToGrid w:val="0"/>
              <w:spacing w:line="240" w:lineRule="auto"/>
              <w:jc w:val="center"/>
              <w:rPr>
                <w:sz w:val="21"/>
                <w:szCs w:val="21"/>
                <w:lang w:eastAsia="en-US"/>
              </w:rPr>
            </w:pPr>
            <w:r>
              <w:rPr>
                <w:sz w:val="21"/>
                <w:szCs w:val="21"/>
                <w:lang w:eastAsia="en-US"/>
              </w:rPr>
              <w:t>对象</w:t>
            </w:r>
          </w:p>
        </w:tc>
        <w:tc>
          <w:tcPr>
            <w:tcW w:w="0" w:type="auto"/>
            <w:gridSpan w:val="2"/>
            <w:vAlign w:val="center"/>
          </w:tcPr>
          <w:p w14:paraId="6839597C">
            <w:pPr>
              <w:widowControl w:val="0"/>
              <w:adjustRightInd w:val="0"/>
              <w:snapToGrid w:val="0"/>
              <w:spacing w:line="240" w:lineRule="auto"/>
              <w:jc w:val="center"/>
              <w:rPr>
                <w:sz w:val="21"/>
                <w:szCs w:val="21"/>
                <w:lang w:eastAsia="en-US"/>
              </w:rPr>
            </w:pPr>
            <w:r>
              <w:rPr>
                <w:sz w:val="21"/>
                <w:szCs w:val="21"/>
                <w:lang w:eastAsia="en-US"/>
              </w:rPr>
              <w:t>坐标/m</w:t>
            </w:r>
          </w:p>
        </w:tc>
        <w:tc>
          <w:tcPr>
            <w:tcW w:w="0" w:type="auto"/>
            <w:vMerge w:val="restart"/>
            <w:vAlign w:val="center"/>
          </w:tcPr>
          <w:p w14:paraId="5D0B441A">
            <w:pPr>
              <w:widowControl w:val="0"/>
              <w:adjustRightInd w:val="0"/>
              <w:snapToGrid w:val="0"/>
              <w:spacing w:line="240" w:lineRule="auto"/>
              <w:jc w:val="center"/>
              <w:rPr>
                <w:sz w:val="21"/>
                <w:szCs w:val="21"/>
                <w:lang w:eastAsia="en-US"/>
              </w:rPr>
            </w:pPr>
            <w:r>
              <w:rPr>
                <w:sz w:val="21"/>
                <w:szCs w:val="21"/>
                <w:lang w:eastAsia="en-US"/>
              </w:rPr>
              <w:t>保护要求</w:t>
            </w:r>
          </w:p>
        </w:tc>
        <w:tc>
          <w:tcPr>
            <w:tcW w:w="0" w:type="auto"/>
            <w:vMerge w:val="restart"/>
            <w:vAlign w:val="center"/>
          </w:tcPr>
          <w:p w14:paraId="46D9B15D">
            <w:pPr>
              <w:widowControl w:val="0"/>
              <w:adjustRightInd w:val="0"/>
              <w:snapToGrid w:val="0"/>
              <w:spacing w:line="240" w:lineRule="auto"/>
              <w:jc w:val="center"/>
              <w:rPr>
                <w:sz w:val="21"/>
                <w:szCs w:val="21"/>
                <w:lang w:eastAsia="en-US"/>
              </w:rPr>
            </w:pPr>
            <w:r>
              <w:rPr>
                <w:sz w:val="21"/>
                <w:szCs w:val="21"/>
                <w:lang w:eastAsia="en-US"/>
              </w:rPr>
              <w:t>相对厂区方位</w:t>
            </w:r>
          </w:p>
        </w:tc>
        <w:tc>
          <w:tcPr>
            <w:tcW w:w="0" w:type="auto"/>
            <w:vMerge w:val="restart"/>
            <w:vAlign w:val="center"/>
          </w:tcPr>
          <w:p w14:paraId="5547CC6F">
            <w:pPr>
              <w:widowControl w:val="0"/>
              <w:adjustRightInd w:val="0"/>
              <w:snapToGrid w:val="0"/>
              <w:spacing w:line="240" w:lineRule="auto"/>
              <w:jc w:val="center"/>
              <w:rPr>
                <w:sz w:val="21"/>
                <w:szCs w:val="21"/>
                <w:lang w:eastAsia="en-US"/>
              </w:rPr>
            </w:pPr>
            <w:r>
              <w:rPr>
                <w:sz w:val="21"/>
                <w:szCs w:val="21"/>
                <w:lang w:eastAsia="en-US"/>
              </w:rPr>
              <w:t>相对厂址距离/m</w:t>
            </w:r>
          </w:p>
        </w:tc>
        <w:tc>
          <w:tcPr>
            <w:tcW w:w="0" w:type="auto"/>
            <w:vMerge w:val="restart"/>
            <w:vAlign w:val="center"/>
          </w:tcPr>
          <w:p w14:paraId="28C30671">
            <w:pPr>
              <w:widowControl w:val="0"/>
              <w:adjustRightInd w:val="0"/>
              <w:snapToGrid w:val="0"/>
              <w:spacing w:line="240" w:lineRule="auto"/>
              <w:jc w:val="center"/>
              <w:rPr>
                <w:sz w:val="21"/>
                <w:szCs w:val="21"/>
                <w:lang w:eastAsia="en-US"/>
              </w:rPr>
            </w:pPr>
            <w:r>
              <w:rPr>
                <w:sz w:val="21"/>
                <w:szCs w:val="21"/>
                <w:lang w:eastAsia="en-US"/>
              </w:rPr>
              <w:t>相对厂址高差/m</w:t>
            </w:r>
          </w:p>
        </w:tc>
        <w:tc>
          <w:tcPr>
            <w:tcW w:w="0" w:type="auto"/>
            <w:vMerge w:val="restart"/>
            <w:vAlign w:val="center"/>
          </w:tcPr>
          <w:p w14:paraId="3471678A">
            <w:pPr>
              <w:widowControl w:val="0"/>
              <w:adjustRightInd w:val="0"/>
              <w:snapToGrid w:val="0"/>
              <w:spacing w:line="240" w:lineRule="auto"/>
              <w:jc w:val="center"/>
              <w:rPr>
                <w:sz w:val="21"/>
                <w:szCs w:val="21"/>
                <w:lang w:eastAsia="zh-CN"/>
              </w:rPr>
            </w:pPr>
            <w:r>
              <w:rPr>
                <w:sz w:val="21"/>
                <w:szCs w:val="21"/>
                <w:lang w:eastAsia="zh-CN"/>
              </w:rPr>
              <w:t>与项目废水排放口相对距离/m</w:t>
            </w:r>
          </w:p>
        </w:tc>
        <w:tc>
          <w:tcPr>
            <w:tcW w:w="0" w:type="auto"/>
            <w:vMerge w:val="restart"/>
            <w:vAlign w:val="center"/>
          </w:tcPr>
          <w:p w14:paraId="1F0424D9">
            <w:pPr>
              <w:widowControl w:val="0"/>
              <w:adjustRightInd w:val="0"/>
              <w:snapToGrid w:val="0"/>
              <w:spacing w:line="240" w:lineRule="auto"/>
              <w:jc w:val="center"/>
              <w:rPr>
                <w:sz w:val="21"/>
                <w:szCs w:val="21"/>
                <w:lang w:eastAsia="en-US"/>
              </w:rPr>
            </w:pPr>
            <w:r>
              <w:rPr>
                <w:rFonts w:hint="eastAsia"/>
                <w:sz w:val="21"/>
                <w:szCs w:val="21"/>
                <w:lang w:eastAsia="en-US"/>
              </w:rPr>
              <w:t>保护级别</w:t>
            </w:r>
          </w:p>
        </w:tc>
      </w:tr>
      <w:tr w14:paraId="2ACBC38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05" w:type="dxa"/>
            <w:vMerge w:val="continue"/>
            <w:vAlign w:val="center"/>
          </w:tcPr>
          <w:p w14:paraId="012E8E34">
            <w:pPr>
              <w:widowControl w:val="0"/>
              <w:adjustRightInd w:val="0"/>
              <w:snapToGrid w:val="0"/>
              <w:spacing w:line="240" w:lineRule="auto"/>
              <w:jc w:val="center"/>
              <w:rPr>
                <w:sz w:val="21"/>
                <w:szCs w:val="21"/>
                <w:lang w:eastAsia="en-US"/>
              </w:rPr>
            </w:pPr>
          </w:p>
        </w:tc>
        <w:tc>
          <w:tcPr>
            <w:tcW w:w="0" w:type="auto"/>
            <w:vAlign w:val="center"/>
          </w:tcPr>
          <w:p w14:paraId="15EC9B80">
            <w:pPr>
              <w:widowControl w:val="0"/>
              <w:adjustRightInd w:val="0"/>
              <w:snapToGrid w:val="0"/>
              <w:spacing w:line="240" w:lineRule="auto"/>
              <w:jc w:val="center"/>
              <w:rPr>
                <w:sz w:val="21"/>
                <w:szCs w:val="21"/>
                <w:lang w:eastAsia="en-US"/>
              </w:rPr>
            </w:pPr>
            <w:r>
              <w:rPr>
                <w:sz w:val="21"/>
                <w:szCs w:val="21"/>
                <w:lang w:eastAsia="en-US"/>
              </w:rPr>
              <w:t>X</w:t>
            </w:r>
          </w:p>
        </w:tc>
        <w:tc>
          <w:tcPr>
            <w:tcW w:w="0" w:type="auto"/>
            <w:vAlign w:val="center"/>
          </w:tcPr>
          <w:p w14:paraId="491B24DF">
            <w:pPr>
              <w:widowControl w:val="0"/>
              <w:adjustRightInd w:val="0"/>
              <w:snapToGrid w:val="0"/>
              <w:spacing w:line="240" w:lineRule="auto"/>
              <w:jc w:val="center"/>
              <w:rPr>
                <w:sz w:val="21"/>
                <w:szCs w:val="21"/>
                <w:lang w:eastAsia="en-US"/>
              </w:rPr>
            </w:pPr>
            <w:r>
              <w:rPr>
                <w:sz w:val="21"/>
                <w:szCs w:val="21"/>
                <w:lang w:eastAsia="en-US"/>
              </w:rPr>
              <w:t>Y</w:t>
            </w:r>
          </w:p>
        </w:tc>
        <w:tc>
          <w:tcPr>
            <w:tcW w:w="0" w:type="auto"/>
            <w:vMerge w:val="continue"/>
            <w:vAlign w:val="center"/>
          </w:tcPr>
          <w:p w14:paraId="33160D22">
            <w:pPr>
              <w:widowControl w:val="0"/>
              <w:adjustRightInd w:val="0"/>
              <w:snapToGrid w:val="0"/>
              <w:spacing w:line="240" w:lineRule="auto"/>
              <w:jc w:val="center"/>
              <w:rPr>
                <w:sz w:val="21"/>
                <w:szCs w:val="21"/>
                <w:lang w:eastAsia="en-US"/>
              </w:rPr>
            </w:pPr>
          </w:p>
        </w:tc>
        <w:tc>
          <w:tcPr>
            <w:tcW w:w="0" w:type="auto"/>
            <w:vMerge w:val="continue"/>
            <w:vAlign w:val="center"/>
          </w:tcPr>
          <w:p w14:paraId="77863505">
            <w:pPr>
              <w:widowControl w:val="0"/>
              <w:adjustRightInd w:val="0"/>
              <w:snapToGrid w:val="0"/>
              <w:spacing w:line="240" w:lineRule="auto"/>
              <w:jc w:val="center"/>
              <w:rPr>
                <w:sz w:val="21"/>
                <w:szCs w:val="21"/>
                <w:lang w:eastAsia="en-US"/>
              </w:rPr>
            </w:pPr>
          </w:p>
        </w:tc>
        <w:tc>
          <w:tcPr>
            <w:tcW w:w="0" w:type="auto"/>
            <w:vMerge w:val="continue"/>
            <w:vAlign w:val="center"/>
          </w:tcPr>
          <w:p w14:paraId="6A3BA75B">
            <w:pPr>
              <w:widowControl w:val="0"/>
              <w:adjustRightInd w:val="0"/>
              <w:snapToGrid w:val="0"/>
              <w:spacing w:line="240" w:lineRule="auto"/>
              <w:jc w:val="center"/>
              <w:rPr>
                <w:sz w:val="21"/>
                <w:szCs w:val="21"/>
                <w:lang w:eastAsia="en-US"/>
              </w:rPr>
            </w:pPr>
          </w:p>
        </w:tc>
        <w:tc>
          <w:tcPr>
            <w:tcW w:w="0" w:type="auto"/>
            <w:vMerge w:val="continue"/>
            <w:vAlign w:val="center"/>
          </w:tcPr>
          <w:p w14:paraId="399358A2">
            <w:pPr>
              <w:widowControl w:val="0"/>
              <w:adjustRightInd w:val="0"/>
              <w:snapToGrid w:val="0"/>
              <w:spacing w:line="240" w:lineRule="auto"/>
              <w:jc w:val="center"/>
              <w:rPr>
                <w:sz w:val="21"/>
                <w:szCs w:val="21"/>
                <w:lang w:eastAsia="en-US"/>
              </w:rPr>
            </w:pPr>
          </w:p>
        </w:tc>
        <w:tc>
          <w:tcPr>
            <w:tcW w:w="0" w:type="auto"/>
            <w:vMerge w:val="continue"/>
            <w:vAlign w:val="center"/>
          </w:tcPr>
          <w:p w14:paraId="3ED0EF8D">
            <w:pPr>
              <w:widowControl w:val="0"/>
              <w:adjustRightInd w:val="0"/>
              <w:snapToGrid w:val="0"/>
              <w:spacing w:line="240" w:lineRule="auto"/>
              <w:jc w:val="center"/>
              <w:rPr>
                <w:sz w:val="21"/>
                <w:szCs w:val="21"/>
                <w:lang w:eastAsia="en-US"/>
              </w:rPr>
            </w:pPr>
          </w:p>
        </w:tc>
        <w:tc>
          <w:tcPr>
            <w:tcW w:w="0" w:type="auto"/>
            <w:vMerge w:val="continue"/>
            <w:vAlign w:val="center"/>
          </w:tcPr>
          <w:p w14:paraId="77B74F8D">
            <w:pPr>
              <w:widowControl w:val="0"/>
              <w:adjustRightInd w:val="0"/>
              <w:snapToGrid w:val="0"/>
              <w:spacing w:line="240" w:lineRule="auto"/>
              <w:jc w:val="center"/>
              <w:rPr>
                <w:sz w:val="21"/>
                <w:szCs w:val="21"/>
                <w:lang w:eastAsia="en-US"/>
              </w:rPr>
            </w:pPr>
          </w:p>
        </w:tc>
      </w:tr>
      <w:tr w14:paraId="438EC9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05" w:type="dxa"/>
            <w:tcBorders>
              <w:bottom w:val="single" w:color="000000" w:sz="12" w:space="0"/>
            </w:tcBorders>
            <w:vAlign w:val="center"/>
          </w:tcPr>
          <w:p w14:paraId="04D1616E">
            <w:pPr>
              <w:widowControl w:val="0"/>
              <w:adjustRightInd w:val="0"/>
              <w:snapToGrid w:val="0"/>
              <w:spacing w:line="240" w:lineRule="auto"/>
              <w:jc w:val="center"/>
              <w:rPr>
                <w:sz w:val="21"/>
                <w:szCs w:val="21"/>
                <w:lang w:eastAsia="en-US"/>
              </w:rPr>
            </w:pPr>
            <w:r>
              <w:rPr>
                <w:sz w:val="21"/>
                <w:szCs w:val="21"/>
                <w:lang w:eastAsia="en-US"/>
              </w:rPr>
              <w:t>评价范围内湘江水域</w:t>
            </w:r>
          </w:p>
        </w:tc>
        <w:tc>
          <w:tcPr>
            <w:tcW w:w="0" w:type="auto"/>
            <w:tcBorders>
              <w:bottom w:val="single" w:color="000000" w:sz="12" w:space="0"/>
            </w:tcBorders>
            <w:vAlign w:val="center"/>
          </w:tcPr>
          <w:p w14:paraId="2E9AE492">
            <w:pPr>
              <w:widowControl w:val="0"/>
              <w:adjustRightInd w:val="0"/>
              <w:snapToGrid w:val="0"/>
              <w:spacing w:line="240" w:lineRule="auto"/>
              <w:jc w:val="center"/>
              <w:rPr>
                <w:sz w:val="21"/>
                <w:szCs w:val="21"/>
                <w:lang w:eastAsia="en-US"/>
              </w:rPr>
            </w:pPr>
            <w:r>
              <w:rPr>
                <w:sz w:val="21"/>
                <w:szCs w:val="21"/>
                <w:lang w:eastAsia="en-US"/>
              </w:rPr>
              <w:t>3075945.84</w:t>
            </w:r>
          </w:p>
        </w:tc>
        <w:tc>
          <w:tcPr>
            <w:tcW w:w="0" w:type="auto"/>
            <w:tcBorders>
              <w:bottom w:val="single" w:color="000000" w:sz="12" w:space="0"/>
            </w:tcBorders>
            <w:vAlign w:val="center"/>
          </w:tcPr>
          <w:p w14:paraId="5B658C7C">
            <w:pPr>
              <w:widowControl w:val="0"/>
              <w:adjustRightInd w:val="0"/>
              <w:snapToGrid w:val="0"/>
              <w:spacing w:line="240" w:lineRule="auto"/>
              <w:jc w:val="center"/>
              <w:rPr>
                <w:sz w:val="21"/>
                <w:szCs w:val="21"/>
                <w:lang w:eastAsia="en-US"/>
              </w:rPr>
            </w:pPr>
            <w:r>
              <w:rPr>
                <w:sz w:val="21"/>
                <w:szCs w:val="21"/>
                <w:lang w:eastAsia="en-US"/>
              </w:rPr>
              <w:t>691350.02</w:t>
            </w:r>
          </w:p>
        </w:tc>
        <w:tc>
          <w:tcPr>
            <w:tcW w:w="0" w:type="auto"/>
            <w:tcBorders>
              <w:bottom w:val="single" w:color="000000" w:sz="12" w:space="0"/>
            </w:tcBorders>
            <w:vAlign w:val="center"/>
          </w:tcPr>
          <w:p w14:paraId="24BC9FC8">
            <w:pPr>
              <w:widowControl w:val="0"/>
              <w:adjustRightInd w:val="0"/>
              <w:snapToGrid w:val="0"/>
              <w:spacing w:line="240" w:lineRule="auto"/>
              <w:jc w:val="center"/>
              <w:rPr>
                <w:sz w:val="21"/>
                <w:szCs w:val="21"/>
                <w:lang w:eastAsia="en-US"/>
              </w:rPr>
            </w:pPr>
            <w:r>
              <w:rPr>
                <w:rFonts w:hint="eastAsia"/>
                <w:sz w:val="21"/>
                <w:szCs w:val="21"/>
                <w:lang w:eastAsia="en-US"/>
              </w:rPr>
              <w:t>景观水、饮用水</w:t>
            </w:r>
          </w:p>
        </w:tc>
        <w:tc>
          <w:tcPr>
            <w:tcW w:w="0" w:type="auto"/>
            <w:tcBorders>
              <w:bottom w:val="single" w:color="000000" w:sz="12" w:space="0"/>
            </w:tcBorders>
            <w:vAlign w:val="center"/>
          </w:tcPr>
          <w:p w14:paraId="1E791E3E">
            <w:pPr>
              <w:widowControl w:val="0"/>
              <w:adjustRightInd w:val="0"/>
              <w:snapToGrid w:val="0"/>
              <w:spacing w:line="240" w:lineRule="auto"/>
              <w:jc w:val="center"/>
              <w:rPr>
                <w:sz w:val="21"/>
                <w:szCs w:val="21"/>
                <w:lang w:eastAsia="en-US"/>
              </w:rPr>
            </w:pPr>
            <w:r>
              <w:rPr>
                <w:sz w:val="21"/>
                <w:szCs w:val="21"/>
                <w:lang w:eastAsia="en-US"/>
              </w:rPr>
              <w:t>北</w:t>
            </w:r>
          </w:p>
        </w:tc>
        <w:tc>
          <w:tcPr>
            <w:tcW w:w="0" w:type="auto"/>
            <w:tcBorders>
              <w:bottom w:val="single" w:color="000000" w:sz="12" w:space="0"/>
            </w:tcBorders>
            <w:vAlign w:val="center"/>
          </w:tcPr>
          <w:p w14:paraId="52029C49">
            <w:pPr>
              <w:widowControl w:val="0"/>
              <w:adjustRightInd w:val="0"/>
              <w:snapToGrid w:val="0"/>
              <w:spacing w:line="240" w:lineRule="auto"/>
              <w:jc w:val="center"/>
              <w:rPr>
                <w:sz w:val="21"/>
                <w:szCs w:val="21"/>
                <w:lang w:eastAsia="en-US"/>
              </w:rPr>
            </w:pPr>
            <w:r>
              <w:rPr>
                <w:sz w:val="21"/>
                <w:szCs w:val="21"/>
                <w:lang w:eastAsia="en-US"/>
              </w:rPr>
              <w:t>3500</w:t>
            </w:r>
          </w:p>
        </w:tc>
        <w:tc>
          <w:tcPr>
            <w:tcW w:w="0" w:type="auto"/>
            <w:tcBorders>
              <w:bottom w:val="single" w:color="000000" w:sz="12" w:space="0"/>
            </w:tcBorders>
            <w:vAlign w:val="center"/>
          </w:tcPr>
          <w:p w14:paraId="390A7345">
            <w:pPr>
              <w:widowControl w:val="0"/>
              <w:adjustRightInd w:val="0"/>
              <w:snapToGrid w:val="0"/>
              <w:spacing w:line="240" w:lineRule="auto"/>
              <w:jc w:val="center"/>
              <w:rPr>
                <w:sz w:val="21"/>
                <w:szCs w:val="21"/>
                <w:lang w:eastAsia="en-US"/>
              </w:rPr>
            </w:pPr>
            <w:r>
              <w:rPr>
                <w:sz w:val="21"/>
                <w:szCs w:val="21"/>
                <w:lang w:eastAsia="en-US"/>
              </w:rPr>
              <w:t>-10</w:t>
            </w:r>
          </w:p>
        </w:tc>
        <w:tc>
          <w:tcPr>
            <w:tcW w:w="0" w:type="auto"/>
            <w:tcBorders>
              <w:bottom w:val="single" w:color="000000" w:sz="12" w:space="0"/>
            </w:tcBorders>
            <w:vAlign w:val="center"/>
          </w:tcPr>
          <w:p w14:paraId="23808380">
            <w:pPr>
              <w:widowControl w:val="0"/>
              <w:adjustRightInd w:val="0"/>
              <w:snapToGrid w:val="0"/>
              <w:spacing w:line="240" w:lineRule="auto"/>
              <w:jc w:val="center"/>
              <w:rPr>
                <w:sz w:val="21"/>
                <w:szCs w:val="21"/>
                <w:lang w:eastAsia="en-US"/>
              </w:rPr>
            </w:pPr>
            <w:r>
              <w:rPr>
                <w:sz w:val="21"/>
                <w:szCs w:val="21"/>
                <w:lang w:eastAsia="en-US"/>
              </w:rPr>
              <w:t>3500</w:t>
            </w:r>
          </w:p>
        </w:tc>
        <w:tc>
          <w:tcPr>
            <w:tcW w:w="0" w:type="auto"/>
            <w:tcBorders>
              <w:bottom w:val="single" w:color="000000" w:sz="12" w:space="0"/>
            </w:tcBorders>
            <w:vAlign w:val="center"/>
          </w:tcPr>
          <w:p w14:paraId="2F3D12D4">
            <w:pPr>
              <w:widowControl w:val="0"/>
              <w:adjustRightInd w:val="0"/>
              <w:snapToGrid w:val="0"/>
              <w:spacing w:line="240" w:lineRule="auto"/>
              <w:jc w:val="center"/>
              <w:rPr>
                <w:sz w:val="21"/>
                <w:szCs w:val="21"/>
                <w:lang w:eastAsia="en-US"/>
              </w:rPr>
            </w:pPr>
            <w:r>
              <w:rPr>
                <w:sz w:val="21"/>
                <w:szCs w:val="21"/>
                <w:lang w:eastAsia="en-US"/>
              </w:rPr>
              <w:t>GB3838-2002</w:t>
            </w:r>
          </w:p>
          <w:p w14:paraId="224D55AC">
            <w:pPr>
              <w:widowControl w:val="0"/>
              <w:adjustRightInd w:val="0"/>
              <w:snapToGrid w:val="0"/>
              <w:spacing w:line="240" w:lineRule="auto"/>
              <w:jc w:val="center"/>
              <w:rPr>
                <w:sz w:val="21"/>
                <w:szCs w:val="21"/>
                <w:lang w:eastAsia="en-US"/>
              </w:rPr>
            </w:pPr>
            <w:r>
              <w:rPr>
                <w:sz w:val="21"/>
                <w:szCs w:val="21"/>
                <w:lang w:eastAsia="en-US"/>
              </w:rPr>
              <w:t>Ⅲ类</w:t>
            </w:r>
          </w:p>
        </w:tc>
      </w:tr>
    </w:tbl>
    <w:p w14:paraId="53C4682F">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2.9.4</w:t>
      </w:r>
      <w:r>
        <w:rPr>
          <w:rFonts w:hint="eastAsia"/>
        </w:rPr>
        <w:t>环境风险环境保护目标</w:t>
      </w:r>
    </w:p>
    <w:p w14:paraId="572E95BC">
      <w:pPr>
        <w:ind w:firstLine="480"/>
      </w:pPr>
      <w:r>
        <w:t>根据建设项目所在区域的生态环境（包括：水体、陆域生态特征、社会经济状况、城镇及人口分布、工农业分布。见工程分析专项）确定风险评价的重点保护目标</w:t>
      </w:r>
      <w:r>
        <w:rPr>
          <w:rFonts w:hint="eastAsia"/>
        </w:rPr>
        <w:t>见下表：</w:t>
      </w:r>
    </w:p>
    <w:p w14:paraId="1265691C">
      <w:pPr>
        <w:pStyle w:val="51"/>
        <w:numPr>
          <w:ilvl w:val="5"/>
          <w:numId w:val="0"/>
        </w:numPr>
        <w:spacing w:before="0" w:beforeLines="0" w:line="360" w:lineRule="auto"/>
        <w:ind w:left="305" w:leftChars="0" w:hanging="3260" w:firstLineChars="0"/>
      </w:pPr>
      <w:r>
        <w:rPr>
          <w:rFonts w:hint="default" w:ascii="宋体" w:hAnsi="宋体" w:eastAsia="宋体" w:cs="宋体"/>
          <w:b/>
          <w:bCs/>
          <w:color w:val="auto"/>
          <w:kern w:val="2"/>
          <w:sz w:val="21"/>
          <w:szCs w:val="21"/>
          <w:lang w:val="en-US" w:eastAsia="zh-CN" w:bidi="ar-SA"/>
        </w:rPr>
        <w:t xml:space="preserve">表2.9-3 </w:t>
      </w:r>
      <w:r>
        <w:rPr>
          <w:rFonts w:hint="eastAsia"/>
        </w:rPr>
        <w:t xml:space="preserve"> 风险保护目标</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0" w:type="dxa"/>
          <w:bottom w:w="0" w:type="dxa"/>
          <w:right w:w="0" w:type="dxa"/>
        </w:tblCellMar>
      </w:tblPr>
      <w:tblGrid>
        <w:gridCol w:w="534"/>
        <w:gridCol w:w="532"/>
        <w:gridCol w:w="1577"/>
        <w:gridCol w:w="789"/>
        <w:gridCol w:w="507"/>
        <w:gridCol w:w="1049"/>
        <w:gridCol w:w="679"/>
        <w:gridCol w:w="1017"/>
        <w:gridCol w:w="757"/>
        <w:gridCol w:w="949"/>
      </w:tblGrid>
      <w:tr w14:paraId="2CA8DA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2" w:hRule="atLeast"/>
          <w:jc w:val="center"/>
        </w:trPr>
        <w:tc>
          <w:tcPr>
            <w:tcW w:w="534" w:type="dxa"/>
            <w:vMerge w:val="restart"/>
            <w:tcBorders>
              <w:tl2br w:val="nil"/>
              <w:tr2bl w:val="nil"/>
            </w:tcBorders>
            <w:vAlign w:val="center"/>
          </w:tcPr>
          <w:p w14:paraId="1B259392">
            <w:pPr>
              <w:adjustRightInd w:val="0"/>
              <w:snapToGrid w:val="0"/>
              <w:spacing w:line="240" w:lineRule="auto"/>
              <w:jc w:val="center"/>
              <w:rPr>
                <w:sz w:val="21"/>
                <w:szCs w:val="21"/>
              </w:rPr>
            </w:pPr>
            <w:r>
              <w:rPr>
                <w:sz w:val="21"/>
                <w:szCs w:val="21"/>
              </w:rPr>
              <w:t>类别</w:t>
            </w:r>
          </w:p>
        </w:tc>
        <w:tc>
          <w:tcPr>
            <w:tcW w:w="7856" w:type="dxa"/>
            <w:gridSpan w:val="9"/>
            <w:tcBorders>
              <w:tl2br w:val="nil"/>
              <w:tr2bl w:val="nil"/>
            </w:tcBorders>
            <w:vAlign w:val="center"/>
          </w:tcPr>
          <w:p w14:paraId="6D08826F">
            <w:pPr>
              <w:adjustRightInd w:val="0"/>
              <w:snapToGrid w:val="0"/>
              <w:spacing w:line="240" w:lineRule="auto"/>
              <w:jc w:val="center"/>
              <w:rPr>
                <w:sz w:val="21"/>
                <w:szCs w:val="21"/>
              </w:rPr>
            </w:pPr>
            <w:r>
              <w:rPr>
                <w:sz w:val="21"/>
                <w:szCs w:val="21"/>
              </w:rPr>
              <w:t>环境敏感特征</w:t>
            </w:r>
          </w:p>
        </w:tc>
      </w:tr>
      <w:tr w14:paraId="0E486D1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2" w:hRule="atLeast"/>
          <w:jc w:val="center"/>
        </w:trPr>
        <w:tc>
          <w:tcPr>
            <w:tcW w:w="534" w:type="dxa"/>
            <w:vMerge w:val="continue"/>
            <w:tcBorders>
              <w:tl2br w:val="nil"/>
              <w:tr2bl w:val="nil"/>
            </w:tcBorders>
            <w:vAlign w:val="center"/>
          </w:tcPr>
          <w:p w14:paraId="0522020B">
            <w:pPr>
              <w:adjustRightInd w:val="0"/>
              <w:snapToGrid w:val="0"/>
              <w:spacing w:line="240" w:lineRule="auto"/>
              <w:jc w:val="center"/>
              <w:rPr>
                <w:sz w:val="21"/>
                <w:szCs w:val="21"/>
              </w:rPr>
            </w:pPr>
          </w:p>
        </w:tc>
        <w:tc>
          <w:tcPr>
            <w:tcW w:w="7856" w:type="dxa"/>
            <w:gridSpan w:val="9"/>
            <w:tcBorders>
              <w:tl2br w:val="nil"/>
              <w:tr2bl w:val="nil"/>
            </w:tcBorders>
            <w:vAlign w:val="center"/>
          </w:tcPr>
          <w:p w14:paraId="15A1CBB0">
            <w:pPr>
              <w:adjustRightInd w:val="0"/>
              <w:snapToGrid w:val="0"/>
              <w:spacing w:line="240" w:lineRule="auto"/>
              <w:jc w:val="center"/>
              <w:rPr>
                <w:sz w:val="21"/>
                <w:szCs w:val="21"/>
              </w:rPr>
            </w:pPr>
            <w:r>
              <w:rPr>
                <w:sz w:val="21"/>
                <w:szCs w:val="21"/>
              </w:rPr>
              <w:t>项目厂区占地范围</w:t>
            </w:r>
          </w:p>
        </w:tc>
      </w:tr>
      <w:tr w14:paraId="784A1B3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2" w:hRule="atLeast"/>
          <w:jc w:val="center"/>
        </w:trPr>
        <w:tc>
          <w:tcPr>
            <w:tcW w:w="534" w:type="dxa"/>
            <w:vMerge w:val="restart"/>
            <w:tcBorders>
              <w:tl2br w:val="nil"/>
              <w:tr2bl w:val="nil"/>
            </w:tcBorders>
            <w:vAlign w:val="center"/>
          </w:tcPr>
          <w:p w14:paraId="71E34998">
            <w:pPr>
              <w:adjustRightInd w:val="0"/>
              <w:snapToGrid w:val="0"/>
              <w:spacing w:line="240" w:lineRule="auto"/>
              <w:jc w:val="center"/>
              <w:rPr>
                <w:sz w:val="21"/>
                <w:szCs w:val="21"/>
              </w:rPr>
            </w:pPr>
            <w:r>
              <w:rPr>
                <w:rFonts w:hint="eastAsia"/>
                <w:sz w:val="21"/>
                <w:szCs w:val="21"/>
              </w:rPr>
              <w:t>环境空气</w:t>
            </w:r>
          </w:p>
        </w:tc>
        <w:tc>
          <w:tcPr>
            <w:tcW w:w="7856" w:type="dxa"/>
            <w:gridSpan w:val="9"/>
            <w:tcBorders>
              <w:tl2br w:val="nil"/>
              <w:tr2bl w:val="nil"/>
            </w:tcBorders>
            <w:vAlign w:val="center"/>
          </w:tcPr>
          <w:p w14:paraId="0A39FB2C">
            <w:pPr>
              <w:adjustRightInd w:val="0"/>
              <w:snapToGrid w:val="0"/>
              <w:spacing w:line="240" w:lineRule="auto"/>
              <w:jc w:val="center"/>
              <w:rPr>
                <w:sz w:val="21"/>
                <w:szCs w:val="21"/>
              </w:rPr>
            </w:pPr>
            <w:r>
              <w:rPr>
                <w:rFonts w:hint="eastAsia"/>
                <w:sz w:val="21"/>
                <w:szCs w:val="21"/>
              </w:rPr>
              <w:t>具体保护目标详见表2.7-1</w:t>
            </w:r>
          </w:p>
        </w:tc>
      </w:tr>
      <w:tr w14:paraId="4212605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2" w:hRule="atLeast"/>
          <w:jc w:val="center"/>
        </w:trPr>
        <w:tc>
          <w:tcPr>
            <w:tcW w:w="534" w:type="dxa"/>
            <w:vMerge w:val="continue"/>
            <w:tcBorders>
              <w:tl2br w:val="nil"/>
              <w:tr2bl w:val="nil"/>
            </w:tcBorders>
            <w:vAlign w:val="center"/>
          </w:tcPr>
          <w:p w14:paraId="632656E8">
            <w:pPr>
              <w:adjustRightInd w:val="0"/>
              <w:snapToGrid w:val="0"/>
              <w:spacing w:line="240" w:lineRule="auto"/>
              <w:jc w:val="center"/>
              <w:rPr>
                <w:sz w:val="21"/>
                <w:szCs w:val="21"/>
              </w:rPr>
            </w:pPr>
          </w:p>
        </w:tc>
        <w:tc>
          <w:tcPr>
            <w:tcW w:w="6907" w:type="dxa"/>
            <w:gridSpan w:val="8"/>
            <w:tcBorders>
              <w:right w:val="single" w:color="000000" w:sz="8" w:space="0"/>
              <w:tl2br w:val="nil"/>
              <w:tr2bl w:val="nil"/>
            </w:tcBorders>
            <w:vAlign w:val="center"/>
          </w:tcPr>
          <w:p w14:paraId="16C5AE52">
            <w:pPr>
              <w:adjustRightInd w:val="0"/>
              <w:snapToGrid w:val="0"/>
              <w:spacing w:line="240" w:lineRule="auto"/>
              <w:jc w:val="center"/>
              <w:rPr>
                <w:sz w:val="21"/>
                <w:szCs w:val="21"/>
              </w:rPr>
            </w:pPr>
            <w:r>
              <w:rPr>
                <w:sz w:val="21"/>
                <w:szCs w:val="21"/>
              </w:rPr>
              <w:t>厂址周边500m范围内人口数小计</w:t>
            </w:r>
          </w:p>
        </w:tc>
        <w:tc>
          <w:tcPr>
            <w:tcW w:w="949" w:type="dxa"/>
            <w:tcBorders>
              <w:left w:val="single" w:color="000000" w:sz="8" w:space="0"/>
              <w:tl2br w:val="nil"/>
              <w:tr2bl w:val="nil"/>
            </w:tcBorders>
            <w:vAlign w:val="center"/>
          </w:tcPr>
          <w:p w14:paraId="0DC874EA">
            <w:pPr>
              <w:adjustRightInd w:val="0"/>
              <w:snapToGrid w:val="0"/>
              <w:spacing w:line="240" w:lineRule="auto"/>
              <w:jc w:val="center"/>
              <w:rPr>
                <w:sz w:val="21"/>
                <w:szCs w:val="21"/>
              </w:rPr>
            </w:pPr>
            <w:r>
              <w:rPr>
                <w:rFonts w:hint="eastAsia"/>
                <w:sz w:val="21"/>
                <w:szCs w:val="21"/>
              </w:rPr>
              <w:t>0人</w:t>
            </w:r>
          </w:p>
        </w:tc>
      </w:tr>
      <w:tr w14:paraId="038F116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2" w:hRule="atLeast"/>
          <w:jc w:val="center"/>
        </w:trPr>
        <w:tc>
          <w:tcPr>
            <w:tcW w:w="534" w:type="dxa"/>
            <w:vMerge w:val="continue"/>
            <w:tcBorders>
              <w:tl2br w:val="nil"/>
              <w:tr2bl w:val="nil"/>
            </w:tcBorders>
            <w:vAlign w:val="center"/>
          </w:tcPr>
          <w:p w14:paraId="61BBE9C9">
            <w:pPr>
              <w:adjustRightInd w:val="0"/>
              <w:snapToGrid w:val="0"/>
              <w:spacing w:line="240" w:lineRule="auto"/>
              <w:jc w:val="center"/>
              <w:rPr>
                <w:sz w:val="21"/>
                <w:szCs w:val="21"/>
              </w:rPr>
            </w:pPr>
          </w:p>
        </w:tc>
        <w:tc>
          <w:tcPr>
            <w:tcW w:w="6907" w:type="dxa"/>
            <w:gridSpan w:val="8"/>
            <w:tcBorders>
              <w:right w:val="single" w:color="000000" w:sz="8" w:space="0"/>
              <w:tl2br w:val="nil"/>
              <w:tr2bl w:val="nil"/>
            </w:tcBorders>
            <w:vAlign w:val="center"/>
          </w:tcPr>
          <w:p w14:paraId="0835AB6D">
            <w:pPr>
              <w:adjustRightInd w:val="0"/>
              <w:snapToGrid w:val="0"/>
              <w:spacing w:line="240" w:lineRule="auto"/>
              <w:jc w:val="center"/>
              <w:rPr>
                <w:sz w:val="21"/>
                <w:szCs w:val="21"/>
              </w:rPr>
            </w:pPr>
            <w:r>
              <w:rPr>
                <w:sz w:val="21"/>
                <w:szCs w:val="21"/>
              </w:rPr>
              <w:t>厂址周边</w:t>
            </w:r>
            <w:r>
              <w:rPr>
                <w:rFonts w:hint="eastAsia"/>
                <w:sz w:val="21"/>
                <w:szCs w:val="21"/>
              </w:rPr>
              <w:t>5km</w:t>
            </w:r>
            <w:r>
              <w:rPr>
                <w:sz w:val="21"/>
                <w:szCs w:val="21"/>
              </w:rPr>
              <w:t>范围内人口数小计</w:t>
            </w:r>
          </w:p>
        </w:tc>
        <w:tc>
          <w:tcPr>
            <w:tcW w:w="949" w:type="dxa"/>
            <w:tcBorders>
              <w:left w:val="single" w:color="000000" w:sz="8" w:space="0"/>
              <w:tl2br w:val="nil"/>
              <w:tr2bl w:val="nil"/>
            </w:tcBorders>
            <w:vAlign w:val="center"/>
          </w:tcPr>
          <w:p w14:paraId="387A0449">
            <w:pPr>
              <w:adjustRightInd w:val="0"/>
              <w:snapToGrid w:val="0"/>
              <w:spacing w:line="240" w:lineRule="auto"/>
              <w:jc w:val="center"/>
              <w:rPr>
                <w:sz w:val="21"/>
                <w:szCs w:val="21"/>
              </w:rPr>
            </w:pPr>
            <w:r>
              <w:rPr>
                <w:rFonts w:hint="eastAsia"/>
                <w:sz w:val="21"/>
                <w:szCs w:val="21"/>
              </w:rPr>
              <w:t>30000人</w:t>
            </w:r>
          </w:p>
        </w:tc>
      </w:tr>
      <w:tr w14:paraId="4D870C7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3" w:hRule="atLeast"/>
          <w:jc w:val="center"/>
        </w:trPr>
        <w:tc>
          <w:tcPr>
            <w:tcW w:w="534" w:type="dxa"/>
            <w:vMerge w:val="restart"/>
            <w:tcBorders>
              <w:tl2br w:val="nil"/>
              <w:tr2bl w:val="nil"/>
            </w:tcBorders>
            <w:vAlign w:val="center"/>
          </w:tcPr>
          <w:p w14:paraId="2AF5921D">
            <w:pPr>
              <w:adjustRightInd w:val="0"/>
              <w:snapToGrid w:val="0"/>
              <w:spacing w:line="240" w:lineRule="auto"/>
              <w:jc w:val="center"/>
              <w:rPr>
                <w:sz w:val="21"/>
                <w:szCs w:val="21"/>
              </w:rPr>
            </w:pPr>
            <w:r>
              <w:rPr>
                <w:sz w:val="21"/>
                <w:szCs w:val="21"/>
              </w:rPr>
              <w:t>地</w:t>
            </w:r>
          </w:p>
          <w:p w14:paraId="30A43643">
            <w:pPr>
              <w:adjustRightInd w:val="0"/>
              <w:snapToGrid w:val="0"/>
              <w:spacing w:line="240" w:lineRule="auto"/>
              <w:jc w:val="center"/>
              <w:rPr>
                <w:sz w:val="21"/>
                <w:szCs w:val="21"/>
              </w:rPr>
            </w:pPr>
            <w:r>
              <w:rPr>
                <w:sz w:val="21"/>
                <w:szCs w:val="21"/>
              </w:rPr>
              <w:t>表</w:t>
            </w:r>
          </w:p>
          <w:p w14:paraId="78E33BAD">
            <w:pPr>
              <w:adjustRightInd w:val="0"/>
              <w:snapToGrid w:val="0"/>
              <w:spacing w:line="240" w:lineRule="auto"/>
              <w:jc w:val="center"/>
              <w:rPr>
                <w:sz w:val="21"/>
                <w:szCs w:val="21"/>
              </w:rPr>
            </w:pPr>
            <w:r>
              <w:rPr>
                <w:sz w:val="21"/>
                <w:szCs w:val="21"/>
              </w:rPr>
              <w:t>水</w:t>
            </w:r>
          </w:p>
        </w:tc>
        <w:tc>
          <w:tcPr>
            <w:tcW w:w="7856" w:type="dxa"/>
            <w:gridSpan w:val="9"/>
            <w:tcBorders>
              <w:tl2br w:val="nil"/>
              <w:tr2bl w:val="nil"/>
            </w:tcBorders>
            <w:vAlign w:val="center"/>
          </w:tcPr>
          <w:p w14:paraId="72CB2EC8">
            <w:pPr>
              <w:adjustRightInd w:val="0"/>
              <w:snapToGrid w:val="0"/>
              <w:spacing w:line="240" w:lineRule="auto"/>
              <w:jc w:val="center"/>
              <w:rPr>
                <w:sz w:val="21"/>
                <w:szCs w:val="21"/>
              </w:rPr>
            </w:pPr>
            <w:r>
              <w:rPr>
                <w:sz w:val="21"/>
                <w:szCs w:val="21"/>
              </w:rPr>
              <w:t>受纳水体</w:t>
            </w:r>
          </w:p>
        </w:tc>
      </w:tr>
      <w:tr w14:paraId="22CD7C4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2" w:hRule="atLeast"/>
          <w:jc w:val="center"/>
        </w:trPr>
        <w:tc>
          <w:tcPr>
            <w:tcW w:w="534" w:type="dxa"/>
            <w:vMerge w:val="continue"/>
            <w:tcBorders>
              <w:tl2br w:val="nil"/>
              <w:tr2bl w:val="nil"/>
            </w:tcBorders>
            <w:vAlign w:val="center"/>
          </w:tcPr>
          <w:p w14:paraId="05B155ED">
            <w:pPr>
              <w:adjustRightInd w:val="0"/>
              <w:snapToGrid w:val="0"/>
              <w:spacing w:line="240" w:lineRule="auto"/>
              <w:jc w:val="center"/>
              <w:rPr>
                <w:sz w:val="21"/>
                <w:szCs w:val="21"/>
              </w:rPr>
            </w:pPr>
          </w:p>
        </w:tc>
        <w:tc>
          <w:tcPr>
            <w:tcW w:w="532" w:type="dxa"/>
            <w:tcBorders>
              <w:tl2br w:val="nil"/>
              <w:tr2bl w:val="nil"/>
            </w:tcBorders>
            <w:vAlign w:val="center"/>
          </w:tcPr>
          <w:p w14:paraId="78A42731">
            <w:pPr>
              <w:adjustRightInd w:val="0"/>
              <w:snapToGrid w:val="0"/>
              <w:spacing w:line="240" w:lineRule="auto"/>
              <w:jc w:val="center"/>
              <w:rPr>
                <w:sz w:val="21"/>
                <w:szCs w:val="21"/>
              </w:rPr>
            </w:pPr>
            <w:r>
              <w:rPr>
                <w:sz w:val="21"/>
                <w:szCs w:val="21"/>
              </w:rPr>
              <w:t>序号</w:t>
            </w:r>
          </w:p>
        </w:tc>
        <w:tc>
          <w:tcPr>
            <w:tcW w:w="2366" w:type="dxa"/>
            <w:gridSpan w:val="2"/>
            <w:tcBorders>
              <w:tl2br w:val="nil"/>
              <w:tr2bl w:val="nil"/>
            </w:tcBorders>
            <w:vAlign w:val="center"/>
          </w:tcPr>
          <w:p w14:paraId="1091878E">
            <w:pPr>
              <w:adjustRightInd w:val="0"/>
              <w:snapToGrid w:val="0"/>
              <w:spacing w:line="240" w:lineRule="auto"/>
              <w:jc w:val="center"/>
              <w:rPr>
                <w:sz w:val="21"/>
                <w:szCs w:val="21"/>
              </w:rPr>
            </w:pPr>
            <w:r>
              <w:rPr>
                <w:sz w:val="21"/>
                <w:szCs w:val="21"/>
              </w:rPr>
              <w:t>受纳水体名称</w:t>
            </w:r>
          </w:p>
        </w:tc>
        <w:tc>
          <w:tcPr>
            <w:tcW w:w="2235" w:type="dxa"/>
            <w:gridSpan w:val="3"/>
            <w:tcBorders>
              <w:tl2br w:val="nil"/>
              <w:tr2bl w:val="nil"/>
            </w:tcBorders>
            <w:vAlign w:val="center"/>
          </w:tcPr>
          <w:p w14:paraId="587B2837">
            <w:pPr>
              <w:adjustRightInd w:val="0"/>
              <w:snapToGrid w:val="0"/>
              <w:spacing w:line="240" w:lineRule="auto"/>
              <w:jc w:val="center"/>
              <w:rPr>
                <w:sz w:val="21"/>
                <w:szCs w:val="21"/>
              </w:rPr>
            </w:pPr>
            <w:r>
              <w:rPr>
                <w:sz w:val="21"/>
                <w:szCs w:val="21"/>
              </w:rPr>
              <w:t>排放点水域环境功能</w:t>
            </w:r>
          </w:p>
        </w:tc>
        <w:tc>
          <w:tcPr>
            <w:tcW w:w="2723" w:type="dxa"/>
            <w:gridSpan w:val="3"/>
            <w:tcBorders>
              <w:tl2br w:val="nil"/>
              <w:tr2bl w:val="nil"/>
            </w:tcBorders>
            <w:vAlign w:val="center"/>
          </w:tcPr>
          <w:p w14:paraId="7E266449">
            <w:pPr>
              <w:adjustRightInd w:val="0"/>
              <w:snapToGrid w:val="0"/>
              <w:spacing w:line="240" w:lineRule="auto"/>
              <w:jc w:val="center"/>
              <w:rPr>
                <w:sz w:val="21"/>
                <w:szCs w:val="21"/>
              </w:rPr>
            </w:pPr>
            <w:r>
              <w:rPr>
                <w:sz w:val="21"/>
                <w:szCs w:val="21"/>
              </w:rPr>
              <w:t>24h内流经范围/km</w:t>
            </w:r>
          </w:p>
        </w:tc>
      </w:tr>
      <w:tr w14:paraId="10B733C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70" w:hRule="atLeast"/>
          <w:jc w:val="center"/>
        </w:trPr>
        <w:tc>
          <w:tcPr>
            <w:tcW w:w="534" w:type="dxa"/>
            <w:vMerge w:val="continue"/>
            <w:tcBorders>
              <w:tl2br w:val="nil"/>
              <w:tr2bl w:val="nil"/>
            </w:tcBorders>
            <w:vAlign w:val="center"/>
          </w:tcPr>
          <w:p w14:paraId="4FCE006C">
            <w:pPr>
              <w:adjustRightInd w:val="0"/>
              <w:snapToGrid w:val="0"/>
              <w:spacing w:line="240" w:lineRule="auto"/>
              <w:jc w:val="center"/>
              <w:rPr>
                <w:sz w:val="21"/>
                <w:szCs w:val="21"/>
              </w:rPr>
            </w:pPr>
          </w:p>
        </w:tc>
        <w:tc>
          <w:tcPr>
            <w:tcW w:w="532" w:type="dxa"/>
            <w:tcBorders>
              <w:tl2br w:val="nil"/>
              <w:tr2bl w:val="nil"/>
            </w:tcBorders>
            <w:vAlign w:val="center"/>
          </w:tcPr>
          <w:p w14:paraId="786EF6F6">
            <w:pPr>
              <w:adjustRightInd w:val="0"/>
              <w:snapToGrid w:val="0"/>
              <w:spacing w:line="240" w:lineRule="auto"/>
              <w:jc w:val="center"/>
              <w:rPr>
                <w:sz w:val="21"/>
                <w:szCs w:val="21"/>
              </w:rPr>
            </w:pPr>
            <w:r>
              <w:rPr>
                <w:sz w:val="21"/>
                <w:szCs w:val="21"/>
              </w:rPr>
              <w:t>1</w:t>
            </w:r>
          </w:p>
        </w:tc>
        <w:tc>
          <w:tcPr>
            <w:tcW w:w="2366" w:type="dxa"/>
            <w:gridSpan w:val="2"/>
            <w:tcBorders>
              <w:tl2br w:val="nil"/>
              <w:tr2bl w:val="nil"/>
            </w:tcBorders>
            <w:vAlign w:val="center"/>
          </w:tcPr>
          <w:p w14:paraId="53348E89">
            <w:pPr>
              <w:adjustRightInd w:val="0"/>
              <w:snapToGrid w:val="0"/>
              <w:spacing w:line="240" w:lineRule="auto"/>
              <w:jc w:val="center"/>
              <w:rPr>
                <w:sz w:val="21"/>
                <w:szCs w:val="21"/>
              </w:rPr>
            </w:pPr>
            <w:r>
              <w:rPr>
                <w:sz w:val="21"/>
                <w:szCs w:val="21"/>
              </w:rPr>
              <w:t>湘江</w:t>
            </w:r>
          </w:p>
        </w:tc>
        <w:tc>
          <w:tcPr>
            <w:tcW w:w="2235" w:type="dxa"/>
            <w:gridSpan w:val="3"/>
            <w:tcBorders>
              <w:tl2br w:val="nil"/>
              <w:tr2bl w:val="nil"/>
            </w:tcBorders>
            <w:vAlign w:val="center"/>
          </w:tcPr>
          <w:p w14:paraId="06ECF602">
            <w:pPr>
              <w:adjustRightInd w:val="0"/>
              <w:snapToGrid w:val="0"/>
              <w:spacing w:line="240" w:lineRule="auto"/>
              <w:jc w:val="center"/>
              <w:rPr>
                <w:sz w:val="21"/>
                <w:szCs w:val="21"/>
              </w:rPr>
            </w:pPr>
            <w:r>
              <w:rPr>
                <w:sz w:val="21"/>
                <w:szCs w:val="21"/>
              </w:rPr>
              <w:t>Ⅲ类</w:t>
            </w:r>
          </w:p>
        </w:tc>
        <w:tc>
          <w:tcPr>
            <w:tcW w:w="2723" w:type="dxa"/>
            <w:gridSpan w:val="3"/>
            <w:tcBorders>
              <w:tl2br w:val="nil"/>
              <w:tr2bl w:val="nil"/>
            </w:tcBorders>
            <w:vAlign w:val="center"/>
          </w:tcPr>
          <w:p w14:paraId="6CE86A16">
            <w:pPr>
              <w:adjustRightInd w:val="0"/>
              <w:snapToGrid w:val="0"/>
              <w:spacing w:line="240" w:lineRule="auto"/>
              <w:jc w:val="center"/>
              <w:rPr>
                <w:sz w:val="21"/>
                <w:szCs w:val="21"/>
              </w:rPr>
            </w:pPr>
            <w:r>
              <w:rPr>
                <w:sz w:val="21"/>
                <w:szCs w:val="21"/>
              </w:rPr>
              <w:t>/</w:t>
            </w:r>
          </w:p>
        </w:tc>
      </w:tr>
      <w:tr w14:paraId="0E0F994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66" w:hRule="atLeast"/>
          <w:jc w:val="center"/>
        </w:trPr>
        <w:tc>
          <w:tcPr>
            <w:tcW w:w="534" w:type="dxa"/>
            <w:vMerge w:val="restart"/>
            <w:tcBorders>
              <w:tl2br w:val="nil"/>
              <w:tr2bl w:val="nil"/>
            </w:tcBorders>
            <w:vAlign w:val="center"/>
          </w:tcPr>
          <w:p w14:paraId="204F7718">
            <w:pPr>
              <w:adjustRightInd w:val="0"/>
              <w:snapToGrid w:val="0"/>
              <w:spacing w:line="240" w:lineRule="auto"/>
              <w:jc w:val="center"/>
              <w:rPr>
                <w:sz w:val="21"/>
                <w:szCs w:val="21"/>
              </w:rPr>
            </w:pPr>
            <w:r>
              <w:rPr>
                <w:sz w:val="21"/>
                <w:szCs w:val="21"/>
              </w:rPr>
              <w:t>地</w:t>
            </w:r>
          </w:p>
          <w:p w14:paraId="1A06CE1A">
            <w:pPr>
              <w:adjustRightInd w:val="0"/>
              <w:snapToGrid w:val="0"/>
              <w:spacing w:line="240" w:lineRule="auto"/>
              <w:jc w:val="center"/>
              <w:rPr>
                <w:sz w:val="21"/>
                <w:szCs w:val="21"/>
              </w:rPr>
            </w:pPr>
            <w:r>
              <w:rPr>
                <w:sz w:val="21"/>
                <w:szCs w:val="21"/>
              </w:rPr>
              <w:t>下</w:t>
            </w:r>
          </w:p>
          <w:p w14:paraId="762DE41C">
            <w:pPr>
              <w:adjustRightInd w:val="0"/>
              <w:snapToGrid w:val="0"/>
              <w:spacing w:line="240" w:lineRule="auto"/>
              <w:jc w:val="center"/>
              <w:rPr>
                <w:sz w:val="21"/>
                <w:szCs w:val="21"/>
              </w:rPr>
            </w:pPr>
            <w:r>
              <w:rPr>
                <w:sz w:val="21"/>
                <w:szCs w:val="21"/>
              </w:rPr>
              <w:t>水</w:t>
            </w:r>
          </w:p>
        </w:tc>
        <w:tc>
          <w:tcPr>
            <w:tcW w:w="532" w:type="dxa"/>
            <w:tcBorders>
              <w:tl2br w:val="nil"/>
              <w:tr2bl w:val="nil"/>
            </w:tcBorders>
            <w:vAlign w:val="center"/>
          </w:tcPr>
          <w:p w14:paraId="57038CCE">
            <w:pPr>
              <w:adjustRightInd w:val="0"/>
              <w:snapToGrid w:val="0"/>
              <w:spacing w:line="240" w:lineRule="auto"/>
              <w:jc w:val="center"/>
              <w:rPr>
                <w:sz w:val="21"/>
                <w:szCs w:val="21"/>
              </w:rPr>
            </w:pPr>
            <w:r>
              <w:rPr>
                <w:sz w:val="21"/>
                <w:szCs w:val="21"/>
              </w:rPr>
              <w:t>序号</w:t>
            </w:r>
          </w:p>
        </w:tc>
        <w:tc>
          <w:tcPr>
            <w:tcW w:w="1577" w:type="dxa"/>
            <w:tcBorders>
              <w:tl2br w:val="nil"/>
              <w:tr2bl w:val="nil"/>
            </w:tcBorders>
            <w:vAlign w:val="center"/>
          </w:tcPr>
          <w:p w14:paraId="28A8805B">
            <w:pPr>
              <w:adjustRightInd w:val="0"/>
              <w:snapToGrid w:val="0"/>
              <w:spacing w:line="240" w:lineRule="auto"/>
              <w:jc w:val="center"/>
              <w:rPr>
                <w:sz w:val="21"/>
                <w:szCs w:val="21"/>
              </w:rPr>
            </w:pPr>
            <w:r>
              <w:rPr>
                <w:sz w:val="21"/>
                <w:szCs w:val="21"/>
              </w:rPr>
              <w:t>环境敏感区名称</w:t>
            </w:r>
          </w:p>
        </w:tc>
        <w:tc>
          <w:tcPr>
            <w:tcW w:w="1296" w:type="dxa"/>
            <w:gridSpan w:val="2"/>
            <w:tcBorders>
              <w:tl2br w:val="nil"/>
              <w:tr2bl w:val="nil"/>
            </w:tcBorders>
            <w:vAlign w:val="center"/>
          </w:tcPr>
          <w:p w14:paraId="0BC620E2">
            <w:pPr>
              <w:adjustRightInd w:val="0"/>
              <w:snapToGrid w:val="0"/>
              <w:spacing w:line="240" w:lineRule="auto"/>
              <w:jc w:val="center"/>
              <w:rPr>
                <w:sz w:val="21"/>
                <w:szCs w:val="21"/>
              </w:rPr>
            </w:pPr>
            <w:r>
              <w:rPr>
                <w:sz w:val="21"/>
                <w:szCs w:val="21"/>
              </w:rPr>
              <w:t>环境敏感特征</w:t>
            </w:r>
          </w:p>
        </w:tc>
        <w:tc>
          <w:tcPr>
            <w:tcW w:w="1049" w:type="dxa"/>
            <w:tcBorders>
              <w:tl2br w:val="nil"/>
              <w:tr2bl w:val="nil"/>
            </w:tcBorders>
            <w:vAlign w:val="center"/>
          </w:tcPr>
          <w:p w14:paraId="550976C7">
            <w:pPr>
              <w:adjustRightInd w:val="0"/>
              <w:snapToGrid w:val="0"/>
              <w:spacing w:line="240" w:lineRule="auto"/>
              <w:jc w:val="center"/>
              <w:rPr>
                <w:sz w:val="21"/>
                <w:szCs w:val="21"/>
              </w:rPr>
            </w:pPr>
            <w:r>
              <w:rPr>
                <w:sz w:val="21"/>
                <w:szCs w:val="21"/>
              </w:rPr>
              <w:t>水质目标</w:t>
            </w:r>
          </w:p>
        </w:tc>
        <w:tc>
          <w:tcPr>
            <w:tcW w:w="1696" w:type="dxa"/>
            <w:gridSpan w:val="2"/>
            <w:tcBorders>
              <w:tl2br w:val="nil"/>
              <w:tr2bl w:val="nil"/>
            </w:tcBorders>
            <w:vAlign w:val="center"/>
          </w:tcPr>
          <w:p w14:paraId="29C4C7F8">
            <w:pPr>
              <w:adjustRightInd w:val="0"/>
              <w:snapToGrid w:val="0"/>
              <w:spacing w:line="240" w:lineRule="auto"/>
              <w:jc w:val="center"/>
              <w:rPr>
                <w:sz w:val="21"/>
                <w:szCs w:val="21"/>
              </w:rPr>
            </w:pPr>
            <w:r>
              <w:rPr>
                <w:sz w:val="21"/>
                <w:szCs w:val="21"/>
              </w:rPr>
              <w:t>包气带防污性能</w:t>
            </w:r>
          </w:p>
        </w:tc>
        <w:tc>
          <w:tcPr>
            <w:tcW w:w="1706" w:type="dxa"/>
            <w:gridSpan w:val="2"/>
            <w:tcBorders>
              <w:tl2br w:val="nil"/>
              <w:tr2bl w:val="nil"/>
            </w:tcBorders>
            <w:vAlign w:val="center"/>
          </w:tcPr>
          <w:p w14:paraId="7E1A72AB">
            <w:pPr>
              <w:adjustRightInd w:val="0"/>
              <w:snapToGrid w:val="0"/>
              <w:spacing w:line="240" w:lineRule="auto"/>
              <w:jc w:val="center"/>
              <w:rPr>
                <w:sz w:val="21"/>
                <w:szCs w:val="21"/>
              </w:rPr>
            </w:pPr>
            <w:r>
              <w:rPr>
                <w:sz w:val="21"/>
                <w:szCs w:val="21"/>
              </w:rPr>
              <w:t>与下游厂界距离/m</w:t>
            </w:r>
          </w:p>
        </w:tc>
      </w:tr>
      <w:tr w14:paraId="554A6CF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255" w:hRule="atLeast"/>
          <w:jc w:val="center"/>
        </w:trPr>
        <w:tc>
          <w:tcPr>
            <w:tcW w:w="534" w:type="dxa"/>
            <w:vMerge w:val="continue"/>
            <w:tcBorders>
              <w:tl2br w:val="nil"/>
              <w:tr2bl w:val="nil"/>
            </w:tcBorders>
            <w:vAlign w:val="center"/>
          </w:tcPr>
          <w:p w14:paraId="6B7CC80A">
            <w:pPr>
              <w:adjustRightInd w:val="0"/>
              <w:snapToGrid w:val="0"/>
              <w:spacing w:line="240" w:lineRule="auto"/>
              <w:jc w:val="center"/>
              <w:rPr>
                <w:sz w:val="21"/>
                <w:szCs w:val="21"/>
              </w:rPr>
            </w:pPr>
          </w:p>
        </w:tc>
        <w:tc>
          <w:tcPr>
            <w:tcW w:w="7856" w:type="dxa"/>
            <w:gridSpan w:val="9"/>
            <w:tcBorders>
              <w:tl2br w:val="nil"/>
              <w:tr2bl w:val="nil"/>
            </w:tcBorders>
            <w:vAlign w:val="center"/>
          </w:tcPr>
          <w:p w14:paraId="20BB45CD">
            <w:pPr>
              <w:adjustRightInd w:val="0"/>
              <w:snapToGrid w:val="0"/>
              <w:spacing w:line="240" w:lineRule="auto"/>
              <w:jc w:val="center"/>
              <w:rPr>
                <w:sz w:val="21"/>
                <w:szCs w:val="21"/>
              </w:rPr>
            </w:pPr>
            <w:r>
              <w:rPr>
                <w:sz w:val="21"/>
                <w:szCs w:val="21"/>
              </w:rPr>
              <w:t>无</w:t>
            </w:r>
          </w:p>
        </w:tc>
      </w:tr>
    </w:tbl>
    <w:p w14:paraId="5AC428D0">
      <w:pPr>
        <w:ind w:firstLine="480"/>
        <w:rPr>
          <w:color w:val="FF0000"/>
        </w:rPr>
      </w:pPr>
    </w:p>
    <w:p w14:paraId="5F0D09A5">
      <w:pPr>
        <w:ind w:firstLine="480"/>
        <w:rPr>
          <w:color w:val="FF0000"/>
        </w:rPr>
      </w:pPr>
    </w:p>
    <w:p w14:paraId="11F17F24">
      <w:pPr>
        <w:ind w:firstLine="480"/>
        <w:rPr>
          <w:color w:val="FF0000"/>
        </w:rPr>
      </w:pPr>
    </w:p>
    <w:p w14:paraId="52FA1BA7">
      <w:pPr>
        <w:ind w:firstLine="480"/>
        <w:rPr>
          <w:color w:val="FF0000"/>
        </w:rPr>
      </w:pPr>
    </w:p>
    <w:p w14:paraId="672C8AC2">
      <w:pPr>
        <w:pStyle w:val="38"/>
        <w:rPr>
          <w:color w:val="FF0000"/>
        </w:rPr>
      </w:pPr>
    </w:p>
    <w:p w14:paraId="17D4B263">
      <w:pPr>
        <w:pStyle w:val="38"/>
        <w:rPr>
          <w:color w:val="FF0000"/>
        </w:rPr>
      </w:pPr>
    </w:p>
    <w:p w14:paraId="22EF8A5B">
      <w:pPr>
        <w:pStyle w:val="38"/>
        <w:rPr>
          <w:color w:val="FF0000"/>
        </w:rPr>
      </w:pPr>
    </w:p>
    <w:p w14:paraId="4FC15B1F">
      <w:pPr>
        <w:pStyle w:val="38"/>
        <w:rPr>
          <w:color w:val="FF0000"/>
        </w:rPr>
      </w:pPr>
    </w:p>
    <w:p w14:paraId="6D0A2B2C">
      <w:pPr>
        <w:pStyle w:val="38"/>
        <w:rPr>
          <w:color w:val="FF0000"/>
        </w:rPr>
      </w:pPr>
    </w:p>
    <w:p w14:paraId="45702936">
      <w:pPr>
        <w:pStyle w:val="38"/>
        <w:rPr>
          <w:color w:val="FF0000"/>
        </w:rPr>
      </w:pPr>
    </w:p>
    <w:p w14:paraId="5B14A8AE">
      <w:pPr>
        <w:pStyle w:val="38"/>
        <w:rPr>
          <w:color w:val="FF0000"/>
        </w:rPr>
      </w:pPr>
    </w:p>
    <w:p w14:paraId="1DD1E494">
      <w:pPr>
        <w:pStyle w:val="38"/>
        <w:rPr>
          <w:color w:val="FF0000"/>
        </w:rPr>
      </w:pPr>
    </w:p>
    <w:p w14:paraId="4DE5E74E">
      <w:pPr>
        <w:pStyle w:val="38"/>
        <w:rPr>
          <w:color w:val="FF0000"/>
        </w:rPr>
      </w:pPr>
    </w:p>
    <w:p w14:paraId="5BB9E684">
      <w:pPr>
        <w:pStyle w:val="38"/>
        <w:rPr>
          <w:color w:val="FF0000"/>
        </w:rPr>
      </w:pPr>
    </w:p>
    <w:p w14:paraId="1ACD9264">
      <w:pPr>
        <w:pStyle w:val="38"/>
        <w:rPr>
          <w:color w:val="FF0000"/>
        </w:rPr>
      </w:pPr>
    </w:p>
    <w:p w14:paraId="0E17F9AA">
      <w:pPr>
        <w:pStyle w:val="38"/>
        <w:rPr>
          <w:color w:val="FF0000"/>
        </w:rPr>
      </w:pPr>
    </w:p>
    <w:p w14:paraId="189D84CF">
      <w:pPr>
        <w:pStyle w:val="38"/>
        <w:rPr>
          <w:color w:val="FF0000"/>
        </w:rPr>
      </w:pPr>
    </w:p>
    <w:p w14:paraId="65AFEE2F">
      <w:pPr>
        <w:ind w:firstLine="480"/>
        <w:rPr>
          <w:color w:val="FF0000"/>
        </w:rPr>
      </w:pPr>
    </w:p>
    <w:p w14:paraId="6F865B66">
      <w:pPr>
        <w:ind w:firstLine="480"/>
        <w:rPr>
          <w:color w:val="FF0000"/>
        </w:rPr>
      </w:pPr>
    </w:p>
    <w:p w14:paraId="3C943A51">
      <w:pPr>
        <w:ind w:firstLine="480"/>
        <w:rPr>
          <w:color w:val="FF0000"/>
        </w:rPr>
      </w:pPr>
    </w:p>
    <w:p w14:paraId="3F91103D">
      <w:pPr>
        <w:ind w:firstLine="480"/>
        <w:rPr>
          <w:color w:val="FF0000"/>
        </w:rPr>
      </w:pPr>
    </w:p>
    <w:p w14:paraId="663289F0">
      <w:pPr>
        <w:ind w:firstLine="480"/>
        <w:rPr>
          <w:color w:val="FF0000"/>
        </w:rPr>
      </w:pPr>
    </w:p>
    <w:p w14:paraId="6F847F9E">
      <w:pPr>
        <w:ind w:firstLine="480"/>
        <w:rPr>
          <w:color w:val="FF0000"/>
        </w:rPr>
      </w:pPr>
    </w:p>
    <w:p w14:paraId="64CD69D0">
      <w:pPr>
        <w:pStyle w:val="2"/>
        <w:numPr>
          <w:ilvl w:val="0"/>
          <w:numId w:val="0"/>
        </w:numPr>
        <w:ind w:left="425" w:leftChars="0" w:hanging="425" w:firstLineChars="0"/>
        <w:rPr>
          <w:color w:val="auto"/>
        </w:rPr>
      </w:pPr>
      <w:bookmarkStart w:id="70" w:name="_Toc24847"/>
      <w:r>
        <w:rPr>
          <w:rFonts w:hint="default" w:ascii="宋体" w:hAnsi="宋体" w:eastAsia="宋体" w:cs="宋体"/>
          <w:b/>
          <w:bCs/>
          <w:color w:val="auto"/>
          <w:kern w:val="44"/>
          <w:sz w:val="32"/>
          <w:szCs w:val="32"/>
          <w:lang w:val="en-US" w:eastAsia="zh-CN" w:bidi="ar-SA"/>
        </w:rPr>
        <w:t>第3章</w:t>
      </w:r>
      <w:r>
        <w:rPr>
          <w:rFonts w:hint="eastAsia"/>
          <w:color w:val="auto"/>
        </w:rPr>
        <w:t>现有工程概况</w:t>
      </w:r>
      <w:bookmarkEnd w:id="70"/>
    </w:p>
    <w:p w14:paraId="41D923D9">
      <w:pPr>
        <w:pStyle w:val="3"/>
        <w:numPr>
          <w:ilvl w:val="1"/>
          <w:numId w:val="0"/>
        </w:numPr>
        <w:ind w:left="567" w:leftChars="0" w:hanging="567" w:firstLineChars="0"/>
        <w:rPr>
          <w:sz w:val="28"/>
          <w:szCs w:val="28"/>
        </w:rPr>
      </w:pPr>
      <w:bookmarkStart w:id="71" w:name="_Toc5272"/>
      <w:r>
        <w:rPr>
          <w:rFonts w:hint="default" w:ascii="宋体" w:hAnsi="宋体" w:eastAsia="宋体" w:cs="宋体"/>
          <w:b/>
          <w:bCs/>
          <w:kern w:val="2"/>
          <w:sz w:val="28"/>
          <w:szCs w:val="28"/>
          <w:lang w:val="en-US" w:eastAsia="zh-CN" w:bidi="ar-SA"/>
        </w:rPr>
        <w:t>3.1</w:t>
      </w:r>
      <w:r>
        <w:rPr>
          <w:rFonts w:hint="eastAsia"/>
          <w:sz w:val="28"/>
          <w:szCs w:val="28"/>
        </w:rPr>
        <w:t>已建工程概况</w:t>
      </w:r>
      <w:bookmarkEnd w:id="71"/>
    </w:p>
    <w:p w14:paraId="7E3F3FA0">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3.1.1</w:t>
      </w:r>
      <w:r>
        <w:rPr>
          <w:rFonts w:hint="eastAsia"/>
        </w:rPr>
        <w:t>已建工程环保手续履行情况</w:t>
      </w:r>
    </w:p>
    <w:p w14:paraId="4E418EDA">
      <w:pPr>
        <w:ind w:firstLine="480"/>
        <w:rPr>
          <w:rFonts w:hint="eastAsia" w:eastAsia="宋体"/>
          <w:lang w:val="en-US" w:eastAsia="zh-CN"/>
        </w:rPr>
      </w:pPr>
      <w:r>
        <w:rPr>
          <w:rFonts w:hint="eastAsia"/>
        </w:rPr>
        <w:t>该公司已建工程的环保手续环保履行</w:t>
      </w:r>
      <w:r>
        <w:t>情况</w:t>
      </w:r>
      <w:r>
        <w:rPr>
          <w:rFonts w:hint="eastAsia"/>
        </w:rPr>
        <w:t>详见</w:t>
      </w:r>
      <w:r>
        <w:t>下表。</w:t>
      </w:r>
      <w:r>
        <w:rPr>
          <w:rFonts w:hint="eastAsia"/>
          <w:lang w:val="en-US" w:eastAsia="zh-CN"/>
        </w:rPr>
        <w:t xml:space="preserve"> </w:t>
      </w:r>
    </w:p>
    <w:p w14:paraId="02E94784">
      <w:pPr>
        <w:pStyle w:val="51"/>
        <w:numPr>
          <w:ilvl w:val="0"/>
          <w:numId w:val="0"/>
        </w:numPr>
        <w:spacing w:before="156"/>
        <w:ind w:firstLine="1897" w:firstLineChars="900"/>
        <w:jc w:val="both"/>
      </w:pPr>
      <w:r>
        <w:rPr>
          <w:rFonts w:hint="eastAsia"/>
        </w:rPr>
        <w:t>表3-1      环保手续与落实情况对照表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494"/>
        <w:gridCol w:w="992"/>
        <w:gridCol w:w="1134"/>
        <w:gridCol w:w="1560"/>
        <w:gridCol w:w="1275"/>
        <w:gridCol w:w="851"/>
        <w:gridCol w:w="759"/>
      </w:tblGrid>
      <w:tr w14:paraId="1D5FE2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dxa"/>
            <w:vMerge w:val="restart"/>
            <w:vAlign w:val="center"/>
          </w:tcPr>
          <w:p w14:paraId="4C029B77">
            <w:pPr>
              <w:spacing w:line="240" w:lineRule="auto"/>
              <w:jc w:val="center"/>
              <w:rPr>
                <w:sz w:val="18"/>
                <w:szCs w:val="18"/>
              </w:rPr>
            </w:pPr>
            <w:r>
              <w:rPr>
                <w:sz w:val="18"/>
                <w:szCs w:val="18"/>
              </w:rPr>
              <w:t>编号</w:t>
            </w:r>
          </w:p>
        </w:tc>
        <w:tc>
          <w:tcPr>
            <w:tcW w:w="1494" w:type="dxa"/>
            <w:vMerge w:val="restart"/>
            <w:vAlign w:val="center"/>
          </w:tcPr>
          <w:p w14:paraId="1F22B871">
            <w:pPr>
              <w:spacing w:line="240" w:lineRule="auto"/>
              <w:jc w:val="center"/>
              <w:rPr>
                <w:sz w:val="18"/>
                <w:szCs w:val="18"/>
              </w:rPr>
            </w:pPr>
            <w:r>
              <w:rPr>
                <w:sz w:val="18"/>
                <w:szCs w:val="18"/>
              </w:rPr>
              <w:t>项目名称</w:t>
            </w:r>
          </w:p>
        </w:tc>
        <w:tc>
          <w:tcPr>
            <w:tcW w:w="992" w:type="dxa"/>
            <w:vMerge w:val="restart"/>
            <w:vAlign w:val="center"/>
          </w:tcPr>
          <w:p w14:paraId="740B5F45">
            <w:pPr>
              <w:spacing w:line="240" w:lineRule="auto"/>
              <w:jc w:val="center"/>
              <w:rPr>
                <w:sz w:val="18"/>
                <w:szCs w:val="18"/>
              </w:rPr>
            </w:pPr>
            <w:r>
              <w:rPr>
                <w:sz w:val="18"/>
                <w:szCs w:val="18"/>
              </w:rPr>
              <w:t>项目地址</w:t>
            </w:r>
          </w:p>
        </w:tc>
        <w:tc>
          <w:tcPr>
            <w:tcW w:w="3969" w:type="dxa"/>
            <w:gridSpan w:val="3"/>
            <w:vAlign w:val="center"/>
          </w:tcPr>
          <w:p w14:paraId="6C6CE582">
            <w:pPr>
              <w:spacing w:line="240" w:lineRule="auto"/>
              <w:jc w:val="center"/>
              <w:rPr>
                <w:sz w:val="18"/>
                <w:szCs w:val="18"/>
              </w:rPr>
            </w:pPr>
            <w:r>
              <w:rPr>
                <w:sz w:val="18"/>
                <w:szCs w:val="18"/>
              </w:rPr>
              <w:t>规模</w:t>
            </w:r>
          </w:p>
        </w:tc>
        <w:tc>
          <w:tcPr>
            <w:tcW w:w="851" w:type="dxa"/>
            <w:vMerge w:val="restart"/>
            <w:vAlign w:val="center"/>
          </w:tcPr>
          <w:p w14:paraId="4E162C4D">
            <w:pPr>
              <w:spacing w:line="240" w:lineRule="auto"/>
              <w:jc w:val="center"/>
              <w:rPr>
                <w:sz w:val="18"/>
                <w:szCs w:val="18"/>
              </w:rPr>
            </w:pPr>
            <w:r>
              <w:rPr>
                <w:sz w:val="18"/>
                <w:szCs w:val="18"/>
              </w:rPr>
              <w:t>环评批复</w:t>
            </w:r>
          </w:p>
        </w:tc>
        <w:tc>
          <w:tcPr>
            <w:tcW w:w="759" w:type="dxa"/>
            <w:vMerge w:val="restart"/>
            <w:vAlign w:val="center"/>
          </w:tcPr>
          <w:p w14:paraId="502D6841">
            <w:pPr>
              <w:spacing w:line="240" w:lineRule="auto"/>
              <w:jc w:val="center"/>
              <w:rPr>
                <w:sz w:val="18"/>
                <w:szCs w:val="18"/>
              </w:rPr>
            </w:pPr>
            <w:r>
              <w:rPr>
                <w:sz w:val="18"/>
                <w:szCs w:val="18"/>
              </w:rPr>
              <w:t>验收文号</w:t>
            </w:r>
          </w:p>
        </w:tc>
      </w:tr>
      <w:tr w14:paraId="4A589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dxa"/>
            <w:vMerge w:val="continue"/>
            <w:vAlign w:val="center"/>
          </w:tcPr>
          <w:p w14:paraId="6AC7C332">
            <w:pPr>
              <w:spacing w:line="240" w:lineRule="auto"/>
              <w:jc w:val="center"/>
              <w:rPr>
                <w:sz w:val="18"/>
                <w:szCs w:val="18"/>
              </w:rPr>
            </w:pPr>
          </w:p>
        </w:tc>
        <w:tc>
          <w:tcPr>
            <w:tcW w:w="1494" w:type="dxa"/>
            <w:vMerge w:val="continue"/>
            <w:vAlign w:val="center"/>
          </w:tcPr>
          <w:p w14:paraId="1ED84117">
            <w:pPr>
              <w:spacing w:line="240" w:lineRule="auto"/>
              <w:jc w:val="center"/>
              <w:rPr>
                <w:sz w:val="18"/>
                <w:szCs w:val="18"/>
              </w:rPr>
            </w:pPr>
          </w:p>
        </w:tc>
        <w:tc>
          <w:tcPr>
            <w:tcW w:w="992" w:type="dxa"/>
            <w:vMerge w:val="continue"/>
            <w:vAlign w:val="center"/>
          </w:tcPr>
          <w:p w14:paraId="06702169">
            <w:pPr>
              <w:spacing w:line="240" w:lineRule="auto"/>
              <w:jc w:val="center"/>
              <w:rPr>
                <w:sz w:val="18"/>
                <w:szCs w:val="18"/>
              </w:rPr>
            </w:pPr>
          </w:p>
        </w:tc>
        <w:tc>
          <w:tcPr>
            <w:tcW w:w="1134" w:type="dxa"/>
            <w:vAlign w:val="center"/>
          </w:tcPr>
          <w:p w14:paraId="07DC5C88">
            <w:pPr>
              <w:spacing w:line="240" w:lineRule="auto"/>
              <w:jc w:val="center"/>
              <w:rPr>
                <w:sz w:val="18"/>
                <w:szCs w:val="18"/>
              </w:rPr>
            </w:pPr>
            <w:r>
              <w:rPr>
                <w:sz w:val="18"/>
                <w:szCs w:val="18"/>
              </w:rPr>
              <w:t>环评情况</w:t>
            </w:r>
          </w:p>
        </w:tc>
        <w:tc>
          <w:tcPr>
            <w:tcW w:w="1560" w:type="dxa"/>
            <w:vAlign w:val="center"/>
          </w:tcPr>
          <w:p w14:paraId="055ABC7A">
            <w:pPr>
              <w:spacing w:line="240" w:lineRule="auto"/>
              <w:jc w:val="center"/>
              <w:rPr>
                <w:sz w:val="18"/>
                <w:szCs w:val="18"/>
              </w:rPr>
            </w:pPr>
            <w:r>
              <w:rPr>
                <w:sz w:val="18"/>
                <w:szCs w:val="18"/>
              </w:rPr>
              <w:t>验收情况</w:t>
            </w:r>
          </w:p>
        </w:tc>
        <w:tc>
          <w:tcPr>
            <w:tcW w:w="1275" w:type="dxa"/>
            <w:vAlign w:val="center"/>
          </w:tcPr>
          <w:p w14:paraId="7AF6CB86">
            <w:pPr>
              <w:spacing w:line="240" w:lineRule="auto"/>
              <w:jc w:val="center"/>
              <w:rPr>
                <w:sz w:val="18"/>
                <w:szCs w:val="18"/>
              </w:rPr>
            </w:pPr>
            <w:r>
              <w:rPr>
                <w:rFonts w:hint="eastAsia"/>
                <w:sz w:val="18"/>
                <w:szCs w:val="18"/>
              </w:rPr>
              <w:t>变化情况</w:t>
            </w:r>
          </w:p>
        </w:tc>
        <w:tc>
          <w:tcPr>
            <w:tcW w:w="851" w:type="dxa"/>
            <w:vMerge w:val="continue"/>
            <w:vAlign w:val="center"/>
          </w:tcPr>
          <w:p w14:paraId="64CF35C1">
            <w:pPr>
              <w:spacing w:line="240" w:lineRule="auto"/>
              <w:jc w:val="center"/>
              <w:rPr>
                <w:sz w:val="18"/>
                <w:szCs w:val="18"/>
              </w:rPr>
            </w:pPr>
          </w:p>
        </w:tc>
        <w:tc>
          <w:tcPr>
            <w:tcW w:w="759" w:type="dxa"/>
            <w:vMerge w:val="continue"/>
            <w:vAlign w:val="center"/>
          </w:tcPr>
          <w:p w14:paraId="67123B6E">
            <w:pPr>
              <w:spacing w:line="240" w:lineRule="auto"/>
              <w:jc w:val="center"/>
              <w:rPr>
                <w:sz w:val="18"/>
                <w:szCs w:val="18"/>
              </w:rPr>
            </w:pPr>
          </w:p>
        </w:tc>
      </w:tr>
      <w:tr w14:paraId="0A2329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dxa"/>
            <w:vAlign w:val="center"/>
          </w:tcPr>
          <w:p w14:paraId="2014F08D">
            <w:pPr>
              <w:spacing w:line="240" w:lineRule="auto"/>
              <w:jc w:val="center"/>
              <w:rPr>
                <w:sz w:val="18"/>
                <w:szCs w:val="18"/>
              </w:rPr>
            </w:pPr>
            <w:r>
              <w:rPr>
                <w:sz w:val="18"/>
                <w:szCs w:val="18"/>
              </w:rPr>
              <w:t>1</w:t>
            </w:r>
          </w:p>
        </w:tc>
        <w:tc>
          <w:tcPr>
            <w:tcW w:w="1494" w:type="dxa"/>
            <w:vAlign w:val="center"/>
          </w:tcPr>
          <w:p w14:paraId="095BB9B6">
            <w:pPr>
              <w:spacing w:line="240" w:lineRule="auto"/>
              <w:jc w:val="center"/>
              <w:rPr>
                <w:sz w:val="18"/>
                <w:szCs w:val="18"/>
              </w:rPr>
            </w:pPr>
            <w:r>
              <w:rPr>
                <w:sz w:val="18"/>
                <w:szCs w:val="18"/>
              </w:rPr>
              <w:t>年产7000吨塑料包装生产线一条和年产4000吨镀铝膜生产线建设项目环境影响报告表</w:t>
            </w:r>
          </w:p>
        </w:tc>
        <w:tc>
          <w:tcPr>
            <w:tcW w:w="992" w:type="dxa"/>
            <w:vAlign w:val="center"/>
          </w:tcPr>
          <w:p w14:paraId="230DB518">
            <w:pPr>
              <w:spacing w:line="240" w:lineRule="auto"/>
              <w:jc w:val="center"/>
              <w:rPr>
                <w:sz w:val="18"/>
                <w:szCs w:val="18"/>
              </w:rPr>
            </w:pPr>
            <w:r>
              <w:rPr>
                <w:rFonts w:hint="eastAsia"/>
                <w:sz w:val="18"/>
                <w:szCs w:val="18"/>
              </w:rPr>
              <w:t>湘潭天易经济开发区</w:t>
            </w:r>
            <w:r>
              <w:rPr>
                <w:sz w:val="18"/>
                <w:szCs w:val="18"/>
              </w:rPr>
              <w:t>海鸥路以北、丁香路以西</w:t>
            </w:r>
          </w:p>
        </w:tc>
        <w:tc>
          <w:tcPr>
            <w:tcW w:w="1134" w:type="dxa"/>
            <w:vAlign w:val="center"/>
          </w:tcPr>
          <w:p w14:paraId="0CAF06BA">
            <w:pPr>
              <w:spacing w:line="240" w:lineRule="auto"/>
              <w:jc w:val="center"/>
              <w:rPr>
                <w:sz w:val="18"/>
                <w:szCs w:val="18"/>
              </w:rPr>
            </w:pPr>
            <w:r>
              <w:rPr>
                <w:sz w:val="18"/>
                <w:szCs w:val="18"/>
              </w:rPr>
              <w:t>生产规模：年产7000吨塑料包装袋和年产4000吨镀铝膜环</w:t>
            </w:r>
          </w:p>
        </w:tc>
        <w:tc>
          <w:tcPr>
            <w:tcW w:w="1560" w:type="dxa"/>
            <w:vAlign w:val="center"/>
          </w:tcPr>
          <w:p w14:paraId="615C5977">
            <w:pPr>
              <w:spacing w:line="240" w:lineRule="auto"/>
              <w:jc w:val="center"/>
              <w:rPr>
                <w:sz w:val="18"/>
                <w:szCs w:val="18"/>
              </w:rPr>
            </w:pPr>
            <w:r>
              <w:rPr>
                <w:sz w:val="18"/>
                <w:szCs w:val="18"/>
              </w:rPr>
              <w:t>生产规模：年产7000吨塑料包装袋和年产4000吨镀铝膜</w:t>
            </w:r>
          </w:p>
        </w:tc>
        <w:tc>
          <w:tcPr>
            <w:tcW w:w="1275" w:type="dxa"/>
            <w:vAlign w:val="center"/>
          </w:tcPr>
          <w:p w14:paraId="362CD779">
            <w:pPr>
              <w:spacing w:line="240" w:lineRule="auto"/>
              <w:jc w:val="center"/>
              <w:rPr>
                <w:sz w:val="18"/>
                <w:szCs w:val="18"/>
              </w:rPr>
            </w:pPr>
            <w:r>
              <w:rPr>
                <w:rFonts w:hint="eastAsia"/>
                <w:sz w:val="18"/>
                <w:szCs w:val="18"/>
              </w:rPr>
              <w:t>无</w:t>
            </w:r>
          </w:p>
        </w:tc>
        <w:tc>
          <w:tcPr>
            <w:tcW w:w="851" w:type="dxa"/>
            <w:vAlign w:val="center"/>
          </w:tcPr>
          <w:p w14:paraId="4BBB849C">
            <w:pPr>
              <w:spacing w:line="240" w:lineRule="auto"/>
              <w:jc w:val="center"/>
              <w:rPr>
                <w:sz w:val="18"/>
                <w:szCs w:val="18"/>
              </w:rPr>
            </w:pPr>
            <w:r>
              <w:rPr>
                <w:sz w:val="18"/>
                <w:szCs w:val="18"/>
              </w:rPr>
              <w:t>2010</w:t>
            </w:r>
            <w:r>
              <w:rPr>
                <w:rFonts w:hint="eastAsia"/>
                <w:sz w:val="18"/>
                <w:szCs w:val="18"/>
              </w:rPr>
              <w:t>〔</w:t>
            </w:r>
            <w:r>
              <w:rPr>
                <w:sz w:val="18"/>
                <w:szCs w:val="18"/>
              </w:rPr>
              <w:t>185</w:t>
            </w:r>
            <w:r>
              <w:rPr>
                <w:rFonts w:hint="eastAsia"/>
                <w:sz w:val="18"/>
                <w:szCs w:val="18"/>
              </w:rPr>
              <w:t>〕</w:t>
            </w:r>
          </w:p>
        </w:tc>
        <w:tc>
          <w:tcPr>
            <w:tcW w:w="759" w:type="dxa"/>
            <w:vMerge w:val="restart"/>
            <w:vAlign w:val="center"/>
          </w:tcPr>
          <w:p w14:paraId="69DC8892">
            <w:pPr>
              <w:spacing w:line="240" w:lineRule="auto"/>
              <w:jc w:val="center"/>
              <w:rPr>
                <w:sz w:val="18"/>
                <w:szCs w:val="18"/>
              </w:rPr>
            </w:pPr>
            <w:r>
              <w:rPr>
                <w:sz w:val="18"/>
                <w:szCs w:val="18"/>
              </w:rPr>
              <w:t>潭环审</w:t>
            </w:r>
            <w:r>
              <w:rPr>
                <w:rFonts w:hint="eastAsia"/>
                <w:sz w:val="18"/>
                <w:szCs w:val="18"/>
              </w:rPr>
              <w:t>〔</w:t>
            </w:r>
            <w:r>
              <w:rPr>
                <w:sz w:val="18"/>
                <w:szCs w:val="18"/>
              </w:rPr>
              <w:t>2016</w:t>
            </w:r>
            <w:r>
              <w:rPr>
                <w:rFonts w:hint="eastAsia"/>
                <w:sz w:val="18"/>
                <w:szCs w:val="18"/>
              </w:rPr>
              <w:t>〕</w:t>
            </w:r>
            <w:r>
              <w:rPr>
                <w:sz w:val="18"/>
                <w:szCs w:val="18"/>
              </w:rPr>
              <w:t>251号</w:t>
            </w:r>
          </w:p>
        </w:tc>
      </w:tr>
      <w:tr w14:paraId="342FA2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dxa"/>
            <w:vAlign w:val="center"/>
          </w:tcPr>
          <w:p w14:paraId="38DD34C3">
            <w:pPr>
              <w:spacing w:line="240" w:lineRule="auto"/>
              <w:jc w:val="center"/>
              <w:rPr>
                <w:sz w:val="18"/>
                <w:szCs w:val="18"/>
              </w:rPr>
            </w:pPr>
            <w:r>
              <w:rPr>
                <w:sz w:val="18"/>
                <w:szCs w:val="18"/>
              </w:rPr>
              <w:t>2</w:t>
            </w:r>
          </w:p>
        </w:tc>
        <w:tc>
          <w:tcPr>
            <w:tcW w:w="1494" w:type="dxa"/>
            <w:vAlign w:val="center"/>
          </w:tcPr>
          <w:p w14:paraId="66DD8C4F">
            <w:pPr>
              <w:spacing w:line="240" w:lineRule="auto"/>
              <w:jc w:val="center"/>
              <w:rPr>
                <w:sz w:val="18"/>
                <w:szCs w:val="18"/>
              </w:rPr>
            </w:pPr>
            <w:r>
              <w:rPr>
                <w:sz w:val="18"/>
                <w:szCs w:val="18"/>
              </w:rPr>
              <w:t>湖南新向维包装有限公司仓储及办公生活区项目环境影响报告表</w:t>
            </w:r>
          </w:p>
        </w:tc>
        <w:tc>
          <w:tcPr>
            <w:tcW w:w="992" w:type="dxa"/>
            <w:vAlign w:val="center"/>
          </w:tcPr>
          <w:p w14:paraId="1774E809">
            <w:pPr>
              <w:spacing w:line="240" w:lineRule="auto"/>
              <w:jc w:val="center"/>
              <w:rPr>
                <w:sz w:val="18"/>
                <w:szCs w:val="18"/>
              </w:rPr>
            </w:pPr>
            <w:r>
              <w:rPr>
                <w:rFonts w:hint="eastAsia"/>
                <w:sz w:val="18"/>
                <w:szCs w:val="18"/>
              </w:rPr>
              <w:t>湘潭天易经济开发区</w:t>
            </w:r>
            <w:r>
              <w:rPr>
                <w:sz w:val="18"/>
                <w:szCs w:val="18"/>
              </w:rPr>
              <w:t>海鸥路以南</w:t>
            </w:r>
          </w:p>
        </w:tc>
        <w:tc>
          <w:tcPr>
            <w:tcW w:w="1134" w:type="dxa"/>
            <w:vAlign w:val="center"/>
          </w:tcPr>
          <w:p w14:paraId="78062814">
            <w:pPr>
              <w:spacing w:line="240" w:lineRule="auto"/>
              <w:jc w:val="center"/>
              <w:rPr>
                <w:sz w:val="18"/>
                <w:szCs w:val="18"/>
              </w:rPr>
            </w:pPr>
            <w:r>
              <w:rPr>
                <w:sz w:val="18"/>
                <w:szCs w:val="18"/>
              </w:rPr>
              <w:t>项目占地28374.5m</w:t>
            </w:r>
            <w:r>
              <w:rPr>
                <w:sz w:val="18"/>
                <w:szCs w:val="18"/>
                <w:vertAlign w:val="superscript"/>
              </w:rPr>
              <w:t>2</w:t>
            </w:r>
            <w:r>
              <w:rPr>
                <w:sz w:val="18"/>
                <w:szCs w:val="18"/>
              </w:rPr>
              <w:t>，建筑面积31846m</w:t>
            </w:r>
            <w:r>
              <w:rPr>
                <w:sz w:val="18"/>
                <w:szCs w:val="18"/>
                <w:vertAlign w:val="superscript"/>
              </w:rPr>
              <w:t>2</w:t>
            </w:r>
            <w:r>
              <w:rPr>
                <w:sz w:val="18"/>
                <w:szCs w:val="18"/>
              </w:rPr>
              <w:t>，主要建筑物有办公楼1栋、倒班楼1栋、仓库1栋、科研楼1栋</w:t>
            </w:r>
          </w:p>
        </w:tc>
        <w:tc>
          <w:tcPr>
            <w:tcW w:w="1560" w:type="dxa"/>
            <w:vAlign w:val="center"/>
          </w:tcPr>
          <w:p w14:paraId="68A9BC5A">
            <w:pPr>
              <w:spacing w:line="240" w:lineRule="auto"/>
              <w:jc w:val="center"/>
              <w:rPr>
                <w:sz w:val="18"/>
                <w:szCs w:val="18"/>
              </w:rPr>
            </w:pPr>
            <w:r>
              <w:rPr>
                <w:sz w:val="18"/>
                <w:szCs w:val="18"/>
              </w:rPr>
              <w:t>项目占地28374.5m</w:t>
            </w:r>
            <w:r>
              <w:rPr>
                <w:sz w:val="18"/>
                <w:szCs w:val="18"/>
                <w:vertAlign w:val="superscript"/>
              </w:rPr>
              <w:t>2</w:t>
            </w:r>
            <w:r>
              <w:rPr>
                <w:sz w:val="18"/>
                <w:szCs w:val="18"/>
              </w:rPr>
              <w:t>，建筑面积31846m</w:t>
            </w:r>
            <w:r>
              <w:rPr>
                <w:sz w:val="18"/>
                <w:szCs w:val="18"/>
                <w:vertAlign w:val="superscript"/>
              </w:rPr>
              <w:t>2</w:t>
            </w:r>
            <w:r>
              <w:rPr>
                <w:sz w:val="18"/>
                <w:szCs w:val="18"/>
              </w:rPr>
              <w:t>，主要建筑物有办公楼1栋、倒班楼1栋、仓库1栋、科研楼1栋</w:t>
            </w:r>
          </w:p>
        </w:tc>
        <w:tc>
          <w:tcPr>
            <w:tcW w:w="1275" w:type="dxa"/>
            <w:vAlign w:val="center"/>
          </w:tcPr>
          <w:p w14:paraId="058E1474">
            <w:pPr>
              <w:spacing w:line="240" w:lineRule="auto"/>
              <w:jc w:val="center"/>
              <w:rPr>
                <w:sz w:val="18"/>
                <w:szCs w:val="18"/>
              </w:rPr>
            </w:pPr>
            <w:r>
              <w:rPr>
                <w:sz w:val="18"/>
                <w:szCs w:val="18"/>
              </w:rPr>
              <w:t>建筑面积11242.2m</w:t>
            </w:r>
            <w:r>
              <w:rPr>
                <w:sz w:val="18"/>
                <w:szCs w:val="18"/>
                <w:vertAlign w:val="superscript"/>
              </w:rPr>
              <w:t>2</w:t>
            </w:r>
            <w:r>
              <w:rPr>
                <w:sz w:val="18"/>
                <w:szCs w:val="18"/>
              </w:rPr>
              <w:t>，主要建筑物1栋办公楼（4+1F），1栋倒班楼（5F）</w:t>
            </w:r>
          </w:p>
        </w:tc>
        <w:tc>
          <w:tcPr>
            <w:tcW w:w="851" w:type="dxa"/>
            <w:vAlign w:val="center"/>
          </w:tcPr>
          <w:p w14:paraId="77C42A31">
            <w:pPr>
              <w:spacing w:line="240" w:lineRule="auto"/>
              <w:jc w:val="center"/>
              <w:rPr>
                <w:sz w:val="18"/>
                <w:szCs w:val="18"/>
              </w:rPr>
            </w:pPr>
            <w:r>
              <w:rPr>
                <w:sz w:val="18"/>
                <w:szCs w:val="18"/>
              </w:rPr>
              <w:t>潭天</w:t>
            </w:r>
          </w:p>
          <w:p w14:paraId="4B74E923">
            <w:pPr>
              <w:spacing w:line="240" w:lineRule="auto"/>
              <w:jc w:val="center"/>
              <w:rPr>
                <w:sz w:val="18"/>
                <w:szCs w:val="18"/>
              </w:rPr>
            </w:pPr>
            <w:r>
              <w:rPr>
                <w:sz w:val="18"/>
                <w:szCs w:val="18"/>
              </w:rPr>
              <w:t>易环审2014</w:t>
            </w:r>
            <w:r>
              <w:rPr>
                <w:rFonts w:hint="eastAsia"/>
                <w:sz w:val="18"/>
                <w:szCs w:val="18"/>
              </w:rPr>
              <w:t>〔</w:t>
            </w:r>
            <w:r>
              <w:rPr>
                <w:sz w:val="18"/>
                <w:szCs w:val="18"/>
              </w:rPr>
              <w:t>017</w:t>
            </w:r>
            <w:r>
              <w:rPr>
                <w:rFonts w:hint="eastAsia"/>
                <w:sz w:val="18"/>
                <w:szCs w:val="18"/>
              </w:rPr>
              <w:t>〕</w:t>
            </w:r>
            <w:r>
              <w:rPr>
                <w:sz w:val="18"/>
                <w:szCs w:val="18"/>
              </w:rPr>
              <w:t>号</w:t>
            </w:r>
          </w:p>
        </w:tc>
        <w:tc>
          <w:tcPr>
            <w:tcW w:w="759" w:type="dxa"/>
            <w:vMerge w:val="continue"/>
            <w:vAlign w:val="center"/>
          </w:tcPr>
          <w:p w14:paraId="73440980">
            <w:pPr>
              <w:spacing w:line="240" w:lineRule="auto"/>
              <w:jc w:val="center"/>
              <w:rPr>
                <w:sz w:val="18"/>
                <w:szCs w:val="18"/>
              </w:rPr>
            </w:pPr>
          </w:p>
        </w:tc>
      </w:tr>
      <w:tr w14:paraId="31C3F0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dxa"/>
            <w:vAlign w:val="center"/>
          </w:tcPr>
          <w:p w14:paraId="6A869B42">
            <w:pPr>
              <w:spacing w:line="240" w:lineRule="auto"/>
              <w:jc w:val="center"/>
              <w:rPr>
                <w:sz w:val="18"/>
                <w:szCs w:val="18"/>
              </w:rPr>
            </w:pPr>
            <w:r>
              <w:rPr>
                <w:sz w:val="18"/>
                <w:szCs w:val="18"/>
              </w:rPr>
              <w:t>3</w:t>
            </w:r>
          </w:p>
        </w:tc>
        <w:tc>
          <w:tcPr>
            <w:tcW w:w="1494" w:type="dxa"/>
            <w:vAlign w:val="center"/>
          </w:tcPr>
          <w:p w14:paraId="52D30FF7">
            <w:pPr>
              <w:spacing w:line="240" w:lineRule="auto"/>
              <w:jc w:val="center"/>
              <w:rPr>
                <w:sz w:val="18"/>
                <w:szCs w:val="18"/>
              </w:rPr>
            </w:pPr>
            <w:r>
              <w:rPr>
                <w:sz w:val="18"/>
                <w:szCs w:val="18"/>
              </w:rPr>
              <w:t>新增3080吨/年塑料包装袋改扩建项目</w:t>
            </w:r>
          </w:p>
        </w:tc>
        <w:tc>
          <w:tcPr>
            <w:tcW w:w="992" w:type="dxa"/>
            <w:vAlign w:val="center"/>
          </w:tcPr>
          <w:p w14:paraId="06C4AD94">
            <w:pPr>
              <w:spacing w:line="240" w:lineRule="auto"/>
              <w:jc w:val="center"/>
              <w:rPr>
                <w:sz w:val="18"/>
                <w:szCs w:val="18"/>
              </w:rPr>
            </w:pPr>
            <w:r>
              <w:rPr>
                <w:rFonts w:hint="eastAsia"/>
                <w:sz w:val="18"/>
                <w:szCs w:val="18"/>
              </w:rPr>
              <w:t>湘潭天易经济开发区</w:t>
            </w:r>
            <w:r>
              <w:rPr>
                <w:sz w:val="18"/>
                <w:szCs w:val="18"/>
              </w:rPr>
              <w:t>海鸥路以北、丁香路以西</w:t>
            </w:r>
          </w:p>
        </w:tc>
        <w:tc>
          <w:tcPr>
            <w:tcW w:w="1134" w:type="dxa"/>
            <w:vAlign w:val="center"/>
          </w:tcPr>
          <w:p w14:paraId="60CD39F4">
            <w:pPr>
              <w:spacing w:line="240" w:lineRule="auto"/>
              <w:jc w:val="center"/>
              <w:rPr>
                <w:sz w:val="18"/>
                <w:szCs w:val="18"/>
              </w:rPr>
            </w:pPr>
            <w:r>
              <w:rPr>
                <w:sz w:val="18"/>
                <w:szCs w:val="18"/>
              </w:rPr>
              <w:t>生产规模：每年新增3080吨塑料包装袋</w:t>
            </w:r>
          </w:p>
        </w:tc>
        <w:tc>
          <w:tcPr>
            <w:tcW w:w="1560" w:type="dxa"/>
            <w:vAlign w:val="center"/>
          </w:tcPr>
          <w:p w14:paraId="390C423E">
            <w:pPr>
              <w:spacing w:line="240" w:lineRule="auto"/>
              <w:jc w:val="center"/>
              <w:rPr>
                <w:sz w:val="18"/>
                <w:szCs w:val="18"/>
              </w:rPr>
            </w:pPr>
            <w:r>
              <w:rPr>
                <w:sz w:val="18"/>
                <w:szCs w:val="18"/>
              </w:rPr>
              <w:t>生产规模：新增3080吨塑料包装袋</w:t>
            </w:r>
            <w:r>
              <w:rPr>
                <w:rFonts w:hint="eastAsia"/>
                <w:sz w:val="18"/>
                <w:szCs w:val="18"/>
              </w:rPr>
              <w:t>后，共生产10080吨/年塑料包装袋</w:t>
            </w:r>
          </w:p>
        </w:tc>
        <w:tc>
          <w:tcPr>
            <w:tcW w:w="1275" w:type="dxa"/>
            <w:vAlign w:val="center"/>
          </w:tcPr>
          <w:p w14:paraId="68D32EB7">
            <w:pPr>
              <w:spacing w:line="240" w:lineRule="auto"/>
              <w:jc w:val="center"/>
              <w:rPr>
                <w:sz w:val="18"/>
                <w:szCs w:val="18"/>
              </w:rPr>
            </w:pPr>
            <w:r>
              <w:rPr>
                <w:rFonts w:hint="eastAsia"/>
                <w:sz w:val="18"/>
                <w:szCs w:val="18"/>
              </w:rPr>
              <w:t>新增1栋2355.82m</w:t>
            </w:r>
            <w:r>
              <w:rPr>
                <w:rFonts w:hint="eastAsia"/>
                <w:sz w:val="18"/>
                <w:szCs w:val="18"/>
                <w:vertAlign w:val="superscript"/>
              </w:rPr>
              <w:t>2</w:t>
            </w:r>
            <w:r>
              <w:rPr>
                <w:rFonts w:hint="eastAsia"/>
                <w:sz w:val="18"/>
                <w:szCs w:val="18"/>
              </w:rPr>
              <w:t>车间四，暂未投入生产使用，因此，</w:t>
            </w:r>
          </w:p>
          <w:p w14:paraId="7AE09474">
            <w:pPr>
              <w:spacing w:line="240" w:lineRule="auto"/>
              <w:jc w:val="center"/>
              <w:rPr>
                <w:sz w:val="18"/>
                <w:szCs w:val="18"/>
              </w:rPr>
            </w:pPr>
            <w:r>
              <w:rPr>
                <w:sz w:val="18"/>
                <w:szCs w:val="18"/>
              </w:rPr>
              <w:t>生产规模不变，废气处理措施由原</w:t>
            </w:r>
            <w:r>
              <w:rPr>
                <w:rFonts w:hint="eastAsia"/>
                <w:sz w:val="18"/>
                <w:szCs w:val="18"/>
              </w:rPr>
              <w:t>“</w:t>
            </w:r>
            <w:r>
              <w:rPr>
                <w:sz w:val="18"/>
                <w:szCs w:val="18"/>
              </w:rPr>
              <w:t>沸石转轮浓缩+热回收式热力燃烧法</w:t>
            </w:r>
            <w:r>
              <w:rPr>
                <w:rFonts w:hint="eastAsia"/>
                <w:sz w:val="18"/>
                <w:szCs w:val="18"/>
              </w:rPr>
              <w:t>”</w:t>
            </w:r>
            <w:r>
              <w:rPr>
                <w:sz w:val="18"/>
                <w:szCs w:val="18"/>
              </w:rPr>
              <w:t>整改为</w:t>
            </w:r>
            <w:r>
              <w:rPr>
                <w:rFonts w:hint="eastAsia"/>
                <w:sz w:val="18"/>
                <w:szCs w:val="18"/>
              </w:rPr>
              <w:t>“</w:t>
            </w:r>
            <w:r>
              <w:rPr>
                <w:sz w:val="18"/>
                <w:szCs w:val="18"/>
              </w:rPr>
              <w:t>（2+1）三通路处理凹印有机废气的节能减排系统</w:t>
            </w:r>
            <w:r>
              <w:rPr>
                <w:rFonts w:hint="eastAsia"/>
                <w:sz w:val="18"/>
                <w:szCs w:val="18"/>
              </w:rPr>
              <w:t>”</w:t>
            </w:r>
            <w:r>
              <w:rPr>
                <w:sz w:val="18"/>
                <w:szCs w:val="18"/>
              </w:rPr>
              <w:t>。</w:t>
            </w:r>
          </w:p>
        </w:tc>
        <w:tc>
          <w:tcPr>
            <w:tcW w:w="851" w:type="dxa"/>
            <w:vAlign w:val="center"/>
          </w:tcPr>
          <w:p w14:paraId="43E35FB7">
            <w:pPr>
              <w:spacing w:line="240" w:lineRule="auto"/>
              <w:jc w:val="center"/>
              <w:rPr>
                <w:sz w:val="18"/>
                <w:szCs w:val="18"/>
              </w:rPr>
            </w:pPr>
            <w:r>
              <w:rPr>
                <w:sz w:val="18"/>
                <w:szCs w:val="18"/>
              </w:rPr>
              <w:t>潭环审</w:t>
            </w:r>
            <w:r>
              <w:rPr>
                <w:rFonts w:hint="eastAsia"/>
                <w:sz w:val="18"/>
                <w:szCs w:val="18"/>
              </w:rPr>
              <w:t>〔</w:t>
            </w:r>
            <w:r>
              <w:rPr>
                <w:sz w:val="18"/>
                <w:szCs w:val="18"/>
              </w:rPr>
              <w:t>2018</w:t>
            </w:r>
            <w:r>
              <w:rPr>
                <w:rFonts w:hint="eastAsia"/>
                <w:sz w:val="18"/>
                <w:szCs w:val="18"/>
              </w:rPr>
              <w:t>〕</w:t>
            </w:r>
            <w:r>
              <w:rPr>
                <w:sz w:val="18"/>
                <w:szCs w:val="18"/>
              </w:rPr>
              <w:t>72号</w:t>
            </w:r>
          </w:p>
        </w:tc>
        <w:tc>
          <w:tcPr>
            <w:tcW w:w="759" w:type="dxa"/>
            <w:vAlign w:val="center"/>
          </w:tcPr>
          <w:p w14:paraId="6D9F7105">
            <w:pPr>
              <w:spacing w:line="240" w:lineRule="auto"/>
              <w:jc w:val="center"/>
              <w:rPr>
                <w:sz w:val="18"/>
                <w:szCs w:val="18"/>
              </w:rPr>
            </w:pPr>
            <w:r>
              <w:rPr>
                <w:rFonts w:hint="eastAsia"/>
                <w:sz w:val="18"/>
                <w:szCs w:val="18"/>
              </w:rPr>
              <w:t>2021年5月已自主验收</w:t>
            </w:r>
          </w:p>
        </w:tc>
      </w:tr>
    </w:tbl>
    <w:p w14:paraId="40497754">
      <w:pPr>
        <w:pStyle w:val="4"/>
        <w:numPr>
          <w:ilvl w:val="2"/>
          <w:numId w:val="0"/>
        </w:numPr>
        <w:ind w:left="0" w:leftChars="0" w:firstLine="0" w:firstLineChars="0"/>
      </w:pPr>
      <w:r>
        <w:rPr>
          <w:rFonts w:hint="default" w:ascii="宋体" w:hAnsi="宋体" w:eastAsia="宋体" w:cs="宋体"/>
          <w:b/>
          <w:bCs/>
          <w:kern w:val="2"/>
          <w:sz w:val="24"/>
          <w:szCs w:val="24"/>
          <w:lang w:val="en-US" w:eastAsia="zh-CN" w:bidi="ar-SA"/>
        </w:rPr>
        <w:t>3.1.2</w:t>
      </w:r>
      <w:r>
        <w:rPr>
          <w:rFonts w:hint="eastAsia"/>
        </w:rPr>
        <w:t>已建工程概况</w:t>
      </w:r>
    </w:p>
    <w:p w14:paraId="1CF4E495">
      <w:pPr>
        <w:pStyle w:val="5"/>
        <w:numPr>
          <w:ilvl w:val="3"/>
          <w:numId w:val="0"/>
        </w:numPr>
        <w:ind w:left="1993" w:leftChars="0" w:hanging="1993" w:hangingChars="827"/>
        <w:rPr>
          <w:rFonts w:ascii="Times New Roman" w:hAnsi="Times New Roman"/>
        </w:rPr>
      </w:pPr>
      <w:r>
        <w:rPr>
          <w:rFonts w:hint="default" w:ascii="宋体" w:hAnsi="宋体" w:eastAsia="宋体" w:cs="宋体"/>
          <w:b/>
          <w:bCs/>
          <w:kern w:val="2"/>
          <w:sz w:val="24"/>
          <w:szCs w:val="24"/>
          <w:lang w:val="en-US" w:eastAsia="zh-CN" w:bidi="ar-SA"/>
        </w:rPr>
        <w:t>3.1.2.1</w:t>
      </w:r>
      <w:r>
        <w:rPr>
          <w:rFonts w:hint="eastAsia" w:ascii="Times New Roman" w:hAnsi="Times New Roman"/>
        </w:rPr>
        <w:t>已建工程建设内容</w:t>
      </w:r>
    </w:p>
    <w:p w14:paraId="69C150C0">
      <w:pPr>
        <w:ind w:firstLine="480"/>
      </w:pPr>
      <w:r>
        <w:rPr>
          <w:rFonts w:hint="eastAsia"/>
        </w:rPr>
        <w:t>结合现有环评、《VOCs综合整治“一企一方案”验收监测报告》、《湖南新向维包装有限公司新增3080吨/年塑料包装袋改扩建设项目竣工环境保护验收监测报告》等资料，厂内已建工程概况如下：</w:t>
      </w:r>
    </w:p>
    <w:p w14:paraId="22559254">
      <w:pPr>
        <w:pStyle w:val="51"/>
        <w:numPr>
          <w:ilvl w:val="5"/>
          <w:numId w:val="0"/>
        </w:numPr>
        <w:tabs>
          <w:tab w:val="left" w:pos="1985"/>
          <w:tab w:val="clear" w:pos="0"/>
        </w:tabs>
        <w:spacing w:before="0" w:beforeLines="0" w:line="360" w:lineRule="auto"/>
        <w:ind w:left="-475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表3.1-1 </w:t>
      </w:r>
      <w:r>
        <w:rPr>
          <w:rFonts w:hint="eastAsia" w:ascii="宋体" w:hAnsi="宋体" w:cs="宋体"/>
          <w:b/>
          <w:bCs/>
          <w:color w:val="auto"/>
          <w:kern w:val="2"/>
          <w:sz w:val="21"/>
          <w:szCs w:val="21"/>
          <w:lang w:val="en-US" w:eastAsia="zh-CN" w:bidi="ar-SA"/>
        </w:rPr>
        <w:t xml:space="preserve">    </w:t>
      </w:r>
      <w:r>
        <w:rPr>
          <w:rFonts w:hint="eastAsia"/>
        </w:rPr>
        <w:t>已建工程基本情况一览表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85"/>
        <w:gridCol w:w="1437"/>
        <w:gridCol w:w="5129"/>
      </w:tblGrid>
      <w:tr w14:paraId="6D58CD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14:paraId="188BDF0E">
            <w:pPr>
              <w:adjustRightInd w:val="0"/>
              <w:snapToGrid w:val="0"/>
              <w:spacing w:line="240" w:lineRule="auto"/>
              <w:jc w:val="center"/>
              <w:rPr>
                <w:sz w:val="21"/>
                <w:szCs w:val="21"/>
              </w:rPr>
            </w:pPr>
            <w:r>
              <w:rPr>
                <w:sz w:val="21"/>
                <w:szCs w:val="21"/>
              </w:rPr>
              <w:t>序号</w:t>
            </w:r>
          </w:p>
        </w:tc>
        <w:tc>
          <w:tcPr>
            <w:tcW w:w="1285" w:type="dxa"/>
            <w:vAlign w:val="center"/>
          </w:tcPr>
          <w:p w14:paraId="0BD7AEDD">
            <w:pPr>
              <w:adjustRightInd w:val="0"/>
              <w:snapToGrid w:val="0"/>
              <w:spacing w:line="240" w:lineRule="auto"/>
              <w:jc w:val="center"/>
              <w:rPr>
                <w:sz w:val="21"/>
                <w:szCs w:val="21"/>
              </w:rPr>
            </w:pPr>
            <w:r>
              <w:rPr>
                <w:sz w:val="21"/>
                <w:szCs w:val="21"/>
              </w:rPr>
              <w:t>类别</w:t>
            </w:r>
          </w:p>
        </w:tc>
        <w:tc>
          <w:tcPr>
            <w:tcW w:w="1437" w:type="dxa"/>
            <w:vAlign w:val="center"/>
          </w:tcPr>
          <w:p w14:paraId="7D869DE9">
            <w:pPr>
              <w:adjustRightInd w:val="0"/>
              <w:snapToGrid w:val="0"/>
              <w:spacing w:line="240" w:lineRule="auto"/>
              <w:jc w:val="center"/>
              <w:rPr>
                <w:sz w:val="21"/>
                <w:szCs w:val="21"/>
              </w:rPr>
            </w:pPr>
            <w:r>
              <w:rPr>
                <w:sz w:val="21"/>
                <w:szCs w:val="21"/>
              </w:rPr>
              <w:t>名称</w:t>
            </w:r>
          </w:p>
        </w:tc>
        <w:tc>
          <w:tcPr>
            <w:tcW w:w="5129" w:type="dxa"/>
            <w:vAlign w:val="center"/>
          </w:tcPr>
          <w:p w14:paraId="2411B63F">
            <w:pPr>
              <w:adjustRightInd w:val="0"/>
              <w:snapToGrid w:val="0"/>
              <w:spacing w:line="240" w:lineRule="auto"/>
              <w:jc w:val="center"/>
              <w:rPr>
                <w:sz w:val="21"/>
                <w:szCs w:val="21"/>
              </w:rPr>
            </w:pPr>
            <w:r>
              <w:rPr>
                <w:sz w:val="21"/>
                <w:szCs w:val="21"/>
              </w:rPr>
              <w:t>内容</w:t>
            </w:r>
          </w:p>
        </w:tc>
      </w:tr>
      <w:tr w14:paraId="4A32B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vAlign w:val="center"/>
          </w:tcPr>
          <w:p w14:paraId="51D57E17">
            <w:pPr>
              <w:adjustRightInd w:val="0"/>
              <w:snapToGrid w:val="0"/>
              <w:spacing w:line="240" w:lineRule="auto"/>
              <w:jc w:val="center"/>
              <w:rPr>
                <w:sz w:val="21"/>
                <w:szCs w:val="21"/>
              </w:rPr>
            </w:pPr>
            <w:r>
              <w:rPr>
                <w:sz w:val="21"/>
                <w:szCs w:val="21"/>
              </w:rPr>
              <w:t>1</w:t>
            </w:r>
          </w:p>
        </w:tc>
        <w:tc>
          <w:tcPr>
            <w:tcW w:w="1285" w:type="dxa"/>
            <w:vMerge w:val="restart"/>
            <w:vAlign w:val="center"/>
          </w:tcPr>
          <w:p w14:paraId="44F82D74">
            <w:pPr>
              <w:adjustRightInd w:val="0"/>
              <w:snapToGrid w:val="0"/>
              <w:spacing w:line="240" w:lineRule="auto"/>
              <w:jc w:val="center"/>
              <w:rPr>
                <w:sz w:val="21"/>
                <w:szCs w:val="21"/>
              </w:rPr>
            </w:pPr>
            <w:r>
              <w:rPr>
                <w:sz w:val="21"/>
                <w:szCs w:val="21"/>
              </w:rPr>
              <w:t>基本情况</w:t>
            </w:r>
          </w:p>
        </w:tc>
        <w:tc>
          <w:tcPr>
            <w:tcW w:w="1437" w:type="dxa"/>
            <w:vAlign w:val="center"/>
          </w:tcPr>
          <w:p w14:paraId="20C235F8">
            <w:pPr>
              <w:adjustRightInd w:val="0"/>
              <w:snapToGrid w:val="0"/>
              <w:spacing w:line="240" w:lineRule="auto"/>
              <w:jc w:val="center"/>
              <w:rPr>
                <w:sz w:val="21"/>
                <w:szCs w:val="21"/>
              </w:rPr>
            </w:pPr>
            <w:r>
              <w:rPr>
                <w:sz w:val="21"/>
                <w:szCs w:val="21"/>
              </w:rPr>
              <w:t>建设单位</w:t>
            </w:r>
          </w:p>
        </w:tc>
        <w:tc>
          <w:tcPr>
            <w:tcW w:w="5129" w:type="dxa"/>
            <w:vAlign w:val="center"/>
          </w:tcPr>
          <w:p w14:paraId="233C202F">
            <w:pPr>
              <w:adjustRightInd w:val="0"/>
              <w:snapToGrid w:val="0"/>
              <w:spacing w:line="240" w:lineRule="auto"/>
              <w:jc w:val="center"/>
              <w:rPr>
                <w:sz w:val="21"/>
                <w:szCs w:val="21"/>
              </w:rPr>
            </w:pPr>
            <w:r>
              <w:rPr>
                <w:sz w:val="21"/>
                <w:szCs w:val="21"/>
              </w:rPr>
              <w:t>湖南新向维包装有限公司</w:t>
            </w:r>
          </w:p>
        </w:tc>
      </w:tr>
      <w:tr w14:paraId="3265E8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vAlign w:val="center"/>
          </w:tcPr>
          <w:p w14:paraId="5E9022C6">
            <w:pPr>
              <w:adjustRightInd w:val="0"/>
              <w:snapToGrid w:val="0"/>
              <w:spacing w:line="240" w:lineRule="auto"/>
              <w:jc w:val="center"/>
              <w:rPr>
                <w:sz w:val="21"/>
                <w:szCs w:val="21"/>
              </w:rPr>
            </w:pPr>
          </w:p>
        </w:tc>
        <w:tc>
          <w:tcPr>
            <w:tcW w:w="1285" w:type="dxa"/>
            <w:vMerge w:val="continue"/>
            <w:vAlign w:val="center"/>
          </w:tcPr>
          <w:p w14:paraId="08B4A438">
            <w:pPr>
              <w:adjustRightInd w:val="0"/>
              <w:snapToGrid w:val="0"/>
              <w:spacing w:line="240" w:lineRule="auto"/>
              <w:jc w:val="center"/>
              <w:rPr>
                <w:sz w:val="21"/>
                <w:szCs w:val="21"/>
              </w:rPr>
            </w:pPr>
          </w:p>
        </w:tc>
        <w:tc>
          <w:tcPr>
            <w:tcW w:w="1437" w:type="dxa"/>
            <w:vAlign w:val="center"/>
          </w:tcPr>
          <w:p w14:paraId="5567AAA6">
            <w:pPr>
              <w:adjustRightInd w:val="0"/>
              <w:snapToGrid w:val="0"/>
              <w:spacing w:line="240" w:lineRule="auto"/>
              <w:jc w:val="center"/>
              <w:rPr>
                <w:sz w:val="21"/>
                <w:szCs w:val="21"/>
              </w:rPr>
            </w:pPr>
            <w:r>
              <w:rPr>
                <w:sz w:val="21"/>
                <w:szCs w:val="21"/>
              </w:rPr>
              <w:t>建设地点</w:t>
            </w:r>
          </w:p>
        </w:tc>
        <w:tc>
          <w:tcPr>
            <w:tcW w:w="5129" w:type="dxa"/>
            <w:vAlign w:val="center"/>
          </w:tcPr>
          <w:p w14:paraId="15389069">
            <w:pPr>
              <w:adjustRightInd w:val="0"/>
              <w:snapToGrid w:val="0"/>
              <w:spacing w:line="240" w:lineRule="auto"/>
              <w:jc w:val="center"/>
              <w:rPr>
                <w:sz w:val="21"/>
                <w:szCs w:val="21"/>
              </w:rPr>
            </w:pPr>
            <w:r>
              <w:rPr>
                <w:rFonts w:hint="eastAsia"/>
                <w:sz w:val="21"/>
                <w:szCs w:val="21"/>
              </w:rPr>
              <w:t>湘潭天易经济开发区办公区位于海鸥东路南侧，生产区位于</w:t>
            </w:r>
            <w:r>
              <w:rPr>
                <w:sz w:val="21"/>
                <w:szCs w:val="21"/>
              </w:rPr>
              <w:t>海鸥路以北、丁香路以西</w:t>
            </w:r>
          </w:p>
        </w:tc>
      </w:tr>
      <w:tr w14:paraId="370638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vAlign w:val="center"/>
          </w:tcPr>
          <w:p w14:paraId="2CADD1CF">
            <w:pPr>
              <w:adjustRightInd w:val="0"/>
              <w:snapToGrid w:val="0"/>
              <w:spacing w:line="240" w:lineRule="auto"/>
              <w:jc w:val="center"/>
              <w:rPr>
                <w:sz w:val="21"/>
                <w:szCs w:val="21"/>
              </w:rPr>
            </w:pPr>
          </w:p>
        </w:tc>
        <w:tc>
          <w:tcPr>
            <w:tcW w:w="1285" w:type="dxa"/>
            <w:vMerge w:val="continue"/>
            <w:vAlign w:val="center"/>
          </w:tcPr>
          <w:p w14:paraId="0449B150">
            <w:pPr>
              <w:adjustRightInd w:val="0"/>
              <w:snapToGrid w:val="0"/>
              <w:spacing w:line="240" w:lineRule="auto"/>
              <w:jc w:val="center"/>
              <w:rPr>
                <w:sz w:val="21"/>
                <w:szCs w:val="21"/>
              </w:rPr>
            </w:pPr>
          </w:p>
        </w:tc>
        <w:tc>
          <w:tcPr>
            <w:tcW w:w="1437" w:type="dxa"/>
            <w:vAlign w:val="center"/>
          </w:tcPr>
          <w:p w14:paraId="3A790565">
            <w:pPr>
              <w:adjustRightInd w:val="0"/>
              <w:snapToGrid w:val="0"/>
              <w:spacing w:line="240" w:lineRule="auto"/>
              <w:jc w:val="center"/>
              <w:rPr>
                <w:sz w:val="21"/>
                <w:szCs w:val="21"/>
              </w:rPr>
            </w:pPr>
            <w:r>
              <w:rPr>
                <w:sz w:val="21"/>
                <w:szCs w:val="21"/>
              </w:rPr>
              <w:t>占地面积</w:t>
            </w:r>
          </w:p>
        </w:tc>
        <w:tc>
          <w:tcPr>
            <w:tcW w:w="5129" w:type="dxa"/>
            <w:vAlign w:val="center"/>
          </w:tcPr>
          <w:p w14:paraId="69492DD7">
            <w:pPr>
              <w:adjustRightInd w:val="0"/>
              <w:snapToGrid w:val="0"/>
              <w:spacing w:line="240" w:lineRule="auto"/>
              <w:jc w:val="center"/>
              <w:rPr>
                <w:sz w:val="21"/>
                <w:szCs w:val="21"/>
              </w:rPr>
            </w:pPr>
            <w:r>
              <w:rPr>
                <w:sz w:val="21"/>
                <w:szCs w:val="21"/>
              </w:rPr>
              <w:t>办公生活区占地面积28374.5m</w:t>
            </w:r>
            <w:r>
              <w:rPr>
                <w:sz w:val="21"/>
                <w:szCs w:val="21"/>
                <w:vertAlign w:val="superscript"/>
              </w:rPr>
              <w:t>2</w:t>
            </w:r>
            <w:r>
              <w:rPr>
                <w:rFonts w:hint="eastAsia"/>
                <w:sz w:val="21"/>
                <w:szCs w:val="21"/>
              </w:rPr>
              <w:t>，</w:t>
            </w:r>
            <w:r>
              <w:rPr>
                <w:sz w:val="21"/>
                <w:szCs w:val="21"/>
              </w:rPr>
              <w:t>生产区占地面积45155.7m</w:t>
            </w:r>
            <w:r>
              <w:rPr>
                <w:sz w:val="21"/>
                <w:szCs w:val="21"/>
                <w:vertAlign w:val="superscript"/>
              </w:rPr>
              <w:t>2</w:t>
            </w:r>
          </w:p>
        </w:tc>
      </w:tr>
      <w:tr w14:paraId="397B76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vAlign w:val="center"/>
          </w:tcPr>
          <w:p w14:paraId="074AA9C4">
            <w:pPr>
              <w:adjustRightInd w:val="0"/>
              <w:snapToGrid w:val="0"/>
              <w:spacing w:line="240" w:lineRule="auto"/>
              <w:jc w:val="center"/>
              <w:rPr>
                <w:sz w:val="21"/>
                <w:szCs w:val="21"/>
              </w:rPr>
            </w:pPr>
          </w:p>
        </w:tc>
        <w:tc>
          <w:tcPr>
            <w:tcW w:w="1285" w:type="dxa"/>
            <w:vMerge w:val="continue"/>
            <w:vAlign w:val="center"/>
          </w:tcPr>
          <w:p w14:paraId="2487B7B9">
            <w:pPr>
              <w:adjustRightInd w:val="0"/>
              <w:snapToGrid w:val="0"/>
              <w:spacing w:line="240" w:lineRule="auto"/>
              <w:jc w:val="center"/>
              <w:rPr>
                <w:sz w:val="21"/>
                <w:szCs w:val="21"/>
              </w:rPr>
            </w:pPr>
          </w:p>
        </w:tc>
        <w:tc>
          <w:tcPr>
            <w:tcW w:w="1437" w:type="dxa"/>
            <w:vAlign w:val="center"/>
          </w:tcPr>
          <w:p w14:paraId="234D8425">
            <w:pPr>
              <w:adjustRightInd w:val="0"/>
              <w:snapToGrid w:val="0"/>
              <w:spacing w:line="240" w:lineRule="auto"/>
              <w:jc w:val="center"/>
              <w:rPr>
                <w:sz w:val="21"/>
                <w:szCs w:val="21"/>
              </w:rPr>
            </w:pPr>
            <w:r>
              <w:rPr>
                <w:sz w:val="21"/>
                <w:szCs w:val="21"/>
              </w:rPr>
              <w:t>主要产品及规模</w:t>
            </w:r>
          </w:p>
        </w:tc>
        <w:tc>
          <w:tcPr>
            <w:tcW w:w="5129" w:type="dxa"/>
            <w:vAlign w:val="center"/>
          </w:tcPr>
          <w:p w14:paraId="1C192F04">
            <w:pPr>
              <w:adjustRightInd w:val="0"/>
              <w:snapToGrid w:val="0"/>
              <w:spacing w:line="240" w:lineRule="auto"/>
              <w:jc w:val="center"/>
              <w:rPr>
                <w:sz w:val="21"/>
                <w:szCs w:val="21"/>
              </w:rPr>
            </w:pPr>
            <w:r>
              <w:rPr>
                <w:sz w:val="21"/>
                <w:szCs w:val="21"/>
              </w:rPr>
              <w:t>年产塑料包装袋10080吨</w:t>
            </w:r>
          </w:p>
        </w:tc>
      </w:tr>
      <w:tr w14:paraId="261F9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vAlign w:val="center"/>
          </w:tcPr>
          <w:p w14:paraId="00CB513B">
            <w:pPr>
              <w:adjustRightInd w:val="0"/>
              <w:snapToGrid w:val="0"/>
              <w:spacing w:line="240" w:lineRule="auto"/>
              <w:jc w:val="center"/>
              <w:rPr>
                <w:sz w:val="21"/>
                <w:szCs w:val="21"/>
              </w:rPr>
            </w:pPr>
          </w:p>
        </w:tc>
        <w:tc>
          <w:tcPr>
            <w:tcW w:w="1285" w:type="dxa"/>
            <w:vMerge w:val="continue"/>
            <w:vAlign w:val="center"/>
          </w:tcPr>
          <w:p w14:paraId="6EC08931">
            <w:pPr>
              <w:adjustRightInd w:val="0"/>
              <w:snapToGrid w:val="0"/>
              <w:spacing w:line="240" w:lineRule="auto"/>
              <w:jc w:val="center"/>
              <w:rPr>
                <w:sz w:val="21"/>
                <w:szCs w:val="21"/>
              </w:rPr>
            </w:pPr>
          </w:p>
        </w:tc>
        <w:tc>
          <w:tcPr>
            <w:tcW w:w="1437" w:type="dxa"/>
            <w:vAlign w:val="center"/>
          </w:tcPr>
          <w:p w14:paraId="793601C3">
            <w:pPr>
              <w:adjustRightInd w:val="0"/>
              <w:snapToGrid w:val="0"/>
              <w:spacing w:line="240" w:lineRule="auto"/>
              <w:jc w:val="center"/>
              <w:rPr>
                <w:sz w:val="21"/>
                <w:szCs w:val="21"/>
              </w:rPr>
            </w:pPr>
            <w:r>
              <w:rPr>
                <w:sz w:val="21"/>
                <w:szCs w:val="21"/>
              </w:rPr>
              <w:t>职工定员</w:t>
            </w:r>
          </w:p>
        </w:tc>
        <w:tc>
          <w:tcPr>
            <w:tcW w:w="5129" w:type="dxa"/>
            <w:vAlign w:val="center"/>
          </w:tcPr>
          <w:p w14:paraId="5412939B">
            <w:pPr>
              <w:adjustRightInd w:val="0"/>
              <w:snapToGrid w:val="0"/>
              <w:spacing w:line="240" w:lineRule="auto"/>
              <w:jc w:val="center"/>
              <w:rPr>
                <w:sz w:val="21"/>
                <w:szCs w:val="21"/>
              </w:rPr>
            </w:pPr>
            <w:r>
              <w:rPr>
                <w:sz w:val="21"/>
                <w:szCs w:val="21"/>
              </w:rPr>
              <w:t>270人</w:t>
            </w:r>
          </w:p>
        </w:tc>
      </w:tr>
      <w:tr w14:paraId="5D529F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vAlign w:val="center"/>
          </w:tcPr>
          <w:p w14:paraId="7B054E2D">
            <w:pPr>
              <w:adjustRightInd w:val="0"/>
              <w:snapToGrid w:val="0"/>
              <w:spacing w:line="240" w:lineRule="auto"/>
              <w:jc w:val="center"/>
              <w:rPr>
                <w:sz w:val="21"/>
                <w:szCs w:val="21"/>
              </w:rPr>
            </w:pPr>
          </w:p>
        </w:tc>
        <w:tc>
          <w:tcPr>
            <w:tcW w:w="1285" w:type="dxa"/>
            <w:vMerge w:val="continue"/>
            <w:vAlign w:val="center"/>
          </w:tcPr>
          <w:p w14:paraId="6FEEBFE0">
            <w:pPr>
              <w:adjustRightInd w:val="0"/>
              <w:snapToGrid w:val="0"/>
              <w:spacing w:line="240" w:lineRule="auto"/>
              <w:jc w:val="center"/>
              <w:rPr>
                <w:sz w:val="21"/>
                <w:szCs w:val="21"/>
              </w:rPr>
            </w:pPr>
          </w:p>
        </w:tc>
        <w:tc>
          <w:tcPr>
            <w:tcW w:w="1437" w:type="dxa"/>
            <w:vAlign w:val="center"/>
          </w:tcPr>
          <w:p w14:paraId="6127649E">
            <w:pPr>
              <w:adjustRightInd w:val="0"/>
              <w:snapToGrid w:val="0"/>
              <w:spacing w:line="240" w:lineRule="auto"/>
              <w:jc w:val="center"/>
              <w:rPr>
                <w:sz w:val="21"/>
                <w:szCs w:val="21"/>
              </w:rPr>
            </w:pPr>
            <w:r>
              <w:rPr>
                <w:sz w:val="21"/>
                <w:szCs w:val="21"/>
              </w:rPr>
              <w:t>工作制度</w:t>
            </w:r>
          </w:p>
        </w:tc>
        <w:tc>
          <w:tcPr>
            <w:tcW w:w="5129" w:type="dxa"/>
            <w:vAlign w:val="center"/>
          </w:tcPr>
          <w:p w14:paraId="16F628A9">
            <w:pPr>
              <w:adjustRightInd w:val="0"/>
              <w:snapToGrid w:val="0"/>
              <w:spacing w:line="240" w:lineRule="auto"/>
              <w:jc w:val="center"/>
              <w:rPr>
                <w:sz w:val="21"/>
                <w:szCs w:val="21"/>
              </w:rPr>
            </w:pPr>
            <w:r>
              <w:rPr>
                <w:sz w:val="21"/>
                <w:szCs w:val="21"/>
              </w:rPr>
              <w:t>年工作日300天，每天3班，每班8小时工作制</w:t>
            </w:r>
          </w:p>
        </w:tc>
      </w:tr>
      <w:tr w14:paraId="52E07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14:paraId="2CB4A570">
            <w:pPr>
              <w:adjustRightInd w:val="0"/>
              <w:snapToGrid w:val="0"/>
              <w:spacing w:line="240" w:lineRule="auto"/>
              <w:jc w:val="center"/>
              <w:rPr>
                <w:sz w:val="21"/>
                <w:szCs w:val="21"/>
              </w:rPr>
            </w:pPr>
            <w:r>
              <w:rPr>
                <w:sz w:val="21"/>
                <w:szCs w:val="21"/>
              </w:rPr>
              <w:t>2</w:t>
            </w:r>
          </w:p>
        </w:tc>
        <w:tc>
          <w:tcPr>
            <w:tcW w:w="1285" w:type="dxa"/>
            <w:vAlign w:val="center"/>
          </w:tcPr>
          <w:p w14:paraId="77F6FCFE">
            <w:pPr>
              <w:adjustRightInd w:val="0"/>
              <w:snapToGrid w:val="0"/>
              <w:spacing w:line="240" w:lineRule="auto"/>
              <w:jc w:val="center"/>
              <w:rPr>
                <w:sz w:val="21"/>
                <w:szCs w:val="21"/>
              </w:rPr>
            </w:pPr>
            <w:r>
              <w:rPr>
                <w:sz w:val="21"/>
                <w:szCs w:val="21"/>
              </w:rPr>
              <w:t>主要建筑物</w:t>
            </w:r>
          </w:p>
        </w:tc>
        <w:tc>
          <w:tcPr>
            <w:tcW w:w="1437" w:type="dxa"/>
            <w:vAlign w:val="center"/>
          </w:tcPr>
          <w:p w14:paraId="08162601">
            <w:pPr>
              <w:adjustRightInd w:val="0"/>
              <w:snapToGrid w:val="0"/>
              <w:spacing w:line="240" w:lineRule="auto"/>
              <w:jc w:val="center"/>
              <w:rPr>
                <w:sz w:val="21"/>
                <w:szCs w:val="21"/>
              </w:rPr>
            </w:pPr>
            <w:r>
              <w:rPr>
                <w:sz w:val="21"/>
                <w:szCs w:val="21"/>
              </w:rPr>
              <w:t>厂房、办公室</w:t>
            </w:r>
          </w:p>
        </w:tc>
        <w:tc>
          <w:tcPr>
            <w:tcW w:w="5129" w:type="dxa"/>
            <w:vAlign w:val="center"/>
          </w:tcPr>
          <w:p w14:paraId="68B2D3E1">
            <w:pPr>
              <w:adjustRightInd w:val="0"/>
              <w:snapToGrid w:val="0"/>
              <w:spacing w:line="240" w:lineRule="auto"/>
              <w:jc w:val="center"/>
              <w:rPr>
                <w:sz w:val="21"/>
                <w:szCs w:val="21"/>
              </w:rPr>
            </w:pPr>
            <w:r>
              <w:rPr>
                <w:sz w:val="21"/>
                <w:szCs w:val="21"/>
              </w:rPr>
              <w:t>办公生活区</w:t>
            </w:r>
            <w:r>
              <w:rPr>
                <w:rFonts w:hint="eastAsia"/>
                <w:sz w:val="21"/>
                <w:szCs w:val="21"/>
              </w:rPr>
              <w:t>办公楼、倒班楼，</w:t>
            </w:r>
            <w:r>
              <w:rPr>
                <w:sz w:val="21"/>
                <w:szCs w:val="21"/>
              </w:rPr>
              <w:t>生产区</w:t>
            </w:r>
            <w:r>
              <w:rPr>
                <w:rFonts w:hint="eastAsia"/>
                <w:sz w:val="21"/>
                <w:szCs w:val="21"/>
              </w:rPr>
              <w:t>4个车间</w:t>
            </w:r>
          </w:p>
        </w:tc>
      </w:tr>
      <w:tr w14:paraId="7EFD64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14:paraId="56629B1D">
            <w:pPr>
              <w:adjustRightInd w:val="0"/>
              <w:snapToGrid w:val="0"/>
              <w:spacing w:line="240" w:lineRule="auto"/>
              <w:jc w:val="center"/>
              <w:rPr>
                <w:sz w:val="21"/>
                <w:szCs w:val="21"/>
              </w:rPr>
            </w:pPr>
            <w:r>
              <w:rPr>
                <w:sz w:val="21"/>
                <w:szCs w:val="21"/>
              </w:rPr>
              <w:t>3</w:t>
            </w:r>
          </w:p>
        </w:tc>
        <w:tc>
          <w:tcPr>
            <w:tcW w:w="2722" w:type="dxa"/>
            <w:gridSpan w:val="2"/>
            <w:vAlign w:val="center"/>
          </w:tcPr>
          <w:p w14:paraId="3FF70103">
            <w:pPr>
              <w:adjustRightInd w:val="0"/>
              <w:snapToGrid w:val="0"/>
              <w:spacing w:line="240" w:lineRule="auto"/>
              <w:jc w:val="center"/>
              <w:rPr>
                <w:sz w:val="21"/>
                <w:szCs w:val="21"/>
                <w:u w:val="single"/>
              </w:rPr>
            </w:pPr>
            <w:r>
              <w:rPr>
                <w:rFonts w:hint="eastAsia"/>
                <w:sz w:val="21"/>
                <w:szCs w:val="21"/>
                <w:u w:val="single"/>
              </w:rPr>
              <w:t>废气处理路线</w:t>
            </w:r>
          </w:p>
        </w:tc>
        <w:tc>
          <w:tcPr>
            <w:tcW w:w="5129" w:type="dxa"/>
            <w:vAlign w:val="center"/>
          </w:tcPr>
          <w:p w14:paraId="127F9221">
            <w:pPr>
              <w:adjustRightInd w:val="0"/>
              <w:snapToGrid w:val="0"/>
              <w:spacing w:line="240" w:lineRule="auto"/>
              <w:jc w:val="left"/>
              <w:rPr>
                <w:sz w:val="21"/>
                <w:szCs w:val="21"/>
                <w:u w:val="single"/>
              </w:rPr>
            </w:pPr>
            <w:r>
              <w:rPr>
                <w:rFonts w:hint="eastAsia"/>
                <w:sz w:val="21"/>
                <w:szCs w:val="21"/>
                <w:u w:val="single"/>
              </w:rPr>
              <w:t>环保设备为：（2+1）三通路处理凹印有机废气的节能减排系统末端废气治理设施。</w:t>
            </w:r>
            <w:r>
              <w:rPr>
                <w:sz w:val="21"/>
                <w:szCs w:val="21"/>
                <w:u w:val="single"/>
              </w:rPr>
              <w:t>将印刷、干式复合工序有组织排放的废气收集后配置一套</w:t>
            </w:r>
            <w:r>
              <w:rPr>
                <w:rFonts w:hint="eastAsia"/>
                <w:sz w:val="21"/>
                <w:szCs w:val="21"/>
                <w:u w:val="single"/>
              </w:rPr>
              <w:t>“</w:t>
            </w:r>
            <w:r>
              <w:rPr>
                <w:sz w:val="21"/>
                <w:szCs w:val="21"/>
                <w:u w:val="single"/>
              </w:rPr>
              <w:t>基于催化氧化的双通路处理凹印有机废气的节能减排系统</w:t>
            </w:r>
            <w:r>
              <w:rPr>
                <w:rFonts w:hint="eastAsia"/>
                <w:sz w:val="21"/>
                <w:szCs w:val="21"/>
                <w:u w:val="single"/>
              </w:rPr>
              <w:t>”</w:t>
            </w:r>
            <w:r>
              <w:rPr>
                <w:sz w:val="21"/>
                <w:szCs w:val="21"/>
                <w:u w:val="single"/>
              </w:rPr>
              <w:t>末端废气治理设施（以下简称</w:t>
            </w:r>
            <w:r>
              <w:rPr>
                <w:rFonts w:hint="eastAsia"/>
                <w:sz w:val="21"/>
                <w:szCs w:val="21"/>
                <w:u w:val="single"/>
              </w:rPr>
              <w:t>“</w:t>
            </w:r>
            <w:r>
              <w:rPr>
                <w:sz w:val="21"/>
                <w:szCs w:val="21"/>
                <w:u w:val="single"/>
              </w:rPr>
              <w:t>1#治理设施——催化氧化双通路</w:t>
            </w:r>
            <w:r>
              <w:rPr>
                <w:rFonts w:hint="eastAsia"/>
                <w:sz w:val="21"/>
                <w:szCs w:val="21"/>
                <w:u w:val="single"/>
              </w:rPr>
              <w:t>”</w:t>
            </w:r>
            <w:r>
              <w:rPr>
                <w:sz w:val="21"/>
                <w:szCs w:val="21"/>
                <w:u w:val="single"/>
              </w:rPr>
              <w:t>）处理系统，经催化氧化后回至印刷机和复合机烘箱；系统内泄压废气经天然气辅助燃烧+催化氧化（CO）处理后外排。同时，针对车间内墨槽、墨桶和溶剂桶等处无组织散逸的有机废气，从密闭车间收集后采用两套</w:t>
            </w:r>
            <w:r>
              <w:rPr>
                <w:rFonts w:hint="eastAsia"/>
                <w:sz w:val="21"/>
                <w:szCs w:val="21"/>
                <w:u w:val="single"/>
              </w:rPr>
              <w:t>“</w:t>
            </w:r>
            <w:r>
              <w:rPr>
                <w:sz w:val="21"/>
                <w:szCs w:val="21"/>
                <w:u w:val="single"/>
              </w:rPr>
              <w:t>碱液循环喷淋装置</w:t>
            </w:r>
            <w:r>
              <w:rPr>
                <w:rFonts w:hint="eastAsia"/>
                <w:sz w:val="21"/>
                <w:szCs w:val="21"/>
                <w:u w:val="single"/>
              </w:rPr>
              <w:t>”</w:t>
            </w:r>
            <w:r>
              <w:rPr>
                <w:sz w:val="21"/>
                <w:szCs w:val="21"/>
                <w:u w:val="single"/>
              </w:rPr>
              <w:t>（以下称</w:t>
            </w:r>
            <w:r>
              <w:rPr>
                <w:rFonts w:hint="eastAsia"/>
                <w:sz w:val="21"/>
                <w:szCs w:val="21"/>
                <w:u w:val="single"/>
              </w:rPr>
              <w:t>“</w:t>
            </w:r>
            <w:r>
              <w:rPr>
                <w:sz w:val="21"/>
                <w:szCs w:val="21"/>
                <w:u w:val="single"/>
              </w:rPr>
              <w:t>2#治理设施——基于碱液喷淋的第三通路</w:t>
            </w:r>
            <w:r>
              <w:rPr>
                <w:rFonts w:hint="eastAsia"/>
                <w:sz w:val="21"/>
                <w:szCs w:val="21"/>
                <w:u w:val="single"/>
              </w:rPr>
              <w:t>”</w:t>
            </w:r>
            <w:r>
              <w:rPr>
                <w:sz w:val="21"/>
                <w:szCs w:val="21"/>
                <w:u w:val="single"/>
              </w:rPr>
              <w:t>）净化后排放。</w:t>
            </w:r>
          </w:p>
        </w:tc>
      </w:tr>
      <w:tr w14:paraId="16D5C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Align w:val="center"/>
          </w:tcPr>
          <w:p w14:paraId="428649E6">
            <w:pPr>
              <w:adjustRightInd w:val="0"/>
              <w:snapToGrid w:val="0"/>
              <w:spacing w:line="240" w:lineRule="auto"/>
              <w:jc w:val="center"/>
              <w:rPr>
                <w:sz w:val="21"/>
                <w:szCs w:val="21"/>
              </w:rPr>
            </w:pPr>
            <w:r>
              <w:rPr>
                <w:rFonts w:hint="eastAsia"/>
                <w:sz w:val="21"/>
                <w:szCs w:val="21"/>
              </w:rPr>
              <w:t>4</w:t>
            </w:r>
          </w:p>
        </w:tc>
        <w:tc>
          <w:tcPr>
            <w:tcW w:w="2722" w:type="dxa"/>
            <w:gridSpan w:val="2"/>
            <w:vAlign w:val="center"/>
          </w:tcPr>
          <w:p w14:paraId="4D0F5777">
            <w:pPr>
              <w:adjustRightInd w:val="0"/>
              <w:snapToGrid w:val="0"/>
              <w:spacing w:line="240" w:lineRule="auto"/>
              <w:rPr>
                <w:sz w:val="21"/>
                <w:szCs w:val="21"/>
                <w:u w:val="single"/>
              </w:rPr>
            </w:pPr>
            <w:r>
              <w:rPr>
                <w:sz w:val="21"/>
                <w:szCs w:val="21"/>
                <w:u w:val="single"/>
              </w:rPr>
              <w:t>（2+1）三通路（催化氧化双通路、碱液喷淋）处理凹印有机废气的节能减排系统</w:t>
            </w:r>
            <w:r>
              <w:rPr>
                <w:rFonts w:hint="eastAsia"/>
                <w:sz w:val="21"/>
                <w:szCs w:val="21"/>
                <w:u w:val="single"/>
              </w:rPr>
              <w:t>设计参数</w:t>
            </w:r>
          </w:p>
        </w:tc>
        <w:tc>
          <w:tcPr>
            <w:tcW w:w="5129" w:type="dxa"/>
            <w:vAlign w:val="center"/>
          </w:tcPr>
          <w:p w14:paraId="235DDAFB">
            <w:pPr>
              <w:pStyle w:val="29"/>
              <w:spacing w:line="240" w:lineRule="auto"/>
              <w:ind w:left="0" w:firstLine="0" w:firstLineChars="0"/>
              <w:jc w:val="left"/>
              <w:rPr>
                <w:rFonts w:ascii="Times New Roman" w:hAnsi="Times New Roman" w:cs="Times New Roman"/>
                <w:sz w:val="21"/>
                <w:szCs w:val="21"/>
                <w:u w:val="single"/>
              </w:rPr>
            </w:pPr>
            <w:r>
              <w:rPr>
                <w:rFonts w:ascii="Times New Roman" w:hAnsi="Times New Roman" w:cs="Times New Roman"/>
                <w:sz w:val="21"/>
                <w:szCs w:val="21"/>
                <w:u w:val="single"/>
              </w:rPr>
              <w:t>1#治理设施收集风量318600m</w:t>
            </w:r>
            <w:r>
              <w:rPr>
                <w:rFonts w:ascii="Times New Roman" w:hAnsi="Times New Roman" w:cs="Times New Roman"/>
                <w:sz w:val="21"/>
                <w:szCs w:val="21"/>
                <w:u w:val="single"/>
                <w:vertAlign w:val="superscript"/>
              </w:rPr>
              <w:t>3</w:t>
            </w:r>
            <w:r>
              <w:rPr>
                <w:rFonts w:ascii="Times New Roman" w:hAnsi="Times New Roman" w:cs="Times New Roman"/>
                <w:sz w:val="21"/>
                <w:szCs w:val="21"/>
                <w:u w:val="single"/>
              </w:rPr>
              <w:t>/h；系统泄压排风量2000m</w:t>
            </w:r>
            <w:r>
              <w:rPr>
                <w:rFonts w:ascii="Times New Roman" w:hAnsi="Times New Roman" w:cs="Times New Roman"/>
                <w:sz w:val="21"/>
                <w:szCs w:val="21"/>
                <w:u w:val="single"/>
                <w:vertAlign w:val="superscript"/>
              </w:rPr>
              <w:t>3</w:t>
            </w:r>
            <w:r>
              <w:rPr>
                <w:rFonts w:ascii="Times New Roman" w:hAnsi="Times New Roman" w:cs="Times New Roman"/>
                <w:sz w:val="21"/>
                <w:szCs w:val="21"/>
                <w:u w:val="single"/>
              </w:rPr>
              <w:t>/h。</w:t>
            </w:r>
          </w:p>
          <w:p w14:paraId="5084CD81">
            <w:pPr>
              <w:adjustRightInd w:val="0"/>
              <w:snapToGrid w:val="0"/>
              <w:spacing w:line="240" w:lineRule="auto"/>
              <w:jc w:val="left"/>
              <w:rPr>
                <w:sz w:val="21"/>
                <w:szCs w:val="21"/>
                <w:u w:val="single"/>
              </w:rPr>
            </w:pPr>
            <w:r>
              <w:rPr>
                <w:sz w:val="21"/>
                <w:szCs w:val="21"/>
                <w:u w:val="single"/>
              </w:rPr>
              <w:t>2#处理设施（印刷车间）风量84000m</w:t>
            </w:r>
            <w:r>
              <w:rPr>
                <w:sz w:val="21"/>
                <w:szCs w:val="21"/>
                <w:u w:val="single"/>
                <w:vertAlign w:val="superscript"/>
              </w:rPr>
              <w:t>3</w:t>
            </w:r>
            <w:r>
              <w:rPr>
                <w:sz w:val="21"/>
                <w:szCs w:val="21"/>
                <w:u w:val="single"/>
              </w:rPr>
              <w:t>/h，2#处理设施（复合车间）72000m</w:t>
            </w:r>
            <w:r>
              <w:rPr>
                <w:sz w:val="21"/>
                <w:szCs w:val="21"/>
                <w:u w:val="single"/>
                <w:vertAlign w:val="superscript"/>
              </w:rPr>
              <w:t>3</w:t>
            </w:r>
            <w:r>
              <w:rPr>
                <w:sz w:val="21"/>
                <w:szCs w:val="21"/>
                <w:u w:val="single"/>
              </w:rPr>
              <w:t>/h。</w:t>
            </w:r>
          </w:p>
        </w:tc>
      </w:tr>
    </w:tbl>
    <w:p w14:paraId="5DA361CA">
      <w:pPr>
        <w:pStyle w:val="51"/>
        <w:numPr>
          <w:ilvl w:val="5"/>
          <w:numId w:val="0"/>
        </w:numPr>
        <w:tabs>
          <w:tab w:val="left" w:pos="1134"/>
          <w:tab w:val="clear" w:pos="0"/>
        </w:tabs>
        <w:spacing w:before="0" w:beforeLines="0" w:line="360" w:lineRule="auto"/>
        <w:ind w:left="-295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表3.1-2 </w:t>
      </w:r>
      <w:r>
        <w:rPr>
          <w:rFonts w:hint="eastAsia" w:ascii="宋体" w:hAnsi="宋体" w:cs="宋体"/>
          <w:b/>
          <w:bCs/>
          <w:color w:val="auto"/>
          <w:kern w:val="2"/>
          <w:sz w:val="21"/>
          <w:szCs w:val="21"/>
          <w:lang w:val="en-US" w:eastAsia="zh-CN" w:bidi="ar-SA"/>
        </w:rPr>
        <w:t xml:space="preserve">   </w:t>
      </w:r>
      <w:r>
        <w:rPr>
          <w:rFonts w:hint="eastAsia"/>
        </w:rPr>
        <w:t>已建工程建筑物一览表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1262"/>
        <w:gridCol w:w="1641"/>
        <w:gridCol w:w="2122"/>
        <w:gridCol w:w="3497"/>
      </w:tblGrid>
      <w:tr w14:paraId="7409FBB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Align w:val="center"/>
          </w:tcPr>
          <w:p w14:paraId="366D272A">
            <w:pPr>
              <w:adjustRightInd w:val="0"/>
              <w:snapToGrid w:val="0"/>
              <w:spacing w:line="240" w:lineRule="auto"/>
              <w:jc w:val="center"/>
              <w:rPr>
                <w:sz w:val="21"/>
                <w:szCs w:val="21"/>
              </w:rPr>
            </w:pPr>
            <w:r>
              <w:rPr>
                <w:sz w:val="21"/>
                <w:szCs w:val="21"/>
              </w:rPr>
              <w:t>项目</w:t>
            </w:r>
          </w:p>
        </w:tc>
        <w:tc>
          <w:tcPr>
            <w:tcW w:w="1641" w:type="dxa"/>
            <w:vAlign w:val="center"/>
          </w:tcPr>
          <w:p w14:paraId="25B7E05C">
            <w:pPr>
              <w:adjustRightInd w:val="0"/>
              <w:snapToGrid w:val="0"/>
              <w:spacing w:line="240" w:lineRule="auto"/>
              <w:jc w:val="center"/>
              <w:rPr>
                <w:sz w:val="21"/>
                <w:szCs w:val="21"/>
              </w:rPr>
            </w:pPr>
            <w:r>
              <w:rPr>
                <w:sz w:val="21"/>
                <w:szCs w:val="21"/>
              </w:rPr>
              <w:t>内容</w:t>
            </w:r>
          </w:p>
        </w:tc>
        <w:tc>
          <w:tcPr>
            <w:tcW w:w="2122" w:type="dxa"/>
            <w:vAlign w:val="center"/>
          </w:tcPr>
          <w:p w14:paraId="49F06E4E">
            <w:pPr>
              <w:adjustRightInd w:val="0"/>
              <w:snapToGrid w:val="0"/>
              <w:spacing w:line="240" w:lineRule="auto"/>
              <w:jc w:val="center"/>
              <w:rPr>
                <w:sz w:val="21"/>
                <w:szCs w:val="21"/>
              </w:rPr>
            </w:pPr>
            <w:r>
              <w:rPr>
                <w:sz w:val="21"/>
                <w:szCs w:val="21"/>
              </w:rPr>
              <w:t>建筑面积</w:t>
            </w:r>
          </w:p>
        </w:tc>
        <w:tc>
          <w:tcPr>
            <w:tcW w:w="3497" w:type="dxa"/>
            <w:vAlign w:val="center"/>
          </w:tcPr>
          <w:p w14:paraId="695E1F91">
            <w:pPr>
              <w:adjustRightInd w:val="0"/>
              <w:snapToGrid w:val="0"/>
              <w:spacing w:line="240" w:lineRule="auto"/>
              <w:jc w:val="center"/>
              <w:rPr>
                <w:sz w:val="21"/>
                <w:szCs w:val="21"/>
              </w:rPr>
            </w:pPr>
            <w:r>
              <w:rPr>
                <w:sz w:val="21"/>
                <w:szCs w:val="21"/>
              </w:rPr>
              <w:t>备注</w:t>
            </w:r>
          </w:p>
        </w:tc>
      </w:tr>
      <w:tr w14:paraId="69791A48">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restart"/>
            <w:vAlign w:val="center"/>
          </w:tcPr>
          <w:p w14:paraId="4A2A574F">
            <w:pPr>
              <w:adjustRightInd w:val="0"/>
              <w:snapToGrid w:val="0"/>
              <w:spacing w:line="240" w:lineRule="auto"/>
              <w:jc w:val="center"/>
              <w:rPr>
                <w:sz w:val="21"/>
                <w:szCs w:val="21"/>
              </w:rPr>
            </w:pPr>
            <w:r>
              <w:rPr>
                <w:sz w:val="21"/>
                <w:szCs w:val="21"/>
              </w:rPr>
              <w:t>办公区</w:t>
            </w:r>
          </w:p>
        </w:tc>
        <w:tc>
          <w:tcPr>
            <w:tcW w:w="1641" w:type="dxa"/>
            <w:vAlign w:val="center"/>
          </w:tcPr>
          <w:p w14:paraId="5B5C7038">
            <w:pPr>
              <w:adjustRightInd w:val="0"/>
              <w:snapToGrid w:val="0"/>
              <w:spacing w:line="240" w:lineRule="auto"/>
              <w:jc w:val="center"/>
              <w:rPr>
                <w:sz w:val="21"/>
                <w:szCs w:val="21"/>
              </w:rPr>
            </w:pPr>
            <w:r>
              <w:rPr>
                <w:sz w:val="21"/>
                <w:szCs w:val="21"/>
              </w:rPr>
              <w:t>办公楼</w:t>
            </w:r>
          </w:p>
        </w:tc>
        <w:tc>
          <w:tcPr>
            <w:tcW w:w="2122" w:type="dxa"/>
            <w:vAlign w:val="center"/>
          </w:tcPr>
          <w:p w14:paraId="3769E834">
            <w:pPr>
              <w:adjustRightInd w:val="0"/>
              <w:snapToGrid w:val="0"/>
              <w:spacing w:line="240" w:lineRule="auto"/>
              <w:jc w:val="center"/>
              <w:rPr>
                <w:sz w:val="21"/>
                <w:szCs w:val="21"/>
              </w:rPr>
            </w:pPr>
            <w:r>
              <w:rPr>
                <w:sz w:val="21"/>
                <w:szCs w:val="21"/>
              </w:rPr>
              <w:t>4786.69m</w:t>
            </w:r>
            <w:r>
              <w:rPr>
                <w:sz w:val="21"/>
                <w:szCs w:val="21"/>
                <w:vertAlign w:val="superscript"/>
              </w:rPr>
              <w:t>2</w:t>
            </w:r>
          </w:p>
        </w:tc>
        <w:tc>
          <w:tcPr>
            <w:tcW w:w="3497" w:type="dxa"/>
            <w:vAlign w:val="center"/>
          </w:tcPr>
          <w:p w14:paraId="24311DDF">
            <w:pPr>
              <w:adjustRightInd w:val="0"/>
              <w:snapToGrid w:val="0"/>
              <w:spacing w:line="240" w:lineRule="auto"/>
              <w:jc w:val="center"/>
              <w:rPr>
                <w:sz w:val="21"/>
                <w:szCs w:val="21"/>
              </w:rPr>
            </w:pPr>
            <w:r>
              <w:rPr>
                <w:sz w:val="21"/>
                <w:szCs w:val="21"/>
              </w:rPr>
              <w:t>用于员工办公，4F+1</w:t>
            </w:r>
          </w:p>
        </w:tc>
      </w:tr>
      <w:tr w14:paraId="0B70AB1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continue"/>
            <w:vAlign w:val="center"/>
          </w:tcPr>
          <w:p w14:paraId="5F04605B">
            <w:pPr>
              <w:adjustRightInd w:val="0"/>
              <w:snapToGrid w:val="0"/>
              <w:spacing w:line="240" w:lineRule="auto"/>
              <w:jc w:val="center"/>
              <w:rPr>
                <w:sz w:val="21"/>
                <w:szCs w:val="21"/>
              </w:rPr>
            </w:pPr>
          </w:p>
        </w:tc>
        <w:tc>
          <w:tcPr>
            <w:tcW w:w="1641" w:type="dxa"/>
            <w:vAlign w:val="center"/>
          </w:tcPr>
          <w:p w14:paraId="3E6A3FF0">
            <w:pPr>
              <w:adjustRightInd w:val="0"/>
              <w:snapToGrid w:val="0"/>
              <w:spacing w:line="240" w:lineRule="auto"/>
              <w:jc w:val="center"/>
              <w:rPr>
                <w:sz w:val="21"/>
                <w:szCs w:val="21"/>
              </w:rPr>
            </w:pPr>
            <w:r>
              <w:rPr>
                <w:sz w:val="21"/>
                <w:szCs w:val="21"/>
              </w:rPr>
              <w:t>倒班楼</w:t>
            </w:r>
          </w:p>
        </w:tc>
        <w:tc>
          <w:tcPr>
            <w:tcW w:w="2122" w:type="dxa"/>
            <w:vAlign w:val="center"/>
          </w:tcPr>
          <w:p w14:paraId="71AC4A2E">
            <w:pPr>
              <w:adjustRightInd w:val="0"/>
              <w:snapToGrid w:val="0"/>
              <w:spacing w:line="240" w:lineRule="auto"/>
              <w:jc w:val="center"/>
              <w:rPr>
                <w:sz w:val="21"/>
                <w:szCs w:val="21"/>
              </w:rPr>
            </w:pPr>
            <w:r>
              <w:rPr>
                <w:sz w:val="21"/>
                <w:szCs w:val="21"/>
              </w:rPr>
              <w:t>6455.51m</w:t>
            </w:r>
            <w:r>
              <w:rPr>
                <w:sz w:val="21"/>
                <w:szCs w:val="21"/>
                <w:vertAlign w:val="superscript"/>
              </w:rPr>
              <w:t>2</w:t>
            </w:r>
          </w:p>
        </w:tc>
        <w:tc>
          <w:tcPr>
            <w:tcW w:w="3497" w:type="dxa"/>
            <w:vAlign w:val="center"/>
          </w:tcPr>
          <w:p w14:paraId="791EBF2E">
            <w:pPr>
              <w:adjustRightInd w:val="0"/>
              <w:snapToGrid w:val="0"/>
              <w:spacing w:line="240" w:lineRule="auto"/>
              <w:jc w:val="center"/>
              <w:rPr>
                <w:sz w:val="21"/>
                <w:szCs w:val="21"/>
              </w:rPr>
            </w:pPr>
            <w:r>
              <w:rPr>
                <w:sz w:val="21"/>
                <w:szCs w:val="21"/>
              </w:rPr>
              <w:t>用于员工就餐住宿，5F</w:t>
            </w:r>
          </w:p>
        </w:tc>
      </w:tr>
      <w:tr w14:paraId="2156375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restart"/>
            <w:vAlign w:val="center"/>
          </w:tcPr>
          <w:p w14:paraId="7A77241C">
            <w:pPr>
              <w:adjustRightInd w:val="0"/>
              <w:snapToGrid w:val="0"/>
              <w:spacing w:line="240" w:lineRule="auto"/>
              <w:jc w:val="center"/>
              <w:rPr>
                <w:sz w:val="21"/>
                <w:szCs w:val="21"/>
              </w:rPr>
            </w:pPr>
            <w:r>
              <w:rPr>
                <w:sz w:val="21"/>
                <w:szCs w:val="21"/>
              </w:rPr>
              <w:t>生产区</w:t>
            </w:r>
          </w:p>
        </w:tc>
        <w:tc>
          <w:tcPr>
            <w:tcW w:w="1641" w:type="dxa"/>
            <w:vAlign w:val="center"/>
          </w:tcPr>
          <w:p w14:paraId="09B7C1CA">
            <w:pPr>
              <w:adjustRightInd w:val="0"/>
              <w:snapToGrid w:val="0"/>
              <w:spacing w:line="240" w:lineRule="auto"/>
              <w:jc w:val="center"/>
              <w:rPr>
                <w:sz w:val="21"/>
                <w:szCs w:val="21"/>
              </w:rPr>
            </w:pPr>
            <w:r>
              <w:rPr>
                <w:sz w:val="21"/>
                <w:szCs w:val="21"/>
              </w:rPr>
              <w:t>车间一</w:t>
            </w:r>
          </w:p>
        </w:tc>
        <w:tc>
          <w:tcPr>
            <w:tcW w:w="2122" w:type="dxa"/>
            <w:vAlign w:val="center"/>
          </w:tcPr>
          <w:p w14:paraId="027AD00D">
            <w:pPr>
              <w:adjustRightInd w:val="0"/>
              <w:snapToGrid w:val="0"/>
              <w:spacing w:line="240" w:lineRule="auto"/>
              <w:jc w:val="center"/>
              <w:rPr>
                <w:sz w:val="21"/>
                <w:szCs w:val="21"/>
              </w:rPr>
            </w:pPr>
            <w:r>
              <w:rPr>
                <w:sz w:val="21"/>
                <w:szCs w:val="21"/>
              </w:rPr>
              <w:t>5840.87m</w:t>
            </w:r>
            <w:r>
              <w:rPr>
                <w:sz w:val="21"/>
                <w:szCs w:val="21"/>
                <w:vertAlign w:val="superscript"/>
              </w:rPr>
              <w:t>2</w:t>
            </w:r>
          </w:p>
        </w:tc>
        <w:tc>
          <w:tcPr>
            <w:tcW w:w="3497" w:type="dxa"/>
            <w:vAlign w:val="center"/>
          </w:tcPr>
          <w:p w14:paraId="7C437592">
            <w:pPr>
              <w:adjustRightInd w:val="0"/>
              <w:snapToGrid w:val="0"/>
              <w:spacing w:line="240" w:lineRule="auto"/>
              <w:jc w:val="center"/>
              <w:rPr>
                <w:sz w:val="21"/>
                <w:szCs w:val="21"/>
              </w:rPr>
            </w:pPr>
            <w:r>
              <w:rPr>
                <w:sz w:val="21"/>
                <w:szCs w:val="21"/>
              </w:rPr>
              <w:t>原料、成品仓库</w:t>
            </w:r>
          </w:p>
        </w:tc>
      </w:tr>
      <w:tr w14:paraId="5985BE5A">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continue"/>
            <w:vAlign w:val="center"/>
          </w:tcPr>
          <w:p w14:paraId="6F1146F0">
            <w:pPr>
              <w:adjustRightInd w:val="0"/>
              <w:snapToGrid w:val="0"/>
              <w:spacing w:line="240" w:lineRule="auto"/>
              <w:jc w:val="center"/>
              <w:rPr>
                <w:sz w:val="21"/>
                <w:szCs w:val="21"/>
              </w:rPr>
            </w:pPr>
          </w:p>
        </w:tc>
        <w:tc>
          <w:tcPr>
            <w:tcW w:w="1641" w:type="dxa"/>
            <w:vAlign w:val="center"/>
          </w:tcPr>
          <w:p w14:paraId="3109D4BA">
            <w:pPr>
              <w:adjustRightInd w:val="0"/>
              <w:snapToGrid w:val="0"/>
              <w:spacing w:line="240" w:lineRule="auto"/>
              <w:jc w:val="center"/>
              <w:rPr>
                <w:sz w:val="21"/>
                <w:szCs w:val="21"/>
              </w:rPr>
            </w:pPr>
            <w:r>
              <w:rPr>
                <w:sz w:val="21"/>
                <w:szCs w:val="21"/>
              </w:rPr>
              <w:t>车间二</w:t>
            </w:r>
          </w:p>
        </w:tc>
        <w:tc>
          <w:tcPr>
            <w:tcW w:w="2122" w:type="dxa"/>
            <w:vAlign w:val="center"/>
          </w:tcPr>
          <w:p w14:paraId="32F48A78">
            <w:pPr>
              <w:adjustRightInd w:val="0"/>
              <w:snapToGrid w:val="0"/>
              <w:spacing w:line="240" w:lineRule="auto"/>
              <w:jc w:val="center"/>
              <w:rPr>
                <w:sz w:val="21"/>
                <w:szCs w:val="21"/>
              </w:rPr>
            </w:pPr>
            <w:r>
              <w:rPr>
                <w:sz w:val="21"/>
                <w:szCs w:val="21"/>
              </w:rPr>
              <w:t>8032.55m</w:t>
            </w:r>
            <w:r>
              <w:rPr>
                <w:sz w:val="21"/>
                <w:szCs w:val="21"/>
                <w:vertAlign w:val="superscript"/>
              </w:rPr>
              <w:t>2</w:t>
            </w:r>
          </w:p>
        </w:tc>
        <w:tc>
          <w:tcPr>
            <w:tcW w:w="3497" w:type="dxa"/>
            <w:vAlign w:val="center"/>
          </w:tcPr>
          <w:p w14:paraId="591F2BB0">
            <w:pPr>
              <w:adjustRightInd w:val="0"/>
              <w:snapToGrid w:val="0"/>
              <w:spacing w:line="240" w:lineRule="auto"/>
              <w:jc w:val="center"/>
              <w:rPr>
                <w:sz w:val="21"/>
                <w:szCs w:val="21"/>
              </w:rPr>
            </w:pPr>
            <w:r>
              <w:rPr>
                <w:sz w:val="21"/>
                <w:szCs w:val="21"/>
              </w:rPr>
              <w:t>制袋车间</w:t>
            </w:r>
          </w:p>
        </w:tc>
      </w:tr>
      <w:tr w14:paraId="14DEADB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continue"/>
            <w:vAlign w:val="center"/>
          </w:tcPr>
          <w:p w14:paraId="5D173397">
            <w:pPr>
              <w:adjustRightInd w:val="0"/>
              <w:snapToGrid w:val="0"/>
              <w:spacing w:line="240" w:lineRule="auto"/>
              <w:jc w:val="center"/>
              <w:rPr>
                <w:sz w:val="21"/>
                <w:szCs w:val="21"/>
              </w:rPr>
            </w:pPr>
          </w:p>
        </w:tc>
        <w:tc>
          <w:tcPr>
            <w:tcW w:w="1641" w:type="dxa"/>
            <w:vAlign w:val="center"/>
          </w:tcPr>
          <w:p w14:paraId="61FD0E50">
            <w:pPr>
              <w:adjustRightInd w:val="0"/>
              <w:snapToGrid w:val="0"/>
              <w:spacing w:line="240" w:lineRule="auto"/>
              <w:jc w:val="center"/>
              <w:rPr>
                <w:sz w:val="21"/>
                <w:szCs w:val="21"/>
              </w:rPr>
            </w:pPr>
            <w:r>
              <w:rPr>
                <w:sz w:val="21"/>
                <w:szCs w:val="21"/>
              </w:rPr>
              <w:t>车间三</w:t>
            </w:r>
          </w:p>
        </w:tc>
        <w:tc>
          <w:tcPr>
            <w:tcW w:w="2122" w:type="dxa"/>
            <w:vAlign w:val="center"/>
          </w:tcPr>
          <w:p w14:paraId="37E30DDA">
            <w:pPr>
              <w:adjustRightInd w:val="0"/>
              <w:snapToGrid w:val="0"/>
              <w:spacing w:line="240" w:lineRule="auto"/>
              <w:jc w:val="center"/>
              <w:rPr>
                <w:sz w:val="21"/>
                <w:szCs w:val="21"/>
              </w:rPr>
            </w:pPr>
            <w:r>
              <w:rPr>
                <w:sz w:val="21"/>
                <w:szCs w:val="21"/>
              </w:rPr>
              <w:t>4822.74m</w:t>
            </w:r>
            <w:r>
              <w:rPr>
                <w:sz w:val="21"/>
                <w:szCs w:val="21"/>
                <w:vertAlign w:val="superscript"/>
              </w:rPr>
              <w:t>2</w:t>
            </w:r>
          </w:p>
        </w:tc>
        <w:tc>
          <w:tcPr>
            <w:tcW w:w="3497" w:type="dxa"/>
            <w:vAlign w:val="center"/>
          </w:tcPr>
          <w:p w14:paraId="608B9C35">
            <w:pPr>
              <w:adjustRightInd w:val="0"/>
              <w:snapToGrid w:val="0"/>
              <w:spacing w:line="240" w:lineRule="auto"/>
              <w:jc w:val="center"/>
              <w:rPr>
                <w:sz w:val="21"/>
                <w:szCs w:val="21"/>
              </w:rPr>
            </w:pPr>
            <w:r>
              <w:rPr>
                <w:sz w:val="21"/>
                <w:szCs w:val="21"/>
              </w:rPr>
              <w:t>印刷、复合</w:t>
            </w:r>
            <w:r>
              <w:rPr>
                <w:rFonts w:hint="eastAsia"/>
                <w:sz w:val="21"/>
                <w:szCs w:val="21"/>
              </w:rPr>
              <w:t>区</w:t>
            </w:r>
            <w:r>
              <w:rPr>
                <w:sz w:val="21"/>
                <w:szCs w:val="21"/>
              </w:rPr>
              <w:t>，废气末端处理设备安装在此车间</w:t>
            </w:r>
          </w:p>
        </w:tc>
      </w:tr>
      <w:tr w14:paraId="3DC13B9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continue"/>
            <w:vAlign w:val="center"/>
          </w:tcPr>
          <w:p w14:paraId="2BDBD1F2">
            <w:pPr>
              <w:adjustRightInd w:val="0"/>
              <w:snapToGrid w:val="0"/>
              <w:spacing w:line="240" w:lineRule="auto"/>
              <w:jc w:val="center"/>
              <w:rPr>
                <w:sz w:val="21"/>
                <w:szCs w:val="21"/>
              </w:rPr>
            </w:pPr>
          </w:p>
        </w:tc>
        <w:tc>
          <w:tcPr>
            <w:tcW w:w="1641" w:type="dxa"/>
            <w:vAlign w:val="center"/>
          </w:tcPr>
          <w:p w14:paraId="5B93B108">
            <w:pPr>
              <w:adjustRightInd w:val="0"/>
              <w:snapToGrid w:val="0"/>
              <w:spacing w:line="240" w:lineRule="auto"/>
              <w:jc w:val="center"/>
              <w:rPr>
                <w:sz w:val="21"/>
                <w:szCs w:val="21"/>
              </w:rPr>
            </w:pPr>
            <w:r>
              <w:rPr>
                <w:sz w:val="21"/>
                <w:szCs w:val="21"/>
              </w:rPr>
              <w:t>车间</w:t>
            </w:r>
            <w:r>
              <w:rPr>
                <w:rFonts w:hint="eastAsia"/>
                <w:sz w:val="21"/>
                <w:szCs w:val="21"/>
              </w:rPr>
              <w:t>四</w:t>
            </w:r>
          </w:p>
        </w:tc>
        <w:tc>
          <w:tcPr>
            <w:tcW w:w="2122" w:type="dxa"/>
            <w:vAlign w:val="center"/>
          </w:tcPr>
          <w:p w14:paraId="5CDFEC72">
            <w:pPr>
              <w:adjustRightInd w:val="0"/>
              <w:snapToGrid w:val="0"/>
              <w:spacing w:line="240" w:lineRule="auto"/>
              <w:jc w:val="center"/>
              <w:rPr>
                <w:sz w:val="21"/>
                <w:szCs w:val="21"/>
              </w:rPr>
            </w:pPr>
            <w:r>
              <w:rPr>
                <w:sz w:val="21"/>
                <w:szCs w:val="21"/>
              </w:rPr>
              <w:t>2355.82m</w:t>
            </w:r>
            <w:r>
              <w:rPr>
                <w:sz w:val="21"/>
                <w:szCs w:val="21"/>
                <w:vertAlign w:val="superscript"/>
              </w:rPr>
              <w:t>2</w:t>
            </w:r>
          </w:p>
        </w:tc>
        <w:tc>
          <w:tcPr>
            <w:tcW w:w="3497" w:type="dxa"/>
            <w:vAlign w:val="center"/>
          </w:tcPr>
          <w:p w14:paraId="03E31C5B">
            <w:pPr>
              <w:adjustRightInd w:val="0"/>
              <w:snapToGrid w:val="0"/>
              <w:spacing w:line="240" w:lineRule="auto"/>
              <w:jc w:val="center"/>
              <w:rPr>
                <w:sz w:val="21"/>
                <w:szCs w:val="21"/>
              </w:rPr>
            </w:pPr>
            <w:r>
              <w:rPr>
                <w:rFonts w:hint="eastAsia"/>
                <w:sz w:val="21"/>
                <w:szCs w:val="21"/>
              </w:rPr>
              <w:t>已建成新车间，危废间、一般固废暂存间</w:t>
            </w:r>
          </w:p>
        </w:tc>
      </w:tr>
      <w:tr w14:paraId="0118C87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262" w:type="dxa"/>
            <w:vMerge w:val="continue"/>
            <w:vAlign w:val="center"/>
          </w:tcPr>
          <w:p w14:paraId="34640EFF">
            <w:pPr>
              <w:adjustRightInd w:val="0"/>
              <w:snapToGrid w:val="0"/>
              <w:spacing w:line="240" w:lineRule="auto"/>
              <w:jc w:val="center"/>
              <w:rPr>
                <w:sz w:val="21"/>
                <w:szCs w:val="21"/>
              </w:rPr>
            </w:pPr>
          </w:p>
        </w:tc>
        <w:tc>
          <w:tcPr>
            <w:tcW w:w="1641" w:type="dxa"/>
            <w:vAlign w:val="center"/>
          </w:tcPr>
          <w:p w14:paraId="3BEEA124">
            <w:pPr>
              <w:adjustRightInd w:val="0"/>
              <w:snapToGrid w:val="0"/>
              <w:spacing w:line="240" w:lineRule="auto"/>
              <w:jc w:val="center"/>
              <w:rPr>
                <w:sz w:val="21"/>
                <w:szCs w:val="21"/>
              </w:rPr>
            </w:pPr>
            <w:r>
              <w:rPr>
                <w:rFonts w:hint="eastAsia"/>
                <w:sz w:val="21"/>
                <w:szCs w:val="21"/>
              </w:rPr>
              <w:t>危化品仓库</w:t>
            </w:r>
          </w:p>
        </w:tc>
        <w:tc>
          <w:tcPr>
            <w:tcW w:w="2122" w:type="dxa"/>
            <w:vAlign w:val="center"/>
          </w:tcPr>
          <w:p w14:paraId="34506A6A">
            <w:pPr>
              <w:adjustRightInd w:val="0"/>
              <w:snapToGrid w:val="0"/>
              <w:spacing w:line="240" w:lineRule="auto"/>
              <w:jc w:val="center"/>
              <w:rPr>
                <w:sz w:val="21"/>
                <w:szCs w:val="21"/>
              </w:rPr>
            </w:pPr>
            <w:r>
              <w:rPr>
                <w:rFonts w:hint="eastAsia"/>
                <w:sz w:val="21"/>
                <w:szCs w:val="21"/>
              </w:rPr>
              <w:t>360</w:t>
            </w:r>
            <w:r>
              <w:rPr>
                <w:sz w:val="21"/>
                <w:szCs w:val="21"/>
              </w:rPr>
              <w:t>m</w:t>
            </w:r>
            <w:r>
              <w:rPr>
                <w:sz w:val="21"/>
                <w:szCs w:val="21"/>
                <w:vertAlign w:val="superscript"/>
              </w:rPr>
              <w:t>2</w:t>
            </w:r>
          </w:p>
        </w:tc>
        <w:tc>
          <w:tcPr>
            <w:tcW w:w="3497" w:type="dxa"/>
            <w:vAlign w:val="center"/>
          </w:tcPr>
          <w:p w14:paraId="0A54AA0F">
            <w:pPr>
              <w:adjustRightInd w:val="0"/>
              <w:snapToGrid w:val="0"/>
              <w:spacing w:line="240" w:lineRule="auto"/>
              <w:jc w:val="center"/>
              <w:rPr>
                <w:sz w:val="21"/>
                <w:szCs w:val="21"/>
              </w:rPr>
            </w:pPr>
            <w:r>
              <w:rPr>
                <w:rFonts w:hint="eastAsia"/>
                <w:sz w:val="21"/>
                <w:szCs w:val="21"/>
              </w:rPr>
              <w:t>储存危化品</w:t>
            </w:r>
          </w:p>
        </w:tc>
      </w:tr>
    </w:tbl>
    <w:p w14:paraId="1964B969">
      <w:pPr>
        <w:pStyle w:val="51"/>
        <w:numPr>
          <w:ilvl w:val="5"/>
          <w:numId w:val="0"/>
        </w:numPr>
        <w:spacing w:before="0" w:beforeLines="0" w:line="360" w:lineRule="auto"/>
        <w:ind w:left="-295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表3.1-3 </w:t>
      </w:r>
      <w:r>
        <w:rPr>
          <w:rFonts w:hint="eastAsia"/>
        </w:rPr>
        <w:t xml:space="preserve"> </w:t>
      </w:r>
      <w:r>
        <w:rPr>
          <w:rFonts w:hint="eastAsia"/>
          <w:lang w:val="en-US" w:eastAsia="zh-CN"/>
        </w:rPr>
        <w:t xml:space="preserve"> </w:t>
      </w:r>
      <w:r>
        <w:rPr>
          <w:rFonts w:hint="eastAsia"/>
        </w:rPr>
        <w:t>已建工程产品方案</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52"/>
        <w:gridCol w:w="4660"/>
        <w:gridCol w:w="2950"/>
      </w:tblGrid>
      <w:tr w14:paraId="56C1C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4" w:type="dxa"/>
          </w:tcPr>
          <w:p w14:paraId="50CE2845">
            <w:pPr>
              <w:adjustRightInd w:val="0"/>
              <w:snapToGrid w:val="0"/>
              <w:spacing w:line="240" w:lineRule="auto"/>
              <w:jc w:val="center"/>
              <w:rPr>
                <w:sz w:val="21"/>
                <w:szCs w:val="21"/>
              </w:rPr>
            </w:pPr>
            <w:r>
              <w:rPr>
                <w:sz w:val="21"/>
                <w:szCs w:val="21"/>
              </w:rPr>
              <w:t>序号</w:t>
            </w:r>
          </w:p>
        </w:tc>
        <w:tc>
          <w:tcPr>
            <w:tcW w:w="3558" w:type="dxa"/>
          </w:tcPr>
          <w:p w14:paraId="5E08415C">
            <w:pPr>
              <w:adjustRightInd w:val="0"/>
              <w:snapToGrid w:val="0"/>
              <w:spacing w:line="240" w:lineRule="auto"/>
              <w:jc w:val="center"/>
              <w:rPr>
                <w:sz w:val="21"/>
                <w:szCs w:val="21"/>
              </w:rPr>
            </w:pPr>
            <w:r>
              <w:rPr>
                <w:sz w:val="21"/>
                <w:szCs w:val="21"/>
              </w:rPr>
              <w:t>产品名称</w:t>
            </w:r>
          </w:p>
        </w:tc>
        <w:tc>
          <w:tcPr>
            <w:tcW w:w="2252" w:type="dxa"/>
          </w:tcPr>
          <w:p w14:paraId="4255EC97">
            <w:pPr>
              <w:adjustRightInd w:val="0"/>
              <w:snapToGrid w:val="0"/>
              <w:spacing w:line="240" w:lineRule="auto"/>
              <w:jc w:val="center"/>
              <w:rPr>
                <w:sz w:val="21"/>
                <w:szCs w:val="21"/>
              </w:rPr>
            </w:pPr>
            <w:r>
              <w:rPr>
                <w:sz w:val="21"/>
                <w:szCs w:val="21"/>
              </w:rPr>
              <w:t>产量</w:t>
            </w:r>
            <w:r>
              <w:rPr>
                <w:rFonts w:hint="eastAsia"/>
                <w:sz w:val="21"/>
                <w:szCs w:val="21"/>
              </w:rPr>
              <w:t>（</w:t>
            </w:r>
            <w:r>
              <w:rPr>
                <w:sz w:val="21"/>
                <w:szCs w:val="21"/>
              </w:rPr>
              <w:t>吨/年</w:t>
            </w:r>
            <w:r>
              <w:rPr>
                <w:rFonts w:hint="eastAsia"/>
                <w:sz w:val="21"/>
                <w:szCs w:val="21"/>
              </w:rPr>
              <w:t>）</w:t>
            </w:r>
          </w:p>
        </w:tc>
      </w:tr>
      <w:tr w14:paraId="68AAA4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4" w:type="dxa"/>
            <w:vAlign w:val="center"/>
          </w:tcPr>
          <w:p w14:paraId="4416A9F2">
            <w:pPr>
              <w:adjustRightInd w:val="0"/>
              <w:snapToGrid w:val="0"/>
              <w:spacing w:line="240" w:lineRule="auto"/>
              <w:jc w:val="center"/>
              <w:rPr>
                <w:sz w:val="21"/>
                <w:szCs w:val="21"/>
              </w:rPr>
            </w:pPr>
            <w:r>
              <w:rPr>
                <w:sz w:val="21"/>
                <w:szCs w:val="21"/>
              </w:rPr>
              <w:t>1</w:t>
            </w:r>
          </w:p>
        </w:tc>
        <w:tc>
          <w:tcPr>
            <w:tcW w:w="3558" w:type="dxa"/>
            <w:vAlign w:val="center"/>
          </w:tcPr>
          <w:p w14:paraId="7AB49984">
            <w:pPr>
              <w:adjustRightInd w:val="0"/>
              <w:snapToGrid w:val="0"/>
              <w:spacing w:line="240" w:lineRule="auto"/>
              <w:jc w:val="center"/>
              <w:rPr>
                <w:sz w:val="21"/>
                <w:szCs w:val="21"/>
              </w:rPr>
            </w:pPr>
            <w:r>
              <w:rPr>
                <w:sz w:val="21"/>
                <w:szCs w:val="21"/>
              </w:rPr>
              <w:t>聚丙烯复合镀铝膜及聚乙烯包装袋</w:t>
            </w:r>
          </w:p>
        </w:tc>
        <w:tc>
          <w:tcPr>
            <w:tcW w:w="2252" w:type="dxa"/>
            <w:vAlign w:val="center"/>
          </w:tcPr>
          <w:p w14:paraId="7F91D855">
            <w:pPr>
              <w:adjustRightInd w:val="0"/>
              <w:snapToGrid w:val="0"/>
              <w:spacing w:line="240" w:lineRule="auto"/>
              <w:jc w:val="center"/>
              <w:rPr>
                <w:sz w:val="21"/>
                <w:szCs w:val="21"/>
              </w:rPr>
            </w:pPr>
            <w:r>
              <w:rPr>
                <w:sz w:val="21"/>
                <w:szCs w:val="21"/>
              </w:rPr>
              <w:t>2880</w:t>
            </w:r>
          </w:p>
        </w:tc>
      </w:tr>
      <w:tr w14:paraId="54B28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4" w:type="dxa"/>
            <w:vAlign w:val="center"/>
          </w:tcPr>
          <w:p w14:paraId="114289B6">
            <w:pPr>
              <w:adjustRightInd w:val="0"/>
              <w:snapToGrid w:val="0"/>
              <w:spacing w:line="240" w:lineRule="auto"/>
              <w:jc w:val="center"/>
              <w:rPr>
                <w:sz w:val="21"/>
                <w:szCs w:val="21"/>
              </w:rPr>
            </w:pPr>
            <w:r>
              <w:rPr>
                <w:sz w:val="21"/>
                <w:szCs w:val="21"/>
              </w:rPr>
              <w:t>2</w:t>
            </w:r>
          </w:p>
        </w:tc>
        <w:tc>
          <w:tcPr>
            <w:tcW w:w="3558" w:type="dxa"/>
            <w:vAlign w:val="center"/>
          </w:tcPr>
          <w:p w14:paraId="5762960D">
            <w:pPr>
              <w:adjustRightInd w:val="0"/>
              <w:snapToGrid w:val="0"/>
              <w:spacing w:line="240" w:lineRule="auto"/>
              <w:jc w:val="center"/>
              <w:rPr>
                <w:sz w:val="21"/>
                <w:szCs w:val="21"/>
              </w:rPr>
            </w:pPr>
            <w:r>
              <w:rPr>
                <w:sz w:val="21"/>
                <w:szCs w:val="21"/>
              </w:rPr>
              <w:t>聚丙烯复合聚乙烯包装袋</w:t>
            </w:r>
          </w:p>
        </w:tc>
        <w:tc>
          <w:tcPr>
            <w:tcW w:w="2252" w:type="dxa"/>
            <w:vAlign w:val="center"/>
          </w:tcPr>
          <w:p w14:paraId="146F9A49">
            <w:pPr>
              <w:adjustRightInd w:val="0"/>
              <w:snapToGrid w:val="0"/>
              <w:spacing w:line="240" w:lineRule="auto"/>
              <w:jc w:val="center"/>
              <w:rPr>
                <w:sz w:val="21"/>
                <w:szCs w:val="21"/>
              </w:rPr>
            </w:pPr>
            <w:r>
              <w:rPr>
                <w:sz w:val="21"/>
                <w:szCs w:val="21"/>
              </w:rPr>
              <w:t>2880</w:t>
            </w:r>
          </w:p>
        </w:tc>
      </w:tr>
      <w:tr w14:paraId="23B464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4" w:type="dxa"/>
            <w:vAlign w:val="center"/>
          </w:tcPr>
          <w:p w14:paraId="78DE1571">
            <w:pPr>
              <w:adjustRightInd w:val="0"/>
              <w:snapToGrid w:val="0"/>
              <w:spacing w:line="240" w:lineRule="auto"/>
              <w:jc w:val="center"/>
              <w:rPr>
                <w:sz w:val="21"/>
                <w:szCs w:val="21"/>
              </w:rPr>
            </w:pPr>
            <w:r>
              <w:rPr>
                <w:sz w:val="21"/>
                <w:szCs w:val="21"/>
              </w:rPr>
              <w:t>3</w:t>
            </w:r>
          </w:p>
        </w:tc>
        <w:tc>
          <w:tcPr>
            <w:tcW w:w="3558" w:type="dxa"/>
            <w:vAlign w:val="center"/>
          </w:tcPr>
          <w:p w14:paraId="69DA7AF9">
            <w:pPr>
              <w:adjustRightInd w:val="0"/>
              <w:snapToGrid w:val="0"/>
              <w:spacing w:line="240" w:lineRule="auto"/>
              <w:jc w:val="center"/>
              <w:rPr>
                <w:sz w:val="21"/>
                <w:szCs w:val="21"/>
              </w:rPr>
            </w:pPr>
            <w:r>
              <w:rPr>
                <w:sz w:val="21"/>
                <w:szCs w:val="21"/>
              </w:rPr>
              <w:t>聚丙烯复合耐蒸煮流延膜包装袋</w:t>
            </w:r>
          </w:p>
        </w:tc>
        <w:tc>
          <w:tcPr>
            <w:tcW w:w="2252" w:type="dxa"/>
            <w:vAlign w:val="center"/>
          </w:tcPr>
          <w:p w14:paraId="20AD5210">
            <w:pPr>
              <w:adjustRightInd w:val="0"/>
              <w:snapToGrid w:val="0"/>
              <w:spacing w:line="240" w:lineRule="auto"/>
              <w:jc w:val="center"/>
              <w:rPr>
                <w:sz w:val="21"/>
                <w:szCs w:val="21"/>
              </w:rPr>
            </w:pPr>
            <w:r>
              <w:rPr>
                <w:sz w:val="21"/>
                <w:szCs w:val="21"/>
              </w:rPr>
              <w:t>2880</w:t>
            </w:r>
          </w:p>
        </w:tc>
      </w:tr>
      <w:tr w14:paraId="2A1B44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4" w:type="dxa"/>
            <w:vAlign w:val="center"/>
          </w:tcPr>
          <w:p w14:paraId="372A2C70">
            <w:pPr>
              <w:adjustRightInd w:val="0"/>
              <w:snapToGrid w:val="0"/>
              <w:spacing w:line="240" w:lineRule="auto"/>
              <w:jc w:val="center"/>
              <w:rPr>
                <w:sz w:val="21"/>
                <w:szCs w:val="21"/>
              </w:rPr>
            </w:pPr>
            <w:r>
              <w:rPr>
                <w:sz w:val="21"/>
                <w:szCs w:val="21"/>
              </w:rPr>
              <w:t>4</w:t>
            </w:r>
          </w:p>
        </w:tc>
        <w:tc>
          <w:tcPr>
            <w:tcW w:w="3558" w:type="dxa"/>
            <w:vAlign w:val="center"/>
          </w:tcPr>
          <w:p w14:paraId="42B73149">
            <w:pPr>
              <w:adjustRightInd w:val="0"/>
              <w:snapToGrid w:val="0"/>
              <w:spacing w:line="240" w:lineRule="auto"/>
              <w:jc w:val="center"/>
              <w:rPr>
                <w:sz w:val="21"/>
                <w:szCs w:val="21"/>
              </w:rPr>
            </w:pPr>
            <w:r>
              <w:rPr>
                <w:sz w:val="21"/>
                <w:szCs w:val="21"/>
              </w:rPr>
              <w:t>双向拉伸尼龙复合聚乙烯包装袋</w:t>
            </w:r>
          </w:p>
        </w:tc>
        <w:tc>
          <w:tcPr>
            <w:tcW w:w="2252" w:type="dxa"/>
            <w:vAlign w:val="center"/>
          </w:tcPr>
          <w:p w14:paraId="3222081B">
            <w:pPr>
              <w:adjustRightInd w:val="0"/>
              <w:snapToGrid w:val="0"/>
              <w:spacing w:line="240" w:lineRule="auto"/>
              <w:jc w:val="center"/>
              <w:rPr>
                <w:sz w:val="21"/>
                <w:szCs w:val="21"/>
              </w:rPr>
            </w:pPr>
            <w:r>
              <w:rPr>
                <w:sz w:val="21"/>
                <w:szCs w:val="21"/>
              </w:rPr>
              <w:t>720</w:t>
            </w:r>
          </w:p>
        </w:tc>
      </w:tr>
      <w:tr w14:paraId="0656B8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4" w:type="dxa"/>
            <w:vAlign w:val="center"/>
          </w:tcPr>
          <w:p w14:paraId="495B999F">
            <w:pPr>
              <w:adjustRightInd w:val="0"/>
              <w:snapToGrid w:val="0"/>
              <w:spacing w:line="240" w:lineRule="auto"/>
              <w:jc w:val="center"/>
              <w:rPr>
                <w:sz w:val="21"/>
                <w:szCs w:val="21"/>
              </w:rPr>
            </w:pPr>
            <w:r>
              <w:rPr>
                <w:sz w:val="21"/>
                <w:szCs w:val="21"/>
              </w:rPr>
              <w:t>5</w:t>
            </w:r>
          </w:p>
        </w:tc>
        <w:tc>
          <w:tcPr>
            <w:tcW w:w="3558" w:type="dxa"/>
            <w:vAlign w:val="center"/>
          </w:tcPr>
          <w:p w14:paraId="3CE659B2">
            <w:pPr>
              <w:adjustRightInd w:val="0"/>
              <w:snapToGrid w:val="0"/>
              <w:spacing w:line="240" w:lineRule="auto"/>
              <w:jc w:val="center"/>
              <w:rPr>
                <w:sz w:val="21"/>
                <w:szCs w:val="21"/>
              </w:rPr>
            </w:pPr>
            <w:r>
              <w:rPr>
                <w:sz w:val="21"/>
                <w:szCs w:val="21"/>
              </w:rPr>
              <w:t>双向拉伸尼龙复合耐蒸煮流延膜包装袋</w:t>
            </w:r>
          </w:p>
        </w:tc>
        <w:tc>
          <w:tcPr>
            <w:tcW w:w="2252" w:type="dxa"/>
            <w:vAlign w:val="center"/>
          </w:tcPr>
          <w:p w14:paraId="1FF8E219">
            <w:pPr>
              <w:adjustRightInd w:val="0"/>
              <w:snapToGrid w:val="0"/>
              <w:spacing w:line="240" w:lineRule="auto"/>
              <w:jc w:val="center"/>
              <w:rPr>
                <w:sz w:val="21"/>
                <w:szCs w:val="21"/>
              </w:rPr>
            </w:pPr>
            <w:r>
              <w:rPr>
                <w:sz w:val="21"/>
                <w:szCs w:val="21"/>
              </w:rPr>
              <w:t>720</w:t>
            </w:r>
          </w:p>
        </w:tc>
      </w:tr>
      <w:tr w14:paraId="296542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132" w:type="dxa"/>
            <w:gridSpan w:val="2"/>
            <w:vAlign w:val="center"/>
          </w:tcPr>
          <w:p w14:paraId="2A99D9C0">
            <w:pPr>
              <w:adjustRightInd w:val="0"/>
              <w:snapToGrid w:val="0"/>
              <w:spacing w:line="240" w:lineRule="auto"/>
              <w:jc w:val="center"/>
              <w:rPr>
                <w:sz w:val="21"/>
                <w:szCs w:val="21"/>
              </w:rPr>
            </w:pPr>
            <w:r>
              <w:rPr>
                <w:sz w:val="21"/>
                <w:szCs w:val="21"/>
              </w:rPr>
              <w:t>合计</w:t>
            </w:r>
          </w:p>
        </w:tc>
        <w:tc>
          <w:tcPr>
            <w:tcW w:w="2252" w:type="dxa"/>
            <w:vAlign w:val="center"/>
          </w:tcPr>
          <w:p w14:paraId="6253A598">
            <w:pPr>
              <w:adjustRightInd w:val="0"/>
              <w:snapToGrid w:val="0"/>
              <w:spacing w:line="240" w:lineRule="auto"/>
              <w:jc w:val="center"/>
              <w:rPr>
                <w:sz w:val="21"/>
                <w:szCs w:val="21"/>
              </w:rPr>
            </w:pPr>
            <w:r>
              <w:rPr>
                <w:sz w:val="21"/>
                <w:szCs w:val="21"/>
              </w:rPr>
              <w:t>10080</w:t>
            </w:r>
          </w:p>
        </w:tc>
      </w:tr>
    </w:tbl>
    <w:p w14:paraId="700125E9">
      <w:pPr>
        <w:pStyle w:val="51"/>
        <w:numPr>
          <w:ilvl w:val="5"/>
          <w:numId w:val="0"/>
        </w:numPr>
        <w:spacing w:before="0" w:beforeLines="0" w:line="360" w:lineRule="auto"/>
        <w:ind w:left="-295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表3.1-4 </w:t>
      </w:r>
      <w:r>
        <w:rPr>
          <w:rFonts w:hint="eastAsia"/>
        </w:rPr>
        <w:t>现有工程主要设备</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57" w:type="dxa"/>
          <w:bottom w:w="0" w:type="dxa"/>
          <w:right w:w="57" w:type="dxa"/>
        </w:tblCellMar>
      </w:tblPr>
      <w:tblGrid>
        <w:gridCol w:w="562"/>
        <w:gridCol w:w="516"/>
        <w:gridCol w:w="1292"/>
        <w:gridCol w:w="3641"/>
        <w:gridCol w:w="1559"/>
        <w:gridCol w:w="850"/>
      </w:tblGrid>
      <w:tr w14:paraId="1C7DCADB">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7A2F36E6">
            <w:pPr>
              <w:adjustRightInd w:val="0"/>
              <w:snapToGrid w:val="0"/>
              <w:spacing w:line="240" w:lineRule="auto"/>
              <w:jc w:val="center"/>
              <w:rPr>
                <w:sz w:val="21"/>
                <w:szCs w:val="21"/>
              </w:rPr>
            </w:pPr>
            <w:r>
              <w:rPr>
                <w:sz w:val="21"/>
                <w:szCs w:val="21"/>
              </w:rPr>
              <w:t>序号</w:t>
            </w:r>
          </w:p>
        </w:tc>
        <w:tc>
          <w:tcPr>
            <w:tcW w:w="1808" w:type="dxa"/>
            <w:gridSpan w:val="2"/>
            <w:vAlign w:val="center"/>
          </w:tcPr>
          <w:p w14:paraId="246BD51A">
            <w:pPr>
              <w:adjustRightInd w:val="0"/>
              <w:snapToGrid w:val="0"/>
              <w:spacing w:line="240" w:lineRule="auto"/>
              <w:jc w:val="center"/>
              <w:rPr>
                <w:sz w:val="21"/>
                <w:szCs w:val="21"/>
              </w:rPr>
            </w:pPr>
            <w:r>
              <w:rPr>
                <w:sz w:val="21"/>
                <w:szCs w:val="21"/>
              </w:rPr>
              <w:t>设备名称</w:t>
            </w:r>
          </w:p>
        </w:tc>
        <w:tc>
          <w:tcPr>
            <w:tcW w:w="3641" w:type="dxa"/>
            <w:vAlign w:val="center"/>
          </w:tcPr>
          <w:p w14:paraId="538E2346">
            <w:pPr>
              <w:adjustRightInd w:val="0"/>
              <w:snapToGrid w:val="0"/>
              <w:spacing w:line="240" w:lineRule="auto"/>
              <w:jc w:val="center"/>
              <w:rPr>
                <w:sz w:val="21"/>
                <w:szCs w:val="21"/>
              </w:rPr>
            </w:pPr>
            <w:r>
              <w:rPr>
                <w:sz w:val="21"/>
                <w:szCs w:val="21"/>
              </w:rPr>
              <w:t>型号</w:t>
            </w:r>
          </w:p>
        </w:tc>
        <w:tc>
          <w:tcPr>
            <w:tcW w:w="1559" w:type="dxa"/>
            <w:vAlign w:val="center"/>
          </w:tcPr>
          <w:p w14:paraId="2798DD48">
            <w:pPr>
              <w:adjustRightInd w:val="0"/>
              <w:snapToGrid w:val="0"/>
              <w:spacing w:line="240" w:lineRule="auto"/>
              <w:jc w:val="center"/>
              <w:rPr>
                <w:sz w:val="21"/>
                <w:szCs w:val="21"/>
              </w:rPr>
            </w:pPr>
            <w:r>
              <w:rPr>
                <w:sz w:val="21"/>
                <w:szCs w:val="21"/>
              </w:rPr>
              <w:t>数量</w:t>
            </w:r>
          </w:p>
        </w:tc>
        <w:tc>
          <w:tcPr>
            <w:tcW w:w="850" w:type="dxa"/>
            <w:vAlign w:val="center"/>
          </w:tcPr>
          <w:p w14:paraId="0D0219EA">
            <w:pPr>
              <w:adjustRightInd w:val="0"/>
              <w:snapToGrid w:val="0"/>
              <w:spacing w:line="240" w:lineRule="auto"/>
              <w:jc w:val="center"/>
              <w:rPr>
                <w:sz w:val="21"/>
                <w:szCs w:val="21"/>
              </w:rPr>
            </w:pPr>
            <w:r>
              <w:rPr>
                <w:sz w:val="21"/>
                <w:szCs w:val="21"/>
              </w:rPr>
              <w:t>备注</w:t>
            </w:r>
          </w:p>
        </w:tc>
      </w:tr>
      <w:tr w14:paraId="47B1108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5F6AD3B8">
            <w:pPr>
              <w:adjustRightInd w:val="0"/>
              <w:snapToGrid w:val="0"/>
              <w:spacing w:line="240" w:lineRule="auto"/>
              <w:jc w:val="center"/>
              <w:rPr>
                <w:sz w:val="21"/>
                <w:szCs w:val="21"/>
              </w:rPr>
            </w:pPr>
            <w:r>
              <w:rPr>
                <w:sz w:val="21"/>
                <w:szCs w:val="21"/>
              </w:rPr>
              <w:t>1</w:t>
            </w:r>
          </w:p>
        </w:tc>
        <w:tc>
          <w:tcPr>
            <w:tcW w:w="1808" w:type="dxa"/>
            <w:gridSpan w:val="2"/>
            <w:vAlign w:val="center"/>
          </w:tcPr>
          <w:p w14:paraId="6729AC1D">
            <w:pPr>
              <w:adjustRightInd w:val="0"/>
              <w:snapToGrid w:val="0"/>
              <w:spacing w:line="240" w:lineRule="auto"/>
              <w:jc w:val="center"/>
              <w:rPr>
                <w:sz w:val="21"/>
                <w:szCs w:val="21"/>
              </w:rPr>
            </w:pPr>
            <w:r>
              <w:rPr>
                <w:sz w:val="21"/>
                <w:szCs w:val="21"/>
              </w:rPr>
              <w:t>印刷机</w:t>
            </w:r>
          </w:p>
        </w:tc>
        <w:tc>
          <w:tcPr>
            <w:tcW w:w="3641" w:type="dxa"/>
            <w:vAlign w:val="center"/>
          </w:tcPr>
          <w:p w14:paraId="20C4F7EA">
            <w:pPr>
              <w:adjustRightInd w:val="0"/>
              <w:snapToGrid w:val="0"/>
              <w:spacing w:line="240" w:lineRule="auto"/>
              <w:jc w:val="center"/>
              <w:rPr>
                <w:sz w:val="21"/>
                <w:szCs w:val="21"/>
              </w:rPr>
            </w:pPr>
            <w:r>
              <w:rPr>
                <w:sz w:val="21"/>
                <w:szCs w:val="21"/>
              </w:rPr>
              <w:t>YA1001250FWZ、SGF1250WZA、FRB180</w:t>
            </w:r>
            <w:r>
              <w:rPr>
                <w:rFonts w:hint="eastAsia"/>
                <w:sz w:val="21"/>
                <w:szCs w:val="21"/>
              </w:rPr>
              <w:t>（</w:t>
            </w:r>
            <w:r>
              <w:rPr>
                <w:sz w:val="21"/>
                <w:szCs w:val="21"/>
              </w:rPr>
              <w:t>1050</w:t>
            </w:r>
            <w:r>
              <w:rPr>
                <w:rFonts w:hint="eastAsia"/>
                <w:sz w:val="21"/>
                <w:szCs w:val="21"/>
              </w:rPr>
              <w:t>）</w:t>
            </w:r>
            <w:r>
              <w:rPr>
                <w:sz w:val="21"/>
                <w:szCs w:val="21"/>
              </w:rPr>
              <w:t>、FR300ELS</w:t>
            </w:r>
            <w:r>
              <w:rPr>
                <w:rFonts w:hint="eastAsia"/>
                <w:sz w:val="21"/>
                <w:szCs w:val="21"/>
              </w:rPr>
              <w:t>（</w:t>
            </w:r>
            <w:r>
              <w:rPr>
                <w:sz w:val="21"/>
                <w:szCs w:val="21"/>
              </w:rPr>
              <w:t>YA系列</w:t>
            </w:r>
            <w:r>
              <w:rPr>
                <w:rFonts w:hint="eastAsia"/>
                <w:sz w:val="21"/>
                <w:szCs w:val="21"/>
              </w:rPr>
              <w:t>）</w:t>
            </w:r>
            <w:r>
              <w:rPr>
                <w:sz w:val="21"/>
                <w:szCs w:val="21"/>
              </w:rPr>
              <w:t>、FRB180</w:t>
            </w:r>
            <w:r>
              <w:rPr>
                <w:rFonts w:hint="eastAsia"/>
                <w:sz w:val="21"/>
                <w:szCs w:val="21"/>
              </w:rPr>
              <w:t>（</w:t>
            </w:r>
            <w:r>
              <w:rPr>
                <w:sz w:val="21"/>
                <w:szCs w:val="21"/>
              </w:rPr>
              <w:t>1250</w:t>
            </w:r>
            <w:r>
              <w:rPr>
                <w:rFonts w:hint="eastAsia"/>
                <w:sz w:val="21"/>
                <w:szCs w:val="21"/>
              </w:rPr>
              <w:t>）</w:t>
            </w:r>
            <w:r>
              <w:rPr>
                <w:sz w:val="21"/>
                <w:szCs w:val="21"/>
              </w:rPr>
              <w:t>、SGF850P、SGF850P</w:t>
            </w:r>
          </w:p>
        </w:tc>
        <w:tc>
          <w:tcPr>
            <w:tcW w:w="1559" w:type="dxa"/>
            <w:vAlign w:val="center"/>
          </w:tcPr>
          <w:p w14:paraId="313A7195">
            <w:pPr>
              <w:adjustRightInd w:val="0"/>
              <w:snapToGrid w:val="0"/>
              <w:spacing w:line="240" w:lineRule="auto"/>
              <w:jc w:val="center"/>
              <w:rPr>
                <w:sz w:val="21"/>
                <w:szCs w:val="21"/>
              </w:rPr>
            </w:pPr>
            <w:r>
              <w:rPr>
                <w:sz w:val="21"/>
                <w:szCs w:val="21"/>
              </w:rPr>
              <w:t>7台</w:t>
            </w:r>
          </w:p>
        </w:tc>
        <w:tc>
          <w:tcPr>
            <w:tcW w:w="850" w:type="dxa"/>
            <w:vAlign w:val="center"/>
          </w:tcPr>
          <w:p w14:paraId="3D5BE654">
            <w:pPr>
              <w:adjustRightInd w:val="0"/>
              <w:snapToGrid w:val="0"/>
              <w:spacing w:line="240" w:lineRule="auto"/>
              <w:jc w:val="center"/>
              <w:rPr>
                <w:sz w:val="21"/>
                <w:szCs w:val="21"/>
              </w:rPr>
            </w:pPr>
          </w:p>
        </w:tc>
      </w:tr>
      <w:tr w14:paraId="02D0BB21">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43C1C91E">
            <w:pPr>
              <w:adjustRightInd w:val="0"/>
              <w:snapToGrid w:val="0"/>
              <w:spacing w:line="240" w:lineRule="auto"/>
              <w:jc w:val="center"/>
              <w:rPr>
                <w:sz w:val="21"/>
                <w:szCs w:val="21"/>
              </w:rPr>
            </w:pPr>
            <w:r>
              <w:rPr>
                <w:sz w:val="21"/>
                <w:szCs w:val="21"/>
              </w:rPr>
              <w:t>2</w:t>
            </w:r>
          </w:p>
        </w:tc>
        <w:tc>
          <w:tcPr>
            <w:tcW w:w="516" w:type="dxa"/>
            <w:vMerge w:val="restart"/>
            <w:vAlign w:val="center"/>
          </w:tcPr>
          <w:p w14:paraId="34268DF8">
            <w:pPr>
              <w:adjustRightInd w:val="0"/>
              <w:snapToGrid w:val="0"/>
              <w:spacing w:line="240" w:lineRule="auto"/>
              <w:jc w:val="center"/>
              <w:rPr>
                <w:sz w:val="21"/>
                <w:szCs w:val="21"/>
              </w:rPr>
            </w:pPr>
            <w:r>
              <w:rPr>
                <w:sz w:val="21"/>
                <w:szCs w:val="21"/>
              </w:rPr>
              <w:t>复合</w:t>
            </w:r>
          </w:p>
        </w:tc>
        <w:tc>
          <w:tcPr>
            <w:tcW w:w="1292" w:type="dxa"/>
            <w:vAlign w:val="center"/>
          </w:tcPr>
          <w:p w14:paraId="23943AB6">
            <w:pPr>
              <w:adjustRightInd w:val="0"/>
              <w:snapToGrid w:val="0"/>
              <w:spacing w:line="240" w:lineRule="auto"/>
              <w:jc w:val="center"/>
              <w:rPr>
                <w:sz w:val="21"/>
                <w:szCs w:val="21"/>
              </w:rPr>
            </w:pPr>
            <w:r>
              <w:rPr>
                <w:sz w:val="21"/>
                <w:szCs w:val="21"/>
              </w:rPr>
              <w:t>干复机</w:t>
            </w:r>
          </w:p>
        </w:tc>
        <w:tc>
          <w:tcPr>
            <w:tcW w:w="3641" w:type="dxa"/>
            <w:vAlign w:val="center"/>
          </w:tcPr>
          <w:p w14:paraId="34C3F932">
            <w:pPr>
              <w:adjustRightInd w:val="0"/>
              <w:snapToGrid w:val="0"/>
              <w:spacing w:line="240" w:lineRule="auto"/>
              <w:jc w:val="center"/>
              <w:rPr>
                <w:sz w:val="21"/>
                <w:szCs w:val="21"/>
              </w:rPr>
            </w:pPr>
            <w:r>
              <w:rPr>
                <w:sz w:val="21"/>
                <w:szCs w:val="21"/>
              </w:rPr>
              <w:t>FHD1250S、GFH-1050B</w:t>
            </w:r>
            <w:r>
              <w:rPr>
                <w:rFonts w:hint="eastAsia"/>
                <w:sz w:val="21"/>
                <w:szCs w:val="21"/>
              </w:rPr>
              <w:t>（</w:t>
            </w:r>
            <w:r>
              <w:rPr>
                <w:sz w:val="21"/>
                <w:szCs w:val="21"/>
              </w:rPr>
              <w:t>I</w:t>
            </w:r>
            <w:r>
              <w:rPr>
                <w:rFonts w:hint="eastAsia"/>
                <w:sz w:val="21"/>
                <w:szCs w:val="21"/>
              </w:rPr>
              <w:t>）</w:t>
            </w:r>
            <w:r>
              <w:rPr>
                <w:sz w:val="21"/>
                <w:szCs w:val="21"/>
              </w:rPr>
              <w:t>T、LHG-1350</w:t>
            </w:r>
            <w:r>
              <w:rPr>
                <w:rFonts w:hint="eastAsia"/>
                <w:sz w:val="21"/>
                <w:szCs w:val="21"/>
              </w:rPr>
              <w:t>D.</w:t>
            </w:r>
            <w:r>
              <w:rPr>
                <w:sz w:val="21"/>
                <w:szCs w:val="21"/>
              </w:rPr>
              <w:t>DL200、QGT1150P</w:t>
            </w:r>
          </w:p>
        </w:tc>
        <w:tc>
          <w:tcPr>
            <w:tcW w:w="1559" w:type="dxa"/>
            <w:vAlign w:val="center"/>
          </w:tcPr>
          <w:p w14:paraId="29F07470">
            <w:pPr>
              <w:adjustRightInd w:val="0"/>
              <w:snapToGrid w:val="0"/>
              <w:spacing w:line="240" w:lineRule="auto"/>
              <w:jc w:val="center"/>
              <w:rPr>
                <w:sz w:val="21"/>
                <w:szCs w:val="21"/>
              </w:rPr>
            </w:pPr>
            <w:r>
              <w:rPr>
                <w:rFonts w:hint="eastAsia"/>
                <w:sz w:val="21"/>
                <w:szCs w:val="21"/>
              </w:rPr>
              <w:t>7</w:t>
            </w:r>
            <w:r>
              <w:rPr>
                <w:sz w:val="21"/>
                <w:szCs w:val="21"/>
              </w:rPr>
              <w:t>台</w:t>
            </w:r>
          </w:p>
        </w:tc>
        <w:tc>
          <w:tcPr>
            <w:tcW w:w="850" w:type="dxa"/>
            <w:vAlign w:val="center"/>
          </w:tcPr>
          <w:p w14:paraId="3E6532AB">
            <w:pPr>
              <w:adjustRightInd w:val="0"/>
              <w:snapToGrid w:val="0"/>
              <w:spacing w:line="240" w:lineRule="auto"/>
              <w:jc w:val="center"/>
              <w:rPr>
                <w:sz w:val="21"/>
                <w:szCs w:val="21"/>
              </w:rPr>
            </w:pPr>
          </w:p>
        </w:tc>
      </w:tr>
      <w:tr w14:paraId="26A45AB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26056C7D">
            <w:pPr>
              <w:adjustRightInd w:val="0"/>
              <w:snapToGrid w:val="0"/>
              <w:spacing w:line="240" w:lineRule="auto"/>
              <w:jc w:val="center"/>
              <w:rPr>
                <w:sz w:val="21"/>
                <w:szCs w:val="21"/>
              </w:rPr>
            </w:pPr>
            <w:r>
              <w:rPr>
                <w:sz w:val="21"/>
                <w:szCs w:val="21"/>
              </w:rPr>
              <w:t>3</w:t>
            </w:r>
          </w:p>
        </w:tc>
        <w:tc>
          <w:tcPr>
            <w:tcW w:w="516" w:type="dxa"/>
            <w:vMerge w:val="continue"/>
            <w:vAlign w:val="center"/>
          </w:tcPr>
          <w:p w14:paraId="5F6966D0">
            <w:pPr>
              <w:adjustRightInd w:val="0"/>
              <w:snapToGrid w:val="0"/>
              <w:spacing w:line="240" w:lineRule="auto"/>
              <w:jc w:val="center"/>
              <w:rPr>
                <w:sz w:val="21"/>
                <w:szCs w:val="21"/>
              </w:rPr>
            </w:pPr>
          </w:p>
        </w:tc>
        <w:tc>
          <w:tcPr>
            <w:tcW w:w="1292" w:type="dxa"/>
            <w:vAlign w:val="center"/>
          </w:tcPr>
          <w:p w14:paraId="306E664B">
            <w:pPr>
              <w:adjustRightInd w:val="0"/>
              <w:snapToGrid w:val="0"/>
              <w:spacing w:line="240" w:lineRule="auto"/>
              <w:jc w:val="center"/>
              <w:rPr>
                <w:sz w:val="21"/>
                <w:szCs w:val="21"/>
              </w:rPr>
            </w:pPr>
            <w:r>
              <w:rPr>
                <w:sz w:val="21"/>
                <w:szCs w:val="21"/>
              </w:rPr>
              <w:t>无溶剂机</w:t>
            </w:r>
          </w:p>
        </w:tc>
        <w:tc>
          <w:tcPr>
            <w:tcW w:w="3641" w:type="dxa"/>
            <w:vAlign w:val="center"/>
          </w:tcPr>
          <w:p w14:paraId="37C4CB02">
            <w:pPr>
              <w:adjustRightInd w:val="0"/>
              <w:snapToGrid w:val="0"/>
              <w:spacing w:line="240" w:lineRule="auto"/>
              <w:jc w:val="center"/>
              <w:rPr>
                <w:sz w:val="21"/>
                <w:szCs w:val="21"/>
              </w:rPr>
            </w:pPr>
            <w:r>
              <w:rPr>
                <w:sz w:val="21"/>
                <w:szCs w:val="21"/>
              </w:rPr>
              <w:t>L1300</w:t>
            </w:r>
          </w:p>
        </w:tc>
        <w:tc>
          <w:tcPr>
            <w:tcW w:w="1559" w:type="dxa"/>
            <w:vAlign w:val="center"/>
          </w:tcPr>
          <w:p w14:paraId="652EFEBB">
            <w:pPr>
              <w:adjustRightInd w:val="0"/>
              <w:snapToGrid w:val="0"/>
              <w:spacing w:line="240" w:lineRule="auto"/>
              <w:jc w:val="center"/>
              <w:rPr>
                <w:sz w:val="21"/>
                <w:szCs w:val="21"/>
              </w:rPr>
            </w:pPr>
            <w:r>
              <w:rPr>
                <w:sz w:val="21"/>
                <w:szCs w:val="21"/>
              </w:rPr>
              <w:t>8台</w:t>
            </w:r>
          </w:p>
        </w:tc>
        <w:tc>
          <w:tcPr>
            <w:tcW w:w="850" w:type="dxa"/>
            <w:vAlign w:val="center"/>
          </w:tcPr>
          <w:p w14:paraId="5A0731EB">
            <w:pPr>
              <w:adjustRightInd w:val="0"/>
              <w:snapToGrid w:val="0"/>
              <w:spacing w:line="240" w:lineRule="auto"/>
              <w:jc w:val="center"/>
              <w:rPr>
                <w:sz w:val="21"/>
                <w:szCs w:val="21"/>
              </w:rPr>
            </w:pPr>
          </w:p>
        </w:tc>
      </w:tr>
      <w:tr w14:paraId="24B9184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696BCF3A">
            <w:pPr>
              <w:adjustRightInd w:val="0"/>
              <w:snapToGrid w:val="0"/>
              <w:spacing w:line="240" w:lineRule="auto"/>
              <w:jc w:val="center"/>
              <w:rPr>
                <w:sz w:val="21"/>
                <w:szCs w:val="21"/>
              </w:rPr>
            </w:pPr>
            <w:r>
              <w:rPr>
                <w:sz w:val="21"/>
                <w:szCs w:val="21"/>
              </w:rPr>
              <w:t>4</w:t>
            </w:r>
          </w:p>
        </w:tc>
        <w:tc>
          <w:tcPr>
            <w:tcW w:w="1808" w:type="dxa"/>
            <w:gridSpan w:val="2"/>
            <w:vAlign w:val="center"/>
          </w:tcPr>
          <w:p w14:paraId="25A4E155">
            <w:pPr>
              <w:adjustRightInd w:val="0"/>
              <w:snapToGrid w:val="0"/>
              <w:spacing w:line="240" w:lineRule="auto"/>
              <w:jc w:val="center"/>
              <w:rPr>
                <w:sz w:val="21"/>
                <w:szCs w:val="21"/>
              </w:rPr>
            </w:pPr>
            <w:r>
              <w:rPr>
                <w:sz w:val="21"/>
                <w:szCs w:val="21"/>
              </w:rPr>
              <w:t>熟化室</w:t>
            </w:r>
          </w:p>
        </w:tc>
        <w:tc>
          <w:tcPr>
            <w:tcW w:w="3641" w:type="dxa"/>
            <w:vAlign w:val="center"/>
          </w:tcPr>
          <w:p w14:paraId="53295B5D">
            <w:pPr>
              <w:adjustRightInd w:val="0"/>
              <w:snapToGrid w:val="0"/>
              <w:spacing w:line="240" w:lineRule="auto"/>
              <w:jc w:val="center"/>
              <w:rPr>
                <w:sz w:val="21"/>
                <w:szCs w:val="21"/>
              </w:rPr>
            </w:pPr>
            <w:r>
              <w:rPr>
                <w:sz w:val="21"/>
                <w:szCs w:val="21"/>
              </w:rPr>
              <w:t>6米长移动箱式（6×1.56）</w:t>
            </w:r>
          </w:p>
        </w:tc>
        <w:tc>
          <w:tcPr>
            <w:tcW w:w="1559" w:type="dxa"/>
            <w:vAlign w:val="center"/>
          </w:tcPr>
          <w:p w14:paraId="446CE401">
            <w:pPr>
              <w:adjustRightInd w:val="0"/>
              <w:snapToGrid w:val="0"/>
              <w:spacing w:line="240" w:lineRule="auto"/>
              <w:jc w:val="center"/>
              <w:rPr>
                <w:sz w:val="21"/>
                <w:szCs w:val="21"/>
              </w:rPr>
            </w:pPr>
            <w:r>
              <w:rPr>
                <w:sz w:val="21"/>
                <w:szCs w:val="21"/>
              </w:rPr>
              <w:t>4间</w:t>
            </w:r>
          </w:p>
        </w:tc>
        <w:tc>
          <w:tcPr>
            <w:tcW w:w="850" w:type="dxa"/>
            <w:vAlign w:val="center"/>
          </w:tcPr>
          <w:p w14:paraId="5FAB3A83">
            <w:pPr>
              <w:adjustRightInd w:val="0"/>
              <w:snapToGrid w:val="0"/>
              <w:spacing w:line="240" w:lineRule="auto"/>
              <w:jc w:val="center"/>
              <w:rPr>
                <w:sz w:val="21"/>
                <w:szCs w:val="21"/>
              </w:rPr>
            </w:pPr>
          </w:p>
        </w:tc>
      </w:tr>
      <w:tr w14:paraId="714A580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22721AF9">
            <w:pPr>
              <w:adjustRightInd w:val="0"/>
              <w:snapToGrid w:val="0"/>
              <w:spacing w:line="240" w:lineRule="auto"/>
              <w:jc w:val="center"/>
              <w:rPr>
                <w:sz w:val="21"/>
                <w:szCs w:val="21"/>
              </w:rPr>
            </w:pPr>
            <w:r>
              <w:rPr>
                <w:sz w:val="21"/>
                <w:szCs w:val="21"/>
              </w:rPr>
              <w:t>5</w:t>
            </w:r>
          </w:p>
        </w:tc>
        <w:tc>
          <w:tcPr>
            <w:tcW w:w="1808" w:type="dxa"/>
            <w:gridSpan w:val="2"/>
            <w:vAlign w:val="center"/>
          </w:tcPr>
          <w:p w14:paraId="47137E9F">
            <w:pPr>
              <w:adjustRightInd w:val="0"/>
              <w:snapToGrid w:val="0"/>
              <w:spacing w:line="240" w:lineRule="auto"/>
              <w:jc w:val="center"/>
              <w:rPr>
                <w:sz w:val="21"/>
                <w:szCs w:val="21"/>
              </w:rPr>
            </w:pPr>
            <w:r>
              <w:rPr>
                <w:sz w:val="21"/>
                <w:szCs w:val="21"/>
              </w:rPr>
              <w:t>熟化室</w:t>
            </w:r>
          </w:p>
        </w:tc>
        <w:tc>
          <w:tcPr>
            <w:tcW w:w="3641" w:type="dxa"/>
            <w:vAlign w:val="center"/>
          </w:tcPr>
          <w:p w14:paraId="4725768D">
            <w:pPr>
              <w:adjustRightInd w:val="0"/>
              <w:snapToGrid w:val="0"/>
              <w:spacing w:line="240" w:lineRule="auto"/>
              <w:jc w:val="center"/>
              <w:rPr>
                <w:sz w:val="21"/>
                <w:szCs w:val="21"/>
              </w:rPr>
            </w:pPr>
            <w:r>
              <w:rPr>
                <w:sz w:val="21"/>
                <w:szCs w:val="21"/>
              </w:rPr>
              <w:t>10米长移动箱式（10×1.66）</w:t>
            </w:r>
          </w:p>
        </w:tc>
        <w:tc>
          <w:tcPr>
            <w:tcW w:w="1559" w:type="dxa"/>
            <w:vAlign w:val="center"/>
          </w:tcPr>
          <w:p w14:paraId="3AADC8EF">
            <w:pPr>
              <w:adjustRightInd w:val="0"/>
              <w:snapToGrid w:val="0"/>
              <w:spacing w:line="240" w:lineRule="auto"/>
              <w:jc w:val="center"/>
              <w:rPr>
                <w:sz w:val="21"/>
                <w:szCs w:val="21"/>
              </w:rPr>
            </w:pPr>
            <w:r>
              <w:rPr>
                <w:sz w:val="21"/>
                <w:szCs w:val="21"/>
              </w:rPr>
              <w:t>16间</w:t>
            </w:r>
          </w:p>
        </w:tc>
        <w:tc>
          <w:tcPr>
            <w:tcW w:w="850" w:type="dxa"/>
            <w:vAlign w:val="center"/>
          </w:tcPr>
          <w:p w14:paraId="4E32C69F">
            <w:pPr>
              <w:adjustRightInd w:val="0"/>
              <w:snapToGrid w:val="0"/>
              <w:spacing w:line="240" w:lineRule="auto"/>
              <w:jc w:val="center"/>
              <w:rPr>
                <w:sz w:val="21"/>
                <w:szCs w:val="21"/>
              </w:rPr>
            </w:pPr>
          </w:p>
        </w:tc>
      </w:tr>
      <w:tr w14:paraId="3DADC91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5A8674AA">
            <w:pPr>
              <w:adjustRightInd w:val="0"/>
              <w:snapToGrid w:val="0"/>
              <w:spacing w:line="240" w:lineRule="auto"/>
              <w:jc w:val="center"/>
              <w:rPr>
                <w:sz w:val="21"/>
                <w:szCs w:val="21"/>
              </w:rPr>
            </w:pPr>
            <w:r>
              <w:rPr>
                <w:sz w:val="21"/>
                <w:szCs w:val="21"/>
              </w:rPr>
              <w:t>6</w:t>
            </w:r>
          </w:p>
        </w:tc>
        <w:tc>
          <w:tcPr>
            <w:tcW w:w="1808" w:type="dxa"/>
            <w:gridSpan w:val="2"/>
            <w:vAlign w:val="center"/>
          </w:tcPr>
          <w:p w14:paraId="17490E29">
            <w:pPr>
              <w:adjustRightInd w:val="0"/>
              <w:snapToGrid w:val="0"/>
              <w:spacing w:line="240" w:lineRule="auto"/>
              <w:jc w:val="center"/>
              <w:rPr>
                <w:sz w:val="21"/>
                <w:szCs w:val="21"/>
              </w:rPr>
            </w:pPr>
            <w:r>
              <w:rPr>
                <w:sz w:val="21"/>
                <w:szCs w:val="21"/>
              </w:rPr>
              <w:t>制袋机</w:t>
            </w:r>
          </w:p>
        </w:tc>
        <w:tc>
          <w:tcPr>
            <w:tcW w:w="3641" w:type="dxa"/>
            <w:vAlign w:val="center"/>
          </w:tcPr>
          <w:p w14:paraId="65B51632">
            <w:pPr>
              <w:adjustRightInd w:val="0"/>
              <w:snapToGrid w:val="0"/>
              <w:spacing w:line="240" w:lineRule="auto"/>
              <w:jc w:val="center"/>
              <w:rPr>
                <w:sz w:val="21"/>
                <w:szCs w:val="21"/>
              </w:rPr>
            </w:pPr>
            <w:r>
              <w:rPr>
                <w:sz w:val="21"/>
                <w:szCs w:val="21"/>
              </w:rPr>
              <w:t>FSD-420Ⅲ、WZD-600、FSD-600Ⅲ、WSD-450、SFZZ-500、WSD-600</w:t>
            </w:r>
            <w:r>
              <w:rPr>
                <w:rFonts w:hint="eastAsia"/>
                <w:sz w:val="21"/>
                <w:szCs w:val="21"/>
              </w:rPr>
              <w:t>B.</w:t>
            </w:r>
            <w:r>
              <w:rPr>
                <w:sz w:val="21"/>
                <w:szCs w:val="21"/>
              </w:rPr>
              <w:t>WSD-460、SFZZ-400、JDM450-Z、SFZZ-500FSD-600Ⅲ</w:t>
            </w:r>
          </w:p>
        </w:tc>
        <w:tc>
          <w:tcPr>
            <w:tcW w:w="1559" w:type="dxa"/>
            <w:vAlign w:val="center"/>
          </w:tcPr>
          <w:p w14:paraId="4F3C0858">
            <w:pPr>
              <w:adjustRightInd w:val="0"/>
              <w:snapToGrid w:val="0"/>
              <w:spacing w:line="240" w:lineRule="auto"/>
              <w:jc w:val="center"/>
              <w:rPr>
                <w:sz w:val="21"/>
                <w:szCs w:val="21"/>
              </w:rPr>
            </w:pPr>
            <w:r>
              <w:rPr>
                <w:sz w:val="21"/>
                <w:szCs w:val="21"/>
              </w:rPr>
              <w:t>65台</w:t>
            </w:r>
          </w:p>
        </w:tc>
        <w:tc>
          <w:tcPr>
            <w:tcW w:w="850" w:type="dxa"/>
            <w:vAlign w:val="center"/>
          </w:tcPr>
          <w:p w14:paraId="25B489FB">
            <w:pPr>
              <w:adjustRightInd w:val="0"/>
              <w:snapToGrid w:val="0"/>
              <w:spacing w:line="240" w:lineRule="auto"/>
              <w:jc w:val="center"/>
              <w:rPr>
                <w:sz w:val="21"/>
                <w:szCs w:val="21"/>
              </w:rPr>
            </w:pPr>
          </w:p>
        </w:tc>
      </w:tr>
      <w:tr w14:paraId="73EE582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44B8BF74">
            <w:pPr>
              <w:adjustRightInd w:val="0"/>
              <w:snapToGrid w:val="0"/>
              <w:spacing w:line="240" w:lineRule="auto"/>
              <w:jc w:val="center"/>
              <w:rPr>
                <w:sz w:val="21"/>
                <w:szCs w:val="21"/>
              </w:rPr>
            </w:pPr>
            <w:r>
              <w:rPr>
                <w:sz w:val="21"/>
                <w:szCs w:val="21"/>
              </w:rPr>
              <w:t>7</w:t>
            </w:r>
          </w:p>
        </w:tc>
        <w:tc>
          <w:tcPr>
            <w:tcW w:w="1808" w:type="dxa"/>
            <w:gridSpan w:val="2"/>
            <w:vAlign w:val="center"/>
          </w:tcPr>
          <w:p w14:paraId="5915C29D">
            <w:pPr>
              <w:adjustRightInd w:val="0"/>
              <w:snapToGrid w:val="0"/>
              <w:spacing w:line="240" w:lineRule="auto"/>
              <w:jc w:val="center"/>
              <w:rPr>
                <w:sz w:val="21"/>
                <w:szCs w:val="21"/>
              </w:rPr>
            </w:pPr>
            <w:r>
              <w:rPr>
                <w:sz w:val="21"/>
                <w:szCs w:val="21"/>
              </w:rPr>
              <w:t>分切机</w:t>
            </w:r>
          </w:p>
        </w:tc>
        <w:tc>
          <w:tcPr>
            <w:tcW w:w="3641" w:type="dxa"/>
            <w:vAlign w:val="center"/>
          </w:tcPr>
          <w:p w14:paraId="180F7C3D">
            <w:pPr>
              <w:adjustRightInd w:val="0"/>
              <w:snapToGrid w:val="0"/>
              <w:spacing w:line="240" w:lineRule="auto"/>
              <w:jc w:val="center"/>
              <w:rPr>
                <w:sz w:val="21"/>
                <w:szCs w:val="21"/>
              </w:rPr>
            </w:pPr>
            <w:r>
              <w:rPr>
                <w:sz w:val="21"/>
                <w:szCs w:val="21"/>
              </w:rPr>
              <w:t>FSL-VL1300、HTHS1300CZ</w:t>
            </w:r>
          </w:p>
        </w:tc>
        <w:tc>
          <w:tcPr>
            <w:tcW w:w="1559" w:type="dxa"/>
            <w:vAlign w:val="center"/>
          </w:tcPr>
          <w:p w14:paraId="0866B8F9">
            <w:pPr>
              <w:adjustRightInd w:val="0"/>
              <w:snapToGrid w:val="0"/>
              <w:spacing w:line="240" w:lineRule="auto"/>
              <w:jc w:val="center"/>
              <w:rPr>
                <w:sz w:val="21"/>
                <w:szCs w:val="21"/>
              </w:rPr>
            </w:pPr>
            <w:r>
              <w:rPr>
                <w:sz w:val="21"/>
                <w:szCs w:val="21"/>
              </w:rPr>
              <w:t>15台</w:t>
            </w:r>
          </w:p>
        </w:tc>
        <w:tc>
          <w:tcPr>
            <w:tcW w:w="850" w:type="dxa"/>
            <w:vAlign w:val="center"/>
          </w:tcPr>
          <w:p w14:paraId="65DE3A3F">
            <w:pPr>
              <w:adjustRightInd w:val="0"/>
              <w:snapToGrid w:val="0"/>
              <w:spacing w:line="240" w:lineRule="auto"/>
              <w:jc w:val="center"/>
              <w:rPr>
                <w:sz w:val="21"/>
                <w:szCs w:val="21"/>
              </w:rPr>
            </w:pPr>
          </w:p>
        </w:tc>
      </w:tr>
      <w:tr w14:paraId="695AF95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7E26BF26">
            <w:pPr>
              <w:adjustRightInd w:val="0"/>
              <w:snapToGrid w:val="0"/>
              <w:spacing w:line="240" w:lineRule="auto"/>
              <w:jc w:val="center"/>
              <w:rPr>
                <w:sz w:val="21"/>
                <w:szCs w:val="21"/>
              </w:rPr>
            </w:pPr>
            <w:r>
              <w:rPr>
                <w:sz w:val="21"/>
                <w:szCs w:val="21"/>
              </w:rPr>
              <w:t>8</w:t>
            </w:r>
          </w:p>
        </w:tc>
        <w:tc>
          <w:tcPr>
            <w:tcW w:w="1808" w:type="dxa"/>
            <w:gridSpan w:val="2"/>
            <w:vAlign w:val="center"/>
          </w:tcPr>
          <w:p w14:paraId="06CDA8A7">
            <w:pPr>
              <w:adjustRightInd w:val="0"/>
              <w:snapToGrid w:val="0"/>
              <w:spacing w:line="240" w:lineRule="auto"/>
              <w:jc w:val="center"/>
              <w:rPr>
                <w:sz w:val="21"/>
                <w:szCs w:val="21"/>
              </w:rPr>
            </w:pPr>
            <w:r>
              <w:rPr>
                <w:sz w:val="21"/>
                <w:szCs w:val="21"/>
              </w:rPr>
              <w:t>配墨系统</w:t>
            </w:r>
          </w:p>
        </w:tc>
        <w:tc>
          <w:tcPr>
            <w:tcW w:w="3641" w:type="dxa"/>
            <w:vAlign w:val="center"/>
          </w:tcPr>
          <w:p w14:paraId="4C224880">
            <w:pPr>
              <w:adjustRightInd w:val="0"/>
              <w:snapToGrid w:val="0"/>
              <w:spacing w:line="240" w:lineRule="auto"/>
              <w:jc w:val="center"/>
              <w:rPr>
                <w:sz w:val="21"/>
                <w:szCs w:val="21"/>
              </w:rPr>
            </w:pPr>
            <w:r>
              <w:rPr>
                <w:sz w:val="21"/>
                <w:szCs w:val="21"/>
              </w:rPr>
              <w:t>GB36</w:t>
            </w:r>
          </w:p>
        </w:tc>
        <w:tc>
          <w:tcPr>
            <w:tcW w:w="1559" w:type="dxa"/>
            <w:vAlign w:val="center"/>
          </w:tcPr>
          <w:p w14:paraId="745AF9F5">
            <w:pPr>
              <w:adjustRightInd w:val="0"/>
              <w:snapToGrid w:val="0"/>
              <w:spacing w:line="240" w:lineRule="auto"/>
              <w:jc w:val="center"/>
              <w:rPr>
                <w:sz w:val="21"/>
                <w:szCs w:val="21"/>
              </w:rPr>
            </w:pPr>
            <w:r>
              <w:rPr>
                <w:sz w:val="21"/>
                <w:szCs w:val="21"/>
              </w:rPr>
              <w:t>1台</w:t>
            </w:r>
          </w:p>
        </w:tc>
        <w:tc>
          <w:tcPr>
            <w:tcW w:w="850" w:type="dxa"/>
            <w:vAlign w:val="center"/>
          </w:tcPr>
          <w:p w14:paraId="49802512">
            <w:pPr>
              <w:adjustRightInd w:val="0"/>
              <w:snapToGrid w:val="0"/>
              <w:spacing w:line="240" w:lineRule="auto"/>
              <w:jc w:val="center"/>
              <w:rPr>
                <w:sz w:val="21"/>
                <w:szCs w:val="21"/>
              </w:rPr>
            </w:pPr>
          </w:p>
        </w:tc>
      </w:tr>
      <w:tr w14:paraId="24A3BFA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52EC2DAE">
            <w:pPr>
              <w:adjustRightInd w:val="0"/>
              <w:snapToGrid w:val="0"/>
              <w:spacing w:line="240" w:lineRule="auto"/>
              <w:jc w:val="center"/>
              <w:rPr>
                <w:sz w:val="21"/>
                <w:szCs w:val="21"/>
              </w:rPr>
            </w:pPr>
            <w:r>
              <w:rPr>
                <w:sz w:val="21"/>
                <w:szCs w:val="21"/>
              </w:rPr>
              <w:t>9</w:t>
            </w:r>
          </w:p>
        </w:tc>
        <w:tc>
          <w:tcPr>
            <w:tcW w:w="1808" w:type="dxa"/>
            <w:gridSpan w:val="2"/>
            <w:vAlign w:val="center"/>
          </w:tcPr>
          <w:p w14:paraId="658E840B">
            <w:pPr>
              <w:adjustRightInd w:val="0"/>
              <w:snapToGrid w:val="0"/>
              <w:spacing w:line="240" w:lineRule="auto"/>
              <w:jc w:val="center"/>
              <w:rPr>
                <w:sz w:val="21"/>
                <w:szCs w:val="21"/>
              </w:rPr>
            </w:pPr>
            <w:r>
              <w:rPr>
                <w:sz w:val="21"/>
                <w:szCs w:val="21"/>
              </w:rPr>
              <w:t>品检机</w:t>
            </w:r>
          </w:p>
        </w:tc>
        <w:tc>
          <w:tcPr>
            <w:tcW w:w="3641" w:type="dxa"/>
            <w:vAlign w:val="center"/>
          </w:tcPr>
          <w:p w14:paraId="451A0C06">
            <w:pPr>
              <w:adjustRightInd w:val="0"/>
              <w:snapToGrid w:val="0"/>
              <w:spacing w:line="240" w:lineRule="auto"/>
              <w:jc w:val="center"/>
              <w:rPr>
                <w:sz w:val="21"/>
                <w:szCs w:val="21"/>
              </w:rPr>
            </w:pPr>
            <w:r>
              <w:rPr>
                <w:sz w:val="21"/>
                <w:szCs w:val="21"/>
              </w:rPr>
              <w:t>1200D</w:t>
            </w:r>
          </w:p>
        </w:tc>
        <w:tc>
          <w:tcPr>
            <w:tcW w:w="1559" w:type="dxa"/>
            <w:vAlign w:val="center"/>
          </w:tcPr>
          <w:p w14:paraId="23FA2816">
            <w:pPr>
              <w:adjustRightInd w:val="0"/>
              <w:snapToGrid w:val="0"/>
              <w:spacing w:line="240" w:lineRule="auto"/>
              <w:jc w:val="center"/>
              <w:rPr>
                <w:sz w:val="21"/>
                <w:szCs w:val="21"/>
              </w:rPr>
            </w:pPr>
            <w:r>
              <w:rPr>
                <w:sz w:val="21"/>
                <w:szCs w:val="21"/>
              </w:rPr>
              <w:t>5台</w:t>
            </w:r>
          </w:p>
        </w:tc>
        <w:tc>
          <w:tcPr>
            <w:tcW w:w="850" w:type="dxa"/>
            <w:vAlign w:val="center"/>
          </w:tcPr>
          <w:p w14:paraId="0EF97224">
            <w:pPr>
              <w:adjustRightInd w:val="0"/>
              <w:snapToGrid w:val="0"/>
              <w:spacing w:line="240" w:lineRule="auto"/>
              <w:jc w:val="center"/>
              <w:rPr>
                <w:sz w:val="21"/>
                <w:szCs w:val="21"/>
              </w:rPr>
            </w:pPr>
          </w:p>
        </w:tc>
      </w:tr>
      <w:tr w14:paraId="36C9C9D1">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01137ED1">
            <w:pPr>
              <w:adjustRightInd w:val="0"/>
              <w:snapToGrid w:val="0"/>
              <w:spacing w:line="240" w:lineRule="auto"/>
              <w:jc w:val="center"/>
              <w:rPr>
                <w:sz w:val="21"/>
                <w:szCs w:val="21"/>
              </w:rPr>
            </w:pPr>
            <w:r>
              <w:rPr>
                <w:sz w:val="21"/>
                <w:szCs w:val="21"/>
              </w:rPr>
              <w:t>10</w:t>
            </w:r>
          </w:p>
        </w:tc>
        <w:tc>
          <w:tcPr>
            <w:tcW w:w="1808" w:type="dxa"/>
            <w:gridSpan w:val="2"/>
            <w:vAlign w:val="center"/>
          </w:tcPr>
          <w:p w14:paraId="5C7129CA">
            <w:pPr>
              <w:adjustRightInd w:val="0"/>
              <w:snapToGrid w:val="0"/>
              <w:spacing w:line="240" w:lineRule="auto"/>
              <w:jc w:val="center"/>
              <w:rPr>
                <w:sz w:val="21"/>
                <w:szCs w:val="21"/>
              </w:rPr>
            </w:pPr>
            <w:r>
              <w:rPr>
                <w:sz w:val="21"/>
                <w:szCs w:val="21"/>
              </w:rPr>
              <w:t>打孔机</w:t>
            </w:r>
          </w:p>
        </w:tc>
        <w:tc>
          <w:tcPr>
            <w:tcW w:w="3641" w:type="dxa"/>
            <w:vAlign w:val="center"/>
          </w:tcPr>
          <w:p w14:paraId="21DEDDD3">
            <w:pPr>
              <w:adjustRightInd w:val="0"/>
              <w:snapToGrid w:val="0"/>
              <w:spacing w:line="240" w:lineRule="auto"/>
              <w:jc w:val="center"/>
              <w:rPr>
                <w:sz w:val="21"/>
                <w:szCs w:val="21"/>
              </w:rPr>
            </w:pPr>
            <w:r>
              <w:rPr>
                <w:sz w:val="21"/>
                <w:szCs w:val="21"/>
              </w:rPr>
              <w:t>/</w:t>
            </w:r>
          </w:p>
        </w:tc>
        <w:tc>
          <w:tcPr>
            <w:tcW w:w="1559" w:type="dxa"/>
            <w:vAlign w:val="center"/>
          </w:tcPr>
          <w:p w14:paraId="5A9D11DF">
            <w:pPr>
              <w:adjustRightInd w:val="0"/>
              <w:snapToGrid w:val="0"/>
              <w:spacing w:line="240" w:lineRule="auto"/>
              <w:jc w:val="center"/>
              <w:rPr>
                <w:sz w:val="21"/>
                <w:szCs w:val="21"/>
              </w:rPr>
            </w:pPr>
            <w:r>
              <w:rPr>
                <w:sz w:val="21"/>
                <w:szCs w:val="21"/>
              </w:rPr>
              <w:t>7台</w:t>
            </w:r>
          </w:p>
        </w:tc>
        <w:tc>
          <w:tcPr>
            <w:tcW w:w="850" w:type="dxa"/>
            <w:vAlign w:val="center"/>
          </w:tcPr>
          <w:p w14:paraId="36059CDC">
            <w:pPr>
              <w:adjustRightInd w:val="0"/>
              <w:snapToGrid w:val="0"/>
              <w:spacing w:line="240" w:lineRule="auto"/>
              <w:jc w:val="center"/>
              <w:rPr>
                <w:sz w:val="21"/>
                <w:szCs w:val="21"/>
              </w:rPr>
            </w:pPr>
          </w:p>
        </w:tc>
      </w:tr>
      <w:tr w14:paraId="5B83C1D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57" w:type="dxa"/>
            <w:bottom w:w="0" w:type="dxa"/>
            <w:right w:w="57" w:type="dxa"/>
          </w:tblCellMar>
        </w:tblPrEx>
        <w:trPr>
          <w:trHeight w:val="340" w:hRule="atLeast"/>
          <w:jc w:val="center"/>
        </w:trPr>
        <w:tc>
          <w:tcPr>
            <w:tcW w:w="562" w:type="dxa"/>
            <w:vAlign w:val="center"/>
          </w:tcPr>
          <w:p w14:paraId="18BBA643">
            <w:pPr>
              <w:adjustRightInd w:val="0"/>
              <w:snapToGrid w:val="0"/>
              <w:spacing w:line="240" w:lineRule="auto"/>
              <w:jc w:val="center"/>
              <w:rPr>
                <w:sz w:val="21"/>
                <w:szCs w:val="21"/>
              </w:rPr>
            </w:pPr>
            <w:r>
              <w:rPr>
                <w:sz w:val="21"/>
                <w:szCs w:val="21"/>
              </w:rPr>
              <w:t>11</w:t>
            </w:r>
          </w:p>
        </w:tc>
        <w:tc>
          <w:tcPr>
            <w:tcW w:w="1808" w:type="dxa"/>
            <w:gridSpan w:val="2"/>
            <w:vAlign w:val="center"/>
          </w:tcPr>
          <w:p w14:paraId="2AFE899B">
            <w:pPr>
              <w:adjustRightInd w:val="0"/>
              <w:snapToGrid w:val="0"/>
              <w:spacing w:line="240" w:lineRule="auto"/>
              <w:jc w:val="center"/>
              <w:rPr>
                <w:sz w:val="21"/>
                <w:szCs w:val="21"/>
              </w:rPr>
            </w:pPr>
            <w:r>
              <w:rPr>
                <w:sz w:val="21"/>
                <w:szCs w:val="21"/>
              </w:rPr>
              <w:t>环保设备</w:t>
            </w:r>
          </w:p>
        </w:tc>
        <w:tc>
          <w:tcPr>
            <w:tcW w:w="6050" w:type="dxa"/>
            <w:gridSpan w:val="3"/>
            <w:vAlign w:val="center"/>
          </w:tcPr>
          <w:p w14:paraId="1C1586CE">
            <w:pPr>
              <w:adjustRightInd w:val="0"/>
              <w:snapToGrid w:val="0"/>
              <w:spacing w:line="240" w:lineRule="auto"/>
              <w:jc w:val="center"/>
              <w:rPr>
                <w:sz w:val="21"/>
                <w:szCs w:val="21"/>
              </w:rPr>
            </w:pPr>
            <w:r>
              <w:rPr>
                <w:sz w:val="21"/>
                <w:szCs w:val="21"/>
              </w:rPr>
              <w:t>（2+1）三通路处理凹印有机废气的节能减排系统末端废气治理设施</w:t>
            </w:r>
          </w:p>
        </w:tc>
      </w:tr>
    </w:tbl>
    <w:p w14:paraId="31F6004D">
      <w:pPr>
        <w:pStyle w:val="5"/>
        <w:numPr>
          <w:ilvl w:val="3"/>
          <w:numId w:val="0"/>
        </w:numPr>
        <w:ind w:left="0" w:leftChars="0" w:firstLine="0" w:firstLineChars="0"/>
        <w:rPr>
          <w:rFonts w:ascii="Times New Roman" w:hAnsi="Times New Roman"/>
        </w:rPr>
      </w:pPr>
      <w:r>
        <w:rPr>
          <w:rFonts w:hint="default" w:ascii="宋体" w:hAnsi="宋体" w:eastAsia="宋体" w:cs="宋体"/>
          <w:b/>
          <w:bCs/>
          <w:kern w:val="2"/>
          <w:sz w:val="24"/>
          <w:szCs w:val="24"/>
          <w:lang w:val="en-US" w:eastAsia="zh-CN" w:bidi="ar-SA"/>
        </w:rPr>
        <w:t>3.1.2.2</w:t>
      </w:r>
      <w:r>
        <w:rPr>
          <w:rFonts w:hint="eastAsia" w:ascii="Times New Roman" w:hAnsi="Times New Roman"/>
        </w:rPr>
        <w:t>已建工程主要原辅材料消耗情况</w:t>
      </w:r>
    </w:p>
    <w:p w14:paraId="61B1396D">
      <w:pPr>
        <w:ind w:firstLine="480"/>
      </w:pPr>
      <w:r>
        <w:rPr>
          <w:rFonts w:hint="eastAsia"/>
        </w:rPr>
        <w:t>已建工程主要原辅材料及能源消耗情况见表3.1-7。</w:t>
      </w:r>
    </w:p>
    <w:p w14:paraId="5F20E324">
      <w:pPr>
        <w:pStyle w:val="51"/>
        <w:numPr>
          <w:ilvl w:val="5"/>
          <w:numId w:val="0"/>
        </w:numPr>
        <w:tabs>
          <w:tab w:val="clear" w:pos="0"/>
        </w:tabs>
        <w:spacing w:before="0" w:beforeLines="0" w:line="360" w:lineRule="auto"/>
        <w:ind w:left="-2526" w:leftChars="0" w:hanging="3686"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表3.1-5 </w:t>
      </w:r>
      <w:r>
        <w:rPr>
          <w:rFonts w:hint="eastAsia"/>
        </w:rPr>
        <w:t xml:space="preserve"> 已建工程主要原辅材料一览表</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628"/>
        <w:gridCol w:w="788"/>
        <w:gridCol w:w="1795"/>
        <w:gridCol w:w="1556"/>
        <w:gridCol w:w="3623"/>
      </w:tblGrid>
      <w:tr w14:paraId="190104B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632E72EA">
            <w:pPr>
              <w:adjustRightInd w:val="0"/>
              <w:snapToGrid w:val="0"/>
              <w:spacing w:line="240" w:lineRule="auto"/>
              <w:jc w:val="center"/>
              <w:rPr>
                <w:sz w:val="21"/>
                <w:szCs w:val="21"/>
              </w:rPr>
            </w:pPr>
            <w:r>
              <w:rPr>
                <w:sz w:val="21"/>
                <w:szCs w:val="21"/>
              </w:rPr>
              <w:t>序号</w:t>
            </w:r>
          </w:p>
        </w:tc>
        <w:tc>
          <w:tcPr>
            <w:tcW w:w="2022" w:type="dxa"/>
            <w:gridSpan w:val="2"/>
            <w:vAlign w:val="center"/>
          </w:tcPr>
          <w:p w14:paraId="372BF7C2">
            <w:pPr>
              <w:adjustRightInd w:val="0"/>
              <w:snapToGrid w:val="0"/>
              <w:spacing w:line="240" w:lineRule="auto"/>
              <w:jc w:val="center"/>
              <w:rPr>
                <w:sz w:val="21"/>
                <w:szCs w:val="21"/>
              </w:rPr>
            </w:pPr>
            <w:r>
              <w:rPr>
                <w:sz w:val="21"/>
                <w:szCs w:val="21"/>
              </w:rPr>
              <w:t>物料名称</w:t>
            </w:r>
          </w:p>
        </w:tc>
        <w:tc>
          <w:tcPr>
            <w:tcW w:w="1218" w:type="dxa"/>
            <w:tcBorders>
              <w:left w:val="single" w:color="000000" w:sz="8" w:space="0"/>
              <w:right w:val="single" w:color="auto" w:sz="4" w:space="0"/>
            </w:tcBorders>
            <w:vAlign w:val="center"/>
          </w:tcPr>
          <w:p w14:paraId="71277595">
            <w:pPr>
              <w:adjustRightInd w:val="0"/>
              <w:snapToGrid w:val="0"/>
              <w:spacing w:line="240" w:lineRule="auto"/>
              <w:jc w:val="center"/>
              <w:rPr>
                <w:sz w:val="21"/>
                <w:szCs w:val="21"/>
              </w:rPr>
            </w:pPr>
            <w:r>
              <w:rPr>
                <w:sz w:val="21"/>
                <w:szCs w:val="21"/>
              </w:rPr>
              <w:t>用量</w:t>
            </w:r>
          </w:p>
        </w:tc>
        <w:tc>
          <w:tcPr>
            <w:tcW w:w="2836" w:type="dxa"/>
            <w:tcBorders>
              <w:left w:val="single" w:color="auto" w:sz="4" w:space="0"/>
            </w:tcBorders>
            <w:vAlign w:val="center"/>
          </w:tcPr>
          <w:p w14:paraId="7427DD5E">
            <w:pPr>
              <w:adjustRightInd w:val="0"/>
              <w:snapToGrid w:val="0"/>
              <w:spacing w:line="240" w:lineRule="auto"/>
              <w:jc w:val="center"/>
              <w:rPr>
                <w:sz w:val="21"/>
                <w:szCs w:val="21"/>
              </w:rPr>
            </w:pPr>
            <w:r>
              <w:rPr>
                <w:sz w:val="21"/>
                <w:szCs w:val="21"/>
              </w:rPr>
              <w:t>备注</w:t>
            </w:r>
          </w:p>
        </w:tc>
      </w:tr>
      <w:tr w14:paraId="23D5F6C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6B30D132">
            <w:pPr>
              <w:adjustRightInd w:val="0"/>
              <w:snapToGrid w:val="0"/>
              <w:spacing w:line="240" w:lineRule="auto"/>
              <w:jc w:val="center"/>
              <w:rPr>
                <w:sz w:val="21"/>
                <w:szCs w:val="21"/>
              </w:rPr>
            </w:pPr>
            <w:r>
              <w:rPr>
                <w:sz w:val="21"/>
                <w:szCs w:val="21"/>
              </w:rPr>
              <w:t>1</w:t>
            </w:r>
          </w:p>
        </w:tc>
        <w:tc>
          <w:tcPr>
            <w:tcW w:w="2022" w:type="dxa"/>
            <w:gridSpan w:val="2"/>
            <w:vAlign w:val="center"/>
          </w:tcPr>
          <w:p w14:paraId="4D5A4F1D">
            <w:pPr>
              <w:adjustRightInd w:val="0"/>
              <w:snapToGrid w:val="0"/>
              <w:spacing w:line="240" w:lineRule="auto"/>
              <w:jc w:val="center"/>
              <w:rPr>
                <w:sz w:val="21"/>
                <w:szCs w:val="21"/>
              </w:rPr>
            </w:pPr>
            <w:r>
              <w:rPr>
                <w:sz w:val="21"/>
                <w:szCs w:val="21"/>
              </w:rPr>
              <w:t>聚丙烯薄膜（BOPP）</w:t>
            </w:r>
          </w:p>
        </w:tc>
        <w:tc>
          <w:tcPr>
            <w:tcW w:w="1218" w:type="dxa"/>
            <w:tcBorders>
              <w:left w:val="single" w:color="000000" w:sz="8" w:space="0"/>
              <w:right w:val="single" w:color="auto" w:sz="4" w:space="0"/>
            </w:tcBorders>
            <w:vAlign w:val="center"/>
          </w:tcPr>
          <w:p w14:paraId="50CD3CE3">
            <w:pPr>
              <w:adjustRightInd w:val="0"/>
              <w:snapToGrid w:val="0"/>
              <w:spacing w:line="240" w:lineRule="auto"/>
              <w:jc w:val="center"/>
              <w:rPr>
                <w:sz w:val="21"/>
                <w:szCs w:val="21"/>
              </w:rPr>
            </w:pPr>
            <w:r>
              <w:rPr>
                <w:rFonts w:hint="eastAsia"/>
                <w:sz w:val="21"/>
                <w:szCs w:val="21"/>
              </w:rPr>
              <w:t>4362</w:t>
            </w:r>
            <w:r>
              <w:rPr>
                <w:sz w:val="21"/>
                <w:szCs w:val="21"/>
              </w:rPr>
              <w:t>t/a</w:t>
            </w:r>
          </w:p>
        </w:tc>
        <w:tc>
          <w:tcPr>
            <w:tcW w:w="2836" w:type="dxa"/>
            <w:tcBorders>
              <w:left w:val="single" w:color="auto" w:sz="4" w:space="0"/>
            </w:tcBorders>
            <w:vAlign w:val="center"/>
          </w:tcPr>
          <w:p w14:paraId="7C84A212">
            <w:pPr>
              <w:adjustRightInd w:val="0"/>
              <w:snapToGrid w:val="0"/>
              <w:spacing w:line="240" w:lineRule="auto"/>
              <w:jc w:val="center"/>
              <w:rPr>
                <w:sz w:val="21"/>
                <w:szCs w:val="21"/>
              </w:rPr>
            </w:pPr>
            <w:r>
              <w:rPr>
                <w:sz w:val="21"/>
                <w:szCs w:val="21"/>
              </w:rPr>
              <w:t>双向拉伸聚丙烯薄膜，印刷工序材料</w:t>
            </w:r>
          </w:p>
        </w:tc>
      </w:tr>
      <w:tr w14:paraId="3A2524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5E213CA6">
            <w:pPr>
              <w:adjustRightInd w:val="0"/>
              <w:snapToGrid w:val="0"/>
              <w:spacing w:line="240" w:lineRule="auto"/>
              <w:jc w:val="center"/>
              <w:rPr>
                <w:sz w:val="21"/>
                <w:szCs w:val="21"/>
              </w:rPr>
            </w:pPr>
            <w:r>
              <w:rPr>
                <w:sz w:val="21"/>
                <w:szCs w:val="21"/>
              </w:rPr>
              <w:t>2</w:t>
            </w:r>
          </w:p>
        </w:tc>
        <w:tc>
          <w:tcPr>
            <w:tcW w:w="2022" w:type="dxa"/>
            <w:gridSpan w:val="2"/>
            <w:vAlign w:val="center"/>
          </w:tcPr>
          <w:p w14:paraId="32309537">
            <w:pPr>
              <w:adjustRightInd w:val="0"/>
              <w:snapToGrid w:val="0"/>
              <w:spacing w:line="240" w:lineRule="auto"/>
              <w:jc w:val="center"/>
              <w:rPr>
                <w:sz w:val="21"/>
                <w:szCs w:val="21"/>
              </w:rPr>
            </w:pPr>
            <w:r>
              <w:rPr>
                <w:sz w:val="21"/>
                <w:szCs w:val="21"/>
              </w:rPr>
              <w:t>低密度聚乙烯薄膜（LDPE）</w:t>
            </w:r>
          </w:p>
        </w:tc>
        <w:tc>
          <w:tcPr>
            <w:tcW w:w="1218" w:type="dxa"/>
            <w:tcBorders>
              <w:left w:val="single" w:color="000000" w:sz="8" w:space="0"/>
              <w:right w:val="single" w:color="auto" w:sz="4" w:space="0"/>
            </w:tcBorders>
            <w:vAlign w:val="center"/>
          </w:tcPr>
          <w:p w14:paraId="467090E0">
            <w:pPr>
              <w:adjustRightInd w:val="0"/>
              <w:snapToGrid w:val="0"/>
              <w:spacing w:line="240" w:lineRule="auto"/>
              <w:jc w:val="center"/>
              <w:rPr>
                <w:sz w:val="21"/>
                <w:szCs w:val="21"/>
              </w:rPr>
            </w:pPr>
            <w:r>
              <w:rPr>
                <w:rFonts w:hint="eastAsia"/>
                <w:sz w:val="21"/>
                <w:szCs w:val="21"/>
              </w:rPr>
              <w:t>3332</w:t>
            </w:r>
            <w:r>
              <w:rPr>
                <w:sz w:val="21"/>
                <w:szCs w:val="21"/>
              </w:rPr>
              <w:t>t/a</w:t>
            </w:r>
          </w:p>
        </w:tc>
        <w:tc>
          <w:tcPr>
            <w:tcW w:w="2836" w:type="dxa"/>
            <w:tcBorders>
              <w:left w:val="single" w:color="auto" w:sz="4" w:space="0"/>
            </w:tcBorders>
            <w:vAlign w:val="center"/>
          </w:tcPr>
          <w:p w14:paraId="7DFAC5AB">
            <w:pPr>
              <w:adjustRightInd w:val="0"/>
              <w:snapToGrid w:val="0"/>
              <w:spacing w:line="240" w:lineRule="auto"/>
              <w:jc w:val="center"/>
              <w:rPr>
                <w:sz w:val="21"/>
                <w:szCs w:val="21"/>
              </w:rPr>
            </w:pPr>
            <w:r>
              <w:rPr>
                <w:sz w:val="21"/>
                <w:szCs w:val="21"/>
              </w:rPr>
              <w:t>印刷工序和复合工序材料</w:t>
            </w:r>
          </w:p>
        </w:tc>
      </w:tr>
      <w:tr w14:paraId="52501F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0E743016">
            <w:pPr>
              <w:adjustRightInd w:val="0"/>
              <w:snapToGrid w:val="0"/>
              <w:spacing w:line="240" w:lineRule="auto"/>
              <w:jc w:val="center"/>
              <w:rPr>
                <w:sz w:val="21"/>
                <w:szCs w:val="21"/>
              </w:rPr>
            </w:pPr>
            <w:r>
              <w:rPr>
                <w:sz w:val="21"/>
                <w:szCs w:val="21"/>
              </w:rPr>
              <w:t>3</w:t>
            </w:r>
          </w:p>
        </w:tc>
        <w:tc>
          <w:tcPr>
            <w:tcW w:w="2022" w:type="dxa"/>
            <w:gridSpan w:val="2"/>
            <w:vAlign w:val="center"/>
          </w:tcPr>
          <w:p w14:paraId="347E755C">
            <w:pPr>
              <w:adjustRightInd w:val="0"/>
              <w:snapToGrid w:val="0"/>
              <w:spacing w:line="240" w:lineRule="auto"/>
              <w:jc w:val="center"/>
              <w:rPr>
                <w:sz w:val="21"/>
                <w:szCs w:val="21"/>
              </w:rPr>
            </w:pPr>
            <w:r>
              <w:rPr>
                <w:sz w:val="21"/>
                <w:szCs w:val="21"/>
              </w:rPr>
              <w:t>双向拉伸尼龙薄膜（BOPA）</w:t>
            </w:r>
          </w:p>
        </w:tc>
        <w:tc>
          <w:tcPr>
            <w:tcW w:w="1218" w:type="dxa"/>
            <w:tcBorders>
              <w:left w:val="single" w:color="000000" w:sz="8" w:space="0"/>
              <w:right w:val="single" w:color="auto" w:sz="4" w:space="0"/>
            </w:tcBorders>
            <w:vAlign w:val="center"/>
          </w:tcPr>
          <w:p w14:paraId="638BBB26">
            <w:pPr>
              <w:adjustRightInd w:val="0"/>
              <w:snapToGrid w:val="0"/>
              <w:spacing w:line="240" w:lineRule="auto"/>
              <w:jc w:val="center"/>
              <w:rPr>
                <w:sz w:val="21"/>
                <w:szCs w:val="21"/>
              </w:rPr>
            </w:pPr>
            <w:r>
              <w:rPr>
                <w:rFonts w:hint="eastAsia"/>
                <w:sz w:val="21"/>
                <w:szCs w:val="21"/>
              </w:rPr>
              <w:t>1152.4</w:t>
            </w:r>
            <w:r>
              <w:rPr>
                <w:sz w:val="21"/>
                <w:szCs w:val="21"/>
              </w:rPr>
              <w:t>t/a</w:t>
            </w:r>
          </w:p>
        </w:tc>
        <w:tc>
          <w:tcPr>
            <w:tcW w:w="2836" w:type="dxa"/>
            <w:tcBorders>
              <w:left w:val="single" w:color="auto" w:sz="4" w:space="0"/>
            </w:tcBorders>
            <w:vAlign w:val="center"/>
          </w:tcPr>
          <w:p w14:paraId="655828C9">
            <w:pPr>
              <w:adjustRightInd w:val="0"/>
              <w:snapToGrid w:val="0"/>
              <w:spacing w:line="240" w:lineRule="auto"/>
              <w:jc w:val="center"/>
              <w:rPr>
                <w:sz w:val="21"/>
                <w:szCs w:val="21"/>
              </w:rPr>
            </w:pPr>
            <w:r>
              <w:rPr>
                <w:sz w:val="21"/>
                <w:szCs w:val="21"/>
              </w:rPr>
              <w:t>印刷工序和复合工序材料</w:t>
            </w:r>
          </w:p>
        </w:tc>
      </w:tr>
      <w:tr w14:paraId="0EA6EB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90" w:hRule="atLeast"/>
          <w:jc w:val="center"/>
        </w:trPr>
        <w:tc>
          <w:tcPr>
            <w:tcW w:w="491" w:type="dxa"/>
            <w:vAlign w:val="center"/>
          </w:tcPr>
          <w:p w14:paraId="29E03131">
            <w:pPr>
              <w:adjustRightInd w:val="0"/>
              <w:snapToGrid w:val="0"/>
              <w:spacing w:line="240" w:lineRule="auto"/>
              <w:jc w:val="center"/>
              <w:rPr>
                <w:sz w:val="21"/>
                <w:szCs w:val="21"/>
              </w:rPr>
            </w:pPr>
            <w:r>
              <w:rPr>
                <w:sz w:val="21"/>
                <w:szCs w:val="21"/>
              </w:rPr>
              <w:t>4</w:t>
            </w:r>
          </w:p>
        </w:tc>
        <w:tc>
          <w:tcPr>
            <w:tcW w:w="2022" w:type="dxa"/>
            <w:gridSpan w:val="2"/>
            <w:vAlign w:val="center"/>
          </w:tcPr>
          <w:p w14:paraId="43452D77">
            <w:pPr>
              <w:adjustRightInd w:val="0"/>
              <w:snapToGrid w:val="0"/>
              <w:spacing w:line="240" w:lineRule="auto"/>
              <w:jc w:val="center"/>
              <w:rPr>
                <w:sz w:val="21"/>
                <w:szCs w:val="21"/>
              </w:rPr>
            </w:pPr>
            <w:r>
              <w:rPr>
                <w:sz w:val="21"/>
                <w:szCs w:val="21"/>
              </w:rPr>
              <w:t>流延聚丙烯薄膜（CPP）</w:t>
            </w:r>
          </w:p>
        </w:tc>
        <w:tc>
          <w:tcPr>
            <w:tcW w:w="1218" w:type="dxa"/>
            <w:tcBorders>
              <w:left w:val="single" w:color="000000" w:sz="8" w:space="0"/>
              <w:right w:val="single" w:color="auto" w:sz="4" w:space="0"/>
            </w:tcBorders>
            <w:vAlign w:val="center"/>
          </w:tcPr>
          <w:p w14:paraId="1360F8F7">
            <w:pPr>
              <w:adjustRightInd w:val="0"/>
              <w:snapToGrid w:val="0"/>
              <w:spacing w:line="240" w:lineRule="auto"/>
              <w:jc w:val="center"/>
              <w:rPr>
                <w:sz w:val="21"/>
                <w:szCs w:val="21"/>
              </w:rPr>
            </w:pPr>
            <w:r>
              <w:rPr>
                <w:rFonts w:hint="eastAsia"/>
                <w:sz w:val="21"/>
                <w:szCs w:val="21"/>
              </w:rPr>
              <w:t>1847</w:t>
            </w:r>
            <w:r>
              <w:rPr>
                <w:sz w:val="21"/>
                <w:szCs w:val="21"/>
              </w:rPr>
              <w:t>t/a</w:t>
            </w:r>
          </w:p>
        </w:tc>
        <w:tc>
          <w:tcPr>
            <w:tcW w:w="2836" w:type="dxa"/>
            <w:tcBorders>
              <w:left w:val="single" w:color="auto" w:sz="4" w:space="0"/>
            </w:tcBorders>
            <w:vAlign w:val="center"/>
          </w:tcPr>
          <w:p w14:paraId="242EA8F2">
            <w:pPr>
              <w:adjustRightInd w:val="0"/>
              <w:snapToGrid w:val="0"/>
              <w:spacing w:line="240" w:lineRule="auto"/>
              <w:jc w:val="center"/>
              <w:rPr>
                <w:sz w:val="21"/>
                <w:szCs w:val="21"/>
              </w:rPr>
            </w:pPr>
            <w:r>
              <w:rPr>
                <w:sz w:val="21"/>
                <w:szCs w:val="21"/>
              </w:rPr>
              <w:t>又名聚丙烯薄膜，复合工序材料</w:t>
            </w:r>
          </w:p>
        </w:tc>
      </w:tr>
      <w:tr w14:paraId="69F168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162830B8">
            <w:pPr>
              <w:adjustRightInd w:val="0"/>
              <w:snapToGrid w:val="0"/>
              <w:spacing w:line="240" w:lineRule="auto"/>
              <w:jc w:val="center"/>
              <w:rPr>
                <w:sz w:val="21"/>
                <w:szCs w:val="21"/>
              </w:rPr>
            </w:pPr>
            <w:r>
              <w:rPr>
                <w:sz w:val="21"/>
                <w:szCs w:val="21"/>
              </w:rPr>
              <w:t>5</w:t>
            </w:r>
          </w:p>
        </w:tc>
        <w:tc>
          <w:tcPr>
            <w:tcW w:w="2022" w:type="dxa"/>
            <w:gridSpan w:val="2"/>
            <w:vAlign w:val="center"/>
          </w:tcPr>
          <w:p w14:paraId="3FCB6A5D">
            <w:pPr>
              <w:adjustRightInd w:val="0"/>
              <w:snapToGrid w:val="0"/>
              <w:spacing w:line="240" w:lineRule="auto"/>
              <w:jc w:val="center"/>
              <w:rPr>
                <w:sz w:val="21"/>
                <w:szCs w:val="21"/>
              </w:rPr>
            </w:pPr>
            <w:r>
              <w:rPr>
                <w:sz w:val="21"/>
                <w:szCs w:val="21"/>
              </w:rPr>
              <w:t>油墨</w:t>
            </w:r>
          </w:p>
        </w:tc>
        <w:tc>
          <w:tcPr>
            <w:tcW w:w="1218" w:type="dxa"/>
            <w:tcBorders>
              <w:left w:val="single" w:color="000000" w:sz="8" w:space="0"/>
              <w:right w:val="single" w:color="auto" w:sz="4" w:space="0"/>
            </w:tcBorders>
            <w:vAlign w:val="center"/>
          </w:tcPr>
          <w:p w14:paraId="05E12EB1">
            <w:pPr>
              <w:adjustRightInd w:val="0"/>
              <w:snapToGrid w:val="0"/>
              <w:spacing w:line="240" w:lineRule="auto"/>
              <w:jc w:val="center"/>
              <w:rPr>
                <w:sz w:val="21"/>
                <w:szCs w:val="21"/>
              </w:rPr>
            </w:pPr>
            <w:r>
              <w:rPr>
                <w:sz w:val="21"/>
                <w:szCs w:val="21"/>
              </w:rPr>
              <w:t>376t/a</w:t>
            </w:r>
          </w:p>
        </w:tc>
        <w:tc>
          <w:tcPr>
            <w:tcW w:w="2836" w:type="dxa"/>
            <w:tcBorders>
              <w:left w:val="single" w:color="auto" w:sz="4" w:space="0"/>
            </w:tcBorders>
            <w:vAlign w:val="center"/>
          </w:tcPr>
          <w:p w14:paraId="19FD81F0">
            <w:pPr>
              <w:adjustRightInd w:val="0"/>
              <w:snapToGrid w:val="0"/>
              <w:spacing w:line="240" w:lineRule="auto"/>
              <w:jc w:val="center"/>
              <w:rPr>
                <w:sz w:val="21"/>
                <w:szCs w:val="21"/>
              </w:rPr>
            </w:pPr>
            <w:r>
              <w:rPr>
                <w:sz w:val="21"/>
                <w:szCs w:val="21"/>
              </w:rPr>
              <w:t>由色料、连接料和助剂组成，印刷工序</w:t>
            </w:r>
          </w:p>
        </w:tc>
      </w:tr>
      <w:tr w14:paraId="24109F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90" w:hRule="atLeast"/>
          <w:jc w:val="center"/>
        </w:trPr>
        <w:tc>
          <w:tcPr>
            <w:tcW w:w="491" w:type="dxa"/>
            <w:vAlign w:val="center"/>
          </w:tcPr>
          <w:p w14:paraId="60A9D095">
            <w:pPr>
              <w:adjustRightInd w:val="0"/>
              <w:snapToGrid w:val="0"/>
              <w:spacing w:line="240" w:lineRule="auto"/>
              <w:jc w:val="center"/>
              <w:rPr>
                <w:sz w:val="21"/>
                <w:szCs w:val="21"/>
              </w:rPr>
            </w:pPr>
            <w:r>
              <w:rPr>
                <w:sz w:val="21"/>
                <w:szCs w:val="21"/>
              </w:rPr>
              <w:t>6</w:t>
            </w:r>
          </w:p>
        </w:tc>
        <w:tc>
          <w:tcPr>
            <w:tcW w:w="617" w:type="dxa"/>
            <w:vMerge w:val="restart"/>
            <w:tcBorders>
              <w:right w:val="single" w:color="auto" w:sz="4" w:space="0"/>
            </w:tcBorders>
            <w:vAlign w:val="center"/>
          </w:tcPr>
          <w:p w14:paraId="62EE6023">
            <w:pPr>
              <w:adjustRightInd w:val="0"/>
              <w:snapToGrid w:val="0"/>
              <w:spacing w:line="240" w:lineRule="auto"/>
              <w:jc w:val="center"/>
              <w:rPr>
                <w:sz w:val="21"/>
                <w:szCs w:val="21"/>
              </w:rPr>
            </w:pPr>
            <w:r>
              <w:rPr>
                <w:sz w:val="21"/>
                <w:szCs w:val="21"/>
              </w:rPr>
              <w:t>油墨稀释剂</w:t>
            </w:r>
          </w:p>
        </w:tc>
        <w:tc>
          <w:tcPr>
            <w:tcW w:w="1405" w:type="dxa"/>
            <w:tcBorders>
              <w:left w:val="single" w:color="auto" w:sz="4" w:space="0"/>
            </w:tcBorders>
            <w:vAlign w:val="center"/>
          </w:tcPr>
          <w:p w14:paraId="7F6DBAF4">
            <w:pPr>
              <w:adjustRightInd w:val="0"/>
              <w:snapToGrid w:val="0"/>
              <w:spacing w:line="240" w:lineRule="auto"/>
              <w:jc w:val="center"/>
              <w:rPr>
                <w:sz w:val="21"/>
                <w:szCs w:val="21"/>
              </w:rPr>
            </w:pPr>
            <w:r>
              <w:rPr>
                <w:sz w:val="21"/>
                <w:szCs w:val="21"/>
              </w:rPr>
              <w:t>乙酸正丙酯</w:t>
            </w:r>
          </w:p>
        </w:tc>
        <w:tc>
          <w:tcPr>
            <w:tcW w:w="1218" w:type="dxa"/>
            <w:tcBorders>
              <w:left w:val="single" w:color="000000" w:sz="8" w:space="0"/>
              <w:right w:val="single" w:color="auto" w:sz="4" w:space="0"/>
            </w:tcBorders>
            <w:vAlign w:val="center"/>
          </w:tcPr>
          <w:p w14:paraId="0154BEC0">
            <w:pPr>
              <w:adjustRightInd w:val="0"/>
              <w:snapToGrid w:val="0"/>
              <w:spacing w:line="240" w:lineRule="auto"/>
              <w:jc w:val="center"/>
              <w:rPr>
                <w:sz w:val="21"/>
                <w:szCs w:val="21"/>
              </w:rPr>
            </w:pPr>
            <w:r>
              <w:rPr>
                <w:rFonts w:hint="eastAsia"/>
                <w:sz w:val="21"/>
                <w:szCs w:val="21"/>
              </w:rPr>
              <w:t>12.3</w:t>
            </w:r>
            <w:r>
              <w:rPr>
                <w:sz w:val="21"/>
                <w:szCs w:val="21"/>
              </w:rPr>
              <w:t>t/a</w:t>
            </w:r>
          </w:p>
        </w:tc>
        <w:tc>
          <w:tcPr>
            <w:tcW w:w="2836" w:type="dxa"/>
            <w:tcBorders>
              <w:left w:val="single" w:color="auto" w:sz="4" w:space="0"/>
            </w:tcBorders>
            <w:vAlign w:val="center"/>
          </w:tcPr>
          <w:p w14:paraId="4B437A66">
            <w:pPr>
              <w:adjustRightInd w:val="0"/>
              <w:snapToGrid w:val="0"/>
              <w:spacing w:line="240" w:lineRule="auto"/>
              <w:jc w:val="center"/>
              <w:rPr>
                <w:sz w:val="21"/>
                <w:szCs w:val="21"/>
              </w:rPr>
            </w:pPr>
            <w:r>
              <w:rPr>
                <w:sz w:val="21"/>
                <w:szCs w:val="21"/>
              </w:rPr>
              <w:t>用于油墨稀释</w:t>
            </w:r>
          </w:p>
        </w:tc>
      </w:tr>
      <w:tr w14:paraId="4A2595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45A209E2">
            <w:pPr>
              <w:adjustRightInd w:val="0"/>
              <w:snapToGrid w:val="0"/>
              <w:spacing w:line="240" w:lineRule="auto"/>
              <w:jc w:val="center"/>
              <w:rPr>
                <w:sz w:val="21"/>
                <w:szCs w:val="21"/>
              </w:rPr>
            </w:pPr>
            <w:r>
              <w:rPr>
                <w:sz w:val="21"/>
                <w:szCs w:val="21"/>
              </w:rPr>
              <w:t>7</w:t>
            </w:r>
          </w:p>
        </w:tc>
        <w:tc>
          <w:tcPr>
            <w:tcW w:w="617" w:type="dxa"/>
            <w:vMerge w:val="continue"/>
            <w:tcBorders>
              <w:right w:val="single" w:color="auto" w:sz="4" w:space="0"/>
            </w:tcBorders>
            <w:vAlign w:val="center"/>
          </w:tcPr>
          <w:p w14:paraId="3DD6192A">
            <w:pPr>
              <w:adjustRightInd w:val="0"/>
              <w:snapToGrid w:val="0"/>
              <w:spacing w:line="240" w:lineRule="auto"/>
              <w:jc w:val="center"/>
              <w:rPr>
                <w:sz w:val="21"/>
                <w:szCs w:val="21"/>
              </w:rPr>
            </w:pPr>
          </w:p>
        </w:tc>
        <w:tc>
          <w:tcPr>
            <w:tcW w:w="1405" w:type="dxa"/>
            <w:tcBorders>
              <w:left w:val="single" w:color="auto" w:sz="4" w:space="0"/>
            </w:tcBorders>
            <w:vAlign w:val="center"/>
          </w:tcPr>
          <w:p w14:paraId="4F753D13">
            <w:pPr>
              <w:adjustRightInd w:val="0"/>
              <w:snapToGrid w:val="0"/>
              <w:spacing w:line="240" w:lineRule="auto"/>
              <w:jc w:val="center"/>
              <w:rPr>
                <w:sz w:val="21"/>
                <w:szCs w:val="21"/>
              </w:rPr>
            </w:pPr>
            <w:r>
              <w:rPr>
                <w:sz w:val="21"/>
                <w:szCs w:val="21"/>
              </w:rPr>
              <w:t>异丙醇</w:t>
            </w:r>
          </w:p>
        </w:tc>
        <w:tc>
          <w:tcPr>
            <w:tcW w:w="1218" w:type="dxa"/>
            <w:tcBorders>
              <w:left w:val="single" w:color="000000" w:sz="8" w:space="0"/>
              <w:right w:val="single" w:color="auto" w:sz="4" w:space="0"/>
            </w:tcBorders>
            <w:vAlign w:val="center"/>
          </w:tcPr>
          <w:p w14:paraId="3B465267">
            <w:pPr>
              <w:adjustRightInd w:val="0"/>
              <w:snapToGrid w:val="0"/>
              <w:spacing w:line="240" w:lineRule="auto"/>
              <w:jc w:val="center"/>
              <w:rPr>
                <w:sz w:val="21"/>
                <w:szCs w:val="21"/>
              </w:rPr>
            </w:pPr>
            <w:r>
              <w:rPr>
                <w:rFonts w:hint="eastAsia"/>
                <w:sz w:val="21"/>
                <w:szCs w:val="21"/>
              </w:rPr>
              <w:t>2.56</w:t>
            </w:r>
            <w:r>
              <w:rPr>
                <w:sz w:val="21"/>
                <w:szCs w:val="21"/>
              </w:rPr>
              <w:t>t/a</w:t>
            </w:r>
          </w:p>
        </w:tc>
        <w:tc>
          <w:tcPr>
            <w:tcW w:w="2836" w:type="dxa"/>
            <w:tcBorders>
              <w:left w:val="single" w:color="auto" w:sz="4" w:space="0"/>
            </w:tcBorders>
            <w:vAlign w:val="center"/>
          </w:tcPr>
          <w:p w14:paraId="6C8C54FB">
            <w:pPr>
              <w:adjustRightInd w:val="0"/>
              <w:snapToGrid w:val="0"/>
              <w:spacing w:line="240" w:lineRule="auto"/>
              <w:jc w:val="center"/>
              <w:rPr>
                <w:sz w:val="21"/>
                <w:szCs w:val="21"/>
              </w:rPr>
            </w:pPr>
            <w:r>
              <w:rPr>
                <w:sz w:val="21"/>
                <w:szCs w:val="21"/>
              </w:rPr>
              <w:t>用于油墨稀释</w:t>
            </w:r>
          </w:p>
        </w:tc>
      </w:tr>
      <w:tr w14:paraId="6F0D6ED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50894B19">
            <w:pPr>
              <w:adjustRightInd w:val="0"/>
              <w:snapToGrid w:val="0"/>
              <w:spacing w:line="240" w:lineRule="auto"/>
              <w:jc w:val="center"/>
              <w:rPr>
                <w:sz w:val="21"/>
                <w:szCs w:val="21"/>
              </w:rPr>
            </w:pPr>
            <w:r>
              <w:rPr>
                <w:sz w:val="21"/>
                <w:szCs w:val="21"/>
              </w:rPr>
              <w:t>8</w:t>
            </w:r>
          </w:p>
        </w:tc>
        <w:tc>
          <w:tcPr>
            <w:tcW w:w="617" w:type="dxa"/>
            <w:vMerge w:val="continue"/>
            <w:tcBorders>
              <w:right w:val="single" w:color="auto" w:sz="4" w:space="0"/>
            </w:tcBorders>
            <w:vAlign w:val="center"/>
          </w:tcPr>
          <w:p w14:paraId="17AB07F2">
            <w:pPr>
              <w:adjustRightInd w:val="0"/>
              <w:snapToGrid w:val="0"/>
              <w:spacing w:line="240" w:lineRule="auto"/>
              <w:jc w:val="center"/>
              <w:rPr>
                <w:sz w:val="21"/>
                <w:szCs w:val="21"/>
              </w:rPr>
            </w:pPr>
          </w:p>
        </w:tc>
        <w:tc>
          <w:tcPr>
            <w:tcW w:w="1405" w:type="dxa"/>
            <w:tcBorders>
              <w:left w:val="single" w:color="auto" w:sz="4" w:space="0"/>
            </w:tcBorders>
            <w:vAlign w:val="center"/>
          </w:tcPr>
          <w:p w14:paraId="33FA2590">
            <w:pPr>
              <w:adjustRightInd w:val="0"/>
              <w:snapToGrid w:val="0"/>
              <w:spacing w:line="240" w:lineRule="auto"/>
              <w:jc w:val="center"/>
              <w:rPr>
                <w:sz w:val="21"/>
                <w:szCs w:val="21"/>
              </w:rPr>
            </w:pPr>
            <w:r>
              <w:rPr>
                <w:sz w:val="21"/>
                <w:szCs w:val="21"/>
              </w:rPr>
              <w:t>乙酸丁酯</w:t>
            </w:r>
          </w:p>
        </w:tc>
        <w:tc>
          <w:tcPr>
            <w:tcW w:w="1218" w:type="dxa"/>
            <w:tcBorders>
              <w:left w:val="single" w:color="000000" w:sz="8" w:space="0"/>
              <w:right w:val="single" w:color="auto" w:sz="4" w:space="0"/>
            </w:tcBorders>
            <w:vAlign w:val="center"/>
          </w:tcPr>
          <w:p w14:paraId="3F009F46">
            <w:pPr>
              <w:adjustRightInd w:val="0"/>
              <w:snapToGrid w:val="0"/>
              <w:spacing w:line="240" w:lineRule="auto"/>
              <w:jc w:val="center"/>
              <w:rPr>
                <w:sz w:val="21"/>
                <w:szCs w:val="21"/>
              </w:rPr>
            </w:pPr>
            <w:r>
              <w:rPr>
                <w:rFonts w:hint="eastAsia"/>
                <w:sz w:val="21"/>
                <w:szCs w:val="21"/>
              </w:rPr>
              <w:t>2.56</w:t>
            </w:r>
            <w:r>
              <w:rPr>
                <w:sz w:val="21"/>
                <w:szCs w:val="21"/>
              </w:rPr>
              <w:t>t/a</w:t>
            </w:r>
          </w:p>
        </w:tc>
        <w:tc>
          <w:tcPr>
            <w:tcW w:w="2836" w:type="dxa"/>
            <w:tcBorders>
              <w:left w:val="single" w:color="auto" w:sz="4" w:space="0"/>
            </w:tcBorders>
            <w:vAlign w:val="center"/>
          </w:tcPr>
          <w:p w14:paraId="72825307">
            <w:pPr>
              <w:adjustRightInd w:val="0"/>
              <w:snapToGrid w:val="0"/>
              <w:spacing w:line="240" w:lineRule="auto"/>
              <w:jc w:val="center"/>
              <w:rPr>
                <w:sz w:val="21"/>
                <w:szCs w:val="21"/>
              </w:rPr>
            </w:pPr>
            <w:r>
              <w:rPr>
                <w:sz w:val="21"/>
                <w:szCs w:val="21"/>
              </w:rPr>
              <w:t>用于油墨稀释</w:t>
            </w:r>
          </w:p>
        </w:tc>
      </w:tr>
      <w:tr w14:paraId="2B3057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351CE036">
            <w:pPr>
              <w:adjustRightInd w:val="0"/>
              <w:snapToGrid w:val="0"/>
              <w:spacing w:line="240" w:lineRule="auto"/>
              <w:jc w:val="center"/>
              <w:rPr>
                <w:sz w:val="21"/>
                <w:szCs w:val="21"/>
              </w:rPr>
            </w:pPr>
            <w:r>
              <w:rPr>
                <w:sz w:val="21"/>
                <w:szCs w:val="21"/>
              </w:rPr>
              <w:t>9</w:t>
            </w:r>
          </w:p>
        </w:tc>
        <w:tc>
          <w:tcPr>
            <w:tcW w:w="617" w:type="dxa"/>
            <w:vMerge w:val="continue"/>
            <w:tcBorders>
              <w:right w:val="single" w:color="auto" w:sz="4" w:space="0"/>
            </w:tcBorders>
            <w:vAlign w:val="center"/>
          </w:tcPr>
          <w:p w14:paraId="472A6CF9">
            <w:pPr>
              <w:adjustRightInd w:val="0"/>
              <w:snapToGrid w:val="0"/>
              <w:spacing w:line="240" w:lineRule="auto"/>
              <w:jc w:val="center"/>
              <w:rPr>
                <w:sz w:val="21"/>
                <w:szCs w:val="21"/>
              </w:rPr>
            </w:pPr>
          </w:p>
        </w:tc>
        <w:tc>
          <w:tcPr>
            <w:tcW w:w="1405" w:type="dxa"/>
            <w:tcBorders>
              <w:left w:val="single" w:color="auto" w:sz="4" w:space="0"/>
            </w:tcBorders>
            <w:vAlign w:val="center"/>
          </w:tcPr>
          <w:p w14:paraId="01954551">
            <w:pPr>
              <w:adjustRightInd w:val="0"/>
              <w:snapToGrid w:val="0"/>
              <w:spacing w:line="240" w:lineRule="auto"/>
              <w:jc w:val="center"/>
              <w:rPr>
                <w:sz w:val="21"/>
                <w:szCs w:val="21"/>
              </w:rPr>
            </w:pPr>
            <w:r>
              <w:rPr>
                <w:sz w:val="21"/>
                <w:szCs w:val="21"/>
              </w:rPr>
              <w:t>乙酸乙酯</w:t>
            </w:r>
          </w:p>
        </w:tc>
        <w:tc>
          <w:tcPr>
            <w:tcW w:w="1218" w:type="dxa"/>
            <w:tcBorders>
              <w:left w:val="single" w:color="000000" w:sz="8" w:space="0"/>
              <w:right w:val="single" w:color="auto" w:sz="4" w:space="0"/>
            </w:tcBorders>
            <w:vAlign w:val="center"/>
          </w:tcPr>
          <w:p w14:paraId="2087C2B3">
            <w:pPr>
              <w:adjustRightInd w:val="0"/>
              <w:snapToGrid w:val="0"/>
              <w:spacing w:line="240" w:lineRule="auto"/>
              <w:jc w:val="center"/>
              <w:rPr>
                <w:sz w:val="21"/>
                <w:szCs w:val="21"/>
              </w:rPr>
            </w:pPr>
            <w:r>
              <w:rPr>
                <w:rFonts w:hint="eastAsia"/>
                <w:sz w:val="21"/>
                <w:szCs w:val="21"/>
              </w:rPr>
              <w:t>55.7</w:t>
            </w:r>
            <w:r>
              <w:rPr>
                <w:sz w:val="21"/>
                <w:szCs w:val="21"/>
              </w:rPr>
              <w:t>t/a</w:t>
            </w:r>
          </w:p>
        </w:tc>
        <w:tc>
          <w:tcPr>
            <w:tcW w:w="2836" w:type="dxa"/>
            <w:tcBorders>
              <w:left w:val="single" w:color="auto" w:sz="4" w:space="0"/>
            </w:tcBorders>
            <w:vAlign w:val="center"/>
          </w:tcPr>
          <w:p w14:paraId="6B7AF1C3">
            <w:pPr>
              <w:adjustRightInd w:val="0"/>
              <w:snapToGrid w:val="0"/>
              <w:spacing w:line="240" w:lineRule="auto"/>
              <w:jc w:val="center"/>
              <w:rPr>
                <w:sz w:val="21"/>
                <w:szCs w:val="21"/>
              </w:rPr>
            </w:pPr>
            <w:r>
              <w:rPr>
                <w:rFonts w:hint="eastAsia"/>
                <w:sz w:val="21"/>
                <w:szCs w:val="21"/>
              </w:rPr>
              <w:t>用于印刷、干式复合、擦洗</w:t>
            </w:r>
          </w:p>
        </w:tc>
      </w:tr>
      <w:tr w14:paraId="709678B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42" w:hRule="atLeast"/>
          <w:jc w:val="center"/>
        </w:trPr>
        <w:tc>
          <w:tcPr>
            <w:tcW w:w="491" w:type="dxa"/>
            <w:vAlign w:val="center"/>
          </w:tcPr>
          <w:p w14:paraId="524EB132">
            <w:pPr>
              <w:adjustRightInd w:val="0"/>
              <w:snapToGrid w:val="0"/>
              <w:spacing w:line="240" w:lineRule="auto"/>
              <w:jc w:val="center"/>
              <w:rPr>
                <w:sz w:val="21"/>
                <w:szCs w:val="21"/>
              </w:rPr>
            </w:pPr>
            <w:r>
              <w:rPr>
                <w:sz w:val="21"/>
                <w:szCs w:val="21"/>
              </w:rPr>
              <w:t>10</w:t>
            </w:r>
          </w:p>
        </w:tc>
        <w:tc>
          <w:tcPr>
            <w:tcW w:w="2022" w:type="dxa"/>
            <w:gridSpan w:val="2"/>
            <w:vAlign w:val="center"/>
          </w:tcPr>
          <w:p w14:paraId="4BE3E1CA">
            <w:pPr>
              <w:adjustRightInd w:val="0"/>
              <w:snapToGrid w:val="0"/>
              <w:spacing w:line="240" w:lineRule="auto"/>
              <w:jc w:val="center"/>
              <w:rPr>
                <w:sz w:val="21"/>
                <w:szCs w:val="21"/>
              </w:rPr>
            </w:pPr>
            <w:r>
              <w:rPr>
                <w:rFonts w:hint="eastAsia"/>
                <w:sz w:val="21"/>
                <w:szCs w:val="21"/>
              </w:rPr>
              <w:t>无溶剂型胶水</w:t>
            </w:r>
          </w:p>
        </w:tc>
        <w:tc>
          <w:tcPr>
            <w:tcW w:w="1218" w:type="dxa"/>
            <w:tcBorders>
              <w:left w:val="single" w:color="000000" w:sz="8" w:space="0"/>
              <w:right w:val="single" w:color="auto" w:sz="4" w:space="0"/>
            </w:tcBorders>
            <w:vAlign w:val="center"/>
          </w:tcPr>
          <w:p w14:paraId="47EABB7B">
            <w:pPr>
              <w:adjustRightInd w:val="0"/>
              <w:snapToGrid w:val="0"/>
              <w:spacing w:line="240" w:lineRule="auto"/>
              <w:jc w:val="center"/>
              <w:rPr>
                <w:sz w:val="21"/>
                <w:szCs w:val="21"/>
              </w:rPr>
            </w:pPr>
            <w:r>
              <w:rPr>
                <w:sz w:val="21"/>
                <w:szCs w:val="21"/>
              </w:rPr>
              <w:t>39t/a</w:t>
            </w:r>
          </w:p>
        </w:tc>
        <w:tc>
          <w:tcPr>
            <w:tcW w:w="2836" w:type="dxa"/>
            <w:tcBorders>
              <w:left w:val="single" w:color="auto" w:sz="4" w:space="0"/>
            </w:tcBorders>
            <w:vAlign w:val="center"/>
          </w:tcPr>
          <w:p w14:paraId="655E3578">
            <w:pPr>
              <w:adjustRightInd w:val="0"/>
              <w:snapToGrid w:val="0"/>
              <w:spacing w:line="240" w:lineRule="auto"/>
              <w:jc w:val="center"/>
              <w:rPr>
                <w:sz w:val="21"/>
                <w:szCs w:val="21"/>
              </w:rPr>
            </w:pPr>
            <w:r>
              <w:rPr>
                <w:sz w:val="21"/>
                <w:szCs w:val="21"/>
              </w:rPr>
              <w:t>双组分无溶剂胶黏剂A/B胶</w:t>
            </w:r>
          </w:p>
        </w:tc>
      </w:tr>
      <w:tr w14:paraId="7136CF6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242" w:hRule="atLeast"/>
          <w:jc w:val="center"/>
        </w:trPr>
        <w:tc>
          <w:tcPr>
            <w:tcW w:w="491" w:type="dxa"/>
            <w:vAlign w:val="center"/>
          </w:tcPr>
          <w:p w14:paraId="41B7A5A7">
            <w:pPr>
              <w:adjustRightInd w:val="0"/>
              <w:snapToGrid w:val="0"/>
              <w:spacing w:line="240" w:lineRule="auto"/>
              <w:jc w:val="center"/>
              <w:rPr>
                <w:sz w:val="21"/>
                <w:szCs w:val="21"/>
              </w:rPr>
            </w:pPr>
            <w:r>
              <w:rPr>
                <w:sz w:val="21"/>
                <w:szCs w:val="21"/>
              </w:rPr>
              <w:t>11</w:t>
            </w:r>
          </w:p>
        </w:tc>
        <w:tc>
          <w:tcPr>
            <w:tcW w:w="2022" w:type="dxa"/>
            <w:gridSpan w:val="2"/>
            <w:vAlign w:val="center"/>
          </w:tcPr>
          <w:p w14:paraId="315B3137">
            <w:pPr>
              <w:adjustRightInd w:val="0"/>
              <w:snapToGrid w:val="0"/>
              <w:spacing w:line="240" w:lineRule="auto"/>
              <w:jc w:val="center"/>
              <w:rPr>
                <w:sz w:val="21"/>
                <w:szCs w:val="21"/>
              </w:rPr>
            </w:pPr>
            <w:r>
              <w:rPr>
                <w:sz w:val="21"/>
                <w:szCs w:val="21"/>
              </w:rPr>
              <w:t>聚氨酯胶水</w:t>
            </w:r>
          </w:p>
        </w:tc>
        <w:tc>
          <w:tcPr>
            <w:tcW w:w="1218" w:type="dxa"/>
            <w:tcBorders>
              <w:left w:val="single" w:color="000000" w:sz="8" w:space="0"/>
              <w:right w:val="single" w:color="auto" w:sz="4" w:space="0"/>
            </w:tcBorders>
            <w:vAlign w:val="center"/>
          </w:tcPr>
          <w:p w14:paraId="3EE834AA">
            <w:pPr>
              <w:adjustRightInd w:val="0"/>
              <w:snapToGrid w:val="0"/>
              <w:spacing w:line="240" w:lineRule="auto"/>
              <w:jc w:val="center"/>
              <w:rPr>
                <w:sz w:val="21"/>
                <w:szCs w:val="21"/>
              </w:rPr>
            </w:pPr>
            <w:r>
              <w:rPr>
                <w:sz w:val="21"/>
                <w:szCs w:val="21"/>
              </w:rPr>
              <w:t>30t/a</w:t>
            </w:r>
          </w:p>
        </w:tc>
        <w:tc>
          <w:tcPr>
            <w:tcW w:w="2836" w:type="dxa"/>
            <w:tcBorders>
              <w:left w:val="single" w:color="auto" w:sz="4" w:space="0"/>
            </w:tcBorders>
            <w:vAlign w:val="center"/>
          </w:tcPr>
          <w:p w14:paraId="71623203">
            <w:pPr>
              <w:adjustRightInd w:val="0"/>
              <w:snapToGrid w:val="0"/>
              <w:spacing w:line="240" w:lineRule="auto"/>
              <w:jc w:val="center"/>
              <w:rPr>
                <w:sz w:val="21"/>
                <w:szCs w:val="21"/>
              </w:rPr>
            </w:pPr>
            <w:r>
              <w:rPr>
                <w:sz w:val="21"/>
                <w:szCs w:val="21"/>
              </w:rPr>
              <w:t>加溶剂型，溶剂乙酸乙酯（加入）</w:t>
            </w:r>
          </w:p>
        </w:tc>
      </w:tr>
      <w:tr w14:paraId="64B799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2D993434">
            <w:pPr>
              <w:adjustRightInd w:val="0"/>
              <w:snapToGrid w:val="0"/>
              <w:spacing w:line="240" w:lineRule="auto"/>
              <w:jc w:val="center"/>
              <w:rPr>
                <w:sz w:val="21"/>
                <w:szCs w:val="21"/>
              </w:rPr>
            </w:pPr>
            <w:r>
              <w:rPr>
                <w:sz w:val="21"/>
                <w:szCs w:val="21"/>
              </w:rPr>
              <w:t>12</w:t>
            </w:r>
          </w:p>
        </w:tc>
        <w:tc>
          <w:tcPr>
            <w:tcW w:w="2022" w:type="dxa"/>
            <w:gridSpan w:val="2"/>
            <w:vAlign w:val="center"/>
          </w:tcPr>
          <w:p w14:paraId="6CB6D8AC">
            <w:pPr>
              <w:adjustRightInd w:val="0"/>
              <w:snapToGrid w:val="0"/>
              <w:spacing w:line="240" w:lineRule="auto"/>
              <w:jc w:val="center"/>
              <w:rPr>
                <w:sz w:val="21"/>
                <w:szCs w:val="21"/>
              </w:rPr>
            </w:pPr>
            <w:r>
              <w:rPr>
                <w:sz w:val="21"/>
                <w:szCs w:val="21"/>
              </w:rPr>
              <w:t>电</w:t>
            </w:r>
          </w:p>
        </w:tc>
        <w:tc>
          <w:tcPr>
            <w:tcW w:w="1218" w:type="dxa"/>
            <w:tcBorders>
              <w:left w:val="single" w:color="000000" w:sz="8" w:space="0"/>
              <w:right w:val="single" w:color="auto" w:sz="4" w:space="0"/>
            </w:tcBorders>
            <w:vAlign w:val="center"/>
          </w:tcPr>
          <w:p w14:paraId="5A6A84AA">
            <w:pPr>
              <w:adjustRightInd w:val="0"/>
              <w:snapToGrid w:val="0"/>
              <w:spacing w:line="240" w:lineRule="auto"/>
              <w:jc w:val="center"/>
              <w:rPr>
                <w:sz w:val="21"/>
                <w:szCs w:val="21"/>
              </w:rPr>
            </w:pPr>
            <w:r>
              <w:rPr>
                <w:rFonts w:hint="eastAsia"/>
                <w:sz w:val="21"/>
                <w:szCs w:val="21"/>
              </w:rPr>
              <w:t>1857.2</w:t>
            </w:r>
            <w:r>
              <w:rPr>
                <w:sz w:val="21"/>
                <w:szCs w:val="21"/>
              </w:rPr>
              <w:t>万kwh</w:t>
            </w:r>
          </w:p>
        </w:tc>
        <w:tc>
          <w:tcPr>
            <w:tcW w:w="2836" w:type="dxa"/>
            <w:tcBorders>
              <w:left w:val="single" w:color="auto" w:sz="4" w:space="0"/>
            </w:tcBorders>
            <w:vAlign w:val="center"/>
          </w:tcPr>
          <w:p w14:paraId="127553EC">
            <w:pPr>
              <w:adjustRightInd w:val="0"/>
              <w:snapToGrid w:val="0"/>
              <w:spacing w:line="240" w:lineRule="auto"/>
              <w:jc w:val="center"/>
              <w:rPr>
                <w:sz w:val="21"/>
                <w:szCs w:val="21"/>
              </w:rPr>
            </w:pPr>
          </w:p>
        </w:tc>
      </w:tr>
      <w:tr w14:paraId="1E176E6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Align w:val="center"/>
          </w:tcPr>
          <w:p w14:paraId="3C4C0E0E">
            <w:pPr>
              <w:adjustRightInd w:val="0"/>
              <w:snapToGrid w:val="0"/>
              <w:spacing w:line="240" w:lineRule="auto"/>
              <w:jc w:val="center"/>
              <w:rPr>
                <w:sz w:val="21"/>
                <w:szCs w:val="21"/>
              </w:rPr>
            </w:pPr>
            <w:r>
              <w:rPr>
                <w:sz w:val="21"/>
                <w:szCs w:val="21"/>
              </w:rPr>
              <w:t>13</w:t>
            </w:r>
          </w:p>
        </w:tc>
        <w:tc>
          <w:tcPr>
            <w:tcW w:w="2022" w:type="dxa"/>
            <w:gridSpan w:val="2"/>
            <w:vAlign w:val="center"/>
          </w:tcPr>
          <w:p w14:paraId="5A35160F">
            <w:pPr>
              <w:adjustRightInd w:val="0"/>
              <w:snapToGrid w:val="0"/>
              <w:spacing w:line="240" w:lineRule="auto"/>
              <w:jc w:val="center"/>
              <w:rPr>
                <w:sz w:val="21"/>
                <w:szCs w:val="21"/>
              </w:rPr>
            </w:pPr>
            <w:r>
              <w:rPr>
                <w:sz w:val="21"/>
                <w:szCs w:val="21"/>
              </w:rPr>
              <w:t>天然气</w:t>
            </w:r>
          </w:p>
        </w:tc>
        <w:tc>
          <w:tcPr>
            <w:tcW w:w="1218" w:type="dxa"/>
            <w:tcBorders>
              <w:left w:val="single" w:color="000000" w:sz="8" w:space="0"/>
              <w:right w:val="single" w:color="auto" w:sz="4" w:space="0"/>
            </w:tcBorders>
            <w:vAlign w:val="center"/>
          </w:tcPr>
          <w:p w14:paraId="273B6C52">
            <w:pPr>
              <w:adjustRightInd w:val="0"/>
              <w:snapToGrid w:val="0"/>
              <w:spacing w:line="240" w:lineRule="auto"/>
              <w:jc w:val="center"/>
              <w:rPr>
                <w:sz w:val="21"/>
                <w:szCs w:val="21"/>
              </w:rPr>
            </w:pPr>
            <w:r>
              <w:rPr>
                <w:rFonts w:hint="eastAsia"/>
                <w:sz w:val="21"/>
                <w:szCs w:val="21"/>
              </w:rPr>
              <w:t>39.35</w:t>
            </w:r>
            <w:r>
              <w:rPr>
                <w:sz w:val="21"/>
                <w:szCs w:val="21"/>
              </w:rPr>
              <w:t>万m</w:t>
            </w:r>
            <w:r>
              <w:rPr>
                <w:sz w:val="21"/>
                <w:szCs w:val="21"/>
                <w:vertAlign w:val="superscript"/>
              </w:rPr>
              <w:t>3</w:t>
            </w:r>
          </w:p>
        </w:tc>
        <w:tc>
          <w:tcPr>
            <w:tcW w:w="2836" w:type="dxa"/>
            <w:tcBorders>
              <w:left w:val="single" w:color="auto" w:sz="4" w:space="0"/>
            </w:tcBorders>
            <w:vAlign w:val="center"/>
          </w:tcPr>
          <w:p w14:paraId="7DBE3E5F">
            <w:pPr>
              <w:adjustRightInd w:val="0"/>
              <w:snapToGrid w:val="0"/>
              <w:spacing w:line="240" w:lineRule="auto"/>
              <w:jc w:val="center"/>
              <w:rPr>
                <w:sz w:val="21"/>
                <w:szCs w:val="21"/>
              </w:rPr>
            </w:pPr>
          </w:p>
        </w:tc>
      </w:tr>
      <w:tr w14:paraId="68293E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Merge w:val="restart"/>
            <w:vAlign w:val="center"/>
          </w:tcPr>
          <w:p w14:paraId="041683F0">
            <w:pPr>
              <w:adjustRightInd w:val="0"/>
              <w:snapToGrid w:val="0"/>
              <w:spacing w:line="240" w:lineRule="auto"/>
              <w:jc w:val="center"/>
              <w:rPr>
                <w:sz w:val="21"/>
                <w:szCs w:val="21"/>
              </w:rPr>
            </w:pPr>
            <w:r>
              <w:rPr>
                <w:sz w:val="21"/>
                <w:szCs w:val="21"/>
              </w:rPr>
              <w:t>14</w:t>
            </w:r>
          </w:p>
        </w:tc>
        <w:tc>
          <w:tcPr>
            <w:tcW w:w="2022" w:type="dxa"/>
            <w:gridSpan w:val="2"/>
            <w:vAlign w:val="center"/>
          </w:tcPr>
          <w:p w14:paraId="60E27D36">
            <w:pPr>
              <w:adjustRightInd w:val="0"/>
              <w:snapToGrid w:val="0"/>
              <w:spacing w:line="240" w:lineRule="auto"/>
              <w:jc w:val="center"/>
              <w:rPr>
                <w:sz w:val="21"/>
                <w:szCs w:val="21"/>
              </w:rPr>
            </w:pPr>
            <w:r>
              <w:rPr>
                <w:sz w:val="21"/>
                <w:szCs w:val="21"/>
              </w:rPr>
              <w:t>生产循环水补充量</w:t>
            </w:r>
          </w:p>
        </w:tc>
        <w:tc>
          <w:tcPr>
            <w:tcW w:w="1218" w:type="dxa"/>
            <w:tcBorders>
              <w:left w:val="single" w:color="000000" w:sz="8" w:space="0"/>
              <w:right w:val="single" w:color="auto" w:sz="4" w:space="0"/>
            </w:tcBorders>
            <w:vAlign w:val="center"/>
          </w:tcPr>
          <w:p w14:paraId="5626ECF3">
            <w:pPr>
              <w:adjustRightInd w:val="0"/>
              <w:snapToGrid w:val="0"/>
              <w:spacing w:line="240" w:lineRule="auto"/>
              <w:jc w:val="center"/>
              <w:rPr>
                <w:sz w:val="21"/>
                <w:szCs w:val="21"/>
              </w:rPr>
            </w:pPr>
            <w:r>
              <w:rPr>
                <w:rFonts w:hint="eastAsia"/>
                <w:sz w:val="21"/>
                <w:szCs w:val="21"/>
              </w:rPr>
              <w:t>6</w:t>
            </w:r>
            <w:r>
              <w:rPr>
                <w:sz w:val="21"/>
                <w:szCs w:val="21"/>
              </w:rPr>
              <w:t>t/d</w:t>
            </w:r>
          </w:p>
        </w:tc>
        <w:tc>
          <w:tcPr>
            <w:tcW w:w="2836" w:type="dxa"/>
            <w:tcBorders>
              <w:left w:val="single" w:color="auto" w:sz="4" w:space="0"/>
            </w:tcBorders>
            <w:vAlign w:val="center"/>
          </w:tcPr>
          <w:p w14:paraId="25B591EC">
            <w:pPr>
              <w:adjustRightInd w:val="0"/>
              <w:snapToGrid w:val="0"/>
              <w:spacing w:line="240" w:lineRule="auto"/>
              <w:jc w:val="center"/>
              <w:rPr>
                <w:sz w:val="21"/>
                <w:szCs w:val="21"/>
              </w:rPr>
            </w:pPr>
          </w:p>
        </w:tc>
      </w:tr>
      <w:tr w14:paraId="2914A50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jc w:val="center"/>
        </w:trPr>
        <w:tc>
          <w:tcPr>
            <w:tcW w:w="491" w:type="dxa"/>
            <w:vMerge w:val="continue"/>
            <w:vAlign w:val="center"/>
          </w:tcPr>
          <w:p w14:paraId="3958A406">
            <w:pPr>
              <w:adjustRightInd w:val="0"/>
              <w:snapToGrid w:val="0"/>
              <w:spacing w:line="240" w:lineRule="auto"/>
              <w:jc w:val="center"/>
              <w:rPr>
                <w:sz w:val="21"/>
                <w:szCs w:val="21"/>
              </w:rPr>
            </w:pPr>
          </w:p>
        </w:tc>
        <w:tc>
          <w:tcPr>
            <w:tcW w:w="2022" w:type="dxa"/>
            <w:gridSpan w:val="2"/>
            <w:vAlign w:val="center"/>
          </w:tcPr>
          <w:p w14:paraId="2B09F623">
            <w:pPr>
              <w:adjustRightInd w:val="0"/>
              <w:snapToGrid w:val="0"/>
              <w:spacing w:line="240" w:lineRule="auto"/>
              <w:jc w:val="center"/>
              <w:rPr>
                <w:sz w:val="21"/>
                <w:szCs w:val="21"/>
              </w:rPr>
            </w:pPr>
            <w:r>
              <w:rPr>
                <w:sz w:val="21"/>
                <w:szCs w:val="21"/>
              </w:rPr>
              <w:t>水</w:t>
            </w:r>
          </w:p>
        </w:tc>
        <w:tc>
          <w:tcPr>
            <w:tcW w:w="1218" w:type="dxa"/>
            <w:tcBorders>
              <w:left w:val="single" w:color="000000" w:sz="8" w:space="0"/>
              <w:right w:val="single" w:color="auto" w:sz="4" w:space="0"/>
            </w:tcBorders>
            <w:vAlign w:val="center"/>
          </w:tcPr>
          <w:p w14:paraId="4E39909C">
            <w:pPr>
              <w:adjustRightInd w:val="0"/>
              <w:snapToGrid w:val="0"/>
              <w:spacing w:line="240" w:lineRule="auto"/>
              <w:jc w:val="center"/>
              <w:rPr>
                <w:sz w:val="21"/>
                <w:szCs w:val="21"/>
              </w:rPr>
            </w:pPr>
            <w:r>
              <w:rPr>
                <w:sz w:val="21"/>
                <w:szCs w:val="21"/>
              </w:rPr>
              <w:t>6480t/a</w:t>
            </w:r>
          </w:p>
        </w:tc>
        <w:tc>
          <w:tcPr>
            <w:tcW w:w="2836" w:type="dxa"/>
            <w:tcBorders>
              <w:left w:val="single" w:color="auto" w:sz="4" w:space="0"/>
            </w:tcBorders>
            <w:vAlign w:val="center"/>
          </w:tcPr>
          <w:p w14:paraId="3E0B7765">
            <w:pPr>
              <w:adjustRightInd w:val="0"/>
              <w:snapToGrid w:val="0"/>
              <w:spacing w:line="240" w:lineRule="auto"/>
              <w:jc w:val="center"/>
              <w:rPr>
                <w:sz w:val="21"/>
                <w:szCs w:val="21"/>
              </w:rPr>
            </w:pPr>
          </w:p>
        </w:tc>
      </w:tr>
    </w:tbl>
    <w:p w14:paraId="37ECC1E1">
      <w:pPr>
        <w:pStyle w:val="5"/>
        <w:numPr>
          <w:ilvl w:val="3"/>
          <w:numId w:val="0"/>
        </w:numPr>
        <w:ind w:left="1993" w:leftChars="0" w:hanging="1993" w:hangingChars="827"/>
        <w:rPr>
          <w:rFonts w:ascii="Times New Roman" w:hAnsi="Times New Roman"/>
        </w:rPr>
      </w:pPr>
      <w:r>
        <w:rPr>
          <w:rFonts w:hint="default" w:ascii="宋体" w:hAnsi="宋体" w:eastAsia="宋体" w:cs="宋体"/>
          <w:b/>
          <w:bCs/>
          <w:kern w:val="2"/>
          <w:sz w:val="24"/>
          <w:szCs w:val="24"/>
          <w:lang w:val="en-US" w:eastAsia="zh-CN" w:bidi="ar-SA"/>
        </w:rPr>
        <w:t>3.1.2.3</w:t>
      </w:r>
      <w:r>
        <w:rPr>
          <w:rFonts w:hint="eastAsia" w:ascii="Times New Roman" w:hAnsi="Times New Roman"/>
        </w:rPr>
        <w:t>已建工程生产厂区总平面布局</w:t>
      </w:r>
    </w:p>
    <w:p w14:paraId="001B0896">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工程位于湘潭天易经济开发区海鸥路以北、丁香路以西，中心地理坐标为：N27.460443°，E112.572879°。厂区用地近似矩形，出入口设置在东侧和南侧，东侧为车间</w:t>
      </w:r>
      <w:r>
        <w:rPr>
          <w:rFonts w:hint="eastAsia" w:ascii="Times New Roman" w:hAnsi="Times New Roman" w:cs="Times New Roman"/>
          <w:kern w:val="2"/>
          <w:sz w:val="24"/>
        </w:rPr>
        <w:t>一</w:t>
      </w:r>
      <w:r>
        <w:rPr>
          <w:rFonts w:ascii="Times New Roman" w:hAnsi="Times New Roman" w:cs="Times New Roman"/>
          <w:kern w:val="2"/>
          <w:sz w:val="24"/>
        </w:rPr>
        <w:t>（仓库），南侧为车间二（制袋区），中间为车间三（印刷、复合区</w:t>
      </w:r>
      <w:r>
        <w:rPr>
          <w:rFonts w:hint="eastAsia" w:ascii="Times New Roman" w:hAnsi="Times New Roman" w:cs="Times New Roman"/>
          <w:kern w:val="2"/>
          <w:sz w:val="24"/>
        </w:rPr>
        <w:t>，催化燃烧措施及印刷区处理措施碱液喷淋装此车间</w:t>
      </w:r>
      <w:r>
        <w:rPr>
          <w:rFonts w:ascii="Times New Roman" w:hAnsi="Times New Roman" w:cs="Times New Roman"/>
          <w:kern w:val="2"/>
          <w:sz w:val="24"/>
        </w:rPr>
        <w:t>），北侧为</w:t>
      </w:r>
      <w:r>
        <w:rPr>
          <w:rFonts w:hint="eastAsia" w:ascii="Times New Roman" w:hAnsi="Times New Roman" w:cs="Times New Roman"/>
          <w:kern w:val="2"/>
          <w:sz w:val="24"/>
        </w:rPr>
        <w:t>车间四</w:t>
      </w:r>
      <w:r>
        <w:rPr>
          <w:rFonts w:ascii="Times New Roman" w:hAnsi="Times New Roman" w:cs="Times New Roman"/>
          <w:kern w:val="2"/>
          <w:sz w:val="24"/>
        </w:rPr>
        <w:t>（</w:t>
      </w:r>
      <w:r>
        <w:rPr>
          <w:rFonts w:hint="eastAsia" w:ascii="Times New Roman" w:hAnsi="Times New Roman" w:cs="Times New Roman"/>
          <w:kern w:val="2"/>
          <w:sz w:val="24"/>
        </w:rPr>
        <w:t>备用车间，危废间及复合区处理措施碱液喷淋装其屋顶</w:t>
      </w:r>
      <w:r>
        <w:rPr>
          <w:rFonts w:ascii="Times New Roman" w:hAnsi="Times New Roman" w:cs="Times New Roman"/>
          <w:kern w:val="2"/>
          <w:sz w:val="24"/>
        </w:rPr>
        <w:t>）</w:t>
      </w:r>
      <w:r>
        <w:rPr>
          <w:rFonts w:hint="eastAsia" w:ascii="Times New Roman" w:hAnsi="Times New Roman" w:cs="Times New Roman"/>
          <w:kern w:val="2"/>
          <w:sz w:val="24"/>
        </w:rPr>
        <w:t>，车间四东侧危化品仓库</w:t>
      </w:r>
      <w:r>
        <w:rPr>
          <w:rFonts w:ascii="Times New Roman" w:hAnsi="Times New Roman" w:cs="Times New Roman"/>
          <w:kern w:val="2"/>
          <w:sz w:val="24"/>
        </w:rPr>
        <w:t>。</w:t>
      </w:r>
    </w:p>
    <w:p w14:paraId="7E82A222">
      <w:pPr>
        <w:pStyle w:val="25"/>
        <w:ind w:left="0" w:leftChars="0"/>
      </w:pPr>
      <w:r>
        <w:drawing>
          <wp:inline distT="0" distB="0" distL="114300" distR="114300">
            <wp:extent cx="5247005" cy="4261485"/>
            <wp:effectExtent l="0" t="0" r="10795" b="5715"/>
            <wp:docPr id="8" name="图片 8"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平面布置图"/>
                    <pic:cNvPicPr>
                      <a:picLocks noChangeAspect="1"/>
                    </pic:cNvPicPr>
                  </pic:nvPicPr>
                  <pic:blipFill>
                    <a:blip r:embed="rId20"/>
                    <a:stretch>
                      <a:fillRect/>
                    </a:stretch>
                  </pic:blipFill>
                  <pic:spPr>
                    <a:xfrm>
                      <a:off x="0" y="0"/>
                      <a:ext cx="5247005" cy="4261485"/>
                    </a:xfrm>
                    <a:prstGeom prst="rect">
                      <a:avLst/>
                    </a:prstGeom>
                  </pic:spPr>
                </pic:pic>
              </a:graphicData>
            </a:graphic>
          </wp:inline>
        </w:drawing>
      </w:r>
    </w:p>
    <w:p w14:paraId="6666F8E6">
      <w:pPr>
        <w:pStyle w:val="45"/>
        <w:numPr>
          <w:ilvl w:val="6"/>
          <w:numId w:val="0"/>
        </w:numPr>
        <w:spacing w:before="156"/>
        <w:ind w:left="6096" w:leftChars="0" w:hanging="5245" w:firstLineChars="0"/>
        <w:rPr>
          <w:color w:val="auto"/>
        </w:rPr>
      </w:pPr>
      <w:r>
        <w:rPr>
          <w:rFonts w:hint="default" w:ascii="宋体" w:hAnsi="宋体" w:eastAsia="宋体" w:cs="宋体"/>
          <w:b/>
          <w:bCs/>
          <w:color w:val="auto"/>
          <w:kern w:val="2"/>
          <w:sz w:val="21"/>
          <w:szCs w:val="21"/>
          <w:lang w:val="en-US" w:eastAsia="zh-CN" w:bidi="ar-SA"/>
        </w:rPr>
        <w:t xml:space="preserve">图3.1-1 </w:t>
      </w:r>
      <w:r>
        <w:rPr>
          <w:rFonts w:hint="eastAsia"/>
          <w:color w:val="auto"/>
        </w:rPr>
        <w:t xml:space="preserve"> 现有工程厂区布置图</w:t>
      </w:r>
    </w:p>
    <w:p w14:paraId="4DE564AF">
      <w:pPr>
        <w:ind w:firstLine="480"/>
      </w:pPr>
    </w:p>
    <w:p w14:paraId="5628BEE0">
      <w:pPr>
        <w:ind w:firstLine="480"/>
      </w:pPr>
      <w:r>
        <w:t>已建工程厂区</w:t>
      </w:r>
      <w:r>
        <w:rPr>
          <w:rFonts w:hint="eastAsia"/>
        </w:rPr>
        <w:t>现状如下：</w:t>
      </w:r>
    </w:p>
    <w:tbl>
      <w:tblPr>
        <w:tblStyle w:val="31"/>
        <w:tblpPr w:leftFromText="180" w:rightFromText="180" w:vertAnchor="text" w:horzAnchor="page" w:tblpXSpec="center" w:tblpY="31"/>
        <w:tblOverlap w:val="never"/>
        <w:tblW w:w="5000" w:type="pct"/>
        <w:jc w:val="center"/>
        <w:tblLayout w:type="fixed"/>
        <w:tblCellMar>
          <w:top w:w="0" w:type="dxa"/>
          <w:left w:w="108" w:type="dxa"/>
          <w:bottom w:w="0" w:type="dxa"/>
          <w:right w:w="108" w:type="dxa"/>
        </w:tblCellMar>
      </w:tblPr>
      <w:tblGrid>
        <w:gridCol w:w="4259"/>
        <w:gridCol w:w="121"/>
        <w:gridCol w:w="4111"/>
        <w:gridCol w:w="31"/>
      </w:tblGrid>
      <w:tr w14:paraId="4E976AC4">
        <w:tblPrEx>
          <w:tblCellMar>
            <w:top w:w="0" w:type="dxa"/>
            <w:left w:w="108" w:type="dxa"/>
            <w:bottom w:w="0" w:type="dxa"/>
            <w:right w:w="108" w:type="dxa"/>
          </w:tblCellMar>
        </w:tblPrEx>
        <w:trPr>
          <w:cantSplit/>
          <w:trHeight w:val="3792" w:hRule="atLeast"/>
          <w:jc w:val="center"/>
        </w:trPr>
        <w:tc>
          <w:tcPr>
            <w:tcW w:w="2569" w:type="pct"/>
            <w:gridSpan w:val="2"/>
          </w:tcPr>
          <w:p w14:paraId="01BC788D">
            <w:pPr>
              <w:pStyle w:val="29"/>
              <w:adjustRightInd w:val="0"/>
              <w:snapToGrid w:val="0"/>
              <w:ind w:left="0" w:firstLine="0" w:firstLineChars="0"/>
              <w:jc w:val="center"/>
              <w:rPr>
                <w:rFonts w:ascii="Times New Roman" w:hAnsi="Times New Roman" w:cs="Times New Roman"/>
                <w:lang w:val="en-US"/>
              </w:rPr>
            </w:pPr>
            <w:bookmarkStart w:id="72" w:name="_Toc14446"/>
            <w:bookmarkStart w:id="73" w:name="_Toc3612"/>
            <w:bookmarkStart w:id="74" w:name="_Toc16948"/>
            <w:r>
              <w:rPr>
                <w:rFonts w:ascii="Times New Roman" w:hAnsi="Times New Roman" w:cs="Times New Roman"/>
                <w:lang w:val="en-US" w:bidi="ar-SA"/>
              </w:rPr>
              <w:drawing>
                <wp:inline distT="0" distB="0" distL="114300" distR="114300">
                  <wp:extent cx="2555240" cy="2178050"/>
                  <wp:effectExtent l="0" t="0" r="16510" b="12700"/>
                  <wp:docPr id="112" name="图片 40" descr="微信图片_2018012514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0" descr="微信图片_20180125144641"/>
                          <pic:cNvPicPr>
                            <a:picLocks noChangeAspect="1"/>
                          </pic:cNvPicPr>
                        </pic:nvPicPr>
                        <pic:blipFill>
                          <a:blip r:embed="rId21"/>
                          <a:stretch>
                            <a:fillRect/>
                          </a:stretch>
                        </pic:blipFill>
                        <pic:spPr>
                          <a:xfrm>
                            <a:off x="0" y="0"/>
                            <a:ext cx="2555240" cy="2178050"/>
                          </a:xfrm>
                          <a:prstGeom prst="rect">
                            <a:avLst/>
                          </a:prstGeom>
                          <a:noFill/>
                          <a:ln>
                            <a:noFill/>
                          </a:ln>
                        </pic:spPr>
                      </pic:pic>
                    </a:graphicData>
                  </a:graphic>
                </wp:inline>
              </w:drawing>
            </w:r>
          </w:p>
          <w:p w14:paraId="5B383DAF">
            <w:pPr>
              <w:pStyle w:val="29"/>
              <w:adjustRightInd w:val="0"/>
              <w:snapToGrid w:val="0"/>
              <w:ind w:left="0" w:firstLine="0" w:firstLineChars="0"/>
              <w:jc w:val="center"/>
              <w:rPr>
                <w:rFonts w:ascii="Times New Roman" w:hAnsi="Times New Roman" w:cs="Times New Roman"/>
                <w:lang w:val="en-US"/>
              </w:rPr>
            </w:pPr>
            <w:r>
              <w:rPr>
                <w:rFonts w:ascii="Times New Roman" w:hAnsi="Times New Roman" w:cs="Times New Roman"/>
                <w:sz w:val="21"/>
                <w:szCs w:val="21"/>
                <w:lang w:val="en-US"/>
              </w:rPr>
              <w:t>印刷</w:t>
            </w:r>
            <w:bookmarkEnd w:id="72"/>
            <w:bookmarkEnd w:id="73"/>
            <w:bookmarkEnd w:id="74"/>
            <w:r>
              <w:rPr>
                <w:rFonts w:hint="eastAsia" w:ascii="Times New Roman" w:hAnsi="Times New Roman" w:cs="Times New Roman"/>
                <w:sz w:val="21"/>
                <w:szCs w:val="21"/>
                <w:lang w:val="en-US"/>
              </w:rPr>
              <w:t>区</w:t>
            </w:r>
          </w:p>
        </w:tc>
        <w:tc>
          <w:tcPr>
            <w:tcW w:w="2430" w:type="pct"/>
            <w:gridSpan w:val="2"/>
          </w:tcPr>
          <w:p w14:paraId="67B8A9E1">
            <w:pPr>
              <w:pStyle w:val="29"/>
              <w:adjustRightInd w:val="0"/>
              <w:snapToGrid w:val="0"/>
              <w:ind w:left="0" w:firstLine="0" w:firstLineChars="0"/>
              <w:jc w:val="center"/>
              <w:rPr>
                <w:rFonts w:ascii="Times New Roman" w:hAnsi="Times New Roman" w:cs="Times New Roman"/>
                <w:lang w:val="en-US"/>
              </w:rPr>
            </w:pPr>
            <w:r>
              <w:rPr>
                <w:lang w:val="en-US" w:bidi="ar-SA"/>
              </w:rPr>
              <w:drawing>
                <wp:inline distT="0" distB="0" distL="114300" distR="114300">
                  <wp:extent cx="2473960" cy="2180590"/>
                  <wp:effectExtent l="0" t="0" r="2540" b="10160"/>
                  <wp:docPr id="9" name="图片 39" descr="IMG_20210826_0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9" descr="IMG_20210826_094200"/>
                          <pic:cNvPicPr>
                            <a:picLocks noChangeAspect="1"/>
                          </pic:cNvPicPr>
                        </pic:nvPicPr>
                        <pic:blipFill>
                          <a:blip r:embed="rId22"/>
                          <a:stretch>
                            <a:fillRect/>
                          </a:stretch>
                        </pic:blipFill>
                        <pic:spPr>
                          <a:xfrm>
                            <a:off x="0" y="0"/>
                            <a:ext cx="2473960" cy="2180590"/>
                          </a:xfrm>
                          <a:prstGeom prst="rect">
                            <a:avLst/>
                          </a:prstGeom>
                          <a:noFill/>
                          <a:ln>
                            <a:noFill/>
                          </a:ln>
                        </pic:spPr>
                      </pic:pic>
                    </a:graphicData>
                  </a:graphic>
                </wp:inline>
              </w:drawing>
            </w:r>
          </w:p>
          <w:p w14:paraId="6A244581">
            <w:pPr>
              <w:pStyle w:val="29"/>
              <w:adjustRightInd w:val="0"/>
              <w:snapToGrid w:val="0"/>
              <w:ind w:left="0" w:firstLine="0" w:firstLineChars="0"/>
              <w:jc w:val="center"/>
              <w:rPr>
                <w:rFonts w:ascii="Times New Roman" w:hAnsi="Times New Roman" w:cs="Times New Roman"/>
                <w:lang w:val="en-US"/>
              </w:rPr>
            </w:pPr>
            <w:r>
              <w:rPr>
                <w:rFonts w:hint="eastAsia" w:ascii="Times New Roman" w:hAnsi="Times New Roman" w:cs="Times New Roman"/>
                <w:sz w:val="21"/>
                <w:szCs w:val="21"/>
                <w:lang w:val="en-US"/>
              </w:rPr>
              <w:t>车间三</w:t>
            </w:r>
            <w:r>
              <w:rPr>
                <w:rFonts w:ascii="Times New Roman" w:hAnsi="Times New Roman" w:cs="Times New Roman"/>
                <w:sz w:val="21"/>
                <w:szCs w:val="21"/>
                <w:lang w:val="en-US"/>
              </w:rPr>
              <w:t>自动配墨房</w:t>
            </w:r>
          </w:p>
        </w:tc>
      </w:tr>
      <w:tr w14:paraId="28094B45">
        <w:tblPrEx>
          <w:tblCellMar>
            <w:top w:w="0" w:type="dxa"/>
            <w:left w:w="108" w:type="dxa"/>
            <w:bottom w:w="0" w:type="dxa"/>
            <w:right w:w="108" w:type="dxa"/>
          </w:tblCellMar>
        </w:tblPrEx>
        <w:trPr>
          <w:gridAfter w:val="1"/>
          <w:wAfter w:w="18" w:type="pct"/>
          <w:cantSplit/>
          <w:trHeight w:val="3582" w:hRule="atLeast"/>
          <w:jc w:val="center"/>
        </w:trPr>
        <w:tc>
          <w:tcPr>
            <w:tcW w:w="2498" w:type="pct"/>
          </w:tcPr>
          <w:p w14:paraId="4D0A2DB0">
            <w:pPr>
              <w:pStyle w:val="29"/>
              <w:adjustRightInd w:val="0"/>
              <w:snapToGrid w:val="0"/>
              <w:ind w:left="0" w:firstLine="0" w:firstLineChars="0"/>
              <w:rPr>
                <w:rFonts w:ascii="Times New Roman" w:hAnsi="Times New Roman" w:cs="Times New Roman"/>
                <w:lang w:val="en-US"/>
              </w:rPr>
            </w:pPr>
            <w:bookmarkStart w:id="75" w:name="_Toc29684"/>
            <w:r>
              <w:rPr>
                <w:rFonts w:ascii="Times New Roman" w:hAnsi="Times New Roman" w:cs="Times New Roman"/>
                <w:lang w:val="en-US" w:bidi="ar-SA"/>
              </w:rPr>
              <w:drawing>
                <wp:inline distT="0" distB="0" distL="114300" distR="114300">
                  <wp:extent cx="2513330" cy="2070735"/>
                  <wp:effectExtent l="0" t="0" r="1270" b="5715"/>
                  <wp:docPr id="114" name="图片 42" descr="19e2afdbdeb70d8edde1bf05cf83d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2" descr="19e2afdbdeb70d8edde1bf05cf83dbf"/>
                          <pic:cNvPicPr>
                            <a:picLocks noChangeAspect="1"/>
                          </pic:cNvPicPr>
                        </pic:nvPicPr>
                        <pic:blipFill>
                          <a:blip r:embed="rId23"/>
                          <a:stretch>
                            <a:fillRect/>
                          </a:stretch>
                        </pic:blipFill>
                        <pic:spPr>
                          <a:xfrm>
                            <a:off x="0" y="0"/>
                            <a:ext cx="2513330" cy="2070735"/>
                          </a:xfrm>
                          <a:prstGeom prst="rect">
                            <a:avLst/>
                          </a:prstGeom>
                          <a:noFill/>
                          <a:ln>
                            <a:noFill/>
                          </a:ln>
                        </pic:spPr>
                      </pic:pic>
                    </a:graphicData>
                  </a:graphic>
                </wp:inline>
              </w:drawing>
            </w:r>
            <w:bookmarkStart w:id="76" w:name="_Toc30434"/>
            <w:bookmarkStart w:id="77" w:name="_Toc27247"/>
          </w:p>
          <w:p w14:paraId="0AD765D1">
            <w:pPr>
              <w:pStyle w:val="29"/>
              <w:adjustRightInd w:val="0"/>
              <w:snapToGrid w:val="0"/>
              <w:ind w:left="0" w:firstLine="0" w:firstLineChars="0"/>
              <w:jc w:val="center"/>
              <w:rPr>
                <w:rFonts w:ascii="Times New Roman" w:hAnsi="Times New Roman" w:cs="Times New Roman"/>
                <w:lang w:val="en-US"/>
              </w:rPr>
            </w:pPr>
            <w:r>
              <w:rPr>
                <w:rFonts w:ascii="Times New Roman" w:hAnsi="Times New Roman" w:cs="Times New Roman"/>
                <w:sz w:val="21"/>
                <w:szCs w:val="21"/>
                <w:lang w:val="en-US"/>
              </w:rPr>
              <w:t>复合</w:t>
            </w:r>
            <w:bookmarkEnd w:id="75"/>
            <w:bookmarkEnd w:id="76"/>
            <w:bookmarkEnd w:id="77"/>
            <w:r>
              <w:rPr>
                <w:rFonts w:hint="eastAsia" w:ascii="Times New Roman" w:hAnsi="Times New Roman" w:cs="Times New Roman"/>
                <w:sz w:val="21"/>
                <w:szCs w:val="21"/>
                <w:lang w:val="en-US"/>
              </w:rPr>
              <w:t>区</w:t>
            </w:r>
          </w:p>
        </w:tc>
        <w:tc>
          <w:tcPr>
            <w:tcW w:w="2482" w:type="pct"/>
            <w:gridSpan w:val="2"/>
          </w:tcPr>
          <w:p w14:paraId="63EB034A">
            <w:pPr>
              <w:pStyle w:val="29"/>
              <w:adjustRightInd w:val="0"/>
              <w:snapToGrid w:val="0"/>
              <w:ind w:left="0" w:firstLine="0" w:firstLineChars="0"/>
              <w:jc w:val="center"/>
              <w:rPr>
                <w:rFonts w:ascii="Times New Roman" w:hAnsi="Times New Roman" w:cs="Times New Roman"/>
                <w:lang w:val="en-US"/>
              </w:rPr>
            </w:pPr>
            <w:bookmarkStart w:id="78" w:name="_Toc1118"/>
            <w:bookmarkStart w:id="79" w:name="_Toc23480"/>
            <w:r>
              <w:rPr>
                <w:rFonts w:ascii="Times New Roman" w:hAnsi="Times New Roman" w:cs="Times New Roman"/>
                <w:lang w:val="en-US" w:bidi="ar-SA"/>
              </w:rPr>
              <w:drawing>
                <wp:inline distT="0" distB="0" distL="114300" distR="114300">
                  <wp:extent cx="2472690" cy="2030095"/>
                  <wp:effectExtent l="0" t="0" r="3810" b="8255"/>
                  <wp:docPr id="115" name="图片 43" descr="1bccf074d6b9c55268d7baab5fae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3" descr="1bccf074d6b9c55268d7baab5fae417"/>
                          <pic:cNvPicPr>
                            <a:picLocks noChangeAspect="1"/>
                          </pic:cNvPicPr>
                        </pic:nvPicPr>
                        <pic:blipFill>
                          <a:blip r:embed="rId24"/>
                          <a:stretch>
                            <a:fillRect/>
                          </a:stretch>
                        </pic:blipFill>
                        <pic:spPr>
                          <a:xfrm>
                            <a:off x="0" y="0"/>
                            <a:ext cx="2473829" cy="2031365"/>
                          </a:xfrm>
                          <a:prstGeom prst="rect">
                            <a:avLst/>
                          </a:prstGeom>
                          <a:noFill/>
                          <a:ln>
                            <a:noFill/>
                          </a:ln>
                        </pic:spPr>
                      </pic:pic>
                    </a:graphicData>
                  </a:graphic>
                </wp:inline>
              </w:drawing>
            </w:r>
          </w:p>
          <w:p w14:paraId="4C6BFE50">
            <w:pPr>
              <w:pStyle w:val="29"/>
              <w:adjustRightInd w:val="0"/>
              <w:snapToGrid w:val="0"/>
              <w:ind w:left="0" w:firstLine="0" w:firstLineChars="0"/>
              <w:jc w:val="center"/>
              <w:rPr>
                <w:rFonts w:ascii="Times New Roman" w:hAnsi="Times New Roman" w:cs="Times New Roman"/>
                <w:lang w:val="en-US"/>
              </w:rPr>
            </w:pPr>
            <w:r>
              <w:rPr>
                <w:rFonts w:hint="eastAsia" w:ascii="Times New Roman" w:hAnsi="Times New Roman" w:cs="Times New Roman"/>
                <w:sz w:val="21"/>
                <w:szCs w:val="21"/>
                <w:lang w:val="en-US"/>
              </w:rPr>
              <w:t>车间三</w:t>
            </w:r>
            <w:r>
              <w:rPr>
                <w:rFonts w:ascii="Times New Roman" w:hAnsi="Times New Roman" w:cs="Times New Roman"/>
                <w:sz w:val="21"/>
                <w:szCs w:val="21"/>
                <w:lang w:val="en-US"/>
              </w:rPr>
              <w:t>配胶房</w:t>
            </w:r>
            <w:bookmarkEnd w:id="78"/>
            <w:bookmarkEnd w:id="79"/>
          </w:p>
        </w:tc>
      </w:tr>
      <w:tr w14:paraId="0383384E">
        <w:tblPrEx>
          <w:tblCellMar>
            <w:top w:w="0" w:type="dxa"/>
            <w:left w:w="108" w:type="dxa"/>
            <w:bottom w:w="0" w:type="dxa"/>
            <w:right w:w="108" w:type="dxa"/>
          </w:tblCellMar>
        </w:tblPrEx>
        <w:trPr>
          <w:gridAfter w:val="1"/>
          <w:wAfter w:w="18" w:type="pct"/>
          <w:cantSplit/>
          <w:trHeight w:val="90" w:hRule="atLeast"/>
          <w:jc w:val="center"/>
        </w:trPr>
        <w:tc>
          <w:tcPr>
            <w:tcW w:w="2498" w:type="pct"/>
          </w:tcPr>
          <w:p w14:paraId="10665C01">
            <w:pPr>
              <w:pStyle w:val="29"/>
              <w:adjustRightInd w:val="0"/>
              <w:snapToGrid w:val="0"/>
              <w:ind w:left="0" w:firstLine="0" w:firstLineChars="0"/>
              <w:rPr>
                <w:rFonts w:ascii="Times New Roman" w:hAnsi="Times New Roman" w:cs="Times New Roman"/>
                <w:lang w:val="en-US"/>
              </w:rPr>
            </w:pPr>
            <w:bookmarkStart w:id="80" w:name="_Toc15525"/>
            <w:bookmarkStart w:id="81" w:name="_Toc30061"/>
            <w:bookmarkStart w:id="82" w:name="_Toc23062"/>
            <w:r>
              <w:rPr>
                <w:rFonts w:ascii="Times New Roman" w:hAnsi="Times New Roman" w:cs="Times New Roman"/>
                <w:lang w:val="en-US" w:bidi="ar-SA"/>
              </w:rPr>
              <w:drawing>
                <wp:inline distT="0" distB="0" distL="114300" distR="114300">
                  <wp:extent cx="2547620" cy="2258695"/>
                  <wp:effectExtent l="0" t="0" r="5080" b="8255"/>
                  <wp:docPr id="116" name="图片 44" descr="微信图片_2018012514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4" descr="微信图片_20180125144708"/>
                          <pic:cNvPicPr>
                            <a:picLocks noChangeAspect="1"/>
                          </pic:cNvPicPr>
                        </pic:nvPicPr>
                        <pic:blipFill>
                          <a:blip r:embed="rId25"/>
                          <a:stretch>
                            <a:fillRect/>
                          </a:stretch>
                        </pic:blipFill>
                        <pic:spPr>
                          <a:xfrm>
                            <a:off x="0" y="0"/>
                            <a:ext cx="2547620" cy="2258695"/>
                          </a:xfrm>
                          <a:prstGeom prst="rect">
                            <a:avLst/>
                          </a:prstGeom>
                          <a:noFill/>
                          <a:ln>
                            <a:noFill/>
                          </a:ln>
                        </pic:spPr>
                      </pic:pic>
                    </a:graphicData>
                  </a:graphic>
                </wp:inline>
              </w:drawing>
            </w:r>
            <w:bookmarkEnd w:id="80"/>
            <w:bookmarkEnd w:id="81"/>
            <w:bookmarkEnd w:id="82"/>
          </w:p>
          <w:p w14:paraId="0F4EC30D">
            <w:pPr>
              <w:pStyle w:val="29"/>
              <w:adjustRightInd w:val="0"/>
              <w:snapToGrid w:val="0"/>
              <w:spacing w:line="320" w:lineRule="exact"/>
              <w:ind w:firstLine="630" w:firstLineChars="300"/>
              <w:rPr>
                <w:rFonts w:ascii="Times New Roman" w:hAnsi="Times New Roman" w:cs="Times New Roman"/>
                <w:lang w:val="en-US"/>
              </w:rPr>
            </w:pPr>
            <w:r>
              <w:rPr>
                <w:rFonts w:ascii="Times New Roman" w:hAnsi="Times New Roman" w:cs="Times New Roman"/>
                <w:sz w:val="21"/>
                <w:szCs w:val="21"/>
                <w:lang w:val="en-US"/>
              </w:rPr>
              <w:t>复合熟化房</w:t>
            </w:r>
          </w:p>
        </w:tc>
        <w:tc>
          <w:tcPr>
            <w:tcW w:w="2482" w:type="pct"/>
            <w:gridSpan w:val="2"/>
          </w:tcPr>
          <w:p w14:paraId="2B7C4051">
            <w:pPr>
              <w:pStyle w:val="29"/>
              <w:adjustRightInd w:val="0"/>
              <w:snapToGrid w:val="0"/>
              <w:ind w:left="0" w:firstLine="0" w:firstLineChars="0"/>
              <w:rPr>
                <w:rFonts w:ascii="Times New Roman" w:hAnsi="Times New Roman" w:cs="Times New Roman"/>
                <w:lang w:val="en-US"/>
              </w:rPr>
            </w:pPr>
            <w:bookmarkStart w:id="83" w:name="_Toc21888"/>
            <w:bookmarkStart w:id="84" w:name="_Toc27259"/>
            <w:bookmarkStart w:id="85" w:name="_Toc17614"/>
            <w:r>
              <w:rPr>
                <w:rFonts w:ascii="Times New Roman" w:hAnsi="Times New Roman" w:cs="Times New Roman"/>
                <w:lang w:val="en-US" w:bidi="ar-SA"/>
              </w:rPr>
              <w:drawing>
                <wp:inline distT="0" distB="0" distL="114300" distR="114300">
                  <wp:extent cx="2545715" cy="2235835"/>
                  <wp:effectExtent l="0" t="0" r="6985" b="12065"/>
                  <wp:docPr id="117" name="图片 45" descr="微信图片_2018012514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5" descr="微信图片_20180125144720"/>
                          <pic:cNvPicPr>
                            <a:picLocks noChangeAspect="1"/>
                          </pic:cNvPicPr>
                        </pic:nvPicPr>
                        <pic:blipFill>
                          <a:blip r:embed="rId26"/>
                          <a:stretch>
                            <a:fillRect/>
                          </a:stretch>
                        </pic:blipFill>
                        <pic:spPr>
                          <a:xfrm>
                            <a:off x="0" y="0"/>
                            <a:ext cx="2545715" cy="2235835"/>
                          </a:xfrm>
                          <a:prstGeom prst="rect">
                            <a:avLst/>
                          </a:prstGeom>
                          <a:noFill/>
                          <a:ln>
                            <a:noFill/>
                          </a:ln>
                        </pic:spPr>
                      </pic:pic>
                    </a:graphicData>
                  </a:graphic>
                </wp:inline>
              </w:drawing>
            </w:r>
            <w:bookmarkEnd w:id="83"/>
            <w:bookmarkEnd w:id="84"/>
            <w:bookmarkEnd w:id="85"/>
          </w:p>
          <w:p w14:paraId="6309FF57">
            <w:pPr>
              <w:pStyle w:val="29"/>
              <w:adjustRightInd w:val="0"/>
              <w:snapToGrid w:val="0"/>
              <w:ind w:firstLine="840" w:firstLineChars="400"/>
              <w:rPr>
                <w:rFonts w:ascii="Times New Roman" w:hAnsi="Times New Roman" w:cs="Times New Roman"/>
                <w:lang w:val="en-US"/>
              </w:rPr>
            </w:pPr>
            <w:r>
              <w:rPr>
                <w:rFonts w:ascii="Times New Roman" w:hAnsi="Times New Roman" w:cs="Times New Roman"/>
                <w:sz w:val="21"/>
                <w:szCs w:val="21"/>
                <w:lang w:val="en-US"/>
              </w:rPr>
              <w:t>制袋车间</w:t>
            </w:r>
          </w:p>
        </w:tc>
      </w:tr>
      <w:tr w14:paraId="694218FA">
        <w:tblPrEx>
          <w:tblCellMar>
            <w:top w:w="0" w:type="dxa"/>
            <w:left w:w="108" w:type="dxa"/>
            <w:bottom w:w="0" w:type="dxa"/>
            <w:right w:w="108" w:type="dxa"/>
          </w:tblCellMar>
        </w:tblPrEx>
        <w:trPr>
          <w:gridAfter w:val="1"/>
          <w:wAfter w:w="18" w:type="pct"/>
          <w:cantSplit/>
          <w:trHeight w:val="90" w:hRule="atLeast"/>
          <w:jc w:val="center"/>
        </w:trPr>
        <w:tc>
          <w:tcPr>
            <w:tcW w:w="4981" w:type="pct"/>
            <w:gridSpan w:val="3"/>
          </w:tcPr>
          <w:tbl>
            <w:tblPr>
              <w:tblStyle w:val="31"/>
              <w:tblpPr w:leftFromText="180" w:rightFromText="180" w:vertAnchor="text" w:horzAnchor="page" w:tblpXSpec="center" w:tblpY="31"/>
              <w:tblOverlap w:val="never"/>
              <w:tblW w:w="4981" w:type="pct"/>
              <w:jc w:val="center"/>
              <w:tblLayout w:type="fixed"/>
              <w:tblCellMar>
                <w:top w:w="0" w:type="dxa"/>
                <w:left w:w="108" w:type="dxa"/>
                <w:bottom w:w="0" w:type="dxa"/>
                <w:right w:w="108" w:type="dxa"/>
              </w:tblCellMar>
            </w:tblPr>
            <w:tblGrid>
              <w:gridCol w:w="4135"/>
              <w:gridCol w:w="4109"/>
            </w:tblGrid>
            <w:tr w14:paraId="05EA3998">
              <w:tblPrEx>
                <w:tblCellMar>
                  <w:top w:w="0" w:type="dxa"/>
                  <w:left w:w="108" w:type="dxa"/>
                  <w:bottom w:w="0" w:type="dxa"/>
                  <w:right w:w="108" w:type="dxa"/>
                </w:tblCellMar>
              </w:tblPrEx>
              <w:trPr>
                <w:cantSplit/>
                <w:trHeight w:val="90" w:hRule="atLeast"/>
                <w:jc w:val="center"/>
              </w:trPr>
              <w:tc>
                <w:tcPr>
                  <w:tcW w:w="2507" w:type="pct"/>
                </w:tcPr>
                <w:p w14:paraId="58662949">
                  <w:pPr>
                    <w:pStyle w:val="29"/>
                    <w:adjustRightInd w:val="0"/>
                    <w:snapToGrid w:val="0"/>
                    <w:ind w:left="0" w:firstLine="0" w:firstLineChars="0"/>
                    <w:rPr>
                      <w:rFonts w:ascii="Times New Roman" w:hAnsi="Times New Roman" w:cs="Times New Roman"/>
                      <w:lang w:val="en-US"/>
                    </w:rPr>
                  </w:pPr>
                  <w:r>
                    <w:rPr>
                      <w:lang w:val="en-US" w:bidi="ar-SA"/>
                    </w:rPr>
                    <w:drawing>
                      <wp:inline distT="0" distB="0" distL="114300" distR="114300">
                        <wp:extent cx="2633345" cy="2388870"/>
                        <wp:effectExtent l="0" t="0" r="14605" b="11430"/>
                        <wp:docPr id="10" name="图片 40" descr="IMG_20210826_09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0" descr="IMG_20210826_091314"/>
                                <pic:cNvPicPr>
                                  <a:picLocks noChangeAspect="1"/>
                                </pic:cNvPicPr>
                              </pic:nvPicPr>
                              <pic:blipFill>
                                <a:blip r:embed="rId27"/>
                                <a:stretch>
                                  <a:fillRect/>
                                </a:stretch>
                              </pic:blipFill>
                              <pic:spPr>
                                <a:xfrm>
                                  <a:off x="0" y="0"/>
                                  <a:ext cx="2633345" cy="2388870"/>
                                </a:xfrm>
                                <a:prstGeom prst="rect">
                                  <a:avLst/>
                                </a:prstGeom>
                                <a:noFill/>
                                <a:ln>
                                  <a:noFill/>
                                </a:ln>
                              </pic:spPr>
                            </pic:pic>
                          </a:graphicData>
                        </a:graphic>
                      </wp:inline>
                    </w:drawing>
                  </w:r>
                  <w:r>
                    <w:rPr>
                      <w:rFonts w:hint="eastAsia"/>
                      <w:lang w:val="en-US" w:bidi="ar-SA"/>
                    </w:rPr>
                    <mc:AlternateContent>
                      <mc:Choice Requires="wps">
                        <w:drawing>
                          <wp:anchor distT="0" distB="0" distL="114300" distR="114300" simplePos="0" relativeHeight="251665408" behindDoc="0" locked="0" layoutInCell="1" allowOverlap="1">
                            <wp:simplePos x="0" y="0"/>
                            <wp:positionH relativeFrom="column">
                              <wp:posOffset>-13970</wp:posOffset>
                            </wp:positionH>
                            <wp:positionV relativeFrom="paragraph">
                              <wp:posOffset>504825</wp:posOffset>
                            </wp:positionV>
                            <wp:extent cx="2413000" cy="709295"/>
                            <wp:effectExtent l="0" t="0" r="0" b="0"/>
                            <wp:wrapNone/>
                            <wp:docPr id="15" name="矩形 7"/>
                            <wp:cNvGraphicFramePr/>
                            <a:graphic xmlns:a="http://schemas.openxmlformats.org/drawingml/2006/main">
                              <a:graphicData uri="http://schemas.microsoft.com/office/word/2010/wordprocessingShape">
                                <wps:wsp>
                                  <wps:cNvSpPr/>
                                  <wps:spPr>
                                    <a:xfrm>
                                      <a:off x="0" y="0"/>
                                      <a:ext cx="2413000" cy="709295"/>
                                    </a:xfrm>
                                    <a:prstGeom prst="rect">
                                      <a:avLst/>
                                    </a:prstGeom>
                                    <a:noFill/>
                                    <a:ln>
                                      <a:noFill/>
                                    </a:ln>
                                  </wps:spPr>
                                  <wps:txbx>
                                    <w:txbxContent>
                                      <w:p w14:paraId="1DF464FE">
                                        <w:pPr>
                                          <w:pStyle w:val="29"/>
                                          <w:ind w:firstLine="210"/>
                                          <w:rPr>
                                            <w:color w:val="FF0000"/>
                                            <w:sz w:val="21"/>
                                            <w:szCs w:val="21"/>
                                          </w:rPr>
                                        </w:pPr>
                                        <w:r>
                                          <w:rPr>
                                            <w:rFonts w:hint="eastAsia"/>
                                            <w:color w:val="FF0000"/>
                                            <w:sz w:val="21"/>
                                            <w:szCs w:val="21"/>
                                          </w:rPr>
                                          <w:t>2#处理设施（印刷区）及其排气筒</w:t>
                                        </w:r>
                                      </w:p>
                                    </w:txbxContent>
                                  </wps:txbx>
                                  <wps:bodyPr upright="1"/>
                                </wps:wsp>
                              </a:graphicData>
                            </a:graphic>
                          </wp:anchor>
                        </w:drawing>
                      </mc:Choice>
                      <mc:Fallback>
                        <w:pict>
                          <v:rect id="矩形 7" o:spid="_x0000_s1026" o:spt="1" style="position:absolute;left:0pt;margin-left:-1.1pt;margin-top:39.75pt;height:55.85pt;width:190pt;z-index:251665408;mso-width-relative:page;mso-height-relative:page;" filled="f" stroked="f" coordsize="21600,21600" o:gfxdata="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KKfFEfaAAAACQEAAA8A&#10;AAAAAAAAAQAgAAAAIgAAAGRycy9kb3ducmV2LnhtbFBLAQIUABQAAAAIAIdO4kA5XU4LowEAAEID&#10;AAAOAAAAAAAAAAEAIAAAACkBAABkcnMvZTJvRG9jLnhtbFBLBQYAAAAABgAGAFkBAAA+BQAAAAA=&#10;">
                            <v:fill on="f" focussize="0,0"/>
                            <v:stroke on="f"/>
                            <v:imagedata o:title=""/>
                            <o:lock v:ext="edit" aspectratio="f"/>
                            <v:textbox>
                              <w:txbxContent>
                                <w:p w14:paraId="1DF464FE">
                                  <w:pPr>
                                    <w:pStyle w:val="29"/>
                                    <w:ind w:firstLine="210"/>
                                    <w:rPr>
                                      <w:color w:val="FF0000"/>
                                      <w:sz w:val="21"/>
                                      <w:szCs w:val="21"/>
                                    </w:rPr>
                                  </w:pPr>
                                  <w:r>
                                    <w:rPr>
                                      <w:rFonts w:hint="eastAsia"/>
                                      <w:color w:val="FF0000"/>
                                      <w:sz w:val="21"/>
                                      <w:szCs w:val="21"/>
                                    </w:rPr>
                                    <w:t>2#处理设施（印刷区）及其排气筒</w:t>
                                  </w:r>
                                </w:p>
                              </w:txbxContent>
                            </v:textbox>
                          </v:rect>
                        </w:pict>
                      </mc:Fallback>
                    </mc:AlternateContent>
                  </w:r>
                </w:p>
                <w:p w14:paraId="2AF78335">
                  <w:pPr>
                    <w:jc w:val="center"/>
                  </w:pPr>
                  <w:r>
                    <w:rPr>
                      <w:rFonts w:hint="eastAsia"/>
                      <w:sz w:val="21"/>
                      <w:szCs w:val="21"/>
                    </w:rPr>
                    <w:t>印刷区碱液喷淋塔</w:t>
                  </w:r>
                </w:p>
              </w:tc>
              <w:tc>
                <w:tcPr>
                  <w:tcW w:w="2492" w:type="pct"/>
                </w:tcPr>
                <w:p w14:paraId="381B4308">
                  <w:pPr>
                    <w:pStyle w:val="29"/>
                    <w:adjustRightInd w:val="0"/>
                    <w:snapToGrid w:val="0"/>
                    <w:ind w:left="0" w:firstLine="0" w:firstLineChars="0"/>
                    <w:rPr>
                      <w:rFonts w:ascii="Times New Roman" w:hAnsi="Times New Roman" w:cs="Times New Roman"/>
                      <w:lang w:val="en-US"/>
                    </w:rPr>
                  </w:pPr>
                  <w:r>
                    <w:rPr>
                      <w:lang w:val="en-US" w:bidi="ar-SA"/>
                    </w:rPr>
                    <w:drawing>
                      <wp:inline distT="0" distB="0" distL="114300" distR="114300">
                        <wp:extent cx="2546985" cy="2398395"/>
                        <wp:effectExtent l="0" t="0" r="5715" b="1905"/>
                        <wp:docPr id="14" name="图片 41" descr="1630394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1" descr="1630394387(1)"/>
                                <pic:cNvPicPr>
                                  <a:picLocks noChangeAspect="1"/>
                                </pic:cNvPicPr>
                              </pic:nvPicPr>
                              <pic:blipFill>
                                <a:blip r:embed="rId28"/>
                                <a:stretch>
                                  <a:fillRect/>
                                </a:stretch>
                              </pic:blipFill>
                              <pic:spPr>
                                <a:xfrm rot="10800000" flipH="1" flipV="1">
                                  <a:off x="0" y="0"/>
                                  <a:ext cx="2546985" cy="2398395"/>
                                </a:xfrm>
                                <a:prstGeom prst="rect">
                                  <a:avLst/>
                                </a:prstGeom>
                                <a:noFill/>
                                <a:ln>
                                  <a:noFill/>
                                </a:ln>
                              </pic:spPr>
                            </pic:pic>
                          </a:graphicData>
                        </a:graphic>
                      </wp:inline>
                    </w:drawing>
                  </w:r>
                </w:p>
                <w:p w14:paraId="779E06C2">
                  <w:pPr>
                    <w:spacing w:line="240" w:lineRule="auto"/>
                  </w:pPr>
                  <w:r>
                    <w:rPr>
                      <w:rFonts w:hint="eastAsia"/>
                      <w:sz w:val="21"/>
                      <w:szCs w:val="21"/>
                    </w:rPr>
                    <w:t>1#处理设施排气筒及</w:t>
                  </w:r>
                  <w:r>
                    <w:rPr>
                      <w:sz w:val="21"/>
                      <w:szCs w:val="21"/>
                    </w:rPr>
                    <w:t>2#</w:t>
                  </w:r>
                  <w:r>
                    <w:rPr>
                      <w:rFonts w:hint="eastAsia"/>
                      <w:sz w:val="21"/>
                      <w:szCs w:val="21"/>
                    </w:rPr>
                    <w:t>处理设施复合区排气筒</w:t>
                  </w:r>
                </w:p>
              </w:tc>
            </w:tr>
          </w:tbl>
          <w:p w14:paraId="5EB8B36E">
            <w:pPr>
              <w:ind w:firstLine="480"/>
              <w:jc w:val="center"/>
              <w:rPr>
                <w:u w:val="single"/>
              </w:rPr>
            </w:pPr>
          </w:p>
        </w:tc>
      </w:tr>
    </w:tbl>
    <w:p w14:paraId="372ADC98">
      <w:pPr>
        <w:pStyle w:val="45"/>
        <w:numPr>
          <w:ilvl w:val="6"/>
          <w:numId w:val="0"/>
        </w:numPr>
        <w:spacing w:before="156"/>
        <w:ind w:left="6096" w:leftChars="0" w:hanging="5954" w:firstLineChars="0"/>
        <w:rPr>
          <w:color w:val="auto"/>
        </w:rPr>
      </w:pPr>
      <w:r>
        <w:rPr>
          <w:rFonts w:hint="default" w:ascii="宋体" w:hAnsi="宋体" w:eastAsia="宋体" w:cs="宋体"/>
          <w:b/>
          <w:bCs/>
          <w:color w:val="auto"/>
          <w:kern w:val="2"/>
          <w:sz w:val="21"/>
          <w:szCs w:val="21"/>
          <w:lang w:val="en-US" w:eastAsia="zh-CN" w:bidi="ar-SA"/>
        </w:rPr>
        <w:t xml:space="preserve">图3.1-2 </w:t>
      </w:r>
      <w:r>
        <w:rPr>
          <w:rFonts w:hint="eastAsia"/>
          <w:color w:val="auto"/>
        </w:rPr>
        <w:t xml:space="preserve"> 已建工程现状图</w:t>
      </w:r>
    </w:p>
    <w:p w14:paraId="2E447074">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3.1.2.4</w:t>
      </w:r>
      <w:r>
        <w:rPr>
          <w:rFonts w:hint="eastAsia" w:ascii="Times New Roman" w:hAnsi="Times New Roman"/>
        </w:rPr>
        <w:t>已建工程工艺流程</w:t>
      </w:r>
    </w:p>
    <w:p w14:paraId="73377646">
      <w:pPr>
        <w:pStyle w:val="9"/>
        <w:spacing w:line="360" w:lineRule="auto"/>
        <w:ind w:firstLine="480"/>
      </w:pPr>
      <w:r>
        <w:t>项目主要分为调墨、配胶、印刷、印刷烘箱、包装成型（复合烘箱熟化等）、分切、制袋工序，其基本工序及污染工艺流程如下图所示：</w:t>
      </w:r>
    </w:p>
    <w:p w14:paraId="1F994CA7">
      <w:pPr>
        <w:rPr>
          <w:u w:val="single"/>
        </w:rPr>
      </w:pPr>
      <w:r>
        <w:rPr>
          <w:u w:val="single"/>
        </w:rPr>
        <w:pict>
          <v:shape id="_x0000_s1071" o:spid="_x0000_s1071" o:spt="75" type="#_x0000_t75" style="position:absolute;left:0pt;margin-left:41.6pt;margin-top:10.7pt;height:286.05pt;width:342.35pt;mso-wrap-distance-bottom:0pt;mso-wrap-distance-left:9pt;mso-wrap-distance-right:9pt;mso-wrap-distance-top:0pt;z-index:251668480;mso-width-relative:page;mso-height-relative:page;" o:ole="t" filled="f" o:preferrelative="t" stroked="f" coordsize="21600,21600">
            <v:path/>
            <v:fill on="f" focussize="0,0"/>
            <v:stroke on="f" joinstyle="miter"/>
            <v:imagedata r:id="rId30" o:title=""/>
            <o:lock v:ext="edit" aspectratio="f"/>
            <w10:wrap type="square"/>
          </v:shape>
          <o:OLEObject Type="Embed" ProgID="Visio.Drawing.11" ShapeID="_x0000_s1071" DrawAspect="Content" ObjectID="_1468075726" r:id="rId29">
            <o:LockedField>false</o:LockedField>
          </o:OLEObject>
        </w:pict>
      </w:r>
    </w:p>
    <w:p w14:paraId="07F2D1F9">
      <w:pPr>
        <w:rPr>
          <w:u w:val="single"/>
        </w:rPr>
      </w:pPr>
    </w:p>
    <w:p w14:paraId="05E55F59">
      <w:pPr>
        <w:rPr>
          <w:u w:val="single"/>
        </w:rPr>
      </w:pPr>
    </w:p>
    <w:p w14:paraId="060B722C">
      <w:pPr>
        <w:rPr>
          <w:u w:val="single"/>
        </w:rPr>
      </w:pPr>
    </w:p>
    <w:p w14:paraId="7FFD50E4">
      <w:pPr>
        <w:rPr>
          <w:u w:val="single"/>
        </w:rPr>
      </w:pPr>
    </w:p>
    <w:p w14:paraId="37EDFD69">
      <w:pPr>
        <w:rPr>
          <w:u w:val="single"/>
        </w:rPr>
      </w:pPr>
    </w:p>
    <w:p w14:paraId="10B37CF9">
      <w:pPr>
        <w:rPr>
          <w:u w:val="single"/>
        </w:rPr>
      </w:pPr>
    </w:p>
    <w:p w14:paraId="5C0B6127">
      <w:pPr>
        <w:rPr>
          <w:u w:val="single"/>
        </w:rPr>
      </w:pPr>
    </w:p>
    <w:p w14:paraId="08EF8A2D">
      <w:pPr>
        <w:rPr>
          <w:u w:val="single"/>
        </w:rPr>
      </w:pPr>
    </w:p>
    <w:p w14:paraId="5CEB7152">
      <w:pPr>
        <w:rPr>
          <w:u w:val="single"/>
        </w:rPr>
      </w:pPr>
    </w:p>
    <w:p w14:paraId="57D9ABB1">
      <w:pPr>
        <w:rPr>
          <w:u w:val="single"/>
        </w:rPr>
      </w:pPr>
    </w:p>
    <w:p w14:paraId="17D0191E">
      <w:pPr>
        <w:rPr>
          <w:u w:val="single"/>
        </w:rPr>
      </w:pPr>
    </w:p>
    <w:p w14:paraId="4D8A1B35">
      <w:pPr>
        <w:rPr>
          <w:u w:val="single"/>
        </w:rPr>
      </w:pPr>
    </w:p>
    <w:p w14:paraId="4B6AE4EF">
      <w:pPr>
        <w:pStyle w:val="45"/>
        <w:numPr>
          <w:ilvl w:val="6"/>
          <w:numId w:val="0"/>
        </w:numPr>
        <w:spacing w:before="156"/>
        <w:ind w:left="6096" w:leftChars="0" w:hanging="5954" w:firstLineChars="0"/>
        <w:rPr>
          <w:color w:val="auto"/>
        </w:rPr>
      </w:pPr>
      <w:r>
        <w:rPr>
          <w:rFonts w:hint="default" w:ascii="宋体" w:hAnsi="宋体" w:eastAsia="宋体" w:cs="宋体"/>
          <w:b/>
          <w:bCs/>
          <w:color w:val="auto"/>
          <w:kern w:val="2"/>
          <w:sz w:val="21"/>
          <w:szCs w:val="21"/>
          <w:lang w:val="en-US" w:eastAsia="zh-CN" w:bidi="ar-SA"/>
        </w:rPr>
        <w:t xml:space="preserve">图3.1-3 </w:t>
      </w:r>
      <w:r>
        <w:rPr>
          <w:rFonts w:hint="eastAsia"/>
          <w:color w:val="auto"/>
        </w:rPr>
        <w:t xml:space="preserve">  已建工程工艺流程图</w:t>
      </w:r>
    </w:p>
    <w:p w14:paraId="2B1F0296">
      <w:pPr>
        <w:pStyle w:val="38"/>
        <w:ind w:firstLine="480"/>
        <w:rPr>
          <w:rFonts w:ascii="Times New Roman" w:hAnsi="Times New Roman" w:eastAsia="宋体" w:cs="Times New Roman"/>
          <w:color w:val="auto"/>
        </w:rPr>
      </w:pPr>
    </w:p>
    <w:p w14:paraId="707E9610">
      <w:pPr>
        <w:pStyle w:val="5"/>
        <w:numPr>
          <w:ilvl w:val="3"/>
          <w:numId w:val="0"/>
        </w:numPr>
        <w:ind w:left="1984" w:leftChars="0" w:hanging="1984" w:firstLineChars="0"/>
        <w:rPr>
          <w:rFonts w:ascii="Times New Roman" w:hAnsi="Times New Roman"/>
        </w:rPr>
      </w:pPr>
      <w:r>
        <w:rPr>
          <w:rFonts w:hint="default" w:ascii="宋体" w:hAnsi="宋体" w:eastAsia="宋体" w:cs="宋体"/>
          <w:b/>
          <w:bCs/>
          <w:kern w:val="2"/>
          <w:sz w:val="24"/>
          <w:szCs w:val="24"/>
          <w:lang w:val="en-US" w:eastAsia="zh-CN" w:bidi="ar-SA"/>
        </w:rPr>
        <w:t>3.1.3.5</w:t>
      </w:r>
      <w:r>
        <w:rPr>
          <w:rFonts w:hint="eastAsia" w:ascii="Times New Roman" w:hAnsi="Times New Roman"/>
        </w:rPr>
        <w:t>已建工程污染物产排情况汇总</w:t>
      </w:r>
    </w:p>
    <w:p w14:paraId="08B2B9DF">
      <w:pPr>
        <w:ind w:firstLine="480"/>
        <w:jc w:val="left"/>
      </w:pPr>
      <w:r>
        <w:t>综上所述，</w:t>
      </w:r>
      <w:r>
        <w:rPr>
          <w:rFonts w:hint="eastAsia"/>
        </w:rPr>
        <w:t>已建</w:t>
      </w:r>
      <w:r>
        <w:t>工程污染物产排情况可汇总为下表。</w:t>
      </w:r>
    </w:p>
    <w:p w14:paraId="3ED22F9F">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表3.1-8</w:t>
      </w: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 </w:t>
      </w:r>
      <w:r>
        <w:rPr>
          <w:rFonts w:hint="eastAsia"/>
        </w:rPr>
        <w:t>已建工程污染物产排情况汇总</w:t>
      </w:r>
    </w:p>
    <w:tbl>
      <w:tblPr>
        <w:tblStyle w:val="3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7"/>
        <w:gridCol w:w="517"/>
        <w:gridCol w:w="997"/>
        <w:gridCol w:w="899"/>
        <w:gridCol w:w="5592"/>
      </w:tblGrid>
      <w:tr w14:paraId="03FD7A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gridSpan w:val="2"/>
            <w:tcBorders>
              <w:tl2br w:val="nil"/>
              <w:tr2bl w:val="nil"/>
            </w:tcBorders>
            <w:vAlign w:val="center"/>
          </w:tcPr>
          <w:p w14:paraId="1DCA872F">
            <w:pPr>
              <w:adjustRightInd w:val="0"/>
              <w:snapToGrid w:val="0"/>
              <w:spacing w:line="240" w:lineRule="auto"/>
              <w:jc w:val="center"/>
              <w:rPr>
                <w:sz w:val="21"/>
                <w:szCs w:val="21"/>
              </w:rPr>
            </w:pPr>
            <w:r>
              <w:rPr>
                <w:rFonts w:hint="eastAsia"/>
                <w:sz w:val="21"/>
                <w:szCs w:val="21"/>
              </w:rPr>
              <w:t>类型</w:t>
            </w:r>
          </w:p>
        </w:tc>
        <w:tc>
          <w:tcPr>
            <w:tcW w:w="0" w:type="auto"/>
            <w:tcBorders>
              <w:tl2br w:val="nil"/>
              <w:tr2bl w:val="nil"/>
            </w:tcBorders>
            <w:vAlign w:val="center"/>
          </w:tcPr>
          <w:p w14:paraId="005286FA">
            <w:pPr>
              <w:adjustRightInd w:val="0"/>
              <w:snapToGrid w:val="0"/>
              <w:spacing w:line="240" w:lineRule="auto"/>
              <w:jc w:val="center"/>
              <w:rPr>
                <w:sz w:val="21"/>
                <w:szCs w:val="21"/>
              </w:rPr>
            </w:pPr>
            <w:r>
              <w:rPr>
                <w:rFonts w:hint="eastAsia"/>
                <w:sz w:val="21"/>
                <w:szCs w:val="21"/>
              </w:rPr>
              <w:t>污染物</w:t>
            </w:r>
          </w:p>
        </w:tc>
        <w:tc>
          <w:tcPr>
            <w:tcW w:w="0" w:type="auto"/>
            <w:tcBorders>
              <w:tl2br w:val="nil"/>
              <w:tr2bl w:val="nil"/>
            </w:tcBorders>
            <w:vAlign w:val="center"/>
          </w:tcPr>
          <w:p w14:paraId="4A28D49D">
            <w:pPr>
              <w:adjustRightInd w:val="0"/>
              <w:snapToGrid w:val="0"/>
              <w:spacing w:line="240" w:lineRule="auto"/>
              <w:jc w:val="center"/>
              <w:rPr>
                <w:sz w:val="21"/>
                <w:szCs w:val="21"/>
              </w:rPr>
            </w:pPr>
            <w:r>
              <w:rPr>
                <w:rFonts w:hint="eastAsia"/>
                <w:sz w:val="21"/>
                <w:szCs w:val="21"/>
              </w:rPr>
              <w:t>排放量</w:t>
            </w:r>
          </w:p>
        </w:tc>
        <w:tc>
          <w:tcPr>
            <w:tcW w:w="0" w:type="auto"/>
            <w:tcBorders>
              <w:tl2br w:val="nil"/>
              <w:tr2bl w:val="nil"/>
            </w:tcBorders>
            <w:vAlign w:val="center"/>
          </w:tcPr>
          <w:p w14:paraId="5B22B514">
            <w:pPr>
              <w:adjustRightInd w:val="0"/>
              <w:snapToGrid w:val="0"/>
              <w:spacing w:line="240" w:lineRule="auto"/>
              <w:jc w:val="center"/>
              <w:rPr>
                <w:sz w:val="21"/>
                <w:szCs w:val="21"/>
              </w:rPr>
            </w:pPr>
            <w:r>
              <w:rPr>
                <w:rFonts w:hint="eastAsia"/>
                <w:sz w:val="21"/>
                <w:szCs w:val="21"/>
              </w:rPr>
              <w:t>治理措施</w:t>
            </w:r>
          </w:p>
        </w:tc>
      </w:tr>
      <w:tr w14:paraId="3A6E7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0" w:type="auto"/>
            <w:vMerge w:val="restart"/>
            <w:tcBorders>
              <w:tl2br w:val="nil"/>
              <w:tr2bl w:val="nil"/>
            </w:tcBorders>
            <w:vAlign w:val="center"/>
          </w:tcPr>
          <w:p w14:paraId="15A0879C">
            <w:pPr>
              <w:adjustRightInd w:val="0"/>
              <w:snapToGrid w:val="0"/>
              <w:spacing w:line="240" w:lineRule="auto"/>
              <w:jc w:val="center"/>
              <w:rPr>
                <w:sz w:val="21"/>
                <w:szCs w:val="21"/>
              </w:rPr>
            </w:pPr>
            <w:r>
              <w:rPr>
                <w:rFonts w:hint="eastAsia"/>
                <w:sz w:val="21"/>
                <w:szCs w:val="21"/>
              </w:rPr>
              <w:t>废水</w:t>
            </w:r>
          </w:p>
        </w:tc>
        <w:tc>
          <w:tcPr>
            <w:tcW w:w="0" w:type="auto"/>
            <w:vMerge w:val="restart"/>
            <w:tcBorders>
              <w:tl2br w:val="nil"/>
              <w:tr2bl w:val="nil"/>
            </w:tcBorders>
            <w:vAlign w:val="center"/>
          </w:tcPr>
          <w:p w14:paraId="4BC19CBA">
            <w:pPr>
              <w:adjustRightInd w:val="0"/>
              <w:snapToGrid w:val="0"/>
              <w:spacing w:line="240" w:lineRule="auto"/>
              <w:jc w:val="center"/>
              <w:rPr>
                <w:sz w:val="21"/>
                <w:szCs w:val="21"/>
              </w:rPr>
            </w:pPr>
            <w:r>
              <w:rPr>
                <w:rFonts w:hint="eastAsia"/>
                <w:sz w:val="21"/>
                <w:szCs w:val="21"/>
              </w:rPr>
              <w:t>生活污水</w:t>
            </w:r>
          </w:p>
        </w:tc>
        <w:tc>
          <w:tcPr>
            <w:tcW w:w="0" w:type="auto"/>
            <w:tcBorders>
              <w:tl2br w:val="nil"/>
              <w:tr2bl w:val="nil"/>
            </w:tcBorders>
            <w:vAlign w:val="center"/>
          </w:tcPr>
          <w:p w14:paraId="75C0A115">
            <w:pPr>
              <w:adjustRightInd w:val="0"/>
              <w:snapToGrid w:val="0"/>
              <w:spacing w:line="240" w:lineRule="auto"/>
              <w:jc w:val="center"/>
              <w:rPr>
                <w:sz w:val="21"/>
                <w:szCs w:val="21"/>
              </w:rPr>
            </w:pPr>
            <w:r>
              <w:rPr>
                <w:rFonts w:hint="eastAsia"/>
                <w:sz w:val="21"/>
                <w:szCs w:val="21"/>
              </w:rPr>
              <w:t>废水量</w:t>
            </w:r>
          </w:p>
        </w:tc>
        <w:tc>
          <w:tcPr>
            <w:tcW w:w="0" w:type="auto"/>
            <w:tcBorders>
              <w:tl2br w:val="nil"/>
              <w:tr2bl w:val="nil"/>
            </w:tcBorders>
            <w:vAlign w:val="center"/>
          </w:tcPr>
          <w:p w14:paraId="0F9563E9">
            <w:pPr>
              <w:adjustRightInd w:val="0"/>
              <w:snapToGrid w:val="0"/>
              <w:spacing w:line="240" w:lineRule="auto"/>
              <w:jc w:val="center"/>
              <w:rPr>
                <w:sz w:val="21"/>
                <w:szCs w:val="21"/>
              </w:rPr>
            </w:pPr>
            <w:r>
              <w:rPr>
                <w:rFonts w:hint="eastAsia"/>
                <w:sz w:val="21"/>
                <w:szCs w:val="21"/>
              </w:rPr>
              <w:t>5184</w:t>
            </w:r>
            <w:r>
              <w:rPr>
                <w:sz w:val="21"/>
                <w:szCs w:val="21"/>
              </w:rPr>
              <w:t>t/a</w:t>
            </w:r>
          </w:p>
        </w:tc>
        <w:tc>
          <w:tcPr>
            <w:tcW w:w="0" w:type="auto"/>
            <w:vMerge w:val="restart"/>
            <w:tcBorders>
              <w:tl2br w:val="nil"/>
              <w:tr2bl w:val="nil"/>
            </w:tcBorders>
            <w:vAlign w:val="center"/>
          </w:tcPr>
          <w:p w14:paraId="0208C965">
            <w:pPr>
              <w:adjustRightInd w:val="0"/>
              <w:snapToGrid w:val="0"/>
              <w:spacing w:line="240" w:lineRule="auto"/>
              <w:jc w:val="center"/>
              <w:rPr>
                <w:sz w:val="21"/>
                <w:szCs w:val="21"/>
              </w:rPr>
            </w:pPr>
            <w:r>
              <w:rPr>
                <w:rFonts w:hint="eastAsia"/>
                <w:sz w:val="21"/>
                <w:szCs w:val="21"/>
              </w:rPr>
              <w:t>湘潭县顺业污水处理有限公司污水处理厂</w:t>
            </w:r>
          </w:p>
        </w:tc>
      </w:tr>
      <w:tr w14:paraId="0092C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5006F4EF">
            <w:pPr>
              <w:adjustRightInd w:val="0"/>
              <w:snapToGrid w:val="0"/>
              <w:spacing w:line="240" w:lineRule="auto"/>
              <w:jc w:val="center"/>
              <w:rPr>
                <w:sz w:val="21"/>
                <w:szCs w:val="21"/>
              </w:rPr>
            </w:pPr>
          </w:p>
        </w:tc>
        <w:tc>
          <w:tcPr>
            <w:tcW w:w="0" w:type="auto"/>
            <w:vMerge w:val="continue"/>
            <w:tcBorders>
              <w:tl2br w:val="nil"/>
              <w:tr2bl w:val="nil"/>
            </w:tcBorders>
            <w:vAlign w:val="center"/>
          </w:tcPr>
          <w:p w14:paraId="39E0120C">
            <w:pPr>
              <w:adjustRightInd w:val="0"/>
              <w:snapToGrid w:val="0"/>
              <w:spacing w:line="240" w:lineRule="auto"/>
              <w:jc w:val="center"/>
              <w:rPr>
                <w:sz w:val="21"/>
                <w:szCs w:val="21"/>
              </w:rPr>
            </w:pPr>
          </w:p>
        </w:tc>
        <w:tc>
          <w:tcPr>
            <w:tcW w:w="0" w:type="auto"/>
            <w:tcBorders>
              <w:tl2br w:val="nil"/>
              <w:tr2bl w:val="nil"/>
            </w:tcBorders>
            <w:vAlign w:val="center"/>
          </w:tcPr>
          <w:p w14:paraId="038BF8A5">
            <w:pPr>
              <w:adjustRightInd w:val="0"/>
              <w:snapToGrid w:val="0"/>
              <w:spacing w:line="240" w:lineRule="auto"/>
              <w:jc w:val="center"/>
              <w:rPr>
                <w:sz w:val="21"/>
                <w:szCs w:val="21"/>
              </w:rPr>
            </w:pPr>
            <w:r>
              <w:rPr>
                <w:rFonts w:hint="eastAsia"/>
                <w:sz w:val="21"/>
                <w:szCs w:val="21"/>
              </w:rPr>
              <w:t>COD</w:t>
            </w:r>
          </w:p>
        </w:tc>
        <w:tc>
          <w:tcPr>
            <w:tcW w:w="0" w:type="auto"/>
            <w:tcBorders>
              <w:tl2br w:val="nil"/>
              <w:tr2bl w:val="nil"/>
            </w:tcBorders>
            <w:vAlign w:val="center"/>
          </w:tcPr>
          <w:p w14:paraId="7DAC6933">
            <w:pPr>
              <w:adjustRightInd w:val="0"/>
              <w:snapToGrid w:val="0"/>
              <w:spacing w:line="240" w:lineRule="auto"/>
              <w:jc w:val="center"/>
              <w:rPr>
                <w:sz w:val="21"/>
                <w:szCs w:val="21"/>
              </w:rPr>
            </w:pPr>
            <w:r>
              <w:rPr>
                <w:rFonts w:hint="eastAsia"/>
                <w:sz w:val="21"/>
                <w:szCs w:val="21"/>
              </w:rPr>
              <w:t>0.26</w:t>
            </w:r>
            <w:r>
              <w:rPr>
                <w:sz w:val="21"/>
                <w:szCs w:val="21"/>
              </w:rPr>
              <w:t>t/a</w:t>
            </w:r>
          </w:p>
        </w:tc>
        <w:tc>
          <w:tcPr>
            <w:tcW w:w="0" w:type="auto"/>
            <w:vMerge w:val="continue"/>
            <w:tcBorders>
              <w:tl2br w:val="nil"/>
              <w:tr2bl w:val="nil"/>
            </w:tcBorders>
            <w:vAlign w:val="center"/>
          </w:tcPr>
          <w:p w14:paraId="2B1F4E3F">
            <w:pPr>
              <w:adjustRightInd w:val="0"/>
              <w:snapToGrid w:val="0"/>
              <w:spacing w:line="240" w:lineRule="auto"/>
              <w:jc w:val="center"/>
              <w:rPr>
                <w:sz w:val="21"/>
                <w:szCs w:val="21"/>
              </w:rPr>
            </w:pPr>
          </w:p>
        </w:tc>
      </w:tr>
      <w:tr w14:paraId="385607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0" w:type="auto"/>
            <w:vMerge w:val="continue"/>
            <w:tcBorders>
              <w:tl2br w:val="nil"/>
              <w:tr2bl w:val="nil"/>
            </w:tcBorders>
            <w:vAlign w:val="center"/>
          </w:tcPr>
          <w:p w14:paraId="6FD088ED">
            <w:pPr>
              <w:adjustRightInd w:val="0"/>
              <w:snapToGrid w:val="0"/>
              <w:spacing w:line="240" w:lineRule="auto"/>
              <w:jc w:val="center"/>
              <w:rPr>
                <w:sz w:val="21"/>
                <w:szCs w:val="21"/>
              </w:rPr>
            </w:pPr>
          </w:p>
        </w:tc>
        <w:tc>
          <w:tcPr>
            <w:tcW w:w="0" w:type="auto"/>
            <w:vMerge w:val="continue"/>
            <w:tcBorders>
              <w:tl2br w:val="nil"/>
              <w:tr2bl w:val="nil"/>
            </w:tcBorders>
            <w:vAlign w:val="center"/>
          </w:tcPr>
          <w:p w14:paraId="1559D1D2">
            <w:pPr>
              <w:adjustRightInd w:val="0"/>
              <w:snapToGrid w:val="0"/>
              <w:spacing w:line="240" w:lineRule="auto"/>
              <w:jc w:val="center"/>
              <w:rPr>
                <w:sz w:val="21"/>
                <w:szCs w:val="21"/>
              </w:rPr>
            </w:pPr>
          </w:p>
        </w:tc>
        <w:tc>
          <w:tcPr>
            <w:tcW w:w="0" w:type="auto"/>
            <w:tcBorders>
              <w:tl2br w:val="nil"/>
              <w:tr2bl w:val="nil"/>
            </w:tcBorders>
            <w:vAlign w:val="center"/>
          </w:tcPr>
          <w:p w14:paraId="2AD0BB47">
            <w:pPr>
              <w:adjustRightInd w:val="0"/>
              <w:snapToGrid w:val="0"/>
              <w:spacing w:line="240" w:lineRule="auto"/>
              <w:jc w:val="center"/>
              <w:rPr>
                <w:sz w:val="21"/>
                <w:szCs w:val="21"/>
              </w:rPr>
            </w:pPr>
            <w:r>
              <w:rPr>
                <w:rFonts w:hint="eastAsia"/>
                <w:sz w:val="21"/>
                <w:szCs w:val="21"/>
              </w:rPr>
              <w:t>NH</w:t>
            </w:r>
            <w:r>
              <w:rPr>
                <w:rFonts w:hint="eastAsia"/>
                <w:sz w:val="21"/>
                <w:szCs w:val="21"/>
                <w:vertAlign w:val="subscript"/>
              </w:rPr>
              <w:t>3</w:t>
            </w:r>
            <w:r>
              <w:rPr>
                <w:rFonts w:hint="eastAsia"/>
                <w:sz w:val="21"/>
                <w:szCs w:val="21"/>
              </w:rPr>
              <w:t>-N</w:t>
            </w:r>
          </w:p>
        </w:tc>
        <w:tc>
          <w:tcPr>
            <w:tcW w:w="0" w:type="auto"/>
            <w:tcBorders>
              <w:tl2br w:val="nil"/>
              <w:tr2bl w:val="nil"/>
            </w:tcBorders>
            <w:vAlign w:val="center"/>
          </w:tcPr>
          <w:p w14:paraId="3E24A028">
            <w:pPr>
              <w:adjustRightInd w:val="0"/>
              <w:snapToGrid w:val="0"/>
              <w:spacing w:line="240" w:lineRule="auto"/>
              <w:jc w:val="center"/>
              <w:rPr>
                <w:sz w:val="21"/>
                <w:szCs w:val="21"/>
              </w:rPr>
            </w:pPr>
            <w:r>
              <w:rPr>
                <w:rFonts w:hint="eastAsia"/>
                <w:sz w:val="21"/>
                <w:szCs w:val="21"/>
              </w:rPr>
              <w:t>0.03</w:t>
            </w:r>
            <w:r>
              <w:rPr>
                <w:sz w:val="21"/>
                <w:szCs w:val="21"/>
              </w:rPr>
              <w:t>t/a</w:t>
            </w:r>
          </w:p>
        </w:tc>
        <w:tc>
          <w:tcPr>
            <w:tcW w:w="0" w:type="auto"/>
            <w:vMerge w:val="continue"/>
            <w:tcBorders>
              <w:tl2br w:val="nil"/>
              <w:tr2bl w:val="nil"/>
            </w:tcBorders>
            <w:vAlign w:val="center"/>
          </w:tcPr>
          <w:p w14:paraId="1F44F21D">
            <w:pPr>
              <w:adjustRightInd w:val="0"/>
              <w:snapToGrid w:val="0"/>
              <w:spacing w:line="240" w:lineRule="auto"/>
              <w:jc w:val="center"/>
              <w:rPr>
                <w:sz w:val="21"/>
                <w:szCs w:val="21"/>
              </w:rPr>
            </w:pPr>
          </w:p>
        </w:tc>
      </w:tr>
      <w:tr w14:paraId="76C56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14:paraId="4F9BADAA">
            <w:pPr>
              <w:adjustRightInd w:val="0"/>
              <w:snapToGrid w:val="0"/>
              <w:spacing w:line="240" w:lineRule="auto"/>
              <w:jc w:val="center"/>
              <w:rPr>
                <w:sz w:val="21"/>
                <w:szCs w:val="21"/>
              </w:rPr>
            </w:pPr>
            <w:r>
              <w:rPr>
                <w:rFonts w:hint="eastAsia"/>
                <w:sz w:val="21"/>
                <w:szCs w:val="21"/>
              </w:rPr>
              <w:t>废气</w:t>
            </w:r>
          </w:p>
        </w:tc>
        <w:tc>
          <w:tcPr>
            <w:tcW w:w="0" w:type="auto"/>
            <w:vMerge w:val="restart"/>
            <w:tcBorders>
              <w:tl2br w:val="nil"/>
              <w:tr2bl w:val="nil"/>
            </w:tcBorders>
            <w:vAlign w:val="center"/>
          </w:tcPr>
          <w:p w14:paraId="17F8D0CB">
            <w:pPr>
              <w:adjustRightInd w:val="0"/>
              <w:snapToGrid w:val="0"/>
              <w:spacing w:line="240" w:lineRule="auto"/>
              <w:jc w:val="center"/>
              <w:rPr>
                <w:sz w:val="21"/>
                <w:szCs w:val="21"/>
              </w:rPr>
            </w:pPr>
            <w:r>
              <w:rPr>
                <w:rFonts w:hint="eastAsia"/>
                <w:sz w:val="21"/>
                <w:szCs w:val="21"/>
              </w:rPr>
              <w:t>助燃废气</w:t>
            </w:r>
          </w:p>
        </w:tc>
        <w:tc>
          <w:tcPr>
            <w:tcW w:w="0" w:type="auto"/>
            <w:tcBorders>
              <w:tl2br w:val="nil"/>
              <w:tr2bl w:val="nil"/>
            </w:tcBorders>
            <w:vAlign w:val="center"/>
          </w:tcPr>
          <w:p w14:paraId="014C6184">
            <w:pPr>
              <w:adjustRightInd w:val="0"/>
              <w:snapToGrid w:val="0"/>
              <w:spacing w:line="240" w:lineRule="auto"/>
              <w:jc w:val="center"/>
              <w:rPr>
                <w:sz w:val="21"/>
                <w:szCs w:val="21"/>
              </w:rPr>
            </w:pPr>
            <w:r>
              <w:rPr>
                <w:rFonts w:hint="eastAsia"/>
                <w:sz w:val="21"/>
                <w:szCs w:val="21"/>
              </w:rPr>
              <w:t>颗粒物</w:t>
            </w:r>
          </w:p>
        </w:tc>
        <w:tc>
          <w:tcPr>
            <w:tcW w:w="0" w:type="auto"/>
            <w:tcBorders>
              <w:tl2br w:val="nil"/>
              <w:tr2bl w:val="nil"/>
            </w:tcBorders>
            <w:vAlign w:val="center"/>
          </w:tcPr>
          <w:p w14:paraId="05409DE9">
            <w:pPr>
              <w:adjustRightInd w:val="0"/>
              <w:snapToGrid w:val="0"/>
              <w:spacing w:line="240" w:lineRule="auto"/>
              <w:jc w:val="center"/>
              <w:rPr>
                <w:sz w:val="21"/>
                <w:szCs w:val="21"/>
              </w:rPr>
            </w:pPr>
            <w:r>
              <w:rPr>
                <w:rFonts w:hint="eastAsia"/>
                <w:sz w:val="21"/>
                <w:szCs w:val="21"/>
              </w:rPr>
              <w:t>0.11</w:t>
            </w:r>
            <w:r>
              <w:rPr>
                <w:sz w:val="21"/>
                <w:szCs w:val="21"/>
              </w:rPr>
              <w:t>t/a</w:t>
            </w:r>
          </w:p>
        </w:tc>
        <w:tc>
          <w:tcPr>
            <w:tcW w:w="0" w:type="auto"/>
            <w:vMerge w:val="restart"/>
            <w:tcBorders>
              <w:tl2br w:val="nil"/>
              <w:tr2bl w:val="nil"/>
            </w:tcBorders>
            <w:vAlign w:val="center"/>
          </w:tcPr>
          <w:p w14:paraId="639B7215">
            <w:pPr>
              <w:adjustRightInd w:val="0"/>
              <w:snapToGrid w:val="0"/>
              <w:spacing w:line="240" w:lineRule="auto"/>
              <w:jc w:val="center"/>
              <w:rPr>
                <w:sz w:val="21"/>
                <w:szCs w:val="21"/>
              </w:rPr>
            </w:pPr>
            <w:r>
              <w:rPr>
                <w:sz w:val="21"/>
                <w:szCs w:val="21"/>
              </w:rPr>
              <w:t>由</w:t>
            </w:r>
            <w:r>
              <w:rPr>
                <w:rFonts w:hint="eastAsia"/>
                <w:sz w:val="21"/>
                <w:szCs w:val="21"/>
              </w:rPr>
              <w:t>27</w:t>
            </w:r>
            <w:r>
              <w:rPr>
                <w:sz w:val="21"/>
                <w:szCs w:val="21"/>
              </w:rPr>
              <w:t>m高排气筒（</w:t>
            </w:r>
            <w:r>
              <w:rPr>
                <w:rFonts w:hint="eastAsia"/>
                <w:sz w:val="21"/>
                <w:szCs w:val="21"/>
              </w:rPr>
              <w:t>P</w:t>
            </w:r>
            <w:r>
              <w:rPr>
                <w:sz w:val="21"/>
                <w:szCs w:val="21"/>
              </w:rPr>
              <w:t>1）排放</w:t>
            </w:r>
          </w:p>
        </w:tc>
      </w:tr>
      <w:tr w14:paraId="5C0BBF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FE454E3">
            <w:pPr>
              <w:adjustRightInd w:val="0"/>
              <w:snapToGrid w:val="0"/>
              <w:spacing w:line="240" w:lineRule="auto"/>
              <w:jc w:val="center"/>
              <w:rPr>
                <w:sz w:val="21"/>
                <w:szCs w:val="21"/>
              </w:rPr>
            </w:pPr>
          </w:p>
        </w:tc>
        <w:tc>
          <w:tcPr>
            <w:tcW w:w="0" w:type="auto"/>
            <w:vMerge w:val="continue"/>
            <w:tcBorders>
              <w:tl2br w:val="nil"/>
              <w:tr2bl w:val="nil"/>
            </w:tcBorders>
            <w:vAlign w:val="center"/>
          </w:tcPr>
          <w:p w14:paraId="4CE2D2FC">
            <w:pPr>
              <w:adjustRightInd w:val="0"/>
              <w:snapToGrid w:val="0"/>
              <w:spacing w:line="240" w:lineRule="auto"/>
              <w:jc w:val="center"/>
              <w:rPr>
                <w:sz w:val="21"/>
                <w:szCs w:val="21"/>
              </w:rPr>
            </w:pPr>
          </w:p>
        </w:tc>
        <w:tc>
          <w:tcPr>
            <w:tcW w:w="0" w:type="auto"/>
            <w:tcBorders>
              <w:tl2br w:val="nil"/>
              <w:tr2bl w:val="nil"/>
            </w:tcBorders>
            <w:vAlign w:val="center"/>
          </w:tcPr>
          <w:p w14:paraId="0D1F752E">
            <w:pPr>
              <w:adjustRightInd w:val="0"/>
              <w:snapToGrid w:val="0"/>
              <w:spacing w:line="240" w:lineRule="auto"/>
              <w:jc w:val="center"/>
              <w:rPr>
                <w:sz w:val="21"/>
                <w:szCs w:val="21"/>
              </w:rPr>
            </w:pPr>
            <w:r>
              <w:rPr>
                <w:rFonts w:hint="eastAsia"/>
                <w:sz w:val="21"/>
                <w:szCs w:val="21"/>
              </w:rPr>
              <w:t>SO</w:t>
            </w:r>
            <w:r>
              <w:rPr>
                <w:rFonts w:hint="eastAsia"/>
                <w:sz w:val="21"/>
                <w:szCs w:val="21"/>
                <w:vertAlign w:val="subscript"/>
              </w:rPr>
              <w:t>2</w:t>
            </w:r>
          </w:p>
        </w:tc>
        <w:tc>
          <w:tcPr>
            <w:tcW w:w="0" w:type="auto"/>
            <w:tcBorders>
              <w:tl2br w:val="nil"/>
              <w:tr2bl w:val="nil"/>
            </w:tcBorders>
            <w:vAlign w:val="center"/>
          </w:tcPr>
          <w:p w14:paraId="3FECB045">
            <w:pPr>
              <w:adjustRightInd w:val="0"/>
              <w:snapToGrid w:val="0"/>
              <w:spacing w:line="240" w:lineRule="auto"/>
              <w:jc w:val="center"/>
              <w:rPr>
                <w:sz w:val="21"/>
                <w:szCs w:val="21"/>
              </w:rPr>
            </w:pPr>
            <w:r>
              <w:rPr>
                <w:rFonts w:hint="eastAsia"/>
                <w:sz w:val="21"/>
                <w:szCs w:val="21"/>
              </w:rPr>
              <w:t>0.08</w:t>
            </w:r>
            <w:r>
              <w:rPr>
                <w:sz w:val="21"/>
                <w:szCs w:val="21"/>
              </w:rPr>
              <w:t>t/a</w:t>
            </w:r>
          </w:p>
        </w:tc>
        <w:tc>
          <w:tcPr>
            <w:tcW w:w="0" w:type="auto"/>
            <w:vMerge w:val="continue"/>
            <w:tcBorders>
              <w:tl2br w:val="nil"/>
              <w:tr2bl w:val="nil"/>
            </w:tcBorders>
            <w:vAlign w:val="center"/>
          </w:tcPr>
          <w:p w14:paraId="0F481B2D">
            <w:pPr>
              <w:adjustRightInd w:val="0"/>
              <w:snapToGrid w:val="0"/>
              <w:spacing w:line="240" w:lineRule="auto"/>
              <w:jc w:val="center"/>
              <w:rPr>
                <w:sz w:val="21"/>
                <w:szCs w:val="21"/>
              </w:rPr>
            </w:pPr>
          </w:p>
        </w:tc>
      </w:tr>
      <w:tr w14:paraId="15C28E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EB38E2C">
            <w:pPr>
              <w:adjustRightInd w:val="0"/>
              <w:snapToGrid w:val="0"/>
              <w:spacing w:line="240" w:lineRule="auto"/>
              <w:jc w:val="center"/>
              <w:rPr>
                <w:sz w:val="21"/>
                <w:szCs w:val="21"/>
              </w:rPr>
            </w:pPr>
          </w:p>
        </w:tc>
        <w:tc>
          <w:tcPr>
            <w:tcW w:w="0" w:type="auto"/>
            <w:vMerge w:val="continue"/>
            <w:tcBorders>
              <w:tl2br w:val="nil"/>
              <w:tr2bl w:val="nil"/>
            </w:tcBorders>
            <w:vAlign w:val="center"/>
          </w:tcPr>
          <w:p w14:paraId="0AD46CE1">
            <w:pPr>
              <w:adjustRightInd w:val="0"/>
              <w:snapToGrid w:val="0"/>
              <w:spacing w:line="240" w:lineRule="auto"/>
              <w:jc w:val="center"/>
              <w:rPr>
                <w:sz w:val="21"/>
                <w:szCs w:val="21"/>
              </w:rPr>
            </w:pPr>
          </w:p>
        </w:tc>
        <w:tc>
          <w:tcPr>
            <w:tcW w:w="0" w:type="auto"/>
            <w:tcBorders>
              <w:tl2br w:val="nil"/>
              <w:tr2bl w:val="nil"/>
            </w:tcBorders>
            <w:vAlign w:val="center"/>
          </w:tcPr>
          <w:p w14:paraId="654F82CE">
            <w:pPr>
              <w:adjustRightInd w:val="0"/>
              <w:snapToGrid w:val="0"/>
              <w:spacing w:line="240" w:lineRule="auto"/>
              <w:jc w:val="center"/>
              <w:rPr>
                <w:sz w:val="21"/>
                <w:szCs w:val="21"/>
              </w:rPr>
            </w:pPr>
            <w:r>
              <w:rPr>
                <w:rFonts w:hint="eastAsia"/>
                <w:sz w:val="21"/>
                <w:szCs w:val="21"/>
              </w:rPr>
              <w:t>NOx</w:t>
            </w:r>
          </w:p>
        </w:tc>
        <w:tc>
          <w:tcPr>
            <w:tcW w:w="0" w:type="auto"/>
            <w:tcBorders>
              <w:tl2br w:val="nil"/>
              <w:tr2bl w:val="nil"/>
            </w:tcBorders>
            <w:vAlign w:val="center"/>
          </w:tcPr>
          <w:p w14:paraId="116A41F4">
            <w:pPr>
              <w:adjustRightInd w:val="0"/>
              <w:snapToGrid w:val="0"/>
              <w:spacing w:line="240" w:lineRule="auto"/>
              <w:jc w:val="center"/>
              <w:rPr>
                <w:sz w:val="21"/>
                <w:szCs w:val="21"/>
              </w:rPr>
            </w:pPr>
            <w:r>
              <w:rPr>
                <w:rFonts w:hint="eastAsia"/>
                <w:sz w:val="21"/>
                <w:szCs w:val="21"/>
              </w:rPr>
              <w:t>0.37</w:t>
            </w:r>
            <w:r>
              <w:rPr>
                <w:sz w:val="21"/>
                <w:szCs w:val="21"/>
              </w:rPr>
              <w:t>t/a</w:t>
            </w:r>
          </w:p>
        </w:tc>
        <w:tc>
          <w:tcPr>
            <w:tcW w:w="0" w:type="auto"/>
            <w:vMerge w:val="continue"/>
            <w:tcBorders>
              <w:tl2br w:val="nil"/>
              <w:tr2bl w:val="nil"/>
            </w:tcBorders>
            <w:vAlign w:val="center"/>
          </w:tcPr>
          <w:p w14:paraId="2B39A7F1">
            <w:pPr>
              <w:adjustRightInd w:val="0"/>
              <w:snapToGrid w:val="0"/>
              <w:spacing w:line="240" w:lineRule="auto"/>
              <w:jc w:val="center"/>
              <w:rPr>
                <w:sz w:val="21"/>
                <w:szCs w:val="21"/>
              </w:rPr>
            </w:pPr>
          </w:p>
        </w:tc>
      </w:tr>
      <w:tr w14:paraId="58712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9" w:hRule="atLeast"/>
          <w:jc w:val="center"/>
        </w:trPr>
        <w:tc>
          <w:tcPr>
            <w:tcW w:w="0" w:type="auto"/>
            <w:vMerge w:val="continue"/>
            <w:tcBorders>
              <w:tl2br w:val="nil"/>
              <w:tr2bl w:val="nil"/>
            </w:tcBorders>
            <w:vAlign w:val="center"/>
          </w:tcPr>
          <w:p w14:paraId="0B2E7335">
            <w:pPr>
              <w:adjustRightInd w:val="0"/>
              <w:snapToGrid w:val="0"/>
              <w:spacing w:line="240" w:lineRule="auto"/>
              <w:jc w:val="center"/>
              <w:rPr>
                <w:sz w:val="21"/>
                <w:szCs w:val="21"/>
              </w:rPr>
            </w:pPr>
          </w:p>
        </w:tc>
        <w:tc>
          <w:tcPr>
            <w:tcW w:w="0" w:type="auto"/>
            <w:vMerge w:val="restart"/>
            <w:tcBorders>
              <w:tl2br w:val="nil"/>
              <w:tr2bl w:val="nil"/>
            </w:tcBorders>
            <w:vAlign w:val="center"/>
          </w:tcPr>
          <w:p w14:paraId="291857A6">
            <w:pPr>
              <w:adjustRightInd w:val="0"/>
              <w:snapToGrid w:val="0"/>
              <w:spacing w:line="240" w:lineRule="auto"/>
              <w:jc w:val="center"/>
              <w:rPr>
                <w:sz w:val="21"/>
                <w:szCs w:val="21"/>
              </w:rPr>
            </w:pPr>
            <w:r>
              <w:rPr>
                <w:rFonts w:hint="eastAsia"/>
                <w:sz w:val="21"/>
                <w:szCs w:val="21"/>
              </w:rPr>
              <w:t>生产废气</w:t>
            </w:r>
          </w:p>
        </w:tc>
        <w:tc>
          <w:tcPr>
            <w:tcW w:w="0" w:type="auto"/>
            <w:tcBorders>
              <w:tl2br w:val="nil"/>
              <w:tr2bl w:val="nil"/>
            </w:tcBorders>
            <w:vAlign w:val="center"/>
          </w:tcPr>
          <w:p w14:paraId="49A2CE47">
            <w:pPr>
              <w:adjustRightInd w:val="0"/>
              <w:snapToGrid w:val="0"/>
              <w:spacing w:line="240" w:lineRule="auto"/>
              <w:jc w:val="center"/>
              <w:rPr>
                <w:sz w:val="21"/>
                <w:szCs w:val="21"/>
              </w:rPr>
            </w:pPr>
            <w:r>
              <w:rPr>
                <w:rFonts w:hint="eastAsia"/>
                <w:sz w:val="21"/>
                <w:szCs w:val="21"/>
              </w:rPr>
              <w:t>有组织挥发性有机物</w:t>
            </w:r>
          </w:p>
        </w:tc>
        <w:tc>
          <w:tcPr>
            <w:tcW w:w="0" w:type="auto"/>
            <w:tcBorders>
              <w:tl2br w:val="nil"/>
              <w:tr2bl w:val="nil"/>
            </w:tcBorders>
            <w:vAlign w:val="center"/>
          </w:tcPr>
          <w:p w14:paraId="2BDF1929">
            <w:pPr>
              <w:adjustRightInd w:val="0"/>
              <w:snapToGrid w:val="0"/>
              <w:spacing w:line="240" w:lineRule="auto"/>
              <w:jc w:val="center"/>
              <w:rPr>
                <w:sz w:val="21"/>
                <w:szCs w:val="21"/>
              </w:rPr>
            </w:pPr>
            <w:r>
              <w:rPr>
                <w:rFonts w:hint="eastAsia"/>
                <w:sz w:val="21"/>
                <w:szCs w:val="21"/>
              </w:rPr>
              <w:t>16.39</w:t>
            </w:r>
            <w:r>
              <w:rPr>
                <w:sz w:val="21"/>
                <w:szCs w:val="21"/>
              </w:rPr>
              <w:t>t/a</w:t>
            </w:r>
          </w:p>
        </w:tc>
        <w:tc>
          <w:tcPr>
            <w:tcW w:w="0" w:type="auto"/>
            <w:vMerge w:val="restart"/>
            <w:tcBorders>
              <w:tl2br w:val="nil"/>
              <w:tr2bl w:val="nil"/>
            </w:tcBorders>
            <w:vAlign w:val="center"/>
          </w:tcPr>
          <w:p w14:paraId="3EDC0BD4">
            <w:pPr>
              <w:adjustRightInd w:val="0"/>
              <w:snapToGrid w:val="0"/>
              <w:spacing w:line="240" w:lineRule="auto"/>
              <w:rPr>
                <w:sz w:val="21"/>
                <w:szCs w:val="21"/>
              </w:rPr>
            </w:pPr>
            <w:r>
              <w:rPr>
                <w:rFonts w:hint="eastAsia"/>
                <w:sz w:val="21"/>
                <w:szCs w:val="21"/>
              </w:rPr>
              <w:t>“</w:t>
            </w:r>
            <w:r>
              <w:rPr>
                <w:sz w:val="21"/>
                <w:szCs w:val="21"/>
              </w:rPr>
              <w:t>（2+1）三通路（催化氧化双通路、碱液喷淋）处理凹印有机废气的节能减排系统</w:t>
            </w:r>
            <w:r>
              <w:rPr>
                <w:rFonts w:hint="eastAsia"/>
                <w:sz w:val="21"/>
                <w:szCs w:val="21"/>
              </w:rPr>
              <w:t>”</w:t>
            </w:r>
            <w:r>
              <w:rPr>
                <w:sz w:val="21"/>
                <w:szCs w:val="21"/>
              </w:rPr>
              <w:t>，现有工程印刷烘箱、复合烘箱产生的有机废气收集后采用</w:t>
            </w:r>
            <w:r>
              <w:rPr>
                <w:rFonts w:hint="eastAsia"/>
                <w:sz w:val="21"/>
                <w:szCs w:val="21"/>
              </w:rPr>
              <w:t>“</w:t>
            </w:r>
            <w:r>
              <w:rPr>
                <w:sz w:val="21"/>
                <w:szCs w:val="21"/>
              </w:rPr>
              <w:t>1#处理设施催化氧化的双通路</w:t>
            </w:r>
            <w:r>
              <w:rPr>
                <w:rFonts w:hint="eastAsia"/>
                <w:sz w:val="21"/>
                <w:szCs w:val="21"/>
              </w:rPr>
              <w:t>”</w:t>
            </w:r>
            <w:r>
              <w:rPr>
                <w:sz w:val="21"/>
                <w:szCs w:val="21"/>
              </w:rPr>
              <w:t>处理后由1根27m高排气筒（P1）排放。调墨、调胶，印刷区烘箱未收集的有机废气经车间负压收集后经现有2</w:t>
            </w:r>
            <w:r>
              <w:rPr>
                <w:rFonts w:hint="eastAsia"/>
                <w:sz w:val="21"/>
                <w:szCs w:val="21"/>
              </w:rPr>
              <w:t>-1</w:t>
            </w:r>
            <w:r>
              <w:rPr>
                <w:sz w:val="21"/>
                <w:szCs w:val="21"/>
              </w:rPr>
              <w:t>#</w:t>
            </w:r>
            <w:r>
              <w:rPr>
                <w:rFonts w:hint="eastAsia"/>
                <w:sz w:val="21"/>
                <w:szCs w:val="21"/>
              </w:rPr>
              <w:t>印刷区</w:t>
            </w:r>
            <w:r>
              <w:rPr>
                <w:sz w:val="21"/>
                <w:szCs w:val="21"/>
              </w:rPr>
              <w:t>碱液喷淋措施处理后由1根21m高排气筒（P2）排放。复合区烘箱未收集的有机废气经车间负压收集后经现有2</w:t>
            </w:r>
            <w:r>
              <w:rPr>
                <w:rFonts w:hint="eastAsia"/>
                <w:sz w:val="21"/>
                <w:szCs w:val="21"/>
              </w:rPr>
              <w:t>-2</w:t>
            </w:r>
            <w:r>
              <w:rPr>
                <w:sz w:val="21"/>
                <w:szCs w:val="21"/>
              </w:rPr>
              <w:t>#</w:t>
            </w:r>
            <w:r>
              <w:rPr>
                <w:rFonts w:hint="eastAsia"/>
                <w:sz w:val="21"/>
                <w:szCs w:val="21"/>
              </w:rPr>
              <w:t>复合区</w:t>
            </w:r>
            <w:r>
              <w:rPr>
                <w:sz w:val="21"/>
                <w:szCs w:val="21"/>
              </w:rPr>
              <w:t>碱液喷淋措施处理后由1根21m高排气筒（P3）排放。</w:t>
            </w:r>
          </w:p>
        </w:tc>
      </w:tr>
      <w:tr w14:paraId="509CEE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14:paraId="7E8496F7">
            <w:pPr>
              <w:adjustRightInd w:val="0"/>
              <w:snapToGrid w:val="0"/>
              <w:spacing w:line="240" w:lineRule="auto"/>
              <w:jc w:val="center"/>
              <w:rPr>
                <w:sz w:val="21"/>
                <w:szCs w:val="21"/>
              </w:rPr>
            </w:pPr>
            <w:r>
              <w:rPr>
                <w:rFonts w:hint="eastAsia"/>
                <w:sz w:val="21"/>
                <w:szCs w:val="21"/>
              </w:rPr>
              <w:t>固体废物</w:t>
            </w:r>
          </w:p>
        </w:tc>
        <w:tc>
          <w:tcPr>
            <w:tcW w:w="0" w:type="auto"/>
            <w:vMerge w:val="restart"/>
            <w:tcBorders>
              <w:tl2br w:val="nil"/>
              <w:tr2bl w:val="nil"/>
            </w:tcBorders>
            <w:vAlign w:val="center"/>
          </w:tcPr>
          <w:p w14:paraId="70B079E4">
            <w:pPr>
              <w:adjustRightInd w:val="0"/>
              <w:snapToGrid w:val="0"/>
              <w:spacing w:line="240" w:lineRule="auto"/>
              <w:jc w:val="center"/>
              <w:rPr>
                <w:sz w:val="21"/>
                <w:szCs w:val="21"/>
              </w:rPr>
            </w:pPr>
            <w:r>
              <w:rPr>
                <w:rFonts w:hint="eastAsia"/>
                <w:sz w:val="21"/>
                <w:szCs w:val="21"/>
              </w:rPr>
              <w:t>生产</w:t>
            </w:r>
          </w:p>
        </w:tc>
        <w:tc>
          <w:tcPr>
            <w:tcW w:w="0" w:type="auto"/>
            <w:tcBorders>
              <w:tl2br w:val="nil"/>
              <w:tr2bl w:val="nil"/>
            </w:tcBorders>
            <w:vAlign w:val="center"/>
          </w:tcPr>
          <w:p w14:paraId="07B3273B">
            <w:pPr>
              <w:adjustRightInd w:val="0"/>
              <w:snapToGrid w:val="0"/>
              <w:spacing w:line="240" w:lineRule="auto"/>
              <w:jc w:val="center"/>
              <w:rPr>
                <w:sz w:val="21"/>
                <w:szCs w:val="21"/>
              </w:rPr>
            </w:pPr>
            <w:r>
              <w:rPr>
                <w:sz w:val="21"/>
                <w:szCs w:val="21"/>
              </w:rPr>
              <w:t>废油墨桶</w:t>
            </w:r>
          </w:p>
        </w:tc>
        <w:tc>
          <w:tcPr>
            <w:tcW w:w="0" w:type="auto"/>
            <w:tcBorders>
              <w:tl2br w:val="nil"/>
              <w:tr2bl w:val="nil"/>
            </w:tcBorders>
            <w:vAlign w:val="center"/>
          </w:tcPr>
          <w:p w14:paraId="732AA5FE">
            <w:pPr>
              <w:adjustRightInd w:val="0"/>
              <w:snapToGrid w:val="0"/>
              <w:spacing w:line="240" w:lineRule="auto"/>
              <w:jc w:val="center"/>
              <w:rPr>
                <w:sz w:val="21"/>
                <w:szCs w:val="21"/>
              </w:rPr>
            </w:pPr>
            <w:r>
              <w:rPr>
                <w:sz w:val="21"/>
                <w:szCs w:val="21"/>
              </w:rPr>
              <w:t>18.8t/a</w:t>
            </w:r>
          </w:p>
        </w:tc>
        <w:tc>
          <w:tcPr>
            <w:tcW w:w="0" w:type="auto"/>
            <w:vMerge w:val="restart"/>
            <w:tcBorders>
              <w:tl2br w:val="nil"/>
              <w:tr2bl w:val="nil"/>
            </w:tcBorders>
            <w:vAlign w:val="center"/>
          </w:tcPr>
          <w:p w14:paraId="33B13D70">
            <w:pPr>
              <w:adjustRightInd w:val="0"/>
              <w:snapToGrid w:val="0"/>
              <w:spacing w:line="240" w:lineRule="auto"/>
              <w:jc w:val="center"/>
              <w:rPr>
                <w:sz w:val="21"/>
                <w:szCs w:val="21"/>
              </w:rPr>
            </w:pPr>
            <w:r>
              <w:rPr>
                <w:sz w:val="21"/>
                <w:szCs w:val="21"/>
              </w:rPr>
              <w:t>交由湖南景翌湘台环保高新技术开发有限公司处理</w:t>
            </w:r>
          </w:p>
        </w:tc>
      </w:tr>
      <w:tr w14:paraId="570351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801EBE2">
            <w:pPr>
              <w:adjustRightInd w:val="0"/>
              <w:snapToGrid w:val="0"/>
              <w:spacing w:line="240" w:lineRule="auto"/>
              <w:jc w:val="center"/>
              <w:rPr>
                <w:sz w:val="21"/>
                <w:szCs w:val="21"/>
              </w:rPr>
            </w:pPr>
          </w:p>
        </w:tc>
        <w:tc>
          <w:tcPr>
            <w:tcW w:w="0" w:type="auto"/>
            <w:vMerge w:val="continue"/>
            <w:tcBorders>
              <w:tl2br w:val="nil"/>
              <w:tr2bl w:val="nil"/>
            </w:tcBorders>
            <w:vAlign w:val="center"/>
          </w:tcPr>
          <w:p w14:paraId="65EFDA8F">
            <w:pPr>
              <w:adjustRightInd w:val="0"/>
              <w:snapToGrid w:val="0"/>
              <w:spacing w:line="240" w:lineRule="auto"/>
              <w:jc w:val="center"/>
              <w:rPr>
                <w:sz w:val="21"/>
                <w:szCs w:val="21"/>
              </w:rPr>
            </w:pPr>
          </w:p>
        </w:tc>
        <w:tc>
          <w:tcPr>
            <w:tcW w:w="0" w:type="auto"/>
            <w:tcBorders>
              <w:tl2br w:val="nil"/>
              <w:tr2bl w:val="nil"/>
            </w:tcBorders>
            <w:vAlign w:val="center"/>
          </w:tcPr>
          <w:p w14:paraId="6D04B19E">
            <w:pPr>
              <w:adjustRightInd w:val="0"/>
              <w:snapToGrid w:val="0"/>
              <w:spacing w:line="240" w:lineRule="auto"/>
              <w:jc w:val="center"/>
              <w:rPr>
                <w:sz w:val="21"/>
                <w:szCs w:val="21"/>
              </w:rPr>
            </w:pPr>
            <w:r>
              <w:rPr>
                <w:sz w:val="21"/>
                <w:szCs w:val="21"/>
              </w:rPr>
              <w:t>废胶水桶</w:t>
            </w:r>
          </w:p>
        </w:tc>
        <w:tc>
          <w:tcPr>
            <w:tcW w:w="0" w:type="auto"/>
            <w:tcBorders>
              <w:tl2br w:val="nil"/>
              <w:tr2bl w:val="nil"/>
            </w:tcBorders>
            <w:vAlign w:val="center"/>
          </w:tcPr>
          <w:p w14:paraId="7723EF4D">
            <w:pPr>
              <w:adjustRightInd w:val="0"/>
              <w:snapToGrid w:val="0"/>
              <w:spacing w:line="240" w:lineRule="auto"/>
              <w:jc w:val="center"/>
              <w:rPr>
                <w:sz w:val="21"/>
                <w:szCs w:val="21"/>
              </w:rPr>
            </w:pPr>
            <w:r>
              <w:rPr>
                <w:sz w:val="21"/>
                <w:szCs w:val="21"/>
              </w:rPr>
              <w:t>3.45t/a</w:t>
            </w:r>
          </w:p>
        </w:tc>
        <w:tc>
          <w:tcPr>
            <w:tcW w:w="0" w:type="auto"/>
            <w:vMerge w:val="continue"/>
            <w:tcBorders>
              <w:tl2br w:val="nil"/>
              <w:tr2bl w:val="nil"/>
            </w:tcBorders>
            <w:vAlign w:val="center"/>
          </w:tcPr>
          <w:p w14:paraId="41018007">
            <w:pPr>
              <w:adjustRightInd w:val="0"/>
              <w:snapToGrid w:val="0"/>
              <w:spacing w:line="240" w:lineRule="auto"/>
              <w:jc w:val="center"/>
              <w:rPr>
                <w:sz w:val="21"/>
                <w:szCs w:val="21"/>
              </w:rPr>
            </w:pPr>
          </w:p>
        </w:tc>
      </w:tr>
      <w:tr w14:paraId="6F49F0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9ADDDD5">
            <w:pPr>
              <w:adjustRightInd w:val="0"/>
              <w:snapToGrid w:val="0"/>
              <w:spacing w:line="240" w:lineRule="auto"/>
              <w:jc w:val="center"/>
              <w:rPr>
                <w:sz w:val="21"/>
                <w:szCs w:val="21"/>
              </w:rPr>
            </w:pPr>
          </w:p>
        </w:tc>
        <w:tc>
          <w:tcPr>
            <w:tcW w:w="0" w:type="auto"/>
            <w:vMerge w:val="continue"/>
            <w:tcBorders>
              <w:tl2br w:val="nil"/>
              <w:tr2bl w:val="nil"/>
            </w:tcBorders>
            <w:vAlign w:val="center"/>
          </w:tcPr>
          <w:p w14:paraId="4A9602DB">
            <w:pPr>
              <w:adjustRightInd w:val="0"/>
              <w:snapToGrid w:val="0"/>
              <w:spacing w:line="240" w:lineRule="auto"/>
              <w:jc w:val="center"/>
              <w:rPr>
                <w:sz w:val="21"/>
                <w:szCs w:val="21"/>
              </w:rPr>
            </w:pPr>
          </w:p>
        </w:tc>
        <w:tc>
          <w:tcPr>
            <w:tcW w:w="0" w:type="auto"/>
            <w:tcBorders>
              <w:tl2br w:val="nil"/>
              <w:tr2bl w:val="nil"/>
            </w:tcBorders>
            <w:vAlign w:val="center"/>
          </w:tcPr>
          <w:p w14:paraId="5F3D0AEF">
            <w:pPr>
              <w:adjustRightInd w:val="0"/>
              <w:snapToGrid w:val="0"/>
              <w:spacing w:line="240" w:lineRule="auto"/>
              <w:jc w:val="center"/>
              <w:rPr>
                <w:sz w:val="21"/>
                <w:szCs w:val="21"/>
              </w:rPr>
            </w:pPr>
            <w:r>
              <w:rPr>
                <w:rFonts w:hint="eastAsia"/>
                <w:sz w:val="21"/>
                <w:szCs w:val="21"/>
              </w:rPr>
              <w:t>含油抹布手套</w:t>
            </w:r>
          </w:p>
        </w:tc>
        <w:tc>
          <w:tcPr>
            <w:tcW w:w="0" w:type="auto"/>
            <w:tcBorders>
              <w:tl2br w:val="nil"/>
              <w:tr2bl w:val="nil"/>
            </w:tcBorders>
            <w:vAlign w:val="center"/>
          </w:tcPr>
          <w:p w14:paraId="0FF9A8F4">
            <w:pPr>
              <w:adjustRightInd w:val="0"/>
              <w:snapToGrid w:val="0"/>
              <w:spacing w:line="240" w:lineRule="auto"/>
              <w:jc w:val="center"/>
              <w:rPr>
                <w:sz w:val="21"/>
                <w:szCs w:val="21"/>
              </w:rPr>
            </w:pPr>
            <w:r>
              <w:rPr>
                <w:sz w:val="21"/>
                <w:szCs w:val="21"/>
              </w:rPr>
              <w:t>1.5t/a</w:t>
            </w:r>
          </w:p>
        </w:tc>
        <w:tc>
          <w:tcPr>
            <w:tcW w:w="0" w:type="auto"/>
            <w:vMerge w:val="restart"/>
            <w:tcBorders>
              <w:tl2br w:val="nil"/>
              <w:tr2bl w:val="nil"/>
            </w:tcBorders>
            <w:vAlign w:val="center"/>
          </w:tcPr>
          <w:p w14:paraId="0DEE107D">
            <w:pPr>
              <w:adjustRightInd w:val="0"/>
              <w:snapToGrid w:val="0"/>
              <w:spacing w:line="240" w:lineRule="auto"/>
              <w:jc w:val="center"/>
              <w:rPr>
                <w:sz w:val="21"/>
                <w:szCs w:val="21"/>
              </w:rPr>
            </w:pPr>
            <w:r>
              <w:rPr>
                <w:sz w:val="21"/>
                <w:szCs w:val="21"/>
              </w:rPr>
              <w:t>交由湖南瀚洋环保科技有限公司处理</w:t>
            </w:r>
          </w:p>
        </w:tc>
      </w:tr>
      <w:tr w14:paraId="349A1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tcBorders>
              <w:tl2br w:val="nil"/>
              <w:tr2bl w:val="nil"/>
            </w:tcBorders>
            <w:vAlign w:val="center"/>
          </w:tcPr>
          <w:p w14:paraId="61CDC842">
            <w:pPr>
              <w:adjustRightInd w:val="0"/>
              <w:snapToGrid w:val="0"/>
              <w:spacing w:line="240" w:lineRule="auto"/>
              <w:jc w:val="center"/>
              <w:rPr>
                <w:sz w:val="21"/>
                <w:szCs w:val="21"/>
              </w:rPr>
            </w:pPr>
          </w:p>
        </w:tc>
        <w:tc>
          <w:tcPr>
            <w:tcW w:w="0" w:type="auto"/>
            <w:vMerge w:val="continue"/>
            <w:tcBorders>
              <w:tl2br w:val="nil"/>
              <w:tr2bl w:val="nil"/>
            </w:tcBorders>
            <w:vAlign w:val="center"/>
          </w:tcPr>
          <w:p w14:paraId="6A95F786">
            <w:pPr>
              <w:adjustRightInd w:val="0"/>
              <w:snapToGrid w:val="0"/>
              <w:spacing w:line="240" w:lineRule="auto"/>
              <w:jc w:val="center"/>
              <w:rPr>
                <w:sz w:val="21"/>
                <w:szCs w:val="21"/>
              </w:rPr>
            </w:pPr>
          </w:p>
        </w:tc>
        <w:tc>
          <w:tcPr>
            <w:tcW w:w="0" w:type="auto"/>
            <w:tcBorders>
              <w:tl2br w:val="nil"/>
              <w:tr2bl w:val="nil"/>
            </w:tcBorders>
            <w:vAlign w:val="center"/>
          </w:tcPr>
          <w:p w14:paraId="2AA32CD0">
            <w:pPr>
              <w:adjustRightInd w:val="0"/>
              <w:snapToGrid w:val="0"/>
              <w:spacing w:line="240" w:lineRule="auto"/>
              <w:jc w:val="center"/>
              <w:rPr>
                <w:sz w:val="21"/>
                <w:szCs w:val="21"/>
              </w:rPr>
            </w:pPr>
            <w:r>
              <w:rPr>
                <w:rFonts w:hint="eastAsia"/>
                <w:sz w:val="21"/>
                <w:szCs w:val="21"/>
              </w:rPr>
              <w:t>废</w:t>
            </w:r>
            <w:r>
              <w:rPr>
                <w:sz w:val="21"/>
                <w:szCs w:val="21"/>
              </w:rPr>
              <w:t>稀释剂桶</w:t>
            </w:r>
          </w:p>
        </w:tc>
        <w:tc>
          <w:tcPr>
            <w:tcW w:w="0" w:type="auto"/>
            <w:tcBorders>
              <w:tl2br w:val="nil"/>
              <w:tr2bl w:val="nil"/>
            </w:tcBorders>
            <w:vAlign w:val="center"/>
          </w:tcPr>
          <w:p w14:paraId="047B1E69">
            <w:pPr>
              <w:adjustRightInd w:val="0"/>
              <w:snapToGrid w:val="0"/>
              <w:spacing w:line="240" w:lineRule="auto"/>
              <w:jc w:val="center"/>
              <w:rPr>
                <w:sz w:val="21"/>
                <w:szCs w:val="21"/>
              </w:rPr>
            </w:pPr>
            <w:r>
              <w:rPr>
                <w:sz w:val="21"/>
                <w:szCs w:val="21"/>
              </w:rPr>
              <w:t>3.7t/a</w:t>
            </w:r>
          </w:p>
        </w:tc>
        <w:tc>
          <w:tcPr>
            <w:tcW w:w="0" w:type="auto"/>
            <w:vMerge w:val="continue"/>
            <w:tcBorders>
              <w:tl2br w:val="nil"/>
              <w:tr2bl w:val="nil"/>
            </w:tcBorders>
            <w:vAlign w:val="center"/>
          </w:tcPr>
          <w:p w14:paraId="36BAEA1C">
            <w:pPr>
              <w:adjustRightInd w:val="0"/>
              <w:snapToGrid w:val="0"/>
              <w:spacing w:line="240" w:lineRule="auto"/>
              <w:jc w:val="center"/>
              <w:rPr>
                <w:sz w:val="21"/>
                <w:szCs w:val="21"/>
              </w:rPr>
            </w:pPr>
          </w:p>
        </w:tc>
      </w:tr>
      <w:tr w14:paraId="37BDAF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D65A74D">
            <w:pPr>
              <w:adjustRightInd w:val="0"/>
              <w:snapToGrid w:val="0"/>
              <w:spacing w:line="240" w:lineRule="auto"/>
              <w:jc w:val="center"/>
              <w:rPr>
                <w:sz w:val="21"/>
                <w:szCs w:val="21"/>
              </w:rPr>
            </w:pPr>
          </w:p>
        </w:tc>
        <w:tc>
          <w:tcPr>
            <w:tcW w:w="0" w:type="auto"/>
            <w:vMerge w:val="continue"/>
            <w:tcBorders>
              <w:tl2br w:val="nil"/>
              <w:tr2bl w:val="nil"/>
            </w:tcBorders>
            <w:vAlign w:val="center"/>
          </w:tcPr>
          <w:p w14:paraId="19BFA5C9">
            <w:pPr>
              <w:adjustRightInd w:val="0"/>
              <w:snapToGrid w:val="0"/>
              <w:spacing w:line="240" w:lineRule="auto"/>
              <w:jc w:val="center"/>
              <w:rPr>
                <w:sz w:val="21"/>
                <w:szCs w:val="21"/>
              </w:rPr>
            </w:pPr>
          </w:p>
        </w:tc>
        <w:tc>
          <w:tcPr>
            <w:tcW w:w="0" w:type="auto"/>
            <w:tcBorders>
              <w:tl2br w:val="nil"/>
              <w:tr2bl w:val="nil"/>
            </w:tcBorders>
            <w:vAlign w:val="center"/>
          </w:tcPr>
          <w:p w14:paraId="481DBC1B">
            <w:pPr>
              <w:adjustRightInd w:val="0"/>
              <w:snapToGrid w:val="0"/>
              <w:spacing w:line="240" w:lineRule="auto"/>
              <w:jc w:val="center"/>
              <w:rPr>
                <w:sz w:val="21"/>
                <w:szCs w:val="21"/>
              </w:rPr>
            </w:pPr>
            <w:r>
              <w:rPr>
                <w:rFonts w:hint="eastAsia"/>
                <w:sz w:val="21"/>
                <w:szCs w:val="21"/>
              </w:rPr>
              <w:t>废油墨</w:t>
            </w:r>
          </w:p>
        </w:tc>
        <w:tc>
          <w:tcPr>
            <w:tcW w:w="0" w:type="auto"/>
            <w:tcBorders>
              <w:tl2br w:val="nil"/>
              <w:tr2bl w:val="nil"/>
            </w:tcBorders>
            <w:vAlign w:val="center"/>
          </w:tcPr>
          <w:p w14:paraId="7A0563EC">
            <w:pPr>
              <w:adjustRightInd w:val="0"/>
              <w:snapToGrid w:val="0"/>
              <w:spacing w:line="240" w:lineRule="auto"/>
              <w:jc w:val="center"/>
              <w:rPr>
                <w:sz w:val="21"/>
                <w:szCs w:val="21"/>
              </w:rPr>
            </w:pPr>
            <w:r>
              <w:rPr>
                <w:rFonts w:hint="eastAsia"/>
                <w:sz w:val="21"/>
                <w:szCs w:val="21"/>
              </w:rPr>
              <w:t>3.4</w:t>
            </w:r>
            <w:r>
              <w:rPr>
                <w:sz w:val="21"/>
                <w:szCs w:val="21"/>
              </w:rPr>
              <w:t>t/a</w:t>
            </w:r>
          </w:p>
        </w:tc>
        <w:tc>
          <w:tcPr>
            <w:tcW w:w="0" w:type="auto"/>
            <w:vMerge w:val="continue"/>
            <w:tcBorders>
              <w:tl2br w:val="nil"/>
              <w:tr2bl w:val="nil"/>
            </w:tcBorders>
            <w:vAlign w:val="center"/>
          </w:tcPr>
          <w:p w14:paraId="3A4E6EA7">
            <w:pPr>
              <w:adjustRightInd w:val="0"/>
              <w:snapToGrid w:val="0"/>
              <w:spacing w:line="240" w:lineRule="auto"/>
              <w:jc w:val="center"/>
              <w:rPr>
                <w:sz w:val="21"/>
                <w:szCs w:val="21"/>
              </w:rPr>
            </w:pPr>
          </w:p>
        </w:tc>
      </w:tr>
      <w:tr w14:paraId="006C8E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154FE955">
            <w:pPr>
              <w:adjustRightInd w:val="0"/>
              <w:snapToGrid w:val="0"/>
              <w:spacing w:line="240" w:lineRule="auto"/>
              <w:jc w:val="center"/>
              <w:rPr>
                <w:sz w:val="21"/>
                <w:szCs w:val="21"/>
              </w:rPr>
            </w:pPr>
          </w:p>
        </w:tc>
        <w:tc>
          <w:tcPr>
            <w:tcW w:w="0" w:type="auto"/>
            <w:vMerge w:val="continue"/>
            <w:tcBorders>
              <w:tl2br w:val="nil"/>
              <w:tr2bl w:val="nil"/>
            </w:tcBorders>
            <w:vAlign w:val="center"/>
          </w:tcPr>
          <w:p w14:paraId="1636126C">
            <w:pPr>
              <w:adjustRightInd w:val="0"/>
              <w:snapToGrid w:val="0"/>
              <w:spacing w:line="240" w:lineRule="auto"/>
              <w:jc w:val="center"/>
              <w:rPr>
                <w:sz w:val="21"/>
                <w:szCs w:val="21"/>
              </w:rPr>
            </w:pPr>
          </w:p>
        </w:tc>
        <w:tc>
          <w:tcPr>
            <w:tcW w:w="0" w:type="auto"/>
            <w:tcBorders>
              <w:tl2br w:val="nil"/>
              <w:tr2bl w:val="nil"/>
            </w:tcBorders>
            <w:vAlign w:val="center"/>
          </w:tcPr>
          <w:p w14:paraId="0D7287BB">
            <w:pPr>
              <w:adjustRightInd w:val="0"/>
              <w:snapToGrid w:val="0"/>
              <w:spacing w:line="240" w:lineRule="auto"/>
              <w:jc w:val="center"/>
              <w:rPr>
                <w:sz w:val="21"/>
                <w:szCs w:val="21"/>
              </w:rPr>
            </w:pPr>
            <w:r>
              <w:rPr>
                <w:rFonts w:hint="eastAsia"/>
                <w:sz w:val="21"/>
                <w:szCs w:val="21"/>
              </w:rPr>
              <w:t>废溶剂</w:t>
            </w:r>
          </w:p>
        </w:tc>
        <w:tc>
          <w:tcPr>
            <w:tcW w:w="0" w:type="auto"/>
            <w:tcBorders>
              <w:tl2br w:val="nil"/>
              <w:tr2bl w:val="nil"/>
            </w:tcBorders>
            <w:vAlign w:val="center"/>
          </w:tcPr>
          <w:p w14:paraId="496302A8">
            <w:pPr>
              <w:adjustRightInd w:val="0"/>
              <w:snapToGrid w:val="0"/>
              <w:spacing w:line="240" w:lineRule="auto"/>
              <w:jc w:val="center"/>
              <w:rPr>
                <w:sz w:val="21"/>
                <w:szCs w:val="21"/>
              </w:rPr>
            </w:pPr>
            <w:r>
              <w:rPr>
                <w:rFonts w:hint="eastAsia"/>
                <w:sz w:val="21"/>
                <w:szCs w:val="21"/>
              </w:rPr>
              <w:t>2</w:t>
            </w:r>
            <w:r>
              <w:rPr>
                <w:sz w:val="21"/>
                <w:szCs w:val="21"/>
              </w:rPr>
              <w:t>t/a</w:t>
            </w:r>
          </w:p>
        </w:tc>
        <w:tc>
          <w:tcPr>
            <w:tcW w:w="0" w:type="auto"/>
            <w:vMerge w:val="continue"/>
            <w:tcBorders>
              <w:tl2br w:val="nil"/>
              <w:tr2bl w:val="nil"/>
            </w:tcBorders>
            <w:vAlign w:val="center"/>
          </w:tcPr>
          <w:p w14:paraId="429D1422">
            <w:pPr>
              <w:adjustRightInd w:val="0"/>
              <w:snapToGrid w:val="0"/>
              <w:spacing w:line="240" w:lineRule="auto"/>
              <w:jc w:val="center"/>
              <w:rPr>
                <w:sz w:val="21"/>
                <w:szCs w:val="21"/>
              </w:rPr>
            </w:pPr>
          </w:p>
        </w:tc>
      </w:tr>
      <w:tr w14:paraId="0440DD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618CB8D8">
            <w:pPr>
              <w:adjustRightInd w:val="0"/>
              <w:snapToGrid w:val="0"/>
              <w:spacing w:line="240" w:lineRule="auto"/>
              <w:jc w:val="center"/>
              <w:rPr>
                <w:sz w:val="21"/>
                <w:szCs w:val="21"/>
              </w:rPr>
            </w:pPr>
          </w:p>
        </w:tc>
        <w:tc>
          <w:tcPr>
            <w:tcW w:w="0" w:type="auto"/>
            <w:vMerge w:val="continue"/>
            <w:tcBorders>
              <w:tl2br w:val="nil"/>
              <w:tr2bl w:val="nil"/>
            </w:tcBorders>
            <w:vAlign w:val="center"/>
          </w:tcPr>
          <w:p w14:paraId="6A3CC3FA">
            <w:pPr>
              <w:adjustRightInd w:val="0"/>
              <w:snapToGrid w:val="0"/>
              <w:spacing w:line="240" w:lineRule="auto"/>
              <w:jc w:val="center"/>
              <w:rPr>
                <w:sz w:val="21"/>
                <w:szCs w:val="21"/>
              </w:rPr>
            </w:pPr>
          </w:p>
        </w:tc>
        <w:tc>
          <w:tcPr>
            <w:tcW w:w="0" w:type="auto"/>
            <w:tcBorders>
              <w:tl2br w:val="nil"/>
              <w:tr2bl w:val="nil"/>
            </w:tcBorders>
            <w:vAlign w:val="center"/>
          </w:tcPr>
          <w:p w14:paraId="75E1F631">
            <w:pPr>
              <w:adjustRightInd w:val="0"/>
              <w:snapToGrid w:val="0"/>
              <w:spacing w:line="240" w:lineRule="auto"/>
              <w:jc w:val="center"/>
              <w:rPr>
                <w:sz w:val="21"/>
                <w:szCs w:val="21"/>
              </w:rPr>
            </w:pPr>
            <w:r>
              <w:rPr>
                <w:rFonts w:hint="eastAsia"/>
                <w:sz w:val="21"/>
                <w:szCs w:val="21"/>
              </w:rPr>
              <w:t>废胶</w:t>
            </w:r>
          </w:p>
        </w:tc>
        <w:tc>
          <w:tcPr>
            <w:tcW w:w="0" w:type="auto"/>
            <w:tcBorders>
              <w:tl2br w:val="nil"/>
              <w:tr2bl w:val="nil"/>
            </w:tcBorders>
            <w:vAlign w:val="center"/>
          </w:tcPr>
          <w:p w14:paraId="5D4F34D0">
            <w:pPr>
              <w:adjustRightInd w:val="0"/>
              <w:snapToGrid w:val="0"/>
              <w:spacing w:line="240" w:lineRule="auto"/>
              <w:jc w:val="center"/>
              <w:rPr>
                <w:sz w:val="21"/>
                <w:szCs w:val="21"/>
              </w:rPr>
            </w:pPr>
            <w:r>
              <w:rPr>
                <w:rFonts w:hint="eastAsia"/>
                <w:sz w:val="21"/>
                <w:szCs w:val="21"/>
              </w:rPr>
              <w:t>2.8</w:t>
            </w:r>
            <w:r>
              <w:rPr>
                <w:sz w:val="21"/>
                <w:szCs w:val="21"/>
              </w:rPr>
              <w:t>t/a</w:t>
            </w:r>
          </w:p>
        </w:tc>
        <w:tc>
          <w:tcPr>
            <w:tcW w:w="0" w:type="auto"/>
            <w:vMerge w:val="continue"/>
            <w:tcBorders>
              <w:tl2br w:val="nil"/>
              <w:tr2bl w:val="nil"/>
            </w:tcBorders>
            <w:vAlign w:val="center"/>
          </w:tcPr>
          <w:p w14:paraId="1D28FD46">
            <w:pPr>
              <w:adjustRightInd w:val="0"/>
              <w:snapToGrid w:val="0"/>
              <w:spacing w:line="240" w:lineRule="auto"/>
              <w:jc w:val="center"/>
              <w:rPr>
                <w:sz w:val="21"/>
                <w:szCs w:val="21"/>
              </w:rPr>
            </w:pPr>
          </w:p>
        </w:tc>
      </w:tr>
      <w:tr w14:paraId="666B8B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0E1C03BD">
            <w:pPr>
              <w:adjustRightInd w:val="0"/>
              <w:snapToGrid w:val="0"/>
              <w:spacing w:line="240" w:lineRule="auto"/>
              <w:jc w:val="center"/>
              <w:rPr>
                <w:sz w:val="21"/>
                <w:szCs w:val="21"/>
              </w:rPr>
            </w:pPr>
          </w:p>
        </w:tc>
        <w:tc>
          <w:tcPr>
            <w:tcW w:w="0" w:type="auto"/>
            <w:vMerge w:val="continue"/>
            <w:tcBorders>
              <w:tl2br w:val="nil"/>
              <w:tr2bl w:val="nil"/>
            </w:tcBorders>
            <w:vAlign w:val="center"/>
          </w:tcPr>
          <w:p w14:paraId="7876683B">
            <w:pPr>
              <w:adjustRightInd w:val="0"/>
              <w:snapToGrid w:val="0"/>
              <w:spacing w:line="240" w:lineRule="auto"/>
              <w:jc w:val="center"/>
              <w:rPr>
                <w:sz w:val="21"/>
                <w:szCs w:val="21"/>
              </w:rPr>
            </w:pPr>
          </w:p>
        </w:tc>
        <w:tc>
          <w:tcPr>
            <w:tcW w:w="0" w:type="auto"/>
            <w:tcBorders>
              <w:tl2br w:val="nil"/>
              <w:tr2bl w:val="nil"/>
            </w:tcBorders>
            <w:vAlign w:val="center"/>
          </w:tcPr>
          <w:p w14:paraId="5ACA2B63">
            <w:pPr>
              <w:adjustRightInd w:val="0"/>
              <w:snapToGrid w:val="0"/>
              <w:spacing w:line="240" w:lineRule="auto"/>
              <w:jc w:val="center"/>
              <w:rPr>
                <w:sz w:val="21"/>
                <w:szCs w:val="21"/>
              </w:rPr>
            </w:pPr>
            <w:r>
              <w:rPr>
                <w:rFonts w:hint="eastAsia"/>
                <w:sz w:val="21"/>
                <w:szCs w:val="21"/>
              </w:rPr>
              <w:t>废碱液</w:t>
            </w:r>
          </w:p>
        </w:tc>
        <w:tc>
          <w:tcPr>
            <w:tcW w:w="0" w:type="auto"/>
            <w:tcBorders>
              <w:tl2br w:val="nil"/>
              <w:tr2bl w:val="nil"/>
            </w:tcBorders>
            <w:vAlign w:val="center"/>
          </w:tcPr>
          <w:p w14:paraId="7BA33C05">
            <w:pPr>
              <w:adjustRightInd w:val="0"/>
              <w:snapToGrid w:val="0"/>
              <w:spacing w:line="240" w:lineRule="auto"/>
              <w:jc w:val="center"/>
              <w:rPr>
                <w:sz w:val="21"/>
                <w:szCs w:val="21"/>
              </w:rPr>
            </w:pPr>
            <w:r>
              <w:rPr>
                <w:rFonts w:hint="eastAsia"/>
                <w:sz w:val="21"/>
                <w:szCs w:val="21"/>
              </w:rPr>
              <w:t>10</w:t>
            </w:r>
            <w:r>
              <w:rPr>
                <w:sz w:val="21"/>
                <w:szCs w:val="21"/>
              </w:rPr>
              <w:t>t/a</w:t>
            </w:r>
          </w:p>
        </w:tc>
        <w:tc>
          <w:tcPr>
            <w:tcW w:w="0" w:type="auto"/>
            <w:tcBorders>
              <w:tl2br w:val="nil"/>
              <w:tr2bl w:val="nil"/>
            </w:tcBorders>
            <w:vAlign w:val="center"/>
          </w:tcPr>
          <w:p w14:paraId="58035A69">
            <w:pPr>
              <w:adjustRightInd w:val="0"/>
              <w:snapToGrid w:val="0"/>
              <w:spacing w:line="240" w:lineRule="auto"/>
              <w:jc w:val="center"/>
              <w:rPr>
                <w:sz w:val="21"/>
                <w:szCs w:val="21"/>
              </w:rPr>
            </w:pPr>
            <w:r>
              <w:rPr>
                <w:sz w:val="21"/>
                <w:szCs w:val="21"/>
              </w:rPr>
              <w:t>交由</w:t>
            </w:r>
            <w:r>
              <w:rPr>
                <w:rFonts w:hint="eastAsia"/>
                <w:sz w:val="21"/>
                <w:szCs w:val="21"/>
              </w:rPr>
              <w:t>有资质单位进行</w:t>
            </w:r>
            <w:r>
              <w:rPr>
                <w:sz w:val="21"/>
                <w:szCs w:val="21"/>
              </w:rPr>
              <w:t>处理</w:t>
            </w:r>
          </w:p>
        </w:tc>
      </w:tr>
      <w:tr w14:paraId="312948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0C97B2A">
            <w:pPr>
              <w:adjustRightInd w:val="0"/>
              <w:snapToGrid w:val="0"/>
              <w:spacing w:line="240" w:lineRule="auto"/>
              <w:jc w:val="center"/>
              <w:rPr>
                <w:sz w:val="21"/>
                <w:szCs w:val="21"/>
              </w:rPr>
            </w:pPr>
          </w:p>
        </w:tc>
        <w:tc>
          <w:tcPr>
            <w:tcW w:w="0" w:type="auto"/>
            <w:vMerge w:val="continue"/>
            <w:tcBorders>
              <w:tl2br w:val="nil"/>
              <w:tr2bl w:val="nil"/>
            </w:tcBorders>
            <w:vAlign w:val="center"/>
          </w:tcPr>
          <w:p w14:paraId="6C1C2906">
            <w:pPr>
              <w:adjustRightInd w:val="0"/>
              <w:snapToGrid w:val="0"/>
              <w:spacing w:line="240" w:lineRule="auto"/>
              <w:jc w:val="center"/>
              <w:rPr>
                <w:sz w:val="21"/>
                <w:szCs w:val="21"/>
              </w:rPr>
            </w:pPr>
          </w:p>
        </w:tc>
        <w:tc>
          <w:tcPr>
            <w:tcW w:w="0" w:type="auto"/>
            <w:tcBorders>
              <w:tl2br w:val="nil"/>
              <w:tr2bl w:val="nil"/>
            </w:tcBorders>
            <w:vAlign w:val="center"/>
          </w:tcPr>
          <w:p w14:paraId="187442F6">
            <w:pPr>
              <w:adjustRightInd w:val="0"/>
              <w:snapToGrid w:val="0"/>
              <w:spacing w:line="240" w:lineRule="auto"/>
              <w:jc w:val="center"/>
              <w:rPr>
                <w:sz w:val="21"/>
                <w:szCs w:val="21"/>
              </w:rPr>
            </w:pPr>
            <w:r>
              <w:rPr>
                <w:sz w:val="21"/>
                <w:szCs w:val="21"/>
              </w:rPr>
              <w:t>废印刷版</w:t>
            </w:r>
          </w:p>
        </w:tc>
        <w:tc>
          <w:tcPr>
            <w:tcW w:w="0" w:type="auto"/>
            <w:tcBorders>
              <w:tl2br w:val="nil"/>
              <w:tr2bl w:val="nil"/>
            </w:tcBorders>
            <w:vAlign w:val="center"/>
          </w:tcPr>
          <w:p w14:paraId="6AF913A9">
            <w:pPr>
              <w:adjustRightInd w:val="0"/>
              <w:snapToGrid w:val="0"/>
              <w:spacing w:line="240" w:lineRule="auto"/>
              <w:jc w:val="center"/>
              <w:rPr>
                <w:sz w:val="21"/>
                <w:szCs w:val="21"/>
              </w:rPr>
            </w:pPr>
            <w:r>
              <w:rPr>
                <w:sz w:val="21"/>
                <w:szCs w:val="21"/>
              </w:rPr>
              <w:t>4667只</w:t>
            </w:r>
          </w:p>
        </w:tc>
        <w:tc>
          <w:tcPr>
            <w:tcW w:w="0" w:type="auto"/>
            <w:tcBorders>
              <w:tl2br w:val="nil"/>
              <w:tr2bl w:val="nil"/>
            </w:tcBorders>
            <w:vAlign w:val="center"/>
          </w:tcPr>
          <w:p w14:paraId="7666CF3C">
            <w:pPr>
              <w:adjustRightInd w:val="0"/>
              <w:snapToGrid w:val="0"/>
              <w:spacing w:line="240" w:lineRule="auto"/>
              <w:jc w:val="center"/>
              <w:rPr>
                <w:sz w:val="21"/>
                <w:szCs w:val="21"/>
              </w:rPr>
            </w:pPr>
            <w:r>
              <w:rPr>
                <w:sz w:val="21"/>
                <w:szCs w:val="21"/>
              </w:rPr>
              <w:t>厂商进行回收、再利用</w:t>
            </w:r>
          </w:p>
        </w:tc>
      </w:tr>
      <w:tr w14:paraId="0B6589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284F7579">
            <w:pPr>
              <w:adjustRightInd w:val="0"/>
              <w:snapToGrid w:val="0"/>
              <w:spacing w:line="240" w:lineRule="auto"/>
              <w:jc w:val="center"/>
              <w:rPr>
                <w:sz w:val="21"/>
                <w:szCs w:val="21"/>
              </w:rPr>
            </w:pPr>
          </w:p>
        </w:tc>
        <w:tc>
          <w:tcPr>
            <w:tcW w:w="0" w:type="auto"/>
            <w:vMerge w:val="continue"/>
            <w:tcBorders>
              <w:tl2br w:val="nil"/>
              <w:tr2bl w:val="nil"/>
            </w:tcBorders>
            <w:vAlign w:val="center"/>
          </w:tcPr>
          <w:p w14:paraId="3A1E3D0C">
            <w:pPr>
              <w:adjustRightInd w:val="0"/>
              <w:snapToGrid w:val="0"/>
              <w:spacing w:line="240" w:lineRule="auto"/>
              <w:jc w:val="center"/>
              <w:rPr>
                <w:sz w:val="21"/>
                <w:szCs w:val="21"/>
              </w:rPr>
            </w:pPr>
          </w:p>
        </w:tc>
        <w:tc>
          <w:tcPr>
            <w:tcW w:w="0" w:type="auto"/>
            <w:tcBorders>
              <w:tl2br w:val="nil"/>
              <w:tr2bl w:val="nil"/>
            </w:tcBorders>
            <w:vAlign w:val="center"/>
          </w:tcPr>
          <w:p w14:paraId="3F3AE36A">
            <w:pPr>
              <w:adjustRightInd w:val="0"/>
              <w:snapToGrid w:val="0"/>
              <w:spacing w:line="240" w:lineRule="auto"/>
              <w:jc w:val="center"/>
              <w:rPr>
                <w:sz w:val="21"/>
                <w:szCs w:val="21"/>
              </w:rPr>
            </w:pPr>
            <w:r>
              <w:rPr>
                <w:sz w:val="21"/>
                <w:szCs w:val="21"/>
              </w:rPr>
              <w:t>边角料</w:t>
            </w:r>
          </w:p>
        </w:tc>
        <w:tc>
          <w:tcPr>
            <w:tcW w:w="0" w:type="auto"/>
            <w:tcBorders>
              <w:tl2br w:val="nil"/>
              <w:tr2bl w:val="nil"/>
            </w:tcBorders>
            <w:vAlign w:val="center"/>
          </w:tcPr>
          <w:p w14:paraId="58E47E34">
            <w:pPr>
              <w:adjustRightInd w:val="0"/>
              <w:snapToGrid w:val="0"/>
              <w:spacing w:line="240" w:lineRule="auto"/>
              <w:jc w:val="center"/>
              <w:rPr>
                <w:sz w:val="21"/>
                <w:szCs w:val="21"/>
              </w:rPr>
            </w:pPr>
            <w:r>
              <w:rPr>
                <w:rFonts w:hint="eastAsia"/>
                <w:sz w:val="21"/>
                <w:szCs w:val="21"/>
              </w:rPr>
              <w:t>200</w:t>
            </w:r>
            <w:r>
              <w:rPr>
                <w:sz w:val="21"/>
                <w:szCs w:val="21"/>
              </w:rPr>
              <w:t>t/a</w:t>
            </w:r>
          </w:p>
        </w:tc>
        <w:tc>
          <w:tcPr>
            <w:tcW w:w="0" w:type="auto"/>
            <w:vMerge w:val="restart"/>
            <w:tcBorders>
              <w:tl2br w:val="nil"/>
              <w:tr2bl w:val="nil"/>
            </w:tcBorders>
            <w:vAlign w:val="center"/>
          </w:tcPr>
          <w:p w14:paraId="0F874113">
            <w:pPr>
              <w:adjustRightInd w:val="0"/>
              <w:snapToGrid w:val="0"/>
              <w:spacing w:line="240" w:lineRule="auto"/>
              <w:jc w:val="center"/>
              <w:rPr>
                <w:sz w:val="21"/>
                <w:szCs w:val="21"/>
              </w:rPr>
            </w:pPr>
            <w:r>
              <w:rPr>
                <w:sz w:val="21"/>
                <w:szCs w:val="21"/>
              </w:rPr>
              <w:t>由废塑料收购企业定期回收再利用</w:t>
            </w:r>
          </w:p>
        </w:tc>
      </w:tr>
      <w:tr w14:paraId="4A2244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BC7CD14">
            <w:pPr>
              <w:adjustRightInd w:val="0"/>
              <w:snapToGrid w:val="0"/>
              <w:spacing w:line="240" w:lineRule="auto"/>
              <w:jc w:val="center"/>
              <w:rPr>
                <w:sz w:val="21"/>
                <w:szCs w:val="21"/>
              </w:rPr>
            </w:pPr>
          </w:p>
        </w:tc>
        <w:tc>
          <w:tcPr>
            <w:tcW w:w="0" w:type="auto"/>
            <w:vMerge w:val="continue"/>
            <w:tcBorders>
              <w:tl2br w:val="nil"/>
              <w:tr2bl w:val="nil"/>
            </w:tcBorders>
            <w:vAlign w:val="center"/>
          </w:tcPr>
          <w:p w14:paraId="683F816D">
            <w:pPr>
              <w:adjustRightInd w:val="0"/>
              <w:snapToGrid w:val="0"/>
              <w:spacing w:line="240" w:lineRule="auto"/>
              <w:jc w:val="center"/>
              <w:rPr>
                <w:sz w:val="21"/>
                <w:szCs w:val="21"/>
              </w:rPr>
            </w:pPr>
          </w:p>
        </w:tc>
        <w:tc>
          <w:tcPr>
            <w:tcW w:w="0" w:type="auto"/>
            <w:tcBorders>
              <w:tl2br w:val="nil"/>
              <w:tr2bl w:val="nil"/>
            </w:tcBorders>
            <w:vAlign w:val="center"/>
          </w:tcPr>
          <w:p w14:paraId="28581681">
            <w:pPr>
              <w:adjustRightInd w:val="0"/>
              <w:snapToGrid w:val="0"/>
              <w:spacing w:line="240" w:lineRule="auto"/>
              <w:jc w:val="center"/>
              <w:rPr>
                <w:sz w:val="21"/>
                <w:szCs w:val="21"/>
              </w:rPr>
            </w:pPr>
            <w:r>
              <w:rPr>
                <w:rFonts w:hint="eastAsia"/>
                <w:sz w:val="21"/>
                <w:szCs w:val="21"/>
              </w:rPr>
              <w:t>不合格产品</w:t>
            </w:r>
          </w:p>
        </w:tc>
        <w:tc>
          <w:tcPr>
            <w:tcW w:w="0" w:type="auto"/>
            <w:tcBorders>
              <w:tl2br w:val="nil"/>
              <w:tr2bl w:val="nil"/>
            </w:tcBorders>
            <w:vAlign w:val="center"/>
          </w:tcPr>
          <w:p w14:paraId="1846502F">
            <w:pPr>
              <w:adjustRightInd w:val="0"/>
              <w:snapToGrid w:val="0"/>
              <w:spacing w:line="240" w:lineRule="auto"/>
              <w:jc w:val="center"/>
              <w:rPr>
                <w:sz w:val="21"/>
                <w:szCs w:val="21"/>
              </w:rPr>
            </w:pPr>
            <w:r>
              <w:rPr>
                <w:rFonts w:hint="eastAsia"/>
                <w:sz w:val="21"/>
                <w:szCs w:val="21"/>
              </w:rPr>
              <w:t>596.8</w:t>
            </w:r>
            <w:r>
              <w:rPr>
                <w:sz w:val="21"/>
                <w:szCs w:val="21"/>
              </w:rPr>
              <w:t>t/a</w:t>
            </w:r>
          </w:p>
        </w:tc>
        <w:tc>
          <w:tcPr>
            <w:tcW w:w="0" w:type="auto"/>
            <w:vMerge w:val="continue"/>
            <w:tcBorders>
              <w:tl2br w:val="nil"/>
              <w:tr2bl w:val="nil"/>
            </w:tcBorders>
            <w:vAlign w:val="center"/>
          </w:tcPr>
          <w:p w14:paraId="7E1A8E35">
            <w:pPr>
              <w:adjustRightInd w:val="0"/>
              <w:snapToGrid w:val="0"/>
              <w:spacing w:line="240" w:lineRule="auto"/>
              <w:jc w:val="center"/>
              <w:rPr>
                <w:sz w:val="21"/>
                <w:szCs w:val="21"/>
              </w:rPr>
            </w:pPr>
          </w:p>
        </w:tc>
      </w:tr>
      <w:tr w14:paraId="64CDC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11A77486">
            <w:pPr>
              <w:adjustRightInd w:val="0"/>
              <w:snapToGrid w:val="0"/>
              <w:spacing w:line="240" w:lineRule="auto"/>
              <w:jc w:val="center"/>
              <w:rPr>
                <w:sz w:val="21"/>
                <w:szCs w:val="21"/>
              </w:rPr>
            </w:pPr>
          </w:p>
        </w:tc>
        <w:tc>
          <w:tcPr>
            <w:tcW w:w="0" w:type="auto"/>
            <w:tcBorders>
              <w:tl2br w:val="nil"/>
              <w:tr2bl w:val="nil"/>
            </w:tcBorders>
            <w:vAlign w:val="center"/>
          </w:tcPr>
          <w:p w14:paraId="52C92568">
            <w:pPr>
              <w:adjustRightInd w:val="0"/>
              <w:snapToGrid w:val="0"/>
              <w:spacing w:line="240" w:lineRule="auto"/>
              <w:jc w:val="center"/>
              <w:rPr>
                <w:sz w:val="21"/>
                <w:szCs w:val="21"/>
              </w:rPr>
            </w:pPr>
            <w:r>
              <w:rPr>
                <w:rFonts w:hint="eastAsia"/>
                <w:sz w:val="21"/>
                <w:szCs w:val="21"/>
              </w:rPr>
              <w:t>生活</w:t>
            </w:r>
          </w:p>
        </w:tc>
        <w:tc>
          <w:tcPr>
            <w:tcW w:w="0" w:type="auto"/>
            <w:tcBorders>
              <w:tl2br w:val="nil"/>
              <w:tr2bl w:val="nil"/>
            </w:tcBorders>
            <w:vAlign w:val="center"/>
          </w:tcPr>
          <w:p w14:paraId="2A8ADD10">
            <w:pPr>
              <w:adjustRightInd w:val="0"/>
              <w:snapToGrid w:val="0"/>
              <w:spacing w:line="240" w:lineRule="auto"/>
              <w:jc w:val="center"/>
              <w:rPr>
                <w:sz w:val="21"/>
                <w:szCs w:val="21"/>
              </w:rPr>
            </w:pPr>
            <w:r>
              <w:rPr>
                <w:rFonts w:hint="eastAsia"/>
                <w:sz w:val="21"/>
                <w:szCs w:val="21"/>
              </w:rPr>
              <w:t>生活垃圾</w:t>
            </w:r>
          </w:p>
        </w:tc>
        <w:tc>
          <w:tcPr>
            <w:tcW w:w="0" w:type="auto"/>
            <w:tcBorders>
              <w:tl2br w:val="nil"/>
              <w:tr2bl w:val="nil"/>
            </w:tcBorders>
            <w:vAlign w:val="center"/>
          </w:tcPr>
          <w:p w14:paraId="6B8E1A01">
            <w:pPr>
              <w:adjustRightInd w:val="0"/>
              <w:snapToGrid w:val="0"/>
              <w:spacing w:line="240" w:lineRule="auto"/>
              <w:jc w:val="center"/>
              <w:rPr>
                <w:sz w:val="21"/>
                <w:szCs w:val="21"/>
              </w:rPr>
            </w:pPr>
            <w:r>
              <w:rPr>
                <w:rFonts w:hint="eastAsia"/>
                <w:sz w:val="21"/>
                <w:szCs w:val="21"/>
              </w:rPr>
              <w:t>64.8</w:t>
            </w:r>
            <w:r>
              <w:rPr>
                <w:sz w:val="21"/>
                <w:szCs w:val="21"/>
              </w:rPr>
              <w:t>t/a</w:t>
            </w:r>
          </w:p>
        </w:tc>
        <w:tc>
          <w:tcPr>
            <w:tcW w:w="0" w:type="auto"/>
            <w:tcBorders>
              <w:tl2br w:val="nil"/>
              <w:tr2bl w:val="nil"/>
            </w:tcBorders>
            <w:vAlign w:val="center"/>
          </w:tcPr>
          <w:p w14:paraId="6332FCB3">
            <w:pPr>
              <w:adjustRightInd w:val="0"/>
              <w:snapToGrid w:val="0"/>
              <w:spacing w:line="240" w:lineRule="auto"/>
              <w:jc w:val="center"/>
              <w:rPr>
                <w:sz w:val="21"/>
                <w:szCs w:val="21"/>
              </w:rPr>
            </w:pPr>
            <w:r>
              <w:rPr>
                <w:sz w:val="21"/>
                <w:szCs w:val="21"/>
              </w:rPr>
              <w:t>统一收集后交由环卫部门处理</w:t>
            </w:r>
          </w:p>
        </w:tc>
      </w:tr>
    </w:tbl>
    <w:p w14:paraId="1998C26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3.1.4</w:t>
      </w:r>
      <w:r>
        <w:rPr>
          <w:rFonts w:hint="eastAsia"/>
        </w:rPr>
        <w:t>与环评批复落实情况</w:t>
      </w:r>
    </w:p>
    <w:p w14:paraId="134AF4D4">
      <w:pPr>
        <w:ind w:firstLine="480"/>
      </w:pPr>
      <w:r>
        <w:t>项目</w:t>
      </w:r>
      <w:r>
        <w:rPr>
          <w:rFonts w:hint="eastAsia"/>
        </w:rPr>
        <w:t>《年产7000吨塑料包装生产线一条和年产4000吨镀铝膜生产线建设项目环境影响报告表》（2010﹝185﹞）</w:t>
      </w:r>
      <w:r>
        <w:t>环评批复要求及企业落实情况见下表。</w:t>
      </w:r>
    </w:p>
    <w:p w14:paraId="58DC3023">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表3.1-9 </w:t>
      </w:r>
      <w:r>
        <w:rPr>
          <w:rFonts w:hint="eastAsia"/>
        </w:rPr>
        <w:t xml:space="preserve"> </w:t>
      </w:r>
      <w:r>
        <w:rPr>
          <w:rFonts w:hint="eastAsia"/>
          <w:lang w:val="en-US" w:eastAsia="zh-CN"/>
        </w:rPr>
        <w:t xml:space="preserve">   </w:t>
      </w:r>
      <w:r>
        <w:rPr>
          <w:rFonts w:hint="eastAsia"/>
        </w:rPr>
        <w:t>项目环评批复要求及落实情况一览表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75"/>
        <w:gridCol w:w="3761"/>
        <w:gridCol w:w="3508"/>
        <w:gridCol w:w="878"/>
      </w:tblGrid>
      <w:tr w14:paraId="788F20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0" w:type="pct"/>
            <w:tcBorders>
              <w:tl2br w:val="nil"/>
              <w:tr2bl w:val="nil"/>
            </w:tcBorders>
            <w:vAlign w:val="center"/>
          </w:tcPr>
          <w:p w14:paraId="7264808B">
            <w:pPr>
              <w:pStyle w:val="80"/>
              <w:ind w:left="-48" w:right="-48"/>
              <w:rPr>
                <w:rFonts w:ascii="Times New Roman" w:hAnsi="Times New Roman"/>
              </w:rPr>
            </w:pPr>
            <w:r>
              <w:rPr>
                <w:rFonts w:ascii="Times New Roman" w:hAnsi="Times New Roman"/>
              </w:rPr>
              <w:t>序号</w:t>
            </w:r>
          </w:p>
        </w:tc>
        <w:tc>
          <w:tcPr>
            <w:tcW w:w="2206" w:type="pct"/>
            <w:tcBorders>
              <w:tl2br w:val="nil"/>
              <w:tr2bl w:val="nil"/>
            </w:tcBorders>
            <w:vAlign w:val="center"/>
          </w:tcPr>
          <w:p w14:paraId="59486205">
            <w:pPr>
              <w:pStyle w:val="80"/>
              <w:ind w:left="-48" w:right="-48"/>
              <w:rPr>
                <w:rFonts w:ascii="Times New Roman" w:hAnsi="Times New Roman"/>
              </w:rPr>
            </w:pPr>
            <w:r>
              <w:rPr>
                <w:rFonts w:ascii="Times New Roman" w:hAnsi="Times New Roman"/>
              </w:rPr>
              <w:t>环评批复意见</w:t>
            </w:r>
          </w:p>
        </w:tc>
        <w:tc>
          <w:tcPr>
            <w:tcW w:w="2058" w:type="pct"/>
            <w:tcBorders>
              <w:tl2br w:val="nil"/>
              <w:tr2bl w:val="nil"/>
            </w:tcBorders>
            <w:vAlign w:val="center"/>
          </w:tcPr>
          <w:p w14:paraId="32F9EA5C">
            <w:pPr>
              <w:pStyle w:val="80"/>
              <w:ind w:left="-48" w:right="-48"/>
              <w:rPr>
                <w:rFonts w:ascii="Times New Roman" w:hAnsi="Times New Roman"/>
              </w:rPr>
            </w:pPr>
            <w:r>
              <w:rPr>
                <w:rFonts w:hint="eastAsia" w:ascii="Times New Roman" w:hAnsi="Times New Roman"/>
              </w:rPr>
              <w:t>实际</w:t>
            </w:r>
            <w:r>
              <w:rPr>
                <w:rFonts w:ascii="Times New Roman" w:hAnsi="Times New Roman"/>
              </w:rPr>
              <w:t>情况</w:t>
            </w:r>
          </w:p>
        </w:tc>
        <w:tc>
          <w:tcPr>
            <w:tcW w:w="515" w:type="pct"/>
            <w:tcBorders>
              <w:tl2br w:val="nil"/>
              <w:tr2bl w:val="nil"/>
            </w:tcBorders>
            <w:vAlign w:val="center"/>
          </w:tcPr>
          <w:p w14:paraId="4B09D610">
            <w:pPr>
              <w:pStyle w:val="80"/>
              <w:ind w:left="-48" w:right="-48"/>
              <w:rPr>
                <w:rFonts w:ascii="Times New Roman" w:hAnsi="Times New Roman"/>
              </w:rPr>
            </w:pPr>
            <w:r>
              <w:rPr>
                <w:rFonts w:hint="eastAsia" w:ascii="Times New Roman" w:hAnsi="Times New Roman"/>
              </w:rPr>
              <w:t>备注</w:t>
            </w:r>
          </w:p>
        </w:tc>
      </w:tr>
      <w:tr w14:paraId="134A99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16" w:hRule="atLeast"/>
          <w:jc w:val="center"/>
        </w:trPr>
        <w:tc>
          <w:tcPr>
            <w:tcW w:w="220" w:type="pct"/>
            <w:tcBorders>
              <w:tl2br w:val="nil"/>
              <w:tr2bl w:val="nil"/>
            </w:tcBorders>
            <w:vAlign w:val="center"/>
          </w:tcPr>
          <w:p w14:paraId="5C2A0587">
            <w:pPr>
              <w:pStyle w:val="80"/>
              <w:ind w:left="-48" w:right="-48"/>
              <w:rPr>
                <w:rFonts w:ascii="Times New Roman" w:hAnsi="Times New Roman"/>
              </w:rPr>
            </w:pPr>
            <w:r>
              <w:rPr>
                <w:rFonts w:ascii="Times New Roman" w:hAnsi="Times New Roman"/>
              </w:rPr>
              <w:t>1</w:t>
            </w:r>
          </w:p>
        </w:tc>
        <w:tc>
          <w:tcPr>
            <w:tcW w:w="2206" w:type="pct"/>
            <w:tcBorders>
              <w:tl2br w:val="nil"/>
              <w:tr2bl w:val="nil"/>
            </w:tcBorders>
            <w:vAlign w:val="center"/>
          </w:tcPr>
          <w:p w14:paraId="4CF61CF9">
            <w:pPr>
              <w:pStyle w:val="80"/>
              <w:tabs>
                <w:tab w:val="left" w:pos="840"/>
              </w:tabs>
              <w:ind w:left="0" w:leftChars="0" w:right="0" w:rightChars="0"/>
              <w:rPr>
                <w:rFonts w:ascii="Times New Roman" w:hAnsi="Times New Roman"/>
              </w:rPr>
            </w:pPr>
            <w:r>
              <w:rPr>
                <w:rFonts w:ascii="Times New Roman" w:hAnsi="Times New Roman"/>
              </w:rPr>
              <w:t>明确原料种类及来源，不得擅自更改使用其他种类塑料进行生产加工。生产车间、库房地面和厂区道路应硬化，所有原料和产品必须分类入库存放，不得露天堆存，对印刷、复合、熟化过程中产生的有机废气以及印刷油墨挥发废气，应采取有效收集和处理措施，减少无组织排放，确保废气排放达到《大气污染物综合排放标准》表2中二级标准要求，减小对周边环境和操作工人的影响</w:t>
            </w:r>
          </w:p>
        </w:tc>
        <w:tc>
          <w:tcPr>
            <w:tcW w:w="2058" w:type="pct"/>
            <w:tcBorders>
              <w:tl2br w:val="nil"/>
              <w:tr2bl w:val="nil"/>
            </w:tcBorders>
            <w:vAlign w:val="center"/>
          </w:tcPr>
          <w:p w14:paraId="2DF12B1F">
            <w:pPr>
              <w:spacing w:line="240" w:lineRule="auto"/>
              <w:rPr>
                <w:sz w:val="21"/>
                <w:szCs w:val="21"/>
              </w:rPr>
            </w:pPr>
            <w:r>
              <w:rPr>
                <w:rFonts w:hint="eastAsia"/>
                <w:sz w:val="21"/>
                <w:szCs w:val="21"/>
              </w:rPr>
              <w:t>1.</w:t>
            </w:r>
            <w:r>
              <w:rPr>
                <w:sz w:val="21"/>
                <w:szCs w:val="21"/>
              </w:rPr>
              <w:t>项目明确原料种类及来源，没有擅自更改使用其他种类塑料进行生产加工。厂区使用天然气、电清洁能源，原料和产品入库放置，不露天堆存。</w:t>
            </w:r>
          </w:p>
          <w:p w14:paraId="63A1E278">
            <w:pPr>
              <w:spacing w:line="240" w:lineRule="auto"/>
              <w:jc w:val="center"/>
              <w:rPr>
                <w:sz w:val="21"/>
                <w:szCs w:val="21"/>
              </w:rPr>
            </w:pPr>
            <w:r>
              <w:rPr>
                <w:rFonts w:hint="eastAsia"/>
                <w:sz w:val="21"/>
                <w:szCs w:val="21"/>
              </w:rPr>
              <w:t>2.更换环保措施为“</w:t>
            </w:r>
            <w:r>
              <w:rPr>
                <w:sz w:val="21"/>
                <w:szCs w:val="21"/>
              </w:rPr>
              <w:t>（2+1）三通路处理凹印有机废气的节能减排系统</w:t>
            </w:r>
            <w:r>
              <w:rPr>
                <w:rFonts w:hint="eastAsia"/>
                <w:sz w:val="21"/>
                <w:szCs w:val="21"/>
              </w:rPr>
              <w:t>”</w:t>
            </w:r>
            <w:r>
              <w:rPr>
                <w:sz w:val="21"/>
                <w:szCs w:val="21"/>
              </w:rPr>
              <w:t>，</w:t>
            </w:r>
            <w:r>
              <w:rPr>
                <w:rFonts w:hint="eastAsia"/>
                <w:sz w:val="21"/>
                <w:szCs w:val="21"/>
              </w:rPr>
              <w:t>该废气具体收集处理如下：</w:t>
            </w:r>
            <w:r>
              <w:rPr>
                <w:sz w:val="21"/>
                <w:szCs w:val="21"/>
              </w:rPr>
              <w:t>印刷机和干式复合机烘箱内有机废气收集后</w:t>
            </w:r>
            <w:r>
              <w:rPr>
                <w:rFonts w:hint="eastAsia"/>
                <w:sz w:val="21"/>
                <w:szCs w:val="21"/>
              </w:rPr>
              <w:t>由“</w:t>
            </w:r>
            <w:r>
              <w:rPr>
                <w:sz w:val="21"/>
                <w:szCs w:val="21"/>
              </w:rPr>
              <w:t>1#治理设施</w:t>
            </w:r>
            <w:r>
              <w:rPr>
                <w:rFonts w:hint="eastAsia"/>
                <w:sz w:val="21"/>
                <w:szCs w:val="21"/>
              </w:rPr>
              <w:t>催化燃烧设备”处理</w:t>
            </w:r>
            <w:r>
              <w:rPr>
                <w:sz w:val="21"/>
                <w:szCs w:val="21"/>
              </w:rPr>
              <w:t>，有机废气收集后经催化氧化后回至印刷机和复合机烘箱。车间内墨槽、</w:t>
            </w:r>
            <w:r>
              <w:rPr>
                <w:rFonts w:hint="eastAsia"/>
                <w:sz w:val="21"/>
                <w:szCs w:val="21"/>
              </w:rPr>
              <w:t>胶槽、</w:t>
            </w:r>
            <w:r>
              <w:rPr>
                <w:sz w:val="21"/>
                <w:szCs w:val="21"/>
              </w:rPr>
              <w:t>墨桶和溶剂桶等处无组织散逸的有机废气，从密闭车间收集后采用两套</w:t>
            </w:r>
            <w:r>
              <w:rPr>
                <w:rFonts w:hint="eastAsia"/>
                <w:sz w:val="21"/>
                <w:szCs w:val="21"/>
              </w:rPr>
              <w:t>“</w:t>
            </w:r>
            <w:r>
              <w:rPr>
                <w:sz w:val="21"/>
                <w:szCs w:val="21"/>
              </w:rPr>
              <w:t>2#治理设施——碱液循环喷淋装置</w:t>
            </w:r>
            <w:r>
              <w:rPr>
                <w:rFonts w:hint="eastAsia"/>
                <w:sz w:val="21"/>
                <w:szCs w:val="21"/>
              </w:rPr>
              <w:t>”</w:t>
            </w:r>
            <w:r>
              <w:rPr>
                <w:sz w:val="21"/>
                <w:szCs w:val="21"/>
              </w:rPr>
              <w:t>净化后排放。</w:t>
            </w:r>
          </w:p>
        </w:tc>
        <w:tc>
          <w:tcPr>
            <w:tcW w:w="515" w:type="pct"/>
            <w:tcBorders>
              <w:tl2br w:val="nil"/>
              <w:tr2bl w:val="nil"/>
            </w:tcBorders>
            <w:vAlign w:val="center"/>
          </w:tcPr>
          <w:p w14:paraId="2EE2AA77">
            <w:pPr>
              <w:spacing w:line="240" w:lineRule="auto"/>
              <w:jc w:val="center"/>
              <w:rPr>
                <w:sz w:val="21"/>
                <w:szCs w:val="21"/>
              </w:rPr>
            </w:pPr>
            <w:r>
              <w:rPr>
                <w:rFonts w:hint="eastAsia"/>
                <w:sz w:val="21"/>
                <w:szCs w:val="21"/>
              </w:rPr>
              <w:t>已落实</w:t>
            </w:r>
          </w:p>
        </w:tc>
      </w:tr>
      <w:tr w14:paraId="5470F1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60" w:hRule="atLeast"/>
          <w:jc w:val="center"/>
        </w:trPr>
        <w:tc>
          <w:tcPr>
            <w:tcW w:w="220" w:type="pct"/>
            <w:tcBorders>
              <w:tl2br w:val="nil"/>
              <w:tr2bl w:val="nil"/>
            </w:tcBorders>
            <w:vAlign w:val="center"/>
          </w:tcPr>
          <w:p w14:paraId="4DA143D0">
            <w:pPr>
              <w:pStyle w:val="80"/>
              <w:ind w:left="-48" w:right="-48"/>
              <w:rPr>
                <w:rFonts w:ascii="Times New Roman" w:hAnsi="Times New Roman"/>
              </w:rPr>
            </w:pPr>
            <w:r>
              <w:rPr>
                <w:rFonts w:ascii="Times New Roman" w:hAnsi="Times New Roman"/>
              </w:rPr>
              <w:t>2</w:t>
            </w:r>
          </w:p>
        </w:tc>
        <w:tc>
          <w:tcPr>
            <w:tcW w:w="2206" w:type="pct"/>
            <w:tcBorders>
              <w:tl2br w:val="nil"/>
              <w:tr2bl w:val="nil"/>
            </w:tcBorders>
            <w:vAlign w:val="center"/>
          </w:tcPr>
          <w:p w14:paraId="2A2A3508">
            <w:pPr>
              <w:spacing w:line="240" w:lineRule="auto"/>
              <w:jc w:val="center"/>
              <w:rPr>
                <w:sz w:val="21"/>
                <w:szCs w:val="21"/>
              </w:rPr>
            </w:pPr>
            <w:r>
              <w:rPr>
                <w:sz w:val="21"/>
                <w:szCs w:val="21"/>
              </w:rPr>
              <w:t>生产和生活用能源必须使用天然气或等清洁能源。食堂油烟应进行净化处理</w:t>
            </w:r>
          </w:p>
        </w:tc>
        <w:tc>
          <w:tcPr>
            <w:tcW w:w="2058" w:type="pct"/>
            <w:tcBorders>
              <w:tl2br w:val="nil"/>
              <w:tr2bl w:val="nil"/>
            </w:tcBorders>
            <w:vAlign w:val="center"/>
          </w:tcPr>
          <w:p w14:paraId="0613FD02">
            <w:pPr>
              <w:pStyle w:val="80"/>
              <w:ind w:left="-48" w:right="0" w:rightChars="0"/>
              <w:rPr>
                <w:rFonts w:ascii="Times New Roman" w:hAnsi="Times New Roman"/>
              </w:rPr>
            </w:pPr>
            <w:r>
              <w:rPr>
                <w:rFonts w:ascii="Times New Roman" w:hAnsi="Times New Roman"/>
              </w:rPr>
              <w:t>生产和生活用能</w:t>
            </w:r>
            <w:r>
              <w:rPr>
                <w:rFonts w:hint="eastAsia" w:ascii="Times New Roman" w:hAnsi="Times New Roman"/>
              </w:rPr>
              <w:t>源采用</w:t>
            </w:r>
            <w:r>
              <w:rPr>
                <w:rFonts w:ascii="Times New Roman" w:hAnsi="Times New Roman"/>
              </w:rPr>
              <w:t>天然气。食堂油烟应进行净化处理</w:t>
            </w:r>
            <w:r>
              <w:rPr>
                <w:rFonts w:hint="eastAsia" w:ascii="Times New Roman" w:hAnsi="Times New Roman"/>
              </w:rPr>
              <w:t>后外排</w:t>
            </w:r>
          </w:p>
        </w:tc>
        <w:tc>
          <w:tcPr>
            <w:tcW w:w="515" w:type="pct"/>
            <w:tcBorders>
              <w:tl2br w:val="nil"/>
              <w:tr2bl w:val="nil"/>
            </w:tcBorders>
            <w:vAlign w:val="center"/>
          </w:tcPr>
          <w:p w14:paraId="51689CBB">
            <w:pPr>
              <w:pStyle w:val="80"/>
              <w:ind w:left="-48" w:right="0" w:rightChars="0"/>
              <w:rPr>
                <w:rFonts w:ascii="Times New Roman" w:hAnsi="Times New Roman"/>
              </w:rPr>
            </w:pPr>
            <w:r>
              <w:rPr>
                <w:rFonts w:hint="eastAsia" w:ascii="Times New Roman" w:hAnsi="Times New Roman"/>
              </w:rPr>
              <w:t>已落实</w:t>
            </w:r>
          </w:p>
        </w:tc>
      </w:tr>
      <w:tr w14:paraId="78DD07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59" w:hRule="atLeast"/>
          <w:jc w:val="center"/>
        </w:trPr>
        <w:tc>
          <w:tcPr>
            <w:tcW w:w="220" w:type="pct"/>
            <w:tcBorders>
              <w:tl2br w:val="nil"/>
              <w:tr2bl w:val="nil"/>
            </w:tcBorders>
            <w:vAlign w:val="center"/>
          </w:tcPr>
          <w:p w14:paraId="6FE79D69">
            <w:pPr>
              <w:pStyle w:val="80"/>
              <w:ind w:left="-48" w:right="-48"/>
              <w:rPr>
                <w:rFonts w:ascii="Times New Roman" w:hAnsi="Times New Roman"/>
              </w:rPr>
            </w:pPr>
            <w:r>
              <w:rPr>
                <w:rFonts w:ascii="Times New Roman" w:hAnsi="Times New Roman"/>
              </w:rPr>
              <w:t>3</w:t>
            </w:r>
          </w:p>
        </w:tc>
        <w:tc>
          <w:tcPr>
            <w:tcW w:w="2206" w:type="pct"/>
            <w:tcBorders>
              <w:tl2br w:val="nil"/>
              <w:tr2bl w:val="nil"/>
            </w:tcBorders>
            <w:vAlign w:val="center"/>
          </w:tcPr>
          <w:p w14:paraId="544C8F50">
            <w:pPr>
              <w:pStyle w:val="80"/>
              <w:ind w:left="-48" w:right="0" w:rightChars="0"/>
              <w:rPr>
                <w:rFonts w:ascii="Times New Roman" w:hAnsi="Times New Roman"/>
              </w:rPr>
            </w:pPr>
            <w:r>
              <w:rPr>
                <w:rFonts w:ascii="Times New Roman" w:hAnsi="Times New Roman"/>
              </w:rPr>
              <w:t>间接冷却水经循环水池冷却后循环使用，不外排，生活污水经化粪池处理后排入园区下水管网，最终纳入湘潭县城市污水处理厂，集中处理后达标排放。</w:t>
            </w:r>
          </w:p>
        </w:tc>
        <w:tc>
          <w:tcPr>
            <w:tcW w:w="2058" w:type="pct"/>
            <w:tcBorders>
              <w:tl2br w:val="nil"/>
              <w:tr2bl w:val="nil"/>
            </w:tcBorders>
            <w:vAlign w:val="center"/>
          </w:tcPr>
          <w:p w14:paraId="01387B88">
            <w:pPr>
              <w:pStyle w:val="80"/>
              <w:ind w:left="-48" w:right="0" w:rightChars="0"/>
              <w:rPr>
                <w:rFonts w:ascii="Times New Roman" w:hAnsi="Times New Roman"/>
              </w:rPr>
            </w:pPr>
            <w:r>
              <w:rPr>
                <w:rFonts w:ascii="Times New Roman" w:hAnsi="Times New Roman"/>
              </w:rPr>
              <w:t>项目按照</w:t>
            </w:r>
            <w:r>
              <w:rPr>
                <w:rFonts w:hint="eastAsia" w:ascii="Times New Roman" w:hAnsi="Times New Roman"/>
              </w:rPr>
              <w:t>“</w:t>
            </w:r>
            <w:r>
              <w:rPr>
                <w:rFonts w:ascii="Times New Roman" w:hAnsi="Times New Roman"/>
              </w:rPr>
              <w:t>雨污分流</w:t>
            </w:r>
            <w:r>
              <w:rPr>
                <w:rFonts w:hint="eastAsia" w:ascii="Times New Roman" w:hAnsi="Times New Roman"/>
              </w:rPr>
              <w:t>”</w:t>
            </w:r>
            <w:r>
              <w:rPr>
                <w:rFonts w:ascii="Times New Roman" w:hAnsi="Times New Roman"/>
              </w:rPr>
              <w:t>的原则建设，生活废水经化粪池预处理后，由厂区废水总排口对接市政管网，排入</w:t>
            </w:r>
            <w:r>
              <w:rPr>
                <w:rFonts w:hint="eastAsia" w:ascii="Times New Roman" w:hAnsi="Times New Roman"/>
              </w:rPr>
              <w:t>湘潭县顺业污水处理有限公司污水处理厂</w:t>
            </w:r>
            <w:r>
              <w:rPr>
                <w:rFonts w:ascii="Times New Roman" w:hAnsi="Times New Roman"/>
              </w:rPr>
              <w:t>深度处理。间接冷却水经循环水池冷却后循环使用，不外排，</w:t>
            </w:r>
          </w:p>
        </w:tc>
        <w:tc>
          <w:tcPr>
            <w:tcW w:w="515" w:type="pct"/>
            <w:tcBorders>
              <w:tl2br w:val="nil"/>
              <w:tr2bl w:val="nil"/>
            </w:tcBorders>
            <w:vAlign w:val="center"/>
          </w:tcPr>
          <w:p w14:paraId="37AE8329">
            <w:pPr>
              <w:pStyle w:val="80"/>
              <w:ind w:left="-48" w:right="0" w:rightChars="0"/>
              <w:rPr>
                <w:rFonts w:ascii="Times New Roman" w:hAnsi="Times New Roman"/>
              </w:rPr>
            </w:pPr>
            <w:r>
              <w:rPr>
                <w:rFonts w:hint="eastAsia" w:ascii="Times New Roman" w:hAnsi="Times New Roman"/>
              </w:rPr>
              <w:t>已落实</w:t>
            </w:r>
          </w:p>
        </w:tc>
      </w:tr>
      <w:tr w14:paraId="6FA82E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0" w:type="pct"/>
            <w:tcBorders>
              <w:tl2br w:val="nil"/>
              <w:tr2bl w:val="nil"/>
            </w:tcBorders>
            <w:vAlign w:val="center"/>
          </w:tcPr>
          <w:p w14:paraId="5558CCC8">
            <w:pPr>
              <w:pStyle w:val="80"/>
              <w:ind w:left="-48" w:right="-48"/>
              <w:rPr>
                <w:rFonts w:ascii="Times New Roman" w:hAnsi="Times New Roman"/>
              </w:rPr>
            </w:pPr>
            <w:r>
              <w:rPr>
                <w:rFonts w:ascii="Times New Roman" w:hAnsi="Times New Roman"/>
              </w:rPr>
              <w:t>4</w:t>
            </w:r>
          </w:p>
        </w:tc>
        <w:tc>
          <w:tcPr>
            <w:tcW w:w="2206" w:type="pct"/>
            <w:tcBorders>
              <w:tl2br w:val="nil"/>
              <w:tr2bl w:val="nil"/>
            </w:tcBorders>
            <w:vAlign w:val="center"/>
          </w:tcPr>
          <w:p w14:paraId="31DF0E5B">
            <w:pPr>
              <w:pStyle w:val="80"/>
              <w:tabs>
                <w:tab w:val="left" w:pos="855"/>
              </w:tabs>
              <w:ind w:left="0" w:leftChars="0" w:right="0" w:rightChars="0"/>
              <w:rPr>
                <w:rFonts w:ascii="Times New Roman" w:hAnsi="Times New Roman"/>
              </w:rPr>
            </w:pPr>
            <w:r>
              <w:rPr>
                <w:rFonts w:ascii="Times New Roman" w:hAnsi="Times New Roman"/>
              </w:rPr>
              <w:t>边角废料和不合格包装袋等固体废弃物经统一收集后进行综合利用，不得随意堆放，防止产生二次污染。废油墨及油墨筒属危险废物，须按照危废管理要求进行集中收集和室内贮存，交由有资质的单位进行处理并报环保局备案检查</w:t>
            </w:r>
          </w:p>
        </w:tc>
        <w:tc>
          <w:tcPr>
            <w:tcW w:w="2058" w:type="pct"/>
            <w:tcBorders>
              <w:tl2br w:val="nil"/>
              <w:tr2bl w:val="nil"/>
            </w:tcBorders>
            <w:vAlign w:val="center"/>
          </w:tcPr>
          <w:p w14:paraId="0804591C">
            <w:pPr>
              <w:pStyle w:val="84"/>
              <w:spacing w:line="240" w:lineRule="atLeast"/>
              <w:jc w:val="both"/>
              <w:rPr>
                <w:rFonts w:hAnsi="Times New Roman"/>
                <w:b w:val="0"/>
                <w:color w:val="auto"/>
              </w:rPr>
            </w:pPr>
            <w:r>
              <w:rPr>
                <w:rFonts w:hAnsi="Times New Roman"/>
                <w:b w:val="0"/>
                <w:color w:val="auto"/>
              </w:rPr>
              <w:t>项目主要固体废弃物为危险废物、一般工业固体废弃物和生活垃圾。</w:t>
            </w:r>
          </w:p>
          <w:p w14:paraId="3B9A14C9">
            <w:pPr>
              <w:pStyle w:val="84"/>
              <w:spacing w:line="240" w:lineRule="atLeast"/>
              <w:jc w:val="both"/>
              <w:rPr>
                <w:rFonts w:hAnsi="Times New Roman"/>
                <w:b w:val="0"/>
                <w:color w:val="auto"/>
              </w:rPr>
            </w:pPr>
            <w:r>
              <w:rPr>
                <w:rFonts w:hAnsi="Times New Roman"/>
                <w:b w:val="0"/>
                <w:color w:val="auto"/>
              </w:rPr>
              <w:t>①危险废物：废油墨桶、废胶水桶</w:t>
            </w:r>
            <w:r>
              <w:rPr>
                <w:rFonts w:hint="eastAsia" w:hAnsi="Times New Roman"/>
                <w:b w:val="0"/>
                <w:color w:val="auto"/>
              </w:rPr>
              <w:t>、含油抹布手套、</w:t>
            </w:r>
            <w:r>
              <w:rPr>
                <w:rFonts w:hint="eastAsia" w:hAnsi="Times New Roman"/>
                <w:b w:val="0"/>
                <w:bCs/>
                <w:color w:val="auto"/>
              </w:rPr>
              <w:t>废稀释剂桶、废油墨、废溶剂、废胶</w:t>
            </w:r>
            <w:r>
              <w:rPr>
                <w:rFonts w:hAnsi="Times New Roman"/>
                <w:b w:val="0"/>
                <w:color w:val="auto"/>
              </w:rPr>
              <w:t>交由</w:t>
            </w:r>
            <w:r>
              <w:rPr>
                <w:rFonts w:hint="eastAsia" w:hAnsi="Times New Roman"/>
                <w:b w:val="0"/>
                <w:bCs/>
                <w:color w:val="auto"/>
              </w:rPr>
              <w:t>有资质的单位</w:t>
            </w:r>
            <w:r>
              <w:rPr>
                <w:rFonts w:hAnsi="Times New Roman"/>
                <w:b w:val="0"/>
                <w:color w:val="auto"/>
              </w:rPr>
              <w:t>处理。</w:t>
            </w:r>
          </w:p>
          <w:p w14:paraId="345B6E45">
            <w:pPr>
              <w:pStyle w:val="84"/>
              <w:spacing w:line="240" w:lineRule="atLeast"/>
              <w:jc w:val="both"/>
              <w:rPr>
                <w:rFonts w:hAnsi="Times New Roman"/>
                <w:b w:val="0"/>
                <w:color w:val="auto"/>
              </w:rPr>
            </w:pPr>
            <w:r>
              <w:rPr>
                <w:rFonts w:hAnsi="Times New Roman"/>
                <w:b w:val="0"/>
                <w:color w:val="auto"/>
              </w:rPr>
              <w:t>②一般工业固体废弃物：生产过程产生的废边角余料、不合格产品、废印刷版、废沸石等暂存于车间内，统一收集后外售。</w:t>
            </w:r>
          </w:p>
          <w:p w14:paraId="31155EC6">
            <w:pPr>
              <w:pStyle w:val="84"/>
              <w:spacing w:line="240" w:lineRule="atLeast"/>
              <w:jc w:val="both"/>
              <w:rPr>
                <w:rFonts w:hAnsi="Times New Roman"/>
                <w:b w:val="0"/>
                <w:color w:val="auto"/>
              </w:rPr>
            </w:pPr>
            <w:r>
              <w:rPr>
                <w:rFonts w:hAnsi="Times New Roman"/>
                <w:b w:val="0"/>
                <w:color w:val="auto"/>
              </w:rPr>
              <w:t>③生活垃圾：由员工日常生活产生，收集于垃圾桶内，交由当地环卫部门处理。</w:t>
            </w:r>
          </w:p>
          <w:p w14:paraId="66CF3B76">
            <w:pPr>
              <w:pStyle w:val="84"/>
              <w:spacing w:line="240" w:lineRule="atLeast"/>
              <w:jc w:val="both"/>
              <w:rPr>
                <w:rFonts w:hAnsi="Times New Roman"/>
                <w:b w:val="0"/>
                <w:color w:val="auto"/>
              </w:rPr>
            </w:pPr>
            <w:r>
              <w:rPr>
                <w:rFonts w:hint="eastAsia" w:hAnsi="Times New Roman"/>
                <w:b w:val="0"/>
                <w:bCs/>
                <w:color w:val="auto"/>
              </w:rPr>
              <w:t>危废间已分区设立台账，并粘贴标示标牌</w:t>
            </w:r>
          </w:p>
        </w:tc>
        <w:tc>
          <w:tcPr>
            <w:tcW w:w="515" w:type="pct"/>
            <w:tcBorders>
              <w:tl2br w:val="nil"/>
              <w:tr2bl w:val="nil"/>
            </w:tcBorders>
            <w:vAlign w:val="center"/>
          </w:tcPr>
          <w:p w14:paraId="7C9DF3DE">
            <w:pPr>
              <w:pStyle w:val="80"/>
              <w:ind w:left="-48" w:right="-48"/>
              <w:rPr>
                <w:rFonts w:ascii="Times New Roman" w:hAnsi="Times New Roman"/>
              </w:rPr>
            </w:pPr>
            <w:r>
              <w:rPr>
                <w:rFonts w:hint="eastAsia" w:ascii="Times New Roman" w:hAnsi="Times New Roman"/>
              </w:rPr>
              <w:t>已落实</w:t>
            </w:r>
          </w:p>
        </w:tc>
      </w:tr>
      <w:tr w14:paraId="582525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20" w:type="pct"/>
            <w:tcBorders>
              <w:tl2br w:val="nil"/>
              <w:tr2bl w:val="nil"/>
            </w:tcBorders>
            <w:vAlign w:val="center"/>
          </w:tcPr>
          <w:p w14:paraId="0C557EC6">
            <w:pPr>
              <w:pStyle w:val="80"/>
              <w:ind w:left="0" w:leftChars="0" w:right="-48"/>
              <w:rPr>
                <w:rFonts w:ascii="Times New Roman" w:hAnsi="Times New Roman"/>
              </w:rPr>
            </w:pPr>
            <w:r>
              <w:rPr>
                <w:rFonts w:ascii="Times New Roman" w:hAnsi="Times New Roman"/>
              </w:rPr>
              <w:t>5</w:t>
            </w:r>
          </w:p>
        </w:tc>
        <w:tc>
          <w:tcPr>
            <w:tcW w:w="2206" w:type="pct"/>
            <w:tcBorders>
              <w:tl2br w:val="nil"/>
              <w:tr2bl w:val="nil"/>
            </w:tcBorders>
            <w:vAlign w:val="center"/>
          </w:tcPr>
          <w:p w14:paraId="445A792B">
            <w:pPr>
              <w:spacing w:line="240" w:lineRule="auto"/>
              <w:jc w:val="center"/>
              <w:rPr>
                <w:sz w:val="21"/>
                <w:szCs w:val="21"/>
              </w:rPr>
            </w:pPr>
            <w:r>
              <w:rPr>
                <w:sz w:val="21"/>
                <w:szCs w:val="21"/>
              </w:rPr>
              <w:t>高噪音设备全部安装于车间内，同时采取封闭厂房、设备减震，栽种高大乔木建立防护带等措施，降低噪声、废气等污染物对环境的影响。</w:t>
            </w:r>
          </w:p>
        </w:tc>
        <w:tc>
          <w:tcPr>
            <w:tcW w:w="2058" w:type="pct"/>
            <w:tcBorders>
              <w:tl2br w:val="nil"/>
              <w:tr2bl w:val="nil"/>
            </w:tcBorders>
            <w:vAlign w:val="center"/>
          </w:tcPr>
          <w:p w14:paraId="1B511173">
            <w:pPr>
              <w:pStyle w:val="84"/>
              <w:rPr>
                <w:rFonts w:hAnsi="Times New Roman"/>
                <w:b w:val="0"/>
                <w:color w:val="auto"/>
              </w:rPr>
            </w:pPr>
            <w:r>
              <w:rPr>
                <w:rFonts w:hAnsi="Times New Roman"/>
                <w:b w:val="0"/>
                <w:color w:val="auto"/>
              </w:rPr>
              <w:t>项目通过选用低噪声设备，合理布局、建筑隔声、基础减振进行降噪。</w:t>
            </w:r>
          </w:p>
        </w:tc>
        <w:tc>
          <w:tcPr>
            <w:tcW w:w="515" w:type="pct"/>
            <w:tcBorders>
              <w:tl2br w:val="nil"/>
              <w:tr2bl w:val="nil"/>
            </w:tcBorders>
            <w:vAlign w:val="center"/>
          </w:tcPr>
          <w:p w14:paraId="5CC9306B">
            <w:pPr>
              <w:pStyle w:val="84"/>
              <w:rPr>
                <w:rFonts w:hAnsi="Times New Roman"/>
                <w:b w:val="0"/>
                <w:color w:val="auto"/>
              </w:rPr>
            </w:pPr>
            <w:r>
              <w:rPr>
                <w:rFonts w:hint="eastAsia" w:hAnsi="Times New Roman"/>
                <w:b w:val="0"/>
                <w:color w:val="auto"/>
              </w:rPr>
              <w:t>已落实</w:t>
            </w:r>
          </w:p>
        </w:tc>
      </w:tr>
      <w:tr w14:paraId="63E321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20" w:type="pct"/>
            <w:tcBorders>
              <w:tl2br w:val="nil"/>
              <w:tr2bl w:val="nil"/>
            </w:tcBorders>
            <w:vAlign w:val="center"/>
          </w:tcPr>
          <w:p w14:paraId="695D6706">
            <w:pPr>
              <w:pStyle w:val="80"/>
              <w:ind w:left="0" w:leftChars="0" w:right="-48"/>
              <w:rPr>
                <w:rFonts w:ascii="Times New Roman" w:hAnsi="Times New Roman"/>
              </w:rPr>
            </w:pPr>
            <w:r>
              <w:rPr>
                <w:rFonts w:hint="eastAsia" w:ascii="Times New Roman" w:hAnsi="Times New Roman"/>
              </w:rPr>
              <w:t>6</w:t>
            </w:r>
          </w:p>
        </w:tc>
        <w:tc>
          <w:tcPr>
            <w:tcW w:w="2206" w:type="pct"/>
            <w:tcBorders>
              <w:tl2br w:val="nil"/>
              <w:tr2bl w:val="nil"/>
            </w:tcBorders>
            <w:vAlign w:val="center"/>
          </w:tcPr>
          <w:p w14:paraId="24A005B8">
            <w:pPr>
              <w:spacing w:line="240" w:lineRule="auto"/>
              <w:jc w:val="center"/>
              <w:rPr>
                <w:sz w:val="21"/>
                <w:szCs w:val="21"/>
              </w:rPr>
            </w:pPr>
            <w:r>
              <w:rPr>
                <w:sz w:val="21"/>
                <w:szCs w:val="21"/>
              </w:rPr>
              <w:t>提高清洁生产水平，加强生产和环保管理，建立健全环境管理制度，安排环保专员负责环保设施的运转维护，规范生产操作流程，采用先进设备工艺，定期维护和保养处理设施，最大限度地减少有机废气和粉尘在生产过程中的排放</w:t>
            </w:r>
          </w:p>
        </w:tc>
        <w:tc>
          <w:tcPr>
            <w:tcW w:w="2058" w:type="pct"/>
            <w:tcBorders>
              <w:tl2br w:val="nil"/>
              <w:tr2bl w:val="nil"/>
            </w:tcBorders>
            <w:vAlign w:val="center"/>
          </w:tcPr>
          <w:p w14:paraId="21CA3944">
            <w:pPr>
              <w:pStyle w:val="84"/>
              <w:jc w:val="both"/>
              <w:rPr>
                <w:rFonts w:hAnsi="Times New Roman"/>
                <w:b w:val="0"/>
                <w:color w:val="auto"/>
              </w:rPr>
            </w:pPr>
            <w:r>
              <w:rPr>
                <w:rFonts w:hAnsi="Times New Roman"/>
                <w:b w:val="0"/>
                <w:color w:val="auto"/>
              </w:rPr>
              <w:t>项目制定了《环境保护管理制度》，制定了各项环境保护管理制度，设置了专人管理，定期对各环保设施进行检查，并进行有关规定的宣传工作，在室内外设置了消防栓和灭火器材等措施降低安全风险。</w:t>
            </w:r>
          </w:p>
        </w:tc>
        <w:tc>
          <w:tcPr>
            <w:tcW w:w="515" w:type="pct"/>
            <w:tcBorders>
              <w:tl2br w:val="nil"/>
              <w:tr2bl w:val="nil"/>
            </w:tcBorders>
            <w:vAlign w:val="center"/>
          </w:tcPr>
          <w:p w14:paraId="13748535">
            <w:pPr>
              <w:pStyle w:val="84"/>
              <w:rPr>
                <w:rFonts w:hAnsi="Times New Roman"/>
                <w:b w:val="0"/>
                <w:color w:val="auto"/>
              </w:rPr>
            </w:pPr>
            <w:r>
              <w:rPr>
                <w:rFonts w:hint="eastAsia" w:hAnsi="Times New Roman"/>
                <w:b w:val="0"/>
                <w:color w:val="auto"/>
              </w:rPr>
              <w:t>已落实</w:t>
            </w:r>
          </w:p>
        </w:tc>
      </w:tr>
    </w:tbl>
    <w:p w14:paraId="1FF6C7C3">
      <w:pPr>
        <w:ind w:firstLine="480"/>
      </w:pPr>
      <w:r>
        <w:t>项目</w:t>
      </w:r>
      <w:r>
        <w:rPr>
          <w:rFonts w:hint="eastAsia"/>
        </w:rPr>
        <w:t>《新增3080吨/年塑料包装袋改扩建项目环境影响报告表》（潭县环审字〔2018〕72号）</w:t>
      </w:r>
      <w:r>
        <w:t>环评批复要求及企业落实情况见下表。</w:t>
      </w:r>
    </w:p>
    <w:p w14:paraId="6A368835">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表3.1-10 </w:t>
      </w:r>
      <w:r>
        <w:rPr>
          <w:rFonts w:hint="eastAsia"/>
        </w:rPr>
        <w:t xml:space="preserve"> 项目环评批复要求及落实情况一览表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76"/>
        <w:gridCol w:w="3760"/>
        <w:gridCol w:w="3117"/>
        <w:gridCol w:w="1269"/>
      </w:tblGrid>
      <w:tr w14:paraId="2A3038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1" w:type="pct"/>
            <w:tcBorders>
              <w:tl2br w:val="nil"/>
              <w:tr2bl w:val="nil"/>
            </w:tcBorders>
            <w:vAlign w:val="center"/>
          </w:tcPr>
          <w:p w14:paraId="71DC2F35">
            <w:pPr>
              <w:pStyle w:val="80"/>
              <w:ind w:left="-48" w:right="-48"/>
              <w:rPr>
                <w:rFonts w:ascii="Times New Roman" w:hAnsi="Times New Roman"/>
              </w:rPr>
            </w:pPr>
            <w:r>
              <w:rPr>
                <w:rFonts w:ascii="Times New Roman" w:hAnsi="Times New Roman"/>
              </w:rPr>
              <w:t>序号</w:t>
            </w:r>
          </w:p>
        </w:tc>
        <w:tc>
          <w:tcPr>
            <w:tcW w:w="2205" w:type="pct"/>
            <w:tcBorders>
              <w:tl2br w:val="nil"/>
              <w:tr2bl w:val="nil"/>
            </w:tcBorders>
            <w:vAlign w:val="center"/>
          </w:tcPr>
          <w:p w14:paraId="63C9FA36">
            <w:pPr>
              <w:pStyle w:val="80"/>
              <w:ind w:left="-48" w:right="-48"/>
              <w:rPr>
                <w:rFonts w:ascii="Times New Roman" w:hAnsi="Times New Roman"/>
              </w:rPr>
            </w:pPr>
            <w:r>
              <w:rPr>
                <w:rFonts w:ascii="Times New Roman" w:hAnsi="Times New Roman"/>
              </w:rPr>
              <w:t>环评批复意见</w:t>
            </w:r>
          </w:p>
        </w:tc>
        <w:tc>
          <w:tcPr>
            <w:tcW w:w="1828" w:type="pct"/>
            <w:tcBorders>
              <w:tl2br w:val="nil"/>
              <w:tr2bl w:val="nil"/>
            </w:tcBorders>
            <w:vAlign w:val="center"/>
          </w:tcPr>
          <w:p w14:paraId="6F501D9F">
            <w:pPr>
              <w:pStyle w:val="80"/>
              <w:ind w:left="-48" w:right="-48"/>
              <w:rPr>
                <w:rFonts w:ascii="Times New Roman" w:hAnsi="Times New Roman"/>
              </w:rPr>
            </w:pPr>
            <w:r>
              <w:rPr>
                <w:rFonts w:hint="eastAsia" w:ascii="Times New Roman" w:hAnsi="Times New Roman"/>
              </w:rPr>
              <w:t>实际</w:t>
            </w:r>
            <w:r>
              <w:rPr>
                <w:rFonts w:ascii="Times New Roman" w:hAnsi="Times New Roman"/>
              </w:rPr>
              <w:t>情况</w:t>
            </w:r>
          </w:p>
        </w:tc>
        <w:tc>
          <w:tcPr>
            <w:tcW w:w="744" w:type="pct"/>
            <w:tcBorders>
              <w:tl2br w:val="nil"/>
              <w:tr2bl w:val="nil"/>
            </w:tcBorders>
            <w:vAlign w:val="center"/>
          </w:tcPr>
          <w:p w14:paraId="389257AF">
            <w:pPr>
              <w:pStyle w:val="80"/>
              <w:ind w:left="-48" w:right="-48"/>
              <w:rPr>
                <w:rFonts w:ascii="Times New Roman" w:hAnsi="Times New Roman"/>
              </w:rPr>
            </w:pPr>
            <w:r>
              <w:rPr>
                <w:rFonts w:hint="eastAsia" w:ascii="Times New Roman" w:hAnsi="Times New Roman"/>
              </w:rPr>
              <w:t>备注</w:t>
            </w:r>
          </w:p>
        </w:tc>
      </w:tr>
      <w:tr w14:paraId="2B1739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98" w:hRule="atLeast"/>
          <w:jc w:val="center"/>
        </w:trPr>
        <w:tc>
          <w:tcPr>
            <w:tcW w:w="221" w:type="pct"/>
            <w:vMerge w:val="restart"/>
            <w:tcBorders>
              <w:tl2br w:val="nil"/>
              <w:tr2bl w:val="nil"/>
            </w:tcBorders>
            <w:vAlign w:val="center"/>
          </w:tcPr>
          <w:p w14:paraId="11DA7AEF">
            <w:pPr>
              <w:pStyle w:val="80"/>
              <w:ind w:left="-48" w:right="-48"/>
              <w:rPr>
                <w:rFonts w:ascii="Times New Roman" w:hAnsi="Times New Roman"/>
              </w:rPr>
            </w:pPr>
            <w:r>
              <w:rPr>
                <w:rFonts w:ascii="Times New Roman" w:hAnsi="Times New Roman"/>
              </w:rPr>
              <w:t>1</w:t>
            </w:r>
          </w:p>
        </w:tc>
        <w:tc>
          <w:tcPr>
            <w:tcW w:w="2205" w:type="pct"/>
            <w:vMerge w:val="restart"/>
            <w:tcBorders>
              <w:tl2br w:val="nil"/>
              <w:tr2bl w:val="nil"/>
            </w:tcBorders>
            <w:vAlign w:val="center"/>
          </w:tcPr>
          <w:p w14:paraId="41D8EECB">
            <w:pPr>
              <w:pStyle w:val="80"/>
              <w:tabs>
                <w:tab w:val="left" w:pos="840"/>
              </w:tabs>
              <w:ind w:left="0" w:leftChars="0" w:right="0" w:rightChars="0"/>
              <w:rPr>
                <w:rFonts w:ascii="Times New Roman" w:hAnsi="Times New Roman"/>
              </w:rPr>
            </w:pPr>
            <w:r>
              <w:rPr>
                <w:rFonts w:ascii="Times New Roman" w:hAnsi="Times New Roman"/>
              </w:rPr>
              <w:t>明确原料种类及来源，不得擅自更改使用其他种类塑料进行生产加工。厂区内必须使用天然气、液化气或电等清洁能源，原料和产品须入库放置，不得露天堆存。项目印刷、复合、熟化工序须在密闭车间进行，产生的有机废气经负压收集后，采取</w:t>
            </w:r>
            <w:r>
              <w:rPr>
                <w:rFonts w:hint="eastAsia" w:ascii="Times New Roman" w:hAnsi="Times New Roman"/>
              </w:rPr>
              <w:t>“</w:t>
            </w:r>
            <w:r>
              <w:rPr>
                <w:rFonts w:ascii="Times New Roman" w:hAnsi="Times New Roman"/>
              </w:rPr>
              <w:t>沸石转轮净化浓缩+直接燃烧法</w:t>
            </w:r>
            <w:r>
              <w:rPr>
                <w:rFonts w:hint="eastAsia" w:ascii="Times New Roman" w:hAnsi="Times New Roman"/>
              </w:rPr>
              <w:t>”</w:t>
            </w:r>
            <w:r>
              <w:rPr>
                <w:rFonts w:ascii="Times New Roman" w:hAnsi="Times New Roman"/>
              </w:rPr>
              <w:t>处理，确保VOC</w:t>
            </w:r>
            <w:r>
              <w:rPr>
                <w:rFonts w:ascii="Times New Roman" w:hAnsi="Times New Roman"/>
                <w:vertAlign w:val="subscript"/>
              </w:rPr>
              <w:t>S</w:t>
            </w:r>
            <w:r>
              <w:rPr>
                <w:rFonts w:ascii="Times New Roman" w:hAnsi="Times New Roman"/>
              </w:rPr>
              <w:t>废气排放达到湖南省地方标准《印刷业挥发性有机物排放标准》</w:t>
            </w:r>
            <w:r>
              <w:rPr>
                <w:rFonts w:hint="eastAsia" w:ascii="Times New Roman" w:hAnsi="Times New Roman"/>
              </w:rPr>
              <w:t>（</w:t>
            </w:r>
            <w:r>
              <w:rPr>
                <w:rFonts w:ascii="Times New Roman" w:hAnsi="Times New Roman"/>
              </w:rPr>
              <w:t>DB43/1357-2017</w:t>
            </w:r>
            <w:r>
              <w:rPr>
                <w:rFonts w:hint="eastAsia" w:ascii="Times New Roman" w:hAnsi="Times New Roman"/>
              </w:rPr>
              <w:t>）</w:t>
            </w:r>
            <w:r>
              <w:rPr>
                <w:rFonts w:ascii="Times New Roman" w:hAnsi="Times New Roman"/>
              </w:rPr>
              <w:t>表1标准限值后，由7根不低于15m高排气筒高空排放；烘干室天然气废气经1根不低于15米高排气筒高空排放，相关因子的排放必须达到《大气污染物综合排放标准》（</w:t>
            </w:r>
            <w:r>
              <w:rPr>
                <w:rFonts w:hint="eastAsia" w:ascii="Times New Roman" w:hAnsi="Times New Roman"/>
              </w:rPr>
              <w:t>GB 16297-1996</w:t>
            </w:r>
            <w:r>
              <w:rPr>
                <w:rFonts w:ascii="Times New Roman" w:hAnsi="Times New Roman"/>
              </w:rPr>
              <w:t>）表1中二级标准要求；食堂油烟须安装油烟净化器处理后，经通风管道引至高出周边屋顶达到《饮食业油烟排放标准（试行）》（GB18483-2001）标准要求后排放。</w:t>
            </w:r>
          </w:p>
        </w:tc>
        <w:tc>
          <w:tcPr>
            <w:tcW w:w="1828" w:type="pct"/>
            <w:tcBorders>
              <w:tl2br w:val="nil"/>
              <w:tr2bl w:val="nil"/>
            </w:tcBorders>
            <w:vAlign w:val="center"/>
          </w:tcPr>
          <w:p w14:paraId="3FC1C13D">
            <w:pPr>
              <w:spacing w:line="240" w:lineRule="auto"/>
              <w:rPr>
                <w:sz w:val="21"/>
                <w:szCs w:val="21"/>
              </w:rPr>
            </w:pPr>
            <w:r>
              <w:rPr>
                <w:rFonts w:hint="eastAsia"/>
                <w:sz w:val="21"/>
                <w:szCs w:val="21"/>
              </w:rPr>
              <w:t>1.</w:t>
            </w:r>
            <w:r>
              <w:rPr>
                <w:sz w:val="21"/>
                <w:szCs w:val="21"/>
              </w:rPr>
              <w:t>项目明确原料种类及来源，没有擅自更改使用其他种类塑料进行生产加工。厂区使用天然气、电清洁能源，原料和产品入库放置，不露天堆存。</w:t>
            </w:r>
          </w:p>
          <w:p w14:paraId="0DE7B91D">
            <w:pPr>
              <w:spacing w:line="240" w:lineRule="auto"/>
              <w:rPr>
                <w:sz w:val="21"/>
                <w:szCs w:val="21"/>
              </w:rPr>
            </w:pPr>
            <w:r>
              <w:rPr>
                <w:rFonts w:hint="eastAsia"/>
                <w:sz w:val="21"/>
                <w:szCs w:val="21"/>
              </w:rPr>
              <w:t>2.更换环保措施为“</w:t>
            </w:r>
            <w:r>
              <w:rPr>
                <w:sz w:val="21"/>
                <w:szCs w:val="21"/>
              </w:rPr>
              <w:t>（2+1）三通路处理凹印有机废气的节能减排系统</w:t>
            </w:r>
            <w:r>
              <w:rPr>
                <w:rFonts w:hint="eastAsia"/>
                <w:sz w:val="21"/>
                <w:szCs w:val="21"/>
              </w:rPr>
              <w:t>”</w:t>
            </w:r>
            <w:r>
              <w:rPr>
                <w:sz w:val="21"/>
                <w:szCs w:val="21"/>
              </w:rPr>
              <w:t>，</w:t>
            </w:r>
            <w:r>
              <w:rPr>
                <w:rFonts w:hint="eastAsia"/>
                <w:sz w:val="21"/>
                <w:szCs w:val="21"/>
              </w:rPr>
              <w:t>该废气具体收集处理如下：</w:t>
            </w:r>
            <w:r>
              <w:rPr>
                <w:sz w:val="21"/>
                <w:szCs w:val="21"/>
              </w:rPr>
              <w:t>印刷机和干式复合机烘箱内有机废气收集后</w:t>
            </w:r>
            <w:r>
              <w:rPr>
                <w:rFonts w:hint="eastAsia"/>
                <w:sz w:val="21"/>
                <w:szCs w:val="21"/>
              </w:rPr>
              <w:t>由“</w:t>
            </w:r>
            <w:r>
              <w:rPr>
                <w:sz w:val="21"/>
                <w:szCs w:val="21"/>
              </w:rPr>
              <w:t>1#治理设施</w:t>
            </w:r>
            <w:r>
              <w:rPr>
                <w:rFonts w:hint="eastAsia"/>
                <w:sz w:val="21"/>
                <w:szCs w:val="21"/>
              </w:rPr>
              <w:t>催化燃烧设备”处理</w:t>
            </w:r>
            <w:r>
              <w:rPr>
                <w:sz w:val="21"/>
                <w:szCs w:val="21"/>
              </w:rPr>
              <w:t>，有机废气收集后经催化氧化后回至印刷机和复合机烘箱。车间内墨槽、</w:t>
            </w:r>
            <w:r>
              <w:rPr>
                <w:rFonts w:hint="eastAsia"/>
                <w:sz w:val="21"/>
                <w:szCs w:val="21"/>
              </w:rPr>
              <w:t>胶槽、</w:t>
            </w:r>
            <w:r>
              <w:rPr>
                <w:sz w:val="21"/>
                <w:szCs w:val="21"/>
              </w:rPr>
              <w:t>墨桶和溶剂桶等处无组织散逸的有机废气，从密闭车间收集后采用两套</w:t>
            </w:r>
            <w:r>
              <w:rPr>
                <w:rFonts w:hint="eastAsia"/>
                <w:sz w:val="21"/>
                <w:szCs w:val="21"/>
              </w:rPr>
              <w:t>“</w:t>
            </w:r>
            <w:r>
              <w:rPr>
                <w:sz w:val="21"/>
                <w:szCs w:val="21"/>
              </w:rPr>
              <w:t>2#治理设施——碱液循环喷淋装置</w:t>
            </w:r>
            <w:r>
              <w:rPr>
                <w:rFonts w:hint="eastAsia"/>
                <w:sz w:val="21"/>
                <w:szCs w:val="21"/>
              </w:rPr>
              <w:t>”</w:t>
            </w:r>
            <w:r>
              <w:rPr>
                <w:sz w:val="21"/>
                <w:szCs w:val="21"/>
              </w:rPr>
              <w:t>净化后排放。</w:t>
            </w:r>
          </w:p>
        </w:tc>
        <w:tc>
          <w:tcPr>
            <w:tcW w:w="744" w:type="pct"/>
            <w:tcBorders>
              <w:tl2br w:val="nil"/>
              <w:tr2bl w:val="nil"/>
            </w:tcBorders>
            <w:vAlign w:val="center"/>
          </w:tcPr>
          <w:p w14:paraId="199115B8">
            <w:pPr>
              <w:spacing w:line="240" w:lineRule="auto"/>
              <w:jc w:val="center"/>
              <w:rPr>
                <w:sz w:val="21"/>
                <w:szCs w:val="21"/>
              </w:rPr>
            </w:pPr>
            <w:r>
              <w:rPr>
                <w:rFonts w:hint="eastAsia"/>
                <w:sz w:val="21"/>
                <w:szCs w:val="21"/>
              </w:rPr>
              <w:t>催化燃烧1根排气筒，位于三车间屋顶；碱液喷淋2根排气筒，分别位于三车间（排放印刷区未收集的有机废气）和四车间（排放复合区未收集的有机废气）屋顶</w:t>
            </w:r>
          </w:p>
        </w:tc>
      </w:tr>
      <w:tr w14:paraId="1DED90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1" w:type="pct"/>
            <w:vMerge w:val="restart"/>
            <w:tcBorders>
              <w:tl2br w:val="nil"/>
              <w:tr2bl w:val="nil"/>
            </w:tcBorders>
            <w:vAlign w:val="center"/>
          </w:tcPr>
          <w:p w14:paraId="7BF8400D">
            <w:pPr>
              <w:pStyle w:val="80"/>
              <w:ind w:left="-48" w:right="-48"/>
              <w:rPr>
                <w:rFonts w:ascii="Times New Roman" w:hAnsi="Times New Roman"/>
              </w:rPr>
            </w:pPr>
            <w:r>
              <w:rPr>
                <w:rFonts w:ascii="Times New Roman" w:hAnsi="Times New Roman"/>
              </w:rPr>
              <w:t>2</w:t>
            </w:r>
          </w:p>
        </w:tc>
        <w:tc>
          <w:tcPr>
            <w:tcW w:w="2205" w:type="pct"/>
            <w:vMerge w:val="restart"/>
            <w:tcBorders>
              <w:tl2br w:val="nil"/>
              <w:tr2bl w:val="nil"/>
            </w:tcBorders>
            <w:vAlign w:val="center"/>
          </w:tcPr>
          <w:p w14:paraId="6457077D">
            <w:pPr>
              <w:spacing w:line="240" w:lineRule="auto"/>
              <w:jc w:val="center"/>
              <w:rPr>
                <w:sz w:val="21"/>
                <w:szCs w:val="21"/>
              </w:rPr>
            </w:pPr>
            <w:r>
              <w:rPr>
                <w:sz w:val="21"/>
                <w:szCs w:val="21"/>
              </w:rPr>
              <w:t>按照</w:t>
            </w:r>
            <w:r>
              <w:rPr>
                <w:rFonts w:hint="eastAsia"/>
                <w:sz w:val="21"/>
                <w:szCs w:val="21"/>
              </w:rPr>
              <w:t>“</w:t>
            </w:r>
            <w:r>
              <w:rPr>
                <w:sz w:val="21"/>
                <w:szCs w:val="21"/>
              </w:rPr>
              <w:t>雨污分流</w:t>
            </w:r>
            <w:r>
              <w:rPr>
                <w:rFonts w:hint="eastAsia"/>
                <w:sz w:val="21"/>
                <w:szCs w:val="21"/>
              </w:rPr>
              <w:t>”</w:t>
            </w:r>
            <w:r>
              <w:rPr>
                <w:sz w:val="21"/>
                <w:szCs w:val="21"/>
              </w:rPr>
              <w:t>的原则建设厂区排水管网，项目冷却水经循环水池冷却后循环使用，不得外排；生活污水经隔油、化粪池预处理后达到《污水综合排放标准》</w:t>
            </w:r>
            <w:r>
              <w:rPr>
                <w:rFonts w:hint="eastAsia"/>
                <w:sz w:val="21"/>
                <w:szCs w:val="21"/>
              </w:rPr>
              <w:t>（</w:t>
            </w:r>
            <w:r>
              <w:rPr>
                <w:sz w:val="21"/>
                <w:szCs w:val="21"/>
              </w:rPr>
              <w:t>GB8978-1996</w:t>
            </w:r>
            <w:r>
              <w:rPr>
                <w:rFonts w:hint="eastAsia"/>
                <w:sz w:val="21"/>
                <w:szCs w:val="21"/>
              </w:rPr>
              <w:t>）</w:t>
            </w:r>
            <w:r>
              <w:rPr>
                <w:sz w:val="21"/>
                <w:szCs w:val="21"/>
              </w:rPr>
              <w:t>表4中三级标准和</w:t>
            </w:r>
            <w:r>
              <w:rPr>
                <w:rFonts w:hint="eastAsia"/>
                <w:sz w:val="21"/>
                <w:szCs w:val="21"/>
              </w:rPr>
              <w:t>湘潭县顺业污水处理有限公司污水处理厂</w:t>
            </w:r>
            <w:r>
              <w:rPr>
                <w:sz w:val="21"/>
                <w:szCs w:val="21"/>
              </w:rPr>
              <w:t>进水水质接纳标准后排入城市污水管网。</w:t>
            </w:r>
          </w:p>
        </w:tc>
        <w:tc>
          <w:tcPr>
            <w:tcW w:w="1828" w:type="pct"/>
            <w:tcBorders>
              <w:tl2br w:val="nil"/>
              <w:tr2bl w:val="nil"/>
            </w:tcBorders>
            <w:vAlign w:val="center"/>
          </w:tcPr>
          <w:p w14:paraId="0FC3931C">
            <w:pPr>
              <w:pStyle w:val="80"/>
              <w:ind w:left="-48" w:right="0" w:rightChars="0"/>
              <w:jc w:val="both"/>
              <w:rPr>
                <w:rFonts w:ascii="Times New Roman" w:hAnsi="Times New Roman"/>
              </w:rPr>
            </w:pPr>
            <w:r>
              <w:rPr>
                <w:rFonts w:ascii="Times New Roman" w:hAnsi="Times New Roman"/>
              </w:rPr>
              <w:t>项目按照</w:t>
            </w:r>
            <w:r>
              <w:rPr>
                <w:rFonts w:hint="eastAsia" w:ascii="Times New Roman" w:hAnsi="Times New Roman"/>
              </w:rPr>
              <w:t>“</w:t>
            </w:r>
            <w:r>
              <w:rPr>
                <w:rFonts w:ascii="Times New Roman" w:hAnsi="Times New Roman"/>
              </w:rPr>
              <w:t>雨污分流</w:t>
            </w:r>
            <w:r>
              <w:rPr>
                <w:rFonts w:hint="eastAsia" w:ascii="Times New Roman" w:hAnsi="Times New Roman"/>
              </w:rPr>
              <w:t>”</w:t>
            </w:r>
            <w:r>
              <w:rPr>
                <w:rFonts w:ascii="Times New Roman" w:hAnsi="Times New Roman"/>
              </w:rPr>
              <w:t>的原则建设，生活废水经化粪池预处理后，由厂区废水总排口对接市政管网，排入</w:t>
            </w:r>
            <w:r>
              <w:rPr>
                <w:rFonts w:hint="eastAsia" w:ascii="Times New Roman" w:hAnsi="Times New Roman"/>
              </w:rPr>
              <w:t>湘潭县顺业污水处理有限公司污水处理厂</w:t>
            </w:r>
            <w:r>
              <w:rPr>
                <w:rFonts w:ascii="Times New Roman" w:hAnsi="Times New Roman"/>
              </w:rPr>
              <w:t>深度处理。</w:t>
            </w:r>
          </w:p>
        </w:tc>
        <w:tc>
          <w:tcPr>
            <w:tcW w:w="744" w:type="pct"/>
            <w:tcBorders>
              <w:tl2br w:val="nil"/>
              <w:tr2bl w:val="nil"/>
            </w:tcBorders>
            <w:vAlign w:val="center"/>
          </w:tcPr>
          <w:p w14:paraId="61F07FCB">
            <w:pPr>
              <w:pStyle w:val="80"/>
              <w:ind w:left="-48" w:right="0" w:rightChars="0"/>
              <w:rPr>
                <w:rFonts w:ascii="Times New Roman" w:hAnsi="Times New Roman"/>
              </w:rPr>
            </w:pPr>
            <w:r>
              <w:rPr>
                <w:rFonts w:hint="eastAsia" w:ascii="Times New Roman" w:hAnsi="Times New Roman"/>
              </w:rPr>
              <w:t>已落实</w:t>
            </w:r>
          </w:p>
        </w:tc>
      </w:tr>
      <w:tr w14:paraId="62B8C0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1" w:type="pct"/>
            <w:vMerge w:val="continue"/>
            <w:tcBorders>
              <w:tl2br w:val="nil"/>
              <w:tr2bl w:val="nil"/>
            </w:tcBorders>
            <w:vAlign w:val="center"/>
          </w:tcPr>
          <w:p w14:paraId="4DBA46FE">
            <w:pPr>
              <w:pStyle w:val="80"/>
              <w:ind w:left="-48" w:right="-48"/>
              <w:rPr>
                <w:rFonts w:ascii="Times New Roman" w:hAnsi="Times New Roman"/>
              </w:rPr>
            </w:pPr>
          </w:p>
        </w:tc>
        <w:tc>
          <w:tcPr>
            <w:tcW w:w="2205" w:type="pct"/>
            <w:vMerge w:val="continue"/>
            <w:tcBorders>
              <w:tl2br w:val="nil"/>
              <w:tr2bl w:val="nil"/>
            </w:tcBorders>
            <w:vAlign w:val="center"/>
          </w:tcPr>
          <w:p w14:paraId="40AA7FB1">
            <w:pPr>
              <w:spacing w:line="240" w:lineRule="auto"/>
              <w:jc w:val="center"/>
              <w:rPr>
                <w:sz w:val="21"/>
                <w:szCs w:val="21"/>
              </w:rPr>
            </w:pPr>
          </w:p>
        </w:tc>
        <w:tc>
          <w:tcPr>
            <w:tcW w:w="1828" w:type="pct"/>
            <w:tcBorders>
              <w:tl2br w:val="nil"/>
              <w:tr2bl w:val="nil"/>
            </w:tcBorders>
            <w:vAlign w:val="center"/>
          </w:tcPr>
          <w:p w14:paraId="1549BDB7">
            <w:pPr>
              <w:keepNext/>
              <w:keepLines/>
              <w:tabs>
                <w:tab w:val="left" w:pos="0"/>
              </w:tabs>
              <w:spacing w:line="240" w:lineRule="auto"/>
              <w:rPr>
                <w:sz w:val="21"/>
                <w:szCs w:val="21"/>
              </w:rPr>
            </w:pPr>
            <w:r>
              <w:rPr>
                <w:sz w:val="21"/>
                <w:szCs w:val="21"/>
              </w:rPr>
              <w:t>经监测，废水总排口pH、化学需氧量、氨氮、悬浮物、动植物油5项指标符合《污水综合排放标准》（GB8978-1996）表4中三级标准限值要求</w:t>
            </w:r>
            <w:r>
              <w:rPr>
                <w:rFonts w:hint="eastAsia"/>
                <w:sz w:val="21"/>
                <w:szCs w:val="21"/>
              </w:rPr>
              <w:t>和湘潭县顺业污水处理有限公司污水处理厂</w:t>
            </w:r>
            <w:r>
              <w:rPr>
                <w:sz w:val="21"/>
                <w:szCs w:val="21"/>
              </w:rPr>
              <w:t>进水接纳标准</w:t>
            </w:r>
          </w:p>
        </w:tc>
        <w:tc>
          <w:tcPr>
            <w:tcW w:w="744" w:type="pct"/>
            <w:tcBorders>
              <w:tl2br w:val="nil"/>
              <w:tr2bl w:val="nil"/>
            </w:tcBorders>
            <w:vAlign w:val="center"/>
          </w:tcPr>
          <w:p w14:paraId="3082FCEA">
            <w:pPr>
              <w:keepNext/>
              <w:keepLines/>
              <w:tabs>
                <w:tab w:val="left" w:pos="0"/>
              </w:tabs>
              <w:spacing w:line="240" w:lineRule="auto"/>
              <w:jc w:val="center"/>
              <w:rPr>
                <w:sz w:val="21"/>
                <w:szCs w:val="21"/>
              </w:rPr>
            </w:pPr>
            <w:r>
              <w:rPr>
                <w:rFonts w:hint="eastAsia"/>
                <w:sz w:val="21"/>
                <w:szCs w:val="21"/>
              </w:rPr>
              <w:t>已落实</w:t>
            </w:r>
          </w:p>
        </w:tc>
      </w:tr>
      <w:tr w14:paraId="4DB637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1" w:type="pct"/>
            <w:vMerge w:val="restart"/>
            <w:tcBorders>
              <w:tl2br w:val="nil"/>
              <w:tr2bl w:val="nil"/>
            </w:tcBorders>
            <w:vAlign w:val="center"/>
          </w:tcPr>
          <w:p w14:paraId="429A2C13">
            <w:pPr>
              <w:pStyle w:val="80"/>
              <w:ind w:left="-48" w:right="-48"/>
              <w:rPr>
                <w:rFonts w:ascii="Times New Roman" w:hAnsi="Times New Roman"/>
              </w:rPr>
            </w:pPr>
            <w:r>
              <w:rPr>
                <w:rFonts w:ascii="Times New Roman" w:hAnsi="Times New Roman"/>
              </w:rPr>
              <w:t>3</w:t>
            </w:r>
          </w:p>
        </w:tc>
        <w:tc>
          <w:tcPr>
            <w:tcW w:w="2205" w:type="pct"/>
            <w:vMerge w:val="restart"/>
            <w:tcBorders>
              <w:tl2br w:val="nil"/>
              <w:tr2bl w:val="nil"/>
            </w:tcBorders>
            <w:vAlign w:val="center"/>
          </w:tcPr>
          <w:p w14:paraId="65D746FC">
            <w:pPr>
              <w:pStyle w:val="80"/>
              <w:ind w:left="-48" w:right="0" w:rightChars="0"/>
              <w:rPr>
                <w:rFonts w:ascii="Times New Roman" w:hAnsi="Times New Roman"/>
              </w:rPr>
            </w:pPr>
            <w:r>
              <w:rPr>
                <w:rFonts w:ascii="Times New Roman" w:hAnsi="Times New Roman"/>
              </w:rPr>
              <w:t>优合理布局，所有生产设备必须安装在车间内，并设置隔音降噪和减震措施，确保厂界声达到GB12348-2008《工业企业厂界环境噪声排放标准》中3、4类标准。</w:t>
            </w:r>
          </w:p>
        </w:tc>
        <w:tc>
          <w:tcPr>
            <w:tcW w:w="1828" w:type="pct"/>
            <w:tcBorders>
              <w:tl2br w:val="nil"/>
              <w:tr2bl w:val="nil"/>
            </w:tcBorders>
            <w:vAlign w:val="center"/>
          </w:tcPr>
          <w:p w14:paraId="5E5E0257">
            <w:pPr>
              <w:pStyle w:val="80"/>
              <w:ind w:left="-48" w:right="0" w:rightChars="0"/>
              <w:jc w:val="both"/>
              <w:rPr>
                <w:rFonts w:ascii="Times New Roman" w:hAnsi="Times New Roman"/>
              </w:rPr>
            </w:pPr>
            <w:r>
              <w:rPr>
                <w:rFonts w:ascii="Times New Roman" w:hAnsi="Times New Roman"/>
              </w:rPr>
              <w:t>项目通过选用低噪声设备，合理布局、建筑隔声、基础减振进行降噪。</w:t>
            </w:r>
          </w:p>
        </w:tc>
        <w:tc>
          <w:tcPr>
            <w:tcW w:w="744" w:type="pct"/>
            <w:tcBorders>
              <w:tl2br w:val="nil"/>
              <w:tr2bl w:val="nil"/>
            </w:tcBorders>
            <w:vAlign w:val="center"/>
          </w:tcPr>
          <w:p w14:paraId="2F166875">
            <w:pPr>
              <w:pStyle w:val="80"/>
              <w:ind w:left="-48" w:right="0" w:rightChars="0"/>
              <w:rPr>
                <w:rFonts w:ascii="Times New Roman" w:hAnsi="Times New Roman"/>
              </w:rPr>
            </w:pPr>
            <w:r>
              <w:rPr>
                <w:rFonts w:hint="eastAsia" w:ascii="Times New Roman" w:hAnsi="Times New Roman"/>
              </w:rPr>
              <w:t>已落实</w:t>
            </w:r>
          </w:p>
        </w:tc>
      </w:tr>
      <w:tr w14:paraId="4D2E63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1" w:type="pct"/>
            <w:vMerge w:val="continue"/>
            <w:tcBorders>
              <w:tl2br w:val="nil"/>
              <w:tr2bl w:val="nil"/>
            </w:tcBorders>
            <w:vAlign w:val="center"/>
          </w:tcPr>
          <w:p w14:paraId="4BA213D0">
            <w:pPr>
              <w:pStyle w:val="80"/>
              <w:ind w:left="-48" w:right="-48"/>
              <w:rPr>
                <w:rFonts w:ascii="Times New Roman" w:hAnsi="Times New Roman"/>
              </w:rPr>
            </w:pPr>
          </w:p>
        </w:tc>
        <w:tc>
          <w:tcPr>
            <w:tcW w:w="2205" w:type="pct"/>
            <w:vMerge w:val="continue"/>
            <w:tcBorders>
              <w:tl2br w:val="nil"/>
              <w:tr2bl w:val="nil"/>
            </w:tcBorders>
            <w:vAlign w:val="center"/>
          </w:tcPr>
          <w:p w14:paraId="0BFA3BFB">
            <w:pPr>
              <w:pStyle w:val="80"/>
              <w:ind w:left="-48" w:right="0" w:rightChars="0"/>
              <w:rPr>
                <w:rFonts w:ascii="Times New Roman" w:hAnsi="Times New Roman"/>
              </w:rPr>
            </w:pPr>
          </w:p>
        </w:tc>
        <w:tc>
          <w:tcPr>
            <w:tcW w:w="1828" w:type="pct"/>
            <w:tcBorders>
              <w:tl2br w:val="nil"/>
              <w:tr2bl w:val="nil"/>
            </w:tcBorders>
            <w:vAlign w:val="center"/>
          </w:tcPr>
          <w:p w14:paraId="0E60BFC6">
            <w:pPr>
              <w:pStyle w:val="80"/>
              <w:ind w:left="0" w:leftChars="0" w:right="0" w:rightChars="0"/>
              <w:jc w:val="both"/>
              <w:rPr>
                <w:rFonts w:ascii="Times New Roman" w:hAnsi="Times New Roman"/>
              </w:rPr>
            </w:pPr>
            <w:r>
              <w:rPr>
                <w:rFonts w:ascii="Times New Roman" w:hAnsi="Times New Roman"/>
              </w:rPr>
              <w:t>经监测，项目西侧、北侧昼间厂界环境噪声最大测值符合《工业企业厂界环境噪声排放标准》（GB12348-2008）中3类标准限值要求；东侧、南</w:t>
            </w:r>
            <w:r>
              <w:rPr>
                <w:rFonts w:hint="eastAsia" w:ascii="Times New Roman" w:hAnsi="Times New Roman"/>
              </w:rPr>
              <w:t>侧</w:t>
            </w:r>
            <w:r>
              <w:rPr>
                <w:rFonts w:ascii="Times New Roman" w:hAnsi="Times New Roman"/>
              </w:rPr>
              <w:t>（临交通干线一侧）昼间厂界环境噪声最大测值符合该标准中4类标准限值要求。</w:t>
            </w:r>
          </w:p>
        </w:tc>
        <w:tc>
          <w:tcPr>
            <w:tcW w:w="744" w:type="pct"/>
            <w:tcBorders>
              <w:tl2br w:val="nil"/>
              <w:tr2bl w:val="nil"/>
            </w:tcBorders>
            <w:vAlign w:val="center"/>
          </w:tcPr>
          <w:p w14:paraId="02FF2DCB">
            <w:pPr>
              <w:pStyle w:val="80"/>
              <w:ind w:left="0" w:leftChars="0" w:right="0" w:rightChars="0"/>
              <w:rPr>
                <w:rFonts w:ascii="Times New Roman" w:hAnsi="Times New Roman"/>
              </w:rPr>
            </w:pPr>
            <w:r>
              <w:rPr>
                <w:rFonts w:hint="eastAsia" w:ascii="Times New Roman" w:hAnsi="Times New Roman"/>
              </w:rPr>
              <w:t>已落实</w:t>
            </w:r>
          </w:p>
        </w:tc>
      </w:tr>
      <w:tr w14:paraId="55B43E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1" w:type="pct"/>
            <w:tcBorders>
              <w:tl2br w:val="nil"/>
              <w:tr2bl w:val="nil"/>
            </w:tcBorders>
            <w:vAlign w:val="center"/>
          </w:tcPr>
          <w:p w14:paraId="0B12AA26">
            <w:pPr>
              <w:pStyle w:val="80"/>
              <w:ind w:left="-48" w:right="-48"/>
              <w:rPr>
                <w:rFonts w:ascii="Times New Roman" w:hAnsi="Times New Roman"/>
              </w:rPr>
            </w:pPr>
            <w:r>
              <w:rPr>
                <w:rFonts w:ascii="Times New Roman" w:hAnsi="Times New Roman"/>
              </w:rPr>
              <w:t>4</w:t>
            </w:r>
          </w:p>
        </w:tc>
        <w:tc>
          <w:tcPr>
            <w:tcW w:w="2205" w:type="pct"/>
            <w:tcBorders>
              <w:tl2br w:val="nil"/>
              <w:tr2bl w:val="nil"/>
            </w:tcBorders>
            <w:vAlign w:val="center"/>
          </w:tcPr>
          <w:p w14:paraId="1028561E">
            <w:pPr>
              <w:pStyle w:val="80"/>
              <w:tabs>
                <w:tab w:val="left" w:pos="855"/>
              </w:tabs>
              <w:ind w:left="0" w:leftChars="0" w:right="0" w:rightChars="0"/>
              <w:rPr>
                <w:rFonts w:ascii="Times New Roman" w:hAnsi="Times New Roman"/>
              </w:rPr>
            </w:pPr>
            <w:r>
              <w:rPr>
                <w:rFonts w:ascii="Times New Roman" w:hAnsi="Times New Roman"/>
              </w:rPr>
              <w:t>项目生产过程中产生的废边角余料、不合格产品、废印刷版、废沸石等一般固废经收集暂存后，可交由废品回收单位综合利用；废油墨桶、废胶水桶、废稀释剂桶等属危险废物，须按照《危险废物贮存污染控制标准》（GB18597-2001）及2013年修改单要求进行分类规范贮存，交由有资质单位进行处理并报县环保局备案，危废暂存间须按相关要求做好防渗、防腐等措施后分类存放，同时建立相关</w:t>
            </w:r>
            <w:r>
              <w:rPr>
                <w:rFonts w:hint="eastAsia" w:ascii="Times New Roman" w:hAnsi="Times New Roman"/>
              </w:rPr>
              <w:t>台账</w:t>
            </w:r>
            <w:r>
              <w:rPr>
                <w:rFonts w:ascii="Times New Roman" w:hAnsi="Times New Roman"/>
              </w:rPr>
              <w:t>，规范设立标识标牌等；生活垃圾分类收集后及时清理，定期交由环卫部门妥善处理。</w:t>
            </w:r>
          </w:p>
        </w:tc>
        <w:tc>
          <w:tcPr>
            <w:tcW w:w="1828" w:type="pct"/>
            <w:tcBorders>
              <w:tl2br w:val="nil"/>
              <w:tr2bl w:val="nil"/>
            </w:tcBorders>
            <w:vAlign w:val="center"/>
          </w:tcPr>
          <w:p w14:paraId="567840C0">
            <w:pPr>
              <w:pStyle w:val="84"/>
              <w:spacing w:line="240" w:lineRule="atLeast"/>
              <w:jc w:val="left"/>
              <w:rPr>
                <w:rFonts w:hAnsi="Times New Roman"/>
                <w:b w:val="0"/>
                <w:color w:val="auto"/>
              </w:rPr>
            </w:pPr>
            <w:r>
              <w:rPr>
                <w:rFonts w:hAnsi="Times New Roman"/>
                <w:b w:val="0"/>
                <w:color w:val="auto"/>
              </w:rPr>
              <w:t>项目主要固体废弃物为危险废物、一般工业固体废弃物和生活垃圾。</w:t>
            </w:r>
          </w:p>
          <w:p w14:paraId="3908B6FF">
            <w:pPr>
              <w:pStyle w:val="84"/>
              <w:spacing w:line="240" w:lineRule="atLeast"/>
              <w:jc w:val="left"/>
              <w:rPr>
                <w:rFonts w:hAnsi="Times New Roman"/>
                <w:b w:val="0"/>
                <w:color w:val="auto"/>
              </w:rPr>
            </w:pPr>
            <w:r>
              <w:rPr>
                <w:rFonts w:hAnsi="Times New Roman"/>
                <w:b w:val="0"/>
                <w:color w:val="auto"/>
              </w:rPr>
              <w:t>①危险废物：废油墨桶、废胶水桶</w:t>
            </w:r>
            <w:r>
              <w:rPr>
                <w:rFonts w:hint="eastAsia" w:hAnsi="Times New Roman"/>
                <w:b w:val="0"/>
                <w:color w:val="auto"/>
              </w:rPr>
              <w:t>、含油抹布手套、</w:t>
            </w:r>
            <w:r>
              <w:rPr>
                <w:rFonts w:hint="eastAsia" w:hAnsi="Times New Roman"/>
                <w:b w:val="0"/>
                <w:bCs/>
                <w:color w:val="auto"/>
              </w:rPr>
              <w:t>废稀释剂桶、废油墨、废溶剂、废胶</w:t>
            </w:r>
            <w:r>
              <w:rPr>
                <w:rFonts w:hAnsi="Times New Roman"/>
                <w:b w:val="0"/>
                <w:color w:val="auto"/>
              </w:rPr>
              <w:t>交由</w:t>
            </w:r>
            <w:r>
              <w:rPr>
                <w:rFonts w:hint="eastAsia" w:hAnsi="Times New Roman"/>
                <w:b w:val="0"/>
                <w:bCs/>
                <w:color w:val="auto"/>
              </w:rPr>
              <w:t>有资质的单位</w:t>
            </w:r>
            <w:r>
              <w:rPr>
                <w:rFonts w:hAnsi="Times New Roman"/>
                <w:b w:val="0"/>
                <w:color w:val="auto"/>
              </w:rPr>
              <w:t>处理。</w:t>
            </w:r>
          </w:p>
          <w:p w14:paraId="736AE0DC">
            <w:pPr>
              <w:pStyle w:val="84"/>
              <w:spacing w:line="240" w:lineRule="atLeast"/>
              <w:jc w:val="left"/>
              <w:rPr>
                <w:rFonts w:hAnsi="Times New Roman"/>
                <w:b w:val="0"/>
                <w:color w:val="auto"/>
              </w:rPr>
            </w:pPr>
            <w:r>
              <w:rPr>
                <w:rFonts w:hAnsi="Times New Roman"/>
                <w:b w:val="0"/>
                <w:color w:val="auto"/>
              </w:rPr>
              <w:t>②一般工业固体废弃物：生产过程产生的废边角余料、不合格产品、废印刷版、废沸石等暂存于车间内，统一收集后外售。</w:t>
            </w:r>
          </w:p>
          <w:p w14:paraId="499FB5F9">
            <w:pPr>
              <w:pStyle w:val="84"/>
              <w:spacing w:line="240" w:lineRule="atLeast"/>
              <w:jc w:val="left"/>
              <w:rPr>
                <w:rFonts w:hAnsi="Times New Roman"/>
                <w:b w:val="0"/>
                <w:color w:val="auto"/>
              </w:rPr>
            </w:pPr>
            <w:r>
              <w:rPr>
                <w:rFonts w:hAnsi="Times New Roman"/>
                <w:b w:val="0"/>
                <w:color w:val="auto"/>
              </w:rPr>
              <w:t>③生活垃圾：由员工日常生活产生，收集于垃圾桶内，交由当地环卫部门处理。</w:t>
            </w:r>
          </w:p>
          <w:p w14:paraId="3FCB51C7">
            <w:pPr>
              <w:pStyle w:val="84"/>
              <w:spacing w:line="240" w:lineRule="atLeast"/>
              <w:jc w:val="left"/>
              <w:rPr>
                <w:rFonts w:hAnsi="Times New Roman"/>
                <w:b w:val="0"/>
                <w:color w:val="auto"/>
              </w:rPr>
            </w:pPr>
            <w:r>
              <w:rPr>
                <w:rFonts w:hint="eastAsia" w:hAnsi="Times New Roman"/>
                <w:b w:val="0"/>
                <w:bCs/>
                <w:color w:val="auto"/>
              </w:rPr>
              <w:t>危废间已分区设立台账，并粘贴标示标牌</w:t>
            </w:r>
          </w:p>
        </w:tc>
        <w:tc>
          <w:tcPr>
            <w:tcW w:w="744" w:type="pct"/>
            <w:tcBorders>
              <w:tl2br w:val="nil"/>
              <w:tr2bl w:val="nil"/>
            </w:tcBorders>
            <w:vAlign w:val="center"/>
          </w:tcPr>
          <w:p w14:paraId="58CB3D5A">
            <w:pPr>
              <w:pStyle w:val="80"/>
              <w:ind w:left="-48" w:right="-48"/>
              <w:rPr>
                <w:rFonts w:ascii="Times New Roman" w:hAnsi="Times New Roman"/>
              </w:rPr>
            </w:pPr>
            <w:r>
              <w:rPr>
                <w:rFonts w:hint="eastAsia" w:ascii="Times New Roman" w:hAnsi="Times New Roman"/>
              </w:rPr>
              <w:t>已落实</w:t>
            </w:r>
          </w:p>
        </w:tc>
      </w:tr>
      <w:tr w14:paraId="1B7094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21" w:type="pct"/>
            <w:tcBorders>
              <w:tl2br w:val="nil"/>
              <w:tr2bl w:val="nil"/>
            </w:tcBorders>
            <w:vAlign w:val="center"/>
          </w:tcPr>
          <w:p w14:paraId="34E485E4">
            <w:pPr>
              <w:pStyle w:val="80"/>
              <w:ind w:left="0" w:leftChars="0" w:right="-48"/>
              <w:rPr>
                <w:rFonts w:ascii="Times New Roman" w:hAnsi="Times New Roman"/>
              </w:rPr>
            </w:pPr>
            <w:r>
              <w:rPr>
                <w:rFonts w:ascii="Times New Roman" w:hAnsi="Times New Roman"/>
              </w:rPr>
              <w:t>5</w:t>
            </w:r>
          </w:p>
        </w:tc>
        <w:tc>
          <w:tcPr>
            <w:tcW w:w="2205" w:type="pct"/>
            <w:tcBorders>
              <w:tl2br w:val="nil"/>
              <w:tr2bl w:val="nil"/>
            </w:tcBorders>
            <w:vAlign w:val="center"/>
          </w:tcPr>
          <w:p w14:paraId="1073B1D9">
            <w:pPr>
              <w:spacing w:line="240" w:lineRule="auto"/>
              <w:jc w:val="center"/>
              <w:rPr>
                <w:sz w:val="21"/>
                <w:szCs w:val="21"/>
              </w:rPr>
            </w:pPr>
            <w:r>
              <w:rPr>
                <w:sz w:val="21"/>
                <w:szCs w:val="21"/>
              </w:rPr>
              <w:t>加强环保管理，提高清洁生产水平，设置环保专员，落实环保设施管理责任制。建立污染事故应急处理制度和定期监测制度，防范污染事故的发生，确保各项污染物达标排放。</w:t>
            </w:r>
          </w:p>
        </w:tc>
        <w:tc>
          <w:tcPr>
            <w:tcW w:w="1828" w:type="pct"/>
            <w:tcBorders>
              <w:tl2br w:val="nil"/>
              <w:tr2bl w:val="nil"/>
            </w:tcBorders>
            <w:vAlign w:val="center"/>
          </w:tcPr>
          <w:p w14:paraId="4EEC12E0">
            <w:pPr>
              <w:pStyle w:val="84"/>
              <w:jc w:val="left"/>
              <w:rPr>
                <w:rFonts w:hAnsi="Times New Roman"/>
                <w:b w:val="0"/>
                <w:color w:val="auto"/>
              </w:rPr>
            </w:pPr>
            <w:r>
              <w:rPr>
                <w:rFonts w:hAnsi="Times New Roman"/>
                <w:b w:val="0"/>
                <w:color w:val="auto"/>
              </w:rPr>
              <w:t>项目制定了《环境保护管理制度》，制定了各项环境保护管理制度，设置了专人管理，定期对各环保设施进行检查，并进行有关规定的宣传工作，在室内外设置了消防栓和灭火器材等措施降低安全风险。</w:t>
            </w:r>
          </w:p>
        </w:tc>
        <w:tc>
          <w:tcPr>
            <w:tcW w:w="744" w:type="pct"/>
            <w:tcBorders>
              <w:tl2br w:val="nil"/>
              <w:tr2bl w:val="nil"/>
            </w:tcBorders>
            <w:vAlign w:val="center"/>
          </w:tcPr>
          <w:p w14:paraId="4C94FBC1">
            <w:pPr>
              <w:pStyle w:val="84"/>
              <w:rPr>
                <w:rFonts w:hAnsi="Times New Roman"/>
                <w:b w:val="0"/>
                <w:color w:val="auto"/>
              </w:rPr>
            </w:pPr>
            <w:r>
              <w:rPr>
                <w:rFonts w:hint="eastAsia" w:hAnsi="Times New Roman"/>
                <w:b w:val="0"/>
                <w:color w:val="auto"/>
              </w:rPr>
              <w:t>已落实</w:t>
            </w:r>
          </w:p>
        </w:tc>
      </w:tr>
    </w:tbl>
    <w:p w14:paraId="6AD54143">
      <w:pPr>
        <w:pStyle w:val="3"/>
        <w:numPr>
          <w:ilvl w:val="1"/>
          <w:numId w:val="0"/>
        </w:numPr>
        <w:ind w:left="567" w:leftChars="0" w:hanging="567" w:firstLineChars="0"/>
        <w:rPr>
          <w:sz w:val="28"/>
          <w:szCs w:val="28"/>
        </w:rPr>
      </w:pPr>
      <w:bookmarkStart w:id="86" w:name="_Toc20863"/>
      <w:r>
        <w:rPr>
          <w:rFonts w:hint="default" w:ascii="宋体" w:hAnsi="宋体" w:eastAsia="宋体" w:cs="宋体"/>
          <w:b/>
          <w:bCs/>
          <w:kern w:val="2"/>
          <w:sz w:val="28"/>
          <w:szCs w:val="28"/>
          <w:lang w:val="en-US" w:eastAsia="zh-CN" w:bidi="ar-SA"/>
        </w:rPr>
        <w:t>3.2</w:t>
      </w:r>
      <w:r>
        <w:rPr>
          <w:rFonts w:hint="eastAsia"/>
          <w:sz w:val="28"/>
          <w:szCs w:val="28"/>
        </w:rPr>
        <w:t>在建工程概况</w:t>
      </w:r>
      <w:bookmarkEnd w:id="86"/>
    </w:p>
    <w:p w14:paraId="697A40A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3.2.1</w:t>
      </w:r>
      <w:r>
        <w:rPr>
          <w:rFonts w:hint="eastAsia"/>
        </w:rPr>
        <w:t>在建工程环保手续履行情况</w:t>
      </w:r>
    </w:p>
    <w:p w14:paraId="092ABDAA">
      <w:pPr>
        <w:pStyle w:val="51"/>
        <w:numPr>
          <w:ilvl w:val="0"/>
          <w:numId w:val="0"/>
        </w:numPr>
        <w:spacing w:before="156"/>
        <w:ind w:firstLine="1897" w:firstLineChars="900"/>
        <w:jc w:val="both"/>
      </w:pPr>
      <w:r>
        <w:rPr>
          <w:rFonts w:hint="eastAsia"/>
        </w:rPr>
        <w:t>表3-1      环保手续与落实情况对照表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7"/>
        <w:gridCol w:w="927"/>
        <w:gridCol w:w="1559"/>
        <w:gridCol w:w="3969"/>
        <w:gridCol w:w="851"/>
        <w:gridCol w:w="759"/>
      </w:tblGrid>
      <w:tr w14:paraId="0F7EB8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57" w:type="dxa"/>
            <w:vAlign w:val="center"/>
          </w:tcPr>
          <w:p w14:paraId="3AB4E64E">
            <w:pPr>
              <w:spacing w:line="240" w:lineRule="auto"/>
              <w:jc w:val="center"/>
              <w:rPr>
                <w:sz w:val="18"/>
                <w:szCs w:val="18"/>
              </w:rPr>
            </w:pPr>
            <w:r>
              <w:rPr>
                <w:sz w:val="18"/>
                <w:szCs w:val="18"/>
              </w:rPr>
              <w:t>编号</w:t>
            </w:r>
          </w:p>
        </w:tc>
        <w:tc>
          <w:tcPr>
            <w:tcW w:w="927" w:type="dxa"/>
            <w:vAlign w:val="center"/>
          </w:tcPr>
          <w:p w14:paraId="3E1BB59D">
            <w:pPr>
              <w:spacing w:line="240" w:lineRule="auto"/>
              <w:jc w:val="center"/>
              <w:rPr>
                <w:sz w:val="18"/>
                <w:szCs w:val="18"/>
              </w:rPr>
            </w:pPr>
            <w:r>
              <w:rPr>
                <w:sz w:val="18"/>
                <w:szCs w:val="18"/>
              </w:rPr>
              <w:t>项目名称</w:t>
            </w:r>
          </w:p>
        </w:tc>
        <w:tc>
          <w:tcPr>
            <w:tcW w:w="1559" w:type="dxa"/>
            <w:vAlign w:val="center"/>
          </w:tcPr>
          <w:p w14:paraId="1A789AF8">
            <w:pPr>
              <w:spacing w:line="240" w:lineRule="auto"/>
              <w:jc w:val="center"/>
              <w:rPr>
                <w:sz w:val="18"/>
                <w:szCs w:val="18"/>
              </w:rPr>
            </w:pPr>
            <w:r>
              <w:rPr>
                <w:sz w:val="18"/>
                <w:szCs w:val="18"/>
              </w:rPr>
              <w:t>项目地址</w:t>
            </w:r>
          </w:p>
        </w:tc>
        <w:tc>
          <w:tcPr>
            <w:tcW w:w="3969" w:type="dxa"/>
            <w:vAlign w:val="center"/>
          </w:tcPr>
          <w:p w14:paraId="35560E96">
            <w:pPr>
              <w:spacing w:line="240" w:lineRule="auto"/>
              <w:jc w:val="center"/>
              <w:rPr>
                <w:sz w:val="18"/>
                <w:szCs w:val="18"/>
              </w:rPr>
            </w:pPr>
            <w:r>
              <w:rPr>
                <w:sz w:val="18"/>
                <w:szCs w:val="18"/>
              </w:rPr>
              <w:t>项目概况</w:t>
            </w:r>
          </w:p>
        </w:tc>
        <w:tc>
          <w:tcPr>
            <w:tcW w:w="851" w:type="dxa"/>
            <w:vAlign w:val="center"/>
          </w:tcPr>
          <w:p w14:paraId="6156A78F">
            <w:pPr>
              <w:spacing w:line="240" w:lineRule="auto"/>
              <w:jc w:val="center"/>
              <w:rPr>
                <w:sz w:val="18"/>
                <w:szCs w:val="18"/>
              </w:rPr>
            </w:pPr>
            <w:r>
              <w:rPr>
                <w:sz w:val="18"/>
                <w:szCs w:val="18"/>
              </w:rPr>
              <w:t>环评批复</w:t>
            </w:r>
          </w:p>
        </w:tc>
        <w:tc>
          <w:tcPr>
            <w:tcW w:w="759" w:type="dxa"/>
            <w:vAlign w:val="center"/>
          </w:tcPr>
          <w:p w14:paraId="0D1A2DED">
            <w:pPr>
              <w:spacing w:line="240" w:lineRule="auto"/>
              <w:jc w:val="center"/>
              <w:rPr>
                <w:sz w:val="18"/>
                <w:szCs w:val="18"/>
              </w:rPr>
            </w:pPr>
            <w:r>
              <w:rPr>
                <w:sz w:val="18"/>
                <w:szCs w:val="18"/>
              </w:rPr>
              <w:t>验收文号</w:t>
            </w:r>
          </w:p>
        </w:tc>
      </w:tr>
      <w:tr w14:paraId="2B92A4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dxa"/>
            <w:vAlign w:val="center"/>
          </w:tcPr>
          <w:p w14:paraId="209B93C5">
            <w:pPr>
              <w:spacing w:line="240" w:lineRule="auto"/>
              <w:jc w:val="center"/>
              <w:rPr>
                <w:sz w:val="18"/>
                <w:szCs w:val="18"/>
              </w:rPr>
            </w:pPr>
            <w:r>
              <w:rPr>
                <w:rFonts w:hint="eastAsia"/>
                <w:sz w:val="18"/>
                <w:szCs w:val="18"/>
              </w:rPr>
              <w:t>4</w:t>
            </w:r>
          </w:p>
        </w:tc>
        <w:tc>
          <w:tcPr>
            <w:tcW w:w="927" w:type="dxa"/>
            <w:vAlign w:val="center"/>
          </w:tcPr>
          <w:p w14:paraId="611C8704">
            <w:pPr>
              <w:spacing w:line="240" w:lineRule="auto"/>
              <w:jc w:val="center"/>
              <w:rPr>
                <w:sz w:val="18"/>
                <w:szCs w:val="18"/>
              </w:rPr>
            </w:pPr>
            <w:r>
              <w:rPr>
                <w:rFonts w:hint="eastAsia"/>
                <w:sz w:val="18"/>
                <w:szCs w:val="18"/>
              </w:rPr>
              <w:t>年产15000吨印刷品改扩建项目</w:t>
            </w:r>
          </w:p>
        </w:tc>
        <w:tc>
          <w:tcPr>
            <w:tcW w:w="1559" w:type="dxa"/>
            <w:vAlign w:val="center"/>
          </w:tcPr>
          <w:p w14:paraId="0ABC174E">
            <w:pPr>
              <w:spacing w:line="240" w:lineRule="auto"/>
              <w:jc w:val="center"/>
              <w:rPr>
                <w:sz w:val="18"/>
                <w:szCs w:val="18"/>
              </w:rPr>
            </w:pPr>
            <w:r>
              <w:rPr>
                <w:rFonts w:hint="eastAsia"/>
                <w:sz w:val="18"/>
                <w:szCs w:val="18"/>
              </w:rPr>
              <w:t>湘潭天易经济开发区</w:t>
            </w:r>
            <w:r>
              <w:rPr>
                <w:sz w:val="18"/>
                <w:szCs w:val="18"/>
              </w:rPr>
              <w:t>海鸥路以北、丁香路以西</w:t>
            </w:r>
          </w:p>
        </w:tc>
        <w:tc>
          <w:tcPr>
            <w:tcW w:w="3969" w:type="dxa"/>
            <w:vAlign w:val="center"/>
          </w:tcPr>
          <w:p w14:paraId="2E24051D">
            <w:pPr>
              <w:spacing w:line="240" w:lineRule="auto"/>
              <w:jc w:val="center"/>
              <w:rPr>
                <w:sz w:val="18"/>
                <w:szCs w:val="18"/>
              </w:rPr>
            </w:pPr>
            <w:r>
              <w:rPr>
                <w:sz w:val="18"/>
                <w:szCs w:val="18"/>
              </w:rPr>
              <w:t>生产规模：扩产至</w:t>
            </w:r>
            <w:r>
              <w:rPr>
                <w:rFonts w:hint="eastAsia"/>
                <w:sz w:val="18"/>
                <w:szCs w:val="18"/>
              </w:rPr>
              <w:t>15000</w:t>
            </w:r>
            <w:r>
              <w:rPr>
                <w:sz w:val="18"/>
                <w:szCs w:val="18"/>
              </w:rPr>
              <w:t>吨塑料包装袋；生产设备：设备更新换代，提高效率。</w:t>
            </w:r>
          </w:p>
          <w:p w14:paraId="47917273">
            <w:pPr>
              <w:spacing w:line="240" w:lineRule="auto"/>
              <w:jc w:val="center"/>
              <w:rPr>
                <w:sz w:val="18"/>
                <w:szCs w:val="18"/>
              </w:rPr>
            </w:pPr>
            <w:r>
              <w:rPr>
                <w:rFonts w:hint="eastAsia"/>
                <w:sz w:val="18"/>
                <w:szCs w:val="18"/>
              </w:rPr>
              <w:t>环保设备：“吸附浓缩+溶剂回收设备”全部替代原“（2+1）三通路处理凹印有机废气的节能减排系统（催化氧化双通路、碱液喷淋）”</w:t>
            </w:r>
          </w:p>
        </w:tc>
        <w:tc>
          <w:tcPr>
            <w:tcW w:w="851" w:type="dxa"/>
            <w:vAlign w:val="center"/>
          </w:tcPr>
          <w:p w14:paraId="6FFE832D">
            <w:pPr>
              <w:spacing w:line="240" w:lineRule="auto"/>
              <w:jc w:val="center"/>
              <w:rPr>
                <w:sz w:val="18"/>
                <w:szCs w:val="18"/>
              </w:rPr>
            </w:pPr>
            <w:r>
              <w:rPr>
                <w:sz w:val="18"/>
                <w:szCs w:val="18"/>
              </w:rPr>
              <w:t>潭环审</w:t>
            </w:r>
            <w:r>
              <w:rPr>
                <w:rFonts w:hint="eastAsia"/>
                <w:sz w:val="18"/>
                <w:szCs w:val="18"/>
              </w:rPr>
              <w:t>（湘潭县）〔</w:t>
            </w:r>
            <w:r>
              <w:rPr>
                <w:sz w:val="18"/>
                <w:szCs w:val="18"/>
              </w:rPr>
              <w:t>20</w:t>
            </w:r>
            <w:r>
              <w:rPr>
                <w:rFonts w:hint="eastAsia"/>
                <w:sz w:val="18"/>
                <w:szCs w:val="18"/>
              </w:rPr>
              <w:t>24〕1</w:t>
            </w:r>
            <w:r>
              <w:rPr>
                <w:sz w:val="18"/>
                <w:szCs w:val="18"/>
              </w:rPr>
              <w:t>号</w:t>
            </w:r>
          </w:p>
        </w:tc>
        <w:tc>
          <w:tcPr>
            <w:tcW w:w="759" w:type="dxa"/>
            <w:vAlign w:val="center"/>
          </w:tcPr>
          <w:p w14:paraId="71A6779D">
            <w:pPr>
              <w:spacing w:line="240" w:lineRule="auto"/>
              <w:jc w:val="center"/>
              <w:rPr>
                <w:sz w:val="18"/>
                <w:szCs w:val="18"/>
              </w:rPr>
            </w:pPr>
            <w:r>
              <w:rPr>
                <w:rFonts w:hint="eastAsia"/>
                <w:sz w:val="18"/>
                <w:szCs w:val="18"/>
              </w:rPr>
              <w:t>/</w:t>
            </w:r>
          </w:p>
        </w:tc>
      </w:tr>
    </w:tbl>
    <w:p w14:paraId="6A8D4D1E">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3.2.2</w:t>
      </w:r>
      <w:r>
        <w:rPr>
          <w:rFonts w:hint="eastAsia"/>
        </w:rPr>
        <w:t>在建项目基本概况</w:t>
      </w:r>
    </w:p>
    <w:p w14:paraId="10284197">
      <w:pPr>
        <w:ind w:firstLine="480"/>
      </w:pPr>
      <w:r>
        <w:rPr>
          <w:rFonts w:hint="eastAsia"/>
        </w:rPr>
        <w:t>在建项目“年产15000吨印刷品改扩建项目”在新向维现有厂区内实施，总投资7200万元，其中环保投资2585万，占总投资35.90%，目前已竣工，暂未投入生产。</w:t>
      </w:r>
    </w:p>
    <w:p w14:paraId="5F11A140">
      <w:pPr>
        <w:ind w:firstLine="480"/>
        <w:rPr>
          <w:u w:val="single"/>
        </w:rPr>
      </w:pPr>
      <w:r>
        <w:rPr>
          <w:rFonts w:hint="eastAsia"/>
          <w:u w:val="single"/>
        </w:rPr>
        <w:t>在建项目建设内容主要如下：</w:t>
      </w:r>
    </w:p>
    <w:p w14:paraId="235D1E33">
      <w:pPr>
        <w:ind w:firstLine="480"/>
        <w:rPr>
          <w:rFonts w:hint="eastAsia" w:eastAsia="宋体"/>
          <w:u w:val="single"/>
          <w:lang w:val="en-US" w:eastAsia="zh-CN"/>
        </w:rPr>
      </w:pPr>
      <w:r>
        <w:rPr>
          <w:rFonts w:hint="eastAsia"/>
          <w:u w:val="single"/>
        </w:rPr>
        <w:t xml:space="preserve">（1）新增烫金工艺；淘汰并更新已建工程中落后的印刷、复合设备，增加印刷软包装产能4920t/a；提升无溶剂胶水使用比例。 </w:t>
      </w:r>
      <w:r>
        <w:rPr>
          <w:rFonts w:hint="eastAsia"/>
          <w:u w:val="single"/>
          <w:lang w:val="en-US" w:eastAsia="zh-CN"/>
        </w:rPr>
        <w:t xml:space="preserve"> </w:t>
      </w:r>
    </w:p>
    <w:p w14:paraId="26C4DA67">
      <w:pPr>
        <w:ind w:firstLine="480"/>
        <w:rPr>
          <w:u w:val="single"/>
        </w:rPr>
      </w:pPr>
      <w:r>
        <w:rPr>
          <w:rFonts w:hint="eastAsia"/>
          <w:u w:val="single"/>
        </w:rPr>
        <w:t>（2）对已建工程中用于处理印刷有机废气的“</w:t>
      </w:r>
      <w:r>
        <w:rPr>
          <w:u w:val="single"/>
        </w:rPr>
        <w:t>2+1三通路（催化氧化双通路、碱液喷淋）</w:t>
      </w:r>
      <w:r>
        <w:rPr>
          <w:rFonts w:hint="eastAsia"/>
          <w:u w:val="single"/>
        </w:rPr>
        <w:t>”设施进行改造如下：①保留催化氧化装置，并改造为产品复合烘干循环风的加热装置；②拆除车间3原催化燃烧</w:t>
      </w:r>
      <w:r>
        <w:rPr>
          <w:rFonts w:hint="eastAsia"/>
          <w:u w:val="single"/>
          <w:lang w:val="en-US" w:eastAsia="zh-CN"/>
        </w:rPr>
        <w:t>装置及</w:t>
      </w:r>
      <w:r>
        <w:rPr>
          <w:rFonts w:hint="eastAsia"/>
          <w:u w:val="single"/>
        </w:rPr>
        <w:t>P1排气筒及屋顶碱液喷淋装置及其配套排气筒P2；③保留4号车间顶部的碱液喷淋系统及配套的排气筒P3，作为事故情形下的应急处理设施。</w:t>
      </w:r>
    </w:p>
    <w:p w14:paraId="738F346C">
      <w:pPr>
        <w:ind w:firstLine="480"/>
      </w:pPr>
      <w:r>
        <w:rPr>
          <w:rFonts w:hint="eastAsia"/>
          <w:u w:val="single"/>
        </w:rPr>
        <w:t>（3）新建1套“吸附浓缩+溶剂回收设备”收集处理全厂印刷有机废气，并配套1根20.5m排气筒（DA001，前述循环风加热装置天然气燃烧废气由本排气筒共同排放），新增1台导热油锅炉，配套有1根16m排气筒（DA002）。</w:t>
      </w:r>
    </w:p>
    <w:p w14:paraId="412DEE1E">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3.2.2.1</w:t>
      </w:r>
      <w:r>
        <w:rPr>
          <w:rFonts w:hint="eastAsia"/>
        </w:rPr>
        <w:t>在建项目产品产能</w:t>
      </w:r>
    </w:p>
    <w:p w14:paraId="64577201">
      <w:pPr>
        <w:pStyle w:val="38"/>
        <w:ind w:firstLine="482"/>
        <w:rPr>
          <w:rFonts w:ascii="Times New Roman" w:hAnsi="Times New Roman"/>
          <w:bCs/>
          <w:color w:val="auto"/>
        </w:rPr>
      </w:pPr>
      <w:r>
        <w:rPr>
          <w:rFonts w:hint="eastAsia"/>
          <w:bCs/>
          <w:color w:val="auto"/>
        </w:rPr>
        <w:t>在建工程实施</w:t>
      </w:r>
      <w:r>
        <w:rPr>
          <w:rFonts w:hint="eastAsia"/>
        </w:rPr>
        <w:t>前后主要产品如下表所示。</w:t>
      </w:r>
    </w:p>
    <w:p w14:paraId="62131BDA">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表3.2-1 </w:t>
      </w:r>
      <w:r>
        <w:rPr>
          <w:rFonts w:hint="eastAsia"/>
        </w:rPr>
        <w:t xml:space="preserve"> 已批复项目产品方案  单位t/a</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38"/>
        <w:gridCol w:w="3105"/>
        <w:gridCol w:w="1559"/>
        <w:gridCol w:w="1417"/>
        <w:gridCol w:w="1517"/>
      </w:tblGrid>
      <w:tr w14:paraId="6355D0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38" w:type="dxa"/>
            <w:vAlign w:val="center"/>
          </w:tcPr>
          <w:p w14:paraId="0B1864A7">
            <w:pPr>
              <w:adjustRightInd w:val="0"/>
              <w:snapToGrid w:val="0"/>
              <w:spacing w:line="240" w:lineRule="auto"/>
              <w:jc w:val="center"/>
              <w:rPr>
                <w:sz w:val="21"/>
                <w:szCs w:val="21"/>
              </w:rPr>
            </w:pPr>
            <w:r>
              <w:rPr>
                <w:sz w:val="21"/>
                <w:szCs w:val="21"/>
              </w:rPr>
              <w:t>序号</w:t>
            </w:r>
          </w:p>
        </w:tc>
        <w:tc>
          <w:tcPr>
            <w:tcW w:w="3105" w:type="dxa"/>
            <w:vAlign w:val="center"/>
          </w:tcPr>
          <w:p w14:paraId="5D790E23">
            <w:pPr>
              <w:adjustRightInd w:val="0"/>
              <w:snapToGrid w:val="0"/>
              <w:spacing w:line="240" w:lineRule="auto"/>
              <w:jc w:val="center"/>
              <w:rPr>
                <w:sz w:val="21"/>
                <w:szCs w:val="21"/>
              </w:rPr>
            </w:pPr>
            <w:r>
              <w:rPr>
                <w:sz w:val="21"/>
                <w:szCs w:val="21"/>
              </w:rPr>
              <w:t>产品名称</w:t>
            </w:r>
          </w:p>
        </w:tc>
        <w:tc>
          <w:tcPr>
            <w:tcW w:w="1559" w:type="dxa"/>
            <w:vAlign w:val="center"/>
          </w:tcPr>
          <w:p w14:paraId="44818A0E">
            <w:pPr>
              <w:adjustRightInd w:val="0"/>
              <w:snapToGrid w:val="0"/>
              <w:spacing w:line="240" w:lineRule="auto"/>
              <w:jc w:val="center"/>
              <w:rPr>
                <w:sz w:val="21"/>
                <w:szCs w:val="21"/>
              </w:rPr>
            </w:pPr>
            <w:r>
              <w:rPr>
                <w:sz w:val="21"/>
                <w:szCs w:val="21"/>
              </w:rPr>
              <w:t>已建项目</w:t>
            </w:r>
          </w:p>
          <w:p w14:paraId="280C1E73">
            <w:pPr>
              <w:adjustRightInd w:val="0"/>
              <w:snapToGrid w:val="0"/>
              <w:spacing w:line="240" w:lineRule="auto"/>
              <w:jc w:val="center"/>
              <w:rPr>
                <w:sz w:val="21"/>
                <w:szCs w:val="21"/>
              </w:rPr>
            </w:pPr>
            <w:r>
              <w:rPr>
                <w:sz w:val="21"/>
                <w:szCs w:val="21"/>
              </w:rPr>
              <w:t>设计产能</w:t>
            </w:r>
          </w:p>
        </w:tc>
        <w:tc>
          <w:tcPr>
            <w:tcW w:w="1417" w:type="dxa"/>
            <w:vAlign w:val="center"/>
          </w:tcPr>
          <w:p w14:paraId="4E91E895">
            <w:pPr>
              <w:adjustRightInd w:val="0"/>
              <w:snapToGrid w:val="0"/>
              <w:spacing w:line="240" w:lineRule="auto"/>
              <w:jc w:val="center"/>
              <w:rPr>
                <w:sz w:val="21"/>
                <w:szCs w:val="21"/>
              </w:rPr>
            </w:pPr>
            <w:r>
              <w:rPr>
                <w:sz w:val="21"/>
                <w:szCs w:val="21"/>
              </w:rPr>
              <w:t>在建项目</w:t>
            </w:r>
            <w:r>
              <w:rPr>
                <w:rFonts w:hint="eastAsia"/>
                <w:sz w:val="21"/>
                <w:szCs w:val="21"/>
              </w:rPr>
              <w:t>增加</w:t>
            </w:r>
          </w:p>
          <w:p w14:paraId="0B8C4FAE">
            <w:pPr>
              <w:adjustRightInd w:val="0"/>
              <w:snapToGrid w:val="0"/>
              <w:spacing w:line="240" w:lineRule="auto"/>
              <w:jc w:val="center"/>
              <w:rPr>
                <w:sz w:val="21"/>
                <w:szCs w:val="21"/>
              </w:rPr>
            </w:pPr>
            <w:r>
              <w:rPr>
                <w:rFonts w:hint="eastAsia"/>
                <w:sz w:val="21"/>
                <w:szCs w:val="21"/>
              </w:rPr>
              <w:t>产能</w:t>
            </w:r>
          </w:p>
        </w:tc>
        <w:tc>
          <w:tcPr>
            <w:tcW w:w="1517" w:type="dxa"/>
            <w:vAlign w:val="center"/>
          </w:tcPr>
          <w:p w14:paraId="2F6C19D8">
            <w:pPr>
              <w:adjustRightInd w:val="0"/>
              <w:snapToGrid w:val="0"/>
              <w:spacing w:line="240" w:lineRule="auto"/>
              <w:jc w:val="center"/>
              <w:rPr>
                <w:sz w:val="21"/>
                <w:szCs w:val="21"/>
              </w:rPr>
            </w:pPr>
            <w:r>
              <w:rPr>
                <w:sz w:val="21"/>
                <w:szCs w:val="21"/>
              </w:rPr>
              <w:t>已建</w:t>
            </w:r>
            <w:r>
              <w:rPr>
                <w:rFonts w:hint="eastAsia"/>
                <w:sz w:val="21"/>
                <w:szCs w:val="21"/>
              </w:rPr>
              <w:t>+在建</w:t>
            </w:r>
          </w:p>
          <w:p w14:paraId="639B53C6">
            <w:pPr>
              <w:adjustRightInd w:val="0"/>
              <w:snapToGrid w:val="0"/>
              <w:spacing w:line="240" w:lineRule="auto"/>
              <w:jc w:val="center"/>
              <w:rPr>
                <w:sz w:val="21"/>
                <w:szCs w:val="21"/>
              </w:rPr>
            </w:pPr>
            <w:r>
              <w:rPr>
                <w:sz w:val="21"/>
                <w:szCs w:val="21"/>
              </w:rPr>
              <w:t>总产能</w:t>
            </w:r>
          </w:p>
        </w:tc>
      </w:tr>
      <w:tr w14:paraId="77D4A0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38" w:type="dxa"/>
            <w:vAlign w:val="center"/>
          </w:tcPr>
          <w:p w14:paraId="16086A9A">
            <w:pPr>
              <w:adjustRightInd w:val="0"/>
              <w:snapToGrid w:val="0"/>
              <w:spacing w:line="240" w:lineRule="auto"/>
              <w:jc w:val="center"/>
              <w:rPr>
                <w:sz w:val="21"/>
                <w:szCs w:val="21"/>
              </w:rPr>
            </w:pPr>
            <w:r>
              <w:rPr>
                <w:sz w:val="21"/>
                <w:szCs w:val="21"/>
              </w:rPr>
              <w:t>1</w:t>
            </w:r>
          </w:p>
        </w:tc>
        <w:tc>
          <w:tcPr>
            <w:tcW w:w="3105" w:type="dxa"/>
            <w:vAlign w:val="center"/>
          </w:tcPr>
          <w:p w14:paraId="7D387165">
            <w:pPr>
              <w:adjustRightInd w:val="0"/>
              <w:snapToGrid w:val="0"/>
              <w:spacing w:line="240" w:lineRule="auto"/>
              <w:jc w:val="center"/>
              <w:rPr>
                <w:sz w:val="21"/>
                <w:szCs w:val="21"/>
              </w:rPr>
            </w:pPr>
            <w:r>
              <w:rPr>
                <w:sz w:val="21"/>
                <w:szCs w:val="21"/>
              </w:rPr>
              <w:t>聚丙烯复合镀铝膜及其聚乙烯包装袋</w:t>
            </w:r>
          </w:p>
        </w:tc>
        <w:tc>
          <w:tcPr>
            <w:tcW w:w="1559" w:type="dxa"/>
            <w:vAlign w:val="center"/>
          </w:tcPr>
          <w:p w14:paraId="05B1DA27">
            <w:pPr>
              <w:adjustRightInd w:val="0"/>
              <w:snapToGrid w:val="0"/>
              <w:spacing w:line="240" w:lineRule="auto"/>
              <w:jc w:val="center"/>
              <w:rPr>
                <w:sz w:val="21"/>
                <w:szCs w:val="21"/>
              </w:rPr>
            </w:pPr>
            <w:r>
              <w:rPr>
                <w:sz w:val="21"/>
                <w:szCs w:val="21"/>
              </w:rPr>
              <w:t>2880</w:t>
            </w:r>
          </w:p>
        </w:tc>
        <w:tc>
          <w:tcPr>
            <w:tcW w:w="1417" w:type="dxa"/>
            <w:vAlign w:val="center"/>
          </w:tcPr>
          <w:p w14:paraId="5570643A">
            <w:pPr>
              <w:adjustRightInd w:val="0"/>
              <w:snapToGrid w:val="0"/>
              <w:spacing w:line="240" w:lineRule="auto"/>
              <w:jc w:val="center"/>
              <w:rPr>
                <w:sz w:val="21"/>
                <w:szCs w:val="21"/>
              </w:rPr>
            </w:pPr>
            <w:r>
              <w:rPr>
                <w:rFonts w:hint="eastAsia"/>
                <w:sz w:val="21"/>
                <w:szCs w:val="21"/>
              </w:rPr>
              <w:t>1406</w:t>
            </w:r>
          </w:p>
        </w:tc>
        <w:tc>
          <w:tcPr>
            <w:tcW w:w="1517" w:type="dxa"/>
            <w:vAlign w:val="center"/>
          </w:tcPr>
          <w:p w14:paraId="092BA530">
            <w:pPr>
              <w:adjustRightInd w:val="0"/>
              <w:snapToGrid w:val="0"/>
              <w:spacing w:line="240" w:lineRule="auto"/>
              <w:jc w:val="center"/>
              <w:rPr>
                <w:sz w:val="21"/>
                <w:szCs w:val="21"/>
              </w:rPr>
            </w:pPr>
            <w:r>
              <w:rPr>
                <w:rFonts w:hint="eastAsia"/>
                <w:sz w:val="21"/>
                <w:szCs w:val="21"/>
              </w:rPr>
              <w:t>4286</w:t>
            </w:r>
          </w:p>
        </w:tc>
      </w:tr>
      <w:tr w14:paraId="1AB27E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38" w:type="dxa"/>
            <w:vAlign w:val="center"/>
          </w:tcPr>
          <w:p w14:paraId="5B708984">
            <w:pPr>
              <w:adjustRightInd w:val="0"/>
              <w:snapToGrid w:val="0"/>
              <w:spacing w:line="240" w:lineRule="auto"/>
              <w:jc w:val="center"/>
              <w:rPr>
                <w:sz w:val="21"/>
                <w:szCs w:val="21"/>
              </w:rPr>
            </w:pPr>
            <w:r>
              <w:rPr>
                <w:sz w:val="21"/>
                <w:szCs w:val="21"/>
              </w:rPr>
              <w:t>2</w:t>
            </w:r>
          </w:p>
        </w:tc>
        <w:tc>
          <w:tcPr>
            <w:tcW w:w="3105" w:type="dxa"/>
            <w:vAlign w:val="center"/>
          </w:tcPr>
          <w:p w14:paraId="60DFCCA9">
            <w:pPr>
              <w:adjustRightInd w:val="0"/>
              <w:snapToGrid w:val="0"/>
              <w:spacing w:line="240" w:lineRule="auto"/>
              <w:jc w:val="center"/>
              <w:rPr>
                <w:sz w:val="21"/>
                <w:szCs w:val="21"/>
              </w:rPr>
            </w:pPr>
            <w:r>
              <w:rPr>
                <w:sz w:val="21"/>
                <w:szCs w:val="21"/>
              </w:rPr>
              <w:t>聚丙烯复合聚乙烯包装袋</w:t>
            </w:r>
          </w:p>
        </w:tc>
        <w:tc>
          <w:tcPr>
            <w:tcW w:w="1559" w:type="dxa"/>
            <w:vAlign w:val="center"/>
          </w:tcPr>
          <w:p w14:paraId="119995EE">
            <w:pPr>
              <w:adjustRightInd w:val="0"/>
              <w:snapToGrid w:val="0"/>
              <w:spacing w:line="240" w:lineRule="auto"/>
              <w:jc w:val="center"/>
              <w:rPr>
                <w:sz w:val="21"/>
                <w:szCs w:val="21"/>
              </w:rPr>
            </w:pPr>
            <w:r>
              <w:rPr>
                <w:sz w:val="21"/>
                <w:szCs w:val="21"/>
              </w:rPr>
              <w:t>2880</w:t>
            </w:r>
          </w:p>
        </w:tc>
        <w:tc>
          <w:tcPr>
            <w:tcW w:w="1417" w:type="dxa"/>
            <w:vAlign w:val="center"/>
          </w:tcPr>
          <w:p w14:paraId="02D17021">
            <w:pPr>
              <w:adjustRightInd w:val="0"/>
              <w:snapToGrid w:val="0"/>
              <w:spacing w:line="240" w:lineRule="auto"/>
              <w:jc w:val="center"/>
              <w:rPr>
                <w:sz w:val="21"/>
                <w:szCs w:val="21"/>
              </w:rPr>
            </w:pPr>
            <w:r>
              <w:rPr>
                <w:rFonts w:hint="eastAsia"/>
                <w:sz w:val="21"/>
                <w:szCs w:val="21"/>
              </w:rPr>
              <w:t>1406</w:t>
            </w:r>
          </w:p>
        </w:tc>
        <w:tc>
          <w:tcPr>
            <w:tcW w:w="1517" w:type="dxa"/>
            <w:vAlign w:val="center"/>
          </w:tcPr>
          <w:p w14:paraId="3F51CC28">
            <w:pPr>
              <w:adjustRightInd w:val="0"/>
              <w:snapToGrid w:val="0"/>
              <w:spacing w:line="240" w:lineRule="auto"/>
              <w:jc w:val="center"/>
              <w:rPr>
                <w:sz w:val="21"/>
                <w:szCs w:val="21"/>
              </w:rPr>
            </w:pPr>
            <w:r>
              <w:rPr>
                <w:rFonts w:hint="eastAsia"/>
                <w:sz w:val="21"/>
                <w:szCs w:val="21"/>
              </w:rPr>
              <w:t>4286</w:t>
            </w:r>
          </w:p>
        </w:tc>
      </w:tr>
      <w:tr w14:paraId="545738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38" w:type="dxa"/>
            <w:vAlign w:val="center"/>
          </w:tcPr>
          <w:p w14:paraId="0D15D5C0">
            <w:pPr>
              <w:adjustRightInd w:val="0"/>
              <w:snapToGrid w:val="0"/>
              <w:spacing w:line="240" w:lineRule="auto"/>
              <w:jc w:val="center"/>
              <w:rPr>
                <w:sz w:val="21"/>
                <w:szCs w:val="21"/>
              </w:rPr>
            </w:pPr>
            <w:r>
              <w:rPr>
                <w:sz w:val="21"/>
                <w:szCs w:val="21"/>
              </w:rPr>
              <w:t>3</w:t>
            </w:r>
          </w:p>
        </w:tc>
        <w:tc>
          <w:tcPr>
            <w:tcW w:w="3105" w:type="dxa"/>
            <w:vAlign w:val="center"/>
          </w:tcPr>
          <w:p w14:paraId="0ADD672F">
            <w:pPr>
              <w:adjustRightInd w:val="0"/>
              <w:snapToGrid w:val="0"/>
              <w:spacing w:line="240" w:lineRule="auto"/>
              <w:jc w:val="center"/>
              <w:rPr>
                <w:sz w:val="21"/>
                <w:szCs w:val="21"/>
              </w:rPr>
            </w:pPr>
            <w:r>
              <w:rPr>
                <w:sz w:val="21"/>
                <w:szCs w:val="21"/>
              </w:rPr>
              <w:t>聚丙烯复合耐蒸煮流延膜包装袋</w:t>
            </w:r>
          </w:p>
        </w:tc>
        <w:tc>
          <w:tcPr>
            <w:tcW w:w="1559" w:type="dxa"/>
            <w:vAlign w:val="center"/>
          </w:tcPr>
          <w:p w14:paraId="22F2F1A2">
            <w:pPr>
              <w:adjustRightInd w:val="0"/>
              <w:snapToGrid w:val="0"/>
              <w:spacing w:line="240" w:lineRule="auto"/>
              <w:jc w:val="center"/>
              <w:rPr>
                <w:sz w:val="21"/>
                <w:szCs w:val="21"/>
              </w:rPr>
            </w:pPr>
            <w:r>
              <w:rPr>
                <w:sz w:val="21"/>
                <w:szCs w:val="21"/>
              </w:rPr>
              <w:t>2880</w:t>
            </w:r>
          </w:p>
        </w:tc>
        <w:tc>
          <w:tcPr>
            <w:tcW w:w="1417" w:type="dxa"/>
            <w:vAlign w:val="center"/>
          </w:tcPr>
          <w:p w14:paraId="64819DF7">
            <w:pPr>
              <w:adjustRightInd w:val="0"/>
              <w:snapToGrid w:val="0"/>
              <w:spacing w:line="240" w:lineRule="auto"/>
              <w:jc w:val="center"/>
              <w:rPr>
                <w:sz w:val="21"/>
                <w:szCs w:val="21"/>
              </w:rPr>
            </w:pPr>
            <w:r>
              <w:rPr>
                <w:rFonts w:hint="eastAsia"/>
                <w:sz w:val="21"/>
                <w:szCs w:val="21"/>
              </w:rPr>
              <w:t>1406</w:t>
            </w:r>
          </w:p>
        </w:tc>
        <w:tc>
          <w:tcPr>
            <w:tcW w:w="1517" w:type="dxa"/>
            <w:vAlign w:val="center"/>
          </w:tcPr>
          <w:p w14:paraId="4D562238">
            <w:pPr>
              <w:adjustRightInd w:val="0"/>
              <w:snapToGrid w:val="0"/>
              <w:spacing w:line="240" w:lineRule="auto"/>
              <w:jc w:val="center"/>
              <w:rPr>
                <w:sz w:val="21"/>
                <w:szCs w:val="21"/>
              </w:rPr>
            </w:pPr>
            <w:r>
              <w:rPr>
                <w:rFonts w:hint="eastAsia"/>
                <w:sz w:val="21"/>
                <w:szCs w:val="21"/>
              </w:rPr>
              <w:t>4286</w:t>
            </w:r>
          </w:p>
        </w:tc>
      </w:tr>
      <w:tr w14:paraId="57A2AA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38" w:type="dxa"/>
            <w:vAlign w:val="center"/>
          </w:tcPr>
          <w:p w14:paraId="62EF998B">
            <w:pPr>
              <w:adjustRightInd w:val="0"/>
              <w:snapToGrid w:val="0"/>
              <w:spacing w:line="240" w:lineRule="auto"/>
              <w:jc w:val="center"/>
              <w:rPr>
                <w:sz w:val="21"/>
                <w:szCs w:val="21"/>
              </w:rPr>
            </w:pPr>
            <w:r>
              <w:rPr>
                <w:sz w:val="21"/>
                <w:szCs w:val="21"/>
              </w:rPr>
              <w:t>4</w:t>
            </w:r>
          </w:p>
        </w:tc>
        <w:tc>
          <w:tcPr>
            <w:tcW w:w="3105" w:type="dxa"/>
            <w:vAlign w:val="center"/>
          </w:tcPr>
          <w:p w14:paraId="43C36779">
            <w:pPr>
              <w:adjustRightInd w:val="0"/>
              <w:snapToGrid w:val="0"/>
              <w:spacing w:line="240" w:lineRule="auto"/>
              <w:jc w:val="center"/>
              <w:rPr>
                <w:sz w:val="21"/>
                <w:szCs w:val="21"/>
              </w:rPr>
            </w:pPr>
            <w:r>
              <w:rPr>
                <w:sz w:val="21"/>
                <w:szCs w:val="21"/>
              </w:rPr>
              <w:t>双向拉伸尼龙复合聚乙烯包装袋</w:t>
            </w:r>
          </w:p>
        </w:tc>
        <w:tc>
          <w:tcPr>
            <w:tcW w:w="1559" w:type="dxa"/>
            <w:vAlign w:val="center"/>
          </w:tcPr>
          <w:p w14:paraId="6610C21A">
            <w:pPr>
              <w:adjustRightInd w:val="0"/>
              <w:snapToGrid w:val="0"/>
              <w:spacing w:line="240" w:lineRule="auto"/>
              <w:jc w:val="center"/>
              <w:rPr>
                <w:sz w:val="21"/>
                <w:szCs w:val="21"/>
              </w:rPr>
            </w:pPr>
            <w:r>
              <w:rPr>
                <w:sz w:val="21"/>
                <w:szCs w:val="21"/>
              </w:rPr>
              <w:t>720</w:t>
            </w:r>
          </w:p>
        </w:tc>
        <w:tc>
          <w:tcPr>
            <w:tcW w:w="1417" w:type="dxa"/>
            <w:vAlign w:val="center"/>
          </w:tcPr>
          <w:p w14:paraId="630E9EAE">
            <w:pPr>
              <w:adjustRightInd w:val="0"/>
              <w:snapToGrid w:val="0"/>
              <w:spacing w:line="240" w:lineRule="auto"/>
              <w:jc w:val="center"/>
              <w:rPr>
                <w:sz w:val="21"/>
                <w:szCs w:val="21"/>
              </w:rPr>
            </w:pPr>
            <w:r>
              <w:rPr>
                <w:rFonts w:hint="eastAsia"/>
                <w:sz w:val="21"/>
                <w:szCs w:val="21"/>
              </w:rPr>
              <w:t>351</w:t>
            </w:r>
          </w:p>
        </w:tc>
        <w:tc>
          <w:tcPr>
            <w:tcW w:w="1517" w:type="dxa"/>
            <w:vAlign w:val="center"/>
          </w:tcPr>
          <w:p w14:paraId="69984883">
            <w:pPr>
              <w:adjustRightInd w:val="0"/>
              <w:snapToGrid w:val="0"/>
              <w:spacing w:line="240" w:lineRule="auto"/>
              <w:jc w:val="center"/>
              <w:rPr>
                <w:sz w:val="21"/>
                <w:szCs w:val="21"/>
              </w:rPr>
            </w:pPr>
            <w:r>
              <w:rPr>
                <w:rFonts w:hint="eastAsia"/>
                <w:sz w:val="21"/>
                <w:szCs w:val="21"/>
              </w:rPr>
              <w:t>1071</w:t>
            </w:r>
          </w:p>
        </w:tc>
      </w:tr>
      <w:tr w14:paraId="4A13EB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38" w:type="dxa"/>
            <w:vAlign w:val="center"/>
          </w:tcPr>
          <w:p w14:paraId="3B54EE12">
            <w:pPr>
              <w:adjustRightInd w:val="0"/>
              <w:snapToGrid w:val="0"/>
              <w:spacing w:line="240" w:lineRule="auto"/>
              <w:jc w:val="center"/>
              <w:rPr>
                <w:sz w:val="21"/>
                <w:szCs w:val="21"/>
              </w:rPr>
            </w:pPr>
            <w:r>
              <w:rPr>
                <w:sz w:val="21"/>
                <w:szCs w:val="21"/>
              </w:rPr>
              <w:t>5</w:t>
            </w:r>
          </w:p>
        </w:tc>
        <w:tc>
          <w:tcPr>
            <w:tcW w:w="3105" w:type="dxa"/>
            <w:vAlign w:val="center"/>
          </w:tcPr>
          <w:p w14:paraId="2FD418F8">
            <w:pPr>
              <w:adjustRightInd w:val="0"/>
              <w:snapToGrid w:val="0"/>
              <w:spacing w:line="240" w:lineRule="auto"/>
              <w:jc w:val="center"/>
              <w:rPr>
                <w:sz w:val="21"/>
                <w:szCs w:val="21"/>
              </w:rPr>
            </w:pPr>
            <w:r>
              <w:rPr>
                <w:sz w:val="21"/>
                <w:szCs w:val="21"/>
              </w:rPr>
              <w:t>双向拉伸尼龙复合耐蒸煮流延膜包装袋</w:t>
            </w:r>
          </w:p>
        </w:tc>
        <w:tc>
          <w:tcPr>
            <w:tcW w:w="1559" w:type="dxa"/>
            <w:vAlign w:val="center"/>
          </w:tcPr>
          <w:p w14:paraId="66ACF668">
            <w:pPr>
              <w:adjustRightInd w:val="0"/>
              <w:snapToGrid w:val="0"/>
              <w:spacing w:line="240" w:lineRule="auto"/>
              <w:jc w:val="center"/>
              <w:rPr>
                <w:sz w:val="21"/>
                <w:szCs w:val="21"/>
              </w:rPr>
            </w:pPr>
            <w:r>
              <w:rPr>
                <w:sz w:val="21"/>
                <w:szCs w:val="21"/>
              </w:rPr>
              <w:t>720</w:t>
            </w:r>
          </w:p>
        </w:tc>
        <w:tc>
          <w:tcPr>
            <w:tcW w:w="1417" w:type="dxa"/>
            <w:vAlign w:val="center"/>
          </w:tcPr>
          <w:p w14:paraId="7D7DE457">
            <w:pPr>
              <w:adjustRightInd w:val="0"/>
              <w:snapToGrid w:val="0"/>
              <w:spacing w:line="240" w:lineRule="auto"/>
              <w:jc w:val="center"/>
              <w:rPr>
                <w:sz w:val="21"/>
                <w:szCs w:val="21"/>
              </w:rPr>
            </w:pPr>
            <w:r>
              <w:rPr>
                <w:rFonts w:hint="eastAsia"/>
                <w:sz w:val="21"/>
                <w:szCs w:val="21"/>
              </w:rPr>
              <w:t>351</w:t>
            </w:r>
          </w:p>
        </w:tc>
        <w:tc>
          <w:tcPr>
            <w:tcW w:w="1517" w:type="dxa"/>
            <w:vAlign w:val="center"/>
          </w:tcPr>
          <w:p w14:paraId="23C18176">
            <w:pPr>
              <w:adjustRightInd w:val="0"/>
              <w:snapToGrid w:val="0"/>
              <w:spacing w:line="240" w:lineRule="auto"/>
              <w:jc w:val="center"/>
              <w:rPr>
                <w:sz w:val="21"/>
                <w:szCs w:val="21"/>
              </w:rPr>
            </w:pPr>
            <w:r>
              <w:rPr>
                <w:rFonts w:hint="eastAsia"/>
                <w:sz w:val="21"/>
                <w:szCs w:val="21"/>
              </w:rPr>
              <w:t>1071</w:t>
            </w:r>
          </w:p>
        </w:tc>
      </w:tr>
      <w:tr w14:paraId="03E02E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43" w:type="dxa"/>
            <w:gridSpan w:val="2"/>
            <w:vAlign w:val="center"/>
          </w:tcPr>
          <w:p w14:paraId="190F8024">
            <w:pPr>
              <w:adjustRightInd w:val="0"/>
              <w:snapToGrid w:val="0"/>
              <w:spacing w:line="240" w:lineRule="auto"/>
              <w:jc w:val="center"/>
              <w:rPr>
                <w:sz w:val="21"/>
                <w:szCs w:val="21"/>
              </w:rPr>
            </w:pPr>
            <w:r>
              <w:rPr>
                <w:sz w:val="21"/>
                <w:szCs w:val="21"/>
              </w:rPr>
              <w:t>合计</w:t>
            </w:r>
          </w:p>
        </w:tc>
        <w:tc>
          <w:tcPr>
            <w:tcW w:w="1559" w:type="dxa"/>
            <w:vAlign w:val="center"/>
          </w:tcPr>
          <w:p w14:paraId="42D18748">
            <w:pPr>
              <w:adjustRightInd w:val="0"/>
              <w:snapToGrid w:val="0"/>
              <w:spacing w:line="240" w:lineRule="auto"/>
              <w:jc w:val="center"/>
              <w:rPr>
                <w:sz w:val="21"/>
                <w:szCs w:val="21"/>
              </w:rPr>
            </w:pPr>
            <w:r>
              <w:rPr>
                <w:sz w:val="21"/>
                <w:szCs w:val="21"/>
              </w:rPr>
              <w:t>10080</w:t>
            </w:r>
          </w:p>
        </w:tc>
        <w:tc>
          <w:tcPr>
            <w:tcW w:w="1417" w:type="dxa"/>
            <w:vAlign w:val="center"/>
          </w:tcPr>
          <w:p w14:paraId="7BFAF95B">
            <w:pPr>
              <w:adjustRightInd w:val="0"/>
              <w:snapToGrid w:val="0"/>
              <w:spacing w:line="240" w:lineRule="auto"/>
              <w:jc w:val="center"/>
              <w:rPr>
                <w:sz w:val="21"/>
                <w:szCs w:val="21"/>
              </w:rPr>
            </w:pPr>
            <w:r>
              <w:rPr>
                <w:rFonts w:hint="eastAsia"/>
                <w:sz w:val="21"/>
                <w:szCs w:val="21"/>
              </w:rPr>
              <w:t>4920</w:t>
            </w:r>
          </w:p>
        </w:tc>
        <w:tc>
          <w:tcPr>
            <w:tcW w:w="1517" w:type="dxa"/>
            <w:vAlign w:val="center"/>
          </w:tcPr>
          <w:p w14:paraId="1DED5328">
            <w:pPr>
              <w:adjustRightInd w:val="0"/>
              <w:snapToGrid w:val="0"/>
              <w:spacing w:line="240" w:lineRule="auto"/>
              <w:jc w:val="center"/>
              <w:rPr>
                <w:sz w:val="21"/>
                <w:szCs w:val="21"/>
              </w:rPr>
            </w:pPr>
            <w:r>
              <w:rPr>
                <w:rFonts w:hint="eastAsia"/>
                <w:sz w:val="21"/>
                <w:szCs w:val="21"/>
              </w:rPr>
              <w:t>15000</w:t>
            </w:r>
          </w:p>
        </w:tc>
      </w:tr>
    </w:tbl>
    <w:p w14:paraId="4893747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3.2.2.2</w:t>
      </w:r>
      <w:r>
        <w:rPr>
          <w:rFonts w:hint="eastAsia"/>
        </w:rPr>
        <w:t>在建项目工程组成</w:t>
      </w:r>
    </w:p>
    <w:p w14:paraId="55621227">
      <w:pPr>
        <w:pStyle w:val="51"/>
        <w:widowControl w:val="0"/>
        <w:numPr>
          <w:ilvl w:val="5"/>
          <w:numId w:val="0"/>
        </w:numPr>
        <w:tabs>
          <w:tab w:val="left" w:pos="1560"/>
          <w:tab w:val="clear" w:pos="0"/>
        </w:tabs>
        <w:spacing w:before="0" w:beforeLines="0" w:line="360" w:lineRule="auto"/>
        <w:ind w:left="-2106" w:leftChars="0" w:hanging="2829"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表3.2-2 </w:t>
      </w:r>
      <w:r>
        <w:rPr>
          <w:rFonts w:hint="eastAsia"/>
        </w:rPr>
        <w:t xml:space="preserve">  项目主要工程内容一览表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02"/>
        <w:gridCol w:w="1366"/>
        <w:gridCol w:w="3167"/>
        <w:gridCol w:w="1521"/>
        <w:gridCol w:w="1666"/>
      </w:tblGrid>
      <w:tr w14:paraId="020911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Align w:val="center"/>
          </w:tcPr>
          <w:p w14:paraId="10F74267">
            <w:pPr>
              <w:adjustRightInd w:val="0"/>
              <w:snapToGrid w:val="0"/>
              <w:spacing w:line="240" w:lineRule="auto"/>
              <w:jc w:val="center"/>
              <w:rPr>
                <w:sz w:val="21"/>
                <w:szCs w:val="21"/>
              </w:rPr>
            </w:pPr>
            <w:r>
              <w:rPr>
                <w:rFonts w:hint="eastAsia"/>
                <w:sz w:val="21"/>
                <w:szCs w:val="21"/>
              </w:rPr>
              <w:t>类别</w:t>
            </w:r>
          </w:p>
        </w:tc>
        <w:tc>
          <w:tcPr>
            <w:tcW w:w="1366" w:type="dxa"/>
            <w:vAlign w:val="center"/>
          </w:tcPr>
          <w:p w14:paraId="2472CAB5">
            <w:pPr>
              <w:adjustRightInd w:val="0"/>
              <w:snapToGrid w:val="0"/>
              <w:spacing w:line="240" w:lineRule="auto"/>
              <w:jc w:val="center"/>
              <w:rPr>
                <w:sz w:val="21"/>
                <w:szCs w:val="21"/>
              </w:rPr>
            </w:pPr>
            <w:r>
              <w:rPr>
                <w:rFonts w:hint="eastAsia"/>
                <w:sz w:val="21"/>
                <w:szCs w:val="21"/>
              </w:rPr>
              <w:t>名称</w:t>
            </w:r>
          </w:p>
        </w:tc>
        <w:tc>
          <w:tcPr>
            <w:tcW w:w="3167" w:type="dxa"/>
            <w:vAlign w:val="center"/>
          </w:tcPr>
          <w:p w14:paraId="3DA1206C">
            <w:pPr>
              <w:adjustRightInd w:val="0"/>
              <w:snapToGrid w:val="0"/>
              <w:spacing w:line="240" w:lineRule="auto"/>
              <w:jc w:val="center"/>
              <w:rPr>
                <w:sz w:val="21"/>
                <w:szCs w:val="21"/>
              </w:rPr>
            </w:pPr>
            <w:r>
              <w:rPr>
                <w:rFonts w:hint="eastAsia"/>
                <w:sz w:val="21"/>
                <w:szCs w:val="21"/>
              </w:rPr>
              <w:t>建设内容</w:t>
            </w:r>
          </w:p>
        </w:tc>
        <w:tc>
          <w:tcPr>
            <w:tcW w:w="1521" w:type="dxa"/>
            <w:tcBorders>
              <w:right w:val="single" w:color="auto" w:sz="4" w:space="0"/>
            </w:tcBorders>
            <w:vAlign w:val="center"/>
          </w:tcPr>
          <w:p w14:paraId="501D9D37">
            <w:pPr>
              <w:adjustRightInd w:val="0"/>
              <w:snapToGrid w:val="0"/>
              <w:spacing w:line="240" w:lineRule="auto"/>
              <w:jc w:val="center"/>
              <w:rPr>
                <w:sz w:val="21"/>
                <w:szCs w:val="21"/>
              </w:rPr>
            </w:pPr>
            <w:r>
              <w:rPr>
                <w:rFonts w:hint="eastAsia"/>
                <w:sz w:val="21"/>
                <w:szCs w:val="21"/>
              </w:rPr>
              <w:t>建筑规模</w:t>
            </w:r>
          </w:p>
        </w:tc>
        <w:tc>
          <w:tcPr>
            <w:tcW w:w="1666" w:type="dxa"/>
            <w:tcBorders>
              <w:left w:val="single" w:color="auto" w:sz="4" w:space="0"/>
            </w:tcBorders>
            <w:vAlign w:val="center"/>
          </w:tcPr>
          <w:p w14:paraId="4F409184">
            <w:pPr>
              <w:adjustRightInd w:val="0"/>
              <w:snapToGrid w:val="0"/>
              <w:spacing w:line="240" w:lineRule="auto"/>
              <w:jc w:val="center"/>
              <w:rPr>
                <w:sz w:val="21"/>
                <w:szCs w:val="21"/>
              </w:rPr>
            </w:pPr>
            <w:r>
              <w:rPr>
                <w:rFonts w:hint="eastAsia"/>
                <w:sz w:val="21"/>
                <w:szCs w:val="21"/>
              </w:rPr>
              <w:t>备注</w:t>
            </w:r>
          </w:p>
        </w:tc>
      </w:tr>
      <w:tr w14:paraId="6D2982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22" w:type="dxa"/>
            <w:gridSpan w:val="5"/>
            <w:vAlign w:val="center"/>
          </w:tcPr>
          <w:p w14:paraId="6E94381E">
            <w:pPr>
              <w:adjustRightInd w:val="0"/>
              <w:snapToGrid w:val="0"/>
              <w:spacing w:line="240" w:lineRule="auto"/>
              <w:jc w:val="center"/>
              <w:rPr>
                <w:sz w:val="21"/>
                <w:szCs w:val="21"/>
              </w:rPr>
            </w:pPr>
            <w:r>
              <w:rPr>
                <w:rFonts w:hint="eastAsia"/>
                <w:sz w:val="21"/>
                <w:szCs w:val="21"/>
              </w:rPr>
              <w:t>生产区</w:t>
            </w:r>
          </w:p>
        </w:tc>
      </w:tr>
      <w:tr w14:paraId="74E271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restart"/>
            <w:tcBorders>
              <w:top w:val="single" w:color="auto" w:sz="4" w:space="0"/>
            </w:tcBorders>
            <w:vAlign w:val="center"/>
          </w:tcPr>
          <w:p w14:paraId="282EFC7F">
            <w:pPr>
              <w:adjustRightInd w:val="0"/>
              <w:snapToGrid w:val="0"/>
              <w:spacing w:line="240" w:lineRule="auto"/>
              <w:jc w:val="center"/>
              <w:rPr>
                <w:sz w:val="21"/>
                <w:szCs w:val="21"/>
              </w:rPr>
            </w:pPr>
            <w:r>
              <w:rPr>
                <w:rFonts w:hint="eastAsia"/>
                <w:sz w:val="21"/>
                <w:szCs w:val="21"/>
              </w:rPr>
              <w:t>主体工程</w:t>
            </w:r>
          </w:p>
        </w:tc>
        <w:tc>
          <w:tcPr>
            <w:tcW w:w="1366" w:type="dxa"/>
            <w:tcBorders>
              <w:top w:val="single" w:color="auto" w:sz="4" w:space="0"/>
            </w:tcBorders>
            <w:vAlign w:val="center"/>
          </w:tcPr>
          <w:p w14:paraId="4C1159A0">
            <w:pPr>
              <w:adjustRightInd w:val="0"/>
              <w:snapToGrid w:val="0"/>
              <w:spacing w:line="240" w:lineRule="auto"/>
              <w:jc w:val="center"/>
              <w:rPr>
                <w:sz w:val="21"/>
                <w:szCs w:val="21"/>
              </w:rPr>
            </w:pPr>
            <w:r>
              <w:rPr>
                <w:rFonts w:hint="eastAsia"/>
                <w:sz w:val="21"/>
                <w:szCs w:val="21"/>
              </w:rPr>
              <w:t>车间二</w:t>
            </w:r>
          </w:p>
        </w:tc>
        <w:tc>
          <w:tcPr>
            <w:tcW w:w="3167" w:type="dxa"/>
            <w:vAlign w:val="center"/>
          </w:tcPr>
          <w:p w14:paraId="43B2B8B5">
            <w:pPr>
              <w:pStyle w:val="64"/>
              <w:tabs>
                <w:tab w:val="left" w:pos="-2848"/>
                <w:tab w:val="right" w:pos="1808"/>
              </w:tabs>
              <w:ind w:firstLine="0"/>
              <w:rPr>
                <w:sz w:val="21"/>
                <w:szCs w:val="21"/>
              </w:rPr>
            </w:pPr>
            <w:r>
              <w:rPr>
                <w:rFonts w:hint="eastAsia"/>
                <w:sz w:val="21"/>
                <w:szCs w:val="21"/>
              </w:rPr>
              <w:t>1F，</w:t>
            </w:r>
            <w:r>
              <w:rPr>
                <w:sz w:val="21"/>
                <w:szCs w:val="21"/>
              </w:rPr>
              <w:t>制袋车间</w:t>
            </w:r>
          </w:p>
        </w:tc>
        <w:tc>
          <w:tcPr>
            <w:tcW w:w="1521" w:type="dxa"/>
            <w:tcBorders>
              <w:right w:val="single" w:color="auto" w:sz="4" w:space="0"/>
            </w:tcBorders>
            <w:vAlign w:val="center"/>
          </w:tcPr>
          <w:p w14:paraId="1429B486">
            <w:pPr>
              <w:adjustRightInd w:val="0"/>
              <w:snapToGrid w:val="0"/>
              <w:spacing w:line="240" w:lineRule="auto"/>
              <w:jc w:val="center"/>
              <w:rPr>
                <w:sz w:val="21"/>
                <w:szCs w:val="21"/>
              </w:rPr>
            </w:pPr>
            <w:r>
              <w:rPr>
                <w:rFonts w:hint="eastAsia"/>
                <w:sz w:val="21"/>
                <w:szCs w:val="21"/>
              </w:rPr>
              <w:t>8032.55m</w:t>
            </w:r>
            <w:r>
              <w:rPr>
                <w:rFonts w:hint="eastAsia"/>
                <w:sz w:val="21"/>
                <w:szCs w:val="21"/>
                <w:vertAlign w:val="superscript"/>
              </w:rPr>
              <w:t>2</w:t>
            </w:r>
          </w:p>
        </w:tc>
        <w:tc>
          <w:tcPr>
            <w:tcW w:w="1666" w:type="dxa"/>
            <w:tcBorders>
              <w:left w:val="single" w:color="auto" w:sz="4" w:space="0"/>
            </w:tcBorders>
            <w:vAlign w:val="center"/>
          </w:tcPr>
          <w:p w14:paraId="4EF7D923">
            <w:pPr>
              <w:adjustRightInd w:val="0"/>
              <w:snapToGrid w:val="0"/>
              <w:spacing w:line="240" w:lineRule="auto"/>
              <w:jc w:val="center"/>
              <w:rPr>
                <w:sz w:val="21"/>
                <w:szCs w:val="21"/>
              </w:rPr>
            </w:pPr>
            <w:r>
              <w:rPr>
                <w:rFonts w:hint="eastAsia"/>
                <w:sz w:val="21"/>
                <w:szCs w:val="21"/>
              </w:rPr>
              <w:t>已建工程内容</w:t>
            </w:r>
          </w:p>
        </w:tc>
      </w:tr>
      <w:tr w14:paraId="5984A7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tcBorders>
              <w:bottom w:val="single" w:color="auto" w:sz="4" w:space="0"/>
            </w:tcBorders>
            <w:vAlign w:val="center"/>
          </w:tcPr>
          <w:p w14:paraId="3B288E6D">
            <w:pPr>
              <w:adjustRightInd w:val="0"/>
              <w:snapToGrid w:val="0"/>
              <w:spacing w:line="240" w:lineRule="auto"/>
              <w:jc w:val="center"/>
              <w:rPr>
                <w:color w:val="FF0000"/>
                <w:sz w:val="21"/>
                <w:szCs w:val="21"/>
              </w:rPr>
            </w:pPr>
          </w:p>
        </w:tc>
        <w:tc>
          <w:tcPr>
            <w:tcW w:w="1366" w:type="dxa"/>
            <w:tcBorders>
              <w:bottom w:val="single" w:color="auto" w:sz="4" w:space="0"/>
            </w:tcBorders>
            <w:vAlign w:val="center"/>
          </w:tcPr>
          <w:p w14:paraId="0958499A">
            <w:pPr>
              <w:adjustRightInd w:val="0"/>
              <w:snapToGrid w:val="0"/>
              <w:spacing w:line="240" w:lineRule="auto"/>
              <w:jc w:val="center"/>
              <w:rPr>
                <w:sz w:val="21"/>
                <w:szCs w:val="21"/>
              </w:rPr>
            </w:pPr>
            <w:r>
              <w:rPr>
                <w:rFonts w:hint="eastAsia"/>
                <w:sz w:val="21"/>
                <w:szCs w:val="21"/>
              </w:rPr>
              <w:t>车间三</w:t>
            </w:r>
          </w:p>
        </w:tc>
        <w:tc>
          <w:tcPr>
            <w:tcW w:w="3167" w:type="dxa"/>
            <w:vAlign w:val="center"/>
          </w:tcPr>
          <w:p w14:paraId="59C333CA">
            <w:pPr>
              <w:adjustRightInd w:val="0"/>
              <w:snapToGrid w:val="0"/>
              <w:spacing w:line="240" w:lineRule="auto"/>
              <w:jc w:val="center"/>
              <w:rPr>
                <w:sz w:val="21"/>
                <w:szCs w:val="21"/>
              </w:rPr>
            </w:pPr>
            <w:r>
              <w:rPr>
                <w:rFonts w:hint="eastAsia"/>
                <w:sz w:val="21"/>
                <w:szCs w:val="21"/>
              </w:rPr>
              <w:t>1F，印刷区、复合区、熟化区、调墨间、调胶间、锅炉房</w:t>
            </w:r>
          </w:p>
        </w:tc>
        <w:tc>
          <w:tcPr>
            <w:tcW w:w="1521" w:type="dxa"/>
            <w:tcBorders>
              <w:right w:val="single" w:color="auto" w:sz="4" w:space="0"/>
            </w:tcBorders>
            <w:vAlign w:val="center"/>
          </w:tcPr>
          <w:p w14:paraId="41A4697A">
            <w:pPr>
              <w:adjustRightInd w:val="0"/>
              <w:snapToGrid w:val="0"/>
              <w:spacing w:line="240" w:lineRule="auto"/>
              <w:jc w:val="center"/>
              <w:rPr>
                <w:color w:val="FF0000"/>
                <w:sz w:val="21"/>
                <w:szCs w:val="21"/>
              </w:rPr>
            </w:pPr>
            <w:r>
              <w:rPr>
                <w:rFonts w:hint="eastAsia"/>
                <w:sz w:val="21"/>
                <w:szCs w:val="21"/>
              </w:rPr>
              <w:t>4822.74m</w:t>
            </w:r>
            <w:r>
              <w:rPr>
                <w:rFonts w:hint="eastAsia"/>
                <w:sz w:val="21"/>
                <w:szCs w:val="21"/>
                <w:vertAlign w:val="superscript"/>
              </w:rPr>
              <w:t>2</w:t>
            </w:r>
          </w:p>
        </w:tc>
        <w:tc>
          <w:tcPr>
            <w:tcW w:w="1666" w:type="dxa"/>
            <w:tcBorders>
              <w:left w:val="single" w:color="auto" w:sz="4" w:space="0"/>
            </w:tcBorders>
            <w:vAlign w:val="center"/>
          </w:tcPr>
          <w:p w14:paraId="4995C34E">
            <w:pPr>
              <w:adjustRightInd w:val="0"/>
              <w:snapToGrid w:val="0"/>
              <w:spacing w:line="240" w:lineRule="auto"/>
              <w:jc w:val="center"/>
              <w:rPr>
                <w:sz w:val="21"/>
                <w:szCs w:val="21"/>
              </w:rPr>
            </w:pPr>
            <w:r>
              <w:rPr>
                <w:rFonts w:hint="eastAsia"/>
                <w:sz w:val="21"/>
                <w:szCs w:val="21"/>
              </w:rPr>
              <w:t>已建工程内容，</w:t>
            </w:r>
            <w:r>
              <w:rPr>
                <w:rFonts w:hint="eastAsia"/>
                <w:b/>
                <w:sz w:val="21"/>
                <w:szCs w:val="21"/>
              </w:rPr>
              <w:t>在建工程调整了部分生产功能区划分</w:t>
            </w:r>
          </w:p>
        </w:tc>
      </w:tr>
      <w:tr w14:paraId="4E3CBC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68" w:type="dxa"/>
            <w:gridSpan w:val="2"/>
            <w:tcBorders>
              <w:bottom w:val="single" w:color="auto" w:sz="4" w:space="0"/>
            </w:tcBorders>
            <w:vAlign w:val="center"/>
          </w:tcPr>
          <w:p w14:paraId="4DA16EA2">
            <w:pPr>
              <w:adjustRightInd w:val="0"/>
              <w:snapToGrid w:val="0"/>
              <w:spacing w:line="240" w:lineRule="auto"/>
              <w:jc w:val="center"/>
              <w:rPr>
                <w:sz w:val="21"/>
                <w:szCs w:val="21"/>
              </w:rPr>
            </w:pPr>
            <w:r>
              <w:rPr>
                <w:rFonts w:hint="eastAsia"/>
                <w:sz w:val="21"/>
                <w:szCs w:val="21"/>
              </w:rPr>
              <w:t>“以新带老”内容</w:t>
            </w:r>
          </w:p>
        </w:tc>
        <w:tc>
          <w:tcPr>
            <w:tcW w:w="4688" w:type="dxa"/>
            <w:gridSpan w:val="2"/>
            <w:tcBorders>
              <w:right w:val="single" w:color="auto" w:sz="4" w:space="0"/>
            </w:tcBorders>
            <w:vAlign w:val="center"/>
          </w:tcPr>
          <w:p w14:paraId="56E18CE0">
            <w:pPr>
              <w:adjustRightInd w:val="0"/>
              <w:snapToGrid w:val="0"/>
              <w:spacing w:line="240" w:lineRule="auto"/>
              <w:jc w:val="center"/>
              <w:rPr>
                <w:sz w:val="21"/>
                <w:szCs w:val="21"/>
              </w:rPr>
            </w:pPr>
            <w:r>
              <w:rPr>
                <w:rFonts w:hint="eastAsia"/>
                <w:sz w:val="21"/>
                <w:szCs w:val="21"/>
              </w:rPr>
              <w:t>“（2+1）三通路（催化氧化双通路、碱液喷淋）处理凹印有机废气的节能减排系统”更换为“吸附浓缩+溶剂回收设备”</w:t>
            </w:r>
          </w:p>
        </w:tc>
        <w:tc>
          <w:tcPr>
            <w:tcW w:w="1666" w:type="dxa"/>
            <w:tcBorders>
              <w:left w:val="single" w:color="auto" w:sz="4" w:space="0"/>
            </w:tcBorders>
            <w:vAlign w:val="center"/>
          </w:tcPr>
          <w:p w14:paraId="5D856431">
            <w:pPr>
              <w:adjustRightInd w:val="0"/>
              <w:snapToGrid w:val="0"/>
              <w:spacing w:line="240" w:lineRule="auto"/>
              <w:jc w:val="center"/>
              <w:rPr>
                <w:b/>
                <w:sz w:val="21"/>
                <w:szCs w:val="21"/>
              </w:rPr>
            </w:pPr>
            <w:r>
              <w:rPr>
                <w:b/>
                <w:sz w:val="21"/>
                <w:szCs w:val="21"/>
              </w:rPr>
              <w:t>在建工程新建</w:t>
            </w:r>
          </w:p>
        </w:tc>
      </w:tr>
      <w:tr w14:paraId="189D26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restart"/>
            <w:vAlign w:val="center"/>
          </w:tcPr>
          <w:p w14:paraId="7FE388B8">
            <w:pPr>
              <w:adjustRightInd w:val="0"/>
              <w:snapToGrid w:val="0"/>
              <w:spacing w:line="240" w:lineRule="auto"/>
              <w:jc w:val="center"/>
              <w:rPr>
                <w:color w:val="FF0000"/>
                <w:sz w:val="21"/>
                <w:szCs w:val="21"/>
              </w:rPr>
            </w:pPr>
            <w:r>
              <w:rPr>
                <w:rFonts w:hint="eastAsia"/>
                <w:sz w:val="21"/>
                <w:szCs w:val="21"/>
              </w:rPr>
              <w:t>辅助工程</w:t>
            </w:r>
          </w:p>
        </w:tc>
        <w:tc>
          <w:tcPr>
            <w:tcW w:w="1366" w:type="dxa"/>
            <w:vAlign w:val="center"/>
          </w:tcPr>
          <w:p w14:paraId="11FABB65">
            <w:pPr>
              <w:adjustRightInd w:val="0"/>
              <w:snapToGrid w:val="0"/>
              <w:spacing w:line="240" w:lineRule="auto"/>
              <w:jc w:val="center"/>
              <w:rPr>
                <w:sz w:val="21"/>
                <w:szCs w:val="21"/>
              </w:rPr>
            </w:pPr>
            <w:r>
              <w:rPr>
                <w:rFonts w:hint="eastAsia"/>
                <w:sz w:val="21"/>
                <w:szCs w:val="21"/>
              </w:rPr>
              <w:t>车间一</w:t>
            </w:r>
          </w:p>
        </w:tc>
        <w:tc>
          <w:tcPr>
            <w:tcW w:w="3167" w:type="dxa"/>
            <w:vAlign w:val="center"/>
          </w:tcPr>
          <w:p w14:paraId="4C547FB4">
            <w:pPr>
              <w:pStyle w:val="64"/>
              <w:tabs>
                <w:tab w:val="left" w:pos="-2848"/>
                <w:tab w:val="right" w:pos="1808"/>
              </w:tabs>
              <w:ind w:firstLine="0"/>
              <w:rPr>
                <w:sz w:val="21"/>
                <w:szCs w:val="21"/>
              </w:rPr>
            </w:pPr>
            <w:r>
              <w:rPr>
                <w:rFonts w:hint="eastAsia"/>
                <w:sz w:val="21"/>
                <w:szCs w:val="21"/>
              </w:rPr>
              <w:t>1F，</w:t>
            </w:r>
            <w:r>
              <w:rPr>
                <w:sz w:val="21"/>
                <w:szCs w:val="21"/>
              </w:rPr>
              <w:t>原料、成品仓库</w:t>
            </w:r>
          </w:p>
        </w:tc>
        <w:tc>
          <w:tcPr>
            <w:tcW w:w="1521" w:type="dxa"/>
            <w:tcBorders>
              <w:right w:val="single" w:color="auto" w:sz="4" w:space="0"/>
            </w:tcBorders>
            <w:vAlign w:val="center"/>
          </w:tcPr>
          <w:p w14:paraId="44075D3A">
            <w:pPr>
              <w:adjustRightInd w:val="0"/>
              <w:snapToGrid w:val="0"/>
              <w:spacing w:line="240" w:lineRule="auto"/>
              <w:jc w:val="center"/>
              <w:rPr>
                <w:sz w:val="21"/>
                <w:szCs w:val="21"/>
              </w:rPr>
            </w:pPr>
            <w:r>
              <w:rPr>
                <w:rFonts w:hint="eastAsia"/>
                <w:sz w:val="21"/>
                <w:szCs w:val="21"/>
              </w:rPr>
              <w:t>5840.87m</w:t>
            </w:r>
            <w:r>
              <w:rPr>
                <w:rFonts w:hint="eastAsia"/>
                <w:sz w:val="21"/>
                <w:szCs w:val="21"/>
                <w:vertAlign w:val="superscript"/>
              </w:rPr>
              <w:t>2</w:t>
            </w:r>
          </w:p>
        </w:tc>
        <w:tc>
          <w:tcPr>
            <w:tcW w:w="1666" w:type="dxa"/>
            <w:tcBorders>
              <w:left w:val="single" w:color="auto" w:sz="4" w:space="0"/>
            </w:tcBorders>
            <w:vAlign w:val="center"/>
          </w:tcPr>
          <w:p w14:paraId="38214B41">
            <w:pPr>
              <w:adjustRightInd w:val="0"/>
              <w:snapToGrid w:val="0"/>
              <w:spacing w:line="240" w:lineRule="auto"/>
              <w:jc w:val="center"/>
              <w:rPr>
                <w:sz w:val="21"/>
                <w:szCs w:val="21"/>
              </w:rPr>
            </w:pPr>
            <w:r>
              <w:rPr>
                <w:rFonts w:hint="eastAsia"/>
                <w:sz w:val="21"/>
                <w:szCs w:val="21"/>
              </w:rPr>
              <w:t>已建工程内容</w:t>
            </w:r>
          </w:p>
        </w:tc>
      </w:tr>
      <w:tr w14:paraId="151D12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64B646BD">
            <w:pPr>
              <w:adjustRightInd w:val="0"/>
              <w:snapToGrid w:val="0"/>
              <w:spacing w:line="240" w:lineRule="auto"/>
              <w:jc w:val="center"/>
              <w:rPr>
                <w:color w:val="FF0000"/>
                <w:sz w:val="21"/>
                <w:szCs w:val="21"/>
              </w:rPr>
            </w:pPr>
          </w:p>
        </w:tc>
        <w:tc>
          <w:tcPr>
            <w:tcW w:w="1366" w:type="dxa"/>
            <w:vAlign w:val="center"/>
          </w:tcPr>
          <w:p w14:paraId="03476F1E">
            <w:pPr>
              <w:adjustRightInd w:val="0"/>
              <w:snapToGrid w:val="0"/>
              <w:spacing w:line="240" w:lineRule="auto"/>
              <w:jc w:val="center"/>
              <w:rPr>
                <w:sz w:val="21"/>
                <w:szCs w:val="21"/>
              </w:rPr>
            </w:pPr>
            <w:r>
              <w:rPr>
                <w:rFonts w:hint="eastAsia"/>
                <w:sz w:val="21"/>
                <w:szCs w:val="21"/>
              </w:rPr>
              <w:t>车间四</w:t>
            </w:r>
          </w:p>
        </w:tc>
        <w:tc>
          <w:tcPr>
            <w:tcW w:w="3167" w:type="dxa"/>
            <w:vAlign w:val="center"/>
          </w:tcPr>
          <w:p w14:paraId="548DDB7E">
            <w:pPr>
              <w:adjustRightInd w:val="0"/>
              <w:snapToGrid w:val="0"/>
              <w:spacing w:line="240" w:lineRule="auto"/>
              <w:jc w:val="center"/>
              <w:rPr>
                <w:sz w:val="21"/>
                <w:szCs w:val="21"/>
              </w:rPr>
            </w:pPr>
            <w:r>
              <w:rPr>
                <w:rFonts w:hint="eastAsia"/>
                <w:sz w:val="21"/>
                <w:szCs w:val="21"/>
              </w:rPr>
              <w:t>3F，危废间位于此车间1F西侧，一般固废间位于此车间1F东侧，危化品仓库也位于此车间1F东侧，其余面积作为发展预留区域</w:t>
            </w:r>
          </w:p>
        </w:tc>
        <w:tc>
          <w:tcPr>
            <w:tcW w:w="1521" w:type="dxa"/>
            <w:tcBorders>
              <w:right w:val="single" w:color="auto" w:sz="4" w:space="0"/>
            </w:tcBorders>
            <w:vAlign w:val="center"/>
          </w:tcPr>
          <w:p w14:paraId="3FE2F75B">
            <w:pPr>
              <w:adjustRightInd w:val="0"/>
              <w:snapToGrid w:val="0"/>
              <w:spacing w:line="240" w:lineRule="auto"/>
              <w:jc w:val="center"/>
              <w:rPr>
                <w:sz w:val="21"/>
                <w:szCs w:val="21"/>
              </w:rPr>
            </w:pPr>
            <w:r>
              <w:rPr>
                <w:rFonts w:hint="eastAsia"/>
                <w:sz w:val="21"/>
                <w:szCs w:val="21"/>
              </w:rPr>
              <w:t>5435.52m</w:t>
            </w:r>
            <w:r>
              <w:rPr>
                <w:rFonts w:hint="eastAsia"/>
                <w:sz w:val="21"/>
                <w:szCs w:val="21"/>
                <w:vertAlign w:val="superscript"/>
              </w:rPr>
              <w:t>2</w:t>
            </w:r>
          </w:p>
        </w:tc>
        <w:tc>
          <w:tcPr>
            <w:tcW w:w="1666" w:type="dxa"/>
            <w:tcBorders>
              <w:left w:val="single" w:color="auto" w:sz="4" w:space="0"/>
            </w:tcBorders>
            <w:vAlign w:val="center"/>
          </w:tcPr>
          <w:p w14:paraId="06DECB1E">
            <w:pPr>
              <w:adjustRightInd w:val="0"/>
              <w:snapToGrid w:val="0"/>
              <w:spacing w:line="240" w:lineRule="auto"/>
              <w:jc w:val="center"/>
              <w:rPr>
                <w:sz w:val="21"/>
                <w:szCs w:val="21"/>
              </w:rPr>
            </w:pPr>
            <w:r>
              <w:rPr>
                <w:rFonts w:hint="eastAsia"/>
                <w:sz w:val="21"/>
                <w:szCs w:val="21"/>
              </w:rPr>
              <w:t>已建工程内容</w:t>
            </w:r>
          </w:p>
        </w:tc>
      </w:tr>
      <w:tr w14:paraId="4AAB2E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74477CC3">
            <w:pPr>
              <w:adjustRightInd w:val="0"/>
              <w:snapToGrid w:val="0"/>
              <w:spacing w:line="240" w:lineRule="auto"/>
              <w:jc w:val="center"/>
              <w:rPr>
                <w:color w:val="FF0000"/>
                <w:sz w:val="21"/>
                <w:szCs w:val="21"/>
              </w:rPr>
            </w:pPr>
          </w:p>
        </w:tc>
        <w:tc>
          <w:tcPr>
            <w:tcW w:w="1366" w:type="dxa"/>
            <w:vAlign w:val="center"/>
          </w:tcPr>
          <w:p w14:paraId="32B55A7B">
            <w:pPr>
              <w:adjustRightInd w:val="0"/>
              <w:snapToGrid w:val="0"/>
              <w:spacing w:line="240" w:lineRule="auto"/>
              <w:jc w:val="center"/>
              <w:rPr>
                <w:sz w:val="21"/>
                <w:szCs w:val="21"/>
              </w:rPr>
            </w:pPr>
            <w:r>
              <w:rPr>
                <w:rFonts w:hint="eastAsia"/>
                <w:sz w:val="21"/>
                <w:szCs w:val="21"/>
              </w:rPr>
              <w:t>危化品仓库</w:t>
            </w:r>
          </w:p>
        </w:tc>
        <w:tc>
          <w:tcPr>
            <w:tcW w:w="3167" w:type="dxa"/>
            <w:vAlign w:val="center"/>
          </w:tcPr>
          <w:p w14:paraId="6A97BCDE">
            <w:pPr>
              <w:adjustRightInd w:val="0"/>
              <w:snapToGrid w:val="0"/>
              <w:spacing w:line="240" w:lineRule="auto"/>
              <w:jc w:val="center"/>
              <w:rPr>
                <w:sz w:val="21"/>
                <w:szCs w:val="21"/>
              </w:rPr>
            </w:pPr>
            <w:r>
              <w:rPr>
                <w:rFonts w:hint="eastAsia"/>
                <w:sz w:val="21"/>
                <w:szCs w:val="21"/>
              </w:rPr>
              <w:t>1F，位于车间四东侧，贮存危险化学品</w:t>
            </w:r>
          </w:p>
        </w:tc>
        <w:tc>
          <w:tcPr>
            <w:tcW w:w="1521" w:type="dxa"/>
            <w:tcBorders>
              <w:right w:val="single" w:color="auto" w:sz="4" w:space="0"/>
            </w:tcBorders>
            <w:vAlign w:val="center"/>
          </w:tcPr>
          <w:p w14:paraId="15E4B608">
            <w:pPr>
              <w:adjustRightInd w:val="0"/>
              <w:snapToGrid w:val="0"/>
              <w:spacing w:line="240" w:lineRule="auto"/>
              <w:jc w:val="center"/>
              <w:rPr>
                <w:sz w:val="21"/>
                <w:szCs w:val="21"/>
              </w:rPr>
            </w:pPr>
            <w:r>
              <w:rPr>
                <w:rFonts w:hint="eastAsia"/>
                <w:sz w:val="21"/>
                <w:szCs w:val="21"/>
              </w:rPr>
              <w:t>360m</w:t>
            </w:r>
            <w:r>
              <w:rPr>
                <w:rFonts w:hint="eastAsia"/>
                <w:sz w:val="21"/>
                <w:szCs w:val="21"/>
                <w:vertAlign w:val="superscript"/>
              </w:rPr>
              <w:t>2</w:t>
            </w:r>
          </w:p>
        </w:tc>
        <w:tc>
          <w:tcPr>
            <w:tcW w:w="1666" w:type="dxa"/>
            <w:tcBorders>
              <w:left w:val="single" w:color="auto" w:sz="4" w:space="0"/>
            </w:tcBorders>
            <w:vAlign w:val="center"/>
          </w:tcPr>
          <w:p w14:paraId="6BE01320">
            <w:pPr>
              <w:adjustRightInd w:val="0"/>
              <w:snapToGrid w:val="0"/>
              <w:spacing w:line="240" w:lineRule="auto"/>
              <w:jc w:val="center"/>
              <w:rPr>
                <w:sz w:val="21"/>
                <w:szCs w:val="21"/>
              </w:rPr>
            </w:pPr>
            <w:r>
              <w:rPr>
                <w:rFonts w:hint="eastAsia"/>
                <w:sz w:val="21"/>
                <w:szCs w:val="21"/>
              </w:rPr>
              <w:t>已建工程内容</w:t>
            </w:r>
          </w:p>
        </w:tc>
      </w:tr>
      <w:tr w14:paraId="510E5C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restart"/>
            <w:vAlign w:val="center"/>
          </w:tcPr>
          <w:p w14:paraId="5FFA1C49">
            <w:pPr>
              <w:adjustRightInd w:val="0"/>
              <w:snapToGrid w:val="0"/>
              <w:spacing w:line="240" w:lineRule="auto"/>
              <w:jc w:val="center"/>
              <w:rPr>
                <w:color w:val="FF0000"/>
                <w:sz w:val="21"/>
                <w:szCs w:val="21"/>
              </w:rPr>
            </w:pPr>
            <w:r>
              <w:rPr>
                <w:rFonts w:hint="eastAsia"/>
                <w:sz w:val="21"/>
                <w:szCs w:val="21"/>
              </w:rPr>
              <w:t>公用工程</w:t>
            </w:r>
          </w:p>
        </w:tc>
        <w:tc>
          <w:tcPr>
            <w:tcW w:w="1366" w:type="dxa"/>
            <w:vAlign w:val="center"/>
          </w:tcPr>
          <w:p w14:paraId="08F6E8EC">
            <w:pPr>
              <w:adjustRightInd w:val="0"/>
              <w:snapToGrid w:val="0"/>
              <w:spacing w:line="240" w:lineRule="auto"/>
              <w:jc w:val="center"/>
              <w:rPr>
                <w:sz w:val="21"/>
                <w:szCs w:val="21"/>
              </w:rPr>
            </w:pPr>
            <w:r>
              <w:rPr>
                <w:rFonts w:hint="eastAsia"/>
                <w:sz w:val="21"/>
                <w:szCs w:val="21"/>
              </w:rPr>
              <w:t>供水</w:t>
            </w:r>
          </w:p>
        </w:tc>
        <w:tc>
          <w:tcPr>
            <w:tcW w:w="4688" w:type="dxa"/>
            <w:gridSpan w:val="2"/>
            <w:tcBorders>
              <w:right w:val="single" w:color="auto" w:sz="4" w:space="0"/>
            </w:tcBorders>
            <w:vAlign w:val="center"/>
          </w:tcPr>
          <w:p w14:paraId="53B0FD63">
            <w:pPr>
              <w:adjustRightInd w:val="0"/>
              <w:snapToGrid w:val="0"/>
              <w:spacing w:line="240" w:lineRule="auto"/>
              <w:jc w:val="center"/>
              <w:rPr>
                <w:sz w:val="21"/>
                <w:szCs w:val="21"/>
              </w:rPr>
            </w:pPr>
            <w:r>
              <w:rPr>
                <w:rFonts w:hint="eastAsia"/>
                <w:sz w:val="21"/>
                <w:szCs w:val="21"/>
              </w:rPr>
              <w:t>由湘潭县自来水供水厂提供，依托厂区现有供水设施，本项目主要为新增71位员工的生活用水</w:t>
            </w:r>
          </w:p>
        </w:tc>
        <w:tc>
          <w:tcPr>
            <w:tcW w:w="1666" w:type="dxa"/>
            <w:tcBorders>
              <w:left w:val="single" w:color="auto" w:sz="4" w:space="0"/>
            </w:tcBorders>
            <w:vAlign w:val="center"/>
          </w:tcPr>
          <w:p w14:paraId="66AD4408">
            <w:pPr>
              <w:adjustRightInd w:val="0"/>
              <w:snapToGrid w:val="0"/>
              <w:spacing w:line="240" w:lineRule="auto"/>
              <w:jc w:val="center"/>
              <w:rPr>
                <w:sz w:val="21"/>
                <w:szCs w:val="21"/>
              </w:rPr>
            </w:pPr>
            <w:r>
              <w:rPr>
                <w:rFonts w:hint="eastAsia"/>
                <w:sz w:val="21"/>
                <w:szCs w:val="21"/>
              </w:rPr>
              <w:t>已建工程内容</w:t>
            </w:r>
          </w:p>
        </w:tc>
      </w:tr>
      <w:tr w14:paraId="762172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2080FA30">
            <w:pPr>
              <w:adjustRightInd w:val="0"/>
              <w:snapToGrid w:val="0"/>
              <w:spacing w:line="240" w:lineRule="auto"/>
              <w:jc w:val="center"/>
              <w:rPr>
                <w:color w:val="FF0000"/>
                <w:sz w:val="21"/>
                <w:szCs w:val="21"/>
              </w:rPr>
            </w:pPr>
          </w:p>
        </w:tc>
        <w:tc>
          <w:tcPr>
            <w:tcW w:w="1366" w:type="dxa"/>
            <w:vAlign w:val="center"/>
          </w:tcPr>
          <w:p w14:paraId="56A35360">
            <w:pPr>
              <w:adjustRightInd w:val="0"/>
              <w:snapToGrid w:val="0"/>
              <w:spacing w:line="240" w:lineRule="auto"/>
              <w:jc w:val="center"/>
              <w:rPr>
                <w:sz w:val="21"/>
                <w:szCs w:val="21"/>
              </w:rPr>
            </w:pPr>
            <w:r>
              <w:rPr>
                <w:rFonts w:hint="eastAsia"/>
                <w:sz w:val="21"/>
                <w:szCs w:val="21"/>
              </w:rPr>
              <w:t>供电</w:t>
            </w:r>
          </w:p>
        </w:tc>
        <w:tc>
          <w:tcPr>
            <w:tcW w:w="4688" w:type="dxa"/>
            <w:gridSpan w:val="2"/>
            <w:tcBorders>
              <w:right w:val="single" w:color="auto" w:sz="4" w:space="0"/>
            </w:tcBorders>
            <w:vAlign w:val="center"/>
          </w:tcPr>
          <w:p w14:paraId="1062A29D">
            <w:pPr>
              <w:adjustRightInd w:val="0"/>
              <w:snapToGrid w:val="0"/>
              <w:spacing w:line="240" w:lineRule="auto"/>
              <w:jc w:val="center"/>
              <w:rPr>
                <w:sz w:val="21"/>
                <w:szCs w:val="21"/>
              </w:rPr>
            </w:pPr>
            <w:r>
              <w:rPr>
                <w:rFonts w:hint="eastAsia"/>
                <w:sz w:val="21"/>
                <w:szCs w:val="21"/>
              </w:rPr>
              <w:t>供电依托厂区现有的供电设施，由市政电网供给</w:t>
            </w:r>
          </w:p>
        </w:tc>
        <w:tc>
          <w:tcPr>
            <w:tcW w:w="1666" w:type="dxa"/>
            <w:tcBorders>
              <w:left w:val="single" w:color="auto" w:sz="4" w:space="0"/>
            </w:tcBorders>
            <w:vAlign w:val="center"/>
          </w:tcPr>
          <w:p w14:paraId="41D90F95">
            <w:pPr>
              <w:adjustRightInd w:val="0"/>
              <w:snapToGrid w:val="0"/>
              <w:spacing w:line="240" w:lineRule="auto"/>
              <w:jc w:val="center"/>
              <w:rPr>
                <w:sz w:val="21"/>
                <w:szCs w:val="21"/>
              </w:rPr>
            </w:pPr>
            <w:r>
              <w:rPr>
                <w:rFonts w:hint="eastAsia"/>
                <w:sz w:val="21"/>
                <w:szCs w:val="21"/>
              </w:rPr>
              <w:t>已建工程内容</w:t>
            </w:r>
          </w:p>
        </w:tc>
      </w:tr>
      <w:tr w14:paraId="711F9D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1F8DB8C5">
            <w:pPr>
              <w:adjustRightInd w:val="0"/>
              <w:snapToGrid w:val="0"/>
              <w:spacing w:line="240" w:lineRule="auto"/>
              <w:jc w:val="center"/>
              <w:rPr>
                <w:color w:val="FF0000"/>
                <w:sz w:val="21"/>
                <w:szCs w:val="21"/>
              </w:rPr>
            </w:pPr>
          </w:p>
        </w:tc>
        <w:tc>
          <w:tcPr>
            <w:tcW w:w="1366" w:type="dxa"/>
            <w:vAlign w:val="center"/>
          </w:tcPr>
          <w:p w14:paraId="2B7DB2DC">
            <w:pPr>
              <w:adjustRightInd w:val="0"/>
              <w:snapToGrid w:val="0"/>
              <w:spacing w:line="240" w:lineRule="auto"/>
              <w:jc w:val="center"/>
              <w:rPr>
                <w:sz w:val="21"/>
                <w:szCs w:val="21"/>
              </w:rPr>
            </w:pPr>
            <w:r>
              <w:rPr>
                <w:rFonts w:hint="eastAsia"/>
                <w:sz w:val="21"/>
                <w:szCs w:val="21"/>
              </w:rPr>
              <w:t>供气</w:t>
            </w:r>
          </w:p>
        </w:tc>
        <w:tc>
          <w:tcPr>
            <w:tcW w:w="4688" w:type="dxa"/>
            <w:gridSpan w:val="2"/>
            <w:tcBorders>
              <w:right w:val="single" w:color="auto" w:sz="4" w:space="0"/>
            </w:tcBorders>
            <w:vAlign w:val="center"/>
          </w:tcPr>
          <w:p w14:paraId="4A1E8E57">
            <w:pPr>
              <w:adjustRightInd w:val="0"/>
              <w:snapToGrid w:val="0"/>
              <w:spacing w:line="240" w:lineRule="auto"/>
              <w:jc w:val="center"/>
              <w:rPr>
                <w:sz w:val="21"/>
                <w:szCs w:val="21"/>
              </w:rPr>
            </w:pPr>
            <w:r>
              <w:rPr>
                <w:rFonts w:hint="eastAsia"/>
                <w:sz w:val="21"/>
                <w:szCs w:val="21"/>
              </w:rPr>
              <w:t>天然气为新奥燃气供给</w:t>
            </w:r>
          </w:p>
        </w:tc>
        <w:tc>
          <w:tcPr>
            <w:tcW w:w="1666" w:type="dxa"/>
            <w:tcBorders>
              <w:left w:val="single" w:color="auto" w:sz="4" w:space="0"/>
            </w:tcBorders>
            <w:vAlign w:val="center"/>
          </w:tcPr>
          <w:p w14:paraId="1ED25266">
            <w:pPr>
              <w:adjustRightInd w:val="0"/>
              <w:snapToGrid w:val="0"/>
              <w:spacing w:line="240" w:lineRule="auto"/>
              <w:jc w:val="center"/>
              <w:rPr>
                <w:sz w:val="21"/>
                <w:szCs w:val="21"/>
              </w:rPr>
            </w:pPr>
            <w:r>
              <w:rPr>
                <w:rFonts w:hint="eastAsia"/>
                <w:sz w:val="21"/>
                <w:szCs w:val="21"/>
              </w:rPr>
              <w:t>已建工程内容</w:t>
            </w:r>
          </w:p>
        </w:tc>
      </w:tr>
      <w:tr w14:paraId="6637CB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1A3D1ACA">
            <w:pPr>
              <w:adjustRightInd w:val="0"/>
              <w:snapToGrid w:val="0"/>
              <w:spacing w:line="240" w:lineRule="auto"/>
              <w:jc w:val="center"/>
              <w:rPr>
                <w:color w:val="FF0000"/>
                <w:sz w:val="21"/>
                <w:szCs w:val="21"/>
              </w:rPr>
            </w:pPr>
          </w:p>
        </w:tc>
        <w:tc>
          <w:tcPr>
            <w:tcW w:w="1366" w:type="dxa"/>
            <w:vAlign w:val="center"/>
          </w:tcPr>
          <w:p w14:paraId="0391C442">
            <w:pPr>
              <w:adjustRightInd w:val="0"/>
              <w:snapToGrid w:val="0"/>
              <w:spacing w:line="240" w:lineRule="auto"/>
              <w:jc w:val="center"/>
              <w:rPr>
                <w:sz w:val="21"/>
                <w:szCs w:val="21"/>
              </w:rPr>
            </w:pPr>
            <w:r>
              <w:rPr>
                <w:rFonts w:hint="eastAsia"/>
                <w:sz w:val="21"/>
                <w:szCs w:val="21"/>
              </w:rPr>
              <w:t>供热</w:t>
            </w:r>
          </w:p>
        </w:tc>
        <w:tc>
          <w:tcPr>
            <w:tcW w:w="4688" w:type="dxa"/>
            <w:gridSpan w:val="2"/>
            <w:tcBorders>
              <w:right w:val="single" w:color="auto" w:sz="4" w:space="0"/>
            </w:tcBorders>
            <w:vAlign w:val="center"/>
          </w:tcPr>
          <w:p w14:paraId="40DEEC10">
            <w:pPr>
              <w:adjustRightInd w:val="0"/>
              <w:snapToGrid w:val="0"/>
              <w:spacing w:line="240" w:lineRule="auto"/>
              <w:jc w:val="center"/>
              <w:rPr>
                <w:sz w:val="21"/>
                <w:szCs w:val="21"/>
              </w:rPr>
            </w:pPr>
            <w:r>
              <w:rPr>
                <w:rFonts w:hint="eastAsia"/>
                <w:sz w:val="21"/>
                <w:szCs w:val="21"/>
              </w:rPr>
              <w:t>锅炉、烘干、原有熟化采用天然气，新增熟化采用电加热</w:t>
            </w:r>
          </w:p>
        </w:tc>
        <w:tc>
          <w:tcPr>
            <w:tcW w:w="1666" w:type="dxa"/>
            <w:tcBorders>
              <w:left w:val="single" w:color="auto" w:sz="4" w:space="0"/>
            </w:tcBorders>
            <w:vAlign w:val="center"/>
          </w:tcPr>
          <w:p w14:paraId="18511658">
            <w:pPr>
              <w:adjustRightInd w:val="0"/>
              <w:snapToGrid w:val="0"/>
              <w:spacing w:line="240" w:lineRule="auto"/>
              <w:jc w:val="center"/>
              <w:rPr>
                <w:sz w:val="21"/>
                <w:szCs w:val="21"/>
              </w:rPr>
            </w:pPr>
            <w:r>
              <w:rPr>
                <w:rFonts w:hint="eastAsia"/>
                <w:sz w:val="21"/>
                <w:szCs w:val="21"/>
              </w:rPr>
              <w:t>已建工程内容</w:t>
            </w:r>
          </w:p>
        </w:tc>
      </w:tr>
      <w:tr w14:paraId="594F57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802" w:type="dxa"/>
            <w:vMerge w:val="restart"/>
            <w:vAlign w:val="center"/>
          </w:tcPr>
          <w:p w14:paraId="7F2B8937">
            <w:pPr>
              <w:adjustRightInd w:val="0"/>
              <w:snapToGrid w:val="0"/>
              <w:spacing w:line="240" w:lineRule="auto"/>
              <w:jc w:val="center"/>
              <w:rPr>
                <w:color w:val="FF0000"/>
                <w:sz w:val="21"/>
                <w:szCs w:val="21"/>
              </w:rPr>
            </w:pPr>
            <w:r>
              <w:rPr>
                <w:rFonts w:hint="eastAsia"/>
                <w:sz w:val="21"/>
                <w:szCs w:val="21"/>
              </w:rPr>
              <w:t>环保工程</w:t>
            </w:r>
          </w:p>
        </w:tc>
        <w:tc>
          <w:tcPr>
            <w:tcW w:w="1366" w:type="dxa"/>
            <w:vAlign w:val="center"/>
          </w:tcPr>
          <w:p w14:paraId="1F5B0B94">
            <w:pPr>
              <w:adjustRightInd w:val="0"/>
              <w:snapToGrid w:val="0"/>
              <w:spacing w:line="240" w:lineRule="auto"/>
              <w:jc w:val="center"/>
              <w:rPr>
                <w:sz w:val="21"/>
                <w:szCs w:val="21"/>
              </w:rPr>
            </w:pPr>
            <w:r>
              <w:rPr>
                <w:rFonts w:hint="eastAsia"/>
                <w:sz w:val="21"/>
                <w:szCs w:val="21"/>
              </w:rPr>
              <w:t>有机废气</w:t>
            </w:r>
          </w:p>
        </w:tc>
        <w:tc>
          <w:tcPr>
            <w:tcW w:w="4688" w:type="dxa"/>
            <w:gridSpan w:val="2"/>
            <w:tcBorders>
              <w:right w:val="single" w:color="auto" w:sz="4" w:space="0"/>
            </w:tcBorders>
            <w:vAlign w:val="center"/>
          </w:tcPr>
          <w:p w14:paraId="09BB337A">
            <w:pPr>
              <w:adjustRightInd w:val="0"/>
              <w:snapToGrid w:val="0"/>
              <w:spacing w:line="240" w:lineRule="auto"/>
              <w:jc w:val="center"/>
              <w:rPr>
                <w:sz w:val="21"/>
                <w:szCs w:val="21"/>
              </w:rPr>
            </w:pPr>
            <w:r>
              <w:rPr>
                <w:rFonts w:hint="eastAsia"/>
                <w:sz w:val="21"/>
                <w:szCs w:val="21"/>
              </w:rPr>
              <w:t>淘汰原“（2+1）三通路处理凹印有机废气的节能减排系统末端废气治理设施”装置；采用“吸附浓缩+溶剂回收设备”处理后由20.5</w:t>
            </w:r>
            <w:r>
              <w:rPr>
                <w:sz w:val="21"/>
                <w:szCs w:val="21"/>
              </w:rPr>
              <w:t>m</w:t>
            </w:r>
            <w:r>
              <w:rPr>
                <w:rFonts w:hint="eastAsia"/>
                <w:sz w:val="21"/>
                <w:szCs w:val="21"/>
              </w:rPr>
              <w:t>排气筒（DA001）高空排放</w:t>
            </w:r>
          </w:p>
        </w:tc>
        <w:tc>
          <w:tcPr>
            <w:tcW w:w="1666" w:type="dxa"/>
            <w:tcBorders>
              <w:left w:val="single" w:color="auto" w:sz="4" w:space="0"/>
            </w:tcBorders>
            <w:vAlign w:val="center"/>
          </w:tcPr>
          <w:p w14:paraId="10B88368">
            <w:pPr>
              <w:adjustRightInd w:val="0"/>
              <w:snapToGrid w:val="0"/>
              <w:spacing w:line="240" w:lineRule="auto"/>
              <w:jc w:val="center"/>
              <w:rPr>
                <w:b/>
                <w:sz w:val="21"/>
                <w:szCs w:val="21"/>
              </w:rPr>
            </w:pPr>
            <w:r>
              <w:rPr>
                <w:b/>
                <w:sz w:val="21"/>
                <w:szCs w:val="21"/>
              </w:rPr>
              <w:t>在建工程新建</w:t>
            </w:r>
          </w:p>
        </w:tc>
      </w:tr>
      <w:tr w14:paraId="78FF95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3707D350">
            <w:pPr>
              <w:adjustRightInd w:val="0"/>
              <w:snapToGrid w:val="0"/>
              <w:spacing w:line="240" w:lineRule="auto"/>
              <w:jc w:val="center"/>
              <w:rPr>
                <w:sz w:val="21"/>
                <w:szCs w:val="21"/>
              </w:rPr>
            </w:pPr>
          </w:p>
        </w:tc>
        <w:tc>
          <w:tcPr>
            <w:tcW w:w="1366" w:type="dxa"/>
            <w:vMerge w:val="restart"/>
            <w:vAlign w:val="center"/>
          </w:tcPr>
          <w:p w14:paraId="42900371">
            <w:pPr>
              <w:adjustRightInd w:val="0"/>
              <w:snapToGrid w:val="0"/>
              <w:spacing w:line="240" w:lineRule="auto"/>
              <w:jc w:val="center"/>
              <w:rPr>
                <w:sz w:val="21"/>
                <w:szCs w:val="21"/>
              </w:rPr>
            </w:pPr>
            <w:r>
              <w:rPr>
                <w:rFonts w:hint="eastAsia"/>
                <w:sz w:val="21"/>
                <w:szCs w:val="21"/>
              </w:rPr>
              <w:t>天然气燃烧废气</w:t>
            </w:r>
          </w:p>
        </w:tc>
        <w:tc>
          <w:tcPr>
            <w:tcW w:w="4688" w:type="dxa"/>
            <w:gridSpan w:val="2"/>
            <w:tcBorders>
              <w:right w:val="single" w:color="auto" w:sz="4" w:space="0"/>
            </w:tcBorders>
            <w:vAlign w:val="center"/>
          </w:tcPr>
          <w:p w14:paraId="21B10662">
            <w:pPr>
              <w:adjustRightInd w:val="0"/>
              <w:snapToGrid w:val="0"/>
              <w:spacing w:line="240" w:lineRule="auto"/>
              <w:jc w:val="center"/>
              <w:rPr>
                <w:sz w:val="21"/>
                <w:szCs w:val="21"/>
              </w:rPr>
            </w:pPr>
            <w:r>
              <w:rPr>
                <w:rFonts w:hint="eastAsia"/>
                <w:sz w:val="21"/>
                <w:szCs w:val="21"/>
              </w:rPr>
              <w:t>新增导热油锅炉，热源为天然气，低氮燃烧后由1根16m排气筒（DA002）高空排放</w:t>
            </w:r>
          </w:p>
        </w:tc>
        <w:tc>
          <w:tcPr>
            <w:tcW w:w="1666" w:type="dxa"/>
            <w:tcBorders>
              <w:left w:val="single" w:color="auto" w:sz="4" w:space="0"/>
            </w:tcBorders>
            <w:vAlign w:val="center"/>
          </w:tcPr>
          <w:p w14:paraId="4C95D5A1">
            <w:pPr>
              <w:adjustRightInd w:val="0"/>
              <w:snapToGrid w:val="0"/>
              <w:spacing w:line="240" w:lineRule="auto"/>
              <w:jc w:val="center"/>
              <w:rPr>
                <w:b/>
                <w:sz w:val="21"/>
                <w:szCs w:val="21"/>
              </w:rPr>
            </w:pPr>
            <w:r>
              <w:rPr>
                <w:b/>
                <w:sz w:val="21"/>
                <w:szCs w:val="21"/>
              </w:rPr>
              <w:t>在建工程新建</w:t>
            </w:r>
          </w:p>
        </w:tc>
      </w:tr>
      <w:tr w14:paraId="2C2C5D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52632B4D">
            <w:pPr>
              <w:adjustRightInd w:val="0"/>
              <w:snapToGrid w:val="0"/>
              <w:spacing w:line="240" w:lineRule="auto"/>
              <w:jc w:val="center"/>
              <w:rPr>
                <w:sz w:val="21"/>
                <w:szCs w:val="21"/>
              </w:rPr>
            </w:pPr>
          </w:p>
        </w:tc>
        <w:tc>
          <w:tcPr>
            <w:tcW w:w="1366" w:type="dxa"/>
            <w:vMerge w:val="continue"/>
            <w:vAlign w:val="center"/>
          </w:tcPr>
          <w:p w14:paraId="5F2478AA">
            <w:pPr>
              <w:adjustRightInd w:val="0"/>
              <w:snapToGrid w:val="0"/>
              <w:spacing w:line="240" w:lineRule="auto"/>
              <w:jc w:val="center"/>
              <w:rPr>
                <w:sz w:val="21"/>
                <w:szCs w:val="21"/>
              </w:rPr>
            </w:pPr>
          </w:p>
        </w:tc>
        <w:tc>
          <w:tcPr>
            <w:tcW w:w="4688" w:type="dxa"/>
            <w:gridSpan w:val="2"/>
            <w:tcBorders>
              <w:right w:val="single" w:color="auto" w:sz="4" w:space="0"/>
            </w:tcBorders>
            <w:vAlign w:val="center"/>
          </w:tcPr>
          <w:p w14:paraId="31E0BBED">
            <w:pPr>
              <w:adjustRightInd w:val="0"/>
              <w:snapToGrid w:val="0"/>
              <w:spacing w:line="240" w:lineRule="auto"/>
              <w:jc w:val="center"/>
              <w:rPr>
                <w:sz w:val="21"/>
                <w:szCs w:val="21"/>
              </w:rPr>
            </w:pPr>
            <w:r>
              <w:rPr>
                <w:rFonts w:hint="eastAsia"/>
                <w:sz w:val="21"/>
                <w:szCs w:val="21"/>
              </w:rPr>
              <w:t>印刷复合烘干采用天然气加热烘干，天然气燃烧废气经20.5m排气筒（DA001）排出</w:t>
            </w:r>
          </w:p>
        </w:tc>
        <w:tc>
          <w:tcPr>
            <w:tcW w:w="1666" w:type="dxa"/>
            <w:tcBorders>
              <w:left w:val="single" w:color="auto" w:sz="4" w:space="0"/>
            </w:tcBorders>
            <w:vAlign w:val="center"/>
          </w:tcPr>
          <w:p w14:paraId="5F98778F">
            <w:pPr>
              <w:adjustRightInd w:val="0"/>
              <w:snapToGrid w:val="0"/>
              <w:spacing w:line="240" w:lineRule="auto"/>
              <w:jc w:val="center"/>
              <w:rPr>
                <w:b/>
                <w:sz w:val="21"/>
                <w:szCs w:val="21"/>
              </w:rPr>
            </w:pPr>
            <w:r>
              <w:rPr>
                <w:b/>
                <w:sz w:val="21"/>
                <w:szCs w:val="21"/>
              </w:rPr>
              <w:t>在建工程</w:t>
            </w:r>
            <w:r>
              <w:rPr>
                <w:rFonts w:hint="eastAsia"/>
                <w:b/>
                <w:sz w:val="21"/>
                <w:szCs w:val="21"/>
              </w:rPr>
              <w:t>改造</w:t>
            </w:r>
          </w:p>
        </w:tc>
      </w:tr>
      <w:tr w14:paraId="587BC1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7BF65197">
            <w:pPr>
              <w:adjustRightInd w:val="0"/>
              <w:snapToGrid w:val="0"/>
              <w:spacing w:line="240" w:lineRule="auto"/>
              <w:jc w:val="center"/>
              <w:rPr>
                <w:sz w:val="21"/>
                <w:szCs w:val="21"/>
              </w:rPr>
            </w:pPr>
          </w:p>
        </w:tc>
        <w:tc>
          <w:tcPr>
            <w:tcW w:w="1366" w:type="dxa"/>
            <w:vAlign w:val="center"/>
          </w:tcPr>
          <w:p w14:paraId="3397C6C6">
            <w:pPr>
              <w:adjustRightInd w:val="0"/>
              <w:snapToGrid w:val="0"/>
              <w:spacing w:line="240" w:lineRule="auto"/>
              <w:jc w:val="center"/>
              <w:rPr>
                <w:sz w:val="21"/>
                <w:szCs w:val="21"/>
              </w:rPr>
            </w:pPr>
            <w:r>
              <w:rPr>
                <w:rFonts w:hint="eastAsia"/>
                <w:sz w:val="21"/>
                <w:szCs w:val="21"/>
              </w:rPr>
              <w:t>食堂油烟</w:t>
            </w:r>
          </w:p>
        </w:tc>
        <w:tc>
          <w:tcPr>
            <w:tcW w:w="4688" w:type="dxa"/>
            <w:gridSpan w:val="2"/>
            <w:tcBorders>
              <w:right w:val="single" w:color="auto" w:sz="4" w:space="0"/>
            </w:tcBorders>
            <w:vAlign w:val="center"/>
          </w:tcPr>
          <w:p w14:paraId="6AFF7028">
            <w:pPr>
              <w:adjustRightInd w:val="0"/>
              <w:snapToGrid w:val="0"/>
              <w:spacing w:line="240" w:lineRule="auto"/>
              <w:jc w:val="center"/>
              <w:rPr>
                <w:sz w:val="21"/>
                <w:szCs w:val="21"/>
              </w:rPr>
            </w:pPr>
            <w:r>
              <w:rPr>
                <w:sz w:val="21"/>
                <w:szCs w:val="21"/>
              </w:rPr>
              <w:t>食堂油烟废气依托食堂现有的油烟净化器处理后</w:t>
            </w:r>
            <w:r>
              <w:rPr>
                <w:rFonts w:hint="eastAsia"/>
                <w:sz w:val="21"/>
                <w:szCs w:val="21"/>
              </w:rPr>
              <w:t>屋顶</w:t>
            </w:r>
            <w:r>
              <w:rPr>
                <w:sz w:val="21"/>
                <w:szCs w:val="21"/>
              </w:rPr>
              <w:t>外排</w:t>
            </w:r>
          </w:p>
        </w:tc>
        <w:tc>
          <w:tcPr>
            <w:tcW w:w="1666" w:type="dxa"/>
            <w:tcBorders>
              <w:left w:val="single" w:color="auto" w:sz="4" w:space="0"/>
            </w:tcBorders>
            <w:vAlign w:val="center"/>
          </w:tcPr>
          <w:p w14:paraId="331962DA">
            <w:pPr>
              <w:adjustRightInd w:val="0"/>
              <w:snapToGrid w:val="0"/>
              <w:spacing w:line="240" w:lineRule="auto"/>
              <w:jc w:val="center"/>
              <w:rPr>
                <w:sz w:val="21"/>
                <w:szCs w:val="21"/>
              </w:rPr>
            </w:pPr>
            <w:r>
              <w:rPr>
                <w:rFonts w:hint="eastAsia"/>
                <w:sz w:val="21"/>
                <w:szCs w:val="21"/>
              </w:rPr>
              <w:t>已建工程内容</w:t>
            </w:r>
          </w:p>
        </w:tc>
      </w:tr>
      <w:tr w14:paraId="1F228F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43227A8F">
            <w:pPr>
              <w:adjustRightInd w:val="0"/>
              <w:snapToGrid w:val="0"/>
              <w:spacing w:line="240" w:lineRule="auto"/>
              <w:jc w:val="center"/>
              <w:rPr>
                <w:color w:val="FF0000"/>
                <w:sz w:val="21"/>
                <w:szCs w:val="21"/>
              </w:rPr>
            </w:pPr>
          </w:p>
        </w:tc>
        <w:tc>
          <w:tcPr>
            <w:tcW w:w="1366" w:type="dxa"/>
            <w:tcBorders>
              <w:top w:val="single" w:color="auto" w:sz="4" w:space="0"/>
            </w:tcBorders>
            <w:vAlign w:val="center"/>
          </w:tcPr>
          <w:p w14:paraId="79C11065">
            <w:pPr>
              <w:adjustRightInd w:val="0"/>
              <w:snapToGrid w:val="0"/>
              <w:spacing w:line="240" w:lineRule="auto"/>
              <w:jc w:val="center"/>
              <w:rPr>
                <w:sz w:val="21"/>
                <w:szCs w:val="21"/>
              </w:rPr>
            </w:pPr>
            <w:r>
              <w:rPr>
                <w:rFonts w:hint="eastAsia"/>
                <w:sz w:val="21"/>
                <w:szCs w:val="21"/>
              </w:rPr>
              <w:t>生活污水</w:t>
            </w:r>
          </w:p>
        </w:tc>
        <w:tc>
          <w:tcPr>
            <w:tcW w:w="4688" w:type="dxa"/>
            <w:gridSpan w:val="2"/>
            <w:tcBorders>
              <w:top w:val="single" w:color="auto" w:sz="4" w:space="0"/>
              <w:right w:val="single" w:color="auto" w:sz="4" w:space="0"/>
            </w:tcBorders>
            <w:vAlign w:val="center"/>
          </w:tcPr>
          <w:p w14:paraId="609D071E">
            <w:pPr>
              <w:adjustRightInd w:val="0"/>
              <w:snapToGrid w:val="0"/>
              <w:spacing w:line="240" w:lineRule="auto"/>
              <w:jc w:val="center"/>
              <w:rPr>
                <w:sz w:val="21"/>
                <w:szCs w:val="21"/>
              </w:rPr>
            </w:pPr>
            <w:r>
              <w:rPr>
                <w:sz w:val="21"/>
                <w:szCs w:val="21"/>
              </w:rPr>
              <w:t>雨水排入海鸥路雨水管道中，最终排入湘江。办公生活污水排入隔油池、化粪池处理后经海鸥路污水管道接入市政污水管网，汇入</w:t>
            </w:r>
            <w:r>
              <w:rPr>
                <w:rFonts w:hint="eastAsia"/>
                <w:sz w:val="21"/>
                <w:szCs w:val="21"/>
              </w:rPr>
              <w:t>湘潭县顺业污水处理有限公司污水处理厂</w:t>
            </w:r>
            <w:r>
              <w:rPr>
                <w:sz w:val="21"/>
                <w:szCs w:val="21"/>
              </w:rPr>
              <w:t>处理，最终排入湘江。</w:t>
            </w:r>
          </w:p>
        </w:tc>
        <w:tc>
          <w:tcPr>
            <w:tcW w:w="1666" w:type="dxa"/>
            <w:tcBorders>
              <w:left w:val="single" w:color="auto" w:sz="4" w:space="0"/>
            </w:tcBorders>
            <w:vAlign w:val="center"/>
          </w:tcPr>
          <w:p w14:paraId="275750BF">
            <w:pPr>
              <w:adjustRightInd w:val="0"/>
              <w:snapToGrid w:val="0"/>
              <w:spacing w:line="240" w:lineRule="auto"/>
              <w:jc w:val="center"/>
              <w:rPr>
                <w:sz w:val="21"/>
                <w:szCs w:val="21"/>
              </w:rPr>
            </w:pPr>
            <w:r>
              <w:rPr>
                <w:rFonts w:hint="eastAsia"/>
                <w:sz w:val="21"/>
                <w:szCs w:val="21"/>
              </w:rPr>
              <w:t>已建工程内容</w:t>
            </w:r>
          </w:p>
        </w:tc>
      </w:tr>
      <w:tr w14:paraId="086F78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02" w:type="dxa"/>
            <w:vMerge w:val="continue"/>
            <w:vAlign w:val="center"/>
          </w:tcPr>
          <w:p w14:paraId="14C95A42">
            <w:pPr>
              <w:adjustRightInd w:val="0"/>
              <w:snapToGrid w:val="0"/>
              <w:spacing w:line="240" w:lineRule="auto"/>
              <w:jc w:val="center"/>
              <w:rPr>
                <w:color w:val="FF0000"/>
                <w:sz w:val="21"/>
                <w:szCs w:val="21"/>
              </w:rPr>
            </w:pPr>
          </w:p>
        </w:tc>
        <w:tc>
          <w:tcPr>
            <w:tcW w:w="1366" w:type="dxa"/>
            <w:tcBorders>
              <w:top w:val="single" w:color="auto" w:sz="4" w:space="0"/>
            </w:tcBorders>
            <w:vAlign w:val="center"/>
          </w:tcPr>
          <w:p w14:paraId="2C40C494">
            <w:pPr>
              <w:adjustRightInd w:val="0"/>
              <w:snapToGrid w:val="0"/>
              <w:spacing w:line="240" w:lineRule="auto"/>
              <w:jc w:val="center"/>
              <w:rPr>
                <w:sz w:val="21"/>
                <w:szCs w:val="21"/>
              </w:rPr>
            </w:pPr>
            <w:r>
              <w:rPr>
                <w:rFonts w:hint="eastAsia"/>
                <w:sz w:val="21"/>
                <w:szCs w:val="21"/>
              </w:rPr>
              <w:t>应急池</w:t>
            </w:r>
          </w:p>
        </w:tc>
        <w:tc>
          <w:tcPr>
            <w:tcW w:w="4688" w:type="dxa"/>
            <w:gridSpan w:val="2"/>
            <w:tcBorders>
              <w:top w:val="single" w:color="auto" w:sz="4" w:space="0"/>
              <w:right w:val="single" w:color="auto" w:sz="4" w:space="0"/>
            </w:tcBorders>
            <w:vAlign w:val="center"/>
          </w:tcPr>
          <w:p w14:paraId="23C00949">
            <w:pPr>
              <w:adjustRightInd w:val="0"/>
              <w:snapToGrid w:val="0"/>
              <w:spacing w:line="240" w:lineRule="auto"/>
              <w:jc w:val="center"/>
              <w:rPr>
                <w:sz w:val="21"/>
                <w:szCs w:val="21"/>
              </w:rPr>
            </w:pPr>
            <w:r>
              <w:rPr>
                <w:rFonts w:hint="eastAsia"/>
                <w:sz w:val="21"/>
                <w:szCs w:val="21"/>
              </w:rPr>
              <w:t>位于1号车间东北侧，400m</w:t>
            </w:r>
            <w:r>
              <w:rPr>
                <w:rFonts w:hint="eastAsia"/>
                <w:sz w:val="21"/>
                <w:szCs w:val="21"/>
                <w:vertAlign w:val="superscript"/>
              </w:rPr>
              <w:t>3</w:t>
            </w:r>
          </w:p>
        </w:tc>
        <w:tc>
          <w:tcPr>
            <w:tcW w:w="1666" w:type="dxa"/>
            <w:tcBorders>
              <w:left w:val="single" w:color="auto" w:sz="4" w:space="0"/>
            </w:tcBorders>
            <w:vAlign w:val="center"/>
          </w:tcPr>
          <w:p w14:paraId="0400990D">
            <w:pPr>
              <w:adjustRightInd w:val="0"/>
              <w:snapToGrid w:val="0"/>
              <w:spacing w:line="240" w:lineRule="auto"/>
              <w:jc w:val="center"/>
              <w:rPr>
                <w:sz w:val="21"/>
                <w:szCs w:val="21"/>
              </w:rPr>
            </w:pPr>
            <w:r>
              <w:rPr>
                <w:rFonts w:hint="eastAsia"/>
                <w:sz w:val="21"/>
                <w:szCs w:val="21"/>
              </w:rPr>
              <w:t>已建工程内容</w:t>
            </w:r>
          </w:p>
        </w:tc>
      </w:tr>
      <w:tr w14:paraId="6F05A2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20630F8D">
            <w:pPr>
              <w:adjustRightInd w:val="0"/>
              <w:snapToGrid w:val="0"/>
              <w:spacing w:line="240" w:lineRule="auto"/>
              <w:jc w:val="center"/>
              <w:rPr>
                <w:color w:val="FF0000"/>
                <w:sz w:val="21"/>
                <w:szCs w:val="21"/>
              </w:rPr>
            </w:pPr>
          </w:p>
        </w:tc>
        <w:tc>
          <w:tcPr>
            <w:tcW w:w="1366" w:type="dxa"/>
            <w:tcBorders>
              <w:top w:val="single" w:color="auto" w:sz="4" w:space="0"/>
            </w:tcBorders>
            <w:vAlign w:val="center"/>
          </w:tcPr>
          <w:p w14:paraId="2A842802">
            <w:pPr>
              <w:adjustRightInd w:val="0"/>
              <w:snapToGrid w:val="0"/>
              <w:spacing w:line="240" w:lineRule="auto"/>
              <w:jc w:val="center"/>
              <w:rPr>
                <w:sz w:val="21"/>
                <w:szCs w:val="21"/>
              </w:rPr>
            </w:pPr>
            <w:r>
              <w:rPr>
                <w:rFonts w:hint="eastAsia"/>
                <w:sz w:val="21"/>
                <w:szCs w:val="21"/>
              </w:rPr>
              <w:t>消防水池</w:t>
            </w:r>
          </w:p>
        </w:tc>
        <w:tc>
          <w:tcPr>
            <w:tcW w:w="4688" w:type="dxa"/>
            <w:gridSpan w:val="2"/>
            <w:tcBorders>
              <w:top w:val="single" w:color="auto" w:sz="4" w:space="0"/>
              <w:right w:val="single" w:color="auto" w:sz="4" w:space="0"/>
            </w:tcBorders>
            <w:vAlign w:val="center"/>
          </w:tcPr>
          <w:p w14:paraId="1AD4B92B">
            <w:pPr>
              <w:adjustRightInd w:val="0"/>
              <w:snapToGrid w:val="0"/>
              <w:spacing w:line="240" w:lineRule="auto"/>
              <w:jc w:val="center"/>
              <w:rPr>
                <w:sz w:val="21"/>
                <w:szCs w:val="21"/>
              </w:rPr>
            </w:pPr>
            <w:r>
              <w:rPr>
                <w:rFonts w:hint="eastAsia"/>
                <w:sz w:val="21"/>
                <w:szCs w:val="21"/>
              </w:rPr>
              <w:t>位于3号车间西北侧地下室，400m</w:t>
            </w:r>
            <w:r>
              <w:rPr>
                <w:rFonts w:hint="eastAsia"/>
                <w:sz w:val="21"/>
                <w:szCs w:val="21"/>
                <w:vertAlign w:val="superscript"/>
              </w:rPr>
              <w:t>3</w:t>
            </w:r>
          </w:p>
        </w:tc>
        <w:tc>
          <w:tcPr>
            <w:tcW w:w="1666" w:type="dxa"/>
            <w:tcBorders>
              <w:left w:val="single" w:color="auto" w:sz="4" w:space="0"/>
            </w:tcBorders>
            <w:vAlign w:val="center"/>
          </w:tcPr>
          <w:p w14:paraId="040C5443">
            <w:pPr>
              <w:adjustRightInd w:val="0"/>
              <w:snapToGrid w:val="0"/>
              <w:spacing w:line="240" w:lineRule="auto"/>
              <w:jc w:val="center"/>
              <w:rPr>
                <w:sz w:val="21"/>
                <w:szCs w:val="21"/>
              </w:rPr>
            </w:pPr>
            <w:r>
              <w:rPr>
                <w:rFonts w:hint="eastAsia"/>
                <w:sz w:val="21"/>
                <w:szCs w:val="21"/>
              </w:rPr>
              <w:t>已建工程内容</w:t>
            </w:r>
          </w:p>
        </w:tc>
      </w:tr>
      <w:tr w14:paraId="479617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34EC719D">
            <w:pPr>
              <w:adjustRightInd w:val="0"/>
              <w:snapToGrid w:val="0"/>
              <w:spacing w:line="240" w:lineRule="auto"/>
              <w:jc w:val="center"/>
              <w:rPr>
                <w:color w:val="FF0000"/>
                <w:sz w:val="21"/>
                <w:szCs w:val="21"/>
              </w:rPr>
            </w:pPr>
          </w:p>
        </w:tc>
        <w:tc>
          <w:tcPr>
            <w:tcW w:w="1366" w:type="dxa"/>
            <w:tcBorders>
              <w:top w:val="single" w:color="auto" w:sz="4" w:space="0"/>
            </w:tcBorders>
            <w:vAlign w:val="center"/>
          </w:tcPr>
          <w:p w14:paraId="286C5EF9">
            <w:pPr>
              <w:adjustRightInd w:val="0"/>
              <w:snapToGrid w:val="0"/>
              <w:spacing w:line="240" w:lineRule="auto"/>
              <w:jc w:val="center"/>
              <w:rPr>
                <w:sz w:val="21"/>
                <w:szCs w:val="21"/>
              </w:rPr>
            </w:pPr>
            <w:r>
              <w:rPr>
                <w:rFonts w:hint="eastAsia"/>
                <w:sz w:val="21"/>
                <w:szCs w:val="21"/>
              </w:rPr>
              <w:t>生产噪声</w:t>
            </w:r>
          </w:p>
        </w:tc>
        <w:tc>
          <w:tcPr>
            <w:tcW w:w="4688" w:type="dxa"/>
            <w:gridSpan w:val="2"/>
            <w:tcBorders>
              <w:top w:val="single" w:color="auto" w:sz="4" w:space="0"/>
              <w:right w:val="single" w:color="auto" w:sz="4" w:space="0"/>
            </w:tcBorders>
            <w:vAlign w:val="center"/>
          </w:tcPr>
          <w:p w14:paraId="24B61FF9">
            <w:pPr>
              <w:adjustRightInd w:val="0"/>
              <w:snapToGrid w:val="0"/>
              <w:spacing w:line="240" w:lineRule="auto"/>
              <w:jc w:val="center"/>
              <w:rPr>
                <w:sz w:val="21"/>
                <w:szCs w:val="21"/>
              </w:rPr>
            </w:pPr>
            <w:r>
              <w:rPr>
                <w:rFonts w:hint="eastAsia"/>
                <w:sz w:val="21"/>
                <w:szCs w:val="21"/>
              </w:rPr>
              <w:t>设备合理布局、基础减震、厂房隔声等措施</w:t>
            </w:r>
          </w:p>
        </w:tc>
        <w:tc>
          <w:tcPr>
            <w:tcW w:w="1666" w:type="dxa"/>
            <w:tcBorders>
              <w:left w:val="single" w:color="auto" w:sz="4" w:space="0"/>
            </w:tcBorders>
            <w:vAlign w:val="center"/>
          </w:tcPr>
          <w:p w14:paraId="585E258C">
            <w:pPr>
              <w:adjustRightInd w:val="0"/>
              <w:snapToGrid w:val="0"/>
              <w:spacing w:line="240" w:lineRule="auto"/>
              <w:jc w:val="center"/>
              <w:rPr>
                <w:sz w:val="21"/>
                <w:szCs w:val="21"/>
              </w:rPr>
            </w:pPr>
            <w:r>
              <w:rPr>
                <w:sz w:val="21"/>
                <w:szCs w:val="21"/>
              </w:rPr>
              <w:t>在建工程新建</w:t>
            </w:r>
          </w:p>
        </w:tc>
      </w:tr>
      <w:tr w14:paraId="591DF7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1EF2F915">
            <w:pPr>
              <w:adjustRightInd w:val="0"/>
              <w:snapToGrid w:val="0"/>
              <w:spacing w:line="240" w:lineRule="auto"/>
              <w:jc w:val="center"/>
              <w:rPr>
                <w:color w:val="FF0000"/>
                <w:sz w:val="21"/>
                <w:szCs w:val="21"/>
              </w:rPr>
            </w:pPr>
          </w:p>
        </w:tc>
        <w:tc>
          <w:tcPr>
            <w:tcW w:w="1366" w:type="dxa"/>
            <w:tcBorders>
              <w:top w:val="single" w:color="auto" w:sz="4" w:space="0"/>
            </w:tcBorders>
            <w:vAlign w:val="center"/>
          </w:tcPr>
          <w:p w14:paraId="48C6EB02">
            <w:pPr>
              <w:adjustRightInd w:val="0"/>
              <w:snapToGrid w:val="0"/>
              <w:spacing w:line="240" w:lineRule="auto"/>
              <w:jc w:val="center"/>
              <w:rPr>
                <w:sz w:val="21"/>
                <w:szCs w:val="21"/>
              </w:rPr>
            </w:pPr>
            <w:r>
              <w:rPr>
                <w:rFonts w:hint="eastAsia"/>
                <w:sz w:val="21"/>
                <w:szCs w:val="21"/>
              </w:rPr>
              <w:t>一般工业</w:t>
            </w:r>
          </w:p>
          <w:p w14:paraId="4996DAEC">
            <w:pPr>
              <w:adjustRightInd w:val="0"/>
              <w:snapToGrid w:val="0"/>
              <w:spacing w:line="240" w:lineRule="auto"/>
              <w:jc w:val="center"/>
              <w:rPr>
                <w:sz w:val="21"/>
                <w:szCs w:val="21"/>
              </w:rPr>
            </w:pPr>
            <w:r>
              <w:rPr>
                <w:rFonts w:hint="eastAsia"/>
                <w:sz w:val="21"/>
                <w:szCs w:val="21"/>
              </w:rPr>
              <w:t>固废</w:t>
            </w:r>
          </w:p>
        </w:tc>
        <w:tc>
          <w:tcPr>
            <w:tcW w:w="4688" w:type="dxa"/>
            <w:gridSpan w:val="2"/>
            <w:tcBorders>
              <w:top w:val="single" w:color="auto" w:sz="4" w:space="0"/>
              <w:right w:val="single" w:color="auto" w:sz="4" w:space="0"/>
            </w:tcBorders>
            <w:vAlign w:val="center"/>
          </w:tcPr>
          <w:p w14:paraId="3A161FB8">
            <w:pPr>
              <w:adjustRightInd w:val="0"/>
              <w:snapToGrid w:val="0"/>
              <w:spacing w:line="240" w:lineRule="auto"/>
              <w:jc w:val="center"/>
              <w:rPr>
                <w:sz w:val="21"/>
                <w:szCs w:val="21"/>
              </w:rPr>
            </w:pPr>
            <w:r>
              <w:rPr>
                <w:rFonts w:hint="eastAsia"/>
                <w:sz w:val="21"/>
                <w:szCs w:val="21"/>
              </w:rPr>
              <w:t>304</w:t>
            </w:r>
            <w:r>
              <w:rPr>
                <w:sz w:val="21"/>
                <w:szCs w:val="21"/>
              </w:rPr>
              <w:t>m</w:t>
            </w:r>
            <w:r>
              <w:rPr>
                <w:sz w:val="21"/>
                <w:szCs w:val="21"/>
                <w:vertAlign w:val="superscript"/>
              </w:rPr>
              <w:t>2</w:t>
            </w:r>
            <w:r>
              <w:rPr>
                <w:sz w:val="21"/>
                <w:szCs w:val="21"/>
              </w:rPr>
              <w:t>一般固废暂存间（位于车间4一楼</w:t>
            </w:r>
            <w:r>
              <w:rPr>
                <w:rFonts w:hint="eastAsia"/>
                <w:sz w:val="21"/>
                <w:szCs w:val="21"/>
              </w:rPr>
              <w:t>西</w:t>
            </w:r>
            <w:r>
              <w:rPr>
                <w:sz w:val="21"/>
                <w:szCs w:val="21"/>
              </w:rPr>
              <w:t>侧</w:t>
            </w:r>
            <w:r>
              <w:rPr>
                <w:rFonts w:hint="eastAsia"/>
                <w:sz w:val="21"/>
                <w:szCs w:val="21"/>
              </w:rPr>
              <w:t>，危废间右侧</w:t>
            </w:r>
            <w:r>
              <w:rPr>
                <w:sz w:val="21"/>
                <w:szCs w:val="21"/>
              </w:rPr>
              <w:t>），一般工业固废经收集后交由环卫部门处理或者外售</w:t>
            </w:r>
          </w:p>
        </w:tc>
        <w:tc>
          <w:tcPr>
            <w:tcW w:w="1666" w:type="dxa"/>
            <w:tcBorders>
              <w:left w:val="single" w:color="auto" w:sz="4" w:space="0"/>
            </w:tcBorders>
            <w:vAlign w:val="center"/>
          </w:tcPr>
          <w:p w14:paraId="5DB502E2">
            <w:pPr>
              <w:adjustRightInd w:val="0"/>
              <w:snapToGrid w:val="0"/>
              <w:spacing w:line="240" w:lineRule="auto"/>
              <w:jc w:val="center"/>
              <w:rPr>
                <w:color w:val="FF0000"/>
                <w:sz w:val="21"/>
                <w:szCs w:val="21"/>
              </w:rPr>
            </w:pPr>
            <w:r>
              <w:rPr>
                <w:rFonts w:hint="eastAsia"/>
                <w:sz w:val="21"/>
                <w:szCs w:val="21"/>
              </w:rPr>
              <w:t>已建工程内容</w:t>
            </w:r>
          </w:p>
        </w:tc>
      </w:tr>
      <w:tr w14:paraId="79BC8C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4E7261EC">
            <w:pPr>
              <w:adjustRightInd w:val="0"/>
              <w:snapToGrid w:val="0"/>
              <w:spacing w:line="240" w:lineRule="auto"/>
              <w:jc w:val="center"/>
              <w:rPr>
                <w:color w:val="FF0000"/>
                <w:sz w:val="21"/>
                <w:szCs w:val="21"/>
              </w:rPr>
            </w:pPr>
          </w:p>
        </w:tc>
        <w:tc>
          <w:tcPr>
            <w:tcW w:w="1366" w:type="dxa"/>
            <w:vAlign w:val="center"/>
          </w:tcPr>
          <w:p w14:paraId="1DB440B3">
            <w:pPr>
              <w:adjustRightInd w:val="0"/>
              <w:snapToGrid w:val="0"/>
              <w:spacing w:line="240" w:lineRule="auto"/>
              <w:jc w:val="center"/>
              <w:rPr>
                <w:sz w:val="21"/>
                <w:szCs w:val="21"/>
              </w:rPr>
            </w:pPr>
            <w:r>
              <w:rPr>
                <w:rFonts w:hint="eastAsia"/>
                <w:sz w:val="21"/>
                <w:szCs w:val="21"/>
              </w:rPr>
              <w:t>危险废物</w:t>
            </w:r>
          </w:p>
        </w:tc>
        <w:tc>
          <w:tcPr>
            <w:tcW w:w="4688" w:type="dxa"/>
            <w:gridSpan w:val="2"/>
            <w:tcBorders>
              <w:right w:val="single" w:color="auto" w:sz="4" w:space="0"/>
            </w:tcBorders>
            <w:vAlign w:val="center"/>
          </w:tcPr>
          <w:p w14:paraId="07B5EC50">
            <w:pPr>
              <w:adjustRightInd w:val="0"/>
              <w:snapToGrid w:val="0"/>
              <w:spacing w:line="240" w:lineRule="auto"/>
              <w:jc w:val="center"/>
              <w:rPr>
                <w:sz w:val="21"/>
                <w:szCs w:val="21"/>
              </w:rPr>
            </w:pPr>
            <w:r>
              <w:rPr>
                <w:rFonts w:hint="eastAsia"/>
                <w:sz w:val="21"/>
                <w:szCs w:val="21"/>
              </w:rPr>
              <w:t>272</w:t>
            </w:r>
            <w:r>
              <w:rPr>
                <w:sz w:val="21"/>
                <w:szCs w:val="21"/>
              </w:rPr>
              <w:t>m</w:t>
            </w:r>
            <w:r>
              <w:rPr>
                <w:sz w:val="21"/>
                <w:szCs w:val="21"/>
                <w:vertAlign w:val="superscript"/>
              </w:rPr>
              <w:t>2</w:t>
            </w:r>
            <w:r>
              <w:rPr>
                <w:sz w:val="21"/>
                <w:szCs w:val="21"/>
              </w:rPr>
              <w:t>危废暂存间（位于车间4一楼西侧），危险废物暂存于危险废物暂存间后定期交由有资质单位处理</w:t>
            </w:r>
          </w:p>
        </w:tc>
        <w:tc>
          <w:tcPr>
            <w:tcW w:w="1666" w:type="dxa"/>
            <w:tcBorders>
              <w:left w:val="single" w:color="auto" w:sz="4" w:space="0"/>
            </w:tcBorders>
            <w:vAlign w:val="center"/>
          </w:tcPr>
          <w:p w14:paraId="725869C6">
            <w:pPr>
              <w:adjustRightInd w:val="0"/>
              <w:snapToGrid w:val="0"/>
              <w:spacing w:line="240" w:lineRule="auto"/>
              <w:jc w:val="center"/>
              <w:rPr>
                <w:color w:val="FF0000"/>
                <w:sz w:val="21"/>
                <w:szCs w:val="21"/>
              </w:rPr>
            </w:pPr>
            <w:r>
              <w:rPr>
                <w:rFonts w:hint="eastAsia"/>
                <w:sz w:val="21"/>
                <w:szCs w:val="21"/>
              </w:rPr>
              <w:t>已建工程内容</w:t>
            </w:r>
          </w:p>
        </w:tc>
      </w:tr>
      <w:tr w14:paraId="448470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restart"/>
            <w:tcBorders>
              <w:top w:val="single" w:color="auto" w:sz="4" w:space="0"/>
            </w:tcBorders>
            <w:vAlign w:val="center"/>
          </w:tcPr>
          <w:p w14:paraId="26EF2C8C">
            <w:pPr>
              <w:adjustRightInd w:val="0"/>
              <w:snapToGrid w:val="0"/>
              <w:spacing w:line="240" w:lineRule="auto"/>
              <w:jc w:val="center"/>
              <w:rPr>
                <w:sz w:val="21"/>
                <w:szCs w:val="21"/>
              </w:rPr>
            </w:pPr>
            <w:r>
              <w:rPr>
                <w:rFonts w:hint="eastAsia"/>
                <w:sz w:val="21"/>
                <w:szCs w:val="21"/>
              </w:rPr>
              <w:t>生活区</w:t>
            </w:r>
          </w:p>
        </w:tc>
        <w:tc>
          <w:tcPr>
            <w:tcW w:w="1366" w:type="dxa"/>
            <w:tcBorders>
              <w:top w:val="single" w:color="auto" w:sz="4" w:space="0"/>
            </w:tcBorders>
            <w:vAlign w:val="center"/>
          </w:tcPr>
          <w:p w14:paraId="3FEB5458">
            <w:pPr>
              <w:adjustRightInd w:val="0"/>
              <w:snapToGrid w:val="0"/>
              <w:spacing w:line="240" w:lineRule="auto"/>
              <w:jc w:val="center"/>
              <w:rPr>
                <w:sz w:val="21"/>
                <w:szCs w:val="21"/>
              </w:rPr>
            </w:pPr>
            <w:r>
              <w:rPr>
                <w:rFonts w:hint="eastAsia"/>
                <w:sz w:val="21"/>
                <w:szCs w:val="21"/>
              </w:rPr>
              <w:t>办公楼</w:t>
            </w:r>
          </w:p>
        </w:tc>
        <w:tc>
          <w:tcPr>
            <w:tcW w:w="4688" w:type="dxa"/>
            <w:gridSpan w:val="2"/>
            <w:tcBorders>
              <w:right w:val="single" w:color="auto" w:sz="4" w:space="0"/>
            </w:tcBorders>
            <w:vAlign w:val="center"/>
          </w:tcPr>
          <w:p w14:paraId="442D9D9D">
            <w:pPr>
              <w:adjustRightInd w:val="0"/>
              <w:snapToGrid w:val="0"/>
              <w:spacing w:line="240" w:lineRule="auto"/>
              <w:jc w:val="center"/>
              <w:rPr>
                <w:sz w:val="21"/>
                <w:szCs w:val="21"/>
              </w:rPr>
            </w:pPr>
            <w:r>
              <w:rPr>
                <w:sz w:val="21"/>
                <w:szCs w:val="21"/>
              </w:rPr>
              <w:t>依托</w:t>
            </w:r>
            <w:r>
              <w:rPr>
                <w:rFonts w:hint="eastAsia"/>
                <w:sz w:val="21"/>
                <w:szCs w:val="21"/>
              </w:rPr>
              <w:t>现有生活</w:t>
            </w:r>
            <w:r>
              <w:rPr>
                <w:sz w:val="21"/>
                <w:szCs w:val="21"/>
              </w:rPr>
              <w:t>区办公楼</w:t>
            </w:r>
            <w:r>
              <w:rPr>
                <w:rFonts w:hint="eastAsia"/>
                <w:sz w:val="21"/>
                <w:szCs w:val="21"/>
              </w:rPr>
              <w:t>进行办公</w:t>
            </w:r>
          </w:p>
        </w:tc>
        <w:tc>
          <w:tcPr>
            <w:tcW w:w="1666" w:type="dxa"/>
            <w:tcBorders>
              <w:left w:val="single" w:color="auto" w:sz="4" w:space="0"/>
            </w:tcBorders>
            <w:vAlign w:val="center"/>
          </w:tcPr>
          <w:p w14:paraId="5123C288">
            <w:pPr>
              <w:adjustRightInd w:val="0"/>
              <w:snapToGrid w:val="0"/>
              <w:spacing w:line="240" w:lineRule="auto"/>
              <w:jc w:val="center"/>
              <w:rPr>
                <w:sz w:val="21"/>
                <w:szCs w:val="21"/>
              </w:rPr>
            </w:pPr>
            <w:r>
              <w:rPr>
                <w:rFonts w:hint="eastAsia"/>
                <w:sz w:val="21"/>
                <w:szCs w:val="21"/>
              </w:rPr>
              <w:t>已建工程内容</w:t>
            </w:r>
            <w:r>
              <w:rPr>
                <w:sz w:val="21"/>
                <w:szCs w:val="21"/>
              </w:rPr>
              <w:t xml:space="preserve"> </w:t>
            </w:r>
          </w:p>
        </w:tc>
      </w:tr>
      <w:tr w14:paraId="490484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02" w:type="dxa"/>
            <w:vMerge w:val="continue"/>
            <w:vAlign w:val="center"/>
          </w:tcPr>
          <w:p w14:paraId="1D9F6A9C">
            <w:pPr>
              <w:adjustRightInd w:val="0"/>
              <w:snapToGrid w:val="0"/>
              <w:spacing w:line="240" w:lineRule="auto"/>
              <w:jc w:val="center"/>
              <w:rPr>
                <w:sz w:val="21"/>
                <w:szCs w:val="21"/>
              </w:rPr>
            </w:pPr>
          </w:p>
        </w:tc>
        <w:tc>
          <w:tcPr>
            <w:tcW w:w="1366" w:type="dxa"/>
            <w:vAlign w:val="center"/>
          </w:tcPr>
          <w:p w14:paraId="4ED49FBC">
            <w:pPr>
              <w:adjustRightInd w:val="0"/>
              <w:snapToGrid w:val="0"/>
              <w:spacing w:line="240" w:lineRule="auto"/>
              <w:jc w:val="center"/>
              <w:rPr>
                <w:sz w:val="21"/>
                <w:szCs w:val="21"/>
              </w:rPr>
            </w:pPr>
            <w:r>
              <w:rPr>
                <w:rFonts w:hint="eastAsia"/>
                <w:sz w:val="21"/>
                <w:szCs w:val="21"/>
              </w:rPr>
              <w:t>倒班楼</w:t>
            </w:r>
          </w:p>
        </w:tc>
        <w:tc>
          <w:tcPr>
            <w:tcW w:w="4688" w:type="dxa"/>
            <w:gridSpan w:val="2"/>
            <w:tcBorders>
              <w:right w:val="single" w:color="auto" w:sz="4" w:space="0"/>
            </w:tcBorders>
            <w:vAlign w:val="center"/>
          </w:tcPr>
          <w:p w14:paraId="6B2AFFD5">
            <w:pPr>
              <w:adjustRightInd w:val="0"/>
              <w:snapToGrid w:val="0"/>
              <w:spacing w:line="240" w:lineRule="auto"/>
              <w:jc w:val="center"/>
              <w:rPr>
                <w:sz w:val="21"/>
                <w:szCs w:val="21"/>
              </w:rPr>
            </w:pPr>
            <w:r>
              <w:rPr>
                <w:sz w:val="21"/>
                <w:szCs w:val="21"/>
              </w:rPr>
              <w:t>依托</w:t>
            </w:r>
            <w:r>
              <w:rPr>
                <w:rFonts w:hint="eastAsia"/>
                <w:sz w:val="21"/>
                <w:szCs w:val="21"/>
              </w:rPr>
              <w:t>现有生活</w:t>
            </w:r>
            <w:r>
              <w:rPr>
                <w:sz w:val="21"/>
                <w:szCs w:val="21"/>
              </w:rPr>
              <w:t>区</w:t>
            </w:r>
            <w:r>
              <w:rPr>
                <w:rFonts w:hint="eastAsia"/>
                <w:sz w:val="21"/>
                <w:szCs w:val="21"/>
              </w:rPr>
              <w:t>倒班</w:t>
            </w:r>
            <w:r>
              <w:rPr>
                <w:sz w:val="21"/>
                <w:szCs w:val="21"/>
              </w:rPr>
              <w:t>楼</w:t>
            </w:r>
            <w:r>
              <w:rPr>
                <w:rFonts w:hint="eastAsia"/>
                <w:sz w:val="21"/>
                <w:szCs w:val="21"/>
              </w:rPr>
              <w:t>进行食宿</w:t>
            </w:r>
          </w:p>
        </w:tc>
        <w:tc>
          <w:tcPr>
            <w:tcW w:w="1666" w:type="dxa"/>
            <w:tcBorders>
              <w:left w:val="single" w:color="auto" w:sz="4" w:space="0"/>
            </w:tcBorders>
            <w:vAlign w:val="center"/>
          </w:tcPr>
          <w:p w14:paraId="65A3103E">
            <w:pPr>
              <w:adjustRightInd w:val="0"/>
              <w:snapToGrid w:val="0"/>
              <w:spacing w:line="240" w:lineRule="auto"/>
              <w:jc w:val="center"/>
              <w:rPr>
                <w:sz w:val="21"/>
                <w:szCs w:val="21"/>
              </w:rPr>
            </w:pPr>
            <w:r>
              <w:rPr>
                <w:rFonts w:hint="eastAsia"/>
                <w:sz w:val="21"/>
                <w:szCs w:val="21"/>
              </w:rPr>
              <w:t>已建工程内容</w:t>
            </w:r>
          </w:p>
        </w:tc>
      </w:tr>
    </w:tbl>
    <w:p w14:paraId="7445C457">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3.2.2.3</w:t>
      </w:r>
      <w:r>
        <w:t>在建项目主要生产设备</w:t>
      </w:r>
    </w:p>
    <w:p w14:paraId="203B8C6C">
      <w:pPr>
        <w:ind w:firstLine="480"/>
        <w:rPr>
          <w:bCs/>
        </w:rPr>
      </w:pPr>
      <w:r>
        <w:rPr>
          <w:rFonts w:hint="eastAsia"/>
          <w:bCs/>
        </w:rPr>
        <w:t>在建项目主要设备印刷机共7台，其中淘汰3台、新增3台、利旧4台；干式复合机共4台，其中淘汰6台、新增3台、利旧1台；无溶剂复合机10台，其中新增2台、利旧8台；熟化室26间，其中新增6间、利旧20间；烫金机新增14台；制袋机70台，其中新增5台、利旧65台；分切机20台，其中新增15台、利旧5台；配墨系统利旧一套；品检机10台，其中新增5台、利旧5台；打孔机10台，其中新增3台、利旧7台。环保措施更换为“吸附浓缩+溶剂回收设备”，配套增加导热油锅炉。主要生产设备清单见下表4.1-4。</w:t>
      </w:r>
    </w:p>
    <w:p w14:paraId="071F384F">
      <w:pPr>
        <w:pStyle w:val="51"/>
        <w:widowControl w:val="0"/>
        <w:numPr>
          <w:ilvl w:val="5"/>
          <w:numId w:val="0"/>
        </w:numPr>
        <w:spacing w:before="0" w:beforeLines="0" w:line="360" w:lineRule="auto"/>
        <w:ind w:left="-2104" w:leftChars="0" w:firstLine="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表3.2-3 </w:t>
      </w:r>
      <w:r>
        <w:rPr>
          <w:rFonts w:hint="eastAsia"/>
        </w:rPr>
        <w:t xml:space="preserve"> 在建项目实施前后生产线主要设备变化一栏表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7"/>
        <w:gridCol w:w="614"/>
        <w:gridCol w:w="704"/>
        <w:gridCol w:w="516"/>
        <w:gridCol w:w="1185"/>
        <w:gridCol w:w="1275"/>
        <w:gridCol w:w="993"/>
        <w:gridCol w:w="992"/>
        <w:gridCol w:w="1326"/>
      </w:tblGrid>
      <w:tr w14:paraId="3824B9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restart"/>
            <w:tcBorders>
              <w:tl2br w:val="nil"/>
              <w:tr2bl w:val="nil"/>
            </w:tcBorders>
            <w:vAlign w:val="center"/>
          </w:tcPr>
          <w:p w14:paraId="71D94B9E">
            <w:pPr>
              <w:adjustRightInd w:val="0"/>
              <w:snapToGrid w:val="0"/>
              <w:spacing w:line="240" w:lineRule="auto"/>
              <w:jc w:val="center"/>
              <w:rPr>
                <w:sz w:val="21"/>
                <w:szCs w:val="21"/>
              </w:rPr>
            </w:pPr>
            <w:r>
              <w:rPr>
                <w:sz w:val="21"/>
                <w:szCs w:val="21"/>
              </w:rPr>
              <w:t>主要生</w:t>
            </w:r>
          </w:p>
          <w:p w14:paraId="7ADEC0E0">
            <w:pPr>
              <w:adjustRightInd w:val="0"/>
              <w:snapToGrid w:val="0"/>
              <w:spacing w:line="240" w:lineRule="auto"/>
              <w:jc w:val="center"/>
              <w:rPr>
                <w:sz w:val="21"/>
                <w:szCs w:val="21"/>
              </w:rPr>
            </w:pPr>
            <w:r>
              <w:rPr>
                <w:sz w:val="21"/>
                <w:szCs w:val="21"/>
              </w:rPr>
              <w:t>产单元</w:t>
            </w:r>
          </w:p>
        </w:tc>
        <w:tc>
          <w:tcPr>
            <w:tcW w:w="1318" w:type="dxa"/>
            <w:gridSpan w:val="2"/>
            <w:vMerge w:val="restart"/>
            <w:tcBorders>
              <w:tl2br w:val="nil"/>
              <w:tr2bl w:val="nil"/>
            </w:tcBorders>
            <w:vAlign w:val="center"/>
          </w:tcPr>
          <w:p w14:paraId="36915729">
            <w:pPr>
              <w:adjustRightInd w:val="0"/>
              <w:snapToGrid w:val="0"/>
              <w:spacing w:line="240" w:lineRule="auto"/>
              <w:jc w:val="center"/>
              <w:rPr>
                <w:sz w:val="21"/>
                <w:szCs w:val="21"/>
              </w:rPr>
            </w:pPr>
            <w:r>
              <w:rPr>
                <w:sz w:val="21"/>
                <w:szCs w:val="21"/>
              </w:rPr>
              <w:t>设备名称</w:t>
            </w:r>
          </w:p>
        </w:tc>
        <w:tc>
          <w:tcPr>
            <w:tcW w:w="1701" w:type="dxa"/>
            <w:gridSpan w:val="2"/>
            <w:vMerge w:val="restart"/>
            <w:tcBorders>
              <w:tl2br w:val="nil"/>
              <w:tr2bl w:val="nil"/>
            </w:tcBorders>
            <w:vAlign w:val="center"/>
          </w:tcPr>
          <w:p w14:paraId="0AC17982">
            <w:pPr>
              <w:adjustRightInd w:val="0"/>
              <w:snapToGrid w:val="0"/>
              <w:spacing w:line="240" w:lineRule="auto"/>
              <w:jc w:val="center"/>
              <w:rPr>
                <w:sz w:val="21"/>
                <w:szCs w:val="21"/>
              </w:rPr>
            </w:pPr>
            <w:r>
              <w:rPr>
                <w:sz w:val="21"/>
                <w:szCs w:val="21"/>
              </w:rPr>
              <w:t>型号</w:t>
            </w:r>
          </w:p>
        </w:tc>
        <w:tc>
          <w:tcPr>
            <w:tcW w:w="3260" w:type="dxa"/>
            <w:gridSpan w:val="3"/>
            <w:tcBorders>
              <w:tl2br w:val="nil"/>
              <w:tr2bl w:val="nil"/>
            </w:tcBorders>
            <w:vAlign w:val="center"/>
          </w:tcPr>
          <w:p w14:paraId="21DF2BF8">
            <w:pPr>
              <w:adjustRightInd w:val="0"/>
              <w:snapToGrid w:val="0"/>
              <w:spacing w:line="240" w:lineRule="auto"/>
              <w:jc w:val="center"/>
              <w:rPr>
                <w:sz w:val="21"/>
                <w:szCs w:val="21"/>
              </w:rPr>
            </w:pPr>
            <w:r>
              <w:rPr>
                <w:sz w:val="21"/>
                <w:szCs w:val="21"/>
              </w:rPr>
              <w:t>数量</w:t>
            </w:r>
          </w:p>
        </w:tc>
        <w:tc>
          <w:tcPr>
            <w:tcW w:w="1326" w:type="dxa"/>
            <w:vMerge w:val="restart"/>
            <w:tcBorders>
              <w:tl2br w:val="nil"/>
              <w:tr2bl w:val="nil"/>
            </w:tcBorders>
            <w:vAlign w:val="center"/>
          </w:tcPr>
          <w:p w14:paraId="659EC9B2">
            <w:pPr>
              <w:adjustRightInd w:val="0"/>
              <w:snapToGrid w:val="0"/>
              <w:spacing w:line="240" w:lineRule="auto"/>
              <w:jc w:val="center"/>
              <w:rPr>
                <w:sz w:val="21"/>
                <w:szCs w:val="21"/>
              </w:rPr>
            </w:pPr>
            <w:r>
              <w:rPr>
                <w:sz w:val="21"/>
                <w:szCs w:val="21"/>
              </w:rPr>
              <w:t>备注</w:t>
            </w:r>
          </w:p>
        </w:tc>
      </w:tr>
      <w:tr w14:paraId="0D8D0B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4CDB94A">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6192BAF7">
            <w:pPr>
              <w:adjustRightInd w:val="0"/>
              <w:snapToGrid w:val="0"/>
              <w:spacing w:line="240" w:lineRule="auto"/>
              <w:jc w:val="center"/>
              <w:rPr>
                <w:sz w:val="21"/>
                <w:szCs w:val="21"/>
              </w:rPr>
            </w:pPr>
          </w:p>
        </w:tc>
        <w:tc>
          <w:tcPr>
            <w:tcW w:w="1701" w:type="dxa"/>
            <w:gridSpan w:val="2"/>
            <w:vMerge w:val="continue"/>
            <w:tcBorders>
              <w:tl2br w:val="nil"/>
              <w:tr2bl w:val="nil"/>
            </w:tcBorders>
            <w:vAlign w:val="center"/>
          </w:tcPr>
          <w:p w14:paraId="6769F7E4">
            <w:pPr>
              <w:adjustRightInd w:val="0"/>
              <w:snapToGrid w:val="0"/>
              <w:spacing w:line="240" w:lineRule="auto"/>
              <w:jc w:val="center"/>
              <w:rPr>
                <w:sz w:val="21"/>
                <w:szCs w:val="21"/>
              </w:rPr>
            </w:pPr>
          </w:p>
        </w:tc>
        <w:tc>
          <w:tcPr>
            <w:tcW w:w="1275" w:type="dxa"/>
            <w:tcBorders>
              <w:tl2br w:val="nil"/>
              <w:tr2bl w:val="nil"/>
            </w:tcBorders>
            <w:vAlign w:val="center"/>
          </w:tcPr>
          <w:p w14:paraId="58EC40EC">
            <w:pPr>
              <w:adjustRightInd w:val="0"/>
              <w:snapToGrid w:val="0"/>
              <w:spacing w:line="240" w:lineRule="auto"/>
              <w:jc w:val="center"/>
              <w:rPr>
                <w:sz w:val="21"/>
                <w:szCs w:val="21"/>
              </w:rPr>
            </w:pPr>
            <w:r>
              <w:rPr>
                <w:sz w:val="21"/>
                <w:szCs w:val="21"/>
              </w:rPr>
              <w:t>已建</w:t>
            </w:r>
          </w:p>
          <w:p w14:paraId="00B9D374">
            <w:pPr>
              <w:adjustRightInd w:val="0"/>
              <w:snapToGrid w:val="0"/>
              <w:spacing w:line="240" w:lineRule="auto"/>
              <w:jc w:val="center"/>
              <w:rPr>
                <w:sz w:val="21"/>
                <w:szCs w:val="21"/>
              </w:rPr>
            </w:pPr>
            <w:r>
              <w:rPr>
                <w:sz w:val="21"/>
                <w:szCs w:val="21"/>
              </w:rPr>
              <w:t>项目</w:t>
            </w:r>
          </w:p>
        </w:tc>
        <w:tc>
          <w:tcPr>
            <w:tcW w:w="993" w:type="dxa"/>
            <w:tcBorders>
              <w:tl2br w:val="nil"/>
              <w:tr2bl w:val="nil"/>
            </w:tcBorders>
            <w:vAlign w:val="center"/>
          </w:tcPr>
          <w:p w14:paraId="2F55392A">
            <w:pPr>
              <w:adjustRightInd w:val="0"/>
              <w:snapToGrid w:val="0"/>
              <w:spacing w:line="240" w:lineRule="auto"/>
              <w:jc w:val="center"/>
              <w:rPr>
                <w:sz w:val="21"/>
                <w:szCs w:val="21"/>
              </w:rPr>
            </w:pPr>
            <w:r>
              <w:rPr>
                <w:sz w:val="21"/>
                <w:szCs w:val="21"/>
              </w:rPr>
              <w:t>在建</w:t>
            </w:r>
          </w:p>
          <w:p w14:paraId="0C5FFE28">
            <w:pPr>
              <w:adjustRightInd w:val="0"/>
              <w:snapToGrid w:val="0"/>
              <w:spacing w:line="240" w:lineRule="auto"/>
              <w:jc w:val="center"/>
              <w:rPr>
                <w:sz w:val="21"/>
                <w:szCs w:val="21"/>
              </w:rPr>
            </w:pPr>
            <w:r>
              <w:rPr>
                <w:sz w:val="21"/>
                <w:szCs w:val="21"/>
              </w:rPr>
              <w:t>项目</w:t>
            </w:r>
          </w:p>
        </w:tc>
        <w:tc>
          <w:tcPr>
            <w:tcW w:w="992" w:type="dxa"/>
            <w:tcBorders>
              <w:tl2br w:val="nil"/>
              <w:tr2bl w:val="nil"/>
            </w:tcBorders>
            <w:vAlign w:val="center"/>
          </w:tcPr>
          <w:p w14:paraId="159BAC86">
            <w:pPr>
              <w:adjustRightInd w:val="0"/>
              <w:snapToGrid w:val="0"/>
              <w:spacing w:line="240" w:lineRule="auto"/>
              <w:jc w:val="center"/>
              <w:rPr>
                <w:sz w:val="21"/>
                <w:szCs w:val="21"/>
              </w:rPr>
            </w:pPr>
            <w:r>
              <w:rPr>
                <w:sz w:val="21"/>
                <w:szCs w:val="21"/>
              </w:rPr>
              <w:t>在建项目实施后全厂</w:t>
            </w:r>
          </w:p>
        </w:tc>
        <w:tc>
          <w:tcPr>
            <w:tcW w:w="1326" w:type="dxa"/>
            <w:vMerge w:val="continue"/>
            <w:tcBorders>
              <w:tl2br w:val="nil"/>
              <w:tr2bl w:val="nil"/>
            </w:tcBorders>
            <w:vAlign w:val="center"/>
          </w:tcPr>
          <w:p w14:paraId="52D940F9">
            <w:pPr>
              <w:adjustRightInd w:val="0"/>
              <w:snapToGrid w:val="0"/>
              <w:spacing w:line="240" w:lineRule="auto"/>
              <w:jc w:val="center"/>
              <w:rPr>
                <w:sz w:val="21"/>
                <w:szCs w:val="21"/>
              </w:rPr>
            </w:pPr>
          </w:p>
        </w:tc>
      </w:tr>
      <w:tr w14:paraId="3D4F37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restart"/>
            <w:tcBorders>
              <w:tl2br w:val="nil"/>
              <w:tr2bl w:val="nil"/>
            </w:tcBorders>
            <w:vAlign w:val="center"/>
          </w:tcPr>
          <w:p w14:paraId="0D875994">
            <w:pPr>
              <w:adjustRightInd w:val="0"/>
              <w:snapToGrid w:val="0"/>
              <w:spacing w:line="240" w:lineRule="auto"/>
              <w:jc w:val="center"/>
              <w:rPr>
                <w:sz w:val="21"/>
                <w:szCs w:val="21"/>
              </w:rPr>
            </w:pPr>
            <w:r>
              <w:rPr>
                <w:rFonts w:hint="eastAsia"/>
                <w:sz w:val="21"/>
                <w:szCs w:val="21"/>
              </w:rPr>
              <w:t>生产</w:t>
            </w:r>
          </w:p>
          <w:p w14:paraId="5EA6C985">
            <w:pPr>
              <w:adjustRightInd w:val="0"/>
              <w:snapToGrid w:val="0"/>
              <w:spacing w:line="240" w:lineRule="auto"/>
              <w:jc w:val="center"/>
              <w:rPr>
                <w:sz w:val="21"/>
                <w:szCs w:val="21"/>
              </w:rPr>
            </w:pPr>
            <w:r>
              <w:rPr>
                <w:rFonts w:hint="eastAsia"/>
                <w:sz w:val="21"/>
                <w:szCs w:val="21"/>
              </w:rPr>
              <w:t>设备</w:t>
            </w:r>
          </w:p>
        </w:tc>
        <w:tc>
          <w:tcPr>
            <w:tcW w:w="1318" w:type="dxa"/>
            <w:gridSpan w:val="2"/>
            <w:vMerge w:val="restart"/>
            <w:tcBorders>
              <w:tl2br w:val="nil"/>
              <w:tr2bl w:val="nil"/>
            </w:tcBorders>
            <w:vAlign w:val="center"/>
          </w:tcPr>
          <w:p w14:paraId="4F503A15">
            <w:pPr>
              <w:adjustRightInd w:val="0"/>
              <w:snapToGrid w:val="0"/>
              <w:spacing w:line="240" w:lineRule="auto"/>
              <w:jc w:val="center"/>
              <w:rPr>
                <w:sz w:val="21"/>
                <w:szCs w:val="21"/>
              </w:rPr>
            </w:pPr>
            <w:r>
              <w:rPr>
                <w:sz w:val="21"/>
                <w:szCs w:val="21"/>
              </w:rPr>
              <w:t>印刷机</w:t>
            </w:r>
          </w:p>
        </w:tc>
        <w:tc>
          <w:tcPr>
            <w:tcW w:w="1701" w:type="dxa"/>
            <w:gridSpan w:val="2"/>
            <w:tcBorders>
              <w:tl2br w:val="nil"/>
              <w:tr2bl w:val="nil"/>
            </w:tcBorders>
            <w:vAlign w:val="center"/>
          </w:tcPr>
          <w:p w14:paraId="5FBD0419">
            <w:pPr>
              <w:adjustRightInd w:val="0"/>
              <w:snapToGrid w:val="0"/>
              <w:spacing w:line="240" w:lineRule="auto"/>
              <w:jc w:val="center"/>
              <w:rPr>
                <w:sz w:val="21"/>
                <w:szCs w:val="21"/>
              </w:rPr>
            </w:pPr>
            <w:r>
              <w:rPr>
                <w:sz w:val="21"/>
                <w:szCs w:val="21"/>
              </w:rPr>
              <w:t>YA1001250FWZ</w:t>
            </w:r>
          </w:p>
        </w:tc>
        <w:tc>
          <w:tcPr>
            <w:tcW w:w="1275" w:type="dxa"/>
            <w:tcBorders>
              <w:tl2br w:val="nil"/>
              <w:tr2bl w:val="nil"/>
            </w:tcBorders>
            <w:vAlign w:val="center"/>
          </w:tcPr>
          <w:p w14:paraId="07FAA5BC">
            <w:pPr>
              <w:adjustRightInd w:val="0"/>
              <w:snapToGrid w:val="0"/>
              <w:spacing w:line="240" w:lineRule="auto"/>
              <w:jc w:val="center"/>
              <w:rPr>
                <w:sz w:val="21"/>
                <w:szCs w:val="21"/>
              </w:rPr>
            </w:pPr>
            <w:r>
              <w:rPr>
                <w:sz w:val="21"/>
                <w:szCs w:val="21"/>
              </w:rPr>
              <w:t>1</w:t>
            </w:r>
            <w:r>
              <w:rPr>
                <w:rFonts w:hint="eastAsia"/>
                <w:sz w:val="21"/>
                <w:szCs w:val="21"/>
              </w:rPr>
              <w:t>台</w:t>
            </w:r>
          </w:p>
        </w:tc>
        <w:tc>
          <w:tcPr>
            <w:tcW w:w="993" w:type="dxa"/>
            <w:tcBorders>
              <w:tl2br w:val="nil"/>
              <w:tr2bl w:val="nil"/>
            </w:tcBorders>
            <w:vAlign w:val="center"/>
          </w:tcPr>
          <w:p w14:paraId="26DEDCD9">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2B8C3382">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44536468">
            <w:pPr>
              <w:adjustRightInd w:val="0"/>
              <w:snapToGrid w:val="0"/>
              <w:spacing w:line="240" w:lineRule="auto"/>
              <w:jc w:val="center"/>
              <w:rPr>
                <w:sz w:val="21"/>
                <w:szCs w:val="21"/>
              </w:rPr>
            </w:pPr>
            <w:r>
              <w:rPr>
                <w:rFonts w:hint="eastAsia"/>
                <w:sz w:val="21"/>
                <w:szCs w:val="21"/>
              </w:rPr>
              <w:t>利旧</w:t>
            </w:r>
          </w:p>
        </w:tc>
      </w:tr>
      <w:tr w14:paraId="543ACC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07154BFD">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70B15FB1">
            <w:pPr>
              <w:adjustRightInd w:val="0"/>
              <w:snapToGrid w:val="0"/>
              <w:spacing w:line="240" w:lineRule="auto"/>
              <w:jc w:val="center"/>
              <w:rPr>
                <w:sz w:val="21"/>
                <w:szCs w:val="21"/>
              </w:rPr>
            </w:pPr>
          </w:p>
        </w:tc>
        <w:tc>
          <w:tcPr>
            <w:tcW w:w="1701" w:type="dxa"/>
            <w:gridSpan w:val="2"/>
            <w:tcBorders>
              <w:tl2br w:val="nil"/>
              <w:tr2bl w:val="nil"/>
            </w:tcBorders>
            <w:vAlign w:val="center"/>
          </w:tcPr>
          <w:p w14:paraId="4798846C">
            <w:pPr>
              <w:adjustRightInd w:val="0"/>
              <w:snapToGrid w:val="0"/>
              <w:spacing w:line="240" w:lineRule="auto"/>
              <w:jc w:val="center"/>
              <w:rPr>
                <w:sz w:val="21"/>
                <w:szCs w:val="21"/>
              </w:rPr>
            </w:pPr>
            <w:r>
              <w:rPr>
                <w:sz w:val="21"/>
                <w:szCs w:val="21"/>
              </w:rPr>
              <w:t>SGF1250WZA</w:t>
            </w:r>
          </w:p>
        </w:tc>
        <w:tc>
          <w:tcPr>
            <w:tcW w:w="1275" w:type="dxa"/>
            <w:tcBorders>
              <w:tl2br w:val="nil"/>
              <w:tr2bl w:val="nil"/>
            </w:tcBorders>
            <w:vAlign w:val="center"/>
          </w:tcPr>
          <w:p w14:paraId="71844425">
            <w:pPr>
              <w:adjustRightInd w:val="0"/>
              <w:snapToGrid w:val="0"/>
              <w:spacing w:line="240" w:lineRule="auto"/>
              <w:jc w:val="center"/>
              <w:rPr>
                <w:sz w:val="21"/>
                <w:szCs w:val="21"/>
              </w:rPr>
            </w:pPr>
            <w:r>
              <w:rPr>
                <w:sz w:val="21"/>
                <w:szCs w:val="21"/>
              </w:rPr>
              <w:t>1</w:t>
            </w:r>
            <w:r>
              <w:rPr>
                <w:rFonts w:hint="eastAsia"/>
                <w:sz w:val="21"/>
                <w:szCs w:val="21"/>
              </w:rPr>
              <w:t>台</w:t>
            </w:r>
          </w:p>
        </w:tc>
        <w:tc>
          <w:tcPr>
            <w:tcW w:w="993" w:type="dxa"/>
            <w:tcBorders>
              <w:tl2br w:val="nil"/>
              <w:tr2bl w:val="nil"/>
            </w:tcBorders>
            <w:vAlign w:val="center"/>
          </w:tcPr>
          <w:p w14:paraId="6B68A37F">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992" w:type="dxa"/>
            <w:tcBorders>
              <w:tl2br w:val="nil"/>
              <w:tr2bl w:val="nil"/>
            </w:tcBorders>
            <w:vAlign w:val="center"/>
          </w:tcPr>
          <w:p w14:paraId="4046D9EF">
            <w:pPr>
              <w:adjustRightInd w:val="0"/>
              <w:snapToGrid w:val="0"/>
              <w:spacing w:line="240" w:lineRule="auto"/>
              <w:jc w:val="center"/>
              <w:rPr>
                <w:sz w:val="21"/>
                <w:szCs w:val="21"/>
              </w:rPr>
            </w:pPr>
            <w:r>
              <w:rPr>
                <w:sz w:val="21"/>
                <w:szCs w:val="21"/>
              </w:rPr>
              <w:t>2</w:t>
            </w:r>
            <w:r>
              <w:rPr>
                <w:rFonts w:hint="eastAsia"/>
                <w:sz w:val="21"/>
                <w:szCs w:val="21"/>
              </w:rPr>
              <w:t>台</w:t>
            </w:r>
          </w:p>
        </w:tc>
        <w:tc>
          <w:tcPr>
            <w:tcW w:w="1326" w:type="dxa"/>
            <w:tcBorders>
              <w:tl2br w:val="nil"/>
              <w:tr2bl w:val="nil"/>
            </w:tcBorders>
            <w:vAlign w:val="center"/>
          </w:tcPr>
          <w:p w14:paraId="750BAA1F">
            <w:pPr>
              <w:adjustRightInd w:val="0"/>
              <w:snapToGrid w:val="0"/>
              <w:spacing w:line="240" w:lineRule="auto"/>
              <w:jc w:val="center"/>
              <w:rPr>
                <w:sz w:val="21"/>
                <w:szCs w:val="21"/>
              </w:rPr>
            </w:pPr>
            <w:r>
              <w:rPr>
                <w:rFonts w:hint="eastAsia"/>
                <w:sz w:val="21"/>
                <w:szCs w:val="21"/>
              </w:rPr>
              <w:t>利旧</w:t>
            </w:r>
            <w:r>
              <w:rPr>
                <w:rFonts w:hint="eastAsia"/>
                <w:b/>
                <w:bCs/>
                <w:sz w:val="21"/>
                <w:szCs w:val="21"/>
              </w:rPr>
              <w:t>新增</w:t>
            </w:r>
          </w:p>
        </w:tc>
      </w:tr>
      <w:tr w14:paraId="6DFEE0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A701DEC">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555ADAF6">
            <w:pPr>
              <w:adjustRightInd w:val="0"/>
              <w:snapToGrid w:val="0"/>
              <w:spacing w:line="240" w:lineRule="auto"/>
              <w:jc w:val="center"/>
              <w:rPr>
                <w:sz w:val="21"/>
                <w:szCs w:val="21"/>
              </w:rPr>
            </w:pPr>
          </w:p>
        </w:tc>
        <w:tc>
          <w:tcPr>
            <w:tcW w:w="1701" w:type="dxa"/>
            <w:gridSpan w:val="2"/>
            <w:tcBorders>
              <w:tl2br w:val="nil"/>
              <w:tr2bl w:val="nil"/>
            </w:tcBorders>
            <w:vAlign w:val="center"/>
          </w:tcPr>
          <w:p w14:paraId="384EBDF2">
            <w:pPr>
              <w:adjustRightInd w:val="0"/>
              <w:snapToGrid w:val="0"/>
              <w:spacing w:line="240" w:lineRule="auto"/>
              <w:jc w:val="center"/>
              <w:rPr>
                <w:sz w:val="21"/>
                <w:szCs w:val="21"/>
              </w:rPr>
            </w:pPr>
            <w:r>
              <w:rPr>
                <w:sz w:val="21"/>
                <w:szCs w:val="21"/>
              </w:rPr>
              <w:t>ARB180</w:t>
            </w:r>
          </w:p>
        </w:tc>
        <w:tc>
          <w:tcPr>
            <w:tcW w:w="1275" w:type="dxa"/>
            <w:tcBorders>
              <w:tl2br w:val="nil"/>
              <w:tr2bl w:val="nil"/>
            </w:tcBorders>
            <w:vAlign w:val="center"/>
          </w:tcPr>
          <w:p w14:paraId="701E15BB">
            <w:pPr>
              <w:adjustRightInd w:val="0"/>
              <w:snapToGrid w:val="0"/>
              <w:spacing w:line="240" w:lineRule="auto"/>
              <w:jc w:val="center"/>
              <w:rPr>
                <w:sz w:val="21"/>
                <w:szCs w:val="21"/>
              </w:rPr>
            </w:pPr>
            <w:r>
              <w:rPr>
                <w:sz w:val="21"/>
                <w:szCs w:val="21"/>
              </w:rPr>
              <w:t>1</w:t>
            </w:r>
            <w:r>
              <w:rPr>
                <w:rFonts w:hint="eastAsia"/>
                <w:sz w:val="21"/>
                <w:szCs w:val="21"/>
              </w:rPr>
              <w:t>台</w:t>
            </w:r>
          </w:p>
        </w:tc>
        <w:tc>
          <w:tcPr>
            <w:tcW w:w="993" w:type="dxa"/>
            <w:tcBorders>
              <w:tl2br w:val="nil"/>
              <w:tr2bl w:val="nil"/>
            </w:tcBorders>
            <w:vAlign w:val="center"/>
          </w:tcPr>
          <w:p w14:paraId="0604423E">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78DBF856">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14AC5A2E">
            <w:pPr>
              <w:adjustRightInd w:val="0"/>
              <w:snapToGrid w:val="0"/>
              <w:spacing w:line="240" w:lineRule="auto"/>
              <w:jc w:val="center"/>
              <w:rPr>
                <w:sz w:val="21"/>
                <w:szCs w:val="21"/>
              </w:rPr>
            </w:pPr>
            <w:r>
              <w:rPr>
                <w:rFonts w:hint="eastAsia"/>
                <w:sz w:val="21"/>
                <w:szCs w:val="21"/>
              </w:rPr>
              <w:t>利旧</w:t>
            </w:r>
          </w:p>
        </w:tc>
      </w:tr>
      <w:tr w14:paraId="39A81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0B47E04B">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065814B6">
            <w:pPr>
              <w:adjustRightInd w:val="0"/>
              <w:snapToGrid w:val="0"/>
              <w:spacing w:line="240" w:lineRule="auto"/>
              <w:jc w:val="center"/>
              <w:rPr>
                <w:sz w:val="21"/>
                <w:szCs w:val="21"/>
              </w:rPr>
            </w:pPr>
          </w:p>
        </w:tc>
        <w:tc>
          <w:tcPr>
            <w:tcW w:w="1701" w:type="dxa"/>
            <w:gridSpan w:val="2"/>
            <w:tcBorders>
              <w:tl2br w:val="nil"/>
              <w:tr2bl w:val="nil"/>
            </w:tcBorders>
            <w:vAlign w:val="center"/>
          </w:tcPr>
          <w:p w14:paraId="6F44B48D">
            <w:pPr>
              <w:adjustRightInd w:val="0"/>
              <w:snapToGrid w:val="0"/>
              <w:spacing w:line="240" w:lineRule="auto"/>
              <w:jc w:val="center"/>
              <w:rPr>
                <w:sz w:val="21"/>
                <w:szCs w:val="21"/>
              </w:rPr>
            </w:pPr>
            <w:r>
              <w:rPr>
                <w:sz w:val="21"/>
                <w:szCs w:val="21"/>
              </w:rPr>
              <w:t>FR300ELS（YA系列）</w:t>
            </w:r>
          </w:p>
        </w:tc>
        <w:tc>
          <w:tcPr>
            <w:tcW w:w="1275" w:type="dxa"/>
            <w:tcBorders>
              <w:tl2br w:val="nil"/>
              <w:tr2bl w:val="nil"/>
            </w:tcBorders>
            <w:vAlign w:val="center"/>
          </w:tcPr>
          <w:p w14:paraId="3AC23351">
            <w:pPr>
              <w:adjustRightInd w:val="0"/>
              <w:snapToGrid w:val="0"/>
              <w:spacing w:line="240" w:lineRule="auto"/>
              <w:jc w:val="center"/>
              <w:rPr>
                <w:sz w:val="21"/>
                <w:szCs w:val="21"/>
              </w:rPr>
            </w:pPr>
            <w:r>
              <w:rPr>
                <w:rFonts w:hint="eastAsia"/>
                <w:sz w:val="21"/>
                <w:szCs w:val="21"/>
              </w:rPr>
              <w:t>1台</w:t>
            </w:r>
          </w:p>
        </w:tc>
        <w:tc>
          <w:tcPr>
            <w:tcW w:w="993" w:type="dxa"/>
            <w:tcBorders>
              <w:tl2br w:val="nil"/>
              <w:tr2bl w:val="nil"/>
            </w:tcBorders>
            <w:vAlign w:val="center"/>
          </w:tcPr>
          <w:p w14:paraId="4351C2D6">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59C46904">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287465D8">
            <w:pPr>
              <w:adjustRightInd w:val="0"/>
              <w:snapToGrid w:val="0"/>
              <w:spacing w:line="240" w:lineRule="auto"/>
              <w:jc w:val="center"/>
              <w:rPr>
                <w:sz w:val="21"/>
                <w:szCs w:val="21"/>
              </w:rPr>
            </w:pPr>
            <w:r>
              <w:rPr>
                <w:rFonts w:hint="eastAsia"/>
                <w:sz w:val="21"/>
                <w:szCs w:val="21"/>
              </w:rPr>
              <w:t>利旧</w:t>
            </w:r>
          </w:p>
        </w:tc>
      </w:tr>
      <w:tr w14:paraId="077A11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917" w:type="dxa"/>
            <w:vMerge w:val="continue"/>
            <w:tcBorders>
              <w:tl2br w:val="nil"/>
              <w:tr2bl w:val="nil"/>
            </w:tcBorders>
            <w:vAlign w:val="center"/>
          </w:tcPr>
          <w:p w14:paraId="655DB114">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5AF156EA">
            <w:pPr>
              <w:adjustRightInd w:val="0"/>
              <w:snapToGrid w:val="0"/>
              <w:spacing w:line="240" w:lineRule="auto"/>
              <w:jc w:val="center"/>
              <w:rPr>
                <w:sz w:val="21"/>
                <w:szCs w:val="21"/>
              </w:rPr>
            </w:pPr>
          </w:p>
        </w:tc>
        <w:tc>
          <w:tcPr>
            <w:tcW w:w="1701" w:type="dxa"/>
            <w:gridSpan w:val="2"/>
            <w:tcBorders>
              <w:tl2br w:val="nil"/>
              <w:tr2bl w:val="nil"/>
            </w:tcBorders>
            <w:vAlign w:val="center"/>
          </w:tcPr>
          <w:p w14:paraId="475BC047">
            <w:pPr>
              <w:adjustRightInd w:val="0"/>
              <w:snapToGrid w:val="0"/>
              <w:spacing w:line="240" w:lineRule="auto"/>
              <w:jc w:val="center"/>
              <w:rPr>
                <w:sz w:val="21"/>
                <w:szCs w:val="21"/>
              </w:rPr>
            </w:pPr>
            <w:r>
              <w:rPr>
                <w:sz w:val="21"/>
                <w:szCs w:val="21"/>
              </w:rPr>
              <w:t>RS3.O</w:t>
            </w:r>
          </w:p>
        </w:tc>
        <w:tc>
          <w:tcPr>
            <w:tcW w:w="1275" w:type="dxa"/>
            <w:tcBorders>
              <w:tl2br w:val="nil"/>
              <w:tr2bl w:val="nil"/>
            </w:tcBorders>
            <w:vAlign w:val="center"/>
          </w:tcPr>
          <w:p w14:paraId="3D4D071D">
            <w:pPr>
              <w:adjustRightInd w:val="0"/>
              <w:snapToGrid w:val="0"/>
              <w:spacing w:line="240" w:lineRule="auto"/>
              <w:jc w:val="center"/>
              <w:rPr>
                <w:sz w:val="21"/>
                <w:szCs w:val="21"/>
              </w:rPr>
            </w:pPr>
            <w:r>
              <w:rPr>
                <w:sz w:val="21"/>
                <w:szCs w:val="21"/>
              </w:rPr>
              <w:t>0</w:t>
            </w:r>
          </w:p>
        </w:tc>
        <w:tc>
          <w:tcPr>
            <w:tcW w:w="993" w:type="dxa"/>
            <w:tcBorders>
              <w:tl2br w:val="nil"/>
              <w:tr2bl w:val="nil"/>
            </w:tcBorders>
            <w:vAlign w:val="center"/>
          </w:tcPr>
          <w:p w14:paraId="5170150D">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992" w:type="dxa"/>
            <w:tcBorders>
              <w:tl2br w:val="nil"/>
              <w:tr2bl w:val="nil"/>
            </w:tcBorders>
            <w:vAlign w:val="center"/>
          </w:tcPr>
          <w:p w14:paraId="678478F5">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76D32E0D">
            <w:pPr>
              <w:adjustRightInd w:val="0"/>
              <w:snapToGrid w:val="0"/>
              <w:spacing w:line="240" w:lineRule="auto"/>
              <w:jc w:val="center"/>
              <w:rPr>
                <w:b/>
                <w:bCs/>
                <w:sz w:val="21"/>
                <w:szCs w:val="21"/>
              </w:rPr>
            </w:pPr>
            <w:r>
              <w:rPr>
                <w:rFonts w:hint="eastAsia"/>
                <w:b/>
                <w:bCs/>
                <w:sz w:val="21"/>
                <w:szCs w:val="21"/>
              </w:rPr>
              <w:t>新增</w:t>
            </w:r>
          </w:p>
        </w:tc>
      </w:tr>
      <w:tr w14:paraId="1F8E6D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1D045724">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67D85900">
            <w:pPr>
              <w:adjustRightInd w:val="0"/>
              <w:snapToGrid w:val="0"/>
              <w:spacing w:line="240" w:lineRule="auto"/>
              <w:jc w:val="center"/>
              <w:rPr>
                <w:sz w:val="21"/>
                <w:szCs w:val="21"/>
              </w:rPr>
            </w:pPr>
          </w:p>
        </w:tc>
        <w:tc>
          <w:tcPr>
            <w:tcW w:w="1701" w:type="dxa"/>
            <w:gridSpan w:val="2"/>
            <w:tcBorders>
              <w:tl2br w:val="nil"/>
              <w:tr2bl w:val="nil"/>
            </w:tcBorders>
            <w:vAlign w:val="center"/>
          </w:tcPr>
          <w:p w14:paraId="6BF450AD">
            <w:pPr>
              <w:adjustRightInd w:val="0"/>
              <w:snapToGrid w:val="0"/>
              <w:spacing w:line="240" w:lineRule="auto"/>
              <w:jc w:val="center"/>
              <w:rPr>
                <w:sz w:val="21"/>
                <w:szCs w:val="21"/>
              </w:rPr>
            </w:pPr>
            <w:r>
              <w:rPr>
                <w:sz w:val="21"/>
                <w:szCs w:val="21"/>
              </w:rPr>
              <w:t>RS3.O</w:t>
            </w:r>
          </w:p>
        </w:tc>
        <w:tc>
          <w:tcPr>
            <w:tcW w:w="1275" w:type="dxa"/>
            <w:tcBorders>
              <w:tl2br w:val="nil"/>
              <w:tr2bl w:val="nil"/>
            </w:tcBorders>
            <w:vAlign w:val="center"/>
          </w:tcPr>
          <w:p w14:paraId="6CAFE454">
            <w:pPr>
              <w:adjustRightInd w:val="0"/>
              <w:snapToGrid w:val="0"/>
              <w:spacing w:line="240" w:lineRule="auto"/>
              <w:jc w:val="center"/>
              <w:rPr>
                <w:sz w:val="21"/>
                <w:szCs w:val="21"/>
              </w:rPr>
            </w:pPr>
            <w:r>
              <w:rPr>
                <w:sz w:val="21"/>
                <w:szCs w:val="21"/>
              </w:rPr>
              <w:t>0</w:t>
            </w:r>
          </w:p>
        </w:tc>
        <w:tc>
          <w:tcPr>
            <w:tcW w:w="993" w:type="dxa"/>
            <w:tcBorders>
              <w:tl2br w:val="nil"/>
              <w:tr2bl w:val="nil"/>
            </w:tcBorders>
            <w:vAlign w:val="center"/>
          </w:tcPr>
          <w:p w14:paraId="29205D20">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992" w:type="dxa"/>
            <w:tcBorders>
              <w:tl2br w:val="nil"/>
              <w:tr2bl w:val="nil"/>
            </w:tcBorders>
            <w:vAlign w:val="center"/>
          </w:tcPr>
          <w:p w14:paraId="6BDE2600">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2A7B29D2">
            <w:pPr>
              <w:adjustRightInd w:val="0"/>
              <w:snapToGrid w:val="0"/>
              <w:spacing w:line="240" w:lineRule="auto"/>
              <w:jc w:val="center"/>
              <w:rPr>
                <w:b/>
                <w:bCs/>
                <w:sz w:val="21"/>
                <w:szCs w:val="21"/>
              </w:rPr>
            </w:pPr>
            <w:r>
              <w:rPr>
                <w:rFonts w:hint="eastAsia"/>
                <w:b/>
                <w:bCs/>
                <w:sz w:val="21"/>
                <w:szCs w:val="21"/>
              </w:rPr>
              <w:t>新增</w:t>
            </w:r>
          </w:p>
        </w:tc>
      </w:tr>
      <w:tr w14:paraId="2B024C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40F22DD1">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21C0EA56">
            <w:pPr>
              <w:adjustRightInd w:val="0"/>
              <w:snapToGrid w:val="0"/>
              <w:spacing w:line="240" w:lineRule="auto"/>
              <w:jc w:val="center"/>
              <w:rPr>
                <w:sz w:val="21"/>
                <w:szCs w:val="21"/>
              </w:rPr>
            </w:pPr>
          </w:p>
        </w:tc>
        <w:tc>
          <w:tcPr>
            <w:tcW w:w="1701" w:type="dxa"/>
            <w:gridSpan w:val="2"/>
            <w:tcBorders>
              <w:tl2br w:val="nil"/>
              <w:tr2bl w:val="nil"/>
            </w:tcBorders>
            <w:vAlign w:val="center"/>
          </w:tcPr>
          <w:p w14:paraId="0A043680">
            <w:pPr>
              <w:adjustRightInd w:val="0"/>
              <w:snapToGrid w:val="0"/>
              <w:spacing w:line="240" w:lineRule="auto"/>
              <w:jc w:val="center"/>
              <w:rPr>
                <w:sz w:val="21"/>
                <w:szCs w:val="21"/>
              </w:rPr>
            </w:pPr>
            <w:r>
              <w:rPr>
                <w:sz w:val="21"/>
                <w:szCs w:val="21"/>
              </w:rPr>
              <w:t>FRB180（1250）</w:t>
            </w:r>
          </w:p>
        </w:tc>
        <w:tc>
          <w:tcPr>
            <w:tcW w:w="1275" w:type="dxa"/>
            <w:tcBorders>
              <w:tl2br w:val="nil"/>
              <w:tr2bl w:val="nil"/>
            </w:tcBorders>
            <w:vAlign w:val="center"/>
          </w:tcPr>
          <w:p w14:paraId="4E19962F">
            <w:pPr>
              <w:adjustRightInd w:val="0"/>
              <w:snapToGrid w:val="0"/>
              <w:spacing w:line="240" w:lineRule="auto"/>
              <w:jc w:val="center"/>
              <w:rPr>
                <w:sz w:val="21"/>
                <w:szCs w:val="21"/>
              </w:rPr>
            </w:pPr>
            <w:r>
              <w:rPr>
                <w:sz w:val="21"/>
                <w:szCs w:val="21"/>
              </w:rPr>
              <w:t>1</w:t>
            </w:r>
            <w:r>
              <w:rPr>
                <w:rFonts w:hint="eastAsia"/>
                <w:sz w:val="21"/>
                <w:szCs w:val="21"/>
              </w:rPr>
              <w:t>台</w:t>
            </w:r>
          </w:p>
        </w:tc>
        <w:tc>
          <w:tcPr>
            <w:tcW w:w="993" w:type="dxa"/>
            <w:tcBorders>
              <w:tl2br w:val="nil"/>
              <w:tr2bl w:val="nil"/>
            </w:tcBorders>
            <w:vAlign w:val="center"/>
          </w:tcPr>
          <w:p w14:paraId="0E5EDCD2">
            <w:pPr>
              <w:adjustRightInd w:val="0"/>
              <w:snapToGrid w:val="0"/>
              <w:spacing w:line="240" w:lineRule="auto"/>
              <w:jc w:val="center"/>
              <w:rPr>
                <w:sz w:val="21"/>
                <w:szCs w:val="21"/>
              </w:rPr>
            </w:pPr>
            <w:r>
              <w:rPr>
                <w:rFonts w:hint="eastAsia"/>
                <w:sz w:val="21"/>
                <w:szCs w:val="21"/>
              </w:rPr>
              <w:t>-1</w:t>
            </w:r>
            <w:r>
              <w:rPr>
                <w:sz w:val="21"/>
                <w:szCs w:val="21"/>
              </w:rPr>
              <w:t>台</w:t>
            </w:r>
          </w:p>
        </w:tc>
        <w:tc>
          <w:tcPr>
            <w:tcW w:w="992" w:type="dxa"/>
            <w:tcBorders>
              <w:tl2br w:val="nil"/>
              <w:tr2bl w:val="nil"/>
            </w:tcBorders>
            <w:vAlign w:val="center"/>
          </w:tcPr>
          <w:p w14:paraId="4EACCD49">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24180B7B">
            <w:pPr>
              <w:adjustRightInd w:val="0"/>
              <w:snapToGrid w:val="0"/>
              <w:spacing w:line="240" w:lineRule="auto"/>
              <w:jc w:val="center"/>
              <w:rPr>
                <w:sz w:val="21"/>
                <w:szCs w:val="21"/>
              </w:rPr>
            </w:pPr>
            <w:r>
              <w:rPr>
                <w:sz w:val="21"/>
                <w:szCs w:val="21"/>
              </w:rPr>
              <w:t>淘汰</w:t>
            </w:r>
          </w:p>
        </w:tc>
      </w:tr>
      <w:tr w14:paraId="12228E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2D995CA">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0A1B7DE0">
            <w:pPr>
              <w:adjustRightInd w:val="0"/>
              <w:snapToGrid w:val="0"/>
              <w:spacing w:line="240" w:lineRule="auto"/>
              <w:jc w:val="center"/>
              <w:rPr>
                <w:sz w:val="21"/>
                <w:szCs w:val="21"/>
              </w:rPr>
            </w:pPr>
          </w:p>
        </w:tc>
        <w:tc>
          <w:tcPr>
            <w:tcW w:w="1701" w:type="dxa"/>
            <w:gridSpan w:val="2"/>
            <w:tcBorders>
              <w:tl2br w:val="nil"/>
              <w:tr2bl w:val="nil"/>
            </w:tcBorders>
            <w:vAlign w:val="center"/>
          </w:tcPr>
          <w:p w14:paraId="794959CA">
            <w:pPr>
              <w:adjustRightInd w:val="0"/>
              <w:snapToGrid w:val="0"/>
              <w:spacing w:line="240" w:lineRule="auto"/>
              <w:jc w:val="center"/>
              <w:rPr>
                <w:sz w:val="21"/>
                <w:szCs w:val="21"/>
              </w:rPr>
            </w:pPr>
            <w:r>
              <w:rPr>
                <w:sz w:val="21"/>
                <w:szCs w:val="21"/>
              </w:rPr>
              <w:t>SGF850P</w:t>
            </w:r>
          </w:p>
        </w:tc>
        <w:tc>
          <w:tcPr>
            <w:tcW w:w="1275" w:type="dxa"/>
            <w:tcBorders>
              <w:tl2br w:val="nil"/>
              <w:tr2bl w:val="nil"/>
            </w:tcBorders>
            <w:vAlign w:val="center"/>
          </w:tcPr>
          <w:p w14:paraId="1848A726">
            <w:pPr>
              <w:adjustRightInd w:val="0"/>
              <w:snapToGrid w:val="0"/>
              <w:spacing w:line="240" w:lineRule="auto"/>
              <w:jc w:val="center"/>
              <w:rPr>
                <w:sz w:val="21"/>
                <w:szCs w:val="21"/>
              </w:rPr>
            </w:pPr>
            <w:r>
              <w:rPr>
                <w:sz w:val="21"/>
                <w:szCs w:val="21"/>
              </w:rPr>
              <w:t>1</w:t>
            </w:r>
            <w:r>
              <w:rPr>
                <w:rFonts w:hint="eastAsia"/>
                <w:sz w:val="21"/>
                <w:szCs w:val="21"/>
              </w:rPr>
              <w:t>台</w:t>
            </w:r>
          </w:p>
        </w:tc>
        <w:tc>
          <w:tcPr>
            <w:tcW w:w="993" w:type="dxa"/>
            <w:tcBorders>
              <w:tl2br w:val="nil"/>
              <w:tr2bl w:val="nil"/>
            </w:tcBorders>
            <w:vAlign w:val="center"/>
          </w:tcPr>
          <w:p w14:paraId="71C131C1">
            <w:pPr>
              <w:adjustRightInd w:val="0"/>
              <w:snapToGrid w:val="0"/>
              <w:spacing w:line="240" w:lineRule="auto"/>
              <w:jc w:val="center"/>
              <w:rPr>
                <w:sz w:val="21"/>
                <w:szCs w:val="21"/>
              </w:rPr>
            </w:pPr>
            <w:r>
              <w:rPr>
                <w:rFonts w:hint="eastAsia"/>
                <w:sz w:val="21"/>
                <w:szCs w:val="21"/>
              </w:rPr>
              <w:t>-1</w:t>
            </w:r>
            <w:r>
              <w:rPr>
                <w:sz w:val="21"/>
                <w:szCs w:val="21"/>
              </w:rPr>
              <w:t>台</w:t>
            </w:r>
          </w:p>
        </w:tc>
        <w:tc>
          <w:tcPr>
            <w:tcW w:w="992" w:type="dxa"/>
            <w:tcBorders>
              <w:tl2br w:val="nil"/>
              <w:tr2bl w:val="nil"/>
            </w:tcBorders>
            <w:vAlign w:val="center"/>
          </w:tcPr>
          <w:p w14:paraId="0AD3951A">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552052FC">
            <w:pPr>
              <w:adjustRightInd w:val="0"/>
              <w:snapToGrid w:val="0"/>
              <w:spacing w:line="240" w:lineRule="auto"/>
              <w:jc w:val="center"/>
              <w:rPr>
                <w:sz w:val="21"/>
                <w:szCs w:val="21"/>
              </w:rPr>
            </w:pPr>
            <w:r>
              <w:rPr>
                <w:sz w:val="21"/>
                <w:szCs w:val="21"/>
              </w:rPr>
              <w:t>淘汰</w:t>
            </w:r>
          </w:p>
        </w:tc>
      </w:tr>
      <w:tr w14:paraId="71647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B44DED8">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4043B2C9">
            <w:pPr>
              <w:adjustRightInd w:val="0"/>
              <w:snapToGrid w:val="0"/>
              <w:spacing w:line="240" w:lineRule="auto"/>
              <w:jc w:val="center"/>
              <w:rPr>
                <w:sz w:val="21"/>
                <w:szCs w:val="21"/>
              </w:rPr>
            </w:pPr>
          </w:p>
        </w:tc>
        <w:tc>
          <w:tcPr>
            <w:tcW w:w="1701" w:type="dxa"/>
            <w:gridSpan w:val="2"/>
            <w:tcBorders>
              <w:tl2br w:val="nil"/>
              <w:tr2bl w:val="nil"/>
            </w:tcBorders>
            <w:vAlign w:val="center"/>
          </w:tcPr>
          <w:p w14:paraId="2C7C6826">
            <w:pPr>
              <w:adjustRightInd w:val="0"/>
              <w:snapToGrid w:val="0"/>
              <w:spacing w:line="240" w:lineRule="auto"/>
              <w:jc w:val="center"/>
              <w:rPr>
                <w:sz w:val="21"/>
                <w:szCs w:val="21"/>
              </w:rPr>
            </w:pPr>
            <w:r>
              <w:rPr>
                <w:sz w:val="21"/>
                <w:szCs w:val="21"/>
              </w:rPr>
              <w:t>SGF850P</w:t>
            </w:r>
          </w:p>
        </w:tc>
        <w:tc>
          <w:tcPr>
            <w:tcW w:w="1275" w:type="dxa"/>
            <w:tcBorders>
              <w:tl2br w:val="nil"/>
              <w:tr2bl w:val="nil"/>
            </w:tcBorders>
            <w:vAlign w:val="center"/>
          </w:tcPr>
          <w:p w14:paraId="1B7BDA08">
            <w:pPr>
              <w:adjustRightInd w:val="0"/>
              <w:snapToGrid w:val="0"/>
              <w:spacing w:line="240" w:lineRule="auto"/>
              <w:jc w:val="center"/>
              <w:rPr>
                <w:sz w:val="21"/>
                <w:szCs w:val="21"/>
              </w:rPr>
            </w:pPr>
            <w:r>
              <w:rPr>
                <w:sz w:val="21"/>
                <w:szCs w:val="21"/>
              </w:rPr>
              <w:t>1</w:t>
            </w:r>
            <w:r>
              <w:rPr>
                <w:rFonts w:hint="eastAsia"/>
                <w:sz w:val="21"/>
                <w:szCs w:val="21"/>
              </w:rPr>
              <w:t>台</w:t>
            </w:r>
          </w:p>
        </w:tc>
        <w:tc>
          <w:tcPr>
            <w:tcW w:w="993" w:type="dxa"/>
            <w:tcBorders>
              <w:tl2br w:val="nil"/>
              <w:tr2bl w:val="nil"/>
            </w:tcBorders>
            <w:vAlign w:val="center"/>
          </w:tcPr>
          <w:p w14:paraId="101117AC">
            <w:pPr>
              <w:adjustRightInd w:val="0"/>
              <w:snapToGrid w:val="0"/>
              <w:spacing w:line="240" w:lineRule="auto"/>
              <w:jc w:val="center"/>
              <w:rPr>
                <w:sz w:val="21"/>
                <w:szCs w:val="21"/>
              </w:rPr>
            </w:pPr>
            <w:r>
              <w:rPr>
                <w:rFonts w:hint="eastAsia"/>
                <w:sz w:val="21"/>
                <w:szCs w:val="21"/>
              </w:rPr>
              <w:t>-1</w:t>
            </w:r>
            <w:r>
              <w:rPr>
                <w:sz w:val="21"/>
                <w:szCs w:val="21"/>
              </w:rPr>
              <w:t>台</w:t>
            </w:r>
          </w:p>
        </w:tc>
        <w:tc>
          <w:tcPr>
            <w:tcW w:w="992" w:type="dxa"/>
            <w:tcBorders>
              <w:tl2br w:val="nil"/>
              <w:tr2bl w:val="nil"/>
            </w:tcBorders>
            <w:vAlign w:val="center"/>
          </w:tcPr>
          <w:p w14:paraId="0F6F3380">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064BE66D">
            <w:pPr>
              <w:adjustRightInd w:val="0"/>
              <w:snapToGrid w:val="0"/>
              <w:spacing w:line="240" w:lineRule="auto"/>
              <w:jc w:val="center"/>
              <w:rPr>
                <w:sz w:val="21"/>
                <w:szCs w:val="21"/>
              </w:rPr>
            </w:pPr>
            <w:r>
              <w:rPr>
                <w:sz w:val="21"/>
                <w:szCs w:val="21"/>
              </w:rPr>
              <w:t>淘汰</w:t>
            </w:r>
          </w:p>
        </w:tc>
      </w:tr>
      <w:tr w14:paraId="0342DB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70862B45">
            <w:pPr>
              <w:adjustRightInd w:val="0"/>
              <w:snapToGrid w:val="0"/>
              <w:spacing w:line="240" w:lineRule="auto"/>
              <w:jc w:val="center"/>
              <w:rPr>
                <w:sz w:val="21"/>
                <w:szCs w:val="21"/>
              </w:rPr>
            </w:pPr>
          </w:p>
        </w:tc>
        <w:tc>
          <w:tcPr>
            <w:tcW w:w="1318" w:type="dxa"/>
            <w:gridSpan w:val="2"/>
            <w:vMerge w:val="restart"/>
            <w:tcBorders>
              <w:tl2br w:val="nil"/>
              <w:tr2bl w:val="nil"/>
            </w:tcBorders>
            <w:vAlign w:val="center"/>
          </w:tcPr>
          <w:p w14:paraId="72068A0D">
            <w:pPr>
              <w:adjustRightInd w:val="0"/>
              <w:snapToGrid w:val="0"/>
              <w:spacing w:line="240" w:lineRule="auto"/>
              <w:jc w:val="center"/>
              <w:rPr>
                <w:sz w:val="21"/>
                <w:szCs w:val="21"/>
              </w:rPr>
            </w:pPr>
            <w:r>
              <w:rPr>
                <w:sz w:val="21"/>
                <w:szCs w:val="21"/>
              </w:rPr>
              <w:t>干式复合机</w:t>
            </w:r>
          </w:p>
        </w:tc>
        <w:tc>
          <w:tcPr>
            <w:tcW w:w="1701" w:type="dxa"/>
            <w:gridSpan w:val="2"/>
            <w:tcBorders>
              <w:tl2br w:val="nil"/>
              <w:tr2bl w:val="nil"/>
            </w:tcBorders>
            <w:vAlign w:val="center"/>
          </w:tcPr>
          <w:p w14:paraId="6504F22E">
            <w:pPr>
              <w:adjustRightInd w:val="0"/>
              <w:snapToGrid w:val="0"/>
              <w:spacing w:line="240" w:lineRule="auto"/>
              <w:jc w:val="center"/>
              <w:rPr>
                <w:sz w:val="21"/>
                <w:szCs w:val="21"/>
              </w:rPr>
            </w:pPr>
            <w:r>
              <w:rPr>
                <w:sz w:val="21"/>
                <w:szCs w:val="21"/>
              </w:rPr>
              <w:t>FHD1250S</w:t>
            </w:r>
          </w:p>
        </w:tc>
        <w:tc>
          <w:tcPr>
            <w:tcW w:w="1275" w:type="dxa"/>
            <w:tcBorders>
              <w:tl2br w:val="nil"/>
              <w:tr2bl w:val="nil"/>
            </w:tcBorders>
            <w:vAlign w:val="center"/>
          </w:tcPr>
          <w:p w14:paraId="09CD396C">
            <w:pPr>
              <w:adjustRightInd w:val="0"/>
              <w:snapToGrid w:val="0"/>
              <w:spacing w:line="240" w:lineRule="auto"/>
              <w:jc w:val="center"/>
              <w:rPr>
                <w:sz w:val="21"/>
                <w:szCs w:val="21"/>
              </w:rPr>
            </w:pPr>
            <w:r>
              <w:rPr>
                <w:rFonts w:hint="eastAsia"/>
                <w:sz w:val="21"/>
                <w:szCs w:val="21"/>
              </w:rPr>
              <w:t>1台</w:t>
            </w:r>
          </w:p>
        </w:tc>
        <w:tc>
          <w:tcPr>
            <w:tcW w:w="993" w:type="dxa"/>
            <w:tcBorders>
              <w:tl2br w:val="nil"/>
              <w:tr2bl w:val="nil"/>
            </w:tcBorders>
            <w:vAlign w:val="center"/>
          </w:tcPr>
          <w:p w14:paraId="45E17E05">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2A81CC5E">
            <w:pPr>
              <w:adjustRightInd w:val="0"/>
              <w:snapToGrid w:val="0"/>
              <w:spacing w:line="240" w:lineRule="auto"/>
              <w:jc w:val="center"/>
              <w:rPr>
                <w:sz w:val="21"/>
                <w:szCs w:val="21"/>
              </w:rPr>
            </w:pPr>
            <w:r>
              <w:rPr>
                <w:rFonts w:hint="eastAsia"/>
                <w:sz w:val="21"/>
                <w:szCs w:val="21"/>
              </w:rPr>
              <w:t>1台</w:t>
            </w:r>
          </w:p>
        </w:tc>
        <w:tc>
          <w:tcPr>
            <w:tcW w:w="1326" w:type="dxa"/>
            <w:tcBorders>
              <w:tl2br w:val="nil"/>
              <w:tr2bl w:val="nil"/>
            </w:tcBorders>
            <w:vAlign w:val="center"/>
          </w:tcPr>
          <w:p w14:paraId="152F485E">
            <w:pPr>
              <w:adjustRightInd w:val="0"/>
              <w:snapToGrid w:val="0"/>
              <w:spacing w:line="240" w:lineRule="auto"/>
              <w:jc w:val="center"/>
              <w:rPr>
                <w:sz w:val="21"/>
                <w:szCs w:val="21"/>
              </w:rPr>
            </w:pPr>
            <w:r>
              <w:rPr>
                <w:rFonts w:hint="eastAsia"/>
                <w:sz w:val="21"/>
                <w:szCs w:val="21"/>
              </w:rPr>
              <w:t>利旧</w:t>
            </w:r>
          </w:p>
        </w:tc>
      </w:tr>
      <w:tr w14:paraId="6B4936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CE6BC8A">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2771BDFA">
            <w:pPr>
              <w:adjustRightInd w:val="0"/>
              <w:snapToGrid w:val="0"/>
              <w:spacing w:line="240" w:lineRule="auto"/>
              <w:jc w:val="center"/>
              <w:rPr>
                <w:sz w:val="21"/>
                <w:szCs w:val="21"/>
              </w:rPr>
            </w:pPr>
          </w:p>
        </w:tc>
        <w:tc>
          <w:tcPr>
            <w:tcW w:w="1701" w:type="dxa"/>
            <w:gridSpan w:val="2"/>
            <w:tcBorders>
              <w:tl2br w:val="nil"/>
              <w:tr2bl w:val="nil"/>
            </w:tcBorders>
            <w:vAlign w:val="center"/>
          </w:tcPr>
          <w:p w14:paraId="14B26858">
            <w:pPr>
              <w:adjustRightInd w:val="0"/>
              <w:snapToGrid w:val="0"/>
              <w:spacing w:line="240" w:lineRule="auto"/>
              <w:jc w:val="center"/>
              <w:rPr>
                <w:sz w:val="21"/>
                <w:szCs w:val="21"/>
              </w:rPr>
            </w:pPr>
            <w:r>
              <w:rPr>
                <w:sz w:val="21"/>
                <w:szCs w:val="21"/>
              </w:rPr>
              <w:t>GFH-1050B（I）T</w:t>
            </w:r>
          </w:p>
        </w:tc>
        <w:tc>
          <w:tcPr>
            <w:tcW w:w="1275" w:type="dxa"/>
            <w:tcBorders>
              <w:tl2br w:val="nil"/>
              <w:tr2bl w:val="nil"/>
            </w:tcBorders>
            <w:vAlign w:val="center"/>
          </w:tcPr>
          <w:p w14:paraId="217496AE">
            <w:pPr>
              <w:adjustRightInd w:val="0"/>
              <w:snapToGrid w:val="0"/>
              <w:spacing w:line="240" w:lineRule="auto"/>
              <w:jc w:val="center"/>
              <w:rPr>
                <w:sz w:val="21"/>
                <w:szCs w:val="21"/>
              </w:rPr>
            </w:pPr>
            <w:r>
              <w:rPr>
                <w:rFonts w:hint="eastAsia"/>
                <w:sz w:val="21"/>
                <w:szCs w:val="21"/>
              </w:rPr>
              <w:t>2台</w:t>
            </w:r>
          </w:p>
        </w:tc>
        <w:tc>
          <w:tcPr>
            <w:tcW w:w="993" w:type="dxa"/>
            <w:tcBorders>
              <w:tl2br w:val="nil"/>
              <w:tr2bl w:val="nil"/>
            </w:tcBorders>
            <w:vAlign w:val="center"/>
          </w:tcPr>
          <w:p w14:paraId="1575E061">
            <w:pPr>
              <w:adjustRightInd w:val="0"/>
              <w:snapToGrid w:val="0"/>
              <w:spacing w:line="240" w:lineRule="auto"/>
              <w:jc w:val="center"/>
              <w:rPr>
                <w:sz w:val="21"/>
                <w:szCs w:val="21"/>
              </w:rPr>
            </w:pPr>
            <w:r>
              <w:rPr>
                <w:rFonts w:hint="eastAsia"/>
                <w:sz w:val="21"/>
                <w:szCs w:val="21"/>
              </w:rPr>
              <w:t>-2台</w:t>
            </w:r>
          </w:p>
        </w:tc>
        <w:tc>
          <w:tcPr>
            <w:tcW w:w="992" w:type="dxa"/>
            <w:tcBorders>
              <w:tl2br w:val="nil"/>
              <w:tr2bl w:val="nil"/>
            </w:tcBorders>
            <w:vAlign w:val="center"/>
          </w:tcPr>
          <w:p w14:paraId="243FF019">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33A23E1B">
            <w:pPr>
              <w:adjustRightInd w:val="0"/>
              <w:snapToGrid w:val="0"/>
              <w:spacing w:line="240" w:lineRule="auto"/>
              <w:jc w:val="center"/>
              <w:rPr>
                <w:sz w:val="21"/>
                <w:szCs w:val="21"/>
              </w:rPr>
            </w:pPr>
            <w:r>
              <w:rPr>
                <w:rFonts w:hint="eastAsia"/>
                <w:sz w:val="21"/>
                <w:szCs w:val="21"/>
              </w:rPr>
              <w:t>淘汰</w:t>
            </w:r>
          </w:p>
        </w:tc>
      </w:tr>
      <w:tr w14:paraId="5E0F8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9F47584">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7B9EE820">
            <w:pPr>
              <w:adjustRightInd w:val="0"/>
              <w:snapToGrid w:val="0"/>
              <w:spacing w:line="240" w:lineRule="auto"/>
              <w:jc w:val="center"/>
              <w:rPr>
                <w:sz w:val="21"/>
                <w:szCs w:val="21"/>
              </w:rPr>
            </w:pPr>
          </w:p>
        </w:tc>
        <w:tc>
          <w:tcPr>
            <w:tcW w:w="1701" w:type="dxa"/>
            <w:gridSpan w:val="2"/>
            <w:tcBorders>
              <w:tl2br w:val="nil"/>
              <w:tr2bl w:val="nil"/>
            </w:tcBorders>
            <w:vAlign w:val="center"/>
          </w:tcPr>
          <w:p w14:paraId="20D486B8">
            <w:pPr>
              <w:adjustRightInd w:val="0"/>
              <w:snapToGrid w:val="0"/>
              <w:spacing w:line="240" w:lineRule="auto"/>
              <w:jc w:val="center"/>
              <w:rPr>
                <w:sz w:val="21"/>
                <w:szCs w:val="21"/>
              </w:rPr>
            </w:pPr>
            <w:r>
              <w:rPr>
                <w:sz w:val="21"/>
                <w:szCs w:val="21"/>
              </w:rPr>
              <w:t>LHG-1150D</w:t>
            </w:r>
          </w:p>
        </w:tc>
        <w:tc>
          <w:tcPr>
            <w:tcW w:w="1275" w:type="dxa"/>
            <w:tcBorders>
              <w:tl2br w:val="nil"/>
              <w:tr2bl w:val="nil"/>
            </w:tcBorders>
            <w:vAlign w:val="center"/>
          </w:tcPr>
          <w:p w14:paraId="077BA19E">
            <w:pPr>
              <w:adjustRightInd w:val="0"/>
              <w:snapToGrid w:val="0"/>
              <w:spacing w:line="240" w:lineRule="auto"/>
              <w:jc w:val="center"/>
              <w:rPr>
                <w:sz w:val="21"/>
                <w:szCs w:val="21"/>
              </w:rPr>
            </w:pPr>
            <w:r>
              <w:rPr>
                <w:sz w:val="21"/>
                <w:szCs w:val="21"/>
              </w:rPr>
              <w:t>0</w:t>
            </w:r>
          </w:p>
        </w:tc>
        <w:tc>
          <w:tcPr>
            <w:tcW w:w="993" w:type="dxa"/>
            <w:tcBorders>
              <w:tl2br w:val="nil"/>
              <w:tr2bl w:val="nil"/>
            </w:tcBorders>
            <w:vAlign w:val="center"/>
          </w:tcPr>
          <w:p w14:paraId="345AE518">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992" w:type="dxa"/>
            <w:tcBorders>
              <w:tl2br w:val="nil"/>
              <w:tr2bl w:val="nil"/>
            </w:tcBorders>
            <w:vAlign w:val="center"/>
          </w:tcPr>
          <w:p w14:paraId="599F702D">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4DB5854A">
            <w:pPr>
              <w:adjustRightInd w:val="0"/>
              <w:snapToGrid w:val="0"/>
              <w:spacing w:line="240" w:lineRule="auto"/>
              <w:jc w:val="center"/>
              <w:rPr>
                <w:b/>
                <w:bCs/>
                <w:sz w:val="21"/>
                <w:szCs w:val="21"/>
              </w:rPr>
            </w:pPr>
            <w:r>
              <w:rPr>
                <w:rFonts w:hint="eastAsia"/>
                <w:b/>
                <w:bCs/>
                <w:sz w:val="21"/>
                <w:szCs w:val="21"/>
              </w:rPr>
              <w:t>新增</w:t>
            </w:r>
          </w:p>
        </w:tc>
      </w:tr>
      <w:tr w14:paraId="157FF2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00D4346">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20066CE7">
            <w:pPr>
              <w:adjustRightInd w:val="0"/>
              <w:snapToGrid w:val="0"/>
              <w:spacing w:line="240" w:lineRule="auto"/>
              <w:jc w:val="center"/>
              <w:rPr>
                <w:sz w:val="21"/>
                <w:szCs w:val="21"/>
              </w:rPr>
            </w:pPr>
          </w:p>
        </w:tc>
        <w:tc>
          <w:tcPr>
            <w:tcW w:w="1701" w:type="dxa"/>
            <w:gridSpan w:val="2"/>
            <w:tcBorders>
              <w:tl2br w:val="nil"/>
              <w:tr2bl w:val="nil"/>
            </w:tcBorders>
            <w:vAlign w:val="center"/>
          </w:tcPr>
          <w:p w14:paraId="5B1F32E3">
            <w:pPr>
              <w:adjustRightInd w:val="0"/>
              <w:snapToGrid w:val="0"/>
              <w:spacing w:line="240" w:lineRule="auto"/>
              <w:jc w:val="center"/>
              <w:rPr>
                <w:sz w:val="21"/>
                <w:szCs w:val="21"/>
              </w:rPr>
            </w:pPr>
            <w:r>
              <w:rPr>
                <w:sz w:val="21"/>
                <w:szCs w:val="21"/>
              </w:rPr>
              <w:t>DA800</w:t>
            </w:r>
          </w:p>
        </w:tc>
        <w:tc>
          <w:tcPr>
            <w:tcW w:w="1275" w:type="dxa"/>
            <w:tcBorders>
              <w:tl2br w:val="nil"/>
              <w:tr2bl w:val="nil"/>
            </w:tcBorders>
            <w:vAlign w:val="center"/>
          </w:tcPr>
          <w:p w14:paraId="64BB25CE">
            <w:pPr>
              <w:adjustRightInd w:val="0"/>
              <w:snapToGrid w:val="0"/>
              <w:spacing w:line="240" w:lineRule="auto"/>
              <w:jc w:val="center"/>
              <w:rPr>
                <w:sz w:val="21"/>
                <w:szCs w:val="21"/>
              </w:rPr>
            </w:pPr>
            <w:r>
              <w:rPr>
                <w:sz w:val="21"/>
                <w:szCs w:val="21"/>
              </w:rPr>
              <w:t>0</w:t>
            </w:r>
          </w:p>
        </w:tc>
        <w:tc>
          <w:tcPr>
            <w:tcW w:w="993" w:type="dxa"/>
            <w:tcBorders>
              <w:tl2br w:val="nil"/>
              <w:tr2bl w:val="nil"/>
            </w:tcBorders>
            <w:vAlign w:val="center"/>
          </w:tcPr>
          <w:p w14:paraId="1A0DCCB8">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992" w:type="dxa"/>
            <w:tcBorders>
              <w:tl2br w:val="nil"/>
              <w:tr2bl w:val="nil"/>
            </w:tcBorders>
            <w:vAlign w:val="center"/>
          </w:tcPr>
          <w:p w14:paraId="34BE0C36">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724F4ED8">
            <w:pPr>
              <w:adjustRightInd w:val="0"/>
              <w:snapToGrid w:val="0"/>
              <w:spacing w:line="240" w:lineRule="auto"/>
              <w:jc w:val="center"/>
              <w:rPr>
                <w:b/>
                <w:bCs/>
                <w:sz w:val="21"/>
                <w:szCs w:val="21"/>
              </w:rPr>
            </w:pPr>
            <w:r>
              <w:rPr>
                <w:rFonts w:hint="eastAsia"/>
                <w:b/>
                <w:bCs/>
                <w:sz w:val="21"/>
                <w:szCs w:val="21"/>
              </w:rPr>
              <w:t>新增</w:t>
            </w:r>
          </w:p>
        </w:tc>
      </w:tr>
      <w:tr w14:paraId="2770D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E7C7BDE">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010B62EB">
            <w:pPr>
              <w:adjustRightInd w:val="0"/>
              <w:snapToGrid w:val="0"/>
              <w:spacing w:line="240" w:lineRule="auto"/>
              <w:jc w:val="center"/>
              <w:rPr>
                <w:sz w:val="21"/>
                <w:szCs w:val="21"/>
              </w:rPr>
            </w:pPr>
          </w:p>
        </w:tc>
        <w:tc>
          <w:tcPr>
            <w:tcW w:w="1701" w:type="dxa"/>
            <w:gridSpan w:val="2"/>
            <w:tcBorders>
              <w:tl2br w:val="nil"/>
              <w:tr2bl w:val="nil"/>
            </w:tcBorders>
            <w:vAlign w:val="center"/>
          </w:tcPr>
          <w:p w14:paraId="3742D99E">
            <w:pPr>
              <w:adjustRightInd w:val="0"/>
              <w:snapToGrid w:val="0"/>
              <w:spacing w:line="240" w:lineRule="auto"/>
              <w:jc w:val="center"/>
              <w:rPr>
                <w:sz w:val="21"/>
                <w:szCs w:val="21"/>
              </w:rPr>
            </w:pPr>
            <w:r>
              <w:rPr>
                <w:sz w:val="21"/>
                <w:szCs w:val="21"/>
              </w:rPr>
              <w:t>LHG-1050</w:t>
            </w:r>
          </w:p>
        </w:tc>
        <w:tc>
          <w:tcPr>
            <w:tcW w:w="1275" w:type="dxa"/>
            <w:tcBorders>
              <w:tl2br w:val="nil"/>
              <w:tr2bl w:val="nil"/>
            </w:tcBorders>
            <w:vAlign w:val="center"/>
          </w:tcPr>
          <w:p w14:paraId="71FE5891">
            <w:pPr>
              <w:adjustRightInd w:val="0"/>
              <w:snapToGrid w:val="0"/>
              <w:spacing w:line="240" w:lineRule="auto"/>
              <w:jc w:val="center"/>
              <w:rPr>
                <w:sz w:val="21"/>
                <w:szCs w:val="21"/>
              </w:rPr>
            </w:pPr>
            <w:r>
              <w:rPr>
                <w:sz w:val="21"/>
                <w:szCs w:val="21"/>
              </w:rPr>
              <w:t>0</w:t>
            </w:r>
          </w:p>
        </w:tc>
        <w:tc>
          <w:tcPr>
            <w:tcW w:w="993" w:type="dxa"/>
            <w:tcBorders>
              <w:tl2br w:val="nil"/>
              <w:tr2bl w:val="nil"/>
            </w:tcBorders>
            <w:vAlign w:val="center"/>
          </w:tcPr>
          <w:p w14:paraId="5ADB93C4">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992" w:type="dxa"/>
            <w:tcBorders>
              <w:tl2br w:val="nil"/>
              <w:tr2bl w:val="nil"/>
            </w:tcBorders>
            <w:vAlign w:val="center"/>
          </w:tcPr>
          <w:p w14:paraId="21C2CCEC">
            <w:pPr>
              <w:adjustRightInd w:val="0"/>
              <w:snapToGrid w:val="0"/>
              <w:spacing w:line="240" w:lineRule="auto"/>
              <w:jc w:val="center"/>
              <w:rPr>
                <w:sz w:val="21"/>
                <w:szCs w:val="21"/>
              </w:rPr>
            </w:pPr>
            <w:r>
              <w:rPr>
                <w:sz w:val="21"/>
                <w:szCs w:val="21"/>
              </w:rPr>
              <w:t>1</w:t>
            </w:r>
            <w:r>
              <w:rPr>
                <w:rFonts w:hint="eastAsia"/>
                <w:sz w:val="21"/>
                <w:szCs w:val="21"/>
              </w:rPr>
              <w:t>台</w:t>
            </w:r>
          </w:p>
        </w:tc>
        <w:tc>
          <w:tcPr>
            <w:tcW w:w="1326" w:type="dxa"/>
            <w:tcBorders>
              <w:tl2br w:val="nil"/>
              <w:tr2bl w:val="nil"/>
            </w:tcBorders>
            <w:vAlign w:val="center"/>
          </w:tcPr>
          <w:p w14:paraId="220FFE33">
            <w:pPr>
              <w:adjustRightInd w:val="0"/>
              <w:snapToGrid w:val="0"/>
              <w:spacing w:line="240" w:lineRule="auto"/>
              <w:jc w:val="center"/>
              <w:rPr>
                <w:b/>
                <w:bCs/>
                <w:sz w:val="21"/>
                <w:szCs w:val="21"/>
              </w:rPr>
            </w:pPr>
            <w:r>
              <w:rPr>
                <w:rFonts w:hint="eastAsia"/>
                <w:b/>
                <w:bCs/>
                <w:sz w:val="21"/>
                <w:szCs w:val="21"/>
              </w:rPr>
              <w:t>新增</w:t>
            </w:r>
          </w:p>
        </w:tc>
      </w:tr>
      <w:tr w14:paraId="1CF7E3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20271FC">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2954565D">
            <w:pPr>
              <w:adjustRightInd w:val="0"/>
              <w:snapToGrid w:val="0"/>
              <w:spacing w:line="240" w:lineRule="auto"/>
              <w:jc w:val="center"/>
              <w:rPr>
                <w:sz w:val="21"/>
                <w:szCs w:val="21"/>
              </w:rPr>
            </w:pPr>
          </w:p>
        </w:tc>
        <w:tc>
          <w:tcPr>
            <w:tcW w:w="1701" w:type="dxa"/>
            <w:gridSpan w:val="2"/>
            <w:tcBorders>
              <w:tl2br w:val="nil"/>
              <w:tr2bl w:val="nil"/>
            </w:tcBorders>
            <w:vAlign w:val="center"/>
          </w:tcPr>
          <w:p w14:paraId="30C78C74">
            <w:pPr>
              <w:adjustRightInd w:val="0"/>
              <w:snapToGrid w:val="0"/>
              <w:spacing w:line="240" w:lineRule="auto"/>
              <w:jc w:val="center"/>
              <w:rPr>
                <w:sz w:val="21"/>
                <w:szCs w:val="21"/>
              </w:rPr>
            </w:pPr>
            <w:r>
              <w:rPr>
                <w:sz w:val="21"/>
                <w:szCs w:val="21"/>
              </w:rPr>
              <w:t>LHG-1350D.DL200</w:t>
            </w:r>
          </w:p>
        </w:tc>
        <w:tc>
          <w:tcPr>
            <w:tcW w:w="1275" w:type="dxa"/>
            <w:tcBorders>
              <w:tl2br w:val="nil"/>
              <w:tr2bl w:val="nil"/>
            </w:tcBorders>
            <w:vAlign w:val="center"/>
          </w:tcPr>
          <w:p w14:paraId="2F4B07CC">
            <w:pPr>
              <w:adjustRightInd w:val="0"/>
              <w:snapToGrid w:val="0"/>
              <w:spacing w:line="240" w:lineRule="auto"/>
              <w:jc w:val="center"/>
              <w:rPr>
                <w:sz w:val="21"/>
                <w:szCs w:val="21"/>
              </w:rPr>
            </w:pPr>
            <w:r>
              <w:rPr>
                <w:rFonts w:hint="eastAsia"/>
                <w:sz w:val="21"/>
                <w:szCs w:val="21"/>
              </w:rPr>
              <w:t>2台</w:t>
            </w:r>
          </w:p>
        </w:tc>
        <w:tc>
          <w:tcPr>
            <w:tcW w:w="993" w:type="dxa"/>
            <w:tcBorders>
              <w:tl2br w:val="nil"/>
              <w:tr2bl w:val="nil"/>
            </w:tcBorders>
            <w:vAlign w:val="center"/>
          </w:tcPr>
          <w:p w14:paraId="6DE1108B">
            <w:pPr>
              <w:adjustRightInd w:val="0"/>
              <w:snapToGrid w:val="0"/>
              <w:spacing w:line="240" w:lineRule="auto"/>
              <w:jc w:val="center"/>
              <w:rPr>
                <w:sz w:val="21"/>
                <w:szCs w:val="21"/>
              </w:rPr>
            </w:pPr>
            <w:r>
              <w:rPr>
                <w:rFonts w:hint="eastAsia"/>
                <w:sz w:val="21"/>
                <w:szCs w:val="21"/>
              </w:rPr>
              <w:t>-2台</w:t>
            </w:r>
          </w:p>
        </w:tc>
        <w:tc>
          <w:tcPr>
            <w:tcW w:w="992" w:type="dxa"/>
            <w:tcBorders>
              <w:tl2br w:val="nil"/>
              <w:tr2bl w:val="nil"/>
            </w:tcBorders>
            <w:vAlign w:val="center"/>
          </w:tcPr>
          <w:p w14:paraId="4BE9A69D">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5970E625">
            <w:pPr>
              <w:adjustRightInd w:val="0"/>
              <w:snapToGrid w:val="0"/>
              <w:spacing w:line="240" w:lineRule="auto"/>
              <w:jc w:val="center"/>
              <w:rPr>
                <w:sz w:val="21"/>
                <w:szCs w:val="21"/>
              </w:rPr>
            </w:pPr>
            <w:r>
              <w:rPr>
                <w:sz w:val="21"/>
                <w:szCs w:val="21"/>
              </w:rPr>
              <w:t>淘汰</w:t>
            </w:r>
          </w:p>
        </w:tc>
      </w:tr>
      <w:tr w14:paraId="7B4CC5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9AA3B89">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7EEC5281">
            <w:pPr>
              <w:adjustRightInd w:val="0"/>
              <w:snapToGrid w:val="0"/>
              <w:spacing w:line="240" w:lineRule="auto"/>
              <w:jc w:val="center"/>
              <w:rPr>
                <w:sz w:val="21"/>
                <w:szCs w:val="21"/>
              </w:rPr>
            </w:pPr>
          </w:p>
        </w:tc>
        <w:tc>
          <w:tcPr>
            <w:tcW w:w="1701" w:type="dxa"/>
            <w:gridSpan w:val="2"/>
            <w:tcBorders>
              <w:tl2br w:val="nil"/>
              <w:tr2bl w:val="nil"/>
            </w:tcBorders>
            <w:vAlign w:val="center"/>
          </w:tcPr>
          <w:p w14:paraId="3430DA9F">
            <w:pPr>
              <w:adjustRightInd w:val="0"/>
              <w:snapToGrid w:val="0"/>
              <w:spacing w:line="240" w:lineRule="auto"/>
              <w:jc w:val="center"/>
              <w:rPr>
                <w:sz w:val="21"/>
                <w:szCs w:val="21"/>
              </w:rPr>
            </w:pPr>
            <w:r>
              <w:rPr>
                <w:sz w:val="21"/>
                <w:szCs w:val="21"/>
              </w:rPr>
              <w:t>QGT1150P</w:t>
            </w:r>
          </w:p>
        </w:tc>
        <w:tc>
          <w:tcPr>
            <w:tcW w:w="1275" w:type="dxa"/>
            <w:tcBorders>
              <w:tl2br w:val="nil"/>
              <w:tr2bl w:val="nil"/>
            </w:tcBorders>
            <w:vAlign w:val="center"/>
          </w:tcPr>
          <w:p w14:paraId="4B7F2D95">
            <w:pPr>
              <w:adjustRightInd w:val="0"/>
              <w:snapToGrid w:val="0"/>
              <w:spacing w:line="240" w:lineRule="auto"/>
              <w:jc w:val="center"/>
              <w:rPr>
                <w:sz w:val="21"/>
                <w:szCs w:val="21"/>
              </w:rPr>
            </w:pPr>
            <w:r>
              <w:rPr>
                <w:rFonts w:hint="eastAsia"/>
                <w:sz w:val="21"/>
                <w:szCs w:val="21"/>
              </w:rPr>
              <w:t>1台</w:t>
            </w:r>
          </w:p>
        </w:tc>
        <w:tc>
          <w:tcPr>
            <w:tcW w:w="993" w:type="dxa"/>
            <w:tcBorders>
              <w:tl2br w:val="nil"/>
              <w:tr2bl w:val="nil"/>
            </w:tcBorders>
            <w:vAlign w:val="center"/>
          </w:tcPr>
          <w:p w14:paraId="608A7C68">
            <w:pPr>
              <w:adjustRightInd w:val="0"/>
              <w:snapToGrid w:val="0"/>
              <w:spacing w:line="240" w:lineRule="auto"/>
              <w:jc w:val="center"/>
              <w:rPr>
                <w:sz w:val="21"/>
                <w:szCs w:val="21"/>
              </w:rPr>
            </w:pPr>
            <w:r>
              <w:rPr>
                <w:rFonts w:hint="eastAsia"/>
                <w:sz w:val="21"/>
                <w:szCs w:val="21"/>
              </w:rPr>
              <w:t>-1</w:t>
            </w:r>
            <w:r>
              <w:rPr>
                <w:sz w:val="21"/>
                <w:szCs w:val="21"/>
              </w:rPr>
              <w:t>台</w:t>
            </w:r>
          </w:p>
        </w:tc>
        <w:tc>
          <w:tcPr>
            <w:tcW w:w="992" w:type="dxa"/>
            <w:tcBorders>
              <w:tl2br w:val="nil"/>
              <w:tr2bl w:val="nil"/>
            </w:tcBorders>
            <w:vAlign w:val="center"/>
          </w:tcPr>
          <w:p w14:paraId="2B6B6881">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11E09986">
            <w:pPr>
              <w:adjustRightInd w:val="0"/>
              <w:snapToGrid w:val="0"/>
              <w:spacing w:line="240" w:lineRule="auto"/>
              <w:jc w:val="center"/>
              <w:rPr>
                <w:sz w:val="21"/>
                <w:szCs w:val="21"/>
              </w:rPr>
            </w:pPr>
            <w:r>
              <w:rPr>
                <w:sz w:val="21"/>
                <w:szCs w:val="21"/>
              </w:rPr>
              <w:t>淘汰</w:t>
            </w:r>
          </w:p>
        </w:tc>
      </w:tr>
      <w:tr w14:paraId="2AD105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318E148">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06A7F06F">
            <w:pPr>
              <w:adjustRightInd w:val="0"/>
              <w:snapToGrid w:val="0"/>
              <w:spacing w:line="240" w:lineRule="auto"/>
              <w:jc w:val="center"/>
              <w:rPr>
                <w:sz w:val="21"/>
                <w:szCs w:val="21"/>
              </w:rPr>
            </w:pPr>
          </w:p>
        </w:tc>
        <w:tc>
          <w:tcPr>
            <w:tcW w:w="1701" w:type="dxa"/>
            <w:gridSpan w:val="2"/>
            <w:tcBorders>
              <w:tl2br w:val="nil"/>
              <w:tr2bl w:val="nil"/>
            </w:tcBorders>
            <w:vAlign w:val="center"/>
          </w:tcPr>
          <w:p w14:paraId="04FE0552">
            <w:pPr>
              <w:adjustRightInd w:val="0"/>
              <w:snapToGrid w:val="0"/>
              <w:spacing w:line="240" w:lineRule="auto"/>
              <w:jc w:val="center"/>
              <w:rPr>
                <w:sz w:val="21"/>
                <w:szCs w:val="21"/>
              </w:rPr>
            </w:pPr>
            <w:r>
              <w:rPr>
                <w:sz w:val="21"/>
                <w:szCs w:val="21"/>
              </w:rPr>
              <w:t>三合一干复机</w:t>
            </w:r>
          </w:p>
        </w:tc>
        <w:tc>
          <w:tcPr>
            <w:tcW w:w="1275" w:type="dxa"/>
            <w:tcBorders>
              <w:tl2br w:val="nil"/>
              <w:tr2bl w:val="nil"/>
            </w:tcBorders>
            <w:vAlign w:val="center"/>
          </w:tcPr>
          <w:p w14:paraId="768972E2">
            <w:pPr>
              <w:adjustRightInd w:val="0"/>
              <w:snapToGrid w:val="0"/>
              <w:spacing w:line="240" w:lineRule="auto"/>
              <w:jc w:val="center"/>
              <w:rPr>
                <w:sz w:val="21"/>
                <w:szCs w:val="21"/>
              </w:rPr>
            </w:pPr>
            <w:r>
              <w:rPr>
                <w:rFonts w:hint="eastAsia"/>
                <w:sz w:val="21"/>
                <w:szCs w:val="21"/>
              </w:rPr>
              <w:t>1台</w:t>
            </w:r>
          </w:p>
        </w:tc>
        <w:tc>
          <w:tcPr>
            <w:tcW w:w="993" w:type="dxa"/>
            <w:tcBorders>
              <w:tl2br w:val="nil"/>
              <w:tr2bl w:val="nil"/>
            </w:tcBorders>
            <w:vAlign w:val="center"/>
          </w:tcPr>
          <w:p w14:paraId="6B6D6EF9">
            <w:pPr>
              <w:adjustRightInd w:val="0"/>
              <w:snapToGrid w:val="0"/>
              <w:spacing w:line="240" w:lineRule="auto"/>
              <w:jc w:val="center"/>
              <w:rPr>
                <w:sz w:val="21"/>
                <w:szCs w:val="21"/>
              </w:rPr>
            </w:pPr>
            <w:r>
              <w:rPr>
                <w:rFonts w:hint="eastAsia"/>
                <w:sz w:val="21"/>
                <w:szCs w:val="21"/>
              </w:rPr>
              <w:t>-1</w:t>
            </w:r>
            <w:r>
              <w:rPr>
                <w:sz w:val="21"/>
                <w:szCs w:val="21"/>
              </w:rPr>
              <w:t>台</w:t>
            </w:r>
          </w:p>
        </w:tc>
        <w:tc>
          <w:tcPr>
            <w:tcW w:w="992" w:type="dxa"/>
            <w:tcBorders>
              <w:tl2br w:val="nil"/>
              <w:tr2bl w:val="nil"/>
            </w:tcBorders>
            <w:vAlign w:val="center"/>
          </w:tcPr>
          <w:p w14:paraId="29D4E928">
            <w:pPr>
              <w:adjustRightInd w:val="0"/>
              <w:snapToGrid w:val="0"/>
              <w:spacing w:line="240" w:lineRule="auto"/>
              <w:jc w:val="center"/>
              <w:rPr>
                <w:sz w:val="21"/>
                <w:szCs w:val="21"/>
              </w:rPr>
            </w:pPr>
            <w:r>
              <w:rPr>
                <w:sz w:val="21"/>
                <w:szCs w:val="21"/>
              </w:rPr>
              <w:t>0</w:t>
            </w:r>
          </w:p>
        </w:tc>
        <w:tc>
          <w:tcPr>
            <w:tcW w:w="1326" w:type="dxa"/>
            <w:tcBorders>
              <w:tl2br w:val="nil"/>
              <w:tr2bl w:val="nil"/>
            </w:tcBorders>
            <w:vAlign w:val="center"/>
          </w:tcPr>
          <w:p w14:paraId="18AE0608">
            <w:pPr>
              <w:adjustRightInd w:val="0"/>
              <w:snapToGrid w:val="0"/>
              <w:spacing w:line="240" w:lineRule="auto"/>
              <w:jc w:val="center"/>
              <w:rPr>
                <w:sz w:val="21"/>
                <w:szCs w:val="21"/>
              </w:rPr>
            </w:pPr>
            <w:r>
              <w:rPr>
                <w:sz w:val="21"/>
                <w:szCs w:val="21"/>
              </w:rPr>
              <w:t>淘汰</w:t>
            </w:r>
          </w:p>
        </w:tc>
      </w:tr>
      <w:tr w14:paraId="1C5F81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7CDAE5E">
            <w:pPr>
              <w:adjustRightInd w:val="0"/>
              <w:snapToGrid w:val="0"/>
              <w:spacing w:line="240" w:lineRule="auto"/>
              <w:jc w:val="center"/>
              <w:rPr>
                <w:sz w:val="21"/>
                <w:szCs w:val="21"/>
              </w:rPr>
            </w:pPr>
          </w:p>
        </w:tc>
        <w:tc>
          <w:tcPr>
            <w:tcW w:w="1318" w:type="dxa"/>
            <w:gridSpan w:val="2"/>
            <w:vMerge w:val="restart"/>
            <w:tcBorders>
              <w:tl2br w:val="nil"/>
              <w:tr2bl w:val="nil"/>
            </w:tcBorders>
            <w:vAlign w:val="center"/>
          </w:tcPr>
          <w:p w14:paraId="3C4F52CA">
            <w:pPr>
              <w:adjustRightInd w:val="0"/>
              <w:snapToGrid w:val="0"/>
              <w:spacing w:line="240" w:lineRule="auto"/>
              <w:jc w:val="center"/>
              <w:rPr>
                <w:sz w:val="21"/>
                <w:szCs w:val="21"/>
              </w:rPr>
            </w:pPr>
            <w:r>
              <w:rPr>
                <w:sz w:val="21"/>
                <w:szCs w:val="21"/>
              </w:rPr>
              <w:t>无溶剂</w:t>
            </w:r>
          </w:p>
          <w:p w14:paraId="5C4A37C2">
            <w:pPr>
              <w:adjustRightInd w:val="0"/>
              <w:snapToGrid w:val="0"/>
              <w:spacing w:line="240" w:lineRule="auto"/>
              <w:jc w:val="center"/>
              <w:rPr>
                <w:sz w:val="21"/>
                <w:szCs w:val="21"/>
              </w:rPr>
            </w:pPr>
            <w:r>
              <w:rPr>
                <w:sz w:val="21"/>
                <w:szCs w:val="21"/>
              </w:rPr>
              <w:t>复合机</w:t>
            </w:r>
          </w:p>
        </w:tc>
        <w:tc>
          <w:tcPr>
            <w:tcW w:w="1701" w:type="dxa"/>
            <w:gridSpan w:val="2"/>
            <w:tcBorders>
              <w:tl2br w:val="nil"/>
              <w:tr2bl w:val="nil"/>
            </w:tcBorders>
            <w:vAlign w:val="center"/>
          </w:tcPr>
          <w:p w14:paraId="0AF26049">
            <w:pPr>
              <w:adjustRightInd w:val="0"/>
              <w:snapToGrid w:val="0"/>
              <w:spacing w:line="240" w:lineRule="auto"/>
              <w:jc w:val="center"/>
              <w:rPr>
                <w:sz w:val="21"/>
                <w:szCs w:val="21"/>
              </w:rPr>
            </w:pPr>
            <w:r>
              <w:rPr>
                <w:sz w:val="21"/>
                <w:szCs w:val="21"/>
              </w:rPr>
              <w:t>L1300</w:t>
            </w:r>
          </w:p>
        </w:tc>
        <w:tc>
          <w:tcPr>
            <w:tcW w:w="1275" w:type="dxa"/>
            <w:tcBorders>
              <w:tl2br w:val="nil"/>
              <w:tr2bl w:val="nil"/>
            </w:tcBorders>
            <w:vAlign w:val="center"/>
          </w:tcPr>
          <w:p w14:paraId="6202A905">
            <w:pPr>
              <w:adjustRightInd w:val="0"/>
              <w:snapToGrid w:val="0"/>
              <w:spacing w:line="240" w:lineRule="auto"/>
              <w:jc w:val="center"/>
              <w:rPr>
                <w:sz w:val="21"/>
                <w:szCs w:val="21"/>
              </w:rPr>
            </w:pPr>
            <w:r>
              <w:rPr>
                <w:sz w:val="21"/>
                <w:szCs w:val="21"/>
              </w:rPr>
              <w:t>8</w:t>
            </w:r>
            <w:r>
              <w:rPr>
                <w:rFonts w:hint="eastAsia"/>
                <w:sz w:val="21"/>
                <w:szCs w:val="21"/>
              </w:rPr>
              <w:t>台</w:t>
            </w:r>
          </w:p>
        </w:tc>
        <w:tc>
          <w:tcPr>
            <w:tcW w:w="993" w:type="dxa"/>
            <w:tcBorders>
              <w:tl2br w:val="nil"/>
              <w:tr2bl w:val="nil"/>
            </w:tcBorders>
            <w:vAlign w:val="center"/>
          </w:tcPr>
          <w:p w14:paraId="58624FAF">
            <w:pPr>
              <w:adjustRightInd w:val="0"/>
              <w:snapToGrid w:val="0"/>
              <w:spacing w:line="240" w:lineRule="auto"/>
              <w:jc w:val="center"/>
              <w:rPr>
                <w:sz w:val="21"/>
                <w:szCs w:val="21"/>
              </w:rPr>
            </w:pPr>
            <w:r>
              <w:rPr>
                <w:rFonts w:hint="eastAsia"/>
                <w:sz w:val="21"/>
                <w:szCs w:val="21"/>
              </w:rPr>
              <w:t>0</w:t>
            </w:r>
          </w:p>
        </w:tc>
        <w:tc>
          <w:tcPr>
            <w:tcW w:w="992" w:type="dxa"/>
            <w:tcBorders>
              <w:tl2br w:val="nil"/>
              <w:tr2bl w:val="nil"/>
            </w:tcBorders>
            <w:vAlign w:val="center"/>
          </w:tcPr>
          <w:p w14:paraId="749A45BC">
            <w:pPr>
              <w:adjustRightInd w:val="0"/>
              <w:snapToGrid w:val="0"/>
              <w:spacing w:line="240" w:lineRule="auto"/>
              <w:jc w:val="center"/>
              <w:rPr>
                <w:sz w:val="21"/>
                <w:szCs w:val="21"/>
              </w:rPr>
            </w:pPr>
            <w:r>
              <w:rPr>
                <w:rFonts w:hint="eastAsia"/>
                <w:sz w:val="21"/>
                <w:szCs w:val="21"/>
              </w:rPr>
              <w:t>8台</w:t>
            </w:r>
          </w:p>
        </w:tc>
        <w:tc>
          <w:tcPr>
            <w:tcW w:w="1326" w:type="dxa"/>
            <w:tcBorders>
              <w:tl2br w:val="nil"/>
              <w:tr2bl w:val="nil"/>
            </w:tcBorders>
            <w:vAlign w:val="center"/>
          </w:tcPr>
          <w:p w14:paraId="1B18C79D">
            <w:pPr>
              <w:adjustRightInd w:val="0"/>
              <w:snapToGrid w:val="0"/>
              <w:spacing w:line="240" w:lineRule="auto"/>
              <w:jc w:val="center"/>
              <w:rPr>
                <w:sz w:val="21"/>
                <w:szCs w:val="21"/>
              </w:rPr>
            </w:pPr>
            <w:r>
              <w:rPr>
                <w:rFonts w:hint="eastAsia"/>
                <w:sz w:val="21"/>
                <w:szCs w:val="21"/>
              </w:rPr>
              <w:t>利旧</w:t>
            </w:r>
          </w:p>
        </w:tc>
      </w:tr>
      <w:tr w14:paraId="45F594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150A8F45">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2BA0341F">
            <w:pPr>
              <w:adjustRightInd w:val="0"/>
              <w:snapToGrid w:val="0"/>
              <w:spacing w:line="240" w:lineRule="auto"/>
              <w:jc w:val="center"/>
              <w:rPr>
                <w:sz w:val="21"/>
                <w:szCs w:val="21"/>
              </w:rPr>
            </w:pPr>
          </w:p>
        </w:tc>
        <w:tc>
          <w:tcPr>
            <w:tcW w:w="1701" w:type="dxa"/>
            <w:gridSpan w:val="2"/>
            <w:tcBorders>
              <w:tl2br w:val="nil"/>
              <w:tr2bl w:val="nil"/>
            </w:tcBorders>
            <w:vAlign w:val="center"/>
          </w:tcPr>
          <w:p w14:paraId="445CA2E5">
            <w:pPr>
              <w:adjustRightInd w:val="0"/>
              <w:snapToGrid w:val="0"/>
              <w:spacing w:line="240" w:lineRule="auto"/>
              <w:jc w:val="center"/>
              <w:rPr>
                <w:sz w:val="21"/>
                <w:szCs w:val="21"/>
              </w:rPr>
            </w:pPr>
            <w:r>
              <w:rPr>
                <w:sz w:val="21"/>
                <w:szCs w:val="21"/>
              </w:rPr>
              <w:t>L1300</w:t>
            </w:r>
            <w:r>
              <w:rPr>
                <w:rFonts w:hint="eastAsia"/>
                <w:sz w:val="21"/>
                <w:szCs w:val="21"/>
              </w:rPr>
              <w:t>S</w:t>
            </w:r>
          </w:p>
        </w:tc>
        <w:tc>
          <w:tcPr>
            <w:tcW w:w="1275" w:type="dxa"/>
            <w:tcBorders>
              <w:tl2br w:val="nil"/>
              <w:tr2bl w:val="nil"/>
            </w:tcBorders>
            <w:vAlign w:val="center"/>
          </w:tcPr>
          <w:p w14:paraId="7F4ACF80">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2D06B5C4">
            <w:pPr>
              <w:adjustRightInd w:val="0"/>
              <w:snapToGrid w:val="0"/>
              <w:spacing w:line="240" w:lineRule="auto"/>
              <w:jc w:val="center"/>
              <w:rPr>
                <w:sz w:val="21"/>
                <w:szCs w:val="21"/>
              </w:rPr>
            </w:pPr>
            <w:r>
              <w:rPr>
                <w:rFonts w:hint="eastAsia"/>
                <w:sz w:val="21"/>
                <w:szCs w:val="21"/>
              </w:rPr>
              <w:t>+2台</w:t>
            </w:r>
          </w:p>
        </w:tc>
        <w:tc>
          <w:tcPr>
            <w:tcW w:w="992" w:type="dxa"/>
            <w:tcBorders>
              <w:tl2br w:val="nil"/>
              <w:tr2bl w:val="nil"/>
            </w:tcBorders>
            <w:vAlign w:val="center"/>
          </w:tcPr>
          <w:p w14:paraId="23D22A5B">
            <w:pPr>
              <w:adjustRightInd w:val="0"/>
              <w:snapToGrid w:val="0"/>
              <w:spacing w:line="240" w:lineRule="auto"/>
              <w:jc w:val="center"/>
              <w:rPr>
                <w:sz w:val="21"/>
                <w:szCs w:val="21"/>
              </w:rPr>
            </w:pPr>
            <w:r>
              <w:rPr>
                <w:rFonts w:hint="eastAsia"/>
                <w:sz w:val="21"/>
                <w:szCs w:val="21"/>
              </w:rPr>
              <w:t>2台</w:t>
            </w:r>
          </w:p>
        </w:tc>
        <w:tc>
          <w:tcPr>
            <w:tcW w:w="1326" w:type="dxa"/>
            <w:tcBorders>
              <w:tl2br w:val="nil"/>
              <w:tr2bl w:val="nil"/>
            </w:tcBorders>
            <w:vAlign w:val="center"/>
          </w:tcPr>
          <w:p w14:paraId="25B2E202">
            <w:pPr>
              <w:adjustRightInd w:val="0"/>
              <w:snapToGrid w:val="0"/>
              <w:spacing w:line="240" w:lineRule="auto"/>
              <w:jc w:val="center"/>
              <w:rPr>
                <w:sz w:val="21"/>
                <w:szCs w:val="21"/>
              </w:rPr>
            </w:pPr>
            <w:r>
              <w:rPr>
                <w:rFonts w:hint="eastAsia"/>
                <w:b/>
                <w:bCs/>
                <w:sz w:val="21"/>
                <w:szCs w:val="21"/>
              </w:rPr>
              <w:t>新增</w:t>
            </w:r>
          </w:p>
        </w:tc>
      </w:tr>
      <w:tr w14:paraId="4897AB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787BF6CC">
            <w:pPr>
              <w:adjustRightInd w:val="0"/>
              <w:snapToGrid w:val="0"/>
              <w:spacing w:line="240" w:lineRule="auto"/>
              <w:jc w:val="center"/>
              <w:rPr>
                <w:sz w:val="21"/>
                <w:szCs w:val="21"/>
              </w:rPr>
            </w:pPr>
          </w:p>
        </w:tc>
        <w:tc>
          <w:tcPr>
            <w:tcW w:w="1318" w:type="dxa"/>
            <w:gridSpan w:val="2"/>
            <w:vMerge w:val="restart"/>
            <w:tcBorders>
              <w:tl2br w:val="nil"/>
              <w:tr2bl w:val="nil"/>
            </w:tcBorders>
            <w:vAlign w:val="center"/>
          </w:tcPr>
          <w:p w14:paraId="1EFF3CCA">
            <w:pPr>
              <w:adjustRightInd w:val="0"/>
              <w:snapToGrid w:val="0"/>
              <w:spacing w:line="240" w:lineRule="auto"/>
              <w:jc w:val="center"/>
              <w:rPr>
                <w:sz w:val="21"/>
                <w:szCs w:val="21"/>
              </w:rPr>
            </w:pPr>
            <w:r>
              <w:rPr>
                <w:sz w:val="21"/>
                <w:szCs w:val="21"/>
              </w:rPr>
              <w:t>熟化室</w:t>
            </w:r>
          </w:p>
        </w:tc>
        <w:tc>
          <w:tcPr>
            <w:tcW w:w="1701" w:type="dxa"/>
            <w:gridSpan w:val="2"/>
            <w:tcBorders>
              <w:tl2br w:val="nil"/>
              <w:tr2bl w:val="nil"/>
            </w:tcBorders>
            <w:vAlign w:val="center"/>
          </w:tcPr>
          <w:p w14:paraId="2B877482">
            <w:pPr>
              <w:adjustRightInd w:val="0"/>
              <w:snapToGrid w:val="0"/>
              <w:spacing w:line="240" w:lineRule="auto"/>
              <w:jc w:val="center"/>
              <w:rPr>
                <w:sz w:val="21"/>
                <w:szCs w:val="21"/>
              </w:rPr>
            </w:pPr>
            <w:r>
              <w:rPr>
                <w:sz w:val="21"/>
                <w:szCs w:val="21"/>
              </w:rPr>
              <w:t>6米长移动箱式（6×1.56）</w:t>
            </w:r>
          </w:p>
        </w:tc>
        <w:tc>
          <w:tcPr>
            <w:tcW w:w="1275" w:type="dxa"/>
            <w:tcBorders>
              <w:tl2br w:val="nil"/>
              <w:tr2bl w:val="nil"/>
            </w:tcBorders>
            <w:vAlign w:val="center"/>
          </w:tcPr>
          <w:p w14:paraId="1EA3ECB0">
            <w:pPr>
              <w:adjustRightInd w:val="0"/>
              <w:snapToGrid w:val="0"/>
              <w:spacing w:line="240" w:lineRule="auto"/>
              <w:jc w:val="center"/>
              <w:rPr>
                <w:sz w:val="21"/>
                <w:szCs w:val="21"/>
              </w:rPr>
            </w:pPr>
            <w:r>
              <w:rPr>
                <w:sz w:val="21"/>
                <w:szCs w:val="21"/>
              </w:rPr>
              <w:t>4</w:t>
            </w:r>
            <w:r>
              <w:rPr>
                <w:rFonts w:hint="eastAsia"/>
                <w:sz w:val="21"/>
                <w:szCs w:val="21"/>
              </w:rPr>
              <w:t>间</w:t>
            </w:r>
          </w:p>
        </w:tc>
        <w:tc>
          <w:tcPr>
            <w:tcW w:w="993" w:type="dxa"/>
            <w:tcBorders>
              <w:tl2br w:val="nil"/>
              <w:tr2bl w:val="nil"/>
            </w:tcBorders>
            <w:vAlign w:val="center"/>
          </w:tcPr>
          <w:p w14:paraId="5F0266D9">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4BAB2C19">
            <w:pPr>
              <w:adjustRightInd w:val="0"/>
              <w:snapToGrid w:val="0"/>
              <w:spacing w:line="240" w:lineRule="auto"/>
              <w:jc w:val="center"/>
              <w:rPr>
                <w:sz w:val="21"/>
                <w:szCs w:val="21"/>
              </w:rPr>
            </w:pPr>
            <w:r>
              <w:rPr>
                <w:sz w:val="21"/>
                <w:szCs w:val="21"/>
              </w:rPr>
              <w:t>4</w:t>
            </w:r>
            <w:r>
              <w:rPr>
                <w:rFonts w:hint="eastAsia"/>
                <w:sz w:val="21"/>
                <w:szCs w:val="21"/>
              </w:rPr>
              <w:t>间</w:t>
            </w:r>
          </w:p>
        </w:tc>
        <w:tc>
          <w:tcPr>
            <w:tcW w:w="1326" w:type="dxa"/>
            <w:tcBorders>
              <w:tl2br w:val="nil"/>
              <w:tr2bl w:val="nil"/>
            </w:tcBorders>
            <w:vAlign w:val="center"/>
          </w:tcPr>
          <w:p w14:paraId="7F15BFC3">
            <w:pPr>
              <w:adjustRightInd w:val="0"/>
              <w:snapToGrid w:val="0"/>
              <w:spacing w:line="240" w:lineRule="auto"/>
              <w:jc w:val="center"/>
              <w:rPr>
                <w:sz w:val="21"/>
                <w:szCs w:val="21"/>
              </w:rPr>
            </w:pPr>
            <w:r>
              <w:rPr>
                <w:rFonts w:hint="eastAsia"/>
                <w:sz w:val="21"/>
                <w:szCs w:val="21"/>
              </w:rPr>
              <w:t>利旧</w:t>
            </w:r>
          </w:p>
        </w:tc>
      </w:tr>
      <w:tr w14:paraId="5572BF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01821EAD">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21D6C06A">
            <w:pPr>
              <w:adjustRightInd w:val="0"/>
              <w:snapToGrid w:val="0"/>
              <w:spacing w:line="240" w:lineRule="auto"/>
              <w:jc w:val="center"/>
              <w:rPr>
                <w:sz w:val="21"/>
                <w:szCs w:val="21"/>
              </w:rPr>
            </w:pPr>
          </w:p>
        </w:tc>
        <w:tc>
          <w:tcPr>
            <w:tcW w:w="1701" w:type="dxa"/>
            <w:gridSpan w:val="2"/>
            <w:tcBorders>
              <w:tl2br w:val="nil"/>
              <w:tr2bl w:val="nil"/>
            </w:tcBorders>
            <w:vAlign w:val="center"/>
          </w:tcPr>
          <w:p w14:paraId="28B2A0C3">
            <w:pPr>
              <w:adjustRightInd w:val="0"/>
              <w:snapToGrid w:val="0"/>
              <w:spacing w:line="240" w:lineRule="auto"/>
              <w:jc w:val="center"/>
              <w:rPr>
                <w:sz w:val="21"/>
                <w:szCs w:val="21"/>
              </w:rPr>
            </w:pPr>
            <w:r>
              <w:rPr>
                <w:sz w:val="21"/>
                <w:szCs w:val="21"/>
              </w:rPr>
              <w:t>10米长移动箱式（10×1.66）</w:t>
            </w:r>
          </w:p>
        </w:tc>
        <w:tc>
          <w:tcPr>
            <w:tcW w:w="1275" w:type="dxa"/>
            <w:tcBorders>
              <w:tl2br w:val="nil"/>
              <w:tr2bl w:val="nil"/>
            </w:tcBorders>
            <w:vAlign w:val="center"/>
          </w:tcPr>
          <w:p w14:paraId="216C4C4B">
            <w:pPr>
              <w:adjustRightInd w:val="0"/>
              <w:snapToGrid w:val="0"/>
              <w:spacing w:line="240" w:lineRule="auto"/>
              <w:jc w:val="center"/>
              <w:rPr>
                <w:sz w:val="21"/>
                <w:szCs w:val="21"/>
              </w:rPr>
            </w:pPr>
            <w:r>
              <w:rPr>
                <w:sz w:val="21"/>
                <w:szCs w:val="21"/>
              </w:rPr>
              <w:t>16</w:t>
            </w:r>
            <w:r>
              <w:rPr>
                <w:rFonts w:hint="eastAsia"/>
                <w:sz w:val="21"/>
                <w:szCs w:val="21"/>
              </w:rPr>
              <w:t>间</w:t>
            </w:r>
          </w:p>
        </w:tc>
        <w:tc>
          <w:tcPr>
            <w:tcW w:w="993" w:type="dxa"/>
            <w:tcBorders>
              <w:tl2br w:val="nil"/>
              <w:tr2bl w:val="nil"/>
            </w:tcBorders>
            <w:vAlign w:val="center"/>
          </w:tcPr>
          <w:p w14:paraId="5B76EB1C">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6A34312D">
            <w:pPr>
              <w:adjustRightInd w:val="0"/>
              <w:snapToGrid w:val="0"/>
              <w:spacing w:line="240" w:lineRule="auto"/>
              <w:jc w:val="center"/>
              <w:rPr>
                <w:sz w:val="21"/>
                <w:szCs w:val="21"/>
              </w:rPr>
            </w:pPr>
            <w:r>
              <w:rPr>
                <w:sz w:val="21"/>
                <w:szCs w:val="21"/>
              </w:rPr>
              <w:t>16</w:t>
            </w:r>
            <w:r>
              <w:rPr>
                <w:rFonts w:hint="eastAsia"/>
                <w:sz w:val="21"/>
                <w:szCs w:val="21"/>
              </w:rPr>
              <w:t>间</w:t>
            </w:r>
          </w:p>
        </w:tc>
        <w:tc>
          <w:tcPr>
            <w:tcW w:w="1326" w:type="dxa"/>
            <w:tcBorders>
              <w:tl2br w:val="nil"/>
              <w:tr2bl w:val="nil"/>
            </w:tcBorders>
            <w:vAlign w:val="center"/>
          </w:tcPr>
          <w:p w14:paraId="01B21802">
            <w:pPr>
              <w:adjustRightInd w:val="0"/>
              <w:snapToGrid w:val="0"/>
              <w:spacing w:line="240" w:lineRule="auto"/>
              <w:jc w:val="center"/>
              <w:rPr>
                <w:sz w:val="21"/>
                <w:szCs w:val="21"/>
              </w:rPr>
            </w:pPr>
            <w:r>
              <w:rPr>
                <w:rFonts w:hint="eastAsia"/>
                <w:sz w:val="21"/>
                <w:szCs w:val="21"/>
              </w:rPr>
              <w:t>利旧</w:t>
            </w:r>
          </w:p>
        </w:tc>
      </w:tr>
      <w:tr w14:paraId="3758C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027ECBD">
            <w:pPr>
              <w:adjustRightInd w:val="0"/>
              <w:snapToGrid w:val="0"/>
              <w:spacing w:line="240" w:lineRule="auto"/>
              <w:jc w:val="center"/>
              <w:rPr>
                <w:sz w:val="21"/>
                <w:szCs w:val="21"/>
              </w:rPr>
            </w:pPr>
          </w:p>
        </w:tc>
        <w:tc>
          <w:tcPr>
            <w:tcW w:w="1318" w:type="dxa"/>
            <w:gridSpan w:val="2"/>
            <w:vMerge w:val="continue"/>
            <w:tcBorders>
              <w:tl2br w:val="nil"/>
              <w:tr2bl w:val="nil"/>
            </w:tcBorders>
            <w:vAlign w:val="center"/>
          </w:tcPr>
          <w:p w14:paraId="003594E7">
            <w:pPr>
              <w:adjustRightInd w:val="0"/>
              <w:snapToGrid w:val="0"/>
              <w:spacing w:line="240" w:lineRule="auto"/>
              <w:jc w:val="center"/>
              <w:rPr>
                <w:sz w:val="21"/>
                <w:szCs w:val="21"/>
              </w:rPr>
            </w:pPr>
          </w:p>
        </w:tc>
        <w:tc>
          <w:tcPr>
            <w:tcW w:w="1701" w:type="dxa"/>
            <w:gridSpan w:val="2"/>
            <w:tcBorders>
              <w:tl2br w:val="nil"/>
              <w:tr2bl w:val="nil"/>
            </w:tcBorders>
            <w:vAlign w:val="center"/>
          </w:tcPr>
          <w:p w14:paraId="292555C3">
            <w:pPr>
              <w:adjustRightInd w:val="0"/>
              <w:snapToGrid w:val="0"/>
              <w:spacing w:line="240" w:lineRule="auto"/>
              <w:jc w:val="center"/>
              <w:rPr>
                <w:sz w:val="21"/>
                <w:szCs w:val="21"/>
              </w:rPr>
            </w:pPr>
            <w:r>
              <w:rPr>
                <w:sz w:val="21"/>
                <w:szCs w:val="21"/>
              </w:rPr>
              <w:t>8米长移动箱式（8×1.66）</w:t>
            </w:r>
          </w:p>
        </w:tc>
        <w:tc>
          <w:tcPr>
            <w:tcW w:w="1275" w:type="dxa"/>
            <w:tcBorders>
              <w:tl2br w:val="nil"/>
              <w:tr2bl w:val="nil"/>
            </w:tcBorders>
            <w:vAlign w:val="center"/>
          </w:tcPr>
          <w:p w14:paraId="3154FBD9">
            <w:pPr>
              <w:adjustRightInd w:val="0"/>
              <w:snapToGrid w:val="0"/>
              <w:spacing w:line="240" w:lineRule="auto"/>
              <w:jc w:val="center"/>
              <w:rPr>
                <w:sz w:val="21"/>
                <w:szCs w:val="21"/>
              </w:rPr>
            </w:pPr>
            <w:r>
              <w:rPr>
                <w:sz w:val="21"/>
                <w:szCs w:val="21"/>
              </w:rPr>
              <w:t>/</w:t>
            </w:r>
          </w:p>
        </w:tc>
        <w:tc>
          <w:tcPr>
            <w:tcW w:w="993" w:type="dxa"/>
            <w:tcBorders>
              <w:tl2br w:val="nil"/>
              <w:tr2bl w:val="nil"/>
            </w:tcBorders>
            <w:vAlign w:val="center"/>
          </w:tcPr>
          <w:p w14:paraId="7BCF9962">
            <w:pPr>
              <w:adjustRightInd w:val="0"/>
              <w:snapToGrid w:val="0"/>
              <w:spacing w:line="240" w:lineRule="auto"/>
              <w:jc w:val="center"/>
              <w:rPr>
                <w:sz w:val="21"/>
                <w:szCs w:val="21"/>
              </w:rPr>
            </w:pPr>
            <w:r>
              <w:rPr>
                <w:rFonts w:hint="eastAsia"/>
                <w:sz w:val="21"/>
                <w:szCs w:val="21"/>
              </w:rPr>
              <w:t>+</w:t>
            </w:r>
            <w:r>
              <w:rPr>
                <w:sz w:val="21"/>
                <w:szCs w:val="21"/>
              </w:rPr>
              <w:t>6</w:t>
            </w:r>
            <w:r>
              <w:rPr>
                <w:rFonts w:hint="eastAsia"/>
                <w:sz w:val="21"/>
                <w:szCs w:val="21"/>
              </w:rPr>
              <w:t>间</w:t>
            </w:r>
          </w:p>
        </w:tc>
        <w:tc>
          <w:tcPr>
            <w:tcW w:w="992" w:type="dxa"/>
            <w:tcBorders>
              <w:tl2br w:val="nil"/>
              <w:tr2bl w:val="nil"/>
            </w:tcBorders>
            <w:vAlign w:val="center"/>
          </w:tcPr>
          <w:p w14:paraId="007B5297">
            <w:pPr>
              <w:adjustRightInd w:val="0"/>
              <w:snapToGrid w:val="0"/>
              <w:spacing w:line="240" w:lineRule="auto"/>
              <w:jc w:val="center"/>
              <w:rPr>
                <w:sz w:val="21"/>
                <w:szCs w:val="21"/>
              </w:rPr>
            </w:pPr>
            <w:r>
              <w:rPr>
                <w:sz w:val="21"/>
                <w:szCs w:val="21"/>
              </w:rPr>
              <w:t>6</w:t>
            </w:r>
            <w:r>
              <w:rPr>
                <w:rFonts w:hint="eastAsia"/>
                <w:sz w:val="21"/>
                <w:szCs w:val="21"/>
              </w:rPr>
              <w:t>间</w:t>
            </w:r>
          </w:p>
        </w:tc>
        <w:tc>
          <w:tcPr>
            <w:tcW w:w="1326" w:type="dxa"/>
            <w:tcBorders>
              <w:tl2br w:val="nil"/>
              <w:tr2bl w:val="nil"/>
            </w:tcBorders>
            <w:vAlign w:val="center"/>
          </w:tcPr>
          <w:p w14:paraId="164C59DF">
            <w:pPr>
              <w:adjustRightInd w:val="0"/>
              <w:snapToGrid w:val="0"/>
              <w:spacing w:line="240" w:lineRule="auto"/>
              <w:jc w:val="center"/>
              <w:rPr>
                <w:b/>
                <w:bCs/>
                <w:sz w:val="21"/>
                <w:szCs w:val="21"/>
              </w:rPr>
            </w:pPr>
            <w:r>
              <w:rPr>
                <w:rFonts w:hint="eastAsia"/>
                <w:b/>
                <w:bCs/>
                <w:sz w:val="21"/>
                <w:szCs w:val="21"/>
              </w:rPr>
              <w:t>新增</w:t>
            </w:r>
          </w:p>
        </w:tc>
      </w:tr>
      <w:tr w14:paraId="3407B0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77F4BC08">
            <w:pPr>
              <w:adjustRightInd w:val="0"/>
              <w:snapToGrid w:val="0"/>
              <w:spacing w:line="240" w:lineRule="auto"/>
              <w:jc w:val="center"/>
              <w:rPr>
                <w:sz w:val="21"/>
                <w:szCs w:val="21"/>
              </w:rPr>
            </w:pPr>
          </w:p>
        </w:tc>
        <w:tc>
          <w:tcPr>
            <w:tcW w:w="1318" w:type="dxa"/>
            <w:gridSpan w:val="2"/>
            <w:tcBorders>
              <w:tl2br w:val="nil"/>
              <w:tr2bl w:val="nil"/>
            </w:tcBorders>
            <w:vAlign w:val="center"/>
          </w:tcPr>
          <w:p w14:paraId="492E32E0">
            <w:pPr>
              <w:adjustRightInd w:val="0"/>
              <w:snapToGrid w:val="0"/>
              <w:spacing w:line="240" w:lineRule="auto"/>
              <w:jc w:val="center"/>
              <w:rPr>
                <w:sz w:val="21"/>
                <w:szCs w:val="21"/>
              </w:rPr>
            </w:pPr>
            <w:r>
              <w:rPr>
                <w:sz w:val="21"/>
                <w:szCs w:val="21"/>
              </w:rPr>
              <w:t>烫金机</w:t>
            </w:r>
          </w:p>
        </w:tc>
        <w:tc>
          <w:tcPr>
            <w:tcW w:w="1701" w:type="dxa"/>
            <w:gridSpan w:val="2"/>
            <w:tcBorders>
              <w:tl2br w:val="nil"/>
              <w:tr2bl w:val="nil"/>
            </w:tcBorders>
            <w:vAlign w:val="center"/>
          </w:tcPr>
          <w:p w14:paraId="1C246A36">
            <w:pPr>
              <w:adjustRightInd w:val="0"/>
              <w:snapToGrid w:val="0"/>
              <w:spacing w:line="240" w:lineRule="auto"/>
              <w:jc w:val="center"/>
              <w:rPr>
                <w:sz w:val="21"/>
                <w:szCs w:val="21"/>
              </w:rPr>
            </w:pPr>
            <w:r>
              <w:rPr>
                <w:sz w:val="21"/>
                <w:szCs w:val="21"/>
              </w:rPr>
              <w:t>/</w:t>
            </w:r>
          </w:p>
        </w:tc>
        <w:tc>
          <w:tcPr>
            <w:tcW w:w="1275" w:type="dxa"/>
            <w:tcBorders>
              <w:tl2br w:val="nil"/>
              <w:tr2bl w:val="nil"/>
            </w:tcBorders>
            <w:vAlign w:val="center"/>
          </w:tcPr>
          <w:p w14:paraId="368AF08F">
            <w:pPr>
              <w:adjustRightInd w:val="0"/>
              <w:snapToGrid w:val="0"/>
              <w:spacing w:line="240" w:lineRule="auto"/>
              <w:jc w:val="center"/>
              <w:rPr>
                <w:sz w:val="21"/>
                <w:szCs w:val="21"/>
              </w:rPr>
            </w:pPr>
            <w:r>
              <w:rPr>
                <w:sz w:val="21"/>
                <w:szCs w:val="21"/>
              </w:rPr>
              <w:t>0</w:t>
            </w:r>
          </w:p>
        </w:tc>
        <w:tc>
          <w:tcPr>
            <w:tcW w:w="993" w:type="dxa"/>
            <w:tcBorders>
              <w:tl2br w:val="nil"/>
              <w:tr2bl w:val="nil"/>
            </w:tcBorders>
            <w:vAlign w:val="center"/>
          </w:tcPr>
          <w:p w14:paraId="4FA7877D">
            <w:pPr>
              <w:adjustRightInd w:val="0"/>
              <w:snapToGrid w:val="0"/>
              <w:spacing w:line="240" w:lineRule="auto"/>
              <w:jc w:val="center"/>
              <w:rPr>
                <w:sz w:val="21"/>
                <w:szCs w:val="21"/>
              </w:rPr>
            </w:pPr>
            <w:r>
              <w:rPr>
                <w:rFonts w:hint="eastAsia"/>
                <w:sz w:val="21"/>
                <w:szCs w:val="21"/>
              </w:rPr>
              <w:t>+</w:t>
            </w:r>
            <w:r>
              <w:rPr>
                <w:sz w:val="21"/>
                <w:szCs w:val="21"/>
              </w:rPr>
              <w:t>14</w:t>
            </w:r>
            <w:r>
              <w:rPr>
                <w:rFonts w:hint="eastAsia"/>
                <w:sz w:val="21"/>
                <w:szCs w:val="21"/>
              </w:rPr>
              <w:t>台</w:t>
            </w:r>
          </w:p>
        </w:tc>
        <w:tc>
          <w:tcPr>
            <w:tcW w:w="992" w:type="dxa"/>
            <w:tcBorders>
              <w:tl2br w:val="nil"/>
              <w:tr2bl w:val="nil"/>
            </w:tcBorders>
            <w:vAlign w:val="center"/>
          </w:tcPr>
          <w:p w14:paraId="2AF3E670">
            <w:pPr>
              <w:adjustRightInd w:val="0"/>
              <w:snapToGrid w:val="0"/>
              <w:spacing w:line="240" w:lineRule="auto"/>
              <w:jc w:val="center"/>
              <w:rPr>
                <w:sz w:val="21"/>
                <w:szCs w:val="21"/>
              </w:rPr>
            </w:pPr>
            <w:r>
              <w:rPr>
                <w:sz w:val="21"/>
                <w:szCs w:val="21"/>
              </w:rPr>
              <w:t>14</w:t>
            </w:r>
            <w:r>
              <w:rPr>
                <w:rFonts w:hint="eastAsia"/>
                <w:sz w:val="21"/>
                <w:szCs w:val="21"/>
              </w:rPr>
              <w:t>台</w:t>
            </w:r>
          </w:p>
        </w:tc>
        <w:tc>
          <w:tcPr>
            <w:tcW w:w="1326" w:type="dxa"/>
            <w:tcBorders>
              <w:tl2br w:val="nil"/>
              <w:tr2bl w:val="nil"/>
            </w:tcBorders>
            <w:vAlign w:val="center"/>
          </w:tcPr>
          <w:p w14:paraId="6888EB23">
            <w:pPr>
              <w:adjustRightInd w:val="0"/>
              <w:snapToGrid w:val="0"/>
              <w:spacing w:line="240" w:lineRule="auto"/>
              <w:jc w:val="center"/>
              <w:rPr>
                <w:b/>
                <w:bCs/>
                <w:sz w:val="21"/>
                <w:szCs w:val="21"/>
              </w:rPr>
            </w:pPr>
            <w:r>
              <w:rPr>
                <w:rFonts w:hint="eastAsia"/>
                <w:b/>
                <w:bCs/>
                <w:sz w:val="21"/>
                <w:szCs w:val="21"/>
              </w:rPr>
              <w:t>新增</w:t>
            </w:r>
          </w:p>
        </w:tc>
      </w:tr>
      <w:tr w14:paraId="2E9056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315A545">
            <w:pPr>
              <w:adjustRightInd w:val="0"/>
              <w:snapToGrid w:val="0"/>
              <w:spacing w:line="240" w:lineRule="auto"/>
              <w:jc w:val="center"/>
              <w:rPr>
                <w:sz w:val="21"/>
                <w:szCs w:val="21"/>
              </w:rPr>
            </w:pPr>
          </w:p>
        </w:tc>
        <w:tc>
          <w:tcPr>
            <w:tcW w:w="1318" w:type="dxa"/>
            <w:gridSpan w:val="2"/>
            <w:tcBorders>
              <w:tl2br w:val="nil"/>
              <w:tr2bl w:val="nil"/>
            </w:tcBorders>
            <w:vAlign w:val="center"/>
          </w:tcPr>
          <w:p w14:paraId="544E18B0">
            <w:pPr>
              <w:adjustRightInd w:val="0"/>
              <w:snapToGrid w:val="0"/>
              <w:spacing w:line="240" w:lineRule="auto"/>
              <w:jc w:val="center"/>
              <w:rPr>
                <w:sz w:val="21"/>
                <w:szCs w:val="21"/>
              </w:rPr>
            </w:pPr>
            <w:r>
              <w:rPr>
                <w:sz w:val="21"/>
                <w:szCs w:val="21"/>
              </w:rPr>
              <w:t>制袋机</w:t>
            </w:r>
          </w:p>
        </w:tc>
        <w:tc>
          <w:tcPr>
            <w:tcW w:w="1701" w:type="dxa"/>
            <w:gridSpan w:val="2"/>
            <w:tcBorders>
              <w:tl2br w:val="nil"/>
              <w:tr2bl w:val="nil"/>
            </w:tcBorders>
            <w:vAlign w:val="center"/>
          </w:tcPr>
          <w:p w14:paraId="43F416A7">
            <w:pPr>
              <w:adjustRightInd w:val="0"/>
              <w:snapToGrid w:val="0"/>
              <w:spacing w:line="240" w:lineRule="auto"/>
              <w:jc w:val="center"/>
              <w:rPr>
                <w:sz w:val="21"/>
                <w:szCs w:val="21"/>
              </w:rPr>
            </w:pPr>
            <w:r>
              <w:rPr>
                <w:sz w:val="21"/>
                <w:szCs w:val="21"/>
              </w:rPr>
              <w:t>FSD-420Ⅲ、WZD-600、FSD-600Ⅲ、WSD-450、SFZZ-500、WSD-600B.WSD-460、SFZZ-400、JDM450-Z、SFZZ-500FSD-600Ⅲ</w:t>
            </w:r>
          </w:p>
        </w:tc>
        <w:tc>
          <w:tcPr>
            <w:tcW w:w="1275" w:type="dxa"/>
            <w:tcBorders>
              <w:tl2br w:val="nil"/>
              <w:tr2bl w:val="nil"/>
            </w:tcBorders>
            <w:vAlign w:val="center"/>
          </w:tcPr>
          <w:p w14:paraId="488F657B">
            <w:pPr>
              <w:adjustRightInd w:val="0"/>
              <w:snapToGrid w:val="0"/>
              <w:spacing w:line="240" w:lineRule="auto"/>
              <w:jc w:val="center"/>
              <w:rPr>
                <w:sz w:val="21"/>
                <w:szCs w:val="21"/>
              </w:rPr>
            </w:pPr>
            <w:r>
              <w:rPr>
                <w:sz w:val="21"/>
                <w:szCs w:val="21"/>
              </w:rPr>
              <w:t>65</w:t>
            </w:r>
            <w:r>
              <w:rPr>
                <w:rFonts w:hint="eastAsia"/>
                <w:sz w:val="21"/>
                <w:szCs w:val="21"/>
              </w:rPr>
              <w:t>台</w:t>
            </w:r>
          </w:p>
        </w:tc>
        <w:tc>
          <w:tcPr>
            <w:tcW w:w="993" w:type="dxa"/>
            <w:tcBorders>
              <w:tl2br w:val="nil"/>
              <w:tr2bl w:val="nil"/>
            </w:tcBorders>
            <w:vAlign w:val="center"/>
          </w:tcPr>
          <w:p w14:paraId="2433E663">
            <w:pPr>
              <w:adjustRightInd w:val="0"/>
              <w:snapToGrid w:val="0"/>
              <w:spacing w:line="240" w:lineRule="auto"/>
              <w:jc w:val="center"/>
              <w:rPr>
                <w:sz w:val="21"/>
                <w:szCs w:val="21"/>
              </w:rPr>
            </w:pPr>
            <w:r>
              <w:rPr>
                <w:rFonts w:hint="eastAsia"/>
                <w:sz w:val="21"/>
                <w:szCs w:val="21"/>
              </w:rPr>
              <w:t>+</w:t>
            </w:r>
            <w:r>
              <w:rPr>
                <w:sz w:val="21"/>
                <w:szCs w:val="21"/>
              </w:rPr>
              <w:t>5</w:t>
            </w:r>
            <w:r>
              <w:rPr>
                <w:rFonts w:hint="eastAsia"/>
                <w:sz w:val="21"/>
                <w:szCs w:val="21"/>
              </w:rPr>
              <w:t>台</w:t>
            </w:r>
          </w:p>
        </w:tc>
        <w:tc>
          <w:tcPr>
            <w:tcW w:w="992" w:type="dxa"/>
            <w:tcBorders>
              <w:tl2br w:val="nil"/>
              <w:tr2bl w:val="nil"/>
            </w:tcBorders>
            <w:vAlign w:val="center"/>
          </w:tcPr>
          <w:p w14:paraId="05A39C1C">
            <w:pPr>
              <w:adjustRightInd w:val="0"/>
              <w:snapToGrid w:val="0"/>
              <w:spacing w:line="240" w:lineRule="auto"/>
              <w:jc w:val="center"/>
              <w:rPr>
                <w:sz w:val="21"/>
                <w:szCs w:val="21"/>
              </w:rPr>
            </w:pPr>
            <w:r>
              <w:rPr>
                <w:sz w:val="21"/>
                <w:szCs w:val="21"/>
              </w:rPr>
              <w:t>70</w:t>
            </w:r>
            <w:r>
              <w:rPr>
                <w:rFonts w:hint="eastAsia"/>
                <w:sz w:val="21"/>
                <w:szCs w:val="21"/>
              </w:rPr>
              <w:t>台</w:t>
            </w:r>
          </w:p>
        </w:tc>
        <w:tc>
          <w:tcPr>
            <w:tcW w:w="1326" w:type="dxa"/>
            <w:tcBorders>
              <w:tl2br w:val="nil"/>
              <w:tr2bl w:val="nil"/>
            </w:tcBorders>
            <w:vAlign w:val="center"/>
          </w:tcPr>
          <w:p w14:paraId="6BB36169">
            <w:pPr>
              <w:adjustRightInd w:val="0"/>
              <w:snapToGrid w:val="0"/>
              <w:spacing w:line="240" w:lineRule="auto"/>
              <w:jc w:val="center"/>
              <w:rPr>
                <w:sz w:val="21"/>
                <w:szCs w:val="21"/>
              </w:rPr>
            </w:pPr>
            <w:r>
              <w:rPr>
                <w:rFonts w:hint="eastAsia"/>
                <w:sz w:val="21"/>
                <w:szCs w:val="21"/>
              </w:rPr>
              <w:t>利旧</w:t>
            </w:r>
            <w:r>
              <w:rPr>
                <w:rFonts w:hint="eastAsia"/>
                <w:b/>
                <w:bCs/>
                <w:sz w:val="21"/>
                <w:szCs w:val="21"/>
              </w:rPr>
              <w:t>新增</w:t>
            </w:r>
          </w:p>
        </w:tc>
      </w:tr>
      <w:tr w14:paraId="10DEF0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D287FB4">
            <w:pPr>
              <w:adjustRightInd w:val="0"/>
              <w:snapToGrid w:val="0"/>
              <w:spacing w:line="240" w:lineRule="auto"/>
              <w:jc w:val="center"/>
              <w:rPr>
                <w:sz w:val="21"/>
                <w:szCs w:val="21"/>
              </w:rPr>
            </w:pPr>
          </w:p>
        </w:tc>
        <w:tc>
          <w:tcPr>
            <w:tcW w:w="1318" w:type="dxa"/>
            <w:gridSpan w:val="2"/>
            <w:tcBorders>
              <w:tl2br w:val="nil"/>
              <w:tr2bl w:val="nil"/>
            </w:tcBorders>
            <w:vAlign w:val="center"/>
          </w:tcPr>
          <w:p w14:paraId="24253948">
            <w:pPr>
              <w:adjustRightInd w:val="0"/>
              <w:snapToGrid w:val="0"/>
              <w:spacing w:line="240" w:lineRule="auto"/>
              <w:jc w:val="center"/>
              <w:rPr>
                <w:sz w:val="21"/>
                <w:szCs w:val="21"/>
              </w:rPr>
            </w:pPr>
            <w:r>
              <w:rPr>
                <w:sz w:val="21"/>
                <w:szCs w:val="21"/>
              </w:rPr>
              <w:t>分切机</w:t>
            </w:r>
          </w:p>
        </w:tc>
        <w:tc>
          <w:tcPr>
            <w:tcW w:w="1701" w:type="dxa"/>
            <w:gridSpan w:val="2"/>
            <w:tcBorders>
              <w:tl2br w:val="nil"/>
              <w:tr2bl w:val="nil"/>
            </w:tcBorders>
            <w:vAlign w:val="center"/>
          </w:tcPr>
          <w:p w14:paraId="6B195AC6">
            <w:pPr>
              <w:adjustRightInd w:val="0"/>
              <w:snapToGrid w:val="0"/>
              <w:spacing w:line="240" w:lineRule="auto"/>
              <w:jc w:val="center"/>
              <w:rPr>
                <w:sz w:val="21"/>
                <w:szCs w:val="21"/>
              </w:rPr>
            </w:pPr>
            <w:r>
              <w:rPr>
                <w:sz w:val="21"/>
                <w:szCs w:val="21"/>
              </w:rPr>
              <w:t>FSL-VL1300、HTHS1300CZ</w:t>
            </w:r>
          </w:p>
        </w:tc>
        <w:tc>
          <w:tcPr>
            <w:tcW w:w="1275" w:type="dxa"/>
            <w:tcBorders>
              <w:tl2br w:val="nil"/>
              <w:tr2bl w:val="nil"/>
            </w:tcBorders>
            <w:vAlign w:val="center"/>
          </w:tcPr>
          <w:p w14:paraId="25BE17DD">
            <w:pPr>
              <w:adjustRightInd w:val="0"/>
              <w:snapToGrid w:val="0"/>
              <w:spacing w:line="240" w:lineRule="auto"/>
              <w:jc w:val="center"/>
              <w:rPr>
                <w:sz w:val="21"/>
                <w:szCs w:val="21"/>
              </w:rPr>
            </w:pPr>
            <w:r>
              <w:rPr>
                <w:sz w:val="21"/>
                <w:szCs w:val="21"/>
              </w:rPr>
              <w:t>15</w:t>
            </w:r>
            <w:r>
              <w:rPr>
                <w:rFonts w:hint="eastAsia"/>
                <w:sz w:val="21"/>
                <w:szCs w:val="21"/>
              </w:rPr>
              <w:t>台</w:t>
            </w:r>
          </w:p>
        </w:tc>
        <w:tc>
          <w:tcPr>
            <w:tcW w:w="993" w:type="dxa"/>
            <w:tcBorders>
              <w:tl2br w:val="nil"/>
              <w:tr2bl w:val="nil"/>
            </w:tcBorders>
            <w:vAlign w:val="center"/>
          </w:tcPr>
          <w:p w14:paraId="5AA568B8">
            <w:pPr>
              <w:adjustRightInd w:val="0"/>
              <w:snapToGrid w:val="0"/>
              <w:spacing w:line="240" w:lineRule="auto"/>
              <w:jc w:val="center"/>
              <w:rPr>
                <w:sz w:val="21"/>
                <w:szCs w:val="21"/>
              </w:rPr>
            </w:pPr>
            <w:r>
              <w:rPr>
                <w:rFonts w:hint="eastAsia"/>
                <w:sz w:val="21"/>
                <w:szCs w:val="21"/>
              </w:rPr>
              <w:t>+5台</w:t>
            </w:r>
          </w:p>
        </w:tc>
        <w:tc>
          <w:tcPr>
            <w:tcW w:w="992" w:type="dxa"/>
            <w:tcBorders>
              <w:tl2br w:val="nil"/>
              <w:tr2bl w:val="nil"/>
            </w:tcBorders>
            <w:vAlign w:val="center"/>
          </w:tcPr>
          <w:p w14:paraId="105E3B9D">
            <w:pPr>
              <w:adjustRightInd w:val="0"/>
              <w:snapToGrid w:val="0"/>
              <w:spacing w:line="240" w:lineRule="auto"/>
              <w:jc w:val="center"/>
              <w:rPr>
                <w:sz w:val="21"/>
                <w:szCs w:val="21"/>
              </w:rPr>
            </w:pPr>
            <w:r>
              <w:rPr>
                <w:rFonts w:hint="eastAsia"/>
                <w:sz w:val="21"/>
                <w:szCs w:val="21"/>
              </w:rPr>
              <w:t>20台</w:t>
            </w:r>
          </w:p>
        </w:tc>
        <w:tc>
          <w:tcPr>
            <w:tcW w:w="1326" w:type="dxa"/>
            <w:tcBorders>
              <w:tl2br w:val="nil"/>
              <w:tr2bl w:val="nil"/>
            </w:tcBorders>
            <w:vAlign w:val="center"/>
          </w:tcPr>
          <w:p w14:paraId="6504B8AE">
            <w:pPr>
              <w:adjustRightInd w:val="0"/>
              <w:snapToGrid w:val="0"/>
              <w:spacing w:line="240" w:lineRule="auto"/>
              <w:jc w:val="center"/>
              <w:rPr>
                <w:sz w:val="21"/>
                <w:szCs w:val="21"/>
              </w:rPr>
            </w:pPr>
            <w:r>
              <w:rPr>
                <w:rFonts w:hint="eastAsia"/>
                <w:sz w:val="21"/>
                <w:szCs w:val="21"/>
              </w:rPr>
              <w:t>利旧新增</w:t>
            </w:r>
          </w:p>
        </w:tc>
      </w:tr>
      <w:tr w14:paraId="7E084F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00A0342">
            <w:pPr>
              <w:adjustRightInd w:val="0"/>
              <w:snapToGrid w:val="0"/>
              <w:spacing w:line="240" w:lineRule="auto"/>
              <w:jc w:val="center"/>
              <w:rPr>
                <w:sz w:val="21"/>
                <w:szCs w:val="21"/>
              </w:rPr>
            </w:pPr>
          </w:p>
        </w:tc>
        <w:tc>
          <w:tcPr>
            <w:tcW w:w="1318" w:type="dxa"/>
            <w:gridSpan w:val="2"/>
            <w:tcBorders>
              <w:tl2br w:val="nil"/>
              <w:tr2bl w:val="nil"/>
            </w:tcBorders>
            <w:vAlign w:val="center"/>
          </w:tcPr>
          <w:p w14:paraId="4C34FB33">
            <w:pPr>
              <w:adjustRightInd w:val="0"/>
              <w:snapToGrid w:val="0"/>
              <w:spacing w:line="240" w:lineRule="auto"/>
              <w:jc w:val="center"/>
              <w:rPr>
                <w:sz w:val="21"/>
                <w:szCs w:val="21"/>
              </w:rPr>
            </w:pPr>
            <w:r>
              <w:rPr>
                <w:sz w:val="21"/>
                <w:szCs w:val="21"/>
              </w:rPr>
              <w:t>配墨系统</w:t>
            </w:r>
          </w:p>
        </w:tc>
        <w:tc>
          <w:tcPr>
            <w:tcW w:w="1701" w:type="dxa"/>
            <w:gridSpan w:val="2"/>
            <w:tcBorders>
              <w:tl2br w:val="nil"/>
              <w:tr2bl w:val="nil"/>
            </w:tcBorders>
            <w:vAlign w:val="center"/>
          </w:tcPr>
          <w:p w14:paraId="121591E1">
            <w:pPr>
              <w:adjustRightInd w:val="0"/>
              <w:snapToGrid w:val="0"/>
              <w:spacing w:line="240" w:lineRule="auto"/>
              <w:jc w:val="center"/>
              <w:rPr>
                <w:sz w:val="21"/>
                <w:szCs w:val="21"/>
              </w:rPr>
            </w:pPr>
            <w:r>
              <w:rPr>
                <w:sz w:val="21"/>
                <w:szCs w:val="21"/>
              </w:rPr>
              <w:t>GB36</w:t>
            </w:r>
          </w:p>
        </w:tc>
        <w:tc>
          <w:tcPr>
            <w:tcW w:w="1275" w:type="dxa"/>
            <w:tcBorders>
              <w:tl2br w:val="nil"/>
              <w:tr2bl w:val="nil"/>
            </w:tcBorders>
            <w:vAlign w:val="center"/>
          </w:tcPr>
          <w:p w14:paraId="561693B0">
            <w:pPr>
              <w:adjustRightInd w:val="0"/>
              <w:snapToGrid w:val="0"/>
              <w:spacing w:line="240" w:lineRule="auto"/>
              <w:jc w:val="center"/>
              <w:rPr>
                <w:sz w:val="21"/>
                <w:szCs w:val="21"/>
              </w:rPr>
            </w:pPr>
            <w:r>
              <w:rPr>
                <w:sz w:val="21"/>
                <w:szCs w:val="21"/>
              </w:rPr>
              <w:t>1</w:t>
            </w:r>
            <w:r>
              <w:rPr>
                <w:rFonts w:hint="eastAsia"/>
                <w:sz w:val="21"/>
                <w:szCs w:val="21"/>
              </w:rPr>
              <w:t>套</w:t>
            </w:r>
          </w:p>
        </w:tc>
        <w:tc>
          <w:tcPr>
            <w:tcW w:w="993" w:type="dxa"/>
            <w:tcBorders>
              <w:tl2br w:val="nil"/>
              <w:tr2bl w:val="nil"/>
            </w:tcBorders>
            <w:vAlign w:val="center"/>
          </w:tcPr>
          <w:p w14:paraId="4E625DE9">
            <w:pPr>
              <w:adjustRightInd w:val="0"/>
              <w:snapToGrid w:val="0"/>
              <w:spacing w:line="240" w:lineRule="auto"/>
              <w:jc w:val="center"/>
              <w:rPr>
                <w:sz w:val="21"/>
                <w:szCs w:val="21"/>
              </w:rPr>
            </w:pPr>
            <w:r>
              <w:rPr>
                <w:sz w:val="21"/>
                <w:szCs w:val="21"/>
              </w:rPr>
              <w:t>0</w:t>
            </w:r>
          </w:p>
        </w:tc>
        <w:tc>
          <w:tcPr>
            <w:tcW w:w="992" w:type="dxa"/>
            <w:tcBorders>
              <w:tl2br w:val="nil"/>
              <w:tr2bl w:val="nil"/>
            </w:tcBorders>
            <w:vAlign w:val="center"/>
          </w:tcPr>
          <w:p w14:paraId="4A78B5B2">
            <w:pPr>
              <w:adjustRightInd w:val="0"/>
              <w:snapToGrid w:val="0"/>
              <w:spacing w:line="240" w:lineRule="auto"/>
              <w:jc w:val="center"/>
              <w:rPr>
                <w:sz w:val="21"/>
                <w:szCs w:val="21"/>
              </w:rPr>
            </w:pPr>
            <w:r>
              <w:rPr>
                <w:sz w:val="21"/>
                <w:szCs w:val="21"/>
              </w:rPr>
              <w:t>1</w:t>
            </w:r>
            <w:r>
              <w:rPr>
                <w:rFonts w:hint="eastAsia"/>
                <w:sz w:val="21"/>
                <w:szCs w:val="21"/>
              </w:rPr>
              <w:t>套</w:t>
            </w:r>
          </w:p>
        </w:tc>
        <w:tc>
          <w:tcPr>
            <w:tcW w:w="1326" w:type="dxa"/>
            <w:tcBorders>
              <w:tl2br w:val="nil"/>
              <w:tr2bl w:val="nil"/>
            </w:tcBorders>
            <w:vAlign w:val="center"/>
          </w:tcPr>
          <w:p w14:paraId="230AFCCB">
            <w:pPr>
              <w:adjustRightInd w:val="0"/>
              <w:snapToGrid w:val="0"/>
              <w:spacing w:line="240" w:lineRule="auto"/>
              <w:jc w:val="center"/>
              <w:rPr>
                <w:sz w:val="21"/>
                <w:szCs w:val="21"/>
              </w:rPr>
            </w:pPr>
            <w:r>
              <w:rPr>
                <w:rFonts w:hint="eastAsia"/>
                <w:sz w:val="21"/>
                <w:szCs w:val="21"/>
              </w:rPr>
              <w:t>利旧</w:t>
            </w:r>
          </w:p>
        </w:tc>
      </w:tr>
      <w:tr w14:paraId="4E7D5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0364B82">
            <w:pPr>
              <w:adjustRightInd w:val="0"/>
              <w:snapToGrid w:val="0"/>
              <w:spacing w:line="240" w:lineRule="auto"/>
              <w:jc w:val="center"/>
              <w:rPr>
                <w:sz w:val="21"/>
                <w:szCs w:val="21"/>
              </w:rPr>
            </w:pPr>
          </w:p>
        </w:tc>
        <w:tc>
          <w:tcPr>
            <w:tcW w:w="1318" w:type="dxa"/>
            <w:gridSpan w:val="2"/>
            <w:tcBorders>
              <w:tl2br w:val="nil"/>
              <w:tr2bl w:val="nil"/>
            </w:tcBorders>
            <w:vAlign w:val="center"/>
          </w:tcPr>
          <w:p w14:paraId="5844C8A8">
            <w:pPr>
              <w:adjustRightInd w:val="0"/>
              <w:snapToGrid w:val="0"/>
              <w:spacing w:line="240" w:lineRule="auto"/>
              <w:jc w:val="center"/>
              <w:rPr>
                <w:sz w:val="21"/>
                <w:szCs w:val="21"/>
              </w:rPr>
            </w:pPr>
            <w:r>
              <w:rPr>
                <w:sz w:val="21"/>
                <w:szCs w:val="21"/>
              </w:rPr>
              <w:t>品检机</w:t>
            </w:r>
          </w:p>
        </w:tc>
        <w:tc>
          <w:tcPr>
            <w:tcW w:w="1701" w:type="dxa"/>
            <w:gridSpan w:val="2"/>
            <w:tcBorders>
              <w:tl2br w:val="nil"/>
              <w:tr2bl w:val="nil"/>
            </w:tcBorders>
            <w:vAlign w:val="center"/>
          </w:tcPr>
          <w:p w14:paraId="57B68564">
            <w:pPr>
              <w:adjustRightInd w:val="0"/>
              <w:snapToGrid w:val="0"/>
              <w:spacing w:line="240" w:lineRule="auto"/>
              <w:jc w:val="center"/>
              <w:rPr>
                <w:sz w:val="21"/>
                <w:szCs w:val="21"/>
              </w:rPr>
            </w:pPr>
            <w:r>
              <w:rPr>
                <w:sz w:val="21"/>
                <w:szCs w:val="21"/>
              </w:rPr>
              <w:t>1200D</w:t>
            </w:r>
          </w:p>
        </w:tc>
        <w:tc>
          <w:tcPr>
            <w:tcW w:w="1275" w:type="dxa"/>
            <w:tcBorders>
              <w:tl2br w:val="nil"/>
              <w:tr2bl w:val="nil"/>
            </w:tcBorders>
            <w:vAlign w:val="center"/>
          </w:tcPr>
          <w:p w14:paraId="23786391">
            <w:pPr>
              <w:adjustRightInd w:val="0"/>
              <w:snapToGrid w:val="0"/>
              <w:spacing w:line="240" w:lineRule="auto"/>
              <w:jc w:val="center"/>
              <w:rPr>
                <w:sz w:val="21"/>
                <w:szCs w:val="21"/>
              </w:rPr>
            </w:pPr>
            <w:r>
              <w:rPr>
                <w:sz w:val="21"/>
                <w:szCs w:val="21"/>
              </w:rPr>
              <w:t>5</w:t>
            </w:r>
            <w:r>
              <w:rPr>
                <w:rFonts w:hint="eastAsia"/>
                <w:sz w:val="21"/>
                <w:szCs w:val="21"/>
              </w:rPr>
              <w:t>台</w:t>
            </w:r>
          </w:p>
        </w:tc>
        <w:tc>
          <w:tcPr>
            <w:tcW w:w="993" w:type="dxa"/>
            <w:tcBorders>
              <w:tl2br w:val="nil"/>
              <w:tr2bl w:val="nil"/>
            </w:tcBorders>
            <w:vAlign w:val="center"/>
          </w:tcPr>
          <w:p w14:paraId="54ADD0CA">
            <w:pPr>
              <w:adjustRightInd w:val="0"/>
              <w:snapToGrid w:val="0"/>
              <w:spacing w:line="240" w:lineRule="auto"/>
              <w:jc w:val="center"/>
              <w:rPr>
                <w:sz w:val="21"/>
                <w:szCs w:val="21"/>
              </w:rPr>
            </w:pPr>
            <w:r>
              <w:rPr>
                <w:rFonts w:hint="eastAsia"/>
                <w:sz w:val="21"/>
                <w:szCs w:val="21"/>
              </w:rPr>
              <w:t>+</w:t>
            </w:r>
            <w:r>
              <w:rPr>
                <w:sz w:val="21"/>
                <w:szCs w:val="21"/>
              </w:rPr>
              <w:t>5</w:t>
            </w:r>
            <w:r>
              <w:rPr>
                <w:rFonts w:hint="eastAsia"/>
                <w:sz w:val="21"/>
                <w:szCs w:val="21"/>
              </w:rPr>
              <w:t>台</w:t>
            </w:r>
          </w:p>
        </w:tc>
        <w:tc>
          <w:tcPr>
            <w:tcW w:w="992" w:type="dxa"/>
            <w:tcBorders>
              <w:tl2br w:val="nil"/>
              <w:tr2bl w:val="nil"/>
            </w:tcBorders>
            <w:vAlign w:val="center"/>
          </w:tcPr>
          <w:p w14:paraId="5661F7F4">
            <w:pPr>
              <w:adjustRightInd w:val="0"/>
              <w:snapToGrid w:val="0"/>
              <w:spacing w:line="240" w:lineRule="auto"/>
              <w:jc w:val="center"/>
              <w:rPr>
                <w:sz w:val="21"/>
                <w:szCs w:val="21"/>
              </w:rPr>
            </w:pPr>
            <w:r>
              <w:rPr>
                <w:sz w:val="21"/>
                <w:szCs w:val="21"/>
              </w:rPr>
              <w:t>10</w:t>
            </w:r>
            <w:r>
              <w:rPr>
                <w:rFonts w:hint="eastAsia"/>
                <w:sz w:val="21"/>
                <w:szCs w:val="21"/>
              </w:rPr>
              <w:t>台</w:t>
            </w:r>
          </w:p>
        </w:tc>
        <w:tc>
          <w:tcPr>
            <w:tcW w:w="1326" w:type="dxa"/>
            <w:tcBorders>
              <w:tl2br w:val="nil"/>
              <w:tr2bl w:val="nil"/>
            </w:tcBorders>
            <w:vAlign w:val="center"/>
          </w:tcPr>
          <w:p w14:paraId="543EC4F7">
            <w:pPr>
              <w:adjustRightInd w:val="0"/>
              <w:snapToGrid w:val="0"/>
              <w:spacing w:line="240" w:lineRule="auto"/>
              <w:jc w:val="center"/>
              <w:rPr>
                <w:sz w:val="21"/>
                <w:szCs w:val="21"/>
              </w:rPr>
            </w:pPr>
            <w:r>
              <w:rPr>
                <w:rFonts w:hint="eastAsia"/>
                <w:sz w:val="21"/>
                <w:szCs w:val="21"/>
              </w:rPr>
              <w:t>利旧</w:t>
            </w:r>
            <w:r>
              <w:rPr>
                <w:rFonts w:hint="eastAsia"/>
                <w:b/>
                <w:bCs/>
                <w:sz w:val="21"/>
                <w:szCs w:val="21"/>
              </w:rPr>
              <w:t>新增</w:t>
            </w:r>
          </w:p>
        </w:tc>
      </w:tr>
      <w:tr w14:paraId="5F7625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9963977">
            <w:pPr>
              <w:adjustRightInd w:val="0"/>
              <w:snapToGrid w:val="0"/>
              <w:spacing w:line="240" w:lineRule="auto"/>
              <w:jc w:val="center"/>
              <w:rPr>
                <w:sz w:val="21"/>
                <w:szCs w:val="21"/>
              </w:rPr>
            </w:pPr>
          </w:p>
        </w:tc>
        <w:tc>
          <w:tcPr>
            <w:tcW w:w="1318" w:type="dxa"/>
            <w:gridSpan w:val="2"/>
            <w:tcBorders>
              <w:tl2br w:val="nil"/>
              <w:tr2bl w:val="nil"/>
            </w:tcBorders>
            <w:vAlign w:val="center"/>
          </w:tcPr>
          <w:p w14:paraId="6B824421">
            <w:pPr>
              <w:adjustRightInd w:val="0"/>
              <w:snapToGrid w:val="0"/>
              <w:spacing w:line="240" w:lineRule="auto"/>
              <w:jc w:val="center"/>
              <w:rPr>
                <w:sz w:val="21"/>
                <w:szCs w:val="21"/>
              </w:rPr>
            </w:pPr>
            <w:r>
              <w:rPr>
                <w:sz w:val="21"/>
                <w:szCs w:val="21"/>
              </w:rPr>
              <w:t>打孔机</w:t>
            </w:r>
          </w:p>
        </w:tc>
        <w:tc>
          <w:tcPr>
            <w:tcW w:w="1701" w:type="dxa"/>
            <w:gridSpan w:val="2"/>
            <w:tcBorders>
              <w:tl2br w:val="nil"/>
              <w:tr2bl w:val="nil"/>
            </w:tcBorders>
            <w:vAlign w:val="center"/>
          </w:tcPr>
          <w:p w14:paraId="154C410F">
            <w:pPr>
              <w:adjustRightInd w:val="0"/>
              <w:snapToGrid w:val="0"/>
              <w:spacing w:line="240" w:lineRule="auto"/>
              <w:jc w:val="center"/>
              <w:rPr>
                <w:sz w:val="21"/>
                <w:szCs w:val="21"/>
              </w:rPr>
            </w:pPr>
            <w:r>
              <w:rPr>
                <w:sz w:val="21"/>
                <w:szCs w:val="21"/>
              </w:rPr>
              <w:t>/</w:t>
            </w:r>
          </w:p>
        </w:tc>
        <w:tc>
          <w:tcPr>
            <w:tcW w:w="1275" w:type="dxa"/>
            <w:tcBorders>
              <w:tl2br w:val="nil"/>
              <w:tr2bl w:val="nil"/>
            </w:tcBorders>
            <w:vAlign w:val="center"/>
          </w:tcPr>
          <w:p w14:paraId="69D29279">
            <w:pPr>
              <w:adjustRightInd w:val="0"/>
              <w:snapToGrid w:val="0"/>
              <w:spacing w:line="240" w:lineRule="auto"/>
              <w:jc w:val="center"/>
              <w:rPr>
                <w:sz w:val="21"/>
                <w:szCs w:val="21"/>
              </w:rPr>
            </w:pPr>
            <w:r>
              <w:rPr>
                <w:sz w:val="21"/>
                <w:szCs w:val="21"/>
              </w:rPr>
              <w:t>7</w:t>
            </w:r>
            <w:r>
              <w:rPr>
                <w:rFonts w:hint="eastAsia"/>
                <w:sz w:val="21"/>
                <w:szCs w:val="21"/>
              </w:rPr>
              <w:t>台</w:t>
            </w:r>
          </w:p>
        </w:tc>
        <w:tc>
          <w:tcPr>
            <w:tcW w:w="993" w:type="dxa"/>
            <w:tcBorders>
              <w:tl2br w:val="nil"/>
              <w:tr2bl w:val="nil"/>
            </w:tcBorders>
            <w:vAlign w:val="center"/>
          </w:tcPr>
          <w:p w14:paraId="4A14AA48">
            <w:pPr>
              <w:adjustRightInd w:val="0"/>
              <w:snapToGrid w:val="0"/>
              <w:spacing w:line="240" w:lineRule="auto"/>
              <w:jc w:val="center"/>
              <w:rPr>
                <w:sz w:val="21"/>
                <w:szCs w:val="21"/>
              </w:rPr>
            </w:pPr>
            <w:r>
              <w:rPr>
                <w:rFonts w:hint="eastAsia"/>
                <w:sz w:val="21"/>
                <w:szCs w:val="21"/>
              </w:rPr>
              <w:t>+</w:t>
            </w:r>
            <w:r>
              <w:rPr>
                <w:sz w:val="21"/>
                <w:szCs w:val="21"/>
              </w:rPr>
              <w:t>3</w:t>
            </w:r>
            <w:r>
              <w:rPr>
                <w:rFonts w:hint="eastAsia"/>
                <w:sz w:val="21"/>
                <w:szCs w:val="21"/>
              </w:rPr>
              <w:t>台</w:t>
            </w:r>
          </w:p>
        </w:tc>
        <w:tc>
          <w:tcPr>
            <w:tcW w:w="992" w:type="dxa"/>
            <w:tcBorders>
              <w:tl2br w:val="nil"/>
              <w:tr2bl w:val="nil"/>
            </w:tcBorders>
            <w:vAlign w:val="center"/>
          </w:tcPr>
          <w:p w14:paraId="6E22079B">
            <w:pPr>
              <w:adjustRightInd w:val="0"/>
              <w:snapToGrid w:val="0"/>
              <w:spacing w:line="240" w:lineRule="auto"/>
              <w:jc w:val="center"/>
              <w:rPr>
                <w:sz w:val="21"/>
                <w:szCs w:val="21"/>
              </w:rPr>
            </w:pPr>
            <w:r>
              <w:rPr>
                <w:sz w:val="21"/>
                <w:szCs w:val="21"/>
              </w:rPr>
              <w:t>10</w:t>
            </w:r>
            <w:r>
              <w:rPr>
                <w:rFonts w:hint="eastAsia"/>
                <w:sz w:val="21"/>
                <w:szCs w:val="21"/>
              </w:rPr>
              <w:t>台</w:t>
            </w:r>
          </w:p>
        </w:tc>
        <w:tc>
          <w:tcPr>
            <w:tcW w:w="1326" w:type="dxa"/>
            <w:tcBorders>
              <w:tl2br w:val="nil"/>
              <w:tr2bl w:val="nil"/>
            </w:tcBorders>
            <w:vAlign w:val="center"/>
          </w:tcPr>
          <w:p w14:paraId="493270DC">
            <w:pPr>
              <w:adjustRightInd w:val="0"/>
              <w:snapToGrid w:val="0"/>
              <w:spacing w:line="240" w:lineRule="auto"/>
              <w:jc w:val="center"/>
              <w:rPr>
                <w:sz w:val="21"/>
                <w:szCs w:val="21"/>
              </w:rPr>
            </w:pPr>
            <w:r>
              <w:rPr>
                <w:rFonts w:hint="eastAsia"/>
                <w:sz w:val="21"/>
                <w:szCs w:val="21"/>
              </w:rPr>
              <w:t>利旧</w:t>
            </w:r>
            <w:r>
              <w:rPr>
                <w:rFonts w:hint="eastAsia"/>
                <w:b/>
                <w:bCs/>
                <w:sz w:val="21"/>
                <w:szCs w:val="21"/>
              </w:rPr>
              <w:t>新增</w:t>
            </w:r>
          </w:p>
        </w:tc>
      </w:tr>
      <w:tr w14:paraId="71574B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restart"/>
            <w:tcBorders>
              <w:tl2br w:val="nil"/>
              <w:tr2bl w:val="nil"/>
            </w:tcBorders>
            <w:vAlign w:val="center"/>
          </w:tcPr>
          <w:p w14:paraId="4D891E61">
            <w:pPr>
              <w:adjustRightInd w:val="0"/>
              <w:snapToGrid w:val="0"/>
              <w:spacing w:line="240" w:lineRule="auto"/>
              <w:jc w:val="center"/>
              <w:rPr>
                <w:sz w:val="21"/>
                <w:szCs w:val="21"/>
              </w:rPr>
            </w:pPr>
            <w:r>
              <w:rPr>
                <w:rFonts w:hint="eastAsia"/>
                <w:sz w:val="21"/>
                <w:szCs w:val="21"/>
              </w:rPr>
              <w:t>环保</w:t>
            </w:r>
          </w:p>
          <w:p w14:paraId="132CD02C">
            <w:pPr>
              <w:adjustRightInd w:val="0"/>
              <w:snapToGrid w:val="0"/>
              <w:spacing w:line="240" w:lineRule="auto"/>
              <w:jc w:val="center"/>
              <w:rPr>
                <w:sz w:val="21"/>
                <w:szCs w:val="21"/>
              </w:rPr>
            </w:pPr>
            <w:r>
              <w:rPr>
                <w:rFonts w:hint="eastAsia"/>
                <w:sz w:val="21"/>
                <w:szCs w:val="21"/>
              </w:rPr>
              <w:t>设备</w:t>
            </w:r>
          </w:p>
        </w:tc>
        <w:tc>
          <w:tcPr>
            <w:tcW w:w="3019" w:type="dxa"/>
            <w:gridSpan w:val="4"/>
            <w:tcBorders>
              <w:tl2br w:val="nil"/>
              <w:tr2bl w:val="nil"/>
            </w:tcBorders>
            <w:vAlign w:val="center"/>
          </w:tcPr>
          <w:p w14:paraId="5E85C179">
            <w:pPr>
              <w:adjustRightInd w:val="0"/>
              <w:snapToGrid w:val="0"/>
              <w:spacing w:line="240" w:lineRule="auto"/>
              <w:jc w:val="center"/>
              <w:rPr>
                <w:sz w:val="21"/>
                <w:szCs w:val="21"/>
              </w:rPr>
            </w:pPr>
            <w:r>
              <w:rPr>
                <w:rFonts w:hint="eastAsia"/>
                <w:sz w:val="21"/>
                <w:szCs w:val="21"/>
              </w:rPr>
              <w:t>吸附浓缩+溶剂回收设备+20.5m排气筒</w:t>
            </w:r>
          </w:p>
        </w:tc>
        <w:tc>
          <w:tcPr>
            <w:tcW w:w="1275" w:type="dxa"/>
            <w:tcBorders>
              <w:tl2br w:val="nil"/>
              <w:tr2bl w:val="nil"/>
            </w:tcBorders>
            <w:vAlign w:val="center"/>
          </w:tcPr>
          <w:p w14:paraId="24504A73">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06CB26C">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5D686F27">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3E987783">
            <w:pPr>
              <w:adjustRightInd w:val="0"/>
              <w:snapToGrid w:val="0"/>
              <w:spacing w:line="240" w:lineRule="auto"/>
              <w:jc w:val="center"/>
              <w:rPr>
                <w:b/>
                <w:bCs/>
                <w:sz w:val="21"/>
                <w:szCs w:val="21"/>
              </w:rPr>
            </w:pPr>
            <w:r>
              <w:rPr>
                <w:rFonts w:hint="eastAsia"/>
                <w:b/>
                <w:bCs/>
                <w:sz w:val="21"/>
                <w:szCs w:val="21"/>
              </w:rPr>
              <w:t>新增</w:t>
            </w:r>
          </w:p>
        </w:tc>
      </w:tr>
      <w:tr w14:paraId="3398CE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7DFFA85">
            <w:pPr>
              <w:adjustRightInd w:val="0"/>
              <w:snapToGrid w:val="0"/>
              <w:spacing w:line="240" w:lineRule="auto"/>
              <w:jc w:val="center"/>
              <w:rPr>
                <w:sz w:val="21"/>
                <w:szCs w:val="21"/>
              </w:rPr>
            </w:pPr>
          </w:p>
        </w:tc>
        <w:tc>
          <w:tcPr>
            <w:tcW w:w="614" w:type="dxa"/>
            <w:vMerge w:val="restart"/>
            <w:tcBorders>
              <w:tl2br w:val="nil"/>
              <w:tr2bl w:val="nil"/>
            </w:tcBorders>
            <w:vAlign w:val="center"/>
          </w:tcPr>
          <w:p w14:paraId="56E7E66B">
            <w:pPr>
              <w:adjustRightInd w:val="0"/>
              <w:snapToGrid w:val="0"/>
              <w:spacing w:line="240" w:lineRule="auto"/>
              <w:jc w:val="center"/>
              <w:rPr>
                <w:sz w:val="21"/>
                <w:szCs w:val="21"/>
              </w:rPr>
            </w:pPr>
            <w:r>
              <w:rPr>
                <w:rFonts w:hint="eastAsia"/>
                <w:sz w:val="21"/>
                <w:szCs w:val="21"/>
              </w:rPr>
              <w:t>其中</w:t>
            </w:r>
          </w:p>
        </w:tc>
        <w:tc>
          <w:tcPr>
            <w:tcW w:w="1220" w:type="dxa"/>
            <w:gridSpan w:val="2"/>
            <w:vMerge w:val="restart"/>
            <w:tcBorders>
              <w:tl2br w:val="nil"/>
              <w:tr2bl w:val="nil"/>
            </w:tcBorders>
            <w:vAlign w:val="center"/>
          </w:tcPr>
          <w:p w14:paraId="11636A26">
            <w:pPr>
              <w:adjustRightInd w:val="0"/>
              <w:snapToGrid w:val="0"/>
              <w:spacing w:line="240" w:lineRule="auto"/>
              <w:jc w:val="center"/>
              <w:rPr>
                <w:sz w:val="21"/>
                <w:szCs w:val="21"/>
              </w:rPr>
            </w:pPr>
            <w:r>
              <w:rPr>
                <w:rFonts w:hint="eastAsia"/>
                <w:sz w:val="21"/>
                <w:szCs w:val="21"/>
              </w:rPr>
              <w:t>转轮浓缩装置4550-V40</w:t>
            </w:r>
          </w:p>
        </w:tc>
        <w:tc>
          <w:tcPr>
            <w:tcW w:w="1185" w:type="dxa"/>
            <w:tcBorders>
              <w:tl2br w:val="nil"/>
              <w:tr2bl w:val="nil"/>
            </w:tcBorders>
            <w:vAlign w:val="center"/>
          </w:tcPr>
          <w:p w14:paraId="162298DC">
            <w:pPr>
              <w:adjustRightInd w:val="0"/>
              <w:snapToGrid w:val="0"/>
              <w:spacing w:line="240" w:lineRule="auto"/>
              <w:jc w:val="center"/>
              <w:rPr>
                <w:sz w:val="21"/>
                <w:szCs w:val="21"/>
              </w:rPr>
            </w:pPr>
            <w:r>
              <w:rPr>
                <w:rFonts w:hint="eastAsia"/>
                <w:sz w:val="21"/>
                <w:szCs w:val="21"/>
              </w:rPr>
              <w:t>气体转轮浓缩系统</w:t>
            </w:r>
          </w:p>
        </w:tc>
        <w:tc>
          <w:tcPr>
            <w:tcW w:w="1275" w:type="dxa"/>
            <w:tcBorders>
              <w:tl2br w:val="nil"/>
              <w:tr2bl w:val="nil"/>
            </w:tcBorders>
            <w:vAlign w:val="center"/>
          </w:tcPr>
          <w:p w14:paraId="2FDE1CA2">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2AE49B35">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3BC83719">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43F2727D">
            <w:pPr>
              <w:adjustRightInd w:val="0"/>
              <w:snapToGrid w:val="0"/>
              <w:spacing w:line="240" w:lineRule="auto"/>
              <w:jc w:val="center"/>
              <w:rPr>
                <w:b/>
                <w:bCs/>
                <w:sz w:val="21"/>
                <w:szCs w:val="21"/>
              </w:rPr>
            </w:pPr>
            <w:r>
              <w:rPr>
                <w:rFonts w:hint="eastAsia"/>
                <w:b/>
                <w:bCs/>
                <w:sz w:val="21"/>
                <w:szCs w:val="21"/>
              </w:rPr>
              <w:t>新增</w:t>
            </w:r>
          </w:p>
        </w:tc>
      </w:tr>
      <w:tr w14:paraId="3B0C6A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10176EAE">
            <w:pPr>
              <w:adjustRightInd w:val="0"/>
              <w:snapToGrid w:val="0"/>
              <w:spacing w:line="240" w:lineRule="auto"/>
              <w:jc w:val="center"/>
              <w:rPr>
                <w:sz w:val="21"/>
                <w:szCs w:val="21"/>
              </w:rPr>
            </w:pPr>
          </w:p>
        </w:tc>
        <w:tc>
          <w:tcPr>
            <w:tcW w:w="614" w:type="dxa"/>
            <w:vMerge w:val="continue"/>
            <w:tcBorders>
              <w:tl2br w:val="nil"/>
              <w:tr2bl w:val="nil"/>
            </w:tcBorders>
            <w:vAlign w:val="center"/>
          </w:tcPr>
          <w:p w14:paraId="089B366F">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4579633A">
            <w:pPr>
              <w:adjustRightInd w:val="0"/>
              <w:snapToGrid w:val="0"/>
              <w:spacing w:line="240" w:lineRule="auto"/>
              <w:jc w:val="center"/>
              <w:rPr>
                <w:sz w:val="21"/>
                <w:szCs w:val="21"/>
              </w:rPr>
            </w:pPr>
          </w:p>
        </w:tc>
        <w:tc>
          <w:tcPr>
            <w:tcW w:w="1185" w:type="dxa"/>
            <w:tcBorders>
              <w:tl2br w:val="nil"/>
              <w:tr2bl w:val="nil"/>
            </w:tcBorders>
            <w:vAlign w:val="center"/>
          </w:tcPr>
          <w:p w14:paraId="6F1E30C1">
            <w:pPr>
              <w:adjustRightInd w:val="0"/>
              <w:snapToGrid w:val="0"/>
              <w:spacing w:line="240" w:lineRule="auto"/>
              <w:jc w:val="center"/>
              <w:rPr>
                <w:sz w:val="21"/>
                <w:szCs w:val="21"/>
              </w:rPr>
            </w:pPr>
            <w:r>
              <w:rPr>
                <w:rFonts w:hint="eastAsia"/>
                <w:sz w:val="21"/>
                <w:szCs w:val="21"/>
              </w:rPr>
              <w:t>仪表仪器检测系统</w:t>
            </w:r>
          </w:p>
        </w:tc>
        <w:tc>
          <w:tcPr>
            <w:tcW w:w="1275" w:type="dxa"/>
            <w:tcBorders>
              <w:tl2br w:val="nil"/>
              <w:tr2bl w:val="nil"/>
            </w:tcBorders>
            <w:vAlign w:val="center"/>
          </w:tcPr>
          <w:p w14:paraId="66B3CD1D">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D70850E">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21A5AF88">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73263DB3">
            <w:pPr>
              <w:adjustRightInd w:val="0"/>
              <w:snapToGrid w:val="0"/>
              <w:spacing w:line="240" w:lineRule="auto"/>
              <w:jc w:val="center"/>
              <w:rPr>
                <w:b/>
                <w:bCs/>
                <w:sz w:val="21"/>
                <w:szCs w:val="21"/>
              </w:rPr>
            </w:pPr>
            <w:r>
              <w:rPr>
                <w:rFonts w:hint="eastAsia"/>
                <w:b/>
                <w:bCs/>
                <w:sz w:val="21"/>
                <w:szCs w:val="21"/>
              </w:rPr>
              <w:t>新增</w:t>
            </w:r>
          </w:p>
        </w:tc>
      </w:tr>
      <w:tr w14:paraId="5C7F4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0F0FF108">
            <w:pPr>
              <w:adjustRightInd w:val="0"/>
              <w:snapToGrid w:val="0"/>
              <w:spacing w:line="240" w:lineRule="auto"/>
              <w:jc w:val="center"/>
              <w:rPr>
                <w:sz w:val="21"/>
                <w:szCs w:val="21"/>
              </w:rPr>
            </w:pPr>
          </w:p>
        </w:tc>
        <w:tc>
          <w:tcPr>
            <w:tcW w:w="614" w:type="dxa"/>
            <w:vMerge w:val="continue"/>
            <w:tcBorders>
              <w:tl2br w:val="nil"/>
              <w:tr2bl w:val="nil"/>
            </w:tcBorders>
            <w:vAlign w:val="center"/>
          </w:tcPr>
          <w:p w14:paraId="66581105">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1B2D4A60">
            <w:pPr>
              <w:adjustRightInd w:val="0"/>
              <w:snapToGrid w:val="0"/>
              <w:spacing w:line="240" w:lineRule="auto"/>
              <w:jc w:val="center"/>
              <w:rPr>
                <w:sz w:val="21"/>
                <w:szCs w:val="21"/>
              </w:rPr>
            </w:pPr>
          </w:p>
        </w:tc>
        <w:tc>
          <w:tcPr>
            <w:tcW w:w="1185" w:type="dxa"/>
            <w:tcBorders>
              <w:tl2br w:val="nil"/>
              <w:tr2bl w:val="nil"/>
            </w:tcBorders>
            <w:vAlign w:val="center"/>
          </w:tcPr>
          <w:p w14:paraId="44B7FA62">
            <w:pPr>
              <w:adjustRightInd w:val="0"/>
              <w:snapToGrid w:val="0"/>
              <w:spacing w:line="240" w:lineRule="auto"/>
              <w:jc w:val="center"/>
              <w:rPr>
                <w:sz w:val="21"/>
                <w:szCs w:val="21"/>
              </w:rPr>
            </w:pPr>
            <w:r>
              <w:rPr>
                <w:rFonts w:hint="eastAsia"/>
                <w:sz w:val="21"/>
                <w:szCs w:val="21"/>
              </w:rPr>
              <w:t>电气控制系统</w:t>
            </w:r>
          </w:p>
        </w:tc>
        <w:tc>
          <w:tcPr>
            <w:tcW w:w="1275" w:type="dxa"/>
            <w:tcBorders>
              <w:tl2br w:val="nil"/>
              <w:tr2bl w:val="nil"/>
            </w:tcBorders>
            <w:vAlign w:val="center"/>
          </w:tcPr>
          <w:p w14:paraId="7FFCEB2F">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131661CD">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38C57E30">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0DFA0758">
            <w:pPr>
              <w:adjustRightInd w:val="0"/>
              <w:snapToGrid w:val="0"/>
              <w:spacing w:line="240" w:lineRule="auto"/>
              <w:jc w:val="center"/>
              <w:rPr>
                <w:b/>
                <w:bCs/>
                <w:sz w:val="21"/>
                <w:szCs w:val="21"/>
              </w:rPr>
            </w:pPr>
            <w:r>
              <w:rPr>
                <w:rFonts w:hint="eastAsia"/>
                <w:b/>
                <w:bCs/>
                <w:sz w:val="21"/>
                <w:szCs w:val="21"/>
              </w:rPr>
              <w:t>新增</w:t>
            </w:r>
          </w:p>
        </w:tc>
      </w:tr>
      <w:tr w14:paraId="3D70C4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DBE9372">
            <w:pPr>
              <w:adjustRightInd w:val="0"/>
              <w:snapToGrid w:val="0"/>
              <w:spacing w:line="240" w:lineRule="auto"/>
              <w:jc w:val="center"/>
              <w:rPr>
                <w:sz w:val="21"/>
                <w:szCs w:val="21"/>
              </w:rPr>
            </w:pPr>
          </w:p>
        </w:tc>
        <w:tc>
          <w:tcPr>
            <w:tcW w:w="614" w:type="dxa"/>
            <w:vMerge w:val="continue"/>
            <w:tcBorders>
              <w:tl2br w:val="nil"/>
              <w:tr2bl w:val="nil"/>
            </w:tcBorders>
            <w:vAlign w:val="center"/>
          </w:tcPr>
          <w:p w14:paraId="5682C1E7">
            <w:pPr>
              <w:adjustRightInd w:val="0"/>
              <w:snapToGrid w:val="0"/>
              <w:spacing w:line="240" w:lineRule="auto"/>
              <w:jc w:val="center"/>
              <w:rPr>
                <w:sz w:val="21"/>
                <w:szCs w:val="21"/>
              </w:rPr>
            </w:pPr>
          </w:p>
        </w:tc>
        <w:tc>
          <w:tcPr>
            <w:tcW w:w="1220" w:type="dxa"/>
            <w:gridSpan w:val="2"/>
            <w:vMerge w:val="restart"/>
            <w:tcBorders>
              <w:tl2br w:val="nil"/>
              <w:tr2bl w:val="nil"/>
            </w:tcBorders>
            <w:vAlign w:val="center"/>
          </w:tcPr>
          <w:p w14:paraId="4C6132B3">
            <w:pPr>
              <w:adjustRightInd w:val="0"/>
              <w:snapToGrid w:val="0"/>
              <w:spacing w:line="240" w:lineRule="auto"/>
              <w:jc w:val="center"/>
              <w:rPr>
                <w:sz w:val="21"/>
                <w:szCs w:val="21"/>
              </w:rPr>
            </w:pPr>
            <w:r>
              <w:rPr>
                <w:rFonts w:hint="eastAsia"/>
                <w:sz w:val="21"/>
                <w:szCs w:val="21"/>
              </w:rPr>
              <w:t>溶剂回收装置TBSY-7025</w:t>
            </w:r>
          </w:p>
        </w:tc>
        <w:tc>
          <w:tcPr>
            <w:tcW w:w="1185" w:type="dxa"/>
            <w:tcBorders>
              <w:tl2br w:val="nil"/>
              <w:tr2bl w:val="nil"/>
            </w:tcBorders>
            <w:vAlign w:val="center"/>
          </w:tcPr>
          <w:p w14:paraId="18AA6DC7">
            <w:pPr>
              <w:adjustRightInd w:val="0"/>
              <w:snapToGrid w:val="0"/>
              <w:spacing w:line="240" w:lineRule="auto"/>
              <w:jc w:val="center"/>
              <w:rPr>
                <w:sz w:val="21"/>
                <w:szCs w:val="21"/>
              </w:rPr>
            </w:pPr>
            <w:r>
              <w:rPr>
                <w:rFonts w:hint="eastAsia"/>
                <w:sz w:val="21"/>
                <w:szCs w:val="21"/>
              </w:rPr>
              <w:t>气体预处理系统</w:t>
            </w:r>
          </w:p>
        </w:tc>
        <w:tc>
          <w:tcPr>
            <w:tcW w:w="1275" w:type="dxa"/>
            <w:tcBorders>
              <w:tl2br w:val="nil"/>
              <w:tr2bl w:val="nil"/>
            </w:tcBorders>
            <w:vAlign w:val="center"/>
          </w:tcPr>
          <w:p w14:paraId="61AFFE02">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56DDE2AA">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79B49352">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0DD7B5DE">
            <w:pPr>
              <w:adjustRightInd w:val="0"/>
              <w:snapToGrid w:val="0"/>
              <w:spacing w:line="240" w:lineRule="auto"/>
              <w:jc w:val="center"/>
              <w:rPr>
                <w:b/>
                <w:bCs/>
                <w:sz w:val="21"/>
                <w:szCs w:val="21"/>
              </w:rPr>
            </w:pPr>
            <w:r>
              <w:rPr>
                <w:rFonts w:hint="eastAsia"/>
                <w:b/>
                <w:bCs/>
                <w:sz w:val="21"/>
                <w:szCs w:val="21"/>
              </w:rPr>
              <w:t>新增</w:t>
            </w:r>
          </w:p>
        </w:tc>
      </w:tr>
      <w:tr w14:paraId="3425D1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65C2F82F">
            <w:pPr>
              <w:adjustRightInd w:val="0"/>
              <w:snapToGrid w:val="0"/>
              <w:spacing w:line="240" w:lineRule="auto"/>
              <w:jc w:val="center"/>
              <w:rPr>
                <w:sz w:val="21"/>
                <w:szCs w:val="21"/>
              </w:rPr>
            </w:pPr>
          </w:p>
        </w:tc>
        <w:tc>
          <w:tcPr>
            <w:tcW w:w="614" w:type="dxa"/>
            <w:vMerge w:val="continue"/>
            <w:tcBorders>
              <w:tl2br w:val="nil"/>
              <w:tr2bl w:val="nil"/>
            </w:tcBorders>
            <w:vAlign w:val="center"/>
          </w:tcPr>
          <w:p w14:paraId="368033FB">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3B46B0AE">
            <w:pPr>
              <w:adjustRightInd w:val="0"/>
              <w:snapToGrid w:val="0"/>
              <w:spacing w:line="240" w:lineRule="auto"/>
              <w:jc w:val="center"/>
              <w:rPr>
                <w:sz w:val="21"/>
                <w:szCs w:val="21"/>
              </w:rPr>
            </w:pPr>
          </w:p>
        </w:tc>
        <w:tc>
          <w:tcPr>
            <w:tcW w:w="1185" w:type="dxa"/>
            <w:tcBorders>
              <w:tl2br w:val="nil"/>
              <w:tr2bl w:val="nil"/>
            </w:tcBorders>
            <w:vAlign w:val="center"/>
          </w:tcPr>
          <w:p w14:paraId="63E4EE3D">
            <w:pPr>
              <w:adjustRightInd w:val="0"/>
              <w:snapToGrid w:val="0"/>
              <w:spacing w:line="240" w:lineRule="auto"/>
              <w:jc w:val="center"/>
              <w:rPr>
                <w:sz w:val="21"/>
                <w:szCs w:val="21"/>
              </w:rPr>
            </w:pPr>
            <w:r>
              <w:rPr>
                <w:rFonts w:hint="eastAsia"/>
                <w:sz w:val="21"/>
                <w:szCs w:val="21"/>
              </w:rPr>
              <w:t>活性炭吸附系统</w:t>
            </w:r>
          </w:p>
        </w:tc>
        <w:tc>
          <w:tcPr>
            <w:tcW w:w="1275" w:type="dxa"/>
            <w:tcBorders>
              <w:tl2br w:val="nil"/>
              <w:tr2bl w:val="nil"/>
            </w:tcBorders>
            <w:vAlign w:val="center"/>
          </w:tcPr>
          <w:p w14:paraId="55AA4390">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4F9FAB4A">
            <w:pPr>
              <w:adjustRightInd w:val="0"/>
              <w:snapToGrid w:val="0"/>
              <w:spacing w:line="240" w:lineRule="auto"/>
              <w:jc w:val="center"/>
              <w:rPr>
                <w:sz w:val="21"/>
                <w:szCs w:val="21"/>
              </w:rPr>
            </w:pPr>
            <w:r>
              <w:rPr>
                <w:rFonts w:hint="eastAsia"/>
                <w:sz w:val="21"/>
                <w:szCs w:val="21"/>
              </w:rPr>
              <w:t>+7套</w:t>
            </w:r>
          </w:p>
        </w:tc>
        <w:tc>
          <w:tcPr>
            <w:tcW w:w="992" w:type="dxa"/>
            <w:tcBorders>
              <w:tl2br w:val="nil"/>
              <w:tr2bl w:val="nil"/>
            </w:tcBorders>
            <w:vAlign w:val="center"/>
          </w:tcPr>
          <w:p w14:paraId="3991714E">
            <w:pPr>
              <w:adjustRightInd w:val="0"/>
              <w:snapToGrid w:val="0"/>
              <w:spacing w:line="240" w:lineRule="auto"/>
              <w:jc w:val="center"/>
              <w:rPr>
                <w:sz w:val="21"/>
                <w:szCs w:val="21"/>
              </w:rPr>
            </w:pPr>
            <w:r>
              <w:rPr>
                <w:rFonts w:hint="eastAsia"/>
                <w:sz w:val="21"/>
                <w:szCs w:val="21"/>
              </w:rPr>
              <w:t>7套</w:t>
            </w:r>
          </w:p>
        </w:tc>
        <w:tc>
          <w:tcPr>
            <w:tcW w:w="1326" w:type="dxa"/>
            <w:tcBorders>
              <w:tl2br w:val="nil"/>
              <w:tr2bl w:val="nil"/>
            </w:tcBorders>
            <w:vAlign w:val="center"/>
          </w:tcPr>
          <w:p w14:paraId="7712A82C">
            <w:pPr>
              <w:adjustRightInd w:val="0"/>
              <w:snapToGrid w:val="0"/>
              <w:spacing w:line="240" w:lineRule="auto"/>
              <w:jc w:val="center"/>
              <w:rPr>
                <w:b/>
                <w:bCs/>
                <w:sz w:val="21"/>
                <w:szCs w:val="21"/>
              </w:rPr>
            </w:pPr>
            <w:r>
              <w:rPr>
                <w:rFonts w:hint="eastAsia"/>
                <w:b/>
                <w:bCs/>
                <w:sz w:val="21"/>
                <w:szCs w:val="21"/>
              </w:rPr>
              <w:t>新增</w:t>
            </w:r>
          </w:p>
        </w:tc>
      </w:tr>
      <w:tr w14:paraId="5C3A24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93D7E35">
            <w:pPr>
              <w:adjustRightInd w:val="0"/>
              <w:snapToGrid w:val="0"/>
              <w:spacing w:line="240" w:lineRule="auto"/>
              <w:jc w:val="center"/>
              <w:rPr>
                <w:sz w:val="21"/>
                <w:szCs w:val="21"/>
              </w:rPr>
            </w:pPr>
          </w:p>
        </w:tc>
        <w:tc>
          <w:tcPr>
            <w:tcW w:w="614" w:type="dxa"/>
            <w:vMerge w:val="continue"/>
            <w:tcBorders>
              <w:tl2br w:val="nil"/>
              <w:tr2bl w:val="nil"/>
            </w:tcBorders>
            <w:vAlign w:val="center"/>
          </w:tcPr>
          <w:p w14:paraId="1AD51340">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2A7BE00A">
            <w:pPr>
              <w:adjustRightInd w:val="0"/>
              <w:snapToGrid w:val="0"/>
              <w:spacing w:line="240" w:lineRule="auto"/>
              <w:jc w:val="center"/>
              <w:rPr>
                <w:sz w:val="21"/>
                <w:szCs w:val="21"/>
              </w:rPr>
            </w:pPr>
          </w:p>
        </w:tc>
        <w:tc>
          <w:tcPr>
            <w:tcW w:w="1185" w:type="dxa"/>
            <w:tcBorders>
              <w:tl2br w:val="nil"/>
              <w:tr2bl w:val="nil"/>
            </w:tcBorders>
            <w:vAlign w:val="center"/>
          </w:tcPr>
          <w:p w14:paraId="19133CEA">
            <w:pPr>
              <w:adjustRightInd w:val="0"/>
              <w:snapToGrid w:val="0"/>
              <w:spacing w:line="240" w:lineRule="auto"/>
              <w:jc w:val="center"/>
              <w:rPr>
                <w:sz w:val="21"/>
                <w:szCs w:val="21"/>
              </w:rPr>
            </w:pPr>
            <w:r>
              <w:rPr>
                <w:rFonts w:hint="eastAsia"/>
                <w:sz w:val="21"/>
                <w:szCs w:val="21"/>
              </w:rPr>
              <w:t>高浓度补偿系统</w:t>
            </w:r>
          </w:p>
        </w:tc>
        <w:tc>
          <w:tcPr>
            <w:tcW w:w="1275" w:type="dxa"/>
            <w:tcBorders>
              <w:tl2br w:val="nil"/>
              <w:tr2bl w:val="nil"/>
            </w:tcBorders>
            <w:vAlign w:val="center"/>
          </w:tcPr>
          <w:p w14:paraId="4E260AA5">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2F5C96F">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43FA952E">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4DF5891F">
            <w:pPr>
              <w:adjustRightInd w:val="0"/>
              <w:snapToGrid w:val="0"/>
              <w:spacing w:line="240" w:lineRule="auto"/>
              <w:jc w:val="center"/>
              <w:rPr>
                <w:b/>
                <w:bCs/>
                <w:sz w:val="21"/>
                <w:szCs w:val="21"/>
              </w:rPr>
            </w:pPr>
            <w:r>
              <w:rPr>
                <w:rFonts w:hint="eastAsia"/>
                <w:b/>
                <w:bCs/>
                <w:sz w:val="21"/>
                <w:szCs w:val="21"/>
              </w:rPr>
              <w:t>新增</w:t>
            </w:r>
          </w:p>
        </w:tc>
      </w:tr>
      <w:tr w14:paraId="58F092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B2BD440">
            <w:pPr>
              <w:adjustRightInd w:val="0"/>
              <w:snapToGrid w:val="0"/>
              <w:spacing w:line="240" w:lineRule="auto"/>
              <w:jc w:val="center"/>
              <w:rPr>
                <w:sz w:val="21"/>
                <w:szCs w:val="21"/>
              </w:rPr>
            </w:pPr>
          </w:p>
        </w:tc>
        <w:tc>
          <w:tcPr>
            <w:tcW w:w="614" w:type="dxa"/>
            <w:vMerge w:val="continue"/>
            <w:tcBorders>
              <w:tl2br w:val="nil"/>
              <w:tr2bl w:val="nil"/>
            </w:tcBorders>
            <w:vAlign w:val="center"/>
          </w:tcPr>
          <w:p w14:paraId="784E8D6C">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31525C8D">
            <w:pPr>
              <w:adjustRightInd w:val="0"/>
              <w:snapToGrid w:val="0"/>
              <w:spacing w:line="240" w:lineRule="auto"/>
              <w:jc w:val="center"/>
              <w:rPr>
                <w:sz w:val="21"/>
                <w:szCs w:val="21"/>
              </w:rPr>
            </w:pPr>
          </w:p>
        </w:tc>
        <w:tc>
          <w:tcPr>
            <w:tcW w:w="1185" w:type="dxa"/>
            <w:tcBorders>
              <w:tl2br w:val="nil"/>
              <w:tr2bl w:val="nil"/>
            </w:tcBorders>
            <w:vAlign w:val="center"/>
          </w:tcPr>
          <w:p w14:paraId="15892759">
            <w:pPr>
              <w:adjustRightInd w:val="0"/>
              <w:snapToGrid w:val="0"/>
              <w:spacing w:line="240" w:lineRule="auto"/>
              <w:jc w:val="center"/>
              <w:rPr>
                <w:sz w:val="21"/>
                <w:szCs w:val="21"/>
              </w:rPr>
            </w:pPr>
            <w:r>
              <w:rPr>
                <w:rFonts w:hint="eastAsia"/>
                <w:sz w:val="21"/>
                <w:szCs w:val="21"/>
              </w:rPr>
              <w:t>脱附系统</w:t>
            </w:r>
          </w:p>
        </w:tc>
        <w:tc>
          <w:tcPr>
            <w:tcW w:w="1275" w:type="dxa"/>
            <w:tcBorders>
              <w:tl2br w:val="nil"/>
              <w:tr2bl w:val="nil"/>
            </w:tcBorders>
            <w:vAlign w:val="center"/>
          </w:tcPr>
          <w:p w14:paraId="13DA2936">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595B9FF0">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460703FC">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62B87257">
            <w:pPr>
              <w:adjustRightInd w:val="0"/>
              <w:snapToGrid w:val="0"/>
              <w:spacing w:line="240" w:lineRule="auto"/>
              <w:jc w:val="center"/>
              <w:rPr>
                <w:b/>
                <w:bCs/>
                <w:sz w:val="21"/>
                <w:szCs w:val="21"/>
              </w:rPr>
            </w:pPr>
            <w:r>
              <w:rPr>
                <w:rFonts w:hint="eastAsia"/>
                <w:b/>
                <w:bCs/>
                <w:sz w:val="21"/>
                <w:szCs w:val="21"/>
              </w:rPr>
              <w:t>新增</w:t>
            </w:r>
          </w:p>
        </w:tc>
      </w:tr>
      <w:tr w14:paraId="38954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43B4336A">
            <w:pPr>
              <w:adjustRightInd w:val="0"/>
              <w:snapToGrid w:val="0"/>
              <w:spacing w:line="240" w:lineRule="auto"/>
              <w:jc w:val="center"/>
              <w:rPr>
                <w:sz w:val="21"/>
                <w:szCs w:val="21"/>
              </w:rPr>
            </w:pPr>
          </w:p>
        </w:tc>
        <w:tc>
          <w:tcPr>
            <w:tcW w:w="614" w:type="dxa"/>
            <w:vMerge w:val="continue"/>
            <w:tcBorders>
              <w:tl2br w:val="nil"/>
              <w:tr2bl w:val="nil"/>
            </w:tcBorders>
            <w:vAlign w:val="center"/>
          </w:tcPr>
          <w:p w14:paraId="6290836F">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5190470C">
            <w:pPr>
              <w:adjustRightInd w:val="0"/>
              <w:snapToGrid w:val="0"/>
              <w:spacing w:line="240" w:lineRule="auto"/>
              <w:jc w:val="center"/>
              <w:rPr>
                <w:sz w:val="21"/>
                <w:szCs w:val="21"/>
              </w:rPr>
            </w:pPr>
          </w:p>
        </w:tc>
        <w:tc>
          <w:tcPr>
            <w:tcW w:w="1185" w:type="dxa"/>
            <w:tcBorders>
              <w:tl2br w:val="nil"/>
              <w:tr2bl w:val="nil"/>
            </w:tcBorders>
            <w:vAlign w:val="center"/>
          </w:tcPr>
          <w:p w14:paraId="03F2A87E">
            <w:pPr>
              <w:adjustRightInd w:val="0"/>
              <w:snapToGrid w:val="0"/>
              <w:spacing w:line="240" w:lineRule="auto"/>
              <w:jc w:val="center"/>
              <w:rPr>
                <w:sz w:val="21"/>
                <w:szCs w:val="21"/>
              </w:rPr>
            </w:pPr>
            <w:r>
              <w:rPr>
                <w:rFonts w:hint="eastAsia"/>
                <w:sz w:val="21"/>
                <w:szCs w:val="21"/>
              </w:rPr>
              <w:t>冷却系统</w:t>
            </w:r>
          </w:p>
        </w:tc>
        <w:tc>
          <w:tcPr>
            <w:tcW w:w="1275" w:type="dxa"/>
            <w:tcBorders>
              <w:tl2br w:val="nil"/>
              <w:tr2bl w:val="nil"/>
            </w:tcBorders>
            <w:vAlign w:val="center"/>
          </w:tcPr>
          <w:p w14:paraId="516752CA">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2C1D3579">
            <w:pPr>
              <w:adjustRightInd w:val="0"/>
              <w:snapToGrid w:val="0"/>
              <w:spacing w:line="240" w:lineRule="auto"/>
              <w:jc w:val="center"/>
              <w:rPr>
                <w:sz w:val="21"/>
                <w:szCs w:val="21"/>
              </w:rPr>
            </w:pPr>
            <w:r>
              <w:rPr>
                <w:rFonts w:hint="eastAsia"/>
                <w:sz w:val="21"/>
                <w:szCs w:val="21"/>
              </w:rPr>
              <w:t>+2套</w:t>
            </w:r>
          </w:p>
        </w:tc>
        <w:tc>
          <w:tcPr>
            <w:tcW w:w="992" w:type="dxa"/>
            <w:tcBorders>
              <w:tl2br w:val="nil"/>
              <w:tr2bl w:val="nil"/>
            </w:tcBorders>
            <w:vAlign w:val="center"/>
          </w:tcPr>
          <w:p w14:paraId="6DCCFCA7">
            <w:pPr>
              <w:adjustRightInd w:val="0"/>
              <w:snapToGrid w:val="0"/>
              <w:spacing w:line="240" w:lineRule="auto"/>
              <w:jc w:val="center"/>
              <w:rPr>
                <w:sz w:val="21"/>
                <w:szCs w:val="21"/>
              </w:rPr>
            </w:pPr>
            <w:r>
              <w:rPr>
                <w:rFonts w:hint="eastAsia"/>
                <w:sz w:val="21"/>
                <w:szCs w:val="21"/>
              </w:rPr>
              <w:t>2套</w:t>
            </w:r>
          </w:p>
        </w:tc>
        <w:tc>
          <w:tcPr>
            <w:tcW w:w="1326" w:type="dxa"/>
            <w:tcBorders>
              <w:tl2br w:val="nil"/>
              <w:tr2bl w:val="nil"/>
            </w:tcBorders>
            <w:vAlign w:val="center"/>
          </w:tcPr>
          <w:p w14:paraId="1ABEA23B">
            <w:pPr>
              <w:adjustRightInd w:val="0"/>
              <w:snapToGrid w:val="0"/>
              <w:spacing w:line="240" w:lineRule="auto"/>
              <w:jc w:val="center"/>
              <w:rPr>
                <w:b/>
                <w:bCs/>
                <w:sz w:val="21"/>
                <w:szCs w:val="21"/>
              </w:rPr>
            </w:pPr>
            <w:r>
              <w:rPr>
                <w:rFonts w:hint="eastAsia"/>
                <w:b/>
                <w:bCs/>
                <w:sz w:val="21"/>
                <w:szCs w:val="21"/>
              </w:rPr>
              <w:t>新增</w:t>
            </w:r>
          </w:p>
        </w:tc>
      </w:tr>
      <w:tr w14:paraId="5F43C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145E2BE2">
            <w:pPr>
              <w:adjustRightInd w:val="0"/>
              <w:snapToGrid w:val="0"/>
              <w:spacing w:line="240" w:lineRule="auto"/>
              <w:jc w:val="center"/>
              <w:rPr>
                <w:sz w:val="21"/>
                <w:szCs w:val="21"/>
              </w:rPr>
            </w:pPr>
          </w:p>
        </w:tc>
        <w:tc>
          <w:tcPr>
            <w:tcW w:w="614" w:type="dxa"/>
            <w:vMerge w:val="continue"/>
            <w:tcBorders>
              <w:tl2br w:val="nil"/>
              <w:tr2bl w:val="nil"/>
            </w:tcBorders>
            <w:vAlign w:val="center"/>
          </w:tcPr>
          <w:p w14:paraId="4E11E4C3">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0E61C692">
            <w:pPr>
              <w:adjustRightInd w:val="0"/>
              <w:snapToGrid w:val="0"/>
              <w:spacing w:line="240" w:lineRule="auto"/>
              <w:jc w:val="center"/>
              <w:rPr>
                <w:sz w:val="21"/>
                <w:szCs w:val="21"/>
              </w:rPr>
            </w:pPr>
          </w:p>
        </w:tc>
        <w:tc>
          <w:tcPr>
            <w:tcW w:w="1185" w:type="dxa"/>
            <w:tcBorders>
              <w:tl2br w:val="nil"/>
              <w:tr2bl w:val="nil"/>
            </w:tcBorders>
            <w:vAlign w:val="center"/>
          </w:tcPr>
          <w:p w14:paraId="68E2875D">
            <w:pPr>
              <w:adjustRightInd w:val="0"/>
              <w:snapToGrid w:val="0"/>
              <w:spacing w:line="240" w:lineRule="auto"/>
              <w:jc w:val="center"/>
              <w:rPr>
                <w:sz w:val="21"/>
                <w:szCs w:val="21"/>
              </w:rPr>
            </w:pPr>
            <w:r>
              <w:rPr>
                <w:rFonts w:hint="eastAsia"/>
                <w:sz w:val="21"/>
                <w:szCs w:val="21"/>
              </w:rPr>
              <w:t>深冷系统</w:t>
            </w:r>
          </w:p>
        </w:tc>
        <w:tc>
          <w:tcPr>
            <w:tcW w:w="1275" w:type="dxa"/>
            <w:tcBorders>
              <w:tl2br w:val="nil"/>
              <w:tr2bl w:val="nil"/>
            </w:tcBorders>
            <w:vAlign w:val="center"/>
          </w:tcPr>
          <w:p w14:paraId="2B644724">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5BA0321B">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5C57ECF4">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6E1FE2E2">
            <w:pPr>
              <w:adjustRightInd w:val="0"/>
              <w:snapToGrid w:val="0"/>
              <w:spacing w:line="240" w:lineRule="auto"/>
              <w:jc w:val="center"/>
              <w:rPr>
                <w:b/>
                <w:bCs/>
                <w:sz w:val="21"/>
                <w:szCs w:val="21"/>
              </w:rPr>
            </w:pPr>
            <w:r>
              <w:rPr>
                <w:rFonts w:hint="eastAsia"/>
                <w:b/>
                <w:bCs/>
                <w:sz w:val="21"/>
                <w:szCs w:val="21"/>
              </w:rPr>
              <w:t>新增</w:t>
            </w:r>
          </w:p>
        </w:tc>
      </w:tr>
      <w:tr w14:paraId="087C29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799C527A">
            <w:pPr>
              <w:adjustRightInd w:val="0"/>
              <w:snapToGrid w:val="0"/>
              <w:spacing w:line="240" w:lineRule="auto"/>
              <w:jc w:val="center"/>
              <w:rPr>
                <w:sz w:val="21"/>
                <w:szCs w:val="21"/>
              </w:rPr>
            </w:pPr>
          </w:p>
        </w:tc>
        <w:tc>
          <w:tcPr>
            <w:tcW w:w="614" w:type="dxa"/>
            <w:vMerge w:val="continue"/>
            <w:tcBorders>
              <w:tl2br w:val="nil"/>
              <w:tr2bl w:val="nil"/>
            </w:tcBorders>
            <w:vAlign w:val="center"/>
          </w:tcPr>
          <w:p w14:paraId="5A06FE2F">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76EBC8A7">
            <w:pPr>
              <w:adjustRightInd w:val="0"/>
              <w:snapToGrid w:val="0"/>
              <w:spacing w:line="240" w:lineRule="auto"/>
              <w:jc w:val="center"/>
              <w:rPr>
                <w:sz w:val="21"/>
                <w:szCs w:val="21"/>
              </w:rPr>
            </w:pPr>
          </w:p>
        </w:tc>
        <w:tc>
          <w:tcPr>
            <w:tcW w:w="1185" w:type="dxa"/>
            <w:tcBorders>
              <w:tl2br w:val="nil"/>
              <w:tr2bl w:val="nil"/>
            </w:tcBorders>
            <w:vAlign w:val="center"/>
          </w:tcPr>
          <w:p w14:paraId="04F693FA">
            <w:pPr>
              <w:adjustRightInd w:val="0"/>
              <w:snapToGrid w:val="0"/>
              <w:spacing w:line="240" w:lineRule="auto"/>
              <w:jc w:val="center"/>
              <w:rPr>
                <w:sz w:val="21"/>
                <w:szCs w:val="21"/>
              </w:rPr>
            </w:pPr>
            <w:r>
              <w:rPr>
                <w:rFonts w:hint="eastAsia"/>
                <w:sz w:val="21"/>
                <w:szCs w:val="21"/>
              </w:rPr>
              <w:t>节能系统</w:t>
            </w:r>
          </w:p>
        </w:tc>
        <w:tc>
          <w:tcPr>
            <w:tcW w:w="1275" w:type="dxa"/>
            <w:tcBorders>
              <w:tl2br w:val="nil"/>
              <w:tr2bl w:val="nil"/>
            </w:tcBorders>
            <w:vAlign w:val="center"/>
          </w:tcPr>
          <w:p w14:paraId="76B00CED">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70DF539F">
            <w:pPr>
              <w:adjustRightInd w:val="0"/>
              <w:snapToGrid w:val="0"/>
              <w:spacing w:line="240" w:lineRule="auto"/>
              <w:jc w:val="center"/>
              <w:rPr>
                <w:sz w:val="21"/>
                <w:szCs w:val="21"/>
              </w:rPr>
            </w:pPr>
            <w:r>
              <w:rPr>
                <w:rFonts w:hint="eastAsia"/>
                <w:sz w:val="21"/>
                <w:szCs w:val="21"/>
              </w:rPr>
              <w:t>+2套</w:t>
            </w:r>
          </w:p>
        </w:tc>
        <w:tc>
          <w:tcPr>
            <w:tcW w:w="992" w:type="dxa"/>
            <w:tcBorders>
              <w:tl2br w:val="nil"/>
              <w:tr2bl w:val="nil"/>
            </w:tcBorders>
            <w:vAlign w:val="center"/>
          </w:tcPr>
          <w:p w14:paraId="6EF19309">
            <w:pPr>
              <w:adjustRightInd w:val="0"/>
              <w:snapToGrid w:val="0"/>
              <w:spacing w:line="240" w:lineRule="auto"/>
              <w:jc w:val="center"/>
              <w:rPr>
                <w:sz w:val="21"/>
                <w:szCs w:val="21"/>
              </w:rPr>
            </w:pPr>
            <w:r>
              <w:rPr>
                <w:rFonts w:hint="eastAsia"/>
                <w:sz w:val="21"/>
                <w:szCs w:val="21"/>
              </w:rPr>
              <w:t>2套</w:t>
            </w:r>
          </w:p>
        </w:tc>
        <w:tc>
          <w:tcPr>
            <w:tcW w:w="1326" w:type="dxa"/>
            <w:tcBorders>
              <w:tl2br w:val="nil"/>
              <w:tr2bl w:val="nil"/>
            </w:tcBorders>
            <w:vAlign w:val="center"/>
          </w:tcPr>
          <w:p w14:paraId="33477FA1">
            <w:pPr>
              <w:adjustRightInd w:val="0"/>
              <w:snapToGrid w:val="0"/>
              <w:spacing w:line="240" w:lineRule="auto"/>
              <w:jc w:val="center"/>
              <w:rPr>
                <w:b/>
                <w:bCs/>
                <w:sz w:val="21"/>
                <w:szCs w:val="21"/>
              </w:rPr>
            </w:pPr>
            <w:r>
              <w:rPr>
                <w:rFonts w:hint="eastAsia"/>
                <w:b/>
                <w:bCs/>
                <w:sz w:val="21"/>
                <w:szCs w:val="21"/>
              </w:rPr>
              <w:t>新增</w:t>
            </w:r>
          </w:p>
        </w:tc>
      </w:tr>
      <w:tr w14:paraId="7C6DDA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BBC7F49">
            <w:pPr>
              <w:adjustRightInd w:val="0"/>
              <w:snapToGrid w:val="0"/>
              <w:spacing w:line="240" w:lineRule="auto"/>
              <w:jc w:val="center"/>
              <w:rPr>
                <w:sz w:val="21"/>
                <w:szCs w:val="21"/>
              </w:rPr>
            </w:pPr>
          </w:p>
        </w:tc>
        <w:tc>
          <w:tcPr>
            <w:tcW w:w="614" w:type="dxa"/>
            <w:vMerge w:val="continue"/>
            <w:tcBorders>
              <w:tl2br w:val="nil"/>
              <w:tr2bl w:val="nil"/>
            </w:tcBorders>
            <w:vAlign w:val="center"/>
          </w:tcPr>
          <w:p w14:paraId="0A2B0B25">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5133BFD3">
            <w:pPr>
              <w:adjustRightInd w:val="0"/>
              <w:snapToGrid w:val="0"/>
              <w:spacing w:line="240" w:lineRule="auto"/>
              <w:jc w:val="center"/>
              <w:rPr>
                <w:sz w:val="21"/>
                <w:szCs w:val="21"/>
              </w:rPr>
            </w:pPr>
          </w:p>
        </w:tc>
        <w:tc>
          <w:tcPr>
            <w:tcW w:w="1185" w:type="dxa"/>
            <w:tcBorders>
              <w:tl2br w:val="nil"/>
              <w:tr2bl w:val="nil"/>
            </w:tcBorders>
            <w:vAlign w:val="center"/>
          </w:tcPr>
          <w:p w14:paraId="4854C5BE">
            <w:pPr>
              <w:adjustRightInd w:val="0"/>
              <w:snapToGrid w:val="0"/>
              <w:spacing w:line="240" w:lineRule="auto"/>
              <w:jc w:val="center"/>
              <w:rPr>
                <w:sz w:val="21"/>
                <w:szCs w:val="21"/>
              </w:rPr>
            </w:pPr>
            <w:r>
              <w:rPr>
                <w:rFonts w:hint="eastAsia"/>
                <w:sz w:val="21"/>
                <w:szCs w:val="21"/>
              </w:rPr>
              <w:t>氮气系统</w:t>
            </w:r>
          </w:p>
        </w:tc>
        <w:tc>
          <w:tcPr>
            <w:tcW w:w="1275" w:type="dxa"/>
            <w:tcBorders>
              <w:tl2br w:val="nil"/>
              <w:tr2bl w:val="nil"/>
            </w:tcBorders>
            <w:vAlign w:val="center"/>
          </w:tcPr>
          <w:p w14:paraId="75F1D7A6">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2171708">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1EFB7A2E">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4E9A1441">
            <w:pPr>
              <w:adjustRightInd w:val="0"/>
              <w:snapToGrid w:val="0"/>
              <w:spacing w:line="240" w:lineRule="auto"/>
              <w:jc w:val="center"/>
              <w:rPr>
                <w:b/>
                <w:bCs/>
                <w:sz w:val="21"/>
                <w:szCs w:val="21"/>
              </w:rPr>
            </w:pPr>
            <w:r>
              <w:rPr>
                <w:rFonts w:hint="eastAsia"/>
                <w:b/>
                <w:bCs/>
                <w:sz w:val="21"/>
                <w:szCs w:val="21"/>
              </w:rPr>
              <w:t>新增</w:t>
            </w:r>
          </w:p>
        </w:tc>
      </w:tr>
      <w:tr w14:paraId="6AFEE4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23A4AB87">
            <w:pPr>
              <w:adjustRightInd w:val="0"/>
              <w:snapToGrid w:val="0"/>
              <w:spacing w:line="240" w:lineRule="auto"/>
              <w:jc w:val="center"/>
              <w:rPr>
                <w:sz w:val="21"/>
                <w:szCs w:val="21"/>
              </w:rPr>
            </w:pPr>
          </w:p>
        </w:tc>
        <w:tc>
          <w:tcPr>
            <w:tcW w:w="614" w:type="dxa"/>
            <w:vMerge w:val="continue"/>
            <w:tcBorders>
              <w:tl2br w:val="nil"/>
              <w:tr2bl w:val="nil"/>
            </w:tcBorders>
            <w:vAlign w:val="center"/>
          </w:tcPr>
          <w:p w14:paraId="037388D9">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082CBA8F">
            <w:pPr>
              <w:adjustRightInd w:val="0"/>
              <w:snapToGrid w:val="0"/>
              <w:spacing w:line="240" w:lineRule="auto"/>
              <w:jc w:val="center"/>
              <w:rPr>
                <w:sz w:val="21"/>
                <w:szCs w:val="21"/>
              </w:rPr>
            </w:pPr>
          </w:p>
        </w:tc>
        <w:tc>
          <w:tcPr>
            <w:tcW w:w="1185" w:type="dxa"/>
            <w:tcBorders>
              <w:tl2br w:val="nil"/>
              <w:tr2bl w:val="nil"/>
            </w:tcBorders>
            <w:vAlign w:val="center"/>
          </w:tcPr>
          <w:p w14:paraId="25AAD3D0">
            <w:pPr>
              <w:adjustRightInd w:val="0"/>
              <w:snapToGrid w:val="0"/>
              <w:spacing w:line="240" w:lineRule="auto"/>
              <w:jc w:val="center"/>
              <w:rPr>
                <w:sz w:val="21"/>
                <w:szCs w:val="21"/>
              </w:rPr>
            </w:pPr>
            <w:r>
              <w:rPr>
                <w:rFonts w:hint="eastAsia"/>
                <w:sz w:val="21"/>
                <w:szCs w:val="21"/>
              </w:rPr>
              <w:t>PID回收浓度控制系统</w:t>
            </w:r>
          </w:p>
        </w:tc>
        <w:tc>
          <w:tcPr>
            <w:tcW w:w="1275" w:type="dxa"/>
            <w:tcBorders>
              <w:tl2br w:val="nil"/>
              <w:tr2bl w:val="nil"/>
            </w:tcBorders>
            <w:vAlign w:val="center"/>
          </w:tcPr>
          <w:p w14:paraId="4877F77F">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67D1D318">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7DF77AB2">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0C6A60DB">
            <w:pPr>
              <w:adjustRightInd w:val="0"/>
              <w:snapToGrid w:val="0"/>
              <w:spacing w:line="240" w:lineRule="auto"/>
              <w:jc w:val="center"/>
              <w:rPr>
                <w:b/>
                <w:bCs/>
                <w:sz w:val="21"/>
                <w:szCs w:val="21"/>
              </w:rPr>
            </w:pPr>
            <w:r>
              <w:rPr>
                <w:rFonts w:hint="eastAsia"/>
                <w:b/>
                <w:bCs/>
                <w:sz w:val="21"/>
                <w:szCs w:val="21"/>
              </w:rPr>
              <w:t>新增</w:t>
            </w:r>
          </w:p>
        </w:tc>
      </w:tr>
      <w:tr w14:paraId="3046C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3E539E1C">
            <w:pPr>
              <w:adjustRightInd w:val="0"/>
              <w:snapToGrid w:val="0"/>
              <w:spacing w:line="240" w:lineRule="auto"/>
              <w:jc w:val="center"/>
              <w:rPr>
                <w:sz w:val="21"/>
                <w:szCs w:val="21"/>
              </w:rPr>
            </w:pPr>
          </w:p>
        </w:tc>
        <w:tc>
          <w:tcPr>
            <w:tcW w:w="614" w:type="dxa"/>
            <w:vMerge w:val="continue"/>
            <w:tcBorders>
              <w:tl2br w:val="nil"/>
              <w:tr2bl w:val="nil"/>
            </w:tcBorders>
            <w:vAlign w:val="center"/>
          </w:tcPr>
          <w:p w14:paraId="7B0620BC">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5A3B6E41">
            <w:pPr>
              <w:adjustRightInd w:val="0"/>
              <w:snapToGrid w:val="0"/>
              <w:spacing w:line="240" w:lineRule="auto"/>
              <w:jc w:val="center"/>
              <w:rPr>
                <w:sz w:val="21"/>
                <w:szCs w:val="21"/>
              </w:rPr>
            </w:pPr>
          </w:p>
        </w:tc>
        <w:tc>
          <w:tcPr>
            <w:tcW w:w="1185" w:type="dxa"/>
            <w:tcBorders>
              <w:tl2br w:val="nil"/>
              <w:tr2bl w:val="nil"/>
            </w:tcBorders>
            <w:vAlign w:val="center"/>
          </w:tcPr>
          <w:p w14:paraId="0EEAAB11">
            <w:pPr>
              <w:adjustRightInd w:val="0"/>
              <w:snapToGrid w:val="0"/>
              <w:spacing w:line="240" w:lineRule="auto"/>
              <w:jc w:val="center"/>
              <w:rPr>
                <w:sz w:val="21"/>
                <w:szCs w:val="21"/>
              </w:rPr>
            </w:pPr>
            <w:r>
              <w:rPr>
                <w:rFonts w:hint="eastAsia"/>
                <w:sz w:val="21"/>
                <w:szCs w:val="21"/>
              </w:rPr>
              <w:t>氧检测系统</w:t>
            </w:r>
          </w:p>
        </w:tc>
        <w:tc>
          <w:tcPr>
            <w:tcW w:w="1275" w:type="dxa"/>
            <w:tcBorders>
              <w:tl2br w:val="nil"/>
              <w:tr2bl w:val="nil"/>
            </w:tcBorders>
            <w:vAlign w:val="center"/>
          </w:tcPr>
          <w:p w14:paraId="6048D03C">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273221A5">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667A0DC4">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5A2AF093">
            <w:pPr>
              <w:adjustRightInd w:val="0"/>
              <w:snapToGrid w:val="0"/>
              <w:spacing w:line="240" w:lineRule="auto"/>
              <w:jc w:val="center"/>
              <w:rPr>
                <w:b/>
                <w:bCs/>
                <w:sz w:val="21"/>
                <w:szCs w:val="21"/>
              </w:rPr>
            </w:pPr>
            <w:r>
              <w:rPr>
                <w:rFonts w:hint="eastAsia"/>
                <w:b/>
                <w:bCs/>
                <w:sz w:val="21"/>
                <w:szCs w:val="21"/>
              </w:rPr>
              <w:t>新增</w:t>
            </w:r>
          </w:p>
        </w:tc>
      </w:tr>
      <w:tr w14:paraId="6064BD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75ECCCF">
            <w:pPr>
              <w:adjustRightInd w:val="0"/>
              <w:snapToGrid w:val="0"/>
              <w:spacing w:line="240" w:lineRule="auto"/>
              <w:jc w:val="center"/>
              <w:rPr>
                <w:sz w:val="21"/>
                <w:szCs w:val="21"/>
              </w:rPr>
            </w:pPr>
          </w:p>
        </w:tc>
        <w:tc>
          <w:tcPr>
            <w:tcW w:w="614" w:type="dxa"/>
            <w:vMerge w:val="continue"/>
            <w:tcBorders>
              <w:tl2br w:val="nil"/>
              <w:tr2bl w:val="nil"/>
            </w:tcBorders>
            <w:vAlign w:val="center"/>
          </w:tcPr>
          <w:p w14:paraId="533187FE">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2FD0E88C">
            <w:pPr>
              <w:adjustRightInd w:val="0"/>
              <w:snapToGrid w:val="0"/>
              <w:spacing w:line="240" w:lineRule="auto"/>
              <w:jc w:val="center"/>
              <w:rPr>
                <w:sz w:val="21"/>
                <w:szCs w:val="21"/>
              </w:rPr>
            </w:pPr>
          </w:p>
        </w:tc>
        <w:tc>
          <w:tcPr>
            <w:tcW w:w="1185" w:type="dxa"/>
            <w:tcBorders>
              <w:tl2br w:val="nil"/>
              <w:tr2bl w:val="nil"/>
            </w:tcBorders>
            <w:vAlign w:val="center"/>
          </w:tcPr>
          <w:p w14:paraId="70C750C6">
            <w:pPr>
              <w:adjustRightInd w:val="0"/>
              <w:snapToGrid w:val="0"/>
              <w:spacing w:line="240" w:lineRule="auto"/>
              <w:jc w:val="center"/>
              <w:rPr>
                <w:sz w:val="21"/>
                <w:szCs w:val="21"/>
              </w:rPr>
            </w:pPr>
            <w:r>
              <w:rPr>
                <w:rFonts w:hint="eastAsia"/>
                <w:sz w:val="21"/>
                <w:szCs w:val="21"/>
              </w:rPr>
              <w:t>仪表仪器检测系统</w:t>
            </w:r>
          </w:p>
        </w:tc>
        <w:tc>
          <w:tcPr>
            <w:tcW w:w="1275" w:type="dxa"/>
            <w:tcBorders>
              <w:tl2br w:val="nil"/>
              <w:tr2bl w:val="nil"/>
            </w:tcBorders>
            <w:vAlign w:val="center"/>
          </w:tcPr>
          <w:p w14:paraId="31F05ABA">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1309EFFA">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755CAC1E">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425C71AC">
            <w:pPr>
              <w:adjustRightInd w:val="0"/>
              <w:snapToGrid w:val="0"/>
              <w:spacing w:line="240" w:lineRule="auto"/>
              <w:jc w:val="center"/>
              <w:rPr>
                <w:b/>
                <w:bCs/>
                <w:sz w:val="21"/>
                <w:szCs w:val="21"/>
              </w:rPr>
            </w:pPr>
            <w:r>
              <w:rPr>
                <w:rFonts w:hint="eastAsia"/>
                <w:b/>
                <w:bCs/>
                <w:sz w:val="21"/>
                <w:szCs w:val="21"/>
              </w:rPr>
              <w:t>新增</w:t>
            </w:r>
          </w:p>
        </w:tc>
      </w:tr>
      <w:tr w14:paraId="143C11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1FE34B94">
            <w:pPr>
              <w:adjustRightInd w:val="0"/>
              <w:snapToGrid w:val="0"/>
              <w:spacing w:line="240" w:lineRule="auto"/>
              <w:jc w:val="center"/>
              <w:rPr>
                <w:sz w:val="21"/>
                <w:szCs w:val="21"/>
              </w:rPr>
            </w:pPr>
          </w:p>
        </w:tc>
        <w:tc>
          <w:tcPr>
            <w:tcW w:w="614" w:type="dxa"/>
            <w:vMerge w:val="continue"/>
            <w:tcBorders>
              <w:tl2br w:val="nil"/>
              <w:tr2bl w:val="nil"/>
            </w:tcBorders>
            <w:vAlign w:val="center"/>
          </w:tcPr>
          <w:p w14:paraId="739D9DD5">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0BE7A981">
            <w:pPr>
              <w:adjustRightInd w:val="0"/>
              <w:snapToGrid w:val="0"/>
              <w:spacing w:line="240" w:lineRule="auto"/>
              <w:jc w:val="center"/>
              <w:rPr>
                <w:sz w:val="21"/>
                <w:szCs w:val="21"/>
              </w:rPr>
            </w:pPr>
          </w:p>
        </w:tc>
        <w:tc>
          <w:tcPr>
            <w:tcW w:w="1185" w:type="dxa"/>
            <w:tcBorders>
              <w:tl2br w:val="nil"/>
              <w:tr2bl w:val="nil"/>
            </w:tcBorders>
            <w:vAlign w:val="center"/>
          </w:tcPr>
          <w:p w14:paraId="486CA8FC">
            <w:pPr>
              <w:adjustRightInd w:val="0"/>
              <w:snapToGrid w:val="0"/>
              <w:spacing w:line="240" w:lineRule="auto"/>
              <w:jc w:val="center"/>
              <w:rPr>
                <w:sz w:val="21"/>
                <w:szCs w:val="21"/>
              </w:rPr>
            </w:pPr>
            <w:r>
              <w:rPr>
                <w:rFonts w:hint="eastAsia"/>
                <w:sz w:val="21"/>
                <w:szCs w:val="21"/>
              </w:rPr>
              <w:t>电气控制系统</w:t>
            </w:r>
          </w:p>
        </w:tc>
        <w:tc>
          <w:tcPr>
            <w:tcW w:w="1275" w:type="dxa"/>
            <w:tcBorders>
              <w:tl2br w:val="nil"/>
              <w:tr2bl w:val="nil"/>
            </w:tcBorders>
            <w:vAlign w:val="center"/>
          </w:tcPr>
          <w:p w14:paraId="43C28FE7">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7F331053">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62FCD532">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3CCCDCD8">
            <w:pPr>
              <w:adjustRightInd w:val="0"/>
              <w:snapToGrid w:val="0"/>
              <w:spacing w:line="240" w:lineRule="auto"/>
              <w:jc w:val="center"/>
              <w:rPr>
                <w:b/>
                <w:bCs/>
                <w:sz w:val="21"/>
                <w:szCs w:val="21"/>
              </w:rPr>
            </w:pPr>
            <w:r>
              <w:rPr>
                <w:rFonts w:hint="eastAsia"/>
                <w:b/>
                <w:bCs/>
                <w:sz w:val="21"/>
                <w:szCs w:val="21"/>
              </w:rPr>
              <w:t>新增</w:t>
            </w:r>
          </w:p>
        </w:tc>
      </w:tr>
      <w:tr w14:paraId="0CD376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B19102D">
            <w:pPr>
              <w:adjustRightInd w:val="0"/>
              <w:snapToGrid w:val="0"/>
              <w:spacing w:line="240" w:lineRule="auto"/>
              <w:jc w:val="center"/>
              <w:rPr>
                <w:sz w:val="21"/>
                <w:szCs w:val="21"/>
              </w:rPr>
            </w:pPr>
          </w:p>
        </w:tc>
        <w:tc>
          <w:tcPr>
            <w:tcW w:w="614" w:type="dxa"/>
            <w:vMerge w:val="continue"/>
            <w:tcBorders>
              <w:tl2br w:val="nil"/>
              <w:tr2bl w:val="nil"/>
            </w:tcBorders>
            <w:vAlign w:val="center"/>
          </w:tcPr>
          <w:p w14:paraId="2C0DE63B">
            <w:pPr>
              <w:adjustRightInd w:val="0"/>
              <w:snapToGrid w:val="0"/>
              <w:spacing w:line="240" w:lineRule="auto"/>
              <w:jc w:val="center"/>
              <w:rPr>
                <w:sz w:val="21"/>
                <w:szCs w:val="21"/>
              </w:rPr>
            </w:pPr>
          </w:p>
        </w:tc>
        <w:tc>
          <w:tcPr>
            <w:tcW w:w="1220" w:type="dxa"/>
            <w:gridSpan w:val="2"/>
            <w:vMerge w:val="restart"/>
            <w:tcBorders>
              <w:tl2br w:val="nil"/>
              <w:tr2bl w:val="nil"/>
            </w:tcBorders>
            <w:vAlign w:val="center"/>
          </w:tcPr>
          <w:p w14:paraId="3CF5BA0B">
            <w:pPr>
              <w:adjustRightInd w:val="0"/>
              <w:snapToGrid w:val="0"/>
              <w:spacing w:line="240" w:lineRule="auto"/>
              <w:jc w:val="center"/>
              <w:rPr>
                <w:sz w:val="21"/>
                <w:szCs w:val="21"/>
              </w:rPr>
            </w:pPr>
            <w:r>
              <w:rPr>
                <w:rFonts w:hint="eastAsia"/>
                <w:sz w:val="21"/>
                <w:szCs w:val="21"/>
              </w:rPr>
              <w:t>溶剂提纯装置TBSY750</w:t>
            </w:r>
          </w:p>
        </w:tc>
        <w:tc>
          <w:tcPr>
            <w:tcW w:w="1185" w:type="dxa"/>
            <w:tcBorders>
              <w:tl2br w:val="nil"/>
              <w:tr2bl w:val="nil"/>
            </w:tcBorders>
            <w:vAlign w:val="center"/>
          </w:tcPr>
          <w:p w14:paraId="20450DE8">
            <w:pPr>
              <w:adjustRightInd w:val="0"/>
              <w:snapToGrid w:val="0"/>
              <w:spacing w:line="240" w:lineRule="auto"/>
              <w:jc w:val="center"/>
              <w:rPr>
                <w:sz w:val="21"/>
                <w:szCs w:val="21"/>
              </w:rPr>
            </w:pPr>
            <w:r>
              <w:rPr>
                <w:rFonts w:hint="eastAsia"/>
                <w:sz w:val="21"/>
                <w:szCs w:val="21"/>
              </w:rPr>
              <w:t>溶剂提纯系统</w:t>
            </w:r>
          </w:p>
        </w:tc>
        <w:tc>
          <w:tcPr>
            <w:tcW w:w="1275" w:type="dxa"/>
            <w:tcBorders>
              <w:tl2br w:val="nil"/>
              <w:tr2bl w:val="nil"/>
            </w:tcBorders>
            <w:vAlign w:val="center"/>
          </w:tcPr>
          <w:p w14:paraId="06FD23E2">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4FF86B8">
            <w:pPr>
              <w:adjustRightInd w:val="0"/>
              <w:snapToGrid w:val="0"/>
              <w:spacing w:line="240" w:lineRule="auto"/>
              <w:jc w:val="center"/>
              <w:rPr>
                <w:sz w:val="21"/>
                <w:szCs w:val="21"/>
              </w:rPr>
            </w:pPr>
            <w:r>
              <w:rPr>
                <w:rFonts w:hint="eastAsia"/>
                <w:sz w:val="21"/>
                <w:szCs w:val="21"/>
              </w:rPr>
              <w:t>+5套</w:t>
            </w:r>
          </w:p>
        </w:tc>
        <w:tc>
          <w:tcPr>
            <w:tcW w:w="992" w:type="dxa"/>
            <w:tcBorders>
              <w:tl2br w:val="nil"/>
              <w:tr2bl w:val="nil"/>
            </w:tcBorders>
            <w:vAlign w:val="center"/>
          </w:tcPr>
          <w:p w14:paraId="40410A2C">
            <w:pPr>
              <w:adjustRightInd w:val="0"/>
              <w:snapToGrid w:val="0"/>
              <w:spacing w:line="240" w:lineRule="auto"/>
              <w:jc w:val="center"/>
              <w:rPr>
                <w:sz w:val="21"/>
                <w:szCs w:val="21"/>
              </w:rPr>
            </w:pPr>
            <w:r>
              <w:rPr>
                <w:rFonts w:hint="eastAsia"/>
                <w:sz w:val="21"/>
                <w:szCs w:val="21"/>
              </w:rPr>
              <w:t>5套</w:t>
            </w:r>
          </w:p>
        </w:tc>
        <w:tc>
          <w:tcPr>
            <w:tcW w:w="1326" w:type="dxa"/>
            <w:tcBorders>
              <w:tl2br w:val="nil"/>
              <w:tr2bl w:val="nil"/>
            </w:tcBorders>
            <w:vAlign w:val="center"/>
          </w:tcPr>
          <w:p w14:paraId="7BABAC34">
            <w:pPr>
              <w:adjustRightInd w:val="0"/>
              <w:snapToGrid w:val="0"/>
              <w:spacing w:line="240" w:lineRule="auto"/>
              <w:jc w:val="center"/>
              <w:rPr>
                <w:b/>
                <w:bCs/>
                <w:sz w:val="21"/>
                <w:szCs w:val="21"/>
              </w:rPr>
            </w:pPr>
            <w:r>
              <w:rPr>
                <w:rFonts w:hint="eastAsia"/>
                <w:b/>
                <w:bCs/>
                <w:sz w:val="21"/>
                <w:szCs w:val="21"/>
              </w:rPr>
              <w:t>新增</w:t>
            </w:r>
          </w:p>
        </w:tc>
      </w:tr>
      <w:tr w14:paraId="5A0521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16BAF662">
            <w:pPr>
              <w:adjustRightInd w:val="0"/>
              <w:snapToGrid w:val="0"/>
              <w:spacing w:line="240" w:lineRule="auto"/>
              <w:jc w:val="center"/>
              <w:rPr>
                <w:sz w:val="21"/>
                <w:szCs w:val="21"/>
              </w:rPr>
            </w:pPr>
          </w:p>
        </w:tc>
        <w:tc>
          <w:tcPr>
            <w:tcW w:w="614" w:type="dxa"/>
            <w:vMerge w:val="continue"/>
            <w:tcBorders>
              <w:tl2br w:val="nil"/>
              <w:tr2bl w:val="nil"/>
            </w:tcBorders>
            <w:vAlign w:val="center"/>
          </w:tcPr>
          <w:p w14:paraId="2B73C900">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49C78DCF">
            <w:pPr>
              <w:adjustRightInd w:val="0"/>
              <w:snapToGrid w:val="0"/>
              <w:spacing w:line="240" w:lineRule="auto"/>
              <w:jc w:val="center"/>
              <w:rPr>
                <w:sz w:val="21"/>
                <w:szCs w:val="21"/>
              </w:rPr>
            </w:pPr>
          </w:p>
        </w:tc>
        <w:tc>
          <w:tcPr>
            <w:tcW w:w="1185" w:type="dxa"/>
            <w:tcBorders>
              <w:tl2br w:val="nil"/>
              <w:tr2bl w:val="nil"/>
            </w:tcBorders>
            <w:vAlign w:val="center"/>
          </w:tcPr>
          <w:p w14:paraId="7A23DC19">
            <w:pPr>
              <w:adjustRightInd w:val="0"/>
              <w:snapToGrid w:val="0"/>
              <w:spacing w:line="240" w:lineRule="auto"/>
              <w:jc w:val="center"/>
              <w:rPr>
                <w:sz w:val="21"/>
                <w:szCs w:val="21"/>
              </w:rPr>
            </w:pPr>
            <w:r>
              <w:rPr>
                <w:rFonts w:hint="eastAsia"/>
                <w:sz w:val="21"/>
                <w:szCs w:val="21"/>
              </w:rPr>
              <w:t>仪表仪器检测系统</w:t>
            </w:r>
          </w:p>
        </w:tc>
        <w:tc>
          <w:tcPr>
            <w:tcW w:w="1275" w:type="dxa"/>
            <w:tcBorders>
              <w:tl2br w:val="nil"/>
              <w:tr2bl w:val="nil"/>
            </w:tcBorders>
            <w:vAlign w:val="center"/>
          </w:tcPr>
          <w:p w14:paraId="679F7541">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A69D742">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1D08DECF">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36E28CA8">
            <w:pPr>
              <w:adjustRightInd w:val="0"/>
              <w:snapToGrid w:val="0"/>
              <w:spacing w:line="240" w:lineRule="auto"/>
              <w:jc w:val="center"/>
              <w:rPr>
                <w:b/>
                <w:bCs/>
                <w:sz w:val="21"/>
                <w:szCs w:val="21"/>
              </w:rPr>
            </w:pPr>
            <w:r>
              <w:rPr>
                <w:rFonts w:hint="eastAsia"/>
                <w:b/>
                <w:bCs/>
                <w:sz w:val="21"/>
                <w:szCs w:val="21"/>
              </w:rPr>
              <w:t>新增</w:t>
            </w:r>
          </w:p>
        </w:tc>
      </w:tr>
      <w:tr w14:paraId="34CEFF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03607E2A">
            <w:pPr>
              <w:adjustRightInd w:val="0"/>
              <w:snapToGrid w:val="0"/>
              <w:spacing w:line="240" w:lineRule="auto"/>
              <w:jc w:val="center"/>
              <w:rPr>
                <w:sz w:val="21"/>
                <w:szCs w:val="21"/>
              </w:rPr>
            </w:pPr>
          </w:p>
        </w:tc>
        <w:tc>
          <w:tcPr>
            <w:tcW w:w="614" w:type="dxa"/>
            <w:vMerge w:val="continue"/>
            <w:tcBorders>
              <w:tl2br w:val="nil"/>
              <w:tr2bl w:val="nil"/>
            </w:tcBorders>
            <w:vAlign w:val="center"/>
          </w:tcPr>
          <w:p w14:paraId="0B5124E2">
            <w:pPr>
              <w:adjustRightInd w:val="0"/>
              <w:snapToGrid w:val="0"/>
              <w:spacing w:line="240" w:lineRule="auto"/>
              <w:jc w:val="center"/>
              <w:rPr>
                <w:sz w:val="21"/>
                <w:szCs w:val="21"/>
              </w:rPr>
            </w:pPr>
          </w:p>
        </w:tc>
        <w:tc>
          <w:tcPr>
            <w:tcW w:w="1220" w:type="dxa"/>
            <w:gridSpan w:val="2"/>
            <w:vMerge w:val="continue"/>
            <w:tcBorders>
              <w:tl2br w:val="nil"/>
              <w:tr2bl w:val="nil"/>
            </w:tcBorders>
            <w:vAlign w:val="center"/>
          </w:tcPr>
          <w:p w14:paraId="301AD8A9">
            <w:pPr>
              <w:adjustRightInd w:val="0"/>
              <w:snapToGrid w:val="0"/>
              <w:spacing w:line="240" w:lineRule="auto"/>
              <w:jc w:val="center"/>
              <w:rPr>
                <w:sz w:val="21"/>
                <w:szCs w:val="21"/>
              </w:rPr>
            </w:pPr>
          </w:p>
        </w:tc>
        <w:tc>
          <w:tcPr>
            <w:tcW w:w="1185" w:type="dxa"/>
            <w:tcBorders>
              <w:tl2br w:val="nil"/>
              <w:tr2bl w:val="nil"/>
            </w:tcBorders>
            <w:vAlign w:val="center"/>
          </w:tcPr>
          <w:p w14:paraId="4000EFF1">
            <w:pPr>
              <w:adjustRightInd w:val="0"/>
              <w:snapToGrid w:val="0"/>
              <w:spacing w:line="240" w:lineRule="auto"/>
              <w:jc w:val="center"/>
              <w:rPr>
                <w:sz w:val="21"/>
                <w:szCs w:val="21"/>
              </w:rPr>
            </w:pPr>
            <w:r>
              <w:rPr>
                <w:rFonts w:hint="eastAsia"/>
                <w:sz w:val="21"/>
                <w:szCs w:val="21"/>
              </w:rPr>
              <w:t>电气控制系统</w:t>
            </w:r>
          </w:p>
        </w:tc>
        <w:tc>
          <w:tcPr>
            <w:tcW w:w="1275" w:type="dxa"/>
            <w:tcBorders>
              <w:tl2br w:val="nil"/>
              <w:tr2bl w:val="nil"/>
            </w:tcBorders>
            <w:vAlign w:val="center"/>
          </w:tcPr>
          <w:p w14:paraId="2A60EE1E">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027F1376">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51743AFD">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01D5169D">
            <w:pPr>
              <w:adjustRightInd w:val="0"/>
              <w:snapToGrid w:val="0"/>
              <w:spacing w:line="240" w:lineRule="auto"/>
              <w:jc w:val="center"/>
              <w:rPr>
                <w:b/>
                <w:bCs/>
                <w:sz w:val="21"/>
                <w:szCs w:val="21"/>
              </w:rPr>
            </w:pPr>
            <w:r>
              <w:rPr>
                <w:rFonts w:hint="eastAsia"/>
                <w:b/>
                <w:bCs/>
                <w:sz w:val="21"/>
                <w:szCs w:val="21"/>
              </w:rPr>
              <w:t>新增</w:t>
            </w:r>
          </w:p>
        </w:tc>
      </w:tr>
      <w:tr w14:paraId="5C97D2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917" w:type="dxa"/>
            <w:vMerge w:val="continue"/>
            <w:tcBorders>
              <w:tl2br w:val="nil"/>
              <w:tr2bl w:val="nil"/>
            </w:tcBorders>
            <w:vAlign w:val="center"/>
          </w:tcPr>
          <w:p w14:paraId="096D7925">
            <w:pPr>
              <w:adjustRightInd w:val="0"/>
              <w:snapToGrid w:val="0"/>
              <w:spacing w:line="240" w:lineRule="auto"/>
              <w:jc w:val="center"/>
              <w:rPr>
                <w:sz w:val="21"/>
                <w:szCs w:val="21"/>
              </w:rPr>
            </w:pPr>
          </w:p>
        </w:tc>
        <w:tc>
          <w:tcPr>
            <w:tcW w:w="3019" w:type="dxa"/>
            <w:gridSpan w:val="4"/>
            <w:tcBorders>
              <w:tl2br w:val="nil"/>
              <w:tr2bl w:val="nil"/>
            </w:tcBorders>
            <w:vAlign w:val="center"/>
          </w:tcPr>
          <w:p w14:paraId="3D867363">
            <w:pPr>
              <w:adjustRightInd w:val="0"/>
              <w:snapToGrid w:val="0"/>
              <w:spacing w:line="240" w:lineRule="auto"/>
              <w:jc w:val="center"/>
              <w:rPr>
                <w:sz w:val="21"/>
                <w:szCs w:val="21"/>
              </w:rPr>
            </w:pPr>
            <w:r>
              <w:rPr>
                <w:rFonts w:hint="eastAsia"/>
                <w:sz w:val="21"/>
                <w:szCs w:val="21"/>
              </w:rPr>
              <w:t>导热油锅炉天然气低氮燃烧法+16m排气筒</w:t>
            </w:r>
          </w:p>
        </w:tc>
        <w:tc>
          <w:tcPr>
            <w:tcW w:w="1275" w:type="dxa"/>
            <w:tcBorders>
              <w:tl2br w:val="nil"/>
              <w:tr2bl w:val="nil"/>
            </w:tcBorders>
            <w:vAlign w:val="center"/>
          </w:tcPr>
          <w:p w14:paraId="1F6A1DC7">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171D5901">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11C908C7">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1F8B7813">
            <w:pPr>
              <w:adjustRightInd w:val="0"/>
              <w:snapToGrid w:val="0"/>
              <w:spacing w:line="240" w:lineRule="auto"/>
              <w:jc w:val="center"/>
              <w:rPr>
                <w:b/>
                <w:bCs/>
                <w:sz w:val="21"/>
                <w:szCs w:val="21"/>
              </w:rPr>
            </w:pPr>
            <w:r>
              <w:rPr>
                <w:rFonts w:hint="eastAsia"/>
                <w:b/>
                <w:bCs/>
                <w:sz w:val="21"/>
                <w:szCs w:val="21"/>
              </w:rPr>
              <w:t>新增</w:t>
            </w:r>
          </w:p>
        </w:tc>
      </w:tr>
      <w:tr w14:paraId="361D47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7" w:type="dxa"/>
            <w:vMerge w:val="continue"/>
            <w:tcBorders>
              <w:tl2br w:val="nil"/>
              <w:tr2bl w:val="nil"/>
            </w:tcBorders>
            <w:vAlign w:val="center"/>
          </w:tcPr>
          <w:p w14:paraId="51ACBA97">
            <w:pPr>
              <w:adjustRightInd w:val="0"/>
              <w:snapToGrid w:val="0"/>
              <w:spacing w:line="240" w:lineRule="auto"/>
              <w:jc w:val="center"/>
              <w:rPr>
                <w:sz w:val="21"/>
                <w:szCs w:val="21"/>
              </w:rPr>
            </w:pPr>
          </w:p>
        </w:tc>
        <w:tc>
          <w:tcPr>
            <w:tcW w:w="3019" w:type="dxa"/>
            <w:gridSpan w:val="4"/>
            <w:tcBorders>
              <w:tl2br w:val="nil"/>
              <w:tr2bl w:val="nil"/>
            </w:tcBorders>
            <w:vAlign w:val="center"/>
          </w:tcPr>
          <w:p w14:paraId="6266D5D6">
            <w:pPr>
              <w:adjustRightInd w:val="0"/>
              <w:snapToGrid w:val="0"/>
              <w:spacing w:line="240" w:lineRule="auto"/>
              <w:jc w:val="center"/>
              <w:rPr>
                <w:sz w:val="21"/>
                <w:szCs w:val="21"/>
              </w:rPr>
            </w:pPr>
            <w:r>
              <w:rPr>
                <w:rFonts w:hint="eastAsia"/>
                <w:sz w:val="21"/>
                <w:szCs w:val="21"/>
              </w:rPr>
              <w:t>印刷复合烘干天然气+20.5m排气筒</w:t>
            </w:r>
          </w:p>
        </w:tc>
        <w:tc>
          <w:tcPr>
            <w:tcW w:w="1275" w:type="dxa"/>
            <w:tcBorders>
              <w:tl2br w:val="nil"/>
              <w:tr2bl w:val="nil"/>
            </w:tcBorders>
            <w:vAlign w:val="center"/>
          </w:tcPr>
          <w:p w14:paraId="07DE622B">
            <w:pPr>
              <w:adjustRightInd w:val="0"/>
              <w:snapToGrid w:val="0"/>
              <w:spacing w:line="240" w:lineRule="auto"/>
              <w:jc w:val="center"/>
              <w:rPr>
                <w:sz w:val="21"/>
                <w:szCs w:val="21"/>
              </w:rPr>
            </w:pPr>
            <w:r>
              <w:rPr>
                <w:rFonts w:hint="eastAsia"/>
                <w:sz w:val="21"/>
                <w:szCs w:val="21"/>
              </w:rPr>
              <w:t>0</w:t>
            </w:r>
          </w:p>
        </w:tc>
        <w:tc>
          <w:tcPr>
            <w:tcW w:w="993" w:type="dxa"/>
            <w:tcBorders>
              <w:tl2br w:val="nil"/>
              <w:tr2bl w:val="nil"/>
            </w:tcBorders>
            <w:vAlign w:val="center"/>
          </w:tcPr>
          <w:p w14:paraId="5AA86E03">
            <w:pPr>
              <w:adjustRightInd w:val="0"/>
              <w:snapToGrid w:val="0"/>
              <w:spacing w:line="240" w:lineRule="auto"/>
              <w:jc w:val="center"/>
              <w:rPr>
                <w:sz w:val="21"/>
                <w:szCs w:val="21"/>
              </w:rPr>
            </w:pPr>
            <w:r>
              <w:rPr>
                <w:rFonts w:hint="eastAsia"/>
                <w:sz w:val="21"/>
                <w:szCs w:val="21"/>
              </w:rPr>
              <w:t>+1套</w:t>
            </w:r>
          </w:p>
        </w:tc>
        <w:tc>
          <w:tcPr>
            <w:tcW w:w="992" w:type="dxa"/>
            <w:tcBorders>
              <w:tl2br w:val="nil"/>
              <w:tr2bl w:val="nil"/>
            </w:tcBorders>
            <w:vAlign w:val="center"/>
          </w:tcPr>
          <w:p w14:paraId="369F37B7">
            <w:pPr>
              <w:adjustRightInd w:val="0"/>
              <w:snapToGrid w:val="0"/>
              <w:spacing w:line="240" w:lineRule="auto"/>
              <w:jc w:val="center"/>
              <w:rPr>
                <w:sz w:val="21"/>
                <w:szCs w:val="21"/>
              </w:rPr>
            </w:pPr>
            <w:r>
              <w:rPr>
                <w:rFonts w:hint="eastAsia"/>
                <w:sz w:val="21"/>
                <w:szCs w:val="21"/>
              </w:rPr>
              <w:t>1套</w:t>
            </w:r>
          </w:p>
        </w:tc>
        <w:tc>
          <w:tcPr>
            <w:tcW w:w="1326" w:type="dxa"/>
            <w:tcBorders>
              <w:tl2br w:val="nil"/>
              <w:tr2bl w:val="nil"/>
            </w:tcBorders>
            <w:vAlign w:val="center"/>
          </w:tcPr>
          <w:p w14:paraId="66E30E33">
            <w:pPr>
              <w:adjustRightInd w:val="0"/>
              <w:snapToGrid w:val="0"/>
              <w:spacing w:line="240" w:lineRule="auto"/>
              <w:jc w:val="center"/>
              <w:rPr>
                <w:sz w:val="21"/>
                <w:szCs w:val="21"/>
              </w:rPr>
            </w:pPr>
            <w:r>
              <w:rPr>
                <w:rFonts w:hint="eastAsia"/>
                <w:sz w:val="21"/>
                <w:szCs w:val="21"/>
              </w:rPr>
              <w:t>改造</w:t>
            </w:r>
          </w:p>
        </w:tc>
      </w:tr>
    </w:tbl>
    <w:p w14:paraId="42AAB495">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3.2.2.4</w:t>
      </w:r>
      <w:r>
        <w:t>在建原辅材料消耗情况</w:t>
      </w:r>
    </w:p>
    <w:p w14:paraId="1D4F85F2">
      <w:pPr>
        <w:pStyle w:val="51"/>
        <w:widowControl w:val="0"/>
        <w:numPr>
          <w:ilvl w:val="5"/>
          <w:numId w:val="0"/>
        </w:numPr>
        <w:spacing w:before="0" w:beforeLines="0" w:line="360" w:lineRule="auto"/>
        <w:ind w:left="-2671" w:leftChars="0" w:firstLine="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表3.2-4 </w:t>
      </w:r>
      <w:r>
        <w:rPr>
          <w:rFonts w:hint="eastAsia"/>
        </w:rPr>
        <w:t xml:space="preserve"> 在建工程前后原辅材料消耗变化情况一览表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563"/>
        <w:gridCol w:w="339"/>
        <w:gridCol w:w="1015"/>
        <w:gridCol w:w="972"/>
        <w:gridCol w:w="1293"/>
        <w:gridCol w:w="1442"/>
        <w:gridCol w:w="1111"/>
        <w:gridCol w:w="906"/>
        <w:gridCol w:w="779"/>
      </w:tblGrid>
      <w:tr w14:paraId="129880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Merge w:val="restart"/>
            <w:vAlign w:val="center"/>
          </w:tcPr>
          <w:p w14:paraId="79405866">
            <w:pPr>
              <w:adjustRightInd w:val="0"/>
              <w:snapToGrid w:val="0"/>
              <w:spacing w:line="240" w:lineRule="auto"/>
              <w:jc w:val="center"/>
              <w:rPr>
                <w:sz w:val="21"/>
                <w:szCs w:val="21"/>
              </w:rPr>
            </w:pPr>
            <w:r>
              <w:rPr>
                <w:sz w:val="21"/>
                <w:szCs w:val="21"/>
              </w:rPr>
              <w:t>序号</w:t>
            </w:r>
          </w:p>
        </w:tc>
        <w:tc>
          <w:tcPr>
            <w:tcW w:w="1354" w:type="dxa"/>
            <w:gridSpan w:val="2"/>
            <w:vMerge w:val="restart"/>
            <w:vAlign w:val="center"/>
          </w:tcPr>
          <w:p w14:paraId="02B6DAE9">
            <w:pPr>
              <w:adjustRightInd w:val="0"/>
              <w:snapToGrid w:val="0"/>
              <w:spacing w:line="240" w:lineRule="auto"/>
              <w:jc w:val="center"/>
              <w:rPr>
                <w:sz w:val="21"/>
                <w:szCs w:val="21"/>
              </w:rPr>
            </w:pPr>
            <w:r>
              <w:rPr>
                <w:sz w:val="21"/>
                <w:szCs w:val="21"/>
              </w:rPr>
              <w:t>名称</w:t>
            </w:r>
          </w:p>
        </w:tc>
        <w:tc>
          <w:tcPr>
            <w:tcW w:w="3707" w:type="dxa"/>
            <w:gridSpan w:val="3"/>
            <w:vAlign w:val="center"/>
          </w:tcPr>
          <w:p w14:paraId="0290CDA6">
            <w:pPr>
              <w:adjustRightInd w:val="0"/>
              <w:snapToGrid w:val="0"/>
              <w:spacing w:line="240" w:lineRule="auto"/>
              <w:jc w:val="center"/>
              <w:rPr>
                <w:sz w:val="21"/>
                <w:szCs w:val="21"/>
              </w:rPr>
            </w:pPr>
            <w:r>
              <w:rPr>
                <w:sz w:val="21"/>
                <w:szCs w:val="21"/>
              </w:rPr>
              <w:t>年用量</w:t>
            </w:r>
          </w:p>
        </w:tc>
        <w:tc>
          <w:tcPr>
            <w:tcW w:w="1111" w:type="dxa"/>
            <w:vMerge w:val="restart"/>
            <w:vAlign w:val="center"/>
          </w:tcPr>
          <w:p w14:paraId="1E5CDA73">
            <w:pPr>
              <w:adjustRightInd w:val="0"/>
              <w:snapToGrid w:val="0"/>
              <w:spacing w:line="240" w:lineRule="auto"/>
              <w:jc w:val="center"/>
              <w:rPr>
                <w:sz w:val="21"/>
                <w:szCs w:val="21"/>
              </w:rPr>
            </w:pPr>
            <w:r>
              <w:rPr>
                <w:sz w:val="21"/>
                <w:szCs w:val="21"/>
              </w:rPr>
              <w:t>最大暂存量</w:t>
            </w:r>
          </w:p>
        </w:tc>
        <w:tc>
          <w:tcPr>
            <w:tcW w:w="1685" w:type="dxa"/>
            <w:gridSpan w:val="2"/>
            <w:vMerge w:val="restart"/>
            <w:vAlign w:val="center"/>
          </w:tcPr>
          <w:p w14:paraId="107A7ACD">
            <w:pPr>
              <w:adjustRightInd w:val="0"/>
              <w:snapToGrid w:val="0"/>
              <w:spacing w:line="240" w:lineRule="auto"/>
              <w:jc w:val="center"/>
              <w:rPr>
                <w:sz w:val="21"/>
                <w:szCs w:val="21"/>
              </w:rPr>
            </w:pPr>
            <w:r>
              <w:rPr>
                <w:sz w:val="21"/>
                <w:szCs w:val="21"/>
              </w:rPr>
              <w:t>备注</w:t>
            </w:r>
          </w:p>
        </w:tc>
      </w:tr>
      <w:tr w14:paraId="33D72E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Merge w:val="continue"/>
            <w:vAlign w:val="center"/>
          </w:tcPr>
          <w:p w14:paraId="634B4BB2">
            <w:pPr>
              <w:adjustRightInd w:val="0"/>
              <w:snapToGrid w:val="0"/>
              <w:spacing w:line="240" w:lineRule="auto"/>
              <w:jc w:val="center"/>
              <w:rPr>
                <w:sz w:val="21"/>
                <w:szCs w:val="21"/>
              </w:rPr>
            </w:pPr>
          </w:p>
        </w:tc>
        <w:tc>
          <w:tcPr>
            <w:tcW w:w="1354" w:type="dxa"/>
            <w:gridSpan w:val="2"/>
            <w:vMerge w:val="continue"/>
            <w:vAlign w:val="center"/>
          </w:tcPr>
          <w:p w14:paraId="2FA767EE">
            <w:pPr>
              <w:adjustRightInd w:val="0"/>
              <w:snapToGrid w:val="0"/>
              <w:spacing w:line="240" w:lineRule="auto"/>
              <w:jc w:val="center"/>
              <w:rPr>
                <w:sz w:val="21"/>
                <w:szCs w:val="21"/>
              </w:rPr>
            </w:pPr>
          </w:p>
        </w:tc>
        <w:tc>
          <w:tcPr>
            <w:tcW w:w="972" w:type="dxa"/>
            <w:vAlign w:val="center"/>
          </w:tcPr>
          <w:p w14:paraId="494DE31B">
            <w:pPr>
              <w:adjustRightInd w:val="0"/>
              <w:snapToGrid w:val="0"/>
              <w:spacing w:line="240" w:lineRule="auto"/>
              <w:jc w:val="center"/>
              <w:rPr>
                <w:sz w:val="21"/>
                <w:szCs w:val="21"/>
              </w:rPr>
            </w:pPr>
            <w:r>
              <w:rPr>
                <w:sz w:val="21"/>
                <w:szCs w:val="21"/>
              </w:rPr>
              <w:t>已建工程</w:t>
            </w:r>
          </w:p>
        </w:tc>
        <w:tc>
          <w:tcPr>
            <w:tcW w:w="1293" w:type="dxa"/>
            <w:vAlign w:val="center"/>
          </w:tcPr>
          <w:p w14:paraId="4F20CEDC">
            <w:pPr>
              <w:adjustRightInd w:val="0"/>
              <w:snapToGrid w:val="0"/>
              <w:spacing w:line="240" w:lineRule="auto"/>
              <w:jc w:val="center"/>
              <w:rPr>
                <w:sz w:val="21"/>
                <w:szCs w:val="21"/>
              </w:rPr>
            </w:pPr>
            <w:r>
              <w:rPr>
                <w:sz w:val="21"/>
                <w:szCs w:val="21"/>
              </w:rPr>
              <w:t>在建工程</w:t>
            </w:r>
          </w:p>
        </w:tc>
        <w:tc>
          <w:tcPr>
            <w:tcW w:w="1442" w:type="dxa"/>
            <w:vAlign w:val="center"/>
          </w:tcPr>
          <w:p w14:paraId="370B04C1">
            <w:pPr>
              <w:adjustRightInd w:val="0"/>
              <w:snapToGrid w:val="0"/>
              <w:spacing w:line="240" w:lineRule="auto"/>
              <w:jc w:val="center"/>
              <w:rPr>
                <w:sz w:val="21"/>
                <w:szCs w:val="21"/>
              </w:rPr>
            </w:pPr>
            <w:r>
              <w:rPr>
                <w:sz w:val="21"/>
                <w:szCs w:val="21"/>
              </w:rPr>
              <w:t>全厂</w:t>
            </w:r>
          </w:p>
        </w:tc>
        <w:tc>
          <w:tcPr>
            <w:tcW w:w="1111" w:type="dxa"/>
            <w:vMerge w:val="continue"/>
            <w:vAlign w:val="center"/>
          </w:tcPr>
          <w:p w14:paraId="3300F415">
            <w:pPr>
              <w:adjustRightInd w:val="0"/>
              <w:snapToGrid w:val="0"/>
              <w:spacing w:line="240" w:lineRule="auto"/>
              <w:jc w:val="center"/>
              <w:rPr>
                <w:sz w:val="21"/>
                <w:szCs w:val="21"/>
              </w:rPr>
            </w:pPr>
          </w:p>
        </w:tc>
        <w:tc>
          <w:tcPr>
            <w:tcW w:w="1685" w:type="dxa"/>
            <w:gridSpan w:val="2"/>
            <w:vMerge w:val="continue"/>
            <w:vAlign w:val="center"/>
          </w:tcPr>
          <w:p w14:paraId="139BB446">
            <w:pPr>
              <w:adjustRightInd w:val="0"/>
              <w:snapToGrid w:val="0"/>
              <w:spacing w:line="240" w:lineRule="auto"/>
              <w:jc w:val="center"/>
              <w:rPr>
                <w:sz w:val="21"/>
                <w:szCs w:val="21"/>
              </w:rPr>
            </w:pPr>
          </w:p>
        </w:tc>
      </w:tr>
      <w:tr w14:paraId="24B11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420" w:type="dxa"/>
            <w:gridSpan w:val="9"/>
            <w:vAlign w:val="center"/>
          </w:tcPr>
          <w:p w14:paraId="573309B2">
            <w:pPr>
              <w:adjustRightInd w:val="0"/>
              <w:snapToGrid w:val="0"/>
              <w:spacing w:line="240" w:lineRule="auto"/>
              <w:jc w:val="center"/>
              <w:rPr>
                <w:sz w:val="21"/>
                <w:szCs w:val="21"/>
              </w:rPr>
            </w:pPr>
            <w:r>
              <w:rPr>
                <w:sz w:val="21"/>
                <w:szCs w:val="21"/>
              </w:rPr>
              <w:t>一、主要原辅材料</w:t>
            </w:r>
            <w:r>
              <w:rPr>
                <w:rFonts w:hint="eastAsia"/>
                <w:sz w:val="21"/>
                <w:szCs w:val="21"/>
              </w:rPr>
              <w:t>（t/a）</w:t>
            </w:r>
          </w:p>
        </w:tc>
      </w:tr>
      <w:tr w14:paraId="03E8B1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4958746">
            <w:pPr>
              <w:adjustRightInd w:val="0"/>
              <w:snapToGrid w:val="0"/>
              <w:spacing w:line="240" w:lineRule="auto"/>
              <w:jc w:val="center"/>
              <w:rPr>
                <w:sz w:val="21"/>
                <w:szCs w:val="21"/>
              </w:rPr>
            </w:pPr>
            <w:r>
              <w:rPr>
                <w:sz w:val="21"/>
                <w:szCs w:val="21"/>
              </w:rPr>
              <w:t>1</w:t>
            </w:r>
          </w:p>
        </w:tc>
        <w:tc>
          <w:tcPr>
            <w:tcW w:w="1354" w:type="dxa"/>
            <w:gridSpan w:val="2"/>
            <w:vAlign w:val="center"/>
          </w:tcPr>
          <w:p w14:paraId="7E800EF1">
            <w:pPr>
              <w:adjustRightInd w:val="0"/>
              <w:snapToGrid w:val="0"/>
              <w:spacing w:line="240" w:lineRule="auto"/>
              <w:jc w:val="center"/>
              <w:rPr>
                <w:sz w:val="21"/>
                <w:szCs w:val="21"/>
              </w:rPr>
            </w:pPr>
            <w:r>
              <w:rPr>
                <w:sz w:val="21"/>
                <w:szCs w:val="21"/>
              </w:rPr>
              <w:t>聚丙烯薄膜</w:t>
            </w:r>
            <w:r>
              <w:rPr>
                <w:rFonts w:hint="eastAsia"/>
                <w:sz w:val="21"/>
                <w:szCs w:val="21"/>
              </w:rPr>
              <w:t>（</w:t>
            </w:r>
            <w:r>
              <w:rPr>
                <w:sz w:val="21"/>
                <w:szCs w:val="21"/>
              </w:rPr>
              <w:t>BOPP</w:t>
            </w:r>
            <w:r>
              <w:rPr>
                <w:rFonts w:hint="eastAsia"/>
                <w:sz w:val="21"/>
                <w:szCs w:val="21"/>
              </w:rPr>
              <w:t>）</w:t>
            </w:r>
          </w:p>
        </w:tc>
        <w:tc>
          <w:tcPr>
            <w:tcW w:w="972" w:type="dxa"/>
            <w:vAlign w:val="center"/>
          </w:tcPr>
          <w:p w14:paraId="5D05AFD7">
            <w:pPr>
              <w:adjustRightInd w:val="0"/>
              <w:snapToGrid w:val="0"/>
              <w:spacing w:line="240" w:lineRule="auto"/>
              <w:jc w:val="center"/>
              <w:rPr>
                <w:sz w:val="21"/>
                <w:szCs w:val="21"/>
              </w:rPr>
            </w:pPr>
            <w:r>
              <w:rPr>
                <w:rFonts w:hint="eastAsia"/>
                <w:sz w:val="21"/>
                <w:szCs w:val="21"/>
              </w:rPr>
              <w:t>4362</w:t>
            </w:r>
          </w:p>
        </w:tc>
        <w:tc>
          <w:tcPr>
            <w:tcW w:w="1293" w:type="dxa"/>
            <w:vAlign w:val="center"/>
          </w:tcPr>
          <w:p w14:paraId="5EA2D558">
            <w:pPr>
              <w:adjustRightInd w:val="0"/>
              <w:snapToGrid w:val="0"/>
              <w:spacing w:line="240" w:lineRule="auto"/>
              <w:jc w:val="center"/>
              <w:rPr>
                <w:sz w:val="21"/>
                <w:szCs w:val="21"/>
              </w:rPr>
            </w:pPr>
            <w:r>
              <w:rPr>
                <w:rFonts w:hint="eastAsia"/>
                <w:sz w:val="21"/>
                <w:szCs w:val="21"/>
              </w:rPr>
              <w:t>+1929</w:t>
            </w:r>
          </w:p>
        </w:tc>
        <w:tc>
          <w:tcPr>
            <w:tcW w:w="1442" w:type="dxa"/>
            <w:vAlign w:val="center"/>
          </w:tcPr>
          <w:p w14:paraId="28D39523">
            <w:pPr>
              <w:adjustRightInd w:val="0"/>
              <w:snapToGrid w:val="0"/>
              <w:spacing w:line="240" w:lineRule="auto"/>
              <w:jc w:val="center"/>
              <w:rPr>
                <w:sz w:val="21"/>
                <w:szCs w:val="21"/>
              </w:rPr>
            </w:pPr>
            <w:r>
              <w:rPr>
                <w:rFonts w:hint="eastAsia"/>
                <w:sz w:val="21"/>
                <w:szCs w:val="21"/>
              </w:rPr>
              <w:t>6291</w:t>
            </w:r>
          </w:p>
        </w:tc>
        <w:tc>
          <w:tcPr>
            <w:tcW w:w="1111" w:type="dxa"/>
            <w:vAlign w:val="center"/>
          </w:tcPr>
          <w:p w14:paraId="1481DF39">
            <w:pPr>
              <w:adjustRightInd w:val="0"/>
              <w:snapToGrid w:val="0"/>
              <w:spacing w:line="240" w:lineRule="auto"/>
              <w:jc w:val="center"/>
              <w:rPr>
                <w:sz w:val="21"/>
                <w:szCs w:val="21"/>
              </w:rPr>
            </w:pPr>
            <w:r>
              <w:rPr>
                <w:sz w:val="21"/>
                <w:szCs w:val="21"/>
              </w:rPr>
              <w:t>800</w:t>
            </w:r>
          </w:p>
        </w:tc>
        <w:tc>
          <w:tcPr>
            <w:tcW w:w="1685" w:type="dxa"/>
            <w:gridSpan w:val="2"/>
            <w:vAlign w:val="center"/>
          </w:tcPr>
          <w:p w14:paraId="7701C710">
            <w:pPr>
              <w:adjustRightInd w:val="0"/>
              <w:snapToGrid w:val="0"/>
              <w:spacing w:line="240" w:lineRule="auto"/>
              <w:jc w:val="center"/>
              <w:rPr>
                <w:sz w:val="21"/>
                <w:szCs w:val="21"/>
              </w:rPr>
            </w:pPr>
            <w:r>
              <w:rPr>
                <w:sz w:val="21"/>
                <w:szCs w:val="21"/>
              </w:rPr>
              <w:t>双向拉伸聚丙烯薄膜，印刷工序材料</w:t>
            </w:r>
          </w:p>
        </w:tc>
      </w:tr>
      <w:tr w14:paraId="15BF7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FB8F08C">
            <w:pPr>
              <w:adjustRightInd w:val="0"/>
              <w:snapToGrid w:val="0"/>
              <w:spacing w:line="240" w:lineRule="auto"/>
              <w:jc w:val="center"/>
              <w:rPr>
                <w:sz w:val="21"/>
                <w:szCs w:val="21"/>
              </w:rPr>
            </w:pPr>
            <w:r>
              <w:rPr>
                <w:sz w:val="21"/>
                <w:szCs w:val="21"/>
              </w:rPr>
              <w:t>2</w:t>
            </w:r>
          </w:p>
        </w:tc>
        <w:tc>
          <w:tcPr>
            <w:tcW w:w="1354" w:type="dxa"/>
            <w:gridSpan w:val="2"/>
            <w:vAlign w:val="center"/>
          </w:tcPr>
          <w:p w14:paraId="64A7621B">
            <w:pPr>
              <w:adjustRightInd w:val="0"/>
              <w:snapToGrid w:val="0"/>
              <w:spacing w:line="240" w:lineRule="auto"/>
              <w:jc w:val="center"/>
              <w:rPr>
                <w:sz w:val="21"/>
                <w:szCs w:val="21"/>
              </w:rPr>
            </w:pPr>
            <w:r>
              <w:rPr>
                <w:sz w:val="21"/>
                <w:szCs w:val="21"/>
              </w:rPr>
              <w:t>低密度聚乙烯薄膜</w:t>
            </w:r>
            <w:r>
              <w:rPr>
                <w:rFonts w:hint="eastAsia"/>
                <w:sz w:val="21"/>
                <w:szCs w:val="21"/>
              </w:rPr>
              <w:t>（</w:t>
            </w:r>
            <w:r>
              <w:rPr>
                <w:sz w:val="21"/>
                <w:szCs w:val="21"/>
              </w:rPr>
              <w:t>LDPE</w:t>
            </w:r>
            <w:r>
              <w:rPr>
                <w:rFonts w:hint="eastAsia"/>
                <w:sz w:val="21"/>
                <w:szCs w:val="21"/>
              </w:rPr>
              <w:t>）</w:t>
            </w:r>
          </w:p>
        </w:tc>
        <w:tc>
          <w:tcPr>
            <w:tcW w:w="972" w:type="dxa"/>
            <w:vAlign w:val="center"/>
          </w:tcPr>
          <w:p w14:paraId="273A2556">
            <w:pPr>
              <w:adjustRightInd w:val="0"/>
              <w:snapToGrid w:val="0"/>
              <w:spacing w:line="240" w:lineRule="auto"/>
              <w:jc w:val="center"/>
              <w:rPr>
                <w:sz w:val="21"/>
                <w:szCs w:val="21"/>
              </w:rPr>
            </w:pPr>
            <w:r>
              <w:rPr>
                <w:rFonts w:hint="eastAsia"/>
                <w:sz w:val="21"/>
                <w:szCs w:val="21"/>
              </w:rPr>
              <w:t>3332</w:t>
            </w:r>
          </w:p>
        </w:tc>
        <w:tc>
          <w:tcPr>
            <w:tcW w:w="1293" w:type="dxa"/>
            <w:vAlign w:val="center"/>
          </w:tcPr>
          <w:p w14:paraId="26EE21C1">
            <w:pPr>
              <w:adjustRightInd w:val="0"/>
              <w:snapToGrid w:val="0"/>
              <w:spacing w:line="240" w:lineRule="auto"/>
              <w:jc w:val="center"/>
              <w:rPr>
                <w:sz w:val="21"/>
                <w:szCs w:val="21"/>
              </w:rPr>
            </w:pPr>
            <w:r>
              <w:rPr>
                <w:rFonts w:hint="eastAsia"/>
                <w:sz w:val="21"/>
                <w:szCs w:val="21"/>
              </w:rPr>
              <w:t>+1542</w:t>
            </w:r>
          </w:p>
        </w:tc>
        <w:tc>
          <w:tcPr>
            <w:tcW w:w="1442" w:type="dxa"/>
            <w:vAlign w:val="center"/>
          </w:tcPr>
          <w:p w14:paraId="27CA769E">
            <w:pPr>
              <w:adjustRightInd w:val="0"/>
              <w:snapToGrid w:val="0"/>
              <w:spacing w:line="240" w:lineRule="auto"/>
              <w:jc w:val="center"/>
              <w:rPr>
                <w:sz w:val="21"/>
                <w:szCs w:val="21"/>
              </w:rPr>
            </w:pPr>
            <w:r>
              <w:rPr>
                <w:rFonts w:hint="eastAsia"/>
                <w:sz w:val="21"/>
                <w:szCs w:val="21"/>
              </w:rPr>
              <w:t>4874</w:t>
            </w:r>
          </w:p>
        </w:tc>
        <w:tc>
          <w:tcPr>
            <w:tcW w:w="1111" w:type="dxa"/>
            <w:vAlign w:val="center"/>
          </w:tcPr>
          <w:p w14:paraId="4B5AFCB9">
            <w:pPr>
              <w:adjustRightInd w:val="0"/>
              <w:snapToGrid w:val="0"/>
              <w:spacing w:line="240" w:lineRule="auto"/>
              <w:jc w:val="center"/>
              <w:rPr>
                <w:sz w:val="21"/>
                <w:szCs w:val="21"/>
              </w:rPr>
            </w:pPr>
            <w:r>
              <w:rPr>
                <w:sz w:val="21"/>
                <w:szCs w:val="21"/>
              </w:rPr>
              <w:t>500</w:t>
            </w:r>
          </w:p>
        </w:tc>
        <w:tc>
          <w:tcPr>
            <w:tcW w:w="1685" w:type="dxa"/>
            <w:gridSpan w:val="2"/>
            <w:vAlign w:val="center"/>
          </w:tcPr>
          <w:p w14:paraId="766CE315">
            <w:pPr>
              <w:adjustRightInd w:val="0"/>
              <w:snapToGrid w:val="0"/>
              <w:spacing w:line="240" w:lineRule="auto"/>
              <w:jc w:val="center"/>
              <w:rPr>
                <w:sz w:val="21"/>
                <w:szCs w:val="21"/>
              </w:rPr>
            </w:pPr>
            <w:r>
              <w:rPr>
                <w:sz w:val="21"/>
                <w:szCs w:val="21"/>
              </w:rPr>
              <w:t>印刷工序和复合工序材料</w:t>
            </w:r>
          </w:p>
        </w:tc>
      </w:tr>
      <w:tr w14:paraId="0C4F89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3F003B55">
            <w:pPr>
              <w:adjustRightInd w:val="0"/>
              <w:snapToGrid w:val="0"/>
              <w:spacing w:line="240" w:lineRule="auto"/>
              <w:jc w:val="center"/>
              <w:rPr>
                <w:sz w:val="21"/>
                <w:szCs w:val="21"/>
              </w:rPr>
            </w:pPr>
            <w:r>
              <w:rPr>
                <w:sz w:val="21"/>
                <w:szCs w:val="21"/>
              </w:rPr>
              <w:t>3</w:t>
            </w:r>
          </w:p>
        </w:tc>
        <w:tc>
          <w:tcPr>
            <w:tcW w:w="1354" w:type="dxa"/>
            <w:gridSpan w:val="2"/>
            <w:vAlign w:val="center"/>
          </w:tcPr>
          <w:p w14:paraId="4FF98726">
            <w:pPr>
              <w:adjustRightInd w:val="0"/>
              <w:snapToGrid w:val="0"/>
              <w:spacing w:line="240" w:lineRule="auto"/>
              <w:jc w:val="center"/>
              <w:rPr>
                <w:sz w:val="21"/>
                <w:szCs w:val="21"/>
              </w:rPr>
            </w:pPr>
            <w:r>
              <w:rPr>
                <w:sz w:val="21"/>
                <w:szCs w:val="21"/>
              </w:rPr>
              <w:t>双向拉伸尼龙薄膜（BOPA</w:t>
            </w:r>
            <w:r>
              <w:rPr>
                <w:rFonts w:hint="eastAsia"/>
                <w:sz w:val="21"/>
                <w:szCs w:val="21"/>
              </w:rPr>
              <w:t>）</w:t>
            </w:r>
          </w:p>
        </w:tc>
        <w:tc>
          <w:tcPr>
            <w:tcW w:w="972" w:type="dxa"/>
            <w:vAlign w:val="center"/>
          </w:tcPr>
          <w:p w14:paraId="6D77F6FC">
            <w:pPr>
              <w:adjustRightInd w:val="0"/>
              <w:snapToGrid w:val="0"/>
              <w:spacing w:line="240" w:lineRule="auto"/>
              <w:jc w:val="center"/>
              <w:rPr>
                <w:sz w:val="21"/>
                <w:szCs w:val="21"/>
              </w:rPr>
            </w:pPr>
            <w:r>
              <w:rPr>
                <w:rFonts w:hint="eastAsia"/>
                <w:sz w:val="21"/>
                <w:szCs w:val="21"/>
              </w:rPr>
              <w:t>1152.4</w:t>
            </w:r>
          </w:p>
        </w:tc>
        <w:tc>
          <w:tcPr>
            <w:tcW w:w="1293" w:type="dxa"/>
            <w:vAlign w:val="center"/>
          </w:tcPr>
          <w:p w14:paraId="0025BB1A">
            <w:pPr>
              <w:adjustRightInd w:val="0"/>
              <w:snapToGrid w:val="0"/>
              <w:spacing w:line="240" w:lineRule="auto"/>
              <w:jc w:val="center"/>
              <w:rPr>
                <w:sz w:val="21"/>
                <w:szCs w:val="21"/>
              </w:rPr>
            </w:pPr>
            <w:r>
              <w:rPr>
                <w:rFonts w:hint="eastAsia"/>
                <w:sz w:val="21"/>
                <w:szCs w:val="21"/>
              </w:rPr>
              <w:t>+660.6</w:t>
            </w:r>
          </w:p>
        </w:tc>
        <w:tc>
          <w:tcPr>
            <w:tcW w:w="1442" w:type="dxa"/>
            <w:vAlign w:val="center"/>
          </w:tcPr>
          <w:p w14:paraId="640F7071">
            <w:pPr>
              <w:adjustRightInd w:val="0"/>
              <w:snapToGrid w:val="0"/>
              <w:spacing w:line="240" w:lineRule="auto"/>
              <w:jc w:val="center"/>
              <w:rPr>
                <w:sz w:val="21"/>
                <w:szCs w:val="21"/>
              </w:rPr>
            </w:pPr>
            <w:r>
              <w:rPr>
                <w:rFonts w:hint="eastAsia"/>
                <w:sz w:val="21"/>
                <w:szCs w:val="21"/>
              </w:rPr>
              <w:t>1813</w:t>
            </w:r>
          </w:p>
        </w:tc>
        <w:tc>
          <w:tcPr>
            <w:tcW w:w="1111" w:type="dxa"/>
            <w:vAlign w:val="center"/>
          </w:tcPr>
          <w:p w14:paraId="0437DD2C">
            <w:pPr>
              <w:adjustRightInd w:val="0"/>
              <w:snapToGrid w:val="0"/>
              <w:spacing w:line="240" w:lineRule="auto"/>
              <w:jc w:val="center"/>
              <w:rPr>
                <w:sz w:val="21"/>
                <w:szCs w:val="21"/>
              </w:rPr>
            </w:pPr>
            <w:r>
              <w:rPr>
                <w:sz w:val="21"/>
                <w:szCs w:val="21"/>
              </w:rPr>
              <w:t>300</w:t>
            </w:r>
          </w:p>
        </w:tc>
        <w:tc>
          <w:tcPr>
            <w:tcW w:w="1685" w:type="dxa"/>
            <w:gridSpan w:val="2"/>
            <w:vAlign w:val="center"/>
          </w:tcPr>
          <w:p w14:paraId="511A7EB4">
            <w:pPr>
              <w:adjustRightInd w:val="0"/>
              <w:snapToGrid w:val="0"/>
              <w:spacing w:line="240" w:lineRule="auto"/>
              <w:jc w:val="center"/>
              <w:rPr>
                <w:sz w:val="21"/>
                <w:szCs w:val="21"/>
              </w:rPr>
            </w:pPr>
            <w:r>
              <w:rPr>
                <w:sz w:val="21"/>
                <w:szCs w:val="21"/>
              </w:rPr>
              <w:t>印刷工序和复合工序材料</w:t>
            </w:r>
          </w:p>
        </w:tc>
      </w:tr>
      <w:tr w14:paraId="2735C2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6D3A7FD">
            <w:pPr>
              <w:adjustRightInd w:val="0"/>
              <w:snapToGrid w:val="0"/>
              <w:spacing w:line="240" w:lineRule="auto"/>
              <w:jc w:val="center"/>
              <w:rPr>
                <w:sz w:val="21"/>
                <w:szCs w:val="21"/>
              </w:rPr>
            </w:pPr>
            <w:r>
              <w:rPr>
                <w:sz w:val="21"/>
                <w:szCs w:val="21"/>
              </w:rPr>
              <w:t>4</w:t>
            </w:r>
          </w:p>
        </w:tc>
        <w:tc>
          <w:tcPr>
            <w:tcW w:w="1354" w:type="dxa"/>
            <w:gridSpan w:val="2"/>
            <w:vAlign w:val="center"/>
          </w:tcPr>
          <w:p w14:paraId="5ED666F0">
            <w:pPr>
              <w:adjustRightInd w:val="0"/>
              <w:snapToGrid w:val="0"/>
              <w:spacing w:line="240" w:lineRule="auto"/>
              <w:jc w:val="center"/>
              <w:rPr>
                <w:sz w:val="21"/>
                <w:szCs w:val="21"/>
              </w:rPr>
            </w:pPr>
            <w:r>
              <w:rPr>
                <w:sz w:val="21"/>
                <w:szCs w:val="21"/>
              </w:rPr>
              <w:t>流延聚丙烯薄膜（CPP）</w:t>
            </w:r>
          </w:p>
        </w:tc>
        <w:tc>
          <w:tcPr>
            <w:tcW w:w="972" w:type="dxa"/>
            <w:vAlign w:val="center"/>
          </w:tcPr>
          <w:p w14:paraId="5FE25F0E">
            <w:pPr>
              <w:adjustRightInd w:val="0"/>
              <w:snapToGrid w:val="0"/>
              <w:spacing w:line="240" w:lineRule="auto"/>
              <w:jc w:val="center"/>
              <w:rPr>
                <w:sz w:val="21"/>
                <w:szCs w:val="21"/>
              </w:rPr>
            </w:pPr>
            <w:r>
              <w:rPr>
                <w:rFonts w:hint="eastAsia"/>
                <w:sz w:val="21"/>
                <w:szCs w:val="21"/>
              </w:rPr>
              <w:t>1847</w:t>
            </w:r>
          </w:p>
        </w:tc>
        <w:tc>
          <w:tcPr>
            <w:tcW w:w="1293" w:type="dxa"/>
            <w:vAlign w:val="center"/>
          </w:tcPr>
          <w:p w14:paraId="34ADE394">
            <w:pPr>
              <w:adjustRightInd w:val="0"/>
              <w:snapToGrid w:val="0"/>
              <w:spacing w:line="240" w:lineRule="auto"/>
              <w:jc w:val="center"/>
              <w:rPr>
                <w:sz w:val="21"/>
                <w:szCs w:val="21"/>
              </w:rPr>
            </w:pPr>
            <w:r>
              <w:rPr>
                <w:rFonts w:hint="eastAsia"/>
                <w:sz w:val="21"/>
                <w:szCs w:val="21"/>
              </w:rPr>
              <w:t>+969</w:t>
            </w:r>
          </w:p>
        </w:tc>
        <w:tc>
          <w:tcPr>
            <w:tcW w:w="1442" w:type="dxa"/>
            <w:vAlign w:val="center"/>
          </w:tcPr>
          <w:p w14:paraId="1C22A467">
            <w:pPr>
              <w:adjustRightInd w:val="0"/>
              <w:snapToGrid w:val="0"/>
              <w:spacing w:line="240" w:lineRule="auto"/>
              <w:jc w:val="center"/>
              <w:rPr>
                <w:sz w:val="21"/>
                <w:szCs w:val="21"/>
              </w:rPr>
            </w:pPr>
            <w:r>
              <w:rPr>
                <w:rFonts w:hint="eastAsia"/>
                <w:sz w:val="21"/>
                <w:szCs w:val="21"/>
              </w:rPr>
              <w:t>2816</w:t>
            </w:r>
          </w:p>
        </w:tc>
        <w:tc>
          <w:tcPr>
            <w:tcW w:w="1111" w:type="dxa"/>
            <w:vAlign w:val="center"/>
          </w:tcPr>
          <w:p w14:paraId="78596AB3">
            <w:pPr>
              <w:adjustRightInd w:val="0"/>
              <w:snapToGrid w:val="0"/>
              <w:spacing w:line="240" w:lineRule="auto"/>
              <w:jc w:val="center"/>
              <w:rPr>
                <w:sz w:val="21"/>
                <w:szCs w:val="21"/>
              </w:rPr>
            </w:pPr>
            <w:r>
              <w:rPr>
                <w:sz w:val="21"/>
                <w:szCs w:val="21"/>
              </w:rPr>
              <w:t>600</w:t>
            </w:r>
          </w:p>
        </w:tc>
        <w:tc>
          <w:tcPr>
            <w:tcW w:w="1685" w:type="dxa"/>
            <w:gridSpan w:val="2"/>
            <w:vAlign w:val="center"/>
          </w:tcPr>
          <w:p w14:paraId="371C67B9">
            <w:pPr>
              <w:adjustRightInd w:val="0"/>
              <w:snapToGrid w:val="0"/>
              <w:spacing w:line="240" w:lineRule="auto"/>
              <w:jc w:val="center"/>
              <w:rPr>
                <w:sz w:val="21"/>
                <w:szCs w:val="21"/>
              </w:rPr>
            </w:pPr>
            <w:r>
              <w:rPr>
                <w:sz w:val="21"/>
                <w:szCs w:val="21"/>
              </w:rPr>
              <w:t>又名聚丙烯薄膜，复合工序材料</w:t>
            </w:r>
          </w:p>
        </w:tc>
      </w:tr>
      <w:tr w14:paraId="1B71AB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597BD9D2">
            <w:pPr>
              <w:adjustRightInd w:val="0"/>
              <w:snapToGrid w:val="0"/>
              <w:spacing w:line="240" w:lineRule="auto"/>
              <w:jc w:val="center"/>
              <w:rPr>
                <w:sz w:val="21"/>
                <w:szCs w:val="21"/>
              </w:rPr>
            </w:pPr>
            <w:r>
              <w:rPr>
                <w:sz w:val="21"/>
                <w:szCs w:val="21"/>
              </w:rPr>
              <w:t>5</w:t>
            </w:r>
          </w:p>
        </w:tc>
        <w:tc>
          <w:tcPr>
            <w:tcW w:w="1354" w:type="dxa"/>
            <w:gridSpan w:val="2"/>
            <w:vAlign w:val="center"/>
          </w:tcPr>
          <w:p w14:paraId="45861F92">
            <w:pPr>
              <w:adjustRightInd w:val="0"/>
              <w:snapToGrid w:val="0"/>
              <w:spacing w:line="240" w:lineRule="auto"/>
              <w:jc w:val="center"/>
              <w:rPr>
                <w:sz w:val="21"/>
                <w:szCs w:val="21"/>
              </w:rPr>
            </w:pPr>
            <w:r>
              <w:rPr>
                <w:sz w:val="21"/>
                <w:szCs w:val="21"/>
              </w:rPr>
              <w:t>油墨</w:t>
            </w:r>
          </w:p>
        </w:tc>
        <w:tc>
          <w:tcPr>
            <w:tcW w:w="972" w:type="dxa"/>
            <w:vAlign w:val="center"/>
          </w:tcPr>
          <w:p w14:paraId="4EE5FE89">
            <w:pPr>
              <w:adjustRightInd w:val="0"/>
              <w:snapToGrid w:val="0"/>
              <w:spacing w:line="240" w:lineRule="auto"/>
              <w:jc w:val="center"/>
              <w:rPr>
                <w:sz w:val="21"/>
                <w:szCs w:val="21"/>
              </w:rPr>
            </w:pPr>
            <w:r>
              <w:rPr>
                <w:sz w:val="21"/>
                <w:szCs w:val="21"/>
              </w:rPr>
              <w:t>376</w:t>
            </w:r>
          </w:p>
        </w:tc>
        <w:tc>
          <w:tcPr>
            <w:tcW w:w="1293" w:type="dxa"/>
            <w:vAlign w:val="center"/>
          </w:tcPr>
          <w:p w14:paraId="019DC358">
            <w:pPr>
              <w:adjustRightInd w:val="0"/>
              <w:snapToGrid w:val="0"/>
              <w:spacing w:line="240" w:lineRule="auto"/>
              <w:jc w:val="center"/>
              <w:rPr>
                <w:sz w:val="21"/>
                <w:szCs w:val="21"/>
              </w:rPr>
            </w:pPr>
            <w:r>
              <w:rPr>
                <w:rFonts w:hint="eastAsia"/>
                <w:sz w:val="21"/>
                <w:szCs w:val="21"/>
              </w:rPr>
              <w:t>+184</w:t>
            </w:r>
          </w:p>
        </w:tc>
        <w:tc>
          <w:tcPr>
            <w:tcW w:w="1442" w:type="dxa"/>
            <w:vAlign w:val="center"/>
          </w:tcPr>
          <w:p w14:paraId="4D7817F9">
            <w:pPr>
              <w:adjustRightInd w:val="0"/>
              <w:snapToGrid w:val="0"/>
              <w:spacing w:line="240" w:lineRule="auto"/>
              <w:jc w:val="center"/>
              <w:rPr>
                <w:sz w:val="21"/>
                <w:szCs w:val="21"/>
              </w:rPr>
            </w:pPr>
            <w:r>
              <w:rPr>
                <w:sz w:val="21"/>
                <w:szCs w:val="21"/>
              </w:rPr>
              <w:t>5</w:t>
            </w:r>
            <w:r>
              <w:rPr>
                <w:rFonts w:hint="eastAsia"/>
                <w:sz w:val="21"/>
                <w:szCs w:val="21"/>
              </w:rPr>
              <w:t>60</w:t>
            </w:r>
          </w:p>
        </w:tc>
        <w:tc>
          <w:tcPr>
            <w:tcW w:w="1111" w:type="dxa"/>
            <w:vAlign w:val="center"/>
          </w:tcPr>
          <w:p w14:paraId="670E6380">
            <w:pPr>
              <w:adjustRightInd w:val="0"/>
              <w:snapToGrid w:val="0"/>
              <w:spacing w:line="240" w:lineRule="auto"/>
              <w:jc w:val="center"/>
              <w:rPr>
                <w:sz w:val="21"/>
                <w:szCs w:val="21"/>
              </w:rPr>
            </w:pPr>
            <w:r>
              <w:rPr>
                <w:rFonts w:hint="eastAsia"/>
                <w:sz w:val="21"/>
                <w:szCs w:val="21"/>
              </w:rPr>
              <w:t>20</w:t>
            </w:r>
          </w:p>
        </w:tc>
        <w:tc>
          <w:tcPr>
            <w:tcW w:w="1685" w:type="dxa"/>
            <w:gridSpan w:val="2"/>
            <w:vAlign w:val="center"/>
          </w:tcPr>
          <w:p w14:paraId="19621872">
            <w:pPr>
              <w:adjustRightInd w:val="0"/>
              <w:snapToGrid w:val="0"/>
              <w:spacing w:line="240" w:lineRule="auto"/>
              <w:jc w:val="center"/>
              <w:rPr>
                <w:sz w:val="21"/>
                <w:szCs w:val="21"/>
              </w:rPr>
            </w:pPr>
            <w:r>
              <w:rPr>
                <w:sz w:val="21"/>
                <w:szCs w:val="21"/>
              </w:rPr>
              <w:t>油墨主要由色料、连接料和助剂组成，印刷工序</w:t>
            </w:r>
          </w:p>
        </w:tc>
      </w:tr>
      <w:tr w14:paraId="5AB9DE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572C4989">
            <w:pPr>
              <w:adjustRightInd w:val="0"/>
              <w:snapToGrid w:val="0"/>
              <w:spacing w:line="240" w:lineRule="auto"/>
              <w:jc w:val="center"/>
              <w:rPr>
                <w:sz w:val="21"/>
                <w:szCs w:val="21"/>
              </w:rPr>
            </w:pPr>
            <w:r>
              <w:rPr>
                <w:sz w:val="21"/>
                <w:szCs w:val="21"/>
              </w:rPr>
              <w:t>6</w:t>
            </w:r>
          </w:p>
        </w:tc>
        <w:tc>
          <w:tcPr>
            <w:tcW w:w="339" w:type="dxa"/>
            <w:vMerge w:val="restart"/>
            <w:vAlign w:val="center"/>
          </w:tcPr>
          <w:p w14:paraId="674DCDE4">
            <w:pPr>
              <w:adjustRightInd w:val="0"/>
              <w:snapToGrid w:val="0"/>
              <w:spacing w:line="240" w:lineRule="auto"/>
              <w:jc w:val="center"/>
              <w:rPr>
                <w:sz w:val="21"/>
                <w:szCs w:val="21"/>
              </w:rPr>
            </w:pPr>
            <w:r>
              <w:rPr>
                <w:sz w:val="21"/>
                <w:szCs w:val="21"/>
              </w:rPr>
              <w:t>稀释剂</w:t>
            </w:r>
          </w:p>
        </w:tc>
        <w:tc>
          <w:tcPr>
            <w:tcW w:w="1015" w:type="dxa"/>
            <w:vAlign w:val="center"/>
          </w:tcPr>
          <w:p w14:paraId="219E4E9E">
            <w:pPr>
              <w:adjustRightInd w:val="0"/>
              <w:snapToGrid w:val="0"/>
              <w:spacing w:line="240" w:lineRule="auto"/>
              <w:jc w:val="center"/>
              <w:rPr>
                <w:sz w:val="21"/>
                <w:szCs w:val="21"/>
                <w:u w:val="single"/>
              </w:rPr>
            </w:pPr>
            <w:r>
              <w:rPr>
                <w:sz w:val="21"/>
                <w:szCs w:val="21"/>
                <w:u w:val="single"/>
              </w:rPr>
              <w:t>乙酸正丙酯</w:t>
            </w:r>
          </w:p>
        </w:tc>
        <w:tc>
          <w:tcPr>
            <w:tcW w:w="972" w:type="dxa"/>
            <w:vAlign w:val="center"/>
          </w:tcPr>
          <w:p w14:paraId="33F1B641">
            <w:pPr>
              <w:adjustRightInd w:val="0"/>
              <w:snapToGrid w:val="0"/>
              <w:spacing w:line="240" w:lineRule="auto"/>
              <w:jc w:val="center"/>
              <w:rPr>
                <w:sz w:val="21"/>
                <w:szCs w:val="21"/>
                <w:u w:val="single"/>
              </w:rPr>
            </w:pPr>
            <w:r>
              <w:rPr>
                <w:rFonts w:hint="eastAsia"/>
                <w:sz w:val="21"/>
                <w:szCs w:val="21"/>
                <w:u w:val="single"/>
              </w:rPr>
              <w:t>12.3</w:t>
            </w:r>
          </w:p>
        </w:tc>
        <w:tc>
          <w:tcPr>
            <w:tcW w:w="1293" w:type="dxa"/>
            <w:vAlign w:val="center"/>
          </w:tcPr>
          <w:p w14:paraId="42545C83">
            <w:pPr>
              <w:adjustRightInd w:val="0"/>
              <w:snapToGrid w:val="0"/>
              <w:spacing w:line="240" w:lineRule="auto"/>
              <w:jc w:val="center"/>
              <w:rPr>
                <w:sz w:val="21"/>
                <w:szCs w:val="21"/>
                <w:u w:val="single"/>
              </w:rPr>
            </w:pPr>
            <w:r>
              <w:rPr>
                <w:rFonts w:hint="eastAsia"/>
                <w:sz w:val="21"/>
                <w:szCs w:val="21"/>
              </w:rPr>
              <w:t>+</w:t>
            </w:r>
            <w:r>
              <w:rPr>
                <w:rFonts w:hint="eastAsia"/>
                <w:sz w:val="21"/>
                <w:szCs w:val="21"/>
                <w:u w:val="single"/>
              </w:rPr>
              <w:t>107.5</w:t>
            </w:r>
          </w:p>
        </w:tc>
        <w:tc>
          <w:tcPr>
            <w:tcW w:w="1442" w:type="dxa"/>
            <w:vAlign w:val="center"/>
          </w:tcPr>
          <w:p w14:paraId="5F7A3FAE">
            <w:pPr>
              <w:adjustRightInd w:val="0"/>
              <w:snapToGrid w:val="0"/>
              <w:spacing w:line="240" w:lineRule="auto"/>
              <w:jc w:val="center"/>
              <w:rPr>
                <w:sz w:val="21"/>
                <w:szCs w:val="21"/>
                <w:u w:val="single"/>
              </w:rPr>
            </w:pPr>
            <w:r>
              <w:rPr>
                <w:rFonts w:hint="eastAsia"/>
                <w:sz w:val="21"/>
                <w:szCs w:val="21"/>
                <w:u w:val="single"/>
              </w:rPr>
              <w:t>119.8</w:t>
            </w:r>
          </w:p>
        </w:tc>
        <w:tc>
          <w:tcPr>
            <w:tcW w:w="1111" w:type="dxa"/>
            <w:vAlign w:val="center"/>
          </w:tcPr>
          <w:p w14:paraId="3B345FB2">
            <w:pPr>
              <w:adjustRightInd w:val="0"/>
              <w:snapToGrid w:val="0"/>
              <w:spacing w:line="240" w:lineRule="auto"/>
              <w:jc w:val="center"/>
              <w:rPr>
                <w:sz w:val="21"/>
                <w:szCs w:val="21"/>
                <w:u w:val="single"/>
              </w:rPr>
            </w:pPr>
            <w:r>
              <w:rPr>
                <w:rFonts w:hint="eastAsia"/>
                <w:sz w:val="21"/>
                <w:szCs w:val="21"/>
                <w:u w:val="single"/>
              </w:rPr>
              <w:t>5.3</w:t>
            </w:r>
          </w:p>
        </w:tc>
        <w:tc>
          <w:tcPr>
            <w:tcW w:w="906" w:type="dxa"/>
            <w:vAlign w:val="center"/>
          </w:tcPr>
          <w:p w14:paraId="124AC5D8">
            <w:pPr>
              <w:adjustRightInd w:val="0"/>
              <w:snapToGrid w:val="0"/>
              <w:spacing w:line="240" w:lineRule="auto"/>
              <w:jc w:val="center"/>
              <w:rPr>
                <w:sz w:val="21"/>
                <w:szCs w:val="21"/>
                <w:u w:val="single"/>
              </w:rPr>
            </w:pPr>
            <w:r>
              <w:rPr>
                <w:sz w:val="21"/>
                <w:szCs w:val="21"/>
                <w:u w:val="single"/>
              </w:rPr>
              <w:t>用于油墨稀释</w:t>
            </w:r>
          </w:p>
        </w:tc>
        <w:tc>
          <w:tcPr>
            <w:tcW w:w="779" w:type="dxa"/>
            <w:vMerge w:val="restart"/>
            <w:vAlign w:val="center"/>
          </w:tcPr>
          <w:p w14:paraId="00143EDD">
            <w:pPr>
              <w:adjustRightInd w:val="0"/>
              <w:snapToGrid w:val="0"/>
              <w:spacing w:line="240" w:lineRule="auto"/>
              <w:jc w:val="center"/>
              <w:rPr>
                <w:sz w:val="21"/>
                <w:szCs w:val="21"/>
              </w:rPr>
            </w:pPr>
            <w:r>
              <w:rPr>
                <w:rFonts w:hint="eastAsia"/>
                <w:sz w:val="21"/>
                <w:szCs w:val="21"/>
                <w:u w:val="single"/>
              </w:rPr>
              <w:t>溶剂回收环保系统启用后可以满足本厂的溶剂使用，不再外购</w:t>
            </w:r>
          </w:p>
        </w:tc>
      </w:tr>
      <w:tr w14:paraId="48231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4E9FE28D">
            <w:pPr>
              <w:adjustRightInd w:val="0"/>
              <w:snapToGrid w:val="0"/>
              <w:spacing w:line="240" w:lineRule="auto"/>
              <w:jc w:val="center"/>
              <w:rPr>
                <w:sz w:val="21"/>
                <w:szCs w:val="21"/>
              </w:rPr>
            </w:pPr>
            <w:r>
              <w:rPr>
                <w:sz w:val="21"/>
                <w:szCs w:val="21"/>
              </w:rPr>
              <w:t>7</w:t>
            </w:r>
          </w:p>
        </w:tc>
        <w:tc>
          <w:tcPr>
            <w:tcW w:w="339" w:type="dxa"/>
            <w:vMerge w:val="continue"/>
            <w:vAlign w:val="center"/>
          </w:tcPr>
          <w:p w14:paraId="19897382">
            <w:pPr>
              <w:adjustRightInd w:val="0"/>
              <w:snapToGrid w:val="0"/>
              <w:spacing w:line="240" w:lineRule="auto"/>
              <w:jc w:val="center"/>
              <w:rPr>
                <w:sz w:val="21"/>
                <w:szCs w:val="21"/>
              </w:rPr>
            </w:pPr>
          </w:p>
        </w:tc>
        <w:tc>
          <w:tcPr>
            <w:tcW w:w="1015" w:type="dxa"/>
            <w:vAlign w:val="center"/>
          </w:tcPr>
          <w:p w14:paraId="5664A13E">
            <w:pPr>
              <w:adjustRightInd w:val="0"/>
              <w:snapToGrid w:val="0"/>
              <w:spacing w:line="240" w:lineRule="auto"/>
              <w:jc w:val="center"/>
              <w:rPr>
                <w:sz w:val="21"/>
                <w:szCs w:val="21"/>
                <w:u w:val="single"/>
              </w:rPr>
            </w:pPr>
            <w:r>
              <w:rPr>
                <w:sz w:val="21"/>
                <w:szCs w:val="21"/>
                <w:u w:val="single"/>
              </w:rPr>
              <w:t>异丙醇</w:t>
            </w:r>
          </w:p>
        </w:tc>
        <w:tc>
          <w:tcPr>
            <w:tcW w:w="972" w:type="dxa"/>
            <w:vAlign w:val="center"/>
          </w:tcPr>
          <w:p w14:paraId="1D4780BE">
            <w:pPr>
              <w:adjustRightInd w:val="0"/>
              <w:snapToGrid w:val="0"/>
              <w:spacing w:line="240" w:lineRule="auto"/>
              <w:jc w:val="center"/>
              <w:rPr>
                <w:sz w:val="21"/>
                <w:szCs w:val="21"/>
                <w:u w:val="single"/>
              </w:rPr>
            </w:pPr>
            <w:r>
              <w:rPr>
                <w:rFonts w:hint="eastAsia"/>
                <w:sz w:val="21"/>
                <w:szCs w:val="21"/>
                <w:u w:val="single"/>
              </w:rPr>
              <w:t>2.56</w:t>
            </w:r>
          </w:p>
        </w:tc>
        <w:tc>
          <w:tcPr>
            <w:tcW w:w="1293" w:type="dxa"/>
            <w:vAlign w:val="center"/>
          </w:tcPr>
          <w:p w14:paraId="7C2BA934">
            <w:pPr>
              <w:adjustRightInd w:val="0"/>
              <w:snapToGrid w:val="0"/>
              <w:spacing w:line="240" w:lineRule="auto"/>
              <w:jc w:val="center"/>
              <w:rPr>
                <w:sz w:val="21"/>
                <w:szCs w:val="21"/>
                <w:u w:val="single"/>
              </w:rPr>
            </w:pPr>
            <w:r>
              <w:rPr>
                <w:rFonts w:hint="eastAsia"/>
                <w:sz w:val="21"/>
                <w:szCs w:val="21"/>
              </w:rPr>
              <w:t>+</w:t>
            </w:r>
            <w:r>
              <w:rPr>
                <w:rFonts w:hint="eastAsia"/>
                <w:sz w:val="21"/>
                <w:szCs w:val="21"/>
                <w:u w:val="single"/>
              </w:rPr>
              <w:t>27.54</w:t>
            </w:r>
          </w:p>
        </w:tc>
        <w:tc>
          <w:tcPr>
            <w:tcW w:w="1442" w:type="dxa"/>
            <w:vAlign w:val="center"/>
          </w:tcPr>
          <w:p w14:paraId="30C36C03">
            <w:pPr>
              <w:adjustRightInd w:val="0"/>
              <w:snapToGrid w:val="0"/>
              <w:spacing w:line="240" w:lineRule="auto"/>
              <w:jc w:val="center"/>
              <w:rPr>
                <w:sz w:val="21"/>
                <w:szCs w:val="21"/>
                <w:u w:val="single"/>
              </w:rPr>
            </w:pPr>
            <w:r>
              <w:rPr>
                <w:rFonts w:hint="eastAsia"/>
                <w:sz w:val="21"/>
                <w:szCs w:val="21"/>
                <w:u w:val="single"/>
              </w:rPr>
              <w:t>30.1</w:t>
            </w:r>
          </w:p>
        </w:tc>
        <w:tc>
          <w:tcPr>
            <w:tcW w:w="1111" w:type="dxa"/>
            <w:vAlign w:val="center"/>
          </w:tcPr>
          <w:p w14:paraId="016EDEBE">
            <w:pPr>
              <w:adjustRightInd w:val="0"/>
              <w:snapToGrid w:val="0"/>
              <w:spacing w:line="240" w:lineRule="auto"/>
              <w:jc w:val="center"/>
              <w:rPr>
                <w:sz w:val="21"/>
                <w:szCs w:val="21"/>
                <w:u w:val="single"/>
              </w:rPr>
            </w:pPr>
            <w:r>
              <w:rPr>
                <w:sz w:val="21"/>
                <w:szCs w:val="21"/>
                <w:u w:val="single"/>
              </w:rPr>
              <w:t>3</w:t>
            </w:r>
          </w:p>
        </w:tc>
        <w:tc>
          <w:tcPr>
            <w:tcW w:w="906" w:type="dxa"/>
            <w:vAlign w:val="center"/>
          </w:tcPr>
          <w:p w14:paraId="7DCD9481">
            <w:pPr>
              <w:adjustRightInd w:val="0"/>
              <w:snapToGrid w:val="0"/>
              <w:spacing w:line="240" w:lineRule="auto"/>
              <w:jc w:val="center"/>
              <w:rPr>
                <w:sz w:val="21"/>
                <w:szCs w:val="21"/>
                <w:u w:val="single"/>
              </w:rPr>
            </w:pPr>
            <w:r>
              <w:rPr>
                <w:sz w:val="21"/>
                <w:szCs w:val="21"/>
                <w:u w:val="single"/>
              </w:rPr>
              <w:t>用于油墨稀释</w:t>
            </w:r>
          </w:p>
        </w:tc>
        <w:tc>
          <w:tcPr>
            <w:tcW w:w="779" w:type="dxa"/>
            <w:vMerge w:val="continue"/>
            <w:vAlign w:val="center"/>
          </w:tcPr>
          <w:p w14:paraId="1CC9BFA0">
            <w:pPr>
              <w:adjustRightInd w:val="0"/>
              <w:snapToGrid w:val="0"/>
              <w:spacing w:line="240" w:lineRule="auto"/>
              <w:jc w:val="center"/>
              <w:rPr>
                <w:sz w:val="21"/>
                <w:szCs w:val="21"/>
              </w:rPr>
            </w:pPr>
          </w:p>
        </w:tc>
      </w:tr>
      <w:tr w14:paraId="61C128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153A8B88">
            <w:pPr>
              <w:adjustRightInd w:val="0"/>
              <w:snapToGrid w:val="0"/>
              <w:spacing w:line="240" w:lineRule="auto"/>
              <w:jc w:val="center"/>
              <w:rPr>
                <w:sz w:val="21"/>
                <w:szCs w:val="21"/>
              </w:rPr>
            </w:pPr>
            <w:r>
              <w:rPr>
                <w:sz w:val="21"/>
                <w:szCs w:val="21"/>
              </w:rPr>
              <w:t>8</w:t>
            </w:r>
          </w:p>
        </w:tc>
        <w:tc>
          <w:tcPr>
            <w:tcW w:w="339" w:type="dxa"/>
            <w:vMerge w:val="continue"/>
            <w:vAlign w:val="center"/>
          </w:tcPr>
          <w:p w14:paraId="37A500E1">
            <w:pPr>
              <w:adjustRightInd w:val="0"/>
              <w:snapToGrid w:val="0"/>
              <w:spacing w:line="240" w:lineRule="auto"/>
              <w:jc w:val="center"/>
              <w:rPr>
                <w:sz w:val="21"/>
                <w:szCs w:val="21"/>
              </w:rPr>
            </w:pPr>
          </w:p>
        </w:tc>
        <w:tc>
          <w:tcPr>
            <w:tcW w:w="1015" w:type="dxa"/>
            <w:vAlign w:val="center"/>
          </w:tcPr>
          <w:p w14:paraId="2A39C2C7">
            <w:pPr>
              <w:adjustRightInd w:val="0"/>
              <w:snapToGrid w:val="0"/>
              <w:spacing w:line="240" w:lineRule="auto"/>
              <w:jc w:val="center"/>
              <w:rPr>
                <w:sz w:val="21"/>
                <w:szCs w:val="21"/>
                <w:u w:val="single"/>
              </w:rPr>
            </w:pPr>
            <w:r>
              <w:rPr>
                <w:sz w:val="21"/>
                <w:szCs w:val="21"/>
                <w:u w:val="single"/>
              </w:rPr>
              <w:t>乙酸丁酯</w:t>
            </w:r>
          </w:p>
        </w:tc>
        <w:tc>
          <w:tcPr>
            <w:tcW w:w="972" w:type="dxa"/>
            <w:vAlign w:val="center"/>
          </w:tcPr>
          <w:p w14:paraId="3B0D8B06">
            <w:pPr>
              <w:adjustRightInd w:val="0"/>
              <w:snapToGrid w:val="0"/>
              <w:spacing w:line="240" w:lineRule="auto"/>
              <w:jc w:val="center"/>
              <w:rPr>
                <w:sz w:val="21"/>
                <w:szCs w:val="21"/>
                <w:u w:val="single"/>
              </w:rPr>
            </w:pPr>
            <w:r>
              <w:rPr>
                <w:rFonts w:hint="eastAsia"/>
                <w:sz w:val="21"/>
                <w:szCs w:val="21"/>
                <w:u w:val="single"/>
              </w:rPr>
              <w:t>2.56</w:t>
            </w:r>
          </w:p>
        </w:tc>
        <w:tc>
          <w:tcPr>
            <w:tcW w:w="1293" w:type="dxa"/>
            <w:vAlign w:val="center"/>
          </w:tcPr>
          <w:p w14:paraId="7CB8D45C">
            <w:pPr>
              <w:adjustRightInd w:val="0"/>
              <w:snapToGrid w:val="0"/>
              <w:spacing w:line="240" w:lineRule="auto"/>
              <w:jc w:val="center"/>
              <w:rPr>
                <w:sz w:val="21"/>
                <w:szCs w:val="21"/>
                <w:u w:val="single"/>
              </w:rPr>
            </w:pPr>
            <w:r>
              <w:rPr>
                <w:rFonts w:hint="eastAsia"/>
                <w:sz w:val="21"/>
                <w:szCs w:val="21"/>
              </w:rPr>
              <w:t>+</w:t>
            </w:r>
            <w:r>
              <w:rPr>
                <w:rFonts w:hint="eastAsia"/>
                <w:sz w:val="21"/>
                <w:szCs w:val="21"/>
                <w:u w:val="single"/>
              </w:rPr>
              <w:t>27.54</w:t>
            </w:r>
          </w:p>
        </w:tc>
        <w:tc>
          <w:tcPr>
            <w:tcW w:w="1442" w:type="dxa"/>
            <w:vAlign w:val="center"/>
          </w:tcPr>
          <w:p w14:paraId="3667168A">
            <w:pPr>
              <w:adjustRightInd w:val="0"/>
              <w:snapToGrid w:val="0"/>
              <w:spacing w:line="240" w:lineRule="auto"/>
              <w:jc w:val="center"/>
              <w:rPr>
                <w:sz w:val="21"/>
                <w:szCs w:val="21"/>
                <w:u w:val="single"/>
              </w:rPr>
            </w:pPr>
            <w:r>
              <w:rPr>
                <w:rFonts w:hint="eastAsia"/>
                <w:sz w:val="21"/>
                <w:szCs w:val="21"/>
                <w:u w:val="single"/>
              </w:rPr>
              <w:t>30.1</w:t>
            </w:r>
          </w:p>
        </w:tc>
        <w:tc>
          <w:tcPr>
            <w:tcW w:w="1111" w:type="dxa"/>
            <w:vAlign w:val="center"/>
          </w:tcPr>
          <w:p w14:paraId="3209D1D2">
            <w:pPr>
              <w:adjustRightInd w:val="0"/>
              <w:snapToGrid w:val="0"/>
              <w:spacing w:line="240" w:lineRule="auto"/>
              <w:jc w:val="center"/>
              <w:rPr>
                <w:sz w:val="21"/>
                <w:szCs w:val="21"/>
                <w:u w:val="single"/>
              </w:rPr>
            </w:pPr>
            <w:r>
              <w:rPr>
                <w:sz w:val="21"/>
                <w:szCs w:val="21"/>
                <w:u w:val="single"/>
              </w:rPr>
              <w:t>3</w:t>
            </w:r>
          </w:p>
        </w:tc>
        <w:tc>
          <w:tcPr>
            <w:tcW w:w="906" w:type="dxa"/>
            <w:vAlign w:val="center"/>
          </w:tcPr>
          <w:p w14:paraId="10FB24DE">
            <w:pPr>
              <w:adjustRightInd w:val="0"/>
              <w:snapToGrid w:val="0"/>
              <w:spacing w:line="240" w:lineRule="auto"/>
              <w:jc w:val="center"/>
              <w:rPr>
                <w:sz w:val="21"/>
                <w:szCs w:val="21"/>
                <w:u w:val="single"/>
              </w:rPr>
            </w:pPr>
            <w:r>
              <w:rPr>
                <w:sz w:val="21"/>
                <w:szCs w:val="21"/>
                <w:u w:val="single"/>
              </w:rPr>
              <w:t>用于油墨稀释</w:t>
            </w:r>
          </w:p>
        </w:tc>
        <w:tc>
          <w:tcPr>
            <w:tcW w:w="779" w:type="dxa"/>
            <w:vMerge w:val="continue"/>
            <w:vAlign w:val="center"/>
          </w:tcPr>
          <w:p w14:paraId="5DA4430F">
            <w:pPr>
              <w:adjustRightInd w:val="0"/>
              <w:snapToGrid w:val="0"/>
              <w:spacing w:line="240" w:lineRule="auto"/>
              <w:jc w:val="center"/>
              <w:rPr>
                <w:sz w:val="21"/>
                <w:szCs w:val="21"/>
              </w:rPr>
            </w:pPr>
          </w:p>
        </w:tc>
      </w:tr>
      <w:tr w14:paraId="7F2524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908AD64">
            <w:pPr>
              <w:adjustRightInd w:val="0"/>
              <w:snapToGrid w:val="0"/>
              <w:spacing w:line="240" w:lineRule="auto"/>
              <w:jc w:val="center"/>
              <w:rPr>
                <w:sz w:val="21"/>
                <w:szCs w:val="21"/>
              </w:rPr>
            </w:pPr>
            <w:r>
              <w:rPr>
                <w:sz w:val="21"/>
                <w:szCs w:val="21"/>
              </w:rPr>
              <w:t>9</w:t>
            </w:r>
          </w:p>
        </w:tc>
        <w:tc>
          <w:tcPr>
            <w:tcW w:w="339" w:type="dxa"/>
            <w:vMerge w:val="continue"/>
            <w:vAlign w:val="center"/>
          </w:tcPr>
          <w:p w14:paraId="47190A89">
            <w:pPr>
              <w:adjustRightInd w:val="0"/>
              <w:snapToGrid w:val="0"/>
              <w:spacing w:line="240" w:lineRule="auto"/>
              <w:jc w:val="center"/>
              <w:rPr>
                <w:sz w:val="21"/>
                <w:szCs w:val="21"/>
              </w:rPr>
            </w:pPr>
          </w:p>
        </w:tc>
        <w:tc>
          <w:tcPr>
            <w:tcW w:w="1015" w:type="dxa"/>
            <w:vAlign w:val="center"/>
          </w:tcPr>
          <w:p w14:paraId="61614C38">
            <w:pPr>
              <w:adjustRightInd w:val="0"/>
              <w:snapToGrid w:val="0"/>
              <w:spacing w:line="240" w:lineRule="auto"/>
              <w:jc w:val="center"/>
              <w:rPr>
                <w:sz w:val="21"/>
                <w:szCs w:val="21"/>
                <w:u w:val="single"/>
              </w:rPr>
            </w:pPr>
            <w:r>
              <w:rPr>
                <w:sz w:val="21"/>
                <w:szCs w:val="21"/>
                <w:u w:val="single"/>
              </w:rPr>
              <w:t>乙酸乙酯</w:t>
            </w:r>
          </w:p>
        </w:tc>
        <w:tc>
          <w:tcPr>
            <w:tcW w:w="972" w:type="dxa"/>
            <w:vAlign w:val="center"/>
          </w:tcPr>
          <w:p w14:paraId="2A6304CE">
            <w:pPr>
              <w:adjustRightInd w:val="0"/>
              <w:snapToGrid w:val="0"/>
              <w:spacing w:line="240" w:lineRule="auto"/>
              <w:jc w:val="center"/>
              <w:rPr>
                <w:sz w:val="21"/>
                <w:szCs w:val="21"/>
                <w:u w:val="single"/>
              </w:rPr>
            </w:pPr>
            <w:r>
              <w:rPr>
                <w:rFonts w:hint="eastAsia"/>
                <w:sz w:val="21"/>
                <w:szCs w:val="21"/>
                <w:u w:val="single"/>
              </w:rPr>
              <w:t>55.7</w:t>
            </w:r>
          </w:p>
        </w:tc>
        <w:tc>
          <w:tcPr>
            <w:tcW w:w="1293" w:type="dxa"/>
            <w:vAlign w:val="center"/>
          </w:tcPr>
          <w:p w14:paraId="30C8A72C">
            <w:pPr>
              <w:adjustRightInd w:val="0"/>
              <w:snapToGrid w:val="0"/>
              <w:spacing w:line="240" w:lineRule="auto"/>
              <w:jc w:val="center"/>
              <w:rPr>
                <w:sz w:val="21"/>
                <w:szCs w:val="21"/>
                <w:u w:val="single"/>
              </w:rPr>
            </w:pPr>
            <w:r>
              <w:rPr>
                <w:rFonts w:hint="eastAsia"/>
                <w:sz w:val="21"/>
                <w:szCs w:val="21"/>
              </w:rPr>
              <w:t>+</w:t>
            </w:r>
            <w:r>
              <w:rPr>
                <w:rFonts w:hint="eastAsia"/>
                <w:sz w:val="21"/>
                <w:szCs w:val="21"/>
                <w:u w:val="single"/>
              </w:rPr>
              <w:t>367.2</w:t>
            </w:r>
          </w:p>
        </w:tc>
        <w:tc>
          <w:tcPr>
            <w:tcW w:w="1442" w:type="dxa"/>
            <w:vAlign w:val="center"/>
          </w:tcPr>
          <w:p w14:paraId="45BD411B">
            <w:pPr>
              <w:adjustRightInd w:val="0"/>
              <w:snapToGrid w:val="0"/>
              <w:spacing w:line="240" w:lineRule="auto"/>
              <w:jc w:val="center"/>
              <w:rPr>
                <w:sz w:val="21"/>
                <w:szCs w:val="21"/>
                <w:u w:val="single"/>
              </w:rPr>
            </w:pPr>
            <w:r>
              <w:rPr>
                <w:rFonts w:hint="eastAsia"/>
                <w:sz w:val="21"/>
                <w:szCs w:val="21"/>
                <w:u w:val="single"/>
              </w:rPr>
              <w:t>423</w:t>
            </w:r>
          </w:p>
        </w:tc>
        <w:tc>
          <w:tcPr>
            <w:tcW w:w="1111" w:type="dxa"/>
            <w:vAlign w:val="center"/>
          </w:tcPr>
          <w:p w14:paraId="48F613FC">
            <w:pPr>
              <w:adjustRightInd w:val="0"/>
              <w:snapToGrid w:val="0"/>
              <w:spacing w:line="240" w:lineRule="auto"/>
              <w:jc w:val="center"/>
              <w:rPr>
                <w:sz w:val="21"/>
                <w:szCs w:val="21"/>
                <w:u w:val="single"/>
              </w:rPr>
            </w:pPr>
            <w:r>
              <w:rPr>
                <w:rFonts w:hint="eastAsia"/>
                <w:sz w:val="21"/>
                <w:szCs w:val="21"/>
                <w:u w:val="single"/>
              </w:rPr>
              <w:t>20</w:t>
            </w:r>
          </w:p>
        </w:tc>
        <w:tc>
          <w:tcPr>
            <w:tcW w:w="906" w:type="dxa"/>
            <w:vAlign w:val="center"/>
          </w:tcPr>
          <w:p w14:paraId="3C57EEF8">
            <w:pPr>
              <w:adjustRightInd w:val="0"/>
              <w:snapToGrid w:val="0"/>
              <w:spacing w:line="240" w:lineRule="auto"/>
              <w:jc w:val="center"/>
              <w:rPr>
                <w:sz w:val="21"/>
                <w:szCs w:val="21"/>
                <w:u w:val="single"/>
              </w:rPr>
            </w:pPr>
            <w:r>
              <w:rPr>
                <w:rFonts w:hint="eastAsia"/>
                <w:sz w:val="21"/>
                <w:szCs w:val="21"/>
                <w:u w:val="single"/>
              </w:rPr>
              <w:t>用于印刷、干式复合、擦洗</w:t>
            </w:r>
          </w:p>
        </w:tc>
        <w:tc>
          <w:tcPr>
            <w:tcW w:w="779" w:type="dxa"/>
            <w:vMerge w:val="continue"/>
            <w:vAlign w:val="center"/>
          </w:tcPr>
          <w:p w14:paraId="24392249">
            <w:pPr>
              <w:adjustRightInd w:val="0"/>
              <w:snapToGrid w:val="0"/>
              <w:spacing w:line="240" w:lineRule="auto"/>
              <w:jc w:val="center"/>
              <w:rPr>
                <w:sz w:val="21"/>
                <w:szCs w:val="21"/>
              </w:rPr>
            </w:pPr>
          </w:p>
        </w:tc>
      </w:tr>
      <w:tr w14:paraId="318A2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2FC80163">
            <w:pPr>
              <w:adjustRightInd w:val="0"/>
              <w:snapToGrid w:val="0"/>
              <w:spacing w:line="240" w:lineRule="auto"/>
              <w:jc w:val="center"/>
              <w:rPr>
                <w:sz w:val="21"/>
                <w:szCs w:val="21"/>
              </w:rPr>
            </w:pPr>
            <w:r>
              <w:rPr>
                <w:sz w:val="21"/>
                <w:szCs w:val="21"/>
              </w:rPr>
              <w:t>10</w:t>
            </w:r>
          </w:p>
        </w:tc>
        <w:tc>
          <w:tcPr>
            <w:tcW w:w="1354" w:type="dxa"/>
            <w:gridSpan w:val="2"/>
            <w:vAlign w:val="center"/>
          </w:tcPr>
          <w:p w14:paraId="39704049">
            <w:pPr>
              <w:adjustRightInd w:val="0"/>
              <w:snapToGrid w:val="0"/>
              <w:spacing w:line="240" w:lineRule="auto"/>
              <w:jc w:val="center"/>
              <w:rPr>
                <w:sz w:val="21"/>
                <w:szCs w:val="21"/>
              </w:rPr>
            </w:pPr>
            <w:r>
              <w:rPr>
                <w:sz w:val="21"/>
                <w:szCs w:val="21"/>
              </w:rPr>
              <w:t>无溶剂胶黏剂A/B</w:t>
            </w:r>
            <w:r>
              <w:rPr>
                <w:rFonts w:hint="eastAsia"/>
                <w:sz w:val="21"/>
                <w:szCs w:val="21"/>
              </w:rPr>
              <w:t>胶</w:t>
            </w:r>
          </w:p>
        </w:tc>
        <w:tc>
          <w:tcPr>
            <w:tcW w:w="972" w:type="dxa"/>
            <w:vAlign w:val="center"/>
          </w:tcPr>
          <w:p w14:paraId="408C0D72">
            <w:pPr>
              <w:adjustRightInd w:val="0"/>
              <w:snapToGrid w:val="0"/>
              <w:spacing w:line="240" w:lineRule="auto"/>
              <w:jc w:val="center"/>
              <w:rPr>
                <w:sz w:val="21"/>
                <w:szCs w:val="21"/>
              </w:rPr>
            </w:pPr>
            <w:r>
              <w:rPr>
                <w:sz w:val="21"/>
                <w:szCs w:val="21"/>
              </w:rPr>
              <w:t>39</w:t>
            </w:r>
          </w:p>
        </w:tc>
        <w:tc>
          <w:tcPr>
            <w:tcW w:w="1293" w:type="dxa"/>
            <w:vAlign w:val="center"/>
          </w:tcPr>
          <w:p w14:paraId="427AAFEC">
            <w:pPr>
              <w:adjustRightInd w:val="0"/>
              <w:snapToGrid w:val="0"/>
              <w:spacing w:line="240" w:lineRule="auto"/>
              <w:jc w:val="center"/>
              <w:rPr>
                <w:sz w:val="21"/>
                <w:szCs w:val="21"/>
              </w:rPr>
            </w:pPr>
            <w:r>
              <w:rPr>
                <w:rFonts w:hint="eastAsia"/>
                <w:sz w:val="21"/>
                <w:szCs w:val="21"/>
              </w:rPr>
              <w:t>+12.5</w:t>
            </w:r>
          </w:p>
        </w:tc>
        <w:tc>
          <w:tcPr>
            <w:tcW w:w="1442" w:type="dxa"/>
            <w:vAlign w:val="center"/>
          </w:tcPr>
          <w:p w14:paraId="17BD056C">
            <w:pPr>
              <w:adjustRightInd w:val="0"/>
              <w:snapToGrid w:val="0"/>
              <w:spacing w:line="240" w:lineRule="auto"/>
              <w:jc w:val="center"/>
              <w:rPr>
                <w:sz w:val="21"/>
                <w:szCs w:val="21"/>
              </w:rPr>
            </w:pPr>
            <w:r>
              <w:rPr>
                <w:rFonts w:hint="eastAsia"/>
                <w:sz w:val="21"/>
                <w:szCs w:val="21"/>
              </w:rPr>
              <w:t>51.5</w:t>
            </w:r>
          </w:p>
        </w:tc>
        <w:tc>
          <w:tcPr>
            <w:tcW w:w="1111" w:type="dxa"/>
            <w:vAlign w:val="center"/>
          </w:tcPr>
          <w:p w14:paraId="3683C835">
            <w:pPr>
              <w:adjustRightInd w:val="0"/>
              <w:snapToGrid w:val="0"/>
              <w:spacing w:line="240" w:lineRule="auto"/>
              <w:jc w:val="center"/>
              <w:rPr>
                <w:sz w:val="21"/>
                <w:szCs w:val="21"/>
              </w:rPr>
            </w:pPr>
            <w:r>
              <w:rPr>
                <w:sz w:val="21"/>
                <w:szCs w:val="21"/>
              </w:rPr>
              <w:t>10</w:t>
            </w:r>
          </w:p>
        </w:tc>
        <w:tc>
          <w:tcPr>
            <w:tcW w:w="1685" w:type="dxa"/>
            <w:gridSpan w:val="2"/>
            <w:vAlign w:val="center"/>
          </w:tcPr>
          <w:p w14:paraId="6FCC575A">
            <w:pPr>
              <w:adjustRightInd w:val="0"/>
              <w:snapToGrid w:val="0"/>
              <w:spacing w:line="240" w:lineRule="auto"/>
              <w:jc w:val="center"/>
              <w:rPr>
                <w:sz w:val="21"/>
                <w:szCs w:val="21"/>
              </w:rPr>
            </w:pPr>
            <w:r>
              <w:rPr>
                <w:sz w:val="21"/>
                <w:szCs w:val="21"/>
              </w:rPr>
              <w:t>无溶剂型</w:t>
            </w:r>
          </w:p>
        </w:tc>
      </w:tr>
      <w:tr w14:paraId="07FD8F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279534EB">
            <w:pPr>
              <w:adjustRightInd w:val="0"/>
              <w:snapToGrid w:val="0"/>
              <w:spacing w:line="240" w:lineRule="auto"/>
              <w:jc w:val="center"/>
              <w:rPr>
                <w:sz w:val="21"/>
                <w:szCs w:val="21"/>
              </w:rPr>
            </w:pPr>
            <w:r>
              <w:rPr>
                <w:sz w:val="21"/>
                <w:szCs w:val="21"/>
              </w:rPr>
              <w:t>11</w:t>
            </w:r>
          </w:p>
        </w:tc>
        <w:tc>
          <w:tcPr>
            <w:tcW w:w="1354" w:type="dxa"/>
            <w:gridSpan w:val="2"/>
            <w:vAlign w:val="center"/>
          </w:tcPr>
          <w:p w14:paraId="0AB2D068">
            <w:pPr>
              <w:adjustRightInd w:val="0"/>
              <w:snapToGrid w:val="0"/>
              <w:spacing w:line="240" w:lineRule="auto"/>
              <w:jc w:val="center"/>
              <w:rPr>
                <w:sz w:val="21"/>
                <w:szCs w:val="21"/>
              </w:rPr>
            </w:pPr>
            <w:r>
              <w:rPr>
                <w:sz w:val="21"/>
                <w:szCs w:val="21"/>
              </w:rPr>
              <w:t>溶剂型包装胶水</w:t>
            </w:r>
          </w:p>
        </w:tc>
        <w:tc>
          <w:tcPr>
            <w:tcW w:w="972" w:type="dxa"/>
            <w:vAlign w:val="center"/>
          </w:tcPr>
          <w:p w14:paraId="6EC415FB">
            <w:pPr>
              <w:adjustRightInd w:val="0"/>
              <w:snapToGrid w:val="0"/>
              <w:spacing w:line="240" w:lineRule="auto"/>
              <w:jc w:val="center"/>
              <w:rPr>
                <w:sz w:val="21"/>
                <w:szCs w:val="21"/>
              </w:rPr>
            </w:pPr>
            <w:r>
              <w:rPr>
                <w:sz w:val="21"/>
                <w:szCs w:val="21"/>
              </w:rPr>
              <w:t>30</w:t>
            </w:r>
          </w:p>
        </w:tc>
        <w:tc>
          <w:tcPr>
            <w:tcW w:w="1293" w:type="dxa"/>
            <w:vAlign w:val="center"/>
          </w:tcPr>
          <w:p w14:paraId="5DA54771">
            <w:pPr>
              <w:adjustRightInd w:val="0"/>
              <w:snapToGrid w:val="0"/>
              <w:spacing w:line="240" w:lineRule="auto"/>
              <w:jc w:val="center"/>
              <w:rPr>
                <w:sz w:val="21"/>
                <w:szCs w:val="21"/>
              </w:rPr>
            </w:pPr>
            <w:r>
              <w:rPr>
                <w:rFonts w:hint="eastAsia"/>
                <w:sz w:val="21"/>
                <w:szCs w:val="21"/>
              </w:rPr>
              <w:t>+10</w:t>
            </w:r>
          </w:p>
        </w:tc>
        <w:tc>
          <w:tcPr>
            <w:tcW w:w="1442" w:type="dxa"/>
            <w:vAlign w:val="center"/>
          </w:tcPr>
          <w:p w14:paraId="350FF3AA">
            <w:pPr>
              <w:adjustRightInd w:val="0"/>
              <w:snapToGrid w:val="0"/>
              <w:spacing w:line="240" w:lineRule="auto"/>
              <w:jc w:val="center"/>
              <w:rPr>
                <w:sz w:val="21"/>
                <w:szCs w:val="21"/>
              </w:rPr>
            </w:pPr>
            <w:r>
              <w:rPr>
                <w:rFonts w:hint="eastAsia"/>
                <w:sz w:val="21"/>
                <w:szCs w:val="21"/>
              </w:rPr>
              <w:t>40</w:t>
            </w:r>
          </w:p>
        </w:tc>
        <w:tc>
          <w:tcPr>
            <w:tcW w:w="1111" w:type="dxa"/>
            <w:vAlign w:val="center"/>
          </w:tcPr>
          <w:p w14:paraId="36810FBB">
            <w:pPr>
              <w:adjustRightInd w:val="0"/>
              <w:snapToGrid w:val="0"/>
              <w:spacing w:line="240" w:lineRule="auto"/>
              <w:jc w:val="center"/>
              <w:rPr>
                <w:sz w:val="21"/>
                <w:szCs w:val="21"/>
              </w:rPr>
            </w:pPr>
            <w:r>
              <w:rPr>
                <w:rFonts w:hint="eastAsia"/>
                <w:sz w:val="21"/>
                <w:szCs w:val="21"/>
              </w:rPr>
              <w:t>10</w:t>
            </w:r>
          </w:p>
        </w:tc>
        <w:tc>
          <w:tcPr>
            <w:tcW w:w="1685" w:type="dxa"/>
            <w:gridSpan w:val="2"/>
            <w:vAlign w:val="center"/>
          </w:tcPr>
          <w:p w14:paraId="576D2136">
            <w:pPr>
              <w:adjustRightInd w:val="0"/>
              <w:snapToGrid w:val="0"/>
              <w:spacing w:line="240" w:lineRule="auto"/>
              <w:jc w:val="center"/>
              <w:rPr>
                <w:sz w:val="21"/>
                <w:szCs w:val="21"/>
              </w:rPr>
            </w:pPr>
            <w:r>
              <w:rPr>
                <w:sz w:val="21"/>
                <w:szCs w:val="21"/>
              </w:rPr>
              <w:t>加溶剂型，溶剂乙酸乙酯（加入）</w:t>
            </w:r>
          </w:p>
        </w:tc>
      </w:tr>
      <w:tr w14:paraId="4EF224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21BF0210">
            <w:pPr>
              <w:adjustRightInd w:val="0"/>
              <w:snapToGrid w:val="0"/>
              <w:spacing w:line="240" w:lineRule="auto"/>
              <w:jc w:val="center"/>
              <w:rPr>
                <w:sz w:val="21"/>
                <w:szCs w:val="21"/>
              </w:rPr>
            </w:pPr>
            <w:r>
              <w:rPr>
                <w:sz w:val="21"/>
                <w:szCs w:val="21"/>
              </w:rPr>
              <w:t>12</w:t>
            </w:r>
          </w:p>
        </w:tc>
        <w:tc>
          <w:tcPr>
            <w:tcW w:w="1354" w:type="dxa"/>
            <w:gridSpan w:val="2"/>
            <w:vAlign w:val="center"/>
          </w:tcPr>
          <w:p w14:paraId="77056E19">
            <w:pPr>
              <w:adjustRightInd w:val="0"/>
              <w:snapToGrid w:val="0"/>
              <w:spacing w:line="240" w:lineRule="auto"/>
              <w:jc w:val="center"/>
              <w:rPr>
                <w:sz w:val="21"/>
                <w:szCs w:val="21"/>
              </w:rPr>
            </w:pPr>
            <w:r>
              <w:rPr>
                <w:sz w:val="21"/>
                <w:szCs w:val="21"/>
              </w:rPr>
              <w:t>烫金纸</w:t>
            </w:r>
          </w:p>
        </w:tc>
        <w:tc>
          <w:tcPr>
            <w:tcW w:w="972" w:type="dxa"/>
            <w:vAlign w:val="center"/>
          </w:tcPr>
          <w:p w14:paraId="491DC318">
            <w:pPr>
              <w:adjustRightInd w:val="0"/>
              <w:snapToGrid w:val="0"/>
              <w:spacing w:line="240" w:lineRule="auto"/>
              <w:jc w:val="center"/>
              <w:rPr>
                <w:sz w:val="21"/>
                <w:szCs w:val="21"/>
              </w:rPr>
            </w:pPr>
            <w:r>
              <w:rPr>
                <w:sz w:val="21"/>
                <w:szCs w:val="21"/>
              </w:rPr>
              <w:t>/</w:t>
            </w:r>
          </w:p>
        </w:tc>
        <w:tc>
          <w:tcPr>
            <w:tcW w:w="1293" w:type="dxa"/>
            <w:vAlign w:val="center"/>
          </w:tcPr>
          <w:p w14:paraId="0C5AE749">
            <w:pPr>
              <w:adjustRightInd w:val="0"/>
              <w:snapToGrid w:val="0"/>
              <w:spacing w:line="240" w:lineRule="auto"/>
              <w:jc w:val="center"/>
              <w:rPr>
                <w:sz w:val="21"/>
                <w:szCs w:val="21"/>
              </w:rPr>
            </w:pPr>
            <w:r>
              <w:rPr>
                <w:rFonts w:hint="eastAsia"/>
                <w:sz w:val="21"/>
                <w:szCs w:val="21"/>
              </w:rPr>
              <w:t>+70</w:t>
            </w:r>
          </w:p>
        </w:tc>
        <w:tc>
          <w:tcPr>
            <w:tcW w:w="1442" w:type="dxa"/>
            <w:vAlign w:val="center"/>
          </w:tcPr>
          <w:p w14:paraId="7862A069">
            <w:pPr>
              <w:adjustRightInd w:val="0"/>
              <w:snapToGrid w:val="0"/>
              <w:spacing w:line="240" w:lineRule="auto"/>
              <w:jc w:val="center"/>
              <w:rPr>
                <w:sz w:val="21"/>
                <w:szCs w:val="21"/>
              </w:rPr>
            </w:pPr>
            <w:r>
              <w:rPr>
                <w:rFonts w:hint="eastAsia"/>
                <w:sz w:val="21"/>
                <w:szCs w:val="21"/>
              </w:rPr>
              <w:t>70</w:t>
            </w:r>
          </w:p>
        </w:tc>
        <w:tc>
          <w:tcPr>
            <w:tcW w:w="1111" w:type="dxa"/>
            <w:vAlign w:val="center"/>
          </w:tcPr>
          <w:p w14:paraId="6BF64EBD">
            <w:pPr>
              <w:adjustRightInd w:val="0"/>
              <w:snapToGrid w:val="0"/>
              <w:spacing w:line="240" w:lineRule="auto"/>
              <w:jc w:val="center"/>
              <w:rPr>
                <w:sz w:val="21"/>
                <w:szCs w:val="21"/>
              </w:rPr>
            </w:pPr>
            <w:r>
              <w:rPr>
                <w:rFonts w:hint="eastAsia"/>
                <w:sz w:val="21"/>
                <w:szCs w:val="21"/>
              </w:rPr>
              <w:t>70</w:t>
            </w:r>
          </w:p>
        </w:tc>
        <w:tc>
          <w:tcPr>
            <w:tcW w:w="1685" w:type="dxa"/>
            <w:gridSpan w:val="2"/>
            <w:vAlign w:val="center"/>
          </w:tcPr>
          <w:p w14:paraId="1AECEE6A">
            <w:pPr>
              <w:adjustRightInd w:val="0"/>
              <w:snapToGrid w:val="0"/>
              <w:spacing w:line="240" w:lineRule="auto"/>
              <w:jc w:val="center"/>
              <w:rPr>
                <w:sz w:val="21"/>
                <w:szCs w:val="21"/>
              </w:rPr>
            </w:pPr>
            <w:r>
              <w:rPr>
                <w:sz w:val="21"/>
                <w:szCs w:val="21"/>
              </w:rPr>
              <w:t>金属铝箔</w:t>
            </w:r>
          </w:p>
        </w:tc>
      </w:tr>
      <w:tr w14:paraId="173E2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6712971">
            <w:pPr>
              <w:adjustRightInd w:val="0"/>
              <w:snapToGrid w:val="0"/>
              <w:spacing w:line="240" w:lineRule="auto"/>
              <w:jc w:val="center"/>
              <w:rPr>
                <w:sz w:val="21"/>
                <w:szCs w:val="21"/>
              </w:rPr>
            </w:pPr>
            <w:r>
              <w:rPr>
                <w:rFonts w:hint="eastAsia"/>
                <w:sz w:val="21"/>
                <w:szCs w:val="21"/>
              </w:rPr>
              <w:t>13</w:t>
            </w:r>
          </w:p>
        </w:tc>
        <w:tc>
          <w:tcPr>
            <w:tcW w:w="1354" w:type="dxa"/>
            <w:gridSpan w:val="2"/>
            <w:vAlign w:val="center"/>
          </w:tcPr>
          <w:p w14:paraId="4FB0F552">
            <w:pPr>
              <w:adjustRightInd w:val="0"/>
              <w:snapToGrid w:val="0"/>
              <w:spacing w:line="240" w:lineRule="auto"/>
              <w:jc w:val="center"/>
              <w:rPr>
                <w:sz w:val="21"/>
                <w:szCs w:val="21"/>
              </w:rPr>
            </w:pPr>
            <w:r>
              <w:rPr>
                <w:rFonts w:hint="eastAsia"/>
                <w:sz w:val="21"/>
                <w:szCs w:val="21"/>
              </w:rPr>
              <w:t>活性炭</w:t>
            </w:r>
          </w:p>
        </w:tc>
        <w:tc>
          <w:tcPr>
            <w:tcW w:w="972" w:type="dxa"/>
            <w:vAlign w:val="center"/>
          </w:tcPr>
          <w:p w14:paraId="729494E8">
            <w:pPr>
              <w:adjustRightInd w:val="0"/>
              <w:snapToGrid w:val="0"/>
              <w:spacing w:line="240" w:lineRule="auto"/>
              <w:jc w:val="center"/>
              <w:rPr>
                <w:sz w:val="21"/>
                <w:szCs w:val="21"/>
              </w:rPr>
            </w:pPr>
            <w:r>
              <w:rPr>
                <w:rFonts w:hint="eastAsia"/>
                <w:sz w:val="21"/>
                <w:szCs w:val="21"/>
              </w:rPr>
              <w:t>0</w:t>
            </w:r>
          </w:p>
        </w:tc>
        <w:tc>
          <w:tcPr>
            <w:tcW w:w="1293" w:type="dxa"/>
            <w:vAlign w:val="center"/>
          </w:tcPr>
          <w:p w14:paraId="06B900BB">
            <w:pPr>
              <w:adjustRightInd w:val="0"/>
              <w:snapToGrid w:val="0"/>
              <w:spacing w:line="240" w:lineRule="auto"/>
              <w:jc w:val="center"/>
              <w:rPr>
                <w:sz w:val="21"/>
                <w:szCs w:val="21"/>
              </w:rPr>
            </w:pPr>
            <w:r>
              <w:rPr>
                <w:rFonts w:hint="eastAsia"/>
                <w:sz w:val="21"/>
                <w:szCs w:val="21"/>
              </w:rPr>
              <w:t>+70/10a</w:t>
            </w:r>
          </w:p>
        </w:tc>
        <w:tc>
          <w:tcPr>
            <w:tcW w:w="1442" w:type="dxa"/>
            <w:vAlign w:val="center"/>
          </w:tcPr>
          <w:p w14:paraId="21FB8977">
            <w:pPr>
              <w:adjustRightInd w:val="0"/>
              <w:snapToGrid w:val="0"/>
              <w:spacing w:line="240" w:lineRule="auto"/>
              <w:jc w:val="center"/>
              <w:rPr>
                <w:sz w:val="21"/>
                <w:szCs w:val="21"/>
              </w:rPr>
            </w:pPr>
            <w:r>
              <w:rPr>
                <w:rFonts w:hint="eastAsia"/>
                <w:sz w:val="21"/>
                <w:szCs w:val="21"/>
              </w:rPr>
              <w:t>70/10a</w:t>
            </w:r>
          </w:p>
        </w:tc>
        <w:tc>
          <w:tcPr>
            <w:tcW w:w="1111" w:type="dxa"/>
            <w:vAlign w:val="center"/>
          </w:tcPr>
          <w:p w14:paraId="68343CEA">
            <w:pPr>
              <w:adjustRightInd w:val="0"/>
              <w:snapToGrid w:val="0"/>
              <w:spacing w:line="240" w:lineRule="auto"/>
              <w:jc w:val="center"/>
              <w:rPr>
                <w:sz w:val="21"/>
                <w:szCs w:val="21"/>
              </w:rPr>
            </w:pPr>
            <w:r>
              <w:rPr>
                <w:rFonts w:hint="eastAsia"/>
                <w:sz w:val="21"/>
                <w:szCs w:val="21"/>
              </w:rPr>
              <w:t>70/10a</w:t>
            </w:r>
          </w:p>
        </w:tc>
        <w:tc>
          <w:tcPr>
            <w:tcW w:w="1685" w:type="dxa"/>
            <w:gridSpan w:val="2"/>
            <w:vAlign w:val="center"/>
          </w:tcPr>
          <w:p w14:paraId="466C7679">
            <w:pPr>
              <w:adjustRightInd w:val="0"/>
              <w:snapToGrid w:val="0"/>
              <w:spacing w:line="240" w:lineRule="auto"/>
              <w:jc w:val="center"/>
              <w:rPr>
                <w:sz w:val="21"/>
                <w:szCs w:val="21"/>
              </w:rPr>
            </w:pPr>
            <w:r>
              <w:rPr>
                <w:rFonts w:hint="eastAsia"/>
                <w:sz w:val="21"/>
                <w:szCs w:val="21"/>
              </w:rPr>
              <w:t>环保措施</w:t>
            </w:r>
          </w:p>
        </w:tc>
      </w:tr>
      <w:tr w14:paraId="597F3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4C1A48C4">
            <w:pPr>
              <w:adjustRightInd w:val="0"/>
              <w:snapToGrid w:val="0"/>
              <w:spacing w:line="240" w:lineRule="auto"/>
              <w:jc w:val="center"/>
              <w:rPr>
                <w:sz w:val="21"/>
                <w:szCs w:val="21"/>
              </w:rPr>
            </w:pPr>
            <w:r>
              <w:rPr>
                <w:rFonts w:hint="eastAsia"/>
                <w:sz w:val="21"/>
                <w:szCs w:val="21"/>
              </w:rPr>
              <w:t>14</w:t>
            </w:r>
          </w:p>
        </w:tc>
        <w:tc>
          <w:tcPr>
            <w:tcW w:w="1354" w:type="dxa"/>
            <w:gridSpan w:val="2"/>
            <w:vAlign w:val="center"/>
          </w:tcPr>
          <w:p w14:paraId="2A476100">
            <w:pPr>
              <w:adjustRightInd w:val="0"/>
              <w:snapToGrid w:val="0"/>
              <w:spacing w:line="240" w:lineRule="auto"/>
              <w:jc w:val="center"/>
              <w:rPr>
                <w:sz w:val="21"/>
                <w:szCs w:val="21"/>
              </w:rPr>
            </w:pPr>
            <w:r>
              <w:rPr>
                <w:rFonts w:hint="eastAsia"/>
                <w:sz w:val="21"/>
                <w:szCs w:val="21"/>
              </w:rPr>
              <w:t>沸石</w:t>
            </w:r>
          </w:p>
        </w:tc>
        <w:tc>
          <w:tcPr>
            <w:tcW w:w="972" w:type="dxa"/>
            <w:vAlign w:val="center"/>
          </w:tcPr>
          <w:p w14:paraId="003D9C28">
            <w:pPr>
              <w:adjustRightInd w:val="0"/>
              <w:snapToGrid w:val="0"/>
              <w:spacing w:line="240" w:lineRule="auto"/>
              <w:jc w:val="center"/>
              <w:rPr>
                <w:sz w:val="21"/>
                <w:szCs w:val="21"/>
              </w:rPr>
            </w:pPr>
            <w:r>
              <w:rPr>
                <w:rFonts w:hint="eastAsia"/>
                <w:sz w:val="21"/>
                <w:szCs w:val="21"/>
              </w:rPr>
              <w:t>0</w:t>
            </w:r>
          </w:p>
        </w:tc>
        <w:tc>
          <w:tcPr>
            <w:tcW w:w="1293" w:type="dxa"/>
            <w:vAlign w:val="center"/>
          </w:tcPr>
          <w:p w14:paraId="28743F95">
            <w:pPr>
              <w:adjustRightInd w:val="0"/>
              <w:snapToGrid w:val="0"/>
              <w:spacing w:line="240" w:lineRule="auto"/>
              <w:jc w:val="center"/>
              <w:rPr>
                <w:sz w:val="21"/>
                <w:szCs w:val="21"/>
              </w:rPr>
            </w:pPr>
            <w:r>
              <w:rPr>
                <w:rFonts w:hint="eastAsia"/>
                <w:sz w:val="21"/>
                <w:szCs w:val="21"/>
              </w:rPr>
              <w:t>+2.5/8a</w:t>
            </w:r>
          </w:p>
        </w:tc>
        <w:tc>
          <w:tcPr>
            <w:tcW w:w="1442" w:type="dxa"/>
            <w:vAlign w:val="center"/>
          </w:tcPr>
          <w:p w14:paraId="358BBEAD">
            <w:pPr>
              <w:adjustRightInd w:val="0"/>
              <w:snapToGrid w:val="0"/>
              <w:spacing w:line="240" w:lineRule="auto"/>
              <w:jc w:val="center"/>
              <w:rPr>
                <w:sz w:val="21"/>
                <w:szCs w:val="21"/>
              </w:rPr>
            </w:pPr>
            <w:r>
              <w:rPr>
                <w:rFonts w:hint="eastAsia"/>
                <w:sz w:val="21"/>
                <w:szCs w:val="21"/>
              </w:rPr>
              <w:t>2.5/8a</w:t>
            </w:r>
          </w:p>
        </w:tc>
        <w:tc>
          <w:tcPr>
            <w:tcW w:w="1111" w:type="dxa"/>
            <w:vAlign w:val="center"/>
          </w:tcPr>
          <w:p w14:paraId="40844649">
            <w:pPr>
              <w:adjustRightInd w:val="0"/>
              <w:snapToGrid w:val="0"/>
              <w:spacing w:line="240" w:lineRule="auto"/>
              <w:jc w:val="center"/>
              <w:rPr>
                <w:sz w:val="21"/>
                <w:szCs w:val="21"/>
              </w:rPr>
            </w:pPr>
            <w:r>
              <w:rPr>
                <w:rFonts w:hint="eastAsia"/>
                <w:sz w:val="21"/>
                <w:szCs w:val="21"/>
              </w:rPr>
              <w:t>2.5/8a</w:t>
            </w:r>
          </w:p>
        </w:tc>
        <w:tc>
          <w:tcPr>
            <w:tcW w:w="1685" w:type="dxa"/>
            <w:gridSpan w:val="2"/>
            <w:vAlign w:val="center"/>
          </w:tcPr>
          <w:p w14:paraId="0CE9655C">
            <w:pPr>
              <w:adjustRightInd w:val="0"/>
              <w:snapToGrid w:val="0"/>
              <w:spacing w:line="240" w:lineRule="auto"/>
              <w:jc w:val="center"/>
              <w:rPr>
                <w:sz w:val="21"/>
                <w:szCs w:val="21"/>
              </w:rPr>
            </w:pPr>
            <w:r>
              <w:rPr>
                <w:rFonts w:hint="eastAsia"/>
                <w:sz w:val="21"/>
                <w:szCs w:val="21"/>
              </w:rPr>
              <w:t>环保措施</w:t>
            </w:r>
          </w:p>
        </w:tc>
      </w:tr>
      <w:tr w14:paraId="3E4FE5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4D411DB1">
            <w:pPr>
              <w:adjustRightInd w:val="0"/>
              <w:snapToGrid w:val="0"/>
              <w:spacing w:line="240" w:lineRule="auto"/>
              <w:jc w:val="center"/>
              <w:rPr>
                <w:sz w:val="21"/>
                <w:szCs w:val="21"/>
              </w:rPr>
            </w:pPr>
            <w:r>
              <w:rPr>
                <w:rFonts w:hint="eastAsia"/>
                <w:sz w:val="21"/>
                <w:szCs w:val="21"/>
              </w:rPr>
              <w:t>15</w:t>
            </w:r>
          </w:p>
        </w:tc>
        <w:tc>
          <w:tcPr>
            <w:tcW w:w="1354" w:type="dxa"/>
            <w:gridSpan w:val="2"/>
            <w:vAlign w:val="center"/>
          </w:tcPr>
          <w:p w14:paraId="7A53D57E">
            <w:pPr>
              <w:adjustRightInd w:val="0"/>
              <w:snapToGrid w:val="0"/>
              <w:spacing w:line="240" w:lineRule="auto"/>
              <w:jc w:val="center"/>
              <w:rPr>
                <w:sz w:val="21"/>
                <w:szCs w:val="21"/>
              </w:rPr>
            </w:pPr>
            <w:r>
              <w:rPr>
                <w:rFonts w:hint="eastAsia"/>
                <w:sz w:val="21"/>
                <w:szCs w:val="21"/>
              </w:rPr>
              <w:t>过滤棉</w:t>
            </w:r>
          </w:p>
        </w:tc>
        <w:tc>
          <w:tcPr>
            <w:tcW w:w="972" w:type="dxa"/>
            <w:vAlign w:val="center"/>
          </w:tcPr>
          <w:p w14:paraId="02B8920B">
            <w:pPr>
              <w:adjustRightInd w:val="0"/>
              <w:snapToGrid w:val="0"/>
              <w:spacing w:line="240" w:lineRule="auto"/>
              <w:jc w:val="center"/>
              <w:rPr>
                <w:sz w:val="21"/>
                <w:szCs w:val="21"/>
              </w:rPr>
            </w:pPr>
            <w:r>
              <w:rPr>
                <w:rFonts w:hint="eastAsia"/>
                <w:sz w:val="21"/>
                <w:szCs w:val="21"/>
              </w:rPr>
              <w:t>0</w:t>
            </w:r>
          </w:p>
        </w:tc>
        <w:tc>
          <w:tcPr>
            <w:tcW w:w="1293" w:type="dxa"/>
            <w:vAlign w:val="center"/>
          </w:tcPr>
          <w:p w14:paraId="6D79A6D8">
            <w:pPr>
              <w:adjustRightInd w:val="0"/>
              <w:snapToGrid w:val="0"/>
              <w:spacing w:line="240" w:lineRule="auto"/>
              <w:jc w:val="center"/>
              <w:rPr>
                <w:sz w:val="21"/>
                <w:szCs w:val="21"/>
              </w:rPr>
            </w:pPr>
            <w:r>
              <w:rPr>
                <w:rFonts w:hint="eastAsia"/>
                <w:sz w:val="21"/>
                <w:szCs w:val="21"/>
              </w:rPr>
              <w:t>+0.18</w:t>
            </w:r>
          </w:p>
        </w:tc>
        <w:tc>
          <w:tcPr>
            <w:tcW w:w="1442" w:type="dxa"/>
            <w:vAlign w:val="center"/>
          </w:tcPr>
          <w:p w14:paraId="3791E5A9">
            <w:pPr>
              <w:adjustRightInd w:val="0"/>
              <w:snapToGrid w:val="0"/>
              <w:spacing w:line="240" w:lineRule="auto"/>
              <w:jc w:val="center"/>
              <w:rPr>
                <w:sz w:val="21"/>
                <w:szCs w:val="21"/>
              </w:rPr>
            </w:pPr>
            <w:r>
              <w:rPr>
                <w:rFonts w:hint="eastAsia"/>
                <w:sz w:val="21"/>
                <w:szCs w:val="21"/>
              </w:rPr>
              <w:t>0.18</w:t>
            </w:r>
          </w:p>
        </w:tc>
        <w:tc>
          <w:tcPr>
            <w:tcW w:w="1111" w:type="dxa"/>
            <w:vAlign w:val="center"/>
          </w:tcPr>
          <w:p w14:paraId="43E5FCF1">
            <w:pPr>
              <w:adjustRightInd w:val="0"/>
              <w:snapToGrid w:val="0"/>
              <w:spacing w:line="240" w:lineRule="auto"/>
              <w:jc w:val="center"/>
              <w:rPr>
                <w:sz w:val="21"/>
                <w:szCs w:val="21"/>
              </w:rPr>
            </w:pPr>
            <w:r>
              <w:rPr>
                <w:rFonts w:hint="eastAsia"/>
                <w:sz w:val="21"/>
                <w:szCs w:val="21"/>
              </w:rPr>
              <w:t>0.18</w:t>
            </w:r>
          </w:p>
        </w:tc>
        <w:tc>
          <w:tcPr>
            <w:tcW w:w="1685" w:type="dxa"/>
            <w:gridSpan w:val="2"/>
            <w:vAlign w:val="center"/>
          </w:tcPr>
          <w:p w14:paraId="4F01A00B">
            <w:pPr>
              <w:adjustRightInd w:val="0"/>
              <w:snapToGrid w:val="0"/>
              <w:spacing w:line="240" w:lineRule="auto"/>
              <w:jc w:val="center"/>
              <w:rPr>
                <w:sz w:val="21"/>
                <w:szCs w:val="21"/>
              </w:rPr>
            </w:pPr>
            <w:r>
              <w:rPr>
                <w:rFonts w:hint="eastAsia"/>
                <w:sz w:val="21"/>
                <w:szCs w:val="21"/>
              </w:rPr>
              <w:t>环保措施</w:t>
            </w:r>
          </w:p>
        </w:tc>
      </w:tr>
      <w:tr w14:paraId="20509B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717AB00C">
            <w:pPr>
              <w:adjustRightInd w:val="0"/>
              <w:snapToGrid w:val="0"/>
              <w:spacing w:line="240" w:lineRule="auto"/>
              <w:jc w:val="center"/>
              <w:rPr>
                <w:sz w:val="21"/>
                <w:szCs w:val="21"/>
              </w:rPr>
            </w:pPr>
            <w:r>
              <w:rPr>
                <w:rFonts w:hint="eastAsia"/>
                <w:sz w:val="21"/>
                <w:szCs w:val="21"/>
              </w:rPr>
              <w:t>16</w:t>
            </w:r>
          </w:p>
        </w:tc>
        <w:tc>
          <w:tcPr>
            <w:tcW w:w="1354" w:type="dxa"/>
            <w:gridSpan w:val="2"/>
            <w:vAlign w:val="center"/>
          </w:tcPr>
          <w:p w14:paraId="60C91F9E">
            <w:pPr>
              <w:adjustRightInd w:val="0"/>
              <w:snapToGrid w:val="0"/>
              <w:spacing w:line="240" w:lineRule="auto"/>
              <w:jc w:val="center"/>
              <w:rPr>
                <w:sz w:val="21"/>
                <w:szCs w:val="21"/>
              </w:rPr>
            </w:pPr>
            <w:r>
              <w:rPr>
                <w:rFonts w:hint="eastAsia"/>
                <w:sz w:val="21"/>
                <w:szCs w:val="21"/>
              </w:rPr>
              <w:t>制冷剂</w:t>
            </w:r>
          </w:p>
        </w:tc>
        <w:tc>
          <w:tcPr>
            <w:tcW w:w="972" w:type="dxa"/>
            <w:vAlign w:val="center"/>
          </w:tcPr>
          <w:p w14:paraId="5F17C66D">
            <w:pPr>
              <w:adjustRightInd w:val="0"/>
              <w:snapToGrid w:val="0"/>
              <w:spacing w:line="240" w:lineRule="auto"/>
              <w:jc w:val="center"/>
              <w:rPr>
                <w:sz w:val="21"/>
                <w:szCs w:val="21"/>
              </w:rPr>
            </w:pPr>
            <w:r>
              <w:rPr>
                <w:rFonts w:hint="eastAsia"/>
                <w:sz w:val="21"/>
                <w:szCs w:val="21"/>
              </w:rPr>
              <w:t>0</w:t>
            </w:r>
          </w:p>
        </w:tc>
        <w:tc>
          <w:tcPr>
            <w:tcW w:w="1293" w:type="dxa"/>
            <w:vAlign w:val="center"/>
          </w:tcPr>
          <w:p w14:paraId="437F647A">
            <w:pPr>
              <w:adjustRightInd w:val="0"/>
              <w:snapToGrid w:val="0"/>
              <w:spacing w:line="240" w:lineRule="auto"/>
              <w:jc w:val="center"/>
              <w:rPr>
                <w:sz w:val="21"/>
                <w:szCs w:val="21"/>
              </w:rPr>
            </w:pPr>
            <w:r>
              <w:rPr>
                <w:rFonts w:hint="eastAsia"/>
                <w:sz w:val="21"/>
                <w:szCs w:val="21"/>
              </w:rPr>
              <w:t>+0.1</w:t>
            </w:r>
          </w:p>
        </w:tc>
        <w:tc>
          <w:tcPr>
            <w:tcW w:w="1442" w:type="dxa"/>
            <w:vAlign w:val="center"/>
          </w:tcPr>
          <w:p w14:paraId="7B62CE53">
            <w:pPr>
              <w:adjustRightInd w:val="0"/>
              <w:snapToGrid w:val="0"/>
              <w:spacing w:line="240" w:lineRule="auto"/>
              <w:jc w:val="center"/>
              <w:rPr>
                <w:sz w:val="21"/>
                <w:szCs w:val="21"/>
              </w:rPr>
            </w:pPr>
            <w:r>
              <w:rPr>
                <w:rFonts w:hint="eastAsia"/>
                <w:sz w:val="21"/>
                <w:szCs w:val="21"/>
              </w:rPr>
              <w:t>0.1</w:t>
            </w:r>
          </w:p>
        </w:tc>
        <w:tc>
          <w:tcPr>
            <w:tcW w:w="1111" w:type="dxa"/>
            <w:vAlign w:val="center"/>
          </w:tcPr>
          <w:p w14:paraId="5D9B72A5">
            <w:pPr>
              <w:adjustRightInd w:val="0"/>
              <w:snapToGrid w:val="0"/>
              <w:spacing w:line="240" w:lineRule="auto"/>
              <w:jc w:val="center"/>
              <w:rPr>
                <w:sz w:val="21"/>
                <w:szCs w:val="21"/>
              </w:rPr>
            </w:pPr>
            <w:r>
              <w:rPr>
                <w:rFonts w:hint="eastAsia"/>
                <w:sz w:val="21"/>
                <w:szCs w:val="21"/>
              </w:rPr>
              <w:t>0.1</w:t>
            </w:r>
          </w:p>
        </w:tc>
        <w:tc>
          <w:tcPr>
            <w:tcW w:w="1685" w:type="dxa"/>
            <w:gridSpan w:val="2"/>
            <w:vAlign w:val="center"/>
          </w:tcPr>
          <w:p w14:paraId="470FCFF4">
            <w:pPr>
              <w:adjustRightInd w:val="0"/>
              <w:snapToGrid w:val="0"/>
              <w:spacing w:line="240" w:lineRule="auto"/>
              <w:jc w:val="center"/>
              <w:rPr>
                <w:sz w:val="21"/>
                <w:szCs w:val="21"/>
              </w:rPr>
            </w:pPr>
            <w:r>
              <w:rPr>
                <w:rFonts w:hint="eastAsia"/>
                <w:sz w:val="21"/>
                <w:szCs w:val="21"/>
              </w:rPr>
              <w:t>环保措施</w:t>
            </w:r>
          </w:p>
        </w:tc>
      </w:tr>
      <w:tr w14:paraId="68019F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4C2F5393">
            <w:pPr>
              <w:adjustRightInd w:val="0"/>
              <w:snapToGrid w:val="0"/>
              <w:spacing w:line="240" w:lineRule="auto"/>
              <w:jc w:val="center"/>
              <w:rPr>
                <w:sz w:val="21"/>
                <w:szCs w:val="21"/>
              </w:rPr>
            </w:pPr>
            <w:r>
              <w:rPr>
                <w:rFonts w:hint="eastAsia"/>
                <w:sz w:val="21"/>
                <w:szCs w:val="21"/>
              </w:rPr>
              <w:t>17</w:t>
            </w:r>
          </w:p>
        </w:tc>
        <w:tc>
          <w:tcPr>
            <w:tcW w:w="1354" w:type="dxa"/>
            <w:gridSpan w:val="2"/>
            <w:vAlign w:val="center"/>
          </w:tcPr>
          <w:p w14:paraId="3E74F840">
            <w:pPr>
              <w:adjustRightInd w:val="0"/>
              <w:snapToGrid w:val="0"/>
              <w:spacing w:line="240" w:lineRule="auto"/>
              <w:jc w:val="center"/>
              <w:rPr>
                <w:sz w:val="21"/>
                <w:szCs w:val="21"/>
              </w:rPr>
            </w:pPr>
            <w:r>
              <w:rPr>
                <w:rFonts w:hint="eastAsia"/>
                <w:sz w:val="21"/>
                <w:szCs w:val="21"/>
              </w:rPr>
              <w:t>润滑油</w:t>
            </w:r>
          </w:p>
        </w:tc>
        <w:tc>
          <w:tcPr>
            <w:tcW w:w="972" w:type="dxa"/>
            <w:vAlign w:val="center"/>
          </w:tcPr>
          <w:p w14:paraId="0A0AFB11">
            <w:pPr>
              <w:adjustRightInd w:val="0"/>
              <w:snapToGrid w:val="0"/>
              <w:spacing w:line="240" w:lineRule="auto"/>
              <w:jc w:val="center"/>
              <w:rPr>
                <w:sz w:val="21"/>
                <w:szCs w:val="21"/>
              </w:rPr>
            </w:pPr>
            <w:r>
              <w:rPr>
                <w:rFonts w:hint="eastAsia"/>
                <w:sz w:val="21"/>
                <w:szCs w:val="21"/>
              </w:rPr>
              <w:t>0</w:t>
            </w:r>
          </w:p>
        </w:tc>
        <w:tc>
          <w:tcPr>
            <w:tcW w:w="1293" w:type="dxa"/>
            <w:vAlign w:val="center"/>
          </w:tcPr>
          <w:p w14:paraId="2A8EBB52">
            <w:pPr>
              <w:adjustRightInd w:val="0"/>
              <w:snapToGrid w:val="0"/>
              <w:spacing w:line="240" w:lineRule="auto"/>
              <w:jc w:val="center"/>
              <w:rPr>
                <w:sz w:val="21"/>
                <w:szCs w:val="21"/>
              </w:rPr>
            </w:pPr>
            <w:r>
              <w:rPr>
                <w:rFonts w:hint="eastAsia"/>
                <w:sz w:val="21"/>
                <w:szCs w:val="21"/>
              </w:rPr>
              <w:t>+0.8</w:t>
            </w:r>
          </w:p>
        </w:tc>
        <w:tc>
          <w:tcPr>
            <w:tcW w:w="1442" w:type="dxa"/>
            <w:vAlign w:val="center"/>
          </w:tcPr>
          <w:p w14:paraId="40454B96">
            <w:pPr>
              <w:adjustRightInd w:val="0"/>
              <w:snapToGrid w:val="0"/>
              <w:spacing w:line="240" w:lineRule="auto"/>
              <w:jc w:val="center"/>
              <w:rPr>
                <w:sz w:val="21"/>
                <w:szCs w:val="21"/>
              </w:rPr>
            </w:pPr>
            <w:r>
              <w:rPr>
                <w:rFonts w:hint="eastAsia"/>
                <w:sz w:val="21"/>
                <w:szCs w:val="21"/>
              </w:rPr>
              <w:t>0.8</w:t>
            </w:r>
          </w:p>
        </w:tc>
        <w:tc>
          <w:tcPr>
            <w:tcW w:w="1111" w:type="dxa"/>
            <w:vAlign w:val="center"/>
          </w:tcPr>
          <w:p w14:paraId="75D4CF63">
            <w:pPr>
              <w:adjustRightInd w:val="0"/>
              <w:snapToGrid w:val="0"/>
              <w:spacing w:line="240" w:lineRule="auto"/>
              <w:jc w:val="center"/>
              <w:rPr>
                <w:sz w:val="21"/>
                <w:szCs w:val="21"/>
              </w:rPr>
            </w:pPr>
            <w:r>
              <w:rPr>
                <w:rFonts w:hint="eastAsia"/>
                <w:sz w:val="21"/>
                <w:szCs w:val="21"/>
              </w:rPr>
              <w:t>0.8</w:t>
            </w:r>
          </w:p>
        </w:tc>
        <w:tc>
          <w:tcPr>
            <w:tcW w:w="1685" w:type="dxa"/>
            <w:gridSpan w:val="2"/>
            <w:vAlign w:val="center"/>
          </w:tcPr>
          <w:p w14:paraId="6864BFC2">
            <w:pPr>
              <w:adjustRightInd w:val="0"/>
              <w:snapToGrid w:val="0"/>
              <w:spacing w:line="240" w:lineRule="auto"/>
              <w:jc w:val="center"/>
              <w:rPr>
                <w:sz w:val="21"/>
                <w:szCs w:val="21"/>
              </w:rPr>
            </w:pPr>
            <w:r>
              <w:rPr>
                <w:rFonts w:hint="eastAsia"/>
                <w:sz w:val="21"/>
                <w:szCs w:val="21"/>
              </w:rPr>
              <w:t>设备日常维修保养</w:t>
            </w:r>
          </w:p>
        </w:tc>
      </w:tr>
      <w:tr w14:paraId="2A75D5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39619B2">
            <w:pPr>
              <w:adjustRightInd w:val="0"/>
              <w:snapToGrid w:val="0"/>
              <w:spacing w:line="240" w:lineRule="auto"/>
              <w:jc w:val="center"/>
              <w:rPr>
                <w:sz w:val="21"/>
                <w:szCs w:val="21"/>
              </w:rPr>
            </w:pPr>
            <w:r>
              <w:rPr>
                <w:rFonts w:hint="eastAsia"/>
                <w:sz w:val="21"/>
                <w:szCs w:val="21"/>
              </w:rPr>
              <w:t>18</w:t>
            </w:r>
          </w:p>
        </w:tc>
        <w:tc>
          <w:tcPr>
            <w:tcW w:w="1354" w:type="dxa"/>
            <w:gridSpan w:val="2"/>
            <w:vAlign w:val="center"/>
          </w:tcPr>
          <w:p w14:paraId="1230F093">
            <w:pPr>
              <w:adjustRightInd w:val="0"/>
              <w:snapToGrid w:val="0"/>
              <w:spacing w:line="240" w:lineRule="auto"/>
              <w:jc w:val="center"/>
              <w:rPr>
                <w:sz w:val="21"/>
                <w:szCs w:val="21"/>
              </w:rPr>
            </w:pPr>
            <w:r>
              <w:rPr>
                <w:rFonts w:hint="eastAsia"/>
                <w:sz w:val="21"/>
                <w:szCs w:val="21"/>
              </w:rPr>
              <w:t>导热油</w:t>
            </w:r>
          </w:p>
        </w:tc>
        <w:tc>
          <w:tcPr>
            <w:tcW w:w="972" w:type="dxa"/>
            <w:vAlign w:val="center"/>
          </w:tcPr>
          <w:p w14:paraId="4ABFE5C9">
            <w:pPr>
              <w:adjustRightInd w:val="0"/>
              <w:snapToGrid w:val="0"/>
              <w:spacing w:line="240" w:lineRule="auto"/>
              <w:jc w:val="center"/>
              <w:rPr>
                <w:sz w:val="21"/>
                <w:szCs w:val="21"/>
              </w:rPr>
            </w:pPr>
            <w:r>
              <w:rPr>
                <w:rFonts w:hint="eastAsia"/>
                <w:sz w:val="21"/>
                <w:szCs w:val="21"/>
              </w:rPr>
              <w:t>0</w:t>
            </w:r>
          </w:p>
        </w:tc>
        <w:tc>
          <w:tcPr>
            <w:tcW w:w="1293" w:type="dxa"/>
            <w:vAlign w:val="center"/>
          </w:tcPr>
          <w:p w14:paraId="2A042D6E">
            <w:pPr>
              <w:adjustRightInd w:val="0"/>
              <w:snapToGrid w:val="0"/>
              <w:spacing w:line="240" w:lineRule="auto"/>
              <w:jc w:val="center"/>
              <w:rPr>
                <w:sz w:val="21"/>
                <w:szCs w:val="21"/>
              </w:rPr>
            </w:pPr>
            <w:r>
              <w:rPr>
                <w:rFonts w:hint="eastAsia"/>
                <w:sz w:val="21"/>
                <w:szCs w:val="21"/>
              </w:rPr>
              <w:t>+2</w:t>
            </w:r>
          </w:p>
        </w:tc>
        <w:tc>
          <w:tcPr>
            <w:tcW w:w="1442" w:type="dxa"/>
            <w:vAlign w:val="center"/>
          </w:tcPr>
          <w:p w14:paraId="3E04B922">
            <w:pPr>
              <w:adjustRightInd w:val="0"/>
              <w:snapToGrid w:val="0"/>
              <w:spacing w:line="240" w:lineRule="auto"/>
              <w:jc w:val="center"/>
              <w:rPr>
                <w:sz w:val="21"/>
                <w:szCs w:val="21"/>
              </w:rPr>
            </w:pPr>
            <w:r>
              <w:rPr>
                <w:rFonts w:hint="eastAsia"/>
                <w:sz w:val="21"/>
                <w:szCs w:val="21"/>
              </w:rPr>
              <w:t>2</w:t>
            </w:r>
          </w:p>
        </w:tc>
        <w:tc>
          <w:tcPr>
            <w:tcW w:w="1111" w:type="dxa"/>
            <w:vAlign w:val="center"/>
          </w:tcPr>
          <w:p w14:paraId="5E69988F">
            <w:pPr>
              <w:adjustRightInd w:val="0"/>
              <w:snapToGrid w:val="0"/>
              <w:spacing w:line="240" w:lineRule="auto"/>
              <w:jc w:val="center"/>
              <w:rPr>
                <w:sz w:val="21"/>
                <w:szCs w:val="21"/>
              </w:rPr>
            </w:pPr>
            <w:r>
              <w:rPr>
                <w:rFonts w:hint="eastAsia"/>
                <w:sz w:val="21"/>
                <w:szCs w:val="21"/>
              </w:rPr>
              <w:t>2</w:t>
            </w:r>
          </w:p>
        </w:tc>
        <w:tc>
          <w:tcPr>
            <w:tcW w:w="1685" w:type="dxa"/>
            <w:gridSpan w:val="2"/>
            <w:vAlign w:val="center"/>
          </w:tcPr>
          <w:p w14:paraId="5DD27676">
            <w:pPr>
              <w:adjustRightInd w:val="0"/>
              <w:snapToGrid w:val="0"/>
              <w:spacing w:line="240" w:lineRule="auto"/>
              <w:jc w:val="center"/>
              <w:rPr>
                <w:sz w:val="21"/>
                <w:szCs w:val="21"/>
              </w:rPr>
            </w:pPr>
            <w:r>
              <w:rPr>
                <w:rFonts w:hint="eastAsia"/>
                <w:sz w:val="21"/>
                <w:szCs w:val="21"/>
              </w:rPr>
              <w:t>导热油锅炉</w:t>
            </w:r>
          </w:p>
        </w:tc>
      </w:tr>
      <w:tr w14:paraId="182A45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420" w:type="dxa"/>
            <w:gridSpan w:val="9"/>
            <w:vAlign w:val="center"/>
          </w:tcPr>
          <w:p w14:paraId="0E4FBA65">
            <w:pPr>
              <w:adjustRightInd w:val="0"/>
              <w:snapToGrid w:val="0"/>
              <w:spacing w:line="240" w:lineRule="auto"/>
              <w:jc w:val="center"/>
              <w:rPr>
                <w:sz w:val="21"/>
                <w:szCs w:val="21"/>
              </w:rPr>
            </w:pPr>
            <w:r>
              <w:rPr>
                <w:sz w:val="21"/>
                <w:szCs w:val="21"/>
              </w:rPr>
              <w:t>二、主要能耗</w:t>
            </w:r>
          </w:p>
        </w:tc>
      </w:tr>
      <w:tr w14:paraId="004847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7E4BBE90">
            <w:pPr>
              <w:adjustRightInd w:val="0"/>
              <w:snapToGrid w:val="0"/>
              <w:spacing w:line="240" w:lineRule="auto"/>
              <w:jc w:val="center"/>
              <w:rPr>
                <w:sz w:val="21"/>
                <w:szCs w:val="21"/>
              </w:rPr>
            </w:pPr>
            <w:r>
              <w:rPr>
                <w:sz w:val="21"/>
                <w:szCs w:val="21"/>
              </w:rPr>
              <w:t>1</w:t>
            </w:r>
          </w:p>
        </w:tc>
        <w:tc>
          <w:tcPr>
            <w:tcW w:w="1354" w:type="dxa"/>
            <w:gridSpan w:val="2"/>
            <w:vAlign w:val="center"/>
          </w:tcPr>
          <w:p w14:paraId="1665A5BE">
            <w:pPr>
              <w:adjustRightInd w:val="0"/>
              <w:snapToGrid w:val="0"/>
              <w:spacing w:line="240" w:lineRule="auto"/>
              <w:jc w:val="center"/>
              <w:rPr>
                <w:sz w:val="21"/>
                <w:szCs w:val="21"/>
              </w:rPr>
            </w:pPr>
            <w:r>
              <w:rPr>
                <w:sz w:val="21"/>
                <w:szCs w:val="21"/>
              </w:rPr>
              <w:t>水</w:t>
            </w:r>
          </w:p>
        </w:tc>
        <w:tc>
          <w:tcPr>
            <w:tcW w:w="972" w:type="dxa"/>
            <w:vAlign w:val="center"/>
          </w:tcPr>
          <w:p w14:paraId="34FF099A">
            <w:pPr>
              <w:adjustRightInd w:val="0"/>
              <w:snapToGrid w:val="0"/>
              <w:spacing w:line="240" w:lineRule="auto"/>
              <w:jc w:val="center"/>
              <w:rPr>
                <w:sz w:val="21"/>
                <w:szCs w:val="21"/>
              </w:rPr>
            </w:pPr>
            <w:r>
              <w:rPr>
                <w:sz w:val="21"/>
                <w:szCs w:val="21"/>
              </w:rPr>
              <w:t>7980t</w:t>
            </w:r>
          </w:p>
        </w:tc>
        <w:tc>
          <w:tcPr>
            <w:tcW w:w="1293" w:type="dxa"/>
            <w:vAlign w:val="center"/>
          </w:tcPr>
          <w:p w14:paraId="28DEF149">
            <w:pPr>
              <w:adjustRightInd w:val="0"/>
              <w:snapToGrid w:val="0"/>
              <w:spacing w:line="240" w:lineRule="auto"/>
              <w:jc w:val="center"/>
              <w:rPr>
                <w:sz w:val="21"/>
                <w:szCs w:val="21"/>
              </w:rPr>
            </w:pPr>
            <w:r>
              <w:rPr>
                <w:rFonts w:hint="eastAsia"/>
                <w:sz w:val="21"/>
                <w:szCs w:val="21"/>
              </w:rPr>
              <w:t>+9960.4</w:t>
            </w:r>
            <w:r>
              <w:rPr>
                <w:sz w:val="21"/>
                <w:szCs w:val="21"/>
              </w:rPr>
              <w:t>t</w:t>
            </w:r>
          </w:p>
        </w:tc>
        <w:tc>
          <w:tcPr>
            <w:tcW w:w="1442" w:type="dxa"/>
            <w:vAlign w:val="center"/>
          </w:tcPr>
          <w:p w14:paraId="047C87EF">
            <w:pPr>
              <w:adjustRightInd w:val="0"/>
              <w:snapToGrid w:val="0"/>
              <w:spacing w:line="240" w:lineRule="auto"/>
              <w:jc w:val="center"/>
              <w:rPr>
                <w:sz w:val="21"/>
                <w:szCs w:val="21"/>
              </w:rPr>
            </w:pPr>
            <w:r>
              <w:rPr>
                <w:rFonts w:hint="eastAsia"/>
                <w:sz w:val="21"/>
                <w:szCs w:val="21"/>
              </w:rPr>
              <w:t>17940.4t</w:t>
            </w:r>
          </w:p>
        </w:tc>
        <w:tc>
          <w:tcPr>
            <w:tcW w:w="1111" w:type="dxa"/>
            <w:vAlign w:val="center"/>
          </w:tcPr>
          <w:p w14:paraId="035CE0E0">
            <w:pPr>
              <w:adjustRightInd w:val="0"/>
              <w:snapToGrid w:val="0"/>
              <w:spacing w:line="240" w:lineRule="auto"/>
              <w:jc w:val="center"/>
              <w:rPr>
                <w:sz w:val="21"/>
                <w:szCs w:val="21"/>
              </w:rPr>
            </w:pPr>
            <w:r>
              <w:rPr>
                <w:sz w:val="21"/>
                <w:szCs w:val="21"/>
              </w:rPr>
              <w:t>市政供水</w:t>
            </w:r>
          </w:p>
        </w:tc>
        <w:tc>
          <w:tcPr>
            <w:tcW w:w="1685" w:type="dxa"/>
            <w:gridSpan w:val="2"/>
            <w:vAlign w:val="center"/>
          </w:tcPr>
          <w:p w14:paraId="6924F787">
            <w:pPr>
              <w:adjustRightInd w:val="0"/>
              <w:snapToGrid w:val="0"/>
              <w:spacing w:line="240" w:lineRule="auto"/>
              <w:jc w:val="center"/>
              <w:rPr>
                <w:sz w:val="21"/>
                <w:szCs w:val="21"/>
              </w:rPr>
            </w:pPr>
          </w:p>
        </w:tc>
      </w:tr>
      <w:tr w14:paraId="1FEB54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692F29A5">
            <w:pPr>
              <w:adjustRightInd w:val="0"/>
              <w:snapToGrid w:val="0"/>
              <w:spacing w:line="240" w:lineRule="auto"/>
              <w:jc w:val="center"/>
              <w:rPr>
                <w:sz w:val="21"/>
                <w:szCs w:val="21"/>
              </w:rPr>
            </w:pPr>
            <w:r>
              <w:rPr>
                <w:sz w:val="21"/>
                <w:szCs w:val="21"/>
              </w:rPr>
              <w:t>2</w:t>
            </w:r>
          </w:p>
        </w:tc>
        <w:tc>
          <w:tcPr>
            <w:tcW w:w="1354" w:type="dxa"/>
            <w:gridSpan w:val="2"/>
            <w:vAlign w:val="center"/>
          </w:tcPr>
          <w:p w14:paraId="25345CD4">
            <w:pPr>
              <w:adjustRightInd w:val="0"/>
              <w:snapToGrid w:val="0"/>
              <w:spacing w:line="240" w:lineRule="auto"/>
              <w:jc w:val="center"/>
              <w:rPr>
                <w:sz w:val="21"/>
                <w:szCs w:val="21"/>
              </w:rPr>
            </w:pPr>
            <w:r>
              <w:rPr>
                <w:sz w:val="21"/>
                <w:szCs w:val="21"/>
              </w:rPr>
              <w:t>电</w:t>
            </w:r>
          </w:p>
        </w:tc>
        <w:tc>
          <w:tcPr>
            <w:tcW w:w="972" w:type="dxa"/>
            <w:vAlign w:val="center"/>
          </w:tcPr>
          <w:p w14:paraId="2DABDC11">
            <w:pPr>
              <w:adjustRightInd w:val="0"/>
              <w:snapToGrid w:val="0"/>
              <w:spacing w:line="240" w:lineRule="auto"/>
              <w:jc w:val="center"/>
              <w:rPr>
                <w:sz w:val="21"/>
                <w:szCs w:val="21"/>
              </w:rPr>
            </w:pPr>
            <w:r>
              <w:rPr>
                <w:sz w:val="21"/>
                <w:szCs w:val="21"/>
              </w:rPr>
              <w:t>1908万度</w:t>
            </w:r>
          </w:p>
        </w:tc>
        <w:tc>
          <w:tcPr>
            <w:tcW w:w="1293" w:type="dxa"/>
            <w:vAlign w:val="center"/>
          </w:tcPr>
          <w:p w14:paraId="727EDED3">
            <w:pPr>
              <w:adjustRightInd w:val="0"/>
              <w:snapToGrid w:val="0"/>
              <w:spacing w:line="240" w:lineRule="auto"/>
              <w:jc w:val="center"/>
              <w:rPr>
                <w:sz w:val="21"/>
                <w:szCs w:val="21"/>
              </w:rPr>
            </w:pPr>
            <w:r>
              <w:rPr>
                <w:rFonts w:hint="eastAsia"/>
                <w:sz w:val="21"/>
                <w:szCs w:val="21"/>
              </w:rPr>
              <w:t>+</w:t>
            </w:r>
            <w:r>
              <w:rPr>
                <w:sz w:val="21"/>
                <w:szCs w:val="21"/>
              </w:rPr>
              <w:t>787万度</w:t>
            </w:r>
          </w:p>
        </w:tc>
        <w:tc>
          <w:tcPr>
            <w:tcW w:w="1442" w:type="dxa"/>
            <w:vAlign w:val="center"/>
          </w:tcPr>
          <w:p w14:paraId="4C0497C5">
            <w:pPr>
              <w:adjustRightInd w:val="0"/>
              <w:snapToGrid w:val="0"/>
              <w:spacing w:line="240" w:lineRule="auto"/>
              <w:jc w:val="center"/>
              <w:rPr>
                <w:sz w:val="21"/>
                <w:szCs w:val="21"/>
              </w:rPr>
            </w:pPr>
            <w:r>
              <w:rPr>
                <w:sz w:val="21"/>
                <w:szCs w:val="21"/>
              </w:rPr>
              <w:t>2695万度</w:t>
            </w:r>
          </w:p>
        </w:tc>
        <w:tc>
          <w:tcPr>
            <w:tcW w:w="1111" w:type="dxa"/>
            <w:vAlign w:val="center"/>
          </w:tcPr>
          <w:p w14:paraId="3D4EC0F2">
            <w:pPr>
              <w:adjustRightInd w:val="0"/>
              <w:snapToGrid w:val="0"/>
              <w:spacing w:line="240" w:lineRule="auto"/>
              <w:jc w:val="center"/>
              <w:rPr>
                <w:sz w:val="21"/>
                <w:szCs w:val="21"/>
              </w:rPr>
            </w:pPr>
            <w:r>
              <w:rPr>
                <w:sz w:val="21"/>
                <w:szCs w:val="21"/>
              </w:rPr>
              <w:t>市政供电</w:t>
            </w:r>
          </w:p>
        </w:tc>
        <w:tc>
          <w:tcPr>
            <w:tcW w:w="1685" w:type="dxa"/>
            <w:gridSpan w:val="2"/>
            <w:vAlign w:val="center"/>
          </w:tcPr>
          <w:p w14:paraId="014A153D">
            <w:pPr>
              <w:adjustRightInd w:val="0"/>
              <w:snapToGrid w:val="0"/>
              <w:spacing w:line="240" w:lineRule="auto"/>
              <w:jc w:val="center"/>
              <w:rPr>
                <w:sz w:val="21"/>
                <w:szCs w:val="21"/>
              </w:rPr>
            </w:pPr>
          </w:p>
        </w:tc>
      </w:tr>
      <w:tr w14:paraId="1BB71E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71866397">
            <w:pPr>
              <w:adjustRightInd w:val="0"/>
              <w:snapToGrid w:val="0"/>
              <w:spacing w:line="240" w:lineRule="auto"/>
              <w:jc w:val="center"/>
              <w:rPr>
                <w:sz w:val="21"/>
                <w:szCs w:val="21"/>
              </w:rPr>
            </w:pPr>
            <w:r>
              <w:rPr>
                <w:sz w:val="21"/>
                <w:szCs w:val="21"/>
              </w:rPr>
              <w:t>3</w:t>
            </w:r>
          </w:p>
        </w:tc>
        <w:tc>
          <w:tcPr>
            <w:tcW w:w="1354" w:type="dxa"/>
            <w:gridSpan w:val="2"/>
            <w:vAlign w:val="center"/>
          </w:tcPr>
          <w:p w14:paraId="6301279A">
            <w:pPr>
              <w:adjustRightInd w:val="0"/>
              <w:snapToGrid w:val="0"/>
              <w:spacing w:line="240" w:lineRule="auto"/>
              <w:jc w:val="center"/>
              <w:rPr>
                <w:sz w:val="21"/>
                <w:szCs w:val="21"/>
              </w:rPr>
            </w:pPr>
            <w:r>
              <w:rPr>
                <w:sz w:val="21"/>
                <w:szCs w:val="21"/>
              </w:rPr>
              <w:t>天然气</w:t>
            </w:r>
          </w:p>
        </w:tc>
        <w:tc>
          <w:tcPr>
            <w:tcW w:w="972" w:type="dxa"/>
            <w:vAlign w:val="center"/>
          </w:tcPr>
          <w:p w14:paraId="1A5D5AF0">
            <w:pPr>
              <w:adjustRightInd w:val="0"/>
              <w:snapToGrid w:val="0"/>
              <w:spacing w:line="240" w:lineRule="auto"/>
              <w:jc w:val="center"/>
              <w:rPr>
                <w:sz w:val="21"/>
                <w:szCs w:val="21"/>
              </w:rPr>
            </w:pPr>
            <w:r>
              <w:rPr>
                <w:sz w:val="21"/>
                <w:szCs w:val="21"/>
              </w:rPr>
              <w:t>39.35万m³/a</w:t>
            </w:r>
          </w:p>
        </w:tc>
        <w:tc>
          <w:tcPr>
            <w:tcW w:w="1293" w:type="dxa"/>
            <w:vAlign w:val="center"/>
          </w:tcPr>
          <w:p w14:paraId="79E2A76D">
            <w:pPr>
              <w:adjustRightInd w:val="0"/>
              <w:snapToGrid w:val="0"/>
              <w:spacing w:line="240" w:lineRule="auto"/>
              <w:jc w:val="center"/>
              <w:rPr>
                <w:sz w:val="21"/>
                <w:szCs w:val="21"/>
              </w:rPr>
            </w:pPr>
            <w:r>
              <w:rPr>
                <w:rFonts w:hint="eastAsia"/>
                <w:sz w:val="21"/>
                <w:szCs w:val="21"/>
              </w:rPr>
              <w:t>+</w:t>
            </w:r>
            <w:r>
              <w:rPr>
                <w:sz w:val="21"/>
                <w:szCs w:val="21"/>
              </w:rPr>
              <w:t>76万m³/a</w:t>
            </w:r>
          </w:p>
        </w:tc>
        <w:tc>
          <w:tcPr>
            <w:tcW w:w="1442" w:type="dxa"/>
            <w:vAlign w:val="center"/>
          </w:tcPr>
          <w:p w14:paraId="5B6957BC">
            <w:pPr>
              <w:adjustRightInd w:val="0"/>
              <w:snapToGrid w:val="0"/>
              <w:spacing w:line="240" w:lineRule="auto"/>
              <w:jc w:val="center"/>
              <w:rPr>
                <w:sz w:val="21"/>
                <w:szCs w:val="21"/>
              </w:rPr>
            </w:pPr>
            <w:r>
              <w:rPr>
                <w:rFonts w:hint="eastAsia"/>
                <w:sz w:val="21"/>
                <w:szCs w:val="21"/>
              </w:rPr>
              <w:t>76</w:t>
            </w:r>
            <w:r>
              <w:rPr>
                <w:sz w:val="21"/>
                <w:szCs w:val="21"/>
              </w:rPr>
              <w:t>万m³/a</w:t>
            </w:r>
          </w:p>
        </w:tc>
        <w:tc>
          <w:tcPr>
            <w:tcW w:w="1111" w:type="dxa"/>
            <w:vAlign w:val="center"/>
          </w:tcPr>
          <w:p w14:paraId="64C4B672">
            <w:pPr>
              <w:adjustRightInd w:val="0"/>
              <w:snapToGrid w:val="0"/>
              <w:spacing w:line="240" w:lineRule="auto"/>
              <w:jc w:val="center"/>
              <w:rPr>
                <w:sz w:val="21"/>
                <w:szCs w:val="21"/>
              </w:rPr>
            </w:pPr>
            <w:r>
              <w:rPr>
                <w:sz w:val="21"/>
                <w:szCs w:val="21"/>
              </w:rPr>
              <w:t>市政供气</w:t>
            </w:r>
          </w:p>
        </w:tc>
        <w:tc>
          <w:tcPr>
            <w:tcW w:w="1685" w:type="dxa"/>
            <w:gridSpan w:val="2"/>
            <w:vAlign w:val="center"/>
          </w:tcPr>
          <w:p w14:paraId="2F1E0916">
            <w:pPr>
              <w:adjustRightInd w:val="0"/>
              <w:snapToGrid w:val="0"/>
              <w:spacing w:line="240" w:lineRule="auto"/>
              <w:rPr>
                <w:sz w:val="21"/>
                <w:szCs w:val="21"/>
              </w:rPr>
            </w:pPr>
            <w:r>
              <w:rPr>
                <w:sz w:val="21"/>
                <w:szCs w:val="21"/>
              </w:rPr>
              <w:t>其中：拟建导热油</w:t>
            </w:r>
            <w:r>
              <w:rPr>
                <w:rFonts w:hint="eastAsia"/>
                <w:sz w:val="21"/>
                <w:szCs w:val="21"/>
              </w:rPr>
              <w:t>锅炉</w:t>
            </w:r>
            <w:r>
              <w:rPr>
                <w:sz w:val="21"/>
                <w:szCs w:val="21"/>
              </w:rPr>
              <w:t>使用天然气36万m³/a、烘干40万m³/a，原有环保措施和烘干39.35万m³/a天然气不在使用</w:t>
            </w:r>
          </w:p>
        </w:tc>
      </w:tr>
      <w:tr w14:paraId="5CF006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63" w:type="dxa"/>
            <w:vAlign w:val="center"/>
          </w:tcPr>
          <w:p w14:paraId="0FE80ADB">
            <w:pPr>
              <w:adjustRightInd w:val="0"/>
              <w:snapToGrid w:val="0"/>
              <w:spacing w:line="240" w:lineRule="auto"/>
              <w:jc w:val="center"/>
              <w:rPr>
                <w:sz w:val="21"/>
                <w:szCs w:val="21"/>
              </w:rPr>
            </w:pPr>
            <w:r>
              <w:rPr>
                <w:rFonts w:hint="eastAsia"/>
                <w:sz w:val="21"/>
                <w:szCs w:val="21"/>
              </w:rPr>
              <w:t>4</w:t>
            </w:r>
          </w:p>
        </w:tc>
        <w:tc>
          <w:tcPr>
            <w:tcW w:w="1354" w:type="dxa"/>
            <w:gridSpan w:val="2"/>
            <w:vAlign w:val="center"/>
          </w:tcPr>
          <w:p w14:paraId="0F2064B5">
            <w:pPr>
              <w:adjustRightInd w:val="0"/>
              <w:snapToGrid w:val="0"/>
              <w:spacing w:line="240" w:lineRule="auto"/>
              <w:jc w:val="center"/>
              <w:rPr>
                <w:sz w:val="21"/>
                <w:szCs w:val="21"/>
              </w:rPr>
            </w:pPr>
            <w:r>
              <w:rPr>
                <w:rFonts w:hint="eastAsia"/>
                <w:sz w:val="21"/>
                <w:szCs w:val="21"/>
              </w:rPr>
              <w:t>氮气</w:t>
            </w:r>
          </w:p>
        </w:tc>
        <w:tc>
          <w:tcPr>
            <w:tcW w:w="972" w:type="dxa"/>
            <w:vAlign w:val="center"/>
          </w:tcPr>
          <w:p w14:paraId="4B6B1401">
            <w:pPr>
              <w:adjustRightInd w:val="0"/>
              <w:snapToGrid w:val="0"/>
              <w:spacing w:line="240" w:lineRule="auto"/>
              <w:jc w:val="center"/>
              <w:rPr>
                <w:sz w:val="21"/>
                <w:szCs w:val="21"/>
              </w:rPr>
            </w:pPr>
            <w:r>
              <w:rPr>
                <w:rFonts w:hint="eastAsia"/>
                <w:sz w:val="21"/>
                <w:szCs w:val="21"/>
              </w:rPr>
              <w:t>0</w:t>
            </w:r>
          </w:p>
        </w:tc>
        <w:tc>
          <w:tcPr>
            <w:tcW w:w="1293" w:type="dxa"/>
            <w:vAlign w:val="center"/>
          </w:tcPr>
          <w:p w14:paraId="2988CE9D">
            <w:pPr>
              <w:adjustRightInd w:val="0"/>
              <w:snapToGrid w:val="0"/>
              <w:spacing w:line="240" w:lineRule="auto"/>
              <w:jc w:val="center"/>
              <w:rPr>
                <w:sz w:val="21"/>
                <w:szCs w:val="21"/>
              </w:rPr>
            </w:pPr>
            <w:r>
              <w:rPr>
                <w:rFonts w:hint="eastAsia"/>
                <w:sz w:val="21"/>
                <w:szCs w:val="21"/>
              </w:rPr>
              <w:t>+9万</w:t>
            </w:r>
            <w:r>
              <w:rPr>
                <w:sz w:val="21"/>
                <w:szCs w:val="21"/>
              </w:rPr>
              <w:t>m³/a</w:t>
            </w:r>
          </w:p>
        </w:tc>
        <w:tc>
          <w:tcPr>
            <w:tcW w:w="1442" w:type="dxa"/>
            <w:vAlign w:val="center"/>
          </w:tcPr>
          <w:p w14:paraId="4FB1B6F0">
            <w:pPr>
              <w:adjustRightInd w:val="0"/>
              <w:snapToGrid w:val="0"/>
              <w:spacing w:line="240" w:lineRule="auto"/>
              <w:jc w:val="center"/>
              <w:rPr>
                <w:sz w:val="21"/>
                <w:szCs w:val="21"/>
              </w:rPr>
            </w:pPr>
            <w:r>
              <w:rPr>
                <w:rFonts w:hint="eastAsia"/>
                <w:sz w:val="21"/>
                <w:szCs w:val="21"/>
              </w:rPr>
              <w:t>9万</w:t>
            </w:r>
            <w:r>
              <w:rPr>
                <w:sz w:val="21"/>
                <w:szCs w:val="21"/>
              </w:rPr>
              <w:t>m³/a</w:t>
            </w:r>
          </w:p>
        </w:tc>
        <w:tc>
          <w:tcPr>
            <w:tcW w:w="1111" w:type="dxa"/>
            <w:vAlign w:val="center"/>
          </w:tcPr>
          <w:p w14:paraId="03AF8E40">
            <w:pPr>
              <w:adjustRightInd w:val="0"/>
              <w:snapToGrid w:val="0"/>
              <w:spacing w:line="240" w:lineRule="auto"/>
              <w:jc w:val="center"/>
              <w:rPr>
                <w:sz w:val="21"/>
                <w:szCs w:val="21"/>
              </w:rPr>
            </w:pPr>
            <w:r>
              <w:rPr>
                <w:rFonts w:hint="eastAsia"/>
                <w:sz w:val="21"/>
                <w:szCs w:val="21"/>
              </w:rPr>
              <w:t>自制</w:t>
            </w:r>
          </w:p>
        </w:tc>
        <w:tc>
          <w:tcPr>
            <w:tcW w:w="1685" w:type="dxa"/>
            <w:gridSpan w:val="2"/>
            <w:vAlign w:val="center"/>
          </w:tcPr>
          <w:p w14:paraId="3E61B078">
            <w:pPr>
              <w:adjustRightInd w:val="0"/>
              <w:snapToGrid w:val="0"/>
              <w:spacing w:line="240" w:lineRule="auto"/>
              <w:jc w:val="center"/>
              <w:rPr>
                <w:sz w:val="21"/>
                <w:szCs w:val="21"/>
              </w:rPr>
            </w:pPr>
          </w:p>
        </w:tc>
      </w:tr>
      <w:tr w14:paraId="152B9B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8420" w:type="dxa"/>
            <w:gridSpan w:val="9"/>
            <w:vAlign w:val="center"/>
          </w:tcPr>
          <w:p w14:paraId="37389560">
            <w:pPr>
              <w:adjustRightInd w:val="0"/>
              <w:snapToGrid w:val="0"/>
              <w:spacing w:line="240" w:lineRule="auto"/>
              <w:jc w:val="left"/>
              <w:rPr>
                <w:sz w:val="21"/>
                <w:szCs w:val="21"/>
              </w:rPr>
            </w:pPr>
            <w:r>
              <w:rPr>
                <w:b/>
                <w:bCs/>
                <w:sz w:val="21"/>
                <w:szCs w:val="21"/>
              </w:rPr>
              <w:t>注：</w:t>
            </w:r>
            <w:r>
              <w:rPr>
                <w:rFonts w:hint="eastAsia"/>
                <w:b/>
                <w:bCs/>
                <w:sz w:val="21"/>
                <w:szCs w:val="21"/>
              </w:rPr>
              <w:t>1.</w:t>
            </w:r>
            <w:r>
              <w:rPr>
                <w:b/>
                <w:bCs/>
                <w:sz w:val="21"/>
                <w:szCs w:val="21"/>
              </w:rPr>
              <w:t>由于设备更新和产品品质要求提升，为提高印刷品表面均匀性，增加设备使用周期，优化了油墨和稀释剂的调配</w:t>
            </w:r>
            <w:r>
              <w:rPr>
                <w:rFonts w:hint="eastAsia"/>
                <w:b/>
                <w:bCs/>
                <w:sz w:val="21"/>
                <w:szCs w:val="21"/>
              </w:rPr>
              <w:t>，因此，改扩建后油墨：稀释剂=1:1；因此改扩建项目根据现有项目及设备工艺调整优化后相对应增加。2.复合部分无溶剂设备技术提升以及复合工艺提升，原只能干式复合才能达到的产品要求，现可以使用无溶剂复合机达到产品要求。</w:t>
            </w:r>
          </w:p>
        </w:tc>
      </w:tr>
    </w:tbl>
    <w:p w14:paraId="462A218F">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3.2.2.6</w:t>
      </w:r>
      <w:r>
        <w:t>公用工程</w:t>
      </w:r>
    </w:p>
    <w:p w14:paraId="13DA0E6D">
      <w:pPr>
        <w:pStyle w:val="38"/>
        <w:ind w:firstLine="480"/>
      </w:pPr>
      <w:r>
        <w:t>（</w:t>
      </w:r>
      <w:r>
        <w:rPr>
          <w:rFonts w:hint="eastAsia"/>
        </w:rPr>
        <w:t>1</w:t>
      </w:r>
      <w:r>
        <w:t>）供水</w:t>
      </w:r>
    </w:p>
    <w:p w14:paraId="1D54E558">
      <w:pPr>
        <w:ind w:firstLine="480"/>
      </w:pPr>
      <w:r>
        <w:rPr>
          <w:rFonts w:hint="eastAsia"/>
        </w:rPr>
        <w:t>项目位于湘潭县天易示范区，由市政供水管网供水，满足项目生产、生活和消防用水需求。</w:t>
      </w:r>
    </w:p>
    <w:p w14:paraId="242BD820">
      <w:pPr>
        <w:tabs>
          <w:tab w:val="left" w:pos="2355"/>
        </w:tabs>
        <w:ind w:firstLine="480"/>
        <w:jc w:val="left"/>
      </w:pPr>
      <w:r>
        <w:t>生活用水：项目新增员工71人。根据《湖南省用水定额》（DB43/T388-2020），参照国家行政机构办公楼用水量通用值38m</w:t>
      </w:r>
      <w:r>
        <w:rPr>
          <w:vertAlign w:val="superscript"/>
        </w:rPr>
        <w:t>3</w:t>
      </w:r>
      <w:r>
        <w:t>/人·a，项目生活用水量约</w:t>
      </w:r>
      <w:r>
        <w:rPr>
          <w:rFonts w:hint="eastAsia"/>
        </w:rPr>
        <w:t>2698</w:t>
      </w:r>
      <w:r>
        <w:t>t/a</w:t>
      </w:r>
      <w:r>
        <w:rPr>
          <w:rFonts w:hint="eastAsia"/>
        </w:rPr>
        <w:t>（7.94</w:t>
      </w:r>
      <w:r>
        <w:t>m</w:t>
      </w:r>
      <w:r>
        <w:rPr>
          <w:vertAlign w:val="superscript"/>
        </w:rPr>
        <w:t>3</w:t>
      </w:r>
      <w:r>
        <w:t>/d</w:t>
      </w:r>
      <w:r>
        <w:rPr>
          <w:rFonts w:hint="eastAsia"/>
        </w:rPr>
        <w:t>）</w:t>
      </w:r>
      <w:r>
        <w:t>。</w:t>
      </w:r>
    </w:p>
    <w:p w14:paraId="23FD5F2B">
      <w:pPr>
        <w:ind w:firstLine="480"/>
      </w:pPr>
      <w:r>
        <w:t>生产用水：项目生产用水主要为</w:t>
      </w:r>
      <w:r>
        <w:rPr>
          <w:rFonts w:hint="eastAsia"/>
        </w:rPr>
        <w:t>生产</w:t>
      </w:r>
      <w:r>
        <w:t>设备冷却用水</w:t>
      </w:r>
      <w:r>
        <w:rPr>
          <w:rFonts w:hint="eastAsia"/>
        </w:rPr>
        <w:t>以及</w:t>
      </w:r>
      <w:r>
        <w:t>环保措施冷却用水。</w:t>
      </w:r>
    </w:p>
    <w:p w14:paraId="333C4A33">
      <w:pPr>
        <w:ind w:firstLine="480"/>
      </w:pPr>
      <w:r>
        <w:rPr>
          <w:rFonts w:hint="eastAsia" w:ascii="宋体" w:hAnsi="宋体" w:cs="宋体"/>
        </w:rPr>
        <w:t>①</w:t>
      </w:r>
      <w:r>
        <w:rPr>
          <w:rFonts w:hint="eastAsia"/>
        </w:rPr>
        <w:t>设备冷却用水：主要来自</w:t>
      </w:r>
      <w:r>
        <w:t>印刷</w:t>
      </w:r>
      <w:r>
        <w:rPr>
          <w:rFonts w:hint="eastAsia"/>
        </w:rPr>
        <w:t>机、</w:t>
      </w:r>
      <w:r>
        <w:t>复合</w:t>
      </w:r>
      <w:r>
        <w:rPr>
          <w:rFonts w:hint="eastAsia"/>
        </w:rPr>
        <w:t>机、</w:t>
      </w:r>
      <w:r>
        <w:t>制袋</w:t>
      </w:r>
      <w:r>
        <w:rPr>
          <w:rFonts w:hint="eastAsia"/>
        </w:rPr>
        <w:t>机的循环冷却用水</w:t>
      </w:r>
      <w:r>
        <w:t>（间冷</w:t>
      </w:r>
      <w:r>
        <w:rPr>
          <w:rFonts w:hint="eastAsia"/>
        </w:rPr>
        <w:t>敞</w:t>
      </w:r>
      <w:r>
        <w:t>开式循环冷却水系统）</w:t>
      </w:r>
      <w:r>
        <w:rPr>
          <w:rFonts w:hint="eastAsia"/>
        </w:rPr>
        <w:t>，</w:t>
      </w:r>
      <w:r>
        <w:t>进入1个约90m</w:t>
      </w:r>
      <w:r>
        <w:rPr>
          <w:vertAlign w:val="superscript"/>
        </w:rPr>
        <w:t>3</w:t>
      </w:r>
      <w:r>
        <w:t>（规格6m×5m×3m）的</w:t>
      </w:r>
      <w:r>
        <w:rPr>
          <w:rFonts w:hint="eastAsia"/>
        </w:rPr>
        <w:t>地下</w:t>
      </w:r>
      <w:r>
        <w:t>循环水池循环回收利用，共2个循环水泵，间接冷却水循环量分别为2t/h、4t/h，年工作3</w:t>
      </w:r>
      <w:r>
        <w:rPr>
          <w:rFonts w:hint="eastAsia"/>
        </w:rPr>
        <w:t>4</w:t>
      </w:r>
      <w:r>
        <w:t>0天，平均每天运行时间24小时，</w:t>
      </w:r>
      <w:r>
        <w:rPr>
          <w:rFonts w:hint="eastAsia"/>
        </w:rPr>
        <w:t>本项目无吹散水量，蒸发水量为补充水量，</w:t>
      </w:r>
      <w:r>
        <w:t>根据《</w:t>
      </w:r>
      <w:r>
        <w:rPr>
          <w:rFonts w:hint="eastAsia"/>
        </w:rPr>
        <w:t>水平衡测试通则</w:t>
      </w:r>
      <w:r>
        <w:t>》（GB/T</w:t>
      </w:r>
      <w:r>
        <w:rPr>
          <w:rFonts w:hint="eastAsia"/>
        </w:rPr>
        <w:t>12452</w:t>
      </w:r>
      <w:r>
        <w:t>-20</w:t>
      </w:r>
      <w:r>
        <w:rPr>
          <w:rFonts w:hint="eastAsia"/>
        </w:rPr>
        <w:t>22</w:t>
      </w:r>
      <w:r>
        <w:t>），</w:t>
      </w:r>
      <w:r>
        <w:rPr>
          <w:rFonts w:hint="eastAsia"/>
        </w:rPr>
        <w:t>敞开式循环冷却水系统</w:t>
      </w:r>
      <w:r>
        <w:t>的</w:t>
      </w:r>
      <w:r>
        <w:rPr>
          <w:rFonts w:hint="eastAsia"/>
        </w:rPr>
        <w:t>蒸发</w:t>
      </w:r>
      <w:r>
        <w:t>水量计算公式如下：</w:t>
      </w:r>
    </w:p>
    <w:p w14:paraId="06FB1017">
      <w:pPr>
        <w:pStyle w:val="11"/>
        <w:tabs>
          <w:tab w:val="left" w:pos="4253"/>
        </w:tabs>
        <w:spacing w:line="170" w:lineRule="auto"/>
        <w:ind w:firstLine="1200" w:firstLineChars="400"/>
        <w:rPr>
          <w:rFonts w:ascii="Times New Roman" w:hAnsi="Times New Roman" w:cs="Times New Roman"/>
          <w:sz w:val="30"/>
          <w:szCs w:val="30"/>
          <w:lang w:val="en-US"/>
        </w:rPr>
      </w:pPr>
      <w:r>
        <w:rPr>
          <w:rFonts w:ascii="Times New Roman" w:hAnsi="Times New Roman" w:cs="Times New Roman"/>
          <w:sz w:val="30"/>
          <w:szCs w:val="30"/>
          <w:lang w:val="en-US"/>
        </w:rPr>
        <w:t>G=R×S×△t</w:t>
      </w:r>
    </w:p>
    <w:p w14:paraId="3FDA7BBF">
      <w:pPr>
        <w:tabs>
          <w:tab w:val="left" w:pos="2355"/>
        </w:tabs>
        <w:ind w:firstLine="480"/>
      </w:pPr>
      <w:r>
        <w:t>式中：G—蒸发损失水量，单位为立方米每小时(m³/h)</w:t>
      </w:r>
      <w:r>
        <w:rPr>
          <w:rFonts w:hint="eastAsia"/>
        </w:rPr>
        <w:t>；</w:t>
      </w:r>
    </w:p>
    <w:p w14:paraId="3A3F2EA8">
      <w:pPr>
        <w:tabs>
          <w:tab w:val="left" w:pos="2355"/>
        </w:tabs>
        <w:ind w:firstLine="1200" w:firstLineChars="500"/>
      </w:pPr>
      <w:r>
        <w:t>R——循环冷却水量，单位为立方米每小时(m³/h)</w:t>
      </w:r>
      <w:r>
        <w:rPr>
          <w:rFonts w:hint="eastAsia"/>
        </w:rPr>
        <w:t>；</w:t>
      </w:r>
    </w:p>
    <w:p w14:paraId="3C2CC783">
      <w:pPr>
        <w:tabs>
          <w:tab w:val="left" w:pos="2355"/>
        </w:tabs>
        <w:ind w:firstLine="1200" w:firstLineChars="500"/>
      </w:pPr>
      <w:r>
        <w:t>S—蒸发损失系数(S的选取参见表C.2)</w:t>
      </w:r>
      <w:r>
        <w:rPr>
          <w:rFonts w:hint="eastAsia"/>
        </w:rPr>
        <w:t>，</w:t>
      </w:r>
      <w:r>
        <w:t>单位为每摄氏度(℃-)</w:t>
      </w:r>
      <w:r>
        <w:rPr>
          <w:rFonts w:hint="eastAsia"/>
        </w:rPr>
        <w:t>，气温为40℃时，S取0.0016；</w:t>
      </w:r>
    </w:p>
    <w:p w14:paraId="65482AF5">
      <w:pPr>
        <w:tabs>
          <w:tab w:val="left" w:pos="2355"/>
        </w:tabs>
        <w:ind w:firstLine="1200" w:firstLineChars="500"/>
      </w:pPr>
      <w:r>
        <w:t>△t——冷却水进出水温度差，单位为摄氏度(℃)，本项目△t=</w:t>
      </w:r>
      <w:r>
        <w:rPr>
          <w:rFonts w:hint="eastAsia"/>
        </w:rPr>
        <w:t>2</w:t>
      </w:r>
      <w:r>
        <w:t>5℃。</w:t>
      </w:r>
    </w:p>
    <w:p w14:paraId="24EB1053">
      <w:pPr>
        <w:tabs>
          <w:tab w:val="left" w:pos="2355"/>
        </w:tabs>
        <w:ind w:firstLine="480"/>
      </w:pPr>
      <w:r>
        <w:t>根据公式计算可知，蒸发补充水量约为</w:t>
      </w:r>
      <w:r>
        <w:rPr>
          <w:rFonts w:hint="eastAsia"/>
        </w:rPr>
        <w:t>0.24</w:t>
      </w:r>
      <w:r>
        <w:t>m</w:t>
      </w:r>
      <w:r>
        <w:rPr>
          <w:vertAlign w:val="superscript"/>
        </w:rPr>
        <w:t>3</w:t>
      </w:r>
      <w:r>
        <w:t>/h（约</w:t>
      </w:r>
      <w:r>
        <w:rPr>
          <w:rFonts w:hint="eastAsia"/>
        </w:rPr>
        <w:t>1958.4</w:t>
      </w:r>
      <w:r>
        <w:t>m</w:t>
      </w:r>
      <w:r>
        <w:rPr>
          <w:vertAlign w:val="superscript"/>
        </w:rPr>
        <w:t>3</w:t>
      </w:r>
      <w:r>
        <w:t>/a）。冷却水用于设备的冷却，不接触原辅材料及产品，没有添加任何药剂处理</w:t>
      </w:r>
      <w:r>
        <w:rPr>
          <w:rFonts w:hint="eastAsia"/>
        </w:rPr>
        <w:t>；</w:t>
      </w:r>
      <w:r>
        <w:t>冷却水可经冷却后循环使用，定期补充损耗用水，不外排。</w:t>
      </w:r>
    </w:p>
    <w:p w14:paraId="5C30033A">
      <w:pPr>
        <w:pStyle w:val="38"/>
        <w:ind w:firstLine="480"/>
      </w:pPr>
      <w:r>
        <w:rPr>
          <w:rFonts w:hint="eastAsia" w:hAnsi="宋体" w:eastAsia="宋体"/>
        </w:rPr>
        <w:t>②</w:t>
      </w:r>
      <w:r>
        <w:rPr>
          <w:rFonts w:ascii="Times New Roman" w:hAnsi="Times New Roman" w:eastAsia="宋体" w:cs="Times New Roman"/>
          <w:color w:val="auto"/>
        </w:rPr>
        <w:t>环保措施冷却用水：共3个</w:t>
      </w:r>
      <w:r>
        <w:rPr>
          <w:rFonts w:hint="eastAsia" w:ascii="Times New Roman" w:hAnsi="Times New Roman" w:eastAsia="宋体" w:cs="Times New Roman"/>
          <w:color w:val="auto"/>
        </w:rPr>
        <w:t>闭式冷却水塔</w:t>
      </w:r>
      <w:r>
        <w:rPr>
          <w:rFonts w:ascii="Times New Roman" w:hAnsi="Times New Roman" w:eastAsia="宋体" w:cs="Times New Roman"/>
          <w:color w:val="auto"/>
        </w:rPr>
        <w:t>，间接冷却水循环量分别为150t/h、200t/h、300t/h，根据《工业循环冷却水处理设计规范》（GB/T50050-2017）闭式系统的补充水量不宜大于循环水量的1.0‰</w:t>
      </w:r>
      <w:r>
        <w:rPr>
          <w:rFonts w:hint="eastAsia" w:ascii="Times New Roman" w:hAnsi="Times New Roman" w:eastAsia="宋体" w:cs="Times New Roman"/>
          <w:color w:val="auto"/>
        </w:rPr>
        <w:t>，结合设计方案本项目</w:t>
      </w:r>
      <w:r>
        <w:rPr>
          <w:rFonts w:ascii="Times New Roman" w:hAnsi="Times New Roman" w:eastAsia="宋体" w:cs="Times New Roman"/>
          <w:color w:val="auto"/>
        </w:rPr>
        <w:t>损耗量按循环水量的1.0‰计，年工作3</w:t>
      </w:r>
      <w:r>
        <w:rPr>
          <w:rFonts w:hint="eastAsia" w:ascii="Times New Roman" w:hAnsi="Times New Roman" w:eastAsia="宋体" w:cs="Times New Roman"/>
          <w:color w:val="auto"/>
        </w:rPr>
        <w:t>40</w:t>
      </w:r>
      <w:r>
        <w:rPr>
          <w:rFonts w:ascii="Times New Roman" w:hAnsi="Times New Roman" w:eastAsia="宋体" w:cs="Times New Roman"/>
          <w:color w:val="auto"/>
        </w:rPr>
        <w:t>天，平均每天运行时间24小时，则新鲜补充水量为</w:t>
      </w:r>
      <w:r>
        <w:rPr>
          <w:rFonts w:hint="eastAsia" w:ascii="Times New Roman" w:hAnsi="Times New Roman" w:eastAsia="宋体" w:cs="Times New Roman"/>
          <w:color w:val="auto"/>
        </w:rPr>
        <w:t>5304</w:t>
      </w:r>
      <w:r>
        <w:rPr>
          <w:rFonts w:ascii="Times New Roman" w:hAnsi="Times New Roman" w:eastAsia="宋体" w:cs="Times New Roman"/>
          <w:color w:val="auto"/>
        </w:rPr>
        <w:t>t/a（</w:t>
      </w:r>
      <w:r>
        <w:rPr>
          <w:rFonts w:hint="eastAsia" w:ascii="Times New Roman" w:hAnsi="Times New Roman" w:eastAsia="宋体" w:cs="Times New Roman"/>
          <w:color w:val="auto"/>
        </w:rPr>
        <w:t>0.65</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/h）；冷却塔用水用于设备的冷却，不接触原辅材料及产品，没有添加任何药剂处理；冷却塔用水可经冷却后循环使用，定期补充损耗用水，不外排。</w:t>
      </w:r>
    </w:p>
    <w:p w14:paraId="23AF6541">
      <w:pPr>
        <w:pStyle w:val="38"/>
        <w:ind w:firstLine="480"/>
      </w:pPr>
      <w:r>
        <w:t>（</w:t>
      </w:r>
      <w:r>
        <w:rPr>
          <w:rFonts w:hint="eastAsia"/>
        </w:rPr>
        <w:t>2</w:t>
      </w:r>
      <w:r>
        <w:t>）排水</w:t>
      </w:r>
    </w:p>
    <w:p w14:paraId="337EE8FE">
      <w:pPr>
        <w:pStyle w:val="38"/>
        <w:ind w:firstLine="480"/>
      </w:pPr>
      <w:r>
        <w:rPr>
          <w:rFonts w:hint="eastAsia"/>
          <w:color w:val="auto"/>
        </w:rPr>
        <w:t>厂区排水采用雨、污分流制，厂区雨水经厂区雨水管就近排入厂区周围市政道路雨水管网内。循环冷却水循环使用不外排。企业生活污水经厂区隔油池、化粪池处理达到《污水综合排放标准》（GB8978-1996）表4中的三级标准后排入市政污水管道，随后排至湘潭县顺业污水处理有限公司污水处理厂，经污水处理厂深度处理达标后排入湘江。</w:t>
      </w:r>
    </w:p>
    <w:p w14:paraId="133DE037">
      <w:pPr>
        <w:pStyle w:val="38"/>
        <w:ind w:firstLine="480"/>
      </w:pPr>
      <w:r>
        <w:t>（</w:t>
      </w:r>
      <w:r>
        <w:rPr>
          <w:rFonts w:hint="eastAsia"/>
        </w:rPr>
        <w:t>3</w:t>
      </w:r>
      <w:r>
        <w:t>）供电</w:t>
      </w:r>
    </w:p>
    <w:p w14:paraId="63626A69">
      <w:pPr>
        <w:pStyle w:val="38"/>
        <w:ind w:firstLine="480"/>
      </w:pPr>
      <w:r>
        <w:rPr>
          <w:rFonts w:ascii="Times New Roman"/>
        </w:rPr>
        <w:t>项目用电量约</w:t>
      </w:r>
      <w:r>
        <w:rPr>
          <w:rFonts w:hint="eastAsia" w:ascii="Times New Roman"/>
        </w:rPr>
        <w:t>787万</w:t>
      </w:r>
      <w:r>
        <w:rPr>
          <w:rFonts w:ascii="Times New Roman"/>
        </w:rPr>
        <w:t>KW·h，项目供电由湘潭市政电网统一供给，可满足项目厂区及本项目生产线使用。</w:t>
      </w:r>
    </w:p>
    <w:p w14:paraId="72A6D2AF">
      <w:pPr>
        <w:pStyle w:val="38"/>
        <w:ind w:firstLine="480"/>
      </w:pPr>
      <w:r>
        <w:t>（</w:t>
      </w:r>
      <w:r>
        <w:rPr>
          <w:rFonts w:hint="eastAsia"/>
        </w:rPr>
        <w:t>4</w:t>
      </w:r>
      <w:r>
        <w:t>）天然气</w:t>
      </w:r>
    </w:p>
    <w:p w14:paraId="0BD23539">
      <w:pPr>
        <w:pStyle w:val="38"/>
        <w:ind w:firstLine="480"/>
      </w:pPr>
      <w:r>
        <w:rPr>
          <w:rFonts w:ascii="Times New Roman"/>
        </w:rPr>
        <w:t>导热油锅炉使用天然气为燃料，使用量约为36万m</w:t>
      </w:r>
      <w:r>
        <w:rPr>
          <w:rFonts w:ascii="Times New Roman"/>
          <w:vertAlign w:val="superscript"/>
        </w:rPr>
        <w:t>3</w:t>
      </w:r>
      <w:r>
        <w:rPr>
          <w:rFonts w:ascii="Times New Roman"/>
        </w:rPr>
        <w:t>/a，烘干、熟化使用天然气升温，天然气使用量为40万m³/a，天然气由湘潭新奥燃气公司通过管道供应。</w:t>
      </w:r>
    </w:p>
    <w:p w14:paraId="47AF073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3.2.3</w:t>
      </w:r>
      <w:r>
        <w:t>在建项目工程分析概况</w:t>
      </w:r>
    </w:p>
    <w:p w14:paraId="1A3AB85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3.2.3.1</w:t>
      </w:r>
      <w:r>
        <w:t>在建项目工艺流程</w:t>
      </w:r>
    </w:p>
    <w:p w14:paraId="4B35A21F">
      <w:pPr>
        <w:pStyle w:val="38"/>
        <w:ind w:firstLine="480"/>
      </w:pPr>
      <w:r>
        <w:rPr>
          <w:rFonts w:hint="eastAsia"/>
        </w:rPr>
        <w:t>不涉及吹塑、流延、镀铝等工序。原材料塑料膜全部为外购成品；制版、晒版均外协，厂家制成印版后送至本厂区印刷车间。本项目印刷采用印刷烘干一体机、干式复合采用复合烘干一体机，无溶剂复合无需烘干。</w:t>
      </w:r>
    </w:p>
    <w:p w14:paraId="6C559FCA">
      <w:pPr>
        <w:pStyle w:val="38"/>
        <w:ind w:firstLine="480"/>
      </w:pPr>
      <w:r>
        <w:pict>
          <v:shape id="_x0000_s1115" o:spid="_x0000_s1115" o:spt="75" type="#_x0000_t75" style="position:absolute;left:0pt;margin-left:-15pt;margin-top:23.75pt;height:369pt;width:433.5pt;mso-wrap-distance-bottom:0pt;mso-wrap-distance-top:0pt;z-index:251669504;mso-width-relative:page;mso-height-relative:page;" o:ole="t" filled="f" o:preferrelative="t" stroked="f" coordsize="21600,21600">
            <v:path/>
            <v:fill on="f" focussize="0,0"/>
            <v:stroke on="f" joinstyle="miter"/>
            <v:imagedata r:id="rId32" o:title=""/>
            <o:lock v:ext="edit" aspectratio="f"/>
            <w10:wrap type="topAndBottom"/>
          </v:shape>
          <o:OLEObject Type="Embed" ProgID="Visio.Drawing.11" ShapeID="_x0000_s1115" DrawAspect="Content" ObjectID="_1468075727" r:id="rId31">
            <o:LockedField>false</o:LockedField>
          </o:OLEObject>
        </w:pict>
      </w:r>
      <w:r>
        <w:t>印刷复合主要工艺流程图及排污节点如下图：</w:t>
      </w:r>
    </w:p>
    <w:p w14:paraId="015D14F6">
      <w:pPr>
        <w:pStyle w:val="38"/>
        <w:ind w:firstLine="1928" w:firstLineChars="800"/>
        <w:rPr>
          <w:b/>
        </w:rPr>
      </w:pPr>
      <w:r>
        <w:rPr>
          <w:rFonts w:hint="eastAsia"/>
          <w:b/>
          <w:color w:val="auto"/>
        </w:rPr>
        <w:t>图3-2   印刷、复合工艺流程示意图</w:t>
      </w:r>
    </w:p>
    <w:p w14:paraId="69056381">
      <w:pPr>
        <w:pStyle w:val="38"/>
        <w:ind w:firstLine="480"/>
      </w:pPr>
    </w:p>
    <w:p w14:paraId="21FC117A">
      <w:pPr>
        <w:ind w:firstLine="482"/>
        <w:rPr>
          <w:b/>
          <w:bCs/>
        </w:rPr>
      </w:pPr>
      <w:r>
        <w:rPr>
          <w:rFonts w:hint="eastAsia"/>
          <w:b/>
          <w:bCs/>
        </w:rPr>
        <w:t>环保措施工艺简介</w:t>
      </w:r>
    </w:p>
    <w:p w14:paraId="288DC471">
      <w:pPr>
        <w:pStyle w:val="40"/>
        <w:spacing w:line="360" w:lineRule="auto"/>
        <w:ind w:firstLine="480"/>
        <w:rPr>
          <w:rFonts w:ascii="Times New Roman"/>
        </w:rPr>
      </w:pPr>
      <w:r>
        <w:rPr>
          <w:rFonts w:hint="eastAsia" w:ascii="Times New Roman"/>
        </w:rPr>
        <w:t>印刷、调墨、复合、配胶、擦洗产生的有机废气的区域共使用1套“吸附浓缩+溶剂回收”环保措施处理后经20.5m高排气筒（DA001）排放。导热油锅炉使用天然气，天然气产生的燃烧废气经16m高排气筒（DA002）排放，印刷复合烘干采用天然气加热，天然气产生的燃烧废气经20.5m高排气筒（DA001）排放。</w:t>
      </w:r>
    </w:p>
    <w:p w14:paraId="794B8F8F">
      <w:pPr>
        <w:pStyle w:val="41"/>
        <w:spacing w:before="0" w:beforeAutospacing="0" w:after="0" w:afterAutospacing="0"/>
        <w:ind w:firstLine="480"/>
        <w:rPr>
          <w:rFonts w:ascii="Times New Roman" w:hAnsi="Times New Roman" w:cs="Times New Roman"/>
          <w:sz w:val="24"/>
        </w:rPr>
      </w:pPr>
      <w:r>
        <w:rPr>
          <w:rFonts w:hint="eastAsia" w:ascii="Times New Roman" w:hAnsi="Times New Roman" w:cs="Times New Roman"/>
          <w:sz w:val="24"/>
        </w:rPr>
        <w:t>“吸附浓缩+溶剂回收”设计方案：吸附浓缩溶剂回收装置包含“气体浓缩、氮气加热、两级脱附、双系统运行、深冷辅助，常温冷凝回收、提纯分离”溶剂回收再利用，实现一套设备分别回收两种体系溶剂，三类产品：</w:t>
      </w:r>
      <w:r>
        <w:rPr>
          <w:rFonts w:ascii="Times New Roman" w:hAnsi="Times New Roman" w:cs="Times New Roman"/>
          <w:sz w:val="24"/>
        </w:rPr>
        <w:t>回收溶剂1（属于高沸溶剂，沸点≥10</w:t>
      </w:r>
      <w:r>
        <w:rPr>
          <w:rFonts w:hint="eastAsia" w:ascii="Times New Roman" w:hAnsi="Times New Roman" w:cs="Times New Roman"/>
          <w:sz w:val="24"/>
        </w:rPr>
        <w:t>0</w:t>
      </w:r>
      <w:r>
        <w:rPr>
          <w:rFonts w:ascii="Times New Roman" w:hAnsi="Times New Roman" w:cs="Times New Roman"/>
          <w:sz w:val="24"/>
        </w:rPr>
        <w:t>℃，主要成分为</w:t>
      </w:r>
      <w:r>
        <w:rPr>
          <w:rFonts w:hint="eastAsia" w:ascii="Times New Roman" w:hAnsi="Times New Roman" w:cs="Times New Roman"/>
          <w:sz w:val="24"/>
        </w:rPr>
        <w:t>乙酸正丙酯、乙酸丁酯</w:t>
      </w:r>
      <w:r>
        <w:rPr>
          <w:rFonts w:ascii="Times New Roman" w:hAnsi="Times New Roman" w:cs="Times New Roman"/>
          <w:sz w:val="24"/>
        </w:rPr>
        <w:t>）；回收溶剂2（属于低沸溶剂，沸点≤83℃，主要成分为</w:t>
      </w:r>
      <w:r>
        <w:rPr>
          <w:rFonts w:hint="eastAsia" w:ascii="Times New Roman" w:hAnsi="Times New Roman" w:cs="Times New Roman"/>
          <w:sz w:val="24"/>
        </w:rPr>
        <w:t>乙酸乙酯、异丙醇</w:t>
      </w:r>
      <w:r>
        <w:rPr>
          <w:rFonts w:ascii="Times New Roman" w:hAnsi="Times New Roman" w:cs="Times New Roman"/>
          <w:sz w:val="24"/>
        </w:rPr>
        <w:t>），回收溶剂</w:t>
      </w:r>
      <w:r>
        <w:rPr>
          <w:rFonts w:hint="eastAsia" w:ascii="Times New Roman" w:hAnsi="Times New Roman" w:cs="Times New Roman"/>
          <w:sz w:val="24"/>
        </w:rPr>
        <w:t>3</w:t>
      </w:r>
      <w:r>
        <w:rPr>
          <w:rFonts w:ascii="Times New Roman" w:hAnsi="Times New Roman" w:cs="Times New Roman"/>
          <w:sz w:val="24"/>
        </w:rPr>
        <w:t>（主要成分为乙酸乙酯）。</w:t>
      </w:r>
      <w:r>
        <w:rPr>
          <w:rFonts w:hint="eastAsia" w:ascii="Times New Roman" w:hAnsi="Times New Roman" w:cs="Times New Roman"/>
          <w:sz w:val="24"/>
        </w:rPr>
        <w:t>主要工艺流程如下图：</w:t>
      </w:r>
    </w:p>
    <w:p w14:paraId="11CB3A5C">
      <w:pPr>
        <w:pStyle w:val="25"/>
        <w:ind w:left="480" w:firstLine="480"/>
        <w:jc w:val="center"/>
      </w:pPr>
      <w:r>
        <w:rPr>
          <w:rFonts w:hint="eastAsia"/>
        </w:rPr>
        <w:object>
          <v:shape id="_x0000_i1026" o:spt="75" type="#_x0000_t75" style="height:337.45pt;width:246.85pt;" o:ole="t" filled="f" o:preferrelative="t" stroked="f" coordsize="21600,21600">
            <v:path/>
            <v:fill on="f" focussize="0,0"/>
            <v:stroke on="f" joinstyle="miter"/>
            <v:imagedata r:id="rId34" o:title=""/>
            <o:lock v:ext="edit" aspectratio="f"/>
            <w10:wrap type="none"/>
            <w10:anchorlock/>
          </v:shape>
          <o:OLEObject Type="Embed" ProgID="Visio.Drawing.11" ShapeID="_x0000_i1026" DrawAspect="Content" ObjectID="_1468075728" r:id="rId33">
            <o:LockedField>false</o:LockedField>
          </o:OLEObject>
        </w:object>
      </w:r>
    </w:p>
    <w:p w14:paraId="7F20DAA6">
      <w:pPr>
        <w:pStyle w:val="45"/>
        <w:widowControl w:val="0"/>
        <w:numPr>
          <w:ilvl w:val="6"/>
          <w:numId w:val="0"/>
        </w:numPr>
        <w:spacing w:before="156" w:line="360" w:lineRule="auto"/>
        <w:ind w:left="-12" w:leftChars="-418" w:hanging="991" w:hangingChars="470"/>
        <w:rPr>
          <w:color w:val="auto"/>
        </w:rPr>
      </w:pPr>
      <w:r>
        <w:rPr>
          <w:rFonts w:hint="default" w:ascii="宋体" w:hAnsi="宋体" w:eastAsia="宋体" w:cs="宋体"/>
          <w:b/>
          <w:bCs/>
          <w:color w:val="auto"/>
          <w:kern w:val="2"/>
          <w:sz w:val="21"/>
          <w:szCs w:val="21"/>
          <w:lang w:val="en-US" w:eastAsia="zh-CN" w:bidi="ar-SA"/>
        </w:rPr>
        <w:t xml:space="preserve">图3.2-1 </w:t>
      </w:r>
      <w:r>
        <w:rPr>
          <w:rFonts w:hint="eastAsia"/>
          <w:color w:val="auto"/>
        </w:rPr>
        <w:t xml:space="preserve"> </w:t>
      </w:r>
      <w:r>
        <w:rPr>
          <w:rFonts w:hint="eastAsia"/>
          <w:color w:val="auto"/>
          <w:lang w:val="en-US" w:eastAsia="zh-CN"/>
        </w:rPr>
        <w:t>在建工程</w:t>
      </w:r>
      <w:r>
        <w:rPr>
          <w:rFonts w:hint="eastAsia"/>
          <w:color w:val="auto"/>
        </w:rPr>
        <w:t>有机废气处理工艺流程图</w:t>
      </w:r>
    </w:p>
    <w:p w14:paraId="5B9DA1F3">
      <w:pPr>
        <w:pStyle w:val="5"/>
        <w:numPr>
          <w:ilvl w:val="3"/>
          <w:numId w:val="0"/>
        </w:numPr>
        <w:ind w:left="1984" w:leftChars="0" w:hanging="1984" w:firstLineChars="0"/>
        <w:rPr>
          <w:rFonts w:hint="default" w:eastAsia="宋体"/>
          <w:lang w:val="en-US" w:eastAsia="zh-CN"/>
        </w:rPr>
      </w:pPr>
      <w:r>
        <w:rPr>
          <w:rFonts w:hint="eastAsia" w:ascii="宋体" w:hAnsi="宋体" w:eastAsia="宋体" w:cs="宋体"/>
          <w:b/>
          <w:bCs/>
          <w:kern w:val="2"/>
          <w:sz w:val="24"/>
          <w:szCs w:val="24"/>
          <w:lang w:val="en-US" w:eastAsia="zh-CN" w:bidi="ar-SA"/>
        </w:rPr>
        <w:t>3.2.3.2在建工程产排污情况</w:t>
      </w:r>
    </w:p>
    <w:p w14:paraId="7A428BE6">
      <w:pPr>
        <w:ind w:firstLine="480"/>
      </w:pPr>
      <w:r>
        <w:rPr>
          <w:rFonts w:hint="eastAsia"/>
        </w:rPr>
        <w:t>根据《塑料包装印刷挥发性有机物治理实用手册》、《印刷工业污染防治可行技术指南》（HJ1089-2020），结合生产工艺流程，</w:t>
      </w:r>
      <w:r>
        <w:rPr>
          <w:rFonts w:hint="eastAsia"/>
          <w:lang w:val="en-US" w:eastAsia="zh-CN"/>
        </w:rPr>
        <w:t>在建</w:t>
      </w:r>
      <w:r>
        <w:rPr>
          <w:rFonts w:hint="eastAsia"/>
        </w:rPr>
        <w:t>项目产污环节见下表：</w:t>
      </w:r>
    </w:p>
    <w:p w14:paraId="33692961">
      <w:pPr>
        <w:pStyle w:val="51"/>
        <w:widowControl w:val="0"/>
        <w:numPr>
          <w:ilvl w:val="5"/>
          <w:numId w:val="0"/>
        </w:numPr>
        <w:spacing w:before="156"/>
        <w:ind w:left="-2956" w:leftChars="0" w:hanging="1273" w:firstLineChars="0"/>
        <w:rPr>
          <w:u w:val="single"/>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表3.2-10 </w:t>
      </w:r>
      <w:r>
        <w:rPr>
          <w:rFonts w:hint="eastAsia" w:ascii="宋体" w:hAnsi="宋体" w:cs="宋体"/>
          <w:b/>
          <w:bCs/>
          <w:color w:val="auto"/>
          <w:kern w:val="2"/>
          <w:sz w:val="21"/>
          <w:szCs w:val="21"/>
          <w:u w:val="single"/>
          <w:lang w:val="en-US" w:eastAsia="zh-CN" w:bidi="ar-SA"/>
        </w:rPr>
        <w:t xml:space="preserve">     </w:t>
      </w:r>
      <w:r>
        <w:rPr>
          <w:rFonts w:hint="eastAsia"/>
          <w:u w:val="single"/>
          <w:lang w:val="en-US" w:eastAsia="zh-CN"/>
        </w:rPr>
        <w:t>在建工程</w:t>
      </w:r>
      <w:r>
        <w:rPr>
          <w:rFonts w:hint="eastAsia"/>
          <w:u w:val="single"/>
        </w:rPr>
        <w:t>营运期产污环节</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0" w:type="dxa"/>
          <w:bottom w:w="0" w:type="dxa"/>
          <w:right w:w="0" w:type="dxa"/>
        </w:tblCellMar>
      </w:tblPr>
      <w:tblGrid>
        <w:gridCol w:w="930"/>
        <w:gridCol w:w="791"/>
        <w:gridCol w:w="1773"/>
        <w:gridCol w:w="3952"/>
        <w:gridCol w:w="944"/>
      </w:tblGrid>
      <w:tr w14:paraId="40F613D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3494" w:type="dxa"/>
            <w:gridSpan w:val="3"/>
            <w:tcBorders>
              <w:tl2br w:val="nil"/>
              <w:tr2bl w:val="nil"/>
            </w:tcBorders>
            <w:vAlign w:val="center"/>
          </w:tcPr>
          <w:p w14:paraId="785DAAA9">
            <w:pPr>
              <w:adjustRightInd w:val="0"/>
              <w:snapToGrid w:val="0"/>
              <w:spacing w:line="240" w:lineRule="auto"/>
              <w:jc w:val="center"/>
              <w:rPr>
                <w:sz w:val="21"/>
                <w:szCs w:val="21"/>
                <w:u w:val="single"/>
              </w:rPr>
            </w:pPr>
            <w:r>
              <w:rPr>
                <w:sz w:val="21"/>
                <w:szCs w:val="21"/>
                <w:u w:val="single"/>
              </w:rPr>
              <w:t>污染源</w:t>
            </w:r>
          </w:p>
        </w:tc>
        <w:tc>
          <w:tcPr>
            <w:tcW w:w="3952" w:type="dxa"/>
            <w:tcBorders>
              <w:right w:val="single" w:color="auto" w:sz="4" w:space="0"/>
              <w:tl2br w:val="nil"/>
              <w:tr2bl w:val="nil"/>
            </w:tcBorders>
            <w:vAlign w:val="center"/>
          </w:tcPr>
          <w:p w14:paraId="0EFBCFAE">
            <w:pPr>
              <w:adjustRightInd w:val="0"/>
              <w:snapToGrid w:val="0"/>
              <w:spacing w:line="240" w:lineRule="auto"/>
              <w:jc w:val="center"/>
              <w:rPr>
                <w:sz w:val="21"/>
                <w:szCs w:val="21"/>
                <w:u w:val="single"/>
              </w:rPr>
            </w:pPr>
            <w:r>
              <w:rPr>
                <w:sz w:val="21"/>
                <w:szCs w:val="21"/>
                <w:u w:val="single"/>
              </w:rPr>
              <w:t>污染物因子</w:t>
            </w:r>
          </w:p>
        </w:tc>
        <w:tc>
          <w:tcPr>
            <w:tcW w:w="944" w:type="dxa"/>
            <w:tcBorders>
              <w:left w:val="single" w:color="auto" w:sz="4" w:space="0"/>
              <w:tl2br w:val="nil"/>
              <w:tr2bl w:val="nil"/>
            </w:tcBorders>
            <w:vAlign w:val="center"/>
          </w:tcPr>
          <w:p w14:paraId="58AA733F">
            <w:pPr>
              <w:adjustRightInd w:val="0"/>
              <w:snapToGrid w:val="0"/>
              <w:spacing w:line="240" w:lineRule="auto"/>
              <w:jc w:val="center"/>
              <w:rPr>
                <w:sz w:val="21"/>
                <w:szCs w:val="21"/>
                <w:u w:val="single"/>
              </w:rPr>
            </w:pPr>
            <w:r>
              <w:rPr>
                <w:sz w:val="21"/>
                <w:szCs w:val="21"/>
                <w:u w:val="single"/>
              </w:rPr>
              <w:t>连续方式</w:t>
            </w:r>
          </w:p>
        </w:tc>
      </w:tr>
      <w:tr w14:paraId="2A569F5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491" w:hRule="atLeast"/>
          <w:jc w:val="center"/>
        </w:trPr>
        <w:tc>
          <w:tcPr>
            <w:tcW w:w="930" w:type="dxa"/>
            <w:vMerge w:val="restart"/>
            <w:tcBorders>
              <w:tl2br w:val="nil"/>
              <w:tr2bl w:val="nil"/>
            </w:tcBorders>
            <w:vAlign w:val="center"/>
          </w:tcPr>
          <w:p w14:paraId="01EA8756">
            <w:pPr>
              <w:adjustRightInd w:val="0"/>
              <w:snapToGrid w:val="0"/>
              <w:spacing w:line="240" w:lineRule="auto"/>
              <w:jc w:val="center"/>
              <w:rPr>
                <w:sz w:val="21"/>
                <w:szCs w:val="21"/>
                <w:u w:val="single"/>
              </w:rPr>
            </w:pPr>
            <w:r>
              <w:rPr>
                <w:sz w:val="21"/>
                <w:szCs w:val="21"/>
                <w:u w:val="single"/>
              </w:rPr>
              <w:t>废气</w:t>
            </w:r>
          </w:p>
        </w:tc>
        <w:tc>
          <w:tcPr>
            <w:tcW w:w="791" w:type="dxa"/>
            <w:tcBorders>
              <w:tl2br w:val="nil"/>
              <w:tr2bl w:val="nil"/>
            </w:tcBorders>
            <w:vAlign w:val="center"/>
          </w:tcPr>
          <w:p w14:paraId="76E91446">
            <w:pPr>
              <w:adjustRightInd w:val="0"/>
              <w:snapToGrid w:val="0"/>
              <w:spacing w:line="240" w:lineRule="auto"/>
              <w:jc w:val="center"/>
              <w:rPr>
                <w:sz w:val="21"/>
                <w:szCs w:val="21"/>
                <w:u w:val="single"/>
              </w:rPr>
            </w:pPr>
            <w:r>
              <w:rPr>
                <w:sz w:val="21"/>
                <w:szCs w:val="21"/>
                <w:u w:val="single"/>
              </w:rPr>
              <w:t>G1</w:t>
            </w:r>
          </w:p>
        </w:tc>
        <w:tc>
          <w:tcPr>
            <w:tcW w:w="1773" w:type="dxa"/>
            <w:tcBorders>
              <w:tl2br w:val="nil"/>
              <w:tr2bl w:val="nil"/>
            </w:tcBorders>
            <w:vAlign w:val="center"/>
          </w:tcPr>
          <w:p w14:paraId="34D79E66">
            <w:pPr>
              <w:adjustRightInd w:val="0"/>
              <w:snapToGrid w:val="0"/>
              <w:spacing w:line="240" w:lineRule="auto"/>
              <w:jc w:val="center"/>
              <w:rPr>
                <w:sz w:val="21"/>
                <w:szCs w:val="21"/>
                <w:u w:val="single"/>
              </w:rPr>
            </w:pPr>
            <w:r>
              <w:rPr>
                <w:sz w:val="21"/>
                <w:szCs w:val="21"/>
                <w:u w:val="single"/>
              </w:rPr>
              <w:t>油墨调配、输送</w:t>
            </w:r>
          </w:p>
        </w:tc>
        <w:tc>
          <w:tcPr>
            <w:tcW w:w="3952" w:type="dxa"/>
            <w:vMerge w:val="restart"/>
            <w:tcBorders>
              <w:right w:val="single" w:color="auto" w:sz="4" w:space="0"/>
              <w:tl2br w:val="nil"/>
              <w:tr2bl w:val="nil"/>
            </w:tcBorders>
            <w:vAlign w:val="center"/>
          </w:tcPr>
          <w:p w14:paraId="37EDD9D7">
            <w:pPr>
              <w:adjustRightInd w:val="0"/>
              <w:snapToGrid w:val="0"/>
              <w:spacing w:line="240" w:lineRule="auto"/>
              <w:jc w:val="center"/>
              <w:rPr>
                <w:sz w:val="21"/>
                <w:szCs w:val="21"/>
                <w:u w:val="single"/>
              </w:rPr>
            </w:pPr>
            <w:r>
              <w:rPr>
                <w:rFonts w:hint="eastAsia"/>
                <w:sz w:val="21"/>
                <w:szCs w:val="21"/>
                <w:u w:val="single"/>
              </w:rPr>
              <w:t>挥发性有机物</w:t>
            </w:r>
          </w:p>
        </w:tc>
        <w:tc>
          <w:tcPr>
            <w:tcW w:w="944" w:type="dxa"/>
            <w:tcBorders>
              <w:left w:val="single" w:color="auto" w:sz="4" w:space="0"/>
              <w:tl2br w:val="nil"/>
              <w:tr2bl w:val="nil"/>
            </w:tcBorders>
            <w:vAlign w:val="center"/>
          </w:tcPr>
          <w:p w14:paraId="6EB6071A">
            <w:pPr>
              <w:adjustRightInd w:val="0"/>
              <w:snapToGrid w:val="0"/>
              <w:spacing w:line="240" w:lineRule="auto"/>
              <w:jc w:val="center"/>
              <w:rPr>
                <w:sz w:val="21"/>
                <w:szCs w:val="21"/>
                <w:u w:val="single"/>
              </w:rPr>
            </w:pPr>
            <w:r>
              <w:rPr>
                <w:sz w:val="21"/>
                <w:szCs w:val="21"/>
                <w:u w:val="single"/>
              </w:rPr>
              <w:t>间断</w:t>
            </w:r>
          </w:p>
        </w:tc>
      </w:tr>
      <w:tr w14:paraId="4E9C693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491" w:hRule="atLeast"/>
          <w:jc w:val="center"/>
        </w:trPr>
        <w:tc>
          <w:tcPr>
            <w:tcW w:w="930" w:type="dxa"/>
            <w:vMerge w:val="continue"/>
            <w:tcBorders>
              <w:tl2br w:val="nil"/>
              <w:tr2bl w:val="nil"/>
            </w:tcBorders>
            <w:vAlign w:val="center"/>
          </w:tcPr>
          <w:p w14:paraId="0ACFE087">
            <w:pPr>
              <w:adjustRightInd w:val="0"/>
              <w:snapToGrid w:val="0"/>
              <w:spacing w:line="240" w:lineRule="auto"/>
              <w:jc w:val="center"/>
              <w:rPr>
                <w:sz w:val="21"/>
                <w:szCs w:val="21"/>
                <w:u w:val="single"/>
              </w:rPr>
            </w:pPr>
          </w:p>
        </w:tc>
        <w:tc>
          <w:tcPr>
            <w:tcW w:w="791" w:type="dxa"/>
            <w:tcBorders>
              <w:tl2br w:val="nil"/>
              <w:tr2bl w:val="nil"/>
            </w:tcBorders>
            <w:vAlign w:val="center"/>
          </w:tcPr>
          <w:p w14:paraId="222F832D">
            <w:pPr>
              <w:adjustRightInd w:val="0"/>
              <w:snapToGrid w:val="0"/>
              <w:spacing w:line="240" w:lineRule="auto"/>
              <w:jc w:val="center"/>
              <w:rPr>
                <w:sz w:val="21"/>
                <w:szCs w:val="21"/>
                <w:u w:val="single"/>
              </w:rPr>
            </w:pPr>
            <w:r>
              <w:rPr>
                <w:sz w:val="21"/>
                <w:szCs w:val="21"/>
                <w:u w:val="single"/>
              </w:rPr>
              <w:t>G2</w:t>
            </w:r>
          </w:p>
        </w:tc>
        <w:tc>
          <w:tcPr>
            <w:tcW w:w="1773" w:type="dxa"/>
            <w:tcBorders>
              <w:tl2br w:val="nil"/>
              <w:tr2bl w:val="nil"/>
            </w:tcBorders>
            <w:vAlign w:val="center"/>
          </w:tcPr>
          <w:p w14:paraId="7A34F049">
            <w:pPr>
              <w:adjustRightInd w:val="0"/>
              <w:snapToGrid w:val="0"/>
              <w:spacing w:line="240" w:lineRule="auto"/>
              <w:jc w:val="center"/>
              <w:rPr>
                <w:sz w:val="21"/>
                <w:szCs w:val="21"/>
                <w:u w:val="single"/>
              </w:rPr>
            </w:pPr>
            <w:r>
              <w:rPr>
                <w:sz w:val="21"/>
                <w:szCs w:val="21"/>
                <w:u w:val="single"/>
              </w:rPr>
              <w:t>胶黏剂调配、输送</w:t>
            </w:r>
          </w:p>
        </w:tc>
        <w:tc>
          <w:tcPr>
            <w:tcW w:w="3952" w:type="dxa"/>
            <w:vMerge w:val="continue"/>
            <w:tcBorders>
              <w:right w:val="single" w:color="auto" w:sz="4" w:space="0"/>
              <w:tl2br w:val="nil"/>
              <w:tr2bl w:val="nil"/>
            </w:tcBorders>
            <w:vAlign w:val="center"/>
          </w:tcPr>
          <w:p w14:paraId="7FE8DA60">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7F8BBCC0">
            <w:pPr>
              <w:adjustRightInd w:val="0"/>
              <w:snapToGrid w:val="0"/>
              <w:spacing w:line="240" w:lineRule="auto"/>
              <w:jc w:val="center"/>
              <w:rPr>
                <w:sz w:val="21"/>
                <w:szCs w:val="21"/>
                <w:u w:val="single"/>
              </w:rPr>
            </w:pPr>
            <w:r>
              <w:rPr>
                <w:sz w:val="21"/>
                <w:szCs w:val="21"/>
                <w:u w:val="single"/>
              </w:rPr>
              <w:t>间断</w:t>
            </w:r>
          </w:p>
        </w:tc>
      </w:tr>
      <w:tr w14:paraId="5E3DFC1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45F96728">
            <w:pPr>
              <w:adjustRightInd w:val="0"/>
              <w:snapToGrid w:val="0"/>
              <w:spacing w:line="240" w:lineRule="auto"/>
              <w:jc w:val="center"/>
              <w:rPr>
                <w:sz w:val="21"/>
                <w:szCs w:val="21"/>
                <w:u w:val="single"/>
              </w:rPr>
            </w:pPr>
          </w:p>
        </w:tc>
        <w:tc>
          <w:tcPr>
            <w:tcW w:w="791" w:type="dxa"/>
            <w:tcBorders>
              <w:tl2br w:val="nil"/>
              <w:tr2bl w:val="nil"/>
            </w:tcBorders>
            <w:vAlign w:val="center"/>
          </w:tcPr>
          <w:p w14:paraId="208123A7">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3</w:t>
            </w:r>
          </w:p>
        </w:tc>
        <w:tc>
          <w:tcPr>
            <w:tcW w:w="1773" w:type="dxa"/>
            <w:tcBorders>
              <w:tl2br w:val="nil"/>
              <w:tr2bl w:val="nil"/>
            </w:tcBorders>
            <w:vAlign w:val="center"/>
          </w:tcPr>
          <w:p w14:paraId="54508C22">
            <w:pPr>
              <w:adjustRightInd w:val="0"/>
              <w:snapToGrid w:val="0"/>
              <w:spacing w:line="240" w:lineRule="auto"/>
              <w:jc w:val="center"/>
              <w:rPr>
                <w:sz w:val="21"/>
                <w:szCs w:val="21"/>
                <w:u w:val="single"/>
              </w:rPr>
            </w:pPr>
            <w:r>
              <w:rPr>
                <w:sz w:val="21"/>
                <w:szCs w:val="21"/>
                <w:u w:val="single"/>
              </w:rPr>
              <w:t>印刷</w:t>
            </w:r>
            <w:r>
              <w:rPr>
                <w:rFonts w:hint="eastAsia"/>
                <w:sz w:val="21"/>
                <w:szCs w:val="21"/>
                <w:u w:val="single"/>
              </w:rPr>
              <w:t>及</w:t>
            </w:r>
            <w:r>
              <w:rPr>
                <w:sz w:val="21"/>
                <w:szCs w:val="21"/>
                <w:u w:val="single"/>
              </w:rPr>
              <w:t>烘干</w:t>
            </w:r>
          </w:p>
        </w:tc>
        <w:tc>
          <w:tcPr>
            <w:tcW w:w="3952" w:type="dxa"/>
            <w:vMerge w:val="continue"/>
            <w:tcBorders>
              <w:right w:val="single" w:color="auto" w:sz="4" w:space="0"/>
              <w:tl2br w:val="nil"/>
              <w:tr2bl w:val="nil"/>
            </w:tcBorders>
            <w:vAlign w:val="center"/>
          </w:tcPr>
          <w:p w14:paraId="392952E8">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274C4011">
            <w:pPr>
              <w:adjustRightInd w:val="0"/>
              <w:snapToGrid w:val="0"/>
              <w:spacing w:line="240" w:lineRule="auto"/>
              <w:jc w:val="center"/>
              <w:rPr>
                <w:sz w:val="21"/>
                <w:szCs w:val="21"/>
                <w:u w:val="single"/>
              </w:rPr>
            </w:pPr>
            <w:r>
              <w:rPr>
                <w:sz w:val="21"/>
                <w:szCs w:val="21"/>
                <w:u w:val="single"/>
              </w:rPr>
              <w:t>连续</w:t>
            </w:r>
          </w:p>
        </w:tc>
      </w:tr>
      <w:tr w14:paraId="3A634F9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289E39AD">
            <w:pPr>
              <w:adjustRightInd w:val="0"/>
              <w:snapToGrid w:val="0"/>
              <w:spacing w:line="240" w:lineRule="auto"/>
              <w:jc w:val="center"/>
              <w:rPr>
                <w:sz w:val="21"/>
                <w:szCs w:val="21"/>
                <w:u w:val="single"/>
              </w:rPr>
            </w:pPr>
          </w:p>
        </w:tc>
        <w:tc>
          <w:tcPr>
            <w:tcW w:w="791" w:type="dxa"/>
            <w:tcBorders>
              <w:tl2br w:val="nil"/>
              <w:tr2bl w:val="nil"/>
            </w:tcBorders>
            <w:vAlign w:val="center"/>
          </w:tcPr>
          <w:p w14:paraId="3E34ADB5">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4</w:t>
            </w:r>
          </w:p>
        </w:tc>
        <w:tc>
          <w:tcPr>
            <w:tcW w:w="1773" w:type="dxa"/>
            <w:tcBorders>
              <w:top w:val="single" w:color="auto" w:sz="4" w:space="0"/>
              <w:tl2br w:val="nil"/>
              <w:tr2bl w:val="nil"/>
            </w:tcBorders>
            <w:vAlign w:val="center"/>
          </w:tcPr>
          <w:p w14:paraId="0F709103">
            <w:pPr>
              <w:adjustRightInd w:val="0"/>
              <w:snapToGrid w:val="0"/>
              <w:spacing w:line="240" w:lineRule="auto"/>
              <w:jc w:val="center"/>
              <w:rPr>
                <w:sz w:val="21"/>
                <w:szCs w:val="21"/>
                <w:u w:val="single"/>
              </w:rPr>
            </w:pPr>
            <w:r>
              <w:rPr>
                <w:sz w:val="21"/>
                <w:szCs w:val="21"/>
                <w:u w:val="single"/>
              </w:rPr>
              <w:t>干式复合</w:t>
            </w:r>
            <w:r>
              <w:rPr>
                <w:rFonts w:hint="eastAsia"/>
                <w:sz w:val="21"/>
                <w:szCs w:val="21"/>
                <w:u w:val="single"/>
              </w:rPr>
              <w:t>及</w:t>
            </w:r>
            <w:r>
              <w:rPr>
                <w:sz w:val="21"/>
                <w:szCs w:val="21"/>
                <w:u w:val="single"/>
              </w:rPr>
              <w:t>烘干</w:t>
            </w:r>
          </w:p>
        </w:tc>
        <w:tc>
          <w:tcPr>
            <w:tcW w:w="3952" w:type="dxa"/>
            <w:vMerge w:val="continue"/>
            <w:tcBorders>
              <w:right w:val="single" w:color="auto" w:sz="4" w:space="0"/>
              <w:tl2br w:val="nil"/>
              <w:tr2bl w:val="nil"/>
            </w:tcBorders>
            <w:vAlign w:val="center"/>
          </w:tcPr>
          <w:p w14:paraId="060D619F">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4A5ACBA5">
            <w:pPr>
              <w:adjustRightInd w:val="0"/>
              <w:snapToGrid w:val="0"/>
              <w:spacing w:line="240" w:lineRule="auto"/>
              <w:jc w:val="center"/>
              <w:rPr>
                <w:sz w:val="21"/>
                <w:szCs w:val="21"/>
                <w:u w:val="single"/>
              </w:rPr>
            </w:pPr>
            <w:r>
              <w:rPr>
                <w:sz w:val="21"/>
                <w:szCs w:val="21"/>
                <w:u w:val="single"/>
              </w:rPr>
              <w:t>连续</w:t>
            </w:r>
          </w:p>
        </w:tc>
      </w:tr>
      <w:tr w14:paraId="008CAC9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1C0A3582">
            <w:pPr>
              <w:adjustRightInd w:val="0"/>
              <w:snapToGrid w:val="0"/>
              <w:spacing w:line="240" w:lineRule="auto"/>
              <w:jc w:val="center"/>
              <w:rPr>
                <w:sz w:val="21"/>
                <w:szCs w:val="21"/>
                <w:u w:val="single"/>
              </w:rPr>
            </w:pPr>
          </w:p>
        </w:tc>
        <w:tc>
          <w:tcPr>
            <w:tcW w:w="791" w:type="dxa"/>
            <w:tcBorders>
              <w:tl2br w:val="nil"/>
              <w:tr2bl w:val="nil"/>
            </w:tcBorders>
            <w:vAlign w:val="center"/>
          </w:tcPr>
          <w:p w14:paraId="192A6E8A">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5</w:t>
            </w:r>
          </w:p>
        </w:tc>
        <w:tc>
          <w:tcPr>
            <w:tcW w:w="1773" w:type="dxa"/>
            <w:tcBorders>
              <w:tl2br w:val="nil"/>
              <w:tr2bl w:val="nil"/>
            </w:tcBorders>
            <w:vAlign w:val="center"/>
          </w:tcPr>
          <w:p w14:paraId="57EFC40D">
            <w:pPr>
              <w:adjustRightInd w:val="0"/>
              <w:snapToGrid w:val="0"/>
              <w:spacing w:line="240" w:lineRule="auto"/>
              <w:jc w:val="center"/>
              <w:rPr>
                <w:sz w:val="21"/>
                <w:szCs w:val="21"/>
                <w:u w:val="single"/>
              </w:rPr>
            </w:pPr>
            <w:r>
              <w:rPr>
                <w:sz w:val="21"/>
                <w:szCs w:val="21"/>
                <w:u w:val="single"/>
              </w:rPr>
              <w:t>印刷机</w:t>
            </w:r>
            <w:r>
              <w:rPr>
                <w:rFonts w:hint="eastAsia"/>
                <w:sz w:val="21"/>
                <w:szCs w:val="21"/>
                <w:u w:val="single"/>
              </w:rPr>
              <w:t>擦洗</w:t>
            </w:r>
          </w:p>
        </w:tc>
        <w:tc>
          <w:tcPr>
            <w:tcW w:w="3952" w:type="dxa"/>
            <w:vMerge w:val="continue"/>
            <w:tcBorders>
              <w:right w:val="single" w:color="auto" w:sz="4" w:space="0"/>
              <w:tl2br w:val="nil"/>
              <w:tr2bl w:val="nil"/>
            </w:tcBorders>
            <w:vAlign w:val="center"/>
          </w:tcPr>
          <w:p w14:paraId="12996685">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0365B86D">
            <w:pPr>
              <w:adjustRightInd w:val="0"/>
              <w:snapToGrid w:val="0"/>
              <w:spacing w:line="240" w:lineRule="auto"/>
              <w:jc w:val="center"/>
              <w:rPr>
                <w:sz w:val="21"/>
                <w:szCs w:val="21"/>
                <w:u w:val="single"/>
              </w:rPr>
            </w:pPr>
            <w:r>
              <w:rPr>
                <w:sz w:val="21"/>
                <w:szCs w:val="21"/>
                <w:u w:val="single"/>
              </w:rPr>
              <w:t>间断</w:t>
            </w:r>
          </w:p>
        </w:tc>
      </w:tr>
      <w:tr w14:paraId="4FB4D02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4A5BDF19">
            <w:pPr>
              <w:adjustRightInd w:val="0"/>
              <w:snapToGrid w:val="0"/>
              <w:spacing w:line="240" w:lineRule="auto"/>
              <w:jc w:val="center"/>
              <w:rPr>
                <w:sz w:val="21"/>
                <w:szCs w:val="21"/>
                <w:u w:val="single"/>
              </w:rPr>
            </w:pPr>
          </w:p>
        </w:tc>
        <w:tc>
          <w:tcPr>
            <w:tcW w:w="791" w:type="dxa"/>
            <w:tcBorders>
              <w:tl2br w:val="nil"/>
              <w:tr2bl w:val="nil"/>
            </w:tcBorders>
            <w:vAlign w:val="center"/>
          </w:tcPr>
          <w:p w14:paraId="22A833DA">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6</w:t>
            </w:r>
          </w:p>
        </w:tc>
        <w:tc>
          <w:tcPr>
            <w:tcW w:w="1773" w:type="dxa"/>
            <w:tcBorders>
              <w:tl2br w:val="nil"/>
              <w:tr2bl w:val="nil"/>
            </w:tcBorders>
            <w:vAlign w:val="center"/>
          </w:tcPr>
          <w:p w14:paraId="10B7D812">
            <w:pPr>
              <w:adjustRightInd w:val="0"/>
              <w:snapToGrid w:val="0"/>
              <w:spacing w:line="240" w:lineRule="auto"/>
              <w:jc w:val="center"/>
              <w:rPr>
                <w:sz w:val="21"/>
                <w:szCs w:val="21"/>
                <w:u w:val="single"/>
              </w:rPr>
            </w:pPr>
            <w:r>
              <w:rPr>
                <w:sz w:val="21"/>
                <w:szCs w:val="21"/>
                <w:u w:val="single"/>
              </w:rPr>
              <w:t>复合机</w:t>
            </w:r>
            <w:r>
              <w:rPr>
                <w:rFonts w:hint="eastAsia"/>
                <w:sz w:val="21"/>
                <w:szCs w:val="21"/>
                <w:u w:val="single"/>
              </w:rPr>
              <w:t>擦洗</w:t>
            </w:r>
          </w:p>
        </w:tc>
        <w:tc>
          <w:tcPr>
            <w:tcW w:w="3952" w:type="dxa"/>
            <w:vMerge w:val="continue"/>
            <w:tcBorders>
              <w:right w:val="single" w:color="auto" w:sz="4" w:space="0"/>
              <w:tl2br w:val="nil"/>
              <w:tr2bl w:val="nil"/>
            </w:tcBorders>
            <w:vAlign w:val="center"/>
          </w:tcPr>
          <w:p w14:paraId="4A007777">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70BE68FE">
            <w:pPr>
              <w:adjustRightInd w:val="0"/>
              <w:snapToGrid w:val="0"/>
              <w:spacing w:line="240" w:lineRule="auto"/>
              <w:jc w:val="center"/>
              <w:rPr>
                <w:sz w:val="21"/>
                <w:szCs w:val="21"/>
                <w:u w:val="single"/>
              </w:rPr>
            </w:pPr>
            <w:r>
              <w:rPr>
                <w:sz w:val="21"/>
                <w:szCs w:val="21"/>
                <w:u w:val="single"/>
              </w:rPr>
              <w:t>间断</w:t>
            </w:r>
          </w:p>
        </w:tc>
      </w:tr>
      <w:tr w14:paraId="4F076C0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2AC29BA7">
            <w:pPr>
              <w:adjustRightInd w:val="0"/>
              <w:snapToGrid w:val="0"/>
              <w:spacing w:line="240" w:lineRule="auto"/>
              <w:jc w:val="center"/>
              <w:rPr>
                <w:sz w:val="21"/>
                <w:szCs w:val="21"/>
                <w:u w:val="single"/>
              </w:rPr>
            </w:pPr>
          </w:p>
        </w:tc>
        <w:tc>
          <w:tcPr>
            <w:tcW w:w="791" w:type="dxa"/>
            <w:tcBorders>
              <w:bottom w:val="single" w:color="auto" w:sz="4" w:space="0"/>
              <w:tl2br w:val="nil"/>
              <w:tr2bl w:val="nil"/>
            </w:tcBorders>
            <w:vAlign w:val="center"/>
          </w:tcPr>
          <w:p w14:paraId="05D5B8D9">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7</w:t>
            </w:r>
          </w:p>
        </w:tc>
        <w:tc>
          <w:tcPr>
            <w:tcW w:w="1773" w:type="dxa"/>
            <w:tcBorders>
              <w:tl2br w:val="nil"/>
              <w:tr2bl w:val="nil"/>
            </w:tcBorders>
            <w:vAlign w:val="center"/>
          </w:tcPr>
          <w:p w14:paraId="1C2EBD00">
            <w:pPr>
              <w:adjustRightInd w:val="0"/>
              <w:snapToGrid w:val="0"/>
              <w:spacing w:line="240" w:lineRule="auto"/>
              <w:jc w:val="center"/>
              <w:rPr>
                <w:sz w:val="21"/>
                <w:szCs w:val="21"/>
                <w:u w:val="single"/>
              </w:rPr>
            </w:pPr>
            <w:r>
              <w:rPr>
                <w:sz w:val="21"/>
                <w:szCs w:val="21"/>
                <w:u w:val="single"/>
              </w:rPr>
              <w:t>危废贮存</w:t>
            </w:r>
          </w:p>
        </w:tc>
        <w:tc>
          <w:tcPr>
            <w:tcW w:w="3952" w:type="dxa"/>
            <w:vMerge w:val="continue"/>
            <w:tcBorders>
              <w:right w:val="single" w:color="auto" w:sz="4" w:space="0"/>
              <w:tl2br w:val="nil"/>
              <w:tr2bl w:val="nil"/>
            </w:tcBorders>
            <w:vAlign w:val="center"/>
          </w:tcPr>
          <w:p w14:paraId="764B505A">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5F3443FE">
            <w:pPr>
              <w:adjustRightInd w:val="0"/>
              <w:snapToGrid w:val="0"/>
              <w:spacing w:line="240" w:lineRule="auto"/>
              <w:jc w:val="center"/>
              <w:rPr>
                <w:sz w:val="21"/>
                <w:szCs w:val="21"/>
                <w:u w:val="single"/>
              </w:rPr>
            </w:pPr>
            <w:r>
              <w:rPr>
                <w:sz w:val="21"/>
                <w:szCs w:val="21"/>
                <w:u w:val="single"/>
              </w:rPr>
              <w:t>连续</w:t>
            </w:r>
          </w:p>
        </w:tc>
      </w:tr>
      <w:tr w14:paraId="298B21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403" w:hRule="atLeast"/>
          <w:jc w:val="center"/>
        </w:trPr>
        <w:tc>
          <w:tcPr>
            <w:tcW w:w="930" w:type="dxa"/>
            <w:vMerge w:val="continue"/>
            <w:tcBorders>
              <w:tl2br w:val="nil"/>
              <w:tr2bl w:val="nil"/>
            </w:tcBorders>
            <w:vAlign w:val="center"/>
          </w:tcPr>
          <w:p w14:paraId="0F9B817A">
            <w:pPr>
              <w:adjustRightInd w:val="0"/>
              <w:snapToGrid w:val="0"/>
              <w:spacing w:line="240" w:lineRule="auto"/>
              <w:jc w:val="center"/>
              <w:rPr>
                <w:sz w:val="21"/>
                <w:szCs w:val="21"/>
                <w:u w:val="single"/>
              </w:rPr>
            </w:pPr>
          </w:p>
        </w:tc>
        <w:tc>
          <w:tcPr>
            <w:tcW w:w="791" w:type="dxa"/>
            <w:tcBorders>
              <w:tl2br w:val="nil"/>
              <w:tr2bl w:val="nil"/>
            </w:tcBorders>
            <w:vAlign w:val="center"/>
          </w:tcPr>
          <w:p w14:paraId="32DA74D8">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8</w:t>
            </w:r>
          </w:p>
        </w:tc>
        <w:tc>
          <w:tcPr>
            <w:tcW w:w="1773" w:type="dxa"/>
            <w:tcBorders>
              <w:tl2br w:val="nil"/>
              <w:tr2bl w:val="nil"/>
            </w:tcBorders>
            <w:vAlign w:val="center"/>
          </w:tcPr>
          <w:p w14:paraId="1CD8C993">
            <w:pPr>
              <w:adjustRightInd w:val="0"/>
              <w:snapToGrid w:val="0"/>
              <w:spacing w:line="240" w:lineRule="auto"/>
              <w:jc w:val="center"/>
              <w:rPr>
                <w:sz w:val="21"/>
                <w:szCs w:val="21"/>
                <w:u w:val="single"/>
              </w:rPr>
            </w:pPr>
            <w:r>
              <w:rPr>
                <w:sz w:val="21"/>
                <w:szCs w:val="21"/>
                <w:u w:val="single"/>
              </w:rPr>
              <w:t>天然气导热油锅炉</w:t>
            </w:r>
          </w:p>
        </w:tc>
        <w:tc>
          <w:tcPr>
            <w:tcW w:w="3952" w:type="dxa"/>
            <w:vMerge w:val="restart"/>
            <w:tcBorders>
              <w:right w:val="single" w:color="auto" w:sz="4" w:space="0"/>
              <w:tl2br w:val="nil"/>
              <w:tr2bl w:val="nil"/>
            </w:tcBorders>
            <w:vAlign w:val="center"/>
          </w:tcPr>
          <w:p w14:paraId="11268C5D">
            <w:pPr>
              <w:adjustRightInd w:val="0"/>
              <w:snapToGrid w:val="0"/>
              <w:spacing w:line="240" w:lineRule="auto"/>
              <w:jc w:val="center"/>
              <w:rPr>
                <w:sz w:val="21"/>
                <w:szCs w:val="21"/>
                <w:u w:val="single"/>
              </w:rPr>
            </w:pPr>
            <w:r>
              <w:rPr>
                <w:sz w:val="21"/>
                <w:szCs w:val="21"/>
                <w:u w:val="single"/>
              </w:rPr>
              <w:t>SO</w:t>
            </w:r>
            <w:r>
              <w:rPr>
                <w:sz w:val="21"/>
                <w:szCs w:val="21"/>
                <w:u w:val="single"/>
                <w:vertAlign w:val="subscript"/>
              </w:rPr>
              <w:t>2</w:t>
            </w:r>
            <w:r>
              <w:rPr>
                <w:sz w:val="21"/>
                <w:szCs w:val="21"/>
                <w:u w:val="single"/>
              </w:rPr>
              <w:t>、NOx、烟尘</w:t>
            </w:r>
          </w:p>
        </w:tc>
        <w:tc>
          <w:tcPr>
            <w:tcW w:w="944" w:type="dxa"/>
            <w:tcBorders>
              <w:left w:val="single" w:color="auto" w:sz="4" w:space="0"/>
              <w:tl2br w:val="nil"/>
              <w:tr2bl w:val="nil"/>
            </w:tcBorders>
            <w:vAlign w:val="center"/>
          </w:tcPr>
          <w:p w14:paraId="7B6C8598">
            <w:pPr>
              <w:adjustRightInd w:val="0"/>
              <w:snapToGrid w:val="0"/>
              <w:spacing w:line="240" w:lineRule="auto"/>
              <w:jc w:val="center"/>
              <w:rPr>
                <w:sz w:val="21"/>
                <w:szCs w:val="21"/>
                <w:u w:val="single"/>
              </w:rPr>
            </w:pPr>
            <w:r>
              <w:rPr>
                <w:sz w:val="21"/>
                <w:szCs w:val="21"/>
                <w:u w:val="single"/>
              </w:rPr>
              <w:t>连续</w:t>
            </w:r>
          </w:p>
        </w:tc>
      </w:tr>
      <w:tr w14:paraId="3ACB1B7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403" w:hRule="atLeast"/>
          <w:jc w:val="center"/>
        </w:trPr>
        <w:tc>
          <w:tcPr>
            <w:tcW w:w="930" w:type="dxa"/>
            <w:vMerge w:val="continue"/>
            <w:tcBorders>
              <w:tl2br w:val="nil"/>
              <w:tr2bl w:val="nil"/>
            </w:tcBorders>
            <w:vAlign w:val="center"/>
          </w:tcPr>
          <w:p w14:paraId="1FE98DCC">
            <w:pPr>
              <w:adjustRightInd w:val="0"/>
              <w:snapToGrid w:val="0"/>
              <w:spacing w:line="240" w:lineRule="auto"/>
              <w:jc w:val="center"/>
              <w:rPr>
                <w:sz w:val="21"/>
                <w:szCs w:val="21"/>
                <w:u w:val="single"/>
              </w:rPr>
            </w:pPr>
          </w:p>
        </w:tc>
        <w:tc>
          <w:tcPr>
            <w:tcW w:w="791" w:type="dxa"/>
            <w:tcBorders>
              <w:tl2br w:val="nil"/>
              <w:tr2bl w:val="nil"/>
            </w:tcBorders>
            <w:vAlign w:val="center"/>
          </w:tcPr>
          <w:p w14:paraId="3BEF28A0">
            <w:pPr>
              <w:adjustRightInd w:val="0"/>
              <w:snapToGrid w:val="0"/>
              <w:spacing w:line="240" w:lineRule="auto"/>
              <w:jc w:val="center"/>
              <w:rPr>
                <w:sz w:val="21"/>
                <w:szCs w:val="21"/>
                <w:u w:val="single"/>
              </w:rPr>
            </w:pPr>
            <w:r>
              <w:rPr>
                <w:sz w:val="21"/>
                <w:szCs w:val="21"/>
                <w:u w:val="single"/>
              </w:rPr>
              <w:t>G</w:t>
            </w:r>
            <w:r>
              <w:rPr>
                <w:rFonts w:hint="eastAsia"/>
                <w:sz w:val="21"/>
                <w:szCs w:val="21"/>
                <w:u w:val="single"/>
              </w:rPr>
              <w:t>9</w:t>
            </w:r>
          </w:p>
        </w:tc>
        <w:tc>
          <w:tcPr>
            <w:tcW w:w="1773" w:type="dxa"/>
            <w:tcBorders>
              <w:tl2br w:val="nil"/>
              <w:tr2bl w:val="nil"/>
            </w:tcBorders>
            <w:vAlign w:val="center"/>
          </w:tcPr>
          <w:p w14:paraId="10BDC528">
            <w:pPr>
              <w:adjustRightInd w:val="0"/>
              <w:snapToGrid w:val="0"/>
              <w:spacing w:line="240" w:lineRule="auto"/>
              <w:jc w:val="center"/>
              <w:rPr>
                <w:sz w:val="21"/>
                <w:szCs w:val="21"/>
                <w:u w:val="single"/>
              </w:rPr>
            </w:pPr>
            <w:r>
              <w:rPr>
                <w:rFonts w:hint="eastAsia"/>
                <w:sz w:val="21"/>
                <w:szCs w:val="21"/>
                <w:u w:val="single"/>
              </w:rPr>
              <w:t>印刷干式复合烘干天然气燃烧废气</w:t>
            </w:r>
          </w:p>
        </w:tc>
        <w:tc>
          <w:tcPr>
            <w:tcW w:w="3952" w:type="dxa"/>
            <w:vMerge w:val="continue"/>
            <w:tcBorders>
              <w:right w:val="single" w:color="auto" w:sz="4" w:space="0"/>
              <w:tl2br w:val="nil"/>
              <w:tr2bl w:val="nil"/>
            </w:tcBorders>
            <w:vAlign w:val="center"/>
          </w:tcPr>
          <w:p w14:paraId="44C67A5A">
            <w:pPr>
              <w:adjustRightInd w:val="0"/>
              <w:snapToGrid w:val="0"/>
              <w:spacing w:line="240" w:lineRule="auto"/>
              <w:jc w:val="center"/>
              <w:rPr>
                <w:sz w:val="21"/>
                <w:szCs w:val="21"/>
                <w:u w:val="single"/>
              </w:rPr>
            </w:pPr>
          </w:p>
        </w:tc>
        <w:tc>
          <w:tcPr>
            <w:tcW w:w="944" w:type="dxa"/>
            <w:tcBorders>
              <w:left w:val="single" w:color="auto" w:sz="4" w:space="0"/>
              <w:tl2br w:val="nil"/>
              <w:tr2bl w:val="nil"/>
            </w:tcBorders>
            <w:vAlign w:val="center"/>
          </w:tcPr>
          <w:p w14:paraId="293E788C">
            <w:pPr>
              <w:adjustRightInd w:val="0"/>
              <w:snapToGrid w:val="0"/>
              <w:spacing w:line="240" w:lineRule="auto"/>
              <w:jc w:val="center"/>
              <w:rPr>
                <w:sz w:val="21"/>
                <w:szCs w:val="21"/>
                <w:u w:val="single"/>
              </w:rPr>
            </w:pPr>
            <w:r>
              <w:rPr>
                <w:sz w:val="21"/>
                <w:szCs w:val="21"/>
                <w:u w:val="single"/>
              </w:rPr>
              <w:t>连续</w:t>
            </w:r>
          </w:p>
        </w:tc>
      </w:tr>
      <w:tr w14:paraId="291A9DA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tcBorders>
              <w:tl2br w:val="nil"/>
              <w:tr2bl w:val="nil"/>
            </w:tcBorders>
            <w:vAlign w:val="center"/>
          </w:tcPr>
          <w:p w14:paraId="67C57965">
            <w:pPr>
              <w:adjustRightInd w:val="0"/>
              <w:snapToGrid w:val="0"/>
              <w:spacing w:line="240" w:lineRule="auto"/>
              <w:jc w:val="center"/>
              <w:rPr>
                <w:sz w:val="21"/>
                <w:szCs w:val="21"/>
                <w:u w:val="single"/>
              </w:rPr>
            </w:pPr>
            <w:r>
              <w:rPr>
                <w:sz w:val="21"/>
                <w:szCs w:val="21"/>
                <w:u w:val="single"/>
              </w:rPr>
              <w:t>废水</w:t>
            </w:r>
          </w:p>
        </w:tc>
        <w:tc>
          <w:tcPr>
            <w:tcW w:w="791" w:type="dxa"/>
            <w:tcBorders>
              <w:tl2br w:val="nil"/>
              <w:tr2bl w:val="nil"/>
            </w:tcBorders>
            <w:vAlign w:val="center"/>
          </w:tcPr>
          <w:p w14:paraId="3F7C0180">
            <w:pPr>
              <w:adjustRightInd w:val="0"/>
              <w:snapToGrid w:val="0"/>
              <w:spacing w:line="240" w:lineRule="auto"/>
              <w:jc w:val="center"/>
              <w:rPr>
                <w:sz w:val="21"/>
                <w:szCs w:val="21"/>
                <w:u w:val="single"/>
              </w:rPr>
            </w:pPr>
            <w:r>
              <w:rPr>
                <w:sz w:val="21"/>
                <w:szCs w:val="21"/>
                <w:u w:val="single"/>
              </w:rPr>
              <w:t>/</w:t>
            </w:r>
          </w:p>
        </w:tc>
        <w:tc>
          <w:tcPr>
            <w:tcW w:w="1773" w:type="dxa"/>
            <w:tcBorders>
              <w:tl2br w:val="nil"/>
              <w:tr2bl w:val="nil"/>
            </w:tcBorders>
            <w:vAlign w:val="center"/>
          </w:tcPr>
          <w:p w14:paraId="21A08B5B">
            <w:pPr>
              <w:adjustRightInd w:val="0"/>
              <w:snapToGrid w:val="0"/>
              <w:spacing w:line="240" w:lineRule="auto"/>
              <w:jc w:val="center"/>
              <w:rPr>
                <w:sz w:val="21"/>
                <w:szCs w:val="21"/>
                <w:u w:val="single"/>
              </w:rPr>
            </w:pPr>
            <w:r>
              <w:rPr>
                <w:sz w:val="21"/>
                <w:szCs w:val="21"/>
                <w:u w:val="single"/>
              </w:rPr>
              <w:t>生活用水</w:t>
            </w:r>
          </w:p>
        </w:tc>
        <w:tc>
          <w:tcPr>
            <w:tcW w:w="3952" w:type="dxa"/>
            <w:tcBorders>
              <w:right w:val="single" w:color="auto" w:sz="4" w:space="0"/>
              <w:tl2br w:val="nil"/>
              <w:tr2bl w:val="nil"/>
            </w:tcBorders>
            <w:vAlign w:val="center"/>
          </w:tcPr>
          <w:p w14:paraId="3C6DDB99">
            <w:pPr>
              <w:adjustRightInd w:val="0"/>
              <w:snapToGrid w:val="0"/>
              <w:spacing w:line="240" w:lineRule="auto"/>
              <w:jc w:val="center"/>
              <w:rPr>
                <w:sz w:val="21"/>
                <w:szCs w:val="21"/>
                <w:u w:val="single"/>
              </w:rPr>
            </w:pPr>
            <w:r>
              <w:rPr>
                <w:sz w:val="21"/>
                <w:szCs w:val="21"/>
                <w:u w:val="single"/>
              </w:rPr>
              <w:t>COD、BOD</w:t>
            </w:r>
            <w:r>
              <w:rPr>
                <w:sz w:val="21"/>
                <w:szCs w:val="21"/>
                <w:u w:val="single"/>
                <w:vertAlign w:val="subscript"/>
              </w:rPr>
              <w:t>5</w:t>
            </w:r>
            <w:r>
              <w:rPr>
                <w:sz w:val="21"/>
                <w:szCs w:val="21"/>
                <w:u w:val="single"/>
              </w:rPr>
              <w:t>、SS、氨氮</w:t>
            </w:r>
          </w:p>
        </w:tc>
        <w:tc>
          <w:tcPr>
            <w:tcW w:w="944" w:type="dxa"/>
            <w:tcBorders>
              <w:left w:val="single" w:color="auto" w:sz="4" w:space="0"/>
              <w:tl2br w:val="nil"/>
              <w:tr2bl w:val="nil"/>
            </w:tcBorders>
            <w:vAlign w:val="center"/>
          </w:tcPr>
          <w:p w14:paraId="7526EA49">
            <w:pPr>
              <w:adjustRightInd w:val="0"/>
              <w:snapToGrid w:val="0"/>
              <w:spacing w:line="240" w:lineRule="auto"/>
              <w:jc w:val="center"/>
              <w:rPr>
                <w:sz w:val="21"/>
                <w:szCs w:val="21"/>
                <w:u w:val="single"/>
              </w:rPr>
            </w:pPr>
            <w:r>
              <w:rPr>
                <w:sz w:val="21"/>
                <w:szCs w:val="21"/>
                <w:u w:val="single"/>
              </w:rPr>
              <w:t>间断</w:t>
            </w:r>
          </w:p>
        </w:tc>
      </w:tr>
      <w:tr w14:paraId="4D93A84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restart"/>
            <w:tcBorders>
              <w:tl2br w:val="nil"/>
              <w:tr2bl w:val="nil"/>
            </w:tcBorders>
            <w:vAlign w:val="center"/>
          </w:tcPr>
          <w:p w14:paraId="64645AD7">
            <w:pPr>
              <w:adjustRightInd w:val="0"/>
              <w:snapToGrid w:val="0"/>
              <w:spacing w:line="240" w:lineRule="auto"/>
              <w:jc w:val="center"/>
              <w:rPr>
                <w:sz w:val="21"/>
                <w:szCs w:val="21"/>
                <w:u w:val="single"/>
              </w:rPr>
            </w:pPr>
            <w:r>
              <w:rPr>
                <w:sz w:val="21"/>
                <w:szCs w:val="21"/>
                <w:u w:val="single"/>
              </w:rPr>
              <w:t>一般工业固废</w:t>
            </w:r>
          </w:p>
        </w:tc>
        <w:tc>
          <w:tcPr>
            <w:tcW w:w="791" w:type="dxa"/>
            <w:vMerge w:val="restart"/>
            <w:tcBorders>
              <w:tl2br w:val="nil"/>
              <w:tr2bl w:val="nil"/>
            </w:tcBorders>
            <w:vAlign w:val="center"/>
          </w:tcPr>
          <w:p w14:paraId="02BCBA02">
            <w:pPr>
              <w:adjustRightInd w:val="0"/>
              <w:snapToGrid w:val="0"/>
              <w:spacing w:line="240" w:lineRule="auto"/>
              <w:jc w:val="center"/>
              <w:rPr>
                <w:sz w:val="21"/>
                <w:szCs w:val="21"/>
                <w:u w:val="single"/>
              </w:rPr>
            </w:pPr>
            <w:r>
              <w:rPr>
                <w:sz w:val="21"/>
                <w:szCs w:val="21"/>
                <w:u w:val="single"/>
              </w:rPr>
              <w:t>S</w:t>
            </w:r>
          </w:p>
        </w:tc>
        <w:tc>
          <w:tcPr>
            <w:tcW w:w="1773" w:type="dxa"/>
            <w:tcBorders>
              <w:bottom w:val="single" w:color="auto" w:sz="4" w:space="0"/>
              <w:tl2br w:val="nil"/>
              <w:tr2bl w:val="nil"/>
            </w:tcBorders>
            <w:vAlign w:val="center"/>
          </w:tcPr>
          <w:p w14:paraId="10362F8B">
            <w:pPr>
              <w:adjustRightInd w:val="0"/>
              <w:snapToGrid w:val="0"/>
              <w:spacing w:line="240" w:lineRule="auto"/>
              <w:jc w:val="center"/>
              <w:rPr>
                <w:sz w:val="21"/>
                <w:szCs w:val="21"/>
                <w:u w:val="single"/>
              </w:rPr>
            </w:pPr>
            <w:r>
              <w:rPr>
                <w:sz w:val="21"/>
                <w:szCs w:val="21"/>
                <w:u w:val="single"/>
              </w:rPr>
              <w:t>印刷、复合</w:t>
            </w:r>
          </w:p>
        </w:tc>
        <w:tc>
          <w:tcPr>
            <w:tcW w:w="3952" w:type="dxa"/>
            <w:tcBorders>
              <w:right w:val="single" w:color="auto" w:sz="4" w:space="0"/>
              <w:tl2br w:val="nil"/>
              <w:tr2bl w:val="nil"/>
            </w:tcBorders>
            <w:vAlign w:val="center"/>
          </w:tcPr>
          <w:p w14:paraId="37C14AE4">
            <w:pPr>
              <w:adjustRightInd w:val="0"/>
              <w:snapToGrid w:val="0"/>
              <w:spacing w:line="240" w:lineRule="auto"/>
              <w:jc w:val="center"/>
              <w:rPr>
                <w:sz w:val="21"/>
                <w:szCs w:val="21"/>
                <w:u w:val="single"/>
              </w:rPr>
            </w:pPr>
            <w:r>
              <w:rPr>
                <w:sz w:val="21"/>
                <w:szCs w:val="21"/>
                <w:u w:val="single"/>
              </w:rPr>
              <w:t>边角料、不合格产品</w:t>
            </w:r>
          </w:p>
        </w:tc>
        <w:tc>
          <w:tcPr>
            <w:tcW w:w="944" w:type="dxa"/>
            <w:tcBorders>
              <w:left w:val="single" w:color="auto" w:sz="4" w:space="0"/>
              <w:tl2br w:val="nil"/>
              <w:tr2bl w:val="nil"/>
            </w:tcBorders>
            <w:vAlign w:val="center"/>
          </w:tcPr>
          <w:p w14:paraId="018A51EA">
            <w:pPr>
              <w:adjustRightInd w:val="0"/>
              <w:snapToGrid w:val="0"/>
              <w:spacing w:line="240" w:lineRule="auto"/>
              <w:jc w:val="center"/>
              <w:rPr>
                <w:sz w:val="21"/>
                <w:szCs w:val="21"/>
                <w:u w:val="single"/>
              </w:rPr>
            </w:pPr>
            <w:r>
              <w:rPr>
                <w:sz w:val="21"/>
                <w:szCs w:val="21"/>
                <w:u w:val="single"/>
              </w:rPr>
              <w:t>间断</w:t>
            </w:r>
          </w:p>
        </w:tc>
      </w:tr>
      <w:tr w14:paraId="65A79A2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bottom w:val="single" w:color="auto" w:sz="4" w:space="0"/>
              <w:tl2br w:val="nil"/>
              <w:tr2bl w:val="nil"/>
            </w:tcBorders>
            <w:vAlign w:val="center"/>
          </w:tcPr>
          <w:p w14:paraId="6232D019">
            <w:pPr>
              <w:adjustRightInd w:val="0"/>
              <w:snapToGrid w:val="0"/>
              <w:spacing w:line="240" w:lineRule="auto"/>
              <w:jc w:val="center"/>
              <w:rPr>
                <w:sz w:val="21"/>
                <w:szCs w:val="21"/>
                <w:u w:val="single"/>
              </w:rPr>
            </w:pPr>
          </w:p>
        </w:tc>
        <w:tc>
          <w:tcPr>
            <w:tcW w:w="791" w:type="dxa"/>
            <w:vMerge w:val="continue"/>
            <w:tcBorders>
              <w:tl2br w:val="nil"/>
              <w:tr2bl w:val="nil"/>
            </w:tcBorders>
            <w:vAlign w:val="center"/>
          </w:tcPr>
          <w:p w14:paraId="5140FF3A">
            <w:pPr>
              <w:adjustRightInd w:val="0"/>
              <w:snapToGrid w:val="0"/>
              <w:spacing w:line="240" w:lineRule="auto"/>
              <w:jc w:val="center"/>
              <w:rPr>
                <w:sz w:val="21"/>
                <w:szCs w:val="21"/>
                <w:u w:val="single"/>
              </w:rPr>
            </w:pPr>
          </w:p>
        </w:tc>
        <w:tc>
          <w:tcPr>
            <w:tcW w:w="1773" w:type="dxa"/>
            <w:tcBorders>
              <w:top w:val="single" w:color="auto" w:sz="4" w:space="0"/>
              <w:bottom w:val="single" w:color="auto" w:sz="4" w:space="0"/>
              <w:tl2br w:val="nil"/>
              <w:tr2bl w:val="nil"/>
            </w:tcBorders>
            <w:vAlign w:val="center"/>
          </w:tcPr>
          <w:p w14:paraId="21E8B004">
            <w:pPr>
              <w:adjustRightInd w:val="0"/>
              <w:snapToGrid w:val="0"/>
              <w:spacing w:line="240" w:lineRule="auto"/>
              <w:jc w:val="center"/>
              <w:rPr>
                <w:sz w:val="21"/>
                <w:szCs w:val="21"/>
                <w:u w:val="single"/>
              </w:rPr>
            </w:pPr>
            <w:r>
              <w:rPr>
                <w:sz w:val="21"/>
                <w:szCs w:val="21"/>
                <w:u w:val="single"/>
              </w:rPr>
              <w:t>调配</w:t>
            </w:r>
          </w:p>
        </w:tc>
        <w:tc>
          <w:tcPr>
            <w:tcW w:w="3952" w:type="dxa"/>
            <w:tcBorders>
              <w:right w:val="single" w:color="auto" w:sz="4" w:space="0"/>
              <w:tl2br w:val="nil"/>
              <w:tr2bl w:val="nil"/>
            </w:tcBorders>
            <w:vAlign w:val="center"/>
          </w:tcPr>
          <w:p w14:paraId="6EC5F6A6">
            <w:pPr>
              <w:adjustRightInd w:val="0"/>
              <w:snapToGrid w:val="0"/>
              <w:spacing w:line="240" w:lineRule="auto"/>
              <w:jc w:val="center"/>
              <w:rPr>
                <w:sz w:val="21"/>
                <w:szCs w:val="21"/>
                <w:u w:val="single"/>
              </w:rPr>
            </w:pPr>
            <w:r>
              <w:rPr>
                <w:sz w:val="21"/>
                <w:szCs w:val="21"/>
                <w:u w:val="single"/>
              </w:rPr>
              <w:t>废油墨、废胶水</w:t>
            </w:r>
          </w:p>
        </w:tc>
        <w:tc>
          <w:tcPr>
            <w:tcW w:w="944" w:type="dxa"/>
            <w:tcBorders>
              <w:left w:val="single" w:color="auto" w:sz="4" w:space="0"/>
              <w:tl2br w:val="nil"/>
              <w:tr2bl w:val="nil"/>
            </w:tcBorders>
            <w:vAlign w:val="center"/>
          </w:tcPr>
          <w:p w14:paraId="3B7E9770">
            <w:pPr>
              <w:adjustRightInd w:val="0"/>
              <w:snapToGrid w:val="0"/>
              <w:spacing w:line="240" w:lineRule="auto"/>
              <w:jc w:val="center"/>
              <w:rPr>
                <w:sz w:val="21"/>
                <w:szCs w:val="21"/>
                <w:u w:val="single"/>
              </w:rPr>
            </w:pPr>
            <w:r>
              <w:rPr>
                <w:sz w:val="21"/>
                <w:szCs w:val="21"/>
                <w:u w:val="single"/>
              </w:rPr>
              <w:t>间断</w:t>
            </w:r>
          </w:p>
        </w:tc>
      </w:tr>
      <w:tr w14:paraId="0FA6F05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restart"/>
            <w:tcBorders>
              <w:top w:val="single" w:color="auto" w:sz="4" w:space="0"/>
              <w:tl2br w:val="nil"/>
              <w:tr2bl w:val="nil"/>
            </w:tcBorders>
            <w:vAlign w:val="center"/>
          </w:tcPr>
          <w:p w14:paraId="6E5A5EE5">
            <w:pPr>
              <w:adjustRightInd w:val="0"/>
              <w:snapToGrid w:val="0"/>
              <w:spacing w:line="240" w:lineRule="auto"/>
              <w:jc w:val="center"/>
              <w:rPr>
                <w:sz w:val="21"/>
                <w:szCs w:val="21"/>
                <w:u w:val="single"/>
              </w:rPr>
            </w:pPr>
            <w:r>
              <w:rPr>
                <w:sz w:val="21"/>
                <w:szCs w:val="21"/>
                <w:u w:val="single"/>
              </w:rPr>
              <w:t>危险废物</w:t>
            </w:r>
          </w:p>
        </w:tc>
        <w:tc>
          <w:tcPr>
            <w:tcW w:w="791" w:type="dxa"/>
            <w:vMerge w:val="continue"/>
            <w:tcBorders>
              <w:tl2br w:val="nil"/>
              <w:tr2bl w:val="nil"/>
            </w:tcBorders>
            <w:vAlign w:val="center"/>
          </w:tcPr>
          <w:p w14:paraId="6CDCA5A0">
            <w:pPr>
              <w:adjustRightInd w:val="0"/>
              <w:snapToGrid w:val="0"/>
              <w:spacing w:line="240" w:lineRule="auto"/>
              <w:jc w:val="center"/>
              <w:rPr>
                <w:sz w:val="21"/>
                <w:szCs w:val="21"/>
                <w:u w:val="single"/>
              </w:rPr>
            </w:pPr>
          </w:p>
        </w:tc>
        <w:tc>
          <w:tcPr>
            <w:tcW w:w="1773" w:type="dxa"/>
            <w:tcBorders>
              <w:top w:val="single" w:color="auto" w:sz="4" w:space="0"/>
              <w:tl2br w:val="nil"/>
              <w:tr2bl w:val="nil"/>
            </w:tcBorders>
            <w:vAlign w:val="center"/>
          </w:tcPr>
          <w:p w14:paraId="2FB78CC9">
            <w:pPr>
              <w:adjustRightInd w:val="0"/>
              <w:snapToGrid w:val="0"/>
              <w:spacing w:line="240" w:lineRule="auto"/>
              <w:jc w:val="center"/>
              <w:rPr>
                <w:sz w:val="21"/>
                <w:szCs w:val="21"/>
                <w:u w:val="single"/>
              </w:rPr>
            </w:pPr>
            <w:r>
              <w:rPr>
                <w:sz w:val="21"/>
                <w:szCs w:val="21"/>
                <w:u w:val="single"/>
              </w:rPr>
              <w:t>原料使用、擦洗</w:t>
            </w:r>
          </w:p>
        </w:tc>
        <w:tc>
          <w:tcPr>
            <w:tcW w:w="3952" w:type="dxa"/>
            <w:tcBorders>
              <w:right w:val="single" w:color="auto" w:sz="4" w:space="0"/>
              <w:tl2br w:val="nil"/>
              <w:tr2bl w:val="nil"/>
            </w:tcBorders>
            <w:vAlign w:val="center"/>
          </w:tcPr>
          <w:p w14:paraId="7BC0318D">
            <w:pPr>
              <w:adjustRightInd w:val="0"/>
              <w:snapToGrid w:val="0"/>
              <w:spacing w:line="240" w:lineRule="auto"/>
              <w:jc w:val="center"/>
              <w:rPr>
                <w:sz w:val="21"/>
                <w:szCs w:val="21"/>
                <w:u w:val="single"/>
              </w:rPr>
            </w:pPr>
            <w:r>
              <w:rPr>
                <w:sz w:val="21"/>
                <w:szCs w:val="21"/>
                <w:u w:val="single"/>
              </w:rPr>
              <w:t>废弃包装桶（油墨包装桶、胶水包装桶，溶剂包装桶），废沾染抹布手套、废机油及其包装桶</w:t>
            </w:r>
          </w:p>
        </w:tc>
        <w:tc>
          <w:tcPr>
            <w:tcW w:w="944" w:type="dxa"/>
            <w:tcBorders>
              <w:left w:val="single" w:color="auto" w:sz="4" w:space="0"/>
              <w:tl2br w:val="nil"/>
              <w:tr2bl w:val="nil"/>
            </w:tcBorders>
            <w:vAlign w:val="center"/>
          </w:tcPr>
          <w:p w14:paraId="52129B56">
            <w:pPr>
              <w:adjustRightInd w:val="0"/>
              <w:snapToGrid w:val="0"/>
              <w:spacing w:line="240" w:lineRule="auto"/>
              <w:jc w:val="center"/>
              <w:rPr>
                <w:sz w:val="21"/>
                <w:szCs w:val="21"/>
                <w:u w:val="single"/>
              </w:rPr>
            </w:pPr>
            <w:r>
              <w:rPr>
                <w:sz w:val="21"/>
                <w:szCs w:val="21"/>
                <w:u w:val="single"/>
              </w:rPr>
              <w:t>间断</w:t>
            </w:r>
          </w:p>
        </w:tc>
      </w:tr>
      <w:tr w14:paraId="5E86AB7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67D8746F">
            <w:pPr>
              <w:adjustRightInd w:val="0"/>
              <w:snapToGrid w:val="0"/>
              <w:spacing w:line="240" w:lineRule="auto"/>
              <w:jc w:val="center"/>
              <w:rPr>
                <w:sz w:val="21"/>
                <w:szCs w:val="21"/>
                <w:u w:val="single"/>
              </w:rPr>
            </w:pPr>
          </w:p>
        </w:tc>
        <w:tc>
          <w:tcPr>
            <w:tcW w:w="791" w:type="dxa"/>
            <w:vMerge w:val="continue"/>
            <w:tcBorders>
              <w:tl2br w:val="nil"/>
              <w:tr2bl w:val="nil"/>
            </w:tcBorders>
            <w:vAlign w:val="center"/>
          </w:tcPr>
          <w:p w14:paraId="3B3222FB">
            <w:pPr>
              <w:adjustRightInd w:val="0"/>
              <w:snapToGrid w:val="0"/>
              <w:spacing w:line="240" w:lineRule="auto"/>
              <w:jc w:val="center"/>
              <w:rPr>
                <w:sz w:val="21"/>
                <w:szCs w:val="21"/>
                <w:u w:val="single"/>
              </w:rPr>
            </w:pPr>
          </w:p>
        </w:tc>
        <w:tc>
          <w:tcPr>
            <w:tcW w:w="1773" w:type="dxa"/>
            <w:tcBorders>
              <w:top w:val="single" w:color="auto" w:sz="4" w:space="0"/>
              <w:tl2br w:val="nil"/>
              <w:tr2bl w:val="nil"/>
            </w:tcBorders>
            <w:vAlign w:val="center"/>
          </w:tcPr>
          <w:p w14:paraId="7946B8AF">
            <w:pPr>
              <w:adjustRightInd w:val="0"/>
              <w:snapToGrid w:val="0"/>
              <w:spacing w:line="240" w:lineRule="auto"/>
              <w:jc w:val="center"/>
              <w:rPr>
                <w:sz w:val="21"/>
                <w:szCs w:val="21"/>
                <w:u w:val="single"/>
              </w:rPr>
            </w:pPr>
            <w:r>
              <w:rPr>
                <w:rFonts w:hint="eastAsia"/>
                <w:sz w:val="21"/>
                <w:szCs w:val="21"/>
                <w:u w:val="single"/>
              </w:rPr>
              <w:t>有机废气处理设施</w:t>
            </w:r>
          </w:p>
        </w:tc>
        <w:tc>
          <w:tcPr>
            <w:tcW w:w="3952" w:type="dxa"/>
            <w:tcBorders>
              <w:right w:val="single" w:color="auto" w:sz="4" w:space="0"/>
              <w:tl2br w:val="nil"/>
              <w:tr2bl w:val="nil"/>
            </w:tcBorders>
            <w:vAlign w:val="center"/>
          </w:tcPr>
          <w:p w14:paraId="0187EF48">
            <w:pPr>
              <w:adjustRightInd w:val="0"/>
              <w:snapToGrid w:val="0"/>
              <w:spacing w:line="240" w:lineRule="auto"/>
              <w:jc w:val="center"/>
              <w:rPr>
                <w:sz w:val="21"/>
                <w:szCs w:val="21"/>
                <w:u w:val="single"/>
              </w:rPr>
            </w:pPr>
            <w:r>
              <w:rPr>
                <w:sz w:val="21"/>
                <w:szCs w:val="21"/>
                <w:u w:val="single"/>
              </w:rPr>
              <w:t>废过滤棉、废活性炭、废沸石、</w:t>
            </w:r>
            <w:r>
              <w:rPr>
                <w:rFonts w:hint="eastAsia"/>
                <w:sz w:val="21"/>
                <w:szCs w:val="21"/>
                <w:u w:val="single"/>
              </w:rPr>
              <w:t>精馏残液</w:t>
            </w:r>
          </w:p>
        </w:tc>
        <w:tc>
          <w:tcPr>
            <w:tcW w:w="944" w:type="dxa"/>
            <w:tcBorders>
              <w:left w:val="single" w:color="auto" w:sz="4" w:space="0"/>
              <w:tl2br w:val="nil"/>
              <w:tr2bl w:val="nil"/>
            </w:tcBorders>
            <w:vAlign w:val="center"/>
          </w:tcPr>
          <w:p w14:paraId="35F59649">
            <w:pPr>
              <w:adjustRightInd w:val="0"/>
              <w:snapToGrid w:val="0"/>
              <w:spacing w:line="240" w:lineRule="auto"/>
              <w:jc w:val="center"/>
              <w:rPr>
                <w:sz w:val="21"/>
                <w:szCs w:val="21"/>
                <w:u w:val="single"/>
              </w:rPr>
            </w:pPr>
            <w:r>
              <w:rPr>
                <w:sz w:val="21"/>
                <w:szCs w:val="21"/>
                <w:u w:val="single"/>
              </w:rPr>
              <w:t>间断</w:t>
            </w:r>
          </w:p>
        </w:tc>
      </w:tr>
      <w:tr w14:paraId="65C5CE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28B8D100">
            <w:pPr>
              <w:adjustRightInd w:val="0"/>
              <w:snapToGrid w:val="0"/>
              <w:spacing w:line="240" w:lineRule="auto"/>
              <w:jc w:val="center"/>
              <w:rPr>
                <w:sz w:val="21"/>
                <w:szCs w:val="21"/>
                <w:u w:val="single"/>
              </w:rPr>
            </w:pPr>
          </w:p>
        </w:tc>
        <w:tc>
          <w:tcPr>
            <w:tcW w:w="791" w:type="dxa"/>
            <w:vMerge w:val="continue"/>
            <w:tcBorders>
              <w:tl2br w:val="nil"/>
              <w:tr2bl w:val="nil"/>
            </w:tcBorders>
            <w:vAlign w:val="center"/>
          </w:tcPr>
          <w:p w14:paraId="41C717E1">
            <w:pPr>
              <w:adjustRightInd w:val="0"/>
              <w:snapToGrid w:val="0"/>
              <w:spacing w:line="240" w:lineRule="auto"/>
              <w:jc w:val="center"/>
              <w:rPr>
                <w:sz w:val="21"/>
                <w:szCs w:val="21"/>
                <w:u w:val="single"/>
              </w:rPr>
            </w:pPr>
          </w:p>
        </w:tc>
        <w:tc>
          <w:tcPr>
            <w:tcW w:w="1773" w:type="dxa"/>
            <w:tcBorders>
              <w:top w:val="single" w:color="auto" w:sz="4" w:space="0"/>
              <w:tl2br w:val="nil"/>
              <w:tr2bl w:val="nil"/>
            </w:tcBorders>
            <w:vAlign w:val="center"/>
          </w:tcPr>
          <w:p w14:paraId="0C7A9E0A">
            <w:pPr>
              <w:adjustRightInd w:val="0"/>
              <w:snapToGrid w:val="0"/>
              <w:spacing w:line="240" w:lineRule="auto"/>
              <w:jc w:val="center"/>
              <w:rPr>
                <w:sz w:val="21"/>
                <w:szCs w:val="21"/>
                <w:u w:val="single"/>
              </w:rPr>
            </w:pPr>
            <w:r>
              <w:rPr>
                <w:sz w:val="21"/>
                <w:szCs w:val="21"/>
                <w:u w:val="single"/>
              </w:rPr>
              <w:t>设备维护</w:t>
            </w:r>
          </w:p>
        </w:tc>
        <w:tc>
          <w:tcPr>
            <w:tcW w:w="3952" w:type="dxa"/>
            <w:tcBorders>
              <w:right w:val="single" w:color="auto" w:sz="4" w:space="0"/>
              <w:tl2br w:val="nil"/>
              <w:tr2bl w:val="nil"/>
            </w:tcBorders>
            <w:vAlign w:val="center"/>
          </w:tcPr>
          <w:p w14:paraId="32205EBF">
            <w:pPr>
              <w:adjustRightInd w:val="0"/>
              <w:snapToGrid w:val="0"/>
              <w:spacing w:line="240" w:lineRule="auto"/>
              <w:jc w:val="center"/>
              <w:rPr>
                <w:sz w:val="21"/>
                <w:szCs w:val="21"/>
                <w:u w:val="single"/>
              </w:rPr>
            </w:pPr>
            <w:r>
              <w:rPr>
                <w:sz w:val="21"/>
                <w:szCs w:val="21"/>
                <w:u w:val="single"/>
              </w:rPr>
              <w:t>废矿物油及其包装桶</w:t>
            </w:r>
          </w:p>
        </w:tc>
        <w:tc>
          <w:tcPr>
            <w:tcW w:w="944" w:type="dxa"/>
            <w:tcBorders>
              <w:left w:val="single" w:color="auto" w:sz="4" w:space="0"/>
              <w:tl2br w:val="nil"/>
              <w:tr2bl w:val="nil"/>
            </w:tcBorders>
            <w:vAlign w:val="center"/>
          </w:tcPr>
          <w:p w14:paraId="79C9005A">
            <w:pPr>
              <w:adjustRightInd w:val="0"/>
              <w:snapToGrid w:val="0"/>
              <w:spacing w:line="240" w:lineRule="auto"/>
              <w:jc w:val="center"/>
              <w:rPr>
                <w:sz w:val="21"/>
                <w:szCs w:val="21"/>
                <w:u w:val="single"/>
              </w:rPr>
            </w:pPr>
            <w:r>
              <w:rPr>
                <w:sz w:val="21"/>
                <w:szCs w:val="21"/>
                <w:u w:val="single"/>
              </w:rPr>
              <w:t>间断</w:t>
            </w:r>
          </w:p>
        </w:tc>
      </w:tr>
      <w:tr w14:paraId="5D95D62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tcBorders>
              <w:tl2br w:val="nil"/>
              <w:tr2bl w:val="nil"/>
            </w:tcBorders>
            <w:vAlign w:val="center"/>
          </w:tcPr>
          <w:p w14:paraId="0D08CA23">
            <w:pPr>
              <w:adjustRightInd w:val="0"/>
              <w:snapToGrid w:val="0"/>
              <w:spacing w:line="240" w:lineRule="auto"/>
              <w:jc w:val="center"/>
              <w:rPr>
                <w:sz w:val="21"/>
                <w:szCs w:val="21"/>
                <w:u w:val="single"/>
              </w:rPr>
            </w:pPr>
            <w:r>
              <w:rPr>
                <w:sz w:val="21"/>
                <w:szCs w:val="21"/>
                <w:u w:val="single"/>
              </w:rPr>
              <w:t>噪声</w:t>
            </w:r>
          </w:p>
        </w:tc>
        <w:tc>
          <w:tcPr>
            <w:tcW w:w="791" w:type="dxa"/>
            <w:tcBorders>
              <w:tl2br w:val="nil"/>
              <w:tr2bl w:val="nil"/>
            </w:tcBorders>
            <w:vAlign w:val="center"/>
          </w:tcPr>
          <w:p w14:paraId="3059C0C3">
            <w:pPr>
              <w:adjustRightInd w:val="0"/>
              <w:snapToGrid w:val="0"/>
              <w:spacing w:line="240" w:lineRule="auto"/>
              <w:jc w:val="center"/>
              <w:rPr>
                <w:sz w:val="21"/>
                <w:szCs w:val="21"/>
                <w:u w:val="single"/>
              </w:rPr>
            </w:pPr>
            <w:r>
              <w:rPr>
                <w:sz w:val="21"/>
                <w:szCs w:val="21"/>
                <w:u w:val="single"/>
              </w:rPr>
              <w:t>N</w:t>
            </w:r>
          </w:p>
        </w:tc>
        <w:tc>
          <w:tcPr>
            <w:tcW w:w="1773" w:type="dxa"/>
            <w:tcBorders>
              <w:tl2br w:val="nil"/>
              <w:tr2bl w:val="nil"/>
            </w:tcBorders>
            <w:vAlign w:val="center"/>
          </w:tcPr>
          <w:p w14:paraId="14BC46DF">
            <w:pPr>
              <w:adjustRightInd w:val="0"/>
              <w:snapToGrid w:val="0"/>
              <w:spacing w:line="240" w:lineRule="auto"/>
              <w:jc w:val="center"/>
              <w:rPr>
                <w:sz w:val="21"/>
                <w:szCs w:val="21"/>
                <w:u w:val="single"/>
              </w:rPr>
            </w:pPr>
            <w:r>
              <w:rPr>
                <w:sz w:val="21"/>
                <w:szCs w:val="21"/>
                <w:u w:val="single"/>
              </w:rPr>
              <w:t>设备运行</w:t>
            </w:r>
          </w:p>
        </w:tc>
        <w:tc>
          <w:tcPr>
            <w:tcW w:w="4896" w:type="dxa"/>
            <w:gridSpan w:val="2"/>
            <w:tcBorders>
              <w:tl2br w:val="nil"/>
              <w:tr2bl w:val="nil"/>
            </w:tcBorders>
            <w:vAlign w:val="center"/>
          </w:tcPr>
          <w:p w14:paraId="030ABF41">
            <w:pPr>
              <w:adjustRightInd w:val="0"/>
              <w:snapToGrid w:val="0"/>
              <w:spacing w:line="240" w:lineRule="auto"/>
              <w:jc w:val="center"/>
              <w:rPr>
                <w:sz w:val="21"/>
                <w:szCs w:val="21"/>
                <w:u w:val="single"/>
              </w:rPr>
            </w:pPr>
            <w:r>
              <w:rPr>
                <w:sz w:val="21"/>
                <w:szCs w:val="21"/>
                <w:u w:val="single"/>
              </w:rPr>
              <w:t>噪声</w:t>
            </w:r>
          </w:p>
        </w:tc>
      </w:tr>
    </w:tbl>
    <w:p w14:paraId="397913AA">
      <w:pPr>
        <w:pStyle w:val="38"/>
        <w:ind w:firstLine="480"/>
      </w:pPr>
    </w:p>
    <w:p w14:paraId="126DC5CF">
      <w:pPr>
        <w:pStyle w:val="38"/>
        <w:ind w:firstLine="480"/>
      </w:pPr>
    </w:p>
    <w:p w14:paraId="0F0B0417">
      <w:pPr>
        <w:pStyle w:val="38"/>
        <w:ind w:firstLine="480"/>
      </w:pPr>
    </w:p>
    <w:p w14:paraId="1D4F7512">
      <w:pPr>
        <w:pStyle w:val="38"/>
        <w:ind w:firstLine="480"/>
      </w:pPr>
    </w:p>
    <w:p w14:paraId="56ACE7B6">
      <w:pPr>
        <w:pStyle w:val="38"/>
        <w:ind w:firstLine="480"/>
      </w:pPr>
    </w:p>
    <w:p w14:paraId="32B394EA">
      <w:pPr>
        <w:pStyle w:val="38"/>
        <w:ind w:firstLine="480"/>
      </w:pPr>
    </w:p>
    <w:p w14:paraId="0BD19055">
      <w:pPr>
        <w:pStyle w:val="38"/>
        <w:ind w:firstLine="480"/>
      </w:pPr>
    </w:p>
    <w:p w14:paraId="1D47BBC3">
      <w:pPr>
        <w:pStyle w:val="38"/>
        <w:ind w:firstLine="480"/>
      </w:pPr>
    </w:p>
    <w:p w14:paraId="594A8175">
      <w:pPr>
        <w:pStyle w:val="38"/>
        <w:ind w:firstLine="480"/>
      </w:pPr>
    </w:p>
    <w:p w14:paraId="07DB5DE9">
      <w:pPr>
        <w:pStyle w:val="38"/>
        <w:ind w:firstLine="480"/>
      </w:pPr>
    </w:p>
    <w:p w14:paraId="6A040398">
      <w:pPr>
        <w:pStyle w:val="38"/>
        <w:ind w:firstLine="480"/>
      </w:pPr>
    </w:p>
    <w:p w14:paraId="4C626415">
      <w:pPr>
        <w:pStyle w:val="38"/>
        <w:ind w:firstLine="480"/>
      </w:pPr>
    </w:p>
    <w:p w14:paraId="233FF361">
      <w:pPr>
        <w:pStyle w:val="38"/>
        <w:ind w:firstLine="480"/>
      </w:pPr>
    </w:p>
    <w:p w14:paraId="15DDDF28">
      <w:pPr>
        <w:pStyle w:val="38"/>
        <w:ind w:firstLine="480"/>
      </w:pPr>
    </w:p>
    <w:p w14:paraId="1BECF281">
      <w:pPr>
        <w:pStyle w:val="38"/>
        <w:ind w:firstLine="480"/>
      </w:pPr>
    </w:p>
    <w:p w14:paraId="6E48214A">
      <w:pPr>
        <w:pStyle w:val="38"/>
        <w:ind w:firstLine="480"/>
        <w:sectPr>
          <w:footerReference r:id="rId12" w:type="default"/>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5A0EB5B4">
      <w:pPr>
        <w:pStyle w:val="51"/>
        <w:widowControl w:val="0"/>
        <w:numPr>
          <w:ilvl w:val="5"/>
          <w:numId w:val="0"/>
        </w:numPr>
        <w:spacing w:before="163"/>
        <w:ind w:left="-2956" w:leftChars="0" w:hanging="1273" w:firstLineChars="0"/>
        <w:rPr>
          <w:u w:val="single"/>
        </w:rPr>
      </w:pPr>
      <w:r>
        <w:rPr>
          <w:rFonts w:hint="eastAsia" w:ascii="宋体" w:hAnsi="宋体" w:cs="宋体"/>
          <w:b/>
          <w:bCs/>
          <w:color w:val="auto"/>
          <w:kern w:val="2"/>
          <w:sz w:val="21"/>
          <w:szCs w:val="21"/>
          <w:lang w:val="en-US" w:eastAsia="zh-CN" w:bidi="ar-SA"/>
        </w:rPr>
        <w:t xml:space="preserve">                                    </w:t>
      </w: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表3.2-11 </w:t>
      </w:r>
      <w:r>
        <w:rPr>
          <w:rFonts w:hint="eastAsia" w:ascii="宋体" w:hAnsi="宋体" w:cs="宋体"/>
          <w:b/>
          <w:bCs/>
          <w:color w:val="auto"/>
          <w:kern w:val="2"/>
          <w:sz w:val="21"/>
          <w:szCs w:val="21"/>
          <w:u w:val="single"/>
          <w:lang w:val="en-US" w:eastAsia="zh-CN" w:bidi="ar-SA"/>
        </w:rPr>
        <w:t xml:space="preserve">  </w:t>
      </w:r>
      <w:r>
        <w:rPr>
          <w:rFonts w:hint="eastAsia"/>
          <w:u w:val="single"/>
        </w:rPr>
        <w:t>在建工程废气产排放情况汇总一览表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9"/>
        <w:gridCol w:w="663"/>
        <w:gridCol w:w="548"/>
        <w:gridCol w:w="1027"/>
        <w:gridCol w:w="783"/>
        <w:gridCol w:w="838"/>
        <w:gridCol w:w="706"/>
        <w:gridCol w:w="778"/>
        <w:gridCol w:w="754"/>
        <w:gridCol w:w="673"/>
        <w:gridCol w:w="442"/>
        <w:gridCol w:w="1048"/>
        <w:gridCol w:w="1240"/>
        <w:gridCol w:w="878"/>
        <w:gridCol w:w="442"/>
        <w:gridCol w:w="1048"/>
        <w:gridCol w:w="878"/>
        <w:gridCol w:w="769"/>
      </w:tblGrid>
      <w:tr w14:paraId="3FE01E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Merge w:val="restart"/>
            <w:vAlign w:val="center"/>
          </w:tcPr>
          <w:p w14:paraId="60043D7E">
            <w:pPr>
              <w:tabs>
                <w:tab w:val="left" w:pos="1021"/>
              </w:tabs>
              <w:spacing w:line="240" w:lineRule="auto"/>
              <w:jc w:val="center"/>
              <w:rPr>
                <w:sz w:val="21"/>
                <w:szCs w:val="21"/>
                <w:u w:val="single"/>
              </w:rPr>
            </w:pPr>
            <w:r>
              <w:rPr>
                <w:sz w:val="21"/>
                <w:szCs w:val="21"/>
                <w:u w:val="single"/>
              </w:rPr>
              <w:t>工序/生产线</w:t>
            </w:r>
          </w:p>
        </w:tc>
        <w:tc>
          <w:tcPr>
            <w:tcW w:w="640" w:type="dxa"/>
            <w:vMerge w:val="restart"/>
            <w:vAlign w:val="center"/>
          </w:tcPr>
          <w:p w14:paraId="702C2B56">
            <w:pPr>
              <w:tabs>
                <w:tab w:val="left" w:pos="1021"/>
              </w:tabs>
              <w:spacing w:line="240" w:lineRule="auto"/>
              <w:jc w:val="center"/>
              <w:rPr>
                <w:sz w:val="21"/>
                <w:szCs w:val="21"/>
                <w:u w:val="single"/>
              </w:rPr>
            </w:pPr>
            <w:r>
              <w:rPr>
                <w:sz w:val="21"/>
                <w:szCs w:val="21"/>
                <w:u w:val="single"/>
              </w:rPr>
              <w:t>污染物</w:t>
            </w:r>
          </w:p>
        </w:tc>
        <w:tc>
          <w:tcPr>
            <w:tcW w:w="3081" w:type="dxa"/>
            <w:gridSpan w:val="4"/>
            <w:vAlign w:val="center"/>
          </w:tcPr>
          <w:p w14:paraId="0F071C3C">
            <w:pPr>
              <w:tabs>
                <w:tab w:val="left" w:pos="1021"/>
              </w:tabs>
              <w:spacing w:line="240" w:lineRule="auto"/>
              <w:jc w:val="center"/>
              <w:rPr>
                <w:sz w:val="21"/>
                <w:szCs w:val="21"/>
                <w:u w:val="single"/>
              </w:rPr>
            </w:pPr>
            <w:r>
              <w:rPr>
                <w:sz w:val="21"/>
                <w:szCs w:val="21"/>
                <w:u w:val="single"/>
              </w:rPr>
              <w:t>污染物产生</w:t>
            </w:r>
          </w:p>
        </w:tc>
        <w:tc>
          <w:tcPr>
            <w:tcW w:w="2158" w:type="dxa"/>
            <w:gridSpan w:val="3"/>
            <w:vAlign w:val="center"/>
          </w:tcPr>
          <w:p w14:paraId="43764F26">
            <w:pPr>
              <w:tabs>
                <w:tab w:val="left" w:pos="1021"/>
              </w:tabs>
              <w:spacing w:line="240" w:lineRule="auto"/>
              <w:jc w:val="center"/>
              <w:rPr>
                <w:sz w:val="21"/>
                <w:szCs w:val="21"/>
                <w:u w:val="single"/>
              </w:rPr>
            </w:pPr>
            <w:r>
              <w:rPr>
                <w:rFonts w:hint="eastAsia"/>
                <w:sz w:val="21"/>
                <w:szCs w:val="21"/>
                <w:u w:val="single"/>
              </w:rPr>
              <w:t>治理措施</w:t>
            </w:r>
          </w:p>
        </w:tc>
        <w:tc>
          <w:tcPr>
            <w:tcW w:w="4126" w:type="dxa"/>
            <w:gridSpan w:val="5"/>
            <w:vAlign w:val="center"/>
          </w:tcPr>
          <w:p w14:paraId="56C2D6BF">
            <w:pPr>
              <w:tabs>
                <w:tab w:val="left" w:pos="1021"/>
              </w:tabs>
              <w:spacing w:line="240" w:lineRule="auto"/>
              <w:jc w:val="center"/>
              <w:rPr>
                <w:sz w:val="21"/>
                <w:szCs w:val="21"/>
                <w:u w:val="single"/>
              </w:rPr>
            </w:pPr>
            <w:r>
              <w:rPr>
                <w:rFonts w:hint="eastAsia"/>
                <w:sz w:val="21"/>
                <w:szCs w:val="21"/>
                <w:u w:val="single"/>
              </w:rPr>
              <w:t>有组织污染物排放</w:t>
            </w:r>
          </w:p>
        </w:tc>
        <w:tc>
          <w:tcPr>
            <w:tcW w:w="2282" w:type="dxa"/>
            <w:gridSpan w:val="3"/>
            <w:vAlign w:val="center"/>
          </w:tcPr>
          <w:p w14:paraId="53EDD9DF">
            <w:pPr>
              <w:tabs>
                <w:tab w:val="left" w:pos="1021"/>
              </w:tabs>
              <w:spacing w:line="240" w:lineRule="auto"/>
              <w:jc w:val="center"/>
              <w:rPr>
                <w:sz w:val="21"/>
                <w:szCs w:val="21"/>
                <w:u w:val="single"/>
              </w:rPr>
            </w:pPr>
            <w:r>
              <w:rPr>
                <w:rFonts w:hint="eastAsia"/>
                <w:sz w:val="21"/>
                <w:szCs w:val="21"/>
                <w:u w:val="single"/>
              </w:rPr>
              <w:t>无组织污染物排放</w:t>
            </w:r>
          </w:p>
        </w:tc>
        <w:tc>
          <w:tcPr>
            <w:tcW w:w="741" w:type="dxa"/>
            <w:vMerge w:val="restart"/>
            <w:vAlign w:val="center"/>
          </w:tcPr>
          <w:p w14:paraId="043AF002">
            <w:pPr>
              <w:tabs>
                <w:tab w:val="left" w:pos="1021"/>
              </w:tabs>
              <w:spacing w:line="240" w:lineRule="auto"/>
              <w:jc w:val="center"/>
              <w:rPr>
                <w:sz w:val="21"/>
                <w:szCs w:val="21"/>
                <w:u w:val="single"/>
              </w:rPr>
            </w:pPr>
            <w:r>
              <w:rPr>
                <w:rFonts w:hint="eastAsia"/>
                <w:sz w:val="21"/>
                <w:szCs w:val="21"/>
                <w:u w:val="single"/>
              </w:rPr>
              <w:t>排放时间</w:t>
            </w:r>
          </w:p>
        </w:tc>
      </w:tr>
      <w:tr w14:paraId="0D0B79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Merge w:val="continue"/>
            <w:vAlign w:val="center"/>
          </w:tcPr>
          <w:p w14:paraId="12191272">
            <w:pPr>
              <w:tabs>
                <w:tab w:val="left" w:pos="1021"/>
              </w:tabs>
              <w:spacing w:line="240" w:lineRule="auto"/>
              <w:jc w:val="center"/>
              <w:rPr>
                <w:sz w:val="21"/>
                <w:szCs w:val="21"/>
                <w:u w:val="single"/>
              </w:rPr>
            </w:pPr>
          </w:p>
        </w:tc>
        <w:tc>
          <w:tcPr>
            <w:tcW w:w="640" w:type="dxa"/>
            <w:vMerge w:val="continue"/>
            <w:vAlign w:val="center"/>
          </w:tcPr>
          <w:p w14:paraId="2F117028">
            <w:pPr>
              <w:tabs>
                <w:tab w:val="left" w:pos="1021"/>
              </w:tabs>
              <w:spacing w:line="240" w:lineRule="auto"/>
              <w:jc w:val="center"/>
              <w:rPr>
                <w:sz w:val="21"/>
                <w:szCs w:val="21"/>
                <w:u w:val="single"/>
              </w:rPr>
            </w:pPr>
          </w:p>
        </w:tc>
        <w:tc>
          <w:tcPr>
            <w:tcW w:w="528" w:type="dxa"/>
            <w:vAlign w:val="center"/>
          </w:tcPr>
          <w:p w14:paraId="12E3FDAF">
            <w:pPr>
              <w:tabs>
                <w:tab w:val="left" w:pos="1021"/>
              </w:tabs>
              <w:spacing w:line="240" w:lineRule="auto"/>
              <w:jc w:val="center"/>
              <w:rPr>
                <w:sz w:val="21"/>
                <w:szCs w:val="21"/>
                <w:u w:val="single"/>
              </w:rPr>
            </w:pPr>
            <w:r>
              <w:rPr>
                <w:sz w:val="21"/>
                <w:szCs w:val="21"/>
                <w:u w:val="single"/>
              </w:rPr>
              <w:t>核算方法</w:t>
            </w:r>
          </w:p>
        </w:tc>
        <w:tc>
          <w:tcPr>
            <w:tcW w:w="990" w:type="dxa"/>
            <w:vAlign w:val="center"/>
          </w:tcPr>
          <w:p w14:paraId="7E8AF475">
            <w:pPr>
              <w:tabs>
                <w:tab w:val="left" w:pos="1021"/>
              </w:tabs>
              <w:spacing w:line="240" w:lineRule="auto"/>
              <w:jc w:val="center"/>
              <w:rPr>
                <w:sz w:val="21"/>
                <w:szCs w:val="21"/>
                <w:u w:val="single"/>
              </w:rPr>
            </w:pPr>
            <w:r>
              <w:rPr>
                <w:sz w:val="21"/>
                <w:szCs w:val="21"/>
                <w:u w:val="single"/>
              </w:rPr>
              <w:t>废气产生量（m</w:t>
            </w:r>
            <w:r>
              <w:rPr>
                <w:sz w:val="21"/>
                <w:szCs w:val="21"/>
                <w:u w:val="single"/>
                <w:vertAlign w:val="superscript"/>
              </w:rPr>
              <w:t>3</w:t>
            </w:r>
            <w:r>
              <w:rPr>
                <w:sz w:val="21"/>
                <w:szCs w:val="21"/>
                <w:u w:val="single"/>
              </w:rPr>
              <w:t>/h）</w:t>
            </w:r>
          </w:p>
        </w:tc>
        <w:tc>
          <w:tcPr>
            <w:tcW w:w="755" w:type="dxa"/>
            <w:vAlign w:val="center"/>
          </w:tcPr>
          <w:p w14:paraId="07BB9C3A">
            <w:pPr>
              <w:tabs>
                <w:tab w:val="left" w:pos="1021"/>
              </w:tabs>
              <w:spacing w:line="240" w:lineRule="auto"/>
              <w:jc w:val="center"/>
              <w:rPr>
                <w:sz w:val="21"/>
                <w:szCs w:val="21"/>
                <w:u w:val="single"/>
              </w:rPr>
            </w:pPr>
            <w:r>
              <w:rPr>
                <w:sz w:val="21"/>
                <w:szCs w:val="21"/>
                <w:u w:val="single"/>
              </w:rPr>
              <w:t>浓度（mg/m</w:t>
            </w:r>
            <w:r>
              <w:rPr>
                <w:sz w:val="21"/>
                <w:szCs w:val="21"/>
                <w:u w:val="single"/>
                <w:vertAlign w:val="superscript"/>
              </w:rPr>
              <w:t>3</w:t>
            </w:r>
            <w:r>
              <w:rPr>
                <w:sz w:val="21"/>
                <w:szCs w:val="21"/>
                <w:u w:val="single"/>
              </w:rPr>
              <w:t>）</w:t>
            </w:r>
          </w:p>
        </w:tc>
        <w:tc>
          <w:tcPr>
            <w:tcW w:w="808" w:type="dxa"/>
            <w:vAlign w:val="center"/>
          </w:tcPr>
          <w:p w14:paraId="130E5BCB">
            <w:pPr>
              <w:tabs>
                <w:tab w:val="left" w:pos="1021"/>
              </w:tabs>
              <w:spacing w:line="240" w:lineRule="auto"/>
              <w:jc w:val="center"/>
              <w:rPr>
                <w:sz w:val="21"/>
                <w:szCs w:val="21"/>
                <w:u w:val="single"/>
              </w:rPr>
            </w:pPr>
            <w:r>
              <w:rPr>
                <w:sz w:val="21"/>
                <w:szCs w:val="21"/>
                <w:u w:val="single"/>
              </w:rPr>
              <w:t>产生量（t/a）</w:t>
            </w:r>
          </w:p>
        </w:tc>
        <w:tc>
          <w:tcPr>
            <w:tcW w:w="681" w:type="dxa"/>
            <w:vAlign w:val="center"/>
          </w:tcPr>
          <w:p w14:paraId="117A1B10">
            <w:pPr>
              <w:tabs>
                <w:tab w:val="left" w:pos="1021"/>
              </w:tabs>
              <w:spacing w:line="240" w:lineRule="auto"/>
              <w:jc w:val="center"/>
              <w:rPr>
                <w:sz w:val="21"/>
                <w:szCs w:val="21"/>
                <w:u w:val="single"/>
              </w:rPr>
            </w:pPr>
            <w:r>
              <w:rPr>
                <w:rFonts w:hint="eastAsia"/>
                <w:sz w:val="21"/>
                <w:szCs w:val="21"/>
                <w:u w:val="single"/>
              </w:rPr>
              <w:t>工艺</w:t>
            </w:r>
          </w:p>
        </w:tc>
        <w:tc>
          <w:tcPr>
            <w:tcW w:w="750" w:type="dxa"/>
            <w:vAlign w:val="center"/>
          </w:tcPr>
          <w:p w14:paraId="14EC3E79">
            <w:pPr>
              <w:tabs>
                <w:tab w:val="left" w:pos="1021"/>
              </w:tabs>
              <w:spacing w:line="240" w:lineRule="auto"/>
              <w:jc w:val="center"/>
              <w:rPr>
                <w:sz w:val="21"/>
                <w:szCs w:val="21"/>
                <w:u w:val="single"/>
              </w:rPr>
            </w:pPr>
            <w:r>
              <w:rPr>
                <w:rFonts w:hint="eastAsia"/>
                <w:sz w:val="21"/>
                <w:szCs w:val="21"/>
                <w:u w:val="single"/>
              </w:rPr>
              <w:t>效率</w:t>
            </w:r>
          </w:p>
        </w:tc>
        <w:tc>
          <w:tcPr>
            <w:tcW w:w="727" w:type="dxa"/>
            <w:vAlign w:val="center"/>
          </w:tcPr>
          <w:p w14:paraId="4EA508BC">
            <w:pPr>
              <w:tabs>
                <w:tab w:val="left" w:pos="1021"/>
              </w:tabs>
              <w:spacing w:line="240" w:lineRule="auto"/>
              <w:jc w:val="center"/>
              <w:rPr>
                <w:sz w:val="21"/>
                <w:szCs w:val="21"/>
                <w:u w:val="single"/>
              </w:rPr>
            </w:pPr>
            <w:r>
              <w:rPr>
                <w:rFonts w:hint="eastAsia"/>
                <w:sz w:val="21"/>
                <w:szCs w:val="21"/>
                <w:u w:val="single"/>
              </w:rPr>
              <w:t>是否为可行技术</w:t>
            </w:r>
          </w:p>
        </w:tc>
        <w:tc>
          <w:tcPr>
            <w:tcW w:w="649" w:type="dxa"/>
            <w:vAlign w:val="center"/>
          </w:tcPr>
          <w:p w14:paraId="136E7EA7">
            <w:pPr>
              <w:tabs>
                <w:tab w:val="left" w:pos="1021"/>
              </w:tabs>
              <w:spacing w:line="240" w:lineRule="auto"/>
              <w:jc w:val="center"/>
              <w:rPr>
                <w:sz w:val="21"/>
                <w:szCs w:val="21"/>
                <w:u w:val="single"/>
              </w:rPr>
            </w:pPr>
            <w:r>
              <w:rPr>
                <w:rFonts w:hint="eastAsia"/>
                <w:sz w:val="21"/>
                <w:szCs w:val="21"/>
                <w:u w:val="single"/>
              </w:rPr>
              <w:t>排放口</w:t>
            </w:r>
          </w:p>
        </w:tc>
        <w:tc>
          <w:tcPr>
            <w:tcW w:w="426" w:type="dxa"/>
            <w:vAlign w:val="center"/>
          </w:tcPr>
          <w:p w14:paraId="06278BB6">
            <w:pPr>
              <w:tabs>
                <w:tab w:val="left" w:pos="1021"/>
              </w:tabs>
              <w:spacing w:line="240" w:lineRule="auto"/>
              <w:jc w:val="center"/>
              <w:rPr>
                <w:sz w:val="21"/>
                <w:szCs w:val="21"/>
                <w:u w:val="single"/>
              </w:rPr>
            </w:pPr>
            <w:r>
              <w:rPr>
                <w:rFonts w:hint="eastAsia"/>
                <w:sz w:val="21"/>
                <w:szCs w:val="21"/>
                <w:u w:val="single"/>
              </w:rPr>
              <w:t>核算方法</w:t>
            </w:r>
          </w:p>
        </w:tc>
        <w:tc>
          <w:tcPr>
            <w:tcW w:w="1010" w:type="dxa"/>
            <w:vAlign w:val="center"/>
          </w:tcPr>
          <w:p w14:paraId="165E9421">
            <w:pPr>
              <w:tabs>
                <w:tab w:val="left" w:pos="1021"/>
              </w:tabs>
              <w:spacing w:line="240" w:lineRule="auto"/>
              <w:jc w:val="center"/>
              <w:rPr>
                <w:sz w:val="21"/>
                <w:szCs w:val="21"/>
                <w:u w:val="single"/>
              </w:rPr>
            </w:pPr>
            <w:r>
              <w:rPr>
                <w:rFonts w:hint="eastAsia"/>
                <w:sz w:val="21"/>
                <w:szCs w:val="21"/>
                <w:u w:val="single"/>
              </w:rPr>
              <w:t>排放速率（kg/h）</w:t>
            </w:r>
          </w:p>
        </w:tc>
        <w:tc>
          <w:tcPr>
            <w:tcW w:w="1195" w:type="dxa"/>
            <w:vAlign w:val="center"/>
          </w:tcPr>
          <w:p w14:paraId="5E3BE521">
            <w:pPr>
              <w:tabs>
                <w:tab w:val="left" w:pos="1021"/>
              </w:tabs>
              <w:spacing w:line="240" w:lineRule="auto"/>
              <w:jc w:val="center"/>
              <w:rPr>
                <w:sz w:val="21"/>
                <w:szCs w:val="21"/>
                <w:u w:val="single"/>
              </w:rPr>
            </w:pPr>
            <w:r>
              <w:rPr>
                <w:rFonts w:hint="eastAsia"/>
                <w:sz w:val="21"/>
                <w:szCs w:val="21"/>
                <w:u w:val="single"/>
              </w:rPr>
              <w:t>排放浓度（mg/m</w:t>
            </w:r>
            <w:r>
              <w:rPr>
                <w:rFonts w:hint="eastAsia"/>
                <w:sz w:val="21"/>
                <w:szCs w:val="21"/>
                <w:u w:val="single"/>
                <w:vertAlign w:val="superscript"/>
              </w:rPr>
              <w:t>3</w:t>
            </w:r>
            <w:r>
              <w:rPr>
                <w:rFonts w:hint="eastAsia"/>
                <w:sz w:val="21"/>
                <w:szCs w:val="21"/>
                <w:u w:val="single"/>
              </w:rPr>
              <w:t>）</w:t>
            </w:r>
          </w:p>
        </w:tc>
        <w:tc>
          <w:tcPr>
            <w:tcW w:w="846" w:type="dxa"/>
            <w:vAlign w:val="center"/>
          </w:tcPr>
          <w:p w14:paraId="28C9332C">
            <w:pPr>
              <w:tabs>
                <w:tab w:val="left" w:pos="1021"/>
              </w:tabs>
              <w:spacing w:line="240" w:lineRule="auto"/>
              <w:jc w:val="center"/>
              <w:rPr>
                <w:sz w:val="21"/>
                <w:szCs w:val="21"/>
                <w:u w:val="single"/>
              </w:rPr>
            </w:pPr>
            <w:r>
              <w:rPr>
                <w:rFonts w:hint="eastAsia"/>
                <w:sz w:val="21"/>
                <w:szCs w:val="21"/>
                <w:u w:val="single"/>
              </w:rPr>
              <w:t>排放量（t/a）</w:t>
            </w:r>
          </w:p>
        </w:tc>
        <w:tc>
          <w:tcPr>
            <w:tcW w:w="426" w:type="dxa"/>
            <w:vAlign w:val="center"/>
          </w:tcPr>
          <w:p w14:paraId="43BF009F">
            <w:pPr>
              <w:tabs>
                <w:tab w:val="left" w:pos="1021"/>
              </w:tabs>
              <w:spacing w:line="240" w:lineRule="auto"/>
              <w:jc w:val="center"/>
              <w:rPr>
                <w:sz w:val="21"/>
                <w:szCs w:val="21"/>
                <w:u w:val="single"/>
              </w:rPr>
            </w:pPr>
            <w:r>
              <w:rPr>
                <w:rFonts w:hint="eastAsia"/>
                <w:sz w:val="21"/>
                <w:szCs w:val="21"/>
                <w:u w:val="single"/>
              </w:rPr>
              <w:t>核算方法</w:t>
            </w:r>
          </w:p>
        </w:tc>
        <w:tc>
          <w:tcPr>
            <w:tcW w:w="1010" w:type="dxa"/>
            <w:vAlign w:val="center"/>
          </w:tcPr>
          <w:p w14:paraId="663BDAEF">
            <w:pPr>
              <w:tabs>
                <w:tab w:val="left" w:pos="1021"/>
              </w:tabs>
              <w:spacing w:line="240" w:lineRule="auto"/>
              <w:jc w:val="center"/>
              <w:rPr>
                <w:sz w:val="21"/>
                <w:szCs w:val="21"/>
                <w:u w:val="single"/>
              </w:rPr>
            </w:pPr>
            <w:r>
              <w:rPr>
                <w:rFonts w:hint="eastAsia"/>
                <w:sz w:val="21"/>
                <w:szCs w:val="21"/>
                <w:u w:val="single"/>
              </w:rPr>
              <w:t>排放速率（kg/h）</w:t>
            </w:r>
          </w:p>
        </w:tc>
        <w:tc>
          <w:tcPr>
            <w:tcW w:w="846" w:type="dxa"/>
            <w:vAlign w:val="center"/>
          </w:tcPr>
          <w:p w14:paraId="41C6C59E">
            <w:pPr>
              <w:tabs>
                <w:tab w:val="left" w:pos="1021"/>
              </w:tabs>
              <w:spacing w:line="240" w:lineRule="auto"/>
              <w:jc w:val="center"/>
              <w:rPr>
                <w:sz w:val="21"/>
                <w:szCs w:val="21"/>
                <w:u w:val="single"/>
              </w:rPr>
            </w:pPr>
            <w:r>
              <w:rPr>
                <w:rFonts w:hint="eastAsia"/>
                <w:sz w:val="21"/>
                <w:szCs w:val="21"/>
                <w:u w:val="single"/>
              </w:rPr>
              <w:t>排放量（t/a）</w:t>
            </w:r>
          </w:p>
        </w:tc>
        <w:tc>
          <w:tcPr>
            <w:tcW w:w="741" w:type="dxa"/>
            <w:vMerge w:val="continue"/>
            <w:vAlign w:val="center"/>
          </w:tcPr>
          <w:p w14:paraId="006B4751">
            <w:pPr>
              <w:tabs>
                <w:tab w:val="left" w:pos="1021"/>
              </w:tabs>
              <w:spacing w:line="240" w:lineRule="auto"/>
              <w:jc w:val="center"/>
              <w:rPr>
                <w:sz w:val="21"/>
                <w:szCs w:val="21"/>
                <w:u w:val="single"/>
              </w:rPr>
            </w:pPr>
          </w:p>
        </w:tc>
      </w:tr>
      <w:tr w14:paraId="4B1E90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Align w:val="center"/>
          </w:tcPr>
          <w:p w14:paraId="62076B37">
            <w:pPr>
              <w:tabs>
                <w:tab w:val="left" w:pos="1021"/>
              </w:tabs>
              <w:spacing w:line="240" w:lineRule="auto"/>
              <w:jc w:val="center"/>
              <w:rPr>
                <w:sz w:val="21"/>
                <w:szCs w:val="21"/>
                <w:u w:val="single"/>
              </w:rPr>
            </w:pPr>
            <w:r>
              <w:rPr>
                <w:rFonts w:hint="eastAsia"/>
                <w:sz w:val="21"/>
                <w:szCs w:val="21"/>
                <w:u w:val="single"/>
              </w:rPr>
              <w:t>印刷复合车间</w:t>
            </w:r>
          </w:p>
        </w:tc>
        <w:tc>
          <w:tcPr>
            <w:tcW w:w="640" w:type="dxa"/>
            <w:vMerge w:val="restart"/>
            <w:vAlign w:val="center"/>
          </w:tcPr>
          <w:p w14:paraId="036A0DDE">
            <w:pPr>
              <w:tabs>
                <w:tab w:val="left" w:pos="1021"/>
              </w:tabs>
              <w:spacing w:line="240" w:lineRule="auto"/>
              <w:jc w:val="center"/>
              <w:rPr>
                <w:sz w:val="21"/>
                <w:szCs w:val="21"/>
                <w:u w:val="single"/>
              </w:rPr>
            </w:pPr>
            <w:r>
              <w:rPr>
                <w:rFonts w:hint="eastAsia"/>
                <w:sz w:val="21"/>
                <w:szCs w:val="21"/>
                <w:u w:val="single"/>
              </w:rPr>
              <w:t>挥发性有机物</w:t>
            </w:r>
          </w:p>
        </w:tc>
        <w:tc>
          <w:tcPr>
            <w:tcW w:w="528" w:type="dxa"/>
            <w:vMerge w:val="restart"/>
            <w:vAlign w:val="center"/>
          </w:tcPr>
          <w:p w14:paraId="6F4FCD22">
            <w:pPr>
              <w:tabs>
                <w:tab w:val="left" w:pos="1021"/>
              </w:tabs>
              <w:spacing w:line="240" w:lineRule="auto"/>
              <w:jc w:val="center"/>
              <w:rPr>
                <w:sz w:val="21"/>
                <w:szCs w:val="21"/>
                <w:u w:val="single"/>
              </w:rPr>
            </w:pPr>
            <w:r>
              <w:rPr>
                <w:rFonts w:hint="eastAsia"/>
                <w:sz w:val="21"/>
                <w:szCs w:val="21"/>
                <w:u w:val="single"/>
              </w:rPr>
              <w:t>系数法</w:t>
            </w:r>
          </w:p>
        </w:tc>
        <w:tc>
          <w:tcPr>
            <w:tcW w:w="990" w:type="dxa"/>
            <w:vMerge w:val="restart"/>
            <w:vAlign w:val="center"/>
          </w:tcPr>
          <w:p w14:paraId="56E4CA0A">
            <w:pPr>
              <w:tabs>
                <w:tab w:val="left" w:pos="1021"/>
              </w:tabs>
              <w:spacing w:line="240" w:lineRule="auto"/>
              <w:jc w:val="center"/>
              <w:rPr>
                <w:sz w:val="21"/>
                <w:szCs w:val="21"/>
                <w:u w:val="single"/>
              </w:rPr>
            </w:pPr>
            <w:r>
              <w:rPr>
                <w:rFonts w:hint="eastAsia"/>
                <w:sz w:val="21"/>
                <w:szCs w:val="21"/>
                <w:u w:val="single"/>
              </w:rPr>
              <w:t>134800</w:t>
            </w:r>
          </w:p>
        </w:tc>
        <w:tc>
          <w:tcPr>
            <w:tcW w:w="755" w:type="dxa"/>
            <w:vAlign w:val="center"/>
          </w:tcPr>
          <w:p w14:paraId="3C1D5B58">
            <w:pPr>
              <w:tabs>
                <w:tab w:val="left" w:pos="1021"/>
              </w:tabs>
              <w:spacing w:line="240" w:lineRule="auto"/>
              <w:jc w:val="center"/>
              <w:rPr>
                <w:sz w:val="21"/>
                <w:szCs w:val="21"/>
                <w:u w:val="single"/>
              </w:rPr>
            </w:pPr>
            <w:r>
              <w:rPr>
                <w:rFonts w:hint="eastAsia"/>
                <w:sz w:val="21"/>
                <w:szCs w:val="21"/>
                <w:u w:val="single"/>
              </w:rPr>
              <w:t>/</w:t>
            </w:r>
          </w:p>
        </w:tc>
        <w:tc>
          <w:tcPr>
            <w:tcW w:w="808" w:type="dxa"/>
            <w:vAlign w:val="center"/>
          </w:tcPr>
          <w:p w14:paraId="0D224215">
            <w:pPr>
              <w:tabs>
                <w:tab w:val="left" w:pos="1021"/>
              </w:tabs>
              <w:spacing w:line="240" w:lineRule="auto"/>
              <w:jc w:val="center"/>
              <w:rPr>
                <w:sz w:val="21"/>
                <w:szCs w:val="21"/>
                <w:u w:val="single"/>
              </w:rPr>
            </w:pPr>
            <w:r>
              <w:rPr>
                <w:rFonts w:hint="eastAsia"/>
                <w:sz w:val="21"/>
                <w:szCs w:val="21"/>
                <w:u w:val="single"/>
              </w:rPr>
              <w:t>906.28</w:t>
            </w:r>
          </w:p>
        </w:tc>
        <w:tc>
          <w:tcPr>
            <w:tcW w:w="681" w:type="dxa"/>
            <w:vMerge w:val="restart"/>
            <w:vAlign w:val="center"/>
          </w:tcPr>
          <w:p w14:paraId="57903F4C">
            <w:pPr>
              <w:tabs>
                <w:tab w:val="left" w:pos="1021"/>
              </w:tabs>
              <w:spacing w:line="240" w:lineRule="auto"/>
              <w:jc w:val="center"/>
              <w:rPr>
                <w:sz w:val="21"/>
                <w:szCs w:val="21"/>
                <w:u w:val="single"/>
              </w:rPr>
            </w:pPr>
            <w:r>
              <w:rPr>
                <w:rFonts w:hint="eastAsia"/>
                <w:sz w:val="21"/>
                <w:szCs w:val="21"/>
                <w:u w:val="single"/>
              </w:rPr>
              <w:t>吸附浓缩+溶剂回收系统</w:t>
            </w:r>
          </w:p>
        </w:tc>
        <w:tc>
          <w:tcPr>
            <w:tcW w:w="750" w:type="dxa"/>
            <w:vMerge w:val="restart"/>
            <w:vAlign w:val="center"/>
          </w:tcPr>
          <w:p w14:paraId="65E82944">
            <w:pPr>
              <w:tabs>
                <w:tab w:val="left" w:pos="1021"/>
              </w:tabs>
              <w:spacing w:line="240" w:lineRule="auto"/>
              <w:jc w:val="center"/>
              <w:rPr>
                <w:sz w:val="21"/>
                <w:szCs w:val="21"/>
                <w:u w:val="single"/>
              </w:rPr>
            </w:pPr>
            <w:r>
              <w:rPr>
                <w:rFonts w:hint="eastAsia"/>
                <w:sz w:val="21"/>
                <w:szCs w:val="21"/>
                <w:u w:val="single"/>
              </w:rPr>
              <w:t>负压收集95%、调墨调胶85%危废间85%处理高浓度98%低浓度90%</w:t>
            </w:r>
          </w:p>
        </w:tc>
        <w:tc>
          <w:tcPr>
            <w:tcW w:w="727" w:type="dxa"/>
            <w:vMerge w:val="restart"/>
            <w:vAlign w:val="center"/>
          </w:tcPr>
          <w:p w14:paraId="7C1DDF11">
            <w:pPr>
              <w:tabs>
                <w:tab w:val="left" w:pos="1021"/>
              </w:tabs>
              <w:spacing w:line="240" w:lineRule="auto"/>
              <w:jc w:val="center"/>
              <w:rPr>
                <w:sz w:val="21"/>
                <w:szCs w:val="21"/>
                <w:u w:val="single"/>
              </w:rPr>
            </w:pPr>
            <w:r>
              <w:rPr>
                <w:rFonts w:hint="eastAsia"/>
                <w:sz w:val="21"/>
                <w:szCs w:val="21"/>
                <w:u w:val="single"/>
              </w:rPr>
              <w:t>是</w:t>
            </w:r>
          </w:p>
        </w:tc>
        <w:tc>
          <w:tcPr>
            <w:tcW w:w="649" w:type="dxa"/>
            <w:vMerge w:val="restart"/>
            <w:vAlign w:val="center"/>
          </w:tcPr>
          <w:p w14:paraId="0F0557C5">
            <w:pPr>
              <w:tabs>
                <w:tab w:val="left" w:pos="1021"/>
              </w:tabs>
              <w:spacing w:line="240" w:lineRule="auto"/>
              <w:jc w:val="center"/>
              <w:rPr>
                <w:sz w:val="21"/>
                <w:szCs w:val="21"/>
                <w:u w:val="single"/>
              </w:rPr>
            </w:pPr>
            <w:r>
              <w:rPr>
                <w:rFonts w:hint="eastAsia"/>
                <w:sz w:val="21"/>
                <w:szCs w:val="21"/>
                <w:u w:val="single"/>
              </w:rPr>
              <w:t>DA001</w:t>
            </w:r>
          </w:p>
        </w:tc>
        <w:tc>
          <w:tcPr>
            <w:tcW w:w="426" w:type="dxa"/>
            <w:vMerge w:val="restart"/>
            <w:vAlign w:val="center"/>
          </w:tcPr>
          <w:p w14:paraId="4E402C2A">
            <w:pPr>
              <w:tabs>
                <w:tab w:val="left" w:pos="1021"/>
              </w:tabs>
              <w:spacing w:line="240" w:lineRule="auto"/>
              <w:jc w:val="center"/>
              <w:rPr>
                <w:sz w:val="21"/>
                <w:szCs w:val="21"/>
                <w:u w:val="single"/>
              </w:rPr>
            </w:pPr>
            <w:r>
              <w:rPr>
                <w:rFonts w:hint="eastAsia"/>
                <w:sz w:val="21"/>
                <w:szCs w:val="21"/>
                <w:u w:val="single"/>
              </w:rPr>
              <w:t>系数法</w:t>
            </w:r>
          </w:p>
        </w:tc>
        <w:tc>
          <w:tcPr>
            <w:tcW w:w="1010" w:type="dxa"/>
            <w:vAlign w:val="center"/>
          </w:tcPr>
          <w:p w14:paraId="49439AF5">
            <w:pPr>
              <w:tabs>
                <w:tab w:val="left" w:pos="1021"/>
              </w:tabs>
              <w:spacing w:line="240" w:lineRule="auto"/>
              <w:jc w:val="center"/>
              <w:rPr>
                <w:color w:val="FF0000"/>
                <w:sz w:val="21"/>
                <w:szCs w:val="21"/>
                <w:u w:val="single"/>
              </w:rPr>
            </w:pPr>
            <w:r>
              <w:rPr>
                <w:rFonts w:hint="eastAsia"/>
                <w:sz w:val="21"/>
                <w:szCs w:val="21"/>
                <w:u w:val="single"/>
              </w:rPr>
              <w:t>3.42</w:t>
            </w:r>
          </w:p>
        </w:tc>
        <w:tc>
          <w:tcPr>
            <w:tcW w:w="1195" w:type="dxa"/>
            <w:vMerge w:val="restart"/>
            <w:vAlign w:val="center"/>
          </w:tcPr>
          <w:p w14:paraId="6FC5C308">
            <w:pPr>
              <w:tabs>
                <w:tab w:val="left" w:pos="1021"/>
              </w:tabs>
              <w:spacing w:line="240" w:lineRule="auto"/>
              <w:jc w:val="center"/>
              <w:rPr>
                <w:sz w:val="21"/>
                <w:szCs w:val="21"/>
                <w:u w:val="single"/>
              </w:rPr>
            </w:pPr>
            <w:r>
              <w:rPr>
                <w:rFonts w:hint="eastAsia"/>
                <w:sz w:val="21"/>
                <w:szCs w:val="21"/>
                <w:u w:val="single"/>
              </w:rPr>
              <w:t>25.22</w:t>
            </w:r>
          </w:p>
        </w:tc>
        <w:tc>
          <w:tcPr>
            <w:tcW w:w="846" w:type="dxa"/>
            <w:vAlign w:val="center"/>
          </w:tcPr>
          <w:p w14:paraId="067B2DF6">
            <w:pPr>
              <w:tabs>
                <w:tab w:val="left" w:pos="1021"/>
              </w:tabs>
              <w:spacing w:line="240" w:lineRule="auto"/>
              <w:jc w:val="center"/>
              <w:rPr>
                <w:color w:val="FF0000"/>
                <w:sz w:val="21"/>
                <w:szCs w:val="21"/>
                <w:u w:val="single"/>
              </w:rPr>
            </w:pPr>
            <w:r>
              <w:rPr>
                <w:rFonts w:hint="eastAsia"/>
                <w:sz w:val="21"/>
                <w:szCs w:val="21"/>
                <w:u w:val="single"/>
              </w:rPr>
              <w:t>27.7</w:t>
            </w:r>
          </w:p>
        </w:tc>
        <w:tc>
          <w:tcPr>
            <w:tcW w:w="426" w:type="dxa"/>
            <w:vAlign w:val="center"/>
          </w:tcPr>
          <w:p w14:paraId="42174D7C">
            <w:pPr>
              <w:tabs>
                <w:tab w:val="left" w:pos="1021"/>
              </w:tabs>
              <w:spacing w:line="240" w:lineRule="auto"/>
              <w:jc w:val="center"/>
              <w:rPr>
                <w:color w:val="FF0000"/>
                <w:sz w:val="21"/>
                <w:szCs w:val="21"/>
                <w:u w:val="single"/>
              </w:rPr>
            </w:pPr>
            <w:r>
              <w:rPr>
                <w:rFonts w:hint="eastAsia"/>
                <w:sz w:val="21"/>
                <w:szCs w:val="21"/>
                <w:u w:val="single"/>
              </w:rPr>
              <w:t>/</w:t>
            </w:r>
          </w:p>
        </w:tc>
        <w:tc>
          <w:tcPr>
            <w:tcW w:w="1010" w:type="dxa"/>
            <w:vAlign w:val="center"/>
          </w:tcPr>
          <w:p w14:paraId="3A31C5F9">
            <w:pPr>
              <w:tabs>
                <w:tab w:val="left" w:pos="1021"/>
              </w:tabs>
              <w:spacing w:line="240" w:lineRule="auto"/>
              <w:jc w:val="center"/>
              <w:rPr>
                <w:sz w:val="21"/>
                <w:szCs w:val="21"/>
                <w:u w:val="single"/>
              </w:rPr>
            </w:pPr>
            <w:r>
              <w:rPr>
                <w:rFonts w:hint="eastAsia"/>
                <w:sz w:val="21"/>
                <w:szCs w:val="21"/>
                <w:u w:val="single"/>
              </w:rPr>
              <w:t>0.89</w:t>
            </w:r>
          </w:p>
        </w:tc>
        <w:tc>
          <w:tcPr>
            <w:tcW w:w="846" w:type="dxa"/>
            <w:vAlign w:val="center"/>
          </w:tcPr>
          <w:p w14:paraId="1E3DD1B3">
            <w:pPr>
              <w:tabs>
                <w:tab w:val="left" w:pos="1021"/>
              </w:tabs>
              <w:spacing w:line="240" w:lineRule="auto"/>
              <w:jc w:val="center"/>
              <w:rPr>
                <w:color w:val="FF0000"/>
                <w:sz w:val="21"/>
                <w:szCs w:val="21"/>
                <w:u w:val="single"/>
              </w:rPr>
            </w:pPr>
            <w:r>
              <w:rPr>
                <w:rFonts w:hint="eastAsia"/>
                <w:sz w:val="21"/>
                <w:szCs w:val="21"/>
                <w:u w:val="single"/>
              </w:rPr>
              <w:t>7.29</w:t>
            </w:r>
          </w:p>
        </w:tc>
        <w:tc>
          <w:tcPr>
            <w:tcW w:w="741" w:type="dxa"/>
            <w:vMerge w:val="restart"/>
            <w:vAlign w:val="center"/>
          </w:tcPr>
          <w:p w14:paraId="64265294">
            <w:pPr>
              <w:tabs>
                <w:tab w:val="left" w:pos="1021"/>
              </w:tabs>
              <w:spacing w:line="240" w:lineRule="auto"/>
              <w:jc w:val="center"/>
              <w:rPr>
                <w:sz w:val="21"/>
                <w:szCs w:val="21"/>
                <w:u w:val="single"/>
              </w:rPr>
            </w:pPr>
            <w:r>
              <w:rPr>
                <w:rFonts w:hint="eastAsia"/>
                <w:sz w:val="21"/>
                <w:szCs w:val="21"/>
                <w:u w:val="single"/>
              </w:rPr>
              <w:t>8160h</w:t>
            </w:r>
          </w:p>
        </w:tc>
      </w:tr>
      <w:tr w14:paraId="24E03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Align w:val="center"/>
          </w:tcPr>
          <w:p w14:paraId="1333A00E">
            <w:pPr>
              <w:tabs>
                <w:tab w:val="left" w:pos="1021"/>
              </w:tabs>
              <w:spacing w:line="240" w:lineRule="auto"/>
              <w:jc w:val="center"/>
              <w:rPr>
                <w:sz w:val="21"/>
                <w:szCs w:val="21"/>
                <w:u w:val="single"/>
              </w:rPr>
            </w:pPr>
            <w:r>
              <w:rPr>
                <w:rFonts w:hint="eastAsia"/>
                <w:sz w:val="21"/>
                <w:szCs w:val="21"/>
                <w:u w:val="single"/>
              </w:rPr>
              <w:t>危废间</w:t>
            </w:r>
          </w:p>
        </w:tc>
        <w:tc>
          <w:tcPr>
            <w:tcW w:w="640" w:type="dxa"/>
            <w:vMerge w:val="continue"/>
            <w:vAlign w:val="center"/>
          </w:tcPr>
          <w:p w14:paraId="43D23AA6">
            <w:pPr>
              <w:tabs>
                <w:tab w:val="left" w:pos="1021"/>
              </w:tabs>
              <w:spacing w:line="240" w:lineRule="auto"/>
              <w:jc w:val="center"/>
              <w:rPr>
                <w:sz w:val="21"/>
                <w:szCs w:val="21"/>
                <w:u w:val="single"/>
              </w:rPr>
            </w:pPr>
          </w:p>
        </w:tc>
        <w:tc>
          <w:tcPr>
            <w:tcW w:w="528" w:type="dxa"/>
            <w:vMerge w:val="continue"/>
            <w:vAlign w:val="center"/>
          </w:tcPr>
          <w:p w14:paraId="343D0AC9">
            <w:pPr>
              <w:tabs>
                <w:tab w:val="left" w:pos="1021"/>
              </w:tabs>
              <w:spacing w:line="240" w:lineRule="auto"/>
              <w:jc w:val="center"/>
              <w:rPr>
                <w:sz w:val="21"/>
                <w:szCs w:val="21"/>
                <w:u w:val="single"/>
              </w:rPr>
            </w:pPr>
          </w:p>
        </w:tc>
        <w:tc>
          <w:tcPr>
            <w:tcW w:w="990" w:type="dxa"/>
            <w:vMerge w:val="continue"/>
            <w:vAlign w:val="center"/>
          </w:tcPr>
          <w:p w14:paraId="11573A0C">
            <w:pPr>
              <w:tabs>
                <w:tab w:val="left" w:pos="1021"/>
              </w:tabs>
              <w:spacing w:line="240" w:lineRule="auto"/>
              <w:jc w:val="center"/>
              <w:rPr>
                <w:sz w:val="21"/>
                <w:szCs w:val="21"/>
                <w:u w:val="single"/>
              </w:rPr>
            </w:pPr>
          </w:p>
        </w:tc>
        <w:tc>
          <w:tcPr>
            <w:tcW w:w="755" w:type="dxa"/>
            <w:vAlign w:val="center"/>
          </w:tcPr>
          <w:p w14:paraId="58F845EA">
            <w:pPr>
              <w:tabs>
                <w:tab w:val="left" w:pos="1021"/>
              </w:tabs>
              <w:spacing w:line="240" w:lineRule="auto"/>
              <w:jc w:val="center"/>
              <w:rPr>
                <w:sz w:val="21"/>
                <w:szCs w:val="21"/>
                <w:u w:val="single"/>
              </w:rPr>
            </w:pPr>
            <w:r>
              <w:rPr>
                <w:rFonts w:hint="eastAsia"/>
                <w:sz w:val="21"/>
                <w:szCs w:val="21"/>
                <w:u w:val="single"/>
              </w:rPr>
              <w:t>/</w:t>
            </w:r>
          </w:p>
        </w:tc>
        <w:tc>
          <w:tcPr>
            <w:tcW w:w="808" w:type="dxa"/>
            <w:vAlign w:val="center"/>
          </w:tcPr>
          <w:p w14:paraId="6FBCCD63">
            <w:pPr>
              <w:tabs>
                <w:tab w:val="left" w:pos="1021"/>
              </w:tabs>
              <w:spacing w:line="240" w:lineRule="auto"/>
              <w:jc w:val="center"/>
              <w:rPr>
                <w:sz w:val="21"/>
                <w:szCs w:val="21"/>
                <w:u w:val="single"/>
              </w:rPr>
            </w:pPr>
            <w:r>
              <w:rPr>
                <w:rFonts w:hint="eastAsia"/>
                <w:sz w:val="21"/>
                <w:szCs w:val="21"/>
                <w:u w:val="single"/>
              </w:rPr>
              <w:t>1.56</w:t>
            </w:r>
          </w:p>
        </w:tc>
        <w:tc>
          <w:tcPr>
            <w:tcW w:w="681" w:type="dxa"/>
            <w:vMerge w:val="continue"/>
            <w:vAlign w:val="center"/>
          </w:tcPr>
          <w:p w14:paraId="7608E6DE">
            <w:pPr>
              <w:tabs>
                <w:tab w:val="left" w:pos="1021"/>
              </w:tabs>
              <w:spacing w:line="240" w:lineRule="auto"/>
              <w:jc w:val="center"/>
              <w:rPr>
                <w:sz w:val="21"/>
                <w:szCs w:val="21"/>
                <w:u w:val="single"/>
              </w:rPr>
            </w:pPr>
          </w:p>
        </w:tc>
        <w:tc>
          <w:tcPr>
            <w:tcW w:w="750" w:type="dxa"/>
            <w:vMerge w:val="continue"/>
            <w:vAlign w:val="center"/>
          </w:tcPr>
          <w:p w14:paraId="514DF469">
            <w:pPr>
              <w:tabs>
                <w:tab w:val="left" w:pos="1021"/>
              </w:tabs>
              <w:spacing w:line="240" w:lineRule="auto"/>
              <w:jc w:val="center"/>
              <w:rPr>
                <w:sz w:val="21"/>
                <w:szCs w:val="21"/>
                <w:u w:val="single"/>
              </w:rPr>
            </w:pPr>
          </w:p>
        </w:tc>
        <w:tc>
          <w:tcPr>
            <w:tcW w:w="727" w:type="dxa"/>
            <w:vMerge w:val="continue"/>
            <w:vAlign w:val="center"/>
          </w:tcPr>
          <w:p w14:paraId="0606A0E5">
            <w:pPr>
              <w:tabs>
                <w:tab w:val="left" w:pos="1021"/>
              </w:tabs>
              <w:spacing w:line="240" w:lineRule="auto"/>
              <w:jc w:val="center"/>
              <w:rPr>
                <w:sz w:val="21"/>
                <w:szCs w:val="21"/>
                <w:u w:val="single"/>
              </w:rPr>
            </w:pPr>
          </w:p>
        </w:tc>
        <w:tc>
          <w:tcPr>
            <w:tcW w:w="649" w:type="dxa"/>
            <w:vMerge w:val="continue"/>
            <w:vAlign w:val="center"/>
          </w:tcPr>
          <w:p w14:paraId="11C981C6">
            <w:pPr>
              <w:tabs>
                <w:tab w:val="left" w:pos="1021"/>
              </w:tabs>
              <w:spacing w:line="240" w:lineRule="auto"/>
              <w:jc w:val="center"/>
              <w:rPr>
                <w:sz w:val="21"/>
                <w:szCs w:val="21"/>
                <w:u w:val="single"/>
              </w:rPr>
            </w:pPr>
          </w:p>
        </w:tc>
        <w:tc>
          <w:tcPr>
            <w:tcW w:w="426" w:type="dxa"/>
            <w:vMerge w:val="continue"/>
            <w:vAlign w:val="center"/>
          </w:tcPr>
          <w:p w14:paraId="7703898A">
            <w:pPr>
              <w:tabs>
                <w:tab w:val="left" w:pos="1021"/>
              </w:tabs>
              <w:spacing w:line="240" w:lineRule="auto"/>
              <w:jc w:val="center"/>
              <w:rPr>
                <w:sz w:val="21"/>
                <w:szCs w:val="21"/>
                <w:u w:val="single"/>
              </w:rPr>
            </w:pPr>
          </w:p>
        </w:tc>
        <w:tc>
          <w:tcPr>
            <w:tcW w:w="1010" w:type="dxa"/>
            <w:vAlign w:val="center"/>
          </w:tcPr>
          <w:p w14:paraId="169ABCBC">
            <w:pPr>
              <w:tabs>
                <w:tab w:val="left" w:pos="1021"/>
              </w:tabs>
              <w:spacing w:line="240" w:lineRule="auto"/>
              <w:jc w:val="center"/>
              <w:rPr>
                <w:color w:val="FF0000"/>
                <w:sz w:val="21"/>
                <w:szCs w:val="21"/>
                <w:u w:val="single"/>
              </w:rPr>
            </w:pPr>
            <w:r>
              <w:rPr>
                <w:rFonts w:hint="eastAsia"/>
                <w:sz w:val="21"/>
                <w:szCs w:val="21"/>
                <w:u w:val="single"/>
              </w:rPr>
              <w:t>0.02</w:t>
            </w:r>
          </w:p>
        </w:tc>
        <w:tc>
          <w:tcPr>
            <w:tcW w:w="1195" w:type="dxa"/>
            <w:vMerge w:val="continue"/>
            <w:vAlign w:val="center"/>
          </w:tcPr>
          <w:p w14:paraId="769A8A32">
            <w:pPr>
              <w:tabs>
                <w:tab w:val="left" w:pos="1021"/>
              </w:tabs>
              <w:spacing w:line="240" w:lineRule="auto"/>
              <w:jc w:val="center"/>
              <w:rPr>
                <w:sz w:val="21"/>
                <w:szCs w:val="21"/>
                <w:u w:val="single"/>
              </w:rPr>
            </w:pPr>
          </w:p>
        </w:tc>
        <w:tc>
          <w:tcPr>
            <w:tcW w:w="846" w:type="dxa"/>
            <w:vAlign w:val="center"/>
          </w:tcPr>
          <w:p w14:paraId="6014B6AB">
            <w:pPr>
              <w:tabs>
                <w:tab w:val="left" w:pos="1021"/>
              </w:tabs>
              <w:spacing w:line="240" w:lineRule="auto"/>
              <w:jc w:val="center"/>
              <w:rPr>
                <w:sz w:val="21"/>
                <w:szCs w:val="21"/>
                <w:u w:val="single"/>
              </w:rPr>
            </w:pPr>
            <w:r>
              <w:rPr>
                <w:rFonts w:hint="eastAsia"/>
                <w:sz w:val="21"/>
                <w:szCs w:val="21"/>
                <w:u w:val="single"/>
              </w:rPr>
              <w:t>0.16</w:t>
            </w:r>
          </w:p>
        </w:tc>
        <w:tc>
          <w:tcPr>
            <w:tcW w:w="426" w:type="dxa"/>
            <w:vAlign w:val="center"/>
          </w:tcPr>
          <w:p w14:paraId="2101895E">
            <w:pPr>
              <w:tabs>
                <w:tab w:val="left" w:pos="1021"/>
              </w:tabs>
              <w:spacing w:line="240" w:lineRule="auto"/>
              <w:jc w:val="center"/>
              <w:rPr>
                <w:sz w:val="21"/>
                <w:szCs w:val="21"/>
                <w:u w:val="single"/>
              </w:rPr>
            </w:pPr>
            <w:r>
              <w:rPr>
                <w:rFonts w:hint="eastAsia"/>
                <w:sz w:val="21"/>
                <w:szCs w:val="21"/>
                <w:u w:val="single"/>
              </w:rPr>
              <w:t>/</w:t>
            </w:r>
          </w:p>
        </w:tc>
        <w:tc>
          <w:tcPr>
            <w:tcW w:w="1010" w:type="dxa"/>
            <w:vAlign w:val="center"/>
          </w:tcPr>
          <w:p w14:paraId="3A8E2870">
            <w:pPr>
              <w:tabs>
                <w:tab w:val="left" w:pos="1021"/>
              </w:tabs>
              <w:spacing w:line="240" w:lineRule="auto"/>
              <w:jc w:val="center"/>
              <w:rPr>
                <w:sz w:val="21"/>
                <w:szCs w:val="21"/>
                <w:u w:val="single"/>
              </w:rPr>
            </w:pPr>
            <w:r>
              <w:rPr>
                <w:rFonts w:hint="eastAsia"/>
                <w:sz w:val="21"/>
                <w:szCs w:val="21"/>
                <w:u w:val="single"/>
              </w:rPr>
              <w:t>0.03</w:t>
            </w:r>
          </w:p>
        </w:tc>
        <w:tc>
          <w:tcPr>
            <w:tcW w:w="846" w:type="dxa"/>
            <w:vAlign w:val="center"/>
          </w:tcPr>
          <w:p w14:paraId="0FF86790">
            <w:pPr>
              <w:tabs>
                <w:tab w:val="left" w:pos="1021"/>
              </w:tabs>
              <w:spacing w:line="240" w:lineRule="auto"/>
              <w:jc w:val="center"/>
              <w:rPr>
                <w:sz w:val="21"/>
                <w:szCs w:val="21"/>
                <w:u w:val="single"/>
              </w:rPr>
            </w:pPr>
            <w:r>
              <w:rPr>
                <w:rFonts w:hint="eastAsia"/>
                <w:sz w:val="21"/>
                <w:szCs w:val="21"/>
                <w:u w:val="single"/>
              </w:rPr>
              <w:t>0.27</w:t>
            </w:r>
          </w:p>
        </w:tc>
        <w:tc>
          <w:tcPr>
            <w:tcW w:w="741" w:type="dxa"/>
            <w:vMerge w:val="continue"/>
            <w:vAlign w:val="center"/>
          </w:tcPr>
          <w:p w14:paraId="31013FFD">
            <w:pPr>
              <w:tabs>
                <w:tab w:val="left" w:pos="1021"/>
              </w:tabs>
              <w:spacing w:line="240" w:lineRule="auto"/>
              <w:jc w:val="center"/>
              <w:rPr>
                <w:sz w:val="21"/>
                <w:szCs w:val="21"/>
                <w:u w:val="single"/>
              </w:rPr>
            </w:pPr>
          </w:p>
        </w:tc>
      </w:tr>
      <w:tr w14:paraId="1F4D7B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Align w:val="center"/>
          </w:tcPr>
          <w:p w14:paraId="55906905">
            <w:pPr>
              <w:tabs>
                <w:tab w:val="left" w:pos="1021"/>
              </w:tabs>
              <w:spacing w:line="240" w:lineRule="auto"/>
              <w:jc w:val="center"/>
              <w:rPr>
                <w:sz w:val="21"/>
                <w:szCs w:val="21"/>
                <w:u w:val="single"/>
              </w:rPr>
            </w:pPr>
            <w:r>
              <w:rPr>
                <w:rFonts w:hint="eastAsia"/>
                <w:sz w:val="21"/>
                <w:szCs w:val="21"/>
                <w:u w:val="single"/>
              </w:rPr>
              <w:t>印刷复合车间</w:t>
            </w:r>
          </w:p>
        </w:tc>
        <w:tc>
          <w:tcPr>
            <w:tcW w:w="640" w:type="dxa"/>
            <w:vAlign w:val="center"/>
          </w:tcPr>
          <w:p w14:paraId="6697EBCE">
            <w:pPr>
              <w:tabs>
                <w:tab w:val="left" w:pos="1021"/>
              </w:tabs>
              <w:spacing w:line="240" w:lineRule="auto"/>
              <w:jc w:val="center"/>
              <w:rPr>
                <w:sz w:val="21"/>
                <w:szCs w:val="21"/>
                <w:u w:val="single"/>
              </w:rPr>
            </w:pPr>
            <w:r>
              <w:rPr>
                <w:rFonts w:hint="eastAsia"/>
                <w:sz w:val="21"/>
                <w:szCs w:val="21"/>
                <w:u w:val="single"/>
              </w:rPr>
              <w:t>臭气浓度</w:t>
            </w:r>
          </w:p>
        </w:tc>
        <w:tc>
          <w:tcPr>
            <w:tcW w:w="528" w:type="dxa"/>
            <w:vAlign w:val="center"/>
          </w:tcPr>
          <w:p w14:paraId="0CFFA9E1">
            <w:pPr>
              <w:tabs>
                <w:tab w:val="left" w:pos="1021"/>
              </w:tabs>
              <w:spacing w:line="240" w:lineRule="auto"/>
              <w:jc w:val="center"/>
              <w:rPr>
                <w:sz w:val="21"/>
                <w:szCs w:val="21"/>
                <w:u w:val="single"/>
              </w:rPr>
            </w:pPr>
          </w:p>
        </w:tc>
        <w:tc>
          <w:tcPr>
            <w:tcW w:w="990" w:type="dxa"/>
            <w:vMerge w:val="continue"/>
            <w:vAlign w:val="center"/>
          </w:tcPr>
          <w:p w14:paraId="374D1F5A">
            <w:pPr>
              <w:tabs>
                <w:tab w:val="left" w:pos="1021"/>
              </w:tabs>
              <w:spacing w:line="240" w:lineRule="auto"/>
              <w:jc w:val="center"/>
              <w:rPr>
                <w:sz w:val="21"/>
                <w:szCs w:val="21"/>
                <w:u w:val="single"/>
              </w:rPr>
            </w:pPr>
          </w:p>
        </w:tc>
        <w:tc>
          <w:tcPr>
            <w:tcW w:w="755" w:type="dxa"/>
            <w:vAlign w:val="center"/>
          </w:tcPr>
          <w:p w14:paraId="26ECE2E3">
            <w:pPr>
              <w:tabs>
                <w:tab w:val="left" w:pos="1021"/>
              </w:tabs>
              <w:spacing w:line="240" w:lineRule="auto"/>
              <w:jc w:val="center"/>
              <w:rPr>
                <w:sz w:val="21"/>
                <w:szCs w:val="21"/>
                <w:u w:val="single"/>
              </w:rPr>
            </w:pPr>
            <w:r>
              <w:rPr>
                <w:rFonts w:hint="eastAsia"/>
                <w:sz w:val="21"/>
                <w:szCs w:val="21"/>
                <w:u w:val="single"/>
              </w:rPr>
              <w:t>/</w:t>
            </w:r>
          </w:p>
        </w:tc>
        <w:tc>
          <w:tcPr>
            <w:tcW w:w="808" w:type="dxa"/>
            <w:vAlign w:val="center"/>
          </w:tcPr>
          <w:p w14:paraId="5869186C">
            <w:pPr>
              <w:tabs>
                <w:tab w:val="left" w:pos="1021"/>
              </w:tabs>
              <w:spacing w:line="240" w:lineRule="auto"/>
              <w:jc w:val="center"/>
              <w:rPr>
                <w:sz w:val="21"/>
                <w:szCs w:val="21"/>
                <w:u w:val="single"/>
              </w:rPr>
            </w:pPr>
            <w:r>
              <w:rPr>
                <w:rFonts w:hint="eastAsia"/>
                <w:sz w:val="21"/>
                <w:szCs w:val="21"/>
                <w:u w:val="single"/>
              </w:rPr>
              <w:t>/</w:t>
            </w:r>
          </w:p>
        </w:tc>
        <w:tc>
          <w:tcPr>
            <w:tcW w:w="681" w:type="dxa"/>
            <w:vMerge w:val="continue"/>
            <w:vAlign w:val="center"/>
          </w:tcPr>
          <w:p w14:paraId="5EA26740">
            <w:pPr>
              <w:tabs>
                <w:tab w:val="left" w:pos="1021"/>
              </w:tabs>
              <w:spacing w:line="240" w:lineRule="auto"/>
              <w:jc w:val="center"/>
              <w:rPr>
                <w:sz w:val="21"/>
                <w:szCs w:val="21"/>
                <w:u w:val="single"/>
              </w:rPr>
            </w:pPr>
          </w:p>
        </w:tc>
        <w:tc>
          <w:tcPr>
            <w:tcW w:w="750" w:type="dxa"/>
            <w:vMerge w:val="continue"/>
            <w:tcBorders>
              <w:bottom w:val="single" w:color="000000" w:sz="8" w:space="0"/>
            </w:tcBorders>
            <w:vAlign w:val="center"/>
          </w:tcPr>
          <w:p w14:paraId="1D2D8DEE">
            <w:pPr>
              <w:tabs>
                <w:tab w:val="left" w:pos="1021"/>
              </w:tabs>
              <w:spacing w:line="240" w:lineRule="auto"/>
              <w:jc w:val="center"/>
              <w:rPr>
                <w:sz w:val="21"/>
                <w:szCs w:val="21"/>
                <w:u w:val="single"/>
              </w:rPr>
            </w:pPr>
          </w:p>
        </w:tc>
        <w:tc>
          <w:tcPr>
            <w:tcW w:w="727" w:type="dxa"/>
            <w:vMerge w:val="continue"/>
            <w:vAlign w:val="center"/>
          </w:tcPr>
          <w:p w14:paraId="1509A9FD">
            <w:pPr>
              <w:tabs>
                <w:tab w:val="left" w:pos="1021"/>
              </w:tabs>
              <w:spacing w:line="240" w:lineRule="auto"/>
              <w:jc w:val="center"/>
              <w:rPr>
                <w:sz w:val="21"/>
                <w:szCs w:val="21"/>
                <w:u w:val="single"/>
              </w:rPr>
            </w:pPr>
          </w:p>
        </w:tc>
        <w:tc>
          <w:tcPr>
            <w:tcW w:w="649" w:type="dxa"/>
            <w:vMerge w:val="continue"/>
            <w:vAlign w:val="center"/>
          </w:tcPr>
          <w:p w14:paraId="1C383619">
            <w:pPr>
              <w:tabs>
                <w:tab w:val="left" w:pos="1021"/>
              </w:tabs>
              <w:spacing w:line="240" w:lineRule="auto"/>
              <w:jc w:val="center"/>
              <w:rPr>
                <w:sz w:val="21"/>
                <w:szCs w:val="21"/>
                <w:u w:val="single"/>
              </w:rPr>
            </w:pPr>
          </w:p>
        </w:tc>
        <w:tc>
          <w:tcPr>
            <w:tcW w:w="426" w:type="dxa"/>
            <w:vMerge w:val="continue"/>
            <w:vAlign w:val="center"/>
          </w:tcPr>
          <w:p w14:paraId="4800DCF9">
            <w:pPr>
              <w:tabs>
                <w:tab w:val="left" w:pos="1021"/>
              </w:tabs>
              <w:spacing w:line="240" w:lineRule="auto"/>
              <w:jc w:val="center"/>
              <w:rPr>
                <w:sz w:val="21"/>
                <w:szCs w:val="21"/>
                <w:u w:val="single"/>
              </w:rPr>
            </w:pPr>
          </w:p>
        </w:tc>
        <w:tc>
          <w:tcPr>
            <w:tcW w:w="1010" w:type="dxa"/>
            <w:vAlign w:val="center"/>
          </w:tcPr>
          <w:p w14:paraId="5FA137E8">
            <w:pPr>
              <w:tabs>
                <w:tab w:val="left" w:pos="1021"/>
              </w:tabs>
              <w:spacing w:line="240" w:lineRule="auto"/>
              <w:jc w:val="center"/>
              <w:rPr>
                <w:sz w:val="21"/>
                <w:szCs w:val="21"/>
                <w:u w:val="single"/>
              </w:rPr>
            </w:pPr>
            <w:r>
              <w:rPr>
                <w:rFonts w:hint="eastAsia"/>
                <w:sz w:val="21"/>
                <w:szCs w:val="21"/>
                <w:u w:val="single"/>
              </w:rPr>
              <w:t>/</w:t>
            </w:r>
          </w:p>
        </w:tc>
        <w:tc>
          <w:tcPr>
            <w:tcW w:w="1195" w:type="dxa"/>
            <w:vAlign w:val="center"/>
          </w:tcPr>
          <w:p w14:paraId="2588825B">
            <w:pPr>
              <w:tabs>
                <w:tab w:val="left" w:pos="1021"/>
              </w:tabs>
              <w:spacing w:line="240" w:lineRule="auto"/>
              <w:jc w:val="center"/>
              <w:rPr>
                <w:sz w:val="21"/>
                <w:szCs w:val="21"/>
                <w:u w:val="single"/>
              </w:rPr>
            </w:pPr>
            <w:r>
              <w:rPr>
                <w:rFonts w:hint="eastAsia"/>
                <w:sz w:val="21"/>
                <w:szCs w:val="21"/>
                <w:u w:val="single"/>
              </w:rPr>
              <w:t>/</w:t>
            </w:r>
          </w:p>
        </w:tc>
        <w:tc>
          <w:tcPr>
            <w:tcW w:w="846" w:type="dxa"/>
            <w:vAlign w:val="center"/>
          </w:tcPr>
          <w:p w14:paraId="50A08336">
            <w:pPr>
              <w:tabs>
                <w:tab w:val="left" w:pos="1021"/>
              </w:tabs>
              <w:spacing w:line="240" w:lineRule="auto"/>
              <w:jc w:val="center"/>
              <w:rPr>
                <w:sz w:val="21"/>
                <w:szCs w:val="21"/>
                <w:u w:val="single"/>
              </w:rPr>
            </w:pPr>
            <w:r>
              <w:rPr>
                <w:rFonts w:hint="eastAsia"/>
                <w:sz w:val="21"/>
                <w:szCs w:val="21"/>
                <w:u w:val="single"/>
              </w:rPr>
              <w:t>/</w:t>
            </w:r>
          </w:p>
        </w:tc>
        <w:tc>
          <w:tcPr>
            <w:tcW w:w="426" w:type="dxa"/>
            <w:vAlign w:val="center"/>
          </w:tcPr>
          <w:p w14:paraId="27B74FF9">
            <w:pPr>
              <w:tabs>
                <w:tab w:val="left" w:pos="1021"/>
              </w:tabs>
              <w:spacing w:line="240" w:lineRule="auto"/>
              <w:jc w:val="center"/>
              <w:rPr>
                <w:sz w:val="21"/>
                <w:szCs w:val="21"/>
                <w:u w:val="single"/>
              </w:rPr>
            </w:pPr>
            <w:r>
              <w:rPr>
                <w:rFonts w:hint="eastAsia"/>
                <w:sz w:val="21"/>
                <w:szCs w:val="21"/>
                <w:u w:val="single"/>
              </w:rPr>
              <w:t>/</w:t>
            </w:r>
          </w:p>
        </w:tc>
        <w:tc>
          <w:tcPr>
            <w:tcW w:w="1010" w:type="dxa"/>
            <w:vAlign w:val="center"/>
          </w:tcPr>
          <w:p w14:paraId="7E5BB67A">
            <w:pPr>
              <w:tabs>
                <w:tab w:val="left" w:pos="1021"/>
              </w:tabs>
              <w:spacing w:line="240" w:lineRule="auto"/>
              <w:jc w:val="center"/>
              <w:rPr>
                <w:sz w:val="21"/>
                <w:szCs w:val="21"/>
                <w:u w:val="single"/>
              </w:rPr>
            </w:pPr>
            <w:r>
              <w:rPr>
                <w:rFonts w:hint="eastAsia"/>
                <w:sz w:val="21"/>
                <w:szCs w:val="21"/>
                <w:u w:val="single"/>
              </w:rPr>
              <w:t>/</w:t>
            </w:r>
          </w:p>
        </w:tc>
        <w:tc>
          <w:tcPr>
            <w:tcW w:w="846" w:type="dxa"/>
            <w:vAlign w:val="center"/>
          </w:tcPr>
          <w:p w14:paraId="629B238F">
            <w:pPr>
              <w:tabs>
                <w:tab w:val="left" w:pos="1021"/>
              </w:tabs>
              <w:spacing w:line="240" w:lineRule="auto"/>
              <w:jc w:val="center"/>
              <w:rPr>
                <w:sz w:val="21"/>
                <w:szCs w:val="21"/>
                <w:u w:val="single"/>
              </w:rPr>
            </w:pPr>
            <w:r>
              <w:rPr>
                <w:rFonts w:hint="eastAsia"/>
                <w:sz w:val="21"/>
                <w:szCs w:val="21"/>
                <w:u w:val="single"/>
              </w:rPr>
              <w:t>/</w:t>
            </w:r>
          </w:p>
        </w:tc>
        <w:tc>
          <w:tcPr>
            <w:tcW w:w="741" w:type="dxa"/>
            <w:vAlign w:val="center"/>
          </w:tcPr>
          <w:p w14:paraId="4B6FBB3E">
            <w:pPr>
              <w:tabs>
                <w:tab w:val="left" w:pos="1021"/>
              </w:tabs>
              <w:spacing w:line="240" w:lineRule="auto"/>
              <w:jc w:val="center"/>
              <w:rPr>
                <w:sz w:val="21"/>
                <w:szCs w:val="21"/>
                <w:u w:val="single"/>
              </w:rPr>
            </w:pPr>
            <w:r>
              <w:rPr>
                <w:rFonts w:hint="eastAsia"/>
                <w:sz w:val="21"/>
                <w:szCs w:val="21"/>
                <w:u w:val="single"/>
              </w:rPr>
              <w:t>/</w:t>
            </w:r>
          </w:p>
        </w:tc>
      </w:tr>
      <w:tr w14:paraId="6FE0EC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Merge w:val="restart"/>
            <w:vAlign w:val="center"/>
          </w:tcPr>
          <w:p w14:paraId="255ECECE">
            <w:pPr>
              <w:tabs>
                <w:tab w:val="left" w:pos="1021"/>
              </w:tabs>
              <w:spacing w:line="240" w:lineRule="auto"/>
              <w:jc w:val="center"/>
              <w:rPr>
                <w:sz w:val="21"/>
                <w:szCs w:val="21"/>
                <w:u w:val="single"/>
              </w:rPr>
            </w:pPr>
            <w:r>
              <w:rPr>
                <w:rFonts w:hint="eastAsia"/>
                <w:sz w:val="21"/>
                <w:szCs w:val="21"/>
                <w:u w:val="single"/>
              </w:rPr>
              <w:t>印刷复合烘干天然气</w:t>
            </w:r>
          </w:p>
        </w:tc>
        <w:tc>
          <w:tcPr>
            <w:tcW w:w="640" w:type="dxa"/>
            <w:vAlign w:val="center"/>
          </w:tcPr>
          <w:p w14:paraId="54096324">
            <w:pPr>
              <w:tabs>
                <w:tab w:val="left" w:pos="1021"/>
              </w:tabs>
              <w:spacing w:line="240" w:lineRule="auto"/>
              <w:jc w:val="center"/>
              <w:rPr>
                <w:sz w:val="21"/>
                <w:szCs w:val="21"/>
                <w:u w:val="single"/>
              </w:rPr>
            </w:pPr>
            <w:r>
              <w:rPr>
                <w:rFonts w:hint="eastAsia"/>
                <w:sz w:val="21"/>
                <w:szCs w:val="21"/>
                <w:u w:val="single"/>
              </w:rPr>
              <w:t>颗粒物</w:t>
            </w:r>
          </w:p>
        </w:tc>
        <w:tc>
          <w:tcPr>
            <w:tcW w:w="528" w:type="dxa"/>
            <w:vMerge w:val="restart"/>
            <w:vAlign w:val="center"/>
          </w:tcPr>
          <w:p w14:paraId="73CFAFF4">
            <w:pPr>
              <w:tabs>
                <w:tab w:val="left" w:pos="1021"/>
              </w:tabs>
              <w:spacing w:line="240" w:lineRule="auto"/>
              <w:jc w:val="center"/>
              <w:rPr>
                <w:sz w:val="21"/>
                <w:szCs w:val="21"/>
                <w:u w:val="single"/>
              </w:rPr>
            </w:pPr>
            <w:r>
              <w:rPr>
                <w:rFonts w:hint="eastAsia"/>
                <w:sz w:val="21"/>
                <w:szCs w:val="21"/>
                <w:u w:val="single"/>
              </w:rPr>
              <w:t>系数法</w:t>
            </w:r>
          </w:p>
        </w:tc>
        <w:tc>
          <w:tcPr>
            <w:tcW w:w="990" w:type="dxa"/>
            <w:vMerge w:val="continue"/>
            <w:vAlign w:val="center"/>
          </w:tcPr>
          <w:p w14:paraId="14399F04">
            <w:pPr>
              <w:tabs>
                <w:tab w:val="left" w:pos="1021"/>
              </w:tabs>
              <w:spacing w:line="240" w:lineRule="auto"/>
              <w:jc w:val="center"/>
              <w:rPr>
                <w:sz w:val="21"/>
                <w:szCs w:val="21"/>
                <w:u w:val="single"/>
              </w:rPr>
            </w:pPr>
          </w:p>
        </w:tc>
        <w:tc>
          <w:tcPr>
            <w:tcW w:w="755" w:type="dxa"/>
            <w:vAlign w:val="center"/>
          </w:tcPr>
          <w:p w14:paraId="2BD691CC">
            <w:pPr>
              <w:tabs>
                <w:tab w:val="left" w:pos="1021"/>
              </w:tabs>
              <w:spacing w:line="240" w:lineRule="auto"/>
              <w:jc w:val="center"/>
              <w:rPr>
                <w:sz w:val="21"/>
                <w:szCs w:val="21"/>
                <w:u w:val="single"/>
              </w:rPr>
            </w:pPr>
            <w:r>
              <w:rPr>
                <w:rFonts w:hint="eastAsia"/>
                <w:sz w:val="21"/>
                <w:szCs w:val="21"/>
                <w:u w:val="single"/>
              </w:rPr>
              <w:t>0.1</w:t>
            </w:r>
          </w:p>
        </w:tc>
        <w:tc>
          <w:tcPr>
            <w:tcW w:w="808" w:type="dxa"/>
            <w:vAlign w:val="center"/>
          </w:tcPr>
          <w:p w14:paraId="29F2F956">
            <w:pPr>
              <w:tabs>
                <w:tab w:val="left" w:pos="1021"/>
              </w:tabs>
              <w:spacing w:line="240" w:lineRule="auto"/>
              <w:jc w:val="center"/>
              <w:rPr>
                <w:sz w:val="21"/>
                <w:szCs w:val="21"/>
                <w:u w:val="single"/>
              </w:rPr>
            </w:pPr>
            <w:r>
              <w:rPr>
                <w:rFonts w:hint="eastAsia"/>
                <w:sz w:val="21"/>
                <w:szCs w:val="21"/>
                <w:u w:val="single"/>
              </w:rPr>
              <w:t>0.11</w:t>
            </w:r>
          </w:p>
        </w:tc>
        <w:tc>
          <w:tcPr>
            <w:tcW w:w="681" w:type="dxa"/>
            <w:vMerge w:val="restart"/>
            <w:vAlign w:val="center"/>
          </w:tcPr>
          <w:p w14:paraId="633FB014">
            <w:pPr>
              <w:tabs>
                <w:tab w:val="left" w:pos="1021"/>
              </w:tabs>
              <w:spacing w:line="240" w:lineRule="auto"/>
              <w:jc w:val="center"/>
              <w:rPr>
                <w:color w:val="FF0000"/>
                <w:sz w:val="21"/>
                <w:szCs w:val="21"/>
                <w:u w:val="single"/>
              </w:rPr>
            </w:pPr>
            <w:r>
              <w:rPr>
                <w:rFonts w:hint="eastAsia"/>
                <w:sz w:val="21"/>
                <w:szCs w:val="21"/>
                <w:u w:val="single"/>
              </w:rPr>
              <w:t>/</w:t>
            </w:r>
          </w:p>
        </w:tc>
        <w:tc>
          <w:tcPr>
            <w:tcW w:w="750" w:type="dxa"/>
            <w:vMerge w:val="restart"/>
            <w:vAlign w:val="center"/>
          </w:tcPr>
          <w:p w14:paraId="4ACC61E2">
            <w:pPr>
              <w:tabs>
                <w:tab w:val="left" w:pos="1021"/>
              </w:tabs>
              <w:spacing w:line="240" w:lineRule="auto"/>
              <w:jc w:val="center"/>
              <w:rPr>
                <w:color w:val="FF0000"/>
                <w:sz w:val="21"/>
                <w:szCs w:val="21"/>
                <w:u w:val="single"/>
              </w:rPr>
            </w:pPr>
            <w:r>
              <w:rPr>
                <w:rFonts w:hint="eastAsia"/>
                <w:sz w:val="21"/>
                <w:szCs w:val="21"/>
                <w:u w:val="single"/>
              </w:rPr>
              <w:t>/</w:t>
            </w:r>
          </w:p>
        </w:tc>
        <w:tc>
          <w:tcPr>
            <w:tcW w:w="727" w:type="dxa"/>
            <w:vMerge w:val="continue"/>
            <w:vAlign w:val="center"/>
          </w:tcPr>
          <w:p w14:paraId="08020940">
            <w:pPr>
              <w:tabs>
                <w:tab w:val="left" w:pos="1021"/>
              </w:tabs>
              <w:spacing w:line="240" w:lineRule="auto"/>
              <w:jc w:val="center"/>
              <w:rPr>
                <w:color w:val="FF0000"/>
                <w:sz w:val="21"/>
                <w:szCs w:val="21"/>
                <w:u w:val="single"/>
              </w:rPr>
            </w:pPr>
          </w:p>
        </w:tc>
        <w:tc>
          <w:tcPr>
            <w:tcW w:w="649" w:type="dxa"/>
            <w:vMerge w:val="continue"/>
            <w:vAlign w:val="center"/>
          </w:tcPr>
          <w:p w14:paraId="7BFD2553">
            <w:pPr>
              <w:tabs>
                <w:tab w:val="left" w:pos="1021"/>
              </w:tabs>
              <w:spacing w:line="240" w:lineRule="auto"/>
              <w:jc w:val="center"/>
              <w:rPr>
                <w:color w:val="FF0000"/>
                <w:sz w:val="21"/>
                <w:szCs w:val="21"/>
                <w:u w:val="single"/>
              </w:rPr>
            </w:pPr>
          </w:p>
        </w:tc>
        <w:tc>
          <w:tcPr>
            <w:tcW w:w="426" w:type="dxa"/>
            <w:vMerge w:val="continue"/>
            <w:vAlign w:val="center"/>
          </w:tcPr>
          <w:p w14:paraId="33C89492">
            <w:pPr>
              <w:tabs>
                <w:tab w:val="left" w:pos="1021"/>
              </w:tabs>
              <w:spacing w:line="240" w:lineRule="auto"/>
              <w:jc w:val="center"/>
              <w:rPr>
                <w:color w:val="FF0000"/>
                <w:sz w:val="21"/>
                <w:szCs w:val="21"/>
                <w:u w:val="single"/>
              </w:rPr>
            </w:pPr>
          </w:p>
        </w:tc>
        <w:tc>
          <w:tcPr>
            <w:tcW w:w="1010" w:type="dxa"/>
            <w:vAlign w:val="center"/>
          </w:tcPr>
          <w:p w14:paraId="523E233C">
            <w:pPr>
              <w:tabs>
                <w:tab w:val="left" w:pos="1021"/>
              </w:tabs>
              <w:spacing w:line="240" w:lineRule="auto"/>
              <w:jc w:val="center"/>
              <w:rPr>
                <w:sz w:val="21"/>
                <w:szCs w:val="21"/>
                <w:u w:val="single"/>
              </w:rPr>
            </w:pPr>
            <w:r>
              <w:rPr>
                <w:rFonts w:hint="eastAsia"/>
                <w:sz w:val="21"/>
                <w:szCs w:val="21"/>
                <w:u w:val="single"/>
              </w:rPr>
              <w:t>0.014</w:t>
            </w:r>
          </w:p>
        </w:tc>
        <w:tc>
          <w:tcPr>
            <w:tcW w:w="1195" w:type="dxa"/>
            <w:vAlign w:val="center"/>
          </w:tcPr>
          <w:p w14:paraId="2D501CC8">
            <w:pPr>
              <w:tabs>
                <w:tab w:val="left" w:pos="1021"/>
              </w:tabs>
              <w:spacing w:line="240" w:lineRule="auto"/>
              <w:jc w:val="center"/>
              <w:rPr>
                <w:sz w:val="21"/>
                <w:szCs w:val="21"/>
                <w:u w:val="single"/>
              </w:rPr>
            </w:pPr>
            <w:r>
              <w:rPr>
                <w:rFonts w:hint="eastAsia"/>
                <w:sz w:val="21"/>
                <w:szCs w:val="21"/>
                <w:u w:val="single"/>
              </w:rPr>
              <w:t>0.1</w:t>
            </w:r>
          </w:p>
        </w:tc>
        <w:tc>
          <w:tcPr>
            <w:tcW w:w="846" w:type="dxa"/>
            <w:vAlign w:val="center"/>
          </w:tcPr>
          <w:p w14:paraId="162672B3">
            <w:pPr>
              <w:tabs>
                <w:tab w:val="left" w:pos="1021"/>
              </w:tabs>
              <w:spacing w:line="240" w:lineRule="auto"/>
              <w:jc w:val="center"/>
              <w:rPr>
                <w:sz w:val="21"/>
                <w:szCs w:val="21"/>
                <w:u w:val="single"/>
              </w:rPr>
            </w:pPr>
            <w:r>
              <w:rPr>
                <w:rFonts w:hint="eastAsia"/>
                <w:sz w:val="21"/>
                <w:szCs w:val="21"/>
                <w:u w:val="single"/>
              </w:rPr>
              <w:t>0.11</w:t>
            </w:r>
          </w:p>
        </w:tc>
        <w:tc>
          <w:tcPr>
            <w:tcW w:w="426" w:type="dxa"/>
            <w:vMerge w:val="restart"/>
            <w:vAlign w:val="center"/>
          </w:tcPr>
          <w:p w14:paraId="074B8098">
            <w:pPr>
              <w:tabs>
                <w:tab w:val="left" w:pos="1021"/>
              </w:tabs>
              <w:spacing w:line="240" w:lineRule="auto"/>
              <w:jc w:val="center"/>
              <w:rPr>
                <w:sz w:val="21"/>
                <w:szCs w:val="21"/>
                <w:u w:val="single"/>
              </w:rPr>
            </w:pPr>
            <w:r>
              <w:rPr>
                <w:rFonts w:hint="eastAsia"/>
                <w:sz w:val="21"/>
                <w:szCs w:val="21"/>
                <w:u w:val="single"/>
              </w:rPr>
              <w:t>/</w:t>
            </w:r>
          </w:p>
        </w:tc>
        <w:tc>
          <w:tcPr>
            <w:tcW w:w="1010" w:type="dxa"/>
            <w:vAlign w:val="center"/>
          </w:tcPr>
          <w:p w14:paraId="5DC8FEFD">
            <w:pPr>
              <w:tabs>
                <w:tab w:val="left" w:pos="1021"/>
              </w:tabs>
              <w:spacing w:line="240" w:lineRule="auto"/>
              <w:jc w:val="center"/>
              <w:rPr>
                <w:sz w:val="21"/>
                <w:szCs w:val="21"/>
                <w:u w:val="single"/>
              </w:rPr>
            </w:pPr>
            <w:r>
              <w:rPr>
                <w:rFonts w:hint="eastAsia"/>
                <w:sz w:val="21"/>
                <w:szCs w:val="21"/>
                <w:u w:val="single"/>
              </w:rPr>
              <w:t>/</w:t>
            </w:r>
          </w:p>
        </w:tc>
        <w:tc>
          <w:tcPr>
            <w:tcW w:w="846" w:type="dxa"/>
            <w:vAlign w:val="center"/>
          </w:tcPr>
          <w:p w14:paraId="538A7606">
            <w:pPr>
              <w:tabs>
                <w:tab w:val="left" w:pos="1021"/>
              </w:tabs>
              <w:spacing w:line="240" w:lineRule="auto"/>
              <w:jc w:val="center"/>
              <w:rPr>
                <w:sz w:val="21"/>
                <w:szCs w:val="21"/>
                <w:u w:val="single"/>
              </w:rPr>
            </w:pPr>
            <w:r>
              <w:rPr>
                <w:rFonts w:hint="eastAsia"/>
                <w:sz w:val="21"/>
                <w:szCs w:val="21"/>
                <w:u w:val="single"/>
              </w:rPr>
              <w:t>/</w:t>
            </w:r>
          </w:p>
        </w:tc>
        <w:tc>
          <w:tcPr>
            <w:tcW w:w="741" w:type="dxa"/>
            <w:vAlign w:val="center"/>
          </w:tcPr>
          <w:p w14:paraId="7643BD3A">
            <w:pPr>
              <w:tabs>
                <w:tab w:val="left" w:pos="1021"/>
              </w:tabs>
              <w:spacing w:line="240" w:lineRule="auto"/>
              <w:jc w:val="center"/>
              <w:rPr>
                <w:sz w:val="21"/>
                <w:szCs w:val="21"/>
                <w:u w:val="single"/>
              </w:rPr>
            </w:pPr>
            <w:r>
              <w:rPr>
                <w:rFonts w:hint="eastAsia"/>
                <w:sz w:val="21"/>
                <w:szCs w:val="21"/>
                <w:u w:val="single"/>
              </w:rPr>
              <w:t>8160h</w:t>
            </w:r>
          </w:p>
        </w:tc>
      </w:tr>
      <w:tr w14:paraId="6B769B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Merge w:val="continue"/>
            <w:vAlign w:val="center"/>
          </w:tcPr>
          <w:p w14:paraId="4A7255CE">
            <w:pPr>
              <w:tabs>
                <w:tab w:val="left" w:pos="1021"/>
              </w:tabs>
              <w:spacing w:line="240" w:lineRule="auto"/>
              <w:jc w:val="center"/>
              <w:rPr>
                <w:sz w:val="21"/>
                <w:szCs w:val="21"/>
                <w:u w:val="single"/>
              </w:rPr>
            </w:pPr>
          </w:p>
        </w:tc>
        <w:tc>
          <w:tcPr>
            <w:tcW w:w="640" w:type="dxa"/>
            <w:vAlign w:val="center"/>
          </w:tcPr>
          <w:p w14:paraId="612F6468">
            <w:pPr>
              <w:tabs>
                <w:tab w:val="left" w:pos="1021"/>
              </w:tabs>
              <w:spacing w:line="240" w:lineRule="auto"/>
              <w:jc w:val="center"/>
              <w:rPr>
                <w:sz w:val="21"/>
                <w:szCs w:val="21"/>
                <w:u w:val="single"/>
              </w:rPr>
            </w:pPr>
            <w:r>
              <w:rPr>
                <w:sz w:val="21"/>
                <w:szCs w:val="21"/>
                <w:u w:val="single"/>
              </w:rPr>
              <w:t>SO</w:t>
            </w:r>
            <w:r>
              <w:rPr>
                <w:sz w:val="21"/>
                <w:szCs w:val="21"/>
                <w:u w:val="single"/>
                <w:vertAlign w:val="subscript"/>
              </w:rPr>
              <w:t>2</w:t>
            </w:r>
          </w:p>
        </w:tc>
        <w:tc>
          <w:tcPr>
            <w:tcW w:w="528" w:type="dxa"/>
            <w:vMerge w:val="continue"/>
            <w:vAlign w:val="center"/>
          </w:tcPr>
          <w:p w14:paraId="542376C7">
            <w:pPr>
              <w:tabs>
                <w:tab w:val="left" w:pos="1021"/>
              </w:tabs>
              <w:spacing w:line="240" w:lineRule="auto"/>
              <w:jc w:val="center"/>
              <w:rPr>
                <w:sz w:val="21"/>
                <w:szCs w:val="21"/>
                <w:u w:val="single"/>
              </w:rPr>
            </w:pPr>
          </w:p>
        </w:tc>
        <w:tc>
          <w:tcPr>
            <w:tcW w:w="990" w:type="dxa"/>
            <w:vMerge w:val="continue"/>
            <w:vAlign w:val="center"/>
          </w:tcPr>
          <w:p w14:paraId="44DF611C">
            <w:pPr>
              <w:tabs>
                <w:tab w:val="left" w:pos="1021"/>
              </w:tabs>
              <w:spacing w:line="240" w:lineRule="auto"/>
              <w:jc w:val="center"/>
              <w:rPr>
                <w:sz w:val="21"/>
                <w:szCs w:val="21"/>
                <w:u w:val="single"/>
              </w:rPr>
            </w:pPr>
          </w:p>
        </w:tc>
        <w:tc>
          <w:tcPr>
            <w:tcW w:w="755" w:type="dxa"/>
            <w:vAlign w:val="center"/>
          </w:tcPr>
          <w:p w14:paraId="2271004C">
            <w:pPr>
              <w:tabs>
                <w:tab w:val="left" w:pos="1021"/>
              </w:tabs>
              <w:spacing w:line="240" w:lineRule="auto"/>
              <w:jc w:val="center"/>
              <w:rPr>
                <w:sz w:val="21"/>
                <w:szCs w:val="21"/>
                <w:u w:val="single"/>
              </w:rPr>
            </w:pPr>
            <w:r>
              <w:rPr>
                <w:rFonts w:hint="eastAsia"/>
                <w:sz w:val="21"/>
                <w:szCs w:val="21"/>
                <w:u w:val="single"/>
              </w:rPr>
              <w:t>0.07</w:t>
            </w:r>
          </w:p>
        </w:tc>
        <w:tc>
          <w:tcPr>
            <w:tcW w:w="808" w:type="dxa"/>
            <w:vAlign w:val="center"/>
          </w:tcPr>
          <w:p w14:paraId="205A3610">
            <w:pPr>
              <w:tabs>
                <w:tab w:val="left" w:pos="1021"/>
              </w:tabs>
              <w:spacing w:line="240" w:lineRule="auto"/>
              <w:jc w:val="center"/>
              <w:rPr>
                <w:sz w:val="21"/>
                <w:szCs w:val="21"/>
                <w:u w:val="single"/>
              </w:rPr>
            </w:pPr>
            <w:r>
              <w:rPr>
                <w:rFonts w:hint="eastAsia"/>
                <w:sz w:val="21"/>
                <w:szCs w:val="21"/>
                <w:u w:val="single"/>
              </w:rPr>
              <w:t>0.08</w:t>
            </w:r>
          </w:p>
        </w:tc>
        <w:tc>
          <w:tcPr>
            <w:tcW w:w="681" w:type="dxa"/>
            <w:vMerge w:val="continue"/>
            <w:vAlign w:val="center"/>
          </w:tcPr>
          <w:p w14:paraId="310A3EEE">
            <w:pPr>
              <w:tabs>
                <w:tab w:val="left" w:pos="1021"/>
              </w:tabs>
              <w:spacing w:line="240" w:lineRule="auto"/>
              <w:jc w:val="center"/>
              <w:rPr>
                <w:color w:val="FF0000"/>
                <w:sz w:val="21"/>
                <w:szCs w:val="21"/>
                <w:u w:val="single"/>
              </w:rPr>
            </w:pPr>
          </w:p>
        </w:tc>
        <w:tc>
          <w:tcPr>
            <w:tcW w:w="750" w:type="dxa"/>
            <w:vMerge w:val="continue"/>
            <w:vAlign w:val="center"/>
          </w:tcPr>
          <w:p w14:paraId="7B277204">
            <w:pPr>
              <w:tabs>
                <w:tab w:val="left" w:pos="1021"/>
              </w:tabs>
              <w:spacing w:line="240" w:lineRule="auto"/>
              <w:jc w:val="center"/>
              <w:rPr>
                <w:color w:val="FF0000"/>
                <w:sz w:val="21"/>
                <w:szCs w:val="21"/>
                <w:u w:val="single"/>
              </w:rPr>
            </w:pPr>
          </w:p>
        </w:tc>
        <w:tc>
          <w:tcPr>
            <w:tcW w:w="727" w:type="dxa"/>
            <w:vMerge w:val="continue"/>
            <w:vAlign w:val="center"/>
          </w:tcPr>
          <w:p w14:paraId="096C64F2">
            <w:pPr>
              <w:tabs>
                <w:tab w:val="left" w:pos="1021"/>
              </w:tabs>
              <w:spacing w:line="240" w:lineRule="auto"/>
              <w:jc w:val="center"/>
              <w:rPr>
                <w:color w:val="FF0000"/>
                <w:sz w:val="21"/>
                <w:szCs w:val="21"/>
                <w:u w:val="single"/>
              </w:rPr>
            </w:pPr>
          </w:p>
        </w:tc>
        <w:tc>
          <w:tcPr>
            <w:tcW w:w="649" w:type="dxa"/>
            <w:vMerge w:val="continue"/>
            <w:vAlign w:val="center"/>
          </w:tcPr>
          <w:p w14:paraId="52727013">
            <w:pPr>
              <w:tabs>
                <w:tab w:val="left" w:pos="1021"/>
              </w:tabs>
              <w:spacing w:line="240" w:lineRule="auto"/>
              <w:jc w:val="center"/>
              <w:rPr>
                <w:color w:val="FF0000"/>
                <w:sz w:val="21"/>
                <w:szCs w:val="21"/>
                <w:u w:val="single"/>
              </w:rPr>
            </w:pPr>
          </w:p>
        </w:tc>
        <w:tc>
          <w:tcPr>
            <w:tcW w:w="426" w:type="dxa"/>
            <w:vMerge w:val="continue"/>
            <w:vAlign w:val="center"/>
          </w:tcPr>
          <w:p w14:paraId="7F236823">
            <w:pPr>
              <w:tabs>
                <w:tab w:val="left" w:pos="1021"/>
              </w:tabs>
              <w:spacing w:line="240" w:lineRule="auto"/>
              <w:jc w:val="center"/>
              <w:rPr>
                <w:color w:val="FF0000"/>
                <w:sz w:val="21"/>
                <w:szCs w:val="21"/>
                <w:u w:val="single"/>
              </w:rPr>
            </w:pPr>
          </w:p>
        </w:tc>
        <w:tc>
          <w:tcPr>
            <w:tcW w:w="1010" w:type="dxa"/>
            <w:vAlign w:val="center"/>
          </w:tcPr>
          <w:p w14:paraId="2581D914">
            <w:pPr>
              <w:tabs>
                <w:tab w:val="left" w:pos="1021"/>
              </w:tabs>
              <w:spacing w:line="240" w:lineRule="auto"/>
              <w:jc w:val="center"/>
              <w:rPr>
                <w:sz w:val="21"/>
                <w:szCs w:val="21"/>
                <w:u w:val="single"/>
              </w:rPr>
            </w:pPr>
            <w:r>
              <w:rPr>
                <w:rFonts w:hint="eastAsia"/>
                <w:sz w:val="21"/>
                <w:szCs w:val="21"/>
                <w:u w:val="single"/>
              </w:rPr>
              <w:t>0.01</w:t>
            </w:r>
          </w:p>
        </w:tc>
        <w:tc>
          <w:tcPr>
            <w:tcW w:w="1195" w:type="dxa"/>
            <w:vAlign w:val="center"/>
          </w:tcPr>
          <w:p w14:paraId="08BAE5AE">
            <w:pPr>
              <w:tabs>
                <w:tab w:val="left" w:pos="1021"/>
              </w:tabs>
              <w:spacing w:line="240" w:lineRule="auto"/>
              <w:jc w:val="center"/>
              <w:rPr>
                <w:sz w:val="21"/>
                <w:szCs w:val="21"/>
                <w:u w:val="single"/>
              </w:rPr>
            </w:pPr>
            <w:r>
              <w:rPr>
                <w:rFonts w:hint="eastAsia"/>
                <w:sz w:val="21"/>
                <w:szCs w:val="21"/>
                <w:u w:val="single"/>
              </w:rPr>
              <w:t>0.07</w:t>
            </w:r>
          </w:p>
        </w:tc>
        <w:tc>
          <w:tcPr>
            <w:tcW w:w="846" w:type="dxa"/>
            <w:vAlign w:val="center"/>
          </w:tcPr>
          <w:p w14:paraId="1D9F84B2">
            <w:pPr>
              <w:tabs>
                <w:tab w:val="left" w:pos="1021"/>
              </w:tabs>
              <w:spacing w:line="240" w:lineRule="auto"/>
              <w:jc w:val="center"/>
              <w:rPr>
                <w:sz w:val="21"/>
                <w:szCs w:val="21"/>
                <w:u w:val="single"/>
              </w:rPr>
            </w:pPr>
            <w:r>
              <w:rPr>
                <w:rFonts w:hint="eastAsia"/>
                <w:sz w:val="21"/>
                <w:szCs w:val="21"/>
                <w:u w:val="single"/>
              </w:rPr>
              <w:t>0.08</w:t>
            </w:r>
          </w:p>
        </w:tc>
        <w:tc>
          <w:tcPr>
            <w:tcW w:w="426" w:type="dxa"/>
            <w:vMerge w:val="continue"/>
            <w:vAlign w:val="center"/>
          </w:tcPr>
          <w:p w14:paraId="6D00F906">
            <w:pPr>
              <w:tabs>
                <w:tab w:val="left" w:pos="1021"/>
              </w:tabs>
              <w:spacing w:line="240" w:lineRule="auto"/>
              <w:jc w:val="center"/>
              <w:rPr>
                <w:sz w:val="21"/>
                <w:szCs w:val="21"/>
                <w:u w:val="single"/>
              </w:rPr>
            </w:pPr>
          </w:p>
        </w:tc>
        <w:tc>
          <w:tcPr>
            <w:tcW w:w="1010" w:type="dxa"/>
            <w:vAlign w:val="center"/>
          </w:tcPr>
          <w:p w14:paraId="5F160937">
            <w:pPr>
              <w:tabs>
                <w:tab w:val="left" w:pos="1021"/>
              </w:tabs>
              <w:spacing w:line="240" w:lineRule="auto"/>
              <w:jc w:val="center"/>
              <w:rPr>
                <w:sz w:val="21"/>
                <w:szCs w:val="21"/>
                <w:u w:val="single"/>
              </w:rPr>
            </w:pPr>
            <w:r>
              <w:rPr>
                <w:rFonts w:hint="eastAsia"/>
                <w:sz w:val="21"/>
                <w:szCs w:val="21"/>
                <w:u w:val="single"/>
              </w:rPr>
              <w:t>/</w:t>
            </w:r>
          </w:p>
        </w:tc>
        <w:tc>
          <w:tcPr>
            <w:tcW w:w="846" w:type="dxa"/>
            <w:vAlign w:val="center"/>
          </w:tcPr>
          <w:p w14:paraId="40D4873D">
            <w:pPr>
              <w:tabs>
                <w:tab w:val="left" w:pos="1021"/>
              </w:tabs>
              <w:spacing w:line="240" w:lineRule="auto"/>
              <w:jc w:val="center"/>
              <w:rPr>
                <w:sz w:val="21"/>
                <w:szCs w:val="21"/>
                <w:u w:val="single"/>
              </w:rPr>
            </w:pPr>
            <w:r>
              <w:rPr>
                <w:rFonts w:hint="eastAsia"/>
                <w:sz w:val="21"/>
                <w:szCs w:val="21"/>
                <w:u w:val="single"/>
              </w:rPr>
              <w:t>/</w:t>
            </w:r>
          </w:p>
        </w:tc>
        <w:tc>
          <w:tcPr>
            <w:tcW w:w="741" w:type="dxa"/>
            <w:vAlign w:val="center"/>
          </w:tcPr>
          <w:p w14:paraId="38EDD3E4">
            <w:pPr>
              <w:tabs>
                <w:tab w:val="left" w:pos="1021"/>
              </w:tabs>
              <w:spacing w:line="240" w:lineRule="auto"/>
              <w:jc w:val="center"/>
              <w:rPr>
                <w:sz w:val="21"/>
                <w:szCs w:val="21"/>
                <w:u w:val="single"/>
              </w:rPr>
            </w:pPr>
            <w:r>
              <w:rPr>
                <w:rFonts w:hint="eastAsia"/>
                <w:sz w:val="21"/>
                <w:szCs w:val="21"/>
                <w:u w:val="single"/>
              </w:rPr>
              <w:t>8160h</w:t>
            </w:r>
          </w:p>
        </w:tc>
      </w:tr>
      <w:tr w14:paraId="30C70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Merge w:val="continue"/>
            <w:vAlign w:val="center"/>
          </w:tcPr>
          <w:p w14:paraId="74CB2E60">
            <w:pPr>
              <w:tabs>
                <w:tab w:val="left" w:pos="1021"/>
              </w:tabs>
              <w:spacing w:line="240" w:lineRule="auto"/>
              <w:jc w:val="center"/>
              <w:rPr>
                <w:sz w:val="21"/>
                <w:szCs w:val="21"/>
                <w:u w:val="single"/>
              </w:rPr>
            </w:pPr>
          </w:p>
        </w:tc>
        <w:tc>
          <w:tcPr>
            <w:tcW w:w="640" w:type="dxa"/>
            <w:vAlign w:val="center"/>
          </w:tcPr>
          <w:p w14:paraId="4D3CC382">
            <w:pPr>
              <w:tabs>
                <w:tab w:val="left" w:pos="1021"/>
              </w:tabs>
              <w:spacing w:line="240" w:lineRule="auto"/>
              <w:jc w:val="center"/>
              <w:rPr>
                <w:sz w:val="21"/>
                <w:szCs w:val="21"/>
                <w:u w:val="single"/>
              </w:rPr>
            </w:pPr>
            <w:r>
              <w:rPr>
                <w:sz w:val="21"/>
                <w:szCs w:val="21"/>
                <w:u w:val="single"/>
              </w:rPr>
              <w:t>NOx</w:t>
            </w:r>
          </w:p>
        </w:tc>
        <w:tc>
          <w:tcPr>
            <w:tcW w:w="528" w:type="dxa"/>
            <w:vMerge w:val="continue"/>
            <w:vAlign w:val="center"/>
          </w:tcPr>
          <w:p w14:paraId="79B429B6">
            <w:pPr>
              <w:tabs>
                <w:tab w:val="left" w:pos="1021"/>
              </w:tabs>
              <w:spacing w:line="240" w:lineRule="auto"/>
              <w:jc w:val="center"/>
              <w:rPr>
                <w:sz w:val="21"/>
                <w:szCs w:val="21"/>
                <w:u w:val="single"/>
              </w:rPr>
            </w:pPr>
          </w:p>
        </w:tc>
        <w:tc>
          <w:tcPr>
            <w:tcW w:w="990" w:type="dxa"/>
            <w:vMerge w:val="continue"/>
            <w:vAlign w:val="center"/>
          </w:tcPr>
          <w:p w14:paraId="723DA94E">
            <w:pPr>
              <w:tabs>
                <w:tab w:val="left" w:pos="1021"/>
              </w:tabs>
              <w:spacing w:line="240" w:lineRule="auto"/>
              <w:jc w:val="center"/>
              <w:rPr>
                <w:sz w:val="21"/>
                <w:szCs w:val="21"/>
                <w:u w:val="single"/>
              </w:rPr>
            </w:pPr>
          </w:p>
        </w:tc>
        <w:tc>
          <w:tcPr>
            <w:tcW w:w="755" w:type="dxa"/>
            <w:vAlign w:val="center"/>
          </w:tcPr>
          <w:p w14:paraId="59C5F532">
            <w:pPr>
              <w:tabs>
                <w:tab w:val="left" w:pos="1021"/>
              </w:tabs>
              <w:spacing w:line="240" w:lineRule="auto"/>
              <w:jc w:val="center"/>
              <w:rPr>
                <w:sz w:val="21"/>
                <w:szCs w:val="21"/>
                <w:u w:val="single"/>
              </w:rPr>
            </w:pPr>
            <w:r>
              <w:rPr>
                <w:rFonts w:hint="eastAsia"/>
                <w:sz w:val="21"/>
                <w:szCs w:val="21"/>
                <w:u w:val="single"/>
              </w:rPr>
              <w:t>0.67</w:t>
            </w:r>
          </w:p>
        </w:tc>
        <w:tc>
          <w:tcPr>
            <w:tcW w:w="808" w:type="dxa"/>
            <w:vAlign w:val="center"/>
          </w:tcPr>
          <w:p w14:paraId="721F973C">
            <w:pPr>
              <w:tabs>
                <w:tab w:val="left" w:pos="1021"/>
              </w:tabs>
              <w:spacing w:line="240" w:lineRule="auto"/>
              <w:jc w:val="center"/>
              <w:rPr>
                <w:sz w:val="21"/>
                <w:szCs w:val="21"/>
                <w:u w:val="single"/>
              </w:rPr>
            </w:pPr>
            <w:r>
              <w:rPr>
                <w:rFonts w:hint="eastAsia"/>
                <w:sz w:val="21"/>
                <w:szCs w:val="21"/>
                <w:u w:val="single"/>
              </w:rPr>
              <w:t>0.75</w:t>
            </w:r>
          </w:p>
        </w:tc>
        <w:tc>
          <w:tcPr>
            <w:tcW w:w="681" w:type="dxa"/>
            <w:vMerge w:val="continue"/>
            <w:vAlign w:val="center"/>
          </w:tcPr>
          <w:p w14:paraId="209DAD2E">
            <w:pPr>
              <w:tabs>
                <w:tab w:val="left" w:pos="1021"/>
              </w:tabs>
              <w:spacing w:line="240" w:lineRule="auto"/>
              <w:jc w:val="center"/>
              <w:rPr>
                <w:color w:val="FF0000"/>
                <w:sz w:val="21"/>
                <w:szCs w:val="21"/>
                <w:u w:val="single"/>
              </w:rPr>
            </w:pPr>
          </w:p>
        </w:tc>
        <w:tc>
          <w:tcPr>
            <w:tcW w:w="750" w:type="dxa"/>
            <w:vMerge w:val="continue"/>
            <w:tcBorders>
              <w:bottom w:val="single" w:color="auto" w:sz="4" w:space="0"/>
            </w:tcBorders>
            <w:vAlign w:val="center"/>
          </w:tcPr>
          <w:p w14:paraId="5C06BD4E">
            <w:pPr>
              <w:tabs>
                <w:tab w:val="left" w:pos="1021"/>
              </w:tabs>
              <w:spacing w:line="240" w:lineRule="auto"/>
              <w:jc w:val="center"/>
              <w:rPr>
                <w:color w:val="FF0000"/>
                <w:sz w:val="21"/>
                <w:szCs w:val="21"/>
                <w:u w:val="single"/>
              </w:rPr>
            </w:pPr>
          </w:p>
        </w:tc>
        <w:tc>
          <w:tcPr>
            <w:tcW w:w="727" w:type="dxa"/>
            <w:vMerge w:val="continue"/>
            <w:tcBorders>
              <w:bottom w:val="single" w:color="auto" w:sz="4" w:space="0"/>
            </w:tcBorders>
            <w:vAlign w:val="center"/>
          </w:tcPr>
          <w:p w14:paraId="274EE80C">
            <w:pPr>
              <w:tabs>
                <w:tab w:val="left" w:pos="1021"/>
              </w:tabs>
              <w:spacing w:line="240" w:lineRule="auto"/>
              <w:jc w:val="center"/>
              <w:rPr>
                <w:color w:val="FF0000"/>
                <w:sz w:val="21"/>
                <w:szCs w:val="21"/>
                <w:u w:val="single"/>
              </w:rPr>
            </w:pPr>
          </w:p>
        </w:tc>
        <w:tc>
          <w:tcPr>
            <w:tcW w:w="649" w:type="dxa"/>
            <w:vMerge w:val="continue"/>
            <w:tcBorders>
              <w:bottom w:val="single" w:color="auto" w:sz="4" w:space="0"/>
            </w:tcBorders>
            <w:vAlign w:val="center"/>
          </w:tcPr>
          <w:p w14:paraId="3777FB64">
            <w:pPr>
              <w:tabs>
                <w:tab w:val="left" w:pos="1021"/>
              </w:tabs>
              <w:spacing w:line="240" w:lineRule="auto"/>
              <w:jc w:val="center"/>
              <w:rPr>
                <w:color w:val="FF0000"/>
                <w:sz w:val="21"/>
                <w:szCs w:val="21"/>
                <w:u w:val="single"/>
              </w:rPr>
            </w:pPr>
          </w:p>
        </w:tc>
        <w:tc>
          <w:tcPr>
            <w:tcW w:w="426" w:type="dxa"/>
            <w:vMerge w:val="continue"/>
            <w:tcBorders>
              <w:bottom w:val="single" w:color="auto" w:sz="4" w:space="0"/>
            </w:tcBorders>
            <w:vAlign w:val="center"/>
          </w:tcPr>
          <w:p w14:paraId="3FF4EF8A">
            <w:pPr>
              <w:tabs>
                <w:tab w:val="left" w:pos="1021"/>
              </w:tabs>
              <w:spacing w:line="240" w:lineRule="auto"/>
              <w:jc w:val="center"/>
              <w:rPr>
                <w:color w:val="FF0000"/>
                <w:sz w:val="21"/>
                <w:szCs w:val="21"/>
                <w:u w:val="single"/>
              </w:rPr>
            </w:pPr>
          </w:p>
        </w:tc>
        <w:tc>
          <w:tcPr>
            <w:tcW w:w="1010" w:type="dxa"/>
            <w:tcBorders>
              <w:bottom w:val="single" w:color="auto" w:sz="4" w:space="0"/>
            </w:tcBorders>
            <w:vAlign w:val="center"/>
          </w:tcPr>
          <w:p w14:paraId="1BD9D05F">
            <w:pPr>
              <w:tabs>
                <w:tab w:val="left" w:pos="1021"/>
              </w:tabs>
              <w:spacing w:line="240" w:lineRule="auto"/>
              <w:jc w:val="center"/>
              <w:rPr>
                <w:sz w:val="21"/>
                <w:szCs w:val="21"/>
                <w:u w:val="single"/>
              </w:rPr>
            </w:pPr>
            <w:r>
              <w:rPr>
                <w:rFonts w:hint="eastAsia"/>
                <w:sz w:val="21"/>
                <w:szCs w:val="21"/>
                <w:u w:val="single"/>
              </w:rPr>
              <w:t>0.09</w:t>
            </w:r>
          </w:p>
        </w:tc>
        <w:tc>
          <w:tcPr>
            <w:tcW w:w="1195" w:type="dxa"/>
            <w:vAlign w:val="center"/>
          </w:tcPr>
          <w:p w14:paraId="64973AD2">
            <w:pPr>
              <w:tabs>
                <w:tab w:val="left" w:pos="1021"/>
              </w:tabs>
              <w:spacing w:line="240" w:lineRule="auto"/>
              <w:jc w:val="center"/>
              <w:rPr>
                <w:sz w:val="21"/>
                <w:szCs w:val="21"/>
                <w:u w:val="single"/>
              </w:rPr>
            </w:pPr>
            <w:r>
              <w:rPr>
                <w:rFonts w:hint="eastAsia"/>
                <w:sz w:val="21"/>
                <w:szCs w:val="21"/>
                <w:u w:val="single"/>
              </w:rPr>
              <w:t>0.67</w:t>
            </w:r>
          </w:p>
        </w:tc>
        <w:tc>
          <w:tcPr>
            <w:tcW w:w="846" w:type="dxa"/>
            <w:vAlign w:val="center"/>
          </w:tcPr>
          <w:p w14:paraId="5D62160B">
            <w:pPr>
              <w:tabs>
                <w:tab w:val="left" w:pos="1021"/>
              </w:tabs>
              <w:spacing w:line="240" w:lineRule="auto"/>
              <w:jc w:val="center"/>
              <w:rPr>
                <w:sz w:val="21"/>
                <w:szCs w:val="21"/>
                <w:u w:val="single"/>
              </w:rPr>
            </w:pPr>
            <w:r>
              <w:rPr>
                <w:rFonts w:hint="eastAsia"/>
                <w:sz w:val="21"/>
                <w:szCs w:val="21"/>
                <w:u w:val="single"/>
              </w:rPr>
              <w:t>0.75</w:t>
            </w:r>
          </w:p>
        </w:tc>
        <w:tc>
          <w:tcPr>
            <w:tcW w:w="426" w:type="dxa"/>
            <w:vMerge w:val="continue"/>
            <w:vAlign w:val="center"/>
          </w:tcPr>
          <w:p w14:paraId="21A72B62">
            <w:pPr>
              <w:tabs>
                <w:tab w:val="left" w:pos="1021"/>
              </w:tabs>
              <w:spacing w:line="240" w:lineRule="auto"/>
              <w:jc w:val="center"/>
              <w:rPr>
                <w:sz w:val="21"/>
                <w:szCs w:val="21"/>
                <w:u w:val="single"/>
              </w:rPr>
            </w:pPr>
          </w:p>
        </w:tc>
        <w:tc>
          <w:tcPr>
            <w:tcW w:w="1010" w:type="dxa"/>
            <w:vAlign w:val="center"/>
          </w:tcPr>
          <w:p w14:paraId="0F7B4138">
            <w:pPr>
              <w:tabs>
                <w:tab w:val="left" w:pos="1021"/>
              </w:tabs>
              <w:spacing w:line="240" w:lineRule="auto"/>
              <w:jc w:val="center"/>
              <w:rPr>
                <w:sz w:val="21"/>
                <w:szCs w:val="21"/>
                <w:u w:val="single"/>
              </w:rPr>
            </w:pPr>
            <w:r>
              <w:rPr>
                <w:rFonts w:hint="eastAsia"/>
                <w:sz w:val="21"/>
                <w:szCs w:val="21"/>
                <w:u w:val="single"/>
              </w:rPr>
              <w:t>/</w:t>
            </w:r>
          </w:p>
        </w:tc>
        <w:tc>
          <w:tcPr>
            <w:tcW w:w="846" w:type="dxa"/>
            <w:vAlign w:val="center"/>
          </w:tcPr>
          <w:p w14:paraId="1FE5DAFA">
            <w:pPr>
              <w:tabs>
                <w:tab w:val="left" w:pos="1021"/>
              </w:tabs>
              <w:spacing w:line="240" w:lineRule="auto"/>
              <w:jc w:val="center"/>
              <w:rPr>
                <w:sz w:val="21"/>
                <w:szCs w:val="21"/>
                <w:u w:val="single"/>
              </w:rPr>
            </w:pPr>
            <w:r>
              <w:rPr>
                <w:rFonts w:hint="eastAsia"/>
                <w:sz w:val="21"/>
                <w:szCs w:val="21"/>
                <w:u w:val="single"/>
              </w:rPr>
              <w:t>/</w:t>
            </w:r>
          </w:p>
        </w:tc>
        <w:tc>
          <w:tcPr>
            <w:tcW w:w="741" w:type="dxa"/>
            <w:vAlign w:val="center"/>
          </w:tcPr>
          <w:p w14:paraId="7F9EA3BB">
            <w:pPr>
              <w:tabs>
                <w:tab w:val="left" w:pos="1021"/>
              </w:tabs>
              <w:spacing w:line="240" w:lineRule="auto"/>
              <w:jc w:val="center"/>
              <w:rPr>
                <w:sz w:val="21"/>
                <w:szCs w:val="21"/>
                <w:u w:val="single"/>
              </w:rPr>
            </w:pPr>
            <w:r>
              <w:rPr>
                <w:rFonts w:hint="eastAsia"/>
                <w:sz w:val="21"/>
                <w:szCs w:val="21"/>
                <w:u w:val="single"/>
              </w:rPr>
              <w:t>8160h</w:t>
            </w:r>
          </w:p>
        </w:tc>
      </w:tr>
      <w:tr w14:paraId="0F05D9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dxa"/>
            <w:vAlign w:val="center"/>
          </w:tcPr>
          <w:p w14:paraId="0D99BB62">
            <w:pPr>
              <w:tabs>
                <w:tab w:val="left" w:pos="1021"/>
              </w:tabs>
              <w:spacing w:line="240" w:lineRule="auto"/>
              <w:jc w:val="center"/>
              <w:rPr>
                <w:sz w:val="21"/>
                <w:szCs w:val="21"/>
                <w:u w:val="single"/>
              </w:rPr>
            </w:pPr>
            <w:r>
              <w:rPr>
                <w:rFonts w:hint="eastAsia"/>
                <w:sz w:val="21"/>
                <w:szCs w:val="21"/>
                <w:u w:val="single"/>
              </w:rPr>
              <w:t>导热油炉天然气</w:t>
            </w:r>
          </w:p>
        </w:tc>
        <w:tc>
          <w:tcPr>
            <w:tcW w:w="640" w:type="dxa"/>
            <w:vAlign w:val="center"/>
          </w:tcPr>
          <w:p w14:paraId="644E9349">
            <w:pPr>
              <w:tabs>
                <w:tab w:val="left" w:pos="1021"/>
              </w:tabs>
              <w:spacing w:line="240" w:lineRule="auto"/>
              <w:jc w:val="center"/>
              <w:rPr>
                <w:sz w:val="21"/>
                <w:szCs w:val="21"/>
                <w:u w:val="single"/>
              </w:rPr>
            </w:pPr>
            <w:r>
              <w:rPr>
                <w:rFonts w:hint="eastAsia"/>
                <w:sz w:val="21"/>
                <w:szCs w:val="21"/>
                <w:u w:val="single"/>
              </w:rPr>
              <w:t>颗粒物</w:t>
            </w:r>
          </w:p>
        </w:tc>
        <w:tc>
          <w:tcPr>
            <w:tcW w:w="528" w:type="dxa"/>
            <w:vAlign w:val="center"/>
          </w:tcPr>
          <w:p w14:paraId="4E616511">
            <w:pPr>
              <w:tabs>
                <w:tab w:val="left" w:pos="1021"/>
              </w:tabs>
              <w:spacing w:line="240" w:lineRule="auto"/>
              <w:jc w:val="center"/>
              <w:rPr>
                <w:sz w:val="21"/>
                <w:szCs w:val="21"/>
                <w:u w:val="single"/>
              </w:rPr>
            </w:pPr>
            <w:r>
              <w:rPr>
                <w:rFonts w:hint="eastAsia"/>
                <w:sz w:val="21"/>
                <w:szCs w:val="21"/>
                <w:u w:val="single"/>
              </w:rPr>
              <w:t>系数法</w:t>
            </w:r>
          </w:p>
        </w:tc>
        <w:tc>
          <w:tcPr>
            <w:tcW w:w="990" w:type="dxa"/>
            <w:vAlign w:val="center"/>
          </w:tcPr>
          <w:p w14:paraId="577B19D1">
            <w:pPr>
              <w:tabs>
                <w:tab w:val="left" w:pos="1021"/>
              </w:tabs>
              <w:spacing w:line="240" w:lineRule="auto"/>
              <w:jc w:val="center"/>
              <w:rPr>
                <w:sz w:val="21"/>
                <w:szCs w:val="21"/>
                <w:u w:val="single"/>
              </w:rPr>
            </w:pPr>
            <w:r>
              <w:rPr>
                <w:rFonts w:hint="eastAsia"/>
                <w:sz w:val="21"/>
                <w:szCs w:val="21"/>
                <w:u w:val="single"/>
              </w:rPr>
              <w:t>2000</w:t>
            </w:r>
          </w:p>
        </w:tc>
        <w:tc>
          <w:tcPr>
            <w:tcW w:w="755" w:type="dxa"/>
            <w:vAlign w:val="center"/>
          </w:tcPr>
          <w:p w14:paraId="14D69777">
            <w:pPr>
              <w:tabs>
                <w:tab w:val="left" w:pos="1021"/>
              </w:tabs>
              <w:spacing w:line="240" w:lineRule="auto"/>
              <w:jc w:val="center"/>
              <w:rPr>
                <w:sz w:val="21"/>
                <w:szCs w:val="21"/>
                <w:u w:val="single"/>
              </w:rPr>
            </w:pPr>
            <w:r>
              <w:rPr>
                <w:rFonts w:hint="eastAsia"/>
                <w:sz w:val="21"/>
                <w:szCs w:val="21"/>
                <w:u w:val="single"/>
              </w:rPr>
              <w:t>6.5</w:t>
            </w:r>
          </w:p>
        </w:tc>
        <w:tc>
          <w:tcPr>
            <w:tcW w:w="808" w:type="dxa"/>
            <w:vAlign w:val="center"/>
          </w:tcPr>
          <w:p w14:paraId="6008AC6E">
            <w:pPr>
              <w:tabs>
                <w:tab w:val="left" w:pos="1021"/>
              </w:tabs>
              <w:spacing w:line="240" w:lineRule="auto"/>
              <w:jc w:val="center"/>
              <w:rPr>
                <w:sz w:val="21"/>
                <w:szCs w:val="21"/>
                <w:u w:val="single"/>
              </w:rPr>
            </w:pPr>
            <w:r>
              <w:rPr>
                <w:rFonts w:hint="eastAsia"/>
                <w:sz w:val="21"/>
                <w:szCs w:val="21"/>
                <w:u w:val="single"/>
              </w:rPr>
              <w:t>0.10</w:t>
            </w:r>
          </w:p>
        </w:tc>
        <w:tc>
          <w:tcPr>
            <w:tcW w:w="681" w:type="dxa"/>
            <w:vAlign w:val="center"/>
          </w:tcPr>
          <w:p w14:paraId="2928B606">
            <w:pPr>
              <w:tabs>
                <w:tab w:val="left" w:pos="1021"/>
              </w:tabs>
              <w:spacing w:line="240" w:lineRule="auto"/>
              <w:jc w:val="center"/>
              <w:rPr>
                <w:sz w:val="21"/>
                <w:szCs w:val="21"/>
                <w:u w:val="single"/>
              </w:rPr>
            </w:pPr>
            <w:r>
              <w:rPr>
                <w:rFonts w:hint="eastAsia"/>
                <w:sz w:val="21"/>
                <w:szCs w:val="21"/>
                <w:u w:val="single"/>
              </w:rPr>
              <w:t>低氮燃烧</w:t>
            </w:r>
          </w:p>
        </w:tc>
        <w:tc>
          <w:tcPr>
            <w:tcW w:w="750" w:type="dxa"/>
            <w:tcBorders>
              <w:top w:val="single" w:color="000000" w:sz="8" w:space="0"/>
            </w:tcBorders>
            <w:vAlign w:val="center"/>
          </w:tcPr>
          <w:p w14:paraId="404DEDAA">
            <w:pPr>
              <w:tabs>
                <w:tab w:val="left" w:pos="1021"/>
              </w:tabs>
              <w:spacing w:line="240" w:lineRule="auto"/>
              <w:jc w:val="center"/>
              <w:rPr>
                <w:sz w:val="21"/>
                <w:szCs w:val="21"/>
                <w:u w:val="single"/>
              </w:rPr>
            </w:pPr>
            <w:r>
              <w:rPr>
                <w:rFonts w:hint="eastAsia"/>
                <w:sz w:val="21"/>
                <w:szCs w:val="21"/>
                <w:u w:val="single"/>
              </w:rPr>
              <w:t>50.75%</w:t>
            </w:r>
          </w:p>
        </w:tc>
        <w:tc>
          <w:tcPr>
            <w:tcW w:w="727" w:type="dxa"/>
            <w:tcBorders>
              <w:top w:val="single" w:color="000000" w:sz="8" w:space="0"/>
            </w:tcBorders>
            <w:vAlign w:val="center"/>
          </w:tcPr>
          <w:p w14:paraId="7F67AC9E">
            <w:pPr>
              <w:tabs>
                <w:tab w:val="left" w:pos="1021"/>
              </w:tabs>
              <w:spacing w:line="240" w:lineRule="auto"/>
              <w:jc w:val="center"/>
              <w:rPr>
                <w:sz w:val="21"/>
                <w:szCs w:val="21"/>
                <w:u w:val="single"/>
              </w:rPr>
            </w:pPr>
            <w:r>
              <w:rPr>
                <w:rFonts w:hint="eastAsia"/>
                <w:sz w:val="21"/>
                <w:szCs w:val="21"/>
                <w:u w:val="single"/>
              </w:rPr>
              <w:t>是</w:t>
            </w:r>
          </w:p>
        </w:tc>
        <w:tc>
          <w:tcPr>
            <w:tcW w:w="649" w:type="dxa"/>
            <w:tcBorders>
              <w:top w:val="single" w:color="000000" w:sz="8" w:space="0"/>
            </w:tcBorders>
            <w:vAlign w:val="center"/>
          </w:tcPr>
          <w:p w14:paraId="32D97A9D">
            <w:pPr>
              <w:tabs>
                <w:tab w:val="left" w:pos="1021"/>
              </w:tabs>
              <w:spacing w:line="240" w:lineRule="auto"/>
              <w:jc w:val="center"/>
              <w:rPr>
                <w:sz w:val="21"/>
                <w:szCs w:val="21"/>
                <w:u w:val="single"/>
              </w:rPr>
            </w:pPr>
            <w:r>
              <w:rPr>
                <w:rFonts w:hint="eastAsia"/>
                <w:sz w:val="21"/>
                <w:szCs w:val="21"/>
                <w:u w:val="single"/>
              </w:rPr>
              <w:t>DA002</w:t>
            </w:r>
          </w:p>
        </w:tc>
        <w:tc>
          <w:tcPr>
            <w:tcW w:w="426" w:type="dxa"/>
            <w:tcBorders>
              <w:top w:val="single" w:color="000000" w:sz="8" w:space="0"/>
            </w:tcBorders>
            <w:vAlign w:val="center"/>
          </w:tcPr>
          <w:p w14:paraId="4EF3139C">
            <w:pPr>
              <w:tabs>
                <w:tab w:val="left" w:pos="1021"/>
              </w:tabs>
              <w:spacing w:line="240" w:lineRule="auto"/>
              <w:jc w:val="center"/>
              <w:rPr>
                <w:sz w:val="21"/>
                <w:szCs w:val="21"/>
                <w:u w:val="single"/>
              </w:rPr>
            </w:pPr>
            <w:r>
              <w:rPr>
                <w:rFonts w:hint="eastAsia"/>
                <w:sz w:val="21"/>
                <w:szCs w:val="21"/>
                <w:u w:val="single"/>
              </w:rPr>
              <w:t>系数法</w:t>
            </w:r>
          </w:p>
        </w:tc>
        <w:tc>
          <w:tcPr>
            <w:tcW w:w="1010" w:type="dxa"/>
            <w:vAlign w:val="center"/>
          </w:tcPr>
          <w:p w14:paraId="5EF30DB6">
            <w:pPr>
              <w:tabs>
                <w:tab w:val="left" w:pos="1021"/>
              </w:tabs>
              <w:spacing w:line="240" w:lineRule="auto"/>
              <w:jc w:val="center"/>
              <w:rPr>
                <w:sz w:val="21"/>
                <w:szCs w:val="21"/>
                <w:u w:val="single"/>
              </w:rPr>
            </w:pPr>
            <w:r>
              <w:rPr>
                <w:rFonts w:hint="eastAsia"/>
                <w:sz w:val="21"/>
                <w:szCs w:val="21"/>
                <w:u w:val="single"/>
              </w:rPr>
              <w:t>0.013</w:t>
            </w:r>
          </w:p>
        </w:tc>
        <w:tc>
          <w:tcPr>
            <w:tcW w:w="1195" w:type="dxa"/>
            <w:vAlign w:val="center"/>
          </w:tcPr>
          <w:p w14:paraId="79B766A8">
            <w:pPr>
              <w:tabs>
                <w:tab w:val="left" w:pos="1021"/>
              </w:tabs>
              <w:spacing w:line="240" w:lineRule="auto"/>
              <w:jc w:val="center"/>
              <w:rPr>
                <w:sz w:val="21"/>
                <w:szCs w:val="21"/>
                <w:u w:val="single"/>
              </w:rPr>
            </w:pPr>
            <w:r>
              <w:rPr>
                <w:rFonts w:hint="eastAsia"/>
                <w:sz w:val="21"/>
                <w:szCs w:val="21"/>
                <w:u w:val="single"/>
              </w:rPr>
              <w:t>6.5</w:t>
            </w:r>
          </w:p>
        </w:tc>
        <w:tc>
          <w:tcPr>
            <w:tcW w:w="846" w:type="dxa"/>
            <w:vAlign w:val="center"/>
          </w:tcPr>
          <w:p w14:paraId="1C8EABA5">
            <w:pPr>
              <w:tabs>
                <w:tab w:val="left" w:pos="1021"/>
              </w:tabs>
              <w:spacing w:line="240" w:lineRule="auto"/>
              <w:jc w:val="center"/>
              <w:rPr>
                <w:sz w:val="21"/>
                <w:szCs w:val="21"/>
                <w:u w:val="single"/>
              </w:rPr>
            </w:pPr>
            <w:r>
              <w:rPr>
                <w:rFonts w:hint="eastAsia"/>
                <w:sz w:val="21"/>
                <w:szCs w:val="21"/>
                <w:u w:val="single"/>
              </w:rPr>
              <w:t>0.10</w:t>
            </w:r>
          </w:p>
        </w:tc>
        <w:tc>
          <w:tcPr>
            <w:tcW w:w="426" w:type="dxa"/>
            <w:vAlign w:val="center"/>
          </w:tcPr>
          <w:p w14:paraId="5E0F4B4A">
            <w:pPr>
              <w:tabs>
                <w:tab w:val="left" w:pos="1021"/>
              </w:tabs>
              <w:spacing w:line="240" w:lineRule="auto"/>
              <w:jc w:val="center"/>
              <w:rPr>
                <w:sz w:val="21"/>
                <w:szCs w:val="21"/>
                <w:u w:val="single"/>
              </w:rPr>
            </w:pPr>
            <w:r>
              <w:rPr>
                <w:rFonts w:hint="eastAsia"/>
                <w:sz w:val="21"/>
                <w:szCs w:val="21"/>
                <w:u w:val="single"/>
              </w:rPr>
              <w:t>/</w:t>
            </w:r>
          </w:p>
        </w:tc>
        <w:tc>
          <w:tcPr>
            <w:tcW w:w="1010" w:type="dxa"/>
            <w:vAlign w:val="center"/>
          </w:tcPr>
          <w:p w14:paraId="4A3711A8">
            <w:pPr>
              <w:tabs>
                <w:tab w:val="left" w:pos="1021"/>
              </w:tabs>
              <w:spacing w:line="240" w:lineRule="auto"/>
              <w:jc w:val="center"/>
              <w:rPr>
                <w:sz w:val="21"/>
                <w:szCs w:val="21"/>
                <w:u w:val="single"/>
              </w:rPr>
            </w:pPr>
            <w:r>
              <w:rPr>
                <w:rFonts w:hint="eastAsia"/>
                <w:sz w:val="21"/>
                <w:szCs w:val="21"/>
                <w:u w:val="single"/>
              </w:rPr>
              <w:t>/</w:t>
            </w:r>
          </w:p>
        </w:tc>
        <w:tc>
          <w:tcPr>
            <w:tcW w:w="846" w:type="dxa"/>
            <w:vAlign w:val="center"/>
          </w:tcPr>
          <w:p w14:paraId="115F1F3E">
            <w:pPr>
              <w:tabs>
                <w:tab w:val="left" w:pos="1021"/>
              </w:tabs>
              <w:spacing w:line="240" w:lineRule="auto"/>
              <w:jc w:val="center"/>
              <w:rPr>
                <w:sz w:val="21"/>
                <w:szCs w:val="21"/>
                <w:u w:val="single"/>
              </w:rPr>
            </w:pPr>
            <w:r>
              <w:rPr>
                <w:rFonts w:hint="eastAsia"/>
                <w:sz w:val="21"/>
                <w:szCs w:val="21"/>
                <w:u w:val="single"/>
              </w:rPr>
              <w:t>/</w:t>
            </w:r>
          </w:p>
        </w:tc>
        <w:tc>
          <w:tcPr>
            <w:tcW w:w="741" w:type="dxa"/>
            <w:vAlign w:val="center"/>
          </w:tcPr>
          <w:p w14:paraId="6F7F5D58">
            <w:pPr>
              <w:tabs>
                <w:tab w:val="left" w:pos="1021"/>
              </w:tabs>
              <w:spacing w:line="240" w:lineRule="auto"/>
              <w:jc w:val="center"/>
              <w:rPr>
                <w:sz w:val="21"/>
                <w:szCs w:val="21"/>
                <w:u w:val="single"/>
              </w:rPr>
            </w:pPr>
            <w:r>
              <w:rPr>
                <w:rFonts w:hint="eastAsia"/>
                <w:sz w:val="21"/>
                <w:szCs w:val="21"/>
                <w:u w:val="single"/>
              </w:rPr>
              <w:t>8160h</w:t>
            </w:r>
          </w:p>
        </w:tc>
      </w:tr>
    </w:tbl>
    <w:p w14:paraId="204E1317">
      <w:pPr>
        <w:pStyle w:val="51"/>
        <w:widowControl w:val="0"/>
        <w:numPr>
          <w:ilvl w:val="5"/>
          <w:numId w:val="0"/>
        </w:numPr>
        <w:spacing w:before="163"/>
        <w:ind w:left="-2958" w:leftChars="0" w:hanging="1130" w:firstLineChars="0"/>
        <w:rPr>
          <w:u w:val="single"/>
        </w:rPr>
      </w:pPr>
      <w:r>
        <w:rPr>
          <w:rFonts w:hint="default" w:ascii="宋体" w:hAnsi="宋体" w:eastAsia="宋体" w:cs="宋体"/>
          <w:b/>
          <w:bCs/>
          <w:color w:val="auto"/>
          <w:kern w:val="2"/>
          <w:sz w:val="21"/>
          <w:szCs w:val="21"/>
          <w:u w:val="single"/>
          <w:lang w:val="en-US" w:eastAsia="zh-CN" w:bidi="ar-SA"/>
        </w:rPr>
        <w:t xml:space="preserve">表3.2-12 </w:t>
      </w:r>
      <w:r>
        <w:rPr>
          <w:rFonts w:hint="eastAsia"/>
          <w:u w:val="single"/>
        </w:rPr>
        <w:t xml:space="preserve">    在建工程生活污水污染物产排情况一览表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51"/>
        <w:gridCol w:w="756"/>
        <w:gridCol w:w="849"/>
        <w:gridCol w:w="1062"/>
        <w:gridCol w:w="976"/>
        <w:gridCol w:w="726"/>
        <w:gridCol w:w="716"/>
        <w:gridCol w:w="1276"/>
        <w:gridCol w:w="1134"/>
        <w:gridCol w:w="993"/>
        <w:gridCol w:w="1134"/>
        <w:gridCol w:w="1246"/>
        <w:gridCol w:w="738"/>
        <w:gridCol w:w="992"/>
        <w:gridCol w:w="1025"/>
      </w:tblGrid>
      <w:tr w14:paraId="428C3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1" w:type="dxa"/>
            <w:vMerge w:val="restart"/>
            <w:tcBorders>
              <w:tl2br w:val="nil"/>
              <w:tr2bl w:val="nil"/>
            </w:tcBorders>
            <w:vAlign w:val="center"/>
          </w:tcPr>
          <w:p w14:paraId="32E9183B">
            <w:pPr>
              <w:pStyle w:val="64"/>
              <w:spacing w:line="240" w:lineRule="auto"/>
              <w:ind w:firstLine="0"/>
              <w:rPr>
                <w:sz w:val="21"/>
                <w:szCs w:val="21"/>
                <w:u w:val="single"/>
              </w:rPr>
            </w:pPr>
            <w:r>
              <w:rPr>
                <w:sz w:val="21"/>
                <w:szCs w:val="21"/>
                <w:u w:val="single"/>
              </w:rPr>
              <w:t>源强</w:t>
            </w:r>
          </w:p>
        </w:tc>
        <w:tc>
          <w:tcPr>
            <w:tcW w:w="756" w:type="dxa"/>
            <w:vMerge w:val="restart"/>
            <w:tcBorders>
              <w:tl2br w:val="nil"/>
              <w:tr2bl w:val="nil"/>
            </w:tcBorders>
            <w:vAlign w:val="center"/>
          </w:tcPr>
          <w:p w14:paraId="03434D6B">
            <w:pPr>
              <w:pStyle w:val="64"/>
              <w:spacing w:line="240" w:lineRule="auto"/>
              <w:ind w:firstLine="0"/>
              <w:rPr>
                <w:sz w:val="21"/>
                <w:szCs w:val="21"/>
                <w:u w:val="single"/>
              </w:rPr>
            </w:pPr>
            <w:r>
              <w:rPr>
                <w:sz w:val="21"/>
                <w:szCs w:val="21"/>
                <w:u w:val="single"/>
              </w:rPr>
              <w:t>废水量m</w:t>
            </w:r>
            <w:r>
              <w:rPr>
                <w:sz w:val="21"/>
                <w:szCs w:val="21"/>
                <w:u w:val="single"/>
                <w:vertAlign w:val="superscript"/>
              </w:rPr>
              <w:t>3</w:t>
            </w:r>
            <w:r>
              <w:rPr>
                <w:sz w:val="21"/>
                <w:szCs w:val="21"/>
                <w:u w:val="single"/>
              </w:rPr>
              <w:t>/a</w:t>
            </w:r>
          </w:p>
        </w:tc>
        <w:tc>
          <w:tcPr>
            <w:tcW w:w="849" w:type="dxa"/>
            <w:vMerge w:val="restart"/>
            <w:tcBorders>
              <w:tl2br w:val="nil"/>
              <w:tr2bl w:val="nil"/>
            </w:tcBorders>
            <w:vAlign w:val="center"/>
          </w:tcPr>
          <w:p w14:paraId="30DCB366">
            <w:pPr>
              <w:pStyle w:val="64"/>
              <w:spacing w:line="240" w:lineRule="auto"/>
              <w:ind w:firstLine="0"/>
              <w:rPr>
                <w:sz w:val="21"/>
                <w:szCs w:val="21"/>
                <w:u w:val="single"/>
              </w:rPr>
            </w:pPr>
            <w:r>
              <w:rPr>
                <w:sz w:val="21"/>
                <w:szCs w:val="21"/>
                <w:u w:val="single"/>
              </w:rPr>
              <w:t>污染物</w:t>
            </w:r>
          </w:p>
        </w:tc>
        <w:tc>
          <w:tcPr>
            <w:tcW w:w="2038" w:type="dxa"/>
            <w:gridSpan w:val="2"/>
            <w:tcBorders>
              <w:tl2br w:val="nil"/>
              <w:tr2bl w:val="nil"/>
            </w:tcBorders>
            <w:vAlign w:val="center"/>
          </w:tcPr>
          <w:p w14:paraId="7AA7CB36">
            <w:pPr>
              <w:pStyle w:val="64"/>
              <w:spacing w:line="240" w:lineRule="auto"/>
              <w:ind w:firstLine="0"/>
              <w:rPr>
                <w:sz w:val="21"/>
                <w:szCs w:val="21"/>
                <w:u w:val="single"/>
              </w:rPr>
            </w:pPr>
            <w:r>
              <w:rPr>
                <w:sz w:val="21"/>
                <w:szCs w:val="21"/>
                <w:u w:val="single"/>
              </w:rPr>
              <w:t>产生情况</w:t>
            </w:r>
          </w:p>
        </w:tc>
        <w:tc>
          <w:tcPr>
            <w:tcW w:w="3852" w:type="dxa"/>
            <w:gridSpan w:val="4"/>
            <w:tcBorders>
              <w:tl2br w:val="nil"/>
              <w:tr2bl w:val="nil"/>
            </w:tcBorders>
            <w:vAlign w:val="center"/>
          </w:tcPr>
          <w:p w14:paraId="5684F25A">
            <w:pPr>
              <w:pStyle w:val="64"/>
              <w:spacing w:line="240" w:lineRule="auto"/>
              <w:ind w:firstLine="0"/>
              <w:rPr>
                <w:sz w:val="21"/>
                <w:szCs w:val="21"/>
                <w:u w:val="single"/>
              </w:rPr>
            </w:pPr>
            <w:r>
              <w:rPr>
                <w:rFonts w:hint="eastAsia"/>
                <w:sz w:val="21"/>
                <w:szCs w:val="21"/>
                <w:u w:val="single"/>
              </w:rPr>
              <w:t>生活污水</w:t>
            </w:r>
            <w:r>
              <w:rPr>
                <w:sz w:val="21"/>
                <w:szCs w:val="21"/>
                <w:u w:val="single"/>
              </w:rPr>
              <w:t>处理设施</w:t>
            </w:r>
          </w:p>
        </w:tc>
        <w:tc>
          <w:tcPr>
            <w:tcW w:w="2127" w:type="dxa"/>
            <w:gridSpan w:val="2"/>
            <w:tcBorders>
              <w:tl2br w:val="nil"/>
              <w:tr2bl w:val="nil"/>
            </w:tcBorders>
            <w:vAlign w:val="center"/>
          </w:tcPr>
          <w:p w14:paraId="482B3036">
            <w:pPr>
              <w:pStyle w:val="64"/>
              <w:spacing w:line="240" w:lineRule="auto"/>
              <w:ind w:firstLine="0"/>
              <w:rPr>
                <w:sz w:val="21"/>
                <w:szCs w:val="21"/>
                <w:u w:val="single"/>
              </w:rPr>
            </w:pPr>
            <w:r>
              <w:rPr>
                <w:sz w:val="21"/>
                <w:szCs w:val="21"/>
                <w:u w:val="single"/>
              </w:rPr>
              <w:t>处理后</w:t>
            </w:r>
            <w:r>
              <w:rPr>
                <w:rFonts w:hint="eastAsia"/>
                <w:sz w:val="21"/>
                <w:szCs w:val="21"/>
                <w:u w:val="single"/>
              </w:rPr>
              <w:t>排放</w:t>
            </w:r>
            <w:r>
              <w:rPr>
                <w:sz w:val="21"/>
                <w:szCs w:val="21"/>
                <w:u w:val="single"/>
              </w:rPr>
              <w:t>情况</w:t>
            </w:r>
          </w:p>
        </w:tc>
        <w:tc>
          <w:tcPr>
            <w:tcW w:w="1246" w:type="dxa"/>
            <w:tcBorders>
              <w:tl2br w:val="nil"/>
              <w:tr2bl w:val="nil"/>
            </w:tcBorders>
            <w:vAlign w:val="center"/>
          </w:tcPr>
          <w:p w14:paraId="057F3992">
            <w:pPr>
              <w:pStyle w:val="64"/>
              <w:spacing w:line="240" w:lineRule="auto"/>
              <w:ind w:firstLine="0"/>
              <w:rPr>
                <w:sz w:val="21"/>
                <w:szCs w:val="21"/>
                <w:u w:val="single"/>
              </w:rPr>
            </w:pPr>
            <w:r>
              <w:rPr>
                <w:rFonts w:hint="eastAsia"/>
                <w:sz w:val="21"/>
                <w:szCs w:val="21"/>
                <w:u w:val="single"/>
              </w:rPr>
              <w:t>污水综合排放标准（三级）</w:t>
            </w:r>
          </w:p>
        </w:tc>
        <w:tc>
          <w:tcPr>
            <w:tcW w:w="2755" w:type="dxa"/>
            <w:gridSpan w:val="3"/>
            <w:tcBorders>
              <w:tl2br w:val="nil"/>
              <w:tr2bl w:val="nil"/>
            </w:tcBorders>
            <w:vAlign w:val="center"/>
          </w:tcPr>
          <w:p w14:paraId="5B90CB21">
            <w:pPr>
              <w:pStyle w:val="64"/>
              <w:spacing w:line="240" w:lineRule="auto"/>
              <w:ind w:firstLine="0"/>
              <w:rPr>
                <w:sz w:val="21"/>
                <w:szCs w:val="21"/>
                <w:u w:val="single"/>
              </w:rPr>
            </w:pPr>
            <w:r>
              <w:rPr>
                <w:rFonts w:hint="eastAsia"/>
                <w:sz w:val="21"/>
                <w:szCs w:val="21"/>
                <w:u w:val="single"/>
              </w:rPr>
              <w:t>最终排放情况</w:t>
            </w:r>
          </w:p>
        </w:tc>
      </w:tr>
      <w:tr w14:paraId="1248D2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1" w:type="dxa"/>
            <w:vMerge w:val="continue"/>
            <w:tcBorders>
              <w:tl2br w:val="nil"/>
              <w:tr2bl w:val="nil"/>
            </w:tcBorders>
            <w:vAlign w:val="center"/>
          </w:tcPr>
          <w:p w14:paraId="05D0E492">
            <w:pPr>
              <w:pStyle w:val="64"/>
              <w:spacing w:line="240" w:lineRule="auto"/>
              <w:ind w:firstLine="0"/>
              <w:rPr>
                <w:sz w:val="21"/>
                <w:szCs w:val="21"/>
                <w:u w:val="single"/>
              </w:rPr>
            </w:pPr>
          </w:p>
        </w:tc>
        <w:tc>
          <w:tcPr>
            <w:tcW w:w="756" w:type="dxa"/>
            <w:vMerge w:val="continue"/>
            <w:tcBorders>
              <w:tl2br w:val="nil"/>
              <w:tr2bl w:val="nil"/>
            </w:tcBorders>
            <w:vAlign w:val="center"/>
          </w:tcPr>
          <w:p w14:paraId="0AC150CA">
            <w:pPr>
              <w:pStyle w:val="64"/>
              <w:spacing w:line="240" w:lineRule="auto"/>
              <w:ind w:firstLine="0"/>
              <w:rPr>
                <w:sz w:val="21"/>
                <w:szCs w:val="21"/>
                <w:u w:val="single"/>
              </w:rPr>
            </w:pPr>
          </w:p>
        </w:tc>
        <w:tc>
          <w:tcPr>
            <w:tcW w:w="849" w:type="dxa"/>
            <w:vMerge w:val="continue"/>
            <w:tcBorders>
              <w:tl2br w:val="nil"/>
              <w:tr2bl w:val="nil"/>
            </w:tcBorders>
            <w:vAlign w:val="center"/>
          </w:tcPr>
          <w:p w14:paraId="521C6D90">
            <w:pPr>
              <w:pStyle w:val="64"/>
              <w:spacing w:line="240" w:lineRule="auto"/>
              <w:ind w:firstLine="0"/>
              <w:rPr>
                <w:sz w:val="21"/>
                <w:szCs w:val="21"/>
                <w:u w:val="single"/>
              </w:rPr>
            </w:pPr>
          </w:p>
        </w:tc>
        <w:tc>
          <w:tcPr>
            <w:tcW w:w="1062" w:type="dxa"/>
            <w:tcBorders>
              <w:tl2br w:val="nil"/>
              <w:tr2bl w:val="nil"/>
            </w:tcBorders>
            <w:vAlign w:val="center"/>
          </w:tcPr>
          <w:p w14:paraId="7E5E6D65">
            <w:pPr>
              <w:pStyle w:val="64"/>
              <w:spacing w:line="240" w:lineRule="auto"/>
              <w:ind w:firstLine="0"/>
              <w:rPr>
                <w:sz w:val="21"/>
                <w:szCs w:val="21"/>
                <w:u w:val="single"/>
              </w:rPr>
            </w:pPr>
            <w:r>
              <w:rPr>
                <w:sz w:val="21"/>
                <w:szCs w:val="21"/>
                <w:u w:val="single"/>
              </w:rPr>
              <w:t>浓度</w:t>
            </w:r>
          </w:p>
          <w:p w14:paraId="344EE969">
            <w:pPr>
              <w:pStyle w:val="64"/>
              <w:spacing w:line="240" w:lineRule="auto"/>
              <w:ind w:firstLine="0"/>
              <w:rPr>
                <w:sz w:val="21"/>
                <w:szCs w:val="21"/>
                <w:u w:val="single"/>
              </w:rPr>
            </w:pPr>
            <w:r>
              <w:rPr>
                <w:sz w:val="21"/>
                <w:szCs w:val="21"/>
                <w:u w:val="single"/>
              </w:rPr>
              <w:t>（mg/L）</w:t>
            </w:r>
          </w:p>
        </w:tc>
        <w:tc>
          <w:tcPr>
            <w:tcW w:w="976" w:type="dxa"/>
            <w:tcBorders>
              <w:tl2br w:val="nil"/>
              <w:tr2bl w:val="nil"/>
            </w:tcBorders>
            <w:vAlign w:val="center"/>
          </w:tcPr>
          <w:p w14:paraId="6025AE2E">
            <w:pPr>
              <w:pStyle w:val="64"/>
              <w:spacing w:line="240" w:lineRule="auto"/>
              <w:ind w:firstLine="0"/>
              <w:rPr>
                <w:sz w:val="21"/>
                <w:szCs w:val="21"/>
                <w:u w:val="single"/>
              </w:rPr>
            </w:pPr>
            <w:r>
              <w:rPr>
                <w:sz w:val="21"/>
                <w:szCs w:val="21"/>
                <w:u w:val="single"/>
              </w:rPr>
              <w:t>产生量（t/a）</w:t>
            </w:r>
          </w:p>
        </w:tc>
        <w:tc>
          <w:tcPr>
            <w:tcW w:w="726" w:type="dxa"/>
            <w:tcBorders>
              <w:tl2br w:val="nil"/>
              <w:tr2bl w:val="nil"/>
            </w:tcBorders>
            <w:vAlign w:val="center"/>
          </w:tcPr>
          <w:p w14:paraId="027E2958">
            <w:pPr>
              <w:pStyle w:val="64"/>
              <w:spacing w:line="240" w:lineRule="auto"/>
              <w:ind w:firstLine="0"/>
              <w:rPr>
                <w:sz w:val="21"/>
                <w:szCs w:val="21"/>
                <w:u w:val="single"/>
              </w:rPr>
            </w:pPr>
            <w:r>
              <w:rPr>
                <w:sz w:val="21"/>
                <w:szCs w:val="21"/>
                <w:u w:val="single"/>
              </w:rPr>
              <w:t>处理能力</w:t>
            </w:r>
          </w:p>
        </w:tc>
        <w:tc>
          <w:tcPr>
            <w:tcW w:w="716" w:type="dxa"/>
            <w:tcBorders>
              <w:tl2br w:val="nil"/>
              <w:tr2bl w:val="nil"/>
            </w:tcBorders>
            <w:vAlign w:val="center"/>
          </w:tcPr>
          <w:p w14:paraId="14044B63">
            <w:pPr>
              <w:pStyle w:val="64"/>
              <w:spacing w:line="240" w:lineRule="auto"/>
              <w:ind w:firstLine="0"/>
              <w:rPr>
                <w:sz w:val="21"/>
                <w:szCs w:val="21"/>
                <w:u w:val="single"/>
              </w:rPr>
            </w:pPr>
            <w:r>
              <w:rPr>
                <w:sz w:val="21"/>
                <w:szCs w:val="21"/>
                <w:u w:val="single"/>
              </w:rPr>
              <w:t>治理工艺</w:t>
            </w:r>
          </w:p>
        </w:tc>
        <w:tc>
          <w:tcPr>
            <w:tcW w:w="1276" w:type="dxa"/>
            <w:tcBorders>
              <w:tl2br w:val="nil"/>
              <w:tr2bl w:val="nil"/>
            </w:tcBorders>
            <w:vAlign w:val="center"/>
          </w:tcPr>
          <w:p w14:paraId="2DACF841">
            <w:pPr>
              <w:pStyle w:val="64"/>
              <w:spacing w:line="240" w:lineRule="auto"/>
              <w:ind w:firstLine="0"/>
              <w:rPr>
                <w:sz w:val="21"/>
                <w:szCs w:val="21"/>
                <w:u w:val="single"/>
              </w:rPr>
            </w:pPr>
            <w:r>
              <w:rPr>
                <w:sz w:val="21"/>
                <w:szCs w:val="21"/>
                <w:u w:val="single"/>
              </w:rPr>
              <w:t>治理效率（%）</w:t>
            </w:r>
          </w:p>
        </w:tc>
        <w:tc>
          <w:tcPr>
            <w:tcW w:w="1134" w:type="dxa"/>
            <w:tcBorders>
              <w:tl2br w:val="nil"/>
              <w:tr2bl w:val="nil"/>
            </w:tcBorders>
            <w:vAlign w:val="center"/>
          </w:tcPr>
          <w:p w14:paraId="207FFB4C">
            <w:pPr>
              <w:pStyle w:val="64"/>
              <w:spacing w:line="240" w:lineRule="auto"/>
              <w:ind w:firstLine="0"/>
              <w:rPr>
                <w:sz w:val="21"/>
                <w:szCs w:val="21"/>
                <w:u w:val="single"/>
              </w:rPr>
            </w:pPr>
            <w:r>
              <w:rPr>
                <w:sz w:val="21"/>
                <w:szCs w:val="21"/>
                <w:u w:val="single"/>
              </w:rPr>
              <w:t>是否为可行技术</w:t>
            </w:r>
          </w:p>
        </w:tc>
        <w:tc>
          <w:tcPr>
            <w:tcW w:w="993" w:type="dxa"/>
            <w:tcBorders>
              <w:tl2br w:val="nil"/>
              <w:tr2bl w:val="nil"/>
            </w:tcBorders>
            <w:vAlign w:val="center"/>
          </w:tcPr>
          <w:p w14:paraId="025E9235">
            <w:pPr>
              <w:pStyle w:val="64"/>
              <w:spacing w:line="240" w:lineRule="auto"/>
              <w:ind w:firstLine="0"/>
              <w:rPr>
                <w:sz w:val="21"/>
                <w:szCs w:val="21"/>
                <w:u w:val="single"/>
              </w:rPr>
            </w:pPr>
            <w:r>
              <w:rPr>
                <w:sz w:val="21"/>
                <w:szCs w:val="21"/>
                <w:u w:val="single"/>
              </w:rPr>
              <w:t>浓度（mg/L）</w:t>
            </w:r>
          </w:p>
        </w:tc>
        <w:tc>
          <w:tcPr>
            <w:tcW w:w="1134" w:type="dxa"/>
            <w:tcBorders>
              <w:tl2br w:val="nil"/>
              <w:tr2bl w:val="nil"/>
            </w:tcBorders>
            <w:vAlign w:val="center"/>
          </w:tcPr>
          <w:p w14:paraId="0C06408F">
            <w:pPr>
              <w:pStyle w:val="64"/>
              <w:spacing w:line="240" w:lineRule="auto"/>
              <w:ind w:firstLine="0"/>
              <w:rPr>
                <w:sz w:val="21"/>
                <w:szCs w:val="21"/>
                <w:u w:val="single"/>
              </w:rPr>
            </w:pPr>
            <w:r>
              <w:rPr>
                <w:sz w:val="21"/>
                <w:szCs w:val="21"/>
                <w:u w:val="single"/>
              </w:rPr>
              <w:t>排放量（t/a）</w:t>
            </w:r>
          </w:p>
        </w:tc>
        <w:tc>
          <w:tcPr>
            <w:tcW w:w="1246" w:type="dxa"/>
            <w:tcBorders>
              <w:tl2br w:val="nil"/>
              <w:tr2bl w:val="nil"/>
            </w:tcBorders>
            <w:vAlign w:val="center"/>
          </w:tcPr>
          <w:p w14:paraId="1128BCEF">
            <w:pPr>
              <w:pStyle w:val="64"/>
              <w:spacing w:line="240" w:lineRule="auto"/>
              <w:ind w:firstLine="0"/>
              <w:rPr>
                <w:sz w:val="21"/>
                <w:szCs w:val="21"/>
                <w:u w:val="single"/>
              </w:rPr>
            </w:pPr>
            <w:r>
              <w:rPr>
                <w:sz w:val="21"/>
                <w:szCs w:val="21"/>
                <w:u w:val="single"/>
              </w:rPr>
              <w:t>浓度（mg/L）</w:t>
            </w:r>
          </w:p>
        </w:tc>
        <w:tc>
          <w:tcPr>
            <w:tcW w:w="738" w:type="dxa"/>
            <w:tcBorders>
              <w:tl2br w:val="nil"/>
              <w:tr2bl w:val="nil"/>
            </w:tcBorders>
            <w:vAlign w:val="center"/>
          </w:tcPr>
          <w:p w14:paraId="7A1D17D0">
            <w:pPr>
              <w:pStyle w:val="64"/>
              <w:spacing w:line="240" w:lineRule="auto"/>
              <w:ind w:firstLine="0"/>
              <w:rPr>
                <w:sz w:val="21"/>
                <w:szCs w:val="21"/>
                <w:u w:val="single"/>
              </w:rPr>
            </w:pPr>
            <w:r>
              <w:rPr>
                <w:rFonts w:hint="eastAsia"/>
                <w:sz w:val="21"/>
                <w:szCs w:val="21"/>
                <w:u w:val="single"/>
              </w:rPr>
              <w:t>排放去向</w:t>
            </w:r>
          </w:p>
        </w:tc>
        <w:tc>
          <w:tcPr>
            <w:tcW w:w="992" w:type="dxa"/>
            <w:tcBorders>
              <w:tl2br w:val="nil"/>
              <w:tr2bl w:val="nil"/>
            </w:tcBorders>
            <w:vAlign w:val="center"/>
          </w:tcPr>
          <w:p w14:paraId="3B703DFD">
            <w:pPr>
              <w:pStyle w:val="64"/>
              <w:spacing w:line="240" w:lineRule="auto"/>
              <w:ind w:firstLine="0"/>
              <w:rPr>
                <w:sz w:val="21"/>
                <w:szCs w:val="21"/>
                <w:u w:val="single"/>
              </w:rPr>
            </w:pPr>
            <w:r>
              <w:rPr>
                <w:rFonts w:hint="eastAsia"/>
                <w:sz w:val="21"/>
                <w:szCs w:val="21"/>
                <w:u w:val="single"/>
              </w:rPr>
              <w:t>排放</w:t>
            </w:r>
          </w:p>
          <w:p w14:paraId="75E9F928">
            <w:pPr>
              <w:pStyle w:val="64"/>
              <w:spacing w:line="240" w:lineRule="auto"/>
              <w:ind w:firstLine="0"/>
              <w:rPr>
                <w:sz w:val="21"/>
                <w:szCs w:val="21"/>
                <w:u w:val="single"/>
              </w:rPr>
            </w:pPr>
            <w:r>
              <w:rPr>
                <w:rFonts w:hint="eastAsia"/>
                <w:sz w:val="21"/>
                <w:szCs w:val="21"/>
                <w:u w:val="single"/>
              </w:rPr>
              <w:t>浓度</w:t>
            </w:r>
            <w:r>
              <w:rPr>
                <w:sz w:val="21"/>
                <w:szCs w:val="21"/>
                <w:u w:val="single"/>
              </w:rPr>
              <w:t>（mg/L）</w:t>
            </w:r>
          </w:p>
        </w:tc>
        <w:tc>
          <w:tcPr>
            <w:tcW w:w="1025" w:type="dxa"/>
            <w:tcBorders>
              <w:tl2br w:val="nil"/>
              <w:tr2bl w:val="nil"/>
            </w:tcBorders>
            <w:vAlign w:val="center"/>
          </w:tcPr>
          <w:p w14:paraId="3BB40896">
            <w:pPr>
              <w:pStyle w:val="64"/>
              <w:spacing w:line="240" w:lineRule="auto"/>
              <w:ind w:firstLine="0"/>
              <w:rPr>
                <w:sz w:val="21"/>
                <w:szCs w:val="21"/>
                <w:u w:val="single"/>
              </w:rPr>
            </w:pPr>
            <w:r>
              <w:rPr>
                <w:rFonts w:hint="eastAsia"/>
                <w:sz w:val="21"/>
                <w:szCs w:val="21"/>
                <w:u w:val="single"/>
              </w:rPr>
              <w:t>排放量</w:t>
            </w:r>
            <w:r>
              <w:rPr>
                <w:sz w:val="21"/>
                <w:szCs w:val="21"/>
                <w:u w:val="single"/>
              </w:rPr>
              <w:t>（t/a）</w:t>
            </w:r>
          </w:p>
        </w:tc>
      </w:tr>
      <w:tr w14:paraId="58D76F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551" w:type="dxa"/>
            <w:vMerge w:val="restart"/>
            <w:tcBorders>
              <w:tl2br w:val="nil"/>
              <w:tr2bl w:val="nil"/>
            </w:tcBorders>
            <w:vAlign w:val="center"/>
          </w:tcPr>
          <w:p w14:paraId="6891FB72">
            <w:pPr>
              <w:adjustRightInd w:val="0"/>
              <w:snapToGrid w:val="0"/>
              <w:spacing w:line="240" w:lineRule="auto"/>
              <w:jc w:val="center"/>
              <w:rPr>
                <w:sz w:val="21"/>
                <w:szCs w:val="21"/>
                <w:u w:val="single"/>
              </w:rPr>
            </w:pPr>
            <w:r>
              <w:rPr>
                <w:rFonts w:hint="eastAsia"/>
                <w:sz w:val="21"/>
                <w:szCs w:val="21"/>
                <w:u w:val="single"/>
              </w:rPr>
              <w:t>生活污水</w:t>
            </w:r>
          </w:p>
        </w:tc>
        <w:tc>
          <w:tcPr>
            <w:tcW w:w="756" w:type="dxa"/>
            <w:vMerge w:val="restart"/>
            <w:tcBorders>
              <w:tl2br w:val="nil"/>
              <w:tr2bl w:val="nil"/>
            </w:tcBorders>
            <w:vAlign w:val="center"/>
          </w:tcPr>
          <w:p w14:paraId="6C8DF860">
            <w:pPr>
              <w:pStyle w:val="64"/>
              <w:spacing w:line="240" w:lineRule="auto"/>
              <w:ind w:firstLine="0"/>
              <w:rPr>
                <w:sz w:val="21"/>
                <w:szCs w:val="21"/>
                <w:u w:val="single"/>
              </w:rPr>
            </w:pPr>
            <w:r>
              <w:rPr>
                <w:rFonts w:hint="eastAsia"/>
                <w:sz w:val="21"/>
                <w:szCs w:val="21"/>
                <w:u w:val="single"/>
              </w:rPr>
              <w:t>2158.4</w:t>
            </w:r>
          </w:p>
        </w:tc>
        <w:tc>
          <w:tcPr>
            <w:tcW w:w="849" w:type="dxa"/>
            <w:tcBorders>
              <w:tl2br w:val="nil"/>
              <w:tr2bl w:val="nil"/>
            </w:tcBorders>
            <w:vAlign w:val="center"/>
          </w:tcPr>
          <w:p w14:paraId="075F1504">
            <w:pPr>
              <w:pStyle w:val="64"/>
              <w:spacing w:line="240" w:lineRule="auto"/>
              <w:ind w:firstLine="0"/>
              <w:rPr>
                <w:sz w:val="21"/>
                <w:szCs w:val="21"/>
                <w:u w:val="single"/>
              </w:rPr>
            </w:pPr>
            <w:r>
              <w:rPr>
                <w:sz w:val="21"/>
                <w:szCs w:val="21"/>
                <w:u w:val="single"/>
              </w:rPr>
              <w:t>COD</w:t>
            </w:r>
          </w:p>
        </w:tc>
        <w:tc>
          <w:tcPr>
            <w:tcW w:w="1062" w:type="dxa"/>
            <w:tcBorders>
              <w:tl2br w:val="nil"/>
              <w:tr2bl w:val="nil"/>
            </w:tcBorders>
            <w:vAlign w:val="center"/>
          </w:tcPr>
          <w:p w14:paraId="66832DC3">
            <w:pPr>
              <w:adjustRightInd w:val="0"/>
              <w:snapToGrid w:val="0"/>
              <w:spacing w:line="240" w:lineRule="auto"/>
              <w:jc w:val="center"/>
              <w:rPr>
                <w:sz w:val="21"/>
                <w:szCs w:val="21"/>
                <w:u w:val="single"/>
              </w:rPr>
            </w:pPr>
            <w:r>
              <w:rPr>
                <w:rFonts w:hint="eastAsia"/>
                <w:sz w:val="21"/>
                <w:szCs w:val="21"/>
                <w:u w:val="single"/>
              </w:rPr>
              <w:t>350</w:t>
            </w:r>
          </w:p>
        </w:tc>
        <w:tc>
          <w:tcPr>
            <w:tcW w:w="976" w:type="dxa"/>
            <w:tcBorders>
              <w:tl2br w:val="nil"/>
              <w:tr2bl w:val="nil"/>
            </w:tcBorders>
            <w:vAlign w:val="center"/>
          </w:tcPr>
          <w:p w14:paraId="1FA34332">
            <w:pPr>
              <w:spacing w:line="240" w:lineRule="auto"/>
              <w:jc w:val="center"/>
              <w:rPr>
                <w:sz w:val="21"/>
                <w:szCs w:val="21"/>
                <w:u w:val="single"/>
              </w:rPr>
            </w:pPr>
            <w:r>
              <w:rPr>
                <w:rFonts w:hint="eastAsia"/>
                <w:sz w:val="21"/>
                <w:szCs w:val="21"/>
                <w:u w:val="single"/>
              </w:rPr>
              <w:t>0.76</w:t>
            </w:r>
          </w:p>
        </w:tc>
        <w:tc>
          <w:tcPr>
            <w:tcW w:w="726" w:type="dxa"/>
            <w:vMerge w:val="restart"/>
            <w:tcBorders>
              <w:tl2br w:val="nil"/>
              <w:tr2bl w:val="nil"/>
            </w:tcBorders>
            <w:vAlign w:val="center"/>
          </w:tcPr>
          <w:p w14:paraId="69917999">
            <w:pPr>
              <w:adjustRightInd w:val="0"/>
              <w:snapToGrid w:val="0"/>
              <w:spacing w:line="240" w:lineRule="auto"/>
              <w:jc w:val="center"/>
              <w:rPr>
                <w:sz w:val="21"/>
                <w:szCs w:val="21"/>
                <w:u w:val="single"/>
              </w:rPr>
            </w:pPr>
            <w:r>
              <w:rPr>
                <w:rFonts w:hint="eastAsia"/>
                <w:sz w:val="21"/>
                <w:szCs w:val="21"/>
                <w:u w:val="single"/>
              </w:rPr>
              <w:t>5t</w:t>
            </w:r>
            <w:r>
              <w:rPr>
                <w:sz w:val="21"/>
                <w:szCs w:val="21"/>
                <w:u w:val="single"/>
              </w:rPr>
              <w:t>/d</w:t>
            </w:r>
          </w:p>
        </w:tc>
        <w:tc>
          <w:tcPr>
            <w:tcW w:w="716" w:type="dxa"/>
            <w:vMerge w:val="restart"/>
            <w:tcBorders>
              <w:tl2br w:val="nil"/>
              <w:tr2bl w:val="nil"/>
            </w:tcBorders>
            <w:vAlign w:val="center"/>
          </w:tcPr>
          <w:p w14:paraId="0E352B4D">
            <w:pPr>
              <w:adjustRightInd w:val="0"/>
              <w:snapToGrid w:val="0"/>
              <w:spacing w:line="240" w:lineRule="auto"/>
              <w:jc w:val="center"/>
              <w:rPr>
                <w:sz w:val="21"/>
                <w:szCs w:val="21"/>
                <w:u w:val="single"/>
              </w:rPr>
            </w:pPr>
            <w:r>
              <w:rPr>
                <w:rFonts w:hint="eastAsia"/>
                <w:sz w:val="21"/>
                <w:szCs w:val="21"/>
                <w:u w:val="single"/>
              </w:rPr>
              <w:t>隔油池、化粪池</w:t>
            </w:r>
          </w:p>
        </w:tc>
        <w:tc>
          <w:tcPr>
            <w:tcW w:w="1276" w:type="dxa"/>
            <w:tcBorders>
              <w:tl2br w:val="nil"/>
              <w:tr2bl w:val="nil"/>
            </w:tcBorders>
            <w:vAlign w:val="center"/>
          </w:tcPr>
          <w:p w14:paraId="6BAF2671">
            <w:pPr>
              <w:spacing w:line="240" w:lineRule="auto"/>
              <w:jc w:val="center"/>
              <w:rPr>
                <w:sz w:val="21"/>
                <w:szCs w:val="21"/>
                <w:u w:val="single"/>
              </w:rPr>
            </w:pPr>
            <w:r>
              <w:rPr>
                <w:rFonts w:hint="eastAsia"/>
                <w:sz w:val="21"/>
                <w:szCs w:val="21"/>
                <w:u w:val="single"/>
              </w:rPr>
              <w:t>25</w:t>
            </w:r>
          </w:p>
        </w:tc>
        <w:tc>
          <w:tcPr>
            <w:tcW w:w="1134" w:type="dxa"/>
            <w:vMerge w:val="restart"/>
            <w:tcBorders>
              <w:tl2br w:val="nil"/>
              <w:tr2bl w:val="nil"/>
            </w:tcBorders>
            <w:vAlign w:val="center"/>
          </w:tcPr>
          <w:p w14:paraId="76460597">
            <w:pPr>
              <w:adjustRightInd w:val="0"/>
              <w:snapToGrid w:val="0"/>
              <w:spacing w:line="240" w:lineRule="auto"/>
              <w:jc w:val="center"/>
              <w:rPr>
                <w:sz w:val="21"/>
                <w:szCs w:val="21"/>
                <w:u w:val="single"/>
              </w:rPr>
            </w:pPr>
            <w:r>
              <w:rPr>
                <w:sz w:val="21"/>
                <w:szCs w:val="21"/>
                <w:u w:val="single"/>
              </w:rPr>
              <w:t>是</w:t>
            </w:r>
          </w:p>
        </w:tc>
        <w:tc>
          <w:tcPr>
            <w:tcW w:w="993" w:type="dxa"/>
            <w:tcBorders>
              <w:tl2br w:val="nil"/>
              <w:tr2bl w:val="nil"/>
            </w:tcBorders>
            <w:vAlign w:val="center"/>
          </w:tcPr>
          <w:p w14:paraId="67648115">
            <w:pPr>
              <w:adjustRightInd w:val="0"/>
              <w:snapToGrid w:val="0"/>
              <w:spacing w:line="240" w:lineRule="auto"/>
              <w:jc w:val="center"/>
              <w:rPr>
                <w:sz w:val="21"/>
                <w:szCs w:val="21"/>
                <w:u w:val="single"/>
              </w:rPr>
            </w:pPr>
            <w:r>
              <w:rPr>
                <w:rFonts w:hint="eastAsia"/>
                <w:sz w:val="21"/>
                <w:szCs w:val="21"/>
                <w:u w:val="single"/>
              </w:rPr>
              <w:t>263</w:t>
            </w:r>
          </w:p>
        </w:tc>
        <w:tc>
          <w:tcPr>
            <w:tcW w:w="1134" w:type="dxa"/>
            <w:tcBorders>
              <w:tl2br w:val="nil"/>
              <w:tr2bl w:val="nil"/>
            </w:tcBorders>
            <w:vAlign w:val="center"/>
          </w:tcPr>
          <w:p w14:paraId="6BAE3E49">
            <w:pPr>
              <w:spacing w:line="240" w:lineRule="auto"/>
              <w:jc w:val="center"/>
              <w:rPr>
                <w:sz w:val="21"/>
                <w:szCs w:val="21"/>
                <w:u w:val="single"/>
              </w:rPr>
            </w:pPr>
            <w:r>
              <w:rPr>
                <w:rFonts w:hint="eastAsia"/>
                <w:sz w:val="21"/>
                <w:szCs w:val="21"/>
                <w:u w:val="single"/>
              </w:rPr>
              <w:t>0.57</w:t>
            </w:r>
          </w:p>
        </w:tc>
        <w:tc>
          <w:tcPr>
            <w:tcW w:w="1246" w:type="dxa"/>
            <w:tcBorders>
              <w:tl2br w:val="nil"/>
              <w:tr2bl w:val="nil"/>
            </w:tcBorders>
            <w:vAlign w:val="center"/>
          </w:tcPr>
          <w:p w14:paraId="3E1DD149">
            <w:pPr>
              <w:spacing w:line="240" w:lineRule="auto"/>
              <w:jc w:val="center"/>
              <w:rPr>
                <w:sz w:val="21"/>
                <w:szCs w:val="21"/>
                <w:u w:val="single"/>
              </w:rPr>
            </w:pPr>
            <w:r>
              <w:rPr>
                <w:rFonts w:hint="eastAsia"/>
                <w:sz w:val="21"/>
                <w:szCs w:val="21"/>
                <w:u w:val="single"/>
              </w:rPr>
              <w:t>500</w:t>
            </w:r>
          </w:p>
        </w:tc>
        <w:tc>
          <w:tcPr>
            <w:tcW w:w="738" w:type="dxa"/>
            <w:vMerge w:val="restart"/>
            <w:tcBorders>
              <w:tl2br w:val="nil"/>
              <w:tr2bl w:val="nil"/>
            </w:tcBorders>
            <w:vAlign w:val="center"/>
          </w:tcPr>
          <w:p w14:paraId="450B4230">
            <w:pPr>
              <w:spacing w:line="240" w:lineRule="auto"/>
              <w:jc w:val="center"/>
              <w:rPr>
                <w:sz w:val="21"/>
                <w:szCs w:val="21"/>
                <w:u w:val="single"/>
              </w:rPr>
            </w:pPr>
            <w:r>
              <w:rPr>
                <w:rFonts w:hint="eastAsia"/>
                <w:sz w:val="21"/>
                <w:szCs w:val="21"/>
                <w:u w:val="single"/>
              </w:rPr>
              <w:t>湘潭县顺业污水处理厂</w:t>
            </w:r>
          </w:p>
        </w:tc>
        <w:tc>
          <w:tcPr>
            <w:tcW w:w="992" w:type="dxa"/>
            <w:tcBorders>
              <w:tl2br w:val="nil"/>
              <w:tr2bl w:val="nil"/>
            </w:tcBorders>
            <w:vAlign w:val="center"/>
          </w:tcPr>
          <w:p w14:paraId="09B52CD4">
            <w:pPr>
              <w:spacing w:line="240" w:lineRule="auto"/>
              <w:jc w:val="center"/>
              <w:rPr>
                <w:sz w:val="21"/>
                <w:szCs w:val="21"/>
                <w:u w:val="single"/>
              </w:rPr>
            </w:pPr>
            <w:r>
              <w:rPr>
                <w:rFonts w:hint="eastAsia"/>
                <w:sz w:val="21"/>
                <w:szCs w:val="21"/>
                <w:u w:val="single"/>
              </w:rPr>
              <w:t>50</w:t>
            </w:r>
          </w:p>
        </w:tc>
        <w:tc>
          <w:tcPr>
            <w:tcW w:w="1025" w:type="dxa"/>
            <w:tcBorders>
              <w:tl2br w:val="nil"/>
              <w:tr2bl w:val="nil"/>
            </w:tcBorders>
            <w:vAlign w:val="center"/>
          </w:tcPr>
          <w:p w14:paraId="66061DAB">
            <w:pPr>
              <w:spacing w:line="240" w:lineRule="auto"/>
              <w:jc w:val="center"/>
              <w:rPr>
                <w:sz w:val="21"/>
                <w:szCs w:val="21"/>
                <w:u w:val="single"/>
              </w:rPr>
            </w:pPr>
            <w:r>
              <w:rPr>
                <w:rFonts w:hint="eastAsia"/>
                <w:sz w:val="21"/>
                <w:szCs w:val="21"/>
                <w:u w:val="single"/>
              </w:rPr>
              <w:t>0.11</w:t>
            </w:r>
          </w:p>
        </w:tc>
      </w:tr>
      <w:tr w14:paraId="659C42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1" w:type="dxa"/>
            <w:vMerge w:val="continue"/>
            <w:tcBorders>
              <w:tl2br w:val="nil"/>
              <w:tr2bl w:val="nil"/>
            </w:tcBorders>
            <w:vAlign w:val="center"/>
          </w:tcPr>
          <w:p w14:paraId="68E7A1D6">
            <w:pPr>
              <w:pStyle w:val="64"/>
              <w:spacing w:line="240" w:lineRule="auto"/>
              <w:ind w:firstLine="0"/>
              <w:rPr>
                <w:sz w:val="21"/>
                <w:szCs w:val="21"/>
                <w:u w:val="single"/>
              </w:rPr>
            </w:pPr>
          </w:p>
        </w:tc>
        <w:tc>
          <w:tcPr>
            <w:tcW w:w="756" w:type="dxa"/>
            <w:vMerge w:val="continue"/>
            <w:tcBorders>
              <w:tl2br w:val="nil"/>
              <w:tr2bl w:val="nil"/>
            </w:tcBorders>
            <w:vAlign w:val="center"/>
          </w:tcPr>
          <w:p w14:paraId="02F85BC1">
            <w:pPr>
              <w:pStyle w:val="64"/>
              <w:spacing w:line="240" w:lineRule="auto"/>
              <w:ind w:firstLine="0"/>
              <w:rPr>
                <w:sz w:val="21"/>
                <w:szCs w:val="21"/>
                <w:u w:val="single"/>
              </w:rPr>
            </w:pPr>
          </w:p>
        </w:tc>
        <w:tc>
          <w:tcPr>
            <w:tcW w:w="849" w:type="dxa"/>
            <w:tcBorders>
              <w:tl2br w:val="nil"/>
              <w:tr2bl w:val="nil"/>
            </w:tcBorders>
            <w:vAlign w:val="center"/>
          </w:tcPr>
          <w:p w14:paraId="42F27E72">
            <w:pPr>
              <w:pStyle w:val="64"/>
              <w:spacing w:line="240" w:lineRule="auto"/>
              <w:ind w:firstLine="0"/>
              <w:rPr>
                <w:sz w:val="21"/>
                <w:szCs w:val="21"/>
                <w:u w:val="single"/>
              </w:rPr>
            </w:pPr>
            <w:r>
              <w:rPr>
                <w:sz w:val="21"/>
                <w:szCs w:val="21"/>
                <w:u w:val="single"/>
              </w:rPr>
              <w:t>BOD</w:t>
            </w:r>
            <w:r>
              <w:rPr>
                <w:sz w:val="21"/>
                <w:szCs w:val="21"/>
                <w:u w:val="single"/>
                <w:vertAlign w:val="subscript"/>
              </w:rPr>
              <w:t>5</w:t>
            </w:r>
          </w:p>
        </w:tc>
        <w:tc>
          <w:tcPr>
            <w:tcW w:w="1062" w:type="dxa"/>
            <w:tcBorders>
              <w:tl2br w:val="nil"/>
              <w:tr2bl w:val="nil"/>
            </w:tcBorders>
            <w:vAlign w:val="center"/>
          </w:tcPr>
          <w:p w14:paraId="7F4A86C7">
            <w:pPr>
              <w:adjustRightInd w:val="0"/>
              <w:snapToGrid w:val="0"/>
              <w:spacing w:line="240" w:lineRule="auto"/>
              <w:jc w:val="center"/>
              <w:rPr>
                <w:sz w:val="21"/>
                <w:szCs w:val="21"/>
                <w:u w:val="single"/>
              </w:rPr>
            </w:pPr>
            <w:r>
              <w:rPr>
                <w:rFonts w:hint="eastAsia"/>
                <w:sz w:val="21"/>
                <w:szCs w:val="21"/>
                <w:u w:val="single"/>
              </w:rPr>
              <w:t>150</w:t>
            </w:r>
          </w:p>
        </w:tc>
        <w:tc>
          <w:tcPr>
            <w:tcW w:w="976" w:type="dxa"/>
            <w:tcBorders>
              <w:tl2br w:val="nil"/>
              <w:tr2bl w:val="nil"/>
            </w:tcBorders>
            <w:vAlign w:val="center"/>
          </w:tcPr>
          <w:p w14:paraId="31FFFD47">
            <w:pPr>
              <w:spacing w:line="240" w:lineRule="auto"/>
              <w:jc w:val="center"/>
              <w:rPr>
                <w:sz w:val="21"/>
                <w:szCs w:val="21"/>
                <w:u w:val="single"/>
              </w:rPr>
            </w:pPr>
            <w:r>
              <w:rPr>
                <w:rFonts w:hint="eastAsia"/>
                <w:sz w:val="21"/>
                <w:szCs w:val="21"/>
                <w:u w:val="single"/>
              </w:rPr>
              <w:t>0.32</w:t>
            </w:r>
          </w:p>
        </w:tc>
        <w:tc>
          <w:tcPr>
            <w:tcW w:w="726" w:type="dxa"/>
            <w:vMerge w:val="continue"/>
            <w:tcBorders>
              <w:tl2br w:val="nil"/>
              <w:tr2bl w:val="nil"/>
            </w:tcBorders>
            <w:vAlign w:val="center"/>
          </w:tcPr>
          <w:p w14:paraId="65623198">
            <w:pPr>
              <w:adjustRightInd w:val="0"/>
              <w:snapToGrid w:val="0"/>
              <w:spacing w:line="240" w:lineRule="auto"/>
              <w:jc w:val="center"/>
              <w:rPr>
                <w:sz w:val="21"/>
                <w:szCs w:val="21"/>
                <w:u w:val="single"/>
              </w:rPr>
            </w:pPr>
          </w:p>
        </w:tc>
        <w:tc>
          <w:tcPr>
            <w:tcW w:w="716" w:type="dxa"/>
            <w:vMerge w:val="continue"/>
            <w:tcBorders>
              <w:tl2br w:val="nil"/>
              <w:tr2bl w:val="nil"/>
            </w:tcBorders>
            <w:vAlign w:val="center"/>
          </w:tcPr>
          <w:p w14:paraId="6C4A8C35">
            <w:pPr>
              <w:adjustRightInd w:val="0"/>
              <w:snapToGrid w:val="0"/>
              <w:spacing w:line="240" w:lineRule="auto"/>
              <w:jc w:val="center"/>
              <w:rPr>
                <w:sz w:val="21"/>
                <w:szCs w:val="21"/>
                <w:u w:val="single"/>
              </w:rPr>
            </w:pPr>
          </w:p>
        </w:tc>
        <w:tc>
          <w:tcPr>
            <w:tcW w:w="1276" w:type="dxa"/>
            <w:tcBorders>
              <w:tl2br w:val="nil"/>
              <w:tr2bl w:val="nil"/>
            </w:tcBorders>
            <w:vAlign w:val="center"/>
          </w:tcPr>
          <w:p w14:paraId="5FCB3868">
            <w:pPr>
              <w:spacing w:line="240" w:lineRule="auto"/>
              <w:jc w:val="center"/>
              <w:rPr>
                <w:sz w:val="21"/>
                <w:szCs w:val="21"/>
                <w:u w:val="single"/>
              </w:rPr>
            </w:pPr>
            <w:r>
              <w:rPr>
                <w:rFonts w:hint="eastAsia"/>
                <w:sz w:val="21"/>
                <w:szCs w:val="21"/>
                <w:u w:val="single"/>
              </w:rPr>
              <w:t>15</w:t>
            </w:r>
          </w:p>
        </w:tc>
        <w:tc>
          <w:tcPr>
            <w:tcW w:w="1134" w:type="dxa"/>
            <w:vMerge w:val="continue"/>
            <w:tcBorders>
              <w:tl2br w:val="nil"/>
              <w:tr2bl w:val="nil"/>
            </w:tcBorders>
            <w:vAlign w:val="center"/>
          </w:tcPr>
          <w:p w14:paraId="42B1AE29">
            <w:pPr>
              <w:adjustRightInd w:val="0"/>
              <w:snapToGrid w:val="0"/>
              <w:spacing w:line="240" w:lineRule="auto"/>
              <w:jc w:val="center"/>
              <w:rPr>
                <w:sz w:val="21"/>
                <w:szCs w:val="21"/>
                <w:u w:val="single"/>
              </w:rPr>
            </w:pPr>
          </w:p>
        </w:tc>
        <w:tc>
          <w:tcPr>
            <w:tcW w:w="993" w:type="dxa"/>
            <w:tcBorders>
              <w:tl2br w:val="nil"/>
              <w:tr2bl w:val="nil"/>
            </w:tcBorders>
            <w:vAlign w:val="center"/>
          </w:tcPr>
          <w:p w14:paraId="6E5F4821">
            <w:pPr>
              <w:adjustRightInd w:val="0"/>
              <w:snapToGrid w:val="0"/>
              <w:spacing w:line="240" w:lineRule="auto"/>
              <w:jc w:val="center"/>
              <w:rPr>
                <w:sz w:val="21"/>
                <w:szCs w:val="21"/>
                <w:u w:val="single"/>
              </w:rPr>
            </w:pPr>
            <w:r>
              <w:rPr>
                <w:rFonts w:hint="eastAsia"/>
                <w:sz w:val="21"/>
                <w:szCs w:val="21"/>
                <w:u w:val="single"/>
              </w:rPr>
              <w:t>100</w:t>
            </w:r>
          </w:p>
        </w:tc>
        <w:tc>
          <w:tcPr>
            <w:tcW w:w="1134" w:type="dxa"/>
            <w:tcBorders>
              <w:tl2br w:val="nil"/>
              <w:tr2bl w:val="nil"/>
            </w:tcBorders>
            <w:vAlign w:val="center"/>
          </w:tcPr>
          <w:p w14:paraId="6E15D57F">
            <w:pPr>
              <w:spacing w:line="240" w:lineRule="auto"/>
              <w:jc w:val="center"/>
              <w:rPr>
                <w:sz w:val="21"/>
                <w:szCs w:val="21"/>
                <w:u w:val="single"/>
              </w:rPr>
            </w:pPr>
            <w:r>
              <w:rPr>
                <w:rFonts w:hint="eastAsia"/>
                <w:sz w:val="21"/>
                <w:szCs w:val="21"/>
                <w:u w:val="single"/>
              </w:rPr>
              <w:t>0.22</w:t>
            </w:r>
          </w:p>
        </w:tc>
        <w:tc>
          <w:tcPr>
            <w:tcW w:w="1246" w:type="dxa"/>
            <w:tcBorders>
              <w:tl2br w:val="nil"/>
              <w:tr2bl w:val="nil"/>
            </w:tcBorders>
            <w:vAlign w:val="center"/>
          </w:tcPr>
          <w:p w14:paraId="27B2FBD9">
            <w:pPr>
              <w:spacing w:line="240" w:lineRule="auto"/>
              <w:jc w:val="center"/>
              <w:rPr>
                <w:sz w:val="21"/>
                <w:szCs w:val="21"/>
                <w:u w:val="single"/>
              </w:rPr>
            </w:pPr>
            <w:r>
              <w:rPr>
                <w:rFonts w:hint="eastAsia"/>
                <w:sz w:val="21"/>
                <w:szCs w:val="21"/>
                <w:u w:val="single"/>
              </w:rPr>
              <w:t>300</w:t>
            </w:r>
          </w:p>
        </w:tc>
        <w:tc>
          <w:tcPr>
            <w:tcW w:w="738" w:type="dxa"/>
            <w:vMerge w:val="continue"/>
            <w:tcBorders>
              <w:tl2br w:val="nil"/>
              <w:tr2bl w:val="nil"/>
            </w:tcBorders>
            <w:vAlign w:val="center"/>
          </w:tcPr>
          <w:p w14:paraId="3A7E5039">
            <w:pPr>
              <w:spacing w:line="240" w:lineRule="auto"/>
              <w:jc w:val="center"/>
              <w:rPr>
                <w:sz w:val="21"/>
                <w:szCs w:val="21"/>
                <w:u w:val="single"/>
              </w:rPr>
            </w:pPr>
          </w:p>
        </w:tc>
        <w:tc>
          <w:tcPr>
            <w:tcW w:w="992" w:type="dxa"/>
            <w:tcBorders>
              <w:tl2br w:val="nil"/>
              <w:tr2bl w:val="nil"/>
            </w:tcBorders>
            <w:vAlign w:val="center"/>
          </w:tcPr>
          <w:p w14:paraId="00103AD0">
            <w:pPr>
              <w:spacing w:line="240" w:lineRule="auto"/>
              <w:jc w:val="center"/>
              <w:rPr>
                <w:sz w:val="21"/>
                <w:szCs w:val="21"/>
                <w:u w:val="single"/>
              </w:rPr>
            </w:pPr>
            <w:r>
              <w:rPr>
                <w:rFonts w:hint="eastAsia"/>
                <w:sz w:val="21"/>
                <w:szCs w:val="21"/>
                <w:u w:val="single"/>
              </w:rPr>
              <w:t>10</w:t>
            </w:r>
          </w:p>
        </w:tc>
        <w:tc>
          <w:tcPr>
            <w:tcW w:w="1025" w:type="dxa"/>
            <w:tcBorders>
              <w:tl2br w:val="nil"/>
              <w:tr2bl w:val="nil"/>
            </w:tcBorders>
            <w:vAlign w:val="center"/>
          </w:tcPr>
          <w:p w14:paraId="7A9DE7F7">
            <w:pPr>
              <w:spacing w:line="240" w:lineRule="auto"/>
              <w:jc w:val="center"/>
              <w:rPr>
                <w:sz w:val="21"/>
                <w:szCs w:val="21"/>
                <w:u w:val="single"/>
              </w:rPr>
            </w:pPr>
            <w:r>
              <w:rPr>
                <w:rFonts w:hint="eastAsia"/>
                <w:sz w:val="21"/>
                <w:szCs w:val="21"/>
                <w:u w:val="single"/>
              </w:rPr>
              <w:t>0.02</w:t>
            </w:r>
          </w:p>
        </w:tc>
      </w:tr>
      <w:tr w14:paraId="129203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1" w:type="dxa"/>
            <w:vMerge w:val="continue"/>
            <w:tcBorders>
              <w:tl2br w:val="nil"/>
              <w:tr2bl w:val="nil"/>
            </w:tcBorders>
            <w:vAlign w:val="center"/>
          </w:tcPr>
          <w:p w14:paraId="39A63D84">
            <w:pPr>
              <w:pStyle w:val="64"/>
              <w:spacing w:line="240" w:lineRule="auto"/>
              <w:ind w:firstLine="0"/>
              <w:rPr>
                <w:sz w:val="21"/>
                <w:szCs w:val="21"/>
                <w:u w:val="single"/>
              </w:rPr>
            </w:pPr>
          </w:p>
        </w:tc>
        <w:tc>
          <w:tcPr>
            <w:tcW w:w="756" w:type="dxa"/>
            <w:vMerge w:val="continue"/>
            <w:tcBorders>
              <w:tl2br w:val="nil"/>
              <w:tr2bl w:val="nil"/>
            </w:tcBorders>
            <w:vAlign w:val="center"/>
          </w:tcPr>
          <w:p w14:paraId="082083D6">
            <w:pPr>
              <w:pStyle w:val="64"/>
              <w:spacing w:line="240" w:lineRule="auto"/>
              <w:ind w:firstLine="0"/>
              <w:rPr>
                <w:sz w:val="21"/>
                <w:szCs w:val="21"/>
                <w:u w:val="single"/>
              </w:rPr>
            </w:pPr>
          </w:p>
        </w:tc>
        <w:tc>
          <w:tcPr>
            <w:tcW w:w="849" w:type="dxa"/>
            <w:tcBorders>
              <w:tl2br w:val="nil"/>
              <w:tr2bl w:val="nil"/>
            </w:tcBorders>
            <w:vAlign w:val="center"/>
          </w:tcPr>
          <w:p w14:paraId="07A69508">
            <w:pPr>
              <w:pStyle w:val="64"/>
              <w:spacing w:line="240" w:lineRule="auto"/>
              <w:ind w:firstLine="0"/>
              <w:rPr>
                <w:sz w:val="21"/>
                <w:szCs w:val="21"/>
                <w:u w:val="single"/>
              </w:rPr>
            </w:pPr>
            <w:r>
              <w:rPr>
                <w:sz w:val="21"/>
                <w:szCs w:val="21"/>
                <w:u w:val="single"/>
              </w:rPr>
              <w:t>SS</w:t>
            </w:r>
          </w:p>
        </w:tc>
        <w:tc>
          <w:tcPr>
            <w:tcW w:w="1062" w:type="dxa"/>
            <w:tcBorders>
              <w:tl2br w:val="nil"/>
              <w:tr2bl w:val="nil"/>
            </w:tcBorders>
            <w:vAlign w:val="center"/>
          </w:tcPr>
          <w:p w14:paraId="20852CD8">
            <w:pPr>
              <w:adjustRightInd w:val="0"/>
              <w:snapToGrid w:val="0"/>
              <w:spacing w:line="240" w:lineRule="auto"/>
              <w:jc w:val="center"/>
              <w:rPr>
                <w:sz w:val="21"/>
                <w:szCs w:val="21"/>
                <w:u w:val="single"/>
              </w:rPr>
            </w:pPr>
            <w:r>
              <w:rPr>
                <w:rFonts w:hint="eastAsia"/>
                <w:sz w:val="21"/>
                <w:szCs w:val="21"/>
                <w:u w:val="single"/>
              </w:rPr>
              <w:t>200</w:t>
            </w:r>
          </w:p>
        </w:tc>
        <w:tc>
          <w:tcPr>
            <w:tcW w:w="976" w:type="dxa"/>
            <w:tcBorders>
              <w:tl2br w:val="nil"/>
              <w:tr2bl w:val="nil"/>
            </w:tcBorders>
            <w:vAlign w:val="center"/>
          </w:tcPr>
          <w:p w14:paraId="1CA0946B">
            <w:pPr>
              <w:spacing w:line="240" w:lineRule="auto"/>
              <w:jc w:val="center"/>
              <w:rPr>
                <w:sz w:val="21"/>
                <w:szCs w:val="21"/>
                <w:u w:val="single"/>
              </w:rPr>
            </w:pPr>
            <w:r>
              <w:rPr>
                <w:rFonts w:hint="eastAsia"/>
                <w:sz w:val="21"/>
                <w:szCs w:val="21"/>
                <w:u w:val="single"/>
              </w:rPr>
              <w:t>0.43</w:t>
            </w:r>
          </w:p>
        </w:tc>
        <w:tc>
          <w:tcPr>
            <w:tcW w:w="726" w:type="dxa"/>
            <w:vMerge w:val="continue"/>
            <w:tcBorders>
              <w:tl2br w:val="nil"/>
              <w:tr2bl w:val="nil"/>
            </w:tcBorders>
            <w:vAlign w:val="center"/>
          </w:tcPr>
          <w:p w14:paraId="1E30BE74">
            <w:pPr>
              <w:adjustRightInd w:val="0"/>
              <w:snapToGrid w:val="0"/>
              <w:spacing w:line="240" w:lineRule="auto"/>
              <w:jc w:val="center"/>
              <w:rPr>
                <w:sz w:val="21"/>
                <w:szCs w:val="21"/>
                <w:u w:val="single"/>
              </w:rPr>
            </w:pPr>
          </w:p>
        </w:tc>
        <w:tc>
          <w:tcPr>
            <w:tcW w:w="716" w:type="dxa"/>
            <w:vMerge w:val="continue"/>
            <w:tcBorders>
              <w:tl2br w:val="nil"/>
              <w:tr2bl w:val="nil"/>
            </w:tcBorders>
            <w:vAlign w:val="center"/>
          </w:tcPr>
          <w:p w14:paraId="1160A879">
            <w:pPr>
              <w:adjustRightInd w:val="0"/>
              <w:snapToGrid w:val="0"/>
              <w:spacing w:line="240" w:lineRule="auto"/>
              <w:jc w:val="center"/>
              <w:rPr>
                <w:sz w:val="21"/>
                <w:szCs w:val="21"/>
                <w:u w:val="single"/>
              </w:rPr>
            </w:pPr>
          </w:p>
        </w:tc>
        <w:tc>
          <w:tcPr>
            <w:tcW w:w="1276" w:type="dxa"/>
            <w:tcBorders>
              <w:tl2br w:val="nil"/>
              <w:tr2bl w:val="nil"/>
            </w:tcBorders>
            <w:vAlign w:val="center"/>
          </w:tcPr>
          <w:p w14:paraId="3155908F">
            <w:pPr>
              <w:spacing w:line="240" w:lineRule="auto"/>
              <w:jc w:val="center"/>
              <w:rPr>
                <w:sz w:val="21"/>
                <w:szCs w:val="21"/>
                <w:u w:val="single"/>
              </w:rPr>
            </w:pPr>
            <w:r>
              <w:rPr>
                <w:rFonts w:hint="eastAsia"/>
                <w:sz w:val="21"/>
                <w:szCs w:val="21"/>
                <w:u w:val="single"/>
              </w:rPr>
              <w:t>30</w:t>
            </w:r>
          </w:p>
        </w:tc>
        <w:tc>
          <w:tcPr>
            <w:tcW w:w="1134" w:type="dxa"/>
            <w:vMerge w:val="continue"/>
            <w:tcBorders>
              <w:tl2br w:val="nil"/>
              <w:tr2bl w:val="nil"/>
            </w:tcBorders>
            <w:vAlign w:val="center"/>
          </w:tcPr>
          <w:p w14:paraId="716B846B">
            <w:pPr>
              <w:adjustRightInd w:val="0"/>
              <w:snapToGrid w:val="0"/>
              <w:spacing w:line="240" w:lineRule="auto"/>
              <w:jc w:val="center"/>
              <w:rPr>
                <w:sz w:val="21"/>
                <w:szCs w:val="21"/>
                <w:u w:val="single"/>
              </w:rPr>
            </w:pPr>
          </w:p>
        </w:tc>
        <w:tc>
          <w:tcPr>
            <w:tcW w:w="993" w:type="dxa"/>
            <w:tcBorders>
              <w:tl2br w:val="nil"/>
              <w:tr2bl w:val="nil"/>
            </w:tcBorders>
            <w:vAlign w:val="center"/>
          </w:tcPr>
          <w:p w14:paraId="7B0C6C72">
            <w:pPr>
              <w:adjustRightInd w:val="0"/>
              <w:snapToGrid w:val="0"/>
              <w:spacing w:line="240" w:lineRule="auto"/>
              <w:jc w:val="center"/>
              <w:rPr>
                <w:sz w:val="21"/>
                <w:szCs w:val="21"/>
                <w:u w:val="single"/>
              </w:rPr>
            </w:pPr>
            <w:r>
              <w:rPr>
                <w:rFonts w:hint="eastAsia"/>
                <w:sz w:val="21"/>
                <w:szCs w:val="21"/>
                <w:u w:val="single"/>
              </w:rPr>
              <w:t>140</w:t>
            </w:r>
          </w:p>
        </w:tc>
        <w:tc>
          <w:tcPr>
            <w:tcW w:w="1134" w:type="dxa"/>
            <w:tcBorders>
              <w:tl2br w:val="nil"/>
              <w:tr2bl w:val="nil"/>
            </w:tcBorders>
            <w:vAlign w:val="center"/>
          </w:tcPr>
          <w:p w14:paraId="60E28E9A">
            <w:pPr>
              <w:spacing w:line="240" w:lineRule="auto"/>
              <w:jc w:val="center"/>
              <w:rPr>
                <w:sz w:val="21"/>
                <w:szCs w:val="21"/>
                <w:u w:val="single"/>
              </w:rPr>
            </w:pPr>
            <w:r>
              <w:rPr>
                <w:rFonts w:hint="eastAsia"/>
                <w:sz w:val="21"/>
                <w:szCs w:val="21"/>
                <w:u w:val="single"/>
              </w:rPr>
              <w:t>0.3</w:t>
            </w:r>
          </w:p>
        </w:tc>
        <w:tc>
          <w:tcPr>
            <w:tcW w:w="1246" w:type="dxa"/>
            <w:tcBorders>
              <w:tl2br w:val="nil"/>
              <w:tr2bl w:val="nil"/>
            </w:tcBorders>
            <w:vAlign w:val="center"/>
          </w:tcPr>
          <w:p w14:paraId="7726C1F2">
            <w:pPr>
              <w:spacing w:line="240" w:lineRule="auto"/>
              <w:jc w:val="center"/>
              <w:rPr>
                <w:sz w:val="21"/>
                <w:szCs w:val="21"/>
                <w:u w:val="single"/>
              </w:rPr>
            </w:pPr>
            <w:r>
              <w:rPr>
                <w:rFonts w:hint="eastAsia"/>
                <w:sz w:val="21"/>
                <w:szCs w:val="21"/>
                <w:u w:val="single"/>
              </w:rPr>
              <w:t>400</w:t>
            </w:r>
          </w:p>
        </w:tc>
        <w:tc>
          <w:tcPr>
            <w:tcW w:w="738" w:type="dxa"/>
            <w:vMerge w:val="continue"/>
            <w:tcBorders>
              <w:tl2br w:val="nil"/>
              <w:tr2bl w:val="nil"/>
            </w:tcBorders>
            <w:vAlign w:val="center"/>
          </w:tcPr>
          <w:p w14:paraId="2FDD48E0">
            <w:pPr>
              <w:spacing w:line="240" w:lineRule="auto"/>
              <w:jc w:val="center"/>
              <w:rPr>
                <w:sz w:val="21"/>
                <w:szCs w:val="21"/>
                <w:u w:val="single"/>
              </w:rPr>
            </w:pPr>
          </w:p>
        </w:tc>
        <w:tc>
          <w:tcPr>
            <w:tcW w:w="992" w:type="dxa"/>
            <w:tcBorders>
              <w:tl2br w:val="nil"/>
              <w:tr2bl w:val="nil"/>
            </w:tcBorders>
            <w:vAlign w:val="center"/>
          </w:tcPr>
          <w:p w14:paraId="461E681F">
            <w:pPr>
              <w:spacing w:line="240" w:lineRule="auto"/>
              <w:jc w:val="center"/>
              <w:rPr>
                <w:sz w:val="21"/>
                <w:szCs w:val="21"/>
                <w:u w:val="single"/>
              </w:rPr>
            </w:pPr>
            <w:r>
              <w:rPr>
                <w:rFonts w:hint="eastAsia"/>
                <w:sz w:val="21"/>
                <w:szCs w:val="21"/>
                <w:u w:val="single"/>
              </w:rPr>
              <w:t>10</w:t>
            </w:r>
          </w:p>
        </w:tc>
        <w:tc>
          <w:tcPr>
            <w:tcW w:w="1025" w:type="dxa"/>
            <w:tcBorders>
              <w:tl2br w:val="nil"/>
              <w:tr2bl w:val="nil"/>
            </w:tcBorders>
            <w:vAlign w:val="center"/>
          </w:tcPr>
          <w:p w14:paraId="44DBC3D8">
            <w:pPr>
              <w:spacing w:line="240" w:lineRule="auto"/>
              <w:jc w:val="center"/>
              <w:rPr>
                <w:sz w:val="21"/>
                <w:szCs w:val="21"/>
                <w:u w:val="single"/>
              </w:rPr>
            </w:pPr>
            <w:r>
              <w:rPr>
                <w:rFonts w:hint="eastAsia"/>
                <w:sz w:val="21"/>
                <w:szCs w:val="21"/>
                <w:u w:val="single"/>
              </w:rPr>
              <w:t>0.027</w:t>
            </w:r>
          </w:p>
        </w:tc>
      </w:tr>
      <w:tr w14:paraId="01B5DE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1" w:type="dxa"/>
            <w:vMerge w:val="continue"/>
            <w:tcBorders>
              <w:tl2br w:val="nil"/>
              <w:tr2bl w:val="nil"/>
            </w:tcBorders>
            <w:vAlign w:val="center"/>
          </w:tcPr>
          <w:p w14:paraId="5780FFAF">
            <w:pPr>
              <w:pStyle w:val="64"/>
              <w:spacing w:line="240" w:lineRule="auto"/>
              <w:ind w:firstLine="0"/>
              <w:rPr>
                <w:sz w:val="21"/>
                <w:szCs w:val="21"/>
                <w:u w:val="single"/>
              </w:rPr>
            </w:pPr>
          </w:p>
        </w:tc>
        <w:tc>
          <w:tcPr>
            <w:tcW w:w="756" w:type="dxa"/>
            <w:vMerge w:val="continue"/>
            <w:tcBorders>
              <w:tl2br w:val="nil"/>
              <w:tr2bl w:val="nil"/>
            </w:tcBorders>
            <w:vAlign w:val="center"/>
          </w:tcPr>
          <w:p w14:paraId="2FA14242">
            <w:pPr>
              <w:pStyle w:val="64"/>
              <w:spacing w:line="240" w:lineRule="auto"/>
              <w:ind w:firstLine="0"/>
              <w:rPr>
                <w:sz w:val="21"/>
                <w:szCs w:val="21"/>
                <w:u w:val="single"/>
              </w:rPr>
            </w:pPr>
          </w:p>
        </w:tc>
        <w:tc>
          <w:tcPr>
            <w:tcW w:w="849" w:type="dxa"/>
            <w:tcBorders>
              <w:tl2br w:val="nil"/>
              <w:tr2bl w:val="nil"/>
            </w:tcBorders>
            <w:vAlign w:val="center"/>
          </w:tcPr>
          <w:p w14:paraId="570EFFA0">
            <w:pPr>
              <w:pStyle w:val="64"/>
              <w:spacing w:line="240" w:lineRule="auto"/>
              <w:ind w:firstLine="0"/>
              <w:rPr>
                <w:sz w:val="21"/>
                <w:szCs w:val="21"/>
                <w:u w:val="single"/>
              </w:rPr>
            </w:pPr>
            <w:r>
              <w:rPr>
                <w:sz w:val="21"/>
                <w:szCs w:val="21"/>
                <w:u w:val="single"/>
              </w:rPr>
              <w:t>NH</w:t>
            </w:r>
            <w:r>
              <w:rPr>
                <w:sz w:val="21"/>
                <w:szCs w:val="21"/>
                <w:u w:val="single"/>
                <w:vertAlign w:val="subscript"/>
              </w:rPr>
              <w:t>3</w:t>
            </w:r>
            <w:r>
              <w:rPr>
                <w:sz w:val="21"/>
                <w:szCs w:val="21"/>
                <w:u w:val="single"/>
              </w:rPr>
              <w:t>-N</w:t>
            </w:r>
          </w:p>
        </w:tc>
        <w:tc>
          <w:tcPr>
            <w:tcW w:w="1062" w:type="dxa"/>
            <w:tcBorders>
              <w:tl2br w:val="nil"/>
              <w:tr2bl w:val="nil"/>
            </w:tcBorders>
            <w:vAlign w:val="center"/>
          </w:tcPr>
          <w:p w14:paraId="074E0452">
            <w:pPr>
              <w:adjustRightInd w:val="0"/>
              <w:snapToGrid w:val="0"/>
              <w:spacing w:line="240" w:lineRule="auto"/>
              <w:jc w:val="center"/>
              <w:rPr>
                <w:sz w:val="21"/>
                <w:szCs w:val="21"/>
                <w:u w:val="single"/>
              </w:rPr>
            </w:pPr>
            <w:r>
              <w:rPr>
                <w:rFonts w:hint="eastAsia"/>
                <w:sz w:val="21"/>
                <w:szCs w:val="21"/>
                <w:u w:val="single"/>
              </w:rPr>
              <w:t>25</w:t>
            </w:r>
          </w:p>
        </w:tc>
        <w:tc>
          <w:tcPr>
            <w:tcW w:w="976" w:type="dxa"/>
            <w:tcBorders>
              <w:tl2br w:val="nil"/>
              <w:tr2bl w:val="nil"/>
            </w:tcBorders>
            <w:vAlign w:val="center"/>
          </w:tcPr>
          <w:p w14:paraId="256F3E09">
            <w:pPr>
              <w:spacing w:line="240" w:lineRule="auto"/>
              <w:jc w:val="center"/>
              <w:rPr>
                <w:sz w:val="21"/>
                <w:szCs w:val="21"/>
                <w:u w:val="single"/>
              </w:rPr>
            </w:pPr>
            <w:r>
              <w:rPr>
                <w:rFonts w:hint="eastAsia"/>
                <w:sz w:val="21"/>
                <w:szCs w:val="21"/>
                <w:u w:val="single"/>
              </w:rPr>
              <w:t>0.05</w:t>
            </w:r>
          </w:p>
        </w:tc>
        <w:tc>
          <w:tcPr>
            <w:tcW w:w="726" w:type="dxa"/>
            <w:vMerge w:val="continue"/>
            <w:tcBorders>
              <w:tl2br w:val="nil"/>
              <w:tr2bl w:val="nil"/>
            </w:tcBorders>
            <w:vAlign w:val="center"/>
          </w:tcPr>
          <w:p w14:paraId="4534371B">
            <w:pPr>
              <w:adjustRightInd w:val="0"/>
              <w:snapToGrid w:val="0"/>
              <w:spacing w:line="240" w:lineRule="auto"/>
              <w:jc w:val="center"/>
              <w:rPr>
                <w:sz w:val="21"/>
                <w:szCs w:val="21"/>
                <w:u w:val="single"/>
              </w:rPr>
            </w:pPr>
          </w:p>
        </w:tc>
        <w:tc>
          <w:tcPr>
            <w:tcW w:w="716" w:type="dxa"/>
            <w:vMerge w:val="continue"/>
            <w:tcBorders>
              <w:tl2br w:val="nil"/>
              <w:tr2bl w:val="nil"/>
            </w:tcBorders>
            <w:vAlign w:val="center"/>
          </w:tcPr>
          <w:p w14:paraId="1000623E">
            <w:pPr>
              <w:adjustRightInd w:val="0"/>
              <w:snapToGrid w:val="0"/>
              <w:spacing w:line="240" w:lineRule="auto"/>
              <w:jc w:val="center"/>
              <w:rPr>
                <w:sz w:val="21"/>
                <w:szCs w:val="21"/>
                <w:u w:val="single"/>
              </w:rPr>
            </w:pPr>
          </w:p>
        </w:tc>
        <w:tc>
          <w:tcPr>
            <w:tcW w:w="1276" w:type="dxa"/>
            <w:tcBorders>
              <w:tl2br w:val="nil"/>
              <w:tr2bl w:val="nil"/>
            </w:tcBorders>
            <w:vAlign w:val="center"/>
          </w:tcPr>
          <w:p w14:paraId="687EF12E">
            <w:pPr>
              <w:spacing w:line="240" w:lineRule="auto"/>
              <w:jc w:val="center"/>
              <w:rPr>
                <w:sz w:val="21"/>
                <w:szCs w:val="21"/>
                <w:u w:val="single"/>
              </w:rPr>
            </w:pPr>
            <w:r>
              <w:rPr>
                <w:rFonts w:hint="eastAsia"/>
                <w:sz w:val="21"/>
                <w:szCs w:val="21"/>
                <w:u w:val="single"/>
              </w:rPr>
              <w:t>0</w:t>
            </w:r>
          </w:p>
        </w:tc>
        <w:tc>
          <w:tcPr>
            <w:tcW w:w="1134" w:type="dxa"/>
            <w:vMerge w:val="continue"/>
            <w:tcBorders>
              <w:tl2br w:val="nil"/>
              <w:tr2bl w:val="nil"/>
            </w:tcBorders>
            <w:vAlign w:val="center"/>
          </w:tcPr>
          <w:p w14:paraId="6EA91A40">
            <w:pPr>
              <w:adjustRightInd w:val="0"/>
              <w:snapToGrid w:val="0"/>
              <w:spacing w:line="240" w:lineRule="auto"/>
              <w:jc w:val="center"/>
              <w:rPr>
                <w:sz w:val="21"/>
                <w:szCs w:val="21"/>
                <w:u w:val="single"/>
              </w:rPr>
            </w:pPr>
          </w:p>
        </w:tc>
        <w:tc>
          <w:tcPr>
            <w:tcW w:w="993" w:type="dxa"/>
            <w:tcBorders>
              <w:tl2br w:val="nil"/>
              <w:tr2bl w:val="nil"/>
            </w:tcBorders>
            <w:vAlign w:val="center"/>
          </w:tcPr>
          <w:p w14:paraId="6E82B3E0">
            <w:pPr>
              <w:adjustRightInd w:val="0"/>
              <w:snapToGrid w:val="0"/>
              <w:spacing w:line="240" w:lineRule="auto"/>
              <w:jc w:val="center"/>
              <w:rPr>
                <w:sz w:val="21"/>
                <w:szCs w:val="21"/>
                <w:u w:val="single"/>
              </w:rPr>
            </w:pPr>
            <w:r>
              <w:rPr>
                <w:rFonts w:hint="eastAsia"/>
                <w:sz w:val="21"/>
                <w:szCs w:val="21"/>
                <w:u w:val="single"/>
              </w:rPr>
              <w:t>22</w:t>
            </w:r>
          </w:p>
        </w:tc>
        <w:tc>
          <w:tcPr>
            <w:tcW w:w="1134" w:type="dxa"/>
            <w:tcBorders>
              <w:tl2br w:val="nil"/>
              <w:tr2bl w:val="nil"/>
            </w:tcBorders>
            <w:vAlign w:val="center"/>
          </w:tcPr>
          <w:p w14:paraId="50BF53DD">
            <w:pPr>
              <w:spacing w:line="240" w:lineRule="auto"/>
              <w:jc w:val="center"/>
              <w:rPr>
                <w:sz w:val="21"/>
                <w:szCs w:val="21"/>
                <w:u w:val="single"/>
              </w:rPr>
            </w:pPr>
            <w:r>
              <w:rPr>
                <w:rFonts w:hint="eastAsia"/>
                <w:sz w:val="21"/>
                <w:szCs w:val="21"/>
                <w:u w:val="single"/>
              </w:rPr>
              <w:t>0.05</w:t>
            </w:r>
          </w:p>
        </w:tc>
        <w:tc>
          <w:tcPr>
            <w:tcW w:w="1246" w:type="dxa"/>
            <w:tcBorders>
              <w:tl2br w:val="nil"/>
              <w:tr2bl w:val="nil"/>
            </w:tcBorders>
            <w:vAlign w:val="center"/>
          </w:tcPr>
          <w:p w14:paraId="67C72CB1">
            <w:pPr>
              <w:spacing w:line="240" w:lineRule="auto"/>
              <w:jc w:val="center"/>
              <w:rPr>
                <w:sz w:val="21"/>
                <w:szCs w:val="21"/>
                <w:u w:val="single"/>
              </w:rPr>
            </w:pPr>
            <w:r>
              <w:rPr>
                <w:rFonts w:hint="eastAsia"/>
                <w:sz w:val="21"/>
                <w:szCs w:val="21"/>
                <w:u w:val="single"/>
              </w:rPr>
              <w:t>45</w:t>
            </w:r>
          </w:p>
        </w:tc>
        <w:tc>
          <w:tcPr>
            <w:tcW w:w="738" w:type="dxa"/>
            <w:vMerge w:val="continue"/>
            <w:tcBorders>
              <w:tl2br w:val="nil"/>
              <w:tr2bl w:val="nil"/>
            </w:tcBorders>
            <w:vAlign w:val="center"/>
          </w:tcPr>
          <w:p w14:paraId="454770F2">
            <w:pPr>
              <w:spacing w:line="240" w:lineRule="auto"/>
              <w:jc w:val="center"/>
              <w:rPr>
                <w:sz w:val="21"/>
                <w:szCs w:val="21"/>
                <w:u w:val="single"/>
              </w:rPr>
            </w:pPr>
          </w:p>
        </w:tc>
        <w:tc>
          <w:tcPr>
            <w:tcW w:w="992" w:type="dxa"/>
            <w:tcBorders>
              <w:tl2br w:val="nil"/>
              <w:tr2bl w:val="nil"/>
            </w:tcBorders>
            <w:vAlign w:val="center"/>
          </w:tcPr>
          <w:p w14:paraId="455BED7E">
            <w:pPr>
              <w:spacing w:line="240" w:lineRule="auto"/>
              <w:jc w:val="center"/>
              <w:rPr>
                <w:sz w:val="21"/>
                <w:szCs w:val="21"/>
                <w:u w:val="single"/>
              </w:rPr>
            </w:pPr>
            <w:r>
              <w:rPr>
                <w:rFonts w:hint="eastAsia"/>
                <w:sz w:val="21"/>
                <w:szCs w:val="21"/>
                <w:u w:val="single"/>
              </w:rPr>
              <w:t>5</w:t>
            </w:r>
          </w:p>
        </w:tc>
        <w:tc>
          <w:tcPr>
            <w:tcW w:w="1025" w:type="dxa"/>
            <w:tcBorders>
              <w:tl2br w:val="nil"/>
              <w:tr2bl w:val="nil"/>
            </w:tcBorders>
            <w:vAlign w:val="center"/>
          </w:tcPr>
          <w:p w14:paraId="126EBCF2">
            <w:pPr>
              <w:spacing w:line="240" w:lineRule="auto"/>
              <w:jc w:val="center"/>
              <w:rPr>
                <w:sz w:val="21"/>
                <w:szCs w:val="21"/>
                <w:u w:val="single"/>
              </w:rPr>
            </w:pPr>
            <w:r>
              <w:rPr>
                <w:rFonts w:hint="eastAsia"/>
                <w:sz w:val="21"/>
                <w:szCs w:val="21"/>
                <w:u w:val="single"/>
              </w:rPr>
              <w:t>0.01</w:t>
            </w:r>
          </w:p>
        </w:tc>
      </w:tr>
      <w:tr w14:paraId="26A602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1" w:type="dxa"/>
            <w:vMerge w:val="continue"/>
            <w:tcBorders>
              <w:tl2br w:val="nil"/>
              <w:tr2bl w:val="nil"/>
            </w:tcBorders>
            <w:vAlign w:val="center"/>
          </w:tcPr>
          <w:p w14:paraId="385AF654">
            <w:pPr>
              <w:pStyle w:val="64"/>
              <w:spacing w:line="240" w:lineRule="auto"/>
              <w:ind w:firstLine="0"/>
              <w:rPr>
                <w:sz w:val="21"/>
                <w:szCs w:val="21"/>
                <w:u w:val="single"/>
              </w:rPr>
            </w:pPr>
          </w:p>
        </w:tc>
        <w:tc>
          <w:tcPr>
            <w:tcW w:w="756" w:type="dxa"/>
            <w:vMerge w:val="continue"/>
            <w:tcBorders>
              <w:tl2br w:val="nil"/>
              <w:tr2bl w:val="nil"/>
            </w:tcBorders>
            <w:vAlign w:val="center"/>
          </w:tcPr>
          <w:p w14:paraId="30D48B55">
            <w:pPr>
              <w:pStyle w:val="64"/>
              <w:spacing w:line="240" w:lineRule="auto"/>
              <w:ind w:firstLine="0"/>
              <w:rPr>
                <w:sz w:val="21"/>
                <w:szCs w:val="21"/>
                <w:u w:val="single"/>
              </w:rPr>
            </w:pPr>
          </w:p>
        </w:tc>
        <w:tc>
          <w:tcPr>
            <w:tcW w:w="849" w:type="dxa"/>
            <w:tcBorders>
              <w:tl2br w:val="nil"/>
              <w:tr2bl w:val="nil"/>
            </w:tcBorders>
            <w:vAlign w:val="center"/>
          </w:tcPr>
          <w:p w14:paraId="4FF05B52">
            <w:pPr>
              <w:pStyle w:val="64"/>
              <w:spacing w:line="240" w:lineRule="auto"/>
              <w:ind w:firstLine="0"/>
              <w:rPr>
                <w:sz w:val="21"/>
                <w:szCs w:val="21"/>
                <w:u w:val="single"/>
              </w:rPr>
            </w:pPr>
            <w:r>
              <w:rPr>
                <w:rFonts w:hint="eastAsia"/>
                <w:sz w:val="21"/>
                <w:szCs w:val="21"/>
                <w:u w:val="single"/>
              </w:rPr>
              <w:t>动植物油</w:t>
            </w:r>
          </w:p>
        </w:tc>
        <w:tc>
          <w:tcPr>
            <w:tcW w:w="1062" w:type="dxa"/>
            <w:tcBorders>
              <w:tl2br w:val="nil"/>
              <w:tr2bl w:val="nil"/>
            </w:tcBorders>
            <w:vAlign w:val="center"/>
          </w:tcPr>
          <w:p w14:paraId="7EAD0D77">
            <w:pPr>
              <w:adjustRightInd w:val="0"/>
              <w:snapToGrid w:val="0"/>
              <w:spacing w:line="240" w:lineRule="auto"/>
              <w:jc w:val="center"/>
              <w:rPr>
                <w:sz w:val="21"/>
                <w:szCs w:val="21"/>
                <w:u w:val="single"/>
              </w:rPr>
            </w:pPr>
            <w:r>
              <w:rPr>
                <w:rFonts w:hint="eastAsia"/>
                <w:sz w:val="21"/>
                <w:szCs w:val="21"/>
                <w:u w:val="single"/>
              </w:rPr>
              <w:t>100</w:t>
            </w:r>
          </w:p>
        </w:tc>
        <w:tc>
          <w:tcPr>
            <w:tcW w:w="976" w:type="dxa"/>
            <w:tcBorders>
              <w:tl2br w:val="nil"/>
              <w:tr2bl w:val="nil"/>
            </w:tcBorders>
            <w:vAlign w:val="center"/>
          </w:tcPr>
          <w:p w14:paraId="130288C1">
            <w:pPr>
              <w:spacing w:line="240" w:lineRule="auto"/>
              <w:jc w:val="center"/>
              <w:rPr>
                <w:sz w:val="21"/>
                <w:szCs w:val="21"/>
                <w:u w:val="single"/>
              </w:rPr>
            </w:pPr>
            <w:r>
              <w:rPr>
                <w:rFonts w:hint="eastAsia"/>
                <w:sz w:val="21"/>
                <w:szCs w:val="21"/>
                <w:u w:val="single"/>
              </w:rPr>
              <w:t>0.22</w:t>
            </w:r>
          </w:p>
        </w:tc>
        <w:tc>
          <w:tcPr>
            <w:tcW w:w="726" w:type="dxa"/>
            <w:vMerge w:val="continue"/>
            <w:tcBorders>
              <w:tl2br w:val="nil"/>
              <w:tr2bl w:val="nil"/>
            </w:tcBorders>
            <w:vAlign w:val="center"/>
          </w:tcPr>
          <w:p w14:paraId="322488EE">
            <w:pPr>
              <w:adjustRightInd w:val="0"/>
              <w:snapToGrid w:val="0"/>
              <w:spacing w:line="240" w:lineRule="auto"/>
              <w:jc w:val="center"/>
              <w:rPr>
                <w:color w:val="FF0000"/>
                <w:sz w:val="21"/>
                <w:szCs w:val="21"/>
                <w:u w:val="single"/>
              </w:rPr>
            </w:pPr>
          </w:p>
        </w:tc>
        <w:tc>
          <w:tcPr>
            <w:tcW w:w="716" w:type="dxa"/>
            <w:vMerge w:val="continue"/>
            <w:tcBorders>
              <w:tl2br w:val="nil"/>
              <w:tr2bl w:val="nil"/>
            </w:tcBorders>
            <w:vAlign w:val="center"/>
          </w:tcPr>
          <w:p w14:paraId="1A6AC09F">
            <w:pPr>
              <w:adjustRightInd w:val="0"/>
              <w:snapToGrid w:val="0"/>
              <w:spacing w:line="240" w:lineRule="auto"/>
              <w:jc w:val="center"/>
              <w:rPr>
                <w:color w:val="FF0000"/>
                <w:sz w:val="21"/>
                <w:szCs w:val="21"/>
                <w:u w:val="single"/>
              </w:rPr>
            </w:pPr>
          </w:p>
        </w:tc>
        <w:tc>
          <w:tcPr>
            <w:tcW w:w="1276" w:type="dxa"/>
            <w:tcBorders>
              <w:tl2br w:val="nil"/>
              <w:tr2bl w:val="nil"/>
            </w:tcBorders>
            <w:vAlign w:val="center"/>
          </w:tcPr>
          <w:p w14:paraId="27C0656B">
            <w:pPr>
              <w:spacing w:line="240" w:lineRule="auto"/>
              <w:jc w:val="center"/>
              <w:rPr>
                <w:color w:val="FF0000"/>
                <w:sz w:val="21"/>
                <w:szCs w:val="21"/>
                <w:u w:val="single"/>
              </w:rPr>
            </w:pPr>
            <w:r>
              <w:rPr>
                <w:rFonts w:hint="eastAsia"/>
                <w:sz w:val="21"/>
                <w:szCs w:val="21"/>
                <w:u w:val="single"/>
              </w:rPr>
              <w:t>60</w:t>
            </w:r>
          </w:p>
        </w:tc>
        <w:tc>
          <w:tcPr>
            <w:tcW w:w="1134" w:type="dxa"/>
            <w:vMerge w:val="continue"/>
            <w:tcBorders>
              <w:tl2br w:val="nil"/>
              <w:tr2bl w:val="nil"/>
            </w:tcBorders>
            <w:vAlign w:val="center"/>
          </w:tcPr>
          <w:p w14:paraId="0EEBB3A0">
            <w:pPr>
              <w:adjustRightInd w:val="0"/>
              <w:snapToGrid w:val="0"/>
              <w:spacing w:line="240" w:lineRule="auto"/>
              <w:jc w:val="center"/>
              <w:rPr>
                <w:color w:val="FF0000"/>
                <w:sz w:val="21"/>
                <w:szCs w:val="21"/>
                <w:u w:val="single"/>
              </w:rPr>
            </w:pPr>
          </w:p>
        </w:tc>
        <w:tc>
          <w:tcPr>
            <w:tcW w:w="993" w:type="dxa"/>
            <w:tcBorders>
              <w:tl2br w:val="nil"/>
              <w:tr2bl w:val="nil"/>
            </w:tcBorders>
            <w:vAlign w:val="center"/>
          </w:tcPr>
          <w:p w14:paraId="07E7B898">
            <w:pPr>
              <w:adjustRightInd w:val="0"/>
              <w:snapToGrid w:val="0"/>
              <w:spacing w:line="240" w:lineRule="auto"/>
              <w:jc w:val="center"/>
              <w:rPr>
                <w:sz w:val="21"/>
                <w:szCs w:val="21"/>
                <w:u w:val="single"/>
              </w:rPr>
            </w:pPr>
            <w:r>
              <w:rPr>
                <w:rFonts w:hint="eastAsia"/>
                <w:sz w:val="21"/>
                <w:szCs w:val="21"/>
                <w:u w:val="single"/>
              </w:rPr>
              <w:t>40</w:t>
            </w:r>
          </w:p>
        </w:tc>
        <w:tc>
          <w:tcPr>
            <w:tcW w:w="1134" w:type="dxa"/>
            <w:tcBorders>
              <w:tl2br w:val="nil"/>
              <w:tr2bl w:val="nil"/>
            </w:tcBorders>
            <w:vAlign w:val="center"/>
          </w:tcPr>
          <w:p w14:paraId="05794819">
            <w:pPr>
              <w:spacing w:line="240" w:lineRule="auto"/>
              <w:jc w:val="center"/>
              <w:rPr>
                <w:sz w:val="21"/>
                <w:szCs w:val="21"/>
                <w:u w:val="single"/>
              </w:rPr>
            </w:pPr>
            <w:r>
              <w:rPr>
                <w:rFonts w:hint="eastAsia"/>
                <w:sz w:val="21"/>
                <w:szCs w:val="21"/>
                <w:u w:val="single"/>
              </w:rPr>
              <w:t>0.09</w:t>
            </w:r>
          </w:p>
        </w:tc>
        <w:tc>
          <w:tcPr>
            <w:tcW w:w="1246" w:type="dxa"/>
            <w:tcBorders>
              <w:tl2br w:val="nil"/>
              <w:tr2bl w:val="nil"/>
            </w:tcBorders>
            <w:vAlign w:val="center"/>
          </w:tcPr>
          <w:p w14:paraId="2B864923">
            <w:pPr>
              <w:spacing w:line="240" w:lineRule="auto"/>
              <w:jc w:val="center"/>
              <w:rPr>
                <w:sz w:val="21"/>
                <w:szCs w:val="21"/>
                <w:u w:val="single"/>
              </w:rPr>
            </w:pPr>
            <w:r>
              <w:rPr>
                <w:rFonts w:hint="eastAsia"/>
                <w:sz w:val="21"/>
                <w:szCs w:val="21"/>
                <w:u w:val="single"/>
              </w:rPr>
              <w:t>100</w:t>
            </w:r>
          </w:p>
        </w:tc>
        <w:tc>
          <w:tcPr>
            <w:tcW w:w="738" w:type="dxa"/>
            <w:vMerge w:val="continue"/>
            <w:tcBorders>
              <w:tl2br w:val="nil"/>
              <w:tr2bl w:val="nil"/>
            </w:tcBorders>
            <w:vAlign w:val="center"/>
          </w:tcPr>
          <w:p w14:paraId="330DE50E">
            <w:pPr>
              <w:spacing w:line="240" w:lineRule="auto"/>
              <w:jc w:val="center"/>
              <w:rPr>
                <w:color w:val="FF0000"/>
                <w:sz w:val="21"/>
                <w:szCs w:val="21"/>
                <w:u w:val="single"/>
              </w:rPr>
            </w:pPr>
          </w:p>
        </w:tc>
        <w:tc>
          <w:tcPr>
            <w:tcW w:w="992" w:type="dxa"/>
            <w:tcBorders>
              <w:tl2br w:val="nil"/>
              <w:tr2bl w:val="nil"/>
            </w:tcBorders>
            <w:vAlign w:val="center"/>
          </w:tcPr>
          <w:p w14:paraId="04FD9926">
            <w:pPr>
              <w:spacing w:line="240" w:lineRule="auto"/>
              <w:jc w:val="center"/>
              <w:rPr>
                <w:sz w:val="21"/>
                <w:szCs w:val="21"/>
                <w:u w:val="single"/>
              </w:rPr>
            </w:pPr>
            <w:r>
              <w:rPr>
                <w:rFonts w:hint="eastAsia"/>
                <w:sz w:val="21"/>
                <w:szCs w:val="21"/>
                <w:u w:val="single"/>
              </w:rPr>
              <w:t>1</w:t>
            </w:r>
          </w:p>
        </w:tc>
        <w:tc>
          <w:tcPr>
            <w:tcW w:w="1025" w:type="dxa"/>
            <w:tcBorders>
              <w:tl2br w:val="nil"/>
              <w:tr2bl w:val="nil"/>
            </w:tcBorders>
            <w:vAlign w:val="center"/>
          </w:tcPr>
          <w:p w14:paraId="6906AC68">
            <w:pPr>
              <w:spacing w:line="240" w:lineRule="auto"/>
              <w:jc w:val="center"/>
              <w:rPr>
                <w:sz w:val="21"/>
                <w:szCs w:val="21"/>
                <w:u w:val="single"/>
              </w:rPr>
            </w:pPr>
            <w:r>
              <w:rPr>
                <w:rFonts w:hint="eastAsia"/>
                <w:sz w:val="21"/>
                <w:szCs w:val="21"/>
                <w:u w:val="single"/>
              </w:rPr>
              <w:t>0.002</w:t>
            </w:r>
          </w:p>
        </w:tc>
      </w:tr>
    </w:tbl>
    <w:p w14:paraId="504B2266">
      <w:pPr>
        <w:pStyle w:val="38"/>
        <w:ind w:firstLine="480"/>
        <w:rPr>
          <w:u w:val="single"/>
        </w:rPr>
      </w:pPr>
    </w:p>
    <w:p w14:paraId="3BEECA9C">
      <w:pPr>
        <w:pStyle w:val="38"/>
        <w:ind w:firstLine="480"/>
        <w:rPr>
          <w:u w:val="single"/>
        </w:rPr>
      </w:pPr>
    </w:p>
    <w:p w14:paraId="16663BDB">
      <w:pPr>
        <w:pStyle w:val="51"/>
        <w:widowControl w:val="0"/>
        <w:numPr>
          <w:ilvl w:val="5"/>
          <w:numId w:val="0"/>
        </w:numPr>
        <w:tabs>
          <w:tab w:val="left" w:pos="567"/>
          <w:tab w:val="clear" w:pos="0"/>
        </w:tabs>
        <w:spacing w:before="163"/>
        <w:ind w:left="-2956" w:leftChars="0" w:hanging="2123" w:firstLineChars="0"/>
        <w:rPr>
          <w:u w:val="single"/>
        </w:rPr>
      </w:pP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表3.2-13 </w:t>
      </w:r>
      <w:r>
        <w:rPr>
          <w:rFonts w:hint="eastAsia"/>
          <w:u w:val="single"/>
        </w:rPr>
        <w:t xml:space="preserve">    </w:t>
      </w:r>
      <w:r>
        <w:rPr>
          <w:rFonts w:hint="eastAsia"/>
          <w:u w:val="single"/>
          <w:lang w:val="en-US" w:eastAsia="zh-CN"/>
        </w:rPr>
        <w:t>在建工程</w:t>
      </w:r>
      <w:r>
        <w:rPr>
          <w:rFonts w:hint="eastAsia"/>
          <w:u w:val="single"/>
        </w:rPr>
        <w:t>固体废物处置方式汇总</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autofit"/>
        <w:tblCellMar>
          <w:top w:w="0" w:type="dxa"/>
          <w:left w:w="108" w:type="dxa"/>
          <w:bottom w:w="0" w:type="dxa"/>
          <w:right w:w="108" w:type="dxa"/>
        </w:tblCellMar>
      </w:tblPr>
      <w:tblGrid>
        <w:gridCol w:w="718"/>
        <w:gridCol w:w="1193"/>
        <w:gridCol w:w="1422"/>
        <w:gridCol w:w="985"/>
        <w:gridCol w:w="2197"/>
        <w:gridCol w:w="1578"/>
        <w:gridCol w:w="1030"/>
        <w:gridCol w:w="1580"/>
        <w:gridCol w:w="2114"/>
        <w:gridCol w:w="1357"/>
      </w:tblGrid>
      <w:tr w14:paraId="3E65A90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13007F19">
            <w:pPr>
              <w:pStyle w:val="64"/>
              <w:spacing w:line="240" w:lineRule="auto"/>
              <w:ind w:firstLine="0"/>
              <w:rPr>
                <w:sz w:val="21"/>
                <w:szCs w:val="21"/>
                <w:u w:val="single"/>
              </w:rPr>
            </w:pPr>
            <w:r>
              <w:rPr>
                <w:sz w:val="21"/>
                <w:szCs w:val="21"/>
                <w:u w:val="single"/>
              </w:rPr>
              <w:t>序号</w:t>
            </w:r>
          </w:p>
        </w:tc>
        <w:tc>
          <w:tcPr>
            <w:tcW w:w="1193" w:type="dxa"/>
            <w:tcBorders>
              <w:tl2br w:val="nil"/>
              <w:tr2bl w:val="nil"/>
            </w:tcBorders>
            <w:vAlign w:val="center"/>
          </w:tcPr>
          <w:p w14:paraId="146CF833">
            <w:pPr>
              <w:pStyle w:val="64"/>
              <w:spacing w:line="240" w:lineRule="auto"/>
              <w:ind w:firstLine="0"/>
              <w:rPr>
                <w:sz w:val="21"/>
                <w:szCs w:val="21"/>
                <w:u w:val="single"/>
              </w:rPr>
            </w:pPr>
            <w:r>
              <w:rPr>
                <w:sz w:val="21"/>
                <w:szCs w:val="21"/>
                <w:u w:val="single"/>
              </w:rPr>
              <w:t>固体废物</w:t>
            </w:r>
          </w:p>
          <w:p w14:paraId="75C455DC">
            <w:pPr>
              <w:pStyle w:val="64"/>
              <w:spacing w:line="240" w:lineRule="auto"/>
              <w:ind w:firstLine="0"/>
              <w:rPr>
                <w:sz w:val="21"/>
                <w:szCs w:val="21"/>
                <w:u w:val="single"/>
              </w:rPr>
            </w:pPr>
            <w:r>
              <w:rPr>
                <w:sz w:val="21"/>
                <w:szCs w:val="21"/>
                <w:u w:val="single"/>
              </w:rPr>
              <w:t>名称</w:t>
            </w:r>
          </w:p>
        </w:tc>
        <w:tc>
          <w:tcPr>
            <w:tcW w:w="1422" w:type="dxa"/>
            <w:tcBorders>
              <w:tl2br w:val="nil"/>
              <w:tr2bl w:val="nil"/>
            </w:tcBorders>
            <w:vAlign w:val="center"/>
          </w:tcPr>
          <w:p w14:paraId="4AF33F7F">
            <w:pPr>
              <w:pStyle w:val="64"/>
              <w:spacing w:line="240" w:lineRule="auto"/>
              <w:ind w:firstLine="0"/>
              <w:rPr>
                <w:sz w:val="21"/>
                <w:szCs w:val="21"/>
                <w:u w:val="single"/>
              </w:rPr>
            </w:pPr>
            <w:r>
              <w:rPr>
                <w:sz w:val="21"/>
                <w:szCs w:val="21"/>
                <w:u w:val="single"/>
              </w:rPr>
              <w:t>产生工序</w:t>
            </w:r>
          </w:p>
        </w:tc>
        <w:tc>
          <w:tcPr>
            <w:tcW w:w="985" w:type="dxa"/>
            <w:tcBorders>
              <w:tl2br w:val="nil"/>
              <w:tr2bl w:val="nil"/>
            </w:tcBorders>
            <w:vAlign w:val="center"/>
          </w:tcPr>
          <w:p w14:paraId="6CCD3867">
            <w:pPr>
              <w:pStyle w:val="64"/>
              <w:spacing w:line="240" w:lineRule="auto"/>
              <w:ind w:firstLine="0"/>
              <w:rPr>
                <w:sz w:val="21"/>
                <w:szCs w:val="21"/>
                <w:u w:val="single"/>
              </w:rPr>
            </w:pPr>
            <w:r>
              <w:rPr>
                <w:sz w:val="21"/>
                <w:szCs w:val="21"/>
                <w:u w:val="single"/>
              </w:rPr>
              <w:t>属性</w:t>
            </w:r>
          </w:p>
        </w:tc>
        <w:tc>
          <w:tcPr>
            <w:tcW w:w="2197" w:type="dxa"/>
            <w:tcBorders>
              <w:tl2br w:val="nil"/>
              <w:tr2bl w:val="nil"/>
            </w:tcBorders>
            <w:vAlign w:val="center"/>
          </w:tcPr>
          <w:p w14:paraId="18569373">
            <w:pPr>
              <w:pStyle w:val="64"/>
              <w:spacing w:line="240" w:lineRule="auto"/>
              <w:ind w:firstLine="0"/>
              <w:rPr>
                <w:sz w:val="21"/>
                <w:szCs w:val="21"/>
                <w:u w:val="single"/>
              </w:rPr>
            </w:pPr>
            <w:r>
              <w:rPr>
                <w:sz w:val="21"/>
                <w:szCs w:val="21"/>
                <w:u w:val="single"/>
              </w:rPr>
              <w:t>危险废物类别/代码</w:t>
            </w:r>
          </w:p>
        </w:tc>
        <w:tc>
          <w:tcPr>
            <w:tcW w:w="1578" w:type="dxa"/>
            <w:tcBorders>
              <w:tl2br w:val="nil"/>
              <w:tr2bl w:val="nil"/>
            </w:tcBorders>
            <w:vAlign w:val="center"/>
          </w:tcPr>
          <w:p w14:paraId="06C6232D">
            <w:pPr>
              <w:pStyle w:val="64"/>
              <w:spacing w:line="240" w:lineRule="auto"/>
              <w:ind w:firstLine="0"/>
              <w:rPr>
                <w:sz w:val="21"/>
                <w:szCs w:val="21"/>
                <w:u w:val="single"/>
              </w:rPr>
            </w:pPr>
            <w:r>
              <w:rPr>
                <w:sz w:val="21"/>
                <w:szCs w:val="21"/>
                <w:u w:val="single"/>
              </w:rPr>
              <w:t>预测产生量</w:t>
            </w:r>
          </w:p>
        </w:tc>
        <w:tc>
          <w:tcPr>
            <w:tcW w:w="1030" w:type="dxa"/>
            <w:tcBorders>
              <w:tl2br w:val="nil"/>
              <w:tr2bl w:val="nil"/>
            </w:tcBorders>
            <w:vAlign w:val="center"/>
          </w:tcPr>
          <w:p w14:paraId="07746FA1">
            <w:pPr>
              <w:pStyle w:val="64"/>
              <w:spacing w:line="240" w:lineRule="auto"/>
              <w:ind w:firstLine="0"/>
              <w:rPr>
                <w:sz w:val="21"/>
                <w:szCs w:val="21"/>
                <w:u w:val="single"/>
              </w:rPr>
            </w:pPr>
            <w:r>
              <w:rPr>
                <w:sz w:val="21"/>
                <w:szCs w:val="21"/>
                <w:u w:val="single"/>
              </w:rPr>
              <w:t>贮存周期</w:t>
            </w:r>
          </w:p>
        </w:tc>
        <w:tc>
          <w:tcPr>
            <w:tcW w:w="1580" w:type="dxa"/>
            <w:tcBorders>
              <w:tl2br w:val="nil"/>
              <w:tr2bl w:val="nil"/>
            </w:tcBorders>
            <w:vAlign w:val="center"/>
          </w:tcPr>
          <w:p w14:paraId="0DFD56A6">
            <w:pPr>
              <w:pStyle w:val="64"/>
              <w:spacing w:line="240" w:lineRule="auto"/>
              <w:ind w:firstLine="0"/>
              <w:rPr>
                <w:sz w:val="21"/>
                <w:szCs w:val="21"/>
                <w:u w:val="single"/>
              </w:rPr>
            </w:pPr>
            <w:r>
              <w:rPr>
                <w:sz w:val="21"/>
                <w:szCs w:val="21"/>
                <w:u w:val="single"/>
              </w:rPr>
              <w:t>危险特性</w:t>
            </w:r>
          </w:p>
        </w:tc>
        <w:tc>
          <w:tcPr>
            <w:tcW w:w="2114" w:type="dxa"/>
            <w:tcBorders>
              <w:tl2br w:val="nil"/>
              <w:tr2bl w:val="nil"/>
            </w:tcBorders>
            <w:vAlign w:val="center"/>
          </w:tcPr>
          <w:p w14:paraId="69AC12E8">
            <w:pPr>
              <w:pStyle w:val="64"/>
              <w:spacing w:line="240" w:lineRule="auto"/>
              <w:ind w:firstLine="0"/>
              <w:rPr>
                <w:sz w:val="21"/>
                <w:szCs w:val="21"/>
                <w:u w:val="single"/>
              </w:rPr>
            </w:pPr>
            <w:r>
              <w:rPr>
                <w:sz w:val="21"/>
                <w:szCs w:val="21"/>
                <w:u w:val="single"/>
              </w:rPr>
              <w:t>利用处置方式</w:t>
            </w:r>
          </w:p>
        </w:tc>
        <w:tc>
          <w:tcPr>
            <w:tcW w:w="1357" w:type="dxa"/>
            <w:tcBorders>
              <w:tl2br w:val="nil"/>
              <w:tr2bl w:val="nil"/>
            </w:tcBorders>
            <w:vAlign w:val="center"/>
          </w:tcPr>
          <w:p w14:paraId="1D2869AB">
            <w:pPr>
              <w:pStyle w:val="64"/>
              <w:spacing w:line="240" w:lineRule="auto"/>
              <w:ind w:firstLine="0"/>
              <w:rPr>
                <w:sz w:val="21"/>
                <w:szCs w:val="21"/>
                <w:u w:val="single"/>
              </w:rPr>
            </w:pPr>
            <w:r>
              <w:rPr>
                <w:sz w:val="21"/>
                <w:szCs w:val="21"/>
                <w:u w:val="single"/>
              </w:rPr>
              <w:t>是否符合环保要求</w:t>
            </w:r>
          </w:p>
        </w:tc>
      </w:tr>
      <w:tr w14:paraId="37C94BD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1C536DA1">
            <w:pPr>
              <w:pStyle w:val="64"/>
              <w:spacing w:line="240" w:lineRule="auto"/>
              <w:ind w:firstLine="0"/>
              <w:rPr>
                <w:sz w:val="21"/>
                <w:szCs w:val="21"/>
                <w:u w:val="single"/>
              </w:rPr>
            </w:pPr>
            <w:r>
              <w:rPr>
                <w:sz w:val="21"/>
                <w:szCs w:val="21"/>
                <w:u w:val="single"/>
              </w:rPr>
              <w:t>1</w:t>
            </w:r>
          </w:p>
        </w:tc>
        <w:tc>
          <w:tcPr>
            <w:tcW w:w="1193" w:type="dxa"/>
            <w:tcBorders>
              <w:tl2br w:val="nil"/>
              <w:tr2bl w:val="nil"/>
            </w:tcBorders>
            <w:vAlign w:val="center"/>
          </w:tcPr>
          <w:p w14:paraId="31CD2272">
            <w:pPr>
              <w:pStyle w:val="64"/>
              <w:spacing w:line="240" w:lineRule="auto"/>
              <w:ind w:firstLine="0"/>
              <w:rPr>
                <w:sz w:val="21"/>
                <w:szCs w:val="21"/>
                <w:u w:val="single"/>
              </w:rPr>
            </w:pPr>
            <w:r>
              <w:rPr>
                <w:rFonts w:hint="eastAsia"/>
                <w:sz w:val="21"/>
                <w:szCs w:val="21"/>
                <w:u w:val="single"/>
              </w:rPr>
              <w:t>废印刷版</w:t>
            </w:r>
          </w:p>
        </w:tc>
        <w:tc>
          <w:tcPr>
            <w:tcW w:w="1422" w:type="dxa"/>
            <w:tcBorders>
              <w:tl2br w:val="nil"/>
              <w:tr2bl w:val="nil"/>
            </w:tcBorders>
            <w:vAlign w:val="center"/>
          </w:tcPr>
          <w:p w14:paraId="28E94D09">
            <w:pPr>
              <w:pStyle w:val="64"/>
              <w:spacing w:line="240" w:lineRule="auto"/>
              <w:ind w:firstLine="0"/>
              <w:rPr>
                <w:sz w:val="21"/>
                <w:szCs w:val="21"/>
                <w:u w:val="single"/>
              </w:rPr>
            </w:pPr>
            <w:r>
              <w:rPr>
                <w:sz w:val="21"/>
                <w:szCs w:val="21"/>
                <w:u w:val="single"/>
              </w:rPr>
              <w:t>印刷</w:t>
            </w:r>
          </w:p>
        </w:tc>
        <w:tc>
          <w:tcPr>
            <w:tcW w:w="985" w:type="dxa"/>
            <w:vMerge w:val="restart"/>
            <w:tcBorders>
              <w:tl2br w:val="nil"/>
              <w:tr2bl w:val="nil"/>
            </w:tcBorders>
            <w:vAlign w:val="center"/>
          </w:tcPr>
          <w:p w14:paraId="5FF33DAD">
            <w:pPr>
              <w:pStyle w:val="64"/>
              <w:spacing w:line="240" w:lineRule="auto"/>
              <w:ind w:firstLine="0"/>
              <w:rPr>
                <w:sz w:val="21"/>
                <w:szCs w:val="21"/>
                <w:u w:val="single"/>
              </w:rPr>
            </w:pPr>
            <w:r>
              <w:rPr>
                <w:sz w:val="21"/>
                <w:szCs w:val="21"/>
                <w:u w:val="single"/>
              </w:rPr>
              <w:t>一般固废</w:t>
            </w:r>
          </w:p>
        </w:tc>
        <w:tc>
          <w:tcPr>
            <w:tcW w:w="2197" w:type="dxa"/>
            <w:tcBorders>
              <w:tl2br w:val="nil"/>
              <w:tr2bl w:val="nil"/>
            </w:tcBorders>
            <w:vAlign w:val="center"/>
          </w:tcPr>
          <w:p w14:paraId="18CB6059">
            <w:pPr>
              <w:pStyle w:val="64"/>
              <w:spacing w:line="240" w:lineRule="auto"/>
              <w:ind w:firstLine="0"/>
              <w:rPr>
                <w:sz w:val="21"/>
                <w:szCs w:val="21"/>
                <w:u w:val="single"/>
              </w:rPr>
            </w:pPr>
            <w:r>
              <w:rPr>
                <w:sz w:val="21"/>
                <w:szCs w:val="21"/>
                <w:u w:val="single"/>
              </w:rPr>
              <w:t>/</w:t>
            </w:r>
          </w:p>
        </w:tc>
        <w:tc>
          <w:tcPr>
            <w:tcW w:w="1578" w:type="dxa"/>
            <w:tcBorders>
              <w:tl2br w:val="nil"/>
              <w:tr2bl w:val="nil"/>
            </w:tcBorders>
            <w:vAlign w:val="center"/>
          </w:tcPr>
          <w:p w14:paraId="380598E6">
            <w:pPr>
              <w:pStyle w:val="64"/>
              <w:spacing w:line="240" w:lineRule="auto"/>
              <w:ind w:firstLine="0"/>
              <w:rPr>
                <w:sz w:val="21"/>
                <w:szCs w:val="21"/>
                <w:u w:val="single"/>
              </w:rPr>
            </w:pPr>
            <w:r>
              <w:rPr>
                <w:rFonts w:hint="eastAsia"/>
                <w:sz w:val="21"/>
                <w:szCs w:val="21"/>
                <w:u w:val="single"/>
              </w:rPr>
              <w:t>1800只/a</w:t>
            </w:r>
          </w:p>
        </w:tc>
        <w:tc>
          <w:tcPr>
            <w:tcW w:w="1030" w:type="dxa"/>
            <w:tcBorders>
              <w:tl2br w:val="nil"/>
              <w:tr2bl w:val="nil"/>
            </w:tcBorders>
            <w:vAlign w:val="center"/>
          </w:tcPr>
          <w:p w14:paraId="4BA5BC7A">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1C11DCCB">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452A2B8D">
            <w:pPr>
              <w:pStyle w:val="64"/>
              <w:spacing w:line="240" w:lineRule="auto"/>
              <w:ind w:firstLine="0"/>
              <w:rPr>
                <w:sz w:val="21"/>
                <w:szCs w:val="21"/>
                <w:u w:val="single"/>
              </w:rPr>
            </w:pPr>
            <w:r>
              <w:rPr>
                <w:sz w:val="21"/>
                <w:szCs w:val="21"/>
                <w:u w:val="single"/>
              </w:rPr>
              <w:t>交由原厂商进行回收、再利用</w:t>
            </w:r>
          </w:p>
        </w:tc>
        <w:tc>
          <w:tcPr>
            <w:tcW w:w="1357" w:type="dxa"/>
            <w:tcBorders>
              <w:tl2br w:val="nil"/>
              <w:tr2bl w:val="nil"/>
            </w:tcBorders>
            <w:vAlign w:val="center"/>
          </w:tcPr>
          <w:p w14:paraId="2D569FC7">
            <w:pPr>
              <w:pStyle w:val="64"/>
              <w:spacing w:line="240" w:lineRule="auto"/>
              <w:ind w:firstLine="0"/>
              <w:rPr>
                <w:sz w:val="21"/>
                <w:szCs w:val="21"/>
                <w:u w:val="single"/>
              </w:rPr>
            </w:pPr>
            <w:r>
              <w:rPr>
                <w:sz w:val="21"/>
                <w:szCs w:val="21"/>
                <w:u w:val="single"/>
              </w:rPr>
              <w:t>符合</w:t>
            </w:r>
          </w:p>
        </w:tc>
      </w:tr>
      <w:tr w14:paraId="29EFF03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6CA6AD55">
            <w:pPr>
              <w:pStyle w:val="64"/>
              <w:spacing w:line="240" w:lineRule="auto"/>
              <w:ind w:firstLine="0"/>
              <w:rPr>
                <w:sz w:val="21"/>
                <w:szCs w:val="21"/>
                <w:u w:val="single"/>
              </w:rPr>
            </w:pPr>
            <w:r>
              <w:rPr>
                <w:sz w:val="21"/>
                <w:szCs w:val="21"/>
                <w:u w:val="single"/>
              </w:rPr>
              <w:t>2</w:t>
            </w:r>
          </w:p>
        </w:tc>
        <w:tc>
          <w:tcPr>
            <w:tcW w:w="1193" w:type="dxa"/>
            <w:tcBorders>
              <w:tl2br w:val="nil"/>
              <w:tr2bl w:val="nil"/>
            </w:tcBorders>
            <w:vAlign w:val="center"/>
          </w:tcPr>
          <w:p w14:paraId="1472654D">
            <w:pPr>
              <w:pStyle w:val="64"/>
              <w:spacing w:line="240" w:lineRule="auto"/>
              <w:ind w:firstLine="0"/>
              <w:rPr>
                <w:sz w:val="21"/>
                <w:szCs w:val="21"/>
                <w:u w:val="single"/>
              </w:rPr>
            </w:pPr>
            <w:r>
              <w:rPr>
                <w:rFonts w:hint="eastAsia"/>
                <w:sz w:val="21"/>
                <w:szCs w:val="21"/>
                <w:u w:val="single"/>
              </w:rPr>
              <w:t>废边角料</w:t>
            </w:r>
          </w:p>
        </w:tc>
        <w:tc>
          <w:tcPr>
            <w:tcW w:w="1422" w:type="dxa"/>
            <w:tcBorders>
              <w:tl2br w:val="nil"/>
              <w:tr2bl w:val="nil"/>
            </w:tcBorders>
            <w:vAlign w:val="center"/>
          </w:tcPr>
          <w:p w14:paraId="3F98308B">
            <w:pPr>
              <w:pStyle w:val="64"/>
              <w:spacing w:line="240" w:lineRule="auto"/>
              <w:ind w:firstLine="0"/>
              <w:rPr>
                <w:sz w:val="21"/>
                <w:szCs w:val="21"/>
                <w:u w:val="single"/>
              </w:rPr>
            </w:pPr>
            <w:r>
              <w:rPr>
                <w:sz w:val="21"/>
                <w:szCs w:val="21"/>
                <w:u w:val="single"/>
              </w:rPr>
              <w:t>分切及制袋过程中</w:t>
            </w:r>
          </w:p>
        </w:tc>
        <w:tc>
          <w:tcPr>
            <w:tcW w:w="985" w:type="dxa"/>
            <w:vMerge w:val="continue"/>
            <w:tcBorders>
              <w:tl2br w:val="nil"/>
              <w:tr2bl w:val="nil"/>
            </w:tcBorders>
            <w:vAlign w:val="center"/>
          </w:tcPr>
          <w:p w14:paraId="6A41AADB">
            <w:pPr>
              <w:pStyle w:val="64"/>
              <w:spacing w:line="240" w:lineRule="auto"/>
              <w:ind w:firstLine="0"/>
              <w:rPr>
                <w:sz w:val="21"/>
                <w:szCs w:val="21"/>
                <w:u w:val="single"/>
              </w:rPr>
            </w:pPr>
          </w:p>
        </w:tc>
        <w:tc>
          <w:tcPr>
            <w:tcW w:w="2197" w:type="dxa"/>
            <w:tcBorders>
              <w:tl2br w:val="nil"/>
              <w:tr2bl w:val="nil"/>
            </w:tcBorders>
            <w:vAlign w:val="center"/>
          </w:tcPr>
          <w:p w14:paraId="3E8682AB">
            <w:pPr>
              <w:pStyle w:val="64"/>
              <w:spacing w:line="240" w:lineRule="auto"/>
              <w:ind w:firstLine="0"/>
              <w:rPr>
                <w:sz w:val="21"/>
                <w:szCs w:val="21"/>
                <w:u w:val="single"/>
              </w:rPr>
            </w:pPr>
            <w:r>
              <w:rPr>
                <w:sz w:val="21"/>
                <w:szCs w:val="21"/>
                <w:u w:val="single"/>
              </w:rPr>
              <w:t>/</w:t>
            </w:r>
          </w:p>
        </w:tc>
        <w:tc>
          <w:tcPr>
            <w:tcW w:w="1578" w:type="dxa"/>
            <w:tcBorders>
              <w:tl2br w:val="nil"/>
              <w:tr2bl w:val="nil"/>
            </w:tcBorders>
            <w:vAlign w:val="center"/>
          </w:tcPr>
          <w:p w14:paraId="6F20EEB9">
            <w:pPr>
              <w:pStyle w:val="64"/>
              <w:spacing w:line="240" w:lineRule="auto"/>
              <w:ind w:firstLine="0"/>
              <w:rPr>
                <w:sz w:val="21"/>
                <w:szCs w:val="21"/>
                <w:u w:val="single"/>
              </w:rPr>
            </w:pPr>
            <w:r>
              <w:rPr>
                <w:rFonts w:hint="eastAsia"/>
                <w:sz w:val="21"/>
                <w:szCs w:val="21"/>
                <w:u w:val="single"/>
              </w:rPr>
              <w:t>112</w:t>
            </w:r>
            <w:r>
              <w:rPr>
                <w:sz w:val="21"/>
                <w:szCs w:val="21"/>
                <w:u w:val="single"/>
              </w:rPr>
              <w:t>t/a</w:t>
            </w:r>
          </w:p>
        </w:tc>
        <w:tc>
          <w:tcPr>
            <w:tcW w:w="1030" w:type="dxa"/>
            <w:tcBorders>
              <w:tl2br w:val="nil"/>
              <w:tr2bl w:val="nil"/>
            </w:tcBorders>
            <w:vAlign w:val="center"/>
          </w:tcPr>
          <w:p w14:paraId="332B6011">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17300D65">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5913FBF6">
            <w:pPr>
              <w:pStyle w:val="64"/>
              <w:spacing w:line="240" w:lineRule="auto"/>
              <w:ind w:firstLine="0"/>
              <w:rPr>
                <w:sz w:val="21"/>
                <w:szCs w:val="21"/>
                <w:u w:val="single"/>
              </w:rPr>
            </w:pPr>
            <w:r>
              <w:rPr>
                <w:sz w:val="21"/>
                <w:szCs w:val="21"/>
                <w:u w:val="single"/>
              </w:rPr>
              <w:t>定期由塑料收购企业定期回收再利用</w:t>
            </w:r>
          </w:p>
        </w:tc>
        <w:tc>
          <w:tcPr>
            <w:tcW w:w="1357" w:type="dxa"/>
            <w:tcBorders>
              <w:tl2br w:val="nil"/>
              <w:tr2bl w:val="nil"/>
            </w:tcBorders>
            <w:vAlign w:val="center"/>
          </w:tcPr>
          <w:p w14:paraId="3CBA6DAA">
            <w:pPr>
              <w:pStyle w:val="64"/>
              <w:spacing w:line="240" w:lineRule="auto"/>
              <w:ind w:firstLine="0"/>
              <w:rPr>
                <w:sz w:val="21"/>
                <w:szCs w:val="21"/>
                <w:u w:val="single"/>
              </w:rPr>
            </w:pPr>
            <w:r>
              <w:rPr>
                <w:sz w:val="21"/>
                <w:szCs w:val="21"/>
                <w:u w:val="single"/>
              </w:rPr>
              <w:t>符合</w:t>
            </w:r>
          </w:p>
        </w:tc>
      </w:tr>
      <w:tr w14:paraId="2036F8F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3E8D4BA8">
            <w:pPr>
              <w:pStyle w:val="64"/>
              <w:spacing w:line="240" w:lineRule="auto"/>
              <w:ind w:firstLine="0"/>
              <w:rPr>
                <w:sz w:val="21"/>
                <w:szCs w:val="21"/>
                <w:u w:val="single"/>
              </w:rPr>
            </w:pPr>
            <w:r>
              <w:rPr>
                <w:sz w:val="21"/>
                <w:szCs w:val="21"/>
                <w:u w:val="single"/>
              </w:rPr>
              <w:t>3</w:t>
            </w:r>
          </w:p>
        </w:tc>
        <w:tc>
          <w:tcPr>
            <w:tcW w:w="1193" w:type="dxa"/>
            <w:tcBorders>
              <w:tl2br w:val="nil"/>
              <w:tr2bl w:val="nil"/>
            </w:tcBorders>
            <w:vAlign w:val="center"/>
          </w:tcPr>
          <w:p w14:paraId="2188BB9E">
            <w:pPr>
              <w:pStyle w:val="64"/>
              <w:spacing w:line="240" w:lineRule="auto"/>
              <w:ind w:firstLine="0"/>
              <w:rPr>
                <w:sz w:val="21"/>
                <w:szCs w:val="21"/>
                <w:u w:val="single"/>
              </w:rPr>
            </w:pPr>
            <w:r>
              <w:rPr>
                <w:rFonts w:hint="eastAsia"/>
                <w:sz w:val="21"/>
                <w:szCs w:val="21"/>
                <w:u w:val="single"/>
              </w:rPr>
              <w:t>废烫金膜</w:t>
            </w:r>
          </w:p>
        </w:tc>
        <w:tc>
          <w:tcPr>
            <w:tcW w:w="1422" w:type="dxa"/>
            <w:tcBorders>
              <w:tl2br w:val="nil"/>
              <w:tr2bl w:val="nil"/>
            </w:tcBorders>
            <w:vAlign w:val="center"/>
          </w:tcPr>
          <w:p w14:paraId="1FD1EFF8">
            <w:pPr>
              <w:pStyle w:val="64"/>
              <w:spacing w:line="240" w:lineRule="auto"/>
              <w:ind w:firstLine="0"/>
              <w:rPr>
                <w:sz w:val="21"/>
                <w:szCs w:val="21"/>
                <w:u w:val="single"/>
              </w:rPr>
            </w:pPr>
            <w:r>
              <w:rPr>
                <w:rFonts w:hint="eastAsia"/>
                <w:sz w:val="21"/>
                <w:szCs w:val="21"/>
                <w:u w:val="single"/>
              </w:rPr>
              <w:t>烫金过程</w:t>
            </w:r>
          </w:p>
        </w:tc>
        <w:tc>
          <w:tcPr>
            <w:tcW w:w="985" w:type="dxa"/>
            <w:vMerge w:val="continue"/>
            <w:tcBorders>
              <w:tl2br w:val="nil"/>
              <w:tr2bl w:val="nil"/>
            </w:tcBorders>
            <w:vAlign w:val="center"/>
          </w:tcPr>
          <w:p w14:paraId="3A948D1A">
            <w:pPr>
              <w:pStyle w:val="64"/>
              <w:spacing w:line="240" w:lineRule="auto"/>
              <w:ind w:firstLine="0"/>
              <w:rPr>
                <w:sz w:val="21"/>
                <w:szCs w:val="21"/>
                <w:u w:val="single"/>
              </w:rPr>
            </w:pPr>
          </w:p>
        </w:tc>
        <w:tc>
          <w:tcPr>
            <w:tcW w:w="2197" w:type="dxa"/>
            <w:tcBorders>
              <w:tl2br w:val="nil"/>
              <w:tr2bl w:val="nil"/>
            </w:tcBorders>
            <w:vAlign w:val="center"/>
          </w:tcPr>
          <w:p w14:paraId="297465B8">
            <w:pPr>
              <w:pStyle w:val="64"/>
              <w:spacing w:line="240" w:lineRule="auto"/>
              <w:ind w:firstLine="0"/>
              <w:rPr>
                <w:sz w:val="21"/>
                <w:szCs w:val="21"/>
                <w:u w:val="single"/>
              </w:rPr>
            </w:pPr>
            <w:r>
              <w:rPr>
                <w:sz w:val="21"/>
                <w:szCs w:val="21"/>
                <w:u w:val="single"/>
              </w:rPr>
              <w:t>/</w:t>
            </w:r>
          </w:p>
        </w:tc>
        <w:tc>
          <w:tcPr>
            <w:tcW w:w="1578" w:type="dxa"/>
            <w:tcBorders>
              <w:tl2br w:val="nil"/>
              <w:tr2bl w:val="nil"/>
            </w:tcBorders>
            <w:vAlign w:val="center"/>
          </w:tcPr>
          <w:p w14:paraId="7F97195F">
            <w:pPr>
              <w:pStyle w:val="64"/>
              <w:spacing w:line="240" w:lineRule="auto"/>
              <w:ind w:firstLine="0"/>
              <w:rPr>
                <w:sz w:val="21"/>
                <w:szCs w:val="21"/>
                <w:u w:val="single"/>
              </w:rPr>
            </w:pPr>
            <w:r>
              <w:rPr>
                <w:rFonts w:hint="eastAsia"/>
                <w:sz w:val="21"/>
                <w:szCs w:val="21"/>
                <w:u w:val="single"/>
              </w:rPr>
              <w:t>0.8</w:t>
            </w:r>
            <w:r>
              <w:rPr>
                <w:sz w:val="21"/>
                <w:szCs w:val="21"/>
                <w:u w:val="single"/>
              </w:rPr>
              <w:t>t/a</w:t>
            </w:r>
          </w:p>
        </w:tc>
        <w:tc>
          <w:tcPr>
            <w:tcW w:w="1030" w:type="dxa"/>
            <w:tcBorders>
              <w:tl2br w:val="nil"/>
              <w:tr2bl w:val="nil"/>
            </w:tcBorders>
            <w:vAlign w:val="center"/>
          </w:tcPr>
          <w:p w14:paraId="15E8AA6B">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349B4350">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64550298">
            <w:pPr>
              <w:pStyle w:val="64"/>
              <w:spacing w:line="240" w:lineRule="auto"/>
              <w:ind w:firstLine="0"/>
              <w:rPr>
                <w:sz w:val="21"/>
                <w:szCs w:val="21"/>
                <w:u w:val="single"/>
              </w:rPr>
            </w:pPr>
            <w:r>
              <w:rPr>
                <w:sz w:val="21"/>
                <w:szCs w:val="21"/>
                <w:u w:val="single"/>
              </w:rPr>
              <w:t>经收集打捆后由废塑料收购企业定期回收再利用</w:t>
            </w:r>
          </w:p>
        </w:tc>
        <w:tc>
          <w:tcPr>
            <w:tcW w:w="1357" w:type="dxa"/>
            <w:tcBorders>
              <w:tl2br w:val="nil"/>
              <w:tr2bl w:val="nil"/>
            </w:tcBorders>
            <w:vAlign w:val="center"/>
          </w:tcPr>
          <w:p w14:paraId="0FC7AF65">
            <w:pPr>
              <w:pStyle w:val="64"/>
              <w:spacing w:line="240" w:lineRule="auto"/>
              <w:ind w:firstLine="0"/>
              <w:rPr>
                <w:sz w:val="21"/>
                <w:szCs w:val="21"/>
                <w:u w:val="single"/>
              </w:rPr>
            </w:pPr>
            <w:r>
              <w:rPr>
                <w:sz w:val="21"/>
                <w:szCs w:val="21"/>
                <w:u w:val="single"/>
              </w:rPr>
              <w:t>符合</w:t>
            </w:r>
          </w:p>
        </w:tc>
      </w:tr>
      <w:tr w14:paraId="1351C59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225EF038">
            <w:pPr>
              <w:pStyle w:val="64"/>
              <w:spacing w:line="240" w:lineRule="auto"/>
              <w:ind w:firstLine="0"/>
              <w:rPr>
                <w:sz w:val="21"/>
                <w:szCs w:val="21"/>
                <w:u w:val="single"/>
              </w:rPr>
            </w:pPr>
            <w:r>
              <w:rPr>
                <w:rFonts w:hint="eastAsia"/>
                <w:sz w:val="21"/>
                <w:szCs w:val="21"/>
                <w:u w:val="single"/>
              </w:rPr>
              <w:t>4</w:t>
            </w:r>
          </w:p>
        </w:tc>
        <w:tc>
          <w:tcPr>
            <w:tcW w:w="1193" w:type="dxa"/>
            <w:tcBorders>
              <w:tl2br w:val="nil"/>
              <w:tr2bl w:val="nil"/>
            </w:tcBorders>
            <w:vAlign w:val="center"/>
          </w:tcPr>
          <w:p w14:paraId="2452F58E">
            <w:pPr>
              <w:pStyle w:val="64"/>
              <w:spacing w:line="240" w:lineRule="auto"/>
              <w:ind w:firstLine="0"/>
              <w:rPr>
                <w:sz w:val="21"/>
                <w:szCs w:val="21"/>
                <w:u w:val="single"/>
              </w:rPr>
            </w:pPr>
            <w:r>
              <w:rPr>
                <w:sz w:val="21"/>
                <w:szCs w:val="21"/>
                <w:u w:val="single"/>
              </w:rPr>
              <w:t>不合格产品</w:t>
            </w:r>
          </w:p>
        </w:tc>
        <w:tc>
          <w:tcPr>
            <w:tcW w:w="1422" w:type="dxa"/>
            <w:tcBorders>
              <w:tl2br w:val="nil"/>
              <w:tr2bl w:val="nil"/>
            </w:tcBorders>
            <w:vAlign w:val="center"/>
          </w:tcPr>
          <w:p w14:paraId="5943BCC4">
            <w:pPr>
              <w:pStyle w:val="64"/>
              <w:spacing w:line="240" w:lineRule="auto"/>
              <w:ind w:firstLine="0"/>
              <w:rPr>
                <w:sz w:val="21"/>
                <w:szCs w:val="21"/>
                <w:u w:val="single"/>
              </w:rPr>
            </w:pPr>
            <w:r>
              <w:rPr>
                <w:rFonts w:hint="eastAsia"/>
                <w:sz w:val="21"/>
                <w:szCs w:val="21"/>
                <w:u w:val="single"/>
              </w:rPr>
              <w:t>生产检验过程</w:t>
            </w:r>
          </w:p>
        </w:tc>
        <w:tc>
          <w:tcPr>
            <w:tcW w:w="985" w:type="dxa"/>
            <w:vMerge w:val="continue"/>
            <w:tcBorders>
              <w:tl2br w:val="nil"/>
              <w:tr2bl w:val="nil"/>
            </w:tcBorders>
            <w:vAlign w:val="center"/>
          </w:tcPr>
          <w:p w14:paraId="2C71AEBF">
            <w:pPr>
              <w:pStyle w:val="64"/>
              <w:spacing w:line="240" w:lineRule="auto"/>
              <w:ind w:firstLine="0"/>
              <w:rPr>
                <w:sz w:val="21"/>
                <w:szCs w:val="21"/>
                <w:u w:val="single"/>
              </w:rPr>
            </w:pPr>
          </w:p>
        </w:tc>
        <w:tc>
          <w:tcPr>
            <w:tcW w:w="2197" w:type="dxa"/>
            <w:tcBorders>
              <w:tl2br w:val="nil"/>
              <w:tr2bl w:val="nil"/>
            </w:tcBorders>
            <w:vAlign w:val="center"/>
          </w:tcPr>
          <w:p w14:paraId="792EA18E">
            <w:pPr>
              <w:pStyle w:val="64"/>
              <w:spacing w:line="240" w:lineRule="auto"/>
              <w:ind w:firstLine="0"/>
              <w:rPr>
                <w:sz w:val="21"/>
                <w:szCs w:val="21"/>
                <w:u w:val="single"/>
              </w:rPr>
            </w:pPr>
            <w:r>
              <w:rPr>
                <w:sz w:val="21"/>
                <w:szCs w:val="21"/>
                <w:u w:val="single"/>
              </w:rPr>
              <w:t>/</w:t>
            </w:r>
          </w:p>
        </w:tc>
        <w:tc>
          <w:tcPr>
            <w:tcW w:w="1578" w:type="dxa"/>
            <w:tcBorders>
              <w:tl2br w:val="nil"/>
              <w:tr2bl w:val="nil"/>
            </w:tcBorders>
            <w:vAlign w:val="center"/>
          </w:tcPr>
          <w:p w14:paraId="43526D8C">
            <w:pPr>
              <w:pStyle w:val="64"/>
              <w:spacing w:line="240" w:lineRule="auto"/>
              <w:ind w:firstLine="0"/>
              <w:rPr>
                <w:sz w:val="21"/>
                <w:szCs w:val="21"/>
                <w:u w:val="single"/>
              </w:rPr>
            </w:pPr>
            <w:r>
              <w:rPr>
                <w:rFonts w:hint="eastAsia"/>
                <w:sz w:val="21"/>
                <w:szCs w:val="21"/>
                <w:u w:val="single"/>
              </w:rPr>
              <w:t>234.3</w:t>
            </w:r>
            <w:r>
              <w:rPr>
                <w:sz w:val="21"/>
                <w:szCs w:val="21"/>
                <w:u w:val="single"/>
              </w:rPr>
              <w:t>t/a</w:t>
            </w:r>
          </w:p>
        </w:tc>
        <w:tc>
          <w:tcPr>
            <w:tcW w:w="1030" w:type="dxa"/>
            <w:tcBorders>
              <w:tl2br w:val="nil"/>
              <w:tr2bl w:val="nil"/>
            </w:tcBorders>
            <w:vAlign w:val="center"/>
          </w:tcPr>
          <w:p w14:paraId="605A5473">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532B5161">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66AF0EE8">
            <w:pPr>
              <w:pStyle w:val="64"/>
              <w:spacing w:line="240" w:lineRule="auto"/>
              <w:ind w:firstLine="0"/>
              <w:rPr>
                <w:sz w:val="21"/>
                <w:szCs w:val="21"/>
                <w:u w:val="single"/>
              </w:rPr>
            </w:pPr>
            <w:r>
              <w:rPr>
                <w:sz w:val="21"/>
                <w:szCs w:val="21"/>
                <w:u w:val="single"/>
              </w:rPr>
              <w:t>打捆后外卖由废塑料收购企业定期回收再利用</w:t>
            </w:r>
          </w:p>
        </w:tc>
        <w:tc>
          <w:tcPr>
            <w:tcW w:w="1357" w:type="dxa"/>
            <w:tcBorders>
              <w:tl2br w:val="nil"/>
              <w:tr2bl w:val="nil"/>
            </w:tcBorders>
            <w:vAlign w:val="center"/>
          </w:tcPr>
          <w:p w14:paraId="17CF452C">
            <w:pPr>
              <w:pStyle w:val="64"/>
              <w:spacing w:line="240" w:lineRule="auto"/>
              <w:ind w:firstLine="0"/>
              <w:rPr>
                <w:sz w:val="21"/>
                <w:szCs w:val="21"/>
                <w:u w:val="single"/>
              </w:rPr>
            </w:pPr>
            <w:r>
              <w:rPr>
                <w:sz w:val="21"/>
                <w:szCs w:val="21"/>
                <w:u w:val="single"/>
              </w:rPr>
              <w:t>符合</w:t>
            </w:r>
          </w:p>
        </w:tc>
      </w:tr>
      <w:tr w14:paraId="1440F7B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44EE0D4E">
            <w:pPr>
              <w:pStyle w:val="64"/>
              <w:spacing w:line="240" w:lineRule="auto"/>
              <w:ind w:firstLine="0"/>
              <w:rPr>
                <w:sz w:val="21"/>
                <w:szCs w:val="21"/>
                <w:u w:val="single"/>
              </w:rPr>
            </w:pPr>
            <w:r>
              <w:rPr>
                <w:rFonts w:hint="eastAsia"/>
                <w:sz w:val="21"/>
                <w:szCs w:val="21"/>
                <w:u w:val="single"/>
              </w:rPr>
              <w:t>5</w:t>
            </w:r>
          </w:p>
        </w:tc>
        <w:tc>
          <w:tcPr>
            <w:tcW w:w="1193" w:type="dxa"/>
            <w:tcBorders>
              <w:tl2br w:val="nil"/>
              <w:tr2bl w:val="nil"/>
            </w:tcBorders>
            <w:vAlign w:val="center"/>
          </w:tcPr>
          <w:p w14:paraId="6AA3B9C0">
            <w:pPr>
              <w:pStyle w:val="64"/>
              <w:spacing w:line="240" w:lineRule="auto"/>
              <w:ind w:firstLine="0"/>
              <w:rPr>
                <w:sz w:val="21"/>
                <w:szCs w:val="21"/>
                <w:u w:val="single"/>
              </w:rPr>
            </w:pPr>
            <w:r>
              <w:rPr>
                <w:rFonts w:hint="eastAsia"/>
                <w:sz w:val="21"/>
                <w:szCs w:val="21"/>
                <w:u w:val="single"/>
              </w:rPr>
              <w:t>废包装材料</w:t>
            </w:r>
          </w:p>
        </w:tc>
        <w:tc>
          <w:tcPr>
            <w:tcW w:w="1422" w:type="dxa"/>
            <w:tcBorders>
              <w:tl2br w:val="nil"/>
              <w:tr2bl w:val="nil"/>
            </w:tcBorders>
            <w:vAlign w:val="center"/>
          </w:tcPr>
          <w:p w14:paraId="377AFE18">
            <w:pPr>
              <w:pStyle w:val="64"/>
              <w:spacing w:line="240" w:lineRule="auto"/>
              <w:ind w:firstLine="0"/>
              <w:rPr>
                <w:sz w:val="21"/>
                <w:szCs w:val="21"/>
                <w:u w:val="single"/>
              </w:rPr>
            </w:pPr>
            <w:r>
              <w:rPr>
                <w:rFonts w:hint="eastAsia"/>
                <w:sz w:val="21"/>
                <w:szCs w:val="21"/>
                <w:u w:val="single"/>
              </w:rPr>
              <w:t>原料使用过程</w:t>
            </w:r>
          </w:p>
        </w:tc>
        <w:tc>
          <w:tcPr>
            <w:tcW w:w="985" w:type="dxa"/>
            <w:vMerge w:val="continue"/>
            <w:tcBorders>
              <w:tl2br w:val="nil"/>
              <w:tr2bl w:val="nil"/>
            </w:tcBorders>
            <w:vAlign w:val="center"/>
          </w:tcPr>
          <w:p w14:paraId="52A5BF5A">
            <w:pPr>
              <w:pStyle w:val="64"/>
              <w:spacing w:line="240" w:lineRule="auto"/>
              <w:ind w:firstLine="0"/>
              <w:rPr>
                <w:sz w:val="21"/>
                <w:szCs w:val="21"/>
                <w:u w:val="single"/>
              </w:rPr>
            </w:pPr>
          </w:p>
        </w:tc>
        <w:tc>
          <w:tcPr>
            <w:tcW w:w="2197" w:type="dxa"/>
            <w:tcBorders>
              <w:tl2br w:val="nil"/>
              <w:tr2bl w:val="nil"/>
            </w:tcBorders>
            <w:vAlign w:val="center"/>
          </w:tcPr>
          <w:p w14:paraId="1F112176">
            <w:pPr>
              <w:pStyle w:val="64"/>
              <w:spacing w:line="240" w:lineRule="auto"/>
              <w:ind w:firstLine="0"/>
              <w:rPr>
                <w:sz w:val="21"/>
                <w:szCs w:val="21"/>
                <w:u w:val="single"/>
              </w:rPr>
            </w:pPr>
            <w:r>
              <w:rPr>
                <w:sz w:val="21"/>
                <w:szCs w:val="21"/>
                <w:u w:val="single"/>
              </w:rPr>
              <w:t>/</w:t>
            </w:r>
          </w:p>
        </w:tc>
        <w:tc>
          <w:tcPr>
            <w:tcW w:w="1578" w:type="dxa"/>
            <w:tcBorders>
              <w:tl2br w:val="nil"/>
              <w:tr2bl w:val="nil"/>
            </w:tcBorders>
            <w:vAlign w:val="center"/>
          </w:tcPr>
          <w:p w14:paraId="788065A8">
            <w:pPr>
              <w:pStyle w:val="64"/>
              <w:spacing w:line="240" w:lineRule="auto"/>
              <w:ind w:firstLine="0"/>
              <w:rPr>
                <w:sz w:val="21"/>
                <w:szCs w:val="21"/>
                <w:u w:val="single"/>
              </w:rPr>
            </w:pPr>
            <w:r>
              <w:rPr>
                <w:rFonts w:hint="eastAsia"/>
                <w:sz w:val="21"/>
                <w:szCs w:val="21"/>
                <w:u w:val="single"/>
              </w:rPr>
              <w:t>2</w:t>
            </w:r>
            <w:r>
              <w:rPr>
                <w:sz w:val="21"/>
                <w:szCs w:val="21"/>
                <w:u w:val="single"/>
              </w:rPr>
              <w:t>t/a</w:t>
            </w:r>
          </w:p>
        </w:tc>
        <w:tc>
          <w:tcPr>
            <w:tcW w:w="1030" w:type="dxa"/>
            <w:tcBorders>
              <w:tl2br w:val="nil"/>
              <w:tr2bl w:val="nil"/>
            </w:tcBorders>
            <w:vAlign w:val="center"/>
          </w:tcPr>
          <w:p w14:paraId="6DC4AE0B">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6A2B37B7">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7C5F9497">
            <w:pPr>
              <w:pStyle w:val="64"/>
              <w:spacing w:line="240" w:lineRule="auto"/>
              <w:ind w:firstLine="0"/>
              <w:rPr>
                <w:sz w:val="21"/>
                <w:szCs w:val="21"/>
                <w:u w:val="single"/>
              </w:rPr>
            </w:pPr>
            <w:r>
              <w:rPr>
                <w:sz w:val="21"/>
                <w:szCs w:val="21"/>
                <w:u w:val="single"/>
              </w:rPr>
              <w:t>收集后外售处置</w:t>
            </w:r>
          </w:p>
        </w:tc>
        <w:tc>
          <w:tcPr>
            <w:tcW w:w="1357" w:type="dxa"/>
            <w:tcBorders>
              <w:tl2br w:val="nil"/>
              <w:tr2bl w:val="nil"/>
            </w:tcBorders>
            <w:vAlign w:val="center"/>
          </w:tcPr>
          <w:p w14:paraId="225EE5DA">
            <w:pPr>
              <w:pStyle w:val="64"/>
              <w:spacing w:line="240" w:lineRule="auto"/>
              <w:ind w:firstLine="0"/>
              <w:rPr>
                <w:sz w:val="21"/>
                <w:szCs w:val="21"/>
                <w:u w:val="single"/>
              </w:rPr>
            </w:pPr>
            <w:r>
              <w:rPr>
                <w:sz w:val="21"/>
                <w:szCs w:val="21"/>
                <w:u w:val="single"/>
              </w:rPr>
              <w:t>符合</w:t>
            </w:r>
          </w:p>
        </w:tc>
      </w:tr>
      <w:tr w14:paraId="2431A32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77831F33">
            <w:pPr>
              <w:pStyle w:val="64"/>
              <w:spacing w:line="240" w:lineRule="auto"/>
              <w:ind w:firstLine="0"/>
              <w:rPr>
                <w:sz w:val="21"/>
                <w:szCs w:val="21"/>
                <w:u w:val="single"/>
              </w:rPr>
            </w:pPr>
            <w:r>
              <w:rPr>
                <w:rFonts w:hint="eastAsia"/>
                <w:sz w:val="21"/>
                <w:szCs w:val="21"/>
                <w:u w:val="single"/>
              </w:rPr>
              <w:t>6</w:t>
            </w:r>
          </w:p>
        </w:tc>
        <w:tc>
          <w:tcPr>
            <w:tcW w:w="1193" w:type="dxa"/>
            <w:tcBorders>
              <w:tl2br w:val="nil"/>
              <w:tr2bl w:val="nil"/>
            </w:tcBorders>
            <w:vAlign w:val="center"/>
          </w:tcPr>
          <w:p w14:paraId="68CEBDB2">
            <w:pPr>
              <w:pStyle w:val="64"/>
              <w:spacing w:line="240" w:lineRule="auto"/>
              <w:ind w:firstLine="0"/>
              <w:rPr>
                <w:sz w:val="21"/>
                <w:szCs w:val="21"/>
                <w:u w:val="single"/>
              </w:rPr>
            </w:pPr>
            <w:r>
              <w:rPr>
                <w:rFonts w:hint="eastAsia"/>
                <w:sz w:val="21"/>
                <w:szCs w:val="21"/>
                <w:u w:val="single"/>
              </w:rPr>
              <w:t>废溶剂包装桶</w:t>
            </w:r>
          </w:p>
        </w:tc>
        <w:tc>
          <w:tcPr>
            <w:tcW w:w="1422" w:type="dxa"/>
            <w:tcBorders>
              <w:tl2br w:val="nil"/>
              <w:tr2bl w:val="nil"/>
            </w:tcBorders>
            <w:vAlign w:val="center"/>
          </w:tcPr>
          <w:p w14:paraId="14390726">
            <w:pPr>
              <w:pStyle w:val="64"/>
              <w:spacing w:line="240" w:lineRule="auto"/>
              <w:ind w:firstLine="0"/>
              <w:rPr>
                <w:sz w:val="21"/>
                <w:szCs w:val="21"/>
                <w:u w:val="single"/>
              </w:rPr>
            </w:pPr>
            <w:r>
              <w:rPr>
                <w:rFonts w:hint="eastAsia"/>
                <w:sz w:val="21"/>
                <w:szCs w:val="21"/>
                <w:u w:val="single"/>
              </w:rPr>
              <w:t>溶剂使用过程</w:t>
            </w:r>
          </w:p>
        </w:tc>
        <w:tc>
          <w:tcPr>
            <w:tcW w:w="985" w:type="dxa"/>
            <w:tcBorders>
              <w:tl2br w:val="nil"/>
              <w:tr2bl w:val="nil"/>
            </w:tcBorders>
            <w:vAlign w:val="center"/>
          </w:tcPr>
          <w:p w14:paraId="032DAD01">
            <w:pPr>
              <w:pStyle w:val="64"/>
              <w:spacing w:line="240" w:lineRule="auto"/>
              <w:ind w:firstLine="0"/>
              <w:rPr>
                <w:sz w:val="21"/>
                <w:szCs w:val="21"/>
                <w:u w:val="single"/>
              </w:rPr>
            </w:pPr>
          </w:p>
        </w:tc>
        <w:tc>
          <w:tcPr>
            <w:tcW w:w="2197" w:type="dxa"/>
            <w:tcBorders>
              <w:tl2br w:val="nil"/>
              <w:tr2bl w:val="nil"/>
            </w:tcBorders>
            <w:vAlign w:val="center"/>
          </w:tcPr>
          <w:p w14:paraId="01AB7724">
            <w:pPr>
              <w:pStyle w:val="64"/>
              <w:spacing w:line="240" w:lineRule="auto"/>
              <w:ind w:firstLine="0"/>
              <w:rPr>
                <w:sz w:val="21"/>
                <w:szCs w:val="21"/>
                <w:u w:val="single"/>
              </w:rPr>
            </w:pPr>
            <w:r>
              <w:rPr>
                <w:rFonts w:hint="eastAsia"/>
                <w:sz w:val="21"/>
                <w:szCs w:val="21"/>
                <w:u w:val="single"/>
              </w:rPr>
              <w:t>/</w:t>
            </w:r>
          </w:p>
        </w:tc>
        <w:tc>
          <w:tcPr>
            <w:tcW w:w="1578" w:type="dxa"/>
            <w:tcBorders>
              <w:tl2br w:val="nil"/>
              <w:tr2bl w:val="nil"/>
            </w:tcBorders>
            <w:vAlign w:val="center"/>
          </w:tcPr>
          <w:p w14:paraId="0F5CC28C">
            <w:pPr>
              <w:pStyle w:val="64"/>
              <w:spacing w:line="240" w:lineRule="auto"/>
              <w:ind w:firstLine="0"/>
              <w:rPr>
                <w:sz w:val="21"/>
                <w:szCs w:val="21"/>
                <w:u w:val="single"/>
              </w:rPr>
            </w:pPr>
            <w:r>
              <w:rPr>
                <w:rFonts w:hint="eastAsia"/>
                <w:sz w:val="21"/>
                <w:szCs w:val="21"/>
                <w:u w:val="single"/>
              </w:rPr>
              <w:t>5t/a</w:t>
            </w:r>
          </w:p>
        </w:tc>
        <w:tc>
          <w:tcPr>
            <w:tcW w:w="1030" w:type="dxa"/>
            <w:tcBorders>
              <w:tl2br w:val="nil"/>
              <w:tr2bl w:val="nil"/>
            </w:tcBorders>
            <w:vAlign w:val="center"/>
          </w:tcPr>
          <w:p w14:paraId="07D0651D">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5F3B37A1">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40E35AB6">
            <w:pPr>
              <w:pStyle w:val="64"/>
              <w:spacing w:line="240" w:lineRule="auto"/>
              <w:ind w:firstLine="0"/>
              <w:rPr>
                <w:sz w:val="21"/>
                <w:szCs w:val="21"/>
                <w:u w:val="single"/>
              </w:rPr>
            </w:pPr>
            <w:r>
              <w:rPr>
                <w:rFonts w:hint="eastAsia"/>
                <w:sz w:val="21"/>
                <w:szCs w:val="21"/>
                <w:u w:val="single"/>
              </w:rPr>
              <w:t>厂家回收</w:t>
            </w:r>
          </w:p>
        </w:tc>
        <w:tc>
          <w:tcPr>
            <w:tcW w:w="1357" w:type="dxa"/>
            <w:tcBorders>
              <w:tl2br w:val="nil"/>
              <w:tr2bl w:val="nil"/>
            </w:tcBorders>
            <w:vAlign w:val="center"/>
          </w:tcPr>
          <w:p w14:paraId="26D5FC34">
            <w:pPr>
              <w:pStyle w:val="64"/>
              <w:spacing w:line="240" w:lineRule="auto"/>
              <w:ind w:firstLine="0"/>
              <w:rPr>
                <w:sz w:val="21"/>
                <w:szCs w:val="21"/>
                <w:u w:val="single"/>
              </w:rPr>
            </w:pPr>
            <w:r>
              <w:rPr>
                <w:sz w:val="21"/>
                <w:szCs w:val="21"/>
                <w:u w:val="single"/>
              </w:rPr>
              <w:t>符合</w:t>
            </w:r>
          </w:p>
        </w:tc>
      </w:tr>
      <w:tr w14:paraId="12DC7FF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40" w:hRule="atLeast"/>
          <w:jc w:val="center"/>
        </w:trPr>
        <w:tc>
          <w:tcPr>
            <w:tcW w:w="718" w:type="dxa"/>
            <w:tcBorders>
              <w:tl2br w:val="nil"/>
              <w:tr2bl w:val="nil"/>
            </w:tcBorders>
            <w:vAlign w:val="center"/>
          </w:tcPr>
          <w:p w14:paraId="6B08E788">
            <w:pPr>
              <w:pStyle w:val="64"/>
              <w:spacing w:line="240" w:lineRule="auto"/>
              <w:ind w:firstLine="0"/>
              <w:rPr>
                <w:sz w:val="21"/>
                <w:szCs w:val="21"/>
                <w:u w:val="single"/>
              </w:rPr>
            </w:pPr>
            <w:r>
              <w:rPr>
                <w:rFonts w:hint="eastAsia"/>
                <w:sz w:val="21"/>
                <w:szCs w:val="21"/>
                <w:u w:val="single"/>
              </w:rPr>
              <w:t>1</w:t>
            </w:r>
          </w:p>
        </w:tc>
        <w:tc>
          <w:tcPr>
            <w:tcW w:w="1193" w:type="dxa"/>
            <w:tcBorders>
              <w:tl2br w:val="nil"/>
              <w:tr2bl w:val="nil"/>
            </w:tcBorders>
            <w:vAlign w:val="center"/>
          </w:tcPr>
          <w:p w14:paraId="49D98FC0">
            <w:pPr>
              <w:pStyle w:val="64"/>
              <w:spacing w:line="240" w:lineRule="auto"/>
              <w:ind w:firstLine="0"/>
              <w:rPr>
                <w:sz w:val="21"/>
                <w:szCs w:val="21"/>
                <w:u w:val="single"/>
              </w:rPr>
            </w:pPr>
            <w:r>
              <w:rPr>
                <w:sz w:val="21"/>
                <w:szCs w:val="21"/>
                <w:u w:val="single"/>
              </w:rPr>
              <w:t>生活垃圾</w:t>
            </w:r>
          </w:p>
        </w:tc>
        <w:tc>
          <w:tcPr>
            <w:tcW w:w="1422" w:type="dxa"/>
            <w:tcBorders>
              <w:tl2br w:val="nil"/>
              <w:tr2bl w:val="nil"/>
            </w:tcBorders>
            <w:vAlign w:val="center"/>
          </w:tcPr>
          <w:p w14:paraId="18EFCC80">
            <w:pPr>
              <w:pStyle w:val="64"/>
              <w:spacing w:line="240" w:lineRule="auto"/>
              <w:ind w:firstLine="0"/>
              <w:rPr>
                <w:sz w:val="21"/>
                <w:szCs w:val="21"/>
                <w:u w:val="single"/>
              </w:rPr>
            </w:pPr>
            <w:r>
              <w:rPr>
                <w:sz w:val="21"/>
                <w:szCs w:val="21"/>
                <w:u w:val="single"/>
              </w:rPr>
              <w:t>职工生活</w:t>
            </w:r>
          </w:p>
        </w:tc>
        <w:tc>
          <w:tcPr>
            <w:tcW w:w="985" w:type="dxa"/>
            <w:tcBorders>
              <w:tl2br w:val="nil"/>
              <w:tr2bl w:val="nil"/>
            </w:tcBorders>
            <w:vAlign w:val="center"/>
          </w:tcPr>
          <w:p w14:paraId="36827815">
            <w:pPr>
              <w:pStyle w:val="64"/>
              <w:spacing w:line="240" w:lineRule="auto"/>
              <w:ind w:firstLine="0"/>
              <w:rPr>
                <w:sz w:val="21"/>
                <w:szCs w:val="21"/>
                <w:u w:val="single"/>
              </w:rPr>
            </w:pPr>
            <w:r>
              <w:rPr>
                <w:sz w:val="21"/>
                <w:szCs w:val="21"/>
                <w:u w:val="single"/>
              </w:rPr>
              <w:t>生活垃圾</w:t>
            </w:r>
          </w:p>
        </w:tc>
        <w:tc>
          <w:tcPr>
            <w:tcW w:w="2197" w:type="dxa"/>
            <w:tcBorders>
              <w:tl2br w:val="nil"/>
              <w:tr2bl w:val="nil"/>
            </w:tcBorders>
            <w:vAlign w:val="center"/>
          </w:tcPr>
          <w:p w14:paraId="31EB6AD4">
            <w:pPr>
              <w:pStyle w:val="64"/>
              <w:spacing w:line="240" w:lineRule="auto"/>
              <w:ind w:firstLine="0"/>
              <w:rPr>
                <w:sz w:val="21"/>
                <w:szCs w:val="21"/>
                <w:u w:val="single"/>
              </w:rPr>
            </w:pPr>
            <w:r>
              <w:rPr>
                <w:sz w:val="21"/>
                <w:szCs w:val="21"/>
                <w:u w:val="single"/>
              </w:rPr>
              <w:t>/</w:t>
            </w:r>
          </w:p>
        </w:tc>
        <w:tc>
          <w:tcPr>
            <w:tcW w:w="1578" w:type="dxa"/>
            <w:tcBorders>
              <w:tl2br w:val="nil"/>
              <w:tr2bl w:val="nil"/>
            </w:tcBorders>
            <w:vAlign w:val="center"/>
          </w:tcPr>
          <w:p w14:paraId="1C71346B">
            <w:pPr>
              <w:pStyle w:val="64"/>
              <w:spacing w:line="240" w:lineRule="auto"/>
              <w:ind w:firstLine="0"/>
              <w:rPr>
                <w:sz w:val="21"/>
                <w:szCs w:val="21"/>
                <w:u w:val="single"/>
              </w:rPr>
            </w:pPr>
            <w:r>
              <w:rPr>
                <w:rFonts w:hint="eastAsia"/>
                <w:sz w:val="21"/>
                <w:szCs w:val="21"/>
                <w:u w:val="single"/>
              </w:rPr>
              <w:t>17.04</w:t>
            </w:r>
            <w:r>
              <w:rPr>
                <w:sz w:val="21"/>
                <w:szCs w:val="21"/>
                <w:u w:val="single"/>
              </w:rPr>
              <w:t>t/a</w:t>
            </w:r>
          </w:p>
        </w:tc>
        <w:tc>
          <w:tcPr>
            <w:tcW w:w="1030" w:type="dxa"/>
            <w:tcBorders>
              <w:tl2br w:val="nil"/>
              <w:tr2bl w:val="nil"/>
            </w:tcBorders>
            <w:vAlign w:val="center"/>
          </w:tcPr>
          <w:p w14:paraId="4F7822D9">
            <w:pPr>
              <w:pStyle w:val="64"/>
              <w:spacing w:line="240" w:lineRule="auto"/>
              <w:ind w:firstLine="0"/>
              <w:rPr>
                <w:sz w:val="21"/>
                <w:szCs w:val="21"/>
                <w:u w:val="single"/>
              </w:rPr>
            </w:pPr>
            <w:r>
              <w:rPr>
                <w:sz w:val="21"/>
                <w:szCs w:val="21"/>
                <w:u w:val="single"/>
              </w:rPr>
              <w:t>/</w:t>
            </w:r>
          </w:p>
        </w:tc>
        <w:tc>
          <w:tcPr>
            <w:tcW w:w="1580" w:type="dxa"/>
            <w:tcBorders>
              <w:tl2br w:val="nil"/>
              <w:tr2bl w:val="nil"/>
            </w:tcBorders>
            <w:vAlign w:val="center"/>
          </w:tcPr>
          <w:p w14:paraId="74D08F2F">
            <w:pPr>
              <w:pStyle w:val="64"/>
              <w:spacing w:line="240" w:lineRule="auto"/>
              <w:ind w:firstLine="0"/>
              <w:rPr>
                <w:sz w:val="21"/>
                <w:szCs w:val="21"/>
                <w:u w:val="single"/>
              </w:rPr>
            </w:pPr>
            <w:r>
              <w:rPr>
                <w:sz w:val="21"/>
                <w:szCs w:val="21"/>
                <w:u w:val="single"/>
              </w:rPr>
              <w:t>/</w:t>
            </w:r>
          </w:p>
        </w:tc>
        <w:tc>
          <w:tcPr>
            <w:tcW w:w="2114" w:type="dxa"/>
            <w:tcBorders>
              <w:tl2br w:val="nil"/>
              <w:tr2bl w:val="nil"/>
            </w:tcBorders>
            <w:vAlign w:val="center"/>
          </w:tcPr>
          <w:p w14:paraId="2450A7BC">
            <w:pPr>
              <w:pStyle w:val="64"/>
              <w:spacing w:line="240" w:lineRule="auto"/>
              <w:ind w:firstLine="0"/>
              <w:rPr>
                <w:sz w:val="21"/>
                <w:szCs w:val="21"/>
                <w:u w:val="single"/>
              </w:rPr>
            </w:pPr>
            <w:r>
              <w:rPr>
                <w:sz w:val="21"/>
                <w:szCs w:val="21"/>
                <w:u w:val="single"/>
              </w:rPr>
              <w:t>由环卫部门统一清运</w:t>
            </w:r>
          </w:p>
        </w:tc>
        <w:tc>
          <w:tcPr>
            <w:tcW w:w="1357" w:type="dxa"/>
            <w:tcBorders>
              <w:tl2br w:val="nil"/>
              <w:tr2bl w:val="nil"/>
            </w:tcBorders>
            <w:vAlign w:val="center"/>
          </w:tcPr>
          <w:p w14:paraId="77EF37F9">
            <w:pPr>
              <w:pStyle w:val="64"/>
              <w:spacing w:line="240" w:lineRule="auto"/>
              <w:ind w:firstLine="0"/>
              <w:rPr>
                <w:sz w:val="21"/>
                <w:szCs w:val="21"/>
                <w:u w:val="single"/>
              </w:rPr>
            </w:pPr>
            <w:r>
              <w:rPr>
                <w:sz w:val="21"/>
                <w:szCs w:val="21"/>
                <w:u w:val="single"/>
              </w:rPr>
              <w:t>符合</w:t>
            </w:r>
          </w:p>
        </w:tc>
      </w:tr>
      <w:tr w14:paraId="5168ECAB">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40" w:hRule="atLeast"/>
          <w:jc w:val="center"/>
        </w:trPr>
        <w:tc>
          <w:tcPr>
            <w:tcW w:w="718" w:type="dxa"/>
            <w:tcBorders>
              <w:tl2br w:val="nil"/>
              <w:tr2bl w:val="nil"/>
            </w:tcBorders>
            <w:vAlign w:val="center"/>
          </w:tcPr>
          <w:p w14:paraId="70DC5D1F">
            <w:pPr>
              <w:pStyle w:val="64"/>
              <w:spacing w:line="240" w:lineRule="auto"/>
              <w:ind w:firstLine="0"/>
              <w:rPr>
                <w:sz w:val="21"/>
                <w:szCs w:val="21"/>
                <w:u w:val="single"/>
              </w:rPr>
            </w:pPr>
            <w:r>
              <w:rPr>
                <w:rFonts w:hint="eastAsia"/>
                <w:sz w:val="21"/>
                <w:szCs w:val="21"/>
                <w:u w:val="single"/>
              </w:rPr>
              <w:t>1</w:t>
            </w:r>
          </w:p>
        </w:tc>
        <w:tc>
          <w:tcPr>
            <w:tcW w:w="1193" w:type="dxa"/>
            <w:tcBorders>
              <w:tl2br w:val="nil"/>
              <w:tr2bl w:val="nil"/>
            </w:tcBorders>
            <w:vAlign w:val="center"/>
          </w:tcPr>
          <w:p w14:paraId="788AA47F">
            <w:pPr>
              <w:pStyle w:val="64"/>
              <w:spacing w:line="240" w:lineRule="auto"/>
              <w:ind w:firstLine="0"/>
              <w:rPr>
                <w:sz w:val="21"/>
                <w:szCs w:val="21"/>
                <w:u w:val="single"/>
              </w:rPr>
            </w:pPr>
            <w:r>
              <w:rPr>
                <w:rFonts w:hint="eastAsia"/>
                <w:sz w:val="21"/>
                <w:szCs w:val="21"/>
                <w:u w:val="single"/>
              </w:rPr>
              <w:t>废油墨</w:t>
            </w:r>
          </w:p>
        </w:tc>
        <w:tc>
          <w:tcPr>
            <w:tcW w:w="1422" w:type="dxa"/>
            <w:tcBorders>
              <w:tl2br w:val="nil"/>
              <w:tr2bl w:val="nil"/>
            </w:tcBorders>
            <w:vAlign w:val="center"/>
          </w:tcPr>
          <w:p w14:paraId="6F885745">
            <w:pPr>
              <w:pStyle w:val="64"/>
              <w:spacing w:line="240" w:lineRule="auto"/>
              <w:ind w:firstLine="0"/>
              <w:rPr>
                <w:sz w:val="21"/>
                <w:szCs w:val="21"/>
                <w:u w:val="single"/>
              </w:rPr>
            </w:pPr>
            <w:r>
              <w:rPr>
                <w:rFonts w:hint="eastAsia"/>
                <w:sz w:val="21"/>
                <w:szCs w:val="21"/>
                <w:u w:val="single"/>
              </w:rPr>
              <w:t>油墨储存</w:t>
            </w:r>
          </w:p>
        </w:tc>
        <w:tc>
          <w:tcPr>
            <w:tcW w:w="985" w:type="dxa"/>
            <w:vMerge w:val="restart"/>
            <w:tcBorders>
              <w:tl2br w:val="nil"/>
              <w:tr2bl w:val="nil"/>
            </w:tcBorders>
            <w:vAlign w:val="center"/>
          </w:tcPr>
          <w:p w14:paraId="34108E46">
            <w:pPr>
              <w:pStyle w:val="64"/>
              <w:spacing w:line="240" w:lineRule="auto"/>
              <w:ind w:firstLine="0"/>
              <w:rPr>
                <w:sz w:val="21"/>
                <w:szCs w:val="21"/>
                <w:u w:val="single"/>
              </w:rPr>
            </w:pPr>
            <w:r>
              <w:rPr>
                <w:sz w:val="21"/>
                <w:szCs w:val="21"/>
                <w:u w:val="single"/>
              </w:rPr>
              <w:t>危险废物</w:t>
            </w:r>
          </w:p>
        </w:tc>
        <w:tc>
          <w:tcPr>
            <w:tcW w:w="2197" w:type="dxa"/>
            <w:tcBorders>
              <w:tl2br w:val="nil"/>
              <w:tr2bl w:val="nil"/>
            </w:tcBorders>
            <w:vAlign w:val="center"/>
          </w:tcPr>
          <w:p w14:paraId="5088C2DB">
            <w:pPr>
              <w:pStyle w:val="64"/>
              <w:spacing w:line="240" w:lineRule="auto"/>
              <w:ind w:firstLine="0"/>
              <w:rPr>
                <w:sz w:val="21"/>
                <w:szCs w:val="21"/>
                <w:u w:val="single"/>
              </w:rPr>
            </w:pPr>
            <w:r>
              <w:rPr>
                <w:sz w:val="21"/>
                <w:szCs w:val="21"/>
                <w:u w:val="single"/>
              </w:rPr>
              <w:t>HW12</w:t>
            </w:r>
          </w:p>
          <w:p w14:paraId="569FD003">
            <w:pPr>
              <w:pStyle w:val="64"/>
              <w:spacing w:line="240" w:lineRule="auto"/>
              <w:ind w:firstLine="0"/>
              <w:rPr>
                <w:sz w:val="21"/>
                <w:szCs w:val="21"/>
                <w:u w:val="single"/>
              </w:rPr>
            </w:pPr>
            <w:r>
              <w:rPr>
                <w:sz w:val="21"/>
                <w:szCs w:val="21"/>
                <w:u w:val="single"/>
              </w:rPr>
              <w:t>900-299-12</w:t>
            </w:r>
          </w:p>
        </w:tc>
        <w:tc>
          <w:tcPr>
            <w:tcW w:w="1578" w:type="dxa"/>
            <w:tcBorders>
              <w:tl2br w:val="nil"/>
              <w:tr2bl w:val="nil"/>
            </w:tcBorders>
            <w:vAlign w:val="center"/>
          </w:tcPr>
          <w:p w14:paraId="15453E98">
            <w:pPr>
              <w:pStyle w:val="64"/>
              <w:spacing w:line="240" w:lineRule="auto"/>
              <w:ind w:firstLine="0"/>
              <w:rPr>
                <w:sz w:val="21"/>
                <w:szCs w:val="21"/>
                <w:u w:val="single"/>
              </w:rPr>
            </w:pPr>
            <w:r>
              <w:rPr>
                <w:rFonts w:hint="eastAsia"/>
                <w:sz w:val="21"/>
                <w:szCs w:val="21"/>
                <w:u w:val="single"/>
              </w:rPr>
              <w:t>5.6</w:t>
            </w:r>
            <w:r>
              <w:rPr>
                <w:sz w:val="21"/>
                <w:szCs w:val="21"/>
                <w:u w:val="single"/>
              </w:rPr>
              <w:t>t/a</w:t>
            </w:r>
          </w:p>
        </w:tc>
        <w:tc>
          <w:tcPr>
            <w:tcW w:w="1030" w:type="dxa"/>
            <w:vMerge w:val="restart"/>
            <w:tcBorders>
              <w:tl2br w:val="nil"/>
              <w:tr2bl w:val="nil"/>
            </w:tcBorders>
            <w:vAlign w:val="center"/>
          </w:tcPr>
          <w:p w14:paraId="625CAF1C">
            <w:pPr>
              <w:pStyle w:val="64"/>
              <w:spacing w:line="240" w:lineRule="auto"/>
              <w:ind w:firstLine="0"/>
              <w:rPr>
                <w:sz w:val="21"/>
                <w:szCs w:val="21"/>
                <w:u w:val="single"/>
              </w:rPr>
            </w:pPr>
            <w:r>
              <w:rPr>
                <w:rFonts w:hint="eastAsia"/>
                <w:sz w:val="21"/>
                <w:szCs w:val="21"/>
                <w:u w:val="single"/>
              </w:rPr>
              <w:t>定期转运</w:t>
            </w:r>
          </w:p>
        </w:tc>
        <w:tc>
          <w:tcPr>
            <w:tcW w:w="1580" w:type="dxa"/>
            <w:tcBorders>
              <w:tl2br w:val="nil"/>
              <w:tr2bl w:val="nil"/>
            </w:tcBorders>
            <w:vAlign w:val="center"/>
          </w:tcPr>
          <w:p w14:paraId="41531607">
            <w:pPr>
              <w:pStyle w:val="64"/>
              <w:spacing w:line="240" w:lineRule="auto"/>
              <w:ind w:firstLine="0"/>
              <w:rPr>
                <w:sz w:val="21"/>
                <w:szCs w:val="21"/>
                <w:u w:val="single"/>
              </w:rPr>
            </w:pPr>
            <w:r>
              <w:rPr>
                <w:sz w:val="21"/>
                <w:szCs w:val="21"/>
                <w:u w:val="single"/>
              </w:rPr>
              <w:t>T</w:t>
            </w:r>
          </w:p>
        </w:tc>
        <w:tc>
          <w:tcPr>
            <w:tcW w:w="2114" w:type="dxa"/>
            <w:vMerge w:val="restart"/>
            <w:tcBorders>
              <w:tl2br w:val="nil"/>
              <w:tr2bl w:val="nil"/>
            </w:tcBorders>
            <w:vAlign w:val="center"/>
          </w:tcPr>
          <w:p w14:paraId="60547B3F">
            <w:pPr>
              <w:pStyle w:val="64"/>
              <w:spacing w:line="240" w:lineRule="auto"/>
              <w:ind w:firstLine="0"/>
              <w:rPr>
                <w:color w:val="FF0000"/>
                <w:sz w:val="21"/>
                <w:szCs w:val="21"/>
                <w:u w:val="single"/>
              </w:rPr>
            </w:pPr>
            <w:r>
              <w:rPr>
                <w:sz w:val="21"/>
                <w:szCs w:val="21"/>
                <w:u w:val="single"/>
              </w:rPr>
              <w:t>置于危废暂存间，定期由有资质单位统一处</w:t>
            </w:r>
          </w:p>
        </w:tc>
        <w:tc>
          <w:tcPr>
            <w:tcW w:w="1357" w:type="dxa"/>
            <w:tcBorders>
              <w:tl2br w:val="nil"/>
              <w:tr2bl w:val="nil"/>
            </w:tcBorders>
            <w:vAlign w:val="center"/>
          </w:tcPr>
          <w:p w14:paraId="51983AB4">
            <w:pPr>
              <w:pStyle w:val="64"/>
              <w:spacing w:line="240" w:lineRule="auto"/>
              <w:ind w:firstLine="0"/>
              <w:rPr>
                <w:color w:val="FF0000"/>
                <w:sz w:val="21"/>
                <w:szCs w:val="21"/>
                <w:u w:val="single"/>
              </w:rPr>
            </w:pPr>
            <w:r>
              <w:rPr>
                <w:sz w:val="21"/>
                <w:szCs w:val="21"/>
                <w:u w:val="single"/>
              </w:rPr>
              <w:t>符合</w:t>
            </w:r>
          </w:p>
        </w:tc>
      </w:tr>
      <w:tr w14:paraId="1A6A2B0A">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65437C24">
            <w:pPr>
              <w:pStyle w:val="64"/>
              <w:spacing w:line="240" w:lineRule="auto"/>
              <w:ind w:firstLine="0"/>
              <w:rPr>
                <w:sz w:val="21"/>
                <w:szCs w:val="21"/>
                <w:u w:val="single"/>
              </w:rPr>
            </w:pPr>
            <w:r>
              <w:rPr>
                <w:rFonts w:hint="eastAsia"/>
                <w:sz w:val="21"/>
                <w:szCs w:val="21"/>
                <w:u w:val="single"/>
              </w:rPr>
              <w:t>2</w:t>
            </w:r>
          </w:p>
        </w:tc>
        <w:tc>
          <w:tcPr>
            <w:tcW w:w="1193" w:type="dxa"/>
            <w:tcBorders>
              <w:tl2br w:val="nil"/>
              <w:tr2bl w:val="nil"/>
            </w:tcBorders>
            <w:vAlign w:val="center"/>
          </w:tcPr>
          <w:p w14:paraId="780C2CB5">
            <w:pPr>
              <w:pStyle w:val="64"/>
              <w:spacing w:line="240" w:lineRule="auto"/>
              <w:ind w:firstLine="0"/>
              <w:rPr>
                <w:sz w:val="21"/>
                <w:szCs w:val="21"/>
                <w:u w:val="single"/>
              </w:rPr>
            </w:pPr>
            <w:r>
              <w:rPr>
                <w:rFonts w:hint="eastAsia"/>
                <w:sz w:val="21"/>
                <w:szCs w:val="21"/>
                <w:u w:val="single"/>
              </w:rPr>
              <w:t>废溶剂</w:t>
            </w:r>
          </w:p>
        </w:tc>
        <w:tc>
          <w:tcPr>
            <w:tcW w:w="1422" w:type="dxa"/>
            <w:tcBorders>
              <w:tl2br w:val="nil"/>
              <w:tr2bl w:val="nil"/>
            </w:tcBorders>
            <w:vAlign w:val="center"/>
          </w:tcPr>
          <w:p w14:paraId="5AB017EC">
            <w:pPr>
              <w:pStyle w:val="64"/>
              <w:spacing w:line="240" w:lineRule="auto"/>
              <w:ind w:firstLine="0"/>
              <w:rPr>
                <w:sz w:val="21"/>
                <w:szCs w:val="21"/>
                <w:u w:val="single"/>
              </w:rPr>
            </w:pPr>
            <w:r>
              <w:rPr>
                <w:rFonts w:hint="eastAsia"/>
                <w:sz w:val="21"/>
                <w:szCs w:val="21"/>
                <w:u w:val="single"/>
              </w:rPr>
              <w:t>溶剂储存</w:t>
            </w:r>
          </w:p>
        </w:tc>
        <w:tc>
          <w:tcPr>
            <w:tcW w:w="985" w:type="dxa"/>
            <w:vMerge w:val="continue"/>
            <w:tcBorders>
              <w:tl2br w:val="nil"/>
              <w:tr2bl w:val="nil"/>
            </w:tcBorders>
            <w:vAlign w:val="center"/>
          </w:tcPr>
          <w:p w14:paraId="2FA02BB3">
            <w:pPr>
              <w:pStyle w:val="64"/>
              <w:spacing w:line="240" w:lineRule="auto"/>
              <w:ind w:firstLine="0"/>
              <w:rPr>
                <w:sz w:val="21"/>
                <w:szCs w:val="21"/>
                <w:u w:val="single"/>
              </w:rPr>
            </w:pPr>
          </w:p>
        </w:tc>
        <w:tc>
          <w:tcPr>
            <w:tcW w:w="2197" w:type="dxa"/>
            <w:tcBorders>
              <w:tl2br w:val="nil"/>
              <w:tr2bl w:val="nil"/>
            </w:tcBorders>
            <w:vAlign w:val="center"/>
          </w:tcPr>
          <w:p w14:paraId="6CA7D3A6">
            <w:pPr>
              <w:pStyle w:val="64"/>
              <w:spacing w:line="240" w:lineRule="auto"/>
              <w:ind w:firstLine="0"/>
              <w:rPr>
                <w:sz w:val="21"/>
                <w:szCs w:val="21"/>
                <w:u w:val="single"/>
              </w:rPr>
            </w:pPr>
            <w:r>
              <w:rPr>
                <w:sz w:val="21"/>
                <w:szCs w:val="21"/>
                <w:u w:val="single"/>
              </w:rPr>
              <w:t>HW</w:t>
            </w:r>
            <w:r>
              <w:rPr>
                <w:rFonts w:hint="eastAsia"/>
                <w:sz w:val="21"/>
                <w:szCs w:val="21"/>
                <w:u w:val="single"/>
              </w:rPr>
              <w:t>06</w:t>
            </w:r>
          </w:p>
          <w:p w14:paraId="4DCF0578">
            <w:pPr>
              <w:pStyle w:val="64"/>
              <w:spacing w:line="240" w:lineRule="auto"/>
              <w:ind w:firstLine="0"/>
              <w:rPr>
                <w:sz w:val="21"/>
                <w:szCs w:val="21"/>
                <w:u w:val="single"/>
              </w:rPr>
            </w:pPr>
            <w:r>
              <w:rPr>
                <w:sz w:val="21"/>
                <w:szCs w:val="21"/>
                <w:u w:val="single"/>
              </w:rPr>
              <w:t>900-</w:t>
            </w:r>
            <w:r>
              <w:rPr>
                <w:rFonts w:hint="eastAsia"/>
                <w:sz w:val="21"/>
                <w:szCs w:val="21"/>
                <w:u w:val="single"/>
              </w:rPr>
              <w:t>402</w:t>
            </w:r>
            <w:r>
              <w:rPr>
                <w:sz w:val="21"/>
                <w:szCs w:val="21"/>
                <w:u w:val="single"/>
              </w:rPr>
              <w:t>-</w:t>
            </w:r>
            <w:r>
              <w:rPr>
                <w:rFonts w:hint="eastAsia"/>
                <w:sz w:val="21"/>
                <w:szCs w:val="21"/>
                <w:u w:val="single"/>
              </w:rPr>
              <w:t>06</w:t>
            </w:r>
          </w:p>
        </w:tc>
        <w:tc>
          <w:tcPr>
            <w:tcW w:w="1578" w:type="dxa"/>
            <w:tcBorders>
              <w:tl2br w:val="nil"/>
              <w:tr2bl w:val="nil"/>
            </w:tcBorders>
            <w:vAlign w:val="center"/>
          </w:tcPr>
          <w:p w14:paraId="7D53C61A">
            <w:pPr>
              <w:pStyle w:val="64"/>
              <w:spacing w:line="240" w:lineRule="auto"/>
              <w:ind w:firstLine="0"/>
              <w:rPr>
                <w:sz w:val="21"/>
                <w:szCs w:val="21"/>
                <w:u w:val="single"/>
              </w:rPr>
            </w:pPr>
            <w:r>
              <w:rPr>
                <w:rFonts w:hint="eastAsia"/>
                <w:sz w:val="21"/>
                <w:szCs w:val="21"/>
                <w:u w:val="single"/>
              </w:rPr>
              <w:t>6</w:t>
            </w:r>
            <w:r>
              <w:rPr>
                <w:sz w:val="21"/>
                <w:szCs w:val="21"/>
                <w:u w:val="single"/>
              </w:rPr>
              <w:t>t/a</w:t>
            </w:r>
          </w:p>
        </w:tc>
        <w:tc>
          <w:tcPr>
            <w:tcW w:w="1030" w:type="dxa"/>
            <w:vMerge w:val="continue"/>
            <w:tcBorders>
              <w:tl2br w:val="nil"/>
              <w:tr2bl w:val="nil"/>
            </w:tcBorders>
            <w:vAlign w:val="center"/>
          </w:tcPr>
          <w:p w14:paraId="24242839">
            <w:pPr>
              <w:pStyle w:val="64"/>
              <w:spacing w:line="240" w:lineRule="auto"/>
              <w:ind w:firstLine="0"/>
              <w:rPr>
                <w:sz w:val="21"/>
                <w:szCs w:val="21"/>
                <w:u w:val="single"/>
              </w:rPr>
            </w:pPr>
          </w:p>
        </w:tc>
        <w:tc>
          <w:tcPr>
            <w:tcW w:w="1580" w:type="dxa"/>
            <w:tcBorders>
              <w:tl2br w:val="nil"/>
              <w:tr2bl w:val="nil"/>
            </w:tcBorders>
            <w:vAlign w:val="center"/>
          </w:tcPr>
          <w:p w14:paraId="79EE82EC">
            <w:pPr>
              <w:pStyle w:val="64"/>
              <w:spacing w:line="240" w:lineRule="auto"/>
              <w:ind w:firstLine="0"/>
              <w:rPr>
                <w:sz w:val="21"/>
                <w:szCs w:val="21"/>
                <w:u w:val="single"/>
              </w:rPr>
            </w:pPr>
            <w:r>
              <w:rPr>
                <w:sz w:val="21"/>
                <w:szCs w:val="21"/>
                <w:u w:val="single"/>
              </w:rPr>
              <w:t>T</w:t>
            </w:r>
            <w:r>
              <w:rPr>
                <w:rFonts w:hint="eastAsia"/>
                <w:sz w:val="21"/>
                <w:szCs w:val="21"/>
                <w:u w:val="single"/>
              </w:rPr>
              <w:t>，</w:t>
            </w:r>
            <w:r>
              <w:rPr>
                <w:sz w:val="21"/>
                <w:szCs w:val="21"/>
                <w:u w:val="single"/>
              </w:rPr>
              <w:t>I</w:t>
            </w:r>
            <w:r>
              <w:rPr>
                <w:rFonts w:hint="eastAsia"/>
                <w:sz w:val="21"/>
                <w:szCs w:val="21"/>
                <w:u w:val="single"/>
              </w:rPr>
              <w:t>，R</w:t>
            </w:r>
          </w:p>
        </w:tc>
        <w:tc>
          <w:tcPr>
            <w:tcW w:w="2114" w:type="dxa"/>
            <w:vMerge w:val="continue"/>
            <w:tcBorders>
              <w:tl2br w:val="nil"/>
              <w:tr2bl w:val="nil"/>
            </w:tcBorders>
            <w:vAlign w:val="center"/>
          </w:tcPr>
          <w:p w14:paraId="6DE36F0A">
            <w:pPr>
              <w:pStyle w:val="64"/>
              <w:spacing w:line="240" w:lineRule="auto"/>
              <w:ind w:firstLine="0"/>
              <w:rPr>
                <w:sz w:val="21"/>
                <w:szCs w:val="21"/>
                <w:u w:val="single"/>
              </w:rPr>
            </w:pPr>
          </w:p>
        </w:tc>
        <w:tc>
          <w:tcPr>
            <w:tcW w:w="1357" w:type="dxa"/>
            <w:tcBorders>
              <w:tl2br w:val="nil"/>
              <w:tr2bl w:val="nil"/>
            </w:tcBorders>
            <w:vAlign w:val="center"/>
          </w:tcPr>
          <w:p w14:paraId="41491695">
            <w:pPr>
              <w:pStyle w:val="64"/>
              <w:spacing w:line="240" w:lineRule="auto"/>
              <w:ind w:firstLine="0"/>
              <w:rPr>
                <w:sz w:val="21"/>
                <w:szCs w:val="21"/>
                <w:u w:val="single"/>
              </w:rPr>
            </w:pPr>
            <w:r>
              <w:rPr>
                <w:sz w:val="21"/>
                <w:szCs w:val="21"/>
                <w:u w:val="single"/>
              </w:rPr>
              <w:t>符合</w:t>
            </w:r>
          </w:p>
        </w:tc>
      </w:tr>
      <w:tr w14:paraId="7873DC90">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40" w:hRule="atLeast"/>
          <w:jc w:val="center"/>
        </w:trPr>
        <w:tc>
          <w:tcPr>
            <w:tcW w:w="718" w:type="dxa"/>
            <w:tcBorders>
              <w:tl2br w:val="nil"/>
              <w:tr2bl w:val="nil"/>
            </w:tcBorders>
            <w:vAlign w:val="center"/>
          </w:tcPr>
          <w:p w14:paraId="3A2FBCC9">
            <w:pPr>
              <w:pStyle w:val="64"/>
              <w:spacing w:line="240" w:lineRule="auto"/>
              <w:ind w:firstLine="0"/>
              <w:rPr>
                <w:sz w:val="21"/>
                <w:szCs w:val="21"/>
                <w:u w:val="single"/>
              </w:rPr>
            </w:pPr>
            <w:r>
              <w:rPr>
                <w:rFonts w:hint="eastAsia"/>
                <w:sz w:val="21"/>
                <w:szCs w:val="21"/>
                <w:u w:val="single"/>
              </w:rPr>
              <w:t>3</w:t>
            </w:r>
          </w:p>
        </w:tc>
        <w:tc>
          <w:tcPr>
            <w:tcW w:w="1193" w:type="dxa"/>
            <w:tcBorders>
              <w:tl2br w:val="nil"/>
              <w:tr2bl w:val="nil"/>
            </w:tcBorders>
            <w:vAlign w:val="center"/>
          </w:tcPr>
          <w:p w14:paraId="585B2904">
            <w:pPr>
              <w:pStyle w:val="64"/>
              <w:spacing w:line="240" w:lineRule="auto"/>
              <w:ind w:firstLine="0"/>
              <w:rPr>
                <w:sz w:val="21"/>
                <w:szCs w:val="21"/>
                <w:u w:val="single"/>
              </w:rPr>
            </w:pPr>
            <w:r>
              <w:rPr>
                <w:rFonts w:hint="eastAsia"/>
                <w:sz w:val="21"/>
                <w:szCs w:val="21"/>
                <w:u w:val="single"/>
              </w:rPr>
              <w:t>废胶水</w:t>
            </w:r>
          </w:p>
        </w:tc>
        <w:tc>
          <w:tcPr>
            <w:tcW w:w="1422" w:type="dxa"/>
            <w:tcBorders>
              <w:tl2br w:val="nil"/>
              <w:tr2bl w:val="nil"/>
            </w:tcBorders>
            <w:vAlign w:val="center"/>
          </w:tcPr>
          <w:p w14:paraId="07ACB14D">
            <w:pPr>
              <w:pStyle w:val="64"/>
              <w:spacing w:line="240" w:lineRule="auto"/>
              <w:ind w:firstLine="0"/>
              <w:rPr>
                <w:sz w:val="21"/>
                <w:szCs w:val="21"/>
                <w:u w:val="single"/>
              </w:rPr>
            </w:pPr>
            <w:r>
              <w:rPr>
                <w:rFonts w:hint="eastAsia"/>
                <w:sz w:val="21"/>
                <w:szCs w:val="21"/>
                <w:u w:val="single"/>
              </w:rPr>
              <w:t>胶粘剂储存</w:t>
            </w:r>
          </w:p>
        </w:tc>
        <w:tc>
          <w:tcPr>
            <w:tcW w:w="985" w:type="dxa"/>
            <w:vMerge w:val="continue"/>
            <w:tcBorders>
              <w:tl2br w:val="nil"/>
              <w:tr2bl w:val="nil"/>
            </w:tcBorders>
            <w:vAlign w:val="center"/>
          </w:tcPr>
          <w:p w14:paraId="47CBD047">
            <w:pPr>
              <w:pStyle w:val="64"/>
              <w:spacing w:line="240" w:lineRule="auto"/>
              <w:ind w:firstLine="0"/>
              <w:rPr>
                <w:sz w:val="21"/>
                <w:szCs w:val="21"/>
                <w:u w:val="single"/>
              </w:rPr>
            </w:pPr>
          </w:p>
        </w:tc>
        <w:tc>
          <w:tcPr>
            <w:tcW w:w="2197" w:type="dxa"/>
            <w:tcBorders>
              <w:tl2br w:val="nil"/>
              <w:tr2bl w:val="nil"/>
            </w:tcBorders>
            <w:vAlign w:val="center"/>
          </w:tcPr>
          <w:p w14:paraId="0DC6D571">
            <w:pPr>
              <w:pStyle w:val="64"/>
              <w:spacing w:line="240" w:lineRule="auto"/>
              <w:ind w:firstLine="0"/>
              <w:rPr>
                <w:sz w:val="21"/>
                <w:szCs w:val="21"/>
                <w:u w:val="single"/>
              </w:rPr>
            </w:pPr>
            <w:r>
              <w:rPr>
                <w:sz w:val="21"/>
                <w:szCs w:val="21"/>
                <w:u w:val="single"/>
              </w:rPr>
              <w:t>HW</w:t>
            </w:r>
            <w:r>
              <w:rPr>
                <w:rFonts w:hint="eastAsia"/>
                <w:sz w:val="21"/>
                <w:szCs w:val="21"/>
                <w:u w:val="single"/>
              </w:rPr>
              <w:t>13</w:t>
            </w:r>
          </w:p>
          <w:p w14:paraId="3DE73843">
            <w:pPr>
              <w:pStyle w:val="64"/>
              <w:spacing w:line="240" w:lineRule="auto"/>
              <w:ind w:firstLine="0"/>
              <w:rPr>
                <w:sz w:val="21"/>
                <w:szCs w:val="21"/>
                <w:u w:val="single"/>
              </w:rPr>
            </w:pPr>
            <w:r>
              <w:rPr>
                <w:sz w:val="21"/>
                <w:szCs w:val="21"/>
                <w:u w:val="single"/>
              </w:rPr>
              <w:t>900-0</w:t>
            </w:r>
            <w:r>
              <w:rPr>
                <w:rFonts w:hint="eastAsia"/>
                <w:sz w:val="21"/>
                <w:szCs w:val="21"/>
                <w:u w:val="single"/>
              </w:rPr>
              <w:t>14</w:t>
            </w:r>
            <w:r>
              <w:rPr>
                <w:sz w:val="21"/>
                <w:szCs w:val="21"/>
                <w:u w:val="single"/>
              </w:rPr>
              <w:t>-</w:t>
            </w:r>
            <w:r>
              <w:rPr>
                <w:rFonts w:hint="eastAsia"/>
                <w:sz w:val="21"/>
                <w:szCs w:val="21"/>
                <w:u w:val="single"/>
              </w:rPr>
              <w:t>13</w:t>
            </w:r>
          </w:p>
        </w:tc>
        <w:tc>
          <w:tcPr>
            <w:tcW w:w="1578" w:type="dxa"/>
            <w:tcBorders>
              <w:tl2br w:val="nil"/>
              <w:tr2bl w:val="nil"/>
            </w:tcBorders>
            <w:vAlign w:val="center"/>
          </w:tcPr>
          <w:p w14:paraId="3CE5C281">
            <w:pPr>
              <w:pStyle w:val="64"/>
              <w:spacing w:line="240" w:lineRule="auto"/>
              <w:ind w:firstLine="0"/>
              <w:rPr>
                <w:sz w:val="21"/>
                <w:szCs w:val="21"/>
                <w:u w:val="single"/>
              </w:rPr>
            </w:pPr>
            <w:r>
              <w:rPr>
                <w:rFonts w:hint="eastAsia"/>
                <w:sz w:val="21"/>
                <w:szCs w:val="21"/>
                <w:u w:val="single"/>
              </w:rPr>
              <w:t>4.2</w:t>
            </w:r>
            <w:r>
              <w:rPr>
                <w:sz w:val="21"/>
                <w:szCs w:val="21"/>
                <w:u w:val="single"/>
              </w:rPr>
              <w:t>t/a</w:t>
            </w:r>
          </w:p>
        </w:tc>
        <w:tc>
          <w:tcPr>
            <w:tcW w:w="1030" w:type="dxa"/>
            <w:vMerge w:val="continue"/>
            <w:tcBorders>
              <w:tl2br w:val="nil"/>
              <w:tr2bl w:val="nil"/>
            </w:tcBorders>
            <w:vAlign w:val="center"/>
          </w:tcPr>
          <w:p w14:paraId="08194F4D">
            <w:pPr>
              <w:pStyle w:val="64"/>
              <w:spacing w:line="240" w:lineRule="auto"/>
              <w:ind w:firstLine="0"/>
              <w:rPr>
                <w:sz w:val="21"/>
                <w:szCs w:val="21"/>
                <w:u w:val="single"/>
              </w:rPr>
            </w:pPr>
          </w:p>
        </w:tc>
        <w:tc>
          <w:tcPr>
            <w:tcW w:w="1580" w:type="dxa"/>
            <w:tcBorders>
              <w:tl2br w:val="nil"/>
              <w:tr2bl w:val="nil"/>
            </w:tcBorders>
            <w:vAlign w:val="center"/>
          </w:tcPr>
          <w:p w14:paraId="012DBDB1">
            <w:pPr>
              <w:pStyle w:val="64"/>
              <w:spacing w:line="240" w:lineRule="auto"/>
              <w:ind w:firstLine="0"/>
              <w:rPr>
                <w:sz w:val="21"/>
                <w:szCs w:val="21"/>
                <w:u w:val="single"/>
              </w:rPr>
            </w:pPr>
            <w:r>
              <w:rPr>
                <w:sz w:val="21"/>
                <w:szCs w:val="21"/>
                <w:u w:val="single"/>
              </w:rPr>
              <w:t>T</w:t>
            </w:r>
          </w:p>
        </w:tc>
        <w:tc>
          <w:tcPr>
            <w:tcW w:w="2114" w:type="dxa"/>
            <w:vMerge w:val="continue"/>
            <w:tcBorders>
              <w:tl2br w:val="nil"/>
              <w:tr2bl w:val="nil"/>
            </w:tcBorders>
            <w:vAlign w:val="center"/>
          </w:tcPr>
          <w:p w14:paraId="2BD53A31">
            <w:pPr>
              <w:pStyle w:val="64"/>
              <w:spacing w:line="240" w:lineRule="auto"/>
              <w:ind w:firstLine="0"/>
              <w:rPr>
                <w:sz w:val="21"/>
                <w:szCs w:val="21"/>
                <w:u w:val="single"/>
              </w:rPr>
            </w:pPr>
          </w:p>
        </w:tc>
        <w:tc>
          <w:tcPr>
            <w:tcW w:w="1357" w:type="dxa"/>
            <w:tcBorders>
              <w:tl2br w:val="nil"/>
              <w:tr2bl w:val="nil"/>
            </w:tcBorders>
            <w:vAlign w:val="center"/>
          </w:tcPr>
          <w:p w14:paraId="175DE6C7">
            <w:pPr>
              <w:pStyle w:val="64"/>
              <w:spacing w:line="240" w:lineRule="auto"/>
              <w:ind w:firstLine="0"/>
              <w:rPr>
                <w:sz w:val="21"/>
                <w:szCs w:val="21"/>
                <w:u w:val="single"/>
              </w:rPr>
            </w:pPr>
            <w:r>
              <w:rPr>
                <w:sz w:val="21"/>
                <w:szCs w:val="21"/>
                <w:u w:val="single"/>
              </w:rPr>
              <w:t>符合</w:t>
            </w:r>
          </w:p>
        </w:tc>
      </w:tr>
      <w:tr w14:paraId="42A13B0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5632E697">
            <w:pPr>
              <w:pStyle w:val="64"/>
              <w:spacing w:line="240" w:lineRule="auto"/>
              <w:ind w:firstLine="0"/>
              <w:rPr>
                <w:sz w:val="21"/>
                <w:szCs w:val="21"/>
                <w:u w:val="single"/>
              </w:rPr>
            </w:pPr>
            <w:r>
              <w:rPr>
                <w:rFonts w:hint="eastAsia"/>
                <w:sz w:val="21"/>
                <w:szCs w:val="21"/>
                <w:u w:val="single"/>
              </w:rPr>
              <w:t>4</w:t>
            </w:r>
          </w:p>
        </w:tc>
        <w:tc>
          <w:tcPr>
            <w:tcW w:w="1193" w:type="dxa"/>
            <w:tcBorders>
              <w:tl2br w:val="nil"/>
              <w:tr2bl w:val="nil"/>
            </w:tcBorders>
            <w:vAlign w:val="center"/>
          </w:tcPr>
          <w:p w14:paraId="0C6DCF20">
            <w:pPr>
              <w:pStyle w:val="64"/>
              <w:spacing w:line="240" w:lineRule="auto"/>
              <w:ind w:firstLine="0"/>
              <w:rPr>
                <w:sz w:val="21"/>
                <w:szCs w:val="21"/>
                <w:u w:val="single"/>
              </w:rPr>
            </w:pPr>
            <w:r>
              <w:rPr>
                <w:rFonts w:hint="eastAsia"/>
                <w:sz w:val="21"/>
                <w:szCs w:val="21"/>
                <w:u w:val="single"/>
              </w:rPr>
              <w:t>废弃包装桶</w:t>
            </w:r>
          </w:p>
        </w:tc>
        <w:tc>
          <w:tcPr>
            <w:tcW w:w="1422" w:type="dxa"/>
            <w:tcBorders>
              <w:tl2br w:val="nil"/>
              <w:tr2bl w:val="nil"/>
            </w:tcBorders>
            <w:vAlign w:val="center"/>
          </w:tcPr>
          <w:p w14:paraId="5C5F64E6">
            <w:pPr>
              <w:pStyle w:val="64"/>
              <w:spacing w:line="240" w:lineRule="auto"/>
              <w:ind w:firstLine="0"/>
              <w:rPr>
                <w:sz w:val="21"/>
                <w:szCs w:val="21"/>
                <w:u w:val="single"/>
              </w:rPr>
            </w:pPr>
            <w:r>
              <w:rPr>
                <w:rFonts w:hint="eastAsia"/>
                <w:sz w:val="21"/>
                <w:szCs w:val="21"/>
                <w:u w:val="single"/>
              </w:rPr>
              <w:t>原料使用过程</w:t>
            </w:r>
          </w:p>
        </w:tc>
        <w:tc>
          <w:tcPr>
            <w:tcW w:w="985" w:type="dxa"/>
            <w:vMerge w:val="continue"/>
            <w:tcBorders>
              <w:tl2br w:val="nil"/>
              <w:tr2bl w:val="nil"/>
            </w:tcBorders>
            <w:vAlign w:val="center"/>
          </w:tcPr>
          <w:p w14:paraId="6AB3E284">
            <w:pPr>
              <w:pStyle w:val="64"/>
              <w:spacing w:line="240" w:lineRule="auto"/>
              <w:ind w:firstLine="0"/>
              <w:rPr>
                <w:sz w:val="21"/>
                <w:szCs w:val="21"/>
                <w:u w:val="single"/>
              </w:rPr>
            </w:pPr>
          </w:p>
        </w:tc>
        <w:tc>
          <w:tcPr>
            <w:tcW w:w="2197" w:type="dxa"/>
            <w:tcBorders>
              <w:tl2br w:val="nil"/>
              <w:tr2bl w:val="nil"/>
            </w:tcBorders>
            <w:vAlign w:val="center"/>
          </w:tcPr>
          <w:p w14:paraId="2F1326BC">
            <w:pPr>
              <w:pStyle w:val="64"/>
              <w:spacing w:line="240" w:lineRule="auto"/>
              <w:ind w:firstLine="0"/>
              <w:rPr>
                <w:sz w:val="21"/>
                <w:szCs w:val="21"/>
                <w:u w:val="single"/>
              </w:rPr>
            </w:pPr>
            <w:r>
              <w:rPr>
                <w:sz w:val="21"/>
                <w:szCs w:val="21"/>
                <w:u w:val="single"/>
              </w:rPr>
              <w:t>HW49</w:t>
            </w:r>
          </w:p>
          <w:p w14:paraId="19ADB1EC">
            <w:pPr>
              <w:pStyle w:val="64"/>
              <w:spacing w:line="240" w:lineRule="auto"/>
              <w:ind w:firstLine="0"/>
              <w:rPr>
                <w:sz w:val="21"/>
                <w:szCs w:val="21"/>
                <w:u w:val="single"/>
              </w:rPr>
            </w:pPr>
            <w:r>
              <w:rPr>
                <w:sz w:val="21"/>
                <w:szCs w:val="21"/>
                <w:u w:val="single"/>
              </w:rPr>
              <w:t>900-041-49</w:t>
            </w:r>
          </w:p>
        </w:tc>
        <w:tc>
          <w:tcPr>
            <w:tcW w:w="1578" w:type="dxa"/>
            <w:tcBorders>
              <w:tl2br w:val="nil"/>
              <w:tr2bl w:val="nil"/>
            </w:tcBorders>
            <w:vAlign w:val="center"/>
          </w:tcPr>
          <w:p w14:paraId="28ADC1D5">
            <w:pPr>
              <w:pStyle w:val="64"/>
              <w:spacing w:line="240" w:lineRule="auto"/>
              <w:ind w:firstLine="0"/>
              <w:rPr>
                <w:sz w:val="21"/>
                <w:szCs w:val="21"/>
                <w:u w:val="single"/>
              </w:rPr>
            </w:pPr>
            <w:r>
              <w:rPr>
                <w:rFonts w:hint="eastAsia"/>
                <w:sz w:val="21"/>
                <w:szCs w:val="21"/>
                <w:u w:val="single"/>
              </w:rPr>
              <w:t>25</w:t>
            </w:r>
            <w:r>
              <w:rPr>
                <w:sz w:val="21"/>
                <w:szCs w:val="21"/>
                <w:u w:val="single"/>
              </w:rPr>
              <w:t>t/a</w:t>
            </w:r>
          </w:p>
        </w:tc>
        <w:tc>
          <w:tcPr>
            <w:tcW w:w="1030" w:type="dxa"/>
            <w:vMerge w:val="continue"/>
            <w:tcBorders>
              <w:tl2br w:val="nil"/>
              <w:tr2bl w:val="nil"/>
            </w:tcBorders>
            <w:vAlign w:val="center"/>
          </w:tcPr>
          <w:p w14:paraId="7865B617">
            <w:pPr>
              <w:pStyle w:val="64"/>
              <w:spacing w:line="240" w:lineRule="auto"/>
              <w:ind w:firstLine="0"/>
              <w:rPr>
                <w:sz w:val="21"/>
                <w:szCs w:val="21"/>
                <w:u w:val="single"/>
              </w:rPr>
            </w:pPr>
          </w:p>
        </w:tc>
        <w:tc>
          <w:tcPr>
            <w:tcW w:w="1580" w:type="dxa"/>
            <w:tcBorders>
              <w:tl2br w:val="nil"/>
              <w:tr2bl w:val="nil"/>
            </w:tcBorders>
            <w:vAlign w:val="center"/>
          </w:tcPr>
          <w:p w14:paraId="417B0F26">
            <w:pPr>
              <w:pStyle w:val="64"/>
              <w:spacing w:line="240" w:lineRule="auto"/>
              <w:ind w:firstLine="0"/>
              <w:rPr>
                <w:sz w:val="21"/>
                <w:szCs w:val="21"/>
                <w:u w:val="single"/>
              </w:rPr>
            </w:pPr>
            <w:r>
              <w:rPr>
                <w:sz w:val="21"/>
                <w:szCs w:val="21"/>
                <w:u w:val="single"/>
              </w:rPr>
              <w:t>T/In</w:t>
            </w:r>
          </w:p>
        </w:tc>
        <w:tc>
          <w:tcPr>
            <w:tcW w:w="2114" w:type="dxa"/>
            <w:vMerge w:val="continue"/>
            <w:tcBorders>
              <w:tl2br w:val="nil"/>
              <w:tr2bl w:val="nil"/>
            </w:tcBorders>
            <w:vAlign w:val="center"/>
          </w:tcPr>
          <w:p w14:paraId="3F1F6D99">
            <w:pPr>
              <w:pStyle w:val="64"/>
              <w:spacing w:line="240" w:lineRule="auto"/>
              <w:ind w:firstLine="0"/>
              <w:rPr>
                <w:sz w:val="21"/>
                <w:szCs w:val="21"/>
                <w:u w:val="single"/>
              </w:rPr>
            </w:pPr>
          </w:p>
        </w:tc>
        <w:tc>
          <w:tcPr>
            <w:tcW w:w="1357" w:type="dxa"/>
            <w:tcBorders>
              <w:tl2br w:val="nil"/>
              <w:tr2bl w:val="nil"/>
            </w:tcBorders>
            <w:vAlign w:val="center"/>
          </w:tcPr>
          <w:p w14:paraId="7403D415">
            <w:pPr>
              <w:pStyle w:val="64"/>
              <w:spacing w:line="240" w:lineRule="auto"/>
              <w:ind w:firstLine="0"/>
              <w:rPr>
                <w:sz w:val="21"/>
                <w:szCs w:val="21"/>
                <w:u w:val="single"/>
              </w:rPr>
            </w:pPr>
            <w:r>
              <w:rPr>
                <w:sz w:val="21"/>
                <w:szCs w:val="21"/>
                <w:u w:val="single"/>
              </w:rPr>
              <w:t>符合</w:t>
            </w:r>
          </w:p>
        </w:tc>
      </w:tr>
      <w:tr w14:paraId="5013D571">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01E16691">
            <w:pPr>
              <w:pStyle w:val="64"/>
              <w:spacing w:line="240" w:lineRule="auto"/>
              <w:ind w:firstLine="0"/>
              <w:rPr>
                <w:sz w:val="21"/>
                <w:szCs w:val="21"/>
                <w:u w:val="single"/>
              </w:rPr>
            </w:pPr>
            <w:r>
              <w:rPr>
                <w:rFonts w:hint="eastAsia"/>
                <w:sz w:val="21"/>
                <w:szCs w:val="21"/>
                <w:u w:val="single"/>
              </w:rPr>
              <w:t>5</w:t>
            </w:r>
          </w:p>
        </w:tc>
        <w:tc>
          <w:tcPr>
            <w:tcW w:w="1193" w:type="dxa"/>
            <w:tcBorders>
              <w:tl2br w:val="nil"/>
              <w:tr2bl w:val="nil"/>
            </w:tcBorders>
            <w:vAlign w:val="center"/>
          </w:tcPr>
          <w:p w14:paraId="626EE6C9">
            <w:pPr>
              <w:pStyle w:val="64"/>
              <w:spacing w:line="240" w:lineRule="auto"/>
              <w:ind w:firstLine="0"/>
              <w:rPr>
                <w:sz w:val="21"/>
                <w:szCs w:val="21"/>
                <w:u w:val="single"/>
              </w:rPr>
            </w:pPr>
            <w:r>
              <w:rPr>
                <w:rFonts w:hint="eastAsia"/>
                <w:sz w:val="21"/>
                <w:szCs w:val="21"/>
                <w:u w:val="single"/>
              </w:rPr>
              <w:t>含油抹布、手套</w:t>
            </w:r>
          </w:p>
        </w:tc>
        <w:tc>
          <w:tcPr>
            <w:tcW w:w="1422" w:type="dxa"/>
            <w:tcBorders>
              <w:tl2br w:val="nil"/>
              <w:tr2bl w:val="nil"/>
            </w:tcBorders>
            <w:vAlign w:val="center"/>
          </w:tcPr>
          <w:p w14:paraId="19266E16">
            <w:pPr>
              <w:pStyle w:val="64"/>
              <w:spacing w:line="240" w:lineRule="auto"/>
              <w:ind w:firstLine="0"/>
              <w:rPr>
                <w:sz w:val="21"/>
                <w:szCs w:val="21"/>
                <w:u w:val="single"/>
              </w:rPr>
            </w:pPr>
            <w:r>
              <w:rPr>
                <w:sz w:val="21"/>
                <w:szCs w:val="21"/>
                <w:u w:val="single"/>
              </w:rPr>
              <w:t>清洁</w:t>
            </w:r>
            <w:r>
              <w:rPr>
                <w:rFonts w:hint="eastAsia"/>
                <w:sz w:val="21"/>
                <w:szCs w:val="21"/>
                <w:u w:val="single"/>
              </w:rPr>
              <w:t>、设备维修</w:t>
            </w:r>
          </w:p>
        </w:tc>
        <w:tc>
          <w:tcPr>
            <w:tcW w:w="985" w:type="dxa"/>
            <w:vMerge w:val="continue"/>
            <w:tcBorders>
              <w:tl2br w:val="nil"/>
              <w:tr2bl w:val="nil"/>
            </w:tcBorders>
            <w:vAlign w:val="center"/>
          </w:tcPr>
          <w:p w14:paraId="461EF0EA">
            <w:pPr>
              <w:pStyle w:val="64"/>
              <w:spacing w:line="240" w:lineRule="auto"/>
              <w:ind w:firstLine="0"/>
              <w:rPr>
                <w:sz w:val="21"/>
                <w:szCs w:val="21"/>
                <w:u w:val="single"/>
              </w:rPr>
            </w:pPr>
          </w:p>
        </w:tc>
        <w:tc>
          <w:tcPr>
            <w:tcW w:w="2197" w:type="dxa"/>
            <w:tcBorders>
              <w:tl2br w:val="nil"/>
              <w:tr2bl w:val="nil"/>
            </w:tcBorders>
            <w:vAlign w:val="center"/>
          </w:tcPr>
          <w:p w14:paraId="5E0AC674">
            <w:pPr>
              <w:pStyle w:val="64"/>
              <w:spacing w:line="240" w:lineRule="auto"/>
              <w:ind w:firstLine="0"/>
              <w:rPr>
                <w:sz w:val="21"/>
                <w:szCs w:val="21"/>
                <w:u w:val="single"/>
              </w:rPr>
            </w:pPr>
            <w:r>
              <w:rPr>
                <w:sz w:val="21"/>
                <w:szCs w:val="21"/>
                <w:u w:val="single"/>
              </w:rPr>
              <w:t>HW</w:t>
            </w:r>
            <w:r>
              <w:rPr>
                <w:rFonts w:hint="eastAsia"/>
                <w:sz w:val="21"/>
                <w:szCs w:val="21"/>
                <w:u w:val="single"/>
              </w:rPr>
              <w:t>49</w:t>
            </w:r>
          </w:p>
          <w:p w14:paraId="173D879C">
            <w:pPr>
              <w:pStyle w:val="64"/>
              <w:spacing w:line="240" w:lineRule="auto"/>
              <w:ind w:firstLine="0"/>
              <w:rPr>
                <w:sz w:val="21"/>
                <w:szCs w:val="21"/>
                <w:u w:val="single"/>
              </w:rPr>
            </w:pPr>
            <w:r>
              <w:rPr>
                <w:sz w:val="21"/>
                <w:szCs w:val="21"/>
                <w:u w:val="single"/>
              </w:rPr>
              <w:t>900-0</w:t>
            </w:r>
            <w:r>
              <w:rPr>
                <w:rFonts w:hint="eastAsia"/>
                <w:sz w:val="21"/>
                <w:szCs w:val="21"/>
                <w:u w:val="single"/>
              </w:rPr>
              <w:t>41</w:t>
            </w:r>
            <w:r>
              <w:rPr>
                <w:sz w:val="21"/>
                <w:szCs w:val="21"/>
                <w:u w:val="single"/>
              </w:rPr>
              <w:t>-49</w:t>
            </w:r>
          </w:p>
        </w:tc>
        <w:tc>
          <w:tcPr>
            <w:tcW w:w="1578" w:type="dxa"/>
            <w:tcBorders>
              <w:tl2br w:val="nil"/>
              <w:tr2bl w:val="nil"/>
            </w:tcBorders>
            <w:vAlign w:val="center"/>
          </w:tcPr>
          <w:p w14:paraId="6B8F1D8A">
            <w:pPr>
              <w:pStyle w:val="64"/>
              <w:spacing w:line="240" w:lineRule="auto"/>
              <w:ind w:firstLine="0"/>
              <w:rPr>
                <w:sz w:val="21"/>
                <w:szCs w:val="21"/>
                <w:u w:val="single"/>
              </w:rPr>
            </w:pPr>
            <w:r>
              <w:rPr>
                <w:rFonts w:hint="eastAsia"/>
                <w:sz w:val="21"/>
                <w:szCs w:val="21"/>
                <w:u w:val="single"/>
              </w:rPr>
              <w:t>3.5</w:t>
            </w:r>
            <w:r>
              <w:rPr>
                <w:sz w:val="21"/>
                <w:szCs w:val="21"/>
                <w:u w:val="single"/>
              </w:rPr>
              <w:t>t/a</w:t>
            </w:r>
          </w:p>
        </w:tc>
        <w:tc>
          <w:tcPr>
            <w:tcW w:w="1030" w:type="dxa"/>
            <w:vMerge w:val="continue"/>
            <w:tcBorders>
              <w:tl2br w:val="nil"/>
              <w:tr2bl w:val="nil"/>
            </w:tcBorders>
            <w:vAlign w:val="center"/>
          </w:tcPr>
          <w:p w14:paraId="22667062">
            <w:pPr>
              <w:pStyle w:val="64"/>
              <w:spacing w:line="240" w:lineRule="auto"/>
              <w:ind w:firstLine="0"/>
              <w:rPr>
                <w:sz w:val="21"/>
                <w:szCs w:val="21"/>
                <w:u w:val="single"/>
              </w:rPr>
            </w:pPr>
          </w:p>
        </w:tc>
        <w:tc>
          <w:tcPr>
            <w:tcW w:w="1580" w:type="dxa"/>
            <w:tcBorders>
              <w:tl2br w:val="nil"/>
              <w:tr2bl w:val="nil"/>
            </w:tcBorders>
            <w:vAlign w:val="center"/>
          </w:tcPr>
          <w:p w14:paraId="0A0F703A">
            <w:pPr>
              <w:pStyle w:val="64"/>
              <w:spacing w:line="240" w:lineRule="auto"/>
              <w:ind w:firstLine="0"/>
              <w:rPr>
                <w:sz w:val="21"/>
                <w:szCs w:val="21"/>
                <w:u w:val="single"/>
              </w:rPr>
            </w:pPr>
            <w:r>
              <w:rPr>
                <w:sz w:val="21"/>
                <w:szCs w:val="21"/>
                <w:u w:val="single"/>
              </w:rPr>
              <w:t>T/In</w:t>
            </w:r>
          </w:p>
        </w:tc>
        <w:tc>
          <w:tcPr>
            <w:tcW w:w="2114" w:type="dxa"/>
            <w:vMerge w:val="continue"/>
            <w:tcBorders>
              <w:tl2br w:val="nil"/>
              <w:tr2bl w:val="nil"/>
            </w:tcBorders>
            <w:vAlign w:val="center"/>
          </w:tcPr>
          <w:p w14:paraId="330A1CBC">
            <w:pPr>
              <w:pStyle w:val="64"/>
              <w:spacing w:line="240" w:lineRule="auto"/>
              <w:ind w:firstLine="0"/>
              <w:rPr>
                <w:sz w:val="21"/>
                <w:szCs w:val="21"/>
                <w:u w:val="single"/>
              </w:rPr>
            </w:pPr>
          </w:p>
        </w:tc>
        <w:tc>
          <w:tcPr>
            <w:tcW w:w="1357" w:type="dxa"/>
            <w:tcBorders>
              <w:tl2br w:val="nil"/>
              <w:tr2bl w:val="nil"/>
            </w:tcBorders>
            <w:vAlign w:val="center"/>
          </w:tcPr>
          <w:p w14:paraId="63966A93">
            <w:pPr>
              <w:pStyle w:val="64"/>
              <w:spacing w:line="240" w:lineRule="auto"/>
              <w:ind w:firstLine="0"/>
              <w:rPr>
                <w:sz w:val="21"/>
                <w:szCs w:val="21"/>
                <w:u w:val="single"/>
              </w:rPr>
            </w:pPr>
            <w:r>
              <w:rPr>
                <w:sz w:val="21"/>
                <w:szCs w:val="21"/>
                <w:u w:val="single"/>
              </w:rPr>
              <w:t>符合</w:t>
            </w:r>
          </w:p>
        </w:tc>
      </w:tr>
      <w:tr w14:paraId="6B9643D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40" w:hRule="atLeast"/>
          <w:jc w:val="center"/>
        </w:trPr>
        <w:tc>
          <w:tcPr>
            <w:tcW w:w="718" w:type="dxa"/>
            <w:tcBorders>
              <w:tl2br w:val="nil"/>
              <w:tr2bl w:val="nil"/>
            </w:tcBorders>
            <w:vAlign w:val="center"/>
          </w:tcPr>
          <w:p w14:paraId="76C64732">
            <w:pPr>
              <w:pStyle w:val="64"/>
              <w:spacing w:line="240" w:lineRule="auto"/>
              <w:ind w:firstLine="0"/>
              <w:rPr>
                <w:sz w:val="21"/>
                <w:szCs w:val="21"/>
                <w:u w:val="single"/>
              </w:rPr>
            </w:pPr>
            <w:r>
              <w:rPr>
                <w:rFonts w:hint="eastAsia"/>
                <w:sz w:val="21"/>
                <w:szCs w:val="21"/>
                <w:u w:val="single"/>
              </w:rPr>
              <w:t>6</w:t>
            </w:r>
          </w:p>
        </w:tc>
        <w:tc>
          <w:tcPr>
            <w:tcW w:w="1193" w:type="dxa"/>
            <w:tcBorders>
              <w:tl2br w:val="nil"/>
              <w:tr2bl w:val="nil"/>
            </w:tcBorders>
            <w:vAlign w:val="center"/>
          </w:tcPr>
          <w:p w14:paraId="047542DD">
            <w:pPr>
              <w:pStyle w:val="64"/>
              <w:spacing w:line="240" w:lineRule="auto"/>
              <w:ind w:firstLine="0"/>
              <w:rPr>
                <w:sz w:val="21"/>
                <w:szCs w:val="21"/>
                <w:u w:val="single"/>
              </w:rPr>
            </w:pPr>
            <w:r>
              <w:rPr>
                <w:rFonts w:hint="eastAsia"/>
                <w:sz w:val="21"/>
                <w:szCs w:val="21"/>
                <w:u w:val="single"/>
              </w:rPr>
              <w:t>废过滤棉</w:t>
            </w:r>
          </w:p>
        </w:tc>
        <w:tc>
          <w:tcPr>
            <w:tcW w:w="1422" w:type="dxa"/>
            <w:tcBorders>
              <w:tl2br w:val="nil"/>
              <w:tr2bl w:val="nil"/>
            </w:tcBorders>
            <w:vAlign w:val="center"/>
          </w:tcPr>
          <w:p w14:paraId="1946AA1A">
            <w:pPr>
              <w:pStyle w:val="64"/>
              <w:spacing w:line="240" w:lineRule="auto"/>
              <w:ind w:firstLine="0"/>
              <w:rPr>
                <w:sz w:val="21"/>
                <w:szCs w:val="21"/>
                <w:u w:val="single"/>
              </w:rPr>
            </w:pPr>
            <w:r>
              <w:rPr>
                <w:sz w:val="21"/>
                <w:szCs w:val="21"/>
                <w:u w:val="single"/>
              </w:rPr>
              <w:t>环保末端处理设备</w:t>
            </w:r>
          </w:p>
        </w:tc>
        <w:tc>
          <w:tcPr>
            <w:tcW w:w="985" w:type="dxa"/>
            <w:vMerge w:val="continue"/>
            <w:tcBorders>
              <w:tl2br w:val="nil"/>
              <w:tr2bl w:val="nil"/>
            </w:tcBorders>
            <w:vAlign w:val="center"/>
          </w:tcPr>
          <w:p w14:paraId="211C99F4">
            <w:pPr>
              <w:pStyle w:val="64"/>
              <w:spacing w:line="240" w:lineRule="auto"/>
              <w:ind w:firstLine="0"/>
              <w:rPr>
                <w:sz w:val="21"/>
                <w:szCs w:val="21"/>
                <w:u w:val="single"/>
              </w:rPr>
            </w:pPr>
          </w:p>
        </w:tc>
        <w:tc>
          <w:tcPr>
            <w:tcW w:w="2197" w:type="dxa"/>
            <w:tcBorders>
              <w:tl2br w:val="nil"/>
              <w:tr2bl w:val="nil"/>
            </w:tcBorders>
            <w:vAlign w:val="center"/>
          </w:tcPr>
          <w:p w14:paraId="4B3032C7">
            <w:pPr>
              <w:pStyle w:val="64"/>
              <w:spacing w:line="240" w:lineRule="auto"/>
              <w:ind w:firstLine="0"/>
              <w:rPr>
                <w:sz w:val="21"/>
                <w:szCs w:val="21"/>
                <w:u w:val="single"/>
              </w:rPr>
            </w:pPr>
            <w:r>
              <w:rPr>
                <w:sz w:val="21"/>
                <w:szCs w:val="21"/>
                <w:u w:val="single"/>
              </w:rPr>
              <w:t>HW49</w:t>
            </w:r>
          </w:p>
          <w:p w14:paraId="1035406D">
            <w:pPr>
              <w:pStyle w:val="64"/>
              <w:spacing w:line="240" w:lineRule="auto"/>
              <w:ind w:firstLine="0"/>
              <w:rPr>
                <w:sz w:val="21"/>
                <w:szCs w:val="21"/>
                <w:u w:val="single"/>
              </w:rPr>
            </w:pPr>
            <w:r>
              <w:rPr>
                <w:rFonts w:hint="eastAsia"/>
                <w:sz w:val="21"/>
                <w:szCs w:val="21"/>
                <w:u w:val="single"/>
              </w:rPr>
              <w:t>900-041-49</w:t>
            </w:r>
          </w:p>
        </w:tc>
        <w:tc>
          <w:tcPr>
            <w:tcW w:w="1578" w:type="dxa"/>
            <w:tcBorders>
              <w:tl2br w:val="nil"/>
              <w:tr2bl w:val="nil"/>
            </w:tcBorders>
            <w:vAlign w:val="center"/>
          </w:tcPr>
          <w:p w14:paraId="5E5A264C">
            <w:pPr>
              <w:pStyle w:val="64"/>
              <w:spacing w:line="240" w:lineRule="auto"/>
              <w:ind w:firstLine="0"/>
              <w:rPr>
                <w:sz w:val="21"/>
                <w:szCs w:val="21"/>
                <w:u w:val="single"/>
              </w:rPr>
            </w:pPr>
            <w:r>
              <w:rPr>
                <w:rFonts w:hint="eastAsia"/>
                <w:sz w:val="21"/>
                <w:szCs w:val="21"/>
                <w:u w:val="single"/>
              </w:rPr>
              <w:t>0.18</w:t>
            </w:r>
            <w:r>
              <w:rPr>
                <w:sz w:val="21"/>
                <w:szCs w:val="21"/>
                <w:u w:val="single"/>
              </w:rPr>
              <w:t>t/a</w:t>
            </w:r>
          </w:p>
        </w:tc>
        <w:tc>
          <w:tcPr>
            <w:tcW w:w="1030" w:type="dxa"/>
            <w:vMerge w:val="continue"/>
            <w:tcBorders>
              <w:tl2br w:val="nil"/>
              <w:tr2bl w:val="nil"/>
            </w:tcBorders>
            <w:vAlign w:val="center"/>
          </w:tcPr>
          <w:p w14:paraId="54B2B314">
            <w:pPr>
              <w:pStyle w:val="64"/>
              <w:spacing w:line="240" w:lineRule="auto"/>
              <w:ind w:firstLine="0"/>
              <w:rPr>
                <w:sz w:val="21"/>
                <w:szCs w:val="21"/>
                <w:u w:val="single"/>
              </w:rPr>
            </w:pPr>
          </w:p>
        </w:tc>
        <w:tc>
          <w:tcPr>
            <w:tcW w:w="1580" w:type="dxa"/>
            <w:tcBorders>
              <w:tl2br w:val="nil"/>
              <w:tr2bl w:val="nil"/>
            </w:tcBorders>
            <w:vAlign w:val="center"/>
          </w:tcPr>
          <w:p w14:paraId="4CCF182A">
            <w:pPr>
              <w:pStyle w:val="64"/>
              <w:spacing w:line="240" w:lineRule="auto"/>
              <w:ind w:firstLine="0"/>
              <w:rPr>
                <w:sz w:val="21"/>
                <w:szCs w:val="21"/>
                <w:u w:val="single"/>
              </w:rPr>
            </w:pPr>
            <w:r>
              <w:rPr>
                <w:sz w:val="21"/>
                <w:szCs w:val="21"/>
                <w:u w:val="single"/>
              </w:rPr>
              <w:t>T/In</w:t>
            </w:r>
          </w:p>
        </w:tc>
        <w:tc>
          <w:tcPr>
            <w:tcW w:w="2114" w:type="dxa"/>
            <w:vMerge w:val="continue"/>
            <w:tcBorders>
              <w:tl2br w:val="nil"/>
              <w:tr2bl w:val="nil"/>
            </w:tcBorders>
            <w:vAlign w:val="center"/>
          </w:tcPr>
          <w:p w14:paraId="0A707B3C">
            <w:pPr>
              <w:pStyle w:val="64"/>
              <w:spacing w:line="240" w:lineRule="auto"/>
              <w:ind w:firstLine="0"/>
              <w:rPr>
                <w:sz w:val="21"/>
                <w:szCs w:val="21"/>
                <w:u w:val="single"/>
              </w:rPr>
            </w:pPr>
          </w:p>
        </w:tc>
        <w:tc>
          <w:tcPr>
            <w:tcW w:w="1357" w:type="dxa"/>
            <w:tcBorders>
              <w:tl2br w:val="nil"/>
              <w:tr2bl w:val="nil"/>
            </w:tcBorders>
            <w:vAlign w:val="center"/>
          </w:tcPr>
          <w:p w14:paraId="5992E8A5">
            <w:pPr>
              <w:pStyle w:val="64"/>
              <w:spacing w:line="240" w:lineRule="auto"/>
              <w:ind w:firstLine="0"/>
              <w:rPr>
                <w:sz w:val="21"/>
                <w:szCs w:val="21"/>
                <w:u w:val="single"/>
              </w:rPr>
            </w:pPr>
            <w:r>
              <w:rPr>
                <w:sz w:val="21"/>
                <w:szCs w:val="21"/>
                <w:u w:val="single"/>
              </w:rPr>
              <w:t>符合</w:t>
            </w:r>
          </w:p>
        </w:tc>
      </w:tr>
      <w:tr w14:paraId="71AA3D7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0F2D08C1">
            <w:pPr>
              <w:pStyle w:val="64"/>
              <w:spacing w:line="240" w:lineRule="auto"/>
              <w:ind w:firstLine="0"/>
              <w:rPr>
                <w:sz w:val="21"/>
                <w:szCs w:val="21"/>
                <w:u w:val="single"/>
              </w:rPr>
            </w:pPr>
            <w:r>
              <w:rPr>
                <w:rFonts w:hint="eastAsia"/>
                <w:sz w:val="21"/>
                <w:szCs w:val="21"/>
                <w:u w:val="single"/>
              </w:rPr>
              <w:t>7</w:t>
            </w:r>
          </w:p>
        </w:tc>
        <w:tc>
          <w:tcPr>
            <w:tcW w:w="1193" w:type="dxa"/>
            <w:tcBorders>
              <w:tl2br w:val="nil"/>
              <w:tr2bl w:val="nil"/>
            </w:tcBorders>
            <w:vAlign w:val="center"/>
          </w:tcPr>
          <w:p w14:paraId="7F042D8F">
            <w:pPr>
              <w:pStyle w:val="64"/>
              <w:spacing w:line="240" w:lineRule="auto"/>
              <w:ind w:firstLine="0"/>
              <w:rPr>
                <w:sz w:val="21"/>
                <w:szCs w:val="21"/>
                <w:u w:val="single"/>
              </w:rPr>
            </w:pPr>
            <w:r>
              <w:rPr>
                <w:sz w:val="21"/>
                <w:szCs w:val="21"/>
                <w:u w:val="single"/>
              </w:rPr>
              <w:t>废</w:t>
            </w:r>
            <w:r>
              <w:rPr>
                <w:rFonts w:hint="eastAsia"/>
                <w:sz w:val="21"/>
                <w:szCs w:val="21"/>
                <w:u w:val="single"/>
              </w:rPr>
              <w:t>活性炭</w:t>
            </w:r>
          </w:p>
        </w:tc>
        <w:tc>
          <w:tcPr>
            <w:tcW w:w="1422" w:type="dxa"/>
            <w:tcBorders>
              <w:tl2br w:val="nil"/>
              <w:tr2bl w:val="nil"/>
            </w:tcBorders>
            <w:vAlign w:val="center"/>
          </w:tcPr>
          <w:p w14:paraId="0D95FEC0">
            <w:pPr>
              <w:pStyle w:val="64"/>
              <w:spacing w:line="240" w:lineRule="auto"/>
              <w:ind w:firstLine="0"/>
              <w:rPr>
                <w:sz w:val="21"/>
                <w:szCs w:val="21"/>
                <w:u w:val="single"/>
              </w:rPr>
            </w:pPr>
            <w:r>
              <w:rPr>
                <w:sz w:val="21"/>
                <w:szCs w:val="21"/>
                <w:u w:val="single"/>
              </w:rPr>
              <w:t>环保末端处理设备</w:t>
            </w:r>
          </w:p>
        </w:tc>
        <w:tc>
          <w:tcPr>
            <w:tcW w:w="985" w:type="dxa"/>
            <w:vMerge w:val="continue"/>
            <w:tcBorders>
              <w:tl2br w:val="nil"/>
              <w:tr2bl w:val="nil"/>
            </w:tcBorders>
            <w:vAlign w:val="center"/>
          </w:tcPr>
          <w:p w14:paraId="682175C9">
            <w:pPr>
              <w:pStyle w:val="64"/>
              <w:spacing w:line="240" w:lineRule="auto"/>
              <w:ind w:firstLine="0"/>
              <w:rPr>
                <w:sz w:val="21"/>
                <w:szCs w:val="21"/>
                <w:u w:val="single"/>
              </w:rPr>
            </w:pPr>
          </w:p>
        </w:tc>
        <w:tc>
          <w:tcPr>
            <w:tcW w:w="2197" w:type="dxa"/>
            <w:tcBorders>
              <w:tl2br w:val="nil"/>
              <w:tr2bl w:val="nil"/>
            </w:tcBorders>
            <w:vAlign w:val="center"/>
          </w:tcPr>
          <w:p w14:paraId="6873A78B">
            <w:pPr>
              <w:pStyle w:val="64"/>
              <w:spacing w:line="240" w:lineRule="auto"/>
              <w:ind w:firstLine="0"/>
              <w:rPr>
                <w:sz w:val="21"/>
                <w:szCs w:val="21"/>
                <w:u w:val="single"/>
              </w:rPr>
            </w:pPr>
            <w:r>
              <w:rPr>
                <w:sz w:val="21"/>
                <w:szCs w:val="21"/>
                <w:u w:val="single"/>
              </w:rPr>
              <w:t>HW</w:t>
            </w:r>
            <w:r>
              <w:rPr>
                <w:rFonts w:hint="eastAsia"/>
                <w:sz w:val="21"/>
                <w:szCs w:val="21"/>
                <w:u w:val="single"/>
              </w:rPr>
              <w:t>49</w:t>
            </w:r>
          </w:p>
          <w:p w14:paraId="574B300F">
            <w:pPr>
              <w:pStyle w:val="64"/>
              <w:spacing w:line="240" w:lineRule="auto"/>
              <w:ind w:firstLine="0"/>
              <w:rPr>
                <w:sz w:val="21"/>
                <w:szCs w:val="21"/>
                <w:u w:val="single"/>
              </w:rPr>
            </w:pPr>
            <w:r>
              <w:rPr>
                <w:sz w:val="21"/>
                <w:szCs w:val="21"/>
                <w:u w:val="single"/>
              </w:rPr>
              <w:t>900-</w:t>
            </w:r>
            <w:r>
              <w:rPr>
                <w:rFonts w:hint="eastAsia"/>
                <w:sz w:val="21"/>
                <w:szCs w:val="21"/>
                <w:u w:val="single"/>
              </w:rPr>
              <w:t>039</w:t>
            </w:r>
            <w:r>
              <w:rPr>
                <w:sz w:val="21"/>
                <w:szCs w:val="21"/>
                <w:u w:val="single"/>
              </w:rPr>
              <w:t>-</w:t>
            </w:r>
            <w:r>
              <w:rPr>
                <w:rFonts w:hint="eastAsia"/>
                <w:sz w:val="21"/>
                <w:szCs w:val="21"/>
                <w:u w:val="single"/>
              </w:rPr>
              <w:t>49</w:t>
            </w:r>
          </w:p>
        </w:tc>
        <w:tc>
          <w:tcPr>
            <w:tcW w:w="1578" w:type="dxa"/>
            <w:tcBorders>
              <w:tl2br w:val="nil"/>
              <w:tr2bl w:val="nil"/>
            </w:tcBorders>
            <w:vAlign w:val="center"/>
          </w:tcPr>
          <w:p w14:paraId="06CF47C7">
            <w:pPr>
              <w:pStyle w:val="64"/>
              <w:spacing w:line="240" w:lineRule="auto"/>
              <w:ind w:firstLine="0"/>
              <w:rPr>
                <w:sz w:val="21"/>
                <w:szCs w:val="21"/>
                <w:u w:val="single"/>
              </w:rPr>
            </w:pPr>
            <w:r>
              <w:rPr>
                <w:rFonts w:hint="eastAsia"/>
                <w:sz w:val="21"/>
                <w:szCs w:val="21"/>
                <w:u w:val="single"/>
              </w:rPr>
              <w:t>70</w:t>
            </w:r>
            <w:r>
              <w:rPr>
                <w:sz w:val="21"/>
                <w:szCs w:val="21"/>
                <w:u w:val="single"/>
              </w:rPr>
              <w:t>t/</w:t>
            </w:r>
            <w:r>
              <w:rPr>
                <w:rFonts w:hint="eastAsia"/>
                <w:sz w:val="21"/>
                <w:szCs w:val="21"/>
                <w:u w:val="single"/>
              </w:rPr>
              <w:t>10</w:t>
            </w:r>
            <w:r>
              <w:rPr>
                <w:sz w:val="21"/>
                <w:szCs w:val="21"/>
                <w:u w:val="single"/>
              </w:rPr>
              <w:t>a</w:t>
            </w:r>
          </w:p>
        </w:tc>
        <w:tc>
          <w:tcPr>
            <w:tcW w:w="1030" w:type="dxa"/>
            <w:vMerge w:val="restart"/>
            <w:tcBorders>
              <w:tl2br w:val="nil"/>
              <w:tr2bl w:val="nil"/>
            </w:tcBorders>
            <w:vAlign w:val="center"/>
          </w:tcPr>
          <w:p w14:paraId="4F45C566">
            <w:pPr>
              <w:pStyle w:val="64"/>
              <w:spacing w:line="240" w:lineRule="auto"/>
              <w:ind w:firstLine="0"/>
              <w:rPr>
                <w:sz w:val="21"/>
                <w:szCs w:val="21"/>
                <w:u w:val="single"/>
              </w:rPr>
            </w:pPr>
            <w:r>
              <w:rPr>
                <w:rFonts w:hint="eastAsia"/>
                <w:sz w:val="21"/>
                <w:szCs w:val="21"/>
                <w:u w:val="single"/>
              </w:rPr>
              <w:t>不贮存</w:t>
            </w:r>
          </w:p>
        </w:tc>
        <w:tc>
          <w:tcPr>
            <w:tcW w:w="1580" w:type="dxa"/>
            <w:tcBorders>
              <w:tl2br w:val="nil"/>
              <w:tr2bl w:val="nil"/>
            </w:tcBorders>
            <w:vAlign w:val="center"/>
          </w:tcPr>
          <w:p w14:paraId="21AE46FB">
            <w:pPr>
              <w:pStyle w:val="64"/>
              <w:spacing w:line="240" w:lineRule="auto"/>
              <w:ind w:firstLine="0"/>
              <w:rPr>
                <w:sz w:val="21"/>
                <w:szCs w:val="21"/>
                <w:u w:val="single"/>
              </w:rPr>
            </w:pPr>
            <w:r>
              <w:rPr>
                <w:sz w:val="21"/>
                <w:szCs w:val="21"/>
                <w:u w:val="single"/>
              </w:rPr>
              <w:t>T</w:t>
            </w:r>
          </w:p>
        </w:tc>
        <w:tc>
          <w:tcPr>
            <w:tcW w:w="2114" w:type="dxa"/>
            <w:vMerge w:val="continue"/>
            <w:tcBorders>
              <w:tl2br w:val="nil"/>
              <w:tr2bl w:val="nil"/>
            </w:tcBorders>
            <w:vAlign w:val="center"/>
          </w:tcPr>
          <w:p w14:paraId="29E17F45">
            <w:pPr>
              <w:pStyle w:val="64"/>
              <w:spacing w:line="240" w:lineRule="auto"/>
              <w:ind w:firstLine="0"/>
              <w:rPr>
                <w:sz w:val="21"/>
                <w:szCs w:val="21"/>
                <w:u w:val="single"/>
              </w:rPr>
            </w:pPr>
          </w:p>
        </w:tc>
        <w:tc>
          <w:tcPr>
            <w:tcW w:w="1357" w:type="dxa"/>
            <w:tcBorders>
              <w:tl2br w:val="nil"/>
              <w:tr2bl w:val="nil"/>
            </w:tcBorders>
            <w:vAlign w:val="center"/>
          </w:tcPr>
          <w:p w14:paraId="48D69724">
            <w:pPr>
              <w:pStyle w:val="64"/>
              <w:spacing w:line="240" w:lineRule="auto"/>
              <w:ind w:firstLine="0"/>
              <w:rPr>
                <w:sz w:val="21"/>
                <w:szCs w:val="21"/>
                <w:u w:val="single"/>
              </w:rPr>
            </w:pPr>
            <w:r>
              <w:rPr>
                <w:sz w:val="21"/>
                <w:szCs w:val="21"/>
                <w:u w:val="single"/>
              </w:rPr>
              <w:t>符合</w:t>
            </w:r>
          </w:p>
        </w:tc>
      </w:tr>
      <w:tr w14:paraId="4AB57D0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2582C52A">
            <w:pPr>
              <w:pStyle w:val="64"/>
              <w:spacing w:line="240" w:lineRule="auto"/>
              <w:ind w:firstLine="0"/>
              <w:rPr>
                <w:color w:val="FF0000"/>
                <w:sz w:val="21"/>
                <w:szCs w:val="21"/>
                <w:u w:val="single"/>
              </w:rPr>
            </w:pPr>
            <w:r>
              <w:rPr>
                <w:rFonts w:hint="eastAsia"/>
                <w:sz w:val="21"/>
                <w:szCs w:val="21"/>
                <w:u w:val="single"/>
              </w:rPr>
              <w:t>8</w:t>
            </w:r>
          </w:p>
        </w:tc>
        <w:tc>
          <w:tcPr>
            <w:tcW w:w="1193" w:type="dxa"/>
            <w:tcBorders>
              <w:tl2br w:val="nil"/>
              <w:tr2bl w:val="nil"/>
            </w:tcBorders>
            <w:vAlign w:val="center"/>
          </w:tcPr>
          <w:p w14:paraId="741761F8">
            <w:pPr>
              <w:pStyle w:val="64"/>
              <w:spacing w:line="240" w:lineRule="auto"/>
              <w:ind w:firstLine="0"/>
              <w:rPr>
                <w:sz w:val="21"/>
                <w:szCs w:val="21"/>
                <w:u w:val="single"/>
              </w:rPr>
            </w:pPr>
            <w:r>
              <w:rPr>
                <w:rFonts w:hint="eastAsia"/>
                <w:sz w:val="21"/>
                <w:szCs w:val="21"/>
                <w:u w:val="single"/>
              </w:rPr>
              <w:t>废沸石</w:t>
            </w:r>
          </w:p>
        </w:tc>
        <w:tc>
          <w:tcPr>
            <w:tcW w:w="1422" w:type="dxa"/>
            <w:tcBorders>
              <w:tl2br w:val="nil"/>
              <w:tr2bl w:val="nil"/>
            </w:tcBorders>
            <w:vAlign w:val="center"/>
          </w:tcPr>
          <w:p w14:paraId="143B36FA">
            <w:pPr>
              <w:pStyle w:val="64"/>
              <w:spacing w:line="240" w:lineRule="auto"/>
              <w:ind w:firstLine="0"/>
              <w:rPr>
                <w:sz w:val="21"/>
                <w:szCs w:val="21"/>
                <w:u w:val="single"/>
              </w:rPr>
            </w:pPr>
            <w:r>
              <w:rPr>
                <w:sz w:val="21"/>
                <w:szCs w:val="21"/>
                <w:u w:val="single"/>
              </w:rPr>
              <w:t>环保末端处理设备</w:t>
            </w:r>
          </w:p>
        </w:tc>
        <w:tc>
          <w:tcPr>
            <w:tcW w:w="985" w:type="dxa"/>
            <w:vMerge w:val="continue"/>
            <w:tcBorders>
              <w:tl2br w:val="nil"/>
              <w:tr2bl w:val="nil"/>
            </w:tcBorders>
            <w:vAlign w:val="center"/>
          </w:tcPr>
          <w:p w14:paraId="5F2C998D">
            <w:pPr>
              <w:pStyle w:val="64"/>
              <w:spacing w:line="240" w:lineRule="auto"/>
              <w:ind w:firstLine="0"/>
              <w:rPr>
                <w:sz w:val="21"/>
                <w:szCs w:val="21"/>
                <w:u w:val="single"/>
              </w:rPr>
            </w:pPr>
          </w:p>
        </w:tc>
        <w:tc>
          <w:tcPr>
            <w:tcW w:w="2197" w:type="dxa"/>
            <w:tcBorders>
              <w:tl2br w:val="nil"/>
              <w:tr2bl w:val="nil"/>
            </w:tcBorders>
            <w:vAlign w:val="center"/>
          </w:tcPr>
          <w:p w14:paraId="63913BD6">
            <w:pPr>
              <w:pStyle w:val="64"/>
              <w:spacing w:line="240" w:lineRule="auto"/>
              <w:ind w:firstLine="0"/>
              <w:rPr>
                <w:sz w:val="21"/>
                <w:szCs w:val="21"/>
                <w:u w:val="single"/>
              </w:rPr>
            </w:pPr>
            <w:r>
              <w:rPr>
                <w:sz w:val="21"/>
                <w:szCs w:val="21"/>
                <w:u w:val="single"/>
              </w:rPr>
              <w:t>HW49</w:t>
            </w:r>
          </w:p>
          <w:p w14:paraId="414272A8">
            <w:pPr>
              <w:pStyle w:val="64"/>
              <w:spacing w:line="240" w:lineRule="auto"/>
              <w:ind w:firstLine="0"/>
              <w:rPr>
                <w:sz w:val="21"/>
                <w:szCs w:val="21"/>
                <w:u w:val="single"/>
              </w:rPr>
            </w:pPr>
            <w:r>
              <w:rPr>
                <w:rFonts w:hint="eastAsia"/>
                <w:sz w:val="21"/>
                <w:szCs w:val="21"/>
                <w:u w:val="single"/>
              </w:rPr>
              <w:t>900-041-49</w:t>
            </w:r>
          </w:p>
        </w:tc>
        <w:tc>
          <w:tcPr>
            <w:tcW w:w="1578" w:type="dxa"/>
            <w:tcBorders>
              <w:tl2br w:val="nil"/>
              <w:tr2bl w:val="nil"/>
            </w:tcBorders>
            <w:vAlign w:val="center"/>
          </w:tcPr>
          <w:p w14:paraId="7E982FCF">
            <w:pPr>
              <w:pStyle w:val="64"/>
              <w:spacing w:line="240" w:lineRule="auto"/>
              <w:ind w:firstLine="0"/>
              <w:rPr>
                <w:sz w:val="21"/>
                <w:szCs w:val="21"/>
                <w:u w:val="single"/>
              </w:rPr>
            </w:pPr>
            <w:r>
              <w:rPr>
                <w:rFonts w:hint="eastAsia"/>
                <w:sz w:val="21"/>
                <w:szCs w:val="21"/>
                <w:u w:val="single"/>
              </w:rPr>
              <w:t>2.5</w:t>
            </w:r>
            <w:r>
              <w:rPr>
                <w:sz w:val="21"/>
                <w:szCs w:val="21"/>
                <w:u w:val="single"/>
              </w:rPr>
              <w:t>t/</w:t>
            </w:r>
            <w:r>
              <w:rPr>
                <w:rFonts w:hint="eastAsia"/>
                <w:sz w:val="21"/>
                <w:szCs w:val="21"/>
                <w:u w:val="single"/>
              </w:rPr>
              <w:t>8</w:t>
            </w:r>
            <w:r>
              <w:rPr>
                <w:sz w:val="21"/>
                <w:szCs w:val="21"/>
                <w:u w:val="single"/>
              </w:rPr>
              <w:t>a</w:t>
            </w:r>
          </w:p>
        </w:tc>
        <w:tc>
          <w:tcPr>
            <w:tcW w:w="1030" w:type="dxa"/>
            <w:vMerge w:val="continue"/>
            <w:tcBorders>
              <w:tl2br w:val="nil"/>
              <w:tr2bl w:val="nil"/>
            </w:tcBorders>
            <w:vAlign w:val="center"/>
          </w:tcPr>
          <w:p w14:paraId="01223821">
            <w:pPr>
              <w:pStyle w:val="64"/>
              <w:spacing w:line="240" w:lineRule="auto"/>
              <w:ind w:firstLine="0"/>
              <w:rPr>
                <w:sz w:val="21"/>
                <w:szCs w:val="21"/>
                <w:u w:val="single"/>
              </w:rPr>
            </w:pPr>
          </w:p>
        </w:tc>
        <w:tc>
          <w:tcPr>
            <w:tcW w:w="1580" w:type="dxa"/>
            <w:tcBorders>
              <w:tl2br w:val="nil"/>
              <w:tr2bl w:val="nil"/>
            </w:tcBorders>
            <w:vAlign w:val="center"/>
          </w:tcPr>
          <w:p w14:paraId="7CDF9691">
            <w:pPr>
              <w:pStyle w:val="64"/>
              <w:spacing w:line="240" w:lineRule="auto"/>
              <w:ind w:firstLine="0"/>
              <w:rPr>
                <w:sz w:val="21"/>
                <w:szCs w:val="21"/>
                <w:u w:val="single"/>
              </w:rPr>
            </w:pPr>
            <w:r>
              <w:rPr>
                <w:sz w:val="21"/>
                <w:szCs w:val="21"/>
                <w:u w:val="single"/>
              </w:rPr>
              <w:t>T/In</w:t>
            </w:r>
          </w:p>
        </w:tc>
        <w:tc>
          <w:tcPr>
            <w:tcW w:w="2114" w:type="dxa"/>
            <w:vMerge w:val="continue"/>
            <w:tcBorders>
              <w:tl2br w:val="nil"/>
              <w:tr2bl w:val="nil"/>
            </w:tcBorders>
            <w:vAlign w:val="center"/>
          </w:tcPr>
          <w:p w14:paraId="021476A7">
            <w:pPr>
              <w:pStyle w:val="64"/>
              <w:spacing w:line="240" w:lineRule="auto"/>
              <w:ind w:firstLine="0"/>
              <w:rPr>
                <w:sz w:val="21"/>
                <w:szCs w:val="21"/>
                <w:u w:val="single"/>
              </w:rPr>
            </w:pPr>
          </w:p>
        </w:tc>
        <w:tc>
          <w:tcPr>
            <w:tcW w:w="1357" w:type="dxa"/>
            <w:tcBorders>
              <w:tl2br w:val="nil"/>
              <w:tr2bl w:val="nil"/>
            </w:tcBorders>
            <w:vAlign w:val="center"/>
          </w:tcPr>
          <w:p w14:paraId="2EB5E8F2">
            <w:pPr>
              <w:pStyle w:val="64"/>
              <w:spacing w:line="240" w:lineRule="auto"/>
              <w:ind w:firstLine="0"/>
              <w:rPr>
                <w:sz w:val="21"/>
                <w:szCs w:val="21"/>
                <w:u w:val="single"/>
              </w:rPr>
            </w:pPr>
            <w:r>
              <w:rPr>
                <w:sz w:val="21"/>
                <w:szCs w:val="21"/>
                <w:u w:val="single"/>
              </w:rPr>
              <w:t>符合</w:t>
            </w:r>
          </w:p>
        </w:tc>
      </w:tr>
      <w:tr w14:paraId="0F3DAFB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70E8346C">
            <w:pPr>
              <w:pStyle w:val="64"/>
              <w:spacing w:line="240" w:lineRule="auto"/>
              <w:ind w:firstLine="0"/>
              <w:rPr>
                <w:sz w:val="21"/>
                <w:szCs w:val="21"/>
                <w:u w:val="single"/>
              </w:rPr>
            </w:pPr>
            <w:r>
              <w:rPr>
                <w:rFonts w:hint="eastAsia"/>
                <w:sz w:val="21"/>
                <w:szCs w:val="21"/>
                <w:u w:val="single"/>
              </w:rPr>
              <w:t>9</w:t>
            </w:r>
          </w:p>
        </w:tc>
        <w:tc>
          <w:tcPr>
            <w:tcW w:w="1193" w:type="dxa"/>
            <w:tcBorders>
              <w:tl2br w:val="nil"/>
              <w:tr2bl w:val="nil"/>
            </w:tcBorders>
            <w:vAlign w:val="center"/>
          </w:tcPr>
          <w:p w14:paraId="059E8918">
            <w:pPr>
              <w:pStyle w:val="64"/>
              <w:spacing w:line="240" w:lineRule="auto"/>
              <w:ind w:firstLine="0"/>
              <w:rPr>
                <w:sz w:val="21"/>
                <w:szCs w:val="21"/>
                <w:u w:val="single"/>
              </w:rPr>
            </w:pPr>
            <w:r>
              <w:rPr>
                <w:rFonts w:hint="eastAsia"/>
                <w:sz w:val="21"/>
                <w:szCs w:val="21"/>
                <w:u w:val="single"/>
              </w:rPr>
              <w:t>精馏残液</w:t>
            </w:r>
          </w:p>
        </w:tc>
        <w:tc>
          <w:tcPr>
            <w:tcW w:w="1422" w:type="dxa"/>
            <w:tcBorders>
              <w:tl2br w:val="nil"/>
              <w:tr2bl w:val="nil"/>
            </w:tcBorders>
            <w:vAlign w:val="center"/>
          </w:tcPr>
          <w:p w14:paraId="0EF6BFE5">
            <w:pPr>
              <w:pStyle w:val="64"/>
              <w:spacing w:line="240" w:lineRule="auto"/>
              <w:ind w:firstLine="0"/>
              <w:rPr>
                <w:sz w:val="21"/>
                <w:szCs w:val="21"/>
                <w:u w:val="single"/>
              </w:rPr>
            </w:pPr>
            <w:r>
              <w:rPr>
                <w:sz w:val="21"/>
                <w:szCs w:val="21"/>
                <w:u w:val="single"/>
              </w:rPr>
              <w:t>环保末端处理设备</w:t>
            </w:r>
          </w:p>
        </w:tc>
        <w:tc>
          <w:tcPr>
            <w:tcW w:w="985" w:type="dxa"/>
            <w:vMerge w:val="continue"/>
            <w:tcBorders>
              <w:tl2br w:val="nil"/>
              <w:tr2bl w:val="nil"/>
            </w:tcBorders>
            <w:vAlign w:val="center"/>
          </w:tcPr>
          <w:p w14:paraId="03E2D928">
            <w:pPr>
              <w:pStyle w:val="64"/>
              <w:spacing w:line="240" w:lineRule="auto"/>
              <w:ind w:firstLine="0"/>
              <w:rPr>
                <w:sz w:val="21"/>
                <w:szCs w:val="21"/>
                <w:u w:val="single"/>
              </w:rPr>
            </w:pPr>
          </w:p>
        </w:tc>
        <w:tc>
          <w:tcPr>
            <w:tcW w:w="2197" w:type="dxa"/>
            <w:tcBorders>
              <w:tl2br w:val="nil"/>
              <w:tr2bl w:val="nil"/>
            </w:tcBorders>
            <w:vAlign w:val="center"/>
          </w:tcPr>
          <w:p w14:paraId="5F74FD19">
            <w:pPr>
              <w:pStyle w:val="64"/>
              <w:spacing w:line="240" w:lineRule="auto"/>
              <w:ind w:firstLine="0"/>
              <w:rPr>
                <w:sz w:val="21"/>
                <w:szCs w:val="21"/>
                <w:u w:val="single"/>
              </w:rPr>
            </w:pPr>
            <w:r>
              <w:rPr>
                <w:sz w:val="21"/>
                <w:szCs w:val="21"/>
                <w:u w:val="single"/>
              </w:rPr>
              <w:t>HW</w:t>
            </w:r>
            <w:r>
              <w:rPr>
                <w:rFonts w:hint="eastAsia"/>
                <w:sz w:val="21"/>
                <w:szCs w:val="21"/>
                <w:u w:val="single"/>
              </w:rPr>
              <w:t>06</w:t>
            </w:r>
          </w:p>
          <w:p w14:paraId="1D08F128">
            <w:pPr>
              <w:pStyle w:val="64"/>
              <w:spacing w:line="240" w:lineRule="auto"/>
              <w:ind w:firstLine="0"/>
              <w:rPr>
                <w:sz w:val="21"/>
                <w:szCs w:val="21"/>
                <w:u w:val="single"/>
              </w:rPr>
            </w:pPr>
            <w:r>
              <w:rPr>
                <w:rFonts w:hint="eastAsia"/>
                <w:sz w:val="21"/>
                <w:szCs w:val="21"/>
                <w:u w:val="single"/>
              </w:rPr>
              <w:t>900-407-06</w:t>
            </w:r>
          </w:p>
        </w:tc>
        <w:tc>
          <w:tcPr>
            <w:tcW w:w="1578" w:type="dxa"/>
            <w:tcBorders>
              <w:tl2br w:val="nil"/>
              <w:tr2bl w:val="nil"/>
            </w:tcBorders>
            <w:vAlign w:val="center"/>
          </w:tcPr>
          <w:p w14:paraId="4BEC88DD">
            <w:pPr>
              <w:pStyle w:val="64"/>
              <w:spacing w:line="240" w:lineRule="auto"/>
              <w:ind w:firstLine="0"/>
              <w:rPr>
                <w:sz w:val="21"/>
                <w:szCs w:val="21"/>
                <w:u w:val="single"/>
              </w:rPr>
            </w:pPr>
            <w:r>
              <w:rPr>
                <w:rFonts w:hint="eastAsia"/>
                <w:sz w:val="21"/>
                <w:szCs w:val="21"/>
                <w:u w:val="single"/>
              </w:rPr>
              <w:t>35.2</w:t>
            </w:r>
            <w:r>
              <w:rPr>
                <w:sz w:val="21"/>
                <w:szCs w:val="21"/>
                <w:u w:val="single"/>
              </w:rPr>
              <w:t>t/a</w:t>
            </w:r>
          </w:p>
        </w:tc>
        <w:tc>
          <w:tcPr>
            <w:tcW w:w="1030" w:type="dxa"/>
            <w:vMerge w:val="restart"/>
            <w:tcBorders>
              <w:tl2br w:val="nil"/>
              <w:tr2bl w:val="nil"/>
            </w:tcBorders>
            <w:vAlign w:val="center"/>
          </w:tcPr>
          <w:p w14:paraId="3964C3AF">
            <w:pPr>
              <w:pStyle w:val="64"/>
              <w:spacing w:line="240" w:lineRule="auto"/>
              <w:ind w:firstLine="0"/>
              <w:rPr>
                <w:sz w:val="21"/>
                <w:szCs w:val="21"/>
                <w:u w:val="single"/>
              </w:rPr>
            </w:pPr>
            <w:r>
              <w:rPr>
                <w:rFonts w:hint="eastAsia"/>
                <w:sz w:val="21"/>
                <w:szCs w:val="21"/>
                <w:u w:val="single"/>
              </w:rPr>
              <w:t>定期转运</w:t>
            </w:r>
          </w:p>
        </w:tc>
        <w:tc>
          <w:tcPr>
            <w:tcW w:w="1580" w:type="dxa"/>
            <w:tcBorders>
              <w:tl2br w:val="nil"/>
              <w:tr2bl w:val="nil"/>
            </w:tcBorders>
            <w:vAlign w:val="center"/>
          </w:tcPr>
          <w:p w14:paraId="4AA877CD">
            <w:pPr>
              <w:pStyle w:val="64"/>
              <w:spacing w:line="240" w:lineRule="auto"/>
              <w:ind w:firstLine="0"/>
              <w:rPr>
                <w:sz w:val="21"/>
                <w:szCs w:val="21"/>
                <w:u w:val="single"/>
              </w:rPr>
            </w:pPr>
            <w:r>
              <w:rPr>
                <w:sz w:val="21"/>
                <w:szCs w:val="21"/>
                <w:u w:val="single"/>
              </w:rPr>
              <w:t>T</w:t>
            </w:r>
            <w:r>
              <w:rPr>
                <w:rFonts w:hint="eastAsia"/>
                <w:sz w:val="21"/>
                <w:szCs w:val="21"/>
                <w:u w:val="single"/>
              </w:rPr>
              <w:t>，</w:t>
            </w:r>
            <w:r>
              <w:rPr>
                <w:sz w:val="21"/>
                <w:szCs w:val="21"/>
                <w:u w:val="single"/>
              </w:rPr>
              <w:t>I</w:t>
            </w:r>
            <w:r>
              <w:rPr>
                <w:rFonts w:hint="eastAsia"/>
                <w:sz w:val="21"/>
                <w:szCs w:val="21"/>
                <w:u w:val="single"/>
              </w:rPr>
              <w:t>，R</w:t>
            </w:r>
          </w:p>
        </w:tc>
        <w:tc>
          <w:tcPr>
            <w:tcW w:w="2114" w:type="dxa"/>
            <w:vMerge w:val="continue"/>
            <w:tcBorders>
              <w:tl2br w:val="nil"/>
              <w:tr2bl w:val="nil"/>
            </w:tcBorders>
            <w:vAlign w:val="center"/>
          </w:tcPr>
          <w:p w14:paraId="4D6A9D9A">
            <w:pPr>
              <w:pStyle w:val="64"/>
              <w:spacing w:line="240" w:lineRule="auto"/>
              <w:ind w:firstLine="0"/>
              <w:rPr>
                <w:sz w:val="21"/>
                <w:szCs w:val="21"/>
                <w:u w:val="single"/>
              </w:rPr>
            </w:pPr>
          </w:p>
        </w:tc>
        <w:tc>
          <w:tcPr>
            <w:tcW w:w="1357" w:type="dxa"/>
            <w:tcBorders>
              <w:tl2br w:val="nil"/>
              <w:tr2bl w:val="nil"/>
            </w:tcBorders>
            <w:vAlign w:val="center"/>
          </w:tcPr>
          <w:p w14:paraId="15222C08">
            <w:pPr>
              <w:pStyle w:val="64"/>
              <w:spacing w:line="240" w:lineRule="auto"/>
              <w:ind w:firstLine="0"/>
              <w:rPr>
                <w:sz w:val="21"/>
                <w:szCs w:val="21"/>
                <w:u w:val="single"/>
              </w:rPr>
            </w:pPr>
            <w:r>
              <w:rPr>
                <w:sz w:val="21"/>
                <w:szCs w:val="21"/>
                <w:u w:val="single"/>
              </w:rPr>
              <w:t>符合</w:t>
            </w:r>
          </w:p>
        </w:tc>
      </w:tr>
      <w:tr w14:paraId="5314694B">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5D939DAD">
            <w:pPr>
              <w:pStyle w:val="64"/>
              <w:spacing w:line="240" w:lineRule="auto"/>
              <w:ind w:firstLine="0"/>
              <w:rPr>
                <w:sz w:val="21"/>
                <w:szCs w:val="21"/>
                <w:u w:val="single"/>
              </w:rPr>
            </w:pPr>
            <w:r>
              <w:rPr>
                <w:rFonts w:hint="eastAsia"/>
                <w:sz w:val="21"/>
                <w:szCs w:val="21"/>
                <w:u w:val="single"/>
              </w:rPr>
              <w:t>10</w:t>
            </w:r>
          </w:p>
        </w:tc>
        <w:tc>
          <w:tcPr>
            <w:tcW w:w="1193" w:type="dxa"/>
            <w:tcBorders>
              <w:tl2br w:val="nil"/>
              <w:tr2bl w:val="nil"/>
            </w:tcBorders>
            <w:vAlign w:val="center"/>
          </w:tcPr>
          <w:p w14:paraId="355D7C96">
            <w:pPr>
              <w:pStyle w:val="64"/>
              <w:spacing w:line="240" w:lineRule="auto"/>
              <w:ind w:firstLine="0"/>
              <w:rPr>
                <w:sz w:val="21"/>
                <w:szCs w:val="21"/>
                <w:u w:val="single"/>
              </w:rPr>
            </w:pPr>
            <w:r>
              <w:rPr>
                <w:rFonts w:hint="eastAsia"/>
                <w:sz w:val="21"/>
                <w:szCs w:val="21"/>
                <w:u w:val="single"/>
              </w:rPr>
              <w:t>废润滑油及其包装桶</w:t>
            </w:r>
          </w:p>
        </w:tc>
        <w:tc>
          <w:tcPr>
            <w:tcW w:w="1422" w:type="dxa"/>
            <w:tcBorders>
              <w:tl2br w:val="nil"/>
              <w:tr2bl w:val="nil"/>
            </w:tcBorders>
            <w:vAlign w:val="center"/>
          </w:tcPr>
          <w:p w14:paraId="45894FFA">
            <w:pPr>
              <w:pStyle w:val="64"/>
              <w:spacing w:line="240" w:lineRule="auto"/>
              <w:ind w:firstLine="0"/>
              <w:rPr>
                <w:sz w:val="21"/>
                <w:szCs w:val="21"/>
                <w:u w:val="single"/>
              </w:rPr>
            </w:pPr>
            <w:r>
              <w:rPr>
                <w:rFonts w:hint="eastAsia"/>
                <w:sz w:val="21"/>
                <w:szCs w:val="21"/>
                <w:u w:val="single"/>
              </w:rPr>
              <w:t>设备维修及维护</w:t>
            </w:r>
          </w:p>
        </w:tc>
        <w:tc>
          <w:tcPr>
            <w:tcW w:w="985" w:type="dxa"/>
            <w:vMerge w:val="continue"/>
            <w:tcBorders>
              <w:tl2br w:val="nil"/>
              <w:tr2bl w:val="nil"/>
            </w:tcBorders>
            <w:vAlign w:val="center"/>
          </w:tcPr>
          <w:p w14:paraId="5F18BED6">
            <w:pPr>
              <w:pStyle w:val="64"/>
              <w:spacing w:line="240" w:lineRule="auto"/>
              <w:ind w:firstLine="0"/>
              <w:rPr>
                <w:sz w:val="21"/>
                <w:szCs w:val="21"/>
                <w:u w:val="single"/>
              </w:rPr>
            </w:pPr>
          </w:p>
        </w:tc>
        <w:tc>
          <w:tcPr>
            <w:tcW w:w="2197" w:type="dxa"/>
            <w:tcBorders>
              <w:tl2br w:val="nil"/>
              <w:tr2bl w:val="nil"/>
            </w:tcBorders>
            <w:vAlign w:val="center"/>
          </w:tcPr>
          <w:p w14:paraId="271B7520">
            <w:pPr>
              <w:pStyle w:val="64"/>
              <w:spacing w:line="240" w:lineRule="auto"/>
              <w:ind w:firstLine="0"/>
              <w:rPr>
                <w:sz w:val="21"/>
                <w:szCs w:val="21"/>
                <w:u w:val="single"/>
              </w:rPr>
            </w:pPr>
            <w:r>
              <w:rPr>
                <w:sz w:val="21"/>
                <w:szCs w:val="21"/>
                <w:u w:val="single"/>
              </w:rPr>
              <w:t>HW</w:t>
            </w:r>
            <w:r>
              <w:rPr>
                <w:rFonts w:hint="eastAsia"/>
                <w:sz w:val="21"/>
                <w:szCs w:val="21"/>
                <w:u w:val="single"/>
              </w:rPr>
              <w:t>08</w:t>
            </w:r>
          </w:p>
          <w:p w14:paraId="36186CA8">
            <w:pPr>
              <w:pStyle w:val="64"/>
              <w:spacing w:line="240" w:lineRule="auto"/>
              <w:ind w:firstLine="0"/>
              <w:rPr>
                <w:sz w:val="21"/>
                <w:szCs w:val="21"/>
                <w:u w:val="single"/>
              </w:rPr>
            </w:pPr>
            <w:r>
              <w:rPr>
                <w:rFonts w:hint="eastAsia"/>
                <w:sz w:val="21"/>
                <w:szCs w:val="21"/>
                <w:u w:val="single"/>
              </w:rPr>
              <w:t>900-249-08</w:t>
            </w:r>
          </w:p>
        </w:tc>
        <w:tc>
          <w:tcPr>
            <w:tcW w:w="1578" w:type="dxa"/>
            <w:tcBorders>
              <w:tl2br w:val="nil"/>
              <w:tr2bl w:val="nil"/>
            </w:tcBorders>
            <w:vAlign w:val="center"/>
          </w:tcPr>
          <w:p w14:paraId="34E5B379">
            <w:pPr>
              <w:pStyle w:val="64"/>
              <w:spacing w:line="240" w:lineRule="auto"/>
              <w:ind w:firstLine="0"/>
              <w:rPr>
                <w:sz w:val="21"/>
                <w:szCs w:val="21"/>
                <w:u w:val="single"/>
              </w:rPr>
            </w:pPr>
            <w:r>
              <w:rPr>
                <w:rFonts w:hint="eastAsia"/>
                <w:sz w:val="21"/>
                <w:szCs w:val="21"/>
                <w:u w:val="single"/>
              </w:rPr>
              <w:t>0.5</w:t>
            </w:r>
            <w:r>
              <w:rPr>
                <w:sz w:val="21"/>
                <w:szCs w:val="21"/>
                <w:u w:val="single"/>
              </w:rPr>
              <w:t>t/a</w:t>
            </w:r>
          </w:p>
        </w:tc>
        <w:tc>
          <w:tcPr>
            <w:tcW w:w="1030" w:type="dxa"/>
            <w:vMerge w:val="continue"/>
            <w:tcBorders>
              <w:tl2br w:val="nil"/>
              <w:tr2bl w:val="nil"/>
            </w:tcBorders>
            <w:vAlign w:val="center"/>
          </w:tcPr>
          <w:p w14:paraId="104D7B6D">
            <w:pPr>
              <w:pStyle w:val="64"/>
              <w:spacing w:line="240" w:lineRule="auto"/>
              <w:ind w:firstLine="0"/>
              <w:rPr>
                <w:sz w:val="21"/>
                <w:szCs w:val="21"/>
                <w:u w:val="single"/>
              </w:rPr>
            </w:pPr>
          </w:p>
        </w:tc>
        <w:tc>
          <w:tcPr>
            <w:tcW w:w="1580" w:type="dxa"/>
            <w:tcBorders>
              <w:tl2br w:val="nil"/>
              <w:tr2bl w:val="nil"/>
            </w:tcBorders>
            <w:vAlign w:val="center"/>
          </w:tcPr>
          <w:p w14:paraId="794DC33A">
            <w:pPr>
              <w:pStyle w:val="64"/>
              <w:spacing w:line="240" w:lineRule="auto"/>
              <w:ind w:firstLine="0"/>
              <w:rPr>
                <w:sz w:val="21"/>
                <w:szCs w:val="21"/>
                <w:u w:val="single"/>
              </w:rPr>
            </w:pPr>
            <w:r>
              <w:rPr>
                <w:sz w:val="21"/>
                <w:szCs w:val="21"/>
                <w:u w:val="single"/>
              </w:rPr>
              <w:t>T</w:t>
            </w:r>
            <w:r>
              <w:rPr>
                <w:rFonts w:hint="eastAsia"/>
                <w:sz w:val="21"/>
                <w:szCs w:val="21"/>
                <w:u w:val="single"/>
              </w:rPr>
              <w:t>，</w:t>
            </w:r>
            <w:r>
              <w:rPr>
                <w:sz w:val="21"/>
                <w:szCs w:val="21"/>
                <w:u w:val="single"/>
              </w:rPr>
              <w:t>I</w:t>
            </w:r>
          </w:p>
        </w:tc>
        <w:tc>
          <w:tcPr>
            <w:tcW w:w="2114" w:type="dxa"/>
            <w:vMerge w:val="continue"/>
            <w:tcBorders>
              <w:tl2br w:val="nil"/>
              <w:tr2bl w:val="nil"/>
            </w:tcBorders>
            <w:vAlign w:val="center"/>
          </w:tcPr>
          <w:p w14:paraId="51F515A0">
            <w:pPr>
              <w:pStyle w:val="64"/>
              <w:spacing w:line="240" w:lineRule="auto"/>
              <w:ind w:firstLine="0"/>
              <w:rPr>
                <w:sz w:val="21"/>
                <w:szCs w:val="21"/>
                <w:u w:val="single"/>
              </w:rPr>
            </w:pPr>
          </w:p>
        </w:tc>
        <w:tc>
          <w:tcPr>
            <w:tcW w:w="1357" w:type="dxa"/>
            <w:tcBorders>
              <w:tl2br w:val="nil"/>
              <w:tr2bl w:val="nil"/>
            </w:tcBorders>
            <w:vAlign w:val="center"/>
          </w:tcPr>
          <w:p w14:paraId="3C9799F8">
            <w:pPr>
              <w:pStyle w:val="64"/>
              <w:spacing w:line="240" w:lineRule="auto"/>
              <w:ind w:firstLine="0"/>
              <w:rPr>
                <w:sz w:val="21"/>
                <w:szCs w:val="21"/>
                <w:u w:val="single"/>
              </w:rPr>
            </w:pPr>
            <w:r>
              <w:rPr>
                <w:sz w:val="21"/>
                <w:szCs w:val="21"/>
                <w:u w:val="single"/>
              </w:rPr>
              <w:t>符合</w:t>
            </w:r>
          </w:p>
        </w:tc>
      </w:tr>
      <w:tr w14:paraId="1498911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718" w:type="dxa"/>
            <w:tcBorders>
              <w:tl2br w:val="nil"/>
              <w:tr2bl w:val="nil"/>
            </w:tcBorders>
            <w:vAlign w:val="center"/>
          </w:tcPr>
          <w:p w14:paraId="3E97761B">
            <w:pPr>
              <w:pStyle w:val="64"/>
              <w:spacing w:line="240" w:lineRule="auto"/>
              <w:ind w:firstLine="0"/>
              <w:rPr>
                <w:sz w:val="21"/>
                <w:szCs w:val="21"/>
                <w:u w:val="single"/>
              </w:rPr>
            </w:pPr>
            <w:r>
              <w:rPr>
                <w:rFonts w:hint="eastAsia"/>
                <w:sz w:val="21"/>
                <w:szCs w:val="21"/>
                <w:u w:val="single"/>
              </w:rPr>
              <w:t>11</w:t>
            </w:r>
          </w:p>
        </w:tc>
        <w:tc>
          <w:tcPr>
            <w:tcW w:w="1193" w:type="dxa"/>
            <w:tcBorders>
              <w:tl2br w:val="nil"/>
              <w:tr2bl w:val="nil"/>
            </w:tcBorders>
            <w:vAlign w:val="center"/>
          </w:tcPr>
          <w:p w14:paraId="541BFD4B">
            <w:pPr>
              <w:pStyle w:val="64"/>
              <w:spacing w:line="240" w:lineRule="auto"/>
              <w:ind w:firstLine="0"/>
              <w:rPr>
                <w:sz w:val="21"/>
                <w:szCs w:val="21"/>
                <w:u w:val="single"/>
              </w:rPr>
            </w:pPr>
            <w:r>
              <w:rPr>
                <w:rFonts w:hint="eastAsia"/>
                <w:sz w:val="21"/>
                <w:szCs w:val="21"/>
                <w:u w:val="single"/>
              </w:rPr>
              <w:t>废导热油及其包装桶</w:t>
            </w:r>
          </w:p>
        </w:tc>
        <w:tc>
          <w:tcPr>
            <w:tcW w:w="1422" w:type="dxa"/>
            <w:tcBorders>
              <w:tl2br w:val="nil"/>
              <w:tr2bl w:val="nil"/>
            </w:tcBorders>
            <w:vAlign w:val="center"/>
          </w:tcPr>
          <w:p w14:paraId="1DC9584C">
            <w:pPr>
              <w:pStyle w:val="64"/>
              <w:spacing w:line="240" w:lineRule="auto"/>
              <w:ind w:firstLine="0"/>
              <w:rPr>
                <w:sz w:val="21"/>
                <w:szCs w:val="21"/>
                <w:u w:val="single"/>
              </w:rPr>
            </w:pPr>
            <w:r>
              <w:rPr>
                <w:rFonts w:hint="eastAsia"/>
                <w:sz w:val="21"/>
                <w:szCs w:val="21"/>
                <w:u w:val="single"/>
              </w:rPr>
              <w:t>导热油锅炉</w:t>
            </w:r>
          </w:p>
        </w:tc>
        <w:tc>
          <w:tcPr>
            <w:tcW w:w="985" w:type="dxa"/>
            <w:tcBorders>
              <w:tl2br w:val="nil"/>
              <w:tr2bl w:val="nil"/>
            </w:tcBorders>
            <w:vAlign w:val="center"/>
          </w:tcPr>
          <w:p w14:paraId="7C4F010C">
            <w:pPr>
              <w:pStyle w:val="64"/>
              <w:spacing w:line="240" w:lineRule="auto"/>
              <w:ind w:firstLine="0"/>
              <w:rPr>
                <w:sz w:val="21"/>
                <w:szCs w:val="21"/>
                <w:u w:val="single"/>
              </w:rPr>
            </w:pPr>
          </w:p>
        </w:tc>
        <w:tc>
          <w:tcPr>
            <w:tcW w:w="2197" w:type="dxa"/>
            <w:tcBorders>
              <w:tl2br w:val="nil"/>
              <w:tr2bl w:val="nil"/>
            </w:tcBorders>
            <w:vAlign w:val="center"/>
          </w:tcPr>
          <w:p w14:paraId="7D7FE1F1">
            <w:pPr>
              <w:pStyle w:val="64"/>
              <w:spacing w:line="240" w:lineRule="auto"/>
              <w:ind w:firstLine="0"/>
              <w:rPr>
                <w:sz w:val="21"/>
                <w:szCs w:val="21"/>
                <w:u w:val="single"/>
              </w:rPr>
            </w:pPr>
            <w:r>
              <w:rPr>
                <w:sz w:val="21"/>
                <w:szCs w:val="21"/>
                <w:u w:val="single"/>
              </w:rPr>
              <w:t>HW</w:t>
            </w:r>
            <w:r>
              <w:rPr>
                <w:rFonts w:hint="eastAsia"/>
                <w:sz w:val="21"/>
                <w:szCs w:val="21"/>
                <w:u w:val="single"/>
              </w:rPr>
              <w:t>08</w:t>
            </w:r>
          </w:p>
          <w:p w14:paraId="67083BE1">
            <w:pPr>
              <w:pStyle w:val="64"/>
              <w:spacing w:line="240" w:lineRule="auto"/>
              <w:ind w:firstLine="0"/>
              <w:rPr>
                <w:sz w:val="21"/>
                <w:szCs w:val="21"/>
                <w:u w:val="single"/>
              </w:rPr>
            </w:pPr>
            <w:r>
              <w:rPr>
                <w:rFonts w:hint="eastAsia"/>
                <w:sz w:val="21"/>
                <w:szCs w:val="21"/>
                <w:u w:val="single"/>
              </w:rPr>
              <w:t>900-249-08</w:t>
            </w:r>
          </w:p>
        </w:tc>
        <w:tc>
          <w:tcPr>
            <w:tcW w:w="1578" w:type="dxa"/>
            <w:tcBorders>
              <w:tl2br w:val="nil"/>
              <w:tr2bl w:val="nil"/>
            </w:tcBorders>
            <w:vAlign w:val="center"/>
          </w:tcPr>
          <w:p w14:paraId="1857A506">
            <w:pPr>
              <w:pStyle w:val="64"/>
              <w:spacing w:line="240" w:lineRule="auto"/>
              <w:ind w:firstLine="0"/>
              <w:rPr>
                <w:sz w:val="21"/>
                <w:szCs w:val="21"/>
                <w:u w:val="single"/>
              </w:rPr>
            </w:pPr>
            <w:r>
              <w:rPr>
                <w:rFonts w:hint="eastAsia"/>
                <w:sz w:val="21"/>
                <w:szCs w:val="21"/>
                <w:u w:val="single"/>
              </w:rPr>
              <w:t>2</w:t>
            </w:r>
            <w:r>
              <w:rPr>
                <w:sz w:val="21"/>
                <w:szCs w:val="21"/>
                <w:u w:val="single"/>
              </w:rPr>
              <w:t>t/</w:t>
            </w:r>
            <w:r>
              <w:rPr>
                <w:rFonts w:hint="eastAsia"/>
                <w:sz w:val="21"/>
                <w:szCs w:val="21"/>
                <w:u w:val="single"/>
              </w:rPr>
              <w:t>2</w:t>
            </w:r>
            <w:r>
              <w:rPr>
                <w:sz w:val="21"/>
                <w:szCs w:val="21"/>
                <w:u w:val="single"/>
              </w:rPr>
              <w:t>a</w:t>
            </w:r>
          </w:p>
        </w:tc>
        <w:tc>
          <w:tcPr>
            <w:tcW w:w="1030" w:type="dxa"/>
            <w:vMerge w:val="continue"/>
            <w:tcBorders>
              <w:tl2br w:val="nil"/>
              <w:tr2bl w:val="nil"/>
            </w:tcBorders>
            <w:vAlign w:val="center"/>
          </w:tcPr>
          <w:p w14:paraId="49BBFE0B">
            <w:pPr>
              <w:pStyle w:val="64"/>
              <w:spacing w:line="240" w:lineRule="auto"/>
              <w:ind w:firstLine="0"/>
              <w:rPr>
                <w:sz w:val="21"/>
                <w:szCs w:val="21"/>
                <w:u w:val="single"/>
              </w:rPr>
            </w:pPr>
          </w:p>
        </w:tc>
        <w:tc>
          <w:tcPr>
            <w:tcW w:w="1580" w:type="dxa"/>
            <w:tcBorders>
              <w:tl2br w:val="nil"/>
              <w:tr2bl w:val="nil"/>
            </w:tcBorders>
            <w:vAlign w:val="center"/>
          </w:tcPr>
          <w:p w14:paraId="145DFEC2">
            <w:pPr>
              <w:pStyle w:val="64"/>
              <w:spacing w:line="240" w:lineRule="auto"/>
              <w:ind w:firstLine="0"/>
              <w:rPr>
                <w:sz w:val="21"/>
                <w:szCs w:val="21"/>
                <w:u w:val="single"/>
              </w:rPr>
            </w:pPr>
            <w:r>
              <w:rPr>
                <w:sz w:val="21"/>
                <w:szCs w:val="21"/>
                <w:u w:val="single"/>
              </w:rPr>
              <w:t>T</w:t>
            </w:r>
            <w:r>
              <w:rPr>
                <w:rFonts w:hint="eastAsia"/>
                <w:sz w:val="21"/>
                <w:szCs w:val="21"/>
                <w:u w:val="single"/>
              </w:rPr>
              <w:t>，</w:t>
            </w:r>
            <w:r>
              <w:rPr>
                <w:sz w:val="21"/>
                <w:szCs w:val="21"/>
                <w:u w:val="single"/>
              </w:rPr>
              <w:t>I</w:t>
            </w:r>
          </w:p>
        </w:tc>
        <w:tc>
          <w:tcPr>
            <w:tcW w:w="2114" w:type="dxa"/>
            <w:vMerge w:val="continue"/>
            <w:tcBorders>
              <w:tl2br w:val="nil"/>
              <w:tr2bl w:val="nil"/>
            </w:tcBorders>
            <w:vAlign w:val="center"/>
          </w:tcPr>
          <w:p w14:paraId="562935F6">
            <w:pPr>
              <w:pStyle w:val="64"/>
              <w:spacing w:line="240" w:lineRule="auto"/>
              <w:ind w:firstLine="0"/>
              <w:rPr>
                <w:sz w:val="21"/>
                <w:szCs w:val="21"/>
                <w:u w:val="single"/>
              </w:rPr>
            </w:pPr>
          </w:p>
        </w:tc>
        <w:tc>
          <w:tcPr>
            <w:tcW w:w="1357" w:type="dxa"/>
            <w:tcBorders>
              <w:tl2br w:val="nil"/>
              <w:tr2bl w:val="nil"/>
            </w:tcBorders>
            <w:vAlign w:val="center"/>
          </w:tcPr>
          <w:p w14:paraId="64BEFD0C">
            <w:pPr>
              <w:pStyle w:val="64"/>
              <w:spacing w:line="240" w:lineRule="auto"/>
              <w:ind w:firstLine="0"/>
              <w:rPr>
                <w:sz w:val="21"/>
                <w:szCs w:val="21"/>
                <w:u w:val="single"/>
              </w:rPr>
            </w:pPr>
            <w:r>
              <w:rPr>
                <w:sz w:val="21"/>
                <w:szCs w:val="21"/>
                <w:u w:val="single"/>
              </w:rPr>
              <w:t>符合</w:t>
            </w:r>
          </w:p>
        </w:tc>
      </w:tr>
    </w:tbl>
    <w:p w14:paraId="5AB17B15">
      <w:pPr>
        <w:pStyle w:val="51"/>
        <w:widowControl w:val="0"/>
        <w:numPr>
          <w:ilvl w:val="5"/>
          <w:numId w:val="0"/>
        </w:numPr>
        <w:spacing w:before="163"/>
        <w:ind w:left="-2957" w:leftChars="0" w:hanging="706" w:firstLineChars="0"/>
        <w:rPr>
          <w:u w:val="single"/>
        </w:rPr>
      </w:pPr>
      <w:r>
        <w:rPr>
          <w:rFonts w:hint="default" w:ascii="宋体" w:hAnsi="宋体" w:eastAsia="宋体" w:cs="宋体"/>
          <w:b/>
          <w:bCs/>
          <w:color w:val="auto"/>
          <w:kern w:val="2"/>
          <w:sz w:val="21"/>
          <w:szCs w:val="21"/>
          <w:u w:val="single"/>
          <w:lang w:val="en-US" w:eastAsia="zh-CN" w:bidi="ar-SA"/>
        </w:rPr>
        <w:t xml:space="preserve">表3.2-14 </w:t>
      </w:r>
      <w:r>
        <w:rPr>
          <w:rFonts w:hint="eastAsia"/>
          <w:u w:val="single"/>
        </w:rPr>
        <w:t xml:space="preserve">   危险废物贮存场所（设施）基本情况表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996"/>
        <w:gridCol w:w="4461"/>
        <w:gridCol w:w="2091"/>
        <w:gridCol w:w="1390"/>
        <w:gridCol w:w="1640"/>
        <w:gridCol w:w="1165"/>
        <w:gridCol w:w="1245"/>
      </w:tblGrid>
      <w:tr w14:paraId="4561F37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1996" w:type="dxa"/>
            <w:tcBorders>
              <w:bottom w:val="single" w:color="000000" w:sz="4" w:space="0"/>
              <w:right w:val="single" w:color="000000" w:sz="4" w:space="0"/>
            </w:tcBorders>
            <w:vAlign w:val="center"/>
          </w:tcPr>
          <w:p w14:paraId="6E7C42AB">
            <w:pPr>
              <w:pStyle w:val="64"/>
              <w:spacing w:line="240" w:lineRule="auto"/>
              <w:ind w:firstLine="0"/>
              <w:rPr>
                <w:sz w:val="21"/>
                <w:szCs w:val="21"/>
                <w:u w:val="single"/>
              </w:rPr>
            </w:pPr>
            <w:r>
              <w:rPr>
                <w:sz w:val="21"/>
                <w:szCs w:val="21"/>
                <w:u w:val="single"/>
              </w:rPr>
              <w:t>贮存场所</w:t>
            </w:r>
          </w:p>
          <w:p w14:paraId="60A05ED1">
            <w:pPr>
              <w:pStyle w:val="64"/>
              <w:spacing w:line="240" w:lineRule="auto"/>
              <w:ind w:firstLine="0"/>
              <w:rPr>
                <w:sz w:val="21"/>
                <w:szCs w:val="21"/>
                <w:u w:val="single"/>
              </w:rPr>
            </w:pPr>
            <w:r>
              <w:rPr>
                <w:sz w:val="21"/>
                <w:szCs w:val="21"/>
                <w:u w:val="single"/>
              </w:rPr>
              <w:t>（设施）</w:t>
            </w:r>
          </w:p>
        </w:tc>
        <w:tc>
          <w:tcPr>
            <w:tcW w:w="4461" w:type="dxa"/>
            <w:tcBorders>
              <w:left w:val="single" w:color="000000" w:sz="4" w:space="0"/>
              <w:bottom w:val="single" w:color="000000" w:sz="4" w:space="0"/>
              <w:right w:val="single" w:color="000000" w:sz="4" w:space="0"/>
            </w:tcBorders>
            <w:vAlign w:val="center"/>
          </w:tcPr>
          <w:p w14:paraId="64791EF3">
            <w:pPr>
              <w:pStyle w:val="64"/>
              <w:spacing w:line="240" w:lineRule="auto"/>
              <w:ind w:firstLine="0"/>
              <w:rPr>
                <w:sz w:val="21"/>
                <w:szCs w:val="21"/>
                <w:u w:val="single"/>
              </w:rPr>
            </w:pPr>
            <w:r>
              <w:rPr>
                <w:sz w:val="21"/>
                <w:szCs w:val="21"/>
                <w:u w:val="single"/>
              </w:rPr>
              <w:t>危险废物</w:t>
            </w:r>
          </w:p>
        </w:tc>
        <w:tc>
          <w:tcPr>
            <w:tcW w:w="2091" w:type="dxa"/>
            <w:tcBorders>
              <w:left w:val="single" w:color="000000" w:sz="4" w:space="0"/>
              <w:bottom w:val="single" w:color="000000" w:sz="4" w:space="0"/>
              <w:right w:val="single" w:color="000000" w:sz="4" w:space="0"/>
            </w:tcBorders>
            <w:vAlign w:val="center"/>
          </w:tcPr>
          <w:p w14:paraId="2F74E2C2">
            <w:pPr>
              <w:pStyle w:val="64"/>
              <w:spacing w:line="240" w:lineRule="auto"/>
              <w:ind w:firstLine="0"/>
              <w:rPr>
                <w:sz w:val="21"/>
                <w:szCs w:val="21"/>
                <w:u w:val="single"/>
              </w:rPr>
            </w:pPr>
            <w:r>
              <w:rPr>
                <w:sz w:val="21"/>
                <w:szCs w:val="21"/>
                <w:u w:val="single"/>
              </w:rPr>
              <w:t>位置</w:t>
            </w:r>
          </w:p>
        </w:tc>
        <w:tc>
          <w:tcPr>
            <w:tcW w:w="1390" w:type="dxa"/>
            <w:tcBorders>
              <w:left w:val="single" w:color="000000" w:sz="4" w:space="0"/>
              <w:bottom w:val="single" w:color="000000" w:sz="4" w:space="0"/>
              <w:right w:val="single" w:color="000000" w:sz="4" w:space="0"/>
            </w:tcBorders>
            <w:vAlign w:val="center"/>
          </w:tcPr>
          <w:p w14:paraId="60760659">
            <w:pPr>
              <w:pStyle w:val="64"/>
              <w:spacing w:line="240" w:lineRule="auto"/>
              <w:ind w:firstLine="0"/>
              <w:rPr>
                <w:sz w:val="21"/>
                <w:szCs w:val="21"/>
                <w:u w:val="single"/>
              </w:rPr>
            </w:pPr>
            <w:r>
              <w:rPr>
                <w:sz w:val="21"/>
                <w:szCs w:val="21"/>
                <w:u w:val="single"/>
              </w:rPr>
              <w:t>占地面积</w:t>
            </w:r>
          </w:p>
          <w:p w14:paraId="6D3F56C2">
            <w:pPr>
              <w:pStyle w:val="64"/>
              <w:spacing w:line="240" w:lineRule="auto"/>
              <w:ind w:firstLine="0"/>
              <w:rPr>
                <w:sz w:val="21"/>
                <w:szCs w:val="21"/>
                <w:u w:val="single"/>
              </w:rPr>
            </w:pPr>
            <w:r>
              <w:rPr>
                <w:sz w:val="21"/>
                <w:szCs w:val="21"/>
                <w:u w:val="single"/>
              </w:rPr>
              <w:t>（m</w:t>
            </w:r>
            <w:r>
              <w:rPr>
                <w:sz w:val="21"/>
                <w:szCs w:val="21"/>
                <w:u w:val="single"/>
                <w:vertAlign w:val="superscript"/>
              </w:rPr>
              <w:t>2</w:t>
            </w:r>
            <w:r>
              <w:rPr>
                <w:sz w:val="21"/>
                <w:szCs w:val="21"/>
                <w:u w:val="single"/>
              </w:rPr>
              <w:t>）</w:t>
            </w:r>
          </w:p>
        </w:tc>
        <w:tc>
          <w:tcPr>
            <w:tcW w:w="1640" w:type="dxa"/>
            <w:tcBorders>
              <w:left w:val="single" w:color="000000" w:sz="4" w:space="0"/>
              <w:bottom w:val="single" w:color="000000" w:sz="4" w:space="0"/>
              <w:right w:val="single" w:color="000000" w:sz="4" w:space="0"/>
            </w:tcBorders>
            <w:vAlign w:val="center"/>
          </w:tcPr>
          <w:p w14:paraId="38745C33">
            <w:pPr>
              <w:pStyle w:val="64"/>
              <w:spacing w:line="240" w:lineRule="auto"/>
              <w:ind w:firstLine="0"/>
              <w:rPr>
                <w:sz w:val="21"/>
                <w:szCs w:val="21"/>
                <w:u w:val="single"/>
              </w:rPr>
            </w:pPr>
            <w:r>
              <w:rPr>
                <w:sz w:val="21"/>
                <w:szCs w:val="21"/>
                <w:u w:val="single"/>
              </w:rPr>
              <w:t>贮存</w:t>
            </w:r>
          </w:p>
          <w:p w14:paraId="3DFDC3DA">
            <w:pPr>
              <w:pStyle w:val="64"/>
              <w:spacing w:line="240" w:lineRule="auto"/>
              <w:ind w:firstLine="0"/>
              <w:rPr>
                <w:sz w:val="21"/>
                <w:szCs w:val="21"/>
                <w:u w:val="single"/>
              </w:rPr>
            </w:pPr>
            <w:r>
              <w:rPr>
                <w:sz w:val="21"/>
                <w:szCs w:val="21"/>
                <w:u w:val="single"/>
              </w:rPr>
              <w:t>方式</w:t>
            </w:r>
          </w:p>
        </w:tc>
        <w:tc>
          <w:tcPr>
            <w:tcW w:w="1165" w:type="dxa"/>
            <w:tcBorders>
              <w:left w:val="single" w:color="000000" w:sz="4" w:space="0"/>
              <w:bottom w:val="single" w:color="000000" w:sz="4" w:space="0"/>
              <w:right w:val="single" w:color="000000" w:sz="4" w:space="0"/>
            </w:tcBorders>
            <w:vAlign w:val="center"/>
          </w:tcPr>
          <w:p w14:paraId="14F9CFC0">
            <w:pPr>
              <w:pStyle w:val="64"/>
              <w:spacing w:line="240" w:lineRule="auto"/>
              <w:ind w:firstLine="0"/>
              <w:rPr>
                <w:sz w:val="21"/>
                <w:szCs w:val="21"/>
                <w:u w:val="single"/>
              </w:rPr>
            </w:pPr>
            <w:r>
              <w:rPr>
                <w:sz w:val="21"/>
                <w:szCs w:val="21"/>
                <w:u w:val="single"/>
              </w:rPr>
              <w:t>贮存</w:t>
            </w:r>
          </w:p>
          <w:p w14:paraId="0CCC15D1">
            <w:pPr>
              <w:pStyle w:val="64"/>
              <w:spacing w:line="240" w:lineRule="auto"/>
              <w:ind w:firstLine="0"/>
              <w:rPr>
                <w:sz w:val="21"/>
                <w:szCs w:val="21"/>
                <w:u w:val="single"/>
              </w:rPr>
            </w:pPr>
            <w:r>
              <w:rPr>
                <w:sz w:val="21"/>
                <w:szCs w:val="21"/>
                <w:u w:val="single"/>
              </w:rPr>
              <w:t>能力</w:t>
            </w:r>
          </w:p>
        </w:tc>
        <w:tc>
          <w:tcPr>
            <w:tcW w:w="1245" w:type="dxa"/>
            <w:tcBorders>
              <w:left w:val="single" w:color="000000" w:sz="4" w:space="0"/>
              <w:bottom w:val="single" w:color="000000" w:sz="4" w:space="0"/>
            </w:tcBorders>
            <w:vAlign w:val="center"/>
          </w:tcPr>
          <w:p w14:paraId="77F67528">
            <w:pPr>
              <w:pStyle w:val="64"/>
              <w:spacing w:line="240" w:lineRule="auto"/>
              <w:ind w:firstLine="0"/>
              <w:rPr>
                <w:sz w:val="21"/>
                <w:szCs w:val="21"/>
                <w:u w:val="single"/>
              </w:rPr>
            </w:pPr>
            <w:r>
              <w:rPr>
                <w:sz w:val="21"/>
                <w:szCs w:val="21"/>
                <w:u w:val="single"/>
              </w:rPr>
              <w:t>贮存</w:t>
            </w:r>
          </w:p>
          <w:p w14:paraId="3DBAC195">
            <w:pPr>
              <w:pStyle w:val="64"/>
              <w:spacing w:line="240" w:lineRule="auto"/>
              <w:ind w:firstLine="0"/>
              <w:rPr>
                <w:sz w:val="21"/>
                <w:szCs w:val="21"/>
                <w:u w:val="single"/>
              </w:rPr>
            </w:pPr>
            <w:r>
              <w:rPr>
                <w:sz w:val="21"/>
                <w:szCs w:val="21"/>
                <w:u w:val="single"/>
              </w:rPr>
              <w:t>周期</w:t>
            </w:r>
          </w:p>
        </w:tc>
      </w:tr>
      <w:tr w14:paraId="7F51FFA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1996" w:type="dxa"/>
            <w:tcBorders>
              <w:top w:val="single" w:color="000000" w:sz="4" w:space="0"/>
              <w:right w:val="single" w:color="000000" w:sz="4" w:space="0"/>
            </w:tcBorders>
            <w:vAlign w:val="center"/>
          </w:tcPr>
          <w:p w14:paraId="6678A402">
            <w:pPr>
              <w:pStyle w:val="64"/>
              <w:spacing w:line="240" w:lineRule="auto"/>
              <w:ind w:firstLine="0"/>
              <w:rPr>
                <w:sz w:val="21"/>
                <w:szCs w:val="21"/>
                <w:u w:val="single"/>
              </w:rPr>
            </w:pPr>
            <w:r>
              <w:rPr>
                <w:sz w:val="21"/>
                <w:szCs w:val="21"/>
                <w:u w:val="single"/>
              </w:rPr>
              <w:t>危废暂存间</w:t>
            </w:r>
          </w:p>
        </w:tc>
        <w:tc>
          <w:tcPr>
            <w:tcW w:w="4461" w:type="dxa"/>
            <w:tcBorders>
              <w:top w:val="single" w:color="000000" w:sz="4" w:space="0"/>
              <w:left w:val="single" w:color="000000" w:sz="4" w:space="0"/>
              <w:right w:val="single" w:color="000000" w:sz="4" w:space="0"/>
            </w:tcBorders>
            <w:vAlign w:val="center"/>
          </w:tcPr>
          <w:p w14:paraId="110E6E25">
            <w:pPr>
              <w:pStyle w:val="64"/>
              <w:spacing w:line="240" w:lineRule="auto"/>
              <w:ind w:firstLine="0"/>
              <w:rPr>
                <w:sz w:val="21"/>
                <w:szCs w:val="21"/>
                <w:u w:val="single"/>
              </w:rPr>
            </w:pPr>
            <w:r>
              <w:rPr>
                <w:sz w:val="21"/>
                <w:szCs w:val="21"/>
                <w:u w:val="single"/>
              </w:rPr>
              <w:t>废油墨、废胶</w:t>
            </w:r>
            <w:r>
              <w:rPr>
                <w:rFonts w:hint="eastAsia"/>
                <w:sz w:val="21"/>
                <w:szCs w:val="21"/>
                <w:u w:val="single"/>
              </w:rPr>
              <w:t>水</w:t>
            </w:r>
            <w:r>
              <w:rPr>
                <w:sz w:val="21"/>
                <w:szCs w:val="21"/>
                <w:u w:val="single"/>
              </w:rPr>
              <w:t>、废弃包装桶、废沾染抹布</w:t>
            </w:r>
            <w:r>
              <w:rPr>
                <w:rFonts w:hint="eastAsia"/>
                <w:sz w:val="21"/>
                <w:szCs w:val="21"/>
                <w:u w:val="single"/>
              </w:rPr>
              <w:t>手套</w:t>
            </w:r>
            <w:r>
              <w:rPr>
                <w:sz w:val="21"/>
                <w:szCs w:val="21"/>
                <w:u w:val="single"/>
              </w:rPr>
              <w:t>、废</w:t>
            </w:r>
            <w:r>
              <w:rPr>
                <w:rFonts w:hint="eastAsia"/>
                <w:sz w:val="21"/>
                <w:szCs w:val="21"/>
                <w:u w:val="single"/>
              </w:rPr>
              <w:t>活性炭</w:t>
            </w:r>
            <w:r>
              <w:rPr>
                <w:sz w:val="21"/>
                <w:szCs w:val="21"/>
                <w:u w:val="single"/>
              </w:rPr>
              <w:t>、</w:t>
            </w:r>
            <w:r>
              <w:rPr>
                <w:rFonts w:hint="eastAsia"/>
                <w:sz w:val="21"/>
                <w:szCs w:val="21"/>
                <w:u w:val="single"/>
              </w:rPr>
              <w:t>废催化剂、废机油及其包装桶</w:t>
            </w:r>
          </w:p>
        </w:tc>
        <w:tc>
          <w:tcPr>
            <w:tcW w:w="2091" w:type="dxa"/>
            <w:tcBorders>
              <w:top w:val="single" w:color="000000" w:sz="4" w:space="0"/>
              <w:left w:val="single" w:color="000000" w:sz="4" w:space="0"/>
              <w:right w:val="single" w:color="000000" w:sz="4" w:space="0"/>
            </w:tcBorders>
            <w:vAlign w:val="center"/>
          </w:tcPr>
          <w:p w14:paraId="32BAA5A1">
            <w:pPr>
              <w:pStyle w:val="64"/>
              <w:spacing w:line="240" w:lineRule="auto"/>
              <w:ind w:firstLine="0"/>
              <w:rPr>
                <w:sz w:val="21"/>
                <w:szCs w:val="21"/>
                <w:u w:val="single"/>
              </w:rPr>
            </w:pPr>
            <w:r>
              <w:rPr>
                <w:sz w:val="21"/>
                <w:szCs w:val="21"/>
                <w:u w:val="single"/>
              </w:rPr>
              <w:t>四车间一楼西侧</w:t>
            </w:r>
          </w:p>
        </w:tc>
        <w:tc>
          <w:tcPr>
            <w:tcW w:w="1390" w:type="dxa"/>
            <w:tcBorders>
              <w:top w:val="single" w:color="000000" w:sz="4" w:space="0"/>
              <w:left w:val="single" w:color="000000" w:sz="4" w:space="0"/>
              <w:right w:val="single" w:color="000000" w:sz="4" w:space="0"/>
            </w:tcBorders>
            <w:vAlign w:val="center"/>
          </w:tcPr>
          <w:p w14:paraId="10EC505A">
            <w:pPr>
              <w:pStyle w:val="64"/>
              <w:spacing w:line="240" w:lineRule="auto"/>
              <w:ind w:firstLine="0"/>
              <w:rPr>
                <w:sz w:val="21"/>
                <w:szCs w:val="21"/>
                <w:u w:val="single"/>
              </w:rPr>
            </w:pPr>
            <w:r>
              <w:rPr>
                <w:rFonts w:hint="eastAsia"/>
                <w:sz w:val="21"/>
                <w:szCs w:val="21"/>
                <w:u w:val="single"/>
              </w:rPr>
              <w:t>272</w:t>
            </w:r>
          </w:p>
        </w:tc>
        <w:tc>
          <w:tcPr>
            <w:tcW w:w="1640" w:type="dxa"/>
            <w:tcBorders>
              <w:top w:val="single" w:color="000000" w:sz="4" w:space="0"/>
              <w:left w:val="single" w:color="000000" w:sz="4" w:space="0"/>
              <w:right w:val="single" w:color="000000" w:sz="4" w:space="0"/>
            </w:tcBorders>
            <w:vAlign w:val="center"/>
          </w:tcPr>
          <w:p w14:paraId="20371F9B">
            <w:pPr>
              <w:pStyle w:val="64"/>
              <w:spacing w:line="240" w:lineRule="auto"/>
              <w:ind w:firstLine="0"/>
              <w:rPr>
                <w:sz w:val="21"/>
                <w:szCs w:val="21"/>
                <w:u w:val="single"/>
              </w:rPr>
            </w:pPr>
            <w:r>
              <w:rPr>
                <w:sz w:val="21"/>
                <w:szCs w:val="21"/>
                <w:u w:val="single"/>
              </w:rPr>
              <w:t>封闭式</w:t>
            </w:r>
          </w:p>
        </w:tc>
        <w:tc>
          <w:tcPr>
            <w:tcW w:w="1165" w:type="dxa"/>
            <w:tcBorders>
              <w:top w:val="single" w:color="000000" w:sz="4" w:space="0"/>
              <w:left w:val="single" w:color="000000" w:sz="4" w:space="0"/>
              <w:right w:val="single" w:color="000000" w:sz="4" w:space="0"/>
            </w:tcBorders>
            <w:vAlign w:val="center"/>
          </w:tcPr>
          <w:p w14:paraId="409BC349">
            <w:pPr>
              <w:pStyle w:val="64"/>
              <w:spacing w:line="240" w:lineRule="auto"/>
              <w:ind w:firstLine="0"/>
              <w:rPr>
                <w:sz w:val="21"/>
                <w:szCs w:val="21"/>
                <w:u w:val="single"/>
              </w:rPr>
            </w:pPr>
            <w:r>
              <w:rPr>
                <w:rFonts w:hint="eastAsia"/>
                <w:sz w:val="21"/>
                <w:szCs w:val="21"/>
                <w:u w:val="single"/>
              </w:rPr>
              <w:t>272m</w:t>
            </w:r>
            <w:r>
              <w:rPr>
                <w:rFonts w:hint="eastAsia"/>
                <w:sz w:val="21"/>
                <w:szCs w:val="21"/>
                <w:u w:val="single"/>
                <w:vertAlign w:val="superscript"/>
              </w:rPr>
              <w:t>2</w:t>
            </w:r>
          </w:p>
        </w:tc>
        <w:tc>
          <w:tcPr>
            <w:tcW w:w="1245" w:type="dxa"/>
            <w:tcBorders>
              <w:top w:val="single" w:color="000000" w:sz="4" w:space="0"/>
              <w:left w:val="single" w:color="000000" w:sz="4" w:space="0"/>
            </w:tcBorders>
            <w:vAlign w:val="center"/>
          </w:tcPr>
          <w:p w14:paraId="008354E6">
            <w:pPr>
              <w:pStyle w:val="64"/>
              <w:spacing w:line="240" w:lineRule="auto"/>
              <w:ind w:firstLine="0"/>
              <w:rPr>
                <w:sz w:val="21"/>
                <w:szCs w:val="21"/>
                <w:u w:val="single"/>
              </w:rPr>
            </w:pPr>
            <w:r>
              <w:rPr>
                <w:rFonts w:hint="eastAsia"/>
                <w:sz w:val="21"/>
                <w:szCs w:val="21"/>
                <w:u w:val="single"/>
              </w:rPr>
              <w:t>定期</w:t>
            </w:r>
          </w:p>
          <w:p w14:paraId="70D8EAFD">
            <w:pPr>
              <w:pStyle w:val="64"/>
              <w:spacing w:line="240" w:lineRule="auto"/>
              <w:ind w:firstLine="0"/>
              <w:rPr>
                <w:sz w:val="21"/>
                <w:szCs w:val="21"/>
                <w:u w:val="single"/>
              </w:rPr>
            </w:pPr>
            <w:r>
              <w:rPr>
                <w:rFonts w:hint="eastAsia"/>
                <w:sz w:val="21"/>
                <w:szCs w:val="21"/>
                <w:u w:val="single"/>
              </w:rPr>
              <w:t>转运</w:t>
            </w:r>
          </w:p>
        </w:tc>
      </w:tr>
    </w:tbl>
    <w:p w14:paraId="2D8E7AEE">
      <w:pPr>
        <w:pStyle w:val="51"/>
        <w:widowControl w:val="0"/>
        <w:numPr>
          <w:ilvl w:val="5"/>
          <w:numId w:val="0"/>
        </w:numPr>
        <w:spacing w:before="163"/>
        <w:ind w:left="-2958" w:leftChars="0" w:hanging="847" w:firstLineChars="0"/>
        <w:rPr>
          <w:u w:val="single"/>
        </w:rPr>
      </w:pPr>
      <w:r>
        <w:rPr>
          <w:rFonts w:hint="default" w:ascii="宋体" w:hAnsi="宋体" w:eastAsia="宋体" w:cs="宋体"/>
          <w:b/>
          <w:bCs/>
          <w:color w:val="auto"/>
          <w:kern w:val="2"/>
          <w:sz w:val="21"/>
          <w:szCs w:val="21"/>
          <w:u w:val="single"/>
          <w:lang w:val="en-US" w:eastAsia="zh-CN" w:bidi="ar-SA"/>
        </w:rPr>
        <w:t xml:space="preserve">表3.2-15 </w:t>
      </w:r>
      <w:r>
        <w:rPr>
          <w:rFonts w:hint="eastAsia"/>
          <w:u w:val="single"/>
        </w:rPr>
        <w:t xml:space="preserve">  一般工业废物贮存场所（设施）基本情况表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363"/>
        <w:gridCol w:w="3086"/>
        <w:gridCol w:w="2251"/>
        <w:gridCol w:w="1494"/>
        <w:gridCol w:w="1377"/>
        <w:gridCol w:w="1165"/>
        <w:gridCol w:w="1252"/>
      </w:tblGrid>
      <w:tr w14:paraId="3F9F377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6" w:hRule="atLeast"/>
          <w:jc w:val="center"/>
        </w:trPr>
        <w:tc>
          <w:tcPr>
            <w:tcW w:w="2017" w:type="dxa"/>
            <w:tcBorders>
              <w:bottom w:val="single" w:color="000000" w:sz="4" w:space="0"/>
              <w:right w:val="single" w:color="000000" w:sz="4" w:space="0"/>
            </w:tcBorders>
            <w:vAlign w:val="center"/>
          </w:tcPr>
          <w:p w14:paraId="71F7A092">
            <w:pPr>
              <w:pStyle w:val="64"/>
              <w:spacing w:line="240" w:lineRule="auto"/>
              <w:ind w:firstLine="0"/>
              <w:rPr>
                <w:sz w:val="21"/>
                <w:szCs w:val="21"/>
                <w:u w:val="single"/>
              </w:rPr>
            </w:pPr>
            <w:r>
              <w:rPr>
                <w:sz w:val="21"/>
                <w:szCs w:val="21"/>
                <w:u w:val="single"/>
              </w:rPr>
              <w:t>贮存场所（设施）</w:t>
            </w:r>
          </w:p>
        </w:tc>
        <w:tc>
          <w:tcPr>
            <w:tcW w:w="1851" w:type="dxa"/>
            <w:tcBorders>
              <w:left w:val="single" w:color="000000" w:sz="4" w:space="0"/>
              <w:bottom w:val="single" w:color="000000" w:sz="4" w:space="0"/>
              <w:right w:val="single" w:color="000000" w:sz="4" w:space="0"/>
            </w:tcBorders>
            <w:vAlign w:val="center"/>
          </w:tcPr>
          <w:p w14:paraId="5402EF31">
            <w:pPr>
              <w:pStyle w:val="64"/>
              <w:spacing w:line="240" w:lineRule="auto"/>
              <w:ind w:firstLine="0"/>
              <w:rPr>
                <w:sz w:val="21"/>
                <w:szCs w:val="21"/>
                <w:u w:val="single"/>
              </w:rPr>
            </w:pPr>
            <w:r>
              <w:rPr>
                <w:sz w:val="21"/>
                <w:szCs w:val="21"/>
                <w:u w:val="single"/>
              </w:rPr>
              <w:t>一般工业固废</w:t>
            </w:r>
          </w:p>
        </w:tc>
        <w:tc>
          <w:tcPr>
            <w:tcW w:w="1350" w:type="dxa"/>
            <w:tcBorders>
              <w:left w:val="single" w:color="000000" w:sz="4" w:space="0"/>
              <w:bottom w:val="single" w:color="000000" w:sz="4" w:space="0"/>
              <w:right w:val="single" w:color="000000" w:sz="4" w:space="0"/>
            </w:tcBorders>
            <w:vAlign w:val="center"/>
          </w:tcPr>
          <w:p w14:paraId="4F9AEA78">
            <w:pPr>
              <w:pStyle w:val="64"/>
              <w:spacing w:line="240" w:lineRule="auto"/>
              <w:ind w:firstLine="0"/>
              <w:rPr>
                <w:sz w:val="21"/>
                <w:szCs w:val="21"/>
                <w:u w:val="single"/>
              </w:rPr>
            </w:pPr>
            <w:r>
              <w:rPr>
                <w:sz w:val="21"/>
                <w:szCs w:val="21"/>
                <w:u w:val="single"/>
              </w:rPr>
              <w:t>位置</w:t>
            </w:r>
          </w:p>
        </w:tc>
        <w:tc>
          <w:tcPr>
            <w:tcW w:w="896" w:type="dxa"/>
            <w:tcBorders>
              <w:left w:val="single" w:color="000000" w:sz="4" w:space="0"/>
              <w:bottom w:val="single" w:color="000000" w:sz="4" w:space="0"/>
              <w:right w:val="single" w:color="000000" w:sz="4" w:space="0"/>
            </w:tcBorders>
            <w:vAlign w:val="center"/>
          </w:tcPr>
          <w:p w14:paraId="773051D9">
            <w:pPr>
              <w:pStyle w:val="64"/>
              <w:spacing w:line="240" w:lineRule="auto"/>
              <w:ind w:firstLine="0"/>
              <w:rPr>
                <w:sz w:val="21"/>
                <w:szCs w:val="21"/>
                <w:u w:val="single"/>
              </w:rPr>
            </w:pPr>
            <w:r>
              <w:rPr>
                <w:sz w:val="21"/>
                <w:szCs w:val="21"/>
                <w:u w:val="single"/>
              </w:rPr>
              <w:t>占地面积（m</w:t>
            </w:r>
            <w:r>
              <w:rPr>
                <w:sz w:val="21"/>
                <w:szCs w:val="21"/>
                <w:u w:val="single"/>
                <w:vertAlign w:val="superscript"/>
              </w:rPr>
              <w:t>2</w:t>
            </w:r>
            <w:r>
              <w:rPr>
                <w:sz w:val="21"/>
                <w:szCs w:val="21"/>
                <w:u w:val="single"/>
              </w:rPr>
              <w:t>）</w:t>
            </w:r>
          </w:p>
        </w:tc>
        <w:tc>
          <w:tcPr>
            <w:tcW w:w="826" w:type="dxa"/>
            <w:tcBorders>
              <w:left w:val="single" w:color="000000" w:sz="4" w:space="0"/>
              <w:bottom w:val="single" w:color="000000" w:sz="4" w:space="0"/>
              <w:right w:val="single" w:color="000000" w:sz="4" w:space="0"/>
            </w:tcBorders>
            <w:vAlign w:val="center"/>
          </w:tcPr>
          <w:p w14:paraId="04F4E8CA">
            <w:pPr>
              <w:pStyle w:val="64"/>
              <w:spacing w:line="240" w:lineRule="auto"/>
              <w:ind w:firstLine="0"/>
              <w:rPr>
                <w:sz w:val="21"/>
                <w:szCs w:val="21"/>
                <w:u w:val="single"/>
              </w:rPr>
            </w:pPr>
            <w:r>
              <w:rPr>
                <w:sz w:val="21"/>
                <w:szCs w:val="21"/>
                <w:u w:val="single"/>
              </w:rPr>
              <w:t>贮存方式</w:t>
            </w:r>
          </w:p>
        </w:tc>
        <w:tc>
          <w:tcPr>
            <w:tcW w:w="699" w:type="dxa"/>
            <w:tcBorders>
              <w:left w:val="single" w:color="000000" w:sz="4" w:space="0"/>
              <w:bottom w:val="single" w:color="000000" w:sz="4" w:space="0"/>
              <w:right w:val="single" w:color="000000" w:sz="4" w:space="0"/>
            </w:tcBorders>
            <w:vAlign w:val="center"/>
          </w:tcPr>
          <w:p w14:paraId="7FAB1CB6">
            <w:pPr>
              <w:pStyle w:val="64"/>
              <w:spacing w:line="240" w:lineRule="auto"/>
              <w:ind w:firstLine="0"/>
              <w:rPr>
                <w:sz w:val="21"/>
                <w:szCs w:val="21"/>
                <w:u w:val="single"/>
              </w:rPr>
            </w:pPr>
            <w:r>
              <w:rPr>
                <w:sz w:val="21"/>
                <w:szCs w:val="21"/>
                <w:u w:val="single"/>
              </w:rPr>
              <w:t>贮存能力</w:t>
            </w:r>
          </w:p>
        </w:tc>
        <w:tc>
          <w:tcPr>
            <w:tcW w:w="751" w:type="dxa"/>
            <w:tcBorders>
              <w:left w:val="single" w:color="000000" w:sz="4" w:space="0"/>
              <w:bottom w:val="single" w:color="000000" w:sz="4" w:space="0"/>
            </w:tcBorders>
            <w:vAlign w:val="center"/>
          </w:tcPr>
          <w:p w14:paraId="525528E3">
            <w:pPr>
              <w:pStyle w:val="64"/>
              <w:spacing w:line="240" w:lineRule="auto"/>
              <w:ind w:firstLine="0"/>
              <w:rPr>
                <w:sz w:val="21"/>
                <w:szCs w:val="21"/>
                <w:u w:val="single"/>
              </w:rPr>
            </w:pPr>
            <w:r>
              <w:rPr>
                <w:sz w:val="21"/>
                <w:szCs w:val="21"/>
                <w:u w:val="single"/>
              </w:rPr>
              <w:t>贮存周期</w:t>
            </w:r>
          </w:p>
        </w:tc>
      </w:tr>
      <w:tr w14:paraId="742720D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0" w:hRule="atLeast"/>
          <w:jc w:val="center"/>
        </w:trPr>
        <w:tc>
          <w:tcPr>
            <w:tcW w:w="2017" w:type="dxa"/>
            <w:tcBorders>
              <w:top w:val="single" w:color="000000" w:sz="4" w:space="0"/>
              <w:right w:val="single" w:color="000000" w:sz="4" w:space="0"/>
            </w:tcBorders>
            <w:vAlign w:val="center"/>
          </w:tcPr>
          <w:p w14:paraId="584BCE2E">
            <w:pPr>
              <w:pStyle w:val="64"/>
              <w:spacing w:line="240" w:lineRule="auto"/>
              <w:ind w:firstLine="0"/>
              <w:rPr>
                <w:sz w:val="21"/>
                <w:szCs w:val="21"/>
                <w:u w:val="single"/>
              </w:rPr>
            </w:pPr>
            <w:r>
              <w:rPr>
                <w:sz w:val="21"/>
                <w:szCs w:val="21"/>
                <w:u w:val="single"/>
              </w:rPr>
              <w:t>一般工业固废贮存间</w:t>
            </w:r>
          </w:p>
        </w:tc>
        <w:tc>
          <w:tcPr>
            <w:tcW w:w="1851" w:type="dxa"/>
            <w:tcBorders>
              <w:top w:val="single" w:color="000000" w:sz="4" w:space="0"/>
              <w:left w:val="single" w:color="000000" w:sz="4" w:space="0"/>
              <w:right w:val="single" w:color="000000" w:sz="4" w:space="0"/>
            </w:tcBorders>
            <w:vAlign w:val="center"/>
          </w:tcPr>
          <w:p w14:paraId="79280DEC">
            <w:pPr>
              <w:pStyle w:val="64"/>
              <w:spacing w:line="240" w:lineRule="auto"/>
              <w:ind w:firstLine="0"/>
              <w:rPr>
                <w:sz w:val="21"/>
                <w:szCs w:val="21"/>
                <w:u w:val="single"/>
              </w:rPr>
            </w:pPr>
            <w:r>
              <w:rPr>
                <w:sz w:val="21"/>
                <w:szCs w:val="21"/>
                <w:u w:val="single"/>
              </w:rPr>
              <w:t>废膜及不合格品</w:t>
            </w:r>
            <w:r>
              <w:rPr>
                <w:rFonts w:hint="eastAsia"/>
                <w:sz w:val="21"/>
                <w:szCs w:val="21"/>
                <w:u w:val="single"/>
              </w:rPr>
              <w:t>、废边条、废包装材料</w:t>
            </w:r>
          </w:p>
        </w:tc>
        <w:tc>
          <w:tcPr>
            <w:tcW w:w="1350" w:type="dxa"/>
            <w:tcBorders>
              <w:top w:val="single" w:color="000000" w:sz="4" w:space="0"/>
              <w:left w:val="single" w:color="000000" w:sz="4" w:space="0"/>
              <w:right w:val="single" w:color="000000" w:sz="4" w:space="0"/>
            </w:tcBorders>
            <w:vAlign w:val="center"/>
          </w:tcPr>
          <w:p w14:paraId="2BA0E95F">
            <w:pPr>
              <w:pStyle w:val="64"/>
              <w:spacing w:line="240" w:lineRule="auto"/>
              <w:ind w:firstLine="0"/>
              <w:rPr>
                <w:sz w:val="21"/>
                <w:szCs w:val="21"/>
                <w:u w:val="single"/>
              </w:rPr>
            </w:pPr>
            <w:r>
              <w:rPr>
                <w:sz w:val="21"/>
                <w:szCs w:val="21"/>
                <w:u w:val="single"/>
              </w:rPr>
              <w:t>四车间一楼</w:t>
            </w:r>
            <w:r>
              <w:rPr>
                <w:rFonts w:hint="eastAsia"/>
                <w:sz w:val="21"/>
                <w:szCs w:val="21"/>
                <w:u w:val="single"/>
              </w:rPr>
              <w:t>东</w:t>
            </w:r>
            <w:r>
              <w:rPr>
                <w:sz w:val="21"/>
                <w:szCs w:val="21"/>
                <w:u w:val="single"/>
              </w:rPr>
              <w:t>侧</w:t>
            </w:r>
          </w:p>
        </w:tc>
        <w:tc>
          <w:tcPr>
            <w:tcW w:w="896" w:type="dxa"/>
            <w:tcBorders>
              <w:top w:val="single" w:color="000000" w:sz="4" w:space="0"/>
              <w:left w:val="single" w:color="000000" w:sz="4" w:space="0"/>
              <w:right w:val="single" w:color="000000" w:sz="4" w:space="0"/>
            </w:tcBorders>
            <w:vAlign w:val="center"/>
          </w:tcPr>
          <w:p w14:paraId="7DC6953E">
            <w:pPr>
              <w:pStyle w:val="64"/>
              <w:spacing w:line="240" w:lineRule="auto"/>
              <w:ind w:firstLine="0"/>
              <w:rPr>
                <w:sz w:val="21"/>
                <w:szCs w:val="21"/>
                <w:u w:val="single"/>
              </w:rPr>
            </w:pPr>
            <w:r>
              <w:rPr>
                <w:rFonts w:hint="eastAsia"/>
                <w:sz w:val="21"/>
                <w:szCs w:val="21"/>
                <w:u w:val="single"/>
              </w:rPr>
              <w:t>304</w:t>
            </w:r>
          </w:p>
        </w:tc>
        <w:tc>
          <w:tcPr>
            <w:tcW w:w="826" w:type="dxa"/>
            <w:tcBorders>
              <w:top w:val="single" w:color="000000" w:sz="4" w:space="0"/>
              <w:left w:val="single" w:color="000000" w:sz="4" w:space="0"/>
              <w:right w:val="single" w:color="000000" w:sz="4" w:space="0"/>
            </w:tcBorders>
            <w:vAlign w:val="center"/>
          </w:tcPr>
          <w:p w14:paraId="66F66865">
            <w:pPr>
              <w:pStyle w:val="64"/>
              <w:spacing w:line="240" w:lineRule="auto"/>
              <w:ind w:firstLine="0"/>
              <w:rPr>
                <w:sz w:val="21"/>
                <w:szCs w:val="21"/>
                <w:u w:val="single"/>
              </w:rPr>
            </w:pPr>
            <w:r>
              <w:rPr>
                <w:sz w:val="21"/>
                <w:szCs w:val="21"/>
                <w:u w:val="single"/>
              </w:rPr>
              <w:t>封闭式</w:t>
            </w:r>
          </w:p>
        </w:tc>
        <w:tc>
          <w:tcPr>
            <w:tcW w:w="699" w:type="dxa"/>
            <w:tcBorders>
              <w:top w:val="single" w:color="000000" w:sz="4" w:space="0"/>
              <w:left w:val="single" w:color="000000" w:sz="4" w:space="0"/>
              <w:right w:val="single" w:color="000000" w:sz="4" w:space="0"/>
            </w:tcBorders>
            <w:vAlign w:val="center"/>
          </w:tcPr>
          <w:p w14:paraId="0BCB75DB">
            <w:pPr>
              <w:pStyle w:val="64"/>
              <w:spacing w:line="240" w:lineRule="auto"/>
              <w:ind w:firstLine="0"/>
              <w:rPr>
                <w:sz w:val="21"/>
                <w:szCs w:val="21"/>
                <w:u w:val="single"/>
              </w:rPr>
            </w:pPr>
            <w:r>
              <w:rPr>
                <w:rFonts w:hint="eastAsia"/>
                <w:sz w:val="21"/>
                <w:szCs w:val="21"/>
                <w:u w:val="single"/>
              </w:rPr>
              <w:t>304m</w:t>
            </w:r>
            <w:r>
              <w:rPr>
                <w:rFonts w:hint="eastAsia"/>
                <w:sz w:val="21"/>
                <w:szCs w:val="21"/>
                <w:u w:val="single"/>
                <w:vertAlign w:val="superscript"/>
              </w:rPr>
              <w:t>2</w:t>
            </w:r>
          </w:p>
        </w:tc>
        <w:tc>
          <w:tcPr>
            <w:tcW w:w="751" w:type="dxa"/>
            <w:tcBorders>
              <w:top w:val="single" w:color="000000" w:sz="4" w:space="0"/>
              <w:left w:val="single" w:color="000000" w:sz="4" w:space="0"/>
            </w:tcBorders>
            <w:vAlign w:val="center"/>
          </w:tcPr>
          <w:p w14:paraId="625D398E">
            <w:pPr>
              <w:pStyle w:val="64"/>
              <w:spacing w:line="240" w:lineRule="auto"/>
              <w:ind w:firstLine="0"/>
              <w:rPr>
                <w:sz w:val="21"/>
                <w:szCs w:val="21"/>
                <w:u w:val="single"/>
              </w:rPr>
            </w:pPr>
            <w:r>
              <w:rPr>
                <w:sz w:val="21"/>
                <w:szCs w:val="21"/>
                <w:u w:val="single"/>
              </w:rPr>
              <w:t>1周</w:t>
            </w:r>
          </w:p>
        </w:tc>
      </w:tr>
    </w:tbl>
    <w:p w14:paraId="59549893">
      <w:pPr>
        <w:pStyle w:val="38"/>
        <w:ind w:firstLine="480"/>
      </w:pPr>
    </w:p>
    <w:p w14:paraId="7D095E51">
      <w:pPr>
        <w:pStyle w:val="38"/>
        <w:ind w:firstLine="480"/>
      </w:pPr>
    </w:p>
    <w:p w14:paraId="04F6617F">
      <w:pPr>
        <w:pStyle w:val="38"/>
        <w:ind w:firstLine="480"/>
      </w:pPr>
    </w:p>
    <w:p w14:paraId="23737999">
      <w:pPr>
        <w:pStyle w:val="38"/>
        <w:ind w:firstLine="480"/>
      </w:pPr>
    </w:p>
    <w:p w14:paraId="34B16770">
      <w:pPr>
        <w:pStyle w:val="38"/>
        <w:ind w:firstLine="480"/>
      </w:pPr>
    </w:p>
    <w:p w14:paraId="6D4B619F">
      <w:pPr>
        <w:pStyle w:val="38"/>
        <w:ind w:firstLine="480"/>
      </w:pPr>
    </w:p>
    <w:p w14:paraId="4986064E">
      <w:pPr>
        <w:pStyle w:val="38"/>
        <w:ind w:firstLine="480"/>
      </w:pPr>
    </w:p>
    <w:p w14:paraId="38457671">
      <w:pPr>
        <w:pStyle w:val="38"/>
        <w:ind w:firstLine="480"/>
      </w:pPr>
    </w:p>
    <w:p w14:paraId="6504ABA6">
      <w:pPr>
        <w:pStyle w:val="38"/>
        <w:ind w:firstLine="480"/>
      </w:pPr>
    </w:p>
    <w:p w14:paraId="79FD2D1C">
      <w:pPr>
        <w:pStyle w:val="38"/>
        <w:ind w:firstLine="480"/>
      </w:pPr>
    </w:p>
    <w:p w14:paraId="0BA28789">
      <w:pPr>
        <w:pStyle w:val="38"/>
        <w:ind w:firstLine="480"/>
        <w:sectPr>
          <w:pgSz w:w="16838" w:h="11906" w:orient="landscape"/>
          <w:pgMar w:top="1800" w:right="1440" w:bottom="1800" w:left="1440" w:header="850" w:footer="964" w:gutter="0"/>
          <w:pgBorders>
            <w:top w:val="none" w:sz="0" w:space="0"/>
            <w:left w:val="none" w:sz="0" w:space="0"/>
            <w:bottom w:val="none" w:sz="0" w:space="0"/>
            <w:right w:val="none" w:sz="0" w:space="0"/>
          </w:pgBorders>
          <w:pgNumType w:fmt="numberInDash"/>
          <w:cols w:space="720" w:num="1"/>
          <w:docGrid w:type="lines" w:linePitch="326" w:charSpace="0"/>
        </w:sectPr>
      </w:pPr>
    </w:p>
    <w:p w14:paraId="6D8BB2FC">
      <w:pPr>
        <w:spacing w:line="240" w:lineRule="auto"/>
        <w:ind w:firstLine="480"/>
      </w:pPr>
      <w:r>
        <w:t>在建工程实施前后三本账分析见表</w:t>
      </w:r>
      <w:r>
        <w:rPr>
          <w:rFonts w:hint="eastAsia"/>
        </w:rPr>
        <w:t>4.3-20</w:t>
      </w:r>
      <w:r>
        <w:t>。</w:t>
      </w:r>
    </w:p>
    <w:p w14:paraId="5169B1BE">
      <w:pPr>
        <w:pStyle w:val="51"/>
        <w:widowControl w:val="0"/>
        <w:numPr>
          <w:ilvl w:val="5"/>
          <w:numId w:val="0"/>
        </w:numPr>
        <w:spacing w:before="156"/>
        <w:ind w:left="-2954" w:leftChars="0" w:hanging="282"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表3.2-16 </w:t>
      </w:r>
      <w:r>
        <w:rPr>
          <w:rFonts w:hint="eastAsia"/>
        </w:rPr>
        <w:t xml:space="preserve">    “三本账”情况分析      </w:t>
      </w:r>
      <w:r>
        <w:rPr>
          <w:rFonts w:hint="eastAsia"/>
          <w:sz w:val="18"/>
          <w:szCs w:val="18"/>
        </w:rPr>
        <w:t>单位：t/a</w:t>
      </w:r>
    </w:p>
    <w:tbl>
      <w:tblPr>
        <w:tblStyle w:val="3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1394"/>
        <w:gridCol w:w="1558"/>
        <w:gridCol w:w="1217"/>
        <w:gridCol w:w="1218"/>
        <w:gridCol w:w="1218"/>
        <w:gridCol w:w="1218"/>
      </w:tblGrid>
      <w:tr w14:paraId="72A89A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699" w:type="dxa"/>
            <w:tcBorders>
              <w:tl2br w:val="nil"/>
              <w:tr2bl w:val="nil"/>
            </w:tcBorders>
            <w:vAlign w:val="center"/>
          </w:tcPr>
          <w:p w14:paraId="572B5E11">
            <w:pPr>
              <w:pStyle w:val="64"/>
              <w:spacing w:line="240" w:lineRule="auto"/>
              <w:ind w:firstLine="0"/>
              <w:rPr>
                <w:sz w:val="21"/>
                <w:szCs w:val="21"/>
                <w:u w:val="single"/>
              </w:rPr>
            </w:pPr>
            <w:r>
              <w:rPr>
                <w:rFonts w:hint="eastAsia"/>
                <w:sz w:val="21"/>
                <w:szCs w:val="21"/>
                <w:u w:val="single"/>
              </w:rPr>
              <w:t>类别</w:t>
            </w:r>
          </w:p>
        </w:tc>
        <w:tc>
          <w:tcPr>
            <w:tcW w:w="1394" w:type="dxa"/>
            <w:tcBorders>
              <w:tl2br w:val="nil"/>
              <w:tr2bl w:val="nil"/>
            </w:tcBorders>
            <w:vAlign w:val="center"/>
          </w:tcPr>
          <w:p w14:paraId="6F89A027">
            <w:pPr>
              <w:pStyle w:val="64"/>
              <w:spacing w:line="240" w:lineRule="auto"/>
              <w:ind w:firstLine="0"/>
              <w:rPr>
                <w:sz w:val="21"/>
                <w:szCs w:val="21"/>
                <w:u w:val="single"/>
              </w:rPr>
            </w:pPr>
            <w:r>
              <w:rPr>
                <w:rFonts w:hint="eastAsia"/>
                <w:sz w:val="21"/>
                <w:szCs w:val="21"/>
                <w:u w:val="single"/>
              </w:rPr>
              <w:t>污染物名称</w:t>
            </w:r>
          </w:p>
        </w:tc>
        <w:tc>
          <w:tcPr>
            <w:tcW w:w="1558" w:type="dxa"/>
            <w:tcBorders>
              <w:tl2br w:val="nil"/>
              <w:tr2bl w:val="nil"/>
            </w:tcBorders>
            <w:vAlign w:val="center"/>
          </w:tcPr>
          <w:p w14:paraId="429FDA82">
            <w:pPr>
              <w:pStyle w:val="64"/>
              <w:spacing w:line="240" w:lineRule="auto"/>
              <w:ind w:firstLine="0"/>
              <w:rPr>
                <w:sz w:val="21"/>
                <w:szCs w:val="21"/>
                <w:u w:val="single"/>
              </w:rPr>
            </w:pPr>
            <w:r>
              <w:rPr>
                <w:rFonts w:hint="eastAsia"/>
                <w:sz w:val="21"/>
                <w:szCs w:val="21"/>
                <w:u w:val="single"/>
              </w:rPr>
              <w:t>已建工程排放量（1）</w:t>
            </w:r>
          </w:p>
        </w:tc>
        <w:tc>
          <w:tcPr>
            <w:tcW w:w="1217" w:type="dxa"/>
            <w:tcBorders>
              <w:tl2br w:val="nil"/>
              <w:tr2bl w:val="nil"/>
            </w:tcBorders>
            <w:vAlign w:val="center"/>
          </w:tcPr>
          <w:p w14:paraId="6CE84E1B">
            <w:pPr>
              <w:pStyle w:val="64"/>
              <w:spacing w:line="240" w:lineRule="auto"/>
              <w:ind w:firstLine="0"/>
              <w:rPr>
                <w:sz w:val="21"/>
                <w:szCs w:val="21"/>
                <w:u w:val="single"/>
              </w:rPr>
            </w:pPr>
            <w:r>
              <w:rPr>
                <w:rFonts w:hint="eastAsia"/>
                <w:sz w:val="21"/>
                <w:szCs w:val="21"/>
                <w:u w:val="single"/>
              </w:rPr>
              <w:t>在建工程排放量（2）</w:t>
            </w:r>
          </w:p>
        </w:tc>
        <w:tc>
          <w:tcPr>
            <w:tcW w:w="1218" w:type="dxa"/>
            <w:tcBorders>
              <w:tl2br w:val="nil"/>
              <w:tr2bl w:val="nil"/>
            </w:tcBorders>
            <w:vAlign w:val="center"/>
          </w:tcPr>
          <w:p w14:paraId="5323EBF1">
            <w:pPr>
              <w:pStyle w:val="64"/>
              <w:spacing w:line="240" w:lineRule="auto"/>
              <w:ind w:firstLine="0"/>
              <w:rPr>
                <w:sz w:val="21"/>
                <w:szCs w:val="21"/>
                <w:u w:val="single"/>
              </w:rPr>
            </w:pPr>
            <w:r>
              <w:rPr>
                <w:rFonts w:hint="eastAsia"/>
                <w:sz w:val="21"/>
                <w:szCs w:val="21"/>
                <w:u w:val="single"/>
              </w:rPr>
              <w:t>在建工程“以新带老”消减量（3）</w:t>
            </w:r>
          </w:p>
        </w:tc>
        <w:tc>
          <w:tcPr>
            <w:tcW w:w="1218" w:type="dxa"/>
            <w:tcBorders>
              <w:tl2br w:val="nil"/>
              <w:tr2bl w:val="nil"/>
            </w:tcBorders>
            <w:vAlign w:val="center"/>
          </w:tcPr>
          <w:p w14:paraId="14D67009">
            <w:pPr>
              <w:pStyle w:val="64"/>
              <w:spacing w:line="240" w:lineRule="auto"/>
              <w:ind w:firstLine="0"/>
              <w:rPr>
                <w:sz w:val="21"/>
                <w:szCs w:val="21"/>
                <w:u w:val="single"/>
              </w:rPr>
            </w:pPr>
            <w:r>
              <w:rPr>
                <w:rFonts w:hint="eastAsia"/>
                <w:sz w:val="21"/>
                <w:szCs w:val="21"/>
                <w:u w:val="single"/>
              </w:rPr>
              <w:t>在建工程完成后全厂排放量（4）</w:t>
            </w:r>
          </w:p>
        </w:tc>
        <w:tc>
          <w:tcPr>
            <w:tcW w:w="1218" w:type="dxa"/>
            <w:tcBorders>
              <w:tl2br w:val="nil"/>
              <w:tr2bl w:val="nil"/>
            </w:tcBorders>
            <w:vAlign w:val="center"/>
          </w:tcPr>
          <w:p w14:paraId="244EC8F1">
            <w:pPr>
              <w:pStyle w:val="64"/>
              <w:spacing w:line="240" w:lineRule="auto"/>
              <w:ind w:firstLine="0"/>
              <w:rPr>
                <w:sz w:val="21"/>
                <w:szCs w:val="21"/>
                <w:u w:val="single"/>
              </w:rPr>
            </w:pPr>
            <w:r>
              <w:rPr>
                <w:rFonts w:hint="eastAsia"/>
                <w:sz w:val="21"/>
                <w:szCs w:val="21"/>
                <w:u w:val="single"/>
              </w:rPr>
              <w:t>排放增减量（5）</w:t>
            </w:r>
          </w:p>
        </w:tc>
      </w:tr>
      <w:tr w14:paraId="040E32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1B15FC98">
            <w:pPr>
              <w:pStyle w:val="64"/>
              <w:spacing w:line="240" w:lineRule="auto"/>
              <w:ind w:firstLine="0"/>
              <w:rPr>
                <w:sz w:val="21"/>
                <w:szCs w:val="21"/>
                <w:u w:val="single"/>
              </w:rPr>
            </w:pPr>
            <w:r>
              <w:rPr>
                <w:rFonts w:hint="eastAsia"/>
                <w:sz w:val="21"/>
                <w:szCs w:val="21"/>
                <w:u w:val="single"/>
              </w:rPr>
              <w:t>废气</w:t>
            </w:r>
          </w:p>
        </w:tc>
        <w:tc>
          <w:tcPr>
            <w:tcW w:w="1394" w:type="dxa"/>
            <w:tcBorders>
              <w:tl2br w:val="nil"/>
              <w:tr2bl w:val="nil"/>
            </w:tcBorders>
            <w:vAlign w:val="center"/>
          </w:tcPr>
          <w:p w14:paraId="54FF564D">
            <w:pPr>
              <w:pStyle w:val="64"/>
              <w:spacing w:line="240" w:lineRule="auto"/>
              <w:ind w:firstLine="0"/>
              <w:rPr>
                <w:sz w:val="21"/>
                <w:szCs w:val="21"/>
                <w:u w:val="single"/>
              </w:rPr>
            </w:pPr>
            <w:r>
              <w:rPr>
                <w:rFonts w:hint="eastAsia"/>
                <w:sz w:val="21"/>
                <w:szCs w:val="21"/>
                <w:u w:val="single"/>
              </w:rPr>
              <w:t>挥发性有机物（有组织）</w:t>
            </w:r>
          </w:p>
        </w:tc>
        <w:tc>
          <w:tcPr>
            <w:tcW w:w="1558" w:type="dxa"/>
            <w:tcBorders>
              <w:tl2br w:val="nil"/>
              <w:tr2bl w:val="nil"/>
            </w:tcBorders>
            <w:vAlign w:val="center"/>
          </w:tcPr>
          <w:p w14:paraId="315436AA">
            <w:pPr>
              <w:pStyle w:val="64"/>
              <w:spacing w:line="240" w:lineRule="auto"/>
              <w:ind w:firstLine="0"/>
              <w:rPr>
                <w:sz w:val="21"/>
                <w:szCs w:val="21"/>
                <w:u w:val="single"/>
              </w:rPr>
            </w:pPr>
            <w:r>
              <w:rPr>
                <w:rFonts w:hint="eastAsia"/>
                <w:sz w:val="21"/>
                <w:szCs w:val="21"/>
                <w:u w:val="single"/>
              </w:rPr>
              <w:t>16.33</w:t>
            </w:r>
          </w:p>
        </w:tc>
        <w:tc>
          <w:tcPr>
            <w:tcW w:w="1217" w:type="dxa"/>
            <w:tcBorders>
              <w:tl2br w:val="nil"/>
              <w:tr2bl w:val="nil"/>
            </w:tcBorders>
            <w:vAlign w:val="center"/>
          </w:tcPr>
          <w:p w14:paraId="6C3CD3BD">
            <w:pPr>
              <w:pStyle w:val="64"/>
              <w:spacing w:line="240" w:lineRule="auto"/>
              <w:ind w:firstLine="0"/>
              <w:rPr>
                <w:sz w:val="21"/>
                <w:szCs w:val="21"/>
                <w:u w:val="single"/>
              </w:rPr>
            </w:pPr>
            <w:r>
              <w:rPr>
                <w:rFonts w:hint="eastAsia"/>
                <w:sz w:val="21"/>
                <w:szCs w:val="21"/>
                <w:u w:val="single"/>
              </w:rPr>
              <w:t>27.86</w:t>
            </w:r>
          </w:p>
        </w:tc>
        <w:tc>
          <w:tcPr>
            <w:tcW w:w="1218" w:type="dxa"/>
            <w:tcBorders>
              <w:tl2br w:val="nil"/>
              <w:tr2bl w:val="nil"/>
            </w:tcBorders>
            <w:vAlign w:val="center"/>
          </w:tcPr>
          <w:p w14:paraId="782F2D03">
            <w:pPr>
              <w:pStyle w:val="64"/>
              <w:spacing w:line="240" w:lineRule="auto"/>
              <w:ind w:firstLine="0"/>
              <w:rPr>
                <w:sz w:val="21"/>
                <w:szCs w:val="21"/>
                <w:u w:val="single"/>
              </w:rPr>
            </w:pPr>
            <w:r>
              <w:rPr>
                <w:rFonts w:hint="eastAsia"/>
                <w:sz w:val="21"/>
                <w:szCs w:val="21"/>
                <w:u w:val="single"/>
              </w:rPr>
              <w:t>16.33</w:t>
            </w:r>
          </w:p>
        </w:tc>
        <w:tc>
          <w:tcPr>
            <w:tcW w:w="1218" w:type="dxa"/>
            <w:tcBorders>
              <w:tl2br w:val="nil"/>
              <w:tr2bl w:val="nil"/>
            </w:tcBorders>
            <w:vAlign w:val="center"/>
          </w:tcPr>
          <w:p w14:paraId="472F95CF">
            <w:pPr>
              <w:pStyle w:val="64"/>
              <w:spacing w:line="240" w:lineRule="auto"/>
              <w:ind w:firstLine="0"/>
              <w:rPr>
                <w:sz w:val="21"/>
                <w:szCs w:val="21"/>
                <w:u w:val="single"/>
              </w:rPr>
            </w:pPr>
            <w:r>
              <w:rPr>
                <w:rFonts w:hint="eastAsia"/>
                <w:sz w:val="21"/>
                <w:szCs w:val="21"/>
                <w:u w:val="single"/>
              </w:rPr>
              <w:t>27.86</w:t>
            </w:r>
          </w:p>
        </w:tc>
        <w:tc>
          <w:tcPr>
            <w:tcW w:w="1218" w:type="dxa"/>
            <w:tcBorders>
              <w:tl2br w:val="nil"/>
              <w:tr2bl w:val="nil"/>
            </w:tcBorders>
            <w:vAlign w:val="center"/>
          </w:tcPr>
          <w:p w14:paraId="18E569B4">
            <w:pPr>
              <w:pStyle w:val="64"/>
              <w:spacing w:line="240" w:lineRule="auto"/>
              <w:ind w:firstLine="0"/>
              <w:rPr>
                <w:sz w:val="21"/>
                <w:szCs w:val="21"/>
                <w:u w:val="single"/>
              </w:rPr>
            </w:pPr>
            <w:r>
              <w:rPr>
                <w:rFonts w:hint="eastAsia"/>
                <w:sz w:val="21"/>
                <w:szCs w:val="21"/>
                <w:u w:val="single"/>
              </w:rPr>
              <w:t>+11.53</w:t>
            </w:r>
          </w:p>
        </w:tc>
      </w:tr>
      <w:tr w14:paraId="0DB31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33550BF">
            <w:pPr>
              <w:pStyle w:val="64"/>
              <w:spacing w:line="240" w:lineRule="auto"/>
              <w:ind w:firstLine="0"/>
              <w:rPr>
                <w:color w:val="FF0000"/>
                <w:sz w:val="21"/>
                <w:szCs w:val="21"/>
                <w:u w:val="single"/>
              </w:rPr>
            </w:pPr>
          </w:p>
        </w:tc>
        <w:tc>
          <w:tcPr>
            <w:tcW w:w="1394" w:type="dxa"/>
            <w:tcBorders>
              <w:tl2br w:val="nil"/>
              <w:tr2bl w:val="nil"/>
            </w:tcBorders>
            <w:vAlign w:val="center"/>
          </w:tcPr>
          <w:p w14:paraId="7B13D014">
            <w:pPr>
              <w:pStyle w:val="64"/>
              <w:spacing w:line="240" w:lineRule="auto"/>
              <w:ind w:firstLine="0"/>
              <w:rPr>
                <w:sz w:val="21"/>
                <w:szCs w:val="21"/>
                <w:u w:val="single"/>
              </w:rPr>
            </w:pPr>
            <w:r>
              <w:rPr>
                <w:rFonts w:hint="eastAsia"/>
                <w:sz w:val="21"/>
                <w:szCs w:val="21"/>
                <w:u w:val="single"/>
              </w:rPr>
              <w:t>挥发性有机物（无组织）</w:t>
            </w:r>
          </w:p>
        </w:tc>
        <w:tc>
          <w:tcPr>
            <w:tcW w:w="1558" w:type="dxa"/>
            <w:tcBorders>
              <w:tl2br w:val="nil"/>
              <w:tr2bl w:val="nil"/>
            </w:tcBorders>
            <w:vAlign w:val="center"/>
          </w:tcPr>
          <w:p w14:paraId="793D09E3">
            <w:pPr>
              <w:pStyle w:val="64"/>
              <w:spacing w:line="240" w:lineRule="auto"/>
              <w:ind w:firstLine="0"/>
              <w:rPr>
                <w:sz w:val="21"/>
                <w:szCs w:val="21"/>
                <w:u w:val="single"/>
              </w:rPr>
            </w:pPr>
            <w:r>
              <w:rPr>
                <w:rFonts w:hint="eastAsia"/>
                <w:sz w:val="21"/>
                <w:szCs w:val="21"/>
                <w:u w:val="single"/>
              </w:rPr>
              <w:t>0.06</w:t>
            </w:r>
          </w:p>
        </w:tc>
        <w:tc>
          <w:tcPr>
            <w:tcW w:w="1217" w:type="dxa"/>
            <w:tcBorders>
              <w:tl2br w:val="nil"/>
              <w:tr2bl w:val="nil"/>
            </w:tcBorders>
            <w:vAlign w:val="center"/>
          </w:tcPr>
          <w:p w14:paraId="25B29FB5">
            <w:pPr>
              <w:pStyle w:val="64"/>
              <w:spacing w:line="240" w:lineRule="auto"/>
              <w:ind w:firstLine="0"/>
              <w:rPr>
                <w:sz w:val="21"/>
                <w:szCs w:val="21"/>
                <w:u w:val="single"/>
              </w:rPr>
            </w:pPr>
            <w:r>
              <w:rPr>
                <w:rFonts w:hint="eastAsia"/>
                <w:sz w:val="21"/>
                <w:szCs w:val="21"/>
                <w:u w:val="single"/>
              </w:rPr>
              <w:t>7.56</w:t>
            </w:r>
          </w:p>
        </w:tc>
        <w:tc>
          <w:tcPr>
            <w:tcW w:w="1218" w:type="dxa"/>
            <w:tcBorders>
              <w:tl2br w:val="nil"/>
              <w:tr2bl w:val="nil"/>
            </w:tcBorders>
            <w:vAlign w:val="center"/>
          </w:tcPr>
          <w:p w14:paraId="446018CF">
            <w:pPr>
              <w:pStyle w:val="64"/>
              <w:spacing w:line="240" w:lineRule="auto"/>
              <w:ind w:firstLine="0"/>
              <w:rPr>
                <w:sz w:val="21"/>
                <w:szCs w:val="21"/>
                <w:u w:val="single"/>
              </w:rPr>
            </w:pPr>
            <w:r>
              <w:rPr>
                <w:rFonts w:hint="eastAsia"/>
                <w:sz w:val="21"/>
                <w:szCs w:val="21"/>
                <w:u w:val="single"/>
              </w:rPr>
              <w:t>0.06</w:t>
            </w:r>
          </w:p>
        </w:tc>
        <w:tc>
          <w:tcPr>
            <w:tcW w:w="1218" w:type="dxa"/>
            <w:tcBorders>
              <w:tl2br w:val="nil"/>
              <w:tr2bl w:val="nil"/>
            </w:tcBorders>
            <w:vAlign w:val="center"/>
          </w:tcPr>
          <w:p w14:paraId="70FA57D3">
            <w:pPr>
              <w:pStyle w:val="64"/>
              <w:spacing w:line="240" w:lineRule="auto"/>
              <w:ind w:firstLine="0"/>
              <w:rPr>
                <w:sz w:val="21"/>
                <w:szCs w:val="21"/>
                <w:u w:val="single"/>
              </w:rPr>
            </w:pPr>
            <w:r>
              <w:rPr>
                <w:rFonts w:hint="eastAsia"/>
                <w:sz w:val="21"/>
                <w:szCs w:val="21"/>
                <w:u w:val="single"/>
              </w:rPr>
              <w:t>7.56</w:t>
            </w:r>
          </w:p>
        </w:tc>
        <w:tc>
          <w:tcPr>
            <w:tcW w:w="1218" w:type="dxa"/>
            <w:tcBorders>
              <w:tl2br w:val="nil"/>
              <w:tr2bl w:val="nil"/>
            </w:tcBorders>
            <w:vAlign w:val="center"/>
          </w:tcPr>
          <w:p w14:paraId="02F7B8F2">
            <w:pPr>
              <w:pStyle w:val="64"/>
              <w:spacing w:line="240" w:lineRule="auto"/>
              <w:ind w:firstLine="0"/>
              <w:rPr>
                <w:sz w:val="21"/>
                <w:szCs w:val="21"/>
                <w:u w:val="single"/>
              </w:rPr>
            </w:pPr>
            <w:r>
              <w:rPr>
                <w:rFonts w:hint="eastAsia"/>
                <w:sz w:val="21"/>
                <w:szCs w:val="21"/>
                <w:u w:val="single"/>
              </w:rPr>
              <w:t>+7.5</w:t>
            </w:r>
          </w:p>
        </w:tc>
      </w:tr>
      <w:tr w14:paraId="13FC50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B5CE6C2">
            <w:pPr>
              <w:pStyle w:val="64"/>
              <w:spacing w:line="240" w:lineRule="auto"/>
              <w:ind w:firstLine="0"/>
              <w:rPr>
                <w:color w:val="FF0000"/>
                <w:sz w:val="21"/>
                <w:szCs w:val="21"/>
                <w:u w:val="single"/>
              </w:rPr>
            </w:pPr>
          </w:p>
        </w:tc>
        <w:tc>
          <w:tcPr>
            <w:tcW w:w="1394" w:type="dxa"/>
            <w:tcBorders>
              <w:tl2br w:val="nil"/>
              <w:tr2bl w:val="nil"/>
            </w:tcBorders>
            <w:vAlign w:val="center"/>
          </w:tcPr>
          <w:p w14:paraId="6AAEF0A0">
            <w:pPr>
              <w:pStyle w:val="64"/>
              <w:spacing w:line="240" w:lineRule="auto"/>
              <w:ind w:firstLine="0"/>
              <w:rPr>
                <w:sz w:val="21"/>
                <w:szCs w:val="21"/>
                <w:u w:val="single"/>
              </w:rPr>
            </w:pPr>
            <w:r>
              <w:rPr>
                <w:rFonts w:hint="eastAsia"/>
                <w:sz w:val="21"/>
                <w:szCs w:val="21"/>
                <w:u w:val="single"/>
              </w:rPr>
              <w:t>挥发性有机物（合计）</w:t>
            </w:r>
          </w:p>
        </w:tc>
        <w:tc>
          <w:tcPr>
            <w:tcW w:w="1558" w:type="dxa"/>
            <w:tcBorders>
              <w:tl2br w:val="nil"/>
              <w:tr2bl w:val="nil"/>
            </w:tcBorders>
            <w:vAlign w:val="center"/>
          </w:tcPr>
          <w:p w14:paraId="0707F03F">
            <w:pPr>
              <w:pStyle w:val="64"/>
              <w:spacing w:line="240" w:lineRule="auto"/>
              <w:ind w:firstLine="0"/>
              <w:rPr>
                <w:sz w:val="21"/>
                <w:szCs w:val="21"/>
                <w:u w:val="single"/>
              </w:rPr>
            </w:pPr>
            <w:r>
              <w:rPr>
                <w:rFonts w:hint="eastAsia"/>
                <w:sz w:val="21"/>
                <w:szCs w:val="21"/>
                <w:u w:val="single"/>
              </w:rPr>
              <w:t>16.39</w:t>
            </w:r>
          </w:p>
        </w:tc>
        <w:tc>
          <w:tcPr>
            <w:tcW w:w="1217" w:type="dxa"/>
            <w:tcBorders>
              <w:tl2br w:val="nil"/>
              <w:tr2bl w:val="nil"/>
            </w:tcBorders>
            <w:vAlign w:val="center"/>
          </w:tcPr>
          <w:p w14:paraId="47398C14">
            <w:pPr>
              <w:pStyle w:val="64"/>
              <w:spacing w:line="240" w:lineRule="auto"/>
              <w:ind w:firstLine="0"/>
              <w:rPr>
                <w:sz w:val="21"/>
                <w:szCs w:val="21"/>
                <w:u w:val="single"/>
              </w:rPr>
            </w:pPr>
            <w:r>
              <w:rPr>
                <w:rFonts w:hint="eastAsia"/>
                <w:sz w:val="21"/>
                <w:szCs w:val="21"/>
                <w:u w:val="single"/>
              </w:rPr>
              <w:t>35.42</w:t>
            </w:r>
          </w:p>
        </w:tc>
        <w:tc>
          <w:tcPr>
            <w:tcW w:w="1218" w:type="dxa"/>
            <w:tcBorders>
              <w:tl2br w:val="nil"/>
              <w:tr2bl w:val="nil"/>
            </w:tcBorders>
            <w:vAlign w:val="center"/>
          </w:tcPr>
          <w:p w14:paraId="7AFC532E">
            <w:pPr>
              <w:pStyle w:val="64"/>
              <w:spacing w:line="240" w:lineRule="auto"/>
              <w:ind w:firstLine="0"/>
              <w:rPr>
                <w:sz w:val="21"/>
                <w:szCs w:val="21"/>
                <w:u w:val="single"/>
              </w:rPr>
            </w:pPr>
            <w:r>
              <w:rPr>
                <w:rFonts w:hint="eastAsia"/>
                <w:sz w:val="21"/>
                <w:szCs w:val="21"/>
                <w:u w:val="single"/>
              </w:rPr>
              <w:t>16.39</w:t>
            </w:r>
          </w:p>
        </w:tc>
        <w:tc>
          <w:tcPr>
            <w:tcW w:w="1218" w:type="dxa"/>
            <w:tcBorders>
              <w:tl2br w:val="nil"/>
              <w:tr2bl w:val="nil"/>
            </w:tcBorders>
            <w:vAlign w:val="center"/>
          </w:tcPr>
          <w:p w14:paraId="38276DD9">
            <w:pPr>
              <w:pStyle w:val="64"/>
              <w:spacing w:line="240" w:lineRule="auto"/>
              <w:ind w:firstLine="0"/>
              <w:rPr>
                <w:sz w:val="21"/>
                <w:szCs w:val="21"/>
                <w:u w:val="single"/>
              </w:rPr>
            </w:pPr>
            <w:r>
              <w:rPr>
                <w:rFonts w:hint="eastAsia"/>
                <w:sz w:val="21"/>
                <w:szCs w:val="21"/>
                <w:u w:val="single"/>
              </w:rPr>
              <w:t>35.42</w:t>
            </w:r>
          </w:p>
        </w:tc>
        <w:tc>
          <w:tcPr>
            <w:tcW w:w="1218" w:type="dxa"/>
            <w:tcBorders>
              <w:tl2br w:val="nil"/>
              <w:tr2bl w:val="nil"/>
            </w:tcBorders>
            <w:vAlign w:val="center"/>
          </w:tcPr>
          <w:p w14:paraId="72331C96">
            <w:pPr>
              <w:pStyle w:val="64"/>
              <w:spacing w:line="240" w:lineRule="auto"/>
              <w:ind w:firstLine="0"/>
              <w:rPr>
                <w:sz w:val="21"/>
                <w:szCs w:val="21"/>
                <w:u w:val="single"/>
              </w:rPr>
            </w:pPr>
            <w:r>
              <w:rPr>
                <w:rFonts w:hint="eastAsia"/>
                <w:sz w:val="21"/>
                <w:szCs w:val="21"/>
                <w:u w:val="single"/>
              </w:rPr>
              <w:t>+19.03</w:t>
            </w:r>
          </w:p>
        </w:tc>
      </w:tr>
      <w:tr w14:paraId="3C3D56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EB10782">
            <w:pPr>
              <w:pStyle w:val="64"/>
              <w:spacing w:line="240" w:lineRule="auto"/>
              <w:ind w:firstLine="0"/>
              <w:rPr>
                <w:color w:val="FF0000"/>
                <w:sz w:val="21"/>
                <w:szCs w:val="21"/>
                <w:u w:val="single"/>
              </w:rPr>
            </w:pPr>
          </w:p>
        </w:tc>
        <w:tc>
          <w:tcPr>
            <w:tcW w:w="1394" w:type="dxa"/>
            <w:tcBorders>
              <w:tl2br w:val="nil"/>
              <w:tr2bl w:val="nil"/>
            </w:tcBorders>
            <w:vAlign w:val="center"/>
          </w:tcPr>
          <w:p w14:paraId="32A9F684">
            <w:pPr>
              <w:pStyle w:val="64"/>
              <w:spacing w:line="240" w:lineRule="auto"/>
              <w:ind w:firstLine="0"/>
              <w:rPr>
                <w:sz w:val="21"/>
                <w:szCs w:val="21"/>
                <w:u w:val="single"/>
              </w:rPr>
            </w:pPr>
            <w:r>
              <w:rPr>
                <w:rFonts w:hint="eastAsia"/>
                <w:sz w:val="21"/>
                <w:szCs w:val="21"/>
                <w:u w:val="single"/>
              </w:rPr>
              <w:t>烟尘</w:t>
            </w:r>
          </w:p>
        </w:tc>
        <w:tc>
          <w:tcPr>
            <w:tcW w:w="1558" w:type="dxa"/>
            <w:tcBorders>
              <w:tl2br w:val="nil"/>
              <w:tr2bl w:val="nil"/>
            </w:tcBorders>
            <w:vAlign w:val="center"/>
          </w:tcPr>
          <w:p w14:paraId="75B76517">
            <w:pPr>
              <w:pStyle w:val="64"/>
              <w:spacing w:line="240" w:lineRule="auto"/>
              <w:ind w:firstLine="0"/>
              <w:rPr>
                <w:sz w:val="21"/>
                <w:szCs w:val="21"/>
                <w:u w:val="single"/>
              </w:rPr>
            </w:pPr>
            <w:r>
              <w:rPr>
                <w:rFonts w:hint="eastAsia"/>
                <w:sz w:val="21"/>
                <w:szCs w:val="21"/>
                <w:u w:val="single"/>
              </w:rPr>
              <w:t>0.11</w:t>
            </w:r>
          </w:p>
        </w:tc>
        <w:tc>
          <w:tcPr>
            <w:tcW w:w="1217" w:type="dxa"/>
            <w:tcBorders>
              <w:tl2br w:val="nil"/>
              <w:tr2bl w:val="nil"/>
            </w:tcBorders>
            <w:vAlign w:val="center"/>
          </w:tcPr>
          <w:p w14:paraId="70582C1A">
            <w:pPr>
              <w:pStyle w:val="64"/>
              <w:spacing w:line="240" w:lineRule="auto"/>
              <w:ind w:firstLine="0"/>
              <w:rPr>
                <w:sz w:val="21"/>
                <w:szCs w:val="21"/>
                <w:u w:val="single"/>
              </w:rPr>
            </w:pPr>
            <w:r>
              <w:rPr>
                <w:rFonts w:hint="eastAsia"/>
                <w:sz w:val="21"/>
                <w:szCs w:val="21"/>
                <w:u w:val="single"/>
              </w:rPr>
              <w:t>0.21</w:t>
            </w:r>
          </w:p>
        </w:tc>
        <w:tc>
          <w:tcPr>
            <w:tcW w:w="1218" w:type="dxa"/>
            <w:tcBorders>
              <w:tl2br w:val="nil"/>
              <w:tr2bl w:val="nil"/>
            </w:tcBorders>
            <w:vAlign w:val="center"/>
          </w:tcPr>
          <w:p w14:paraId="63B7870F">
            <w:pPr>
              <w:pStyle w:val="64"/>
              <w:spacing w:line="240" w:lineRule="auto"/>
              <w:ind w:firstLine="0"/>
              <w:rPr>
                <w:sz w:val="21"/>
                <w:szCs w:val="21"/>
                <w:u w:val="single"/>
              </w:rPr>
            </w:pPr>
            <w:r>
              <w:rPr>
                <w:rFonts w:hint="eastAsia"/>
                <w:sz w:val="21"/>
                <w:szCs w:val="21"/>
                <w:u w:val="single"/>
              </w:rPr>
              <w:t>0.11</w:t>
            </w:r>
          </w:p>
        </w:tc>
        <w:tc>
          <w:tcPr>
            <w:tcW w:w="1218" w:type="dxa"/>
            <w:tcBorders>
              <w:tl2br w:val="nil"/>
              <w:tr2bl w:val="nil"/>
            </w:tcBorders>
            <w:vAlign w:val="center"/>
          </w:tcPr>
          <w:p w14:paraId="3FF0D8BE">
            <w:pPr>
              <w:pStyle w:val="64"/>
              <w:spacing w:line="240" w:lineRule="auto"/>
              <w:ind w:firstLine="0"/>
              <w:rPr>
                <w:sz w:val="21"/>
                <w:szCs w:val="21"/>
                <w:u w:val="single"/>
              </w:rPr>
            </w:pPr>
            <w:r>
              <w:rPr>
                <w:rFonts w:hint="eastAsia"/>
                <w:sz w:val="21"/>
                <w:szCs w:val="21"/>
                <w:u w:val="single"/>
              </w:rPr>
              <w:t>0.21</w:t>
            </w:r>
          </w:p>
        </w:tc>
        <w:tc>
          <w:tcPr>
            <w:tcW w:w="1218" w:type="dxa"/>
            <w:tcBorders>
              <w:tl2br w:val="nil"/>
              <w:tr2bl w:val="nil"/>
            </w:tcBorders>
            <w:vAlign w:val="center"/>
          </w:tcPr>
          <w:p w14:paraId="31E01F8E">
            <w:pPr>
              <w:pStyle w:val="64"/>
              <w:spacing w:line="240" w:lineRule="auto"/>
              <w:ind w:firstLine="0"/>
              <w:rPr>
                <w:sz w:val="21"/>
                <w:szCs w:val="21"/>
                <w:u w:val="single"/>
              </w:rPr>
            </w:pPr>
            <w:r>
              <w:rPr>
                <w:rFonts w:hint="eastAsia"/>
                <w:sz w:val="21"/>
                <w:szCs w:val="21"/>
                <w:u w:val="single"/>
              </w:rPr>
              <w:t>+0.1</w:t>
            </w:r>
          </w:p>
        </w:tc>
      </w:tr>
      <w:tr w14:paraId="1AF9BB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43B076B">
            <w:pPr>
              <w:pStyle w:val="64"/>
              <w:spacing w:line="240" w:lineRule="auto"/>
              <w:ind w:firstLine="0"/>
              <w:rPr>
                <w:color w:val="FF0000"/>
                <w:sz w:val="21"/>
                <w:szCs w:val="21"/>
                <w:u w:val="single"/>
              </w:rPr>
            </w:pPr>
          </w:p>
        </w:tc>
        <w:tc>
          <w:tcPr>
            <w:tcW w:w="1394" w:type="dxa"/>
            <w:tcBorders>
              <w:tl2br w:val="nil"/>
              <w:tr2bl w:val="nil"/>
            </w:tcBorders>
            <w:vAlign w:val="center"/>
          </w:tcPr>
          <w:p w14:paraId="6CF7466F">
            <w:pPr>
              <w:pStyle w:val="64"/>
              <w:spacing w:line="240" w:lineRule="auto"/>
              <w:ind w:firstLine="0"/>
              <w:rPr>
                <w:sz w:val="21"/>
                <w:szCs w:val="21"/>
                <w:u w:val="single"/>
              </w:rPr>
            </w:pPr>
            <w:r>
              <w:rPr>
                <w:rFonts w:hint="eastAsia"/>
                <w:sz w:val="21"/>
                <w:szCs w:val="21"/>
                <w:u w:val="single"/>
              </w:rPr>
              <w:t>SO</w:t>
            </w:r>
            <w:r>
              <w:rPr>
                <w:rFonts w:hint="eastAsia"/>
                <w:sz w:val="21"/>
                <w:szCs w:val="21"/>
                <w:u w:val="single"/>
                <w:vertAlign w:val="subscript"/>
              </w:rPr>
              <w:t>2</w:t>
            </w:r>
          </w:p>
        </w:tc>
        <w:tc>
          <w:tcPr>
            <w:tcW w:w="1558" w:type="dxa"/>
            <w:tcBorders>
              <w:tl2br w:val="nil"/>
              <w:tr2bl w:val="nil"/>
            </w:tcBorders>
            <w:vAlign w:val="center"/>
          </w:tcPr>
          <w:p w14:paraId="4B07F665">
            <w:pPr>
              <w:pStyle w:val="64"/>
              <w:spacing w:line="240" w:lineRule="auto"/>
              <w:ind w:firstLine="0"/>
              <w:rPr>
                <w:sz w:val="21"/>
                <w:szCs w:val="21"/>
                <w:u w:val="single"/>
              </w:rPr>
            </w:pPr>
            <w:r>
              <w:rPr>
                <w:rFonts w:hint="eastAsia"/>
                <w:sz w:val="21"/>
                <w:szCs w:val="21"/>
                <w:u w:val="single"/>
              </w:rPr>
              <w:t>0.08</w:t>
            </w:r>
          </w:p>
        </w:tc>
        <w:tc>
          <w:tcPr>
            <w:tcW w:w="1217" w:type="dxa"/>
            <w:tcBorders>
              <w:tl2br w:val="nil"/>
              <w:tr2bl w:val="nil"/>
            </w:tcBorders>
            <w:vAlign w:val="center"/>
          </w:tcPr>
          <w:p w14:paraId="5DFD2FA7">
            <w:pPr>
              <w:pStyle w:val="64"/>
              <w:spacing w:line="240" w:lineRule="auto"/>
              <w:ind w:firstLine="0"/>
              <w:rPr>
                <w:sz w:val="21"/>
                <w:szCs w:val="21"/>
                <w:u w:val="single"/>
              </w:rPr>
            </w:pPr>
            <w:r>
              <w:rPr>
                <w:rFonts w:hint="eastAsia"/>
                <w:sz w:val="21"/>
                <w:szCs w:val="21"/>
                <w:u w:val="single"/>
              </w:rPr>
              <w:t>0.15</w:t>
            </w:r>
          </w:p>
        </w:tc>
        <w:tc>
          <w:tcPr>
            <w:tcW w:w="1218" w:type="dxa"/>
            <w:tcBorders>
              <w:tl2br w:val="nil"/>
              <w:tr2bl w:val="nil"/>
            </w:tcBorders>
            <w:vAlign w:val="center"/>
          </w:tcPr>
          <w:p w14:paraId="19AFBE2B">
            <w:pPr>
              <w:pStyle w:val="64"/>
              <w:spacing w:line="240" w:lineRule="auto"/>
              <w:ind w:firstLine="0"/>
              <w:rPr>
                <w:sz w:val="21"/>
                <w:szCs w:val="21"/>
                <w:u w:val="single"/>
              </w:rPr>
            </w:pPr>
            <w:r>
              <w:rPr>
                <w:rFonts w:hint="eastAsia"/>
                <w:sz w:val="21"/>
                <w:szCs w:val="21"/>
                <w:u w:val="single"/>
              </w:rPr>
              <w:t>0.08</w:t>
            </w:r>
          </w:p>
        </w:tc>
        <w:tc>
          <w:tcPr>
            <w:tcW w:w="1218" w:type="dxa"/>
            <w:tcBorders>
              <w:tl2br w:val="nil"/>
              <w:tr2bl w:val="nil"/>
            </w:tcBorders>
            <w:vAlign w:val="center"/>
          </w:tcPr>
          <w:p w14:paraId="1D13E062">
            <w:pPr>
              <w:pStyle w:val="64"/>
              <w:spacing w:line="240" w:lineRule="auto"/>
              <w:ind w:firstLine="0"/>
              <w:rPr>
                <w:sz w:val="21"/>
                <w:szCs w:val="21"/>
                <w:u w:val="single"/>
              </w:rPr>
            </w:pPr>
            <w:r>
              <w:rPr>
                <w:rFonts w:hint="eastAsia"/>
                <w:sz w:val="21"/>
                <w:szCs w:val="21"/>
                <w:u w:val="single"/>
              </w:rPr>
              <w:t>0.15</w:t>
            </w:r>
          </w:p>
        </w:tc>
        <w:tc>
          <w:tcPr>
            <w:tcW w:w="1218" w:type="dxa"/>
            <w:tcBorders>
              <w:tl2br w:val="nil"/>
              <w:tr2bl w:val="nil"/>
            </w:tcBorders>
            <w:vAlign w:val="center"/>
          </w:tcPr>
          <w:p w14:paraId="59FBBC87">
            <w:pPr>
              <w:pStyle w:val="64"/>
              <w:spacing w:line="240" w:lineRule="auto"/>
              <w:ind w:firstLine="0"/>
              <w:rPr>
                <w:sz w:val="21"/>
                <w:szCs w:val="21"/>
                <w:u w:val="single"/>
              </w:rPr>
            </w:pPr>
            <w:r>
              <w:rPr>
                <w:rFonts w:hint="eastAsia"/>
                <w:sz w:val="21"/>
                <w:szCs w:val="21"/>
                <w:u w:val="single"/>
              </w:rPr>
              <w:t>+0.07</w:t>
            </w:r>
          </w:p>
        </w:tc>
      </w:tr>
      <w:tr w14:paraId="3C9B82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0BAC1ADD">
            <w:pPr>
              <w:pStyle w:val="64"/>
              <w:spacing w:line="240" w:lineRule="auto"/>
              <w:ind w:firstLine="0"/>
              <w:rPr>
                <w:color w:val="FF0000"/>
                <w:sz w:val="21"/>
                <w:szCs w:val="21"/>
                <w:u w:val="single"/>
              </w:rPr>
            </w:pPr>
          </w:p>
        </w:tc>
        <w:tc>
          <w:tcPr>
            <w:tcW w:w="1394" w:type="dxa"/>
            <w:tcBorders>
              <w:tl2br w:val="nil"/>
              <w:tr2bl w:val="nil"/>
            </w:tcBorders>
            <w:vAlign w:val="center"/>
          </w:tcPr>
          <w:p w14:paraId="7E85B937">
            <w:pPr>
              <w:pStyle w:val="64"/>
              <w:spacing w:line="240" w:lineRule="auto"/>
              <w:ind w:firstLine="0"/>
              <w:rPr>
                <w:sz w:val="21"/>
                <w:szCs w:val="21"/>
                <w:u w:val="single"/>
              </w:rPr>
            </w:pPr>
            <w:r>
              <w:rPr>
                <w:rFonts w:hint="eastAsia"/>
                <w:sz w:val="21"/>
                <w:szCs w:val="21"/>
                <w:u w:val="single"/>
              </w:rPr>
              <w:t>NO</w:t>
            </w:r>
            <w:r>
              <w:rPr>
                <w:rFonts w:hint="eastAsia"/>
                <w:sz w:val="21"/>
                <w:szCs w:val="21"/>
                <w:u w:val="single"/>
                <w:vertAlign w:val="subscript"/>
              </w:rPr>
              <w:t>2</w:t>
            </w:r>
          </w:p>
        </w:tc>
        <w:tc>
          <w:tcPr>
            <w:tcW w:w="1558" w:type="dxa"/>
            <w:tcBorders>
              <w:tl2br w:val="nil"/>
              <w:tr2bl w:val="nil"/>
            </w:tcBorders>
            <w:vAlign w:val="center"/>
          </w:tcPr>
          <w:p w14:paraId="50CFEDC4">
            <w:pPr>
              <w:pStyle w:val="64"/>
              <w:spacing w:line="240" w:lineRule="auto"/>
              <w:ind w:firstLine="0"/>
              <w:rPr>
                <w:sz w:val="21"/>
                <w:szCs w:val="21"/>
                <w:u w:val="single"/>
              </w:rPr>
            </w:pPr>
            <w:r>
              <w:rPr>
                <w:rFonts w:hint="eastAsia"/>
                <w:sz w:val="21"/>
                <w:szCs w:val="21"/>
                <w:u w:val="single"/>
              </w:rPr>
              <w:t>0.37</w:t>
            </w:r>
          </w:p>
        </w:tc>
        <w:tc>
          <w:tcPr>
            <w:tcW w:w="1217" w:type="dxa"/>
            <w:tcBorders>
              <w:tl2br w:val="nil"/>
              <w:tr2bl w:val="nil"/>
            </w:tcBorders>
            <w:vAlign w:val="center"/>
          </w:tcPr>
          <w:p w14:paraId="72C8BFBF">
            <w:pPr>
              <w:pStyle w:val="64"/>
              <w:spacing w:line="240" w:lineRule="auto"/>
              <w:ind w:firstLine="0"/>
              <w:rPr>
                <w:sz w:val="21"/>
                <w:szCs w:val="21"/>
                <w:u w:val="single"/>
              </w:rPr>
            </w:pPr>
            <w:r>
              <w:rPr>
                <w:rFonts w:hint="eastAsia"/>
                <w:sz w:val="21"/>
                <w:szCs w:val="21"/>
                <w:u w:val="single"/>
              </w:rPr>
              <w:t>1.09</w:t>
            </w:r>
          </w:p>
        </w:tc>
        <w:tc>
          <w:tcPr>
            <w:tcW w:w="1218" w:type="dxa"/>
            <w:tcBorders>
              <w:tl2br w:val="nil"/>
              <w:tr2bl w:val="nil"/>
            </w:tcBorders>
            <w:vAlign w:val="center"/>
          </w:tcPr>
          <w:p w14:paraId="0DA1314A">
            <w:pPr>
              <w:pStyle w:val="64"/>
              <w:spacing w:line="240" w:lineRule="auto"/>
              <w:ind w:firstLine="0"/>
              <w:rPr>
                <w:sz w:val="21"/>
                <w:szCs w:val="21"/>
                <w:u w:val="single"/>
              </w:rPr>
            </w:pPr>
            <w:r>
              <w:rPr>
                <w:rFonts w:hint="eastAsia"/>
                <w:sz w:val="21"/>
                <w:szCs w:val="21"/>
                <w:u w:val="single"/>
              </w:rPr>
              <w:t>0.37</w:t>
            </w:r>
          </w:p>
        </w:tc>
        <w:tc>
          <w:tcPr>
            <w:tcW w:w="1218" w:type="dxa"/>
            <w:tcBorders>
              <w:tl2br w:val="nil"/>
              <w:tr2bl w:val="nil"/>
            </w:tcBorders>
            <w:vAlign w:val="center"/>
          </w:tcPr>
          <w:p w14:paraId="08644CB8">
            <w:pPr>
              <w:pStyle w:val="64"/>
              <w:spacing w:line="240" w:lineRule="auto"/>
              <w:ind w:firstLine="0"/>
              <w:rPr>
                <w:sz w:val="21"/>
                <w:szCs w:val="21"/>
                <w:u w:val="single"/>
              </w:rPr>
            </w:pPr>
            <w:r>
              <w:rPr>
                <w:rFonts w:hint="eastAsia"/>
                <w:sz w:val="21"/>
                <w:szCs w:val="21"/>
                <w:u w:val="single"/>
              </w:rPr>
              <w:t>1.09</w:t>
            </w:r>
          </w:p>
        </w:tc>
        <w:tc>
          <w:tcPr>
            <w:tcW w:w="1218" w:type="dxa"/>
            <w:tcBorders>
              <w:tl2br w:val="nil"/>
              <w:tr2bl w:val="nil"/>
            </w:tcBorders>
            <w:vAlign w:val="center"/>
          </w:tcPr>
          <w:p w14:paraId="565A3545">
            <w:pPr>
              <w:pStyle w:val="64"/>
              <w:spacing w:line="240" w:lineRule="auto"/>
              <w:ind w:firstLine="0"/>
              <w:rPr>
                <w:sz w:val="21"/>
                <w:szCs w:val="21"/>
                <w:u w:val="single"/>
              </w:rPr>
            </w:pPr>
            <w:r>
              <w:rPr>
                <w:rFonts w:hint="eastAsia"/>
                <w:sz w:val="21"/>
                <w:szCs w:val="21"/>
                <w:u w:val="single"/>
              </w:rPr>
              <w:t>+0.72</w:t>
            </w:r>
          </w:p>
        </w:tc>
      </w:tr>
      <w:tr w14:paraId="06A8E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232CBBFD">
            <w:pPr>
              <w:pStyle w:val="64"/>
              <w:spacing w:line="240" w:lineRule="auto"/>
              <w:ind w:firstLine="0"/>
              <w:rPr>
                <w:sz w:val="21"/>
                <w:szCs w:val="21"/>
                <w:u w:val="single"/>
              </w:rPr>
            </w:pPr>
            <w:r>
              <w:rPr>
                <w:rFonts w:hint="eastAsia"/>
                <w:sz w:val="21"/>
                <w:szCs w:val="21"/>
                <w:u w:val="single"/>
              </w:rPr>
              <w:t>废水（生活污水）</w:t>
            </w:r>
          </w:p>
        </w:tc>
        <w:tc>
          <w:tcPr>
            <w:tcW w:w="1394" w:type="dxa"/>
            <w:tcBorders>
              <w:tl2br w:val="nil"/>
              <w:tr2bl w:val="nil"/>
            </w:tcBorders>
            <w:vAlign w:val="center"/>
          </w:tcPr>
          <w:p w14:paraId="5D4F908A">
            <w:pPr>
              <w:pStyle w:val="64"/>
              <w:spacing w:line="240" w:lineRule="auto"/>
              <w:ind w:firstLine="0"/>
              <w:rPr>
                <w:sz w:val="21"/>
                <w:szCs w:val="21"/>
                <w:u w:val="single"/>
              </w:rPr>
            </w:pPr>
            <w:r>
              <w:rPr>
                <w:rFonts w:hint="eastAsia"/>
                <w:sz w:val="21"/>
                <w:szCs w:val="21"/>
                <w:u w:val="single"/>
              </w:rPr>
              <w:t>废水量</w:t>
            </w:r>
          </w:p>
        </w:tc>
        <w:tc>
          <w:tcPr>
            <w:tcW w:w="1558" w:type="dxa"/>
            <w:tcBorders>
              <w:tl2br w:val="nil"/>
              <w:tr2bl w:val="nil"/>
            </w:tcBorders>
            <w:vAlign w:val="center"/>
          </w:tcPr>
          <w:p w14:paraId="4096324D">
            <w:pPr>
              <w:pStyle w:val="64"/>
              <w:spacing w:line="240" w:lineRule="auto"/>
              <w:ind w:firstLine="0"/>
              <w:rPr>
                <w:sz w:val="21"/>
                <w:szCs w:val="21"/>
                <w:u w:val="single"/>
              </w:rPr>
            </w:pPr>
            <w:r>
              <w:rPr>
                <w:rFonts w:hint="eastAsia"/>
                <w:sz w:val="21"/>
                <w:szCs w:val="21"/>
                <w:u w:val="single"/>
              </w:rPr>
              <w:t>5184</w:t>
            </w:r>
          </w:p>
        </w:tc>
        <w:tc>
          <w:tcPr>
            <w:tcW w:w="1217" w:type="dxa"/>
            <w:tcBorders>
              <w:tl2br w:val="nil"/>
              <w:tr2bl w:val="nil"/>
            </w:tcBorders>
            <w:vAlign w:val="center"/>
          </w:tcPr>
          <w:p w14:paraId="1B139579">
            <w:pPr>
              <w:pStyle w:val="64"/>
              <w:spacing w:line="240" w:lineRule="auto"/>
              <w:ind w:firstLine="0"/>
              <w:rPr>
                <w:sz w:val="21"/>
                <w:szCs w:val="21"/>
                <w:u w:val="single"/>
              </w:rPr>
            </w:pPr>
            <w:r>
              <w:rPr>
                <w:rFonts w:hint="eastAsia"/>
                <w:sz w:val="21"/>
                <w:szCs w:val="21"/>
                <w:u w:val="single"/>
              </w:rPr>
              <w:t>2158.4</w:t>
            </w:r>
          </w:p>
        </w:tc>
        <w:tc>
          <w:tcPr>
            <w:tcW w:w="1218" w:type="dxa"/>
            <w:tcBorders>
              <w:tl2br w:val="nil"/>
              <w:tr2bl w:val="nil"/>
            </w:tcBorders>
            <w:vAlign w:val="center"/>
          </w:tcPr>
          <w:p w14:paraId="3357CE68">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672B640">
            <w:pPr>
              <w:pStyle w:val="64"/>
              <w:spacing w:line="240" w:lineRule="auto"/>
              <w:ind w:firstLine="0"/>
              <w:rPr>
                <w:sz w:val="21"/>
                <w:szCs w:val="21"/>
                <w:u w:val="single"/>
              </w:rPr>
            </w:pPr>
            <w:r>
              <w:rPr>
                <w:rFonts w:hint="eastAsia"/>
                <w:sz w:val="21"/>
                <w:szCs w:val="21"/>
                <w:u w:val="single"/>
              </w:rPr>
              <w:t>7342.4</w:t>
            </w:r>
          </w:p>
        </w:tc>
        <w:tc>
          <w:tcPr>
            <w:tcW w:w="1218" w:type="dxa"/>
            <w:tcBorders>
              <w:tl2br w:val="nil"/>
              <w:tr2bl w:val="nil"/>
            </w:tcBorders>
            <w:vAlign w:val="center"/>
          </w:tcPr>
          <w:p w14:paraId="054043C3">
            <w:pPr>
              <w:pStyle w:val="64"/>
              <w:spacing w:line="240" w:lineRule="auto"/>
              <w:ind w:firstLine="0"/>
              <w:rPr>
                <w:sz w:val="21"/>
                <w:szCs w:val="21"/>
                <w:u w:val="single"/>
              </w:rPr>
            </w:pPr>
            <w:r>
              <w:rPr>
                <w:rFonts w:hint="eastAsia"/>
                <w:sz w:val="21"/>
                <w:szCs w:val="21"/>
                <w:u w:val="single"/>
              </w:rPr>
              <w:t>+2158.4</w:t>
            </w:r>
          </w:p>
        </w:tc>
      </w:tr>
      <w:tr w14:paraId="3D5642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F400A40">
            <w:pPr>
              <w:pStyle w:val="64"/>
              <w:spacing w:line="240" w:lineRule="auto"/>
              <w:ind w:firstLine="0"/>
              <w:rPr>
                <w:sz w:val="21"/>
                <w:szCs w:val="21"/>
                <w:u w:val="single"/>
              </w:rPr>
            </w:pPr>
          </w:p>
        </w:tc>
        <w:tc>
          <w:tcPr>
            <w:tcW w:w="1394" w:type="dxa"/>
            <w:tcBorders>
              <w:tl2br w:val="nil"/>
              <w:tr2bl w:val="nil"/>
            </w:tcBorders>
            <w:vAlign w:val="center"/>
          </w:tcPr>
          <w:p w14:paraId="05230981">
            <w:pPr>
              <w:pStyle w:val="64"/>
              <w:spacing w:line="240" w:lineRule="auto"/>
              <w:ind w:firstLine="0"/>
              <w:rPr>
                <w:sz w:val="21"/>
                <w:szCs w:val="21"/>
                <w:u w:val="single"/>
              </w:rPr>
            </w:pPr>
            <w:r>
              <w:rPr>
                <w:rFonts w:hint="eastAsia"/>
                <w:sz w:val="21"/>
                <w:szCs w:val="21"/>
                <w:u w:val="single"/>
              </w:rPr>
              <w:t>COD</w:t>
            </w:r>
          </w:p>
        </w:tc>
        <w:tc>
          <w:tcPr>
            <w:tcW w:w="1558" w:type="dxa"/>
            <w:tcBorders>
              <w:tl2br w:val="nil"/>
              <w:tr2bl w:val="nil"/>
            </w:tcBorders>
            <w:vAlign w:val="center"/>
          </w:tcPr>
          <w:p w14:paraId="5F1B8EB7">
            <w:pPr>
              <w:pStyle w:val="64"/>
              <w:spacing w:line="240" w:lineRule="auto"/>
              <w:ind w:firstLine="0"/>
              <w:rPr>
                <w:sz w:val="21"/>
                <w:szCs w:val="21"/>
                <w:u w:val="single"/>
              </w:rPr>
            </w:pPr>
            <w:r>
              <w:rPr>
                <w:rFonts w:hint="eastAsia"/>
                <w:sz w:val="21"/>
                <w:szCs w:val="21"/>
                <w:u w:val="single"/>
              </w:rPr>
              <w:t>0.26</w:t>
            </w:r>
          </w:p>
        </w:tc>
        <w:tc>
          <w:tcPr>
            <w:tcW w:w="1217" w:type="dxa"/>
            <w:tcBorders>
              <w:tl2br w:val="nil"/>
              <w:tr2bl w:val="nil"/>
            </w:tcBorders>
            <w:vAlign w:val="center"/>
          </w:tcPr>
          <w:p w14:paraId="15C96DB7">
            <w:pPr>
              <w:pStyle w:val="64"/>
              <w:spacing w:line="240" w:lineRule="auto"/>
              <w:ind w:firstLine="0"/>
              <w:rPr>
                <w:sz w:val="21"/>
                <w:szCs w:val="21"/>
                <w:u w:val="single"/>
              </w:rPr>
            </w:pPr>
            <w:r>
              <w:rPr>
                <w:rFonts w:hint="eastAsia"/>
                <w:sz w:val="21"/>
                <w:szCs w:val="21"/>
                <w:u w:val="single"/>
              </w:rPr>
              <w:t>0.11</w:t>
            </w:r>
          </w:p>
        </w:tc>
        <w:tc>
          <w:tcPr>
            <w:tcW w:w="1218" w:type="dxa"/>
            <w:tcBorders>
              <w:tl2br w:val="nil"/>
              <w:tr2bl w:val="nil"/>
            </w:tcBorders>
            <w:vAlign w:val="center"/>
          </w:tcPr>
          <w:p w14:paraId="49F0EA92">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4B92771">
            <w:pPr>
              <w:pStyle w:val="64"/>
              <w:spacing w:line="240" w:lineRule="auto"/>
              <w:ind w:firstLine="0"/>
              <w:rPr>
                <w:sz w:val="21"/>
                <w:szCs w:val="21"/>
                <w:u w:val="single"/>
              </w:rPr>
            </w:pPr>
            <w:r>
              <w:rPr>
                <w:rFonts w:hint="eastAsia"/>
                <w:sz w:val="21"/>
                <w:szCs w:val="21"/>
                <w:u w:val="single"/>
              </w:rPr>
              <w:t>0.37</w:t>
            </w:r>
          </w:p>
        </w:tc>
        <w:tc>
          <w:tcPr>
            <w:tcW w:w="1218" w:type="dxa"/>
            <w:tcBorders>
              <w:tl2br w:val="nil"/>
              <w:tr2bl w:val="nil"/>
            </w:tcBorders>
            <w:vAlign w:val="center"/>
          </w:tcPr>
          <w:p w14:paraId="69323DE6">
            <w:pPr>
              <w:pStyle w:val="64"/>
              <w:spacing w:line="240" w:lineRule="auto"/>
              <w:ind w:firstLine="0"/>
              <w:rPr>
                <w:sz w:val="21"/>
                <w:szCs w:val="21"/>
                <w:u w:val="single"/>
              </w:rPr>
            </w:pPr>
            <w:r>
              <w:rPr>
                <w:rFonts w:hint="eastAsia"/>
                <w:sz w:val="21"/>
                <w:szCs w:val="21"/>
                <w:u w:val="single"/>
              </w:rPr>
              <w:t>+0.11</w:t>
            </w:r>
          </w:p>
        </w:tc>
      </w:tr>
      <w:tr w14:paraId="5FDAE3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DE2AE6D">
            <w:pPr>
              <w:pStyle w:val="64"/>
              <w:spacing w:line="240" w:lineRule="auto"/>
              <w:ind w:firstLine="0"/>
              <w:rPr>
                <w:sz w:val="21"/>
                <w:szCs w:val="21"/>
                <w:u w:val="single"/>
              </w:rPr>
            </w:pPr>
          </w:p>
        </w:tc>
        <w:tc>
          <w:tcPr>
            <w:tcW w:w="1394" w:type="dxa"/>
            <w:tcBorders>
              <w:tl2br w:val="nil"/>
              <w:tr2bl w:val="nil"/>
            </w:tcBorders>
            <w:vAlign w:val="center"/>
          </w:tcPr>
          <w:p w14:paraId="3ECE51E6">
            <w:pPr>
              <w:pStyle w:val="64"/>
              <w:spacing w:line="240" w:lineRule="auto"/>
              <w:ind w:firstLine="0"/>
              <w:rPr>
                <w:sz w:val="21"/>
                <w:szCs w:val="21"/>
                <w:u w:val="single"/>
              </w:rPr>
            </w:pPr>
            <w:r>
              <w:rPr>
                <w:rFonts w:hint="eastAsia"/>
                <w:sz w:val="21"/>
                <w:szCs w:val="21"/>
                <w:u w:val="single"/>
              </w:rPr>
              <w:t>NH</w:t>
            </w:r>
            <w:r>
              <w:rPr>
                <w:rFonts w:hint="eastAsia"/>
                <w:sz w:val="21"/>
                <w:szCs w:val="21"/>
                <w:u w:val="single"/>
                <w:vertAlign w:val="subscript"/>
              </w:rPr>
              <w:t>3</w:t>
            </w:r>
            <w:r>
              <w:rPr>
                <w:rFonts w:hint="eastAsia"/>
                <w:sz w:val="21"/>
                <w:szCs w:val="21"/>
                <w:u w:val="single"/>
              </w:rPr>
              <w:t>-N</w:t>
            </w:r>
          </w:p>
        </w:tc>
        <w:tc>
          <w:tcPr>
            <w:tcW w:w="1558" w:type="dxa"/>
            <w:tcBorders>
              <w:tl2br w:val="nil"/>
              <w:tr2bl w:val="nil"/>
            </w:tcBorders>
            <w:vAlign w:val="center"/>
          </w:tcPr>
          <w:p w14:paraId="01610055">
            <w:pPr>
              <w:pStyle w:val="64"/>
              <w:spacing w:line="240" w:lineRule="auto"/>
              <w:ind w:firstLine="0"/>
              <w:rPr>
                <w:sz w:val="21"/>
                <w:szCs w:val="21"/>
                <w:u w:val="single"/>
              </w:rPr>
            </w:pPr>
            <w:r>
              <w:rPr>
                <w:rFonts w:hint="eastAsia"/>
                <w:sz w:val="21"/>
                <w:szCs w:val="21"/>
                <w:u w:val="single"/>
              </w:rPr>
              <w:t>0.03</w:t>
            </w:r>
          </w:p>
        </w:tc>
        <w:tc>
          <w:tcPr>
            <w:tcW w:w="1217" w:type="dxa"/>
            <w:tcBorders>
              <w:tl2br w:val="nil"/>
              <w:tr2bl w:val="nil"/>
            </w:tcBorders>
            <w:vAlign w:val="center"/>
          </w:tcPr>
          <w:p w14:paraId="40042E60">
            <w:pPr>
              <w:pStyle w:val="64"/>
              <w:spacing w:line="240" w:lineRule="auto"/>
              <w:ind w:firstLine="0"/>
              <w:rPr>
                <w:sz w:val="21"/>
                <w:szCs w:val="21"/>
                <w:u w:val="single"/>
              </w:rPr>
            </w:pPr>
            <w:r>
              <w:rPr>
                <w:rFonts w:hint="eastAsia"/>
                <w:sz w:val="21"/>
                <w:szCs w:val="21"/>
                <w:u w:val="single"/>
              </w:rPr>
              <w:t>0.01</w:t>
            </w:r>
          </w:p>
        </w:tc>
        <w:tc>
          <w:tcPr>
            <w:tcW w:w="1218" w:type="dxa"/>
            <w:tcBorders>
              <w:tl2br w:val="nil"/>
              <w:tr2bl w:val="nil"/>
            </w:tcBorders>
            <w:vAlign w:val="center"/>
          </w:tcPr>
          <w:p w14:paraId="6CC0B474">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603D6954">
            <w:pPr>
              <w:pStyle w:val="64"/>
              <w:spacing w:line="240" w:lineRule="auto"/>
              <w:ind w:firstLine="0"/>
              <w:rPr>
                <w:sz w:val="21"/>
                <w:szCs w:val="21"/>
                <w:u w:val="single"/>
              </w:rPr>
            </w:pPr>
            <w:r>
              <w:rPr>
                <w:rFonts w:hint="eastAsia"/>
                <w:sz w:val="21"/>
                <w:szCs w:val="21"/>
                <w:u w:val="single"/>
              </w:rPr>
              <w:t>0.04</w:t>
            </w:r>
          </w:p>
        </w:tc>
        <w:tc>
          <w:tcPr>
            <w:tcW w:w="1218" w:type="dxa"/>
            <w:tcBorders>
              <w:tl2br w:val="nil"/>
              <w:tr2bl w:val="nil"/>
            </w:tcBorders>
            <w:vAlign w:val="center"/>
          </w:tcPr>
          <w:p w14:paraId="0B3277DD">
            <w:pPr>
              <w:pStyle w:val="64"/>
              <w:spacing w:line="240" w:lineRule="auto"/>
              <w:ind w:firstLine="0"/>
              <w:rPr>
                <w:sz w:val="21"/>
                <w:szCs w:val="21"/>
                <w:u w:val="single"/>
              </w:rPr>
            </w:pPr>
            <w:r>
              <w:rPr>
                <w:rFonts w:hint="eastAsia"/>
                <w:sz w:val="21"/>
                <w:szCs w:val="21"/>
                <w:u w:val="single"/>
              </w:rPr>
              <w:t>+0.01</w:t>
            </w:r>
          </w:p>
        </w:tc>
      </w:tr>
      <w:tr w14:paraId="4F1118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0AB1CD3A">
            <w:pPr>
              <w:pStyle w:val="64"/>
              <w:spacing w:line="240" w:lineRule="auto"/>
              <w:ind w:firstLine="0"/>
              <w:rPr>
                <w:color w:val="FF0000"/>
                <w:sz w:val="21"/>
                <w:szCs w:val="21"/>
                <w:u w:val="single"/>
              </w:rPr>
            </w:pPr>
            <w:r>
              <w:rPr>
                <w:rFonts w:hint="eastAsia"/>
                <w:sz w:val="21"/>
                <w:szCs w:val="21"/>
                <w:u w:val="single"/>
              </w:rPr>
              <w:t>一般固废</w:t>
            </w:r>
          </w:p>
        </w:tc>
        <w:tc>
          <w:tcPr>
            <w:tcW w:w="1394" w:type="dxa"/>
            <w:tcBorders>
              <w:tl2br w:val="nil"/>
              <w:tr2bl w:val="nil"/>
            </w:tcBorders>
            <w:vAlign w:val="center"/>
          </w:tcPr>
          <w:p w14:paraId="65F93FDC">
            <w:pPr>
              <w:pStyle w:val="64"/>
              <w:spacing w:line="240" w:lineRule="auto"/>
              <w:ind w:firstLine="0"/>
              <w:rPr>
                <w:sz w:val="21"/>
                <w:szCs w:val="21"/>
                <w:u w:val="single"/>
              </w:rPr>
            </w:pPr>
            <w:r>
              <w:rPr>
                <w:sz w:val="21"/>
                <w:szCs w:val="21"/>
                <w:u w:val="single"/>
              </w:rPr>
              <w:t>废印刷版</w:t>
            </w:r>
          </w:p>
        </w:tc>
        <w:tc>
          <w:tcPr>
            <w:tcW w:w="1558" w:type="dxa"/>
            <w:tcBorders>
              <w:tl2br w:val="nil"/>
              <w:tr2bl w:val="nil"/>
            </w:tcBorders>
            <w:vAlign w:val="center"/>
          </w:tcPr>
          <w:p w14:paraId="44BE9707">
            <w:pPr>
              <w:pStyle w:val="64"/>
              <w:spacing w:line="240" w:lineRule="auto"/>
              <w:ind w:firstLine="0"/>
              <w:rPr>
                <w:sz w:val="21"/>
                <w:szCs w:val="21"/>
                <w:u w:val="single"/>
              </w:rPr>
            </w:pPr>
            <w:r>
              <w:rPr>
                <w:rFonts w:hint="eastAsia"/>
                <w:sz w:val="21"/>
                <w:szCs w:val="21"/>
                <w:u w:val="single"/>
              </w:rPr>
              <w:t>4667只</w:t>
            </w:r>
          </w:p>
        </w:tc>
        <w:tc>
          <w:tcPr>
            <w:tcW w:w="1217" w:type="dxa"/>
            <w:tcBorders>
              <w:tl2br w:val="nil"/>
              <w:tr2bl w:val="nil"/>
            </w:tcBorders>
            <w:vAlign w:val="center"/>
          </w:tcPr>
          <w:p w14:paraId="6FD3951A">
            <w:pPr>
              <w:pStyle w:val="64"/>
              <w:spacing w:line="240" w:lineRule="auto"/>
              <w:ind w:firstLine="0"/>
              <w:rPr>
                <w:sz w:val="21"/>
                <w:szCs w:val="21"/>
                <w:u w:val="single"/>
              </w:rPr>
            </w:pPr>
            <w:r>
              <w:rPr>
                <w:rFonts w:hint="eastAsia"/>
                <w:sz w:val="21"/>
                <w:szCs w:val="21"/>
                <w:u w:val="single"/>
              </w:rPr>
              <w:t>1800只</w:t>
            </w:r>
          </w:p>
        </w:tc>
        <w:tc>
          <w:tcPr>
            <w:tcW w:w="1218" w:type="dxa"/>
            <w:tcBorders>
              <w:tl2br w:val="nil"/>
              <w:tr2bl w:val="nil"/>
            </w:tcBorders>
            <w:vAlign w:val="center"/>
          </w:tcPr>
          <w:p w14:paraId="0B2DCC4E">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508DB1CF">
            <w:pPr>
              <w:pStyle w:val="64"/>
              <w:spacing w:line="240" w:lineRule="auto"/>
              <w:ind w:firstLine="0"/>
              <w:rPr>
                <w:color w:val="FF0000"/>
                <w:sz w:val="21"/>
                <w:szCs w:val="21"/>
                <w:u w:val="single"/>
              </w:rPr>
            </w:pPr>
            <w:r>
              <w:rPr>
                <w:rFonts w:hint="eastAsia"/>
                <w:sz w:val="21"/>
                <w:szCs w:val="21"/>
                <w:u w:val="single"/>
              </w:rPr>
              <w:t>6467只</w:t>
            </w:r>
          </w:p>
        </w:tc>
        <w:tc>
          <w:tcPr>
            <w:tcW w:w="1218" w:type="dxa"/>
            <w:tcBorders>
              <w:tl2br w:val="nil"/>
              <w:tr2bl w:val="nil"/>
            </w:tcBorders>
            <w:vAlign w:val="center"/>
          </w:tcPr>
          <w:p w14:paraId="7DC00C2F">
            <w:pPr>
              <w:pStyle w:val="64"/>
              <w:spacing w:line="240" w:lineRule="auto"/>
              <w:ind w:firstLine="0"/>
              <w:rPr>
                <w:sz w:val="21"/>
                <w:szCs w:val="21"/>
                <w:u w:val="single"/>
              </w:rPr>
            </w:pPr>
            <w:r>
              <w:rPr>
                <w:rFonts w:hint="eastAsia"/>
                <w:sz w:val="21"/>
                <w:szCs w:val="21"/>
                <w:u w:val="single"/>
              </w:rPr>
              <w:t>+1800只</w:t>
            </w:r>
          </w:p>
        </w:tc>
      </w:tr>
      <w:tr w14:paraId="1C33A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B5FF9B1">
            <w:pPr>
              <w:pStyle w:val="64"/>
              <w:spacing w:line="240" w:lineRule="auto"/>
              <w:ind w:firstLine="0"/>
              <w:rPr>
                <w:color w:val="FF0000"/>
                <w:sz w:val="21"/>
                <w:szCs w:val="21"/>
                <w:u w:val="single"/>
              </w:rPr>
            </w:pPr>
          </w:p>
        </w:tc>
        <w:tc>
          <w:tcPr>
            <w:tcW w:w="1394" w:type="dxa"/>
            <w:tcBorders>
              <w:tl2br w:val="nil"/>
              <w:tr2bl w:val="nil"/>
            </w:tcBorders>
            <w:vAlign w:val="center"/>
          </w:tcPr>
          <w:p w14:paraId="6AF9FA2D">
            <w:pPr>
              <w:pStyle w:val="64"/>
              <w:spacing w:line="240" w:lineRule="auto"/>
              <w:ind w:firstLine="0"/>
              <w:rPr>
                <w:sz w:val="21"/>
                <w:szCs w:val="21"/>
                <w:u w:val="single"/>
              </w:rPr>
            </w:pPr>
            <w:r>
              <w:rPr>
                <w:sz w:val="21"/>
                <w:szCs w:val="21"/>
                <w:u w:val="single"/>
              </w:rPr>
              <w:t>废边角料</w:t>
            </w:r>
          </w:p>
        </w:tc>
        <w:tc>
          <w:tcPr>
            <w:tcW w:w="1558" w:type="dxa"/>
            <w:tcBorders>
              <w:tl2br w:val="nil"/>
              <w:tr2bl w:val="nil"/>
            </w:tcBorders>
            <w:vAlign w:val="center"/>
          </w:tcPr>
          <w:p w14:paraId="728A8994">
            <w:pPr>
              <w:pStyle w:val="64"/>
              <w:spacing w:line="240" w:lineRule="auto"/>
              <w:ind w:firstLine="0"/>
              <w:rPr>
                <w:sz w:val="21"/>
                <w:szCs w:val="21"/>
                <w:u w:val="single"/>
              </w:rPr>
            </w:pPr>
            <w:r>
              <w:rPr>
                <w:rFonts w:hint="eastAsia"/>
                <w:sz w:val="21"/>
                <w:szCs w:val="21"/>
                <w:u w:val="single"/>
              </w:rPr>
              <w:t>200</w:t>
            </w:r>
          </w:p>
        </w:tc>
        <w:tc>
          <w:tcPr>
            <w:tcW w:w="1217" w:type="dxa"/>
            <w:tcBorders>
              <w:tl2br w:val="nil"/>
              <w:tr2bl w:val="nil"/>
            </w:tcBorders>
            <w:vAlign w:val="center"/>
          </w:tcPr>
          <w:p w14:paraId="25B29891">
            <w:pPr>
              <w:pStyle w:val="64"/>
              <w:spacing w:line="240" w:lineRule="auto"/>
              <w:ind w:firstLine="0"/>
              <w:rPr>
                <w:sz w:val="21"/>
                <w:szCs w:val="21"/>
                <w:u w:val="single"/>
              </w:rPr>
            </w:pPr>
            <w:r>
              <w:rPr>
                <w:rFonts w:hint="eastAsia"/>
                <w:sz w:val="21"/>
                <w:szCs w:val="21"/>
                <w:u w:val="single"/>
              </w:rPr>
              <w:t>112</w:t>
            </w:r>
          </w:p>
        </w:tc>
        <w:tc>
          <w:tcPr>
            <w:tcW w:w="1218" w:type="dxa"/>
            <w:tcBorders>
              <w:tl2br w:val="nil"/>
              <w:tr2bl w:val="nil"/>
            </w:tcBorders>
            <w:vAlign w:val="center"/>
          </w:tcPr>
          <w:p w14:paraId="63860A3D">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5245F58A">
            <w:pPr>
              <w:pStyle w:val="64"/>
              <w:spacing w:line="240" w:lineRule="auto"/>
              <w:ind w:firstLine="0"/>
              <w:rPr>
                <w:sz w:val="21"/>
                <w:szCs w:val="21"/>
                <w:u w:val="single"/>
              </w:rPr>
            </w:pPr>
            <w:r>
              <w:rPr>
                <w:rFonts w:hint="eastAsia"/>
                <w:sz w:val="21"/>
                <w:szCs w:val="21"/>
                <w:u w:val="single"/>
              </w:rPr>
              <w:t>312</w:t>
            </w:r>
          </w:p>
        </w:tc>
        <w:tc>
          <w:tcPr>
            <w:tcW w:w="1218" w:type="dxa"/>
            <w:tcBorders>
              <w:tl2br w:val="nil"/>
              <w:tr2bl w:val="nil"/>
            </w:tcBorders>
            <w:vAlign w:val="center"/>
          </w:tcPr>
          <w:p w14:paraId="41F5EC9E">
            <w:pPr>
              <w:pStyle w:val="64"/>
              <w:spacing w:line="240" w:lineRule="auto"/>
              <w:ind w:firstLine="0"/>
              <w:rPr>
                <w:sz w:val="21"/>
                <w:szCs w:val="21"/>
                <w:u w:val="single"/>
              </w:rPr>
            </w:pPr>
            <w:r>
              <w:rPr>
                <w:rFonts w:hint="eastAsia"/>
                <w:sz w:val="21"/>
                <w:szCs w:val="21"/>
                <w:u w:val="single"/>
              </w:rPr>
              <w:t>+112</w:t>
            </w:r>
          </w:p>
        </w:tc>
      </w:tr>
      <w:tr w14:paraId="663E75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7CBD1D4">
            <w:pPr>
              <w:pStyle w:val="64"/>
              <w:spacing w:line="240" w:lineRule="auto"/>
              <w:ind w:firstLine="0"/>
              <w:rPr>
                <w:color w:val="FF0000"/>
                <w:sz w:val="21"/>
                <w:szCs w:val="21"/>
                <w:u w:val="single"/>
              </w:rPr>
            </w:pPr>
          </w:p>
        </w:tc>
        <w:tc>
          <w:tcPr>
            <w:tcW w:w="1394" w:type="dxa"/>
            <w:tcBorders>
              <w:tl2br w:val="nil"/>
              <w:tr2bl w:val="nil"/>
            </w:tcBorders>
            <w:vAlign w:val="center"/>
          </w:tcPr>
          <w:p w14:paraId="3EEDFCDA">
            <w:pPr>
              <w:pStyle w:val="64"/>
              <w:spacing w:line="240" w:lineRule="auto"/>
              <w:ind w:firstLine="0"/>
              <w:rPr>
                <w:sz w:val="21"/>
                <w:szCs w:val="21"/>
                <w:u w:val="single"/>
              </w:rPr>
            </w:pPr>
            <w:r>
              <w:rPr>
                <w:sz w:val="21"/>
                <w:szCs w:val="21"/>
                <w:u w:val="single"/>
              </w:rPr>
              <w:t>废烫金膜</w:t>
            </w:r>
          </w:p>
        </w:tc>
        <w:tc>
          <w:tcPr>
            <w:tcW w:w="1558" w:type="dxa"/>
            <w:tcBorders>
              <w:tl2br w:val="nil"/>
              <w:tr2bl w:val="nil"/>
            </w:tcBorders>
            <w:vAlign w:val="center"/>
          </w:tcPr>
          <w:p w14:paraId="3C549452">
            <w:pPr>
              <w:pStyle w:val="64"/>
              <w:spacing w:line="240" w:lineRule="auto"/>
              <w:ind w:firstLine="0"/>
              <w:rPr>
                <w:sz w:val="21"/>
                <w:szCs w:val="21"/>
                <w:u w:val="single"/>
              </w:rPr>
            </w:pPr>
            <w:r>
              <w:rPr>
                <w:rFonts w:hint="eastAsia"/>
                <w:sz w:val="21"/>
                <w:szCs w:val="21"/>
                <w:u w:val="single"/>
              </w:rPr>
              <w:t>0</w:t>
            </w:r>
          </w:p>
        </w:tc>
        <w:tc>
          <w:tcPr>
            <w:tcW w:w="1217" w:type="dxa"/>
            <w:tcBorders>
              <w:tl2br w:val="nil"/>
              <w:tr2bl w:val="nil"/>
            </w:tcBorders>
            <w:vAlign w:val="center"/>
          </w:tcPr>
          <w:p w14:paraId="0D28C36F">
            <w:pPr>
              <w:pStyle w:val="64"/>
              <w:spacing w:line="240" w:lineRule="auto"/>
              <w:ind w:firstLine="0"/>
              <w:rPr>
                <w:color w:val="FF0000"/>
                <w:sz w:val="21"/>
                <w:szCs w:val="21"/>
                <w:u w:val="single"/>
              </w:rPr>
            </w:pPr>
            <w:r>
              <w:rPr>
                <w:rFonts w:hint="eastAsia"/>
                <w:sz w:val="21"/>
                <w:szCs w:val="21"/>
                <w:u w:val="single"/>
              </w:rPr>
              <w:t>0.8</w:t>
            </w:r>
          </w:p>
        </w:tc>
        <w:tc>
          <w:tcPr>
            <w:tcW w:w="1218" w:type="dxa"/>
            <w:tcBorders>
              <w:tl2br w:val="nil"/>
              <w:tr2bl w:val="nil"/>
            </w:tcBorders>
            <w:vAlign w:val="center"/>
          </w:tcPr>
          <w:p w14:paraId="5B27A8E4">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309248E7">
            <w:pPr>
              <w:pStyle w:val="64"/>
              <w:spacing w:line="240" w:lineRule="auto"/>
              <w:ind w:firstLine="0"/>
              <w:rPr>
                <w:sz w:val="21"/>
                <w:szCs w:val="21"/>
                <w:u w:val="single"/>
              </w:rPr>
            </w:pPr>
            <w:r>
              <w:rPr>
                <w:rFonts w:hint="eastAsia"/>
                <w:sz w:val="21"/>
                <w:szCs w:val="21"/>
                <w:u w:val="single"/>
              </w:rPr>
              <w:t>0.8</w:t>
            </w:r>
          </w:p>
        </w:tc>
        <w:tc>
          <w:tcPr>
            <w:tcW w:w="1218" w:type="dxa"/>
            <w:tcBorders>
              <w:tl2br w:val="nil"/>
              <w:tr2bl w:val="nil"/>
            </w:tcBorders>
            <w:vAlign w:val="center"/>
          </w:tcPr>
          <w:p w14:paraId="270DEB12">
            <w:pPr>
              <w:pStyle w:val="64"/>
              <w:spacing w:line="240" w:lineRule="auto"/>
              <w:ind w:firstLine="0"/>
              <w:rPr>
                <w:sz w:val="21"/>
                <w:szCs w:val="21"/>
                <w:u w:val="single"/>
              </w:rPr>
            </w:pPr>
            <w:r>
              <w:rPr>
                <w:rFonts w:hint="eastAsia"/>
                <w:sz w:val="21"/>
                <w:szCs w:val="21"/>
                <w:u w:val="single"/>
              </w:rPr>
              <w:t>+0.8</w:t>
            </w:r>
          </w:p>
        </w:tc>
      </w:tr>
      <w:tr w14:paraId="1303E1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EF08AE4">
            <w:pPr>
              <w:pStyle w:val="64"/>
              <w:spacing w:line="240" w:lineRule="auto"/>
              <w:ind w:firstLine="0"/>
              <w:rPr>
                <w:color w:val="FF0000"/>
                <w:sz w:val="21"/>
                <w:szCs w:val="21"/>
                <w:u w:val="single"/>
              </w:rPr>
            </w:pPr>
          </w:p>
        </w:tc>
        <w:tc>
          <w:tcPr>
            <w:tcW w:w="1394" w:type="dxa"/>
            <w:tcBorders>
              <w:tl2br w:val="nil"/>
              <w:tr2bl w:val="nil"/>
            </w:tcBorders>
            <w:vAlign w:val="center"/>
          </w:tcPr>
          <w:p w14:paraId="58CA7A84">
            <w:pPr>
              <w:pStyle w:val="64"/>
              <w:spacing w:line="240" w:lineRule="auto"/>
              <w:ind w:firstLine="0"/>
              <w:rPr>
                <w:sz w:val="21"/>
                <w:szCs w:val="21"/>
                <w:u w:val="single"/>
              </w:rPr>
            </w:pPr>
            <w:r>
              <w:rPr>
                <w:sz w:val="21"/>
                <w:szCs w:val="21"/>
                <w:u w:val="single"/>
              </w:rPr>
              <w:t>不合格产品</w:t>
            </w:r>
          </w:p>
        </w:tc>
        <w:tc>
          <w:tcPr>
            <w:tcW w:w="1558" w:type="dxa"/>
            <w:tcBorders>
              <w:tl2br w:val="nil"/>
              <w:tr2bl w:val="nil"/>
            </w:tcBorders>
            <w:vAlign w:val="center"/>
          </w:tcPr>
          <w:p w14:paraId="44AE740D">
            <w:pPr>
              <w:pStyle w:val="64"/>
              <w:spacing w:line="240" w:lineRule="auto"/>
              <w:ind w:firstLine="0"/>
              <w:rPr>
                <w:sz w:val="21"/>
                <w:szCs w:val="21"/>
                <w:u w:val="single"/>
              </w:rPr>
            </w:pPr>
            <w:r>
              <w:rPr>
                <w:rFonts w:hint="eastAsia"/>
                <w:sz w:val="21"/>
                <w:szCs w:val="21"/>
                <w:u w:val="single"/>
              </w:rPr>
              <w:t>596.8</w:t>
            </w:r>
          </w:p>
        </w:tc>
        <w:tc>
          <w:tcPr>
            <w:tcW w:w="1217" w:type="dxa"/>
            <w:tcBorders>
              <w:tl2br w:val="nil"/>
              <w:tr2bl w:val="nil"/>
            </w:tcBorders>
            <w:vAlign w:val="center"/>
          </w:tcPr>
          <w:p w14:paraId="5ECF56C8">
            <w:pPr>
              <w:pStyle w:val="64"/>
              <w:spacing w:line="240" w:lineRule="auto"/>
              <w:ind w:firstLine="0"/>
              <w:rPr>
                <w:color w:val="FF0000"/>
                <w:sz w:val="21"/>
                <w:szCs w:val="21"/>
                <w:u w:val="single"/>
              </w:rPr>
            </w:pPr>
            <w:r>
              <w:rPr>
                <w:rFonts w:hint="eastAsia"/>
                <w:sz w:val="21"/>
                <w:szCs w:val="21"/>
                <w:u w:val="single"/>
              </w:rPr>
              <w:t>234.3</w:t>
            </w:r>
          </w:p>
        </w:tc>
        <w:tc>
          <w:tcPr>
            <w:tcW w:w="1218" w:type="dxa"/>
            <w:tcBorders>
              <w:tl2br w:val="nil"/>
              <w:tr2bl w:val="nil"/>
            </w:tcBorders>
            <w:vAlign w:val="center"/>
          </w:tcPr>
          <w:p w14:paraId="0F558F3D">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AA0C18B">
            <w:pPr>
              <w:pStyle w:val="64"/>
              <w:spacing w:line="240" w:lineRule="auto"/>
              <w:ind w:firstLine="0"/>
              <w:rPr>
                <w:sz w:val="21"/>
                <w:szCs w:val="21"/>
                <w:u w:val="single"/>
              </w:rPr>
            </w:pPr>
            <w:r>
              <w:rPr>
                <w:rFonts w:hint="eastAsia"/>
                <w:sz w:val="21"/>
                <w:szCs w:val="21"/>
                <w:u w:val="single"/>
              </w:rPr>
              <w:t>831.1</w:t>
            </w:r>
          </w:p>
        </w:tc>
        <w:tc>
          <w:tcPr>
            <w:tcW w:w="1218" w:type="dxa"/>
            <w:tcBorders>
              <w:tl2br w:val="nil"/>
              <w:tr2bl w:val="nil"/>
            </w:tcBorders>
            <w:vAlign w:val="center"/>
          </w:tcPr>
          <w:p w14:paraId="0DC2EC94">
            <w:pPr>
              <w:pStyle w:val="64"/>
              <w:spacing w:line="240" w:lineRule="auto"/>
              <w:ind w:firstLine="0"/>
              <w:rPr>
                <w:sz w:val="21"/>
                <w:szCs w:val="21"/>
                <w:u w:val="single"/>
              </w:rPr>
            </w:pPr>
            <w:r>
              <w:rPr>
                <w:rFonts w:hint="eastAsia"/>
                <w:sz w:val="21"/>
                <w:szCs w:val="21"/>
                <w:u w:val="single"/>
              </w:rPr>
              <w:t>+234.3</w:t>
            </w:r>
          </w:p>
        </w:tc>
      </w:tr>
      <w:tr w14:paraId="25BFB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E3E721C">
            <w:pPr>
              <w:pStyle w:val="64"/>
              <w:spacing w:line="240" w:lineRule="auto"/>
              <w:ind w:firstLine="0"/>
              <w:rPr>
                <w:color w:val="FF0000"/>
                <w:sz w:val="21"/>
                <w:szCs w:val="21"/>
                <w:u w:val="single"/>
              </w:rPr>
            </w:pPr>
          </w:p>
        </w:tc>
        <w:tc>
          <w:tcPr>
            <w:tcW w:w="1394" w:type="dxa"/>
            <w:tcBorders>
              <w:tl2br w:val="nil"/>
              <w:tr2bl w:val="nil"/>
            </w:tcBorders>
            <w:vAlign w:val="center"/>
          </w:tcPr>
          <w:p w14:paraId="016ACEBA">
            <w:pPr>
              <w:pStyle w:val="64"/>
              <w:spacing w:line="240" w:lineRule="auto"/>
              <w:ind w:firstLine="0"/>
              <w:rPr>
                <w:sz w:val="21"/>
                <w:szCs w:val="21"/>
                <w:u w:val="single"/>
              </w:rPr>
            </w:pPr>
            <w:r>
              <w:rPr>
                <w:rFonts w:hint="eastAsia"/>
                <w:sz w:val="21"/>
                <w:szCs w:val="21"/>
                <w:u w:val="single"/>
              </w:rPr>
              <w:t>废包装材料</w:t>
            </w:r>
          </w:p>
        </w:tc>
        <w:tc>
          <w:tcPr>
            <w:tcW w:w="1558" w:type="dxa"/>
            <w:tcBorders>
              <w:tl2br w:val="nil"/>
              <w:tr2bl w:val="nil"/>
            </w:tcBorders>
            <w:vAlign w:val="center"/>
          </w:tcPr>
          <w:p w14:paraId="4E2E6560">
            <w:pPr>
              <w:pStyle w:val="64"/>
              <w:spacing w:line="240" w:lineRule="auto"/>
              <w:ind w:firstLine="0"/>
              <w:rPr>
                <w:sz w:val="21"/>
                <w:szCs w:val="21"/>
                <w:u w:val="single"/>
              </w:rPr>
            </w:pPr>
            <w:r>
              <w:rPr>
                <w:rFonts w:hint="eastAsia"/>
                <w:sz w:val="21"/>
                <w:szCs w:val="21"/>
                <w:u w:val="single"/>
              </w:rPr>
              <w:t>未核算</w:t>
            </w:r>
          </w:p>
        </w:tc>
        <w:tc>
          <w:tcPr>
            <w:tcW w:w="1217" w:type="dxa"/>
            <w:tcBorders>
              <w:tl2br w:val="nil"/>
              <w:tr2bl w:val="nil"/>
            </w:tcBorders>
            <w:vAlign w:val="center"/>
          </w:tcPr>
          <w:p w14:paraId="687C7F60">
            <w:pPr>
              <w:pStyle w:val="64"/>
              <w:spacing w:line="240" w:lineRule="auto"/>
              <w:ind w:firstLine="0"/>
              <w:rPr>
                <w:sz w:val="21"/>
                <w:szCs w:val="21"/>
                <w:u w:val="single"/>
              </w:rPr>
            </w:pPr>
            <w:r>
              <w:rPr>
                <w:rFonts w:hint="eastAsia"/>
                <w:sz w:val="21"/>
                <w:szCs w:val="21"/>
                <w:u w:val="single"/>
              </w:rPr>
              <w:t>2</w:t>
            </w:r>
          </w:p>
        </w:tc>
        <w:tc>
          <w:tcPr>
            <w:tcW w:w="1218" w:type="dxa"/>
            <w:tcBorders>
              <w:tl2br w:val="nil"/>
              <w:tr2bl w:val="nil"/>
            </w:tcBorders>
            <w:vAlign w:val="center"/>
          </w:tcPr>
          <w:p w14:paraId="442F708F">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2558A93">
            <w:pPr>
              <w:pStyle w:val="64"/>
              <w:spacing w:line="240" w:lineRule="auto"/>
              <w:ind w:firstLine="0"/>
              <w:rPr>
                <w:sz w:val="21"/>
                <w:szCs w:val="21"/>
                <w:u w:val="single"/>
              </w:rPr>
            </w:pPr>
            <w:r>
              <w:rPr>
                <w:rFonts w:hint="eastAsia"/>
                <w:sz w:val="21"/>
                <w:szCs w:val="21"/>
                <w:u w:val="single"/>
              </w:rPr>
              <w:t>2</w:t>
            </w:r>
          </w:p>
        </w:tc>
        <w:tc>
          <w:tcPr>
            <w:tcW w:w="1218" w:type="dxa"/>
            <w:tcBorders>
              <w:tl2br w:val="nil"/>
              <w:tr2bl w:val="nil"/>
            </w:tcBorders>
            <w:vAlign w:val="center"/>
          </w:tcPr>
          <w:p w14:paraId="46611E0E">
            <w:pPr>
              <w:pStyle w:val="64"/>
              <w:spacing w:line="240" w:lineRule="auto"/>
              <w:ind w:firstLine="0"/>
              <w:rPr>
                <w:sz w:val="21"/>
                <w:szCs w:val="21"/>
                <w:u w:val="single"/>
              </w:rPr>
            </w:pPr>
            <w:r>
              <w:rPr>
                <w:rFonts w:hint="eastAsia"/>
                <w:sz w:val="21"/>
                <w:szCs w:val="21"/>
                <w:u w:val="single"/>
              </w:rPr>
              <w:t>+2</w:t>
            </w:r>
          </w:p>
        </w:tc>
      </w:tr>
      <w:tr w14:paraId="0CDC0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2FCC65F0">
            <w:pPr>
              <w:pStyle w:val="64"/>
              <w:spacing w:line="240" w:lineRule="auto"/>
              <w:ind w:firstLine="0"/>
              <w:rPr>
                <w:color w:val="FF0000"/>
                <w:sz w:val="21"/>
                <w:szCs w:val="21"/>
                <w:u w:val="single"/>
              </w:rPr>
            </w:pPr>
          </w:p>
        </w:tc>
        <w:tc>
          <w:tcPr>
            <w:tcW w:w="1394" w:type="dxa"/>
            <w:tcBorders>
              <w:tl2br w:val="nil"/>
              <w:tr2bl w:val="nil"/>
            </w:tcBorders>
            <w:vAlign w:val="center"/>
          </w:tcPr>
          <w:p w14:paraId="7B442C17">
            <w:pPr>
              <w:pStyle w:val="64"/>
              <w:spacing w:line="240" w:lineRule="auto"/>
              <w:ind w:firstLine="0"/>
              <w:rPr>
                <w:sz w:val="21"/>
                <w:szCs w:val="21"/>
                <w:u w:val="single"/>
              </w:rPr>
            </w:pPr>
            <w:r>
              <w:rPr>
                <w:rFonts w:hint="eastAsia"/>
                <w:sz w:val="21"/>
                <w:szCs w:val="21"/>
                <w:u w:val="single"/>
              </w:rPr>
              <w:t>废溶剂桶</w:t>
            </w:r>
          </w:p>
        </w:tc>
        <w:tc>
          <w:tcPr>
            <w:tcW w:w="1558" w:type="dxa"/>
            <w:tcBorders>
              <w:tl2br w:val="nil"/>
              <w:tr2bl w:val="nil"/>
            </w:tcBorders>
            <w:vAlign w:val="center"/>
          </w:tcPr>
          <w:p w14:paraId="5B468ADD">
            <w:pPr>
              <w:pStyle w:val="64"/>
              <w:spacing w:line="240" w:lineRule="auto"/>
              <w:ind w:firstLine="0"/>
              <w:rPr>
                <w:sz w:val="21"/>
                <w:szCs w:val="21"/>
                <w:u w:val="single"/>
              </w:rPr>
            </w:pPr>
            <w:r>
              <w:rPr>
                <w:rFonts w:hint="eastAsia"/>
                <w:sz w:val="21"/>
                <w:szCs w:val="21"/>
                <w:u w:val="single"/>
              </w:rPr>
              <w:t>未核算</w:t>
            </w:r>
          </w:p>
        </w:tc>
        <w:tc>
          <w:tcPr>
            <w:tcW w:w="1217" w:type="dxa"/>
            <w:tcBorders>
              <w:tl2br w:val="nil"/>
              <w:tr2bl w:val="nil"/>
            </w:tcBorders>
            <w:vAlign w:val="center"/>
          </w:tcPr>
          <w:p w14:paraId="4920A3CD">
            <w:pPr>
              <w:pStyle w:val="64"/>
              <w:spacing w:line="240" w:lineRule="auto"/>
              <w:ind w:firstLine="0"/>
              <w:rPr>
                <w:sz w:val="21"/>
                <w:szCs w:val="21"/>
                <w:u w:val="single"/>
              </w:rPr>
            </w:pPr>
            <w:r>
              <w:rPr>
                <w:rFonts w:hint="eastAsia"/>
                <w:sz w:val="21"/>
                <w:szCs w:val="21"/>
                <w:u w:val="single"/>
              </w:rPr>
              <w:t>5</w:t>
            </w:r>
          </w:p>
        </w:tc>
        <w:tc>
          <w:tcPr>
            <w:tcW w:w="1218" w:type="dxa"/>
            <w:tcBorders>
              <w:tl2br w:val="nil"/>
              <w:tr2bl w:val="nil"/>
            </w:tcBorders>
            <w:vAlign w:val="center"/>
          </w:tcPr>
          <w:p w14:paraId="63815BAE">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FC2945D">
            <w:pPr>
              <w:pStyle w:val="64"/>
              <w:spacing w:line="240" w:lineRule="auto"/>
              <w:ind w:firstLine="0"/>
              <w:rPr>
                <w:sz w:val="21"/>
                <w:szCs w:val="21"/>
                <w:u w:val="single"/>
              </w:rPr>
            </w:pPr>
            <w:r>
              <w:rPr>
                <w:rFonts w:hint="eastAsia"/>
                <w:sz w:val="21"/>
                <w:szCs w:val="21"/>
                <w:u w:val="single"/>
              </w:rPr>
              <w:t>5</w:t>
            </w:r>
          </w:p>
        </w:tc>
        <w:tc>
          <w:tcPr>
            <w:tcW w:w="1218" w:type="dxa"/>
            <w:tcBorders>
              <w:tl2br w:val="nil"/>
              <w:tr2bl w:val="nil"/>
            </w:tcBorders>
            <w:vAlign w:val="center"/>
          </w:tcPr>
          <w:p w14:paraId="3B0FDE89">
            <w:pPr>
              <w:pStyle w:val="64"/>
              <w:spacing w:line="240" w:lineRule="auto"/>
              <w:ind w:firstLine="0"/>
              <w:rPr>
                <w:sz w:val="21"/>
                <w:szCs w:val="21"/>
                <w:u w:val="single"/>
              </w:rPr>
            </w:pPr>
            <w:r>
              <w:rPr>
                <w:rFonts w:hint="eastAsia"/>
                <w:sz w:val="21"/>
                <w:szCs w:val="21"/>
                <w:u w:val="single"/>
              </w:rPr>
              <w:t>+5</w:t>
            </w:r>
          </w:p>
        </w:tc>
      </w:tr>
      <w:tr w14:paraId="3B646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72B172EB">
            <w:pPr>
              <w:pStyle w:val="64"/>
              <w:spacing w:line="240" w:lineRule="auto"/>
              <w:ind w:firstLine="0"/>
              <w:rPr>
                <w:color w:val="FF0000"/>
                <w:sz w:val="21"/>
                <w:szCs w:val="21"/>
                <w:u w:val="single"/>
              </w:rPr>
            </w:pPr>
            <w:r>
              <w:rPr>
                <w:rFonts w:hint="eastAsia"/>
                <w:sz w:val="21"/>
                <w:szCs w:val="21"/>
                <w:u w:val="single"/>
              </w:rPr>
              <w:t>危险废物</w:t>
            </w:r>
          </w:p>
        </w:tc>
        <w:tc>
          <w:tcPr>
            <w:tcW w:w="1394" w:type="dxa"/>
            <w:tcBorders>
              <w:tl2br w:val="nil"/>
              <w:tr2bl w:val="nil"/>
            </w:tcBorders>
            <w:vAlign w:val="center"/>
          </w:tcPr>
          <w:p w14:paraId="56944EBB">
            <w:pPr>
              <w:pStyle w:val="64"/>
              <w:spacing w:line="240" w:lineRule="auto"/>
              <w:ind w:firstLine="0"/>
              <w:rPr>
                <w:sz w:val="21"/>
                <w:szCs w:val="21"/>
                <w:u w:val="single"/>
              </w:rPr>
            </w:pPr>
            <w:r>
              <w:rPr>
                <w:sz w:val="21"/>
                <w:szCs w:val="21"/>
                <w:u w:val="single"/>
              </w:rPr>
              <w:t>废油墨</w:t>
            </w:r>
          </w:p>
        </w:tc>
        <w:tc>
          <w:tcPr>
            <w:tcW w:w="1558" w:type="dxa"/>
            <w:tcBorders>
              <w:tl2br w:val="nil"/>
              <w:tr2bl w:val="nil"/>
            </w:tcBorders>
            <w:vAlign w:val="center"/>
          </w:tcPr>
          <w:p w14:paraId="10664B66">
            <w:pPr>
              <w:pStyle w:val="64"/>
              <w:spacing w:line="240" w:lineRule="auto"/>
              <w:ind w:firstLine="0"/>
              <w:rPr>
                <w:sz w:val="21"/>
                <w:szCs w:val="21"/>
                <w:u w:val="single"/>
              </w:rPr>
            </w:pPr>
            <w:r>
              <w:rPr>
                <w:rFonts w:hint="eastAsia"/>
                <w:sz w:val="21"/>
                <w:szCs w:val="21"/>
                <w:u w:val="single"/>
              </w:rPr>
              <w:t>3.4</w:t>
            </w:r>
          </w:p>
        </w:tc>
        <w:tc>
          <w:tcPr>
            <w:tcW w:w="1217" w:type="dxa"/>
            <w:tcBorders>
              <w:tl2br w:val="nil"/>
              <w:tr2bl w:val="nil"/>
            </w:tcBorders>
            <w:vAlign w:val="center"/>
          </w:tcPr>
          <w:p w14:paraId="0E4B1F93">
            <w:pPr>
              <w:pStyle w:val="64"/>
              <w:spacing w:line="240" w:lineRule="auto"/>
              <w:ind w:firstLine="0"/>
              <w:rPr>
                <w:sz w:val="21"/>
                <w:szCs w:val="21"/>
                <w:u w:val="single"/>
              </w:rPr>
            </w:pPr>
            <w:r>
              <w:rPr>
                <w:rFonts w:hint="eastAsia"/>
                <w:sz w:val="21"/>
                <w:szCs w:val="21"/>
                <w:u w:val="single"/>
              </w:rPr>
              <w:t>5.6</w:t>
            </w:r>
          </w:p>
        </w:tc>
        <w:tc>
          <w:tcPr>
            <w:tcW w:w="1218" w:type="dxa"/>
            <w:tcBorders>
              <w:tl2br w:val="nil"/>
              <w:tr2bl w:val="nil"/>
            </w:tcBorders>
            <w:vAlign w:val="center"/>
          </w:tcPr>
          <w:p w14:paraId="6CBE06FC">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387DB7FE">
            <w:pPr>
              <w:pStyle w:val="64"/>
              <w:spacing w:line="240" w:lineRule="auto"/>
              <w:ind w:firstLine="0"/>
              <w:rPr>
                <w:sz w:val="21"/>
                <w:szCs w:val="21"/>
                <w:u w:val="single"/>
              </w:rPr>
            </w:pPr>
            <w:r>
              <w:rPr>
                <w:rFonts w:hint="eastAsia"/>
                <w:sz w:val="21"/>
                <w:szCs w:val="21"/>
                <w:u w:val="single"/>
              </w:rPr>
              <w:t>9</w:t>
            </w:r>
          </w:p>
        </w:tc>
        <w:tc>
          <w:tcPr>
            <w:tcW w:w="1218" w:type="dxa"/>
            <w:tcBorders>
              <w:tl2br w:val="nil"/>
              <w:tr2bl w:val="nil"/>
            </w:tcBorders>
            <w:vAlign w:val="center"/>
          </w:tcPr>
          <w:p w14:paraId="090C804E">
            <w:pPr>
              <w:pStyle w:val="64"/>
              <w:spacing w:line="240" w:lineRule="auto"/>
              <w:ind w:firstLine="0"/>
              <w:rPr>
                <w:sz w:val="21"/>
                <w:szCs w:val="21"/>
                <w:u w:val="single"/>
              </w:rPr>
            </w:pPr>
            <w:r>
              <w:rPr>
                <w:rFonts w:hint="eastAsia"/>
                <w:sz w:val="21"/>
                <w:szCs w:val="21"/>
                <w:u w:val="single"/>
              </w:rPr>
              <w:t>+5.6</w:t>
            </w:r>
          </w:p>
        </w:tc>
      </w:tr>
      <w:tr w14:paraId="799A8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6F8F470E">
            <w:pPr>
              <w:pStyle w:val="64"/>
              <w:spacing w:line="240" w:lineRule="auto"/>
              <w:ind w:firstLine="0"/>
              <w:rPr>
                <w:color w:val="FF0000"/>
                <w:sz w:val="21"/>
                <w:szCs w:val="21"/>
                <w:u w:val="single"/>
              </w:rPr>
            </w:pPr>
          </w:p>
        </w:tc>
        <w:tc>
          <w:tcPr>
            <w:tcW w:w="1394" w:type="dxa"/>
            <w:tcBorders>
              <w:tl2br w:val="nil"/>
              <w:tr2bl w:val="nil"/>
            </w:tcBorders>
            <w:vAlign w:val="center"/>
          </w:tcPr>
          <w:p w14:paraId="3F3FA0AB">
            <w:pPr>
              <w:pStyle w:val="64"/>
              <w:spacing w:line="240" w:lineRule="auto"/>
              <w:ind w:firstLine="0"/>
              <w:rPr>
                <w:sz w:val="21"/>
                <w:szCs w:val="21"/>
                <w:u w:val="single"/>
              </w:rPr>
            </w:pPr>
            <w:r>
              <w:rPr>
                <w:sz w:val="21"/>
                <w:szCs w:val="21"/>
                <w:u w:val="single"/>
              </w:rPr>
              <w:t>废溶剂</w:t>
            </w:r>
          </w:p>
        </w:tc>
        <w:tc>
          <w:tcPr>
            <w:tcW w:w="1558" w:type="dxa"/>
            <w:tcBorders>
              <w:tl2br w:val="nil"/>
              <w:tr2bl w:val="nil"/>
            </w:tcBorders>
            <w:vAlign w:val="center"/>
          </w:tcPr>
          <w:p w14:paraId="65BE6014">
            <w:pPr>
              <w:pStyle w:val="64"/>
              <w:spacing w:line="240" w:lineRule="auto"/>
              <w:ind w:firstLine="0"/>
              <w:rPr>
                <w:sz w:val="21"/>
                <w:szCs w:val="21"/>
                <w:u w:val="single"/>
              </w:rPr>
            </w:pPr>
            <w:r>
              <w:rPr>
                <w:rFonts w:hint="eastAsia"/>
                <w:sz w:val="21"/>
                <w:szCs w:val="21"/>
                <w:u w:val="single"/>
              </w:rPr>
              <w:t>2</w:t>
            </w:r>
          </w:p>
        </w:tc>
        <w:tc>
          <w:tcPr>
            <w:tcW w:w="1217" w:type="dxa"/>
            <w:tcBorders>
              <w:tl2br w:val="nil"/>
              <w:tr2bl w:val="nil"/>
            </w:tcBorders>
            <w:vAlign w:val="center"/>
          </w:tcPr>
          <w:p w14:paraId="3C2B114D">
            <w:pPr>
              <w:pStyle w:val="64"/>
              <w:spacing w:line="240" w:lineRule="auto"/>
              <w:ind w:firstLine="0"/>
              <w:rPr>
                <w:sz w:val="21"/>
                <w:szCs w:val="21"/>
                <w:u w:val="single"/>
              </w:rPr>
            </w:pPr>
            <w:r>
              <w:rPr>
                <w:rFonts w:hint="eastAsia"/>
                <w:sz w:val="21"/>
                <w:szCs w:val="21"/>
                <w:u w:val="single"/>
              </w:rPr>
              <w:t>6</w:t>
            </w:r>
          </w:p>
        </w:tc>
        <w:tc>
          <w:tcPr>
            <w:tcW w:w="1218" w:type="dxa"/>
            <w:tcBorders>
              <w:tl2br w:val="nil"/>
              <w:tr2bl w:val="nil"/>
            </w:tcBorders>
            <w:vAlign w:val="center"/>
          </w:tcPr>
          <w:p w14:paraId="78A60A97">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03AED03F">
            <w:pPr>
              <w:pStyle w:val="64"/>
              <w:spacing w:line="240" w:lineRule="auto"/>
              <w:ind w:firstLine="0"/>
              <w:rPr>
                <w:sz w:val="21"/>
                <w:szCs w:val="21"/>
                <w:u w:val="single"/>
              </w:rPr>
            </w:pPr>
            <w:r>
              <w:rPr>
                <w:rFonts w:hint="eastAsia"/>
                <w:sz w:val="21"/>
                <w:szCs w:val="21"/>
                <w:u w:val="single"/>
              </w:rPr>
              <w:t>8</w:t>
            </w:r>
          </w:p>
        </w:tc>
        <w:tc>
          <w:tcPr>
            <w:tcW w:w="1218" w:type="dxa"/>
            <w:tcBorders>
              <w:tl2br w:val="nil"/>
              <w:tr2bl w:val="nil"/>
            </w:tcBorders>
            <w:vAlign w:val="center"/>
          </w:tcPr>
          <w:p w14:paraId="5445639A">
            <w:pPr>
              <w:pStyle w:val="64"/>
              <w:spacing w:line="240" w:lineRule="auto"/>
              <w:ind w:firstLine="0"/>
              <w:rPr>
                <w:sz w:val="21"/>
                <w:szCs w:val="21"/>
                <w:u w:val="single"/>
              </w:rPr>
            </w:pPr>
            <w:r>
              <w:rPr>
                <w:rFonts w:hint="eastAsia"/>
                <w:sz w:val="21"/>
                <w:szCs w:val="21"/>
                <w:u w:val="single"/>
              </w:rPr>
              <w:t>+6</w:t>
            </w:r>
          </w:p>
        </w:tc>
      </w:tr>
      <w:tr w14:paraId="0967F1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04DE8195">
            <w:pPr>
              <w:pStyle w:val="64"/>
              <w:spacing w:line="240" w:lineRule="auto"/>
              <w:ind w:firstLine="0"/>
              <w:rPr>
                <w:color w:val="FF0000"/>
                <w:sz w:val="21"/>
                <w:szCs w:val="21"/>
                <w:u w:val="single"/>
              </w:rPr>
            </w:pPr>
          </w:p>
        </w:tc>
        <w:tc>
          <w:tcPr>
            <w:tcW w:w="1394" w:type="dxa"/>
            <w:tcBorders>
              <w:tl2br w:val="nil"/>
              <w:tr2bl w:val="nil"/>
            </w:tcBorders>
            <w:vAlign w:val="center"/>
          </w:tcPr>
          <w:p w14:paraId="28FFE557">
            <w:pPr>
              <w:pStyle w:val="64"/>
              <w:spacing w:line="240" w:lineRule="auto"/>
              <w:ind w:firstLine="0"/>
              <w:rPr>
                <w:sz w:val="21"/>
                <w:szCs w:val="21"/>
                <w:u w:val="single"/>
              </w:rPr>
            </w:pPr>
            <w:r>
              <w:rPr>
                <w:sz w:val="21"/>
                <w:szCs w:val="21"/>
                <w:u w:val="single"/>
              </w:rPr>
              <w:t>废胶</w:t>
            </w:r>
          </w:p>
        </w:tc>
        <w:tc>
          <w:tcPr>
            <w:tcW w:w="1558" w:type="dxa"/>
            <w:tcBorders>
              <w:tl2br w:val="nil"/>
              <w:tr2bl w:val="nil"/>
            </w:tcBorders>
            <w:vAlign w:val="center"/>
          </w:tcPr>
          <w:p w14:paraId="566519B7">
            <w:pPr>
              <w:pStyle w:val="64"/>
              <w:spacing w:line="240" w:lineRule="auto"/>
              <w:ind w:firstLine="0"/>
              <w:rPr>
                <w:sz w:val="21"/>
                <w:szCs w:val="21"/>
                <w:u w:val="single"/>
              </w:rPr>
            </w:pPr>
            <w:r>
              <w:rPr>
                <w:rFonts w:hint="eastAsia"/>
                <w:sz w:val="21"/>
                <w:szCs w:val="21"/>
                <w:u w:val="single"/>
              </w:rPr>
              <w:t>2.8</w:t>
            </w:r>
          </w:p>
        </w:tc>
        <w:tc>
          <w:tcPr>
            <w:tcW w:w="1217" w:type="dxa"/>
            <w:tcBorders>
              <w:tl2br w:val="nil"/>
              <w:tr2bl w:val="nil"/>
            </w:tcBorders>
            <w:vAlign w:val="center"/>
          </w:tcPr>
          <w:p w14:paraId="0D2414CA">
            <w:pPr>
              <w:pStyle w:val="64"/>
              <w:spacing w:line="240" w:lineRule="auto"/>
              <w:ind w:firstLine="0"/>
              <w:rPr>
                <w:sz w:val="21"/>
                <w:szCs w:val="21"/>
                <w:u w:val="single"/>
              </w:rPr>
            </w:pPr>
            <w:r>
              <w:rPr>
                <w:rFonts w:hint="eastAsia"/>
                <w:sz w:val="21"/>
                <w:szCs w:val="21"/>
                <w:u w:val="single"/>
              </w:rPr>
              <w:t>4.2</w:t>
            </w:r>
          </w:p>
        </w:tc>
        <w:tc>
          <w:tcPr>
            <w:tcW w:w="1218" w:type="dxa"/>
            <w:tcBorders>
              <w:tl2br w:val="nil"/>
              <w:tr2bl w:val="nil"/>
            </w:tcBorders>
            <w:vAlign w:val="center"/>
          </w:tcPr>
          <w:p w14:paraId="761F435C">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EE18DEF">
            <w:pPr>
              <w:pStyle w:val="64"/>
              <w:spacing w:line="240" w:lineRule="auto"/>
              <w:ind w:firstLine="0"/>
              <w:rPr>
                <w:color w:val="FF0000"/>
                <w:sz w:val="21"/>
                <w:szCs w:val="21"/>
                <w:u w:val="single"/>
              </w:rPr>
            </w:pPr>
            <w:r>
              <w:rPr>
                <w:rFonts w:hint="eastAsia"/>
                <w:sz w:val="21"/>
                <w:szCs w:val="21"/>
                <w:u w:val="single"/>
              </w:rPr>
              <w:t>7</w:t>
            </w:r>
          </w:p>
        </w:tc>
        <w:tc>
          <w:tcPr>
            <w:tcW w:w="1218" w:type="dxa"/>
            <w:tcBorders>
              <w:tl2br w:val="nil"/>
              <w:tr2bl w:val="nil"/>
            </w:tcBorders>
            <w:vAlign w:val="center"/>
          </w:tcPr>
          <w:p w14:paraId="6CE1378E">
            <w:pPr>
              <w:pStyle w:val="64"/>
              <w:spacing w:line="240" w:lineRule="auto"/>
              <w:ind w:firstLine="0"/>
              <w:rPr>
                <w:sz w:val="21"/>
                <w:szCs w:val="21"/>
                <w:u w:val="single"/>
              </w:rPr>
            </w:pPr>
            <w:r>
              <w:rPr>
                <w:rFonts w:hint="eastAsia"/>
                <w:sz w:val="21"/>
                <w:szCs w:val="21"/>
                <w:u w:val="single"/>
              </w:rPr>
              <w:t>+4.2</w:t>
            </w:r>
          </w:p>
        </w:tc>
      </w:tr>
      <w:tr w14:paraId="6BC845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481FAE6B">
            <w:pPr>
              <w:pStyle w:val="64"/>
              <w:spacing w:line="240" w:lineRule="auto"/>
              <w:ind w:firstLine="0"/>
              <w:rPr>
                <w:color w:val="FF0000"/>
                <w:sz w:val="21"/>
                <w:szCs w:val="21"/>
                <w:u w:val="single"/>
              </w:rPr>
            </w:pPr>
          </w:p>
        </w:tc>
        <w:tc>
          <w:tcPr>
            <w:tcW w:w="1394" w:type="dxa"/>
            <w:tcBorders>
              <w:tl2br w:val="nil"/>
              <w:tr2bl w:val="nil"/>
            </w:tcBorders>
            <w:vAlign w:val="center"/>
          </w:tcPr>
          <w:p w14:paraId="6B10AD92">
            <w:pPr>
              <w:pStyle w:val="64"/>
              <w:spacing w:line="240" w:lineRule="auto"/>
              <w:ind w:firstLine="0"/>
              <w:rPr>
                <w:sz w:val="21"/>
                <w:szCs w:val="21"/>
                <w:u w:val="single"/>
              </w:rPr>
            </w:pPr>
            <w:r>
              <w:rPr>
                <w:sz w:val="21"/>
                <w:szCs w:val="21"/>
                <w:u w:val="single"/>
              </w:rPr>
              <w:t>废弃包装桶</w:t>
            </w:r>
            <w:r>
              <w:rPr>
                <w:rFonts w:hint="eastAsia"/>
                <w:sz w:val="21"/>
                <w:szCs w:val="21"/>
                <w:u w:val="single"/>
              </w:rPr>
              <w:t>及内衬</w:t>
            </w:r>
          </w:p>
        </w:tc>
        <w:tc>
          <w:tcPr>
            <w:tcW w:w="1558" w:type="dxa"/>
            <w:tcBorders>
              <w:tl2br w:val="nil"/>
              <w:tr2bl w:val="nil"/>
            </w:tcBorders>
            <w:vAlign w:val="center"/>
          </w:tcPr>
          <w:p w14:paraId="33581223">
            <w:pPr>
              <w:pStyle w:val="64"/>
              <w:spacing w:line="240" w:lineRule="auto"/>
              <w:ind w:firstLine="0"/>
              <w:rPr>
                <w:sz w:val="21"/>
                <w:szCs w:val="21"/>
                <w:u w:val="single"/>
              </w:rPr>
            </w:pPr>
            <w:r>
              <w:rPr>
                <w:rFonts w:hint="eastAsia"/>
                <w:sz w:val="21"/>
                <w:szCs w:val="21"/>
                <w:u w:val="single"/>
              </w:rPr>
              <w:t>25.95</w:t>
            </w:r>
          </w:p>
        </w:tc>
        <w:tc>
          <w:tcPr>
            <w:tcW w:w="1217" w:type="dxa"/>
            <w:tcBorders>
              <w:tl2br w:val="nil"/>
              <w:tr2bl w:val="nil"/>
            </w:tcBorders>
            <w:vAlign w:val="center"/>
          </w:tcPr>
          <w:p w14:paraId="19E79C3C">
            <w:pPr>
              <w:pStyle w:val="64"/>
              <w:spacing w:line="240" w:lineRule="auto"/>
              <w:ind w:firstLine="0"/>
              <w:rPr>
                <w:sz w:val="21"/>
                <w:szCs w:val="21"/>
                <w:u w:val="single"/>
              </w:rPr>
            </w:pPr>
            <w:r>
              <w:rPr>
                <w:rFonts w:hint="eastAsia"/>
                <w:sz w:val="21"/>
                <w:szCs w:val="21"/>
                <w:u w:val="single"/>
              </w:rPr>
              <w:t>25</w:t>
            </w:r>
          </w:p>
        </w:tc>
        <w:tc>
          <w:tcPr>
            <w:tcW w:w="1218" w:type="dxa"/>
            <w:tcBorders>
              <w:tl2br w:val="nil"/>
              <w:tr2bl w:val="nil"/>
            </w:tcBorders>
            <w:vAlign w:val="center"/>
          </w:tcPr>
          <w:p w14:paraId="32B9DF75">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93C1F21">
            <w:pPr>
              <w:pStyle w:val="64"/>
              <w:spacing w:line="240" w:lineRule="auto"/>
              <w:ind w:firstLine="0"/>
              <w:rPr>
                <w:sz w:val="21"/>
                <w:szCs w:val="21"/>
                <w:u w:val="single"/>
              </w:rPr>
            </w:pPr>
            <w:r>
              <w:rPr>
                <w:rFonts w:hint="eastAsia"/>
                <w:sz w:val="21"/>
                <w:szCs w:val="21"/>
                <w:u w:val="single"/>
              </w:rPr>
              <w:t>50.95</w:t>
            </w:r>
          </w:p>
        </w:tc>
        <w:tc>
          <w:tcPr>
            <w:tcW w:w="1218" w:type="dxa"/>
            <w:tcBorders>
              <w:tl2br w:val="nil"/>
              <w:tr2bl w:val="nil"/>
            </w:tcBorders>
            <w:vAlign w:val="center"/>
          </w:tcPr>
          <w:p w14:paraId="38A985EA">
            <w:pPr>
              <w:pStyle w:val="64"/>
              <w:spacing w:line="240" w:lineRule="auto"/>
              <w:ind w:firstLine="0"/>
              <w:rPr>
                <w:sz w:val="21"/>
                <w:szCs w:val="21"/>
                <w:u w:val="single"/>
              </w:rPr>
            </w:pPr>
            <w:r>
              <w:rPr>
                <w:rFonts w:hint="eastAsia"/>
                <w:sz w:val="21"/>
                <w:szCs w:val="21"/>
                <w:u w:val="single"/>
              </w:rPr>
              <w:t>+25</w:t>
            </w:r>
          </w:p>
        </w:tc>
      </w:tr>
      <w:tr w14:paraId="38DF2B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36C7B241">
            <w:pPr>
              <w:pStyle w:val="64"/>
              <w:spacing w:line="240" w:lineRule="auto"/>
              <w:ind w:firstLine="0"/>
              <w:rPr>
                <w:color w:val="FF0000"/>
                <w:sz w:val="21"/>
                <w:szCs w:val="21"/>
                <w:u w:val="single"/>
              </w:rPr>
            </w:pPr>
          </w:p>
        </w:tc>
        <w:tc>
          <w:tcPr>
            <w:tcW w:w="1394" w:type="dxa"/>
            <w:tcBorders>
              <w:tl2br w:val="nil"/>
              <w:tr2bl w:val="nil"/>
            </w:tcBorders>
            <w:vAlign w:val="center"/>
          </w:tcPr>
          <w:p w14:paraId="55862336">
            <w:pPr>
              <w:pStyle w:val="64"/>
              <w:spacing w:line="240" w:lineRule="auto"/>
              <w:ind w:firstLine="0"/>
              <w:rPr>
                <w:sz w:val="21"/>
                <w:szCs w:val="21"/>
                <w:u w:val="single"/>
              </w:rPr>
            </w:pPr>
            <w:r>
              <w:rPr>
                <w:sz w:val="21"/>
                <w:szCs w:val="21"/>
                <w:u w:val="single"/>
              </w:rPr>
              <w:t>废碱液</w:t>
            </w:r>
          </w:p>
        </w:tc>
        <w:tc>
          <w:tcPr>
            <w:tcW w:w="1558" w:type="dxa"/>
            <w:tcBorders>
              <w:tl2br w:val="nil"/>
              <w:tr2bl w:val="nil"/>
            </w:tcBorders>
            <w:vAlign w:val="center"/>
          </w:tcPr>
          <w:p w14:paraId="4773DC7A">
            <w:pPr>
              <w:pStyle w:val="64"/>
              <w:spacing w:line="240" w:lineRule="auto"/>
              <w:ind w:firstLine="0"/>
              <w:rPr>
                <w:sz w:val="21"/>
                <w:szCs w:val="21"/>
                <w:u w:val="single"/>
              </w:rPr>
            </w:pPr>
            <w:r>
              <w:rPr>
                <w:rFonts w:hint="eastAsia"/>
                <w:sz w:val="21"/>
                <w:szCs w:val="21"/>
                <w:u w:val="single"/>
              </w:rPr>
              <w:t>10</w:t>
            </w:r>
          </w:p>
        </w:tc>
        <w:tc>
          <w:tcPr>
            <w:tcW w:w="1217" w:type="dxa"/>
            <w:tcBorders>
              <w:tl2br w:val="nil"/>
              <w:tr2bl w:val="nil"/>
            </w:tcBorders>
            <w:vAlign w:val="center"/>
          </w:tcPr>
          <w:p w14:paraId="20A1FEC8">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6E34837">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B492148">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A32DEAE">
            <w:pPr>
              <w:pStyle w:val="64"/>
              <w:spacing w:line="240" w:lineRule="auto"/>
              <w:ind w:firstLine="0"/>
              <w:rPr>
                <w:sz w:val="21"/>
                <w:szCs w:val="21"/>
                <w:u w:val="single"/>
              </w:rPr>
            </w:pPr>
            <w:r>
              <w:rPr>
                <w:rFonts w:hint="eastAsia"/>
                <w:sz w:val="21"/>
                <w:szCs w:val="21"/>
                <w:u w:val="single"/>
              </w:rPr>
              <w:t>-10</w:t>
            </w:r>
          </w:p>
        </w:tc>
      </w:tr>
      <w:tr w14:paraId="3C4168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42756ED6">
            <w:pPr>
              <w:pStyle w:val="64"/>
              <w:spacing w:line="240" w:lineRule="auto"/>
              <w:ind w:firstLine="0"/>
              <w:rPr>
                <w:color w:val="FF0000"/>
                <w:sz w:val="21"/>
                <w:szCs w:val="21"/>
                <w:u w:val="single"/>
              </w:rPr>
            </w:pPr>
          </w:p>
        </w:tc>
        <w:tc>
          <w:tcPr>
            <w:tcW w:w="1394" w:type="dxa"/>
            <w:tcBorders>
              <w:tl2br w:val="nil"/>
              <w:tr2bl w:val="nil"/>
            </w:tcBorders>
            <w:vAlign w:val="center"/>
          </w:tcPr>
          <w:p w14:paraId="0DBBEAD8">
            <w:pPr>
              <w:pStyle w:val="64"/>
              <w:spacing w:line="240" w:lineRule="auto"/>
              <w:ind w:firstLine="0"/>
              <w:rPr>
                <w:sz w:val="21"/>
                <w:szCs w:val="21"/>
                <w:u w:val="single"/>
              </w:rPr>
            </w:pPr>
            <w:r>
              <w:rPr>
                <w:rFonts w:hint="eastAsia"/>
                <w:sz w:val="21"/>
                <w:szCs w:val="21"/>
                <w:u w:val="single"/>
              </w:rPr>
              <w:t>含油抹布、手套</w:t>
            </w:r>
          </w:p>
        </w:tc>
        <w:tc>
          <w:tcPr>
            <w:tcW w:w="1558" w:type="dxa"/>
            <w:tcBorders>
              <w:tl2br w:val="nil"/>
              <w:tr2bl w:val="nil"/>
            </w:tcBorders>
            <w:vAlign w:val="center"/>
          </w:tcPr>
          <w:p w14:paraId="4700F095">
            <w:pPr>
              <w:pStyle w:val="64"/>
              <w:spacing w:line="240" w:lineRule="auto"/>
              <w:ind w:firstLine="0"/>
              <w:rPr>
                <w:sz w:val="21"/>
                <w:szCs w:val="21"/>
                <w:u w:val="single"/>
              </w:rPr>
            </w:pPr>
            <w:r>
              <w:rPr>
                <w:rFonts w:hint="eastAsia"/>
                <w:sz w:val="21"/>
                <w:szCs w:val="21"/>
                <w:u w:val="single"/>
              </w:rPr>
              <w:t>1.5</w:t>
            </w:r>
          </w:p>
        </w:tc>
        <w:tc>
          <w:tcPr>
            <w:tcW w:w="1217" w:type="dxa"/>
            <w:tcBorders>
              <w:tl2br w:val="nil"/>
              <w:tr2bl w:val="nil"/>
            </w:tcBorders>
            <w:vAlign w:val="center"/>
          </w:tcPr>
          <w:p w14:paraId="26E5B33B">
            <w:pPr>
              <w:pStyle w:val="64"/>
              <w:spacing w:line="240" w:lineRule="auto"/>
              <w:ind w:firstLine="0"/>
              <w:rPr>
                <w:sz w:val="21"/>
                <w:szCs w:val="21"/>
                <w:u w:val="single"/>
              </w:rPr>
            </w:pPr>
            <w:r>
              <w:rPr>
                <w:rFonts w:hint="eastAsia"/>
                <w:sz w:val="21"/>
                <w:szCs w:val="21"/>
                <w:u w:val="single"/>
              </w:rPr>
              <w:t>3.5</w:t>
            </w:r>
          </w:p>
        </w:tc>
        <w:tc>
          <w:tcPr>
            <w:tcW w:w="1218" w:type="dxa"/>
            <w:tcBorders>
              <w:tl2br w:val="nil"/>
              <w:tr2bl w:val="nil"/>
            </w:tcBorders>
            <w:vAlign w:val="center"/>
          </w:tcPr>
          <w:p w14:paraId="073A0604">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FAB03A0">
            <w:pPr>
              <w:pStyle w:val="64"/>
              <w:spacing w:line="240" w:lineRule="auto"/>
              <w:ind w:firstLine="0"/>
              <w:rPr>
                <w:sz w:val="21"/>
                <w:szCs w:val="21"/>
                <w:u w:val="single"/>
              </w:rPr>
            </w:pPr>
            <w:r>
              <w:rPr>
                <w:rFonts w:hint="eastAsia"/>
                <w:sz w:val="21"/>
                <w:szCs w:val="21"/>
                <w:u w:val="single"/>
              </w:rPr>
              <w:t>5</w:t>
            </w:r>
          </w:p>
        </w:tc>
        <w:tc>
          <w:tcPr>
            <w:tcW w:w="1218" w:type="dxa"/>
            <w:tcBorders>
              <w:tl2br w:val="nil"/>
              <w:tr2bl w:val="nil"/>
            </w:tcBorders>
            <w:vAlign w:val="center"/>
          </w:tcPr>
          <w:p w14:paraId="14A8242D">
            <w:pPr>
              <w:pStyle w:val="64"/>
              <w:spacing w:line="240" w:lineRule="auto"/>
              <w:ind w:firstLine="0"/>
              <w:rPr>
                <w:sz w:val="21"/>
                <w:szCs w:val="21"/>
                <w:u w:val="single"/>
              </w:rPr>
            </w:pPr>
            <w:r>
              <w:rPr>
                <w:rFonts w:hint="eastAsia"/>
                <w:sz w:val="21"/>
                <w:szCs w:val="21"/>
                <w:u w:val="single"/>
              </w:rPr>
              <w:t>+3.5</w:t>
            </w:r>
          </w:p>
        </w:tc>
      </w:tr>
      <w:tr w14:paraId="76568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B1F9A53">
            <w:pPr>
              <w:pStyle w:val="64"/>
              <w:spacing w:line="240" w:lineRule="auto"/>
              <w:ind w:firstLine="0"/>
              <w:rPr>
                <w:color w:val="FF0000"/>
                <w:sz w:val="21"/>
                <w:szCs w:val="21"/>
                <w:u w:val="single"/>
              </w:rPr>
            </w:pPr>
          </w:p>
        </w:tc>
        <w:tc>
          <w:tcPr>
            <w:tcW w:w="1394" w:type="dxa"/>
            <w:tcBorders>
              <w:tl2br w:val="nil"/>
              <w:tr2bl w:val="nil"/>
            </w:tcBorders>
            <w:vAlign w:val="center"/>
          </w:tcPr>
          <w:p w14:paraId="0A8D0C9B">
            <w:pPr>
              <w:pStyle w:val="64"/>
              <w:spacing w:line="240" w:lineRule="auto"/>
              <w:ind w:firstLine="0"/>
              <w:rPr>
                <w:sz w:val="21"/>
                <w:szCs w:val="21"/>
                <w:u w:val="single"/>
              </w:rPr>
            </w:pPr>
            <w:r>
              <w:rPr>
                <w:rFonts w:hint="eastAsia"/>
                <w:sz w:val="21"/>
                <w:szCs w:val="21"/>
                <w:u w:val="single"/>
              </w:rPr>
              <w:t>废过滤棉</w:t>
            </w:r>
          </w:p>
        </w:tc>
        <w:tc>
          <w:tcPr>
            <w:tcW w:w="1558" w:type="dxa"/>
            <w:tcBorders>
              <w:tl2br w:val="nil"/>
              <w:tr2bl w:val="nil"/>
            </w:tcBorders>
            <w:vAlign w:val="center"/>
          </w:tcPr>
          <w:p w14:paraId="272AEAEC">
            <w:pPr>
              <w:pStyle w:val="64"/>
              <w:spacing w:line="240" w:lineRule="auto"/>
              <w:ind w:firstLine="0"/>
              <w:rPr>
                <w:sz w:val="21"/>
                <w:szCs w:val="21"/>
                <w:u w:val="single"/>
              </w:rPr>
            </w:pPr>
            <w:r>
              <w:rPr>
                <w:rFonts w:hint="eastAsia"/>
                <w:sz w:val="21"/>
                <w:szCs w:val="21"/>
                <w:u w:val="single"/>
              </w:rPr>
              <w:t>0</w:t>
            </w:r>
          </w:p>
        </w:tc>
        <w:tc>
          <w:tcPr>
            <w:tcW w:w="1217" w:type="dxa"/>
            <w:tcBorders>
              <w:tl2br w:val="nil"/>
              <w:tr2bl w:val="nil"/>
            </w:tcBorders>
            <w:vAlign w:val="center"/>
          </w:tcPr>
          <w:p w14:paraId="285AB07D">
            <w:pPr>
              <w:pStyle w:val="64"/>
              <w:spacing w:line="240" w:lineRule="auto"/>
              <w:ind w:firstLine="0"/>
              <w:rPr>
                <w:sz w:val="21"/>
                <w:szCs w:val="21"/>
                <w:u w:val="single"/>
              </w:rPr>
            </w:pPr>
            <w:r>
              <w:rPr>
                <w:rFonts w:hint="eastAsia"/>
                <w:sz w:val="21"/>
                <w:szCs w:val="21"/>
                <w:u w:val="single"/>
              </w:rPr>
              <w:t>0.18</w:t>
            </w:r>
          </w:p>
        </w:tc>
        <w:tc>
          <w:tcPr>
            <w:tcW w:w="1218" w:type="dxa"/>
            <w:tcBorders>
              <w:tl2br w:val="nil"/>
              <w:tr2bl w:val="nil"/>
            </w:tcBorders>
            <w:vAlign w:val="center"/>
          </w:tcPr>
          <w:p w14:paraId="0B0BFD63">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65F44B46">
            <w:pPr>
              <w:pStyle w:val="64"/>
              <w:spacing w:line="240" w:lineRule="auto"/>
              <w:ind w:firstLine="0"/>
              <w:rPr>
                <w:sz w:val="21"/>
                <w:szCs w:val="21"/>
                <w:u w:val="single"/>
              </w:rPr>
            </w:pPr>
            <w:r>
              <w:rPr>
                <w:rFonts w:hint="eastAsia"/>
                <w:sz w:val="21"/>
                <w:szCs w:val="21"/>
                <w:u w:val="single"/>
              </w:rPr>
              <w:t>0.18</w:t>
            </w:r>
          </w:p>
        </w:tc>
        <w:tc>
          <w:tcPr>
            <w:tcW w:w="1218" w:type="dxa"/>
            <w:tcBorders>
              <w:tl2br w:val="nil"/>
              <w:tr2bl w:val="nil"/>
            </w:tcBorders>
            <w:vAlign w:val="center"/>
          </w:tcPr>
          <w:p w14:paraId="4AB10F75">
            <w:pPr>
              <w:pStyle w:val="64"/>
              <w:spacing w:line="240" w:lineRule="auto"/>
              <w:ind w:firstLine="0"/>
              <w:rPr>
                <w:sz w:val="21"/>
                <w:szCs w:val="21"/>
                <w:u w:val="single"/>
              </w:rPr>
            </w:pPr>
            <w:r>
              <w:rPr>
                <w:rFonts w:hint="eastAsia"/>
                <w:sz w:val="21"/>
                <w:szCs w:val="21"/>
                <w:u w:val="single"/>
              </w:rPr>
              <w:t>+0.18</w:t>
            </w:r>
          </w:p>
        </w:tc>
      </w:tr>
      <w:tr w14:paraId="138854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B776C33">
            <w:pPr>
              <w:pStyle w:val="64"/>
              <w:spacing w:line="240" w:lineRule="auto"/>
              <w:ind w:firstLine="0"/>
              <w:rPr>
                <w:color w:val="FF0000"/>
                <w:sz w:val="21"/>
                <w:szCs w:val="21"/>
                <w:u w:val="single"/>
              </w:rPr>
            </w:pPr>
          </w:p>
        </w:tc>
        <w:tc>
          <w:tcPr>
            <w:tcW w:w="1394" w:type="dxa"/>
            <w:tcBorders>
              <w:tl2br w:val="nil"/>
              <w:tr2bl w:val="nil"/>
            </w:tcBorders>
            <w:vAlign w:val="center"/>
          </w:tcPr>
          <w:p w14:paraId="40F946CF">
            <w:pPr>
              <w:pStyle w:val="64"/>
              <w:spacing w:line="240" w:lineRule="auto"/>
              <w:ind w:firstLine="0"/>
              <w:rPr>
                <w:sz w:val="21"/>
                <w:szCs w:val="21"/>
                <w:u w:val="single"/>
              </w:rPr>
            </w:pPr>
            <w:r>
              <w:rPr>
                <w:sz w:val="21"/>
                <w:szCs w:val="21"/>
                <w:u w:val="single"/>
              </w:rPr>
              <w:t>废</w:t>
            </w:r>
            <w:r>
              <w:rPr>
                <w:rFonts w:hint="eastAsia"/>
                <w:sz w:val="21"/>
                <w:szCs w:val="21"/>
                <w:u w:val="single"/>
              </w:rPr>
              <w:t>活性炭</w:t>
            </w:r>
          </w:p>
        </w:tc>
        <w:tc>
          <w:tcPr>
            <w:tcW w:w="1558" w:type="dxa"/>
            <w:tcBorders>
              <w:tl2br w:val="nil"/>
              <w:tr2bl w:val="nil"/>
            </w:tcBorders>
            <w:vAlign w:val="center"/>
          </w:tcPr>
          <w:p w14:paraId="1C0F0652">
            <w:pPr>
              <w:pStyle w:val="64"/>
              <w:spacing w:line="240" w:lineRule="auto"/>
              <w:ind w:firstLine="0"/>
              <w:rPr>
                <w:sz w:val="21"/>
                <w:szCs w:val="21"/>
                <w:u w:val="single"/>
              </w:rPr>
            </w:pPr>
            <w:r>
              <w:rPr>
                <w:rFonts w:hint="eastAsia"/>
                <w:sz w:val="21"/>
                <w:szCs w:val="21"/>
                <w:u w:val="single"/>
              </w:rPr>
              <w:t>0</w:t>
            </w:r>
          </w:p>
        </w:tc>
        <w:tc>
          <w:tcPr>
            <w:tcW w:w="1217" w:type="dxa"/>
            <w:tcBorders>
              <w:tl2br w:val="nil"/>
              <w:tr2bl w:val="nil"/>
            </w:tcBorders>
            <w:vAlign w:val="center"/>
          </w:tcPr>
          <w:p w14:paraId="24E143C7">
            <w:pPr>
              <w:pStyle w:val="64"/>
              <w:spacing w:line="240" w:lineRule="auto"/>
              <w:ind w:firstLine="0"/>
              <w:rPr>
                <w:sz w:val="21"/>
                <w:szCs w:val="21"/>
                <w:u w:val="single"/>
              </w:rPr>
            </w:pPr>
            <w:r>
              <w:rPr>
                <w:rFonts w:hint="eastAsia"/>
                <w:sz w:val="21"/>
                <w:szCs w:val="21"/>
                <w:u w:val="single"/>
              </w:rPr>
              <w:t>70</w:t>
            </w:r>
            <w:r>
              <w:rPr>
                <w:sz w:val="21"/>
                <w:szCs w:val="21"/>
                <w:u w:val="single"/>
              </w:rPr>
              <w:t>/</w:t>
            </w:r>
            <w:r>
              <w:rPr>
                <w:rFonts w:hint="eastAsia"/>
                <w:sz w:val="21"/>
                <w:szCs w:val="21"/>
                <w:u w:val="single"/>
              </w:rPr>
              <w:t>10</w:t>
            </w:r>
            <w:r>
              <w:rPr>
                <w:sz w:val="21"/>
                <w:szCs w:val="21"/>
                <w:u w:val="single"/>
              </w:rPr>
              <w:t>a</w:t>
            </w:r>
          </w:p>
        </w:tc>
        <w:tc>
          <w:tcPr>
            <w:tcW w:w="1218" w:type="dxa"/>
            <w:tcBorders>
              <w:tl2br w:val="nil"/>
              <w:tr2bl w:val="nil"/>
            </w:tcBorders>
            <w:vAlign w:val="center"/>
          </w:tcPr>
          <w:p w14:paraId="4E11ADD6">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097E4DE4">
            <w:pPr>
              <w:pStyle w:val="64"/>
              <w:spacing w:line="240" w:lineRule="auto"/>
              <w:ind w:firstLine="0"/>
              <w:rPr>
                <w:sz w:val="21"/>
                <w:szCs w:val="21"/>
                <w:u w:val="single"/>
              </w:rPr>
            </w:pPr>
            <w:r>
              <w:rPr>
                <w:rFonts w:hint="eastAsia"/>
                <w:sz w:val="21"/>
                <w:szCs w:val="21"/>
                <w:u w:val="single"/>
              </w:rPr>
              <w:t>70</w:t>
            </w:r>
            <w:r>
              <w:rPr>
                <w:sz w:val="21"/>
                <w:szCs w:val="21"/>
                <w:u w:val="single"/>
              </w:rPr>
              <w:t>/</w:t>
            </w:r>
            <w:r>
              <w:rPr>
                <w:rFonts w:hint="eastAsia"/>
                <w:sz w:val="21"/>
                <w:szCs w:val="21"/>
                <w:u w:val="single"/>
              </w:rPr>
              <w:t>10</w:t>
            </w:r>
            <w:r>
              <w:rPr>
                <w:sz w:val="21"/>
                <w:szCs w:val="21"/>
                <w:u w:val="single"/>
              </w:rPr>
              <w:t>a</w:t>
            </w:r>
          </w:p>
        </w:tc>
        <w:tc>
          <w:tcPr>
            <w:tcW w:w="1218" w:type="dxa"/>
            <w:tcBorders>
              <w:tl2br w:val="nil"/>
              <w:tr2bl w:val="nil"/>
            </w:tcBorders>
            <w:vAlign w:val="center"/>
          </w:tcPr>
          <w:p w14:paraId="1EEF1F18">
            <w:pPr>
              <w:pStyle w:val="64"/>
              <w:spacing w:line="240" w:lineRule="auto"/>
              <w:ind w:firstLine="0"/>
              <w:rPr>
                <w:sz w:val="21"/>
                <w:szCs w:val="21"/>
                <w:u w:val="single"/>
              </w:rPr>
            </w:pPr>
            <w:r>
              <w:rPr>
                <w:rFonts w:hint="eastAsia"/>
                <w:sz w:val="21"/>
                <w:szCs w:val="21"/>
                <w:u w:val="single"/>
              </w:rPr>
              <w:t>+70</w:t>
            </w:r>
            <w:r>
              <w:rPr>
                <w:sz w:val="21"/>
                <w:szCs w:val="21"/>
                <w:u w:val="single"/>
              </w:rPr>
              <w:t>/</w:t>
            </w:r>
            <w:r>
              <w:rPr>
                <w:rFonts w:hint="eastAsia"/>
                <w:sz w:val="21"/>
                <w:szCs w:val="21"/>
                <w:u w:val="single"/>
              </w:rPr>
              <w:t>10</w:t>
            </w:r>
            <w:r>
              <w:rPr>
                <w:sz w:val="21"/>
                <w:szCs w:val="21"/>
                <w:u w:val="single"/>
              </w:rPr>
              <w:t>a</w:t>
            </w:r>
          </w:p>
        </w:tc>
      </w:tr>
      <w:tr w14:paraId="44E57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F946BE4">
            <w:pPr>
              <w:pStyle w:val="64"/>
              <w:spacing w:line="240" w:lineRule="auto"/>
              <w:ind w:firstLine="0"/>
              <w:rPr>
                <w:color w:val="FF0000"/>
                <w:sz w:val="21"/>
                <w:szCs w:val="21"/>
                <w:u w:val="single"/>
              </w:rPr>
            </w:pPr>
          </w:p>
        </w:tc>
        <w:tc>
          <w:tcPr>
            <w:tcW w:w="1394" w:type="dxa"/>
            <w:tcBorders>
              <w:tl2br w:val="nil"/>
              <w:tr2bl w:val="nil"/>
            </w:tcBorders>
            <w:vAlign w:val="center"/>
          </w:tcPr>
          <w:p w14:paraId="08DB2C61">
            <w:pPr>
              <w:pStyle w:val="64"/>
              <w:spacing w:line="240" w:lineRule="auto"/>
              <w:ind w:firstLine="0"/>
              <w:rPr>
                <w:sz w:val="21"/>
                <w:szCs w:val="21"/>
                <w:u w:val="single"/>
              </w:rPr>
            </w:pPr>
            <w:r>
              <w:rPr>
                <w:rFonts w:hint="eastAsia"/>
                <w:sz w:val="21"/>
                <w:szCs w:val="21"/>
                <w:u w:val="single"/>
              </w:rPr>
              <w:t>废沸石</w:t>
            </w:r>
          </w:p>
        </w:tc>
        <w:tc>
          <w:tcPr>
            <w:tcW w:w="1558" w:type="dxa"/>
            <w:tcBorders>
              <w:tl2br w:val="nil"/>
              <w:tr2bl w:val="nil"/>
            </w:tcBorders>
            <w:vAlign w:val="center"/>
          </w:tcPr>
          <w:p w14:paraId="4CD9858F">
            <w:pPr>
              <w:pStyle w:val="64"/>
              <w:spacing w:line="240" w:lineRule="auto"/>
              <w:ind w:firstLine="0"/>
              <w:rPr>
                <w:sz w:val="21"/>
                <w:szCs w:val="21"/>
                <w:u w:val="single"/>
              </w:rPr>
            </w:pPr>
            <w:r>
              <w:rPr>
                <w:rFonts w:hint="eastAsia"/>
                <w:sz w:val="21"/>
                <w:szCs w:val="21"/>
                <w:u w:val="single"/>
              </w:rPr>
              <w:t>0</w:t>
            </w:r>
          </w:p>
        </w:tc>
        <w:tc>
          <w:tcPr>
            <w:tcW w:w="1217" w:type="dxa"/>
            <w:tcBorders>
              <w:tl2br w:val="nil"/>
              <w:tr2bl w:val="nil"/>
            </w:tcBorders>
            <w:vAlign w:val="center"/>
          </w:tcPr>
          <w:p w14:paraId="1C3F4D81">
            <w:pPr>
              <w:pStyle w:val="64"/>
              <w:spacing w:line="240" w:lineRule="auto"/>
              <w:ind w:firstLine="0"/>
              <w:rPr>
                <w:sz w:val="21"/>
                <w:szCs w:val="21"/>
                <w:u w:val="single"/>
              </w:rPr>
            </w:pPr>
            <w:r>
              <w:rPr>
                <w:rFonts w:hint="eastAsia"/>
                <w:sz w:val="21"/>
                <w:szCs w:val="21"/>
                <w:u w:val="single"/>
              </w:rPr>
              <w:t>2.5</w:t>
            </w:r>
            <w:r>
              <w:rPr>
                <w:sz w:val="21"/>
                <w:szCs w:val="21"/>
                <w:u w:val="single"/>
              </w:rPr>
              <w:t>t/</w:t>
            </w:r>
            <w:r>
              <w:rPr>
                <w:rFonts w:hint="eastAsia"/>
                <w:sz w:val="21"/>
                <w:szCs w:val="21"/>
                <w:u w:val="single"/>
              </w:rPr>
              <w:t>8</w:t>
            </w:r>
            <w:r>
              <w:rPr>
                <w:sz w:val="21"/>
                <w:szCs w:val="21"/>
                <w:u w:val="single"/>
              </w:rPr>
              <w:t>a</w:t>
            </w:r>
          </w:p>
        </w:tc>
        <w:tc>
          <w:tcPr>
            <w:tcW w:w="1218" w:type="dxa"/>
            <w:tcBorders>
              <w:tl2br w:val="nil"/>
              <w:tr2bl w:val="nil"/>
            </w:tcBorders>
            <w:vAlign w:val="center"/>
          </w:tcPr>
          <w:p w14:paraId="6AE12FF2">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5FED3F78">
            <w:pPr>
              <w:pStyle w:val="64"/>
              <w:spacing w:line="240" w:lineRule="auto"/>
              <w:ind w:firstLine="0"/>
              <w:rPr>
                <w:sz w:val="21"/>
                <w:szCs w:val="21"/>
                <w:u w:val="single"/>
              </w:rPr>
            </w:pPr>
            <w:r>
              <w:rPr>
                <w:rFonts w:hint="eastAsia"/>
                <w:sz w:val="21"/>
                <w:szCs w:val="21"/>
                <w:u w:val="single"/>
              </w:rPr>
              <w:t>2.5</w:t>
            </w:r>
            <w:r>
              <w:rPr>
                <w:sz w:val="21"/>
                <w:szCs w:val="21"/>
                <w:u w:val="single"/>
              </w:rPr>
              <w:t>t/</w:t>
            </w:r>
            <w:r>
              <w:rPr>
                <w:rFonts w:hint="eastAsia"/>
                <w:sz w:val="21"/>
                <w:szCs w:val="21"/>
                <w:u w:val="single"/>
              </w:rPr>
              <w:t>8</w:t>
            </w:r>
            <w:r>
              <w:rPr>
                <w:sz w:val="21"/>
                <w:szCs w:val="21"/>
                <w:u w:val="single"/>
              </w:rPr>
              <w:t>a</w:t>
            </w:r>
          </w:p>
        </w:tc>
        <w:tc>
          <w:tcPr>
            <w:tcW w:w="1218" w:type="dxa"/>
            <w:tcBorders>
              <w:tl2br w:val="nil"/>
              <w:tr2bl w:val="nil"/>
            </w:tcBorders>
            <w:vAlign w:val="center"/>
          </w:tcPr>
          <w:p w14:paraId="4257C5F2">
            <w:pPr>
              <w:pStyle w:val="64"/>
              <w:spacing w:line="240" w:lineRule="auto"/>
              <w:ind w:firstLine="0"/>
              <w:rPr>
                <w:sz w:val="21"/>
                <w:szCs w:val="21"/>
                <w:u w:val="single"/>
              </w:rPr>
            </w:pPr>
            <w:r>
              <w:rPr>
                <w:rFonts w:hint="eastAsia"/>
                <w:sz w:val="21"/>
                <w:szCs w:val="21"/>
                <w:u w:val="single"/>
              </w:rPr>
              <w:t>+2.5</w:t>
            </w:r>
            <w:r>
              <w:rPr>
                <w:sz w:val="21"/>
                <w:szCs w:val="21"/>
                <w:u w:val="single"/>
              </w:rPr>
              <w:t>t/</w:t>
            </w:r>
            <w:r>
              <w:rPr>
                <w:rFonts w:hint="eastAsia"/>
                <w:sz w:val="21"/>
                <w:szCs w:val="21"/>
                <w:u w:val="single"/>
              </w:rPr>
              <w:t>8</w:t>
            </w:r>
            <w:r>
              <w:rPr>
                <w:sz w:val="21"/>
                <w:szCs w:val="21"/>
                <w:u w:val="single"/>
              </w:rPr>
              <w:t>a</w:t>
            </w:r>
          </w:p>
        </w:tc>
      </w:tr>
      <w:tr w14:paraId="545482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DB565AB">
            <w:pPr>
              <w:pStyle w:val="64"/>
              <w:spacing w:line="240" w:lineRule="auto"/>
              <w:ind w:firstLine="0"/>
              <w:rPr>
                <w:color w:val="FF0000"/>
                <w:sz w:val="21"/>
                <w:szCs w:val="21"/>
                <w:u w:val="single"/>
              </w:rPr>
            </w:pPr>
          </w:p>
        </w:tc>
        <w:tc>
          <w:tcPr>
            <w:tcW w:w="1394" w:type="dxa"/>
            <w:tcBorders>
              <w:tl2br w:val="nil"/>
              <w:tr2bl w:val="nil"/>
            </w:tcBorders>
            <w:vAlign w:val="center"/>
          </w:tcPr>
          <w:p w14:paraId="4500EABE">
            <w:pPr>
              <w:pStyle w:val="64"/>
              <w:spacing w:line="240" w:lineRule="auto"/>
              <w:ind w:firstLine="0"/>
              <w:rPr>
                <w:sz w:val="21"/>
                <w:szCs w:val="21"/>
                <w:u w:val="single"/>
              </w:rPr>
            </w:pPr>
            <w:r>
              <w:rPr>
                <w:rFonts w:hint="eastAsia"/>
                <w:sz w:val="21"/>
                <w:szCs w:val="21"/>
                <w:u w:val="single"/>
              </w:rPr>
              <w:t>精馏残液</w:t>
            </w:r>
          </w:p>
        </w:tc>
        <w:tc>
          <w:tcPr>
            <w:tcW w:w="1558" w:type="dxa"/>
            <w:tcBorders>
              <w:tl2br w:val="nil"/>
              <w:tr2bl w:val="nil"/>
            </w:tcBorders>
            <w:vAlign w:val="center"/>
          </w:tcPr>
          <w:p w14:paraId="2A06B4AF">
            <w:pPr>
              <w:pStyle w:val="64"/>
              <w:spacing w:line="240" w:lineRule="auto"/>
              <w:ind w:firstLine="0"/>
              <w:rPr>
                <w:sz w:val="21"/>
                <w:szCs w:val="21"/>
                <w:u w:val="single"/>
              </w:rPr>
            </w:pPr>
            <w:r>
              <w:rPr>
                <w:rFonts w:hint="eastAsia"/>
                <w:sz w:val="21"/>
                <w:szCs w:val="21"/>
                <w:u w:val="single"/>
              </w:rPr>
              <w:t>0</w:t>
            </w:r>
          </w:p>
        </w:tc>
        <w:tc>
          <w:tcPr>
            <w:tcW w:w="1217" w:type="dxa"/>
            <w:tcBorders>
              <w:tl2br w:val="nil"/>
              <w:tr2bl w:val="nil"/>
            </w:tcBorders>
            <w:vAlign w:val="center"/>
          </w:tcPr>
          <w:p w14:paraId="09C85423">
            <w:pPr>
              <w:pStyle w:val="64"/>
              <w:spacing w:line="240" w:lineRule="auto"/>
              <w:ind w:firstLine="0"/>
              <w:rPr>
                <w:sz w:val="21"/>
                <w:szCs w:val="21"/>
                <w:u w:val="single"/>
              </w:rPr>
            </w:pPr>
            <w:r>
              <w:rPr>
                <w:rFonts w:hint="eastAsia"/>
                <w:sz w:val="21"/>
                <w:szCs w:val="21"/>
                <w:u w:val="single"/>
              </w:rPr>
              <w:t>35.2</w:t>
            </w:r>
          </w:p>
        </w:tc>
        <w:tc>
          <w:tcPr>
            <w:tcW w:w="1218" w:type="dxa"/>
            <w:tcBorders>
              <w:tl2br w:val="nil"/>
              <w:tr2bl w:val="nil"/>
            </w:tcBorders>
            <w:vAlign w:val="center"/>
          </w:tcPr>
          <w:p w14:paraId="162DA10E">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5A1EA62F">
            <w:pPr>
              <w:pStyle w:val="64"/>
              <w:spacing w:line="240" w:lineRule="auto"/>
              <w:ind w:firstLine="0"/>
              <w:rPr>
                <w:sz w:val="21"/>
                <w:szCs w:val="21"/>
                <w:u w:val="single"/>
              </w:rPr>
            </w:pPr>
            <w:r>
              <w:rPr>
                <w:rFonts w:hint="eastAsia"/>
                <w:sz w:val="21"/>
                <w:szCs w:val="21"/>
                <w:u w:val="single"/>
              </w:rPr>
              <w:t>35.2</w:t>
            </w:r>
          </w:p>
        </w:tc>
        <w:tc>
          <w:tcPr>
            <w:tcW w:w="1218" w:type="dxa"/>
            <w:tcBorders>
              <w:tl2br w:val="nil"/>
              <w:tr2bl w:val="nil"/>
            </w:tcBorders>
            <w:vAlign w:val="center"/>
          </w:tcPr>
          <w:p w14:paraId="3EB5E840">
            <w:pPr>
              <w:pStyle w:val="64"/>
              <w:spacing w:line="240" w:lineRule="auto"/>
              <w:ind w:firstLine="0"/>
              <w:rPr>
                <w:sz w:val="21"/>
                <w:szCs w:val="21"/>
                <w:u w:val="single"/>
              </w:rPr>
            </w:pPr>
            <w:r>
              <w:rPr>
                <w:rFonts w:hint="eastAsia"/>
                <w:sz w:val="21"/>
                <w:szCs w:val="21"/>
                <w:u w:val="single"/>
              </w:rPr>
              <w:t>+35.2</w:t>
            </w:r>
          </w:p>
        </w:tc>
      </w:tr>
      <w:tr w14:paraId="14968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08BBEF2F">
            <w:pPr>
              <w:pStyle w:val="64"/>
              <w:spacing w:line="240" w:lineRule="auto"/>
              <w:ind w:firstLine="0"/>
              <w:rPr>
                <w:color w:val="FF0000"/>
                <w:sz w:val="21"/>
                <w:szCs w:val="21"/>
                <w:u w:val="single"/>
              </w:rPr>
            </w:pPr>
          </w:p>
        </w:tc>
        <w:tc>
          <w:tcPr>
            <w:tcW w:w="1394" w:type="dxa"/>
            <w:tcBorders>
              <w:tl2br w:val="nil"/>
              <w:tr2bl w:val="nil"/>
            </w:tcBorders>
            <w:vAlign w:val="center"/>
          </w:tcPr>
          <w:p w14:paraId="21C98D4C">
            <w:pPr>
              <w:pStyle w:val="64"/>
              <w:spacing w:line="240" w:lineRule="auto"/>
              <w:ind w:firstLine="0"/>
              <w:rPr>
                <w:sz w:val="21"/>
                <w:szCs w:val="21"/>
                <w:u w:val="single"/>
              </w:rPr>
            </w:pPr>
            <w:r>
              <w:rPr>
                <w:rFonts w:hint="eastAsia"/>
                <w:sz w:val="21"/>
                <w:szCs w:val="21"/>
                <w:u w:val="single"/>
              </w:rPr>
              <w:t>废润滑油及其包装桶</w:t>
            </w:r>
          </w:p>
        </w:tc>
        <w:tc>
          <w:tcPr>
            <w:tcW w:w="1558" w:type="dxa"/>
            <w:tcBorders>
              <w:tl2br w:val="nil"/>
              <w:tr2bl w:val="nil"/>
            </w:tcBorders>
            <w:vAlign w:val="center"/>
          </w:tcPr>
          <w:p w14:paraId="5AA66C90">
            <w:pPr>
              <w:pStyle w:val="64"/>
              <w:spacing w:line="240" w:lineRule="auto"/>
              <w:ind w:firstLine="0"/>
              <w:rPr>
                <w:sz w:val="21"/>
                <w:szCs w:val="21"/>
                <w:u w:val="single"/>
              </w:rPr>
            </w:pPr>
            <w:r>
              <w:rPr>
                <w:rFonts w:hint="eastAsia"/>
                <w:sz w:val="21"/>
                <w:szCs w:val="21"/>
                <w:u w:val="single"/>
              </w:rPr>
              <w:t>未核算</w:t>
            </w:r>
          </w:p>
        </w:tc>
        <w:tc>
          <w:tcPr>
            <w:tcW w:w="1217" w:type="dxa"/>
            <w:tcBorders>
              <w:tl2br w:val="nil"/>
              <w:tr2bl w:val="nil"/>
            </w:tcBorders>
            <w:vAlign w:val="center"/>
          </w:tcPr>
          <w:p w14:paraId="3D978C91">
            <w:pPr>
              <w:pStyle w:val="64"/>
              <w:spacing w:line="240" w:lineRule="auto"/>
              <w:ind w:firstLine="0"/>
              <w:rPr>
                <w:sz w:val="21"/>
                <w:szCs w:val="21"/>
                <w:u w:val="single"/>
              </w:rPr>
            </w:pPr>
            <w:r>
              <w:rPr>
                <w:rFonts w:hint="eastAsia"/>
                <w:sz w:val="21"/>
                <w:szCs w:val="21"/>
                <w:u w:val="single"/>
              </w:rPr>
              <w:t>0.5</w:t>
            </w:r>
          </w:p>
        </w:tc>
        <w:tc>
          <w:tcPr>
            <w:tcW w:w="1218" w:type="dxa"/>
            <w:tcBorders>
              <w:tl2br w:val="nil"/>
              <w:tr2bl w:val="nil"/>
            </w:tcBorders>
            <w:vAlign w:val="center"/>
          </w:tcPr>
          <w:p w14:paraId="4656BBF8">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0C45BAB1">
            <w:pPr>
              <w:pStyle w:val="64"/>
              <w:spacing w:line="240" w:lineRule="auto"/>
              <w:ind w:firstLine="0"/>
              <w:rPr>
                <w:sz w:val="21"/>
                <w:szCs w:val="21"/>
                <w:u w:val="single"/>
              </w:rPr>
            </w:pPr>
            <w:r>
              <w:rPr>
                <w:rFonts w:hint="eastAsia"/>
                <w:sz w:val="21"/>
                <w:szCs w:val="21"/>
                <w:u w:val="single"/>
              </w:rPr>
              <w:t>0.5</w:t>
            </w:r>
          </w:p>
        </w:tc>
        <w:tc>
          <w:tcPr>
            <w:tcW w:w="1218" w:type="dxa"/>
            <w:tcBorders>
              <w:tl2br w:val="nil"/>
              <w:tr2bl w:val="nil"/>
            </w:tcBorders>
            <w:vAlign w:val="center"/>
          </w:tcPr>
          <w:p w14:paraId="35D04DB3">
            <w:pPr>
              <w:pStyle w:val="64"/>
              <w:spacing w:line="240" w:lineRule="auto"/>
              <w:ind w:firstLine="0"/>
              <w:rPr>
                <w:sz w:val="21"/>
                <w:szCs w:val="21"/>
                <w:u w:val="single"/>
              </w:rPr>
            </w:pPr>
            <w:r>
              <w:rPr>
                <w:rFonts w:hint="eastAsia"/>
                <w:sz w:val="21"/>
                <w:szCs w:val="21"/>
                <w:u w:val="single"/>
              </w:rPr>
              <w:t>+0.5</w:t>
            </w:r>
          </w:p>
        </w:tc>
      </w:tr>
      <w:tr w14:paraId="23AABA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6AF87D6">
            <w:pPr>
              <w:pStyle w:val="64"/>
              <w:spacing w:line="240" w:lineRule="auto"/>
              <w:ind w:firstLine="0"/>
              <w:rPr>
                <w:color w:val="FF0000"/>
                <w:sz w:val="21"/>
                <w:szCs w:val="21"/>
                <w:u w:val="single"/>
              </w:rPr>
            </w:pPr>
          </w:p>
        </w:tc>
        <w:tc>
          <w:tcPr>
            <w:tcW w:w="1394" w:type="dxa"/>
            <w:tcBorders>
              <w:tl2br w:val="nil"/>
              <w:tr2bl w:val="nil"/>
            </w:tcBorders>
            <w:vAlign w:val="center"/>
          </w:tcPr>
          <w:p w14:paraId="5621799B">
            <w:pPr>
              <w:pStyle w:val="64"/>
              <w:spacing w:line="240" w:lineRule="auto"/>
              <w:ind w:firstLine="0"/>
              <w:rPr>
                <w:sz w:val="21"/>
                <w:szCs w:val="21"/>
                <w:u w:val="single"/>
              </w:rPr>
            </w:pPr>
            <w:r>
              <w:rPr>
                <w:rFonts w:hint="eastAsia"/>
                <w:sz w:val="21"/>
                <w:szCs w:val="21"/>
                <w:u w:val="single"/>
              </w:rPr>
              <w:t>废导热油及其包装桶</w:t>
            </w:r>
          </w:p>
        </w:tc>
        <w:tc>
          <w:tcPr>
            <w:tcW w:w="1558" w:type="dxa"/>
            <w:tcBorders>
              <w:tl2br w:val="nil"/>
              <w:tr2bl w:val="nil"/>
            </w:tcBorders>
            <w:vAlign w:val="center"/>
          </w:tcPr>
          <w:p w14:paraId="4D079614">
            <w:pPr>
              <w:pStyle w:val="64"/>
              <w:spacing w:line="240" w:lineRule="auto"/>
              <w:ind w:firstLine="0"/>
              <w:rPr>
                <w:sz w:val="21"/>
                <w:szCs w:val="21"/>
                <w:u w:val="single"/>
              </w:rPr>
            </w:pPr>
            <w:r>
              <w:rPr>
                <w:rFonts w:hint="eastAsia"/>
                <w:sz w:val="21"/>
                <w:szCs w:val="21"/>
                <w:u w:val="single"/>
              </w:rPr>
              <w:t>0</w:t>
            </w:r>
          </w:p>
        </w:tc>
        <w:tc>
          <w:tcPr>
            <w:tcW w:w="1217" w:type="dxa"/>
            <w:tcBorders>
              <w:tl2br w:val="nil"/>
              <w:tr2bl w:val="nil"/>
            </w:tcBorders>
            <w:vAlign w:val="center"/>
          </w:tcPr>
          <w:p w14:paraId="2984090F">
            <w:pPr>
              <w:pStyle w:val="64"/>
              <w:spacing w:line="240" w:lineRule="auto"/>
              <w:ind w:firstLine="0"/>
              <w:rPr>
                <w:sz w:val="21"/>
                <w:szCs w:val="21"/>
                <w:u w:val="single"/>
              </w:rPr>
            </w:pPr>
            <w:r>
              <w:rPr>
                <w:rFonts w:hint="eastAsia"/>
                <w:sz w:val="21"/>
                <w:szCs w:val="21"/>
                <w:u w:val="single"/>
              </w:rPr>
              <w:t>2</w:t>
            </w:r>
            <w:r>
              <w:rPr>
                <w:sz w:val="21"/>
                <w:szCs w:val="21"/>
                <w:u w:val="single"/>
              </w:rPr>
              <w:t>t/</w:t>
            </w:r>
            <w:r>
              <w:rPr>
                <w:rFonts w:hint="eastAsia"/>
                <w:sz w:val="21"/>
                <w:szCs w:val="21"/>
                <w:u w:val="single"/>
              </w:rPr>
              <w:t>2</w:t>
            </w:r>
            <w:r>
              <w:rPr>
                <w:sz w:val="21"/>
                <w:szCs w:val="21"/>
                <w:u w:val="single"/>
              </w:rPr>
              <w:t>a</w:t>
            </w:r>
          </w:p>
        </w:tc>
        <w:tc>
          <w:tcPr>
            <w:tcW w:w="1218" w:type="dxa"/>
            <w:tcBorders>
              <w:tl2br w:val="nil"/>
              <w:tr2bl w:val="nil"/>
            </w:tcBorders>
            <w:vAlign w:val="center"/>
          </w:tcPr>
          <w:p w14:paraId="12A2D27F">
            <w:pPr>
              <w:pStyle w:val="64"/>
              <w:spacing w:line="240" w:lineRule="auto"/>
              <w:ind w:firstLine="0"/>
              <w:rPr>
                <w:color w:val="FF0000"/>
                <w:sz w:val="21"/>
                <w:szCs w:val="21"/>
                <w:u w:val="single"/>
              </w:rPr>
            </w:pPr>
            <w:r>
              <w:rPr>
                <w:rFonts w:hint="eastAsia"/>
                <w:sz w:val="21"/>
                <w:szCs w:val="21"/>
                <w:u w:val="single"/>
              </w:rPr>
              <w:t>0</w:t>
            </w:r>
          </w:p>
        </w:tc>
        <w:tc>
          <w:tcPr>
            <w:tcW w:w="1218" w:type="dxa"/>
            <w:tcBorders>
              <w:tl2br w:val="nil"/>
              <w:tr2bl w:val="nil"/>
            </w:tcBorders>
            <w:vAlign w:val="center"/>
          </w:tcPr>
          <w:p w14:paraId="416EBF21">
            <w:pPr>
              <w:pStyle w:val="64"/>
              <w:spacing w:line="240" w:lineRule="auto"/>
              <w:ind w:firstLine="0"/>
              <w:rPr>
                <w:sz w:val="21"/>
                <w:szCs w:val="21"/>
                <w:u w:val="single"/>
              </w:rPr>
            </w:pPr>
            <w:r>
              <w:rPr>
                <w:rFonts w:hint="eastAsia"/>
                <w:sz w:val="21"/>
                <w:szCs w:val="21"/>
                <w:u w:val="single"/>
              </w:rPr>
              <w:t>2</w:t>
            </w:r>
            <w:r>
              <w:rPr>
                <w:sz w:val="21"/>
                <w:szCs w:val="21"/>
                <w:u w:val="single"/>
              </w:rPr>
              <w:t>t/</w:t>
            </w:r>
            <w:r>
              <w:rPr>
                <w:rFonts w:hint="eastAsia"/>
                <w:sz w:val="21"/>
                <w:szCs w:val="21"/>
                <w:u w:val="single"/>
              </w:rPr>
              <w:t>2</w:t>
            </w:r>
            <w:r>
              <w:rPr>
                <w:sz w:val="21"/>
                <w:szCs w:val="21"/>
                <w:u w:val="single"/>
              </w:rPr>
              <w:t>a</w:t>
            </w:r>
          </w:p>
        </w:tc>
        <w:tc>
          <w:tcPr>
            <w:tcW w:w="1218" w:type="dxa"/>
            <w:tcBorders>
              <w:tl2br w:val="nil"/>
              <w:tr2bl w:val="nil"/>
            </w:tcBorders>
            <w:vAlign w:val="center"/>
          </w:tcPr>
          <w:p w14:paraId="33525A57">
            <w:pPr>
              <w:pStyle w:val="64"/>
              <w:spacing w:line="240" w:lineRule="auto"/>
              <w:ind w:firstLine="0"/>
              <w:rPr>
                <w:sz w:val="21"/>
                <w:szCs w:val="21"/>
                <w:u w:val="single"/>
              </w:rPr>
            </w:pPr>
            <w:r>
              <w:rPr>
                <w:rFonts w:hint="eastAsia"/>
                <w:sz w:val="21"/>
                <w:szCs w:val="21"/>
                <w:u w:val="single"/>
              </w:rPr>
              <w:t>+2</w:t>
            </w:r>
            <w:r>
              <w:rPr>
                <w:sz w:val="21"/>
                <w:szCs w:val="21"/>
                <w:u w:val="single"/>
              </w:rPr>
              <w:t>t/</w:t>
            </w:r>
            <w:r>
              <w:rPr>
                <w:rFonts w:hint="eastAsia"/>
                <w:sz w:val="21"/>
                <w:szCs w:val="21"/>
                <w:u w:val="single"/>
              </w:rPr>
              <w:t>2</w:t>
            </w:r>
            <w:r>
              <w:rPr>
                <w:sz w:val="21"/>
                <w:szCs w:val="21"/>
                <w:u w:val="single"/>
              </w:rPr>
              <w:t>a</w:t>
            </w:r>
          </w:p>
        </w:tc>
      </w:tr>
      <w:tr w14:paraId="52BDFD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7"/>
            <w:tcBorders>
              <w:tl2br w:val="nil"/>
              <w:tr2bl w:val="nil"/>
            </w:tcBorders>
            <w:vAlign w:val="center"/>
          </w:tcPr>
          <w:p w14:paraId="1DAE5A50">
            <w:pPr>
              <w:pStyle w:val="64"/>
              <w:spacing w:line="240" w:lineRule="auto"/>
              <w:ind w:firstLine="0"/>
              <w:rPr>
                <w:color w:val="FF0000"/>
                <w:sz w:val="21"/>
                <w:szCs w:val="21"/>
                <w:u w:val="single"/>
              </w:rPr>
            </w:pPr>
            <w:r>
              <w:rPr>
                <w:rFonts w:hint="eastAsia"/>
                <w:sz w:val="21"/>
                <w:szCs w:val="21"/>
                <w:u w:val="single"/>
              </w:rPr>
              <w:t>（5）=（2）–（3），（4）=（1）–（3）＋（2）</w:t>
            </w:r>
          </w:p>
        </w:tc>
      </w:tr>
      <w:bookmarkEnd w:id="54"/>
      <w:bookmarkEnd w:id="55"/>
      <w:bookmarkEnd w:id="56"/>
      <w:bookmarkEnd w:id="57"/>
      <w:bookmarkEnd w:id="58"/>
    </w:tbl>
    <w:p w14:paraId="0A309012">
      <w:pPr>
        <w:pStyle w:val="2"/>
        <w:numPr>
          <w:ilvl w:val="0"/>
          <w:numId w:val="0"/>
        </w:numPr>
        <w:ind w:left="425" w:leftChars="0" w:hanging="425" w:firstLineChars="0"/>
        <w:rPr>
          <w:color w:val="auto"/>
        </w:rPr>
      </w:pPr>
      <w:bookmarkStart w:id="87" w:name="_Toc24628"/>
      <w:r>
        <w:rPr>
          <w:rFonts w:hint="default" w:ascii="宋体" w:hAnsi="宋体" w:eastAsia="宋体" w:cs="宋体"/>
          <w:b/>
          <w:bCs/>
          <w:color w:val="auto"/>
          <w:kern w:val="44"/>
          <w:sz w:val="32"/>
          <w:szCs w:val="32"/>
          <w:lang w:val="en-US" w:eastAsia="zh-CN" w:bidi="ar-SA"/>
        </w:rPr>
        <w:t>第4章</w:t>
      </w:r>
      <w:r>
        <w:rPr>
          <w:rFonts w:hint="eastAsia"/>
          <w:color w:val="auto"/>
        </w:rPr>
        <w:t>在建工程变更概况</w:t>
      </w:r>
      <w:bookmarkEnd w:id="87"/>
    </w:p>
    <w:p w14:paraId="480140C1">
      <w:pPr>
        <w:pStyle w:val="3"/>
        <w:numPr>
          <w:ilvl w:val="1"/>
          <w:numId w:val="0"/>
        </w:numPr>
        <w:ind w:left="567" w:leftChars="0" w:hanging="567" w:firstLineChars="0"/>
      </w:pPr>
      <w:bookmarkStart w:id="88" w:name="_Toc16393"/>
      <w:r>
        <w:rPr>
          <w:rFonts w:hint="default" w:ascii="宋体" w:hAnsi="宋体" w:eastAsia="宋体" w:cs="宋体"/>
          <w:b/>
          <w:bCs/>
          <w:kern w:val="2"/>
          <w:sz w:val="28"/>
          <w:szCs w:val="28"/>
          <w:lang w:val="en-US" w:eastAsia="zh-CN" w:bidi="ar-SA"/>
        </w:rPr>
        <w:t>4.1</w:t>
      </w:r>
      <w:r>
        <w:rPr>
          <w:rFonts w:hint="eastAsia"/>
        </w:rPr>
        <w:t>在建工程变更概况</w:t>
      </w:r>
      <w:bookmarkEnd w:id="88"/>
    </w:p>
    <w:p w14:paraId="26FB07E4">
      <w:pPr>
        <w:pStyle w:val="4"/>
        <w:numPr>
          <w:ilvl w:val="2"/>
          <w:numId w:val="0"/>
        </w:numPr>
        <w:ind w:left="992" w:leftChars="0" w:hanging="992" w:firstLineChars="0"/>
        <w:rPr>
          <w:rFonts w:hint="eastAsia"/>
        </w:rPr>
      </w:pPr>
      <w:r>
        <w:rPr>
          <w:rFonts w:hint="default" w:ascii="宋体" w:hAnsi="宋体" w:eastAsia="宋体" w:cs="宋体"/>
          <w:b/>
          <w:bCs/>
          <w:kern w:val="2"/>
          <w:sz w:val="24"/>
          <w:szCs w:val="24"/>
          <w:lang w:val="en-US" w:eastAsia="zh-CN" w:bidi="ar-SA"/>
        </w:rPr>
        <w:t>4.1.1</w:t>
      </w:r>
      <w:r>
        <w:rPr>
          <w:rFonts w:hint="eastAsia"/>
        </w:rPr>
        <w:t>在建项目变更方案</w:t>
      </w:r>
    </w:p>
    <w:p w14:paraId="1947F749">
      <w:pPr>
        <w:pStyle w:val="38"/>
        <w:ind w:left="480" w:leftChars="200"/>
        <w:rPr>
          <w:rFonts w:ascii="Times New Roman" w:hAnsi="Times New Roman"/>
          <w:bCs/>
          <w:color w:val="auto"/>
          <w:u w:val="single"/>
        </w:rPr>
      </w:pPr>
      <w:r>
        <w:rPr>
          <w:rFonts w:hint="eastAsia" w:ascii="Times New Roman" w:hAnsi="Times New Roman"/>
          <w:bCs/>
          <w:color w:val="auto"/>
          <w:u w:val="single"/>
        </w:rPr>
        <w:t>（1）优化平面布局，提升设备</w:t>
      </w:r>
      <w:r>
        <w:rPr>
          <w:rFonts w:ascii="Times New Roman" w:hAnsi="Times New Roman" w:cs="Times New Roman"/>
          <w:bCs/>
          <w:color w:val="auto"/>
          <w:u w:val="single"/>
        </w:rPr>
        <w:t>转速</w:t>
      </w:r>
      <w:r>
        <w:rPr>
          <w:rFonts w:hint="eastAsia" w:ascii="Times New Roman" w:hAnsi="Times New Roman" w:cs="Times New Roman"/>
          <w:bCs/>
          <w:color w:val="auto"/>
          <w:u w:val="single"/>
        </w:rPr>
        <w:t>，全厂</w:t>
      </w:r>
      <w:r>
        <w:rPr>
          <w:rFonts w:hint="eastAsia" w:ascii="Times New Roman" w:hAnsi="Times New Roman"/>
          <w:bCs/>
          <w:color w:val="auto"/>
          <w:u w:val="single"/>
        </w:rPr>
        <w:t>产能由批复的15000t/a增加至</w:t>
      </w:r>
    </w:p>
    <w:p w14:paraId="664475B7">
      <w:pPr>
        <w:pStyle w:val="38"/>
        <w:rPr>
          <w:rFonts w:ascii="Times New Roman" w:hAnsi="Times New Roman"/>
          <w:bCs/>
          <w:color w:val="auto"/>
          <w:u w:val="single"/>
        </w:rPr>
      </w:pPr>
      <w:r>
        <w:rPr>
          <w:rFonts w:hint="eastAsia" w:ascii="Times New Roman" w:hAnsi="Times New Roman"/>
          <w:bCs/>
          <w:color w:val="auto"/>
          <w:u w:val="single"/>
          <w:lang w:val="en-US" w:eastAsia="zh-CN"/>
        </w:rPr>
        <w:t>26800</w:t>
      </w:r>
      <w:r>
        <w:rPr>
          <w:rFonts w:hint="eastAsia" w:ascii="Times New Roman" w:hAnsi="Times New Roman"/>
          <w:bCs/>
          <w:color w:val="auto"/>
          <w:u w:val="single"/>
        </w:rPr>
        <w:t>t/a，同时增加相应原辅材料；</w:t>
      </w:r>
    </w:p>
    <w:p w14:paraId="2FAB03AC">
      <w:pPr>
        <w:pStyle w:val="38"/>
        <w:ind w:firstLine="480" w:firstLineChars="200"/>
        <w:jc w:val="both"/>
        <w:rPr>
          <w:rFonts w:hint="default" w:ascii="Times New Roman" w:hAnsi="Times New Roman" w:cs="Times New Roman"/>
          <w:bCs/>
          <w:color w:val="auto"/>
          <w:u w:val="single"/>
          <w:lang w:val="en-US"/>
        </w:rPr>
      </w:pPr>
      <w:r>
        <w:rPr>
          <w:rFonts w:hint="eastAsia" w:ascii="Times New Roman" w:hAnsi="Times New Roman"/>
          <w:bCs/>
          <w:color w:val="auto"/>
          <w:u w:val="single"/>
        </w:rPr>
        <w:t>（2）</w:t>
      </w:r>
      <w:r>
        <w:rPr>
          <w:rFonts w:hint="eastAsia" w:ascii="Times New Roman" w:hAnsi="Times New Roman"/>
          <w:bCs/>
          <w:color w:val="auto"/>
          <w:u w:val="single"/>
          <w:lang w:val="en-US" w:eastAsia="zh-CN"/>
        </w:rPr>
        <w:t>调整</w:t>
      </w:r>
      <w:r>
        <w:rPr>
          <w:rFonts w:hint="eastAsia" w:ascii="Times New Roman" w:hAnsi="Times New Roman" w:cs="Times New Roman"/>
          <w:bCs/>
          <w:color w:val="auto"/>
          <w:u w:val="single"/>
          <w:lang w:val="en-US" w:eastAsia="zh-CN"/>
        </w:rPr>
        <w:t>现有</w:t>
      </w:r>
      <w:r>
        <w:rPr>
          <w:rFonts w:ascii="Times New Roman" w:hAnsi="Times New Roman" w:cs="Times New Roman"/>
          <w:bCs/>
          <w:color w:val="auto"/>
          <w:u w:val="single"/>
        </w:rPr>
        <w:t>废气收集</w:t>
      </w:r>
      <w:r>
        <w:rPr>
          <w:rFonts w:hint="eastAsia" w:ascii="Times New Roman" w:hAnsi="Times New Roman" w:cs="Times New Roman"/>
          <w:bCs/>
          <w:color w:val="auto"/>
          <w:u w:val="single"/>
          <w:lang w:val="en-US" w:eastAsia="zh-CN"/>
        </w:rPr>
        <w:t>装置：</w:t>
      </w:r>
      <w:r>
        <w:rPr>
          <w:rFonts w:hint="eastAsia" w:ascii="Times New Roman" w:hAnsi="Times New Roman" w:cs="Times New Roman"/>
          <w:u w:val="single"/>
          <w:lang w:val="en-US" w:eastAsia="zh-CN"/>
        </w:rPr>
        <w:t>由于生产线生产节拍大幅度提高，须提升负压收集能力，因此拟</w:t>
      </w:r>
      <w:r>
        <w:rPr>
          <w:rFonts w:hint="eastAsia" w:ascii="Times New Roman" w:hAnsi="Times New Roman" w:cs="Times New Roman"/>
          <w:bCs/>
          <w:color w:val="auto"/>
          <w:u w:val="single"/>
          <w:lang w:val="en-US" w:eastAsia="zh-CN"/>
        </w:rPr>
        <w:t>将原</w:t>
      </w:r>
      <w:r>
        <w:rPr>
          <w:rFonts w:ascii="Times New Roman" w:hAnsi="Times New Roman" w:cs="Times New Roman"/>
          <w:bCs/>
          <w:color w:val="auto"/>
          <w:u w:val="single"/>
        </w:rPr>
        <w:t>94000</w:t>
      </w:r>
      <w:r>
        <w:rPr>
          <w:rFonts w:ascii="Times New Roman" w:hAnsi="Times New Roman" w:cs="Times New Roman"/>
          <w:u w:val="single"/>
        </w:rPr>
        <w:t>m</w:t>
      </w:r>
      <w:r>
        <w:rPr>
          <w:rFonts w:ascii="Times New Roman" w:hAnsi="Times New Roman" w:cs="Times New Roman"/>
          <w:u w:val="single"/>
          <w:vertAlign w:val="superscript"/>
        </w:rPr>
        <w:t>3</w:t>
      </w:r>
      <w:r>
        <w:rPr>
          <w:rFonts w:ascii="Times New Roman" w:hAnsi="Times New Roman" w:cs="Times New Roman"/>
          <w:u w:val="single"/>
        </w:rPr>
        <w:t>/h</w:t>
      </w:r>
      <w:r>
        <w:rPr>
          <w:rFonts w:hint="eastAsia" w:ascii="Times New Roman" w:hAnsi="Times New Roman" w:cs="Times New Roman"/>
          <w:u w:val="single"/>
        </w:rPr>
        <w:t>的烘干</w:t>
      </w:r>
      <w:r>
        <w:rPr>
          <w:rFonts w:ascii="Times New Roman" w:hAnsi="Times New Roman" w:cs="Times New Roman"/>
          <w:u w:val="single"/>
        </w:rPr>
        <w:t>循环</w:t>
      </w:r>
      <w:r>
        <w:rPr>
          <w:rFonts w:hint="eastAsia" w:ascii="Times New Roman" w:hAnsi="Times New Roman" w:cs="Times New Roman"/>
          <w:u w:val="single"/>
        </w:rPr>
        <w:t>风</w:t>
      </w:r>
      <w:r>
        <w:rPr>
          <w:rFonts w:hint="eastAsia" w:ascii="Times New Roman" w:hAnsi="Times New Roman" w:cs="Times New Roman"/>
          <w:u w:val="single"/>
          <w:lang w:val="en-US" w:eastAsia="zh-CN"/>
        </w:rPr>
        <w:t>并入</w:t>
      </w:r>
      <w:r>
        <w:rPr>
          <w:rFonts w:hint="eastAsia" w:ascii="Times New Roman" w:hAnsi="Times New Roman" w:cs="Times New Roman"/>
          <w:u w:val="single"/>
        </w:rPr>
        <w:t>总</w:t>
      </w:r>
      <w:r>
        <w:rPr>
          <w:rFonts w:hint="eastAsia" w:ascii="Times New Roman" w:hAnsi="Times New Roman" w:cs="Times New Roman"/>
          <w:u w:val="single"/>
          <w:lang w:val="en-US" w:eastAsia="zh-CN"/>
        </w:rPr>
        <w:t>排</w:t>
      </w:r>
      <w:r>
        <w:rPr>
          <w:rFonts w:hint="eastAsia" w:ascii="Times New Roman" w:hAnsi="Times New Roman" w:cs="Times New Roman"/>
          <w:u w:val="single"/>
        </w:rPr>
        <w:t>风</w:t>
      </w:r>
      <w:r>
        <w:rPr>
          <w:rFonts w:hint="eastAsia" w:ascii="Times New Roman" w:hAnsi="Times New Roman" w:cs="Times New Roman"/>
          <w:u w:val="single"/>
          <w:lang w:eastAsia="zh-CN"/>
        </w:rPr>
        <w:t>，</w:t>
      </w:r>
      <w:r>
        <w:rPr>
          <w:rFonts w:hint="eastAsia" w:ascii="Times New Roman" w:hAnsi="Times New Roman" w:cs="Times New Roman"/>
          <w:u w:val="single"/>
          <w:lang w:val="en-US" w:eastAsia="zh-CN"/>
        </w:rPr>
        <w:t>并更新现有风机，将总风</w:t>
      </w:r>
      <w:r>
        <w:rPr>
          <w:rFonts w:ascii="Times New Roman" w:hAnsi="Times New Roman" w:cs="Times New Roman"/>
          <w:u w:val="single"/>
        </w:rPr>
        <w:t>量</w:t>
      </w:r>
      <w:r>
        <w:rPr>
          <w:rFonts w:hint="eastAsia" w:ascii="Times New Roman" w:hAnsi="Times New Roman" w:cs="Times New Roman"/>
          <w:u w:val="single"/>
        </w:rPr>
        <w:t>由</w:t>
      </w:r>
      <w:r>
        <w:rPr>
          <w:rFonts w:hint="eastAsia" w:ascii="Times New Roman" w:hAnsi="Times New Roman" w:cs="Times New Roman"/>
          <w:u w:val="single"/>
          <w:lang w:val="en-US" w:eastAsia="zh-CN"/>
        </w:rPr>
        <w:t>原250</w:t>
      </w:r>
      <w:r>
        <w:rPr>
          <w:rFonts w:hint="eastAsia" w:ascii="Times New Roman" w:hAnsi="Times New Roman" w:cs="Times New Roman"/>
          <w:u w:val="single"/>
        </w:rPr>
        <w:t>000</w:t>
      </w:r>
      <w:r>
        <w:rPr>
          <w:rFonts w:ascii="Times New Roman" w:hAnsi="Times New Roman" w:cs="Times New Roman"/>
          <w:u w:val="single"/>
        </w:rPr>
        <w:t>m</w:t>
      </w:r>
      <w:r>
        <w:rPr>
          <w:rFonts w:ascii="Times New Roman" w:hAnsi="Times New Roman" w:cs="Times New Roman"/>
          <w:u w:val="single"/>
          <w:vertAlign w:val="superscript"/>
        </w:rPr>
        <w:t>3</w:t>
      </w:r>
      <w:r>
        <w:rPr>
          <w:rFonts w:ascii="Times New Roman" w:hAnsi="Times New Roman" w:cs="Times New Roman"/>
          <w:u w:val="single"/>
        </w:rPr>
        <w:t>/h增加至</w:t>
      </w:r>
      <w:r>
        <w:rPr>
          <w:rFonts w:hint="eastAsia" w:ascii="Times New Roman" w:hAnsi="Times New Roman" w:cs="Times New Roman"/>
          <w:u w:val="single"/>
          <w:lang w:val="en-US" w:eastAsia="zh-CN"/>
        </w:rPr>
        <w:t>38</w:t>
      </w:r>
      <w:r>
        <w:rPr>
          <w:rFonts w:ascii="Times New Roman" w:hAnsi="Times New Roman" w:cs="Times New Roman"/>
          <w:u w:val="single"/>
        </w:rPr>
        <w:t>0000m</w:t>
      </w:r>
      <w:r>
        <w:rPr>
          <w:rFonts w:ascii="Times New Roman" w:hAnsi="Times New Roman" w:cs="Times New Roman"/>
          <w:u w:val="single"/>
          <w:vertAlign w:val="superscript"/>
        </w:rPr>
        <w:t>3</w:t>
      </w:r>
      <w:r>
        <w:rPr>
          <w:rFonts w:ascii="Times New Roman" w:hAnsi="Times New Roman" w:cs="Times New Roman"/>
          <w:u w:val="single"/>
        </w:rPr>
        <w:t>/h</w:t>
      </w:r>
      <w:r>
        <w:rPr>
          <w:rFonts w:hint="eastAsia" w:ascii="Times New Roman" w:hAnsi="Times New Roman" w:cs="Times New Roman"/>
          <w:u w:val="single"/>
          <w:lang w:eastAsia="zh-CN"/>
        </w:rPr>
        <w:t>，</w:t>
      </w:r>
      <w:r>
        <w:rPr>
          <w:rFonts w:hint="eastAsia" w:ascii="Times New Roman" w:hAnsi="Times New Roman" w:cs="Times New Roman"/>
          <w:u w:val="single"/>
          <w:lang w:val="en-US" w:eastAsia="zh-CN"/>
        </w:rPr>
        <w:t>同时为提高大风量工况下的废气浓缩效率，生产车间集气系统升级为“减风增浓”工艺</w:t>
      </w:r>
      <w:r>
        <w:rPr>
          <w:rFonts w:hint="eastAsia" w:ascii="Times New Roman" w:hAnsi="Times New Roman" w:cs="Times New Roman"/>
          <w:u w:val="single"/>
          <w:lang w:eastAsia="zh-CN"/>
        </w:rPr>
        <w:t>；</w:t>
      </w:r>
      <w:r>
        <w:rPr>
          <w:rFonts w:hint="eastAsia" w:ascii="Times New Roman" w:hAnsi="Times New Roman" w:cs="Times New Roman"/>
          <w:u w:val="single"/>
          <w:lang w:val="en-US" w:eastAsia="zh-CN"/>
        </w:rPr>
        <w:t>尾端“吸附浓缩+溶剂回收设备”不变动。</w:t>
      </w:r>
    </w:p>
    <w:p w14:paraId="268D0F1E">
      <w:pPr>
        <w:pStyle w:val="38"/>
        <w:ind w:firstLine="480" w:firstLineChars="200"/>
        <w:rPr>
          <w:rFonts w:hint="eastAsia" w:ascii="Times New Roman" w:hAnsi="Times New Roman" w:cs="Times New Roman" w:eastAsiaTheme="minorEastAsia"/>
          <w:bCs/>
          <w:color w:val="auto"/>
          <w:lang w:val="en-US" w:eastAsia="zh-CN"/>
        </w:rPr>
      </w:pPr>
      <w:r>
        <w:rPr>
          <w:rFonts w:hint="eastAsia" w:ascii="Times New Roman" w:hAnsi="Times New Roman" w:cs="Times New Roman"/>
          <w:bCs/>
          <w:color w:val="auto"/>
          <w:u w:val="single"/>
        </w:rPr>
        <w:t>（3）降低能源消耗，烘干工艺由原天然气热风炉烘干变更为天然气热水锅炉烘干。</w:t>
      </w:r>
    </w:p>
    <w:p w14:paraId="1D5368EF">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4.1.1.1</w:t>
      </w:r>
      <w:r>
        <w:rPr>
          <w:rFonts w:hint="eastAsia"/>
        </w:rPr>
        <w:t>建设内容变更</w:t>
      </w:r>
    </w:p>
    <w:p w14:paraId="5BDE2D17">
      <w:pPr>
        <w:pStyle w:val="38"/>
        <w:ind w:left="480" w:leftChars="200"/>
        <w:rPr>
          <w:rFonts w:hint="eastAsia" w:ascii="Times New Roman" w:hAnsi="Times New Roman"/>
          <w:b/>
          <w:bCs/>
          <w:color w:val="auto"/>
        </w:rPr>
      </w:pPr>
      <w:r>
        <w:rPr>
          <w:rFonts w:hint="eastAsia" w:ascii="Times New Roman" w:hAnsi="Times New Roman"/>
          <w:b/>
          <w:bCs/>
          <w:color w:val="auto"/>
        </w:rPr>
        <w:t>表4.1-1  实际建设情况与潭环审（湘潭县）【2024】1号对比分析表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7"/>
        <w:gridCol w:w="2865"/>
        <w:gridCol w:w="2564"/>
        <w:gridCol w:w="2316"/>
      </w:tblGrid>
      <w:tr w14:paraId="2EC38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861" w:type="dxa"/>
            <w:vAlign w:val="center"/>
          </w:tcPr>
          <w:p w14:paraId="234DD333">
            <w:pPr>
              <w:adjustRightInd w:val="0"/>
              <w:snapToGrid w:val="0"/>
              <w:spacing w:line="240" w:lineRule="auto"/>
              <w:jc w:val="center"/>
              <w:rPr>
                <w:sz w:val="21"/>
                <w:szCs w:val="21"/>
              </w:rPr>
            </w:pPr>
            <w:r>
              <w:rPr>
                <w:sz w:val="21"/>
                <w:szCs w:val="21"/>
              </w:rPr>
              <w:t>项目</w:t>
            </w:r>
          </w:p>
        </w:tc>
        <w:tc>
          <w:tcPr>
            <w:tcW w:w="3046" w:type="dxa"/>
            <w:vAlign w:val="center"/>
          </w:tcPr>
          <w:p w14:paraId="30A871DC">
            <w:pPr>
              <w:adjustRightInd w:val="0"/>
              <w:snapToGrid w:val="0"/>
              <w:spacing w:line="240" w:lineRule="auto"/>
              <w:jc w:val="center"/>
              <w:rPr>
                <w:rFonts w:hint="eastAsia"/>
                <w:bCs/>
                <w:sz w:val="21"/>
                <w:szCs w:val="21"/>
              </w:rPr>
            </w:pPr>
            <w:r>
              <w:rPr>
                <w:rFonts w:hint="eastAsia"/>
                <w:bCs/>
                <w:sz w:val="21"/>
                <w:szCs w:val="21"/>
              </w:rPr>
              <w:t>潭环审（湘潭县）【2024】1号</w:t>
            </w:r>
          </w:p>
          <w:p w14:paraId="7993E256">
            <w:pPr>
              <w:adjustRightInd w:val="0"/>
              <w:snapToGrid w:val="0"/>
              <w:spacing w:line="240" w:lineRule="auto"/>
              <w:jc w:val="center"/>
              <w:rPr>
                <w:sz w:val="21"/>
                <w:szCs w:val="21"/>
              </w:rPr>
            </w:pPr>
            <w:r>
              <w:rPr>
                <w:rFonts w:hint="eastAsia"/>
                <w:bCs/>
                <w:sz w:val="21"/>
                <w:szCs w:val="21"/>
              </w:rPr>
              <w:t>内容</w:t>
            </w:r>
          </w:p>
        </w:tc>
        <w:tc>
          <w:tcPr>
            <w:tcW w:w="2672" w:type="dxa"/>
            <w:tcBorders>
              <w:right w:val="single" w:color="auto" w:sz="4" w:space="0"/>
            </w:tcBorders>
            <w:vAlign w:val="center"/>
          </w:tcPr>
          <w:p w14:paraId="255907F7">
            <w:pPr>
              <w:adjustRightInd w:val="0"/>
              <w:snapToGrid w:val="0"/>
              <w:spacing w:line="240" w:lineRule="auto"/>
              <w:jc w:val="center"/>
              <w:rPr>
                <w:sz w:val="21"/>
                <w:szCs w:val="21"/>
              </w:rPr>
            </w:pPr>
            <w:r>
              <w:rPr>
                <w:sz w:val="21"/>
                <w:szCs w:val="21"/>
              </w:rPr>
              <w:t>实际建设内容</w:t>
            </w:r>
          </w:p>
        </w:tc>
        <w:tc>
          <w:tcPr>
            <w:tcW w:w="1943" w:type="dxa"/>
            <w:tcBorders>
              <w:left w:val="single" w:color="auto" w:sz="4" w:space="0"/>
            </w:tcBorders>
            <w:vAlign w:val="center"/>
          </w:tcPr>
          <w:p w14:paraId="5EC3EF01">
            <w:pPr>
              <w:adjustRightInd w:val="0"/>
              <w:snapToGrid w:val="0"/>
              <w:spacing w:line="240" w:lineRule="auto"/>
              <w:jc w:val="center"/>
              <w:rPr>
                <w:sz w:val="21"/>
                <w:szCs w:val="21"/>
              </w:rPr>
            </w:pPr>
            <w:r>
              <w:rPr>
                <w:sz w:val="21"/>
                <w:szCs w:val="21"/>
              </w:rPr>
              <w:t>变化分析</w:t>
            </w:r>
          </w:p>
        </w:tc>
      </w:tr>
      <w:tr w14:paraId="425B4E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861" w:type="dxa"/>
            <w:vAlign w:val="center"/>
          </w:tcPr>
          <w:p w14:paraId="60096BCD">
            <w:pPr>
              <w:adjustRightInd w:val="0"/>
              <w:snapToGrid w:val="0"/>
              <w:spacing w:line="240" w:lineRule="auto"/>
              <w:jc w:val="center"/>
              <w:rPr>
                <w:sz w:val="21"/>
                <w:szCs w:val="21"/>
              </w:rPr>
            </w:pPr>
            <w:r>
              <w:rPr>
                <w:sz w:val="21"/>
                <w:szCs w:val="21"/>
              </w:rPr>
              <w:t>基本概况</w:t>
            </w:r>
          </w:p>
        </w:tc>
        <w:tc>
          <w:tcPr>
            <w:tcW w:w="3046" w:type="dxa"/>
            <w:vAlign w:val="center"/>
          </w:tcPr>
          <w:p w14:paraId="622F9676">
            <w:pPr>
              <w:spacing w:line="240" w:lineRule="auto"/>
              <w:rPr>
                <w:rFonts w:eastAsiaTheme="minorEastAsia"/>
                <w:sz w:val="21"/>
                <w:szCs w:val="21"/>
              </w:rPr>
            </w:pPr>
            <w:r>
              <w:rPr>
                <w:rFonts w:eastAsiaTheme="minorEastAsia"/>
                <w:sz w:val="21"/>
                <w:szCs w:val="21"/>
              </w:rPr>
              <w:t>在原生产车间进行</w:t>
            </w:r>
            <w:r>
              <w:rPr>
                <w:rFonts w:hint="eastAsia" w:eastAsiaTheme="minorEastAsia"/>
                <w:sz w:val="21"/>
                <w:szCs w:val="21"/>
              </w:rPr>
              <w:t>设备</w:t>
            </w:r>
            <w:r>
              <w:rPr>
                <w:rFonts w:eastAsiaTheme="minorEastAsia"/>
                <w:sz w:val="21"/>
                <w:szCs w:val="21"/>
              </w:rPr>
              <w:t>更新换代，</w:t>
            </w:r>
            <w:r>
              <w:rPr>
                <w:rFonts w:hint="eastAsia" w:eastAsiaTheme="minorEastAsia"/>
                <w:sz w:val="21"/>
                <w:szCs w:val="21"/>
                <w:lang w:val="en-US" w:eastAsia="zh-CN"/>
              </w:rPr>
              <w:t>已批复10080t/a的产能基础上</w:t>
            </w:r>
            <w:r>
              <w:rPr>
                <w:rFonts w:eastAsiaTheme="minorEastAsia"/>
                <w:sz w:val="21"/>
                <w:szCs w:val="21"/>
              </w:rPr>
              <w:t>增加4920t/a，</w:t>
            </w:r>
            <w:r>
              <w:rPr>
                <w:rFonts w:hint="eastAsia" w:eastAsiaTheme="minorEastAsia"/>
                <w:sz w:val="21"/>
                <w:szCs w:val="21"/>
              </w:rPr>
              <w:t>总</w:t>
            </w:r>
            <w:r>
              <w:rPr>
                <w:rFonts w:eastAsiaTheme="minorEastAsia"/>
                <w:sz w:val="21"/>
                <w:szCs w:val="21"/>
              </w:rPr>
              <w:t>产能达到15000吨印刷品；淘汰“（2+1）三通路（催化氧化双通路、碱液喷淋）有机废气</w:t>
            </w:r>
            <w:r>
              <w:rPr>
                <w:rFonts w:hint="eastAsia" w:eastAsiaTheme="minorEastAsia"/>
                <w:sz w:val="21"/>
                <w:szCs w:val="21"/>
              </w:rPr>
              <w:t>处理</w:t>
            </w:r>
            <w:r>
              <w:rPr>
                <w:rFonts w:eastAsiaTheme="minorEastAsia"/>
                <w:sz w:val="21"/>
                <w:szCs w:val="21"/>
              </w:rPr>
              <w:t>设施，</w:t>
            </w:r>
            <w:r>
              <w:rPr>
                <w:rFonts w:hint="eastAsia" w:eastAsiaTheme="minorEastAsia"/>
                <w:sz w:val="21"/>
                <w:szCs w:val="21"/>
              </w:rPr>
              <w:t>新建</w:t>
            </w:r>
            <w:r>
              <w:rPr>
                <w:rFonts w:eastAsiaTheme="minorEastAsia"/>
                <w:sz w:val="21"/>
                <w:szCs w:val="21"/>
              </w:rPr>
              <w:t>1套“吸附浓缩+溶剂回收设备”（1根20.5m排气筒DA001），新增1台导热油锅炉（配有1根16m排气筒DA002），印刷复合烘干继续利用原催化燃烧系统中的烘干循环风加热系统，使用天然气加热，天然气燃烧废气合并DA001排出；新增</w:t>
            </w:r>
            <w:r>
              <w:rPr>
                <w:rFonts w:hint="eastAsia" w:eastAsiaTheme="minorEastAsia"/>
                <w:sz w:val="21"/>
                <w:szCs w:val="21"/>
                <w:lang w:val="en-US" w:eastAsia="zh-CN"/>
              </w:rPr>
              <w:t>烫金</w:t>
            </w:r>
            <w:r>
              <w:rPr>
                <w:rFonts w:eastAsiaTheme="minorEastAsia"/>
                <w:sz w:val="21"/>
                <w:szCs w:val="21"/>
              </w:rPr>
              <w:t>工艺。</w:t>
            </w:r>
          </w:p>
          <w:p w14:paraId="73341B4C">
            <w:pPr>
              <w:adjustRightInd w:val="0"/>
              <w:snapToGrid w:val="0"/>
              <w:spacing w:line="240" w:lineRule="auto"/>
              <w:jc w:val="center"/>
              <w:rPr>
                <w:sz w:val="21"/>
                <w:szCs w:val="21"/>
              </w:rPr>
            </w:pPr>
          </w:p>
        </w:tc>
        <w:tc>
          <w:tcPr>
            <w:tcW w:w="2672" w:type="dxa"/>
            <w:tcBorders>
              <w:right w:val="single" w:color="auto" w:sz="4" w:space="0"/>
            </w:tcBorders>
            <w:vAlign w:val="center"/>
          </w:tcPr>
          <w:p w14:paraId="2484F5DA">
            <w:pPr>
              <w:spacing w:line="240" w:lineRule="auto"/>
              <w:rPr>
                <w:rFonts w:eastAsiaTheme="minorEastAsia"/>
                <w:sz w:val="21"/>
                <w:szCs w:val="21"/>
              </w:rPr>
            </w:pPr>
            <w:r>
              <w:rPr>
                <w:rFonts w:eastAsiaTheme="minorEastAsia"/>
                <w:sz w:val="21"/>
                <w:szCs w:val="21"/>
              </w:rPr>
              <w:t>在原生产车间进行</w:t>
            </w:r>
            <w:r>
              <w:rPr>
                <w:rFonts w:hint="eastAsia" w:eastAsiaTheme="minorEastAsia"/>
                <w:sz w:val="21"/>
                <w:szCs w:val="21"/>
              </w:rPr>
              <w:t>设备</w:t>
            </w:r>
            <w:r>
              <w:rPr>
                <w:rFonts w:eastAsiaTheme="minorEastAsia"/>
                <w:sz w:val="21"/>
                <w:szCs w:val="21"/>
              </w:rPr>
              <w:t>更新换代，</w:t>
            </w:r>
            <w:r>
              <w:rPr>
                <w:rFonts w:hint="eastAsia" w:eastAsiaTheme="minorEastAsia"/>
                <w:sz w:val="21"/>
                <w:szCs w:val="21"/>
                <w:lang w:val="en-US" w:eastAsia="zh-CN"/>
              </w:rPr>
              <w:t>已批复10080t/a的产能基础上</w:t>
            </w:r>
            <w:r>
              <w:rPr>
                <w:rFonts w:eastAsiaTheme="minorEastAsia"/>
                <w:sz w:val="21"/>
                <w:szCs w:val="21"/>
              </w:rPr>
              <w:t>增加</w:t>
            </w:r>
            <w:r>
              <w:rPr>
                <w:rFonts w:eastAsiaTheme="minorEastAsia"/>
                <w:b/>
                <w:sz w:val="21"/>
                <w:szCs w:val="21"/>
              </w:rPr>
              <w:t>增加产能1</w:t>
            </w:r>
            <w:r>
              <w:rPr>
                <w:rFonts w:hint="eastAsia" w:eastAsiaTheme="minorEastAsia"/>
                <w:b/>
                <w:sz w:val="21"/>
                <w:szCs w:val="21"/>
                <w:lang w:val="en-US" w:eastAsia="zh-CN"/>
              </w:rPr>
              <w:t>6720</w:t>
            </w:r>
            <w:r>
              <w:rPr>
                <w:rFonts w:eastAsiaTheme="minorEastAsia"/>
                <w:b/>
                <w:sz w:val="21"/>
                <w:szCs w:val="21"/>
              </w:rPr>
              <w:t>t/a，</w:t>
            </w:r>
            <w:r>
              <w:rPr>
                <w:rFonts w:hint="eastAsia" w:eastAsiaTheme="minorEastAsia"/>
                <w:b/>
                <w:sz w:val="21"/>
                <w:szCs w:val="21"/>
              </w:rPr>
              <w:t>总</w:t>
            </w:r>
            <w:r>
              <w:rPr>
                <w:rFonts w:eastAsiaTheme="minorEastAsia"/>
                <w:b/>
                <w:sz w:val="21"/>
                <w:szCs w:val="21"/>
              </w:rPr>
              <w:t>产能达到</w:t>
            </w:r>
            <w:r>
              <w:rPr>
                <w:rFonts w:hint="eastAsia" w:eastAsiaTheme="minorEastAsia"/>
                <w:b/>
                <w:sz w:val="21"/>
                <w:szCs w:val="21"/>
                <w:lang w:val="en-US" w:eastAsia="zh-CN"/>
              </w:rPr>
              <w:t>26800</w:t>
            </w:r>
            <w:r>
              <w:rPr>
                <w:rFonts w:eastAsiaTheme="minorEastAsia"/>
                <w:b/>
                <w:sz w:val="21"/>
                <w:szCs w:val="21"/>
              </w:rPr>
              <w:t>吨印刷品；</w:t>
            </w:r>
            <w:r>
              <w:rPr>
                <w:rFonts w:eastAsiaTheme="minorEastAsia"/>
                <w:sz w:val="21"/>
                <w:szCs w:val="21"/>
              </w:rPr>
              <w:t>淘汰“（2+1）三通路（催化氧化双通路、碱液喷淋）有机废气</w:t>
            </w:r>
            <w:r>
              <w:rPr>
                <w:rFonts w:hint="eastAsia" w:eastAsiaTheme="minorEastAsia"/>
                <w:sz w:val="21"/>
                <w:szCs w:val="21"/>
              </w:rPr>
              <w:t>处理</w:t>
            </w:r>
            <w:r>
              <w:rPr>
                <w:rFonts w:eastAsiaTheme="minorEastAsia"/>
                <w:sz w:val="21"/>
                <w:szCs w:val="21"/>
              </w:rPr>
              <w:t>设施，</w:t>
            </w:r>
            <w:r>
              <w:rPr>
                <w:rFonts w:hint="eastAsia" w:eastAsiaTheme="minorEastAsia"/>
                <w:sz w:val="21"/>
                <w:szCs w:val="21"/>
              </w:rPr>
              <w:t>新建</w:t>
            </w:r>
            <w:r>
              <w:rPr>
                <w:rFonts w:eastAsiaTheme="minorEastAsia"/>
                <w:sz w:val="21"/>
                <w:szCs w:val="21"/>
              </w:rPr>
              <w:t>1套“吸附浓缩+溶剂回收设备”（1根20.5m排气筒DA001），新增1台导热油锅炉（配有1根16m排气筒DA002），</w:t>
            </w:r>
            <w:r>
              <w:rPr>
                <w:rFonts w:eastAsiaTheme="minorEastAsia"/>
                <w:b/>
                <w:sz w:val="21"/>
                <w:szCs w:val="21"/>
              </w:rPr>
              <w:t>新建</w:t>
            </w:r>
            <w:r>
              <w:rPr>
                <w:rFonts w:hint="eastAsia" w:eastAsiaTheme="minorEastAsia"/>
                <w:b/>
                <w:sz w:val="21"/>
                <w:szCs w:val="21"/>
              </w:rPr>
              <w:t>1台2t/h热水锅炉用于</w:t>
            </w:r>
            <w:r>
              <w:rPr>
                <w:rFonts w:eastAsiaTheme="minorEastAsia"/>
                <w:b/>
                <w:sz w:val="21"/>
                <w:szCs w:val="21"/>
              </w:rPr>
              <w:t>印刷复合烘干，天然气燃烧废气经合并DA00</w:t>
            </w:r>
            <w:r>
              <w:rPr>
                <w:rFonts w:hint="eastAsia" w:eastAsiaTheme="minorEastAsia"/>
                <w:b/>
                <w:sz w:val="21"/>
                <w:szCs w:val="21"/>
              </w:rPr>
              <w:t>2</w:t>
            </w:r>
            <w:r>
              <w:rPr>
                <w:rFonts w:eastAsiaTheme="minorEastAsia"/>
                <w:b/>
                <w:sz w:val="21"/>
                <w:szCs w:val="21"/>
              </w:rPr>
              <w:t>排放；</w:t>
            </w:r>
            <w:r>
              <w:rPr>
                <w:rFonts w:eastAsiaTheme="minorEastAsia"/>
                <w:sz w:val="21"/>
                <w:szCs w:val="21"/>
              </w:rPr>
              <w:t>新增</w:t>
            </w:r>
            <w:r>
              <w:rPr>
                <w:rFonts w:hint="eastAsia" w:eastAsiaTheme="minorEastAsia"/>
                <w:sz w:val="21"/>
                <w:szCs w:val="21"/>
                <w:lang w:val="en-US" w:eastAsia="zh-CN"/>
              </w:rPr>
              <w:t>烫金</w:t>
            </w:r>
            <w:r>
              <w:rPr>
                <w:rFonts w:eastAsiaTheme="minorEastAsia"/>
                <w:sz w:val="21"/>
                <w:szCs w:val="21"/>
              </w:rPr>
              <w:t>工艺。</w:t>
            </w:r>
          </w:p>
          <w:p w14:paraId="3ED327B6">
            <w:pPr>
              <w:adjustRightInd w:val="0"/>
              <w:snapToGrid w:val="0"/>
              <w:spacing w:line="240" w:lineRule="auto"/>
              <w:jc w:val="center"/>
              <w:rPr>
                <w:sz w:val="21"/>
                <w:szCs w:val="21"/>
              </w:rPr>
            </w:pPr>
          </w:p>
        </w:tc>
        <w:tc>
          <w:tcPr>
            <w:tcW w:w="1943" w:type="dxa"/>
            <w:tcBorders>
              <w:left w:val="single" w:color="auto" w:sz="4" w:space="0"/>
            </w:tcBorders>
            <w:vAlign w:val="center"/>
          </w:tcPr>
          <w:p w14:paraId="5E4EAB79">
            <w:pPr>
              <w:adjustRightInd w:val="0"/>
              <w:snapToGrid w:val="0"/>
              <w:spacing w:line="240" w:lineRule="auto"/>
              <w:jc w:val="center"/>
              <w:rPr>
                <w:rFonts w:hint="eastAsia"/>
                <w:sz w:val="21"/>
                <w:szCs w:val="21"/>
              </w:rPr>
            </w:pPr>
            <w:r>
              <w:rPr>
                <w:rFonts w:hint="eastAsia"/>
                <w:sz w:val="21"/>
                <w:szCs w:val="21"/>
              </w:rPr>
              <w:t>1、原环评</w:t>
            </w:r>
            <w:r>
              <w:rPr>
                <w:rFonts w:hint="eastAsia"/>
                <w:sz w:val="21"/>
                <w:szCs w:val="21"/>
                <w:lang w:val="en-US" w:eastAsia="zh-CN"/>
              </w:rPr>
              <w:t>时</w:t>
            </w:r>
            <w:r>
              <w:rPr>
                <w:rFonts w:hint="eastAsia"/>
                <w:sz w:val="21"/>
                <w:szCs w:val="21"/>
              </w:rPr>
              <w:t>产能预估偏</w:t>
            </w:r>
            <w:r>
              <w:rPr>
                <w:rFonts w:hint="eastAsia"/>
                <w:sz w:val="21"/>
                <w:szCs w:val="21"/>
                <w:lang w:val="en-US" w:eastAsia="zh-CN"/>
              </w:rPr>
              <w:t>保守</w:t>
            </w:r>
            <w:r>
              <w:rPr>
                <w:rFonts w:hint="eastAsia"/>
                <w:sz w:val="21"/>
                <w:szCs w:val="21"/>
              </w:rPr>
              <w:t>，估算取值为设备最高转速的45%，通过优化设备布局，可达到最大设计产能。</w:t>
            </w:r>
          </w:p>
          <w:p w14:paraId="02C4F7FA">
            <w:pPr>
              <w:adjustRightInd w:val="0"/>
              <w:snapToGrid w:val="0"/>
              <w:spacing w:line="240" w:lineRule="auto"/>
              <w:jc w:val="center"/>
              <w:rPr>
                <w:sz w:val="21"/>
                <w:szCs w:val="21"/>
              </w:rPr>
            </w:pPr>
            <w:r>
              <w:rPr>
                <w:rFonts w:hint="eastAsia"/>
                <w:sz w:val="21"/>
                <w:szCs w:val="21"/>
              </w:rPr>
              <w:t>2、提高能源里效率，烘干环节的热源用热水锅炉替代原催化燃烧供热系统</w:t>
            </w:r>
            <w:r>
              <w:rPr>
                <w:rFonts w:hint="eastAsia"/>
                <w:sz w:val="21"/>
                <w:szCs w:val="21"/>
                <w:lang w:eastAsia="zh-CN"/>
              </w:rPr>
              <w:t>，</w:t>
            </w:r>
            <w:r>
              <w:rPr>
                <w:rFonts w:hint="eastAsia"/>
                <w:sz w:val="21"/>
                <w:szCs w:val="21"/>
                <w:lang w:val="en-US" w:eastAsia="zh-CN"/>
              </w:rPr>
              <w:t>废气</w:t>
            </w:r>
            <w:r>
              <w:rPr>
                <w:rFonts w:hint="eastAsia"/>
                <w:sz w:val="21"/>
                <w:szCs w:val="21"/>
              </w:rPr>
              <w:t>合并至导热油锅炉</w:t>
            </w:r>
            <w:r>
              <w:rPr>
                <w:rFonts w:hint="eastAsia"/>
                <w:sz w:val="21"/>
                <w:szCs w:val="21"/>
                <w:lang w:val="en-US" w:eastAsia="zh-CN"/>
              </w:rPr>
              <w:t>排气筒</w:t>
            </w:r>
            <w:r>
              <w:rPr>
                <w:rFonts w:hint="eastAsia"/>
                <w:sz w:val="21"/>
                <w:szCs w:val="21"/>
              </w:rPr>
              <w:t>排放。</w:t>
            </w:r>
          </w:p>
        </w:tc>
      </w:tr>
      <w:tr w14:paraId="40590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1" w:type="dxa"/>
            <w:tcBorders>
              <w:top w:val="single" w:color="auto" w:sz="4" w:space="0"/>
            </w:tcBorders>
            <w:vAlign w:val="center"/>
          </w:tcPr>
          <w:p w14:paraId="2AFF95BE">
            <w:pPr>
              <w:adjustRightInd w:val="0"/>
              <w:snapToGrid w:val="0"/>
              <w:spacing w:line="240" w:lineRule="auto"/>
              <w:jc w:val="center"/>
              <w:rPr>
                <w:sz w:val="21"/>
                <w:szCs w:val="21"/>
              </w:rPr>
            </w:pPr>
            <w:r>
              <w:rPr>
                <w:rFonts w:hint="eastAsia"/>
                <w:sz w:val="21"/>
                <w:szCs w:val="21"/>
              </w:rPr>
              <w:t>废气污染防治工作</w:t>
            </w:r>
          </w:p>
        </w:tc>
        <w:tc>
          <w:tcPr>
            <w:tcW w:w="3046" w:type="dxa"/>
            <w:vAlign w:val="center"/>
          </w:tcPr>
          <w:p w14:paraId="01465B29">
            <w:pPr>
              <w:pStyle w:val="93"/>
              <w:rPr>
                <w:rFonts w:eastAsiaTheme="minorEastAsia"/>
              </w:rPr>
            </w:pPr>
            <w:r>
              <w:rPr>
                <w:rFonts w:hint="eastAsia" w:eastAsiaTheme="minorEastAsia"/>
              </w:rPr>
              <w:t>印刷、干式复合及烘干有组织有机废气经“吸附浓缩+溶剂回收”废气处理设施处理后由排气筒（DA001）排放，执行湖南省地标《印刷业挥发性有机物排放标准》（DB43/1357-2017）表1限值、恶臭（臭气浓度）由排气筒（DA001）排放执行《恶臭污染物排放标准》（GB14554-93）表2中相关标准，导热油锅炉天然气燃烧废气从DA002排气筒排放，颗粒物、SO</w:t>
            </w:r>
            <w:r>
              <w:rPr>
                <w:rFonts w:hint="eastAsia" w:eastAsiaTheme="minorEastAsia"/>
                <w:vertAlign w:val="subscript"/>
              </w:rPr>
              <w:t>2</w:t>
            </w:r>
            <w:r>
              <w:rPr>
                <w:rFonts w:hint="eastAsia" w:eastAsiaTheme="minorEastAsia"/>
              </w:rPr>
              <w:t>、NO</w:t>
            </w:r>
            <w:r>
              <w:rPr>
                <w:rFonts w:hint="eastAsia" w:eastAsiaTheme="minorEastAsia"/>
                <w:vertAlign w:val="subscript"/>
              </w:rPr>
              <w:t>X</w:t>
            </w:r>
            <w:r>
              <w:rPr>
                <w:rFonts w:hint="eastAsia" w:eastAsiaTheme="minorEastAsia"/>
              </w:rPr>
              <w:t>排放执行《锅炉大气污染物排放标准》（GB13271-2014）表3中特别排放限值燃气锅炉标准；印刷、干式复合、熟化烘干采用天然气为原料加热，燃烧产生的颗粒物、SO</w:t>
            </w:r>
            <w:r>
              <w:rPr>
                <w:rFonts w:hint="eastAsia" w:eastAsiaTheme="minorEastAsia"/>
                <w:vertAlign w:val="subscript"/>
              </w:rPr>
              <w:t>2</w:t>
            </w:r>
            <w:r>
              <w:rPr>
                <w:rFonts w:hint="eastAsia" w:eastAsiaTheme="minorEastAsia"/>
              </w:rPr>
              <w:t>、NO</w:t>
            </w:r>
            <w:r>
              <w:rPr>
                <w:rFonts w:hint="eastAsia" w:eastAsiaTheme="minorEastAsia"/>
                <w:vertAlign w:val="subscript"/>
              </w:rPr>
              <w:t>X</w:t>
            </w:r>
            <w:r>
              <w:rPr>
                <w:rFonts w:hint="eastAsia" w:eastAsiaTheme="minorEastAsia"/>
              </w:rPr>
              <w:t>该部分燃烧废气直接从“吸附浓缩+溶剂回收”废气处理设施排放口（DA001）排放，颗粒物、SO</w:t>
            </w:r>
            <w:r>
              <w:rPr>
                <w:rFonts w:hint="eastAsia" w:eastAsiaTheme="minorEastAsia"/>
                <w:vertAlign w:val="subscript"/>
              </w:rPr>
              <w:t>2</w:t>
            </w:r>
            <w:r>
              <w:rPr>
                <w:rFonts w:hint="eastAsia" w:eastAsiaTheme="minorEastAsia"/>
              </w:rPr>
              <w:t>、NO</w:t>
            </w:r>
            <w:r>
              <w:rPr>
                <w:rFonts w:hint="eastAsia" w:eastAsiaTheme="minorEastAsia"/>
                <w:vertAlign w:val="subscript"/>
              </w:rPr>
              <w:t>X</w:t>
            </w:r>
            <w:r>
              <w:rPr>
                <w:rFonts w:hint="eastAsia" w:eastAsiaTheme="minorEastAsia"/>
              </w:rPr>
              <w:t>执行《印刷工业大气污染物排放标准》（GB41616-2022）表1、表2中限值要求；无组织有机废气（以NMHC表征）厂区内执行《印刷业挥发性有机物排放标准》（DB43/1357-2017）表2限值，恶臭（臭气浓度）执行《恶臭污染物排放标准》（GB14554-93）表1中二级标准。</w:t>
            </w:r>
          </w:p>
          <w:p w14:paraId="7FAD8682">
            <w:pPr>
              <w:pStyle w:val="64"/>
              <w:tabs>
                <w:tab w:val="left" w:pos="-2848"/>
                <w:tab w:val="right" w:pos="1808"/>
              </w:tabs>
              <w:ind w:firstLine="0"/>
              <w:rPr>
                <w:sz w:val="21"/>
                <w:szCs w:val="21"/>
              </w:rPr>
            </w:pPr>
          </w:p>
        </w:tc>
        <w:tc>
          <w:tcPr>
            <w:tcW w:w="2672" w:type="dxa"/>
            <w:tcBorders>
              <w:right w:val="single" w:color="auto" w:sz="4" w:space="0"/>
            </w:tcBorders>
            <w:vAlign w:val="center"/>
          </w:tcPr>
          <w:p w14:paraId="5143A154">
            <w:pPr>
              <w:pStyle w:val="93"/>
              <w:rPr>
                <w:rFonts w:eastAsiaTheme="minorEastAsia"/>
              </w:rPr>
            </w:pPr>
            <w:r>
              <w:rPr>
                <w:rFonts w:hint="eastAsia" w:eastAsiaTheme="minorEastAsia"/>
              </w:rPr>
              <w:t>印刷、干式复合及烘干有组织有机废气经“吸附浓缩+溶剂回收”废气处理设施处理后由排气筒（DA001）排放，</w:t>
            </w:r>
            <w:r>
              <w:rPr>
                <w:rFonts w:hint="eastAsia" w:eastAsiaTheme="minorEastAsia"/>
                <w:b/>
              </w:rPr>
              <w:t>执行</w:t>
            </w:r>
            <w:r>
              <w:rPr>
                <w:rFonts w:hint="eastAsia"/>
                <w:b/>
              </w:rPr>
              <w:t>湖南省地标《工业企业挥发性有机物排放标准》（</w:t>
            </w:r>
            <w:r>
              <w:rPr>
                <w:rFonts w:hint="eastAsia"/>
                <w:b/>
                <w:lang w:val="en-US" w:eastAsia="zh-CN"/>
              </w:rPr>
              <w:t>DB43/3550-2026</w:t>
            </w:r>
            <w:r>
              <w:rPr>
                <w:rFonts w:hint="eastAsia"/>
                <w:b/>
              </w:rPr>
              <w:t>）</w:t>
            </w:r>
            <w:r>
              <w:rPr>
                <w:rFonts w:hint="eastAsia" w:eastAsiaTheme="minorEastAsia"/>
                <w:b/>
              </w:rPr>
              <w:t>表1</w:t>
            </w:r>
            <w:r>
              <w:rPr>
                <w:rFonts w:hint="eastAsia" w:eastAsiaTheme="minorEastAsia"/>
                <w:b/>
                <w:lang w:val="en-US" w:eastAsia="zh-CN"/>
              </w:rPr>
              <w:t>印刷业NMHC</w:t>
            </w:r>
            <w:r>
              <w:rPr>
                <w:rFonts w:hint="eastAsia" w:eastAsiaTheme="minorEastAsia"/>
                <w:b/>
              </w:rPr>
              <w:t>限值、</w:t>
            </w:r>
            <w:r>
              <w:rPr>
                <w:rFonts w:hint="eastAsia" w:eastAsiaTheme="minorEastAsia"/>
              </w:rPr>
              <w:t>恶臭（臭气浓度）由排气筒（DA001）排放执行《恶臭污染物排放标准》（GB14554-93）表2中相关标准，导热油锅炉天然气燃烧废气从DA002排气筒外排，颗粒物、SO</w:t>
            </w:r>
            <w:r>
              <w:rPr>
                <w:rFonts w:hint="eastAsia" w:eastAsiaTheme="minorEastAsia"/>
                <w:vertAlign w:val="subscript"/>
              </w:rPr>
              <w:t>2</w:t>
            </w:r>
            <w:r>
              <w:rPr>
                <w:rFonts w:hint="eastAsia" w:eastAsiaTheme="minorEastAsia"/>
              </w:rPr>
              <w:t>、NO</w:t>
            </w:r>
            <w:r>
              <w:rPr>
                <w:rFonts w:hint="eastAsia" w:eastAsiaTheme="minorEastAsia"/>
                <w:vertAlign w:val="subscript"/>
              </w:rPr>
              <w:t>X</w:t>
            </w:r>
            <w:r>
              <w:rPr>
                <w:rFonts w:hint="eastAsia" w:eastAsiaTheme="minorEastAsia"/>
              </w:rPr>
              <w:t>排放执行《锅炉大气污染物排放标准》（GB13271-2014）表3中特别排放限值燃气锅炉标准；</w:t>
            </w:r>
            <w:r>
              <w:rPr>
                <w:rFonts w:hint="eastAsia" w:eastAsiaTheme="minorEastAsia"/>
                <w:b/>
              </w:rPr>
              <w:t>印刷、干式复合、熟化烘干采用天然气热水锅炉烘干，天然气燃烧废气合并至（DA002）排放，颗粒物、SO</w:t>
            </w:r>
            <w:r>
              <w:rPr>
                <w:rFonts w:hint="eastAsia" w:eastAsiaTheme="minorEastAsia"/>
                <w:b/>
                <w:vertAlign w:val="subscript"/>
              </w:rPr>
              <w:t>2</w:t>
            </w:r>
            <w:r>
              <w:rPr>
                <w:rFonts w:hint="eastAsia" w:eastAsiaTheme="minorEastAsia"/>
                <w:b/>
              </w:rPr>
              <w:t>、NO</w:t>
            </w:r>
            <w:r>
              <w:rPr>
                <w:rFonts w:hint="eastAsia" w:eastAsiaTheme="minorEastAsia"/>
                <w:b/>
                <w:vertAlign w:val="subscript"/>
              </w:rPr>
              <w:t>X</w:t>
            </w:r>
            <w:r>
              <w:rPr>
                <w:rFonts w:hint="eastAsia" w:eastAsiaTheme="minorEastAsia"/>
                <w:b/>
              </w:rPr>
              <w:t>执行《锅炉大气污染物排放标准》（GB13271-2014）表3中特别排放限值燃气锅炉标准；厂区内无组织有机废气（以NMHC表征）执行</w:t>
            </w:r>
            <w:r>
              <w:rPr>
                <w:rFonts w:hint="eastAsia"/>
                <w:b/>
              </w:rPr>
              <w:t>湖南省地标《工业企业挥发性有机物排放标准》（</w:t>
            </w:r>
            <w:r>
              <w:rPr>
                <w:rFonts w:hint="eastAsia"/>
                <w:b/>
                <w:lang w:val="en-US" w:eastAsia="zh-CN"/>
              </w:rPr>
              <w:t>DB43/3550-2026</w:t>
            </w:r>
            <w:r>
              <w:rPr>
                <w:rFonts w:hint="eastAsia"/>
                <w:b/>
              </w:rPr>
              <w:t>）</w:t>
            </w:r>
            <w:r>
              <w:rPr>
                <w:rFonts w:hint="eastAsia" w:eastAsiaTheme="minorEastAsia"/>
                <w:b/>
              </w:rPr>
              <w:t>表2限值，厂界NMHC执行《大气污染物综合排放标准》（GB16297—1996）表2中限值；</w:t>
            </w:r>
            <w:r>
              <w:rPr>
                <w:rFonts w:hint="eastAsia" w:eastAsiaTheme="minorEastAsia"/>
              </w:rPr>
              <w:t>恶臭（臭气浓度）执行《恶臭污染物排放标准》（GB14554-93）表1中二级标准。</w:t>
            </w:r>
          </w:p>
          <w:p w14:paraId="1CDC0088">
            <w:pPr>
              <w:adjustRightInd w:val="0"/>
              <w:snapToGrid w:val="0"/>
              <w:spacing w:line="240" w:lineRule="auto"/>
              <w:jc w:val="center"/>
              <w:rPr>
                <w:sz w:val="21"/>
                <w:szCs w:val="21"/>
              </w:rPr>
            </w:pPr>
          </w:p>
        </w:tc>
        <w:tc>
          <w:tcPr>
            <w:tcW w:w="1943" w:type="dxa"/>
            <w:tcBorders>
              <w:left w:val="single" w:color="auto" w:sz="4" w:space="0"/>
            </w:tcBorders>
            <w:vAlign w:val="center"/>
          </w:tcPr>
          <w:p w14:paraId="79AC0846">
            <w:pPr>
              <w:adjustRightInd w:val="0"/>
              <w:snapToGrid w:val="0"/>
              <w:spacing w:line="240" w:lineRule="auto"/>
              <w:jc w:val="center"/>
              <w:rPr>
                <w:rFonts w:hint="eastAsia"/>
                <w:sz w:val="21"/>
                <w:szCs w:val="21"/>
              </w:rPr>
            </w:pPr>
            <w:r>
              <w:rPr>
                <w:rFonts w:hint="eastAsia"/>
                <w:sz w:val="21"/>
                <w:szCs w:val="21"/>
              </w:rPr>
              <w:t>1、湖南省已发布新地标《工业企业挥发性有机物排放标准》（</w:t>
            </w:r>
            <w:r>
              <w:rPr>
                <w:rFonts w:hint="eastAsia"/>
                <w:sz w:val="21"/>
                <w:szCs w:val="21"/>
                <w:lang w:val="en-US" w:eastAsia="zh-CN"/>
              </w:rPr>
              <w:t>DB43/3550-2026</w:t>
            </w:r>
            <w:r>
              <w:rPr>
                <w:rFonts w:hint="eastAsia"/>
                <w:sz w:val="21"/>
                <w:szCs w:val="21"/>
              </w:rPr>
              <w:t>），本报告执行该标准；</w:t>
            </w:r>
          </w:p>
          <w:p w14:paraId="6E78C56B">
            <w:pPr>
              <w:adjustRightInd w:val="0"/>
              <w:snapToGrid w:val="0"/>
              <w:spacing w:line="240" w:lineRule="auto"/>
              <w:jc w:val="center"/>
              <w:rPr>
                <w:sz w:val="21"/>
                <w:szCs w:val="21"/>
              </w:rPr>
            </w:pPr>
            <w:r>
              <w:rPr>
                <w:rFonts w:hint="eastAsia"/>
                <w:sz w:val="21"/>
                <w:szCs w:val="21"/>
              </w:rPr>
              <w:t>2、印刷复合烘干</w:t>
            </w:r>
            <w:r>
              <w:rPr>
                <w:rFonts w:hint="eastAsia"/>
                <w:sz w:val="21"/>
                <w:szCs w:val="21"/>
                <w:lang w:val="en-US" w:eastAsia="zh-CN"/>
              </w:rPr>
              <w:t>调整</w:t>
            </w:r>
            <w:r>
              <w:rPr>
                <w:rFonts w:hint="eastAsia"/>
                <w:sz w:val="21"/>
                <w:szCs w:val="21"/>
              </w:rPr>
              <w:t>为热水锅炉烘干，废气合并至DA002排放，排放标准调整为</w:t>
            </w:r>
            <w:r>
              <w:rPr>
                <w:rFonts w:hint="eastAsia" w:eastAsiaTheme="minorEastAsia"/>
                <w:sz w:val="21"/>
                <w:szCs w:val="21"/>
              </w:rPr>
              <w:t>《锅炉大气污染物排放标准》（GB13271-2014）</w:t>
            </w:r>
          </w:p>
        </w:tc>
      </w:tr>
      <w:tr w14:paraId="01E9F0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1" w:type="dxa"/>
            <w:tcBorders>
              <w:top w:val="single" w:color="auto" w:sz="4" w:space="0"/>
            </w:tcBorders>
            <w:vAlign w:val="center"/>
          </w:tcPr>
          <w:p w14:paraId="41EB8516">
            <w:pPr>
              <w:adjustRightInd w:val="0"/>
              <w:snapToGrid w:val="0"/>
              <w:spacing w:line="240" w:lineRule="auto"/>
              <w:jc w:val="center"/>
              <w:rPr>
                <w:rFonts w:hint="eastAsia"/>
                <w:sz w:val="21"/>
                <w:szCs w:val="21"/>
              </w:rPr>
            </w:pPr>
            <w:r>
              <w:rPr>
                <w:rFonts w:hint="eastAsia"/>
                <w:sz w:val="21"/>
                <w:szCs w:val="21"/>
              </w:rPr>
              <w:t>废水污染防治工作</w:t>
            </w:r>
          </w:p>
        </w:tc>
        <w:tc>
          <w:tcPr>
            <w:tcW w:w="3046" w:type="dxa"/>
            <w:vAlign w:val="center"/>
          </w:tcPr>
          <w:p w14:paraId="1C4965C0">
            <w:pPr>
              <w:pStyle w:val="93"/>
              <w:rPr>
                <w:rFonts w:asciiTheme="minorEastAsia" w:hAnsiTheme="minorEastAsia" w:eastAsiaTheme="minorEastAsia"/>
              </w:rPr>
            </w:pPr>
            <w:r>
              <w:rPr>
                <w:rFonts w:hint="eastAsia" w:asciiTheme="minorEastAsia" w:hAnsiTheme="minorEastAsia" w:eastAsiaTheme="minorEastAsia"/>
              </w:rPr>
              <w:t>按照“雨污分流、污污分流”的原则建设厂内排水管网，冷却循水经循环水池收集后循环使用，不外排。雨水经厂区内雨水管道排入市政雨水管网；生活污水依托厂区现有化粪池处理后达到《污水综合排放标准》（GB8978-1996）三级标准后排入市政污水管网，进入湘潭县顺业污水处理有限公司污水处理厂进一步处理达标后外排。</w:t>
            </w:r>
          </w:p>
          <w:p w14:paraId="70676759">
            <w:pPr>
              <w:pStyle w:val="93"/>
              <w:rPr>
                <w:rFonts w:hint="eastAsia" w:eastAsiaTheme="minorEastAsia"/>
              </w:rPr>
            </w:pPr>
          </w:p>
        </w:tc>
        <w:tc>
          <w:tcPr>
            <w:tcW w:w="2672" w:type="dxa"/>
            <w:tcBorders>
              <w:right w:val="single" w:color="auto" w:sz="4" w:space="0"/>
            </w:tcBorders>
            <w:vAlign w:val="center"/>
          </w:tcPr>
          <w:p w14:paraId="2607DE49">
            <w:pPr>
              <w:pStyle w:val="93"/>
              <w:rPr>
                <w:rFonts w:asciiTheme="minorEastAsia" w:hAnsiTheme="minorEastAsia" w:eastAsiaTheme="minorEastAsia"/>
              </w:rPr>
            </w:pPr>
            <w:r>
              <w:rPr>
                <w:rFonts w:hint="eastAsia" w:asciiTheme="minorEastAsia" w:hAnsiTheme="minorEastAsia" w:eastAsiaTheme="minorEastAsia"/>
              </w:rPr>
              <w:t>已按照“雨污分流、污污分流”的原则建设厂内排水管网，</w:t>
            </w:r>
            <w:r>
              <w:rPr>
                <w:rFonts w:hint="eastAsia" w:asciiTheme="minorEastAsia" w:hAnsiTheme="minorEastAsia" w:eastAsiaTheme="minorEastAsia"/>
                <w:b/>
              </w:rPr>
              <w:t>冷却循水不新增，</w:t>
            </w:r>
            <w:r>
              <w:rPr>
                <w:rFonts w:hint="eastAsia" w:asciiTheme="minorEastAsia" w:hAnsiTheme="minorEastAsia" w:eastAsiaTheme="minorEastAsia"/>
              </w:rPr>
              <w:t>经循环水池收集后循环使用，不外排。雨水经厂区内雨水管道排入市政雨水管网；</w:t>
            </w:r>
            <w:r>
              <w:rPr>
                <w:rFonts w:hint="eastAsia" w:asciiTheme="minorEastAsia" w:hAnsiTheme="minorEastAsia" w:eastAsiaTheme="minorEastAsia"/>
                <w:b/>
              </w:rPr>
              <w:t>本次无新增生活污水，</w:t>
            </w:r>
            <w:r>
              <w:rPr>
                <w:rFonts w:hint="eastAsia" w:asciiTheme="minorEastAsia" w:hAnsiTheme="minorEastAsia" w:eastAsiaTheme="minorEastAsia"/>
              </w:rPr>
              <w:t>生活污水依托厂区现有化粪池处理后达到《污水综合排放标准》（GB8978-1996）三级标准后排入市政污水管网，进入湘潭县顺业污水处理有限公司污水处理厂进一步处理达标后外排。</w:t>
            </w:r>
          </w:p>
          <w:p w14:paraId="6CFCAC70">
            <w:pPr>
              <w:pStyle w:val="93"/>
              <w:rPr>
                <w:rFonts w:hint="eastAsia" w:eastAsiaTheme="minorEastAsia"/>
              </w:rPr>
            </w:pPr>
          </w:p>
        </w:tc>
        <w:tc>
          <w:tcPr>
            <w:tcW w:w="1943" w:type="dxa"/>
            <w:tcBorders>
              <w:left w:val="single" w:color="auto" w:sz="4" w:space="0"/>
            </w:tcBorders>
            <w:vAlign w:val="center"/>
          </w:tcPr>
          <w:p w14:paraId="0DEBB695">
            <w:pPr>
              <w:adjustRightInd w:val="0"/>
              <w:snapToGrid w:val="0"/>
              <w:spacing w:line="240" w:lineRule="auto"/>
              <w:jc w:val="center"/>
              <w:rPr>
                <w:rFonts w:hint="eastAsia"/>
                <w:sz w:val="21"/>
                <w:szCs w:val="21"/>
              </w:rPr>
            </w:pPr>
            <w:r>
              <w:rPr>
                <w:rFonts w:hint="eastAsia"/>
                <w:sz w:val="21"/>
                <w:szCs w:val="21"/>
              </w:rPr>
              <w:t>冷却循环水无新增，生活污水无新增，无变化</w:t>
            </w:r>
          </w:p>
        </w:tc>
      </w:tr>
      <w:tr w14:paraId="16A494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1" w:type="dxa"/>
            <w:vAlign w:val="center"/>
          </w:tcPr>
          <w:p w14:paraId="05F9EB1C">
            <w:pPr>
              <w:adjustRightInd w:val="0"/>
              <w:snapToGrid w:val="0"/>
              <w:spacing w:line="240" w:lineRule="auto"/>
              <w:jc w:val="center"/>
              <w:rPr>
                <w:sz w:val="21"/>
                <w:szCs w:val="21"/>
              </w:rPr>
            </w:pPr>
            <w:r>
              <w:rPr>
                <w:rFonts w:hint="eastAsia"/>
                <w:sz w:val="21"/>
                <w:szCs w:val="21"/>
              </w:rPr>
              <w:t>噪声污染防治工作</w:t>
            </w:r>
          </w:p>
        </w:tc>
        <w:tc>
          <w:tcPr>
            <w:tcW w:w="3046" w:type="dxa"/>
            <w:vAlign w:val="center"/>
          </w:tcPr>
          <w:p w14:paraId="5C29AFED">
            <w:pPr>
              <w:spacing w:line="240" w:lineRule="auto"/>
              <w:rPr>
                <w:rFonts w:eastAsiaTheme="minorEastAsia"/>
                <w:sz w:val="21"/>
                <w:szCs w:val="21"/>
              </w:rPr>
            </w:pPr>
            <w:r>
              <w:rPr>
                <w:rFonts w:eastAsiaTheme="minorEastAsia"/>
                <w:sz w:val="21"/>
                <w:szCs w:val="21"/>
              </w:rPr>
              <w:t>优化厂区内设备布局，选用低噪声设备，并采取隔音降噪和减震措施，确保厂界噪声达到《工业企业厂界环境噪声排放标准》（GB12348-2008）中3、4类标准要求。</w:t>
            </w:r>
          </w:p>
          <w:p w14:paraId="5FCCED23">
            <w:pPr>
              <w:pStyle w:val="93"/>
            </w:pPr>
          </w:p>
        </w:tc>
        <w:tc>
          <w:tcPr>
            <w:tcW w:w="2672" w:type="dxa"/>
            <w:tcBorders>
              <w:right w:val="single" w:color="auto" w:sz="4" w:space="0"/>
            </w:tcBorders>
            <w:vAlign w:val="center"/>
          </w:tcPr>
          <w:p w14:paraId="6980D76B">
            <w:pPr>
              <w:spacing w:line="240" w:lineRule="auto"/>
              <w:rPr>
                <w:rFonts w:eastAsiaTheme="minorEastAsia"/>
                <w:sz w:val="21"/>
                <w:szCs w:val="21"/>
              </w:rPr>
            </w:pPr>
            <w:r>
              <w:rPr>
                <w:rFonts w:eastAsiaTheme="minorEastAsia"/>
                <w:sz w:val="21"/>
                <w:szCs w:val="21"/>
              </w:rPr>
              <w:t>优化厂区内设备布局，选用低噪声设备，并采取了隔音降噪和减震措施，确保厂界噪声达到《工业企业厂界环境噪声排放标准》（GB12348-2008）中3、4类标准要求。</w:t>
            </w:r>
          </w:p>
          <w:p w14:paraId="248AB5E1">
            <w:pPr>
              <w:adjustRightInd w:val="0"/>
              <w:snapToGrid w:val="0"/>
              <w:spacing w:line="240" w:lineRule="auto"/>
              <w:jc w:val="center"/>
              <w:rPr>
                <w:sz w:val="21"/>
                <w:szCs w:val="21"/>
              </w:rPr>
            </w:pPr>
          </w:p>
        </w:tc>
        <w:tc>
          <w:tcPr>
            <w:tcW w:w="1943" w:type="dxa"/>
            <w:tcBorders>
              <w:left w:val="single" w:color="auto" w:sz="4" w:space="0"/>
            </w:tcBorders>
            <w:vAlign w:val="center"/>
          </w:tcPr>
          <w:p w14:paraId="04FDDB9E">
            <w:pPr>
              <w:adjustRightInd w:val="0"/>
              <w:snapToGrid w:val="0"/>
              <w:spacing w:line="240" w:lineRule="auto"/>
              <w:jc w:val="center"/>
              <w:rPr>
                <w:sz w:val="21"/>
                <w:szCs w:val="21"/>
              </w:rPr>
            </w:pPr>
            <w:r>
              <w:rPr>
                <w:sz w:val="21"/>
                <w:szCs w:val="21"/>
              </w:rPr>
              <w:t>无变化</w:t>
            </w:r>
          </w:p>
        </w:tc>
      </w:tr>
      <w:tr w14:paraId="1ACEDA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1" w:type="dxa"/>
            <w:tcBorders>
              <w:bottom w:val="single" w:color="auto" w:sz="4" w:space="0"/>
            </w:tcBorders>
            <w:vAlign w:val="center"/>
          </w:tcPr>
          <w:p w14:paraId="4F09FA83">
            <w:pPr>
              <w:adjustRightInd w:val="0"/>
              <w:snapToGrid w:val="0"/>
              <w:spacing w:line="240" w:lineRule="auto"/>
              <w:jc w:val="center"/>
              <w:rPr>
                <w:rFonts w:hint="eastAsia"/>
                <w:sz w:val="21"/>
                <w:szCs w:val="21"/>
              </w:rPr>
            </w:pPr>
            <w:r>
              <w:rPr>
                <w:rFonts w:hint="eastAsia"/>
                <w:sz w:val="21"/>
                <w:szCs w:val="21"/>
              </w:rPr>
              <w:t>固体污染物防治工作</w:t>
            </w:r>
          </w:p>
        </w:tc>
        <w:tc>
          <w:tcPr>
            <w:tcW w:w="3046" w:type="dxa"/>
            <w:vAlign w:val="center"/>
          </w:tcPr>
          <w:p w14:paraId="75DFCFE5">
            <w:pPr>
              <w:pStyle w:val="93"/>
              <w:rPr>
                <w:rFonts w:eastAsiaTheme="minorEastAsia"/>
              </w:rPr>
            </w:pPr>
            <w:r>
              <w:rPr>
                <w:rFonts w:eastAsiaTheme="minorEastAsia"/>
              </w:rPr>
              <w:t>项目</w:t>
            </w:r>
            <w:r>
              <w:rPr>
                <w:rFonts w:eastAsiaTheme="minorEastAsia"/>
                <w:kern w:val="0"/>
              </w:rPr>
              <w:t>废印刷版、废溶剂桶交由原厂商进行回收；废边角料、废烫金膜、废包装材料、不合格产品由</w:t>
            </w:r>
            <w:r>
              <w:rPr>
                <w:rFonts w:hint="eastAsia" w:eastAsiaTheme="minorEastAsia"/>
                <w:kern w:val="0"/>
              </w:rPr>
              <w:t>外售</w:t>
            </w:r>
            <w:r>
              <w:rPr>
                <w:rFonts w:eastAsiaTheme="minorEastAsia"/>
                <w:kern w:val="0"/>
              </w:rPr>
              <w:t>回收单位收集再利用；</w:t>
            </w:r>
            <w:r>
              <w:rPr>
                <w:rFonts w:eastAsiaTheme="minorEastAsia"/>
              </w:rPr>
              <w:t>废油墨、废溶剂、废胶水、废弃包装桶、废抹布、手套、废过滤棉、废活性炭、废沸石、精馏残液、废润滑油及其包装桶、废导热油及其包装桶等危险废物，</w:t>
            </w:r>
            <w:r>
              <w:rPr>
                <w:rFonts w:eastAsiaTheme="minorEastAsia"/>
                <w:kern w:val="0"/>
              </w:rPr>
              <w:t>须按照《危险废物贮存污染控制标准》(GB18597-2023）要求</w:t>
            </w:r>
            <w:r>
              <w:rPr>
                <w:rFonts w:eastAsiaTheme="minorEastAsia"/>
              </w:rPr>
              <w:t>进行收集贮存后，交由有资质单位进行处理并报县分局备案，危废暂存间须按要求设置并建立相关台账，规范设立标识标牌；生活垃圾分类收集后及时交由环卫部门妥善处理。</w:t>
            </w:r>
          </w:p>
          <w:p w14:paraId="53BC3862">
            <w:pPr>
              <w:adjustRightInd w:val="0"/>
              <w:snapToGrid w:val="0"/>
              <w:spacing w:line="240" w:lineRule="auto"/>
              <w:jc w:val="center"/>
              <w:rPr>
                <w:sz w:val="21"/>
                <w:szCs w:val="21"/>
              </w:rPr>
            </w:pPr>
          </w:p>
        </w:tc>
        <w:tc>
          <w:tcPr>
            <w:tcW w:w="2672" w:type="dxa"/>
            <w:tcBorders>
              <w:right w:val="single" w:color="auto" w:sz="4" w:space="0"/>
            </w:tcBorders>
            <w:vAlign w:val="center"/>
          </w:tcPr>
          <w:p w14:paraId="33581623">
            <w:pPr>
              <w:pStyle w:val="93"/>
              <w:rPr>
                <w:rFonts w:eastAsiaTheme="minorEastAsia"/>
              </w:rPr>
            </w:pPr>
            <w:r>
              <w:rPr>
                <w:rFonts w:eastAsiaTheme="minorEastAsia"/>
              </w:rPr>
              <w:t>项目</w:t>
            </w:r>
            <w:r>
              <w:rPr>
                <w:rFonts w:eastAsiaTheme="minorEastAsia"/>
                <w:kern w:val="0"/>
              </w:rPr>
              <w:t>废印刷版、废溶剂桶交由原厂商进行回收；废边角料、废烫金膜、废包装材料、不合格产品由</w:t>
            </w:r>
            <w:r>
              <w:rPr>
                <w:rFonts w:hint="eastAsia" w:eastAsiaTheme="minorEastAsia"/>
                <w:kern w:val="0"/>
              </w:rPr>
              <w:t>外售</w:t>
            </w:r>
            <w:r>
              <w:rPr>
                <w:rFonts w:eastAsiaTheme="minorEastAsia"/>
                <w:kern w:val="0"/>
              </w:rPr>
              <w:t>回收单位收集再利用；</w:t>
            </w:r>
            <w:r>
              <w:rPr>
                <w:rFonts w:eastAsiaTheme="minorEastAsia"/>
              </w:rPr>
              <w:t>废油墨、废溶剂、废胶水、废弃包装桶、废抹布、手套、废过滤棉、废活性炭、废沸石、精馏残液、废润滑油及其包装桶、废导热油及其包装桶等危险废物，</w:t>
            </w:r>
            <w:r>
              <w:rPr>
                <w:rFonts w:eastAsiaTheme="minorEastAsia"/>
                <w:kern w:val="0"/>
              </w:rPr>
              <w:t>须按照《危险废物贮存污染控制标准》(GB18597-2023）要求</w:t>
            </w:r>
            <w:r>
              <w:rPr>
                <w:rFonts w:eastAsiaTheme="minorEastAsia"/>
              </w:rPr>
              <w:t>进行收集贮存后，交由有资质单位进行处理并报县分局备案，危废暂存间须按要求设置并建立相关台账，规范设立标识标牌；生活垃圾分类收集后及时交由环卫部门妥善处理。</w:t>
            </w:r>
          </w:p>
          <w:p w14:paraId="3D6E93D6">
            <w:pPr>
              <w:adjustRightInd w:val="0"/>
              <w:snapToGrid w:val="0"/>
              <w:spacing w:line="240" w:lineRule="auto"/>
              <w:jc w:val="center"/>
              <w:rPr>
                <w:sz w:val="21"/>
                <w:szCs w:val="21"/>
              </w:rPr>
            </w:pPr>
          </w:p>
        </w:tc>
        <w:tc>
          <w:tcPr>
            <w:tcW w:w="1943" w:type="dxa"/>
            <w:tcBorders>
              <w:left w:val="single" w:color="auto" w:sz="4" w:space="0"/>
            </w:tcBorders>
            <w:vAlign w:val="center"/>
          </w:tcPr>
          <w:p w14:paraId="5CBA570A">
            <w:pPr>
              <w:adjustRightInd w:val="0"/>
              <w:snapToGrid w:val="0"/>
              <w:spacing w:line="240" w:lineRule="auto"/>
              <w:jc w:val="center"/>
              <w:rPr>
                <w:sz w:val="21"/>
                <w:szCs w:val="21"/>
              </w:rPr>
            </w:pPr>
            <w:r>
              <w:rPr>
                <w:sz w:val="21"/>
                <w:szCs w:val="21"/>
              </w:rPr>
              <w:t>项目各类固废产生量有增加，但不新增</w:t>
            </w:r>
            <w:r>
              <w:rPr>
                <w:rFonts w:hint="eastAsia"/>
                <w:sz w:val="21"/>
                <w:szCs w:val="21"/>
              </w:rPr>
              <w:t>固废</w:t>
            </w:r>
            <w:r>
              <w:rPr>
                <w:sz w:val="21"/>
                <w:szCs w:val="21"/>
              </w:rPr>
              <w:t>种类，污染防治措施无变化</w:t>
            </w:r>
          </w:p>
        </w:tc>
      </w:tr>
    </w:tbl>
    <w:p w14:paraId="582BC176">
      <w:pPr>
        <w:pStyle w:val="38"/>
        <w:ind w:firstLine="480" w:firstLineChars="200"/>
        <w:rPr>
          <w:rFonts w:ascii="Times New Roman" w:hAnsi="Times New Roman"/>
          <w:bCs/>
          <w:color w:val="auto"/>
        </w:rPr>
      </w:pPr>
      <w:r>
        <w:rPr>
          <w:rFonts w:hint="eastAsia" w:ascii="Times New Roman" w:hAnsi="Times New Roman"/>
          <w:bCs/>
          <w:color w:val="auto"/>
        </w:rPr>
        <w:t>变更前后全厂变化情况详见下表：</w:t>
      </w:r>
    </w:p>
    <w:p w14:paraId="00A8F056">
      <w:pPr>
        <w:pStyle w:val="51"/>
        <w:numPr>
          <w:ilvl w:val="5"/>
          <w:numId w:val="0"/>
        </w:numPr>
        <w:spacing w:before="156"/>
        <w:ind w:left="305" w:leftChars="0" w:hanging="3260" w:firstLineChars="0"/>
      </w:pPr>
      <w:bookmarkStart w:id="89" w:name="4._规划范围和层次"/>
      <w:bookmarkEnd w:id="89"/>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表4.1-1 </w:t>
      </w:r>
      <w:r>
        <w:rPr>
          <w:rFonts w:hint="eastAsia" w:ascii="宋体" w:hAnsi="宋体" w:cs="宋体"/>
          <w:b/>
          <w:bCs/>
          <w:color w:val="auto"/>
          <w:kern w:val="2"/>
          <w:sz w:val="21"/>
          <w:szCs w:val="21"/>
          <w:lang w:val="en-US" w:eastAsia="zh-CN" w:bidi="ar-SA"/>
        </w:rPr>
        <w:t xml:space="preserve">   </w:t>
      </w:r>
      <w:r>
        <w:rPr>
          <w:rFonts w:hint="eastAsia"/>
        </w:rPr>
        <w:t>全厂工程内容变更前后一览表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09"/>
        <w:gridCol w:w="1132"/>
        <w:gridCol w:w="2540"/>
        <w:gridCol w:w="1424"/>
        <w:gridCol w:w="1410"/>
        <w:gridCol w:w="1307"/>
      </w:tblGrid>
      <w:tr w14:paraId="594AF5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709" w:type="dxa"/>
            <w:vAlign w:val="center"/>
          </w:tcPr>
          <w:p w14:paraId="2C43BD87">
            <w:pPr>
              <w:adjustRightInd w:val="0"/>
              <w:snapToGrid w:val="0"/>
              <w:spacing w:line="240" w:lineRule="auto"/>
              <w:jc w:val="center"/>
              <w:rPr>
                <w:sz w:val="21"/>
                <w:szCs w:val="21"/>
              </w:rPr>
            </w:pPr>
            <w:r>
              <w:rPr>
                <w:rFonts w:hint="eastAsia"/>
                <w:sz w:val="21"/>
                <w:szCs w:val="21"/>
              </w:rPr>
              <w:t>类别</w:t>
            </w:r>
          </w:p>
        </w:tc>
        <w:tc>
          <w:tcPr>
            <w:tcW w:w="1132" w:type="dxa"/>
            <w:vAlign w:val="center"/>
          </w:tcPr>
          <w:p w14:paraId="1269E5EA">
            <w:pPr>
              <w:adjustRightInd w:val="0"/>
              <w:snapToGrid w:val="0"/>
              <w:spacing w:line="240" w:lineRule="auto"/>
              <w:jc w:val="center"/>
              <w:rPr>
                <w:sz w:val="21"/>
                <w:szCs w:val="21"/>
              </w:rPr>
            </w:pPr>
            <w:r>
              <w:rPr>
                <w:rFonts w:hint="eastAsia"/>
                <w:sz w:val="21"/>
                <w:szCs w:val="21"/>
              </w:rPr>
              <w:t>名称</w:t>
            </w:r>
          </w:p>
        </w:tc>
        <w:tc>
          <w:tcPr>
            <w:tcW w:w="2540" w:type="dxa"/>
            <w:vAlign w:val="center"/>
          </w:tcPr>
          <w:p w14:paraId="1AAB008D">
            <w:pPr>
              <w:adjustRightInd w:val="0"/>
              <w:snapToGrid w:val="0"/>
              <w:spacing w:line="240" w:lineRule="auto"/>
              <w:jc w:val="center"/>
              <w:rPr>
                <w:sz w:val="21"/>
                <w:szCs w:val="21"/>
              </w:rPr>
            </w:pPr>
            <w:r>
              <w:rPr>
                <w:rFonts w:hint="eastAsia"/>
                <w:sz w:val="21"/>
                <w:szCs w:val="21"/>
              </w:rPr>
              <w:t>变更前建设内容</w:t>
            </w:r>
          </w:p>
        </w:tc>
        <w:tc>
          <w:tcPr>
            <w:tcW w:w="1424" w:type="dxa"/>
            <w:tcBorders>
              <w:right w:val="single" w:color="auto" w:sz="4" w:space="0"/>
            </w:tcBorders>
            <w:vAlign w:val="center"/>
          </w:tcPr>
          <w:p w14:paraId="1E8F6020">
            <w:pPr>
              <w:adjustRightInd w:val="0"/>
              <w:snapToGrid w:val="0"/>
              <w:spacing w:line="240" w:lineRule="auto"/>
              <w:jc w:val="center"/>
              <w:rPr>
                <w:sz w:val="21"/>
                <w:szCs w:val="21"/>
              </w:rPr>
            </w:pPr>
            <w:r>
              <w:rPr>
                <w:rFonts w:hint="eastAsia"/>
                <w:sz w:val="21"/>
                <w:szCs w:val="21"/>
              </w:rPr>
              <w:t>建筑规模</w:t>
            </w:r>
          </w:p>
        </w:tc>
        <w:tc>
          <w:tcPr>
            <w:tcW w:w="1410" w:type="dxa"/>
            <w:tcBorders>
              <w:left w:val="single" w:color="auto" w:sz="4" w:space="0"/>
            </w:tcBorders>
            <w:vAlign w:val="center"/>
          </w:tcPr>
          <w:p w14:paraId="614E3FA8">
            <w:pPr>
              <w:adjustRightInd w:val="0"/>
              <w:snapToGrid w:val="0"/>
              <w:spacing w:line="240" w:lineRule="auto"/>
              <w:jc w:val="center"/>
              <w:rPr>
                <w:sz w:val="21"/>
                <w:szCs w:val="21"/>
              </w:rPr>
            </w:pPr>
            <w:r>
              <w:rPr>
                <w:sz w:val="21"/>
                <w:szCs w:val="21"/>
              </w:rPr>
              <w:t>变更情况</w:t>
            </w:r>
          </w:p>
        </w:tc>
        <w:tc>
          <w:tcPr>
            <w:tcW w:w="1307" w:type="dxa"/>
            <w:tcBorders>
              <w:left w:val="single" w:color="auto" w:sz="4" w:space="0"/>
            </w:tcBorders>
            <w:vAlign w:val="center"/>
          </w:tcPr>
          <w:p w14:paraId="4E288397">
            <w:pPr>
              <w:adjustRightInd w:val="0"/>
              <w:snapToGrid w:val="0"/>
              <w:spacing w:line="240" w:lineRule="auto"/>
              <w:jc w:val="center"/>
              <w:rPr>
                <w:sz w:val="21"/>
                <w:szCs w:val="21"/>
              </w:rPr>
            </w:pPr>
            <w:r>
              <w:rPr>
                <w:rFonts w:hint="eastAsia"/>
                <w:sz w:val="21"/>
                <w:szCs w:val="21"/>
              </w:rPr>
              <w:t>备注</w:t>
            </w:r>
          </w:p>
        </w:tc>
      </w:tr>
      <w:tr w14:paraId="4DDC4C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709" w:type="dxa"/>
            <w:vMerge w:val="restart"/>
            <w:vAlign w:val="center"/>
          </w:tcPr>
          <w:p w14:paraId="490D842C">
            <w:pPr>
              <w:adjustRightInd w:val="0"/>
              <w:snapToGrid w:val="0"/>
              <w:spacing w:line="240" w:lineRule="auto"/>
              <w:jc w:val="center"/>
              <w:rPr>
                <w:sz w:val="21"/>
                <w:szCs w:val="21"/>
              </w:rPr>
            </w:pPr>
            <w:r>
              <w:rPr>
                <w:rFonts w:hint="eastAsia"/>
                <w:sz w:val="21"/>
                <w:szCs w:val="21"/>
              </w:rPr>
              <w:t>主体工程</w:t>
            </w:r>
          </w:p>
        </w:tc>
        <w:tc>
          <w:tcPr>
            <w:tcW w:w="1132" w:type="dxa"/>
            <w:vAlign w:val="center"/>
          </w:tcPr>
          <w:p w14:paraId="07FCD795">
            <w:pPr>
              <w:adjustRightInd w:val="0"/>
              <w:snapToGrid w:val="0"/>
              <w:spacing w:line="240" w:lineRule="auto"/>
              <w:jc w:val="center"/>
              <w:rPr>
                <w:sz w:val="21"/>
                <w:szCs w:val="21"/>
              </w:rPr>
            </w:pPr>
            <w:r>
              <w:rPr>
                <w:sz w:val="21"/>
                <w:szCs w:val="21"/>
              </w:rPr>
              <w:t>车间一</w:t>
            </w:r>
          </w:p>
        </w:tc>
        <w:tc>
          <w:tcPr>
            <w:tcW w:w="2540" w:type="dxa"/>
            <w:vAlign w:val="center"/>
          </w:tcPr>
          <w:p w14:paraId="3A6A9D0D">
            <w:pPr>
              <w:adjustRightInd w:val="0"/>
              <w:snapToGrid w:val="0"/>
              <w:spacing w:line="240" w:lineRule="auto"/>
              <w:jc w:val="center"/>
              <w:rPr>
                <w:sz w:val="21"/>
                <w:szCs w:val="21"/>
              </w:rPr>
            </w:pPr>
            <w:r>
              <w:rPr>
                <w:sz w:val="21"/>
                <w:szCs w:val="21"/>
              </w:rPr>
              <w:t>原料、成品仓库</w:t>
            </w:r>
          </w:p>
        </w:tc>
        <w:tc>
          <w:tcPr>
            <w:tcW w:w="1424" w:type="dxa"/>
            <w:tcBorders>
              <w:right w:val="single" w:color="auto" w:sz="4" w:space="0"/>
            </w:tcBorders>
            <w:vAlign w:val="center"/>
          </w:tcPr>
          <w:p w14:paraId="3CC9D94A">
            <w:pPr>
              <w:adjustRightInd w:val="0"/>
              <w:snapToGrid w:val="0"/>
              <w:spacing w:line="240" w:lineRule="auto"/>
              <w:jc w:val="center"/>
              <w:rPr>
                <w:sz w:val="21"/>
                <w:szCs w:val="21"/>
              </w:rPr>
            </w:pPr>
            <w:r>
              <w:rPr>
                <w:sz w:val="21"/>
                <w:szCs w:val="21"/>
              </w:rPr>
              <w:t>5840.87m</w:t>
            </w:r>
            <w:r>
              <w:rPr>
                <w:sz w:val="21"/>
                <w:szCs w:val="21"/>
                <w:vertAlign w:val="superscript"/>
              </w:rPr>
              <w:t>2</w:t>
            </w:r>
          </w:p>
        </w:tc>
        <w:tc>
          <w:tcPr>
            <w:tcW w:w="1410" w:type="dxa"/>
            <w:tcBorders>
              <w:left w:val="single" w:color="auto" w:sz="4" w:space="0"/>
            </w:tcBorders>
            <w:vAlign w:val="center"/>
          </w:tcPr>
          <w:p w14:paraId="3AA2E1B4">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1D11BC2C">
            <w:pPr>
              <w:adjustRightInd w:val="0"/>
              <w:snapToGrid w:val="0"/>
              <w:spacing w:line="240" w:lineRule="auto"/>
              <w:jc w:val="center"/>
              <w:rPr>
                <w:sz w:val="21"/>
                <w:szCs w:val="21"/>
              </w:rPr>
            </w:pPr>
            <w:r>
              <w:rPr>
                <w:rFonts w:hint="eastAsia"/>
                <w:sz w:val="21"/>
                <w:szCs w:val="21"/>
              </w:rPr>
              <w:t>已建工</w:t>
            </w:r>
          </w:p>
          <w:p w14:paraId="6E0184FF">
            <w:pPr>
              <w:adjustRightInd w:val="0"/>
              <w:snapToGrid w:val="0"/>
              <w:spacing w:line="240" w:lineRule="auto"/>
              <w:jc w:val="center"/>
              <w:rPr>
                <w:sz w:val="21"/>
                <w:szCs w:val="21"/>
              </w:rPr>
            </w:pPr>
            <w:r>
              <w:rPr>
                <w:rFonts w:hint="eastAsia"/>
                <w:sz w:val="21"/>
                <w:szCs w:val="21"/>
              </w:rPr>
              <w:t>程内容</w:t>
            </w:r>
          </w:p>
        </w:tc>
      </w:tr>
      <w:tr w14:paraId="32D9ED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510B775C">
            <w:pPr>
              <w:adjustRightInd w:val="0"/>
              <w:snapToGrid w:val="0"/>
              <w:spacing w:line="240" w:lineRule="auto"/>
              <w:jc w:val="center"/>
              <w:rPr>
                <w:sz w:val="21"/>
                <w:szCs w:val="21"/>
              </w:rPr>
            </w:pPr>
          </w:p>
        </w:tc>
        <w:tc>
          <w:tcPr>
            <w:tcW w:w="1132" w:type="dxa"/>
            <w:tcBorders>
              <w:top w:val="single" w:color="auto" w:sz="4" w:space="0"/>
            </w:tcBorders>
            <w:vAlign w:val="center"/>
          </w:tcPr>
          <w:p w14:paraId="49477134">
            <w:pPr>
              <w:adjustRightInd w:val="0"/>
              <w:snapToGrid w:val="0"/>
              <w:spacing w:line="240" w:lineRule="auto"/>
              <w:jc w:val="center"/>
              <w:rPr>
                <w:sz w:val="21"/>
                <w:szCs w:val="21"/>
              </w:rPr>
            </w:pPr>
            <w:r>
              <w:rPr>
                <w:rFonts w:hint="eastAsia"/>
                <w:sz w:val="21"/>
                <w:szCs w:val="21"/>
              </w:rPr>
              <w:t>车间二</w:t>
            </w:r>
          </w:p>
        </w:tc>
        <w:tc>
          <w:tcPr>
            <w:tcW w:w="2540" w:type="dxa"/>
            <w:vAlign w:val="center"/>
          </w:tcPr>
          <w:p w14:paraId="05F2DC89">
            <w:pPr>
              <w:pStyle w:val="64"/>
              <w:tabs>
                <w:tab w:val="left" w:pos="-2848"/>
                <w:tab w:val="right" w:pos="1808"/>
              </w:tabs>
              <w:ind w:firstLine="0"/>
              <w:rPr>
                <w:sz w:val="21"/>
                <w:szCs w:val="21"/>
              </w:rPr>
            </w:pPr>
            <w:r>
              <w:rPr>
                <w:rFonts w:hint="eastAsia"/>
                <w:sz w:val="21"/>
                <w:szCs w:val="21"/>
              </w:rPr>
              <w:t>1F，</w:t>
            </w:r>
            <w:r>
              <w:rPr>
                <w:sz w:val="21"/>
                <w:szCs w:val="21"/>
              </w:rPr>
              <w:t>制袋车间</w:t>
            </w:r>
          </w:p>
        </w:tc>
        <w:tc>
          <w:tcPr>
            <w:tcW w:w="1424" w:type="dxa"/>
            <w:tcBorders>
              <w:right w:val="single" w:color="auto" w:sz="4" w:space="0"/>
            </w:tcBorders>
            <w:vAlign w:val="center"/>
          </w:tcPr>
          <w:p w14:paraId="61863835">
            <w:pPr>
              <w:adjustRightInd w:val="0"/>
              <w:snapToGrid w:val="0"/>
              <w:spacing w:line="240" w:lineRule="auto"/>
              <w:jc w:val="center"/>
              <w:rPr>
                <w:sz w:val="21"/>
                <w:szCs w:val="21"/>
              </w:rPr>
            </w:pPr>
            <w:r>
              <w:rPr>
                <w:rFonts w:hint="eastAsia"/>
                <w:sz w:val="21"/>
                <w:szCs w:val="21"/>
              </w:rPr>
              <w:t>8032.55m</w:t>
            </w:r>
            <w:r>
              <w:rPr>
                <w:rFonts w:hint="eastAsia"/>
                <w:sz w:val="21"/>
                <w:szCs w:val="21"/>
                <w:vertAlign w:val="superscript"/>
              </w:rPr>
              <w:t>2</w:t>
            </w:r>
          </w:p>
        </w:tc>
        <w:tc>
          <w:tcPr>
            <w:tcW w:w="1410" w:type="dxa"/>
            <w:tcBorders>
              <w:left w:val="single" w:color="auto" w:sz="4" w:space="0"/>
            </w:tcBorders>
            <w:vAlign w:val="center"/>
          </w:tcPr>
          <w:p w14:paraId="3896AB19">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51FA7552">
            <w:pPr>
              <w:adjustRightInd w:val="0"/>
              <w:snapToGrid w:val="0"/>
              <w:spacing w:line="240" w:lineRule="auto"/>
              <w:jc w:val="center"/>
              <w:rPr>
                <w:sz w:val="21"/>
                <w:szCs w:val="21"/>
              </w:rPr>
            </w:pPr>
            <w:r>
              <w:rPr>
                <w:rFonts w:hint="eastAsia"/>
                <w:sz w:val="21"/>
                <w:szCs w:val="21"/>
              </w:rPr>
              <w:t>已建工程</w:t>
            </w:r>
          </w:p>
          <w:p w14:paraId="139D3066">
            <w:pPr>
              <w:adjustRightInd w:val="0"/>
              <w:snapToGrid w:val="0"/>
              <w:spacing w:line="240" w:lineRule="auto"/>
              <w:jc w:val="center"/>
              <w:rPr>
                <w:sz w:val="21"/>
                <w:szCs w:val="21"/>
              </w:rPr>
            </w:pPr>
            <w:r>
              <w:rPr>
                <w:rFonts w:hint="eastAsia"/>
                <w:sz w:val="21"/>
                <w:szCs w:val="21"/>
              </w:rPr>
              <w:t>内容</w:t>
            </w:r>
          </w:p>
        </w:tc>
      </w:tr>
      <w:tr w14:paraId="25D562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709" w:type="dxa"/>
            <w:vMerge w:val="continue"/>
            <w:vAlign w:val="center"/>
          </w:tcPr>
          <w:p w14:paraId="74184A30">
            <w:pPr>
              <w:adjustRightInd w:val="0"/>
              <w:snapToGrid w:val="0"/>
              <w:spacing w:line="240" w:lineRule="auto"/>
              <w:jc w:val="center"/>
              <w:rPr>
                <w:color w:val="FF0000"/>
                <w:sz w:val="21"/>
                <w:szCs w:val="21"/>
              </w:rPr>
            </w:pPr>
          </w:p>
        </w:tc>
        <w:tc>
          <w:tcPr>
            <w:tcW w:w="1132" w:type="dxa"/>
            <w:tcBorders>
              <w:bottom w:val="single" w:color="auto" w:sz="4" w:space="0"/>
            </w:tcBorders>
            <w:vAlign w:val="center"/>
          </w:tcPr>
          <w:p w14:paraId="68F68396">
            <w:pPr>
              <w:adjustRightInd w:val="0"/>
              <w:snapToGrid w:val="0"/>
              <w:spacing w:line="240" w:lineRule="auto"/>
              <w:jc w:val="center"/>
              <w:rPr>
                <w:sz w:val="21"/>
                <w:szCs w:val="21"/>
              </w:rPr>
            </w:pPr>
            <w:r>
              <w:rPr>
                <w:rFonts w:hint="eastAsia"/>
                <w:sz w:val="21"/>
                <w:szCs w:val="21"/>
              </w:rPr>
              <w:t>车间三</w:t>
            </w:r>
          </w:p>
        </w:tc>
        <w:tc>
          <w:tcPr>
            <w:tcW w:w="2540" w:type="dxa"/>
            <w:vAlign w:val="center"/>
          </w:tcPr>
          <w:p w14:paraId="1594179B">
            <w:pPr>
              <w:adjustRightInd w:val="0"/>
              <w:snapToGrid w:val="0"/>
              <w:spacing w:line="240" w:lineRule="auto"/>
              <w:jc w:val="center"/>
              <w:rPr>
                <w:sz w:val="21"/>
                <w:szCs w:val="21"/>
              </w:rPr>
            </w:pPr>
            <w:r>
              <w:rPr>
                <w:rFonts w:hint="eastAsia"/>
                <w:sz w:val="21"/>
                <w:szCs w:val="21"/>
              </w:rPr>
              <w:t>1F，印刷区、复合区、熟化区、调墨间、调胶间、锅炉房</w:t>
            </w:r>
          </w:p>
        </w:tc>
        <w:tc>
          <w:tcPr>
            <w:tcW w:w="1424" w:type="dxa"/>
            <w:tcBorders>
              <w:right w:val="single" w:color="auto" w:sz="4" w:space="0"/>
            </w:tcBorders>
            <w:vAlign w:val="center"/>
          </w:tcPr>
          <w:p w14:paraId="3B1D7A7E">
            <w:pPr>
              <w:adjustRightInd w:val="0"/>
              <w:snapToGrid w:val="0"/>
              <w:spacing w:line="240" w:lineRule="auto"/>
              <w:jc w:val="center"/>
              <w:rPr>
                <w:color w:val="FF0000"/>
                <w:sz w:val="21"/>
                <w:szCs w:val="21"/>
              </w:rPr>
            </w:pPr>
            <w:r>
              <w:rPr>
                <w:rFonts w:hint="eastAsia"/>
                <w:sz w:val="21"/>
                <w:szCs w:val="21"/>
              </w:rPr>
              <w:t>4822.74m</w:t>
            </w:r>
            <w:r>
              <w:rPr>
                <w:rFonts w:hint="eastAsia"/>
                <w:sz w:val="21"/>
                <w:szCs w:val="21"/>
                <w:vertAlign w:val="superscript"/>
              </w:rPr>
              <w:t>2</w:t>
            </w:r>
          </w:p>
        </w:tc>
        <w:tc>
          <w:tcPr>
            <w:tcW w:w="1410" w:type="dxa"/>
            <w:tcBorders>
              <w:left w:val="single" w:color="auto" w:sz="4" w:space="0"/>
            </w:tcBorders>
            <w:vAlign w:val="center"/>
          </w:tcPr>
          <w:p w14:paraId="4F72F117">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6483B152">
            <w:pPr>
              <w:adjustRightInd w:val="0"/>
              <w:snapToGrid w:val="0"/>
              <w:spacing w:line="240" w:lineRule="auto"/>
              <w:jc w:val="center"/>
              <w:rPr>
                <w:sz w:val="21"/>
                <w:szCs w:val="21"/>
              </w:rPr>
            </w:pPr>
            <w:r>
              <w:rPr>
                <w:rFonts w:hint="eastAsia"/>
                <w:sz w:val="21"/>
                <w:szCs w:val="21"/>
              </w:rPr>
              <w:t>已建工程</w:t>
            </w:r>
          </w:p>
          <w:p w14:paraId="6B5B399A">
            <w:pPr>
              <w:adjustRightInd w:val="0"/>
              <w:snapToGrid w:val="0"/>
              <w:spacing w:line="240" w:lineRule="auto"/>
              <w:jc w:val="center"/>
              <w:rPr>
                <w:sz w:val="21"/>
                <w:szCs w:val="21"/>
              </w:rPr>
            </w:pPr>
            <w:r>
              <w:rPr>
                <w:rFonts w:hint="eastAsia"/>
                <w:sz w:val="21"/>
                <w:szCs w:val="21"/>
              </w:rPr>
              <w:t>内容</w:t>
            </w:r>
            <w:r>
              <w:rPr>
                <w:sz w:val="21"/>
                <w:szCs w:val="21"/>
              </w:rPr>
              <w:t xml:space="preserve"> </w:t>
            </w:r>
          </w:p>
        </w:tc>
      </w:tr>
      <w:tr w14:paraId="2375FF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tcBorders>
              <w:bottom w:val="single" w:color="auto" w:sz="4" w:space="0"/>
            </w:tcBorders>
            <w:vAlign w:val="center"/>
          </w:tcPr>
          <w:p w14:paraId="7A57A9A6">
            <w:pPr>
              <w:adjustRightInd w:val="0"/>
              <w:snapToGrid w:val="0"/>
              <w:spacing w:line="240" w:lineRule="auto"/>
              <w:jc w:val="center"/>
              <w:rPr>
                <w:color w:val="FF0000"/>
                <w:sz w:val="21"/>
                <w:szCs w:val="21"/>
              </w:rPr>
            </w:pPr>
          </w:p>
        </w:tc>
        <w:tc>
          <w:tcPr>
            <w:tcW w:w="1132" w:type="dxa"/>
            <w:tcBorders>
              <w:bottom w:val="single" w:color="auto" w:sz="4" w:space="0"/>
            </w:tcBorders>
            <w:vAlign w:val="center"/>
          </w:tcPr>
          <w:p w14:paraId="38FD7C29">
            <w:pPr>
              <w:adjustRightInd w:val="0"/>
              <w:snapToGrid w:val="0"/>
              <w:spacing w:line="240" w:lineRule="auto"/>
              <w:jc w:val="center"/>
              <w:rPr>
                <w:sz w:val="21"/>
                <w:szCs w:val="21"/>
              </w:rPr>
            </w:pPr>
            <w:r>
              <w:rPr>
                <w:sz w:val="21"/>
                <w:szCs w:val="21"/>
              </w:rPr>
              <w:t>车间</w:t>
            </w:r>
            <w:r>
              <w:rPr>
                <w:rFonts w:hint="eastAsia"/>
                <w:sz w:val="21"/>
                <w:szCs w:val="21"/>
              </w:rPr>
              <w:t>四</w:t>
            </w:r>
          </w:p>
        </w:tc>
        <w:tc>
          <w:tcPr>
            <w:tcW w:w="2540" w:type="dxa"/>
            <w:vAlign w:val="center"/>
          </w:tcPr>
          <w:p w14:paraId="37715C7C">
            <w:pPr>
              <w:adjustRightInd w:val="0"/>
              <w:snapToGrid w:val="0"/>
              <w:spacing w:line="240" w:lineRule="auto"/>
              <w:jc w:val="center"/>
              <w:rPr>
                <w:sz w:val="21"/>
                <w:szCs w:val="21"/>
              </w:rPr>
            </w:pPr>
            <w:r>
              <w:rPr>
                <w:rFonts w:hint="eastAsia"/>
                <w:sz w:val="21"/>
                <w:szCs w:val="21"/>
              </w:rPr>
              <w:t>危废间、一般固废暂存间、</w:t>
            </w:r>
          </w:p>
        </w:tc>
        <w:tc>
          <w:tcPr>
            <w:tcW w:w="1424" w:type="dxa"/>
            <w:tcBorders>
              <w:right w:val="single" w:color="auto" w:sz="4" w:space="0"/>
            </w:tcBorders>
            <w:vAlign w:val="center"/>
          </w:tcPr>
          <w:p w14:paraId="5BF99FAE">
            <w:pPr>
              <w:adjustRightInd w:val="0"/>
              <w:snapToGrid w:val="0"/>
              <w:spacing w:line="240" w:lineRule="auto"/>
              <w:jc w:val="center"/>
              <w:rPr>
                <w:sz w:val="21"/>
                <w:szCs w:val="21"/>
              </w:rPr>
            </w:pPr>
            <w:r>
              <w:rPr>
                <w:sz w:val="21"/>
                <w:szCs w:val="21"/>
              </w:rPr>
              <w:t>2355.82m</w:t>
            </w:r>
            <w:r>
              <w:rPr>
                <w:sz w:val="21"/>
                <w:szCs w:val="21"/>
                <w:vertAlign w:val="superscript"/>
              </w:rPr>
              <w:t>2</w:t>
            </w:r>
          </w:p>
        </w:tc>
        <w:tc>
          <w:tcPr>
            <w:tcW w:w="1410" w:type="dxa"/>
            <w:tcBorders>
              <w:left w:val="single" w:color="auto" w:sz="4" w:space="0"/>
            </w:tcBorders>
            <w:vAlign w:val="center"/>
          </w:tcPr>
          <w:p w14:paraId="196C0665">
            <w:pPr>
              <w:adjustRightInd w:val="0"/>
              <w:snapToGrid w:val="0"/>
              <w:spacing w:line="240" w:lineRule="auto"/>
              <w:jc w:val="center"/>
              <w:rPr>
                <w:sz w:val="21"/>
                <w:szCs w:val="21"/>
              </w:rPr>
            </w:pPr>
            <w:r>
              <w:rPr>
                <w:rFonts w:hint="eastAsia"/>
                <w:b/>
                <w:bCs/>
                <w:sz w:val="21"/>
                <w:szCs w:val="21"/>
                <w:lang w:val="en-US" w:eastAsia="zh-CN"/>
              </w:rPr>
              <w:t>车间内增设</w:t>
            </w:r>
            <w:r>
              <w:rPr>
                <w:rFonts w:hint="eastAsia"/>
                <w:b/>
                <w:bCs/>
                <w:sz w:val="21"/>
                <w:szCs w:val="21"/>
              </w:rPr>
              <w:t>制袋工区</w:t>
            </w:r>
          </w:p>
        </w:tc>
        <w:tc>
          <w:tcPr>
            <w:tcW w:w="1307" w:type="dxa"/>
            <w:tcBorders>
              <w:left w:val="single" w:color="auto" w:sz="4" w:space="0"/>
            </w:tcBorders>
            <w:vAlign w:val="center"/>
          </w:tcPr>
          <w:p w14:paraId="5524C526">
            <w:pPr>
              <w:adjustRightInd w:val="0"/>
              <w:snapToGrid w:val="0"/>
              <w:spacing w:line="240" w:lineRule="auto"/>
              <w:jc w:val="center"/>
              <w:rPr>
                <w:sz w:val="21"/>
                <w:szCs w:val="21"/>
              </w:rPr>
            </w:pPr>
            <w:r>
              <w:rPr>
                <w:rFonts w:hint="eastAsia"/>
                <w:sz w:val="21"/>
                <w:szCs w:val="21"/>
              </w:rPr>
              <w:t>已建工</w:t>
            </w:r>
          </w:p>
          <w:p w14:paraId="6FDFA8E9">
            <w:pPr>
              <w:adjustRightInd w:val="0"/>
              <w:snapToGrid w:val="0"/>
              <w:spacing w:line="240" w:lineRule="auto"/>
              <w:jc w:val="center"/>
              <w:rPr>
                <w:sz w:val="21"/>
                <w:szCs w:val="21"/>
              </w:rPr>
            </w:pPr>
            <w:r>
              <w:rPr>
                <w:rFonts w:hint="eastAsia"/>
                <w:sz w:val="21"/>
                <w:szCs w:val="21"/>
              </w:rPr>
              <w:t>程内容，</w:t>
            </w:r>
            <w:r>
              <w:rPr>
                <w:rFonts w:hint="eastAsia"/>
                <w:b/>
                <w:sz w:val="21"/>
                <w:szCs w:val="21"/>
              </w:rPr>
              <w:t>变更</w:t>
            </w:r>
            <w:r>
              <w:rPr>
                <w:rFonts w:hint="eastAsia"/>
                <w:b/>
                <w:bCs/>
                <w:sz w:val="21"/>
                <w:szCs w:val="21"/>
              </w:rPr>
              <w:t>增设制袋工区</w:t>
            </w:r>
          </w:p>
        </w:tc>
      </w:tr>
      <w:tr w14:paraId="0285C0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41" w:type="dxa"/>
            <w:gridSpan w:val="2"/>
            <w:tcBorders>
              <w:bottom w:val="single" w:color="auto" w:sz="4" w:space="0"/>
            </w:tcBorders>
            <w:vAlign w:val="center"/>
          </w:tcPr>
          <w:p w14:paraId="3BD5015B">
            <w:pPr>
              <w:adjustRightInd w:val="0"/>
              <w:snapToGrid w:val="0"/>
              <w:spacing w:line="240" w:lineRule="auto"/>
              <w:jc w:val="center"/>
              <w:rPr>
                <w:sz w:val="21"/>
                <w:szCs w:val="21"/>
              </w:rPr>
            </w:pPr>
            <w:r>
              <w:rPr>
                <w:rFonts w:hint="eastAsia"/>
                <w:sz w:val="21"/>
                <w:szCs w:val="21"/>
              </w:rPr>
              <w:t>“以新带老”内容</w:t>
            </w:r>
          </w:p>
        </w:tc>
        <w:tc>
          <w:tcPr>
            <w:tcW w:w="3964" w:type="dxa"/>
            <w:gridSpan w:val="2"/>
            <w:tcBorders>
              <w:right w:val="single" w:color="auto" w:sz="4" w:space="0"/>
            </w:tcBorders>
            <w:vAlign w:val="center"/>
          </w:tcPr>
          <w:p w14:paraId="685F6EFA">
            <w:pPr>
              <w:adjustRightInd w:val="0"/>
              <w:snapToGrid w:val="0"/>
              <w:spacing w:line="240" w:lineRule="auto"/>
              <w:jc w:val="center"/>
              <w:rPr>
                <w:sz w:val="21"/>
                <w:szCs w:val="21"/>
              </w:rPr>
            </w:pPr>
            <w:r>
              <w:rPr>
                <w:rFonts w:hint="eastAsia"/>
                <w:sz w:val="21"/>
                <w:szCs w:val="21"/>
              </w:rPr>
              <w:t>“（2+1）三通路（催化氧化双通路、碱液喷淋）处理凹印有机废气的节能减排系统”更换为“吸附浓缩+溶剂回收设备”</w:t>
            </w:r>
          </w:p>
        </w:tc>
        <w:tc>
          <w:tcPr>
            <w:tcW w:w="1410" w:type="dxa"/>
            <w:tcBorders>
              <w:left w:val="single" w:color="auto" w:sz="4" w:space="0"/>
            </w:tcBorders>
            <w:vAlign w:val="center"/>
          </w:tcPr>
          <w:p w14:paraId="5E6D6BB4">
            <w:pPr>
              <w:adjustRightInd w:val="0"/>
              <w:snapToGrid w:val="0"/>
              <w:spacing w:line="240" w:lineRule="auto"/>
              <w:jc w:val="center"/>
              <w:rPr>
                <w:rFonts w:hint="default" w:eastAsia="宋体"/>
                <w:b/>
                <w:sz w:val="21"/>
                <w:szCs w:val="21"/>
                <w:lang w:val="en-US" w:eastAsia="zh-CN"/>
              </w:rPr>
            </w:pPr>
            <w:r>
              <w:rPr>
                <w:rFonts w:hint="eastAsia"/>
                <w:sz w:val="21"/>
                <w:szCs w:val="21"/>
              </w:rPr>
              <w:t>总体</w:t>
            </w:r>
            <w:r>
              <w:rPr>
                <w:sz w:val="21"/>
                <w:szCs w:val="21"/>
              </w:rPr>
              <w:t>方案不变，由于产能增加，设备转速提高，取消循环风量</w:t>
            </w:r>
            <w:r>
              <w:rPr>
                <w:rFonts w:hint="eastAsia"/>
                <w:sz w:val="21"/>
                <w:szCs w:val="21"/>
              </w:rPr>
              <w:t>94000m</w:t>
            </w:r>
            <w:r>
              <w:rPr>
                <w:rFonts w:hint="eastAsia"/>
                <w:sz w:val="21"/>
                <w:szCs w:val="21"/>
                <w:vertAlign w:val="superscript"/>
              </w:rPr>
              <w:t>3</w:t>
            </w:r>
            <w:r>
              <w:rPr>
                <w:rFonts w:hint="eastAsia"/>
                <w:sz w:val="21"/>
                <w:szCs w:val="21"/>
              </w:rPr>
              <w:t>/h，总排风量达到</w:t>
            </w:r>
            <w:r>
              <w:rPr>
                <w:rFonts w:hint="eastAsia"/>
                <w:sz w:val="21"/>
                <w:szCs w:val="21"/>
                <w:lang w:val="en-US" w:eastAsia="zh-CN"/>
              </w:rPr>
              <w:t>38</w:t>
            </w:r>
            <w:r>
              <w:rPr>
                <w:rFonts w:hint="eastAsia"/>
                <w:sz w:val="21"/>
                <w:szCs w:val="21"/>
              </w:rPr>
              <w:t>0000 m</w:t>
            </w:r>
            <w:r>
              <w:rPr>
                <w:rFonts w:hint="eastAsia"/>
                <w:sz w:val="21"/>
                <w:szCs w:val="21"/>
                <w:vertAlign w:val="superscript"/>
              </w:rPr>
              <w:t>3</w:t>
            </w:r>
            <w:r>
              <w:rPr>
                <w:rFonts w:hint="eastAsia"/>
                <w:sz w:val="21"/>
                <w:szCs w:val="21"/>
              </w:rPr>
              <w:t>/h</w:t>
            </w:r>
            <w:r>
              <w:rPr>
                <w:rFonts w:hint="eastAsia"/>
                <w:sz w:val="21"/>
                <w:szCs w:val="21"/>
                <w:lang w:eastAsia="zh-CN"/>
              </w:rPr>
              <w:t>，</w:t>
            </w:r>
            <w:r>
              <w:rPr>
                <w:rFonts w:hint="eastAsia"/>
                <w:sz w:val="21"/>
                <w:szCs w:val="21"/>
                <w:lang w:val="en-US" w:eastAsia="zh-CN"/>
              </w:rPr>
              <w:t>印刷和复核工段采用“减风增浓”技术</w:t>
            </w:r>
          </w:p>
        </w:tc>
        <w:tc>
          <w:tcPr>
            <w:tcW w:w="1307" w:type="dxa"/>
            <w:tcBorders>
              <w:left w:val="single" w:color="auto" w:sz="4" w:space="0"/>
            </w:tcBorders>
            <w:vAlign w:val="center"/>
          </w:tcPr>
          <w:p w14:paraId="0A69CBF5">
            <w:pPr>
              <w:adjustRightInd w:val="0"/>
              <w:snapToGrid w:val="0"/>
              <w:spacing w:line="240" w:lineRule="auto"/>
              <w:jc w:val="center"/>
              <w:rPr>
                <w:sz w:val="21"/>
                <w:szCs w:val="21"/>
              </w:rPr>
            </w:pPr>
            <w:r>
              <w:rPr>
                <w:b/>
                <w:sz w:val="21"/>
                <w:szCs w:val="21"/>
              </w:rPr>
              <w:t>在建工程内容，本次变更拟调整风量</w:t>
            </w:r>
          </w:p>
        </w:tc>
      </w:tr>
      <w:tr w14:paraId="4DC2D8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restart"/>
            <w:vAlign w:val="center"/>
          </w:tcPr>
          <w:p w14:paraId="3E35FDB1">
            <w:pPr>
              <w:adjustRightInd w:val="0"/>
              <w:snapToGrid w:val="0"/>
              <w:spacing w:line="240" w:lineRule="auto"/>
              <w:jc w:val="center"/>
              <w:rPr>
                <w:color w:val="FF0000"/>
                <w:sz w:val="21"/>
                <w:szCs w:val="21"/>
              </w:rPr>
            </w:pPr>
            <w:r>
              <w:rPr>
                <w:rFonts w:hint="eastAsia"/>
                <w:sz w:val="21"/>
                <w:szCs w:val="21"/>
              </w:rPr>
              <w:t>辅助工程</w:t>
            </w:r>
          </w:p>
        </w:tc>
        <w:tc>
          <w:tcPr>
            <w:tcW w:w="1132" w:type="dxa"/>
            <w:vAlign w:val="center"/>
          </w:tcPr>
          <w:p w14:paraId="35881F96">
            <w:pPr>
              <w:adjustRightInd w:val="0"/>
              <w:snapToGrid w:val="0"/>
              <w:spacing w:line="240" w:lineRule="auto"/>
              <w:jc w:val="center"/>
              <w:rPr>
                <w:sz w:val="21"/>
                <w:szCs w:val="21"/>
              </w:rPr>
            </w:pPr>
            <w:r>
              <w:rPr>
                <w:rFonts w:hint="eastAsia"/>
                <w:sz w:val="21"/>
                <w:szCs w:val="21"/>
              </w:rPr>
              <w:t>车间一</w:t>
            </w:r>
          </w:p>
        </w:tc>
        <w:tc>
          <w:tcPr>
            <w:tcW w:w="2540" w:type="dxa"/>
            <w:vAlign w:val="center"/>
          </w:tcPr>
          <w:p w14:paraId="75E62E92">
            <w:pPr>
              <w:pStyle w:val="64"/>
              <w:tabs>
                <w:tab w:val="left" w:pos="-2848"/>
                <w:tab w:val="right" w:pos="1808"/>
              </w:tabs>
              <w:ind w:firstLine="0"/>
              <w:rPr>
                <w:sz w:val="21"/>
                <w:szCs w:val="21"/>
              </w:rPr>
            </w:pPr>
            <w:r>
              <w:rPr>
                <w:rFonts w:hint="eastAsia"/>
                <w:sz w:val="21"/>
                <w:szCs w:val="21"/>
              </w:rPr>
              <w:t>1F，</w:t>
            </w:r>
            <w:r>
              <w:rPr>
                <w:sz w:val="21"/>
                <w:szCs w:val="21"/>
              </w:rPr>
              <w:t>原料、成品仓库</w:t>
            </w:r>
          </w:p>
        </w:tc>
        <w:tc>
          <w:tcPr>
            <w:tcW w:w="1424" w:type="dxa"/>
            <w:tcBorders>
              <w:right w:val="single" w:color="auto" w:sz="4" w:space="0"/>
            </w:tcBorders>
            <w:vAlign w:val="center"/>
          </w:tcPr>
          <w:p w14:paraId="7D954ED6">
            <w:pPr>
              <w:adjustRightInd w:val="0"/>
              <w:snapToGrid w:val="0"/>
              <w:spacing w:line="240" w:lineRule="auto"/>
              <w:jc w:val="center"/>
              <w:rPr>
                <w:sz w:val="21"/>
                <w:szCs w:val="21"/>
              </w:rPr>
            </w:pPr>
            <w:r>
              <w:rPr>
                <w:rFonts w:hint="eastAsia"/>
                <w:sz w:val="21"/>
                <w:szCs w:val="21"/>
              </w:rPr>
              <w:t>5840.87m</w:t>
            </w:r>
            <w:r>
              <w:rPr>
                <w:rFonts w:hint="eastAsia"/>
                <w:sz w:val="21"/>
                <w:szCs w:val="21"/>
                <w:vertAlign w:val="superscript"/>
              </w:rPr>
              <w:t>2</w:t>
            </w:r>
          </w:p>
        </w:tc>
        <w:tc>
          <w:tcPr>
            <w:tcW w:w="1410" w:type="dxa"/>
            <w:tcBorders>
              <w:left w:val="single" w:color="auto" w:sz="4" w:space="0"/>
            </w:tcBorders>
            <w:vAlign w:val="center"/>
          </w:tcPr>
          <w:p w14:paraId="3512AD2B">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117DD964">
            <w:pPr>
              <w:adjustRightInd w:val="0"/>
              <w:snapToGrid w:val="0"/>
              <w:spacing w:line="240" w:lineRule="auto"/>
              <w:jc w:val="center"/>
              <w:rPr>
                <w:sz w:val="21"/>
                <w:szCs w:val="21"/>
              </w:rPr>
            </w:pPr>
            <w:r>
              <w:rPr>
                <w:rFonts w:hint="eastAsia"/>
                <w:sz w:val="21"/>
                <w:szCs w:val="21"/>
              </w:rPr>
              <w:t>已建工</w:t>
            </w:r>
          </w:p>
          <w:p w14:paraId="1DA98F79">
            <w:pPr>
              <w:adjustRightInd w:val="0"/>
              <w:snapToGrid w:val="0"/>
              <w:spacing w:line="240" w:lineRule="auto"/>
              <w:jc w:val="center"/>
              <w:rPr>
                <w:sz w:val="21"/>
                <w:szCs w:val="21"/>
              </w:rPr>
            </w:pPr>
            <w:r>
              <w:rPr>
                <w:rFonts w:hint="eastAsia"/>
                <w:sz w:val="21"/>
                <w:szCs w:val="21"/>
              </w:rPr>
              <w:t>程内容</w:t>
            </w:r>
          </w:p>
        </w:tc>
      </w:tr>
      <w:tr w14:paraId="2CD14A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02E72F28">
            <w:pPr>
              <w:adjustRightInd w:val="0"/>
              <w:snapToGrid w:val="0"/>
              <w:spacing w:line="240" w:lineRule="auto"/>
              <w:jc w:val="center"/>
              <w:rPr>
                <w:color w:val="FF0000"/>
                <w:sz w:val="21"/>
                <w:szCs w:val="21"/>
              </w:rPr>
            </w:pPr>
          </w:p>
        </w:tc>
        <w:tc>
          <w:tcPr>
            <w:tcW w:w="1132" w:type="dxa"/>
            <w:vAlign w:val="center"/>
          </w:tcPr>
          <w:p w14:paraId="5C8A47FC">
            <w:pPr>
              <w:adjustRightInd w:val="0"/>
              <w:snapToGrid w:val="0"/>
              <w:spacing w:line="240" w:lineRule="auto"/>
              <w:jc w:val="center"/>
              <w:rPr>
                <w:sz w:val="21"/>
                <w:szCs w:val="21"/>
              </w:rPr>
            </w:pPr>
            <w:r>
              <w:rPr>
                <w:rFonts w:hint="eastAsia"/>
                <w:sz w:val="21"/>
                <w:szCs w:val="21"/>
              </w:rPr>
              <w:t>车间四</w:t>
            </w:r>
          </w:p>
        </w:tc>
        <w:tc>
          <w:tcPr>
            <w:tcW w:w="2540" w:type="dxa"/>
            <w:vAlign w:val="center"/>
          </w:tcPr>
          <w:p w14:paraId="6B32FF95">
            <w:pPr>
              <w:adjustRightInd w:val="0"/>
              <w:snapToGrid w:val="0"/>
              <w:spacing w:line="240" w:lineRule="auto"/>
              <w:jc w:val="center"/>
              <w:rPr>
                <w:sz w:val="21"/>
                <w:szCs w:val="21"/>
              </w:rPr>
            </w:pPr>
            <w:r>
              <w:rPr>
                <w:rFonts w:hint="eastAsia"/>
                <w:sz w:val="21"/>
                <w:szCs w:val="21"/>
              </w:rPr>
              <w:t>3F，危废间位于此车间1F西侧，一般固废间位于此车间1F东侧，危化品仓库也位于此车间1F东侧，其余面积作为发展预留区域</w:t>
            </w:r>
          </w:p>
        </w:tc>
        <w:tc>
          <w:tcPr>
            <w:tcW w:w="1424" w:type="dxa"/>
            <w:tcBorders>
              <w:right w:val="single" w:color="auto" w:sz="4" w:space="0"/>
            </w:tcBorders>
            <w:vAlign w:val="center"/>
          </w:tcPr>
          <w:p w14:paraId="64E54CA1">
            <w:pPr>
              <w:adjustRightInd w:val="0"/>
              <w:snapToGrid w:val="0"/>
              <w:spacing w:line="240" w:lineRule="auto"/>
              <w:jc w:val="center"/>
              <w:rPr>
                <w:sz w:val="21"/>
                <w:szCs w:val="21"/>
              </w:rPr>
            </w:pPr>
            <w:r>
              <w:rPr>
                <w:rFonts w:hint="eastAsia"/>
                <w:sz w:val="21"/>
                <w:szCs w:val="21"/>
              </w:rPr>
              <w:t>5435.52m</w:t>
            </w:r>
            <w:r>
              <w:rPr>
                <w:rFonts w:hint="eastAsia"/>
                <w:sz w:val="21"/>
                <w:szCs w:val="21"/>
                <w:vertAlign w:val="superscript"/>
              </w:rPr>
              <w:t>2</w:t>
            </w:r>
          </w:p>
        </w:tc>
        <w:tc>
          <w:tcPr>
            <w:tcW w:w="1410" w:type="dxa"/>
            <w:tcBorders>
              <w:left w:val="single" w:color="auto" w:sz="4" w:space="0"/>
            </w:tcBorders>
            <w:vAlign w:val="center"/>
          </w:tcPr>
          <w:p w14:paraId="4379986E">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7CB58450">
            <w:pPr>
              <w:adjustRightInd w:val="0"/>
              <w:snapToGrid w:val="0"/>
              <w:spacing w:line="240" w:lineRule="auto"/>
              <w:jc w:val="center"/>
              <w:rPr>
                <w:sz w:val="21"/>
                <w:szCs w:val="21"/>
              </w:rPr>
            </w:pPr>
            <w:r>
              <w:rPr>
                <w:rFonts w:hint="eastAsia"/>
                <w:sz w:val="21"/>
                <w:szCs w:val="21"/>
              </w:rPr>
              <w:t>已建工程</w:t>
            </w:r>
          </w:p>
          <w:p w14:paraId="097C9654">
            <w:pPr>
              <w:adjustRightInd w:val="0"/>
              <w:snapToGrid w:val="0"/>
              <w:spacing w:line="240" w:lineRule="auto"/>
              <w:jc w:val="center"/>
              <w:rPr>
                <w:sz w:val="21"/>
                <w:szCs w:val="21"/>
              </w:rPr>
            </w:pPr>
            <w:r>
              <w:rPr>
                <w:rFonts w:hint="eastAsia"/>
                <w:sz w:val="21"/>
                <w:szCs w:val="21"/>
              </w:rPr>
              <w:t>内容</w:t>
            </w:r>
          </w:p>
        </w:tc>
      </w:tr>
      <w:tr w14:paraId="7B01DF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04001C36">
            <w:pPr>
              <w:adjustRightInd w:val="0"/>
              <w:snapToGrid w:val="0"/>
              <w:spacing w:line="240" w:lineRule="auto"/>
              <w:jc w:val="center"/>
              <w:rPr>
                <w:color w:val="FF0000"/>
                <w:sz w:val="21"/>
                <w:szCs w:val="21"/>
              </w:rPr>
            </w:pPr>
          </w:p>
        </w:tc>
        <w:tc>
          <w:tcPr>
            <w:tcW w:w="1132" w:type="dxa"/>
            <w:vAlign w:val="center"/>
          </w:tcPr>
          <w:p w14:paraId="119C29EC">
            <w:pPr>
              <w:adjustRightInd w:val="0"/>
              <w:snapToGrid w:val="0"/>
              <w:spacing w:line="240" w:lineRule="auto"/>
              <w:jc w:val="center"/>
              <w:rPr>
                <w:sz w:val="21"/>
                <w:szCs w:val="21"/>
              </w:rPr>
            </w:pPr>
            <w:r>
              <w:rPr>
                <w:rFonts w:hint="eastAsia"/>
                <w:sz w:val="21"/>
                <w:szCs w:val="21"/>
              </w:rPr>
              <w:t>危化品仓库</w:t>
            </w:r>
          </w:p>
        </w:tc>
        <w:tc>
          <w:tcPr>
            <w:tcW w:w="2540" w:type="dxa"/>
            <w:vAlign w:val="center"/>
          </w:tcPr>
          <w:p w14:paraId="4F9B0820">
            <w:pPr>
              <w:adjustRightInd w:val="0"/>
              <w:snapToGrid w:val="0"/>
              <w:spacing w:line="240" w:lineRule="auto"/>
              <w:jc w:val="center"/>
              <w:rPr>
                <w:sz w:val="21"/>
                <w:szCs w:val="21"/>
              </w:rPr>
            </w:pPr>
            <w:r>
              <w:rPr>
                <w:rFonts w:hint="eastAsia"/>
                <w:sz w:val="21"/>
                <w:szCs w:val="21"/>
              </w:rPr>
              <w:t>1F，位于车间四东侧，贮存危险化学品</w:t>
            </w:r>
          </w:p>
        </w:tc>
        <w:tc>
          <w:tcPr>
            <w:tcW w:w="1424" w:type="dxa"/>
            <w:tcBorders>
              <w:right w:val="single" w:color="auto" w:sz="4" w:space="0"/>
            </w:tcBorders>
            <w:vAlign w:val="center"/>
          </w:tcPr>
          <w:p w14:paraId="58A6B0B4">
            <w:pPr>
              <w:adjustRightInd w:val="0"/>
              <w:snapToGrid w:val="0"/>
              <w:spacing w:line="240" w:lineRule="auto"/>
              <w:jc w:val="center"/>
              <w:rPr>
                <w:sz w:val="21"/>
                <w:szCs w:val="21"/>
              </w:rPr>
            </w:pPr>
            <w:r>
              <w:rPr>
                <w:rFonts w:hint="eastAsia"/>
                <w:sz w:val="21"/>
                <w:szCs w:val="21"/>
              </w:rPr>
              <w:t>360m</w:t>
            </w:r>
            <w:r>
              <w:rPr>
                <w:rFonts w:hint="eastAsia"/>
                <w:sz w:val="21"/>
                <w:szCs w:val="21"/>
                <w:vertAlign w:val="superscript"/>
              </w:rPr>
              <w:t>2</w:t>
            </w:r>
          </w:p>
        </w:tc>
        <w:tc>
          <w:tcPr>
            <w:tcW w:w="1410" w:type="dxa"/>
            <w:tcBorders>
              <w:left w:val="single" w:color="auto" w:sz="4" w:space="0"/>
            </w:tcBorders>
            <w:vAlign w:val="center"/>
          </w:tcPr>
          <w:p w14:paraId="04A7EEE9">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14A9CCB2">
            <w:pPr>
              <w:adjustRightInd w:val="0"/>
              <w:snapToGrid w:val="0"/>
              <w:spacing w:line="240" w:lineRule="auto"/>
              <w:jc w:val="center"/>
              <w:rPr>
                <w:sz w:val="21"/>
                <w:szCs w:val="21"/>
              </w:rPr>
            </w:pPr>
            <w:r>
              <w:rPr>
                <w:rFonts w:hint="eastAsia"/>
                <w:sz w:val="21"/>
                <w:szCs w:val="21"/>
              </w:rPr>
              <w:t>已建工程</w:t>
            </w:r>
          </w:p>
          <w:p w14:paraId="7D59B6D3">
            <w:pPr>
              <w:adjustRightInd w:val="0"/>
              <w:snapToGrid w:val="0"/>
              <w:spacing w:line="240" w:lineRule="auto"/>
              <w:jc w:val="center"/>
              <w:rPr>
                <w:sz w:val="21"/>
                <w:szCs w:val="21"/>
              </w:rPr>
            </w:pPr>
            <w:r>
              <w:rPr>
                <w:rFonts w:hint="eastAsia"/>
                <w:sz w:val="21"/>
                <w:szCs w:val="21"/>
              </w:rPr>
              <w:t>内容</w:t>
            </w:r>
          </w:p>
        </w:tc>
      </w:tr>
      <w:tr w14:paraId="3E64B0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restart"/>
            <w:vAlign w:val="center"/>
          </w:tcPr>
          <w:p w14:paraId="4F632F23">
            <w:pPr>
              <w:adjustRightInd w:val="0"/>
              <w:snapToGrid w:val="0"/>
              <w:spacing w:line="240" w:lineRule="auto"/>
              <w:jc w:val="center"/>
              <w:rPr>
                <w:color w:val="FF0000"/>
                <w:sz w:val="21"/>
                <w:szCs w:val="21"/>
              </w:rPr>
            </w:pPr>
            <w:r>
              <w:rPr>
                <w:rFonts w:hint="eastAsia"/>
                <w:sz w:val="21"/>
                <w:szCs w:val="21"/>
              </w:rPr>
              <w:t>公用工程</w:t>
            </w:r>
          </w:p>
        </w:tc>
        <w:tc>
          <w:tcPr>
            <w:tcW w:w="1132" w:type="dxa"/>
            <w:vAlign w:val="center"/>
          </w:tcPr>
          <w:p w14:paraId="66714CB9">
            <w:pPr>
              <w:adjustRightInd w:val="0"/>
              <w:snapToGrid w:val="0"/>
              <w:spacing w:line="240" w:lineRule="auto"/>
              <w:jc w:val="center"/>
              <w:rPr>
                <w:sz w:val="21"/>
                <w:szCs w:val="21"/>
              </w:rPr>
            </w:pPr>
            <w:r>
              <w:rPr>
                <w:rFonts w:hint="eastAsia"/>
                <w:sz w:val="21"/>
                <w:szCs w:val="21"/>
              </w:rPr>
              <w:t>供水</w:t>
            </w:r>
          </w:p>
        </w:tc>
        <w:tc>
          <w:tcPr>
            <w:tcW w:w="3964" w:type="dxa"/>
            <w:gridSpan w:val="2"/>
            <w:tcBorders>
              <w:right w:val="single" w:color="auto" w:sz="4" w:space="0"/>
            </w:tcBorders>
            <w:vAlign w:val="center"/>
          </w:tcPr>
          <w:p w14:paraId="7AA70065">
            <w:pPr>
              <w:adjustRightInd w:val="0"/>
              <w:snapToGrid w:val="0"/>
              <w:spacing w:line="240" w:lineRule="auto"/>
              <w:jc w:val="center"/>
              <w:rPr>
                <w:sz w:val="21"/>
                <w:szCs w:val="21"/>
              </w:rPr>
            </w:pPr>
            <w:r>
              <w:rPr>
                <w:rFonts w:hint="eastAsia"/>
                <w:sz w:val="21"/>
                <w:szCs w:val="21"/>
              </w:rPr>
              <w:t>由湘潭县自来水供水厂提供，依托厂区现有供水设施，本项目主要为新增71位员工的生活用水</w:t>
            </w:r>
          </w:p>
        </w:tc>
        <w:tc>
          <w:tcPr>
            <w:tcW w:w="1410" w:type="dxa"/>
            <w:tcBorders>
              <w:left w:val="single" w:color="auto" w:sz="4" w:space="0"/>
            </w:tcBorders>
            <w:vAlign w:val="center"/>
          </w:tcPr>
          <w:p w14:paraId="3F4BB101">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0711DEF5">
            <w:pPr>
              <w:adjustRightInd w:val="0"/>
              <w:snapToGrid w:val="0"/>
              <w:spacing w:line="240" w:lineRule="auto"/>
              <w:jc w:val="center"/>
              <w:rPr>
                <w:sz w:val="21"/>
                <w:szCs w:val="21"/>
              </w:rPr>
            </w:pPr>
            <w:r>
              <w:rPr>
                <w:rFonts w:hint="eastAsia"/>
                <w:sz w:val="21"/>
                <w:szCs w:val="21"/>
              </w:rPr>
              <w:t>已建工程</w:t>
            </w:r>
          </w:p>
          <w:p w14:paraId="1A33162B">
            <w:pPr>
              <w:adjustRightInd w:val="0"/>
              <w:snapToGrid w:val="0"/>
              <w:spacing w:line="240" w:lineRule="auto"/>
              <w:jc w:val="center"/>
              <w:rPr>
                <w:sz w:val="21"/>
                <w:szCs w:val="21"/>
              </w:rPr>
            </w:pPr>
            <w:r>
              <w:rPr>
                <w:rFonts w:hint="eastAsia"/>
                <w:sz w:val="21"/>
                <w:szCs w:val="21"/>
              </w:rPr>
              <w:t>内容</w:t>
            </w:r>
          </w:p>
        </w:tc>
      </w:tr>
      <w:tr w14:paraId="2EF4F5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2709FB18">
            <w:pPr>
              <w:adjustRightInd w:val="0"/>
              <w:snapToGrid w:val="0"/>
              <w:spacing w:line="240" w:lineRule="auto"/>
              <w:jc w:val="center"/>
              <w:rPr>
                <w:color w:val="FF0000"/>
                <w:sz w:val="21"/>
                <w:szCs w:val="21"/>
              </w:rPr>
            </w:pPr>
          </w:p>
        </w:tc>
        <w:tc>
          <w:tcPr>
            <w:tcW w:w="1132" w:type="dxa"/>
            <w:vAlign w:val="center"/>
          </w:tcPr>
          <w:p w14:paraId="2F726CAB">
            <w:pPr>
              <w:adjustRightInd w:val="0"/>
              <w:snapToGrid w:val="0"/>
              <w:spacing w:line="240" w:lineRule="auto"/>
              <w:jc w:val="center"/>
              <w:rPr>
                <w:sz w:val="21"/>
                <w:szCs w:val="21"/>
              </w:rPr>
            </w:pPr>
            <w:r>
              <w:rPr>
                <w:rFonts w:hint="eastAsia"/>
                <w:sz w:val="21"/>
                <w:szCs w:val="21"/>
              </w:rPr>
              <w:t>供电</w:t>
            </w:r>
          </w:p>
        </w:tc>
        <w:tc>
          <w:tcPr>
            <w:tcW w:w="3964" w:type="dxa"/>
            <w:gridSpan w:val="2"/>
            <w:tcBorders>
              <w:right w:val="single" w:color="auto" w:sz="4" w:space="0"/>
            </w:tcBorders>
            <w:vAlign w:val="center"/>
          </w:tcPr>
          <w:p w14:paraId="3BFB0338">
            <w:pPr>
              <w:adjustRightInd w:val="0"/>
              <w:snapToGrid w:val="0"/>
              <w:spacing w:line="240" w:lineRule="auto"/>
              <w:jc w:val="center"/>
              <w:rPr>
                <w:sz w:val="21"/>
                <w:szCs w:val="21"/>
              </w:rPr>
            </w:pPr>
            <w:r>
              <w:rPr>
                <w:rFonts w:hint="eastAsia"/>
                <w:sz w:val="21"/>
                <w:szCs w:val="21"/>
              </w:rPr>
              <w:t>供电依托厂区现有的供电设施，由市政电网供给</w:t>
            </w:r>
          </w:p>
        </w:tc>
        <w:tc>
          <w:tcPr>
            <w:tcW w:w="1410" w:type="dxa"/>
            <w:tcBorders>
              <w:left w:val="single" w:color="auto" w:sz="4" w:space="0"/>
            </w:tcBorders>
            <w:vAlign w:val="center"/>
          </w:tcPr>
          <w:p w14:paraId="1101FD58">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24FFC741">
            <w:pPr>
              <w:adjustRightInd w:val="0"/>
              <w:snapToGrid w:val="0"/>
              <w:spacing w:line="240" w:lineRule="auto"/>
              <w:jc w:val="center"/>
              <w:rPr>
                <w:sz w:val="21"/>
                <w:szCs w:val="21"/>
              </w:rPr>
            </w:pPr>
            <w:r>
              <w:rPr>
                <w:rFonts w:hint="eastAsia"/>
                <w:sz w:val="21"/>
                <w:szCs w:val="21"/>
              </w:rPr>
              <w:t>已建工程</w:t>
            </w:r>
          </w:p>
          <w:p w14:paraId="1A47DEE0">
            <w:pPr>
              <w:adjustRightInd w:val="0"/>
              <w:snapToGrid w:val="0"/>
              <w:spacing w:line="240" w:lineRule="auto"/>
              <w:jc w:val="center"/>
              <w:rPr>
                <w:sz w:val="21"/>
                <w:szCs w:val="21"/>
              </w:rPr>
            </w:pPr>
            <w:r>
              <w:rPr>
                <w:rFonts w:hint="eastAsia"/>
                <w:sz w:val="21"/>
                <w:szCs w:val="21"/>
              </w:rPr>
              <w:t>内容</w:t>
            </w:r>
          </w:p>
        </w:tc>
      </w:tr>
      <w:tr w14:paraId="19D9E1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34E79242">
            <w:pPr>
              <w:adjustRightInd w:val="0"/>
              <w:snapToGrid w:val="0"/>
              <w:spacing w:line="240" w:lineRule="auto"/>
              <w:jc w:val="center"/>
              <w:rPr>
                <w:color w:val="FF0000"/>
                <w:sz w:val="21"/>
                <w:szCs w:val="21"/>
              </w:rPr>
            </w:pPr>
          </w:p>
        </w:tc>
        <w:tc>
          <w:tcPr>
            <w:tcW w:w="1132" w:type="dxa"/>
            <w:vAlign w:val="center"/>
          </w:tcPr>
          <w:p w14:paraId="43A49493">
            <w:pPr>
              <w:adjustRightInd w:val="0"/>
              <w:snapToGrid w:val="0"/>
              <w:spacing w:line="240" w:lineRule="auto"/>
              <w:jc w:val="center"/>
              <w:rPr>
                <w:sz w:val="21"/>
                <w:szCs w:val="21"/>
              </w:rPr>
            </w:pPr>
            <w:r>
              <w:rPr>
                <w:rFonts w:hint="eastAsia"/>
                <w:sz w:val="21"/>
                <w:szCs w:val="21"/>
              </w:rPr>
              <w:t>供气</w:t>
            </w:r>
          </w:p>
        </w:tc>
        <w:tc>
          <w:tcPr>
            <w:tcW w:w="3964" w:type="dxa"/>
            <w:gridSpan w:val="2"/>
            <w:tcBorders>
              <w:right w:val="single" w:color="auto" w:sz="4" w:space="0"/>
            </w:tcBorders>
            <w:vAlign w:val="center"/>
          </w:tcPr>
          <w:p w14:paraId="59658B05">
            <w:pPr>
              <w:adjustRightInd w:val="0"/>
              <w:snapToGrid w:val="0"/>
              <w:spacing w:line="240" w:lineRule="auto"/>
              <w:jc w:val="center"/>
              <w:rPr>
                <w:sz w:val="21"/>
                <w:szCs w:val="21"/>
              </w:rPr>
            </w:pPr>
            <w:r>
              <w:rPr>
                <w:rFonts w:hint="eastAsia"/>
                <w:sz w:val="21"/>
                <w:szCs w:val="21"/>
              </w:rPr>
              <w:t>天然气为新奥燃气供给</w:t>
            </w:r>
          </w:p>
        </w:tc>
        <w:tc>
          <w:tcPr>
            <w:tcW w:w="1410" w:type="dxa"/>
            <w:tcBorders>
              <w:left w:val="single" w:color="auto" w:sz="4" w:space="0"/>
            </w:tcBorders>
            <w:vAlign w:val="center"/>
          </w:tcPr>
          <w:p w14:paraId="0D99CFC2">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230B2052">
            <w:pPr>
              <w:adjustRightInd w:val="0"/>
              <w:snapToGrid w:val="0"/>
              <w:spacing w:line="240" w:lineRule="auto"/>
              <w:jc w:val="center"/>
              <w:rPr>
                <w:sz w:val="21"/>
                <w:szCs w:val="21"/>
              </w:rPr>
            </w:pPr>
            <w:r>
              <w:rPr>
                <w:rFonts w:hint="eastAsia"/>
                <w:sz w:val="21"/>
                <w:szCs w:val="21"/>
              </w:rPr>
              <w:t>已建工程</w:t>
            </w:r>
          </w:p>
          <w:p w14:paraId="148FB711">
            <w:pPr>
              <w:adjustRightInd w:val="0"/>
              <w:snapToGrid w:val="0"/>
              <w:spacing w:line="240" w:lineRule="auto"/>
              <w:jc w:val="center"/>
              <w:rPr>
                <w:sz w:val="21"/>
                <w:szCs w:val="21"/>
              </w:rPr>
            </w:pPr>
            <w:r>
              <w:rPr>
                <w:rFonts w:hint="eastAsia"/>
                <w:sz w:val="21"/>
                <w:szCs w:val="21"/>
              </w:rPr>
              <w:t>内容</w:t>
            </w:r>
          </w:p>
        </w:tc>
      </w:tr>
      <w:tr w14:paraId="1DDC34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72B473D6">
            <w:pPr>
              <w:adjustRightInd w:val="0"/>
              <w:snapToGrid w:val="0"/>
              <w:spacing w:line="240" w:lineRule="auto"/>
              <w:jc w:val="center"/>
              <w:rPr>
                <w:color w:val="FF0000"/>
                <w:sz w:val="21"/>
                <w:szCs w:val="21"/>
              </w:rPr>
            </w:pPr>
          </w:p>
        </w:tc>
        <w:tc>
          <w:tcPr>
            <w:tcW w:w="1132" w:type="dxa"/>
            <w:vAlign w:val="center"/>
          </w:tcPr>
          <w:p w14:paraId="5BB0AD72">
            <w:pPr>
              <w:adjustRightInd w:val="0"/>
              <w:snapToGrid w:val="0"/>
              <w:spacing w:line="240" w:lineRule="auto"/>
              <w:jc w:val="center"/>
              <w:rPr>
                <w:sz w:val="21"/>
                <w:szCs w:val="21"/>
              </w:rPr>
            </w:pPr>
            <w:r>
              <w:rPr>
                <w:rFonts w:hint="eastAsia"/>
                <w:sz w:val="21"/>
                <w:szCs w:val="21"/>
              </w:rPr>
              <w:t>供热</w:t>
            </w:r>
          </w:p>
        </w:tc>
        <w:tc>
          <w:tcPr>
            <w:tcW w:w="3964" w:type="dxa"/>
            <w:gridSpan w:val="2"/>
            <w:tcBorders>
              <w:right w:val="single" w:color="auto" w:sz="4" w:space="0"/>
            </w:tcBorders>
            <w:vAlign w:val="center"/>
          </w:tcPr>
          <w:p w14:paraId="73818DC0">
            <w:pPr>
              <w:adjustRightInd w:val="0"/>
              <w:snapToGrid w:val="0"/>
              <w:spacing w:line="240" w:lineRule="auto"/>
              <w:jc w:val="center"/>
              <w:rPr>
                <w:sz w:val="21"/>
                <w:szCs w:val="21"/>
              </w:rPr>
            </w:pPr>
            <w:r>
              <w:rPr>
                <w:rFonts w:hint="eastAsia"/>
                <w:sz w:val="21"/>
                <w:szCs w:val="21"/>
              </w:rPr>
              <w:t>锅炉、烘干、原有熟化采用天然气，新增熟化采用电加热</w:t>
            </w:r>
          </w:p>
        </w:tc>
        <w:tc>
          <w:tcPr>
            <w:tcW w:w="1410" w:type="dxa"/>
            <w:tcBorders>
              <w:left w:val="single" w:color="auto" w:sz="4" w:space="0"/>
            </w:tcBorders>
            <w:vAlign w:val="center"/>
          </w:tcPr>
          <w:p w14:paraId="50994B68">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5C101B05">
            <w:pPr>
              <w:adjustRightInd w:val="0"/>
              <w:snapToGrid w:val="0"/>
              <w:spacing w:line="240" w:lineRule="auto"/>
              <w:jc w:val="center"/>
              <w:rPr>
                <w:sz w:val="21"/>
                <w:szCs w:val="21"/>
              </w:rPr>
            </w:pPr>
            <w:r>
              <w:rPr>
                <w:rFonts w:hint="eastAsia"/>
                <w:sz w:val="21"/>
                <w:szCs w:val="21"/>
              </w:rPr>
              <w:t>已建工程</w:t>
            </w:r>
          </w:p>
          <w:p w14:paraId="5ABFD299">
            <w:pPr>
              <w:adjustRightInd w:val="0"/>
              <w:snapToGrid w:val="0"/>
              <w:spacing w:line="240" w:lineRule="auto"/>
              <w:jc w:val="center"/>
              <w:rPr>
                <w:sz w:val="21"/>
                <w:szCs w:val="21"/>
              </w:rPr>
            </w:pPr>
            <w:r>
              <w:rPr>
                <w:rFonts w:hint="eastAsia"/>
                <w:sz w:val="21"/>
                <w:szCs w:val="21"/>
              </w:rPr>
              <w:t>内容</w:t>
            </w:r>
          </w:p>
        </w:tc>
      </w:tr>
      <w:tr w14:paraId="538FFE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restart"/>
            <w:vAlign w:val="center"/>
          </w:tcPr>
          <w:p w14:paraId="06923303">
            <w:pPr>
              <w:adjustRightInd w:val="0"/>
              <w:snapToGrid w:val="0"/>
              <w:spacing w:line="240" w:lineRule="auto"/>
              <w:jc w:val="center"/>
              <w:rPr>
                <w:color w:val="FF0000"/>
                <w:sz w:val="21"/>
                <w:szCs w:val="21"/>
              </w:rPr>
            </w:pPr>
            <w:r>
              <w:rPr>
                <w:rFonts w:hint="eastAsia"/>
                <w:sz w:val="21"/>
                <w:szCs w:val="21"/>
              </w:rPr>
              <w:t>环保工程</w:t>
            </w:r>
          </w:p>
        </w:tc>
        <w:tc>
          <w:tcPr>
            <w:tcW w:w="1132" w:type="dxa"/>
            <w:vAlign w:val="center"/>
          </w:tcPr>
          <w:p w14:paraId="1FDEDE6F">
            <w:pPr>
              <w:adjustRightInd w:val="0"/>
              <w:snapToGrid w:val="0"/>
              <w:spacing w:line="240" w:lineRule="auto"/>
              <w:jc w:val="center"/>
              <w:rPr>
                <w:sz w:val="21"/>
                <w:szCs w:val="21"/>
              </w:rPr>
            </w:pPr>
            <w:r>
              <w:rPr>
                <w:rFonts w:hint="eastAsia"/>
                <w:sz w:val="21"/>
                <w:szCs w:val="21"/>
              </w:rPr>
              <w:t>有机废气</w:t>
            </w:r>
          </w:p>
        </w:tc>
        <w:tc>
          <w:tcPr>
            <w:tcW w:w="3964" w:type="dxa"/>
            <w:gridSpan w:val="2"/>
            <w:tcBorders>
              <w:right w:val="single" w:color="auto" w:sz="4" w:space="0"/>
            </w:tcBorders>
            <w:vAlign w:val="center"/>
          </w:tcPr>
          <w:p w14:paraId="29B2B191">
            <w:pPr>
              <w:adjustRightInd w:val="0"/>
              <w:snapToGrid w:val="0"/>
              <w:spacing w:line="240" w:lineRule="auto"/>
              <w:jc w:val="center"/>
              <w:rPr>
                <w:sz w:val="21"/>
                <w:szCs w:val="21"/>
              </w:rPr>
            </w:pPr>
            <w:r>
              <w:rPr>
                <w:rFonts w:hint="eastAsia"/>
                <w:sz w:val="21"/>
                <w:szCs w:val="21"/>
                <w:lang w:val="en-US" w:eastAsia="zh-CN"/>
              </w:rPr>
              <w:t>拆除</w:t>
            </w:r>
            <w:r>
              <w:rPr>
                <w:rFonts w:hint="eastAsia"/>
                <w:sz w:val="21"/>
                <w:szCs w:val="21"/>
              </w:rPr>
              <w:t>原“（2+1）三通路处理凹印有机废气的节能减排系统末端废气治理设施”装置；采用“吸附浓缩+溶剂回收设备”处理后由20.5</w:t>
            </w:r>
            <w:r>
              <w:rPr>
                <w:sz w:val="21"/>
                <w:szCs w:val="21"/>
              </w:rPr>
              <w:t>m</w:t>
            </w:r>
            <w:r>
              <w:rPr>
                <w:rFonts w:hint="eastAsia"/>
                <w:sz w:val="21"/>
                <w:szCs w:val="21"/>
              </w:rPr>
              <w:t>排气筒（DA001）高空排放</w:t>
            </w:r>
          </w:p>
        </w:tc>
        <w:tc>
          <w:tcPr>
            <w:tcW w:w="1410" w:type="dxa"/>
            <w:tcBorders>
              <w:left w:val="single" w:color="auto" w:sz="4" w:space="0"/>
            </w:tcBorders>
            <w:vAlign w:val="center"/>
          </w:tcPr>
          <w:p w14:paraId="11B14985">
            <w:pPr>
              <w:adjustRightInd w:val="0"/>
              <w:snapToGrid w:val="0"/>
              <w:spacing w:line="240" w:lineRule="auto"/>
              <w:jc w:val="center"/>
              <w:rPr>
                <w:b/>
                <w:sz w:val="21"/>
                <w:szCs w:val="21"/>
              </w:rPr>
            </w:pPr>
            <w:r>
              <w:rPr>
                <w:sz w:val="21"/>
                <w:szCs w:val="21"/>
              </w:rPr>
              <w:t>不变</w:t>
            </w:r>
          </w:p>
        </w:tc>
        <w:tc>
          <w:tcPr>
            <w:tcW w:w="1307" w:type="dxa"/>
            <w:tcBorders>
              <w:left w:val="single" w:color="auto" w:sz="4" w:space="0"/>
            </w:tcBorders>
            <w:vAlign w:val="center"/>
          </w:tcPr>
          <w:p w14:paraId="2846A3F5">
            <w:pPr>
              <w:adjustRightInd w:val="0"/>
              <w:snapToGrid w:val="0"/>
              <w:spacing w:line="240" w:lineRule="auto"/>
              <w:jc w:val="center"/>
              <w:rPr>
                <w:b w:val="0"/>
                <w:bCs/>
                <w:sz w:val="21"/>
                <w:szCs w:val="21"/>
              </w:rPr>
            </w:pPr>
            <w:r>
              <w:rPr>
                <w:b w:val="0"/>
                <w:bCs/>
                <w:sz w:val="21"/>
                <w:szCs w:val="21"/>
              </w:rPr>
              <w:t>在建</w:t>
            </w:r>
            <w:r>
              <w:rPr>
                <w:rFonts w:hint="eastAsia"/>
                <w:b w:val="0"/>
                <w:bCs/>
                <w:sz w:val="21"/>
                <w:szCs w:val="21"/>
              </w:rPr>
              <w:t>工程</w:t>
            </w:r>
          </w:p>
          <w:p w14:paraId="2A54AD36">
            <w:pPr>
              <w:adjustRightInd w:val="0"/>
              <w:snapToGrid w:val="0"/>
              <w:spacing w:line="240" w:lineRule="auto"/>
              <w:jc w:val="center"/>
              <w:rPr>
                <w:b w:val="0"/>
                <w:bCs/>
                <w:sz w:val="21"/>
                <w:szCs w:val="21"/>
              </w:rPr>
            </w:pPr>
            <w:r>
              <w:rPr>
                <w:b w:val="0"/>
                <w:bCs/>
                <w:sz w:val="21"/>
                <w:szCs w:val="21"/>
              </w:rPr>
              <w:t>内容</w:t>
            </w:r>
          </w:p>
        </w:tc>
      </w:tr>
      <w:tr w14:paraId="57063F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052E5CB3">
            <w:pPr>
              <w:adjustRightInd w:val="0"/>
              <w:snapToGrid w:val="0"/>
              <w:spacing w:line="240" w:lineRule="auto"/>
              <w:jc w:val="center"/>
              <w:rPr>
                <w:sz w:val="21"/>
                <w:szCs w:val="21"/>
              </w:rPr>
            </w:pPr>
          </w:p>
        </w:tc>
        <w:tc>
          <w:tcPr>
            <w:tcW w:w="1132" w:type="dxa"/>
            <w:vMerge w:val="restart"/>
            <w:vAlign w:val="center"/>
          </w:tcPr>
          <w:p w14:paraId="4F927741">
            <w:pPr>
              <w:adjustRightInd w:val="0"/>
              <w:snapToGrid w:val="0"/>
              <w:spacing w:line="240" w:lineRule="auto"/>
              <w:jc w:val="center"/>
              <w:rPr>
                <w:sz w:val="21"/>
                <w:szCs w:val="21"/>
              </w:rPr>
            </w:pPr>
            <w:r>
              <w:rPr>
                <w:rFonts w:hint="eastAsia"/>
                <w:sz w:val="21"/>
                <w:szCs w:val="21"/>
              </w:rPr>
              <w:t>天然气燃烧废气</w:t>
            </w:r>
          </w:p>
        </w:tc>
        <w:tc>
          <w:tcPr>
            <w:tcW w:w="3964" w:type="dxa"/>
            <w:gridSpan w:val="2"/>
            <w:tcBorders>
              <w:right w:val="single" w:color="auto" w:sz="4" w:space="0"/>
            </w:tcBorders>
            <w:vAlign w:val="center"/>
          </w:tcPr>
          <w:p w14:paraId="20812A3B">
            <w:pPr>
              <w:adjustRightInd w:val="0"/>
              <w:snapToGrid w:val="0"/>
              <w:spacing w:line="240" w:lineRule="auto"/>
              <w:jc w:val="center"/>
              <w:rPr>
                <w:sz w:val="21"/>
                <w:szCs w:val="21"/>
              </w:rPr>
            </w:pPr>
            <w:r>
              <w:rPr>
                <w:rFonts w:hint="eastAsia"/>
                <w:sz w:val="21"/>
                <w:szCs w:val="21"/>
              </w:rPr>
              <w:t>新增导热油锅炉，热源为天然气，低氮燃烧后由1根16m排气筒（DA002）高空排放</w:t>
            </w:r>
          </w:p>
        </w:tc>
        <w:tc>
          <w:tcPr>
            <w:tcW w:w="1410" w:type="dxa"/>
            <w:tcBorders>
              <w:left w:val="single" w:color="auto" w:sz="4" w:space="0"/>
            </w:tcBorders>
            <w:vAlign w:val="center"/>
          </w:tcPr>
          <w:p w14:paraId="5706B1AD">
            <w:pPr>
              <w:adjustRightInd w:val="0"/>
              <w:snapToGrid w:val="0"/>
              <w:spacing w:line="240" w:lineRule="auto"/>
              <w:jc w:val="center"/>
              <w:rPr>
                <w:b/>
                <w:sz w:val="21"/>
                <w:szCs w:val="21"/>
              </w:rPr>
            </w:pPr>
            <w:r>
              <w:rPr>
                <w:sz w:val="21"/>
                <w:szCs w:val="21"/>
              </w:rPr>
              <w:t>不变</w:t>
            </w:r>
          </w:p>
        </w:tc>
        <w:tc>
          <w:tcPr>
            <w:tcW w:w="1307" w:type="dxa"/>
            <w:tcBorders>
              <w:left w:val="single" w:color="auto" w:sz="4" w:space="0"/>
            </w:tcBorders>
            <w:vAlign w:val="center"/>
          </w:tcPr>
          <w:p w14:paraId="473389B9">
            <w:pPr>
              <w:adjustRightInd w:val="0"/>
              <w:snapToGrid w:val="0"/>
              <w:spacing w:line="240" w:lineRule="auto"/>
              <w:jc w:val="center"/>
              <w:rPr>
                <w:b w:val="0"/>
                <w:bCs/>
                <w:sz w:val="21"/>
                <w:szCs w:val="21"/>
              </w:rPr>
            </w:pPr>
            <w:r>
              <w:rPr>
                <w:b w:val="0"/>
                <w:bCs/>
                <w:sz w:val="21"/>
                <w:szCs w:val="21"/>
              </w:rPr>
              <w:t>在建</w:t>
            </w:r>
            <w:r>
              <w:rPr>
                <w:rFonts w:hint="eastAsia"/>
                <w:b w:val="0"/>
                <w:bCs/>
                <w:sz w:val="21"/>
                <w:szCs w:val="21"/>
              </w:rPr>
              <w:t>工程</w:t>
            </w:r>
          </w:p>
          <w:p w14:paraId="4DA79BDD">
            <w:pPr>
              <w:adjustRightInd w:val="0"/>
              <w:snapToGrid w:val="0"/>
              <w:spacing w:line="240" w:lineRule="auto"/>
              <w:jc w:val="center"/>
              <w:rPr>
                <w:b w:val="0"/>
                <w:bCs/>
                <w:sz w:val="21"/>
                <w:szCs w:val="21"/>
              </w:rPr>
            </w:pPr>
            <w:r>
              <w:rPr>
                <w:b w:val="0"/>
                <w:bCs/>
                <w:sz w:val="21"/>
                <w:szCs w:val="21"/>
              </w:rPr>
              <w:t>内容</w:t>
            </w:r>
          </w:p>
        </w:tc>
      </w:tr>
      <w:tr w14:paraId="19542B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546C8138">
            <w:pPr>
              <w:adjustRightInd w:val="0"/>
              <w:snapToGrid w:val="0"/>
              <w:spacing w:line="240" w:lineRule="auto"/>
              <w:jc w:val="center"/>
              <w:rPr>
                <w:sz w:val="21"/>
                <w:szCs w:val="21"/>
              </w:rPr>
            </w:pPr>
          </w:p>
        </w:tc>
        <w:tc>
          <w:tcPr>
            <w:tcW w:w="1132" w:type="dxa"/>
            <w:vMerge w:val="continue"/>
            <w:vAlign w:val="center"/>
          </w:tcPr>
          <w:p w14:paraId="1A60ECC0">
            <w:pPr>
              <w:adjustRightInd w:val="0"/>
              <w:snapToGrid w:val="0"/>
              <w:spacing w:line="240" w:lineRule="auto"/>
              <w:jc w:val="center"/>
              <w:rPr>
                <w:sz w:val="21"/>
                <w:szCs w:val="21"/>
              </w:rPr>
            </w:pPr>
          </w:p>
        </w:tc>
        <w:tc>
          <w:tcPr>
            <w:tcW w:w="3964" w:type="dxa"/>
            <w:gridSpan w:val="2"/>
            <w:tcBorders>
              <w:right w:val="single" w:color="auto" w:sz="4" w:space="0"/>
            </w:tcBorders>
            <w:vAlign w:val="center"/>
          </w:tcPr>
          <w:p w14:paraId="6552D3D9">
            <w:pPr>
              <w:adjustRightInd w:val="0"/>
              <w:snapToGrid w:val="0"/>
              <w:spacing w:line="240" w:lineRule="auto"/>
              <w:jc w:val="center"/>
              <w:rPr>
                <w:sz w:val="21"/>
                <w:szCs w:val="21"/>
              </w:rPr>
            </w:pPr>
            <w:r>
              <w:rPr>
                <w:rFonts w:hint="eastAsia"/>
                <w:sz w:val="21"/>
                <w:szCs w:val="21"/>
              </w:rPr>
              <w:t>印刷复合烘干采用天然气加热烘干，天然气燃烧废气经20.5m排气筒（DA001）排出</w:t>
            </w:r>
          </w:p>
        </w:tc>
        <w:tc>
          <w:tcPr>
            <w:tcW w:w="1410" w:type="dxa"/>
            <w:tcBorders>
              <w:left w:val="single" w:color="auto" w:sz="4" w:space="0"/>
            </w:tcBorders>
            <w:vAlign w:val="center"/>
          </w:tcPr>
          <w:p w14:paraId="54054284">
            <w:pPr>
              <w:adjustRightInd w:val="0"/>
              <w:snapToGrid w:val="0"/>
              <w:spacing w:line="240" w:lineRule="auto"/>
              <w:jc w:val="center"/>
              <w:rPr>
                <w:b/>
                <w:sz w:val="21"/>
                <w:szCs w:val="21"/>
              </w:rPr>
            </w:pPr>
            <w:r>
              <w:rPr>
                <w:rFonts w:hint="eastAsia"/>
                <w:sz w:val="21"/>
                <w:szCs w:val="21"/>
              </w:rPr>
              <w:t>印刷复合烘干采用天然气</w:t>
            </w:r>
            <w:r>
              <w:rPr>
                <w:rFonts w:hint="eastAsia"/>
                <w:sz w:val="21"/>
                <w:szCs w:val="21"/>
                <w:lang w:val="en-US" w:eastAsia="zh-CN"/>
              </w:rPr>
              <w:t>热水锅炉</w:t>
            </w:r>
            <w:r>
              <w:rPr>
                <w:rFonts w:hint="eastAsia"/>
                <w:sz w:val="21"/>
                <w:szCs w:val="21"/>
              </w:rPr>
              <w:t>加热烘干，天然气燃烧废气经（DA002）高空排放</w:t>
            </w:r>
          </w:p>
        </w:tc>
        <w:tc>
          <w:tcPr>
            <w:tcW w:w="1307" w:type="dxa"/>
            <w:tcBorders>
              <w:left w:val="single" w:color="auto" w:sz="4" w:space="0"/>
            </w:tcBorders>
            <w:vAlign w:val="center"/>
          </w:tcPr>
          <w:p w14:paraId="799C61B2">
            <w:pPr>
              <w:adjustRightInd w:val="0"/>
              <w:snapToGrid w:val="0"/>
              <w:spacing w:line="240" w:lineRule="auto"/>
              <w:jc w:val="center"/>
              <w:rPr>
                <w:rFonts w:hint="default" w:eastAsia="宋体"/>
                <w:sz w:val="21"/>
                <w:szCs w:val="21"/>
                <w:lang w:val="en-US" w:eastAsia="zh-CN"/>
              </w:rPr>
            </w:pPr>
            <w:r>
              <w:rPr>
                <w:rFonts w:hint="eastAsia"/>
                <w:b/>
                <w:sz w:val="21"/>
                <w:szCs w:val="21"/>
                <w:lang w:val="en-US" w:eastAsia="zh-CN"/>
              </w:rPr>
              <w:t>变更调整</w:t>
            </w:r>
          </w:p>
        </w:tc>
      </w:tr>
      <w:tr w14:paraId="789CE7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4A0E73C0">
            <w:pPr>
              <w:adjustRightInd w:val="0"/>
              <w:snapToGrid w:val="0"/>
              <w:spacing w:line="240" w:lineRule="auto"/>
              <w:jc w:val="center"/>
              <w:rPr>
                <w:sz w:val="21"/>
                <w:szCs w:val="21"/>
              </w:rPr>
            </w:pPr>
          </w:p>
        </w:tc>
        <w:tc>
          <w:tcPr>
            <w:tcW w:w="1132" w:type="dxa"/>
            <w:vAlign w:val="center"/>
          </w:tcPr>
          <w:p w14:paraId="130D0220">
            <w:pPr>
              <w:adjustRightInd w:val="0"/>
              <w:snapToGrid w:val="0"/>
              <w:spacing w:line="240" w:lineRule="auto"/>
              <w:jc w:val="center"/>
              <w:rPr>
                <w:sz w:val="21"/>
                <w:szCs w:val="21"/>
              </w:rPr>
            </w:pPr>
            <w:r>
              <w:rPr>
                <w:rFonts w:hint="eastAsia"/>
                <w:sz w:val="21"/>
                <w:szCs w:val="21"/>
              </w:rPr>
              <w:t>食堂油烟</w:t>
            </w:r>
          </w:p>
        </w:tc>
        <w:tc>
          <w:tcPr>
            <w:tcW w:w="3964" w:type="dxa"/>
            <w:gridSpan w:val="2"/>
            <w:tcBorders>
              <w:right w:val="single" w:color="auto" w:sz="4" w:space="0"/>
            </w:tcBorders>
            <w:vAlign w:val="center"/>
          </w:tcPr>
          <w:p w14:paraId="70F0E7AD">
            <w:pPr>
              <w:adjustRightInd w:val="0"/>
              <w:snapToGrid w:val="0"/>
              <w:spacing w:line="240" w:lineRule="auto"/>
              <w:jc w:val="center"/>
              <w:rPr>
                <w:sz w:val="21"/>
                <w:szCs w:val="21"/>
              </w:rPr>
            </w:pPr>
            <w:r>
              <w:rPr>
                <w:sz w:val="21"/>
                <w:szCs w:val="21"/>
              </w:rPr>
              <w:t>食堂油烟废气依托食堂现有的油烟净化器处理后</w:t>
            </w:r>
            <w:r>
              <w:rPr>
                <w:rFonts w:hint="eastAsia"/>
                <w:sz w:val="21"/>
                <w:szCs w:val="21"/>
              </w:rPr>
              <w:t>屋顶</w:t>
            </w:r>
            <w:r>
              <w:rPr>
                <w:sz w:val="21"/>
                <w:szCs w:val="21"/>
              </w:rPr>
              <w:t>外排</w:t>
            </w:r>
          </w:p>
        </w:tc>
        <w:tc>
          <w:tcPr>
            <w:tcW w:w="1410" w:type="dxa"/>
            <w:tcBorders>
              <w:left w:val="single" w:color="auto" w:sz="4" w:space="0"/>
            </w:tcBorders>
            <w:vAlign w:val="center"/>
          </w:tcPr>
          <w:p w14:paraId="0CF85AB6">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7386D68E">
            <w:pPr>
              <w:adjustRightInd w:val="0"/>
              <w:snapToGrid w:val="0"/>
              <w:spacing w:line="240" w:lineRule="auto"/>
              <w:jc w:val="center"/>
              <w:rPr>
                <w:sz w:val="21"/>
                <w:szCs w:val="21"/>
              </w:rPr>
            </w:pPr>
            <w:r>
              <w:rPr>
                <w:rFonts w:hint="eastAsia"/>
                <w:sz w:val="21"/>
                <w:szCs w:val="21"/>
              </w:rPr>
              <w:t>已建工程</w:t>
            </w:r>
          </w:p>
          <w:p w14:paraId="5292F412">
            <w:pPr>
              <w:adjustRightInd w:val="0"/>
              <w:snapToGrid w:val="0"/>
              <w:spacing w:line="240" w:lineRule="auto"/>
              <w:jc w:val="center"/>
              <w:rPr>
                <w:sz w:val="21"/>
                <w:szCs w:val="21"/>
              </w:rPr>
            </w:pPr>
            <w:r>
              <w:rPr>
                <w:rFonts w:hint="eastAsia"/>
                <w:sz w:val="21"/>
                <w:szCs w:val="21"/>
              </w:rPr>
              <w:t>内容</w:t>
            </w:r>
          </w:p>
        </w:tc>
      </w:tr>
      <w:tr w14:paraId="101AD4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62EEAF0D">
            <w:pPr>
              <w:adjustRightInd w:val="0"/>
              <w:snapToGrid w:val="0"/>
              <w:spacing w:line="240" w:lineRule="auto"/>
              <w:jc w:val="center"/>
              <w:rPr>
                <w:color w:val="FF0000"/>
                <w:sz w:val="21"/>
                <w:szCs w:val="21"/>
              </w:rPr>
            </w:pPr>
          </w:p>
        </w:tc>
        <w:tc>
          <w:tcPr>
            <w:tcW w:w="1132" w:type="dxa"/>
            <w:tcBorders>
              <w:top w:val="single" w:color="auto" w:sz="4" w:space="0"/>
            </w:tcBorders>
            <w:vAlign w:val="center"/>
          </w:tcPr>
          <w:p w14:paraId="03D611B4">
            <w:pPr>
              <w:adjustRightInd w:val="0"/>
              <w:snapToGrid w:val="0"/>
              <w:spacing w:line="240" w:lineRule="auto"/>
              <w:jc w:val="center"/>
              <w:rPr>
                <w:sz w:val="21"/>
                <w:szCs w:val="21"/>
              </w:rPr>
            </w:pPr>
            <w:r>
              <w:rPr>
                <w:rFonts w:hint="eastAsia"/>
                <w:sz w:val="21"/>
                <w:szCs w:val="21"/>
              </w:rPr>
              <w:t>生活污水</w:t>
            </w:r>
          </w:p>
        </w:tc>
        <w:tc>
          <w:tcPr>
            <w:tcW w:w="3964" w:type="dxa"/>
            <w:gridSpan w:val="2"/>
            <w:tcBorders>
              <w:top w:val="single" w:color="auto" w:sz="4" w:space="0"/>
              <w:right w:val="single" w:color="auto" w:sz="4" w:space="0"/>
            </w:tcBorders>
            <w:vAlign w:val="center"/>
          </w:tcPr>
          <w:p w14:paraId="1BD4CD46">
            <w:pPr>
              <w:adjustRightInd w:val="0"/>
              <w:snapToGrid w:val="0"/>
              <w:spacing w:line="240" w:lineRule="auto"/>
              <w:jc w:val="center"/>
              <w:rPr>
                <w:sz w:val="21"/>
                <w:szCs w:val="21"/>
              </w:rPr>
            </w:pPr>
            <w:r>
              <w:rPr>
                <w:sz w:val="21"/>
                <w:szCs w:val="21"/>
              </w:rPr>
              <w:t>雨水排入海鸥路雨水管道中，最终排入湘江。办公生活污水排入隔油池、化粪池处理后经海鸥路污水管道接入市政污水管网，汇入</w:t>
            </w:r>
            <w:r>
              <w:rPr>
                <w:rFonts w:hint="eastAsia"/>
                <w:sz w:val="21"/>
                <w:szCs w:val="21"/>
              </w:rPr>
              <w:t>湘潭县顺业污水处理有限公司污水处理厂</w:t>
            </w:r>
            <w:r>
              <w:rPr>
                <w:sz w:val="21"/>
                <w:szCs w:val="21"/>
              </w:rPr>
              <w:t>处理，最终排入湘江</w:t>
            </w:r>
          </w:p>
        </w:tc>
        <w:tc>
          <w:tcPr>
            <w:tcW w:w="1410" w:type="dxa"/>
            <w:tcBorders>
              <w:left w:val="single" w:color="auto" w:sz="4" w:space="0"/>
            </w:tcBorders>
            <w:vAlign w:val="center"/>
          </w:tcPr>
          <w:p w14:paraId="5FE02E9D">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662E4663">
            <w:pPr>
              <w:adjustRightInd w:val="0"/>
              <w:snapToGrid w:val="0"/>
              <w:spacing w:line="240" w:lineRule="auto"/>
              <w:jc w:val="center"/>
              <w:rPr>
                <w:sz w:val="21"/>
                <w:szCs w:val="21"/>
              </w:rPr>
            </w:pPr>
            <w:r>
              <w:rPr>
                <w:rFonts w:hint="eastAsia"/>
                <w:sz w:val="21"/>
                <w:szCs w:val="21"/>
              </w:rPr>
              <w:t>已建工程</w:t>
            </w:r>
          </w:p>
          <w:p w14:paraId="07E3D580">
            <w:pPr>
              <w:adjustRightInd w:val="0"/>
              <w:snapToGrid w:val="0"/>
              <w:spacing w:line="240" w:lineRule="auto"/>
              <w:jc w:val="center"/>
              <w:rPr>
                <w:sz w:val="21"/>
                <w:szCs w:val="21"/>
              </w:rPr>
            </w:pPr>
            <w:r>
              <w:rPr>
                <w:rFonts w:hint="eastAsia"/>
                <w:sz w:val="21"/>
                <w:szCs w:val="21"/>
              </w:rPr>
              <w:t>内容</w:t>
            </w:r>
          </w:p>
        </w:tc>
      </w:tr>
      <w:tr w14:paraId="62A8A2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709" w:type="dxa"/>
            <w:vMerge w:val="continue"/>
            <w:vAlign w:val="center"/>
          </w:tcPr>
          <w:p w14:paraId="3F0FE834">
            <w:pPr>
              <w:adjustRightInd w:val="0"/>
              <w:snapToGrid w:val="0"/>
              <w:spacing w:line="240" w:lineRule="auto"/>
              <w:jc w:val="center"/>
              <w:rPr>
                <w:color w:val="FF0000"/>
                <w:sz w:val="21"/>
                <w:szCs w:val="21"/>
              </w:rPr>
            </w:pPr>
          </w:p>
        </w:tc>
        <w:tc>
          <w:tcPr>
            <w:tcW w:w="1132" w:type="dxa"/>
            <w:tcBorders>
              <w:top w:val="single" w:color="auto" w:sz="4" w:space="0"/>
            </w:tcBorders>
            <w:vAlign w:val="center"/>
          </w:tcPr>
          <w:p w14:paraId="662BBC99">
            <w:pPr>
              <w:adjustRightInd w:val="0"/>
              <w:snapToGrid w:val="0"/>
              <w:spacing w:line="240" w:lineRule="auto"/>
              <w:jc w:val="center"/>
              <w:rPr>
                <w:sz w:val="21"/>
                <w:szCs w:val="21"/>
              </w:rPr>
            </w:pPr>
            <w:r>
              <w:rPr>
                <w:rFonts w:hint="eastAsia"/>
                <w:sz w:val="21"/>
                <w:szCs w:val="21"/>
              </w:rPr>
              <w:t>应急池</w:t>
            </w:r>
          </w:p>
        </w:tc>
        <w:tc>
          <w:tcPr>
            <w:tcW w:w="3964" w:type="dxa"/>
            <w:gridSpan w:val="2"/>
            <w:tcBorders>
              <w:top w:val="single" w:color="auto" w:sz="4" w:space="0"/>
              <w:right w:val="single" w:color="auto" w:sz="4" w:space="0"/>
            </w:tcBorders>
            <w:vAlign w:val="center"/>
          </w:tcPr>
          <w:p w14:paraId="22D37489">
            <w:pPr>
              <w:adjustRightInd w:val="0"/>
              <w:snapToGrid w:val="0"/>
              <w:spacing w:line="240" w:lineRule="auto"/>
              <w:jc w:val="center"/>
              <w:rPr>
                <w:sz w:val="21"/>
                <w:szCs w:val="21"/>
              </w:rPr>
            </w:pPr>
            <w:r>
              <w:rPr>
                <w:rFonts w:hint="eastAsia"/>
                <w:sz w:val="21"/>
                <w:szCs w:val="21"/>
              </w:rPr>
              <w:t>位于1号车间东北侧，400m</w:t>
            </w:r>
            <w:r>
              <w:rPr>
                <w:rFonts w:hint="eastAsia"/>
                <w:sz w:val="21"/>
                <w:szCs w:val="21"/>
                <w:vertAlign w:val="superscript"/>
              </w:rPr>
              <w:t>3</w:t>
            </w:r>
          </w:p>
        </w:tc>
        <w:tc>
          <w:tcPr>
            <w:tcW w:w="1410" w:type="dxa"/>
            <w:tcBorders>
              <w:left w:val="single" w:color="auto" w:sz="4" w:space="0"/>
            </w:tcBorders>
            <w:vAlign w:val="center"/>
          </w:tcPr>
          <w:p w14:paraId="47BCA7CA">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7F941B0F">
            <w:pPr>
              <w:adjustRightInd w:val="0"/>
              <w:snapToGrid w:val="0"/>
              <w:spacing w:line="240" w:lineRule="auto"/>
              <w:jc w:val="center"/>
              <w:rPr>
                <w:sz w:val="21"/>
                <w:szCs w:val="21"/>
              </w:rPr>
            </w:pPr>
            <w:r>
              <w:rPr>
                <w:rFonts w:hint="eastAsia"/>
                <w:sz w:val="21"/>
                <w:szCs w:val="21"/>
              </w:rPr>
              <w:t>已建工程</w:t>
            </w:r>
          </w:p>
          <w:p w14:paraId="50206255">
            <w:pPr>
              <w:adjustRightInd w:val="0"/>
              <w:snapToGrid w:val="0"/>
              <w:spacing w:line="240" w:lineRule="auto"/>
              <w:jc w:val="center"/>
              <w:rPr>
                <w:sz w:val="21"/>
                <w:szCs w:val="21"/>
              </w:rPr>
            </w:pPr>
            <w:r>
              <w:rPr>
                <w:rFonts w:hint="eastAsia"/>
                <w:sz w:val="21"/>
                <w:szCs w:val="21"/>
              </w:rPr>
              <w:t>内容</w:t>
            </w:r>
          </w:p>
        </w:tc>
      </w:tr>
      <w:tr w14:paraId="0105A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49940C9B">
            <w:pPr>
              <w:adjustRightInd w:val="0"/>
              <w:snapToGrid w:val="0"/>
              <w:spacing w:line="240" w:lineRule="auto"/>
              <w:jc w:val="center"/>
              <w:rPr>
                <w:color w:val="FF0000"/>
                <w:sz w:val="21"/>
                <w:szCs w:val="21"/>
              </w:rPr>
            </w:pPr>
          </w:p>
        </w:tc>
        <w:tc>
          <w:tcPr>
            <w:tcW w:w="1132" w:type="dxa"/>
            <w:tcBorders>
              <w:top w:val="single" w:color="auto" w:sz="4" w:space="0"/>
            </w:tcBorders>
            <w:vAlign w:val="center"/>
          </w:tcPr>
          <w:p w14:paraId="3D9C8696">
            <w:pPr>
              <w:adjustRightInd w:val="0"/>
              <w:snapToGrid w:val="0"/>
              <w:spacing w:line="240" w:lineRule="auto"/>
              <w:jc w:val="center"/>
              <w:rPr>
                <w:sz w:val="21"/>
                <w:szCs w:val="21"/>
              </w:rPr>
            </w:pPr>
            <w:r>
              <w:rPr>
                <w:rFonts w:hint="eastAsia"/>
                <w:sz w:val="21"/>
                <w:szCs w:val="21"/>
              </w:rPr>
              <w:t>消防水池</w:t>
            </w:r>
          </w:p>
        </w:tc>
        <w:tc>
          <w:tcPr>
            <w:tcW w:w="3964" w:type="dxa"/>
            <w:gridSpan w:val="2"/>
            <w:tcBorders>
              <w:top w:val="single" w:color="auto" w:sz="4" w:space="0"/>
              <w:right w:val="single" w:color="auto" w:sz="4" w:space="0"/>
            </w:tcBorders>
            <w:vAlign w:val="center"/>
          </w:tcPr>
          <w:p w14:paraId="0E6112C5">
            <w:pPr>
              <w:adjustRightInd w:val="0"/>
              <w:snapToGrid w:val="0"/>
              <w:spacing w:line="240" w:lineRule="auto"/>
              <w:jc w:val="center"/>
              <w:rPr>
                <w:sz w:val="21"/>
                <w:szCs w:val="21"/>
              </w:rPr>
            </w:pPr>
            <w:r>
              <w:rPr>
                <w:rFonts w:hint="eastAsia"/>
                <w:sz w:val="21"/>
                <w:szCs w:val="21"/>
              </w:rPr>
              <w:t>位于3号车间西北侧地下室，400m</w:t>
            </w:r>
            <w:r>
              <w:rPr>
                <w:rFonts w:hint="eastAsia"/>
                <w:sz w:val="21"/>
                <w:szCs w:val="21"/>
                <w:vertAlign w:val="superscript"/>
              </w:rPr>
              <w:t>3</w:t>
            </w:r>
          </w:p>
        </w:tc>
        <w:tc>
          <w:tcPr>
            <w:tcW w:w="1410" w:type="dxa"/>
            <w:tcBorders>
              <w:left w:val="single" w:color="auto" w:sz="4" w:space="0"/>
            </w:tcBorders>
            <w:vAlign w:val="center"/>
          </w:tcPr>
          <w:p w14:paraId="60B5CE3D">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2CE3FE22">
            <w:pPr>
              <w:adjustRightInd w:val="0"/>
              <w:snapToGrid w:val="0"/>
              <w:spacing w:line="240" w:lineRule="auto"/>
              <w:jc w:val="center"/>
              <w:rPr>
                <w:sz w:val="21"/>
                <w:szCs w:val="21"/>
              </w:rPr>
            </w:pPr>
            <w:r>
              <w:rPr>
                <w:rFonts w:hint="eastAsia"/>
                <w:sz w:val="21"/>
                <w:szCs w:val="21"/>
              </w:rPr>
              <w:t>已建工程</w:t>
            </w:r>
          </w:p>
          <w:p w14:paraId="07D2B4BB">
            <w:pPr>
              <w:adjustRightInd w:val="0"/>
              <w:snapToGrid w:val="0"/>
              <w:spacing w:line="240" w:lineRule="auto"/>
              <w:jc w:val="center"/>
              <w:rPr>
                <w:sz w:val="21"/>
                <w:szCs w:val="21"/>
              </w:rPr>
            </w:pPr>
            <w:r>
              <w:rPr>
                <w:rFonts w:hint="eastAsia"/>
                <w:sz w:val="21"/>
                <w:szCs w:val="21"/>
              </w:rPr>
              <w:t>内容</w:t>
            </w:r>
          </w:p>
        </w:tc>
      </w:tr>
      <w:tr w14:paraId="610368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3E99FDEC">
            <w:pPr>
              <w:adjustRightInd w:val="0"/>
              <w:snapToGrid w:val="0"/>
              <w:spacing w:line="240" w:lineRule="auto"/>
              <w:jc w:val="center"/>
              <w:rPr>
                <w:color w:val="FF0000"/>
                <w:sz w:val="21"/>
                <w:szCs w:val="21"/>
              </w:rPr>
            </w:pPr>
          </w:p>
        </w:tc>
        <w:tc>
          <w:tcPr>
            <w:tcW w:w="1132" w:type="dxa"/>
            <w:tcBorders>
              <w:top w:val="single" w:color="auto" w:sz="4" w:space="0"/>
            </w:tcBorders>
            <w:vAlign w:val="center"/>
          </w:tcPr>
          <w:p w14:paraId="154114F0">
            <w:pPr>
              <w:adjustRightInd w:val="0"/>
              <w:snapToGrid w:val="0"/>
              <w:spacing w:line="240" w:lineRule="auto"/>
              <w:jc w:val="center"/>
              <w:rPr>
                <w:sz w:val="21"/>
                <w:szCs w:val="21"/>
              </w:rPr>
            </w:pPr>
            <w:r>
              <w:rPr>
                <w:rFonts w:hint="eastAsia"/>
                <w:sz w:val="21"/>
                <w:szCs w:val="21"/>
              </w:rPr>
              <w:t>生产噪声</w:t>
            </w:r>
          </w:p>
        </w:tc>
        <w:tc>
          <w:tcPr>
            <w:tcW w:w="3964" w:type="dxa"/>
            <w:gridSpan w:val="2"/>
            <w:tcBorders>
              <w:top w:val="single" w:color="auto" w:sz="4" w:space="0"/>
              <w:right w:val="single" w:color="auto" w:sz="4" w:space="0"/>
            </w:tcBorders>
            <w:vAlign w:val="center"/>
          </w:tcPr>
          <w:p w14:paraId="2DCFEFD5">
            <w:pPr>
              <w:adjustRightInd w:val="0"/>
              <w:snapToGrid w:val="0"/>
              <w:spacing w:line="240" w:lineRule="auto"/>
              <w:jc w:val="center"/>
              <w:rPr>
                <w:sz w:val="21"/>
                <w:szCs w:val="21"/>
              </w:rPr>
            </w:pPr>
            <w:r>
              <w:rPr>
                <w:rFonts w:hint="eastAsia"/>
                <w:sz w:val="21"/>
                <w:szCs w:val="21"/>
              </w:rPr>
              <w:t>设备合理布局、基础减震、厂房隔声等措施</w:t>
            </w:r>
          </w:p>
        </w:tc>
        <w:tc>
          <w:tcPr>
            <w:tcW w:w="1410" w:type="dxa"/>
            <w:tcBorders>
              <w:left w:val="single" w:color="auto" w:sz="4" w:space="0"/>
            </w:tcBorders>
            <w:vAlign w:val="center"/>
          </w:tcPr>
          <w:p w14:paraId="22124627">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622A149A">
            <w:pPr>
              <w:adjustRightInd w:val="0"/>
              <w:snapToGrid w:val="0"/>
              <w:spacing w:line="240" w:lineRule="auto"/>
              <w:jc w:val="center"/>
              <w:rPr>
                <w:sz w:val="21"/>
                <w:szCs w:val="21"/>
              </w:rPr>
            </w:pPr>
            <w:r>
              <w:rPr>
                <w:rFonts w:hint="eastAsia"/>
                <w:sz w:val="21"/>
                <w:szCs w:val="21"/>
              </w:rPr>
              <w:t>已建工程</w:t>
            </w:r>
          </w:p>
          <w:p w14:paraId="50E7E3EC">
            <w:pPr>
              <w:adjustRightInd w:val="0"/>
              <w:snapToGrid w:val="0"/>
              <w:spacing w:line="240" w:lineRule="auto"/>
              <w:jc w:val="center"/>
              <w:rPr>
                <w:sz w:val="21"/>
                <w:szCs w:val="21"/>
              </w:rPr>
            </w:pPr>
            <w:r>
              <w:rPr>
                <w:rFonts w:hint="eastAsia"/>
                <w:sz w:val="21"/>
                <w:szCs w:val="21"/>
              </w:rPr>
              <w:t>内容</w:t>
            </w:r>
          </w:p>
        </w:tc>
      </w:tr>
      <w:tr w14:paraId="4826E5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4EB5CFE5">
            <w:pPr>
              <w:adjustRightInd w:val="0"/>
              <w:snapToGrid w:val="0"/>
              <w:spacing w:line="240" w:lineRule="auto"/>
              <w:jc w:val="center"/>
              <w:rPr>
                <w:color w:val="FF0000"/>
                <w:sz w:val="21"/>
                <w:szCs w:val="21"/>
              </w:rPr>
            </w:pPr>
          </w:p>
        </w:tc>
        <w:tc>
          <w:tcPr>
            <w:tcW w:w="1132" w:type="dxa"/>
            <w:tcBorders>
              <w:top w:val="single" w:color="auto" w:sz="4" w:space="0"/>
            </w:tcBorders>
            <w:vAlign w:val="center"/>
          </w:tcPr>
          <w:p w14:paraId="37E46755">
            <w:pPr>
              <w:adjustRightInd w:val="0"/>
              <w:snapToGrid w:val="0"/>
              <w:spacing w:line="240" w:lineRule="auto"/>
              <w:jc w:val="center"/>
              <w:rPr>
                <w:sz w:val="21"/>
                <w:szCs w:val="21"/>
              </w:rPr>
            </w:pPr>
            <w:r>
              <w:rPr>
                <w:rFonts w:hint="eastAsia"/>
                <w:sz w:val="21"/>
                <w:szCs w:val="21"/>
              </w:rPr>
              <w:t>一般工业</w:t>
            </w:r>
          </w:p>
          <w:p w14:paraId="468B79E8">
            <w:pPr>
              <w:adjustRightInd w:val="0"/>
              <w:snapToGrid w:val="0"/>
              <w:spacing w:line="240" w:lineRule="auto"/>
              <w:jc w:val="center"/>
              <w:rPr>
                <w:sz w:val="21"/>
                <w:szCs w:val="21"/>
              </w:rPr>
            </w:pPr>
            <w:r>
              <w:rPr>
                <w:rFonts w:hint="eastAsia"/>
                <w:sz w:val="21"/>
                <w:szCs w:val="21"/>
              </w:rPr>
              <w:t>固废</w:t>
            </w:r>
          </w:p>
        </w:tc>
        <w:tc>
          <w:tcPr>
            <w:tcW w:w="3964" w:type="dxa"/>
            <w:gridSpan w:val="2"/>
            <w:tcBorders>
              <w:top w:val="single" w:color="auto" w:sz="4" w:space="0"/>
              <w:right w:val="single" w:color="auto" w:sz="4" w:space="0"/>
            </w:tcBorders>
            <w:vAlign w:val="center"/>
          </w:tcPr>
          <w:p w14:paraId="1EC9BC2C">
            <w:pPr>
              <w:adjustRightInd w:val="0"/>
              <w:snapToGrid w:val="0"/>
              <w:spacing w:line="240" w:lineRule="auto"/>
              <w:jc w:val="center"/>
              <w:rPr>
                <w:sz w:val="21"/>
                <w:szCs w:val="21"/>
              </w:rPr>
            </w:pPr>
            <w:r>
              <w:rPr>
                <w:rFonts w:hint="eastAsia"/>
                <w:sz w:val="21"/>
                <w:szCs w:val="21"/>
              </w:rPr>
              <w:t>304</w:t>
            </w:r>
            <w:r>
              <w:rPr>
                <w:sz w:val="21"/>
                <w:szCs w:val="21"/>
              </w:rPr>
              <w:t>m</w:t>
            </w:r>
            <w:r>
              <w:rPr>
                <w:sz w:val="21"/>
                <w:szCs w:val="21"/>
                <w:vertAlign w:val="superscript"/>
              </w:rPr>
              <w:t>2</w:t>
            </w:r>
            <w:r>
              <w:rPr>
                <w:sz w:val="21"/>
                <w:szCs w:val="21"/>
              </w:rPr>
              <w:t>一般固废暂存间（位于车间4一楼</w:t>
            </w:r>
            <w:r>
              <w:rPr>
                <w:rFonts w:hint="eastAsia"/>
                <w:sz w:val="21"/>
                <w:szCs w:val="21"/>
              </w:rPr>
              <w:t>西</w:t>
            </w:r>
            <w:r>
              <w:rPr>
                <w:sz w:val="21"/>
                <w:szCs w:val="21"/>
              </w:rPr>
              <w:t>侧</w:t>
            </w:r>
            <w:r>
              <w:rPr>
                <w:rFonts w:hint="eastAsia"/>
                <w:sz w:val="21"/>
                <w:szCs w:val="21"/>
              </w:rPr>
              <w:t>，危废间右侧</w:t>
            </w:r>
            <w:r>
              <w:rPr>
                <w:sz w:val="21"/>
                <w:szCs w:val="21"/>
              </w:rPr>
              <w:t>），一般工业固废经收集后交由环卫部门处理或者外售</w:t>
            </w:r>
          </w:p>
        </w:tc>
        <w:tc>
          <w:tcPr>
            <w:tcW w:w="1410" w:type="dxa"/>
            <w:tcBorders>
              <w:left w:val="single" w:color="auto" w:sz="4" w:space="0"/>
            </w:tcBorders>
            <w:vAlign w:val="center"/>
          </w:tcPr>
          <w:p w14:paraId="627CFBA8">
            <w:pPr>
              <w:adjustRightInd w:val="0"/>
              <w:snapToGrid w:val="0"/>
              <w:spacing w:line="240" w:lineRule="auto"/>
              <w:jc w:val="center"/>
              <w:rPr>
                <w:color w:val="FF0000"/>
                <w:sz w:val="21"/>
                <w:szCs w:val="21"/>
              </w:rPr>
            </w:pPr>
            <w:r>
              <w:rPr>
                <w:sz w:val="21"/>
                <w:szCs w:val="21"/>
              </w:rPr>
              <w:t>不变</w:t>
            </w:r>
          </w:p>
        </w:tc>
        <w:tc>
          <w:tcPr>
            <w:tcW w:w="1307" w:type="dxa"/>
            <w:tcBorders>
              <w:left w:val="single" w:color="auto" w:sz="4" w:space="0"/>
            </w:tcBorders>
            <w:vAlign w:val="center"/>
          </w:tcPr>
          <w:p w14:paraId="37CBAC52">
            <w:pPr>
              <w:adjustRightInd w:val="0"/>
              <w:snapToGrid w:val="0"/>
              <w:spacing w:line="240" w:lineRule="auto"/>
              <w:jc w:val="center"/>
              <w:rPr>
                <w:sz w:val="21"/>
                <w:szCs w:val="21"/>
              </w:rPr>
            </w:pPr>
            <w:r>
              <w:rPr>
                <w:rFonts w:hint="eastAsia"/>
                <w:sz w:val="21"/>
                <w:szCs w:val="21"/>
              </w:rPr>
              <w:t>已建工程</w:t>
            </w:r>
          </w:p>
          <w:p w14:paraId="1ACE178C">
            <w:pPr>
              <w:adjustRightInd w:val="0"/>
              <w:snapToGrid w:val="0"/>
              <w:spacing w:line="240" w:lineRule="auto"/>
              <w:jc w:val="center"/>
              <w:rPr>
                <w:sz w:val="21"/>
                <w:szCs w:val="21"/>
              </w:rPr>
            </w:pPr>
            <w:r>
              <w:rPr>
                <w:rFonts w:hint="eastAsia"/>
                <w:sz w:val="21"/>
                <w:szCs w:val="21"/>
              </w:rPr>
              <w:t>内容</w:t>
            </w:r>
          </w:p>
        </w:tc>
      </w:tr>
      <w:tr w14:paraId="1BD900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70EC4084">
            <w:pPr>
              <w:adjustRightInd w:val="0"/>
              <w:snapToGrid w:val="0"/>
              <w:spacing w:line="240" w:lineRule="auto"/>
              <w:jc w:val="center"/>
              <w:rPr>
                <w:color w:val="FF0000"/>
                <w:sz w:val="21"/>
                <w:szCs w:val="21"/>
              </w:rPr>
            </w:pPr>
          </w:p>
        </w:tc>
        <w:tc>
          <w:tcPr>
            <w:tcW w:w="1132" w:type="dxa"/>
            <w:vAlign w:val="center"/>
          </w:tcPr>
          <w:p w14:paraId="3E578815">
            <w:pPr>
              <w:adjustRightInd w:val="0"/>
              <w:snapToGrid w:val="0"/>
              <w:spacing w:line="240" w:lineRule="auto"/>
              <w:jc w:val="center"/>
              <w:rPr>
                <w:sz w:val="21"/>
                <w:szCs w:val="21"/>
              </w:rPr>
            </w:pPr>
            <w:r>
              <w:rPr>
                <w:rFonts w:hint="eastAsia"/>
                <w:sz w:val="21"/>
                <w:szCs w:val="21"/>
              </w:rPr>
              <w:t>危险废物</w:t>
            </w:r>
          </w:p>
        </w:tc>
        <w:tc>
          <w:tcPr>
            <w:tcW w:w="3964" w:type="dxa"/>
            <w:gridSpan w:val="2"/>
            <w:tcBorders>
              <w:right w:val="single" w:color="auto" w:sz="4" w:space="0"/>
            </w:tcBorders>
            <w:vAlign w:val="center"/>
          </w:tcPr>
          <w:p w14:paraId="4E769970">
            <w:pPr>
              <w:adjustRightInd w:val="0"/>
              <w:snapToGrid w:val="0"/>
              <w:spacing w:line="240" w:lineRule="auto"/>
              <w:jc w:val="center"/>
              <w:rPr>
                <w:sz w:val="21"/>
                <w:szCs w:val="21"/>
              </w:rPr>
            </w:pPr>
            <w:r>
              <w:rPr>
                <w:rFonts w:hint="eastAsia"/>
                <w:sz w:val="21"/>
                <w:szCs w:val="21"/>
              </w:rPr>
              <w:t>272</w:t>
            </w:r>
            <w:r>
              <w:rPr>
                <w:sz w:val="21"/>
                <w:szCs w:val="21"/>
              </w:rPr>
              <w:t>m</w:t>
            </w:r>
            <w:r>
              <w:rPr>
                <w:sz w:val="21"/>
                <w:szCs w:val="21"/>
                <w:vertAlign w:val="superscript"/>
              </w:rPr>
              <w:t>2</w:t>
            </w:r>
            <w:r>
              <w:rPr>
                <w:sz w:val="21"/>
                <w:szCs w:val="21"/>
              </w:rPr>
              <w:t>危废暂存间（位于车间4一楼西侧），危险废物暂存于危险废物暂存间后定期交由有资质单位处理</w:t>
            </w:r>
          </w:p>
        </w:tc>
        <w:tc>
          <w:tcPr>
            <w:tcW w:w="1410" w:type="dxa"/>
            <w:tcBorders>
              <w:left w:val="single" w:color="auto" w:sz="4" w:space="0"/>
            </w:tcBorders>
            <w:vAlign w:val="center"/>
          </w:tcPr>
          <w:p w14:paraId="0F460255">
            <w:pPr>
              <w:adjustRightInd w:val="0"/>
              <w:snapToGrid w:val="0"/>
              <w:spacing w:line="240" w:lineRule="auto"/>
              <w:jc w:val="center"/>
              <w:rPr>
                <w:color w:val="FF0000"/>
                <w:sz w:val="21"/>
                <w:szCs w:val="21"/>
              </w:rPr>
            </w:pPr>
            <w:r>
              <w:rPr>
                <w:sz w:val="21"/>
                <w:szCs w:val="21"/>
              </w:rPr>
              <w:t>不变</w:t>
            </w:r>
          </w:p>
        </w:tc>
        <w:tc>
          <w:tcPr>
            <w:tcW w:w="1307" w:type="dxa"/>
            <w:tcBorders>
              <w:left w:val="single" w:color="auto" w:sz="4" w:space="0"/>
            </w:tcBorders>
            <w:vAlign w:val="center"/>
          </w:tcPr>
          <w:p w14:paraId="1092C5EB">
            <w:pPr>
              <w:adjustRightInd w:val="0"/>
              <w:snapToGrid w:val="0"/>
              <w:spacing w:line="240" w:lineRule="auto"/>
              <w:jc w:val="center"/>
              <w:rPr>
                <w:sz w:val="21"/>
                <w:szCs w:val="21"/>
              </w:rPr>
            </w:pPr>
            <w:r>
              <w:rPr>
                <w:rFonts w:hint="eastAsia"/>
                <w:sz w:val="21"/>
                <w:szCs w:val="21"/>
              </w:rPr>
              <w:t>已建工程</w:t>
            </w:r>
          </w:p>
          <w:p w14:paraId="674044C1">
            <w:pPr>
              <w:adjustRightInd w:val="0"/>
              <w:snapToGrid w:val="0"/>
              <w:spacing w:line="240" w:lineRule="auto"/>
              <w:jc w:val="center"/>
              <w:rPr>
                <w:sz w:val="21"/>
                <w:szCs w:val="21"/>
              </w:rPr>
            </w:pPr>
            <w:r>
              <w:rPr>
                <w:rFonts w:hint="eastAsia"/>
                <w:sz w:val="21"/>
                <w:szCs w:val="21"/>
              </w:rPr>
              <w:t>内容</w:t>
            </w:r>
          </w:p>
        </w:tc>
      </w:tr>
      <w:tr w14:paraId="7C480D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restart"/>
            <w:tcBorders>
              <w:top w:val="single" w:color="auto" w:sz="4" w:space="0"/>
            </w:tcBorders>
            <w:vAlign w:val="center"/>
          </w:tcPr>
          <w:p w14:paraId="1BDFA17E">
            <w:pPr>
              <w:adjustRightInd w:val="0"/>
              <w:snapToGrid w:val="0"/>
              <w:spacing w:line="240" w:lineRule="auto"/>
              <w:jc w:val="center"/>
              <w:rPr>
                <w:sz w:val="21"/>
                <w:szCs w:val="21"/>
              </w:rPr>
            </w:pPr>
            <w:r>
              <w:rPr>
                <w:rFonts w:hint="eastAsia"/>
                <w:sz w:val="21"/>
                <w:szCs w:val="21"/>
              </w:rPr>
              <w:t>生活区</w:t>
            </w:r>
          </w:p>
        </w:tc>
        <w:tc>
          <w:tcPr>
            <w:tcW w:w="1132" w:type="dxa"/>
            <w:tcBorders>
              <w:top w:val="single" w:color="auto" w:sz="4" w:space="0"/>
            </w:tcBorders>
            <w:vAlign w:val="center"/>
          </w:tcPr>
          <w:p w14:paraId="44874D30">
            <w:pPr>
              <w:adjustRightInd w:val="0"/>
              <w:snapToGrid w:val="0"/>
              <w:spacing w:line="240" w:lineRule="auto"/>
              <w:jc w:val="center"/>
              <w:rPr>
                <w:sz w:val="21"/>
                <w:szCs w:val="21"/>
              </w:rPr>
            </w:pPr>
            <w:r>
              <w:rPr>
                <w:rFonts w:hint="eastAsia"/>
                <w:sz w:val="21"/>
                <w:szCs w:val="21"/>
              </w:rPr>
              <w:t>办公楼</w:t>
            </w:r>
          </w:p>
        </w:tc>
        <w:tc>
          <w:tcPr>
            <w:tcW w:w="3964" w:type="dxa"/>
            <w:gridSpan w:val="2"/>
            <w:tcBorders>
              <w:right w:val="single" w:color="auto" w:sz="4" w:space="0"/>
            </w:tcBorders>
            <w:vAlign w:val="center"/>
          </w:tcPr>
          <w:p w14:paraId="2DAD2C67">
            <w:pPr>
              <w:adjustRightInd w:val="0"/>
              <w:snapToGrid w:val="0"/>
              <w:spacing w:line="240" w:lineRule="auto"/>
              <w:jc w:val="center"/>
              <w:rPr>
                <w:sz w:val="21"/>
                <w:szCs w:val="21"/>
              </w:rPr>
            </w:pPr>
            <w:r>
              <w:rPr>
                <w:sz w:val="21"/>
                <w:szCs w:val="21"/>
              </w:rPr>
              <w:t>依托</w:t>
            </w:r>
            <w:r>
              <w:rPr>
                <w:rFonts w:hint="eastAsia"/>
                <w:sz w:val="21"/>
                <w:szCs w:val="21"/>
              </w:rPr>
              <w:t>现有生活</w:t>
            </w:r>
            <w:r>
              <w:rPr>
                <w:sz w:val="21"/>
                <w:szCs w:val="21"/>
              </w:rPr>
              <w:t>区办公楼</w:t>
            </w:r>
            <w:r>
              <w:rPr>
                <w:rFonts w:hint="eastAsia"/>
                <w:sz w:val="21"/>
                <w:szCs w:val="21"/>
              </w:rPr>
              <w:t>进行办公</w:t>
            </w:r>
          </w:p>
        </w:tc>
        <w:tc>
          <w:tcPr>
            <w:tcW w:w="1410" w:type="dxa"/>
            <w:tcBorders>
              <w:left w:val="single" w:color="auto" w:sz="4" w:space="0"/>
            </w:tcBorders>
            <w:vAlign w:val="center"/>
          </w:tcPr>
          <w:p w14:paraId="1AB99635">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376245AD">
            <w:pPr>
              <w:adjustRightInd w:val="0"/>
              <w:snapToGrid w:val="0"/>
              <w:spacing w:line="240" w:lineRule="auto"/>
              <w:jc w:val="center"/>
              <w:rPr>
                <w:sz w:val="21"/>
                <w:szCs w:val="21"/>
              </w:rPr>
            </w:pPr>
            <w:r>
              <w:rPr>
                <w:rFonts w:hint="eastAsia"/>
                <w:sz w:val="21"/>
                <w:szCs w:val="21"/>
              </w:rPr>
              <w:t>已建工程</w:t>
            </w:r>
          </w:p>
          <w:p w14:paraId="3E736CCC">
            <w:pPr>
              <w:adjustRightInd w:val="0"/>
              <w:snapToGrid w:val="0"/>
              <w:spacing w:line="240" w:lineRule="auto"/>
              <w:jc w:val="center"/>
              <w:rPr>
                <w:sz w:val="21"/>
                <w:szCs w:val="21"/>
              </w:rPr>
            </w:pPr>
            <w:r>
              <w:rPr>
                <w:rFonts w:hint="eastAsia"/>
                <w:sz w:val="21"/>
                <w:szCs w:val="21"/>
              </w:rPr>
              <w:t>内容</w:t>
            </w:r>
          </w:p>
        </w:tc>
      </w:tr>
      <w:tr w14:paraId="35C75B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9" w:type="dxa"/>
            <w:vMerge w:val="continue"/>
            <w:vAlign w:val="center"/>
          </w:tcPr>
          <w:p w14:paraId="321D861B">
            <w:pPr>
              <w:adjustRightInd w:val="0"/>
              <w:snapToGrid w:val="0"/>
              <w:spacing w:line="240" w:lineRule="auto"/>
              <w:jc w:val="center"/>
              <w:rPr>
                <w:sz w:val="21"/>
                <w:szCs w:val="21"/>
              </w:rPr>
            </w:pPr>
          </w:p>
        </w:tc>
        <w:tc>
          <w:tcPr>
            <w:tcW w:w="1132" w:type="dxa"/>
            <w:vAlign w:val="center"/>
          </w:tcPr>
          <w:p w14:paraId="794E4FA2">
            <w:pPr>
              <w:adjustRightInd w:val="0"/>
              <w:snapToGrid w:val="0"/>
              <w:spacing w:line="240" w:lineRule="auto"/>
              <w:jc w:val="center"/>
              <w:rPr>
                <w:sz w:val="21"/>
                <w:szCs w:val="21"/>
              </w:rPr>
            </w:pPr>
            <w:r>
              <w:rPr>
                <w:rFonts w:hint="eastAsia"/>
                <w:sz w:val="21"/>
                <w:szCs w:val="21"/>
              </w:rPr>
              <w:t>倒班楼</w:t>
            </w:r>
          </w:p>
        </w:tc>
        <w:tc>
          <w:tcPr>
            <w:tcW w:w="3964" w:type="dxa"/>
            <w:gridSpan w:val="2"/>
            <w:tcBorders>
              <w:right w:val="single" w:color="auto" w:sz="4" w:space="0"/>
            </w:tcBorders>
            <w:vAlign w:val="center"/>
          </w:tcPr>
          <w:p w14:paraId="708AD3FC">
            <w:pPr>
              <w:adjustRightInd w:val="0"/>
              <w:snapToGrid w:val="0"/>
              <w:spacing w:line="240" w:lineRule="auto"/>
              <w:jc w:val="center"/>
              <w:rPr>
                <w:sz w:val="21"/>
                <w:szCs w:val="21"/>
              </w:rPr>
            </w:pPr>
            <w:r>
              <w:rPr>
                <w:sz w:val="21"/>
                <w:szCs w:val="21"/>
              </w:rPr>
              <w:t>依托</w:t>
            </w:r>
            <w:r>
              <w:rPr>
                <w:rFonts w:hint="eastAsia"/>
                <w:sz w:val="21"/>
                <w:szCs w:val="21"/>
              </w:rPr>
              <w:t>现有生活</w:t>
            </w:r>
            <w:r>
              <w:rPr>
                <w:sz w:val="21"/>
                <w:szCs w:val="21"/>
              </w:rPr>
              <w:t>区</w:t>
            </w:r>
            <w:r>
              <w:rPr>
                <w:rFonts w:hint="eastAsia"/>
                <w:sz w:val="21"/>
                <w:szCs w:val="21"/>
              </w:rPr>
              <w:t>倒班</w:t>
            </w:r>
            <w:r>
              <w:rPr>
                <w:sz w:val="21"/>
                <w:szCs w:val="21"/>
              </w:rPr>
              <w:t>楼</w:t>
            </w:r>
            <w:r>
              <w:rPr>
                <w:rFonts w:hint="eastAsia"/>
                <w:sz w:val="21"/>
                <w:szCs w:val="21"/>
              </w:rPr>
              <w:t>进行食宿</w:t>
            </w:r>
          </w:p>
        </w:tc>
        <w:tc>
          <w:tcPr>
            <w:tcW w:w="1410" w:type="dxa"/>
            <w:tcBorders>
              <w:left w:val="single" w:color="auto" w:sz="4" w:space="0"/>
            </w:tcBorders>
            <w:vAlign w:val="center"/>
          </w:tcPr>
          <w:p w14:paraId="43A42475">
            <w:pPr>
              <w:adjustRightInd w:val="0"/>
              <w:snapToGrid w:val="0"/>
              <w:spacing w:line="240" w:lineRule="auto"/>
              <w:jc w:val="center"/>
              <w:rPr>
                <w:sz w:val="21"/>
                <w:szCs w:val="21"/>
              </w:rPr>
            </w:pPr>
            <w:r>
              <w:rPr>
                <w:sz w:val="21"/>
                <w:szCs w:val="21"/>
              </w:rPr>
              <w:t>不变</w:t>
            </w:r>
          </w:p>
        </w:tc>
        <w:tc>
          <w:tcPr>
            <w:tcW w:w="1307" w:type="dxa"/>
            <w:tcBorders>
              <w:left w:val="single" w:color="auto" w:sz="4" w:space="0"/>
            </w:tcBorders>
            <w:vAlign w:val="center"/>
          </w:tcPr>
          <w:p w14:paraId="57076DD6">
            <w:pPr>
              <w:adjustRightInd w:val="0"/>
              <w:snapToGrid w:val="0"/>
              <w:spacing w:line="240" w:lineRule="auto"/>
              <w:jc w:val="center"/>
              <w:rPr>
                <w:sz w:val="21"/>
                <w:szCs w:val="21"/>
              </w:rPr>
            </w:pPr>
            <w:r>
              <w:rPr>
                <w:rFonts w:hint="eastAsia"/>
                <w:sz w:val="21"/>
                <w:szCs w:val="21"/>
              </w:rPr>
              <w:t>已建工程</w:t>
            </w:r>
          </w:p>
          <w:p w14:paraId="34B48345">
            <w:pPr>
              <w:adjustRightInd w:val="0"/>
              <w:snapToGrid w:val="0"/>
              <w:spacing w:line="240" w:lineRule="auto"/>
              <w:jc w:val="center"/>
              <w:rPr>
                <w:sz w:val="21"/>
                <w:szCs w:val="21"/>
              </w:rPr>
            </w:pPr>
            <w:r>
              <w:rPr>
                <w:rFonts w:hint="eastAsia"/>
                <w:sz w:val="21"/>
                <w:szCs w:val="21"/>
              </w:rPr>
              <w:t>内容</w:t>
            </w:r>
          </w:p>
        </w:tc>
      </w:tr>
    </w:tbl>
    <w:p w14:paraId="392A975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4.1.1.2</w:t>
      </w:r>
      <w:r>
        <w:rPr>
          <w:rFonts w:hint="eastAsia"/>
        </w:rPr>
        <w:t>产品方案变更情况</w:t>
      </w:r>
    </w:p>
    <w:p w14:paraId="4ABAA52E">
      <w:pPr>
        <w:ind w:firstLine="480" w:firstLineChars="200"/>
        <w:rPr>
          <w:rFonts w:hint="eastAsia" w:eastAsia="宋体"/>
          <w:bCs/>
          <w:lang w:val="en-US" w:eastAsia="zh-CN"/>
        </w:rPr>
      </w:pPr>
      <w:r>
        <w:rPr>
          <w:rFonts w:hint="eastAsia"/>
          <w:bCs/>
        </w:rPr>
        <w:t>在建项目新增部分生产设备，同时对部分生产设备更新换代，并优化了工艺流程，本次变更拟将</w:t>
      </w:r>
      <w:r>
        <w:rPr>
          <w:rFonts w:hint="eastAsia"/>
          <w:bCs/>
          <w:lang w:val="en-US" w:eastAsia="zh-CN"/>
        </w:rPr>
        <w:t>总</w:t>
      </w:r>
      <w:r>
        <w:rPr>
          <w:rFonts w:hint="eastAsia"/>
          <w:bCs/>
        </w:rPr>
        <w:t>产能由原15000t/a提升至</w:t>
      </w:r>
      <w:r>
        <w:rPr>
          <w:rFonts w:hint="eastAsia"/>
          <w:bCs/>
          <w:lang w:val="en-US" w:eastAsia="zh-CN"/>
        </w:rPr>
        <w:t>26800</w:t>
      </w:r>
      <w:r>
        <w:rPr>
          <w:rFonts w:hint="eastAsia"/>
          <w:bCs/>
        </w:rPr>
        <w:t>t/a。产品方案变更情况如下表：</w:t>
      </w:r>
    </w:p>
    <w:p w14:paraId="3651BD15">
      <w:pPr>
        <w:pStyle w:val="51"/>
        <w:widowControl w:val="0"/>
        <w:numPr>
          <w:ilvl w:val="5"/>
          <w:numId w:val="0"/>
        </w:numPr>
        <w:spacing w:before="156"/>
        <w:ind w:left="-2104" w:leftChars="0" w:hanging="1415"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表4.1-2 </w:t>
      </w:r>
      <w:r>
        <w:rPr>
          <w:rFonts w:hint="eastAsia"/>
        </w:rPr>
        <w:t xml:space="preserve"> </w:t>
      </w:r>
      <w:r>
        <w:rPr>
          <w:rFonts w:hint="eastAsia"/>
          <w:lang w:val="en-US" w:eastAsia="zh-CN"/>
        </w:rPr>
        <w:t xml:space="preserve">  </w:t>
      </w:r>
      <w:r>
        <w:rPr>
          <w:rFonts w:hint="eastAsia"/>
        </w:rPr>
        <w:t>产品方案变更前后变化一览表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34"/>
        <w:gridCol w:w="2275"/>
        <w:gridCol w:w="1559"/>
        <w:gridCol w:w="1417"/>
        <w:gridCol w:w="1418"/>
        <w:gridCol w:w="1233"/>
      </w:tblGrid>
      <w:tr w14:paraId="090EF3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6" w:hRule="atLeast"/>
          <w:jc w:val="center"/>
        </w:trPr>
        <w:tc>
          <w:tcPr>
            <w:tcW w:w="434" w:type="dxa"/>
            <w:vMerge w:val="restart"/>
            <w:vAlign w:val="center"/>
          </w:tcPr>
          <w:p w14:paraId="012015B6">
            <w:pPr>
              <w:adjustRightInd w:val="0"/>
              <w:snapToGrid w:val="0"/>
              <w:spacing w:line="240" w:lineRule="auto"/>
              <w:jc w:val="center"/>
              <w:rPr>
                <w:sz w:val="21"/>
                <w:szCs w:val="21"/>
              </w:rPr>
            </w:pPr>
            <w:r>
              <w:rPr>
                <w:sz w:val="21"/>
                <w:szCs w:val="21"/>
              </w:rPr>
              <w:t>序号</w:t>
            </w:r>
          </w:p>
        </w:tc>
        <w:tc>
          <w:tcPr>
            <w:tcW w:w="2275" w:type="dxa"/>
            <w:vMerge w:val="restart"/>
            <w:vAlign w:val="center"/>
          </w:tcPr>
          <w:p w14:paraId="4529BA73">
            <w:pPr>
              <w:adjustRightInd w:val="0"/>
              <w:snapToGrid w:val="0"/>
              <w:spacing w:line="240" w:lineRule="auto"/>
              <w:jc w:val="center"/>
              <w:rPr>
                <w:sz w:val="21"/>
                <w:szCs w:val="21"/>
              </w:rPr>
            </w:pPr>
            <w:r>
              <w:rPr>
                <w:sz w:val="21"/>
                <w:szCs w:val="21"/>
              </w:rPr>
              <w:t>产品名称</w:t>
            </w:r>
          </w:p>
        </w:tc>
        <w:tc>
          <w:tcPr>
            <w:tcW w:w="1559" w:type="dxa"/>
            <w:vMerge w:val="restart"/>
            <w:vAlign w:val="center"/>
          </w:tcPr>
          <w:p w14:paraId="64417053">
            <w:pPr>
              <w:adjustRightInd w:val="0"/>
              <w:snapToGrid w:val="0"/>
              <w:spacing w:line="240" w:lineRule="auto"/>
              <w:jc w:val="center"/>
              <w:rPr>
                <w:sz w:val="21"/>
                <w:szCs w:val="21"/>
              </w:rPr>
            </w:pPr>
            <w:r>
              <w:rPr>
                <w:rFonts w:hint="eastAsia"/>
                <w:sz w:val="21"/>
                <w:szCs w:val="21"/>
              </w:rPr>
              <w:t>已建</w:t>
            </w:r>
            <w:r>
              <w:rPr>
                <w:sz w:val="21"/>
                <w:szCs w:val="21"/>
              </w:rPr>
              <w:t>项目全厂产能t/a</w:t>
            </w:r>
          </w:p>
        </w:tc>
        <w:tc>
          <w:tcPr>
            <w:tcW w:w="2835" w:type="dxa"/>
            <w:gridSpan w:val="2"/>
            <w:vAlign w:val="center"/>
          </w:tcPr>
          <w:p w14:paraId="314EAD74">
            <w:pPr>
              <w:adjustRightInd w:val="0"/>
              <w:snapToGrid w:val="0"/>
              <w:spacing w:line="240" w:lineRule="auto"/>
              <w:jc w:val="center"/>
              <w:rPr>
                <w:sz w:val="21"/>
                <w:szCs w:val="21"/>
              </w:rPr>
            </w:pPr>
            <w:r>
              <w:rPr>
                <w:sz w:val="21"/>
                <w:szCs w:val="21"/>
              </w:rPr>
              <w:t>在建项目</w:t>
            </w:r>
          </w:p>
        </w:tc>
        <w:tc>
          <w:tcPr>
            <w:tcW w:w="1233" w:type="dxa"/>
            <w:vMerge w:val="restart"/>
            <w:vAlign w:val="center"/>
          </w:tcPr>
          <w:p w14:paraId="0A1405FD">
            <w:pPr>
              <w:adjustRightInd w:val="0"/>
              <w:snapToGrid w:val="0"/>
              <w:spacing w:line="240" w:lineRule="auto"/>
              <w:jc w:val="center"/>
              <w:rPr>
                <w:sz w:val="21"/>
                <w:szCs w:val="21"/>
              </w:rPr>
            </w:pPr>
            <w:r>
              <w:rPr>
                <w:rFonts w:hint="eastAsia"/>
                <w:sz w:val="21"/>
                <w:szCs w:val="21"/>
                <w:lang w:val="en-US" w:eastAsia="zh-CN"/>
              </w:rPr>
              <w:t>变动</w:t>
            </w:r>
            <w:r>
              <w:rPr>
                <w:sz w:val="21"/>
                <w:szCs w:val="21"/>
              </w:rPr>
              <w:t>后全厂产能t/a</w:t>
            </w:r>
          </w:p>
        </w:tc>
      </w:tr>
      <w:tr w14:paraId="66858A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434" w:type="dxa"/>
            <w:vMerge w:val="continue"/>
            <w:vAlign w:val="center"/>
          </w:tcPr>
          <w:p w14:paraId="39D72416">
            <w:pPr>
              <w:adjustRightInd w:val="0"/>
              <w:snapToGrid w:val="0"/>
              <w:spacing w:line="240" w:lineRule="auto"/>
              <w:jc w:val="center"/>
              <w:rPr>
                <w:sz w:val="21"/>
                <w:szCs w:val="21"/>
              </w:rPr>
            </w:pPr>
          </w:p>
        </w:tc>
        <w:tc>
          <w:tcPr>
            <w:tcW w:w="2275" w:type="dxa"/>
            <w:vMerge w:val="continue"/>
            <w:vAlign w:val="center"/>
          </w:tcPr>
          <w:p w14:paraId="2C203229">
            <w:pPr>
              <w:adjustRightInd w:val="0"/>
              <w:snapToGrid w:val="0"/>
              <w:spacing w:line="240" w:lineRule="auto"/>
              <w:jc w:val="center"/>
              <w:rPr>
                <w:sz w:val="21"/>
                <w:szCs w:val="21"/>
              </w:rPr>
            </w:pPr>
          </w:p>
        </w:tc>
        <w:tc>
          <w:tcPr>
            <w:tcW w:w="1559" w:type="dxa"/>
            <w:vMerge w:val="continue"/>
            <w:vAlign w:val="center"/>
          </w:tcPr>
          <w:p w14:paraId="652B3429">
            <w:pPr>
              <w:adjustRightInd w:val="0"/>
              <w:snapToGrid w:val="0"/>
              <w:spacing w:line="240" w:lineRule="auto"/>
              <w:jc w:val="center"/>
              <w:rPr>
                <w:sz w:val="21"/>
                <w:szCs w:val="21"/>
              </w:rPr>
            </w:pPr>
          </w:p>
        </w:tc>
        <w:tc>
          <w:tcPr>
            <w:tcW w:w="1417" w:type="dxa"/>
            <w:vAlign w:val="center"/>
          </w:tcPr>
          <w:p w14:paraId="4A621BFE">
            <w:pPr>
              <w:adjustRightInd w:val="0"/>
              <w:snapToGrid w:val="0"/>
              <w:spacing w:line="240" w:lineRule="auto"/>
              <w:jc w:val="center"/>
              <w:rPr>
                <w:sz w:val="21"/>
                <w:szCs w:val="21"/>
              </w:rPr>
            </w:pPr>
            <w:r>
              <w:rPr>
                <w:sz w:val="21"/>
                <w:szCs w:val="21"/>
              </w:rPr>
              <w:t>原新增产能</w:t>
            </w:r>
          </w:p>
          <w:p w14:paraId="398857CF">
            <w:pPr>
              <w:adjustRightInd w:val="0"/>
              <w:snapToGrid w:val="0"/>
              <w:spacing w:line="240" w:lineRule="auto"/>
              <w:jc w:val="center"/>
              <w:rPr>
                <w:sz w:val="21"/>
                <w:szCs w:val="21"/>
              </w:rPr>
            </w:pPr>
            <w:r>
              <w:rPr>
                <w:sz w:val="21"/>
                <w:szCs w:val="21"/>
              </w:rPr>
              <w:t>t/a</w:t>
            </w:r>
          </w:p>
        </w:tc>
        <w:tc>
          <w:tcPr>
            <w:tcW w:w="1418" w:type="dxa"/>
            <w:vAlign w:val="center"/>
          </w:tcPr>
          <w:p w14:paraId="73C6EC15">
            <w:pPr>
              <w:adjustRightInd w:val="0"/>
              <w:snapToGrid w:val="0"/>
              <w:spacing w:line="240" w:lineRule="auto"/>
              <w:jc w:val="center"/>
              <w:rPr>
                <w:sz w:val="21"/>
                <w:szCs w:val="21"/>
              </w:rPr>
            </w:pPr>
            <w:r>
              <w:rPr>
                <w:rFonts w:hint="eastAsia"/>
                <w:sz w:val="21"/>
                <w:szCs w:val="21"/>
                <w:lang w:val="en-US" w:eastAsia="zh-CN"/>
              </w:rPr>
              <w:t>变动</w:t>
            </w:r>
            <w:r>
              <w:rPr>
                <w:sz w:val="21"/>
                <w:szCs w:val="21"/>
              </w:rPr>
              <w:t>后新增产能t/a</w:t>
            </w:r>
          </w:p>
        </w:tc>
        <w:tc>
          <w:tcPr>
            <w:tcW w:w="1233" w:type="dxa"/>
            <w:vMerge w:val="continue"/>
            <w:vAlign w:val="center"/>
          </w:tcPr>
          <w:p w14:paraId="47D36E9B">
            <w:pPr>
              <w:adjustRightInd w:val="0"/>
              <w:snapToGrid w:val="0"/>
              <w:spacing w:line="240" w:lineRule="auto"/>
              <w:jc w:val="center"/>
              <w:rPr>
                <w:sz w:val="21"/>
                <w:szCs w:val="21"/>
              </w:rPr>
            </w:pPr>
          </w:p>
        </w:tc>
      </w:tr>
      <w:tr w14:paraId="7A630C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4" w:type="dxa"/>
            <w:vAlign w:val="center"/>
          </w:tcPr>
          <w:p w14:paraId="6D5F3607">
            <w:pPr>
              <w:adjustRightInd w:val="0"/>
              <w:snapToGrid w:val="0"/>
              <w:spacing w:line="240" w:lineRule="auto"/>
              <w:jc w:val="center"/>
              <w:rPr>
                <w:sz w:val="21"/>
                <w:szCs w:val="21"/>
              </w:rPr>
            </w:pPr>
            <w:r>
              <w:rPr>
                <w:sz w:val="21"/>
                <w:szCs w:val="21"/>
              </w:rPr>
              <w:t>1</w:t>
            </w:r>
          </w:p>
        </w:tc>
        <w:tc>
          <w:tcPr>
            <w:tcW w:w="2275" w:type="dxa"/>
            <w:vAlign w:val="center"/>
          </w:tcPr>
          <w:p w14:paraId="724D4C7B">
            <w:pPr>
              <w:adjustRightInd w:val="0"/>
              <w:snapToGrid w:val="0"/>
              <w:spacing w:line="240" w:lineRule="auto"/>
              <w:jc w:val="center"/>
              <w:rPr>
                <w:sz w:val="21"/>
                <w:szCs w:val="21"/>
              </w:rPr>
            </w:pPr>
            <w:r>
              <w:rPr>
                <w:sz w:val="21"/>
                <w:szCs w:val="21"/>
              </w:rPr>
              <w:t>聚丙烯复合镀铝膜及其聚乙烯包装袋</w:t>
            </w:r>
          </w:p>
        </w:tc>
        <w:tc>
          <w:tcPr>
            <w:tcW w:w="1559" w:type="dxa"/>
            <w:vAlign w:val="center"/>
          </w:tcPr>
          <w:p w14:paraId="4E632CA1">
            <w:pPr>
              <w:adjustRightInd w:val="0"/>
              <w:snapToGrid w:val="0"/>
              <w:spacing w:line="240" w:lineRule="auto"/>
              <w:jc w:val="center"/>
              <w:rPr>
                <w:sz w:val="21"/>
                <w:szCs w:val="21"/>
              </w:rPr>
            </w:pPr>
            <w:r>
              <w:rPr>
                <w:rFonts w:hint="eastAsia"/>
                <w:sz w:val="21"/>
                <w:szCs w:val="21"/>
              </w:rPr>
              <w:t>2880</w:t>
            </w:r>
          </w:p>
        </w:tc>
        <w:tc>
          <w:tcPr>
            <w:tcW w:w="1417" w:type="dxa"/>
            <w:vAlign w:val="center"/>
          </w:tcPr>
          <w:p w14:paraId="7796241A">
            <w:pPr>
              <w:adjustRightInd w:val="0"/>
              <w:snapToGrid w:val="0"/>
              <w:spacing w:line="240" w:lineRule="auto"/>
              <w:jc w:val="center"/>
              <w:rPr>
                <w:sz w:val="21"/>
                <w:szCs w:val="21"/>
              </w:rPr>
            </w:pPr>
            <w:r>
              <w:rPr>
                <w:rFonts w:hint="eastAsia"/>
                <w:sz w:val="21"/>
                <w:szCs w:val="21"/>
              </w:rPr>
              <w:t>+1406</w:t>
            </w:r>
          </w:p>
        </w:tc>
        <w:tc>
          <w:tcPr>
            <w:tcW w:w="1418" w:type="dxa"/>
            <w:vAlign w:val="center"/>
          </w:tcPr>
          <w:p w14:paraId="08B2B3DB">
            <w:pPr>
              <w:adjustRightInd w:val="0"/>
              <w:snapToGrid w:val="0"/>
              <w:spacing w:line="240" w:lineRule="auto"/>
              <w:jc w:val="center"/>
              <w:rPr>
                <w:rFonts w:hint="default" w:eastAsia="宋体"/>
                <w:sz w:val="21"/>
                <w:szCs w:val="21"/>
                <w:lang w:val="en-US" w:eastAsia="zh-CN"/>
              </w:rPr>
            </w:pPr>
            <w:r>
              <w:rPr>
                <w:rFonts w:hint="eastAsia"/>
                <w:sz w:val="21"/>
                <w:szCs w:val="21"/>
              </w:rPr>
              <w:t>+</w:t>
            </w:r>
            <w:r>
              <w:rPr>
                <w:rFonts w:hint="eastAsia"/>
                <w:sz w:val="21"/>
                <w:szCs w:val="21"/>
                <w:lang w:val="en-US" w:eastAsia="zh-CN"/>
              </w:rPr>
              <w:t>4778</w:t>
            </w:r>
          </w:p>
        </w:tc>
        <w:tc>
          <w:tcPr>
            <w:tcW w:w="1233" w:type="dxa"/>
            <w:vAlign w:val="center"/>
          </w:tcPr>
          <w:p w14:paraId="695F1630">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7658</w:t>
            </w:r>
          </w:p>
        </w:tc>
      </w:tr>
      <w:tr w14:paraId="2A9342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4" w:type="dxa"/>
            <w:vAlign w:val="center"/>
          </w:tcPr>
          <w:p w14:paraId="76D655DB">
            <w:pPr>
              <w:adjustRightInd w:val="0"/>
              <w:snapToGrid w:val="0"/>
              <w:spacing w:line="240" w:lineRule="auto"/>
              <w:jc w:val="center"/>
              <w:rPr>
                <w:sz w:val="21"/>
                <w:szCs w:val="21"/>
              </w:rPr>
            </w:pPr>
            <w:r>
              <w:rPr>
                <w:sz w:val="21"/>
                <w:szCs w:val="21"/>
              </w:rPr>
              <w:t>2</w:t>
            </w:r>
          </w:p>
        </w:tc>
        <w:tc>
          <w:tcPr>
            <w:tcW w:w="2275" w:type="dxa"/>
            <w:vAlign w:val="center"/>
          </w:tcPr>
          <w:p w14:paraId="0A16F3E5">
            <w:pPr>
              <w:adjustRightInd w:val="0"/>
              <w:snapToGrid w:val="0"/>
              <w:spacing w:line="240" w:lineRule="auto"/>
              <w:jc w:val="center"/>
              <w:rPr>
                <w:sz w:val="21"/>
                <w:szCs w:val="21"/>
              </w:rPr>
            </w:pPr>
            <w:r>
              <w:rPr>
                <w:sz w:val="21"/>
                <w:szCs w:val="21"/>
              </w:rPr>
              <w:t>聚丙烯复合聚乙烯包装袋</w:t>
            </w:r>
          </w:p>
        </w:tc>
        <w:tc>
          <w:tcPr>
            <w:tcW w:w="1559" w:type="dxa"/>
            <w:vAlign w:val="center"/>
          </w:tcPr>
          <w:p w14:paraId="7FA21D3A">
            <w:pPr>
              <w:adjustRightInd w:val="0"/>
              <w:snapToGrid w:val="0"/>
              <w:spacing w:line="240" w:lineRule="auto"/>
              <w:jc w:val="center"/>
              <w:rPr>
                <w:sz w:val="21"/>
                <w:szCs w:val="21"/>
              </w:rPr>
            </w:pPr>
            <w:r>
              <w:rPr>
                <w:rFonts w:hint="eastAsia"/>
                <w:sz w:val="21"/>
                <w:szCs w:val="21"/>
              </w:rPr>
              <w:t>2880</w:t>
            </w:r>
          </w:p>
        </w:tc>
        <w:tc>
          <w:tcPr>
            <w:tcW w:w="1417" w:type="dxa"/>
            <w:vAlign w:val="center"/>
          </w:tcPr>
          <w:p w14:paraId="425ACA59">
            <w:pPr>
              <w:adjustRightInd w:val="0"/>
              <w:snapToGrid w:val="0"/>
              <w:spacing w:line="240" w:lineRule="auto"/>
              <w:jc w:val="center"/>
              <w:rPr>
                <w:sz w:val="21"/>
                <w:szCs w:val="21"/>
              </w:rPr>
            </w:pPr>
            <w:r>
              <w:rPr>
                <w:rFonts w:hint="eastAsia"/>
                <w:sz w:val="21"/>
                <w:szCs w:val="21"/>
              </w:rPr>
              <w:t>+1406</w:t>
            </w:r>
          </w:p>
        </w:tc>
        <w:tc>
          <w:tcPr>
            <w:tcW w:w="1418" w:type="dxa"/>
            <w:vAlign w:val="center"/>
          </w:tcPr>
          <w:p w14:paraId="5DC69FD9">
            <w:pPr>
              <w:adjustRightInd w:val="0"/>
              <w:snapToGrid w:val="0"/>
              <w:spacing w:line="240" w:lineRule="auto"/>
              <w:jc w:val="center"/>
              <w:rPr>
                <w:sz w:val="21"/>
                <w:szCs w:val="21"/>
              </w:rPr>
            </w:pPr>
            <w:r>
              <w:rPr>
                <w:rFonts w:hint="eastAsia"/>
                <w:sz w:val="21"/>
                <w:szCs w:val="21"/>
              </w:rPr>
              <w:t>+</w:t>
            </w:r>
            <w:r>
              <w:rPr>
                <w:rFonts w:hint="eastAsia"/>
                <w:sz w:val="21"/>
                <w:szCs w:val="21"/>
                <w:lang w:val="en-US" w:eastAsia="zh-CN"/>
              </w:rPr>
              <w:t>4778</w:t>
            </w:r>
          </w:p>
        </w:tc>
        <w:tc>
          <w:tcPr>
            <w:tcW w:w="1233" w:type="dxa"/>
            <w:vAlign w:val="center"/>
          </w:tcPr>
          <w:p w14:paraId="5B24404A">
            <w:pPr>
              <w:adjustRightInd w:val="0"/>
              <w:snapToGrid w:val="0"/>
              <w:spacing w:line="240" w:lineRule="auto"/>
              <w:jc w:val="center"/>
              <w:rPr>
                <w:sz w:val="21"/>
                <w:szCs w:val="21"/>
              </w:rPr>
            </w:pPr>
            <w:r>
              <w:rPr>
                <w:rFonts w:hint="eastAsia"/>
                <w:sz w:val="21"/>
                <w:szCs w:val="21"/>
                <w:lang w:val="en-US" w:eastAsia="zh-CN"/>
              </w:rPr>
              <w:t>7658</w:t>
            </w:r>
          </w:p>
        </w:tc>
      </w:tr>
      <w:tr w14:paraId="0E2654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4" w:type="dxa"/>
            <w:vAlign w:val="center"/>
          </w:tcPr>
          <w:p w14:paraId="69497F47">
            <w:pPr>
              <w:adjustRightInd w:val="0"/>
              <w:snapToGrid w:val="0"/>
              <w:spacing w:line="240" w:lineRule="auto"/>
              <w:jc w:val="center"/>
              <w:rPr>
                <w:sz w:val="21"/>
                <w:szCs w:val="21"/>
              </w:rPr>
            </w:pPr>
            <w:r>
              <w:rPr>
                <w:sz w:val="21"/>
                <w:szCs w:val="21"/>
              </w:rPr>
              <w:t>3</w:t>
            </w:r>
          </w:p>
        </w:tc>
        <w:tc>
          <w:tcPr>
            <w:tcW w:w="2275" w:type="dxa"/>
            <w:vAlign w:val="center"/>
          </w:tcPr>
          <w:p w14:paraId="35116EFD">
            <w:pPr>
              <w:adjustRightInd w:val="0"/>
              <w:snapToGrid w:val="0"/>
              <w:spacing w:line="240" w:lineRule="auto"/>
              <w:jc w:val="center"/>
              <w:rPr>
                <w:sz w:val="21"/>
                <w:szCs w:val="21"/>
              </w:rPr>
            </w:pPr>
            <w:r>
              <w:rPr>
                <w:sz w:val="21"/>
                <w:szCs w:val="21"/>
              </w:rPr>
              <w:t>聚丙烯复合耐蒸煮流延膜包装袋</w:t>
            </w:r>
          </w:p>
        </w:tc>
        <w:tc>
          <w:tcPr>
            <w:tcW w:w="1559" w:type="dxa"/>
            <w:vAlign w:val="center"/>
          </w:tcPr>
          <w:p w14:paraId="0C22D12E">
            <w:pPr>
              <w:adjustRightInd w:val="0"/>
              <w:snapToGrid w:val="0"/>
              <w:spacing w:line="240" w:lineRule="auto"/>
              <w:jc w:val="center"/>
              <w:rPr>
                <w:sz w:val="21"/>
                <w:szCs w:val="21"/>
              </w:rPr>
            </w:pPr>
            <w:r>
              <w:rPr>
                <w:rFonts w:hint="eastAsia"/>
                <w:sz w:val="21"/>
                <w:szCs w:val="21"/>
              </w:rPr>
              <w:t>2880</w:t>
            </w:r>
          </w:p>
        </w:tc>
        <w:tc>
          <w:tcPr>
            <w:tcW w:w="1417" w:type="dxa"/>
            <w:vAlign w:val="center"/>
          </w:tcPr>
          <w:p w14:paraId="3E859C22">
            <w:pPr>
              <w:adjustRightInd w:val="0"/>
              <w:snapToGrid w:val="0"/>
              <w:spacing w:line="240" w:lineRule="auto"/>
              <w:jc w:val="center"/>
              <w:rPr>
                <w:sz w:val="21"/>
                <w:szCs w:val="21"/>
              </w:rPr>
            </w:pPr>
            <w:r>
              <w:rPr>
                <w:rFonts w:hint="eastAsia"/>
                <w:sz w:val="21"/>
                <w:szCs w:val="21"/>
              </w:rPr>
              <w:t>+1406</w:t>
            </w:r>
          </w:p>
        </w:tc>
        <w:tc>
          <w:tcPr>
            <w:tcW w:w="1418" w:type="dxa"/>
            <w:vAlign w:val="center"/>
          </w:tcPr>
          <w:p w14:paraId="37B785C5">
            <w:pPr>
              <w:adjustRightInd w:val="0"/>
              <w:snapToGrid w:val="0"/>
              <w:spacing w:line="240" w:lineRule="auto"/>
              <w:jc w:val="center"/>
              <w:rPr>
                <w:sz w:val="21"/>
                <w:szCs w:val="21"/>
              </w:rPr>
            </w:pPr>
            <w:r>
              <w:rPr>
                <w:rFonts w:hint="eastAsia"/>
                <w:sz w:val="21"/>
                <w:szCs w:val="21"/>
              </w:rPr>
              <w:t>+</w:t>
            </w:r>
            <w:r>
              <w:rPr>
                <w:rFonts w:hint="eastAsia"/>
                <w:sz w:val="21"/>
                <w:szCs w:val="21"/>
                <w:lang w:val="en-US" w:eastAsia="zh-CN"/>
              </w:rPr>
              <w:t>4778</w:t>
            </w:r>
          </w:p>
        </w:tc>
        <w:tc>
          <w:tcPr>
            <w:tcW w:w="1233" w:type="dxa"/>
            <w:vAlign w:val="center"/>
          </w:tcPr>
          <w:p w14:paraId="1207800F">
            <w:pPr>
              <w:adjustRightInd w:val="0"/>
              <w:snapToGrid w:val="0"/>
              <w:spacing w:line="240" w:lineRule="auto"/>
              <w:jc w:val="center"/>
              <w:rPr>
                <w:sz w:val="21"/>
                <w:szCs w:val="21"/>
              </w:rPr>
            </w:pPr>
            <w:r>
              <w:rPr>
                <w:rFonts w:hint="eastAsia"/>
                <w:sz w:val="21"/>
                <w:szCs w:val="21"/>
                <w:lang w:val="en-US" w:eastAsia="zh-CN"/>
              </w:rPr>
              <w:t>7658</w:t>
            </w:r>
          </w:p>
        </w:tc>
      </w:tr>
      <w:tr w14:paraId="4CFE9D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4" w:type="dxa"/>
            <w:vAlign w:val="center"/>
          </w:tcPr>
          <w:p w14:paraId="33635207">
            <w:pPr>
              <w:adjustRightInd w:val="0"/>
              <w:snapToGrid w:val="0"/>
              <w:spacing w:line="240" w:lineRule="auto"/>
              <w:jc w:val="center"/>
              <w:rPr>
                <w:sz w:val="21"/>
                <w:szCs w:val="21"/>
              </w:rPr>
            </w:pPr>
            <w:r>
              <w:rPr>
                <w:sz w:val="21"/>
                <w:szCs w:val="21"/>
              </w:rPr>
              <w:t>4</w:t>
            </w:r>
          </w:p>
        </w:tc>
        <w:tc>
          <w:tcPr>
            <w:tcW w:w="2275" w:type="dxa"/>
            <w:vAlign w:val="center"/>
          </w:tcPr>
          <w:p w14:paraId="06F7C50C">
            <w:pPr>
              <w:adjustRightInd w:val="0"/>
              <w:snapToGrid w:val="0"/>
              <w:spacing w:line="240" w:lineRule="auto"/>
              <w:jc w:val="center"/>
              <w:rPr>
                <w:sz w:val="21"/>
                <w:szCs w:val="21"/>
              </w:rPr>
            </w:pPr>
            <w:r>
              <w:rPr>
                <w:sz w:val="21"/>
                <w:szCs w:val="21"/>
              </w:rPr>
              <w:t>双向拉伸尼龙复合聚乙烯包装袋</w:t>
            </w:r>
          </w:p>
        </w:tc>
        <w:tc>
          <w:tcPr>
            <w:tcW w:w="1559" w:type="dxa"/>
            <w:vAlign w:val="center"/>
          </w:tcPr>
          <w:p w14:paraId="0FF0B5BB">
            <w:pPr>
              <w:adjustRightInd w:val="0"/>
              <w:snapToGrid w:val="0"/>
              <w:spacing w:line="240" w:lineRule="auto"/>
              <w:jc w:val="center"/>
              <w:rPr>
                <w:sz w:val="21"/>
                <w:szCs w:val="21"/>
              </w:rPr>
            </w:pPr>
            <w:r>
              <w:rPr>
                <w:rFonts w:hint="eastAsia"/>
                <w:sz w:val="21"/>
                <w:szCs w:val="21"/>
              </w:rPr>
              <w:t>720</w:t>
            </w:r>
          </w:p>
        </w:tc>
        <w:tc>
          <w:tcPr>
            <w:tcW w:w="1417" w:type="dxa"/>
            <w:vAlign w:val="center"/>
          </w:tcPr>
          <w:p w14:paraId="58CDE536">
            <w:pPr>
              <w:adjustRightInd w:val="0"/>
              <w:snapToGrid w:val="0"/>
              <w:spacing w:line="240" w:lineRule="auto"/>
              <w:jc w:val="center"/>
              <w:rPr>
                <w:sz w:val="21"/>
                <w:szCs w:val="21"/>
              </w:rPr>
            </w:pPr>
            <w:r>
              <w:rPr>
                <w:rFonts w:hint="eastAsia"/>
                <w:sz w:val="21"/>
                <w:szCs w:val="21"/>
              </w:rPr>
              <w:t>+351</w:t>
            </w:r>
          </w:p>
        </w:tc>
        <w:tc>
          <w:tcPr>
            <w:tcW w:w="1418" w:type="dxa"/>
            <w:vAlign w:val="center"/>
          </w:tcPr>
          <w:p w14:paraId="77D0CCFD">
            <w:pPr>
              <w:adjustRightInd w:val="0"/>
              <w:snapToGrid w:val="0"/>
              <w:spacing w:line="240" w:lineRule="auto"/>
              <w:jc w:val="center"/>
              <w:rPr>
                <w:rFonts w:hint="default" w:eastAsia="宋体"/>
                <w:sz w:val="21"/>
                <w:szCs w:val="21"/>
                <w:lang w:val="en-US" w:eastAsia="zh-CN"/>
              </w:rPr>
            </w:pPr>
            <w:r>
              <w:rPr>
                <w:rFonts w:hint="eastAsia"/>
                <w:sz w:val="21"/>
                <w:szCs w:val="21"/>
              </w:rPr>
              <w:t>+1</w:t>
            </w:r>
            <w:r>
              <w:rPr>
                <w:rFonts w:hint="eastAsia"/>
                <w:sz w:val="21"/>
                <w:szCs w:val="21"/>
                <w:lang w:val="en-US" w:eastAsia="zh-CN"/>
              </w:rPr>
              <w:t>193</w:t>
            </w:r>
          </w:p>
        </w:tc>
        <w:tc>
          <w:tcPr>
            <w:tcW w:w="1233" w:type="dxa"/>
            <w:vAlign w:val="center"/>
          </w:tcPr>
          <w:p w14:paraId="68D83410">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1913</w:t>
            </w:r>
          </w:p>
        </w:tc>
      </w:tr>
      <w:tr w14:paraId="160F64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34" w:type="dxa"/>
            <w:vAlign w:val="center"/>
          </w:tcPr>
          <w:p w14:paraId="04CBD002">
            <w:pPr>
              <w:adjustRightInd w:val="0"/>
              <w:snapToGrid w:val="0"/>
              <w:spacing w:line="240" w:lineRule="auto"/>
              <w:jc w:val="center"/>
              <w:rPr>
                <w:sz w:val="21"/>
                <w:szCs w:val="21"/>
              </w:rPr>
            </w:pPr>
            <w:r>
              <w:rPr>
                <w:sz w:val="21"/>
                <w:szCs w:val="21"/>
              </w:rPr>
              <w:t>5</w:t>
            </w:r>
          </w:p>
        </w:tc>
        <w:tc>
          <w:tcPr>
            <w:tcW w:w="2275" w:type="dxa"/>
            <w:vAlign w:val="center"/>
          </w:tcPr>
          <w:p w14:paraId="7125D990">
            <w:pPr>
              <w:adjustRightInd w:val="0"/>
              <w:snapToGrid w:val="0"/>
              <w:spacing w:line="240" w:lineRule="auto"/>
              <w:jc w:val="center"/>
              <w:rPr>
                <w:sz w:val="21"/>
                <w:szCs w:val="21"/>
              </w:rPr>
            </w:pPr>
            <w:r>
              <w:rPr>
                <w:sz w:val="21"/>
                <w:szCs w:val="21"/>
              </w:rPr>
              <w:t>双向拉伸尼龙复合耐蒸煮流延膜包装袋</w:t>
            </w:r>
          </w:p>
        </w:tc>
        <w:tc>
          <w:tcPr>
            <w:tcW w:w="1559" w:type="dxa"/>
            <w:vAlign w:val="center"/>
          </w:tcPr>
          <w:p w14:paraId="53FBCFC7">
            <w:pPr>
              <w:adjustRightInd w:val="0"/>
              <w:snapToGrid w:val="0"/>
              <w:spacing w:line="240" w:lineRule="auto"/>
              <w:jc w:val="center"/>
              <w:rPr>
                <w:sz w:val="21"/>
                <w:szCs w:val="21"/>
              </w:rPr>
            </w:pPr>
            <w:r>
              <w:rPr>
                <w:rFonts w:hint="eastAsia"/>
                <w:sz w:val="21"/>
                <w:szCs w:val="21"/>
              </w:rPr>
              <w:t>720</w:t>
            </w:r>
          </w:p>
        </w:tc>
        <w:tc>
          <w:tcPr>
            <w:tcW w:w="1417" w:type="dxa"/>
            <w:vAlign w:val="center"/>
          </w:tcPr>
          <w:p w14:paraId="05A0EEFC">
            <w:pPr>
              <w:adjustRightInd w:val="0"/>
              <w:snapToGrid w:val="0"/>
              <w:spacing w:line="240" w:lineRule="auto"/>
              <w:jc w:val="center"/>
              <w:rPr>
                <w:sz w:val="21"/>
                <w:szCs w:val="21"/>
              </w:rPr>
            </w:pPr>
            <w:r>
              <w:rPr>
                <w:rFonts w:hint="eastAsia"/>
                <w:sz w:val="21"/>
                <w:szCs w:val="21"/>
              </w:rPr>
              <w:t>+351</w:t>
            </w:r>
          </w:p>
        </w:tc>
        <w:tc>
          <w:tcPr>
            <w:tcW w:w="1418" w:type="dxa"/>
            <w:vAlign w:val="center"/>
          </w:tcPr>
          <w:p w14:paraId="4A78D68A">
            <w:pPr>
              <w:adjustRightInd w:val="0"/>
              <w:snapToGrid w:val="0"/>
              <w:spacing w:line="240" w:lineRule="auto"/>
              <w:jc w:val="center"/>
              <w:rPr>
                <w:rFonts w:hint="default" w:eastAsia="宋体"/>
                <w:sz w:val="21"/>
                <w:szCs w:val="21"/>
                <w:lang w:val="en-US" w:eastAsia="zh-CN"/>
              </w:rPr>
            </w:pPr>
            <w:r>
              <w:rPr>
                <w:rFonts w:hint="eastAsia"/>
                <w:sz w:val="21"/>
                <w:szCs w:val="21"/>
              </w:rPr>
              <w:t>+1</w:t>
            </w:r>
            <w:r>
              <w:rPr>
                <w:rFonts w:hint="eastAsia"/>
                <w:sz w:val="21"/>
                <w:szCs w:val="21"/>
                <w:lang w:val="en-US" w:eastAsia="zh-CN"/>
              </w:rPr>
              <w:t>193</w:t>
            </w:r>
          </w:p>
        </w:tc>
        <w:tc>
          <w:tcPr>
            <w:tcW w:w="1233" w:type="dxa"/>
            <w:vAlign w:val="center"/>
          </w:tcPr>
          <w:p w14:paraId="6778AF55">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1913</w:t>
            </w:r>
          </w:p>
        </w:tc>
      </w:tr>
      <w:tr w14:paraId="25EA9A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37" w:hRule="atLeast"/>
          <w:jc w:val="center"/>
        </w:trPr>
        <w:tc>
          <w:tcPr>
            <w:tcW w:w="2709" w:type="dxa"/>
            <w:gridSpan w:val="2"/>
            <w:vAlign w:val="center"/>
          </w:tcPr>
          <w:p w14:paraId="24C0DD2A">
            <w:pPr>
              <w:adjustRightInd w:val="0"/>
              <w:snapToGrid w:val="0"/>
              <w:spacing w:line="240" w:lineRule="auto"/>
              <w:jc w:val="center"/>
              <w:rPr>
                <w:sz w:val="21"/>
                <w:szCs w:val="21"/>
              </w:rPr>
            </w:pPr>
            <w:r>
              <w:rPr>
                <w:sz w:val="21"/>
                <w:szCs w:val="21"/>
              </w:rPr>
              <w:t>合计</w:t>
            </w:r>
          </w:p>
        </w:tc>
        <w:tc>
          <w:tcPr>
            <w:tcW w:w="1559" w:type="dxa"/>
            <w:vAlign w:val="center"/>
          </w:tcPr>
          <w:p w14:paraId="2271E982">
            <w:pPr>
              <w:adjustRightInd w:val="0"/>
              <w:snapToGrid w:val="0"/>
              <w:spacing w:line="240" w:lineRule="auto"/>
              <w:jc w:val="center"/>
              <w:rPr>
                <w:sz w:val="21"/>
                <w:szCs w:val="21"/>
              </w:rPr>
            </w:pPr>
            <w:r>
              <w:rPr>
                <w:rFonts w:hint="eastAsia"/>
                <w:sz w:val="21"/>
                <w:szCs w:val="21"/>
              </w:rPr>
              <w:t>10080</w:t>
            </w:r>
          </w:p>
        </w:tc>
        <w:tc>
          <w:tcPr>
            <w:tcW w:w="1417" w:type="dxa"/>
            <w:vAlign w:val="center"/>
          </w:tcPr>
          <w:p w14:paraId="2E445919">
            <w:pPr>
              <w:adjustRightInd w:val="0"/>
              <w:snapToGrid w:val="0"/>
              <w:spacing w:line="240" w:lineRule="auto"/>
              <w:jc w:val="center"/>
              <w:rPr>
                <w:sz w:val="21"/>
                <w:szCs w:val="21"/>
              </w:rPr>
            </w:pPr>
            <w:r>
              <w:rPr>
                <w:rFonts w:hint="eastAsia"/>
                <w:sz w:val="21"/>
                <w:szCs w:val="21"/>
              </w:rPr>
              <w:t>+4920</w:t>
            </w:r>
          </w:p>
        </w:tc>
        <w:tc>
          <w:tcPr>
            <w:tcW w:w="1418" w:type="dxa"/>
            <w:vAlign w:val="center"/>
          </w:tcPr>
          <w:p w14:paraId="6BE7ED79">
            <w:pPr>
              <w:adjustRightInd w:val="0"/>
              <w:snapToGrid w:val="0"/>
              <w:spacing w:line="240" w:lineRule="auto"/>
              <w:jc w:val="center"/>
              <w:rPr>
                <w:rFonts w:hint="default" w:eastAsia="宋体"/>
                <w:sz w:val="21"/>
                <w:szCs w:val="21"/>
                <w:lang w:val="en-US" w:eastAsia="zh-CN"/>
              </w:rPr>
            </w:pPr>
            <w:r>
              <w:rPr>
                <w:rFonts w:hint="eastAsia"/>
                <w:sz w:val="21"/>
                <w:szCs w:val="21"/>
              </w:rPr>
              <w:t>+</w:t>
            </w:r>
            <w:r>
              <w:rPr>
                <w:rFonts w:hint="eastAsia"/>
                <w:sz w:val="21"/>
                <w:szCs w:val="21"/>
                <w:lang w:val="en-US" w:eastAsia="zh-CN"/>
              </w:rPr>
              <w:t>16720</w:t>
            </w:r>
          </w:p>
        </w:tc>
        <w:tc>
          <w:tcPr>
            <w:tcW w:w="1233" w:type="dxa"/>
            <w:vAlign w:val="center"/>
          </w:tcPr>
          <w:p w14:paraId="7E1DF40B">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26800</w:t>
            </w:r>
          </w:p>
        </w:tc>
      </w:tr>
    </w:tbl>
    <w:p w14:paraId="704AB0D0">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4.1.2</w:t>
      </w:r>
      <w:r>
        <w:rPr>
          <w:rFonts w:hint="eastAsia"/>
        </w:rPr>
        <w:t>主要设备变更情况</w:t>
      </w:r>
    </w:p>
    <w:p w14:paraId="49F03D30">
      <w:pPr>
        <w:ind w:firstLine="480"/>
        <w:rPr>
          <w:bCs/>
        </w:rPr>
      </w:pPr>
      <w:r>
        <w:rPr>
          <w:rFonts w:hint="eastAsia"/>
        </w:rPr>
        <w:t>本次变更有部分设备调，</w:t>
      </w:r>
      <w:r>
        <w:rPr>
          <w:rFonts w:hint="eastAsia"/>
          <w:bCs/>
        </w:rPr>
        <w:t>主要生产设备清单见下表4.1-4。</w:t>
      </w:r>
    </w:p>
    <w:p w14:paraId="45F7E734">
      <w:pPr>
        <w:pStyle w:val="51"/>
        <w:widowControl w:val="0"/>
        <w:numPr>
          <w:ilvl w:val="5"/>
          <w:numId w:val="0"/>
        </w:numPr>
        <w:spacing w:before="156"/>
        <w:ind w:left="-2104" w:leftChars="0" w:hanging="1415" w:firstLineChars="0"/>
        <w:rPr>
          <w:bCs w:val="0"/>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表4.1-3 </w:t>
      </w:r>
      <w:r>
        <w:rPr>
          <w:rFonts w:hint="eastAsia" w:ascii="宋体" w:hAnsi="宋体" w:cs="宋体"/>
          <w:b/>
          <w:bCs/>
          <w:color w:val="auto"/>
          <w:kern w:val="2"/>
          <w:sz w:val="21"/>
          <w:szCs w:val="21"/>
          <w:lang w:val="en-US" w:eastAsia="zh-CN" w:bidi="ar-SA"/>
        </w:rPr>
        <w:t xml:space="preserve">   </w:t>
      </w:r>
      <w:r>
        <w:rPr>
          <w:rFonts w:hint="eastAsia"/>
          <w:bCs w:val="0"/>
        </w:rPr>
        <w:t>变更前后</w:t>
      </w:r>
      <w:r>
        <w:rPr>
          <w:rFonts w:hint="eastAsia"/>
        </w:rPr>
        <w:t>生产</w:t>
      </w:r>
      <w:r>
        <w:rPr>
          <w:rFonts w:hint="eastAsia"/>
          <w:bCs w:val="0"/>
        </w:rPr>
        <w:t>设备情况一览表</w:t>
      </w:r>
    </w:p>
    <w:tbl>
      <w:tblPr>
        <w:tblStyle w:val="32"/>
        <w:tblW w:w="4971"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4"/>
        <w:gridCol w:w="709"/>
        <w:gridCol w:w="567"/>
        <w:gridCol w:w="1702"/>
        <w:gridCol w:w="992"/>
        <w:gridCol w:w="987"/>
        <w:gridCol w:w="1082"/>
        <w:gridCol w:w="908"/>
        <w:gridCol w:w="852"/>
      </w:tblGrid>
      <w:tr w14:paraId="7C06D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restart"/>
            <w:tcBorders>
              <w:tl2br w:val="nil"/>
              <w:tr2bl w:val="nil"/>
            </w:tcBorders>
            <w:vAlign w:val="center"/>
          </w:tcPr>
          <w:p w14:paraId="1E78E2D6">
            <w:pPr>
              <w:adjustRightInd w:val="0"/>
              <w:snapToGrid w:val="0"/>
              <w:spacing w:line="240" w:lineRule="auto"/>
              <w:jc w:val="center"/>
              <w:rPr>
                <w:sz w:val="21"/>
                <w:szCs w:val="21"/>
              </w:rPr>
            </w:pPr>
            <w:r>
              <w:rPr>
                <w:sz w:val="21"/>
                <w:szCs w:val="21"/>
              </w:rPr>
              <w:t>主要生</w:t>
            </w:r>
          </w:p>
          <w:p w14:paraId="365C8640">
            <w:pPr>
              <w:adjustRightInd w:val="0"/>
              <w:snapToGrid w:val="0"/>
              <w:spacing w:line="240" w:lineRule="auto"/>
              <w:jc w:val="center"/>
              <w:rPr>
                <w:sz w:val="21"/>
                <w:szCs w:val="21"/>
              </w:rPr>
            </w:pPr>
            <w:r>
              <w:rPr>
                <w:sz w:val="21"/>
                <w:szCs w:val="21"/>
              </w:rPr>
              <w:t>产单元</w:t>
            </w:r>
          </w:p>
        </w:tc>
        <w:tc>
          <w:tcPr>
            <w:tcW w:w="709" w:type="dxa"/>
            <w:vMerge w:val="restart"/>
            <w:tcBorders>
              <w:tl2br w:val="nil"/>
              <w:tr2bl w:val="nil"/>
            </w:tcBorders>
            <w:vAlign w:val="center"/>
          </w:tcPr>
          <w:p w14:paraId="21EDA3DD">
            <w:pPr>
              <w:adjustRightInd w:val="0"/>
              <w:snapToGrid w:val="0"/>
              <w:spacing w:line="240" w:lineRule="auto"/>
              <w:jc w:val="center"/>
              <w:rPr>
                <w:sz w:val="21"/>
                <w:szCs w:val="21"/>
              </w:rPr>
            </w:pPr>
            <w:r>
              <w:rPr>
                <w:sz w:val="21"/>
                <w:szCs w:val="21"/>
              </w:rPr>
              <w:t>设备名称</w:t>
            </w:r>
          </w:p>
        </w:tc>
        <w:tc>
          <w:tcPr>
            <w:tcW w:w="2269" w:type="dxa"/>
            <w:gridSpan w:val="2"/>
            <w:vMerge w:val="restart"/>
            <w:tcBorders>
              <w:tl2br w:val="nil"/>
              <w:tr2bl w:val="nil"/>
            </w:tcBorders>
            <w:vAlign w:val="center"/>
          </w:tcPr>
          <w:p w14:paraId="661298C4">
            <w:pPr>
              <w:adjustRightInd w:val="0"/>
              <w:snapToGrid w:val="0"/>
              <w:spacing w:line="240" w:lineRule="auto"/>
              <w:jc w:val="center"/>
              <w:rPr>
                <w:sz w:val="21"/>
                <w:szCs w:val="21"/>
              </w:rPr>
            </w:pPr>
            <w:r>
              <w:rPr>
                <w:sz w:val="21"/>
                <w:szCs w:val="21"/>
              </w:rPr>
              <w:t>型号</w:t>
            </w:r>
          </w:p>
        </w:tc>
        <w:tc>
          <w:tcPr>
            <w:tcW w:w="3969" w:type="dxa"/>
            <w:gridSpan w:val="4"/>
            <w:tcBorders>
              <w:tl2br w:val="nil"/>
              <w:tr2bl w:val="nil"/>
            </w:tcBorders>
          </w:tcPr>
          <w:p w14:paraId="57B5A88B">
            <w:pPr>
              <w:adjustRightInd w:val="0"/>
              <w:snapToGrid w:val="0"/>
              <w:spacing w:line="240" w:lineRule="auto"/>
              <w:jc w:val="center"/>
              <w:rPr>
                <w:sz w:val="21"/>
                <w:szCs w:val="21"/>
              </w:rPr>
            </w:pPr>
            <w:r>
              <w:rPr>
                <w:sz w:val="21"/>
                <w:szCs w:val="21"/>
              </w:rPr>
              <w:t>数量</w:t>
            </w:r>
          </w:p>
        </w:tc>
        <w:tc>
          <w:tcPr>
            <w:tcW w:w="852" w:type="dxa"/>
            <w:vMerge w:val="restart"/>
            <w:tcBorders>
              <w:tl2br w:val="nil"/>
              <w:tr2bl w:val="nil"/>
            </w:tcBorders>
            <w:vAlign w:val="center"/>
          </w:tcPr>
          <w:p w14:paraId="3382BE5D">
            <w:pPr>
              <w:adjustRightInd w:val="0"/>
              <w:snapToGrid w:val="0"/>
              <w:spacing w:line="240" w:lineRule="auto"/>
              <w:jc w:val="center"/>
              <w:rPr>
                <w:sz w:val="21"/>
                <w:szCs w:val="21"/>
              </w:rPr>
            </w:pPr>
            <w:r>
              <w:rPr>
                <w:sz w:val="21"/>
                <w:szCs w:val="21"/>
              </w:rPr>
              <w:t>备注</w:t>
            </w:r>
          </w:p>
        </w:tc>
      </w:tr>
      <w:tr w14:paraId="472EE7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61A8DE28">
            <w:pPr>
              <w:adjustRightInd w:val="0"/>
              <w:snapToGrid w:val="0"/>
              <w:spacing w:line="240" w:lineRule="auto"/>
              <w:jc w:val="center"/>
              <w:rPr>
                <w:sz w:val="21"/>
                <w:szCs w:val="21"/>
              </w:rPr>
            </w:pPr>
          </w:p>
        </w:tc>
        <w:tc>
          <w:tcPr>
            <w:tcW w:w="709" w:type="dxa"/>
            <w:vMerge w:val="continue"/>
            <w:tcBorders>
              <w:tl2br w:val="nil"/>
              <w:tr2bl w:val="nil"/>
            </w:tcBorders>
            <w:vAlign w:val="center"/>
          </w:tcPr>
          <w:p w14:paraId="050851D6">
            <w:pPr>
              <w:adjustRightInd w:val="0"/>
              <w:snapToGrid w:val="0"/>
              <w:spacing w:line="240" w:lineRule="auto"/>
              <w:jc w:val="center"/>
              <w:rPr>
                <w:sz w:val="21"/>
                <w:szCs w:val="21"/>
              </w:rPr>
            </w:pPr>
          </w:p>
        </w:tc>
        <w:tc>
          <w:tcPr>
            <w:tcW w:w="2269" w:type="dxa"/>
            <w:gridSpan w:val="2"/>
            <w:vMerge w:val="continue"/>
            <w:tcBorders>
              <w:tl2br w:val="nil"/>
              <w:tr2bl w:val="nil"/>
            </w:tcBorders>
            <w:vAlign w:val="center"/>
          </w:tcPr>
          <w:p w14:paraId="0796FB0D">
            <w:pPr>
              <w:adjustRightInd w:val="0"/>
              <w:snapToGrid w:val="0"/>
              <w:spacing w:line="240" w:lineRule="auto"/>
              <w:jc w:val="center"/>
              <w:rPr>
                <w:sz w:val="21"/>
                <w:szCs w:val="21"/>
              </w:rPr>
            </w:pPr>
          </w:p>
        </w:tc>
        <w:tc>
          <w:tcPr>
            <w:tcW w:w="992" w:type="dxa"/>
            <w:vMerge w:val="restart"/>
            <w:tcBorders>
              <w:tl2br w:val="nil"/>
              <w:tr2bl w:val="nil"/>
            </w:tcBorders>
            <w:vAlign w:val="center"/>
          </w:tcPr>
          <w:p w14:paraId="7A6BC306">
            <w:pPr>
              <w:adjustRightInd w:val="0"/>
              <w:snapToGrid w:val="0"/>
              <w:spacing w:line="240" w:lineRule="auto"/>
              <w:jc w:val="center"/>
              <w:rPr>
                <w:sz w:val="21"/>
                <w:szCs w:val="21"/>
              </w:rPr>
            </w:pPr>
            <w:r>
              <w:rPr>
                <w:sz w:val="21"/>
                <w:szCs w:val="21"/>
              </w:rPr>
              <w:t>已建</w:t>
            </w:r>
          </w:p>
          <w:p w14:paraId="3232F1DC">
            <w:pPr>
              <w:adjustRightInd w:val="0"/>
              <w:snapToGrid w:val="0"/>
              <w:spacing w:line="240" w:lineRule="auto"/>
              <w:jc w:val="center"/>
              <w:rPr>
                <w:sz w:val="21"/>
                <w:szCs w:val="21"/>
              </w:rPr>
            </w:pPr>
            <w:r>
              <w:rPr>
                <w:sz w:val="21"/>
                <w:szCs w:val="21"/>
              </w:rPr>
              <w:t>项目</w:t>
            </w:r>
          </w:p>
        </w:tc>
        <w:tc>
          <w:tcPr>
            <w:tcW w:w="2069" w:type="dxa"/>
            <w:gridSpan w:val="2"/>
            <w:tcBorders>
              <w:tl2br w:val="nil"/>
              <w:tr2bl w:val="nil"/>
            </w:tcBorders>
            <w:vAlign w:val="center"/>
          </w:tcPr>
          <w:p w14:paraId="65D83249">
            <w:pPr>
              <w:adjustRightInd w:val="0"/>
              <w:snapToGrid w:val="0"/>
              <w:spacing w:line="240" w:lineRule="auto"/>
              <w:jc w:val="center"/>
              <w:rPr>
                <w:sz w:val="21"/>
                <w:szCs w:val="21"/>
              </w:rPr>
            </w:pPr>
            <w:r>
              <w:rPr>
                <w:rFonts w:hint="eastAsia"/>
                <w:sz w:val="21"/>
                <w:szCs w:val="21"/>
              </w:rPr>
              <w:t>在建项目</w:t>
            </w:r>
          </w:p>
        </w:tc>
        <w:tc>
          <w:tcPr>
            <w:tcW w:w="908" w:type="dxa"/>
            <w:vMerge w:val="restart"/>
            <w:tcBorders>
              <w:tl2br w:val="nil"/>
              <w:tr2bl w:val="nil"/>
            </w:tcBorders>
            <w:vAlign w:val="center"/>
          </w:tcPr>
          <w:p w14:paraId="47B8636B">
            <w:pPr>
              <w:adjustRightInd w:val="0"/>
              <w:snapToGrid w:val="0"/>
              <w:spacing w:line="240" w:lineRule="auto"/>
              <w:jc w:val="center"/>
              <w:rPr>
                <w:sz w:val="21"/>
                <w:szCs w:val="21"/>
              </w:rPr>
            </w:pPr>
            <w:r>
              <w:rPr>
                <w:rFonts w:hint="eastAsia"/>
                <w:sz w:val="21"/>
                <w:szCs w:val="21"/>
              </w:rPr>
              <w:t>变更</w:t>
            </w:r>
            <w:r>
              <w:rPr>
                <w:sz w:val="21"/>
                <w:szCs w:val="21"/>
              </w:rPr>
              <w:t>后</w:t>
            </w:r>
          </w:p>
          <w:p w14:paraId="36704359">
            <w:pPr>
              <w:adjustRightInd w:val="0"/>
              <w:snapToGrid w:val="0"/>
              <w:spacing w:line="240" w:lineRule="auto"/>
              <w:jc w:val="center"/>
              <w:rPr>
                <w:sz w:val="21"/>
                <w:szCs w:val="21"/>
              </w:rPr>
            </w:pPr>
            <w:r>
              <w:rPr>
                <w:sz w:val="21"/>
                <w:szCs w:val="21"/>
              </w:rPr>
              <w:t>全厂</w:t>
            </w:r>
          </w:p>
        </w:tc>
        <w:tc>
          <w:tcPr>
            <w:tcW w:w="852" w:type="dxa"/>
            <w:vMerge w:val="continue"/>
            <w:tcBorders>
              <w:tl2br w:val="nil"/>
              <w:tr2bl w:val="nil"/>
            </w:tcBorders>
            <w:vAlign w:val="center"/>
          </w:tcPr>
          <w:p w14:paraId="0BDA1E13">
            <w:pPr>
              <w:adjustRightInd w:val="0"/>
              <w:snapToGrid w:val="0"/>
              <w:spacing w:line="240" w:lineRule="auto"/>
              <w:jc w:val="center"/>
              <w:rPr>
                <w:sz w:val="21"/>
                <w:szCs w:val="21"/>
              </w:rPr>
            </w:pPr>
          </w:p>
        </w:tc>
      </w:tr>
      <w:tr w14:paraId="18DDED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CF5CF96">
            <w:pPr>
              <w:adjustRightInd w:val="0"/>
              <w:snapToGrid w:val="0"/>
              <w:spacing w:line="240" w:lineRule="auto"/>
              <w:jc w:val="center"/>
              <w:rPr>
                <w:sz w:val="21"/>
                <w:szCs w:val="21"/>
              </w:rPr>
            </w:pPr>
          </w:p>
        </w:tc>
        <w:tc>
          <w:tcPr>
            <w:tcW w:w="709" w:type="dxa"/>
            <w:vMerge w:val="continue"/>
            <w:tcBorders>
              <w:tl2br w:val="nil"/>
              <w:tr2bl w:val="nil"/>
            </w:tcBorders>
            <w:vAlign w:val="center"/>
          </w:tcPr>
          <w:p w14:paraId="669F9967">
            <w:pPr>
              <w:adjustRightInd w:val="0"/>
              <w:snapToGrid w:val="0"/>
              <w:spacing w:line="240" w:lineRule="auto"/>
              <w:jc w:val="center"/>
              <w:rPr>
                <w:sz w:val="21"/>
                <w:szCs w:val="21"/>
              </w:rPr>
            </w:pPr>
          </w:p>
        </w:tc>
        <w:tc>
          <w:tcPr>
            <w:tcW w:w="2269" w:type="dxa"/>
            <w:gridSpan w:val="2"/>
            <w:vMerge w:val="continue"/>
            <w:tcBorders>
              <w:tl2br w:val="nil"/>
              <w:tr2bl w:val="nil"/>
            </w:tcBorders>
            <w:vAlign w:val="center"/>
          </w:tcPr>
          <w:p w14:paraId="7B1256A9">
            <w:pPr>
              <w:adjustRightInd w:val="0"/>
              <w:snapToGrid w:val="0"/>
              <w:spacing w:line="240" w:lineRule="auto"/>
              <w:jc w:val="center"/>
              <w:rPr>
                <w:sz w:val="21"/>
                <w:szCs w:val="21"/>
              </w:rPr>
            </w:pPr>
          </w:p>
        </w:tc>
        <w:tc>
          <w:tcPr>
            <w:tcW w:w="992" w:type="dxa"/>
            <w:vMerge w:val="continue"/>
            <w:tcBorders>
              <w:tl2br w:val="nil"/>
              <w:tr2bl w:val="nil"/>
            </w:tcBorders>
            <w:vAlign w:val="center"/>
          </w:tcPr>
          <w:p w14:paraId="45F80384">
            <w:pPr>
              <w:adjustRightInd w:val="0"/>
              <w:snapToGrid w:val="0"/>
              <w:spacing w:line="240" w:lineRule="auto"/>
              <w:jc w:val="center"/>
              <w:rPr>
                <w:sz w:val="21"/>
                <w:szCs w:val="21"/>
              </w:rPr>
            </w:pPr>
          </w:p>
        </w:tc>
        <w:tc>
          <w:tcPr>
            <w:tcW w:w="987" w:type="dxa"/>
            <w:tcBorders>
              <w:tl2br w:val="nil"/>
              <w:tr2bl w:val="nil"/>
            </w:tcBorders>
            <w:vAlign w:val="center"/>
          </w:tcPr>
          <w:p w14:paraId="69E1B672">
            <w:pPr>
              <w:adjustRightInd w:val="0"/>
              <w:snapToGrid w:val="0"/>
              <w:spacing w:line="240" w:lineRule="auto"/>
              <w:jc w:val="center"/>
              <w:rPr>
                <w:sz w:val="21"/>
                <w:szCs w:val="21"/>
              </w:rPr>
            </w:pPr>
            <w:r>
              <w:rPr>
                <w:rFonts w:hint="eastAsia"/>
                <w:sz w:val="21"/>
                <w:szCs w:val="21"/>
              </w:rPr>
              <w:t>已批复</w:t>
            </w:r>
          </w:p>
        </w:tc>
        <w:tc>
          <w:tcPr>
            <w:tcW w:w="1082" w:type="dxa"/>
            <w:tcBorders>
              <w:tl2br w:val="nil"/>
              <w:tr2bl w:val="nil"/>
            </w:tcBorders>
            <w:vAlign w:val="center"/>
          </w:tcPr>
          <w:p w14:paraId="5587C140">
            <w:pPr>
              <w:adjustRightInd w:val="0"/>
              <w:snapToGrid w:val="0"/>
              <w:spacing w:line="240" w:lineRule="auto"/>
              <w:jc w:val="center"/>
              <w:rPr>
                <w:sz w:val="21"/>
                <w:szCs w:val="21"/>
              </w:rPr>
            </w:pPr>
            <w:r>
              <w:rPr>
                <w:rFonts w:hint="eastAsia"/>
                <w:sz w:val="21"/>
                <w:szCs w:val="21"/>
              </w:rPr>
              <w:t>本次变更</w:t>
            </w:r>
          </w:p>
        </w:tc>
        <w:tc>
          <w:tcPr>
            <w:tcW w:w="908" w:type="dxa"/>
            <w:vMerge w:val="continue"/>
            <w:tcBorders>
              <w:tl2br w:val="nil"/>
              <w:tr2bl w:val="nil"/>
            </w:tcBorders>
            <w:vAlign w:val="center"/>
          </w:tcPr>
          <w:p w14:paraId="60085696">
            <w:pPr>
              <w:adjustRightInd w:val="0"/>
              <w:snapToGrid w:val="0"/>
              <w:spacing w:line="240" w:lineRule="auto"/>
              <w:jc w:val="center"/>
              <w:rPr>
                <w:sz w:val="21"/>
                <w:szCs w:val="21"/>
              </w:rPr>
            </w:pPr>
          </w:p>
        </w:tc>
        <w:tc>
          <w:tcPr>
            <w:tcW w:w="852" w:type="dxa"/>
            <w:vMerge w:val="continue"/>
            <w:tcBorders>
              <w:tl2br w:val="nil"/>
              <w:tr2bl w:val="nil"/>
            </w:tcBorders>
            <w:vAlign w:val="center"/>
          </w:tcPr>
          <w:p w14:paraId="7B3CA0FC">
            <w:pPr>
              <w:adjustRightInd w:val="0"/>
              <w:snapToGrid w:val="0"/>
              <w:spacing w:line="240" w:lineRule="auto"/>
              <w:jc w:val="center"/>
              <w:rPr>
                <w:sz w:val="21"/>
                <w:szCs w:val="21"/>
              </w:rPr>
            </w:pPr>
          </w:p>
        </w:tc>
      </w:tr>
      <w:tr w14:paraId="1DDF56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restart"/>
            <w:tcBorders>
              <w:tl2br w:val="nil"/>
              <w:tr2bl w:val="nil"/>
            </w:tcBorders>
            <w:vAlign w:val="center"/>
          </w:tcPr>
          <w:p w14:paraId="7571E168">
            <w:pPr>
              <w:adjustRightInd w:val="0"/>
              <w:snapToGrid w:val="0"/>
              <w:spacing w:line="240" w:lineRule="auto"/>
              <w:jc w:val="center"/>
              <w:rPr>
                <w:sz w:val="21"/>
                <w:szCs w:val="21"/>
              </w:rPr>
            </w:pPr>
            <w:r>
              <w:rPr>
                <w:rFonts w:hint="eastAsia"/>
                <w:sz w:val="21"/>
                <w:szCs w:val="21"/>
              </w:rPr>
              <w:t>生产</w:t>
            </w:r>
          </w:p>
          <w:p w14:paraId="2D399932">
            <w:pPr>
              <w:adjustRightInd w:val="0"/>
              <w:snapToGrid w:val="0"/>
              <w:spacing w:line="240" w:lineRule="auto"/>
              <w:jc w:val="center"/>
              <w:rPr>
                <w:sz w:val="21"/>
                <w:szCs w:val="21"/>
              </w:rPr>
            </w:pPr>
            <w:r>
              <w:rPr>
                <w:rFonts w:hint="eastAsia"/>
                <w:sz w:val="21"/>
                <w:szCs w:val="21"/>
              </w:rPr>
              <w:t>设备</w:t>
            </w:r>
          </w:p>
        </w:tc>
        <w:tc>
          <w:tcPr>
            <w:tcW w:w="709" w:type="dxa"/>
            <w:vMerge w:val="restart"/>
            <w:tcBorders>
              <w:tl2br w:val="nil"/>
              <w:tr2bl w:val="nil"/>
            </w:tcBorders>
            <w:vAlign w:val="center"/>
          </w:tcPr>
          <w:p w14:paraId="3407CA7B">
            <w:pPr>
              <w:adjustRightInd w:val="0"/>
              <w:snapToGrid w:val="0"/>
              <w:spacing w:line="240" w:lineRule="auto"/>
              <w:jc w:val="center"/>
              <w:rPr>
                <w:sz w:val="21"/>
                <w:szCs w:val="21"/>
              </w:rPr>
            </w:pPr>
            <w:r>
              <w:rPr>
                <w:sz w:val="21"/>
                <w:szCs w:val="21"/>
              </w:rPr>
              <w:t>印刷机</w:t>
            </w:r>
          </w:p>
        </w:tc>
        <w:tc>
          <w:tcPr>
            <w:tcW w:w="2269" w:type="dxa"/>
            <w:gridSpan w:val="2"/>
            <w:tcBorders>
              <w:tl2br w:val="nil"/>
              <w:tr2bl w:val="nil"/>
            </w:tcBorders>
            <w:vAlign w:val="center"/>
          </w:tcPr>
          <w:p w14:paraId="49CDCDB9">
            <w:pPr>
              <w:spacing w:line="240" w:lineRule="auto"/>
              <w:jc w:val="center"/>
              <w:textAlignment w:val="center"/>
              <w:rPr>
                <w:sz w:val="21"/>
                <w:szCs w:val="21"/>
              </w:rPr>
            </w:pPr>
            <w:r>
              <w:rPr>
                <w:rFonts w:hint="eastAsia"/>
                <w:sz w:val="21"/>
                <w:szCs w:val="21"/>
              </w:rPr>
              <w:t>/</w:t>
            </w:r>
          </w:p>
        </w:tc>
        <w:tc>
          <w:tcPr>
            <w:tcW w:w="992" w:type="dxa"/>
            <w:tcBorders>
              <w:tl2br w:val="nil"/>
              <w:tr2bl w:val="nil"/>
            </w:tcBorders>
            <w:vAlign w:val="center"/>
          </w:tcPr>
          <w:p w14:paraId="5A164AEC">
            <w:pPr>
              <w:adjustRightInd w:val="0"/>
              <w:snapToGrid w:val="0"/>
              <w:spacing w:line="240" w:lineRule="auto"/>
              <w:jc w:val="center"/>
              <w:rPr>
                <w:sz w:val="21"/>
                <w:szCs w:val="21"/>
              </w:rPr>
            </w:pPr>
            <w:r>
              <w:rPr>
                <w:rFonts w:hint="eastAsia"/>
                <w:sz w:val="21"/>
                <w:szCs w:val="21"/>
              </w:rPr>
              <w:t>0台</w:t>
            </w:r>
          </w:p>
        </w:tc>
        <w:tc>
          <w:tcPr>
            <w:tcW w:w="987" w:type="dxa"/>
            <w:tcBorders>
              <w:tl2br w:val="nil"/>
              <w:tr2bl w:val="nil"/>
            </w:tcBorders>
            <w:vAlign w:val="center"/>
          </w:tcPr>
          <w:p w14:paraId="51125884">
            <w:pPr>
              <w:adjustRightInd w:val="0"/>
              <w:snapToGrid w:val="0"/>
              <w:spacing w:line="240" w:lineRule="auto"/>
              <w:jc w:val="center"/>
              <w:rPr>
                <w:sz w:val="21"/>
                <w:szCs w:val="21"/>
              </w:rPr>
            </w:pPr>
            <w:r>
              <w:rPr>
                <w:rFonts w:hint="eastAsia"/>
                <w:sz w:val="21"/>
                <w:szCs w:val="21"/>
              </w:rPr>
              <w:t>1台</w:t>
            </w:r>
          </w:p>
        </w:tc>
        <w:tc>
          <w:tcPr>
            <w:tcW w:w="1082" w:type="dxa"/>
            <w:tcBorders>
              <w:tl2br w:val="nil"/>
              <w:tr2bl w:val="nil"/>
            </w:tcBorders>
            <w:vAlign w:val="center"/>
          </w:tcPr>
          <w:p w14:paraId="4BAFA2BE">
            <w:pPr>
              <w:adjustRightInd w:val="0"/>
              <w:snapToGrid w:val="0"/>
              <w:spacing w:line="240" w:lineRule="auto"/>
              <w:jc w:val="center"/>
              <w:rPr>
                <w:sz w:val="21"/>
                <w:szCs w:val="21"/>
              </w:rPr>
            </w:pPr>
            <w:r>
              <w:rPr>
                <w:rFonts w:hint="eastAsia"/>
                <w:sz w:val="21"/>
                <w:szCs w:val="21"/>
              </w:rPr>
              <w:t>不变</w:t>
            </w:r>
          </w:p>
        </w:tc>
        <w:tc>
          <w:tcPr>
            <w:tcW w:w="908" w:type="dxa"/>
            <w:tcBorders>
              <w:tl2br w:val="nil"/>
              <w:tr2bl w:val="nil"/>
            </w:tcBorders>
            <w:vAlign w:val="center"/>
          </w:tcPr>
          <w:p w14:paraId="4F460A34">
            <w:pPr>
              <w:adjustRightInd w:val="0"/>
              <w:snapToGrid w:val="0"/>
              <w:spacing w:line="240" w:lineRule="auto"/>
              <w:jc w:val="center"/>
              <w:rPr>
                <w:sz w:val="21"/>
                <w:szCs w:val="21"/>
              </w:rPr>
            </w:pPr>
            <w:r>
              <w:rPr>
                <w:rFonts w:hint="eastAsia"/>
                <w:sz w:val="21"/>
                <w:szCs w:val="21"/>
              </w:rPr>
              <w:t>1台</w:t>
            </w:r>
          </w:p>
        </w:tc>
        <w:tc>
          <w:tcPr>
            <w:tcW w:w="852" w:type="dxa"/>
            <w:tcBorders>
              <w:tl2br w:val="nil"/>
              <w:tr2bl w:val="nil"/>
            </w:tcBorders>
            <w:vAlign w:val="center"/>
          </w:tcPr>
          <w:p w14:paraId="220FC19C">
            <w:pPr>
              <w:adjustRightInd w:val="0"/>
              <w:snapToGrid w:val="0"/>
              <w:spacing w:line="240" w:lineRule="auto"/>
              <w:jc w:val="center"/>
              <w:rPr>
                <w:b/>
                <w:sz w:val="21"/>
                <w:szCs w:val="21"/>
              </w:rPr>
            </w:pPr>
            <w:r>
              <w:rPr>
                <w:rFonts w:hint="eastAsia"/>
                <w:b/>
                <w:sz w:val="21"/>
                <w:szCs w:val="21"/>
              </w:rPr>
              <w:t>/</w:t>
            </w:r>
          </w:p>
        </w:tc>
      </w:tr>
      <w:tr w14:paraId="20196B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46672E6">
            <w:pPr>
              <w:adjustRightInd w:val="0"/>
              <w:snapToGrid w:val="0"/>
              <w:spacing w:line="240" w:lineRule="auto"/>
              <w:jc w:val="center"/>
              <w:rPr>
                <w:sz w:val="21"/>
                <w:szCs w:val="21"/>
              </w:rPr>
            </w:pPr>
          </w:p>
        </w:tc>
        <w:tc>
          <w:tcPr>
            <w:tcW w:w="709" w:type="dxa"/>
            <w:vMerge w:val="continue"/>
            <w:tcBorders>
              <w:tl2br w:val="nil"/>
              <w:tr2bl w:val="nil"/>
            </w:tcBorders>
            <w:vAlign w:val="center"/>
          </w:tcPr>
          <w:p w14:paraId="31C154C8">
            <w:pPr>
              <w:adjustRightInd w:val="0"/>
              <w:snapToGrid w:val="0"/>
              <w:spacing w:line="240" w:lineRule="auto"/>
              <w:jc w:val="center"/>
              <w:rPr>
                <w:sz w:val="21"/>
                <w:szCs w:val="21"/>
              </w:rPr>
            </w:pPr>
          </w:p>
        </w:tc>
        <w:tc>
          <w:tcPr>
            <w:tcW w:w="2269" w:type="dxa"/>
            <w:gridSpan w:val="2"/>
            <w:tcBorders>
              <w:tl2br w:val="nil"/>
              <w:tr2bl w:val="nil"/>
            </w:tcBorders>
            <w:vAlign w:val="center"/>
          </w:tcPr>
          <w:p w14:paraId="4028498E">
            <w:pPr>
              <w:adjustRightInd w:val="0"/>
              <w:snapToGrid w:val="0"/>
              <w:spacing w:line="240" w:lineRule="auto"/>
              <w:jc w:val="center"/>
              <w:rPr>
                <w:sz w:val="21"/>
                <w:szCs w:val="21"/>
              </w:rPr>
            </w:pPr>
            <w:r>
              <w:rPr>
                <w:sz w:val="21"/>
                <w:szCs w:val="21"/>
              </w:rPr>
              <w:t>YA1001250FWZ</w:t>
            </w:r>
          </w:p>
        </w:tc>
        <w:tc>
          <w:tcPr>
            <w:tcW w:w="992" w:type="dxa"/>
            <w:tcBorders>
              <w:tl2br w:val="nil"/>
              <w:tr2bl w:val="nil"/>
            </w:tcBorders>
            <w:vAlign w:val="center"/>
          </w:tcPr>
          <w:p w14:paraId="1AC2CAE7">
            <w:pPr>
              <w:adjustRightInd w:val="0"/>
              <w:snapToGrid w:val="0"/>
              <w:spacing w:line="240" w:lineRule="auto"/>
              <w:jc w:val="center"/>
              <w:rPr>
                <w:sz w:val="21"/>
                <w:szCs w:val="21"/>
              </w:rPr>
            </w:pPr>
            <w:r>
              <w:rPr>
                <w:sz w:val="21"/>
                <w:szCs w:val="21"/>
              </w:rPr>
              <w:t>1</w:t>
            </w:r>
            <w:r>
              <w:rPr>
                <w:rFonts w:hint="eastAsia"/>
                <w:sz w:val="21"/>
                <w:szCs w:val="21"/>
              </w:rPr>
              <w:t>台</w:t>
            </w:r>
          </w:p>
        </w:tc>
        <w:tc>
          <w:tcPr>
            <w:tcW w:w="987" w:type="dxa"/>
            <w:tcBorders>
              <w:tl2br w:val="nil"/>
              <w:tr2bl w:val="nil"/>
            </w:tcBorders>
            <w:vAlign w:val="center"/>
          </w:tcPr>
          <w:p w14:paraId="686E1ACA">
            <w:pPr>
              <w:adjustRightInd w:val="0"/>
              <w:snapToGrid w:val="0"/>
              <w:spacing w:line="240" w:lineRule="auto"/>
              <w:jc w:val="center"/>
              <w:rPr>
                <w:sz w:val="21"/>
                <w:szCs w:val="21"/>
              </w:rPr>
            </w:pPr>
            <w:r>
              <w:rPr>
                <w:rFonts w:hint="eastAsia"/>
                <w:sz w:val="21"/>
                <w:szCs w:val="21"/>
              </w:rPr>
              <w:t>0</w:t>
            </w:r>
          </w:p>
        </w:tc>
        <w:tc>
          <w:tcPr>
            <w:tcW w:w="1082" w:type="dxa"/>
            <w:tcBorders>
              <w:tl2br w:val="nil"/>
              <w:tr2bl w:val="nil"/>
            </w:tcBorders>
            <w:vAlign w:val="center"/>
          </w:tcPr>
          <w:p w14:paraId="65C34BA7">
            <w:pPr>
              <w:adjustRightInd w:val="0"/>
              <w:snapToGrid w:val="0"/>
              <w:spacing w:line="240" w:lineRule="auto"/>
              <w:jc w:val="center"/>
              <w:rPr>
                <w:sz w:val="21"/>
                <w:szCs w:val="21"/>
              </w:rPr>
            </w:pPr>
            <w:r>
              <w:rPr>
                <w:rFonts w:hint="eastAsia"/>
                <w:sz w:val="21"/>
                <w:szCs w:val="21"/>
              </w:rPr>
              <w:t>-1台</w:t>
            </w:r>
          </w:p>
        </w:tc>
        <w:tc>
          <w:tcPr>
            <w:tcW w:w="908" w:type="dxa"/>
            <w:tcBorders>
              <w:tl2br w:val="nil"/>
              <w:tr2bl w:val="nil"/>
            </w:tcBorders>
            <w:vAlign w:val="center"/>
          </w:tcPr>
          <w:p w14:paraId="6FD73FCA">
            <w:pPr>
              <w:adjustRightInd w:val="0"/>
              <w:snapToGrid w:val="0"/>
              <w:spacing w:line="240" w:lineRule="auto"/>
              <w:jc w:val="center"/>
              <w:rPr>
                <w:sz w:val="21"/>
                <w:szCs w:val="21"/>
              </w:rPr>
            </w:pPr>
            <w:r>
              <w:rPr>
                <w:rFonts w:hint="eastAsia"/>
                <w:sz w:val="21"/>
                <w:szCs w:val="21"/>
              </w:rPr>
              <w:t>0</w:t>
            </w:r>
          </w:p>
        </w:tc>
        <w:tc>
          <w:tcPr>
            <w:tcW w:w="852" w:type="dxa"/>
            <w:tcBorders>
              <w:tl2br w:val="nil"/>
              <w:tr2bl w:val="nil"/>
            </w:tcBorders>
            <w:vAlign w:val="center"/>
          </w:tcPr>
          <w:p w14:paraId="2DBCD191">
            <w:pPr>
              <w:adjustRightInd w:val="0"/>
              <w:snapToGrid w:val="0"/>
              <w:spacing w:line="240" w:lineRule="auto"/>
              <w:jc w:val="center"/>
              <w:rPr>
                <w:b/>
                <w:sz w:val="21"/>
                <w:szCs w:val="21"/>
              </w:rPr>
            </w:pPr>
            <w:r>
              <w:rPr>
                <w:rFonts w:hint="eastAsia"/>
                <w:b/>
                <w:sz w:val="21"/>
                <w:szCs w:val="21"/>
              </w:rPr>
              <w:t>淘汰</w:t>
            </w:r>
          </w:p>
        </w:tc>
      </w:tr>
      <w:tr w14:paraId="65EAE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2C6FB4A8">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90C6FCA">
            <w:pPr>
              <w:adjustRightInd w:val="0"/>
              <w:snapToGrid w:val="0"/>
              <w:spacing w:line="240" w:lineRule="auto"/>
              <w:jc w:val="center"/>
              <w:rPr>
                <w:sz w:val="21"/>
                <w:szCs w:val="21"/>
              </w:rPr>
            </w:pPr>
          </w:p>
        </w:tc>
        <w:tc>
          <w:tcPr>
            <w:tcW w:w="2269" w:type="dxa"/>
            <w:gridSpan w:val="2"/>
            <w:tcBorders>
              <w:tl2br w:val="nil"/>
              <w:tr2bl w:val="nil"/>
            </w:tcBorders>
            <w:vAlign w:val="center"/>
          </w:tcPr>
          <w:p w14:paraId="59427159">
            <w:pPr>
              <w:adjustRightInd w:val="0"/>
              <w:snapToGrid w:val="0"/>
              <w:spacing w:line="240" w:lineRule="auto"/>
              <w:jc w:val="center"/>
              <w:rPr>
                <w:sz w:val="21"/>
                <w:szCs w:val="21"/>
              </w:rPr>
            </w:pPr>
            <w:r>
              <w:rPr>
                <w:sz w:val="21"/>
                <w:szCs w:val="21"/>
              </w:rPr>
              <w:t>SGF</w:t>
            </w:r>
            <w:r>
              <w:rPr>
                <w:rFonts w:hint="eastAsia"/>
                <w:sz w:val="21"/>
                <w:szCs w:val="21"/>
              </w:rPr>
              <w:t>850</w:t>
            </w:r>
            <w:r>
              <w:rPr>
                <w:sz w:val="21"/>
                <w:szCs w:val="21"/>
              </w:rPr>
              <w:t>WZA</w:t>
            </w:r>
          </w:p>
        </w:tc>
        <w:tc>
          <w:tcPr>
            <w:tcW w:w="992" w:type="dxa"/>
            <w:tcBorders>
              <w:tl2br w:val="nil"/>
              <w:tr2bl w:val="nil"/>
            </w:tcBorders>
            <w:vAlign w:val="center"/>
          </w:tcPr>
          <w:p w14:paraId="13CC9B72">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3BCE423">
            <w:pPr>
              <w:adjustRightInd w:val="0"/>
              <w:snapToGrid w:val="0"/>
              <w:spacing w:line="240" w:lineRule="auto"/>
              <w:jc w:val="center"/>
              <w:rPr>
                <w:sz w:val="21"/>
                <w:szCs w:val="21"/>
              </w:rPr>
            </w:pPr>
            <w:r>
              <w:rPr>
                <w:rFonts w:hint="eastAsia"/>
                <w:sz w:val="21"/>
                <w:szCs w:val="21"/>
              </w:rPr>
              <w:t>0</w:t>
            </w:r>
          </w:p>
        </w:tc>
        <w:tc>
          <w:tcPr>
            <w:tcW w:w="1082" w:type="dxa"/>
            <w:tcBorders>
              <w:tl2br w:val="nil"/>
              <w:tr2bl w:val="nil"/>
            </w:tcBorders>
            <w:vAlign w:val="center"/>
          </w:tcPr>
          <w:p w14:paraId="7136841B">
            <w:pPr>
              <w:adjustRightInd w:val="0"/>
              <w:snapToGrid w:val="0"/>
              <w:spacing w:line="240" w:lineRule="auto"/>
              <w:jc w:val="center"/>
              <w:rPr>
                <w:sz w:val="21"/>
                <w:szCs w:val="21"/>
              </w:rPr>
            </w:pPr>
            <w:r>
              <w:rPr>
                <w:rFonts w:hint="eastAsia"/>
                <w:sz w:val="21"/>
                <w:szCs w:val="21"/>
              </w:rPr>
              <w:t>+1台</w:t>
            </w:r>
          </w:p>
        </w:tc>
        <w:tc>
          <w:tcPr>
            <w:tcW w:w="908" w:type="dxa"/>
            <w:tcBorders>
              <w:tl2br w:val="nil"/>
              <w:tr2bl w:val="nil"/>
            </w:tcBorders>
            <w:vAlign w:val="center"/>
          </w:tcPr>
          <w:p w14:paraId="21569E9C">
            <w:pPr>
              <w:adjustRightInd w:val="0"/>
              <w:snapToGrid w:val="0"/>
              <w:spacing w:line="240" w:lineRule="auto"/>
              <w:jc w:val="center"/>
              <w:rPr>
                <w:sz w:val="21"/>
                <w:szCs w:val="21"/>
              </w:rPr>
            </w:pPr>
            <w:r>
              <w:rPr>
                <w:rFonts w:hint="eastAsia"/>
                <w:sz w:val="21"/>
                <w:szCs w:val="21"/>
              </w:rPr>
              <w:t>1台</w:t>
            </w:r>
          </w:p>
        </w:tc>
        <w:tc>
          <w:tcPr>
            <w:tcW w:w="852" w:type="dxa"/>
            <w:tcBorders>
              <w:tl2br w:val="nil"/>
              <w:tr2bl w:val="nil"/>
            </w:tcBorders>
            <w:vAlign w:val="center"/>
          </w:tcPr>
          <w:p w14:paraId="62B64787">
            <w:pPr>
              <w:adjustRightInd w:val="0"/>
              <w:snapToGrid w:val="0"/>
              <w:spacing w:line="240" w:lineRule="auto"/>
              <w:jc w:val="center"/>
              <w:rPr>
                <w:b/>
                <w:sz w:val="21"/>
                <w:szCs w:val="21"/>
              </w:rPr>
            </w:pPr>
            <w:r>
              <w:rPr>
                <w:rFonts w:hint="eastAsia"/>
                <w:b/>
                <w:sz w:val="21"/>
                <w:szCs w:val="21"/>
              </w:rPr>
              <w:t>新增</w:t>
            </w:r>
          </w:p>
        </w:tc>
      </w:tr>
      <w:tr w14:paraId="370DCB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429574B">
            <w:pPr>
              <w:adjustRightInd w:val="0"/>
              <w:snapToGrid w:val="0"/>
              <w:spacing w:line="240" w:lineRule="auto"/>
              <w:jc w:val="center"/>
              <w:rPr>
                <w:sz w:val="21"/>
                <w:szCs w:val="21"/>
              </w:rPr>
            </w:pPr>
          </w:p>
        </w:tc>
        <w:tc>
          <w:tcPr>
            <w:tcW w:w="709" w:type="dxa"/>
            <w:vMerge w:val="continue"/>
            <w:tcBorders>
              <w:tl2br w:val="nil"/>
              <w:tr2bl w:val="nil"/>
            </w:tcBorders>
            <w:vAlign w:val="center"/>
          </w:tcPr>
          <w:p w14:paraId="2E1687F9">
            <w:pPr>
              <w:adjustRightInd w:val="0"/>
              <w:snapToGrid w:val="0"/>
              <w:spacing w:line="240" w:lineRule="auto"/>
              <w:jc w:val="center"/>
              <w:rPr>
                <w:sz w:val="21"/>
                <w:szCs w:val="21"/>
              </w:rPr>
            </w:pPr>
          </w:p>
        </w:tc>
        <w:tc>
          <w:tcPr>
            <w:tcW w:w="2269" w:type="dxa"/>
            <w:gridSpan w:val="2"/>
            <w:tcBorders>
              <w:tl2br w:val="nil"/>
              <w:tr2bl w:val="nil"/>
            </w:tcBorders>
            <w:vAlign w:val="center"/>
          </w:tcPr>
          <w:p w14:paraId="6848AE05">
            <w:pPr>
              <w:adjustRightInd w:val="0"/>
              <w:snapToGrid w:val="0"/>
              <w:spacing w:line="240" w:lineRule="auto"/>
              <w:jc w:val="center"/>
              <w:rPr>
                <w:sz w:val="21"/>
                <w:szCs w:val="21"/>
              </w:rPr>
            </w:pPr>
            <w:r>
              <w:rPr>
                <w:sz w:val="21"/>
                <w:szCs w:val="21"/>
              </w:rPr>
              <w:t>SGF1250WZA</w:t>
            </w:r>
          </w:p>
        </w:tc>
        <w:tc>
          <w:tcPr>
            <w:tcW w:w="992" w:type="dxa"/>
            <w:tcBorders>
              <w:tl2br w:val="nil"/>
              <w:tr2bl w:val="nil"/>
            </w:tcBorders>
            <w:vAlign w:val="center"/>
          </w:tcPr>
          <w:p w14:paraId="151A95DC">
            <w:pPr>
              <w:adjustRightInd w:val="0"/>
              <w:snapToGrid w:val="0"/>
              <w:spacing w:line="240" w:lineRule="auto"/>
              <w:jc w:val="center"/>
              <w:rPr>
                <w:sz w:val="21"/>
                <w:szCs w:val="21"/>
              </w:rPr>
            </w:pPr>
            <w:r>
              <w:rPr>
                <w:sz w:val="21"/>
                <w:szCs w:val="21"/>
              </w:rPr>
              <w:t>1</w:t>
            </w:r>
            <w:r>
              <w:rPr>
                <w:rFonts w:hint="eastAsia"/>
                <w:sz w:val="21"/>
                <w:szCs w:val="21"/>
              </w:rPr>
              <w:t>台</w:t>
            </w:r>
          </w:p>
        </w:tc>
        <w:tc>
          <w:tcPr>
            <w:tcW w:w="987" w:type="dxa"/>
            <w:tcBorders>
              <w:tl2br w:val="nil"/>
              <w:tr2bl w:val="nil"/>
            </w:tcBorders>
            <w:vAlign w:val="center"/>
          </w:tcPr>
          <w:p w14:paraId="1E56BBB6">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1082" w:type="dxa"/>
            <w:tcBorders>
              <w:tl2br w:val="nil"/>
              <w:tr2bl w:val="nil"/>
            </w:tcBorders>
            <w:vAlign w:val="center"/>
          </w:tcPr>
          <w:p w14:paraId="6E9B24F8">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10B86863">
            <w:pPr>
              <w:adjustRightInd w:val="0"/>
              <w:snapToGrid w:val="0"/>
              <w:spacing w:line="240" w:lineRule="auto"/>
              <w:jc w:val="center"/>
              <w:rPr>
                <w:sz w:val="21"/>
                <w:szCs w:val="21"/>
              </w:rPr>
            </w:pPr>
            <w:r>
              <w:rPr>
                <w:sz w:val="21"/>
                <w:szCs w:val="21"/>
              </w:rPr>
              <w:t>2</w:t>
            </w:r>
            <w:r>
              <w:rPr>
                <w:rFonts w:hint="eastAsia"/>
                <w:sz w:val="21"/>
                <w:szCs w:val="21"/>
              </w:rPr>
              <w:t>台</w:t>
            </w:r>
          </w:p>
        </w:tc>
        <w:tc>
          <w:tcPr>
            <w:tcW w:w="852" w:type="dxa"/>
            <w:tcBorders>
              <w:tl2br w:val="nil"/>
              <w:tr2bl w:val="nil"/>
            </w:tcBorders>
            <w:vAlign w:val="center"/>
          </w:tcPr>
          <w:p w14:paraId="2AED6856">
            <w:pPr>
              <w:adjustRightInd w:val="0"/>
              <w:snapToGrid w:val="0"/>
              <w:spacing w:line="240" w:lineRule="auto"/>
              <w:jc w:val="center"/>
              <w:rPr>
                <w:sz w:val="21"/>
                <w:szCs w:val="21"/>
              </w:rPr>
            </w:pPr>
            <w:r>
              <w:rPr>
                <w:rFonts w:hint="eastAsia"/>
                <w:sz w:val="21"/>
                <w:szCs w:val="21"/>
              </w:rPr>
              <w:t>/</w:t>
            </w:r>
          </w:p>
        </w:tc>
      </w:tr>
      <w:tr w14:paraId="656F8E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54533574">
            <w:pPr>
              <w:adjustRightInd w:val="0"/>
              <w:snapToGrid w:val="0"/>
              <w:spacing w:line="240" w:lineRule="auto"/>
              <w:jc w:val="center"/>
              <w:rPr>
                <w:sz w:val="21"/>
                <w:szCs w:val="21"/>
              </w:rPr>
            </w:pPr>
          </w:p>
        </w:tc>
        <w:tc>
          <w:tcPr>
            <w:tcW w:w="709" w:type="dxa"/>
            <w:vMerge w:val="continue"/>
            <w:tcBorders>
              <w:tl2br w:val="nil"/>
              <w:tr2bl w:val="nil"/>
            </w:tcBorders>
            <w:vAlign w:val="center"/>
          </w:tcPr>
          <w:p w14:paraId="7DA9B88D">
            <w:pPr>
              <w:adjustRightInd w:val="0"/>
              <w:snapToGrid w:val="0"/>
              <w:spacing w:line="240" w:lineRule="auto"/>
              <w:jc w:val="center"/>
              <w:rPr>
                <w:sz w:val="21"/>
                <w:szCs w:val="21"/>
              </w:rPr>
            </w:pPr>
          </w:p>
        </w:tc>
        <w:tc>
          <w:tcPr>
            <w:tcW w:w="2269" w:type="dxa"/>
            <w:gridSpan w:val="2"/>
            <w:tcBorders>
              <w:tl2br w:val="nil"/>
              <w:tr2bl w:val="nil"/>
            </w:tcBorders>
            <w:vAlign w:val="center"/>
          </w:tcPr>
          <w:p w14:paraId="0C7A3CB4">
            <w:pPr>
              <w:adjustRightInd w:val="0"/>
              <w:snapToGrid w:val="0"/>
              <w:spacing w:line="240" w:lineRule="auto"/>
              <w:jc w:val="center"/>
              <w:rPr>
                <w:sz w:val="21"/>
                <w:szCs w:val="21"/>
              </w:rPr>
            </w:pPr>
            <w:r>
              <w:rPr>
                <w:sz w:val="21"/>
                <w:szCs w:val="21"/>
              </w:rPr>
              <w:t>ARB180</w:t>
            </w:r>
          </w:p>
        </w:tc>
        <w:tc>
          <w:tcPr>
            <w:tcW w:w="992" w:type="dxa"/>
            <w:tcBorders>
              <w:tl2br w:val="nil"/>
              <w:tr2bl w:val="nil"/>
            </w:tcBorders>
            <w:vAlign w:val="center"/>
          </w:tcPr>
          <w:p w14:paraId="0E849C75">
            <w:pPr>
              <w:adjustRightInd w:val="0"/>
              <w:snapToGrid w:val="0"/>
              <w:spacing w:line="240" w:lineRule="auto"/>
              <w:jc w:val="center"/>
              <w:rPr>
                <w:sz w:val="21"/>
                <w:szCs w:val="21"/>
              </w:rPr>
            </w:pPr>
            <w:r>
              <w:rPr>
                <w:sz w:val="21"/>
                <w:szCs w:val="21"/>
              </w:rPr>
              <w:t>1</w:t>
            </w:r>
            <w:r>
              <w:rPr>
                <w:rFonts w:hint="eastAsia"/>
                <w:sz w:val="21"/>
                <w:szCs w:val="21"/>
              </w:rPr>
              <w:t>台</w:t>
            </w:r>
          </w:p>
        </w:tc>
        <w:tc>
          <w:tcPr>
            <w:tcW w:w="987" w:type="dxa"/>
            <w:tcBorders>
              <w:tl2br w:val="nil"/>
              <w:tr2bl w:val="nil"/>
            </w:tcBorders>
            <w:vAlign w:val="center"/>
          </w:tcPr>
          <w:p w14:paraId="456B6572">
            <w:pPr>
              <w:adjustRightInd w:val="0"/>
              <w:snapToGrid w:val="0"/>
              <w:spacing w:line="240" w:lineRule="auto"/>
              <w:jc w:val="center"/>
              <w:rPr>
                <w:sz w:val="21"/>
                <w:szCs w:val="21"/>
              </w:rPr>
            </w:pPr>
            <w:r>
              <w:rPr>
                <w:sz w:val="21"/>
                <w:szCs w:val="21"/>
              </w:rPr>
              <w:t>0</w:t>
            </w:r>
          </w:p>
        </w:tc>
        <w:tc>
          <w:tcPr>
            <w:tcW w:w="1082" w:type="dxa"/>
            <w:tcBorders>
              <w:tl2br w:val="nil"/>
              <w:tr2bl w:val="nil"/>
            </w:tcBorders>
            <w:vAlign w:val="center"/>
          </w:tcPr>
          <w:p w14:paraId="2BC3AC7D">
            <w:pPr>
              <w:adjustRightInd w:val="0"/>
              <w:snapToGrid w:val="0"/>
              <w:spacing w:line="240" w:lineRule="auto"/>
              <w:jc w:val="center"/>
              <w:rPr>
                <w:sz w:val="21"/>
                <w:szCs w:val="21"/>
              </w:rPr>
            </w:pPr>
            <w:r>
              <w:rPr>
                <w:rFonts w:hint="eastAsia"/>
                <w:sz w:val="21"/>
                <w:szCs w:val="21"/>
              </w:rPr>
              <w:t>-1台</w:t>
            </w:r>
          </w:p>
        </w:tc>
        <w:tc>
          <w:tcPr>
            <w:tcW w:w="908" w:type="dxa"/>
            <w:tcBorders>
              <w:tl2br w:val="nil"/>
              <w:tr2bl w:val="nil"/>
            </w:tcBorders>
            <w:vAlign w:val="center"/>
          </w:tcPr>
          <w:p w14:paraId="57C30B02">
            <w:pPr>
              <w:adjustRightInd w:val="0"/>
              <w:snapToGrid w:val="0"/>
              <w:spacing w:line="240" w:lineRule="auto"/>
              <w:jc w:val="center"/>
              <w:rPr>
                <w:sz w:val="21"/>
                <w:szCs w:val="21"/>
              </w:rPr>
            </w:pPr>
            <w:r>
              <w:rPr>
                <w:rFonts w:hint="eastAsia"/>
                <w:sz w:val="21"/>
                <w:szCs w:val="21"/>
              </w:rPr>
              <w:t>0</w:t>
            </w:r>
          </w:p>
        </w:tc>
        <w:tc>
          <w:tcPr>
            <w:tcW w:w="852" w:type="dxa"/>
            <w:tcBorders>
              <w:tl2br w:val="nil"/>
              <w:tr2bl w:val="nil"/>
            </w:tcBorders>
            <w:vAlign w:val="center"/>
          </w:tcPr>
          <w:p w14:paraId="7807662E">
            <w:pPr>
              <w:adjustRightInd w:val="0"/>
              <w:snapToGrid w:val="0"/>
              <w:spacing w:line="240" w:lineRule="auto"/>
              <w:jc w:val="center"/>
              <w:rPr>
                <w:sz w:val="21"/>
                <w:szCs w:val="21"/>
              </w:rPr>
            </w:pPr>
            <w:r>
              <w:rPr>
                <w:rFonts w:hint="eastAsia"/>
                <w:b/>
                <w:sz w:val="21"/>
                <w:szCs w:val="21"/>
              </w:rPr>
              <w:t>淘汰</w:t>
            </w:r>
          </w:p>
        </w:tc>
      </w:tr>
      <w:tr w14:paraId="411756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3E331864">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D5361FA">
            <w:pPr>
              <w:adjustRightInd w:val="0"/>
              <w:snapToGrid w:val="0"/>
              <w:spacing w:line="240" w:lineRule="auto"/>
              <w:jc w:val="center"/>
              <w:rPr>
                <w:sz w:val="21"/>
                <w:szCs w:val="21"/>
              </w:rPr>
            </w:pPr>
          </w:p>
        </w:tc>
        <w:tc>
          <w:tcPr>
            <w:tcW w:w="2269" w:type="dxa"/>
            <w:gridSpan w:val="2"/>
            <w:tcBorders>
              <w:tl2br w:val="nil"/>
              <w:tr2bl w:val="nil"/>
            </w:tcBorders>
            <w:vAlign w:val="center"/>
          </w:tcPr>
          <w:p w14:paraId="448F89A8">
            <w:pPr>
              <w:adjustRightInd w:val="0"/>
              <w:snapToGrid w:val="0"/>
              <w:spacing w:line="240" w:lineRule="auto"/>
              <w:jc w:val="center"/>
              <w:rPr>
                <w:sz w:val="21"/>
                <w:szCs w:val="21"/>
              </w:rPr>
            </w:pPr>
            <w:r>
              <w:rPr>
                <w:sz w:val="21"/>
                <w:szCs w:val="21"/>
              </w:rPr>
              <w:t>FR300ELS（YA系列）</w:t>
            </w:r>
          </w:p>
        </w:tc>
        <w:tc>
          <w:tcPr>
            <w:tcW w:w="992" w:type="dxa"/>
            <w:tcBorders>
              <w:tl2br w:val="nil"/>
              <w:tr2bl w:val="nil"/>
            </w:tcBorders>
            <w:vAlign w:val="center"/>
          </w:tcPr>
          <w:p w14:paraId="6C953125">
            <w:pPr>
              <w:adjustRightInd w:val="0"/>
              <w:snapToGrid w:val="0"/>
              <w:spacing w:line="240" w:lineRule="auto"/>
              <w:jc w:val="center"/>
              <w:rPr>
                <w:sz w:val="21"/>
                <w:szCs w:val="21"/>
              </w:rPr>
            </w:pPr>
            <w:r>
              <w:rPr>
                <w:rFonts w:hint="eastAsia"/>
                <w:sz w:val="21"/>
                <w:szCs w:val="21"/>
              </w:rPr>
              <w:t>1台</w:t>
            </w:r>
          </w:p>
        </w:tc>
        <w:tc>
          <w:tcPr>
            <w:tcW w:w="987" w:type="dxa"/>
            <w:tcBorders>
              <w:tl2br w:val="nil"/>
              <w:tr2bl w:val="nil"/>
            </w:tcBorders>
            <w:vAlign w:val="center"/>
          </w:tcPr>
          <w:p w14:paraId="373DA7A6">
            <w:pPr>
              <w:adjustRightInd w:val="0"/>
              <w:snapToGrid w:val="0"/>
              <w:spacing w:line="240" w:lineRule="auto"/>
              <w:jc w:val="center"/>
              <w:rPr>
                <w:sz w:val="21"/>
                <w:szCs w:val="21"/>
              </w:rPr>
            </w:pPr>
            <w:r>
              <w:rPr>
                <w:sz w:val="21"/>
                <w:szCs w:val="21"/>
              </w:rPr>
              <w:t>0</w:t>
            </w:r>
          </w:p>
        </w:tc>
        <w:tc>
          <w:tcPr>
            <w:tcW w:w="1082" w:type="dxa"/>
            <w:tcBorders>
              <w:tl2br w:val="nil"/>
              <w:tr2bl w:val="nil"/>
            </w:tcBorders>
            <w:vAlign w:val="center"/>
          </w:tcPr>
          <w:p w14:paraId="1B06EC76">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3EB77A9">
            <w:pPr>
              <w:adjustRightInd w:val="0"/>
              <w:snapToGrid w:val="0"/>
              <w:spacing w:line="240" w:lineRule="auto"/>
              <w:jc w:val="center"/>
              <w:rPr>
                <w:sz w:val="21"/>
                <w:szCs w:val="21"/>
              </w:rPr>
            </w:pPr>
            <w:r>
              <w:rPr>
                <w:sz w:val="21"/>
                <w:szCs w:val="21"/>
              </w:rPr>
              <w:t>1</w:t>
            </w:r>
            <w:r>
              <w:rPr>
                <w:rFonts w:hint="eastAsia"/>
                <w:sz w:val="21"/>
                <w:szCs w:val="21"/>
              </w:rPr>
              <w:t>台</w:t>
            </w:r>
          </w:p>
        </w:tc>
        <w:tc>
          <w:tcPr>
            <w:tcW w:w="852" w:type="dxa"/>
            <w:tcBorders>
              <w:tl2br w:val="nil"/>
              <w:tr2bl w:val="nil"/>
            </w:tcBorders>
            <w:vAlign w:val="center"/>
          </w:tcPr>
          <w:p w14:paraId="3009DED8">
            <w:pPr>
              <w:adjustRightInd w:val="0"/>
              <w:snapToGrid w:val="0"/>
              <w:spacing w:line="240" w:lineRule="auto"/>
              <w:jc w:val="center"/>
              <w:rPr>
                <w:sz w:val="21"/>
                <w:szCs w:val="21"/>
              </w:rPr>
            </w:pPr>
            <w:r>
              <w:rPr>
                <w:rFonts w:hint="eastAsia"/>
                <w:b/>
                <w:sz w:val="21"/>
                <w:szCs w:val="21"/>
              </w:rPr>
              <w:t>/</w:t>
            </w:r>
          </w:p>
        </w:tc>
      </w:tr>
      <w:tr w14:paraId="689CD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674" w:type="dxa"/>
            <w:vMerge w:val="continue"/>
            <w:tcBorders>
              <w:tl2br w:val="nil"/>
              <w:tr2bl w:val="nil"/>
            </w:tcBorders>
            <w:vAlign w:val="center"/>
          </w:tcPr>
          <w:p w14:paraId="29EEEA0A">
            <w:pPr>
              <w:adjustRightInd w:val="0"/>
              <w:snapToGrid w:val="0"/>
              <w:spacing w:line="240" w:lineRule="auto"/>
              <w:jc w:val="center"/>
              <w:rPr>
                <w:sz w:val="21"/>
                <w:szCs w:val="21"/>
              </w:rPr>
            </w:pPr>
          </w:p>
        </w:tc>
        <w:tc>
          <w:tcPr>
            <w:tcW w:w="709" w:type="dxa"/>
            <w:vMerge w:val="continue"/>
            <w:tcBorders>
              <w:tl2br w:val="nil"/>
              <w:tr2bl w:val="nil"/>
            </w:tcBorders>
            <w:vAlign w:val="center"/>
          </w:tcPr>
          <w:p w14:paraId="7AD5D70C">
            <w:pPr>
              <w:adjustRightInd w:val="0"/>
              <w:snapToGrid w:val="0"/>
              <w:spacing w:line="240" w:lineRule="auto"/>
              <w:jc w:val="center"/>
              <w:rPr>
                <w:sz w:val="21"/>
                <w:szCs w:val="21"/>
              </w:rPr>
            </w:pPr>
          </w:p>
        </w:tc>
        <w:tc>
          <w:tcPr>
            <w:tcW w:w="2269" w:type="dxa"/>
            <w:gridSpan w:val="2"/>
            <w:tcBorders>
              <w:tl2br w:val="nil"/>
              <w:tr2bl w:val="nil"/>
            </w:tcBorders>
            <w:vAlign w:val="center"/>
          </w:tcPr>
          <w:p w14:paraId="5AB7E6D9">
            <w:pPr>
              <w:adjustRightInd w:val="0"/>
              <w:snapToGrid w:val="0"/>
              <w:spacing w:line="240" w:lineRule="auto"/>
              <w:jc w:val="center"/>
              <w:rPr>
                <w:sz w:val="21"/>
                <w:szCs w:val="21"/>
              </w:rPr>
            </w:pPr>
            <w:r>
              <w:rPr>
                <w:sz w:val="21"/>
                <w:szCs w:val="21"/>
              </w:rPr>
              <w:t>RS3.O</w:t>
            </w:r>
          </w:p>
        </w:tc>
        <w:tc>
          <w:tcPr>
            <w:tcW w:w="992" w:type="dxa"/>
            <w:tcBorders>
              <w:tl2br w:val="nil"/>
              <w:tr2bl w:val="nil"/>
            </w:tcBorders>
            <w:vAlign w:val="center"/>
          </w:tcPr>
          <w:p w14:paraId="7B0616F9">
            <w:pPr>
              <w:adjustRightInd w:val="0"/>
              <w:snapToGrid w:val="0"/>
              <w:spacing w:line="240" w:lineRule="auto"/>
              <w:jc w:val="center"/>
              <w:rPr>
                <w:sz w:val="21"/>
                <w:szCs w:val="21"/>
              </w:rPr>
            </w:pPr>
            <w:r>
              <w:rPr>
                <w:sz w:val="21"/>
                <w:szCs w:val="21"/>
              </w:rPr>
              <w:t>0</w:t>
            </w:r>
          </w:p>
        </w:tc>
        <w:tc>
          <w:tcPr>
            <w:tcW w:w="987" w:type="dxa"/>
            <w:tcBorders>
              <w:tl2br w:val="nil"/>
              <w:tr2bl w:val="nil"/>
            </w:tcBorders>
            <w:vAlign w:val="center"/>
          </w:tcPr>
          <w:p w14:paraId="486FB0D2">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1082" w:type="dxa"/>
            <w:tcBorders>
              <w:tl2br w:val="nil"/>
              <w:tr2bl w:val="nil"/>
            </w:tcBorders>
            <w:vAlign w:val="center"/>
          </w:tcPr>
          <w:p w14:paraId="5B416350">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562B6DF4">
            <w:pPr>
              <w:adjustRightInd w:val="0"/>
              <w:snapToGrid w:val="0"/>
              <w:spacing w:line="240" w:lineRule="auto"/>
              <w:jc w:val="center"/>
              <w:rPr>
                <w:sz w:val="21"/>
                <w:szCs w:val="21"/>
              </w:rPr>
            </w:pPr>
            <w:r>
              <w:rPr>
                <w:sz w:val="21"/>
                <w:szCs w:val="21"/>
              </w:rPr>
              <w:t>1</w:t>
            </w:r>
            <w:r>
              <w:rPr>
                <w:rFonts w:hint="eastAsia"/>
                <w:sz w:val="21"/>
                <w:szCs w:val="21"/>
              </w:rPr>
              <w:t>台</w:t>
            </w:r>
          </w:p>
        </w:tc>
        <w:tc>
          <w:tcPr>
            <w:tcW w:w="852" w:type="dxa"/>
            <w:tcBorders>
              <w:tl2br w:val="nil"/>
              <w:tr2bl w:val="nil"/>
            </w:tcBorders>
            <w:vAlign w:val="center"/>
          </w:tcPr>
          <w:p w14:paraId="5213C7B5">
            <w:pPr>
              <w:adjustRightInd w:val="0"/>
              <w:snapToGrid w:val="0"/>
              <w:spacing w:line="240" w:lineRule="auto"/>
              <w:jc w:val="center"/>
              <w:rPr>
                <w:sz w:val="21"/>
                <w:szCs w:val="21"/>
              </w:rPr>
            </w:pPr>
            <w:r>
              <w:rPr>
                <w:rFonts w:hint="eastAsia"/>
                <w:b/>
                <w:sz w:val="21"/>
                <w:szCs w:val="21"/>
              </w:rPr>
              <w:t>/</w:t>
            </w:r>
          </w:p>
        </w:tc>
      </w:tr>
      <w:tr w14:paraId="0C44D1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51CED391">
            <w:pPr>
              <w:adjustRightInd w:val="0"/>
              <w:snapToGrid w:val="0"/>
              <w:spacing w:line="240" w:lineRule="auto"/>
              <w:jc w:val="center"/>
              <w:rPr>
                <w:sz w:val="21"/>
                <w:szCs w:val="21"/>
              </w:rPr>
            </w:pPr>
          </w:p>
        </w:tc>
        <w:tc>
          <w:tcPr>
            <w:tcW w:w="709" w:type="dxa"/>
            <w:vMerge w:val="continue"/>
            <w:tcBorders>
              <w:tl2br w:val="nil"/>
              <w:tr2bl w:val="nil"/>
            </w:tcBorders>
            <w:vAlign w:val="center"/>
          </w:tcPr>
          <w:p w14:paraId="64DDFA57">
            <w:pPr>
              <w:adjustRightInd w:val="0"/>
              <w:snapToGrid w:val="0"/>
              <w:spacing w:line="240" w:lineRule="auto"/>
              <w:jc w:val="center"/>
              <w:rPr>
                <w:sz w:val="21"/>
                <w:szCs w:val="21"/>
              </w:rPr>
            </w:pPr>
          </w:p>
        </w:tc>
        <w:tc>
          <w:tcPr>
            <w:tcW w:w="2269" w:type="dxa"/>
            <w:gridSpan w:val="2"/>
            <w:tcBorders>
              <w:tl2br w:val="nil"/>
              <w:tr2bl w:val="nil"/>
            </w:tcBorders>
            <w:vAlign w:val="center"/>
          </w:tcPr>
          <w:p w14:paraId="2470FD35">
            <w:pPr>
              <w:adjustRightInd w:val="0"/>
              <w:snapToGrid w:val="0"/>
              <w:spacing w:line="240" w:lineRule="auto"/>
              <w:jc w:val="center"/>
              <w:rPr>
                <w:sz w:val="21"/>
                <w:szCs w:val="21"/>
              </w:rPr>
            </w:pPr>
            <w:r>
              <w:rPr>
                <w:sz w:val="21"/>
                <w:szCs w:val="21"/>
              </w:rPr>
              <w:t>RS3.O</w:t>
            </w:r>
          </w:p>
        </w:tc>
        <w:tc>
          <w:tcPr>
            <w:tcW w:w="992" w:type="dxa"/>
            <w:tcBorders>
              <w:tl2br w:val="nil"/>
              <w:tr2bl w:val="nil"/>
            </w:tcBorders>
            <w:vAlign w:val="center"/>
          </w:tcPr>
          <w:p w14:paraId="51534CE4">
            <w:pPr>
              <w:adjustRightInd w:val="0"/>
              <w:snapToGrid w:val="0"/>
              <w:spacing w:line="240" w:lineRule="auto"/>
              <w:jc w:val="center"/>
              <w:rPr>
                <w:sz w:val="21"/>
                <w:szCs w:val="21"/>
              </w:rPr>
            </w:pPr>
            <w:r>
              <w:rPr>
                <w:sz w:val="21"/>
                <w:szCs w:val="21"/>
              </w:rPr>
              <w:t>0</w:t>
            </w:r>
          </w:p>
        </w:tc>
        <w:tc>
          <w:tcPr>
            <w:tcW w:w="987" w:type="dxa"/>
            <w:tcBorders>
              <w:tl2br w:val="nil"/>
              <w:tr2bl w:val="nil"/>
            </w:tcBorders>
            <w:vAlign w:val="center"/>
          </w:tcPr>
          <w:p w14:paraId="618806D3">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1082" w:type="dxa"/>
            <w:tcBorders>
              <w:tl2br w:val="nil"/>
              <w:tr2bl w:val="nil"/>
            </w:tcBorders>
            <w:vAlign w:val="center"/>
          </w:tcPr>
          <w:p w14:paraId="3D578E0A">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D72C6E7">
            <w:pPr>
              <w:adjustRightInd w:val="0"/>
              <w:snapToGrid w:val="0"/>
              <w:spacing w:line="240" w:lineRule="auto"/>
              <w:jc w:val="center"/>
              <w:rPr>
                <w:sz w:val="21"/>
                <w:szCs w:val="21"/>
              </w:rPr>
            </w:pPr>
            <w:r>
              <w:rPr>
                <w:sz w:val="21"/>
                <w:szCs w:val="21"/>
              </w:rPr>
              <w:t>1</w:t>
            </w:r>
            <w:r>
              <w:rPr>
                <w:rFonts w:hint="eastAsia"/>
                <w:sz w:val="21"/>
                <w:szCs w:val="21"/>
              </w:rPr>
              <w:t>台</w:t>
            </w:r>
          </w:p>
        </w:tc>
        <w:tc>
          <w:tcPr>
            <w:tcW w:w="852" w:type="dxa"/>
            <w:tcBorders>
              <w:tl2br w:val="nil"/>
              <w:tr2bl w:val="nil"/>
            </w:tcBorders>
            <w:vAlign w:val="center"/>
          </w:tcPr>
          <w:p w14:paraId="5339DE30">
            <w:pPr>
              <w:adjustRightInd w:val="0"/>
              <w:snapToGrid w:val="0"/>
              <w:spacing w:line="240" w:lineRule="auto"/>
              <w:jc w:val="center"/>
              <w:rPr>
                <w:sz w:val="21"/>
                <w:szCs w:val="21"/>
              </w:rPr>
            </w:pPr>
            <w:r>
              <w:rPr>
                <w:rFonts w:hint="eastAsia"/>
                <w:b/>
                <w:sz w:val="21"/>
                <w:szCs w:val="21"/>
              </w:rPr>
              <w:t>/</w:t>
            </w:r>
          </w:p>
        </w:tc>
      </w:tr>
      <w:tr w14:paraId="19576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20D0911C">
            <w:pPr>
              <w:adjustRightInd w:val="0"/>
              <w:snapToGrid w:val="0"/>
              <w:spacing w:line="240" w:lineRule="auto"/>
              <w:jc w:val="center"/>
              <w:rPr>
                <w:sz w:val="21"/>
                <w:szCs w:val="21"/>
              </w:rPr>
            </w:pPr>
          </w:p>
        </w:tc>
        <w:tc>
          <w:tcPr>
            <w:tcW w:w="709" w:type="dxa"/>
            <w:vMerge w:val="continue"/>
            <w:tcBorders>
              <w:tl2br w:val="nil"/>
              <w:tr2bl w:val="nil"/>
            </w:tcBorders>
            <w:vAlign w:val="center"/>
          </w:tcPr>
          <w:p w14:paraId="607C1775">
            <w:pPr>
              <w:adjustRightInd w:val="0"/>
              <w:snapToGrid w:val="0"/>
              <w:spacing w:line="240" w:lineRule="auto"/>
              <w:jc w:val="center"/>
              <w:rPr>
                <w:sz w:val="21"/>
                <w:szCs w:val="21"/>
              </w:rPr>
            </w:pPr>
          </w:p>
        </w:tc>
        <w:tc>
          <w:tcPr>
            <w:tcW w:w="2269" w:type="dxa"/>
            <w:gridSpan w:val="2"/>
            <w:tcBorders>
              <w:tl2br w:val="nil"/>
              <w:tr2bl w:val="nil"/>
            </w:tcBorders>
            <w:vAlign w:val="center"/>
          </w:tcPr>
          <w:p w14:paraId="26FB0413">
            <w:pPr>
              <w:adjustRightInd w:val="0"/>
              <w:snapToGrid w:val="0"/>
              <w:spacing w:line="240" w:lineRule="auto"/>
              <w:jc w:val="center"/>
              <w:rPr>
                <w:sz w:val="21"/>
                <w:szCs w:val="21"/>
              </w:rPr>
            </w:pPr>
            <w:r>
              <w:rPr>
                <w:sz w:val="21"/>
                <w:szCs w:val="21"/>
              </w:rPr>
              <w:t>FRB180（1250）</w:t>
            </w:r>
          </w:p>
        </w:tc>
        <w:tc>
          <w:tcPr>
            <w:tcW w:w="992" w:type="dxa"/>
            <w:tcBorders>
              <w:tl2br w:val="nil"/>
              <w:tr2bl w:val="nil"/>
            </w:tcBorders>
            <w:vAlign w:val="center"/>
          </w:tcPr>
          <w:p w14:paraId="54E85165">
            <w:pPr>
              <w:adjustRightInd w:val="0"/>
              <w:snapToGrid w:val="0"/>
              <w:spacing w:line="240" w:lineRule="auto"/>
              <w:jc w:val="center"/>
              <w:rPr>
                <w:sz w:val="21"/>
                <w:szCs w:val="21"/>
              </w:rPr>
            </w:pPr>
            <w:r>
              <w:rPr>
                <w:sz w:val="21"/>
                <w:szCs w:val="21"/>
              </w:rPr>
              <w:t>1</w:t>
            </w:r>
            <w:r>
              <w:rPr>
                <w:rFonts w:hint="eastAsia"/>
                <w:sz w:val="21"/>
                <w:szCs w:val="21"/>
              </w:rPr>
              <w:t>台</w:t>
            </w:r>
          </w:p>
        </w:tc>
        <w:tc>
          <w:tcPr>
            <w:tcW w:w="987" w:type="dxa"/>
            <w:tcBorders>
              <w:tl2br w:val="nil"/>
              <w:tr2bl w:val="nil"/>
            </w:tcBorders>
            <w:vAlign w:val="center"/>
          </w:tcPr>
          <w:p w14:paraId="670FC777">
            <w:pPr>
              <w:adjustRightInd w:val="0"/>
              <w:snapToGrid w:val="0"/>
              <w:spacing w:line="240" w:lineRule="auto"/>
              <w:jc w:val="center"/>
              <w:rPr>
                <w:sz w:val="21"/>
                <w:szCs w:val="21"/>
              </w:rPr>
            </w:pPr>
            <w:r>
              <w:rPr>
                <w:rFonts w:hint="eastAsia"/>
                <w:sz w:val="21"/>
                <w:szCs w:val="21"/>
              </w:rPr>
              <w:t>-1</w:t>
            </w:r>
            <w:r>
              <w:rPr>
                <w:sz w:val="21"/>
                <w:szCs w:val="21"/>
              </w:rPr>
              <w:t>台</w:t>
            </w:r>
          </w:p>
        </w:tc>
        <w:tc>
          <w:tcPr>
            <w:tcW w:w="1082" w:type="dxa"/>
            <w:tcBorders>
              <w:tl2br w:val="nil"/>
              <w:tr2bl w:val="nil"/>
            </w:tcBorders>
            <w:vAlign w:val="center"/>
          </w:tcPr>
          <w:p w14:paraId="25AB163A">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B1934B3">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45A86196">
            <w:pPr>
              <w:adjustRightInd w:val="0"/>
              <w:snapToGrid w:val="0"/>
              <w:spacing w:line="240" w:lineRule="auto"/>
              <w:jc w:val="center"/>
              <w:rPr>
                <w:sz w:val="21"/>
                <w:szCs w:val="21"/>
              </w:rPr>
            </w:pPr>
            <w:r>
              <w:rPr>
                <w:rFonts w:hint="eastAsia"/>
                <w:b/>
                <w:sz w:val="21"/>
                <w:szCs w:val="21"/>
              </w:rPr>
              <w:t>/</w:t>
            </w:r>
          </w:p>
        </w:tc>
      </w:tr>
      <w:tr w14:paraId="231995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596303D">
            <w:pPr>
              <w:adjustRightInd w:val="0"/>
              <w:snapToGrid w:val="0"/>
              <w:spacing w:line="240" w:lineRule="auto"/>
              <w:jc w:val="center"/>
              <w:rPr>
                <w:sz w:val="21"/>
                <w:szCs w:val="21"/>
              </w:rPr>
            </w:pPr>
          </w:p>
        </w:tc>
        <w:tc>
          <w:tcPr>
            <w:tcW w:w="709" w:type="dxa"/>
            <w:vMerge w:val="continue"/>
            <w:tcBorders>
              <w:tl2br w:val="nil"/>
              <w:tr2bl w:val="nil"/>
            </w:tcBorders>
            <w:vAlign w:val="center"/>
          </w:tcPr>
          <w:p w14:paraId="032407D6">
            <w:pPr>
              <w:adjustRightInd w:val="0"/>
              <w:snapToGrid w:val="0"/>
              <w:spacing w:line="240" w:lineRule="auto"/>
              <w:jc w:val="center"/>
              <w:rPr>
                <w:sz w:val="21"/>
                <w:szCs w:val="21"/>
              </w:rPr>
            </w:pPr>
          </w:p>
        </w:tc>
        <w:tc>
          <w:tcPr>
            <w:tcW w:w="2269" w:type="dxa"/>
            <w:gridSpan w:val="2"/>
            <w:tcBorders>
              <w:tl2br w:val="nil"/>
              <w:tr2bl w:val="nil"/>
            </w:tcBorders>
            <w:vAlign w:val="center"/>
          </w:tcPr>
          <w:p w14:paraId="2D520522">
            <w:pPr>
              <w:adjustRightInd w:val="0"/>
              <w:snapToGrid w:val="0"/>
              <w:spacing w:line="240" w:lineRule="auto"/>
              <w:jc w:val="center"/>
              <w:rPr>
                <w:sz w:val="21"/>
                <w:szCs w:val="21"/>
              </w:rPr>
            </w:pPr>
            <w:r>
              <w:rPr>
                <w:sz w:val="21"/>
                <w:szCs w:val="21"/>
              </w:rPr>
              <w:t>SGF850P</w:t>
            </w:r>
          </w:p>
        </w:tc>
        <w:tc>
          <w:tcPr>
            <w:tcW w:w="992" w:type="dxa"/>
            <w:tcBorders>
              <w:tl2br w:val="nil"/>
              <w:tr2bl w:val="nil"/>
            </w:tcBorders>
            <w:vAlign w:val="center"/>
          </w:tcPr>
          <w:p w14:paraId="5334700A">
            <w:pPr>
              <w:adjustRightInd w:val="0"/>
              <w:snapToGrid w:val="0"/>
              <w:spacing w:line="240" w:lineRule="auto"/>
              <w:jc w:val="center"/>
              <w:rPr>
                <w:sz w:val="21"/>
                <w:szCs w:val="21"/>
              </w:rPr>
            </w:pPr>
            <w:r>
              <w:rPr>
                <w:sz w:val="21"/>
                <w:szCs w:val="21"/>
              </w:rPr>
              <w:t>1</w:t>
            </w:r>
            <w:r>
              <w:rPr>
                <w:rFonts w:hint="eastAsia"/>
                <w:sz w:val="21"/>
                <w:szCs w:val="21"/>
              </w:rPr>
              <w:t>台</w:t>
            </w:r>
          </w:p>
        </w:tc>
        <w:tc>
          <w:tcPr>
            <w:tcW w:w="987" w:type="dxa"/>
            <w:tcBorders>
              <w:tl2br w:val="nil"/>
              <w:tr2bl w:val="nil"/>
            </w:tcBorders>
            <w:vAlign w:val="center"/>
          </w:tcPr>
          <w:p w14:paraId="2F0D7470">
            <w:pPr>
              <w:adjustRightInd w:val="0"/>
              <w:snapToGrid w:val="0"/>
              <w:spacing w:line="240" w:lineRule="auto"/>
              <w:jc w:val="center"/>
              <w:rPr>
                <w:sz w:val="21"/>
                <w:szCs w:val="21"/>
              </w:rPr>
            </w:pPr>
            <w:r>
              <w:rPr>
                <w:rFonts w:hint="eastAsia"/>
                <w:sz w:val="21"/>
                <w:szCs w:val="21"/>
              </w:rPr>
              <w:t>-1</w:t>
            </w:r>
            <w:r>
              <w:rPr>
                <w:sz w:val="21"/>
                <w:szCs w:val="21"/>
              </w:rPr>
              <w:t>台</w:t>
            </w:r>
          </w:p>
        </w:tc>
        <w:tc>
          <w:tcPr>
            <w:tcW w:w="1082" w:type="dxa"/>
            <w:tcBorders>
              <w:tl2br w:val="nil"/>
              <w:tr2bl w:val="nil"/>
            </w:tcBorders>
            <w:vAlign w:val="center"/>
          </w:tcPr>
          <w:p w14:paraId="0900AC1C">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1639FF83">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0E5B7A2E">
            <w:pPr>
              <w:adjustRightInd w:val="0"/>
              <w:snapToGrid w:val="0"/>
              <w:spacing w:line="240" w:lineRule="auto"/>
              <w:jc w:val="center"/>
              <w:rPr>
                <w:sz w:val="21"/>
                <w:szCs w:val="21"/>
              </w:rPr>
            </w:pPr>
          </w:p>
        </w:tc>
      </w:tr>
      <w:tr w14:paraId="4B20F7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5CA1958F">
            <w:pPr>
              <w:adjustRightInd w:val="0"/>
              <w:snapToGrid w:val="0"/>
              <w:spacing w:line="240" w:lineRule="auto"/>
              <w:jc w:val="center"/>
              <w:rPr>
                <w:sz w:val="21"/>
                <w:szCs w:val="21"/>
              </w:rPr>
            </w:pPr>
          </w:p>
        </w:tc>
        <w:tc>
          <w:tcPr>
            <w:tcW w:w="709" w:type="dxa"/>
            <w:vMerge w:val="continue"/>
            <w:tcBorders>
              <w:tl2br w:val="nil"/>
              <w:tr2bl w:val="nil"/>
            </w:tcBorders>
            <w:vAlign w:val="center"/>
          </w:tcPr>
          <w:p w14:paraId="23EF9A6D">
            <w:pPr>
              <w:adjustRightInd w:val="0"/>
              <w:snapToGrid w:val="0"/>
              <w:spacing w:line="240" w:lineRule="auto"/>
              <w:jc w:val="center"/>
              <w:rPr>
                <w:sz w:val="21"/>
                <w:szCs w:val="21"/>
              </w:rPr>
            </w:pPr>
          </w:p>
        </w:tc>
        <w:tc>
          <w:tcPr>
            <w:tcW w:w="2269" w:type="dxa"/>
            <w:gridSpan w:val="2"/>
            <w:tcBorders>
              <w:tl2br w:val="nil"/>
              <w:tr2bl w:val="nil"/>
            </w:tcBorders>
            <w:vAlign w:val="center"/>
          </w:tcPr>
          <w:p w14:paraId="5B8DCE9E">
            <w:pPr>
              <w:adjustRightInd w:val="0"/>
              <w:snapToGrid w:val="0"/>
              <w:spacing w:line="240" w:lineRule="auto"/>
              <w:jc w:val="center"/>
              <w:rPr>
                <w:sz w:val="21"/>
                <w:szCs w:val="21"/>
              </w:rPr>
            </w:pPr>
            <w:r>
              <w:rPr>
                <w:sz w:val="21"/>
                <w:szCs w:val="21"/>
              </w:rPr>
              <w:t>SGF850P</w:t>
            </w:r>
          </w:p>
        </w:tc>
        <w:tc>
          <w:tcPr>
            <w:tcW w:w="992" w:type="dxa"/>
            <w:tcBorders>
              <w:tl2br w:val="nil"/>
              <w:tr2bl w:val="nil"/>
            </w:tcBorders>
            <w:vAlign w:val="center"/>
          </w:tcPr>
          <w:p w14:paraId="1AEF2229">
            <w:pPr>
              <w:adjustRightInd w:val="0"/>
              <w:snapToGrid w:val="0"/>
              <w:spacing w:line="240" w:lineRule="auto"/>
              <w:jc w:val="center"/>
              <w:rPr>
                <w:sz w:val="21"/>
                <w:szCs w:val="21"/>
              </w:rPr>
            </w:pPr>
            <w:r>
              <w:rPr>
                <w:sz w:val="21"/>
                <w:szCs w:val="21"/>
              </w:rPr>
              <w:t>1</w:t>
            </w:r>
            <w:r>
              <w:rPr>
                <w:rFonts w:hint="eastAsia"/>
                <w:sz w:val="21"/>
                <w:szCs w:val="21"/>
              </w:rPr>
              <w:t>台</w:t>
            </w:r>
          </w:p>
        </w:tc>
        <w:tc>
          <w:tcPr>
            <w:tcW w:w="987" w:type="dxa"/>
            <w:tcBorders>
              <w:tl2br w:val="nil"/>
              <w:tr2bl w:val="nil"/>
            </w:tcBorders>
            <w:vAlign w:val="center"/>
          </w:tcPr>
          <w:p w14:paraId="13386147">
            <w:pPr>
              <w:adjustRightInd w:val="0"/>
              <w:snapToGrid w:val="0"/>
              <w:spacing w:line="240" w:lineRule="auto"/>
              <w:jc w:val="center"/>
              <w:rPr>
                <w:sz w:val="21"/>
                <w:szCs w:val="21"/>
              </w:rPr>
            </w:pPr>
            <w:r>
              <w:rPr>
                <w:rFonts w:hint="eastAsia"/>
                <w:sz w:val="21"/>
                <w:szCs w:val="21"/>
              </w:rPr>
              <w:t>-1</w:t>
            </w:r>
            <w:r>
              <w:rPr>
                <w:sz w:val="21"/>
                <w:szCs w:val="21"/>
              </w:rPr>
              <w:t>台</w:t>
            </w:r>
          </w:p>
        </w:tc>
        <w:tc>
          <w:tcPr>
            <w:tcW w:w="1082" w:type="dxa"/>
            <w:tcBorders>
              <w:tl2br w:val="nil"/>
              <w:tr2bl w:val="nil"/>
            </w:tcBorders>
            <w:vAlign w:val="center"/>
          </w:tcPr>
          <w:p w14:paraId="0349BBED">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7D043995">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15CFFDDA">
            <w:pPr>
              <w:adjustRightInd w:val="0"/>
              <w:snapToGrid w:val="0"/>
              <w:spacing w:line="240" w:lineRule="auto"/>
              <w:jc w:val="center"/>
              <w:rPr>
                <w:sz w:val="21"/>
                <w:szCs w:val="21"/>
              </w:rPr>
            </w:pPr>
          </w:p>
        </w:tc>
      </w:tr>
      <w:tr w14:paraId="599C3B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260CBC9">
            <w:pPr>
              <w:adjustRightInd w:val="0"/>
              <w:snapToGrid w:val="0"/>
              <w:spacing w:line="240" w:lineRule="auto"/>
              <w:jc w:val="center"/>
              <w:rPr>
                <w:sz w:val="21"/>
                <w:szCs w:val="21"/>
              </w:rPr>
            </w:pPr>
          </w:p>
        </w:tc>
        <w:tc>
          <w:tcPr>
            <w:tcW w:w="709" w:type="dxa"/>
            <w:vMerge w:val="restart"/>
            <w:tcBorders>
              <w:tl2br w:val="nil"/>
              <w:tr2bl w:val="nil"/>
            </w:tcBorders>
            <w:vAlign w:val="center"/>
          </w:tcPr>
          <w:p w14:paraId="514AE4E5">
            <w:pPr>
              <w:adjustRightInd w:val="0"/>
              <w:snapToGrid w:val="0"/>
              <w:spacing w:line="240" w:lineRule="auto"/>
              <w:jc w:val="center"/>
              <w:rPr>
                <w:sz w:val="21"/>
                <w:szCs w:val="21"/>
              </w:rPr>
            </w:pPr>
            <w:r>
              <w:rPr>
                <w:sz w:val="21"/>
                <w:szCs w:val="21"/>
              </w:rPr>
              <w:t>干式复合机</w:t>
            </w:r>
          </w:p>
        </w:tc>
        <w:tc>
          <w:tcPr>
            <w:tcW w:w="2269" w:type="dxa"/>
            <w:gridSpan w:val="2"/>
            <w:tcBorders>
              <w:tl2br w:val="nil"/>
              <w:tr2bl w:val="nil"/>
            </w:tcBorders>
            <w:vAlign w:val="center"/>
          </w:tcPr>
          <w:p w14:paraId="71EF6436">
            <w:pPr>
              <w:adjustRightInd w:val="0"/>
              <w:snapToGrid w:val="0"/>
              <w:spacing w:line="240" w:lineRule="auto"/>
              <w:jc w:val="center"/>
              <w:rPr>
                <w:sz w:val="21"/>
                <w:szCs w:val="21"/>
              </w:rPr>
            </w:pPr>
            <w:r>
              <w:rPr>
                <w:sz w:val="21"/>
                <w:szCs w:val="21"/>
              </w:rPr>
              <w:t>FHD1250S</w:t>
            </w:r>
          </w:p>
        </w:tc>
        <w:tc>
          <w:tcPr>
            <w:tcW w:w="992" w:type="dxa"/>
            <w:tcBorders>
              <w:tl2br w:val="nil"/>
              <w:tr2bl w:val="nil"/>
            </w:tcBorders>
            <w:vAlign w:val="center"/>
          </w:tcPr>
          <w:p w14:paraId="32BA4A4E">
            <w:pPr>
              <w:adjustRightInd w:val="0"/>
              <w:snapToGrid w:val="0"/>
              <w:spacing w:line="240" w:lineRule="auto"/>
              <w:jc w:val="center"/>
              <w:rPr>
                <w:sz w:val="21"/>
                <w:szCs w:val="21"/>
              </w:rPr>
            </w:pPr>
            <w:r>
              <w:rPr>
                <w:rFonts w:hint="eastAsia"/>
                <w:sz w:val="21"/>
                <w:szCs w:val="21"/>
              </w:rPr>
              <w:t>1台</w:t>
            </w:r>
          </w:p>
        </w:tc>
        <w:tc>
          <w:tcPr>
            <w:tcW w:w="987" w:type="dxa"/>
            <w:tcBorders>
              <w:tl2br w:val="nil"/>
              <w:tr2bl w:val="nil"/>
            </w:tcBorders>
            <w:vAlign w:val="center"/>
          </w:tcPr>
          <w:p w14:paraId="1650835B">
            <w:pPr>
              <w:adjustRightInd w:val="0"/>
              <w:snapToGrid w:val="0"/>
              <w:spacing w:line="240" w:lineRule="auto"/>
              <w:jc w:val="center"/>
              <w:rPr>
                <w:sz w:val="21"/>
                <w:szCs w:val="21"/>
              </w:rPr>
            </w:pPr>
            <w:r>
              <w:rPr>
                <w:sz w:val="21"/>
                <w:szCs w:val="21"/>
              </w:rPr>
              <w:t>0</w:t>
            </w:r>
          </w:p>
        </w:tc>
        <w:tc>
          <w:tcPr>
            <w:tcW w:w="1082" w:type="dxa"/>
            <w:tcBorders>
              <w:tl2br w:val="nil"/>
              <w:tr2bl w:val="nil"/>
            </w:tcBorders>
            <w:vAlign w:val="center"/>
          </w:tcPr>
          <w:p w14:paraId="3A822B67">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7C2E3839">
            <w:pPr>
              <w:adjustRightInd w:val="0"/>
              <w:snapToGrid w:val="0"/>
              <w:spacing w:line="240" w:lineRule="auto"/>
              <w:jc w:val="center"/>
              <w:rPr>
                <w:sz w:val="21"/>
                <w:szCs w:val="21"/>
              </w:rPr>
            </w:pPr>
            <w:r>
              <w:rPr>
                <w:rFonts w:hint="eastAsia"/>
                <w:sz w:val="21"/>
                <w:szCs w:val="21"/>
              </w:rPr>
              <w:t>1台</w:t>
            </w:r>
          </w:p>
        </w:tc>
        <w:tc>
          <w:tcPr>
            <w:tcW w:w="852" w:type="dxa"/>
            <w:tcBorders>
              <w:tl2br w:val="nil"/>
              <w:tr2bl w:val="nil"/>
            </w:tcBorders>
            <w:vAlign w:val="center"/>
          </w:tcPr>
          <w:p w14:paraId="2F038749">
            <w:pPr>
              <w:adjustRightInd w:val="0"/>
              <w:snapToGrid w:val="0"/>
              <w:spacing w:line="240" w:lineRule="auto"/>
              <w:jc w:val="center"/>
              <w:rPr>
                <w:sz w:val="21"/>
                <w:szCs w:val="21"/>
              </w:rPr>
            </w:pPr>
          </w:p>
        </w:tc>
      </w:tr>
      <w:tr w14:paraId="035FD8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600A0DC">
            <w:pPr>
              <w:adjustRightInd w:val="0"/>
              <w:snapToGrid w:val="0"/>
              <w:spacing w:line="240" w:lineRule="auto"/>
              <w:jc w:val="center"/>
              <w:rPr>
                <w:sz w:val="21"/>
                <w:szCs w:val="21"/>
              </w:rPr>
            </w:pPr>
          </w:p>
        </w:tc>
        <w:tc>
          <w:tcPr>
            <w:tcW w:w="709" w:type="dxa"/>
            <w:vMerge w:val="continue"/>
            <w:tcBorders>
              <w:tl2br w:val="nil"/>
              <w:tr2bl w:val="nil"/>
            </w:tcBorders>
            <w:vAlign w:val="center"/>
          </w:tcPr>
          <w:p w14:paraId="2ED6FC04">
            <w:pPr>
              <w:adjustRightInd w:val="0"/>
              <w:snapToGrid w:val="0"/>
              <w:spacing w:line="240" w:lineRule="auto"/>
              <w:jc w:val="center"/>
              <w:rPr>
                <w:sz w:val="21"/>
                <w:szCs w:val="21"/>
              </w:rPr>
            </w:pPr>
          </w:p>
        </w:tc>
        <w:tc>
          <w:tcPr>
            <w:tcW w:w="2269" w:type="dxa"/>
            <w:gridSpan w:val="2"/>
            <w:tcBorders>
              <w:tl2br w:val="nil"/>
              <w:tr2bl w:val="nil"/>
            </w:tcBorders>
            <w:vAlign w:val="center"/>
          </w:tcPr>
          <w:p w14:paraId="49F6523A">
            <w:pPr>
              <w:adjustRightInd w:val="0"/>
              <w:snapToGrid w:val="0"/>
              <w:spacing w:line="240" w:lineRule="auto"/>
              <w:jc w:val="center"/>
              <w:rPr>
                <w:sz w:val="21"/>
                <w:szCs w:val="21"/>
              </w:rPr>
            </w:pPr>
            <w:r>
              <w:rPr>
                <w:sz w:val="21"/>
                <w:szCs w:val="21"/>
              </w:rPr>
              <w:t>GFH-1050B（I）T</w:t>
            </w:r>
          </w:p>
        </w:tc>
        <w:tc>
          <w:tcPr>
            <w:tcW w:w="992" w:type="dxa"/>
            <w:tcBorders>
              <w:tl2br w:val="nil"/>
              <w:tr2bl w:val="nil"/>
            </w:tcBorders>
            <w:vAlign w:val="center"/>
          </w:tcPr>
          <w:p w14:paraId="6FC86AB2">
            <w:pPr>
              <w:adjustRightInd w:val="0"/>
              <w:snapToGrid w:val="0"/>
              <w:spacing w:line="240" w:lineRule="auto"/>
              <w:jc w:val="center"/>
              <w:rPr>
                <w:sz w:val="21"/>
                <w:szCs w:val="21"/>
              </w:rPr>
            </w:pPr>
            <w:r>
              <w:rPr>
                <w:rFonts w:hint="eastAsia"/>
                <w:sz w:val="21"/>
                <w:szCs w:val="21"/>
              </w:rPr>
              <w:t>2台</w:t>
            </w:r>
          </w:p>
        </w:tc>
        <w:tc>
          <w:tcPr>
            <w:tcW w:w="987" w:type="dxa"/>
            <w:tcBorders>
              <w:tl2br w:val="nil"/>
              <w:tr2bl w:val="nil"/>
            </w:tcBorders>
            <w:vAlign w:val="center"/>
          </w:tcPr>
          <w:p w14:paraId="34568FE6">
            <w:pPr>
              <w:adjustRightInd w:val="0"/>
              <w:snapToGrid w:val="0"/>
              <w:spacing w:line="240" w:lineRule="auto"/>
              <w:jc w:val="center"/>
              <w:rPr>
                <w:sz w:val="21"/>
                <w:szCs w:val="21"/>
              </w:rPr>
            </w:pPr>
            <w:r>
              <w:rPr>
                <w:rFonts w:hint="eastAsia"/>
                <w:sz w:val="21"/>
                <w:szCs w:val="21"/>
              </w:rPr>
              <w:t>-2台</w:t>
            </w:r>
          </w:p>
        </w:tc>
        <w:tc>
          <w:tcPr>
            <w:tcW w:w="1082" w:type="dxa"/>
            <w:tcBorders>
              <w:tl2br w:val="nil"/>
              <w:tr2bl w:val="nil"/>
            </w:tcBorders>
            <w:vAlign w:val="center"/>
          </w:tcPr>
          <w:p w14:paraId="0E4B7E75">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3EEAA16">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70FEF8B4">
            <w:pPr>
              <w:adjustRightInd w:val="0"/>
              <w:snapToGrid w:val="0"/>
              <w:spacing w:line="240" w:lineRule="auto"/>
              <w:jc w:val="center"/>
              <w:rPr>
                <w:sz w:val="21"/>
                <w:szCs w:val="21"/>
              </w:rPr>
            </w:pPr>
          </w:p>
        </w:tc>
      </w:tr>
      <w:tr w14:paraId="6FFB3D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D313277">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10F8088">
            <w:pPr>
              <w:adjustRightInd w:val="0"/>
              <w:snapToGrid w:val="0"/>
              <w:spacing w:line="240" w:lineRule="auto"/>
              <w:jc w:val="center"/>
              <w:rPr>
                <w:sz w:val="21"/>
                <w:szCs w:val="21"/>
              </w:rPr>
            </w:pPr>
          </w:p>
        </w:tc>
        <w:tc>
          <w:tcPr>
            <w:tcW w:w="2269" w:type="dxa"/>
            <w:gridSpan w:val="2"/>
            <w:tcBorders>
              <w:tl2br w:val="nil"/>
              <w:tr2bl w:val="nil"/>
            </w:tcBorders>
            <w:vAlign w:val="center"/>
          </w:tcPr>
          <w:p w14:paraId="4B884714">
            <w:pPr>
              <w:adjustRightInd w:val="0"/>
              <w:snapToGrid w:val="0"/>
              <w:spacing w:line="240" w:lineRule="auto"/>
              <w:jc w:val="center"/>
              <w:rPr>
                <w:sz w:val="21"/>
                <w:szCs w:val="21"/>
              </w:rPr>
            </w:pPr>
            <w:r>
              <w:rPr>
                <w:sz w:val="21"/>
                <w:szCs w:val="21"/>
              </w:rPr>
              <w:t>LHG-1150D</w:t>
            </w:r>
          </w:p>
        </w:tc>
        <w:tc>
          <w:tcPr>
            <w:tcW w:w="992" w:type="dxa"/>
            <w:tcBorders>
              <w:tl2br w:val="nil"/>
              <w:tr2bl w:val="nil"/>
            </w:tcBorders>
            <w:vAlign w:val="center"/>
          </w:tcPr>
          <w:p w14:paraId="6BCD2E8E">
            <w:pPr>
              <w:adjustRightInd w:val="0"/>
              <w:snapToGrid w:val="0"/>
              <w:spacing w:line="240" w:lineRule="auto"/>
              <w:jc w:val="center"/>
              <w:rPr>
                <w:sz w:val="21"/>
                <w:szCs w:val="21"/>
              </w:rPr>
            </w:pPr>
            <w:r>
              <w:rPr>
                <w:sz w:val="21"/>
                <w:szCs w:val="21"/>
              </w:rPr>
              <w:t>0</w:t>
            </w:r>
          </w:p>
        </w:tc>
        <w:tc>
          <w:tcPr>
            <w:tcW w:w="987" w:type="dxa"/>
            <w:tcBorders>
              <w:tl2br w:val="nil"/>
              <w:tr2bl w:val="nil"/>
            </w:tcBorders>
            <w:vAlign w:val="center"/>
          </w:tcPr>
          <w:p w14:paraId="5198247D">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1082" w:type="dxa"/>
            <w:tcBorders>
              <w:tl2br w:val="nil"/>
              <w:tr2bl w:val="nil"/>
            </w:tcBorders>
            <w:vAlign w:val="center"/>
          </w:tcPr>
          <w:p w14:paraId="7BF7E3D3">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05B63DEB">
            <w:pPr>
              <w:adjustRightInd w:val="0"/>
              <w:snapToGrid w:val="0"/>
              <w:spacing w:line="240" w:lineRule="auto"/>
              <w:jc w:val="center"/>
              <w:rPr>
                <w:sz w:val="21"/>
                <w:szCs w:val="21"/>
              </w:rPr>
            </w:pPr>
            <w:r>
              <w:rPr>
                <w:sz w:val="21"/>
                <w:szCs w:val="21"/>
              </w:rPr>
              <w:t>1</w:t>
            </w:r>
            <w:r>
              <w:rPr>
                <w:rFonts w:hint="eastAsia"/>
                <w:sz w:val="21"/>
                <w:szCs w:val="21"/>
              </w:rPr>
              <w:t>台</w:t>
            </w:r>
          </w:p>
        </w:tc>
        <w:tc>
          <w:tcPr>
            <w:tcW w:w="852" w:type="dxa"/>
            <w:tcBorders>
              <w:tl2br w:val="nil"/>
              <w:tr2bl w:val="nil"/>
            </w:tcBorders>
            <w:vAlign w:val="center"/>
          </w:tcPr>
          <w:p w14:paraId="08E8D2BD">
            <w:pPr>
              <w:adjustRightInd w:val="0"/>
              <w:snapToGrid w:val="0"/>
              <w:spacing w:line="240" w:lineRule="auto"/>
              <w:jc w:val="center"/>
              <w:rPr>
                <w:sz w:val="21"/>
                <w:szCs w:val="21"/>
              </w:rPr>
            </w:pPr>
          </w:p>
        </w:tc>
      </w:tr>
      <w:tr w14:paraId="2BD0FC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ADB50E2">
            <w:pPr>
              <w:adjustRightInd w:val="0"/>
              <w:snapToGrid w:val="0"/>
              <w:spacing w:line="240" w:lineRule="auto"/>
              <w:jc w:val="center"/>
              <w:rPr>
                <w:sz w:val="21"/>
                <w:szCs w:val="21"/>
              </w:rPr>
            </w:pPr>
          </w:p>
        </w:tc>
        <w:tc>
          <w:tcPr>
            <w:tcW w:w="709" w:type="dxa"/>
            <w:vMerge w:val="continue"/>
            <w:tcBorders>
              <w:tl2br w:val="nil"/>
              <w:tr2bl w:val="nil"/>
            </w:tcBorders>
            <w:vAlign w:val="center"/>
          </w:tcPr>
          <w:p w14:paraId="30501380">
            <w:pPr>
              <w:adjustRightInd w:val="0"/>
              <w:snapToGrid w:val="0"/>
              <w:spacing w:line="240" w:lineRule="auto"/>
              <w:jc w:val="center"/>
              <w:rPr>
                <w:sz w:val="21"/>
                <w:szCs w:val="21"/>
              </w:rPr>
            </w:pPr>
          </w:p>
        </w:tc>
        <w:tc>
          <w:tcPr>
            <w:tcW w:w="2269" w:type="dxa"/>
            <w:gridSpan w:val="2"/>
            <w:tcBorders>
              <w:tl2br w:val="nil"/>
              <w:tr2bl w:val="nil"/>
            </w:tcBorders>
            <w:vAlign w:val="center"/>
          </w:tcPr>
          <w:p w14:paraId="505E7F3B">
            <w:pPr>
              <w:adjustRightInd w:val="0"/>
              <w:snapToGrid w:val="0"/>
              <w:spacing w:line="240" w:lineRule="auto"/>
              <w:jc w:val="center"/>
              <w:rPr>
                <w:sz w:val="21"/>
                <w:szCs w:val="21"/>
              </w:rPr>
            </w:pPr>
            <w:r>
              <w:rPr>
                <w:sz w:val="21"/>
                <w:szCs w:val="21"/>
              </w:rPr>
              <w:t>DA800</w:t>
            </w:r>
          </w:p>
        </w:tc>
        <w:tc>
          <w:tcPr>
            <w:tcW w:w="992" w:type="dxa"/>
            <w:tcBorders>
              <w:tl2br w:val="nil"/>
              <w:tr2bl w:val="nil"/>
            </w:tcBorders>
            <w:vAlign w:val="center"/>
          </w:tcPr>
          <w:p w14:paraId="605E162C">
            <w:pPr>
              <w:adjustRightInd w:val="0"/>
              <w:snapToGrid w:val="0"/>
              <w:spacing w:line="240" w:lineRule="auto"/>
              <w:jc w:val="center"/>
              <w:rPr>
                <w:sz w:val="21"/>
                <w:szCs w:val="21"/>
              </w:rPr>
            </w:pPr>
            <w:r>
              <w:rPr>
                <w:sz w:val="21"/>
                <w:szCs w:val="21"/>
              </w:rPr>
              <w:t>0</w:t>
            </w:r>
          </w:p>
        </w:tc>
        <w:tc>
          <w:tcPr>
            <w:tcW w:w="987" w:type="dxa"/>
            <w:tcBorders>
              <w:tl2br w:val="nil"/>
              <w:tr2bl w:val="nil"/>
            </w:tcBorders>
            <w:vAlign w:val="center"/>
          </w:tcPr>
          <w:p w14:paraId="7AD8170F">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1082" w:type="dxa"/>
            <w:tcBorders>
              <w:tl2br w:val="nil"/>
              <w:tr2bl w:val="nil"/>
            </w:tcBorders>
            <w:vAlign w:val="center"/>
          </w:tcPr>
          <w:p w14:paraId="6A378111">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1A1A491B">
            <w:pPr>
              <w:adjustRightInd w:val="0"/>
              <w:snapToGrid w:val="0"/>
              <w:spacing w:line="240" w:lineRule="auto"/>
              <w:jc w:val="center"/>
              <w:rPr>
                <w:sz w:val="21"/>
                <w:szCs w:val="21"/>
              </w:rPr>
            </w:pPr>
            <w:r>
              <w:rPr>
                <w:sz w:val="21"/>
                <w:szCs w:val="21"/>
              </w:rPr>
              <w:t>1</w:t>
            </w:r>
            <w:r>
              <w:rPr>
                <w:rFonts w:hint="eastAsia"/>
                <w:sz w:val="21"/>
                <w:szCs w:val="21"/>
              </w:rPr>
              <w:t>台</w:t>
            </w:r>
          </w:p>
        </w:tc>
        <w:tc>
          <w:tcPr>
            <w:tcW w:w="852" w:type="dxa"/>
            <w:tcBorders>
              <w:tl2br w:val="nil"/>
              <w:tr2bl w:val="nil"/>
            </w:tcBorders>
            <w:vAlign w:val="center"/>
          </w:tcPr>
          <w:p w14:paraId="5DDE283B">
            <w:pPr>
              <w:adjustRightInd w:val="0"/>
              <w:snapToGrid w:val="0"/>
              <w:spacing w:line="240" w:lineRule="auto"/>
              <w:jc w:val="center"/>
              <w:rPr>
                <w:sz w:val="21"/>
                <w:szCs w:val="21"/>
              </w:rPr>
            </w:pPr>
          </w:p>
        </w:tc>
      </w:tr>
      <w:tr w14:paraId="2B7D5D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6258A1AB">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9045154">
            <w:pPr>
              <w:adjustRightInd w:val="0"/>
              <w:snapToGrid w:val="0"/>
              <w:spacing w:line="240" w:lineRule="auto"/>
              <w:jc w:val="center"/>
              <w:rPr>
                <w:sz w:val="21"/>
                <w:szCs w:val="21"/>
              </w:rPr>
            </w:pPr>
          </w:p>
        </w:tc>
        <w:tc>
          <w:tcPr>
            <w:tcW w:w="2269" w:type="dxa"/>
            <w:gridSpan w:val="2"/>
            <w:tcBorders>
              <w:tl2br w:val="nil"/>
              <w:tr2bl w:val="nil"/>
            </w:tcBorders>
            <w:vAlign w:val="center"/>
          </w:tcPr>
          <w:p w14:paraId="5FF247E1">
            <w:pPr>
              <w:adjustRightInd w:val="0"/>
              <w:snapToGrid w:val="0"/>
              <w:spacing w:line="240" w:lineRule="auto"/>
              <w:jc w:val="center"/>
              <w:rPr>
                <w:sz w:val="21"/>
                <w:szCs w:val="21"/>
              </w:rPr>
            </w:pPr>
            <w:r>
              <w:rPr>
                <w:rFonts w:hint="eastAsia"/>
                <w:sz w:val="21"/>
                <w:szCs w:val="21"/>
              </w:rPr>
              <w:t>DL300</w:t>
            </w:r>
          </w:p>
        </w:tc>
        <w:tc>
          <w:tcPr>
            <w:tcW w:w="992" w:type="dxa"/>
            <w:tcBorders>
              <w:tl2br w:val="nil"/>
              <w:tr2bl w:val="nil"/>
            </w:tcBorders>
            <w:vAlign w:val="center"/>
          </w:tcPr>
          <w:p w14:paraId="01DA8C69">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202E5E70">
            <w:pPr>
              <w:adjustRightInd w:val="0"/>
              <w:snapToGrid w:val="0"/>
              <w:spacing w:line="240" w:lineRule="auto"/>
              <w:jc w:val="center"/>
              <w:rPr>
                <w:sz w:val="21"/>
                <w:szCs w:val="21"/>
              </w:rPr>
            </w:pPr>
            <w:r>
              <w:rPr>
                <w:rFonts w:hint="eastAsia"/>
                <w:sz w:val="21"/>
                <w:szCs w:val="21"/>
              </w:rPr>
              <w:t>0</w:t>
            </w:r>
          </w:p>
        </w:tc>
        <w:tc>
          <w:tcPr>
            <w:tcW w:w="1082" w:type="dxa"/>
            <w:tcBorders>
              <w:tl2br w:val="nil"/>
              <w:tr2bl w:val="nil"/>
            </w:tcBorders>
            <w:vAlign w:val="center"/>
          </w:tcPr>
          <w:p w14:paraId="6079C7BC">
            <w:pPr>
              <w:adjustRightInd w:val="0"/>
              <w:snapToGrid w:val="0"/>
              <w:spacing w:line="240" w:lineRule="auto"/>
              <w:jc w:val="center"/>
              <w:rPr>
                <w:sz w:val="21"/>
                <w:szCs w:val="21"/>
              </w:rPr>
            </w:pPr>
            <w:r>
              <w:rPr>
                <w:rFonts w:hint="eastAsia"/>
                <w:sz w:val="21"/>
                <w:szCs w:val="21"/>
              </w:rPr>
              <w:t>+3</w:t>
            </w:r>
          </w:p>
        </w:tc>
        <w:tc>
          <w:tcPr>
            <w:tcW w:w="908" w:type="dxa"/>
            <w:tcBorders>
              <w:tl2br w:val="nil"/>
              <w:tr2bl w:val="nil"/>
            </w:tcBorders>
            <w:vAlign w:val="center"/>
          </w:tcPr>
          <w:p w14:paraId="6ED88E02">
            <w:pPr>
              <w:adjustRightInd w:val="0"/>
              <w:snapToGrid w:val="0"/>
              <w:spacing w:line="240" w:lineRule="auto"/>
              <w:jc w:val="center"/>
              <w:rPr>
                <w:sz w:val="21"/>
                <w:szCs w:val="21"/>
              </w:rPr>
            </w:pPr>
            <w:r>
              <w:rPr>
                <w:rFonts w:hint="eastAsia"/>
                <w:sz w:val="21"/>
                <w:szCs w:val="21"/>
              </w:rPr>
              <w:t>3台</w:t>
            </w:r>
          </w:p>
        </w:tc>
        <w:tc>
          <w:tcPr>
            <w:tcW w:w="852" w:type="dxa"/>
            <w:tcBorders>
              <w:tl2br w:val="nil"/>
              <w:tr2bl w:val="nil"/>
            </w:tcBorders>
            <w:vAlign w:val="center"/>
          </w:tcPr>
          <w:p w14:paraId="6DD40892">
            <w:pPr>
              <w:adjustRightInd w:val="0"/>
              <w:snapToGrid w:val="0"/>
              <w:spacing w:line="240" w:lineRule="auto"/>
              <w:jc w:val="center"/>
              <w:rPr>
                <w:sz w:val="21"/>
                <w:szCs w:val="21"/>
              </w:rPr>
            </w:pPr>
            <w:r>
              <w:rPr>
                <w:sz w:val="21"/>
                <w:szCs w:val="21"/>
              </w:rPr>
              <w:t>新增</w:t>
            </w:r>
          </w:p>
        </w:tc>
      </w:tr>
      <w:tr w14:paraId="1D7271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68B21379">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B2267A3">
            <w:pPr>
              <w:adjustRightInd w:val="0"/>
              <w:snapToGrid w:val="0"/>
              <w:spacing w:line="240" w:lineRule="auto"/>
              <w:jc w:val="center"/>
              <w:rPr>
                <w:sz w:val="21"/>
                <w:szCs w:val="21"/>
              </w:rPr>
            </w:pPr>
          </w:p>
        </w:tc>
        <w:tc>
          <w:tcPr>
            <w:tcW w:w="2269" w:type="dxa"/>
            <w:gridSpan w:val="2"/>
            <w:tcBorders>
              <w:tl2br w:val="nil"/>
              <w:tr2bl w:val="nil"/>
            </w:tcBorders>
            <w:vAlign w:val="center"/>
          </w:tcPr>
          <w:p w14:paraId="16F4E9D7">
            <w:pPr>
              <w:adjustRightInd w:val="0"/>
              <w:snapToGrid w:val="0"/>
              <w:spacing w:line="240" w:lineRule="auto"/>
              <w:jc w:val="center"/>
              <w:rPr>
                <w:sz w:val="21"/>
                <w:szCs w:val="21"/>
              </w:rPr>
            </w:pPr>
            <w:r>
              <w:rPr>
                <w:sz w:val="21"/>
                <w:szCs w:val="21"/>
              </w:rPr>
              <w:t>LHG-1050</w:t>
            </w:r>
          </w:p>
        </w:tc>
        <w:tc>
          <w:tcPr>
            <w:tcW w:w="992" w:type="dxa"/>
            <w:tcBorders>
              <w:tl2br w:val="nil"/>
              <w:tr2bl w:val="nil"/>
            </w:tcBorders>
            <w:vAlign w:val="center"/>
          </w:tcPr>
          <w:p w14:paraId="139E5BDB">
            <w:pPr>
              <w:adjustRightInd w:val="0"/>
              <w:snapToGrid w:val="0"/>
              <w:spacing w:line="240" w:lineRule="auto"/>
              <w:jc w:val="center"/>
              <w:rPr>
                <w:sz w:val="21"/>
                <w:szCs w:val="21"/>
              </w:rPr>
            </w:pPr>
            <w:r>
              <w:rPr>
                <w:sz w:val="21"/>
                <w:szCs w:val="21"/>
              </w:rPr>
              <w:t>0</w:t>
            </w:r>
          </w:p>
        </w:tc>
        <w:tc>
          <w:tcPr>
            <w:tcW w:w="987" w:type="dxa"/>
            <w:tcBorders>
              <w:tl2br w:val="nil"/>
              <w:tr2bl w:val="nil"/>
            </w:tcBorders>
            <w:vAlign w:val="center"/>
          </w:tcPr>
          <w:p w14:paraId="11FB2BA6">
            <w:pPr>
              <w:adjustRightInd w:val="0"/>
              <w:snapToGrid w:val="0"/>
              <w:spacing w:line="240" w:lineRule="auto"/>
              <w:jc w:val="center"/>
              <w:rPr>
                <w:sz w:val="21"/>
                <w:szCs w:val="21"/>
              </w:rPr>
            </w:pPr>
            <w:r>
              <w:rPr>
                <w:rFonts w:hint="eastAsia"/>
                <w:sz w:val="21"/>
                <w:szCs w:val="21"/>
              </w:rPr>
              <w:t>+</w:t>
            </w:r>
            <w:r>
              <w:rPr>
                <w:sz w:val="21"/>
                <w:szCs w:val="21"/>
              </w:rPr>
              <w:t>1</w:t>
            </w:r>
            <w:r>
              <w:rPr>
                <w:rFonts w:hint="eastAsia"/>
                <w:sz w:val="21"/>
                <w:szCs w:val="21"/>
              </w:rPr>
              <w:t>台</w:t>
            </w:r>
          </w:p>
        </w:tc>
        <w:tc>
          <w:tcPr>
            <w:tcW w:w="1082" w:type="dxa"/>
            <w:tcBorders>
              <w:tl2br w:val="nil"/>
              <w:tr2bl w:val="nil"/>
            </w:tcBorders>
            <w:vAlign w:val="center"/>
          </w:tcPr>
          <w:p w14:paraId="414336B7">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D33A58F">
            <w:pPr>
              <w:adjustRightInd w:val="0"/>
              <w:snapToGrid w:val="0"/>
              <w:spacing w:line="240" w:lineRule="auto"/>
              <w:jc w:val="center"/>
              <w:rPr>
                <w:sz w:val="21"/>
                <w:szCs w:val="21"/>
              </w:rPr>
            </w:pPr>
            <w:r>
              <w:rPr>
                <w:sz w:val="21"/>
                <w:szCs w:val="21"/>
              </w:rPr>
              <w:t>1</w:t>
            </w:r>
            <w:r>
              <w:rPr>
                <w:rFonts w:hint="eastAsia"/>
                <w:sz w:val="21"/>
                <w:szCs w:val="21"/>
              </w:rPr>
              <w:t>台</w:t>
            </w:r>
          </w:p>
        </w:tc>
        <w:tc>
          <w:tcPr>
            <w:tcW w:w="852" w:type="dxa"/>
            <w:tcBorders>
              <w:tl2br w:val="nil"/>
              <w:tr2bl w:val="nil"/>
            </w:tcBorders>
            <w:vAlign w:val="center"/>
          </w:tcPr>
          <w:p w14:paraId="4FAD3B06">
            <w:pPr>
              <w:adjustRightInd w:val="0"/>
              <w:snapToGrid w:val="0"/>
              <w:spacing w:line="240" w:lineRule="auto"/>
              <w:jc w:val="center"/>
              <w:rPr>
                <w:sz w:val="21"/>
                <w:szCs w:val="21"/>
              </w:rPr>
            </w:pPr>
            <w:r>
              <w:rPr>
                <w:rFonts w:hint="eastAsia"/>
                <w:sz w:val="21"/>
                <w:szCs w:val="21"/>
              </w:rPr>
              <w:t>/</w:t>
            </w:r>
          </w:p>
        </w:tc>
      </w:tr>
      <w:tr w14:paraId="39A83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7660114">
            <w:pPr>
              <w:adjustRightInd w:val="0"/>
              <w:snapToGrid w:val="0"/>
              <w:spacing w:line="240" w:lineRule="auto"/>
              <w:jc w:val="center"/>
              <w:rPr>
                <w:sz w:val="21"/>
                <w:szCs w:val="21"/>
              </w:rPr>
            </w:pPr>
          </w:p>
        </w:tc>
        <w:tc>
          <w:tcPr>
            <w:tcW w:w="709" w:type="dxa"/>
            <w:vMerge w:val="continue"/>
            <w:tcBorders>
              <w:tl2br w:val="nil"/>
              <w:tr2bl w:val="nil"/>
            </w:tcBorders>
            <w:vAlign w:val="center"/>
          </w:tcPr>
          <w:p w14:paraId="389D325D">
            <w:pPr>
              <w:adjustRightInd w:val="0"/>
              <w:snapToGrid w:val="0"/>
              <w:spacing w:line="240" w:lineRule="auto"/>
              <w:jc w:val="center"/>
              <w:rPr>
                <w:sz w:val="21"/>
                <w:szCs w:val="21"/>
              </w:rPr>
            </w:pPr>
          </w:p>
        </w:tc>
        <w:tc>
          <w:tcPr>
            <w:tcW w:w="2269" w:type="dxa"/>
            <w:gridSpan w:val="2"/>
            <w:tcBorders>
              <w:tl2br w:val="nil"/>
              <w:tr2bl w:val="nil"/>
            </w:tcBorders>
            <w:vAlign w:val="center"/>
          </w:tcPr>
          <w:p w14:paraId="47C4474A">
            <w:pPr>
              <w:adjustRightInd w:val="0"/>
              <w:snapToGrid w:val="0"/>
              <w:spacing w:line="240" w:lineRule="auto"/>
              <w:jc w:val="center"/>
              <w:rPr>
                <w:sz w:val="21"/>
                <w:szCs w:val="21"/>
              </w:rPr>
            </w:pPr>
            <w:r>
              <w:rPr>
                <w:sz w:val="21"/>
                <w:szCs w:val="21"/>
              </w:rPr>
              <w:t>LHG-1350D.DL200</w:t>
            </w:r>
          </w:p>
        </w:tc>
        <w:tc>
          <w:tcPr>
            <w:tcW w:w="992" w:type="dxa"/>
            <w:tcBorders>
              <w:tl2br w:val="nil"/>
              <w:tr2bl w:val="nil"/>
            </w:tcBorders>
            <w:vAlign w:val="center"/>
          </w:tcPr>
          <w:p w14:paraId="15185106">
            <w:pPr>
              <w:adjustRightInd w:val="0"/>
              <w:snapToGrid w:val="0"/>
              <w:spacing w:line="240" w:lineRule="auto"/>
              <w:jc w:val="center"/>
              <w:rPr>
                <w:sz w:val="21"/>
                <w:szCs w:val="21"/>
              </w:rPr>
            </w:pPr>
            <w:r>
              <w:rPr>
                <w:rFonts w:hint="eastAsia"/>
                <w:sz w:val="21"/>
                <w:szCs w:val="21"/>
              </w:rPr>
              <w:t>2台</w:t>
            </w:r>
          </w:p>
        </w:tc>
        <w:tc>
          <w:tcPr>
            <w:tcW w:w="987" w:type="dxa"/>
            <w:tcBorders>
              <w:tl2br w:val="nil"/>
              <w:tr2bl w:val="nil"/>
            </w:tcBorders>
            <w:vAlign w:val="center"/>
          </w:tcPr>
          <w:p w14:paraId="6BCB3B31">
            <w:pPr>
              <w:adjustRightInd w:val="0"/>
              <w:snapToGrid w:val="0"/>
              <w:spacing w:line="240" w:lineRule="auto"/>
              <w:jc w:val="center"/>
              <w:rPr>
                <w:sz w:val="21"/>
                <w:szCs w:val="21"/>
              </w:rPr>
            </w:pPr>
            <w:r>
              <w:rPr>
                <w:rFonts w:hint="eastAsia"/>
                <w:sz w:val="21"/>
                <w:szCs w:val="21"/>
              </w:rPr>
              <w:t>-2台</w:t>
            </w:r>
          </w:p>
        </w:tc>
        <w:tc>
          <w:tcPr>
            <w:tcW w:w="1082" w:type="dxa"/>
            <w:tcBorders>
              <w:tl2br w:val="nil"/>
              <w:tr2bl w:val="nil"/>
            </w:tcBorders>
            <w:vAlign w:val="center"/>
          </w:tcPr>
          <w:p w14:paraId="26A6D7D8">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9E63E7B">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05DB7BA8">
            <w:pPr>
              <w:adjustRightInd w:val="0"/>
              <w:snapToGrid w:val="0"/>
              <w:spacing w:line="240" w:lineRule="auto"/>
              <w:jc w:val="center"/>
              <w:rPr>
                <w:sz w:val="21"/>
                <w:szCs w:val="21"/>
              </w:rPr>
            </w:pPr>
            <w:r>
              <w:rPr>
                <w:rFonts w:hint="eastAsia"/>
                <w:sz w:val="21"/>
                <w:szCs w:val="21"/>
              </w:rPr>
              <w:t>/</w:t>
            </w:r>
          </w:p>
        </w:tc>
      </w:tr>
      <w:tr w14:paraId="48872C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6D28E6AE">
            <w:pPr>
              <w:adjustRightInd w:val="0"/>
              <w:snapToGrid w:val="0"/>
              <w:spacing w:line="240" w:lineRule="auto"/>
              <w:jc w:val="center"/>
              <w:rPr>
                <w:sz w:val="21"/>
                <w:szCs w:val="21"/>
              </w:rPr>
            </w:pPr>
          </w:p>
        </w:tc>
        <w:tc>
          <w:tcPr>
            <w:tcW w:w="709" w:type="dxa"/>
            <w:vMerge w:val="continue"/>
            <w:tcBorders>
              <w:tl2br w:val="nil"/>
              <w:tr2bl w:val="nil"/>
            </w:tcBorders>
            <w:vAlign w:val="center"/>
          </w:tcPr>
          <w:p w14:paraId="07CD7C41">
            <w:pPr>
              <w:adjustRightInd w:val="0"/>
              <w:snapToGrid w:val="0"/>
              <w:spacing w:line="240" w:lineRule="auto"/>
              <w:jc w:val="center"/>
              <w:rPr>
                <w:sz w:val="21"/>
                <w:szCs w:val="21"/>
              </w:rPr>
            </w:pPr>
          </w:p>
        </w:tc>
        <w:tc>
          <w:tcPr>
            <w:tcW w:w="2269" w:type="dxa"/>
            <w:gridSpan w:val="2"/>
            <w:tcBorders>
              <w:tl2br w:val="nil"/>
              <w:tr2bl w:val="nil"/>
            </w:tcBorders>
            <w:vAlign w:val="center"/>
          </w:tcPr>
          <w:p w14:paraId="1F53B439">
            <w:pPr>
              <w:adjustRightInd w:val="0"/>
              <w:snapToGrid w:val="0"/>
              <w:spacing w:line="240" w:lineRule="auto"/>
              <w:jc w:val="center"/>
              <w:rPr>
                <w:sz w:val="21"/>
                <w:szCs w:val="21"/>
              </w:rPr>
            </w:pPr>
            <w:r>
              <w:rPr>
                <w:sz w:val="21"/>
                <w:szCs w:val="21"/>
              </w:rPr>
              <w:t>QGT1150P</w:t>
            </w:r>
          </w:p>
        </w:tc>
        <w:tc>
          <w:tcPr>
            <w:tcW w:w="992" w:type="dxa"/>
            <w:tcBorders>
              <w:tl2br w:val="nil"/>
              <w:tr2bl w:val="nil"/>
            </w:tcBorders>
            <w:vAlign w:val="center"/>
          </w:tcPr>
          <w:p w14:paraId="42701106">
            <w:pPr>
              <w:adjustRightInd w:val="0"/>
              <w:snapToGrid w:val="0"/>
              <w:spacing w:line="240" w:lineRule="auto"/>
              <w:jc w:val="center"/>
              <w:rPr>
                <w:sz w:val="21"/>
                <w:szCs w:val="21"/>
              </w:rPr>
            </w:pPr>
            <w:r>
              <w:rPr>
                <w:rFonts w:hint="eastAsia"/>
                <w:sz w:val="21"/>
                <w:szCs w:val="21"/>
              </w:rPr>
              <w:t>1台</w:t>
            </w:r>
          </w:p>
        </w:tc>
        <w:tc>
          <w:tcPr>
            <w:tcW w:w="987" w:type="dxa"/>
            <w:tcBorders>
              <w:tl2br w:val="nil"/>
              <w:tr2bl w:val="nil"/>
            </w:tcBorders>
            <w:vAlign w:val="center"/>
          </w:tcPr>
          <w:p w14:paraId="06A665A6">
            <w:pPr>
              <w:adjustRightInd w:val="0"/>
              <w:snapToGrid w:val="0"/>
              <w:spacing w:line="240" w:lineRule="auto"/>
              <w:jc w:val="center"/>
              <w:rPr>
                <w:sz w:val="21"/>
                <w:szCs w:val="21"/>
              </w:rPr>
            </w:pPr>
            <w:r>
              <w:rPr>
                <w:rFonts w:hint="eastAsia"/>
                <w:sz w:val="21"/>
                <w:szCs w:val="21"/>
              </w:rPr>
              <w:t>-1</w:t>
            </w:r>
            <w:r>
              <w:rPr>
                <w:sz w:val="21"/>
                <w:szCs w:val="21"/>
              </w:rPr>
              <w:t>台</w:t>
            </w:r>
          </w:p>
        </w:tc>
        <w:tc>
          <w:tcPr>
            <w:tcW w:w="1082" w:type="dxa"/>
            <w:tcBorders>
              <w:tl2br w:val="nil"/>
              <w:tr2bl w:val="nil"/>
            </w:tcBorders>
            <w:vAlign w:val="center"/>
          </w:tcPr>
          <w:p w14:paraId="456737F3">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E3594DC">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61C742D4">
            <w:pPr>
              <w:adjustRightInd w:val="0"/>
              <w:snapToGrid w:val="0"/>
              <w:spacing w:line="240" w:lineRule="auto"/>
              <w:jc w:val="center"/>
              <w:rPr>
                <w:sz w:val="21"/>
                <w:szCs w:val="21"/>
              </w:rPr>
            </w:pPr>
            <w:r>
              <w:rPr>
                <w:rFonts w:hint="eastAsia"/>
                <w:sz w:val="21"/>
                <w:szCs w:val="21"/>
              </w:rPr>
              <w:t>/</w:t>
            </w:r>
          </w:p>
        </w:tc>
      </w:tr>
      <w:tr w14:paraId="05E5F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B0BA1F7">
            <w:pPr>
              <w:adjustRightInd w:val="0"/>
              <w:snapToGrid w:val="0"/>
              <w:spacing w:line="240" w:lineRule="auto"/>
              <w:jc w:val="center"/>
              <w:rPr>
                <w:sz w:val="21"/>
                <w:szCs w:val="21"/>
              </w:rPr>
            </w:pPr>
          </w:p>
        </w:tc>
        <w:tc>
          <w:tcPr>
            <w:tcW w:w="709" w:type="dxa"/>
            <w:vMerge w:val="continue"/>
            <w:tcBorders>
              <w:tl2br w:val="nil"/>
              <w:tr2bl w:val="nil"/>
            </w:tcBorders>
            <w:vAlign w:val="center"/>
          </w:tcPr>
          <w:p w14:paraId="270F0BDE">
            <w:pPr>
              <w:adjustRightInd w:val="0"/>
              <w:snapToGrid w:val="0"/>
              <w:spacing w:line="240" w:lineRule="auto"/>
              <w:jc w:val="center"/>
              <w:rPr>
                <w:sz w:val="21"/>
                <w:szCs w:val="21"/>
              </w:rPr>
            </w:pPr>
          </w:p>
        </w:tc>
        <w:tc>
          <w:tcPr>
            <w:tcW w:w="2269" w:type="dxa"/>
            <w:gridSpan w:val="2"/>
            <w:tcBorders>
              <w:tl2br w:val="nil"/>
              <w:tr2bl w:val="nil"/>
            </w:tcBorders>
            <w:vAlign w:val="center"/>
          </w:tcPr>
          <w:p w14:paraId="18B5397F">
            <w:pPr>
              <w:adjustRightInd w:val="0"/>
              <w:snapToGrid w:val="0"/>
              <w:spacing w:line="240" w:lineRule="auto"/>
              <w:jc w:val="center"/>
              <w:rPr>
                <w:sz w:val="21"/>
                <w:szCs w:val="21"/>
              </w:rPr>
            </w:pPr>
            <w:r>
              <w:rPr>
                <w:sz w:val="21"/>
                <w:szCs w:val="21"/>
              </w:rPr>
              <w:t>三合一干复机</w:t>
            </w:r>
          </w:p>
        </w:tc>
        <w:tc>
          <w:tcPr>
            <w:tcW w:w="992" w:type="dxa"/>
            <w:tcBorders>
              <w:tl2br w:val="nil"/>
              <w:tr2bl w:val="nil"/>
            </w:tcBorders>
            <w:vAlign w:val="center"/>
          </w:tcPr>
          <w:p w14:paraId="5A57EBC2">
            <w:pPr>
              <w:adjustRightInd w:val="0"/>
              <w:snapToGrid w:val="0"/>
              <w:spacing w:line="240" w:lineRule="auto"/>
              <w:jc w:val="center"/>
              <w:rPr>
                <w:sz w:val="21"/>
                <w:szCs w:val="21"/>
              </w:rPr>
            </w:pPr>
            <w:r>
              <w:rPr>
                <w:rFonts w:hint="eastAsia"/>
                <w:sz w:val="21"/>
                <w:szCs w:val="21"/>
              </w:rPr>
              <w:t>1台</w:t>
            </w:r>
          </w:p>
        </w:tc>
        <w:tc>
          <w:tcPr>
            <w:tcW w:w="987" w:type="dxa"/>
            <w:tcBorders>
              <w:tl2br w:val="nil"/>
              <w:tr2bl w:val="nil"/>
            </w:tcBorders>
            <w:vAlign w:val="center"/>
          </w:tcPr>
          <w:p w14:paraId="45B280B9">
            <w:pPr>
              <w:adjustRightInd w:val="0"/>
              <w:snapToGrid w:val="0"/>
              <w:spacing w:line="240" w:lineRule="auto"/>
              <w:jc w:val="center"/>
              <w:rPr>
                <w:sz w:val="21"/>
                <w:szCs w:val="21"/>
              </w:rPr>
            </w:pPr>
            <w:r>
              <w:rPr>
                <w:rFonts w:hint="eastAsia"/>
                <w:sz w:val="21"/>
                <w:szCs w:val="21"/>
              </w:rPr>
              <w:t>-1</w:t>
            </w:r>
            <w:r>
              <w:rPr>
                <w:sz w:val="21"/>
                <w:szCs w:val="21"/>
              </w:rPr>
              <w:t>台</w:t>
            </w:r>
          </w:p>
        </w:tc>
        <w:tc>
          <w:tcPr>
            <w:tcW w:w="1082" w:type="dxa"/>
            <w:tcBorders>
              <w:tl2br w:val="nil"/>
              <w:tr2bl w:val="nil"/>
            </w:tcBorders>
            <w:vAlign w:val="center"/>
          </w:tcPr>
          <w:p w14:paraId="35718C35">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1C38958">
            <w:pPr>
              <w:adjustRightInd w:val="0"/>
              <w:snapToGrid w:val="0"/>
              <w:spacing w:line="240" w:lineRule="auto"/>
              <w:jc w:val="center"/>
              <w:rPr>
                <w:sz w:val="21"/>
                <w:szCs w:val="21"/>
              </w:rPr>
            </w:pPr>
            <w:r>
              <w:rPr>
                <w:sz w:val="21"/>
                <w:szCs w:val="21"/>
              </w:rPr>
              <w:t>0</w:t>
            </w:r>
          </w:p>
        </w:tc>
        <w:tc>
          <w:tcPr>
            <w:tcW w:w="852" w:type="dxa"/>
            <w:tcBorders>
              <w:tl2br w:val="nil"/>
              <w:tr2bl w:val="nil"/>
            </w:tcBorders>
            <w:vAlign w:val="center"/>
          </w:tcPr>
          <w:p w14:paraId="5A6AC1B0">
            <w:pPr>
              <w:adjustRightInd w:val="0"/>
              <w:snapToGrid w:val="0"/>
              <w:spacing w:line="240" w:lineRule="auto"/>
              <w:jc w:val="center"/>
              <w:rPr>
                <w:sz w:val="21"/>
                <w:szCs w:val="21"/>
              </w:rPr>
            </w:pPr>
            <w:r>
              <w:rPr>
                <w:rFonts w:hint="eastAsia"/>
                <w:sz w:val="21"/>
                <w:szCs w:val="21"/>
              </w:rPr>
              <w:t>/</w:t>
            </w:r>
          </w:p>
        </w:tc>
      </w:tr>
      <w:tr w14:paraId="3D150E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5597DE0">
            <w:pPr>
              <w:adjustRightInd w:val="0"/>
              <w:snapToGrid w:val="0"/>
              <w:spacing w:line="240" w:lineRule="auto"/>
              <w:jc w:val="center"/>
              <w:rPr>
                <w:sz w:val="21"/>
                <w:szCs w:val="21"/>
              </w:rPr>
            </w:pPr>
          </w:p>
        </w:tc>
        <w:tc>
          <w:tcPr>
            <w:tcW w:w="709" w:type="dxa"/>
            <w:vMerge w:val="restart"/>
            <w:tcBorders>
              <w:tl2br w:val="nil"/>
              <w:tr2bl w:val="nil"/>
            </w:tcBorders>
            <w:vAlign w:val="center"/>
          </w:tcPr>
          <w:p w14:paraId="5EF30390">
            <w:pPr>
              <w:adjustRightInd w:val="0"/>
              <w:snapToGrid w:val="0"/>
              <w:spacing w:line="240" w:lineRule="auto"/>
              <w:jc w:val="center"/>
              <w:rPr>
                <w:sz w:val="21"/>
                <w:szCs w:val="21"/>
              </w:rPr>
            </w:pPr>
            <w:r>
              <w:rPr>
                <w:sz w:val="21"/>
                <w:szCs w:val="21"/>
              </w:rPr>
              <w:t>无溶剂</w:t>
            </w:r>
          </w:p>
          <w:p w14:paraId="0BFEFAF2">
            <w:pPr>
              <w:adjustRightInd w:val="0"/>
              <w:snapToGrid w:val="0"/>
              <w:spacing w:line="240" w:lineRule="auto"/>
              <w:jc w:val="center"/>
              <w:rPr>
                <w:sz w:val="21"/>
                <w:szCs w:val="21"/>
              </w:rPr>
            </w:pPr>
            <w:r>
              <w:rPr>
                <w:sz w:val="21"/>
                <w:szCs w:val="21"/>
              </w:rPr>
              <w:t>复合机</w:t>
            </w:r>
          </w:p>
        </w:tc>
        <w:tc>
          <w:tcPr>
            <w:tcW w:w="2269" w:type="dxa"/>
            <w:gridSpan w:val="2"/>
            <w:tcBorders>
              <w:tl2br w:val="nil"/>
              <w:tr2bl w:val="nil"/>
            </w:tcBorders>
            <w:vAlign w:val="center"/>
          </w:tcPr>
          <w:p w14:paraId="1A3B4079">
            <w:pPr>
              <w:adjustRightInd w:val="0"/>
              <w:snapToGrid w:val="0"/>
              <w:spacing w:line="240" w:lineRule="auto"/>
              <w:jc w:val="center"/>
              <w:rPr>
                <w:sz w:val="21"/>
                <w:szCs w:val="21"/>
              </w:rPr>
            </w:pPr>
            <w:r>
              <w:rPr>
                <w:sz w:val="21"/>
                <w:szCs w:val="21"/>
              </w:rPr>
              <w:t>L1300</w:t>
            </w:r>
          </w:p>
        </w:tc>
        <w:tc>
          <w:tcPr>
            <w:tcW w:w="992" w:type="dxa"/>
            <w:tcBorders>
              <w:tl2br w:val="nil"/>
              <w:tr2bl w:val="nil"/>
            </w:tcBorders>
            <w:vAlign w:val="center"/>
          </w:tcPr>
          <w:p w14:paraId="44F801F1">
            <w:pPr>
              <w:adjustRightInd w:val="0"/>
              <w:snapToGrid w:val="0"/>
              <w:spacing w:line="240" w:lineRule="auto"/>
              <w:jc w:val="center"/>
              <w:rPr>
                <w:sz w:val="21"/>
                <w:szCs w:val="21"/>
              </w:rPr>
            </w:pPr>
            <w:r>
              <w:rPr>
                <w:sz w:val="21"/>
                <w:szCs w:val="21"/>
              </w:rPr>
              <w:t>8</w:t>
            </w:r>
            <w:r>
              <w:rPr>
                <w:rFonts w:hint="eastAsia"/>
                <w:sz w:val="21"/>
                <w:szCs w:val="21"/>
              </w:rPr>
              <w:t>台</w:t>
            </w:r>
          </w:p>
        </w:tc>
        <w:tc>
          <w:tcPr>
            <w:tcW w:w="987" w:type="dxa"/>
            <w:tcBorders>
              <w:tl2br w:val="nil"/>
              <w:tr2bl w:val="nil"/>
            </w:tcBorders>
            <w:vAlign w:val="center"/>
          </w:tcPr>
          <w:p w14:paraId="5414D47A">
            <w:pPr>
              <w:adjustRightInd w:val="0"/>
              <w:snapToGrid w:val="0"/>
              <w:spacing w:line="240" w:lineRule="auto"/>
              <w:jc w:val="center"/>
              <w:rPr>
                <w:sz w:val="21"/>
                <w:szCs w:val="21"/>
              </w:rPr>
            </w:pPr>
            <w:r>
              <w:rPr>
                <w:rFonts w:hint="eastAsia"/>
                <w:sz w:val="21"/>
                <w:szCs w:val="21"/>
              </w:rPr>
              <w:t>0</w:t>
            </w:r>
          </w:p>
        </w:tc>
        <w:tc>
          <w:tcPr>
            <w:tcW w:w="1082" w:type="dxa"/>
            <w:tcBorders>
              <w:tl2br w:val="nil"/>
              <w:tr2bl w:val="nil"/>
            </w:tcBorders>
            <w:vAlign w:val="center"/>
          </w:tcPr>
          <w:p w14:paraId="32CFF73E">
            <w:pPr>
              <w:adjustRightInd w:val="0"/>
              <w:snapToGrid w:val="0"/>
              <w:spacing w:line="240" w:lineRule="auto"/>
              <w:jc w:val="center"/>
              <w:rPr>
                <w:sz w:val="21"/>
                <w:szCs w:val="21"/>
              </w:rPr>
            </w:pPr>
            <w:r>
              <w:rPr>
                <w:rFonts w:hint="eastAsia"/>
                <w:sz w:val="21"/>
                <w:szCs w:val="21"/>
              </w:rPr>
              <w:t>-1台</w:t>
            </w:r>
          </w:p>
        </w:tc>
        <w:tc>
          <w:tcPr>
            <w:tcW w:w="908" w:type="dxa"/>
            <w:tcBorders>
              <w:tl2br w:val="nil"/>
              <w:tr2bl w:val="nil"/>
            </w:tcBorders>
            <w:vAlign w:val="center"/>
          </w:tcPr>
          <w:p w14:paraId="21917EE6">
            <w:pPr>
              <w:adjustRightInd w:val="0"/>
              <w:snapToGrid w:val="0"/>
              <w:spacing w:line="240" w:lineRule="auto"/>
              <w:jc w:val="center"/>
              <w:rPr>
                <w:sz w:val="21"/>
                <w:szCs w:val="21"/>
              </w:rPr>
            </w:pPr>
            <w:r>
              <w:rPr>
                <w:rFonts w:hint="eastAsia"/>
                <w:sz w:val="21"/>
                <w:szCs w:val="21"/>
              </w:rPr>
              <w:t>7台</w:t>
            </w:r>
          </w:p>
        </w:tc>
        <w:tc>
          <w:tcPr>
            <w:tcW w:w="852" w:type="dxa"/>
            <w:tcBorders>
              <w:tl2br w:val="nil"/>
              <w:tr2bl w:val="nil"/>
            </w:tcBorders>
            <w:vAlign w:val="center"/>
          </w:tcPr>
          <w:p w14:paraId="3323660D">
            <w:pPr>
              <w:adjustRightInd w:val="0"/>
              <w:snapToGrid w:val="0"/>
              <w:spacing w:line="240" w:lineRule="auto"/>
              <w:jc w:val="center"/>
              <w:rPr>
                <w:sz w:val="21"/>
                <w:szCs w:val="21"/>
              </w:rPr>
            </w:pPr>
            <w:r>
              <w:rPr>
                <w:sz w:val="21"/>
                <w:szCs w:val="21"/>
              </w:rPr>
              <w:t>淘汰</w:t>
            </w:r>
          </w:p>
        </w:tc>
      </w:tr>
      <w:tr w14:paraId="2DE1F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263FDE25">
            <w:pPr>
              <w:adjustRightInd w:val="0"/>
              <w:snapToGrid w:val="0"/>
              <w:spacing w:line="240" w:lineRule="auto"/>
              <w:jc w:val="center"/>
              <w:rPr>
                <w:sz w:val="21"/>
                <w:szCs w:val="21"/>
              </w:rPr>
            </w:pPr>
          </w:p>
        </w:tc>
        <w:tc>
          <w:tcPr>
            <w:tcW w:w="709" w:type="dxa"/>
            <w:vMerge w:val="continue"/>
            <w:tcBorders>
              <w:tl2br w:val="nil"/>
              <w:tr2bl w:val="nil"/>
            </w:tcBorders>
            <w:vAlign w:val="center"/>
          </w:tcPr>
          <w:p w14:paraId="168529B7">
            <w:pPr>
              <w:adjustRightInd w:val="0"/>
              <w:snapToGrid w:val="0"/>
              <w:spacing w:line="240" w:lineRule="auto"/>
              <w:jc w:val="center"/>
              <w:rPr>
                <w:sz w:val="21"/>
                <w:szCs w:val="21"/>
              </w:rPr>
            </w:pPr>
          </w:p>
        </w:tc>
        <w:tc>
          <w:tcPr>
            <w:tcW w:w="2269" w:type="dxa"/>
            <w:gridSpan w:val="2"/>
            <w:tcBorders>
              <w:tl2br w:val="nil"/>
              <w:tr2bl w:val="nil"/>
            </w:tcBorders>
            <w:vAlign w:val="center"/>
          </w:tcPr>
          <w:p w14:paraId="44B2B594">
            <w:pPr>
              <w:adjustRightInd w:val="0"/>
              <w:snapToGrid w:val="0"/>
              <w:spacing w:line="240" w:lineRule="auto"/>
              <w:jc w:val="center"/>
              <w:rPr>
                <w:sz w:val="21"/>
                <w:szCs w:val="21"/>
              </w:rPr>
            </w:pPr>
            <w:r>
              <w:rPr>
                <w:sz w:val="21"/>
                <w:szCs w:val="21"/>
              </w:rPr>
              <w:t>L1300</w:t>
            </w:r>
            <w:r>
              <w:rPr>
                <w:rFonts w:hint="eastAsia"/>
                <w:sz w:val="21"/>
                <w:szCs w:val="21"/>
              </w:rPr>
              <w:t>S</w:t>
            </w:r>
          </w:p>
        </w:tc>
        <w:tc>
          <w:tcPr>
            <w:tcW w:w="992" w:type="dxa"/>
            <w:tcBorders>
              <w:tl2br w:val="nil"/>
              <w:tr2bl w:val="nil"/>
            </w:tcBorders>
            <w:vAlign w:val="center"/>
          </w:tcPr>
          <w:p w14:paraId="43FBCA5C">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9D709F9">
            <w:pPr>
              <w:adjustRightInd w:val="0"/>
              <w:snapToGrid w:val="0"/>
              <w:spacing w:line="240" w:lineRule="auto"/>
              <w:jc w:val="center"/>
              <w:rPr>
                <w:sz w:val="21"/>
                <w:szCs w:val="21"/>
              </w:rPr>
            </w:pPr>
            <w:r>
              <w:rPr>
                <w:rFonts w:hint="eastAsia"/>
                <w:sz w:val="21"/>
                <w:szCs w:val="21"/>
              </w:rPr>
              <w:t>+2台</w:t>
            </w:r>
          </w:p>
        </w:tc>
        <w:tc>
          <w:tcPr>
            <w:tcW w:w="1082" w:type="dxa"/>
            <w:tcBorders>
              <w:tl2br w:val="nil"/>
              <w:tr2bl w:val="nil"/>
            </w:tcBorders>
            <w:vAlign w:val="center"/>
          </w:tcPr>
          <w:p w14:paraId="75F4504A">
            <w:pPr>
              <w:adjustRightInd w:val="0"/>
              <w:snapToGrid w:val="0"/>
              <w:spacing w:line="240" w:lineRule="auto"/>
              <w:jc w:val="center"/>
              <w:rPr>
                <w:sz w:val="21"/>
                <w:szCs w:val="21"/>
              </w:rPr>
            </w:pPr>
            <w:r>
              <w:rPr>
                <w:rFonts w:hint="eastAsia"/>
                <w:sz w:val="21"/>
                <w:szCs w:val="21"/>
              </w:rPr>
              <w:t>-2台</w:t>
            </w:r>
          </w:p>
        </w:tc>
        <w:tc>
          <w:tcPr>
            <w:tcW w:w="908" w:type="dxa"/>
            <w:tcBorders>
              <w:tl2br w:val="nil"/>
              <w:tr2bl w:val="nil"/>
            </w:tcBorders>
            <w:vAlign w:val="center"/>
          </w:tcPr>
          <w:p w14:paraId="6A079007">
            <w:pPr>
              <w:adjustRightInd w:val="0"/>
              <w:snapToGrid w:val="0"/>
              <w:spacing w:line="240" w:lineRule="auto"/>
              <w:jc w:val="center"/>
              <w:rPr>
                <w:sz w:val="21"/>
                <w:szCs w:val="21"/>
              </w:rPr>
            </w:pPr>
            <w:r>
              <w:rPr>
                <w:rFonts w:hint="eastAsia"/>
                <w:sz w:val="21"/>
                <w:szCs w:val="21"/>
              </w:rPr>
              <w:t>0</w:t>
            </w:r>
          </w:p>
        </w:tc>
        <w:tc>
          <w:tcPr>
            <w:tcW w:w="852" w:type="dxa"/>
            <w:tcBorders>
              <w:tl2br w:val="nil"/>
              <w:tr2bl w:val="nil"/>
            </w:tcBorders>
            <w:vAlign w:val="center"/>
          </w:tcPr>
          <w:p w14:paraId="0C29D80A">
            <w:pPr>
              <w:adjustRightInd w:val="0"/>
              <w:snapToGrid w:val="0"/>
              <w:spacing w:line="240" w:lineRule="auto"/>
              <w:jc w:val="center"/>
              <w:rPr>
                <w:sz w:val="21"/>
                <w:szCs w:val="21"/>
              </w:rPr>
            </w:pPr>
            <w:r>
              <w:rPr>
                <w:sz w:val="21"/>
                <w:szCs w:val="21"/>
              </w:rPr>
              <w:t>调整</w:t>
            </w:r>
          </w:p>
        </w:tc>
      </w:tr>
      <w:tr w14:paraId="6A31C1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C49479D">
            <w:pPr>
              <w:adjustRightInd w:val="0"/>
              <w:snapToGrid w:val="0"/>
              <w:spacing w:line="240" w:lineRule="auto"/>
              <w:jc w:val="center"/>
              <w:rPr>
                <w:sz w:val="21"/>
                <w:szCs w:val="21"/>
              </w:rPr>
            </w:pPr>
          </w:p>
        </w:tc>
        <w:tc>
          <w:tcPr>
            <w:tcW w:w="709" w:type="dxa"/>
            <w:vMerge w:val="restart"/>
            <w:tcBorders>
              <w:tl2br w:val="nil"/>
              <w:tr2bl w:val="nil"/>
            </w:tcBorders>
            <w:vAlign w:val="center"/>
          </w:tcPr>
          <w:p w14:paraId="65E4B117">
            <w:pPr>
              <w:adjustRightInd w:val="0"/>
              <w:snapToGrid w:val="0"/>
              <w:spacing w:line="240" w:lineRule="auto"/>
              <w:jc w:val="center"/>
              <w:rPr>
                <w:sz w:val="21"/>
                <w:szCs w:val="21"/>
              </w:rPr>
            </w:pPr>
            <w:r>
              <w:rPr>
                <w:sz w:val="21"/>
                <w:szCs w:val="21"/>
              </w:rPr>
              <w:t>熟化室</w:t>
            </w:r>
          </w:p>
        </w:tc>
        <w:tc>
          <w:tcPr>
            <w:tcW w:w="2269" w:type="dxa"/>
            <w:gridSpan w:val="2"/>
            <w:tcBorders>
              <w:tl2br w:val="nil"/>
              <w:tr2bl w:val="nil"/>
            </w:tcBorders>
            <w:vAlign w:val="center"/>
          </w:tcPr>
          <w:p w14:paraId="7299A17B">
            <w:pPr>
              <w:adjustRightInd w:val="0"/>
              <w:snapToGrid w:val="0"/>
              <w:spacing w:line="240" w:lineRule="auto"/>
              <w:jc w:val="center"/>
              <w:rPr>
                <w:sz w:val="21"/>
                <w:szCs w:val="21"/>
              </w:rPr>
            </w:pPr>
            <w:r>
              <w:rPr>
                <w:sz w:val="21"/>
                <w:szCs w:val="21"/>
              </w:rPr>
              <w:t>6米长移动箱式（6×1.56）</w:t>
            </w:r>
          </w:p>
        </w:tc>
        <w:tc>
          <w:tcPr>
            <w:tcW w:w="992" w:type="dxa"/>
            <w:tcBorders>
              <w:tl2br w:val="nil"/>
              <w:tr2bl w:val="nil"/>
            </w:tcBorders>
            <w:vAlign w:val="center"/>
          </w:tcPr>
          <w:p w14:paraId="1874FAAA">
            <w:pPr>
              <w:adjustRightInd w:val="0"/>
              <w:snapToGrid w:val="0"/>
              <w:spacing w:line="240" w:lineRule="auto"/>
              <w:jc w:val="center"/>
              <w:rPr>
                <w:sz w:val="21"/>
                <w:szCs w:val="21"/>
              </w:rPr>
            </w:pPr>
            <w:r>
              <w:rPr>
                <w:sz w:val="21"/>
                <w:szCs w:val="21"/>
              </w:rPr>
              <w:t>4</w:t>
            </w:r>
            <w:r>
              <w:rPr>
                <w:rFonts w:hint="eastAsia"/>
                <w:sz w:val="21"/>
                <w:szCs w:val="21"/>
              </w:rPr>
              <w:t>间</w:t>
            </w:r>
          </w:p>
        </w:tc>
        <w:tc>
          <w:tcPr>
            <w:tcW w:w="987" w:type="dxa"/>
            <w:tcBorders>
              <w:tl2br w:val="nil"/>
              <w:tr2bl w:val="nil"/>
            </w:tcBorders>
            <w:vAlign w:val="center"/>
          </w:tcPr>
          <w:p w14:paraId="707E80D8">
            <w:pPr>
              <w:adjustRightInd w:val="0"/>
              <w:snapToGrid w:val="0"/>
              <w:spacing w:line="240" w:lineRule="auto"/>
              <w:jc w:val="center"/>
              <w:rPr>
                <w:sz w:val="21"/>
                <w:szCs w:val="21"/>
              </w:rPr>
            </w:pPr>
            <w:r>
              <w:rPr>
                <w:sz w:val="21"/>
                <w:szCs w:val="21"/>
              </w:rPr>
              <w:t>0</w:t>
            </w:r>
          </w:p>
        </w:tc>
        <w:tc>
          <w:tcPr>
            <w:tcW w:w="1082" w:type="dxa"/>
            <w:tcBorders>
              <w:tl2br w:val="nil"/>
              <w:tr2bl w:val="nil"/>
            </w:tcBorders>
            <w:vAlign w:val="center"/>
          </w:tcPr>
          <w:p w14:paraId="1774C0A6">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202EA12">
            <w:pPr>
              <w:adjustRightInd w:val="0"/>
              <w:snapToGrid w:val="0"/>
              <w:spacing w:line="240" w:lineRule="auto"/>
              <w:jc w:val="center"/>
              <w:rPr>
                <w:sz w:val="21"/>
                <w:szCs w:val="21"/>
              </w:rPr>
            </w:pPr>
            <w:r>
              <w:rPr>
                <w:sz w:val="21"/>
                <w:szCs w:val="21"/>
              </w:rPr>
              <w:t>4</w:t>
            </w:r>
            <w:r>
              <w:rPr>
                <w:rFonts w:hint="eastAsia"/>
                <w:sz w:val="21"/>
                <w:szCs w:val="21"/>
              </w:rPr>
              <w:t>间</w:t>
            </w:r>
          </w:p>
        </w:tc>
        <w:tc>
          <w:tcPr>
            <w:tcW w:w="852" w:type="dxa"/>
            <w:tcBorders>
              <w:tl2br w:val="nil"/>
              <w:tr2bl w:val="nil"/>
            </w:tcBorders>
            <w:vAlign w:val="center"/>
          </w:tcPr>
          <w:p w14:paraId="74E26B4F">
            <w:pPr>
              <w:adjustRightInd w:val="0"/>
              <w:snapToGrid w:val="0"/>
              <w:spacing w:line="240" w:lineRule="auto"/>
              <w:jc w:val="center"/>
              <w:rPr>
                <w:sz w:val="21"/>
                <w:szCs w:val="21"/>
              </w:rPr>
            </w:pPr>
            <w:r>
              <w:rPr>
                <w:rFonts w:hint="eastAsia"/>
                <w:sz w:val="21"/>
                <w:szCs w:val="21"/>
              </w:rPr>
              <w:t>/</w:t>
            </w:r>
          </w:p>
        </w:tc>
      </w:tr>
      <w:tr w14:paraId="12B225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0EB3158">
            <w:pPr>
              <w:adjustRightInd w:val="0"/>
              <w:snapToGrid w:val="0"/>
              <w:spacing w:line="240" w:lineRule="auto"/>
              <w:jc w:val="center"/>
              <w:rPr>
                <w:sz w:val="21"/>
                <w:szCs w:val="21"/>
              </w:rPr>
            </w:pPr>
          </w:p>
        </w:tc>
        <w:tc>
          <w:tcPr>
            <w:tcW w:w="709" w:type="dxa"/>
            <w:vMerge w:val="continue"/>
            <w:tcBorders>
              <w:tl2br w:val="nil"/>
              <w:tr2bl w:val="nil"/>
            </w:tcBorders>
            <w:vAlign w:val="center"/>
          </w:tcPr>
          <w:p w14:paraId="4048992D">
            <w:pPr>
              <w:adjustRightInd w:val="0"/>
              <w:snapToGrid w:val="0"/>
              <w:spacing w:line="240" w:lineRule="auto"/>
              <w:jc w:val="center"/>
              <w:rPr>
                <w:sz w:val="21"/>
                <w:szCs w:val="21"/>
              </w:rPr>
            </w:pPr>
          </w:p>
        </w:tc>
        <w:tc>
          <w:tcPr>
            <w:tcW w:w="2269" w:type="dxa"/>
            <w:gridSpan w:val="2"/>
            <w:tcBorders>
              <w:tl2br w:val="nil"/>
              <w:tr2bl w:val="nil"/>
            </w:tcBorders>
            <w:vAlign w:val="center"/>
          </w:tcPr>
          <w:p w14:paraId="225E8B70">
            <w:pPr>
              <w:adjustRightInd w:val="0"/>
              <w:snapToGrid w:val="0"/>
              <w:spacing w:line="240" w:lineRule="auto"/>
              <w:jc w:val="center"/>
              <w:rPr>
                <w:sz w:val="21"/>
                <w:szCs w:val="21"/>
              </w:rPr>
            </w:pPr>
            <w:r>
              <w:rPr>
                <w:sz w:val="21"/>
                <w:szCs w:val="21"/>
              </w:rPr>
              <w:t>10米长移动箱式（10×1.66）</w:t>
            </w:r>
          </w:p>
        </w:tc>
        <w:tc>
          <w:tcPr>
            <w:tcW w:w="992" w:type="dxa"/>
            <w:tcBorders>
              <w:tl2br w:val="nil"/>
              <w:tr2bl w:val="nil"/>
            </w:tcBorders>
            <w:vAlign w:val="center"/>
          </w:tcPr>
          <w:p w14:paraId="62A46579">
            <w:pPr>
              <w:adjustRightInd w:val="0"/>
              <w:snapToGrid w:val="0"/>
              <w:spacing w:line="240" w:lineRule="auto"/>
              <w:jc w:val="center"/>
              <w:rPr>
                <w:sz w:val="21"/>
                <w:szCs w:val="21"/>
              </w:rPr>
            </w:pPr>
            <w:r>
              <w:rPr>
                <w:sz w:val="21"/>
                <w:szCs w:val="21"/>
              </w:rPr>
              <w:t>16</w:t>
            </w:r>
            <w:r>
              <w:rPr>
                <w:rFonts w:hint="eastAsia"/>
                <w:sz w:val="21"/>
                <w:szCs w:val="21"/>
              </w:rPr>
              <w:t>间</w:t>
            </w:r>
          </w:p>
        </w:tc>
        <w:tc>
          <w:tcPr>
            <w:tcW w:w="987" w:type="dxa"/>
            <w:tcBorders>
              <w:tl2br w:val="nil"/>
              <w:tr2bl w:val="nil"/>
            </w:tcBorders>
            <w:vAlign w:val="center"/>
          </w:tcPr>
          <w:p w14:paraId="701B5708">
            <w:pPr>
              <w:adjustRightInd w:val="0"/>
              <w:snapToGrid w:val="0"/>
              <w:spacing w:line="240" w:lineRule="auto"/>
              <w:jc w:val="center"/>
              <w:rPr>
                <w:sz w:val="21"/>
                <w:szCs w:val="21"/>
              </w:rPr>
            </w:pPr>
            <w:r>
              <w:rPr>
                <w:sz w:val="21"/>
                <w:szCs w:val="21"/>
              </w:rPr>
              <w:t>0</w:t>
            </w:r>
          </w:p>
        </w:tc>
        <w:tc>
          <w:tcPr>
            <w:tcW w:w="1082" w:type="dxa"/>
            <w:tcBorders>
              <w:tl2br w:val="nil"/>
              <w:tr2bl w:val="nil"/>
            </w:tcBorders>
            <w:vAlign w:val="center"/>
          </w:tcPr>
          <w:p w14:paraId="79D46D3C">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5016AC6">
            <w:pPr>
              <w:adjustRightInd w:val="0"/>
              <w:snapToGrid w:val="0"/>
              <w:spacing w:line="240" w:lineRule="auto"/>
              <w:jc w:val="center"/>
              <w:rPr>
                <w:sz w:val="21"/>
                <w:szCs w:val="21"/>
              </w:rPr>
            </w:pPr>
            <w:r>
              <w:rPr>
                <w:sz w:val="21"/>
                <w:szCs w:val="21"/>
              </w:rPr>
              <w:t>16</w:t>
            </w:r>
            <w:r>
              <w:rPr>
                <w:rFonts w:hint="eastAsia"/>
                <w:sz w:val="21"/>
                <w:szCs w:val="21"/>
              </w:rPr>
              <w:t>间</w:t>
            </w:r>
          </w:p>
        </w:tc>
        <w:tc>
          <w:tcPr>
            <w:tcW w:w="852" w:type="dxa"/>
            <w:tcBorders>
              <w:tl2br w:val="nil"/>
              <w:tr2bl w:val="nil"/>
            </w:tcBorders>
            <w:vAlign w:val="center"/>
          </w:tcPr>
          <w:p w14:paraId="7F4C880C">
            <w:pPr>
              <w:adjustRightInd w:val="0"/>
              <w:snapToGrid w:val="0"/>
              <w:spacing w:line="240" w:lineRule="auto"/>
              <w:jc w:val="center"/>
              <w:rPr>
                <w:sz w:val="21"/>
                <w:szCs w:val="21"/>
              </w:rPr>
            </w:pPr>
            <w:r>
              <w:rPr>
                <w:rFonts w:hint="eastAsia"/>
                <w:sz w:val="21"/>
                <w:szCs w:val="21"/>
              </w:rPr>
              <w:t>/</w:t>
            </w:r>
          </w:p>
        </w:tc>
      </w:tr>
      <w:tr w14:paraId="2CB68D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63276C0A">
            <w:pPr>
              <w:adjustRightInd w:val="0"/>
              <w:snapToGrid w:val="0"/>
              <w:spacing w:line="240" w:lineRule="auto"/>
              <w:jc w:val="center"/>
              <w:rPr>
                <w:sz w:val="21"/>
                <w:szCs w:val="21"/>
              </w:rPr>
            </w:pPr>
          </w:p>
        </w:tc>
        <w:tc>
          <w:tcPr>
            <w:tcW w:w="709" w:type="dxa"/>
            <w:vMerge w:val="continue"/>
            <w:tcBorders>
              <w:tl2br w:val="nil"/>
              <w:tr2bl w:val="nil"/>
            </w:tcBorders>
            <w:vAlign w:val="center"/>
          </w:tcPr>
          <w:p w14:paraId="7273D790">
            <w:pPr>
              <w:adjustRightInd w:val="0"/>
              <w:snapToGrid w:val="0"/>
              <w:spacing w:line="240" w:lineRule="auto"/>
              <w:jc w:val="center"/>
              <w:rPr>
                <w:sz w:val="21"/>
                <w:szCs w:val="21"/>
              </w:rPr>
            </w:pPr>
          </w:p>
        </w:tc>
        <w:tc>
          <w:tcPr>
            <w:tcW w:w="2269" w:type="dxa"/>
            <w:gridSpan w:val="2"/>
            <w:tcBorders>
              <w:tl2br w:val="nil"/>
              <w:tr2bl w:val="nil"/>
            </w:tcBorders>
            <w:vAlign w:val="center"/>
          </w:tcPr>
          <w:p w14:paraId="31E8F9CC">
            <w:pPr>
              <w:adjustRightInd w:val="0"/>
              <w:snapToGrid w:val="0"/>
              <w:spacing w:line="240" w:lineRule="auto"/>
              <w:jc w:val="center"/>
              <w:rPr>
                <w:sz w:val="21"/>
                <w:szCs w:val="21"/>
              </w:rPr>
            </w:pPr>
            <w:r>
              <w:rPr>
                <w:sz w:val="21"/>
                <w:szCs w:val="21"/>
              </w:rPr>
              <w:t>8米长移动箱式（8×1.66）</w:t>
            </w:r>
          </w:p>
        </w:tc>
        <w:tc>
          <w:tcPr>
            <w:tcW w:w="992" w:type="dxa"/>
            <w:tcBorders>
              <w:tl2br w:val="nil"/>
              <w:tr2bl w:val="nil"/>
            </w:tcBorders>
            <w:vAlign w:val="center"/>
          </w:tcPr>
          <w:p w14:paraId="5FE5EA1F">
            <w:pPr>
              <w:adjustRightInd w:val="0"/>
              <w:snapToGrid w:val="0"/>
              <w:spacing w:line="240" w:lineRule="auto"/>
              <w:jc w:val="center"/>
              <w:rPr>
                <w:sz w:val="21"/>
                <w:szCs w:val="21"/>
              </w:rPr>
            </w:pPr>
            <w:r>
              <w:rPr>
                <w:sz w:val="21"/>
                <w:szCs w:val="21"/>
              </w:rPr>
              <w:t>/</w:t>
            </w:r>
          </w:p>
        </w:tc>
        <w:tc>
          <w:tcPr>
            <w:tcW w:w="987" w:type="dxa"/>
            <w:tcBorders>
              <w:tl2br w:val="nil"/>
              <w:tr2bl w:val="nil"/>
            </w:tcBorders>
            <w:vAlign w:val="center"/>
          </w:tcPr>
          <w:p w14:paraId="77F4B495">
            <w:pPr>
              <w:adjustRightInd w:val="0"/>
              <w:snapToGrid w:val="0"/>
              <w:spacing w:line="240" w:lineRule="auto"/>
              <w:jc w:val="center"/>
              <w:rPr>
                <w:sz w:val="21"/>
                <w:szCs w:val="21"/>
              </w:rPr>
            </w:pPr>
            <w:r>
              <w:rPr>
                <w:rFonts w:hint="eastAsia"/>
                <w:sz w:val="21"/>
                <w:szCs w:val="21"/>
              </w:rPr>
              <w:t>+</w:t>
            </w:r>
            <w:r>
              <w:rPr>
                <w:sz w:val="21"/>
                <w:szCs w:val="21"/>
              </w:rPr>
              <w:t>6</w:t>
            </w:r>
            <w:r>
              <w:rPr>
                <w:rFonts w:hint="eastAsia"/>
                <w:sz w:val="21"/>
                <w:szCs w:val="21"/>
              </w:rPr>
              <w:t>间</w:t>
            </w:r>
          </w:p>
        </w:tc>
        <w:tc>
          <w:tcPr>
            <w:tcW w:w="1082" w:type="dxa"/>
            <w:tcBorders>
              <w:tl2br w:val="nil"/>
              <w:tr2bl w:val="nil"/>
            </w:tcBorders>
            <w:vAlign w:val="center"/>
          </w:tcPr>
          <w:p w14:paraId="4DE8D225">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F51FB6E">
            <w:pPr>
              <w:adjustRightInd w:val="0"/>
              <w:snapToGrid w:val="0"/>
              <w:spacing w:line="240" w:lineRule="auto"/>
              <w:jc w:val="center"/>
              <w:rPr>
                <w:sz w:val="21"/>
                <w:szCs w:val="21"/>
              </w:rPr>
            </w:pPr>
            <w:r>
              <w:rPr>
                <w:sz w:val="21"/>
                <w:szCs w:val="21"/>
              </w:rPr>
              <w:t>6</w:t>
            </w:r>
            <w:r>
              <w:rPr>
                <w:rFonts w:hint="eastAsia"/>
                <w:sz w:val="21"/>
                <w:szCs w:val="21"/>
              </w:rPr>
              <w:t>间</w:t>
            </w:r>
          </w:p>
        </w:tc>
        <w:tc>
          <w:tcPr>
            <w:tcW w:w="852" w:type="dxa"/>
            <w:tcBorders>
              <w:tl2br w:val="nil"/>
              <w:tr2bl w:val="nil"/>
            </w:tcBorders>
            <w:vAlign w:val="center"/>
          </w:tcPr>
          <w:p w14:paraId="3D44C298">
            <w:pPr>
              <w:adjustRightInd w:val="0"/>
              <w:snapToGrid w:val="0"/>
              <w:spacing w:line="240" w:lineRule="auto"/>
              <w:jc w:val="center"/>
              <w:rPr>
                <w:sz w:val="21"/>
                <w:szCs w:val="21"/>
              </w:rPr>
            </w:pPr>
            <w:r>
              <w:rPr>
                <w:rFonts w:hint="eastAsia"/>
                <w:sz w:val="21"/>
                <w:szCs w:val="21"/>
              </w:rPr>
              <w:t>/</w:t>
            </w:r>
          </w:p>
        </w:tc>
      </w:tr>
      <w:tr w14:paraId="1CCBD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221B276">
            <w:pPr>
              <w:adjustRightInd w:val="0"/>
              <w:snapToGrid w:val="0"/>
              <w:spacing w:line="240" w:lineRule="auto"/>
              <w:jc w:val="center"/>
              <w:rPr>
                <w:sz w:val="21"/>
                <w:szCs w:val="21"/>
              </w:rPr>
            </w:pPr>
          </w:p>
        </w:tc>
        <w:tc>
          <w:tcPr>
            <w:tcW w:w="709" w:type="dxa"/>
            <w:tcBorders>
              <w:tl2br w:val="nil"/>
              <w:tr2bl w:val="nil"/>
            </w:tcBorders>
            <w:vAlign w:val="center"/>
          </w:tcPr>
          <w:p w14:paraId="653520C7">
            <w:pPr>
              <w:adjustRightInd w:val="0"/>
              <w:snapToGrid w:val="0"/>
              <w:spacing w:line="240" w:lineRule="auto"/>
              <w:jc w:val="center"/>
              <w:rPr>
                <w:sz w:val="21"/>
                <w:szCs w:val="21"/>
              </w:rPr>
            </w:pPr>
            <w:r>
              <w:rPr>
                <w:sz w:val="21"/>
                <w:szCs w:val="21"/>
              </w:rPr>
              <w:t>烫金机</w:t>
            </w:r>
          </w:p>
        </w:tc>
        <w:tc>
          <w:tcPr>
            <w:tcW w:w="2269" w:type="dxa"/>
            <w:gridSpan w:val="2"/>
            <w:tcBorders>
              <w:tl2br w:val="nil"/>
              <w:tr2bl w:val="nil"/>
            </w:tcBorders>
            <w:vAlign w:val="center"/>
          </w:tcPr>
          <w:p w14:paraId="0BD94B5C">
            <w:pPr>
              <w:adjustRightInd w:val="0"/>
              <w:snapToGrid w:val="0"/>
              <w:spacing w:line="240" w:lineRule="auto"/>
              <w:jc w:val="center"/>
              <w:rPr>
                <w:sz w:val="21"/>
                <w:szCs w:val="21"/>
              </w:rPr>
            </w:pPr>
            <w:r>
              <w:rPr>
                <w:sz w:val="21"/>
                <w:szCs w:val="21"/>
              </w:rPr>
              <w:t>/</w:t>
            </w:r>
          </w:p>
        </w:tc>
        <w:tc>
          <w:tcPr>
            <w:tcW w:w="992" w:type="dxa"/>
            <w:tcBorders>
              <w:tl2br w:val="nil"/>
              <w:tr2bl w:val="nil"/>
            </w:tcBorders>
            <w:vAlign w:val="center"/>
          </w:tcPr>
          <w:p w14:paraId="5092C973">
            <w:pPr>
              <w:adjustRightInd w:val="0"/>
              <w:snapToGrid w:val="0"/>
              <w:spacing w:line="240" w:lineRule="auto"/>
              <w:jc w:val="center"/>
              <w:rPr>
                <w:sz w:val="21"/>
                <w:szCs w:val="21"/>
              </w:rPr>
            </w:pPr>
            <w:r>
              <w:rPr>
                <w:sz w:val="21"/>
                <w:szCs w:val="21"/>
              </w:rPr>
              <w:t>0</w:t>
            </w:r>
          </w:p>
        </w:tc>
        <w:tc>
          <w:tcPr>
            <w:tcW w:w="987" w:type="dxa"/>
            <w:tcBorders>
              <w:tl2br w:val="nil"/>
              <w:tr2bl w:val="nil"/>
            </w:tcBorders>
            <w:vAlign w:val="center"/>
          </w:tcPr>
          <w:p w14:paraId="018B7FD7">
            <w:pPr>
              <w:adjustRightInd w:val="0"/>
              <w:snapToGrid w:val="0"/>
              <w:spacing w:line="240" w:lineRule="auto"/>
              <w:jc w:val="center"/>
              <w:rPr>
                <w:sz w:val="21"/>
                <w:szCs w:val="21"/>
              </w:rPr>
            </w:pPr>
            <w:r>
              <w:rPr>
                <w:rFonts w:hint="eastAsia"/>
                <w:sz w:val="21"/>
                <w:szCs w:val="21"/>
              </w:rPr>
              <w:t>+</w:t>
            </w:r>
            <w:r>
              <w:rPr>
                <w:sz w:val="21"/>
                <w:szCs w:val="21"/>
              </w:rPr>
              <w:t>14</w:t>
            </w:r>
            <w:r>
              <w:rPr>
                <w:rFonts w:hint="eastAsia"/>
                <w:sz w:val="21"/>
                <w:szCs w:val="21"/>
              </w:rPr>
              <w:t>台</w:t>
            </w:r>
          </w:p>
        </w:tc>
        <w:tc>
          <w:tcPr>
            <w:tcW w:w="1082" w:type="dxa"/>
            <w:tcBorders>
              <w:tl2br w:val="nil"/>
              <w:tr2bl w:val="nil"/>
            </w:tcBorders>
            <w:vAlign w:val="center"/>
          </w:tcPr>
          <w:p w14:paraId="54484AB0">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00D9D2C5">
            <w:pPr>
              <w:adjustRightInd w:val="0"/>
              <w:snapToGrid w:val="0"/>
              <w:spacing w:line="240" w:lineRule="auto"/>
              <w:jc w:val="center"/>
              <w:rPr>
                <w:sz w:val="21"/>
                <w:szCs w:val="21"/>
              </w:rPr>
            </w:pPr>
            <w:r>
              <w:rPr>
                <w:sz w:val="21"/>
                <w:szCs w:val="21"/>
              </w:rPr>
              <w:t>14</w:t>
            </w:r>
            <w:r>
              <w:rPr>
                <w:rFonts w:hint="eastAsia"/>
                <w:sz w:val="21"/>
                <w:szCs w:val="21"/>
              </w:rPr>
              <w:t>台</w:t>
            </w:r>
          </w:p>
        </w:tc>
        <w:tc>
          <w:tcPr>
            <w:tcW w:w="852" w:type="dxa"/>
            <w:tcBorders>
              <w:tl2br w:val="nil"/>
              <w:tr2bl w:val="nil"/>
            </w:tcBorders>
            <w:vAlign w:val="center"/>
          </w:tcPr>
          <w:p w14:paraId="3590FECF">
            <w:pPr>
              <w:adjustRightInd w:val="0"/>
              <w:snapToGrid w:val="0"/>
              <w:spacing w:line="240" w:lineRule="auto"/>
              <w:jc w:val="center"/>
              <w:rPr>
                <w:sz w:val="21"/>
                <w:szCs w:val="21"/>
              </w:rPr>
            </w:pPr>
            <w:r>
              <w:rPr>
                <w:rFonts w:hint="eastAsia"/>
                <w:sz w:val="21"/>
                <w:szCs w:val="21"/>
              </w:rPr>
              <w:t>/</w:t>
            </w:r>
          </w:p>
        </w:tc>
      </w:tr>
      <w:tr w14:paraId="33E32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3985CD6A">
            <w:pPr>
              <w:adjustRightInd w:val="0"/>
              <w:snapToGrid w:val="0"/>
              <w:spacing w:line="240" w:lineRule="auto"/>
              <w:jc w:val="center"/>
              <w:rPr>
                <w:sz w:val="21"/>
                <w:szCs w:val="21"/>
              </w:rPr>
            </w:pPr>
          </w:p>
        </w:tc>
        <w:tc>
          <w:tcPr>
            <w:tcW w:w="709" w:type="dxa"/>
            <w:tcBorders>
              <w:tl2br w:val="nil"/>
              <w:tr2bl w:val="nil"/>
            </w:tcBorders>
            <w:vAlign w:val="center"/>
          </w:tcPr>
          <w:p w14:paraId="2F8F047D">
            <w:pPr>
              <w:adjustRightInd w:val="0"/>
              <w:snapToGrid w:val="0"/>
              <w:spacing w:line="240" w:lineRule="auto"/>
              <w:jc w:val="center"/>
              <w:rPr>
                <w:sz w:val="21"/>
                <w:szCs w:val="21"/>
              </w:rPr>
            </w:pPr>
            <w:r>
              <w:rPr>
                <w:sz w:val="21"/>
                <w:szCs w:val="21"/>
              </w:rPr>
              <w:t>制袋机</w:t>
            </w:r>
          </w:p>
        </w:tc>
        <w:tc>
          <w:tcPr>
            <w:tcW w:w="2269" w:type="dxa"/>
            <w:gridSpan w:val="2"/>
            <w:tcBorders>
              <w:tl2br w:val="nil"/>
              <w:tr2bl w:val="nil"/>
            </w:tcBorders>
            <w:vAlign w:val="center"/>
          </w:tcPr>
          <w:p w14:paraId="0052A30B">
            <w:pPr>
              <w:spacing w:line="240" w:lineRule="auto"/>
            </w:pPr>
            <w:r>
              <w:rPr>
                <w:sz w:val="21"/>
                <w:szCs w:val="21"/>
              </w:rPr>
              <w:t>FSD-420Ⅲ</w:t>
            </w:r>
            <w:r>
              <w:rPr>
                <w:rFonts w:ascii="宋体" w:hAnsi="宋体"/>
                <w:sz w:val="21"/>
                <w:szCs w:val="21"/>
              </w:rPr>
              <w:t>、</w:t>
            </w:r>
            <w:r>
              <w:rPr>
                <w:sz w:val="21"/>
                <w:szCs w:val="21"/>
              </w:rPr>
              <w:t>WZD-600</w:t>
            </w:r>
            <w:r>
              <w:rPr>
                <w:rFonts w:ascii="宋体" w:hAnsi="宋体"/>
                <w:sz w:val="21"/>
                <w:szCs w:val="21"/>
              </w:rPr>
              <w:t>、</w:t>
            </w:r>
            <w:r>
              <w:rPr>
                <w:sz w:val="21"/>
                <w:szCs w:val="21"/>
              </w:rPr>
              <w:t>FSD-600Ⅲ</w:t>
            </w:r>
            <w:r>
              <w:rPr>
                <w:rFonts w:ascii="宋体" w:hAnsi="宋体"/>
                <w:sz w:val="21"/>
                <w:szCs w:val="21"/>
              </w:rPr>
              <w:t>、</w:t>
            </w:r>
            <w:r>
              <w:rPr>
                <w:sz w:val="21"/>
                <w:szCs w:val="21"/>
              </w:rPr>
              <w:t>WSD-450</w:t>
            </w:r>
            <w:r>
              <w:rPr>
                <w:rFonts w:ascii="宋体" w:hAnsi="宋体"/>
                <w:sz w:val="21"/>
                <w:szCs w:val="21"/>
              </w:rPr>
              <w:t>、</w:t>
            </w:r>
            <w:r>
              <w:rPr>
                <w:sz w:val="21"/>
                <w:szCs w:val="21"/>
              </w:rPr>
              <w:t>SFZZ-500</w:t>
            </w:r>
            <w:r>
              <w:rPr>
                <w:rFonts w:ascii="宋体" w:hAnsi="宋体"/>
                <w:sz w:val="21"/>
                <w:szCs w:val="21"/>
              </w:rPr>
              <w:t>、</w:t>
            </w:r>
            <w:r>
              <w:rPr>
                <w:rFonts w:hint="eastAsia"/>
                <w:sz w:val="21"/>
                <w:szCs w:val="21"/>
              </w:rPr>
              <w:t>DZB-800BD</w:t>
            </w:r>
            <w:r>
              <w:rPr>
                <w:rFonts w:hint="eastAsia" w:ascii="宋体" w:hAnsi="宋体"/>
                <w:sz w:val="21"/>
                <w:szCs w:val="21"/>
              </w:rPr>
              <w:t>、</w:t>
            </w:r>
            <w:r>
              <w:rPr>
                <w:rFonts w:hint="eastAsia"/>
                <w:sz w:val="21"/>
                <w:szCs w:val="21"/>
              </w:rPr>
              <w:t>WSD-800B</w:t>
            </w:r>
            <w:r>
              <w:rPr>
                <w:rFonts w:hint="eastAsia" w:ascii="宋体" w:hAnsi="宋体"/>
                <w:sz w:val="21"/>
                <w:szCs w:val="21"/>
              </w:rPr>
              <w:t>、</w:t>
            </w:r>
            <w:r>
              <w:rPr>
                <w:sz w:val="21"/>
                <w:szCs w:val="21"/>
              </w:rPr>
              <w:t>WSD-600B.WSD-460</w:t>
            </w:r>
            <w:r>
              <w:rPr>
                <w:rFonts w:ascii="宋体" w:hAnsi="宋体"/>
                <w:sz w:val="21"/>
                <w:szCs w:val="21"/>
              </w:rPr>
              <w:t>、</w:t>
            </w:r>
            <w:r>
              <w:rPr>
                <w:sz w:val="21"/>
                <w:szCs w:val="21"/>
              </w:rPr>
              <w:t>SFZZ-400</w:t>
            </w:r>
            <w:r>
              <w:rPr>
                <w:rFonts w:ascii="宋体" w:hAnsi="宋体"/>
                <w:sz w:val="21"/>
                <w:szCs w:val="21"/>
              </w:rPr>
              <w:t>、</w:t>
            </w:r>
            <w:r>
              <w:rPr>
                <w:sz w:val="21"/>
                <w:szCs w:val="21"/>
              </w:rPr>
              <w:t>JDM450-Z</w:t>
            </w:r>
            <w:r>
              <w:rPr>
                <w:rFonts w:ascii="宋体" w:hAnsi="宋体"/>
                <w:sz w:val="21"/>
                <w:szCs w:val="21"/>
              </w:rPr>
              <w:t>、</w:t>
            </w:r>
            <w:r>
              <w:rPr>
                <w:sz w:val="21"/>
                <w:szCs w:val="21"/>
              </w:rPr>
              <w:t>SFZZ-500FSD-600Ⅲ</w:t>
            </w:r>
          </w:p>
          <w:p w14:paraId="7910E2B5">
            <w:pPr>
              <w:adjustRightInd w:val="0"/>
              <w:snapToGrid w:val="0"/>
              <w:spacing w:line="240" w:lineRule="auto"/>
              <w:jc w:val="center"/>
              <w:rPr>
                <w:sz w:val="21"/>
                <w:szCs w:val="21"/>
              </w:rPr>
            </w:pPr>
          </w:p>
        </w:tc>
        <w:tc>
          <w:tcPr>
            <w:tcW w:w="992" w:type="dxa"/>
            <w:tcBorders>
              <w:tl2br w:val="nil"/>
              <w:tr2bl w:val="nil"/>
            </w:tcBorders>
            <w:vAlign w:val="center"/>
          </w:tcPr>
          <w:p w14:paraId="4883F66F">
            <w:pPr>
              <w:adjustRightInd w:val="0"/>
              <w:snapToGrid w:val="0"/>
              <w:spacing w:line="240" w:lineRule="auto"/>
              <w:jc w:val="center"/>
              <w:rPr>
                <w:sz w:val="21"/>
                <w:szCs w:val="21"/>
              </w:rPr>
            </w:pPr>
            <w:r>
              <w:rPr>
                <w:sz w:val="21"/>
                <w:szCs w:val="21"/>
              </w:rPr>
              <w:t>65</w:t>
            </w:r>
            <w:r>
              <w:rPr>
                <w:rFonts w:hint="eastAsia"/>
                <w:sz w:val="21"/>
                <w:szCs w:val="21"/>
              </w:rPr>
              <w:t>台</w:t>
            </w:r>
          </w:p>
        </w:tc>
        <w:tc>
          <w:tcPr>
            <w:tcW w:w="987" w:type="dxa"/>
            <w:tcBorders>
              <w:tl2br w:val="nil"/>
              <w:tr2bl w:val="nil"/>
            </w:tcBorders>
            <w:vAlign w:val="center"/>
          </w:tcPr>
          <w:p w14:paraId="3ABFCF9A">
            <w:pPr>
              <w:adjustRightInd w:val="0"/>
              <w:snapToGrid w:val="0"/>
              <w:spacing w:line="240" w:lineRule="auto"/>
              <w:jc w:val="center"/>
              <w:rPr>
                <w:sz w:val="21"/>
                <w:szCs w:val="21"/>
              </w:rPr>
            </w:pPr>
            <w:r>
              <w:rPr>
                <w:rFonts w:hint="eastAsia"/>
                <w:sz w:val="21"/>
                <w:szCs w:val="21"/>
              </w:rPr>
              <w:t>+</w:t>
            </w:r>
            <w:r>
              <w:rPr>
                <w:sz w:val="21"/>
                <w:szCs w:val="21"/>
              </w:rPr>
              <w:t>5</w:t>
            </w:r>
            <w:r>
              <w:rPr>
                <w:rFonts w:hint="eastAsia"/>
                <w:sz w:val="21"/>
                <w:szCs w:val="21"/>
              </w:rPr>
              <w:t>台</w:t>
            </w:r>
          </w:p>
        </w:tc>
        <w:tc>
          <w:tcPr>
            <w:tcW w:w="1082" w:type="dxa"/>
            <w:tcBorders>
              <w:tl2br w:val="nil"/>
              <w:tr2bl w:val="nil"/>
            </w:tcBorders>
            <w:vAlign w:val="center"/>
          </w:tcPr>
          <w:p w14:paraId="5A4FA0E2">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C36CB13">
            <w:pPr>
              <w:adjustRightInd w:val="0"/>
              <w:snapToGrid w:val="0"/>
              <w:spacing w:line="240" w:lineRule="auto"/>
              <w:jc w:val="center"/>
              <w:rPr>
                <w:sz w:val="21"/>
                <w:szCs w:val="21"/>
              </w:rPr>
            </w:pPr>
            <w:r>
              <w:rPr>
                <w:sz w:val="21"/>
                <w:szCs w:val="21"/>
              </w:rPr>
              <w:t>70</w:t>
            </w:r>
            <w:r>
              <w:rPr>
                <w:rFonts w:hint="eastAsia"/>
                <w:sz w:val="21"/>
                <w:szCs w:val="21"/>
              </w:rPr>
              <w:t>台</w:t>
            </w:r>
          </w:p>
        </w:tc>
        <w:tc>
          <w:tcPr>
            <w:tcW w:w="852" w:type="dxa"/>
            <w:tcBorders>
              <w:tl2br w:val="nil"/>
              <w:tr2bl w:val="nil"/>
            </w:tcBorders>
            <w:vAlign w:val="center"/>
          </w:tcPr>
          <w:p w14:paraId="42B7AF4A">
            <w:pPr>
              <w:adjustRightInd w:val="0"/>
              <w:snapToGrid w:val="0"/>
              <w:spacing w:line="240" w:lineRule="auto"/>
              <w:jc w:val="center"/>
              <w:rPr>
                <w:sz w:val="21"/>
                <w:szCs w:val="21"/>
              </w:rPr>
            </w:pPr>
            <w:r>
              <w:rPr>
                <w:rFonts w:hint="eastAsia"/>
                <w:sz w:val="21"/>
                <w:szCs w:val="21"/>
              </w:rPr>
              <w:t>/</w:t>
            </w:r>
          </w:p>
        </w:tc>
      </w:tr>
      <w:tr w14:paraId="14CABE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58EA62B0">
            <w:pPr>
              <w:adjustRightInd w:val="0"/>
              <w:snapToGrid w:val="0"/>
              <w:spacing w:line="240" w:lineRule="auto"/>
              <w:jc w:val="center"/>
              <w:rPr>
                <w:sz w:val="21"/>
                <w:szCs w:val="21"/>
              </w:rPr>
            </w:pPr>
          </w:p>
        </w:tc>
        <w:tc>
          <w:tcPr>
            <w:tcW w:w="709" w:type="dxa"/>
            <w:tcBorders>
              <w:tl2br w:val="nil"/>
              <w:tr2bl w:val="nil"/>
            </w:tcBorders>
            <w:vAlign w:val="center"/>
          </w:tcPr>
          <w:p w14:paraId="6DC298CD">
            <w:pPr>
              <w:adjustRightInd w:val="0"/>
              <w:snapToGrid w:val="0"/>
              <w:spacing w:line="240" w:lineRule="auto"/>
              <w:jc w:val="center"/>
              <w:rPr>
                <w:sz w:val="21"/>
                <w:szCs w:val="21"/>
              </w:rPr>
            </w:pPr>
            <w:r>
              <w:rPr>
                <w:sz w:val="21"/>
                <w:szCs w:val="21"/>
              </w:rPr>
              <w:t>分切机</w:t>
            </w:r>
          </w:p>
        </w:tc>
        <w:tc>
          <w:tcPr>
            <w:tcW w:w="2269" w:type="dxa"/>
            <w:gridSpan w:val="2"/>
            <w:tcBorders>
              <w:tl2br w:val="nil"/>
              <w:tr2bl w:val="nil"/>
            </w:tcBorders>
            <w:vAlign w:val="center"/>
          </w:tcPr>
          <w:p w14:paraId="62031A5E">
            <w:pPr>
              <w:adjustRightInd w:val="0"/>
              <w:snapToGrid w:val="0"/>
              <w:spacing w:line="240" w:lineRule="auto"/>
              <w:jc w:val="center"/>
              <w:rPr>
                <w:sz w:val="21"/>
                <w:szCs w:val="21"/>
              </w:rPr>
            </w:pPr>
            <w:r>
              <w:rPr>
                <w:sz w:val="21"/>
                <w:szCs w:val="21"/>
              </w:rPr>
              <w:t>FSL-VL1300、HTHS1300CZ</w:t>
            </w:r>
          </w:p>
        </w:tc>
        <w:tc>
          <w:tcPr>
            <w:tcW w:w="992" w:type="dxa"/>
            <w:tcBorders>
              <w:tl2br w:val="nil"/>
              <w:tr2bl w:val="nil"/>
            </w:tcBorders>
            <w:vAlign w:val="center"/>
          </w:tcPr>
          <w:p w14:paraId="3E444757">
            <w:pPr>
              <w:adjustRightInd w:val="0"/>
              <w:snapToGrid w:val="0"/>
              <w:spacing w:line="240" w:lineRule="auto"/>
              <w:jc w:val="center"/>
              <w:rPr>
                <w:sz w:val="21"/>
                <w:szCs w:val="21"/>
              </w:rPr>
            </w:pPr>
            <w:r>
              <w:rPr>
                <w:rFonts w:hint="eastAsia"/>
                <w:sz w:val="21"/>
                <w:szCs w:val="21"/>
              </w:rPr>
              <w:t>6台</w:t>
            </w:r>
          </w:p>
        </w:tc>
        <w:tc>
          <w:tcPr>
            <w:tcW w:w="987" w:type="dxa"/>
            <w:tcBorders>
              <w:tl2br w:val="nil"/>
              <w:tr2bl w:val="nil"/>
            </w:tcBorders>
            <w:vAlign w:val="center"/>
          </w:tcPr>
          <w:p w14:paraId="36CB12AD">
            <w:pPr>
              <w:adjustRightInd w:val="0"/>
              <w:snapToGrid w:val="0"/>
              <w:spacing w:line="240" w:lineRule="auto"/>
              <w:jc w:val="center"/>
              <w:rPr>
                <w:sz w:val="21"/>
                <w:szCs w:val="21"/>
              </w:rPr>
            </w:pPr>
            <w:r>
              <w:rPr>
                <w:rFonts w:hint="eastAsia"/>
                <w:sz w:val="21"/>
                <w:szCs w:val="21"/>
              </w:rPr>
              <w:t>+6台</w:t>
            </w:r>
          </w:p>
        </w:tc>
        <w:tc>
          <w:tcPr>
            <w:tcW w:w="1082" w:type="dxa"/>
            <w:tcBorders>
              <w:tl2br w:val="nil"/>
              <w:tr2bl w:val="nil"/>
            </w:tcBorders>
            <w:vAlign w:val="center"/>
          </w:tcPr>
          <w:p w14:paraId="528B8DC2">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66DB966">
            <w:pPr>
              <w:adjustRightInd w:val="0"/>
              <w:snapToGrid w:val="0"/>
              <w:spacing w:line="240" w:lineRule="auto"/>
              <w:jc w:val="center"/>
              <w:rPr>
                <w:sz w:val="21"/>
                <w:szCs w:val="21"/>
              </w:rPr>
            </w:pPr>
            <w:r>
              <w:rPr>
                <w:rFonts w:hint="eastAsia"/>
                <w:sz w:val="21"/>
                <w:szCs w:val="21"/>
              </w:rPr>
              <w:t>12台</w:t>
            </w:r>
          </w:p>
        </w:tc>
        <w:tc>
          <w:tcPr>
            <w:tcW w:w="852" w:type="dxa"/>
            <w:tcBorders>
              <w:tl2br w:val="nil"/>
              <w:tr2bl w:val="nil"/>
            </w:tcBorders>
            <w:vAlign w:val="center"/>
          </w:tcPr>
          <w:p w14:paraId="0B54A348">
            <w:pPr>
              <w:adjustRightInd w:val="0"/>
              <w:snapToGrid w:val="0"/>
              <w:spacing w:line="240" w:lineRule="auto"/>
              <w:jc w:val="center"/>
              <w:rPr>
                <w:sz w:val="21"/>
                <w:szCs w:val="21"/>
              </w:rPr>
            </w:pPr>
            <w:r>
              <w:rPr>
                <w:rFonts w:hint="eastAsia"/>
                <w:sz w:val="21"/>
                <w:szCs w:val="21"/>
              </w:rPr>
              <w:t>/</w:t>
            </w:r>
          </w:p>
        </w:tc>
      </w:tr>
      <w:tr w14:paraId="36B87A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5E0B3550">
            <w:pPr>
              <w:adjustRightInd w:val="0"/>
              <w:snapToGrid w:val="0"/>
              <w:spacing w:line="240" w:lineRule="auto"/>
              <w:jc w:val="center"/>
              <w:rPr>
                <w:sz w:val="21"/>
                <w:szCs w:val="21"/>
              </w:rPr>
            </w:pPr>
          </w:p>
        </w:tc>
        <w:tc>
          <w:tcPr>
            <w:tcW w:w="709" w:type="dxa"/>
            <w:tcBorders>
              <w:tl2br w:val="nil"/>
              <w:tr2bl w:val="nil"/>
            </w:tcBorders>
            <w:vAlign w:val="center"/>
          </w:tcPr>
          <w:p w14:paraId="4E397F5E">
            <w:pPr>
              <w:adjustRightInd w:val="0"/>
              <w:snapToGrid w:val="0"/>
              <w:spacing w:line="240" w:lineRule="auto"/>
              <w:jc w:val="center"/>
              <w:rPr>
                <w:sz w:val="21"/>
                <w:szCs w:val="21"/>
              </w:rPr>
            </w:pPr>
            <w:r>
              <w:rPr>
                <w:sz w:val="21"/>
                <w:szCs w:val="21"/>
              </w:rPr>
              <w:t>配墨系统</w:t>
            </w:r>
          </w:p>
        </w:tc>
        <w:tc>
          <w:tcPr>
            <w:tcW w:w="2269" w:type="dxa"/>
            <w:gridSpan w:val="2"/>
            <w:tcBorders>
              <w:tl2br w:val="nil"/>
              <w:tr2bl w:val="nil"/>
            </w:tcBorders>
            <w:vAlign w:val="center"/>
          </w:tcPr>
          <w:p w14:paraId="3E5EC66B">
            <w:pPr>
              <w:adjustRightInd w:val="0"/>
              <w:snapToGrid w:val="0"/>
              <w:spacing w:line="240" w:lineRule="auto"/>
              <w:jc w:val="center"/>
              <w:rPr>
                <w:sz w:val="21"/>
                <w:szCs w:val="21"/>
              </w:rPr>
            </w:pPr>
            <w:r>
              <w:rPr>
                <w:sz w:val="21"/>
                <w:szCs w:val="21"/>
              </w:rPr>
              <w:t>GB36</w:t>
            </w:r>
          </w:p>
        </w:tc>
        <w:tc>
          <w:tcPr>
            <w:tcW w:w="992" w:type="dxa"/>
            <w:tcBorders>
              <w:tl2br w:val="nil"/>
              <w:tr2bl w:val="nil"/>
            </w:tcBorders>
            <w:vAlign w:val="center"/>
          </w:tcPr>
          <w:p w14:paraId="2EA09B51">
            <w:pPr>
              <w:adjustRightInd w:val="0"/>
              <w:snapToGrid w:val="0"/>
              <w:spacing w:line="240" w:lineRule="auto"/>
              <w:jc w:val="center"/>
              <w:rPr>
                <w:sz w:val="21"/>
                <w:szCs w:val="21"/>
              </w:rPr>
            </w:pPr>
            <w:r>
              <w:rPr>
                <w:sz w:val="21"/>
                <w:szCs w:val="21"/>
              </w:rPr>
              <w:t>1</w:t>
            </w:r>
            <w:r>
              <w:rPr>
                <w:rFonts w:hint="eastAsia"/>
                <w:sz w:val="21"/>
                <w:szCs w:val="21"/>
              </w:rPr>
              <w:t>套</w:t>
            </w:r>
          </w:p>
        </w:tc>
        <w:tc>
          <w:tcPr>
            <w:tcW w:w="987" w:type="dxa"/>
            <w:tcBorders>
              <w:tl2br w:val="nil"/>
              <w:tr2bl w:val="nil"/>
            </w:tcBorders>
            <w:vAlign w:val="center"/>
          </w:tcPr>
          <w:p w14:paraId="704FDD6E">
            <w:pPr>
              <w:adjustRightInd w:val="0"/>
              <w:snapToGrid w:val="0"/>
              <w:spacing w:line="240" w:lineRule="auto"/>
              <w:jc w:val="center"/>
              <w:rPr>
                <w:sz w:val="21"/>
                <w:szCs w:val="21"/>
              </w:rPr>
            </w:pPr>
            <w:r>
              <w:rPr>
                <w:sz w:val="21"/>
                <w:szCs w:val="21"/>
              </w:rPr>
              <w:t>0</w:t>
            </w:r>
          </w:p>
        </w:tc>
        <w:tc>
          <w:tcPr>
            <w:tcW w:w="1082" w:type="dxa"/>
            <w:tcBorders>
              <w:tl2br w:val="nil"/>
              <w:tr2bl w:val="nil"/>
            </w:tcBorders>
            <w:vAlign w:val="center"/>
          </w:tcPr>
          <w:p w14:paraId="3EC1EF27">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7EE96AB">
            <w:pPr>
              <w:adjustRightInd w:val="0"/>
              <w:snapToGrid w:val="0"/>
              <w:spacing w:line="240" w:lineRule="auto"/>
              <w:jc w:val="center"/>
              <w:rPr>
                <w:sz w:val="21"/>
                <w:szCs w:val="21"/>
              </w:rPr>
            </w:pPr>
            <w:r>
              <w:rPr>
                <w:sz w:val="21"/>
                <w:szCs w:val="21"/>
              </w:rPr>
              <w:t>1</w:t>
            </w:r>
            <w:r>
              <w:rPr>
                <w:rFonts w:hint="eastAsia"/>
                <w:sz w:val="21"/>
                <w:szCs w:val="21"/>
              </w:rPr>
              <w:t>套</w:t>
            </w:r>
          </w:p>
        </w:tc>
        <w:tc>
          <w:tcPr>
            <w:tcW w:w="852" w:type="dxa"/>
            <w:tcBorders>
              <w:tl2br w:val="nil"/>
              <w:tr2bl w:val="nil"/>
            </w:tcBorders>
            <w:vAlign w:val="center"/>
          </w:tcPr>
          <w:p w14:paraId="5C263FC1">
            <w:pPr>
              <w:adjustRightInd w:val="0"/>
              <w:snapToGrid w:val="0"/>
              <w:spacing w:line="240" w:lineRule="auto"/>
              <w:jc w:val="center"/>
              <w:rPr>
                <w:sz w:val="21"/>
                <w:szCs w:val="21"/>
              </w:rPr>
            </w:pPr>
            <w:r>
              <w:rPr>
                <w:rFonts w:hint="eastAsia"/>
                <w:sz w:val="21"/>
                <w:szCs w:val="21"/>
              </w:rPr>
              <w:t>/</w:t>
            </w:r>
          </w:p>
        </w:tc>
      </w:tr>
      <w:tr w14:paraId="34836A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3E32109">
            <w:pPr>
              <w:adjustRightInd w:val="0"/>
              <w:snapToGrid w:val="0"/>
              <w:spacing w:line="240" w:lineRule="auto"/>
              <w:jc w:val="center"/>
              <w:rPr>
                <w:sz w:val="21"/>
                <w:szCs w:val="21"/>
              </w:rPr>
            </w:pPr>
          </w:p>
        </w:tc>
        <w:tc>
          <w:tcPr>
            <w:tcW w:w="709" w:type="dxa"/>
            <w:tcBorders>
              <w:tl2br w:val="nil"/>
              <w:tr2bl w:val="nil"/>
            </w:tcBorders>
            <w:vAlign w:val="center"/>
          </w:tcPr>
          <w:p w14:paraId="46D07B5F">
            <w:pPr>
              <w:adjustRightInd w:val="0"/>
              <w:snapToGrid w:val="0"/>
              <w:spacing w:line="240" w:lineRule="auto"/>
              <w:jc w:val="center"/>
              <w:rPr>
                <w:sz w:val="21"/>
                <w:szCs w:val="21"/>
              </w:rPr>
            </w:pPr>
            <w:r>
              <w:rPr>
                <w:sz w:val="21"/>
                <w:szCs w:val="21"/>
              </w:rPr>
              <w:t>品检机</w:t>
            </w:r>
          </w:p>
        </w:tc>
        <w:tc>
          <w:tcPr>
            <w:tcW w:w="2269" w:type="dxa"/>
            <w:gridSpan w:val="2"/>
            <w:tcBorders>
              <w:tl2br w:val="nil"/>
              <w:tr2bl w:val="nil"/>
            </w:tcBorders>
            <w:vAlign w:val="center"/>
          </w:tcPr>
          <w:p w14:paraId="4749458C">
            <w:pPr>
              <w:adjustRightInd w:val="0"/>
              <w:snapToGrid w:val="0"/>
              <w:spacing w:line="240" w:lineRule="auto"/>
              <w:jc w:val="center"/>
              <w:rPr>
                <w:sz w:val="21"/>
                <w:szCs w:val="21"/>
              </w:rPr>
            </w:pPr>
            <w:r>
              <w:rPr>
                <w:sz w:val="21"/>
                <w:szCs w:val="21"/>
              </w:rPr>
              <w:t>1200D</w:t>
            </w:r>
          </w:p>
        </w:tc>
        <w:tc>
          <w:tcPr>
            <w:tcW w:w="992" w:type="dxa"/>
            <w:tcBorders>
              <w:tl2br w:val="nil"/>
              <w:tr2bl w:val="nil"/>
            </w:tcBorders>
            <w:vAlign w:val="center"/>
          </w:tcPr>
          <w:p w14:paraId="2C6F4B2B">
            <w:pPr>
              <w:adjustRightInd w:val="0"/>
              <w:snapToGrid w:val="0"/>
              <w:spacing w:line="240" w:lineRule="auto"/>
              <w:jc w:val="center"/>
              <w:rPr>
                <w:sz w:val="21"/>
                <w:szCs w:val="21"/>
              </w:rPr>
            </w:pPr>
            <w:r>
              <w:rPr>
                <w:sz w:val="21"/>
                <w:szCs w:val="21"/>
              </w:rPr>
              <w:t>5</w:t>
            </w:r>
            <w:r>
              <w:rPr>
                <w:rFonts w:hint="eastAsia"/>
                <w:sz w:val="21"/>
                <w:szCs w:val="21"/>
              </w:rPr>
              <w:t>台</w:t>
            </w:r>
          </w:p>
        </w:tc>
        <w:tc>
          <w:tcPr>
            <w:tcW w:w="987" w:type="dxa"/>
            <w:tcBorders>
              <w:tl2br w:val="nil"/>
              <w:tr2bl w:val="nil"/>
            </w:tcBorders>
            <w:vAlign w:val="center"/>
          </w:tcPr>
          <w:p w14:paraId="1C1EA60F">
            <w:pPr>
              <w:adjustRightInd w:val="0"/>
              <w:snapToGrid w:val="0"/>
              <w:spacing w:line="240" w:lineRule="auto"/>
              <w:jc w:val="center"/>
              <w:rPr>
                <w:sz w:val="21"/>
                <w:szCs w:val="21"/>
              </w:rPr>
            </w:pPr>
            <w:r>
              <w:rPr>
                <w:rFonts w:hint="eastAsia"/>
                <w:sz w:val="21"/>
                <w:szCs w:val="21"/>
              </w:rPr>
              <w:t>+7台</w:t>
            </w:r>
          </w:p>
        </w:tc>
        <w:tc>
          <w:tcPr>
            <w:tcW w:w="1082" w:type="dxa"/>
            <w:tcBorders>
              <w:tl2br w:val="nil"/>
              <w:tr2bl w:val="nil"/>
            </w:tcBorders>
            <w:vAlign w:val="center"/>
          </w:tcPr>
          <w:p w14:paraId="0975DC46">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371B8963">
            <w:pPr>
              <w:adjustRightInd w:val="0"/>
              <w:snapToGrid w:val="0"/>
              <w:spacing w:line="240" w:lineRule="auto"/>
              <w:jc w:val="center"/>
              <w:rPr>
                <w:sz w:val="21"/>
                <w:szCs w:val="21"/>
              </w:rPr>
            </w:pPr>
            <w:r>
              <w:rPr>
                <w:rFonts w:hint="eastAsia"/>
                <w:sz w:val="21"/>
                <w:szCs w:val="21"/>
              </w:rPr>
              <w:t>12台</w:t>
            </w:r>
          </w:p>
        </w:tc>
        <w:tc>
          <w:tcPr>
            <w:tcW w:w="852" w:type="dxa"/>
            <w:tcBorders>
              <w:tl2br w:val="nil"/>
              <w:tr2bl w:val="nil"/>
            </w:tcBorders>
            <w:vAlign w:val="center"/>
          </w:tcPr>
          <w:p w14:paraId="3E04BDB7">
            <w:pPr>
              <w:adjustRightInd w:val="0"/>
              <w:snapToGrid w:val="0"/>
              <w:spacing w:line="240" w:lineRule="auto"/>
              <w:jc w:val="center"/>
              <w:rPr>
                <w:sz w:val="21"/>
                <w:szCs w:val="21"/>
              </w:rPr>
            </w:pPr>
            <w:r>
              <w:rPr>
                <w:rFonts w:hint="eastAsia"/>
                <w:sz w:val="21"/>
                <w:szCs w:val="21"/>
              </w:rPr>
              <w:t>/</w:t>
            </w:r>
          </w:p>
        </w:tc>
      </w:tr>
      <w:tr w14:paraId="6A8304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C9DB512">
            <w:pPr>
              <w:adjustRightInd w:val="0"/>
              <w:snapToGrid w:val="0"/>
              <w:spacing w:line="240" w:lineRule="auto"/>
              <w:jc w:val="center"/>
              <w:rPr>
                <w:sz w:val="21"/>
                <w:szCs w:val="21"/>
              </w:rPr>
            </w:pPr>
          </w:p>
        </w:tc>
        <w:tc>
          <w:tcPr>
            <w:tcW w:w="709" w:type="dxa"/>
            <w:tcBorders>
              <w:tl2br w:val="nil"/>
              <w:tr2bl w:val="nil"/>
            </w:tcBorders>
            <w:vAlign w:val="center"/>
          </w:tcPr>
          <w:p w14:paraId="0A481F37">
            <w:pPr>
              <w:adjustRightInd w:val="0"/>
              <w:snapToGrid w:val="0"/>
              <w:spacing w:line="240" w:lineRule="auto"/>
              <w:jc w:val="center"/>
              <w:rPr>
                <w:sz w:val="21"/>
                <w:szCs w:val="21"/>
              </w:rPr>
            </w:pPr>
            <w:r>
              <w:rPr>
                <w:sz w:val="21"/>
                <w:szCs w:val="21"/>
              </w:rPr>
              <w:t>打孔机</w:t>
            </w:r>
          </w:p>
        </w:tc>
        <w:tc>
          <w:tcPr>
            <w:tcW w:w="2269" w:type="dxa"/>
            <w:gridSpan w:val="2"/>
            <w:tcBorders>
              <w:tl2br w:val="nil"/>
              <w:tr2bl w:val="nil"/>
            </w:tcBorders>
            <w:vAlign w:val="center"/>
          </w:tcPr>
          <w:p w14:paraId="08979F2C">
            <w:pPr>
              <w:adjustRightInd w:val="0"/>
              <w:snapToGrid w:val="0"/>
              <w:spacing w:line="240" w:lineRule="auto"/>
              <w:jc w:val="center"/>
              <w:rPr>
                <w:sz w:val="21"/>
                <w:szCs w:val="21"/>
              </w:rPr>
            </w:pPr>
            <w:r>
              <w:rPr>
                <w:sz w:val="21"/>
                <w:szCs w:val="21"/>
              </w:rPr>
              <w:t>/</w:t>
            </w:r>
          </w:p>
        </w:tc>
        <w:tc>
          <w:tcPr>
            <w:tcW w:w="992" w:type="dxa"/>
            <w:tcBorders>
              <w:tl2br w:val="nil"/>
              <w:tr2bl w:val="nil"/>
            </w:tcBorders>
            <w:vAlign w:val="center"/>
          </w:tcPr>
          <w:p w14:paraId="079C9B5A">
            <w:pPr>
              <w:adjustRightInd w:val="0"/>
              <w:snapToGrid w:val="0"/>
              <w:spacing w:line="240" w:lineRule="auto"/>
              <w:jc w:val="center"/>
              <w:rPr>
                <w:sz w:val="21"/>
                <w:szCs w:val="21"/>
              </w:rPr>
            </w:pPr>
            <w:r>
              <w:rPr>
                <w:sz w:val="21"/>
                <w:szCs w:val="21"/>
              </w:rPr>
              <w:t>7</w:t>
            </w:r>
            <w:r>
              <w:rPr>
                <w:rFonts w:hint="eastAsia"/>
                <w:sz w:val="21"/>
                <w:szCs w:val="21"/>
              </w:rPr>
              <w:t>台</w:t>
            </w:r>
          </w:p>
        </w:tc>
        <w:tc>
          <w:tcPr>
            <w:tcW w:w="987" w:type="dxa"/>
            <w:tcBorders>
              <w:tl2br w:val="nil"/>
              <w:tr2bl w:val="nil"/>
            </w:tcBorders>
            <w:vAlign w:val="center"/>
          </w:tcPr>
          <w:p w14:paraId="4AA7F7A7">
            <w:pPr>
              <w:adjustRightInd w:val="0"/>
              <w:snapToGrid w:val="0"/>
              <w:spacing w:line="240" w:lineRule="auto"/>
              <w:jc w:val="center"/>
              <w:rPr>
                <w:sz w:val="21"/>
                <w:szCs w:val="21"/>
              </w:rPr>
            </w:pPr>
            <w:r>
              <w:rPr>
                <w:rFonts w:hint="eastAsia"/>
                <w:sz w:val="21"/>
                <w:szCs w:val="21"/>
              </w:rPr>
              <w:t>+</w:t>
            </w:r>
            <w:r>
              <w:rPr>
                <w:sz w:val="21"/>
                <w:szCs w:val="21"/>
              </w:rPr>
              <w:t>3</w:t>
            </w:r>
            <w:r>
              <w:rPr>
                <w:rFonts w:hint="eastAsia"/>
                <w:sz w:val="21"/>
                <w:szCs w:val="21"/>
              </w:rPr>
              <w:t>台</w:t>
            </w:r>
          </w:p>
        </w:tc>
        <w:tc>
          <w:tcPr>
            <w:tcW w:w="1082" w:type="dxa"/>
            <w:tcBorders>
              <w:tl2br w:val="nil"/>
              <w:tr2bl w:val="nil"/>
            </w:tcBorders>
            <w:vAlign w:val="center"/>
          </w:tcPr>
          <w:p w14:paraId="7D1DB99B">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11698399">
            <w:pPr>
              <w:adjustRightInd w:val="0"/>
              <w:snapToGrid w:val="0"/>
              <w:spacing w:line="240" w:lineRule="auto"/>
              <w:jc w:val="center"/>
              <w:rPr>
                <w:sz w:val="21"/>
                <w:szCs w:val="21"/>
              </w:rPr>
            </w:pPr>
            <w:r>
              <w:rPr>
                <w:sz w:val="21"/>
                <w:szCs w:val="21"/>
              </w:rPr>
              <w:t>10</w:t>
            </w:r>
            <w:r>
              <w:rPr>
                <w:rFonts w:hint="eastAsia"/>
                <w:sz w:val="21"/>
                <w:szCs w:val="21"/>
              </w:rPr>
              <w:t>台</w:t>
            </w:r>
          </w:p>
        </w:tc>
        <w:tc>
          <w:tcPr>
            <w:tcW w:w="852" w:type="dxa"/>
            <w:tcBorders>
              <w:tl2br w:val="nil"/>
              <w:tr2bl w:val="nil"/>
            </w:tcBorders>
            <w:vAlign w:val="center"/>
          </w:tcPr>
          <w:p w14:paraId="4980B33F">
            <w:pPr>
              <w:adjustRightInd w:val="0"/>
              <w:snapToGrid w:val="0"/>
              <w:spacing w:line="240" w:lineRule="auto"/>
              <w:jc w:val="center"/>
              <w:rPr>
                <w:sz w:val="21"/>
                <w:szCs w:val="21"/>
              </w:rPr>
            </w:pPr>
            <w:r>
              <w:rPr>
                <w:rFonts w:hint="eastAsia"/>
                <w:sz w:val="21"/>
                <w:szCs w:val="21"/>
              </w:rPr>
              <w:t>/</w:t>
            </w:r>
          </w:p>
        </w:tc>
      </w:tr>
      <w:tr w14:paraId="6FF82B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restart"/>
            <w:tcBorders>
              <w:tl2br w:val="nil"/>
              <w:tr2bl w:val="nil"/>
            </w:tcBorders>
            <w:vAlign w:val="center"/>
          </w:tcPr>
          <w:p w14:paraId="6E9852E4">
            <w:pPr>
              <w:adjustRightInd w:val="0"/>
              <w:snapToGrid w:val="0"/>
              <w:spacing w:line="240" w:lineRule="auto"/>
              <w:jc w:val="center"/>
              <w:rPr>
                <w:sz w:val="21"/>
                <w:szCs w:val="21"/>
              </w:rPr>
            </w:pPr>
            <w:r>
              <w:rPr>
                <w:rFonts w:hint="eastAsia"/>
                <w:sz w:val="21"/>
                <w:szCs w:val="21"/>
              </w:rPr>
              <w:t>环保</w:t>
            </w:r>
          </w:p>
          <w:p w14:paraId="2AD2AE87">
            <w:pPr>
              <w:adjustRightInd w:val="0"/>
              <w:snapToGrid w:val="0"/>
              <w:spacing w:line="240" w:lineRule="auto"/>
              <w:jc w:val="center"/>
              <w:rPr>
                <w:sz w:val="21"/>
                <w:szCs w:val="21"/>
              </w:rPr>
            </w:pPr>
            <w:r>
              <w:rPr>
                <w:rFonts w:hint="eastAsia"/>
                <w:sz w:val="21"/>
                <w:szCs w:val="21"/>
              </w:rPr>
              <w:t>设备</w:t>
            </w:r>
          </w:p>
        </w:tc>
        <w:tc>
          <w:tcPr>
            <w:tcW w:w="2978" w:type="dxa"/>
            <w:gridSpan w:val="3"/>
            <w:tcBorders>
              <w:tl2br w:val="nil"/>
              <w:tr2bl w:val="nil"/>
            </w:tcBorders>
            <w:vAlign w:val="center"/>
          </w:tcPr>
          <w:p w14:paraId="52B98011">
            <w:pPr>
              <w:adjustRightInd w:val="0"/>
              <w:snapToGrid w:val="0"/>
              <w:spacing w:line="240" w:lineRule="auto"/>
              <w:jc w:val="center"/>
              <w:rPr>
                <w:sz w:val="21"/>
                <w:szCs w:val="21"/>
              </w:rPr>
            </w:pPr>
            <w:r>
              <w:rPr>
                <w:rFonts w:hint="eastAsia"/>
                <w:sz w:val="21"/>
                <w:szCs w:val="21"/>
              </w:rPr>
              <w:t>吸附浓缩+溶剂回收设备+20.5m排气筒</w:t>
            </w:r>
          </w:p>
        </w:tc>
        <w:tc>
          <w:tcPr>
            <w:tcW w:w="992" w:type="dxa"/>
            <w:tcBorders>
              <w:tl2br w:val="nil"/>
              <w:tr2bl w:val="nil"/>
            </w:tcBorders>
            <w:vAlign w:val="center"/>
          </w:tcPr>
          <w:p w14:paraId="21106002">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30CAC774">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7A36B099">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A7190CF">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6CF4012">
            <w:pPr>
              <w:adjustRightInd w:val="0"/>
              <w:snapToGrid w:val="0"/>
              <w:spacing w:line="240" w:lineRule="auto"/>
              <w:jc w:val="center"/>
              <w:rPr>
                <w:sz w:val="21"/>
                <w:szCs w:val="21"/>
              </w:rPr>
            </w:pPr>
            <w:r>
              <w:rPr>
                <w:rFonts w:hint="eastAsia"/>
                <w:sz w:val="21"/>
                <w:szCs w:val="21"/>
              </w:rPr>
              <w:t>/</w:t>
            </w:r>
          </w:p>
        </w:tc>
      </w:tr>
      <w:tr w14:paraId="47F75E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80CF9FF">
            <w:pPr>
              <w:adjustRightInd w:val="0"/>
              <w:snapToGrid w:val="0"/>
              <w:spacing w:line="240" w:lineRule="auto"/>
              <w:jc w:val="center"/>
              <w:rPr>
                <w:sz w:val="21"/>
                <w:szCs w:val="21"/>
              </w:rPr>
            </w:pPr>
          </w:p>
        </w:tc>
        <w:tc>
          <w:tcPr>
            <w:tcW w:w="709" w:type="dxa"/>
            <w:vMerge w:val="restart"/>
            <w:tcBorders>
              <w:tl2br w:val="nil"/>
              <w:tr2bl w:val="nil"/>
            </w:tcBorders>
            <w:vAlign w:val="center"/>
          </w:tcPr>
          <w:p w14:paraId="7F427465">
            <w:pPr>
              <w:adjustRightInd w:val="0"/>
              <w:snapToGrid w:val="0"/>
              <w:spacing w:line="240" w:lineRule="auto"/>
              <w:jc w:val="center"/>
              <w:rPr>
                <w:sz w:val="21"/>
                <w:szCs w:val="21"/>
              </w:rPr>
            </w:pPr>
            <w:r>
              <w:rPr>
                <w:rFonts w:hint="eastAsia"/>
                <w:sz w:val="21"/>
                <w:szCs w:val="21"/>
              </w:rPr>
              <w:t>其中</w:t>
            </w:r>
          </w:p>
        </w:tc>
        <w:tc>
          <w:tcPr>
            <w:tcW w:w="567" w:type="dxa"/>
            <w:vMerge w:val="restart"/>
            <w:tcBorders>
              <w:tl2br w:val="nil"/>
              <w:tr2bl w:val="nil"/>
            </w:tcBorders>
            <w:vAlign w:val="center"/>
          </w:tcPr>
          <w:p w14:paraId="294DF2DE">
            <w:pPr>
              <w:adjustRightInd w:val="0"/>
              <w:snapToGrid w:val="0"/>
              <w:spacing w:line="240" w:lineRule="auto"/>
              <w:jc w:val="center"/>
              <w:rPr>
                <w:sz w:val="21"/>
                <w:szCs w:val="21"/>
              </w:rPr>
            </w:pPr>
            <w:r>
              <w:rPr>
                <w:rFonts w:hint="eastAsia"/>
                <w:sz w:val="21"/>
                <w:szCs w:val="21"/>
              </w:rPr>
              <w:t>转轮浓缩装置4550-V40</w:t>
            </w:r>
          </w:p>
        </w:tc>
        <w:tc>
          <w:tcPr>
            <w:tcW w:w="1702" w:type="dxa"/>
            <w:tcBorders>
              <w:tl2br w:val="nil"/>
              <w:tr2bl w:val="nil"/>
            </w:tcBorders>
            <w:vAlign w:val="center"/>
          </w:tcPr>
          <w:p w14:paraId="26507833">
            <w:pPr>
              <w:adjustRightInd w:val="0"/>
              <w:snapToGrid w:val="0"/>
              <w:spacing w:line="240" w:lineRule="auto"/>
              <w:jc w:val="center"/>
              <w:rPr>
                <w:sz w:val="21"/>
                <w:szCs w:val="21"/>
              </w:rPr>
            </w:pPr>
            <w:r>
              <w:rPr>
                <w:rFonts w:hint="eastAsia"/>
                <w:sz w:val="21"/>
                <w:szCs w:val="21"/>
              </w:rPr>
              <w:t>气体转轮浓缩系统</w:t>
            </w:r>
          </w:p>
        </w:tc>
        <w:tc>
          <w:tcPr>
            <w:tcW w:w="992" w:type="dxa"/>
            <w:tcBorders>
              <w:tl2br w:val="nil"/>
              <w:tr2bl w:val="nil"/>
            </w:tcBorders>
            <w:vAlign w:val="center"/>
          </w:tcPr>
          <w:p w14:paraId="3601C10D">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2E930CED">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56FF5C80">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6EE6376">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1AED152D">
            <w:pPr>
              <w:adjustRightInd w:val="0"/>
              <w:snapToGrid w:val="0"/>
              <w:spacing w:line="240" w:lineRule="auto"/>
              <w:jc w:val="center"/>
              <w:rPr>
                <w:sz w:val="21"/>
                <w:szCs w:val="21"/>
              </w:rPr>
            </w:pPr>
            <w:r>
              <w:rPr>
                <w:rFonts w:hint="eastAsia"/>
                <w:sz w:val="21"/>
                <w:szCs w:val="21"/>
              </w:rPr>
              <w:t>/</w:t>
            </w:r>
          </w:p>
        </w:tc>
      </w:tr>
      <w:tr w14:paraId="2C2012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9C1626E">
            <w:pPr>
              <w:adjustRightInd w:val="0"/>
              <w:snapToGrid w:val="0"/>
              <w:spacing w:line="240" w:lineRule="auto"/>
              <w:jc w:val="center"/>
              <w:rPr>
                <w:sz w:val="21"/>
                <w:szCs w:val="21"/>
              </w:rPr>
            </w:pPr>
          </w:p>
        </w:tc>
        <w:tc>
          <w:tcPr>
            <w:tcW w:w="709" w:type="dxa"/>
            <w:vMerge w:val="continue"/>
            <w:tcBorders>
              <w:tl2br w:val="nil"/>
              <w:tr2bl w:val="nil"/>
            </w:tcBorders>
            <w:vAlign w:val="center"/>
          </w:tcPr>
          <w:p w14:paraId="22753D71">
            <w:pPr>
              <w:adjustRightInd w:val="0"/>
              <w:snapToGrid w:val="0"/>
              <w:spacing w:line="240" w:lineRule="auto"/>
              <w:jc w:val="center"/>
              <w:rPr>
                <w:sz w:val="21"/>
                <w:szCs w:val="21"/>
              </w:rPr>
            </w:pPr>
          </w:p>
        </w:tc>
        <w:tc>
          <w:tcPr>
            <w:tcW w:w="567" w:type="dxa"/>
            <w:vMerge w:val="continue"/>
            <w:tcBorders>
              <w:tl2br w:val="nil"/>
              <w:tr2bl w:val="nil"/>
            </w:tcBorders>
            <w:vAlign w:val="center"/>
          </w:tcPr>
          <w:p w14:paraId="29AE4F93">
            <w:pPr>
              <w:adjustRightInd w:val="0"/>
              <w:snapToGrid w:val="0"/>
              <w:spacing w:line="240" w:lineRule="auto"/>
              <w:jc w:val="center"/>
              <w:rPr>
                <w:sz w:val="21"/>
                <w:szCs w:val="21"/>
              </w:rPr>
            </w:pPr>
          </w:p>
        </w:tc>
        <w:tc>
          <w:tcPr>
            <w:tcW w:w="1702" w:type="dxa"/>
            <w:tcBorders>
              <w:tl2br w:val="nil"/>
              <w:tr2bl w:val="nil"/>
            </w:tcBorders>
            <w:vAlign w:val="center"/>
          </w:tcPr>
          <w:p w14:paraId="1206B4C6">
            <w:pPr>
              <w:adjustRightInd w:val="0"/>
              <w:snapToGrid w:val="0"/>
              <w:spacing w:line="240" w:lineRule="auto"/>
              <w:jc w:val="center"/>
              <w:rPr>
                <w:sz w:val="21"/>
                <w:szCs w:val="21"/>
              </w:rPr>
            </w:pPr>
            <w:r>
              <w:rPr>
                <w:rFonts w:hint="eastAsia"/>
                <w:sz w:val="21"/>
                <w:szCs w:val="21"/>
              </w:rPr>
              <w:t>仪表仪器检测系统</w:t>
            </w:r>
          </w:p>
        </w:tc>
        <w:tc>
          <w:tcPr>
            <w:tcW w:w="992" w:type="dxa"/>
            <w:tcBorders>
              <w:tl2br w:val="nil"/>
              <w:tr2bl w:val="nil"/>
            </w:tcBorders>
            <w:vAlign w:val="center"/>
          </w:tcPr>
          <w:p w14:paraId="3DAB5726">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2D1B8DF5">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47488115">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2E3A6EA">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F32B912">
            <w:pPr>
              <w:adjustRightInd w:val="0"/>
              <w:snapToGrid w:val="0"/>
              <w:spacing w:line="240" w:lineRule="auto"/>
              <w:jc w:val="center"/>
              <w:rPr>
                <w:sz w:val="21"/>
                <w:szCs w:val="21"/>
              </w:rPr>
            </w:pPr>
            <w:r>
              <w:rPr>
                <w:rFonts w:hint="eastAsia"/>
                <w:sz w:val="21"/>
                <w:szCs w:val="21"/>
              </w:rPr>
              <w:t>/</w:t>
            </w:r>
          </w:p>
        </w:tc>
      </w:tr>
      <w:tr w14:paraId="05231E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23D106D5">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A3DBF21">
            <w:pPr>
              <w:adjustRightInd w:val="0"/>
              <w:snapToGrid w:val="0"/>
              <w:spacing w:line="240" w:lineRule="auto"/>
              <w:jc w:val="center"/>
              <w:rPr>
                <w:sz w:val="21"/>
                <w:szCs w:val="21"/>
              </w:rPr>
            </w:pPr>
          </w:p>
        </w:tc>
        <w:tc>
          <w:tcPr>
            <w:tcW w:w="567" w:type="dxa"/>
            <w:vMerge w:val="continue"/>
            <w:tcBorders>
              <w:tl2br w:val="nil"/>
              <w:tr2bl w:val="nil"/>
            </w:tcBorders>
            <w:vAlign w:val="center"/>
          </w:tcPr>
          <w:p w14:paraId="550510FD">
            <w:pPr>
              <w:adjustRightInd w:val="0"/>
              <w:snapToGrid w:val="0"/>
              <w:spacing w:line="240" w:lineRule="auto"/>
              <w:jc w:val="center"/>
              <w:rPr>
                <w:sz w:val="21"/>
                <w:szCs w:val="21"/>
              </w:rPr>
            </w:pPr>
          </w:p>
        </w:tc>
        <w:tc>
          <w:tcPr>
            <w:tcW w:w="1702" w:type="dxa"/>
            <w:tcBorders>
              <w:tl2br w:val="nil"/>
              <w:tr2bl w:val="nil"/>
            </w:tcBorders>
            <w:vAlign w:val="center"/>
          </w:tcPr>
          <w:p w14:paraId="47E3B873">
            <w:pPr>
              <w:adjustRightInd w:val="0"/>
              <w:snapToGrid w:val="0"/>
              <w:spacing w:line="240" w:lineRule="auto"/>
              <w:jc w:val="center"/>
              <w:rPr>
                <w:sz w:val="21"/>
                <w:szCs w:val="21"/>
              </w:rPr>
            </w:pPr>
            <w:r>
              <w:rPr>
                <w:rFonts w:hint="eastAsia"/>
                <w:sz w:val="21"/>
                <w:szCs w:val="21"/>
              </w:rPr>
              <w:t>电气控制系统</w:t>
            </w:r>
          </w:p>
        </w:tc>
        <w:tc>
          <w:tcPr>
            <w:tcW w:w="992" w:type="dxa"/>
            <w:tcBorders>
              <w:tl2br w:val="nil"/>
              <w:tr2bl w:val="nil"/>
            </w:tcBorders>
            <w:vAlign w:val="center"/>
          </w:tcPr>
          <w:p w14:paraId="01544B86">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2599251C">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4FA9CD30">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331439C9">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2B89FE1F">
            <w:pPr>
              <w:adjustRightInd w:val="0"/>
              <w:snapToGrid w:val="0"/>
              <w:spacing w:line="240" w:lineRule="auto"/>
              <w:jc w:val="center"/>
              <w:rPr>
                <w:sz w:val="21"/>
                <w:szCs w:val="21"/>
              </w:rPr>
            </w:pPr>
            <w:r>
              <w:rPr>
                <w:rFonts w:hint="eastAsia"/>
                <w:sz w:val="21"/>
                <w:szCs w:val="21"/>
              </w:rPr>
              <w:t>/</w:t>
            </w:r>
          </w:p>
        </w:tc>
      </w:tr>
      <w:tr w14:paraId="6B4F43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E476DB5">
            <w:pPr>
              <w:adjustRightInd w:val="0"/>
              <w:snapToGrid w:val="0"/>
              <w:spacing w:line="240" w:lineRule="auto"/>
              <w:jc w:val="center"/>
              <w:rPr>
                <w:sz w:val="21"/>
                <w:szCs w:val="21"/>
              </w:rPr>
            </w:pPr>
          </w:p>
        </w:tc>
        <w:tc>
          <w:tcPr>
            <w:tcW w:w="709" w:type="dxa"/>
            <w:vMerge w:val="continue"/>
            <w:tcBorders>
              <w:tl2br w:val="nil"/>
              <w:tr2bl w:val="nil"/>
            </w:tcBorders>
            <w:vAlign w:val="center"/>
          </w:tcPr>
          <w:p w14:paraId="6DD12EC9">
            <w:pPr>
              <w:adjustRightInd w:val="0"/>
              <w:snapToGrid w:val="0"/>
              <w:spacing w:line="240" w:lineRule="auto"/>
              <w:jc w:val="center"/>
              <w:rPr>
                <w:sz w:val="21"/>
                <w:szCs w:val="21"/>
              </w:rPr>
            </w:pPr>
          </w:p>
        </w:tc>
        <w:tc>
          <w:tcPr>
            <w:tcW w:w="567" w:type="dxa"/>
            <w:vMerge w:val="restart"/>
            <w:tcBorders>
              <w:tl2br w:val="nil"/>
              <w:tr2bl w:val="nil"/>
            </w:tcBorders>
            <w:vAlign w:val="center"/>
          </w:tcPr>
          <w:p w14:paraId="52EB5048">
            <w:pPr>
              <w:adjustRightInd w:val="0"/>
              <w:snapToGrid w:val="0"/>
              <w:spacing w:line="240" w:lineRule="auto"/>
              <w:jc w:val="center"/>
              <w:rPr>
                <w:sz w:val="21"/>
                <w:szCs w:val="21"/>
              </w:rPr>
            </w:pPr>
            <w:r>
              <w:rPr>
                <w:rFonts w:hint="eastAsia"/>
                <w:sz w:val="21"/>
                <w:szCs w:val="21"/>
              </w:rPr>
              <w:t>溶剂回收装置TBSY-7025</w:t>
            </w:r>
          </w:p>
        </w:tc>
        <w:tc>
          <w:tcPr>
            <w:tcW w:w="1702" w:type="dxa"/>
            <w:tcBorders>
              <w:tl2br w:val="nil"/>
              <w:tr2bl w:val="nil"/>
            </w:tcBorders>
            <w:vAlign w:val="center"/>
          </w:tcPr>
          <w:p w14:paraId="60A1E73B">
            <w:pPr>
              <w:adjustRightInd w:val="0"/>
              <w:snapToGrid w:val="0"/>
              <w:spacing w:line="240" w:lineRule="auto"/>
              <w:jc w:val="center"/>
              <w:rPr>
                <w:sz w:val="21"/>
                <w:szCs w:val="21"/>
              </w:rPr>
            </w:pPr>
            <w:r>
              <w:rPr>
                <w:rFonts w:hint="eastAsia"/>
                <w:sz w:val="21"/>
                <w:szCs w:val="21"/>
              </w:rPr>
              <w:t>气体预处理系统</w:t>
            </w:r>
          </w:p>
        </w:tc>
        <w:tc>
          <w:tcPr>
            <w:tcW w:w="992" w:type="dxa"/>
            <w:tcBorders>
              <w:tl2br w:val="nil"/>
              <w:tr2bl w:val="nil"/>
            </w:tcBorders>
            <w:vAlign w:val="center"/>
          </w:tcPr>
          <w:p w14:paraId="018FB083">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70FFC1B">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2A5D9111">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171BA72">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4097D772">
            <w:pPr>
              <w:adjustRightInd w:val="0"/>
              <w:snapToGrid w:val="0"/>
              <w:spacing w:line="240" w:lineRule="auto"/>
              <w:jc w:val="center"/>
              <w:rPr>
                <w:sz w:val="21"/>
                <w:szCs w:val="21"/>
              </w:rPr>
            </w:pPr>
            <w:r>
              <w:rPr>
                <w:rFonts w:hint="eastAsia"/>
                <w:sz w:val="21"/>
                <w:szCs w:val="21"/>
              </w:rPr>
              <w:t>/</w:t>
            </w:r>
          </w:p>
        </w:tc>
      </w:tr>
      <w:tr w14:paraId="680782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9107468">
            <w:pPr>
              <w:adjustRightInd w:val="0"/>
              <w:snapToGrid w:val="0"/>
              <w:spacing w:line="240" w:lineRule="auto"/>
              <w:jc w:val="center"/>
              <w:rPr>
                <w:sz w:val="21"/>
                <w:szCs w:val="21"/>
              </w:rPr>
            </w:pPr>
          </w:p>
        </w:tc>
        <w:tc>
          <w:tcPr>
            <w:tcW w:w="709" w:type="dxa"/>
            <w:vMerge w:val="continue"/>
            <w:tcBorders>
              <w:tl2br w:val="nil"/>
              <w:tr2bl w:val="nil"/>
            </w:tcBorders>
            <w:vAlign w:val="center"/>
          </w:tcPr>
          <w:p w14:paraId="2D50AAD9">
            <w:pPr>
              <w:adjustRightInd w:val="0"/>
              <w:snapToGrid w:val="0"/>
              <w:spacing w:line="240" w:lineRule="auto"/>
              <w:jc w:val="center"/>
              <w:rPr>
                <w:sz w:val="21"/>
                <w:szCs w:val="21"/>
              </w:rPr>
            </w:pPr>
          </w:p>
        </w:tc>
        <w:tc>
          <w:tcPr>
            <w:tcW w:w="567" w:type="dxa"/>
            <w:vMerge w:val="continue"/>
            <w:tcBorders>
              <w:tl2br w:val="nil"/>
              <w:tr2bl w:val="nil"/>
            </w:tcBorders>
            <w:vAlign w:val="center"/>
          </w:tcPr>
          <w:p w14:paraId="158703F8">
            <w:pPr>
              <w:adjustRightInd w:val="0"/>
              <w:snapToGrid w:val="0"/>
              <w:spacing w:line="240" w:lineRule="auto"/>
              <w:jc w:val="center"/>
              <w:rPr>
                <w:sz w:val="21"/>
                <w:szCs w:val="21"/>
              </w:rPr>
            </w:pPr>
          </w:p>
        </w:tc>
        <w:tc>
          <w:tcPr>
            <w:tcW w:w="1702" w:type="dxa"/>
            <w:tcBorders>
              <w:tl2br w:val="nil"/>
              <w:tr2bl w:val="nil"/>
            </w:tcBorders>
            <w:vAlign w:val="center"/>
          </w:tcPr>
          <w:p w14:paraId="11C05F0E">
            <w:pPr>
              <w:adjustRightInd w:val="0"/>
              <w:snapToGrid w:val="0"/>
              <w:spacing w:line="240" w:lineRule="auto"/>
              <w:jc w:val="center"/>
              <w:rPr>
                <w:sz w:val="21"/>
                <w:szCs w:val="21"/>
              </w:rPr>
            </w:pPr>
            <w:r>
              <w:rPr>
                <w:rFonts w:hint="eastAsia"/>
                <w:sz w:val="21"/>
                <w:szCs w:val="21"/>
              </w:rPr>
              <w:t>活性炭吸附系统</w:t>
            </w:r>
          </w:p>
        </w:tc>
        <w:tc>
          <w:tcPr>
            <w:tcW w:w="992" w:type="dxa"/>
            <w:tcBorders>
              <w:tl2br w:val="nil"/>
              <w:tr2bl w:val="nil"/>
            </w:tcBorders>
            <w:vAlign w:val="center"/>
          </w:tcPr>
          <w:p w14:paraId="1AF3C2E7">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5829DBDF">
            <w:pPr>
              <w:adjustRightInd w:val="0"/>
              <w:snapToGrid w:val="0"/>
              <w:spacing w:line="240" w:lineRule="auto"/>
              <w:jc w:val="center"/>
              <w:rPr>
                <w:sz w:val="21"/>
                <w:szCs w:val="21"/>
              </w:rPr>
            </w:pPr>
            <w:r>
              <w:rPr>
                <w:rFonts w:hint="eastAsia"/>
                <w:sz w:val="21"/>
                <w:szCs w:val="21"/>
              </w:rPr>
              <w:t>+7套</w:t>
            </w:r>
          </w:p>
        </w:tc>
        <w:tc>
          <w:tcPr>
            <w:tcW w:w="1082" w:type="dxa"/>
            <w:tcBorders>
              <w:tl2br w:val="nil"/>
              <w:tr2bl w:val="nil"/>
            </w:tcBorders>
            <w:vAlign w:val="center"/>
          </w:tcPr>
          <w:p w14:paraId="06499640">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03471D3B">
            <w:pPr>
              <w:adjustRightInd w:val="0"/>
              <w:snapToGrid w:val="0"/>
              <w:spacing w:line="240" w:lineRule="auto"/>
              <w:jc w:val="center"/>
              <w:rPr>
                <w:sz w:val="21"/>
                <w:szCs w:val="21"/>
              </w:rPr>
            </w:pPr>
            <w:r>
              <w:rPr>
                <w:rFonts w:hint="eastAsia"/>
                <w:sz w:val="21"/>
                <w:szCs w:val="21"/>
              </w:rPr>
              <w:t>7套</w:t>
            </w:r>
          </w:p>
        </w:tc>
        <w:tc>
          <w:tcPr>
            <w:tcW w:w="852" w:type="dxa"/>
            <w:tcBorders>
              <w:tl2br w:val="nil"/>
              <w:tr2bl w:val="nil"/>
            </w:tcBorders>
            <w:vAlign w:val="center"/>
          </w:tcPr>
          <w:p w14:paraId="5824C937">
            <w:pPr>
              <w:adjustRightInd w:val="0"/>
              <w:snapToGrid w:val="0"/>
              <w:spacing w:line="240" w:lineRule="auto"/>
              <w:jc w:val="center"/>
              <w:rPr>
                <w:sz w:val="21"/>
                <w:szCs w:val="21"/>
              </w:rPr>
            </w:pPr>
            <w:r>
              <w:rPr>
                <w:rFonts w:hint="eastAsia"/>
                <w:sz w:val="21"/>
                <w:szCs w:val="21"/>
              </w:rPr>
              <w:t>/</w:t>
            </w:r>
          </w:p>
        </w:tc>
      </w:tr>
      <w:tr w14:paraId="1CF2BD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63E5ABE9">
            <w:pPr>
              <w:adjustRightInd w:val="0"/>
              <w:snapToGrid w:val="0"/>
              <w:spacing w:line="240" w:lineRule="auto"/>
              <w:jc w:val="center"/>
              <w:rPr>
                <w:sz w:val="21"/>
                <w:szCs w:val="21"/>
              </w:rPr>
            </w:pPr>
          </w:p>
        </w:tc>
        <w:tc>
          <w:tcPr>
            <w:tcW w:w="709" w:type="dxa"/>
            <w:vMerge w:val="continue"/>
            <w:tcBorders>
              <w:tl2br w:val="nil"/>
              <w:tr2bl w:val="nil"/>
            </w:tcBorders>
            <w:vAlign w:val="center"/>
          </w:tcPr>
          <w:p w14:paraId="6B06C750">
            <w:pPr>
              <w:adjustRightInd w:val="0"/>
              <w:snapToGrid w:val="0"/>
              <w:spacing w:line="240" w:lineRule="auto"/>
              <w:jc w:val="center"/>
              <w:rPr>
                <w:sz w:val="21"/>
                <w:szCs w:val="21"/>
              </w:rPr>
            </w:pPr>
          </w:p>
        </w:tc>
        <w:tc>
          <w:tcPr>
            <w:tcW w:w="567" w:type="dxa"/>
            <w:vMerge w:val="continue"/>
            <w:tcBorders>
              <w:tl2br w:val="nil"/>
              <w:tr2bl w:val="nil"/>
            </w:tcBorders>
            <w:vAlign w:val="center"/>
          </w:tcPr>
          <w:p w14:paraId="33245C1B">
            <w:pPr>
              <w:adjustRightInd w:val="0"/>
              <w:snapToGrid w:val="0"/>
              <w:spacing w:line="240" w:lineRule="auto"/>
              <w:jc w:val="center"/>
              <w:rPr>
                <w:sz w:val="21"/>
                <w:szCs w:val="21"/>
              </w:rPr>
            </w:pPr>
          </w:p>
        </w:tc>
        <w:tc>
          <w:tcPr>
            <w:tcW w:w="1702" w:type="dxa"/>
            <w:tcBorders>
              <w:tl2br w:val="nil"/>
              <w:tr2bl w:val="nil"/>
            </w:tcBorders>
            <w:vAlign w:val="center"/>
          </w:tcPr>
          <w:p w14:paraId="7F71023B">
            <w:pPr>
              <w:adjustRightInd w:val="0"/>
              <w:snapToGrid w:val="0"/>
              <w:spacing w:line="240" w:lineRule="auto"/>
              <w:jc w:val="center"/>
              <w:rPr>
                <w:sz w:val="21"/>
                <w:szCs w:val="21"/>
              </w:rPr>
            </w:pPr>
            <w:r>
              <w:rPr>
                <w:rFonts w:hint="eastAsia"/>
                <w:sz w:val="21"/>
                <w:szCs w:val="21"/>
              </w:rPr>
              <w:t>高浓度补偿系统</w:t>
            </w:r>
          </w:p>
        </w:tc>
        <w:tc>
          <w:tcPr>
            <w:tcW w:w="992" w:type="dxa"/>
            <w:tcBorders>
              <w:tl2br w:val="nil"/>
              <w:tr2bl w:val="nil"/>
            </w:tcBorders>
            <w:vAlign w:val="center"/>
          </w:tcPr>
          <w:p w14:paraId="520F926C">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698E15D">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168398BF">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596FBA7A">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2DE0291F">
            <w:pPr>
              <w:adjustRightInd w:val="0"/>
              <w:snapToGrid w:val="0"/>
              <w:spacing w:line="240" w:lineRule="auto"/>
              <w:jc w:val="center"/>
              <w:rPr>
                <w:sz w:val="21"/>
                <w:szCs w:val="21"/>
              </w:rPr>
            </w:pPr>
            <w:r>
              <w:rPr>
                <w:rFonts w:hint="eastAsia"/>
                <w:sz w:val="21"/>
                <w:szCs w:val="21"/>
              </w:rPr>
              <w:t>/</w:t>
            </w:r>
          </w:p>
        </w:tc>
      </w:tr>
      <w:tr w14:paraId="568D3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73FD1C7">
            <w:pPr>
              <w:adjustRightInd w:val="0"/>
              <w:snapToGrid w:val="0"/>
              <w:spacing w:line="240" w:lineRule="auto"/>
              <w:jc w:val="center"/>
              <w:rPr>
                <w:sz w:val="21"/>
                <w:szCs w:val="21"/>
              </w:rPr>
            </w:pPr>
          </w:p>
        </w:tc>
        <w:tc>
          <w:tcPr>
            <w:tcW w:w="709" w:type="dxa"/>
            <w:vMerge w:val="continue"/>
            <w:tcBorders>
              <w:tl2br w:val="nil"/>
              <w:tr2bl w:val="nil"/>
            </w:tcBorders>
            <w:vAlign w:val="center"/>
          </w:tcPr>
          <w:p w14:paraId="7252EF66">
            <w:pPr>
              <w:adjustRightInd w:val="0"/>
              <w:snapToGrid w:val="0"/>
              <w:spacing w:line="240" w:lineRule="auto"/>
              <w:jc w:val="center"/>
              <w:rPr>
                <w:sz w:val="21"/>
                <w:szCs w:val="21"/>
              </w:rPr>
            </w:pPr>
          </w:p>
        </w:tc>
        <w:tc>
          <w:tcPr>
            <w:tcW w:w="567" w:type="dxa"/>
            <w:vMerge w:val="continue"/>
            <w:tcBorders>
              <w:tl2br w:val="nil"/>
              <w:tr2bl w:val="nil"/>
            </w:tcBorders>
            <w:vAlign w:val="center"/>
          </w:tcPr>
          <w:p w14:paraId="64A63484">
            <w:pPr>
              <w:adjustRightInd w:val="0"/>
              <w:snapToGrid w:val="0"/>
              <w:spacing w:line="240" w:lineRule="auto"/>
              <w:jc w:val="center"/>
              <w:rPr>
                <w:sz w:val="21"/>
                <w:szCs w:val="21"/>
              </w:rPr>
            </w:pPr>
          </w:p>
        </w:tc>
        <w:tc>
          <w:tcPr>
            <w:tcW w:w="1702" w:type="dxa"/>
            <w:tcBorders>
              <w:tl2br w:val="nil"/>
              <w:tr2bl w:val="nil"/>
            </w:tcBorders>
            <w:vAlign w:val="center"/>
          </w:tcPr>
          <w:p w14:paraId="50FEE66A">
            <w:pPr>
              <w:adjustRightInd w:val="0"/>
              <w:snapToGrid w:val="0"/>
              <w:spacing w:line="240" w:lineRule="auto"/>
              <w:jc w:val="center"/>
              <w:rPr>
                <w:sz w:val="21"/>
                <w:szCs w:val="21"/>
              </w:rPr>
            </w:pPr>
            <w:r>
              <w:rPr>
                <w:rFonts w:hint="eastAsia"/>
                <w:sz w:val="21"/>
                <w:szCs w:val="21"/>
              </w:rPr>
              <w:t>脱附系统</w:t>
            </w:r>
          </w:p>
        </w:tc>
        <w:tc>
          <w:tcPr>
            <w:tcW w:w="992" w:type="dxa"/>
            <w:tcBorders>
              <w:tl2br w:val="nil"/>
              <w:tr2bl w:val="nil"/>
            </w:tcBorders>
            <w:vAlign w:val="center"/>
          </w:tcPr>
          <w:p w14:paraId="43C55B84">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0A2D73A1">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13E19440">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73931402">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7A5E5072">
            <w:pPr>
              <w:adjustRightInd w:val="0"/>
              <w:snapToGrid w:val="0"/>
              <w:spacing w:line="240" w:lineRule="auto"/>
              <w:jc w:val="center"/>
              <w:rPr>
                <w:sz w:val="21"/>
                <w:szCs w:val="21"/>
              </w:rPr>
            </w:pPr>
            <w:r>
              <w:rPr>
                <w:rFonts w:hint="eastAsia"/>
                <w:sz w:val="21"/>
                <w:szCs w:val="21"/>
              </w:rPr>
              <w:t>/</w:t>
            </w:r>
          </w:p>
        </w:tc>
      </w:tr>
      <w:tr w14:paraId="0B39E3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F02B50E">
            <w:pPr>
              <w:adjustRightInd w:val="0"/>
              <w:snapToGrid w:val="0"/>
              <w:spacing w:line="240" w:lineRule="auto"/>
              <w:jc w:val="center"/>
              <w:rPr>
                <w:sz w:val="21"/>
                <w:szCs w:val="21"/>
              </w:rPr>
            </w:pPr>
          </w:p>
        </w:tc>
        <w:tc>
          <w:tcPr>
            <w:tcW w:w="709" w:type="dxa"/>
            <w:vMerge w:val="continue"/>
            <w:tcBorders>
              <w:tl2br w:val="nil"/>
              <w:tr2bl w:val="nil"/>
            </w:tcBorders>
            <w:vAlign w:val="center"/>
          </w:tcPr>
          <w:p w14:paraId="05FE49A8">
            <w:pPr>
              <w:adjustRightInd w:val="0"/>
              <w:snapToGrid w:val="0"/>
              <w:spacing w:line="240" w:lineRule="auto"/>
              <w:jc w:val="center"/>
              <w:rPr>
                <w:sz w:val="21"/>
                <w:szCs w:val="21"/>
              </w:rPr>
            </w:pPr>
          </w:p>
        </w:tc>
        <w:tc>
          <w:tcPr>
            <w:tcW w:w="567" w:type="dxa"/>
            <w:vMerge w:val="continue"/>
            <w:tcBorders>
              <w:tl2br w:val="nil"/>
              <w:tr2bl w:val="nil"/>
            </w:tcBorders>
            <w:vAlign w:val="center"/>
          </w:tcPr>
          <w:p w14:paraId="259F7D28">
            <w:pPr>
              <w:adjustRightInd w:val="0"/>
              <w:snapToGrid w:val="0"/>
              <w:spacing w:line="240" w:lineRule="auto"/>
              <w:jc w:val="center"/>
              <w:rPr>
                <w:sz w:val="21"/>
                <w:szCs w:val="21"/>
              </w:rPr>
            </w:pPr>
          </w:p>
        </w:tc>
        <w:tc>
          <w:tcPr>
            <w:tcW w:w="1702" w:type="dxa"/>
            <w:tcBorders>
              <w:tl2br w:val="nil"/>
              <w:tr2bl w:val="nil"/>
            </w:tcBorders>
            <w:vAlign w:val="center"/>
          </w:tcPr>
          <w:p w14:paraId="14A30496">
            <w:pPr>
              <w:adjustRightInd w:val="0"/>
              <w:snapToGrid w:val="0"/>
              <w:spacing w:line="240" w:lineRule="auto"/>
              <w:jc w:val="center"/>
              <w:rPr>
                <w:sz w:val="21"/>
                <w:szCs w:val="21"/>
              </w:rPr>
            </w:pPr>
            <w:r>
              <w:rPr>
                <w:rFonts w:hint="eastAsia"/>
                <w:sz w:val="21"/>
                <w:szCs w:val="21"/>
              </w:rPr>
              <w:t>冷却系统</w:t>
            </w:r>
          </w:p>
        </w:tc>
        <w:tc>
          <w:tcPr>
            <w:tcW w:w="992" w:type="dxa"/>
            <w:tcBorders>
              <w:tl2br w:val="nil"/>
              <w:tr2bl w:val="nil"/>
            </w:tcBorders>
            <w:vAlign w:val="center"/>
          </w:tcPr>
          <w:p w14:paraId="5A105B68">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59B6FE41">
            <w:pPr>
              <w:adjustRightInd w:val="0"/>
              <w:snapToGrid w:val="0"/>
              <w:spacing w:line="240" w:lineRule="auto"/>
              <w:jc w:val="center"/>
              <w:rPr>
                <w:sz w:val="21"/>
                <w:szCs w:val="21"/>
              </w:rPr>
            </w:pPr>
            <w:r>
              <w:rPr>
                <w:rFonts w:hint="eastAsia"/>
                <w:sz w:val="21"/>
                <w:szCs w:val="21"/>
              </w:rPr>
              <w:t>+2套</w:t>
            </w:r>
          </w:p>
        </w:tc>
        <w:tc>
          <w:tcPr>
            <w:tcW w:w="1082" w:type="dxa"/>
            <w:tcBorders>
              <w:tl2br w:val="nil"/>
              <w:tr2bl w:val="nil"/>
            </w:tcBorders>
            <w:vAlign w:val="center"/>
          </w:tcPr>
          <w:p w14:paraId="51106061">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409F12A">
            <w:pPr>
              <w:adjustRightInd w:val="0"/>
              <w:snapToGrid w:val="0"/>
              <w:spacing w:line="240" w:lineRule="auto"/>
              <w:jc w:val="center"/>
              <w:rPr>
                <w:sz w:val="21"/>
                <w:szCs w:val="21"/>
              </w:rPr>
            </w:pPr>
            <w:r>
              <w:rPr>
                <w:rFonts w:hint="eastAsia"/>
                <w:sz w:val="21"/>
                <w:szCs w:val="21"/>
              </w:rPr>
              <w:t>2套</w:t>
            </w:r>
          </w:p>
        </w:tc>
        <w:tc>
          <w:tcPr>
            <w:tcW w:w="852" w:type="dxa"/>
            <w:tcBorders>
              <w:tl2br w:val="nil"/>
              <w:tr2bl w:val="nil"/>
            </w:tcBorders>
            <w:vAlign w:val="center"/>
          </w:tcPr>
          <w:p w14:paraId="429E3111">
            <w:pPr>
              <w:adjustRightInd w:val="0"/>
              <w:snapToGrid w:val="0"/>
              <w:spacing w:line="240" w:lineRule="auto"/>
              <w:jc w:val="center"/>
              <w:rPr>
                <w:sz w:val="21"/>
                <w:szCs w:val="21"/>
              </w:rPr>
            </w:pPr>
            <w:r>
              <w:rPr>
                <w:rFonts w:hint="eastAsia"/>
                <w:sz w:val="21"/>
                <w:szCs w:val="21"/>
              </w:rPr>
              <w:t>/</w:t>
            </w:r>
          </w:p>
        </w:tc>
      </w:tr>
      <w:tr w14:paraId="48CE34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A5C490C">
            <w:pPr>
              <w:adjustRightInd w:val="0"/>
              <w:snapToGrid w:val="0"/>
              <w:spacing w:line="240" w:lineRule="auto"/>
              <w:jc w:val="center"/>
              <w:rPr>
                <w:sz w:val="21"/>
                <w:szCs w:val="21"/>
              </w:rPr>
            </w:pPr>
          </w:p>
        </w:tc>
        <w:tc>
          <w:tcPr>
            <w:tcW w:w="709" w:type="dxa"/>
            <w:vMerge w:val="continue"/>
            <w:tcBorders>
              <w:tl2br w:val="nil"/>
              <w:tr2bl w:val="nil"/>
            </w:tcBorders>
            <w:vAlign w:val="center"/>
          </w:tcPr>
          <w:p w14:paraId="7EFC46EA">
            <w:pPr>
              <w:adjustRightInd w:val="0"/>
              <w:snapToGrid w:val="0"/>
              <w:spacing w:line="240" w:lineRule="auto"/>
              <w:jc w:val="center"/>
              <w:rPr>
                <w:sz w:val="21"/>
                <w:szCs w:val="21"/>
              </w:rPr>
            </w:pPr>
          </w:p>
        </w:tc>
        <w:tc>
          <w:tcPr>
            <w:tcW w:w="567" w:type="dxa"/>
            <w:vMerge w:val="continue"/>
            <w:tcBorders>
              <w:tl2br w:val="nil"/>
              <w:tr2bl w:val="nil"/>
            </w:tcBorders>
            <w:vAlign w:val="center"/>
          </w:tcPr>
          <w:p w14:paraId="2F5CCF5E">
            <w:pPr>
              <w:adjustRightInd w:val="0"/>
              <w:snapToGrid w:val="0"/>
              <w:spacing w:line="240" w:lineRule="auto"/>
              <w:jc w:val="center"/>
              <w:rPr>
                <w:sz w:val="21"/>
                <w:szCs w:val="21"/>
              </w:rPr>
            </w:pPr>
          </w:p>
        </w:tc>
        <w:tc>
          <w:tcPr>
            <w:tcW w:w="1702" w:type="dxa"/>
            <w:tcBorders>
              <w:tl2br w:val="nil"/>
              <w:tr2bl w:val="nil"/>
            </w:tcBorders>
            <w:vAlign w:val="center"/>
          </w:tcPr>
          <w:p w14:paraId="35CC6A8B">
            <w:pPr>
              <w:adjustRightInd w:val="0"/>
              <w:snapToGrid w:val="0"/>
              <w:spacing w:line="240" w:lineRule="auto"/>
              <w:jc w:val="center"/>
              <w:rPr>
                <w:sz w:val="21"/>
                <w:szCs w:val="21"/>
              </w:rPr>
            </w:pPr>
            <w:r>
              <w:rPr>
                <w:rFonts w:hint="eastAsia"/>
                <w:sz w:val="21"/>
                <w:szCs w:val="21"/>
              </w:rPr>
              <w:t>深冷系统</w:t>
            </w:r>
          </w:p>
        </w:tc>
        <w:tc>
          <w:tcPr>
            <w:tcW w:w="992" w:type="dxa"/>
            <w:tcBorders>
              <w:tl2br w:val="nil"/>
              <w:tr2bl w:val="nil"/>
            </w:tcBorders>
            <w:vAlign w:val="center"/>
          </w:tcPr>
          <w:p w14:paraId="6D45F37D">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0A9D67FB">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29C9C201">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327F7D3">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505E649">
            <w:pPr>
              <w:adjustRightInd w:val="0"/>
              <w:snapToGrid w:val="0"/>
              <w:spacing w:line="240" w:lineRule="auto"/>
              <w:jc w:val="center"/>
              <w:rPr>
                <w:sz w:val="21"/>
                <w:szCs w:val="21"/>
              </w:rPr>
            </w:pPr>
            <w:r>
              <w:rPr>
                <w:rFonts w:hint="eastAsia"/>
                <w:sz w:val="21"/>
                <w:szCs w:val="21"/>
              </w:rPr>
              <w:t>/</w:t>
            </w:r>
          </w:p>
        </w:tc>
      </w:tr>
      <w:tr w14:paraId="036E4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C5CE1A9">
            <w:pPr>
              <w:adjustRightInd w:val="0"/>
              <w:snapToGrid w:val="0"/>
              <w:spacing w:line="240" w:lineRule="auto"/>
              <w:jc w:val="center"/>
              <w:rPr>
                <w:sz w:val="21"/>
                <w:szCs w:val="21"/>
              </w:rPr>
            </w:pPr>
          </w:p>
        </w:tc>
        <w:tc>
          <w:tcPr>
            <w:tcW w:w="709" w:type="dxa"/>
            <w:vMerge w:val="continue"/>
            <w:tcBorders>
              <w:tl2br w:val="nil"/>
              <w:tr2bl w:val="nil"/>
            </w:tcBorders>
            <w:vAlign w:val="center"/>
          </w:tcPr>
          <w:p w14:paraId="4EC2DA74">
            <w:pPr>
              <w:adjustRightInd w:val="0"/>
              <w:snapToGrid w:val="0"/>
              <w:spacing w:line="240" w:lineRule="auto"/>
              <w:jc w:val="center"/>
              <w:rPr>
                <w:sz w:val="21"/>
                <w:szCs w:val="21"/>
              </w:rPr>
            </w:pPr>
          </w:p>
        </w:tc>
        <w:tc>
          <w:tcPr>
            <w:tcW w:w="567" w:type="dxa"/>
            <w:vMerge w:val="continue"/>
            <w:tcBorders>
              <w:tl2br w:val="nil"/>
              <w:tr2bl w:val="nil"/>
            </w:tcBorders>
            <w:vAlign w:val="center"/>
          </w:tcPr>
          <w:p w14:paraId="43EB95ED">
            <w:pPr>
              <w:adjustRightInd w:val="0"/>
              <w:snapToGrid w:val="0"/>
              <w:spacing w:line="240" w:lineRule="auto"/>
              <w:jc w:val="center"/>
              <w:rPr>
                <w:sz w:val="21"/>
                <w:szCs w:val="21"/>
              </w:rPr>
            </w:pPr>
          </w:p>
        </w:tc>
        <w:tc>
          <w:tcPr>
            <w:tcW w:w="1702" w:type="dxa"/>
            <w:tcBorders>
              <w:tl2br w:val="nil"/>
              <w:tr2bl w:val="nil"/>
            </w:tcBorders>
            <w:vAlign w:val="center"/>
          </w:tcPr>
          <w:p w14:paraId="646F59B1">
            <w:pPr>
              <w:adjustRightInd w:val="0"/>
              <w:snapToGrid w:val="0"/>
              <w:spacing w:line="240" w:lineRule="auto"/>
              <w:jc w:val="center"/>
              <w:rPr>
                <w:sz w:val="21"/>
                <w:szCs w:val="21"/>
              </w:rPr>
            </w:pPr>
            <w:r>
              <w:rPr>
                <w:rFonts w:hint="eastAsia"/>
                <w:sz w:val="21"/>
                <w:szCs w:val="21"/>
              </w:rPr>
              <w:t>节能系统</w:t>
            </w:r>
          </w:p>
        </w:tc>
        <w:tc>
          <w:tcPr>
            <w:tcW w:w="992" w:type="dxa"/>
            <w:tcBorders>
              <w:tl2br w:val="nil"/>
              <w:tr2bl w:val="nil"/>
            </w:tcBorders>
            <w:vAlign w:val="center"/>
          </w:tcPr>
          <w:p w14:paraId="15505DE5">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35161247">
            <w:pPr>
              <w:adjustRightInd w:val="0"/>
              <w:snapToGrid w:val="0"/>
              <w:spacing w:line="240" w:lineRule="auto"/>
              <w:jc w:val="center"/>
              <w:rPr>
                <w:sz w:val="21"/>
                <w:szCs w:val="21"/>
              </w:rPr>
            </w:pPr>
            <w:r>
              <w:rPr>
                <w:rFonts w:hint="eastAsia"/>
                <w:sz w:val="21"/>
                <w:szCs w:val="21"/>
              </w:rPr>
              <w:t>+2套</w:t>
            </w:r>
          </w:p>
        </w:tc>
        <w:tc>
          <w:tcPr>
            <w:tcW w:w="1082" w:type="dxa"/>
            <w:tcBorders>
              <w:tl2br w:val="nil"/>
              <w:tr2bl w:val="nil"/>
            </w:tcBorders>
            <w:vAlign w:val="center"/>
          </w:tcPr>
          <w:p w14:paraId="6C7FED5E">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753F45AD">
            <w:pPr>
              <w:adjustRightInd w:val="0"/>
              <w:snapToGrid w:val="0"/>
              <w:spacing w:line="240" w:lineRule="auto"/>
              <w:jc w:val="center"/>
              <w:rPr>
                <w:sz w:val="21"/>
                <w:szCs w:val="21"/>
              </w:rPr>
            </w:pPr>
            <w:r>
              <w:rPr>
                <w:rFonts w:hint="eastAsia"/>
                <w:sz w:val="21"/>
                <w:szCs w:val="21"/>
              </w:rPr>
              <w:t>2套</w:t>
            </w:r>
          </w:p>
        </w:tc>
        <w:tc>
          <w:tcPr>
            <w:tcW w:w="852" w:type="dxa"/>
            <w:tcBorders>
              <w:tl2br w:val="nil"/>
              <w:tr2bl w:val="nil"/>
            </w:tcBorders>
            <w:vAlign w:val="center"/>
          </w:tcPr>
          <w:p w14:paraId="1675AEA1">
            <w:pPr>
              <w:adjustRightInd w:val="0"/>
              <w:snapToGrid w:val="0"/>
              <w:spacing w:line="240" w:lineRule="auto"/>
              <w:jc w:val="center"/>
              <w:rPr>
                <w:sz w:val="21"/>
                <w:szCs w:val="21"/>
              </w:rPr>
            </w:pPr>
            <w:r>
              <w:rPr>
                <w:rFonts w:hint="eastAsia"/>
                <w:sz w:val="21"/>
                <w:szCs w:val="21"/>
              </w:rPr>
              <w:t>/</w:t>
            </w:r>
          </w:p>
        </w:tc>
      </w:tr>
      <w:tr w14:paraId="7BBC9D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BA677D5">
            <w:pPr>
              <w:adjustRightInd w:val="0"/>
              <w:snapToGrid w:val="0"/>
              <w:spacing w:line="240" w:lineRule="auto"/>
              <w:jc w:val="center"/>
              <w:rPr>
                <w:sz w:val="21"/>
                <w:szCs w:val="21"/>
              </w:rPr>
            </w:pPr>
          </w:p>
        </w:tc>
        <w:tc>
          <w:tcPr>
            <w:tcW w:w="709" w:type="dxa"/>
            <w:vMerge w:val="continue"/>
            <w:tcBorders>
              <w:tl2br w:val="nil"/>
              <w:tr2bl w:val="nil"/>
            </w:tcBorders>
            <w:vAlign w:val="center"/>
          </w:tcPr>
          <w:p w14:paraId="1CC12F80">
            <w:pPr>
              <w:adjustRightInd w:val="0"/>
              <w:snapToGrid w:val="0"/>
              <w:spacing w:line="240" w:lineRule="auto"/>
              <w:jc w:val="center"/>
              <w:rPr>
                <w:sz w:val="21"/>
                <w:szCs w:val="21"/>
              </w:rPr>
            </w:pPr>
          </w:p>
        </w:tc>
        <w:tc>
          <w:tcPr>
            <w:tcW w:w="567" w:type="dxa"/>
            <w:vMerge w:val="continue"/>
            <w:tcBorders>
              <w:tl2br w:val="nil"/>
              <w:tr2bl w:val="nil"/>
            </w:tcBorders>
            <w:vAlign w:val="center"/>
          </w:tcPr>
          <w:p w14:paraId="08A22850">
            <w:pPr>
              <w:adjustRightInd w:val="0"/>
              <w:snapToGrid w:val="0"/>
              <w:spacing w:line="240" w:lineRule="auto"/>
              <w:jc w:val="center"/>
              <w:rPr>
                <w:sz w:val="21"/>
                <w:szCs w:val="21"/>
              </w:rPr>
            </w:pPr>
          </w:p>
        </w:tc>
        <w:tc>
          <w:tcPr>
            <w:tcW w:w="1702" w:type="dxa"/>
            <w:tcBorders>
              <w:tl2br w:val="nil"/>
              <w:tr2bl w:val="nil"/>
            </w:tcBorders>
            <w:vAlign w:val="center"/>
          </w:tcPr>
          <w:p w14:paraId="6E079C0D">
            <w:pPr>
              <w:adjustRightInd w:val="0"/>
              <w:snapToGrid w:val="0"/>
              <w:spacing w:line="240" w:lineRule="auto"/>
              <w:jc w:val="center"/>
              <w:rPr>
                <w:sz w:val="21"/>
                <w:szCs w:val="21"/>
              </w:rPr>
            </w:pPr>
            <w:r>
              <w:rPr>
                <w:rFonts w:hint="eastAsia"/>
                <w:sz w:val="21"/>
                <w:szCs w:val="21"/>
              </w:rPr>
              <w:t>氮气系统</w:t>
            </w:r>
          </w:p>
        </w:tc>
        <w:tc>
          <w:tcPr>
            <w:tcW w:w="992" w:type="dxa"/>
            <w:tcBorders>
              <w:tl2br w:val="nil"/>
              <w:tr2bl w:val="nil"/>
            </w:tcBorders>
            <w:vAlign w:val="center"/>
          </w:tcPr>
          <w:p w14:paraId="67F2364C">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0C1BB89C">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0B1B05A2">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10A92FEB">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32BB5F3C">
            <w:pPr>
              <w:adjustRightInd w:val="0"/>
              <w:snapToGrid w:val="0"/>
              <w:spacing w:line="240" w:lineRule="auto"/>
              <w:jc w:val="center"/>
              <w:rPr>
                <w:b/>
                <w:bCs/>
                <w:sz w:val="21"/>
                <w:szCs w:val="21"/>
              </w:rPr>
            </w:pPr>
            <w:r>
              <w:rPr>
                <w:rFonts w:hint="eastAsia"/>
                <w:sz w:val="21"/>
                <w:szCs w:val="21"/>
              </w:rPr>
              <w:t>/</w:t>
            </w:r>
          </w:p>
        </w:tc>
      </w:tr>
      <w:tr w14:paraId="10E748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71001D7E">
            <w:pPr>
              <w:adjustRightInd w:val="0"/>
              <w:snapToGrid w:val="0"/>
              <w:spacing w:line="240" w:lineRule="auto"/>
              <w:jc w:val="center"/>
              <w:rPr>
                <w:sz w:val="21"/>
                <w:szCs w:val="21"/>
              </w:rPr>
            </w:pPr>
          </w:p>
        </w:tc>
        <w:tc>
          <w:tcPr>
            <w:tcW w:w="709" w:type="dxa"/>
            <w:vMerge w:val="continue"/>
            <w:tcBorders>
              <w:tl2br w:val="nil"/>
              <w:tr2bl w:val="nil"/>
            </w:tcBorders>
            <w:vAlign w:val="center"/>
          </w:tcPr>
          <w:p w14:paraId="35DD8234">
            <w:pPr>
              <w:adjustRightInd w:val="0"/>
              <w:snapToGrid w:val="0"/>
              <w:spacing w:line="240" w:lineRule="auto"/>
              <w:jc w:val="center"/>
              <w:rPr>
                <w:sz w:val="21"/>
                <w:szCs w:val="21"/>
              </w:rPr>
            </w:pPr>
          </w:p>
        </w:tc>
        <w:tc>
          <w:tcPr>
            <w:tcW w:w="567" w:type="dxa"/>
            <w:vMerge w:val="continue"/>
            <w:tcBorders>
              <w:tl2br w:val="nil"/>
              <w:tr2bl w:val="nil"/>
            </w:tcBorders>
            <w:vAlign w:val="center"/>
          </w:tcPr>
          <w:p w14:paraId="4CB63A5D">
            <w:pPr>
              <w:adjustRightInd w:val="0"/>
              <w:snapToGrid w:val="0"/>
              <w:spacing w:line="240" w:lineRule="auto"/>
              <w:jc w:val="center"/>
              <w:rPr>
                <w:sz w:val="21"/>
                <w:szCs w:val="21"/>
              </w:rPr>
            </w:pPr>
          </w:p>
        </w:tc>
        <w:tc>
          <w:tcPr>
            <w:tcW w:w="1702" w:type="dxa"/>
            <w:tcBorders>
              <w:tl2br w:val="nil"/>
              <w:tr2bl w:val="nil"/>
            </w:tcBorders>
            <w:vAlign w:val="center"/>
          </w:tcPr>
          <w:p w14:paraId="6FBBBFC0">
            <w:pPr>
              <w:adjustRightInd w:val="0"/>
              <w:snapToGrid w:val="0"/>
              <w:spacing w:line="240" w:lineRule="auto"/>
              <w:jc w:val="center"/>
              <w:rPr>
                <w:sz w:val="21"/>
                <w:szCs w:val="21"/>
              </w:rPr>
            </w:pPr>
            <w:r>
              <w:rPr>
                <w:rFonts w:hint="eastAsia"/>
                <w:sz w:val="21"/>
                <w:szCs w:val="21"/>
              </w:rPr>
              <w:t>PID回收浓度控制系统</w:t>
            </w:r>
          </w:p>
        </w:tc>
        <w:tc>
          <w:tcPr>
            <w:tcW w:w="992" w:type="dxa"/>
            <w:tcBorders>
              <w:tl2br w:val="nil"/>
              <w:tr2bl w:val="nil"/>
            </w:tcBorders>
            <w:vAlign w:val="center"/>
          </w:tcPr>
          <w:p w14:paraId="32C939C7">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3C93C8A4">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36EFA276">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7D1C2545">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36BAD32">
            <w:pPr>
              <w:adjustRightInd w:val="0"/>
              <w:snapToGrid w:val="0"/>
              <w:spacing w:line="240" w:lineRule="auto"/>
              <w:jc w:val="center"/>
              <w:rPr>
                <w:b/>
                <w:bCs/>
                <w:sz w:val="21"/>
                <w:szCs w:val="21"/>
              </w:rPr>
            </w:pPr>
            <w:r>
              <w:rPr>
                <w:rFonts w:hint="eastAsia"/>
                <w:sz w:val="21"/>
                <w:szCs w:val="21"/>
              </w:rPr>
              <w:t>/</w:t>
            </w:r>
          </w:p>
        </w:tc>
      </w:tr>
      <w:tr w14:paraId="71075A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02613C04">
            <w:pPr>
              <w:adjustRightInd w:val="0"/>
              <w:snapToGrid w:val="0"/>
              <w:spacing w:line="240" w:lineRule="auto"/>
              <w:jc w:val="center"/>
              <w:rPr>
                <w:sz w:val="21"/>
                <w:szCs w:val="21"/>
              </w:rPr>
            </w:pPr>
          </w:p>
        </w:tc>
        <w:tc>
          <w:tcPr>
            <w:tcW w:w="709" w:type="dxa"/>
            <w:vMerge w:val="continue"/>
            <w:tcBorders>
              <w:tl2br w:val="nil"/>
              <w:tr2bl w:val="nil"/>
            </w:tcBorders>
            <w:vAlign w:val="center"/>
          </w:tcPr>
          <w:p w14:paraId="6719C953">
            <w:pPr>
              <w:adjustRightInd w:val="0"/>
              <w:snapToGrid w:val="0"/>
              <w:spacing w:line="240" w:lineRule="auto"/>
              <w:jc w:val="center"/>
              <w:rPr>
                <w:sz w:val="21"/>
                <w:szCs w:val="21"/>
              </w:rPr>
            </w:pPr>
          </w:p>
        </w:tc>
        <w:tc>
          <w:tcPr>
            <w:tcW w:w="567" w:type="dxa"/>
            <w:vMerge w:val="continue"/>
            <w:tcBorders>
              <w:tl2br w:val="nil"/>
              <w:tr2bl w:val="nil"/>
            </w:tcBorders>
            <w:vAlign w:val="center"/>
          </w:tcPr>
          <w:p w14:paraId="08EAA21D">
            <w:pPr>
              <w:adjustRightInd w:val="0"/>
              <w:snapToGrid w:val="0"/>
              <w:spacing w:line="240" w:lineRule="auto"/>
              <w:jc w:val="center"/>
              <w:rPr>
                <w:sz w:val="21"/>
                <w:szCs w:val="21"/>
              </w:rPr>
            </w:pPr>
          </w:p>
        </w:tc>
        <w:tc>
          <w:tcPr>
            <w:tcW w:w="1702" w:type="dxa"/>
            <w:tcBorders>
              <w:tl2br w:val="nil"/>
              <w:tr2bl w:val="nil"/>
            </w:tcBorders>
            <w:vAlign w:val="center"/>
          </w:tcPr>
          <w:p w14:paraId="4827CDB0">
            <w:pPr>
              <w:adjustRightInd w:val="0"/>
              <w:snapToGrid w:val="0"/>
              <w:spacing w:line="240" w:lineRule="auto"/>
              <w:jc w:val="center"/>
              <w:rPr>
                <w:sz w:val="21"/>
                <w:szCs w:val="21"/>
              </w:rPr>
            </w:pPr>
            <w:r>
              <w:rPr>
                <w:rFonts w:hint="eastAsia"/>
                <w:sz w:val="21"/>
                <w:szCs w:val="21"/>
              </w:rPr>
              <w:t>氧检测系统</w:t>
            </w:r>
          </w:p>
        </w:tc>
        <w:tc>
          <w:tcPr>
            <w:tcW w:w="992" w:type="dxa"/>
            <w:tcBorders>
              <w:tl2br w:val="nil"/>
              <w:tr2bl w:val="nil"/>
            </w:tcBorders>
            <w:vAlign w:val="center"/>
          </w:tcPr>
          <w:p w14:paraId="371D1FC7">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EDC0401">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4F05BBBE">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67E6D6C9">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BCF6E35">
            <w:pPr>
              <w:adjustRightInd w:val="0"/>
              <w:snapToGrid w:val="0"/>
              <w:spacing w:line="240" w:lineRule="auto"/>
              <w:jc w:val="center"/>
              <w:rPr>
                <w:b/>
                <w:bCs/>
                <w:sz w:val="21"/>
                <w:szCs w:val="21"/>
              </w:rPr>
            </w:pPr>
            <w:r>
              <w:rPr>
                <w:rFonts w:hint="eastAsia"/>
                <w:sz w:val="21"/>
                <w:szCs w:val="21"/>
              </w:rPr>
              <w:t>/</w:t>
            </w:r>
          </w:p>
        </w:tc>
      </w:tr>
      <w:tr w14:paraId="0E60B4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5BA4F712">
            <w:pPr>
              <w:adjustRightInd w:val="0"/>
              <w:snapToGrid w:val="0"/>
              <w:spacing w:line="240" w:lineRule="auto"/>
              <w:jc w:val="center"/>
              <w:rPr>
                <w:sz w:val="21"/>
                <w:szCs w:val="21"/>
              </w:rPr>
            </w:pPr>
          </w:p>
        </w:tc>
        <w:tc>
          <w:tcPr>
            <w:tcW w:w="709" w:type="dxa"/>
            <w:vMerge w:val="continue"/>
            <w:tcBorders>
              <w:tl2br w:val="nil"/>
              <w:tr2bl w:val="nil"/>
            </w:tcBorders>
            <w:vAlign w:val="center"/>
          </w:tcPr>
          <w:p w14:paraId="37FB85ED">
            <w:pPr>
              <w:adjustRightInd w:val="0"/>
              <w:snapToGrid w:val="0"/>
              <w:spacing w:line="240" w:lineRule="auto"/>
              <w:jc w:val="center"/>
              <w:rPr>
                <w:sz w:val="21"/>
                <w:szCs w:val="21"/>
              </w:rPr>
            </w:pPr>
          </w:p>
        </w:tc>
        <w:tc>
          <w:tcPr>
            <w:tcW w:w="567" w:type="dxa"/>
            <w:vMerge w:val="continue"/>
            <w:tcBorders>
              <w:tl2br w:val="nil"/>
              <w:tr2bl w:val="nil"/>
            </w:tcBorders>
            <w:vAlign w:val="center"/>
          </w:tcPr>
          <w:p w14:paraId="6A59F54E">
            <w:pPr>
              <w:adjustRightInd w:val="0"/>
              <w:snapToGrid w:val="0"/>
              <w:spacing w:line="240" w:lineRule="auto"/>
              <w:jc w:val="center"/>
              <w:rPr>
                <w:sz w:val="21"/>
                <w:szCs w:val="21"/>
              </w:rPr>
            </w:pPr>
          </w:p>
        </w:tc>
        <w:tc>
          <w:tcPr>
            <w:tcW w:w="1702" w:type="dxa"/>
            <w:tcBorders>
              <w:tl2br w:val="nil"/>
              <w:tr2bl w:val="nil"/>
            </w:tcBorders>
            <w:vAlign w:val="center"/>
          </w:tcPr>
          <w:p w14:paraId="7DECF386">
            <w:pPr>
              <w:adjustRightInd w:val="0"/>
              <w:snapToGrid w:val="0"/>
              <w:spacing w:line="240" w:lineRule="auto"/>
              <w:jc w:val="center"/>
              <w:rPr>
                <w:sz w:val="21"/>
                <w:szCs w:val="21"/>
              </w:rPr>
            </w:pPr>
            <w:r>
              <w:rPr>
                <w:rFonts w:hint="eastAsia"/>
                <w:sz w:val="21"/>
                <w:szCs w:val="21"/>
              </w:rPr>
              <w:t>仪表仪器检测系统</w:t>
            </w:r>
          </w:p>
        </w:tc>
        <w:tc>
          <w:tcPr>
            <w:tcW w:w="992" w:type="dxa"/>
            <w:tcBorders>
              <w:tl2br w:val="nil"/>
              <w:tr2bl w:val="nil"/>
            </w:tcBorders>
            <w:vAlign w:val="center"/>
          </w:tcPr>
          <w:p w14:paraId="289EB4B7">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266333A">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51CEA5B2">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2C5472FF">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13451BAD">
            <w:pPr>
              <w:adjustRightInd w:val="0"/>
              <w:snapToGrid w:val="0"/>
              <w:spacing w:line="240" w:lineRule="auto"/>
              <w:jc w:val="center"/>
              <w:rPr>
                <w:b/>
                <w:bCs/>
                <w:sz w:val="21"/>
                <w:szCs w:val="21"/>
              </w:rPr>
            </w:pPr>
            <w:r>
              <w:rPr>
                <w:rFonts w:hint="eastAsia"/>
                <w:sz w:val="21"/>
                <w:szCs w:val="21"/>
              </w:rPr>
              <w:t>/</w:t>
            </w:r>
          </w:p>
        </w:tc>
      </w:tr>
      <w:tr w14:paraId="644B34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2C74437">
            <w:pPr>
              <w:adjustRightInd w:val="0"/>
              <w:snapToGrid w:val="0"/>
              <w:spacing w:line="240" w:lineRule="auto"/>
              <w:jc w:val="center"/>
              <w:rPr>
                <w:sz w:val="21"/>
                <w:szCs w:val="21"/>
              </w:rPr>
            </w:pPr>
          </w:p>
        </w:tc>
        <w:tc>
          <w:tcPr>
            <w:tcW w:w="709" w:type="dxa"/>
            <w:vMerge w:val="continue"/>
            <w:tcBorders>
              <w:tl2br w:val="nil"/>
              <w:tr2bl w:val="nil"/>
            </w:tcBorders>
            <w:vAlign w:val="center"/>
          </w:tcPr>
          <w:p w14:paraId="3B34AA0D">
            <w:pPr>
              <w:adjustRightInd w:val="0"/>
              <w:snapToGrid w:val="0"/>
              <w:spacing w:line="240" w:lineRule="auto"/>
              <w:jc w:val="center"/>
              <w:rPr>
                <w:sz w:val="21"/>
                <w:szCs w:val="21"/>
              </w:rPr>
            </w:pPr>
          </w:p>
        </w:tc>
        <w:tc>
          <w:tcPr>
            <w:tcW w:w="567" w:type="dxa"/>
            <w:vMerge w:val="continue"/>
            <w:tcBorders>
              <w:tl2br w:val="nil"/>
              <w:tr2bl w:val="nil"/>
            </w:tcBorders>
            <w:vAlign w:val="center"/>
          </w:tcPr>
          <w:p w14:paraId="7CBDE99C">
            <w:pPr>
              <w:adjustRightInd w:val="0"/>
              <w:snapToGrid w:val="0"/>
              <w:spacing w:line="240" w:lineRule="auto"/>
              <w:jc w:val="center"/>
              <w:rPr>
                <w:sz w:val="21"/>
                <w:szCs w:val="21"/>
              </w:rPr>
            </w:pPr>
          </w:p>
        </w:tc>
        <w:tc>
          <w:tcPr>
            <w:tcW w:w="1702" w:type="dxa"/>
            <w:tcBorders>
              <w:tl2br w:val="nil"/>
              <w:tr2bl w:val="nil"/>
            </w:tcBorders>
            <w:vAlign w:val="center"/>
          </w:tcPr>
          <w:p w14:paraId="077E7CCE">
            <w:pPr>
              <w:adjustRightInd w:val="0"/>
              <w:snapToGrid w:val="0"/>
              <w:spacing w:line="240" w:lineRule="auto"/>
              <w:jc w:val="center"/>
              <w:rPr>
                <w:sz w:val="21"/>
                <w:szCs w:val="21"/>
              </w:rPr>
            </w:pPr>
            <w:r>
              <w:rPr>
                <w:rFonts w:hint="eastAsia"/>
                <w:sz w:val="21"/>
                <w:szCs w:val="21"/>
              </w:rPr>
              <w:t>电气控制系统</w:t>
            </w:r>
          </w:p>
        </w:tc>
        <w:tc>
          <w:tcPr>
            <w:tcW w:w="992" w:type="dxa"/>
            <w:tcBorders>
              <w:tl2br w:val="nil"/>
              <w:tr2bl w:val="nil"/>
            </w:tcBorders>
            <w:vAlign w:val="center"/>
          </w:tcPr>
          <w:p w14:paraId="6BDB22B3">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5BD4F2E7">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75AE6967">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59C7CD2A">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387A0F0">
            <w:pPr>
              <w:adjustRightInd w:val="0"/>
              <w:snapToGrid w:val="0"/>
              <w:spacing w:line="240" w:lineRule="auto"/>
              <w:jc w:val="center"/>
              <w:rPr>
                <w:b/>
                <w:bCs/>
                <w:sz w:val="21"/>
                <w:szCs w:val="21"/>
              </w:rPr>
            </w:pPr>
            <w:r>
              <w:rPr>
                <w:rFonts w:hint="eastAsia"/>
                <w:sz w:val="21"/>
                <w:szCs w:val="21"/>
              </w:rPr>
              <w:t>/</w:t>
            </w:r>
          </w:p>
        </w:tc>
      </w:tr>
      <w:tr w14:paraId="01795E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ED67A78">
            <w:pPr>
              <w:adjustRightInd w:val="0"/>
              <w:snapToGrid w:val="0"/>
              <w:spacing w:line="240" w:lineRule="auto"/>
              <w:jc w:val="center"/>
              <w:rPr>
                <w:sz w:val="21"/>
                <w:szCs w:val="21"/>
              </w:rPr>
            </w:pPr>
          </w:p>
        </w:tc>
        <w:tc>
          <w:tcPr>
            <w:tcW w:w="709" w:type="dxa"/>
            <w:vMerge w:val="continue"/>
            <w:tcBorders>
              <w:tl2br w:val="nil"/>
              <w:tr2bl w:val="nil"/>
            </w:tcBorders>
            <w:vAlign w:val="center"/>
          </w:tcPr>
          <w:p w14:paraId="75446311">
            <w:pPr>
              <w:adjustRightInd w:val="0"/>
              <w:snapToGrid w:val="0"/>
              <w:spacing w:line="240" w:lineRule="auto"/>
              <w:jc w:val="center"/>
              <w:rPr>
                <w:sz w:val="21"/>
                <w:szCs w:val="21"/>
              </w:rPr>
            </w:pPr>
          </w:p>
        </w:tc>
        <w:tc>
          <w:tcPr>
            <w:tcW w:w="567" w:type="dxa"/>
            <w:vMerge w:val="restart"/>
            <w:tcBorders>
              <w:tl2br w:val="nil"/>
              <w:tr2bl w:val="nil"/>
            </w:tcBorders>
            <w:vAlign w:val="center"/>
          </w:tcPr>
          <w:p w14:paraId="60DF5595">
            <w:pPr>
              <w:adjustRightInd w:val="0"/>
              <w:snapToGrid w:val="0"/>
              <w:spacing w:line="240" w:lineRule="auto"/>
              <w:jc w:val="center"/>
              <w:rPr>
                <w:sz w:val="21"/>
                <w:szCs w:val="21"/>
              </w:rPr>
            </w:pPr>
            <w:r>
              <w:rPr>
                <w:rFonts w:hint="eastAsia"/>
                <w:sz w:val="21"/>
                <w:szCs w:val="21"/>
              </w:rPr>
              <w:t>溶剂提纯装置TBSY750</w:t>
            </w:r>
          </w:p>
        </w:tc>
        <w:tc>
          <w:tcPr>
            <w:tcW w:w="1702" w:type="dxa"/>
            <w:tcBorders>
              <w:tl2br w:val="nil"/>
              <w:tr2bl w:val="nil"/>
            </w:tcBorders>
            <w:vAlign w:val="center"/>
          </w:tcPr>
          <w:p w14:paraId="0A48C137">
            <w:pPr>
              <w:adjustRightInd w:val="0"/>
              <w:snapToGrid w:val="0"/>
              <w:spacing w:line="240" w:lineRule="auto"/>
              <w:jc w:val="center"/>
              <w:rPr>
                <w:sz w:val="21"/>
                <w:szCs w:val="21"/>
              </w:rPr>
            </w:pPr>
            <w:r>
              <w:rPr>
                <w:rFonts w:hint="eastAsia"/>
                <w:sz w:val="21"/>
                <w:szCs w:val="21"/>
              </w:rPr>
              <w:t>溶剂提纯系统</w:t>
            </w:r>
          </w:p>
        </w:tc>
        <w:tc>
          <w:tcPr>
            <w:tcW w:w="992" w:type="dxa"/>
            <w:tcBorders>
              <w:tl2br w:val="nil"/>
              <w:tr2bl w:val="nil"/>
            </w:tcBorders>
            <w:vAlign w:val="center"/>
          </w:tcPr>
          <w:p w14:paraId="463C4700">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374ED47">
            <w:pPr>
              <w:adjustRightInd w:val="0"/>
              <w:snapToGrid w:val="0"/>
              <w:spacing w:line="240" w:lineRule="auto"/>
              <w:jc w:val="center"/>
              <w:rPr>
                <w:sz w:val="21"/>
                <w:szCs w:val="21"/>
              </w:rPr>
            </w:pPr>
            <w:r>
              <w:rPr>
                <w:rFonts w:hint="eastAsia"/>
                <w:sz w:val="21"/>
                <w:szCs w:val="21"/>
              </w:rPr>
              <w:t>+5套</w:t>
            </w:r>
          </w:p>
        </w:tc>
        <w:tc>
          <w:tcPr>
            <w:tcW w:w="1082" w:type="dxa"/>
            <w:tcBorders>
              <w:tl2br w:val="nil"/>
              <w:tr2bl w:val="nil"/>
            </w:tcBorders>
            <w:vAlign w:val="center"/>
          </w:tcPr>
          <w:p w14:paraId="04EDBCD6">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3E91FF64">
            <w:pPr>
              <w:adjustRightInd w:val="0"/>
              <w:snapToGrid w:val="0"/>
              <w:spacing w:line="240" w:lineRule="auto"/>
              <w:jc w:val="center"/>
              <w:rPr>
                <w:sz w:val="21"/>
                <w:szCs w:val="21"/>
              </w:rPr>
            </w:pPr>
            <w:r>
              <w:rPr>
                <w:rFonts w:hint="eastAsia"/>
                <w:sz w:val="21"/>
                <w:szCs w:val="21"/>
              </w:rPr>
              <w:t>5套</w:t>
            </w:r>
          </w:p>
        </w:tc>
        <w:tc>
          <w:tcPr>
            <w:tcW w:w="852" w:type="dxa"/>
            <w:tcBorders>
              <w:tl2br w:val="nil"/>
              <w:tr2bl w:val="nil"/>
            </w:tcBorders>
            <w:vAlign w:val="center"/>
          </w:tcPr>
          <w:p w14:paraId="53DF0373">
            <w:pPr>
              <w:adjustRightInd w:val="0"/>
              <w:snapToGrid w:val="0"/>
              <w:spacing w:line="240" w:lineRule="auto"/>
              <w:jc w:val="center"/>
              <w:rPr>
                <w:b/>
                <w:bCs/>
                <w:sz w:val="21"/>
                <w:szCs w:val="21"/>
              </w:rPr>
            </w:pPr>
            <w:r>
              <w:rPr>
                <w:rFonts w:hint="eastAsia"/>
                <w:sz w:val="21"/>
                <w:szCs w:val="21"/>
              </w:rPr>
              <w:t>/</w:t>
            </w:r>
          </w:p>
        </w:tc>
      </w:tr>
      <w:tr w14:paraId="76114C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F9BBA7A">
            <w:pPr>
              <w:adjustRightInd w:val="0"/>
              <w:snapToGrid w:val="0"/>
              <w:spacing w:line="240" w:lineRule="auto"/>
              <w:jc w:val="center"/>
              <w:rPr>
                <w:sz w:val="21"/>
                <w:szCs w:val="21"/>
              </w:rPr>
            </w:pPr>
          </w:p>
        </w:tc>
        <w:tc>
          <w:tcPr>
            <w:tcW w:w="709" w:type="dxa"/>
            <w:vMerge w:val="continue"/>
            <w:tcBorders>
              <w:tl2br w:val="nil"/>
              <w:tr2bl w:val="nil"/>
            </w:tcBorders>
            <w:vAlign w:val="center"/>
          </w:tcPr>
          <w:p w14:paraId="0E987411">
            <w:pPr>
              <w:adjustRightInd w:val="0"/>
              <w:snapToGrid w:val="0"/>
              <w:spacing w:line="240" w:lineRule="auto"/>
              <w:jc w:val="center"/>
              <w:rPr>
                <w:sz w:val="21"/>
                <w:szCs w:val="21"/>
              </w:rPr>
            </w:pPr>
          </w:p>
        </w:tc>
        <w:tc>
          <w:tcPr>
            <w:tcW w:w="567" w:type="dxa"/>
            <w:vMerge w:val="continue"/>
            <w:tcBorders>
              <w:tl2br w:val="nil"/>
              <w:tr2bl w:val="nil"/>
            </w:tcBorders>
            <w:vAlign w:val="center"/>
          </w:tcPr>
          <w:p w14:paraId="618CB289">
            <w:pPr>
              <w:adjustRightInd w:val="0"/>
              <w:snapToGrid w:val="0"/>
              <w:spacing w:line="240" w:lineRule="auto"/>
              <w:jc w:val="center"/>
              <w:rPr>
                <w:sz w:val="21"/>
                <w:szCs w:val="21"/>
              </w:rPr>
            </w:pPr>
          </w:p>
        </w:tc>
        <w:tc>
          <w:tcPr>
            <w:tcW w:w="1702" w:type="dxa"/>
            <w:tcBorders>
              <w:tl2br w:val="nil"/>
              <w:tr2bl w:val="nil"/>
            </w:tcBorders>
            <w:vAlign w:val="center"/>
          </w:tcPr>
          <w:p w14:paraId="4B31E1E0">
            <w:pPr>
              <w:adjustRightInd w:val="0"/>
              <w:snapToGrid w:val="0"/>
              <w:spacing w:line="240" w:lineRule="auto"/>
              <w:jc w:val="center"/>
              <w:rPr>
                <w:sz w:val="21"/>
                <w:szCs w:val="21"/>
              </w:rPr>
            </w:pPr>
            <w:r>
              <w:rPr>
                <w:rFonts w:hint="eastAsia"/>
                <w:sz w:val="21"/>
                <w:szCs w:val="21"/>
              </w:rPr>
              <w:t>仪表仪器检测系统</w:t>
            </w:r>
          </w:p>
        </w:tc>
        <w:tc>
          <w:tcPr>
            <w:tcW w:w="992" w:type="dxa"/>
            <w:tcBorders>
              <w:tl2br w:val="nil"/>
              <w:tr2bl w:val="nil"/>
            </w:tcBorders>
            <w:vAlign w:val="center"/>
          </w:tcPr>
          <w:p w14:paraId="7B8C96A1">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BBAB717">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3EDEC0F6">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1E800033">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560D5252">
            <w:pPr>
              <w:adjustRightInd w:val="0"/>
              <w:snapToGrid w:val="0"/>
              <w:spacing w:line="240" w:lineRule="auto"/>
              <w:jc w:val="center"/>
              <w:rPr>
                <w:b/>
                <w:bCs/>
                <w:sz w:val="21"/>
                <w:szCs w:val="21"/>
              </w:rPr>
            </w:pPr>
            <w:r>
              <w:rPr>
                <w:rFonts w:hint="eastAsia"/>
                <w:sz w:val="21"/>
                <w:szCs w:val="21"/>
              </w:rPr>
              <w:t>/</w:t>
            </w:r>
          </w:p>
        </w:tc>
      </w:tr>
      <w:tr w14:paraId="429427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4C2FBF7B">
            <w:pPr>
              <w:adjustRightInd w:val="0"/>
              <w:snapToGrid w:val="0"/>
              <w:spacing w:line="240" w:lineRule="auto"/>
              <w:jc w:val="center"/>
              <w:rPr>
                <w:sz w:val="21"/>
                <w:szCs w:val="21"/>
              </w:rPr>
            </w:pPr>
          </w:p>
        </w:tc>
        <w:tc>
          <w:tcPr>
            <w:tcW w:w="709" w:type="dxa"/>
            <w:vMerge w:val="continue"/>
            <w:tcBorders>
              <w:tl2br w:val="nil"/>
              <w:tr2bl w:val="nil"/>
            </w:tcBorders>
            <w:vAlign w:val="center"/>
          </w:tcPr>
          <w:p w14:paraId="5204D1DE">
            <w:pPr>
              <w:adjustRightInd w:val="0"/>
              <w:snapToGrid w:val="0"/>
              <w:spacing w:line="240" w:lineRule="auto"/>
              <w:jc w:val="center"/>
              <w:rPr>
                <w:sz w:val="21"/>
                <w:szCs w:val="21"/>
              </w:rPr>
            </w:pPr>
          </w:p>
        </w:tc>
        <w:tc>
          <w:tcPr>
            <w:tcW w:w="567" w:type="dxa"/>
            <w:vMerge w:val="continue"/>
            <w:tcBorders>
              <w:tl2br w:val="nil"/>
              <w:tr2bl w:val="nil"/>
            </w:tcBorders>
            <w:vAlign w:val="center"/>
          </w:tcPr>
          <w:p w14:paraId="48964F6D">
            <w:pPr>
              <w:adjustRightInd w:val="0"/>
              <w:snapToGrid w:val="0"/>
              <w:spacing w:line="240" w:lineRule="auto"/>
              <w:jc w:val="center"/>
              <w:rPr>
                <w:sz w:val="21"/>
                <w:szCs w:val="21"/>
              </w:rPr>
            </w:pPr>
          </w:p>
        </w:tc>
        <w:tc>
          <w:tcPr>
            <w:tcW w:w="1702" w:type="dxa"/>
            <w:tcBorders>
              <w:tl2br w:val="nil"/>
              <w:tr2bl w:val="nil"/>
            </w:tcBorders>
            <w:vAlign w:val="center"/>
          </w:tcPr>
          <w:p w14:paraId="7FCE4F01">
            <w:pPr>
              <w:adjustRightInd w:val="0"/>
              <w:snapToGrid w:val="0"/>
              <w:spacing w:line="240" w:lineRule="auto"/>
              <w:jc w:val="center"/>
              <w:rPr>
                <w:sz w:val="21"/>
                <w:szCs w:val="21"/>
              </w:rPr>
            </w:pPr>
            <w:r>
              <w:rPr>
                <w:rFonts w:hint="eastAsia"/>
                <w:sz w:val="21"/>
                <w:szCs w:val="21"/>
              </w:rPr>
              <w:t>电气控制系统</w:t>
            </w:r>
          </w:p>
        </w:tc>
        <w:tc>
          <w:tcPr>
            <w:tcW w:w="992" w:type="dxa"/>
            <w:tcBorders>
              <w:tl2br w:val="nil"/>
              <w:tr2bl w:val="nil"/>
            </w:tcBorders>
            <w:vAlign w:val="center"/>
          </w:tcPr>
          <w:p w14:paraId="2E737F79">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449A60D4">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0805AF08">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44EF6D8E">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2CBE2249">
            <w:pPr>
              <w:adjustRightInd w:val="0"/>
              <w:snapToGrid w:val="0"/>
              <w:spacing w:line="240" w:lineRule="auto"/>
              <w:jc w:val="center"/>
              <w:rPr>
                <w:b/>
                <w:bCs/>
                <w:sz w:val="21"/>
                <w:szCs w:val="21"/>
              </w:rPr>
            </w:pPr>
            <w:r>
              <w:rPr>
                <w:rFonts w:hint="eastAsia"/>
                <w:sz w:val="21"/>
                <w:szCs w:val="21"/>
              </w:rPr>
              <w:t>/</w:t>
            </w:r>
          </w:p>
        </w:tc>
      </w:tr>
      <w:tr w14:paraId="5270FB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674" w:type="dxa"/>
            <w:vMerge w:val="continue"/>
            <w:tcBorders>
              <w:tl2br w:val="nil"/>
              <w:tr2bl w:val="nil"/>
            </w:tcBorders>
            <w:vAlign w:val="center"/>
          </w:tcPr>
          <w:p w14:paraId="47E11C44">
            <w:pPr>
              <w:adjustRightInd w:val="0"/>
              <w:snapToGrid w:val="0"/>
              <w:spacing w:line="240" w:lineRule="auto"/>
              <w:jc w:val="center"/>
              <w:rPr>
                <w:sz w:val="21"/>
                <w:szCs w:val="21"/>
              </w:rPr>
            </w:pPr>
          </w:p>
        </w:tc>
        <w:tc>
          <w:tcPr>
            <w:tcW w:w="2978" w:type="dxa"/>
            <w:gridSpan w:val="3"/>
            <w:tcBorders>
              <w:tl2br w:val="nil"/>
              <w:tr2bl w:val="nil"/>
            </w:tcBorders>
            <w:vAlign w:val="center"/>
          </w:tcPr>
          <w:p w14:paraId="5FE0F05A">
            <w:pPr>
              <w:adjustRightInd w:val="0"/>
              <w:snapToGrid w:val="0"/>
              <w:spacing w:line="240" w:lineRule="auto"/>
              <w:jc w:val="center"/>
              <w:rPr>
                <w:sz w:val="21"/>
                <w:szCs w:val="21"/>
              </w:rPr>
            </w:pPr>
            <w:r>
              <w:rPr>
                <w:rFonts w:hint="eastAsia"/>
                <w:sz w:val="21"/>
                <w:szCs w:val="21"/>
              </w:rPr>
              <w:t>导热油锅炉天然气低氮燃烧法+16m排气筒（DA002）</w:t>
            </w:r>
          </w:p>
        </w:tc>
        <w:tc>
          <w:tcPr>
            <w:tcW w:w="992" w:type="dxa"/>
            <w:tcBorders>
              <w:tl2br w:val="nil"/>
              <w:tr2bl w:val="nil"/>
            </w:tcBorders>
            <w:vAlign w:val="center"/>
          </w:tcPr>
          <w:p w14:paraId="62EC6C67">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3F121843">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3A07D2C7">
            <w:pPr>
              <w:adjustRightInd w:val="0"/>
              <w:snapToGrid w:val="0"/>
              <w:spacing w:line="240" w:lineRule="auto"/>
              <w:jc w:val="center"/>
              <w:rPr>
                <w:sz w:val="21"/>
                <w:szCs w:val="21"/>
              </w:rPr>
            </w:pPr>
            <w:r>
              <w:rPr>
                <w:sz w:val="21"/>
                <w:szCs w:val="21"/>
              </w:rPr>
              <w:t>不变</w:t>
            </w:r>
          </w:p>
        </w:tc>
        <w:tc>
          <w:tcPr>
            <w:tcW w:w="908" w:type="dxa"/>
            <w:tcBorders>
              <w:tl2br w:val="nil"/>
              <w:tr2bl w:val="nil"/>
            </w:tcBorders>
            <w:vAlign w:val="center"/>
          </w:tcPr>
          <w:p w14:paraId="08002F4E">
            <w:pPr>
              <w:adjustRightInd w:val="0"/>
              <w:snapToGrid w:val="0"/>
              <w:spacing w:line="240" w:lineRule="auto"/>
              <w:jc w:val="center"/>
              <w:rPr>
                <w:sz w:val="21"/>
                <w:szCs w:val="21"/>
              </w:rPr>
            </w:pPr>
            <w:r>
              <w:rPr>
                <w:rFonts w:hint="eastAsia"/>
                <w:sz w:val="21"/>
                <w:szCs w:val="21"/>
              </w:rPr>
              <w:t>1套</w:t>
            </w:r>
          </w:p>
        </w:tc>
        <w:tc>
          <w:tcPr>
            <w:tcW w:w="852" w:type="dxa"/>
            <w:tcBorders>
              <w:tl2br w:val="nil"/>
              <w:tr2bl w:val="nil"/>
            </w:tcBorders>
            <w:vAlign w:val="center"/>
          </w:tcPr>
          <w:p w14:paraId="0C9EACD5">
            <w:pPr>
              <w:adjustRightInd w:val="0"/>
              <w:snapToGrid w:val="0"/>
              <w:spacing w:line="240" w:lineRule="auto"/>
              <w:jc w:val="center"/>
              <w:rPr>
                <w:b/>
                <w:bCs/>
                <w:sz w:val="21"/>
                <w:szCs w:val="21"/>
              </w:rPr>
            </w:pPr>
            <w:r>
              <w:rPr>
                <w:rFonts w:hint="eastAsia"/>
                <w:sz w:val="21"/>
                <w:szCs w:val="21"/>
              </w:rPr>
              <w:t>/</w:t>
            </w:r>
          </w:p>
        </w:tc>
      </w:tr>
      <w:tr w14:paraId="09E0FF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12752440">
            <w:pPr>
              <w:adjustRightInd w:val="0"/>
              <w:snapToGrid w:val="0"/>
              <w:spacing w:line="240" w:lineRule="auto"/>
              <w:jc w:val="center"/>
              <w:rPr>
                <w:sz w:val="21"/>
                <w:szCs w:val="21"/>
              </w:rPr>
            </w:pPr>
          </w:p>
        </w:tc>
        <w:tc>
          <w:tcPr>
            <w:tcW w:w="2978" w:type="dxa"/>
            <w:gridSpan w:val="3"/>
            <w:tcBorders>
              <w:tl2br w:val="nil"/>
              <w:tr2bl w:val="nil"/>
            </w:tcBorders>
            <w:vAlign w:val="center"/>
          </w:tcPr>
          <w:p w14:paraId="5A82DA8E">
            <w:pPr>
              <w:adjustRightInd w:val="0"/>
              <w:snapToGrid w:val="0"/>
              <w:spacing w:line="240" w:lineRule="auto"/>
              <w:jc w:val="center"/>
              <w:rPr>
                <w:sz w:val="21"/>
                <w:szCs w:val="21"/>
              </w:rPr>
            </w:pPr>
            <w:r>
              <w:rPr>
                <w:rFonts w:hint="eastAsia"/>
                <w:sz w:val="21"/>
                <w:szCs w:val="21"/>
              </w:rPr>
              <w:t>印刷复合烘干天然气+20.5m排气筒</w:t>
            </w:r>
          </w:p>
        </w:tc>
        <w:tc>
          <w:tcPr>
            <w:tcW w:w="992" w:type="dxa"/>
            <w:tcBorders>
              <w:tl2br w:val="nil"/>
              <w:tr2bl w:val="nil"/>
            </w:tcBorders>
            <w:vAlign w:val="center"/>
          </w:tcPr>
          <w:p w14:paraId="24727ED7">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29D254AF">
            <w:pPr>
              <w:adjustRightInd w:val="0"/>
              <w:snapToGrid w:val="0"/>
              <w:spacing w:line="240" w:lineRule="auto"/>
              <w:jc w:val="center"/>
              <w:rPr>
                <w:sz w:val="21"/>
                <w:szCs w:val="21"/>
              </w:rPr>
            </w:pPr>
            <w:r>
              <w:rPr>
                <w:rFonts w:hint="eastAsia"/>
                <w:sz w:val="21"/>
                <w:szCs w:val="21"/>
              </w:rPr>
              <w:t>+1套</w:t>
            </w:r>
          </w:p>
        </w:tc>
        <w:tc>
          <w:tcPr>
            <w:tcW w:w="1082" w:type="dxa"/>
            <w:tcBorders>
              <w:tl2br w:val="nil"/>
              <w:tr2bl w:val="nil"/>
            </w:tcBorders>
            <w:vAlign w:val="center"/>
          </w:tcPr>
          <w:p w14:paraId="1DC9A371">
            <w:pPr>
              <w:adjustRightInd w:val="0"/>
              <w:snapToGrid w:val="0"/>
              <w:spacing w:line="240" w:lineRule="auto"/>
              <w:jc w:val="center"/>
              <w:rPr>
                <w:sz w:val="21"/>
                <w:szCs w:val="21"/>
              </w:rPr>
            </w:pPr>
            <w:r>
              <w:rPr>
                <w:rFonts w:hint="eastAsia"/>
                <w:sz w:val="21"/>
                <w:szCs w:val="21"/>
              </w:rPr>
              <w:t>-1套</w:t>
            </w:r>
          </w:p>
        </w:tc>
        <w:tc>
          <w:tcPr>
            <w:tcW w:w="908" w:type="dxa"/>
            <w:tcBorders>
              <w:tl2br w:val="nil"/>
              <w:tr2bl w:val="nil"/>
            </w:tcBorders>
            <w:vAlign w:val="center"/>
          </w:tcPr>
          <w:p w14:paraId="75600B56">
            <w:pPr>
              <w:adjustRightInd w:val="0"/>
              <w:snapToGrid w:val="0"/>
              <w:spacing w:line="240" w:lineRule="auto"/>
              <w:jc w:val="center"/>
              <w:rPr>
                <w:sz w:val="21"/>
                <w:szCs w:val="21"/>
              </w:rPr>
            </w:pPr>
            <w:r>
              <w:rPr>
                <w:rFonts w:hint="eastAsia"/>
                <w:sz w:val="21"/>
                <w:szCs w:val="21"/>
              </w:rPr>
              <w:t>0</w:t>
            </w:r>
          </w:p>
        </w:tc>
        <w:tc>
          <w:tcPr>
            <w:tcW w:w="852" w:type="dxa"/>
            <w:tcBorders>
              <w:tl2br w:val="nil"/>
              <w:tr2bl w:val="nil"/>
            </w:tcBorders>
            <w:vAlign w:val="center"/>
          </w:tcPr>
          <w:p w14:paraId="4E94064A">
            <w:pPr>
              <w:adjustRightInd w:val="0"/>
              <w:snapToGrid w:val="0"/>
              <w:spacing w:line="240" w:lineRule="auto"/>
              <w:jc w:val="center"/>
              <w:rPr>
                <w:sz w:val="21"/>
                <w:szCs w:val="21"/>
              </w:rPr>
            </w:pPr>
            <w:r>
              <w:rPr>
                <w:rFonts w:hint="eastAsia"/>
                <w:sz w:val="21"/>
                <w:szCs w:val="21"/>
              </w:rPr>
              <w:t>淘汰</w:t>
            </w:r>
          </w:p>
        </w:tc>
      </w:tr>
      <w:tr w14:paraId="773AFF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4" w:type="dxa"/>
            <w:vMerge w:val="continue"/>
            <w:tcBorders>
              <w:tl2br w:val="nil"/>
              <w:tr2bl w:val="nil"/>
            </w:tcBorders>
            <w:vAlign w:val="center"/>
          </w:tcPr>
          <w:p w14:paraId="3330A263">
            <w:pPr>
              <w:adjustRightInd w:val="0"/>
              <w:snapToGrid w:val="0"/>
              <w:spacing w:line="240" w:lineRule="auto"/>
              <w:jc w:val="center"/>
              <w:rPr>
                <w:sz w:val="21"/>
                <w:szCs w:val="21"/>
              </w:rPr>
            </w:pPr>
          </w:p>
        </w:tc>
        <w:tc>
          <w:tcPr>
            <w:tcW w:w="2978" w:type="dxa"/>
            <w:gridSpan w:val="3"/>
            <w:tcBorders>
              <w:tl2br w:val="nil"/>
              <w:tr2bl w:val="nil"/>
            </w:tcBorders>
            <w:vAlign w:val="center"/>
          </w:tcPr>
          <w:p w14:paraId="743F2B0A">
            <w:pPr>
              <w:adjustRightInd w:val="0"/>
              <w:snapToGrid w:val="0"/>
              <w:spacing w:line="240" w:lineRule="auto"/>
              <w:jc w:val="center"/>
              <w:rPr>
                <w:sz w:val="21"/>
                <w:szCs w:val="21"/>
              </w:rPr>
            </w:pPr>
            <w:r>
              <w:rPr>
                <w:rFonts w:hint="eastAsia"/>
                <w:sz w:val="21"/>
                <w:szCs w:val="21"/>
              </w:rPr>
              <w:t>常压热水锅炉+16m排气筒（DA002）</w:t>
            </w:r>
          </w:p>
        </w:tc>
        <w:tc>
          <w:tcPr>
            <w:tcW w:w="992" w:type="dxa"/>
            <w:tcBorders>
              <w:tl2br w:val="nil"/>
              <w:tr2bl w:val="nil"/>
            </w:tcBorders>
            <w:vAlign w:val="center"/>
          </w:tcPr>
          <w:p w14:paraId="157CCD2D">
            <w:pPr>
              <w:adjustRightInd w:val="0"/>
              <w:snapToGrid w:val="0"/>
              <w:spacing w:line="240" w:lineRule="auto"/>
              <w:jc w:val="center"/>
              <w:rPr>
                <w:sz w:val="21"/>
                <w:szCs w:val="21"/>
              </w:rPr>
            </w:pPr>
            <w:r>
              <w:rPr>
                <w:rFonts w:hint="eastAsia"/>
                <w:sz w:val="21"/>
                <w:szCs w:val="21"/>
              </w:rPr>
              <w:t>0</w:t>
            </w:r>
          </w:p>
        </w:tc>
        <w:tc>
          <w:tcPr>
            <w:tcW w:w="987" w:type="dxa"/>
            <w:tcBorders>
              <w:tl2br w:val="nil"/>
              <w:tr2bl w:val="nil"/>
            </w:tcBorders>
            <w:vAlign w:val="center"/>
          </w:tcPr>
          <w:p w14:paraId="1205AB22">
            <w:pPr>
              <w:adjustRightInd w:val="0"/>
              <w:snapToGrid w:val="0"/>
              <w:spacing w:line="240" w:lineRule="auto"/>
              <w:jc w:val="center"/>
              <w:rPr>
                <w:sz w:val="21"/>
                <w:szCs w:val="21"/>
              </w:rPr>
            </w:pPr>
            <w:r>
              <w:rPr>
                <w:rFonts w:hint="eastAsia"/>
                <w:sz w:val="21"/>
                <w:szCs w:val="21"/>
              </w:rPr>
              <w:t>0</w:t>
            </w:r>
          </w:p>
        </w:tc>
        <w:tc>
          <w:tcPr>
            <w:tcW w:w="1082" w:type="dxa"/>
            <w:tcBorders>
              <w:tl2br w:val="nil"/>
              <w:tr2bl w:val="nil"/>
            </w:tcBorders>
            <w:vAlign w:val="center"/>
          </w:tcPr>
          <w:p w14:paraId="703BEAE8">
            <w:pPr>
              <w:adjustRightInd w:val="0"/>
              <w:snapToGrid w:val="0"/>
              <w:spacing w:line="240" w:lineRule="auto"/>
              <w:jc w:val="center"/>
              <w:rPr>
                <w:sz w:val="21"/>
                <w:szCs w:val="21"/>
              </w:rPr>
            </w:pPr>
            <w:r>
              <w:rPr>
                <w:rFonts w:hint="eastAsia"/>
                <w:sz w:val="21"/>
                <w:szCs w:val="21"/>
              </w:rPr>
              <w:t>+1台</w:t>
            </w:r>
          </w:p>
        </w:tc>
        <w:tc>
          <w:tcPr>
            <w:tcW w:w="908" w:type="dxa"/>
            <w:tcBorders>
              <w:tl2br w:val="nil"/>
              <w:tr2bl w:val="nil"/>
            </w:tcBorders>
            <w:vAlign w:val="center"/>
          </w:tcPr>
          <w:p w14:paraId="10A00623">
            <w:pPr>
              <w:adjustRightInd w:val="0"/>
              <w:snapToGrid w:val="0"/>
              <w:spacing w:line="240" w:lineRule="auto"/>
              <w:jc w:val="center"/>
              <w:rPr>
                <w:sz w:val="21"/>
                <w:szCs w:val="21"/>
              </w:rPr>
            </w:pPr>
            <w:r>
              <w:rPr>
                <w:rFonts w:hint="eastAsia"/>
                <w:sz w:val="21"/>
                <w:szCs w:val="21"/>
              </w:rPr>
              <w:t>1台</w:t>
            </w:r>
          </w:p>
        </w:tc>
        <w:tc>
          <w:tcPr>
            <w:tcW w:w="852" w:type="dxa"/>
            <w:tcBorders>
              <w:tl2br w:val="nil"/>
              <w:tr2bl w:val="nil"/>
            </w:tcBorders>
            <w:vAlign w:val="center"/>
          </w:tcPr>
          <w:p w14:paraId="31855402">
            <w:pPr>
              <w:adjustRightInd w:val="0"/>
              <w:snapToGrid w:val="0"/>
              <w:spacing w:line="240" w:lineRule="auto"/>
              <w:jc w:val="center"/>
              <w:rPr>
                <w:sz w:val="21"/>
                <w:szCs w:val="21"/>
              </w:rPr>
            </w:pPr>
            <w:r>
              <w:rPr>
                <w:rFonts w:hint="eastAsia"/>
                <w:sz w:val="21"/>
                <w:szCs w:val="21"/>
              </w:rPr>
              <w:t>新增</w:t>
            </w:r>
          </w:p>
        </w:tc>
      </w:tr>
    </w:tbl>
    <w:p w14:paraId="2764031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4.1.3</w:t>
      </w:r>
      <w:r>
        <w:rPr>
          <w:rFonts w:hint="eastAsia"/>
        </w:rPr>
        <w:t>项目环保措施、排气筒拆除及新建情况</w:t>
      </w:r>
    </w:p>
    <w:p w14:paraId="7F7147BA">
      <w:pPr>
        <w:ind w:firstLine="480"/>
        <w:rPr>
          <w:u w:val="single"/>
        </w:rPr>
      </w:pPr>
      <w:r>
        <w:rPr>
          <w:rFonts w:hint="eastAsia"/>
          <w:u w:val="single"/>
        </w:rPr>
        <w:t>在建项目环保设施除风量改造以外，处理工艺方案未变更，仍以“吸附浓缩+溶剂回收设备”替代原“（2+1）三通路处理凹印有机废气的节能减排系统（催化氧化双通路、碱液喷淋）”，涉及到设施拆除和保留及新建，具体如下：</w:t>
      </w:r>
    </w:p>
    <w:p w14:paraId="020889BF">
      <w:pPr>
        <w:pStyle w:val="51"/>
        <w:numPr>
          <w:ilvl w:val="5"/>
          <w:numId w:val="0"/>
        </w:numPr>
        <w:spacing w:before="0" w:beforeLines="0" w:line="360" w:lineRule="auto"/>
        <w:ind w:left="305" w:leftChars="0" w:hanging="3260" w:firstLineChars="0"/>
        <w:rPr>
          <w:u w:val="single"/>
        </w:rPr>
      </w:pP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表4.1-4 </w:t>
      </w:r>
      <w:r>
        <w:rPr>
          <w:rFonts w:hint="eastAsia"/>
          <w:u w:val="single"/>
        </w:rPr>
        <w:t xml:space="preserve"> 环保措施、排气筒拆除及新建情况</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6"/>
        <w:gridCol w:w="2439"/>
        <w:gridCol w:w="994"/>
        <w:gridCol w:w="2899"/>
        <w:gridCol w:w="1684"/>
      </w:tblGrid>
      <w:tr w14:paraId="54E14B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10DD728C">
            <w:pPr>
              <w:adjustRightInd w:val="0"/>
              <w:snapToGrid w:val="0"/>
              <w:spacing w:line="240" w:lineRule="auto"/>
              <w:jc w:val="center"/>
              <w:rPr>
                <w:sz w:val="21"/>
                <w:szCs w:val="21"/>
                <w:u w:val="single"/>
              </w:rPr>
            </w:pPr>
            <w:r>
              <w:rPr>
                <w:rFonts w:hint="eastAsia"/>
                <w:sz w:val="21"/>
                <w:szCs w:val="21"/>
                <w:u w:val="single"/>
              </w:rPr>
              <w:t>序号</w:t>
            </w:r>
          </w:p>
        </w:tc>
        <w:tc>
          <w:tcPr>
            <w:tcW w:w="1431" w:type="pct"/>
            <w:tcBorders>
              <w:tl2br w:val="nil"/>
              <w:tr2bl w:val="nil"/>
            </w:tcBorders>
            <w:vAlign w:val="center"/>
          </w:tcPr>
          <w:p w14:paraId="72FF8EDA">
            <w:pPr>
              <w:adjustRightInd w:val="0"/>
              <w:snapToGrid w:val="0"/>
              <w:spacing w:line="240" w:lineRule="auto"/>
              <w:jc w:val="center"/>
              <w:rPr>
                <w:sz w:val="21"/>
                <w:szCs w:val="21"/>
                <w:u w:val="single"/>
              </w:rPr>
            </w:pPr>
            <w:r>
              <w:rPr>
                <w:rFonts w:hint="eastAsia"/>
                <w:sz w:val="21"/>
                <w:szCs w:val="21"/>
                <w:u w:val="single"/>
              </w:rPr>
              <w:t>措施</w:t>
            </w:r>
          </w:p>
        </w:tc>
        <w:tc>
          <w:tcPr>
            <w:tcW w:w="583" w:type="pct"/>
            <w:tcBorders>
              <w:tl2br w:val="nil"/>
              <w:tr2bl w:val="nil"/>
            </w:tcBorders>
            <w:vAlign w:val="center"/>
          </w:tcPr>
          <w:p w14:paraId="3BC5634C">
            <w:pPr>
              <w:adjustRightInd w:val="0"/>
              <w:snapToGrid w:val="0"/>
              <w:spacing w:line="240" w:lineRule="auto"/>
              <w:jc w:val="center"/>
              <w:rPr>
                <w:sz w:val="21"/>
                <w:szCs w:val="21"/>
                <w:u w:val="single"/>
              </w:rPr>
            </w:pPr>
            <w:r>
              <w:rPr>
                <w:rFonts w:hint="eastAsia"/>
                <w:sz w:val="21"/>
                <w:szCs w:val="21"/>
                <w:u w:val="single"/>
              </w:rPr>
              <w:t>拆除/新建情况</w:t>
            </w:r>
          </w:p>
        </w:tc>
        <w:tc>
          <w:tcPr>
            <w:tcW w:w="1700" w:type="pct"/>
            <w:tcBorders>
              <w:tl2br w:val="nil"/>
              <w:tr2bl w:val="nil"/>
            </w:tcBorders>
            <w:vAlign w:val="center"/>
          </w:tcPr>
          <w:p w14:paraId="58FBA28D">
            <w:pPr>
              <w:adjustRightInd w:val="0"/>
              <w:snapToGrid w:val="0"/>
              <w:spacing w:line="240" w:lineRule="auto"/>
              <w:jc w:val="center"/>
              <w:rPr>
                <w:sz w:val="21"/>
                <w:szCs w:val="21"/>
                <w:u w:val="single"/>
              </w:rPr>
            </w:pPr>
            <w:r>
              <w:rPr>
                <w:rFonts w:hint="eastAsia"/>
                <w:sz w:val="21"/>
                <w:szCs w:val="21"/>
                <w:u w:val="single"/>
              </w:rPr>
              <w:t>备注</w:t>
            </w:r>
          </w:p>
        </w:tc>
        <w:tc>
          <w:tcPr>
            <w:tcW w:w="988" w:type="pct"/>
            <w:tcBorders>
              <w:tl2br w:val="nil"/>
              <w:tr2bl w:val="nil"/>
            </w:tcBorders>
            <w:vAlign w:val="center"/>
          </w:tcPr>
          <w:p w14:paraId="511315F2">
            <w:pPr>
              <w:adjustRightInd w:val="0"/>
              <w:snapToGrid w:val="0"/>
              <w:spacing w:line="240" w:lineRule="auto"/>
              <w:jc w:val="center"/>
              <w:rPr>
                <w:sz w:val="21"/>
                <w:szCs w:val="21"/>
                <w:u w:val="single"/>
              </w:rPr>
            </w:pPr>
            <w:r>
              <w:rPr>
                <w:rFonts w:hint="eastAsia"/>
                <w:sz w:val="21"/>
                <w:szCs w:val="21"/>
                <w:u w:val="single"/>
              </w:rPr>
              <w:t>本次变更情况</w:t>
            </w:r>
          </w:p>
        </w:tc>
      </w:tr>
      <w:tr w14:paraId="7CD1C5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4CB731AD">
            <w:pPr>
              <w:adjustRightInd w:val="0"/>
              <w:snapToGrid w:val="0"/>
              <w:spacing w:line="240" w:lineRule="auto"/>
              <w:jc w:val="center"/>
              <w:rPr>
                <w:sz w:val="21"/>
                <w:szCs w:val="21"/>
                <w:u w:val="single"/>
              </w:rPr>
            </w:pPr>
            <w:r>
              <w:rPr>
                <w:rFonts w:hint="eastAsia"/>
                <w:sz w:val="21"/>
                <w:szCs w:val="21"/>
                <w:u w:val="single"/>
              </w:rPr>
              <w:t>1</w:t>
            </w:r>
          </w:p>
        </w:tc>
        <w:tc>
          <w:tcPr>
            <w:tcW w:w="1431" w:type="pct"/>
            <w:tcBorders>
              <w:tl2br w:val="nil"/>
              <w:tr2bl w:val="nil"/>
            </w:tcBorders>
            <w:vAlign w:val="center"/>
          </w:tcPr>
          <w:p w14:paraId="45010B1F">
            <w:pPr>
              <w:adjustRightInd w:val="0"/>
              <w:snapToGrid w:val="0"/>
              <w:spacing w:line="240" w:lineRule="auto"/>
              <w:jc w:val="center"/>
              <w:rPr>
                <w:sz w:val="21"/>
                <w:szCs w:val="21"/>
                <w:u w:val="single"/>
              </w:rPr>
            </w:pPr>
            <w:r>
              <w:rPr>
                <w:rFonts w:hint="eastAsia"/>
                <w:sz w:val="21"/>
                <w:szCs w:val="21"/>
                <w:u w:val="single"/>
              </w:rPr>
              <w:t>车间3催化氧化双通路环保措施</w:t>
            </w:r>
          </w:p>
        </w:tc>
        <w:tc>
          <w:tcPr>
            <w:tcW w:w="583" w:type="pct"/>
            <w:tcBorders>
              <w:tl2br w:val="nil"/>
              <w:tr2bl w:val="nil"/>
            </w:tcBorders>
            <w:vAlign w:val="center"/>
          </w:tcPr>
          <w:p w14:paraId="196E8587">
            <w:pPr>
              <w:adjustRightInd w:val="0"/>
              <w:snapToGrid w:val="0"/>
              <w:spacing w:line="240" w:lineRule="auto"/>
              <w:jc w:val="center"/>
              <w:rPr>
                <w:rFonts w:hint="eastAsia" w:eastAsia="宋体"/>
                <w:sz w:val="21"/>
                <w:szCs w:val="21"/>
                <w:u w:val="single"/>
                <w:lang w:eastAsia="zh-CN"/>
              </w:rPr>
            </w:pPr>
            <w:r>
              <w:rPr>
                <w:rFonts w:hint="eastAsia"/>
                <w:sz w:val="21"/>
                <w:szCs w:val="21"/>
                <w:u w:val="single"/>
                <w:lang w:val="en-US" w:eastAsia="zh-CN"/>
              </w:rPr>
              <w:t>拆除</w:t>
            </w:r>
          </w:p>
        </w:tc>
        <w:tc>
          <w:tcPr>
            <w:tcW w:w="1700" w:type="pct"/>
            <w:tcBorders>
              <w:tl2br w:val="nil"/>
              <w:tr2bl w:val="nil"/>
            </w:tcBorders>
            <w:vAlign w:val="center"/>
          </w:tcPr>
          <w:p w14:paraId="08509002">
            <w:pPr>
              <w:adjustRightInd w:val="0"/>
              <w:snapToGrid w:val="0"/>
              <w:spacing w:line="240" w:lineRule="auto"/>
              <w:jc w:val="center"/>
              <w:rPr>
                <w:sz w:val="21"/>
                <w:szCs w:val="21"/>
                <w:u w:val="single"/>
              </w:rPr>
            </w:pPr>
            <w:r>
              <w:rPr>
                <w:rFonts w:hint="eastAsia"/>
                <w:sz w:val="21"/>
                <w:szCs w:val="21"/>
                <w:u w:val="single"/>
                <w:lang w:val="en-US" w:eastAsia="zh-CN"/>
              </w:rPr>
              <w:t>拆除原“</w:t>
            </w:r>
            <w:r>
              <w:rPr>
                <w:rFonts w:hint="eastAsia"/>
                <w:sz w:val="21"/>
                <w:szCs w:val="21"/>
                <w:u w:val="single"/>
              </w:rPr>
              <w:t>催化燃烧系统</w:t>
            </w:r>
            <w:r>
              <w:rPr>
                <w:rFonts w:hint="eastAsia"/>
                <w:sz w:val="21"/>
                <w:szCs w:val="21"/>
                <w:u w:val="single"/>
                <w:lang w:val="en-US" w:eastAsia="zh-CN"/>
              </w:rPr>
              <w:t>”及配套的排气筒。复合供热使用新建的热水锅炉，</w:t>
            </w:r>
            <w:r>
              <w:rPr>
                <w:rFonts w:hint="eastAsia"/>
                <w:sz w:val="21"/>
                <w:szCs w:val="21"/>
                <w:u w:val="single"/>
              </w:rPr>
              <w:t>天然气燃烧废气</w:t>
            </w:r>
            <w:r>
              <w:rPr>
                <w:rFonts w:hint="eastAsia"/>
                <w:sz w:val="21"/>
                <w:szCs w:val="21"/>
                <w:u w:val="single"/>
                <w:lang w:val="en-US" w:eastAsia="zh-CN"/>
              </w:rPr>
              <w:t>与导热油锅炉一同</w:t>
            </w:r>
            <w:r>
              <w:rPr>
                <w:rFonts w:hint="eastAsia"/>
                <w:sz w:val="21"/>
                <w:szCs w:val="21"/>
                <w:u w:val="single"/>
              </w:rPr>
              <w:t>经新建20.5m排气筒DA00</w:t>
            </w:r>
            <w:r>
              <w:rPr>
                <w:rFonts w:hint="eastAsia"/>
                <w:sz w:val="21"/>
                <w:szCs w:val="21"/>
                <w:u w:val="single"/>
                <w:lang w:val="en-US" w:eastAsia="zh-CN"/>
              </w:rPr>
              <w:t>2</w:t>
            </w:r>
            <w:r>
              <w:rPr>
                <w:rFonts w:hint="eastAsia"/>
                <w:sz w:val="21"/>
                <w:szCs w:val="21"/>
                <w:u w:val="single"/>
              </w:rPr>
              <w:t>排出</w:t>
            </w:r>
          </w:p>
        </w:tc>
        <w:tc>
          <w:tcPr>
            <w:tcW w:w="988" w:type="pct"/>
            <w:tcBorders>
              <w:tl2br w:val="nil"/>
              <w:tr2bl w:val="nil"/>
            </w:tcBorders>
            <w:vAlign w:val="center"/>
          </w:tcPr>
          <w:p w14:paraId="7A3CFA11">
            <w:pPr>
              <w:adjustRightInd w:val="0"/>
              <w:snapToGrid w:val="0"/>
              <w:spacing w:line="240" w:lineRule="auto"/>
              <w:jc w:val="center"/>
              <w:rPr>
                <w:sz w:val="21"/>
                <w:szCs w:val="21"/>
                <w:u w:val="single"/>
              </w:rPr>
            </w:pPr>
            <w:r>
              <w:rPr>
                <w:rFonts w:hint="eastAsia"/>
                <w:sz w:val="21"/>
                <w:szCs w:val="21"/>
                <w:u w:val="single"/>
                <w:lang w:val="en-US" w:eastAsia="zh-CN"/>
              </w:rPr>
              <w:t>不再使用在建项目环评时复合段供热方案（催化燃烧装置供热），而新建热水锅炉用于供热</w:t>
            </w:r>
          </w:p>
        </w:tc>
      </w:tr>
      <w:tr w14:paraId="03FEB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5B23EDA4">
            <w:pPr>
              <w:adjustRightInd w:val="0"/>
              <w:snapToGrid w:val="0"/>
              <w:spacing w:line="240" w:lineRule="auto"/>
              <w:jc w:val="center"/>
              <w:rPr>
                <w:sz w:val="21"/>
                <w:szCs w:val="21"/>
                <w:u w:val="single"/>
              </w:rPr>
            </w:pPr>
            <w:r>
              <w:rPr>
                <w:rFonts w:hint="eastAsia"/>
                <w:sz w:val="21"/>
                <w:szCs w:val="21"/>
                <w:u w:val="single"/>
              </w:rPr>
              <w:t>2</w:t>
            </w:r>
          </w:p>
        </w:tc>
        <w:tc>
          <w:tcPr>
            <w:tcW w:w="1431" w:type="pct"/>
            <w:tcBorders>
              <w:tl2br w:val="nil"/>
              <w:tr2bl w:val="nil"/>
            </w:tcBorders>
            <w:vAlign w:val="center"/>
          </w:tcPr>
          <w:p w14:paraId="5AE95CC2">
            <w:pPr>
              <w:adjustRightInd w:val="0"/>
              <w:snapToGrid w:val="0"/>
              <w:spacing w:line="240" w:lineRule="auto"/>
              <w:jc w:val="center"/>
              <w:rPr>
                <w:sz w:val="21"/>
                <w:szCs w:val="21"/>
                <w:u w:val="single"/>
              </w:rPr>
            </w:pPr>
            <w:r>
              <w:rPr>
                <w:rFonts w:hint="eastAsia"/>
                <w:sz w:val="21"/>
                <w:szCs w:val="21"/>
                <w:u w:val="single"/>
              </w:rPr>
              <w:t>车间3屋顶碱液喷淋环保措施</w:t>
            </w:r>
          </w:p>
        </w:tc>
        <w:tc>
          <w:tcPr>
            <w:tcW w:w="583" w:type="pct"/>
            <w:tcBorders>
              <w:tl2br w:val="nil"/>
              <w:tr2bl w:val="nil"/>
            </w:tcBorders>
            <w:vAlign w:val="center"/>
          </w:tcPr>
          <w:p w14:paraId="307D353D">
            <w:pPr>
              <w:adjustRightInd w:val="0"/>
              <w:snapToGrid w:val="0"/>
              <w:spacing w:line="240" w:lineRule="auto"/>
              <w:jc w:val="center"/>
              <w:rPr>
                <w:sz w:val="21"/>
                <w:szCs w:val="21"/>
                <w:u w:val="single"/>
              </w:rPr>
            </w:pPr>
            <w:r>
              <w:rPr>
                <w:rFonts w:hint="eastAsia"/>
                <w:sz w:val="21"/>
                <w:szCs w:val="21"/>
                <w:u w:val="single"/>
              </w:rPr>
              <w:t>拆除</w:t>
            </w:r>
          </w:p>
        </w:tc>
        <w:tc>
          <w:tcPr>
            <w:tcW w:w="1700" w:type="pct"/>
            <w:tcBorders>
              <w:tl2br w:val="nil"/>
              <w:tr2bl w:val="nil"/>
            </w:tcBorders>
            <w:vAlign w:val="center"/>
          </w:tcPr>
          <w:p w14:paraId="5006AAD1">
            <w:pPr>
              <w:adjustRightInd w:val="0"/>
              <w:snapToGrid w:val="0"/>
              <w:spacing w:line="240" w:lineRule="auto"/>
              <w:jc w:val="center"/>
              <w:rPr>
                <w:sz w:val="21"/>
                <w:szCs w:val="21"/>
                <w:u w:val="single"/>
              </w:rPr>
            </w:pPr>
            <w:r>
              <w:rPr>
                <w:rFonts w:hint="eastAsia"/>
                <w:sz w:val="21"/>
                <w:szCs w:val="21"/>
                <w:u w:val="single"/>
              </w:rPr>
              <w:t>/</w:t>
            </w:r>
          </w:p>
        </w:tc>
        <w:tc>
          <w:tcPr>
            <w:tcW w:w="988" w:type="pct"/>
            <w:tcBorders>
              <w:tl2br w:val="nil"/>
              <w:tr2bl w:val="nil"/>
            </w:tcBorders>
            <w:vAlign w:val="center"/>
          </w:tcPr>
          <w:p w14:paraId="1C10CAC7">
            <w:pPr>
              <w:adjustRightInd w:val="0"/>
              <w:snapToGrid w:val="0"/>
              <w:spacing w:line="240" w:lineRule="auto"/>
              <w:jc w:val="center"/>
              <w:rPr>
                <w:sz w:val="21"/>
                <w:szCs w:val="21"/>
                <w:u w:val="single"/>
              </w:rPr>
            </w:pPr>
            <w:r>
              <w:rPr>
                <w:rFonts w:hint="eastAsia"/>
                <w:sz w:val="21"/>
                <w:szCs w:val="21"/>
                <w:u w:val="single"/>
              </w:rPr>
              <w:t>无</w:t>
            </w:r>
          </w:p>
        </w:tc>
      </w:tr>
      <w:tr w14:paraId="1DCD24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419D3A54">
            <w:pPr>
              <w:adjustRightInd w:val="0"/>
              <w:snapToGrid w:val="0"/>
              <w:spacing w:line="240" w:lineRule="auto"/>
              <w:jc w:val="center"/>
              <w:rPr>
                <w:sz w:val="21"/>
                <w:szCs w:val="21"/>
                <w:u w:val="single"/>
              </w:rPr>
            </w:pPr>
            <w:r>
              <w:rPr>
                <w:rFonts w:hint="eastAsia"/>
                <w:sz w:val="21"/>
                <w:szCs w:val="21"/>
                <w:u w:val="single"/>
              </w:rPr>
              <w:t>3</w:t>
            </w:r>
          </w:p>
        </w:tc>
        <w:tc>
          <w:tcPr>
            <w:tcW w:w="1431" w:type="pct"/>
            <w:tcBorders>
              <w:tl2br w:val="nil"/>
              <w:tr2bl w:val="nil"/>
            </w:tcBorders>
            <w:vAlign w:val="center"/>
          </w:tcPr>
          <w:p w14:paraId="151E8EB3">
            <w:pPr>
              <w:adjustRightInd w:val="0"/>
              <w:snapToGrid w:val="0"/>
              <w:spacing w:line="240" w:lineRule="auto"/>
              <w:jc w:val="center"/>
              <w:rPr>
                <w:sz w:val="21"/>
                <w:szCs w:val="21"/>
                <w:u w:val="single"/>
              </w:rPr>
            </w:pPr>
            <w:r>
              <w:rPr>
                <w:rFonts w:hint="eastAsia"/>
                <w:sz w:val="21"/>
                <w:szCs w:val="21"/>
                <w:u w:val="single"/>
              </w:rPr>
              <w:t>车间4屋顶碱液喷淋环保措施</w:t>
            </w:r>
          </w:p>
        </w:tc>
        <w:tc>
          <w:tcPr>
            <w:tcW w:w="583" w:type="pct"/>
            <w:tcBorders>
              <w:tl2br w:val="nil"/>
              <w:tr2bl w:val="nil"/>
            </w:tcBorders>
            <w:vAlign w:val="center"/>
          </w:tcPr>
          <w:p w14:paraId="77920D62">
            <w:pPr>
              <w:adjustRightInd w:val="0"/>
              <w:snapToGrid w:val="0"/>
              <w:spacing w:line="240" w:lineRule="auto"/>
              <w:jc w:val="center"/>
              <w:rPr>
                <w:sz w:val="21"/>
                <w:szCs w:val="21"/>
                <w:u w:val="single"/>
              </w:rPr>
            </w:pPr>
            <w:r>
              <w:rPr>
                <w:rFonts w:hint="eastAsia"/>
                <w:sz w:val="21"/>
                <w:szCs w:val="21"/>
                <w:u w:val="single"/>
              </w:rPr>
              <w:t>保留</w:t>
            </w:r>
          </w:p>
        </w:tc>
        <w:tc>
          <w:tcPr>
            <w:tcW w:w="1700" w:type="pct"/>
            <w:tcBorders>
              <w:tl2br w:val="nil"/>
              <w:tr2bl w:val="nil"/>
            </w:tcBorders>
            <w:vAlign w:val="center"/>
          </w:tcPr>
          <w:p w14:paraId="57EC372F">
            <w:pPr>
              <w:adjustRightInd w:val="0"/>
              <w:snapToGrid w:val="0"/>
              <w:spacing w:line="240" w:lineRule="auto"/>
              <w:jc w:val="center"/>
              <w:rPr>
                <w:sz w:val="21"/>
                <w:szCs w:val="21"/>
                <w:u w:val="single"/>
              </w:rPr>
            </w:pPr>
            <w:r>
              <w:rPr>
                <w:rFonts w:hint="eastAsia"/>
                <w:sz w:val="21"/>
                <w:szCs w:val="21"/>
                <w:u w:val="single"/>
              </w:rPr>
              <w:t>备用设施</w:t>
            </w:r>
          </w:p>
        </w:tc>
        <w:tc>
          <w:tcPr>
            <w:tcW w:w="988" w:type="pct"/>
            <w:tcBorders>
              <w:tl2br w:val="nil"/>
              <w:tr2bl w:val="nil"/>
            </w:tcBorders>
            <w:vAlign w:val="center"/>
          </w:tcPr>
          <w:p w14:paraId="558BDA09">
            <w:pPr>
              <w:adjustRightInd w:val="0"/>
              <w:snapToGrid w:val="0"/>
              <w:spacing w:line="240" w:lineRule="auto"/>
              <w:jc w:val="center"/>
              <w:rPr>
                <w:sz w:val="21"/>
                <w:szCs w:val="21"/>
                <w:u w:val="single"/>
              </w:rPr>
            </w:pPr>
            <w:r>
              <w:rPr>
                <w:rFonts w:hint="eastAsia"/>
                <w:sz w:val="21"/>
                <w:szCs w:val="21"/>
                <w:u w:val="single"/>
              </w:rPr>
              <w:t>无</w:t>
            </w:r>
          </w:p>
        </w:tc>
      </w:tr>
      <w:tr w14:paraId="3449A1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4D799D3A">
            <w:pPr>
              <w:adjustRightInd w:val="0"/>
              <w:snapToGrid w:val="0"/>
              <w:spacing w:line="240" w:lineRule="auto"/>
              <w:jc w:val="center"/>
              <w:rPr>
                <w:sz w:val="21"/>
                <w:szCs w:val="21"/>
                <w:u w:val="single"/>
              </w:rPr>
            </w:pPr>
            <w:r>
              <w:rPr>
                <w:rFonts w:hint="eastAsia"/>
                <w:sz w:val="21"/>
                <w:szCs w:val="21"/>
                <w:u w:val="single"/>
              </w:rPr>
              <w:t>4</w:t>
            </w:r>
          </w:p>
        </w:tc>
        <w:tc>
          <w:tcPr>
            <w:tcW w:w="1431" w:type="pct"/>
            <w:tcBorders>
              <w:tl2br w:val="nil"/>
              <w:tr2bl w:val="nil"/>
            </w:tcBorders>
            <w:vAlign w:val="center"/>
          </w:tcPr>
          <w:p w14:paraId="5C86FCD5">
            <w:pPr>
              <w:adjustRightInd w:val="0"/>
              <w:snapToGrid w:val="0"/>
              <w:spacing w:line="240" w:lineRule="auto"/>
              <w:jc w:val="center"/>
              <w:rPr>
                <w:sz w:val="21"/>
                <w:szCs w:val="21"/>
                <w:u w:val="single"/>
              </w:rPr>
            </w:pPr>
            <w:r>
              <w:rPr>
                <w:rFonts w:hint="eastAsia"/>
                <w:sz w:val="21"/>
                <w:szCs w:val="21"/>
                <w:u w:val="single"/>
              </w:rPr>
              <w:t>车间3催化氧化双通路排气筒P1（27m）</w:t>
            </w:r>
          </w:p>
        </w:tc>
        <w:tc>
          <w:tcPr>
            <w:tcW w:w="583" w:type="pct"/>
            <w:tcBorders>
              <w:tl2br w:val="nil"/>
              <w:tr2bl w:val="nil"/>
            </w:tcBorders>
            <w:vAlign w:val="center"/>
          </w:tcPr>
          <w:p w14:paraId="7FD7F499">
            <w:pPr>
              <w:adjustRightInd w:val="0"/>
              <w:snapToGrid w:val="0"/>
              <w:spacing w:line="240" w:lineRule="auto"/>
              <w:jc w:val="center"/>
              <w:rPr>
                <w:sz w:val="21"/>
                <w:szCs w:val="21"/>
                <w:u w:val="single"/>
              </w:rPr>
            </w:pPr>
            <w:r>
              <w:rPr>
                <w:rFonts w:hint="eastAsia"/>
                <w:sz w:val="21"/>
                <w:szCs w:val="21"/>
                <w:u w:val="single"/>
              </w:rPr>
              <w:t>拆除</w:t>
            </w:r>
          </w:p>
        </w:tc>
        <w:tc>
          <w:tcPr>
            <w:tcW w:w="1700" w:type="pct"/>
            <w:tcBorders>
              <w:tl2br w:val="nil"/>
              <w:tr2bl w:val="nil"/>
            </w:tcBorders>
            <w:vAlign w:val="center"/>
          </w:tcPr>
          <w:p w14:paraId="7C28E5C5">
            <w:pPr>
              <w:adjustRightInd w:val="0"/>
              <w:snapToGrid w:val="0"/>
              <w:spacing w:line="240" w:lineRule="auto"/>
              <w:jc w:val="center"/>
              <w:rPr>
                <w:sz w:val="21"/>
                <w:szCs w:val="21"/>
                <w:u w:val="single"/>
              </w:rPr>
            </w:pPr>
            <w:r>
              <w:rPr>
                <w:rFonts w:hint="eastAsia"/>
                <w:sz w:val="21"/>
                <w:szCs w:val="21"/>
                <w:u w:val="single"/>
              </w:rPr>
              <w:t>/</w:t>
            </w:r>
          </w:p>
        </w:tc>
        <w:tc>
          <w:tcPr>
            <w:tcW w:w="988" w:type="pct"/>
            <w:tcBorders>
              <w:tl2br w:val="nil"/>
              <w:tr2bl w:val="nil"/>
            </w:tcBorders>
            <w:vAlign w:val="center"/>
          </w:tcPr>
          <w:p w14:paraId="46CED1DD">
            <w:pPr>
              <w:adjustRightInd w:val="0"/>
              <w:snapToGrid w:val="0"/>
              <w:spacing w:line="240" w:lineRule="auto"/>
              <w:jc w:val="center"/>
              <w:rPr>
                <w:sz w:val="21"/>
                <w:szCs w:val="21"/>
                <w:u w:val="single"/>
              </w:rPr>
            </w:pPr>
            <w:r>
              <w:rPr>
                <w:rFonts w:hint="eastAsia"/>
                <w:sz w:val="21"/>
                <w:szCs w:val="21"/>
                <w:u w:val="single"/>
              </w:rPr>
              <w:t>无</w:t>
            </w:r>
          </w:p>
        </w:tc>
      </w:tr>
      <w:tr w14:paraId="1C3EF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6" w:type="pct"/>
            <w:tcBorders>
              <w:tl2br w:val="nil"/>
              <w:tr2bl w:val="nil"/>
            </w:tcBorders>
            <w:vAlign w:val="center"/>
          </w:tcPr>
          <w:p w14:paraId="74B9674F">
            <w:pPr>
              <w:adjustRightInd w:val="0"/>
              <w:snapToGrid w:val="0"/>
              <w:spacing w:line="240" w:lineRule="auto"/>
              <w:jc w:val="center"/>
              <w:rPr>
                <w:sz w:val="21"/>
                <w:szCs w:val="21"/>
                <w:u w:val="single"/>
              </w:rPr>
            </w:pPr>
            <w:r>
              <w:rPr>
                <w:rFonts w:hint="eastAsia"/>
                <w:sz w:val="21"/>
                <w:szCs w:val="21"/>
                <w:u w:val="single"/>
              </w:rPr>
              <w:t>5</w:t>
            </w:r>
          </w:p>
        </w:tc>
        <w:tc>
          <w:tcPr>
            <w:tcW w:w="1431" w:type="pct"/>
            <w:tcBorders>
              <w:tl2br w:val="nil"/>
              <w:tr2bl w:val="nil"/>
            </w:tcBorders>
            <w:vAlign w:val="center"/>
          </w:tcPr>
          <w:p w14:paraId="7A2B31D3">
            <w:pPr>
              <w:adjustRightInd w:val="0"/>
              <w:snapToGrid w:val="0"/>
              <w:spacing w:line="240" w:lineRule="auto"/>
              <w:jc w:val="center"/>
              <w:rPr>
                <w:sz w:val="21"/>
                <w:szCs w:val="21"/>
                <w:u w:val="single"/>
              </w:rPr>
            </w:pPr>
            <w:r>
              <w:rPr>
                <w:rFonts w:hint="eastAsia"/>
                <w:sz w:val="21"/>
                <w:szCs w:val="21"/>
                <w:u w:val="single"/>
              </w:rPr>
              <w:t>车间3碱液喷淋排气筒P2（21m）</w:t>
            </w:r>
          </w:p>
        </w:tc>
        <w:tc>
          <w:tcPr>
            <w:tcW w:w="583" w:type="pct"/>
            <w:tcBorders>
              <w:tl2br w:val="nil"/>
              <w:tr2bl w:val="nil"/>
            </w:tcBorders>
            <w:vAlign w:val="center"/>
          </w:tcPr>
          <w:p w14:paraId="052B285E">
            <w:pPr>
              <w:adjustRightInd w:val="0"/>
              <w:snapToGrid w:val="0"/>
              <w:spacing w:line="240" w:lineRule="auto"/>
              <w:jc w:val="center"/>
              <w:rPr>
                <w:sz w:val="21"/>
                <w:szCs w:val="21"/>
                <w:u w:val="single"/>
              </w:rPr>
            </w:pPr>
            <w:r>
              <w:rPr>
                <w:rFonts w:hint="eastAsia"/>
                <w:sz w:val="21"/>
                <w:szCs w:val="21"/>
                <w:u w:val="single"/>
              </w:rPr>
              <w:t>拆除</w:t>
            </w:r>
          </w:p>
        </w:tc>
        <w:tc>
          <w:tcPr>
            <w:tcW w:w="1700" w:type="pct"/>
            <w:tcBorders>
              <w:tl2br w:val="nil"/>
              <w:tr2bl w:val="nil"/>
            </w:tcBorders>
            <w:vAlign w:val="center"/>
          </w:tcPr>
          <w:p w14:paraId="691A9F06">
            <w:pPr>
              <w:adjustRightInd w:val="0"/>
              <w:snapToGrid w:val="0"/>
              <w:spacing w:line="240" w:lineRule="auto"/>
              <w:jc w:val="center"/>
              <w:rPr>
                <w:sz w:val="21"/>
                <w:szCs w:val="21"/>
                <w:u w:val="single"/>
              </w:rPr>
            </w:pPr>
            <w:r>
              <w:rPr>
                <w:rFonts w:hint="eastAsia"/>
                <w:sz w:val="21"/>
                <w:szCs w:val="21"/>
                <w:u w:val="single"/>
              </w:rPr>
              <w:t>/</w:t>
            </w:r>
          </w:p>
        </w:tc>
        <w:tc>
          <w:tcPr>
            <w:tcW w:w="988" w:type="pct"/>
            <w:tcBorders>
              <w:tl2br w:val="nil"/>
              <w:tr2bl w:val="nil"/>
            </w:tcBorders>
            <w:vAlign w:val="center"/>
          </w:tcPr>
          <w:p w14:paraId="4DB2D7D6">
            <w:pPr>
              <w:adjustRightInd w:val="0"/>
              <w:snapToGrid w:val="0"/>
              <w:spacing w:line="240" w:lineRule="auto"/>
              <w:jc w:val="center"/>
              <w:rPr>
                <w:sz w:val="21"/>
                <w:szCs w:val="21"/>
                <w:u w:val="single"/>
              </w:rPr>
            </w:pPr>
            <w:r>
              <w:rPr>
                <w:rFonts w:hint="eastAsia"/>
                <w:sz w:val="21"/>
                <w:szCs w:val="21"/>
                <w:u w:val="single"/>
              </w:rPr>
              <w:t>无</w:t>
            </w:r>
          </w:p>
        </w:tc>
      </w:tr>
      <w:tr w14:paraId="5FC98E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6" w:type="pct"/>
            <w:tcBorders>
              <w:tl2br w:val="nil"/>
              <w:tr2bl w:val="nil"/>
            </w:tcBorders>
            <w:vAlign w:val="center"/>
          </w:tcPr>
          <w:p w14:paraId="2F0DA656">
            <w:pPr>
              <w:adjustRightInd w:val="0"/>
              <w:snapToGrid w:val="0"/>
              <w:spacing w:line="240" w:lineRule="auto"/>
              <w:jc w:val="center"/>
              <w:rPr>
                <w:sz w:val="21"/>
                <w:szCs w:val="21"/>
                <w:u w:val="single"/>
              </w:rPr>
            </w:pPr>
            <w:r>
              <w:rPr>
                <w:rFonts w:hint="eastAsia"/>
                <w:sz w:val="21"/>
                <w:szCs w:val="21"/>
                <w:u w:val="single"/>
              </w:rPr>
              <w:t>6</w:t>
            </w:r>
          </w:p>
        </w:tc>
        <w:tc>
          <w:tcPr>
            <w:tcW w:w="1431" w:type="pct"/>
            <w:tcBorders>
              <w:tl2br w:val="nil"/>
              <w:tr2bl w:val="nil"/>
            </w:tcBorders>
            <w:vAlign w:val="center"/>
          </w:tcPr>
          <w:p w14:paraId="529F9AE5">
            <w:pPr>
              <w:adjustRightInd w:val="0"/>
              <w:snapToGrid w:val="0"/>
              <w:spacing w:line="240" w:lineRule="auto"/>
              <w:jc w:val="center"/>
              <w:rPr>
                <w:sz w:val="21"/>
                <w:szCs w:val="21"/>
                <w:u w:val="single"/>
              </w:rPr>
            </w:pPr>
            <w:r>
              <w:rPr>
                <w:rFonts w:hint="eastAsia"/>
                <w:sz w:val="21"/>
                <w:szCs w:val="21"/>
                <w:u w:val="single"/>
              </w:rPr>
              <w:t>车间4碱液喷淋排气筒P3（21m）</w:t>
            </w:r>
          </w:p>
        </w:tc>
        <w:tc>
          <w:tcPr>
            <w:tcW w:w="583" w:type="pct"/>
            <w:tcBorders>
              <w:tl2br w:val="nil"/>
              <w:tr2bl w:val="nil"/>
            </w:tcBorders>
            <w:vAlign w:val="center"/>
          </w:tcPr>
          <w:p w14:paraId="6DB21599">
            <w:pPr>
              <w:adjustRightInd w:val="0"/>
              <w:snapToGrid w:val="0"/>
              <w:spacing w:line="240" w:lineRule="auto"/>
              <w:jc w:val="center"/>
              <w:rPr>
                <w:sz w:val="21"/>
                <w:szCs w:val="21"/>
                <w:u w:val="single"/>
              </w:rPr>
            </w:pPr>
            <w:r>
              <w:rPr>
                <w:rFonts w:hint="eastAsia"/>
                <w:sz w:val="21"/>
                <w:szCs w:val="21"/>
                <w:u w:val="single"/>
              </w:rPr>
              <w:t>保留</w:t>
            </w:r>
          </w:p>
        </w:tc>
        <w:tc>
          <w:tcPr>
            <w:tcW w:w="1700" w:type="pct"/>
            <w:tcBorders>
              <w:tl2br w:val="nil"/>
              <w:tr2bl w:val="nil"/>
            </w:tcBorders>
            <w:vAlign w:val="center"/>
          </w:tcPr>
          <w:p w14:paraId="1ABBE201">
            <w:pPr>
              <w:adjustRightInd w:val="0"/>
              <w:snapToGrid w:val="0"/>
              <w:spacing w:line="240" w:lineRule="auto"/>
              <w:jc w:val="center"/>
              <w:rPr>
                <w:sz w:val="21"/>
                <w:szCs w:val="21"/>
                <w:u w:val="single"/>
              </w:rPr>
            </w:pPr>
            <w:r>
              <w:rPr>
                <w:rFonts w:hint="eastAsia"/>
                <w:sz w:val="21"/>
                <w:szCs w:val="21"/>
                <w:u w:val="single"/>
              </w:rPr>
              <w:t>备用设施</w:t>
            </w:r>
          </w:p>
        </w:tc>
        <w:tc>
          <w:tcPr>
            <w:tcW w:w="988" w:type="pct"/>
            <w:tcBorders>
              <w:tl2br w:val="nil"/>
              <w:tr2bl w:val="nil"/>
            </w:tcBorders>
            <w:vAlign w:val="center"/>
          </w:tcPr>
          <w:p w14:paraId="74F4728A">
            <w:pPr>
              <w:adjustRightInd w:val="0"/>
              <w:snapToGrid w:val="0"/>
              <w:spacing w:line="240" w:lineRule="auto"/>
              <w:jc w:val="center"/>
              <w:rPr>
                <w:sz w:val="21"/>
                <w:szCs w:val="21"/>
                <w:u w:val="single"/>
              </w:rPr>
            </w:pPr>
            <w:r>
              <w:rPr>
                <w:rFonts w:hint="eastAsia"/>
                <w:sz w:val="21"/>
                <w:szCs w:val="21"/>
                <w:u w:val="single"/>
              </w:rPr>
              <w:t>无</w:t>
            </w:r>
          </w:p>
        </w:tc>
      </w:tr>
      <w:tr w14:paraId="302024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6" w:type="pct"/>
            <w:tcBorders>
              <w:tl2br w:val="nil"/>
              <w:tr2bl w:val="nil"/>
            </w:tcBorders>
            <w:vAlign w:val="center"/>
          </w:tcPr>
          <w:p w14:paraId="2FEA9D5D">
            <w:pPr>
              <w:adjustRightInd w:val="0"/>
              <w:snapToGrid w:val="0"/>
              <w:spacing w:line="240" w:lineRule="auto"/>
              <w:jc w:val="center"/>
              <w:rPr>
                <w:sz w:val="21"/>
                <w:szCs w:val="21"/>
                <w:u w:val="single"/>
              </w:rPr>
            </w:pPr>
            <w:r>
              <w:rPr>
                <w:rFonts w:hint="eastAsia"/>
                <w:sz w:val="21"/>
                <w:szCs w:val="21"/>
                <w:u w:val="single"/>
              </w:rPr>
              <w:t>7</w:t>
            </w:r>
          </w:p>
        </w:tc>
        <w:tc>
          <w:tcPr>
            <w:tcW w:w="1431" w:type="pct"/>
            <w:tcBorders>
              <w:tl2br w:val="nil"/>
              <w:tr2bl w:val="nil"/>
            </w:tcBorders>
            <w:vAlign w:val="center"/>
          </w:tcPr>
          <w:p w14:paraId="2C405EFE">
            <w:pPr>
              <w:adjustRightInd w:val="0"/>
              <w:snapToGrid w:val="0"/>
              <w:spacing w:line="240" w:lineRule="auto"/>
              <w:jc w:val="center"/>
              <w:rPr>
                <w:sz w:val="21"/>
                <w:szCs w:val="21"/>
                <w:u w:val="single"/>
              </w:rPr>
            </w:pPr>
            <w:r>
              <w:rPr>
                <w:rFonts w:hint="eastAsia"/>
                <w:sz w:val="21"/>
                <w:szCs w:val="21"/>
                <w:u w:val="single"/>
              </w:rPr>
              <w:t>1套“吸附浓缩+溶剂回收设备”</w:t>
            </w:r>
          </w:p>
        </w:tc>
        <w:tc>
          <w:tcPr>
            <w:tcW w:w="583" w:type="pct"/>
            <w:tcBorders>
              <w:tl2br w:val="nil"/>
              <w:tr2bl w:val="nil"/>
            </w:tcBorders>
            <w:vAlign w:val="center"/>
          </w:tcPr>
          <w:p w14:paraId="6CF999E0">
            <w:pPr>
              <w:adjustRightInd w:val="0"/>
              <w:snapToGrid w:val="0"/>
              <w:spacing w:line="240" w:lineRule="auto"/>
              <w:jc w:val="center"/>
              <w:rPr>
                <w:sz w:val="21"/>
                <w:szCs w:val="21"/>
                <w:u w:val="single"/>
              </w:rPr>
            </w:pPr>
            <w:r>
              <w:rPr>
                <w:rFonts w:hint="eastAsia"/>
                <w:sz w:val="21"/>
                <w:szCs w:val="21"/>
                <w:u w:val="single"/>
              </w:rPr>
              <w:t>新建</w:t>
            </w:r>
          </w:p>
        </w:tc>
        <w:tc>
          <w:tcPr>
            <w:tcW w:w="1700" w:type="pct"/>
            <w:tcBorders>
              <w:tl2br w:val="nil"/>
              <w:tr2bl w:val="nil"/>
            </w:tcBorders>
            <w:vAlign w:val="center"/>
          </w:tcPr>
          <w:p w14:paraId="08C9ECCB">
            <w:pPr>
              <w:adjustRightInd w:val="0"/>
              <w:snapToGrid w:val="0"/>
              <w:spacing w:line="240" w:lineRule="auto"/>
              <w:jc w:val="center"/>
              <w:rPr>
                <w:sz w:val="21"/>
                <w:szCs w:val="21"/>
                <w:u w:val="single"/>
              </w:rPr>
            </w:pPr>
            <w:r>
              <w:rPr>
                <w:rFonts w:hint="eastAsia"/>
                <w:sz w:val="21"/>
                <w:szCs w:val="21"/>
                <w:u w:val="single"/>
              </w:rPr>
              <w:t>位于车间3东侧中部</w:t>
            </w:r>
          </w:p>
        </w:tc>
        <w:tc>
          <w:tcPr>
            <w:tcW w:w="988" w:type="pct"/>
            <w:tcBorders>
              <w:tl2br w:val="nil"/>
              <w:tr2bl w:val="nil"/>
            </w:tcBorders>
            <w:vAlign w:val="center"/>
          </w:tcPr>
          <w:p w14:paraId="7D195819">
            <w:pPr>
              <w:adjustRightInd w:val="0"/>
              <w:snapToGrid w:val="0"/>
              <w:spacing w:line="240" w:lineRule="auto"/>
              <w:jc w:val="center"/>
              <w:rPr>
                <w:sz w:val="21"/>
                <w:szCs w:val="21"/>
                <w:u w:val="single"/>
              </w:rPr>
            </w:pPr>
            <w:r>
              <w:rPr>
                <w:rFonts w:hint="eastAsia"/>
                <w:sz w:val="21"/>
                <w:szCs w:val="21"/>
                <w:u w:val="single"/>
              </w:rPr>
              <w:t>无</w:t>
            </w:r>
          </w:p>
        </w:tc>
      </w:tr>
      <w:tr w14:paraId="1FF228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2C1CB2E9">
            <w:pPr>
              <w:adjustRightInd w:val="0"/>
              <w:snapToGrid w:val="0"/>
              <w:spacing w:line="240" w:lineRule="auto"/>
              <w:jc w:val="center"/>
              <w:rPr>
                <w:sz w:val="21"/>
                <w:szCs w:val="21"/>
                <w:u w:val="single"/>
              </w:rPr>
            </w:pPr>
            <w:r>
              <w:rPr>
                <w:rFonts w:hint="eastAsia"/>
                <w:sz w:val="21"/>
                <w:szCs w:val="21"/>
                <w:u w:val="single"/>
              </w:rPr>
              <w:t>8</w:t>
            </w:r>
          </w:p>
        </w:tc>
        <w:tc>
          <w:tcPr>
            <w:tcW w:w="1431" w:type="pct"/>
            <w:tcBorders>
              <w:tl2br w:val="nil"/>
              <w:tr2bl w:val="nil"/>
            </w:tcBorders>
            <w:vAlign w:val="center"/>
          </w:tcPr>
          <w:p w14:paraId="7E9C39C2">
            <w:pPr>
              <w:adjustRightInd w:val="0"/>
              <w:snapToGrid w:val="0"/>
              <w:spacing w:line="240" w:lineRule="auto"/>
              <w:jc w:val="center"/>
              <w:rPr>
                <w:sz w:val="21"/>
                <w:szCs w:val="21"/>
                <w:u w:val="single"/>
              </w:rPr>
            </w:pPr>
            <w:r>
              <w:rPr>
                <w:rFonts w:hint="eastAsia"/>
                <w:sz w:val="21"/>
                <w:szCs w:val="21"/>
                <w:u w:val="single"/>
              </w:rPr>
              <w:t>“吸附浓缩+溶剂回收设备”配套排气筒DA001</w:t>
            </w:r>
          </w:p>
        </w:tc>
        <w:tc>
          <w:tcPr>
            <w:tcW w:w="583" w:type="pct"/>
            <w:tcBorders>
              <w:tl2br w:val="nil"/>
              <w:tr2bl w:val="nil"/>
            </w:tcBorders>
            <w:vAlign w:val="center"/>
          </w:tcPr>
          <w:p w14:paraId="29F2D15C">
            <w:pPr>
              <w:adjustRightInd w:val="0"/>
              <w:snapToGrid w:val="0"/>
              <w:spacing w:line="240" w:lineRule="auto"/>
              <w:jc w:val="center"/>
              <w:rPr>
                <w:sz w:val="21"/>
                <w:szCs w:val="21"/>
                <w:u w:val="single"/>
              </w:rPr>
            </w:pPr>
            <w:r>
              <w:rPr>
                <w:rFonts w:hint="eastAsia"/>
                <w:sz w:val="21"/>
                <w:szCs w:val="21"/>
                <w:u w:val="single"/>
              </w:rPr>
              <w:t>新建</w:t>
            </w:r>
          </w:p>
        </w:tc>
        <w:tc>
          <w:tcPr>
            <w:tcW w:w="1700" w:type="pct"/>
            <w:tcBorders>
              <w:tl2br w:val="nil"/>
              <w:tr2bl w:val="nil"/>
            </w:tcBorders>
            <w:vAlign w:val="center"/>
          </w:tcPr>
          <w:p w14:paraId="2A60263E">
            <w:pPr>
              <w:adjustRightInd w:val="0"/>
              <w:snapToGrid w:val="0"/>
              <w:spacing w:line="240" w:lineRule="auto"/>
              <w:jc w:val="center"/>
              <w:rPr>
                <w:sz w:val="21"/>
                <w:szCs w:val="21"/>
                <w:u w:val="single"/>
              </w:rPr>
            </w:pPr>
            <w:r>
              <w:rPr>
                <w:rFonts w:hint="eastAsia"/>
                <w:sz w:val="21"/>
                <w:szCs w:val="21"/>
                <w:u w:val="single"/>
              </w:rPr>
              <w:t>位于车间3东侧中部，20.5m</w:t>
            </w:r>
          </w:p>
        </w:tc>
        <w:tc>
          <w:tcPr>
            <w:tcW w:w="988" w:type="pct"/>
            <w:tcBorders>
              <w:tl2br w:val="nil"/>
              <w:tr2bl w:val="nil"/>
            </w:tcBorders>
            <w:vAlign w:val="center"/>
          </w:tcPr>
          <w:p w14:paraId="36249E9B">
            <w:pPr>
              <w:adjustRightInd w:val="0"/>
              <w:snapToGrid w:val="0"/>
              <w:spacing w:line="240" w:lineRule="auto"/>
              <w:jc w:val="center"/>
              <w:rPr>
                <w:sz w:val="21"/>
                <w:szCs w:val="21"/>
                <w:u w:val="single"/>
              </w:rPr>
            </w:pPr>
            <w:r>
              <w:rPr>
                <w:rFonts w:hint="eastAsia"/>
                <w:sz w:val="21"/>
                <w:szCs w:val="21"/>
                <w:u w:val="single"/>
              </w:rPr>
              <w:t>无</w:t>
            </w:r>
          </w:p>
        </w:tc>
      </w:tr>
      <w:tr w14:paraId="0DE2E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 w:type="pct"/>
            <w:tcBorders>
              <w:tl2br w:val="nil"/>
              <w:tr2bl w:val="nil"/>
            </w:tcBorders>
            <w:vAlign w:val="center"/>
          </w:tcPr>
          <w:p w14:paraId="5BE426BC">
            <w:pPr>
              <w:adjustRightInd w:val="0"/>
              <w:snapToGrid w:val="0"/>
              <w:spacing w:line="240" w:lineRule="auto"/>
              <w:jc w:val="center"/>
              <w:rPr>
                <w:sz w:val="21"/>
                <w:szCs w:val="21"/>
                <w:u w:val="single"/>
              </w:rPr>
            </w:pPr>
            <w:r>
              <w:rPr>
                <w:rFonts w:hint="eastAsia"/>
                <w:sz w:val="21"/>
                <w:szCs w:val="21"/>
                <w:u w:val="single"/>
              </w:rPr>
              <w:t>9</w:t>
            </w:r>
          </w:p>
        </w:tc>
        <w:tc>
          <w:tcPr>
            <w:tcW w:w="1431" w:type="pct"/>
            <w:tcBorders>
              <w:tl2br w:val="nil"/>
              <w:tr2bl w:val="nil"/>
            </w:tcBorders>
            <w:vAlign w:val="center"/>
          </w:tcPr>
          <w:p w14:paraId="6889D9DD">
            <w:pPr>
              <w:adjustRightInd w:val="0"/>
              <w:snapToGrid w:val="0"/>
              <w:spacing w:line="240" w:lineRule="auto"/>
              <w:jc w:val="center"/>
              <w:rPr>
                <w:sz w:val="21"/>
                <w:szCs w:val="21"/>
                <w:u w:val="single"/>
              </w:rPr>
            </w:pPr>
            <w:r>
              <w:rPr>
                <w:rFonts w:hint="eastAsia"/>
                <w:sz w:val="21"/>
                <w:szCs w:val="21"/>
                <w:u w:val="single"/>
              </w:rPr>
              <w:t>导热油锅炉配套排气筒DA002</w:t>
            </w:r>
          </w:p>
        </w:tc>
        <w:tc>
          <w:tcPr>
            <w:tcW w:w="583" w:type="pct"/>
            <w:tcBorders>
              <w:tl2br w:val="nil"/>
              <w:tr2bl w:val="nil"/>
            </w:tcBorders>
            <w:vAlign w:val="center"/>
          </w:tcPr>
          <w:p w14:paraId="675B669A">
            <w:pPr>
              <w:adjustRightInd w:val="0"/>
              <w:snapToGrid w:val="0"/>
              <w:spacing w:line="240" w:lineRule="auto"/>
              <w:jc w:val="center"/>
              <w:rPr>
                <w:sz w:val="21"/>
                <w:szCs w:val="21"/>
                <w:u w:val="single"/>
              </w:rPr>
            </w:pPr>
            <w:r>
              <w:rPr>
                <w:rFonts w:hint="eastAsia"/>
                <w:sz w:val="21"/>
                <w:szCs w:val="21"/>
                <w:u w:val="single"/>
              </w:rPr>
              <w:t>新建</w:t>
            </w:r>
          </w:p>
        </w:tc>
        <w:tc>
          <w:tcPr>
            <w:tcW w:w="1700" w:type="pct"/>
            <w:tcBorders>
              <w:tl2br w:val="nil"/>
              <w:tr2bl w:val="nil"/>
            </w:tcBorders>
            <w:vAlign w:val="center"/>
          </w:tcPr>
          <w:p w14:paraId="36065461">
            <w:pPr>
              <w:adjustRightInd w:val="0"/>
              <w:snapToGrid w:val="0"/>
              <w:spacing w:line="240" w:lineRule="auto"/>
              <w:jc w:val="center"/>
              <w:rPr>
                <w:sz w:val="21"/>
                <w:szCs w:val="21"/>
                <w:u w:val="single"/>
              </w:rPr>
            </w:pPr>
            <w:r>
              <w:rPr>
                <w:rFonts w:hint="eastAsia"/>
                <w:sz w:val="21"/>
                <w:szCs w:val="21"/>
                <w:u w:val="single"/>
              </w:rPr>
              <w:t>位于车间3东北侧，16m</w:t>
            </w:r>
          </w:p>
        </w:tc>
        <w:tc>
          <w:tcPr>
            <w:tcW w:w="988" w:type="pct"/>
            <w:tcBorders>
              <w:tl2br w:val="nil"/>
              <w:tr2bl w:val="nil"/>
            </w:tcBorders>
          </w:tcPr>
          <w:p w14:paraId="07BD5954">
            <w:pPr>
              <w:adjustRightInd w:val="0"/>
              <w:snapToGrid w:val="0"/>
              <w:spacing w:line="240" w:lineRule="auto"/>
              <w:jc w:val="center"/>
              <w:rPr>
                <w:sz w:val="21"/>
                <w:szCs w:val="21"/>
                <w:u w:val="single"/>
              </w:rPr>
            </w:pPr>
            <w:r>
              <w:rPr>
                <w:rFonts w:hint="eastAsia"/>
                <w:sz w:val="21"/>
                <w:szCs w:val="21"/>
                <w:u w:val="single"/>
              </w:rPr>
              <w:t>无</w:t>
            </w:r>
          </w:p>
        </w:tc>
      </w:tr>
    </w:tbl>
    <w:p w14:paraId="14A7815F">
      <w:pPr>
        <w:jc w:val="center"/>
        <w:rPr>
          <w:b/>
          <w:bCs/>
        </w:rPr>
      </w:pPr>
      <w:r>
        <w:rPr>
          <w:rFonts w:hint="eastAsia"/>
          <w:b/>
          <w:bCs/>
        </w:rPr>
        <w:drawing>
          <wp:anchor distT="0" distB="0" distL="114300" distR="114300" simplePos="0" relativeHeight="251670528" behindDoc="0" locked="0" layoutInCell="1" allowOverlap="1">
            <wp:simplePos x="0" y="0"/>
            <wp:positionH relativeFrom="column">
              <wp:posOffset>19050</wp:posOffset>
            </wp:positionH>
            <wp:positionV relativeFrom="paragraph">
              <wp:posOffset>173990</wp:posOffset>
            </wp:positionV>
            <wp:extent cx="5269865" cy="4190365"/>
            <wp:effectExtent l="0" t="0" r="6985" b="635"/>
            <wp:wrapSquare wrapText="bothSides"/>
            <wp:docPr id="63" name="图片 63" descr="8f2fed25bf4066eefba3e289ba10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8f2fed25bf4066eefba3e289ba1012d"/>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269865" cy="4190365"/>
                    </a:xfrm>
                    <a:prstGeom prst="rect">
                      <a:avLst/>
                    </a:prstGeom>
                  </pic:spPr>
                </pic:pic>
              </a:graphicData>
            </a:graphic>
          </wp:anchor>
        </w:drawing>
      </w:r>
      <w:r>
        <w:rPr>
          <w:rFonts w:hint="eastAsia"/>
          <w:b/>
          <w:bCs/>
        </w:rPr>
        <w:t>环保措施、排气筒拆除及新建情况图</w:t>
      </w:r>
    </w:p>
    <w:p w14:paraId="6203A0A3">
      <w:pPr>
        <w:pStyle w:val="4"/>
        <w:numPr>
          <w:ilvl w:val="2"/>
          <w:numId w:val="0"/>
        </w:numPr>
        <w:ind w:left="992" w:leftChars="0" w:hanging="992" w:firstLineChars="0"/>
        <w:rPr>
          <w:u w:val="single"/>
        </w:rPr>
      </w:pPr>
      <w:r>
        <w:rPr>
          <w:rFonts w:hint="default" w:ascii="宋体" w:hAnsi="宋体" w:eastAsia="宋体" w:cs="宋体"/>
          <w:b/>
          <w:bCs/>
          <w:kern w:val="2"/>
          <w:sz w:val="24"/>
          <w:szCs w:val="24"/>
          <w:u w:val="single"/>
          <w:lang w:val="en-US" w:eastAsia="zh-CN" w:bidi="ar-SA"/>
        </w:rPr>
        <w:t>4.1.4</w:t>
      </w:r>
      <w:r>
        <w:rPr>
          <w:rFonts w:hint="eastAsia"/>
          <w:u w:val="single"/>
        </w:rPr>
        <w:t>设备产能匹配性分析</w:t>
      </w:r>
    </w:p>
    <w:p w14:paraId="70DDC182">
      <w:pPr>
        <w:ind w:firstLine="439" w:firstLineChars="183"/>
        <w:rPr>
          <w:u w:val="single"/>
        </w:rPr>
      </w:pPr>
      <w:r>
        <w:rPr>
          <w:rFonts w:hint="eastAsia"/>
          <w:u w:val="single"/>
        </w:rPr>
        <w:t>本次变更在不增加设备数量的情况下，通过合理布局，优化工艺流程，提高生产节拍进一步增加产能。通过设备安装后的测试，在原计划生产时长下，满负荷情况可实现</w:t>
      </w:r>
      <w:r>
        <w:rPr>
          <w:rFonts w:hint="eastAsia"/>
          <w:u w:val="single"/>
          <w:lang w:val="en-US" w:eastAsia="zh-CN"/>
        </w:rPr>
        <w:t>26800</w:t>
      </w:r>
      <w:r>
        <w:rPr>
          <w:rFonts w:hint="eastAsia"/>
          <w:u w:val="single"/>
        </w:rPr>
        <w:t>t/a的印刷制品生产。根据企业提供的测试数据，变更后的产能匹配性分析如下：</w:t>
      </w:r>
    </w:p>
    <w:p w14:paraId="10C0E6EE">
      <w:pPr>
        <w:ind w:firstLine="200" w:firstLineChars="83"/>
        <w:rPr>
          <w:b/>
          <w:u w:val="single"/>
        </w:rPr>
      </w:pPr>
      <w:r>
        <w:rPr>
          <w:b/>
          <w:u w:val="single"/>
        </w:rPr>
        <w:t>（1）凹版印刷机产能匹配性分析</w:t>
      </w:r>
    </w:p>
    <w:p w14:paraId="3F13F14B">
      <w:pPr>
        <w:ind w:firstLine="482"/>
        <w:rPr>
          <w:u w:val="single"/>
        </w:rPr>
      </w:pPr>
      <w:r>
        <w:rPr>
          <w:rFonts w:hint="eastAsia" w:ascii="宋体" w:hAnsi="宋体" w:cs="宋体"/>
          <w:u w:val="single"/>
        </w:rPr>
        <w:t>①</w:t>
      </w:r>
      <w:r>
        <w:rPr>
          <w:u w:val="single"/>
        </w:rPr>
        <w:t>新增设备：改扩建新增3台凹版印刷机，每天生产时间最长为24小时，运行天数按340天，其中2台转速</w:t>
      </w:r>
      <w:r>
        <w:rPr>
          <w:rFonts w:hint="eastAsia"/>
          <w:u w:val="single"/>
        </w:rPr>
        <w:t>实际可达800</w:t>
      </w:r>
      <w:r>
        <w:rPr>
          <w:u w:val="single"/>
        </w:rPr>
        <w:t>m/min</w:t>
      </w:r>
      <w:r>
        <w:rPr>
          <w:rFonts w:hint="eastAsia"/>
          <w:u w:val="single"/>
        </w:rPr>
        <w:t>（原400）</w:t>
      </w:r>
      <w:r>
        <w:rPr>
          <w:u w:val="single"/>
        </w:rPr>
        <w:t>，1台转速为</w:t>
      </w:r>
      <w:r>
        <w:rPr>
          <w:rFonts w:hint="eastAsia"/>
          <w:u w:val="single"/>
        </w:rPr>
        <w:t>6</w:t>
      </w:r>
      <w:r>
        <w:rPr>
          <w:u w:val="single"/>
        </w:rPr>
        <w:t>00m/min</w:t>
      </w:r>
      <w:r>
        <w:rPr>
          <w:rFonts w:hint="eastAsia"/>
          <w:u w:val="single"/>
        </w:rPr>
        <w:t>（原300）</w:t>
      </w:r>
      <w:r>
        <w:rPr>
          <w:u w:val="single"/>
        </w:rPr>
        <w:t>。</w:t>
      </w:r>
    </w:p>
    <w:p w14:paraId="0B0F4240">
      <w:pPr>
        <w:ind w:firstLine="482"/>
        <w:rPr>
          <w:u w:val="single"/>
        </w:rPr>
      </w:pPr>
      <w:r>
        <w:rPr>
          <w:rFonts w:hint="eastAsia"/>
          <w:u w:val="single"/>
        </w:rPr>
        <w:t>②淘汰设备：</w:t>
      </w:r>
      <w:r>
        <w:rPr>
          <w:u w:val="single"/>
        </w:rPr>
        <w:t>淘汰的3台凹版印刷机，每天生产时间最长为24小时，运行天数按300天，其中2台转速为150m/min，1台转速为120m/min。</w:t>
      </w:r>
    </w:p>
    <w:p w14:paraId="76F97140">
      <w:pPr>
        <w:ind w:firstLine="482"/>
        <w:rPr>
          <w:u w:val="single"/>
        </w:rPr>
      </w:pPr>
      <w:r>
        <w:rPr>
          <w:rFonts w:hint="eastAsia"/>
          <w:u w:val="single"/>
        </w:rPr>
        <w:t>③利旧设备</w:t>
      </w:r>
      <w:r>
        <w:rPr>
          <w:u w:val="single"/>
        </w:rPr>
        <w:t>（不变）</w:t>
      </w:r>
      <w:r>
        <w:rPr>
          <w:rFonts w:hint="eastAsia"/>
          <w:u w:val="single"/>
        </w:rPr>
        <w:t>：</w:t>
      </w:r>
      <w:r>
        <w:rPr>
          <w:u w:val="single"/>
        </w:rPr>
        <w:t>每天生产时间最长为24小时，运行天数按340天，利旧共</w:t>
      </w:r>
      <w:r>
        <w:rPr>
          <w:rFonts w:hint="eastAsia"/>
          <w:u w:val="single"/>
        </w:rPr>
        <w:t>4台设备，其中</w:t>
      </w:r>
      <w:r>
        <w:rPr>
          <w:u w:val="single"/>
        </w:rPr>
        <w:t>的3台转速为</w:t>
      </w:r>
      <w:r>
        <w:rPr>
          <w:rFonts w:hint="eastAsia"/>
          <w:u w:val="single"/>
        </w:rPr>
        <w:t>300</w:t>
      </w:r>
      <w:r>
        <w:rPr>
          <w:u w:val="single"/>
        </w:rPr>
        <w:t>m/min</w:t>
      </w:r>
      <w:r>
        <w:rPr>
          <w:rFonts w:hint="eastAsia"/>
          <w:u w:val="single"/>
        </w:rPr>
        <w:t>（原设计130）</w:t>
      </w:r>
      <w:r>
        <w:rPr>
          <w:u w:val="single"/>
        </w:rPr>
        <w:t>，1台转速为</w:t>
      </w:r>
      <w:r>
        <w:rPr>
          <w:rFonts w:hint="eastAsia"/>
          <w:u w:val="single"/>
        </w:rPr>
        <w:t>6</w:t>
      </w:r>
      <w:r>
        <w:rPr>
          <w:u w:val="single"/>
        </w:rPr>
        <w:t>00m/min</w:t>
      </w:r>
      <w:r>
        <w:rPr>
          <w:rFonts w:hint="eastAsia"/>
          <w:u w:val="single"/>
        </w:rPr>
        <w:t>（原设计300）</w:t>
      </w:r>
      <w:r>
        <w:rPr>
          <w:u w:val="single"/>
        </w:rPr>
        <w:t>。</w:t>
      </w:r>
    </w:p>
    <w:p w14:paraId="0AF059A6">
      <w:pPr>
        <w:ind w:firstLine="482"/>
        <w:rPr>
          <w:b/>
          <w:u w:val="single"/>
        </w:rPr>
      </w:pPr>
      <w:r>
        <w:rPr>
          <w:rFonts w:hint="eastAsia" w:ascii="宋体" w:hAnsi="宋体" w:cs="宋体"/>
          <w:b/>
          <w:u w:val="single"/>
        </w:rPr>
        <w:t>④</w:t>
      </w:r>
      <w:r>
        <w:rPr>
          <w:b/>
          <w:u w:val="single"/>
        </w:rPr>
        <w:t>变更前产能计算：</w:t>
      </w:r>
    </w:p>
    <w:p w14:paraId="2131D2B3">
      <w:pPr>
        <w:ind w:firstLine="480"/>
        <w:rPr>
          <w:u w:val="single"/>
        </w:rPr>
      </w:pPr>
      <w:r>
        <w:rPr>
          <w:u w:val="single"/>
        </w:rPr>
        <w:t>印刷产能：1790m/min，（3×130+2×300+2×400=1790）；</w:t>
      </w:r>
    </w:p>
    <w:p w14:paraId="235F4DBC">
      <w:pPr>
        <w:ind w:firstLine="482"/>
        <w:rPr>
          <w:b/>
          <w:u w:val="single"/>
        </w:rPr>
      </w:pPr>
      <w:r>
        <w:rPr>
          <w:rFonts w:hint="eastAsia"/>
          <w:b/>
          <w:u w:val="single"/>
        </w:rPr>
        <w:t>⑤变更后产能计算：</w:t>
      </w:r>
    </w:p>
    <w:p w14:paraId="63897709">
      <w:pPr>
        <w:ind w:firstLine="480"/>
        <w:rPr>
          <w:u w:val="single"/>
        </w:rPr>
      </w:pPr>
      <w:r>
        <w:rPr>
          <w:u w:val="single"/>
        </w:rPr>
        <w:t>印刷3</w:t>
      </w:r>
      <w:r>
        <w:rPr>
          <w:rFonts w:hint="eastAsia"/>
          <w:u w:val="single"/>
        </w:rPr>
        <w:t>7</w:t>
      </w:r>
      <w:r>
        <w:rPr>
          <w:u w:val="single"/>
        </w:rPr>
        <w:t>00m/min，（3×</w:t>
      </w:r>
      <w:r>
        <w:rPr>
          <w:rFonts w:hint="eastAsia"/>
          <w:u w:val="single"/>
        </w:rPr>
        <w:t>300</w:t>
      </w:r>
      <w:r>
        <w:rPr>
          <w:u w:val="single"/>
        </w:rPr>
        <w:t>+2×</w:t>
      </w:r>
      <w:r>
        <w:rPr>
          <w:rFonts w:hint="eastAsia"/>
          <w:u w:val="single"/>
        </w:rPr>
        <w:t>6</w:t>
      </w:r>
      <w:r>
        <w:rPr>
          <w:u w:val="single"/>
        </w:rPr>
        <w:t>00+2×</w:t>
      </w:r>
      <w:r>
        <w:rPr>
          <w:rFonts w:hint="eastAsia"/>
          <w:u w:val="single"/>
        </w:rPr>
        <w:t>8</w:t>
      </w:r>
      <w:r>
        <w:rPr>
          <w:u w:val="single"/>
        </w:rPr>
        <w:t>00=</w:t>
      </w:r>
      <w:r>
        <w:rPr>
          <w:rFonts w:hint="eastAsia"/>
          <w:u w:val="single"/>
        </w:rPr>
        <w:t>3</w:t>
      </w:r>
      <w:r>
        <w:rPr>
          <w:u w:val="single"/>
        </w:rPr>
        <w:t>790）。</w:t>
      </w:r>
    </w:p>
    <w:p w14:paraId="07C39B71">
      <w:pPr>
        <w:ind w:firstLine="480"/>
        <w:rPr>
          <w:u w:val="single"/>
        </w:rPr>
      </w:pPr>
      <w:r>
        <w:rPr>
          <w:u w:val="single"/>
        </w:rPr>
        <w:t>变更后生产效率提升：</w:t>
      </w:r>
      <w:r>
        <w:rPr>
          <w:rFonts w:hint="eastAsia"/>
          <w:u w:val="single"/>
        </w:rPr>
        <w:t>3700</w:t>
      </w:r>
      <w:r>
        <w:rPr>
          <w:u w:val="single"/>
        </w:rPr>
        <w:t>÷</w:t>
      </w:r>
      <w:r>
        <w:rPr>
          <w:rFonts w:hint="eastAsia"/>
          <w:u w:val="single"/>
        </w:rPr>
        <w:t>1790</w:t>
      </w:r>
      <w:r>
        <w:rPr>
          <w:u w:val="single"/>
        </w:rPr>
        <w:t>=</w:t>
      </w:r>
      <w:r>
        <w:rPr>
          <w:rFonts w:hint="eastAsia"/>
          <w:u w:val="single"/>
        </w:rPr>
        <w:t>2.07倍</w:t>
      </w:r>
      <w:r>
        <w:rPr>
          <w:u w:val="single"/>
        </w:rPr>
        <w:t>，年工作时间不变的情况下，变更后产能</w:t>
      </w:r>
      <w:r>
        <w:rPr>
          <w:rFonts w:hint="eastAsia"/>
          <w:u w:val="single"/>
          <w:lang w:val="en-US" w:eastAsia="zh-CN"/>
        </w:rPr>
        <w:t>268</w:t>
      </w:r>
      <w:r>
        <w:rPr>
          <w:u w:val="single"/>
        </w:rPr>
        <w:t>00÷1</w:t>
      </w:r>
      <w:r>
        <w:rPr>
          <w:rFonts w:hint="eastAsia"/>
          <w:u w:val="single"/>
        </w:rPr>
        <w:t>5000</w:t>
      </w:r>
      <w:r>
        <w:rPr>
          <w:u w:val="single"/>
        </w:rPr>
        <w:t>（现产能）=</w:t>
      </w:r>
      <w:r>
        <w:rPr>
          <w:rFonts w:hint="eastAsia"/>
          <w:u w:val="single"/>
          <w:lang w:val="en-US" w:eastAsia="zh-CN"/>
        </w:rPr>
        <w:t>1.8</w:t>
      </w:r>
      <w:r>
        <w:rPr>
          <w:u w:val="single"/>
        </w:rPr>
        <w:t>倍。</w:t>
      </w:r>
      <w:r>
        <w:rPr>
          <w:rFonts w:hint="eastAsia"/>
          <w:u w:val="single"/>
        </w:rPr>
        <w:t>2.07</w:t>
      </w:r>
      <w:r>
        <w:rPr>
          <w:u w:val="single"/>
        </w:rPr>
        <w:t>&gt;</w:t>
      </w:r>
      <w:r>
        <w:rPr>
          <w:rFonts w:hint="eastAsia"/>
          <w:u w:val="single"/>
          <w:lang w:val="en-US" w:eastAsia="zh-CN"/>
        </w:rPr>
        <w:t>1.8</w:t>
      </w:r>
      <w:r>
        <w:rPr>
          <w:u w:val="single"/>
        </w:rPr>
        <w:t>，因此现有印刷生产线能够满足本次变更扩产的需求。</w:t>
      </w:r>
    </w:p>
    <w:p w14:paraId="0D2E5CF3">
      <w:pPr>
        <w:ind w:firstLine="482"/>
        <w:rPr>
          <w:b/>
          <w:u w:val="single"/>
        </w:rPr>
      </w:pPr>
      <w:r>
        <w:rPr>
          <w:b/>
          <w:u w:val="single"/>
        </w:rPr>
        <w:t>（</w:t>
      </w:r>
      <w:r>
        <w:rPr>
          <w:rFonts w:hint="eastAsia"/>
          <w:b/>
          <w:u w:val="single"/>
        </w:rPr>
        <w:t>2</w:t>
      </w:r>
      <w:r>
        <w:rPr>
          <w:b/>
          <w:u w:val="single"/>
        </w:rPr>
        <w:t>）复合机产能匹配性分析</w:t>
      </w:r>
    </w:p>
    <w:p w14:paraId="30EF3194">
      <w:pPr>
        <w:ind w:firstLine="482"/>
        <w:rPr>
          <w:b/>
          <w:u w:val="single"/>
        </w:rPr>
      </w:pPr>
      <w:r>
        <w:rPr>
          <w:rFonts w:hint="eastAsia"/>
          <w:b/>
          <w:u w:val="single"/>
        </w:rPr>
        <w:t>新增设备：</w:t>
      </w:r>
    </w:p>
    <w:p w14:paraId="356F004A">
      <w:pPr>
        <w:ind w:firstLine="480"/>
        <w:rPr>
          <w:u w:val="single"/>
        </w:rPr>
      </w:pPr>
      <w:r>
        <w:rPr>
          <w:u w:val="single"/>
        </w:rPr>
        <w:t>新增3台干式复合机，运行天数按340天，</w:t>
      </w:r>
      <w:r>
        <w:rPr>
          <w:rFonts w:hint="eastAsia"/>
          <w:u w:val="single"/>
        </w:rPr>
        <w:t>3台转速分别为：700</w:t>
      </w:r>
      <w:r>
        <w:rPr>
          <w:u w:val="single"/>
        </w:rPr>
        <w:t>m/min（</w:t>
      </w:r>
      <w:r>
        <w:rPr>
          <w:rFonts w:hint="eastAsia"/>
          <w:u w:val="single"/>
        </w:rPr>
        <w:t>原设计350</w:t>
      </w:r>
      <w:r>
        <w:rPr>
          <w:u w:val="single"/>
        </w:rPr>
        <w:t>）</w:t>
      </w:r>
      <w:r>
        <w:rPr>
          <w:rFonts w:hint="eastAsia"/>
          <w:bCs/>
          <w:u w:val="single"/>
        </w:rPr>
        <w:t>、</w:t>
      </w:r>
      <w:r>
        <w:rPr>
          <w:rFonts w:hint="eastAsia"/>
          <w:u w:val="single"/>
        </w:rPr>
        <w:t>560</w:t>
      </w:r>
      <w:r>
        <w:rPr>
          <w:u w:val="single"/>
        </w:rPr>
        <w:t>m/min（</w:t>
      </w:r>
      <w:r>
        <w:rPr>
          <w:rFonts w:hint="eastAsia"/>
          <w:u w:val="single"/>
        </w:rPr>
        <w:t>原设计280</w:t>
      </w:r>
      <w:r>
        <w:rPr>
          <w:u w:val="single"/>
        </w:rPr>
        <w:t>）和</w:t>
      </w:r>
      <w:r>
        <w:rPr>
          <w:rFonts w:hint="eastAsia"/>
          <w:u w:val="single"/>
        </w:rPr>
        <w:t>450</w:t>
      </w:r>
      <w:r>
        <w:rPr>
          <w:u w:val="single"/>
        </w:rPr>
        <w:t>m/min（</w:t>
      </w:r>
      <w:r>
        <w:rPr>
          <w:rFonts w:hint="eastAsia"/>
          <w:u w:val="single"/>
        </w:rPr>
        <w:t>原设计200</w:t>
      </w:r>
      <w:r>
        <w:rPr>
          <w:u w:val="single"/>
        </w:rPr>
        <w:t>）。新增</w:t>
      </w:r>
      <w:r>
        <w:rPr>
          <w:rFonts w:hint="eastAsia"/>
          <w:u w:val="single"/>
        </w:rPr>
        <w:t>2台</w:t>
      </w:r>
      <w:r>
        <w:rPr>
          <w:u w:val="single"/>
        </w:rPr>
        <w:t>无溶剂复合机，运行天数按340天，</w:t>
      </w:r>
      <w:r>
        <w:rPr>
          <w:rFonts w:hint="eastAsia"/>
          <w:u w:val="single"/>
        </w:rPr>
        <w:t>转速均为900</w:t>
      </w:r>
      <w:r>
        <w:rPr>
          <w:u w:val="single"/>
        </w:rPr>
        <w:t>m/min（</w:t>
      </w:r>
      <w:r>
        <w:rPr>
          <w:rFonts w:hint="eastAsia"/>
          <w:u w:val="single"/>
        </w:rPr>
        <w:t>原设计450</w:t>
      </w:r>
      <w:r>
        <w:rPr>
          <w:u w:val="single"/>
        </w:rPr>
        <w:t>）。</w:t>
      </w:r>
    </w:p>
    <w:p w14:paraId="325B25B6">
      <w:pPr>
        <w:ind w:firstLine="482"/>
        <w:rPr>
          <w:b/>
          <w:u w:val="single"/>
        </w:rPr>
      </w:pPr>
      <w:r>
        <w:rPr>
          <w:rFonts w:hint="eastAsia"/>
          <w:b/>
          <w:u w:val="single"/>
        </w:rPr>
        <w:t>淘汰设备：</w:t>
      </w:r>
    </w:p>
    <w:p w14:paraId="68EBAF7F">
      <w:pPr>
        <w:ind w:firstLine="480"/>
        <w:rPr>
          <w:u w:val="single"/>
        </w:rPr>
      </w:pPr>
      <w:r>
        <w:rPr>
          <w:rFonts w:hint="eastAsia"/>
          <w:u w:val="single"/>
        </w:rPr>
        <w:t>淘汰6台</w:t>
      </w:r>
      <w:r>
        <w:rPr>
          <w:u w:val="single"/>
        </w:rPr>
        <w:t>式复合机，每天生产时间最长均为24小时，运行天数3</w:t>
      </w:r>
      <w:r>
        <w:rPr>
          <w:rFonts w:hint="eastAsia"/>
          <w:u w:val="single"/>
        </w:rPr>
        <w:t>0</w:t>
      </w:r>
      <w:r>
        <w:rPr>
          <w:u w:val="single"/>
        </w:rPr>
        <w:t>0天，其中</w:t>
      </w:r>
      <w:r>
        <w:rPr>
          <w:rFonts w:hint="eastAsia"/>
          <w:u w:val="single"/>
        </w:rPr>
        <w:t>3台</w:t>
      </w:r>
      <w:r>
        <w:rPr>
          <w:u w:val="single"/>
        </w:rPr>
        <w:t>100m/min</w:t>
      </w:r>
      <w:r>
        <w:rPr>
          <w:rFonts w:hint="eastAsia"/>
          <w:bCs/>
          <w:u w:val="single"/>
        </w:rPr>
        <w:t>、</w:t>
      </w:r>
      <w:r>
        <w:rPr>
          <w:u w:val="single"/>
        </w:rPr>
        <w:t>2台150m/min和1台120m/min。</w:t>
      </w:r>
    </w:p>
    <w:p w14:paraId="2C52CC6A">
      <w:pPr>
        <w:ind w:firstLine="482"/>
        <w:rPr>
          <w:b/>
          <w:u w:val="single"/>
        </w:rPr>
      </w:pPr>
      <w:r>
        <w:rPr>
          <w:rFonts w:hint="eastAsia"/>
          <w:b/>
          <w:u w:val="single"/>
        </w:rPr>
        <w:t>利旧设备：</w:t>
      </w:r>
    </w:p>
    <w:p w14:paraId="0AE89F79">
      <w:pPr>
        <w:ind w:firstLine="480"/>
        <w:rPr>
          <w:u w:val="single"/>
        </w:rPr>
      </w:pPr>
      <w:r>
        <w:rPr>
          <w:rFonts w:hint="eastAsia"/>
          <w:u w:val="single"/>
        </w:rPr>
        <w:t>利旧干式复合机1台，转速28</w:t>
      </w:r>
      <w:r>
        <w:rPr>
          <w:u w:val="single"/>
        </w:rPr>
        <w:t>0m/min（</w:t>
      </w:r>
      <w:r>
        <w:rPr>
          <w:rFonts w:hint="eastAsia"/>
          <w:u w:val="single"/>
        </w:rPr>
        <w:t>原设计100</w:t>
      </w:r>
      <w:r>
        <w:rPr>
          <w:u w:val="single"/>
        </w:rPr>
        <w:t>）；无溶剂复合机</w:t>
      </w:r>
      <w:r>
        <w:rPr>
          <w:rFonts w:hint="eastAsia"/>
          <w:u w:val="single"/>
        </w:rPr>
        <w:t>8台，转速均为700</w:t>
      </w:r>
      <w:r>
        <w:rPr>
          <w:u w:val="single"/>
        </w:rPr>
        <w:t>m/min（</w:t>
      </w:r>
      <w:r>
        <w:rPr>
          <w:rFonts w:hint="eastAsia"/>
          <w:u w:val="single"/>
        </w:rPr>
        <w:t>原设计350</w:t>
      </w:r>
      <w:r>
        <w:rPr>
          <w:u w:val="single"/>
        </w:rPr>
        <w:t>）；每天生产时间最长均为24小时，年运行天数均为</w:t>
      </w:r>
      <w:r>
        <w:rPr>
          <w:rFonts w:hint="eastAsia"/>
          <w:u w:val="single"/>
        </w:rPr>
        <w:t>300天。</w:t>
      </w:r>
    </w:p>
    <w:p w14:paraId="640B53CE">
      <w:pPr>
        <w:ind w:firstLine="482"/>
        <w:rPr>
          <w:b/>
          <w:u w:val="single"/>
        </w:rPr>
      </w:pPr>
      <w:r>
        <w:rPr>
          <w:b/>
          <w:u w:val="single"/>
        </w:rPr>
        <w:t>变更前产能：</w:t>
      </w:r>
    </w:p>
    <w:p w14:paraId="001D20E3">
      <w:pPr>
        <w:ind w:firstLine="480"/>
        <w:rPr>
          <w:u w:val="single"/>
        </w:rPr>
      </w:pPr>
      <w:r>
        <w:rPr>
          <w:u w:val="single"/>
        </w:rPr>
        <w:t>可以实现4630m/min复合（350+280</w:t>
      </w:r>
      <w:r>
        <w:rPr>
          <w:rFonts w:hint="eastAsia"/>
          <w:u w:val="single"/>
        </w:rPr>
        <w:t>+200+2</w:t>
      </w:r>
      <w:r>
        <w:rPr>
          <w:u w:val="single"/>
        </w:rPr>
        <w:t>×</w:t>
      </w:r>
      <w:r>
        <w:rPr>
          <w:rFonts w:hint="eastAsia"/>
          <w:u w:val="single"/>
        </w:rPr>
        <w:t>450+100+8</w:t>
      </w:r>
      <w:r>
        <w:rPr>
          <w:u w:val="single"/>
        </w:rPr>
        <w:t>×</w:t>
      </w:r>
      <w:r>
        <w:rPr>
          <w:rFonts w:hint="eastAsia"/>
          <w:u w:val="single"/>
        </w:rPr>
        <w:t>350</w:t>
      </w:r>
      <w:r>
        <w:rPr>
          <w:u w:val="single"/>
        </w:rPr>
        <w:t>）。</w:t>
      </w:r>
    </w:p>
    <w:p w14:paraId="021C8C68">
      <w:pPr>
        <w:ind w:firstLine="482"/>
        <w:rPr>
          <w:b/>
          <w:u w:val="single"/>
        </w:rPr>
      </w:pPr>
      <w:r>
        <w:rPr>
          <w:rFonts w:hint="eastAsia"/>
          <w:b/>
          <w:u w:val="single"/>
        </w:rPr>
        <w:t>变更后产能：</w:t>
      </w:r>
    </w:p>
    <w:p w14:paraId="7C122F11">
      <w:pPr>
        <w:ind w:firstLine="480"/>
        <w:rPr>
          <w:u w:val="single"/>
        </w:rPr>
      </w:pPr>
      <w:r>
        <w:rPr>
          <w:u w:val="single"/>
        </w:rPr>
        <w:t>可以实现9390m/min复合（</w:t>
      </w:r>
      <w:r>
        <w:rPr>
          <w:rFonts w:hint="eastAsia"/>
          <w:u w:val="single"/>
        </w:rPr>
        <w:t>700</w:t>
      </w:r>
      <w:r>
        <w:rPr>
          <w:u w:val="single"/>
        </w:rPr>
        <w:t>+</w:t>
      </w:r>
      <w:r>
        <w:rPr>
          <w:rFonts w:hint="eastAsia"/>
          <w:u w:val="single"/>
        </w:rPr>
        <w:t>560</w:t>
      </w:r>
      <w:r>
        <w:rPr>
          <w:u w:val="single"/>
        </w:rPr>
        <w:t>+</w:t>
      </w:r>
      <w:r>
        <w:rPr>
          <w:rFonts w:hint="eastAsia"/>
          <w:u w:val="single"/>
        </w:rPr>
        <w:t>450</w:t>
      </w:r>
      <w:r>
        <w:rPr>
          <w:u w:val="single"/>
        </w:rPr>
        <w:t>+</w:t>
      </w:r>
      <w:r>
        <w:rPr>
          <w:rFonts w:hint="eastAsia"/>
          <w:u w:val="single"/>
        </w:rPr>
        <w:t>2</w:t>
      </w:r>
      <w:r>
        <w:rPr>
          <w:u w:val="single"/>
        </w:rPr>
        <w:t>×</w:t>
      </w:r>
      <w:r>
        <w:rPr>
          <w:rFonts w:hint="eastAsia"/>
          <w:u w:val="single"/>
        </w:rPr>
        <w:t>9</w:t>
      </w:r>
      <w:r>
        <w:rPr>
          <w:u w:val="single"/>
        </w:rPr>
        <w:t>00+</w:t>
      </w:r>
      <w:r>
        <w:rPr>
          <w:rFonts w:hint="eastAsia"/>
          <w:u w:val="single"/>
        </w:rPr>
        <w:t>280</w:t>
      </w:r>
      <w:r>
        <w:rPr>
          <w:u w:val="single"/>
        </w:rPr>
        <w:t>+8×</w:t>
      </w:r>
      <w:r>
        <w:rPr>
          <w:rFonts w:hint="eastAsia"/>
          <w:u w:val="single"/>
        </w:rPr>
        <w:t>700</w:t>
      </w:r>
      <w:r>
        <w:rPr>
          <w:u w:val="single"/>
        </w:rPr>
        <w:t>=</w:t>
      </w:r>
      <w:r>
        <w:rPr>
          <w:rFonts w:hint="eastAsia"/>
          <w:u w:val="single"/>
        </w:rPr>
        <w:t>9390</w:t>
      </w:r>
      <w:r>
        <w:rPr>
          <w:u w:val="single"/>
        </w:rPr>
        <w:t>）。生产效率</w:t>
      </w:r>
      <w:r>
        <w:rPr>
          <w:rFonts w:hint="eastAsia"/>
          <w:u w:val="single"/>
        </w:rPr>
        <w:t>9390</w:t>
      </w:r>
      <w:r>
        <w:rPr>
          <w:u w:val="single"/>
        </w:rPr>
        <w:t>÷</w:t>
      </w:r>
      <w:r>
        <w:rPr>
          <w:rFonts w:hint="eastAsia"/>
          <w:u w:val="single"/>
        </w:rPr>
        <w:t>4630</w:t>
      </w:r>
      <w:r>
        <w:rPr>
          <w:u w:val="single"/>
        </w:rPr>
        <w:t>=</w:t>
      </w:r>
      <w:r>
        <w:rPr>
          <w:rFonts w:hint="eastAsia"/>
          <w:u w:val="single"/>
        </w:rPr>
        <w:t>2.03</w:t>
      </w:r>
      <w:r>
        <w:rPr>
          <w:u w:val="single"/>
        </w:rPr>
        <w:t>倍，生产时间不变的情况下，</w:t>
      </w:r>
      <w:r>
        <w:rPr>
          <w:rFonts w:hint="eastAsia"/>
          <w:u w:val="single"/>
          <w:lang w:val="en-US" w:eastAsia="zh-CN"/>
        </w:rPr>
        <w:t>25800</w:t>
      </w:r>
      <w:r>
        <w:rPr>
          <w:u w:val="single"/>
        </w:rPr>
        <w:t>（变更后全厂产能）÷</w:t>
      </w:r>
      <w:r>
        <w:rPr>
          <w:rFonts w:hint="eastAsia"/>
          <w:u w:val="single"/>
        </w:rPr>
        <w:t>15000</w:t>
      </w:r>
      <w:r>
        <w:rPr>
          <w:u w:val="single"/>
        </w:rPr>
        <w:t>（现产能）=</w:t>
      </w:r>
      <w:r>
        <w:rPr>
          <w:rFonts w:hint="eastAsia"/>
          <w:u w:val="single"/>
          <w:lang w:val="en-US" w:eastAsia="zh-CN"/>
        </w:rPr>
        <w:t>1.8</w:t>
      </w:r>
      <w:r>
        <w:rPr>
          <w:u w:val="single"/>
        </w:rPr>
        <w:t>倍。</w:t>
      </w:r>
      <w:r>
        <w:rPr>
          <w:rFonts w:hint="eastAsia"/>
          <w:u w:val="single"/>
        </w:rPr>
        <w:t>2.03</w:t>
      </w:r>
      <w:r>
        <w:rPr>
          <w:u w:val="single"/>
        </w:rPr>
        <w:t>&gt;</w:t>
      </w:r>
      <w:r>
        <w:rPr>
          <w:rFonts w:hint="eastAsia"/>
          <w:u w:val="single"/>
          <w:lang w:val="en-US" w:eastAsia="zh-CN"/>
        </w:rPr>
        <w:t>1.8</w:t>
      </w:r>
      <w:r>
        <w:rPr>
          <w:u w:val="single"/>
        </w:rPr>
        <w:t>，因此能够满足本次变更扩产需求。</w:t>
      </w:r>
    </w:p>
    <w:p w14:paraId="5D07125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4.1.5</w:t>
      </w:r>
      <w:r>
        <w:rPr>
          <w:rFonts w:hint="eastAsia"/>
        </w:rPr>
        <w:t>原辅料使用及能源消耗</w:t>
      </w:r>
    </w:p>
    <w:p w14:paraId="4C47B84F">
      <w:pPr>
        <w:ind w:firstLine="482"/>
        <w:rPr>
          <w:b/>
          <w:bCs/>
        </w:rPr>
      </w:pPr>
      <w:r>
        <w:rPr>
          <w:rFonts w:hint="eastAsia" w:ascii="宋体" w:hAnsi="宋体" w:cs="宋体"/>
          <w:b/>
          <w:bCs/>
        </w:rPr>
        <w:t>1.</w:t>
      </w:r>
      <w:r>
        <w:rPr>
          <w:rFonts w:hint="eastAsia"/>
          <w:b/>
          <w:bCs/>
        </w:rPr>
        <w:t>原辅材料消耗</w:t>
      </w:r>
    </w:p>
    <w:p w14:paraId="7A201FCC">
      <w:pPr>
        <w:ind w:firstLine="480"/>
        <w:rPr>
          <w:rFonts w:hint="eastAsia"/>
        </w:rPr>
      </w:pPr>
      <w:r>
        <w:rPr>
          <w:rFonts w:hint="eastAsia"/>
        </w:rPr>
        <w:t>本项目</w:t>
      </w:r>
      <w:r>
        <w:rPr>
          <w:rFonts w:hint="eastAsia"/>
          <w:lang w:val="en-US" w:eastAsia="zh-CN"/>
        </w:rPr>
        <w:t>产品规格均以客户订单要求为准，近年来各类包装物的印刷要求越来越高，花纹越来越复杂、印刷面积也越来越大，因此项目的产品产量和油墨的消耗比例并不是一成不变的，油墨使用比例有日益上升的趋势，企业根据近三年的物料使用数据重新校核了各类原辅材料使用量，变动情况</w:t>
      </w:r>
      <w:r>
        <w:rPr>
          <w:rFonts w:hint="eastAsia"/>
        </w:rPr>
        <w:t>见下表。</w:t>
      </w:r>
    </w:p>
    <w:p w14:paraId="5EF20A7A">
      <w:pPr>
        <w:pStyle w:val="51"/>
        <w:numPr>
          <w:ilvl w:val="5"/>
          <w:numId w:val="0"/>
        </w:numPr>
        <w:spacing w:before="0" w:beforeLines="0" w:line="360" w:lineRule="auto"/>
        <w:ind w:left="305" w:leftChars="0" w:hanging="3260" w:firstLineChars="0"/>
        <w:rPr>
          <w:u w:val="single"/>
        </w:rPr>
      </w:pPr>
      <w:r>
        <w:rPr>
          <w:rFonts w:hint="eastAsia" w:ascii="宋体" w:hAnsi="宋体" w:cs="宋体"/>
          <w:b/>
          <w:bCs/>
          <w:color w:val="auto"/>
          <w:kern w:val="2"/>
          <w:sz w:val="21"/>
          <w:szCs w:val="21"/>
          <w:lang w:val="en-US" w:eastAsia="zh-CN" w:bidi="ar-SA"/>
        </w:rPr>
        <w:t xml:space="preserve">                              </w:t>
      </w: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表4.1-5 </w:t>
      </w:r>
      <w:r>
        <w:rPr>
          <w:rFonts w:hint="eastAsia"/>
          <w:u w:val="single"/>
        </w:rPr>
        <w:t xml:space="preserve"> </w:t>
      </w:r>
      <w:r>
        <w:rPr>
          <w:rFonts w:hint="eastAsia"/>
          <w:u w:val="single"/>
          <w:lang w:val="en-US" w:eastAsia="zh-CN"/>
        </w:rPr>
        <w:t xml:space="preserve">   </w:t>
      </w:r>
      <w:r>
        <w:rPr>
          <w:rFonts w:hint="eastAsia"/>
          <w:u w:val="single"/>
        </w:rPr>
        <w:t>产品原辅材料消耗情况一览表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560"/>
        <w:gridCol w:w="1354"/>
        <w:gridCol w:w="1260"/>
        <w:gridCol w:w="1275"/>
        <w:gridCol w:w="1416"/>
        <w:gridCol w:w="866"/>
        <w:gridCol w:w="906"/>
        <w:gridCol w:w="783"/>
      </w:tblGrid>
      <w:tr w14:paraId="54B56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Merge w:val="restart"/>
            <w:vAlign w:val="center"/>
          </w:tcPr>
          <w:p w14:paraId="01BAE322">
            <w:pPr>
              <w:adjustRightInd w:val="0"/>
              <w:snapToGrid w:val="0"/>
              <w:spacing w:line="240" w:lineRule="auto"/>
              <w:jc w:val="center"/>
              <w:rPr>
                <w:sz w:val="21"/>
                <w:szCs w:val="21"/>
                <w:u w:val="single"/>
              </w:rPr>
            </w:pPr>
            <w:r>
              <w:rPr>
                <w:sz w:val="21"/>
                <w:szCs w:val="21"/>
                <w:u w:val="single"/>
              </w:rPr>
              <w:t>序号</w:t>
            </w:r>
          </w:p>
        </w:tc>
        <w:tc>
          <w:tcPr>
            <w:tcW w:w="804" w:type="pct"/>
            <w:vMerge w:val="restart"/>
            <w:vAlign w:val="center"/>
          </w:tcPr>
          <w:p w14:paraId="7843F15F">
            <w:pPr>
              <w:adjustRightInd w:val="0"/>
              <w:snapToGrid w:val="0"/>
              <w:spacing w:line="240" w:lineRule="auto"/>
              <w:jc w:val="center"/>
              <w:rPr>
                <w:sz w:val="21"/>
                <w:szCs w:val="21"/>
                <w:u w:val="single"/>
              </w:rPr>
            </w:pPr>
            <w:r>
              <w:rPr>
                <w:sz w:val="21"/>
                <w:szCs w:val="21"/>
                <w:u w:val="single"/>
              </w:rPr>
              <w:t>名称</w:t>
            </w:r>
          </w:p>
        </w:tc>
        <w:tc>
          <w:tcPr>
            <w:tcW w:w="2346" w:type="pct"/>
            <w:gridSpan w:val="3"/>
            <w:vAlign w:val="center"/>
          </w:tcPr>
          <w:p w14:paraId="4F3BA35C">
            <w:pPr>
              <w:adjustRightInd w:val="0"/>
              <w:snapToGrid w:val="0"/>
              <w:spacing w:line="240" w:lineRule="auto"/>
              <w:jc w:val="center"/>
              <w:rPr>
                <w:sz w:val="21"/>
                <w:szCs w:val="21"/>
                <w:u w:val="single"/>
              </w:rPr>
            </w:pPr>
            <w:r>
              <w:rPr>
                <w:sz w:val="21"/>
                <w:szCs w:val="21"/>
                <w:u w:val="single"/>
              </w:rPr>
              <w:t>年用量</w:t>
            </w:r>
          </w:p>
        </w:tc>
        <w:tc>
          <w:tcPr>
            <w:tcW w:w="514" w:type="pct"/>
            <w:vMerge w:val="restart"/>
            <w:vAlign w:val="center"/>
          </w:tcPr>
          <w:p w14:paraId="017096E9">
            <w:pPr>
              <w:adjustRightInd w:val="0"/>
              <w:snapToGrid w:val="0"/>
              <w:spacing w:line="240" w:lineRule="auto"/>
              <w:jc w:val="center"/>
              <w:rPr>
                <w:sz w:val="21"/>
                <w:szCs w:val="21"/>
                <w:u w:val="single"/>
              </w:rPr>
            </w:pPr>
            <w:r>
              <w:rPr>
                <w:sz w:val="21"/>
                <w:szCs w:val="21"/>
                <w:u w:val="single"/>
              </w:rPr>
              <w:t>最大暂</w:t>
            </w:r>
          </w:p>
          <w:p w14:paraId="224FB87C">
            <w:pPr>
              <w:adjustRightInd w:val="0"/>
              <w:snapToGrid w:val="0"/>
              <w:spacing w:line="240" w:lineRule="auto"/>
              <w:jc w:val="center"/>
              <w:rPr>
                <w:sz w:val="21"/>
                <w:szCs w:val="21"/>
                <w:u w:val="single"/>
              </w:rPr>
            </w:pPr>
            <w:r>
              <w:rPr>
                <w:sz w:val="21"/>
                <w:szCs w:val="21"/>
                <w:u w:val="single"/>
              </w:rPr>
              <w:t>存量</w:t>
            </w:r>
          </w:p>
        </w:tc>
        <w:tc>
          <w:tcPr>
            <w:tcW w:w="1000" w:type="pct"/>
            <w:gridSpan w:val="2"/>
            <w:vMerge w:val="restart"/>
            <w:vAlign w:val="center"/>
          </w:tcPr>
          <w:p w14:paraId="1D0F61B3">
            <w:pPr>
              <w:adjustRightInd w:val="0"/>
              <w:snapToGrid w:val="0"/>
              <w:spacing w:line="240" w:lineRule="auto"/>
              <w:jc w:val="center"/>
              <w:rPr>
                <w:sz w:val="21"/>
                <w:szCs w:val="21"/>
                <w:u w:val="single"/>
              </w:rPr>
            </w:pPr>
            <w:r>
              <w:rPr>
                <w:sz w:val="21"/>
                <w:szCs w:val="21"/>
                <w:u w:val="single"/>
              </w:rPr>
              <w:t>备注</w:t>
            </w:r>
          </w:p>
        </w:tc>
      </w:tr>
      <w:tr w14:paraId="75F93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Merge w:val="continue"/>
            <w:vAlign w:val="center"/>
          </w:tcPr>
          <w:p w14:paraId="74C1DBA9">
            <w:pPr>
              <w:adjustRightInd w:val="0"/>
              <w:snapToGrid w:val="0"/>
              <w:spacing w:line="240" w:lineRule="auto"/>
              <w:jc w:val="center"/>
              <w:rPr>
                <w:sz w:val="21"/>
                <w:szCs w:val="21"/>
                <w:u w:val="single"/>
              </w:rPr>
            </w:pPr>
          </w:p>
        </w:tc>
        <w:tc>
          <w:tcPr>
            <w:tcW w:w="804" w:type="pct"/>
            <w:vMerge w:val="continue"/>
            <w:vAlign w:val="center"/>
          </w:tcPr>
          <w:p w14:paraId="55A9C0E4">
            <w:pPr>
              <w:adjustRightInd w:val="0"/>
              <w:snapToGrid w:val="0"/>
              <w:spacing w:line="240" w:lineRule="auto"/>
              <w:jc w:val="center"/>
              <w:rPr>
                <w:sz w:val="21"/>
                <w:szCs w:val="21"/>
                <w:u w:val="single"/>
              </w:rPr>
            </w:pPr>
          </w:p>
        </w:tc>
        <w:tc>
          <w:tcPr>
            <w:tcW w:w="748" w:type="pct"/>
            <w:vAlign w:val="center"/>
          </w:tcPr>
          <w:p w14:paraId="5B7C6F53">
            <w:pPr>
              <w:adjustRightInd w:val="0"/>
              <w:snapToGrid w:val="0"/>
              <w:spacing w:line="240" w:lineRule="auto"/>
              <w:jc w:val="center"/>
              <w:rPr>
                <w:sz w:val="21"/>
                <w:szCs w:val="21"/>
                <w:u w:val="single"/>
              </w:rPr>
            </w:pPr>
            <w:r>
              <w:rPr>
                <w:sz w:val="21"/>
                <w:szCs w:val="21"/>
                <w:u w:val="single"/>
              </w:rPr>
              <w:t>已批复用量</w:t>
            </w:r>
          </w:p>
        </w:tc>
        <w:tc>
          <w:tcPr>
            <w:tcW w:w="757" w:type="pct"/>
            <w:vAlign w:val="center"/>
          </w:tcPr>
          <w:p w14:paraId="26E4C795">
            <w:pPr>
              <w:adjustRightInd w:val="0"/>
              <w:snapToGrid w:val="0"/>
              <w:spacing w:line="240" w:lineRule="auto"/>
              <w:jc w:val="center"/>
              <w:rPr>
                <w:sz w:val="21"/>
                <w:szCs w:val="21"/>
                <w:u w:val="single"/>
              </w:rPr>
            </w:pPr>
            <w:r>
              <w:rPr>
                <w:sz w:val="21"/>
                <w:szCs w:val="21"/>
                <w:u w:val="single"/>
              </w:rPr>
              <w:t>变更情况</w:t>
            </w:r>
          </w:p>
        </w:tc>
        <w:tc>
          <w:tcPr>
            <w:tcW w:w="840" w:type="pct"/>
            <w:vAlign w:val="center"/>
          </w:tcPr>
          <w:p w14:paraId="4D2A903E">
            <w:pPr>
              <w:adjustRightInd w:val="0"/>
              <w:snapToGrid w:val="0"/>
              <w:spacing w:line="240" w:lineRule="auto"/>
              <w:jc w:val="center"/>
              <w:rPr>
                <w:sz w:val="21"/>
                <w:szCs w:val="21"/>
                <w:u w:val="single"/>
              </w:rPr>
            </w:pPr>
            <w:r>
              <w:rPr>
                <w:sz w:val="21"/>
                <w:szCs w:val="21"/>
                <w:u w:val="single"/>
              </w:rPr>
              <w:t>变更后用量</w:t>
            </w:r>
          </w:p>
        </w:tc>
        <w:tc>
          <w:tcPr>
            <w:tcW w:w="514" w:type="pct"/>
            <w:vMerge w:val="continue"/>
            <w:vAlign w:val="center"/>
          </w:tcPr>
          <w:p w14:paraId="34B871D8">
            <w:pPr>
              <w:adjustRightInd w:val="0"/>
              <w:snapToGrid w:val="0"/>
              <w:spacing w:line="240" w:lineRule="auto"/>
              <w:jc w:val="center"/>
              <w:rPr>
                <w:sz w:val="21"/>
                <w:szCs w:val="21"/>
                <w:u w:val="single"/>
              </w:rPr>
            </w:pPr>
          </w:p>
        </w:tc>
        <w:tc>
          <w:tcPr>
            <w:tcW w:w="1000" w:type="pct"/>
            <w:gridSpan w:val="2"/>
            <w:vMerge w:val="continue"/>
            <w:vAlign w:val="center"/>
          </w:tcPr>
          <w:p w14:paraId="15F345FA">
            <w:pPr>
              <w:adjustRightInd w:val="0"/>
              <w:snapToGrid w:val="0"/>
              <w:spacing w:line="240" w:lineRule="auto"/>
              <w:jc w:val="center"/>
              <w:rPr>
                <w:sz w:val="21"/>
                <w:szCs w:val="21"/>
                <w:u w:val="single"/>
              </w:rPr>
            </w:pPr>
          </w:p>
        </w:tc>
      </w:tr>
      <w:tr w14:paraId="680BCF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8"/>
            <w:vAlign w:val="center"/>
          </w:tcPr>
          <w:p w14:paraId="17AF04B1">
            <w:pPr>
              <w:adjustRightInd w:val="0"/>
              <w:snapToGrid w:val="0"/>
              <w:spacing w:line="240" w:lineRule="auto"/>
              <w:jc w:val="center"/>
              <w:rPr>
                <w:sz w:val="21"/>
                <w:szCs w:val="21"/>
                <w:u w:val="single"/>
              </w:rPr>
            </w:pPr>
            <w:r>
              <w:rPr>
                <w:sz w:val="21"/>
                <w:szCs w:val="21"/>
                <w:u w:val="single"/>
              </w:rPr>
              <w:t>一、主要原辅材料</w:t>
            </w:r>
            <w:r>
              <w:rPr>
                <w:rFonts w:hint="eastAsia"/>
                <w:sz w:val="21"/>
                <w:szCs w:val="21"/>
                <w:u w:val="single"/>
              </w:rPr>
              <w:t>（t/a）</w:t>
            </w:r>
          </w:p>
        </w:tc>
      </w:tr>
      <w:tr w14:paraId="771B4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0FB79FDC">
            <w:pPr>
              <w:adjustRightInd w:val="0"/>
              <w:snapToGrid w:val="0"/>
              <w:spacing w:line="240" w:lineRule="auto"/>
              <w:jc w:val="center"/>
              <w:rPr>
                <w:sz w:val="21"/>
                <w:szCs w:val="21"/>
                <w:u w:val="single"/>
              </w:rPr>
            </w:pPr>
            <w:r>
              <w:rPr>
                <w:sz w:val="21"/>
                <w:szCs w:val="21"/>
                <w:u w:val="single"/>
              </w:rPr>
              <w:t>1</w:t>
            </w:r>
          </w:p>
        </w:tc>
        <w:tc>
          <w:tcPr>
            <w:tcW w:w="804" w:type="pct"/>
            <w:vAlign w:val="center"/>
          </w:tcPr>
          <w:p w14:paraId="1078F444">
            <w:pPr>
              <w:adjustRightInd w:val="0"/>
              <w:snapToGrid w:val="0"/>
              <w:spacing w:line="240" w:lineRule="auto"/>
              <w:jc w:val="center"/>
              <w:rPr>
                <w:sz w:val="21"/>
                <w:szCs w:val="21"/>
                <w:u w:val="single"/>
              </w:rPr>
            </w:pPr>
            <w:r>
              <w:rPr>
                <w:sz w:val="21"/>
                <w:szCs w:val="21"/>
                <w:u w:val="single"/>
              </w:rPr>
              <w:t>聚丙烯薄膜</w:t>
            </w:r>
            <w:r>
              <w:rPr>
                <w:rFonts w:hint="eastAsia"/>
                <w:sz w:val="21"/>
                <w:szCs w:val="21"/>
                <w:u w:val="single"/>
              </w:rPr>
              <w:t>（</w:t>
            </w:r>
            <w:r>
              <w:rPr>
                <w:sz w:val="21"/>
                <w:szCs w:val="21"/>
                <w:u w:val="single"/>
              </w:rPr>
              <w:t>BOPP</w:t>
            </w:r>
            <w:r>
              <w:rPr>
                <w:rFonts w:hint="eastAsia"/>
                <w:sz w:val="21"/>
                <w:szCs w:val="21"/>
                <w:u w:val="single"/>
              </w:rPr>
              <w:t>）</w:t>
            </w:r>
          </w:p>
        </w:tc>
        <w:tc>
          <w:tcPr>
            <w:tcW w:w="748" w:type="pct"/>
            <w:vAlign w:val="center"/>
          </w:tcPr>
          <w:p w14:paraId="2A6252A8">
            <w:pPr>
              <w:adjustRightInd w:val="0"/>
              <w:snapToGrid w:val="0"/>
              <w:spacing w:line="240" w:lineRule="auto"/>
              <w:jc w:val="center"/>
              <w:rPr>
                <w:sz w:val="21"/>
                <w:szCs w:val="21"/>
                <w:u w:val="single"/>
              </w:rPr>
            </w:pPr>
            <w:r>
              <w:rPr>
                <w:rFonts w:hint="eastAsia"/>
                <w:sz w:val="21"/>
                <w:szCs w:val="21"/>
                <w:u w:val="single"/>
              </w:rPr>
              <w:t>6291</w:t>
            </w:r>
          </w:p>
        </w:tc>
        <w:tc>
          <w:tcPr>
            <w:tcW w:w="757" w:type="pct"/>
            <w:vAlign w:val="center"/>
          </w:tcPr>
          <w:p w14:paraId="4E3AEB1A">
            <w:pPr>
              <w:adjustRightInd w:val="0"/>
              <w:snapToGrid w:val="0"/>
              <w:spacing w:line="240" w:lineRule="auto"/>
              <w:jc w:val="center"/>
              <w:rPr>
                <w:sz w:val="21"/>
                <w:szCs w:val="21"/>
                <w:u w:val="single"/>
              </w:rPr>
            </w:pPr>
            <w:r>
              <w:rPr>
                <w:rFonts w:hint="eastAsia"/>
                <w:sz w:val="21"/>
                <w:szCs w:val="21"/>
                <w:u w:val="single"/>
              </w:rPr>
              <w:t>-1741</w:t>
            </w:r>
          </w:p>
        </w:tc>
        <w:tc>
          <w:tcPr>
            <w:tcW w:w="840" w:type="pct"/>
            <w:vAlign w:val="center"/>
          </w:tcPr>
          <w:p w14:paraId="0435C4CB">
            <w:pPr>
              <w:jc w:val="center"/>
              <w:rPr>
                <w:rFonts w:ascii="宋体" w:hAnsi="宋体" w:cs="宋体"/>
                <w:color w:val="000000"/>
                <w:sz w:val="22"/>
                <w:szCs w:val="22"/>
                <w:u w:val="single"/>
              </w:rPr>
            </w:pPr>
            <w:r>
              <w:rPr>
                <w:rFonts w:hint="eastAsia"/>
                <w:color w:val="000000"/>
                <w:sz w:val="22"/>
                <w:szCs w:val="22"/>
                <w:u w:val="single"/>
              </w:rPr>
              <w:t>4550</w:t>
            </w:r>
          </w:p>
        </w:tc>
        <w:tc>
          <w:tcPr>
            <w:tcW w:w="514" w:type="pct"/>
            <w:vAlign w:val="center"/>
          </w:tcPr>
          <w:p w14:paraId="28072DA6">
            <w:pPr>
              <w:adjustRightInd w:val="0"/>
              <w:snapToGrid w:val="0"/>
              <w:spacing w:line="240" w:lineRule="auto"/>
              <w:jc w:val="center"/>
              <w:rPr>
                <w:sz w:val="21"/>
                <w:szCs w:val="21"/>
                <w:u w:val="single"/>
              </w:rPr>
            </w:pPr>
            <w:r>
              <w:rPr>
                <w:rFonts w:hint="eastAsia"/>
                <w:sz w:val="21"/>
                <w:szCs w:val="21"/>
                <w:u w:val="single"/>
              </w:rPr>
              <w:t>200</w:t>
            </w:r>
          </w:p>
        </w:tc>
        <w:tc>
          <w:tcPr>
            <w:tcW w:w="1000" w:type="pct"/>
            <w:gridSpan w:val="2"/>
            <w:vAlign w:val="center"/>
          </w:tcPr>
          <w:p w14:paraId="15634FFD">
            <w:pPr>
              <w:adjustRightInd w:val="0"/>
              <w:snapToGrid w:val="0"/>
              <w:spacing w:line="240" w:lineRule="auto"/>
              <w:jc w:val="center"/>
              <w:rPr>
                <w:sz w:val="21"/>
                <w:szCs w:val="21"/>
                <w:u w:val="single"/>
              </w:rPr>
            </w:pPr>
            <w:r>
              <w:rPr>
                <w:sz w:val="21"/>
                <w:szCs w:val="21"/>
                <w:u w:val="single"/>
              </w:rPr>
              <w:t>双向拉伸聚丙烯薄膜，印刷工序材料</w:t>
            </w:r>
          </w:p>
        </w:tc>
      </w:tr>
      <w:tr w14:paraId="0F8A3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767467C8">
            <w:pPr>
              <w:adjustRightInd w:val="0"/>
              <w:snapToGrid w:val="0"/>
              <w:spacing w:line="240" w:lineRule="auto"/>
              <w:jc w:val="center"/>
              <w:rPr>
                <w:sz w:val="21"/>
                <w:szCs w:val="21"/>
                <w:u w:val="single"/>
              </w:rPr>
            </w:pPr>
            <w:r>
              <w:rPr>
                <w:sz w:val="21"/>
                <w:szCs w:val="21"/>
                <w:u w:val="single"/>
              </w:rPr>
              <w:t>2</w:t>
            </w:r>
          </w:p>
        </w:tc>
        <w:tc>
          <w:tcPr>
            <w:tcW w:w="804" w:type="pct"/>
            <w:vAlign w:val="center"/>
          </w:tcPr>
          <w:p w14:paraId="2ED72C3A">
            <w:pPr>
              <w:adjustRightInd w:val="0"/>
              <w:snapToGrid w:val="0"/>
              <w:spacing w:line="240" w:lineRule="auto"/>
              <w:jc w:val="center"/>
              <w:rPr>
                <w:sz w:val="21"/>
                <w:szCs w:val="21"/>
                <w:u w:val="single"/>
              </w:rPr>
            </w:pPr>
            <w:r>
              <w:rPr>
                <w:sz w:val="21"/>
                <w:szCs w:val="21"/>
                <w:u w:val="single"/>
              </w:rPr>
              <w:t>低密度聚乙烯薄膜</w:t>
            </w:r>
            <w:r>
              <w:rPr>
                <w:rFonts w:hint="eastAsia"/>
                <w:sz w:val="21"/>
                <w:szCs w:val="21"/>
                <w:u w:val="single"/>
              </w:rPr>
              <w:t>（</w:t>
            </w:r>
            <w:r>
              <w:rPr>
                <w:sz w:val="21"/>
                <w:szCs w:val="21"/>
                <w:u w:val="single"/>
              </w:rPr>
              <w:t>LDPE</w:t>
            </w:r>
            <w:r>
              <w:rPr>
                <w:rFonts w:hint="eastAsia"/>
                <w:sz w:val="21"/>
                <w:szCs w:val="21"/>
                <w:u w:val="single"/>
              </w:rPr>
              <w:t>）</w:t>
            </w:r>
          </w:p>
        </w:tc>
        <w:tc>
          <w:tcPr>
            <w:tcW w:w="748" w:type="pct"/>
            <w:vAlign w:val="center"/>
          </w:tcPr>
          <w:p w14:paraId="4B835687">
            <w:pPr>
              <w:adjustRightInd w:val="0"/>
              <w:snapToGrid w:val="0"/>
              <w:spacing w:line="240" w:lineRule="auto"/>
              <w:jc w:val="center"/>
              <w:rPr>
                <w:sz w:val="21"/>
                <w:szCs w:val="21"/>
                <w:u w:val="single"/>
              </w:rPr>
            </w:pPr>
            <w:r>
              <w:rPr>
                <w:rFonts w:hint="eastAsia"/>
                <w:sz w:val="21"/>
                <w:szCs w:val="21"/>
                <w:u w:val="single"/>
              </w:rPr>
              <w:t>4874</w:t>
            </w:r>
          </w:p>
        </w:tc>
        <w:tc>
          <w:tcPr>
            <w:tcW w:w="757" w:type="pct"/>
            <w:vAlign w:val="center"/>
          </w:tcPr>
          <w:p w14:paraId="73D58B33">
            <w:pPr>
              <w:adjustRightInd w:val="0"/>
              <w:snapToGrid w:val="0"/>
              <w:spacing w:line="240" w:lineRule="auto"/>
              <w:jc w:val="center"/>
              <w:rPr>
                <w:sz w:val="21"/>
                <w:szCs w:val="21"/>
                <w:u w:val="single"/>
              </w:rPr>
            </w:pPr>
            <w:r>
              <w:rPr>
                <w:rFonts w:hint="eastAsia"/>
                <w:sz w:val="21"/>
                <w:szCs w:val="21"/>
                <w:u w:val="single"/>
              </w:rPr>
              <w:t>+</w:t>
            </w:r>
            <w:r>
              <w:rPr>
                <w:sz w:val="21"/>
                <w:szCs w:val="21"/>
                <w:u w:val="single"/>
              </w:rPr>
              <w:t>5826</w:t>
            </w:r>
          </w:p>
        </w:tc>
        <w:tc>
          <w:tcPr>
            <w:tcW w:w="840" w:type="pct"/>
            <w:vAlign w:val="center"/>
          </w:tcPr>
          <w:p w14:paraId="1A6FA827">
            <w:pPr>
              <w:jc w:val="center"/>
              <w:rPr>
                <w:rFonts w:ascii="宋体" w:hAnsi="宋体" w:cs="宋体"/>
                <w:color w:val="000000"/>
                <w:sz w:val="22"/>
                <w:szCs w:val="22"/>
                <w:u w:val="single"/>
              </w:rPr>
            </w:pPr>
            <w:r>
              <w:rPr>
                <w:rFonts w:hint="eastAsia"/>
                <w:color w:val="000000"/>
                <w:sz w:val="22"/>
                <w:szCs w:val="22"/>
                <w:u w:val="single"/>
              </w:rPr>
              <w:t>10700</w:t>
            </w:r>
          </w:p>
        </w:tc>
        <w:tc>
          <w:tcPr>
            <w:tcW w:w="514" w:type="pct"/>
            <w:vAlign w:val="center"/>
          </w:tcPr>
          <w:p w14:paraId="60C0AAC4">
            <w:pPr>
              <w:adjustRightInd w:val="0"/>
              <w:snapToGrid w:val="0"/>
              <w:spacing w:line="240" w:lineRule="auto"/>
              <w:jc w:val="center"/>
              <w:rPr>
                <w:sz w:val="21"/>
                <w:szCs w:val="21"/>
                <w:u w:val="single"/>
              </w:rPr>
            </w:pPr>
            <w:r>
              <w:rPr>
                <w:rFonts w:hint="eastAsia"/>
                <w:sz w:val="21"/>
                <w:szCs w:val="21"/>
                <w:u w:val="single"/>
              </w:rPr>
              <w:t>800</w:t>
            </w:r>
          </w:p>
        </w:tc>
        <w:tc>
          <w:tcPr>
            <w:tcW w:w="1000" w:type="pct"/>
            <w:gridSpan w:val="2"/>
            <w:vAlign w:val="center"/>
          </w:tcPr>
          <w:p w14:paraId="2A648F74">
            <w:pPr>
              <w:adjustRightInd w:val="0"/>
              <w:snapToGrid w:val="0"/>
              <w:spacing w:line="240" w:lineRule="auto"/>
              <w:jc w:val="center"/>
              <w:rPr>
                <w:sz w:val="21"/>
                <w:szCs w:val="21"/>
                <w:u w:val="single"/>
              </w:rPr>
            </w:pPr>
            <w:r>
              <w:rPr>
                <w:sz w:val="21"/>
                <w:szCs w:val="21"/>
                <w:u w:val="single"/>
              </w:rPr>
              <w:t>印刷工序和复合工序材料</w:t>
            </w:r>
          </w:p>
        </w:tc>
      </w:tr>
      <w:tr w14:paraId="0197B7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5EB3064D">
            <w:pPr>
              <w:adjustRightInd w:val="0"/>
              <w:snapToGrid w:val="0"/>
              <w:spacing w:line="240" w:lineRule="auto"/>
              <w:jc w:val="center"/>
              <w:rPr>
                <w:sz w:val="21"/>
                <w:szCs w:val="21"/>
                <w:u w:val="single"/>
              </w:rPr>
            </w:pPr>
            <w:r>
              <w:rPr>
                <w:sz w:val="21"/>
                <w:szCs w:val="21"/>
                <w:u w:val="single"/>
              </w:rPr>
              <w:t>3</w:t>
            </w:r>
          </w:p>
        </w:tc>
        <w:tc>
          <w:tcPr>
            <w:tcW w:w="804" w:type="pct"/>
            <w:vAlign w:val="center"/>
          </w:tcPr>
          <w:p w14:paraId="543BB689">
            <w:pPr>
              <w:adjustRightInd w:val="0"/>
              <w:snapToGrid w:val="0"/>
              <w:spacing w:line="240" w:lineRule="auto"/>
              <w:jc w:val="center"/>
              <w:rPr>
                <w:sz w:val="21"/>
                <w:szCs w:val="21"/>
                <w:u w:val="single"/>
              </w:rPr>
            </w:pPr>
            <w:r>
              <w:rPr>
                <w:sz w:val="21"/>
                <w:szCs w:val="21"/>
                <w:u w:val="single"/>
              </w:rPr>
              <w:t>双向拉伸尼龙薄膜（BOPA</w:t>
            </w:r>
            <w:r>
              <w:rPr>
                <w:rFonts w:hint="eastAsia"/>
                <w:sz w:val="21"/>
                <w:szCs w:val="21"/>
                <w:u w:val="single"/>
              </w:rPr>
              <w:t>）</w:t>
            </w:r>
          </w:p>
        </w:tc>
        <w:tc>
          <w:tcPr>
            <w:tcW w:w="748" w:type="pct"/>
            <w:vAlign w:val="center"/>
          </w:tcPr>
          <w:p w14:paraId="6B13C446">
            <w:pPr>
              <w:adjustRightInd w:val="0"/>
              <w:snapToGrid w:val="0"/>
              <w:spacing w:line="240" w:lineRule="auto"/>
              <w:jc w:val="center"/>
              <w:rPr>
                <w:sz w:val="21"/>
                <w:szCs w:val="21"/>
                <w:u w:val="single"/>
              </w:rPr>
            </w:pPr>
            <w:r>
              <w:rPr>
                <w:rFonts w:hint="eastAsia"/>
                <w:sz w:val="21"/>
                <w:szCs w:val="21"/>
                <w:u w:val="single"/>
              </w:rPr>
              <w:t>1813</w:t>
            </w:r>
          </w:p>
        </w:tc>
        <w:tc>
          <w:tcPr>
            <w:tcW w:w="757" w:type="pct"/>
            <w:vAlign w:val="center"/>
          </w:tcPr>
          <w:p w14:paraId="44EC011C">
            <w:pPr>
              <w:adjustRightInd w:val="0"/>
              <w:snapToGrid w:val="0"/>
              <w:spacing w:line="240" w:lineRule="auto"/>
              <w:jc w:val="center"/>
              <w:rPr>
                <w:sz w:val="21"/>
                <w:szCs w:val="21"/>
                <w:u w:val="single"/>
              </w:rPr>
            </w:pPr>
            <w:r>
              <w:rPr>
                <w:rFonts w:hint="eastAsia"/>
                <w:sz w:val="21"/>
                <w:szCs w:val="21"/>
                <w:u w:val="single"/>
              </w:rPr>
              <w:t>-565</w:t>
            </w:r>
          </w:p>
        </w:tc>
        <w:tc>
          <w:tcPr>
            <w:tcW w:w="840" w:type="pct"/>
            <w:vAlign w:val="center"/>
          </w:tcPr>
          <w:p w14:paraId="3A0FCC3A">
            <w:pPr>
              <w:jc w:val="center"/>
              <w:rPr>
                <w:rFonts w:ascii="宋体" w:hAnsi="宋体" w:cs="宋体"/>
                <w:color w:val="000000"/>
                <w:sz w:val="22"/>
                <w:szCs w:val="22"/>
                <w:u w:val="single"/>
              </w:rPr>
            </w:pPr>
            <w:r>
              <w:rPr>
                <w:rFonts w:hint="eastAsia"/>
                <w:color w:val="000000"/>
                <w:sz w:val="22"/>
                <w:szCs w:val="22"/>
                <w:u w:val="single"/>
              </w:rPr>
              <w:t>1248</w:t>
            </w:r>
          </w:p>
        </w:tc>
        <w:tc>
          <w:tcPr>
            <w:tcW w:w="514" w:type="pct"/>
            <w:vAlign w:val="center"/>
          </w:tcPr>
          <w:p w14:paraId="0181D57E">
            <w:pPr>
              <w:adjustRightInd w:val="0"/>
              <w:snapToGrid w:val="0"/>
              <w:spacing w:line="240" w:lineRule="auto"/>
              <w:jc w:val="center"/>
              <w:rPr>
                <w:sz w:val="21"/>
                <w:szCs w:val="21"/>
                <w:u w:val="single"/>
              </w:rPr>
            </w:pPr>
            <w:r>
              <w:rPr>
                <w:rFonts w:hint="eastAsia"/>
                <w:sz w:val="21"/>
                <w:szCs w:val="21"/>
                <w:u w:val="single"/>
              </w:rPr>
              <w:t>200</w:t>
            </w:r>
          </w:p>
        </w:tc>
        <w:tc>
          <w:tcPr>
            <w:tcW w:w="1000" w:type="pct"/>
            <w:gridSpan w:val="2"/>
            <w:vAlign w:val="center"/>
          </w:tcPr>
          <w:p w14:paraId="04A79D69">
            <w:pPr>
              <w:adjustRightInd w:val="0"/>
              <w:snapToGrid w:val="0"/>
              <w:spacing w:line="240" w:lineRule="auto"/>
              <w:jc w:val="center"/>
              <w:rPr>
                <w:sz w:val="21"/>
                <w:szCs w:val="21"/>
                <w:u w:val="single"/>
              </w:rPr>
            </w:pPr>
            <w:r>
              <w:rPr>
                <w:sz w:val="21"/>
                <w:szCs w:val="21"/>
                <w:u w:val="single"/>
              </w:rPr>
              <w:t>印刷工序和复合工序材料</w:t>
            </w:r>
          </w:p>
        </w:tc>
      </w:tr>
      <w:tr w14:paraId="077772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2C56704A">
            <w:pPr>
              <w:adjustRightInd w:val="0"/>
              <w:snapToGrid w:val="0"/>
              <w:spacing w:line="240" w:lineRule="auto"/>
              <w:jc w:val="center"/>
              <w:rPr>
                <w:sz w:val="21"/>
                <w:szCs w:val="21"/>
                <w:u w:val="single"/>
              </w:rPr>
            </w:pPr>
            <w:r>
              <w:rPr>
                <w:sz w:val="21"/>
                <w:szCs w:val="21"/>
                <w:u w:val="single"/>
              </w:rPr>
              <w:t>4</w:t>
            </w:r>
          </w:p>
        </w:tc>
        <w:tc>
          <w:tcPr>
            <w:tcW w:w="804" w:type="pct"/>
            <w:vAlign w:val="center"/>
          </w:tcPr>
          <w:p w14:paraId="65441E71">
            <w:pPr>
              <w:adjustRightInd w:val="0"/>
              <w:snapToGrid w:val="0"/>
              <w:spacing w:line="240" w:lineRule="auto"/>
              <w:jc w:val="center"/>
              <w:rPr>
                <w:sz w:val="21"/>
                <w:szCs w:val="21"/>
                <w:u w:val="single"/>
              </w:rPr>
            </w:pPr>
            <w:r>
              <w:rPr>
                <w:sz w:val="21"/>
                <w:szCs w:val="21"/>
                <w:u w:val="single"/>
              </w:rPr>
              <w:t>流延聚丙烯薄膜（CPP）</w:t>
            </w:r>
          </w:p>
        </w:tc>
        <w:tc>
          <w:tcPr>
            <w:tcW w:w="748" w:type="pct"/>
            <w:vAlign w:val="center"/>
          </w:tcPr>
          <w:p w14:paraId="43AC042C">
            <w:pPr>
              <w:adjustRightInd w:val="0"/>
              <w:snapToGrid w:val="0"/>
              <w:spacing w:line="240" w:lineRule="auto"/>
              <w:jc w:val="center"/>
              <w:rPr>
                <w:sz w:val="21"/>
                <w:szCs w:val="21"/>
                <w:u w:val="single"/>
              </w:rPr>
            </w:pPr>
            <w:r>
              <w:rPr>
                <w:rFonts w:hint="eastAsia"/>
                <w:sz w:val="21"/>
                <w:szCs w:val="21"/>
                <w:u w:val="single"/>
              </w:rPr>
              <w:t>2816</w:t>
            </w:r>
          </w:p>
        </w:tc>
        <w:tc>
          <w:tcPr>
            <w:tcW w:w="757" w:type="pct"/>
            <w:vAlign w:val="center"/>
          </w:tcPr>
          <w:p w14:paraId="514E305A">
            <w:pPr>
              <w:adjustRightInd w:val="0"/>
              <w:snapToGrid w:val="0"/>
              <w:spacing w:line="240" w:lineRule="auto"/>
              <w:jc w:val="center"/>
              <w:rPr>
                <w:sz w:val="21"/>
                <w:szCs w:val="21"/>
                <w:u w:val="single"/>
              </w:rPr>
            </w:pPr>
            <w:r>
              <w:rPr>
                <w:rFonts w:hint="eastAsia"/>
                <w:sz w:val="21"/>
                <w:szCs w:val="21"/>
                <w:u w:val="single"/>
              </w:rPr>
              <w:t>+</w:t>
            </w:r>
            <w:r>
              <w:rPr>
                <w:sz w:val="21"/>
                <w:szCs w:val="21"/>
                <w:u w:val="single"/>
              </w:rPr>
              <w:t>3</w:t>
            </w:r>
            <w:r>
              <w:rPr>
                <w:rFonts w:hint="eastAsia"/>
                <w:sz w:val="21"/>
                <w:szCs w:val="21"/>
                <w:u w:val="single"/>
              </w:rPr>
              <w:t>7</w:t>
            </w:r>
            <w:r>
              <w:rPr>
                <w:sz w:val="21"/>
                <w:szCs w:val="21"/>
                <w:u w:val="single"/>
              </w:rPr>
              <w:t>24</w:t>
            </w:r>
          </w:p>
        </w:tc>
        <w:tc>
          <w:tcPr>
            <w:tcW w:w="840" w:type="pct"/>
            <w:vAlign w:val="center"/>
          </w:tcPr>
          <w:p w14:paraId="2C62D2DB">
            <w:pPr>
              <w:jc w:val="center"/>
              <w:rPr>
                <w:rFonts w:ascii="宋体" w:hAnsi="宋体" w:cs="宋体"/>
                <w:color w:val="000000"/>
                <w:sz w:val="22"/>
                <w:szCs w:val="22"/>
                <w:u w:val="single"/>
              </w:rPr>
            </w:pPr>
            <w:r>
              <w:rPr>
                <w:rFonts w:hint="eastAsia"/>
                <w:color w:val="000000"/>
                <w:sz w:val="22"/>
                <w:szCs w:val="22"/>
                <w:u w:val="single"/>
              </w:rPr>
              <w:t>6540</w:t>
            </w:r>
          </w:p>
        </w:tc>
        <w:tc>
          <w:tcPr>
            <w:tcW w:w="514" w:type="pct"/>
            <w:vAlign w:val="center"/>
          </w:tcPr>
          <w:p w14:paraId="455A9722">
            <w:pPr>
              <w:adjustRightInd w:val="0"/>
              <w:snapToGrid w:val="0"/>
              <w:spacing w:line="240" w:lineRule="auto"/>
              <w:jc w:val="center"/>
              <w:rPr>
                <w:sz w:val="21"/>
                <w:szCs w:val="21"/>
                <w:u w:val="single"/>
              </w:rPr>
            </w:pPr>
            <w:r>
              <w:rPr>
                <w:rFonts w:hint="eastAsia"/>
                <w:sz w:val="21"/>
                <w:szCs w:val="21"/>
                <w:u w:val="single"/>
              </w:rPr>
              <w:t>800</w:t>
            </w:r>
          </w:p>
        </w:tc>
        <w:tc>
          <w:tcPr>
            <w:tcW w:w="1000" w:type="pct"/>
            <w:gridSpan w:val="2"/>
            <w:vAlign w:val="center"/>
          </w:tcPr>
          <w:p w14:paraId="4A7D872D">
            <w:pPr>
              <w:adjustRightInd w:val="0"/>
              <w:snapToGrid w:val="0"/>
              <w:spacing w:line="240" w:lineRule="auto"/>
              <w:jc w:val="center"/>
              <w:rPr>
                <w:sz w:val="21"/>
                <w:szCs w:val="21"/>
                <w:u w:val="single"/>
              </w:rPr>
            </w:pPr>
            <w:r>
              <w:rPr>
                <w:sz w:val="21"/>
                <w:szCs w:val="21"/>
                <w:u w:val="single"/>
              </w:rPr>
              <w:t>又名聚丙烯薄膜，复合工序材料</w:t>
            </w:r>
          </w:p>
        </w:tc>
      </w:tr>
      <w:tr w14:paraId="6D25BA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4F19632A">
            <w:pPr>
              <w:adjustRightInd w:val="0"/>
              <w:snapToGrid w:val="0"/>
              <w:spacing w:line="240" w:lineRule="auto"/>
              <w:jc w:val="center"/>
              <w:rPr>
                <w:sz w:val="21"/>
                <w:szCs w:val="21"/>
                <w:u w:val="single"/>
              </w:rPr>
            </w:pPr>
            <w:r>
              <w:rPr>
                <w:sz w:val="21"/>
                <w:szCs w:val="21"/>
                <w:u w:val="single"/>
              </w:rPr>
              <w:t>5</w:t>
            </w:r>
          </w:p>
        </w:tc>
        <w:tc>
          <w:tcPr>
            <w:tcW w:w="804" w:type="pct"/>
            <w:vAlign w:val="center"/>
          </w:tcPr>
          <w:p w14:paraId="4E7C21CA">
            <w:pPr>
              <w:adjustRightInd w:val="0"/>
              <w:snapToGrid w:val="0"/>
              <w:spacing w:line="240" w:lineRule="auto"/>
              <w:jc w:val="center"/>
              <w:rPr>
                <w:sz w:val="21"/>
                <w:szCs w:val="21"/>
                <w:u w:val="single"/>
              </w:rPr>
            </w:pPr>
            <w:r>
              <w:rPr>
                <w:sz w:val="21"/>
                <w:szCs w:val="21"/>
                <w:u w:val="single"/>
              </w:rPr>
              <w:t>聚酯膜（</w:t>
            </w:r>
            <w:r>
              <w:rPr>
                <w:rFonts w:hint="eastAsia"/>
                <w:sz w:val="21"/>
                <w:szCs w:val="21"/>
                <w:u w:val="single"/>
              </w:rPr>
              <w:t>PET</w:t>
            </w:r>
            <w:r>
              <w:rPr>
                <w:sz w:val="21"/>
                <w:szCs w:val="21"/>
                <w:u w:val="single"/>
              </w:rPr>
              <w:t>）</w:t>
            </w:r>
          </w:p>
        </w:tc>
        <w:tc>
          <w:tcPr>
            <w:tcW w:w="748" w:type="pct"/>
            <w:vAlign w:val="center"/>
          </w:tcPr>
          <w:p w14:paraId="3D68D4F0">
            <w:pPr>
              <w:adjustRightInd w:val="0"/>
              <w:snapToGrid w:val="0"/>
              <w:spacing w:line="240" w:lineRule="auto"/>
              <w:jc w:val="center"/>
              <w:rPr>
                <w:sz w:val="21"/>
                <w:szCs w:val="21"/>
                <w:u w:val="single"/>
              </w:rPr>
            </w:pPr>
            <w:r>
              <w:rPr>
                <w:rFonts w:hint="eastAsia"/>
                <w:sz w:val="21"/>
                <w:szCs w:val="21"/>
                <w:u w:val="single"/>
              </w:rPr>
              <w:t>0</w:t>
            </w:r>
          </w:p>
        </w:tc>
        <w:tc>
          <w:tcPr>
            <w:tcW w:w="757" w:type="pct"/>
            <w:vAlign w:val="center"/>
          </w:tcPr>
          <w:p w14:paraId="77676FC9">
            <w:pPr>
              <w:jc w:val="center"/>
              <w:rPr>
                <w:rFonts w:ascii="宋体" w:hAnsi="宋体" w:cs="宋体"/>
                <w:color w:val="000000"/>
                <w:sz w:val="22"/>
                <w:szCs w:val="22"/>
                <w:u w:val="single"/>
              </w:rPr>
            </w:pPr>
            <w:r>
              <w:rPr>
                <w:rFonts w:hint="eastAsia"/>
                <w:color w:val="000000"/>
                <w:sz w:val="22"/>
                <w:szCs w:val="22"/>
                <w:u w:val="single"/>
              </w:rPr>
              <w:t>+4650</w:t>
            </w:r>
          </w:p>
        </w:tc>
        <w:tc>
          <w:tcPr>
            <w:tcW w:w="840" w:type="pct"/>
            <w:vAlign w:val="center"/>
          </w:tcPr>
          <w:p w14:paraId="0234891C">
            <w:pPr>
              <w:jc w:val="center"/>
              <w:rPr>
                <w:rFonts w:ascii="宋体" w:hAnsi="宋体" w:cs="宋体"/>
                <w:color w:val="000000"/>
                <w:sz w:val="22"/>
                <w:szCs w:val="22"/>
                <w:u w:val="single"/>
              </w:rPr>
            </w:pPr>
            <w:r>
              <w:rPr>
                <w:rFonts w:hint="eastAsia"/>
                <w:color w:val="000000"/>
                <w:sz w:val="22"/>
                <w:szCs w:val="22"/>
                <w:u w:val="single"/>
              </w:rPr>
              <w:t>4650</w:t>
            </w:r>
          </w:p>
        </w:tc>
        <w:tc>
          <w:tcPr>
            <w:tcW w:w="514" w:type="pct"/>
            <w:vAlign w:val="center"/>
          </w:tcPr>
          <w:p w14:paraId="41EBE7E1">
            <w:pPr>
              <w:adjustRightInd w:val="0"/>
              <w:snapToGrid w:val="0"/>
              <w:spacing w:line="240" w:lineRule="auto"/>
              <w:jc w:val="center"/>
              <w:rPr>
                <w:sz w:val="21"/>
                <w:szCs w:val="21"/>
                <w:u w:val="single"/>
              </w:rPr>
            </w:pPr>
            <w:r>
              <w:rPr>
                <w:rFonts w:hint="eastAsia"/>
                <w:sz w:val="21"/>
                <w:szCs w:val="21"/>
                <w:u w:val="single"/>
              </w:rPr>
              <w:t>500</w:t>
            </w:r>
          </w:p>
        </w:tc>
        <w:tc>
          <w:tcPr>
            <w:tcW w:w="1000" w:type="pct"/>
            <w:gridSpan w:val="2"/>
            <w:vAlign w:val="center"/>
          </w:tcPr>
          <w:p w14:paraId="1E3CDB9B">
            <w:pPr>
              <w:adjustRightInd w:val="0"/>
              <w:snapToGrid w:val="0"/>
              <w:spacing w:line="240" w:lineRule="auto"/>
              <w:jc w:val="center"/>
              <w:rPr>
                <w:sz w:val="21"/>
                <w:szCs w:val="21"/>
                <w:u w:val="single"/>
              </w:rPr>
            </w:pPr>
            <w:r>
              <w:rPr>
                <w:sz w:val="21"/>
                <w:szCs w:val="21"/>
                <w:u w:val="single"/>
              </w:rPr>
              <w:t>复合工序材料</w:t>
            </w:r>
          </w:p>
        </w:tc>
      </w:tr>
      <w:tr w14:paraId="6BBBDB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578415A7">
            <w:pPr>
              <w:adjustRightInd w:val="0"/>
              <w:snapToGrid w:val="0"/>
              <w:spacing w:line="240" w:lineRule="auto"/>
              <w:jc w:val="center"/>
              <w:rPr>
                <w:sz w:val="21"/>
                <w:szCs w:val="21"/>
                <w:u w:val="single"/>
              </w:rPr>
            </w:pPr>
            <w:r>
              <w:rPr>
                <w:sz w:val="21"/>
                <w:szCs w:val="21"/>
                <w:u w:val="single"/>
              </w:rPr>
              <w:t>6</w:t>
            </w:r>
          </w:p>
        </w:tc>
        <w:tc>
          <w:tcPr>
            <w:tcW w:w="804" w:type="pct"/>
            <w:vAlign w:val="center"/>
          </w:tcPr>
          <w:p w14:paraId="4ACB225E">
            <w:pPr>
              <w:adjustRightInd w:val="0"/>
              <w:snapToGrid w:val="0"/>
              <w:spacing w:line="240" w:lineRule="auto"/>
              <w:jc w:val="center"/>
              <w:rPr>
                <w:sz w:val="21"/>
                <w:szCs w:val="21"/>
                <w:u w:val="single"/>
              </w:rPr>
            </w:pPr>
            <w:r>
              <w:rPr>
                <w:rFonts w:hint="eastAsia"/>
                <w:sz w:val="21"/>
                <w:szCs w:val="21"/>
                <w:u w:val="single"/>
              </w:rPr>
              <w:t>AL铝箔</w:t>
            </w:r>
          </w:p>
        </w:tc>
        <w:tc>
          <w:tcPr>
            <w:tcW w:w="748" w:type="pct"/>
            <w:vAlign w:val="center"/>
          </w:tcPr>
          <w:p w14:paraId="0CCE63F1">
            <w:pPr>
              <w:adjustRightInd w:val="0"/>
              <w:snapToGrid w:val="0"/>
              <w:spacing w:line="240" w:lineRule="auto"/>
              <w:jc w:val="center"/>
              <w:rPr>
                <w:sz w:val="21"/>
                <w:szCs w:val="21"/>
                <w:u w:val="single"/>
              </w:rPr>
            </w:pPr>
            <w:r>
              <w:rPr>
                <w:rFonts w:hint="eastAsia"/>
                <w:sz w:val="21"/>
                <w:szCs w:val="21"/>
                <w:u w:val="single"/>
              </w:rPr>
              <w:t>0</w:t>
            </w:r>
          </w:p>
        </w:tc>
        <w:tc>
          <w:tcPr>
            <w:tcW w:w="757" w:type="pct"/>
            <w:vAlign w:val="center"/>
          </w:tcPr>
          <w:p w14:paraId="2BD53B7E">
            <w:pPr>
              <w:jc w:val="center"/>
              <w:rPr>
                <w:rFonts w:ascii="宋体" w:hAnsi="宋体" w:cs="宋体"/>
                <w:color w:val="000000"/>
                <w:sz w:val="22"/>
                <w:szCs w:val="22"/>
                <w:u w:val="single"/>
              </w:rPr>
            </w:pPr>
            <w:r>
              <w:rPr>
                <w:rFonts w:hint="eastAsia"/>
                <w:color w:val="000000"/>
                <w:sz w:val="22"/>
                <w:szCs w:val="22"/>
                <w:u w:val="single"/>
              </w:rPr>
              <w:t>+1700</w:t>
            </w:r>
          </w:p>
        </w:tc>
        <w:tc>
          <w:tcPr>
            <w:tcW w:w="840" w:type="pct"/>
            <w:vAlign w:val="center"/>
          </w:tcPr>
          <w:p w14:paraId="51C5E4B9">
            <w:pPr>
              <w:jc w:val="center"/>
              <w:rPr>
                <w:rFonts w:ascii="宋体" w:hAnsi="宋体" w:cs="宋体"/>
                <w:color w:val="000000"/>
                <w:sz w:val="22"/>
                <w:szCs w:val="22"/>
                <w:u w:val="single"/>
              </w:rPr>
            </w:pPr>
            <w:r>
              <w:rPr>
                <w:rFonts w:hint="eastAsia"/>
                <w:color w:val="000000"/>
                <w:sz w:val="22"/>
                <w:szCs w:val="22"/>
                <w:u w:val="single"/>
              </w:rPr>
              <w:t>1700</w:t>
            </w:r>
          </w:p>
        </w:tc>
        <w:tc>
          <w:tcPr>
            <w:tcW w:w="514" w:type="pct"/>
            <w:vAlign w:val="center"/>
          </w:tcPr>
          <w:p w14:paraId="06D8261E">
            <w:pPr>
              <w:adjustRightInd w:val="0"/>
              <w:snapToGrid w:val="0"/>
              <w:spacing w:line="240" w:lineRule="auto"/>
              <w:jc w:val="center"/>
              <w:rPr>
                <w:sz w:val="21"/>
                <w:szCs w:val="21"/>
                <w:u w:val="single"/>
              </w:rPr>
            </w:pPr>
            <w:r>
              <w:rPr>
                <w:rFonts w:hint="eastAsia"/>
                <w:sz w:val="21"/>
                <w:szCs w:val="21"/>
                <w:u w:val="single"/>
              </w:rPr>
              <w:t>150</w:t>
            </w:r>
          </w:p>
        </w:tc>
        <w:tc>
          <w:tcPr>
            <w:tcW w:w="1000" w:type="pct"/>
            <w:gridSpan w:val="2"/>
            <w:vAlign w:val="center"/>
          </w:tcPr>
          <w:p w14:paraId="3070DF71">
            <w:pPr>
              <w:adjustRightInd w:val="0"/>
              <w:snapToGrid w:val="0"/>
              <w:spacing w:line="240" w:lineRule="auto"/>
              <w:jc w:val="center"/>
              <w:rPr>
                <w:sz w:val="21"/>
                <w:szCs w:val="21"/>
                <w:u w:val="single"/>
              </w:rPr>
            </w:pPr>
            <w:r>
              <w:rPr>
                <w:sz w:val="21"/>
                <w:szCs w:val="21"/>
                <w:u w:val="single"/>
              </w:rPr>
              <w:t>复合工序材料</w:t>
            </w:r>
          </w:p>
        </w:tc>
      </w:tr>
      <w:tr w14:paraId="7B6FD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7ADD3A76">
            <w:pPr>
              <w:adjustRightInd w:val="0"/>
              <w:snapToGrid w:val="0"/>
              <w:spacing w:line="240" w:lineRule="auto"/>
              <w:jc w:val="center"/>
              <w:rPr>
                <w:sz w:val="21"/>
                <w:szCs w:val="21"/>
                <w:u w:val="single"/>
              </w:rPr>
            </w:pPr>
            <w:r>
              <w:rPr>
                <w:sz w:val="21"/>
                <w:szCs w:val="21"/>
                <w:u w:val="single"/>
              </w:rPr>
              <w:t>7</w:t>
            </w:r>
          </w:p>
        </w:tc>
        <w:tc>
          <w:tcPr>
            <w:tcW w:w="804" w:type="pct"/>
            <w:vAlign w:val="center"/>
          </w:tcPr>
          <w:p w14:paraId="158B053A">
            <w:pPr>
              <w:adjustRightInd w:val="0"/>
              <w:snapToGrid w:val="0"/>
              <w:spacing w:line="240" w:lineRule="auto"/>
              <w:jc w:val="center"/>
              <w:rPr>
                <w:sz w:val="21"/>
                <w:szCs w:val="21"/>
                <w:u w:val="single"/>
              </w:rPr>
            </w:pPr>
            <w:r>
              <w:rPr>
                <w:rFonts w:hint="eastAsia"/>
                <w:sz w:val="21"/>
                <w:szCs w:val="21"/>
                <w:u w:val="single"/>
              </w:rPr>
              <w:t>镭射膜</w:t>
            </w:r>
          </w:p>
        </w:tc>
        <w:tc>
          <w:tcPr>
            <w:tcW w:w="748" w:type="pct"/>
            <w:vAlign w:val="center"/>
          </w:tcPr>
          <w:p w14:paraId="58C66E4C">
            <w:pPr>
              <w:adjustRightInd w:val="0"/>
              <w:snapToGrid w:val="0"/>
              <w:spacing w:line="240" w:lineRule="auto"/>
              <w:jc w:val="center"/>
              <w:rPr>
                <w:sz w:val="21"/>
                <w:szCs w:val="21"/>
                <w:u w:val="single"/>
              </w:rPr>
            </w:pPr>
            <w:r>
              <w:rPr>
                <w:rFonts w:hint="eastAsia"/>
                <w:sz w:val="21"/>
                <w:szCs w:val="21"/>
                <w:u w:val="single"/>
              </w:rPr>
              <w:t>0</w:t>
            </w:r>
          </w:p>
        </w:tc>
        <w:tc>
          <w:tcPr>
            <w:tcW w:w="757" w:type="pct"/>
            <w:vAlign w:val="center"/>
          </w:tcPr>
          <w:p w14:paraId="1FC7B763">
            <w:pPr>
              <w:jc w:val="center"/>
              <w:rPr>
                <w:rFonts w:ascii="宋体" w:hAnsi="宋体" w:cs="宋体"/>
                <w:color w:val="000000"/>
                <w:sz w:val="22"/>
                <w:szCs w:val="22"/>
                <w:u w:val="single"/>
              </w:rPr>
            </w:pPr>
            <w:r>
              <w:rPr>
                <w:rFonts w:hint="eastAsia"/>
                <w:color w:val="000000"/>
                <w:sz w:val="22"/>
                <w:szCs w:val="22"/>
                <w:u w:val="single"/>
              </w:rPr>
              <w:t>+210</w:t>
            </w:r>
          </w:p>
        </w:tc>
        <w:tc>
          <w:tcPr>
            <w:tcW w:w="840" w:type="pct"/>
            <w:vAlign w:val="center"/>
          </w:tcPr>
          <w:p w14:paraId="1C42B669">
            <w:pPr>
              <w:jc w:val="center"/>
              <w:rPr>
                <w:rFonts w:ascii="宋体" w:hAnsi="宋体" w:cs="宋体"/>
                <w:color w:val="000000"/>
                <w:sz w:val="22"/>
                <w:szCs w:val="22"/>
                <w:u w:val="single"/>
              </w:rPr>
            </w:pPr>
            <w:r>
              <w:rPr>
                <w:rFonts w:hint="eastAsia"/>
                <w:color w:val="000000"/>
                <w:sz w:val="22"/>
                <w:szCs w:val="22"/>
                <w:u w:val="single"/>
              </w:rPr>
              <w:t>210</w:t>
            </w:r>
          </w:p>
        </w:tc>
        <w:tc>
          <w:tcPr>
            <w:tcW w:w="514" w:type="pct"/>
            <w:vAlign w:val="center"/>
          </w:tcPr>
          <w:p w14:paraId="44D7B212">
            <w:pPr>
              <w:adjustRightInd w:val="0"/>
              <w:snapToGrid w:val="0"/>
              <w:spacing w:line="240" w:lineRule="auto"/>
              <w:jc w:val="center"/>
              <w:rPr>
                <w:sz w:val="21"/>
                <w:szCs w:val="21"/>
                <w:u w:val="single"/>
              </w:rPr>
            </w:pPr>
            <w:r>
              <w:rPr>
                <w:rFonts w:hint="eastAsia"/>
                <w:sz w:val="21"/>
                <w:szCs w:val="21"/>
                <w:u w:val="single"/>
              </w:rPr>
              <w:t>30</w:t>
            </w:r>
          </w:p>
        </w:tc>
        <w:tc>
          <w:tcPr>
            <w:tcW w:w="1000" w:type="pct"/>
            <w:gridSpan w:val="2"/>
            <w:vAlign w:val="center"/>
          </w:tcPr>
          <w:p w14:paraId="76D43AFA">
            <w:pPr>
              <w:adjustRightInd w:val="0"/>
              <w:snapToGrid w:val="0"/>
              <w:spacing w:line="240" w:lineRule="auto"/>
              <w:jc w:val="center"/>
              <w:rPr>
                <w:sz w:val="21"/>
                <w:szCs w:val="21"/>
                <w:u w:val="single"/>
              </w:rPr>
            </w:pPr>
            <w:r>
              <w:rPr>
                <w:sz w:val="21"/>
                <w:szCs w:val="21"/>
                <w:u w:val="single"/>
              </w:rPr>
              <w:t>复合工序材料</w:t>
            </w:r>
          </w:p>
        </w:tc>
      </w:tr>
      <w:tr w14:paraId="028D8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5DAED6C2">
            <w:pPr>
              <w:adjustRightInd w:val="0"/>
              <w:snapToGrid w:val="0"/>
              <w:spacing w:line="240" w:lineRule="auto"/>
              <w:jc w:val="center"/>
              <w:rPr>
                <w:sz w:val="21"/>
                <w:szCs w:val="21"/>
                <w:u w:val="single"/>
              </w:rPr>
            </w:pPr>
            <w:r>
              <w:rPr>
                <w:sz w:val="21"/>
                <w:szCs w:val="21"/>
                <w:u w:val="single"/>
              </w:rPr>
              <w:t>8</w:t>
            </w:r>
          </w:p>
        </w:tc>
        <w:tc>
          <w:tcPr>
            <w:tcW w:w="804" w:type="pct"/>
            <w:vAlign w:val="center"/>
          </w:tcPr>
          <w:p w14:paraId="0AF81F47">
            <w:pPr>
              <w:adjustRightInd w:val="0"/>
              <w:snapToGrid w:val="0"/>
              <w:spacing w:line="240" w:lineRule="auto"/>
              <w:jc w:val="center"/>
              <w:rPr>
                <w:sz w:val="21"/>
                <w:szCs w:val="21"/>
                <w:u w:val="single"/>
              </w:rPr>
            </w:pPr>
            <w:r>
              <w:rPr>
                <w:sz w:val="21"/>
                <w:szCs w:val="21"/>
                <w:u w:val="single"/>
              </w:rPr>
              <w:t>油墨</w:t>
            </w:r>
          </w:p>
        </w:tc>
        <w:tc>
          <w:tcPr>
            <w:tcW w:w="748" w:type="pct"/>
            <w:vAlign w:val="center"/>
          </w:tcPr>
          <w:p w14:paraId="0E93CA9B">
            <w:pPr>
              <w:adjustRightInd w:val="0"/>
              <w:snapToGrid w:val="0"/>
              <w:spacing w:line="240" w:lineRule="auto"/>
              <w:jc w:val="center"/>
              <w:rPr>
                <w:sz w:val="21"/>
                <w:szCs w:val="21"/>
                <w:u w:val="single"/>
              </w:rPr>
            </w:pPr>
            <w:r>
              <w:rPr>
                <w:sz w:val="21"/>
                <w:szCs w:val="21"/>
                <w:u w:val="single"/>
              </w:rPr>
              <w:t>5</w:t>
            </w:r>
            <w:r>
              <w:rPr>
                <w:rFonts w:hint="eastAsia"/>
                <w:sz w:val="21"/>
                <w:szCs w:val="21"/>
                <w:u w:val="single"/>
              </w:rPr>
              <w:t>60</w:t>
            </w:r>
          </w:p>
        </w:tc>
        <w:tc>
          <w:tcPr>
            <w:tcW w:w="757" w:type="pct"/>
            <w:vAlign w:val="center"/>
          </w:tcPr>
          <w:p w14:paraId="65B47027">
            <w:pPr>
              <w:adjustRightInd w:val="0"/>
              <w:snapToGrid w:val="0"/>
              <w:spacing w:line="240" w:lineRule="auto"/>
              <w:jc w:val="center"/>
              <w:rPr>
                <w:sz w:val="21"/>
                <w:szCs w:val="21"/>
                <w:u w:val="single"/>
              </w:rPr>
            </w:pPr>
            <w:r>
              <w:rPr>
                <w:rFonts w:hint="eastAsia"/>
                <w:sz w:val="21"/>
                <w:szCs w:val="21"/>
                <w:u w:val="single"/>
              </w:rPr>
              <w:t>+900</w:t>
            </w:r>
          </w:p>
        </w:tc>
        <w:tc>
          <w:tcPr>
            <w:tcW w:w="840" w:type="pct"/>
            <w:vAlign w:val="center"/>
          </w:tcPr>
          <w:p w14:paraId="05A4980B">
            <w:pPr>
              <w:jc w:val="center"/>
              <w:rPr>
                <w:rFonts w:hint="default" w:ascii="宋体" w:hAnsi="宋体" w:eastAsia="宋体" w:cs="宋体"/>
                <w:color w:val="000000"/>
                <w:sz w:val="22"/>
                <w:szCs w:val="22"/>
                <w:u w:val="single"/>
                <w:lang w:val="en-US" w:eastAsia="zh-CN"/>
              </w:rPr>
            </w:pPr>
            <w:r>
              <w:rPr>
                <w:rFonts w:hint="eastAsia"/>
                <w:color w:val="000000"/>
                <w:sz w:val="22"/>
                <w:szCs w:val="22"/>
                <w:u w:val="single"/>
                <w:lang w:val="en-US" w:eastAsia="zh-CN"/>
              </w:rPr>
              <w:t>1460</w:t>
            </w:r>
          </w:p>
        </w:tc>
        <w:tc>
          <w:tcPr>
            <w:tcW w:w="514" w:type="pct"/>
            <w:vAlign w:val="center"/>
          </w:tcPr>
          <w:p w14:paraId="377BA3CA">
            <w:pPr>
              <w:adjustRightInd w:val="0"/>
              <w:snapToGrid w:val="0"/>
              <w:spacing w:line="240" w:lineRule="auto"/>
              <w:jc w:val="center"/>
              <w:rPr>
                <w:sz w:val="21"/>
                <w:szCs w:val="21"/>
                <w:u w:val="single"/>
              </w:rPr>
            </w:pPr>
            <w:r>
              <w:rPr>
                <w:rFonts w:hint="eastAsia"/>
                <w:sz w:val="21"/>
                <w:szCs w:val="21"/>
                <w:u w:val="single"/>
              </w:rPr>
              <w:t>50</w:t>
            </w:r>
          </w:p>
        </w:tc>
        <w:tc>
          <w:tcPr>
            <w:tcW w:w="1000" w:type="pct"/>
            <w:gridSpan w:val="2"/>
            <w:vAlign w:val="center"/>
          </w:tcPr>
          <w:p w14:paraId="40561EE2">
            <w:pPr>
              <w:adjustRightInd w:val="0"/>
              <w:snapToGrid w:val="0"/>
              <w:spacing w:line="240" w:lineRule="auto"/>
              <w:jc w:val="center"/>
              <w:rPr>
                <w:sz w:val="21"/>
                <w:szCs w:val="21"/>
                <w:u w:val="single"/>
              </w:rPr>
            </w:pPr>
            <w:r>
              <w:rPr>
                <w:sz w:val="21"/>
                <w:szCs w:val="21"/>
                <w:u w:val="single"/>
              </w:rPr>
              <w:t>油墨主要由色料、连接料和助剂组成，印刷工序</w:t>
            </w:r>
          </w:p>
        </w:tc>
      </w:tr>
      <w:tr w14:paraId="575C3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1468BA4E">
            <w:pPr>
              <w:adjustRightInd w:val="0"/>
              <w:snapToGrid w:val="0"/>
              <w:spacing w:line="240" w:lineRule="auto"/>
              <w:jc w:val="center"/>
              <w:rPr>
                <w:sz w:val="21"/>
                <w:szCs w:val="21"/>
                <w:u w:val="single"/>
              </w:rPr>
            </w:pPr>
            <w:r>
              <w:rPr>
                <w:sz w:val="21"/>
                <w:szCs w:val="21"/>
                <w:u w:val="single"/>
              </w:rPr>
              <w:t>9</w:t>
            </w:r>
          </w:p>
        </w:tc>
        <w:tc>
          <w:tcPr>
            <w:tcW w:w="804" w:type="pct"/>
            <w:vAlign w:val="center"/>
          </w:tcPr>
          <w:p w14:paraId="7BAD710D">
            <w:pPr>
              <w:adjustRightInd w:val="0"/>
              <w:snapToGrid w:val="0"/>
              <w:spacing w:line="240" w:lineRule="auto"/>
              <w:jc w:val="center"/>
              <w:rPr>
                <w:sz w:val="21"/>
                <w:szCs w:val="21"/>
                <w:u w:val="single"/>
              </w:rPr>
            </w:pPr>
            <w:r>
              <w:rPr>
                <w:sz w:val="21"/>
                <w:szCs w:val="21"/>
                <w:u w:val="single"/>
              </w:rPr>
              <w:t>乙酸正丙酯</w:t>
            </w:r>
          </w:p>
        </w:tc>
        <w:tc>
          <w:tcPr>
            <w:tcW w:w="748" w:type="pct"/>
            <w:vAlign w:val="center"/>
          </w:tcPr>
          <w:p w14:paraId="4D0884BD">
            <w:pPr>
              <w:adjustRightInd w:val="0"/>
              <w:snapToGrid w:val="0"/>
              <w:spacing w:line="240" w:lineRule="auto"/>
              <w:jc w:val="center"/>
              <w:rPr>
                <w:sz w:val="21"/>
                <w:szCs w:val="21"/>
                <w:u w:val="single"/>
              </w:rPr>
            </w:pPr>
            <w:r>
              <w:rPr>
                <w:rFonts w:hint="eastAsia"/>
                <w:sz w:val="21"/>
                <w:szCs w:val="21"/>
                <w:u w:val="single"/>
              </w:rPr>
              <w:t>119.8</w:t>
            </w:r>
          </w:p>
        </w:tc>
        <w:tc>
          <w:tcPr>
            <w:tcW w:w="757" w:type="pct"/>
            <w:vAlign w:val="center"/>
          </w:tcPr>
          <w:p w14:paraId="689B8BC0">
            <w:pPr>
              <w:adjustRightInd w:val="0"/>
              <w:snapToGrid w:val="0"/>
              <w:spacing w:line="240" w:lineRule="auto"/>
              <w:jc w:val="center"/>
              <w:rPr>
                <w:sz w:val="21"/>
                <w:szCs w:val="21"/>
                <w:u w:val="single"/>
              </w:rPr>
            </w:pPr>
            <w:r>
              <w:rPr>
                <w:rFonts w:hint="eastAsia"/>
                <w:sz w:val="21"/>
                <w:szCs w:val="21"/>
                <w:u w:val="single"/>
              </w:rPr>
              <w:t>-44.8</w:t>
            </w:r>
          </w:p>
        </w:tc>
        <w:tc>
          <w:tcPr>
            <w:tcW w:w="840" w:type="pct"/>
            <w:vAlign w:val="center"/>
          </w:tcPr>
          <w:p w14:paraId="11011974">
            <w:pPr>
              <w:jc w:val="center"/>
              <w:rPr>
                <w:rFonts w:hint="default" w:ascii="宋体" w:hAnsi="宋体" w:eastAsia="宋体" w:cs="宋体"/>
                <w:color w:val="000000"/>
                <w:sz w:val="22"/>
                <w:szCs w:val="22"/>
                <w:u w:val="single"/>
                <w:lang w:val="en-US" w:eastAsia="zh-CN"/>
              </w:rPr>
            </w:pPr>
            <w:r>
              <w:rPr>
                <w:rFonts w:hint="eastAsia"/>
                <w:color w:val="000000"/>
                <w:sz w:val="22"/>
                <w:szCs w:val="22"/>
                <w:u w:val="single"/>
                <w:lang w:val="en-US" w:eastAsia="zh-CN"/>
              </w:rPr>
              <w:t>75</w:t>
            </w:r>
          </w:p>
        </w:tc>
        <w:tc>
          <w:tcPr>
            <w:tcW w:w="514" w:type="pct"/>
            <w:vAlign w:val="center"/>
          </w:tcPr>
          <w:p w14:paraId="19BCABE7">
            <w:pPr>
              <w:adjustRightInd w:val="0"/>
              <w:snapToGrid w:val="0"/>
              <w:spacing w:line="240" w:lineRule="auto"/>
              <w:jc w:val="center"/>
              <w:rPr>
                <w:sz w:val="21"/>
                <w:szCs w:val="21"/>
                <w:u w:val="single"/>
              </w:rPr>
            </w:pPr>
            <w:r>
              <w:rPr>
                <w:rFonts w:hint="eastAsia"/>
                <w:sz w:val="21"/>
                <w:szCs w:val="21"/>
                <w:u w:val="single"/>
              </w:rPr>
              <w:t>5.3</w:t>
            </w:r>
          </w:p>
        </w:tc>
        <w:tc>
          <w:tcPr>
            <w:tcW w:w="538" w:type="pct"/>
            <w:vAlign w:val="center"/>
          </w:tcPr>
          <w:p w14:paraId="3A679400">
            <w:pPr>
              <w:adjustRightInd w:val="0"/>
              <w:snapToGrid w:val="0"/>
              <w:spacing w:line="240" w:lineRule="auto"/>
              <w:jc w:val="center"/>
              <w:rPr>
                <w:sz w:val="21"/>
                <w:szCs w:val="21"/>
                <w:u w:val="single"/>
              </w:rPr>
            </w:pPr>
            <w:r>
              <w:rPr>
                <w:sz w:val="21"/>
                <w:szCs w:val="21"/>
                <w:u w:val="single"/>
              </w:rPr>
              <w:t>用于油墨稀释</w:t>
            </w:r>
          </w:p>
        </w:tc>
        <w:tc>
          <w:tcPr>
            <w:tcW w:w="462" w:type="pct"/>
            <w:vMerge w:val="restart"/>
            <w:vAlign w:val="center"/>
          </w:tcPr>
          <w:p w14:paraId="210F5E26">
            <w:pPr>
              <w:adjustRightInd w:val="0"/>
              <w:snapToGrid w:val="0"/>
              <w:spacing w:line="240" w:lineRule="auto"/>
              <w:jc w:val="center"/>
              <w:rPr>
                <w:sz w:val="21"/>
                <w:szCs w:val="21"/>
                <w:u w:val="single"/>
              </w:rPr>
            </w:pPr>
            <w:r>
              <w:rPr>
                <w:rFonts w:hint="eastAsia"/>
                <w:sz w:val="21"/>
                <w:szCs w:val="21"/>
                <w:u w:val="single"/>
              </w:rPr>
              <w:t>可通过溶剂回收氮气冷凝回收</w:t>
            </w:r>
          </w:p>
        </w:tc>
      </w:tr>
      <w:tr w14:paraId="011BB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tcBorders>
              <w:bottom w:val="single" w:color="auto" w:sz="4" w:space="0"/>
            </w:tcBorders>
            <w:vAlign w:val="center"/>
          </w:tcPr>
          <w:p w14:paraId="7240EFA7">
            <w:pPr>
              <w:adjustRightInd w:val="0"/>
              <w:snapToGrid w:val="0"/>
              <w:spacing w:line="240" w:lineRule="auto"/>
              <w:jc w:val="center"/>
              <w:rPr>
                <w:sz w:val="21"/>
                <w:szCs w:val="21"/>
                <w:u w:val="single"/>
              </w:rPr>
            </w:pPr>
            <w:r>
              <w:rPr>
                <w:sz w:val="21"/>
                <w:szCs w:val="21"/>
                <w:u w:val="single"/>
              </w:rPr>
              <w:t>10</w:t>
            </w:r>
          </w:p>
        </w:tc>
        <w:tc>
          <w:tcPr>
            <w:tcW w:w="804" w:type="pct"/>
            <w:tcBorders>
              <w:bottom w:val="single" w:color="auto" w:sz="4" w:space="0"/>
            </w:tcBorders>
            <w:vAlign w:val="center"/>
          </w:tcPr>
          <w:p w14:paraId="24324B67">
            <w:pPr>
              <w:adjustRightInd w:val="0"/>
              <w:snapToGrid w:val="0"/>
              <w:spacing w:line="240" w:lineRule="auto"/>
              <w:jc w:val="center"/>
              <w:rPr>
                <w:sz w:val="21"/>
                <w:szCs w:val="21"/>
                <w:u w:val="single"/>
              </w:rPr>
            </w:pPr>
            <w:r>
              <w:rPr>
                <w:sz w:val="21"/>
                <w:szCs w:val="21"/>
                <w:u w:val="single"/>
              </w:rPr>
              <w:t>异丙醇</w:t>
            </w:r>
          </w:p>
        </w:tc>
        <w:tc>
          <w:tcPr>
            <w:tcW w:w="748" w:type="pct"/>
            <w:vAlign w:val="center"/>
          </w:tcPr>
          <w:p w14:paraId="0F700594">
            <w:pPr>
              <w:adjustRightInd w:val="0"/>
              <w:snapToGrid w:val="0"/>
              <w:spacing w:line="240" w:lineRule="auto"/>
              <w:jc w:val="center"/>
              <w:rPr>
                <w:sz w:val="21"/>
                <w:szCs w:val="21"/>
                <w:u w:val="single"/>
              </w:rPr>
            </w:pPr>
            <w:r>
              <w:rPr>
                <w:rFonts w:hint="eastAsia"/>
                <w:sz w:val="21"/>
                <w:szCs w:val="21"/>
                <w:u w:val="single"/>
              </w:rPr>
              <w:t>30.1</w:t>
            </w:r>
          </w:p>
        </w:tc>
        <w:tc>
          <w:tcPr>
            <w:tcW w:w="757" w:type="pct"/>
            <w:vAlign w:val="center"/>
          </w:tcPr>
          <w:p w14:paraId="530D028A">
            <w:pPr>
              <w:adjustRightInd w:val="0"/>
              <w:snapToGrid w:val="0"/>
              <w:spacing w:line="240" w:lineRule="auto"/>
              <w:jc w:val="center"/>
              <w:rPr>
                <w:sz w:val="21"/>
                <w:szCs w:val="21"/>
                <w:u w:val="single"/>
              </w:rPr>
            </w:pPr>
            <w:r>
              <w:rPr>
                <w:rFonts w:hint="eastAsia"/>
                <w:sz w:val="21"/>
                <w:szCs w:val="21"/>
                <w:u w:val="single"/>
              </w:rPr>
              <w:t>-22.1</w:t>
            </w:r>
          </w:p>
        </w:tc>
        <w:tc>
          <w:tcPr>
            <w:tcW w:w="840" w:type="pct"/>
            <w:vAlign w:val="center"/>
          </w:tcPr>
          <w:p w14:paraId="7166593C">
            <w:pPr>
              <w:jc w:val="center"/>
              <w:rPr>
                <w:rFonts w:hint="eastAsia" w:ascii="宋体" w:hAnsi="宋体" w:eastAsia="宋体" w:cs="宋体"/>
                <w:color w:val="000000"/>
                <w:sz w:val="22"/>
                <w:szCs w:val="22"/>
                <w:highlight w:val="yellow"/>
                <w:u w:val="single"/>
                <w:lang w:eastAsia="zh-CN"/>
              </w:rPr>
            </w:pPr>
            <w:r>
              <w:rPr>
                <w:rFonts w:hint="eastAsia"/>
                <w:color w:val="000000"/>
                <w:sz w:val="22"/>
                <w:szCs w:val="22"/>
                <w:highlight w:val="none"/>
                <w:u w:val="single"/>
                <w:lang w:val="en-US" w:eastAsia="zh-CN"/>
              </w:rPr>
              <w:t>8</w:t>
            </w:r>
          </w:p>
        </w:tc>
        <w:tc>
          <w:tcPr>
            <w:tcW w:w="514" w:type="pct"/>
            <w:vAlign w:val="center"/>
          </w:tcPr>
          <w:p w14:paraId="07B92647">
            <w:pPr>
              <w:adjustRightInd w:val="0"/>
              <w:snapToGrid w:val="0"/>
              <w:spacing w:line="240" w:lineRule="auto"/>
              <w:jc w:val="center"/>
              <w:rPr>
                <w:sz w:val="21"/>
                <w:szCs w:val="21"/>
                <w:u w:val="single"/>
              </w:rPr>
            </w:pPr>
            <w:r>
              <w:rPr>
                <w:sz w:val="21"/>
                <w:szCs w:val="21"/>
                <w:u w:val="single"/>
              </w:rPr>
              <w:t>3</w:t>
            </w:r>
          </w:p>
        </w:tc>
        <w:tc>
          <w:tcPr>
            <w:tcW w:w="538" w:type="pct"/>
            <w:vAlign w:val="center"/>
          </w:tcPr>
          <w:p w14:paraId="06236559">
            <w:pPr>
              <w:adjustRightInd w:val="0"/>
              <w:snapToGrid w:val="0"/>
              <w:spacing w:line="240" w:lineRule="auto"/>
              <w:jc w:val="center"/>
              <w:rPr>
                <w:sz w:val="21"/>
                <w:szCs w:val="21"/>
                <w:u w:val="single"/>
              </w:rPr>
            </w:pPr>
            <w:r>
              <w:rPr>
                <w:sz w:val="21"/>
                <w:szCs w:val="21"/>
                <w:u w:val="single"/>
              </w:rPr>
              <w:t>用于油墨稀释</w:t>
            </w:r>
          </w:p>
        </w:tc>
        <w:tc>
          <w:tcPr>
            <w:tcW w:w="462" w:type="pct"/>
            <w:vMerge w:val="continue"/>
            <w:vAlign w:val="center"/>
          </w:tcPr>
          <w:p w14:paraId="06E55736">
            <w:pPr>
              <w:adjustRightInd w:val="0"/>
              <w:snapToGrid w:val="0"/>
              <w:spacing w:line="240" w:lineRule="auto"/>
              <w:jc w:val="center"/>
              <w:rPr>
                <w:sz w:val="21"/>
                <w:szCs w:val="21"/>
                <w:u w:val="single"/>
              </w:rPr>
            </w:pPr>
          </w:p>
        </w:tc>
      </w:tr>
      <w:tr w14:paraId="5B2C84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12009A72">
            <w:pPr>
              <w:adjustRightInd w:val="0"/>
              <w:snapToGrid w:val="0"/>
              <w:spacing w:line="240" w:lineRule="auto"/>
              <w:jc w:val="center"/>
              <w:rPr>
                <w:sz w:val="21"/>
                <w:szCs w:val="21"/>
                <w:u w:val="single"/>
              </w:rPr>
            </w:pPr>
            <w:r>
              <w:rPr>
                <w:sz w:val="21"/>
                <w:szCs w:val="21"/>
                <w:u w:val="single"/>
              </w:rPr>
              <w:t>11</w:t>
            </w:r>
          </w:p>
        </w:tc>
        <w:tc>
          <w:tcPr>
            <w:tcW w:w="804" w:type="pct"/>
            <w:vAlign w:val="center"/>
          </w:tcPr>
          <w:p w14:paraId="037CD4E8">
            <w:pPr>
              <w:adjustRightInd w:val="0"/>
              <w:snapToGrid w:val="0"/>
              <w:spacing w:line="240" w:lineRule="auto"/>
              <w:jc w:val="center"/>
              <w:rPr>
                <w:sz w:val="21"/>
                <w:szCs w:val="21"/>
                <w:u w:val="single"/>
              </w:rPr>
            </w:pPr>
            <w:r>
              <w:rPr>
                <w:sz w:val="21"/>
                <w:szCs w:val="21"/>
                <w:u w:val="single"/>
              </w:rPr>
              <w:t>乙酸丁酯</w:t>
            </w:r>
          </w:p>
        </w:tc>
        <w:tc>
          <w:tcPr>
            <w:tcW w:w="748" w:type="pct"/>
            <w:vAlign w:val="center"/>
          </w:tcPr>
          <w:p w14:paraId="69C76E2A">
            <w:pPr>
              <w:adjustRightInd w:val="0"/>
              <w:snapToGrid w:val="0"/>
              <w:spacing w:line="240" w:lineRule="auto"/>
              <w:jc w:val="center"/>
              <w:rPr>
                <w:sz w:val="21"/>
                <w:szCs w:val="21"/>
                <w:u w:val="single"/>
              </w:rPr>
            </w:pPr>
            <w:r>
              <w:rPr>
                <w:rFonts w:hint="eastAsia"/>
                <w:sz w:val="21"/>
                <w:szCs w:val="21"/>
                <w:u w:val="single"/>
              </w:rPr>
              <w:t>30.1</w:t>
            </w:r>
          </w:p>
        </w:tc>
        <w:tc>
          <w:tcPr>
            <w:tcW w:w="757" w:type="pct"/>
            <w:vAlign w:val="center"/>
          </w:tcPr>
          <w:p w14:paraId="100C42A2">
            <w:pPr>
              <w:adjustRightInd w:val="0"/>
              <w:snapToGrid w:val="0"/>
              <w:spacing w:line="240" w:lineRule="auto"/>
              <w:jc w:val="center"/>
              <w:rPr>
                <w:rFonts w:hint="eastAsia" w:eastAsia="宋体"/>
                <w:sz w:val="21"/>
                <w:szCs w:val="21"/>
                <w:u w:val="single"/>
                <w:lang w:eastAsia="zh-CN"/>
              </w:rPr>
            </w:pPr>
            <w:r>
              <w:rPr>
                <w:rFonts w:hint="eastAsia"/>
                <w:sz w:val="21"/>
                <w:szCs w:val="21"/>
                <w:u w:val="single"/>
              </w:rPr>
              <w:t>+</w:t>
            </w:r>
            <w:r>
              <w:rPr>
                <w:rFonts w:hint="eastAsia"/>
                <w:sz w:val="21"/>
                <w:szCs w:val="21"/>
                <w:u w:val="single"/>
                <w:lang w:val="en-US" w:eastAsia="zh-CN"/>
              </w:rPr>
              <w:t>0</w:t>
            </w:r>
          </w:p>
        </w:tc>
        <w:tc>
          <w:tcPr>
            <w:tcW w:w="840" w:type="pct"/>
            <w:vAlign w:val="center"/>
          </w:tcPr>
          <w:p w14:paraId="05A542CB">
            <w:pPr>
              <w:jc w:val="center"/>
              <w:rPr>
                <w:rFonts w:hint="default" w:ascii="宋体" w:hAnsi="宋体" w:eastAsia="宋体" w:cs="宋体"/>
                <w:color w:val="000000"/>
                <w:sz w:val="22"/>
                <w:szCs w:val="22"/>
                <w:highlight w:val="none"/>
                <w:u w:val="single"/>
                <w:lang w:val="en-US" w:eastAsia="zh-CN"/>
              </w:rPr>
            </w:pPr>
            <w:r>
              <w:rPr>
                <w:rFonts w:hint="eastAsia"/>
                <w:color w:val="000000"/>
                <w:sz w:val="22"/>
                <w:szCs w:val="22"/>
                <w:highlight w:val="none"/>
                <w:u w:val="single"/>
                <w:lang w:val="en-US" w:eastAsia="zh-CN"/>
              </w:rPr>
              <w:t>30.1</w:t>
            </w:r>
          </w:p>
        </w:tc>
        <w:tc>
          <w:tcPr>
            <w:tcW w:w="514" w:type="pct"/>
            <w:vAlign w:val="center"/>
          </w:tcPr>
          <w:p w14:paraId="4D87D070">
            <w:pPr>
              <w:adjustRightInd w:val="0"/>
              <w:snapToGrid w:val="0"/>
              <w:spacing w:line="240" w:lineRule="auto"/>
              <w:jc w:val="center"/>
              <w:rPr>
                <w:sz w:val="21"/>
                <w:szCs w:val="21"/>
                <w:u w:val="single"/>
              </w:rPr>
            </w:pPr>
            <w:r>
              <w:rPr>
                <w:sz w:val="21"/>
                <w:szCs w:val="21"/>
                <w:u w:val="single"/>
              </w:rPr>
              <w:t>3</w:t>
            </w:r>
          </w:p>
        </w:tc>
        <w:tc>
          <w:tcPr>
            <w:tcW w:w="538" w:type="pct"/>
            <w:vAlign w:val="center"/>
          </w:tcPr>
          <w:p w14:paraId="0F56FC26">
            <w:pPr>
              <w:adjustRightInd w:val="0"/>
              <w:snapToGrid w:val="0"/>
              <w:spacing w:line="240" w:lineRule="auto"/>
              <w:jc w:val="center"/>
              <w:rPr>
                <w:sz w:val="21"/>
                <w:szCs w:val="21"/>
                <w:u w:val="single"/>
              </w:rPr>
            </w:pPr>
            <w:r>
              <w:rPr>
                <w:sz w:val="21"/>
                <w:szCs w:val="21"/>
                <w:u w:val="single"/>
              </w:rPr>
              <w:t>用于油墨稀释</w:t>
            </w:r>
          </w:p>
        </w:tc>
        <w:tc>
          <w:tcPr>
            <w:tcW w:w="462" w:type="pct"/>
            <w:vMerge w:val="continue"/>
            <w:vAlign w:val="center"/>
          </w:tcPr>
          <w:p w14:paraId="162846BB">
            <w:pPr>
              <w:adjustRightInd w:val="0"/>
              <w:snapToGrid w:val="0"/>
              <w:spacing w:line="240" w:lineRule="auto"/>
              <w:jc w:val="center"/>
              <w:rPr>
                <w:sz w:val="21"/>
                <w:szCs w:val="21"/>
                <w:u w:val="single"/>
              </w:rPr>
            </w:pPr>
          </w:p>
        </w:tc>
      </w:tr>
      <w:tr w14:paraId="1F8FF2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346" w:hRule="atLeast"/>
          <w:jc w:val="center"/>
        </w:trPr>
        <w:tc>
          <w:tcPr>
            <w:tcW w:w="333" w:type="pct"/>
            <w:vAlign w:val="center"/>
          </w:tcPr>
          <w:p w14:paraId="22C0BA7A">
            <w:pPr>
              <w:adjustRightInd w:val="0"/>
              <w:snapToGrid w:val="0"/>
              <w:spacing w:line="240" w:lineRule="auto"/>
              <w:jc w:val="center"/>
              <w:rPr>
                <w:sz w:val="21"/>
                <w:szCs w:val="21"/>
                <w:u w:val="single"/>
              </w:rPr>
            </w:pPr>
            <w:r>
              <w:rPr>
                <w:sz w:val="21"/>
                <w:szCs w:val="21"/>
                <w:u w:val="single"/>
              </w:rPr>
              <w:t>12</w:t>
            </w:r>
          </w:p>
        </w:tc>
        <w:tc>
          <w:tcPr>
            <w:tcW w:w="804" w:type="pct"/>
            <w:vAlign w:val="center"/>
          </w:tcPr>
          <w:p w14:paraId="2E64B362">
            <w:pPr>
              <w:adjustRightInd w:val="0"/>
              <w:snapToGrid w:val="0"/>
              <w:spacing w:line="240" w:lineRule="auto"/>
              <w:jc w:val="center"/>
              <w:rPr>
                <w:sz w:val="21"/>
                <w:szCs w:val="21"/>
                <w:u w:val="single"/>
              </w:rPr>
            </w:pPr>
            <w:r>
              <w:rPr>
                <w:sz w:val="21"/>
                <w:szCs w:val="21"/>
                <w:u w:val="single"/>
              </w:rPr>
              <w:t>乙酸乙酯</w:t>
            </w:r>
          </w:p>
        </w:tc>
        <w:tc>
          <w:tcPr>
            <w:tcW w:w="748" w:type="pct"/>
            <w:vAlign w:val="center"/>
          </w:tcPr>
          <w:p w14:paraId="5EE743DC">
            <w:pPr>
              <w:adjustRightInd w:val="0"/>
              <w:snapToGrid w:val="0"/>
              <w:spacing w:line="240" w:lineRule="auto"/>
              <w:jc w:val="center"/>
              <w:rPr>
                <w:sz w:val="21"/>
                <w:szCs w:val="21"/>
                <w:u w:val="single"/>
              </w:rPr>
            </w:pPr>
            <w:r>
              <w:rPr>
                <w:rFonts w:hint="eastAsia"/>
                <w:sz w:val="21"/>
                <w:szCs w:val="21"/>
                <w:u w:val="single"/>
              </w:rPr>
              <w:t>423</w:t>
            </w:r>
          </w:p>
        </w:tc>
        <w:tc>
          <w:tcPr>
            <w:tcW w:w="757" w:type="pct"/>
            <w:vAlign w:val="center"/>
          </w:tcPr>
          <w:p w14:paraId="2B07FFAF">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rPr>
              <w:t>+5</w:t>
            </w:r>
            <w:r>
              <w:rPr>
                <w:rFonts w:hint="eastAsia"/>
                <w:sz w:val="21"/>
                <w:szCs w:val="21"/>
                <w:u w:val="single"/>
                <w:lang w:val="en-US" w:eastAsia="zh-CN"/>
              </w:rPr>
              <w:t>47</w:t>
            </w:r>
          </w:p>
        </w:tc>
        <w:tc>
          <w:tcPr>
            <w:tcW w:w="840" w:type="pct"/>
            <w:vAlign w:val="center"/>
          </w:tcPr>
          <w:p w14:paraId="6C39D613">
            <w:pPr>
              <w:jc w:val="center"/>
              <w:rPr>
                <w:rFonts w:hint="default" w:ascii="宋体" w:hAnsi="宋体" w:eastAsia="宋体" w:cs="宋体"/>
                <w:color w:val="000000"/>
                <w:sz w:val="22"/>
                <w:szCs w:val="22"/>
                <w:highlight w:val="none"/>
                <w:u w:val="single"/>
                <w:lang w:val="en-US" w:eastAsia="zh-CN"/>
              </w:rPr>
            </w:pPr>
            <w:r>
              <w:rPr>
                <w:rFonts w:hint="eastAsia"/>
                <w:color w:val="000000"/>
                <w:sz w:val="22"/>
                <w:szCs w:val="22"/>
                <w:highlight w:val="none"/>
                <w:u w:val="single"/>
                <w:lang w:val="en-US" w:eastAsia="zh-CN"/>
              </w:rPr>
              <w:t>970</w:t>
            </w:r>
          </w:p>
        </w:tc>
        <w:tc>
          <w:tcPr>
            <w:tcW w:w="514" w:type="pct"/>
            <w:vAlign w:val="center"/>
          </w:tcPr>
          <w:p w14:paraId="273C9409">
            <w:pPr>
              <w:adjustRightInd w:val="0"/>
              <w:snapToGrid w:val="0"/>
              <w:spacing w:line="240" w:lineRule="auto"/>
              <w:jc w:val="center"/>
              <w:rPr>
                <w:sz w:val="21"/>
                <w:szCs w:val="21"/>
                <w:u w:val="single"/>
              </w:rPr>
            </w:pPr>
            <w:r>
              <w:rPr>
                <w:rFonts w:hint="eastAsia"/>
                <w:sz w:val="21"/>
                <w:szCs w:val="21"/>
                <w:u w:val="single"/>
              </w:rPr>
              <w:t>20</w:t>
            </w:r>
          </w:p>
        </w:tc>
        <w:tc>
          <w:tcPr>
            <w:tcW w:w="538" w:type="pct"/>
            <w:vAlign w:val="center"/>
          </w:tcPr>
          <w:p w14:paraId="78786A72">
            <w:pPr>
              <w:adjustRightInd w:val="0"/>
              <w:snapToGrid w:val="0"/>
              <w:spacing w:line="240" w:lineRule="auto"/>
              <w:jc w:val="center"/>
              <w:rPr>
                <w:sz w:val="21"/>
                <w:szCs w:val="21"/>
                <w:u w:val="single"/>
              </w:rPr>
            </w:pPr>
            <w:r>
              <w:rPr>
                <w:rFonts w:hint="eastAsia"/>
                <w:sz w:val="21"/>
                <w:szCs w:val="21"/>
                <w:u w:val="single"/>
              </w:rPr>
              <w:t>用于印刷、干式复合、擦洗</w:t>
            </w:r>
          </w:p>
        </w:tc>
        <w:tc>
          <w:tcPr>
            <w:tcW w:w="462" w:type="pct"/>
            <w:vMerge w:val="continue"/>
            <w:vAlign w:val="center"/>
          </w:tcPr>
          <w:p w14:paraId="68C2FA69">
            <w:pPr>
              <w:adjustRightInd w:val="0"/>
              <w:snapToGrid w:val="0"/>
              <w:spacing w:line="240" w:lineRule="auto"/>
              <w:jc w:val="center"/>
              <w:rPr>
                <w:sz w:val="21"/>
                <w:szCs w:val="21"/>
                <w:u w:val="single"/>
              </w:rPr>
            </w:pPr>
          </w:p>
        </w:tc>
      </w:tr>
      <w:tr w14:paraId="1400D9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23" w:hRule="atLeast"/>
          <w:jc w:val="center"/>
        </w:trPr>
        <w:tc>
          <w:tcPr>
            <w:tcW w:w="333" w:type="pct"/>
            <w:vAlign w:val="center"/>
          </w:tcPr>
          <w:p w14:paraId="1D79D27E">
            <w:pPr>
              <w:adjustRightInd w:val="0"/>
              <w:snapToGrid w:val="0"/>
              <w:spacing w:line="240" w:lineRule="auto"/>
              <w:jc w:val="center"/>
              <w:rPr>
                <w:sz w:val="21"/>
                <w:szCs w:val="21"/>
                <w:u w:val="single"/>
              </w:rPr>
            </w:pPr>
            <w:r>
              <w:rPr>
                <w:rFonts w:hint="eastAsia"/>
                <w:sz w:val="21"/>
                <w:szCs w:val="21"/>
                <w:u w:val="single"/>
              </w:rPr>
              <w:t>13</w:t>
            </w:r>
          </w:p>
        </w:tc>
        <w:tc>
          <w:tcPr>
            <w:tcW w:w="804" w:type="pct"/>
            <w:vAlign w:val="center"/>
          </w:tcPr>
          <w:p w14:paraId="15E222BE">
            <w:pPr>
              <w:adjustRightInd w:val="0"/>
              <w:snapToGrid w:val="0"/>
              <w:spacing w:line="240" w:lineRule="auto"/>
              <w:jc w:val="center"/>
              <w:rPr>
                <w:sz w:val="21"/>
                <w:szCs w:val="21"/>
                <w:u w:val="single"/>
              </w:rPr>
            </w:pPr>
            <w:r>
              <w:rPr>
                <w:sz w:val="21"/>
                <w:szCs w:val="21"/>
                <w:u w:val="single"/>
              </w:rPr>
              <w:t>轻沸溶剂</w:t>
            </w:r>
          </w:p>
        </w:tc>
        <w:tc>
          <w:tcPr>
            <w:tcW w:w="748" w:type="pct"/>
            <w:vAlign w:val="center"/>
          </w:tcPr>
          <w:p w14:paraId="31E78E9F">
            <w:pPr>
              <w:adjustRightInd w:val="0"/>
              <w:snapToGrid w:val="0"/>
              <w:spacing w:line="240" w:lineRule="auto"/>
              <w:jc w:val="center"/>
              <w:rPr>
                <w:sz w:val="21"/>
                <w:szCs w:val="21"/>
                <w:u w:val="single"/>
              </w:rPr>
            </w:pPr>
            <w:r>
              <w:rPr>
                <w:rFonts w:hint="eastAsia"/>
                <w:sz w:val="21"/>
                <w:szCs w:val="21"/>
                <w:u w:val="single"/>
              </w:rPr>
              <w:t>12</w:t>
            </w:r>
          </w:p>
        </w:tc>
        <w:tc>
          <w:tcPr>
            <w:tcW w:w="757" w:type="pct"/>
            <w:vAlign w:val="center"/>
          </w:tcPr>
          <w:p w14:paraId="4CBD9291">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rPr>
              <w:t>+</w:t>
            </w:r>
            <w:r>
              <w:rPr>
                <w:rFonts w:hint="eastAsia"/>
                <w:sz w:val="21"/>
                <w:szCs w:val="21"/>
                <w:u w:val="single"/>
                <w:lang w:val="en-US" w:eastAsia="zh-CN"/>
              </w:rPr>
              <w:t>39.5</w:t>
            </w:r>
          </w:p>
        </w:tc>
        <w:tc>
          <w:tcPr>
            <w:tcW w:w="840" w:type="pct"/>
            <w:vAlign w:val="center"/>
          </w:tcPr>
          <w:p w14:paraId="14925B6B">
            <w:pPr>
              <w:jc w:val="center"/>
              <w:rPr>
                <w:rFonts w:hint="default" w:eastAsia="宋体"/>
                <w:color w:val="000000"/>
                <w:sz w:val="21"/>
                <w:szCs w:val="21"/>
                <w:highlight w:val="none"/>
                <w:u w:val="single"/>
                <w:lang w:val="en-US" w:eastAsia="zh-CN"/>
              </w:rPr>
            </w:pPr>
            <w:r>
              <w:rPr>
                <w:rFonts w:hint="eastAsia"/>
                <w:color w:val="000000"/>
                <w:sz w:val="21"/>
                <w:szCs w:val="21"/>
                <w:highlight w:val="none"/>
                <w:u w:val="single"/>
                <w:lang w:val="en-US" w:eastAsia="zh-CN"/>
              </w:rPr>
              <w:t>51.5</w:t>
            </w:r>
          </w:p>
        </w:tc>
        <w:tc>
          <w:tcPr>
            <w:tcW w:w="514" w:type="pct"/>
            <w:vAlign w:val="center"/>
          </w:tcPr>
          <w:p w14:paraId="4E8ED7B8">
            <w:pPr>
              <w:jc w:val="center"/>
              <w:rPr>
                <w:color w:val="000000"/>
                <w:sz w:val="22"/>
                <w:szCs w:val="22"/>
                <w:u w:val="single"/>
              </w:rPr>
            </w:pPr>
            <w:r>
              <w:rPr>
                <w:rFonts w:hint="eastAsia"/>
                <w:color w:val="000000"/>
                <w:sz w:val="22"/>
                <w:szCs w:val="22"/>
                <w:u w:val="single"/>
              </w:rPr>
              <w:t>2</w:t>
            </w:r>
          </w:p>
        </w:tc>
        <w:tc>
          <w:tcPr>
            <w:tcW w:w="1000" w:type="pct"/>
            <w:gridSpan w:val="2"/>
            <w:vMerge w:val="restart"/>
            <w:vAlign w:val="center"/>
          </w:tcPr>
          <w:p w14:paraId="4FB272C5">
            <w:pPr>
              <w:adjustRightInd w:val="0"/>
              <w:snapToGrid w:val="0"/>
              <w:spacing w:line="240" w:lineRule="auto"/>
              <w:jc w:val="center"/>
              <w:rPr>
                <w:sz w:val="21"/>
                <w:szCs w:val="21"/>
                <w:u w:val="single"/>
              </w:rPr>
            </w:pPr>
            <w:r>
              <w:rPr>
                <w:sz w:val="21"/>
                <w:szCs w:val="21"/>
                <w:u w:val="single"/>
              </w:rPr>
              <w:t>溶剂回收装置</w:t>
            </w:r>
          </w:p>
        </w:tc>
      </w:tr>
      <w:tr w14:paraId="34E0D8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16" w:hRule="atLeast"/>
          <w:jc w:val="center"/>
        </w:trPr>
        <w:tc>
          <w:tcPr>
            <w:tcW w:w="333" w:type="pct"/>
            <w:vAlign w:val="center"/>
          </w:tcPr>
          <w:p w14:paraId="057C304D">
            <w:pPr>
              <w:adjustRightInd w:val="0"/>
              <w:snapToGrid w:val="0"/>
              <w:spacing w:line="240" w:lineRule="auto"/>
              <w:jc w:val="center"/>
              <w:rPr>
                <w:sz w:val="21"/>
                <w:szCs w:val="21"/>
                <w:u w:val="single"/>
              </w:rPr>
            </w:pPr>
            <w:r>
              <w:rPr>
                <w:rFonts w:hint="eastAsia"/>
                <w:sz w:val="21"/>
                <w:szCs w:val="21"/>
                <w:u w:val="single"/>
              </w:rPr>
              <w:t>14</w:t>
            </w:r>
          </w:p>
        </w:tc>
        <w:tc>
          <w:tcPr>
            <w:tcW w:w="804" w:type="pct"/>
            <w:vAlign w:val="center"/>
          </w:tcPr>
          <w:p w14:paraId="672EEB69">
            <w:pPr>
              <w:adjustRightInd w:val="0"/>
              <w:snapToGrid w:val="0"/>
              <w:spacing w:line="240" w:lineRule="auto"/>
              <w:jc w:val="center"/>
              <w:rPr>
                <w:sz w:val="21"/>
                <w:szCs w:val="21"/>
                <w:u w:val="single"/>
              </w:rPr>
            </w:pPr>
            <w:r>
              <w:rPr>
                <w:sz w:val="21"/>
                <w:szCs w:val="21"/>
                <w:u w:val="single"/>
              </w:rPr>
              <w:t>高沸溶剂</w:t>
            </w:r>
          </w:p>
        </w:tc>
        <w:tc>
          <w:tcPr>
            <w:tcW w:w="748" w:type="pct"/>
            <w:vAlign w:val="center"/>
          </w:tcPr>
          <w:p w14:paraId="41210374">
            <w:pPr>
              <w:adjustRightInd w:val="0"/>
              <w:snapToGrid w:val="0"/>
              <w:spacing w:line="240" w:lineRule="auto"/>
              <w:jc w:val="center"/>
              <w:rPr>
                <w:sz w:val="21"/>
                <w:szCs w:val="21"/>
                <w:u w:val="single"/>
              </w:rPr>
            </w:pPr>
            <w:r>
              <w:rPr>
                <w:rFonts w:hint="eastAsia"/>
                <w:sz w:val="21"/>
                <w:szCs w:val="21"/>
                <w:u w:val="single"/>
              </w:rPr>
              <w:t>591</w:t>
            </w:r>
          </w:p>
        </w:tc>
        <w:tc>
          <w:tcPr>
            <w:tcW w:w="757" w:type="pct"/>
            <w:vAlign w:val="center"/>
          </w:tcPr>
          <w:p w14:paraId="1A27942D">
            <w:pPr>
              <w:adjustRightInd w:val="0"/>
              <w:snapToGrid w:val="0"/>
              <w:spacing w:line="240" w:lineRule="auto"/>
              <w:jc w:val="center"/>
              <w:rPr>
                <w:sz w:val="21"/>
                <w:szCs w:val="21"/>
                <w:u w:val="single"/>
              </w:rPr>
            </w:pPr>
            <w:r>
              <w:rPr>
                <w:rFonts w:hint="eastAsia"/>
                <w:sz w:val="21"/>
                <w:szCs w:val="21"/>
                <w:u w:val="single"/>
              </w:rPr>
              <w:t>+656.261</w:t>
            </w:r>
          </w:p>
        </w:tc>
        <w:tc>
          <w:tcPr>
            <w:tcW w:w="840" w:type="pct"/>
            <w:vAlign w:val="center"/>
          </w:tcPr>
          <w:p w14:paraId="3F90445A">
            <w:pPr>
              <w:jc w:val="center"/>
              <w:rPr>
                <w:rFonts w:hint="default" w:eastAsia="宋体"/>
                <w:color w:val="000000"/>
                <w:sz w:val="21"/>
                <w:szCs w:val="21"/>
                <w:highlight w:val="none"/>
                <w:u w:val="single"/>
                <w:lang w:val="en-US" w:eastAsia="zh-CN"/>
              </w:rPr>
            </w:pPr>
            <w:r>
              <w:rPr>
                <w:rFonts w:hint="eastAsia"/>
                <w:color w:val="000000"/>
                <w:sz w:val="21"/>
                <w:szCs w:val="21"/>
                <w:highlight w:val="none"/>
                <w:u w:val="single"/>
                <w:lang w:val="en-US" w:eastAsia="zh-CN"/>
              </w:rPr>
              <w:t>1247.261</w:t>
            </w:r>
          </w:p>
        </w:tc>
        <w:tc>
          <w:tcPr>
            <w:tcW w:w="514" w:type="pct"/>
            <w:vAlign w:val="center"/>
          </w:tcPr>
          <w:p w14:paraId="39105E23">
            <w:pPr>
              <w:jc w:val="center"/>
              <w:rPr>
                <w:color w:val="000000"/>
                <w:sz w:val="22"/>
                <w:szCs w:val="22"/>
                <w:u w:val="single"/>
              </w:rPr>
            </w:pPr>
            <w:r>
              <w:rPr>
                <w:rFonts w:hint="eastAsia"/>
                <w:color w:val="000000"/>
                <w:sz w:val="22"/>
                <w:szCs w:val="22"/>
                <w:u w:val="single"/>
              </w:rPr>
              <w:t>12</w:t>
            </w:r>
          </w:p>
        </w:tc>
        <w:tc>
          <w:tcPr>
            <w:tcW w:w="1000" w:type="pct"/>
            <w:gridSpan w:val="2"/>
            <w:vMerge w:val="continue"/>
            <w:vAlign w:val="center"/>
          </w:tcPr>
          <w:p w14:paraId="2E3C47B6">
            <w:pPr>
              <w:adjustRightInd w:val="0"/>
              <w:snapToGrid w:val="0"/>
              <w:spacing w:line="240" w:lineRule="auto"/>
              <w:jc w:val="center"/>
              <w:rPr>
                <w:sz w:val="21"/>
                <w:szCs w:val="21"/>
                <w:u w:val="single"/>
              </w:rPr>
            </w:pPr>
          </w:p>
        </w:tc>
      </w:tr>
      <w:tr w14:paraId="794B4D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796C7B9D">
            <w:pPr>
              <w:adjustRightInd w:val="0"/>
              <w:snapToGrid w:val="0"/>
              <w:spacing w:line="240" w:lineRule="auto"/>
              <w:jc w:val="center"/>
              <w:rPr>
                <w:sz w:val="21"/>
                <w:szCs w:val="21"/>
                <w:u w:val="single"/>
              </w:rPr>
            </w:pPr>
            <w:r>
              <w:rPr>
                <w:rFonts w:hint="eastAsia"/>
                <w:sz w:val="21"/>
                <w:szCs w:val="21"/>
                <w:u w:val="single"/>
              </w:rPr>
              <w:t>13</w:t>
            </w:r>
          </w:p>
        </w:tc>
        <w:tc>
          <w:tcPr>
            <w:tcW w:w="804" w:type="pct"/>
            <w:vAlign w:val="center"/>
          </w:tcPr>
          <w:p w14:paraId="334CD90A">
            <w:pPr>
              <w:adjustRightInd w:val="0"/>
              <w:snapToGrid w:val="0"/>
              <w:spacing w:line="240" w:lineRule="auto"/>
              <w:jc w:val="center"/>
              <w:rPr>
                <w:sz w:val="21"/>
                <w:szCs w:val="21"/>
                <w:u w:val="single"/>
              </w:rPr>
            </w:pPr>
            <w:r>
              <w:rPr>
                <w:sz w:val="21"/>
                <w:szCs w:val="21"/>
                <w:u w:val="single"/>
              </w:rPr>
              <w:t>无溶剂胶黏剂A/B</w:t>
            </w:r>
            <w:r>
              <w:rPr>
                <w:rFonts w:hint="eastAsia"/>
                <w:sz w:val="21"/>
                <w:szCs w:val="21"/>
                <w:u w:val="single"/>
              </w:rPr>
              <w:t>胶</w:t>
            </w:r>
          </w:p>
        </w:tc>
        <w:tc>
          <w:tcPr>
            <w:tcW w:w="748" w:type="pct"/>
            <w:vAlign w:val="center"/>
          </w:tcPr>
          <w:p w14:paraId="465B9FF6">
            <w:pPr>
              <w:adjustRightInd w:val="0"/>
              <w:snapToGrid w:val="0"/>
              <w:spacing w:line="240" w:lineRule="auto"/>
              <w:jc w:val="center"/>
              <w:rPr>
                <w:sz w:val="21"/>
                <w:szCs w:val="21"/>
                <w:u w:val="single"/>
              </w:rPr>
            </w:pPr>
            <w:r>
              <w:rPr>
                <w:rFonts w:hint="eastAsia"/>
                <w:sz w:val="21"/>
                <w:szCs w:val="21"/>
                <w:u w:val="single"/>
              </w:rPr>
              <w:t>51.5</w:t>
            </w:r>
          </w:p>
        </w:tc>
        <w:tc>
          <w:tcPr>
            <w:tcW w:w="757" w:type="pct"/>
            <w:vAlign w:val="center"/>
          </w:tcPr>
          <w:p w14:paraId="128765A5">
            <w:pPr>
              <w:adjustRightInd w:val="0"/>
              <w:snapToGrid w:val="0"/>
              <w:spacing w:line="240" w:lineRule="auto"/>
              <w:jc w:val="center"/>
              <w:rPr>
                <w:sz w:val="21"/>
                <w:szCs w:val="21"/>
                <w:u w:val="single"/>
              </w:rPr>
            </w:pPr>
            <w:r>
              <w:rPr>
                <w:rFonts w:hint="eastAsia"/>
                <w:sz w:val="21"/>
                <w:szCs w:val="21"/>
                <w:u w:val="single"/>
              </w:rPr>
              <w:t>+410.5</w:t>
            </w:r>
          </w:p>
        </w:tc>
        <w:tc>
          <w:tcPr>
            <w:tcW w:w="840" w:type="pct"/>
            <w:vAlign w:val="center"/>
          </w:tcPr>
          <w:p w14:paraId="30234F8B">
            <w:pPr>
              <w:adjustRightInd w:val="0"/>
              <w:snapToGrid w:val="0"/>
              <w:spacing w:line="240" w:lineRule="auto"/>
              <w:jc w:val="center"/>
              <w:rPr>
                <w:rFonts w:hint="default" w:eastAsia="宋体"/>
                <w:sz w:val="21"/>
                <w:szCs w:val="21"/>
                <w:highlight w:val="none"/>
                <w:u w:val="single"/>
                <w:lang w:val="en-US" w:eastAsia="zh-CN"/>
              </w:rPr>
            </w:pPr>
            <w:r>
              <w:rPr>
                <w:rFonts w:hint="eastAsia"/>
                <w:sz w:val="21"/>
                <w:szCs w:val="21"/>
                <w:highlight w:val="none"/>
                <w:u w:val="single"/>
                <w:lang w:val="en-US" w:eastAsia="zh-CN"/>
              </w:rPr>
              <w:t>462</w:t>
            </w:r>
          </w:p>
        </w:tc>
        <w:tc>
          <w:tcPr>
            <w:tcW w:w="514" w:type="pct"/>
            <w:vAlign w:val="center"/>
          </w:tcPr>
          <w:p w14:paraId="7C328501">
            <w:pPr>
              <w:adjustRightInd w:val="0"/>
              <w:snapToGrid w:val="0"/>
              <w:spacing w:line="240" w:lineRule="auto"/>
              <w:jc w:val="center"/>
              <w:rPr>
                <w:sz w:val="21"/>
                <w:szCs w:val="21"/>
                <w:u w:val="single"/>
              </w:rPr>
            </w:pPr>
            <w:r>
              <w:rPr>
                <w:sz w:val="21"/>
                <w:szCs w:val="21"/>
                <w:u w:val="single"/>
              </w:rPr>
              <w:t>10</w:t>
            </w:r>
          </w:p>
        </w:tc>
        <w:tc>
          <w:tcPr>
            <w:tcW w:w="1000" w:type="pct"/>
            <w:gridSpan w:val="2"/>
            <w:vAlign w:val="center"/>
          </w:tcPr>
          <w:p w14:paraId="766C2269">
            <w:pPr>
              <w:adjustRightInd w:val="0"/>
              <w:snapToGrid w:val="0"/>
              <w:spacing w:line="240" w:lineRule="auto"/>
              <w:jc w:val="center"/>
              <w:rPr>
                <w:sz w:val="21"/>
                <w:szCs w:val="21"/>
                <w:u w:val="single"/>
              </w:rPr>
            </w:pPr>
            <w:r>
              <w:rPr>
                <w:sz w:val="21"/>
                <w:szCs w:val="21"/>
                <w:u w:val="single"/>
              </w:rPr>
              <w:t>无溶剂型</w:t>
            </w:r>
          </w:p>
        </w:tc>
      </w:tr>
      <w:tr w14:paraId="137F1D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59730F24">
            <w:pPr>
              <w:adjustRightInd w:val="0"/>
              <w:snapToGrid w:val="0"/>
              <w:spacing w:line="240" w:lineRule="auto"/>
              <w:jc w:val="center"/>
              <w:rPr>
                <w:sz w:val="21"/>
                <w:szCs w:val="21"/>
                <w:u w:val="single"/>
              </w:rPr>
            </w:pPr>
            <w:r>
              <w:rPr>
                <w:rFonts w:hint="eastAsia"/>
                <w:sz w:val="21"/>
                <w:szCs w:val="21"/>
                <w:u w:val="single"/>
              </w:rPr>
              <w:t>14</w:t>
            </w:r>
          </w:p>
        </w:tc>
        <w:tc>
          <w:tcPr>
            <w:tcW w:w="804" w:type="pct"/>
            <w:vAlign w:val="center"/>
          </w:tcPr>
          <w:p w14:paraId="42BF1910">
            <w:pPr>
              <w:adjustRightInd w:val="0"/>
              <w:snapToGrid w:val="0"/>
              <w:spacing w:line="240" w:lineRule="auto"/>
              <w:jc w:val="center"/>
              <w:rPr>
                <w:sz w:val="21"/>
                <w:szCs w:val="21"/>
                <w:u w:val="single"/>
              </w:rPr>
            </w:pPr>
            <w:r>
              <w:rPr>
                <w:sz w:val="21"/>
                <w:szCs w:val="21"/>
                <w:u w:val="single"/>
              </w:rPr>
              <w:t>溶剂型包装胶水</w:t>
            </w:r>
          </w:p>
        </w:tc>
        <w:tc>
          <w:tcPr>
            <w:tcW w:w="748" w:type="pct"/>
            <w:vAlign w:val="center"/>
          </w:tcPr>
          <w:p w14:paraId="62249CF6">
            <w:pPr>
              <w:adjustRightInd w:val="0"/>
              <w:snapToGrid w:val="0"/>
              <w:spacing w:line="240" w:lineRule="auto"/>
              <w:jc w:val="center"/>
              <w:rPr>
                <w:sz w:val="21"/>
                <w:szCs w:val="21"/>
                <w:u w:val="single"/>
              </w:rPr>
            </w:pPr>
            <w:r>
              <w:rPr>
                <w:rFonts w:hint="eastAsia"/>
                <w:sz w:val="21"/>
                <w:szCs w:val="21"/>
                <w:u w:val="single"/>
              </w:rPr>
              <w:t>40</w:t>
            </w:r>
          </w:p>
        </w:tc>
        <w:tc>
          <w:tcPr>
            <w:tcW w:w="757" w:type="pct"/>
            <w:vAlign w:val="center"/>
          </w:tcPr>
          <w:p w14:paraId="76A0756B">
            <w:pPr>
              <w:adjustRightInd w:val="0"/>
              <w:snapToGrid w:val="0"/>
              <w:spacing w:line="240" w:lineRule="auto"/>
              <w:jc w:val="center"/>
              <w:rPr>
                <w:sz w:val="21"/>
                <w:szCs w:val="21"/>
                <w:u w:val="single"/>
              </w:rPr>
            </w:pPr>
            <w:r>
              <w:rPr>
                <w:rFonts w:hint="eastAsia"/>
                <w:sz w:val="21"/>
                <w:szCs w:val="21"/>
                <w:u w:val="single"/>
              </w:rPr>
              <w:t>+752</w:t>
            </w:r>
          </w:p>
        </w:tc>
        <w:tc>
          <w:tcPr>
            <w:tcW w:w="840" w:type="pct"/>
            <w:vAlign w:val="center"/>
          </w:tcPr>
          <w:p w14:paraId="03610236">
            <w:pPr>
              <w:adjustRightInd w:val="0"/>
              <w:snapToGrid w:val="0"/>
              <w:spacing w:line="240" w:lineRule="auto"/>
              <w:jc w:val="center"/>
              <w:rPr>
                <w:rFonts w:hint="default" w:eastAsia="宋体"/>
                <w:sz w:val="21"/>
                <w:szCs w:val="21"/>
                <w:highlight w:val="none"/>
                <w:u w:val="single"/>
                <w:lang w:val="en-US" w:eastAsia="zh-CN"/>
              </w:rPr>
            </w:pPr>
            <w:r>
              <w:rPr>
                <w:rFonts w:hint="eastAsia"/>
                <w:sz w:val="21"/>
                <w:szCs w:val="21"/>
                <w:highlight w:val="none"/>
                <w:u w:val="single"/>
                <w:lang w:val="en-US" w:eastAsia="zh-CN"/>
              </w:rPr>
              <w:t>792</w:t>
            </w:r>
          </w:p>
        </w:tc>
        <w:tc>
          <w:tcPr>
            <w:tcW w:w="514" w:type="pct"/>
            <w:vAlign w:val="center"/>
          </w:tcPr>
          <w:p w14:paraId="1C24B625">
            <w:pPr>
              <w:adjustRightInd w:val="0"/>
              <w:snapToGrid w:val="0"/>
              <w:spacing w:line="240" w:lineRule="auto"/>
              <w:jc w:val="center"/>
              <w:rPr>
                <w:sz w:val="21"/>
                <w:szCs w:val="21"/>
                <w:u w:val="single"/>
              </w:rPr>
            </w:pPr>
            <w:r>
              <w:rPr>
                <w:rFonts w:hint="eastAsia"/>
                <w:sz w:val="21"/>
                <w:szCs w:val="21"/>
                <w:u w:val="single"/>
              </w:rPr>
              <w:t>10</w:t>
            </w:r>
          </w:p>
        </w:tc>
        <w:tc>
          <w:tcPr>
            <w:tcW w:w="1000" w:type="pct"/>
            <w:gridSpan w:val="2"/>
            <w:vAlign w:val="center"/>
          </w:tcPr>
          <w:p w14:paraId="7E9C9BA2">
            <w:pPr>
              <w:adjustRightInd w:val="0"/>
              <w:snapToGrid w:val="0"/>
              <w:spacing w:line="240" w:lineRule="auto"/>
              <w:jc w:val="center"/>
              <w:rPr>
                <w:sz w:val="21"/>
                <w:szCs w:val="21"/>
                <w:u w:val="single"/>
              </w:rPr>
            </w:pPr>
            <w:r>
              <w:rPr>
                <w:sz w:val="21"/>
                <w:szCs w:val="21"/>
                <w:u w:val="single"/>
              </w:rPr>
              <w:t>溶剂型，溶剂乙酸乙酯</w:t>
            </w:r>
          </w:p>
        </w:tc>
      </w:tr>
      <w:tr w14:paraId="4E107D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1E59CE25">
            <w:pPr>
              <w:adjustRightInd w:val="0"/>
              <w:snapToGrid w:val="0"/>
              <w:spacing w:line="240" w:lineRule="auto"/>
              <w:jc w:val="center"/>
              <w:rPr>
                <w:sz w:val="21"/>
                <w:szCs w:val="21"/>
                <w:u w:val="single"/>
              </w:rPr>
            </w:pPr>
            <w:r>
              <w:rPr>
                <w:rFonts w:hint="eastAsia"/>
                <w:sz w:val="21"/>
                <w:szCs w:val="21"/>
                <w:u w:val="single"/>
              </w:rPr>
              <w:t>15</w:t>
            </w:r>
          </w:p>
        </w:tc>
        <w:tc>
          <w:tcPr>
            <w:tcW w:w="804" w:type="pct"/>
            <w:vAlign w:val="center"/>
          </w:tcPr>
          <w:p w14:paraId="0D9281C0">
            <w:pPr>
              <w:adjustRightInd w:val="0"/>
              <w:snapToGrid w:val="0"/>
              <w:spacing w:line="240" w:lineRule="auto"/>
              <w:jc w:val="center"/>
              <w:rPr>
                <w:sz w:val="21"/>
                <w:szCs w:val="21"/>
                <w:u w:val="single"/>
              </w:rPr>
            </w:pPr>
            <w:r>
              <w:rPr>
                <w:sz w:val="21"/>
                <w:szCs w:val="21"/>
                <w:u w:val="single"/>
              </w:rPr>
              <w:t>烫金纸</w:t>
            </w:r>
          </w:p>
        </w:tc>
        <w:tc>
          <w:tcPr>
            <w:tcW w:w="748" w:type="pct"/>
            <w:vAlign w:val="center"/>
          </w:tcPr>
          <w:p w14:paraId="09C80D6B">
            <w:pPr>
              <w:adjustRightInd w:val="0"/>
              <w:snapToGrid w:val="0"/>
              <w:spacing w:line="240" w:lineRule="auto"/>
              <w:jc w:val="center"/>
              <w:rPr>
                <w:sz w:val="21"/>
                <w:szCs w:val="21"/>
                <w:u w:val="single"/>
              </w:rPr>
            </w:pPr>
            <w:r>
              <w:rPr>
                <w:rFonts w:hint="eastAsia"/>
                <w:sz w:val="21"/>
                <w:szCs w:val="21"/>
                <w:u w:val="single"/>
              </w:rPr>
              <w:t>70</w:t>
            </w:r>
          </w:p>
        </w:tc>
        <w:tc>
          <w:tcPr>
            <w:tcW w:w="757" w:type="pct"/>
            <w:vAlign w:val="center"/>
          </w:tcPr>
          <w:p w14:paraId="4BB6BDDF">
            <w:pPr>
              <w:adjustRightInd w:val="0"/>
              <w:snapToGrid w:val="0"/>
              <w:spacing w:line="240" w:lineRule="auto"/>
              <w:jc w:val="center"/>
              <w:rPr>
                <w:sz w:val="21"/>
                <w:szCs w:val="21"/>
                <w:u w:val="single"/>
              </w:rPr>
            </w:pPr>
            <w:r>
              <w:rPr>
                <w:rFonts w:hint="eastAsia"/>
                <w:sz w:val="21"/>
                <w:szCs w:val="21"/>
                <w:u w:val="single"/>
              </w:rPr>
              <w:t>+10</w:t>
            </w:r>
          </w:p>
        </w:tc>
        <w:tc>
          <w:tcPr>
            <w:tcW w:w="840" w:type="pct"/>
            <w:vAlign w:val="center"/>
          </w:tcPr>
          <w:p w14:paraId="57CA6D1B">
            <w:pPr>
              <w:adjustRightInd w:val="0"/>
              <w:snapToGrid w:val="0"/>
              <w:spacing w:line="240" w:lineRule="auto"/>
              <w:jc w:val="center"/>
              <w:rPr>
                <w:sz w:val="21"/>
                <w:szCs w:val="21"/>
                <w:u w:val="single"/>
              </w:rPr>
            </w:pPr>
            <w:r>
              <w:rPr>
                <w:rFonts w:hint="eastAsia"/>
                <w:sz w:val="21"/>
                <w:szCs w:val="21"/>
                <w:u w:val="single"/>
              </w:rPr>
              <w:t>80</w:t>
            </w:r>
          </w:p>
        </w:tc>
        <w:tc>
          <w:tcPr>
            <w:tcW w:w="514" w:type="pct"/>
            <w:vAlign w:val="center"/>
          </w:tcPr>
          <w:p w14:paraId="2BEE9055">
            <w:pPr>
              <w:adjustRightInd w:val="0"/>
              <w:snapToGrid w:val="0"/>
              <w:spacing w:line="240" w:lineRule="auto"/>
              <w:jc w:val="center"/>
              <w:rPr>
                <w:sz w:val="21"/>
                <w:szCs w:val="21"/>
                <w:u w:val="single"/>
              </w:rPr>
            </w:pPr>
            <w:r>
              <w:rPr>
                <w:rFonts w:hint="eastAsia"/>
                <w:sz w:val="21"/>
                <w:szCs w:val="21"/>
                <w:u w:val="single"/>
              </w:rPr>
              <w:t>80</w:t>
            </w:r>
          </w:p>
        </w:tc>
        <w:tc>
          <w:tcPr>
            <w:tcW w:w="1000" w:type="pct"/>
            <w:gridSpan w:val="2"/>
            <w:vAlign w:val="center"/>
          </w:tcPr>
          <w:p w14:paraId="19116C05">
            <w:pPr>
              <w:adjustRightInd w:val="0"/>
              <w:snapToGrid w:val="0"/>
              <w:spacing w:line="240" w:lineRule="auto"/>
              <w:jc w:val="center"/>
              <w:rPr>
                <w:sz w:val="21"/>
                <w:szCs w:val="21"/>
                <w:u w:val="single"/>
              </w:rPr>
            </w:pPr>
            <w:r>
              <w:rPr>
                <w:sz w:val="21"/>
                <w:szCs w:val="21"/>
                <w:u w:val="single"/>
              </w:rPr>
              <w:t>金属铝箔</w:t>
            </w:r>
          </w:p>
        </w:tc>
      </w:tr>
      <w:tr w14:paraId="629998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12351BC3">
            <w:pPr>
              <w:adjustRightInd w:val="0"/>
              <w:snapToGrid w:val="0"/>
              <w:spacing w:line="240" w:lineRule="auto"/>
              <w:jc w:val="center"/>
              <w:rPr>
                <w:sz w:val="21"/>
                <w:szCs w:val="21"/>
                <w:u w:val="single"/>
              </w:rPr>
            </w:pPr>
            <w:r>
              <w:rPr>
                <w:rFonts w:hint="eastAsia"/>
                <w:sz w:val="21"/>
                <w:szCs w:val="21"/>
                <w:u w:val="single"/>
              </w:rPr>
              <w:t>17</w:t>
            </w:r>
          </w:p>
        </w:tc>
        <w:tc>
          <w:tcPr>
            <w:tcW w:w="804" w:type="pct"/>
            <w:vAlign w:val="center"/>
          </w:tcPr>
          <w:p w14:paraId="05B9F8CC">
            <w:pPr>
              <w:adjustRightInd w:val="0"/>
              <w:snapToGrid w:val="0"/>
              <w:spacing w:line="240" w:lineRule="auto"/>
              <w:jc w:val="center"/>
              <w:rPr>
                <w:sz w:val="21"/>
                <w:szCs w:val="21"/>
                <w:u w:val="single"/>
              </w:rPr>
            </w:pPr>
            <w:r>
              <w:rPr>
                <w:rFonts w:hint="eastAsia"/>
                <w:sz w:val="21"/>
                <w:szCs w:val="21"/>
                <w:u w:val="single"/>
              </w:rPr>
              <w:t>活性炭</w:t>
            </w:r>
          </w:p>
        </w:tc>
        <w:tc>
          <w:tcPr>
            <w:tcW w:w="748" w:type="pct"/>
            <w:vAlign w:val="center"/>
          </w:tcPr>
          <w:p w14:paraId="5EA8E456">
            <w:pPr>
              <w:adjustRightInd w:val="0"/>
              <w:snapToGrid w:val="0"/>
              <w:spacing w:line="240" w:lineRule="auto"/>
              <w:jc w:val="center"/>
              <w:rPr>
                <w:sz w:val="21"/>
                <w:szCs w:val="21"/>
                <w:u w:val="single"/>
              </w:rPr>
            </w:pPr>
            <w:r>
              <w:rPr>
                <w:rFonts w:hint="eastAsia"/>
                <w:sz w:val="21"/>
                <w:szCs w:val="21"/>
                <w:u w:val="single"/>
              </w:rPr>
              <w:t>70/10a</w:t>
            </w:r>
          </w:p>
        </w:tc>
        <w:tc>
          <w:tcPr>
            <w:tcW w:w="757" w:type="pct"/>
            <w:vAlign w:val="center"/>
          </w:tcPr>
          <w:p w14:paraId="45BCB88C">
            <w:pPr>
              <w:adjustRightInd w:val="0"/>
              <w:snapToGrid w:val="0"/>
              <w:spacing w:line="240" w:lineRule="auto"/>
              <w:jc w:val="center"/>
              <w:rPr>
                <w:sz w:val="21"/>
                <w:szCs w:val="21"/>
                <w:u w:val="single"/>
              </w:rPr>
            </w:pPr>
            <w:r>
              <w:rPr>
                <w:rFonts w:hint="eastAsia"/>
                <w:sz w:val="21"/>
                <w:szCs w:val="21"/>
                <w:u w:val="single"/>
              </w:rPr>
              <w:t>0</w:t>
            </w:r>
          </w:p>
        </w:tc>
        <w:tc>
          <w:tcPr>
            <w:tcW w:w="840" w:type="pct"/>
            <w:vAlign w:val="center"/>
          </w:tcPr>
          <w:p w14:paraId="41B3F8DC">
            <w:pPr>
              <w:adjustRightInd w:val="0"/>
              <w:snapToGrid w:val="0"/>
              <w:spacing w:line="240" w:lineRule="auto"/>
              <w:jc w:val="center"/>
              <w:rPr>
                <w:sz w:val="21"/>
                <w:szCs w:val="21"/>
                <w:u w:val="single"/>
              </w:rPr>
            </w:pPr>
            <w:r>
              <w:rPr>
                <w:rFonts w:hint="eastAsia"/>
                <w:sz w:val="21"/>
                <w:szCs w:val="21"/>
                <w:u w:val="single"/>
              </w:rPr>
              <w:t>70/10a</w:t>
            </w:r>
          </w:p>
        </w:tc>
        <w:tc>
          <w:tcPr>
            <w:tcW w:w="514" w:type="pct"/>
            <w:vAlign w:val="center"/>
          </w:tcPr>
          <w:p w14:paraId="22BA197A">
            <w:pPr>
              <w:adjustRightInd w:val="0"/>
              <w:snapToGrid w:val="0"/>
              <w:spacing w:line="240" w:lineRule="auto"/>
              <w:jc w:val="center"/>
              <w:rPr>
                <w:sz w:val="21"/>
                <w:szCs w:val="21"/>
                <w:u w:val="single"/>
              </w:rPr>
            </w:pPr>
            <w:r>
              <w:rPr>
                <w:rFonts w:hint="eastAsia"/>
                <w:sz w:val="21"/>
                <w:szCs w:val="21"/>
                <w:u w:val="single"/>
              </w:rPr>
              <w:t>70/10a</w:t>
            </w:r>
          </w:p>
        </w:tc>
        <w:tc>
          <w:tcPr>
            <w:tcW w:w="1000" w:type="pct"/>
            <w:gridSpan w:val="2"/>
            <w:vAlign w:val="center"/>
          </w:tcPr>
          <w:p w14:paraId="07B96BE0">
            <w:pPr>
              <w:adjustRightInd w:val="0"/>
              <w:snapToGrid w:val="0"/>
              <w:spacing w:line="240" w:lineRule="auto"/>
              <w:jc w:val="center"/>
              <w:rPr>
                <w:sz w:val="21"/>
                <w:szCs w:val="21"/>
                <w:u w:val="single"/>
              </w:rPr>
            </w:pPr>
            <w:r>
              <w:rPr>
                <w:rFonts w:hint="eastAsia"/>
                <w:sz w:val="21"/>
                <w:szCs w:val="21"/>
                <w:u w:val="single"/>
              </w:rPr>
              <w:t>环保措施</w:t>
            </w:r>
          </w:p>
        </w:tc>
      </w:tr>
      <w:tr w14:paraId="71AE49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3607AB35">
            <w:pPr>
              <w:adjustRightInd w:val="0"/>
              <w:snapToGrid w:val="0"/>
              <w:spacing w:line="240" w:lineRule="auto"/>
              <w:jc w:val="center"/>
              <w:rPr>
                <w:sz w:val="21"/>
                <w:szCs w:val="21"/>
                <w:u w:val="single"/>
              </w:rPr>
            </w:pPr>
            <w:r>
              <w:rPr>
                <w:rFonts w:hint="eastAsia"/>
                <w:sz w:val="21"/>
                <w:szCs w:val="21"/>
                <w:u w:val="single"/>
              </w:rPr>
              <w:t>18</w:t>
            </w:r>
          </w:p>
        </w:tc>
        <w:tc>
          <w:tcPr>
            <w:tcW w:w="804" w:type="pct"/>
            <w:vAlign w:val="center"/>
          </w:tcPr>
          <w:p w14:paraId="29121721">
            <w:pPr>
              <w:adjustRightInd w:val="0"/>
              <w:snapToGrid w:val="0"/>
              <w:spacing w:line="240" w:lineRule="auto"/>
              <w:jc w:val="center"/>
              <w:rPr>
                <w:sz w:val="21"/>
                <w:szCs w:val="21"/>
                <w:u w:val="single"/>
              </w:rPr>
            </w:pPr>
            <w:r>
              <w:rPr>
                <w:rFonts w:hint="eastAsia"/>
                <w:sz w:val="21"/>
                <w:szCs w:val="21"/>
                <w:u w:val="single"/>
              </w:rPr>
              <w:t>沸石</w:t>
            </w:r>
          </w:p>
        </w:tc>
        <w:tc>
          <w:tcPr>
            <w:tcW w:w="748" w:type="pct"/>
            <w:vAlign w:val="center"/>
          </w:tcPr>
          <w:p w14:paraId="0FC4E5E4">
            <w:pPr>
              <w:adjustRightInd w:val="0"/>
              <w:snapToGrid w:val="0"/>
              <w:spacing w:line="240" w:lineRule="auto"/>
              <w:jc w:val="center"/>
              <w:rPr>
                <w:sz w:val="21"/>
                <w:szCs w:val="21"/>
                <w:u w:val="single"/>
              </w:rPr>
            </w:pPr>
            <w:r>
              <w:rPr>
                <w:rFonts w:hint="eastAsia"/>
                <w:sz w:val="21"/>
                <w:szCs w:val="21"/>
                <w:u w:val="single"/>
              </w:rPr>
              <w:t>2.5/8a</w:t>
            </w:r>
          </w:p>
        </w:tc>
        <w:tc>
          <w:tcPr>
            <w:tcW w:w="757" w:type="pct"/>
            <w:vAlign w:val="center"/>
          </w:tcPr>
          <w:p w14:paraId="4CE46466">
            <w:pPr>
              <w:adjustRightInd w:val="0"/>
              <w:snapToGrid w:val="0"/>
              <w:spacing w:line="240" w:lineRule="auto"/>
              <w:jc w:val="center"/>
              <w:rPr>
                <w:sz w:val="21"/>
                <w:szCs w:val="21"/>
                <w:u w:val="single"/>
              </w:rPr>
            </w:pPr>
            <w:r>
              <w:rPr>
                <w:rFonts w:hint="eastAsia"/>
                <w:sz w:val="21"/>
                <w:szCs w:val="21"/>
                <w:u w:val="single"/>
              </w:rPr>
              <w:t>0</w:t>
            </w:r>
          </w:p>
        </w:tc>
        <w:tc>
          <w:tcPr>
            <w:tcW w:w="840" w:type="pct"/>
            <w:vAlign w:val="center"/>
          </w:tcPr>
          <w:p w14:paraId="37157F8E">
            <w:pPr>
              <w:adjustRightInd w:val="0"/>
              <w:snapToGrid w:val="0"/>
              <w:spacing w:line="240" w:lineRule="auto"/>
              <w:jc w:val="center"/>
              <w:rPr>
                <w:sz w:val="21"/>
                <w:szCs w:val="21"/>
                <w:u w:val="single"/>
              </w:rPr>
            </w:pPr>
            <w:r>
              <w:rPr>
                <w:rFonts w:hint="eastAsia"/>
                <w:sz w:val="21"/>
                <w:szCs w:val="21"/>
                <w:u w:val="single"/>
              </w:rPr>
              <w:t>2.5/8a</w:t>
            </w:r>
          </w:p>
        </w:tc>
        <w:tc>
          <w:tcPr>
            <w:tcW w:w="514" w:type="pct"/>
            <w:vAlign w:val="center"/>
          </w:tcPr>
          <w:p w14:paraId="1F97F2E4">
            <w:pPr>
              <w:adjustRightInd w:val="0"/>
              <w:snapToGrid w:val="0"/>
              <w:spacing w:line="240" w:lineRule="auto"/>
              <w:jc w:val="center"/>
              <w:rPr>
                <w:sz w:val="21"/>
                <w:szCs w:val="21"/>
                <w:u w:val="single"/>
              </w:rPr>
            </w:pPr>
            <w:r>
              <w:rPr>
                <w:rFonts w:hint="eastAsia"/>
                <w:sz w:val="21"/>
                <w:szCs w:val="21"/>
                <w:u w:val="single"/>
              </w:rPr>
              <w:t>2.5/8a</w:t>
            </w:r>
          </w:p>
        </w:tc>
        <w:tc>
          <w:tcPr>
            <w:tcW w:w="1000" w:type="pct"/>
            <w:gridSpan w:val="2"/>
            <w:vAlign w:val="center"/>
          </w:tcPr>
          <w:p w14:paraId="231E4CAB">
            <w:pPr>
              <w:adjustRightInd w:val="0"/>
              <w:snapToGrid w:val="0"/>
              <w:spacing w:line="240" w:lineRule="auto"/>
              <w:jc w:val="center"/>
              <w:rPr>
                <w:sz w:val="21"/>
                <w:szCs w:val="21"/>
                <w:u w:val="single"/>
              </w:rPr>
            </w:pPr>
            <w:r>
              <w:rPr>
                <w:rFonts w:hint="eastAsia"/>
                <w:sz w:val="21"/>
                <w:szCs w:val="21"/>
                <w:u w:val="single"/>
              </w:rPr>
              <w:t>环保措施</w:t>
            </w:r>
          </w:p>
        </w:tc>
      </w:tr>
      <w:tr w14:paraId="54F42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7F872192">
            <w:pPr>
              <w:adjustRightInd w:val="0"/>
              <w:snapToGrid w:val="0"/>
              <w:spacing w:line="240" w:lineRule="auto"/>
              <w:jc w:val="center"/>
              <w:rPr>
                <w:sz w:val="21"/>
                <w:szCs w:val="21"/>
                <w:u w:val="single"/>
              </w:rPr>
            </w:pPr>
            <w:r>
              <w:rPr>
                <w:rFonts w:hint="eastAsia"/>
                <w:sz w:val="21"/>
                <w:szCs w:val="21"/>
                <w:u w:val="single"/>
              </w:rPr>
              <w:t>19</w:t>
            </w:r>
          </w:p>
        </w:tc>
        <w:tc>
          <w:tcPr>
            <w:tcW w:w="804" w:type="pct"/>
            <w:vAlign w:val="center"/>
          </w:tcPr>
          <w:p w14:paraId="430BDAEE">
            <w:pPr>
              <w:adjustRightInd w:val="0"/>
              <w:snapToGrid w:val="0"/>
              <w:spacing w:line="240" w:lineRule="auto"/>
              <w:jc w:val="center"/>
              <w:rPr>
                <w:sz w:val="21"/>
                <w:szCs w:val="21"/>
                <w:u w:val="single"/>
              </w:rPr>
            </w:pPr>
            <w:r>
              <w:rPr>
                <w:rFonts w:hint="eastAsia"/>
                <w:sz w:val="21"/>
                <w:szCs w:val="21"/>
                <w:u w:val="single"/>
              </w:rPr>
              <w:t>过滤棉</w:t>
            </w:r>
          </w:p>
        </w:tc>
        <w:tc>
          <w:tcPr>
            <w:tcW w:w="748" w:type="pct"/>
            <w:vAlign w:val="center"/>
          </w:tcPr>
          <w:p w14:paraId="75907AA5">
            <w:pPr>
              <w:adjustRightInd w:val="0"/>
              <w:snapToGrid w:val="0"/>
              <w:spacing w:line="240" w:lineRule="auto"/>
              <w:jc w:val="center"/>
              <w:rPr>
                <w:sz w:val="21"/>
                <w:szCs w:val="21"/>
                <w:u w:val="single"/>
              </w:rPr>
            </w:pPr>
            <w:r>
              <w:rPr>
                <w:rFonts w:hint="eastAsia"/>
                <w:sz w:val="21"/>
                <w:szCs w:val="21"/>
                <w:u w:val="single"/>
              </w:rPr>
              <w:t>0.18</w:t>
            </w:r>
          </w:p>
        </w:tc>
        <w:tc>
          <w:tcPr>
            <w:tcW w:w="757" w:type="pct"/>
            <w:vAlign w:val="center"/>
          </w:tcPr>
          <w:p w14:paraId="14455FD8">
            <w:pPr>
              <w:adjustRightInd w:val="0"/>
              <w:snapToGrid w:val="0"/>
              <w:spacing w:line="240" w:lineRule="auto"/>
              <w:jc w:val="center"/>
              <w:rPr>
                <w:sz w:val="21"/>
                <w:szCs w:val="21"/>
                <w:u w:val="single"/>
              </w:rPr>
            </w:pPr>
            <w:r>
              <w:rPr>
                <w:rFonts w:hint="eastAsia"/>
                <w:sz w:val="21"/>
                <w:szCs w:val="21"/>
                <w:u w:val="single"/>
              </w:rPr>
              <w:t>0</w:t>
            </w:r>
          </w:p>
        </w:tc>
        <w:tc>
          <w:tcPr>
            <w:tcW w:w="840" w:type="pct"/>
            <w:vAlign w:val="center"/>
          </w:tcPr>
          <w:p w14:paraId="18745977">
            <w:pPr>
              <w:adjustRightInd w:val="0"/>
              <w:snapToGrid w:val="0"/>
              <w:spacing w:line="240" w:lineRule="auto"/>
              <w:jc w:val="center"/>
              <w:rPr>
                <w:sz w:val="21"/>
                <w:szCs w:val="21"/>
                <w:u w:val="single"/>
              </w:rPr>
            </w:pPr>
            <w:r>
              <w:rPr>
                <w:rFonts w:hint="eastAsia"/>
                <w:sz w:val="21"/>
                <w:szCs w:val="21"/>
                <w:u w:val="single"/>
              </w:rPr>
              <w:t>0.18</w:t>
            </w:r>
          </w:p>
        </w:tc>
        <w:tc>
          <w:tcPr>
            <w:tcW w:w="514" w:type="pct"/>
            <w:vAlign w:val="center"/>
          </w:tcPr>
          <w:p w14:paraId="0C6C45C6">
            <w:pPr>
              <w:adjustRightInd w:val="0"/>
              <w:snapToGrid w:val="0"/>
              <w:spacing w:line="240" w:lineRule="auto"/>
              <w:jc w:val="center"/>
              <w:rPr>
                <w:sz w:val="21"/>
                <w:szCs w:val="21"/>
                <w:u w:val="single"/>
              </w:rPr>
            </w:pPr>
            <w:r>
              <w:rPr>
                <w:rFonts w:hint="eastAsia"/>
                <w:sz w:val="21"/>
                <w:szCs w:val="21"/>
                <w:u w:val="single"/>
              </w:rPr>
              <w:t>0.18</w:t>
            </w:r>
          </w:p>
        </w:tc>
        <w:tc>
          <w:tcPr>
            <w:tcW w:w="1000" w:type="pct"/>
            <w:gridSpan w:val="2"/>
            <w:vAlign w:val="center"/>
          </w:tcPr>
          <w:p w14:paraId="0073B7ED">
            <w:pPr>
              <w:adjustRightInd w:val="0"/>
              <w:snapToGrid w:val="0"/>
              <w:spacing w:line="240" w:lineRule="auto"/>
              <w:jc w:val="center"/>
              <w:rPr>
                <w:sz w:val="21"/>
                <w:szCs w:val="21"/>
                <w:u w:val="single"/>
              </w:rPr>
            </w:pPr>
            <w:r>
              <w:rPr>
                <w:rFonts w:hint="eastAsia"/>
                <w:sz w:val="21"/>
                <w:szCs w:val="21"/>
                <w:u w:val="single"/>
              </w:rPr>
              <w:t>环保措施</w:t>
            </w:r>
          </w:p>
        </w:tc>
      </w:tr>
      <w:tr w14:paraId="01049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63BA3AB6">
            <w:pPr>
              <w:adjustRightInd w:val="0"/>
              <w:snapToGrid w:val="0"/>
              <w:spacing w:line="240" w:lineRule="auto"/>
              <w:jc w:val="center"/>
              <w:rPr>
                <w:sz w:val="21"/>
                <w:szCs w:val="21"/>
                <w:u w:val="single"/>
              </w:rPr>
            </w:pPr>
            <w:r>
              <w:rPr>
                <w:rFonts w:hint="eastAsia"/>
                <w:sz w:val="21"/>
                <w:szCs w:val="21"/>
                <w:u w:val="single"/>
              </w:rPr>
              <w:t>20</w:t>
            </w:r>
          </w:p>
        </w:tc>
        <w:tc>
          <w:tcPr>
            <w:tcW w:w="804" w:type="pct"/>
            <w:vAlign w:val="center"/>
          </w:tcPr>
          <w:p w14:paraId="67FA2F19">
            <w:pPr>
              <w:adjustRightInd w:val="0"/>
              <w:snapToGrid w:val="0"/>
              <w:spacing w:line="240" w:lineRule="auto"/>
              <w:jc w:val="center"/>
              <w:rPr>
                <w:sz w:val="21"/>
                <w:szCs w:val="21"/>
                <w:u w:val="single"/>
              </w:rPr>
            </w:pPr>
            <w:r>
              <w:rPr>
                <w:rFonts w:hint="eastAsia"/>
                <w:sz w:val="21"/>
                <w:szCs w:val="21"/>
                <w:u w:val="single"/>
              </w:rPr>
              <w:t>制冷剂</w:t>
            </w:r>
          </w:p>
        </w:tc>
        <w:tc>
          <w:tcPr>
            <w:tcW w:w="748" w:type="pct"/>
            <w:vAlign w:val="center"/>
          </w:tcPr>
          <w:p w14:paraId="7A941A35">
            <w:pPr>
              <w:adjustRightInd w:val="0"/>
              <w:snapToGrid w:val="0"/>
              <w:spacing w:line="240" w:lineRule="auto"/>
              <w:jc w:val="center"/>
              <w:rPr>
                <w:sz w:val="21"/>
                <w:szCs w:val="21"/>
                <w:u w:val="single"/>
              </w:rPr>
            </w:pPr>
            <w:r>
              <w:rPr>
                <w:rFonts w:hint="eastAsia"/>
                <w:sz w:val="21"/>
                <w:szCs w:val="21"/>
                <w:u w:val="single"/>
              </w:rPr>
              <w:t>0.1</w:t>
            </w:r>
          </w:p>
        </w:tc>
        <w:tc>
          <w:tcPr>
            <w:tcW w:w="757" w:type="pct"/>
            <w:vAlign w:val="center"/>
          </w:tcPr>
          <w:p w14:paraId="60526F29">
            <w:pPr>
              <w:adjustRightInd w:val="0"/>
              <w:snapToGrid w:val="0"/>
              <w:spacing w:line="240" w:lineRule="auto"/>
              <w:jc w:val="center"/>
              <w:rPr>
                <w:sz w:val="21"/>
                <w:szCs w:val="21"/>
                <w:u w:val="single"/>
              </w:rPr>
            </w:pPr>
            <w:r>
              <w:rPr>
                <w:rFonts w:hint="eastAsia"/>
                <w:sz w:val="21"/>
                <w:szCs w:val="21"/>
                <w:u w:val="single"/>
              </w:rPr>
              <w:t>0</w:t>
            </w:r>
          </w:p>
        </w:tc>
        <w:tc>
          <w:tcPr>
            <w:tcW w:w="840" w:type="pct"/>
            <w:vAlign w:val="center"/>
          </w:tcPr>
          <w:p w14:paraId="6B4BEDCF">
            <w:pPr>
              <w:adjustRightInd w:val="0"/>
              <w:snapToGrid w:val="0"/>
              <w:spacing w:line="240" w:lineRule="auto"/>
              <w:jc w:val="center"/>
              <w:rPr>
                <w:sz w:val="21"/>
                <w:szCs w:val="21"/>
                <w:u w:val="single"/>
              </w:rPr>
            </w:pPr>
            <w:r>
              <w:rPr>
                <w:rFonts w:hint="eastAsia"/>
                <w:sz w:val="21"/>
                <w:szCs w:val="21"/>
                <w:u w:val="single"/>
              </w:rPr>
              <w:t>0.1</w:t>
            </w:r>
          </w:p>
        </w:tc>
        <w:tc>
          <w:tcPr>
            <w:tcW w:w="514" w:type="pct"/>
            <w:vAlign w:val="center"/>
          </w:tcPr>
          <w:p w14:paraId="6065DEC5">
            <w:pPr>
              <w:adjustRightInd w:val="0"/>
              <w:snapToGrid w:val="0"/>
              <w:spacing w:line="240" w:lineRule="auto"/>
              <w:jc w:val="center"/>
              <w:rPr>
                <w:sz w:val="21"/>
                <w:szCs w:val="21"/>
                <w:u w:val="single"/>
              </w:rPr>
            </w:pPr>
            <w:r>
              <w:rPr>
                <w:rFonts w:hint="eastAsia"/>
                <w:sz w:val="21"/>
                <w:szCs w:val="21"/>
                <w:u w:val="single"/>
              </w:rPr>
              <w:t>0.1</w:t>
            </w:r>
          </w:p>
        </w:tc>
        <w:tc>
          <w:tcPr>
            <w:tcW w:w="1000" w:type="pct"/>
            <w:gridSpan w:val="2"/>
            <w:vAlign w:val="center"/>
          </w:tcPr>
          <w:p w14:paraId="01A83D18">
            <w:pPr>
              <w:adjustRightInd w:val="0"/>
              <w:snapToGrid w:val="0"/>
              <w:spacing w:line="240" w:lineRule="auto"/>
              <w:jc w:val="center"/>
              <w:rPr>
                <w:sz w:val="21"/>
                <w:szCs w:val="21"/>
                <w:u w:val="single"/>
              </w:rPr>
            </w:pPr>
            <w:r>
              <w:rPr>
                <w:rFonts w:hint="eastAsia"/>
                <w:sz w:val="21"/>
                <w:szCs w:val="21"/>
                <w:u w:val="single"/>
              </w:rPr>
              <w:t>环保措施</w:t>
            </w:r>
          </w:p>
        </w:tc>
      </w:tr>
      <w:tr w14:paraId="779F5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2573D025">
            <w:pPr>
              <w:adjustRightInd w:val="0"/>
              <w:snapToGrid w:val="0"/>
              <w:spacing w:line="240" w:lineRule="auto"/>
              <w:jc w:val="center"/>
              <w:rPr>
                <w:sz w:val="21"/>
                <w:szCs w:val="21"/>
                <w:u w:val="single"/>
              </w:rPr>
            </w:pPr>
            <w:r>
              <w:rPr>
                <w:rFonts w:hint="eastAsia"/>
                <w:sz w:val="21"/>
                <w:szCs w:val="21"/>
                <w:u w:val="single"/>
              </w:rPr>
              <w:t>21</w:t>
            </w:r>
          </w:p>
        </w:tc>
        <w:tc>
          <w:tcPr>
            <w:tcW w:w="804" w:type="pct"/>
            <w:vAlign w:val="center"/>
          </w:tcPr>
          <w:p w14:paraId="4FD74EB4">
            <w:pPr>
              <w:adjustRightInd w:val="0"/>
              <w:snapToGrid w:val="0"/>
              <w:spacing w:line="240" w:lineRule="auto"/>
              <w:jc w:val="center"/>
              <w:rPr>
                <w:sz w:val="21"/>
                <w:szCs w:val="21"/>
                <w:u w:val="single"/>
              </w:rPr>
            </w:pPr>
            <w:r>
              <w:rPr>
                <w:rFonts w:hint="eastAsia"/>
                <w:sz w:val="21"/>
                <w:szCs w:val="21"/>
                <w:u w:val="single"/>
              </w:rPr>
              <w:t>润滑油</w:t>
            </w:r>
          </w:p>
        </w:tc>
        <w:tc>
          <w:tcPr>
            <w:tcW w:w="748" w:type="pct"/>
            <w:vAlign w:val="center"/>
          </w:tcPr>
          <w:p w14:paraId="333E54B9">
            <w:pPr>
              <w:adjustRightInd w:val="0"/>
              <w:snapToGrid w:val="0"/>
              <w:spacing w:line="240" w:lineRule="auto"/>
              <w:jc w:val="center"/>
              <w:rPr>
                <w:sz w:val="21"/>
                <w:szCs w:val="21"/>
                <w:u w:val="single"/>
              </w:rPr>
            </w:pPr>
            <w:r>
              <w:rPr>
                <w:rFonts w:hint="eastAsia"/>
                <w:sz w:val="21"/>
                <w:szCs w:val="21"/>
                <w:u w:val="single"/>
              </w:rPr>
              <w:t>0.8</w:t>
            </w:r>
          </w:p>
        </w:tc>
        <w:tc>
          <w:tcPr>
            <w:tcW w:w="757" w:type="pct"/>
            <w:vAlign w:val="center"/>
          </w:tcPr>
          <w:p w14:paraId="7A0A2C05">
            <w:pPr>
              <w:adjustRightInd w:val="0"/>
              <w:snapToGrid w:val="0"/>
              <w:spacing w:line="240" w:lineRule="auto"/>
              <w:jc w:val="center"/>
              <w:rPr>
                <w:sz w:val="21"/>
                <w:szCs w:val="21"/>
                <w:u w:val="single"/>
              </w:rPr>
            </w:pPr>
            <w:r>
              <w:rPr>
                <w:rFonts w:hint="eastAsia"/>
                <w:sz w:val="21"/>
                <w:szCs w:val="21"/>
                <w:u w:val="single"/>
              </w:rPr>
              <w:t>0</w:t>
            </w:r>
          </w:p>
        </w:tc>
        <w:tc>
          <w:tcPr>
            <w:tcW w:w="840" w:type="pct"/>
            <w:vAlign w:val="center"/>
          </w:tcPr>
          <w:p w14:paraId="41F95D24">
            <w:pPr>
              <w:adjustRightInd w:val="0"/>
              <w:snapToGrid w:val="0"/>
              <w:spacing w:line="240" w:lineRule="auto"/>
              <w:jc w:val="center"/>
              <w:rPr>
                <w:sz w:val="21"/>
                <w:szCs w:val="21"/>
                <w:u w:val="single"/>
              </w:rPr>
            </w:pPr>
            <w:r>
              <w:rPr>
                <w:rFonts w:hint="eastAsia"/>
                <w:sz w:val="21"/>
                <w:szCs w:val="21"/>
                <w:u w:val="single"/>
              </w:rPr>
              <w:t>0.8</w:t>
            </w:r>
          </w:p>
        </w:tc>
        <w:tc>
          <w:tcPr>
            <w:tcW w:w="514" w:type="pct"/>
            <w:vAlign w:val="center"/>
          </w:tcPr>
          <w:p w14:paraId="4B7D7522">
            <w:pPr>
              <w:adjustRightInd w:val="0"/>
              <w:snapToGrid w:val="0"/>
              <w:spacing w:line="240" w:lineRule="auto"/>
              <w:jc w:val="center"/>
              <w:rPr>
                <w:sz w:val="21"/>
                <w:szCs w:val="21"/>
                <w:u w:val="single"/>
              </w:rPr>
            </w:pPr>
            <w:r>
              <w:rPr>
                <w:rFonts w:hint="eastAsia"/>
                <w:sz w:val="21"/>
                <w:szCs w:val="21"/>
                <w:u w:val="single"/>
              </w:rPr>
              <w:t>0.8</w:t>
            </w:r>
          </w:p>
        </w:tc>
        <w:tc>
          <w:tcPr>
            <w:tcW w:w="1000" w:type="pct"/>
            <w:gridSpan w:val="2"/>
            <w:vAlign w:val="center"/>
          </w:tcPr>
          <w:p w14:paraId="47376F6C">
            <w:pPr>
              <w:adjustRightInd w:val="0"/>
              <w:snapToGrid w:val="0"/>
              <w:spacing w:line="240" w:lineRule="auto"/>
              <w:jc w:val="center"/>
              <w:rPr>
                <w:sz w:val="21"/>
                <w:szCs w:val="21"/>
                <w:u w:val="single"/>
              </w:rPr>
            </w:pPr>
            <w:r>
              <w:rPr>
                <w:rFonts w:hint="eastAsia"/>
                <w:sz w:val="21"/>
                <w:szCs w:val="21"/>
                <w:u w:val="single"/>
              </w:rPr>
              <w:t>设备日常维修保养</w:t>
            </w:r>
          </w:p>
        </w:tc>
      </w:tr>
      <w:tr w14:paraId="1F67CD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2AE62D68">
            <w:pPr>
              <w:adjustRightInd w:val="0"/>
              <w:snapToGrid w:val="0"/>
              <w:spacing w:line="240" w:lineRule="auto"/>
              <w:jc w:val="center"/>
              <w:rPr>
                <w:sz w:val="21"/>
                <w:szCs w:val="21"/>
                <w:u w:val="single"/>
              </w:rPr>
            </w:pPr>
            <w:r>
              <w:rPr>
                <w:rFonts w:hint="eastAsia"/>
                <w:sz w:val="21"/>
                <w:szCs w:val="21"/>
                <w:u w:val="single"/>
              </w:rPr>
              <w:t>22</w:t>
            </w:r>
          </w:p>
        </w:tc>
        <w:tc>
          <w:tcPr>
            <w:tcW w:w="804" w:type="pct"/>
            <w:vAlign w:val="center"/>
          </w:tcPr>
          <w:p w14:paraId="4D0EC1E3">
            <w:pPr>
              <w:adjustRightInd w:val="0"/>
              <w:snapToGrid w:val="0"/>
              <w:spacing w:line="240" w:lineRule="auto"/>
              <w:jc w:val="center"/>
              <w:rPr>
                <w:sz w:val="21"/>
                <w:szCs w:val="21"/>
                <w:u w:val="single"/>
              </w:rPr>
            </w:pPr>
            <w:r>
              <w:rPr>
                <w:rFonts w:hint="eastAsia"/>
                <w:sz w:val="21"/>
                <w:szCs w:val="21"/>
                <w:u w:val="single"/>
              </w:rPr>
              <w:t>导热油</w:t>
            </w:r>
          </w:p>
        </w:tc>
        <w:tc>
          <w:tcPr>
            <w:tcW w:w="748" w:type="pct"/>
            <w:vAlign w:val="center"/>
          </w:tcPr>
          <w:p w14:paraId="688519DE">
            <w:pPr>
              <w:adjustRightInd w:val="0"/>
              <w:snapToGrid w:val="0"/>
              <w:spacing w:line="240" w:lineRule="auto"/>
              <w:jc w:val="center"/>
              <w:rPr>
                <w:sz w:val="21"/>
                <w:szCs w:val="21"/>
                <w:u w:val="single"/>
              </w:rPr>
            </w:pPr>
            <w:r>
              <w:rPr>
                <w:rFonts w:hint="eastAsia"/>
                <w:sz w:val="21"/>
                <w:szCs w:val="21"/>
                <w:u w:val="single"/>
              </w:rPr>
              <w:t>2</w:t>
            </w:r>
          </w:p>
        </w:tc>
        <w:tc>
          <w:tcPr>
            <w:tcW w:w="757" w:type="pct"/>
            <w:vAlign w:val="center"/>
          </w:tcPr>
          <w:p w14:paraId="6FFCDE42">
            <w:pPr>
              <w:adjustRightInd w:val="0"/>
              <w:snapToGrid w:val="0"/>
              <w:spacing w:line="240" w:lineRule="auto"/>
              <w:jc w:val="center"/>
              <w:rPr>
                <w:sz w:val="21"/>
                <w:szCs w:val="21"/>
                <w:u w:val="single"/>
              </w:rPr>
            </w:pPr>
            <w:r>
              <w:rPr>
                <w:rFonts w:hint="eastAsia"/>
                <w:sz w:val="21"/>
                <w:szCs w:val="21"/>
                <w:u w:val="single"/>
              </w:rPr>
              <w:t>0</w:t>
            </w:r>
          </w:p>
        </w:tc>
        <w:tc>
          <w:tcPr>
            <w:tcW w:w="840" w:type="pct"/>
            <w:vAlign w:val="center"/>
          </w:tcPr>
          <w:p w14:paraId="108A755E">
            <w:pPr>
              <w:adjustRightInd w:val="0"/>
              <w:snapToGrid w:val="0"/>
              <w:spacing w:line="240" w:lineRule="auto"/>
              <w:jc w:val="center"/>
              <w:rPr>
                <w:sz w:val="21"/>
                <w:szCs w:val="21"/>
                <w:u w:val="single"/>
              </w:rPr>
            </w:pPr>
            <w:r>
              <w:rPr>
                <w:rFonts w:hint="eastAsia"/>
                <w:sz w:val="21"/>
                <w:szCs w:val="21"/>
                <w:u w:val="single"/>
              </w:rPr>
              <w:t>2</w:t>
            </w:r>
          </w:p>
        </w:tc>
        <w:tc>
          <w:tcPr>
            <w:tcW w:w="514" w:type="pct"/>
            <w:vAlign w:val="center"/>
          </w:tcPr>
          <w:p w14:paraId="4D0A818D">
            <w:pPr>
              <w:adjustRightInd w:val="0"/>
              <w:snapToGrid w:val="0"/>
              <w:spacing w:line="240" w:lineRule="auto"/>
              <w:jc w:val="center"/>
              <w:rPr>
                <w:sz w:val="21"/>
                <w:szCs w:val="21"/>
                <w:u w:val="single"/>
              </w:rPr>
            </w:pPr>
            <w:r>
              <w:rPr>
                <w:rFonts w:hint="eastAsia"/>
                <w:sz w:val="21"/>
                <w:szCs w:val="21"/>
                <w:u w:val="single"/>
              </w:rPr>
              <w:t>2</w:t>
            </w:r>
          </w:p>
        </w:tc>
        <w:tc>
          <w:tcPr>
            <w:tcW w:w="1000" w:type="pct"/>
            <w:gridSpan w:val="2"/>
            <w:vAlign w:val="center"/>
          </w:tcPr>
          <w:p w14:paraId="34170A8B">
            <w:pPr>
              <w:adjustRightInd w:val="0"/>
              <w:snapToGrid w:val="0"/>
              <w:spacing w:line="240" w:lineRule="auto"/>
              <w:jc w:val="center"/>
              <w:rPr>
                <w:sz w:val="21"/>
                <w:szCs w:val="21"/>
                <w:u w:val="single"/>
              </w:rPr>
            </w:pPr>
            <w:r>
              <w:rPr>
                <w:rFonts w:hint="eastAsia"/>
                <w:sz w:val="21"/>
                <w:szCs w:val="21"/>
                <w:u w:val="single"/>
              </w:rPr>
              <w:t>导热油锅炉</w:t>
            </w:r>
          </w:p>
        </w:tc>
      </w:tr>
      <w:tr w14:paraId="289B6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8"/>
            <w:vAlign w:val="center"/>
          </w:tcPr>
          <w:p w14:paraId="5F6222AD">
            <w:pPr>
              <w:adjustRightInd w:val="0"/>
              <w:snapToGrid w:val="0"/>
              <w:spacing w:line="240" w:lineRule="auto"/>
              <w:jc w:val="center"/>
              <w:rPr>
                <w:sz w:val="21"/>
                <w:szCs w:val="21"/>
                <w:u w:val="single"/>
              </w:rPr>
            </w:pPr>
            <w:r>
              <w:rPr>
                <w:sz w:val="21"/>
                <w:szCs w:val="21"/>
                <w:u w:val="single"/>
              </w:rPr>
              <w:t>二、主要能耗</w:t>
            </w:r>
          </w:p>
        </w:tc>
      </w:tr>
      <w:tr w14:paraId="7490FD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506849E5">
            <w:pPr>
              <w:adjustRightInd w:val="0"/>
              <w:snapToGrid w:val="0"/>
              <w:spacing w:line="240" w:lineRule="auto"/>
              <w:jc w:val="center"/>
              <w:rPr>
                <w:sz w:val="21"/>
                <w:szCs w:val="21"/>
                <w:u w:val="single"/>
              </w:rPr>
            </w:pPr>
            <w:r>
              <w:rPr>
                <w:sz w:val="21"/>
                <w:szCs w:val="21"/>
                <w:u w:val="single"/>
              </w:rPr>
              <w:t>1</w:t>
            </w:r>
          </w:p>
        </w:tc>
        <w:tc>
          <w:tcPr>
            <w:tcW w:w="804" w:type="pct"/>
            <w:vAlign w:val="center"/>
          </w:tcPr>
          <w:p w14:paraId="7F4FBEA1">
            <w:pPr>
              <w:adjustRightInd w:val="0"/>
              <w:snapToGrid w:val="0"/>
              <w:spacing w:line="240" w:lineRule="auto"/>
              <w:jc w:val="center"/>
              <w:rPr>
                <w:sz w:val="21"/>
                <w:szCs w:val="21"/>
                <w:u w:val="single"/>
              </w:rPr>
            </w:pPr>
            <w:r>
              <w:rPr>
                <w:sz w:val="21"/>
                <w:szCs w:val="21"/>
                <w:u w:val="single"/>
              </w:rPr>
              <w:t>水</w:t>
            </w:r>
          </w:p>
        </w:tc>
        <w:tc>
          <w:tcPr>
            <w:tcW w:w="748" w:type="pct"/>
            <w:vAlign w:val="center"/>
          </w:tcPr>
          <w:p w14:paraId="41C81753">
            <w:pPr>
              <w:adjustRightInd w:val="0"/>
              <w:snapToGrid w:val="0"/>
              <w:spacing w:line="240" w:lineRule="auto"/>
              <w:jc w:val="center"/>
              <w:rPr>
                <w:sz w:val="21"/>
                <w:szCs w:val="21"/>
                <w:u w:val="single"/>
              </w:rPr>
            </w:pPr>
            <w:r>
              <w:rPr>
                <w:sz w:val="21"/>
                <w:szCs w:val="21"/>
                <w:u w:val="single"/>
              </w:rPr>
              <w:t>7980</w:t>
            </w:r>
          </w:p>
        </w:tc>
        <w:tc>
          <w:tcPr>
            <w:tcW w:w="757" w:type="pct"/>
            <w:vAlign w:val="center"/>
          </w:tcPr>
          <w:p w14:paraId="6D5482B3">
            <w:pPr>
              <w:adjustRightInd w:val="0"/>
              <w:snapToGrid w:val="0"/>
              <w:spacing w:line="240" w:lineRule="auto"/>
              <w:jc w:val="center"/>
              <w:rPr>
                <w:sz w:val="21"/>
                <w:szCs w:val="21"/>
                <w:u w:val="single"/>
              </w:rPr>
            </w:pPr>
            <w:r>
              <w:rPr>
                <w:rFonts w:hint="eastAsia"/>
                <w:sz w:val="21"/>
                <w:szCs w:val="21"/>
                <w:u w:val="single"/>
              </w:rPr>
              <w:t>+</w:t>
            </w:r>
            <w:r>
              <w:rPr>
                <w:u w:val="single"/>
              </w:rPr>
              <w:t xml:space="preserve"> </w:t>
            </w:r>
            <w:r>
              <w:rPr>
                <w:sz w:val="21"/>
                <w:szCs w:val="21"/>
                <w:u w:val="single"/>
              </w:rPr>
              <w:t>114974.8</w:t>
            </w:r>
          </w:p>
        </w:tc>
        <w:tc>
          <w:tcPr>
            <w:tcW w:w="840" w:type="pct"/>
            <w:vAlign w:val="center"/>
          </w:tcPr>
          <w:p w14:paraId="26462084">
            <w:pPr>
              <w:adjustRightInd w:val="0"/>
              <w:snapToGrid w:val="0"/>
              <w:spacing w:line="240" w:lineRule="auto"/>
              <w:jc w:val="center"/>
              <w:rPr>
                <w:sz w:val="21"/>
                <w:szCs w:val="21"/>
                <w:u w:val="single"/>
              </w:rPr>
            </w:pPr>
            <w:r>
              <w:rPr>
                <w:sz w:val="21"/>
                <w:szCs w:val="21"/>
                <w:u w:val="single"/>
              </w:rPr>
              <w:t>122954.8</w:t>
            </w:r>
          </w:p>
        </w:tc>
        <w:tc>
          <w:tcPr>
            <w:tcW w:w="514" w:type="pct"/>
            <w:vAlign w:val="center"/>
          </w:tcPr>
          <w:p w14:paraId="14E1D106">
            <w:pPr>
              <w:adjustRightInd w:val="0"/>
              <w:snapToGrid w:val="0"/>
              <w:spacing w:line="240" w:lineRule="auto"/>
              <w:jc w:val="center"/>
              <w:rPr>
                <w:sz w:val="21"/>
                <w:szCs w:val="21"/>
                <w:u w:val="single"/>
              </w:rPr>
            </w:pPr>
            <w:r>
              <w:rPr>
                <w:sz w:val="21"/>
                <w:szCs w:val="21"/>
                <w:u w:val="single"/>
              </w:rPr>
              <w:t>市政</w:t>
            </w:r>
          </w:p>
          <w:p w14:paraId="3E7B08C4">
            <w:pPr>
              <w:adjustRightInd w:val="0"/>
              <w:snapToGrid w:val="0"/>
              <w:spacing w:line="240" w:lineRule="auto"/>
              <w:jc w:val="center"/>
              <w:rPr>
                <w:sz w:val="21"/>
                <w:szCs w:val="21"/>
                <w:u w:val="single"/>
              </w:rPr>
            </w:pPr>
            <w:r>
              <w:rPr>
                <w:sz w:val="21"/>
                <w:szCs w:val="21"/>
                <w:u w:val="single"/>
              </w:rPr>
              <w:t>供水</w:t>
            </w:r>
          </w:p>
        </w:tc>
        <w:tc>
          <w:tcPr>
            <w:tcW w:w="1000" w:type="pct"/>
            <w:gridSpan w:val="2"/>
            <w:vAlign w:val="center"/>
          </w:tcPr>
          <w:p w14:paraId="725FF489">
            <w:pPr>
              <w:adjustRightInd w:val="0"/>
              <w:snapToGrid w:val="0"/>
              <w:spacing w:line="240" w:lineRule="auto"/>
              <w:jc w:val="center"/>
              <w:rPr>
                <w:sz w:val="21"/>
                <w:szCs w:val="21"/>
                <w:u w:val="single"/>
              </w:rPr>
            </w:pPr>
            <w:r>
              <w:rPr>
                <w:sz w:val="21"/>
                <w:szCs w:val="21"/>
                <w:u w:val="single"/>
              </w:rPr>
              <w:t>生产用水109996.8t/a；</w:t>
            </w:r>
          </w:p>
          <w:p w14:paraId="6389A399">
            <w:pPr>
              <w:adjustRightInd w:val="0"/>
              <w:snapToGrid w:val="0"/>
              <w:spacing w:line="240" w:lineRule="auto"/>
              <w:jc w:val="center"/>
              <w:rPr>
                <w:sz w:val="21"/>
                <w:szCs w:val="21"/>
                <w:u w:val="single"/>
              </w:rPr>
            </w:pPr>
            <w:r>
              <w:rPr>
                <w:sz w:val="21"/>
                <w:szCs w:val="21"/>
                <w:u w:val="single"/>
              </w:rPr>
              <w:t>生活用水</w:t>
            </w:r>
            <w:r>
              <w:rPr>
                <w:rFonts w:hint="eastAsia"/>
                <w:sz w:val="21"/>
                <w:szCs w:val="21"/>
                <w:u w:val="single"/>
              </w:rPr>
              <w:t>12958t/a</w:t>
            </w:r>
          </w:p>
        </w:tc>
      </w:tr>
      <w:tr w14:paraId="08BF30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6D113714">
            <w:pPr>
              <w:adjustRightInd w:val="0"/>
              <w:snapToGrid w:val="0"/>
              <w:spacing w:line="240" w:lineRule="auto"/>
              <w:jc w:val="center"/>
              <w:rPr>
                <w:sz w:val="21"/>
                <w:szCs w:val="21"/>
                <w:u w:val="single"/>
              </w:rPr>
            </w:pPr>
            <w:r>
              <w:rPr>
                <w:sz w:val="21"/>
                <w:szCs w:val="21"/>
                <w:u w:val="single"/>
              </w:rPr>
              <w:t>2</w:t>
            </w:r>
          </w:p>
        </w:tc>
        <w:tc>
          <w:tcPr>
            <w:tcW w:w="804" w:type="pct"/>
            <w:vAlign w:val="center"/>
          </w:tcPr>
          <w:p w14:paraId="7AB15879">
            <w:pPr>
              <w:adjustRightInd w:val="0"/>
              <w:snapToGrid w:val="0"/>
              <w:spacing w:line="240" w:lineRule="auto"/>
              <w:jc w:val="center"/>
              <w:rPr>
                <w:sz w:val="21"/>
                <w:szCs w:val="21"/>
                <w:u w:val="single"/>
              </w:rPr>
            </w:pPr>
            <w:r>
              <w:rPr>
                <w:sz w:val="21"/>
                <w:szCs w:val="21"/>
                <w:u w:val="single"/>
              </w:rPr>
              <w:t>电</w:t>
            </w:r>
          </w:p>
        </w:tc>
        <w:tc>
          <w:tcPr>
            <w:tcW w:w="748" w:type="pct"/>
            <w:vAlign w:val="center"/>
          </w:tcPr>
          <w:p w14:paraId="66A37911">
            <w:pPr>
              <w:adjustRightInd w:val="0"/>
              <w:snapToGrid w:val="0"/>
              <w:spacing w:line="240" w:lineRule="auto"/>
              <w:jc w:val="center"/>
              <w:rPr>
                <w:sz w:val="21"/>
                <w:szCs w:val="21"/>
                <w:u w:val="single"/>
              </w:rPr>
            </w:pPr>
            <w:r>
              <w:rPr>
                <w:sz w:val="21"/>
                <w:szCs w:val="21"/>
                <w:u w:val="single"/>
              </w:rPr>
              <w:t>1908万度</w:t>
            </w:r>
          </w:p>
        </w:tc>
        <w:tc>
          <w:tcPr>
            <w:tcW w:w="757" w:type="pct"/>
            <w:vAlign w:val="center"/>
          </w:tcPr>
          <w:p w14:paraId="2EC43EAA">
            <w:pPr>
              <w:adjustRightInd w:val="0"/>
              <w:snapToGrid w:val="0"/>
              <w:spacing w:line="240" w:lineRule="auto"/>
              <w:jc w:val="center"/>
              <w:rPr>
                <w:sz w:val="21"/>
                <w:szCs w:val="21"/>
                <w:u w:val="single"/>
              </w:rPr>
            </w:pPr>
            <w:r>
              <w:rPr>
                <w:rFonts w:hint="eastAsia"/>
                <w:sz w:val="21"/>
                <w:szCs w:val="21"/>
                <w:u w:val="single"/>
              </w:rPr>
              <w:t>+</w:t>
            </w:r>
            <w:r>
              <w:rPr>
                <w:sz w:val="21"/>
                <w:szCs w:val="21"/>
                <w:u w:val="single"/>
              </w:rPr>
              <w:t>787万度</w:t>
            </w:r>
          </w:p>
        </w:tc>
        <w:tc>
          <w:tcPr>
            <w:tcW w:w="840" w:type="pct"/>
            <w:vAlign w:val="center"/>
          </w:tcPr>
          <w:p w14:paraId="0CCA484F">
            <w:pPr>
              <w:adjustRightInd w:val="0"/>
              <w:snapToGrid w:val="0"/>
              <w:spacing w:line="240" w:lineRule="auto"/>
              <w:jc w:val="center"/>
              <w:rPr>
                <w:sz w:val="21"/>
                <w:szCs w:val="21"/>
                <w:u w:val="single"/>
              </w:rPr>
            </w:pPr>
            <w:r>
              <w:rPr>
                <w:sz w:val="21"/>
                <w:szCs w:val="21"/>
                <w:u w:val="single"/>
              </w:rPr>
              <w:t>2695万度</w:t>
            </w:r>
          </w:p>
        </w:tc>
        <w:tc>
          <w:tcPr>
            <w:tcW w:w="514" w:type="pct"/>
            <w:vAlign w:val="center"/>
          </w:tcPr>
          <w:p w14:paraId="74A0FDAE">
            <w:pPr>
              <w:adjustRightInd w:val="0"/>
              <w:snapToGrid w:val="0"/>
              <w:spacing w:line="240" w:lineRule="auto"/>
              <w:jc w:val="center"/>
              <w:rPr>
                <w:sz w:val="21"/>
                <w:szCs w:val="21"/>
                <w:u w:val="single"/>
              </w:rPr>
            </w:pPr>
            <w:r>
              <w:rPr>
                <w:sz w:val="21"/>
                <w:szCs w:val="21"/>
                <w:u w:val="single"/>
              </w:rPr>
              <w:t>市政</w:t>
            </w:r>
          </w:p>
          <w:p w14:paraId="5B8BAE87">
            <w:pPr>
              <w:adjustRightInd w:val="0"/>
              <w:snapToGrid w:val="0"/>
              <w:spacing w:line="240" w:lineRule="auto"/>
              <w:jc w:val="center"/>
              <w:rPr>
                <w:sz w:val="21"/>
                <w:szCs w:val="21"/>
                <w:u w:val="single"/>
              </w:rPr>
            </w:pPr>
            <w:r>
              <w:rPr>
                <w:sz w:val="21"/>
                <w:szCs w:val="21"/>
                <w:u w:val="single"/>
              </w:rPr>
              <w:t>供电</w:t>
            </w:r>
          </w:p>
        </w:tc>
        <w:tc>
          <w:tcPr>
            <w:tcW w:w="1000" w:type="pct"/>
            <w:gridSpan w:val="2"/>
            <w:vAlign w:val="center"/>
          </w:tcPr>
          <w:p w14:paraId="4F0F8416">
            <w:pPr>
              <w:adjustRightInd w:val="0"/>
              <w:snapToGrid w:val="0"/>
              <w:spacing w:line="240" w:lineRule="auto"/>
              <w:jc w:val="center"/>
              <w:rPr>
                <w:sz w:val="21"/>
                <w:szCs w:val="21"/>
                <w:u w:val="single"/>
              </w:rPr>
            </w:pPr>
            <w:r>
              <w:rPr>
                <w:sz w:val="21"/>
                <w:szCs w:val="21"/>
                <w:u w:val="single"/>
              </w:rPr>
              <w:t>生产节拍提升后，能耗增加</w:t>
            </w:r>
          </w:p>
        </w:tc>
      </w:tr>
      <w:tr w14:paraId="451234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1321CA0D">
            <w:pPr>
              <w:adjustRightInd w:val="0"/>
              <w:snapToGrid w:val="0"/>
              <w:spacing w:line="240" w:lineRule="auto"/>
              <w:jc w:val="center"/>
              <w:rPr>
                <w:sz w:val="21"/>
                <w:szCs w:val="21"/>
                <w:u w:val="single"/>
              </w:rPr>
            </w:pPr>
            <w:r>
              <w:rPr>
                <w:sz w:val="21"/>
                <w:szCs w:val="21"/>
                <w:u w:val="single"/>
              </w:rPr>
              <w:t>3</w:t>
            </w:r>
          </w:p>
        </w:tc>
        <w:tc>
          <w:tcPr>
            <w:tcW w:w="804" w:type="pct"/>
            <w:vAlign w:val="center"/>
          </w:tcPr>
          <w:p w14:paraId="1E3D61DA">
            <w:pPr>
              <w:adjustRightInd w:val="0"/>
              <w:snapToGrid w:val="0"/>
              <w:spacing w:line="240" w:lineRule="auto"/>
              <w:jc w:val="center"/>
              <w:rPr>
                <w:sz w:val="21"/>
                <w:szCs w:val="21"/>
                <w:u w:val="single"/>
              </w:rPr>
            </w:pPr>
            <w:r>
              <w:rPr>
                <w:sz w:val="21"/>
                <w:szCs w:val="21"/>
                <w:u w:val="single"/>
              </w:rPr>
              <w:t>天然气</w:t>
            </w:r>
          </w:p>
        </w:tc>
        <w:tc>
          <w:tcPr>
            <w:tcW w:w="748" w:type="pct"/>
            <w:vAlign w:val="center"/>
          </w:tcPr>
          <w:p w14:paraId="088DDEE3">
            <w:pPr>
              <w:adjustRightInd w:val="0"/>
              <w:snapToGrid w:val="0"/>
              <w:spacing w:line="240" w:lineRule="auto"/>
              <w:jc w:val="center"/>
              <w:rPr>
                <w:sz w:val="21"/>
                <w:szCs w:val="21"/>
                <w:u w:val="single"/>
              </w:rPr>
            </w:pPr>
            <w:r>
              <w:rPr>
                <w:sz w:val="21"/>
                <w:szCs w:val="21"/>
                <w:u w:val="single"/>
              </w:rPr>
              <w:t>76万m³/a</w:t>
            </w:r>
          </w:p>
        </w:tc>
        <w:tc>
          <w:tcPr>
            <w:tcW w:w="757" w:type="pct"/>
            <w:vAlign w:val="center"/>
          </w:tcPr>
          <w:p w14:paraId="2BBA2ED1">
            <w:pPr>
              <w:adjustRightInd w:val="0"/>
              <w:snapToGrid w:val="0"/>
              <w:spacing w:line="240" w:lineRule="auto"/>
              <w:jc w:val="center"/>
              <w:rPr>
                <w:sz w:val="21"/>
                <w:szCs w:val="21"/>
                <w:u w:val="single"/>
              </w:rPr>
            </w:pPr>
            <w:r>
              <w:rPr>
                <w:rFonts w:hint="eastAsia"/>
                <w:sz w:val="21"/>
                <w:szCs w:val="21"/>
                <w:u w:val="single"/>
              </w:rPr>
              <w:t>+44</w:t>
            </w:r>
            <w:r>
              <w:rPr>
                <w:sz w:val="21"/>
                <w:szCs w:val="21"/>
                <w:u w:val="single"/>
              </w:rPr>
              <w:t>万m³/a</w:t>
            </w:r>
          </w:p>
        </w:tc>
        <w:tc>
          <w:tcPr>
            <w:tcW w:w="840" w:type="pct"/>
            <w:vAlign w:val="center"/>
          </w:tcPr>
          <w:p w14:paraId="35C6979B">
            <w:pPr>
              <w:adjustRightInd w:val="0"/>
              <w:snapToGrid w:val="0"/>
              <w:spacing w:line="240" w:lineRule="auto"/>
              <w:jc w:val="center"/>
              <w:rPr>
                <w:sz w:val="21"/>
                <w:szCs w:val="21"/>
                <w:u w:val="single"/>
              </w:rPr>
            </w:pPr>
            <w:r>
              <w:rPr>
                <w:rFonts w:hint="eastAsia"/>
                <w:sz w:val="21"/>
                <w:szCs w:val="21"/>
                <w:u w:val="single"/>
              </w:rPr>
              <w:t>120</w:t>
            </w:r>
            <w:r>
              <w:rPr>
                <w:sz w:val="21"/>
                <w:szCs w:val="21"/>
                <w:u w:val="single"/>
              </w:rPr>
              <w:t>万m³/a</w:t>
            </w:r>
          </w:p>
        </w:tc>
        <w:tc>
          <w:tcPr>
            <w:tcW w:w="514" w:type="pct"/>
            <w:vAlign w:val="center"/>
          </w:tcPr>
          <w:p w14:paraId="65A85CBA">
            <w:pPr>
              <w:adjustRightInd w:val="0"/>
              <w:snapToGrid w:val="0"/>
              <w:spacing w:line="240" w:lineRule="auto"/>
              <w:jc w:val="center"/>
              <w:rPr>
                <w:sz w:val="21"/>
                <w:szCs w:val="21"/>
                <w:u w:val="single"/>
              </w:rPr>
            </w:pPr>
            <w:r>
              <w:rPr>
                <w:sz w:val="21"/>
                <w:szCs w:val="21"/>
                <w:u w:val="single"/>
              </w:rPr>
              <w:t>市政</w:t>
            </w:r>
          </w:p>
          <w:p w14:paraId="755F9578">
            <w:pPr>
              <w:adjustRightInd w:val="0"/>
              <w:snapToGrid w:val="0"/>
              <w:spacing w:line="240" w:lineRule="auto"/>
              <w:jc w:val="center"/>
              <w:rPr>
                <w:sz w:val="21"/>
                <w:szCs w:val="21"/>
                <w:u w:val="single"/>
              </w:rPr>
            </w:pPr>
            <w:r>
              <w:rPr>
                <w:sz w:val="21"/>
                <w:szCs w:val="21"/>
                <w:u w:val="single"/>
              </w:rPr>
              <w:t>供气</w:t>
            </w:r>
          </w:p>
        </w:tc>
        <w:tc>
          <w:tcPr>
            <w:tcW w:w="1000" w:type="pct"/>
            <w:gridSpan w:val="2"/>
            <w:vAlign w:val="center"/>
          </w:tcPr>
          <w:p w14:paraId="4903E54E">
            <w:pPr>
              <w:adjustRightInd w:val="0"/>
              <w:snapToGrid w:val="0"/>
              <w:spacing w:line="240" w:lineRule="auto"/>
              <w:rPr>
                <w:sz w:val="21"/>
                <w:szCs w:val="21"/>
                <w:u w:val="single"/>
              </w:rPr>
            </w:pPr>
            <w:r>
              <w:rPr>
                <w:sz w:val="21"/>
                <w:szCs w:val="21"/>
                <w:u w:val="single"/>
              </w:rPr>
              <w:t>其中：导热油</w:t>
            </w:r>
            <w:r>
              <w:rPr>
                <w:rFonts w:hint="eastAsia"/>
                <w:sz w:val="21"/>
                <w:szCs w:val="21"/>
                <w:u w:val="single"/>
              </w:rPr>
              <w:t>锅炉</w:t>
            </w:r>
            <w:r>
              <w:rPr>
                <w:sz w:val="21"/>
                <w:szCs w:val="21"/>
                <w:u w:val="single"/>
              </w:rPr>
              <w:t>使用天然气</w:t>
            </w:r>
            <w:r>
              <w:rPr>
                <w:rFonts w:hint="eastAsia"/>
                <w:sz w:val="21"/>
                <w:szCs w:val="21"/>
                <w:u w:val="single"/>
              </w:rPr>
              <w:t>6</w:t>
            </w:r>
            <w:r>
              <w:rPr>
                <w:sz w:val="21"/>
                <w:szCs w:val="21"/>
                <w:u w:val="single"/>
              </w:rPr>
              <w:t>6万m³/a、烘干热水锅炉</w:t>
            </w:r>
            <w:r>
              <w:rPr>
                <w:rFonts w:hint="eastAsia"/>
                <w:sz w:val="21"/>
                <w:szCs w:val="21"/>
                <w:u w:val="single"/>
              </w:rPr>
              <w:t>44</w:t>
            </w:r>
            <w:r>
              <w:rPr>
                <w:sz w:val="21"/>
                <w:szCs w:val="21"/>
                <w:u w:val="single"/>
              </w:rPr>
              <w:t>万m³/a，</w:t>
            </w:r>
            <w:r>
              <w:rPr>
                <w:rFonts w:hint="eastAsia"/>
                <w:sz w:val="21"/>
                <w:szCs w:val="21"/>
                <w:u w:val="single"/>
              </w:rPr>
              <w:t>食堂</w:t>
            </w:r>
            <w:r>
              <w:rPr>
                <w:sz w:val="21"/>
                <w:szCs w:val="21"/>
                <w:u w:val="single"/>
              </w:rPr>
              <w:t>天然气</w:t>
            </w:r>
            <w:r>
              <w:rPr>
                <w:rFonts w:hint="eastAsia"/>
                <w:sz w:val="21"/>
                <w:szCs w:val="21"/>
                <w:u w:val="single"/>
              </w:rPr>
              <w:t>10</w:t>
            </w:r>
            <w:r>
              <w:rPr>
                <w:sz w:val="21"/>
                <w:szCs w:val="21"/>
                <w:u w:val="single"/>
              </w:rPr>
              <w:t>万m³/a。</w:t>
            </w:r>
          </w:p>
        </w:tc>
      </w:tr>
      <w:tr w14:paraId="1E5C3B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33" w:type="pct"/>
            <w:vAlign w:val="center"/>
          </w:tcPr>
          <w:p w14:paraId="4F11DC0F">
            <w:pPr>
              <w:adjustRightInd w:val="0"/>
              <w:snapToGrid w:val="0"/>
              <w:spacing w:line="240" w:lineRule="auto"/>
              <w:jc w:val="center"/>
              <w:rPr>
                <w:sz w:val="21"/>
                <w:szCs w:val="21"/>
                <w:u w:val="single"/>
              </w:rPr>
            </w:pPr>
            <w:r>
              <w:rPr>
                <w:rFonts w:hint="eastAsia"/>
                <w:sz w:val="21"/>
                <w:szCs w:val="21"/>
                <w:u w:val="single"/>
              </w:rPr>
              <w:t>4</w:t>
            </w:r>
          </w:p>
        </w:tc>
        <w:tc>
          <w:tcPr>
            <w:tcW w:w="804" w:type="pct"/>
            <w:vAlign w:val="center"/>
          </w:tcPr>
          <w:p w14:paraId="19FFEED9">
            <w:pPr>
              <w:adjustRightInd w:val="0"/>
              <w:snapToGrid w:val="0"/>
              <w:spacing w:line="240" w:lineRule="auto"/>
              <w:jc w:val="center"/>
              <w:rPr>
                <w:sz w:val="21"/>
                <w:szCs w:val="21"/>
                <w:u w:val="single"/>
              </w:rPr>
            </w:pPr>
            <w:r>
              <w:rPr>
                <w:rFonts w:hint="eastAsia"/>
                <w:sz w:val="21"/>
                <w:szCs w:val="21"/>
                <w:u w:val="single"/>
              </w:rPr>
              <w:t>氮气</w:t>
            </w:r>
          </w:p>
        </w:tc>
        <w:tc>
          <w:tcPr>
            <w:tcW w:w="748" w:type="pct"/>
            <w:vAlign w:val="center"/>
          </w:tcPr>
          <w:p w14:paraId="4D95A716">
            <w:pPr>
              <w:adjustRightInd w:val="0"/>
              <w:snapToGrid w:val="0"/>
              <w:spacing w:line="240" w:lineRule="auto"/>
              <w:jc w:val="center"/>
              <w:rPr>
                <w:sz w:val="21"/>
                <w:szCs w:val="21"/>
                <w:u w:val="single"/>
              </w:rPr>
            </w:pPr>
            <w:r>
              <w:rPr>
                <w:rFonts w:hint="eastAsia"/>
                <w:sz w:val="21"/>
                <w:szCs w:val="21"/>
                <w:u w:val="single"/>
              </w:rPr>
              <w:t>9万</w:t>
            </w:r>
            <w:r>
              <w:rPr>
                <w:sz w:val="21"/>
                <w:szCs w:val="21"/>
                <w:u w:val="single"/>
              </w:rPr>
              <w:t>m³/a</w:t>
            </w:r>
          </w:p>
        </w:tc>
        <w:tc>
          <w:tcPr>
            <w:tcW w:w="757" w:type="pct"/>
            <w:vAlign w:val="center"/>
          </w:tcPr>
          <w:p w14:paraId="62C9D932">
            <w:pPr>
              <w:adjustRightInd w:val="0"/>
              <w:snapToGrid w:val="0"/>
              <w:spacing w:line="240" w:lineRule="auto"/>
              <w:jc w:val="center"/>
              <w:rPr>
                <w:sz w:val="21"/>
                <w:szCs w:val="21"/>
                <w:u w:val="single"/>
              </w:rPr>
            </w:pPr>
            <w:r>
              <w:rPr>
                <w:rFonts w:hint="eastAsia"/>
                <w:sz w:val="21"/>
                <w:szCs w:val="21"/>
                <w:u w:val="single"/>
              </w:rPr>
              <w:t>+3万</w:t>
            </w:r>
            <w:r>
              <w:rPr>
                <w:sz w:val="21"/>
                <w:szCs w:val="21"/>
                <w:u w:val="single"/>
              </w:rPr>
              <w:t>m³/a</w:t>
            </w:r>
          </w:p>
        </w:tc>
        <w:tc>
          <w:tcPr>
            <w:tcW w:w="840" w:type="pct"/>
            <w:vAlign w:val="center"/>
          </w:tcPr>
          <w:p w14:paraId="5C803F5B">
            <w:pPr>
              <w:adjustRightInd w:val="0"/>
              <w:snapToGrid w:val="0"/>
              <w:spacing w:line="240" w:lineRule="auto"/>
              <w:jc w:val="center"/>
              <w:rPr>
                <w:sz w:val="21"/>
                <w:szCs w:val="21"/>
                <w:u w:val="single"/>
              </w:rPr>
            </w:pPr>
            <w:r>
              <w:rPr>
                <w:rFonts w:hint="eastAsia"/>
                <w:sz w:val="21"/>
                <w:szCs w:val="21"/>
                <w:u w:val="single"/>
              </w:rPr>
              <w:t>12万</w:t>
            </w:r>
            <w:r>
              <w:rPr>
                <w:sz w:val="21"/>
                <w:szCs w:val="21"/>
                <w:u w:val="single"/>
              </w:rPr>
              <w:t>m³/a</w:t>
            </w:r>
          </w:p>
        </w:tc>
        <w:tc>
          <w:tcPr>
            <w:tcW w:w="514" w:type="pct"/>
            <w:vAlign w:val="center"/>
          </w:tcPr>
          <w:p w14:paraId="1753D394">
            <w:pPr>
              <w:adjustRightInd w:val="0"/>
              <w:snapToGrid w:val="0"/>
              <w:spacing w:line="240" w:lineRule="auto"/>
              <w:jc w:val="center"/>
              <w:rPr>
                <w:sz w:val="21"/>
                <w:szCs w:val="21"/>
                <w:u w:val="single"/>
              </w:rPr>
            </w:pPr>
            <w:r>
              <w:rPr>
                <w:rFonts w:hint="eastAsia"/>
                <w:sz w:val="21"/>
                <w:szCs w:val="21"/>
                <w:u w:val="single"/>
              </w:rPr>
              <w:t>外购</w:t>
            </w:r>
          </w:p>
        </w:tc>
        <w:tc>
          <w:tcPr>
            <w:tcW w:w="1000" w:type="pct"/>
            <w:gridSpan w:val="2"/>
            <w:vAlign w:val="center"/>
          </w:tcPr>
          <w:p w14:paraId="64F40C09">
            <w:pPr>
              <w:adjustRightInd w:val="0"/>
              <w:snapToGrid w:val="0"/>
              <w:spacing w:line="240" w:lineRule="auto"/>
              <w:jc w:val="center"/>
              <w:rPr>
                <w:sz w:val="21"/>
                <w:szCs w:val="21"/>
                <w:u w:val="single"/>
              </w:rPr>
            </w:pPr>
            <w:r>
              <w:rPr>
                <w:rFonts w:hint="eastAsia"/>
                <w:sz w:val="21"/>
                <w:szCs w:val="21"/>
                <w:u w:val="single"/>
              </w:rPr>
              <w:t>/</w:t>
            </w:r>
          </w:p>
        </w:tc>
      </w:tr>
    </w:tbl>
    <w:p w14:paraId="21EE43B0">
      <w:pPr>
        <w:ind w:firstLine="482"/>
        <w:rPr>
          <w:b/>
          <w:bCs/>
        </w:rPr>
      </w:pPr>
      <w:r>
        <w:rPr>
          <w:rFonts w:hint="eastAsia" w:ascii="宋体" w:hAnsi="宋体" w:cs="宋体"/>
          <w:b/>
          <w:bCs/>
        </w:rPr>
        <w:t>2.主要</w:t>
      </w:r>
      <w:r>
        <w:rPr>
          <w:rFonts w:hint="eastAsia"/>
          <w:b/>
          <w:bCs/>
        </w:rPr>
        <w:t>原辅材料理化性质</w:t>
      </w:r>
    </w:p>
    <w:p w14:paraId="141906FA">
      <w:pPr>
        <w:ind w:firstLine="480"/>
      </w:pPr>
      <w:r>
        <w:rPr>
          <w:rFonts w:hint="eastAsia"/>
        </w:rPr>
        <w:t>根据建设单位以及原料厂家提供的MSDS等资料，本项目主要原辅材料理化性质见下表。</w:t>
      </w:r>
    </w:p>
    <w:p w14:paraId="0098DF56">
      <w:pPr>
        <w:pStyle w:val="51"/>
        <w:numPr>
          <w:ilvl w:val="5"/>
          <w:numId w:val="0"/>
        </w:numPr>
        <w:spacing w:before="156"/>
        <w:ind w:left="305" w:leftChars="0" w:hanging="3260" w:firstLineChars="0"/>
        <w:rPr>
          <w:sz w:val="24"/>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表4.1-6 </w:t>
      </w:r>
      <w:r>
        <w:rPr>
          <w:rFonts w:hint="eastAsia" w:ascii="宋体" w:hAnsi="宋体" w:cs="宋体"/>
          <w:b/>
          <w:bCs/>
          <w:color w:val="auto"/>
          <w:kern w:val="2"/>
          <w:sz w:val="21"/>
          <w:szCs w:val="21"/>
          <w:lang w:val="en-US" w:eastAsia="zh-CN" w:bidi="ar-SA"/>
        </w:rPr>
        <w:t xml:space="preserve">   </w:t>
      </w:r>
      <w:r>
        <w:rPr>
          <w:rFonts w:hint="eastAsia"/>
          <w:sz w:val="24"/>
        </w:rPr>
        <w:t>理化性质</w:t>
      </w:r>
      <w:r>
        <w:rPr>
          <w:sz w:val="24"/>
        </w:rPr>
        <w:t>一览表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444"/>
        <w:gridCol w:w="1165"/>
        <w:gridCol w:w="6753"/>
      </w:tblGrid>
      <w:tr w14:paraId="1A04AE9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52B91D17">
            <w:pPr>
              <w:adjustRightInd w:val="0"/>
              <w:snapToGrid w:val="0"/>
              <w:spacing w:line="240" w:lineRule="auto"/>
              <w:jc w:val="center"/>
              <w:rPr>
                <w:sz w:val="21"/>
                <w:szCs w:val="21"/>
              </w:rPr>
            </w:pPr>
            <w:r>
              <w:rPr>
                <w:sz w:val="21"/>
                <w:szCs w:val="21"/>
              </w:rPr>
              <w:t>序号</w:t>
            </w:r>
          </w:p>
        </w:tc>
        <w:tc>
          <w:tcPr>
            <w:tcW w:w="1165" w:type="dxa"/>
            <w:vAlign w:val="center"/>
          </w:tcPr>
          <w:p w14:paraId="59253033">
            <w:pPr>
              <w:adjustRightInd w:val="0"/>
              <w:snapToGrid w:val="0"/>
              <w:spacing w:line="240" w:lineRule="auto"/>
              <w:jc w:val="center"/>
              <w:rPr>
                <w:sz w:val="21"/>
                <w:szCs w:val="21"/>
              </w:rPr>
            </w:pPr>
            <w:r>
              <w:rPr>
                <w:sz w:val="21"/>
                <w:szCs w:val="21"/>
              </w:rPr>
              <w:t>物料名称</w:t>
            </w:r>
          </w:p>
        </w:tc>
        <w:tc>
          <w:tcPr>
            <w:tcW w:w="6753" w:type="dxa"/>
            <w:vAlign w:val="center"/>
          </w:tcPr>
          <w:p w14:paraId="4A575D8D">
            <w:pPr>
              <w:adjustRightInd w:val="0"/>
              <w:snapToGrid w:val="0"/>
              <w:spacing w:line="240" w:lineRule="auto"/>
              <w:jc w:val="center"/>
              <w:rPr>
                <w:sz w:val="21"/>
                <w:szCs w:val="21"/>
              </w:rPr>
            </w:pPr>
            <w:r>
              <w:rPr>
                <w:sz w:val="21"/>
                <w:szCs w:val="21"/>
              </w:rPr>
              <w:t>成分及性质</w:t>
            </w:r>
          </w:p>
        </w:tc>
      </w:tr>
      <w:tr w14:paraId="6315BA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1140ACF5">
            <w:pPr>
              <w:adjustRightInd w:val="0"/>
              <w:snapToGrid w:val="0"/>
              <w:spacing w:line="240" w:lineRule="auto"/>
              <w:jc w:val="center"/>
              <w:rPr>
                <w:sz w:val="21"/>
                <w:szCs w:val="21"/>
              </w:rPr>
            </w:pPr>
            <w:r>
              <w:rPr>
                <w:rFonts w:hint="eastAsia"/>
                <w:sz w:val="21"/>
                <w:szCs w:val="21"/>
              </w:rPr>
              <w:t>1</w:t>
            </w:r>
          </w:p>
        </w:tc>
        <w:tc>
          <w:tcPr>
            <w:tcW w:w="1165" w:type="dxa"/>
            <w:vAlign w:val="center"/>
          </w:tcPr>
          <w:p w14:paraId="517526D5">
            <w:pPr>
              <w:adjustRightInd w:val="0"/>
              <w:snapToGrid w:val="0"/>
              <w:spacing w:line="240" w:lineRule="auto"/>
              <w:jc w:val="center"/>
              <w:rPr>
                <w:sz w:val="21"/>
                <w:szCs w:val="21"/>
              </w:rPr>
            </w:pPr>
            <w:r>
              <w:rPr>
                <w:rFonts w:hint="eastAsia"/>
                <w:sz w:val="21"/>
                <w:szCs w:val="21"/>
              </w:rPr>
              <w:t>BOPP</w:t>
            </w:r>
          </w:p>
          <w:p w14:paraId="1F2293F0">
            <w:pPr>
              <w:adjustRightInd w:val="0"/>
              <w:snapToGrid w:val="0"/>
              <w:spacing w:line="240" w:lineRule="auto"/>
              <w:jc w:val="center"/>
              <w:rPr>
                <w:sz w:val="21"/>
                <w:szCs w:val="21"/>
              </w:rPr>
            </w:pPr>
            <w:r>
              <w:rPr>
                <w:rFonts w:hint="eastAsia"/>
                <w:sz w:val="21"/>
                <w:szCs w:val="21"/>
              </w:rPr>
              <w:t>双向拉伸聚丙烯薄膜</w:t>
            </w:r>
          </w:p>
        </w:tc>
        <w:tc>
          <w:tcPr>
            <w:tcW w:w="6753" w:type="dxa"/>
            <w:vAlign w:val="center"/>
          </w:tcPr>
          <w:p w14:paraId="16CAF692">
            <w:pPr>
              <w:adjustRightInd w:val="0"/>
              <w:snapToGrid w:val="0"/>
              <w:spacing w:line="240" w:lineRule="auto"/>
              <w:rPr>
                <w:sz w:val="21"/>
                <w:szCs w:val="21"/>
              </w:rPr>
            </w:pPr>
            <w:r>
              <w:rPr>
                <w:rFonts w:hint="eastAsia"/>
                <w:sz w:val="21"/>
                <w:szCs w:val="21"/>
              </w:rPr>
              <w:t>双向拉伸聚丙烯薄膜是一种非常重要的软包装材料，熔点170℃，浊度&lt;1.5%；光泽度&gt;85%；拉伸强度（纵向/横向）&gt;120/200MPa；断裂伸长率（纵向/横向）&lt;180%/65%；弹性模量为1700～2500Mpa；脆化温度为-50℃。BOPP薄膜无色、无臭、无味、无毒，并具有高拉伸强度、冲击强度、刚性、强韧性和良好的透明性。具有良好的印刷适应性，常用作复合薄膜的面层材料在生产中可与多种不同材料复合（如PE、PT、PO、PVA等），以满足特殊的应用需要</w:t>
            </w:r>
          </w:p>
        </w:tc>
      </w:tr>
      <w:tr w14:paraId="31F351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1F6BC79C">
            <w:pPr>
              <w:adjustRightInd w:val="0"/>
              <w:snapToGrid w:val="0"/>
              <w:spacing w:line="240" w:lineRule="auto"/>
              <w:jc w:val="center"/>
              <w:rPr>
                <w:sz w:val="21"/>
                <w:szCs w:val="21"/>
              </w:rPr>
            </w:pPr>
            <w:r>
              <w:rPr>
                <w:rFonts w:hint="eastAsia"/>
                <w:sz w:val="21"/>
                <w:szCs w:val="21"/>
              </w:rPr>
              <w:t>2</w:t>
            </w:r>
          </w:p>
        </w:tc>
        <w:tc>
          <w:tcPr>
            <w:tcW w:w="1165" w:type="dxa"/>
            <w:vAlign w:val="center"/>
          </w:tcPr>
          <w:p w14:paraId="5ECC0F9C">
            <w:pPr>
              <w:adjustRightInd w:val="0"/>
              <w:snapToGrid w:val="0"/>
              <w:spacing w:line="240" w:lineRule="auto"/>
              <w:jc w:val="center"/>
              <w:rPr>
                <w:sz w:val="21"/>
                <w:szCs w:val="21"/>
              </w:rPr>
            </w:pPr>
            <w:r>
              <w:rPr>
                <w:rFonts w:hint="eastAsia"/>
                <w:sz w:val="21"/>
                <w:szCs w:val="21"/>
              </w:rPr>
              <w:t>LDPE</w:t>
            </w:r>
          </w:p>
          <w:p w14:paraId="3071A7D9">
            <w:pPr>
              <w:adjustRightInd w:val="0"/>
              <w:snapToGrid w:val="0"/>
              <w:spacing w:line="240" w:lineRule="auto"/>
              <w:jc w:val="center"/>
              <w:rPr>
                <w:sz w:val="21"/>
                <w:szCs w:val="21"/>
              </w:rPr>
            </w:pPr>
            <w:r>
              <w:rPr>
                <w:rFonts w:hint="eastAsia"/>
                <w:sz w:val="21"/>
                <w:szCs w:val="21"/>
              </w:rPr>
              <w:t>低密度聚乙烯薄膜</w:t>
            </w:r>
          </w:p>
        </w:tc>
        <w:tc>
          <w:tcPr>
            <w:tcW w:w="6753" w:type="dxa"/>
          </w:tcPr>
          <w:p w14:paraId="252C4225">
            <w:pPr>
              <w:adjustRightInd w:val="0"/>
              <w:snapToGrid w:val="0"/>
              <w:spacing w:line="240" w:lineRule="auto"/>
              <w:rPr>
                <w:sz w:val="21"/>
                <w:szCs w:val="21"/>
              </w:rPr>
            </w:pPr>
            <w:r>
              <w:rPr>
                <w:rFonts w:hint="eastAsia"/>
                <w:sz w:val="21"/>
                <w:szCs w:val="21"/>
              </w:rPr>
              <w:t>低密度聚乙烯（LDPE）又称高压聚乙烯，是一种塑料材料，它适合热塑性成型加工的各种成型工艺，成型加工性好。低密度聚乙烯薄膜是一种半</w:t>
            </w:r>
            <w:r>
              <w:fldChar w:fldCharType="begin"/>
            </w:r>
            <w:r>
              <w:instrText xml:space="preserve"> HYPERLINK "http://www.baike.com/sowiki/%E9%80%8F%E6%98%8E?prd=content_doc_search" \o "透明" </w:instrText>
            </w:r>
            <w:r>
              <w:fldChar w:fldCharType="separate"/>
            </w:r>
            <w:r>
              <w:rPr>
                <w:rFonts w:hint="eastAsia"/>
                <w:sz w:val="21"/>
                <w:szCs w:val="21"/>
              </w:rPr>
              <w:t>透明</w:t>
            </w:r>
            <w:r>
              <w:rPr>
                <w:rFonts w:hint="eastAsia"/>
                <w:sz w:val="21"/>
                <w:szCs w:val="21"/>
              </w:rPr>
              <w:fldChar w:fldCharType="end"/>
            </w:r>
            <w:r>
              <w:rPr>
                <w:rFonts w:hint="eastAsia"/>
                <w:sz w:val="21"/>
                <w:szCs w:val="21"/>
              </w:rPr>
              <w:t>、有光泽、质地较柔软的薄膜，具有优良的化学稳定性、热封性、耐水性和防潮性，耐冷冻，可水煮。其主要缺点是对氧气的阻隔性较差，常用于复合软包装材料的内层薄膜，而且也是目前应用最广泛、用量最大的一种</w:t>
            </w:r>
            <w:r>
              <w:fldChar w:fldCharType="begin"/>
            </w:r>
            <w:r>
              <w:instrText xml:space="preserve"> HYPERLINK "http://www.baike.com/sowiki/%E5%A1%91%E6%96%99?prd=content_doc_search" \o "塑料" </w:instrText>
            </w:r>
            <w:r>
              <w:fldChar w:fldCharType="separate"/>
            </w:r>
            <w:r>
              <w:rPr>
                <w:rFonts w:hint="eastAsia"/>
                <w:sz w:val="21"/>
                <w:szCs w:val="21"/>
              </w:rPr>
              <w:t>塑料</w:t>
            </w:r>
            <w:r>
              <w:rPr>
                <w:rFonts w:hint="eastAsia"/>
                <w:sz w:val="21"/>
                <w:szCs w:val="21"/>
              </w:rPr>
              <w:fldChar w:fldCharType="end"/>
            </w:r>
            <w:r>
              <w:rPr>
                <w:rFonts w:hint="eastAsia"/>
                <w:sz w:val="21"/>
                <w:szCs w:val="21"/>
              </w:rPr>
              <w:t>包装薄膜，约占塑料包装薄膜耗用量的40%以上</w:t>
            </w:r>
          </w:p>
        </w:tc>
      </w:tr>
      <w:tr w14:paraId="4C94FAE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7B1B0D2C">
            <w:pPr>
              <w:adjustRightInd w:val="0"/>
              <w:snapToGrid w:val="0"/>
              <w:spacing w:line="240" w:lineRule="auto"/>
              <w:jc w:val="center"/>
              <w:rPr>
                <w:sz w:val="21"/>
                <w:szCs w:val="21"/>
              </w:rPr>
            </w:pPr>
            <w:r>
              <w:rPr>
                <w:rFonts w:hint="eastAsia"/>
                <w:sz w:val="21"/>
                <w:szCs w:val="21"/>
              </w:rPr>
              <w:t>3</w:t>
            </w:r>
          </w:p>
        </w:tc>
        <w:tc>
          <w:tcPr>
            <w:tcW w:w="1165" w:type="dxa"/>
            <w:vAlign w:val="center"/>
          </w:tcPr>
          <w:p w14:paraId="73C36C8A">
            <w:pPr>
              <w:adjustRightInd w:val="0"/>
              <w:snapToGrid w:val="0"/>
              <w:spacing w:line="240" w:lineRule="auto"/>
              <w:jc w:val="center"/>
              <w:rPr>
                <w:sz w:val="21"/>
                <w:szCs w:val="21"/>
              </w:rPr>
            </w:pPr>
            <w:r>
              <w:rPr>
                <w:rFonts w:hint="eastAsia"/>
                <w:sz w:val="21"/>
                <w:szCs w:val="21"/>
              </w:rPr>
              <w:t>BOPA</w:t>
            </w:r>
          </w:p>
          <w:p w14:paraId="1FA9B5E9">
            <w:pPr>
              <w:adjustRightInd w:val="0"/>
              <w:snapToGrid w:val="0"/>
              <w:spacing w:line="240" w:lineRule="auto"/>
              <w:jc w:val="center"/>
              <w:rPr>
                <w:sz w:val="21"/>
                <w:szCs w:val="21"/>
              </w:rPr>
            </w:pPr>
            <w:r>
              <w:rPr>
                <w:rFonts w:hint="eastAsia"/>
                <w:sz w:val="21"/>
                <w:szCs w:val="21"/>
              </w:rPr>
              <w:t>双向拉伸尼龙薄膜</w:t>
            </w:r>
          </w:p>
        </w:tc>
        <w:tc>
          <w:tcPr>
            <w:tcW w:w="6753" w:type="dxa"/>
            <w:vAlign w:val="center"/>
          </w:tcPr>
          <w:p w14:paraId="388BE1B4">
            <w:pPr>
              <w:adjustRightInd w:val="0"/>
              <w:snapToGrid w:val="0"/>
              <w:spacing w:line="240" w:lineRule="auto"/>
              <w:rPr>
                <w:sz w:val="21"/>
                <w:szCs w:val="21"/>
              </w:rPr>
            </w:pPr>
            <w:r>
              <w:rPr>
                <w:rFonts w:hint="eastAsia"/>
                <w:sz w:val="21"/>
                <w:szCs w:val="21"/>
              </w:rPr>
              <w:t>与其他薄膜相比，BOPA薄膜比PE、BOPP薄膜具有更高的强度，比EVOH、PVDC薄膜具有低成本和环保方面的优势，是食品保鲜、保香的理想材料，特别适合于冷冻、蒸煮、抽真空包装，且无毒无害。具体表现 在以下几个方面：</w:t>
            </w:r>
            <w:r>
              <w:rPr>
                <w:rFonts w:hint="eastAsia" w:ascii="宋体" w:hAnsi="宋体" w:cs="宋体"/>
                <w:sz w:val="21"/>
                <w:szCs w:val="21"/>
              </w:rPr>
              <w:t>⑴</w:t>
            </w:r>
            <w:r>
              <w:rPr>
                <w:rFonts w:hint="eastAsia"/>
                <w:sz w:val="21"/>
                <w:szCs w:val="21"/>
              </w:rPr>
              <w:t>良好的透明性和光泽度，雾度低。</w:t>
            </w:r>
            <w:r>
              <w:rPr>
                <w:rFonts w:hint="eastAsia" w:ascii="宋体" w:hAnsi="宋体" w:cs="宋体"/>
                <w:sz w:val="21"/>
                <w:szCs w:val="21"/>
              </w:rPr>
              <w:t>⑵</w:t>
            </w:r>
            <w:r>
              <w:rPr>
                <w:rFonts w:hint="eastAsia"/>
                <w:sz w:val="21"/>
                <w:szCs w:val="21"/>
              </w:rPr>
              <w:t>优异的韧性和耐穿刺性。</w:t>
            </w:r>
            <w:r>
              <w:rPr>
                <w:rFonts w:hint="eastAsia" w:ascii="宋体" w:hAnsi="宋体" w:cs="宋体"/>
                <w:sz w:val="21"/>
                <w:szCs w:val="21"/>
              </w:rPr>
              <w:t>⑶</w:t>
            </w:r>
            <w:r>
              <w:rPr>
                <w:rFonts w:hint="eastAsia"/>
                <w:sz w:val="21"/>
                <w:szCs w:val="21"/>
              </w:rPr>
              <w:t>极好的气体（氧气、氮气、二氧化碳）、香味和气味阻隔性。</w:t>
            </w:r>
            <w:r>
              <w:rPr>
                <w:rFonts w:hint="eastAsia" w:ascii="宋体" w:hAnsi="宋体" w:cs="宋体"/>
                <w:sz w:val="21"/>
                <w:szCs w:val="21"/>
              </w:rPr>
              <w:t>⑷</w:t>
            </w:r>
            <w:r>
              <w:rPr>
                <w:rFonts w:hint="eastAsia"/>
                <w:sz w:val="21"/>
                <w:szCs w:val="21"/>
              </w:rPr>
              <w:t>优异的耐油性、耐油脂性和耐化学溶剂性。</w:t>
            </w:r>
            <w:r>
              <w:rPr>
                <w:rFonts w:hint="eastAsia" w:ascii="宋体" w:hAnsi="宋体" w:cs="宋体"/>
                <w:sz w:val="21"/>
                <w:szCs w:val="21"/>
              </w:rPr>
              <w:t>⑸</w:t>
            </w:r>
            <w:r>
              <w:rPr>
                <w:rFonts w:hint="eastAsia"/>
                <w:sz w:val="21"/>
                <w:szCs w:val="21"/>
              </w:rPr>
              <w:t>便于加工，可进行涂敷、金属化处理，或与其他基材复合等。</w:t>
            </w:r>
            <w:r>
              <w:rPr>
                <w:rFonts w:hint="eastAsia" w:ascii="宋体" w:hAnsi="宋体" w:cs="宋体"/>
                <w:sz w:val="21"/>
                <w:szCs w:val="21"/>
              </w:rPr>
              <w:t>⑹</w:t>
            </w:r>
            <w:r>
              <w:rPr>
                <w:rFonts w:hint="eastAsia"/>
                <w:sz w:val="21"/>
                <w:szCs w:val="21"/>
              </w:rPr>
              <w:t>适用温度范围广泛（-60℃-150℃）。</w:t>
            </w:r>
            <w:r>
              <w:rPr>
                <w:rFonts w:hint="eastAsia" w:ascii="宋体" w:hAnsi="宋体" w:cs="宋体"/>
                <w:sz w:val="21"/>
                <w:szCs w:val="21"/>
              </w:rPr>
              <w:t>⑺</w:t>
            </w:r>
            <w:r>
              <w:rPr>
                <w:rFonts w:hint="eastAsia"/>
                <w:sz w:val="21"/>
                <w:szCs w:val="21"/>
              </w:rPr>
              <w:t>耐热性强。</w:t>
            </w:r>
          </w:p>
        </w:tc>
      </w:tr>
      <w:tr w14:paraId="274D82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71B2B01D">
            <w:pPr>
              <w:adjustRightInd w:val="0"/>
              <w:snapToGrid w:val="0"/>
              <w:spacing w:line="240" w:lineRule="auto"/>
              <w:jc w:val="center"/>
              <w:rPr>
                <w:sz w:val="21"/>
                <w:szCs w:val="21"/>
              </w:rPr>
            </w:pPr>
            <w:r>
              <w:rPr>
                <w:rFonts w:hint="eastAsia"/>
                <w:sz w:val="21"/>
                <w:szCs w:val="21"/>
              </w:rPr>
              <w:t>4</w:t>
            </w:r>
          </w:p>
        </w:tc>
        <w:tc>
          <w:tcPr>
            <w:tcW w:w="1165" w:type="dxa"/>
            <w:vAlign w:val="center"/>
          </w:tcPr>
          <w:p w14:paraId="7CADF14C">
            <w:pPr>
              <w:adjustRightInd w:val="0"/>
              <w:snapToGrid w:val="0"/>
              <w:spacing w:line="240" w:lineRule="auto"/>
              <w:jc w:val="center"/>
              <w:rPr>
                <w:sz w:val="21"/>
                <w:szCs w:val="21"/>
              </w:rPr>
            </w:pPr>
            <w:r>
              <w:rPr>
                <w:rFonts w:hint="eastAsia"/>
                <w:sz w:val="21"/>
                <w:szCs w:val="21"/>
              </w:rPr>
              <w:t>CPP</w:t>
            </w:r>
          </w:p>
          <w:p w14:paraId="5070D6C5">
            <w:pPr>
              <w:adjustRightInd w:val="0"/>
              <w:snapToGrid w:val="0"/>
              <w:spacing w:line="240" w:lineRule="auto"/>
              <w:jc w:val="center"/>
              <w:rPr>
                <w:sz w:val="21"/>
                <w:szCs w:val="21"/>
              </w:rPr>
            </w:pPr>
            <w:r>
              <w:rPr>
                <w:rFonts w:hint="eastAsia"/>
                <w:sz w:val="21"/>
                <w:szCs w:val="21"/>
              </w:rPr>
              <w:t>流延聚丙烯薄膜</w:t>
            </w:r>
          </w:p>
        </w:tc>
        <w:tc>
          <w:tcPr>
            <w:tcW w:w="6753" w:type="dxa"/>
            <w:vAlign w:val="center"/>
          </w:tcPr>
          <w:p w14:paraId="1F6BFFB0">
            <w:pPr>
              <w:adjustRightInd w:val="0"/>
              <w:snapToGrid w:val="0"/>
              <w:spacing w:line="240" w:lineRule="auto"/>
              <w:rPr>
                <w:sz w:val="21"/>
                <w:szCs w:val="21"/>
              </w:rPr>
            </w:pPr>
            <w:r>
              <w:rPr>
                <w:rFonts w:hint="eastAsia"/>
                <w:sz w:val="21"/>
                <w:szCs w:val="21"/>
              </w:rPr>
              <w:t>耐热性优良，由于CPP软化点大约为140℃，该类薄膜可应用于热灌装、蒸煮袋、无菌包装等领域。加上耐酸、耐碱、耐油脂性能优良，使之成为面包产品包装或层压材料等领域的首选材料。其与食品接触性安全，演示性能优良，不会影响内装食品的风味，并可选择不同品级的树脂以获得所需的特性</w:t>
            </w:r>
          </w:p>
        </w:tc>
      </w:tr>
      <w:tr w14:paraId="0E06AF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16F5BF26">
            <w:pPr>
              <w:adjustRightInd w:val="0"/>
              <w:snapToGrid w:val="0"/>
              <w:spacing w:line="240" w:lineRule="auto"/>
              <w:jc w:val="center"/>
              <w:rPr>
                <w:sz w:val="21"/>
                <w:szCs w:val="21"/>
              </w:rPr>
            </w:pPr>
            <w:r>
              <w:rPr>
                <w:rFonts w:hint="eastAsia"/>
                <w:sz w:val="21"/>
                <w:szCs w:val="21"/>
              </w:rPr>
              <w:t>5</w:t>
            </w:r>
          </w:p>
        </w:tc>
        <w:tc>
          <w:tcPr>
            <w:tcW w:w="1165" w:type="dxa"/>
            <w:vAlign w:val="center"/>
          </w:tcPr>
          <w:p w14:paraId="7B31FCC4">
            <w:pPr>
              <w:adjustRightInd w:val="0"/>
              <w:snapToGrid w:val="0"/>
              <w:spacing w:line="240" w:lineRule="auto"/>
              <w:jc w:val="center"/>
              <w:rPr>
                <w:sz w:val="21"/>
                <w:szCs w:val="21"/>
              </w:rPr>
            </w:pPr>
            <w:r>
              <w:rPr>
                <w:rFonts w:hint="eastAsia"/>
                <w:sz w:val="21"/>
                <w:szCs w:val="21"/>
              </w:rPr>
              <w:t>溶剂型</w:t>
            </w:r>
            <w:r>
              <w:rPr>
                <w:sz w:val="21"/>
                <w:szCs w:val="21"/>
              </w:rPr>
              <w:t>油墨</w:t>
            </w:r>
          </w:p>
        </w:tc>
        <w:tc>
          <w:tcPr>
            <w:tcW w:w="6753" w:type="dxa"/>
            <w:vAlign w:val="center"/>
          </w:tcPr>
          <w:p w14:paraId="14818447">
            <w:pPr>
              <w:adjustRightInd w:val="0"/>
              <w:snapToGrid w:val="0"/>
              <w:spacing w:line="240" w:lineRule="auto"/>
              <w:jc w:val="left"/>
              <w:rPr>
                <w:sz w:val="21"/>
                <w:szCs w:val="21"/>
              </w:rPr>
            </w:pPr>
            <w:r>
              <w:rPr>
                <w:sz w:val="21"/>
                <w:szCs w:val="21"/>
              </w:rPr>
              <w:t>油墨，是用于印刷的重要材料，它通过印刷将图案、文字表现在承印物上。油墨中包括主要成分和辅助成分，它们均匀地混合并经反复轧制而成一种黏性胶状流体。由</w:t>
            </w:r>
            <w:r>
              <w:rPr>
                <w:rFonts w:hint="eastAsia"/>
                <w:sz w:val="21"/>
                <w:szCs w:val="21"/>
              </w:rPr>
              <w:t>联结</w:t>
            </w:r>
            <w:r>
              <w:rPr>
                <w:sz w:val="21"/>
                <w:szCs w:val="21"/>
              </w:rPr>
              <w:t>料（树脂）、颜料、填料、</w:t>
            </w:r>
            <w:r>
              <w:fldChar w:fldCharType="begin"/>
            </w:r>
            <w:r>
              <w:instrText xml:space="preserve"> HYPERLINK "http://baike.baidu.com/view/110477.htm" \t "_blank" </w:instrText>
            </w:r>
            <w:r>
              <w:fldChar w:fldCharType="separate"/>
            </w:r>
            <w:r>
              <w:rPr>
                <w:sz w:val="21"/>
                <w:szCs w:val="21"/>
              </w:rPr>
              <w:t>助剂</w:t>
            </w:r>
            <w:r>
              <w:rPr>
                <w:sz w:val="21"/>
                <w:szCs w:val="21"/>
              </w:rPr>
              <w:fldChar w:fldCharType="end"/>
            </w:r>
            <w:r>
              <w:rPr>
                <w:sz w:val="21"/>
                <w:szCs w:val="21"/>
              </w:rPr>
              <w:t>和溶剂等组成。项目采用洋紫荆油墨（</w:t>
            </w:r>
            <w:r>
              <w:rPr>
                <w:rFonts w:hint="eastAsia"/>
                <w:sz w:val="21"/>
                <w:szCs w:val="21"/>
              </w:rPr>
              <w:t>浙江</w:t>
            </w:r>
            <w:r>
              <w:rPr>
                <w:sz w:val="21"/>
                <w:szCs w:val="21"/>
              </w:rPr>
              <w:t>）有限公司的GSA系列的油墨，主要为环保型凹印油墨——白色、黑色、原色黄、原色红、金红、原色蓝、橙色、调墨油等颜色。根据洋紫荆油墨（</w:t>
            </w:r>
            <w:r>
              <w:rPr>
                <w:rFonts w:hint="eastAsia"/>
                <w:sz w:val="21"/>
                <w:szCs w:val="21"/>
              </w:rPr>
              <w:t>浙江</w:t>
            </w:r>
            <w:r>
              <w:rPr>
                <w:sz w:val="21"/>
                <w:szCs w:val="21"/>
              </w:rPr>
              <w:t>）有限公司</w:t>
            </w:r>
            <w:r>
              <w:rPr>
                <w:rFonts w:hint="eastAsia"/>
                <w:sz w:val="21"/>
                <w:szCs w:val="21"/>
              </w:rPr>
              <w:t>提供的MSDS，主要成分为：醇类（异丙醇）5-10%、酯类33-60%（乙酸正丙酯、乙酸乙酯、丙二醇一甲醚乙酸酯、醋酸正丁酯）、聚氨酯树脂0-32%、二元氯醋树脂12-18%、颜料8-35%</w:t>
            </w:r>
          </w:p>
        </w:tc>
      </w:tr>
      <w:tr w14:paraId="6EC6CE6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5A0DEC1F">
            <w:pPr>
              <w:adjustRightInd w:val="0"/>
              <w:snapToGrid w:val="0"/>
              <w:spacing w:line="240" w:lineRule="auto"/>
              <w:jc w:val="center"/>
              <w:rPr>
                <w:sz w:val="21"/>
                <w:szCs w:val="21"/>
              </w:rPr>
            </w:pPr>
            <w:r>
              <w:rPr>
                <w:rFonts w:hint="eastAsia"/>
                <w:sz w:val="21"/>
                <w:szCs w:val="21"/>
              </w:rPr>
              <w:t>6</w:t>
            </w:r>
          </w:p>
        </w:tc>
        <w:tc>
          <w:tcPr>
            <w:tcW w:w="1165" w:type="dxa"/>
            <w:vAlign w:val="center"/>
          </w:tcPr>
          <w:p w14:paraId="1CB71517">
            <w:pPr>
              <w:adjustRightInd w:val="0"/>
              <w:snapToGrid w:val="0"/>
              <w:spacing w:line="240" w:lineRule="auto"/>
              <w:jc w:val="center"/>
              <w:rPr>
                <w:sz w:val="21"/>
                <w:szCs w:val="21"/>
              </w:rPr>
            </w:pPr>
            <w:r>
              <w:rPr>
                <w:sz w:val="21"/>
                <w:szCs w:val="21"/>
              </w:rPr>
              <w:t>溶剂型包装胶水</w:t>
            </w:r>
          </w:p>
        </w:tc>
        <w:tc>
          <w:tcPr>
            <w:tcW w:w="6753" w:type="dxa"/>
            <w:vAlign w:val="center"/>
          </w:tcPr>
          <w:p w14:paraId="368C130A">
            <w:pPr>
              <w:adjustRightInd w:val="0"/>
              <w:snapToGrid w:val="0"/>
              <w:spacing w:line="240" w:lineRule="auto"/>
              <w:jc w:val="left"/>
              <w:rPr>
                <w:sz w:val="21"/>
                <w:szCs w:val="21"/>
              </w:rPr>
            </w:pPr>
            <w:r>
              <w:rPr>
                <w:sz w:val="21"/>
                <w:szCs w:val="21"/>
              </w:rPr>
              <w:t>聚氨酯胶水主要用在复合工序，是无色或淡黄色透明液体。本产品具有高强度，耐磨性、高弹性，耐低温性等优势，软硬度可在很大的范围内进行调节，但耐热性不佳</w:t>
            </w:r>
            <w:r>
              <w:rPr>
                <w:rFonts w:hint="eastAsia"/>
                <w:sz w:val="21"/>
                <w:szCs w:val="21"/>
              </w:rPr>
              <w:t>，</w:t>
            </w:r>
            <w:r>
              <w:rPr>
                <w:sz w:val="21"/>
                <w:szCs w:val="21"/>
              </w:rPr>
              <w:t>通过改性将耐热基团引入聚氨酯的硬段中，制造出一种耐热将近120℃的聚氨酯胶粘剂</w:t>
            </w:r>
            <w:r>
              <w:rPr>
                <w:rFonts w:hint="eastAsia"/>
                <w:sz w:val="21"/>
                <w:szCs w:val="21"/>
              </w:rPr>
              <w:t>，</w:t>
            </w:r>
            <w:r>
              <w:rPr>
                <w:sz w:val="21"/>
                <w:szCs w:val="21"/>
              </w:rPr>
              <w:t>并且在150℃高温还有很好的黏附性能，扩大了聚氨酯胶粘剂的适用范围。根据建设方提供的</w:t>
            </w:r>
            <w:r>
              <w:rPr>
                <w:rFonts w:hint="eastAsia"/>
                <w:sz w:val="21"/>
                <w:szCs w:val="21"/>
              </w:rPr>
              <w:t>MSDS</w:t>
            </w:r>
            <w:r>
              <w:rPr>
                <w:sz w:val="21"/>
                <w:szCs w:val="21"/>
              </w:rPr>
              <w:t>，</w:t>
            </w:r>
            <w:r>
              <w:rPr>
                <w:rFonts w:hint="eastAsia"/>
                <w:sz w:val="21"/>
                <w:szCs w:val="21"/>
              </w:rPr>
              <w:t>8716A成分为乙酸乙酯23-27%，聚氨酯预聚物73-77%；8716B成分为乙酸乙酯23-27%，多异氰酸酯73-77%；</w:t>
            </w:r>
          </w:p>
        </w:tc>
      </w:tr>
      <w:tr w14:paraId="0F1D29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0C4416AE">
            <w:pPr>
              <w:adjustRightInd w:val="0"/>
              <w:snapToGrid w:val="0"/>
              <w:spacing w:line="240" w:lineRule="auto"/>
              <w:jc w:val="center"/>
              <w:rPr>
                <w:sz w:val="21"/>
                <w:szCs w:val="21"/>
              </w:rPr>
            </w:pPr>
            <w:r>
              <w:rPr>
                <w:rFonts w:hint="eastAsia"/>
                <w:sz w:val="21"/>
                <w:szCs w:val="21"/>
              </w:rPr>
              <w:t>7</w:t>
            </w:r>
          </w:p>
        </w:tc>
        <w:tc>
          <w:tcPr>
            <w:tcW w:w="1165" w:type="dxa"/>
            <w:vAlign w:val="center"/>
          </w:tcPr>
          <w:p w14:paraId="4777F095">
            <w:pPr>
              <w:adjustRightInd w:val="0"/>
              <w:snapToGrid w:val="0"/>
              <w:spacing w:line="240" w:lineRule="auto"/>
              <w:jc w:val="center"/>
              <w:rPr>
                <w:sz w:val="21"/>
                <w:szCs w:val="21"/>
              </w:rPr>
            </w:pPr>
            <w:r>
              <w:rPr>
                <w:rFonts w:hint="eastAsia"/>
                <w:sz w:val="21"/>
                <w:szCs w:val="21"/>
              </w:rPr>
              <w:t>双组分无溶剂胶黏剂A/B剂</w:t>
            </w:r>
          </w:p>
        </w:tc>
        <w:tc>
          <w:tcPr>
            <w:tcW w:w="6753" w:type="dxa"/>
            <w:vAlign w:val="center"/>
          </w:tcPr>
          <w:p w14:paraId="2483E648">
            <w:pPr>
              <w:adjustRightInd w:val="0"/>
              <w:snapToGrid w:val="0"/>
              <w:spacing w:line="240" w:lineRule="auto"/>
              <w:jc w:val="left"/>
              <w:rPr>
                <w:sz w:val="21"/>
                <w:szCs w:val="21"/>
              </w:rPr>
            </w:pPr>
            <w:r>
              <w:rPr>
                <w:sz w:val="21"/>
                <w:szCs w:val="21"/>
              </w:rPr>
              <w:t>无溶剂胶粘剂也是聚氨酯胶粘剂的一种，主要用于无溶剂复合工序中。其可以是单组份也可以是双组份胶粘剂（A、B胶）。双组份型，其主剂和固化剂在室温下的黏度较高，但仍具有流动性，是半固态物质。当要进行复合时，主剂和固化剂按比例混合</w:t>
            </w:r>
            <w:r>
              <w:rPr>
                <w:rFonts w:hint="eastAsia"/>
                <w:sz w:val="21"/>
                <w:szCs w:val="21"/>
              </w:rPr>
              <w:t>，</w:t>
            </w:r>
            <w:r>
              <w:rPr>
                <w:sz w:val="21"/>
                <w:szCs w:val="21"/>
              </w:rPr>
              <w:t>放到具有加热保温功能的胶盘里，升温到50~60℃，使黏度降低到1pa-s或更低一些，然后通过具有加热保温功能的凹版辊涂到基材上去。涂胶后不必经烘道加热干燥，因为它本身没有任何溶剂，直接就可与另一基材进行复合。使用无溶剂型胶黏剂不存在废气排放问题，不需要庞大复杂的加热鼓风和废气处理装置，设备简单，原料节省，能耗减少，维护费用低廉，生产速度提高，所以效益非常显著</w:t>
            </w:r>
            <w:r>
              <w:rPr>
                <w:rFonts w:hint="eastAsia"/>
                <w:sz w:val="21"/>
                <w:szCs w:val="21"/>
              </w:rPr>
              <w:t>。</w:t>
            </w:r>
            <w:r>
              <w:rPr>
                <w:sz w:val="21"/>
                <w:szCs w:val="21"/>
              </w:rPr>
              <w:t>根据建设方提供的</w:t>
            </w:r>
            <w:r>
              <w:rPr>
                <w:rFonts w:hint="eastAsia"/>
                <w:sz w:val="21"/>
                <w:szCs w:val="21"/>
              </w:rPr>
              <w:t>MSDS</w:t>
            </w:r>
            <w:r>
              <w:rPr>
                <w:sz w:val="21"/>
                <w:szCs w:val="21"/>
              </w:rPr>
              <w:t>，</w:t>
            </w:r>
            <w:r>
              <w:rPr>
                <w:rFonts w:hint="eastAsia"/>
                <w:sz w:val="21"/>
                <w:szCs w:val="21"/>
              </w:rPr>
              <w:t>A剂为异氰酸酯聚合物100%；B剂为多元醇聚合物100%</w:t>
            </w:r>
          </w:p>
        </w:tc>
      </w:tr>
      <w:tr w14:paraId="7861AB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5B176C00">
            <w:pPr>
              <w:adjustRightInd w:val="0"/>
              <w:snapToGrid w:val="0"/>
              <w:spacing w:line="240" w:lineRule="auto"/>
              <w:jc w:val="center"/>
              <w:rPr>
                <w:sz w:val="21"/>
                <w:szCs w:val="21"/>
              </w:rPr>
            </w:pPr>
            <w:r>
              <w:rPr>
                <w:rFonts w:hint="eastAsia"/>
                <w:sz w:val="21"/>
                <w:szCs w:val="21"/>
              </w:rPr>
              <w:t>8</w:t>
            </w:r>
          </w:p>
        </w:tc>
        <w:tc>
          <w:tcPr>
            <w:tcW w:w="1165" w:type="dxa"/>
            <w:vAlign w:val="center"/>
          </w:tcPr>
          <w:p w14:paraId="4A1CD134">
            <w:pPr>
              <w:adjustRightInd w:val="0"/>
              <w:snapToGrid w:val="0"/>
              <w:spacing w:line="240" w:lineRule="auto"/>
              <w:jc w:val="center"/>
              <w:rPr>
                <w:sz w:val="21"/>
                <w:szCs w:val="21"/>
              </w:rPr>
            </w:pPr>
            <w:r>
              <w:rPr>
                <w:sz w:val="21"/>
                <w:szCs w:val="21"/>
              </w:rPr>
              <w:t>乙酸正丙酯</w:t>
            </w:r>
          </w:p>
        </w:tc>
        <w:tc>
          <w:tcPr>
            <w:tcW w:w="6753" w:type="dxa"/>
            <w:vAlign w:val="center"/>
          </w:tcPr>
          <w:p w14:paraId="2C46C39C">
            <w:pPr>
              <w:adjustRightInd w:val="0"/>
              <w:snapToGrid w:val="0"/>
              <w:spacing w:line="240" w:lineRule="auto"/>
              <w:jc w:val="center"/>
              <w:rPr>
                <w:sz w:val="21"/>
                <w:szCs w:val="21"/>
              </w:rPr>
            </w:pPr>
            <w:r>
              <w:rPr>
                <w:sz w:val="21"/>
                <w:szCs w:val="21"/>
              </w:rPr>
              <w:t>CAS：109-60-4，常温下为无色透明液体，与乙醇、乙醚互溶，有特殊的水果香味</w:t>
            </w:r>
          </w:p>
        </w:tc>
      </w:tr>
      <w:tr w14:paraId="0551CBE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65C0BEF1">
            <w:pPr>
              <w:adjustRightInd w:val="0"/>
              <w:snapToGrid w:val="0"/>
              <w:spacing w:line="240" w:lineRule="auto"/>
              <w:jc w:val="center"/>
              <w:rPr>
                <w:sz w:val="21"/>
                <w:szCs w:val="21"/>
              </w:rPr>
            </w:pPr>
            <w:r>
              <w:rPr>
                <w:rFonts w:hint="eastAsia"/>
                <w:sz w:val="21"/>
                <w:szCs w:val="21"/>
              </w:rPr>
              <w:t>9</w:t>
            </w:r>
          </w:p>
        </w:tc>
        <w:tc>
          <w:tcPr>
            <w:tcW w:w="1165" w:type="dxa"/>
            <w:vAlign w:val="center"/>
          </w:tcPr>
          <w:p w14:paraId="408D44A0">
            <w:pPr>
              <w:adjustRightInd w:val="0"/>
              <w:snapToGrid w:val="0"/>
              <w:spacing w:line="240" w:lineRule="auto"/>
              <w:jc w:val="center"/>
              <w:rPr>
                <w:sz w:val="21"/>
                <w:szCs w:val="21"/>
              </w:rPr>
            </w:pPr>
            <w:r>
              <w:rPr>
                <w:sz w:val="21"/>
                <w:szCs w:val="21"/>
              </w:rPr>
              <w:t>乙酸丁酯</w:t>
            </w:r>
          </w:p>
        </w:tc>
        <w:tc>
          <w:tcPr>
            <w:tcW w:w="6753" w:type="dxa"/>
            <w:vAlign w:val="center"/>
          </w:tcPr>
          <w:p w14:paraId="04400CCD">
            <w:pPr>
              <w:adjustRightInd w:val="0"/>
              <w:snapToGrid w:val="0"/>
              <w:spacing w:line="240" w:lineRule="auto"/>
              <w:jc w:val="center"/>
              <w:rPr>
                <w:sz w:val="21"/>
                <w:szCs w:val="21"/>
              </w:rPr>
            </w:pPr>
            <w:r>
              <w:rPr>
                <w:sz w:val="21"/>
                <w:szCs w:val="21"/>
              </w:rPr>
              <w:t>CAS：123-86-4，无色透明有愉快果香气味的液体。较低级同系物难溶于水；与醇、醚、酮等有机溶剂混溶。易燃。</w:t>
            </w:r>
          </w:p>
        </w:tc>
      </w:tr>
      <w:tr w14:paraId="643631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5F1DD6FA">
            <w:pPr>
              <w:adjustRightInd w:val="0"/>
              <w:snapToGrid w:val="0"/>
              <w:spacing w:line="240" w:lineRule="auto"/>
              <w:jc w:val="center"/>
              <w:rPr>
                <w:sz w:val="21"/>
                <w:szCs w:val="21"/>
              </w:rPr>
            </w:pPr>
            <w:r>
              <w:rPr>
                <w:rFonts w:hint="eastAsia"/>
                <w:sz w:val="21"/>
                <w:szCs w:val="21"/>
              </w:rPr>
              <w:t>10</w:t>
            </w:r>
          </w:p>
        </w:tc>
        <w:tc>
          <w:tcPr>
            <w:tcW w:w="1165" w:type="dxa"/>
            <w:vAlign w:val="center"/>
          </w:tcPr>
          <w:p w14:paraId="112CE01D">
            <w:pPr>
              <w:adjustRightInd w:val="0"/>
              <w:snapToGrid w:val="0"/>
              <w:spacing w:line="240" w:lineRule="auto"/>
              <w:jc w:val="center"/>
              <w:rPr>
                <w:sz w:val="21"/>
                <w:szCs w:val="21"/>
              </w:rPr>
            </w:pPr>
            <w:r>
              <w:rPr>
                <w:sz w:val="21"/>
                <w:szCs w:val="21"/>
              </w:rPr>
              <w:t>异丙醇</w:t>
            </w:r>
          </w:p>
        </w:tc>
        <w:tc>
          <w:tcPr>
            <w:tcW w:w="6753" w:type="dxa"/>
            <w:vAlign w:val="center"/>
          </w:tcPr>
          <w:p w14:paraId="11658BCB">
            <w:pPr>
              <w:adjustRightInd w:val="0"/>
              <w:snapToGrid w:val="0"/>
              <w:spacing w:line="240" w:lineRule="auto"/>
              <w:jc w:val="center"/>
              <w:rPr>
                <w:sz w:val="21"/>
                <w:szCs w:val="21"/>
              </w:rPr>
            </w:pPr>
            <w:r>
              <w:rPr>
                <w:sz w:val="21"/>
                <w:szCs w:val="21"/>
              </w:rPr>
              <w:t>CAS：67-63-4，无色透明液体，用作油墨的稀释剂，常用于印刷行业、化妆品、医药等，属微毒类，接触高浓度异丙醇蒸气可出现头痛、倦睡、共济失调以及眼、鼻、喉刺激等症状，常温下可引火燃烧，其蒸汽与空气混合易形成爆炸混合物</w:t>
            </w:r>
          </w:p>
        </w:tc>
      </w:tr>
      <w:tr w14:paraId="094B3F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444" w:type="dxa"/>
            <w:vAlign w:val="center"/>
          </w:tcPr>
          <w:p w14:paraId="560EF9DE">
            <w:pPr>
              <w:adjustRightInd w:val="0"/>
              <w:snapToGrid w:val="0"/>
              <w:spacing w:line="240" w:lineRule="auto"/>
              <w:jc w:val="center"/>
              <w:rPr>
                <w:sz w:val="21"/>
                <w:szCs w:val="21"/>
              </w:rPr>
            </w:pPr>
            <w:r>
              <w:rPr>
                <w:rFonts w:hint="eastAsia"/>
                <w:sz w:val="21"/>
                <w:szCs w:val="21"/>
              </w:rPr>
              <w:t>11</w:t>
            </w:r>
          </w:p>
        </w:tc>
        <w:tc>
          <w:tcPr>
            <w:tcW w:w="1165" w:type="dxa"/>
            <w:vAlign w:val="center"/>
          </w:tcPr>
          <w:p w14:paraId="2148990D">
            <w:pPr>
              <w:adjustRightInd w:val="0"/>
              <w:snapToGrid w:val="0"/>
              <w:spacing w:line="240" w:lineRule="auto"/>
              <w:jc w:val="center"/>
              <w:rPr>
                <w:sz w:val="21"/>
                <w:szCs w:val="21"/>
              </w:rPr>
            </w:pPr>
            <w:r>
              <w:rPr>
                <w:sz w:val="21"/>
                <w:szCs w:val="21"/>
              </w:rPr>
              <w:t>乙酸乙酯</w:t>
            </w:r>
          </w:p>
        </w:tc>
        <w:tc>
          <w:tcPr>
            <w:tcW w:w="6753" w:type="dxa"/>
            <w:vAlign w:val="center"/>
          </w:tcPr>
          <w:p w14:paraId="592E7B0A">
            <w:pPr>
              <w:adjustRightInd w:val="0"/>
              <w:snapToGrid w:val="0"/>
              <w:spacing w:line="240" w:lineRule="auto"/>
              <w:jc w:val="center"/>
              <w:rPr>
                <w:sz w:val="21"/>
                <w:szCs w:val="21"/>
              </w:rPr>
            </w:pPr>
            <w:r>
              <w:rPr>
                <w:sz w:val="21"/>
                <w:szCs w:val="21"/>
              </w:rPr>
              <w:t>CAS：141-78-6，色透明液体，低毒性，有甜味，浓度较高时有刺激性气味，易挥发，对空气敏感，能吸水分，使其缓慢水解而呈酸性反应</w:t>
            </w:r>
          </w:p>
        </w:tc>
      </w:tr>
    </w:tbl>
    <w:p w14:paraId="0B17C5C6">
      <w:pPr>
        <w:ind w:firstLine="482"/>
        <w:rPr>
          <w:b/>
          <w:bCs/>
        </w:rPr>
      </w:pPr>
      <w:r>
        <w:rPr>
          <w:rFonts w:hint="eastAsia"/>
          <w:b/>
          <w:bCs/>
        </w:rPr>
        <w:t>3.原辅材料中有机溶剂组分</w:t>
      </w:r>
    </w:p>
    <w:p w14:paraId="4FD3C58D">
      <w:pPr>
        <w:ind w:firstLine="480"/>
      </w:pPr>
      <w:r>
        <w:rPr>
          <w:rFonts w:hint="eastAsia"/>
        </w:rPr>
        <w:t>根据建设单位以及原料厂家提供的MSDS查询CAS等资料，由于市场价格变化波动，原辅材料会根据市场跟换，但是基本物质不会发生变化，且根据印刷复合VOCs废气处理溶剂回收再利用项目技术方案》的规定，溶剂稀释剂、油墨和胶粘剂中不能含有苯类、酮类、乙醇、甲醇、丙二醇甲醚等类型的溶剂，对原辅料进行采购，根据最不利影响，本项目选择了常用且不经常变动厂家原辅材料进行评价，挥发性有机物含量如表4.1-7所示。</w:t>
      </w:r>
    </w:p>
    <w:p w14:paraId="574EEDE1">
      <w:pPr>
        <w:pStyle w:val="51"/>
        <w:numPr>
          <w:ilvl w:val="5"/>
          <w:numId w:val="0"/>
        </w:numPr>
        <w:spacing w:before="156"/>
        <w:ind w:left="305" w:leftChars="0" w:hanging="3260" w:firstLineChars="0"/>
        <w:rPr>
          <w:sz w:val="24"/>
        </w:rPr>
      </w:pPr>
      <w:r>
        <w:rPr>
          <w:rFonts w:hint="eastAsia" w:ascii="宋体" w:hAnsi="宋体" w:cs="宋体"/>
          <w:b/>
          <w:bCs/>
          <w:color w:val="auto"/>
          <w:kern w:val="2"/>
          <w:sz w:val="21"/>
          <w:szCs w:val="21"/>
          <w:lang w:val="en-US" w:eastAsia="zh-CN" w:bidi="ar-SA"/>
        </w:rPr>
        <w:t xml:space="preserve">           </w:t>
      </w:r>
      <w:r>
        <w:rPr>
          <w:rFonts w:hint="eastAsia" w:ascii="宋体" w:hAnsi="宋体" w:cs="宋体"/>
          <w:b/>
          <w:bCs/>
          <w:color w:val="auto"/>
          <w:kern w:val="2"/>
          <w:sz w:val="24"/>
          <w:szCs w:val="24"/>
          <w:lang w:val="en-US" w:eastAsia="zh-CN" w:bidi="ar-SA"/>
        </w:rPr>
        <w:t xml:space="preserve">     </w:t>
      </w:r>
      <w:r>
        <w:rPr>
          <w:rFonts w:hint="default" w:ascii="宋体" w:hAnsi="宋体" w:eastAsia="宋体" w:cs="宋体"/>
          <w:b/>
          <w:bCs/>
          <w:color w:val="auto"/>
          <w:kern w:val="2"/>
          <w:sz w:val="24"/>
          <w:szCs w:val="24"/>
          <w:lang w:val="en-US" w:eastAsia="zh-CN" w:bidi="ar-SA"/>
        </w:rPr>
        <w:t xml:space="preserve">表4.1-7 </w:t>
      </w:r>
      <w:r>
        <w:rPr>
          <w:rFonts w:hint="eastAsia" w:ascii="宋体" w:hAnsi="宋体" w:cs="宋体"/>
          <w:b/>
          <w:bCs/>
          <w:color w:val="auto"/>
          <w:kern w:val="2"/>
          <w:sz w:val="24"/>
          <w:szCs w:val="24"/>
          <w:lang w:val="en-US" w:eastAsia="zh-CN" w:bidi="ar-SA"/>
        </w:rPr>
        <w:t xml:space="preserve">  含VOCs物料</w:t>
      </w:r>
      <w:r>
        <w:rPr>
          <w:rFonts w:hint="eastAsia"/>
          <w:sz w:val="24"/>
          <w:szCs w:val="24"/>
        </w:rPr>
        <w:t>中组分一览表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817"/>
        <w:gridCol w:w="851"/>
        <w:gridCol w:w="1417"/>
        <w:gridCol w:w="1134"/>
        <w:gridCol w:w="992"/>
        <w:gridCol w:w="1134"/>
        <w:gridCol w:w="851"/>
        <w:gridCol w:w="1326"/>
      </w:tblGrid>
      <w:tr w14:paraId="5551D08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tcBorders>
              <w:tl2br w:val="nil"/>
              <w:tr2bl w:val="nil"/>
            </w:tcBorders>
            <w:vAlign w:val="center"/>
          </w:tcPr>
          <w:p w14:paraId="0FB9D876">
            <w:pPr>
              <w:adjustRightInd w:val="0"/>
              <w:snapToGrid w:val="0"/>
              <w:spacing w:line="240" w:lineRule="auto"/>
              <w:jc w:val="center"/>
              <w:rPr>
                <w:sz w:val="21"/>
                <w:szCs w:val="21"/>
              </w:rPr>
            </w:pPr>
            <w:r>
              <w:rPr>
                <w:rFonts w:hint="eastAsia"/>
                <w:sz w:val="21"/>
                <w:szCs w:val="21"/>
              </w:rPr>
              <w:t>原料名称</w:t>
            </w:r>
          </w:p>
        </w:tc>
        <w:tc>
          <w:tcPr>
            <w:tcW w:w="851" w:type="dxa"/>
            <w:tcBorders>
              <w:tl2br w:val="nil"/>
              <w:tr2bl w:val="nil"/>
            </w:tcBorders>
            <w:vAlign w:val="center"/>
          </w:tcPr>
          <w:p w14:paraId="0A2B0236">
            <w:pPr>
              <w:adjustRightInd w:val="0"/>
              <w:snapToGrid w:val="0"/>
              <w:spacing w:line="240" w:lineRule="auto"/>
              <w:jc w:val="center"/>
              <w:rPr>
                <w:sz w:val="21"/>
                <w:szCs w:val="21"/>
              </w:rPr>
            </w:pPr>
            <w:r>
              <w:rPr>
                <w:rFonts w:hint="eastAsia"/>
                <w:sz w:val="21"/>
                <w:szCs w:val="21"/>
              </w:rPr>
              <w:t>用量（t/a）</w:t>
            </w:r>
          </w:p>
        </w:tc>
        <w:tc>
          <w:tcPr>
            <w:tcW w:w="1417" w:type="dxa"/>
            <w:tcBorders>
              <w:tl2br w:val="nil"/>
              <w:tr2bl w:val="nil"/>
            </w:tcBorders>
            <w:vAlign w:val="center"/>
          </w:tcPr>
          <w:p w14:paraId="77CF6BA2">
            <w:pPr>
              <w:adjustRightInd w:val="0"/>
              <w:snapToGrid w:val="0"/>
              <w:spacing w:line="240" w:lineRule="auto"/>
              <w:jc w:val="center"/>
              <w:rPr>
                <w:sz w:val="21"/>
                <w:szCs w:val="21"/>
              </w:rPr>
            </w:pPr>
            <w:r>
              <w:rPr>
                <w:rFonts w:hint="eastAsia"/>
                <w:sz w:val="21"/>
                <w:szCs w:val="21"/>
              </w:rPr>
              <w:t>成分</w:t>
            </w:r>
          </w:p>
        </w:tc>
        <w:tc>
          <w:tcPr>
            <w:tcW w:w="1134" w:type="dxa"/>
            <w:tcBorders>
              <w:tl2br w:val="nil"/>
              <w:tr2bl w:val="nil"/>
            </w:tcBorders>
            <w:vAlign w:val="center"/>
          </w:tcPr>
          <w:p w14:paraId="78420CA3">
            <w:pPr>
              <w:adjustRightInd w:val="0"/>
              <w:snapToGrid w:val="0"/>
              <w:spacing w:line="240" w:lineRule="auto"/>
              <w:jc w:val="center"/>
              <w:rPr>
                <w:sz w:val="21"/>
                <w:szCs w:val="21"/>
              </w:rPr>
            </w:pPr>
            <w:r>
              <w:rPr>
                <w:rFonts w:hint="eastAsia"/>
                <w:sz w:val="21"/>
                <w:szCs w:val="21"/>
              </w:rPr>
              <w:t>CAS号</w:t>
            </w:r>
          </w:p>
        </w:tc>
        <w:tc>
          <w:tcPr>
            <w:tcW w:w="992" w:type="dxa"/>
            <w:tcBorders>
              <w:tl2br w:val="nil"/>
              <w:tr2bl w:val="nil"/>
            </w:tcBorders>
            <w:vAlign w:val="center"/>
          </w:tcPr>
          <w:p w14:paraId="19B46741">
            <w:pPr>
              <w:adjustRightInd w:val="0"/>
              <w:snapToGrid w:val="0"/>
              <w:spacing w:line="240" w:lineRule="auto"/>
              <w:jc w:val="center"/>
              <w:rPr>
                <w:sz w:val="21"/>
                <w:szCs w:val="21"/>
              </w:rPr>
            </w:pPr>
            <w:r>
              <w:rPr>
                <w:rFonts w:hint="eastAsia"/>
                <w:sz w:val="21"/>
                <w:szCs w:val="21"/>
              </w:rPr>
              <w:t>物料比例（%）</w:t>
            </w:r>
          </w:p>
        </w:tc>
        <w:tc>
          <w:tcPr>
            <w:tcW w:w="1134" w:type="dxa"/>
            <w:tcBorders>
              <w:tl2br w:val="nil"/>
              <w:tr2bl w:val="nil"/>
            </w:tcBorders>
            <w:vAlign w:val="center"/>
          </w:tcPr>
          <w:p w14:paraId="6D2199F6">
            <w:pPr>
              <w:adjustRightInd w:val="0"/>
              <w:snapToGrid w:val="0"/>
              <w:spacing w:line="240" w:lineRule="auto"/>
              <w:jc w:val="center"/>
              <w:rPr>
                <w:sz w:val="21"/>
                <w:szCs w:val="21"/>
              </w:rPr>
            </w:pPr>
            <w:r>
              <w:rPr>
                <w:rFonts w:hint="eastAsia"/>
                <w:sz w:val="21"/>
                <w:szCs w:val="21"/>
              </w:rPr>
              <w:t>VOCs占比%</w:t>
            </w:r>
          </w:p>
        </w:tc>
        <w:tc>
          <w:tcPr>
            <w:tcW w:w="851" w:type="dxa"/>
            <w:tcBorders>
              <w:tl2br w:val="nil"/>
              <w:tr2bl w:val="nil"/>
            </w:tcBorders>
            <w:vAlign w:val="center"/>
          </w:tcPr>
          <w:p w14:paraId="554B7C26">
            <w:pPr>
              <w:adjustRightInd w:val="0"/>
              <w:snapToGrid w:val="0"/>
              <w:spacing w:line="240" w:lineRule="auto"/>
              <w:jc w:val="center"/>
              <w:rPr>
                <w:sz w:val="21"/>
                <w:szCs w:val="21"/>
              </w:rPr>
            </w:pPr>
            <w:r>
              <w:rPr>
                <w:rFonts w:hint="eastAsia"/>
                <w:sz w:val="21"/>
                <w:szCs w:val="21"/>
              </w:rPr>
              <w:t>VOCs含量t/a</w:t>
            </w:r>
          </w:p>
        </w:tc>
        <w:tc>
          <w:tcPr>
            <w:tcW w:w="1326" w:type="dxa"/>
            <w:tcBorders>
              <w:tl2br w:val="nil"/>
              <w:tr2bl w:val="nil"/>
            </w:tcBorders>
            <w:vAlign w:val="center"/>
          </w:tcPr>
          <w:p w14:paraId="3C36F557">
            <w:pPr>
              <w:adjustRightInd w:val="0"/>
              <w:snapToGrid w:val="0"/>
              <w:spacing w:line="240" w:lineRule="auto"/>
              <w:jc w:val="center"/>
              <w:rPr>
                <w:sz w:val="21"/>
                <w:szCs w:val="21"/>
              </w:rPr>
            </w:pPr>
            <w:r>
              <w:rPr>
                <w:rFonts w:hint="eastAsia"/>
                <w:sz w:val="21"/>
                <w:szCs w:val="21"/>
              </w:rPr>
              <w:t>备注</w:t>
            </w:r>
          </w:p>
        </w:tc>
      </w:tr>
      <w:tr w14:paraId="5FDD57E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restart"/>
            <w:tcBorders>
              <w:tl2br w:val="nil"/>
              <w:tr2bl w:val="nil"/>
            </w:tcBorders>
            <w:vAlign w:val="center"/>
          </w:tcPr>
          <w:p w14:paraId="1E4B11DD">
            <w:pPr>
              <w:adjustRightInd w:val="0"/>
              <w:snapToGrid w:val="0"/>
              <w:spacing w:line="240" w:lineRule="auto"/>
              <w:jc w:val="center"/>
              <w:rPr>
                <w:sz w:val="21"/>
                <w:szCs w:val="21"/>
              </w:rPr>
            </w:pPr>
            <w:r>
              <w:rPr>
                <w:rFonts w:hint="eastAsia"/>
                <w:sz w:val="21"/>
                <w:szCs w:val="21"/>
              </w:rPr>
              <w:t>溶剂型</w:t>
            </w:r>
            <w:r>
              <w:rPr>
                <w:sz w:val="21"/>
                <w:szCs w:val="21"/>
              </w:rPr>
              <w:t>油墨</w:t>
            </w:r>
          </w:p>
        </w:tc>
        <w:tc>
          <w:tcPr>
            <w:tcW w:w="851" w:type="dxa"/>
            <w:vMerge w:val="restart"/>
            <w:tcBorders>
              <w:tl2br w:val="nil"/>
              <w:tr2bl w:val="nil"/>
            </w:tcBorders>
            <w:vAlign w:val="center"/>
          </w:tcPr>
          <w:p w14:paraId="4917807E">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1460</w:t>
            </w:r>
          </w:p>
        </w:tc>
        <w:tc>
          <w:tcPr>
            <w:tcW w:w="1417" w:type="dxa"/>
            <w:tcBorders>
              <w:tl2br w:val="nil"/>
              <w:tr2bl w:val="nil"/>
            </w:tcBorders>
            <w:vAlign w:val="center"/>
          </w:tcPr>
          <w:p w14:paraId="0630F831">
            <w:pPr>
              <w:adjustRightInd w:val="0"/>
              <w:snapToGrid w:val="0"/>
              <w:spacing w:line="240" w:lineRule="auto"/>
              <w:jc w:val="center"/>
              <w:rPr>
                <w:sz w:val="21"/>
                <w:szCs w:val="21"/>
              </w:rPr>
            </w:pPr>
            <w:r>
              <w:rPr>
                <w:rFonts w:hint="eastAsia"/>
                <w:sz w:val="21"/>
                <w:szCs w:val="21"/>
              </w:rPr>
              <w:t>异丙醇</w:t>
            </w:r>
          </w:p>
        </w:tc>
        <w:tc>
          <w:tcPr>
            <w:tcW w:w="1134" w:type="dxa"/>
            <w:tcBorders>
              <w:tl2br w:val="nil"/>
              <w:tr2bl w:val="nil"/>
            </w:tcBorders>
            <w:vAlign w:val="center"/>
          </w:tcPr>
          <w:p w14:paraId="3CE4DC1D">
            <w:pPr>
              <w:adjustRightInd w:val="0"/>
              <w:snapToGrid w:val="0"/>
              <w:spacing w:line="240" w:lineRule="auto"/>
              <w:jc w:val="center"/>
              <w:rPr>
                <w:sz w:val="21"/>
                <w:szCs w:val="21"/>
              </w:rPr>
            </w:pPr>
            <w:r>
              <w:rPr>
                <w:rFonts w:hint="eastAsia"/>
                <w:sz w:val="21"/>
                <w:szCs w:val="21"/>
              </w:rPr>
              <w:t>67-63-0</w:t>
            </w:r>
          </w:p>
        </w:tc>
        <w:tc>
          <w:tcPr>
            <w:tcW w:w="992" w:type="dxa"/>
            <w:tcBorders>
              <w:tl2br w:val="nil"/>
              <w:tr2bl w:val="nil"/>
            </w:tcBorders>
            <w:vAlign w:val="center"/>
          </w:tcPr>
          <w:p w14:paraId="5891A2B2">
            <w:pPr>
              <w:adjustRightInd w:val="0"/>
              <w:snapToGrid w:val="0"/>
              <w:spacing w:line="240" w:lineRule="auto"/>
              <w:jc w:val="center"/>
              <w:rPr>
                <w:sz w:val="21"/>
                <w:szCs w:val="21"/>
              </w:rPr>
            </w:pPr>
            <w:r>
              <w:rPr>
                <w:rFonts w:hint="eastAsia"/>
                <w:sz w:val="21"/>
                <w:szCs w:val="21"/>
              </w:rPr>
              <w:t>5-10</w:t>
            </w:r>
          </w:p>
        </w:tc>
        <w:tc>
          <w:tcPr>
            <w:tcW w:w="1134" w:type="dxa"/>
            <w:tcBorders>
              <w:tl2br w:val="nil"/>
              <w:tr2bl w:val="nil"/>
            </w:tcBorders>
            <w:vAlign w:val="center"/>
          </w:tcPr>
          <w:p w14:paraId="489AEA51">
            <w:pPr>
              <w:adjustRightInd w:val="0"/>
              <w:snapToGrid w:val="0"/>
              <w:spacing w:line="240" w:lineRule="auto"/>
              <w:jc w:val="center"/>
              <w:rPr>
                <w:sz w:val="21"/>
                <w:szCs w:val="21"/>
              </w:rPr>
            </w:pPr>
            <w:r>
              <w:rPr>
                <w:rFonts w:hint="eastAsia"/>
                <w:bCs/>
                <w:sz w:val="21"/>
                <w:szCs w:val="21"/>
              </w:rPr>
              <w:t>7.5</w:t>
            </w:r>
          </w:p>
        </w:tc>
        <w:tc>
          <w:tcPr>
            <w:tcW w:w="851" w:type="dxa"/>
            <w:tcBorders>
              <w:tl2br w:val="nil"/>
              <w:tr2bl w:val="nil"/>
            </w:tcBorders>
            <w:vAlign w:val="center"/>
          </w:tcPr>
          <w:p w14:paraId="7A9E614E">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109.5</w:t>
            </w:r>
          </w:p>
        </w:tc>
        <w:tc>
          <w:tcPr>
            <w:tcW w:w="1326" w:type="dxa"/>
            <w:vMerge w:val="restart"/>
            <w:tcBorders>
              <w:tl2br w:val="nil"/>
              <w:tr2bl w:val="nil"/>
            </w:tcBorders>
            <w:vAlign w:val="center"/>
          </w:tcPr>
          <w:p w14:paraId="5E8BFFE4">
            <w:pPr>
              <w:adjustRightInd w:val="0"/>
              <w:snapToGrid w:val="0"/>
              <w:spacing w:line="240" w:lineRule="auto"/>
              <w:jc w:val="center"/>
              <w:rPr>
                <w:sz w:val="21"/>
                <w:szCs w:val="21"/>
              </w:rPr>
            </w:pPr>
            <w:r>
              <w:rPr>
                <w:rFonts w:hint="eastAsia"/>
                <w:sz w:val="21"/>
                <w:szCs w:val="21"/>
              </w:rPr>
              <w:t>有机</w:t>
            </w:r>
          </w:p>
          <w:p w14:paraId="7B623F9A">
            <w:pPr>
              <w:adjustRightInd w:val="0"/>
              <w:snapToGrid w:val="0"/>
              <w:spacing w:line="240" w:lineRule="auto"/>
              <w:jc w:val="center"/>
              <w:rPr>
                <w:sz w:val="21"/>
                <w:szCs w:val="21"/>
              </w:rPr>
            </w:pPr>
            <w:r>
              <w:rPr>
                <w:rFonts w:hint="eastAsia"/>
                <w:sz w:val="21"/>
                <w:szCs w:val="21"/>
              </w:rPr>
              <w:t>溶剂</w:t>
            </w:r>
          </w:p>
        </w:tc>
      </w:tr>
      <w:tr w14:paraId="5CD15B7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111DA5D9">
            <w:pPr>
              <w:adjustRightInd w:val="0"/>
              <w:snapToGrid w:val="0"/>
              <w:spacing w:line="240" w:lineRule="auto"/>
              <w:jc w:val="center"/>
              <w:rPr>
                <w:sz w:val="21"/>
                <w:szCs w:val="21"/>
              </w:rPr>
            </w:pPr>
          </w:p>
        </w:tc>
        <w:tc>
          <w:tcPr>
            <w:tcW w:w="851" w:type="dxa"/>
            <w:vMerge w:val="continue"/>
            <w:tcBorders>
              <w:tl2br w:val="nil"/>
              <w:tr2bl w:val="nil"/>
            </w:tcBorders>
            <w:vAlign w:val="center"/>
          </w:tcPr>
          <w:p w14:paraId="044196FC">
            <w:pPr>
              <w:adjustRightInd w:val="0"/>
              <w:snapToGrid w:val="0"/>
              <w:spacing w:line="240" w:lineRule="auto"/>
              <w:jc w:val="center"/>
              <w:rPr>
                <w:sz w:val="21"/>
                <w:szCs w:val="21"/>
              </w:rPr>
            </w:pPr>
          </w:p>
        </w:tc>
        <w:tc>
          <w:tcPr>
            <w:tcW w:w="1417" w:type="dxa"/>
            <w:tcBorders>
              <w:tl2br w:val="nil"/>
              <w:tr2bl w:val="nil"/>
            </w:tcBorders>
            <w:vAlign w:val="center"/>
          </w:tcPr>
          <w:p w14:paraId="087E4F91">
            <w:pPr>
              <w:adjustRightInd w:val="0"/>
              <w:snapToGrid w:val="0"/>
              <w:spacing w:line="240" w:lineRule="auto"/>
              <w:jc w:val="center"/>
              <w:rPr>
                <w:sz w:val="21"/>
                <w:szCs w:val="21"/>
              </w:rPr>
            </w:pPr>
            <w:r>
              <w:rPr>
                <w:rFonts w:hint="eastAsia"/>
                <w:sz w:val="21"/>
                <w:szCs w:val="21"/>
              </w:rPr>
              <w:t>醋酸正丙酯</w:t>
            </w:r>
          </w:p>
        </w:tc>
        <w:tc>
          <w:tcPr>
            <w:tcW w:w="1134" w:type="dxa"/>
            <w:tcBorders>
              <w:tl2br w:val="nil"/>
              <w:tr2bl w:val="nil"/>
            </w:tcBorders>
            <w:vAlign w:val="center"/>
          </w:tcPr>
          <w:p w14:paraId="7BEB0275">
            <w:pPr>
              <w:adjustRightInd w:val="0"/>
              <w:snapToGrid w:val="0"/>
              <w:spacing w:line="240" w:lineRule="auto"/>
              <w:jc w:val="center"/>
              <w:rPr>
                <w:sz w:val="21"/>
                <w:szCs w:val="21"/>
              </w:rPr>
            </w:pPr>
            <w:r>
              <w:rPr>
                <w:rFonts w:hint="eastAsia"/>
                <w:sz w:val="21"/>
                <w:szCs w:val="21"/>
              </w:rPr>
              <w:t>109-60-4</w:t>
            </w:r>
          </w:p>
        </w:tc>
        <w:tc>
          <w:tcPr>
            <w:tcW w:w="992" w:type="dxa"/>
            <w:vMerge w:val="restart"/>
            <w:tcBorders>
              <w:tl2br w:val="nil"/>
              <w:tr2bl w:val="nil"/>
            </w:tcBorders>
            <w:vAlign w:val="center"/>
          </w:tcPr>
          <w:p w14:paraId="7B93A737">
            <w:pPr>
              <w:adjustRightInd w:val="0"/>
              <w:snapToGrid w:val="0"/>
              <w:spacing w:line="240" w:lineRule="auto"/>
              <w:jc w:val="center"/>
              <w:rPr>
                <w:sz w:val="21"/>
                <w:szCs w:val="21"/>
              </w:rPr>
            </w:pPr>
            <w:r>
              <w:rPr>
                <w:rFonts w:hint="eastAsia"/>
                <w:sz w:val="21"/>
                <w:szCs w:val="21"/>
              </w:rPr>
              <w:t>33-60</w:t>
            </w:r>
          </w:p>
        </w:tc>
        <w:tc>
          <w:tcPr>
            <w:tcW w:w="1134" w:type="dxa"/>
            <w:vMerge w:val="restart"/>
            <w:tcBorders>
              <w:tl2br w:val="nil"/>
              <w:tr2bl w:val="nil"/>
            </w:tcBorders>
            <w:vAlign w:val="center"/>
          </w:tcPr>
          <w:p w14:paraId="0F2A19F8">
            <w:pPr>
              <w:adjustRightInd w:val="0"/>
              <w:snapToGrid w:val="0"/>
              <w:spacing w:line="240" w:lineRule="auto"/>
              <w:jc w:val="center"/>
              <w:rPr>
                <w:sz w:val="21"/>
                <w:szCs w:val="21"/>
              </w:rPr>
            </w:pPr>
            <w:r>
              <w:rPr>
                <w:rFonts w:hint="eastAsia"/>
                <w:bCs/>
                <w:sz w:val="21"/>
                <w:szCs w:val="21"/>
              </w:rPr>
              <w:t>46.5</w:t>
            </w:r>
          </w:p>
        </w:tc>
        <w:tc>
          <w:tcPr>
            <w:tcW w:w="851" w:type="dxa"/>
            <w:vMerge w:val="restart"/>
            <w:tcBorders>
              <w:tl2br w:val="nil"/>
              <w:tr2bl w:val="nil"/>
            </w:tcBorders>
            <w:vAlign w:val="center"/>
          </w:tcPr>
          <w:p w14:paraId="05668B92">
            <w:pPr>
              <w:adjustRightInd w:val="0"/>
              <w:snapToGrid w:val="0"/>
              <w:spacing w:line="240" w:lineRule="auto"/>
              <w:jc w:val="center"/>
              <w:rPr>
                <w:sz w:val="21"/>
                <w:szCs w:val="21"/>
              </w:rPr>
            </w:pPr>
            <w:r>
              <w:rPr>
                <w:rFonts w:hint="eastAsia"/>
                <w:sz w:val="21"/>
                <w:szCs w:val="21"/>
              </w:rPr>
              <w:t>678.9</w:t>
            </w:r>
          </w:p>
        </w:tc>
        <w:tc>
          <w:tcPr>
            <w:tcW w:w="1326" w:type="dxa"/>
            <w:vMerge w:val="continue"/>
            <w:tcBorders>
              <w:tl2br w:val="nil"/>
              <w:tr2bl w:val="nil"/>
            </w:tcBorders>
            <w:vAlign w:val="center"/>
          </w:tcPr>
          <w:p w14:paraId="7B25B925">
            <w:pPr>
              <w:adjustRightInd w:val="0"/>
              <w:snapToGrid w:val="0"/>
              <w:spacing w:line="240" w:lineRule="auto"/>
              <w:jc w:val="center"/>
              <w:rPr>
                <w:sz w:val="21"/>
                <w:szCs w:val="21"/>
              </w:rPr>
            </w:pPr>
          </w:p>
        </w:tc>
      </w:tr>
      <w:tr w14:paraId="2A80DD8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40" w:hRule="atLeast"/>
        </w:trPr>
        <w:tc>
          <w:tcPr>
            <w:tcW w:w="817" w:type="dxa"/>
            <w:vMerge w:val="continue"/>
            <w:tcBorders>
              <w:tl2br w:val="nil"/>
              <w:tr2bl w:val="nil"/>
            </w:tcBorders>
            <w:vAlign w:val="center"/>
          </w:tcPr>
          <w:p w14:paraId="2F079C65">
            <w:pPr>
              <w:adjustRightInd w:val="0"/>
              <w:snapToGrid w:val="0"/>
              <w:spacing w:line="240" w:lineRule="auto"/>
              <w:jc w:val="center"/>
              <w:rPr>
                <w:sz w:val="21"/>
                <w:szCs w:val="21"/>
              </w:rPr>
            </w:pPr>
          </w:p>
        </w:tc>
        <w:tc>
          <w:tcPr>
            <w:tcW w:w="851" w:type="dxa"/>
            <w:vMerge w:val="continue"/>
            <w:tcBorders>
              <w:tl2br w:val="nil"/>
              <w:tr2bl w:val="nil"/>
            </w:tcBorders>
            <w:vAlign w:val="center"/>
          </w:tcPr>
          <w:p w14:paraId="11BC09E2">
            <w:pPr>
              <w:adjustRightInd w:val="0"/>
              <w:snapToGrid w:val="0"/>
              <w:spacing w:line="240" w:lineRule="auto"/>
              <w:jc w:val="center"/>
              <w:rPr>
                <w:sz w:val="21"/>
                <w:szCs w:val="21"/>
              </w:rPr>
            </w:pPr>
          </w:p>
        </w:tc>
        <w:tc>
          <w:tcPr>
            <w:tcW w:w="1417" w:type="dxa"/>
            <w:tcBorders>
              <w:tl2br w:val="nil"/>
              <w:tr2bl w:val="nil"/>
            </w:tcBorders>
            <w:vAlign w:val="center"/>
          </w:tcPr>
          <w:p w14:paraId="6F63571A">
            <w:pPr>
              <w:adjustRightInd w:val="0"/>
              <w:snapToGrid w:val="0"/>
              <w:spacing w:line="240" w:lineRule="auto"/>
              <w:jc w:val="center"/>
              <w:rPr>
                <w:sz w:val="21"/>
                <w:szCs w:val="21"/>
              </w:rPr>
            </w:pPr>
            <w:r>
              <w:rPr>
                <w:rFonts w:hint="eastAsia"/>
                <w:sz w:val="21"/>
                <w:szCs w:val="21"/>
              </w:rPr>
              <w:t>乙酸乙酯</w:t>
            </w:r>
          </w:p>
        </w:tc>
        <w:tc>
          <w:tcPr>
            <w:tcW w:w="1134" w:type="dxa"/>
            <w:tcBorders>
              <w:tl2br w:val="nil"/>
              <w:tr2bl w:val="nil"/>
            </w:tcBorders>
            <w:vAlign w:val="center"/>
          </w:tcPr>
          <w:p w14:paraId="6FC75CD9">
            <w:pPr>
              <w:adjustRightInd w:val="0"/>
              <w:snapToGrid w:val="0"/>
              <w:spacing w:line="240" w:lineRule="auto"/>
              <w:jc w:val="center"/>
              <w:rPr>
                <w:sz w:val="21"/>
                <w:szCs w:val="21"/>
              </w:rPr>
            </w:pPr>
            <w:r>
              <w:rPr>
                <w:rFonts w:hint="eastAsia"/>
                <w:sz w:val="21"/>
                <w:szCs w:val="21"/>
              </w:rPr>
              <w:t>141-78-6</w:t>
            </w:r>
          </w:p>
        </w:tc>
        <w:tc>
          <w:tcPr>
            <w:tcW w:w="992" w:type="dxa"/>
            <w:vMerge w:val="continue"/>
            <w:tcBorders>
              <w:tl2br w:val="nil"/>
              <w:tr2bl w:val="nil"/>
            </w:tcBorders>
            <w:vAlign w:val="center"/>
          </w:tcPr>
          <w:p w14:paraId="6DB5F671">
            <w:pPr>
              <w:adjustRightInd w:val="0"/>
              <w:snapToGrid w:val="0"/>
              <w:spacing w:line="240" w:lineRule="auto"/>
              <w:jc w:val="center"/>
              <w:rPr>
                <w:sz w:val="21"/>
                <w:szCs w:val="21"/>
              </w:rPr>
            </w:pPr>
          </w:p>
        </w:tc>
        <w:tc>
          <w:tcPr>
            <w:tcW w:w="1134" w:type="dxa"/>
            <w:vMerge w:val="continue"/>
            <w:tcBorders>
              <w:tl2br w:val="nil"/>
              <w:tr2bl w:val="nil"/>
            </w:tcBorders>
            <w:vAlign w:val="center"/>
          </w:tcPr>
          <w:p w14:paraId="3B945EC4">
            <w:pPr>
              <w:adjustRightInd w:val="0"/>
              <w:snapToGrid w:val="0"/>
              <w:spacing w:line="240" w:lineRule="auto"/>
              <w:jc w:val="center"/>
              <w:rPr>
                <w:sz w:val="21"/>
                <w:szCs w:val="21"/>
              </w:rPr>
            </w:pPr>
          </w:p>
        </w:tc>
        <w:tc>
          <w:tcPr>
            <w:tcW w:w="851" w:type="dxa"/>
            <w:vMerge w:val="continue"/>
            <w:tcBorders>
              <w:tl2br w:val="nil"/>
              <w:tr2bl w:val="nil"/>
            </w:tcBorders>
            <w:vAlign w:val="center"/>
          </w:tcPr>
          <w:p w14:paraId="72B5540A">
            <w:pPr>
              <w:adjustRightInd w:val="0"/>
              <w:snapToGrid w:val="0"/>
              <w:spacing w:line="240" w:lineRule="auto"/>
              <w:jc w:val="center"/>
              <w:rPr>
                <w:sz w:val="21"/>
                <w:szCs w:val="21"/>
              </w:rPr>
            </w:pPr>
          </w:p>
        </w:tc>
        <w:tc>
          <w:tcPr>
            <w:tcW w:w="1326" w:type="dxa"/>
            <w:vMerge w:val="continue"/>
            <w:tcBorders>
              <w:tl2br w:val="nil"/>
              <w:tr2bl w:val="nil"/>
            </w:tcBorders>
            <w:vAlign w:val="center"/>
          </w:tcPr>
          <w:p w14:paraId="5CC1A52D">
            <w:pPr>
              <w:adjustRightInd w:val="0"/>
              <w:snapToGrid w:val="0"/>
              <w:spacing w:line="240" w:lineRule="auto"/>
              <w:jc w:val="center"/>
              <w:rPr>
                <w:sz w:val="21"/>
                <w:szCs w:val="21"/>
              </w:rPr>
            </w:pPr>
          </w:p>
        </w:tc>
      </w:tr>
      <w:tr w14:paraId="6B40F16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5A3AA265">
            <w:pPr>
              <w:adjustRightInd w:val="0"/>
              <w:snapToGrid w:val="0"/>
              <w:spacing w:line="240" w:lineRule="auto"/>
              <w:jc w:val="center"/>
              <w:rPr>
                <w:sz w:val="21"/>
                <w:szCs w:val="21"/>
              </w:rPr>
            </w:pPr>
          </w:p>
        </w:tc>
        <w:tc>
          <w:tcPr>
            <w:tcW w:w="851" w:type="dxa"/>
            <w:vMerge w:val="continue"/>
            <w:tcBorders>
              <w:tl2br w:val="nil"/>
              <w:tr2bl w:val="nil"/>
            </w:tcBorders>
            <w:vAlign w:val="center"/>
          </w:tcPr>
          <w:p w14:paraId="3C26A033">
            <w:pPr>
              <w:adjustRightInd w:val="0"/>
              <w:snapToGrid w:val="0"/>
              <w:spacing w:line="240" w:lineRule="auto"/>
              <w:jc w:val="center"/>
              <w:rPr>
                <w:sz w:val="21"/>
                <w:szCs w:val="21"/>
              </w:rPr>
            </w:pPr>
          </w:p>
        </w:tc>
        <w:tc>
          <w:tcPr>
            <w:tcW w:w="1417" w:type="dxa"/>
            <w:tcBorders>
              <w:tl2br w:val="nil"/>
              <w:tr2bl w:val="nil"/>
            </w:tcBorders>
            <w:vAlign w:val="center"/>
          </w:tcPr>
          <w:p w14:paraId="01548F0F">
            <w:pPr>
              <w:adjustRightInd w:val="0"/>
              <w:snapToGrid w:val="0"/>
              <w:spacing w:line="240" w:lineRule="auto"/>
              <w:jc w:val="center"/>
              <w:rPr>
                <w:sz w:val="21"/>
                <w:szCs w:val="21"/>
              </w:rPr>
            </w:pPr>
            <w:r>
              <w:rPr>
                <w:rFonts w:hint="eastAsia"/>
                <w:sz w:val="21"/>
                <w:szCs w:val="21"/>
              </w:rPr>
              <w:t>丙二醇单甲醚乙酸酯</w:t>
            </w:r>
          </w:p>
        </w:tc>
        <w:tc>
          <w:tcPr>
            <w:tcW w:w="1134" w:type="dxa"/>
            <w:tcBorders>
              <w:tl2br w:val="nil"/>
              <w:tr2bl w:val="nil"/>
            </w:tcBorders>
            <w:vAlign w:val="center"/>
          </w:tcPr>
          <w:p w14:paraId="04B0B503">
            <w:pPr>
              <w:adjustRightInd w:val="0"/>
              <w:snapToGrid w:val="0"/>
              <w:spacing w:line="240" w:lineRule="auto"/>
              <w:jc w:val="center"/>
              <w:rPr>
                <w:sz w:val="21"/>
                <w:szCs w:val="21"/>
              </w:rPr>
            </w:pPr>
            <w:r>
              <w:rPr>
                <w:rFonts w:hint="eastAsia"/>
                <w:sz w:val="21"/>
                <w:szCs w:val="21"/>
              </w:rPr>
              <w:t>108-65-6</w:t>
            </w:r>
          </w:p>
        </w:tc>
        <w:tc>
          <w:tcPr>
            <w:tcW w:w="992" w:type="dxa"/>
            <w:vMerge w:val="continue"/>
            <w:tcBorders>
              <w:tl2br w:val="nil"/>
              <w:tr2bl w:val="nil"/>
            </w:tcBorders>
            <w:vAlign w:val="center"/>
          </w:tcPr>
          <w:p w14:paraId="1995C9BE">
            <w:pPr>
              <w:adjustRightInd w:val="0"/>
              <w:snapToGrid w:val="0"/>
              <w:spacing w:line="240" w:lineRule="auto"/>
              <w:jc w:val="center"/>
              <w:rPr>
                <w:sz w:val="21"/>
                <w:szCs w:val="21"/>
              </w:rPr>
            </w:pPr>
          </w:p>
        </w:tc>
        <w:tc>
          <w:tcPr>
            <w:tcW w:w="1134" w:type="dxa"/>
            <w:vMerge w:val="continue"/>
            <w:tcBorders>
              <w:tl2br w:val="nil"/>
              <w:tr2bl w:val="nil"/>
            </w:tcBorders>
            <w:vAlign w:val="center"/>
          </w:tcPr>
          <w:p w14:paraId="31503194">
            <w:pPr>
              <w:adjustRightInd w:val="0"/>
              <w:snapToGrid w:val="0"/>
              <w:spacing w:line="240" w:lineRule="auto"/>
              <w:jc w:val="center"/>
              <w:rPr>
                <w:sz w:val="21"/>
                <w:szCs w:val="21"/>
              </w:rPr>
            </w:pPr>
          </w:p>
        </w:tc>
        <w:tc>
          <w:tcPr>
            <w:tcW w:w="851" w:type="dxa"/>
            <w:vMerge w:val="continue"/>
            <w:tcBorders>
              <w:tl2br w:val="nil"/>
              <w:tr2bl w:val="nil"/>
            </w:tcBorders>
            <w:vAlign w:val="center"/>
          </w:tcPr>
          <w:p w14:paraId="4C0C7602">
            <w:pPr>
              <w:adjustRightInd w:val="0"/>
              <w:snapToGrid w:val="0"/>
              <w:spacing w:line="240" w:lineRule="auto"/>
              <w:jc w:val="center"/>
              <w:rPr>
                <w:sz w:val="21"/>
                <w:szCs w:val="21"/>
              </w:rPr>
            </w:pPr>
          </w:p>
        </w:tc>
        <w:tc>
          <w:tcPr>
            <w:tcW w:w="1326" w:type="dxa"/>
            <w:vMerge w:val="continue"/>
            <w:tcBorders>
              <w:tl2br w:val="nil"/>
              <w:tr2bl w:val="nil"/>
            </w:tcBorders>
            <w:vAlign w:val="center"/>
          </w:tcPr>
          <w:p w14:paraId="2CB29A88">
            <w:pPr>
              <w:adjustRightInd w:val="0"/>
              <w:snapToGrid w:val="0"/>
              <w:spacing w:line="240" w:lineRule="auto"/>
              <w:jc w:val="center"/>
              <w:rPr>
                <w:sz w:val="21"/>
                <w:szCs w:val="21"/>
              </w:rPr>
            </w:pPr>
          </w:p>
        </w:tc>
      </w:tr>
      <w:tr w14:paraId="3BE58F7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28DA5E00">
            <w:pPr>
              <w:adjustRightInd w:val="0"/>
              <w:snapToGrid w:val="0"/>
              <w:spacing w:line="240" w:lineRule="auto"/>
              <w:jc w:val="center"/>
              <w:rPr>
                <w:sz w:val="21"/>
                <w:szCs w:val="21"/>
              </w:rPr>
            </w:pPr>
          </w:p>
        </w:tc>
        <w:tc>
          <w:tcPr>
            <w:tcW w:w="851" w:type="dxa"/>
            <w:vMerge w:val="continue"/>
            <w:tcBorders>
              <w:tl2br w:val="nil"/>
              <w:tr2bl w:val="nil"/>
            </w:tcBorders>
            <w:vAlign w:val="center"/>
          </w:tcPr>
          <w:p w14:paraId="3875249D">
            <w:pPr>
              <w:adjustRightInd w:val="0"/>
              <w:snapToGrid w:val="0"/>
              <w:spacing w:line="240" w:lineRule="auto"/>
              <w:jc w:val="center"/>
              <w:rPr>
                <w:sz w:val="21"/>
                <w:szCs w:val="21"/>
              </w:rPr>
            </w:pPr>
          </w:p>
        </w:tc>
        <w:tc>
          <w:tcPr>
            <w:tcW w:w="1417" w:type="dxa"/>
            <w:tcBorders>
              <w:tl2br w:val="nil"/>
              <w:tr2bl w:val="nil"/>
            </w:tcBorders>
            <w:vAlign w:val="center"/>
          </w:tcPr>
          <w:p w14:paraId="2B526374">
            <w:pPr>
              <w:adjustRightInd w:val="0"/>
              <w:snapToGrid w:val="0"/>
              <w:spacing w:line="240" w:lineRule="auto"/>
              <w:jc w:val="center"/>
              <w:rPr>
                <w:sz w:val="21"/>
                <w:szCs w:val="21"/>
              </w:rPr>
            </w:pPr>
            <w:r>
              <w:rPr>
                <w:rFonts w:hint="eastAsia"/>
                <w:sz w:val="21"/>
                <w:szCs w:val="21"/>
              </w:rPr>
              <w:t>乙酸丁酯</w:t>
            </w:r>
          </w:p>
        </w:tc>
        <w:tc>
          <w:tcPr>
            <w:tcW w:w="1134" w:type="dxa"/>
            <w:tcBorders>
              <w:tl2br w:val="nil"/>
              <w:tr2bl w:val="nil"/>
            </w:tcBorders>
            <w:vAlign w:val="center"/>
          </w:tcPr>
          <w:p w14:paraId="46A1C894">
            <w:pPr>
              <w:adjustRightInd w:val="0"/>
              <w:snapToGrid w:val="0"/>
              <w:spacing w:line="240" w:lineRule="auto"/>
              <w:jc w:val="center"/>
              <w:rPr>
                <w:sz w:val="21"/>
                <w:szCs w:val="21"/>
              </w:rPr>
            </w:pPr>
            <w:r>
              <w:rPr>
                <w:rFonts w:hint="eastAsia"/>
                <w:sz w:val="21"/>
                <w:szCs w:val="21"/>
              </w:rPr>
              <w:t>123-86-4</w:t>
            </w:r>
          </w:p>
        </w:tc>
        <w:tc>
          <w:tcPr>
            <w:tcW w:w="992" w:type="dxa"/>
            <w:vMerge w:val="continue"/>
            <w:tcBorders>
              <w:tl2br w:val="nil"/>
              <w:tr2bl w:val="nil"/>
            </w:tcBorders>
            <w:vAlign w:val="center"/>
          </w:tcPr>
          <w:p w14:paraId="4B869B78">
            <w:pPr>
              <w:adjustRightInd w:val="0"/>
              <w:snapToGrid w:val="0"/>
              <w:spacing w:line="240" w:lineRule="auto"/>
              <w:jc w:val="center"/>
              <w:rPr>
                <w:sz w:val="21"/>
                <w:szCs w:val="21"/>
              </w:rPr>
            </w:pPr>
          </w:p>
        </w:tc>
        <w:tc>
          <w:tcPr>
            <w:tcW w:w="1134" w:type="dxa"/>
            <w:vMerge w:val="continue"/>
            <w:tcBorders>
              <w:tl2br w:val="nil"/>
              <w:tr2bl w:val="nil"/>
            </w:tcBorders>
            <w:vAlign w:val="center"/>
          </w:tcPr>
          <w:p w14:paraId="6247B332">
            <w:pPr>
              <w:adjustRightInd w:val="0"/>
              <w:snapToGrid w:val="0"/>
              <w:spacing w:line="240" w:lineRule="auto"/>
              <w:jc w:val="center"/>
              <w:rPr>
                <w:sz w:val="21"/>
                <w:szCs w:val="21"/>
              </w:rPr>
            </w:pPr>
          </w:p>
        </w:tc>
        <w:tc>
          <w:tcPr>
            <w:tcW w:w="851" w:type="dxa"/>
            <w:vMerge w:val="continue"/>
            <w:tcBorders>
              <w:tl2br w:val="nil"/>
              <w:tr2bl w:val="nil"/>
            </w:tcBorders>
            <w:vAlign w:val="center"/>
          </w:tcPr>
          <w:p w14:paraId="3E52927A">
            <w:pPr>
              <w:adjustRightInd w:val="0"/>
              <w:snapToGrid w:val="0"/>
              <w:spacing w:line="240" w:lineRule="auto"/>
              <w:jc w:val="center"/>
              <w:rPr>
                <w:sz w:val="21"/>
                <w:szCs w:val="21"/>
              </w:rPr>
            </w:pPr>
          </w:p>
        </w:tc>
        <w:tc>
          <w:tcPr>
            <w:tcW w:w="1326" w:type="dxa"/>
            <w:vMerge w:val="continue"/>
            <w:tcBorders>
              <w:tl2br w:val="nil"/>
              <w:tr2bl w:val="nil"/>
            </w:tcBorders>
            <w:vAlign w:val="center"/>
          </w:tcPr>
          <w:p w14:paraId="32BD69C6">
            <w:pPr>
              <w:adjustRightInd w:val="0"/>
              <w:snapToGrid w:val="0"/>
              <w:spacing w:line="240" w:lineRule="auto"/>
              <w:jc w:val="center"/>
              <w:rPr>
                <w:sz w:val="21"/>
                <w:szCs w:val="21"/>
              </w:rPr>
            </w:pPr>
          </w:p>
        </w:tc>
      </w:tr>
      <w:tr w14:paraId="41F12CA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6A62FFFB">
            <w:pPr>
              <w:adjustRightInd w:val="0"/>
              <w:snapToGrid w:val="0"/>
              <w:spacing w:line="240" w:lineRule="auto"/>
              <w:jc w:val="center"/>
              <w:rPr>
                <w:sz w:val="21"/>
                <w:szCs w:val="21"/>
              </w:rPr>
            </w:pPr>
          </w:p>
        </w:tc>
        <w:tc>
          <w:tcPr>
            <w:tcW w:w="851" w:type="dxa"/>
            <w:vMerge w:val="continue"/>
            <w:tcBorders>
              <w:tl2br w:val="nil"/>
              <w:tr2bl w:val="nil"/>
            </w:tcBorders>
            <w:vAlign w:val="center"/>
          </w:tcPr>
          <w:p w14:paraId="1E90183F">
            <w:pPr>
              <w:adjustRightInd w:val="0"/>
              <w:snapToGrid w:val="0"/>
              <w:spacing w:line="240" w:lineRule="auto"/>
              <w:jc w:val="center"/>
              <w:rPr>
                <w:sz w:val="21"/>
                <w:szCs w:val="21"/>
              </w:rPr>
            </w:pPr>
          </w:p>
        </w:tc>
        <w:tc>
          <w:tcPr>
            <w:tcW w:w="1417" w:type="dxa"/>
            <w:tcBorders>
              <w:tl2br w:val="nil"/>
              <w:tr2bl w:val="nil"/>
            </w:tcBorders>
            <w:vAlign w:val="center"/>
          </w:tcPr>
          <w:p w14:paraId="436760B9">
            <w:pPr>
              <w:adjustRightInd w:val="0"/>
              <w:snapToGrid w:val="0"/>
              <w:spacing w:line="240" w:lineRule="auto"/>
              <w:jc w:val="center"/>
              <w:rPr>
                <w:sz w:val="21"/>
                <w:szCs w:val="21"/>
              </w:rPr>
            </w:pPr>
            <w:r>
              <w:rPr>
                <w:rFonts w:hint="eastAsia"/>
                <w:sz w:val="21"/>
                <w:szCs w:val="21"/>
              </w:rPr>
              <w:t>聚氨酯树脂</w:t>
            </w:r>
          </w:p>
        </w:tc>
        <w:tc>
          <w:tcPr>
            <w:tcW w:w="1134" w:type="dxa"/>
            <w:tcBorders>
              <w:tl2br w:val="nil"/>
              <w:tr2bl w:val="nil"/>
            </w:tcBorders>
            <w:vAlign w:val="center"/>
          </w:tcPr>
          <w:p w14:paraId="779A835A">
            <w:pPr>
              <w:adjustRightInd w:val="0"/>
              <w:snapToGrid w:val="0"/>
              <w:spacing w:line="240" w:lineRule="auto"/>
              <w:jc w:val="center"/>
              <w:rPr>
                <w:sz w:val="21"/>
                <w:szCs w:val="21"/>
              </w:rPr>
            </w:pPr>
            <w:r>
              <w:rPr>
                <w:rFonts w:hint="eastAsia"/>
                <w:sz w:val="21"/>
                <w:szCs w:val="21"/>
              </w:rPr>
              <w:t>NA</w:t>
            </w:r>
          </w:p>
        </w:tc>
        <w:tc>
          <w:tcPr>
            <w:tcW w:w="992" w:type="dxa"/>
            <w:tcBorders>
              <w:tl2br w:val="nil"/>
              <w:tr2bl w:val="nil"/>
            </w:tcBorders>
            <w:vAlign w:val="center"/>
          </w:tcPr>
          <w:p w14:paraId="604EA745">
            <w:pPr>
              <w:adjustRightInd w:val="0"/>
              <w:snapToGrid w:val="0"/>
              <w:spacing w:line="240" w:lineRule="auto"/>
              <w:jc w:val="center"/>
              <w:rPr>
                <w:sz w:val="21"/>
                <w:szCs w:val="21"/>
              </w:rPr>
            </w:pPr>
            <w:r>
              <w:rPr>
                <w:rFonts w:hint="eastAsia"/>
                <w:sz w:val="21"/>
                <w:szCs w:val="21"/>
              </w:rPr>
              <w:t>0-32</w:t>
            </w:r>
          </w:p>
        </w:tc>
        <w:tc>
          <w:tcPr>
            <w:tcW w:w="1134" w:type="dxa"/>
            <w:tcBorders>
              <w:tl2br w:val="nil"/>
              <w:tr2bl w:val="nil"/>
            </w:tcBorders>
            <w:vAlign w:val="center"/>
          </w:tcPr>
          <w:p w14:paraId="17358445">
            <w:pPr>
              <w:adjustRightInd w:val="0"/>
              <w:snapToGrid w:val="0"/>
              <w:spacing w:line="240" w:lineRule="auto"/>
              <w:jc w:val="center"/>
              <w:rPr>
                <w:sz w:val="21"/>
                <w:szCs w:val="21"/>
              </w:rPr>
            </w:pPr>
            <w:r>
              <w:rPr>
                <w:rFonts w:hint="eastAsia"/>
                <w:sz w:val="21"/>
                <w:szCs w:val="21"/>
              </w:rPr>
              <w:t>0</w:t>
            </w:r>
          </w:p>
        </w:tc>
        <w:tc>
          <w:tcPr>
            <w:tcW w:w="851" w:type="dxa"/>
            <w:tcBorders>
              <w:tl2br w:val="nil"/>
              <w:tr2bl w:val="nil"/>
            </w:tcBorders>
            <w:vAlign w:val="center"/>
          </w:tcPr>
          <w:p w14:paraId="709325F0">
            <w:pPr>
              <w:adjustRightInd w:val="0"/>
              <w:snapToGrid w:val="0"/>
              <w:spacing w:line="240" w:lineRule="auto"/>
              <w:jc w:val="center"/>
              <w:rPr>
                <w:sz w:val="21"/>
                <w:szCs w:val="21"/>
              </w:rPr>
            </w:pPr>
            <w:r>
              <w:rPr>
                <w:rFonts w:hint="eastAsia"/>
                <w:sz w:val="21"/>
                <w:szCs w:val="21"/>
              </w:rPr>
              <w:t>0</w:t>
            </w:r>
          </w:p>
        </w:tc>
        <w:tc>
          <w:tcPr>
            <w:tcW w:w="1326" w:type="dxa"/>
            <w:vMerge w:val="restart"/>
            <w:tcBorders>
              <w:tl2br w:val="nil"/>
              <w:tr2bl w:val="nil"/>
            </w:tcBorders>
            <w:vAlign w:val="center"/>
          </w:tcPr>
          <w:p w14:paraId="227EF1D8">
            <w:pPr>
              <w:adjustRightInd w:val="0"/>
              <w:snapToGrid w:val="0"/>
              <w:spacing w:line="240" w:lineRule="auto"/>
              <w:jc w:val="center"/>
              <w:rPr>
                <w:sz w:val="21"/>
                <w:szCs w:val="21"/>
              </w:rPr>
            </w:pPr>
            <w:r>
              <w:rPr>
                <w:rFonts w:hint="eastAsia"/>
                <w:sz w:val="21"/>
                <w:szCs w:val="21"/>
              </w:rPr>
              <w:t>固体</w:t>
            </w:r>
          </w:p>
          <w:p w14:paraId="2CDA4B35">
            <w:pPr>
              <w:adjustRightInd w:val="0"/>
              <w:snapToGrid w:val="0"/>
              <w:spacing w:line="240" w:lineRule="auto"/>
              <w:jc w:val="center"/>
              <w:rPr>
                <w:sz w:val="21"/>
                <w:szCs w:val="21"/>
              </w:rPr>
            </w:pPr>
            <w:r>
              <w:rPr>
                <w:rFonts w:hint="eastAsia"/>
                <w:sz w:val="21"/>
                <w:szCs w:val="21"/>
              </w:rPr>
              <w:t>组分</w:t>
            </w:r>
          </w:p>
        </w:tc>
      </w:tr>
      <w:tr w14:paraId="158CCBB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1F5D0145">
            <w:pPr>
              <w:adjustRightInd w:val="0"/>
              <w:snapToGrid w:val="0"/>
              <w:spacing w:line="240" w:lineRule="auto"/>
              <w:jc w:val="center"/>
              <w:rPr>
                <w:sz w:val="21"/>
                <w:szCs w:val="21"/>
              </w:rPr>
            </w:pPr>
          </w:p>
        </w:tc>
        <w:tc>
          <w:tcPr>
            <w:tcW w:w="851" w:type="dxa"/>
            <w:vMerge w:val="continue"/>
            <w:tcBorders>
              <w:tl2br w:val="nil"/>
              <w:tr2bl w:val="nil"/>
            </w:tcBorders>
            <w:vAlign w:val="center"/>
          </w:tcPr>
          <w:p w14:paraId="5E04CD23">
            <w:pPr>
              <w:adjustRightInd w:val="0"/>
              <w:snapToGrid w:val="0"/>
              <w:spacing w:line="240" w:lineRule="auto"/>
              <w:jc w:val="center"/>
              <w:rPr>
                <w:sz w:val="21"/>
                <w:szCs w:val="21"/>
              </w:rPr>
            </w:pPr>
          </w:p>
        </w:tc>
        <w:tc>
          <w:tcPr>
            <w:tcW w:w="1417" w:type="dxa"/>
            <w:tcBorders>
              <w:tl2br w:val="nil"/>
              <w:tr2bl w:val="nil"/>
            </w:tcBorders>
            <w:vAlign w:val="center"/>
          </w:tcPr>
          <w:p w14:paraId="4392D82D">
            <w:pPr>
              <w:adjustRightInd w:val="0"/>
              <w:snapToGrid w:val="0"/>
              <w:spacing w:line="240" w:lineRule="auto"/>
              <w:jc w:val="center"/>
              <w:rPr>
                <w:sz w:val="21"/>
                <w:szCs w:val="21"/>
              </w:rPr>
            </w:pPr>
            <w:r>
              <w:rPr>
                <w:rFonts w:hint="eastAsia"/>
                <w:sz w:val="21"/>
                <w:szCs w:val="21"/>
              </w:rPr>
              <w:t>二元氯醋树脂</w:t>
            </w:r>
          </w:p>
        </w:tc>
        <w:tc>
          <w:tcPr>
            <w:tcW w:w="1134" w:type="dxa"/>
            <w:tcBorders>
              <w:tl2br w:val="nil"/>
              <w:tr2bl w:val="nil"/>
            </w:tcBorders>
            <w:vAlign w:val="center"/>
          </w:tcPr>
          <w:p w14:paraId="18931313">
            <w:pPr>
              <w:adjustRightInd w:val="0"/>
              <w:snapToGrid w:val="0"/>
              <w:spacing w:line="240" w:lineRule="auto"/>
              <w:jc w:val="center"/>
              <w:rPr>
                <w:sz w:val="21"/>
                <w:szCs w:val="21"/>
              </w:rPr>
            </w:pPr>
            <w:r>
              <w:rPr>
                <w:rFonts w:hint="eastAsia"/>
                <w:sz w:val="21"/>
                <w:szCs w:val="21"/>
              </w:rPr>
              <w:t>9003-22-9</w:t>
            </w:r>
          </w:p>
        </w:tc>
        <w:tc>
          <w:tcPr>
            <w:tcW w:w="992" w:type="dxa"/>
            <w:tcBorders>
              <w:tl2br w:val="nil"/>
              <w:tr2bl w:val="nil"/>
            </w:tcBorders>
            <w:vAlign w:val="center"/>
          </w:tcPr>
          <w:p w14:paraId="7C2387B3">
            <w:pPr>
              <w:adjustRightInd w:val="0"/>
              <w:snapToGrid w:val="0"/>
              <w:spacing w:line="240" w:lineRule="auto"/>
              <w:jc w:val="center"/>
              <w:rPr>
                <w:sz w:val="21"/>
                <w:szCs w:val="21"/>
              </w:rPr>
            </w:pPr>
            <w:r>
              <w:rPr>
                <w:rFonts w:hint="eastAsia"/>
                <w:sz w:val="21"/>
                <w:szCs w:val="21"/>
              </w:rPr>
              <w:t>12-18</w:t>
            </w:r>
          </w:p>
        </w:tc>
        <w:tc>
          <w:tcPr>
            <w:tcW w:w="1134" w:type="dxa"/>
            <w:tcBorders>
              <w:tl2br w:val="nil"/>
              <w:tr2bl w:val="nil"/>
            </w:tcBorders>
            <w:vAlign w:val="center"/>
          </w:tcPr>
          <w:p w14:paraId="6B575F7F">
            <w:pPr>
              <w:adjustRightInd w:val="0"/>
              <w:snapToGrid w:val="0"/>
              <w:spacing w:line="240" w:lineRule="auto"/>
              <w:jc w:val="center"/>
              <w:rPr>
                <w:sz w:val="21"/>
                <w:szCs w:val="21"/>
              </w:rPr>
            </w:pPr>
            <w:r>
              <w:rPr>
                <w:rFonts w:hint="eastAsia"/>
                <w:sz w:val="21"/>
                <w:szCs w:val="21"/>
              </w:rPr>
              <w:t>0</w:t>
            </w:r>
          </w:p>
        </w:tc>
        <w:tc>
          <w:tcPr>
            <w:tcW w:w="851" w:type="dxa"/>
            <w:tcBorders>
              <w:tl2br w:val="nil"/>
              <w:tr2bl w:val="nil"/>
            </w:tcBorders>
            <w:vAlign w:val="center"/>
          </w:tcPr>
          <w:p w14:paraId="201AB9FE">
            <w:pPr>
              <w:adjustRightInd w:val="0"/>
              <w:snapToGrid w:val="0"/>
              <w:spacing w:line="240" w:lineRule="auto"/>
              <w:jc w:val="center"/>
              <w:rPr>
                <w:sz w:val="21"/>
                <w:szCs w:val="21"/>
              </w:rPr>
            </w:pPr>
            <w:r>
              <w:rPr>
                <w:rFonts w:hint="eastAsia"/>
                <w:sz w:val="21"/>
                <w:szCs w:val="21"/>
              </w:rPr>
              <w:t>0</w:t>
            </w:r>
          </w:p>
        </w:tc>
        <w:tc>
          <w:tcPr>
            <w:tcW w:w="1326" w:type="dxa"/>
            <w:vMerge w:val="continue"/>
            <w:tcBorders>
              <w:tl2br w:val="nil"/>
              <w:tr2bl w:val="nil"/>
            </w:tcBorders>
            <w:vAlign w:val="center"/>
          </w:tcPr>
          <w:p w14:paraId="26A0851A">
            <w:pPr>
              <w:adjustRightInd w:val="0"/>
              <w:snapToGrid w:val="0"/>
              <w:spacing w:line="240" w:lineRule="auto"/>
              <w:jc w:val="center"/>
              <w:rPr>
                <w:sz w:val="21"/>
                <w:szCs w:val="21"/>
              </w:rPr>
            </w:pPr>
          </w:p>
        </w:tc>
      </w:tr>
      <w:tr w14:paraId="63B275D3">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4FEEDEE2">
            <w:pPr>
              <w:adjustRightInd w:val="0"/>
              <w:snapToGrid w:val="0"/>
              <w:spacing w:line="240" w:lineRule="auto"/>
              <w:jc w:val="center"/>
              <w:rPr>
                <w:sz w:val="21"/>
                <w:szCs w:val="21"/>
              </w:rPr>
            </w:pPr>
          </w:p>
        </w:tc>
        <w:tc>
          <w:tcPr>
            <w:tcW w:w="851" w:type="dxa"/>
            <w:vMerge w:val="continue"/>
            <w:tcBorders>
              <w:tl2br w:val="nil"/>
              <w:tr2bl w:val="nil"/>
            </w:tcBorders>
            <w:vAlign w:val="center"/>
          </w:tcPr>
          <w:p w14:paraId="5B92B7E6">
            <w:pPr>
              <w:adjustRightInd w:val="0"/>
              <w:snapToGrid w:val="0"/>
              <w:spacing w:line="240" w:lineRule="auto"/>
              <w:jc w:val="center"/>
              <w:rPr>
                <w:sz w:val="21"/>
                <w:szCs w:val="21"/>
              </w:rPr>
            </w:pPr>
          </w:p>
        </w:tc>
        <w:tc>
          <w:tcPr>
            <w:tcW w:w="1417" w:type="dxa"/>
            <w:tcBorders>
              <w:tl2br w:val="nil"/>
              <w:tr2bl w:val="nil"/>
            </w:tcBorders>
            <w:vAlign w:val="center"/>
          </w:tcPr>
          <w:p w14:paraId="34B4765B">
            <w:pPr>
              <w:adjustRightInd w:val="0"/>
              <w:snapToGrid w:val="0"/>
              <w:spacing w:line="240" w:lineRule="auto"/>
              <w:jc w:val="center"/>
              <w:rPr>
                <w:sz w:val="21"/>
                <w:szCs w:val="21"/>
              </w:rPr>
            </w:pPr>
            <w:r>
              <w:rPr>
                <w:rFonts w:hint="eastAsia"/>
                <w:sz w:val="21"/>
                <w:szCs w:val="21"/>
              </w:rPr>
              <w:t>颜料</w:t>
            </w:r>
          </w:p>
        </w:tc>
        <w:tc>
          <w:tcPr>
            <w:tcW w:w="1134" w:type="dxa"/>
            <w:tcBorders>
              <w:tl2br w:val="nil"/>
              <w:tr2bl w:val="nil"/>
            </w:tcBorders>
            <w:vAlign w:val="center"/>
          </w:tcPr>
          <w:p w14:paraId="16EEF6F3">
            <w:pPr>
              <w:adjustRightInd w:val="0"/>
              <w:snapToGrid w:val="0"/>
              <w:spacing w:line="240" w:lineRule="auto"/>
              <w:jc w:val="center"/>
              <w:rPr>
                <w:sz w:val="21"/>
                <w:szCs w:val="21"/>
              </w:rPr>
            </w:pPr>
            <w:r>
              <w:rPr>
                <w:rFonts w:hint="eastAsia"/>
                <w:sz w:val="21"/>
                <w:szCs w:val="21"/>
              </w:rPr>
              <w:t>NA</w:t>
            </w:r>
          </w:p>
        </w:tc>
        <w:tc>
          <w:tcPr>
            <w:tcW w:w="992" w:type="dxa"/>
            <w:tcBorders>
              <w:tl2br w:val="nil"/>
              <w:tr2bl w:val="nil"/>
            </w:tcBorders>
            <w:vAlign w:val="center"/>
          </w:tcPr>
          <w:p w14:paraId="3E8C486C">
            <w:pPr>
              <w:adjustRightInd w:val="0"/>
              <w:snapToGrid w:val="0"/>
              <w:spacing w:line="240" w:lineRule="auto"/>
              <w:jc w:val="center"/>
              <w:rPr>
                <w:sz w:val="21"/>
                <w:szCs w:val="21"/>
              </w:rPr>
            </w:pPr>
            <w:r>
              <w:rPr>
                <w:rFonts w:hint="eastAsia"/>
                <w:sz w:val="21"/>
                <w:szCs w:val="21"/>
              </w:rPr>
              <w:t>8-35</w:t>
            </w:r>
          </w:p>
        </w:tc>
        <w:tc>
          <w:tcPr>
            <w:tcW w:w="1134" w:type="dxa"/>
            <w:tcBorders>
              <w:tl2br w:val="nil"/>
              <w:tr2bl w:val="nil"/>
            </w:tcBorders>
            <w:vAlign w:val="center"/>
          </w:tcPr>
          <w:p w14:paraId="1198B08A">
            <w:pPr>
              <w:adjustRightInd w:val="0"/>
              <w:snapToGrid w:val="0"/>
              <w:spacing w:line="240" w:lineRule="auto"/>
              <w:jc w:val="center"/>
              <w:rPr>
                <w:sz w:val="21"/>
                <w:szCs w:val="21"/>
              </w:rPr>
            </w:pPr>
            <w:r>
              <w:rPr>
                <w:rFonts w:hint="eastAsia"/>
                <w:sz w:val="21"/>
                <w:szCs w:val="21"/>
              </w:rPr>
              <w:t>0</w:t>
            </w:r>
          </w:p>
        </w:tc>
        <w:tc>
          <w:tcPr>
            <w:tcW w:w="851" w:type="dxa"/>
            <w:tcBorders>
              <w:tl2br w:val="nil"/>
              <w:tr2bl w:val="nil"/>
            </w:tcBorders>
            <w:vAlign w:val="center"/>
          </w:tcPr>
          <w:p w14:paraId="30DD33BF">
            <w:pPr>
              <w:adjustRightInd w:val="0"/>
              <w:snapToGrid w:val="0"/>
              <w:spacing w:line="240" w:lineRule="auto"/>
              <w:jc w:val="center"/>
              <w:rPr>
                <w:sz w:val="21"/>
                <w:szCs w:val="21"/>
              </w:rPr>
            </w:pPr>
            <w:r>
              <w:rPr>
                <w:rFonts w:hint="eastAsia"/>
                <w:sz w:val="21"/>
                <w:szCs w:val="21"/>
              </w:rPr>
              <w:t>0</w:t>
            </w:r>
          </w:p>
        </w:tc>
        <w:tc>
          <w:tcPr>
            <w:tcW w:w="1326" w:type="dxa"/>
            <w:vMerge w:val="continue"/>
            <w:tcBorders>
              <w:tl2br w:val="nil"/>
              <w:tr2bl w:val="nil"/>
            </w:tcBorders>
            <w:vAlign w:val="center"/>
          </w:tcPr>
          <w:p w14:paraId="65372F1B">
            <w:pPr>
              <w:adjustRightInd w:val="0"/>
              <w:snapToGrid w:val="0"/>
              <w:spacing w:line="240" w:lineRule="auto"/>
              <w:jc w:val="center"/>
              <w:rPr>
                <w:sz w:val="21"/>
                <w:szCs w:val="21"/>
              </w:rPr>
            </w:pPr>
          </w:p>
        </w:tc>
      </w:tr>
      <w:tr w14:paraId="2754551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restart"/>
            <w:tcBorders>
              <w:tl2br w:val="nil"/>
              <w:tr2bl w:val="nil"/>
            </w:tcBorders>
            <w:vAlign w:val="center"/>
          </w:tcPr>
          <w:p w14:paraId="79ECC945">
            <w:pPr>
              <w:adjustRightInd w:val="0"/>
              <w:snapToGrid w:val="0"/>
              <w:spacing w:line="240" w:lineRule="auto"/>
              <w:jc w:val="center"/>
              <w:rPr>
                <w:sz w:val="21"/>
                <w:szCs w:val="21"/>
              </w:rPr>
            </w:pPr>
            <w:r>
              <w:rPr>
                <w:sz w:val="21"/>
                <w:szCs w:val="21"/>
              </w:rPr>
              <w:t>溶剂型</w:t>
            </w:r>
            <w:r>
              <w:rPr>
                <w:rFonts w:hint="eastAsia"/>
                <w:sz w:val="21"/>
                <w:szCs w:val="21"/>
              </w:rPr>
              <w:t>包装</w:t>
            </w:r>
            <w:r>
              <w:rPr>
                <w:sz w:val="21"/>
                <w:szCs w:val="21"/>
              </w:rPr>
              <w:t>胶水</w:t>
            </w:r>
            <w:r>
              <w:rPr>
                <w:rFonts w:hint="eastAsia" w:ascii="宋体" w:hAnsi="宋体" w:cs="宋体"/>
                <w:sz w:val="21"/>
                <w:szCs w:val="21"/>
              </w:rPr>
              <w:t>①</w:t>
            </w:r>
          </w:p>
        </w:tc>
        <w:tc>
          <w:tcPr>
            <w:tcW w:w="851" w:type="dxa"/>
            <w:vMerge w:val="restart"/>
            <w:tcBorders>
              <w:tl2br w:val="nil"/>
              <w:tr2bl w:val="nil"/>
            </w:tcBorders>
            <w:vAlign w:val="center"/>
          </w:tcPr>
          <w:p w14:paraId="38238DEA">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792</w:t>
            </w:r>
          </w:p>
        </w:tc>
        <w:tc>
          <w:tcPr>
            <w:tcW w:w="1417" w:type="dxa"/>
            <w:tcBorders>
              <w:tl2br w:val="nil"/>
              <w:tr2bl w:val="nil"/>
            </w:tcBorders>
            <w:vAlign w:val="center"/>
          </w:tcPr>
          <w:p w14:paraId="4A17C5CC">
            <w:pPr>
              <w:adjustRightInd w:val="0"/>
              <w:snapToGrid w:val="0"/>
              <w:spacing w:line="240" w:lineRule="auto"/>
              <w:jc w:val="center"/>
              <w:rPr>
                <w:sz w:val="21"/>
                <w:szCs w:val="21"/>
              </w:rPr>
            </w:pPr>
            <w:r>
              <w:rPr>
                <w:rFonts w:hint="eastAsia"/>
                <w:sz w:val="21"/>
                <w:szCs w:val="21"/>
              </w:rPr>
              <w:t>聚氨酯预聚物/多异氰酸酯</w:t>
            </w:r>
          </w:p>
        </w:tc>
        <w:tc>
          <w:tcPr>
            <w:tcW w:w="1134" w:type="dxa"/>
            <w:tcBorders>
              <w:tl2br w:val="nil"/>
              <w:tr2bl w:val="nil"/>
            </w:tcBorders>
            <w:vAlign w:val="center"/>
          </w:tcPr>
          <w:p w14:paraId="4959D655">
            <w:pPr>
              <w:adjustRightInd w:val="0"/>
              <w:snapToGrid w:val="0"/>
              <w:spacing w:line="240" w:lineRule="auto"/>
              <w:jc w:val="center"/>
              <w:rPr>
                <w:sz w:val="21"/>
                <w:szCs w:val="21"/>
              </w:rPr>
            </w:pPr>
            <w:r>
              <w:rPr>
                <w:rFonts w:hint="eastAsia"/>
                <w:sz w:val="21"/>
                <w:szCs w:val="21"/>
              </w:rPr>
              <w:t>/</w:t>
            </w:r>
          </w:p>
        </w:tc>
        <w:tc>
          <w:tcPr>
            <w:tcW w:w="992" w:type="dxa"/>
            <w:tcBorders>
              <w:tl2br w:val="nil"/>
              <w:tr2bl w:val="nil"/>
            </w:tcBorders>
            <w:vAlign w:val="center"/>
          </w:tcPr>
          <w:p w14:paraId="7EA95794">
            <w:pPr>
              <w:adjustRightInd w:val="0"/>
              <w:snapToGrid w:val="0"/>
              <w:spacing w:line="240" w:lineRule="auto"/>
              <w:jc w:val="center"/>
              <w:rPr>
                <w:sz w:val="21"/>
                <w:szCs w:val="21"/>
              </w:rPr>
            </w:pPr>
            <w:r>
              <w:rPr>
                <w:rFonts w:hint="eastAsia"/>
                <w:sz w:val="21"/>
                <w:szCs w:val="21"/>
              </w:rPr>
              <w:t>73-77</w:t>
            </w:r>
          </w:p>
        </w:tc>
        <w:tc>
          <w:tcPr>
            <w:tcW w:w="1134" w:type="dxa"/>
            <w:tcBorders>
              <w:tl2br w:val="nil"/>
              <w:tr2bl w:val="nil"/>
            </w:tcBorders>
            <w:vAlign w:val="center"/>
          </w:tcPr>
          <w:p w14:paraId="20CD33E1">
            <w:pPr>
              <w:adjustRightInd w:val="0"/>
              <w:snapToGrid w:val="0"/>
              <w:spacing w:line="240" w:lineRule="auto"/>
              <w:jc w:val="center"/>
              <w:rPr>
                <w:rFonts w:hint="eastAsia" w:eastAsia="宋体"/>
                <w:sz w:val="21"/>
                <w:szCs w:val="21"/>
                <w:lang w:eastAsia="zh-CN"/>
              </w:rPr>
            </w:pPr>
            <w:r>
              <w:rPr>
                <w:rFonts w:hint="eastAsia"/>
                <w:sz w:val="21"/>
                <w:szCs w:val="21"/>
                <w:lang w:val="en-US" w:eastAsia="zh-CN"/>
              </w:rPr>
              <w:t>0</w:t>
            </w:r>
          </w:p>
        </w:tc>
        <w:tc>
          <w:tcPr>
            <w:tcW w:w="851" w:type="dxa"/>
            <w:tcBorders>
              <w:tl2br w:val="nil"/>
              <w:tr2bl w:val="nil"/>
            </w:tcBorders>
            <w:vAlign w:val="center"/>
          </w:tcPr>
          <w:p w14:paraId="677BD351">
            <w:pPr>
              <w:adjustRightInd w:val="0"/>
              <w:snapToGrid w:val="0"/>
              <w:spacing w:line="240" w:lineRule="auto"/>
              <w:jc w:val="center"/>
              <w:rPr>
                <w:rFonts w:hint="eastAsia" w:eastAsia="宋体"/>
                <w:sz w:val="21"/>
                <w:szCs w:val="21"/>
                <w:lang w:eastAsia="zh-CN"/>
              </w:rPr>
            </w:pPr>
            <w:r>
              <w:rPr>
                <w:rFonts w:hint="eastAsia"/>
                <w:sz w:val="21"/>
                <w:szCs w:val="21"/>
                <w:lang w:val="en-US" w:eastAsia="zh-CN"/>
              </w:rPr>
              <w:t>0</w:t>
            </w:r>
          </w:p>
        </w:tc>
        <w:tc>
          <w:tcPr>
            <w:tcW w:w="1326" w:type="dxa"/>
            <w:tcBorders>
              <w:tl2br w:val="nil"/>
              <w:tr2bl w:val="nil"/>
            </w:tcBorders>
            <w:vAlign w:val="center"/>
          </w:tcPr>
          <w:p w14:paraId="212066FD">
            <w:pPr>
              <w:adjustRightInd w:val="0"/>
              <w:snapToGrid w:val="0"/>
              <w:spacing w:line="240" w:lineRule="auto"/>
              <w:jc w:val="center"/>
              <w:rPr>
                <w:sz w:val="21"/>
                <w:szCs w:val="21"/>
              </w:rPr>
            </w:pPr>
            <w:r>
              <w:rPr>
                <w:rFonts w:hint="eastAsia"/>
                <w:sz w:val="21"/>
                <w:szCs w:val="21"/>
              </w:rPr>
              <w:t>固体</w:t>
            </w:r>
          </w:p>
          <w:p w14:paraId="2B3EB5B8">
            <w:pPr>
              <w:adjustRightInd w:val="0"/>
              <w:snapToGrid w:val="0"/>
              <w:spacing w:line="240" w:lineRule="auto"/>
              <w:jc w:val="center"/>
              <w:rPr>
                <w:sz w:val="21"/>
                <w:szCs w:val="21"/>
              </w:rPr>
            </w:pPr>
            <w:r>
              <w:rPr>
                <w:rFonts w:hint="eastAsia"/>
                <w:sz w:val="21"/>
                <w:szCs w:val="21"/>
              </w:rPr>
              <w:t>组分</w:t>
            </w:r>
          </w:p>
        </w:tc>
      </w:tr>
      <w:tr w14:paraId="5784560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71737C84">
            <w:pPr>
              <w:adjustRightInd w:val="0"/>
              <w:snapToGrid w:val="0"/>
              <w:spacing w:line="240" w:lineRule="auto"/>
              <w:jc w:val="center"/>
              <w:rPr>
                <w:sz w:val="21"/>
                <w:szCs w:val="21"/>
              </w:rPr>
            </w:pPr>
          </w:p>
        </w:tc>
        <w:tc>
          <w:tcPr>
            <w:tcW w:w="851" w:type="dxa"/>
            <w:vMerge w:val="continue"/>
            <w:tcBorders>
              <w:tl2br w:val="nil"/>
              <w:tr2bl w:val="nil"/>
            </w:tcBorders>
            <w:vAlign w:val="center"/>
          </w:tcPr>
          <w:p w14:paraId="2267BA59">
            <w:pPr>
              <w:adjustRightInd w:val="0"/>
              <w:snapToGrid w:val="0"/>
              <w:spacing w:line="240" w:lineRule="auto"/>
              <w:jc w:val="center"/>
              <w:rPr>
                <w:sz w:val="21"/>
                <w:szCs w:val="21"/>
              </w:rPr>
            </w:pPr>
          </w:p>
        </w:tc>
        <w:tc>
          <w:tcPr>
            <w:tcW w:w="1417" w:type="dxa"/>
            <w:tcBorders>
              <w:tl2br w:val="nil"/>
              <w:tr2bl w:val="nil"/>
            </w:tcBorders>
            <w:vAlign w:val="center"/>
          </w:tcPr>
          <w:p w14:paraId="56DFA867">
            <w:pPr>
              <w:adjustRightInd w:val="0"/>
              <w:snapToGrid w:val="0"/>
              <w:spacing w:line="240" w:lineRule="auto"/>
              <w:jc w:val="center"/>
              <w:rPr>
                <w:sz w:val="21"/>
                <w:szCs w:val="21"/>
              </w:rPr>
            </w:pPr>
            <w:r>
              <w:rPr>
                <w:rFonts w:hint="eastAsia"/>
                <w:sz w:val="21"/>
                <w:szCs w:val="21"/>
              </w:rPr>
              <w:t>乙酸乙酯</w:t>
            </w:r>
          </w:p>
        </w:tc>
        <w:tc>
          <w:tcPr>
            <w:tcW w:w="1134" w:type="dxa"/>
            <w:tcBorders>
              <w:tl2br w:val="nil"/>
              <w:tr2bl w:val="nil"/>
            </w:tcBorders>
            <w:vAlign w:val="center"/>
          </w:tcPr>
          <w:p w14:paraId="47FDF240">
            <w:pPr>
              <w:adjustRightInd w:val="0"/>
              <w:snapToGrid w:val="0"/>
              <w:spacing w:line="240" w:lineRule="auto"/>
              <w:jc w:val="center"/>
              <w:rPr>
                <w:sz w:val="21"/>
                <w:szCs w:val="21"/>
              </w:rPr>
            </w:pPr>
            <w:r>
              <w:rPr>
                <w:rFonts w:hint="eastAsia"/>
                <w:sz w:val="21"/>
                <w:szCs w:val="21"/>
              </w:rPr>
              <w:t>141-78-6</w:t>
            </w:r>
          </w:p>
        </w:tc>
        <w:tc>
          <w:tcPr>
            <w:tcW w:w="992" w:type="dxa"/>
            <w:tcBorders>
              <w:tl2br w:val="nil"/>
              <w:tr2bl w:val="nil"/>
            </w:tcBorders>
            <w:vAlign w:val="center"/>
          </w:tcPr>
          <w:p w14:paraId="43BB70E9">
            <w:pPr>
              <w:adjustRightInd w:val="0"/>
              <w:snapToGrid w:val="0"/>
              <w:spacing w:line="240" w:lineRule="auto"/>
              <w:jc w:val="center"/>
              <w:rPr>
                <w:sz w:val="21"/>
                <w:szCs w:val="21"/>
              </w:rPr>
            </w:pPr>
            <w:r>
              <w:rPr>
                <w:rFonts w:hint="eastAsia"/>
                <w:sz w:val="21"/>
                <w:szCs w:val="21"/>
              </w:rPr>
              <w:t>23-27</w:t>
            </w:r>
          </w:p>
        </w:tc>
        <w:tc>
          <w:tcPr>
            <w:tcW w:w="1134" w:type="dxa"/>
            <w:tcBorders>
              <w:bottom w:val="single" w:color="auto" w:sz="4" w:space="0"/>
              <w:tl2br w:val="nil"/>
              <w:tr2bl w:val="nil"/>
            </w:tcBorders>
            <w:vAlign w:val="center"/>
          </w:tcPr>
          <w:p w14:paraId="13FADD82">
            <w:pPr>
              <w:adjustRightInd w:val="0"/>
              <w:snapToGrid w:val="0"/>
              <w:spacing w:line="240" w:lineRule="auto"/>
              <w:jc w:val="center"/>
              <w:rPr>
                <w:sz w:val="21"/>
                <w:szCs w:val="21"/>
              </w:rPr>
            </w:pPr>
            <w:r>
              <w:rPr>
                <w:rFonts w:hint="eastAsia"/>
                <w:bCs/>
                <w:sz w:val="21"/>
                <w:szCs w:val="21"/>
              </w:rPr>
              <w:t>25</w:t>
            </w:r>
          </w:p>
        </w:tc>
        <w:tc>
          <w:tcPr>
            <w:tcW w:w="851" w:type="dxa"/>
            <w:tcBorders>
              <w:bottom w:val="single" w:color="auto" w:sz="4" w:space="0"/>
              <w:tl2br w:val="nil"/>
              <w:tr2bl w:val="nil"/>
            </w:tcBorders>
            <w:vAlign w:val="center"/>
          </w:tcPr>
          <w:p w14:paraId="0E7A7BF0">
            <w:pPr>
              <w:adjustRightInd w:val="0"/>
              <w:snapToGrid w:val="0"/>
              <w:spacing w:line="240" w:lineRule="auto"/>
              <w:jc w:val="center"/>
              <w:rPr>
                <w:sz w:val="21"/>
                <w:szCs w:val="21"/>
              </w:rPr>
            </w:pPr>
            <w:r>
              <w:rPr>
                <w:rFonts w:hint="eastAsia"/>
                <w:sz w:val="21"/>
                <w:szCs w:val="21"/>
              </w:rPr>
              <w:t>198</w:t>
            </w:r>
          </w:p>
        </w:tc>
        <w:tc>
          <w:tcPr>
            <w:tcW w:w="1326" w:type="dxa"/>
            <w:tcBorders>
              <w:tl2br w:val="nil"/>
              <w:tr2bl w:val="nil"/>
            </w:tcBorders>
            <w:vAlign w:val="center"/>
          </w:tcPr>
          <w:p w14:paraId="1C3635B3">
            <w:pPr>
              <w:adjustRightInd w:val="0"/>
              <w:snapToGrid w:val="0"/>
              <w:spacing w:line="240" w:lineRule="auto"/>
              <w:jc w:val="center"/>
              <w:rPr>
                <w:sz w:val="21"/>
                <w:szCs w:val="21"/>
              </w:rPr>
            </w:pPr>
            <w:r>
              <w:rPr>
                <w:rFonts w:hint="eastAsia"/>
                <w:sz w:val="21"/>
                <w:szCs w:val="21"/>
              </w:rPr>
              <w:t>有机</w:t>
            </w:r>
          </w:p>
          <w:p w14:paraId="387BBCF7">
            <w:pPr>
              <w:adjustRightInd w:val="0"/>
              <w:snapToGrid w:val="0"/>
              <w:spacing w:line="240" w:lineRule="auto"/>
              <w:jc w:val="center"/>
              <w:rPr>
                <w:sz w:val="21"/>
                <w:szCs w:val="21"/>
              </w:rPr>
            </w:pPr>
            <w:r>
              <w:rPr>
                <w:rFonts w:hint="eastAsia"/>
                <w:sz w:val="21"/>
                <w:szCs w:val="21"/>
              </w:rPr>
              <w:t>溶剂</w:t>
            </w:r>
          </w:p>
        </w:tc>
      </w:tr>
      <w:tr w14:paraId="7E8E632B">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restart"/>
            <w:tcBorders>
              <w:tl2br w:val="nil"/>
              <w:tr2bl w:val="nil"/>
            </w:tcBorders>
            <w:vAlign w:val="center"/>
          </w:tcPr>
          <w:p w14:paraId="60554F1B">
            <w:pPr>
              <w:adjustRightInd w:val="0"/>
              <w:snapToGrid w:val="0"/>
              <w:spacing w:line="240" w:lineRule="auto"/>
              <w:jc w:val="center"/>
              <w:rPr>
                <w:sz w:val="21"/>
                <w:szCs w:val="21"/>
              </w:rPr>
            </w:pPr>
            <w:r>
              <w:rPr>
                <w:rFonts w:hint="eastAsia"/>
                <w:sz w:val="21"/>
                <w:szCs w:val="21"/>
              </w:rPr>
              <w:t>无溶剂胶黏剂A/B剂</w:t>
            </w:r>
          </w:p>
        </w:tc>
        <w:tc>
          <w:tcPr>
            <w:tcW w:w="851" w:type="dxa"/>
            <w:vMerge w:val="restart"/>
            <w:tcBorders>
              <w:tl2br w:val="nil"/>
              <w:tr2bl w:val="nil"/>
            </w:tcBorders>
            <w:vAlign w:val="center"/>
          </w:tcPr>
          <w:p w14:paraId="031B409F">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462</w:t>
            </w:r>
          </w:p>
        </w:tc>
        <w:tc>
          <w:tcPr>
            <w:tcW w:w="1417" w:type="dxa"/>
            <w:tcBorders>
              <w:tl2br w:val="nil"/>
              <w:tr2bl w:val="nil"/>
            </w:tcBorders>
            <w:vAlign w:val="center"/>
          </w:tcPr>
          <w:p w14:paraId="097EA295">
            <w:pPr>
              <w:adjustRightInd w:val="0"/>
              <w:snapToGrid w:val="0"/>
              <w:spacing w:line="240" w:lineRule="auto"/>
              <w:jc w:val="center"/>
              <w:rPr>
                <w:sz w:val="21"/>
                <w:szCs w:val="21"/>
              </w:rPr>
            </w:pPr>
            <w:r>
              <w:rPr>
                <w:rFonts w:hint="eastAsia"/>
                <w:sz w:val="21"/>
                <w:szCs w:val="21"/>
              </w:rPr>
              <w:t>异氰酸酯聚合物</w:t>
            </w:r>
          </w:p>
        </w:tc>
        <w:tc>
          <w:tcPr>
            <w:tcW w:w="1134" w:type="dxa"/>
            <w:tcBorders>
              <w:tl2br w:val="nil"/>
              <w:tr2bl w:val="nil"/>
            </w:tcBorders>
            <w:vAlign w:val="center"/>
          </w:tcPr>
          <w:p w14:paraId="7DBADF4A">
            <w:pPr>
              <w:adjustRightInd w:val="0"/>
              <w:snapToGrid w:val="0"/>
              <w:spacing w:line="240" w:lineRule="auto"/>
              <w:jc w:val="center"/>
              <w:rPr>
                <w:sz w:val="21"/>
                <w:szCs w:val="21"/>
              </w:rPr>
            </w:pPr>
            <w:r>
              <w:rPr>
                <w:rFonts w:hint="eastAsia"/>
                <w:sz w:val="21"/>
                <w:szCs w:val="21"/>
              </w:rPr>
              <w:t>/</w:t>
            </w:r>
          </w:p>
        </w:tc>
        <w:tc>
          <w:tcPr>
            <w:tcW w:w="992" w:type="dxa"/>
            <w:tcBorders>
              <w:tl2br w:val="nil"/>
              <w:tr2bl w:val="nil"/>
            </w:tcBorders>
            <w:vAlign w:val="center"/>
          </w:tcPr>
          <w:p w14:paraId="23D734A6">
            <w:pPr>
              <w:adjustRightInd w:val="0"/>
              <w:snapToGrid w:val="0"/>
              <w:spacing w:line="240" w:lineRule="auto"/>
              <w:jc w:val="center"/>
              <w:rPr>
                <w:sz w:val="21"/>
                <w:szCs w:val="21"/>
              </w:rPr>
            </w:pPr>
            <w:r>
              <w:rPr>
                <w:rFonts w:hint="eastAsia"/>
                <w:sz w:val="21"/>
                <w:szCs w:val="21"/>
              </w:rPr>
              <w:t>100</w:t>
            </w:r>
          </w:p>
        </w:tc>
        <w:tc>
          <w:tcPr>
            <w:tcW w:w="1134" w:type="dxa"/>
            <w:tcBorders>
              <w:tl2br w:val="nil"/>
              <w:tr2bl w:val="nil"/>
            </w:tcBorders>
            <w:vAlign w:val="center"/>
          </w:tcPr>
          <w:p w14:paraId="79E298A4">
            <w:pPr>
              <w:adjustRightInd w:val="0"/>
              <w:snapToGrid w:val="0"/>
              <w:spacing w:line="240" w:lineRule="auto"/>
              <w:jc w:val="center"/>
              <w:rPr>
                <w:sz w:val="21"/>
                <w:szCs w:val="21"/>
              </w:rPr>
            </w:pPr>
            <w:r>
              <w:rPr>
                <w:rFonts w:hint="eastAsia"/>
                <w:sz w:val="21"/>
                <w:szCs w:val="21"/>
              </w:rPr>
              <w:t>0</w:t>
            </w:r>
          </w:p>
        </w:tc>
        <w:tc>
          <w:tcPr>
            <w:tcW w:w="851" w:type="dxa"/>
            <w:tcBorders>
              <w:bottom w:val="single" w:color="auto" w:sz="4" w:space="0"/>
              <w:tl2br w:val="nil"/>
              <w:tr2bl w:val="nil"/>
            </w:tcBorders>
            <w:vAlign w:val="center"/>
          </w:tcPr>
          <w:p w14:paraId="3B50ABE9">
            <w:pPr>
              <w:adjustRightInd w:val="0"/>
              <w:snapToGrid w:val="0"/>
              <w:spacing w:line="240" w:lineRule="auto"/>
              <w:jc w:val="center"/>
              <w:rPr>
                <w:sz w:val="21"/>
                <w:szCs w:val="21"/>
              </w:rPr>
            </w:pPr>
            <w:r>
              <w:rPr>
                <w:rFonts w:hint="eastAsia"/>
                <w:sz w:val="21"/>
                <w:szCs w:val="21"/>
              </w:rPr>
              <w:t>0</w:t>
            </w:r>
          </w:p>
        </w:tc>
        <w:tc>
          <w:tcPr>
            <w:tcW w:w="1326" w:type="dxa"/>
            <w:vMerge w:val="restart"/>
            <w:tcBorders>
              <w:tl2br w:val="nil"/>
              <w:tr2bl w:val="nil"/>
            </w:tcBorders>
            <w:vAlign w:val="center"/>
          </w:tcPr>
          <w:p w14:paraId="3A455685">
            <w:pPr>
              <w:adjustRightInd w:val="0"/>
              <w:snapToGrid w:val="0"/>
              <w:spacing w:line="240" w:lineRule="auto"/>
              <w:jc w:val="center"/>
              <w:rPr>
                <w:sz w:val="21"/>
                <w:szCs w:val="21"/>
              </w:rPr>
            </w:pPr>
            <w:r>
              <w:rPr>
                <w:rFonts w:hint="eastAsia"/>
                <w:sz w:val="21"/>
                <w:szCs w:val="21"/>
              </w:rPr>
              <w:t>固体</w:t>
            </w:r>
          </w:p>
          <w:p w14:paraId="4B779DBA">
            <w:pPr>
              <w:adjustRightInd w:val="0"/>
              <w:snapToGrid w:val="0"/>
              <w:spacing w:line="240" w:lineRule="auto"/>
              <w:jc w:val="center"/>
              <w:rPr>
                <w:sz w:val="21"/>
                <w:szCs w:val="21"/>
              </w:rPr>
            </w:pPr>
            <w:r>
              <w:rPr>
                <w:rFonts w:hint="eastAsia"/>
                <w:sz w:val="21"/>
                <w:szCs w:val="21"/>
              </w:rPr>
              <w:t>组分</w:t>
            </w:r>
          </w:p>
        </w:tc>
      </w:tr>
      <w:tr w14:paraId="4CE0D44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65B6746A">
            <w:pPr>
              <w:adjustRightInd w:val="0"/>
              <w:snapToGrid w:val="0"/>
              <w:spacing w:line="240" w:lineRule="auto"/>
              <w:jc w:val="center"/>
              <w:rPr>
                <w:sz w:val="21"/>
                <w:szCs w:val="21"/>
              </w:rPr>
            </w:pPr>
          </w:p>
        </w:tc>
        <w:tc>
          <w:tcPr>
            <w:tcW w:w="851" w:type="dxa"/>
            <w:vMerge w:val="continue"/>
            <w:tcBorders>
              <w:tl2br w:val="nil"/>
              <w:tr2bl w:val="nil"/>
            </w:tcBorders>
            <w:vAlign w:val="center"/>
          </w:tcPr>
          <w:p w14:paraId="63B4EEC8">
            <w:pPr>
              <w:adjustRightInd w:val="0"/>
              <w:snapToGrid w:val="0"/>
              <w:spacing w:line="240" w:lineRule="auto"/>
              <w:jc w:val="center"/>
              <w:rPr>
                <w:sz w:val="21"/>
                <w:szCs w:val="21"/>
              </w:rPr>
            </w:pPr>
          </w:p>
        </w:tc>
        <w:tc>
          <w:tcPr>
            <w:tcW w:w="1417" w:type="dxa"/>
            <w:tcBorders>
              <w:tl2br w:val="nil"/>
              <w:tr2bl w:val="nil"/>
            </w:tcBorders>
            <w:vAlign w:val="center"/>
          </w:tcPr>
          <w:p w14:paraId="0FC5AAEE">
            <w:pPr>
              <w:adjustRightInd w:val="0"/>
              <w:snapToGrid w:val="0"/>
              <w:spacing w:line="240" w:lineRule="auto"/>
              <w:jc w:val="center"/>
              <w:rPr>
                <w:sz w:val="21"/>
                <w:szCs w:val="21"/>
              </w:rPr>
            </w:pPr>
            <w:r>
              <w:rPr>
                <w:rFonts w:hint="eastAsia"/>
                <w:sz w:val="21"/>
                <w:szCs w:val="21"/>
              </w:rPr>
              <w:t>多元醇聚合物</w:t>
            </w:r>
          </w:p>
        </w:tc>
        <w:tc>
          <w:tcPr>
            <w:tcW w:w="1134" w:type="dxa"/>
            <w:tcBorders>
              <w:tl2br w:val="nil"/>
              <w:tr2bl w:val="nil"/>
            </w:tcBorders>
            <w:vAlign w:val="center"/>
          </w:tcPr>
          <w:p w14:paraId="384C934D">
            <w:pPr>
              <w:adjustRightInd w:val="0"/>
              <w:snapToGrid w:val="0"/>
              <w:spacing w:line="240" w:lineRule="auto"/>
              <w:jc w:val="center"/>
              <w:rPr>
                <w:sz w:val="21"/>
                <w:szCs w:val="21"/>
              </w:rPr>
            </w:pPr>
            <w:r>
              <w:rPr>
                <w:rFonts w:hint="eastAsia"/>
                <w:sz w:val="21"/>
                <w:szCs w:val="21"/>
              </w:rPr>
              <w:t>/</w:t>
            </w:r>
          </w:p>
        </w:tc>
        <w:tc>
          <w:tcPr>
            <w:tcW w:w="992" w:type="dxa"/>
            <w:tcBorders>
              <w:tl2br w:val="nil"/>
              <w:tr2bl w:val="nil"/>
            </w:tcBorders>
            <w:vAlign w:val="center"/>
          </w:tcPr>
          <w:p w14:paraId="2BB16248">
            <w:pPr>
              <w:adjustRightInd w:val="0"/>
              <w:snapToGrid w:val="0"/>
              <w:spacing w:line="240" w:lineRule="auto"/>
              <w:jc w:val="center"/>
              <w:rPr>
                <w:sz w:val="21"/>
                <w:szCs w:val="21"/>
              </w:rPr>
            </w:pPr>
            <w:r>
              <w:rPr>
                <w:rFonts w:hint="eastAsia"/>
                <w:sz w:val="21"/>
                <w:szCs w:val="21"/>
              </w:rPr>
              <w:t>100</w:t>
            </w:r>
          </w:p>
        </w:tc>
        <w:tc>
          <w:tcPr>
            <w:tcW w:w="1134" w:type="dxa"/>
            <w:tcBorders>
              <w:tl2br w:val="nil"/>
              <w:tr2bl w:val="nil"/>
            </w:tcBorders>
            <w:vAlign w:val="center"/>
          </w:tcPr>
          <w:p w14:paraId="23FA8B73">
            <w:pPr>
              <w:adjustRightInd w:val="0"/>
              <w:snapToGrid w:val="0"/>
              <w:spacing w:line="240" w:lineRule="auto"/>
              <w:jc w:val="center"/>
              <w:rPr>
                <w:sz w:val="21"/>
                <w:szCs w:val="21"/>
              </w:rPr>
            </w:pPr>
            <w:r>
              <w:rPr>
                <w:rFonts w:hint="eastAsia"/>
                <w:sz w:val="21"/>
                <w:szCs w:val="21"/>
              </w:rPr>
              <w:t>0</w:t>
            </w:r>
          </w:p>
        </w:tc>
        <w:tc>
          <w:tcPr>
            <w:tcW w:w="851" w:type="dxa"/>
            <w:tcBorders>
              <w:top w:val="single" w:color="auto" w:sz="4" w:space="0"/>
              <w:tl2br w:val="nil"/>
              <w:tr2bl w:val="nil"/>
            </w:tcBorders>
            <w:vAlign w:val="center"/>
          </w:tcPr>
          <w:p w14:paraId="7BC11C88">
            <w:pPr>
              <w:adjustRightInd w:val="0"/>
              <w:snapToGrid w:val="0"/>
              <w:spacing w:line="240" w:lineRule="auto"/>
              <w:jc w:val="center"/>
              <w:rPr>
                <w:sz w:val="21"/>
                <w:szCs w:val="21"/>
              </w:rPr>
            </w:pPr>
            <w:r>
              <w:rPr>
                <w:rFonts w:hint="eastAsia"/>
                <w:sz w:val="21"/>
                <w:szCs w:val="21"/>
              </w:rPr>
              <w:t>0</w:t>
            </w:r>
          </w:p>
        </w:tc>
        <w:tc>
          <w:tcPr>
            <w:tcW w:w="1326" w:type="dxa"/>
            <w:vMerge w:val="continue"/>
            <w:tcBorders>
              <w:tl2br w:val="nil"/>
              <w:tr2bl w:val="nil"/>
            </w:tcBorders>
            <w:vAlign w:val="center"/>
          </w:tcPr>
          <w:p w14:paraId="09E30F3C">
            <w:pPr>
              <w:adjustRightInd w:val="0"/>
              <w:snapToGrid w:val="0"/>
              <w:spacing w:line="240" w:lineRule="auto"/>
              <w:jc w:val="center"/>
              <w:rPr>
                <w:sz w:val="21"/>
                <w:szCs w:val="21"/>
              </w:rPr>
            </w:pPr>
          </w:p>
        </w:tc>
      </w:tr>
      <w:tr w14:paraId="19E2EFB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restart"/>
            <w:tcBorders>
              <w:tl2br w:val="nil"/>
              <w:tr2bl w:val="nil"/>
            </w:tcBorders>
            <w:vAlign w:val="center"/>
          </w:tcPr>
          <w:p w14:paraId="38A85328">
            <w:pPr>
              <w:adjustRightInd w:val="0"/>
              <w:snapToGrid w:val="0"/>
              <w:spacing w:line="240" w:lineRule="auto"/>
              <w:jc w:val="center"/>
              <w:rPr>
                <w:sz w:val="21"/>
                <w:szCs w:val="21"/>
              </w:rPr>
            </w:pPr>
            <w:r>
              <w:rPr>
                <w:rFonts w:hint="eastAsia"/>
                <w:sz w:val="21"/>
                <w:szCs w:val="21"/>
                <w:lang w:val="en-US" w:eastAsia="zh-CN"/>
              </w:rPr>
              <w:t>油墨、胶水</w:t>
            </w:r>
            <w:r>
              <w:rPr>
                <w:rFonts w:hint="eastAsia"/>
                <w:sz w:val="21"/>
                <w:szCs w:val="21"/>
              </w:rPr>
              <w:t>稀释剂</w:t>
            </w:r>
          </w:p>
        </w:tc>
        <w:tc>
          <w:tcPr>
            <w:tcW w:w="851" w:type="dxa"/>
            <w:tcBorders>
              <w:tl2br w:val="nil"/>
              <w:tr2bl w:val="nil"/>
            </w:tcBorders>
            <w:vAlign w:val="center"/>
          </w:tcPr>
          <w:p w14:paraId="34C1F578">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75</w:t>
            </w:r>
          </w:p>
        </w:tc>
        <w:tc>
          <w:tcPr>
            <w:tcW w:w="1417" w:type="dxa"/>
            <w:tcBorders>
              <w:tl2br w:val="nil"/>
              <w:tr2bl w:val="nil"/>
            </w:tcBorders>
            <w:vAlign w:val="center"/>
          </w:tcPr>
          <w:p w14:paraId="03D28928">
            <w:pPr>
              <w:adjustRightInd w:val="0"/>
              <w:snapToGrid w:val="0"/>
              <w:spacing w:line="240" w:lineRule="auto"/>
              <w:jc w:val="center"/>
              <w:rPr>
                <w:sz w:val="21"/>
                <w:szCs w:val="21"/>
              </w:rPr>
            </w:pPr>
            <w:r>
              <w:rPr>
                <w:sz w:val="21"/>
                <w:szCs w:val="21"/>
              </w:rPr>
              <w:t>乙酸正丙酯</w:t>
            </w:r>
          </w:p>
        </w:tc>
        <w:tc>
          <w:tcPr>
            <w:tcW w:w="1134" w:type="dxa"/>
            <w:tcBorders>
              <w:tl2br w:val="nil"/>
              <w:tr2bl w:val="nil"/>
            </w:tcBorders>
            <w:vAlign w:val="center"/>
          </w:tcPr>
          <w:p w14:paraId="017AC844">
            <w:pPr>
              <w:adjustRightInd w:val="0"/>
              <w:snapToGrid w:val="0"/>
              <w:spacing w:line="240" w:lineRule="auto"/>
              <w:jc w:val="center"/>
              <w:rPr>
                <w:sz w:val="21"/>
                <w:szCs w:val="21"/>
              </w:rPr>
            </w:pPr>
            <w:r>
              <w:rPr>
                <w:rFonts w:hint="eastAsia"/>
                <w:sz w:val="21"/>
                <w:szCs w:val="21"/>
              </w:rPr>
              <w:t>109-60-4</w:t>
            </w:r>
          </w:p>
        </w:tc>
        <w:tc>
          <w:tcPr>
            <w:tcW w:w="992" w:type="dxa"/>
            <w:tcBorders>
              <w:tl2br w:val="nil"/>
              <w:tr2bl w:val="nil"/>
            </w:tcBorders>
            <w:vAlign w:val="center"/>
          </w:tcPr>
          <w:p w14:paraId="7D183179">
            <w:pPr>
              <w:adjustRightInd w:val="0"/>
              <w:snapToGrid w:val="0"/>
              <w:spacing w:line="240" w:lineRule="auto"/>
              <w:jc w:val="center"/>
              <w:rPr>
                <w:sz w:val="21"/>
                <w:szCs w:val="21"/>
              </w:rPr>
            </w:pPr>
            <w:r>
              <w:rPr>
                <w:rFonts w:hint="eastAsia"/>
                <w:sz w:val="21"/>
                <w:szCs w:val="21"/>
              </w:rPr>
              <w:t>100</w:t>
            </w:r>
          </w:p>
        </w:tc>
        <w:tc>
          <w:tcPr>
            <w:tcW w:w="1134" w:type="dxa"/>
            <w:tcBorders>
              <w:tl2br w:val="nil"/>
              <w:tr2bl w:val="nil"/>
            </w:tcBorders>
            <w:vAlign w:val="center"/>
          </w:tcPr>
          <w:p w14:paraId="790490AA">
            <w:pPr>
              <w:adjustRightInd w:val="0"/>
              <w:snapToGrid w:val="0"/>
              <w:spacing w:line="240" w:lineRule="auto"/>
              <w:jc w:val="center"/>
              <w:rPr>
                <w:bCs/>
                <w:sz w:val="21"/>
                <w:szCs w:val="21"/>
              </w:rPr>
            </w:pPr>
            <w:r>
              <w:rPr>
                <w:rFonts w:hint="eastAsia"/>
                <w:bCs/>
                <w:sz w:val="21"/>
                <w:szCs w:val="21"/>
              </w:rPr>
              <w:t>100</w:t>
            </w:r>
          </w:p>
        </w:tc>
        <w:tc>
          <w:tcPr>
            <w:tcW w:w="851" w:type="dxa"/>
            <w:tcBorders>
              <w:tl2br w:val="nil"/>
              <w:tr2bl w:val="nil"/>
            </w:tcBorders>
            <w:vAlign w:val="center"/>
          </w:tcPr>
          <w:p w14:paraId="7E5F01CB">
            <w:pPr>
              <w:adjustRightInd w:val="0"/>
              <w:snapToGrid w:val="0"/>
              <w:spacing w:line="240" w:lineRule="auto"/>
              <w:jc w:val="center"/>
              <w:rPr>
                <w:sz w:val="21"/>
                <w:szCs w:val="21"/>
              </w:rPr>
            </w:pPr>
            <w:r>
              <w:rPr>
                <w:rFonts w:hint="eastAsia"/>
                <w:sz w:val="21"/>
                <w:szCs w:val="21"/>
                <w:lang w:val="en-US" w:eastAsia="zh-CN"/>
              </w:rPr>
              <w:t>75</w:t>
            </w:r>
          </w:p>
        </w:tc>
        <w:tc>
          <w:tcPr>
            <w:tcW w:w="1326" w:type="dxa"/>
            <w:vMerge w:val="restart"/>
            <w:tcBorders>
              <w:tl2br w:val="nil"/>
              <w:tr2bl w:val="nil"/>
            </w:tcBorders>
            <w:vAlign w:val="center"/>
          </w:tcPr>
          <w:p w14:paraId="3A7910E7">
            <w:pPr>
              <w:adjustRightInd w:val="0"/>
              <w:snapToGrid w:val="0"/>
              <w:spacing w:line="240" w:lineRule="auto"/>
              <w:jc w:val="center"/>
              <w:rPr>
                <w:sz w:val="21"/>
                <w:szCs w:val="21"/>
              </w:rPr>
            </w:pPr>
            <w:r>
              <w:rPr>
                <w:rFonts w:hint="eastAsia"/>
                <w:sz w:val="21"/>
                <w:szCs w:val="21"/>
              </w:rPr>
              <w:t>有机</w:t>
            </w:r>
          </w:p>
          <w:p w14:paraId="18589CD9">
            <w:pPr>
              <w:adjustRightInd w:val="0"/>
              <w:snapToGrid w:val="0"/>
              <w:spacing w:line="240" w:lineRule="auto"/>
              <w:jc w:val="center"/>
              <w:rPr>
                <w:rFonts w:hint="default" w:eastAsia="宋体"/>
                <w:sz w:val="21"/>
                <w:szCs w:val="21"/>
                <w:lang w:val="en-US" w:eastAsia="zh-CN"/>
              </w:rPr>
            </w:pPr>
            <w:r>
              <w:rPr>
                <w:rFonts w:hint="eastAsia"/>
                <w:sz w:val="21"/>
                <w:szCs w:val="21"/>
              </w:rPr>
              <w:t>溶剂</w:t>
            </w:r>
            <w:r>
              <w:rPr>
                <w:rFonts w:hint="eastAsia"/>
                <w:sz w:val="21"/>
                <w:szCs w:val="21"/>
                <w:lang w:eastAsia="zh-CN"/>
              </w:rPr>
              <w:t>；</w:t>
            </w:r>
            <w:r>
              <w:rPr>
                <w:rFonts w:hint="eastAsia"/>
                <w:sz w:val="21"/>
                <w:szCs w:val="21"/>
                <w:lang w:val="en-US" w:eastAsia="zh-CN"/>
              </w:rPr>
              <w:t>包含了套用溶剂的使用量，但以新溶剂表征</w:t>
            </w:r>
          </w:p>
        </w:tc>
      </w:tr>
      <w:tr w14:paraId="60D0DF5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5C7ED482">
            <w:pPr>
              <w:adjustRightInd w:val="0"/>
              <w:snapToGrid w:val="0"/>
              <w:spacing w:line="240" w:lineRule="auto"/>
              <w:jc w:val="center"/>
              <w:rPr>
                <w:sz w:val="21"/>
                <w:szCs w:val="21"/>
              </w:rPr>
            </w:pPr>
          </w:p>
        </w:tc>
        <w:tc>
          <w:tcPr>
            <w:tcW w:w="851" w:type="dxa"/>
            <w:tcBorders>
              <w:tl2br w:val="nil"/>
              <w:tr2bl w:val="nil"/>
            </w:tcBorders>
            <w:vAlign w:val="center"/>
          </w:tcPr>
          <w:p w14:paraId="2902D0F8">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30.1</w:t>
            </w:r>
          </w:p>
        </w:tc>
        <w:tc>
          <w:tcPr>
            <w:tcW w:w="1417" w:type="dxa"/>
            <w:tcBorders>
              <w:tl2br w:val="nil"/>
              <w:tr2bl w:val="nil"/>
            </w:tcBorders>
            <w:vAlign w:val="center"/>
          </w:tcPr>
          <w:p w14:paraId="2C77383F">
            <w:pPr>
              <w:adjustRightInd w:val="0"/>
              <w:snapToGrid w:val="0"/>
              <w:spacing w:line="240" w:lineRule="auto"/>
              <w:jc w:val="center"/>
              <w:rPr>
                <w:sz w:val="21"/>
                <w:szCs w:val="21"/>
              </w:rPr>
            </w:pPr>
            <w:r>
              <w:rPr>
                <w:sz w:val="21"/>
                <w:szCs w:val="21"/>
              </w:rPr>
              <w:t>乙酸丁酯</w:t>
            </w:r>
          </w:p>
        </w:tc>
        <w:tc>
          <w:tcPr>
            <w:tcW w:w="1134" w:type="dxa"/>
            <w:tcBorders>
              <w:tl2br w:val="nil"/>
              <w:tr2bl w:val="nil"/>
            </w:tcBorders>
            <w:vAlign w:val="center"/>
          </w:tcPr>
          <w:p w14:paraId="3012A72B">
            <w:pPr>
              <w:adjustRightInd w:val="0"/>
              <w:snapToGrid w:val="0"/>
              <w:spacing w:line="240" w:lineRule="auto"/>
              <w:jc w:val="center"/>
              <w:rPr>
                <w:sz w:val="21"/>
                <w:szCs w:val="21"/>
              </w:rPr>
            </w:pPr>
            <w:r>
              <w:rPr>
                <w:rFonts w:hint="eastAsia"/>
                <w:sz w:val="21"/>
                <w:szCs w:val="21"/>
              </w:rPr>
              <w:t>123-86-4</w:t>
            </w:r>
          </w:p>
        </w:tc>
        <w:tc>
          <w:tcPr>
            <w:tcW w:w="992" w:type="dxa"/>
            <w:tcBorders>
              <w:tl2br w:val="nil"/>
              <w:tr2bl w:val="nil"/>
            </w:tcBorders>
            <w:vAlign w:val="center"/>
          </w:tcPr>
          <w:p w14:paraId="748052FC">
            <w:pPr>
              <w:adjustRightInd w:val="0"/>
              <w:snapToGrid w:val="0"/>
              <w:spacing w:line="240" w:lineRule="auto"/>
              <w:jc w:val="center"/>
              <w:rPr>
                <w:sz w:val="21"/>
                <w:szCs w:val="21"/>
              </w:rPr>
            </w:pPr>
            <w:r>
              <w:rPr>
                <w:rFonts w:hint="eastAsia"/>
                <w:sz w:val="21"/>
                <w:szCs w:val="21"/>
              </w:rPr>
              <w:t>100</w:t>
            </w:r>
          </w:p>
        </w:tc>
        <w:tc>
          <w:tcPr>
            <w:tcW w:w="1134" w:type="dxa"/>
            <w:tcBorders>
              <w:tl2br w:val="nil"/>
              <w:tr2bl w:val="nil"/>
            </w:tcBorders>
            <w:vAlign w:val="center"/>
          </w:tcPr>
          <w:p w14:paraId="0339CC77">
            <w:pPr>
              <w:adjustRightInd w:val="0"/>
              <w:snapToGrid w:val="0"/>
              <w:spacing w:line="240" w:lineRule="auto"/>
              <w:jc w:val="center"/>
              <w:rPr>
                <w:bCs/>
                <w:sz w:val="21"/>
                <w:szCs w:val="21"/>
              </w:rPr>
            </w:pPr>
            <w:r>
              <w:rPr>
                <w:rFonts w:hint="eastAsia"/>
                <w:bCs/>
                <w:sz w:val="21"/>
                <w:szCs w:val="21"/>
              </w:rPr>
              <w:t>100</w:t>
            </w:r>
          </w:p>
        </w:tc>
        <w:tc>
          <w:tcPr>
            <w:tcW w:w="851" w:type="dxa"/>
            <w:tcBorders>
              <w:tl2br w:val="nil"/>
              <w:tr2bl w:val="nil"/>
            </w:tcBorders>
            <w:vAlign w:val="center"/>
          </w:tcPr>
          <w:p w14:paraId="21AEC96B">
            <w:pPr>
              <w:adjustRightInd w:val="0"/>
              <w:snapToGrid w:val="0"/>
              <w:spacing w:line="240" w:lineRule="auto"/>
              <w:jc w:val="center"/>
              <w:rPr>
                <w:sz w:val="21"/>
                <w:szCs w:val="21"/>
              </w:rPr>
            </w:pPr>
            <w:r>
              <w:rPr>
                <w:rFonts w:hint="eastAsia"/>
                <w:sz w:val="21"/>
                <w:szCs w:val="21"/>
                <w:lang w:val="en-US" w:eastAsia="zh-CN"/>
              </w:rPr>
              <w:t>30.1</w:t>
            </w:r>
          </w:p>
        </w:tc>
        <w:tc>
          <w:tcPr>
            <w:tcW w:w="1326" w:type="dxa"/>
            <w:vMerge w:val="continue"/>
            <w:tcBorders>
              <w:tl2br w:val="nil"/>
              <w:tr2bl w:val="nil"/>
            </w:tcBorders>
            <w:vAlign w:val="center"/>
          </w:tcPr>
          <w:p w14:paraId="717B60C7">
            <w:pPr>
              <w:adjustRightInd w:val="0"/>
              <w:snapToGrid w:val="0"/>
              <w:spacing w:line="240" w:lineRule="auto"/>
              <w:jc w:val="center"/>
              <w:rPr>
                <w:sz w:val="21"/>
                <w:szCs w:val="21"/>
              </w:rPr>
            </w:pPr>
          </w:p>
        </w:tc>
      </w:tr>
      <w:tr w14:paraId="4740E03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7E3FF71B">
            <w:pPr>
              <w:adjustRightInd w:val="0"/>
              <w:snapToGrid w:val="0"/>
              <w:spacing w:line="240" w:lineRule="auto"/>
              <w:jc w:val="center"/>
              <w:rPr>
                <w:sz w:val="21"/>
                <w:szCs w:val="21"/>
              </w:rPr>
            </w:pPr>
          </w:p>
        </w:tc>
        <w:tc>
          <w:tcPr>
            <w:tcW w:w="851" w:type="dxa"/>
            <w:tcBorders>
              <w:tl2br w:val="nil"/>
              <w:tr2bl w:val="nil"/>
            </w:tcBorders>
            <w:vAlign w:val="center"/>
          </w:tcPr>
          <w:p w14:paraId="69895B6E">
            <w:pPr>
              <w:adjustRightInd w:val="0"/>
              <w:snapToGrid w:val="0"/>
              <w:spacing w:line="240" w:lineRule="auto"/>
              <w:jc w:val="center"/>
              <w:rPr>
                <w:rFonts w:hint="eastAsia" w:eastAsia="宋体"/>
                <w:sz w:val="21"/>
                <w:szCs w:val="21"/>
                <w:lang w:eastAsia="zh-CN"/>
              </w:rPr>
            </w:pPr>
            <w:r>
              <w:rPr>
                <w:rFonts w:hint="eastAsia"/>
                <w:sz w:val="21"/>
                <w:szCs w:val="21"/>
                <w:lang w:val="en-US" w:eastAsia="zh-CN"/>
              </w:rPr>
              <w:t>8</w:t>
            </w:r>
          </w:p>
        </w:tc>
        <w:tc>
          <w:tcPr>
            <w:tcW w:w="1417" w:type="dxa"/>
            <w:tcBorders>
              <w:tl2br w:val="nil"/>
              <w:tr2bl w:val="nil"/>
            </w:tcBorders>
            <w:vAlign w:val="center"/>
          </w:tcPr>
          <w:p w14:paraId="1E2E482B">
            <w:pPr>
              <w:adjustRightInd w:val="0"/>
              <w:snapToGrid w:val="0"/>
              <w:spacing w:line="240" w:lineRule="auto"/>
              <w:jc w:val="center"/>
              <w:rPr>
                <w:sz w:val="21"/>
                <w:szCs w:val="21"/>
              </w:rPr>
            </w:pPr>
            <w:r>
              <w:rPr>
                <w:sz w:val="21"/>
                <w:szCs w:val="21"/>
              </w:rPr>
              <w:t>异丙醇</w:t>
            </w:r>
          </w:p>
        </w:tc>
        <w:tc>
          <w:tcPr>
            <w:tcW w:w="1134" w:type="dxa"/>
            <w:tcBorders>
              <w:tl2br w:val="nil"/>
              <w:tr2bl w:val="nil"/>
            </w:tcBorders>
            <w:vAlign w:val="center"/>
          </w:tcPr>
          <w:p w14:paraId="1EECECCC">
            <w:pPr>
              <w:adjustRightInd w:val="0"/>
              <w:snapToGrid w:val="0"/>
              <w:spacing w:line="240" w:lineRule="auto"/>
              <w:jc w:val="center"/>
              <w:rPr>
                <w:sz w:val="21"/>
                <w:szCs w:val="21"/>
              </w:rPr>
            </w:pPr>
            <w:r>
              <w:rPr>
                <w:rFonts w:hint="eastAsia"/>
                <w:sz w:val="21"/>
                <w:szCs w:val="21"/>
              </w:rPr>
              <w:t>67-63-0</w:t>
            </w:r>
          </w:p>
        </w:tc>
        <w:tc>
          <w:tcPr>
            <w:tcW w:w="992" w:type="dxa"/>
            <w:tcBorders>
              <w:tl2br w:val="nil"/>
              <w:tr2bl w:val="nil"/>
            </w:tcBorders>
            <w:vAlign w:val="center"/>
          </w:tcPr>
          <w:p w14:paraId="43D3BF2E">
            <w:pPr>
              <w:adjustRightInd w:val="0"/>
              <w:snapToGrid w:val="0"/>
              <w:spacing w:line="240" w:lineRule="auto"/>
              <w:jc w:val="center"/>
              <w:rPr>
                <w:sz w:val="21"/>
                <w:szCs w:val="21"/>
              </w:rPr>
            </w:pPr>
            <w:r>
              <w:rPr>
                <w:rFonts w:hint="eastAsia"/>
                <w:sz w:val="21"/>
                <w:szCs w:val="21"/>
              </w:rPr>
              <w:t>100</w:t>
            </w:r>
          </w:p>
        </w:tc>
        <w:tc>
          <w:tcPr>
            <w:tcW w:w="1134" w:type="dxa"/>
            <w:tcBorders>
              <w:tl2br w:val="nil"/>
              <w:tr2bl w:val="nil"/>
            </w:tcBorders>
            <w:vAlign w:val="center"/>
          </w:tcPr>
          <w:p w14:paraId="1CBA9930">
            <w:pPr>
              <w:adjustRightInd w:val="0"/>
              <w:snapToGrid w:val="0"/>
              <w:spacing w:line="240" w:lineRule="auto"/>
              <w:jc w:val="center"/>
              <w:rPr>
                <w:bCs/>
                <w:sz w:val="21"/>
                <w:szCs w:val="21"/>
              </w:rPr>
            </w:pPr>
            <w:r>
              <w:rPr>
                <w:rFonts w:hint="eastAsia"/>
                <w:bCs/>
                <w:sz w:val="21"/>
                <w:szCs w:val="21"/>
              </w:rPr>
              <w:t>100</w:t>
            </w:r>
          </w:p>
        </w:tc>
        <w:tc>
          <w:tcPr>
            <w:tcW w:w="851" w:type="dxa"/>
            <w:tcBorders>
              <w:tl2br w:val="nil"/>
              <w:tr2bl w:val="nil"/>
            </w:tcBorders>
            <w:vAlign w:val="center"/>
          </w:tcPr>
          <w:p w14:paraId="5CC33923">
            <w:pPr>
              <w:adjustRightInd w:val="0"/>
              <w:snapToGrid w:val="0"/>
              <w:spacing w:line="240" w:lineRule="auto"/>
              <w:jc w:val="center"/>
              <w:rPr>
                <w:sz w:val="21"/>
                <w:szCs w:val="21"/>
              </w:rPr>
            </w:pPr>
            <w:r>
              <w:rPr>
                <w:rFonts w:hint="eastAsia"/>
                <w:sz w:val="21"/>
                <w:szCs w:val="21"/>
                <w:lang w:val="en-US" w:eastAsia="zh-CN"/>
              </w:rPr>
              <w:t>8</w:t>
            </w:r>
          </w:p>
        </w:tc>
        <w:tc>
          <w:tcPr>
            <w:tcW w:w="1326" w:type="dxa"/>
            <w:vMerge w:val="continue"/>
            <w:tcBorders>
              <w:tl2br w:val="nil"/>
              <w:tr2bl w:val="nil"/>
            </w:tcBorders>
            <w:vAlign w:val="center"/>
          </w:tcPr>
          <w:p w14:paraId="7C48F810">
            <w:pPr>
              <w:adjustRightInd w:val="0"/>
              <w:snapToGrid w:val="0"/>
              <w:spacing w:line="240" w:lineRule="auto"/>
              <w:jc w:val="center"/>
              <w:rPr>
                <w:sz w:val="21"/>
                <w:szCs w:val="21"/>
              </w:rPr>
            </w:pPr>
          </w:p>
        </w:tc>
      </w:tr>
      <w:tr w14:paraId="5D33670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0F16CFE1">
            <w:pPr>
              <w:adjustRightInd w:val="0"/>
              <w:snapToGrid w:val="0"/>
              <w:spacing w:line="240" w:lineRule="auto"/>
              <w:jc w:val="center"/>
              <w:rPr>
                <w:sz w:val="21"/>
                <w:szCs w:val="21"/>
              </w:rPr>
            </w:pPr>
          </w:p>
        </w:tc>
        <w:tc>
          <w:tcPr>
            <w:tcW w:w="851" w:type="dxa"/>
            <w:tcBorders>
              <w:tl2br w:val="nil"/>
              <w:tr2bl w:val="nil"/>
            </w:tcBorders>
            <w:vAlign w:val="center"/>
          </w:tcPr>
          <w:p w14:paraId="443BECA1">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970</w:t>
            </w:r>
          </w:p>
        </w:tc>
        <w:tc>
          <w:tcPr>
            <w:tcW w:w="1417" w:type="dxa"/>
            <w:tcBorders>
              <w:tl2br w:val="nil"/>
              <w:tr2bl w:val="nil"/>
            </w:tcBorders>
            <w:vAlign w:val="center"/>
          </w:tcPr>
          <w:p w14:paraId="2AFAACD6">
            <w:pPr>
              <w:adjustRightInd w:val="0"/>
              <w:snapToGrid w:val="0"/>
              <w:spacing w:line="240" w:lineRule="auto"/>
              <w:jc w:val="center"/>
              <w:rPr>
                <w:sz w:val="21"/>
                <w:szCs w:val="21"/>
              </w:rPr>
            </w:pPr>
            <w:r>
              <w:rPr>
                <w:sz w:val="21"/>
                <w:szCs w:val="21"/>
              </w:rPr>
              <w:t>乙酸乙酯</w:t>
            </w:r>
          </w:p>
        </w:tc>
        <w:tc>
          <w:tcPr>
            <w:tcW w:w="1134" w:type="dxa"/>
            <w:tcBorders>
              <w:tl2br w:val="nil"/>
              <w:tr2bl w:val="nil"/>
            </w:tcBorders>
            <w:vAlign w:val="center"/>
          </w:tcPr>
          <w:p w14:paraId="1B48F5F7">
            <w:pPr>
              <w:adjustRightInd w:val="0"/>
              <w:snapToGrid w:val="0"/>
              <w:spacing w:line="240" w:lineRule="auto"/>
              <w:jc w:val="center"/>
              <w:rPr>
                <w:sz w:val="21"/>
                <w:szCs w:val="21"/>
              </w:rPr>
            </w:pPr>
            <w:r>
              <w:rPr>
                <w:rFonts w:hint="eastAsia"/>
                <w:sz w:val="21"/>
                <w:szCs w:val="21"/>
              </w:rPr>
              <w:t>141-78-6</w:t>
            </w:r>
          </w:p>
        </w:tc>
        <w:tc>
          <w:tcPr>
            <w:tcW w:w="992" w:type="dxa"/>
            <w:tcBorders>
              <w:tl2br w:val="nil"/>
              <w:tr2bl w:val="nil"/>
            </w:tcBorders>
            <w:vAlign w:val="center"/>
          </w:tcPr>
          <w:p w14:paraId="2116D188">
            <w:pPr>
              <w:adjustRightInd w:val="0"/>
              <w:snapToGrid w:val="0"/>
              <w:spacing w:line="240" w:lineRule="auto"/>
              <w:jc w:val="center"/>
              <w:rPr>
                <w:sz w:val="21"/>
                <w:szCs w:val="21"/>
              </w:rPr>
            </w:pPr>
            <w:r>
              <w:rPr>
                <w:rFonts w:hint="eastAsia"/>
                <w:sz w:val="21"/>
                <w:szCs w:val="21"/>
              </w:rPr>
              <w:t>100</w:t>
            </w:r>
          </w:p>
        </w:tc>
        <w:tc>
          <w:tcPr>
            <w:tcW w:w="1134" w:type="dxa"/>
            <w:tcBorders>
              <w:tl2br w:val="nil"/>
              <w:tr2bl w:val="nil"/>
            </w:tcBorders>
            <w:vAlign w:val="center"/>
          </w:tcPr>
          <w:p w14:paraId="44CD4055">
            <w:pPr>
              <w:adjustRightInd w:val="0"/>
              <w:snapToGrid w:val="0"/>
              <w:spacing w:line="240" w:lineRule="auto"/>
              <w:jc w:val="center"/>
              <w:rPr>
                <w:bCs/>
                <w:sz w:val="21"/>
                <w:szCs w:val="21"/>
              </w:rPr>
            </w:pPr>
            <w:r>
              <w:rPr>
                <w:rFonts w:hint="eastAsia"/>
                <w:bCs/>
                <w:sz w:val="21"/>
                <w:szCs w:val="21"/>
              </w:rPr>
              <w:t>100</w:t>
            </w:r>
          </w:p>
        </w:tc>
        <w:tc>
          <w:tcPr>
            <w:tcW w:w="851" w:type="dxa"/>
            <w:tcBorders>
              <w:tl2br w:val="nil"/>
              <w:tr2bl w:val="nil"/>
            </w:tcBorders>
            <w:vAlign w:val="center"/>
          </w:tcPr>
          <w:p w14:paraId="50A75DCD">
            <w:pPr>
              <w:adjustRightInd w:val="0"/>
              <w:snapToGrid w:val="0"/>
              <w:spacing w:line="240" w:lineRule="auto"/>
              <w:jc w:val="center"/>
              <w:rPr>
                <w:sz w:val="21"/>
                <w:szCs w:val="21"/>
              </w:rPr>
            </w:pPr>
            <w:r>
              <w:rPr>
                <w:rFonts w:hint="eastAsia"/>
                <w:sz w:val="21"/>
                <w:szCs w:val="21"/>
                <w:lang w:val="en-US" w:eastAsia="zh-CN"/>
              </w:rPr>
              <w:t>970</w:t>
            </w:r>
          </w:p>
        </w:tc>
        <w:tc>
          <w:tcPr>
            <w:tcW w:w="1326" w:type="dxa"/>
            <w:vMerge w:val="continue"/>
            <w:tcBorders>
              <w:tl2br w:val="nil"/>
              <w:tr2bl w:val="nil"/>
            </w:tcBorders>
            <w:vAlign w:val="center"/>
          </w:tcPr>
          <w:p w14:paraId="1B555672">
            <w:pPr>
              <w:adjustRightInd w:val="0"/>
              <w:snapToGrid w:val="0"/>
              <w:spacing w:line="240" w:lineRule="auto"/>
              <w:jc w:val="center"/>
              <w:rPr>
                <w:sz w:val="21"/>
                <w:szCs w:val="21"/>
              </w:rPr>
            </w:pPr>
          </w:p>
        </w:tc>
      </w:tr>
      <w:tr w14:paraId="5E5D5B6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restart"/>
            <w:tcBorders>
              <w:tl2br w:val="nil"/>
              <w:tr2bl w:val="nil"/>
            </w:tcBorders>
            <w:vAlign w:val="center"/>
          </w:tcPr>
          <w:p w14:paraId="03B53B82">
            <w:pPr>
              <w:adjustRightInd w:val="0"/>
              <w:snapToGrid w:val="0"/>
              <w:spacing w:line="240" w:lineRule="auto"/>
              <w:jc w:val="center"/>
              <w:rPr>
                <w:rFonts w:hint="eastAsia" w:eastAsia="宋体"/>
                <w:sz w:val="21"/>
                <w:szCs w:val="21"/>
                <w:lang w:val="en-US" w:eastAsia="zh-CN"/>
              </w:rPr>
            </w:pPr>
            <w:r>
              <w:rPr>
                <w:sz w:val="21"/>
                <w:szCs w:val="21"/>
              </w:rPr>
              <w:t>回收溶剂</w:t>
            </w:r>
            <w:r>
              <w:rPr>
                <w:rFonts w:hint="eastAsia"/>
                <w:sz w:val="21"/>
                <w:szCs w:val="21"/>
                <w:lang w:val="en-US" w:eastAsia="zh-CN"/>
              </w:rPr>
              <w:t>*</w:t>
            </w:r>
          </w:p>
        </w:tc>
        <w:tc>
          <w:tcPr>
            <w:tcW w:w="851" w:type="dxa"/>
            <w:tcBorders>
              <w:tl2br w:val="nil"/>
              <w:tr2bl w:val="nil"/>
            </w:tcBorders>
            <w:vAlign w:val="center"/>
          </w:tcPr>
          <w:p w14:paraId="3D1E72EB">
            <w:pPr>
              <w:spacing w:line="240" w:lineRule="auto"/>
              <w:jc w:val="center"/>
              <w:rPr>
                <w:sz w:val="21"/>
                <w:szCs w:val="21"/>
                <w:highlight w:val="yellow"/>
              </w:rPr>
            </w:pPr>
            <w:r>
              <w:rPr>
                <w:rFonts w:hint="eastAsia"/>
                <w:color w:val="000000"/>
                <w:sz w:val="21"/>
                <w:szCs w:val="21"/>
                <w:highlight w:val="none"/>
                <w:u w:val="single"/>
                <w:lang w:val="en-US" w:eastAsia="zh-CN"/>
              </w:rPr>
              <w:t>51.5</w:t>
            </w:r>
          </w:p>
        </w:tc>
        <w:tc>
          <w:tcPr>
            <w:tcW w:w="1417" w:type="dxa"/>
            <w:tcBorders>
              <w:tl2br w:val="nil"/>
              <w:tr2bl w:val="nil"/>
            </w:tcBorders>
            <w:vAlign w:val="center"/>
          </w:tcPr>
          <w:p w14:paraId="7E6F3A74">
            <w:pPr>
              <w:adjustRightInd w:val="0"/>
              <w:snapToGrid w:val="0"/>
              <w:spacing w:line="240" w:lineRule="auto"/>
              <w:jc w:val="center"/>
              <w:rPr>
                <w:sz w:val="21"/>
                <w:szCs w:val="21"/>
                <w:highlight w:val="none"/>
              </w:rPr>
            </w:pPr>
            <w:r>
              <w:rPr>
                <w:sz w:val="21"/>
                <w:szCs w:val="21"/>
                <w:highlight w:val="none"/>
              </w:rPr>
              <w:t>轻沸溶剂</w:t>
            </w:r>
          </w:p>
        </w:tc>
        <w:tc>
          <w:tcPr>
            <w:tcW w:w="1134" w:type="dxa"/>
            <w:tcBorders>
              <w:tl2br w:val="nil"/>
              <w:tr2bl w:val="nil"/>
            </w:tcBorders>
            <w:vAlign w:val="center"/>
          </w:tcPr>
          <w:p w14:paraId="13D8C09B">
            <w:pPr>
              <w:adjustRightInd w:val="0"/>
              <w:snapToGrid w:val="0"/>
              <w:spacing w:line="240" w:lineRule="auto"/>
              <w:jc w:val="center"/>
              <w:rPr>
                <w:sz w:val="21"/>
                <w:szCs w:val="21"/>
                <w:highlight w:val="none"/>
              </w:rPr>
            </w:pPr>
            <w:r>
              <w:rPr>
                <w:rFonts w:hint="eastAsia"/>
                <w:sz w:val="21"/>
                <w:szCs w:val="21"/>
                <w:highlight w:val="none"/>
              </w:rPr>
              <w:t>/</w:t>
            </w:r>
          </w:p>
        </w:tc>
        <w:tc>
          <w:tcPr>
            <w:tcW w:w="992" w:type="dxa"/>
            <w:tcBorders>
              <w:tl2br w:val="nil"/>
              <w:tr2bl w:val="nil"/>
            </w:tcBorders>
            <w:vAlign w:val="center"/>
          </w:tcPr>
          <w:p w14:paraId="366C05FE">
            <w:pPr>
              <w:adjustRightInd w:val="0"/>
              <w:snapToGrid w:val="0"/>
              <w:spacing w:line="240" w:lineRule="auto"/>
              <w:jc w:val="center"/>
              <w:rPr>
                <w:sz w:val="21"/>
                <w:szCs w:val="21"/>
                <w:highlight w:val="none"/>
              </w:rPr>
            </w:pPr>
            <w:r>
              <w:rPr>
                <w:rFonts w:hint="eastAsia"/>
                <w:sz w:val="21"/>
                <w:szCs w:val="21"/>
                <w:highlight w:val="none"/>
              </w:rPr>
              <w:t>100</w:t>
            </w:r>
          </w:p>
        </w:tc>
        <w:tc>
          <w:tcPr>
            <w:tcW w:w="1134" w:type="dxa"/>
            <w:tcBorders>
              <w:tl2br w:val="nil"/>
              <w:tr2bl w:val="nil"/>
            </w:tcBorders>
            <w:vAlign w:val="center"/>
          </w:tcPr>
          <w:p w14:paraId="06D05ECA">
            <w:pPr>
              <w:adjustRightInd w:val="0"/>
              <w:snapToGrid w:val="0"/>
              <w:spacing w:line="240" w:lineRule="auto"/>
              <w:jc w:val="center"/>
              <w:rPr>
                <w:bCs/>
                <w:sz w:val="21"/>
                <w:szCs w:val="21"/>
                <w:highlight w:val="none"/>
              </w:rPr>
            </w:pPr>
            <w:r>
              <w:rPr>
                <w:rFonts w:hint="eastAsia"/>
                <w:bCs/>
                <w:sz w:val="21"/>
                <w:szCs w:val="21"/>
                <w:highlight w:val="none"/>
              </w:rPr>
              <w:t>100</w:t>
            </w:r>
          </w:p>
        </w:tc>
        <w:tc>
          <w:tcPr>
            <w:tcW w:w="851" w:type="dxa"/>
            <w:tcBorders>
              <w:tl2br w:val="nil"/>
              <w:tr2bl w:val="nil"/>
            </w:tcBorders>
            <w:vAlign w:val="center"/>
          </w:tcPr>
          <w:p w14:paraId="0F9DA03B">
            <w:pPr>
              <w:spacing w:line="240" w:lineRule="auto"/>
              <w:jc w:val="center"/>
              <w:rPr>
                <w:sz w:val="21"/>
                <w:szCs w:val="21"/>
                <w:highlight w:val="yellow"/>
              </w:rPr>
            </w:pPr>
            <w:r>
              <w:rPr>
                <w:rFonts w:hint="eastAsia"/>
                <w:color w:val="000000"/>
                <w:sz w:val="21"/>
                <w:szCs w:val="21"/>
                <w:highlight w:val="none"/>
                <w:u w:val="single"/>
                <w:lang w:val="en-US" w:eastAsia="zh-CN"/>
              </w:rPr>
              <w:t>51.5</w:t>
            </w:r>
          </w:p>
        </w:tc>
        <w:tc>
          <w:tcPr>
            <w:tcW w:w="1326" w:type="dxa"/>
            <w:vMerge w:val="restart"/>
            <w:tcBorders>
              <w:tl2br w:val="nil"/>
              <w:tr2bl w:val="nil"/>
            </w:tcBorders>
            <w:vAlign w:val="center"/>
          </w:tcPr>
          <w:p w14:paraId="746110C2">
            <w:pPr>
              <w:adjustRightInd w:val="0"/>
              <w:snapToGrid w:val="0"/>
              <w:spacing w:line="240" w:lineRule="auto"/>
              <w:jc w:val="center"/>
              <w:rPr>
                <w:sz w:val="21"/>
                <w:szCs w:val="21"/>
              </w:rPr>
            </w:pPr>
            <w:r>
              <w:rPr>
                <w:sz w:val="21"/>
                <w:szCs w:val="21"/>
              </w:rPr>
              <w:t>回收溶剂不重复</w:t>
            </w:r>
            <w:r>
              <w:rPr>
                <w:rFonts w:hint="eastAsia"/>
                <w:sz w:val="21"/>
                <w:szCs w:val="21"/>
              </w:rPr>
              <w:t>计</w:t>
            </w:r>
            <w:r>
              <w:rPr>
                <w:sz w:val="21"/>
                <w:szCs w:val="21"/>
              </w:rPr>
              <w:t>入</w:t>
            </w:r>
            <w:r>
              <w:rPr>
                <w:rFonts w:hint="eastAsia"/>
                <w:sz w:val="21"/>
                <w:szCs w:val="21"/>
              </w:rPr>
              <w:t>VOCs产排污核算</w:t>
            </w:r>
          </w:p>
        </w:tc>
      </w:tr>
      <w:tr w14:paraId="1EC1BC2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17" w:type="dxa"/>
            <w:vMerge w:val="continue"/>
            <w:tcBorders>
              <w:tl2br w:val="nil"/>
              <w:tr2bl w:val="nil"/>
            </w:tcBorders>
            <w:vAlign w:val="center"/>
          </w:tcPr>
          <w:p w14:paraId="72BBD8DF">
            <w:pPr>
              <w:adjustRightInd w:val="0"/>
              <w:snapToGrid w:val="0"/>
              <w:spacing w:line="240" w:lineRule="auto"/>
              <w:jc w:val="center"/>
              <w:rPr>
                <w:sz w:val="21"/>
                <w:szCs w:val="21"/>
              </w:rPr>
            </w:pPr>
          </w:p>
        </w:tc>
        <w:tc>
          <w:tcPr>
            <w:tcW w:w="851" w:type="dxa"/>
            <w:tcBorders>
              <w:tl2br w:val="nil"/>
              <w:tr2bl w:val="nil"/>
            </w:tcBorders>
            <w:vAlign w:val="center"/>
          </w:tcPr>
          <w:p w14:paraId="403EC1E0">
            <w:pPr>
              <w:spacing w:line="240" w:lineRule="auto"/>
              <w:jc w:val="center"/>
              <w:rPr>
                <w:sz w:val="21"/>
                <w:szCs w:val="21"/>
                <w:highlight w:val="yellow"/>
              </w:rPr>
            </w:pPr>
            <w:r>
              <w:rPr>
                <w:rFonts w:hint="eastAsia"/>
                <w:color w:val="000000"/>
                <w:sz w:val="21"/>
                <w:szCs w:val="21"/>
                <w:highlight w:val="none"/>
                <w:u w:val="single"/>
                <w:lang w:val="en-US" w:eastAsia="zh-CN"/>
              </w:rPr>
              <w:t>1247.261</w:t>
            </w:r>
          </w:p>
        </w:tc>
        <w:tc>
          <w:tcPr>
            <w:tcW w:w="1417" w:type="dxa"/>
            <w:tcBorders>
              <w:tl2br w:val="nil"/>
              <w:tr2bl w:val="nil"/>
            </w:tcBorders>
            <w:vAlign w:val="center"/>
          </w:tcPr>
          <w:p w14:paraId="45A28806">
            <w:pPr>
              <w:adjustRightInd w:val="0"/>
              <w:snapToGrid w:val="0"/>
              <w:spacing w:line="240" w:lineRule="auto"/>
              <w:jc w:val="center"/>
              <w:rPr>
                <w:sz w:val="21"/>
                <w:szCs w:val="21"/>
                <w:highlight w:val="none"/>
              </w:rPr>
            </w:pPr>
            <w:r>
              <w:rPr>
                <w:sz w:val="21"/>
                <w:szCs w:val="21"/>
                <w:highlight w:val="none"/>
              </w:rPr>
              <w:t>高沸溶剂</w:t>
            </w:r>
          </w:p>
        </w:tc>
        <w:tc>
          <w:tcPr>
            <w:tcW w:w="1134" w:type="dxa"/>
            <w:tcBorders>
              <w:tl2br w:val="nil"/>
              <w:tr2bl w:val="nil"/>
            </w:tcBorders>
            <w:vAlign w:val="center"/>
          </w:tcPr>
          <w:p w14:paraId="51F1469B">
            <w:pPr>
              <w:adjustRightInd w:val="0"/>
              <w:snapToGrid w:val="0"/>
              <w:spacing w:line="240" w:lineRule="auto"/>
              <w:jc w:val="center"/>
              <w:rPr>
                <w:sz w:val="21"/>
                <w:szCs w:val="21"/>
                <w:highlight w:val="none"/>
              </w:rPr>
            </w:pPr>
            <w:r>
              <w:rPr>
                <w:rFonts w:hint="eastAsia"/>
                <w:sz w:val="21"/>
                <w:szCs w:val="21"/>
                <w:highlight w:val="none"/>
              </w:rPr>
              <w:t>/</w:t>
            </w:r>
          </w:p>
        </w:tc>
        <w:tc>
          <w:tcPr>
            <w:tcW w:w="992" w:type="dxa"/>
            <w:tcBorders>
              <w:tl2br w:val="nil"/>
              <w:tr2bl w:val="nil"/>
            </w:tcBorders>
            <w:vAlign w:val="center"/>
          </w:tcPr>
          <w:p w14:paraId="11659DD1">
            <w:pPr>
              <w:adjustRightInd w:val="0"/>
              <w:snapToGrid w:val="0"/>
              <w:spacing w:line="240" w:lineRule="auto"/>
              <w:jc w:val="center"/>
              <w:rPr>
                <w:sz w:val="21"/>
                <w:szCs w:val="21"/>
                <w:highlight w:val="none"/>
              </w:rPr>
            </w:pPr>
            <w:r>
              <w:rPr>
                <w:rFonts w:hint="eastAsia"/>
                <w:sz w:val="21"/>
                <w:szCs w:val="21"/>
                <w:highlight w:val="none"/>
              </w:rPr>
              <w:t>100</w:t>
            </w:r>
          </w:p>
        </w:tc>
        <w:tc>
          <w:tcPr>
            <w:tcW w:w="1134" w:type="dxa"/>
            <w:tcBorders>
              <w:tl2br w:val="nil"/>
              <w:tr2bl w:val="nil"/>
            </w:tcBorders>
            <w:vAlign w:val="center"/>
          </w:tcPr>
          <w:p w14:paraId="7AF5614D">
            <w:pPr>
              <w:adjustRightInd w:val="0"/>
              <w:snapToGrid w:val="0"/>
              <w:spacing w:line="240" w:lineRule="auto"/>
              <w:jc w:val="center"/>
              <w:rPr>
                <w:bCs/>
                <w:sz w:val="21"/>
                <w:szCs w:val="21"/>
                <w:highlight w:val="none"/>
              </w:rPr>
            </w:pPr>
            <w:r>
              <w:rPr>
                <w:rFonts w:hint="eastAsia"/>
                <w:bCs/>
                <w:sz w:val="21"/>
                <w:szCs w:val="21"/>
                <w:highlight w:val="none"/>
              </w:rPr>
              <w:t>100</w:t>
            </w:r>
          </w:p>
        </w:tc>
        <w:tc>
          <w:tcPr>
            <w:tcW w:w="851" w:type="dxa"/>
            <w:tcBorders>
              <w:tl2br w:val="nil"/>
              <w:tr2bl w:val="nil"/>
            </w:tcBorders>
            <w:vAlign w:val="center"/>
          </w:tcPr>
          <w:p w14:paraId="3529A8B4">
            <w:pPr>
              <w:spacing w:line="240" w:lineRule="auto"/>
              <w:jc w:val="center"/>
              <w:rPr>
                <w:sz w:val="21"/>
                <w:szCs w:val="21"/>
                <w:highlight w:val="yellow"/>
              </w:rPr>
            </w:pPr>
            <w:r>
              <w:rPr>
                <w:rFonts w:hint="eastAsia"/>
                <w:color w:val="000000"/>
                <w:sz w:val="21"/>
                <w:szCs w:val="21"/>
                <w:highlight w:val="none"/>
                <w:u w:val="single"/>
                <w:lang w:val="en-US" w:eastAsia="zh-CN"/>
              </w:rPr>
              <w:t>1247.261</w:t>
            </w:r>
          </w:p>
        </w:tc>
        <w:tc>
          <w:tcPr>
            <w:tcW w:w="1326" w:type="dxa"/>
            <w:vMerge w:val="continue"/>
            <w:tcBorders>
              <w:tl2br w:val="nil"/>
              <w:tr2bl w:val="nil"/>
            </w:tcBorders>
            <w:vAlign w:val="center"/>
          </w:tcPr>
          <w:p w14:paraId="001FBD7F">
            <w:pPr>
              <w:adjustRightInd w:val="0"/>
              <w:snapToGrid w:val="0"/>
              <w:spacing w:line="240" w:lineRule="auto"/>
              <w:jc w:val="center"/>
              <w:rPr>
                <w:sz w:val="21"/>
                <w:szCs w:val="21"/>
              </w:rPr>
            </w:pPr>
          </w:p>
        </w:tc>
      </w:tr>
      <w:tr w14:paraId="00BC9FA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trPr>
        <w:tc>
          <w:tcPr>
            <w:tcW w:w="8522" w:type="dxa"/>
            <w:gridSpan w:val="8"/>
            <w:tcBorders>
              <w:tl2br w:val="nil"/>
              <w:tr2bl w:val="nil"/>
            </w:tcBorders>
            <w:vAlign w:val="center"/>
          </w:tcPr>
          <w:p w14:paraId="0297AA46">
            <w:pPr>
              <w:adjustRightInd w:val="0"/>
              <w:snapToGrid w:val="0"/>
              <w:spacing w:line="240" w:lineRule="auto"/>
              <w:jc w:val="left"/>
              <w:rPr>
                <w:rFonts w:hint="default" w:eastAsia="宋体"/>
                <w:sz w:val="21"/>
                <w:szCs w:val="21"/>
                <w:lang w:val="en-US" w:eastAsia="zh-CN"/>
              </w:rPr>
            </w:pPr>
            <w:r>
              <w:rPr>
                <w:b/>
                <w:bCs/>
                <w:sz w:val="21"/>
                <w:szCs w:val="21"/>
              </w:rPr>
              <w:t>回收溶剂</w:t>
            </w:r>
            <w:r>
              <w:rPr>
                <w:rFonts w:hint="eastAsia"/>
                <w:b/>
                <w:bCs/>
                <w:sz w:val="21"/>
                <w:szCs w:val="21"/>
                <w:lang w:val="en-US" w:eastAsia="zh-CN"/>
              </w:rPr>
              <w:t>*</w:t>
            </w:r>
            <w:r>
              <w:rPr>
                <w:rFonts w:hint="eastAsia"/>
                <w:sz w:val="21"/>
                <w:szCs w:val="21"/>
              </w:rPr>
              <w:t>：</w:t>
            </w:r>
            <w:r>
              <w:rPr>
                <w:rFonts w:hint="eastAsia"/>
                <w:sz w:val="21"/>
                <w:szCs w:val="21"/>
                <w:lang w:val="en-US" w:eastAsia="zh-CN"/>
              </w:rPr>
              <w:t>企业会根据当批次的印刷技术要求，适当调整回收溶剂的套用比例，无法精确计算VOCs平衡，因此本评价VOCs的源强取值直接采用各类溶剂的设计配比用量，即使用量=新溶剂+套用量，不再将回收溶剂重复计入VOCs计算。</w:t>
            </w:r>
          </w:p>
        </w:tc>
      </w:tr>
    </w:tbl>
    <w:p w14:paraId="43087235">
      <w:pPr>
        <w:ind w:firstLine="482"/>
        <w:rPr>
          <w:b/>
          <w:bCs/>
        </w:rPr>
      </w:pPr>
      <w:r>
        <w:rPr>
          <w:rFonts w:hint="eastAsia"/>
          <w:b/>
          <w:bCs/>
        </w:rPr>
        <w:t>3.挥发性有机物</w:t>
      </w:r>
      <w:r>
        <w:rPr>
          <w:b/>
          <w:bCs/>
        </w:rPr>
        <w:t>含量限值符合性分析</w:t>
      </w:r>
    </w:p>
    <w:p w14:paraId="25297C49">
      <w:pPr>
        <w:ind w:firstLine="480"/>
      </w:pPr>
      <w:r>
        <w:rPr>
          <w:rFonts w:hint="eastAsia" w:ascii="宋体" w:hAnsi="宋体" w:cs="宋体"/>
        </w:rPr>
        <w:t>⑴</w:t>
      </w:r>
      <w:r>
        <w:rPr>
          <w:rFonts w:hint="eastAsia"/>
        </w:rPr>
        <w:t>溶剂型凹版复合油墨：</w:t>
      </w:r>
      <w:r>
        <w:t>根据洋紫荆油墨（浙江）有限公司提供的MSD，主要成分为：醇类5-10%、酯类33-60%、聚氨酯树脂0-32%、二元氯醋树脂12-18%、颜料8-35%，本项目所使用的油性油墨</w:t>
      </w:r>
      <w:r>
        <w:rPr>
          <w:rFonts w:hint="eastAsia"/>
        </w:rPr>
        <w:t>（</w:t>
      </w:r>
      <w:r>
        <w:t>出厂状态</w:t>
      </w:r>
      <w:r>
        <w:rPr>
          <w:rFonts w:hint="eastAsia"/>
        </w:rPr>
        <w:t>）</w:t>
      </w:r>
      <w:r>
        <w:t>VOCs含量</w:t>
      </w:r>
      <w:r>
        <w:rPr>
          <w:rFonts w:hint="eastAsia"/>
        </w:rPr>
        <w:t>最大值</w:t>
      </w:r>
      <w:r>
        <w:t>为</w:t>
      </w:r>
      <w:r>
        <w:rPr>
          <w:rFonts w:hint="eastAsia"/>
        </w:rPr>
        <w:t>70</w:t>
      </w:r>
      <w:r>
        <w:t>%</w:t>
      </w:r>
      <w:r>
        <w:rPr>
          <w:rFonts w:hint="eastAsia"/>
        </w:rPr>
        <w:t>（中间值为46.5%）</w:t>
      </w:r>
      <w:r>
        <w:t>，符合《</w:t>
      </w:r>
      <w:r>
        <w:rPr>
          <w:rFonts w:hint="eastAsia"/>
        </w:rPr>
        <w:t>油墨中可挥发性有机化合物（VOCs）含量的限值</w:t>
      </w:r>
      <w:r>
        <w:t>》(GB38507-2020)</w:t>
      </w:r>
      <w:r>
        <w:rPr>
          <w:rFonts w:asciiTheme="minorEastAsia" w:hAnsiTheme="minorEastAsia" w:eastAsiaTheme="minorEastAsia"/>
        </w:rPr>
        <w:t>“</w:t>
      </w:r>
      <w:r>
        <w:t>表1油墨中可挥发性有机化合物含量的限制”中“凹印油墨≤75%”的限值要求。</w:t>
      </w:r>
    </w:p>
    <w:p w14:paraId="5D4A9425">
      <w:pPr>
        <w:pStyle w:val="38"/>
        <w:ind w:firstLine="480"/>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2</w:t>
      </w:r>
      <w:r>
        <w:rPr>
          <w:rFonts w:ascii="Times New Roman" w:hAnsi="Times New Roman" w:eastAsia="宋体" w:cs="Times New Roman"/>
          <w:color w:val="auto"/>
        </w:rPr>
        <w:t>）胶水——溶剂型聚氨酯胶水：商品名为聚氨酯复合膜用胶粘剂，主要成分为聚酯多元醇与乙酸乙酯，其中乙酸乙酯占比</w:t>
      </w:r>
      <w:r>
        <w:rPr>
          <w:rFonts w:hint="eastAsia" w:ascii="Times New Roman" w:hAnsi="Times New Roman" w:eastAsia="宋体" w:cs="Times New Roman"/>
          <w:color w:val="auto"/>
        </w:rPr>
        <w:t>23-27</w:t>
      </w:r>
      <w:r>
        <w:rPr>
          <w:rFonts w:ascii="Times New Roman" w:hAnsi="Times New Roman" w:eastAsia="宋体" w:cs="Times New Roman"/>
          <w:color w:val="auto"/>
        </w:rPr>
        <w:t>%。外观与状态：浅黄色或无色透明粘稠液体，密度为0.9g/cm</w:t>
      </w:r>
      <w:r>
        <w:rPr>
          <w:rFonts w:ascii="Times New Roman" w:hAnsi="Times New Roman" w:eastAsia="宋体" w:cs="Times New Roman"/>
          <w:color w:val="auto"/>
          <w:vertAlign w:val="superscript"/>
        </w:rPr>
        <w:t>3</w:t>
      </w:r>
      <w:r>
        <w:rPr>
          <w:rFonts w:ascii="Times New Roman" w:hAnsi="Times New Roman" w:eastAsia="宋体" w:cs="Times New Roman"/>
          <w:color w:val="auto"/>
        </w:rPr>
        <w:t>。根据《胶粘剂挥发性有机化合物限量》（GB33372-2020）规定的限值要求</w:t>
      </w:r>
      <w:r>
        <w:rPr>
          <w:rFonts w:hint="eastAsia" w:ascii="Times New Roman" w:hAnsi="Times New Roman" w:eastAsia="宋体" w:cs="Times New Roman"/>
          <w:color w:val="auto"/>
        </w:rPr>
        <w:t>，</w:t>
      </w:r>
      <w:r>
        <w:rPr>
          <w:rFonts w:ascii="Times New Roman" w:hAnsi="Times New Roman" w:eastAsia="宋体" w:cs="Times New Roman"/>
          <w:color w:val="auto"/>
        </w:rPr>
        <w:t>溶剂型聚氨酯类胶粘剂用于包装行业，挥发性有机化合物限值为400g/L，项目聚氨酯胶水VOC含量为</w:t>
      </w:r>
      <w:r>
        <w:rPr>
          <w:rFonts w:hint="eastAsia" w:ascii="Times New Roman" w:hAnsi="Times New Roman" w:eastAsia="宋体" w:cs="Times New Roman"/>
          <w:color w:val="auto"/>
        </w:rPr>
        <w:t>25</w:t>
      </w:r>
      <w:r>
        <w:rPr>
          <w:rFonts w:ascii="Times New Roman" w:hAnsi="Times New Roman" w:eastAsia="宋体" w:cs="Times New Roman"/>
          <w:color w:val="auto"/>
        </w:rPr>
        <w:t>%，折合为</w:t>
      </w:r>
      <w:r>
        <w:rPr>
          <w:rFonts w:hint="eastAsia" w:ascii="Times New Roman" w:hAnsi="Times New Roman" w:eastAsia="宋体" w:cs="Times New Roman"/>
          <w:color w:val="auto"/>
        </w:rPr>
        <w:t>225.02</w:t>
      </w:r>
      <w:r>
        <w:rPr>
          <w:rFonts w:ascii="Times New Roman" w:hAnsi="Times New Roman" w:eastAsia="宋体" w:cs="Times New Roman"/>
          <w:color w:val="auto"/>
        </w:rPr>
        <w:t>g/L（密度取值0.9g/cm</w:t>
      </w:r>
      <w:r>
        <w:rPr>
          <w:rFonts w:ascii="Times New Roman" w:hAnsi="Times New Roman" w:eastAsia="宋体" w:cs="Times New Roman"/>
          <w:color w:val="auto"/>
          <w:vertAlign w:val="superscript"/>
        </w:rPr>
        <w:t>3</w:t>
      </w:r>
      <w:r>
        <w:rPr>
          <w:rFonts w:ascii="Times New Roman" w:hAnsi="Times New Roman" w:eastAsia="宋体" w:cs="Times New Roman"/>
          <w:color w:val="auto"/>
        </w:rPr>
        <w:t>），符合限值要求。</w:t>
      </w:r>
    </w:p>
    <w:p w14:paraId="1C5519BB">
      <w:pPr>
        <w:bidi w:val="0"/>
        <w:ind w:firstLine="480" w:firstLineChars="200"/>
      </w:pPr>
      <w:r>
        <w:t>（</w:t>
      </w:r>
      <w:r>
        <w:rPr>
          <w:rFonts w:hint="eastAsia"/>
        </w:rPr>
        <w:t>3</w:t>
      </w:r>
      <w:r>
        <w:t>）胶水——双组分无溶剂胶黏剂A/B剂：属于本体型胶粘剂，根据建设方提供的MSDS，A剂为异氰酸酯聚合物100%；B剂为多元醇聚合物100%，均不含挥发性有机化合物。项目使用时需将A胶与B胶按照2:3的比例混合，混合后的AB胶可符合《胶粘剂挥发性有机化合物限量》（GB33372-2020）规定的限值要求本体型胶粘剂中挥发性有机化合物（VOCs）限值&lt;50g/kg的要求。</w:t>
      </w:r>
    </w:p>
    <w:p w14:paraId="45D8F3F7">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4.1.6</w:t>
      </w:r>
      <w:r>
        <w:rPr>
          <w:rFonts w:hint="eastAsia"/>
        </w:rPr>
        <w:t>工作制度及劳动定员</w:t>
      </w:r>
    </w:p>
    <w:p w14:paraId="204AF689">
      <w:pPr>
        <w:ind w:firstLine="480"/>
      </w:pPr>
      <w:r>
        <w:t>本项目工作制度及劳动定员变化情况如下表所示。</w:t>
      </w:r>
    </w:p>
    <w:p w14:paraId="53F46520">
      <w:pPr>
        <w:pStyle w:val="51"/>
        <w:numPr>
          <w:ilvl w:val="5"/>
          <w:numId w:val="0"/>
        </w:numPr>
        <w:spacing w:before="156"/>
        <w:ind w:left="305" w:leftChars="0" w:hanging="3260" w:firstLineChars="0"/>
        <w:rPr>
          <w:sz w:val="24"/>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表4.1-8 </w:t>
      </w:r>
      <w:r>
        <w:rPr>
          <w:rFonts w:hint="eastAsia" w:ascii="宋体" w:hAnsi="宋体" w:cs="宋体"/>
          <w:b/>
          <w:bCs/>
          <w:color w:val="auto"/>
          <w:kern w:val="2"/>
          <w:sz w:val="21"/>
          <w:szCs w:val="21"/>
          <w:lang w:val="en-US" w:eastAsia="zh-CN" w:bidi="ar-SA"/>
        </w:rPr>
        <w:t xml:space="preserve">   </w:t>
      </w:r>
      <w:r>
        <w:rPr>
          <w:rFonts w:hint="eastAsia"/>
          <w:sz w:val="24"/>
        </w:rPr>
        <w:t>工作制度及劳动定员情况变化一览表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8"/>
        <w:gridCol w:w="4819"/>
        <w:gridCol w:w="2035"/>
      </w:tblGrid>
      <w:tr w14:paraId="3752E4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atLeast"/>
          <w:jc w:val="center"/>
        </w:trPr>
        <w:tc>
          <w:tcPr>
            <w:tcW w:w="1668" w:type="dxa"/>
            <w:vAlign w:val="center"/>
          </w:tcPr>
          <w:p w14:paraId="4A4FF602">
            <w:pPr>
              <w:adjustRightInd w:val="0"/>
              <w:snapToGrid w:val="0"/>
              <w:spacing w:line="240" w:lineRule="auto"/>
              <w:jc w:val="center"/>
              <w:rPr>
                <w:sz w:val="21"/>
                <w:szCs w:val="21"/>
              </w:rPr>
            </w:pPr>
            <w:r>
              <w:rPr>
                <w:sz w:val="21"/>
                <w:szCs w:val="21"/>
              </w:rPr>
              <w:t>名称</w:t>
            </w:r>
          </w:p>
        </w:tc>
        <w:tc>
          <w:tcPr>
            <w:tcW w:w="4819" w:type="dxa"/>
            <w:vAlign w:val="center"/>
          </w:tcPr>
          <w:p w14:paraId="5DE8EA51">
            <w:pPr>
              <w:adjustRightInd w:val="0"/>
              <w:snapToGrid w:val="0"/>
              <w:spacing w:line="240" w:lineRule="auto"/>
              <w:jc w:val="center"/>
              <w:rPr>
                <w:sz w:val="21"/>
                <w:szCs w:val="21"/>
              </w:rPr>
            </w:pPr>
            <w:r>
              <w:rPr>
                <w:sz w:val="21"/>
                <w:szCs w:val="21"/>
              </w:rPr>
              <w:t>现有项目</w:t>
            </w:r>
          </w:p>
        </w:tc>
        <w:tc>
          <w:tcPr>
            <w:tcW w:w="2035" w:type="dxa"/>
            <w:vAlign w:val="center"/>
          </w:tcPr>
          <w:p w14:paraId="7D7763A2">
            <w:pPr>
              <w:adjustRightInd w:val="0"/>
              <w:snapToGrid w:val="0"/>
              <w:spacing w:line="240" w:lineRule="auto"/>
              <w:jc w:val="center"/>
              <w:rPr>
                <w:sz w:val="21"/>
                <w:szCs w:val="21"/>
              </w:rPr>
            </w:pPr>
            <w:r>
              <w:rPr>
                <w:sz w:val="21"/>
                <w:szCs w:val="21"/>
              </w:rPr>
              <w:t>变更情况</w:t>
            </w:r>
          </w:p>
        </w:tc>
      </w:tr>
      <w:tr w14:paraId="1E8113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jc w:val="center"/>
        </w:trPr>
        <w:tc>
          <w:tcPr>
            <w:tcW w:w="1668" w:type="dxa"/>
            <w:vAlign w:val="center"/>
          </w:tcPr>
          <w:p w14:paraId="7D25BD5F">
            <w:pPr>
              <w:adjustRightInd w:val="0"/>
              <w:snapToGrid w:val="0"/>
              <w:spacing w:line="240" w:lineRule="auto"/>
              <w:jc w:val="center"/>
              <w:rPr>
                <w:sz w:val="21"/>
                <w:szCs w:val="21"/>
              </w:rPr>
            </w:pPr>
            <w:r>
              <w:rPr>
                <w:sz w:val="21"/>
                <w:szCs w:val="21"/>
              </w:rPr>
              <w:t>工作制度</w:t>
            </w:r>
          </w:p>
        </w:tc>
        <w:tc>
          <w:tcPr>
            <w:tcW w:w="4819" w:type="dxa"/>
            <w:vAlign w:val="center"/>
          </w:tcPr>
          <w:p w14:paraId="30981C8F">
            <w:pPr>
              <w:adjustRightInd w:val="0"/>
              <w:snapToGrid w:val="0"/>
              <w:spacing w:line="240" w:lineRule="auto"/>
              <w:jc w:val="center"/>
              <w:rPr>
                <w:sz w:val="21"/>
                <w:szCs w:val="21"/>
              </w:rPr>
            </w:pPr>
            <w:r>
              <w:rPr>
                <w:rFonts w:hint="eastAsia"/>
                <w:sz w:val="21"/>
                <w:szCs w:val="21"/>
              </w:rPr>
              <w:t>34</w:t>
            </w:r>
            <w:r>
              <w:rPr>
                <w:sz w:val="21"/>
                <w:szCs w:val="21"/>
              </w:rPr>
              <w:t>0天/年，采取三班工作制，每班工作8小时</w:t>
            </w:r>
          </w:p>
        </w:tc>
        <w:tc>
          <w:tcPr>
            <w:tcW w:w="2035" w:type="dxa"/>
            <w:vAlign w:val="center"/>
          </w:tcPr>
          <w:p w14:paraId="70AC522A">
            <w:pPr>
              <w:adjustRightInd w:val="0"/>
              <w:snapToGrid w:val="0"/>
              <w:spacing w:line="240" w:lineRule="auto"/>
              <w:jc w:val="center"/>
              <w:rPr>
                <w:sz w:val="21"/>
                <w:szCs w:val="21"/>
              </w:rPr>
            </w:pPr>
            <w:r>
              <w:rPr>
                <w:sz w:val="21"/>
                <w:szCs w:val="21"/>
              </w:rPr>
              <w:t>无变更</w:t>
            </w:r>
          </w:p>
        </w:tc>
      </w:tr>
      <w:tr w14:paraId="08E02B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68" w:type="dxa"/>
            <w:vAlign w:val="center"/>
          </w:tcPr>
          <w:p w14:paraId="6D89167A">
            <w:pPr>
              <w:adjustRightInd w:val="0"/>
              <w:snapToGrid w:val="0"/>
              <w:spacing w:line="240" w:lineRule="auto"/>
              <w:jc w:val="center"/>
              <w:rPr>
                <w:sz w:val="21"/>
                <w:szCs w:val="21"/>
              </w:rPr>
            </w:pPr>
            <w:r>
              <w:rPr>
                <w:sz w:val="21"/>
                <w:szCs w:val="21"/>
              </w:rPr>
              <w:t>劳动定员</w:t>
            </w:r>
          </w:p>
        </w:tc>
        <w:tc>
          <w:tcPr>
            <w:tcW w:w="4819" w:type="dxa"/>
            <w:vAlign w:val="center"/>
          </w:tcPr>
          <w:p w14:paraId="1FABDEE9">
            <w:pPr>
              <w:adjustRightInd w:val="0"/>
              <w:snapToGrid w:val="0"/>
              <w:spacing w:line="240" w:lineRule="auto"/>
              <w:jc w:val="center"/>
              <w:rPr>
                <w:sz w:val="21"/>
                <w:szCs w:val="21"/>
              </w:rPr>
            </w:pPr>
            <w:r>
              <w:rPr>
                <w:rFonts w:hint="eastAsia"/>
                <w:sz w:val="21"/>
                <w:szCs w:val="21"/>
              </w:rPr>
              <w:t>341人</w:t>
            </w:r>
          </w:p>
        </w:tc>
        <w:tc>
          <w:tcPr>
            <w:tcW w:w="2035" w:type="dxa"/>
            <w:vAlign w:val="center"/>
          </w:tcPr>
          <w:p w14:paraId="4BAEEF26">
            <w:pPr>
              <w:adjustRightInd w:val="0"/>
              <w:snapToGrid w:val="0"/>
              <w:spacing w:line="240" w:lineRule="auto"/>
              <w:jc w:val="center"/>
              <w:rPr>
                <w:sz w:val="21"/>
                <w:szCs w:val="21"/>
              </w:rPr>
            </w:pPr>
            <w:r>
              <w:rPr>
                <w:sz w:val="21"/>
                <w:szCs w:val="21"/>
              </w:rPr>
              <w:t>无变更</w:t>
            </w:r>
          </w:p>
        </w:tc>
      </w:tr>
    </w:tbl>
    <w:p w14:paraId="5A9FF7F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4.1.7</w:t>
      </w:r>
      <w:r>
        <w:rPr>
          <w:rFonts w:hint="eastAsia"/>
        </w:rPr>
        <w:t>公用工程</w:t>
      </w:r>
    </w:p>
    <w:p w14:paraId="4C50B438">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4.1.7.1</w:t>
      </w:r>
      <w:r>
        <w:rPr>
          <w:rFonts w:hint="eastAsia"/>
        </w:rPr>
        <w:t>供水</w:t>
      </w:r>
    </w:p>
    <w:p w14:paraId="4E68B3DE">
      <w:pPr>
        <w:ind w:firstLine="480"/>
      </w:pPr>
      <w:r>
        <w:rPr>
          <w:rFonts w:hint="eastAsia"/>
        </w:rPr>
        <w:t>项目位于湘潭县天易示范区，由市政供水管网供水，满足项目生产、生活和消防用水需求。</w:t>
      </w:r>
    </w:p>
    <w:p w14:paraId="1D38AAE5">
      <w:pPr>
        <w:tabs>
          <w:tab w:val="left" w:pos="2355"/>
        </w:tabs>
        <w:ind w:firstLine="480"/>
        <w:jc w:val="left"/>
      </w:pPr>
      <w:r>
        <w:t>生活用水：变更不新增员工，全厂生活用水不变，参照国家行政机构办公楼用水量通用值38m</w:t>
      </w:r>
      <w:r>
        <w:rPr>
          <w:vertAlign w:val="superscript"/>
        </w:rPr>
        <w:t>3</w:t>
      </w:r>
      <w:r>
        <w:t>/人·a，</w:t>
      </w:r>
      <w:r>
        <w:rPr>
          <w:rFonts w:hint="eastAsia"/>
        </w:rPr>
        <w:t>341人</w:t>
      </w:r>
      <w:r>
        <w:t>生活用水总量约12958 t/a</w:t>
      </w:r>
      <w:r>
        <w:rPr>
          <w:rFonts w:hint="eastAsia"/>
        </w:rPr>
        <w:t>（38.11</w:t>
      </w:r>
      <w:r>
        <w:t>m</w:t>
      </w:r>
      <w:r>
        <w:rPr>
          <w:vertAlign w:val="superscript"/>
        </w:rPr>
        <w:t>3</w:t>
      </w:r>
      <w:r>
        <w:t>/d</w:t>
      </w:r>
      <w:r>
        <w:rPr>
          <w:rFonts w:hint="eastAsia"/>
        </w:rPr>
        <w:t>）</w:t>
      </w:r>
      <w:r>
        <w:t>。</w:t>
      </w:r>
    </w:p>
    <w:p w14:paraId="7B1091CB">
      <w:pPr>
        <w:ind w:firstLine="480"/>
      </w:pPr>
      <w:r>
        <w:t>生产用水：项目生产用水主要为</w:t>
      </w:r>
      <w:r>
        <w:rPr>
          <w:rFonts w:hint="eastAsia"/>
        </w:rPr>
        <w:t>生产</w:t>
      </w:r>
      <w:r>
        <w:t>设备冷却用水</w:t>
      </w:r>
      <w:r>
        <w:rPr>
          <w:rFonts w:hint="eastAsia"/>
        </w:rPr>
        <w:t>以及</w:t>
      </w:r>
      <w:r>
        <w:t>环保措施冷却用水。</w:t>
      </w:r>
    </w:p>
    <w:p w14:paraId="131606EF">
      <w:pPr>
        <w:ind w:firstLine="480"/>
      </w:pPr>
      <w:r>
        <w:t>①</w:t>
      </w:r>
      <w:r>
        <w:rPr>
          <w:rFonts w:hint="eastAsia"/>
        </w:rPr>
        <w:t>设备冷却用水主要来自</w:t>
      </w:r>
      <w:r>
        <w:t>印刷</w:t>
      </w:r>
      <w:r>
        <w:rPr>
          <w:rFonts w:hint="eastAsia"/>
        </w:rPr>
        <w:t>机、</w:t>
      </w:r>
      <w:r>
        <w:t>复合</w:t>
      </w:r>
      <w:r>
        <w:rPr>
          <w:rFonts w:hint="eastAsia"/>
        </w:rPr>
        <w:t>机、</w:t>
      </w:r>
      <w:r>
        <w:t>制</w:t>
      </w:r>
      <w:sdt>
        <w:sdtPr>
          <w:rPr>
            <w:rFonts w:ascii="Cambria Math" w:hAnsi="Cambria Math" w:eastAsia="宋体" w:cs="Times New Roman"/>
            <w:i/>
            <w:kern w:val="2"/>
            <w:sz w:val="24"/>
            <w:szCs w:val="24"/>
            <w:lang w:val="en-US" w:eastAsia="zh-CN" w:bidi="ar-SA"/>
          </w:rPr>
          <w:id w:val="147465051"/>
          <w:placeholder>
            <w:docPart w:val="DefaultPlaceholder_2098659788"/>
          </w:placeholder>
          <w:temporary/>
          <w:showingPlcHdr/>
          <w:equation/>
        </w:sdtPr>
        <w:sdtEndPr>
          <w:rPr>
            <w:rFonts w:ascii="Cambria Math" w:hAnsi="Cambria Math" w:eastAsia="宋体" w:cs="Times New Roman"/>
            <w:i/>
            <w:kern w:val="2"/>
            <w:sz w:val="24"/>
            <w:szCs w:val="24"/>
            <w:lang w:val="en-US" w:eastAsia="zh-CN" w:bidi="ar-SA"/>
          </w:rPr>
        </w:sdtEndPr>
        <w:sdtContent>
          <m:oMath>
            <m:r>
              <m:rPr>
                <m:sty m:val="p"/>
              </m:rPr>
              <w:rPr>
                <w:rFonts w:ascii="Cambria Math" w:hAnsi="Cambria Math"/>
                <w:color w:val="808080"/>
              </w:rPr>
              <m:t>在此处键入公式。</m:t>
            </m:r>
          </m:oMath>
        </w:sdtContent>
      </w:sdt>
      <w:r>
        <w:t>袋</w:t>
      </w:r>
      <w:r>
        <w:rPr>
          <w:rFonts w:hint="eastAsia"/>
        </w:rPr>
        <w:t>机的循环冷却用水</w:t>
      </w:r>
      <w:r>
        <w:t>（间冷</w:t>
      </w:r>
      <w:r>
        <w:rPr>
          <w:rFonts w:hint="eastAsia"/>
        </w:rPr>
        <w:t>敞</w:t>
      </w:r>
      <w:r>
        <w:t>开式循环冷却水系统）</w:t>
      </w:r>
      <w:r>
        <w:rPr>
          <w:rFonts w:hint="eastAsia"/>
        </w:rPr>
        <w:t>，</w:t>
      </w:r>
      <w:r>
        <w:t>进入1个约90m</w:t>
      </w:r>
      <w:r>
        <w:rPr>
          <w:vertAlign w:val="superscript"/>
        </w:rPr>
        <w:t>3</w:t>
      </w:r>
      <w:r>
        <w:t>（规格6m×5m×3m）的</w:t>
      </w:r>
      <w:r>
        <w:rPr>
          <w:rFonts w:hint="eastAsia"/>
        </w:rPr>
        <w:t>地下</w:t>
      </w:r>
      <w:r>
        <w:t>循环水池循环回收利用，共2个循环水泵。本次变更生产效率提升较大，设备负荷增加间接冷却水循环量由原</w:t>
      </w:r>
      <w:r>
        <w:rPr>
          <w:rFonts w:hint="eastAsia"/>
        </w:rPr>
        <w:t>6t/h</w:t>
      </w:r>
      <w:r>
        <w:t>增加至</w:t>
      </w:r>
      <w:r>
        <w:rPr>
          <w:rFonts w:hint="eastAsia"/>
        </w:rPr>
        <w:t>12</w:t>
      </w:r>
      <w:r>
        <w:t>t/h，年工作3</w:t>
      </w:r>
      <w:r>
        <w:rPr>
          <w:rFonts w:hint="eastAsia"/>
        </w:rPr>
        <w:t>4</w:t>
      </w:r>
      <w:r>
        <w:t>0天，平均每天运行时间24小时，</w:t>
      </w:r>
      <w:r>
        <w:rPr>
          <w:rFonts w:hint="eastAsia"/>
        </w:rPr>
        <w:t>本项目无吹散水量，蒸发水量为补充水量，</w:t>
      </w:r>
      <w:r>
        <w:t>根据《</w:t>
      </w:r>
      <w:r>
        <w:rPr>
          <w:rFonts w:hint="eastAsia"/>
        </w:rPr>
        <w:t>水平衡测试通则</w:t>
      </w:r>
      <w:r>
        <w:t>》（GB/T</w:t>
      </w:r>
      <w:r>
        <w:rPr>
          <w:rFonts w:hint="eastAsia"/>
        </w:rPr>
        <w:t>12452</w:t>
      </w:r>
      <w:r>
        <w:t>-20</w:t>
      </w:r>
      <w:r>
        <w:rPr>
          <w:rFonts w:hint="eastAsia"/>
        </w:rPr>
        <w:t>22</w:t>
      </w:r>
      <w:r>
        <w:t>），</w:t>
      </w:r>
      <w:r>
        <w:rPr>
          <w:rFonts w:hint="eastAsia"/>
        </w:rPr>
        <w:t>敞开式循环冷却水系统</w:t>
      </w:r>
      <w:r>
        <w:t>的</w:t>
      </w:r>
      <w:r>
        <w:rPr>
          <w:rFonts w:hint="eastAsia"/>
        </w:rPr>
        <w:t>蒸发</w:t>
      </w:r>
      <w:r>
        <w:t>水量计算公式如下：</w:t>
      </w:r>
    </w:p>
    <w:p w14:paraId="5A4C0731">
      <w:pPr>
        <w:pStyle w:val="11"/>
        <w:tabs>
          <w:tab w:val="left" w:pos="4253"/>
        </w:tabs>
        <w:spacing w:line="170" w:lineRule="auto"/>
        <w:ind w:firstLine="480"/>
        <w:jc w:val="center"/>
        <w:rPr>
          <w:rFonts w:ascii="Times New Roman" w:hAnsi="Times New Roman" w:cs="Times New Roman"/>
          <w:sz w:val="24"/>
          <w:szCs w:val="24"/>
          <w:lang w:val="en-US"/>
        </w:rPr>
      </w:pPr>
      <w:r>
        <w:rPr>
          <w:rFonts w:ascii="Times New Roman" w:hAnsi="Times New Roman" w:cs="Times New Roman"/>
          <w:sz w:val="24"/>
          <w:szCs w:val="24"/>
          <w:lang w:val="en-US"/>
        </w:rPr>
        <w:t>G=R×S×△t</w:t>
      </w:r>
    </w:p>
    <w:p w14:paraId="4564EBE7">
      <w:pPr>
        <w:tabs>
          <w:tab w:val="left" w:pos="2355"/>
        </w:tabs>
        <w:ind w:firstLine="480"/>
      </w:pPr>
      <w:r>
        <w:t>式中：G—蒸发损失水量，单位为立方米每小时(m³/h)</w:t>
      </w:r>
      <w:r>
        <w:rPr>
          <w:rFonts w:hint="eastAsia"/>
        </w:rPr>
        <w:t>；</w:t>
      </w:r>
    </w:p>
    <w:p w14:paraId="76401702">
      <w:pPr>
        <w:tabs>
          <w:tab w:val="left" w:pos="2355"/>
        </w:tabs>
        <w:ind w:firstLine="1200" w:firstLineChars="500"/>
      </w:pPr>
      <w:r>
        <w:t>R——循环冷却水量，单位为立方米每小时(m³/h)</w:t>
      </w:r>
      <w:r>
        <w:rPr>
          <w:rFonts w:hint="eastAsia"/>
        </w:rPr>
        <w:t>；</w:t>
      </w:r>
    </w:p>
    <w:p w14:paraId="0193B176">
      <w:pPr>
        <w:tabs>
          <w:tab w:val="left" w:pos="2355"/>
        </w:tabs>
        <w:ind w:firstLine="1200" w:firstLineChars="500"/>
      </w:pPr>
      <w:r>
        <w:t>S—蒸发损失系数(S的选取参见表C.2)</w:t>
      </w:r>
      <w:r>
        <w:rPr>
          <w:rFonts w:hint="eastAsia"/>
        </w:rPr>
        <w:t>，</w:t>
      </w:r>
      <w:r>
        <w:t>单位为每摄氏度(℃-)</w:t>
      </w:r>
      <w:r>
        <w:rPr>
          <w:rFonts w:hint="eastAsia"/>
        </w:rPr>
        <w:t>，气温为40℃时，S取0.0016；</w:t>
      </w:r>
    </w:p>
    <w:p w14:paraId="49BE0C2D">
      <w:pPr>
        <w:tabs>
          <w:tab w:val="left" w:pos="2355"/>
        </w:tabs>
        <w:ind w:firstLine="1200" w:firstLineChars="500"/>
      </w:pPr>
      <w:r>
        <w:t>△t——冷却水进出水温度差，单位为摄氏度(℃)，本项目△t=</w:t>
      </w:r>
      <w:r>
        <w:rPr>
          <w:rFonts w:hint="eastAsia"/>
        </w:rPr>
        <w:t>2</w:t>
      </w:r>
      <w:r>
        <w:t>5℃。</w:t>
      </w:r>
    </w:p>
    <w:p w14:paraId="3D20EC08">
      <w:pPr>
        <w:tabs>
          <w:tab w:val="left" w:pos="2355"/>
        </w:tabs>
        <w:ind w:firstLine="480"/>
      </w:pPr>
      <w:r>
        <w:t>根据公式计算可知，蒸发补充水量约为</w:t>
      </w:r>
      <w:r>
        <w:rPr>
          <w:rFonts w:hint="eastAsia"/>
        </w:rPr>
        <w:t>0.48</w:t>
      </w:r>
      <w:r>
        <w:t>m</w:t>
      </w:r>
      <w:r>
        <w:rPr>
          <w:vertAlign w:val="superscript"/>
        </w:rPr>
        <w:t>3</w:t>
      </w:r>
      <w:r>
        <w:t>/h（约</w:t>
      </w:r>
      <w:r>
        <w:rPr>
          <w:rFonts w:hint="eastAsia"/>
        </w:rPr>
        <w:t>3916.8</w:t>
      </w:r>
      <w:r>
        <w:t>m</w:t>
      </w:r>
      <w:r>
        <w:rPr>
          <w:vertAlign w:val="superscript"/>
        </w:rPr>
        <w:t>3</w:t>
      </w:r>
      <w:r>
        <w:t>/a）。冷却水用于设备的冷却，不接触原辅材料及产品，没有添加任何药剂处理</w:t>
      </w:r>
      <w:r>
        <w:rPr>
          <w:rFonts w:hint="eastAsia"/>
        </w:rPr>
        <w:t>；</w:t>
      </w:r>
      <w:r>
        <w:t>冷却水可经冷却后循环使用，定期补充损耗用水，不外排。</w:t>
      </w:r>
    </w:p>
    <w:p w14:paraId="4B3D3CCD">
      <w:pPr>
        <w:pStyle w:val="38"/>
        <w:ind w:firstLine="480"/>
        <w:rPr>
          <w:rFonts w:ascii="Times New Roman" w:hAnsi="Times New Roman" w:eastAsia="宋体" w:cs="Times New Roman"/>
        </w:rPr>
      </w:pPr>
      <w:r>
        <w:rPr>
          <w:rFonts w:ascii="Times New Roman" w:hAnsi="Times New Roman" w:eastAsia="宋体" w:cs="Times New Roman"/>
        </w:rPr>
        <w:t>②</w:t>
      </w:r>
      <w:r>
        <w:rPr>
          <w:rFonts w:ascii="Times New Roman" w:hAnsi="Times New Roman" w:eastAsia="宋体" w:cs="Times New Roman"/>
          <w:color w:val="auto"/>
        </w:rPr>
        <w:t>环保措施冷却用水，共3个</w:t>
      </w:r>
      <w:r>
        <w:rPr>
          <w:rFonts w:hint="eastAsia" w:ascii="Times New Roman" w:hAnsi="Times New Roman" w:eastAsia="宋体" w:cs="Times New Roman"/>
          <w:color w:val="auto"/>
        </w:rPr>
        <w:t>闭式冷却水塔</w:t>
      </w:r>
      <w:r>
        <w:rPr>
          <w:rFonts w:ascii="Times New Roman" w:hAnsi="Times New Roman" w:eastAsia="宋体" w:cs="Times New Roman"/>
          <w:color w:val="auto"/>
        </w:rPr>
        <w:t>，间接冷却水循环量分别为150t/h、200t/h、300t/h，根据《工业循环冷却水处理设计规范》（GB/T50050-2017）闭式系统的补充水量不宜大于循环水量的1.0‰</w:t>
      </w:r>
      <w:r>
        <w:rPr>
          <w:rFonts w:hint="eastAsia" w:ascii="Times New Roman" w:hAnsi="Times New Roman" w:eastAsia="宋体" w:cs="Times New Roman"/>
          <w:color w:val="auto"/>
        </w:rPr>
        <w:t>，结合设计方案本项目</w:t>
      </w:r>
      <w:r>
        <w:rPr>
          <w:rFonts w:ascii="Times New Roman" w:hAnsi="Times New Roman" w:eastAsia="宋体" w:cs="Times New Roman"/>
          <w:color w:val="auto"/>
        </w:rPr>
        <w:t>损耗量按循环水量的1.0‰计，年工作3</w:t>
      </w:r>
      <w:r>
        <w:rPr>
          <w:rFonts w:hint="eastAsia" w:ascii="Times New Roman" w:hAnsi="Times New Roman" w:eastAsia="宋体" w:cs="Times New Roman"/>
          <w:color w:val="auto"/>
        </w:rPr>
        <w:t>40</w:t>
      </w:r>
      <w:r>
        <w:rPr>
          <w:rFonts w:ascii="Times New Roman" w:hAnsi="Times New Roman" w:eastAsia="宋体" w:cs="Times New Roman"/>
          <w:color w:val="auto"/>
        </w:rPr>
        <w:t>天，平均每天运行时间24小时，则新鲜补充水量为</w:t>
      </w:r>
      <w:r>
        <w:rPr>
          <w:rFonts w:hint="eastAsia" w:ascii="Times New Roman" w:hAnsi="Times New Roman" w:eastAsia="宋体" w:cs="Times New Roman"/>
          <w:color w:val="auto"/>
        </w:rPr>
        <w:t>5304</w:t>
      </w:r>
      <w:r>
        <w:rPr>
          <w:rFonts w:ascii="Times New Roman" w:hAnsi="Times New Roman" w:eastAsia="宋体" w:cs="Times New Roman"/>
          <w:color w:val="auto"/>
        </w:rPr>
        <w:t>t/a（</w:t>
      </w:r>
      <w:r>
        <w:rPr>
          <w:rFonts w:hint="eastAsia" w:ascii="Times New Roman" w:hAnsi="Times New Roman" w:eastAsia="宋体" w:cs="Times New Roman"/>
          <w:color w:val="auto"/>
        </w:rPr>
        <w:t>0.65</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/h）；冷却塔用水用于设备的冷却，不接触原辅材料及产品，没有添加任何药剂处理；冷却塔用水可经冷却后循环使用，定期补充损耗用水，不外排。</w:t>
      </w:r>
    </w:p>
    <w:p w14:paraId="5CC07D6D">
      <w:pPr>
        <w:pStyle w:val="5"/>
        <w:numPr>
          <w:ilvl w:val="3"/>
          <w:numId w:val="0"/>
        </w:numPr>
        <w:ind w:left="1134" w:leftChars="0" w:hanging="1134" w:firstLineChars="0"/>
      </w:pPr>
      <w:r>
        <w:rPr>
          <w:rFonts w:hint="default" w:ascii="宋体" w:hAnsi="宋体" w:eastAsia="宋体" w:cs="宋体"/>
          <w:b/>
          <w:bCs/>
          <w:kern w:val="2"/>
          <w:sz w:val="24"/>
          <w:szCs w:val="24"/>
          <w:lang w:val="en-US" w:eastAsia="zh-CN" w:bidi="ar-SA"/>
        </w:rPr>
        <w:t>4.1.7.2</w:t>
      </w:r>
      <w:r>
        <w:rPr>
          <w:rFonts w:hint="eastAsia"/>
        </w:rPr>
        <w:t>排水</w:t>
      </w:r>
    </w:p>
    <w:p w14:paraId="1FE08786">
      <w:pPr>
        <w:pStyle w:val="38"/>
        <w:ind w:firstLine="480"/>
        <w:rPr>
          <w:color w:val="auto"/>
        </w:rPr>
      </w:pPr>
      <w:r>
        <w:rPr>
          <w:rFonts w:hint="eastAsia"/>
          <w:color w:val="auto"/>
        </w:rPr>
        <w:t>厂区排水采用雨、污分流制，厂区雨水经厂区雨水管就近排入厂区周围市政道路雨水管网内。循环冷却水循环使用不外排。企业生活污水经厂区隔油池、化粪池处理达到《污水综合排放标准》（</w:t>
      </w:r>
      <w:r>
        <w:rPr>
          <w:rFonts w:ascii="Times New Roman" w:hAnsi="Times New Roman" w:cs="Times New Roman"/>
          <w:color w:val="auto"/>
        </w:rPr>
        <w:t>GB8978-1996</w:t>
      </w:r>
      <w:r>
        <w:rPr>
          <w:rFonts w:hint="eastAsia"/>
          <w:color w:val="auto"/>
        </w:rPr>
        <w:t>）表4中的三级标准后排入市政污水管道，随后排至湘潭县顺业污水处理有限公司污水处理厂，经污水处理厂深度处理达标后排入湘江。</w:t>
      </w:r>
    </w:p>
    <w:p w14:paraId="159E4A08">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4.1.7.3</w:t>
      </w:r>
      <w:r>
        <w:rPr>
          <w:rFonts w:hint="eastAsia"/>
        </w:rPr>
        <w:t>供电</w:t>
      </w:r>
    </w:p>
    <w:p w14:paraId="009FFDFA">
      <w:pPr>
        <w:pStyle w:val="40"/>
        <w:ind w:firstLine="480"/>
        <w:rPr>
          <w:rFonts w:ascii="Times New Roman"/>
        </w:rPr>
      </w:pPr>
      <w:r>
        <w:rPr>
          <w:rFonts w:ascii="Times New Roman"/>
        </w:rPr>
        <w:t>项目用电量约</w:t>
      </w:r>
      <w:r>
        <w:rPr>
          <w:rFonts w:hint="eastAsia" w:ascii="Times New Roman"/>
        </w:rPr>
        <w:t>787万</w:t>
      </w:r>
      <w:r>
        <w:rPr>
          <w:rFonts w:ascii="Times New Roman"/>
        </w:rPr>
        <w:t>KW·h，项目供电由湘潭市政电网统一供给，可满足项目厂区及本项目生产线使用。</w:t>
      </w:r>
    </w:p>
    <w:p w14:paraId="7B7FC31A">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4.1.7.4</w:t>
      </w:r>
      <w:r>
        <w:rPr>
          <w:rFonts w:hint="eastAsia"/>
        </w:rPr>
        <w:t>供天然气</w:t>
      </w:r>
    </w:p>
    <w:p w14:paraId="06218741">
      <w:pPr>
        <w:pStyle w:val="40"/>
        <w:ind w:firstLine="480"/>
        <w:rPr>
          <w:rFonts w:ascii="Times New Roman"/>
        </w:rPr>
      </w:pPr>
      <w:r>
        <w:rPr>
          <w:rFonts w:ascii="Times New Roman"/>
        </w:rPr>
        <w:t>本项目导热油锅炉和烘干、熟化均使用天然气为燃料，由于生产效率增加，变更后消耗量由原</w:t>
      </w:r>
      <w:r>
        <w:rPr>
          <w:rFonts w:hint="eastAsia" w:ascii="Times New Roman"/>
        </w:rPr>
        <w:t>7</w:t>
      </w:r>
      <w:r>
        <w:rPr>
          <w:rFonts w:ascii="Times New Roman"/>
        </w:rPr>
        <w:t>6万m</w:t>
      </w:r>
      <w:r>
        <w:rPr>
          <w:rFonts w:ascii="Times New Roman"/>
          <w:vertAlign w:val="superscript"/>
        </w:rPr>
        <w:t>3</w:t>
      </w:r>
      <w:r>
        <w:rPr>
          <w:rFonts w:ascii="Times New Roman"/>
        </w:rPr>
        <w:t>/a增加至</w:t>
      </w:r>
      <w:r>
        <w:rPr>
          <w:rFonts w:hint="eastAsia" w:ascii="Times New Roman"/>
        </w:rPr>
        <w:t>150</w:t>
      </w:r>
      <w:r>
        <w:rPr>
          <w:rFonts w:ascii="Times New Roman"/>
        </w:rPr>
        <w:t>m</w:t>
      </w:r>
      <w:r>
        <w:rPr>
          <w:rFonts w:ascii="Times New Roman"/>
          <w:vertAlign w:val="superscript"/>
        </w:rPr>
        <w:t>3</w:t>
      </w:r>
      <w:r>
        <w:rPr>
          <w:rFonts w:ascii="Times New Roman"/>
        </w:rPr>
        <w:t>/a</w:t>
      </w:r>
      <w:r>
        <w:rPr>
          <w:rFonts w:hint="eastAsia" w:ascii="Times New Roman"/>
        </w:rPr>
        <w:t>。</w:t>
      </w:r>
      <w:r>
        <w:rPr>
          <w:rFonts w:ascii="Times New Roman"/>
        </w:rPr>
        <w:t>天然气由湘潭新奥燃气公司通过管道供应。</w:t>
      </w:r>
    </w:p>
    <w:p w14:paraId="42C58F20">
      <w:pPr>
        <w:pStyle w:val="4"/>
        <w:numPr>
          <w:ilvl w:val="2"/>
          <w:numId w:val="0"/>
        </w:numPr>
        <w:ind w:left="992" w:leftChars="0" w:hanging="992" w:firstLineChars="0"/>
        <w:rPr>
          <w:u w:val="single"/>
        </w:rPr>
      </w:pPr>
      <w:r>
        <w:rPr>
          <w:rFonts w:hint="default" w:ascii="宋体" w:hAnsi="宋体" w:eastAsia="宋体" w:cs="宋体"/>
          <w:b/>
          <w:bCs/>
          <w:kern w:val="2"/>
          <w:sz w:val="24"/>
          <w:szCs w:val="24"/>
          <w:u w:val="single"/>
          <w:lang w:val="en-US" w:eastAsia="zh-CN" w:bidi="ar-SA"/>
        </w:rPr>
        <w:t>4.1.8</w:t>
      </w:r>
      <w:r>
        <w:rPr>
          <w:rFonts w:hint="eastAsia"/>
          <w:u w:val="single"/>
        </w:rPr>
        <w:t>现存在的问题及整改措施</w:t>
      </w:r>
    </w:p>
    <w:p w14:paraId="445049FB">
      <w:pPr>
        <w:ind w:firstLine="480"/>
        <w:rPr>
          <w:u w:val="single"/>
        </w:rPr>
      </w:pPr>
      <w:r>
        <w:rPr>
          <w:rFonts w:hint="eastAsia"/>
          <w:u w:val="single"/>
        </w:rPr>
        <w:t>根据在建工程“年产15000吨印刷品改扩建项目”环境影响评价中提出的现有环境问题整改清单及本次变更评价的现场踏勘情况，在建工程中提出的各类现存环境问题，都已采取了相应整改措施，详细如下：</w:t>
      </w:r>
    </w:p>
    <w:p w14:paraId="660EBB78">
      <w:pPr>
        <w:pStyle w:val="51"/>
        <w:numPr>
          <w:ilvl w:val="5"/>
          <w:numId w:val="0"/>
        </w:numPr>
        <w:spacing w:before="0" w:beforeLines="0" w:line="360" w:lineRule="auto"/>
        <w:ind w:left="305" w:leftChars="0" w:hanging="3260" w:firstLineChars="0"/>
        <w:rPr>
          <w:u w:val="single"/>
        </w:rPr>
      </w:pP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表4.1-9 </w:t>
      </w:r>
      <w:r>
        <w:rPr>
          <w:rFonts w:hint="eastAsia"/>
          <w:u w:val="single"/>
        </w:rPr>
        <w:t xml:space="preserve"> 已建工程存在的问题及以新带老整改措施</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2044"/>
        <w:gridCol w:w="882"/>
        <w:gridCol w:w="3329"/>
        <w:gridCol w:w="1610"/>
      </w:tblGrid>
      <w:tr w14:paraId="1AD857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tcBorders>
              <w:tl2br w:val="nil"/>
              <w:tr2bl w:val="nil"/>
            </w:tcBorders>
            <w:vAlign w:val="center"/>
          </w:tcPr>
          <w:p w14:paraId="58A9447E">
            <w:pPr>
              <w:spacing w:line="240" w:lineRule="auto"/>
              <w:jc w:val="center"/>
              <w:rPr>
                <w:sz w:val="21"/>
                <w:szCs w:val="21"/>
                <w:u w:val="single"/>
              </w:rPr>
            </w:pPr>
            <w:r>
              <w:rPr>
                <w:rFonts w:hint="eastAsia"/>
                <w:sz w:val="21"/>
                <w:szCs w:val="21"/>
                <w:u w:val="single"/>
              </w:rPr>
              <w:t>序号</w:t>
            </w:r>
          </w:p>
        </w:tc>
        <w:tc>
          <w:tcPr>
            <w:tcW w:w="2044" w:type="dxa"/>
            <w:tcBorders>
              <w:tl2br w:val="nil"/>
              <w:tr2bl w:val="nil"/>
            </w:tcBorders>
            <w:vAlign w:val="center"/>
          </w:tcPr>
          <w:p w14:paraId="5C628848">
            <w:pPr>
              <w:spacing w:line="240" w:lineRule="auto"/>
              <w:jc w:val="center"/>
              <w:rPr>
                <w:sz w:val="21"/>
                <w:szCs w:val="21"/>
                <w:u w:val="single"/>
              </w:rPr>
            </w:pPr>
            <w:r>
              <w:rPr>
                <w:sz w:val="21"/>
                <w:szCs w:val="21"/>
                <w:u w:val="single"/>
              </w:rPr>
              <w:t>存在的问题</w:t>
            </w:r>
          </w:p>
        </w:tc>
        <w:tc>
          <w:tcPr>
            <w:tcW w:w="4211" w:type="dxa"/>
            <w:gridSpan w:val="2"/>
            <w:tcBorders>
              <w:tl2br w:val="nil"/>
              <w:tr2bl w:val="nil"/>
            </w:tcBorders>
            <w:vAlign w:val="center"/>
          </w:tcPr>
          <w:p w14:paraId="3B8A3F3D">
            <w:pPr>
              <w:spacing w:line="240" w:lineRule="auto"/>
              <w:jc w:val="center"/>
              <w:rPr>
                <w:sz w:val="21"/>
                <w:szCs w:val="21"/>
                <w:u w:val="single"/>
              </w:rPr>
            </w:pPr>
            <w:r>
              <w:rPr>
                <w:sz w:val="21"/>
                <w:szCs w:val="21"/>
                <w:u w:val="single"/>
              </w:rPr>
              <w:t>在建工程已采取的</w:t>
            </w:r>
            <w:r>
              <w:rPr>
                <w:rFonts w:asciiTheme="minorEastAsia" w:hAnsiTheme="minorEastAsia" w:eastAsiaTheme="minorEastAsia"/>
                <w:sz w:val="21"/>
                <w:szCs w:val="21"/>
                <w:u w:val="single"/>
              </w:rPr>
              <w:t>“以新带老”</w:t>
            </w:r>
            <w:r>
              <w:rPr>
                <w:sz w:val="21"/>
                <w:szCs w:val="21"/>
                <w:u w:val="single"/>
              </w:rPr>
              <w:t>整改措施</w:t>
            </w:r>
          </w:p>
        </w:tc>
        <w:tc>
          <w:tcPr>
            <w:tcW w:w="1610" w:type="dxa"/>
            <w:tcBorders>
              <w:tl2br w:val="nil"/>
              <w:tr2bl w:val="nil"/>
            </w:tcBorders>
            <w:vAlign w:val="center"/>
          </w:tcPr>
          <w:p w14:paraId="12822D95">
            <w:pPr>
              <w:spacing w:line="240" w:lineRule="auto"/>
              <w:jc w:val="center"/>
              <w:rPr>
                <w:sz w:val="21"/>
                <w:szCs w:val="21"/>
                <w:u w:val="single"/>
              </w:rPr>
            </w:pPr>
            <w:r>
              <w:rPr>
                <w:sz w:val="21"/>
                <w:szCs w:val="21"/>
                <w:u w:val="single"/>
              </w:rPr>
              <w:t>落实情况</w:t>
            </w:r>
          </w:p>
        </w:tc>
      </w:tr>
      <w:tr w14:paraId="3B9FCA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7" w:type="dxa"/>
            <w:tcBorders>
              <w:tl2br w:val="nil"/>
              <w:tr2bl w:val="nil"/>
            </w:tcBorders>
            <w:vAlign w:val="center"/>
          </w:tcPr>
          <w:p w14:paraId="2E0F31D8">
            <w:pPr>
              <w:spacing w:line="240" w:lineRule="auto"/>
              <w:jc w:val="center"/>
              <w:rPr>
                <w:sz w:val="21"/>
                <w:szCs w:val="21"/>
                <w:u w:val="single"/>
              </w:rPr>
            </w:pPr>
            <w:r>
              <w:rPr>
                <w:rFonts w:hint="eastAsia"/>
                <w:sz w:val="21"/>
                <w:szCs w:val="21"/>
                <w:u w:val="single"/>
              </w:rPr>
              <w:t>1</w:t>
            </w:r>
          </w:p>
        </w:tc>
        <w:tc>
          <w:tcPr>
            <w:tcW w:w="2044" w:type="dxa"/>
            <w:tcBorders>
              <w:tl2br w:val="nil"/>
              <w:tr2bl w:val="nil"/>
            </w:tcBorders>
            <w:vAlign w:val="center"/>
          </w:tcPr>
          <w:p w14:paraId="184B5B72">
            <w:pPr>
              <w:spacing w:line="240" w:lineRule="auto"/>
              <w:jc w:val="center"/>
              <w:rPr>
                <w:sz w:val="21"/>
                <w:szCs w:val="21"/>
                <w:u w:val="single"/>
              </w:rPr>
            </w:pPr>
            <w:r>
              <w:rPr>
                <w:rFonts w:hint="eastAsia"/>
                <w:sz w:val="21"/>
                <w:szCs w:val="21"/>
                <w:u w:val="single"/>
              </w:rPr>
              <w:t>油墨、黏胶剂、溶剂等含挥发性有机物的原辅材料在因管理疏忽，在部分工位使用过程中未及时保持密闭</w:t>
            </w:r>
          </w:p>
        </w:tc>
        <w:tc>
          <w:tcPr>
            <w:tcW w:w="4211" w:type="dxa"/>
            <w:gridSpan w:val="2"/>
            <w:tcBorders>
              <w:tl2br w:val="nil"/>
              <w:tr2bl w:val="nil"/>
            </w:tcBorders>
            <w:vAlign w:val="center"/>
          </w:tcPr>
          <w:p w14:paraId="1B30710D">
            <w:pPr>
              <w:spacing w:line="240" w:lineRule="auto"/>
              <w:jc w:val="center"/>
              <w:rPr>
                <w:sz w:val="21"/>
                <w:szCs w:val="21"/>
                <w:u w:val="single"/>
              </w:rPr>
            </w:pPr>
            <w:r>
              <w:rPr>
                <w:rFonts w:hint="eastAsia"/>
                <w:sz w:val="21"/>
                <w:szCs w:val="21"/>
                <w:u w:val="single"/>
              </w:rPr>
              <w:t>加强员工管理，油墨、黏胶剂、溶剂等含挥发性有机物的原辅材料在使用过程中随取随开，用后应及时密闭，以减少挥发。建立长效管理机制</w:t>
            </w:r>
          </w:p>
        </w:tc>
        <w:tc>
          <w:tcPr>
            <w:tcW w:w="1610" w:type="dxa"/>
            <w:tcBorders>
              <w:tl2br w:val="nil"/>
              <w:tr2bl w:val="nil"/>
            </w:tcBorders>
            <w:vAlign w:val="center"/>
          </w:tcPr>
          <w:p w14:paraId="1EEDD651">
            <w:pPr>
              <w:spacing w:line="240" w:lineRule="auto"/>
              <w:jc w:val="center"/>
              <w:rPr>
                <w:sz w:val="21"/>
                <w:szCs w:val="21"/>
                <w:u w:val="single"/>
              </w:rPr>
            </w:pPr>
            <w:r>
              <w:rPr>
                <w:rFonts w:hint="eastAsia"/>
                <w:sz w:val="21"/>
                <w:szCs w:val="21"/>
                <w:u w:val="single"/>
              </w:rPr>
              <w:t>已落实。强化了员工培训，并在相应工区张贴了规章制度、注意事项等</w:t>
            </w:r>
          </w:p>
        </w:tc>
      </w:tr>
      <w:tr w14:paraId="072581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73" w:hRule="atLeast"/>
          <w:jc w:val="center"/>
        </w:trPr>
        <w:tc>
          <w:tcPr>
            <w:tcW w:w="657" w:type="dxa"/>
            <w:tcBorders>
              <w:tl2br w:val="nil"/>
              <w:tr2bl w:val="nil"/>
            </w:tcBorders>
            <w:vAlign w:val="center"/>
          </w:tcPr>
          <w:p w14:paraId="27D9267C">
            <w:pPr>
              <w:spacing w:line="240" w:lineRule="auto"/>
              <w:jc w:val="center"/>
              <w:rPr>
                <w:sz w:val="21"/>
                <w:szCs w:val="21"/>
                <w:u w:val="single"/>
              </w:rPr>
            </w:pPr>
            <w:r>
              <w:rPr>
                <w:rFonts w:hint="eastAsia"/>
                <w:sz w:val="21"/>
                <w:szCs w:val="21"/>
                <w:u w:val="single"/>
              </w:rPr>
              <w:t>2</w:t>
            </w:r>
          </w:p>
        </w:tc>
        <w:tc>
          <w:tcPr>
            <w:tcW w:w="2044" w:type="dxa"/>
            <w:tcBorders>
              <w:tl2br w:val="nil"/>
              <w:tr2bl w:val="nil"/>
            </w:tcBorders>
            <w:vAlign w:val="center"/>
          </w:tcPr>
          <w:p w14:paraId="7E38D579">
            <w:pPr>
              <w:spacing w:line="240" w:lineRule="auto"/>
              <w:jc w:val="left"/>
              <w:rPr>
                <w:sz w:val="21"/>
                <w:szCs w:val="21"/>
                <w:u w:val="single"/>
              </w:rPr>
            </w:pPr>
            <w:r>
              <w:rPr>
                <w:rFonts w:hint="eastAsia"/>
                <w:sz w:val="21"/>
                <w:szCs w:val="21"/>
                <w:u w:val="single"/>
              </w:rPr>
              <w:t>催化氧化的双通路对燃烧的废气浓度有一定的要求，增大风量就会降低收集到的气体的浓度，从而影响其处理效率，甚至无法正常燃烧，完全靠天然气助燃，所以为保证VOCs的正常燃烧要么就需要补充天然气助燃，要么就减小车间印刷机和复合机的排风量确保排风浓度，由于抽风量不足，导致车间内部空气中VOCs浓度较高</w:t>
            </w:r>
          </w:p>
        </w:tc>
        <w:tc>
          <w:tcPr>
            <w:tcW w:w="4211" w:type="dxa"/>
            <w:gridSpan w:val="2"/>
            <w:tcBorders>
              <w:tl2br w:val="nil"/>
              <w:tr2bl w:val="nil"/>
            </w:tcBorders>
            <w:vAlign w:val="center"/>
          </w:tcPr>
          <w:p w14:paraId="5D5092B3">
            <w:pPr>
              <w:spacing w:line="240" w:lineRule="auto"/>
              <w:jc w:val="center"/>
              <w:rPr>
                <w:sz w:val="21"/>
                <w:szCs w:val="21"/>
                <w:u w:val="single"/>
              </w:rPr>
            </w:pPr>
            <w:r>
              <w:rPr>
                <w:rFonts w:hint="eastAsia"/>
                <w:sz w:val="21"/>
                <w:szCs w:val="21"/>
                <w:u w:val="single"/>
              </w:rPr>
              <w:t>原采用“（2+1）三通路（催化氧化双通路、碱液喷淋）处理凹印有机废气的节能减排系统”，根据《VOCs综合整治“一企一方案”验收监测报告》由于1#处理设施监测的进口浓度为经过一次高温催化氧化后回流至烘箱中的混合废气，因此整个处理设施的进口浓度监测偏低，无法准确计算1#处理设施的处理效率，且高浓度废气排风量仅2000m</w:t>
            </w:r>
            <w:r>
              <w:rPr>
                <w:rFonts w:hint="eastAsia"/>
                <w:sz w:val="21"/>
                <w:szCs w:val="21"/>
                <w:u w:val="single"/>
                <w:vertAlign w:val="superscript"/>
              </w:rPr>
              <w:t>3</w:t>
            </w:r>
            <w:r>
              <w:rPr>
                <w:rFonts w:hint="eastAsia"/>
                <w:sz w:val="21"/>
                <w:szCs w:val="21"/>
                <w:u w:val="single"/>
              </w:rPr>
              <w:t>/h，收集效率不高。随着国家对挥发性有机物VOCs的治理力度不断加强，以及《印刷工业污染防治可行技术指南》（HJ1089-2020）、《包装印刷业有机废气治理工程技术规范（征求意见稿）》等规范文件出台，明确了“活性炭吸附+热氮气再生+冷凝回收”该技术适用于凹版印刷及干式复合工艺废气的治理。将废气降温至VOCs露点以下，使VOCs凝结为液态，并与废气分离，简称冷凝技术。采用该技术能够产生经济效益，溶剂使用量越大，经济效益越明显。因此，本次“以新带老”对现有工程废气治理设施进行提质改造，淘汰原废气处理设施，新建1套“吸附浓缩+溶剂回收+20.5m排气筒”废气处理方案，该环保系统由活性炭吸附、沸石转轮浓缩、冷凝回收、溶剂提纯组成。排气筒进风量228800m</w:t>
            </w:r>
            <w:r>
              <w:rPr>
                <w:rFonts w:hint="eastAsia"/>
                <w:sz w:val="21"/>
                <w:szCs w:val="21"/>
                <w:u w:val="single"/>
                <w:vertAlign w:val="superscript"/>
              </w:rPr>
              <w:t>3</w:t>
            </w:r>
            <w:r>
              <w:rPr>
                <w:rFonts w:hint="eastAsia"/>
                <w:sz w:val="21"/>
                <w:szCs w:val="21"/>
                <w:u w:val="single"/>
              </w:rPr>
              <w:t>/h（印刷、干式复合车间219000m</w:t>
            </w:r>
            <w:r>
              <w:rPr>
                <w:rFonts w:hint="eastAsia"/>
                <w:sz w:val="21"/>
                <w:szCs w:val="21"/>
                <w:u w:val="single"/>
                <w:vertAlign w:val="superscript"/>
              </w:rPr>
              <w:t>3</w:t>
            </w:r>
            <w:r>
              <w:rPr>
                <w:rFonts w:hint="eastAsia"/>
                <w:sz w:val="21"/>
                <w:szCs w:val="21"/>
                <w:u w:val="single"/>
              </w:rPr>
              <w:t>/h+8000m</w:t>
            </w:r>
            <w:r>
              <w:rPr>
                <w:rFonts w:hint="eastAsia"/>
                <w:sz w:val="21"/>
                <w:szCs w:val="21"/>
                <w:u w:val="single"/>
                <w:vertAlign w:val="superscript"/>
              </w:rPr>
              <w:t>3</w:t>
            </w:r>
            <w:r>
              <w:rPr>
                <w:rFonts w:hint="eastAsia"/>
                <w:sz w:val="21"/>
                <w:szCs w:val="21"/>
                <w:u w:val="single"/>
              </w:rPr>
              <w:t>/h（危废车间）+1800m</w:t>
            </w:r>
            <w:r>
              <w:rPr>
                <w:rFonts w:hint="eastAsia"/>
                <w:sz w:val="21"/>
                <w:szCs w:val="21"/>
                <w:u w:val="single"/>
                <w:vertAlign w:val="superscript"/>
              </w:rPr>
              <w:t>3</w:t>
            </w:r>
            <w:r>
              <w:rPr>
                <w:rFonts w:hint="eastAsia"/>
                <w:sz w:val="21"/>
                <w:szCs w:val="21"/>
                <w:u w:val="single"/>
              </w:rPr>
              <w:t>/h（调墨间、调胶间）），其中排风风量为134800m</w:t>
            </w:r>
            <w:r>
              <w:rPr>
                <w:rFonts w:hint="eastAsia"/>
                <w:sz w:val="21"/>
                <w:szCs w:val="21"/>
                <w:u w:val="single"/>
                <w:vertAlign w:val="superscript"/>
              </w:rPr>
              <w:t>3</w:t>
            </w:r>
            <w:r>
              <w:rPr>
                <w:rFonts w:hint="eastAsia"/>
                <w:sz w:val="21"/>
                <w:szCs w:val="21"/>
                <w:u w:val="single"/>
              </w:rPr>
              <w:t>/h，循环回用烘干风量94000m</w:t>
            </w:r>
            <w:r>
              <w:rPr>
                <w:rFonts w:hint="eastAsia"/>
                <w:sz w:val="21"/>
                <w:szCs w:val="21"/>
                <w:u w:val="single"/>
                <w:vertAlign w:val="superscript"/>
              </w:rPr>
              <w:t>3</w:t>
            </w:r>
            <w:r>
              <w:rPr>
                <w:rFonts w:hint="eastAsia"/>
                <w:sz w:val="21"/>
                <w:szCs w:val="21"/>
                <w:u w:val="single"/>
              </w:rPr>
              <w:t>/h，该套环保措施更有利于有机废气VOCs的稳定达标处理，同时实现有机废气冷凝后提纯，溶剂回用于生产，大幅度减少企业生产费用，做到低碳生产</w:t>
            </w:r>
          </w:p>
        </w:tc>
        <w:tc>
          <w:tcPr>
            <w:tcW w:w="1610" w:type="dxa"/>
            <w:tcBorders>
              <w:tl2br w:val="nil"/>
              <w:tr2bl w:val="nil"/>
            </w:tcBorders>
            <w:vAlign w:val="center"/>
          </w:tcPr>
          <w:p w14:paraId="0290A1B4">
            <w:pPr>
              <w:spacing w:line="240" w:lineRule="auto"/>
              <w:jc w:val="center"/>
              <w:rPr>
                <w:sz w:val="21"/>
                <w:szCs w:val="21"/>
                <w:u w:val="single"/>
              </w:rPr>
            </w:pPr>
            <w:r>
              <w:rPr>
                <w:rFonts w:hint="eastAsia"/>
                <w:sz w:val="21"/>
                <w:szCs w:val="21"/>
                <w:u w:val="single"/>
              </w:rPr>
              <w:t>已落实。</w:t>
            </w:r>
          </w:p>
          <w:p w14:paraId="2F6838A4">
            <w:pPr>
              <w:spacing w:line="240" w:lineRule="auto"/>
              <w:jc w:val="center"/>
              <w:rPr>
                <w:sz w:val="21"/>
                <w:szCs w:val="21"/>
                <w:u w:val="single"/>
              </w:rPr>
            </w:pPr>
            <w:r>
              <w:rPr>
                <w:rFonts w:hint="eastAsia"/>
                <w:sz w:val="21"/>
                <w:szCs w:val="21"/>
                <w:u w:val="single"/>
              </w:rPr>
              <w:t>1、目前在建工程已完成全了厂废气处理设施的更新换代改造，新建了1套“吸附浓缩+溶剂回收+20.5m排气筒”处理系统；</w:t>
            </w:r>
          </w:p>
          <w:p w14:paraId="5425BF3F">
            <w:pPr>
              <w:spacing w:line="240" w:lineRule="auto"/>
              <w:jc w:val="center"/>
              <w:rPr>
                <w:sz w:val="21"/>
                <w:szCs w:val="21"/>
                <w:u w:val="single"/>
              </w:rPr>
            </w:pPr>
            <w:r>
              <w:rPr>
                <w:rFonts w:hint="eastAsia"/>
                <w:sz w:val="21"/>
                <w:szCs w:val="21"/>
                <w:u w:val="single"/>
              </w:rPr>
              <w:t>2、本次变更增加了产能，取消了循环风。</w:t>
            </w:r>
          </w:p>
          <w:p w14:paraId="6F79CFA3">
            <w:pPr>
              <w:spacing w:line="240" w:lineRule="auto"/>
              <w:jc w:val="center"/>
              <w:rPr>
                <w:sz w:val="21"/>
                <w:szCs w:val="21"/>
                <w:u w:val="single"/>
              </w:rPr>
            </w:pPr>
            <w:r>
              <w:rPr>
                <w:rFonts w:hint="eastAsia"/>
                <w:sz w:val="21"/>
                <w:szCs w:val="21"/>
                <w:u w:val="single"/>
              </w:rPr>
              <w:t>3、原有环保设施部分拆除改造，部分保留作为应急设施。</w:t>
            </w:r>
          </w:p>
        </w:tc>
      </w:tr>
      <w:tr w14:paraId="12B01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restart"/>
            <w:tcBorders>
              <w:tl2br w:val="nil"/>
              <w:tr2bl w:val="nil"/>
            </w:tcBorders>
            <w:vAlign w:val="center"/>
          </w:tcPr>
          <w:p w14:paraId="3ACD9078">
            <w:pPr>
              <w:spacing w:line="240" w:lineRule="auto"/>
              <w:jc w:val="center"/>
              <w:rPr>
                <w:sz w:val="21"/>
                <w:szCs w:val="21"/>
                <w:u w:val="single"/>
              </w:rPr>
            </w:pPr>
            <w:r>
              <w:rPr>
                <w:rFonts w:hint="eastAsia"/>
                <w:sz w:val="21"/>
                <w:szCs w:val="21"/>
                <w:u w:val="single"/>
              </w:rPr>
              <w:t>3</w:t>
            </w:r>
          </w:p>
        </w:tc>
        <w:tc>
          <w:tcPr>
            <w:tcW w:w="2044" w:type="dxa"/>
            <w:vMerge w:val="restart"/>
            <w:tcBorders>
              <w:tl2br w:val="nil"/>
              <w:tr2bl w:val="nil"/>
            </w:tcBorders>
            <w:vAlign w:val="center"/>
          </w:tcPr>
          <w:p w14:paraId="31472B9B">
            <w:pPr>
              <w:spacing w:line="240" w:lineRule="auto"/>
              <w:jc w:val="left"/>
              <w:rPr>
                <w:sz w:val="21"/>
                <w:szCs w:val="21"/>
                <w:u w:val="single"/>
              </w:rPr>
            </w:pPr>
            <w:r>
              <w:rPr>
                <w:rFonts w:hint="eastAsia"/>
                <w:sz w:val="21"/>
                <w:szCs w:val="21"/>
                <w:u w:val="single"/>
              </w:rPr>
              <w:t>生产厂房全封闭运营，但是微负压效果不佳，大部分采用的为开放式区域，未对VOCs扩散区做单独围屏处理，造成收集面积过大，生产车间内VOCs收集效果不佳，车间异味明显。</w:t>
            </w:r>
          </w:p>
        </w:tc>
        <w:tc>
          <w:tcPr>
            <w:tcW w:w="882" w:type="dxa"/>
            <w:vMerge w:val="restart"/>
            <w:tcBorders>
              <w:tl2br w:val="nil"/>
              <w:tr2bl w:val="nil"/>
            </w:tcBorders>
            <w:vAlign w:val="center"/>
          </w:tcPr>
          <w:p w14:paraId="0DF0C933">
            <w:pPr>
              <w:spacing w:line="240" w:lineRule="auto"/>
              <w:jc w:val="center"/>
              <w:rPr>
                <w:sz w:val="21"/>
                <w:szCs w:val="21"/>
                <w:u w:val="single"/>
              </w:rPr>
            </w:pPr>
            <w:r>
              <w:rPr>
                <w:rFonts w:hint="eastAsia"/>
                <w:sz w:val="21"/>
                <w:szCs w:val="21"/>
                <w:u w:val="single"/>
              </w:rPr>
              <w:t>密闭收集+负压系统改造</w:t>
            </w:r>
          </w:p>
        </w:tc>
        <w:tc>
          <w:tcPr>
            <w:tcW w:w="3329" w:type="dxa"/>
            <w:tcBorders>
              <w:tl2br w:val="nil"/>
              <w:tr2bl w:val="nil"/>
            </w:tcBorders>
            <w:vAlign w:val="center"/>
          </w:tcPr>
          <w:p w14:paraId="0BCD3BF7">
            <w:pPr>
              <w:spacing w:line="240" w:lineRule="auto"/>
              <w:jc w:val="center"/>
              <w:rPr>
                <w:sz w:val="21"/>
                <w:szCs w:val="21"/>
                <w:u w:val="single"/>
              </w:rPr>
            </w:pPr>
            <w:r>
              <w:rPr>
                <w:sz w:val="21"/>
                <w:szCs w:val="21"/>
                <w:u w:val="single"/>
              </w:rPr>
              <w:t>1）从烘箱的上下进出料口进入烘箱，原来印刷机主排每台约7000m³/h，印刷机地排每台约13000m³/h。复合机主排3000m³/h，复合机地排抽风每台约2000m³/h。改造后印刷机主排每台约10000m³/h，印刷机地排每台约15000m³/h。复合机主排6000m³/h，复合机地排抽风每台约5000m³/h，因此车间主通道会形成负压。设备后部为彩钢板隔墙，上部与天花连接，下部与地面连接，完全密闭，此面墙不进风。</w:t>
            </w:r>
          </w:p>
          <w:p w14:paraId="37F0D23B">
            <w:pPr>
              <w:spacing w:line="240" w:lineRule="auto"/>
              <w:jc w:val="center"/>
              <w:rPr>
                <w:sz w:val="21"/>
                <w:szCs w:val="21"/>
                <w:u w:val="single"/>
              </w:rPr>
            </w:pPr>
            <w:r>
              <w:rPr>
                <w:sz w:val="21"/>
                <w:szCs w:val="21"/>
                <w:u w:val="single"/>
              </w:rPr>
              <w:t>2）干复机改造环境味道说明：在干复机上胶单元已做围蔽处理，设备的进风来源于烘箱的进出口和上胶岗位，设备进出风机用变频器控制，调节进出风频率达到负压效果。围蔽的上胶单元也是负压状态，负压带走</w:t>
            </w:r>
          </w:p>
          <w:p w14:paraId="6BC388C9">
            <w:pPr>
              <w:spacing w:line="240" w:lineRule="auto"/>
              <w:jc w:val="center"/>
              <w:rPr>
                <w:sz w:val="21"/>
                <w:szCs w:val="21"/>
                <w:u w:val="single"/>
              </w:rPr>
            </w:pPr>
            <w:r>
              <w:rPr>
                <w:sz w:val="21"/>
                <w:szCs w:val="21"/>
                <w:u w:val="single"/>
              </w:rPr>
              <w:t>了干复机的味道。</w:t>
            </w:r>
          </w:p>
          <w:p w14:paraId="75E76E9F">
            <w:pPr>
              <w:spacing w:line="240" w:lineRule="auto"/>
              <w:jc w:val="center"/>
              <w:rPr>
                <w:sz w:val="21"/>
                <w:szCs w:val="21"/>
                <w:u w:val="single"/>
              </w:rPr>
            </w:pPr>
            <w:r>
              <w:rPr>
                <w:rFonts w:hint="eastAsia"/>
                <w:sz w:val="21"/>
                <w:szCs w:val="21"/>
                <w:u w:val="single"/>
              </w:rPr>
              <w:t>3</w:t>
            </w:r>
            <w:r>
              <w:rPr>
                <w:sz w:val="21"/>
                <w:szCs w:val="21"/>
                <w:u w:val="single"/>
              </w:rPr>
              <w:t>）</w:t>
            </w:r>
            <w:r>
              <w:rPr>
                <w:rFonts w:hint="eastAsia"/>
                <w:sz w:val="21"/>
                <w:szCs w:val="21"/>
                <w:u w:val="single"/>
              </w:rPr>
              <w:t>危废间只抽风不送风，形成微负压，抽风量为8000m</w:t>
            </w:r>
            <w:r>
              <w:rPr>
                <w:rFonts w:hint="eastAsia"/>
                <w:sz w:val="21"/>
                <w:szCs w:val="21"/>
                <w:u w:val="single"/>
                <w:vertAlign w:val="superscript"/>
              </w:rPr>
              <w:t>3</w:t>
            </w:r>
            <w:r>
              <w:rPr>
                <w:rFonts w:hint="eastAsia"/>
                <w:sz w:val="21"/>
                <w:szCs w:val="21"/>
                <w:u w:val="single"/>
              </w:rPr>
              <w:t>/h，调墨、调胶间位于车间3内，独立房间只抽风不送风，形成微负压，抽风量为1800m</w:t>
            </w:r>
            <w:r>
              <w:rPr>
                <w:rFonts w:hint="eastAsia"/>
                <w:sz w:val="21"/>
                <w:szCs w:val="21"/>
                <w:u w:val="single"/>
                <w:vertAlign w:val="superscript"/>
              </w:rPr>
              <w:t>3</w:t>
            </w:r>
            <w:r>
              <w:rPr>
                <w:rFonts w:hint="eastAsia"/>
                <w:sz w:val="21"/>
                <w:szCs w:val="21"/>
                <w:u w:val="single"/>
              </w:rPr>
              <w:t>/h</w:t>
            </w:r>
          </w:p>
        </w:tc>
        <w:tc>
          <w:tcPr>
            <w:tcW w:w="1610" w:type="dxa"/>
            <w:tcBorders>
              <w:tl2br w:val="nil"/>
              <w:tr2bl w:val="nil"/>
            </w:tcBorders>
            <w:vAlign w:val="center"/>
          </w:tcPr>
          <w:p w14:paraId="13CF4FCB">
            <w:pPr>
              <w:spacing w:line="240" w:lineRule="auto"/>
              <w:jc w:val="center"/>
              <w:rPr>
                <w:sz w:val="21"/>
                <w:szCs w:val="21"/>
                <w:u w:val="single"/>
              </w:rPr>
            </w:pPr>
            <w:r>
              <w:rPr>
                <w:sz w:val="21"/>
                <w:szCs w:val="21"/>
                <w:u w:val="single"/>
              </w:rPr>
              <w:t>已落实，各设备的落地参数与环评中设计方案一致。</w:t>
            </w:r>
          </w:p>
        </w:tc>
      </w:tr>
      <w:tr w14:paraId="5A9FA0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2" w:hRule="atLeast"/>
          <w:jc w:val="center"/>
        </w:trPr>
        <w:tc>
          <w:tcPr>
            <w:tcW w:w="657" w:type="dxa"/>
            <w:vMerge w:val="continue"/>
            <w:tcBorders>
              <w:tl2br w:val="nil"/>
              <w:tr2bl w:val="nil"/>
            </w:tcBorders>
            <w:vAlign w:val="center"/>
          </w:tcPr>
          <w:p w14:paraId="17E1B5FC">
            <w:pPr>
              <w:spacing w:line="240" w:lineRule="auto"/>
              <w:jc w:val="center"/>
              <w:rPr>
                <w:color w:val="FF0000"/>
                <w:sz w:val="21"/>
                <w:szCs w:val="21"/>
                <w:u w:val="single"/>
              </w:rPr>
            </w:pPr>
          </w:p>
        </w:tc>
        <w:tc>
          <w:tcPr>
            <w:tcW w:w="2044" w:type="dxa"/>
            <w:vMerge w:val="continue"/>
            <w:tcBorders>
              <w:tl2br w:val="nil"/>
              <w:tr2bl w:val="nil"/>
            </w:tcBorders>
            <w:vAlign w:val="center"/>
          </w:tcPr>
          <w:p w14:paraId="59523F5E">
            <w:pPr>
              <w:spacing w:line="240" w:lineRule="auto"/>
              <w:jc w:val="left"/>
              <w:rPr>
                <w:color w:val="FF0000"/>
                <w:sz w:val="21"/>
                <w:szCs w:val="21"/>
                <w:u w:val="single"/>
              </w:rPr>
            </w:pPr>
          </w:p>
        </w:tc>
        <w:tc>
          <w:tcPr>
            <w:tcW w:w="882" w:type="dxa"/>
            <w:vMerge w:val="continue"/>
            <w:tcBorders>
              <w:tl2br w:val="nil"/>
              <w:tr2bl w:val="nil"/>
            </w:tcBorders>
            <w:vAlign w:val="center"/>
          </w:tcPr>
          <w:p w14:paraId="77A7FD5C">
            <w:pPr>
              <w:spacing w:line="240" w:lineRule="auto"/>
              <w:jc w:val="center"/>
              <w:rPr>
                <w:sz w:val="21"/>
                <w:szCs w:val="21"/>
                <w:u w:val="single"/>
              </w:rPr>
            </w:pPr>
          </w:p>
        </w:tc>
        <w:tc>
          <w:tcPr>
            <w:tcW w:w="3329" w:type="dxa"/>
            <w:tcBorders>
              <w:tl2br w:val="nil"/>
              <w:tr2bl w:val="nil"/>
            </w:tcBorders>
            <w:vAlign w:val="center"/>
          </w:tcPr>
          <w:p w14:paraId="710CB23F">
            <w:pPr>
              <w:spacing w:line="240" w:lineRule="auto"/>
              <w:jc w:val="center"/>
              <w:rPr>
                <w:color w:val="FF0000"/>
                <w:sz w:val="21"/>
                <w:szCs w:val="21"/>
                <w:u w:val="single"/>
              </w:rPr>
            </w:pPr>
            <w:r>
              <w:rPr>
                <w:sz w:val="21"/>
                <w:szCs w:val="21"/>
                <w:u w:val="single"/>
              </w:rPr>
              <w:t>印刷机每色组间安装PVC透明折叠门，使挥发的气体不会跑到操作主通道区域，同时每台印刷机地排风量为15000m³/h，可以将挥发的气体抽走，同时主通道的气体会通过折叠门底部进入地排风机，新风送风量为</w:t>
            </w:r>
            <w:r>
              <w:rPr>
                <w:rFonts w:hint="eastAsia"/>
                <w:sz w:val="21"/>
                <w:szCs w:val="21"/>
                <w:u w:val="single"/>
              </w:rPr>
              <w:t>1</w:t>
            </w:r>
            <w:r>
              <w:rPr>
                <w:sz w:val="21"/>
                <w:szCs w:val="21"/>
                <w:u w:val="single"/>
              </w:rPr>
              <w:t>2000m³/h—13000m³/h，从而使车间形成负压。</w:t>
            </w:r>
          </w:p>
        </w:tc>
        <w:tc>
          <w:tcPr>
            <w:tcW w:w="1610" w:type="dxa"/>
            <w:tcBorders>
              <w:tl2br w:val="nil"/>
              <w:tr2bl w:val="nil"/>
            </w:tcBorders>
            <w:vAlign w:val="center"/>
          </w:tcPr>
          <w:p w14:paraId="0273D6BE">
            <w:pPr>
              <w:spacing w:line="240" w:lineRule="auto"/>
              <w:jc w:val="center"/>
              <w:rPr>
                <w:sz w:val="21"/>
                <w:szCs w:val="21"/>
                <w:u w:val="single"/>
              </w:rPr>
            </w:pPr>
            <w:r>
              <w:rPr>
                <w:sz w:val="21"/>
                <w:szCs w:val="21"/>
                <w:u w:val="single"/>
              </w:rPr>
              <w:t>已落实，各设备的落地参数与环评中设计方案一致。</w:t>
            </w:r>
          </w:p>
        </w:tc>
      </w:tr>
      <w:tr w14:paraId="46BD6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2" w:hRule="atLeast"/>
          <w:jc w:val="center"/>
        </w:trPr>
        <w:tc>
          <w:tcPr>
            <w:tcW w:w="657" w:type="dxa"/>
            <w:vMerge w:val="continue"/>
            <w:tcBorders>
              <w:tl2br w:val="nil"/>
              <w:tr2bl w:val="nil"/>
            </w:tcBorders>
            <w:vAlign w:val="center"/>
          </w:tcPr>
          <w:p w14:paraId="67FC8840">
            <w:pPr>
              <w:spacing w:line="240" w:lineRule="auto"/>
              <w:jc w:val="center"/>
              <w:rPr>
                <w:color w:val="FF0000"/>
                <w:sz w:val="21"/>
                <w:szCs w:val="21"/>
                <w:u w:val="single"/>
              </w:rPr>
            </w:pPr>
          </w:p>
        </w:tc>
        <w:tc>
          <w:tcPr>
            <w:tcW w:w="2044" w:type="dxa"/>
            <w:vMerge w:val="continue"/>
            <w:tcBorders>
              <w:tl2br w:val="nil"/>
              <w:tr2bl w:val="nil"/>
            </w:tcBorders>
            <w:vAlign w:val="center"/>
          </w:tcPr>
          <w:p w14:paraId="7F1272FC">
            <w:pPr>
              <w:spacing w:line="240" w:lineRule="auto"/>
              <w:jc w:val="left"/>
              <w:rPr>
                <w:color w:val="FF0000"/>
                <w:sz w:val="21"/>
                <w:szCs w:val="21"/>
                <w:u w:val="single"/>
              </w:rPr>
            </w:pPr>
          </w:p>
        </w:tc>
        <w:tc>
          <w:tcPr>
            <w:tcW w:w="882" w:type="dxa"/>
            <w:tcBorders>
              <w:tl2br w:val="nil"/>
              <w:tr2bl w:val="nil"/>
            </w:tcBorders>
            <w:vAlign w:val="center"/>
          </w:tcPr>
          <w:p w14:paraId="73CDBDFB">
            <w:pPr>
              <w:spacing w:line="240" w:lineRule="auto"/>
              <w:jc w:val="center"/>
              <w:rPr>
                <w:sz w:val="21"/>
                <w:szCs w:val="21"/>
                <w:u w:val="single"/>
              </w:rPr>
            </w:pPr>
            <w:r>
              <w:rPr>
                <w:rFonts w:hint="eastAsia"/>
                <w:sz w:val="21"/>
                <w:szCs w:val="21"/>
                <w:u w:val="single"/>
              </w:rPr>
              <w:t>减风增浓改造</w:t>
            </w:r>
          </w:p>
        </w:tc>
        <w:tc>
          <w:tcPr>
            <w:tcW w:w="3329" w:type="dxa"/>
            <w:tcBorders>
              <w:tl2br w:val="nil"/>
              <w:tr2bl w:val="nil"/>
            </w:tcBorders>
            <w:vAlign w:val="center"/>
          </w:tcPr>
          <w:p w14:paraId="1822802E">
            <w:pPr>
              <w:spacing w:line="240" w:lineRule="auto"/>
              <w:jc w:val="center"/>
              <w:rPr>
                <w:sz w:val="21"/>
                <w:szCs w:val="21"/>
                <w:u w:val="single"/>
              </w:rPr>
            </w:pPr>
            <w:r>
              <w:rPr>
                <w:sz w:val="21"/>
                <w:szCs w:val="21"/>
                <w:u w:val="single"/>
              </w:rPr>
              <w:t>印刷去掉现有主排风机并且排风风门与单元选用互锁，也就是如果不选用该单元，则该单元风门关闭，风机不运行。印刷机每单元的排风量约1000m³/h左右，每台印刷机排风量约10000m³/h，无组织排风约15000m³/h/台。换现有的密闭性较差的主风阀，可确保抽走的都是应该排走的废气，从而提高效率。干式复合机原厂设计每段烘箱送风量为5000m³/h左右，排风量为5200m³/h•台。无组织地排地排风每台6000m³/h，送风每台5000m³/h，可实现负压收集。</w:t>
            </w:r>
          </w:p>
        </w:tc>
        <w:tc>
          <w:tcPr>
            <w:tcW w:w="1610" w:type="dxa"/>
            <w:tcBorders>
              <w:tl2br w:val="nil"/>
              <w:tr2bl w:val="nil"/>
            </w:tcBorders>
            <w:vAlign w:val="center"/>
          </w:tcPr>
          <w:p w14:paraId="16F6C7F4">
            <w:pPr>
              <w:spacing w:line="240" w:lineRule="auto"/>
              <w:jc w:val="center"/>
              <w:rPr>
                <w:sz w:val="21"/>
                <w:szCs w:val="21"/>
                <w:u w:val="single"/>
              </w:rPr>
            </w:pPr>
            <w:r>
              <w:rPr>
                <w:sz w:val="21"/>
                <w:szCs w:val="21"/>
                <w:u w:val="single"/>
              </w:rPr>
              <w:t>已落实，各设备的落地参数与环评中设计方案一致。</w:t>
            </w:r>
          </w:p>
        </w:tc>
      </w:tr>
      <w:tr w14:paraId="1D2E60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tcBorders>
              <w:tl2br w:val="nil"/>
              <w:tr2bl w:val="nil"/>
            </w:tcBorders>
            <w:vAlign w:val="center"/>
          </w:tcPr>
          <w:p w14:paraId="7D1ADC42">
            <w:pPr>
              <w:spacing w:line="240" w:lineRule="auto"/>
              <w:jc w:val="center"/>
              <w:rPr>
                <w:sz w:val="21"/>
                <w:szCs w:val="21"/>
                <w:u w:val="single"/>
              </w:rPr>
            </w:pPr>
            <w:r>
              <w:rPr>
                <w:rFonts w:hint="eastAsia"/>
                <w:sz w:val="21"/>
                <w:szCs w:val="21"/>
                <w:u w:val="single"/>
              </w:rPr>
              <w:t>4</w:t>
            </w:r>
          </w:p>
        </w:tc>
        <w:tc>
          <w:tcPr>
            <w:tcW w:w="2044" w:type="dxa"/>
            <w:tcBorders>
              <w:tl2br w:val="nil"/>
              <w:tr2bl w:val="nil"/>
            </w:tcBorders>
            <w:vAlign w:val="center"/>
          </w:tcPr>
          <w:p w14:paraId="5A0B4215">
            <w:pPr>
              <w:spacing w:line="240" w:lineRule="auto"/>
              <w:jc w:val="left"/>
              <w:rPr>
                <w:sz w:val="21"/>
                <w:szCs w:val="21"/>
                <w:u w:val="single"/>
              </w:rPr>
            </w:pPr>
            <w:r>
              <w:rPr>
                <w:rFonts w:hint="eastAsia"/>
                <w:sz w:val="21"/>
                <w:szCs w:val="21"/>
                <w:u w:val="single"/>
              </w:rPr>
              <w:t>危险废物贮存设施未按照《危险废物识别标志设置技术规范》（HJ1276-2022）</w:t>
            </w:r>
          </w:p>
          <w:p w14:paraId="49890655">
            <w:pPr>
              <w:spacing w:line="240" w:lineRule="auto"/>
              <w:jc w:val="left"/>
              <w:rPr>
                <w:sz w:val="21"/>
                <w:szCs w:val="21"/>
                <w:u w:val="single"/>
              </w:rPr>
            </w:pPr>
            <w:r>
              <w:rPr>
                <w:rFonts w:hint="eastAsia"/>
                <w:sz w:val="21"/>
                <w:szCs w:val="21"/>
                <w:u w:val="single"/>
              </w:rPr>
              <w:t>要求更新贮存设施的标签。</w:t>
            </w:r>
          </w:p>
        </w:tc>
        <w:tc>
          <w:tcPr>
            <w:tcW w:w="4211" w:type="dxa"/>
            <w:gridSpan w:val="2"/>
            <w:tcBorders>
              <w:tl2br w:val="nil"/>
              <w:tr2bl w:val="nil"/>
            </w:tcBorders>
            <w:vAlign w:val="center"/>
          </w:tcPr>
          <w:p w14:paraId="59F744D6">
            <w:pPr>
              <w:spacing w:line="240" w:lineRule="auto"/>
              <w:jc w:val="center"/>
              <w:rPr>
                <w:sz w:val="21"/>
                <w:szCs w:val="21"/>
                <w:u w:val="single"/>
              </w:rPr>
            </w:pPr>
            <w:r>
              <w:rPr>
                <w:rFonts w:hint="eastAsia"/>
                <w:sz w:val="21"/>
                <w:szCs w:val="21"/>
                <w:u w:val="single"/>
              </w:rPr>
              <w:t>及时更新</w:t>
            </w:r>
          </w:p>
        </w:tc>
        <w:tc>
          <w:tcPr>
            <w:tcW w:w="1610" w:type="dxa"/>
            <w:tcBorders>
              <w:tl2br w:val="nil"/>
              <w:tr2bl w:val="nil"/>
            </w:tcBorders>
            <w:vAlign w:val="center"/>
          </w:tcPr>
          <w:p w14:paraId="2331B708">
            <w:pPr>
              <w:spacing w:line="240" w:lineRule="auto"/>
              <w:jc w:val="center"/>
              <w:rPr>
                <w:sz w:val="21"/>
                <w:szCs w:val="21"/>
                <w:u w:val="single"/>
              </w:rPr>
            </w:pPr>
            <w:r>
              <w:rPr>
                <w:sz w:val="21"/>
                <w:szCs w:val="21"/>
                <w:u w:val="single"/>
              </w:rPr>
              <w:t>已落实，</w:t>
            </w:r>
            <w:r>
              <w:rPr>
                <w:rFonts w:hint="eastAsia"/>
                <w:sz w:val="21"/>
                <w:szCs w:val="21"/>
                <w:u w:val="single"/>
              </w:rPr>
              <w:t>更新贮存设施的标签；完善了各类上墙标识。</w:t>
            </w:r>
          </w:p>
        </w:tc>
      </w:tr>
    </w:tbl>
    <w:p w14:paraId="777561C5">
      <w:pPr>
        <w:pStyle w:val="3"/>
        <w:numPr>
          <w:ilvl w:val="1"/>
          <w:numId w:val="0"/>
        </w:numPr>
        <w:ind w:left="567" w:leftChars="0" w:hanging="567" w:firstLineChars="0"/>
      </w:pPr>
      <w:bookmarkStart w:id="90" w:name="_Toc10268"/>
      <w:r>
        <w:rPr>
          <w:rFonts w:hint="default" w:ascii="宋体" w:hAnsi="宋体" w:eastAsia="宋体" w:cs="宋体"/>
          <w:b/>
          <w:bCs/>
          <w:kern w:val="2"/>
          <w:sz w:val="28"/>
          <w:szCs w:val="28"/>
          <w:lang w:val="en-US" w:eastAsia="zh-CN" w:bidi="ar-SA"/>
        </w:rPr>
        <w:t>4.2</w:t>
      </w:r>
      <w:r>
        <w:rPr>
          <w:rFonts w:hint="eastAsia"/>
        </w:rPr>
        <w:t>工程分析</w:t>
      </w:r>
      <w:bookmarkEnd w:id="90"/>
    </w:p>
    <w:p w14:paraId="33E9FC0E">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4.2.1</w:t>
      </w:r>
      <w:r>
        <w:rPr>
          <w:rFonts w:hint="eastAsia"/>
        </w:rPr>
        <w:t>施工期产污分析</w:t>
      </w:r>
    </w:p>
    <w:p w14:paraId="068D2492">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在建项目已完成设备安装及调试，故本变更环评不再对施工期进行分析，只对其营运期进行工程分析。</w:t>
      </w:r>
    </w:p>
    <w:p w14:paraId="4D681B1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4.2.2</w:t>
      </w:r>
      <w:r>
        <w:rPr>
          <w:rFonts w:hint="eastAsia"/>
        </w:rPr>
        <w:t>运营期工程分析</w:t>
      </w:r>
    </w:p>
    <w:p w14:paraId="5A49CCE5">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4.2.2.1</w:t>
      </w:r>
      <w:r>
        <w:rPr>
          <w:rFonts w:hint="eastAsia"/>
        </w:rPr>
        <w:t>运营期工艺流程</w:t>
      </w:r>
    </w:p>
    <w:p w14:paraId="52762858">
      <w:pPr>
        <w:ind w:firstLine="723" w:firstLineChars="300"/>
        <w:rPr>
          <w:b/>
          <w:bCs/>
        </w:rPr>
      </w:pPr>
      <w:r>
        <w:rPr>
          <w:rFonts w:hint="eastAsia"/>
          <w:b/>
          <w:bCs/>
        </w:rPr>
        <w:t>生产工艺简介</w:t>
      </w:r>
    </w:p>
    <w:p w14:paraId="7025A324">
      <w:pPr>
        <w:ind w:firstLine="480"/>
      </w:pPr>
      <w:r>
        <w:rPr>
          <w:rFonts w:hint="eastAsia"/>
        </w:rPr>
        <w:t>本次变更不改变现有生产工艺，与已批复项目一致。项目不含吹塑、流延、镀铝等工序，塑料膜全部外购成品；制版、晒版等工序不在厂区内进行，外协厂家制成印版后，送至项目印刷车间。本项目印刷采用印刷烘干一体机、干式复合采用复合烘干一体机，无溶剂复合无需烘干。为</w:t>
      </w:r>
      <w:r>
        <w:t>印刷复合主要工艺流程图及排污节点如下图：</w:t>
      </w:r>
    </w:p>
    <w:p w14:paraId="776227B0">
      <w:pPr>
        <w:pStyle w:val="45"/>
        <w:numPr>
          <w:ilvl w:val="6"/>
          <w:numId w:val="0"/>
        </w:numPr>
        <w:spacing w:before="156"/>
        <w:ind w:left="6096" w:leftChars="0" w:hanging="5954" w:firstLineChars="0"/>
        <w:rPr>
          <w:color w:val="auto"/>
        </w:rPr>
      </w:pPr>
      <w:r>
        <w:rPr>
          <w:rFonts w:hint="default" w:ascii="宋体" w:hAnsi="宋体" w:eastAsia="宋体" w:cs="宋体"/>
          <w:b/>
          <w:bCs/>
          <w:color w:val="auto"/>
          <w:kern w:val="2"/>
          <w:sz w:val="21"/>
          <w:szCs w:val="21"/>
          <w:lang w:val="en-US" w:eastAsia="zh-CN" w:bidi="ar-SA"/>
        </w:rPr>
        <w:t xml:space="preserve">图4.2-1 </w:t>
      </w:r>
      <w:r>
        <w:pict>
          <v:shape id="_x0000_s1026" o:spid="_x0000_s1026" o:spt="75" type="#_x0000_t75" style="position:absolute;left:0pt;margin-left:1.65pt;margin-top:2.25pt;height:347.4pt;width:395.05pt;mso-wrap-distance-bottom:0pt;mso-wrap-distance-top:0pt;z-index:251666432;mso-width-relative:page;mso-height-relative:page;" o:ole="t" filled="f" o:preferrelative="t" stroked="f" coordsize="21600,21600">
            <v:path/>
            <v:fill on="f" focussize="0,0"/>
            <v:stroke on="f"/>
            <v:imagedata r:id="rId37" o:title=""/>
            <o:lock v:ext="edit" aspectratio="f"/>
            <w10:wrap type="topAndBottom"/>
          </v:shape>
          <o:OLEObject Type="Embed" ProgID="Visio.Drawing.11" ShapeID="_x0000_s1026" DrawAspect="Content" ObjectID="_1468075729" r:id="rId36">
            <o:LockedField>false</o:LockedField>
          </o:OLEObject>
        </w:pict>
      </w:r>
      <w:r>
        <w:rPr>
          <w:rFonts w:hint="eastAsia"/>
          <w:color w:val="auto"/>
        </w:rPr>
        <w:t xml:space="preserve">  印刷、复合工艺流程示意图</w:t>
      </w:r>
    </w:p>
    <w:p w14:paraId="60DD7815">
      <w:pPr>
        <w:ind w:firstLine="480"/>
      </w:pPr>
      <w:r>
        <w:t>印刷复合主要工艺流程</w:t>
      </w:r>
      <w:r>
        <w:rPr>
          <w:rFonts w:hint="eastAsia"/>
        </w:rPr>
        <w:t>简述</w:t>
      </w:r>
      <w:r>
        <w:t>：</w:t>
      </w:r>
    </w:p>
    <w:p w14:paraId="108DC949">
      <w:pPr>
        <w:pStyle w:val="68"/>
        <w:ind w:firstLine="480"/>
        <w:rPr>
          <w:rFonts w:eastAsia="宋体"/>
          <w:szCs w:val="24"/>
        </w:rPr>
      </w:pPr>
      <w:r>
        <w:rPr>
          <w:rFonts w:eastAsia="宋体"/>
          <w:szCs w:val="24"/>
        </w:rPr>
        <w:t>1</w:t>
      </w:r>
      <w:r>
        <w:rPr>
          <w:rFonts w:hint="eastAsia" w:eastAsia="宋体"/>
          <w:szCs w:val="24"/>
        </w:rPr>
        <w:t>.</w:t>
      </w:r>
      <w:r>
        <w:rPr>
          <w:rFonts w:eastAsia="宋体"/>
          <w:szCs w:val="24"/>
        </w:rPr>
        <w:t>设计制版</w:t>
      </w:r>
    </w:p>
    <w:p w14:paraId="0D1A9E7B">
      <w:pPr>
        <w:pStyle w:val="68"/>
        <w:ind w:firstLine="480"/>
        <w:rPr>
          <w:rFonts w:eastAsia="宋体"/>
          <w:szCs w:val="24"/>
        </w:rPr>
      </w:pPr>
      <w:r>
        <w:rPr>
          <w:rFonts w:eastAsia="宋体"/>
          <w:szCs w:val="24"/>
        </w:rPr>
        <w:t>按照客户要求进行设计并委托制版厂进行制版。</w:t>
      </w:r>
    </w:p>
    <w:p w14:paraId="7D1A22E7">
      <w:pPr>
        <w:pStyle w:val="68"/>
        <w:ind w:firstLine="480"/>
        <w:rPr>
          <w:rFonts w:eastAsia="宋体"/>
          <w:szCs w:val="24"/>
        </w:rPr>
      </w:pPr>
      <w:r>
        <w:rPr>
          <w:rFonts w:eastAsia="宋体"/>
          <w:szCs w:val="24"/>
        </w:rPr>
        <w:t>2</w:t>
      </w:r>
      <w:r>
        <w:rPr>
          <w:rFonts w:hint="eastAsia" w:eastAsia="宋体"/>
          <w:szCs w:val="24"/>
        </w:rPr>
        <w:t>.</w:t>
      </w:r>
      <w:r>
        <w:rPr>
          <w:rFonts w:eastAsia="宋体"/>
          <w:szCs w:val="24"/>
        </w:rPr>
        <w:t>油墨调配、干式复合胶水调914D</w:t>
      </w:r>
    </w:p>
    <w:p w14:paraId="7E537937">
      <w:pPr>
        <w:pStyle w:val="68"/>
        <w:ind w:firstLine="480"/>
        <w:rPr>
          <w:rFonts w:eastAsia="宋体"/>
          <w:szCs w:val="24"/>
        </w:rPr>
      </w:pPr>
      <w:r>
        <w:rPr>
          <w:rFonts w:eastAsia="宋体"/>
          <w:szCs w:val="24"/>
        </w:rPr>
        <w:t>根据生产要求，油墨调配是将油墨、稀释剂按配比比例</w:t>
      </w:r>
      <w:r>
        <w:rPr>
          <w:rFonts w:hint="eastAsia" w:eastAsia="宋体"/>
          <w:szCs w:val="24"/>
        </w:rPr>
        <w:t>在密闭的油墨调墨间</w:t>
      </w:r>
      <w:r>
        <w:rPr>
          <w:rFonts w:eastAsia="宋体"/>
          <w:szCs w:val="24"/>
        </w:rPr>
        <w:t>进行调配</w:t>
      </w:r>
      <w:r>
        <w:rPr>
          <w:rFonts w:hint="eastAsia" w:eastAsia="宋体"/>
          <w:szCs w:val="24"/>
        </w:rPr>
        <w:t>混合，或者人工调配，配置成印刷需要的油墨种类，配置好的油墨用密闭桶装转移至印刷车间，用密闭管道输送至印刷机内使用</w:t>
      </w:r>
      <w:r>
        <w:rPr>
          <w:rFonts w:eastAsia="宋体"/>
          <w:szCs w:val="24"/>
        </w:rPr>
        <w:t>；</w:t>
      </w:r>
    </w:p>
    <w:p w14:paraId="348EAB5D">
      <w:pPr>
        <w:pStyle w:val="68"/>
        <w:ind w:firstLine="480"/>
        <w:rPr>
          <w:rFonts w:eastAsia="宋体"/>
          <w:szCs w:val="24"/>
        </w:rPr>
      </w:pPr>
      <w:r>
        <w:rPr>
          <w:rFonts w:eastAsia="宋体"/>
          <w:szCs w:val="24"/>
        </w:rPr>
        <w:t>人工将干式复合胶水添加到设备胶桶内，胶粘剂通过管线自动添加到调胶设备中，密闭设备搅拌均匀后，通过密闭管线输送到复合使用点。</w:t>
      </w:r>
    </w:p>
    <w:p w14:paraId="7B57DB7B">
      <w:pPr>
        <w:pStyle w:val="68"/>
        <w:ind w:firstLine="480"/>
        <w:rPr>
          <w:rFonts w:eastAsia="宋体"/>
          <w:szCs w:val="24"/>
        </w:rPr>
      </w:pPr>
      <w:r>
        <w:rPr>
          <w:rFonts w:eastAsia="宋体"/>
          <w:szCs w:val="24"/>
        </w:rPr>
        <w:t>无溶剂胶粘剂</w:t>
      </w:r>
      <w:r>
        <w:rPr>
          <w:rFonts w:hint="eastAsia" w:eastAsia="宋体"/>
          <w:szCs w:val="24"/>
        </w:rPr>
        <w:t>无需加入溶剂调配，</w:t>
      </w:r>
      <w:r>
        <w:rPr>
          <w:rFonts w:eastAsia="宋体"/>
          <w:szCs w:val="24"/>
        </w:rPr>
        <w:t>不含有机溶剂（主要成分为聚氨酯预聚物</w:t>
      </w:r>
      <w:r>
        <w:rPr>
          <w:rFonts w:hint="eastAsia" w:eastAsia="宋体"/>
          <w:szCs w:val="24"/>
        </w:rPr>
        <w:t>、</w:t>
      </w:r>
      <w:r>
        <w:rPr>
          <w:rFonts w:eastAsia="宋体"/>
          <w:szCs w:val="24"/>
        </w:rPr>
        <w:t>多元醇）</w:t>
      </w:r>
      <w:r>
        <w:rPr>
          <w:rFonts w:hint="eastAsia" w:eastAsia="宋体"/>
          <w:szCs w:val="24"/>
        </w:rPr>
        <w:t>。</w:t>
      </w:r>
    </w:p>
    <w:p w14:paraId="25E6D95A">
      <w:pPr>
        <w:pStyle w:val="68"/>
        <w:rPr>
          <w:rFonts w:eastAsia="宋体"/>
          <w:szCs w:val="24"/>
        </w:rPr>
      </w:pPr>
      <w:r>
        <w:rPr>
          <w:rFonts w:hint="eastAsia" w:eastAsia="宋体"/>
          <w:b/>
          <w:bCs/>
          <w:szCs w:val="24"/>
        </w:rPr>
        <w:t>产污环节：</w:t>
      </w:r>
      <w:r>
        <w:rPr>
          <w:rFonts w:eastAsia="宋体"/>
          <w:szCs w:val="24"/>
        </w:rPr>
        <w:t>调墨</w:t>
      </w:r>
      <w:r>
        <w:rPr>
          <w:rFonts w:hint="eastAsia" w:eastAsia="宋体"/>
          <w:szCs w:val="24"/>
        </w:rPr>
        <w:t>、调胶</w:t>
      </w:r>
      <w:r>
        <w:rPr>
          <w:rFonts w:eastAsia="宋体"/>
          <w:szCs w:val="24"/>
        </w:rPr>
        <w:t>过程中会挥发少量的有机废气以及废油墨桶、废稀释剂桶</w:t>
      </w:r>
      <w:r>
        <w:rPr>
          <w:rFonts w:hint="eastAsia" w:eastAsia="宋体"/>
          <w:szCs w:val="24"/>
        </w:rPr>
        <w:t>、</w:t>
      </w:r>
      <w:r>
        <w:rPr>
          <w:rFonts w:eastAsia="宋体"/>
          <w:szCs w:val="24"/>
        </w:rPr>
        <w:t>废胶水桶。</w:t>
      </w:r>
      <w:r>
        <w:rPr>
          <w:rFonts w:hint="eastAsia" w:eastAsia="宋体"/>
          <w:szCs w:val="24"/>
        </w:rPr>
        <w:t>挥发性有机物经微负压收集后进入“吸附浓缩+溶剂回收”环保设备处理后经20.5m排气筒（DA001）排放。</w:t>
      </w:r>
    </w:p>
    <w:p w14:paraId="68240FE5">
      <w:pPr>
        <w:pStyle w:val="68"/>
        <w:ind w:firstLine="480"/>
        <w:rPr>
          <w:rFonts w:eastAsia="宋体"/>
          <w:szCs w:val="24"/>
        </w:rPr>
      </w:pPr>
      <w:r>
        <w:rPr>
          <w:rFonts w:eastAsia="宋体"/>
          <w:szCs w:val="24"/>
        </w:rPr>
        <w:t>3</w:t>
      </w:r>
      <w:r>
        <w:rPr>
          <w:rFonts w:hint="eastAsia" w:eastAsia="宋体"/>
          <w:szCs w:val="24"/>
        </w:rPr>
        <w:t>.印刷、复合</w:t>
      </w:r>
    </w:p>
    <w:p w14:paraId="150A14DC">
      <w:pPr>
        <w:pStyle w:val="68"/>
        <w:ind w:firstLine="480"/>
        <w:rPr>
          <w:rFonts w:eastAsia="宋体"/>
          <w:szCs w:val="24"/>
        </w:rPr>
      </w:pPr>
      <w:r>
        <w:rPr>
          <w:rFonts w:hint="eastAsia" w:ascii="宋体" w:hAnsi="宋体" w:eastAsia="宋体" w:cs="宋体"/>
          <w:szCs w:val="24"/>
        </w:rPr>
        <w:t>⑴</w:t>
      </w:r>
      <w:r>
        <w:rPr>
          <w:rFonts w:hint="eastAsia" w:eastAsia="宋体"/>
          <w:szCs w:val="24"/>
        </w:rPr>
        <w:t>印刷、烘干</w:t>
      </w:r>
    </w:p>
    <w:p w14:paraId="1CC815EB">
      <w:pPr>
        <w:pStyle w:val="68"/>
        <w:ind w:firstLine="480"/>
        <w:rPr>
          <w:rFonts w:eastAsia="宋体"/>
          <w:szCs w:val="24"/>
        </w:rPr>
      </w:pPr>
      <w:r>
        <w:rPr>
          <w:rFonts w:eastAsia="宋体"/>
          <w:szCs w:val="24"/>
        </w:rPr>
        <w:t>根据产品要求备好原材料、油墨和稀释溶剂并核准其数量，按工艺要求配备相应型号的油墨与溶剂，机台调墨工将所配好的油墨上机，测好</w:t>
      </w:r>
      <w:r>
        <w:rPr>
          <w:rFonts w:hint="eastAsia" w:eastAsia="宋体"/>
          <w:szCs w:val="24"/>
        </w:rPr>
        <w:t>黏度</w:t>
      </w:r>
      <w:r>
        <w:rPr>
          <w:rFonts w:eastAsia="宋体"/>
          <w:szCs w:val="24"/>
        </w:rPr>
        <w:t>，核对后再微调校准色相。项目采用多次连续印刷方式，每套版辊对应一套色系，先印刷一种色系，再进入下一版辊印刷另一种色系。印刷机自带烘干系统，通过</w:t>
      </w:r>
      <w:r>
        <w:rPr>
          <w:rFonts w:hint="eastAsia" w:eastAsia="宋体"/>
          <w:szCs w:val="24"/>
        </w:rPr>
        <w:t>天然气间接加热烘干，</w:t>
      </w:r>
      <w:r>
        <w:rPr>
          <w:rFonts w:eastAsia="宋体"/>
          <w:szCs w:val="24"/>
        </w:rPr>
        <w:t>电加热烘干</w:t>
      </w:r>
      <w:r>
        <w:rPr>
          <w:rFonts w:hint="eastAsia" w:eastAsia="宋体"/>
          <w:szCs w:val="24"/>
        </w:rPr>
        <w:t>为辅</w:t>
      </w:r>
      <w:r>
        <w:rPr>
          <w:rFonts w:eastAsia="宋体"/>
          <w:szCs w:val="24"/>
        </w:rPr>
        <w:t>，烘干时间为即时，烘干温度为40℃～75℃，之后循环水间接冷却。在此过程中，会因油墨中物质挥发而产生一定量的挥发性有机废气，设备运转会产生一定量的噪声。</w:t>
      </w:r>
    </w:p>
    <w:p w14:paraId="3A0A0684">
      <w:pPr>
        <w:pStyle w:val="68"/>
        <w:ind w:firstLine="480"/>
        <w:rPr>
          <w:rFonts w:eastAsia="宋体"/>
          <w:szCs w:val="24"/>
        </w:rPr>
      </w:pPr>
      <w:r>
        <w:rPr>
          <w:rFonts w:eastAsia="宋体"/>
          <w:szCs w:val="24"/>
        </w:rPr>
        <w:t>备注说明：不同包装在进行不同的印刷时，人工用抹布及溶剂（乙酸乙酯）对印刷机版辊上油墨进行清理，油墨槽根据电脑套色系统显示颜色调换即可，不需用水冲洗。</w:t>
      </w:r>
    </w:p>
    <w:p w14:paraId="7050A21C">
      <w:pPr>
        <w:pStyle w:val="68"/>
        <w:ind w:firstLine="480"/>
        <w:rPr>
          <w:rFonts w:eastAsia="宋体"/>
          <w:szCs w:val="24"/>
        </w:rPr>
      </w:pPr>
      <w:r>
        <w:rPr>
          <w:rFonts w:hint="eastAsia" w:ascii="宋体" w:hAnsi="宋体" w:eastAsia="宋体" w:cs="宋体"/>
          <w:szCs w:val="24"/>
        </w:rPr>
        <w:t>⑵</w:t>
      </w:r>
      <w:r>
        <w:rPr>
          <w:rFonts w:hint="eastAsia" w:eastAsia="宋体"/>
          <w:szCs w:val="24"/>
        </w:rPr>
        <w:t>包装成型（复合、干式复合烘箱、熟化等）</w:t>
      </w:r>
    </w:p>
    <w:p w14:paraId="4589BCCA">
      <w:pPr>
        <w:pStyle w:val="68"/>
        <w:ind w:firstLine="480"/>
        <w:rPr>
          <w:rFonts w:eastAsia="宋体"/>
          <w:szCs w:val="24"/>
        </w:rPr>
      </w:pPr>
      <w:r>
        <w:rPr>
          <w:rFonts w:eastAsia="宋体"/>
          <w:szCs w:val="24"/>
        </w:rPr>
        <w:t>复合工序主要是将不同材料的膜复合在一起，两两之间通过胶水</w:t>
      </w:r>
      <w:r>
        <w:rPr>
          <w:rFonts w:hint="eastAsia" w:eastAsia="宋体"/>
          <w:szCs w:val="24"/>
        </w:rPr>
        <w:t>粘结</w:t>
      </w:r>
      <w:r>
        <w:rPr>
          <w:rFonts w:eastAsia="宋体"/>
          <w:szCs w:val="24"/>
        </w:rPr>
        <w:t>，反复两两复合可生产出多层复合膜。根据客户不同需求，可以实现两层或三层铝塑复合膜，外层为印刷酯，内层为热塑</w:t>
      </w:r>
      <w:r>
        <w:rPr>
          <w:rFonts w:hint="eastAsia" w:eastAsia="宋体"/>
          <w:szCs w:val="24"/>
        </w:rPr>
        <w:t>黏合</w:t>
      </w:r>
      <w:r>
        <w:rPr>
          <w:rFonts w:eastAsia="宋体"/>
          <w:szCs w:val="24"/>
        </w:rPr>
        <w:t>层，制品可通过热熔封口。铝塑复合膜可以起到遮光、防潮等作用。</w:t>
      </w:r>
    </w:p>
    <w:p w14:paraId="3E3E47B4">
      <w:pPr>
        <w:pStyle w:val="68"/>
        <w:ind w:firstLine="480"/>
        <w:rPr>
          <w:rFonts w:eastAsia="宋体"/>
          <w:szCs w:val="24"/>
        </w:rPr>
      </w:pPr>
      <w:r>
        <w:rPr>
          <w:rFonts w:eastAsia="宋体"/>
          <w:szCs w:val="24"/>
        </w:rPr>
        <w:t>①干式复合</w:t>
      </w:r>
      <w:r>
        <w:rPr>
          <w:rFonts w:hint="eastAsia" w:eastAsia="宋体"/>
          <w:szCs w:val="24"/>
        </w:rPr>
        <w:t>烘干</w:t>
      </w:r>
      <w:r>
        <w:rPr>
          <w:rFonts w:eastAsia="宋体"/>
          <w:szCs w:val="24"/>
        </w:rPr>
        <w:t>：复合工序主要是将不同材料的膜通过干式复合机复合在一起，两两之间通过胶水（胶水包括聚氨酯胶水、胶水溶剂（乙酸乙酯））粘结，</w:t>
      </w:r>
      <w:r>
        <w:rPr>
          <w:rFonts w:hint="eastAsia" w:eastAsia="宋体"/>
          <w:szCs w:val="24"/>
        </w:rPr>
        <w:t>干式复合机自己带烘干系统</w:t>
      </w:r>
      <w:r>
        <w:rPr>
          <w:rFonts w:eastAsia="宋体"/>
          <w:szCs w:val="24"/>
        </w:rPr>
        <w:t>（</w:t>
      </w:r>
      <w:r>
        <w:rPr>
          <w:rFonts w:hint="eastAsia" w:eastAsia="宋体"/>
          <w:szCs w:val="24"/>
        </w:rPr>
        <w:t>天然气提</w:t>
      </w:r>
      <w:r>
        <w:rPr>
          <w:rFonts w:eastAsia="宋体"/>
          <w:szCs w:val="24"/>
        </w:rPr>
        <w:t>供热能</w:t>
      </w:r>
      <w:r>
        <w:rPr>
          <w:rFonts w:hint="eastAsia" w:eastAsia="宋体"/>
          <w:szCs w:val="24"/>
        </w:rPr>
        <w:t>），</w:t>
      </w:r>
      <w:r>
        <w:rPr>
          <w:rFonts w:eastAsia="宋体"/>
          <w:szCs w:val="24"/>
        </w:rPr>
        <w:t>复合温度约为40-70℃，在此过程中，会因胶水及其稀释剂物质挥发而产生一定量的挥发性有机废气</w:t>
      </w:r>
      <w:r>
        <w:rPr>
          <w:rFonts w:hint="eastAsia" w:eastAsia="宋体"/>
          <w:szCs w:val="24"/>
        </w:rPr>
        <w:t>，</w:t>
      </w:r>
      <w:r>
        <w:rPr>
          <w:rFonts w:eastAsia="宋体"/>
          <w:szCs w:val="24"/>
        </w:rPr>
        <w:t>设备运转会产生一定量的噪声。</w:t>
      </w:r>
    </w:p>
    <w:p w14:paraId="0C9FD2B2">
      <w:pPr>
        <w:pStyle w:val="68"/>
        <w:ind w:firstLine="480"/>
        <w:rPr>
          <w:rFonts w:eastAsia="宋体"/>
          <w:szCs w:val="24"/>
        </w:rPr>
      </w:pPr>
      <w:r>
        <w:rPr>
          <w:rFonts w:hint="eastAsia" w:ascii="宋体" w:hAnsi="宋体" w:eastAsia="宋体" w:cs="宋体"/>
          <w:szCs w:val="24"/>
        </w:rPr>
        <w:t>②</w:t>
      </w:r>
      <w:r>
        <w:rPr>
          <w:rFonts w:eastAsia="宋体"/>
          <w:szCs w:val="24"/>
        </w:rPr>
        <w:t>无溶剂复合</w:t>
      </w:r>
      <w:r>
        <w:rPr>
          <w:rFonts w:hint="eastAsia" w:eastAsia="宋体"/>
          <w:szCs w:val="24"/>
        </w:rPr>
        <w:t>：</w:t>
      </w:r>
      <w:r>
        <w:rPr>
          <w:rFonts w:eastAsia="宋体"/>
          <w:szCs w:val="24"/>
        </w:rPr>
        <w:t>无溶剂复合是采用无溶剂型胶水，将两种基材复合在一起的一种方法，又称反应型复合。在无溶剂复合中，因不使用溶剂，节省了大量能源，减少了生产设备的占地面积，无环境污染问题，复合薄膜中无残留溶剂。因此它是一种很有发展前途的复合方法，可用于塑料薄膜、铝箔、纸之间的复合。无溶剂复合机除无烘干装置外，</w:t>
      </w:r>
      <w:r>
        <w:rPr>
          <w:rFonts w:hint="eastAsia" w:eastAsia="宋体"/>
          <w:szCs w:val="24"/>
        </w:rPr>
        <w:t>其他</w:t>
      </w:r>
      <w:r>
        <w:rPr>
          <w:rFonts w:eastAsia="宋体"/>
          <w:szCs w:val="24"/>
        </w:rPr>
        <w:t>与干</w:t>
      </w:r>
      <w:r>
        <w:rPr>
          <w:rFonts w:hint="eastAsia" w:eastAsia="宋体"/>
          <w:szCs w:val="24"/>
        </w:rPr>
        <w:t>式</w:t>
      </w:r>
      <w:r>
        <w:rPr>
          <w:rFonts w:eastAsia="宋体"/>
          <w:szCs w:val="24"/>
        </w:rPr>
        <w:t>复合机大致相同。无溶剂</w:t>
      </w:r>
      <w:r>
        <w:rPr>
          <w:rFonts w:hint="eastAsia" w:eastAsia="宋体"/>
          <w:szCs w:val="24"/>
        </w:rPr>
        <w:t>复合</w:t>
      </w:r>
      <w:r>
        <w:rPr>
          <w:rFonts w:eastAsia="宋体"/>
          <w:szCs w:val="24"/>
        </w:rPr>
        <w:t>所用胶水不含有机溶剂，</w:t>
      </w:r>
      <w:r>
        <w:rPr>
          <w:rFonts w:hint="eastAsia" w:eastAsia="宋体"/>
          <w:szCs w:val="24"/>
        </w:rPr>
        <w:t>无需加稀释剂，且不需要烘干，</w:t>
      </w:r>
      <w:r>
        <w:rPr>
          <w:rFonts w:eastAsia="宋体"/>
          <w:szCs w:val="24"/>
        </w:rPr>
        <w:t>因此，</w:t>
      </w:r>
      <w:r>
        <w:rPr>
          <w:rFonts w:hint="eastAsia" w:eastAsia="宋体"/>
          <w:szCs w:val="24"/>
        </w:rPr>
        <w:t>该过程基本无有机废气产生</w:t>
      </w:r>
      <w:r>
        <w:rPr>
          <w:rFonts w:eastAsia="宋体"/>
          <w:szCs w:val="24"/>
        </w:rPr>
        <w:t>。生产过程中会产生噪声</w:t>
      </w:r>
      <w:r>
        <w:rPr>
          <w:rFonts w:hint="eastAsia" w:eastAsia="宋体"/>
          <w:szCs w:val="24"/>
        </w:rPr>
        <w:t>。</w:t>
      </w:r>
    </w:p>
    <w:p w14:paraId="2CF1B5F0">
      <w:pPr>
        <w:pStyle w:val="68"/>
        <w:ind w:firstLine="480"/>
        <w:rPr>
          <w:rFonts w:eastAsia="宋体"/>
          <w:szCs w:val="24"/>
        </w:rPr>
      </w:pPr>
      <w:r>
        <w:rPr>
          <w:rFonts w:hint="eastAsia" w:ascii="宋体" w:hAnsi="宋体" w:eastAsia="宋体" w:cs="宋体"/>
          <w:szCs w:val="24"/>
        </w:rPr>
        <w:t>③</w:t>
      </w:r>
      <w:r>
        <w:rPr>
          <w:rFonts w:eastAsia="宋体"/>
          <w:szCs w:val="24"/>
        </w:rPr>
        <w:t>熟化</w:t>
      </w:r>
      <w:r>
        <w:rPr>
          <w:rFonts w:hint="eastAsia" w:eastAsia="宋体"/>
          <w:szCs w:val="24"/>
        </w:rPr>
        <w:t>：熟化（固化）的目的是为了让胶黏剂主剂和固化剂在特定的条件下充分反应固化，进一步交联，熟化阶段若还有溶剂残留会造成胶黏剂主剂和固化剂在该阶段反应情况欠佳，影响贴合度。熟化工序之前的印刷复合工序在合理配比稀释剂及合理设置风量的基础上已可尽可能将有机溶剂排尽，防止溶剂残留在本阶段产生的不良后果，故熟化（固化）工序无挥发性有机废气产生。复合加工后的薄膜卷在40~55℃温度下进行熟化，控制时间为24~40小时，熟化工艺采用天然气、电提供热能。冷却采用自然冷却的方式。</w:t>
      </w:r>
    </w:p>
    <w:p w14:paraId="1CC91928">
      <w:pPr>
        <w:pStyle w:val="68"/>
        <w:rPr>
          <w:rFonts w:eastAsia="宋体"/>
          <w:szCs w:val="24"/>
        </w:rPr>
      </w:pPr>
      <w:r>
        <w:rPr>
          <w:rFonts w:hint="eastAsia" w:eastAsia="宋体"/>
          <w:b/>
          <w:bCs/>
          <w:szCs w:val="24"/>
        </w:rPr>
        <w:t>产污环节：</w:t>
      </w:r>
      <w:r>
        <w:rPr>
          <w:rFonts w:hint="eastAsia" w:eastAsia="宋体"/>
          <w:szCs w:val="24"/>
        </w:rPr>
        <w:t>该工序产生的污染物主要为油墨、干式复合胶水溶剂、擦洗用的稀释剂中的有机溶剂挥发产生有机废气。经印刷、干式复合废气、擦洗废气收集后经密闭管道输送至有机废气处理系统经“吸附浓缩+溶剂回收”工艺处理后经20.5m高DA001排气筒排放。</w:t>
      </w:r>
    </w:p>
    <w:p w14:paraId="739D0E3A">
      <w:pPr>
        <w:pStyle w:val="68"/>
        <w:ind w:firstLine="480"/>
        <w:rPr>
          <w:rFonts w:eastAsia="宋体"/>
          <w:szCs w:val="24"/>
        </w:rPr>
      </w:pPr>
      <w:r>
        <w:rPr>
          <w:rFonts w:hint="eastAsia" w:eastAsia="宋体"/>
          <w:szCs w:val="24"/>
        </w:rPr>
        <w:t>4.</w:t>
      </w:r>
      <w:r>
        <w:rPr>
          <w:rFonts w:eastAsia="宋体"/>
          <w:szCs w:val="24"/>
        </w:rPr>
        <w:t>分切</w:t>
      </w:r>
    </w:p>
    <w:p w14:paraId="32EC250A">
      <w:pPr>
        <w:pStyle w:val="68"/>
        <w:ind w:firstLine="480"/>
        <w:rPr>
          <w:rFonts w:eastAsia="宋体"/>
          <w:szCs w:val="24"/>
        </w:rPr>
      </w:pPr>
      <w:r>
        <w:rPr>
          <w:rFonts w:eastAsia="宋体"/>
          <w:szCs w:val="24"/>
        </w:rPr>
        <w:t>成卷的复合塑料膜在制袋前，需运至分切机将多余的塑料膜切掉，裁剪成所需的宽度和长度。</w:t>
      </w:r>
    </w:p>
    <w:p w14:paraId="5C2614E4">
      <w:pPr>
        <w:pStyle w:val="68"/>
        <w:ind w:firstLine="480"/>
        <w:rPr>
          <w:rFonts w:eastAsia="宋体"/>
          <w:szCs w:val="24"/>
        </w:rPr>
      </w:pPr>
      <w:r>
        <w:rPr>
          <w:rFonts w:hint="eastAsia" w:eastAsia="宋体"/>
          <w:szCs w:val="24"/>
        </w:rPr>
        <w:t>5.</w:t>
      </w:r>
      <w:r>
        <w:rPr>
          <w:rFonts w:eastAsia="宋体"/>
          <w:szCs w:val="24"/>
        </w:rPr>
        <w:t>烫金</w:t>
      </w:r>
    </w:p>
    <w:p w14:paraId="7B49B598">
      <w:pPr>
        <w:ind w:firstLine="480"/>
        <w:rPr>
          <w:rFonts w:hAnsi="宋体"/>
        </w:rPr>
      </w:pPr>
      <w:r>
        <w:t>烫金工艺是一种不用油墨的特种印刷工艺，它是借助一定的压力与温度，运用装载烫印机上的模板，使印刷品和电化铝箔在短时间内相互受压，将金属箔或颜料箔按烫印模板的图文转印到被烫印刷品的表面。</w:t>
      </w:r>
      <w:r>
        <w:rPr>
          <w:rFonts w:hint="eastAsia" w:hAnsi="宋体"/>
        </w:rPr>
        <w:t>因卡纸本身属于相对稳定的物质，</w:t>
      </w:r>
      <w:r>
        <w:t>烫金机的烫金时间为0.4~0.7秒，烫印压力0.2吨，</w:t>
      </w:r>
      <w:r>
        <w:rPr>
          <w:rFonts w:hint="eastAsia" w:hAnsi="宋体"/>
        </w:rPr>
        <w:t>烫金过程中温度（</w:t>
      </w:r>
      <w:r>
        <w:t>约120-1</w:t>
      </w:r>
      <w:r>
        <w:rPr>
          <w:rFonts w:hint="eastAsia"/>
        </w:rPr>
        <w:t>35</w:t>
      </w:r>
      <w:r>
        <w:t>℃</w:t>
      </w:r>
      <w:r>
        <w:rPr>
          <w:rFonts w:hint="eastAsia" w:hAnsi="宋体"/>
        </w:rPr>
        <w:t>）未达到其分解温度且时间短，该过程基本无废气产生。生产过程中会产生噪声以及废烫金箔。因卡纸本身属于相对稳定的物质，</w:t>
      </w:r>
      <w:r>
        <w:t>烫金机的烫金时间为0.4~0.7秒，烫印压力0.2吨，</w:t>
      </w:r>
      <w:r>
        <w:rPr>
          <w:rFonts w:hint="eastAsia" w:hAnsi="宋体"/>
        </w:rPr>
        <w:t>烫金过程中温度（</w:t>
      </w:r>
      <w:r>
        <w:t>约120-1</w:t>
      </w:r>
      <w:r>
        <w:rPr>
          <w:rFonts w:hint="eastAsia"/>
        </w:rPr>
        <w:t>35</w:t>
      </w:r>
      <w:r>
        <w:t>℃</w:t>
      </w:r>
      <w:r>
        <w:rPr>
          <w:rFonts w:hint="eastAsia" w:hAnsi="宋体"/>
        </w:rPr>
        <w:t>）未达到其分解温度且时间短，该过程基本无废气产生。生产过程中会产生噪声以及废烫金箔。</w:t>
      </w:r>
    </w:p>
    <w:p w14:paraId="3D1AB90A">
      <w:pPr>
        <w:pStyle w:val="68"/>
        <w:ind w:firstLine="480"/>
        <w:rPr>
          <w:rFonts w:eastAsia="宋体"/>
          <w:szCs w:val="24"/>
        </w:rPr>
      </w:pPr>
      <w:r>
        <w:rPr>
          <w:rFonts w:hint="eastAsia" w:eastAsia="宋体"/>
          <w:szCs w:val="24"/>
        </w:rPr>
        <w:t>6.</w:t>
      </w:r>
      <w:r>
        <w:rPr>
          <w:rFonts w:eastAsia="宋体"/>
          <w:szCs w:val="24"/>
        </w:rPr>
        <w:t>制袋</w:t>
      </w:r>
    </w:p>
    <w:p w14:paraId="753D58F2">
      <w:pPr>
        <w:pStyle w:val="68"/>
        <w:ind w:firstLine="480"/>
        <w:rPr>
          <w:rFonts w:eastAsia="宋体"/>
          <w:szCs w:val="24"/>
        </w:rPr>
      </w:pPr>
      <w:r>
        <w:rPr>
          <w:rFonts w:eastAsia="宋体"/>
          <w:szCs w:val="24"/>
        </w:rPr>
        <w:t>将经复合、熟化后的成卷包装袋半成品采用制袋机制袋，通过微机电脑数控，步进电机拖料，电脑定长，步长光电跟踪，准确、平稳分切，使用制袋机制袋，最终形成复合袋成品。在该过程中，会产生噪声和一定量的废弃边角料。此外，因塑料膜本身属于相对稳定的物质，分切、制袋温度未达到塑料膜的分解温度，该过程基本无有机废气产生。工艺采用电提供热能。冷却水循环使用。在该过程中，会产生一定量的噪声和废弃边角料。</w:t>
      </w:r>
    </w:p>
    <w:p w14:paraId="767EEAFA">
      <w:pPr>
        <w:pStyle w:val="68"/>
        <w:ind w:firstLine="480"/>
        <w:rPr>
          <w:rFonts w:eastAsia="宋体"/>
          <w:szCs w:val="24"/>
        </w:rPr>
      </w:pPr>
      <w:r>
        <w:rPr>
          <w:rFonts w:hint="eastAsia" w:eastAsia="宋体"/>
          <w:szCs w:val="24"/>
        </w:rPr>
        <w:t>7.</w:t>
      </w:r>
      <w:r>
        <w:rPr>
          <w:rFonts w:eastAsia="宋体"/>
          <w:szCs w:val="24"/>
        </w:rPr>
        <w:t>包装</w:t>
      </w:r>
    </w:p>
    <w:p w14:paraId="518BA574">
      <w:pPr>
        <w:pStyle w:val="68"/>
        <w:ind w:firstLine="480"/>
        <w:rPr>
          <w:rFonts w:eastAsia="宋体"/>
          <w:szCs w:val="24"/>
        </w:rPr>
      </w:pPr>
      <w:r>
        <w:rPr>
          <w:rFonts w:eastAsia="宋体"/>
          <w:szCs w:val="24"/>
        </w:rPr>
        <w:t>经切袋后的成品，依靠制袋机电脑计数，按照规定的成品参数，以人工捆装的方式进行包装成捆、装箱。</w:t>
      </w:r>
    </w:p>
    <w:p w14:paraId="5A7ED928">
      <w:pPr>
        <w:pStyle w:val="68"/>
        <w:ind w:firstLine="480"/>
        <w:rPr>
          <w:rFonts w:eastAsia="宋体"/>
          <w:szCs w:val="24"/>
        </w:rPr>
      </w:pPr>
      <w:r>
        <w:rPr>
          <w:rFonts w:hint="eastAsia" w:eastAsia="宋体"/>
          <w:szCs w:val="24"/>
        </w:rPr>
        <w:t>8.</w:t>
      </w:r>
      <w:r>
        <w:rPr>
          <w:rFonts w:eastAsia="宋体"/>
          <w:szCs w:val="24"/>
        </w:rPr>
        <w:t>检验入库</w:t>
      </w:r>
    </w:p>
    <w:p w14:paraId="37F0AFF8">
      <w:pPr>
        <w:pStyle w:val="38"/>
        <w:ind w:firstLine="480"/>
        <w:rPr>
          <w:rFonts w:ascii="Times New Roman" w:hAnsi="Times New Roman" w:eastAsia="宋体" w:cs="Times New Roman"/>
          <w:color w:val="auto"/>
        </w:rPr>
      </w:pPr>
      <w:r>
        <w:rPr>
          <w:rFonts w:ascii="Times New Roman" w:hAnsi="Times New Roman" w:eastAsia="宋体" w:cs="Times New Roman"/>
          <w:color w:val="auto"/>
        </w:rPr>
        <w:t>包装好的成品，由工作人员物理检测产品尺寸、外观、物理机械性能、耐压性能、跌落性能、印刷质量、溶剂残留量等要求后，合格产品执行入库；不合格产品放入表印袋废料间，定期由废塑料收购企业定期回收再利用。</w:t>
      </w:r>
    </w:p>
    <w:p w14:paraId="66F38F1C">
      <w:pPr>
        <w:ind w:firstLine="482"/>
        <w:rPr>
          <w:b/>
          <w:bCs/>
        </w:rPr>
      </w:pPr>
      <w:r>
        <w:rPr>
          <w:rFonts w:hint="eastAsia"/>
          <w:b/>
          <w:bCs/>
        </w:rPr>
        <w:t>环保措施工艺简介</w:t>
      </w:r>
    </w:p>
    <w:p w14:paraId="136F7DD1">
      <w:pPr>
        <w:pStyle w:val="40"/>
        <w:spacing w:line="360" w:lineRule="auto"/>
        <w:ind w:firstLine="480"/>
        <w:rPr>
          <w:rFonts w:ascii="Times New Roman"/>
        </w:rPr>
      </w:pPr>
      <w:r>
        <w:rPr>
          <w:rFonts w:hint="eastAsia" w:ascii="Times New Roman"/>
        </w:rPr>
        <w:t>本项目印刷、调墨、复合、配胶、擦洗产生的有机废气的区域共使用1套“吸附浓缩+溶剂回收”环保措施处理后经20.5m高排气筒（DA001）排放。导热油锅炉使用天然气，天然气产生的燃烧废气经16m高排气筒（DA002）排放，印刷复合烘干采用天然气加热，天然气产生的燃烧废气经20.5m高排气筒（DA001）排放。</w:t>
      </w:r>
    </w:p>
    <w:p w14:paraId="1333F738">
      <w:pPr>
        <w:pStyle w:val="41"/>
        <w:spacing w:before="0" w:beforeAutospacing="0" w:after="0" w:afterAutospacing="0"/>
        <w:ind w:firstLine="480"/>
        <w:rPr>
          <w:rFonts w:ascii="Times New Roman" w:hAnsi="Times New Roman" w:cs="Times New Roman"/>
          <w:sz w:val="24"/>
        </w:rPr>
      </w:pPr>
      <w:r>
        <w:rPr>
          <w:rFonts w:hint="eastAsia" w:ascii="Times New Roman" w:hAnsi="Times New Roman" w:cs="Times New Roman"/>
          <w:sz w:val="24"/>
        </w:rPr>
        <w:t>“吸附浓缩+溶剂回收”设计方案：吸附浓缩溶剂回收装置包含“气体浓缩、氮气加热、两级脱附、双系统运行、深冷辅助，常温冷凝回收、提纯分离”溶剂回收再利用，实现一套设备分别回收两种体系溶剂，三类产品：</w:t>
      </w:r>
      <w:r>
        <w:rPr>
          <w:rFonts w:ascii="Times New Roman" w:hAnsi="Times New Roman" w:cs="Times New Roman"/>
          <w:sz w:val="24"/>
        </w:rPr>
        <w:t>回收溶剂1（属于高沸溶剂，沸点≥10</w:t>
      </w:r>
      <w:r>
        <w:rPr>
          <w:rFonts w:hint="eastAsia" w:ascii="Times New Roman" w:hAnsi="Times New Roman" w:cs="Times New Roman"/>
          <w:sz w:val="24"/>
        </w:rPr>
        <w:t>0</w:t>
      </w:r>
      <w:r>
        <w:rPr>
          <w:rFonts w:ascii="Times New Roman" w:hAnsi="Times New Roman" w:cs="Times New Roman"/>
          <w:sz w:val="24"/>
        </w:rPr>
        <w:t>℃，主要成分为</w:t>
      </w:r>
      <w:r>
        <w:rPr>
          <w:rFonts w:hint="eastAsia" w:ascii="Times New Roman" w:hAnsi="Times New Roman" w:cs="Times New Roman"/>
          <w:sz w:val="24"/>
        </w:rPr>
        <w:t>乙酸正丙酯、乙酸丁酯</w:t>
      </w:r>
      <w:r>
        <w:rPr>
          <w:rFonts w:ascii="Times New Roman" w:hAnsi="Times New Roman" w:cs="Times New Roman"/>
          <w:sz w:val="24"/>
        </w:rPr>
        <w:t>）；回收溶剂2（属于低沸溶剂，沸点≤83℃，主要成分为</w:t>
      </w:r>
      <w:r>
        <w:rPr>
          <w:rFonts w:hint="eastAsia" w:ascii="Times New Roman" w:hAnsi="Times New Roman" w:cs="Times New Roman"/>
          <w:sz w:val="24"/>
        </w:rPr>
        <w:t>乙酸乙酯、异丙醇</w:t>
      </w:r>
      <w:r>
        <w:rPr>
          <w:rFonts w:ascii="Times New Roman" w:hAnsi="Times New Roman" w:cs="Times New Roman"/>
          <w:sz w:val="24"/>
        </w:rPr>
        <w:t>），回收溶剂</w:t>
      </w:r>
      <w:r>
        <w:rPr>
          <w:rFonts w:hint="eastAsia" w:ascii="Times New Roman" w:hAnsi="Times New Roman" w:cs="Times New Roman"/>
          <w:sz w:val="24"/>
        </w:rPr>
        <w:t>3</w:t>
      </w:r>
      <w:r>
        <w:rPr>
          <w:rFonts w:ascii="Times New Roman" w:hAnsi="Times New Roman" w:cs="Times New Roman"/>
          <w:sz w:val="24"/>
        </w:rPr>
        <w:t>（主要成分为乙酸乙酯）。</w:t>
      </w:r>
      <w:r>
        <w:rPr>
          <w:rFonts w:hint="eastAsia" w:ascii="Times New Roman" w:hAnsi="Times New Roman" w:cs="Times New Roman"/>
          <w:sz w:val="24"/>
        </w:rPr>
        <w:t>主要工艺流程如下图：</w:t>
      </w:r>
    </w:p>
    <w:p w14:paraId="0B186B99">
      <w:pPr>
        <w:pStyle w:val="25"/>
        <w:ind w:left="480" w:firstLine="480"/>
        <w:jc w:val="center"/>
      </w:pPr>
      <w:r>
        <w:rPr>
          <w:rFonts w:hint="eastAsia"/>
        </w:rPr>
        <w:object>
          <v:shape id="_x0000_i1027" o:spt="75" type="#_x0000_t75" style="height:359.95pt;width:283.6pt;" o:ole="t" filled="f" o:preferrelative="t" stroked="f" coordsize="21600,21600">
            <v:path/>
            <v:fill on="f" focussize="0,0"/>
            <v:stroke on="f"/>
            <v:imagedata r:id="rId39" o:title=""/>
            <o:lock v:ext="edit" aspectratio="f"/>
            <w10:wrap type="none"/>
            <w10:anchorlock/>
          </v:shape>
          <o:OLEObject Type="Embed" ProgID="Visio.Drawing.11" ShapeID="_x0000_i1027" DrawAspect="Content" ObjectID="_1468075730" r:id="rId38">
            <o:LockedField>false</o:LockedField>
          </o:OLEObject>
        </w:object>
      </w:r>
    </w:p>
    <w:p w14:paraId="5EFEDB62">
      <w:pPr>
        <w:pStyle w:val="45"/>
        <w:numPr>
          <w:ilvl w:val="6"/>
          <w:numId w:val="0"/>
        </w:numPr>
        <w:spacing w:before="156"/>
        <w:ind w:left="6096" w:leftChars="0" w:hanging="5387" w:firstLineChars="0"/>
        <w:rPr>
          <w:color w:val="auto"/>
        </w:rPr>
      </w:pPr>
      <w:r>
        <w:rPr>
          <w:rFonts w:hint="default" w:ascii="宋体" w:hAnsi="宋体" w:eastAsia="宋体" w:cs="宋体"/>
          <w:b/>
          <w:bCs/>
          <w:color w:val="auto"/>
          <w:kern w:val="2"/>
          <w:sz w:val="21"/>
          <w:szCs w:val="21"/>
          <w:lang w:val="en-US" w:eastAsia="zh-CN" w:bidi="ar-SA"/>
        </w:rPr>
        <w:t xml:space="preserve">图4.2-2 </w:t>
      </w:r>
      <w:r>
        <w:rPr>
          <w:rFonts w:hint="eastAsia"/>
          <w:color w:val="auto"/>
        </w:rPr>
        <w:t>有机废气处理工艺流程图</w:t>
      </w:r>
    </w:p>
    <w:p w14:paraId="38EC5878">
      <w:pPr>
        <w:pStyle w:val="25"/>
        <w:ind w:left="0" w:leftChars="0" w:firstLine="480"/>
        <w:jc w:val="left"/>
      </w:pPr>
      <w:r>
        <w:rPr>
          <w:rFonts w:hint="eastAsia"/>
        </w:rPr>
        <w:t>1.沸石转轮浓缩阶段</w:t>
      </w:r>
    </w:p>
    <w:p w14:paraId="47890B48">
      <w:pPr>
        <w:pStyle w:val="41"/>
        <w:spacing w:before="0" w:beforeAutospacing="0" w:after="0" w:afterAutospacing="0"/>
        <w:ind w:firstLine="480"/>
        <w:rPr>
          <w:rFonts w:ascii="Times New Roman" w:hAnsi="Times New Roman" w:cs="Times New Roman"/>
          <w:sz w:val="24"/>
        </w:rPr>
      </w:pPr>
      <w:r>
        <w:rPr>
          <w:rFonts w:hint="eastAsia" w:ascii="Times New Roman" w:hAnsi="Times New Roman" w:cs="Times New Roman"/>
          <w:sz w:val="24"/>
        </w:rPr>
        <w:t>印刷地排风、干式复合地排风以及活性炭吸附后低浓度气体经过滤装置去除杂质后，经冷却降温至适合吸附温度后进入沸石转轮，转轮吸附后的低浓度气体经20.5m排气筒（DA001）外排；脱附后的高浓度气体进入活性炭罐吸附。</w:t>
      </w:r>
    </w:p>
    <w:p w14:paraId="235BFD36">
      <w:pPr>
        <w:pStyle w:val="41"/>
        <w:spacing w:before="0" w:beforeAutospacing="0" w:after="0" w:afterAutospacing="0"/>
        <w:ind w:firstLine="480"/>
        <w:rPr>
          <w:rFonts w:ascii="Times New Roman" w:hAnsi="Times New Roman" w:cs="Times New Roman"/>
          <w:sz w:val="24"/>
        </w:rPr>
      </w:pPr>
      <w:r>
        <w:rPr>
          <w:rFonts w:hint="eastAsia" w:ascii="Times New Roman" w:hAnsi="Times New Roman" w:cs="Times New Roman"/>
          <w:sz w:val="24"/>
        </w:rPr>
        <w:t>2.活性炭两级吸附脱附</w:t>
      </w:r>
    </w:p>
    <w:p w14:paraId="4155251E">
      <w:pPr>
        <w:ind w:firstLine="480"/>
      </w:pPr>
      <w:r>
        <w:rPr>
          <w:rFonts w:hint="eastAsia"/>
        </w:rPr>
        <w:t>印刷、印刷烘干、干式复合、干式复合烘干废气</w:t>
      </w:r>
      <w:r>
        <w:rPr>
          <w:rFonts w:hint="eastAsia"/>
          <w:lang w:val="en-US" w:eastAsia="zh-CN"/>
        </w:rPr>
        <w:t>经减风增浓后与</w:t>
      </w:r>
      <w:r>
        <w:rPr>
          <w:rFonts w:hint="eastAsia"/>
        </w:rPr>
        <w:t>沸石转轮脱附高浓度废气进入一级活性炭吸附，一级吸附器吸附后的空气返回沸石转轮重新吸附浓缩。本项目使用</w:t>
      </w:r>
      <w:r>
        <w:t>氮气</w:t>
      </w:r>
      <w:r>
        <w:rPr>
          <w:rFonts w:hint="eastAsia"/>
        </w:rPr>
        <w:t>将一级脱附二级吸附所有</w:t>
      </w:r>
      <w:r>
        <w:t>管道内的气体置换为非可燃可爆状态</w:t>
      </w:r>
      <w:r>
        <w:rPr>
          <w:rFonts w:hint="eastAsia"/>
        </w:rPr>
        <w:t>，二级吸附器内腔有机溶剂载体通过系统内高压风机加压经过由蒸汽和导热油加热的换热器升温至可脱附温度（</w:t>
      </w:r>
      <w:r>
        <w:t>180℃</w:t>
      </w:r>
      <w:r>
        <w:rPr>
          <w:rFonts w:hint="eastAsia"/>
        </w:rPr>
        <w:t>），本项目设置7个活性炭吸附罐（5个印刷，2个复合），活性碳填充量为10t/罐。</w:t>
      </w:r>
      <w:r>
        <w:t>吸附器脱附完成后切换至下一</w:t>
      </w:r>
      <w:r>
        <w:rPr>
          <w:rFonts w:hint="eastAsia"/>
        </w:rPr>
        <w:t>次</w:t>
      </w:r>
      <w:r>
        <w:t>吸附循环，脱附出的高浓度溶剂气体使用冷凝回收</w:t>
      </w:r>
      <w:r>
        <w:rPr>
          <w:rFonts w:hint="eastAsia"/>
        </w:rPr>
        <w:t>（包含三级：水冷+中冷（换热器置换）+深冷（制冷剂））</w:t>
      </w:r>
      <w:r>
        <w:t>，</w:t>
      </w:r>
      <w:r>
        <w:rPr>
          <w:rFonts w:hint="eastAsia"/>
        </w:rPr>
        <w:t>水</w:t>
      </w:r>
      <w:r>
        <w:t>冷却温度约为</w:t>
      </w:r>
      <w:r>
        <w:rPr>
          <w:rFonts w:hint="eastAsia" w:ascii="宋体" w:hAnsi="宋体" w:cs="宋体"/>
        </w:rPr>
        <w:t>25</w:t>
      </w:r>
      <w:r>
        <w:t>℃，</w:t>
      </w:r>
      <w:r>
        <w:rPr>
          <w:rFonts w:hint="eastAsia"/>
        </w:rPr>
        <w:t>中间</w:t>
      </w:r>
      <w:r>
        <w:t>冷却温度约为</w:t>
      </w:r>
      <w:r>
        <w:rPr>
          <w:rFonts w:hint="eastAsia" w:ascii="宋体" w:hAnsi="宋体" w:cs="宋体"/>
        </w:rPr>
        <w:t>－</w:t>
      </w:r>
      <w:r>
        <w:rPr>
          <w:rFonts w:hint="eastAsia"/>
        </w:rPr>
        <w:t>1</w:t>
      </w:r>
      <w:r>
        <w:t>0℃，</w:t>
      </w:r>
      <w:r>
        <w:rPr>
          <w:rFonts w:hint="eastAsia"/>
        </w:rPr>
        <w:t>深冷</w:t>
      </w:r>
      <w:r>
        <w:t>冷却温度约为</w:t>
      </w:r>
      <w:r>
        <w:rPr>
          <w:rFonts w:hint="eastAsia" w:ascii="宋体" w:hAnsi="宋体" w:cs="宋体"/>
        </w:rPr>
        <w:t>－</w:t>
      </w:r>
      <w:r>
        <w:rPr>
          <w:rFonts w:hint="eastAsia"/>
        </w:rPr>
        <w:t>4</w:t>
      </w:r>
      <w:r>
        <w:t>0℃，冷凝后</w:t>
      </w:r>
      <w:r>
        <w:rPr>
          <w:rFonts w:hint="eastAsia"/>
        </w:rPr>
        <w:t>有机物变成液体，</w:t>
      </w:r>
      <w:r>
        <w:t>有机溶剂在</w:t>
      </w:r>
      <w:r>
        <w:rPr>
          <w:rFonts w:hint="eastAsia"/>
        </w:rPr>
        <w:t>原液</w:t>
      </w:r>
      <w:r>
        <w:t>罐中暂存。</w:t>
      </w:r>
      <w:r>
        <w:rPr>
          <w:rFonts w:hint="eastAsia"/>
        </w:rPr>
        <w:t>部分</w:t>
      </w:r>
      <w:r>
        <w:t>不凝气进入</w:t>
      </w:r>
      <w:r>
        <w:rPr>
          <w:rFonts w:hint="eastAsia"/>
        </w:rPr>
        <w:t>活性炭循环</w:t>
      </w:r>
      <w:r>
        <w:t>吸附处理，不直接外排。冷凝后的有机溶剂混合物需经过脱酸、脱水、提纯处理后才能成为合格产品进入各成品存储罐。</w:t>
      </w:r>
    </w:p>
    <w:p w14:paraId="172BCEBF">
      <w:pPr>
        <w:ind w:firstLine="480"/>
      </w:pPr>
      <w:r>
        <w:rPr>
          <w:rFonts w:hint="eastAsia"/>
        </w:rPr>
        <w:t>3.厂内提纯</w:t>
      </w:r>
    </w:p>
    <w:p w14:paraId="10E96AFA">
      <w:pPr>
        <w:ind w:firstLine="480"/>
      </w:pPr>
      <w:r>
        <w:rPr>
          <w:rFonts w:hint="eastAsia"/>
        </w:rPr>
        <w:t>冷凝后的原始有机溶剂进入溶剂储存罐内，后进入溶剂后处理设备内</w:t>
      </w:r>
      <w:r>
        <w:t>脱酸、脱水、精馏提纯处理后才能成为合格产品进入各成品存储罐。</w:t>
      </w:r>
    </w:p>
    <w:p w14:paraId="3AE8564E">
      <w:pPr>
        <w:ind w:firstLine="480"/>
      </w:pPr>
      <w:r>
        <w:rPr>
          <w:rFonts w:hint="eastAsia"/>
        </w:rPr>
        <w:t>脱酸工艺：回收原液内一般含有0.1%的乙酸反应物，必须将其分离去除才能返回车间使用。分离设备采用超重力旋转床，将原液蒸发后经过超重力旋转床内的高速转子，形成充分的汽液交换接触传质，沸点低的溶剂从上部分离出去，留下沸点较高的乙酸，从而实现分离。</w:t>
      </w:r>
    </w:p>
    <w:p w14:paraId="4EE64D0D">
      <w:pPr>
        <w:ind w:firstLine="480"/>
      </w:pPr>
      <w:r>
        <w:rPr>
          <w:rFonts w:hint="eastAsia"/>
        </w:rPr>
        <w:t>脱水工艺：经过脱酸后的溶剂内约含有1%的水份，也必须将其去除才能使用。脱酸后的溶剂进入另一套超重力旋转床，利用沸点比较低的溶剂和水共沸形成更低沸点的萃取工艺，将溶剂内的水利用超重力旋转床的精馏原理，首先将水份蒸发去除，形成合格含水量的釜底产品。</w:t>
      </w:r>
    </w:p>
    <w:p w14:paraId="14F25DC5">
      <w:pPr>
        <w:spacing w:line="360" w:lineRule="auto"/>
        <w:ind w:firstLine="480"/>
        <w:rPr>
          <w:rFonts w:hint="eastAsia"/>
          <w:u w:val="single"/>
        </w:rPr>
      </w:pPr>
      <w:r>
        <w:rPr>
          <w:rFonts w:hint="eastAsia"/>
          <w:u w:val="single"/>
        </w:rPr>
        <w:t>提纯分离工艺：提纯分离工艺是将脱水后剩余在釜底的混合溶剂进一步处理，利用不同溶剂沸点不同的物理特性，通过不同的蒸发分流时间段，获取不同沸点的溶剂。从而得到不同种类的溶剂有利于车间更好的会用。</w:t>
      </w:r>
    </w:p>
    <w:p w14:paraId="50B3EDB9">
      <w:pPr>
        <w:pStyle w:val="95"/>
        <w:spacing w:line="360" w:lineRule="auto"/>
        <w:ind w:firstLine="480" w:firstLineChars="200"/>
        <w:rPr>
          <w:rFonts w:hint="default" w:eastAsia="宋体"/>
          <w:lang w:val="en-US" w:eastAsia="zh-CN"/>
        </w:rPr>
      </w:pPr>
      <w:r>
        <w:rPr>
          <w:rFonts w:hint="eastAsia"/>
          <w:u w:val="single"/>
          <w:lang w:val="en-US" w:eastAsia="zh-CN"/>
        </w:rPr>
        <w:t>提纯过程中的极少量不凝气体由回气管路再次通入活性炭吸附净化处理后排放。</w:t>
      </w:r>
    </w:p>
    <w:p w14:paraId="29BA132D">
      <w:pPr>
        <w:ind w:firstLine="480"/>
      </w:pPr>
      <w:r>
        <w:rPr>
          <w:rFonts w:hint="eastAsia"/>
        </w:rPr>
        <w:t>4.循环使用</w:t>
      </w:r>
    </w:p>
    <w:p w14:paraId="0F9CDCA8">
      <w:pPr>
        <w:ind w:firstLine="480"/>
      </w:pPr>
      <w:r>
        <w:t>得到的</w:t>
      </w:r>
      <w:r>
        <w:rPr>
          <w:rFonts w:hint="eastAsia"/>
        </w:rPr>
        <w:t>回收</w:t>
      </w:r>
      <w:r>
        <w:t>溶剂只</w:t>
      </w:r>
      <w:r>
        <w:rPr>
          <w:rFonts w:hint="eastAsia"/>
        </w:rPr>
        <w:t>回用于</w:t>
      </w:r>
      <w:r>
        <w:t>印刷环节的油墨稀释和设备擦洗，复合工段的调胶使用新溶剂</w:t>
      </w:r>
      <w:r>
        <w:rPr>
          <w:rFonts w:hint="eastAsia"/>
        </w:rPr>
        <w:t>，多余回收溶剂溶剂回收公司回收（洛阳天宝新能源有限公司，资质详见附件8）。提纯产品标准如下，混合物及乙酸乙酯满足洛阳天宝新能源有限公司回收要求，同时纯物质乙酸乙酯要满足《工业用乙酸乙酯》（GB/T3278—2007中相关要求）：</w:t>
      </w:r>
    </w:p>
    <w:p w14:paraId="20DC5683">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表4.2-2 </w:t>
      </w:r>
      <w:r>
        <w:rPr>
          <w:rFonts w:hint="eastAsia" w:ascii="宋体" w:hAnsi="宋体" w:cs="宋体"/>
          <w:b/>
          <w:bCs/>
          <w:color w:val="auto"/>
          <w:kern w:val="2"/>
          <w:sz w:val="21"/>
          <w:szCs w:val="21"/>
          <w:lang w:val="en-US" w:eastAsia="zh-CN" w:bidi="ar-SA"/>
        </w:rPr>
        <w:t xml:space="preserve">    </w:t>
      </w:r>
      <w:r>
        <w:rPr>
          <w:rFonts w:hint="eastAsia"/>
        </w:rPr>
        <w:t>印刷回收溶剂指标（高沸）</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2660"/>
        <w:gridCol w:w="3687"/>
      </w:tblGrid>
      <w:tr w14:paraId="424B6E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restart"/>
            <w:tcBorders>
              <w:tl2br w:val="nil"/>
              <w:tr2bl w:val="nil"/>
            </w:tcBorders>
            <w:vAlign w:val="center"/>
          </w:tcPr>
          <w:p w14:paraId="192B5CD6">
            <w:pPr>
              <w:adjustRightInd w:val="0"/>
              <w:snapToGrid w:val="0"/>
              <w:spacing w:line="240" w:lineRule="auto"/>
              <w:jc w:val="center"/>
              <w:rPr>
                <w:sz w:val="21"/>
                <w:szCs w:val="21"/>
              </w:rPr>
            </w:pPr>
            <w:r>
              <w:rPr>
                <w:rFonts w:hint="eastAsia"/>
                <w:sz w:val="21"/>
                <w:szCs w:val="21"/>
              </w:rPr>
              <w:t>印刷回收溶剂指标（高沸）</w:t>
            </w:r>
          </w:p>
        </w:tc>
        <w:tc>
          <w:tcPr>
            <w:tcW w:w="2660" w:type="dxa"/>
            <w:tcBorders>
              <w:tl2br w:val="nil"/>
              <w:tr2bl w:val="nil"/>
            </w:tcBorders>
            <w:vAlign w:val="center"/>
          </w:tcPr>
          <w:p w14:paraId="6DA6A042">
            <w:pPr>
              <w:adjustRightInd w:val="0"/>
              <w:snapToGrid w:val="0"/>
              <w:spacing w:line="240" w:lineRule="auto"/>
              <w:jc w:val="center"/>
              <w:rPr>
                <w:sz w:val="21"/>
                <w:szCs w:val="21"/>
              </w:rPr>
            </w:pPr>
            <w:r>
              <w:rPr>
                <w:rFonts w:hint="eastAsia"/>
                <w:sz w:val="21"/>
                <w:szCs w:val="21"/>
              </w:rPr>
              <w:t>项目</w:t>
            </w:r>
          </w:p>
        </w:tc>
        <w:tc>
          <w:tcPr>
            <w:tcW w:w="3687" w:type="dxa"/>
            <w:tcBorders>
              <w:tl2br w:val="nil"/>
              <w:tr2bl w:val="nil"/>
            </w:tcBorders>
            <w:vAlign w:val="center"/>
          </w:tcPr>
          <w:p w14:paraId="768706A4">
            <w:pPr>
              <w:adjustRightInd w:val="0"/>
              <w:snapToGrid w:val="0"/>
              <w:spacing w:line="240" w:lineRule="auto"/>
              <w:jc w:val="center"/>
              <w:rPr>
                <w:sz w:val="21"/>
                <w:szCs w:val="21"/>
              </w:rPr>
            </w:pPr>
            <w:r>
              <w:rPr>
                <w:rFonts w:hint="eastAsia"/>
                <w:sz w:val="21"/>
                <w:szCs w:val="21"/>
              </w:rPr>
              <w:t>标准</w:t>
            </w:r>
          </w:p>
        </w:tc>
      </w:tr>
      <w:tr w14:paraId="34F77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54F0AC7C">
            <w:pPr>
              <w:adjustRightInd w:val="0"/>
              <w:snapToGrid w:val="0"/>
              <w:spacing w:line="240" w:lineRule="auto"/>
              <w:jc w:val="center"/>
              <w:rPr>
                <w:sz w:val="21"/>
                <w:szCs w:val="21"/>
              </w:rPr>
            </w:pPr>
          </w:p>
        </w:tc>
        <w:tc>
          <w:tcPr>
            <w:tcW w:w="2660" w:type="dxa"/>
            <w:tcBorders>
              <w:tl2br w:val="nil"/>
              <w:tr2bl w:val="nil"/>
            </w:tcBorders>
            <w:vAlign w:val="center"/>
          </w:tcPr>
          <w:p w14:paraId="4C5A9D21">
            <w:pPr>
              <w:adjustRightInd w:val="0"/>
              <w:snapToGrid w:val="0"/>
              <w:spacing w:line="240" w:lineRule="auto"/>
              <w:jc w:val="center"/>
              <w:rPr>
                <w:sz w:val="21"/>
                <w:szCs w:val="21"/>
              </w:rPr>
            </w:pPr>
            <w:r>
              <w:rPr>
                <w:rFonts w:hint="eastAsia"/>
                <w:sz w:val="21"/>
                <w:szCs w:val="21"/>
              </w:rPr>
              <w:t>外观</w:t>
            </w:r>
          </w:p>
        </w:tc>
        <w:tc>
          <w:tcPr>
            <w:tcW w:w="3687" w:type="dxa"/>
            <w:tcBorders>
              <w:tl2br w:val="nil"/>
              <w:tr2bl w:val="nil"/>
            </w:tcBorders>
            <w:vAlign w:val="center"/>
          </w:tcPr>
          <w:p w14:paraId="2F5846E1">
            <w:pPr>
              <w:adjustRightInd w:val="0"/>
              <w:snapToGrid w:val="0"/>
              <w:spacing w:line="240" w:lineRule="auto"/>
              <w:jc w:val="center"/>
              <w:rPr>
                <w:sz w:val="21"/>
                <w:szCs w:val="21"/>
              </w:rPr>
            </w:pPr>
            <w:r>
              <w:rPr>
                <w:rFonts w:hint="eastAsia"/>
                <w:sz w:val="21"/>
                <w:szCs w:val="21"/>
              </w:rPr>
              <w:t>透明液体</w:t>
            </w:r>
          </w:p>
        </w:tc>
      </w:tr>
      <w:tr w14:paraId="60580C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07DD6DAA">
            <w:pPr>
              <w:adjustRightInd w:val="0"/>
              <w:snapToGrid w:val="0"/>
              <w:spacing w:line="240" w:lineRule="auto"/>
              <w:jc w:val="center"/>
              <w:rPr>
                <w:sz w:val="21"/>
                <w:szCs w:val="21"/>
              </w:rPr>
            </w:pPr>
          </w:p>
        </w:tc>
        <w:tc>
          <w:tcPr>
            <w:tcW w:w="2660" w:type="dxa"/>
            <w:tcBorders>
              <w:tl2br w:val="nil"/>
              <w:tr2bl w:val="nil"/>
            </w:tcBorders>
            <w:vAlign w:val="center"/>
          </w:tcPr>
          <w:p w14:paraId="785FD5DE">
            <w:pPr>
              <w:adjustRightInd w:val="0"/>
              <w:snapToGrid w:val="0"/>
              <w:spacing w:line="240" w:lineRule="auto"/>
              <w:jc w:val="center"/>
              <w:rPr>
                <w:sz w:val="21"/>
                <w:szCs w:val="21"/>
              </w:rPr>
            </w:pPr>
            <w:r>
              <w:rPr>
                <w:rFonts w:hint="eastAsia"/>
                <w:sz w:val="21"/>
                <w:szCs w:val="21"/>
              </w:rPr>
              <w:t>色度（铂、钴）</w:t>
            </w:r>
          </w:p>
        </w:tc>
        <w:tc>
          <w:tcPr>
            <w:tcW w:w="3687" w:type="dxa"/>
            <w:tcBorders>
              <w:tl2br w:val="nil"/>
              <w:tr2bl w:val="nil"/>
            </w:tcBorders>
            <w:vAlign w:val="center"/>
          </w:tcPr>
          <w:p w14:paraId="2DBF48C9">
            <w:pPr>
              <w:adjustRightInd w:val="0"/>
              <w:snapToGrid w:val="0"/>
              <w:spacing w:line="240" w:lineRule="auto"/>
              <w:jc w:val="center"/>
              <w:rPr>
                <w:sz w:val="21"/>
                <w:szCs w:val="21"/>
              </w:rPr>
            </w:pPr>
            <w:r>
              <w:rPr>
                <w:sz w:val="21"/>
                <w:szCs w:val="21"/>
              </w:rPr>
              <w:t>≤</w:t>
            </w:r>
            <w:r>
              <w:rPr>
                <w:rFonts w:hint="eastAsia"/>
                <w:sz w:val="21"/>
                <w:szCs w:val="21"/>
              </w:rPr>
              <w:t>10号</w:t>
            </w:r>
          </w:p>
        </w:tc>
      </w:tr>
      <w:tr w14:paraId="1E81E1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152AEE5E">
            <w:pPr>
              <w:adjustRightInd w:val="0"/>
              <w:snapToGrid w:val="0"/>
              <w:spacing w:line="240" w:lineRule="auto"/>
              <w:jc w:val="center"/>
              <w:rPr>
                <w:sz w:val="21"/>
                <w:szCs w:val="21"/>
              </w:rPr>
            </w:pPr>
          </w:p>
        </w:tc>
        <w:tc>
          <w:tcPr>
            <w:tcW w:w="2660" w:type="dxa"/>
            <w:tcBorders>
              <w:tl2br w:val="nil"/>
              <w:tr2bl w:val="nil"/>
            </w:tcBorders>
            <w:vAlign w:val="center"/>
          </w:tcPr>
          <w:p w14:paraId="335DD605">
            <w:pPr>
              <w:adjustRightInd w:val="0"/>
              <w:snapToGrid w:val="0"/>
              <w:spacing w:line="240" w:lineRule="auto"/>
              <w:jc w:val="center"/>
              <w:rPr>
                <w:sz w:val="21"/>
                <w:szCs w:val="21"/>
              </w:rPr>
            </w:pPr>
            <w:r>
              <w:rPr>
                <w:rFonts w:hint="eastAsia"/>
                <w:sz w:val="21"/>
                <w:szCs w:val="21"/>
              </w:rPr>
              <w:t>含水量（H</w:t>
            </w:r>
            <w:r>
              <w:rPr>
                <w:rFonts w:hint="eastAsia"/>
                <w:sz w:val="21"/>
                <w:szCs w:val="21"/>
                <w:vertAlign w:val="subscript"/>
              </w:rPr>
              <w:t>2</w:t>
            </w:r>
            <w:r>
              <w:rPr>
                <w:rFonts w:hint="eastAsia"/>
                <w:sz w:val="21"/>
                <w:szCs w:val="21"/>
              </w:rPr>
              <w:t>O%）</w:t>
            </w:r>
          </w:p>
        </w:tc>
        <w:tc>
          <w:tcPr>
            <w:tcW w:w="3687" w:type="dxa"/>
            <w:tcBorders>
              <w:tl2br w:val="nil"/>
              <w:tr2bl w:val="nil"/>
            </w:tcBorders>
            <w:vAlign w:val="center"/>
          </w:tcPr>
          <w:p w14:paraId="642DBA16">
            <w:pPr>
              <w:adjustRightInd w:val="0"/>
              <w:snapToGrid w:val="0"/>
              <w:spacing w:line="240" w:lineRule="auto"/>
              <w:jc w:val="center"/>
              <w:rPr>
                <w:sz w:val="21"/>
                <w:szCs w:val="21"/>
              </w:rPr>
            </w:pPr>
            <w:r>
              <w:rPr>
                <w:sz w:val="21"/>
                <w:szCs w:val="21"/>
              </w:rPr>
              <w:t>≤</w:t>
            </w:r>
            <w:r>
              <w:rPr>
                <w:rFonts w:hint="eastAsia"/>
                <w:sz w:val="21"/>
                <w:szCs w:val="21"/>
              </w:rPr>
              <w:t>0.1</w:t>
            </w:r>
          </w:p>
        </w:tc>
      </w:tr>
      <w:tr w14:paraId="274ED2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06FDDD34">
            <w:pPr>
              <w:adjustRightInd w:val="0"/>
              <w:snapToGrid w:val="0"/>
              <w:spacing w:line="240" w:lineRule="auto"/>
              <w:jc w:val="center"/>
              <w:rPr>
                <w:sz w:val="21"/>
                <w:szCs w:val="21"/>
              </w:rPr>
            </w:pPr>
          </w:p>
        </w:tc>
        <w:tc>
          <w:tcPr>
            <w:tcW w:w="2660" w:type="dxa"/>
            <w:tcBorders>
              <w:tl2br w:val="nil"/>
              <w:tr2bl w:val="nil"/>
            </w:tcBorders>
            <w:vAlign w:val="center"/>
          </w:tcPr>
          <w:p w14:paraId="6F4BA392">
            <w:pPr>
              <w:adjustRightInd w:val="0"/>
              <w:snapToGrid w:val="0"/>
              <w:spacing w:line="240" w:lineRule="auto"/>
              <w:jc w:val="center"/>
              <w:rPr>
                <w:sz w:val="21"/>
                <w:szCs w:val="21"/>
              </w:rPr>
            </w:pPr>
            <w:r>
              <w:rPr>
                <w:rFonts w:hint="eastAsia"/>
                <w:sz w:val="21"/>
                <w:szCs w:val="21"/>
              </w:rPr>
              <w:t>酸度（以CH</w:t>
            </w:r>
            <w:r>
              <w:rPr>
                <w:rFonts w:hint="eastAsia"/>
                <w:sz w:val="21"/>
                <w:szCs w:val="21"/>
                <w:vertAlign w:val="subscript"/>
              </w:rPr>
              <w:t>3</w:t>
            </w:r>
            <w:r>
              <w:rPr>
                <w:rFonts w:hint="eastAsia"/>
                <w:sz w:val="21"/>
                <w:szCs w:val="21"/>
              </w:rPr>
              <w:t>COOH）</w:t>
            </w:r>
          </w:p>
        </w:tc>
        <w:tc>
          <w:tcPr>
            <w:tcW w:w="3687" w:type="dxa"/>
            <w:tcBorders>
              <w:tl2br w:val="nil"/>
              <w:tr2bl w:val="nil"/>
            </w:tcBorders>
            <w:vAlign w:val="center"/>
          </w:tcPr>
          <w:p w14:paraId="141F20F3">
            <w:pPr>
              <w:adjustRightInd w:val="0"/>
              <w:snapToGrid w:val="0"/>
              <w:spacing w:line="240" w:lineRule="auto"/>
              <w:jc w:val="center"/>
              <w:rPr>
                <w:sz w:val="21"/>
                <w:szCs w:val="21"/>
              </w:rPr>
            </w:pPr>
            <w:r>
              <w:rPr>
                <w:sz w:val="21"/>
                <w:szCs w:val="21"/>
              </w:rPr>
              <w:t>≤</w:t>
            </w:r>
            <w:r>
              <w:rPr>
                <w:rFonts w:hint="eastAsia"/>
                <w:sz w:val="21"/>
                <w:szCs w:val="21"/>
              </w:rPr>
              <w:t>0.03</w:t>
            </w:r>
          </w:p>
        </w:tc>
      </w:tr>
      <w:tr w14:paraId="23794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7FF9DDE1">
            <w:pPr>
              <w:adjustRightInd w:val="0"/>
              <w:snapToGrid w:val="0"/>
              <w:spacing w:line="240" w:lineRule="auto"/>
              <w:jc w:val="center"/>
              <w:rPr>
                <w:sz w:val="21"/>
                <w:szCs w:val="21"/>
              </w:rPr>
            </w:pPr>
          </w:p>
        </w:tc>
        <w:tc>
          <w:tcPr>
            <w:tcW w:w="2660" w:type="dxa"/>
            <w:tcBorders>
              <w:tl2br w:val="nil"/>
              <w:tr2bl w:val="nil"/>
            </w:tcBorders>
            <w:vAlign w:val="center"/>
          </w:tcPr>
          <w:p w14:paraId="413FE72F">
            <w:pPr>
              <w:adjustRightInd w:val="0"/>
              <w:snapToGrid w:val="0"/>
              <w:spacing w:line="240" w:lineRule="auto"/>
              <w:jc w:val="center"/>
              <w:rPr>
                <w:sz w:val="21"/>
                <w:szCs w:val="21"/>
              </w:rPr>
            </w:pPr>
            <w:r>
              <w:rPr>
                <w:rFonts w:hint="eastAsia"/>
                <w:sz w:val="21"/>
                <w:szCs w:val="21"/>
              </w:rPr>
              <w:t>纯度%</w:t>
            </w:r>
          </w:p>
        </w:tc>
        <w:tc>
          <w:tcPr>
            <w:tcW w:w="3687" w:type="dxa"/>
            <w:tcBorders>
              <w:tl2br w:val="nil"/>
              <w:tr2bl w:val="nil"/>
            </w:tcBorders>
            <w:vAlign w:val="center"/>
          </w:tcPr>
          <w:p w14:paraId="3736AA20">
            <w:pPr>
              <w:adjustRightInd w:val="0"/>
              <w:snapToGrid w:val="0"/>
              <w:spacing w:line="240" w:lineRule="auto"/>
              <w:jc w:val="center"/>
              <w:rPr>
                <w:sz w:val="21"/>
                <w:szCs w:val="21"/>
              </w:rPr>
            </w:pPr>
            <w:r>
              <w:rPr>
                <w:sz w:val="21"/>
                <w:szCs w:val="21"/>
              </w:rPr>
              <w:t>≥</w:t>
            </w:r>
            <w:r>
              <w:rPr>
                <w:rFonts w:hint="eastAsia"/>
                <w:sz w:val="21"/>
                <w:szCs w:val="21"/>
              </w:rPr>
              <w:t>85%（乙酸正丙酯+乙酸丁酯）</w:t>
            </w:r>
          </w:p>
        </w:tc>
      </w:tr>
      <w:tr w14:paraId="7D64DD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5FC92C05">
            <w:pPr>
              <w:adjustRightInd w:val="0"/>
              <w:snapToGrid w:val="0"/>
              <w:spacing w:line="240" w:lineRule="auto"/>
              <w:jc w:val="center"/>
              <w:rPr>
                <w:sz w:val="21"/>
                <w:szCs w:val="21"/>
              </w:rPr>
            </w:pPr>
          </w:p>
        </w:tc>
        <w:tc>
          <w:tcPr>
            <w:tcW w:w="2660" w:type="dxa"/>
            <w:tcBorders>
              <w:tl2br w:val="nil"/>
              <w:tr2bl w:val="nil"/>
            </w:tcBorders>
            <w:vAlign w:val="center"/>
          </w:tcPr>
          <w:p w14:paraId="5D90A764">
            <w:pPr>
              <w:adjustRightInd w:val="0"/>
              <w:snapToGrid w:val="0"/>
              <w:spacing w:line="240" w:lineRule="auto"/>
              <w:jc w:val="center"/>
              <w:rPr>
                <w:sz w:val="21"/>
                <w:szCs w:val="21"/>
              </w:rPr>
            </w:pPr>
            <w:r>
              <w:rPr>
                <w:rFonts w:hint="eastAsia"/>
                <w:sz w:val="21"/>
                <w:szCs w:val="21"/>
              </w:rPr>
              <w:t>不挥发物%</w:t>
            </w:r>
          </w:p>
        </w:tc>
        <w:tc>
          <w:tcPr>
            <w:tcW w:w="3687" w:type="dxa"/>
            <w:tcBorders>
              <w:tl2br w:val="nil"/>
              <w:tr2bl w:val="nil"/>
            </w:tcBorders>
            <w:vAlign w:val="center"/>
          </w:tcPr>
          <w:p w14:paraId="7469AAA8">
            <w:pPr>
              <w:adjustRightInd w:val="0"/>
              <w:snapToGrid w:val="0"/>
              <w:spacing w:line="240" w:lineRule="auto"/>
              <w:jc w:val="center"/>
              <w:rPr>
                <w:sz w:val="21"/>
                <w:szCs w:val="21"/>
              </w:rPr>
            </w:pPr>
            <w:r>
              <w:rPr>
                <w:sz w:val="21"/>
                <w:szCs w:val="21"/>
              </w:rPr>
              <w:t>≤</w:t>
            </w:r>
            <w:r>
              <w:rPr>
                <w:rFonts w:hint="eastAsia"/>
                <w:sz w:val="21"/>
                <w:szCs w:val="21"/>
              </w:rPr>
              <w:t>0.003</w:t>
            </w:r>
          </w:p>
        </w:tc>
      </w:tr>
      <w:tr w14:paraId="5843C6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35AF3A3F">
            <w:pPr>
              <w:adjustRightInd w:val="0"/>
              <w:snapToGrid w:val="0"/>
              <w:spacing w:line="240" w:lineRule="auto"/>
              <w:jc w:val="center"/>
              <w:rPr>
                <w:sz w:val="21"/>
                <w:szCs w:val="21"/>
              </w:rPr>
            </w:pPr>
          </w:p>
        </w:tc>
        <w:tc>
          <w:tcPr>
            <w:tcW w:w="2660" w:type="dxa"/>
            <w:tcBorders>
              <w:tl2br w:val="nil"/>
              <w:tr2bl w:val="nil"/>
            </w:tcBorders>
            <w:vAlign w:val="center"/>
          </w:tcPr>
          <w:p w14:paraId="64FEA1FF">
            <w:pPr>
              <w:adjustRightInd w:val="0"/>
              <w:snapToGrid w:val="0"/>
              <w:spacing w:line="240" w:lineRule="auto"/>
              <w:jc w:val="center"/>
              <w:rPr>
                <w:sz w:val="21"/>
                <w:szCs w:val="21"/>
              </w:rPr>
            </w:pPr>
            <w:r>
              <w:rPr>
                <w:rFonts w:hint="eastAsia"/>
                <w:sz w:val="21"/>
                <w:szCs w:val="21"/>
              </w:rPr>
              <w:t>气味</w:t>
            </w:r>
          </w:p>
        </w:tc>
        <w:tc>
          <w:tcPr>
            <w:tcW w:w="3687" w:type="dxa"/>
            <w:tcBorders>
              <w:tl2br w:val="nil"/>
              <w:tr2bl w:val="nil"/>
            </w:tcBorders>
            <w:vAlign w:val="center"/>
          </w:tcPr>
          <w:p w14:paraId="5E529683">
            <w:pPr>
              <w:adjustRightInd w:val="0"/>
              <w:snapToGrid w:val="0"/>
              <w:spacing w:line="240" w:lineRule="auto"/>
              <w:jc w:val="center"/>
              <w:rPr>
                <w:sz w:val="21"/>
                <w:szCs w:val="21"/>
              </w:rPr>
            </w:pPr>
            <w:r>
              <w:rPr>
                <w:rFonts w:hint="eastAsia"/>
                <w:sz w:val="21"/>
                <w:szCs w:val="21"/>
              </w:rPr>
              <w:t>复合特征气味，无臭味等其他以为污染</w:t>
            </w:r>
          </w:p>
        </w:tc>
      </w:tr>
    </w:tbl>
    <w:p w14:paraId="2C3270F9">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表4.2-3 </w:t>
      </w:r>
      <w:r>
        <w:rPr>
          <w:rFonts w:hint="eastAsia" w:ascii="宋体" w:hAnsi="宋体" w:cs="宋体"/>
          <w:b/>
          <w:bCs/>
          <w:color w:val="auto"/>
          <w:kern w:val="2"/>
          <w:sz w:val="21"/>
          <w:szCs w:val="21"/>
          <w:lang w:val="en-US" w:eastAsia="zh-CN" w:bidi="ar-SA"/>
        </w:rPr>
        <w:t xml:space="preserve">    </w:t>
      </w:r>
      <w:r>
        <w:rPr>
          <w:rFonts w:hint="eastAsia"/>
        </w:rPr>
        <w:t>印刷回收溶剂指标（低沸）</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2660"/>
        <w:gridCol w:w="3687"/>
      </w:tblGrid>
      <w:tr w14:paraId="27858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restart"/>
            <w:tcBorders>
              <w:tl2br w:val="nil"/>
              <w:tr2bl w:val="nil"/>
            </w:tcBorders>
            <w:vAlign w:val="center"/>
          </w:tcPr>
          <w:p w14:paraId="72E807F2">
            <w:pPr>
              <w:adjustRightInd w:val="0"/>
              <w:snapToGrid w:val="0"/>
              <w:spacing w:line="240" w:lineRule="auto"/>
              <w:jc w:val="center"/>
              <w:rPr>
                <w:sz w:val="21"/>
                <w:szCs w:val="21"/>
              </w:rPr>
            </w:pPr>
            <w:r>
              <w:rPr>
                <w:rFonts w:hint="eastAsia"/>
                <w:sz w:val="21"/>
                <w:szCs w:val="21"/>
              </w:rPr>
              <w:t>印刷回收溶剂指标（低沸）</w:t>
            </w:r>
          </w:p>
        </w:tc>
        <w:tc>
          <w:tcPr>
            <w:tcW w:w="2660" w:type="dxa"/>
            <w:tcBorders>
              <w:tl2br w:val="nil"/>
              <w:tr2bl w:val="nil"/>
            </w:tcBorders>
            <w:vAlign w:val="center"/>
          </w:tcPr>
          <w:p w14:paraId="0D327EB3">
            <w:pPr>
              <w:adjustRightInd w:val="0"/>
              <w:snapToGrid w:val="0"/>
              <w:spacing w:line="240" w:lineRule="auto"/>
              <w:jc w:val="center"/>
              <w:rPr>
                <w:sz w:val="21"/>
                <w:szCs w:val="21"/>
              </w:rPr>
            </w:pPr>
            <w:r>
              <w:rPr>
                <w:rFonts w:hint="eastAsia"/>
                <w:sz w:val="21"/>
                <w:szCs w:val="21"/>
              </w:rPr>
              <w:t>项目</w:t>
            </w:r>
          </w:p>
        </w:tc>
        <w:tc>
          <w:tcPr>
            <w:tcW w:w="3687" w:type="dxa"/>
            <w:tcBorders>
              <w:tl2br w:val="nil"/>
              <w:tr2bl w:val="nil"/>
            </w:tcBorders>
            <w:vAlign w:val="center"/>
          </w:tcPr>
          <w:p w14:paraId="754A6203">
            <w:pPr>
              <w:adjustRightInd w:val="0"/>
              <w:snapToGrid w:val="0"/>
              <w:spacing w:line="240" w:lineRule="auto"/>
              <w:jc w:val="center"/>
              <w:rPr>
                <w:sz w:val="21"/>
                <w:szCs w:val="21"/>
              </w:rPr>
            </w:pPr>
            <w:r>
              <w:rPr>
                <w:rFonts w:hint="eastAsia"/>
                <w:sz w:val="21"/>
                <w:szCs w:val="21"/>
              </w:rPr>
              <w:t>标准</w:t>
            </w:r>
          </w:p>
        </w:tc>
      </w:tr>
      <w:tr w14:paraId="588774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6381385D">
            <w:pPr>
              <w:adjustRightInd w:val="0"/>
              <w:snapToGrid w:val="0"/>
              <w:spacing w:line="240" w:lineRule="auto"/>
              <w:jc w:val="center"/>
              <w:rPr>
                <w:sz w:val="21"/>
                <w:szCs w:val="21"/>
              </w:rPr>
            </w:pPr>
          </w:p>
        </w:tc>
        <w:tc>
          <w:tcPr>
            <w:tcW w:w="2660" w:type="dxa"/>
            <w:tcBorders>
              <w:tl2br w:val="nil"/>
              <w:tr2bl w:val="nil"/>
            </w:tcBorders>
            <w:vAlign w:val="center"/>
          </w:tcPr>
          <w:p w14:paraId="7925D385">
            <w:pPr>
              <w:adjustRightInd w:val="0"/>
              <w:snapToGrid w:val="0"/>
              <w:spacing w:line="240" w:lineRule="auto"/>
              <w:jc w:val="center"/>
              <w:rPr>
                <w:sz w:val="21"/>
                <w:szCs w:val="21"/>
              </w:rPr>
            </w:pPr>
            <w:r>
              <w:rPr>
                <w:rFonts w:hint="eastAsia"/>
                <w:sz w:val="21"/>
                <w:szCs w:val="21"/>
              </w:rPr>
              <w:t>外观</w:t>
            </w:r>
          </w:p>
        </w:tc>
        <w:tc>
          <w:tcPr>
            <w:tcW w:w="3687" w:type="dxa"/>
            <w:tcBorders>
              <w:tl2br w:val="nil"/>
              <w:tr2bl w:val="nil"/>
            </w:tcBorders>
            <w:vAlign w:val="center"/>
          </w:tcPr>
          <w:p w14:paraId="0A1E030F">
            <w:pPr>
              <w:adjustRightInd w:val="0"/>
              <w:snapToGrid w:val="0"/>
              <w:spacing w:line="240" w:lineRule="auto"/>
              <w:jc w:val="center"/>
              <w:rPr>
                <w:sz w:val="21"/>
                <w:szCs w:val="21"/>
              </w:rPr>
            </w:pPr>
            <w:r>
              <w:rPr>
                <w:rFonts w:hint="eastAsia"/>
                <w:sz w:val="21"/>
                <w:szCs w:val="21"/>
              </w:rPr>
              <w:t>透明液体</w:t>
            </w:r>
          </w:p>
        </w:tc>
      </w:tr>
      <w:tr w14:paraId="1631F4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6F77B7B8">
            <w:pPr>
              <w:adjustRightInd w:val="0"/>
              <w:snapToGrid w:val="0"/>
              <w:spacing w:line="240" w:lineRule="auto"/>
              <w:jc w:val="center"/>
              <w:rPr>
                <w:sz w:val="21"/>
                <w:szCs w:val="21"/>
              </w:rPr>
            </w:pPr>
          </w:p>
        </w:tc>
        <w:tc>
          <w:tcPr>
            <w:tcW w:w="2660" w:type="dxa"/>
            <w:tcBorders>
              <w:tl2br w:val="nil"/>
              <w:tr2bl w:val="nil"/>
            </w:tcBorders>
            <w:vAlign w:val="center"/>
          </w:tcPr>
          <w:p w14:paraId="33F7DB46">
            <w:pPr>
              <w:adjustRightInd w:val="0"/>
              <w:snapToGrid w:val="0"/>
              <w:spacing w:line="240" w:lineRule="auto"/>
              <w:jc w:val="center"/>
              <w:rPr>
                <w:sz w:val="21"/>
                <w:szCs w:val="21"/>
              </w:rPr>
            </w:pPr>
            <w:r>
              <w:rPr>
                <w:rFonts w:hint="eastAsia"/>
                <w:sz w:val="21"/>
                <w:szCs w:val="21"/>
              </w:rPr>
              <w:t>色度（铂、钴）</w:t>
            </w:r>
          </w:p>
        </w:tc>
        <w:tc>
          <w:tcPr>
            <w:tcW w:w="3687" w:type="dxa"/>
            <w:tcBorders>
              <w:tl2br w:val="nil"/>
              <w:tr2bl w:val="nil"/>
            </w:tcBorders>
            <w:vAlign w:val="center"/>
          </w:tcPr>
          <w:p w14:paraId="06C6CF2B">
            <w:pPr>
              <w:adjustRightInd w:val="0"/>
              <w:snapToGrid w:val="0"/>
              <w:spacing w:line="240" w:lineRule="auto"/>
              <w:jc w:val="center"/>
              <w:rPr>
                <w:sz w:val="21"/>
                <w:szCs w:val="21"/>
              </w:rPr>
            </w:pPr>
            <w:r>
              <w:rPr>
                <w:sz w:val="21"/>
                <w:szCs w:val="21"/>
              </w:rPr>
              <w:t>≤</w:t>
            </w:r>
            <w:r>
              <w:rPr>
                <w:rFonts w:hint="eastAsia"/>
                <w:sz w:val="21"/>
                <w:szCs w:val="21"/>
              </w:rPr>
              <w:t>10号</w:t>
            </w:r>
          </w:p>
        </w:tc>
      </w:tr>
      <w:tr w14:paraId="0A3B83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464F6FC3">
            <w:pPr>
              <w:adjustRightInd w:val="0"/>
              <w:snapToGrid w:val="0"/>
              <w:spacing w:line="240" w:lineRule="auto"/>
              <w:jc w:val="center"/>
              <w:rPr>
                <w:sz w:val="21"/>
                <w:szCs w:val="21"/>
              </w:rPr>
            </w:pPr>
          </w:p>
        </w:tc>
        <w:tc>
          <w:tcPr>
            <w:tcW w:w="2660" w:type="dxa"/>
            <w:tcBorders>
              <w:tl2br w:val="nil"/>
              <w:tr2bl w:val="nil"/>
            </w:tcBorders>
            <w:vAlign w:val="center"/>
          </w:tcPr>
          <w:p w14:paraId="2D2148A0">
            <w:pPr>
              <w:adjustRightInd w:val="0"/>
              <w:snapToGrid w:val="0"/>
              <w:spacing w:line="240" w:lineRule="auto"/>
              <w:jc w:val="center"/>
              <w:rPr>
                <w:sz w:val="21"/>
                <w:szCs w:val="21"/>
              </w:rPr>
            </w:pPr>
            <w:r>
              <w:rPr>
                <w:rFonts w:hint="eastAsia"/>
                <w:sz w:val="21"/>
                <w:szCs w:val="21"/>
              </w:rPr>
              <w:t>含水量（H</w:t>
            </w:r>
            <w:r>
              <w:rPr>
                <w:rFonts w:hint="eastAsia"/>
                <w:sz w:val="21"/>
                <w:szCs w:val="21"/>
                <w:vertAlign w:val="subscript"/>
              </w:rPr>
              <w:t>2</w:t>
            </w:r>
            <w:r>
              <w:rPr>
                <w:rFonts w:hint="eastAsia"/>
                <w:sz w:val="21"/>
                <w:szCs w:val="21"/>
              </w:rPr>
              <w:t>O%）</w:t>
            </w:r>
          </w:p>
        </w:tc>
        <w:tc>
          <w:tcPr>
            <w:tcW w:w="3687" w:type="dxa"/>
            <w:tcBorders>
              <w:tl2br w:val="nil"/>
              <w:tr2bl w:val="nil"/>
            </w:tcBorders>
            <w:vAlign w:val="center"/>
          </w:tcPr>
          <w:p w14:paraId="00D7DF82">
            <w:pPr>
              <w:adjustRightInd w:val="0"/>
              <w:snapToGrid w:val="0"/>
              <w:spacing w:line="240" w:lineRule="auto"/>
              <w:jc w:val="center"/>
              <w:rPr>
                <w:sz w:val="21"/>
                <w:szCs w:val="21"/>
              </w:rPr>
            </w:pPr>
            <w:r>
              <w:rPr>
                <w:sz w:val="21"/>
                <w:szCs w:val="21"/>
              </w:rPr>
              <w:t>≤</w:t>
            </w:r>
            <w:r>
              <w:rPr>
                <w:rFonts w:hint="eastAsia"/>
                <w:sz w:val="21"/>
                <w:szCs w:val="21"/>
              </w:rPr>
              <w:t>0.1</w:t>
            </w:r>
          </w:p>
        </w:tc>
      </w:tr>
      <w:tr w14:paraId="0E5C3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5CCC3F99">
            <w:pPr>
              <w:adjustRightInd w:val="0"/>
              <w:snapToGrid w:val="0"/>
              <w:spacing w:line="240" w:lineRule="auto"/>
              <w:jc w:val="center"/>
              <w:rPr>
                <w:sz w:val="21"/>
                <w:szCs w:val="21"/>
              </w:rPr>
            </w:pPr>
          </w:p>
        </w:tc>
        <w:tc>
          <w:tcPr>
            <w:tcW w:w="2660" w:type="dxa"/>
            <w:tcBorders>
              <w:tl2br w:val="nil"/>
              <w:tr2bl w:val="nil"/>
            </w:tcBorders>
            <w:vAlign w:val="center"/>
          </w:tcPr>
          <w:p w14:paraId="582ED353">
            <w:pPr>
              <w:adjustRightInd w:val="0"/>
              <w:snapToGrid w:val="0"/>
              <w:spacing w:line="240" w:lineRule="auto"/>
              <w:jc w:val="center"/>
              <w:rPr>
                <w:sz w:val="21"/>
                <w:szCs w:val="21"/>
              </w:rPr>
            </w:pPr>
            <w:r>
              <w:rPr>
                <w:rFonts w:hint="eastAsia"/>
                <w:sz w:val="21"/>
                <w:szCs w:val="21"/>
              </w:rPr>
              <w:t>酸度（以CH</w:t>
            </w:r>
            <w:r>
              <w:rPr>
                <w:rFonts w:hint="eastAsia"/>
                <w:sz w:val="21"/>
                <w:szCs w:val="21"/>
                <w:vertAlign w:val="subscript"/>
              </w:rPr>
              <w:t>3</w:t>
            </w:r>
            <w:r>
              <w:rPr>
                <w:rFonts w:hint="eastAsia"/>
                <w:sz w:val="21"/>
                <w:szCs w:val="21"/>
              </w:rPr>
              <w:t>COOH）</w:t>
            </w:r>
          </w:p>
        </w:tc>
        <w:tc>
          <w:tcPr>
            <w:tcW w:w="3687" w:type="dxa"/>
            <w:tcBorders>
              <w:tl2br w:val="nil"/>
              <w:tr2bl w:val="nil"/>
            </w:tcBorders>
            <w:vAlign w:val="center"/>
          </w:tcPr>
          <w:p w14:paraId="268ED211">
            <w:pPr>
              <w:adjustRightInd w:val="0"/>
              <w:snapToGrid w:val="0"/>
              <w:spacing w:line="240" w:lineRule="auto"/>
              <w:jc w:val="center"/>
              <w:rPr>
                <w:sz w:val="21"/>
                <w:szCs w:val="21"/>
              </w:rPr>
            </w:pPr>
            <w:r>
              <w:rPr>
                <w:sz w:val="21"/>
                <w:szCs w:val="21"/>
              </w:rPr>
              <w:t>≤</w:t>
            </w:r>
            <w:r>
              <w:rPr>
                <w:rFonts w:hint="eastAsia"/>
                <w:sz w:val="21"/>
                <w:szCs w:val="21"/>
              </w:rPr>
              <w:t>0.005</w:t>
            </w:r>
          </w:p>
        </w:tc>
      </w:tr>
      <w:tr w14:paraId="2AD9F8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705B3616">
            <w:pPr>
              <w:adjustRightInd w:val="0"/>
              <w:snapToGrid w:val="0"/>
              <w:spacing w:line="240" w:lineRule="auto"/>
              <w:jc w:val="center"/>
              <w:rPr>
                <w:sz w:val="21"/>
                <w:szCs w:val="21"/>
              </w:rPr>
            </w:pPr>
          </w:p>
        </w:tc>
        <w:tc>
          <w:tcPr>
            <w:tcW w:w="2660" w:type="dxa"/>
            <w:tcBorders>
              <w:tl2br w:val="nil"/>
              <w:tr2bl w:val="nil"/>
            </w:tcBorders>
            <w:vAlign w:val="center"/>
          </w:tcPr>
          <w:p w14:paraId="712B178F">
            <w:pPr>
              <w:adjustRightInd w:val="0"/>
              <w:snapToGrid w:val="0"/>
              <w:spacing w:line="240" w:lineRule="auto"/>
              <w:jc w:val="center"/>
              <w:rPr>
                <w:sz w:val="21"/>
                <w:szCs w:val="21"/>
              </w:rPr>
            </w:pPr>
            <w:r>
              <w:rPr>
                <w:rFonts w:hint="eastAsia"/>
                <w:sz w:val="21"/>
                <w:szCs w:val="21"/>
              </w:rPr>
              <w:t>纯度%</w:t>
            </w:r>
          </w:p>
        </w:tc>
        <w:tc>
          <w:tcPr>
            <w:tcW w:w="3687" w:type="dxa"/>
            <w:tcBorders>
              <w:tl2br w:val="nil"/>
              <w:tr2bl w:val="nil"/>
            </w:tcBorders>
            <w:vAlign w:val="center"/>
          </w:tcPr>
          <w:p w14:paraId="2D420561">
            <w:pPr>
              <w:adjustRightInd w:val="0"/>
              <w:snapToGrid w:val="0"/>
              <w:spacing w:line="240" w:lineRule="auto"/>
              <w:jc w:val="center"/>
              <w:rPr>
                <w:sz w:val="21"/>
                <w:szCs w:val="21"/>
              </w:rPr>
            </w:pPr>
            <w:r>
              <w:rPr>
                <w:sz w:val="21"/>
                <w:szCs w:val="21"/>
              </w:rPr>
              <w:t>≥</w:t>
            </w:r>
            <w:r>
              <w:rPr>
                <w:rFonts w:hint="eastAsia"/>
                <w:sz w:val="21"/>
                <w:szCs w:val="21"/>
              </w:rPr>
              <w:t>85%（乙酸乙酯+异丙醇）</w:t>
            </w:r>
          </w:p>
        </w:tc>
      </w:tr>
      <w:tr w14:paraId="2799BC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3B562521">
            <w:pPr>
              <w:adjustRightInd w:val="0"/>
              <w:snapToGrid w:val="0"/>
              <w:spacing w:line="240" w:lineRule="auto"/>
              <w:jc w:val="center"/>
              <w:rPr>
                <w:sz w:val="21"/>
                <w:szCs w:val="21"/>
              </w:rPr>
            </w:pPr>
          </w:p>
        </w:tc>
        <w:tc>
          <w:tcPr>
            <w:tcW w:w="2660" w:type="dxa"/>
            <w:tcBorders>
              <w:tl2br w:val="nil"/>
              <w:tr2bl w:val="nil"/>
            </w:tcBorders>
            <w:vAlign w:val="center"/>
          </w:tcPr>
          <w:p w14:paraId="6843C555">
            <w:pPr>
              <w:adjustRightInd w:val="0"/>
              <w:snapToGrid w:val="0"/>
              <w:spacing w:line="240" w:lineRule="auto"/>
              <w:jc w:val="center"/>
              <w:rPr>
                <w:sz w:val="21"/>
                <w:szCs w:val="21"/>
              </w:rPr>
            </w:pPr>
            <w:r>
              <w:rPr>
                <w:rFonts w:hint="eastAsia"/>
                <w:sz w:val="21"/>
                <w:szCs w:val="21"/>
              </w:rPr>
              <w:t>不挥发物%</w:t>
            </w:r>
          </w:p>
        </w:tc>
        <w:tc>
          <w:tcPr>
            <w:tcW w:w="3687" w:type="dxa"/>
            <w:tcBorders>
              <w:tl2br w:val="nil"/>
              <w:tr2bl w:val="nil"/>
            </w:tcBorders>
            <w:vAlign w:val="center"/>
          </w:tcPr>
          <w:p w14:paraId="3AF795D4">
            <w:pPr>
              <w:adjustRightInd w:val="0"/>
              <w:snapToGrid w:val="0"/>
              <w:spacing w:line="240" w:lineRule="auto"/>
              <w:jc w:val="center"/>
              <w:rPr>
                <w:sz w:val="21"/>
                <w:szCs w:val="21"/>
              </w:rPr>
            </w:pPr>
            <w:r>
              <w:rPr>
                <w:sz w:val="21"/>
                <w:szCs w:val="21"/>
              </w:rPr>
              <w:t>≤</w:t>
            </w:r>
            <w:r>
              <w:rPr>
                <w:rFonts w:hint="eastAsia"/>
                <w:sz w:val="21"/>
                <w:szCs w:val="21"/>
              </w:rPr>
              <w:t>0.003</w:t>
            </w:r>
          </w:p>
        </w:tc>
      </w:tr>
      <w:tr w14:paraId="7BF671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5" w:type="dxa"/>
            <w:vMerge w:val="continue"/>
            <w:tcBorders>
              <w:tl2br w:val="nil"/>
              <w:tr2bl w:val="nil"/>
            </w:tcBorders>
            <w:vAlign w:val="center"/>
          </w:tcPr>
          <w:p w14:paraId="3089AA41">
            <w:pPr>
              <w:adjustRightInd w:val="0"/>
              <w:snapToGrid w:val="0"/>
              <w:spacing w:line="240" w:lineRule="auto"/>
              <w:jc w:val="center"/>
              <w:rPr>
                <w:sz w:val="21"/>
                <w:szCs w:val="21"/>
              </w:rPr>
            </w:pPr>
          </w:p>
        </w:tc>
        <w:tc>
          <w:tcPr>
            <w:tcW w:w="2660" w:type="dxa"/>
            <w:tcBorders>
              <w:tl2br w:val="nil"/>
              <w:tr2bl w:val="nil"/>
            </w:tcBorders>
            <w:vAlign w:val="center"/>
          </w:tcPr>
          <w:p w14:paraId="6D218C45">
            <w:pPr>
              <w:adjustRightInd w:val="0"/>
              <w:snapToGrid w:val="0"/>
              <w:spacing w:line="240" w:lineRule="auto"/>
              <w:jc w:val="center"/>
              <w:rPr>
                <w:sz w:val="21"/>
                <w:szCs w:val="21"/>
              </w:rPr>
            </w:pPr>
            <w:r>
              <w:rPr>
                <w:rFonts w:hint="eastAsia"/>
                <w:sz w:val="21"/>
                <w:szCs w:val="21"/>
              </w:rPr>
              <w:t>气味</w:t>
            </w:r>
          </w:p>
        </w:tc>
        <w:tc>
          <w:tcPr>
            <w:tcW w:w="3687" w:type="dxa"/>
            <w:tcBorders>
              <w:tl2br w:val="nil"/>
              <w:tr2bl w:val="nil"/>
            </w:tcBorders>
            <w:vAlign w:val="center"/>
          </w:tcPr>
          <w:p w14:paraId="53DE5D29">
            <w:pPr>
              <w:adjustRightInd w:val="0"/>
              <w:snapToGrid w:val="0"/>
              <w:spacing w:line="240" w:lineRule="auto"/>
              <w:jc w:val="center"/>
              <w:rPr>
                <w:sz w:val="21"/>
                <w:szCs w:val="21"/>
              </w:rPr>
            </w:pPr>
            <w:r>
              <w:rPr>
                <w:rFonts w:hint="eastAsia"/>
                <w:sz w:val="21"/>
                <w:szCs w:val="21"/>
              </w:rPr>
              <w:t>复合特征气味，无臭味等其他以为污染</w:t>
            </w:r>
          </w:p>
        </w:tc>
      </w:tr>
    </w:tbl>
    <w:p w14:paraId="407AA0D7">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4.2.2.2</w:t>
      </w:r>
      <w:r>
        <w:rPr>
          <w:rFonts w:hint="eastAsia"/>
        </w:rPr>
        <w:t>项目污染源汇总</w:t>
      </w:r>
    </w:p>
    <w:p w14:paraId="5B82F6A2">
      <w:pPr>
        <w:ind w:firstLine="480"/>
      </w:pPr>
      <w:r>
        <w:rPr>
          <w:rFonts w:hint="eastAsia"/>
        </w:rPr>
        <w:t>根据《塑料包装印刷挥发性有机物治理实用手册》、《印刷工业污染防治可行技术指南》（HJ1089-2020），结合生产工艺流程，本项目产污环节见下表：</w:t>
      </w:r>
    </w:p>
    <w:p w14:paraId="39F5F7A5">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表4.2-4 </w:t>
      </w:r>
      <w:r>
        <w:rPr>
          <w:rFonts w:hint="eastAsia" w:ascii="宋体" w:hAnsi="宋体" w:cs="宋体"/>
          <w:b/>
          <w:bCs/>
          <w:color w:val="auto"/>
          <w:kern w:val="2"/>
          <w:sz w:val="21"/>
          <w:szCs w:val="21"/>
          <w:lang w:val="en-US" w:eastAsia="zh-CN" w:bidi="ar-SA"/>
        </w:rPr>
        <w:t xml:space="preserve">      </w:t>
      </w:r>
      <w:r>
        <w:rPr>
          <w:rFonts w:hint="eastAsia"/>
        </w:rPr>
        <w:t>项目营运期产物环节</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0" w:type="dxa"/>
          <w:bottom w:w="0" w:type="dxa"/>
          <w:right w:w="0" w:type="dxa"/>
        </w:tblCellMar>
      </w:tblPr>
      <w:tblGrid>
        <w:gridCol w:w="930"/>
        <w:gridCol w:w="791"/>
        <w:gridCol w:w="1773"/>
        <w:gridCol w:w="3952"/>
        <w:gridCol w:w="944"/>
      </w:tblGrid>
      <w:tr w14:paraId="1121038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3494" w:type="dxa"/>
            <w:gridSpan w:val="3"/>
            <w:tcBorders>
              <w:tl2br w:val="nil"/>
              <w:tr2bl w:val="nil"/>
            </w:tcBorders>
            <w:vAlign w:val="center"/>
          </w:tcPr>
          <w:p w14:paraId="72146B0B">
            <w:pPr>
              <w:adjustRightInd w:val="0"/>
              <w:snapToGrid w:val="0"/>
              <w:spacing w:line="240" w:lineRule="auto"/>
              <w:jc w:val="center"/>
              <w:rPr>
                <w:sz w:val="21"/>
                <w:szCs w:val="21"/>
              </w:rPr>
            </w:pPr>
            <w:r>
              <w:rPr>
                <w:sz w:val="21"/>
                <w:szCs w:val="21"/>
              </w:rPr>
              <w:t>污染源</w:t>
            </w:r>
          </w:p>
        </w:tc>
        <w:tc>
          <w:tcPr>
            <w:tcW w:w="3952" w:type="dxa"/>
            <w:tcBorders>
              <w:right w:val="single" w:color="auto" w:sz="4" w:space="0"/>
              <w:tl2br w:val="nil"/>
              <w:tr2bl w:val="nil"/>
            </w:tcBorders>
            <w:vAlign w:val="center"/>
          </w:tcPr>
          <w:p w14:paraId="0CBD291E">
            <w:pPr>
              <w:adjustRightInd w:val="0"/>
              <w:snapToGrid w:val="0"/>
              <w:spacing w:line="240" w:lineRule="auto"/>
              <w:jc w:val="center"/>
              <w:rPr>
                <w:sz w:val="21"/>
                <w:szCs w:val="21"/>
              </w:rPr>
            </w:pPr>
            <w:r>
              <w:rPr>
                <w:sz w:val="21"/>
                <w:szCs w:val="21"/>
              </w:rPr>
              <w:t>污染物因子</w:t>
            </w:r>
          </w:p>
        </w:tc>
        <w:tc>
          <w:tcPr>
            <w:tcW w:w="944" w:type="dxa"/>
            <w:tcBorders>
              <w:left w:val="single" w:color="auto" w:sz="4" w:space="0"/>
              <w:tl2br w:val="nil"/>
              <w:tr2bl w:val="nil"/>
            </w:tcBorders>
            <w:vAlign w:val="center"/>
          </w:tcPr>
          <w:p w14:paraId="1398D8F6">
            <w:pPr>
              <w:adjustRightInd w:val="0"/>
              <w:snapToGrid w:val="0"/>
              <w:spacing w:line="240" w:lineRule="auto"/>
              <w:jc w:val="center"/>
              <w:rPr>
                <w:sz w:val="21"/>
                <w:szCs w:val="21"/>
              </w:rPr>
            </w:pPr>
            <w:r>
              <w:rPr>
                <w:sz w:val="21"/>
                <w:szCs w:val="21"/>
              </w:rPr>
              <w:t>连续方式</w:t>
            </w:r>
          </w:p>
        </w:tc>
      </w:tr>
      <w:tr w14:paraId="251ED7D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restart"/>
            <w:tcBorders>
              <w:tl2br w:val="nil"/>
              <w:tr2bl w:val="nil"/>
            </w:tcBorders>
            <w:vAlign w:val="center"/>
          </w:tcPr>
          <w:p w14:paraId="1EB10FA3">
            <w:pPr>
              <w:adjustRightInd w:val="0"/>
              <w:snapToGrid w:val="0"/>
              <w:spacing w:line="240" w:lineRule="auto"/>
              <w:jc w:val="center"/>
              <w:rPr>
                <w:sz w:val="21"/>
                <w:szCs w:val="21"/>
              </w:rPr>
            </w:pPr>
            <w:r>
              <w:rPr>
                <w:sz w:val="21"/>
                <w:szCs w:val="21"/>
              </w:rPr>
              <w:t>废气</w:t>
            </w:r>
          </w:p>
        </w:tc>
        <w:tc>
          <w:tcPr>
            <w:tcW w:w="791" w:type="dxa"/>
            <w:tcBorders>
              <w:tl2br w:val="nil"/>
              <w:tr2bl w:val="nil"/>
            </w:tcBorders>
            <w:vAlign w:val="center"/>
          </w:tcPr>
          <w:p w14:paraId="7ABEAC9B">
            <w:pPr>
              <w:adjustRightInd w:val="0"/>
              <w:snapToGrid w:val="0"/>
              <w:spacing w:line="240" w:lineRule="auto"/>
              <w:jc w:val="center"/>
              <w:rPr>
                <w:sz w:val="21"/>
                <w:szCs w:val="21"/>
              </w:rPr>
            </w:pPr>
            <w:r>
              <w:rPr>
                <w:sz w:val="21"/>
                <w:szCs w:val="21"/>
              </w:rPr>
              <w:t>G1</w:t>
            </w:r>
          </w:p>
        </w:tc>
        <w:tc>
          <w:tcPr>
            <w:tcW w:w="1773" w:type="dxa"/>
            <w:tcBorders>
              <w:tl2br w:val="nil"/>
              <w:tr2bl w:val="nil"/>
            </w:tcBorders>
            <w:vAlign w:val="center"/>
          </w:tcPr>
          <w:p w14:paraId="5CC10E76">
            <w:pPr>
              <w:adjustRightInd w:val="0"/>
              <w:snapToGrid w:val="0"/>
              <w:spacing w:line="240" w:lineRule="auto"/>
              <w:jc w:val="center"/>
              <w:rPr>
                <w:sz w:val="21"/>
                <w:szCs w:val="21"/>
              </w:rPr>
            </w:pPr>
            <w:r>
              <w:rPr>
                <w:sz w:val="21"/>
                <w:szCs w:val="21"/>
              </w:rPr>
              <w:t>油墨调配、输送</w:t>
            </w:r>
          </w:p>
        </w:tc>
        <w:tc>
          <w:tcPr>
            <w:tcW w:w="3952" w:type="dxa"/>
            <w:vMerge w:val="restart"/>
            <w:tcBorders>
              <w:right w:val="single" w:color="auto" w:sz="4" w:space="0"/>
              <w:tl2br w:val="nil"/>
              <w:tr2bl w:val="nil"/>
            </w:tcBorders>
            <w:vAlign w:val="center"/>
          </w:tcPr>
          <w:p w14:paraId="31346A28">
            <w:pPr>
              <w:adjustRightInd w:val="0"/>
              <w:snapToGrid w:val="0"/>
              <w:spacing w:line="240" w:lineRule="auto"/>
              <w:jc w:val="center"/>
              <w:rPr>
                <w:sz w:val="21"/>
                <w:szCs w:val="21"/>
              </w:rPr>
            </w:pPr>
            <w:r>
              <w:rPr>
                <w:rFonts w:hint="eastAsia"/>
                <w:sz w:val="21"/>
                <w:szCs w:val="21"/>
              </w:rPr>
              <w:t>挥发性有机物</w:t>
            </w:r>
          </w:p>
        </w:tc>
        <w:tc>
          <w:tcPr>
            <w:tcW w:w="944" w:type="dxa"/>
            <w:tcBorders>
              <w:left w:val="single" w:color="auto" w:sz="4" w:space="0"/>
              <w:tl2br w:val="nil"/>
              <w:tr2bl w:val="nil"/>
            </w:tcBorders>
            <w:vAlign w:val="center"/>
          </w:tcPr>
          <w:p w14:paraId="4F1766AF">
            <w:pPr>
              <w:adjustRightInd w:val="0"/>
              <w:snapToGrid w:val="0"/>
              <w:spacing w:line="240" w:lineRule="auto"/>
              <w:jc w:val="center"/>
              <w:rPr>
                <w:sz w:val="21"/>
                <w:szCs w:val="21"/>
              </w:rPr>
            </w:pPr>
            <w:r>
              <w:rPr>
                <w:sz w:val="21"/>
                <w:szCs w:val="21"/>
              </w:rPr>
              <w:t>间断</w:t>
            </w:r>
          </w:p>
        </w:tc>
      </w:tr>
      <w:tr w14:paraId="4917874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699DAEE1">
            <w:pPr>
              <w:adjustRightInd w:val="0"/>
              <w:snapToGrid w:val="0"/>
              <w:spacing w:line="240" w:lineRule="auto"/>
              <w:jc w:val="center"/>
              <w:rPr>
                <w:sz w:val="21"/>
                <w:szCs w:val="21"/>
              </w:rPr>
            </w:pPr>
          </w:p>
        </w:tc>
        <w:tc>
          <w:tcPr>
            <w:tcW w:w="791" w:type="dxa"/>
            <w:tcBorders>
              <w:tl2br w:val="nil"/>
              <w:tr2bl w:val="nil"/>
            </w:tcBorders>
            <w:vAlign w:val="center"/>
          </w:tcPr>
          <w:p w14:paraId="71B26ED0">
            <w:pPr>
              <w:adjustRightInd w:val="0"/>
              <w:snapToGrid w:val="0"/>
              <w:spacing w:line="240" w:lineRule="auto"/>
              <w:jc w:val="center"/>
              <w:rPr>
                <w:sz w:val="21"/>
                <w:szCs w:val="21"/>
              </w:rPr>
            </w:pPr>
            <w:r>
              <w:rPr>
                <w:sz w:val="21"/>
                <w:szCs w:val="21"/>
              </w:rPr>
              <w:t>G2</w:t>
            </w:r>
          </w:p>
        </w:tc>
        <w:tc>
          <w:tcPr>
            <w:tcW w:w="1773" w:type="dxa"/>
            <w:tcBorders>
              <w:tl2br w:val="nil"/>
              <w:tr2bl w:val="nil"/>
            </w:tcBorders>
            <w:vAlign w:val="center"/>
          </w:tcPr>
          <w:p w14:paraId="3868A6B3">
            <w:pPr>
              <w:adjustRightInd w:val="0"/>
              <w:snapToGrid w:val="0"/>
              <w:spacing w:line="240" w:lineRule="auto"/>
              <w:jc w:val="center"/>
              <w:rPr>
                <w:sz w:val="21"/>
                <w:szCs w:val="21"/>
              </w:rPr>
            </w:pPr>
            <w:r>
              <w:rPr>
                <w:sz w:val="21"/>
                <w:szCs w:val="21"/>
              </w:rPr>
              <w:t>胶黏剂调配、输送</w:t>
            </w:r>
          </w:p>
        </w:tc>
        <w:tc>
          <w:tcPr>
            <w:tcW w:w="3952" w:type="dxa"/>
            <w:vMerge w:val="continue"/>
            <w:tcBorders>
              <w:right w:val="single" w:color="auto" w:sz="4" w:space="0"/>
              <w:tl2br w:val="nil"/>
              <w:tr2bl w:val="nil"/>
            </w:tcBorders>
            <w:vAlign w:val="center"/>
          </w:tcPr>
          <w:p w14:paraId="73A0444F">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2DD52245">
            <w:pPr>
              <w:adjustRightInd w:val="0"/>
              <w:snapToGrid w:val="0"/>
              <w:spacing w:line="240" w:lineRule="auto"/>
              <w:jc w:val="center"/>
              <w:rPr>
                <w:sz w:val="21"/>
                <w:szCs w:val="21"/>
              </w:rPr>
            </w:pPr>
            <w:r>
              <w:rPr>
                <w:sz w:val="21"/>
                <w:szCs w:val="21"/>
              </w:rPr>
              <w:t>间断</w:t>
            </w:r>
          </w:p>
        </w:tc>
      </w:tr>
      <w:tr w14:paraId="7180F10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4ED128C7">
            <w:pPr>
              <w:adjustRightInd w:val="0"/>
              <w:snapToGrid w:val="0"/>
              <w:spacing w:line="240" w:lineRule="auto"/>
              <w:jc w:val="center"/>
              <w:rPr>
                <w:sz w:val="21"/>
                <w:szCs w:val="21"/>
              </w:rPr>
            </w:pPr>
          </w:p>
        </w:tc>
        <w:tc>
          <w:tcPr>
            <w:tcW w:w="791" w:type="dxa"/>
            <w:tcBorders>
              <w:tl2br w:val="nil"/>
              <w:tr2bl w:val="nil"/>
            </w:tcBorders>
            <w:vAlign w:val="center"/>
          </w:tcPr>
          <w:p w14:paraId="3A6B254B">
            <w:pPr>
              <w:adjustRightInd w:val="0"/>
              <w:snapToGrid w:val="0"/>
              <w:spacing w:line="240" w:lineRule="auto"/>
              <w:jc w:val="center"/>
              <w:rPr>
                <w:sz w:val="21"/>
                <w:szCs w:val="21"/>
              </w:rPr>
            </w:pPr>
            <w:r>
              <w:rPr>
                <w:sz w:val="21"/>
                <w:szCs w:val="21"/>
              </w:rPr>
              <w:t>G</w:t>
            </w:r>
            <w:r>
              <w:rPr>
                <w:rFonts w:hint="eastAsia"/>
                <w:sz w:val="21"/>
                <w:szCs w:val="21"/>
              </w:rPr>
              <w:t>3</w:t>
            </w:r>
          </w:p>
        </w:tc>
        <w:tc>
          <w:tcPr>
            <w:tcW w:w="1773" w:type="dxa"/>
            <w:tcBorders>
              <w:tl2br w:val="nil"/>
              <w:tr2bl w:val="nil"/>
            </w:tcBorders>
            <w:vAlign w:val="center"/>
          </w:tcPr>
          <w:p w14:paraId="5A348E4E">
            <w:pPr>
              <w:adjustRightInd w:val="0"/>
              <w:snapToGrid w:val="0"/>
              <w:spacing w:line="240" w:lineRule="auto"/>
              <w:jc w:val="center"/>
              <w:rPr>
                <w:sz w:val="21"/>
                <w:szCs w:val="21"/>
              </w:rPr>
            </w:pPr>
            <w:r>
              <w:rPr>
                <w:sz w:val="21"/>
                <w:szCs w:val="21"/>
              </w:rPr>
              <w:t>印刷</w:t>
            </w:r>
            <w:r>
              <w:rPr>
                <w:rFonts w:hint="eastAsia"/>
                <w:sz w:val="21"/>
                <w:szCs w:val="21"/>
              </w:rPr>
              <w:t>及</w:t>
            </w:r>
            <w:r>
              <w:rPr>
                <w:sz w:val="21"/>
                <w:szCs w:val="21"/>
              </w:rPr>
              <w:t>烘干</w:t>
            </w:r>
          </w:p>
        </w:tc>
        <w:tc>
          <w:tcPr>
            <w:tcW w:w="3952" w:type="dxa"/>
            <w:vMerge w:val="continue"/>
            <w:tcBorders>
              <w:right w:val="single" w:color="auto" w:sz="4" w:space="0"/>
              <w:tl2br w:val="nil"/>
              <w:tr2bl w:val="nil"/>
            </w:tcBorders>
            <w:vAlign w:val="center"/>
          </w:tcPr>
          <w:p w14:paraId="66E5B6DA">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47E8F598">
            <w:pPr>
              <w:adjustRightInd w:val="0"/>
              <w:snapToGrid w:val="0"/>
              <w:spacing w:line="240" w:lineRule="auto"/>
              <w:jc w:val="center"/>
              <w:rPr>
                <w:sz w:val="21"/>
                <w:szCs w:val="21"/>
              </w:rPr>
            </w:pPr>
            <w:r>
              <w:rPr>
                <w:sz w:val="21"/>
                <w:szCs w:val="21"/>
              </w:rPr>
              <w:t>连续</w:t>
            </w:r>
          </w:p>
        </w:tc>
      </w:tr>
      <w:tr w14:paraId="2052B9A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6C8CD2F3">
            <w:pPr>
              <w:adjustRightInd w:val="0"/>
              <w:snapToGrid w:val="0"/>
              <w:spacing w:line="240" w:lineRule="auto"/>
              <w:jc w:val="center"/>
              <w:rPr>
                <w:sz w:val="21"/>
                <w:szCs w:val="21"/>
              </w:rPr>
            </w:pPr>
          </w:p>
        </w:tc>
        <w:tc>
          <w:tcPr>
            <w:tcW w:w="791" w:type="dxa"/>
            <w:tcBorders>
              <w:tl2br w:val="nil"/>
              <w:tr2bl w:val="nil"/>
            </w:tcBorders>
            <w:vAlign w:val="center"/>
          </w:tcPr>
          <w:p w14:paraId="45E2824E">
            <w:pPr>
              <w:adjustRightInd w:val="0"/>
              <w:snapToGrid w:val="0"/>
              <w:spacing w:line="240" w:lineRule="auto"/>
              <w:jc w:val="center"/>
              <w:rPr>
                <w:sz w:val="21"/>
                <w:szCs w:val="21"/>
              </w:rPr>
            </w:pPr>
            <w:r>
              <w:rPr>
                <w:sz w:val="21"/>
                <w:szCs w:val="21"/>
              </w:rPr>
              <w:t>G</w:t>
            </w:r>
            <w:r>
              <w:rPr>
                <w:rFonts w:hint="eastAsia"/>
                <w:sz w:val="21"/>
                <w:szCs w:val="21"/>
              </w:rPr>
              <w:t>4</w:t>
            </w:r>
          </w:p>
        </w:tc>
        <w:tc>
          <w:tcPr>
            <w:tcW w:w="1773" w:type="dxa"/>
            <w:tcBorders>
              <w:top w:val="single" w:color="auto" w:sz="4" w:space="0"/>
              <w:tl2br w:val="nil"/>
              <w:tr2bl w:val="nil"/>
            </w:tcBorders>
            <w:vAlign w:val="center"/>
          </w:tcPr>
          <w:p w14:paraId="23B33505">
            <w:pPr>
              <w:adjustRightInd w:val="0"/>
              <w:snapToGrid w:val="0"/>
              <w:spacing w:line="240" w:lineRule="auto"/>
              <w:jc w:val="center"/>
              <w:rPr>
                <w:sz w:val="21"/>
                <w:szCs w:val="21"/>
              </w:rPr>
            </w:pPr>
            <w:r>
              <w:rPr>
                <w:sz w:val="21"/>
                <w:szCs w:val="21"/>
              </w:rPr>
              <w:t>干式复合</w:t>
            </w:r>
            <w:r>
              <w:rPr>
                <w:rFonts w:hint="eastAsia"/>
                <w:sz w:val="21"/>
                <w:szCs w:val="21"/>
              </w:rPr>
              <w:t>及</w:t>
            </w:r>
            <w:r>
              <w:rPr>
                <w:sz w:val="21"/>
                <w:szCs w:val="21"/>
              </w:rPr>
              <w:t>烘干</w:t>
            </w:r>
          </w:p>
        </w:tc>
        <w:tc>
          <w:tcPr>
            <w:tcW w:w="3952" w:type="dxa"/>
            <w:vMerge w:val="continue"/>
            <w:tcBorders>
              <w:right w:val="single" w:color="auto" w:sz="4" w:space="0"/>
              <w:tl2br w:val="nil"/>
              <w:tr2bl w:val="nil"/>
            </w:tcBorders>
            <w:vAlign w:val="center"/>
          </w:tcPr>
          <w:p w14:paraId="2E191AB3">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5B9CECEF">
            <w:pPr>
              <w:adjustRightInd w:val="0"/>
              <w:snapToGrid w:val="0"/>
              <w:spacing w:line="240" w:lineRule="auto"/>
              <w:jc w:val="center"/>
              <w:rPr>
                <w:sz w:val="21"/>
                <w:szCs w:val="21"/>
              </w:rPr>
            </w:pPr>
            <w:r>
              <w:rPr>
                <w:sz w:val="21"/>
                <w:szCs w:val="21"/>
              </w:rPr>
              <w:t>连续</w:t>
            </w:r>
          </w:p>
        </w:tc>
      </w:tr>
      <w:tr w14:paraId="26A0214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4E10F5CC">
            <w:pPr>
              <w:adjustRightInd w:val="0"/>
              <w:snapToGrid w:val="0"/>
              <w:spacing w:line="240" w:lineRule="auto"/>
              <w:jc w:val="center"/>
              <w:rPr>
                <w:sz w:val="21"/>
                <w:szCs w:val="21"/>
              </w:rPr>
            </w:pPr>
          </w:p>
        </w:tc>
        <w:tc>
          <w:tcPr>
            <w:tcW w:w="791" w:type="dxa"/>
            <w:tcBorders>
              <w:tl2br w:val="nil"/>
              <w:tr2bl w:val="nil"/>
            </w:tcBorders>
            <w:vAlign w:val="center"/>
          </w:tcPr>
          <w:p w14:paraId="03DF779C">
            <w:pPr>
              <w:adjustRightInd w:val="0"/>
              <w:snapToGrid w:val="0"/>
              <w:spacing w:line="240" w:lineRule="auto"/>
              <w:jc w:val="center"/>
              <w:rPr>
                <w:sz w:val="21"/>
                <w:szCs w:val="21"/>
              </w:rPr>
            </w:pPr>
            <w:r>
              <w:rPr>
                <w:sz w:val="21"/>
                <w:szCs w:val="21"/>
              </w:rPr>
              <w:t>G</w:t>
            </w:r>
            <w:r>
              <w:rPr>
                <w:rFonts w:hint="eastAsia"/>
                <w:sz w:val="21"/>
                <w:szCs w:val="21"/>
              </w:rPr>
              <w:t>5</w:t>
            </w:r>
          </w:p>
        </w:tc>
        <w:tc>
          <w:tcPr>
            <w:tcW w:w="1773" w:type="dxa"/>
            <w:tcBorders>
              <w:tl2br w:val="nil"/>
              <w:tr2bl w:val="nil"/>
            </w:tcBorders>
            <w:vAlign w:val="center"/>
          </w:tcPr>
          <w:p w14:paraId="4932C544">
            <w:pPr>
              <w:adjustRightInd w:val="0"/>
              <w:snapToGrid w:val="0"/>
              <w:spacing w:line="240" w:lineRule="auto"/>
              <w:jc w:val="center"/>
              <w:rPr>
                <w:sz w:val="21"/>
                <w:szCs w:val="21"/>
              </w:rPr>
            </w:pPr>
            <w:r>
              <w:rPr>
                <w:sz w:val="21"/>
                <w:szCs w:val="21"/>
              </w:rPr>
              <w:t>印刷机</w:t>
            </w:r>
            <w:r>
              <w:rPr>
                <w:rFonts w:hint="eastAsia"/>
                <w:sz w:val="21"/>
                <w:szCs w:val="21"/>
              </w:rPr>
              <w:t>擦洗</w:t>
            </w:r>
          </w:p>
        </w:tc>
        <w:tc>
          <w:tcPr>
            <w:tcW w:w="3952" w:type="dxa"/>
            <w:vMerge w:val="continue"/>
            <w:tcBorders>
              <w:right w:val="single" w:color="auto" w:sz="4" w:space="0"/>
              <w:tl2br w:val="nil"/>
              <w:tr2bl w:val="nil"/>
            </w:tcBorders>
            <w:vAlign w:val="center"/>
          </w:tcPr>
          <w:p w14:paraId="47FC2830">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5BF5675A">
            <w:pPr>
              <w:adjustRightInd w:val="0"/>
              <w:snapToGrid w:val="0"/>
              <w:spacing w:line="240" w:lineRule="auto"/>
              <w:jc w:val="center"/>
              <w:rPr>
                <w:sz w:val="21"/>
                <w:szCs w:val="21"/>
              </w:rPr>
            </w:pPr>
            <w:r>
              <w:rPr>
                <w:sz w:val="21"/>
                <w:szCs w:val="21"/>
              </w:rPr>
              <w:t>间断</w:t>
            </w:r>
          </w:p>
        </w:tc>
      </w:tr>
      <w:tr w14:paraId="782EF34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19A72074">
            <w:pPr>
              <w:adjustRightInd w:val="0"/>
              <w:snapToGrid w:val="0"/>
              <w:spacing w:line="240" w:lineRule="auto"/>
              <w:jc w:val="center"/>
              <w:rPr>
                <w:sz w:val="21"/>
                <w:szCs w:val="21"/>
              </w:rPr>
            </w:pPr>
          </w:p>
        </w:tc>
        <w:tc>
          <w:tcPr>
            <w:tcW w:w="791" w:type="dxa"/>
            <w:tcBorders>
              <w:tl2br w:val="nil"/>
              <w:tr2bl w:val="nil"/>
            </w:tcBorders>
            <w:vAlign w:val="center"/>
          </w:tcPr>
          <w:p w14:paraId="76B3760E">
            <w:pPr>
              <w:adjustRightInd w:val="0"/>
              <w:snapToGrid w:val="0"/>
              <w:spacing w:line="240" w:lineRule="auto"/>
              <w:jc w:val="center"/>
              <w:rPr>
                <w:sz w:val="21"/>
                <w:szCs w:val="21"/>
              </w:rPr>
            </w:pPr>
            <w:r>
              <w:rPr>
                <w:sz w:val="21"/>
                <w:szCs w:val="21"/>
              </w:rPr>
              <w:t>G</w:t>
            </w:r>
            <w:r>
              <w:rPr>
                <w:rFonts w:hint="eastAsia"/>
                <w:sz w:val="21"/>
                <w:szCs w:val="21"/>
              </w:rPr>
              <w:t>6</w:t>
            </w:r>
          </w:p>
        </w:tc>
        <w:tc>
          <w:tcPr>
            <w:tcW w:w="1773" w:type="dxa"/>
            <w:tcBorders>
              <w:tl2br w:val="nil"/>
              <w:tr2bl w:val="nil"/>
            </w:tcBorders>
            <w:vAlign w:val="center"/>
          </w:tcPr>
          <w:p w14:paraId="0512B93E">
            <w:pPr>
              <w:adjustRightInd w:val="0"/>
              <w:snapToGrid w:val="0"/>
              <w:spacing w:line="240" w:lineRule="auto"/>
              <w:jc w:val="center"/>
              <w:rPr>
                <w:sz w:val="21"/>
                <w:szCs w:val="21"/>
              </w:rPr>
            </w:pPr>
            <w:r>
              <w:rPr>
                <w:sz w:val="21"/>
                <w:szCs w:val="21"/>
              </w:rPr>
              <w:t>复合机</w:t>
            </w:r>
            <w:r>
              <w:rPr>
                <w:rFonts w:hint="eastAsia"/>
                <w:sz w:val="21"/>
                <w:szCs w:val="21"/>
              </w:rPr>
              <w:t>擦洗</w:t>
            </w:r>
          </w:p>
        </w:tc>
        <w:tc>
          <w:tcPr>
            <w:tcW w:w="3952" w:type="dxa"/>
            <w:vMerge w:val="continue"/>
            <w:tcBorders>
              <w:right w:val="single" w:color="auto" w:sz="4" w:space="0"/>
              <w:tl2br w:val="nil"/>
              <w:tr2bl w:val="nil"/>
            </w:tcBorders>
            <w:vAlign w:val="center"/>
          </w:tcPr>
          <w:p w14:paraId="1F9D7D59">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72513AE6">
            <w:pPr>
              <w:adjustRightInd w:val="0"/>
              <w:snapToGrid w:val="0"/>
              <w:spacing w:line="240" w:lineRule="auto"/>
              <w:jc w:val="center"/>
              <w:rPr>
                <w:sz w:val="21"/>
                <w:szCs w:val="21"/>
              </w:rPr>
            </w:pPr>
            <w:r>
              <w:rPr>
                <w:sz w:val="21"/>
                <w:szCs w:val="21"/>
              </w:rPr>
              <w:t>间断</w:t>
            </w:r>
          </w:p>
        </w:tc>
      </w:tr>
      <w:tr w14:paraId="4186C6B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31E4FF18">
            <w:pPr>
              <w:adjustRightInd w:val="0"/>
              <w:snapToGrid w:val="0"/>
              <w:spacing w:line="240" w:lineRule="auto"/>
              <w:jc w:val="center"/>
              <w:rPr>
                <w:sz w:val="21"/>
                <w:szCs w:val="21"/>
              </w:rPr>
            </w:pPr>
          </w:p>
        </w:tc>
        <w:tc>
          <w:tcPr>
            <w:tcW w:w="791" w:type="dxa"/>
            <w:tcBorders>
              <w:bottom w:val="single" w:color="auto" w:sz="4" w:space="0"/>
              <w:tl2br w:val="nil"/>
              <w:tr2bl w:val="nil"/>
            </w:tcBorders>
            <w:vAlign w:val="center"/>
          </w:tcPr>
          <w:p w14:paraId="3E45017C">
            <w:pPr>
              <w:adjustRightInd w:val="0"/>
              <w:snapToGrid w:val="0"/>
              <w:spacing w:line="240" w:lineRule="auto"/>
              <w:jc w:val="center"/>
              <w:rPr>
                <w:sz w:val="21"/>
                <w:szCs w:val="21"/>
              </w:rPr>
            </w:pPr>
            <w:r>
              <w:rPr>
                <w:sz w:val="21"/>
                <w:szCs w:val="21"/>
              </w:rPr>
              <w:t>G</w:t>
            </w:r>
            <w:r>
              <w:rPr>
                <w:rFonts w:hint="eastAsia"/>
                <w:sz w:val="21"/>
                <w:szCs w:val="21"/>
              </w:rPr>
              <w:t>7</w:t>
            </w:r>
          </w:p>
        </w:tc>
        <w:tc>
          <w:tcPr>
            <w:tcW w:w="1773" w:type="dxa"/>
            <w:tcBorders>
              <w:tl2br w:val="nil"/>
              <w:tr2bl w:val="nil"/>
            </w:tcBorders>
            <w:vAlign w:val="center"/>
          </w:tcPr>
          <w:p w14:paraId="0DE66B8B">
            <w:pPr>
              <w:adjustRightInd w:val="0"/>
              <w:snapToGrid w:val="0"/>
              <w:spacing w:line="240" w:lineRule="auto"/>
              <w:jc w:val="center"/>
              <w:rPr>
                <w:sz w:val="21"/>
                <w:szCs w:val="21"/>
              </w:rPr>
            </w:pPr>
            <w:r>
              <w:rPr>
                <w:sz w:val="21"/>
                <w:szCs w:val="21"/>
              </w:rPr>
              <w:t>危废贮存</w:t>
            </w:r>
          </w:p>
        </w:tc>
        <w:tc>
          <w:tcPr>
            <w:tcW w:w="3952" w:type="dxa"/>
            <w:vMerge w:val="continue"/>
            <w:tcBorders>
              <w:right w:val="single" w:color="auto" w:sz="4" w:space="0"/>
              <w:tl2br w:val="nil"/>
              <w:tr2bl w:val="nil"/>
            </w:tcBorders>
            <w:vAlign w:val="center"/>
          </w:tcPr>
          <w:p w14:paraId="5E5A3840">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0EC969BD">
            <w:pPr>
              <w:adjustRightInd w:val="0"/>
              <w:snapToGrid w:val="0"/>
              <w:spacing w:line="240" w:lineRule="auto"/>
              <w:jc w:val="center"/>
              <w:rPr>
                <w:sz w:val="21"/>
                <w:szCs w:val="21"/>
              </w:rPr>
            </w:pPr>
            <w:r>
              <w:rPr>
                <w:sz w:val="21"/>
                <w:szCs w:val="21"/>
              </w:rPr>
              <w:t>连续</w:t>
            </w:r>
          </w:p>
        </w:tc>
      </w:tr>
      <w:tr w14:paraId="7AE59C9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2223B2FC">
            <w:pPr>
              <w:adjustRightInd w:val="0"/>
              <w:snapToGrid w:val="0"/>
              <w:spacing w:line="240" w:lineRule="auto"/>
              <w:jc w:val="center"/>
              <w:rPr>
                <w:sz w:val="21"/>
                <w:szCs w:val="21"/>
              </w:rPr>
            </w:pPr>
          </w:p>
        </w:tc>
        <w:tc>
          <w:tcPr>
            <w:tcW w:w="791" w:type="dxa"/>
            <w:tcBorders>
              <w:tl2br w:val="nil"/>
              <w:tr2bl w:val="nil"/>
            </w:tcBorders>
            <w:vAlign w:val="center"/>
          </w:tcPr>
          <w:p w14:paraId="0977437E">
            <w:pPr>
              <w:adjustRightInd w:val="0"/>
              <w:snapToGrid w:val="0"/>
              <w:spacing w:line="240" w:lineRule="auto"/>
              <w:jc w:val="center"/>
              <w:rPr>
                <w:sz w:val="21"/>
                <w:szCs w:val="21"/>
              </w:rPr>
            </w:pPr>
            <w:r>
              <w:rPr>
                <w:sz w:val="21"/>
                <w:szCs w:val="21"/>
              </w:rPr>
              <w:t>G</w:t>
            </w:r>
            <w:r>
              <w:rPr>
                <w:rFonts w:hint="eastAsia"/>
                <w:sz w:val="21"/>
                <w:szCs w:val="21"/>
              </w:rPr>
              <w:t>8</w:t>
            </w:r>
          </w:p>
        </w:tc>
        <w:tc>
          <w:tcPr>
            <w:tcW w:w="1773" w:type="dxa"/>
            <w:tcBorders>
              <w:tl2br w:val="nil"/>
              <w:tr2bl w:val="nil"/>
            </w:tcBorders>
            <w:vAlign w:val="center"/>
          </w:tcPr>
          <w:p w14:paraId="71881FAD">
            <w:pPr>
              <w:adjustRightInd w:val="0"/>
              <w:snapToGrid w:val="0"/>
              <w:spacing w:line="240" w:lineRule="auto"/>
              <w:jc w:val="center"/>
              <w:rPr>
                <w:sz w:val="21"/>
                <w:szCs w:val="21"/>
              </w:rPr>
            </w:pPr>
            <w:r>
              <w:rPr>
                <w:sz w:val="21"/>
                <w:szCs w:val="21"/>
              </w:rPr>
              <w:t>天然气导热油锅炉</w:t>
            </w:r>
          </w:p>
        </w:tc>
        <w:tc>
          <w:tcPr>
            <w:tcW w:w="3952" w:type="dxa"/>
            <w:vMerge w:val="restart"/>
            <w:tcBorders>
              <w:right w:val="single" w:color="auto" w:sz="4" w:space="0"/>
              <w:tl2br w:val="nil"/>
              <w:tr2bl w:val="nil"/>
            </w:tcBorders>
            <w:vAlign w:val="center"/>
          </w:tcPr>
          <w:p w14:paraId="0DB9ACC7">
            <w:pPr>
              <w:adjustRightInd w:val="0"/>
              <w:snapToGrid w:val="0"/>
              <w:spacing w:line="240" w:lineRule="auto"/>
              <w:jc w:val="center"/>
              <w:rPr>
                <w:sz w:val="21"/>
                <w:szCs w:val="21"/>
              </w:rPr>
            </w:pPr>
            <w:r>
              <w:rPr>
                <w:sz w:val="21"/>
                <w:szCs w:val="21"/>
              </w:rPr>
              <w:t>SO</w:t>
            </w:r>
            <w:r>
              <w:rPr>
                <w:sz w:val="21"/>
                <w:szCs w:val="21"/>
                <w:vertAlign w:val="subscript"/>
              </w:rPr>
              <w:t>2</w:t>
            </w:r>
            <w:r>
              <w:rPr>
                <w:sz w:val="21"/>
                <w:szCs w:val="21"/>
              </w:rPr>
              <w:t>、NOx、烟尘</w:t>
            </w:r>
          </w:p>
        </w:tc>
        <w:tc>
          <w:tcPr>
            <w:tcW w:w="944" w:type="dxa"/>
            <w:tcBorders>
              <w:left w:val="single" w:color="auto" w:sz="4" w:space="0"/>
              <w:tl2br w:val="nil"/>
              <w:tr2bl w:val="nil"/>
            </w:tcBorders>
            <w:vAlign w:val="center"/>
          </w:tcPr>
          <w:p w14:paraId="2F6329B0">
            <w:pPr>
              <w:adjustRightInd w:val="0"/>
              <w:snapToGrid w:val="0"/>
              <w:spacing w:line="240" w:lineRule="auto"/>
              <w:jc w:val="center"/>
              <w:rPr>
                <w:sz w:val="21"/>
                <w:szCs w:val="21"/>
              </w:rPr>
            </w:pPr>
            <w:r>
              <w:rPr>
                <w:sz w:val="21"/>
                <w:szCs w:val="21"/>
              </w:rPr>
              <w:t>连续</w:t>
            </w:r>
          </w:p>
        </w:tc>
      </w:tr>
      <w:tr w14:paraId="0A62D32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09CBF81C">
            <w:pPr>
              <w:adjustRightInd w:val="0"/>
              <w:snapToGrid w:val="0"/>
              <w:spacing w:line="240" w:lineRule="auto"/>
              <w:jc w:val="center"/>
              <w:rPr>
                <w:sz w:val="21"/>
                <w:szCs w:val="21"/>
              </w:rPr>
            </w:pPr>
          </w:p>
        </w:tc>
        <w:tc>
          <w:tcPr>
            <w:tcW w:w="791" w:type="dxa"/>
            <w:tcBorders>
              <w:tl2br w:val="nil"/>
              <w:tr2bl w:val="nil"/>
            </w:tcBorders>
            <w:vAlign w:val="center"/>
          </w:tcPr>
          <w:p w14:paraId="4E8FC445">
            <w:pPr>
              <w:adjustRightInd w:val="0"/>
              <w:snapToGrid w:val="0"/>
              <w:spacing w:line="240" w:lineRule="auto"/>
              <w:jc w:val="center"/>
              <w:rPr>
                <w:sz w:val="21"/>
                <w:szCs w:val="21"/>
              </w:rPr>
            </w:pPr>
            <w:r>
              <w:rPr>
                <w:sz w:val="21"/>
                <w:szCs w:val="21"/>
              </w:rPr>
              <w:t>G</w:t>
            </w:r>
            <w:r>
              <w:rPr>
                <w:rFonts w:hint="eastAsia"/>
                <w:sz w:val="21"/>
                <w:szCs w:val="21"/>
              </w:rPr>
              <w:t>9</w:t>
            </w:r>
          </w:p>
        </w:tc>
        <w:tc>
          <w:tcPr>
            <w:tcW w:w="1773" w:type="dxa"/>
            <w:tcBorders>
              <w:tl2br w:val="nil"/>
              <w:tr2bl w:val="nil"/>
            </w:tcBorders>
            <w:vAlign w:val="center"/>
          </w:tcPr>
          <w:p w14:paraId="1CBC9AAF">
            <w:pPr>
              <w:adjustRightInd w:val="0"/>
              <w:snapToGrid w:val="0"/>
              <w:spacing w:line="240" w:lineRule="auto"/>
              <w:jc w:val="center"/>
              <w:rPr>
                <w:sz w:val="21"/>
                <w:szCs w:val="21"/>
              </w:rPr>
            </w:pPr>
            <w:r>
              <w:rPr>
                <w:rFonts w:hint="eastAsia"/>
                <w:sz w:val="21"/>
                <w:szCs w:val="21"/>
              </w:rPr>
              <w:t>印刷干式复合烘干天然气燃烧废气</w:t>
            </w:r>
          </w:p>
        </w:tc>
        <w:tc>
          <w:tcPr>
            <w:tcW w:w="3952" w:type="dxa"/>
            <w:vMerge w:val="continue"/>
            <w:tcBorders>
              <w:right w:val="single" w:color="auto" w:sz="4" w:space="0"/>
              <w:tl2br w:val="nil"/>
              <w:tr2bl w:val="nil"/>
            </w:tcBorders>
            <w:vAlign w:val="center"/>
          </w:tcPr>
          <w:p w14:paraId="01D2908B">
            <w:pPr>
              <w:adjustRightInd w:val="0"/>
              <w:snapToGrid w:val="0"/>
              <w:spacing w:line="240" w:lineRule="auto"/>
              <w:jc w:val="center"/>
              <w:rPr>
                <w:sz w:val="21"/>
                <w:szCs w:val="21"/>
              </w:rPr>
            </w:pPr>
          </w:p>
        </w:tc>
        <w:tc>
          <w:tcPr>
            <w:tcW w:w="944" w:type="dxa"/>
            <w:tcBorders>
              <w:left w:val="single" w:color="auto" w:sz="4" w:space="0"/>
              <w:tl2br w:val="nil"/>
              <w:tr2bl w:val="nil"/>
            </w:tcBorders>
            <w:vAlign w:val="center"/>
          </w:tcPr>
          <w:p w14:paraId="2E7F59A4">
            <w:pPr>
              <w:adjustRightInd w:val="0"/>
              <w:snapToGrid w:val="0"/>
              <w:spacing w:line="240" w:lineRule="auto"/>
              <w:jc w:val="center"/>
              <w:rPr>
                <w:sz w:val="21"/>
                <w:szCs w:val="21"/>
              </w:rPr>
            </w:pPr>
            <w:r>
              <w:rPr>
                <w:sz w:val="21"/>
                <w:szCs w:val="21"/>
              </w:rPr>
              <w:t>连续</w:t>
            </w:r>
          </w:p>
        </w:tc>
      </w:tr>
      <w:tr w14:paraId="40C0457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tcBorders>
              <w:tl2br w:val="nil"/>
              <w:tr2bl w:val="nil"/>
            </w:tcBorders>
            <w:vAlign w:val="center"/>
          </w:tcPr>
          <w:p w14:paraId="63D477C0">
            <w:pPr>
              <w:adjustRightInd w:val="0"/>
              <w:snapToGrid w:val="0"/>
              <w:spacing w:line="240" w:lineRule="auto"/>
              <w:jc w:val="center"/>
              <w:rPr>
                <w:sz w:val="21"/>
                <w:szCs w:val="21"/>
              </w:rPr>
            </w:pPr>
            <w:r>
              <w:rPr>
                <w:sz w:val="21"/>
                <w:szCs w:val="21"/>
              </w:rPr>
              <w:t>废水</w:t>
            </w:r>
          </w:p>
        </w:tc>
        <w:tc>
          <w:tcPr>
            <w:tcW w:w="791" w:type="dxa"/>
            <w:tcBorders>
              <w:tl2br w:val="nil"/>
              <w:tr2bl w:val="nil"/>
            </w:tcBorders>
            <w:vAlign w:val="center"/>
          </w:tcPr>
          <w:p w14:paraId="507546A1">
            <w:pPr>
              <w:adjustRightInd w:val="0"/>
              <w:snapToGrid w:val="0"/>
              <w:spacing w:line="240" w:lineRule="auto"/>
              <w:jc w:val="center"/>
              <w:rPr>
                <w:sz w:val="21"/>
                <w:szCs w:val="21"/>
              </w:rPr>
            </w:pPr>
            <w:r>
              <w:rPr>
                <w:sz w:val="21"/>
                <w:szCs w:val="21"/>
              </w:rPr>
              <w:t>/</w:t>
            </w:r>
          </w:p>
        </w:tc>
        <w:tc>
          <w:tcPr>
            <w:tcW w:w="1773" w:type="dxa"/>
            <w:tcBorders>
              <w:tl2br w:val="nil"/>
              <w:tr2bl w:val="nil"/>
            </w:tcBorders>
            <w:vAlign w:val="center"/>
          </w:tcPr>
          <w:p w14:paraId="6FBD932E">
            <w:pPr>
              <w:adjustRightInd w:val="0"/>
              <w:snapToGrid w:val="0"/>
              <w:spacing w:line="240" w:lineRule="auto"/>
              <w:jc w:val="center"/>
              <w:rPr>
                <w:sz w:val="21"/>
                <w:szCs w:val="21"/>
              </w:rPr>
            </w:pPr>
            <w:r>
              <w:rPr>
                <w:sz w:val="21"/>
                <w:szCs w:val="21"/>
              </w:rPr>
              <w:t>生活用水</w:t>
            </w:r>
          </w:p>
        </w:tc>
        <w:tc>
          <w:tcPr>
            <w:tcW w:w="3952" w:type="dxa"/>
            <w:tcBorders>
              <w:right w:val="single" w:color="auto" w:sz="4" w:space="0"/>
              <w:tl2br w:val="nil"/>
              <w:tr2bl w:val="nil"/>
            </w:tcBorders>
            <w:vAlign w:val="center"/>
          </w:tcPr>
          <w:p w14:paraId="5529ECA7">
            <w:pPr>
              <w:adjustRightInd w:val="0"/>
              <w:snapToGrid w:val="0"/>
              <w:spacing w:line="240" w:lineRule="auto"/>
              <w:jc w:val="center"/>
              <w:rPr>
                <w:sz w:val="21"/>
                <w:szCs w:val="21"/>
              </w:rPr>
            </w:pPr>
            <w:r>
              <w:rPr>
                <w:sz w:val="21"/>
                <w:szCs w:val="21"/>
              </w:rPr>
              <w:t>COD、BOD</w:t>
            </w:r>
            <w:r>
              <w:rPr>
                <w:sz w:val="21"/>
                <w:szCs w:val="21"/>
                <w:vertAlign w:val="subscript"/>
              </w:rPr>
              <w:t>5</w:t>
            </w:r>
            <w:r>
              <w:rPr>
                <w:sz w:val="21"/>
                <w:szCs w:val="21"/>
              </w:rPr>
              <w:t>、SS、氨氮</w:t>
            </w:r>
          </w:p>
        </w:tc>
        <w:tc>
          <w:tcPr>
            <w:tcW w:w="944" w:type="dxa"/>
            <w:tcBorders>
              <w:left w:val="single" w:color="auto" w:sz="4" w:space="0"/>
              <w:tl2br w:val="nil"/>
              <w:tr2bl w:val="nil"/>
            </w:tcBorders>
            <w:vAlign w:val="center"/>
          </w:tcPr>
          <w:p w14:paraId="4C98E0CB">
            <w:pPr>
              <w:adjustRightInd w:val="0"/>
              <w:snapToGrid w:val="0"/>
              <w:spacing w:line="240" w:lineRule="auto"/>
              <w:jc w:val="center"/>
              <w:rPr>
                <w:sz w:val="21"/>
                <w:szCs w:val="21"/>
              </w:rPr>
            </w:pPr>
            <w:r>
              <w:rPr>
                <w:sz w:val="21"/>
                <w:szCs w:val="21"/>
              </w:rPr>
              <w:t>间断</w:t>
            </w:r>
          </w:p>
        </w:tc>
      </w:tr>
      <w:tr w14:paraId="787EA18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restart"/>
            <w:tcBorders>
              <w:tl2br w:val="nil"/>
              <w:tr2bl w:val="nil"/>
            </w:tcBorders>
            <w:vAlign w:val="center"/>
          </w:tcPr>
          <w:p w14:paraId="45A334CE">
            <w:pPr>
              <w:adjustRightInd w:val="0"/>
              <w:snapToGrid w:val="0"/>
              <w:spacing w:line="240" w:lineRule="auto"/>
              <w:jc w:val="center"/>
              <w:rPr>
                <w:sz w:val="21"/>
                <w:szCs w:val="21"/>
              </w:rPr>
            </w:pPr>
            <w:r>
              <w:rPr>
                <w:sz w:val="21"/>
                <w:szCs w:val="21"/>
              </w:rPr>
              <w:t>一般工业固废</w:t>
            </w:r>
          </w:p>
        </w:tc>
        <w:tc>
          <w:tcPr>
            <w:tcW w:w="791" w:type="dxa"/>
            <w:vMerge w:val="restart"/>
            <w:tcBorders>
              <w:tl2br w:val="nil"/>
              <w:tr2bl w:val="nil"/>
            </w:tcBorders>
            <w:vAlign w:val="center"/>
          </w:tcPr>
          <w:p w14:paraId="25873B9F">
            <w:pPr>
              <w:adjustRightInd w:val="0"/>
              <w:snapToGrid w:val="0"/>
              <w:spacing w:line="240" w:lineRule="auto"/>
              <w:jc w:val="center"/>
              <w:rPr>
                <w:sz w:val="21"/>
                <w:szCs w:val="21"/>
              </w:rPr>
            </w:pPr>
            <w:r>
              <w:rPr>
                <w:sz w:val="21"/>
                <w:szCs w:val="21"/>
              </w:rPr>
              <w:t>S</w:t>
            </w:r>
          </w:p>
        </w:tc>
        <w:tc>
          <w:tcPr>
            <w:tcW w:w="1773" w:type="dxa"/>
            <w:tcBorders>
              <w:bottom w:val="single" w:color="auto" w:sz="4" w:space="0"/>
              <w:tl2br w:val="nil"/>
              <w:tr2bl w:val="nil"/>
            </w:tcBorders>
            <w:vAlign w:val="center"/>
          </w:tcPr>
          <w:p w14:paraId="52C4E16F">
            <w:pPr>
              <w:adjustRightInd w:val="0"/>
              <w:snapToGrid w:val="0"/>
              <w:spacing w:line="240" w:lineRule="auto"/>
              <w:jc w:val="center"/>
              <w:rPr>
                <w:sz w:val="21"/>
                <w:szCs w:val="21"/>
              </w:rPr>
            </w:pPr>
            <w:r>
              <w:rPr>
                <w:sz w:val="21"/>
                <w:szCs w:val="21"/>
              </w:rPr>
              <w:t>印刷、复合</w:t>
            </w:r>
          </w:p>
        </w:tc>
        <w:tc>
          <w:tcPr>
            <w:tcW w:w="3952" w:type="dxa"/>
            <w:tcBorders>
              <w:right w:val="single" w:color="auto" w:sz="4" w:space="0"/>
              <w:tl2br w:val="nil"/>
              <w:tr2bl w:val="nil"/>
            </w:tcBorders>
            <w:vAlign w:val="center"/>
          </w:tcPr>
          <w:p w14:paraId="08C1D195">
            <w:pPr>
              <w:adjustRightInd w:val="0"/>
              <w:snapToGrid w:val="0"/>
              <w:spacing w:line="240" w:lineRule="auto"/>
              <w:jc w:val="center"/>
              <w:rPr>
                <w:sz w:val="21"/>
                <w:szCs w:val="21"/>
              </w:rPr>
            </w:pPr>
            <w:r>
              <w:rPr>
                <w:sz w:val="21"/>
                <w:szCs w:val="21"/>
              </w:rPr>
              <w:t>边角料、不合格产品</w:t>
            </w:r>
          </w:p>
        </w:tc>
        <w:tc>
          <w:tcPr>
            <w:tcW w:w="944" w:type="dxa"/>
            <w:tcBorders>
              <w:left w:val="single" w:color="auto" w:sz="4" w:space="0"/>
              <w:tl2br w:val="nil"/>
              <w:tr2bl w:val="nil"/>
            </w:tcBorders>
            <w:vAlign w:val="center"/>
          </w:tcPr>
          <w:p w14:paraId="034E0DA6">
            <w:pPr>
              <w:adjustRightInd w:val="0"/>
              <w:snapToGrid w:val="0"/>
              <w:spacing w:line="240" w:lineRule="auto"/>
              <w:jc w:val="center"/>
              <w:rPr>
                <w:sz w:val="21"/>
                <w:szCs w:val="21"/>
              </w:rPr>
            </w:pPr>
            <w:r>
              <w:rPr>
                <w:sz w:val="21"/>
                <w:szCs w:val="21"/>
              </w:rPr>
              <w:t>间断</w:t>
            </w:r>
          </w:p>
        </w:tc>
      </w:tr>
      <w:tr w14:paraId="740D964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bottom w:val="single" w:color="auto" w:sz="4" w:space="0"/>
              <w:tl2br w:val="nil"/>
              <w:tr2bl w:val="nil"/>
            </w:tcBorders>
            <w:vAlign w:val="center"/>
          </w:tcPr>
          <w:p w14:paraId="20E9CF41">
            <w:pPr>
              <w:adjustRightInd w:val="0"/>
              <w:snapToGrid w:val="0"/>
              <w:spacing w:line="240" w:lineRule="auto"/>
              <w:jc w:val="center"/>
              <w:rPr>
                <w:sz w:val="21"/>
                <w:szCs w:val="21"/>
              </w:rPr>
            </w:pPr>
          </w:p>
        </w:tc>
        <w:tc>
          <w:tcPr>
            <w:tcW w:w="791" w:type="dxa"/>
            <w:vMerge w:val="continue"/>
            <w:tcBorders>
              <w:tl2br w:val="nil"/>
              <w:tr2bl w:val="nil"/>
            </w:tcBorders>
            <w:vAlign w:val="center"/>
          </w:tcPr>
          <w:p w14:paraId="62121041">
            <w:pPr>
              <w:adjustRightInd w:val="0"/>
              <w:snapToGrid w:val="0"/>
              <w:spacing w:line="240" w:lineRule="auto"/>
              <w:jc w:val="center"/>
              <w:rPr>
                <w:sz w:val="21"/>
                <w:szCs w:val="21"/>
              </w:rPr>
            </w:pPr>
          </w:p>
        </w:tc>
        <w:tc>
          <w:tcPr>
            <w:tcW w:w="1773" w:type="dxa"/>
            <w:tcBorders>
              <w:top w:val="single" w:color="auto" w:sz="4" w:space="0"/>
              <w:bottom w:val="single" w:color="auto" w:sz="4" w:space="0"/>
              <w:tl2br w:val="nil"/>
              <w:tr2bl w:val="nil"/>
            </w:tcBorders>
            <w:vAlign w:val="center"/>
          </w:tcPr>
          <w:p w14:paraId="2A0D99FA">
            <w:pPr>
              <w:adjustRightInd w:val="0"/>
              <w:snapToGrid w:val="0"/>
              <w:spacing w:line="240" w:lineRule="auto"/>
              <w:jc w:val="center"/>
              <w:rPr>
                <w:sz w:val="21"/>
                <w:szCs w:val="21"/>
              </w:rPr>
            </w:pPr>
            <w:r>
              <w:rPr>
                <w:sz w:val="21"/>
                <w:szCs w:val="21"/>
              </w:rPr>
              <w:t>调配</w:t>
            </w:r>
          </w:p>
        </w:tc>
        <w:tc>
          <w:tcPr>
            <w:tcW w:w="3952" w:type="dxa"/>
            <w:tcBorders>
              <w:right w:val="single" w:color="auto" w:sz="4" w:space="0"/>
              <w:tl2br w:val="nil"/>
              <w:tr2bl w:val="nil"/>
            </w:tcBorders>
            <w:vAlign w:val="center"/>
          </w:tcPr>
          <w:p w14:paraId="0539C449">
            <w:pPr>
              <w:adjustRightInd w:val="0"/>
              <w:snapToGrid w:val="0"/>
              <w:spacing w:line="240" w:lineRule="auto"/>
              <w:jc w:val="center"/>
              <w:rPr>
                <w:sz w:val="21"/>
                <w:szCs w:val="21"/>
              </w:rPr>
            </w:pPr>
            <w:r>
              <w:rPr>
                <w:sz w:val="21"/>
                <w:szCs w:val="21"/>
              </w:rPr>
              <w:t>废油墨、废胶水</w:t>
            </w:r>
          </w:p>
        </w:tc>
        <w:tc>
          <w:tcPr>
            <w:tcW w:w="944" w:type="dxa"/>
            <w:tcBorders>
              <w:left w:val="single" w:color="auto" w:sz="4" w:space="0"/>
              <w:tl2br w:val="nil"/>
              <w:tr2bl w:val="nil"/>
            </w:tcBorders>
            <w:vAlign w:val="center"/>
          </w:tcPr>
          <w:p w14:paraId="564F0FFC">
            <w:pPr>
              <w:adjustRightInd w:val="0"/>
              <w:snapToGrid w:val="0"/>
              <w:spacing w:line="240" w:lineRule="auto"/>
              <w:jc w:val="center"/>
              <w:rPr>
                <w:sz w:val="21"/>
                <w:szCs w:val="21"/>
              </w:rPr>
            </w:pPr>
            <w:r>
              <w:rPr>
                <w:sz w:val="21"/>
                <w:szCs w:val="21"/>
              </w:rPr>
              <w:t>间断</w:t>
            </w:r>
          </w:p>
        </w:tc>
      </w:tr>
      <w:tr w14:paraId="30AE3DB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restart"/>
            <w:tcBorders>
              <w:top w:val="single" w:color="auto" w:sz="4" w:space="0"/>
              <w:tl2br w:val="nil"/>
              <w:tr2bl w:val="nil"/>
            </w:tcBorders>
            <w:vAlign w:val="center"/>
          </w:tcPr>
          <w:p w14:paraId="6D95DB9B">
            <w:pPr>
              <w:adjustRightInd w:val="0"/>
              <w:snapToGrid w:val="0"/>
              <w:spacing w:line="240" w:lineRule="auto"/>
              <w:jc w:val="center"/>
              <w:rPr>
                <w:sz w:val="21"/>
                <w:szCs w:val="21"/>
              </w:rPr>
            </w:pPr>
            <w:r>
              <w:rPr>
                <w:sz w:val="21"/>
                <w:szCs w:val="21"/>
              </w:rPr>
              <w:t>危险废物</w:t>
            </w:r>
          </w:p>
        </w:tc>
        <w:tc>
          <w:tcPr>
            <w:tcW w:w="791" w:type="dxa"/>
            <w:vMerge w:val="continue"/>
            <w:tcBorders>
              <w:tl2br w:val="nil"/>
              <w:tr2bl w:val="nil"/>
            </w:tcBorders>
            <w:vAlign w:val="center"/>
          </w:tcPr>
          <w:p w14:paraId="71B2D3C4">
            <w:pPr>
              <w:adjustRightInd w:val="0"/>
              <w:snapToGrid w:val="0"/>
              <w:spacing w:line="240" w:lineRule="auto"/>
              <w:jc w:val="center"/>
              <w:rPr>
                <w:sz w:val="21"/>
                <w:szCs w:val="21"/>
              </w:rPr>
            </w:pPr>
          </w:p>
        </w:tc>
        <w:tc>
          <w:tcPr>
            <w:tcW w:w="1773" w:type="dxa"/>
            <w:tcBorders>
              <w:top w:val="single" w:color="auto" w:sz="4" w:space="0"/>
              <w:tl2br w:val="nil"/>
              <w:tr2bl w:val="nil"/>
            </w:tcBorders>
            <w:vAlign w:val="center"/>
          </w:tcPr>
          <w:p w14:paraId="699B5A8C">
            <w:pPr>
              <w:adjustRightInd w:val="0"/>
              <w:snapToGrid w:val="0"/>
              <w:spacing w:line="240" w:lineRule="auto"/>
              <w:jc w:val="center"/>
              <w:rPr>
                <w:sz w:val="21"/>
                <w:szCs w:val="21"/>
              </w:rPr>
            </w:pPr>
            <w:r>
              <w:rPr>
                <w:sz w:val="21"/>
                <w:szCs w:val="21"/>
              </w:rPr>
              <w:t>原料使用、擦洗</w:t>
            </w:r>
          </w:p>
        </w:tc>
        <w:tc>
          <w:tcPr>
            <w:tcW w:w="3952" w:type="dxa"/>
            <w:tcBorders>
              <w:right w:val="single" w:color="auto" w:sz="4" w:space="0"/>
              <w:tl2br w:val="nil"/>
              <w:tr2bl w:val="nil"/>
            </w:tcBorders>
            <w:vAlign w:val="center"/>
          </w:tcPr>
          <w:p w14:paraId="65DAF001">
            <w:pPr>
              <w:adjustRightInd w:val="0"/>
              <w:snapToGrid w:val="0"/>
              <w:spacing w:line="240" w:lineRule="auto"/>
              <w:jc w:val="center"/>
              <w:rPr>
                <w:sz w:val="21"/>
                <w:szCs w:val="21"/>
              </w:rPr>
            </w:pPr>
            <w:r>
              <w:rPr>
                <w:sz w:val="21"/>
                <w:szCs w:val="21"/>
              </w:rPr>
              <w:t>废弃包装桶（油墨包装桶、胶水包装桶，溶剂包装桶），废沾染抹布手套、废机油及其包装桶</w:t>
            </w:r>
          </w:p>
        </w:tc>
        <w:tc>
          <w:tcPr>
            <w:tcW w:w="944" w:type="dxa"/>
            <w:tcBorders>
              <w:left w:val="single" w:color="auto" w:sz="4" w:space="0"/>
              <w:tl2br w:val="nil"/>
              <w:tr2bl w:val="nil"/>
            </w:tcBorders>
            <w:vAlign w:val="center"/>
          </w:tcPr>
          <w:p w14:paraId="4ADF8769">
            <w:pPr>
              <w:adjustRightInd w:val="0"/>
              <w:snapToGrid w:val="0"/>
              <w:spacing w:line="240" w:lineRule="auto"/>
              <w:jc w:val="center"/>
              <w:rPr>
                <w:sz w:val="21"/>
                <w:szCs w:val="21"/>
              </w:rPr>
            </w:pPr>
            <w:r>
              <w:rPr>
                <w:sz w:val="21"/>
                <w:szCs w:val="21"/>
              </w:rPr>
              <w:t>间断</w:t>
            </w:r>
          </w:p>
        </w:tc>
      </w:tr>
      <w:tr w14:paraId="11E178B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3F106C98">
            <w:pPr>
              <w:adjustRightInd w:val="0"/>
              <w:snapToGrid w:val="0"/>
              <w:spacing w:line="240" w:lineRule="auto"/>
              <w:jc w:val="center"/>
              <w:rPr>
                <w:sz w:val="21"/>
                <w:szCs w:val="21"/>
              </w:rPr>
            </w:pPr>
          </w:p>
        </w:tc>
        <w:tc>
          <w:tcPr>
            <w:tcW w:w="791" w:type="dxa"/>
            <w:vMerge w:val="continue"/>
            <w:tcBorders>
              <w:tl2br w:val="nil"/>
              <w:tr2bl w:val="nil"/>
            </w:tcBorders>
            <w:vAlign w:val="center"/>
          </w:tcPr>
          <w:p w14:paraId="1C980EBE">
            <w:pPr>
              <w:adjustRightInd w:val="0"/>
              <w:snapToGrid w:val="0"/>
              <w:spacing w:line="240" w:lineRule="auto"/>
              <w:jc w:val="center"/>
              <w:rPr>
                <w:sz w:val="21"/>
                <w:szCs w:val="21"/>
              </w:rPr>
            </w:pPr>
          </w:p>
        </w:tc>
        <w:tc>
          <w:tcPr>
            <w:tcW w:w="1773" w:type="dxa"/>
            <w:tcBorders>
              <w:top w:val="single" w:color="auto" w:sz="4" w:space="0"/>
              <w:tl2br w:val="nil"/>
              <w:tr2bl w:val="nil"/>
            </w:tcBorders>
            <w:vAlign w:val="center"/>
          </w:tcPr>
          <w:p w14:paraId="06EEB1CE">
            <w:pPr>
              <w:adjustRightInd w:val="0"/>
              <w:snapToGrid w:val="0"/>
              <w:spacing w:line="240" w:lineRule="auto"/>
              <w:jc w:val="center"/>
              <w:rPr>
                <w:sz w:val="21"/>
                <w:szCs w:val="21"/>
              </w:rPr>
            </w:pPr>
            <w:r>
              <w:rPr>
                <w:rFonts w:hint="eastAsia"/>
                <w:sz w:val="21"/>
                <w:szCs w:val="21"/>
              </w:rPr>
              <w:t>有机废气处理设施</w:t>
            </w:r>
          </w:p>
        </w:tc>
        <w:tc>
          <w:tcPr>
            <w:tcW w:w="3952" w:type="dxa"/>
            <w:tcBorders>
              <w:right w:val="single" w:color="auto" w:sz="4" w:space="0"/>
              <w:tl2br w:val="nil"/>
              <w:tr2bl w:val="nil"/>
            </w:tcBorders>
            <w:vAlign w:val="center"/>
          </w:tcPr>
          <w:p w14:paraId="34A9209C">
            <w:pPr>
              <w:adjustRightInd w:val="0"/>
              <w:snapToGrid w:val="0"/>
              <w:spacing w:line="240" w:lineRule="auto"/>
              <w:jc w:val="center"/>
              <w:rPr>
                <w:sz w:val="21"/>
                <w:szCs w:val="21"/>
              </w:rPr>
            </w:pPr>
            <w:r>
              <w:rPr>
                <w:sz w:val="21"/>
                <w:szCs w:val="21"/>
              </w:rPr>
              <w:t>废过滤棉、废活性炭、废沸石、</w:t>
            </w:r>
            <w:r>
              <w:rPr>
                <w:rFonts w:hint="eastAsia"/>
                <w:sz w:val="21"/>
                <w:szCs w:val="21"/>
              </w:rPr>
              <w:t>精馏残液</w:t>
            </w:r>
          </w:p>
        </w:tc>
        <w:tc>
          <w:tcPr>
            <w:tcW w:w="944" w:type="dxa"/>
            <w:tcBorders>
              <w:left w:val="single" w:color="auto" w:sz="4" w:space="0"/>
              <w:tl2br w:val="nil"/>
              <w:tr2bl w:val="nil"/>
            </w:tcBorders>
            <w:vAlign w:val="center"/>
          </w:tcPr>
          <w:p w14:paraId="4FBA9393">
            <w:pPr>
              <w:adjustRightInd w:val="0"/>
              <w:snapToGrid w:val="0"/>
              <w:spacing w:line="240" w:lineRule="auto"/>
              <w:jc w:val="center"/>
              <w:rPr>
                <w:sz w:val="21"/>
                <w:szCs w:val="21"/>
              </w:rPr>
            </w:pPr>
            <w:r>
              <w:rPr>
                <w:sz w:val="21"/>
                <w:szCs w:val="21"/>
              </w:rPr>
              <w:t>间断</w:t>
            </w:r>
          </w:p>
        </w:tc>
      </w:tr>
      <w:tr w14:paraId="48861A0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vMerge w:val="continue"/>
            <w:tcBorders>
              <w:tl2br w:val="nil"/>
              <w:tr2bl w:val="nil"/>
            </w:tcBorders>
            <w:vAlign w:val="center"/>
          </w:tcPr>
          <w:p w14:paraId="781BAF62">
            <w:pPr>
              <w:adjustRightInd w:val="0"/>
              <w:snapToGrid w:val="0"/>
              <w:spacing w:line="240" w:lineRule="auto"/>
              <w:jc w:val="center"/>
              <w:rPr>
                <w:sz w:val="21"/>
                <w:szCs w:val="21"/>
              </w:rPr>
            </w:pPr>
          </w:p>
        </w:tc>
        <w:tc>
          <w:tcPr>
            <w:tcW w:w="791" w:type="dxa"/>
            <w:vMerge w:val="continue"/>
            <w:tcBorders>
              <w:tl2br w:val="nil"/>
              <w:tr2bl w:val="nil"/>
            </w:tcBorders>
            <w:vAlign w:val="center"/>
          </w:tcPr>
          <w:p w14:paraId="58B0C6B7">
            <w:pPr>
              <w:adjustRightInd w:val="0"/>
              <w:snapToGrid w:val="0"/>
              <w:spacing w:line="240" w:lineRule="auto"/>
              <w:jc w:val="center"/>
              <w:rPr>
                <w:sz w:val="21"/>
                <w:szCs w:val="21"/>
              </w:rPr>
            </w:pPr>
          </w:p>
        </w:tc>
        <w:tc>
          <w:tcPr>
            <w:tcW w:w="1773" w:type="dxa"/>
            <w:tcBorders>
              <w:top w:val="single" w:color="auto" w:sz="4" w:space="0"/>
              <w:tl2br w:val="nil"/>
              <w:tr2bl w:val="nil"/>
            </w:tcBorders>
            <w:vAlign w:val="center"/>
          </w:tcPr>
          <w:p w14:paraId="4F13E055">
            <w:pPr>
              <w:adjustRightInd w:val="0"/>
              <w:snapToGrid w:val="0"/>
              <w:spacing w:line="240" w:lineRule="auto"/>
              <w:jc w:val="center"/>
              <w:rPr>
                <w:sz w:val="21"/>
                <w:szCs w:val="21"/>
              </w:rPr>
            </w:pPr>
            <w:r>
              <w:rPr>
                <w:sz w:val="21"/>
                <w:szCs w:val="21"/>
              </w:rPr>
              <w:t>设备维护</w:t>
            </w:r>
          </w:p>
        </w:tc>
        <w:tc>
          <w:tcPr>
            <w:tcW w:w="3952" w:type="dxa"/>
            <w:tcBorders>
              <w:right w:val="single" w:color="auto" w:sz="4" w:space="0"/>
              <w:tl2br w:val="nil"/>
              <w:tr2bl w:val="nil"/>
            </w:tcBorders>
            <w:vAlign w:val="center"/>
          </w:tcPr>
          <w:p w14:paraId="3E46EE75">
            <w:pPr>
              <w:adjustRightInd w:val="0"/>
              <w:snapToGrid w:val="0"/>
              <w:spacing w:line="240" w:lineRule="auto"/>
              <w:jc w:val="center"/>
              <w:rPr>
                <w:sz w:val="21"/>
                <w:szCs w:val="21"/>
              </w:rPr>
            </w:pPr>
            <w:r>
              <w:rPr>
                <w:sz w:val="21"/>
                <w:szCs w:val="21"/>
              </w:rPr>
              <w:t>废矿物油及其包装桶</w:t>
            </w:r>
          </w:p>
        </w:tc>
        <w:tc>
          <w:tcPr>
            <w:tcW w:w="944" w:type="dxa"/>
            <w:tcBorders>
              <w:left w:val="single" w:color="auto" w:sz="4" w:space="0"/>
              <w:tl2br w:val="nil"/>
              <w:tr2bl w:val="nil"/>
            </w:tcBorders>
            <w:vAlign w:val="center"/>
          </w:tcPr>
          <w:p w14:paraId="09B6AE6F">
            <w:pPr>
              <w:adjustRightInd w:val="0"/>
              <w:snapToGrid w:val="0"/>
              <w:spacing w:line="240" w:lineRule="auto"/>
              <w:jc w:val="center"/>
              <w:rPr>
                <w:sz w:val="21"/>
                <w:szCs w:val="21"/>
              </w:rPr>
            </w:pPr>
            <w:r>
              <w:rPr>
                <w:sz w:val="21"/>
                <w:szCs w:val="21"/>
              </w:rPr>
              <w:t>间断</w:t>
            </w:r>
          </w:p>
        </w:tc>
      </w:tr>
      <w:tr w14:paraId="5D17997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930" w:type="dxa"/>
            <w:tcBorders>
              <w:tl2br w:val="nil"/>
              <w:tr2bl w:val="nil"/>
            </w:tcBorders>
            <w:vAlign w:val="center"/>
          </w:tcPr>
          <w:p w14:paraId="3DC8AE88">
            <w:pPr>
              <w:adjustRightInd w:val="0"/>
              <w:snapToGrid w:val="0"/>
              <w:spacing w:line="240" w:lineRule="auto"/>
              <w:jc w:val="center"/>
              <w:rPr>
                <w:sz w:val="21"/>
                <w:szCs w:val="21"/>
              </w:rPr>
            </w:pPr>
            <w:r>
              <w:rPr>
                <w:sz w:val="21"/>
                <w:szCs w:val="21"/>
              </w:rPr>
              <w:t>噪声</w:t>
            </w:r>
          </w:p>
        </w:tc>
        <w:tc>
          <w:tcPr>
            <w:tcW w:w="791" w:type="dxa"/>
            <w:tcBorders>
              <w:tl2br w:val="nil"/>
              <w:tr2bl w:val="nil"/>
            </w:tcBorders>
            <w:vAlign w:val="center"/>
          </w:tcPr>
          <w:p w14:paraId="32767F33">
            <w:pPr>
              <w:adjustRightInd w:val="0"/>
              <w:snapToGrid w:val="0"/>
              <w:spacing w:line="240" w:lineRule="auto"/>
              <w:jc w:val="center"/>
              <w:rPr>
                <w:sz w:val="21"/>
                <w:szCs w:val="21"/>
              </w:rPr>
            </w:pPr>
            <w:r>
              <w:rPr>
                <w:sz w:val="21"/>
                <w:szCs w:val="21"/>
              </w:rPr>
              <w:t>N</w:t>
            </w:r>
          </w:p>
        </w:tc>
        <w:tc>
          <w:tcPr>
            <w:tcW w:w="1773" w:type="dxa"/>
            <w:tcBorders>
              <w:tl2br w:val="nil"/>
              <w:tr2bl w:val="nil"/>
            </w:tcBorders>
            <w:vAlign w:val="center"/>
          </w:tcPr>
          <w:p w14:paraId="498A4881">
            <w:pPr>
              <w:adjustRightInd w:val="0"/>
              <w:snapToGrid w:val="0"/>
              <w:spacing w:line="240" w:lineRule="auto"/>
              <w:jc w:val="center"/>
              <w:rPr>
                <w:sz w:val="21"/>
                <w:szCs w:val="21"/>
              </w:rPr>
            </w:pPr>
            <w:r>
              <w:rPr>
                <w:sz w:val="21"/>
                <w:szCs w:val="21"/>
              </w:rPr>
              <w:t>设备运行</w:t>
            </w:r>
          </w:p>
        </w:tc>
        <w:tc>
          <w:tcPr>
            <w:tcW w:w="4896" w:type="dxa"/>
            <w:gridSpan w:val="2"/>
            <w:tcBorders>
              <w:tl2br w:val="nil"/>
              <w:tr2bl w:val="nil"/>
            </w:tcBorders>
            <w:vAlign w:val="center"/>
          </w:tcPr>
          <w:p w14:paraId="5B8B50E1">
            <w:pPr>
              <w:adjustRightInd w:val="0"/>
              <w:snapToGrid w:val="0"/>
              <w:spacing w:line="240" w:lineRule="auto"/>
              <w:jc w:val="center"/>
              <w:rPr>
                <w:sz w:val="21"/>
                <w:szCs w:val="21"/>
              </w:rPr>
            </w:pPr>
            <w:r>
              <w:rPr>
                <w:sz w:val="21"/>
                <w:szCs w:val="21"/>
              </w:rPr>
              <w:t>噪声</w:t>
            </w:r>
          </w:p>
        </w:tc>
      </w:tr>
    </w:tbl>
    <w:p w14:paraId="11C72DA7">
      <w:pPr>
        <w:pStyle w:val="3"/>
        <w:numPr>
          <w:ilvl w:val="1"/>
          <w:numId w:val="0"/>
        </w:numPr>
        <w:ind w:left="567" w:leftChars="0" w:hanging="567" w:firstLineChars="0"/>
        <w:rPr>
          <w:sz w:val="28"/>
          <w:szCs w:val="28"/>
        </w:rPr>
      </w:pPr>
      <w:bookmarkStart w:id="91" w:name="_Toc5849"/>
      <w:r>
        <w:rPr>
          <w:rFonts w:hint="default" w:ascii="宋体" w:hAnsi="宋体" w:eastAsia="宋体" w:cs="宋体"/>
          <w:b/>
          <w:bCs/>
          <w:kern w:val="2"/>
          <w:sz w:val="28"/>
          <w:szCs w:val="28"/>
          <w:lang w:val="en-US" w:eastAsia="zh-CN" w:bidi="ar-SA"/>
        </w:rPr>
        <w:t>4.3</w:t>
      </w:r>
      <w:r>
        <w:rPr>
          <w:rFonts w:hint="eastAsia"/>
          <w:sz w:val="28"/>
          <w:szCs w:val="28"/>
        </w:rPr>
        <w:t>污染物源强分析</w:t>
      </w:r>
      <w:bookmarkEnd w:id="91"/>
    </w:p>
    <w:p w14:paraId="1066BDD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4.3.1</w:t>
      </w:r>
      <w:r>
        <w:rPr>
          <w:rFonts w:hint="eastAsia"/>
        </w:rPr>
        <w:t>施工期污染物源强分析</w:t>
      </w:r>
    </w:p>
    <w:p w14:paraId="03644438">
      <w:pPr>
        <w:ind w:firstLine="480"/>
      </w:pPr>
      <w:r>
        <w:rPr>
          <w:rFonts w:hint="eastAsia"/>
        </w:rPr>
        <w:t>项目在已建成厂房内生产，无新增建筑，无土建施工。施工期仅为设备安装，主要为设备搬运、安装噪声，其噪声量较小，不会对周边环境产生明显影响，故不再考虑施工期影响。</w:t>
      </w:r>
    </w:p>
    <w:p w14:paraId="24EFDAE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4.3.2</w:t>
      </w:r>
      <w:r>
        <w:rPr>
          <w:rFonts w:hint="eastAsia"/>
        </w:rPr>
        <w:t>运营期污染物源强分析</w:t>
      </w:r>
    </w:p>
    <w:p w14:paraId="2704C6F4">
      <w:pPr>
        <w:pStyle w:val="5"/>
        <w:numPr>
          <w:ilvl w:val="3"/>
          <w:numId w:val="0"/>
        </w:numPr>
        <w:tabs>
          <w:tab w:val="left" w:pos="4169"/>
        </w:tabs>
        <w:ind w:left="1984" w:leftChars="0" w:hanging="1984" w:firstLineChars="0"/>
      </w:pPr>
      <w:r>
        <w:rPr>
          <w:rFonts w:hint="default" w:ascii="宋体" w:hAnsi="宋体" w:eastAsia="宋体" w:cs="宋体"/>
          <w:b/>
          <w:bCs/>
          <w:kern w:val="2"/>
          <w:sz w:val="24"/>
          <w:szCs w:val="24"/>
          <w:lang w:val="en-US" w:eastAsia="zh-CN" w:bidi="ar-SA"/>
        </w:rPr>
        <w:t>4.3.2.1</w:t>
      </w:r>
      <w:r>
        <w:rPr>
          <w:rFonts w:hint="eastAsia"/>
        </w:rPr>
        <w:t>废气污染源强分析</w:t>
      </w:r>
      <w:r>
        <w:rPr>
          <w:rFonts w:hint="eastAsia"/>
        </w:rPr>
        <w:tab/>
      </w:r>
    </w:p>
    <w:p w14:paraId="5E81FA8F">
      <w:pPr>
        <w:ind w:firstLine="480"/>
      </w:pPr>
      <w:r>
        <w:t>项目运营期主要产污环节主要包括印刷</w:t>
      </w:r>
      <w:r>
        <w:rPr>
          <w:rFonts w:hint="eastAsia"/>
        </w:rPr>
        <w:t>和</w:t>
      </w:r>
      <w:r>
        <w:t>复合两大工序。</w:t>
      </w:r>
      <w:r>
        <w:rPr>
          <w:rFonts w:hint="eastAsia"/>
        </w:rPr>
        <w:t>其中印刷工序</w:t>
      </w:r>
      <w:r>
        <w:rPr>
          <w:rFonts w:hint="eastAsia"/>
          <w:lang w:val="en-US" w:eastAsia="zh-CN"/>
        </w:rPr>
        <w:t>VOCs产污</w:t>
      </w:r>
      <w:r>
        <w:rPr>
          <w:rFonts w:hint="eastAsia"/>
        </w:rPr>
        <w:t>节点包括：</w:t>
      </w:r>
      <w:r>
        <w:t>油墨调配、输送</w:t>
      </w:r>
      <w:r>
        <w:rPr>
          <w:rFonts w:hint="eastAsia"/>
        </w:rPr>
        <w:t>、印刷、烘干以及印刷机定期擦洗；复合工序包括：</w:t>
      </w:r>
      <w:r>
        <w:t>胶黏剂调配、输送</w:t>
      </w:r>
      <w:r>
        <w:rPr>
          <w:rFonts w:hint="eastAsia"/>
        </w:rPr>
        <w:t>、复合及烘干、复合机擦洗。另外，危废仓库的贮存也有少量挥发性有机物的排放。印刷及干式复合烘干采用天然气热水锅炉，</w:t>
      </w:r>
      <w:r>
        <w:t>废气治理设施</w:t>
      </w:r>
      <w:r>
        <w:rPr>
          <w:rFonts w:hint="eastAsia"/>
        </w:rPr>
        <w:t>配套的导热油锅炉能源采用天然气</w:t>
      </w:r>
      <w:r>
        <w:t>。</w:t>
      </w:r>
    </w:p>
    <w:p w14:paraId="31EE53F3">
      <w:pPr>
        <w:ind w:firstLine="480"/>
        <w:rPr>
          <w:rFonts w:hint="eastAsia"/>
          <w:u w:val="single"/>
          <w:lang w:val="en-US" w:eastAsia="zh-CN"/>
        </w:rPr>
      </w:pPr>
      <w:r>
        <w:rPr>
          <w:rFonts w:hint="eastAsia"/>
        </w:rPr>
        <w:t>项目使用的油墨、稀释剂、胶粘剂等MSDS中不含有甲苯、二甲苯、苯及有机氯等卤素，主要污染物挥发性有机物，根据《印刷复合VOCs废气处理溶剂回收再利用项目技术方案》的规定，溶剂稀释剂、油墨和胶粘剂中不能含有苯类、酮类、乙醇、甲醇、丙二醇甲醚等类型的溶剂。同时，项目不使用苯、甲苯和二甲苯作为溶剂。在印刷复合完成后，使用乙酸乙酯擦拭设备，有机废气无需直接加热燃烧。因此，在整个印刷过程中不会产生苯、甲苯、二甲苯等污染物。</w:t>
      </w:r>
      <w:r>
        <w:rPr>
          <w:rFonts w:hint="eastAsia"/>
          <w:u w:val="single"/>
          <w:lang w:val="en-US" w:eastAsia="zh-CN"/>
        </w:rPr>
        <w:t>本项目运营期废气走向图如下：</w:t>
      </w:r>
    </w:p>
    <w:p w14:paraId="12DDFC53">
      <w:pPr>
        <w:ind w:firstLine="480"/>
        <w:rPr>
          <w:rFonts w:hint="eastAsia"/>
          <w:lang w:val="en-US" w:eastAsia="zh-CN"/>
        </w:rPr>
      </w:pPr>
    </w:p>
    <w:p w14:paraId="5999AAE3">
      <w:pPr>
        <w:ind w:firstLine="480"/>
        <w:rPr>
          <w:rFonts w:hint="eastAsia"/>
          <w:lang w:val="en-US" w:eastAsia="zh-CN"/>
        </w:rPr>
      </w:pPr>
    </w:p>
    <w:p w14:paraId="446CEFC4">
      <w:pPr>
        <w:ind w:firstLine="480"/>
        <w:rPr>
          <w:rFonts w:hint="eastAsia"/>
          <w:lang w:val="en-US" w:eastAsia="zh-CN"/>
        </w:rPr>
      </w:pPr>
    </w:p>
    <w:p w14:paraId="422677AD">
      <w:pPr>
        <w:ind w:firstLine="480"/>
        <w:rPr>
          <w:rFonts w:hint="eastAsia"/>
          <w:lang w:val="en-US" w:eastAsia="zh-CN"/>
        </w:rPr>
      </w:pPr>
    </w:p>
    <w:p w14:paraId="7A30FA0C">
      <w:pPr>
        <w:ind w:firstLine="480"/>
        <w:rPr>
          <w:rFonts w:hint="eastAsia"/>
          <w:lang w:val="en-US" w:eastAsia="zh-CN"/>
        </w:rPr>
      </w:pPr>
    </w:p>
    <w:p w14:paraId="4D5FFBAD">
      <w:pPr>
        <w:ind w:firstLine="480"/>
        <w:rPr>
          <w:rFonts w:hint="eastAsia"/>
          <w:lang w:val="en-US" w:eastAsia="zh-CN"/>
        </w:rPr>
      </w:pPr>
    </w:p>
    <w:p w14:paraId="60199320">
      <w:pPr>
        <w:ind w:firstLine="480"/>
        <w:rPr>
          <w:rFonts w:hint="eastAsia"/>
          <w:lang w:val="en-US" w:eastAsia="zh-CN"/>
        </w:rPr>
      </w:pPr>
    </w:p>
    <w:p w14:paraId="2C8E84F0">
      <w:pPr>
        <w:ind w:firstLine="480"/>
        <w:rPr>
          <w:rFonts w:hint="eastAsia"/>
          <w:lang w:val="en-US" w:eastAsia="zh-CN"/>
        </w:rPr>
      </w:pPr>
    </w:p>
    <w:p w14:paraId="04A8D87E">
      <w:pPr>
        <w:ind w:firstLine="480"/>
        <w:rPr>
          <w:rFonts w:hint="eastAsia"/>
          <w:lang w:val="en-US" w:eastAsia="zh-CN"/>
        </w:rPr>
      </w:pPr>
    </w:p>
    <w:p w14:paraId="700084D9">
      <w:pPr>
        <w:ind w:firstLine="480"/>
        <w:rPr>
          <w:rFonts w:hint="eastAsia"/>
          <w:lang w:val="en-US" w:eastAsia="zh-CN"/>
        </w:rPr>
      </w:pPr>
    </w:p>
    <w:p w14:paraId="633036AD">
      <w:pPr>
        <w:ind w:firstLine="480"/>
        <w:rPr>
          <w:rFonts w:hint="eastAsia"/>
          <w:lang w:val="en-US" w:eastAsia="zh-CN"/>
        </w:rPr>
      </w:pPr>
      <w:r>
        <w:rPr>
          <w:rFonts w:hint="eastAsia"/>
          <w:lang w:val="en-US" w:eastAsia="zh-CN"/>
        </w:rPr>
        <w:object>
          <v:shape id="_x0000_i1068" o:spt="75" type="#_x0000_t75" style="height:309.75pt;width:332.4pt;" o:ole="t" filled="f" o:preferrelative="t" stroked="f" coordsize="21600,21600">
            <v:path/>
            <v:fill on="f" focussize="0,0"/>
            <v:stroke on="f"/>
            <v:imagedata r:id="rId41" o:title=""/>
            <o:lock v:ext="edit" aspectratio="f"/>
            <w10:wrap type="none"/>
            <w10:anchorlock/>
          </v:shape>
          <o:OLEObject Type="Embed" ProgID="Visio.Drawing.11" ShapeID="_x0000_i1068" DrawAspect="Content" ObjectID="_1468075731" r:id="rId40">
            <o:LockedField>false</o:LockedField>
          </o:OLEObject>
        </w:object>
      </w:r>
    </w:p>
    <w:p w14:paraId="153C0328">
      <w:pPr>
        <w:ind w:firstLine="1928" w:firstLineChars="800"/>
        <w:rPr>
          <w:rFonts w:hint="default"/>
          <w:lang w:val="en-US" w:eastAsia="zh-CN"/>
        </w:rPr>
      </w:pPr>
      <w:r>
        <w:rPr>
          <w:rFonts w:hint="eastAsia"/>
          <w:b/>
          <w:bCs/>
          <w:u w:val="single"/>
          <w:lang w:val="en-US" w:eastAsia="zh-CN"/>
        </w:rPr>
        <w:t>图4.3-1  本项目有机废气走向示意图</w:t>
      </w:r>
    </w:p>
    <w:p w14:paraId="6A50323D">
      <w:pPr>
        <w:ind w:firstLine="480"/>
      </w:pPr>
      <w:r>
        <w:t>参考《排污许可证申请与核发技术规范 印刷工业》（HJ 1066-2019）、《塑料包装印刷挥发性有机物治理实用手册》、《印刷工业污染防治可行技术指南》（HJ1089-2020）</w:t>
      </w:r>
      <w:r>
        <w:rPr>
          <w:rFonts w:hint="eastAsia"/>
        </w:rPr>
        <w:t>，</w:t>
      </w:r>
      <w:r>
        <w:t>建设单位以及原料厂家提供的MSDS</w:t>
      </w:r>
      <w:r>
        <w:rPr>
          <w:rFonts w:hint="eastAsia"/>
        </w:rPr>
        <w:t>，项目印刷、复合生产线污染源强分析如下：</w:t>
      </w:r>
    </w:p>
    <w:p w14:paraId="461FA332">
      <w:pPr>
        <w:ind w:firstLine="480"/>
      </w:pPr>
      <w:r>
        <w:rPr>
          <w:rFonts w:hint="eastAsia"/>
        </w:rPr>
        <w:t>1.印刷、复合生产线废气（G1-G7）</w:t>
      </w:r>
    </w:p>
    <w:p w14:paraId="6FCB3A92">
      <w:pPr>
        <w:ind w:firstLine="480"/>
      </w:pPr>
      <w:r>
        <w:rPr>
          <w:rFonts w:hint="eastAsia" w:ascii="宋体" w:hAnsi="宋体" w:cs="宋体"/>
        </w:rPr>
        <w:t>⑴</w:t>
      </w:r>
      <w:r>
        <w:rPr>
          <w:rFonts w:hint="eastAsia"/>
        </w:rPr>
        <w:t>污染源强核算</w:t>
      </w:r>
    </w:p>
    <w:p w14:paraId="1F3838A7">
      <w:pPr>
        <w:pStyle w:val="38"/>
        <w:ind w:firstLine="480"/>
        <w:rPr>
          <w:rFonts w:ascii="Times New Roman" w:hAnsi="Times New Roman" w:eastAsia="宋体" w:cs="Times New Roman"/>
          <w:color w:val="auto"/>
        </w:rPr>
      </w:pPr>
      <w:r>
        <w:rPr>
          <w:rFonts w:ascii="Times New Roman" w:hAnsi="Times New Roman" w:eastAsia="宋体" w:cs="Times New Roman"/>
          <w:color w:val="auto"/>
        </w:rPr>
        <w:t>项目</w:t>
      </w:r>
      <w:r>
        <w:rPr>
          <w:rFonts w:hint="eastAsia" w:ascii="Times New Roman" w:hAnsi="Times New Roman" w:eastAsia="宋体" w:cs="Times New Roman"/>
          <w:color w:val="auto"/>
        </w:rPr>
        <w:t>软</w:t>
      </w:r>
      <w:r>
        <w:rPr>
          <w:rFonts w:ascii="Times New Roman" w:hAnsi="Times New Roman" w:eastAsia="宋体" w:cs="Times New Roman"/>
          <w:color w:val="auto"/>
        </w:rPr>
        <w:t>包装袋及复合</w:t>
      </w:r>
      <w:r>
        <w:rPr>
          <w:rFonts w:hint="eastAsia" w:ascii="Times New Roman" w:hAnsi="Times New Roman" w:eastAsia="宋体" w:cs="Times New Roman"/>
          <w:color w:val="auto"/>
        </w:rPr>
        <w:t>过程</w:t>
      </w:r>
      <w:r>
        <w:rPr>
          <w:rFonts w:ascii="Times New Roman" w:hAnsi="Times New Roman" w:eastAsia="宋体" w:cs="Times New Roman"/>
          <w:color w:val="auto"/>
        </w:rPr>
        <w:t>污染物主要为印刷、</w:t>
      </w:r>
      <w:r>
        <w:rPr>
          <w:rFonts w:hint="eastAsia" w:ascii="Times New Roman" w:hAnsi="Times New Roman" w:eastAsia="宋体" w:cs="Times New Roman"/>
          <w:color w:val="auto"/>
        </w:rPr>
        <w:t>干式</w:t>
      </w:r>
      <w:r>
        <w:rPr>
          <w:rFonts w:ascii="Times New Roman" w:hAnsi="Times New Roman" w:eastAsia="宋体" w:cs="Times New Roman"/>
          <w:color w:val="auto"/>
        </w:rPr>
        <w:t>复合等工序产生的</w:t>
      </w:r>
      <w:r>
        <w:rPr>
          <w:rFonts w:hint="eastAsia" w:ascii="Times New Roman"/>
        </w:rPr>
        <w:t>VOCs</w:t>
      </w:r>
      <w:r>
        <w:rPr>
          <w:rFonts w:ascii="Times New Roman" w:hAnsi="Times New Roman" w:eastAsia="宋体" w:cs="Times New Roman"/>
          <w:color w:val="auto"/>
        </w:rPr>
        <w:t>，</w:t>
      </w:r>
      <w:r>
        <w:rPr>
          <w:rFonts w:hint="eastAsia" w:ascii="Times New Roman" w:hAnsi="Times New Roman" w:eastAsia="宋体" w:cs="Times New Roman"/>
          <w:color w:val="auto"/>
        </w:rPr>
        <w:t>印刷工序采用凹版油墨、使用的稀释剂为（乙酸正丙酯、异丙醇、乙酸丁酯、乙酸乙酯），印刷过程中会产生一定量的</w:t>
      </w:r>
      <w:r>
        <w:rPr>
          <w:rFonts w:hint="eastAsia" w:ascii="Times New Roman"/>
        </w:rPr>
        <w:t>VOCs</w:t>
      </w:r>
      <w:r>
        <w:rPr>
          <w:rFonts w:hint="eastAsia" w:ascii="Times New Roman" w:hAnsi="Times New Roman" w:eastAsia="宋体" w:cs="Times New Roman"/>
          <w:color w:val="auto"/>
        </w:rPr>
        <w:t>；复合工序分为两种，一种为干式复合使用溶剂型聚氨酯胶水，聚氨酯胶复合使用的溶剂为乙酸乙酯，复合过程中会产生一定量的</w:t>
      </w:r>
      <w:r>
        <w:rPr>
          <w:rFonts w:hint="eastAsia" w:ascii="Times New Roman"/>
        </w:rPr>
        <w:t>VOCs</w:t>
      </w:r>
      <w:r>
        <w:rPr>
          <w:rFonts w:hint="eastAsia" w:ascii="Times New Roman" w:hAnsi="Times New Roman" w:eastAsia="宋体" w:cs="Times New Roman"/>
          <w:color w:val="auto"/>
        </w:rPr>
        <w:t>，另一种为无溶剂复合使用双组分无溶剂胶黏剂A/B胶，无溶剂胶复合过程中无需烘干，且MSDS中不含有挥发性有机物，因此，不产生</w:t>
      </w:r>
      <w:r>
        <w:rPr>
          <w:rFonts w:hint="eastAsia" w:ascii="Times New Roman"/>
        </w:rPr>
        <w:t>VOCs</w:t>
      </w:r>
      <w:r>
        <w:rPr>
          <w:rFonts w:hint="eastAsia" w:ascii="Times New Roman" w:hAnsi="Times New Roman" w:eastAsia="宋体" w:cs="Times New Roman"/>
          <w:color w:val="auto"/>
        </w:rPr>
        <w:t>。</w:t>
      </w:r>
    </w:p>
    <w:p w14:paraId="77C25584">
      <w:pPr>
        <w:pStyle w:val="40"/>
        <w:spacing w:line="360" w:lineRule="auto"/>
        <w:ind w:firstLine="480"/>
        <w:rPr>
          <w:rFonts w:ascii="Times New Roman"/>
        </w:rPr>
      </w:pPr>
      <w:r>
        <w:rPr>
          <w:rFonts w:ascii="Times New Roman"/>
        </w:rPr>
        <w:t>本项目采取了溶剂回收系统，回收溶剂本次不计入</w:t>
      </w:r>
      <w:r>
        <w:rPr>
          <w:rFonts w:hint="eastAsia" w:ascii="Times New Roman"/>
        </w:rPr>
        <w:t>VOCs产排放核算，</w:t>
      </w:r>
      <w:r>
        <w:rPr>
          <w:rFonts w:ascii="Times New Roman"/>
        </w:rPr>
        <w:t>本项目根据建设单位以及原料厂家提供的MSDS</w:t>
      </w:r>
      <w:r>
        <w:rPr>
          <w:rFonts w:hint="eastAsia" w:ascii="Times New Roman"/>
        </w:rPr>
        <w:t>(详见表4.1-7)进行挥发性有机化合物核算，</w:t>
      </w:r>
      <w:r>
        <w:rPr>
          <w:rFonts w:ascii="Times New Roman"/>
        </w:rPr>
        <w:t>其</w:t>
      </w:r>
      <w:r>
        <w:rPr>
          <w:rFonts w:hint="eastAsia" w:ascii="Times New Roman"/>
        </w:rPr>
        <w:t>项目总挥发性有机物产生情况见下</w:t>
      </w:r>
      <w:r>
        <w:rPr>
          <w:rFonts w:ascii="Times New Roman"/>
        </w:rPr>
        <w:t>表</w:t>
      </w:r>
      <w:r>
        <w:rPr>
          <w:rFonts w:hint="eastAsia" w:ascii="Times New Roman"/>
        </w:rPr>
        <w:t>4.3</w:t>
      </w:r>
      <w:r>
        <w:rPr>
          <w:rFonts w:ascii="Times New Roman"/>
        </w:rPr>
        <w:t>-</w:t>
      </w:r>
      <w:r>
        <w:rPr>
          <w:rFonts w:hint="eastAsia" w:ascii="Times New Roman"/>
        </w:rPr>
        <w:t>1</w:t>
      </w:r>
      <w:r>
        <w:rPr>
          <w:rFonts w:ascii="Times New Roman"/>
        </w:rPr>
        <w:t>。</w:t>
      </w:r>
    </w:p>
    <w:p w14:paraId="01D75638">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 </w:t>
      </w:r>
      <w:r>
        <w:rPr>
          <w:rFonts w:hint="eastAsia" w:ascii="宋体" w:hAnsi="宋体" w:cs="宋体"/>
          <w:b/>
          <w:bCs/>
          <w:color w:val="auto"/>
          <w:kern w:val="2"/>
          <w:sz w:val="21"/>
          <w:szCs w:val="21"/>
          <w:lang w:val="en-US" w:eastAsia="zh-CN" w:bidi="ar-SA"/>
        </w:rPr>
        <w:t xml:space="preserve">   </w:t>
      </w:r>
      <w:r>
        <w:rPr>
          <w:rFonts w:hint="eastAsia"/>
        </w:rPr>
        <w:t>项目挥发性有机物废气产生情况</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108" w:type="dxa"/>
          <w:bottom w:w="0" w:type="dxa"/>
          <w:right w:w="108" w:type="dxa"/>
        </w:tblCellMar>
      </w:tblPr>
      <w:tblGrid>
        <w:gridCol w:w="539"/>
        <w:gridCol w:w="1000"/>
        <w:gridCol w:w="1636"/>
        <w:gridCol w:w="1502"/>
        <w:gridCol w:w="1994"/>
        <w:gridCol w:w="1851"/>
      </w:tblGrid>
      <w:tr w14:paraId="4B8B50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63" w:type="pct"/>
            <w:gridSpan w:val="3"/>
            <w:tcBorders>
              <w:tl2br w:val="nil"/>
              <w:tr2bl w:val="nil"/>
            </w:tcBorders>
            <w:vAlign w:val="center"/>
          </w:tcPr>
          <w:p w14:paraId="4C4E6EBD">
            <w:pPr>
              <w:adjustRightInd w:val="0"/>
              <w:snapToGrid w:val="0"/>
              <w:spacing w:line="240" w:lineRule="auto"/>
              <w:jc w:val="center"/>
              <w:rPr>
                <w:sz w:val="21"/>
                <w:szCs w:val="21"/>
              </w:rPr>
            </w:pPr>
            <w:r>
              <w:rPr>
                <w:rFonts w:hint="eastAsia"/>
                <w:sz w:val="21"/>
                <w:szCs w:val="21"/>
              </w:rPr>
              <w:t>生产工序</w:t>
            </w:r>
          </w:p>
        </w:tc>
        <w:tc>
          <w:tcPr>
            <w:tcW w:w="881" w:type="pct"/>
            <w:tcBorders>
              <w:tl2br w:val="nil"/>
              <w:tr2bl w:val="nil"/>
            </w:tcBorders>
            <w:vAlign w:val="center"/>
          </w:tcPr>
          <w:p w14:paraId="0E3A5002">
            <w:pPr>
              <w:adjustRightInd w:val="0"/>
              <w:snapToGrid w:val="0"/>
              <w:spacing w:line="240" w:lineRule="auto"/>
              <w:jc w:val="center"/>
              <w:rPr>
                <w:sz w:val="21"/>
                <w:szCs w:val="21"/>
              </w:rPr>
            </w:pPr>
            <w:r>
              <w:rPr>
                <w:rFonts w:hint="eastAsia"/>
                <w:sz w:val="21"/>
                <w:szCs w:val="21"/>
              </w:rPr>
              <w:t>原料使用量（t/a）</w:t>
            </w:r>
          </w:p>
        </w:tc>
        <w:tc>
          <w:tcPr>
            <w:tcW w:w="1170" w:type="pct"/>
            <w:tcBorders>
              <w:tl2br w:val="nil"/>
              <w:tr2bl w:val="nil"/>
            </w:tcBorders>
            <w:vAlign w:val="center"/>
          </w:tcPr>
          <w:p w14:paraId="529E8477">
            <w:pPr>
              <w:adjustRightInd w:val="0"/>
              <w:snapToGrid w:val="0"/>
              <w:spacing w:line="240" w:lineRule="auto"/>
              <w:jc w:val="center"/>
              <w:rPr>
                <w:sz w:val="21"/>
                <w:szCs w:val="21"/>
              </w:rPr>
            </w:pPr>
            <w:r>
              <w:rPr>
                <w:rFonts w:hint="eastAsia"/>
                <w:sz w:val="21"/>
                <w:szCs w:val="21"/>
              </w:rPr>
              <w:t>挥发性有机物含量（%）</w:t>
            </w:r>
          </w:p>
        </w:tc>
        <w:tc>
          <w:tcPr>
            <w:tcW w:w="1086" w:type="pct"/>
            <w:tcBorders>
              <w:tl2br w:val="nil"/>
              <w:tr2bl w:val="nil"/>
            </w:tcBorders>
            <w:vAlign w:val="center"/>
          </w:tcPr>
          <w:p w14:paraId="2EB8B011">
            <w:pPr>
              <w:adjustRightInd w:val="0"/>
              <w:snapToGrid w:val="0"/>
              <w:spacing w:line="240" w:lineRule="auto"/>
              <w:jc w:val="center"/>
              <w:rPr>
                <w:sz w:val="21"/>
                <w:szCs w:val="21"/>
              </w:rPr>
            </w:pPr>
            <w:r>
              <w:rPr>
                <w:rFonts w:hint="eastAsia"/>
                <w:sz w:val="21"/>
                <w:szCs w:val="21"/>
              </w:rPr>
              <w:t>挥发性有机物含量（吨）</w:t>
            </w:r>
          </w:p>
        </w:tc>
      </w:tr>
      <w:tr w14:paraId="2BE55FF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316" w:type="pct"/>
            <w:vMerge w:val="restart"/>
            <w:tcBorders>
              <w:right w:val="single" w:color="auto" w:sz="4" w:space="0"/>
              <w:tl2br w:val="nil"/>
              <w:tr2bl w:val="nil"/>
            </w:tcBorders>
            <w:vAlign w:val="center"/>
          </w:tcPr>
          <w:p w14:paraId="384F3F4E">
            <w:pPr>
              <w:adjustRightInd w:val="0"/>
              <w:snapToGrid w:val="0"/>
              <w:spacing w:line="240" w:lineRule="auto"/>
              <w:jc w:val="center"/>
              <w:rPr>
                <w:sz w:val="21"/>
                <w:szCs w:val="21"/>
              </w:rPr>
            </w:pPr>
            <w:r>
              <w:rPr>
                <w:rFonts w:hint="eastAsia"/>
                <w:sz w:val="21"/>
                <w:szCs w:val="21"/>
              </w:rPr>
              <w:t>印刷</w:t>
            </w:r>
          </w:p>
        </w:tc>
        <w:tc>
          <w:tcPr>
            <w:tcW w:w="1547" w:type="pct"/>
            <w:gridSpan w:val="2"/>
            <w:tcBorders>
              <w:left w:val="single" w:color="auto" w:sz="4" w:space="0"/>
              <w:tl2br w:val="nil"/>
              <w:tr2bl w:val="nil"/>
            </w:tcBorders>
            <w:vAlign w:val="center"/>
          </w:tcPr>
          <w:p w14:paraId="6D5D34AA">
            <w:pPr>
              <w:adjustRightInd w:val="0"/>
              <w:snapToGrid w:val="0"/>
              <w:spacing w:line="240" w:lineRule="auto"/>
              <w:jc w:val="center"/>
              <w:rPr>
                <w:sz w:val="21"/>
                <w:szCs w:val="21"/>
              </w:rPr>
            </w:pPr>
            <w:r>
              <w:rPr>
                <w:rFonts w:hint="eastAsia"/>
                <w:sz w:val="21"/>
                <w:szCs w:val="21"/>
              </w:rPr>
              <w:t>溶剂型</w:t>
            </w:r>
            <w:r>
              <w:rPr>
                <w:sz w:val="21"/>
                <w:szCs w:val="21"/>
              </w:rPr>
              <w:t>油墨</w:t>
            </w:r>
          </w:p>
        </w:tc>
        <w:tc>
          <w:tcPr>
            <w:tcW w:w="881" w:type="pct"/>
            <w:tcBorders>
              <w:tl2br w:val="nil"/>
              <w:tr2bl w:val="nil"/>
            </w:tcBorders>
            <w:vAlign w:val="center"/>
          </w:tcPr>
          <w:p w14:paraId="61E25C71">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1460</w:t>
            </w:r>
          </w:p>
        </w:tc>
        <w:tc>
          <w:tcPr>
            <w:tcW w:w="1170" w:type="pct"/>
            <w:tcBorders>
              <w:tl2br w:val="nil"/>
              <w:tr2bl w:val="nil"/>
            </w:tcBorders>
            <w:vAlign w:val="center"/>
          </w:tcPr>
          <w:p w14:paraId="7993BA68">
            <w:pPr>
              <w:adjustRightInd w:val="0"/>
              <w:snapToGrid w:val="0"/>
              <w:spacing w:line="240" w:lineRule="auto"/>
              <w:jc w:val="center"/>
              <w:rPr>
                <w:sz w:val="21"/>
                <w:szCs w:val="21"/>
              </w:rPr>
            </w:pPr>
            <w:r>
              <w:rPr>
                <w:rFonts w:hint="eastAsia"/>
                <w:sz w:val="21"/>
                <w:szCs w:val="21"/>
              </w:rPr>
              <w:t>54</w:t>
            </w:r>
          </w:p>
        </w:tc>
        <w:tc>
          <w:tcPr>
            <w:tcW w:w="1086" w:type="pct"/>
            <w:tcBorders>
              <w:tl2br w:val="nil"/>
              <w:tr2bl w:val="nil"/>
            </w:tcBorders>
            <w:vAlign w:val="center"/>
          </w:tcPr>
          <w:p w14:paraId="3952B6E5">
            <w:pPr>
              <w:adjustRightInd w:val="0"/>
              <w:snapToGrid w:val="0"/>
              <w:spacing w:line="240" w:lineRule="auto"/>
              <w:jc w:val="center"/>
              <w:rPr>
                <w:sz w:val="21"/>
                <w:szCs w:val="21"/>
              </w:rPr>
            </w:pPr>
            <w:r>
              <w:rPr>
                <w:rFonts w:hint="eastAsia"/>
                <w:sz w:val="21"/>
                <w:szCs w:val="21"/>
              </w:rPr>
              <w:t>788.4</w:t>
            </w:r>
          </w:p>
        </w:tc>
      </w:tr>
      <w:tr w14:paraId="26C0DCA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316" w:type="pct"/>
            <w:vMerge w:val="continue"/>
            <w:tcBorders>
              <w:right w:val="single" w:color="auto" w:sz="4" w:space="0"/>
              <w:tl2br w:val="nil"/>
              <w:tr2bl w:val="nil"/>
            </w:tcBorders>
            <w:vAlign w:val="center"/>
          </w:tcPr>
          <w:p w14:paraId="53A6DCFE">
            <w:pPr>
              <w:adjustRightInd w:val="0"/>
              <w:snapToGrid w:val="0"/>
              <w:spacing w:line="240" w:lineRule="auto"/>
              <w:jc w:val="center"/>
              <w:rPr>
                <w:sz w:val="21"/>
                <w:szCs w:val="21"/>
              </w:rPr>
            </w:pPr>
          </w:p>
        </w:tc>
        <w:tc>
          <w:tcPr>
            <w:tcW w:w="587" w:type="pct"/>
            <w:vMerge w:val="restart"/>
            <w:tcBorders>
              <w:left w:val="single" w:color="auto" w:sz="4" w:space="0"/>
              <w:right w:val="single" w:color="auto" w:sz="4" w:space="0"/>
              <w:tl2br w:val="nil"/>
              <w:tr2bl w:val="nil"/>
            </w:tcBorders>
            <w:vAlign w:val="center"/>
          </w:tcPr>
          <w:p w14:paraId="5A98025F">
            <w:pPr>
              <w:adjustRightInd w:val="0"/>
              <w:snapToGrid w:val="0"/>
              <w:spacing w:line="240" w:lineRule="auto"/>
              <w:jc w:val="center"/>
              <w:rPr>
                <w:sz w:val="21"/>
                <w:szCs w:val="21"/>
              </w:rPr>
            </w:pPr>
            <w:r>
              <w:rPr>
                <w:rFonts w:hint="eastAsia"/>
                <w:sz w:val="21"/>
                <w:szCs w:val="21"/>
              </w:rPr>
              <w:t>稀释剂</w:t>
            </w:r>
          </w:p>
        </w:tc>
        <w:tc>
          <w:tcPr>
            <w:tcW w:w="960" w:type="pct"/>
            <w:tcBorders>
              <w:left w:val="single" w:color="auto" w:sz="4" w:space="0"/>
              <w:tl2br w:val="nil"/>
              <w:tr2bl w:val="nil"/>
            </w:tcBorders>
            <w:vAlign w:val="center"/>
          </w:tcPr>
          <w:p w14:paraId="4AAA8A5B">
            <w:pPr>
              <w:adjustRightInd w:val="0"/>
              <w:snapToGrid w:val="0"/>
              <w:spacing w:line="240" w:lineRule="auto"/>
              <w:jc w:val="center"/>
              <w:rPr>
                <w:sz w:val="21"/>
                <w:szCs w:val="21"/>
              </w:rPr>
            </w:pPr>
            <w:r>
              <w:rPr>
                <w:sz w:val="21"/>
                <w:szCs w:val="21"/>
              </w:rPr>
              <w:t>乙酸正丙酯</w:t>
            </w:r>
          </w:p>
        </w:tc>
        <w:tc>
          <w:tcPr>
            <w:tcW w:w="1502" w:type="dxa"/>
            <w:tcBorders>
              <w:tl2br w:val="nil"/>
              <w:tr2bl w:val="nil"/>
            </w:tcBorders>
            <w:vAlign w:val="center"/>
          </w:tcPr>
          <w:p w14:paraId="1E3D5408">
            <w:pPr>
              <w:adjustRightInd w:val="0"/>
              <w:snapToGrid w:val="0"/>
              <w:spacing w:line="240" w:lineRule="auto"/>
              <w:jc w:val="center"/>
              <w:rPr>
                <w:sz w:val="21"/>
                <w:szCs w:val="21"/>
              </w:rPr>
            </w:pPr>
            <w:r>
              <w:rPr>
                <w:rFonts w:hint="eastAsia"/>
                <w:sz w:val="21"/>
                <w:szCs w:val="21"/>
                <w:lang w:val="en-US" w:eastAsia="zh-CN"/>
              </w:rPr>
              <w:t>75</w:t>
            </w:r>
          </w:p>
        </w:tc>
        <w:tc>
          <w:tcPr>
            <w:tcW w:w="1170" w:type="pct"/>
            <w:tcBorders>
              <w:tl2br w:val="nil"/>
              <w:tr2bl w:val="nil"/>
            </w:tcBorders>
            <w:vAlign w:val="center"/>
          </w:tcPr>
          <w:p w14:paraId="46B8E382">
            <w:pPr>
              <w:adjustRightInd w:val="0"/>
              <w:snapToGrid w:val="0"/>
              <w:spacing w:line="240" w:lineRule="auto"/>
              <w:jc w:val="center"/>
              <w:rPr>
                <w:sz w:val="21"/>
                <w:szCs w:val="21"/>
              </w:rPr>
            </w:pPr>
            <w:r>
              <w:rPr>
                <w:rFonts w:hint="eastAsia"/>
                <w:sz w:val="21"/>
                <w:szCs w:val="21"/>
              </w:rPr>
              <w:t>100</w:t>
            </w:r>
          </w:p>
        </w:tc>
        <w:tc>
          <w:tcPr>
            <w:tcW w:w="1851" w:type="dxa"/>
            <w:tcBorders>
              <w:tl2br w:val="nil"/>
              <w:tr2bl w:val="nil"/>
            </w:tcBorders>
            <w:vAlign w:val="center"/>
          </w:tcPr>
          <w:p w14:paraId="6281959B">
            <w:pPr>
              <w:adjustRightInd w:val="0"/>
              <w:snapToGrid w:val="0"/>
              <w:spacing w:line="240" w:lineRule="auto"/>
              <w:jc w:val="center"/>
              <w:rPr>
                <w:sz w:val="21"/>
                <w:szCs w:val="21"/>
              </w:rPr>
            </w:pPr>
            <w:r>
              <w:rPr>
                <w:rFonts w:hint="eastAsia"/>
                <w:sz w:val="21"/>
                <w:szCs w:val="21"/>
                <w:lang w:val="en-US" w:eastAsia="zh-CN"/>
              </w:rPr>
              <w:t>75</w:t>
            </w:r>
          </w:p>
        </w:tc>
      </w:tr>
      <w:tr w14:paraId="188C682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316" w:type="pct"/>
            <w:vMerge w:val="continue"/>
            <w:tcBorders>
              <w:right w:val="single" w:color="auto" w:sz="4" w:space="0"/>
              <w:tl2br w:val="nil"/>
              <w:tr2bl w:val="nil"/>
            </w:tcBorders>
            <w:vAlign w:val="center"/>
          </w:tcPr>
          <w:p w14:paraId="6D468DE4">
            <w:pPr>
              <w:adjustRightInd w:val="0"/>
              <w:snapToGrid w:val="0"/>
              <w:spacing w:line="240" w:lineRule="auto"/>
              <w:jc w:val="center"/>
              <w:rPr>
                <w:sz w:val="21"/>
                <w:szCs w:val="21"/>
              </w:rPr>
            </w:pPr>
          </w:p>
        </w:tc>
        <w:tc>
          <w:tcPr>
            <w:tcW w:w="587" w:type="pct"/>
            <w:vMerge w:val="continue"/>
            <w:tcBorders>
              <w:left w:val="single" w:color="auto" w:sz="4" w:space="0"/>
              <w:right w:val="single" w:color="auto" w:sz="4" w:space="0"/>
              <w:tl2br w:val="nil"/>
              <w:tr2bl w:val="nil"/>
            </w:tcBorders>
            <w:vAlign w:val="center"/>
          </w:tcPr>
          <w:p w14:paraId="0C292518">
            <w:pPr>
              <w:adjustRightInd w:val="0"/>
              <w:snapToGrid w:val="0"/>
              <w:spacing w:line="240" w:lineRule="auto"/>
              <w:jc w:val="center"/>
              <w:rPr>
                <w:sz w:val="21"/>
                <w:szCs w:val="21"/>
              </w:rPr>
            </w:pPr>
          </w:p>
        </w:tc>
        <w:tc>
          <w:tcPr>
            <w:tcW w:w="960" w:type="pct"/>
            <w:tcBorders>
              <w:left w:val="single" w:color="auto" w:sz="4" w:space="0"/>
              <w:tl2br w:val="nil"/>
              <w:tr2bl w:val="nil"/>
            </w:tcBorders>
            <w:vAlign w:val="center"/>
          </w:tcPr>
          <w:p w14:paraId="6245F145">
            <w:pPr>
              <w:adjustRightInd w:val="0"/>
              <w:snapToGrid w:val="0"/>
              <w:spacing w:line="240" w:lineRule="auto"/>
              <w:jc w:val="center"/>
              <w:rPr>
                <w:sz w:val="21"/>
                <w:szCs w:val="21"/>
              </w:rPr>
            </w:pPr>
            <w:r>
              <w:rPr>
                <w:sz w:val="21"/>
                <w:szCs w:val="21"/>
              </w:rPr>
              <w:t>乙酸丁酯</w:t>
            </w:r>
          </w:p>
        </w:tc>
        <w:tc>
          <w:tcPr>
            <w:tcW w:w="1502" w:type="dxa"/>
            <w:tcBorders>
              <w:tl2br w:val="nil"/>
              <w:tr2bl w:val="nil"/>
            </w:tcBorders>
            <w:vAlign w:val="center"/>
          </w:tcPr>
          <w:p w14:paraId="6078C397">
            <w:pPr>
              <w:adjustRightInd w:val="0"/>
              <w:snapToGrid w:val="0"/>
              <w:spacing w:line="240" w:lineRule="auto"/>
              <w:jc w:val="center"/>
              <w:rPr>
                <w:sz w:val="21"/>
                <w:szCs w:val="21"/>
              </w:rPr>
            </w:pPr>
            <w:r>
              <w:rPr>
                <w:rFonts w:hint="eastAsia"/>
                <w:sz w:val="21"/>
                <w:szCs w:val="21"/>
                <w:lang w:val="en-US" w:eastAsia="zh-CN"/>
              </w:rPr>
              <w:t>30.1</w:t>
            </w:r>
          </w:p>
        </w:tc>
        <w:tc>
          <w:tcPr>
            <w:tcW w:w="1170" w:type="pct"/>
            <w:tcBorders>
              <w:tl2br w:val="nil"/>
              <w:tr2bl w:val="nil"/>
            </w:tcBorders>
            <w:vAlign w:val="center"/>
          </w:tcPr>
          <w:p w14:paraId="2D6D1C40">
            <w:pPr>
              <w:adjustRightInd w:val="0"/>
              <w:snapToGrid w:val="0"/>
              <w:spacing w:line="240" w:lineRule="auto"/>
              <w:jc w:val="center"/>
              <w:rPr>
                <w:sz w:val="21"/>
                <w:szCs w:val="21"/>
              </w:rPr>
            </w:pPr>
            <w:r>
              <w:rPr>
                <w:rFonts w:hint="eastAsia"/>
                <w:sz w:val="21"/>
                <w:szCs w:val="21"/>
              </w:rPr>
              <w:t>100</w:t>
            </w:r>
          </w:p>
        </w:tc>
        <w:tc>
          <w:tcPr>
            <w:tcW w:w="1851" w:type="dxa"/>
            <w:tcBorders>
              <w:tl2br w:val="nil"/>
              <w:tr2bl w:val="nil"/>
            </w:tcBorders>
            <w:vAlign w:val="center"/>
          </w:tcPr>
          <w:p w14:paraId="3E4D47F9">
            <w:pPr>
              <w:adjustRightInd w:val="0"/>
              <w:snapToGrid w:val="0"/>
              <w:spacing w:line="240" w:lineRule="auto"/>
              <w:jc w:val="center"/>
              <w:rPr>
                <w:sz w:val="21"/>
                <w:szCs w:val="21"/>
              </w:rPr>
            </w:pPr>
            <w:r>
              <w:rPr>
                <w:rFonts w:hint="eastAsia"/>
                <w:sz w:val="21"/>
                <w:szCs w:val="21"/>
                <w:lang w:val="en-US" w:eastAsia="zh-CN"/>
              </w:rPr>
              <w:t>30.1</w:t>
            </w:r>
          </w:p>
        </w:tc>
      </w:tr>
      <w:tr w14:paraId="782CDAB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316" w:type="pct"/>
            <w:vMerge w:val="continue"/>
            <w:tcBorders>
              <w:right w:val="single" w:color="auto" w:sz="4" w:space="0"/>
              <w:tl2br w:val="nil"/>
              <w:tr2bl w:val="nil"/>
            </w:tcBorders>
            <w:vAlign w:val="center"/>
          </w:tcPr>
          <w:p w14:paraId="4C37B877">
            <w:pPr>
              <w:adjustRightInd w:val="0"/>
              <w:snapToGrid w:val="0"/>
              <w:spacing w:line="240" w:lineRule="auto"/>
              <w:jc w:val="center"/>
              <w:rPr>
                <w:sz w:val="21"/>
                <w:szCs w:val="21"/>
              </w:rPr>
            </w:pPr>
          </w:p>
        </w:tc>
        <w:tc>
          <w:tcPr>
            <w:tcW w:w="587" w:type="pct"/>
            <w:vMerge w:val="continue"/>
            <w:tcBorders>
              <w:left w:val="single" w:color="auto" w:sz="4" w:space="0"/>
              <w:right w:val="single" w:color="auto" w:sz="4" w:space="0"/>
              <w:tl2br w:val="nil"/>
              <w:tr2bl w:val="nil"/>
            </w:tcBorders>
            <w:vAlign w:val="center"/>
          </w:tcPr>
          <w:p w14:paraId="766E6EBC">
            <w:pPr>
              <w:adjustRightInd w:val="0"/>
              <w:snapToGrid w:val="0"/>
              <w:spacing w:line="240" w:lineRule="auto"/>
              <w:jc w:val="center"/>
              <w:rPr>
                <w:sz w:val="21"/>
                <w:szCs w:val="21"/>
              </w:rPr>
            </w:pPr>
          </w:p>
        </w:tc>
        <w:tc>
          <w:tcPr>
            <w:tcW w:w="960" w:type="pct"/>
            <w:tcBorders>
              <w:left w:val="single" w:color="auto" w:sz="4" w:space="0"/>
              <w:tl2br w:val="nil"/>
              <w:tr2bl w:val="nil"/>
            </w:tcBorders>
            <w:vAlign w:val="center"/>
          </w:tcPr>
          <w:p w14:paraId="454586D5">
            <w:pPr>
              <w:adjustRightInd w:val="0"/>
              <w:snapToGrid w:val="0"/>
              <w:spacing w:line="240" w:lineRule="auto"/>
              <w:jc w:val="center"/>
              <w:rPr>
                <w:sz w:val="21"/>
                <w:szCs w:val="21"/>
              </w:rPr>
            </w:pPr>
            <w:r>
              <w:rPr>
                <w:sz w:val="21"/>
                <w:szCs w:val="21"/>
              </w:rPr>
              <w:t>异丙醇</w:t>
            </w:r>
          </w:p>
        </w:tc>
        <w:tc>
          <w:tcPr>
            <w:tcW w:w="1502" w:type="dxa"/>
            <w:tcBorders>
              <w:tl2br w:val="nil"/>
              <w:tr2bl w:val="nil"/>
            </w:tcBorders>
            <w:vAlign w:val="center"/>
          </w:tcPr>
          <w:p w14:paraId="455F64A5">
            <w:pPr>
              <w:adjustRightInd w:val="0"/>
              <w:snapToGrid w:val="0"/>
              <w:spacing w:line="240" w:lineRule="auto"/>
              <w:jc w:val="center"/>
              <w:rPr>
                <w:sz w:val="21"/>
                <w:szCs w:val="21"/>
              </w:rPr>
            </w:pPr>
            <w:r>
              <w:rPr>
                <w:rFonts w:hint="eastAsia"/>
                <w:sz w:val="21"/>
                <w:szCs w:val="21"/>
                <w:lang w:val="en-US" w:eastAsia="zh-CN"/>
              </w:rPr>
              <w:t>8</w:t>
            </w:r>
          </w:p>
        </w:tc>
        <w:tc>
          <w:tcPr>
            <w:tcW w:w="1170" w:type="pct"/>
            <w:tcBorders>
              <w:tl2br w:val="nil"/>
              <w:tr2bl w:val="nil"/>
            </w:tcBorders>
            <w:vAlign w:val="center"/>
          </w:tcPr>
          <w:p w14:paraId="150B2806">
            <w:pPr>
              <w:adjustRightInd w:val="0"/>
              <w:snapToGrid w:val="0"/>
              <w:spacing w:line="240" w:lineRule="auto"/>
              <w:jc w:val="center"/>
              <w:rPr>
                <w:sz w:val="21"/>
                <w:szCs w:val="21"/>
              </w:rPr>
            </w:pPr>
            <w:r>
              <w:rPr>
                <w:rFonts w:hint="eastAsia"/>
                <w:sz w:val="21"/>
                <w:szCs w:val="21"/>
              </w:rPr>
              <w:t>100</w:t>
            </w:r>
          </w:p>
        </w:tc>
        <w:tc>
          <w:tcPr>
            <w:tcW w:w="1851" w:type="dxa"/>
            <w:tcBorders>
              <w:tl2br w:val="nil"/>
              <w:tr2bl w:val="nil"/>
            </w:tcBorders>
            <w:vAlign w:val="center"/>
          </w:tcPr>
          <w:p w14:paraId="4EC4ED02">
            <w:pPr>
              <w:adjustRightInd w:val="0"/>
              <w:snapToGrid w:val="0"/>
              <w:spacing w:line="240" w:lineRule="auto"/>
              <w:jc w:val="center"/>
              <w:rPr>
                <w:sz w:val="21"/>
                <w:szCs w:val="21"/>
              </w:rPr>
            </w:pPr>
            <w:r>
              <w:rPr>
                <w:rFonts w:hint="eastAsia"/>
                <w:sz w:val="21"/>
                <w:szCs w:val="21"/>
                <w:lang w:val="en-US" w:eastAsia="zh-CN"/>
              </w:rPr>
              <w:t>8</w:t>
            </w:r>
          </w:p>
        </w:tc>
      </w:tr>
      <w:tr w14:paraId="7B4BD1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PrEx>
        <w:trPr>
          <w:trHeight w:val="340" w:hRule="atLeast"/>
          <w:jc w:val="center"/>
        </w:trPr>
        <w:tc>
          <w:tcPr>
            <w:tcW w:w="316" w:type="pct"/>
            <w:vMerge w:val="continue"/>
            <w:tcBorders>
              <w:bottom w:val="single" w:color="auto" w:sz="4" w:space="0"/>
              <w:right w:val="single" w:color="auto" w:sz="4" w:space="0"/>
              <w:tl2br w:val="nil"/>
              <w:tr2bl w:val="nil"/>
            </w:tcBorders>
            <w:vAlign w:val="center"/>
          </w:tcPr>
          <w:p w14:paraId="56FA27D8">
            <w:pPr>
              <w:adjustRightInd w:val="0"/>
              <w:snapToGrid w:val="0"/>
              <w:spacing w:line="240" w:lineRule="auto"/>
              <w:jc w:val="center"/>
              <w:rPr>
                <w:sz w:val="21"/>
                <w:szCs w:val="21"/>
              </w:rPr>
            </w:pPr>
          </w:p>
        </w:tc>
        <w:tc>
          <w:tcPr>
            <w:tcW w:w="587" w:type="pct"/>
            <w:vMerge w:val="continue"/>
            <w:tcBorders>
              <w:left w:val="single" w:color="auto" w:sz="4" w:space="0"/>
              <w:bottom w:val="single" w:color="auto" w:sz="4" w:space="0"/>
              <w:right w:val="single" w:color="auto" w:sz="4" w:space="0"/>
              <w:tl2br w:val="nil"/>
              <w:tr2bl w:val="nil"/>
            </w:tcBorders>
            <w:vAlign w:val="center"/>
          </w:tcPr>
          <w:p w14:paraId="1373FC05">
            <w:pPr>
              <w:adjustRightInd w:val="0"/>
              <w:snapToGrid w:val="0"/>
              <w:spacing w:line="240" w:lineRule="auto"/>
              <w:jc w:val="center"/>
              <w:rPr>
                <w:sz w:val="21"/>
                <w:szCs w:val="21"/>
              </w:rPr>
            </w:pPr>
          </w:p>
        </w:tc>
        <w:tc>
          <w:tcPr>
            <w:tcW w:w="960" w:type="pct"/>
            <w:tcBorders>
              <w:left w:val="single" w:color="auto" w:sz="4" w:space="0"/>
              <w:bottom w:val="single" w:color="auto" w:sz="4" w:space="0"/>
              <w:tl2br w:val="nil"/>
              <w:tr2bl w:val="nil"/>
            </w:tcBorders>
            <w:vAlign w:val="center"/>
          </w:tcPr>
          <w:p w14:paraId="5864F1EA">
            <w:pPr>
              <w:adjustRightInd w:val="0"/>
              <w:snapToGrid w:val="0"/>
              <w:spacing w:line="240" w:lineRule="auto"/>
              <w:jc w:val="center"/>
              <w:rPr>
                <w:sz w:val="21"/>
                <w:szCs w:val="21"/>
              </w:rPr>
            </w:pPr>
            <w:r>
              <w:rPr>
                <w:sz w:val="21"/>
                <w:szCs w:val="21"/>
              </w:rPr>
              <w:t>乙酸乙酯</w:t>
            </w:r>
          </w:p>
        </w:tc>
        <w:tc>
          <w:tcPr>
            <w:tcW w:w="881" w:type="pct"/>
            <w:tcBorders>
              <w:tl2br w:val="nil"/>
              <w:tr2bl w:val="nil"/>
            </w:tcBorders>
            <w:vAlign w:val="center"/>
          </w:tcPr>
          <w:p w14:paraId="39256068">
            <w:pPr>
              <w:adjustRightInd w:val="0"/>
              <w:snapToGrid w:val="0"/>
              <w:spacing w:line="240" w:lineRule="auto"/>
              <w:jc w:val="center"/>
              <w:rPr>
                <w:sz w:val="21"/>
                <w:szCs w:val="21"/>
              </w:rPr>
            </w:pPr>
            <w:r>
              <w:rPr>
                <w:rFonts w:hint="eastAsia"/>
                <w:sz w:val="21"/>
                <w:szCs w:val="21"/>
              </w:rPr>
              <w:t>582</w:t>
            </w:r>
          </w:p>
        </w:tc>
        <w:tc>
          <w:tcPr>
            <w:tcW w:w="1170" w:type="pct"/>
            <w:tcBorders>
              <w:tl2br w:val="nil"/>
              <w:tr2bl w:val="nil"/>
            </w:tcBorders>
            <w:vAlign w:val="center"/>
          </w:tcPr>
          <w:p w14:paraId="395A8D1C">
            <w:pPr>
              <w:adjustRightInd w:val="0"/>
              <w:snapToGrid w:val="0"/>
              <w:spacing w:line="240" w:lineRule="auto"/>
              <w:jc w:val="center"/>
              <w:rPr>
                <w:sz w:val="21"/>
                <w:szCs w:val="21"/>
              </w:rPr>
            </w:pPr>
            <w:r>
              <w:rPr>
                <w:rFonts w:hint="eastAsia"/>
                <w:sz w:val="21"/>
                <w:szCs w:val="21"/>
              </w:rPr>
              <w:t>100</w:t>
            </w:r>
          </w:p>
        </w:tc>
        <w:tc>
          <w:tcPr>
            <w:tcW w:w="1851" w:type="dxa"/>
            <w:tcBorders>
              <w:tl2br w:val="nil"/>
              <w:tr2bl w:val="nil"/>
            </w:tcBorders>
            <w:vAlign w:val="center"/>
          </w:tcPr>
          <w:p w14:paraId="445F9203">
            <w:pPr>
              <w:adjustRightInd w:val="0"/>
              <w:snapToGrid w:val="0"/>
              <w:spacing w:line="240" w:lineRule="auto"/>
              <w:jc w:val="center"/>
              <w:rPr>
                <w:sz w:val="21"/>
                <w:szCs w:val="21"/>
              </w:rPr>
            </w:pPr>
            <w:r>
              <w:rPr>
                <w:rFonts w:hint="eastAsia"/>
                <w:sz w:val="21"/>
                <w:szCs w:val="21"/>
              </w:rPr>
              <w:t>582</w:t>
            </w:r>
          </w:p>
        </w:tc>
      </w:tr>
      <w:tr w14:paraId="488F64D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744" w:type="pct"/>
            <w:gridSpan w:val="4"/>
            <w:tcBorders>
              <w:tl2br w:val="nil"/>
              <w:tr2bl w:val="nil"/>
            </w:tcBorders>
            <w:vAlign w:val="center"/>
          </w:tcPr>
          <w:p w14:paraId="7F7D8E47">
            <w:pPr>
              <w:adjustRightInd w:val="0"/>
              <w:snapToGrid w:val="0"/>
              <w:spacing w:line="240" w:lineRule="auto"/>
              <w:jc w:val="center"/>
              <w:rPr>
                <w:sz w:val="21"/>
                <w:szCs w:val="21"/>
              </w:rPr>
            </w:pPr>
            <w:r>
              <w:rPr>
                <w:rFonts w:hint="eastAsia"/>
                <w:sz w:val="21"/>
                <w:szCs w:val="21"/>
              </w:rPr>
              <w:t>小计</w:t>
            </w:r>
          </w:p>
        </w:tc>
        <w:tc>
          <w:tcPr>
            <w:tcW w:w="1170" w:type="pct"/>
            <w:tcBorders>
              <w:tl2br w:val="nil"/>
              <w:tr2bl w:val="nil"/>
            </w:tcBorders>
            <w:vAlign w:val="center"/>
          </w:tcPr>
          <w:p w14:paraId="46FF71AB">
            <w:pPr>
              <w:adjustRightInd w:val="0"/>
              <w:snapToGrid w:val="0"/>
              <w:spacing w:line="240" w:lineRule="auto"/>
              <w:jc w:val="center"/>
              <w:rPr>
                <w:sz w:val="21"/>
                <w:szCs w:val="21"/>
              </w:rPr>
            </w:pPr>
            <w:r>
              <w:rPr>
                <w:rFonts w:hint="eastAsia"/>
                <w:sz w:val="21"/>
                <w:szCs w:val="21"/>
              </w:rPr>
              <w:t>/</w:t>
            </w:r>
          </w:p>
        </w:tc>
        <w:tc>
          <w:tcPr>
            <w:tcW w:w="1086" w:type="pct"/>
            <w:tcBorders>
              <w:tl2br w:val="nil"/>
              <w:tr2bl w:val="nil"/>
            </w:tcBorders>
            <w:vAlign w:val="center"/>
          </w:tcPr>
          <w:p w14:paraId="5F4EE10D">
            <w:pPr>
              <w:adjustRightInd w:val="0"/>
              <w:snapToGrid w:val="0"/>
              <w:spacing w:line="240" w:lineRule="auto"/>
              <w:jc w:val="center"/>
              <w:rPr>
                <w:sz w:val="21"/>
                <w:szCs w:val="21"/>
              </w:rPr>
            </w:pPr>
            <w:r>
              <w:rPr>
                <w:rFonts w:hint="eastAsia"/>
                <w:sz w:val="21"/>
                <w:szCs w:val="21"/>
              </w:rPr>
              <w:t>1483.5</w:t>
            </w:r>
          </w:p>
        </w:tc>
      </w:tr>
      <w:tr w14:paraId="422A99E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316" w:type="pct"/>
            <w:vMerge w:val="restart"/>
            <w:tcBorders>
              <w:top w:val="single" w:color="auto" w:sz="4" w:space="0"/>
              <w:right w:val="single" w:color="auto" w:sz="4" w:space="0"/>
              <w:tl2br w:val="nil"/>
              <w:tr2bl w:val="nil"/>
            </w:tcBorders>
            <w:vAlign w:val="center"/>
          </w:tcPr>
          <w:p w14:paraId="283097D3">
            <w:pPr>
              <w:adjustRightInd w:val="0"/>
              <w:snapToGrid w:val="0"/>
              <w:spacing w:line="240" w:lineRule="auto"/>
              <w:jc w:val="center"/>
              <w:rPr>
                <w:sz w:val="21"/>
                <w:szCs w:val="21"/>
              </w:rPr>
            </w:pPr>
            <w:r>
              <w:rPr>
                <w:rFonts w:hint="eastAsia"/>
                <w:sz w:val="21"/>
                <w:szCs w:val="21"/>
              </w:rPr>
              <w:t>复合</w:t>
            </w:r>
          </w:p>
        </w:tc>
        <w:tc>
          <w:tcPr>
            <w:tcW w:w="1547" w:type="pct"/>
            <w:gridSpan w:val="2"/>
            <w:tcBorders>
              <w:left w:val="single" w:color="auto" w:sz="4" w:space="0"/>
              <w:tl2br w:val="nil"/>
              <w:tr2bl w:val="nil"/>
            </w:tcBorders>
            <w:vAlign w:val="center"/>
          </w:tcPr>
          <w:p w14:paraId="3254FDE0">
            <w:pPr>
              <w:adjustRightInd w:val="0"/>
              <w:snapToGrid w:val="0"/>
              <w:spacing w:line="240" w:lineRule="auto"/>
              <w:jc w:val="center"/>
              <w:rPr>
                <w:sz w:val="21"/>
                <w:szCs w:val="21"/>
              </w:rPr>
            </w:pPr>
            <w:r>
              <w:rPr>
                <w:sz w:val="21"/>
                <w:szCs w:val="21"/>
              </w:rPr>
              <w:t>溶剂型</w:t>
            </w:r>
            <w:r>
              <w:rPr>
                <w:rFonts w:hint="eastAsia"/>
                <w:sz w:val="21"/>
                <w:szCs w:val="21"/>
              </w:rPr>
              <w:t>包装</w:t>
            </w:r>
            <w:r>
              <w:rPr>
                <w:sz w:val="21"/>
                <w:szCs w:val="21"/>
              </w:rPr>
              <w:t>胶水</w:t>
            </w:r>
          </w:p>
        </w:tc>
        <w:tc>
          <w:tcPr>
            <w:tcW w:w="881" w:type="pct"/>
            <w:tcBorders>
              <w:tl2br w:val="nil"/>
              <w:tr2bl w:val="nil"/>
            </w:tcBorders>
            <w:vAlign w:val="center"/>
          </w:tcPr>
          <w:p w14:paraId="20B43DC7">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792</w:t>
            </w:r>
          </w:p>
        </w:tc>
        <w:tc>
          <w:tcPr>
            <w:tcW w:w="1170" w:type="pct"/>
            <w:tcBorders>
              <w:tl2br w:val="nil"/>
              <w:tr2bl w:val="nil"/>
            </w:tcBorders>
            <w:vAlign w:val="center"/>
          </w:tcPr>
          <w:p w14:paraId="5354D8FB">
            <w:pPr>
              <w:adjustRightInd w:val="0"/>
              <w:snapToGrid w:val="0"/>
              <w:spacing w:line="240" w:lineRule="auto"/>
              <w:jc w:val="center"/>
              <w:rPr>
                <w:sz w:val="21"/>
                <w:szCs w:val="21"/>
              </w:rPr>
            </w:pPr>
            <w:r>
              <w:rPr>
                <w:rFonts w:hint="eastAsia"/>
                <w:sz w:val="21"/>
                <w:szCs w:val="21"/>
              </w:rPr>
              <w:t>25</w:t>
            </w:r>
          </w:p>
        </w:tc>
        <w:tc>
          <w:tcPr>
            <w:tcW w:w="1086" w:type="pct"/>
            <w:tcBorders>
              <w:tl2br w:val="nil"/>
              <w:tr2bl w:val="nil"/>
            </w:tcBorders>
            <w:vAlign w:val="center"/>
          </w:tcPr>
          <w:p w14:paraId="3D2EE319">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198</w:t>
            </w:r>
          </w:p>
        </w:tc>
      </w:tr>
      <w:tr w14:paraId="1218A6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316" w:type="pct"/>
            <w:vMerge w:val="continue"/>
            <w:tcBorders>
              <w:bottom w:val="single" w:color="auto" w:sz="4" w:space="0"/>
              <w:right w:val="single" w:color="auto" w:sz="4" w:space="0"/>
              <w:tl2br w:val="nil"/>
              <w:tr2bl w:val="nil"/>
            </w:tcBorders>
            <w:vAlign w:val="center"/>
          </w:tcPr>
          <w:p w14:paraId="51FA904D">
            <w:pPr>
              <w:adjustRightInd w:val="0"/>
              <w:snapToGrid w:val="0"/>
              <w:spacing w:line="240" w:lineRule="auto"/>
              <w:jc w:val="center"/>
              <w:rPr>
                <w:sz w:val="21"/>
                <w:szCs w:val="21"/>
              </w:rPr>
            </w:pPr>
          </w:p>
        </w:tc>
        <w:tc>
          <w:tcPr>
            <w:tcW w:w="587" w:type="pct"/>
            <w:tcBorders>
              <w:left w:val="single" w:color="auto" w:sz="4" w:space="0"/>
              <w:bottom w:val="single" w:color="auto" w:sz="4" w:space="0"/>
              <w:right w:val="single" w:color="auto" w:sz="4" w:space="0"/>
              <w:tl2br w:val="nil"/>
              <w:tr2bl w:val="nil"/>
            </w:tcBorders>
            <w:vAlign w:val="center"/>
          </w:tcPr>
          <w:p w14:paraId="4488158F">
            <w:pPr>
              <w:adjustRightInd w:val="0"/>
              <w:snapToGrid w:val="0"/>
              <w:spacing w:line="240" w:lineRule="auto"/>
              <w:jc w:val="center"/>
              <w:rPr>
                <w:sz w:val="21"/>
                <w:szCs w:val="21"/>
              </w:rPr>
            </w:pPr>
            <w:r>
              <w:rPr>
                <w:rFonts w:hint="eastAsia"/>
                <w:sz w:val="21"/>
                <w:szCs w:val="21"/>
              </w:rPr>
              <w:t>稀释剂</w:t>
            </w:r>
          </w:p>
        </w:tc>
        <w:tc>
          <w:tcPr>
            <w:tcW w:w="960" w:type="pct"/>
            <w:tcBorders>
              <w:left w:val="single" w:color="auto" w:sz="4" w:space="0"/>
              <w:tl2br w:val="nil"/>
              <w:tr2bl w:val="nil"/>
            </w:tcBorders>
            <w:vAlign w:val="center"/>
          </w:tcPr>
          <w:p w14:paraId="1A60CFEA">
            <w:pPr>
              <w:adjustRightInd w:val="0"/>
              <w:snapToGrid w:val="0"/>
              <w:spacing w:line="240" w:lineRule="auto"/>
              <w:jc w:val="center"/>
              <w:rPr>
                <w:sz w:val="21"/>
                <w:szCs w:val="21"/>
              </w:rPr>
            </w:pPr>
            <w:r>
              <w:rPr>
                <w:sz w:val="21"/>
                <w:szCs w:val="21"/>
              </w:rPr>
              <w:t>乙酸乙酯</w:t>
            </w:r>
          </w:p>
        </w:tc>
        <w:tc>
          <w:tcPr>
            <w:tcW w:w="881" w:type="pct"/>
            <w:tcBorders>
              <w:tl2br w:val="nil"/>
              <w:tr2bl w:val="nil"/>
            </w:tcBorders>
            <w:vAlign w:val="center"/>
          </w:tcPr>
          <w:p w14:paraId="732B5600">
            <w:pPr>
              <w:adjustRightInd w:val="0"/>
              <w:snapToGrid w:val="0"/>
              <w:spacing w:line="240" w:lineRule="auto"/>
              <w:jc w:val="center"/>
              <w:rPr>
                <w:sz w:val="21"/>
                <w:szCs w:val="21"/>
              </w:rPr>
            </w:pPr>
            <w:r>
              <w:rPr>
                <w:rFonts w:hint="eastAsia"/>
                <w:sz w:val="21"/>
                <w:szCs w:val="21"/>
              </w:rPr>
              <w:t>388</w:t>
            </w:r>
          </w:p>
        </w:tc>
        <w:tc>
          <w:tcPr>
            <w:tcW w:w="1170" w:type="pct"/>
            <w:tcBorders>
              <w:tl2br w:val="nil"/>
              <w:tr2bl w:val="nil"/>
            </w:tcBorders>
            <w:vAlign w:val="center"/>
          </w:tcPr>
          <w:p w14:paraId="1166676D">
            <w:pPr>
              <w:adjustRightInd w:val="0"/>
              <w:snapToGrid w:val="0"/>
              <w:spacing w:line="240" w:lineRule="auto"/>
              <w:jc w:val="center"/>
              <w:rPr>
                <w:sz w:val="21"/>
                <w:szCs w:val="21"/>
              </w:rPr>
            </w:pPr>
            <w:r>
              <w:rPr>
                <w:rFonts w:hint="eastAsia"/>
                <w:sz w:val="21"/>
                <w:szCs w:val="21"/>
              </w:rPr>
              <w:t>100</w:t>
            </w:r>
          </w:p>
        </w:tc>
        <w:tc>
          <w:tcPr>
            <w:tcW w:w="1086" w:type="pct"/>
            <w:tcBorders>
              <w:tl2br w:val="nil"/>
              <w:tr2bl w:val="nil"/>
            </w:tcBorders>
            <w:vAlign w:val="center"/>
          </w:tcPr>
          <w:p w14:paraId="0F55BE60">
            <w:pPr>
              <w:adjustRightInd w:val="0"/>
              <w:snapToGrid w:val="0"/>
              <w:spacing w:line="240" w:lineRule="auto"/>
              <w:jc w:val="center"/>
              <w:rPr>
                <w:sz w:val="21"/>
                <w:szCs w:val="21"/>
              </w:rPr>
            </w:pPr>
            <w:r>
              <w:rPr>
                <w:rFonts w:hint="eastAsia"/>
                <w:sz w:val="21"/>
                <w:szCs w:val="21"/>
              </w:rPr>
              <w:t>388</w:t>
            </w:r>
          </w:p>
        </w:tc>
      </w:tr>
      <w:tr w14:paraId="1400DA6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744" w:type="pct"/>
            <w:gridSpan w:val="4"/>
            <w:tcBorders>
              <w:tl2br w:val="nil"/>
              <w:tr2bl w:val="nil"/>
            </w:tcBorders>
            <w:vAlign w:val="center"/>
          </w:tcPr>
          <w:p w14:paraId="24ACAE02">
            <w:pPr>
              <w:adjustRightInd w:val="0"/>
              <w:snapToGrid w:val="0"/>
              <w:spacing w:line="240" w:lineRule="auto"/>
              <w:jc w:val="center"/>
              <w:rPr>
                <w:sz w:val="21"/>
                <w:szCs w:val="21"/>
              </w:rPr>
            </w:pPr>
            <w:r>
              <w:rPr>
                <w:rFonts w:hint="eastAsia"/>
                <w:sz w:val="21"/>
                <w:szCs w:val="21"/>
              </w:rPr>
              <w:t>小计</w:t>
            </w:r>
          </w:p>
        </w:tc>
        <w:tc>
          <w:tcPr>
            <w:tcW w:w="1170" w:type="pct"/>
            <w:tcBorders>
              <w:tl2br w:val="nil"/>
              <w:tr2bl w:val="nil"/>
            </w:tcBorders>
            <w:vAlign w:val="center"/>
          </w:tcPr>
          <w:p w14:paraId="0E2AB306">
            <w:pPr>
              <w:adjustRightInd w:val="0"/>
              <w:snapToGrid w:val="0"/>
              <w:spacing w:line="240" w:lineRule="auto"/>
              <w:jc w:val="center"/>
              <w:rPr>
                <w:sz w:val="21"/>
                <w:szCs w:val="21"/>
              </w:rPr>
            </w:pPr>
            <w:r>
              <w:rPr>
                <w:rFonts w:hint="eastAsia"/>
                <w:sz w:val="21"/>
                <w:szCs w:val="21"/>
              </w:rPr>
              <w:t>/</w:t>
            </w:r>
          </w:p>
        </w:tc>
        <w:tc>
          <w:tcPr>
            <w:tcW w:w="1086" w:type="pct"/>
            <w:tcBorders>
              <w:tl2br w:val="nil"/>
              <w:tr2bl w:val="nil"/>
            </w:tcBorders>
            <w:vAlign w:val="center"/>
          </w:tcPr>
          <w:p w14:paraId="2CAE607A">
            <w:pPr>
              <w:adjustRightInd w:val="0"/>
              <w:snapToGrid w:val="0"/>
              <w:spacing w:line="240" w:lineRule="auto"/>
              <w:jc w:val="center"/>
              <w:rPr>
                <w:sz w:val="21"/>
                <w:szCs w:val="21"/>
              </w:rPr>
            </w:pPr>
            <w:r>
              <w:rPr>
                <w:rFonts w:hint="eastAsia"/>
                <w:sz w:val="21"/>
                <w:szCs w:val="21"/>
              </w:rPr>
              <w:t>586</w:t>
            </w:r>
          </w:p>
        </w:tc>
      </w:tr>
    </w:tbl>
    <w:p w14:paraId="285C7C64">
      <w:pPr>
        <w:ind w:firstLine="480"/>
      </w:pPr>
      <w:r>
        <w:rPr>
          <w:rFonts w:hint="eastAsia"/>
        </w:rPr>
        <w:t>印刷挥发产生量为</w:t>
      </w:r>
      <w:r>
        <w:rPr>
          <w:rFonts w:hint="eastAsia"/>
          <w:lang w:val="en-US" w:eastAsia="zh-CN"/>
        </w:rPr>
        <w:t>1483.5</w:t>
      </w:r>
      <w:r>
        <w:t>t/a；</w:t>
      </w:r>
      <w:r>
        <w:rPr>
          <w:rFonts w:hint="eastAsia"/>
        </w:rPr>
        <w:t>复合挥发产生量为</w:t>
      </w:r>
      <w:r>
        <w:rPr>
          <w:rFonts w:hint="eastAsia"/>
          <w:lang w:val="en-US" w:eastAsia="zh-CN"/>
        </w:rPr>
        <w:t>586</w:t>
      </w:r>
      <w:r>
        <w:t>t/a，</w:t>
      </w:r>
      <w:r>
        <w:rPr>
          <w:rFonts w:hint="eastAsia"/>
        </w:rPr>
        <w:t>本项目总挥发量共为2069.5</w:t>
      </w:r>
      <w:r>
        <w:t>t/a</w:t>
      </w:r>
      <w:r>
        <w:rPr>
          <w:rFonts w:hint="eastAsia"/>
        </w:rPr>
        <w:t>。</w:t>
      </w:r>
    </w:p>
    <w:p w14:paraId="4D889C10">
      <w:pPr>
        <w:ind w:firstLine="480"/>
      </w:pPr>
      <w:r>
        <w:rPr>
          <w:rFonts w:hint="eastAsia"/>
        </w:rPr>
        <w:t>项目各工序产生的有机废气分配占比参考</w:t>
      </w:r>
      <w:r>
        <w:t>《印刷工业污染防治可行技术指南》（HJ1089-2020）</w:t>
      </w:r>
      <w:r>
        <w:rPr>
          <w:rFonts w:hint="eastAsia"/>
        </w:rPr>
        <w:t>表C.1及建设单位提供资料，</w:t>
      </w:r>
      <w:r>
        <w:t>各工序</w:t>
      </w:r>
      <w:r>
        <w:rPr>
          <w:rFonts w:hint="eastAsia"/>
        </w:rPr>
        <w:t>挥发性有机物</w:t>
      </w:r>
      <w:r>
        <w:t>占比及产生量见下表</w:t>
      </w:r>
      <w:r>
        <w:rPr>
          <w:rFonts w:hint="eastAsia"/>
        </w:rPr>
        <w:t>：</w:t>
      </w:r>
    </w:p>
    <w:p w14:paraId="749A54B7">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表4.3-2 </w:t>
      </w:r>
      <w:r>
        <w:rPr>
          <w:rFonts w:hint="eastAsia"/>
        </w:rPr>
        <w:t>本项目各工序挥发性有机物产生量及排放去向表（单位：t/a）</w:t>
      </w:r>
    </w:p>
    <w:tbl>
      <w:tblPr>
        <w:tblStyle w:val="31"/>
        <w:tblW w:w="8527"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0" w:type="dxa"/>
          <w:bottom w:w="0" w:type="dxa"/>
          <w:right w:w="0" w:type="dxa"/>
        </w:tblCellMar>
      </w:tblPr>
      <w:tblGrid>
        <w:gridCol w:w="1024"/>
        <w:gridCol w:w="609"/>
        <w:gridCol w:w="1690"/>
        <w:gridCol w:w="901"/>
        <w:gridCol w:w="777"/>
        <w:gridCol w:w="968"/>
        <w:gridCol w:w="750"/>
        <w:gridCol w:w="900"/>
        <w:gridCol w:w="908"/>
      </w:tblGrid>
      <w:tr w14:paraId="4A1BECC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45D3DF4F">
            <w:pPr>
              <w:adjustRightInd w:val="0"/>
              <w:snapToGrid w:val="0"/>
              <w:spacing w:line="240" w:lineRule="auto"/>
              <w:jc w:val="center"/>
              <w:rPr>
                <w:sz w:val="21"/>
                <w:szCs w:val="21"/>
              </w:rPr>
            </w:pPr>
            <w:r>
              <w:rPr>
                <w:rFonts w:hint="eastAsia"/>
                <w:sz w:val="21"/>
                <w:szCs w:val="21"/>
              </w:rPr>
              <w:t>产污位置</w:t>
            </w:r>
          </w:p>
        </w:tc>
        <w:tc>
          <w:tcPr>
            <w:tcW w:w="2299" w:type="dxa"/>
            <w:gridSpan w:val="2"/>
            <w:tcBorders>
              <w:tl2br w:val="nil"/>
              <w:tr2bl w:val="nil"/>
            </w:tcBorders>
            <w:vAlign w:val="center"/>
          </w:tcPr>
          <w:p w14:paraId="3DB87EAB">
            <w:pPr>
              <w:adjustRightInd w:val="0"/>
              <w:snapToGrid w:val="0"/>
              <w:spacing w:line="240" w:lineRule="auto"/>
              <w:jc w:val="center"/>
              <w:rPr>
                <w:sz w:val="21"/>
                <w:szCs w:val="21"/>
              </w:rPr>
            </w:pPr>
            <w:r>
              <w:rPr>
                <w:rFonts w:hint="eastAsia"/>
                <w:sz w:val="21"/>
                <w:szCs w:val="21"/>
              </w:rPr>
              <w:t>产污环节</w:t>
            </w:r>
          </w:p>
        </w:tc>
        <w:tc>
          <w:tcPr>
            <w:tcW w:w="901" w:type="dxa"/>
            <w:tcBorders>
              <w:tl2br w:val="nil"/>
              <w:tr2bl w:val="nil"/>
            </w:tcBorders>
            <w:vAlign w:val="center"/>
          </w:tcPr>
          <w:p w14:paraId="7CDA6D99">
            <w:pPr>
              <w:adjustRightInd w:val="0"/>
              <w:snapToGrid w:val="0"/>
              <w:spacing w:line="240" w:lineRule="auto"/>
              <w:jc w:val="center"/>
              <w:rPr>
                <w:sz w:val="21"/>
                <w:szCs w:val="21"/>
              </w:rPr>
            </w:pPr>
            <w:r>
              <w:rPr>
                <w:rFonts w:hint="eastAsia"/>
                <w:sz w:val="21"/>
                <w:szCs w:val="21"/>
              </w:rPr>
              <w:t>措施及去向</w:t>
            </w:r>
          </w:p>
        </w:tc>
        <w:tc>
          <w:tcPr>
            <w:tcW w:w="777" w:type="dxa"/>
            <w:tcBorders>
              <w:tl2br w:val="nil"/>
              <w:tr2bl w:val="nil"/>
            </w:tcBorders>
            <w:vAlign w:val="center"/>
          </w:tcPr>
          <w:p w14:paraId="0642E4F9">
            <w:pPr>
              <w:adjustRightInd w:val="0"/>
              <w:snapToGrid w:val="0"/>
              <w:spacing w:line="240" w:lineRule="auto"/>
              <w:jc w:val="center"/>
              <w:rPr>
                <w:sz w:val="21"/>
                <w:szCs w:val="21"/>
              </w:rPr>
            </w:pPr>
            <w:r>
              <w:rPr>
                <w:rFonts w:hint="eastAsia"/>
                <w:sz w:val="21"/>
                <w:szCs w:val="21"/>
              </w:rPr>
              <w:t>印刷</w:t>
            </w:r>
          </w:p>
          <w:p w14:paraId="72B1555A">
            <w:pPr>
              <w:adjustRightInd w:val="0"/>
              <w:snapToGrid w:val="0"/>
              <w:spacing w:line="240" w:lineRule="auto"/>
              <w:jc w:val="center"/>
              <w:rPr>
                <w:sz w:val="21"/>
                <w:szCs w:val="21"/>
              </w:rPr>
            </w:pPr>
            <w:r>
              <w:rPr>
                <w:rFonts w:hint="eastAsia"/>
                <w:sz w:val="21"/>
                <w:szCs w:val="21"/>
              </w:rPr>
              <w:t>占比</w:t>
            </w:r>
          </w:p>
          <w:p w14:paraId="6EA0325A">
            <w:pPr>
              <w:adjustRightInd w:val="0"/>
              <w:snapToGrid w:val="0"/>
              <w:spacing w:line="240" w:lineRule="auto"/>
              <w:jc w:val="center"/>
              <w:rPr>
                <w:sz w:val="21"/>
                <w:szCs w:val="21"/>
              </w:rPr>
            </w:pPr>
            <w:r>
              <w:rPr>
                <w:rFonts w:hint="eastAsia"/>
                <w:sz w:val="21"/>
                <w:szCs w:val="21"/>
              </w:rPr>
              <w:t>（%）</w:t>
            </w:r>
          </w:p>
        </w:tc>
        <w:tc>
          <w:tcPr>
            <w:tcW w:w="968" w:type="dxa"/>
            <w:tcBorders>
              <w:tl2br w:val="nil"/>
              <w:tr2bl w:val="nil"/>
            </w:tcBorders>
            <w:vAlign w:val="center"/>
          </w:tcPr>
          <w:p w14:paraId="15AAE8F5">
            <w:pPr>
              <w:adjustRightInd w:val="0"/>
              <w:snapToGrid w:val="0"/>
              <w:spacing w:line="240" w:lineRule="auto"/>
              <w:jc w:val="center"/>
              <w:rPr>
                <w:b/>
                <w:bCs/>
                <w:sz w:val="21"/>
                <w:szCs w:val="21"/>
              </w:rPr>
            </w:pPr>
            <w:r>
              <w:rPr>
                <w:rFonts w:hint="eastAsia"/>
                <w:b/>
                <w:bCs/>
                <w:sz w:val="21"/>
                <w:szCs w:val="21"/>
              </w:rPr>
              <w:t>印刷</w:t>
            </w:r>
          </w:p>
          <w:p w14:paraId="0DDDCBBB">
            <w:pPr>
              <w:adjustRightInd w:val="0"/>
              <w:snapToGrid w:val="0"/>
              <w:spacing w:line="240" w:lineRule="auto"/>
              <w:jc w:val="center"/>
              <w:rPr>
                <w:b/>
                <w:bCs/>
                <w:sz w:val="21"/>
                <w:szCs w:val="21"/>
              </w:rPr>
            </w:pPr>
            <w:r>
              <w:rPr>
                <w:rFonts w:hint="eastAsia"/>
                <w:b/>
                <w:bCs/>
                <w:sz w:val="21"/>
                <w:szCs w:val="21"/>
              </w:rPr>
              <w:t>VOCs产生量</w:t>
            </w:r>
          </w:p>
        </w:tc>
        <w:tc>
          <w:tcPr>
            <w:tcW w:w="750" w:type="dxa"/>
            <w:tcBorders>
              <w:tl2br w:val="nil"/>
              <w:tr2bl w:val="nil"/>
            </w:tcBorders>
            <w:vAlign w:val="center"/>
          </w:tcPr>
          <w:p w14:paraId="276931B8">
            <w:pPr>
              <w:adjustRightInd w:val="0"/>
              <w:snapToGrid w:val="0"/>
              <w:spacing w:line="240" w:lineRule="auto"/>
              <w:jc w:val="center"/>
              <w:rPr>
                <w:sz w:val="21"/>
                <w:szCs w:val="21"/>
              </w:rPr>
            </w:pPr>
            <w:r>
              <w:rPr>
                <w:rFonts w:hint="eastAsia"/>
                <w:sz w:val="21"/>
                <w:szCs w:val="21"/>
              </w:rPr>
              <w:t>复合</w:t>
            </w:r>
          </w:p>
          <w:p w14:paraId="7835394E">
            <w:pPr>
              <w:adjustRightInd w:val="0"/>
              <w:snapToGrid w:val="0"/>
              <w:spacing w:line="240" w:lineRule="auto"/>
              <w:jc w:val="center"/>
              <w:rPr>
                <w:sz w:val="21"/>
                <w:szCs w:val="21"/>
              </w:rPr>
            </w:pPr>
            <w:r>
              <w:rPr>
                <w:rFonts w:hint="eastAsia"/>
                <w:sz w:val="21"/>
                <w:szCs w:val="21"/>
              </w:rPr>
              <w:t>占比</w:t>
            </w:r>
          </w:p>
          <w:p w14:paraId="038A4ADF">
            <w:pPr>
              <w:adjustRightInd w:val="0"/>
              <w:snapToGrid w:val="0"/>
              <w:spacing w:line="240" w:lineRule="auto"/>
              <w:jc w:val="center"/>
              <w:rPr>
                <w:sz w:val="21"/>
                <w:szCs w:val="21"/>
              </w:rPr>
            </w:pPr>
            <w:r>
              <w:rPr>
                <w:rFonts w:hint="eastAsia"/>
                <w:sz w:val="21"/>
                <w:szCs w:val="21"/>
              </w:rPr>
              <w:t>（%）</w:t>
            </w:r>
          </w:p>
        </w:tc>
        <w:tc>
          <w:tcPr>
            <w:tcW w:w="900" w:type="dxa"/>
            <w:tcBorders>
              <w:tl2br w:val="nil"/>
              <w:tr2bl w:val="nil"/>
            </w:tcBorders>
            <w:vAlign w:val="center"/>
          </w:tcPr>
          <w:p w14:paraId="29D06E8C">
            <w:pPr>
              <w:adjustRightInd w:val="0"/>
              <w:snapToGrid w:val="0"/>
              <w:spacing w:line="240" w:lineRule="auto"/>
              <w:jc w:val="center"/>
              <w:rPr>
                <w:b/>
                <w:bCs/>
                <w:sz w:val="21"/>
                <w:szCs w:val="21"/>
              </w:rPr>
            </w:pPr>
            <w:r>
              <w:rPr>
                <w:rFonts w:hint="eastAsia"/>
                <w:b/>
                <w:bCs/>
                <w:sz w:val="21"/>
                <w:szCs w:val="21"/>
              </w:rPr>
              <w:t>复合VOCs</w:t>
            </w:r>
          </w:p>
          <w:p w14:paraId="03B9577E">
            <w:pPr>
              <w:adjustRightInd w:val="0"/>
              <w:snapToGrid w:val="0"/>
              <w:spacing w:line="240" w:lineRule="auto"/>
              <w:jc w:val="center"/>
              <w:rPr>
                <w:b/>
                <w:bCs/>
                <w:sz w:val="21"/>
                <w:szCs w:val="21"/>
              </w:rPr>
            </w:pPr>
            <w:r>
              <w:rPr>
                <w:rFonts w:hint="eastAsia"/>
                <w:b/>
                <w:bCs/>
                <w:sz w:val="21"/>
                <w:szCs w:val="21"/>
              </w:rPr>
              <w:t>产生量</w:t>
            </w:r>
          </w:p>
        </w:tc>
        <w:tc>
          <w:tcPr>
            <w:tcW w:w="908" w:type="dxa"/>
            <w:tcBorders>
              <w:tl2br w:val="nil"/>
              <w:tr2bl w:val="nil"/>
            </w:tcBorders>
            <w:vAlign w:val="center"/>
          </w:tcPr>
          <w:p w14:paraId="39AC09EB">
            <w:pPr>
              <w:adjustRightInd w:val="0"/>
              <w:snapToGrid w:val="0"/>
              <w:spacing w:line="240" w:lineRule="auto"/>
              <w:jc w:val="center"/>
              <w:rPr>
                <w:b/>
                <w:bCs/>
                <w:sz w:val="21"/>
                <w:szCs w:val="21"/>
              </w:rPr>
            </w:pPr>
            <w:r>
              <w:rPr>
                <w:rFonts w:hint="eastAsia"/>
                <w:b/>
                <w:bCs/>
                <w:sz w:val="21"/>
                <w:szCs w:val="21"/>
              </w:rPr>
              <w:t>合计产</w:t>
            </w:r>
          </w:p>
          <w:p w14:paraId="582500D9">
            <w:pPr>
              <w:adjustRightInd w:val="0"/>
              <w:snapToGrid w:val="0"/>
              <w:spacing w:line="240" w:lineRule="auto"/>
              <w:jc w:val="center"/>
              <w:rPr>
                <w:b/>
                <w:bCs/>
                <w:sz w:val="21"/>
                <w:szCs w:val="21"/>
              </w:rPr>
            </w:pPr>
            <w:r>
              <w:rPr>
                <w:rFonts w:hint="eastAsia"/>
                <w:b/>
                <w:bCs/>
                <w:sz w:val="21"/>
                <w:szCs w:val="21"/>
              </w:rPr>
              <w:t>生量</w:t>
            </w:r>
          </w:p>
        </w:tc>
      </w:tr>
      <w:tr w14:paraId="3FBA01A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2CB88754">
            <w:pPr>
              <w:adjustRightInd w:val="0"/>
              <w:snapToGrid w:val="0"/>
              <w:spacing w:line="240" w:lineRule="auto"/>
              <w:jc w:val="center"/>
              <w:rPr>
                <w:sz w:val="21"/>
                <w:szCs w:val="21"/>
              </w:rPr>
            </w:pPr>
            <w:r>
              <w:rPr>
                <w:rFonts w:hint="eastAsia"/>
                <w:sz w:val="21"/>
                <w:szCs w:val="21"/>
              </w:rPr>
              <w:t>调墨间</w:t>
            </w:r>
          </w:p>
        </w:tc>
        <w:tc>
          <w:tcPr>
            <w:tcW w:w="609" w:type="dxa"/>
            <w:tcBorders>
              <w:tl2br w:val="nil"/>
              <w:tr2bl w:val="nil"/>
            </w:tcBorders>
            <w:vAlign w:val="center"/>
          </w:tcPr>
          <w:p w14:paraId="1FF00A4F">
            <w:pPr>
              <w:adjustRightInd w:val="0"/>
              <w:snapToGrid w:val="0"/>
              <w:spacing w:line="240" w:lineRule="auto"/>
              <w:jc w:val="center"/>
              <w:rPr>
                <w:sz w:val="21"/>
                <w:szCs w:val="21"/>
              </w:rPr>
            </w:pPr>
            <w:r>
              <w:rPr>
                <w:rFonts w:hint="eastAsia"/>
                <w:sz w:val="21"/>
                <w:szCs w:val="21"/>
              </w:rPr>
              <w:t>G1</w:t>
            </w:r>
          </w:p>
        </w:tc>
        <w:tc>
          <w:tcPr>
            <w:tcW w:w="1690" w:type="dxa"/>
            <w:tcBorders>
              <w:tl2br w:val="nil"/>
              <w:tr2bl w:val="nil"/>
            </w:tcBorders>
            <w:vAlign w:val="center"/>
          </w:tcPr>
          <w:p w14:paraId="4E191F8B">
            <w:pPr>
              <w:adjustRightInd w:val="0"/>
              <w:snapToGrid w:val="0"/>
              <w:spacing w:line="240" w:lineRule="auto"/>
              <w:jc w:val="center"/>
              <w:rPr>
                <w:sz w:val="21"/>
                <w:szCs w:val="21"/>
              </w:rPr>
            </w:pPr>
            <w:r>
              <w:rPr>
                <w:rFonts w:hint="eastAsia"/>
                <w:sz w:val="21"/>
                <w:szCs w:val="21"/>
              </w:rPr>
              <w:t>油墨调配、输送</w:t>
            </w:r>
          </w:p>
        </w:tc>
        <w:tc>
          <w:tcPr>
            <w:tcW w:w="901" w:type="dxa"/>
            <w:vMerge w:val="restart"/>
            <w:tcBorders>
              <w:tl2br w:val="nil"/>
              <w:tr2bl w:val="nil"/>
            </w:tcBorders>
            <w:vAlign w:val="center"/>
          </w:tcPr>
          <w:p w14:paraId="40414F60">
            <w:pPr>
              <w:adjustRightInd w:val="0"/>
              <w:snapToGrid w:val="0"/>
              <w:spacing w:line="240" w:lineRule="auto"/>
              <w:jc w:val="center"/>
              <w:rPr>
                <w:sz w:val="21"/>
                <w:szCs w:val="21"/>
              </w:rPr>
            </w:pPr>
            <w:r>
              <w:rPr>
                <w:rFonts w:hint="eastAsia"/>
                <w:sz w:val="21"/>
                <w:szCs w:val="21"/>
              </w:rPr>
              <w:t>“吸附浓缩+溶剂回收设备”</w:t>
            </w:r>
          </w:p>
        </w:tc>
        <w:tc>
          <w:tcPr>
            <w:tcW w:w="777" w:type="dxa"/>
            <w:tcBorders>
              <w:tl2br w:val="nil"/>
              <w:tr2bl w:val="nil"/>
            </w:tcBorders>
            <w:vAlign w:val="center"/>
          </w:tcPr>
          <w:p w14:paraId="2799F80B">
            <w:pPr>
              <w:adjustRightInd w:val="0"/>
              <w:snapToGrid w:val="0"/>
              <w:spacing w:line="240" w:lineRule="auto"/>
              <w:jc w:val="center"/>
              <w:rPr>
                <w:sz w:val="21"/>
                <w:szCs w:val="21"/>
              </w:rPr>
            </w:pPr>
            <w:r>
              <w:rPr>
                <w:rFonts w:hint="eastAsia"/>
                <w:sz w:val="21"/>
                <w:szCs w:val="21"/>
              </w:rPr>
              <w:t>1</w:t>
            </w:r>
          </w:p>
        </w:tc>
        <w:tc>
          <w:tcPr>
            <w:tcW w:w="968" w:type="dxa"/>
            <w:tcBorders>
              <w:tl2br w:val="nil"/>
              <w:tr2bl w:val="nil"/>
            </w:tcBorders>
            <w:vAlign w:val="center"/>
          </w:tcPr>
          <w:p w14:paraId="5858B8FD">
            <w:pPr>
              <w:adjustRightInd w:val="0"/>
              <w:snapToGrid w:val="0"/>
              <w:spacing w:line="240" w:lineRule="auto"/>
              <w:jc w:val="center"/>
              <w:rPr>
                <w:rFonts w:hint="default" w:eastAsia="宋体"/>
                <w:b/>
                <w:bCs/>
                <w:sz w:val="21"/>
                <w:szCs w:val="21"/>
                <w:lang w:val="en-US" w:eastAsia="zh-CN"/>
              </w:rPr>
            </w:pPr>
            <w:r>
              <w:rPr>
                <w:rFonts w:hint="eastAsia"/>
                <w:b/>
                <w:bCs/>
                <w:sz w:val="21"/>
                <w:szCs w:val="21"/>
              </w:rPr>
              <w:t>14.835</w:t>
            </w:r>
          </w:p>
        </w:tc>
        <w:tc>
          <w:tcPr>
            <w:tcW w:w="750" w:type="dxa"/>
            <w:tcBorders>
              <w:tl2br w:val="nil"/>
              <w:tr2bl w:val="nil"/>
            </w:tcBorders>
            <w:vAlign w:val="center"/>
          </w:tcPr>
          <w:p w14:paraId="699183F3">
            <w:pPr>
              <w:adjustRightInd w:val="0"/>
              <w:snapToGrid w:val="0"/>
              <w:spacing w:line="240" w:lineRule="auto"/>
              <w:jc w:val="center"/>
              <w:rPr>
                <w:sz w:val="21"/>
                <w:szCs w:val="21"/>
              </w:rPr>
            </w:pPr>
            <w:r>
              <w:rPr>
                <w:rFonts w:hint="eastAsia"/>
                <w:sz w:val="21"/>
                <w:szCs w:val="21"/>
              </w:rPr>
              <w:t>——</w:t>
            </w:r>
          </w:p>
        </w:tc>
        <w:tc>
          <w:tcPr>
            <w:tcW w:w="900" w:type="dxa"/>
            <w:tcBorders>
              <w:tl2br w:val="nil"/>
              <w:tr2bl w:val="nil"/>
            </w:tcBorders>
            <w:vAlign w:val="center"/>
          </w:tcPr>
          <w:p w14:paraId="303D6903">
            <w:pPr>
              <w:adjustRightInd w:val="0"/>
              <w:snapToGrid w:val="0"/>
              <w:spacing w:line="240" w:lineRule="auto"/>
              <w:jc w:val="center"/>
              <w:rPr>
                <w:b/>
                <w:bCs/>
                <w:sz w:val="21"/>
                <w:szCs w:val="21"/>
              </w:rPr>
            </w:pPr>
            <w:r>
              <w:rPr>
                <w:rFonts w:hint="eastAsia"/>
                <w:b/>
                <w:bCs/>
                <w:sz w:val="21"/>
                <w:szCs w:val="21"/>
              </w:rPr>
              <w:t>——</w:t>
            </w:r>
          </w:p>
        </w:tc>
        <w:tc>
          <w:tcPr>
            <w:tcW w:w="908" w:type="dxa"/>
            <w:tcBorders>
              <w:tl2br w:val="nil"/>
              <w:tr2bl w:val="nil"/>
            </w:tcBorders>
            <w:vAlign w:val="center"/>
          </w:tcPr>
          <w:p w14:paraId="5DAF1F1E">
            <w:pPr>
              <w:adjustRightInd w:val="0"/>
              <w:snapToGrid w:val="0"/>
              <w:spacing w:line="240" w:lineRule="auto"/>
              <w:jc w:val="center"/>
              <w:rPr>
                <w:rFonts w:hint="default" w:eastAsia="宋体"/>
                <w:b/>
                <w:bCs/>
                <w:sz w:val="21"/>
                <w:szCs w:val="21"/>
                <w:lang w:val="en-US" w:eastAsia="zh-CN"/>
              </w:rPr>
            </w:pPr>
            <w:r>
              <w:rPr>
                <w:rFonts w:hint="eastAsia"/>
                <w:b/>
                <w:bCs/>
                <w:sz w:val="21"/>
                <w:szCs w:val="21"/>
              </w:rPr>
              <w:t>14.835</w:t>
            </w:r>
          </w:p>
        </w:tc>
      </w:tr>
      <w:tr w14:paraId="3CF034A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02EBD638">
            <w:pPr>
              <w:adjustRightInd w:val="0"/>
              <w:snapToGrid w:val="0"/>
              <w:spacing w:line="240" w:lineRule="auto"/>
              <w:jc w:val="center"/>
              <w:rPr>
                <w:sz w:val="21"/>
                <w:szCs w:val="21"/>
              </w:rPr>
            </w:pPr>
            <w:r>
              <w:rPr>
                <w:rFonts w:hint="eastAsia"/>
                <w:sz w:val="21"/>
                <w:szCs w:val="21"/>
              </w:rPr>
              <w:t>调胶间</w:t>
            </w:r>
          </w:p>
        </w:tc>
        <w:tc>
          <w:tcPr>
            <w:tcW w:w="609" w:type="dxa"/>
            <w:tcBorders>
              <w:tl2br w:val="nil"/>
              <w:tr2bl w:val="nil"/>
            </w:tcBorders>
            <w:vAlign w:val="center"/>
          </w:tcPr>
          <w:p w14:paraId="72D6DED1">
            <w:pPr>
              <w:adjustRightInd w:val="0"/>
              <w:snapToGrid w:val="0"/>
              <w:spacing w:line="240" w:lineRule="auto"/>
              <w:jc w:val="center"/>
              <w:rPr>
                <w:sz w:val="21"/>
                <w:szCs w:val="21"/>
              </w:rPr>
            </w:pPr>
            <w:r>
              <w:rPr>
                <w:rFonts w:hint="eastAsia"/>
                <w:sz w:val="21"/>
                <w:szCs w:val="21"/>
              </w:rPr>
              <w:t>G2</w:t>
            </w:r>
          </w:p>
        </w:tc>
        <w:tc>
          <w:tcPr>
            <w:tcW w:w="1690" w:type="dxa"/>
            <w:tcBorders>
              <w:tl2br w:val="nil"/>
              <w:tr2bl w:val="nil"/>
            </w:tcBorders>
            <w:vAlign w:val="center"/>
          </w:tcPr>
          <w:p w14:paraId="13A27D5F">
            <w:pPr>
              <w:adjustRightInd w:val="0"/>
              <w:snapToGrid w:val="0"/>
              <w:spacing w:line="240" w:lineRule="auto"/>
              <w:jc w:val="center"/>
              <w:rPr>
                <w:sz w:val="21"/>
                <w:szCs w:val="21"/>
              </w:rPr>
            </w:pPr>
            <w:r>
              <w:rPr>
                <w:rFonts w:hint="eastAsia"/>
                <w:sz w:val="21"/>
                <w:szCs w:val="21"/>
              </w:rPr>
              <w:t>胶水调配、输送</w:t>
            </w:r>
          </w:p>
        </w:tc>
        <w:tc>
          <w:tcPr>
            <w:tcW w:w="901" w:type="dxa"/>
            <w:vMerge w:val="continue"/>
            <w:tcBorders>
              <w:tl2br w:val="nil"/>
              <w:tr2bl w:val="nil"/>
            </w:tcBorders>
            <w:vAlign w:val="center"/>
          </w:tcPr>
          <w:p w14:paraId="0EA54BC9">
            <w:pPr>
              <w:adjustRightInd w:val="0"/>
              <w:snapToGrid w:val="0"/>
              <w:spacing w:line="240" w:lineRule="auto"/>
              <w:jc w:val="center"/>
              <w:rPr>
                <w:sz w:val="21"/>
                <w:szCs w:val="21"/>
              </w:rPr>
            </w:pPr>
          </w:p>
        </w:tc>
        <w:tc>
          <w:tcPr>
            <w:tcW w:w="777" w:type="dxa"/>
            <w:tcBorders>
              <w:tl2br w:val="nil"/>
              <w:tr2bl w:val="nil"/>
            </w:tcBorders>
            <w:vAlign w:val="center"/>
          </w:tcPr>
          <w:p w14:paraId="72DD0E2E">
            <w:pPr>
              <w:adjustRightInd w:val="0"/>
              <w:snapToGrid w:val="0"/>
              <w:spacing w:line="240" w:lineRule="auto"/>
              <w:jc w:val="center"/>
              <w:rPr>
                <w:sz w:val="21"/>
                <w:szCs w:val="21"/>
              </w:rPr>
            </w:pPr>
            <w:r>
              <w:rPr>
                <w:rFonts w:hint="eastAsia"/>
                <w:sz w:val="21"/>
                <w:szCs w:val="21"/>
              </w:rPr>
              <w:t>——</w:t>
            </w:r>
          </w:p>
        </w:tc>
        <w:tc>
          <w:tcPr>
            <w:tcW w:w="968" w:type="dxa"/>
            <w:tcBorders>
              <w:tl2br w:val="nil"/>
              <w:tr2bl w:val="nil"/>
            </w:tcBorders>
            <w:vAlign w:val="center"/>
          </w:tcPr>
          <w:p w14:paraId="22BF9AE6">
            <w:pPr>
              <w:adjustRightInd w:val="0"/>
              <w:snapToGrid w:val="0"/>
              <w:spacing w:line="240" w:lineRule="auto"/>
              <w:jc w:val="center"/>
              <w:rPr>
                <w:b/>
                <w:bCs/>
                <w:sz w:val="21"/>
                <w:szCs w:val="21"/>
              </w:rPr>
            </w:pPr>
            <w:r>
              <w:rPr>
                <w:rFonts w:hint="eastAsia"/>
                <w:sz w:val="21"/>
                <w:szCs w:val="21"/>
              </w:rPr>
              <w:t>——</w:t>
            </w:r>
          </w:p>
        </w:tc>
        <w:tc>
          <w:tcPr>
            <w:tcW w:w="750" w:type="dxa"/>
            <w:tcBorders>
              <w:tl2br w:val="nil"/>
              <w:tr2bl w:val="nil"/>
            </w:tcBorders>
            <w:vAlign w:val="center"/>
          </w:tcPr>
          <w:p w14:paraId="28133A10">
            <w:pPr>
              <w:adjustRightInd w:val="0"/>
              <w:snapToGrid w:val="0"/>
              <w:spacing w:line="240" w:lineRule="auto"/>
              <w:jc w:val="center"/>
              <w:rPr>
                <w:sz w:val="21"/>
                <w:szCs w:val="21"/>
              </w:rPr>
            </w:pPr>
            <w:r>
              <w:rPr>
                <w:rFonts w:hint="eastAsia"/>
                <w:sz w:val="21"/>
                <w:szCs w:val="21"/>
              </w:rPr>
              <w:t>1.5</w:t>
            </w:r>
          </w:p>
        </w:tc>
        <w:tc>
          <w:tcPr>
            <w:tcW w:w="900" w:type="dxa"/>
            <w:tcBorders>
              <w:tl2br w:val="nil"/>
              <w:tr2bl w:val="nil"/>
            </w:tcBorders>
            <w:vAlign w:val="center"/>
          </w:tcPr>
          <w:p w14:paraId="6173A333">
            <w:pPr>
              <w:adjustRightInd w:val="0"/>
              <w:snapToGrid w:val="0"/>
              <w:spacing w:line="240" w:lineRule="auto"/>
              <w:jc w:val="center"/>
              <w:rPr>
                <w:b/>
                <w:bCs/>
                <w:sz w:val="21"/>
                <w:szCs w:val="21"/>
              </w:rPr>
            </w:pPr>
            <w:r>
              <w:rPr>
                <w:rFonts w:hint="eastAsia"/>
                <w:b/>
                <w:bCs/>
                <w:sz w:val="21"/>
                <w:szCs w:val="21"/>
              </w:rPr>
              <w:t>8.79</w:t>
            </w:r>
          </w:p>
        </w:tc>
        <w:tc>
          <w:tcPr>
            <w:tcW w:w="908" w:type="dxa"/>
            <w:tcBorders>
              <w:tl2br w:val="nil"/>
              <w:tr2bl w:val="nil"/>
            </w:tcBorders>
            <w:vAlign w:val="center"/>
          </w:tcPr>
          <w:p w14:paraId="3A0E710D">
            <w:pPr>
              <w:adjustRightInd w:val="0"/>
              <w:snapToGrid w:val="0"/>
              <w:spacing w:line="240" w:lineRule="auto"/>
              <w:jc w:val="center"/>
              <w:rPr>
                <w:b/>
                <w:bCs/>
                <w:sz w:val="21"/>
                <w:szCs w:val="21"/>
              </w:rPr>
            </w:pPr>
            <w:r>
              <w:rPr>
                <w:rFonts w:hint="eastAsia"/>
                <w:b/>
                <w:bCs/>
                <w:sz w:val="21"/>
                <w:szCs w:val="21"/>
              </w:rPr>
              <w:t>8.79</w:t>
            </w:r>
          </w:p>
        </w:tc>
      </w:tr>
      <w:tr w14:paraId="779005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7069FB6D">
            <w:pPr>
              <w:adjustRightInd w:val="0"/>
              <w:snapToGrid w:val="0"/>
              <w:spacing w:line="240" w:lineRule="auto"/>
              <w:jc w:val="center"/>
              <w:rPr>
                <w:sz w:val="21"/>
                <w:szCs w:val="21"/>
              </w:rPr>
            </w:pPr>
            <w:r>
              <w:rPr>
                <w:rFonts w:hint="eastAsia"/>
                <w:sz w:val="21"/>
                <w:szCs w:val="21"/>
              </w:rPr>
              <w:t>印刷烘干一体机</w:t>
            </w:r>
          </w:p>
        </w:tc>
        <w:tc>
          <w:tcPr>
            <w:tcW w:w="609" w:type="dxa"/>
            <w:tcBorders>
              <w:tl2br w:val="nil"/>
              <w:tr2bl w:val="nil"/>
            </w:tcBorders>
            <w:vAlign w:val="center"/>
          </w:tcPr>
          <w:p w14:paraId="4B3AB640">
            <w:pPr>
              <w:adjustRightInd w:val="0"/>
              <w:snapToGrid w:val="0"/>
              <w:spacing w:line="240" w:lineRule="auto"/>
              <w:jc w:val="center"/>
              <w:rPr>
                <w:sz w:val="21"/>
                <w:szCs w:val="21"/>
              </w:rPr>
            </w:pPr>
            <w:r>
              <w:rPr>
                <w:rFonts w:hint="eastAsia"/>
                <w:sz w:val="21"/>
                <w:szCs w:val="21"/>
              </w:rPr>
              <w:t>G3</w:t>
            </w:r>
          </w:p>
        </w:tc>
        <w:tc>
          <w:tcPr>
            <w:tcW w:w="1690" w:type="dxa"/>
            <w:tcBorders>
              <w:bottom w:val="single" w:color="auto" w:sz="4" w:space="0"/>
              <w:tl2br w:val="nil"/>
              <w:tr2bl w:val="nil"/>
            </w:tcBorders>
            <w:vAlign w:val="center"/>
          </w:tcPr>
          <w:p w14:paraId="0CCFBC45">
            <w:pPr>
              <w:adjustRightInd w:val="0"/>
              <w:snapToGrid w:val="0"/>
              <w:spacing w:line="240" w:lineRule="auto"/>
              <w:jc w:val="center"/>
              <w:rPr>
                <w:rFonts w:hint="eastAsia"/>
                <w:sz w:val="21"/>
                <w:szCs w:val="21"/>
              </w:rPr>
            </w:pPr>
            <w:r>
              <w:rPr>
                <w:rFonts w:hint="eastAsia"/>
                <w:sz w:val="21"/>
                <w:szCs w:val="21"/>
              </w:rPr>
              <w:t>印刷及</w:t>
            </w:r>
          </w:p>
          <w:p w14:paraId="5A6A2974">
            <w:pPr>
              <w:adjustRightInd w:val="0"/>
              <w:snapToGrid w:val="0"/>
              <w:spacing w:line="240" w:lineRule="auto"/>
              <w:jc w:val="center"/>
              <w:rPr>
                <w:sz w:val="21"/>
                <w:szCs w:val="21"/>
              </w:rPr>
            </w:pPr>
            <w:r>
              <w:rPr>
                <w:rFonts w:hint="eastAsia"/>
                <w:sz w:val="21"/>
                <w:szCs w:val="21"/>
              </w:rPr>
              <w:t>烘干</w:t>
            </w:r>
          </w:p>
        </w:tc>
        <w:tc>
          <w:tcPr>
            <w:tcW w:w="901" w:type="dxa"/>
            <w:vMerge w:val="continue"/>
            <w:tcBorders>
              <w:tl2br w:val="nil"/>
              <w:tr2bl w:val="nil"/>
            </w:tcBorders>
            <w:vAlign w:val="center"/>
          </w:tcPr>
          <w:p w14:paraId="216D04F6">
            <w:pPr>
              <w:adjustRightInd w:val="0"/>
              <w:snapToGrid w:val="0"/>
              <w:spacing w:line="240" w:lineRule="auto"/>
              <w:jc w:val="center"/>
              <w:rPr>
                <w:sz w:val="21"/>
                <w:szCs w:val="21"/>
              </w:rPr>
            </w:pPr>
          </w:p>
        </w:tc>
        <w:tc>
          <w:tcPr>
            <w:tcW w:w="777" w:type="dxa"/>
            <w:tcBorders>
              <w:bottom w:val="single" w:color="auto" w:sz="4" w:space="0"/>
              <w:tl2br w:val="nil"/>
              <w:tr2bl w:val="nil"/>
            </w:tcBorders>
            <w:vAlign w:val="center"/>
          </w:tcPr>
          <w:p w14:paraId="79365178">
            <w:pPr>
              <w:adjustRightInd w:val="0"/>
              <w:snapToGrid w:val="0"/>
              <w:spacing w:line="240" w:lineRule="auto"/>
              <w:jc w:val="center"/>
              <w:rPr>
                <w:sz w:val="21"/>
                <w:szCs w:val="21"/>
              </w:rPr>
            </w:pPr>
            <w:r>
              <w:rPr>
                <w:rFonts w:hint="eastAsia"/>
                <w:sz w:val="21"/>
                <w:szCs w:val="21"/>
              </w:rPr>
              <w:t>90</w:t>
            </w:r>
          </w:p>
        </w:tc>
        <w:tc>
          <w:tcPr>
            <w:tcW w:w="968" w:type="dxa"/>
            <w:tcBorders>
              <w:tl2br w:val="nil"/>
              <w:tr2bl w:val="nil"/>
            </w:tcBorders>
            <w:vAlign w:val="center"/>
          </w:tcPr>
          <w:p w14:paraId="68FADD24">
            <w:pPr>
              <w:adjustRightInd w:val="0"/>
              <w:snapToGrid w:val="0"/>
              <w:spacing w:line="240" w:lineRule="auto"/>
              <w:jc w:val="center"/>
              <w:rPr>
                <w:b/>
                <w:bCs/>
                <w:sz w:val="21"/>
                <w:szCs w:val="21"/>
              </w:rPr>
            </w:pPr>
            <w:r>
              <w:rPr>
                <w:rFonts w:hint="eastAsia"/>
                <w:b/>
                <w:bCs/>
                <w:sz w:val="21"/>
                <w:szCs w:val="21"/>
              </w:rPr>
              <w:t>1335.15</w:t>
            </w:r>
          </w:p>
        </w:tc>
        <w:tc>
          <w:tcPr>
            <w:tcW w:w="750" w:type="dxa"/>
            <w:tcBorders>
              <w:tl2br w:val="nil"/>
              <w:tr2bl w:val="nil"/>
            </w:tcBorders>
            <w:vAlign w:val="center"/>
          </w:tcPr>
          <w:p w14:paraId="42CA24D5">
            <w:pPr>
              <w:adjustRightInd w:val="0"/>
              <w:snapToGrid w:val="0"/>
              <w:spacing w:line="240" w:lineRule="auto"/>
              <w:jc w:val="center"/>
              <w:rPr>
                <w:sz w:val="21"/>
                <w:szCs w:val="21"/>
              </w:rPr>
            </w:pPr>
            <w:r>
              <w:rPr>
                <w:rFonts w:hint="eastAsia"/>
                <w:sz w:val="21"/>
                <w:szCs w:val="21"/>
              </w:rPr>
              <w:t>——</w:t>
            </w:r>
          </w:p>
        </w:tc>
        <w:tc>
          <w:tcPr>
            <w:tcW w:w="900" w:type="dxa"/>
            <w:tcBorders>
              <w:tl2br w:val="nil"/>
              <w:tr2bl w:val="nil"/>
            </w:tcBorders>
            <w:vAlign w:val="center"/>
          </w:tcPr>
          <w:p w14:paraId="4F7DC9ED">
            <w:pPr>
              <w:adjustRightInd w:val="0"/>
              <w:snapToGrid w:val="0"/>
              <w:spacing w:line="240" w:lineRule="auto"/>
              <w:jc w:val="center"/>
              <w:rPr>
                <w:b/>
                <w:bCs/>
                <w:sz w:val="21"/>
                <w:szCs w:val="21"/>
              </w:rPr>
            </w:pPr>
            <w:r>
              <w:rPr>
                <w:rFonts w:hint="eastAsia"/>
                <w:b/>
                <w:bCs/>
                <w:sz w:val="21"/>
                <w:szCs w:val="21"/>
              </w:rPr>
              <w:t>——</w:t>
            </w:r>
          </w:p>
        </w:tc>
        <w:tc>
          <w:tcPr>
            <w:tcW w:w="908" w:type="dxa"/>
            <w:tcBorders>
              <w:tl2br w:val="nil"/>
              <w:tr2bl w:val="nil"/>
            </w:tcBorders>
            <w:vAlign w:val="center"/>
          </w:tcPr>
          <w:p w14:paraId="2F198D6A">
            <w:pPr>
              <w:adjustRightInd w:val="0"/>
              <w:snapToGrid w:val="0"/>
              <w:spacing w:line="240" w:lineRule="auto"/>
              <w:jc w:val="center"/>
              <w:rPr>
                <w:b/>
                <w:bCs/>
                <w:color w:val="FF0000"/>
                <w:sz w:val="21"/>
                <w:szCs w:val="21"/>
              </w:rPr>
            </w:pPr>
            <w:r>
              <w:rPr>
                <w:rFonts w:hint="eastAsia"/>
                <w:b/>
                <w:bCs/>
                <w:sz w:val="21"/>
                <w:szCs w:val="21"/>
              </w:rPr>
              <w:t>1335.15</w:t>
            </w:r>
          </w:p>
        </w:tc>
      </w:tr>
      <w:tr w14:paraId="3378265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48089FD0">
            <w:pPr>
              <w:adjustRightInd w:val="0"/>
              <w:snapToGrid w:val="0"/>
              <w:spacing w:line="240" w:lineRule="auto"/>
              <w:jc w:val="center"/>
              <w:rPr>
                <w:sz w:val="21"/>
                <w:szCs w:val="21"/>
              </w:rPr>
            </w:pPr>
            <w:r>
              <w:rPr>
                <w:rFonts w:hint="eastAsia"/>
                <w:sz w:val="21"/>
                <w:szCs w:val="21"/>
              </w:rPr>
              <w:t>干式复合烘干一体机</w:t>
            </w:r>
          </w:p>
        </w:tc>
        <w:tc>
          <w:tcPr>
            <w:tcW w:w="609" w:type="dxa"/>
            <w:tcBorders>
              <w:tl2br w:val="nil"/>
              <w:tr2bl w:val="nil"/>
            </w:tcBorders>
            <w:vAlign w:val="center"/>
          </w:tcPr>
          <w:p w14:paraId="2EB1ACC3">
            <w:pPr>
              <w:adjustRightInd w:val="0"/>
              <w:snapToGrid w:val="0"/>
              <w:spacing w:line="240" w:lineRule="auto"/>
              <w:jc w:val="center"/>
              <w:rPr>
                <w:sz w:val="21"/>
                <w:szCs w:val="21"/>
              </w:rPr>
            </w:pPr>
            <w:r>
              <w:rPr>
                <w:rFonts w:hint="eastAsia"/>
                <w:sz w:val="21"/>
                <w:szCs w:val="21"/>
              </w:rPr>
              <w:t>G4</w:t>
            </w:r>
          </w:p>
        </w:tc>
        <w:tc>
          <w:tcPr>
            <w:tcW w:w="1690" w:type="dxa"/>
            <w:tcBorders>
              <w:top w:val="single" w:color="auto" w:sz="4" w:space="0"/>
              <w:bottom w:val="single" w:color="auto" w:sz="4" w:space="0"/>
              <w:tl2br w:val="nil"/>
              <w:tr2bl w:val="nil"/>
            </w:tcBorders>
            <w:vAlign w:val="center"/>
          </w:tcPr>
          <w:p w14:paraId="59E4897D">
            <w:pPr>
              <w:adjustRightInd w:val="0"/>
              <w:snapToGrid w:val="0"/>
              <w:spacing w:line="240" w:lineRule="auto"/>
              <w:jc w:val="center"/>
              <w:rPr>
                <w:sz w:val="21"/>
                <w:szCs w:val="21"/>
              </w:rPr>
            </w:pPr>
            <w:r>
              <w:rPr>
                <w:rFonts w:hint="eastAsia"/>
                <w:sz w:val="21"/>
                <w:szCs w:val="21"/>
              </w:rPr>
              <w:t>复合</w:t>
            </w:r>
          </w:p>
        </w:tc>
        <w:tc>
          <w:tcPr>
            <w:tcW w:w="901" w:type="dxa"/>
            <w:vMerge w:val="continue"/>
            <w:tcBorders>
              <w:tl2br w:val="nil"/>
              <w:tr2bl w:val="nil"/>
            </w:tcBorders>
            <w:vAlign w:val="center"/>
          </w:tcPr>
          <w:p w14:paraId="438D9464">
            <w:pPr>
              <w:adjustRightInd w:val="0"/>
              <w:snapToGrid w:val="0"/>
              <w:spacing w:line="240" w:lineRule="auto"/>
              <w:jc w:val="center"/>
              <w:rPr>
                <w:sz w:val="21"/>
                <w:szCs w:val="21"/>
              </w:rPr>
            </w:pPr>
          </w:p>
        </w:tc>
        <w:tc>
          <w:tcPr>
            <w:tcW w:w="777" w:type="dxa"/>
            <w:tcBorders>
              <w:top w:val="single" w:color="auto" w:sz="4" w:space="0"/>
              <w:bottom w:val="single" w:color="auto" w:sz="4" w:space="0"/>
              <w:tl2br w:val="nil"/>
              <w:tr2bl w:val="nil"/>
            </w:tcBorders>
            <w:vAlign w:val="center"/>
          </w:tcPr>
          <w:p w14:paraId="06D904FE">
            <w:pPr>
              <w:adjustRightInd w:val="0"/>
              <w:snapToGrid w:val="0"/>
              <w:spacing w:line="240" w:lineRule="auto"/>
              <w:jc w:val="center"/>
              <w:rPr>
                <w:sz w:val="21"/>
                <w:szCs w:val="21"/>
              </w:rPr>
            </w:pPr>
            <w:r>
              <w:rPr>
                <w:rFonts w:hint="eastAsia"/>
                <w:sz w:val="21"/>
                <w:szCs w:val="21"/>
              </w:rPr>
              <w:t>——</w:t>
            </w:r>
          </w:p>
        </w:tc>
        <w:tc>
          <w:tcPr>
            <w:tcW w:w="968" w:type="dxa"/>
            <w:tcBorders>
              <w:tl2br w:val="nil"/>
              <w:tr2bl w:val="nil"/>
            </w:tcBorders>
            <w:vAlign w:val="center"/>
          </w:tcPr>
          <w:p w14:paraId="67F893B8">
            <w:pPr>
              <w:adjustRightInd w:val="0"/>
              <w:snapToGrid w:val="0"/>
              <w:spacing w:line="240" w:lineRule="auto"/>
              <w:jc w:val="center"/>
              <w:rPr>
                <w:b/>
                <w:bCs/>
                <w:sz w:val="21"/>
                <w:szCs w:val="21"/>
              </w:rPr>
            </w:pPr>
            <w:r>
              <w:rPr>
                <w:rFonts w:hint="eastAsia"/>
                <w:b/>
                <w:bCs/>
                <w:sz w:val="21"/>
                <w:szCs w:val="21"/>
              </w:rPr>
              <w:t>——</w:t>
            </w:r>
          </w:p>
        </w:tc>
        <w:tc>
          <w:tcPr>
            <w:tcW w:w="750" w:type="dxa"/>
            <w:tcBorders>
              <w:tl2br w:val="nil"/>
              <w:tr2bl w:val="nil"/>
            </w:tcBorders>
            <w:vAlign w:val="center"/>
          </w:tcPr>
          <w:p w14:paraId="53BFF4D9">
            <w:pPr>
              <w:adjustRightInd w:val="0"/>
              <w:snapToGrid w:val="0"/>
              <w:spacing w:line="240" w:lineRule="auto"/>
              <w:jc w:val="center"/>
              <w:rPr>
                <w:sz w:val="21"/>
                <w:szCs w:val="21"/>
              </w:rPr>
            </w:pPr>
            <w:r>
              <w:rPr>
                <w:rFonts w:hint="eastAsia"/>
                <w:sz w:val="21"/>
                <w:szCs w:val="21"/>
              </w:rPr>
              <w:t>98</w:t>
            </w:r>
          </w:p>
        </w:tc>
        <w:tc>
          <w:tcPr>
            <w:tcW w:w="900" w:type="dxa"/>
            <w:tcBorders>
              <w:tl2br w:val="nil"/>
              <w:tr2bl w:val="nil"/>
            </w:tcBorders>
            <w:vAlign w:val="center"/>
          </w:tcPr>
          <w:p w14:paraId="0A7AEF3E">
            <w:pPr>
              <w:adjustRightInd w:val="0"/>
              <w:snapToGrid w:val="0"/>
              <w:spacing w:line="240" w:lineRule="auto"/>
              <w:jc w:val="center"/>
              <w:rPr>
                <w:b/>
                <w:bCs/>
                <w:color w:val="FF0000"/>
                <w:sz w:val="21"/>
                <w:szCs w:val="21"/>
              </w:rPr>
            </w:pPr>
            <w:r>
              <w:rPr>
                <w:rFonts w:hint="eastAsia"/>
                <w:b/>
                <w:bCs/>
                <w:sz w:val="21"/>
                <w:szCs w:val="21"/>
              </w:rPr>
              <w:t>574.28</w:t>
            </w:r>
          </w:p>
        </w:tc>
        <w:tc>
          <w:tcPr>
            <w:tcW w:w="908" w:type="dxa"/>
            <w:tcBorders>
              <w:tl2br w:val="nil"/>
              <w:tr2bl w:val="nil"/>
            </w:tcBorders>
            <w:vAlign w:val="center"/>
          </w:tcPr>
          <w:p w14:paraId="1EB14044">
            <w:pPr>
              <w:adjustRightInd w:val="0"/>
              <w:snapToGrid w:val="0"/>
              <w:spacing w:line="240" w:lineRule="auto"/>
              <w:jc w:val="center"/>
              <w:rPr>
                <w:b/>
                <w:bCs/>
                <w:color w:val="FF0000"/>
                <w:sz w:val="21"/>
                <w:szCs w:val="21"/>
              </w:rPr>
            </w:pPr>
            <w:r>
              <w:rPr>
                <w:rFonts w:hint="eastAsia"/>
                <w:b/>
                <w:bCs/>
                <w:sz w:val="21"/>
                <w:szCs w:val="21"/>
              </w:rPr>
              <w:t>574.28</w:t>
            </w:r>
          </w:p>
        </w:tc>
      </w:tr>
      <w:tr w14:paraId="1BD5449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016E79FE">
            <w:pPr>
              <w:adjustRightInd w:val="0"/>
              <w:snapToGrid w:val="0"/>
              <w:spacing w:line="240" w:lineRule="auto"/>
              <w:jc w:val="center"/>
              <w:rPr>
                <w:sz w:val="21"/>
                <w:szCs w:val="21"/>
              </w:rPr>
            </w:pPr>
            <w:r>
              <w:rPr>
                <w:rFonts w:hint="eastAsia"/>
                <w:sz w:val="21"/>
                <w:szCs w:val="21"/>
              </w:rPr>
              <w:t>设备擦洗</w:t>
            </w:r>
          </w:p>
        </w:tc>
        <w:tc>
          <w:tcPr>
            <w:tcW w:w="609" w:type="dxa"/>
            <w:tcBorders>
              <w:tl2br w:val="nil"/>
              <w:tr2bl w:val="nil"/>
            </w:tcBorders>
            <w:vAlign w:val="center"/>
          </w:tcPr>
          <w:p w14:paraId="797FDF5D">
            <w:pPr>
              <w:adjustRightInd w:val="0"/>
              <w:snapToGrid w:val="0"/>
              <w:spacing w:line="240" w:lineRule="auto"/>
              <w:jc w:val="center"/>
              <w:rPr>
                <w:sz w:val="21"/>
                <w:szCs w:val="21"/>
              </w:rPr>
            </w:pPr>
            <w:r>
              <w:rPr>
                <w:rFonts w:hint="eastAsia"/>
                <w:sz w:val="21"/>
                <w:szCs w:val="21"/>
              </w:rPr>
              <w:t>G5、G6</w:t>
            </w:r>
          </w:p>
        </w:tc>
        <w:tc>
          <w:tcPr>
            <w:tcW w:w="1690" w:type="dxa"/>
            <w:tcBorders>
              <w:top w:val="single" w:color="auto" w:sz="4" w:space="0"/>
              <w:tl2br w:val="nil"/>
              <w:tr2bl w:val="nil"/>
            </w:tcBorders>
            <w:vAlign w:val="center"/>
          </w:tcPr>
          <w:p w14:paraId="5200E4EB">
            <w:pPr>
              <w:adjustRightInd w:val="0"/>
              <w:snapToGrid w:val="0"/>
              <w:spacing w:line="240" w:lineRule="auto"/>
              <w:jc w:val="center"/>
              <w:rPr>
                <w:sz w:val="21"/>
                <w:szCs w:val="21"/>
              </w:rPr>
            </w:pPr>
            <w:r>
              <w:rPr>
                <w:rFonts w:hint="eastAsia"/>
                <w:sz w:val="21"/>
                <w:szCs w:val="21"/>
              </w:rPr>
              <w:t>擦洗</w:t>
            </w:r>
          </w:p>
        </w:tc>
        <w:tc>
          <w:tcPr>
            <w:tcW w:w="901" w:type="dxa"/>
            <w:vMerge w:val="continue"/>
            <w:tcBorders>
              <w:tl2br w:val="nil"/>
              <w:tr2bl w:val="nil"/>
            </w:tcBorders>
            <w:vAlign w:val="center"/>
          </w:tcPr>
          <w:p w14:paraId="4751469C">
            <w:pPr>
              <w:adjustRightInd w:val="0"/>
              <w:snapToGrid w:val="0"/>
              <w:spacing w:line="240" w:lineRule="auto"/>
              <w:jc w:val="center"/>
              <w:rPr>
                <w:sz w:val="21"/>
                <w:szCs w:val="21"/>
              </w:rPr>
            </w:pPr>
          </w:p>
        </w:tc>
        <w:tc>
          <w:tcPr>
            <w:tcW w:w="777" w:type="dxa"/>
            <w:tcBorders>
              <w:top w:val="single" w:color="auto" w:sz="4" w:space="0"/>
              <w:tl2br w:val="nil"/>
              <w:tr2bl w:val="nil"/>
            </w:tcBorders>
            <w:vAlign w:val="center"/>
          </w:tcPr>
          <w:p w14:paraId="31396096">
            <w:pPr>
              <w:adjustRightInd w:val="0"/>
              <w:snapToGrid w:val="0"/>
              <w:spacing w:line="240" w:lineRule="auto"/>
              <w:jc w:val="center"/>
              <w:rPr>
                <w:sz w:val="21"/>
                <w:szCs w:val="21"/>
              </w:rPr>
            </w:pPr>
            <w:r>
              <w:rPr>
                <w:rFonts w:hint="eastAsia"/>
                <w:sz w:val="21"/>
                <w:szCs w:val="21"/>
              </w:rPr>
              <w:t>8.8</w:t>
            </w:r>
          </w:p>
        </w:tc>
        <w:tc>
          <w:tcPr>
            <w:tcW w:w="968" w:type="dxa"/>
            <w:tcBorders>
              <w:tl2br w:val="nil"/>
              <w:tr2bl w:val="nil"/>
            </w:tcBorders>
            <w:vAlign w:val="center"/>
          </w:tcPr>
          <w:p w14:paraId="1882D778">
            <w:pPr>
              <w:adjustRightInd w:val="0"/>
              <w:snapToGrid w:val="0"/>
              <w:spacing w:line="240" w:lineRule="auto"/>
              <w:jc w:val="center"/>
              <w:rPr>
                <w:rFonts w:hint="default" w:eastAsia="宋体"/>
                <w:b/>
                <w:bCs/>
                <w:sz w:val="21"/>
                <w:szCs w:val="21"/>
                <w:lang w:val="en-US" w:eastAsia="zh-CN"/>
              </w:rPr>
            </w:pPr>
            <w:r>
              <w:rPr>
                <w:rFonts w:hint="eastAsia"/>
                <w:b/>
                <w:bCs/>
                <w:sz w:val="21"/>
                <w:szCs w:val="21"/>
                <w:lang w:val="en-US" w:eastAsia="zh-CN"/>
              </w:rPr>
              <w:t>130.548</w:t>
            </w:r>
          </w:p>
        </w:tc>
        <w:tc>
          <w:tcPr>
            <w:tcW w:w="750" w:type="dxa"/>
            <w:tcBorders>
              <w:tl2br w:val="nil"/>
              <w:tr2bl w:val="nil"/>
            </w:tcBorders>
            <w:vAlign w:val="center"/>
          </w:tcPr>
          <w:p w14:paraId="2A409543">
            <w:pPr>
              <w:adjustRightInd w:val="0"/>
              <w:snapToGrid w:val="0"/>
              <w:spacing w:line="240" w:lineRule="auto"/>
              <w:jc w:val="center"/>
              <w:rPr>
                <w:sz w:val="21"/>
                <w:szCs w:val="21"/>
              </w:rPr>
            </w:pPr>
            <w:r>
              <w:rPr>
                <w:rFonts w:hint="eastAsia"/>
                <w:sz w:val="21"/>
                <w:szCs w:val="21"/>
              </w:rPr>
              <w:t>0.3</w:t>
            </w:r>
          </w:p>
        </w:tc>
        <w:tc>
          <w:tcPr>
            <w:tcW w:w="900" w:type="dxa"/>
            <w:tcBorders>
              <w:tl2br w:val="nil"/>
              <w:tr2bl w:val="nil"/>
            </w:tcBorders>
            <w:vAlign w:val="center"/>
          </w:tcPr>
          <w:p w14:paraId="34CF44B3">
            <w:pPr>
              <w:adjustRightInd w:val="0"/>
              <w:snapToGrid w:val="0"/>
              <w:spacing w:line="240" w:lineRule="auto"/>
              <w:jc w:val="center"/>
              <w:rPr>
                <w:b/>
                <w:bCs/>
                <w:sz w:val="21"/>
                <w:szCs w:val="21"/>
              </w:rPr>
            </w:pPr>
            <w:r>
              <w:rPr>
                <w:rFonts w:hint="eastAsia"/>
                <w:b/>
                <w:bCs/>
                <w:sz w:val="21"/>
                <w:szCs w:val="21"/>
              </w:rPr>
              <w:t>1.758</w:t>
            </w:r>
          </w:p>
        </w:tc>
        <w:tc>
          <w:tcPr>
            <w:tcW w:w="908" w:type="dxa"/>
            <w:tcBorders>
              <w:tl2br w:val="nil"/>
              <w:tr2bl w:val="nil"/>
            </w:tcBorders>
            <w:vAlign w:val="center"/>
          </w:tcPr>
          <w:p w14:paraId="310C8A21">
            <w:pPr>
              <w:adjustRightInd w:val="0"/>
              <w:snapToGrid w:val="0"/>
              <w:spacing w:line="240" w:lineRule="auto"/>
              <w:jc w:val="center"/>
              <w:rPr>
                <w:b/>
                <w:bCs/>
                <w:sz w:val="21"/>
                <w:szCs w:val="21"/>
              </w:rPr>
            </w:pPr>
            <w:r>
              <w:rPr>
                <w:rFonts w:hint="eastAsia"/>
                <w:b/>
                <w:bCs/>
                <w:sz w:val="21"/>
                <w:szCs w:val="21"/>
              </w:rPr>
              <w:t>132.306</w:t>
            </w:r>
          </w:p>
        </w:tc>
      </w:tr>
      <w:tr w14:paraId="711209E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31BF0DA9">
            <w:pPr>
              <w:adjustRightInd w:val="0"/>
              <w:snapToGrid w:val="0"/>
              <w:spacing w:line="240" w:lineRule="auto"/>
              <w:jc w:val="center"/>
              <w:rPr>
                <w:sz w:val="21"/>
                <w:szCs w:val="21"/>
              </w:rPr>
            </w:pPr>
            <w:r>
              <w:rPr>
                <w:rFonts w:hint="eastAsia"/>
                <w:sz w:val="21"/>
                <w:szCs w:val="21"/>
              </w:rPr>
              <w:t>危废间</w:t>
            </w:r>
          </w:p>
        </w:tc>
        <w:tc>
          <w:tcPr>
            <w:tcW w:w="609" w:type="dxa"/>
            <w:tcBorders>
              <w:tl2br w:val="nil"/>
              <w:tr2bl w:val="nil"/>
            </w:tcBorders>
            <w:vAlign w:val="center"/>
          </w:tcPr>
          <w:p w14:paraId="41B9FCB5">
            <w:pPr>
              <w:adjustRightInd w:val="0"/>
              <w:snapToGrid w:val="0"/>
              <w:spacing w:line="240" w:lineRule="auto"/>
              <w:jc w:val="center"/>
              <w:rPr>
                <w:sz w:val="21"/>
                <w:szCs w:val="21"/>
              </w:rPr>
            </w:pPr>
            <w:r>
              <w:rPr>
                <w:rFonts w:hint="eastAsia"/>
                <w:sz w:val="21"/>
                <w:szCs w:val="21"/>
              </w:rPr>
              <w:t>G7</w:t>
            </w:r>
          </w:p>
        </w:tc>
        <w:tc>
          <w:tcPr>
            <w:tcW w:w="1690" w:type="dxa"/>
            <w:tcBorders>
              <w:tl2br w:val="nil"/>
              <w:tr2bl w:val="nil"/>
            </w:tcBorders>
            <w:vAlign w:val="center"/>
          </w:tcPr>
          <w:p w14:paraId="5D6B84C4">
            <w:pPr>
              <w:adjustRightInd w:val="0"/>
              <w:snapToGrid w:val="0"/>
              <w:spacing w:line="240" w:lineRule="auto"/>
              <w:jc w:val="center"/>
              <w:rPr>
                <w:sz w:val="21"/>
                <w:szCs w:val="21"/>
              </w:rPr>
            </w:pPr>
            <w:r>
              <w:rPr>
                <w:rFonts w:hint="eastAsia"/>
                <w:sz w:val="21"/>
                <w:szCs w:val="21"/>
              </w:rPr>
              <w:t>危废贮存</w:t>
            </w:r>
          </w:p>
        </w:tc>
        <w:tc>
          <w:tcPr>
            <w:tcW w:w="901" w:type="dxa"/>
            <w:vMerge w:val="continue"/>
            <w:tcBorders>
              <w:tl2br w:val="nil"/>
              <w:tr2bl w:val="nil"/>
            </w:tcBorders>
            <w:vAlign w:val="center"/>
          </w:tcPr>
          <w:p w14:paraId="5F16D34D">
            <w:pPr>
              <w:adjustRightInd w:val="0"/>
              <w:snapToGrid w:val="0"/>
              <w:spacing w:line="240" w:lineRule="auto"/>
              <w:jc w:val="center"/>
              <w:rPr>
                <w:sz w:val="21"/>
                <w:szCs w:val="21"/>
              </w:rPr>
            </w:pPr>
          </w:p>
        </w:tc>
        <w:tc>
          <w:tcPr>
            <w:tcW w:w="777" w:type="dxa"/>
            <w:tcBorders>
              <w:tl2br w:val="nil"/>
              <w:tr2bl w:val="nil"/>
            </w:tcBorders>
            <w:vAlign w:val="center"/>
          </w:tcPr>
          <w:p w14:paraId="02284DD6">
            <w:pPr>
              <w:adjustRightInd w:val="0"/>
              <w:snapToGrid w:val="0"/>
              <w:spacing w:line="240" w:lineRule="auto"/>
              <w:jc w:val="center"/>
              <w:rPr>
                <w:sz w:val="21"/>
                <w:szCs w:val="21"/>
              </w:rPr>
            </w:pPr>
            <w:r>
              <w:rPr>
                <w:rFonts w:hint="eastAsia"/>
                <w:sz w:val="21"/>
                <w:szCs w:val="21"/>
              </w:rPr>
              <w:t>0.2</w:t>
            </w:r>
          </w:p>
        </w:tc>
        <w:tc>
          <w:tcPr>
            <w:tcW w:w="968" w:type="dxa"/>
            <w:tcBorders>
              <w:tl2br w:val="nil"/>
              <w:tr2bl w:val="nil"/>
            </w:tcBorders>
            <w:vAlign w:val="center"/>
          </w:tcPr>
          <w:p w14:paraId="1C4D81BE">
            <w:pPr>
              <w:adjustRightInd w:val="0"/>
              <w:snapToGrid w:val="0"/>
              <w:spacing w:line="240" w:lineRule="auto"/>
              <w:jc w:val="center"/>
              <w:rPr>
                <w:b/>
                <w:bCs/>
                <w:sz w:val="21"/>
                <w:szCs w:val="21"/>
              </w:rPr>
            </w:pPr>
            <w:r>
              <w:rPr>
                <w:rFonts w:hint="eastAsia"/>
                <w:b/>
                <w:bCs/>
                <w:sz w:val="21"/>
                <w:szCs w:val="21"/>
              </w:rPr>
              <w:t>2.967</w:t>
            </w:r>
          </w:p>
        </w:tc>
        <w:tc>
          <w:tcPr>
            <w:tcW w:w="750" w:type="dxa"/>
            <w:tcBorders>
              <w:tl2br w:val="nil"/>
              <w:tr2bl w:val="nil"/>
            </w:tcBorders>
            <w:vAlign w:val="center"/>
          </w:tcPr>
          <w:p w14:paraId="18C41076">
            <w:pPr>
              <w:adjustRightInd w:val="0"/>
              <w:snapToGrid w:val="0"/>
              <w:spacing w:line="240" w:lineRule="auto"/>
              <w:jc w:val="center"/>
              <w:rPr>
                <w:sz w:val="21"/>
                <w:szCs w:val="21"/>
              </w:rPr>
            </w:pPr>
            <w:r>
              <w:rPr>
                <w:rFonts w:hint="eastAsia"/>
                <w:sz w:val="21"/>
                <w:szCs w:val="21"/>
              </w:rPr>
              <w:t>0.2</w:t>
            </w:r>
          </w:p>
        </w:tc>
        <w:tc>
          <w:tcPr>
            <w:tcW w:w="900" w:type="dxa"/>
            <w:tcBorders>
              <w:tl2br w:val="nil"/>
              <w:tr2bl w:val="nil"/>
            </w:tcBorders>
            <w:vAlign w:val="center"/>
          </w:tcPr>
          <w:p w14:paraId="5850F13B">
            <w:pPr>
              <w:adjustRightInd w:val="0"/>
              <w:snapToGrid w:val="0"/>
              <w:spacing w:line="240" w:lineRule="auto"/>
              <w:jc w:val="center"/>
              <w:rPr>
                <w:b/>
                <w:bCs/>
                <w:sz w:val="21"/>
                <w:szCs w:val="21"/>
              </w:rPr>
            </w:pPr>
            <w:r>
              <w:rPr>
                <w:rFonts w:hint="eastAsia"/>
                <w:b/>
                <w:bCs/>
                <w:sz w:val="21"/>
                <w:szCs w:val="21"/>
              </w:rPr>
              <w:t>1.172</w:t>
            </w:r>
          </w:p>
        </w:tc>
        <w:tc>
          <w:tcPr>
            <w:tcW w:w="908" w:type="dxa"/>
            <w:tcBorders>
              <w:tl2br w:val="nil"/>
              <w:tr2bl w:val="nil"/>
            </w:tcBorders>
            <w:vAlign w:val="center"/>
          </w:tcPr>
          <w:p w14:paraId="0C4EBF82">
            <w:pPr>
              <w:adjustRightInd w:val="0"/>
              <w:snapToGrid w:val="0"/>
              <w:spacing w:line="240" w:lineRule="auto"/>
              <w:jc w:val="center"/>
              <w:rPr>
                <w:b/>
                <w:bCs/>
                <w:sz w:val="21"/>
                <w:szCs w:val="21"/>
              </w:rPr>
            </w:pPr>
            <w:r>
              <w:rPr>
                <w:rFonts w:hint="eastAsia"/>
                <w:b/>
                <w:bCs/>
                <w:sz w:val="21"/>
                <w:szCs w:val="21"/>
              </w:rPr>
              <w:t>4.139</w:t>
            </w:r>
          </w:p>
        </w:tc>
      </w:tr>
      <w:tr w14:paraId="078917A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024" w:type="dxa"/>
            <w:tcBorders>
              <w:tl2br w:val="nil"/>
              <w:tr2bl w:val="nil"/>
            </w:tcBorders>
            <w:vAlign w:val="center"/>
          </w:tcPr>
          <w:p w14:paraId="7F4E657D">
            <w:pPr>
              <w:adjustRightInd w:val="0"/>
              <w:snapToGrid w:val="0"/>
              <w:spacing w:line="240" w:lineRule="auto"/>
              <w:jc w:val="center"/>
              <w:rPr>
                <w:sz w:val="21"/>
                <w:szCs w:val="21"/>
              </w:rPr>
            </w:pPr>
            <w:r>
              <w:rPr>
                <w:rFonts w:hint="eastAsia"/>
                <w:sz w:val="21"/>
                <w:szCs w:val="21"/>
              </w:rPr>
              <w:t>合计</w:t>
            </w:r>
          </w:p>
        </w:tc>
        <w:tc>
          <w:tcPr>
            <w:tcW w:w="609" w:type="dxa"/>
            <w:tcBorders>
              <w:tl2br w:val="nil"/>
              <w:tr2bl w:val="nil"/>
            </w:tcBorders>
            <w:vAlign w:val="center"/>
          </w:tcPr>
          <w:p w14:paraId="5CCF58D9">
            <w:pPr>
              <w:adjustRightInd w:val="0"/>
              <w:snapToGrid w:val="0"/>
              <w:spacing w:line="240" w:lineRule="auto"/>
              <w:jc w:val="center"/>
              <w:rPr>
                <w:sz w:val="21"/>
                <w:szCs w:val="21"/>
              </w:rPr>
            </w:pPr>
            <w:r>
              <w:rPr>
                <w:rFonts w:hint="eastAsia"/>
                <w:sz w:val="21"/>
                <w:szCs w:val="21"/>
              </w:rPr>
              <w:t>/</w:t>
            </w:r>
          </w:p>
        </w:tc>
        <w:tc>
          <w:tcPr>
            <w:tcW w:w="1690" w:type="dxa"/>
            <w:tcBorders>
              <w:tl2br w:val="nil"/>
              <w:tr2bl w:val="nil"/>
            </w:tcBorders>
            <w:vAlign w:val="center"/>
          </w:tcPr>
          <w:p w14:paraId="4C368FAE">
            <w:pPr>
              <w:adjustRightInd w:val="0"/>
              <w:snapToGrid w:val="0"/>
              <w:spacing w:line="240" w:lineRule="auto"/>
              <w:jc w:val="center"/>
              <w:rPr>
                <w:sz w:val="21"/>
                <w:szCs w:val="21"/>
              </w:rPr>
            </w:pPr>
            <w:r>
              <w:rPr>
                <w:rFonts w:hint="eastAsia"/>
                <w:sz w:val="21"/>
                <w:szCs w:val="21"/>
              </w:rPr>
              <w:t>/</w:t>
            </w:r>
          </w:p>
        </w:tc>
        <w:tc>
          <w:tcPr>
            <w:tcW w:w="901" w:type="dxa"/>
            <w:tcBorders>
              <w:tl2br w:val="nil"/>
              <w:tr2bl w:val="nil"/>
            </w:tcBorders>
            <w:vAlign w:val="center"/>
          </w:tcPr>
          <w:p w14:paraId="04B28BF3">
            <w:pPr>
              <w:adjustRightInd w:val="0"/>
              <w:snapToGrid w:val="0"/>
              <w:spacing w:line="240" w:lineRule="auto"/>
              <w:jc w:val="center"/>
              <w:rPr>
                <w:sz w:val="21"/>
                <w:szCs w:val="21"/>
              </w:rPr>
            </w:pPr>
            <w:r>
              <w:rPr>
                <w:rFonts w:hint="eastAsia"/>
                <w:sz w:val="21"/>
                <w:szCs w:val="21"/>
              </w:rPr>
              <w:t>/</w:t>
            </w:r>
          </w:p>
        </w:tc>
        <w:tc>
          <w:tcPr>
            <w:tcW w:w="777" w:type="dxa"/>
            <w:tcBorders>
              <w:tl2br w:val="nil"/>
              <w:tr2bl w:val="nil"/>
            </w:tcBorders>
            <w:vAlign w:val="center"/>
          </w:tcPr>
          <w:p w14:paraId="7CE81724">
            <w:pPr>
              <w:adjustRightInd w:val="0"/>
              <w:snapToGrid w:val="0"/>
              <w:spacing w:line="240" w:lineRule="auto"/>
              <w:jc w:val="center"/>
              <w:rPr>
                <w:sz w:val="21"/>
                <w:szCs w:val="21"/>
              </w:rPr>
            </w:pPr>
            <w:r>
              <w:rPr>
                <w:rFonts w:hint="eastAsia"/>
                <w:sz w:val="21"/>
                <w:szCs w:val="21"/>
              </w:rPr>
              <w:t>100</w:t>
            </w:r>
          </w:p>
        </w:tc>
        <w:tc>
          <w:tcPr>
            <w:tcW w:w="968" w:type="dxa"/>
            <w:tcBorders>
              <w:tl2br w:val="nil"/>
              <w:tr2bl w:val="nil"/>
            </w:tcBorders>
            <w:vAlign w:val="center"/>
          </w:tcPr>
          <w:p w14:paraId="586121F3">
            <w:pPr>
              <w:adjustRightInd w:val="0"/>
              <w:snapToGrid w:val="0"/>
              <w:spacing w:line="240" w:lineRule="auto"/>
              <w:jc w:val="center"/>
              <w:rPr>
                <w:b/>
                <w:bCs/>
                <w:sz w:val="21"/>
                <w:szCs w:val="21"/>
              </w:rPr>
            </w:pPr>
            <w:r>
              <w:rPr>
                <w:rFonts w:hint="eastAsia"/>
                <w:b/>
                <w:bCs/>
                <w:sz w:val="21"/>
                <w:szCs w:val="21"/>
              </w:rPr>
              <w:t>1483.5</w:t>
            </w:r>
          </w:p>
        </w:tc>
        <w:tc>
          <w:tcPr>
            <w:tcW w:w="750" w:type="dxa"/>
            <w:tcBorders>
              <w:tl2br w:val="nil"/>
              <w:tr2bl w:val="nil"/>
            </w:tcBorders>
            <w:vAlign w:val="center"/>
          </w:tcPr>
          <w:p w14:paraId="1112542F">
            <w:pPr>
              <w:adjustRightInd w:val="0"/>
              <w:snapToGrid w:val="0"/>
              <w:spacing w:line="240" w:lineRule="auto"/>
              <w:jc w:val="center"/>
              <w:rPr>
                <w:sz w:val="21"/>
                <w:szCs w:val="21"/>
              </w:rPr>
            </w:pPr>
            <w:r>
              <w:rPr>
                <w:rFonts w:hint="eastAsia"/>
                <w:sz w:val="21"/>
                <w:szCs w:val="21"/>
              </w:rPr>
              <w:t>100</w:t>
            </w:r>
          </w:p>
        </w:tc>
        <w:tc>
          <w:tcPr>
            <w:tcW w:w="900" w:type="dxa"/>
            <w:tcBorders>
              <w:tl2br w:val="nil"/>
              <w:tr2bl w:val="nil"/>
            </w:tcBorders>
            <w:vAlign w:val="center"/>
          </w:tcPr>
          <w:p w14:paraId="70899E28">
            <w:pPr>
              <w:adjustRightInd w:val="0"/>
              <w:snapToGrid w:val="0"/>
              <w:spacing w:line="240" w:lineRule="auto"/>
              <w:jc w:val="center"/>
              <w:rPr>
                <w:rFonts w:hint="default" w:eastAsia="宋体"/>
                <w:b/>
                <w:bCs/>
                <w:sz w:val="21"/>
                <w:szCs w:val="21"/>
                <w:lang w:val="en-US" w:eastAsia="zh-CN"/>
              </w:rPr>
            </w:pPr>
            <w:r>
              <w:rPr>
                <w:rFonts w:hint="eastAsia"/>
                <w:b/>
                <w:bCs/>
                <w:sz w:val="21"/>
                <w:szCs w:val="21"/>
                <w:lang w:val="en-US" w:eastAsia="zh-CN"/>
              </w:rPr>
              <w:t>586</w:t>
            </w:r>
          </w:p>
        </w:tc>
        <w:tc>
          <w:tcPr>
            <w:tcW w:w="908" w:type="dxa"/>
            <w:tcBorders>
              <w:tl2br w:val="nil"/>
              <w:tr2bl w:val="nil"/>
            </w:tcBorders>
            <w:vAlign w:val="center"/>
          </w:tcPr>
          <w:p w14:paraId="6B16FBF0">
            <w:pPr>
              <w:adjustRightInd w:val="0"/>
              <w:snapToGrid w:val="0"/>
              <w:spacing w:line="240" w:lineRule="auto"/>
              <w:jc w:val="center"/>
              <w:rPr>
                <w:rFonts w:hint="default" w:eastAsia="宋体"/>
                <w:b/>
                <w:bCs/>
                <w:sz w:val="21"/>
                <w:szCs w:val="21"/>
                <w:lang w:val="en-US" w:eastAsia="zh-CN"/>
              </w:rPr>
            </w:pPr>
            <w:r>
              <w:rPr>
                <w:rFonts w:hint="default" w:eastAsia="宋体"/>
                <w:b/>
                <w:bCs/>
                <w:sz w:val="21"/>
                <w:szCs w:val="21"/>
                <w:lang w:val="en-US" w:eastAsia="zh-CN"/>
              </w:rPr>
              <w:t>2069.5</w:t>
            </w:r>
          </w:p>
        </w:tc>
      </w:tr>
    </w:tbl>
    <w:p w14:paraId="68BE51C0">
      <w:pPr>
        <w:ind w:firstLine="480"/>
      </w:pPr>
      <w:r>
        <w:t>（</w:t>
      </w:r>
      <w:r>
        <w:rPr>
          <w:rFonts w:hint="eastAsia"/>
        </w:rPr>
        <w:t>2</w:t>
      </w:r>
      <w:r>
        <w:t>）</w:t>
      </w:r>
      <w:r>
        <w:rPr>
          <w:rFonts w:hint="eastAsia"/>
        </w:rPr>
        <w:t>废气收集及环保措施</w:t>
      </w:r>
    </w:p>
    <w:p w14:paraId="6E9D8E7A">
      <w:pPr>
        <w:ind w:firstLine="480"/>
        <w:rPr>
          <w:rFonts w:hint="eastAsia" w:eastAsia="宋体"/>
          <w:lang w:val="en-US" w:eastAsia="zh-CN"/>
        </w:rPr>
      </w:pPr>
      <w:r>
        <w:rPr>
          <w:rFonts w:hint="eastAsia"/>
        </w:rPr>
        <w:t>3#车间：为有机废气主要产生单元，车间内隔离出调墨间、调胶间、印刷区、干式复合区、无溶剂复合区、熟化区。其中无溶剂复合区、熟化区几乎无有机废气产生，需处理的废气来自调墨间、调胶间、印刷区、干式复合区。车间内的印刷机、干式复合机生产区域进行局部整体封闭，仅在底部留有物料进出的缝隙，烘箱内抽风形成负压，可有效减少烘箱内有机废气溢出。同时3#车间采取了整体负压对无组织逸散的VOCs进行二次收集；危废间和调墨、调胶间只抽风不送风形成微负压收集。</w:t>
      </w:r>
      <w:r>
        <w:rPr>
          <w:rFonts w:hint="eastAsia"/>
          <w:lang w:val="en-US" w:eastAsia="zh-CN"/>
        </w:rPr>
        <w:t xml:space="preserve"> </w:t>
      </w:r>
    </w:p>
    <w:p w14:paraId="3ECE9FE6">
      <w:pPr>
        <w:ind w:firstLine="480"/>
      </w:pPr>
      <w:r>
        <w:rPr>
          <w:rFonts w:hint="eastAsia"/>
        </w:rPr>
        <w:t>4#车间：危废间和一般固废间同样采取只抽风不送风，形成微负压收集。</w:t>
      </w:r>
    </w:p>
    <w:p w14:paraId="6E21CE21">
      <w:pPr>
        <w:ind w:firstLine="480"/>
      </w:pPr>
      <w:r>
        <w:rPr>
          <w:rFonts w:hint="eastAsia"/>
        </w:rPr>
        <w:t>全厂有机废气</w:t>
      </w:r>
      <w:r>
        <w:rPr>
          <w:rFonts w:hint="eastAsia"/>
          <w:lang w:val="en-US" w:eastAsia="zh-CN"/>
        </w:rPr>
        <w:t>共</w:t>
      </w:r>
      <w:r>
        <w:rPr>
          <w:rFonts w:hint="eastAsia"/>
        </w:rPr>
        <w:t>用1套环保措施，工艺为“吸附浓缩+溶剂回收系统</w:t>
      </w:r>
      <w:r>
        <w:t>+</w:t>
      </w:r>
      <w:r>
        <w:rPr>
          <w:rFonts w:hint="eastAsia"/>
        </w:rPr>
        <w:t>20.5</w:t>
      </w:r>
      <w:r>
        <w:t>m排气筒（DA001）</w:t>
      </w:r>
      <w:r>
        <w:rPr>
          <w:rFonts w:hint="eastAsia"/>
        </w:rPr>
        <w:t>”。前端吸附浓缩装置由“活性炭吸附、沸石转轮浓缩”溶剂回收采用“冷凝+提纯”工艺。根据废气产生工序不同，分为高浓度有机废气和低浓度有机废气，本次变更后</w:t>
      </w:r>
      <w:r>
        <w:rPr>
          <w:rFonts w:hint="eastAsia"/>
          <w:lang w:val="en-US" w:eastAsia="zh-CN"/>
        </w:rPr>
        <w:t>不再采取高、低浓度废气分开处置，改造为“减风增浓”集气系统，通过烘箱回风装置将高低浓度废气混合，进一步浓缩有机废气降低废气处理装置的能耗。</w:t>
      </w:r>
    </w:p>
    <w:p w14:paraId="31CB8134">
      <w:pPr>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①印刷复合废气</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3-G4</w:t>
      </w:r>
      <w:r>
        <w:rPr>
          <w:color w:val="000000" w:themeColor="text1"/>
          <w14:textFill>
            <w14:solidFill>
              <w14:schemeClr w14:val="tx1"/>
            </w14:solidFill>
          </w14:textFill>
        </w:rPr>
        <w:t>）</w:t>
      </w:r>
    </w:p>
    <w:p w14:paraId="35A1F021">
      <w:pPr>
        <w:ind w:firstLine="480"/>
        <w:rPr>
          <w:color w:val="FF0000"/>
        </w:rPr>
      </w:pPr>
      <w:r>
        <w:rPr>
          <w:rFonts w:hint="eastAsia"/>
          <w:color w:val="000000" w:themeColor="text1"/>
          <w:lang w:val="en-US" w:eastAsia="zh-CN"/>
          <w14:textFill>
            <w14:solidFill>
              <w14:schemeClr w14:val="tx1"/>
            </w14:solidFill>
          </w14:textFill>
        </w:rPr>
        <w:t>根据表4.3-2，印刷和复合环节的</w:t>
      </w:r>
      <w:r>
        <w:rPr>
          <w:color w:val="000000" w:themeColor="text1"/>
          <w14:textFill>
            <w14:solidFill>
              <w14:schemeClr w14:val="tx1"/>
            </w14:solidFill>
          </w14:textFill>
        </w:rPr>
        <w:t>挥发性有机物废气产生量为</w:t>
      </w:r>
      <w:r>
        <w:rPr>
          <w:rFonts w:hint="eastAsia"/>
          <w:color w:val="000000" w:themeColor="text1"/>
          <w14:textFill>
            <w14:solidFill>
              <w14:schemeClr w14:val="tx1"/>
            </w14:solidFill>
          </w14:textFill>
        </w:rPr>
        <w:t>1909.43</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印刷</w:t>
      </w:r>
      <w:r>
        <w:rPr>
          <w:rFonts w:hint="eastAsia"/>
          <w:lang w:val="en-US" w:eastAsia="zh-CN"/>
        </w:rPr>
        <w:t>和</w:t>
      </w:r>
      <w:r>
        <w:t>复合</w:t>
      </w:r>
      <w:r>
        <w:rPr>
          <w:rFonts w:hint="eastAsia"/>
        </w:rPr>
        <w:t>设备</w:t>
      </w:r>
      <w:r>
        <w:rPr>
          <w:rFonts w:hint="eastAsia"/>
          <w:lang w:val="en-US" w:eastAsia="zh-CN"/>
        </w:rPr>
        <w:t>均为</w:t>
      </w:r>
      <w:r>
        <w:t>封闭</w:t>
      </w:r>
      <w:r>
        <w:rPr>
          <w:rFonts w:hint="eastAsia"/>
          <w:lang w:val="en-US" w:eastAsia="zh-CN"/>
        </w:rPr>
        <w:t>式，仅有下方缝隙用于印刷基材流转；</w:t>
      </w:r>
      <w:r>
        <w:rPr>
          <w:color w:val="000000" w:themeColor="text1"/>
          <w14:textFill>
            <w14:solidFill>
              <w14:schemeClr w14:val="tx1"/>
            </w14:solidFill>
          </w14:textFill>
        </w:rPr>
        <w:t>车间采取</w:t>
      </w:r>
      <w:r>
        <w:rPr>
          <w:rFonts w:hint="eastAsia"/>
          <w:color w:val="000000" w:themeColor="text1"/>
          <w:lang w:val="en-US" w:eastAsia="zh-CN"/>
          <w14:textFill>
            <w14:solidFill>
              <w14:schemeClr w14:val="tx1"/>
            </w14:solidFill>
          </w14:textFill>
        </w:rPr>
        <w:t>二次</w:t>
      </w:r>
      <w:r>
        <w:rPr>
          <w:color w:val="000000" w:themeColor="text1"/>
          <w14:textFill>
            <w14:solidFill>
              <w14:schemeClr w14:val="tx1"/>
            </w14:solidFill>
          </w14:textFill>
        </w:rPr>
        <w:t>整体负压收集，</w:t>
      </w:r>
      <w:r>
        <w:rPr>
          <w:rFonts w:hint="eastAsia"/>
          <w:color w:val="000000" w:themeColor="text1"/>
          <w:lang w:val="en-US" w:eastAsia="zh-CN"/>
          <w14:textFill>
            <w14:solidFill>
              <w14:schemeClr w14:val="tx1"/>
            </w14:solidFill>
          </w14:textFill>
        </w:rPr>
        <w:t>物料和人员进出口设置双门通道</w:t>
      </w:r>
      <w:r>
        <w:rPr>
          <w:rFonts w:hint="eastAsia"/>
        </w:rPr>
        <w:t>。根据</w:t>
      </w:r>
      <w:r>
        <w:t>《</w:t>
      </w:r>
      <w:r>
        <w:rPr>
          <w:rFonts w:hint="eastAsia"/>
        </w:rPr>
        <w:t>主要污染物总量减排核算技术指南</w:t>
      </w:r>
      <w:r>
        <w:t>》表</w:t>
      </w:r>
      <w:r>
        <w:rPr>
          <w:rFonts w:hint="eastAsia"/>
        </w:rPr>
        <w:t>2-3</w:t>
      </w:r>
      <w:r>
        <w:t>：设备收集效率取值</w:t>
      </w:r>
      <w:r>
        <w:rPr>
          <w:rFonts w:hint="eastAsia"/>
          <w:lang w:val="en-US" w:eastAsia="zh-CN"/>
        </w:rPr>
        <w:t>90</w:t>
      </w:r>
      <w:r>
        <w:rPr>
          <w:rFonts w:hint="eastAsia"/>
        </w:rPr>
        <w:t>%</w:t>
      </w:r>
      <w:r>
        <w:t>，整体车间负压收效率为</w:t>
      </w:r>
      <w:r>
        <w:rPr>
          <w:rFonts w:hint="eastAsia"/>
        </w:rPr>
        <w:t>90%</w:t>
      </w:r>
      <w:r>
        <w:rPr>
          <w:rFonts w:hint="eastAsia"/>
          <w:lang w:eastAsia="zh-CN"/>
        </w:rPr>
        <w:t>，</w:t>
      </w:r>
      <w:r>
        <w:t>设计</w:t>
      </w:r>
      <w:r>
        <w:rPr>
          <w:rFonts w:hint="eastAsia"/>
          <w:lang w:val="en-US" w:eastAsia="zh-CN"/>
        </w:rPr>
        <w:t>外排</w:t>
      </w:r>
      <w:r>
        <w:t>风量</w:t>
      </w:r>
      <w:r>
        <w:rPr>
          <w:rFonts w:hint="eastAsia"/>
          <w:lang w:val="en-US" w:eastAsia="zh-CN"/>
        </w:rPr>
        <w:t>3782</w:t>
      </w:r>
      <w:r>
        <w:t>00m</w:t>
      </w:r>
      <w:r>
        <w:rPr>
          <w:vertAlign w:val="superscript"/>
        </w:rPr>
        <w:t>3</w:t>
      </w:r>
      <w:r>
        <w:t>/h</w:t>
      </w:r>
      <w:r>
        <w:rPr>
          <w:rFonts w:hint="eastAsia"/>
          <w:lang w:eastAsia="zh-CN"/>
        </w:rPr>
        <w:t>；</w:t>
      </w:r>
      <w:r>
        <w:rPr>
          <w:rFonts w:hint="eastAsia"/>
          <w:lang w:val="en-US" w:eastAsia="zh-CN"/>
        </w:rPr>
        <w:t>同时</w:t>
      </w:r>
      <w:r>
        <w:rPr>
          <w:rFonts w:hint="eastAsia"/>
        </w:rPr>
        <w:t>根据</w:t>
      </w:r>
      <w:r>
        <w:t>《</w:t>
      </w:r>
      <w:r>
        <w:rPr>
          <w:rFonts w:hint="eastAsia"/>
        </w:rPr>
        <w:t>主要污染物总量减排核算技术指南</w:t>
      </w:r>
      <w:r>
        <w:t>》，</w:t>
      </w:r>
      <w:r>
        <w:rPr>
          <w:rFonts w:hint="eastAsia"/>
        </w:rPr>
        <w:t>“集中再生活化活性炭”的处理</w:t>
      </w:r>
      <w:r>
        <w:t>效率</w:t>
      </w:r>
      <w:r>
        <w:rPr>
          <w:rFonts w:hint="eastAsia"/>
        </w:rPr>
        <w:t>50</w:t>
      </w:r>
      <w:r>
        <w:t>%</w:t>
      </w:r>
      <w:r>
        <w:rPr>
          <w:rFonts w:hint="eastAsia"/>
        </w:rPr>
        <w:t>，根据《旋转式沸石吸附浓缩装置技术要求》（T/CAEPI31-2021），浓缩装置净化效率应</w:t>
      </w:r>
      <w:r>
        <w:t>≥</w:t>
      </w:r>
      <w:r>
        <w:rPr>
          <w:rFonts w:hint="eastAsia"/>
        </w:rPr>
        <w:t>90%，</w:t>
      </w:r>
      <w:r>
        <w:rPr>
          <w:rFonts w:hint="eastAsia"/>
          <w:lang w:val="en-US" w:eastAsia="zh-CN"/>
        </w:rPr>
        <w:t>该</w:t>
      </w:r>
      <w:r>
        <w:rPr>
          <w:rFonts w:hint="eastAsia"/>
        </w:rPr>
        <w:t>组合装置</w:t>
      </w:r>
      <w:r>
        <w:rPr>
          <w:rFonts w:hint="eastAsia"/>
          <w:lang w:val="en-US" w:eastAsia="zh-CN"/>
        </w:rPr>
        <w:t>按</w:t>
      </w:r>
      <w:r>
        <w:rPr>
          <w:rFonts w:hint="eastAsia"/>
        </w:rPr>
        <w:t>公式</w:t>
      </w:r>
      <w:r>
        <w:rPr>
          <w:rFonts w:hint="eastAsia"/>
          <w:lang w:val="en-US" w:eastAsia="zh-CN"/>
        </w:rPr>
        <w:t>计算</w:t>
      </w:r>
      <w:r>
        <w:rPr>
          <w:rFonts w:hint="eastAsia"/>
        </w:rPr>
        <w:t>处理效率为95%。</w:t>
      </w:r>
      <w:r>
        <w:t>则</w:t>
      </w:r>
      <w:r>
        <w:rPr>
          <w:rFonts w:hint="eastAsia"/>
          <w:lang w:val="en-US" w:eastAsia="zh-CN"/>
        </w:rPr>
        <w:t>该环节一次收集情况：</w:t>
      </w:r>
      <w:r>
        <w:rPr>
          <w:rFonts w:hint="eastAsia"/>
          <w:color w:val="000000" w:themeColor="text1"/>
          <w14:textFill>
            <w14:solidFill>
              <w14:schemeClr w14:val="tx1"/>
            </w14:solidFill>
          </w14:textFill>
        </w:rPr>
        <w:t>1718.487t/a</w:t>
      </w:r>
      <w:r>
        <w:rPr>
          <w:rFonts w:hint="eastAsia"/>
          <w:color w:val="000000" w:themeColor="text1"/>
          <w:lang w:val="en-US" w:eastAsia="zh-CN"/>
          <w14:textFill>
            <w14:solidFill>
              <w14:schemeClr w14:val="tx1"/>
            </w14:solidFill>
          </w14:textFill>
        </w:rPr>
        <w:t>收集进入废气处理装置，190.943t/a逸散至车间内；二次收集情况：190.943t/a设备逸散废气通过车间整体负压二次收集，171.849t/a</w:t>
      </w:r>
      <w:r>
        <w:t>有机废气</w:t>
      </w:r>
      <w:r>
        <w:rPr>
          <w:rFonts w:hint="eastAsia"/>
          <w:lang w:val="en-US" w:eastAsia="zh-CN"/>
        </w:rPr>
        <w:t>二次收集进入废气处理装置，19.094t/a有机废气通过车间门窗逸散至外环境</w:t>
      </w:r>
      <w:r>
        <w:rPr>
          <w:rFonts w:hint="eastAsia"/>
        </w:rPr>
        <w:t>。</w:t>
      </w:r>
      <w:r>
        <w:t>则</w:t>
      </w:r>
      <w:r>
        <w:rPr>
          <w:rFonts w:hint="eastAsia"/>
          <w:lang w:val="en-US" w:eastAsia="zh-CN"/>
        </w:rPr>
        <w:t>该环节有机</w:t>
      </w:r>
      <w:r>
        <w:t>废气有组织产生量为</w:t>
      </w:r>
      <w:r>
        <w:rPr>
          <w:rFonts w:hint="eastAsia"/>
          <w:lang w:val="en-US" w:eastAsia="zh-CN"/>
        </w:rPr>
        <w:t>1718.487+171.849=</w:t>
      </w:r>
      <w:r>
        <w:rPr>
          <w:rFonts w:hint="eastAsia"/>
        </w:rPr>
        <w:t>1890.336t/a，处理后</w:t>
      </w:r>
      <w:r>
        <w:t>排放量为</w:t>
      </w:r>
      <w:r>
        <w:rPr>
          <w:rFonts w:hint="eastAsia"/>
        </w:rPr>
        <w:t>94.51</w:t>
      </w:r>
      <w:r>
        <w:rPr>
          <w:rFonts w:hint="eastAsia"/>
          <w:lang w:val="en-US" w:eastAsia="zh-CN"/>
        </w:rPr>
        <w:t>7</w:t>
      </w:r>
      <w:r>
        <w:t>t/a</w:t>
      </w:r>
      <w:r>
        <w:rPr>
          <w:rFonts w:hint="eastAsia"/>
          <w:lang w:eastAsia="zh-CN"/>
        </w:rPr>
        <w:t>，</w:t>
      </w:r>
      <w:r>
        <w:rPr>
          <w:rFonts w:hint="eastAsia"/>
          <w:lang w:val="en-US" w:eastAsia="zh-CN"/>
        </w:rPr>
        <w:t>最终无组织排放量为19.094t/a</w:t>
      </w:r>
      <w:r>
        <w:rPr>
          <w:rFonts w:hint="eastAsia"/>
        </w:rPr>
        <w:t>。</w:t>
      </w:r>
    </w:p>
    <w:p w14:paraId="3245370F">
      <w:pPr>
        <w:ind w:firstLine="480"/>
        <w:rPr>
          <w:b/>
          <w:bCs/>
        </w:rPr>
      </w:pPr>
      <w:r>
        <w:rPr>
          <w:rFonts w:hint="eastAsia" w:ascii="宋体" w:hAnsi="宋体" w:cs="宋体"/>
        </w:rPr>
        <w:t>②</w:t>
      </w:r>
      <w:r>
        <w:rPr>
          <w:rFonts w:hint="eastAsia"/>
          <w:lang w:val="en-US" w:eastAsia="zh-CN"/>
        </w:rPr>
        <w:t>调墨、调胶、设备擦拭、危废间废气（</w:t>
      </w:r>
      <w:r>
        <w:t>G</w:t>
      </w:r>
      <w:r>
        <w:rPr>
          <w:rFonts w:hint="eastAsia"/>
          <w:lang w:val="en-US" w:eastAsia="zh-CN"/>
        </w:rPr>
        <w:t>1</w:t>
      </w:r>
      <w:r>
        <w:rPr>
          <w:rFonts w:hint="eastAsia"/>
          <w:lang w:eastAsia="zh-CN"/>
        </w:rPr>
        <w:t>、</w:t>
      </w:r>
      <w:r>
        <w:t>G</w:t>
      </w:r>
      <w:r>
        <w:rPr>
          <w:rFonts w:hint="eastAsia"/>
        </w:rPr>
        <w:t>2、</w:t>
      </w:r>
      <w:r>
        <w:t>G</w:t>
      </w:r>
      <w:r>
        <w:rPr>
          <w:rFonts w:hint="eastAsia"/>
        </w:rPr>
        <w:t>5、</w:t>
      </w:r>
      <w:r>
        <w:t>G</w:t>
      </w:r>
      <w:r>
        <w:rPr>
          <w:rFonts w:hint="eastAsia"/>
        </w:rPr>
        <w:t>6、G7</w:t>
      </w:r>
      <w:r>
        <w:t>）</w:t>
      </w:r>
      <w:r>
        <w:rPr>
          <w:rFonts w:hint="eastAsia"/>
          <w:b/>
          <w:bCs/>
        </w:rPr>
        <w:t>。</w:t>
      </w:r>
    </w:p>
    <w:p w14:paraId="2C633D7C">
      <w:pPr>
        <w:ind w:firstLine="480"/>
      </w:pPr>
      <w:r>
        <w:rPr>
          <w:rFonts w:hint="eastAsia"/>
          <w:lang w:val="en-US" w:eastAsia="zh-CN"/>
        </w:rPr>
        <w:t>A</w:t>
      </w:r>
      <w:r>
        <w:rPr>
          <w:rFonts w:hint="eastAsia"/>
        </w:rPr>
        <w:t>.</w:t>
      </w:r>
      <w:r>
        <w:rPr>
          <w:rFonts w:hint="eastAsia" w:ascii="宋体" w:hAnsi="宋体" w:cs="宋体"/>
        </w:rPr>
        <w:t>调墨调胶废气</w:t>
      </w:r>
      <w:r>
        <w:t>收集及排放（G</w:t>
      </w:r>
      <w:r>
        <w:rPr>
          <w:rFonts w:hint="eastAsia"/>
        </w:rPr>
        <w:t>1</w:t>
      </w:r>
      <w:r>
        <w:t>-G</w:t>
      </w:r>
      <w:r>
        <w:rPr>
          <w:rFonts w:hint="eastAsia"/>
        </w:rPr>
        <w:t>2</w:t>
      </w:r>
      <w:r>
        <w:t>）</w:t>
      </w:r>
    </w:p>
    <w:p w14:paraId="2FDC87E2">
      <w:pPr>
        <w:ind w:firstLine="480"/>
        <w:rPr>
          <w:b/>
          <w:bCs/>
          <w:color w:val="FF0000"/>
        </w:rPr>
      </w:pPr>
      <w:r>
        <w:rPr>
          <w:rFonts w:hint="eastAsia"/>
        </w:rPr>
        <w:t>溶剂型油墨和溶剂型复合胶使用时需添加稀释剂进行调配，企业在3#车间一侧分离出单独的调墨间及调胶间，由表4.3-2可知，车间内（G1-G2）挥发性有机物废气产生量为23.625t/a，调墨在调墨间进行（人工调墨和全自动调墨机相结合），调胶在密闭调胶间进行（人工调胶），调墨间调胶间均只有抽风，形成微负压，因此，参考《关于指导大气污染治理项目入库工作的通知》（粤环办〔2021〕92号）中“表4.5-1废气收集集气效率参考值”，本项目微负压取值</w:t>
      </w:r>
      <w:r>
        <w:rPr>
          <w:rFonts w:hint="eastAsia"/>
          <w:lang w:val="en-US" w:eastAsia="zh-CN"/>
        </w:rPr>
        <w:t>90</w:t>
      </w:r>
      <w:r>
        <w:rPr>
          <w:rFonts w:hint="eastAsia"/>
        </w:rPr>
        <w:t>%，设计风量1800m</w:t>
      </w:r>
      <w:r>
        <w:rPr>
          <w:rFonts w:hint="eastAsia"/>
          <w:vertAlign w:val="superscript"/>
        </w:rPr>
        <w:t>3</w:t>
      </w:r>
      <w:r>
        <w:rPr>
          <w:rFonts w:hint="eastAsia"/>
        </w:rPr>
        <w:t>/h，收集量为</w:t>
      </w:r>
      <w:r>
        <w:rPr>
          <w:rFonts w:hint="eastAsia"/>
          <w:lang w:val="en-US" w:eastAsia="zh-CN"/>
        </w:rPr>
        <w:t>21.263</w:t>
      </w:r>
      <w:r>
        <w:rPr>
          <w:rFonts w:hint="eastAsia"/>
        </w:rPr>
        <w:t>t/a，有机废气通过负压收集后引入直接经“活性炭吸附+沸石转轮浓缩”处理后经20.5m排气筒（DA001）外排。处理效率95%，则有组织排放量1.</w:t>
      </w:r>
      <w:r>
        <w:rPr>
          <w:rFonts w:hint="eastAsia"/>
          <w:lang w:val="en-US" w:eastAsia="zh-CN"/>
        </w:rPr>
        <w:t>063</w:t>
      </w:r>
      <w:r>
        <w:rPr>
          <w:rFonts w:hint="eastAsia"/>
        </w:rPr>
        <w:t>t/a。剩余</w:t>
      </w:r>
      <w:r>
        <w:rPr>
          <w:rFonts w:hint="eastAsia"/>
          <w:lang w:val="en-US" w:eastAsia="zh-CN"/>
        </w:rPr>
        <w:t>10</w:t>
      </w:r>
      <w:r>
        <w:rPr>
          <w:rFonts w:hint="eastAsia"/>
        </w:rPr>
        <w:t>%约</w:t>
      </w:r>
      <w:r>
        <w:rPr>
          <w:rFonts w:hint="eastAsia"/>
          <w:lang w:val="en-US" w:eastAsia="zh-CN"/>
        </w:rPr>
        <w:t>2.363</w:t>
      </w:r>
      <w:r>
        <w:rPr>
          <w:rFonts w:hint="eastAsia"/>
        </w:rPr>
        <w:t>t/a无组织排放至车间外。</w:t>
      </w:r>
    </w:p>
    <w:p w14:paraId="43BCC3F7">
      <w:pPr>
        <w:ind w:firstLine="480"/>
      </w:pPr>
      <w:r>
        <w:rPr>
          <w:rFonts w:hint="eastAsia"/>
          <w:lang w:val="en-US" w:eastAsia="zh-CN"/>
        </w:rPr>
        <w:t>B</w:t>
      </w:r>
      <w:r>
        <w:rPr>
          <w:rFonts w:hint="eastAsia"/>
        </w:rPr>
        <w:t>.</w:t>
      </w:r>
      <w:r>
        <w:rPr>
          <w:rFonts w:hint="eastAsia" w:ascii="宋体" w:hAnsi="宋体" w:cs="宋体"/>
        </w:rPr>
        <w:t>擦洗废气</w:t>
      </w:r>
      <w:r>
        <w:t>收集及排放（G</w:t>
      </w:r>
      <w:r>
        <w:rPr>
          <w:rFonts w:hint="eastAsia"/>
        </w:rPr>
        <w:t>5</w:t>
      </w:r>
      <w:r>
        <w:t>-G</w:t>
      </w:r>
      <w:r>
        <w:rPr>
          <w:rFonts w:hint="eastAsia"/>
        </w:rPr>
        <w:t>6</w:t>
      </w:r>
      <w:r>
        <w:t>）</w:t>
      </w:r>
    </w:p>
    <w:p w14:paraId="1B419537">
      <w:pPr>
        <w:ind w:firstLine="480"/>
      </w:pPr>
      <w:r>
        <w:rPr>
          <w:rFonts w:hint="eastAsia"/>
        </w:rPr>
        <w:t>本项目版辊在印刷完成后使用清洗剂（稀释剂）在印刷机台进行擦洗，复合机复合完成后也需要进行擦洗，擦拭的位置不在机器内部，因此该部分挥发性有机废气无法通过印刷机和复合烘箱的内部气路（高浓度废气）收集。全部通过车间整体负压地排风收集，该环节有机废气产生量</w:t>
      </w:r>
      <w:r>
        <w:rPr>
          <w:rFonts w:hint="eastAsia"/>
          <w:lang w:val="en-US" w:eastAsia="zh-CN"/>
        </w:rPr>
        <w:t>132.306</w:t>
      </w:r>
      <w:r>
        <w:rPr>
          <w:rFonts w:hint="eastAsia"/>
        </w:rPr>
        <w:t>t/a，收集效率</w:t>
      </w:r>
      <w:r>
        <w:rPr>
          <w:rFonts w:hint="eastAsia"/>
          <w:lang w:val="en-US" w:eastAsia="zh-CN"/>
        </w:rPr>
        <w:t>90</w:t>
      </w:r>
      <w:r>
        <w:rPr>
          <w:rFonts w:hint="eastAsia"/>
        </w:rPr>
        <w:t>%，约</w:t>
      </w:r>
      <w:r>
        <w:rPr>
          <w:rFonts w:hint="eastAsia"/>
          <w:lang w:val="en-US" w:eastAsia="zh-CN"/>
        </w:rPr>
        <w:t>119.075</w:t>
      </w:r>
      <w:r>
        <w:rPr>
          <w:rFonts w:hint="eastAsia"/>
        </w:rPr>
        <w:t>t/a收集后经“活性炭吸附+沸石转轮浓缩”处理后经20.5m排气筒（DA001）外排，浓缩装置净化效率95%，则清洗废气有组织排放量为</w:t>
      </w:r>
      <w:r>
        <w:rPr>
          <w:rFonts w:hint="eastAsia"/>
          <w:lang w:val="en-US" w:eastAsia="zh-CN"/>
        </w:rPr>
        <w:t>5.954</w:t>
      </w:r>
      <w:r>
        <w:rPr>
          <w:rFonts w:hint="eastAsia"/>
        </w:rPr>
        <w:t>t/a。无组织排放量1</w:t>
      </w:r>
      <w:r>
        <w:rPr>
          <w:rFonts w:hint="eastAsia"/>
          <w:lang w:val="en-US" w:eastAsia="zh-CN"/>
        </w:rPr>
        <w:t>0</w:t>
      </w:r>
      <w:r>
        <w:rPr>
          <w:rFonts w:hint="eastAsia"/>
        </w:rPr>
        <w:t>%，约</w:t>
      </w:r>
      <w:r>
        <w:rPr>
          <w:rFonts w:hint="eastAsia"/>
          <w:lang w:val="en-US" w:eastAsia="zh-CN"/>
        </w:rPr>
        <w:t>13.231</w:t>
      </w:r>
      <w:r>
        <w:rPr>
          <w:rFonts w:hint="eastAsia"/>
        </w:rPr>
        <w:t>t/a。</w:t>
      </w:r>
    </w:p>
    <w:p w14:paraId="6F7975BF">
      <w:pPr>
        <w:ind w:firstLine="480"/>
      </w:pPr>
      <w:r>
        <w:rPr>
          <w:rFonts w:hint="eastAsia"/>
        </w:rPr>
        <w:t>D</w:t>
      </w:r>
      <w:r>
        <w:t>危废间有机废气（G</w:t>
      </w:r>
      <w:r>
        <w:rPr>
          <w:rFonts w:hint="eastAsia"/>
        </w:rPr>
        <w:t>7</w:t>
      </w:r>
      <w:r>
        <w:t>）</w:t>
      </w:r>
    </w:p>
    <w:p w14:paraId="1AA3C53A">
      <w:pPr>
        <w:ind w:firstLine="480"/>
        <w:rPr>
          <w:b/>
          <w:bCs/>
          <w:color w:val="FF0000"/>
        </w:rPr>
      </w:pPr>
      <w:r>
        <w:t>废包装桶内可能残余少量油墨，废抹布沾有少量清洗剂（稀释剂）或油墨。废抹布密闭贮存在桶内并加盖，废包装桶贮存时加盖，有机废气逸散较少，由表4.3-</w:t>
      </w:r>
      <w:r>
        <w:rPr>
          <w:rFonts w:hint="eastAsia"/>
        </w:rPr>
        <w:t>2</w:t>
      </w:r>
      <w:r>
        <w:t>可知，危废间（G</w:t>
      </w:r>
      <w:r>
        <w:rPr>
          <w:rFonts w:hint="eastAsia"/>
        </w:rPr>
        <w:t>7</w:t>
      </w:r>
      <w:r>
        <w:t>）挥发性有机物废气产生量为</w:t>
      </w:r>
      <w:r>
        <w:rPr>
          <w:rFonts w:hint="eastAsia"/>
          <w:lang w:val="en-US" w:eastAsia="zh-CN"/>
        </w:rPr>
        <w:t>4.139</w:t>
      </w:r>
      <w:r>
        <w:t>t/a，</w:t>
      </w:r>
      <w:r>
        <w:rPr>
          <w:rFonts w:hint="eastAsia"/>
        </w:rPr>
        <w:t>危废间为密闭的空间，危废间只有抽风，形成微负压，收集效率取值</w:t>
      </w:r>
      <w:r>
        <w:rPr>
          <w:rFonts w:hint="eastAsia"/>
          <w:lang w:val="en-US" w:eastAsia="zh-CN"/>
        </w:rPr>
        <w:t>90</w:t>
      </w:r>
      <w:r>
        <w:rPr>
          <w:rFonts w:hint="eastAsia"/>
        </w:rPr>
        <w:t>%，设计风量8000</w:t>
      </w:r>
      <w:r>
        <w:t>m</w:t>
      </w:r>
      <w:r>
        <w:rPr>
          <w:vertAlign w:val="superscript"/>
        </w:rPr>
        <w:t>3</w:t>
      </w:r>
      <w:r>
        <w:t>/h，</w:t>
      </w:r>
      <w:r>
        <w:rPr>
          <w:rFonts w:hint="eastAsia"/>
        </w:rPr>
        <w:t>收集量为</w:t>
      </w:r>
      <w:r>
        <w:rPr>
          <w:rFonts w:hint="eastAsia"/>
          <w:lang w:val="en-US" w:eastAsia="zh-CN"/>
        </w:rPr>
        <w:t>3.725</w:t>
      </w:r>
      <w:r>
        <w:t>t/a，</w:t>
      </w:r>
      <w:r>
        <w:rPr>
          <w:rFonts w:hint="eastAsia"/>
        </w:rPr>
        <w:t>收集进入</w:t>
      </w:r>
      <w:r>
        <w:t>“吸附浓</w:t>
      </w:r>
      <w:r>
        <w:rPr>
          <w:rFonts w:hint="eastAsia"/>
        </w:rPr>
        <w:t>缩+溶剂回收系统</w:t>
      </w:r>
      <w:r>
        <w:t>+</w:t>
      </w:r>
      <w:r>
        <w:rPr>
          <w:rFonts w:hint="eastAsia"/>
        </w:rPr>
        <w:t>20.5</w:t>
      </w:r>
      <w:r>
        <w:t>m排气筒（DA001）”的设施进行净化处理排放，</w:t>
      </w:r>
      <w:r>
        <w:rPr>
          <w:rFonts w:hint="eastAsia"/>
        </w:rPr>
        <w:t>净化效率95%，危废间</w:t>
      </w:r>
      <w:r>
        <w:t>废气有组织排放量为</w:t>
      </w:r>
      <w:r>
        <w:rPr>
          <w:rFonts w:hint="eastAsia"/>
        </w:rPr>
        <w:t>0.</w:t>
      </w:r>
      <w:r>
        <w:rPr>
          <w:rFonts w:hint="eastAsia"/>
          <w:lang w:val="en-US" w:eastAsia="zh-CN"/>
        </w:rPr>
        <w:t>186</w:t>
      </w:r>
      <w:r>
        <w:t>t/a</w:t>
      </w:r>
      <w:r>
        <w:rPr>
          <w:rFonts w:hint="eastAsia"/>
        </w:rPr>
        <w:t>，无组织废气排放量为0.414</w:t>
      </w:r>
      <w:r>
        <w:t>t/a</w:t>
      </w:r>
      <w:r>
        <w:rPr>
          <w:rFonts w:hint="eastAsia"/>
        </w:rPr>
        <w:t>。</w:t>
      </w:r>
    </w:p>
    <w:p w14:paraId="5FE817EE">
      <w:pPr>
        <w:ind w:firstLine="480"/>
      </w:pPr>
      <w:r>
        <w:rPr>
          <w:rFonts w:hint="eastAsia" w:ascii="宋体" w:hAnsi="宋体" w:cs="宋体"/>
        </w:rPr>
        <w:t>⑶</w:t>
      </w:r>
      <w:r>
        <w:rPr>
          <w:rFonts w:hint="eastAsia"/>
        </w:rPr>
        <w:t>厂区有机废气总量汇总：</w:t>
      </w:r>
    </w:p>
    <w:p w14:paraId="302FA713">
      <w:pPr>
        <w:ind w:firstLine="480"/>
      </w:pPr>
      <w:r>
        <w:t>项目</w:t>
      </w:r>
      <w:r>
        <w:rPr>
          <w:rFonts w:hint="eastAsia"/>
        </w:rPr>
        <w:t>年工作时间为8160h，</w:t>
      </w:r>
      <w:r>
        <w:t>根据建设方提供的废气处理技术方案，设备设计</w:t>
      </w:r>
      <w:r>
        <w:rPr>
          <w:rFonts w:hint="eastAsia"/>
        </w:rPr>
        <w:t>设施出口</w:t>
      </w:r>
      <w:r>
        <w:t>风量</w:t>
      </w:r>
      <w:r>
        <w:rPr>
          <w:rFonts w:hint="eastAsia"/>
        </w:rPr>
        <w:t>370200</w:t>
      </w:r>
      <w:r>
        <w:t>m</w:t>
      </w:r>
      <w:r>
        <w:rPr>
          <w:vertAlign w:val="superscript"/>
        </w:rPr>
        <w:t>3</w:t>
      </w:r>
      <w:r>
        <w:t>/h</w:t>
      </w:r>
      <w:r>
        <w:rPr>
          <w:rFonts w:hint="eastAsia"/>
        </w:rPr>
        <w:t>（印刷、干式复合车间）+8000</w:t>
      </w:r>
      <w:r>
        <w:t>m</w:t>
      </w:r>
      <w:r>
        <w:rPr>
          <w:vertAlign w:val="superscript"/>
        </w:rPr>
        <w:t>3</w:t>
      </w:r>
      <w:r>
        <w:t>/h</w:t>
      </w:r>
      <w:r>
        <w:rPr>
          <w:rFonts w:hint="eastAsia"/>
        </w:rPr>
        <w:t>（危废车间）+1800</w:t>
      </w:r>
      <w:r>
        <w:t>m</w:t>
      </w:r>
      <w:r>
        <w:rPr>
          <w:vertAlign w:val="superscript"/>
        </w:rPr>
        <w:t>3</w:t>
      </w:r>
      <w:r>
        <w:t>/h</w:t>
      </w:r>
      <w:r>
        <w:rPr>
          <w:rFonts w:hint="eastAsia"/>
        </w:rPr>
        <w:t>（调墨间、调胶间）=</w:t>
      </w:r>
      <w:r>
        <w:rPr>
          <w:rFonts w:hint="eastAsia"/>
          <w:lang w:val="en-US" w:eastAsia="zh-CN"/>
        </w:rPr>
        <w:t>38</w:t>
      </w:r>
      <w:r>
        <w:rPr>
          <w:rFonts w:hint="eastAsia"/>
        </w:rPr>
        <w:t>0000</w:t>
      </w:r>
      <w:r>
        <w:t>m</w:t>
      </w:r>
      <w:r>
        <w:rPr>
          <w:vertAlign w:val="superscript"/>
        </w:rPr>
        <w:t>3</w:t>
      </w:r>
      <w:r>
        <w:t>/h。</w:t>
      </w:r>
      <w:r>
        <w:rPr>
          <w:rFonts w:hint="eastAsia"/>
        </w:rPr>
        <w:t>项目有机废气排放汇总表见表4.3-3，4.3-4。</w:t>
      </w:r>
    </w:p>
    <w:p w14:paraId="67FA2D67">
      <w:pPr>
        <w:pStyle w:val="9"/>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2C8F5026">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表4.3-3 </w:t>
      </w:r>
      <w:r>
        <w:rPr>
          <w:rFonts w:hint="eastAsia" w:ascii="宋体" w:hAnsi="宋体" w:cs="宋体"/>
          <w:b/>
          <w:bCs/>
          <w:color w:val="auto"/>
          <w:kern w:val="2"/>
          <w:sz w:val="21"/>
          <w:szCs w:val="21"/>
          <w:lang w:val="en-US" w:eastAsia="zh-CN" w:bidi="ar-SA"/>
        </w:rPr>
        <w:t xml:space="preserve">           </w:t>
      </w:r>
      <w:r>
        <w:rPr>
          <w:rFonts w:hint="eastAsia"/>
        </w:rPr>
        <w:t>项目挥发性有机物排放情况一览表</w:t>
      </w:r>
    </w:p>
    <w:tbl>
      <w:tblPr>
        <w:tblStyle w:val="31"/>
        <w:tblW w:w="5516"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0" w:type="dxa"/>
          <w:bottom w:w="0" w:type="dxa"/>
          <w:right w:w="0" w:type="dxa"/>
        </w:tblCellMar>
      </w:tblPr>
      <w:tblGrid>
        <w:gridCol w:w="1167"/>
        <w:gridCol w:w="669"/>
        <w:gridCol w:w="1149"/>
        <w:gridCol w:w="1076"/>
        <w:gridCol w:w="1311"/>
        <w:gridCol w:w="1597"/>
        <w:gridCol w:w="2562"/>
        <w:gridCol w:w="1138"/>
        <w:gridCol w:w="854"/>
        <w:gridCol w:w="997"/>
        <w:gridCol w:w="996"/>
        <w:gridCol w:w="996"/>
        <w:gridCol w:w="918"/>
      </w:tblGrid>
      <w:tr w14:paraId="2F1C6A7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165" w:type="dxa"/>
            <w:vMerge w:val="restart"/>
            <w:tcBorders>
              <w:tl2br w:val="nil"/>
              <w:tr2bl w:val="nil"/>
            </w:tcBorders>
            <w:vAlign w:val="center"/>
          </w:tcPr>
          <w:p w14:paraId="5A80A1BD">
            <w:pPr>
              <w:adjustRightInd w:val="0"/>
              <w:snapToGrid w:val="0"/>
              <w:spacing w:line="240" w:lineRule="auto"/>
              <w:jc w:val="center"/>
              <w:rPr>
                <w:sz w:val="21"/>
                <w:szCs w:val="21"/>
              </w:rPr>
            </w:pPr>
            <w:r>
              <w:rPr>
                <w:rFonts w:hint="eastAsia"/>
                <w:sz w:val="21"/>
                <w:szCs w:val="21"/>
              </w:rPr>
              <w:t>污染源</w:t>
            </w:r>
          </w:p>
        </w:tc>
        <w:tc>
          <w:tcPr>
            <w:tcW w:w="668" w:type="dxa"/>
            <w:vMerge w:val="restart"/>
            <w:tcBorders>
              <w:tl2br w:val="nil"/>
              <w:tr2bl w:val="nil"/>
            </w:tcBorders>
            <w:vAlign w:val="center"/>
          </w:tcPr>
          <w:p w14:paraId="2A999B14">
            <w:pPr>
              <w:adjustRightInd w:val="0"/>
              <w:snapToGrid w:val="0"/>
              <w:spacing w:line="240" w:lineRule="auto"/>
              <w:jc w:val="center"/>
              <w:rPr>
                <w:sz w:val="21"/>
                <w:szCs w:val="21"/>
              </w:rPr>
            </w:pPr>
            <w:r>
              <w:rPr>
                <w:sz w:val="21"/>
                <w:szCs w:val="21"/>
              </w:rPr>
              <w:t>工作时间h/a</w:t>
            </w:r>
          </w:p>
        </w:tc>
        <w:tc>
          <w:tcPr>
            <w:tcW w:w="1147" w:type="dxa"/>
            <w:vMerge w:val="restart"/>
            <w:tcBorders>
              <w:tl2br w:val="nil"/>
              <w:tr2bl w:val="nil"/>
            </w:tcBorders>
            <w:vAlign w:val="center"/>
          </w:tcPr>
          <w:p w14:paraId="740F7E20">
            <w:pPr>
              <w:adjustRightInd w:val="0"/>
              <w:snapToGrid w:val="0"/>
              <w:spacing w:line="240" w:lineRule="auto"/>
              <w:jc w:val="center"/>
              <w:rPr>
                <w:sz w:val="21"/>
                <w:szCs w:val="21"/>
              </w:rPr>
            </w:pPr>
            <w:r>
              <w:rPr>
                <w:sz w:val="21"/>
                <w:szCs w:val="21"/>
              </w:rPr>
              <w:t>VOCs</w:t>
            </w:r>
          </w:p>
          <w:p w14:paraId="2889F3A7">
            <w:pPr>
              <w:adjustRightInd w:val="0"/>
              <w:snapToGrid w:val="0"/>
              <w:spacing w:line="240" w:lineRule="auto"/>
              <w:jc w:val="center"/>
              <w:rPr>
                <w:sz w:val="21"/>
                <w:szCs w:val="21"/>
              </w:rPr>
            </w:pPr>
            <w:r>
              <w:rPr>
                <w:rFonts w:hint="eastAsia"/>
                <w:sz w:val="21"/>
                <w:szCs w:val="21"/>
              </w:rPr>
              <w:t>污染物总产生</w:t>
            </w:r>
            <w:r>
              <w:rPr>
                <w:sz w:val="21"/>
                <w:szCs w:val="21"/>
              </w:rPr>
              <w:t>量t/a</w:t>
            </w:r>
          </w:p>
        </w:tc>
        <w:tc>
          <w:tcPr>
            <w:tcW w:w="1074" w:type="dxa"/>
            <w:vMerge w:val="restart"/>
            <w:tcBorders>
              <w:tl2br w:val="nil"/>
              <w:tr2bl w:val="nil"/>
            </w:tcBorders>
            <w:vAlign w:val="center"/>
          </w:tcPr>
          <w:p w14:paraId="464E3586">
            <w:pPr>
              <w:adjustRightInd w:val="0"/>
              <w:snapToGrid w:val="0"/>
              <w:spacing w:line="240" w:lineRule="auto"/>
              <w:jc w:val="center"/>
              <w:rPr>
                <w:sz w:val="21"/>
                <w:szCs w:val="21"/>
              </w:rPr>
            </w:pPr>
            <w:r>
              <w:rPr>
                <w:rFonts w:hint="eastAsia"/>
                <w:sz w:val="21"/>
                <w:szCs w:val="21"/>
              </w:rPr>
              <w:t>收集效率</w:t>
            </w:r>
          </w:p>
        </w:tc>
        <w:tc>
          <w:tcPr>
            <w:tcW w:w="1308" w:type="dxa"/>
            <w:vMerge w:val="restart"/>
            <w:tcBorders>
              <w:tl2br w:val="nil"/>
              <w:tr2bl w:val="nil"/>
            </w:tcBorders>
            <w:vAlign w:val="center"/>
          </w:tcPr>
          <w:p w14:paraId="0572D86A">
            <w:pPr>
              <w:adjustRightInd w:val="0"/>
              <w:snapToGrid w:val="0"/>
              <w:spacing w:line="240" w:lineRule="auto"/>
              <w:jc w:val="center"/>
              <w:rPr>
                <w:sz w:val="21"/>
                <w:szCs w:val="21"/>
              </w:rPr>
            </w:pPr>
            <w:r>
              <w:rPr>
                <w:sz w:val="21"/>
                <w:szCs w:val="21"/>
              </w:rPr>
              <w:t>VOCs</w:t>
            </w:r>
          </w:p>
          <w:p w14:paraId="5924603F">
            <w:pPr>
              <w:adjustRightInd w:val="0"/>
              <w:snapToGrid w:val="0"/>
              <w:spacing w:line="240" w:lineRule="auto"/>
              <w:jc w:val="center"/>
              <w:rPr>
                <w:sz w:val="21"/>
                <w:szCs w:val="21"/>
              </w:rPr>
            </w:pPr>
            <w:r>
              <w:rPr>
                <w:rFonts w:hint="eastAsia"/>
                <w:sz w:val="21"/>
                <w:szCs w:val="21"/>
              </w:rPr>
              <w:t>有组织产生量</w:t>
            </w:r>
            <w:r>
              <w:rPr>
                <w:sz w:val="21"/>
                <w:szCs w:val="21"/>
              </w:rPr>
              <w:t>t/a</w:t>
            </w:r>
          </w:p>
        </w:tc>
        <w:tc>
          <w:tcPr>
            <w:tcW w:w="1594" w:type="dxa"/>
            <w:vMerge w:val="restart"/>
            <w:tcBorders>
              <w:tl2br w:val="nil"/>
              <w:tr2bl w:val="nil"/>
            </w:tcBorders>
            <w:vAlign w:val="center"/>
          </w:tcPr>
          <w:p w14:paraId="21093D15">
            <w:pPr>
              <w:adjustRightInd w:val="0"/>
              <w:snapToGrid w:val="0"/>
              <w:spacing w:line="240" w:lineRule="auto"/>
              <w:jc w:val="center"/>
              <w:rPr>
                <w:sz w:val="21"/>
                <w:szCs w:val="21"/>
              </w:rPr>
            </w:pPr>
            <w:r>
              <w:rPr>
                <w:sz w:val="21"/>
                <w:szCs w:val="21"/>
              </w:rPr>
              <w:t>产生速率</w:t>
            </w:r>
          </w:p>
          <w:p w14:paraId="35CAB882">
            <w:pPr>
              <w:adjustRightInd w:val="0"/>
              <w:snapToGrid w:val="0"/>
              <w:spacing w:line="240" w:lineRule="auto"/>
              <w:jc w:val="center"/>
              <w:rPr>
                <w:sz w:val="21"/>
                <w:szCs w:val="21"/>
              </w:rPr>
            </w:pPr>
            <w:r>
              <w:rPr>
                <w:sz w:val="21"/>
                <w:szCs w:val="21"/>
              </w:rPr>
              <w:t>kg/h</w:t>
            </w:r>
          </w:p>
        </w:tc>
        <w:tc>
          <w:tcPr>
            <w:tcW w:w="2557" w:type="dxa"/>
            <w:vMerge w:val="restart"/>
            <w:tcBorders>
              <w:tl2br w:val="nil"/>
              <w:tr2bl w:val="nil"/>
            </w:tcBorders>
            <w:vAlign w:val="center"/>
          </w:tcPr>
          <w:p w14:paraId="4369DA8E">
            <w:pPr>
              <w:adjustRightInd w:val="0"/>
              <w:snapToGrid w:val="0"/>
              <w:spacing w:line="240" w:lineRule="auto"/>
              <w:jc w:val="center"/>
              <w:rPr>
                <w:sz w:val="21"/>
                <w:szCs w:val="21"/>
              </w:rPr>
            </w:pPr>
            <w:r>
              <w:rPr>
                <w:sz w:val="21"/>
                <w:szCs w:val="21"/>
              </w:rPr>
              <w:t>治理措施及处理效率</w:t>
            </w:r>
          </w:p>
        </w:tc>
        <w:tc>
          <w:tcPr>
            <w:tcW w:w="1136" w:type="dxa"/>
            <w:vMerge w:val="restart"/>
            <w:tcBorders>
              <w:tl2br w:val="nil"/>
              <w:tr2bl w:val="nil"/>
            </w:tcBorders>
            <w:vAlign w:val="center"/>
          </w:tcPr>
          <w:p w14:paraId="1AFDF11F">
            <w:pPr>
              <w:adjustRightInd w:val="0"/>
              <w:snapToGrid w:val="0"/>
              <w:spacing w:line="240" w:lineRule="auto"/>
              <w:jc w:val="center"/>
              <w:rPr>
                <w:sz w:val="21"/>
                <w:szCs w:val="21"/>
              </w:rPr>
            </w:pPr>
            <w:r>
              <w:rPr>
                <w:sz w:val="21"/>
                <w:szCs w:val="21"/>
              </w:rPr>
              <w:t>排风风量</w:t>
            </w:r>
          </w:p>
          <w:p w14:paraId="5A818AB3">
            <w:pPr>
              <w:adjustRightInd w:val="0"/>
              <w:snapToGrid w:val="0"/>
              <w:spacing w:line="240" w:lineRule="auto"/>
              <w:jc w:val="center"/>
              <w:rPr>
                <w:sz w:val="21"/>
                <w:szCs w:val="21"/>
              </w:rPr>
            </w:pPr>
            <w:r>
              <w:rPr>
                <w:rFonts w:hint="eastAsia"/>
                <w:sz w:val="21"/>
                <w:szCs w:val="21"/>
              </w:rPr>
              <w:t>（m</w:t>
            </w:r>
            <w:r>
              <w:rPr>
                <w:rFonts w:hint="eastAsia"/>
                <w:sz w:val="21"/>
                <w:szCs w:val="21"/>
                <w:vertAlign w:val="superscript"/>
              </w:rPr>
              <w:t>3</w:t>
            </w:r>
            <w:r>
              <w:rPr>
                <w:rFonts w:hint="eastAsia"/>
                <w:sz w:val="21"/>
                <w:szCs w:val="21"/>
              </w:rPr>
              <w:t>/h）</w:t>
            </w:r>
          </w:p>
        </w:tc>
        <w:tc>
          <w:tcPr>
            <w:tcW w:w="2841" w:type="dxa"/>
            <w:gridSpan w:val="3"/>
            <w:tcBorders>
              <w:tl2br w:val="nil"/>
              <w:tr2bl w:val="nil"/>
            </w:tcBorders>
            <w:vAlign w:val="center"/>
          </w:tcPr>
          <w:p w14:paraId="4DF30F54">
            <w:pPr>
              <w:adjustRightInd w:val="0"/>
              <w:snapToGrid w:val="0"/>
              <w:spacing w:line="240" w:lineRule="auto"/>
              <w:jc w:val="center"/>
              <w:rPr>
                <w:sz w:val="21"/>
                <w:szCs w:val="21"/>
              </w:rPr>
            </w:pPr>
            <w:r>
              <w:rPr>
                <w:rFonts w:hint="eastAsia"/>
                <w:sz w:val="21"/>
                <w:szCs w:val="21"/>
              </w:rPr>
              <w:t>有组织</w:t>
            </w:r>
          </w:p>
        </w:tc>
        <w:tc>
          <w:tcPr>
            <w:tcW w:w="1910" w:type="dxa"/>
            <w:gridSpan w:val="2"/>
            <w:tcBorders>
              <w:tl2br w:val="nil"/>
              <w:tr2bl w:val="nil"/>
            </w:tcBorders>
            <w:vAlign w:val="center"/>
          </w:tcPr>
          <w:p w14:paraId="784F6ECA">
            <w:pPr>
              <w:adjustRightInd w:val="0"/>
              <w:snapToGrid w:val="0"/>
              <w:spacing w:line="240" w:lineRule="auto"/>
              <w:jc w:val="center"/>
              <w:rPr>
                <w:sz w:val="21"/>
                <w:szCs w:val="21"/>
              </w:rPr>
            </w:pPr>
            <w:r>
              <w:rPr>
                <w:rFonts w:hint="eastAsia"/>
                <w:sz w:val="21"/>
                <w:szCs w:val="21"/>
              </w:rPr>
              <w:t>无组织</w:t>
            </w:r>
          </w:p>
        </w:tc>
      </w:tr>
      <w:tr w14:paraId="1136DBA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705" w:hRule="atLeast"/>
          <w:jc w:val="center"/>
        </w:trPr>
        <w:tc>
          <w:tcPr>
            <w:tcW w:w="1165" w:type="dxa"/>
            <w:vMerge w:val="continue"/>
            <w:tcBorders>
              <w:tl2br w:val="nil"/>
              <w:tr2bl w:val="nil"/>
            </w:tcBorders>
            <w:vAlign w:val="center"/>
          </w:tcPr>
          <w:p w14:paraId="4C729813">
            <w:pPr>
              <w:adjustRightInd w:val="0"/>
              <w:snapToGrid w:val="0"/>
              <w:spacing w:line="240" w:lineRule="auto"/>
              <w:jc w:val="center"/>
              <w:rPr>
                <w:sz w:val="21"/>
                <w:szCs w:val="21"/>
              </w:rPr>
            </w:pPr>
          </w:p>
        </w:tc>
        <w:tc>
          <w:tcPr>
            <w:tcW w:w="668" w:type="dxa"/>
            <w:vMerge w:val="continue"/>
            <w:tcBorders>
              <w:tl2br w:val="nil"/>
              <w:tr2bl w:val="nil"/>
            </w:tcBorders>
            <w:vAlign w:val="center"/>
          </w:tcPr>
          <w:p w14:paraId="7161520B">
            <w:pPr>
              <w:adjustRightInd w:val="0"/>
              <w:snapToGrid w:val="0"/>
              <w:spacing w:line="240" w:lineRule="auto"/>
              <w:jc w:val="center"/>
              <w:rPr>
                <w:sz w:val="21"/>
                <w:szCs w:val="21"/>
              </w:rPr>
            </w:pPr>
          </w:p>
        </w:tc>
        <w:tc>
          <w:tcPr>
            <w:tcW w:w="1147" w:type="dxa"/>
            <w:vMerge w:val="continue"/>
            <w:tcBorders>
              <w:tl2br w:val="nil"/>
              <w:tr2bl w:val="nil"/>
            </w:tcBorders>
            <w:vAlign w:val="center"/>
          </w:tcPr>
          <w:p w14:paraId="6AD03F7B">
            <w:pPr>
              <w:adjustRightInd w:val="0"/>
              <w:snapToGrid w:val="0"/>
              <w:spacing w:line="240" w:lineRule="auto"/>
              <w:jc w:val="center"/>
              <w:rPr>
                <w:sz w:val="21"/>
                <w:szCs w:val="21"/>
              </w:rPr>
            </w:pPr>
          </w:p>
        </w:tc>
        <w:tc>
          <w:tcPr>
            <w:tcW w:w="1074" w:type="dxa"/>
            <w:vMerge w:val="continue"/>
            <w:tcBorders>
              <w:tl2br w:val="nil"/>
              <w:tr2bl w:val="nil"/>
            </w:tcBorders>
            <w:vAlign w:val="center"/>
          </w:tcPr>
          <w:p w14:paraId="317DB72D">
            <w:pPr>
              <w:adjustRightInd w:val="0"/>
              <w:snapToGrid w:val="0"/>
              <w:spacing w:line="240" w:lineRule="auto"/>
              <w:jc w:val="center"/>
              <w:rPr>
                <w:sz w:val="21"/>
                <w:szCs w:val="21"/>
              </w:rPr>
            </w:pPr>
          </w:p>
        </w:tc>
        <w:tc>
          <w:tcPr>
            <w:tcW w:w="1308" w:type="dxa"/>
            <w:vMerge w:val="continue"/>
            <w:tcBorders>
              <w:tl2br w:val="nil"/>
              <w:tr2bl w:val="nil"/>
            </w:tcBorders>
            <w:vAlign w:val="center"/>
          </w:tcPr>
          <w:p w14:paraId="779198B0">
            <w:pPr>
              <w:adjustRightInd w:val="0"/>
              <w:snapToGrid w:val="0"/>
              <w:spacing w:line="240" w:lineRule="auto"/>
              <w:jc w:val="center"/>
              <w:rPr>
                <w:sz w:val="21"/>
                <w:szCs w:val="21"/>
              </w:rPr>
            </w:pPr>
          </w:p>
        </w:tc>
        <w:tc>
          <w:tcPr>
            <w:tcW w:w="1594" w:type="dxa"/>
            <w:vMerge w:val="continue"/>
            <w:tcBorders>
              <w:tl2br w:val="nil"/>
              <w:tr2bl w:val="nil"/>
            </w:tcBorders>
            <w:vAlign w:val="center"/>
          </w:tcPr>
          <w:p w14:paraId="1A291D48">
            <w:pPr>
              <w:adjustRightInd w:val="0"/>
              <w:snapToGrid w:val="0"/>
              <w:spacing w:line="240" w:lineRule="auto"/>
              <w:jc w:val="center"/>
              <w:rPr>
                <w:sz w:val="21"/>
                <w:szCs w:val="21"/>
              </w:rPr>
            </w:pPr>
          </w:p>
        </w:tc>
        <w:tc>
          <w:tcPr>
            <w:tcW w:w="2557" w:type="dxa"/>
            <w:vMerge w:val="continue"/>
            <w:tcBorders>
              <w:tl2br w:val="nil"/>
              <w:tr2bl w:val="nil"/>
            </w:tcBorders>
            <w:vAlign w:val="center"/>
          </w:tcPr>
          <w:p w14:paraId="3F916DE5">
            <w:pPr>
              <w:adjustRightInd w:val="0"/>
              <w:snapToGrid w:val="0"/>
              <w:spacing w:line="240" w:lineRule="auto"/>
              <w:jc w:val="center"/>
              <w:rPr>
                <w:sz w:val="21"/>
                <w:szCs w:val="21"/>
              </w:rPr>
            </w:pPr>
          </w:p>
        </w:tc>
        <w:tc>
          <w:tcPr>
            <w:tcW w:w="1136" w:type="dxa"/>
            <w:vMerge w:val="continue"/>
            <w:tcBorders>
              <w:tl2br w:val="nil"/>
              <w:tr2bl w:val="nil"/>
            </w:tcBorders>
            <w:vAlign w:val="center"/>
          </w:tcPr>
          <w:p w14:paraId="7DFFD957">
            <w:pPr>
              <w:adjustRightInd w:val="0"/>
              <w:snapToGrid w:val="0"/>
              <w:spacing w:line="240" w:lineRule="auto"/>
              <w:jc w:val="center"/>
              <w:rPr>
                <w:sz w:val="21"/>
                <w:szCs w:val="21"/>
              </w:rPr>
            </w:pPr>
          </w:p>
        </w:tc>
        <w:tc>
          <w:tcPr>
            <w:tcW w:w="852" w:type="dxa"/>
            <w:tcBorders>
              <w:tl2br w:val="nil"/>
              <w:tr2bl w:val="nil"/>
            </w:tcBorders>
            <w:vAlign w:val="center"/>
          </w:tcPr>
          <w:p w14:paraId="7F7146F9">
            <w:pPr>
              <w:adjustRightInd w:val="0"/>
              <w:snapToGrid w:val="0"/>
              <w:spacing w:line="240" w:lineRule="auto"/>
              <w:jc w:val="center"/>
              <w:rPr>
                <w:sz w:val="21"/>
                <w:szCs w:val="21"/>
              </w:rPr>
            </w:pPr>
            <w:r>
              <w:rPr>
                <w:sz w:val="21"/>
                <w:szCs w:val="21"/>
              </w:rPr>
              <w:t>VOCs</w:t>
            </w:r>
          </w:p>
          <w:p w14:paraId="19AE3C42">
            <w:pPr>
              <w:adjustRightInd w:val="0"/>
              <w:snapToGrid w:val="0"/>
              <w:spacing w:line="240" w:lineRule="auto"/>
              <w:jc w:val="center"/>
              <w:rPr>
                <w:sz w:val="21"/>
                <w:szCs w:val="21"/>
              </w:rPr>
            </w:pPr>
            <w:r>
              <w:rPr>
                <w:sz w:val="21"/>
                <w:szCs w:val="21"/>
              </w:rPr>
              <w:t>排放量</w:t>
            </w:r>
          </w:p>
          <w:p w14:paraId="1B769764">
            <w:pPr>
              <w:adjustRightInd w:val="0"/>
              <w:snapToGrid w:val="0"/>
              <w:spacing w:line="240" w:lineRule="auto"/>
              <w:jc w:val="center"/>
              <w:rPr>
                <w:sz w:val="21"/>
                <w:szCs w:val="21"/>
              </w:rPr>
            </w:pPr>
            <w:r>
              <w:rPr>
                <w:sz w:val="21"/>
                <w:szCs w:val="21"/>
              </w:rPr>
              <w:t>t/a</w:t>
            </w:r>
          </w:p>
        </w:tc>
        <w:tc>
          <w:tcPr>
            <w:tcW w:w="995" w:type="dxa"/>
            <w:tcBorders>
              <w:tl2br w:val="nil"/>
              <w:tr2bl w:val="nil"/>
            </w:tcBorders>
            <w:vAlign w:val="center"/>
          </w:tcPr>
          <w:p w14:paraId="1F48AD68">
            <w:pPr>
              <w:adjustRightInd w:val="0"/>
              <w:snapToGrid w:val="0"/>
              <w:spacing w:line="240" w:lineRule="auto"/>
              <w:jc w:val="center"/>
              <w:rPr>
                <w:sz w:val="21"/>
                <w:szCs w:val="21"/>
              </w:rPr>
            </w:pPr>
            <w:r>
              <w:rPr>
                <w:sz w:val="21"/>
                <w:szCs w:val="21"/>
              </w:rPr>
              <w:t>排放浓度mg/m</w:t>
            </w:r>
            <w:r>
              <w:rPr>
                <w:sz w:val="21"/>
                <w:szCs w:val="21"/>
                <w:vertAlign w:val="superscript"/>
              </w:rPr>
              <w:t>3</w:t>
            </w:r>
          </w:p>
        </w:tc>
        <w:tc>
          <w:tcPr>
            <w:tcW w:w="994" w:type="dxa"/>
            <w:tcBorders>
              <w:tl2br w:val="nil"/>
              <w:tr2bl w:val="nil"/>
            </w:tcBorders>
            <w:vAlign w:val="center"/>
          </w:tcPr>
          <w:p w14:paraId="132BDE11">
            <w:pPr>
              <w:adjustRightInd w:val="0"/>
              <w:snapToGrid w:val="0"/>
              <w:spacing w:line="240" w:lineRule="auto"/>
              <w:jc w:val="center"/>
              <w:rPr>
                <w:sz w:val="21"/>
                <w:szCs w:val="21"/>
              </w:rPr>
            </w:pPr>
            <w:r>
              <w:rPr>
                <w:sz w:val="21"/>
                <w:szCs w:val="21"/>
              </w:rPr>
              <w:t>排放速率kg/h</w:t>
            </w:r>
          </w:p>
        </w:tc>
        <w:tc>
          <w:tcPr>
            <w:tcW w:w="994" w:type="dxa"/>
            <w:tcBorders>
              <w:tl2br w:val="nil"/>
              <w:tr2bl w:val="nil"/>
            </w:tcBorders>
            <w:vAlign w:val="center"/>
          </w:tcPr>
          <w:p w14:paraId="72128340">
            <w:pPr>
              <w:adjustRightInd w:val="0"/>
              <w:snapToGrid w:val="0"/>
              <w:spacing w:line="240" w:lineRule="auto"/>
              <w:jc w:val="center"/>
              <w:rPr>
                <w:sz w:val="21"/>
                <w:szCs w:val="21"/>
              </w:rPr>
            </w:pPr>
            <w:r>
              <w:rPr>
                <w:sz w:val="21"/>
                <w:szCs w:val="21"/>
              </w:rPr>
              <w:t>VOCs</w:t>
            </w:r>
          </w:p>
          <w:p w14:paraId="720F21E4">
            <w:pPr>
              <w:adjustRightInd w:val="0"/>
              <w:snapToGrid w:val="0"/>
              <w:spacing w:line="240" w:lineRule="auto"/>
              <w:jc w:val="center"/>
              <w:rPr>
                <w:sz w:val="21"/>
                <w:szCs w:val="21"/>
              </w:rPr>
            </w:pPr>
            <w:r>
              <w:rPr>
                <w:sz w:val="21"/>
                <w:szCs w:val="21"/>
              </w:rPr>
              <w:t>排放量</w:t>
            </w:r>
          </w:p>
          <w:p w14:paraId="4BAE2291">
            <w:pPr>
              <w:adjustRightInd w:val="0"/>
              <w:snapToGrid w:val="0"/>
              <w:spacing w:line="240" w:lineRule="auto"/>
              <w:jc w:val="center"/>
              <w:rPr>
                <w:sz w:val="21"/>
                <w:szCs w:val="21"/>
              </w:rPr>
            </w:pPr>
            <w:r>
              <w:rPr>
                <w:sz w:val="21"/>
                <w:szCs w:val="21"/>
              </w:rPr>
              <w:t>t/a</w:t>
            </w:r>
          </w:p>
        </w:tc>
        <w:tc>
          <w:tcPr>
            <w:tcW w:w="916" w:type="dxa"/>
            <w:tcBorders>
              <w:tl2br w:val="nil"/>
              <w:tr2bl w:val="nil"/>
            </w:tcBorders>
            <w:vAlign w:val="center"/>
          </w:tcPr>
          <w:p w14:paraId="2C91F94F">
            <w:pPr>
              <w:adjustRightInd w:val="0"/>
              <w:snapToGrid w:val="0"/>
              <w:spacing w:line="240" w:lineRule="auto"/>
              <w:jc w:val="center"/>
              <w:rPr>
                <w:sz w:val="21"/>
                <w:szCs w:val="21"/>
              </w:rPr>
            </w:pPr>
            <w:r>
              <w:rPr>
                <w:rFonts w:hint="eastAsia"/>
                <w:sz w:val="21"/>
                <w:szCs w:val="21"/>
              </w:rPr>
              <w:t>排放</w:t>
            </w:r>
            <w:r>
              <w:rPr>
                <w:sz w:val="21"/>
                <w:szCs w:val="21"/>
              </w:rPr>
              <w:t>速率</w:t>
            </w:r>
          </w:p>
          <w:p w14:paraId="00A5ABFE">
            <w:pPr>
              <w:adjustRightInd w:val="0"/>
              <w:snapToGrid w:val="0"/>
              <w:spacing w:line="240" w:lineRule="auto"/>
              <w:jc w:val="center"/>
              <w:rPr>
                <w:sz w:val="21"/>
                <w:szCs w:val="21"/>
              </w:rPr>
            </w:pPr>
            <w:r>
              <w:rPr>
                <w:sz w:val="21"/>
                <w:szCs w:val="21"/>
              </w:rPr>
              <w:t>kg/h</w:t>
            </w:r>
          </w:p>
        </w:tc>
      </w:tr>
      <w:tr w14:paraId="1DD3AF9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90" w:hRule="atLeast"/>
          <w:jc w:val="center"/>
        </w:trPr>
        <w:tc>
          <w:tcPr>
            <w:tcW w:w="1165" w:type="dxa"/>
            <w:vMerge w:val="restart"/>
            <w:tcBorders>
              <w:tl2br w:val="nil"/>
              <w:tr2bl w:val="nil"/>
            </w:tcBorders>
            <w:vAlign w:val="center"/>
          </w:tcPr>
          <w:p w14:paraId="3AE09F23">
            <w:pPr>
              <w:adjustRightInd w:val="0"/>
              <w:snapToGrid w:val="0"/>
              <w:spacing w:line="240" w:lineRule="auto"/>
              <w:jc w:val="center"/>
              <w:rPr>
                <w:color w:val="FF0000"/>
                <w:sz w:val="21"/>
                <w:szCs w:val="21"/>
              </w:rPr>
            </w:pPr>
            <w:r>
              <w:rPr>
                <w:rFonts w:hint="eastAsia"/>
                <w:sz w:val="21"/>
                <w:szCs w:val="21"/>
              </w:rPr>
              <w:t>印刷复合</w:t>
            </w:r>
          </w:p>
        </w:tc>
        <w:tc>
          <w:tcPr>
            <w:tcW w:w="668" w:type="dxa"/>
            <w:vMerge w:val="restart"/>
            <w:tcBorders>
              <w:tl2br w:val="nil"/>
              <w:tr2bl w:val="nil"/>
            </w:tcBorders>
            <w:vAlign w:val="center"/>
          </w:tcPr>
          <w:p w14:paraId="57B83A76">
            <w:pPr>
              <w:adjustRightInd w:val="0"/>
              <w:snapToGrid w:val="0"/>
              <w:spacing w:line="240" w:lineRule="auto"/>
              <w:jc w:val="center"/>
              <w:rPr>
                <w:color w:val="FF0000"/>
                <w:sz w:val="21"/>
                <w:szCs w:val="21"/>
              </w:rPr>
            </w:pPr>
            <w:r>
              <w:rPr>
                <w:rFonts w:hint="eastAsia"/>
                <w:sz w:val="21"/>
                <w:szCs w:val="21"/>
              </w:rPr>
              <w:t>8160</w:t>
            </w:r>
          </w:p>
        </w:tc>
        <w:tc>
          <w:tcPr>
            <w:tcW w:w="1147" w:type="dxa"/>
            <w:vMerge w:val="restart"/>
            <w:tcBorders>
              <w:tl2br w:val="nil"/>
              <w:tr2bl w:val="nil"/>
            </w:tcBorders>
            <w:vAlign w:val="center"/>
          </w:tcPr>
          <w:p w14:paraId="4968FC3F">
            <w:pPr>
              <w:adjustRightInd w:val="0"/>
              <w:snapToGrid w:val="0"/>
              <w:spacing w:line="240" w:lineRule="auto"/>
              <w:jc w:val="center"/>
              <w:rPr>
                <w:color w:val="FF0000"/>
                <w:sz w:val="21"/>
                <w:szCs w:val="21"/>
              </w:rPr>
            </w:pPr>
            <w:r>
              <w:rPr>
                <w:rFonts w:hint="eastAsia"/>
                <w:color w:val="000000" w:themeColor="text1"/>
                <w:sz w:val="21"/>
                <w:szCs w:val="21"/>
                <w14:textFill>
                  <w14:solidFill>
                    <w14:schemeClr w14:val="tx1"/>
                  </w14:solidFill>
                </w14:textFill>
              </w:rPr>
              <w:t>1909.43</w:t>
            </w:r>
          </w:p>
        </w:tc>
        <w:tc>
          <w:tcPr>
            <w:tcW w:w="1074" w:type="dxa"/>
            <w:tcBorders>
              <w:tl2br w:val="nil"/>
              <w:tr2bl w:val="nil"/>
            </w:tcBorders>
            <w:vAlign w:val="center"/>
          </w:tcPr>
          <w:p w14:paraId="285B3CEC">
            <w:pPr>
              <w:adjustRightInd w:val="0"/>
              <w:snapToGrid w:val="0"/>
              <w:spacing w:line="240" w:lineRule="auto"/>
              <w:jc w:val="center"/>
              <w:rPr>
                <w:sz w:val="21"/>
                <w:szCs w:val="21"/>
              </w:rPr>
            </w:pPr>
            <w:r>
              <w:rPr>
                <w:rFonts w:hint="eastAsia"/>
                <w:sz w:val="21"/>
                <w:szCs w:val="21"/>
              </w:rPr>
              <w:t>一次收集</w:t>
            </w:r>
            <w:r>
              <w:rPr>
                <w:rFonts w:hint="eastAsia"/>
                <w:sz w:val="21"/>
                <w:szCs w:val="21"/>
                <w:lang w:val="en-US" w:eastAsia="zh-CN"/>
              </w:rPr>
              <w:t>90</w:t>
            </w:r>
            <w:r>
              <w:rPr>
                <w:rFonts w:hint="eastAsia"/>
                <w:sz w:val="21"/>
                <w:szCs w:val="21"/>
              </w:rPr>
              <w:t>%</w:t>
            </w:r>
          </w:p>
        </w:tc>
        <w:tc>
          <w:tcPr>
            <w:tcW w:w="1308" w:type="dxa"/>
            <w:tcBorders>
              <w:tl2br w:val="nil"/>
              <w:tr2bl w:val="nil"/>
            </w:tcBorders>
            <w:vAlign w:val="center"/>
          </w:tcPr>
          <w:p w14:paraId="13115968">
            <w:pPr>
              <w:adjustRightInd w:val="0"/>
              <w:snapToGrid w:val="0"/>
              <w:spacing w:line="240" w:lineRule="auto"/>
              <w:jc w:val="center"/>
              <w:rPr>
                <w:sz w:val="21"/>
                <w:szCs w:val="21"/>
              </w:rPr>
            </w:pPr>
            <w:r>
              <w:rPr>
                <w:rFonts w:hint="eastAsia"/>
                <w:color w:val="000000" w:themeColor="text1"/>
                <w:sz w:val="21"/>
                <w:szCs w:val="21"/>
                <w14:textFill>
                  <w14:solidFill>
                    <w14:schemeClr w14:val="tx1"/>
                  </w14:solidFill>
                </w14:textFill>
              </w:rPr>
              <w:t>1718.487</w:t>
            </w:r>
          </w:p>
        </w:tc>
        <w:tc>
          <w:tcPr>
            <w:tcW w:w="1594" w:type="dxa"/>
            <w:tcBorders>
              <w:tl2br w:val="nil"/>
              <w:tr2bl w:val="nil"/>
            </w:tcBorders>
            <w:vAlign w:val="center"/>
          </w:tcPr>
          <w:p w14:paraId="65B0B072">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210.6</w:t>
            </w:r>
          </w:p>
        </w:tc>
        <w:tc>
          <w:tcPr>
            <w:tcW w:w="2557" w:type="dxa"/>
            <w:vMerge w:val="restart"/>
            <w:tcBorders>
              <w:tl2br w:val="nil"/>
              <w:tr2bl w:val="nil"/>
            </w:tcBorders>
            <w:vAlign w:val="center"/>
          </w:tcPr>
          <w:p w14:paraId="20561C59">
            <w:pPr>
              <w:adjustRightInd w:val="0"/>
              <w:snapToGrid w:val="0"/>
              <w:spacing w:line="240" w:lineRule="auto"/>
              <w:jc w:val="center"/>
              <w:rPr>
                <w:color w:val="000000" w:themeColor="text1"/>
                <w:sz w:val="21"/>
                <w:szCs w:val="21"/>
                <w14:textFill>
                  <w14:solidFill>
                    <w14:schemeClr w14:val="tx1"/>
                  </w14:solidFill>
                </w14:textFill>
              </w:rPr>
            </w:pPr>
            <w:r>
              <w:rPr>
                <w:rFonts w:hint="eastAsia"/>
                <w:sz w:val="21"/>
                <w:szCs w:val="21"/>
              </w:rPr>
              <w:t>活性炭吸附+沸石转轮浓缩</w:t>
            </w:r>
            <w:r>
              <w:rPr>
                <w:sz w:val="21"/>
                <w:szCs w:val="21"/>
              </w:rPr>
              <w:t>处理效率</w:t>
            </w:r>
            <w:r>
              <w:rPr>
                <w:rFonts w:hint="eastAsia"/>
                <w:sz w:val="21"/>
                <w:szCs w:val="21"/>
                <w:lang w:val="en-US" w:eastAsia="zh-CN"/>
              </w:rPr>
              <w:t>+20.5m排气筒</w:t>
            </w:r>
            <w:r>
              <w:rPr>
                <w:rFonts w:hint="eastAsia"/>
                <w:sz w:val="21"/>
                <w:szCs w:val="21"/>
              </w:rPr>
              <w:t>95%</w:t>
            </w:r>
          </w:p>
        </w:tc>
        <w:tc>
          <w:tcPr>
            <w:tcW w:w="1136" w:type="dxa"/>
            <w:vMerge w:val="restart"/>
            <w:tcBorders>
              <w:tl2br w:val="nil"/>
              <w:tr2bl w:val="nil"/>
            </w:tcBorders>
            <w:vAlign w:val="center"/>
          </w:tcPr>
          <w:p w14:paraId="75476086">
            <w:pPr>
              <w:adjustRightInd w:val="0"/>
              <w:snapToGrid w:val="0"/>
              <w:spacing w:line="240" w:lineRule="auto"/>
              <w:jc w:val="center"/>
              <w:rPr>
                <w:rFonts w:hint="default" w:eastAsia="宋体"/>
                <w:color w:val="FF0000"/>
                <w:sz w:val="21"/>
                <w:szCs w:val="21"/>
                <w:lang w:val="en-US" w:eastAsia="zh-CN"/>
              </w:rPr>
            </w:pPr>
            <w:r>
              <w:rPr>
                <w:rFonts w:hint="eastAsia"/>
                <w:sz w:val="21"/>
                <w:szCs w:val="21"/>
                <w:lang w:val="en-US" w:eastAsia="zh-CN"/>
              </w:rPr>
              <w:t>380000</w:t>
            </w:r>
          </w:p>
        </w:tc>
        <w:tc>
          <w:tcPr>
            <w:tcW w:w="852" w:type="dxa"/>
            <w:tcBorders>
              <w:tl2br w:val="nil"/>
              <w:tr2bl w:val="nil"/>
            </w:tcBorders>
            <w:vAlign w:val="center"/>
          </w:tcPr>
          <w:p w14:paraId="3B23FE38">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default" w:eastAsia="宋体"/>
                <w:color w:val="000000" w:themeColor="text1"/>
                <w:sz w:val="21"/>
                <w:szCs w:val="21"/>
                <w:lang w:val="en-US" w:eastAsia="zh-CN"/>
                <w14:textFill>
                  <w14:solidFill>
                    <w14:schemeClr w14:val="tx1"/>
                  </w14:solidFill>
                </w14:textFill>
              </w:rPr>
              <w:t>85.924</w:t>
            </w:r>
          </w:p>
        </w:tc>
        <w:tc>
          <w:tcPr>
            <w:tcW w:w="995" w:type="dxa"/>
            <w:vMerge w:val="restart"/>
            <w:tcBorders>
              <w:tl2br w:val="nil"/>
              <w:tr2bl w:val="nil"/>
            </w:tcBorders>
            <w:vAlign w:val="center"/>
          </w:tcPr>
          <w:p w14:paraId="547F6A6D">
            <w:pPr>
              <w:adjustRightInd w:val="0"/>
              <w:snapToGrid w:val="0"/>
              <w:spacing w:line="240" w:lineRule="auto"/>
              <w:jc w:val="center"/>
              <w:rPr>
                <w:rFonts w:hint="default" w:eastAsia="宋体"/>
                <w:b/>
                <w:bCs/>
                <w:sz w:val="21"/>
                <w:szCs w:val="21"/>
                <w:lang w:val="en-US" w:eastAsia="zh-CN"/>
              </w:rPr>
            </w:pPr>
            <w:r>
              <w:rPr>
                <w:rFonts w:hint="eastAsia"/>
                <w:b/>
                <w:bCs/>
                <w:sz w:val="21"/>
                <w:szCs w:val="21"/>
                <w:lang w:val="en-US" w:eastAsia="zh-CN"/>
              </w:rPr>
              <w:t>32.8</w:t>
            </w:r>
          </w:p>
        </w:tc>
        <w:tc>
          <w:tcPr>
            <w:tcW w:w="994" w:type="dxa"/>
            <w:vMerge w:val="restart"/>
            <w:tcBorders>
              <w:tl2br w:val="nil"/>
              <w:tr2bl w:val="nil"/>
            </w:tcBorders>
            <w:vAlign w:val="center"/>
          </w:tcPr>
          <w:p w14:paraId="047E5A54">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12.5</w:t>
            </w:r>
          </w:p>
        </w:tc>
        <w:tc>
          <w:tcPr>
            <w:tcW w:w="994" w:type="dxa"/>
            <w:tcBorders>
              <w:tl2br w:val="nil"/>
              <w:tr2bl w:val="nil"/>
            </w:tcBorders>
            <w:vAlign w:val="center"/>
          </w:tcPr>
          <w:p w14:paraId="085D7A67">
            <w:pPr>
              <w:adjustRightInd w:val="0"/>
              <w:snapToGrid w:val="0"/>
              <w:spacing w:line="240" w:lineRule="auto"/>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916" w:type="dxa"/>
            <w:tcBorders>
              <w:tl2br w:val="nil"/>
              <w:tr2bl w:val="nil"/>
            </w:tcBorders>
            <w:vAlign w:val="center"/>
          </w:tcPr>
          <w:p w14:paraId="1C77ADB2">
            <w:pPr>
              <w:adjustRightInd w:val="0"/>
              <w:snapToGrid w:val="0"/>
              <w:spacing w:line="240" w:lineRule="auto"/>
              <w:jc w:val="center"/>
              <w:rPr>
                <w:sz w:val="21"/>
                <w:szCs w:val="21"/>
              </w:rPr>
            </w:pPr>
            <w:r>
              <w:rPr>
                <w:rFonts w:hint="eastAsia"/>
                <w:color w:val="000000" w:themeColor="text1"/>
                <w:sz w:val="21"/>
                <w:szCs w:val="21"/>
                <w14:textFill>
                  <w14:solidFill>
                    <w14:schemeClr w14:val="tx1"/>
                  </w14:solidFill>
                </w14:textFill>
              </w:rPr>
              <w:t>/</w:t>
            </w:r>
          </w:p>
        </w:tc>
      </w:tr>
      <w:tr w14:paraId="6E9FFDD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165" w:type="dxa"/>
            <w:vMerge w:val="continue"/>
            <w:tcBorders>
              <w:tl2br w:val="nil"/>
              <w:tr2bl w:val="nil"/>
            </w:tcBorders>
            <w:vAlign w:val="center"/>
          </w:tcPr>
          <w:p w14:paraId="00029F8D">
            <w:pPr>
              <w:adjustRightInd w:val="0"/>
              <w:snapToGrid w:val="0"/>
              <w:spacing w:line="240" w:lineRule="auto"/>
              <w:jc w:val="center"/>
              <w:rPr>
                <w:sz w:val="21"/>
                <w:szCs w:val="21"/>
              </w:rPr>
            </w:pPr>
          </w:p>
        </w:tc>
        <w:tc>
          <w:tcPr>
            <w:tcW w:w="668" w:type="dxa"/>
            <w:vMerge w:val="continue"/>
            <w:tcBorders>
              <w:tl2br w:val="nil"/>
              <w:tr2bl w:val="nil"/>
            </w:tcBorders>
            <w:vAlign w:val="center"/>
          </w:tcPr>
          <w:p w14:paraId="743BB34D">
            <w:pPr>
              <w:adjustRightInd w:val="0"/>
              <w:snapToGrid w:val="0"/>
              <w:spacing w:line="240" w:lineRule="auto"/>
              <w:jc w:val="center"/>
              <w:rPr>
                <w:color w:val="FF0000"/>
                <w:sz w:val="21"/>
                <w:szCs w:val="21"/>
              </w:rPr>
            </w:pPr>
          </w:p>
        </w:tc>
        <w:tc>
          <w:tcPr>
            <w:tcW w:w="1147" w:type="dxa"/>
            <w:vMerge w:val="continue"/>
            <w:tcBorders>
              <w:tl2br w:val="nil"/>
              <w:tr2bl w:val="nil"/>
            </w:tcBorders>
            <w:vAlign w:val="center"/>
          </w:tcPr>
          <w:p w14:paraId="629A0A13">
            <w:pPr>
              <w:adjustRightInd w:val="0"/>
              <w:snapToGrid w:val="0"/>
              <w:spacing w:line="240" w:lineRule="auto"/>
              <w:jc w:val="center"/>
              <w:rPr>
                <w:color w:val="FF0000"/>
                <w:sz w:val="21"/>
                <w:szCs w:val="21"/>
              </w:rPr>
            </w:pPr>
          </w:p>
        </w:tc>
        <w:tc>
          <w:tcPr>
            <w:tcW w:w="1074" w:type="dxa"/>
            <w:tcBorders>
              <w:tl2br w:val="nil"/>
              <w:tr2bl w:val="nil"/>
            </w:tcBorders>
            <w:vAlign w:val="center"/>
          </w:tcPr>
          <w:p w14:paraId="30A7E38B">
            <w:pPr>
              <w:adjustRightInd w:val="0"/>
              <w:snapToGrid w:val="0"/>
              <w:spacing w:line="240" w:lineRule="auto"/>
              <w:jc w:val="center"/>
              <w:rPr>
                <w:sz w:val="21"/>
                <w:szCs w:val="21"/>
              </w:rPr>
            </w:pPr>
            <w:r>
              <w:rPr>
                <w:rFonts w:hint="eastAsia"/>
                <w:sz w:val="21"/>
                <w:szCs w:val="21"/>
              </w:rPr>
              <w:t>二次收集</w:t>
            </w:r>
            <w:r>
              <w:rPr>
                <w:rFonts w:hint="eastAsia"/>
                <w:sz w:val="21"/>
                <w:szCs w:val="21"/>
                <w:lang w:val="en-US" w:eastAsia="zh-CN"/>
              </w:rPr>
              <w:t>90</w:t>
            </w:r>
            <w:r>
              <w:rPr>
                <w:rFonts w:hint="eastAsia"/>
                <w:sz w:val="21"/>
                <w:szCs w:val="21"/>
              </w:rPr>
              <w:t>%</w:t>
            </w:r>
          </w:p>
        </w:tc>
        <w:tc>
          <w:tcPr>
            <w:tcW w:w="1308" w:type="dxa"/>
            <w:tcBorders>
              <w:tl2br w:val="nil"/>
              <w:tr2bl w:val="nil"/>
            </w:tcBorders>
            <w:vAlign w:val="center"/>
          </w:tcPr>
          <w:p w14:paraId="39DC2138">
            <w:pPr>
              <w:adjustRightInd w:val="0"/>
              <w:snapToGrid w:val="0"/>
              <w:spacing w:line="240" w:lineRule="auto"/>
              <w:jc w:val="center"/>
              <w:rPr>
                <w:rFonts w:hint="eastAsia" w:eastAsia="宋体"/>
                <w:sz w:val="21"/>
                <w:szCs w:val="21"/>
                <w:lang w:eastAsia="zh-CN"/>
              </w:rPr>
            </w:pPr>
            <w:r>
              <w:rPr>
                <w:rFonts w:hint="eastAsia"/>
                <w:color w:val="000000" w:themeColor="text1"/>
                <w:sz w:val="21"/>
                <w:szCs w:val="21"/>
                <w:lang w:val="en-US" w:eastAsia="zh-CN"/>
                <w14:textFill>
                  <w14:solidFill>
                    <w14:schemeClr w14:val="tx1"/>
                  </w14:solidFill>
                </w14:textFill>
              </w:rPr>
              <w:t>171.849</w:t>
            </w:r>
          </w:p>
        </w:tc>
        <w:tc>
          <w:tcPr>
            <w:tcW w:w="1594" w:type="dxa"/>
            <w:tcBorders>
              <w:tl2br w:val="nil"/>
              <w:tr2bl w:val="nil"/>
            </w:tcBorders>
            <w:vAlign w:val="center"/>
          </w:tcPr>
          <w:p w14:paraId="31F9E0C7">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21.1</w:t>
            </w:r>
          </w:p>
        </w:tc>
        <w:tc>
          <w:tcPr>
            <w:tcW w:w="2557" w:type="dxa"/>
            <w:vMerge w:val="continue"/>
            <w:tcBorders>
              <w:tl2br w:val="nil"/>
              <w:tr2bl w:val="nil"/>
            </w:tcBorders>
            <w:vAlign w:val="center"/>
          </w:tcPr>
          <w:p w14:paraId="72188458">
            <w:pPr>
              <w:adjustRightInd w:val="0"/>
              <w:snapToGrid w:val="0"/>
              <w:spacing w:line="240" w:lineRule="auto"/>
              <w:jc w:val="center"/>
              <w:rPr>
                <w:color w:val="000000" w:themeColor="text1"/>
                <w:sz w:val="21"/>
                <w:szCs w:val="21"/>
                <w14:textFill>
                  <w14:solidFill>
                    <w14:schemeClr w14:val="tx1"/>
                  </w14:solidFill>
                </w14:textFill>
              </w:rPr>
            </w:pPr>
          </w:p>
        </w:tc>
        <w:tc>
          <w:tcPr>
            <w:tcW w:w="1136" w:type="dxa"/>
            <w:vMerge w:val="continue"/>
            <w:tcBorders>
              <w:tl2br w:val="nil"/>
              <w:tr2bl w:val="nil"/>
            </w:tcBorders>
            <w:vAlign w:val="center"/>
          </w:tcPr>
          <w:p w14:paraId="56D8340B">
            <w:pPr>
              <w:adjustRightInd w:val="0"/>
              <w:snapToGrid w:val="0"/>
              <w:spacing w:line="240" w:lineRule="auto"/>
              <w:jc w:val="center"/>
              <w:rPr>
                <w:color w:val="FF0000"/>
                <w:sz w:val="21"/>
                <w:szCs w:val="21"/>
              </w:rPr>
            </w:pPr>
          </w:p>
        </w:tc>
        <w:tc>
          <w:tcPr>
            <w:tcW w:w="852" w:type="dxa"/>
            <w:tcBorders>
              <w:tl2br w:val="nil"/>
              <w:tr2bl w:val="nil"/>
            </w:tcBorders>
            <w:vAlign w:val="center"/>
          </w:tcPr>
          <w:p w14:paraId="1A2DC0A8">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default" w:eastAsia="宋体"/>
                <w:color w:val="000000" w:themeColor="text1"/>
                <w:sz w:val="21"/>
                <w:szCs w:val="21"/>
                <w:lang w:val="en-US" w:eastAsia="zh-CN"/>
                <w14:textFill>
                  <w14:solidFill>
                    <w14:schemeClr w14:val="tx1"/>
                  </w14:solidFill>
                </w14:textFill>
              </w:rPr>
              <w:t>8.59</w:t>
            </w:r>
            <w:r>
              <w:rPr>
                <w:rFonts w:hint="eastAsia"/>
                <w:color w:val="000000" w:themeColor="text1"/>
                <w:sz w:val="21"/>
                <w:szCs w:val="21"/>
                <w:lang w:val="en-US" w:eastAsia="zh-CN"/>
                <w14:textFill>
                  <w14:solidFill>
                    <w14:schemeClr w14:val="tx1"/>
                  </w14:solidFill>
                </w14:textFill>
              </w:rPr>
              <w:t>3</w:t>
            </w:r>
          </w:p>
        </w:tc>
        <w:tc>
          <w:tcPr>
            <w:tcW w:w="995" w:type="dxa"/>
            <w:vMerge w:val="continue"/>
            <w:tcBorders>
              <w:tl2br w:val="nil"/>
              <w:tr2bl w:val="nil"/>
            </w:tcBorders>
            <w:vAlign w:val="center"/>
          </w:tcPr>
          <w:p w14:paraId="5F541E0F">
            <w:pPr>
              <w:adjustRightInd w:val="0"/>
              <w:snapToGrid w:val="0"/>
              <w:spacing w:line="240" w:lineRule="auto"/>
              <w:jc w:val="center"/>
              <w:rPr>
                <w:sz w:val="21"/>
                <w:szCs w:val="21"/>
              </w:rPr>
            </w:pPr>
          </w:p>
        </w:tc>
        <w:tc>
          <w:tcPr>
            <w:tcW w:w="994" w:type="dxa"/>
            <w:vMerge w:val="continue"/>
            <w:tcBorders>
              <w:tl2br w:val="nil"/>
              <w:tr2bl w:val="nil"/>
            </w:tcBorders>
            <w:vAlign w:val="center"/>
          </w:tcPr>
          <w:p w14:paraId="1E61D913">
            <w:pPr>
              <w:adjustRightInd w:val="0"/>
              <w:snapToGrid w:val="0"/>
              <w:spacing w:line="240" w:lineRule="auto"/>
              <w:jc w:val="center"/>
              <w:rPr>
                <w:rFonts w:hint="default" w:eastAsia="宋体"/>
                <w:sz w:val="21"/>
                <w:szCs w:val="21"/>
                <w:lang w:val="en-US" w:eastAsia="zh-CN"/>
              </w:rPr>
            </w:pPr>
          </w:p>
        </w:tc>
        <w:tc>
          <w:tcPr>
            <w:tcW w:w="994" w:type="dxa"/>
            <w:tcBorders>
              <w:tl2br w:val="nil"/>
              <w:tr2bl w:val="nil"/>
            </w:tcBorders>
            <w:vAlign w:val="center"/>
          </w:tcPr>
          <w:p w14:paraId="673A257C">
            <w:pPr>
              <w:adjustRightInd w:val="0"/>
              <w:snapToGrid w:val="0"/>
              <w:spacing w:line="240" w:lineRule="auto"/>
              <w:jc w:val="center"/>
              <w:rPr>
                <w:color w:val="000000" w:themeColor="text1"/>
                <w:sz w:val="21"/>
                <w:szCs w:val="21"/>
                <w14:textFill>
                  <w14:solidFill>
                    <w14:schemeClr w14:val="tx1"/>
                  </w14:solidFill>
                </w14:textFill>
              </w:rPr>
            </w:pPr>
            <w:r>
              <w:rPr>
                <w:rFonts w:hint="eastAsia"/>
                <w:sz w:val="21"/>
                <w:szCs w:val="21"/>
                <w:lang w:val="en-US" w:eastAsia="zh-CN"/>
              </w:rPr>
              <w:t>19.094</w:t>
            </w:r>
          </w:p>
        </w:tc>
        <w:tc>
          <w:tcPr>
            <w:tcW w:w="916" w:type="dxa"/>
            <w:tcBorders>
              <w:tl2br w:val="nil"/>
              <w:tr2bl w:val="nil"/>
            </w:tcBorders>
            <w:vAlign w:val="center"/>
          </w:tcPr>
          <w:p w14:paraId="27C2BF49">
            <w:pPr>
              <w:adjustRightInd w:val="0"/>
              <w:snapToGrid w:val="0"/>
              <w:spacing w:line="240" w:lineRule="auto"/>
              <w:jc w:val="center"/>
              <w:rPr>
                <w:sz w:val="21"/>
                <w:szCs w:val="21"/>
              </w:rPr>
            </w:pPr>
            <w:r>
              <w:rPr>
                <w:rFonts w:hint="eastAsia"/>
                <w:color w:val="000000" w:themeColor="text1"/>
                <w:sz w:val="21"/>
                <w:szCs w:val="21"/>
                <w14:textFill>
                  <w14:solidFill>
                    <w14:schemeClr w14:val="tx1"/>
                  </w14:solidFill>
                </w14:textFill>
              </w:rPr>
              <w:t>/</w:t>
            </w:r>
          </w:p>
        </w:tc>
      </w:tr>
      <w:tr w14:paraId="2C3D400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14:paraId="287EB310">
            <w:pPr>
              <w:adjustRightInd w:val="0"/>
              <w:snapToGrid w:val="0"/>
              <w:spacing w:line="240" w:lineRule="auto"/>
              <w:jc w:val="center"/>
              <w:rPr>
                <w:sz w:val="21"/>
                <w:szCs w:val="21"/>
              </w:rPr>
            </w:pPr>
            <w:r>
              <w:rPr>
                <w:rFonts w:hint="eastAsia"/>
                <w:sz w:val="21"/>
                <w:szCs w:val="21"/>
              </w:rPr>
              <w:t>调墨调胶</w:t>
            </w:r>
          </w:p>
        </w:tc>
        <w:tc>
          <w:tcPr>
            <w:tcW w:w="668" w:type="dxa"/>
            <w:vMerge w:val="continue"/>
            <w:tcBorders>
              <w:tl2br w:val="nil"/>
              <w:tr2bl w:val="nil"/>
            </w:tcBorders>
            <w:vAlign w:val="center"/>
          </w:tcPr>
          <w:p w14:paraId="3F700025">
            <w:pPr>
              <w:adjustRightInd w:val="0"/>
              <w:snapToGrid w:val="0"/>
              <w:spacing w:line="240" w:lineRule="auto"/>
              <w:jc w:val="center"/>
              <w:rPr>
                <w:color w:val="FF0000"/>
                <w:sz w:val="21"/>
                <w:szCs w:val="21"/>
              </w:rPr>
            </w:pPr>
          </w:p>
        </w:tc>
        <w:tc>
          <w:tcPr>
            <w:tcW w:w="1147" w:type="dxa"/>
            <w:tcBorders>
              <w:tl2br w:val="nil"/>
              <w:tr2bl w:val="nil"/>
            </w:tcBorders>
            <w:vAlign w:val="center"/>
          </w:tcPr>
          <w:p w14:paraId="126FB8CC">
            <w:pPr>
              <w:adjustRightInd w:val="0"/>
              <w:snapToGrid w:val="0"/>
              <w:spacing w:line="240" w:lineRule="auto"/>
              <w:jc w:val="center"/>
              <w:rPr>
                <w:color w:val="FF0000"/>
                <w:sz w:val="21"/>
                <w:szCs w:val="21"/>
              </w:rPr>
            </w:pPr>
            <w:r>
              <w:rPr>
                <w:rFonts w:hint="eastAsia"/>
                <w:sz w:val="21"/>
                <w:szCs w:val="21"/>
              </w:rPr>
              <w:t>23.625</w:t>
            </w:r>
          </w:p>
        </w:tc>
        <w:tc>
          <w:tcPr>
            <w:tcW w:w="1074" w:type="dxa"/>
            <w:tcBorders>
              <w:tl2br w:val="nil"/>
              <w:tr2bl w:val="nil"/>
            </w:tcBorders>
            <w:vAlign w:val="center"/>
          </w:tcPr>
          <w:p w14:paraId="2C59AB79">
            <w:pPr>
              <w:adjustRightInd w:val="0"/>
              <w:snapToGrid w:val="0"/>
              <w:spacing w:line="240" w:lineRule="auto"/>
              <w:jc w:val="center"/>
              <w:rPr>
                <w:sz w:val="21"/>
                <w:szCs w:val="21"/>
              </w:rPr>
            </w:pPr>
            <w:r>
              <w:rPr>
                <w:rFonts w:hint="eastAsia"/>
                <w:sz w:val="21"/>
                <w:szCs w:val="21"/>
                <w:lang w:val="en-US" w:eastAsia="zh-CN"/>
              </w:rPr>
              <w:t>90</w:t>
            </w:r>
            <w:r>
              <w:rPr>
                <w:rFonts w:hint="eastAsia"/>
                <w:sz w:val="21"/>
                <w:szCs w:val="21"/>
              </w:rPr>
              <w:t>%</w:t>
            </w:r>
          </w:p>
        </w:tc>
        <w:tc>
          <w:tcPr>
            <w:tcW w:w="1308" w:type="dxa"/>
            <w:tcBorders>
              <w:tl2br w:val="nil"/>
              <w:tr2bl w:val="nil"/>
            </w:tcBorders>
            <w:vAlign w:val="center"/>
          </w:tcPr>
          <w:p w14:paraId="7B6608D8">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21.263</w:t>
            </w:r>
          </w:p>
        </w:tc>
        <w:tc>
          <w:tcPr>
            <w:tcW w:w="1594" w:type="dxa"/>
            <w:tcBorders>
              <w:tl2br w:val="nil"/>
              <w:tr2bl w:val="nil"/>
            </w:tcBorders>
            <w:vAlign w:val="center"/>
          </w:tcPr>
          <w:p w14:paraId="307DD827">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2.6</w:t>
            </w:r>
          </w:p>
        </w:tc>
        <w:tc>
          <w:tcPr>
            <w:tcW w:w="2557" w:type="dxa"/>
            <w:vMerge w:val="continue"/>
            <w:tcBorders>
              <w:tl2br w:val="nil"/>
              <w:tr2bl w:val="nil"/>
            </w:tcBorders>
            <w:vAlign w:val="center"/>
          </w:tcPr>
          <w:p w14:paraId="0CE5FAB2">
            <w:pPr>
              <w:adjustRightInd w:val="0"/>
              <w:snapToGrid w:val="0"/>
              <w:spacing w:line="240" w:lineRule="auto"/>
              <w:jc w:val="center"/>
              <w:rPr>
                <w:color w:val="000000" w:themeColor="text1"/>
                <w:sz w:val="21"/>
                <w:szCs w:val="21"/>
                <w14:textFill>
                  <w14:solidFill>
                    <w14:schemeClr w14:val="tx1"/>
                  </w14:solidFill>
                </w14:textFill>
              </w:rPr>
            </w:pPr>
          </w:p>
        </w:tc>
        <w:tc>
          <w:tcPr>
            <w:tcW w:w="1136" w:type="dxa"/>
            <w:vMerge w:val="continue"/>
            <w:tcBorders>
              <w:tl2br w:val="nil"/>
              <w:tr2bl w:val="nil"/>
            </w:tcBorders>
            <w:vAlign w:val="center"/>
          </w:tcPr>
          <w:p w14:paraId="0C4216D5">
            <w:pPr>
              <w:adjustRightInd w:val="0"/>
              <w:snapToGrid w:val="0"/>
              <w:spacing w:line="240" w:lineRule="auto"/>
              <w:jc w:val="center"/>
              <w:rPr>
                <w:color w:val="FF0000"/>
                <w:sz w:val="21"/>
                <w:szCs w:val="21"/>
              </w:rPr>
            </w:pPr>
          </w:p>
        </w:tc>
        <w:tc>
          <w:tcPr>
            <w:tcW w:w="852" w:type="dxa"/>
            <w:tcBorders>
              <w:tl2br w:val="nil"/>
              <w:tr2bl w:val="nil"/>
            </w:tcBorders>
            <w:vAlign w:val="center"/>
          </w:tcPr>
          <w:p w14:paraId="0AD0AB12">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default" w:eastAsia="宋体"/>
                <w:color w:val="000000" w:themeColor="text1"/>
                <w:sz w:val="21"/>
                <w:szCs w:val="21"/>
                <w:lang w:val="en-US" w:eastAsia="zh-CN"/>
                <w14:textFill>
                  <w14:solidFill>
                    <w14:schemeClr w14:val="tx1"/>
                  </w14:solidFill>
                </w14:textFill>
              </w:rPr>
              <w:t>1.063</w:t>
            </w:r>
          </w:p>
        </w:tc>
        <w:tc>
          <w:tcPr>
            <w:tcW w:w="995" w:type="dxa"/>
            <w:vMerge w:val="continue"/>
            <w:tcBorders>
              <w:tl2br w:val="nil"/>
              <w:tr2bl w:val="nil"/>
            </w:tcBorders>
            <w:vAlign w:val="center"/>
          </w:tcPr>
          <w:p w14:paraId="5A7E851A">
            <w:pPr>
              <w:adjustRightInd w:val="0"/>
              <w:snapToGrid w:val="0"/>
              <w:spacing w:line="240" w:lineRule="auto"/>
              <w:jc w:val="center"/>
              <w:rPr>
                <w:sz w:val="21"/>
                <w:szCs w:val="21"/>
              </w:rPr>
            </w:pPr>
          </w:p>
        </w:tc>
        <w:tc>
          <w:tcPr>
            <w:tcW w:w="994" w:type="dxa"/>
            <w:vMerge w:val="continue"/>
            <w:tcBorders>
              <w:tl2br w:val="nil"/>
              <w:tr2bl w:val="nil"/>
            </w:tcBorders>
            <w:vAlign w:val="center"/>
          </w:tcPr>
          <w:p w14:paraId="4BD835A6">
            <w:pPr>
              <w:adjustRightInd w:val="0"/>
              <w:snapToGrid w:val="0"/>
              <w:spacing w:line="240" w:lineRule="auto"/>
              <w:jc w:val="center"/>
              <w:rPr>
                <w:rFonts w:hint="default" w:eastAsia="宋体"/>
                <w:sz w:val="21"/>
                <w:szCs w:val="21"/>
                <w:lang w:val="en-US" w:eastAsia="zh-CN"/>
              </w:rPr>
            </w:pPr>
          </w:p>
        </w:tc>
        <w:tc>
          <w:tcPr>
            <w:tcW w:w="994" w:type="dxa"/>
            <w:tcBorders>
              <w:tl2br w:val="nil"/>
              <w:tr2bl w:val="nil"/>
            </w:tcBorders>
            <w:vAlign w:val="center"/>
          </w:tcPr>
          <w:p w14:paraId="47699474">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eastAsia"/>
                <w:sz w:val="21"/>
                <w:szCs w:val="21"/>
                <w:lang w:val="en-US" w:eastAsia="zh-CN"/>
              </w:rPr>
              <w:t>2.363</w:t>
            </w:r>
          </w:p>
        </w:tc>
        <w:tc>
          <w:tcPr>
            <w:tcW w:w="916" w:type="dxa"/>
            <w:tcBorders>
              <w:tl2br w:val="nil"/>
              <w:tr2bl w:val="nil"/>
            </w:tcBorders>
            <w:vAlign w:val="center"/>
          </w:tcPr>
          <w:p w14:paraId="23C1CF47">
            <w:pPr>
              <w:adjustRightInd w:val="0"/>
              <w:snapToGrid w:val="0"/>
              <w:spacing w:line="240" w:lineRule="auto"/>
              <w:jc w:val="center"/>
              <w:rPr>
                <w:color w:val="FF0000"/>
                <w:sz w:val="21"/>
                <w:szCs w:val="21"/>
              </w:rPr>
            </w:pPr>
            <w:r>
              <w:rPr>
                <w:rFonts w:hint="eastAsia"/>
                <w:color w:val="000000" w:themeColor="text1"/>
                <w:sz w:val="21"/>
                <w:szCs w:val="21"/>
                <w14:textFill>
                  <w14:solidFill>
                    <w14:schemeClr w14:val="tx1"/>
                  </w14:solidFill>
                </w14:textFill>
              </w:rPr>
              <w:t>/</w:t>
            </w:r>
          </w:p>
        </w:tc>
      </w:tr>
      <w:tr w14:paraId="739A555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14:paraId="43845DD7">
            <w:pPr>
              <w:adjustRightInd w:val="0"/>
              <w:snapToGrid w:val="0"/>
              <w:spacing w:line="240" w:lineRule="auto"/>
              <w:jc w:val="center"/>
              <w:rPr>
                <w:sz w:val="21"/>
                <w:szCs w:val="21"/>
              </w:rPr>
            </w:pPr>
            <w:r>
              <w:rPr>
                <w:rFonts w:hint="eastAsia"/>
                <w:sz w:val="21"/>
                <w:szCs w:val="21"/>
              </w:rPr>
              <w:t>擦洗</w:t>
            </w:r>
          </w:p>
        </w:tc>
        <w:tc>
          <w:tcPr>
            <w:tcW w:w="668" w:type="dxa"/>
            <w:vMerge w:val="continue"/>
            <w:tcBorders>
              <w:tl2br w:val="nil"/>
              <w:tr2bl w:val="nil"/>
            </w:tcBorders>
            <w:vAlign w:val="center"/>
          </w:tcPr>
          <w:p w14:paraId="7D149833">
            <w:pPr>
              <w:adjustRightInd w:val="0"/>
              <w:snapToGrid w:val="0"/>
              <w:spacing w:line="240" w:lineRule="auto"/>
              <w:jc w:val="center"/>
              <w:rPr>
                <w:color w:val="FF0000"/>
                <w:sz w:val="21"/>
                <w:szCs w:val="21"/>
              </w:rPr>
            </w:pPr>
          </w:p>
        </w:tc>
        <w:tc>
          <w:tcPr>
            <w:tcW w:w="1147" w:type="dxa"/>
            <w:tcBorders>
              <w:tl2br w:val="nil"/>
              <w:tr2bl w:val="nil"/>
            </w:tcBorders>
            <w:vAlign w:val="center"/>
          </w:tcPr>
          <w:p w14:paraId="651D4104">
            <w:pPr>
              <w:adjustRightInd w:val="0"/>
              <w:snapToGrid w:val="0"/>
              <w:spacing w:line="240" w:lineRule="auto"/>
              <w:jc w:val="center"/>
              <w:rPr>
                <w:color w:val="FF0000"/>
                <w:sz w:val="21"/>
                <w:szCs w:val="21"/>
              </w:rPr>
            </w:pPr>
            <w:r>
              <w:rPr>
                <w:rFonts w:hint="eastAsia"/>
                <w:sz w:val="21"/>
                <w:szCs w:val="21"/>
                <w:lang w:val="en-US" w:eastAsia="zh-CN"/>
              </w:rPr>
              <w:t>132.306</w:t>
            </w:r>
          </w:p>
        </w:tc>
        <w:tc>
          <w:tcPr>
            <w:tcW w:w="1074" w:type="dxa"/>
            <w:tcBorders>
              <w:tl2br w:val="nil"/>
              <w:tr2bl w:val="nil"/>
            </w:tcBorders>
            <w:vAlign w:val="center"/>
          </w:tcPr>
          <w:p w14:paraId="102A31F8">
            <w:pPr>
              <w:adjustRightInd w:val="0"/>
              <w:snapToGrid w:val="0"/>
              <w:spacing w:line="240" w:lineRule="auto"/>
              <w:jc w:val="center"/>
              <w:rPr>
                <w:sz w:val="21"/>
                <w:szCs w:val="21"/>
              </w:rPr>
            </w:pPr>
            <w:r>
              <w:rPr>
                <w:rFonts w:hint="eastAsia"/>
                <w:sz w:val="21"/>
                <w:szCs w:val="21"/>
                <w:lang w:val="en-US" w:eastAsia="zh-CN"/>
              </w:rPr>
              <w:t>90</w:t>
            </w:r>
            <w:r>
              <w:rPr>
                <w:rFonts w:hint="eastAsia"/>
                <w:sz w:val="21"/>
                <w:szCs w:val="21"/>
              </w:rPr>
              <w:t>%</w:t>
            </w:r>
          </w:p>
        </w:tc>
        <w:tc>
          <w:tcPr>
            <w:tcW w:w="1308" w:type="dxa"/>
            <w:tcBorders>
              <w:tl2br w:val="nil"/>
              <w:tr2bl w:val="nil"/>
            </w:tcBorders>
            <w:vAlign w:val="center"/>
          </w:tcPr>
          <w:p w14:paraId="4C0204F0">
            <w:pPr>
              <w:adjustRightInd w:val="0"/>
              <w:snapToGrid w:val="0"/>
              <w:spacing w:line="240" w:lineRule="auto"/>
              <w:jc w:val="center"/>
              <w:rPr>
                <w:sz w:val="21"/>
                <w:szCs w:val="21"/>
              </w:rPr>
            </w:pPr>
            <w:r>
              <w:rPr>
                <w:rFonts w:hint="eastAsia"/>
                <w:sz w:val="21"/>
                <w:szCs w:val="21"/>
                <w:lang w:val="en-US" w:eastAsia="zh-CN"/>
              </w:rPr>
              <w:t>119.075</w:t>
            </w:r>
          </w:p>
        </w:tc>
        <w:tc>
          <w:tcPr>
            <w:tcW w:w="1594" w:type="dxa"/>
            <w:tcBorders>
              <w:tl2br w:val="nil"/>
              <w:tr2bl w:val="nil"/>
            </w:tcBorders>
            <w:vAlign w:val="center"/>
          </w:tcPr>
          <w:p w14:paraId="79E894AF">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14.6</w:t>
            </w:r>
          </w:p>
        </w:tc>
        <w:tc>
          <w:tcPr>
            <w:tcW w:w="2557" w:type="dxa"/>
            <w:vMerge w:val="continue"/>
            <w:tcBorders>
              <w:tl2br w:val="nil"/>
              <w:tr2bl w:val="nil"/>
            </w:tcBorders>
            <w:vAlign w:val="center"/>
          </w:tcPr>
          <w:p w14:paraId="65B01168">
            <w:pPr>
              <w:adjustRightInd w:val="0"/>
              <w:snapToGrid w:val="0"/>
              <w:spacing w:line="240" w:lineRule="auto"/>
              <w:jc w:val="center"/>
              <w:rPr>
                <w:color w:val="000000" w:themeColor="text1"/>
                <w:sz w:val="21"/>
                <w:szCs w:val="21"/>
                <w14:textFill>
                  <w14:solidFill>
                    <w14:schemeClr w14:val="tx1"/>
                  </w14:solidFill>
                </w14:textFill>
              </w:rPr>
            </w:pPr>
          </w:p>
        </w:tc>
        <w:tc>
          <w:tcPr>
            <w:tcW w:w="1136" w:type="dxa"/>
            <w:vMerge w:val="continue"/>
            <w:tcBorders>
              <w:tl2br w:val="nil"/>
              <w:tr2bl w:val="nil"/>
            </w:tcBorders>
            <w:vAlign w:val="center"/>
          </w:tcPr>
          <w:p w14:paraId="397D9FE1">
            <w:pPr>
              <w:adjustRightInd w:val="0"/>
              <w:snapToGrid w:val="0"/>
              <w:spacing w:line="240" w:lineRule="auto"/>
              <w:jc w:val="center"/>
              <w:rPr>
                <w:color w:val="FF0000"/>
                <w:sz w:val="21"/>
                <w:szCs w:val="21"/>
              </w:rPr>
            </w:pPr>
          </w:p>
        </w:tc>
        <w:tc>
          <w:tcPr>
            <w:tcW w:w="852" w:type="dxa"/>
            <w:tcBorders>
              <w:tl2br w:val="nil"/>
              <w:tr2bl w:val="nil"/>
            </w:tcBorders>
            <w:vAlign w:val="center"/>
          </w:tcPr>
          <w:p w14:paraId="1B5051CF">
            <w:pPr>
              <w:adjustRightInd w:val="0"/>
              <w:snapToGrid w:val="0"/>
              <w:spacing w:line="240" w:lineRule="auto"/>
              <w:jc w:val="center"/>
              <w:rPr>
                <w:rFonts w:hint="default" w:eastAsia="宋体"/>
                <w:bCs/>
                <w:color w:val="000000" w:themeColor="text1"/>
                <w:sz w:val="21"/>
                <w:szCs w:val="21"/>
                <w:lang w:val="en-US" w:eastAsia="zh-CN"/>
                <w14:textFill>
                  <w14:solidFill>
                    <w14:schemeClr w14:val="tx1"/>
                  </w14:solidFill>
                </w14:textFill>
              </w:rPr>
            </w:pPr>
            <w:r>
              <w:rPr>
                <w:rFonts w:hint="default" w:eastAsia="宋体"/>
                <w:bCs/>
                <w:color w:val="000000" w:themeColor="text1"/>
                <w:sz w:val="21"/>
                <w:szCs w:val="21"/>
                <w:lang w:val="en-US" w:eastAsia="zh-CN"/>
                <w14:textFill>
                  <w14:solidFill>
                    <w14:schemeClr w14:val="tx1"/>
                  </w14:solidFill>
                </w14:textFill>
              </w:rPr>
              <w:t>5.95</w:t>
            </w:r>
            <w:r>
              <w:rPr>
                <w:rFonts w:hint="eastAsia"/>
                <w:bCs/>
                <w:color w:val="000000" w:themeColor="text1"/>
                <w:sz w:val="21"/>
                <w:szCs w:val="21"/>
                <w:lang w:val="en-US" w:eastAsia="zh-CN"/>
                <w14:textFill>
                  <w14:solidFill>
                    <w14:schemeClr w14:val="tx1"/>
                  </w14:solidFill>
                </w14:textFill>
              </w:rPr>
              <w:t>4</w:t>
            </w:r>
          </w:p>
        </w:tc>
        <w:tc>
          <w:tcPr>
            <w:tcW w:w="995" w:type="dxa"/>
            <w:vMerge w:val="continue"/>
            <w:tcBorders>
              <w:tl2br w:val="nil"/>
              <w:tr2bl w:val="nil"/>
            </w:tcBorders>
            <w:vAlign w:val="center"/>
          </w:tcPr>
          <w:p w14:paraId="556A9117">
            <w:pPr>
              <w:adjustRightInd w:val="0"/>
              <w:snapToGrid w:val="0"/>
              <w:spacing w:line="240" w:lineRule="auto"/>
              <w:jc w:val="center"/>
              <w:rPr>
                <w:sz w:val="21"/>
                <w:szCs w:val="21"/>
              </w:rPr>
            </w:pPr>
          </w:p>
        </w:tc>
        <w:tc>
          <w:tcPr>
            <w:tcW w:w="994" w:type="dxa"/>
            <w:vMerge w:val="continue"/>
            <w:tcBorders>
              <w:tl2br w:val="nil"/>
              <w:tr2bl w:val="nil"/>
            </w:tcBorders>
            <w:vAlign w:val="center"/>
          </w:tcPr>
          <w:p w14:paraId="561D68A4">
            <w:pPr>
              <w:adjustRightInd w:val="0"/>
              <w:snapToGrid w:val="0"/>
              <w:spacing w:line="240" w:lineRule="auto"/>
              <w:jc w:val="center"/>
              <w:rPr>
                <w:rFonts w:hint="default" w:eastAsia="宋体"/>
                <w:sz w:val="21"/>
                <w:szCs w:val="21"/>
                <w:lang w:val="en-US" w:eastAsia="zh-CN"/>
              </w:rPr>
            </w:pPr>
          </w:p>
        </w:tc>
        <w:tc>
          <w:tcPr>
            <w:tcW w:w="994" w:type="dxa"/>
            <w:tcBorders>
              <w:tl2br w:val="nil"/>
              <w:tr2bl w:val="nil"/>
            </w:tcBorders>
            <w:vAlign w:val="center"/>
          </w:tcPr>
          <w:p w14:paraId="0716685E">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eastAsia"/>
                <w:sz w:val="21"/>
                <w:szCs w:val="21"/>
                <w:lang w:val="en-US" w:eastAsia="zh-CN"/>
              </w:rPr>
              <w:t>13.231</w:t>
            </w:r>
          </w:p>
        </w:tc>
        <w:tc>
          <w:tcPr>
            <w:tcW w:w="916" w:type="dxa"/>
            <w:tcBorders>
              <w:tl2br w:val="nil"/>
              <w:tr2bl w:val="nil"/>
            </w:tcBorders>
            <w:vAlign w:val="center"/>
          </w:tcPr>
          <w:p w14:paraId="4B92F7B5">
            <w:pPr>
              <w:adjustRightInd w:val="0"/>
              <w:snapToGrid w:val="0"/>
              <w:spacing w:line="240" w:lineRule="auto"/>
              <w:jc w:val="center"/>
              <w:rPr>
                <w:sz w:val="21"/>
                <w:szCs w:val="21"/>
              </w:rPr>
            </w:pPr>
            <w:r>
              <w:rPr>
                <w:rFonts w:hint="eastAsia"/>
                <w:color w:val="000000" w:themeColor="text1"/>
                <w:sz w:val="21"/>
                <w:szCs w:val="21"/>
                <w14:textFill>
                  <w14:solidFill>
                    <w14:schemeClr w14:val="tx1"/>
                  </w14:solidFill>
                </w14:textFill>
              </w:rPr>
              <w:t>/</w:t>
            </w:r>
          </w:p>
        </w:tc>
      </w:tr>
      <w:tr w14:paraId="588E57B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14:paraId="7F56FF27">
            <w:pPr>
              <w:adjustRightInd w:val="0"/>
              <w:snapToGrid w:val="0"/>
              <w:spacing w:line="240" w:lineRule="auto"/>
              <w:jc w:val="center"/>
              <w:rPr>
                <w:sz w:val="21"/>
                <w:szCs w:val="21"/>
              </w:rPr>
            </w:pPr>
            <w:r>
              <w:rPr>
                <w:rFonts w:hint="eastAsia"/>
                <w:sz w:val="21"/>
                <w:szCs w:val="21"/>
              </w:rPr>
              <w:t>危废间</w:t>
            </w:r>
          </w:p>
        </w:tc>
        <w:tc>
          <w:tcPr>
            <w:tcW w:w="668" w:type="dxa"/>
            <w:vMerge w:val="continue"/>
            <w:tcBorders>
              <w:tl2br w:val="nil"/>
              <w:tr2bl w:val="nil"/>
            </w:tcBorders>
            <w:vAlign w:val="center"/>
          </w:tcPr>
          <w:p w14:paraId="3F42ABD4">
            <w:pPr>
              <w:adjustRightInd w:val="0"/>
              <w:snapToGrid w:val="0"/>
              <w:spacing w:line="240" w:lineRule="auto"/>
              <w:jc w:val="center"/>
              <w:rPr>
                <w:color w:val="FF0000"/>
                <w:sz w:val="21"/>
                <w:szCs w:val="21"/>
              </w:rPr>
            </w:pPr>
          </w:p>
        </w:tc>
        <w:tc>
          <w:tcPr>
            <w:tcW w:w="1147" w:type="dxa"/>
            <w:tcBorders>
              <w:tl2br w:val="nil"/>
              <w:tr2bl w:val="nil"/>
            </w:tcBorders>
            <w:vAlign w:val="center"/>
          </w:tcPr>
          <w:p w14:paraId="092E7457">
            <w:pPr>
              <w:adjustRightInd w:val="0"/>
              <w:snapToGrid w:val="0"/>
              <w:spacing w:line="240" w:lineRule="auto"/>
              <w:jc w:val="center"/>
              <w:rPr>
                <w:color w:val="000000" w:themeColor="text1"/>
                <w:sz w:val="21"/>
                <w:szCs w:val="21"/>
                <w14:textFill>
                  <w14:solidFill>
                    <w14:schemeClr w14:val="tx1"/>
                  </w14:solidFill>
                </w14:textFill>
              </w:rPr>
            </w:pPr>
            <w:r>
              <w:rPr>
                <w:rFonts w:hint="eastAsia"/>
                <w:sz w:val="21"/>
                <w:szCs w:val="21"/>
                <w:lang w:val="en-US" w:eastAsia="zh-CN"/>
              </w:rPr>
              <w:t>4.139</w:t>
            </w:r>
          </w:p>
        </w:tc>
        <w:tc>
          <w:tcPr>
            <w:tcW w:w="1074" w:type="dxa"/>
            <w:tcBorders>
              <w:tl2br w:val="nil"/>
              <w:tr2bl w:val="nil"/>
            </w:tcBorders>
            <w:vAlign w:val="center"/>
          </w:tcPr>
          <w:p w14:paraId="5CA69932">
            <w:pPr>
              <w:adjustRightInd w:val="0"/>
              <w:snapToGrid w:val="0"/>
              <w:spacing w:line="240" w:lineRule="auto"/>
              <w:jc w:val="center"/>
              <w:rPr>
                <w:sz w:val="21"/>
                <w:szCs w:val="21"/>
              </w:rPr>
            </w:pPr>
            <w:r>
              <w:rPr>
                <w:rFonts w:hint="eastAsia"/>
                <w:sz w:val="21"/>
                <w:szCs w:val="21"/>
                <w:lang w:val="en-US" w:eastAsia="zh-CN"/>
              </w:rPr>
              <w:t>90</w:t>
            </w:r>
            <w:r>
              <w:rPr>
                <w:rFonts w:hint="eastAsia"/>
                <w:sz w:val="21"/>
                <w:szCs w:val="21"/>
              </w:rPr>
              <w:t>%</w:t>
            </w:r>
          </w:p>
        </w:tc>
        <w:tc>
          <w:tcPr>
            <w:tcW w:w="1308" w:type="dxa"/>
            <w:tcBorders>
              <w:tl2br w:val="nil"/>
              <w:tr2bl w:val="nil"/>
            </w:tcBorders>
            <w:vAlign w:val="center"/>
          </w:tcPr>
          <w:p w14:paraId="1E4B2F10">
            <w:pPr>
              <w:adjustRightInd w:val="0"/>
              <w:snapToGrid w:val="0"/>
              <w:spacing w:line="240" w:lineRule="auto"/>
              <w:jc w:val="center"/>
              <w:rPr>
                <w:sz w:val="21"/>
                <w:szCs w:val="21"/>
              </w:rPr>
            </w:pPr>
            <w:r>
              <w:rPr>
                <w:rFonts w:hint="eastAsia"/>
                <w:sz w:val="21"/>
                <w:szCs w:val="21"/>
                <w:lang w:val="en-US" w:eastAsia="zh-CN"/>
              </w:rPr>
              <w:t>3.725</w:t>
            </w:r>
          </w:p>
        </w:tc>
        <w:tc>
          <w:tcPr>
            <w:tcW w:w="1594" w:type="dxa"/>
            <w:tcBorders>
              <w:tl2br w:val="nil"/>
              <w:tr2bl w:val="nil"/>
            </w:tcBorders>
            <w:vAlign w:val="center"/>
          </w:tcPr>
          <w:p w14:paraId="6585B4CD">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0.5</w:t>
            </w:r>
          </w:p>
        </w:tc>
        <w:tc>
          <w:tcPr>
            <w:tcW w:w="2557" w:type="dxa"/>
            <w:vMerge w:val="continue"/>
            <w:tcBorders>
              <w:tl2br w:val="nil"/>
              <w:tr2bl w:val="nil"/>
            </w:tcBorders>
            <w:vAlign w:val="center"/>
          </w:tcPr>
          <w:p w14:paraId="7CD2B9F7">
            <w:pPr>
              <w:adjustRightInd w:val="0"/>
              <w:snapToGrid w:val="0"/>
              <w:spacing w:line="240" w:lineRule="auto"/>
              <w:jc w:val="center"/>
              <w:rPr>
                <w:color w:val="000000" w:themeColor="text1"/>
                <w:sz w:val="21"/>
                <w:szCs w:val="21"/>
                <w14:textFill>
                  <w14:solidFill>
                    <w14:schemeClr w14:val="tx1"/>
                  </w14:solidFill>
                </w14:textFill>
              </w:rPr>
            </w:pPr>
          </w:p>
        </w:tc>
        <w:tc>
          <w:tcPr>
            <w:tcW w:w="1136" w:type="dxa"/>
            <w:vMerge w:val="continue"/>
            <w:tcBorders>
              <w:tl2br w:val="nil"/>
              <w:tr2bl w:val="nil"/>
            </w:tcBorders>
            <w:vAlign w:val="center"/>
          </w:tcPr>
          <w:p w14:paraId="6BE2D95B">
            <w:pPr>
              <w:adjustRightInd w:val="0"/>
              <w:snapToGrid w:val="0"/>
              <w:spacing w:line="240" w:lineRule="auto"/>
              <w:jc w:val="center"/>
              <w:rPr>
                <w:color w:val="FF0000"/>
                <w:sz w:val="21"/>
                <w:szCs w:val="21"/>
              </w:rPr>
            </w:pPr>
          </w:p>
        </w:tc>
        <w:tc>
          <w:tcPr>
            <w:tcW w:w="852" w:type="dxa"/>
            <w:tcBorders>
              <w:tl2br w:val="nil"/>
              <w:tr2bl w:val="nil"/>
            </w:tcBorders>
            <w:vAlign w:val="center"/>
          </w:tcPr>
          <w:p w14:paraId="137A90C3">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default" w:eastAsia="宋体"/>
                <w:color w:val="000000" w:themeColor="text1"/>
                <w:sz w:val="21"/>
                <w:szCs w:val="21"/>
                <w:lang w:val="en-US" w:eastAsia="zh-CN"/>
                <w14:textFill>
                  <w14:solidFill>
                    <w14:schemeClr w14:val="tx1"/>
                  </w14:solidFill>
                </w14:textFill>
              </w:rPr>
              <w:t>0.186</w:t>
            </w:r>
          </w:p>
        </w:tc>
        <w:tc>
          <w:tcPr>
            <w:tcW w:w="995" w:type="dxa"/>
            <w:vMerge w:val="continue"/>
            <w:tcBorders>
              <w:tl2br w:val="nil"/>
              <w:tr2bl w:val="nil"/>
            </w:tcBorders>
            <w:vAlign w:val="center"/>
          </w:tcPr>
          <w:p w14:paraId="3023052A">
            <w:pPr>
              <w:adjustRightInd w:val="0"/>
              <w:snapToGrid w:val="0"/>
              <w:spacing w:line="240" w:lineRule="auto"/>
              <w:jc w:val="center"/>
              <w:rPr>
                <w:color w:val="FF0000"/>
                <w:sz w:val="21"/>
                <w:szCs w:val="21"/>
              </w:rPr>
            </w:pPr>
          </w:p>
        </w:tc>
        <w:tc>
          <w:tcPr>
            <w:tcW w:w="994" w:type="dxa"/>
            <w:vMerge w:val="continue"/>
            <w:tcBorders>
              <w:tl2br w:val="nil"/>
              <w:tr2bl w:val="nil"/>
            </w:tcBorders>
            <w:vAlign w:val="center"/>
          </w:tcPr>
          <w:p w14:paraId="59E72783">
            <w:pPr>
              <w:adjustRightInd w:val="0"/>
              <w:snapToGrid w:val="0"/>
              <w:spacing w:line="240" w:lineRule="auto"/>
              <w:jc w:val="center"/>
              <w:rPr>
                <w:rFonts w:hint="default" w:eastAsia="宋体"/>
                <w:sz w:val="21"/>
                <w:szCs w:val="21"/>
                <w:lang w:val="en-US" w:eastAsia="zh-CN"/>
              </w:rPr>
            </w:pPr>
          </w:p>
        </w:tc>
        <w:tc>
          <w:tcPr>
            <w:tcW w:w="994" w:type="dxa"/>
            <w:tcBorders>
              <w:tl2br w:val="nil"/>
              <w:tr2bl w:val="nil"/>
            </w:tcBorders>
            <w:vAlign w:val="center"/>
          </w:tcPr>
          <w:p w14:paraId="373ECB46">
            <w:pPr>
              <w:adjustRightInd w:val="0"/>
              <w:snapToGrid w:val="0"/>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eastAsia"/>
                <w:sz w:val="21"/>
                <w:szCs w:val="21"/>
              </w:rPr>
              <w:t>0.414</w:t>
            </w:r>
          </w:p>
        </w:tc>
        <w:tc>
          <w:tcPr>
            <w:tcW w:w="916" w:type="dxa"/>
            <w:tcBorders>
              <w:tl2br w:val="nil"/>
              <w:tr2bl w:val="nil"/>
            </w:tcBorders>
            <w:vAlign w:val="center"/>
          </w:tcPr>
          <w:p w14:paraId="70272BA8">
            <w:pPr>
              <w:adjustRightInd w:val="0"/>
              <w:snapToGrid w:val="0"/>
              <w:spacing w:line="240" w:lineRule="auto"/>
              <w:jc w:val="center"/>
              <w:rPr>
                <w:sz w:val="21"/>
                <w:szCs w:val="21"/>
              </w:rPr>
            </w:pPr>
            <w:r>
              <w:rPr>
                <w:rFonts w:hint="eastAsia"/>
                <w:color w:val="000000" w:themeColor="text1"/>
                <w:sz w:val="21"/>
                <w:szCs w:val="21"/>
                <w14:textFill>
                  <w14:solidFill>
                    <w14:schemeClr w14:val="tx1"/>
                  </w14:solidFill>
                </w14:textFill>
              </w:rPr>
              <w:t>/</w:t>
            </w:r>
          </w:p>
        </w:tc>
      </w:tr>
      <w:tr w14:paraId="483DEAF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jc w:val="center"/>
        </w:trPr>
        <w:tc>
          <w:tcPr>
            <w:tcW w:w="1165" w:type="dxa"/>
            <w:tcBorders>
              <w:tl2br w:val="nil"/>
              <w:tr2bl w:val="nil"/>
            </w:tcBorders>
            <w:vAlign w:val="center"/>
          </w:tcPr>
          <w:p w14:paraId="6DC611B7">
            <w:pPr>
              <w:adjustRightInd w:val="0"/>
              <w:snapToGrid w:val="0"/>
              <w:spacing w:line="240" w:lineRule="auto"/>
              <w:jc w:val="center"/>
              <w:rPr>
                <w:b/>
                <w:bCs/>
                <w:sz w:val="21"/>
                <w:szCs w:val="21"/>
              </w:rPr>
            </w:pPr>
            <w:r>
              <w:rPr>
                <w:rFonts w:hint="eastAsia"/>
                <w:b/>
                <w:bCs/>
                <w:sz w:val="21"/>
                <w:szCs w:val="21"/>
              </w:rPr>
              <w:t>合计</w:t>
            </w:r>
          </w:p>
        </w:tc>
        <w:tc>
          <w:tcPr>
            <w:tcW w:w="668" w:type="dxa"/>
            <w:tcBorders>
              <w:tl2br w:val="nil"/>
              <w:tr2bl w:val="nil"/>
            </w:tcBorders>
            <w:vAlign w:val="center"/>
          </w:tcPr>
          <w:p w14:paraId="1813702E">
            <w:pPr>
              <w:adjustRightInd w:val="0"/>
              <w:snapToGrid w:val="0"/>
              <w:spacing w:line="240" w:lineRule="auto"/>
              <w:jc w:val="center"/>
              <w:rPr>
                <w:b/>
                <w:bCs/>
                <w:sz w:val="21"/>
                <w:szCs w:val="21"/>
              </w:rPr>
            </w:pPr>
            <w:r>
              <w:rPr>
                <w:rFonts w:hint="eastAsia"/>
                <w:b/>
                <w:bCs/>
                <w:sz w:val="21"/>
                <w:szCs w:val="21"/>
              </w:rPr>
              <w:t>8160</w:t>
            </w:r>
          </w:p>
        </w:tc>
        <w:tc>
          <w:tcPr>
            <w:tcW w:w="1147" w:type="dxa"/>
            <w:tcBorders>
              <w:tl2br w:val="nil"/>
              <w:tr2bl w:val="nil"/>
            </w:tcBorders>
            <w:vAlign w:val="center"/>
          </w:tcPr>
          <w:p w14:paraId="0D8721C2">
            <w:pPr>
              <w:adjustRightInd w:val="0"/>
              <w:snapToGrid w:val="0"/>
              <w:spacing w:line="240" w:lineRule="auto"/>
              <w:jc w:val="center"/>
              <w:rPr>
                <w:rFonts w:hint="default" w:eastAsia="宋体"/>
                <w:b/>
                <w:bCs/>
                <w:color w:val="FF0000"/>
                <w:sz w:val="21"/>
                <w:szCs w:val="21"/>
                <w:lang w:val="en-US" w:eastAsia="zh-CN"/>
              </w:rPr>
            </w:pPr>
            <w:r>
              <w:rPr>
                <w:rFonts w:hint="eastAsia"/>
                <w:b/>
                <w:bCs/>
                <w:sz w:val="21"/>
                <w:szCs w:val="21"/>
              </w:rPr>
              <w:t>2069.5</w:t>
            </w:r>
          </w:p>
        </w:tc>
        <w:tc>
          <w:tcPr>
            <w:tcW w:w="1074" w:type="dxa"/>
            <w:tcBorders>
              <w:tl2br w:val="nil"/>
              <w:tr2bl w:val="nil"/>
            </w:tcBorders>
            <w:vAlign w:val="center"/>
          </w:tcPr>
          <w:p w14:paraId="5A941042">
            <w:pPr>
              <w:adjustRightInd w:val="0"/>
              <w:snapToGrid w:val="0"/>
              <w:spacing w:line="240" w:lineRule="auto"/>
              <w:jc w:val="center"/>
              <w:rPr>
                <w:b/>
                <w:bCs/>
                <w:sz w:val="21"/>
                <w:szCs w:val="21"/>
              </w:rPr>
            </w:pPr>
            <w:r>
              <w:rPr>
                <w:rFonts w:hint="eastAsia"/>
                <w:b/>
                <w:bCs/>
                <w:sz w:val="21"/>
                <w:szCs w:val="21"/>
              </w:rPr>
              <w:t>/</w:t>
            </w:r>
          </w:p>
        </w:tc>
        <w:tc>
          <w:tcPr>
            <w:tcW w:w="1308" w:type="dxa"/>
            <w:tcBorders>
              <w:tl2br w:val="nil"/>
              <w:tr2bl w:val="nil"/>
            </w:tcBorders>
            <w:vAlign w:val="center"/>
          </w:tcPr>
          <w:p w14:paraId="153994EB">
            <w:pPr>
              <w:adjustRightInd w:val="0"/>
              <w:snapToGrid w:val="0"/>
              <w:spacing w:line="240" w:lineRule="auto"/>
              <w:jc w:val="center"/>
              <w:rPr>
                <w:rFonts w:hint="eastAsia" w:eastAsia="宋体"/>
                <w:b/>
                <w:bCs/>
                <w:sz w:val="21"/>
                <w:szCs w:val="21"/>
                <w:lang w:eastAsia="zh-CN"/>
              </w:rPr>
            </w:pPr>
            <w:r>
              <w:rPr>
                <w:rFonts w:hint="eastAsia"/>
                <w:b/>
                <w:bCs/>
                <w:sz w:val="21"/>
                <w:szCs w:val="21"/>
              </w:rPr>
              <w:t>2034.399</w:t>
            </w:r>
          </w:p>
        </w:tc>
        <w:tc>
          <w:tcPr>
            <w:tcW w:w="1594" w:type="dxa"/>
            <w:tcBorders>
              <w:tl2br w:val="nil"/>
              <w:tr2bl w:val="nil"/>
            </w:tcBorders>
            <w:vAlign w:val="center"/>
          </w:tcPr>
          <w:p w14:paraId="277B1E1D">
            <w:pPr>
              <w:adjustRightInd w:val="0"/>
              <w:snapToGrid w:val="0"/>
              <w:spacing w:line="240" w:lineRule="auto"/>
              <w:jc w:val="center"/>
              <w:rPr>
                <w:rFonts w:hint="default" w:eastAsia="宋体"/>
                <w:b/>
                <w:bCs/>
                <w:sz w:val="21"/>
                <w:szCs w:val="21"/>
                <w:lang w:val="en-US" w:eastAsia="zh-CN"/>
              </w:rPr>
            </w:pPr>
            <w:r>
              <w:rPr>
                <w:rFonts w:hint="eastAsia"/>
                <w:b/>
                <w:bCs/>
                <w:sz w:val="21"/>
                <w:szCs w:val="21"/>
                <w:lang w:val="en-US" w:eastAsia="zh-CN"/>
              </w:rPr>
              <w:t>249.3</w:t>
            </w:r>
          </w:p>
        </w:tc>
        <w:tc>
          <w:tcPr>
            <w:tcW w:w="2557" w:type="dxa"/>
            <w:tcBorders>
              <w:tl2br w:val="nil"/>
              <w:tr2bl w:val="nil"/>
            </w:tcBorders>
            <w:vAlign w:val="center"/>
          </w:tcPr>
          <w:p w14:paraId="061A6F70">
            <w:pPr>
              <w:adjustRightInd w:val="0"/>
              <w:snapToGrid w:val="0"/>
              <w:spacing w:line="240" w:lineRule="auto"/>
              <w:jc w:val="center"/>
              <w:rPr>
                <w:b/>
                <w:bCs/>
                <w:sz w:val="21"/>
                <w:szCs w:val="21"/>
              </w:rPr>
            </w:pPr>
            <w:r>
              <w:rPr>
                <w:rFonts w:hint="eastAsia"/>
                <w:b/>
                <w:bCs/>
                <w:sz w:val="21"/>
                <w:szCs w:val="21"/>
              </w:rPr>
              <w:t>/</w:t>
            </w:r>
          </w:p>
        </w:tc>
        <w:tc>
          <w:tcPr>
            <w:tcW w:w="1136" w:type="dxa"/>
            <w:tcBorders>
              <w:tl2br w:val="nil"/>
              <w:tr2bl w:val="nil"/>
            </w:tcBorders>
            <w:vAlign w:val="center"/>
          </w:tcPr>
          <w:p w14:paraId="6CD90D14">
            <w:pPr>
              <w:adjustRightInd w:val="0"/>
              <w:snapToGrid w:val="0"/>
              <w:spacing w:line="240" w:lineRule="auto"/>
              <w:jc w:val="center"/>
              <w:rPr>
                <w:rFonts w:hint="default" w:eastAsia="宋体"/>
                <w:b/>
                <w:bCs/>
                <w:color w:val="FF0000"/>
                <w:sz w:val="21"/>
                <w:szCs w:val="21"/>
                <w:lang w:val="en-US" w:eastAsia="zh-CN"/>
              </w:rPr>
            </w:pPr>
            <w:r>
              <w:rPr>
                <w:rFonts w:hint="eastAsia"/>
                <w:sz w:val="21"/>
                <w:szCs w:val="21"/>
                <w:lang w:val="en-US" w:eastAsia="zh-CN"/>
              </w:rPr>
              <w:t>380000</w:t>
            </w:r>
          </w:p>
        </w:tc>
        <w:tc>
          <w:tcPr>
            <w:tcW w:w="852" w:type="dxa"/>
            <w:tcBorders>
              <w:tl2br w:val="nil"/>
              <w:tr2bl w:val="nil"/>
            </w:tcBorders>
            <w:vAlign w:val="center"/>
          </w:tcPr>
          <w:p w14:paraId="51823019">
            <w:pPr>
              <w:adjustRightInd w:val="0"/>
              <w:snapToGrid w:val="0"/>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default" w:eastAsia="宋体"/>
                <w:b/>
                <w:bCs/>
                <w:color w:val="000000" w:themeColor="text1"/>
                <w:sz w:val="21"/>
                <w:szCs w:val="21"/>
                <w:lang w:val="en-US" w:eastAsia="zh-CN"/>
                <w14:textFill>
                  <w14:solidFill>
                    <w14:schemeClr w14:val="tx1"/>
                  </w14:solidFill>
                </w14:textFill>
              </w:rPr>
              <w:t>101.72</w:t>
            </w:r>
            <w:r>
              <w:rPr>
                <w:rFonts w:hint="eastAsia"/>
                <w:b/>
                <w:bCs/>
                <w:color w:val="000000" w:themeColor="text1"/>
                <w:sz w:val="21"/>
                <w:szCs w:val="21"/>
                <w:lang w:val="en-US" w:eastAsia="zh-CN"/>
                <w14:textFill>
                  <w14:solidFill>
                    <w14:schemeClr w14:val="tx1"/>
                  </w14:solidFill>
                </w14:textFill>
              </w:rPr>
              <w:t>0</w:t>
            </w:r>
          </w:p>
        </w:tc>
        <w:tc>
          <w:tcPr>
            <w:tcW w:w="995" w:type="dxa"/>
            <w:vMerge w:val="continue"/>
            <w:tcBorders>
              <w:tl2br w:val="nil"/>
              <w:tr2bl w:val="nil"/>
            </w:tcBorders>
            <w:vAlign w:val="center"/>
          </w:tcPr>
          <w:p w14:paraId="3F91B01E">
            <w:pPr>
              <w:adjustRightInd w:val="0"/>
              <w:snapToGrid w:val="0"/>
              <w:spacing w:line="240" w:lineRule="auto"/>
              <w:jc w:val="center"/>
              <w:rPr>
                <w:color w:val="FF0000"/>
                <w:sz w:val="21"/>
                <w:szCs w:val="21"/>
              </w:rPr>
            </w:pPr>
          </w:p>
        </w:tc>
        <w:tc>
          <w:tcPr>
            <w:tcW w:w="994" w:type="dxa"/>
            <w:vMerge w:val="continue"/>
            <w:tcBorders>
              <w:tl2br w:val="nil"/>
              <w:tr2bl w:val="nil"/>
            </w:tcBorders>
            <w:vAlign w:val="center"/>
          </w:tcPr>
          <w:p w14:paraId="713713CB">
            <w:pPr>
              <w:adjustRightInd w:val="0"/>
              <w:snapToGrid w:val="0"/>
              <w:spacing w:line="240" w:lineRule="auto"/>
              <w:jc w:val="center"/>
              <w:rPr>
                <w:rFonts w:hint="default" w:eastAsia="宋体"/>
                <w:b/>
                <w:bCs/>
                <w:color w:val="FF0000"/>
                <w:sz w:val="21"/>
                <w:szCs w:val="21"/>
                <w:lang w:val="en-US" w:eastAsia="zh-CN"/>
              </w:rPr>
            </w:pPr>
          </w:p>
        </w:tc>
        <w:tc>
          <w:tcPr>
            <w:tcW w:w="994" w:type="dxa"/>
            <w:tcBorders>
              <w:tl2br w:val="nil"/>
              <w:tr2bl w:val="nil"/>
            </w:tcBorders>
            <w:vAlign w:val="center"/>
          </w:tcPr>
          <w:p w14:paraId="1A65BB6B">
            <w:pPr>
              <w:adjustRightInd w:val="0"/>
              <w:snapToGrid w:val="0"/>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default" w:eastAsia="宋体"/>
                <w:b/>
                <w:bCs/>
                <w:color w:val="000000" w:themeColor="text1"/>
                <w:sz w:val="21"/>
                <w:szCs w:val="21"/>
                <w:lang w:val="en-US" w:eastAsia="zh-CN"/>
                <w14:textFill>
                  <w14:solidFill>
                    <w14:schemeClr w14:val="tx1"/>
                  </w14:solidFill>
                </w14:textFill>
              </w:rPr>
              <w:t>35.102</w:t>
            </w:r>
          </w:p>
        </w:tc>
        <w:tc>
          <w:tcPr>
            <w:tcW w:w="916" w:type="dxa"/>
            <w:tcBorders>
              <w:tl2br w:val="nil"/>
              <w:tr2bl w:val="nil"/>
            </w:tcBorders>
            <w:vAlign w:val="center"/>
          </w:tcPr>
          <w:p w14:paraId="1099472D">
            <w:pPr>
              <w:adjustRightInd w:val="0"/>
              <w:snapToGrid w:val="0"/>
              <w:spacing w:line="240" w:lineRule="auto"/>
              <w:jc w:val="center"/>
              <w:rPr>
                <w:b/>
                <w:bCs/>
                <w:color w:val="FF0000"/>
                <w:sz w:val="21"/>
                <w:szCs w:val="21"/>
              </w:rPr>
            </w:pPr>
            <w:r>
              <w:rPr>
                <w:rFonts w:hint="eastAsia"/>
                <w:color w:val="000000" w:themeColor="text1"/>
                <w:sz w:val="21"/>
                <w:szCs w:val="21"/>
                <w14:textFill>
                  <w14:solidFill>
                    <w14:schemeClr w14:val="tx1"/>
                  </w14:solidFill>
                </w14:textFill>
              </w:rPr>
              <w:t>/</w:t>
            </w:r>
          </w:p>
        </w:tc>
      </w:tr>
    </w:tbl>
    <w:p w14:paraId="2E24DE49">
      <w:pPr>
        <w:pStyle w:val="51"/>
        <w:numPr>
          <w:ilvl w:val="5"/>
          <w:numId w:val="0"/>
        </w:numPr>
        <w:spacing w:before="156"/>
        <w:ind w:left="305" w:leftChars="0" w:hanging="3260" w:firstLineChars="0"/>
      </w:pPr>
      <w:r>
        <w:rPr>
          <w:rFonts w:hint="default" w:ascii="宋体" w:hAnsi="宋体" w:eastAsia="宋体" w:cs="宋体"/>
          <w:b/>
          <w:bCs/>
          <w:color w:val="auto"/>
          <w:kern w:val="2"/>
          <w:sz w:val="21"/>
          <w:szCs w:val="21"/>
          <w:lang w:val="en-US" w:eastAsia="zh-CN" w:bidi="ar-SA"/>
        </w:rPr>
        <w:t xml:space="preserve">表4.3-4 </w:t>
      </w:r>
      <w:r>
        <w:rPr>
          <w:rFonts w:hint="eastAsia" w:ascii="宋体" w:hAnsi="宋体" w:cs="宋体"/>
          <w:b/>
          <w:bCs/>
          <w:color w:val="auto"/>
          <w:kern w:val="2"/>
          <w:sz w:val="21"/>
          <w:szCs w:val="21"/>
          <w:lang w:val="en-US" w:eastAsia="zh-CN" w:bidi="ar-SA"/>
        </w:rPr>
        <w:t xml:space="preserve">             </w:t>
      </w:r>
      <w:r>
        <w:rPr>
          <w:rFonts w:hint="eastAsia"/>
        </w:rPr>
        <w:t>全厂挥发性有机物</w:t>
      </w:r>
      <w:r>
        <w:t>排放汇总表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2547"/>
        <w:gridCol w:w="2238"/>
        <w:gridCol w:w="2723"/>
        <w:gridCol w:w="3188"/>
        <w:gridCol w:w="3292"/>
      </w:tblGrid>
      <w:tr w14:paraId="0A74FD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547" w:type="dxa"/>
            <w:vAlign w:val="center"/>
          </w:tcPr>
          <w:p w14:paraId="5E4FC933">
            <w:pPr>
              <w:adjustRightInd w:val="0"/>
              <w:snapToGrid w:val="0"/>
              <w:spacing w:line="240" w:lineRule="auto"/>
              <w:jc w:val="center"/>
              <w:rPr>
                <w:sz w:val="21"/>
                <w:szCs w:val="21"/>
              </w:rPr>
            </w:pPr>
            <w:r>
              <w:rPr>
                <w:sz w:val="21"/>
                <w:szCs w:val="21"/>
              </w:rPr>
              <w:t>污染源</w:t>
            </w:r>
          </w:p>
        </w:tc>
        <w:tc>
          <w:tcPr>
            <w:tcW w:w="2238" w:type="dxa"/>
            <w:vAlign w:val="center"/>
          </w:tcPr>
          <w:p w14:paraId="38BD16F8">
            <w:pPr>
              <w:adjustRightInd w:val="0"/>
              <w:snapToGrid w:val="0"/>
              <w:spacing w:line="240" w:lineRule="auto"/>
              <w:jc w:val="center"/>
              <w:rPr>
                <w:sz w:val="21"/>
                <w:szCs w:val="21"/>
              </w:rPr>
            </w:pPr>
            <w:r>
              <w:rPr>
                <w:sz w:val="21"/>
                <w:szCs w:val="21"/>
              </w:rPr>
              <w:t>污染物</w:t>
            </w:r>
          </w:p>
        </w:tc>
        <w:tc>
          <w:tcPr>
            <w:tcW w:w="2723" w:type="dxa"/>
            <w:vAlign w:val="center"/>
          </w:tcPr>
          <w:p w14:paraId="4306842F">
            <w:pPr>
              <w:adjustRightInd w:val="0"/>
              <w:snapToGrid w:val="0"/>
              <w:spacing w:line="240" w:lineRule="auto"/>
              <w:jc w:val="center"/>
              <w:rPr>
                <w:sz w:val="21"/>
                <w:szCs w:val="21"/>
              </w:rPr>
            </w:pPr>
            <w:r>
              <w:rPr>
                <w:sz w:val="21"/>
                <w:szCs w:val="21"/>
              </w:rPr>
              <w:t>有组织排放量t/a</w:t>
            </w:r>
          </w:p>
        </w:tc>
        <w:tc>
          <w:tcPr>
            <w:tcW w:w="3188" w:type="dxa"/>
            <w:vAlign w:val="center"/>
          </w:tcPr>
          <w:p w14:paraId="27C716EC">
            <w:pPr>
              <w:adjustRightInd w:val="0"/>
              <w:snapToGrid w:val="0"/>
              <w:spacing w:line="240" w:lineRule="auto"/>
              <w:jc w:val="center"/>
              <w:rPr>
                <w:sz w:val="21"/>
                <w:szCs w:val="21"/>
              </w:rPr>
            </w:pPr>
            <w:r>
              <w:rPr>
                <w:sz w:val="21"/>
                <w:szCs w:val="21"/>
              </w:rPr>
              <w:t>无组织排放量t/a</w:t>
            </w:r>
          </w:p>
        </w:tc>
        <w:tc>
          <w:tcPr>
            <w:tcW w:w="3292" w:type="dxa"/>
            <w:vAlign w:val="center"/>
          </w:tcPr>
          <w:p w14:paraId="70D9C42D">
            <w:pPr>
              <w:adjustRightInd w:val="0"/>
              <w:snapToGrid w:val="0"/>
              <w:spacing w:line="240" w:lineRule="auto"/>
              <w:jc w:val="center"/>
              <w:rPr>
                <w:sz w:val="21"/>
                <w:szCs w:val="21"/>
              </w:rPr>
            </w:pPr>
            <w:r>
              <w:rPr>
                <w:sz w:val="21"/>
                <w:szCs w:val="21"/>
              </w:rPr>
              <w:t>VOCs排放合计t/a</w:t>
            </w:r>
          </w:p>
        </w:tc>
      </w:tr>
      <w:tr w14:paraId="374892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547" w:type="dxa"/>
            <w:vAlign w:val="center"/>
          </w:tcPr>
          <w:p w14:paraId="31B3B810">
            <w:pPr>
              <w:adjustRightInd w:val="0"/>
              <w:snapToGrid w:val="0"/>
              <w:spacing w:line="240" w:lineRule="auto"/>
              <w:jc w:val="center"/>
              <w:rPr>
                <w:sz w:val="21"/>
                <w:szCs w:val="21"/>
              </w:rPr>
            </w:pPr>
            <w:r>
              <w:rPr>
                <w:rFonts w:hint="eastAsia"/>
                <w:sz w:val="21"/>
                <w:szCs w:val="21"/>
              </w:rPr>
              <w:t>生产</w:t>
            </w:r>
            <w:r>
              <w:rPr>
                <w:sz w:val="21"/>
                <w:szCs w:val="21"/>
              </w:rPr>
              <w:t>车间、危废间</w:t>
            </w:r>
          </w:p>
        </w:tc>
        <w:tc>
          <w:tcPr>
            <w:tcW w:w="2238" w:type="dxa"/>
            <w:vAlign w:val="center"/>
          </w:tcPr>
          <w:p w14:paraId="107DF055">
            <w:pPr>
              <w:adjustRightInd w:val="0"/>
              <w:snapToGrid w:val="0"/>
              <w:spacing w:line="240" w:lineRule="auto"/>
              <w:jc w:val="center"/>
              <w:rPr>
                <w:sz w:val="21"/>
                <w:szCs w:val="21"/>
              </w:rPr>
            </w:pPr>
            <w:r>
              <w:rPr>
                <w:sz w:val="21"/>
                <w:szCs w:val="21"/>
              </w:rPr>
              <w:t>VOCs</w:t>
            </w:r>
          </w:p>
        </w:tc>
        <w:tc>
          <w:tcPr>
            <w:tcW w:w="2723" w:type="dxa"/>
            <w:vAlign w:val="center"/>
          </w:tcPr>
          <w:p w14:paraId="422F1207">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101.720</w:t>
            </w:r>
          </w:p>
        </w:tc>
        <w:tc>
          <w:tcPr>
            <w:tcW w:w="3188" w:type="dxa"/>
            <w:vAlign w:val="center"/>
          </w:tcPr>
          <w:p w14:paraId="07C767DA">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35.102</w:t>
            </w:r>
          </w:p>
        </w:tc>
        <w:tc>
          <w:tcPr>
            <w:tcW w:w="3292" w:type="dxa"/>
            <w:vAlign w:val="center"/>
          </w:tcPr>
          <w:p w14:paraId="22D1C694">
            <w:pPr>
              <w:adjustRightInd w:val="0"/>
              <w:snapToGrid w:val="0"/>
              <w:spacing w:line="240" w:lineRule="auto"/>
              <w:jc w:val="center"/>
              <w:rPr>
                <w:sz w:val="21"/>
                <w:szCs w:val="21"/>
              </w:rPr>
            </w:pPr>
            <w:r>
              <w:rPr>
                <w:rFonts w:hint="eastAsia"/>
                <w:sz w:val="21"/>
                <w:szCs w:val="21"/>
              </w:rPr>
              <w:t>136.822</w:t>
            </w:r>
          </w:p>
        </w:tc>
      </w:tr>
    </w:tbl>
    <w:p w14:paraId="29BE6213">
      <w:pPr>
        <w:pStyle w:val="38"/>
        <w:ind w:firstLine="480"/>
        <w:rPr>
          <w:rFonts w:hint="eastAsia" w:ascii="Times New Roman" w:hAnsi="Times New Roman" w:cs="Times New Roman" w:eastAsiaTheme="minorEastAsia"/>
          <w:lang w:val="en-US" w:eastAsia="zh-CN"/>
        </w:rPr>
        <w:sectPr>
          <w:pgSz w:w="16838" w:h="11906" w:orient="landscape"/>
          <w:pgMar w:top="1800" w:right="1440" w:bottom="1800" w:left="144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rPr>
          <w:rFonts w:ascii="Times New Roman" w:hAnsi="Times New Roman" w:cs="Times New Roman"/>
        </w:rPr>
        <w:t>根据上表计算结果，有组织VOCs</w:t>
      </w:r>
      <w:r>
        <w:rPr>
          <w:rFonts w:hint="eastAsia" w:ascii="Times New Roman" w:hAnsi="Times New Roman" w:cs="Times New Roman"/>
          <w:lang w:val="en-US" w:eastAsia="zh-CN"/>
        </w:rPr>
        <w:t>最大</w:t>
      </w:r>
      <w:r>
        <w:rPr>
          <w:rFonts w:ascii="Times New Roman" w:hAnsi="Times New Roman" w:cs="Times New Roman"/>
        </w:rPr>
        <w:t>合并排放浓度为</w:t>
      </w:r>
      <w:r>
        <w:rPr>
          <w:rFonts w:hint="eastAsia" w:ascii="Times New Roman" w:hAnsi="Times New Roman" w:cs="Times New Roman"/>
          <w:lang w:val="en-US" w:eastAsia="zh-CN"/>
        </w:rPr>
        <w:t>32.8</w:t>
      </w:r>
      <w:r>
        <w:rPr>
          <w:rFonts w:ascii="Times New Roman" w:hAnsi="Times New Roman" w:cs="Times New Roman"/>
          <w:sz w:val="21"/>
          <w:szCs w:val="21"/>
        </w:rPr>
        <w:t>mg/m</w:t>
      </w:r>
      <w:r>
        <w:rPr>
          <w:rFonts w:ascii="Times New Roman" w:hAnsi="Times New Roman" w:cs="Times New Roman"/>
          <w:sz w:val="21"/>
          <w:szCs w:val="21"/>
          <w:vertAlign w:val="superscript"/>
        </w:rPr>
        <w:t>3</w:t>
      </w:r>
      <w:r>
        <w:rPr>
          <w:rFonts w:ascii="Times New Roman" w:hAnsi="Times New Roman" w:cs="Times New Roman"/>
        </w:rPr>
        <w:t>，可满足</w:t>
      </w:r>
      <w:r>
        <w:rPr>
          <w:rFonts w:hint="eastAsia"/>
        </w:rPr>
        <w:t>湖南省地标《工业企业挥发性有机物排放标准》（</w:t>
      </w:r>
      <w:r>
        <w:rPr>
          <w:rFonts w:hint="default" w:ascii="Times New Roman" w:hAnsi="Times New Roman" w:cs="Times New Roman"/>
        </w:rPr>
        <w:t>DB43/ 3550-2026</w:t>
      </w:r>
      <w:r>
        <w:rPr>
          <w:rFonts w:hint="eastAsia"/>
        </w:rPr>
        <w:t>）表1中印刷业排放浓度限值“</w:t>
      </w:r>
      <w:r>
        <w:rPr>
          <w:rFonts w:hint="eastAsia" w:ascii="Times New Roman" w:hAnsi="Times New Roman" w:cs="Times New Roman"/>
          <w:lang w:val="en-US" w:eastAsia="zh-CN"/>
        </w:rPr>
        <w:t>40</w:t>
      </w:r>
      <w:r>
        <w:rPr>
          <w:rFonts w:ascii="Times New Roman" w:hAnsi="Times New Roman" w:cs="Times New Roman"/>
          <w:sz w:val="21"/>
          <w:szCs w:val="21"/>
        </w:rPr>
        <w:t>mg/m</w:t>
      </w:r>
      <w:r>
        <w:rPr>
          <w:rFonts w:ascii="Times New Roman" w:hAnsi="Times New Roman" w:cs="Times New Roman"/>
          <w:sz w:val="21"/>
          <w:szCs w:val="21"/>
          <w:vertAlign w:val="superscript"/>
        </w:rPr>
        <w:t>3</w:t>
      </w:r>
      <w:r>
        <w:rPr>
          <w:rFonts w:hint="eastAsia" w:ascii="Times New Roman" w:hAnsi="Times New Roman" w:cs="Times New Roman"/>
          <w:sz w:val="21"/>
          <w:szCs w:val="21"/>
          <w:vertAlign w:val="baseline"/>
          <w:lang w:eastAsia="zh-CN"/>
        </w:rPr>
        <w:t>（</w:t>
      </w:r>
      <w:r>
        <w:rPr>
          <w:rFonts w:hint="eastAsia" w:ascii="Times New Roman" w:hAnsi="Times New Roman" w:cs="Times New Roman"/>
          <w:sz w:val="21"/>
          <w:szCs w:val="21"/>
          <w:vertAlign w:val="baseline"/>
          <w:lang w:val="en-US" w:eastAsia="zh-CN"/>
        </w:rPr>
        <w:t>NMHC</w:t>
      </w:r>
      <w:r>
        <w:rPr>
          <w:rFonts w:hint="eastAsia" w:ascii="Times New Roman" w:hAnsi="Times New Roman" w:cs="Times New Roman"/>
          <w:sz w:val="21"/>
          <w:szCs w:val="21"/>
          <w:vertAlign w:val="baseline"/>
          <w:lang w:eastAsia="zh-CN"/>
        </w:rPr>
        <w:t>）</w:t>
      </w:r>
      <w:r>
        <w:rPr>
          <w:rFonts w:hint="eastAsia"/>
        </w:rPr>
        <w:t>”。</w:t>
      </w:r>
      <w:r>
        <w:rPr>
          <w:rFonts w:hint="eastAsia"/>
          <w:lang w:val="en-US" w:eastAsia="zh-CN"/>
        </w:rPr>
        <w:t xml:space="preserve"> </w:t>
      </w:r>
    </w:p>
    <w:p w14:paraId="65262597">
      <w:pPr>
        <w:ind w:firstLine="480"/>
      </w:pPr>
      <w:r>
        <w:rPr>
          <w:rFonts w:hint="eastAsia" w:ascii="宋体" w:hAnsi="宋体" w:cs="宋体"/>
        </w:rPr>
        <w:t>⑹</w:t>
      </w:r>
      <w:r>
        <w:t>含挥发性有机物（VOCs）</w:t>
      </w:r>
      <w:r>
        <w:rPr>
          <w:rFonts w:hint="eastAsia"/>
        </w:rPr>
        <w:t>及溶剂回收</w:t>
      </w:r>
      <w:r>
        <w:t>物料平衡</w:t>
      </w:r>
    </w:p>
    <w:p w14:paraId="43BF3D24">
      <w:pPr>
        <w:jc w:val="left"/>
      </w:pPr>
      <w:r>
        <w:rPr>
          <w:rFonts w:hint="eastAsia"/>
          <w:color w:val="FF0000"/>
        </w:rPr>
        <w:t xml:space="preserve">            </w:t>
      </w:r>
      <w:r>
        <w:rPr>
          <w:rFonts w:hint="eastAsia"/>
          <w:b/>
        </w:rPr>
        <w:t>本项目原辅材料挥发性有机物及溶剂平衡图（单位：t/a）</w:t>
      </w:r>
      <w:r>
        <w:rPr>
          <w:rFonts w:hint="eastAsia"/>
          <w:color w:val="FF0000"/>
        </w:rPr>
        <w:object>
          <v:shape id="_x0000_i1029" o:spt="75" type="#_x0000_t75" style="height:317.35pt;width:431.8pt;" o:ole="t" filled="f" o:preferrelative="t" stroked="f" coordsize="21600,21600">
            <v:path/>
            <v:fill on="f" focussize="0,0"/>
            <v:stroke on="f"/>
            <v:imagedata r:id="rId43" o:title=""/>
            <o:lock v:ext="edit" aspectratio="f"/>
            <w10:wrap type="none"/>
            <w10:anchorlock/>
          </v:shape>
          <o:OLEObject Type="Embed" ProgID="Visio.Drawing.11" ShapeID="_x0000_i1029" DrawAspect="Content" ObjectID="_1468075732" r:id="rId42">
            <o:LockedField>false</o:LockedField>
          </o:OLEObject>
        </w:object>
      </w:r>
    </w:p>
    <w:p w14:paraId="547031BC">
      <w:pPr>
        <w:ind w:firstLine="480"/>
        <w:rPr>
          <w:color w:val="FF0000"/>
        </w:rPr>
      </w:pPr>
      <w:r>
        <w:rPr>
          <w:rFonts w:hint="eastAsia"/>
        </w:rPr>
        <w:t>本项目收集的挥发性有机物，全部进入溶剂回收系统提纯，根据设备调试期的测试，提纯效率为96%，基本与原环评时的设计值一致。剩余4%（8</w:t>
      </w:r>
      <w:r>
        <w:rPr>
          <w:rFonts w:hint="eastAsia"/>
          <w:lang w:val="en-US" w:eastAsia="zh-CN"/>
        </w:rPr>
        <w:t>7.4</w:t>
      </w:r>
      <w:r>
        <w:rPr>
          <w:rFonts w:hint="eastAsia"/>
        </w:rPr>
        <w:t>t/a）为残液，作为危废处理。提纯溶剂中的</w:t>
      </w:r>
      <w:r>
        <w:rPr>
          <w:rFonts w:hint="eastAsia"/>
          <w:lang w:val="en-US" w:eastAsia="zh-CN"/>
        </w:rPr>
        <w:t>70</w:t>
      </w:r>
      <w:r>
        <w:rPr>
          <w:rFonts w:hint="eastAsia"/>
        </w:rPr>
        <w:t>%（</w:t>
      </w:r>
      <w:r>
        <w:rPr>
          <w:rFonts w:hint="eastAsia"/>
          <w:lang w:val="en-US" w:eastAsia="zh-CN"/>
        </w:rPr>
        <w:t>1468.328</w:t>
      </w:r>
      <w:r>
        <w:rPr>
          <w:rFonts w:hint="eastAsia"/>
        </w:rPr>
        <w:t>t）回用于生产，</w:t>
      </w:r>
      <w:r>
        <w:rPr>
          <w:rFonts w:hint="eastAsia"/>
          <w:lang w:val="en-US" w:eastAsia="zh-CN"/>
        </w:rPr>
        <w:t>30</w:t>
      </w:r>
      <w:r>
        <w:rPr>
          <w:rFonts w:hint="eastAsia"/>
        </w:rPr>
        <w:t>%（</w:t>
      </w:r>
      <w:r>
        <w:rPr>
          <w:rFonts w:hint="eastAsia"/>
          <w:lang w:val="en-US" w:eastAsia="zh-CN"/>
        </w:rPr>
        <w:t>629.283</w:t>
      </w:r>
      <w:r>
        <w:rPr>
          <w:rFonts w:hint="eastAsia"/>
        </w:rPr>
        <w:t>t）溶剂回收公司回收（洛阳天宝新能源有限公司）。</w:t>
      </w:r>
    </w:p>
    <w:p w14:paraId="293D762C">
      <w:pPr>
        <w:ind w:left="480" w:leftChars="200"/>
      </w:pPr>
      <w:r>
        <w:t>2.</w:t>
      </w:r>
      <w:bookmarkStart w:id="92" w:name="OLE_LINK95"/>
      <w:bookmarkStart w:id="93" w:name="OLE_LINK96"/>
      <w:r>
        <w:rPr>
          <w:rFonts w:hint="eastAsia"/>
        </w:rPr>
        <w:t>臭气浓度</w:t>
      </w:r>
    </w:p>
    <w:p w14:paraId="5CD22CA3">
      <w:pPr>
        <w:ind w:firstLine="480"/>
      </w:pPr>
      <w:r>
        <w:t>项目在印刷、复合生产过程中由于添加油墨、胶水等物质，在车间内不可避免的产生一定的无组织逸散，会形成一定的恶臭感官。恶臭物质的种类很多，迄今凭人的嗅觉即可感觉到的恶臭物质有</w:t>
      </w:r>
      <w:r>
        <w:rPr>
          <w:rFonts w:hint="eastAsia"/>
        </w:rPr>
        <w:t>4000</w:t>
      </w:r>
      <w:r>
        <w:t>多种，其中有几十种对人的危害较大。恶臭物质对人体的危害不同于一般环境污染物质对人体的直接伤害，而是通过刺激人的感官神经，破坏人体新陈代谢，对人体的神经和心理造成伤害。恶臭物质分布广、影响范围大。同时由于恶臭污染源多为局部的无组织排放源，很多时候是短时间、突发性的，难以捕捉和收集，也给评价、治理带来困难。恶臭强度是以臭味的嗅阈值为基准划分等级的，一般分为</w:t>
      </w:r>
      <w:r>
        <w:rPr>
          <w:rFonts w:hint="eastAsia"/>
        </w:rPr>
        <w:t>5</w:t>
      </w:r>
      <w:r>
        <w:t>级。下表列举了某些臭味物质的阈值浓度及臭味性质。</w:t>
      </w:r>
    </w:p>
    <w:p w14:paraId="130F8DB9">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表4.3-5 </w:t>
      </w:r>
      <w:r>
        <w:rPr>
          <w:rFonts w:hint="eastAsia" w:ascii="宋体" w:hAnsi="宋体" w:cs="宋体"/>
          <w:b/>
          <w:bCs/>
          <w:color w:val="auto"/>
          <w:kern w:val="2"/>
          <w:sz w:val="21"/>
          <w:szCs w:val="21"/>
          <w:lang w:val="en-US" w:eastAsia="zh-CN" w:bidi="ar-SA"/>
        </w:rPr>
        <w:t xml:space="preserve">       </w:t>
      </w:r>
      <w:r>
        <w:rPr>
          <w:rFonts w:hint="eastAsia"/>
        </w:rPr>
        <w:t>空气中臭气阈值浓度</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508A3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top w:val="single" w:color="auto" w:sz="12" w:space="0"/>
              <w:left w:val="single" w:color="auto" w:sz="12" w:space="0"/>
            </w:tcBorders>
            <w:vAlign w:val="center"/>
          </w:tcPr>
          <w:p w14:paraId="762F2FF4">
            <w:pPr>
              <w:tabs>
                <w:tab w:val="left" w:pos="1021"/>
              </w:tabs>
              <w:spacing w:line="240" w:lineRule="auto"/>
              <w:jc w:val="center"/>
              <w:rPr>
                <w:sz w:val="21"/>
                <w:szCs w:val="21"/>
              </w:rPr>
            </w:pPr>
            <w:r>
              <w:rPr>
                <w:sz w:val="21"/>
                <w:szCs w:val="21"/>
              </w:rPr>
              <w:t>物质名称</w:t>
            </w:r>
          </w:p>
        </w:tc>
        <w:tc>
          <w:tcPr>
            <w:tcW w:w="1420" w:type="dxa"/>
            <w:tcBorders>
              <w:top w:val="single" w:color="auto" w:sz="12" w:space="0"/>
            </w:tcBorders>
            <w:vAlign w:val="center"/>
          </w:tcPr>
          <w:p w14:paraId="10CA0D5F">
            <w:pPr>
              <w:tabs>
                <w:tab w:val="left" w:pos="1021"/>
              </w:tabs>
              <w:spacing w:line="240" w:lineRule="auto"/>
              <w:jc w:val="center"/>
              <w:rPr>
                <w:sz w:val="21"/>
                <w:szCs w:val="21"/>
              </w:rPr>
            </w:pPr>
            <w:r>
              <w:rPr>
                <w:sz w:val="21"/>
                <w:szCs w:val="21"/>
              </w:rPr>
              <w:t>物质名称</w:t>
            </w:r>
          </w:p>
        </w:tc>
        <w:tc>
          <w:tcPr>
            <w:tcW w:w="1420" w:type="dxa"/>
            <w:tcBorders>
              <w:top w:val="single" w:color="auto" w:sz="12" w:space="0"/>
            </w:tcBorders>
            <w:vAlign w:val="center"/>
          </w:tcPr>
          <w:p w14:paraId="0A369FE7">
            <w:pPr>
              <w:tabs>
                <w:tab w:val="left" w:pos="1021"/>
              </w:tabs>
              <w:spacing w:line="240" w:lineRule="auto"/>
              <w:jc w:val="center"/>
              <w:rPr>
                <w:sz w:val="21"/>
                <w:szCs w:val="21"/>
              </w:rPr>
            </w:pPr>
            <w:r>
              <w:rPr>
                <w:sz w:val="21"/>
                <w:szCs w:val="21"/>
              </w:rPr>
              <w:t>物质名称</w:t>
            </w:r>
          </w:p>
        </w:tc>
        <w:tc>
          <w:tcPr>
            <w:tcW w:w="1420" w:type="dxa"/>
            <w:tcBorders>
              <w:top w:val="single" w:color="auto" w:sz="12" w:space="0"/>
            </w:tcBorders>
            <w:vAlign w:val="center"/>
          </w:tcPr>
          <w:p w14:paraId="1CF42EC5">
            <w:pPr>
              <w:tabs>
                <w:tab w:val="left" w:pos="1021"/>
              </w:tabs>
              <w:spacing w:line="240" w:lineRule="auto"/>
              <w:jc w:val="center"/>
              <w:rPr>
                <w:sz w:val="21"/>
                <w:szCs w:val="21"/>
              </w:rPr>
            </w:pPr>
            <w:r>
              <w:rPr>
                <w:sz w:val="21"/>
                <w:szCs w:val="21"/>
              </w:rPr>
              <w:t>物质名称</w:t>
            </w:r>
          </w:p>
        </w:tc>
        <w:tc>
          <w:tcPr>
            <w:tcW w:w="1421" w:type="dxa"/>
            <w:tcBorders>
              <w:top w:val="single" w:color="auto" w:sz="12" w:space="0"/>
            </w:tcBorders>
            <w:vAlign w:val="center"/>
          </w:tcPr>
          <w:p w14:paraId="64F36810">
            <w:pPr>
              <w:tabs>
                <w:tab w:val="left" w:pos="1021"/>
              </w:tabs>
              <w:spacing w:line="240" w:lineRule="auto"/>
              <w:jc w:val="center"/>
              <w:rPr>
                <w:sz w:val="21"/>
                <w:szCs w:val="21"/>
              </w:rPr>
            </w:pPr>
            <w:r>
              <w:rPr>
                <w:sz w:val="21"/>
                <w:szCs w:val="21"/>
              </w:rPr>
              <w:t>物质名称</w:t>
            </w:r>
          </w:p>
        </w:tc>
        <w:tc>
          <w:tcPr>
            <w:tcW w:w="1421" w:type="dxa"/>
            <w:tcBorders>
              <w:top w:val="single" w:color="auto" w:sz="12" w:space="0"/>
              <w:right w:val="single" w:color="auto" w:sz="12" w:space="0"/>
            </w:tcBorders>
            <w:vAlign w:val="center"/>
          </w:tcPr>
          <w:p w14:paraId="64006FAF">
            <w:pPr>
              <w:tabs>
                <w:tab w:val="left" w:pos="1021"/>
              </w:tabs>
              <w:spacing w:line="240" w:lineRule="auto"/>
              <w:jc w:val="center"/>
              <w:rPr>
                <w:sz w:val="21"/>
                <w:szCs w:val="21"/>
              </w:rPr>
            </w:pPr>
            <w:r>
              <w:rPr>
                <w:sz w:val="21"/>
                <w:szCs w:val="21"/>
              </w:rPr>
              <w:t>物质名称</w:t>
            </w:r>
          </w:p>
        </w:tc>
      </w:tr>
      <w:tr w14:paraId="21B6E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left w:val="single" w:color="auto" w:sz="12" w:space="0"/>
            </w:tcBorders>
            <w:vAlign w:val="center"/>
          </w:tcPr>
          <w:p w14:paraId="6E3DED94">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0" w:type="dxa"/>
            <w:vAlign w:val="center"/>
          </w:tcPr>
          <w:p w14:paraId="56CB2103">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0" w:type="dxa"/>
            <w:vAlign w:val="center"/>
          </w:tcPr>
          <w:p w14:paraId="111FF03E">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0" w:type="dxa"/>
            <w:vAlign w:val="center"/>
          </w:tcPr>
          <w:p w14:paraId="72837DB1">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1" w:type="dxa"/>
            <w:vAlign w:val="center"/>
          </w:tcPr>
          <w:p w14:paraId="71D00C6D">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1" w:type="dxa"/>
            <w:tcBorders>
              <w:right w:val="single" w:color="auto" w:sz="12" w:space="0"/>
            </w:tcBorders>
            <w:vAlign w:val="center"/>
          </w:tcPr>
          <w:p w14:paraId="3A78FDA7">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r>
      <w:tr w14:paraId="70B1B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420" w:type="dxa"/>
            <w:tcBorders>
              <w:left w:val="single" w:color="auto" w:sz="12" w:space="0"/>
            </w:tcBorders>
            <w:vAlign w:val="center"/>
          </w:tcPr>
          <w:p w14:paraId="5F0B1615">
            <w:pPr>
              <w:tabs>
                <w:tab w:val="left" w:pos="1021"/>
              </w:tabs>
              <w:spacing w:line="240" w:lineRule="auto"/>
              <w:jc w:val="center"/>
              <w:rPr>
                <w:sz w:val="21"/>
                <w:szCs w:val="21"/>
              </w:rPr>
            </w:pPr>
            <w:r>
              <w:rPr>
                <w:sz w:val="21"/>
                <w:szCs w:val="21"/>
              </w:rPr>
              <w:t>臭气种类</w:t>
            </w:r>
          </w:p>
        </w:tc>
        <w:tc>
          <w:tcPr>
            <w:tcW w:w="1420" w:type="dxa"/>
            <w:vAlign w:val="center"/>
          </w:tcPr>
          <w:p w14:paraId="3614FDDC">
            <w:pPr>
              <w:tabs>
                <w:tab w:val="left" w:pos="1021"/>
              </w:tabs>
              <w:spacing w:line="240" w:lineRule="auto"/>
              <w:jc w:val="center"/>
              <w:rPr>
                <w:sz w:val="21"/>
                <w:szCs w:val="21"/>
              </w:rPr>
            </w:pPr>
            <w:r>
              <w:rPr>
                <w:sz w:val="21"/>
                <w:szCs w:val="21"/>
              </w:rPr>
              <w:t>臭气种类</w:t>
            </w:r>
          </w:p>
        </w:tc>
        <w:tc>
          <w:tcPr>
            <w:tcW w:w="1420" w:type="dxa"/>
            <w:vAlign w:val="center"/>
          </w:tcPr>
          <w:p w14:paraId="3DD572CB">
            <w:pPr>
              <w:tabs>
                <w:tab w:val="left" w:pos="1021"/>
              </w:tabs>
              <w:spacing w:line="240" w:lineRule="auto"/>
              <w:jc w:val="center"/>
              <w:rPr>
                <w:sz w:val="21"/>
                <w:szCs w:val="21"/>
              </w:rPr>
            </w:pPr>
            <w:r>
              <w:rPr>
                <w:sz w:val="21"/>
                <w:szCs w:val="21"/>
              </w:rPr>
              <w:t>臭气种类</w:t>
            </w:r>
          </w:p>
        </w:tc>
        <w:tc>
          <w:tcPr>
            <w:tcW w:w="1420" w:type="dxa"/>
            <w:vAlign w:val="center"/>
          </w:tcPr>
          <w:p w14:paraId="7798890E">
            <w:pPr>
              <w:tabs>
                <w:tab w:val="left" w:pos="1021"/>
              </w:tabs>
              <w:spacing w:line="240" w:lineRule="auto"/>
              <w:jc w:val="center"/>
              <w:rPr>
                <w:sz w:val="21"/>
                <w:szCs w:val="21"/>
              </w:rPr>
            </w:pPr>
            <w:r>
              <w:rPr>
                <w:sz w:val="21"/>
                <w:szCs w:val="21"/>
              </w:rPr>
              <w:t>臭气种类</w:t>
            </w:r>
          </w:p>
        </w:tc>
        <w:tc>
          <w:tcPr>
            <w:tcW w:w="1421" w:type="dxa"/>
            <w:vAlign w:val="center"/>
          </w:tcPr>
          <w:p w14:paraId="5E1BDB2A">
            <w:pPr>
              <w:tabs>
                <w:tab w:val="left" w:pos="1021"/>
              </w:tabs>
              <w:spacing w:line="240" w:lineRule="auto"/>
              <w:jc w:val="center"/>
              <w:rPr>
                <w:sz w:val="21"/>
                <w:szCs w:val="21"/>
              </w:rPr>
            </w:pPr>
            <w:r>
              <w:rPr>
                <w:sz w:val="21"/>
                <w:szCs w:val="21"/>
              </w:rPr>
              <w:t>臭气种类</w:t>
            </w:r>
          </w:p>
        </w:tc>
        <w:tc>
          <w:tcPr>
            <w:tcW w:w="1421" w:type="dxa"/>
            <w:tcBorders>
              <w:right w:val="single" w:color="auto" w:sz="12" w:space="0"/>
            </w:tcBorders>
            <w:vAlign w:val="center"/>
          </w:tcPr>
          <w:p w14:paraId="27AC5C32">
            <w:pPr>
              <w:tabs>
                <w:tab w:val="left" w:pos="1021"/>
              </w:tabs>
              <w:spacing w:line="240" w:lineRule="auto"/>
              <w:jc w:val="center"/>
              <w:rPr>
                <w:sz w:val="21"/>
                <w:szCs w:val="21"/>
              </w:rPr>
            </w:pPr>
            <w:r>
              <w:rPr>
                <w:sz w:val="21"/>
                <w:szCs w:val="21"/>
              </w:rPr>
              <w:t>臭气种类</w:t>
            </w:r>
          </w:p>
        </w:tc>
      </w:tr>
      <w:tr w14:paraId="64D7E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left w:val="single" w:color="auto" w:sz="12" w:space="0"/>
            </w:tcBorders>
            <w:vAlign w:val="center"/>
          </w:tcPr>
          <w:p w14:paraId="597BB33A">
            <w:pPr>
              <w:tabs>
                <w:tab w:val="left" w:pos="1021"/>
              </w:tabs>
              <w:spacing w:line="240" w:lineRule="auto"/>
              <w:jc w:val="center"/>
              <w:rPr>
                <w:sz w:val="21"/>
                <w:szCs w:val="21"/>
              </w:rPr>
            </w:pPr>
            <w:r>
              <w:rPr>
                <w:sz w:val="21"/>
                <w:szCs w:val="21"/>
              </w:rPr>
              <w:t>物质名称</w:t>
            </w:r>
          </w:p>
        </w:tc>
        <w:tc>
          <w:tcPr>
            <w:tcW w:w="1420" w:type="dxa"/>
            <w:vAlign w:val="center"/>
          </w:tcPr>
          <w:p w14:paraId="1CA090B3">
            <w:pPr>
              <w:tabs>
                <w:tab w:val="left" w:pos="1021"/>
              </w:tabs>
              <w:spacing w:line="240" w:lineRule="auto"/>
              <w:jc w:val="center"/>
              <w:rPr>
                <w:sz w:val="21"/>
                <w:szCs w:val="21"/>
              </w:rPr>
            </w:pPr>
            <w:r>
              <w:rPr>
                <w:sz w:val="21"/>
                <w:szCs w:val="21"/>
              </w:rPr>
              <w:t>物质名称</w:t>
            </w:r>
          </w:p>
        </w:tc>
        <w:tc>
          <w:tcPr>
            <w:tcW w:w="1420" w:type="dxa"/>
            <w:vAlign w:val="center"/>
          </w:tcPr>
          <w:p w14:paraId="3B612500">
            <w:pPr>
              <w:tabs>
                <w:tab w:val="left" w:pos="1021"/>
              </w:tabs>
              <w:spacing w:line="240" w:lineRule="auto"/>
              <w:jc w:val="center"/>
              <w:rPr>
                <w:sz w:val="21"/>
                <w:szCs w:val="21"/>
              </w:rPr>
            </w:pPr>
            <w:r>
              <w:rPr>
                <w:sz w:val="21"/>
                <w:szCs w:val="21"/>
              </w:rPr>
              <w:t>物质名称</w:t>
            </w:r>
          </w:p>
        </w:tc>
        <w:tc>
          <w:tcPr>
            <w:tcW w:w="1420" w:type="dxa"/>
            <w:vAlign w:val="center"/>
          </w:tcPr>
          <w:p w14:paraId="5015940C">
            <w:pPr>
              <w:tabs>
                <w:tab w:val="left" w:pos="1021"/>
              </w:tabs>
              <w:spacing w:line="240" w:lineRule="auto"/>
              <w:jc w:val="center"/>
              <w:rPr>
                <w:sz w:val="21"/>
                <w:szCs w:val="21"/>
              </w:rPr>
            </w:pPr>
            <w:r>
              <w:rPr>
                <w:sz w:val="21"/>
                <w:szCs w:val="21"/>
              </w:rPr>
              <w:t>物质名称</w:t>
            </w:r>
          </w:p>
        </w:tc>
        <w:tc>
          <w:tcPr>
            <w:tcW w:w="1421" w:type="dxa"/>
            <w:vAlign w:val="center"/>
          </w:tcPr>
          <w:p w14:paraId="7CF645C8">
            <w:pPr>
              <w:tabs>
                <w:tab w:val="left" w:pos="1021"/>
              </w:tabs>
              <w:spacing w:line="240" w:lineRule="auto"/>
              <w:jc w:val="center"/>
              <w:rPr>
                <w:sz w:val="21"/>
                <w:szCs w:val="21"/>
              </w:rPr>
            </w:pPr>
            <w:r>
              <w:rPr>
                <w:sz w:val="21"/>
                <w:szCs w:val="21"/>
              </w:rPr>
              <w:t>物质名称</w:t>
            </w:r>
          </w:p>
        </w:tc>
        <w:tc>
          <w:tcPr>
            <w:tcW w:w="1421" w:type="dxa"/>
            <w:tcBorders>
              <w:right w:val="single" w:color="auto" w:sz="12" w:space="0"/>
            </w:tcBorders>
            <w:vAlign w:val="center"/>
          </w:tcPr>
          <w:p w14:paraId="0E07EAE1">
            <w:pPr>
              <w:tabs>
                <w:tab w:val="left" w:pos="1021"/>
              </w:tabs>
              <w:spacing w:line="240" w:lineRule="auto"/>
              <w:jc w:val="center"/>
              <w:rPr>
                <w:sz w:val="21"/>
                <w:szCs w:val="21"/>
              </w:rPr>
            </w:pPr>
            <w:r>
              <w:rPr>
                <w:sz w:val="21"/>
                <w:szCs w:val="21"/>
              </w:rPr>
              <w:t>物质名称</w:t>
            </w:r>
          </w:p>
        </w:tc>
      </w:tr>
      <w:tr w14:paraId="63976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left w:val="single" w:color="auto" w:sz="12" w:space="0"/>
            </w:tcBorders>
            <w:vAlign w:val="center"/>
          </w:tcPr>
          <w:p w14:paraId="3A685247">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0" w:type="dxa"/>
            <w:vAlign w:val="center"/>
          </w:tcPr>
          <w:p w14:paraId="20C3B3FA">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0" w:type="dxa"/>
            <w:vAlign w:val="center"/>
          </w:tcPr>
          <w:p w14:paraId="6AEF8B25">
            <w:pPr>
              <w:tabs>
                <w:tab w:val="left" w:pos="1021"/>
              </w:tabs>
              <w:spacing w:line="240" w:lineRule="auto"/>
              <w:jc w:val="center"/>
              <w:rPr>
                <w:sz w:val="21"/>
                <w:szCs w:val="21"/>
              </w:rPr>
            </w:pPr>
            <w:r>
              <w:rPr>
                <w:sz w:val="21"/>
                <w:szCs w:val="21"/>
              </w:rPr>
              <w:t>阈值/10</w:t>
            </w:r>
            <w:r>
              <w:rPr>
                <w:rFonts w:hint="eastAsia"/>
                <w:sz w:val="21"/>
                <w:szCs w:val="21"/>
                <w:vertAlign w:val="superscript"/>
              </w:rPr>
              <w:t>-6</w:t>
            </w:r>
            <w:r>
              <w:rPr>
                <w:sz w:val="21"/>
                <w:szCs w:val="21"/>
              </w:rPr>
              <w:t>⁶</w:t>
            </w:r>
          </w:p>
        </w:tc>
        <w:tc>
          <w:tcPr>
            <w:tcW w:w="1420" w:type="dxa"/>
            <w:vAlign w:val="center"/>
          </w:tcPr>
          <w:p w14:paraId="7696B2D2">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1" w:type="dxa"/>
            <w:vAlign w:val="center"/>
          </w:tcPr>
          <w:p w14:paraId="33751719">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c>
          <w:tcPr>
            <w:tcW w:w="1421" w:type="dxa"/>
            <w:tcBorders>
              <w:right w:val="single" w:color="auto" w:sz="12" w:space="0"/>
            </w:tcBorders>
            <w:vAlign w:val="center"/>
          </w:tcPr>
          <w:p w14:paraId="591DCE57">
            <w:pPr>
              <w:tabs>
                <w:tab w:val="left" w:pos="1021"/>
              </w:tabs>
              <w:spacing w:line="240" w:lineRule="auto"/>
              <w:jc w:val="center"/>
              <w:rPr>
                <w:sz w:val="21"/>
                <w:szCs w:val="21"/>
              </w:rPr>
            </w:pPr>
            <w:r>
              <w:rPr>
                <w:sz w:val="21"/>
                <w:szCs w:val="21"/>
              </w:rPr>
              <w:t>阈值/10</w:t>
            </w:r>
            <w:r>
              <w:rPr>
                <w:rFonts w:hint="eastAsia"/>
                <w:sz w:val="21"/>
                <w:szCs w:val="21"/>
                <w:vertAlign w:val="superscript"/>
              </w:rPr>
              <w:t>-6</w:t>
            </w:r>
          </w:p>
        </w:tc>
      </w:tr>
      <w:tr w14:paraId="192A9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left w:val="single" w:color="auto" w:sz="12" w:space="0"/>
              <w:bottom w:val="single" w:color="auto" w:sz="12" w:space="0"/>
            </w:tcBorders>
            <w:vAlign w:val="center"/>
          </w:tcPr>
          <w:p w14:paraId="47DA3859">
            <w:pPr>
              <w:tabs>
                <w:tab w:val="left" w:pos="1021"/>
              </w:tabs>
              <w:spacing w:line="240" w:lineRule="auto"/>
              <w:jc w:val="center"/>
              <w:rPr>
                <w:sz w:val="21"/>
                <w:szCs w:val="21"/>
              </w:rPr>
            </w:pPr>
            <w:r>
              <w:rPr>
                <w:sz w:val="21"/>
                <w:szCs w:val="21"/>
              </w:rPr>
              <w:t>臭气种类</w:t>
            </w:r>
          </w:p>
        </w:tc>
        <w:tc>
          <w:tcPr>
            <w:tcW w:w="1420" w:type="dxa"/>
            <w:tcBorders>
              <w:bottom w:val="single" w:color="auto" w:sz="12" w:space="0"/>
            </w:tcBorders>
            <w:vAlign w:val="center"/>
          </w:tcPr>
          <w:p w14:paraId="6761B524">
            <w:pPr>
              <w:tabs>
                <w:tab w:val="left" w:pos="1021"/>
              </w:tabs>
              <w:spacing w:line="240" w:lineRule="auto"/>
              <w:jc w:val="center"/>
              <w:rPr>
                <w:sz w:val="21"/>
                <w:szCs w:val="21"/>
              </w:rPr>
            </w:pPr>
            <w:r>
              <w:rPr>
                <w:sz w:val="21"/>
                <w:szCs w:val="21"/>
              </w:rPr>
              <w:t>臭气种类</w:t>
            </w:r>
          </w:p>
        </w:tc>
        <w:tc>
          <w:tcPr>
            <w:tcW w:w="1420" w:type="dxa"/>
            <w:tcBorders>
              <w:bottom w:val="single" w:color="auto" w:sz="12" w:space="0"/>
            </w:tcBorders>
            <w:vAlign w:val="center"/>
          </w:tcPr>
          <w:p w14:paraId="766863D6">
            <w:pPr>
              <w:tabs>
                <w:tab w:val="left" w:pos="1021"/>
              </w:tabs>
              <w:spacing w:line="240" w:lineRule="auto"/>
              <w:jc w:val="center"/>
              <w:rPr>
                <w:sz w:val="21"/>
                <w:szCs w:val="21"/>
              </w:rPr>
            </w:pPr>
            <w:r>
              <w:rPr>
                <w:sz w:val="21"/>
                <w:szCs w:val="21"/>
              </w:rPr>
              <w:t>臭气种类</w:t>
            </w:r>
          </w:p>
        </w:tc>
        <w:tc>
          <w:tcPr>
            <w:tcW w:w="1420" w:type="dxa"/>
            <w:tcBorders>
              <w:bottom w:val="single" w:color="auto" w:sz="12" w:space="0"/>
            </w:tcBorders>
            <w:vAlign w:val="center"/>
          </w:tcPr>
          <w:p w14:paraId="2E155CF9">
            <w:pPr>
              <w:tabs>
                <w:tab w:val="left" w:pos="1021"/>
              </w:tabs>
              <w:spacing w:line="240" w:lineRule="auto"/>
              <w:jc w:val="center"/>
              <w:rPr>
                <w:sz w:val="21"/>
                <w:szCs w:val="21"/>
              </w:rPr>
            </w:pPr>
            <w:r>
              <w:rPr>
                <w:sz w:val="21"/>
                <w:szCs w:val="21"/>
              </w:rPr>
              <w:t>臭气种类</w:t>
            </w:r>
          </w:p>
        </w:tc>
        <w:tc>
          <w:tcPr>
            <w:tcW w:w="1421" w:type="dxa"/>
            <w:tcBorders>
              <w:bottom w:val="single" w:color="auto" w:sz="12" w:space="0"/>
            </w:tcBorders>
            <w:vAlign w:val="center"/>
          </w:tcPr>
          <w:p w14:paraId="75EC60C4">
            <w:pPr>
              <w:tabs>
                <w:tab w:val="left" w:pos="1021"/>
              </w:tabs>
              <w:spacing w:line="240" w:lineRule="auto"/>
              <w:jc w:val="center"/>
              <w:rPr>
                <w:sz w:val="21"/>
                <w:szCs w:val="21"/>
              </w:rPr>
            </w:pPr>
            <w:r>
              <w:rPr>
                <w:sz w:val="21"/>
                <w:szCs w:val="21"/>
              </w:rPr>
              <w:t>臭气种类</w:t>
            </w:r>
          </w:p>
        </w:tc>
        <w:tc>
          <w:tcPr>
            <w:tcW w:w="1421" w:type="dxa"/>
            <w:tcBorders>
              <w:bottom w:val="single" w:color="auto" w:sz="12" w:space="0"/>
              <w:right w:val="single" w:color="auto" w:sz="12" w:space="0"/>
            </w:tcBorders>
            <w:vAlign w:val="center"/>
          </w:tcPr>
          <w:p w14:paraId="34E50653">
            <w:pPr>
              <w:tabs>
                <w:tab w:val="left" w:pos="1021"/>
              </w:tabs>
              <w:spacing w:line="240" w:lineRule="auto"/>
              <w:jc w:val="center"/>
              <w:rPr>
                <w:sz w:val="21"/>
                <w:szCs w:val="21"/>
              </w:rPr>
            </w:pPr>
            <w:r>
              <w:rPr>
                <w:sz w:val="21"/>
                <w:szCs w:val="21"/>
              </w:rPr>
              <w:t>臭气种类</w:t>
            </w:r>
          </w:p>
        </w:tc>
      </w:tr>
    </w:tbl>
    <w:p w14:paraId="56A8FFFA">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表4.3-6</w:t>
      </w: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 </w:t>
      </w:r>
      <w:r>
        <w:rPr>
          <w:rFonts w:hint="eastAsia"/>
        </w:rPr>
        <w:t>恶臭强度分类法</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32BA4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top w:val="single" w:color="auto" w:sz="12" w:space="0"/>
              <w:left w:val="single" w:color="auto" w:sz="12" w:space="0"/>
            </w:tcBorders>
          </w:tcPr>
          <w:p w14:paraId="66C6A9CD">
            <w:pPr>
              <w:tabs>
                <w:tab w:val="left" w:pos="1021"/>
              </w:tabs>
              <w:spacing w:line="240" w:lineRule="auto"/>
              <w:jc w:val="center"/>
              <w:rPr>
                <w:sz w:val="21"/>
                <w:szCs w:val="21"/>
              </w:rPr>
            </w:pPr>
            <w:r>
              <w:rPr>
                <w:rFonts w:hint="eastAsia"/>
                <w:sz w:val="21"/>
                <w:szCs w:val="21"/>
              </w:rPr>
              <w:t>恶臭强度级别</w:t>
            </w:r>
          </w:p>
        </w:tc>
        <w:tc>
          <w:tcPr>
            <w:tcW w:w="4261" w:type="dxa"/>
            <w:tcBorders>
              <w:top w:val="single" w:color="auto" w:sz="12" w:space="0"/>
              <w:right w:val="single" w:color="auto" w:sz="12" w:space="0"/>
            </w:tcBorders>
          </w:tcPr>
          <w:p w14:paraId="6554E716">
            <w:pPr>
              <w:tabs>
                <w:tab w:val="left" w:pos="1021"/>
              </w:tabs>
              <w:spacing w:line="240" w:lineRule="auto"/>
              <w:jc w:val="center"/>
              <w:rPr>
                <w:sz w:val="21"/>
                <w:szCs w:val="21"/>
              </w:rPr>
            </w:pPr>
            <w:r>
              <w:rPr>
                <w:rFonts w:hint="eastAsia"/>
                <w:sz w:val="21"/>
                <w:szCs w:val="21"/>
              </w:rPr>
              <w:t>恶臭强度级别</w:t>
            </w:r>
          </w:p>
        </w:tc>
      </w:tr>
      <w:tr w14:paraId="31521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left w:val="single" w:color="auto" w:sz="12" w:space="0"/>
            </w:tcBorders>
          </w:tcPr>
          <w:p w14:paraId="646B4BE2">
            <w:pPr>
              <w:tabs>
                <w:tab w:val="left" w:pos="1021"/>
              </w:tabs>
              <w:spacing w:line="240" w:lineRule="auto"/>
              <w:jc w:val="center"/>
              <w:rPr>
                <w:sz w:val="21"/>
                <w:szCs w:val="21"/>
              </w:rPr>
            </w:pPr>
            <w:r>
              <w:rPr>
                <w:rFonts w:hint="eastAsia"/>
                <w:sz w:val="21"/>
                <w:szCs w:val="21"/>
              </w:rPr>
              <w:t>嗅感对臭气的反应</w:t>
            </w:r>
          </w:p>
        </w:tc>
        <w:tc>
          <w:tcPr>
            <w:tcW w:w="4261" w:type="dxa"/>
            <w:tcBorders>
              <w:right w:val="single" w:color="auto" w:sz="12" w:space="0"/>
            </w:tcBorders>
          </w:tcPr>
          <w:p w14:paraId="492F8976">
            <w:pPr>
              <w:tabs>
                <w:tab w:val="left" w:pos="1021"/>
              </w:tabs>
              <w:spacing w:line="240" w:lineRule="auto"/>
              <w:jc w:val="center"/>
              <w:rPr>
                <w:sz w:val="21"/>
                <w:szCs w:val="21"/>
              </w:rPr>
            </w:pPr>
            <w:r>
              <w:rPr>
                <w:rFonts w:hint="eastAsia"/>
                <w:sz w:val="21"/>
                <w:szCs w:val="21"/>
              </w:rPr>
              <w:t>嗅感对臭气的反应</w:t>
            </w:r>
          </w:p>
        </w:tc>
      </w:tr>
      <w:tr w14:paraId="6B388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left w:val="single" w:color="auto" w:sz="12" w:space="0"/>
            </w:tcBorders>
          </w:tcPr>
          <w:p w14:paraId="3B52BF79">
            <w:pPr>
              <w:tabs>
                <w:tab w:val="left" w:pos="1021"/>
              </w:tabs>
              <w:spacing w:line="240" w:lineRule="auto"/>
              <w:jc w:val="center"/>
              <w:rPr>
                <w:sz w:val="21"/>
                <w:szCs w:val="21"/>
              </w:rPr>
            </w:pPr>
            <w:r>
              <w:rPr>
                <w:sz w:val="21"/>
                <w:szCs w:val="21"/>
              </w:rPr>
              <w:t>0</w:t>
            </w:r>
          </w:p>
        </w:tc>
        <w:tc>
          <w:tcPr>
            <w:tcW w:w="4261" w:type="dxa"/>
            <w:tcBorders>
              <w:right w:val="single" w:color="auto" w:sz="12" w:space="0"/>
            </w:tcBorders>
          </w:tcPr>
          <w:p w14:paraId="6DCB750D">
            <w:pPr>
              <w:tabs>
                <w:tab w:val="left" w:pos="1021"/>
              </w:tabs>
              <w:spacing w:line="240" w:lineRule="auto"/>
              <w:jc w:val="center"/>
              <w:rPr>
                <w:sz w:val="21"/>
                <w:szCs w:val="21"/>
              </w:rPr>
            </w:pPr>
            <w:r>
              <w:rPr>
                <w:sz w:val="21"/>
                <w:szCs w:val="21"/>
              </w:rPr>
              <w:t>0</w:t>
            </w:r>
          </w:p>
        </w:tc>
      </w:tr>
      <w:tr w14:paraId="78412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left w:val="single" w:color="auto" w:sz="12" w:space="0"/>
            </w:tcBorders>
          </w:tcPr>
          <w:p w14:paraId="33E6C74F">
            <w:pPr>
              <w:tabs>
                <w:tab w:val="left" w:pos="1021"/>
              </w:tabs>
              <w:spacing w:line="240" w:lineRule="auto"/>
              <w:jc w:val="center"/>
              <w:rPr>
                <w:sz w:val="21"/>
                <w:szCs w:val="21"/>
              </w:rPr>
            </w:pPr>
            <w:r>
              <w:rPr>
                <w:rFonts w:hint="eastAsia"/>
                <w:sz w:val="21"/>
                <w:szCs w:val="21"/>
              </w:rPr>
              <w:t>未闻到任何气味，无任何反应</w:t>
            </w:r>
          </w:p>
        </w:tc>
        <w:tc>
          <w:tcPr>
            <w:tcW w:w="4261" w:type="dxa"/>
            <w:tcBorders>
              <w:right w:val="single" w:color="auto" w:sz="12" w:space="0"/>
            </w:tcBorders>
          </w:tcPr>
          <w:p w14:paraId="6748963B">
            <w:pPr>
              <w:tabs>
                <w:tab w:val="left" w:pos="1021"/>
              </w:tabs>
              <w:spacing w:line="240" w:lineRule="auto"/>
              <w:jc w:val="center"/>
              <w:rPr>
                <w:sz w:val="21"/>
                <w:szCs w:val="21"/>
              </w:rPr>
            </w:pPr>
            <w:r>
              <w:rPr>
                <w:rFonts w:hint="eastAsia"/>
                <w:sz w:val="21"/>
                <w:szCs w:val="21"/>
              </w:rPr>
              <w:t xml:space="preserve">未闻到任何气味，无任何反应 </w:t>
            </w:r>
          </w:p>
        </w:tc>
      </w:tr>
      <w:tr w14:paraId="6D0F0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left w:val="single" w:color="auto" w:sz="12" w:space="0"/>
            </w:tcBorders>
          </w:tcPr>
          <w:p w14:paraId="38D4E860">
            <w:pPr>
              <w:tabs>
                <w:tab w:val="left" w:pos="1021"/>
              </w:tabs>
              <w:spacing w:line="240" w:lineRule="auto"/>
              <w:jc w:val="center"/>
              <w:rPr>
                <w:sz w:val="21"/>
                <w:szCs w:val="21"/>
              </w:rPr>
            </w:pPr>
            <w:r>
              <w:rPr>
                <w:sz w:val="21"/>
                <w:szCs w:val="21"/>
              </w:rPr>
              <w:t>1</w:t>
            </w:r>
          </w:p>
        </w:tc>
        <w:tc>
          <w:tcPr>
            <w:tcW w:w="4261" w:type="dxa"/>
            <w:tcBorders>
              <w:right w:val="single" w:color="auto" w:sz="12" w:space="0"/>
            </w:tcBorders>
          </w:tcPr>
          <w:p w14:paraId="2C3852E7">
            <w:pPr>
              <w:tabs>
                <w:tab w:val="left" w:pos="1021"/>
              </w:tabs>
              <w:spacing w:line="240" w:lineRule="auto"/>
              <w:jc w:val="center"/>
              <w:rPr>
                <w:sz w:val="21"/>
                <w:szCs w:val="21"/>
              </w:rPr>
            </w:pPr>
            <w:r>
              <w:rPr>
                <w:sz w:val="21"/>
                <w:szCs w:val="21"/>
              </w:rPr>
              <w:t>1</w:t>
            </w:r>
          </w:p>
        </w:tc>
      </w:tr>
      <w:tr w14:paraId="7F9E0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left w:val="single" w:color="auto" w:sz="12" w:space="0"/>
            </w:tcBorders>
          </w:tcPr>
          <w:p w14:paraId="189C3925">
            <w:pPr>
              <w:tabs>
                <w:tab w:val="left" w:pos="1021"/>
              </w:tabs>
              <w:spacing w:line="240" w:lineRule="auto"/>
              <w:jc w:val="center"/>
              <w:rPr>
                <w:sz w:val="21"/>
                <w:szCs w:val="21"/>
              </w:rPr>
            </w:pPr>
            <w:r>
              <w:rPr>
                <w:rFonts w:hint="eastAsia"/>
                <w:sz w:val="21"/>
                <w:szCs w:val="21"/>
              </w:rPr>
              <w:t>勉强闻到气味，不易辨认臭气性质，感到无所谓</w:t>
            </w:r>
          </w:p>
        </w:tc>
        <w:tc>
          <w:tcPr>
            <w:tcW w:w="4261" w:type="dxa"/>
            <w:tcBorders>
              <w:right w:val="single" w:color="auto" w:sz="12" w:space="0"/>
            </w:tcBorders>
          </w:tcPr>
          <w:p w14:paraId="7686B2D4">
            <w:pPr>
              <w:tabs>
                <w:tab w:val="left" w:pos="1021"/>
              </w:tabs>
              <w:spacing w:line="240" w:lineRule="auto"/>
              <w:jc w:val="center"/>
              <w:rPr>
                <w:sz w:val="21"/>
                <w:szCs w:val="21"/>
              </w:rPr>
            </w:pPr>
            <w:r>
              <w:rPr>
                <w:rFonts w:hint="eastAsia"/>
                <w:sz w:val="21"/>
                <w:szCs w:val="21"/>
              </w:rPr>
              <w:t>勉强闻到气味，不易辨认臭气性质，感到无所谓</w:t>
            </w:r>
          </w:p>
        </w:tc>
      </w:tr>
      <w:tr w14:paraId="05805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Borders>
              <w:left w:val="single" w:color="auto" w:sz="12" w:space="0"/>
              <w:bottom w:val="single" w:color="auto" w:sz="12" w:space="0"/>
            </w:tcBorders>
          </w:tcPr>
          <w:p w14:paraId="2480619B">
            <w:pPr>
              <w:tabs>
                <w:tab w:val="left" w:pos="1021"/>
              </w:tabs>
              <w:spacing w:line="240" w:lineRule="auto"/>
              <w:jc w:val="center"/>
              <w:rPr>
                <w:sz w:val="21"/>
                <w:szCs w:val="21"/>
              </w:rPr>
            </w:pPr>
            <w:r>
              <w:rPr>
                <w:sz w:val="21"/>
                <w:szCs w:val="21"/>
              </w:rPr>
              <w:t>2</w:t>
            </w:r>
          </w:p>
        </w:tc>
        <w:tc>
          <w:tcPr>
            <w:tcW w:w="4261" w:type="dxa"/>
            <w:tcBorders>
              <w:bottom w:val="single" w:color="auto" w:sz="12" w:space="0"/>
              <w:right w:val="single" w:color="auto" w:sz="12" w:space="0"/>
            </w:tcBorders>
          </w:tcPr>
          <w:p w14:paraId="7718E71F">
            <w:pPr>
              <w:tabs>
                <w:tab w:val="left" w:pos="1021"/>
              </w:tabs>
              <w:spacing w:line="240" w:lineRule="auto"/>
              <w:jc w:val="center"/>
              <w:rPr>
                <w:sz w:val="21"/>
                <w:szCs w:val="21"/>
              </w:rPr>
            </w:pPr>
            <w:r>
              <w:rPr>
                <w:sz w:val="21"/>
                <w:szCs w:val="21"/>
              </w:rPr>
              <w:t>2</w:t>
            </w:r>
          </w:p>
        </w:tc>
      </w:tr>
    </w:tbl>
    <w:p w14:paraId="4B374BC8">
      <w:pPr>
        <w:ind w:firstLine="480"/>
      </w:pPr>
      <w:r>
        <w:t>感官测定法是将嗅觉器官感觉到的臭气强度与强度分级表对照而得出臭气强度等级的方法。它的优点是适用范围广，可用于不了解臭气成分的场合；单一或多组分均可给出总强度；无需复杂操作与熟练技术。依据感官测定法确定项目臭气强度为2级。环评要求公司应定期检查生产设备和管道的密封情况，加强员工的操作和管理，尽可能减少无组织排放的发生，确保恶臭可以达到《恶臭污染物排放标准》（GB14554-93）表1中二级标准、表2标准要求。</w:t>
      </w:r>
      <w:bookmarkEnd w:id="92"/>
      <w:bookmarkEnd w:id="93"/>
    </w:p>
    <w:p w14:paraId="566EDAFD">
      <w:pPr>
        <w:ind w:left="480" w:leftChars="200"/>
      </w:pPr>
      <w:r>
        <w:rPr>
          <w:rFonts w:hint="eastAsia"/>
        </w:rPr>
        <w:t>3</w:t>
      </w:r>
      <w:r>
        <w:t>.天然气燃烧废气收集及排放（G</w:t>
      </w:r>
      <w:r>
        <w:rPr>
          <w:rFonts w:hint="eastAsia"/>
        </w:rPr>
        <w:t>8、G9</w:t>
      </w:r>
      <w:r>
        <w:t>）</w:t>
      </w:r>
    </w:p>
    <w:p w14:paraId="0B891491">
      <w:pPr>
        <w:ind w:firstLine="480"/>
      </w:pPr>
      <w:r>
        <w:t>本项目导热油锅炉及印刷烘干的热水锅炉</w:t>
      </w:r>
      <w:r>
        <w:rPr>
          <w:rFonts w:hint="eastAsia"/>
        </w:rPr>
        <w:t>均</w:t>
      </w:r>
      <w:r>
        <w:t>使用天然气，</w:t>
      </w:r>
      <w:r>
        <w:rPr>
          <w:rFonts w:hint="eastAsia"/>
        </w:rPr>
        <w:t>两个</w:t>
      </w:r>
      <w:r>
        <w:t>锅炉天然气燃烧废气合并至16m排气筒（DA002）外排</w:t>
      </w:r>
      <w:r>
        <w:rPr>
          <w:rFonts w:hint="eastAsia"/>
        </w:rPr>
        <w:t>。</w:t>
      </w:r>
    </w:p>
    <w:p w14:paraId="3AA64C20">
      <w:pPr>
        <w:ind w:firstLine="480"/>
      </w:pPr>
      <w:r>
        <w:t>（</w:t>
      </w:r>
      <w:r>
        <w:rPr>
          <w:rFonts w:hint="eastAsia"/>
        </w:rPr>
        <w:t>1</w:t>
      </w:r>
      <w:r>
        <w:t>）导热油锅炉天然气燃烧</w:t>
      </w:r>
      <w:r>
        <w:rPr>
          <w:rFonts w:hint="eastAsia"/>
        </w:rPr>
        <w:t>（</w:t>
      </w:r>
      <w:r>
        <w:t>G</w:t>
      </w:r>
      <w:r>
        <w:rPr>
          <w:rFonts w:hint="eastAsia"/>
        </w:rPr>
        <w:t>8）</w:t>
      </w:r>
    </w:p>
    <w:p w14:paraId="59B457BF">
      <w:pPr>
        <w:ind w:firstLine="480"/>
      </w:pPr>
      <w:r>
        <w:t>本项目使用1台天然气导热油锅炉，</w:t>
      </w:r>
      <w:r>
        <w:rPr>
          <w:rFonts w:hint="eastAsia"/>
        </w:rPr>
        <w:t>用于浓缩</w:t>
      </w:r>
      <w:r>
        <w:t>吸附装置有机废气脱附和溶剂提纯环节</w:t>
      </w:r>
      <w:r>
        <w:rPr>
          <w:rFonts w:hint="eastAsia"/>
        </w:rPr>
        <w:t>提供热源。</w:t>
      </w:r>
      <w:r>
        <w:t>天然气在燃烧过程中会产生一定量的SO</w:t>
      </w:r>
      <w:r>
        <w:rPr>
          <w:vertAlign w:val="subscript"/>
        </w:rPr>
        <w:t>2</w:t>
      </w:r>
      <w:r>
        <w:t>、NOx和烟尘。本次变更增加了产能，脱附和提纯的频率增加，</w:t>
      </w:r>
      <w:r>
        <w:rPr>
          <w:rFonts w:hint="eastAsia"/>
        </w:rPr>
        <w:t>导热油锅炉</w:t>
      </w:r>
      <w:r>
        <w:t>天然气年用量由</w:t>
      </w:r>
      <w:r>
        <w:rPr>
          <w:rFonts w:hint="eastAsia"/>
        </w:rPr>
        <w:t>36增加至66</w:t>
      </w:r>
      <w:r>
        <w:t>万m</w:t>
      </w:r>
      <w:r>
        <w:rPr>
          <w:vertAlign w:val="superscript"/>
        </w:rPr>
        <w:t>3</w:t>
      </w:r>
      <w:r>
        <w:t>，采取低氮燃烧法，废气经16mDA002排气筒高空排放，工作时间为</w:t>
      </w:r>
      <w:r>
        <w:rPr>
          <w:rFonts w:hint="eastAsia"/>
        </w:rPr>
        <w:t>8160</w:t>
      </w:r>
      <w:r>
        <w:t>h，排放风量为2000m</w:t>
      </w:r>
      <w:r>
        <w:rPr>
          <w:vertAlign w:val="superscript"/>
        </w:rPr>
        <w:t>3</w:t>
      </w:r>
      <w:r>
        <w:t>/h。</w:t>
      </w:r>
    </w:p>
    <w:p w14:paraId="5DFE2EDA">
      <w:pPr>
        <w:ind w:firstLine="480"/>
        <w:jc w:val="left"/>
      </w:pPr>
      <w:r>
        <w:t>根据</w:t>
      </w:r>
      <w:r>
        <w:rPr>
          <w:rFonts w:hint="eastAsia" w:ascii="宋体" w:hAnsi="宋体" w:cs="宋体"/>
          <w:color w:val="000000"/>
          <w:kern w:val="0"/>
          <w:lang w:bidi="ar"/>
        </w:rPr>
        <w:t>参照《排污许可证申请与核发技术规范 锅炉》（</w:t>
      </w:r>
      <w:r>
        <w:rPr>
          <w:color w:val="000000"/>
          <w:kern w:val="0"/>
          <w:lang w:bidi="ar"/>
        </w:rPr>
        <w:t>HJ953-2018</w:t>
      </w:r>
      <w:r>
        <w:rPr>
          <w:rFonts w:hint="eastAsia" w:ascii="宋体" w:hAnsi="宋体" w:cs="宋体"/>
          <w:color w:val="000000"/>
          <w:kern w:val="0"/>
          <w:lang w:bidi="ar"/>
        </w:rPr>
        <w:t>）中表</w:t>
      </w:r>
      <w:r>
        <w:rPr>
          <w:color w:val="000000"/>
          <w:kern w:val="0"/>
          <w:lang w:bidi="ar"/>
        </w:rPr>
        <w:t>F.3</w:t>
      </w:r>
      <w:r>
        <w:rPr>
          <w:rFonts w:hint="eastAsia" w:ascii="宋体" w:hAnsi="宋体" w:cs="宋体"/>
          <w:color w:val="000000"/>
          <w:kern w:val="0"/>
          <w:lang w:bidi="ar"/>
        </w:rPr>
        <w:t>燃气工业锅炉的废气产排污系数</w:t>
      </w:r>
      <w:r>
        <w:t>中提供的</w:t>
      </w:r>
      <w:r>
        <w:rPr>
          <w:rFonts w:hint="eastAsia"/>
        </w:rPr>
        <w:t>颗粒物、</w:t>
      </w:r>
      <w:r>
        <w:t>二氧化硫、氮氧化物产排污系数，同时根据同类企业的实际排污情况，确定本项目天然气燃烧器污染物产排放情况见表4.3-</w:t>
      </w:r>
      <w:r>
        <w:rPr>
          <w:rFonts w:hint="eastAsia"/>
        </w:rPr>
        <w:t>7</w:t>
      </w:r>
      <w:r>
        <w:t>。</w:t>
      </w:r>
    </w:p>
    <w:p w14:paraId="56F179B3">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表4.3-7 </w:t>
      </w:r>
      <w:r>
        <w:rPr>
          <w:rFonts w:hint="eastAsia"/>
        </w:rPr>
        <w:t>导热油锅炉天然气燃烧污染物产排污情况</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81"/>
        <w:gridCol w:w="871"/>
        <w:gridCol w:w="2167"/>
        <w:gridCol w:w="662"/>
        <w:gridCol w:w="1038"/>
        <w:gridCol w:w="1049"/>
        <w:gridCol w:w="1028"/>
        <w:gridCol w:w="1226"/>
      </w:tblGrid>
      <w:tr w14:paraId="081D8C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6" w:hRule="atLeast"/>
          <w:jc w:val="center"/>
        </w:trPr>
        <w:tc>
          <w:tcPr>
            <w:tcW w:w="481" w:type="dxa"/>
            <w:tcBorders>
              <w:tl2br w:val="nil"/>
              <w:tr2bl w:val="nil"/>
            </w:tcBorders>
            <w:vAlign w:val="center"/>
          </w:tcPr>
          <w:p w14:paraId="7CC2B9DB">
            <w:pPr>
              <w:tabs>
                <w:tab w:val="left" w:pos="1021"/>
              </w:tabs>
              <w:spacing w:line="240" w:lineRule="auto"/>
              <w:jc w:val="center"/>
              <w:rPr>
                <w:sz w:val="21"/>
                <w:szCs w:val="21"/>
              </w:rPr>
            </w:pPr>
            <w:r>
              <w:rPr>
                <w:sz w:val="21"/>
                <w:szCs w:val="21"/>
              </w:rPr>
              <w:t>原料</w:t>
            </w:r>
          </w:p>
        </w:tc>
        <w:tc>
          <w:tcPr>
            <w:tcW w:w="871" w:type="dxa"/>
            <w:tcBorders>
              <w:tl2br w:val="nil"/>
              <w:tr2bl w:val="nil"/>
            </w:tcBorders>
            <w:vAlign w:val="center"/>
          </w:tcPr>
          <w:p w14:paraId="5059990F">
            <w:pPr>
              <w:tabs>
                <w:tab w:val="left" w:pos="1021"/>
              </w:tabs>
              <w:spacing w:line="240" w:lineRule="auto"/>
              <w:jc w:val="center"/>
              <w:rPr>
                <w:sz w:val="21"/>
                <w:szCs w:val="21"/>
              </w:rPr>
            </w:pPr>
            <w:r>
              <w:rPr>
                <w:sz w:val="21"/>
                <w:szCs w:val="21"/>
              </w:rPr>
              <w:t>污染物</w:t>
            </w:r>
          </w:p>
        </w:tc>
        <w:tc>
          <w:tcPr>
            <w:tcW w:w="2167" w:type="dxa"/>
            <w:tcBorders>
              <w:tl2br w:val="nil"/>
              <w:tr2bl w:val="nil"/>
            </w:tcBorders>
            <w:vAlign w:val="center"/>
          </w:tcPr>
          <w:p w14:paraId="3854B10D">
            <w:pPr>
              <w:tabs>
                <w:tab w:val="left" w:pos="1021"/>
              </w:tabs>
              <w:spacing w:line="240" w:lineRule="auto"/>
              <w:jc w:val="center"/>
              <w:rPr>
                <w:sz w:val="21"/>
                <w:szCs w:val="21"/>
              </w:rPr>
            </w:pPr>
            <w:r>
              <w:rPr>
                <w:sz w:val="21"/>
                <w:szCs w:val="21"/>
              </w:rPr>
              <w:t>产污系数</w:t>
            </w:r>
          </w:p>
        </w:tc>
        <w:tc>
          <w:tcPr>
            <w:tcW w:w="662" w:type="dxa"/>
            <w:tcBorders>
              <w:tl2br w:val="nil"/>
              <w:tr2bl w:val="nil"/>
            </w:tcBorders>
            <w:vAlign w:val="center"/>
          </w:tcPr>
          <w:p w14:paraId="3D642E2C">
            <w:pPr>
              <w:tabs>
                <w:tab w:val="left" w:pos="1021"/>
              </w:tabs>
              <w:spacing w:line="240" w:lineRule="auto"/>
              <w:jc w:val="center"/>
              <w:rPr>
                <w:sz w:val="21"/>
                <w:szCs w:val="21"/>
              </w:rPr>
            </w:pPr>
            <w:r>
              <w:rPr>
                <w:sz w:val="21"/>
                <w:szCs w:val="21"/>
              </w:rPr>
              <w:t>污染防治措施</w:t>
            </w:r>
          </w:p>
        </w:tc>
        <w:tc>
          <w:tcPr>
            <w:tcW w:w="1038" w:type="dxa"/>
            <w:tcBorders>
              <w:tl2br w:val="nil"/>
              <w:tr2bl w:val="nil"/>
            </w:tcBorders>
            <w:vAlign w:val="center"/>
          </w:tcPr>
          <w:p w14:paraId="361407E0">
            <w:pPr>
              <w:tabs>
                <w:tab w:val="left" w:pos="1021"/>
              </w:tabs>
              <w:spacing w:line="240" w:lineRule="auto"/>
              <w:jc w:val="center"/>
              <w:rPr>
                <w:sz w:val="21"/>
                <w:szCs w:val="21"/>
              </w:rPr>
            </w:pPr>
            <w:r>
              <w:rPr>
                <w:sz w:val="21"/>
                <w:szCs w:val="21"/>
              </w:rPr>
              <w:t>排气筒</w:t>
            </w:r>
          </w:p>
          <w:p w14:paraId="344ED982">
            <w:pPr>
              <w:tabs>
                <w:tab w:val="left" w:pos="1021"/>
              </w:tabs>
              <w:spacing w:line="240" w:lineRule="auto"/>
              <w:jc w:val="center"/>
              <w:rPr>
                <w:sz w:val="21"/>
                <w:szCs w:val="21"/>
              </w:rPr>
            </w:pPr>
            <w:r>
              <w:rPr>
                <w:sz w:val="21"/>
                <w:szCs w:val="21"/>
              </w:rPr>
              <w:t>数量</w:t>
            </w:r>
          </w:p>
        </w:tc>
        <w:tc>
          <w:tcPr>
            <w:tcW w:w="1049" w:type="dxa"/>
            <w:tcBorders>
              <w:tl2br w:val="nil"/>
              <w:tr2bl w:val="nil"/>
            </w:tcBorders>
            <w:vAlign w:val="center"/>
          </w:tcPr>
          <w:p w14:paraId="65BCDA39">
            <w:pPr>
              <w:tabs>
                <w:tab w:val="left" w:pos="1021"/>
              </w:tabs>
              <w:spacing w:line="240" w:lineRule="auto"/>
              <w:jc w:val="center"/>
              <w:rPr>
                <w:sz w:val="21"/>
                <w:szCs w:val="21"/>
              </w:rPr>
            </w:pPr>
            <w:r>
              <w:rPr>
                <w:sz w:val="21"/>
                <w:szCs w:val="21"/>
              </w:rPr>
              <w:t>排放量t/a</w:t>
            </w:r>
          </w:p>
        </w:tc>
        <w:tc>
          <w:tcPr>
            <w:tcW w:w="1028" w:type="dxa"/>
            <w:tcBorders>
              <w:tl2br w:val="nil"/>
              <w:tr2bl w:val="nil"/>
            </w:tcBorders>
            <w:vAlign w:val="center"/>
          </w:tcPr>
          <w:p w14:paraId="18F97725">
            <w:pPr>
              <w:tabs>
                <w:tab w:val="left" w:pos="1021"/>
              </w:tabs>
              <w:spacing w:line="240" w:lineRule="auto"/>
              <w:jc w:val="center"/>
              <w:rPr>
                <w:sz w:val="21"/>
                <w:szCs w:val="21"/>
              </w:rPr>
            </w:pPr>
            <w:r>
              <w:rPr>
                <w:sz w:val="21"/>
                <w:szCs w:val="21"/>
              </w:rPr>
              <w:t>排放速率kg/h</w:t>
            </w:r>
          </w:p>
        </w:tc>
        <w:tc>
          <w:tcPr>
            <w:tcW w:w="1226" w:type="dxa"/>
            <w:tcBorders>
              <w:tl2br w:val="nil"/>
              <w:tr2bl w:val="nil"/>
            </w:tcBorders>
            <w:vAlign w:val="center"/>
          </w:tcPr>
          <w:p w14:paraId="44EDF576">
            <w:pPr>
              <w:tabs>
                <w:tab w:val="left" w:pos="1021"/>
              </w:tabs>
              <w:spacing w:line="240" w:lineRule="auto"/>
              <w:jc w:val="center"/>
              <w:rPr>
                <w:sz w:val="21"/>
                <w:szCs w:val="21"/>
              </w:rPr>
            </w:pPr>
            <w:r>
              <w:rPr>
                <w:sz w:val="21"/>
                <w:szCs w:val="21"/>
              </w:rPr>
              <w:t>排放浓度mg/m</w:t>
            </w:r>
            <w:r>
              <w:rPr>
                <w:sz w:val="21"/>
                <w:szCs w:val="21"/>
                <w:vertAlign w:val="superscript"/>
              </w:rPr>
              <w:t>3</w:t>
            </w:r>
          </w:p>
        </w:tc>
      </w:tr>
      <w:tr w14:paraId="253B2B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1" w:type="dxa"/>
            <w:vMerge w:val="restart"/>
            <w:tcBorders>
              <w:top w:val="single" w:color="auto" w:sz="4" w:space="0"/>
              <w:tl2br w:val="nil"/>
              <w:tr2bl w:val="nil"/>
            </w:tcBorders>
            <w:vAlign w:val="center"/>
          </w:tcPr>
          <w:p w14:paraId="40EDB51E">
            <w:pPr>
              <w:tabs>
                <w:tab w:val="left" w:pos="1021"/>
              </w:tabs>
              <w:spacing w:line="240" w:lineRule="auto"/>
              <w:jc w:val="center"/>
              <w:rPr>
                <w:sz w:val="21"/>
                <w:szCs w:val="21"/>
              </w:rPr>
            </w:pPr>
            <w:r>
              <w:rPr>
                <w:sz w:val="21"/>
                <w:szCs w:val="21"/>
              </w:rPr>
              <w:t>天然气</w:t>
            </w:r>
          </w:p>
        </w:tc>
        <w:tc>
          <w:tcPr>
            <w:tcW w:w="871" w:type="dxa"/>
            <w:tcBorders>
              <w:top w:val="single" w:color="auto" w:sz="4" w:space="0"/>
              <w:tl2br w:val="nil"/>
              <w:tr2bl w:val="nil"/>
            </w:tcBorders>
            <w:vAlign w:val="center"/>
          </w:tcPr>
          <w:p w14:paraId="6AF3DEF9">
            <w:pPr>
              <w:tabs>
                <w:tab w:val="left" w:pos="1021"/>
              </w:tabs>
              <w:spacing w:line="240" w:lineRule="auto"/>
              <w:jc w:val="center"/>
              <w:rPr>
                <w:sz w:val="21"/>
                <w:szCs w:val="21"/>
              </w:rPr>
            </w:pPr>
            <w:r>
              <w:rPr>
                <w:sz w:val="21"/>
                <w:szCs w:val="21"/>
              </w:rPr>
              <w:t>颗粒物</w:t>
            </w:r>
          </w:p>
        </w:tc>
        <w:tc>
          <w:tcPr>
            <w:tcW w:w="2167" w:type="dxa"/>
            <w:tcBorders>
              <w:top w:val="single" w:color="auto" w:sz="4" w:space="0"/>
              <w:tl2br w:val="nil"/>
              <w:tr2bl w:val="nil"/>
            </w:tcBorders>
            <w:vAlign w:val="center"/>
          </w:tcPr>
          <w:p w14:paraId="2B53677C">
            <w:pPr>
              <w:tabs>
                <w:tab w:val="left" w:pos="1021"/>
              </w:tabs>
              <w:spacing w:line="240" w:lineRule="auto"/>
              <w:jc w:val="center"/>
              <w:rPr>
                <w:sz w:val="21"/>
                <w:szCs w:val="21"/>
              </w:rPr>
            </w:pPr>
            <w:r>
              <w:rPr>
                <w:rFonts w:hint="eastAsia"/>
                <w:sz w:val="21"/>
                <w:szCs w:val="21"/>
              </w:rPr>
              <w:t>2.86</w:t>
            </w:r>
            <w:r>
              <w:rPr>
                <w:sz w:val="21"/>
                <w:szCs w:val="21"/>
              </w:rPr>
              <w:t>kg/万m</w:t>
            </w:r>
            <w:r>
              <w:rPr>
                <w:sz w:val="21"/>
                <w:szCs w:val="21"/>
                <w:vertAlign w:val="superscript"/>
              </w:rPr>
              <w:t>3</w:t>
            </w:r>
            <w:r>
              <w:rPr>
                <w:sz w:val="21"/>
                <w:szCs w:val="21"/>
              </w:rPr>
              <w:t>-原料</w:t>
            </w:r>
          </w:p>
        </w:tc>
        <w:tc>
          <w:tcPr>
            <w:tcW w:w="662" w:type="dxa"/>
            <w:vMerge w:val="restart"/>
            <w:tcBorders>
              <w:top w:val="single" w:color="auto" w:sz="4" w:space="0"/>
              <w:tl2br w:val="nil"/>
              <w:tr2bl w:val="nil"/>
            </w:tcBorders>
            <w:vAlign w:val="center"/>
          </w:tcPr>
          <w:p w14:paraId="16754A52">
            <w:pPr>
              <w:tabs>
                <w:tab w:val="left" w:pos="1021"/>
              </w:tabs>
              <w:spacing w:line="240" w:lineRule="auto"/>
              <w:jc w:val="center"/>
              <w:rPr>
                <w:sz w:val="21"/>
                <w:szCs w:val="21"/>
              </w:rPr>
            </w:pPr>
            <w:r>
              <w:rPr>
                <w:sz w:val="21"/>
                <w:szCs w:val="21"/>
              </w:rPr>
              <w:t>低氮燃烧</w:t>
            </w:r>
          </w:p>
        </w:tc>
        <w:tc>
          <w:tcPr>
            <w:tcW w:w="1038" w:type="dxa"/>
            <w:vMerge w:val="restart"/>
            <w:tcBorders>
              <w:top w:val="single" w:color="auto" w:sz="4" w:space="0"/>
              <w:tl2br w:val="nil"/>
              <w:tr2bl w:val="nil"/>
            </w:tcBorders>
            <w:vAlign w:val="center"/>
          </w:tcPr>
          <w:p w14:paraId="7B817622">
            <w:pPr>
              <w:tabs>
                <w:tab w:val="left" w:pos="1021"/>
              </w:tabs>
              <w:spacing w:line="240" w:lineRule="auto"/>
              <w:jc w:val="center"/>
              <w:rPr>
                <w:sz w:val="21"/>
                <w:szCs w:val="21"/>
              </w:rPr>
            </w:pPr>
            <w:r>
              <w:rPr>
                <w:rFonts w:hint="eastAsia"/>
                <w:sz w:val="21"/>
                <w:szCs w:val="21"/>
              </w:rPr>
              <w:t>DA002</w:t>
            </w:r>
          </w:p>
        </w:tc>
        <w:tc>
          <w:tcPr>
            <w:tcW w:w="1049" w:type="dxa"/>
            <w:tcBorders>
              <w:top w:val="single" w:color="auto" w:sz="4" w:space="0"/>
              <w:tl2br w:val="nil"/>
              <w:tr2bl w:val="nil"/>
            </w:tcBorders>
            <w:vAlign w:val="center"/>
          </w:tcPr>
          <w:p w14:paraId="2332A942">
            <w:pPr>
              <w:tabs>
                <w:tab w:val="left" w:pos="1021"/>
              </w:tabs>
              <w:spacing w:line="240" w:lineRule="auto"/>
              <w:jc w:val="center"/>
              <w:rPr>
                <w:color w:val="FF0000"/>
                <w:sz w:val="21"/>
                <w:szCs w:val="21"/>
              </w:rPr>
            </w:pPr>
            <w:r>
              <w:rPr>
                <w:rFonts w:hint="eastAsia"/>
                <w:sz w:val="21"/>
                <w:szCs w:val="21"/>
              </w:rPr>
              <w:t>0.189</w:t>
            </w:r>
          </w:p>
        </w:tc>
        <w:tc>
          <w:tcPr>
            <w:tcW w:w="1028" w:type="dxa"/>
            <w:tcBorders>
              <w:top w:val="single" w:color="auto" w:sz="4" w:space="0"/>
              <w:tl2br w:val="nil"/>
              <w:tr2bl w:val="nil"/>
            </w:tcBorders>
            <w:vAlign w:val="center"/>
          </w:tcPr>
          <w:p w14:paraId="4507B29E">
            <w:pPr>
              <w:tabs>
                <w:tab w:val="left" w:pos="1021"/>
              </w:tabs>
              <w:spacing w:line="240" w:lineRule="auto"/>
              <w:jc w:val="center"/>
              <w:rPr>
                <w:sz w:val="21"/>
                <w:szCs w:val="21"/>
              </w:rPr>
            </w:pPr>
            <w:r>
              <w:rPr>
                <w:rFonts w:hint="eastAsia"/>
                <w:sz w:val="21"/>
                <w:szCs w:val="21"/>
              </w:rPr>
              <w:t>0.02</w:t>
            </w:r>
          </w:p>
        </w:tc>
        <w:tc>
          <w:tcPr>
            <w:tcW w:w="1226" w:type="dxa"/>
            <w:tcBorders>
              <w:tl2br w:val="nil"/>
              <w:tr2bl w:val="nil"/>
            </w:tcBorders>
            <w:vAlign w:val="center"/>
          </w:tcPr>
          <w:p w14:paraId="600E4115">
            <w:pPr>
              <w:tabs>
                <w:tab w:val="left" w:pos="1021"/>
              </w:tabs>
              <w:spacing w:line="240" w:lineRule="auto"/>
              <w:jc w:val="center"/>
              <w:rPr>
                <w:sz w:val="21"/>
                <w:szCs w:val="21"/>
              </w:rPr>
            </w:pPr>
            <w:r>
              <w:rPr>
                <w:rFonts w:hint="eastAsia"/>
                <w:sz w:val="21"/>
                <w:szCs w:val="21"/>
              </w:rPr>
              <w:t>11.0</w:t>
            </w:r>
          </w:p>
        </w:tc>
      </w:tr>
      <w:tr w14:paraId="42739E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481" w:type="dxa"/>
            <w:vMerge w:val="continue"/>
            <w:tcBorders>
              <w:tl2br w:val="nil"/>
              <w:tr2bl w:val="nil"/>
            </w:tcBorders>
            <w:vAlign w:val="center"/>
          </w:tcPr>
          <w:p w14:paraId="669B15A7">
            <w:pPr>
              <w:tabs>
                <w:tab w:val="left" w:pos="1021"/>
              </w:tabs>
              <w:spacing w:line="240" w:lineRule="auto"/>
              <w:jc w:val="center"/>
              <w:rPr>
                <w:sz w:val="21"/>
                <w:szCs w:val="21"/>
              </w:rPr>
            </w:pPr>
          </w:p>
        </w:tc>
        <w:tc>
          <w:tcPr>
            <w:tcW w:w="871" w:type="dxa"/>
            <w:tcBorders>
              <w:tl2br w:val="nil"/>
              <w:tr2bl w:val="nil"/>
            </w:tcBorders>
            <w:vAlign w:val="center"/>
          </w:tcPr>
          <w:p w14:paraId="0CAFE5CB">
            <w:pPr>
              <w:tabs>
                <w:tab w:val="left" w:pos="1021"/>
              </w:tabs>
              <w:spacing w:line="240" w:lineRule="auto"/>
              <w:jc w:val="center"/>
              <w:rPr>
                <w:sz w:val="21"/>
                <w:szCs w:val="21"/>
              </w:rPr>
            </w:pPr>
            <w:r>
              <w:rPr>
                <w:sz w:val="21"/>
                <w:szCs w:val="21"/>
              </w:rPr>
              <w:t>SO</w:t>
            </w:r>
            <w:r>
              <w:rPr>
                <w:sz w:val="21"/>
                <w:szCs w:val="21"/>
                <w:vertAlign w:val="subscript"/>
              </w:rPr>
              <w:t>2</w:t>
            </w:r>
          </w:p>
        </w:tc>
        <w:tc>
          <w:tcPr>
            <w:tcW w:w="2167" w:type="dxa"/>
            <w:tcBorders>
              <w:tl2br w:val="nil"/>
              <w:tr2bl w:val="nil"/>
            </w:tcBorders>
            <w:vAlign w:val="center"/>
          </w:tcPr>
          <w:p w14:paraId="45B7CC6B">
            <w:pPr>
              <w:tabs>
                <w:tab w:val="left" w:pos="1021"/>
              </w:tabs>
              <w:spacing w:line="240" w:lineRule="auto"/>
              <w:jc w:val="center"/>
              <w:rPr>
                <w:sz w:val="21"/>
                <w:szCs w:val="21"/>
              </w:rPr>
            </w:pPr>
            <w:r>
              <w:rPr>
                <w:sz w:val="21"/>
                <w:szCs w:val="21"/>
              </w:rPr>
              <w:t>0.02S①kg/万m</w:t>
            </w:r>
            <w:r>
              <w:rPr>
                <w:sz w:val="21"/>
                <w:szCs w:val="21"/>
                <w:vertAlign w:val="superscript"/>
              </w:rPr>
              <w:t>3</w:t>
            </w:r>
            <w:r>
              <w:rPr>
                <w:sz w:val="21"/>
                <w:szCs w:val="21"/>
              </w:rPr>
              <w:t>-原料</w:t>
            </w:r>
          </w:p>
        </w:tc>
        <w:tc>
          <w:tcPr>
            <w:tcW w:w="662" w:type="dxa"/>
            <w:vMerge w:val="continue"/>
            <w:tcBorders>
              <w:tl2br w:val="nil"/>
              <w:tr2bl w:val="nil"/>
            </w:tcBorders>
            <w:vAlign w:val="center"/>
          </w:tcPr>
          <w:p w14:paraId="78C57D68">
            <w:pPr>
              <w:tabs>
                <w:tab w:val="left" w:pos="1021"/>
              </w:tabs>
              <w:spacing w:line="240" w:lineRule="auto"/>
              <w:jc w:val="center"/>
              <w:rPr>
                <w:sz w:val="21"/>
                <w:szCs w:val="21"/>
              </w:rPr>
            </w:pPr>
          </w:p>
        </w:tc>
        <w:tc>
          <w:tcPr>
            <w:tcW w:w="1038" w:type="dxa"/>
            <w:vMerge w:val="continue"/>
            <w:tcBorders>
              <w:tl2br w:val="nil"/>
              <w:tr2bl w:val="nil"/>
            </w:tcBorders>
            <w:vAlign w:val="center"/>
          </w:tcPr>
          <w:p w14:paraId="60E0A6CE">
            <w:pPr>
              <w:tabs>
                <w:tab w:val="left" w:pos="1021"/>
              </w:tabs>
              <w:spacing w:line="240" w:lineRule="auto"/>
              <w:jc w:val="center"/>
              <w:rPr>
                <w:sz w:val="21"/>
                <w:szCs w:val="21"/>
              </w:rPr>
            </w:pPr>
          </w:p>
        </w:tc>
        <w:tc>
          <w:tcPr>
            <w:tcW w:w="1049" w:type="dxa"/>
            <w:tcBorders>
              <w:tl2br w:val="nil"/>
              <w:tr2bl w:val="nil"/>
            </w:tcBorders>
            <w:vAlign w:val="center"/>
          </w:tcPr>
          <w:p w14:paraId="04648453">
            <w:pPr>
              <w:tabs>
                <w:tab w:val="left" w:pos="1021"/>
              </w:tabs>
              <w:spacing w:line="240" w:lineRule="auto"/>
              <w:jc w:val="center"/>
              <w:rPr>
                <w:sz w:val="21"/>
                <w:szCs w:val="21"/>
              </w:rPr>
            </w:pPr>
            <w:r>
              <w:rPr>
                <w:rFonts w:hint="eastAsia"/>
                <w:sz w:val="21"/>
                <w:szCs w:val="21"/>
              </w:rPr>
              <w:t>0.</w:t>
            </w:r>
            <w:r>
              <w:rPr>
                <w:rFonts w:hint="eastAsia"/>
                <w:sz w:val="21"/>
                <w:szCs w:val="21"/>
                <w:lang w:val="en-US" w:eastAsia="zh-CN"/>
              </w:rPr>
              <w:t>026</w:t>
            </w:r>
          </w:p>
        </w:tc>
        <w:tc>
          <w:tcPr>
            <w:tcW w:w="1028" w:type="dxa"/>
            <w:tcBorders>
              <w:tl2br w:val="nil"/>
              <w:tr2bl w:val="nil"/>
            </w:tcBorders>
            <w:vAlign w:val="center"/>
          </w:tcPr>
          <w:p w14:paraId="6AC81CEA">
            <w:pPr>
              <w:tabs>
                <w:tab w:val="left" w:pos="1021"/>
              </w:tabs>
              <w:spacing w:line="240" w:lineRule="auto"/>
              <w:jc w:val="center"/>
              <w:rPr>
                <w:sz w:val="21"/>
                <w:szCs w:val="21"/>
              </w:rPr>
            </w:pPr>
            <w:r>
              <w:rPr>
                <w:rFonts w:hint="eastAsia"/>
                <w:sz w:val="21"/>
                <w:szCs w:val="21"/>
              </w:rPr>
              <w:t>0</w:t>
            </w:r>
            <w:r>
              <w:rPr>
                <w:rFonts w:hint="eastAsia"/>
                <w:sz w:val="21"/>
                <w:szCs w:val="21"/>
                <w:lang w:val="en-US" w:eastAsia="zh-CN"/>
              </w:rPr>
              <w:t>.003</w:t>
            </w:r>
          </w:p>
        </w:tc>
        <w:tc>
          <w:tcPr>
            <w:tcW w:w="1226" w:type="dxa"/>
            <w:tcBorders>
              <w:tl2br w:val="nil"/>
              <w:tr2bl w:val="nil"/>
            </w:tcBorders>
            <w:vAlign w:val="center"/>
          </w:tcPr>
          <w:p w14:paraId="342BDEF8">
            <w:pPr>
              <w:tabs>
                <w:tab w:val="left" w:pos="1021"/>
              </w:tabs>
              <w:spacing w:line="240" w:lineRule="auto"/>
              <w:jc w:val="center"/>
              <w:rPr>
                <w:sz w:val="21"/>
                <w:szCs w:val="21"/>
              </w:rPr>
            </w:pPr>
            <w:r>
              <w:rPr>
                <w:rFonts w:hint="eastAsia"/>
                <w:sz w:val="21"/>
                <w:szCs w:val="21"/>
                <w:lang w:val="en-US" w:eastAsia="zh-CN"/>
              </w:rPr>
              <w:t>1.59</w:t>
            </w:r>
          </w:p>
        </w:tc>
      </w:tr>
      <w:tr w14:paraId="16719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4" w:hRule="atLeast"/>
          <w:jc w:val="center"/>
        </w:trPr>
        <w:tc>
          <w:tcPr>
            <w:tcW w:w="481" w:type="dxa"/>
            <w:vMerge w:val="continue"/>
            <w:tcBorders>
              <w:tl2br w:val="nil"/>
              <w:tr2bl w:val="nil"/>
            </w:tcBorders>
            <w:vAlign w:val="center"/>
          </w:tcPr>
          <w:p w14:paraId="4AF6E594">
            <w:pPr>
              <w:tabs>
                <w:tab w:val="left" w:pos="1021"/>
              </w:tabs>
              <w:spacing w:line="240" w:lineRule="auto"/>
              <w:jc w:val="center"/>
              <w:rPr>
                <w:sz w:val="21"/>
                <w:szCs w:val="21"/>
              </w:rPr>
            </w:pPr>
          </w:p>
        </w:tc>
        <w:tc>
          <w:tcPr>
            <w:tcW w:w="871" w:type="dxa"/>
            <w:tcBorders>
              <w:tl2br w:val="nil"/>
              <w:tr2bl w:val="nil"/>
            </w:tcBorders>
            <w:vAlign w:val="center"/>
          </w:tcPr>
          <w:p w14:paraId="44D673FB">
            <w:pPr>
              <w:tabs>
                <w:tab w:val="left" w:pos="1021"/>
              </w:tabs>
              <w:spacing w:line="240" w:lineRule="auto"/>
              <w:jc w:val="center"/>
              <w:rPr>
                <w:sz w:val="21"/>
                <w:szCs w:val="21"/>
              </w:rPr>
            </w:pPr>
            <w:r>
              <w:rPr>
                <w:sz w:val="21"/>
                <w:szCs w:val="21"/>
              </w:rPr>
              <w:t>NO</w:t>
            </w:r>
            <w:r>
              <w:rPr>
                <w:sz w:val="21"/>
                <w:szCs w:val="21"/>
                <w:vertAlign w:val="subscript"/>
              </w:rPr>
              <w:t>X</w:t>
            </w:r>
          </w:p>
        </w:tc>
        <w:tc>
          <w:tcPr>
            <w:tcW w:w="2167" w:type="dxa"/>
            <w:tcBorders>
              <w:tl2br w:val="nil"/>
              <w:tr2bl w:val="nil"/>
            </w:tcBorders>
            <w:vAlign w:val="center"/>
          </w:tcPr>
          <w:p w14:paraId="7F8F9C14">
            <w:pPr>
              <w:tabs>
                <w:tab w:val="left" w:pos="1021"/>
              </w:tabs>
              <w:spacing w:line="240" w:lineRule="auto"/>
              <w:jc w:val="center"/>
              <w:rPr>
                <w:sz w:val="21"/>
                <w:szCs w:val="21"/>
              </w:rPr>
            </w:pPr>
            <w:r>
              <w:rPr>
                <w:rFonts w:hint="eastAsia"/>
                <w:sz w:val="21"/>
                <w:szCs w:val="21"/>
              </w:rPr>
              <w:t>9.36</w:t>
            </w:r>
            <w:r>
              <w:rPr>
                <w:sz w:val="21"/>
                <w:szCs w:val="21"/>
              </w:rPr>
              <w:t>kg/万m</w:t>
            </w:r>
            <w:r>
              <w:rPr>
                <w:sz w:val="21"/>
                <w:szCs w:val="21"/>
                <w:vertAlign w:val="superscript"/>
              </w:rPr>
              <w:t>3</w:t>
            </w:r>
            <w:r>
              <w:rPr>
                <w:sz w:val="21"/>
                <w:szCs w:val="21"/>
              </w:rPr>
              <w:t>-原料</w:t>
            </w:r>
          </w:p>
          <w:p w14:paraId="2A0723B5">
            <w:pPr>
              <w:tabs>
                <w:tab w:val="left" w:pos="1021"/>
              </w:tabs>
              <w:spacing w:line="240" w:lineRule="auto"/>
              <w:jc w:val="center"/>
              <w:rPr>
                <w:sz w:val="21"/>
                <w:szCs w:val="21"/>
              </w:rPr>
            </w:pPr>
            <w:r>
              <w:rPr>
                <w:rFonts w:hint="eastAsia"/>
                <w:sz w:val="21"/>
                <w:szCs w:val="21"/>
              </w:rPr>
              <w:t>（低氮）</w:t>
            </w:r>
          </w:p>
        </w:tc>
        <w:tc>
          <w:tcPr>
            <w:tcW w:w="662" w:type="dxa"/>
            <w:vMerge w:val="continue"/>
            <w:tcBorders>
              <w:tl2br w:val="nil"/>
              <w:tr2bl w:val="nil"/>
            </w:tcBorders>
            <w:vAlign w:val="center"/>
          </w:tcPr>
          <w:p w14:paraId="0BC15B3C">
            <w:pPr>
              <w:tabs>
                <w:tab w:val="left" w:pos="1021"/>
              </w:tabs>
              <w:spacing w:line="240" w:lineRule="auto"/>
              <w:jc w:val="center"/>
              <w:rPr>
                <w:sz w:val="21"/>
                <w:szCs w:val="21"/>
              </w:rPr>
            </w:pPr>
          </w:p>
        </w:tc>
        <w:tc>
          <w:tcPr>
            <w:tcW w:w="1038" w:type="dxa"/>
            <w:vMerge w:val="continue"/>
            <w:tcBorders>
              <w:tl2br w:val="nil"/>
              <w:tr2bl w:val="nil"/>
            </w:tcBorders>
            <w:vAlign w:val="center"/>
          </w:tcPr>
          <w:p w14:paraId="19727A96">
            <w:pPr>
              <w:tabs>
                <w:tab w:val="left" w:pos="1021"/>
              </w:tabs>
              <w:spacing w:line="240" w:lineRule="auto"/>
              <w:jc w:val="center"/>
              <w:rPr>
                <w:sz w:val="21"/>
                <w:szCs w:val="21"/>
              </w:rPr>
            </w:pPr>
          </w:p>
        </w:tc>
        <w:tc>
          <w:tcPr>
            <w:tcW w:w="1049" w:type="dxa"/>
            <w:tcBorders>
              <w:tl2br w:val="nil"/>
              <w:tr2bl w:val="nil"/>
            </w:tcBorders>
            <w:vAlign w:val="center"/>
          </w:tcPr>
          <w:p w14:paraId="382AF3E2">
            <w:pPr>
              <w:tabs>
                <w:tab w:val="left" w:pos="1021"/>
              </w:tabs>
              <w:spacing w:line="240" w:lineRule="auto"/>
              <w:jc w:val="center"/>
              <w:rPr>
                <w:sz w:val="21"/>
                <w:szCs w:val="21"/>
              </w:rPr>
            </w:pPr>
            <w:r>
              <w:rPr>
                <w:rFonts w:hint="eastAsia"/>
                <w:sz w:val="21"/>
                <w:szCs w:val="21"/>
              </w:rPr>
              <w:t>0.618</w:t>
            </w:r>
          </w:p>
        </w:tc>
        <w:tc>
          <w:tcPr>
            <w:tcW w:w="1028" w:type="dxa"/>
            <w:tcBorders>
              <w:tl2br w:val="nil"/>
              <w:tr2bl w:val="nil"/>
            </w:tcBorders>
            <w:vAlign w:val="center"/>
          </w:tcPr>
          <w:p w14:paraId="42F6699E">
            <w:pPr>
              <w:tabs>
                <w:tab w:val="left" w:pos="1021"/>
              </w:tabs>
              <w:spacing w:line="240" w:lineRule="auto"/>
              <w:jc w:val="center"/>
              <w:rPr>
                <w:sz w:val="21"/>
                <w:szCs w:val="21"/>
              </w:rPr>
            </w:pPr>
            <w:r>
              <w:rPr>
                <w:rFonts w:hint="eastAsia"/>
                <w:sz w:val="21"/>
                <w:szCs w:val="21"/>
              </w:rPr>
              <w:t>0.08</w:t>
            </w:r>
          </w:p>
        </w:tc>
        <w:tc>
          <w:tcPr>
            <w:tcW w:w="1226" w:type="dxa"/>
            <w:tcBorders>
              <w:tl2br w:val="nil"/>
              <w:tr2bl w:val="nil"/>
            </w:tcBorders>
            <w:vAlign w:val="center"/>
          </w:tcPr>
          <w:p w14:paraId="25D51E8A">
            <w:pPr>
              <w:tabs>
                <w:tab w:val="left" w:pos="1021"/>
              </w:tabs>
              <w:spacing w:line="240" w:lineRule="auto"/>
              <w:jc w:val="center"/>
              <w:rPr>
                <w:sz w:val="21"/>
                <w:szCs w:val="21"/>
              </w:rPr>
            </w:pPr>
            <w:r>
              <w:rPr>
                <w:rFonts w:hint="eastAsia"/>
                <w:sz w:val="21"/>
                <w:szCs w:val="21"/>
              </w:rPr>
              <w:t>37.0</w:t>
            </w:r>
          </w:p>
        </w:tc>
      </w:tr>
    </w:tbl>
    <w:p w14:paraId="0D97BEAF">
      <w:pPr>
        <w:spacing w:line="240" w:lineRule="auto"/>
        <w:ind w:firstLine="360"/>
        <w:rPr>
          <w:rFonts w:hint="default" w:eastAsia="宋体"/>
          <w:sz w:val="18"/>
          <w:szCs w:val="18"/>
          <w:lang w:val="en-US" w:eastAsia="zh-CN"/>
        </w:rPr>
      </w:pPr>
      <w:r>
        <w:rPr>
          <w:sz w:val="18"/>
          <w:szCs w:val="18"/>
        </w:rPr>
        <w:t>注：①产排污系数中二氧化硫的产排污系数是以含硫量（S）的形式表示的，其中含硫量（S）是指燃气收到基硫分含量，单位为毫克/立方米。本项目天然气为</w:t>
      </w:r>
      <w:r>
        <w:rPr>
          <w:rFonts w:hint="eastAsia"/>
          <w:sz w:val="18"/>
          <w:szCs w:val="18"/>
          <w:lang w:val="en-US" w:eastAsia="zh-CN"/>
        </w:rPr>
        <w:t>一</w:t>
      </w:r>
      <w:r>
        <w:rPr>
          <w:sz w:val="18"/>
          <w:szCs w:val="18"/>
        </w:rPr>
        <w:t>类气，含硫量（S）按照国家标准为</w:t>
      </w:r>
      <w:r>
        <w:rPr>
          <w:rFonts w:hint="eastAsia"/>
          <w:sz w:val="18"/>
          <w:szCs w:val="18"/>
          <w:lang w:val="en-US" w:eastAsia="zh-CN"/>
        </w:rPr>
        <w:t>20</w:t>
      </w:r>
      <w:r>
        <w:rPr>
          <w:sz w:val="18"/>
          <w:szCs w:val="18"/>
        </w:rPr>
        <w:t>毫克/立方米，则S=</w:t>
      </w:r>
      <w:r>
        <w:rPr>
          <w:rFonts w:hint="eastAsia"/>
          <w:sz w:val="18"/>
          <w:szCs w:val="18"/>
          <w:lang w:val="en-US" w:eastAsia="zh-CN"/>
        </w:rPr>
        <w:t>20</w:t>
      </w:r>
    </w:p>
    <w:p w14:paraId="444BBD60">
      <w:pPr>
        <w:ind w:firstLine="480"/>
      </w:pPr>
      <w:r>
        <w:rPr>
          <w:rFonts w:hint="eastAsia" w:ascii="宋体" w:hAnsi="宋体" w:cs="宋体"/>
        </w:rPr>
        <w:t>⑵印刷复合烘干天然气燃烧废气</w:t>
      </w:r>
      <w:r>
        <w:rPr>
          <w:rFonts w:hint="eastAsia"/>
        </w:rPr>
        <w:t>（</w:t>
      </w:r>
      <w:r>
        <w:t>G</w:t>
      </w:r>
      <w:r>
        <w:rPr>
          <w:rFonts w:hint="eastAsia"/>
        </w:rPr>
        <w:t>9）</w:t>
      </w:r>
    </w:p>
    <w:p w14:paraId="48F48B06">
      <w:pPr>
        <w:ind w:firstLine="480"/>
      </w:pPr>
      <w:r>
        <w:t>本次变更新增一台</w:t>
      </w:r>
      <w:r>
        <w:rPr>
          <w:rFonts w:hint="eastAsia"/>
        </w:rPr>
        <w:t>2t</w:t>
      </w:r>
      <w:r>
        <w:t>常压热水锅炉，用于印刷复合的烘干，</w:t>
      </w:r>
      <w:r>
        <w:rPr>
          <w:rFonts w:hint="eastAsia"/>
        </w:rPr>
        <w:t>天然气年用量为44万m</w:t>
      </w:r>
      <w:r>
        <w:rPr>
          <w:rFonts w:hint="eastAsia"/>
          <w:vertAlign w:val="superscript"/>
        </w:rPr>
        <w:t>3</w:t>
      </w:r>
      <w:r>
        <w:rPr>
          <w:rFonts w:hint="eastAsia"/>
        </w:rPr>
        <w:t>，采用炉内低氮燃烧，废气合并至经</w:t>
      </w:r>
      <w:r>
        <w:t>16mDA002排气筒高空排放，</w:t>
      </w:r>
      <w:r>
        <w:rPr>
          <w:rFonts w:hint="eastAsia"/>
        </w:rPr>
        <w:t>工作时间为8160h，排放风量为2000m</w:t>
      </w:r>
      <w:r>
        <w:rPr>
          <w:rFonts w:hint="eastAsia"/>
          <w:vertAlign w:val="superscript"/>
        </w:rPr>
        <w:t>3</w:t>
      </w:r>
      <w:r>
        <w:rPr>
          <w:rFonts w:hint="eastAsia"/>
        </w:rPr>
        <w:t>/h。产排放情况详</w:t>
      </w:r>
      <w:r>
        <w:t>见表</w:t>
      </w:r>
      <w:r>
        <w:rPr>
          <w:rFonts w:hint="eastAsia"/>
        </w:rPr>
        <w:t>4</w:t>
      </w:r>
      <w:r>
        <w:t>.3-</w:t>
      </w:r>
      <w:r>
        <w:rPr>
          <w:rFonts w:hint="eastAsia"/>
        </w:rPr>
        <w:t>8</w:t>
      </w:r>
      <w:r>
        <w:t>。</w:t>
      </w:r>
    </w:p>
    <w:p w14:paraId="7C9E784A">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表4.3-8 </w:t>
      </w:r>
      <w:r>
        <w:rPr>
          <w:rFonts w:hint="eastAsia" w:ascii="宋体" w:hAnsi="宋体" w:cs="宋体"/>
          <w:b/>
          <w:bCs/>
          <w:color w:val="auto"/>
          <w:kern w:val="2"/>
          <w:sz w:val="21"/>
          <w:szCs w:val="21"/>
          <w:lang w:val="en-US" w:eastAsia="zh-CN" w:bidi="ar-SA"/>
        </w:rPr>
        <w:t xml:space="preserve">    </w:t>
      </w:r>
      <w:r>
        <w:rPr>
          <w:rFonts w:hint="eastAsia"/>
        </w:rPr>
        <w:t>印刷复合烘干天然气燃烧污染物产排污情况</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81"/>
        <w:gridCol w:w="850"/>
        <w:gridCol w:w="2238"/>
        <w:gridCol w:w="812"/>
        <w:gridCol w:w="888"/>
        <w:gridCol w:w="1012"/>
        <w:gridCol w:w="1200"/>
        <w:gridCol w:w="1041"/>
      </w:tblGrid>
      <w:tr w14:paraId="67DD5A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7" w:hRule="atLeast"/>
          <w:jc w:val="center"/>
        </w:trPr>
        <w:tc>
          <w:tcPr>
            <w:tcW w:w="481" w:type="dxa"/>
            <w:tcBorders>
              <w:tl2br w:val="nil"/>
              <w:tr2bl w:val="nil"/>
            </w:tcBorders>
            <w:vAlign w:val="center"/>
          </w:tcPr>
          <w:p w14:paraId="3AB5BC90">
            <w:pPr>
              <w:tabs>
                <w:tab w:val="left" w:pos="1021"/>
              </w:tabs>
              <w:spacing w:line="240" w:lineRule="auto"/>
              <w:jc w:val="center"/>
              <w:rPr>
                <w:sz w:val="21"/>
                <w:szCs w:val="21"/>
              </w:rPr>
            </w:pPr>
            <w:r>
              <w:rPr>
                <w:sz w:val="21"/>
                <w:szCs w:val="21"/>
              </w:rPr>
              <w:t>原料</w:t>
            </w:r>
          </w:p>
        </w:tc>
        <w:tc>
          <w:tcPr>
            <w:tcW w:w="850" w:type="dxa"/>
            <w:tcBorders>
              <w:tl2br w:val="nil"/>
              <w:tr2bl w:val="nil"/>
            </w:tcBorders>
            <w:vAlign w:val="center"/>
          </w:tcPr>
          <w:p w14:paraId="6E79A1FD">
            <w:pPr>
              <w:tabs>
                <w:tab w:val="left" w:pos="1021"/>
              </w:tabs>
              <w:spacing w:line="240" w:lineRule="auto"/>
              <w:jc w:val="center"/>
              <w:rPr>
                <w:sz w:val="21"/>
                <w:szCs w:val="21"/>
              </w:rPr>
            </w:pPr>
            <w:r>
              <w:rPr>
                <w:sz w:val="21"/>
                <w:szCs w:val="21"/>
              </w:rPr>
              <w:t>污染物</w:t>
            </w:r>
          </w:p>
        </w:tc>
        <w:tc>
          <w:tcPr>
            <w:tcW w:w="2238" w:type="dxa"/>
            <w:tcBorders>
              <w:tl2br w:val="nil"/>
              <w:tr2bl w:val="nil"/>
            </w:tcBorders>
            <w:vAlign w:val="center"/>
          </w:tcPr>
          <w:p w14:paraId="6BD2DC83">
            <w:pPr>
              <w:tabs>
                <w:tab w:val="left" w:pos="1021"/>
              </w:tabs>
              <w:spacing w:line="240" w:lineRule="auto"/>
              <w:jc w:val="center"/>
              <w:rPr>
                <w:sz w:val="21"/>
                <w:szCs w:val="21"/>
              </w:rPr>
            </w:pPr>
            <w:r>
              <w:rPr>
                <w:sz w:val="21"/>
                <w:szCs w:val="21"/>
              </w:rPr>
              <w:t>产污系数</w:t>
            </w:r>
          </w:p>
        </w:tc>
        <w:tc>
          <w:tcPr>
            <w:tcW w:w="812" w:type="dxa"/>
            <w:tcBorders>
              <w:tl2br w:val="nil"/>
              <w:tr2bl w:val="nil"/>
            </w:tcBorders>
            <w:vAlign w:val="center"/>
          </w:tcPr>
          <w:p w14:paraId="33762CA9">
            <w:pPr>
              <w:tabs>
                <w:tab w:val="left" w:pos="1021"/>
              </w:tabs>
              <w:spacing w:line="240" w:lineRule="auto"/>
              <w:jc w:val="center"/>
              <w:rPr>
                <w:sz w:val="21"/>
                <w:szCs w:val="21"/>
              </w:rPr>
            </w:pPr>
            <w:r>
              <w:rPr>
                <w:sz w:val="21"/>
                <w:szCs w:val="21"/>
              </w:rPr>
              <w:t>污染防治措施</w:t>
            </w:r>
          </w:p>
        </w:tc>
        <w:tc>
          <w:tcPr>
            <w:tcW w:w="888" w:type="dxa"/>
            <w:tcBorders>
              <w:tl2br w:val="nil"/>
              <w:tr2bl w:val="nil"/>
            </w:tcBorders>
            <w:vAlign w:val="center"/>
          </w:tcPr>
          <w:p w14:paraId="78E692C8">
            <w:pPr>
              <w:tabs>
                <w:tab w:val="left" w:pos="1021"/>
              </w:tabs>
              <w:spacing w:line="240" w:lineRule="auto"/>
              <w:jc w:val="center"/>
              <w:rPr>
                <w:sz w:val="21"/>
                <w:szCs w:val="21"/>
              </w:rPr>
            </w:pPr>
            <w:r>
              <w:rPr>
                <w:sz w:val="21"/>
                <w:szCs w:val="21"/>
              </w:rPr>
              <w:t>排气筒</w:t>
            </w:r>
          </w:p>
          <w:p w14:paraId="13C0357E">
            <w:pPr>
              <w:tabs>
                <w:tab w:val="left" w:pos="1021"/>
              </w:tabs>
              <w:spacing w:line="240" w:lineRule="auto"/>
              <w:jc w:val="center"/>
              <w:rPr>
                <w:sz w:val="21"/>
                <w:szCs w:val="21"/>
              </w:rPr>
            </w:pPr>
            <w:r>
              <w:rPr>
                <w:sz w:val="21"/>
                <w:szCs w:val="21"/>
              </w:rPr>
              <w:t>数量</w:t>
            </w:r>
          </w:p>
        </w:tc>
        <w:tc>
          <w:tcPr>
            <w:tcW w:w="1012" w:type="dxa"/>
            <w:tcBorders>
              <w:tl2br w:val="nil"/>
              <w:tr2bl w:val="nil"/>
            </w:tcBorders>
            <w:vAlign w:val="center"/>
          </w:tcPr>
          <w:p w14:paraId="4D215532">
            <w:pPr>
              <w:tabs>
                <w:tab w:val="left" w:pos="1021"/>
              </w:tabs>
              <w:spacing w:line="240" w:lineRule="auto"/>
              <w:jc w:val="center"/>
              <w:rPr>
                <w:sz w:val="21"/>
                <w:szCs w:val="21"/>
              </w:rPr>
            </w:pPr>
            <w:r>
              <w:rPr>
                <w:sz w:val="21"/>
                <w:szCs w:val="21"/>
              </w:rPr>
              <w:t>排放量t/a</w:t>
            </w:r>
          </w:p>
        </w:tc>
        <w:tc>
          <w:tcPr>
            <w:tcW w:w="1200" w:type="dxa"/>
            <w:tcBorders>
              <w:tl2br w:val="nil"/>
              <w:tr2bl w:val="nil"/>
            </w:tcBorders>
            <w:vAlign w:val="center"/>
          </w:tcPr>
          <w:p w14:paraId="35FE8FD0">
            <w:pPr>
              <w:tabs>
                <w:tab w:val="left" w:pos="1021"/>
              </w:tabs>
              <w:spacing w:line="240" w:lineRule="auto"/>
              <w:jc w:val="center"/>
              <w:rPr>
                <w:sz w:val="21"/>
                <w:szCs w:val="21"/>
              </w:rPr>
            </w:pPr>
            <w:r>
              <w:rPr>
                <w:sz w:val="21"/>
                <w:szCs w:val="21"/>
              </w:rPr>
              <w:t>排放速率kg/h</w:t>
            </w:r>
          </w:p>
        </w:tc>
        <w:tc>
          <w:tcPr>
            <w:tcW w:w="1041" w:type="dxa"/>
            <w:tcBorders>
              <w:tl2br w:val="nil"/>
              <w:tr2bl w:val="nil"/>
            </w:tcBorders>
            <w:vAlign w:val="center"/>
          </w:tcPr>
          <w:p w14:paraId="79277913">
            <w:pPr>
              <w:tabs>
                <w:tab w:val="left" w:pos="1021"/>
              </w:tabs>
              <w:spacing w:line="240" w:lineRule="auto"/>
              <w:jc w:val="center"/>
              <w:rPr>
                <w:sz w:val="21"/>
                <w:szCs w:val="21"/>
              </w:rPr>
            </w:pPr>
            <w:r>
              <w:rPr>
                <w:sz w:val="21"/>
                <w:szCs w:val="21"/>
              </w:rPr>
              <w:t>排放浓度mg/m</w:t>
            </w:r>
            <w:r>
              <w:rPr>
                <w:sz w:val="21"/>
                <w:szCs w:val="21"/>
                <w:vertAlign w:val="superscript"/>
              </w:rPr>
              <w:t>3</w:t>
            </w:r>
          </w:p>
        </w:tc>
      </w:tr>
      <w:tr w14:paraId="7B0D2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1" w:type="dxa"/>
            <w:vMerge w:val="restart"/>
            <w:tcBorders>
              <w:top w:val="single" w:color="auto" w:sz="4" w:space="0"/>
              <w:tl2br w:val="nil"/>
              <w:tr2bl w:val="nil"/>
            </w:tcBorders>
            <w:vAlign w:val="center"/>
          </w:tcPr>
          <w:p w14:paraId="2D925654">
            <w:pPr>
              <w:tabs>
                <w:tab w:val="left" w:pos="1021"/>
              </w:tabs>
              <w:spacing w:line="240" w:lineRule="auto"/>
              <w:jc w:val="center"/>
              <w:rPr>
                <w:color w:val="FF0000"/>
                <w:sz w:val="21"/>
                <w:szCs w:val="21"/>
              </w:rPr>
            </w:pPr>
            <w:r>
              <w:rPr>
                <w:sz w:val="21"/>
                <w:szCs w:val="21"/>
              </w:rPr>
              <w:t>天然气</w:t>
            </w:r>
          </w:p>
        </w:tc>
        <w:tc>
          <w:tcPr>
            <w:tcW w:w="850" w:type="dxa"/>
            <w:tcBorders>
              <w:top w:val="single" w:color="auto" w:sz="4" w:space="0"/>
              <w:tl2br w:val="nil"/>
              <w:tr2bl w:val="nil"/>
            </w:tcBorders>
            <w:vAlign w:val="center"/>
          </w:tcPr>
          <w:p w14:paraId="5E4F7622">
            <w:pPr>
              <w:tabs>
                <w:tab w:val="left" w:pos="1021"/>
              </w:tabs>
              <w:spacing w:line="240" w:lineRule="auto"/>
              <w:jc w:val="center"/>
              <w:rPr>
                <w:sz w:val="21"/>
                <w:szCs w:val="21"/>
              </w:rPr>
            </w:pPr>
            <w:r>
              <w:rPr>
                <w:sz w:val="21"/>
                <w:szCs w:val="21"/>
              </w:rPr>
              <w:t>颗粒物</w:t>
            </w:r>
          </w:p>
        </w:tc>
        <w:tc>
          <w:tcPr>
            <w:tcW w:w="2238" w:type="dxa"/>
            <w:tcBorders>
              <w:top w:val="single" w:color="auto" w:sz="4" w:space="0"/>
              <w:tl2br w:val="nil"/>
              <w:tr2bl w:val="nil"/>
            </w:tcBorders>
            <w:vAlign w:val="center"/>
          </w:tcPr>
          <w:p w14:paraId="7596B2A9">
            <w:pPr>
              <w:tabs>
                <w:tab w:val="left" w:pos="1021"/>
              </w:tabs>
              <w:spacing w:line="240" w:lineRule="auto"/>
              <w:jc w:val="center"/>
              <w:rPr>
                <w:sz w:val="21"/>
                <w:szCs w:val="21"/>
              </w:rPr>
            </w:pPr>
            <w:r>
              <w:rPr>
                <w:rFonts w:hint="eastAsia"/>
                <w:sz w:val="21"/>
                <w:szCs w:val="21"/>
              </w:rPr>
              <w:t>2.86</w:t>
            </w:r>
            <w:r>
              <w:rPr>
                <w:sz w:val="21"/>
                <w:szCs w:val="21"/>
              </w:rPr>
              <w:t>kg/万m</w:t>
            </w:r>
            <w:r>
              <w:rPr>
                <w:sz w:val="21"/>
                <w:szCs w:val="21"/>
                <w:vertAlign w:val="superscript"/>
              </w:rPr>
              <w:t>3</w:t>
            </w:r>
            <w:r>
              <w:rPr>
                <w:sz w:val="21"/>
                <w:szCs w:val="21"/>
              </w:rPr>
              <w:t>-原料</w:t>
            </w:r>
          </w:p>
        </w:tc>
        <w:tc>
          <w:tcPr>
            <w:tcW w:w="812" w:type="dxa"/>
            <w:vMerge w:val="restart"/>
            <w:tcBorders>
              <w:top w:val="single" w:color="auto" w:sz="4" w:space="0"/>
              <w:tl2br w:val="nil"/>
              <w:tr2bl w:val="nil"/>
            </w:tcBorders>
            <w:vAlign w:val="center"/>
          </w:tcPr>
          <w:p w14:paraId="714FB4E8">
            <w:pPr>
              <w:tabs>
                <w:tab w:val="left" w:pos="1021"/>
              </w:tabs>
              <w:spacing w:line="240" w:lineRule="auto"/>
              <w:jc w:val="center"/>
              <w:rPr>
                <w:color w:val="FF0000"/>
                <w:sz w:val="21"/>
                <w:szCs w:val="21"/>
              </w:rPr>
            </w:pPr>
            <w:r>
              <w:rPr>
                <w:rFonts w:hint="eastAsia"/>
                <w:sz w:val="21"/>
                <w:szCs w:val="21"/>
              </w:rPr>
              <w:t>/</w:t>
            </w:r>
          </w:p>
        </w:tc>
        <w:tc>
          <w:tcPr>
            <w:tcW w:w="888" w:type="dxa"/>
            <w:vMerge w:val="restart"/>
            <w:tcBorders>
              <w:top w:val="single" w:color="auto" w:sz="4" w:space="0"/>
              <w:tl2br w:val="nil"/>
              <w:tr2bl w:val="nil"/>
            </w:tcBorders>
            <w:vAlign w:val="center"/>
          </w:tcPr>
          <w:p w14:paraId="5F32FA72">
            <w:pPr>
              <w:tabs>
                <w:tab w:val="left" w:pos="1021"/>
              </w:tabs>
              <w:spacing w:line="240" w:lineRule="auto"/>
              <w:jc w:val="center"/>
              <w:rPr>
                <w:color w:val="FF0000"/>
                <w:sz w:val="21"/>
                <w:szCs w:val="21"/>
              </w:rPr>
            </w:pPr>
            <w:r>
              <w:rPr>
                <w:rFonts w:hint="eastAsia"/>
                <w:sz w:val="21"/>
                <w:szCs w:val="21"/>
              </w:rPr>
              <w:t>DA002</w:t>
            </w:r>
          </w:p>
        </w:tc>
        <w:tc>
          <w:tcPr>
            <w:tcW w:w="1012" w:type="dxa"/>
            <w:tcBorders>
              <w:top w:val="single" w:color="auto" w:sz="4" w:space="0"/>
              <w:tl2br w:val="nil"/>
              <w:tr2bl w:val="nil"/>
            </w:tcBorders>
            <w:vAlign w:val="center"/>
          </w:tcPr>
          <w:p w14:paraId="3940D407">
            <w:pPr>
              <w:tabs>
                <w:tab w:val="left" w:pos="1021"/>
              </w:tabs>
              <w:spacing w:line="240" w:lineRule="auto"/>
              <w:jc w:val="center"/>
              <w:rPr>
                <w:sz w:val="21"/>
                <w:szCs w:val="21"/>
              </w:rPr>
            </w:pPr>
            <w:r>
              <w:rPr>
                <w:rFonts w:hint="eastAsia"/>
                <w:sz w:val="21"/>
                <w:szCs w:val="21"/>
              </w:rPr>
              <w:t>0.126</w:t>
            </w:r>
          </w:p>
        </w:tc>
        <w:tc>
          <w:tcPr>
            <w:tcW w:w="1200" w:type="dxa"/>
            <w:tcBorders>
              <w:tl2br w:val="nil"/>
              <w:tr2bl w:val="nil"/>
            </w:tcBorders>
            <w:vAlign w:val="center"/>
          </w:tcPr>
          <w:p w14:paraId="3DB0D0D3">
            <w:pPr>
              <w:tabs>
                <w:tab w:val="left" w:pos="1021"/>
              </w:tabs>
              <w:spacing w:line="240" w:lineRule="auto"/>
              <w:jc w:val="center"/>
              <w:rPr>
                <w:sz w:val="21"/>
                <w:szCs w:val="21"/>
              </w:rPr>
            </w:pPr>
            <w:r>
              <w:rPr>
                <w:rFonts w:hint="eastAsia"/>
                <w:sz w:val="21"/>
                <w:szCs w:val="21"/>
              </w:rPr>
              <w:t>0.02</w:t>
            </w:r>
          </w:p>
        </w:tc>
        <w:tc>
          <w:tcPr>
            <w:tcW w:w="1041" w:type="dxa"/>
            <w:tcBorders>
              <w:tl2br w:val="nil"/>
              <w:tr2bl w:val="nil"/>
            </w:tcBorders>
            <w:vAlign w:val="center"/>
          </w:tcPr>
          <w:p w14:paraId="69392C44">
            <w:pPr>
              <w:tabs>
                <w:tab w:val="left" w:pos="1021"/>
              </w:tabs>
              <w:spacing w:line="240" w:lineRule="auto"/>
              <w:jc w:val="center"/>
              <w:rPr>
                <w:sz w:val="21"/>
                <w:szCs w:val="21"/>
              </w:rPr>
            </w:pPr>
            <w:r>
              <w:rPr>
                <w:rFonts w:hint="eastAsia"/>
                <w:sz w:val="21"/>
                <w:szCs w:val="21"/>
              </w:rPr>
              <w:t>7.7</w:t>
            </w:r>
          </w:p>
        </w:tc>
      </w:tr>
      <w:tr w14:paraId="1811C6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1" w:type="dxa"/>
            <w:vMerge w:val="continue"/>
            <w:tcBorders>
              <w:tl2br w:val="nil"/>
              <w:tr2bl w:val="nil"/>
            </w:tcBorders>
            <w:vAlign w:val="center"/>
          </w:tcPr>
          <w:p w14:paraId="57F1ED8E">
            <w:pPr>
              <w:tabs>
                <w:tab w:val="left" w:pos="1021"/>
              </w:tabs>
              <w:spacing w:line="240" w:lineRule="auto"/>
              <w:jc w:val="center"/>
              <w:rPr>
                <w:color w:val="FF0000"/>
                <w:sz w:val="21"/>
                <w:szCs w:val="21"/>
              </w:rPr>
            </w:pPr>
          </w:p>
        </w:tc>
        <w:tc>
          <w:tcPr>
            <w:tcW w:w="850" w:type="dxa"/>
            <w:tcBorders>
              <w:tl2br w:val="nil"/>
              <w:tr2bl w:val="nil"/>
            </w:tcBorders>
            <w:vAlign w:val="center"/>
          </w:tcPr>
          <w:p w14:paraId="7A15B259">
            <w:pPr>
              <w:tabs>
                <w:tab w:val="left" w:pos="1021"/>
              </w:tabs>
              <w:spacing w:line="240" w:lineRule="auto"/>
              <w:jc w:val="center"/>
              <w:rPr>
                <w:sz w:val="21"/>
                <w:szCs w:val="21"/>
              </w:rPr>
            </w:pPr>
            <w:r>
              <w:rPr>
                <w:sz w:val="21"/>
                <w:szCs w:val="21"/>
              </w:rPr>
              <w:t>SO</w:t>
            </w:r>
            <w:r>
              <w:rPr>
                <w:sz w:val="21"/>
                <w:szCs w:val="21"/>
                <w:vertAlign w:val="subscript"/>
              </w:rPr>
              <w:t>2</w:t>
            </w:r>
          </w:p>
        </w:tc>
        <w:tc>
          <w:tcPr>
            <w:tcW w:w="2238" w:type="dxa"/>
            <w:tcBorders>
              <w:tl2br w:val="nil"/>
              <w:tr2bl w:val="nil"/>
            </w:tcBorders>
            <w:vAlign w:val="center"/>
          </w:tcPr>
          <w:p w14:paraId="26201C4A">
            <w:pPr>
              <w:tabs>
                <w:tab w:val="left" w:pos="1021"/>
              </w:tabs>
              <w:spacing w:line="240" w:lineRule="auto"/>
              <w:jc w:val="center"/>
              <w:rPr>
                <w:sz w:val="21"/>
                <w:szCs w:val="21"/>
              </w:rPr>
            </w:pPr>
            <w:r>
              <w:rPr>
                <w:sz w:val="21"/>
                <w:szCs w:val="21"/>
              </w:rPr>
              <w:t>0.02S①kg/万m</w:t>
            </w:r>
            <w:r>
              <w:rPr>
                <w:sz w:val="21"/>
                <w:szCs w:val="21"/>
                <w:vertAlign w:val="superscript"/>
              </w:rPr>
              <w:t>3</w:t>
            </w:r>
            <w:r>
              <w:rPr>
                <w:sz w:val="21"/>
                <w:szCs w:val="21"/>
              </w:rPr>
              <w:t>-原料</w:t>
            </w:r>
          </w:p>
        </w:tc>
        <w:tc>
          <w:tcPr>
            <w:tcW w:w="812" w:type="dxa"/>
            <w:vMerge w:val="continue"/>
            <w:tcBorders>
              <w:tl2br w:val="nil"/>
              <w:tr2bl w:val="nil"/>
            </w:tcBorders>
            <w:vAlign w:val="center"/>
          </w:tcPr>
          <w:p w14:paraId="294005B8">
            <w:pPr>
              <w:tabs>
                <w:tab w:val="left" w:pos="1021"/>
              </w:tabs>
              <w:spacing w:line="240" w:lineRule="auto"/>
              <w:jc w:val="center"/>
              <w:rPr>
                <w:color w:val="FF0000"/>
                <w:sz w:val="21"/>
                <w:szCs w:val="21"/>
              </w:rPr>
            </w:pPr>
          </w:p>
        </w:tc>
        <w:tc>
          <w:tcPr>
            <w:tcW w:w="888" w:type="dxa"/>
            <w:vMerge w:val="continue"/>
            <w:tcBorders>
              <w:tl2br w:val="nil"/>
              <w:tr2bl w:val="nil"/>
            </w:tcBorders>
            <w:vAlign w:val="center"/>
          </w:tcPr>
          <w:p w14:paraId="4C6F4B89">
            <w:pPr>
              <w:tabs>
                <w:tab w:val="left" w:pos="1021"/>
              </w:tabs>
              <w:spacing w:line="240" w:lineRule="auto"/>
              <w:jc w:val="center"/>
              <w:rPr>
                <w:color w:val="FF0000"/>
                <w:sz w:val="21"/>
                <w:szCs w:val="21"/>
              </w:rPr>
            </w:pPr>
          </w:p>
        </w:tc>
        <w:tc>
          <w:tcPr>
            <w:tcW w:w="1012" w:type="dxa"/>
            <w:tcBorders>
              <w:tl2br w:val="nil"/>
              <w:tr2bl w:val="nil"/>
            </w:tcBorders>
            <w:vAlign w:val="center"/>
          </w:tcPr>
          <w:p w14:paraId="4C6DAD09">
            <w:pPr>
              <w:tabs>
                <w:tab w:val="left" w:pos="1021"/>
              </w:tabs>
              <w:spacing w:line="240" w:lineRule="auto"/>
              <w:jc w:val="center"/>
              <w:rPr>
                <w:sz w:val="21"/>
                <w:szCs w:val="21"/>
              </w:rPr>
            </w:pPr>
            <w:r>
              <w:rPr>
                <w:rFonts w:hint="eastAsia"/>
                <w:sz w:val="21"/>
                <w:szCs w:val="21"/>
              </w:rPr>
              <w:t>0.0</w:t>
            </w:r>
            <w:r>
              <w:rPr>
                <w:rFonts w:hint="eastAsia"/>
                <w:sz w:val="21"/>
                <w:szCs w:val="21"/>
                <w:lang w:val="en-US" w:eastAsia="zh-CN"/>
              </w:rPr>
              <w:t>18</w:t>
            </w:r>
          </w:p>
        </w:tc>
        <w:tc>
          <w:tcPr>
            <w:tcW w:w="1200" w:type="dxa"/>
            <w:tcBorders>
              <w:tl2br w:val="nil"/>
              <w:tr2bl w:val="nil"/>
            </w:tcBorders>
            <w:vAlign w:val="center"/>
          </w:tcPr>
          <w:p w14:paraId="5DD2FD36">
            <w:pPr>
              <w:tabs>
                <w:tab w:val="left" w:pos="1021"/>
              </w:tabs>
              <w:spacing w:line="240" w:lineRule="auto"/>
              <w:jc w:val="center"/>
              <w:rPr>
                <w:sz w:val="21"/>
                <w:szCs w:val="21"/>
              </w:rPr>
            </w:pPr>
            <w:r>
              <w:rPr>
                <w:rFonts w:hint="eastAsia"/>
                <w:sz w:val="21"/>
                <w:szCs w:val="21"/>
              </w:rPr>
              <w:t>0.0</w:t>
            </w:r>
            <w:r>
              <w:rPr>
                <w:rFonts w:hint="eastAsia"/>
                <w:sz w:val="21"/>
                <w:szCs w:val="21"/>
                <w:lang w:val="en-US" w:eastAsia="zh-CN"/>
              </w:rPr>
              <w:t>02</w:t>
            </w:r>
          </w:p>
        </w:tc>
        <w:tc>
          <w:tcPr>
            <w:tcW w:w="1041" w:type="dxa"/>
            <w:tcBorders>
              <w:tl2br w:val="nil"/>
              <w:tr2bl w:val="nil"/>
            </w:tcBorders>
            <w:vAlign w:val="center"/>
          </w:tcPr>
          <w:p w14:paraId="4D330BB1">
            <w:pPr>
              <w:tabs>
                <w:tab w:val="left" w:pos="1021"/>
              </w:tabs>
              <w:spacing w:line="240" w:lineRule="auto"/>
              <w:jc w:val="center"/>
              <w:rPr>
                <w:sz w:val="21"/>
                <w:szCs w:val="21"/>
              </w:rPr>
            </w:pPr>
            <w:r>
              <w:rPr>
                <w:rFonts w:hint="eastAsia"/>
                <w:sz w:val="21"/>
                <w:szCs w:val="21"/>
                <w:lang w:val="en-US" w:eastAsia="zh-CN"/>
              </w:rPr>
              <w:t>1.1</w:t>
            </w:r>
          </w:p>
        </w:tc>
      </w:tr>
      <w:tr w14:paraId="15FE2D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81" w:type="dxa"/>
            <w:vMerge w:val="continue"/>
            <w:tcBorders>
              <w:tl2br w:val="nil"/>
              <w:tr2bl w:val="nil"/>
            </w:tcBorders>
            <w:vAlign w:val="center"/>
          </w:tcPr>
          <w:p w14:paraId="70985806">
            <w:pPr>
              <w:tabs>
                <w:tab w:val="left" w:pos="1021"/>
              </w:tabs>
              <w:spacing w:line="240" w:lineRule="auto"/>
              <w:jc w:val="center"/>
              <w:rPr>
                <w:color w:val="FF0000"/>
                <w:sz w:val="21"/>
                <w:szCs w:val="21"/>
              </w:rPr>
            </w:pPr>
          </w:p>
        </w:tc>
        <w:tc>
          <w:tcPr>
            <w:tcW w:w="850" w:type="dxa"/>
            <w:tcBorders>
              <w:tl2br w:val="nil"/>
              <w:tr2bl w:val="nil"/>
            </w:tcBorders>
            <w:vAlign w:val="center"/>
          </w:tcPr>
          <w:p w14:paraId="6187A634">
            <w:pPr>
              <w:tabs>
                <w:tab w:val="left" w:pos="1021"/>
              </w:tabs>
              <w:spacing w:line="240" w:lineRule="auto"/>
              <w:jc w:val="center"/>
              <w:rPr>
                <w:sz w:val="21"/>
                <w:szCs w:val="21"/>
              </w:rPr>
            </w:pPr>
            <w:r>
              <w:rPr>
                <w:sz w:val="21"/>
                <w:szCs w:val="21"/>
              </w:rPr>
              <w:t>NO</w:t>
            </w:r>
            <w:r>
              <w:rPr>
                <w:sz w:val="21"/>
                <w:szCs w:val="21"/>
                <w:vertAlign w:val="subscript"/>
              </w:rPr>
              <w:t>X</w:t>
            </w:r>
          </w:p>
        </w:tc>
        <w:tc>
          <w:tcPr>
            <w:tcW w:w="2238" w:type="dxa"/>
            <w:tcBorders>
              <w:tl2br w:val="nil"/>
              <w:tr2bl w:val="nil"/>
            </w:tcBorders>
            <w:vAlign w:val="center"/>
          </w:tcPr>
          <w:p w14:paraId="5051BAE7">
            <w:pPr>
              <w:tabs>
                <w:tab w:val="left" w:pos="1021"/>
              </w:tabs>
              <w:spacing w:line="240" w:lineRule="auto"/>
              <w:jc w:val="center"/>
              <w:rPr>
                <w:sz w:val="21"/>
                <w:szCs w:val="21"/>
              </w:rPr>
            </w:pPr>
            <w:r>
              <w:rPr>
                <w:rFonts w:hint="eastAsia"/>
                <w:sz w:val="21"/>
                <w:szCs w:val="21"/>
              </w:rPr>
              <w:t>9.36</w:t>
            </w:r>
            <w:r>
              <w:rPr>
                <w:sz w:val="21"/>
                <w:szCs w:val="21"/>
              </w:rPr>
              <w:t>kg/万m</w:t>
            </w:r>
            <w:r>
              <w:rPr>
                <w:sz w:val="21"/>
                <w:szCs w:val="21"/>
                <w:vertAlign w:val="superscript"/>
              </w:rPr>
              <w:t>3</w:t>
            </w:r>
            <w:r>
              <w:rPr>
                <w:sz w:val="21"/>
                <w:szCs w:val="21"/>
              </w:rPr>
              <w:t>-原料</w:t>
            </w:r>
          </w:p>
          <w:p w14:paraId="1235672C">
            <w:pPr>
              <w:tabs>
                <w:tab w:val="left" w:pos="1021"/>
              </w:tabs>
              <w:spacing w:line="240" w:lineRule="auto"/>
              <w:jc w:val="center"/>
              <w:rPr>
                <w:sz w:val="21"/>
                <w:szCs w:val="21"/>
              </w:rPr>
            </w:pPr>
            <w:r>
              <w:rPr>
                <w:rFonts w:hint="eastAsia"/>
                <w:sz w:val="21"/>
                <w:szCs w:val="21"/>
              </w:rPr>
              <w:t>（低氮）</w:t>
            </w:r>
          </w:p>
        </w:tc>
        <w:tc>
          <w:tcPr>
            <w:tcW w:w="812" w:type="dxa"/>
            <w:vMerge w:val="continue"/>
            <w:tcBorders>
              <w:tl2br w:val="nil"/>
              <w:tr2bl w:val="nil"/>
            </w:tcBorders>
            <w:vAlign w:val="center"/>
          </w:tcPr>
          <w:p w14:paraId="7B25F16C">
            <w:pPr>
              <w:tabs>
                <w:tab w:val="left" w:pos="1021"/>
              </w:tabs>
              <w:spacing w:line="240" w:lineRule="auto"/>
              <w:jc w:val="center"/>
              <w:rPr>
                <w:color w:val="FF0000"/>
                <w:sz w:val="21"/>
                <w:szCs w:val="21"/>
              </w:rPr>
            </w:pPr>
          </w:p>
        </w:tc>
        <w:tc>
          <w:tcPr>
            <w:tcW w:w="888" w:type="dxa"/>
            <w:vMerge w:val="continue"/>
            <w:tcBorders>
              <w:tl2br w:val="nil"/>
              <w:tr2bl w:val="nil"/>
            </w:tcBorders>
            <w:vAlign w:val="center"/>
          </w:tcPr>
          <w:p w14:paraId="12185693">
            <w:pPr>
              <w:tabs>
                <w:tab w:val="left" w:pos="1021"/>
              </w:tabs>
              <w:spacing w:line="240" w:lineRule="auto"/>
              <w:jc w:val="center"/>
              <w:rPr>
                <w:color w:val="FF0000"/>
                <w:sz w:val="21"/>
                <w:szCs w:val="21"/>
              </w:rPr>
            </w:pPr>
          </w:p>
        </w:tc>
        <w:tc>
          <w:tcPr>
            <w:tcW w:w="1012" w:type="dxa"/>
            <w:tcBorders>
              <w:tl2br w:val="nil"/>
              <w:tr2bl w:val="nil"/>
            </w:tcBorders>
            <w:vAlign w:val="center"/>
          </w:tcPr>
          <w:p w14:paraId="1B0669E9">
            <w:pPr>
              <w:tabs>
                <w:tab w:val="left" w:pos="1021"/>
              </w:tabs>
              <w:spacing w:line="240" w:lineRule="auto"/>
              <w:jc w:val="center"/>
              <w:rPr>
                <w:sz w:val="21"/>
                <w:szCs w:val="21"/>
              </w:rPr>
            </w:pPr>
            <w:r>
              <w:rPr>
                <w:rFonts w:hint="eastAsia"/>
                <w:sz w:val="21"/>
                <w:szCs w:val="21"/>
              </w:rPr>
              <w:t>0.412</w:t>
            </w:r>
          </w:p>
        </w:tc>
        <w:tc>
          <w:tcPr>
            <w:tcW w:w="1200" w:type="dxa"/>
            <w:tcBorders>
              <w:tl2br w:val="nil"/>
              <w:tr2bl w:val="nil"/>
            </w:tcBorders>
            <w:vAlign w:val="center"/>
          </w:tcPr>
          <w:p w14:paraId="630EB93F">
            <w:pPr>
              <w:tabs>
                <w:tab w:val="left" w:pos="1021"/>
              </w:tabs>
              <w:spacing w:line="240" w:lineRule="auto"/>
              <w:jc w:val="center"/>
              <w:rPr>
                <w:sz w:val="21"/>
                <w:szCs w:val="21"/>
              </w:rPr>
            </w:pPr>
            <w:r>
              <w:rPr>
                <w:rFonts w:hint="eastAsia"/>
                <w:sz w:val="21"/>
                <w:szCs w:val="21"/>
              </w:rPr>
              <w:t>0.05</w:t>
            </w:r>
          </w:p>
        </w:tc>
        <w:tc>
          <w:tcPr>
            <w:tcW w:w="1041" w:type="dxa"/>
            <w:tcBorders>
              <w:tl2br w:val="nil"/>
              <w:tr2bl w:val="nil"/>
            </w:tcBorders>
            <w:vAlign w:val="center"/>
          </w:tcPr>
          <w:p w14:paraId="3E0C7AD1">
            <w:pPr>
              <w:tabs>
                <w:tab w:val="left" w:pos="1021"/>
              </w:tabs>
              <w:spacing w:line="240" w:lineRule="auto"/>
              <w:jc w:val="center"/>
              <w:rPr>
                <w:sz w:val="21"/>
                <w:szCs w:val="21"/>
              </w:rPr>
            </w:pPr>
            <w:r>
              <w:rPr>
                <w:rFonts w:hint="eastAsia"/>
                <w:sz w:val="21"/>
                <w:szCs w:val="21"/>
              </w:rPr>
              <w:t>25.2</w:t>
            </w:r>
          </w:p>
        </w:tc>
      </w:tr>
    </w:tbl>
    <w:p w14:paraId="3EBBC31C">
      <w:pPr>
        <w:ind w:firstLine="480"/>
        <w:rPr>
          <w:color w:val="FF0000"/>
        </w:rPr>
      </w:pPr>
      <w:r>
        <w:rPr>
          <w:rFonts w:hint="eastAsia"/>
        </w:rPr>
        <w:t>合并</w:t>
      </w:r>
      <w:r>
        <w:t>排放后</w:t>
      </w:r>
      <w:r>
        <w:rPr>
          <w:rFonts w:hint="eastAsia"/>
        </w:rPr>
        <w:t>DA002</w:t>
      </w:r>
      <w:r>
        <w:t>颗粒物、SO</w:t>
      </w:r>
      <w:r>
        <w:rPr>
          <w:vertAlign w:val="subscript"/>
        </w:rPr>
        <w:t>2</w:t>
      </w:r>
      <w:r>
        <w:t>、NOx排放量分别为0.315t/a、0.</w:t>
      </w:r>
      <w:r>
        <w:rPr>
          <w:rFonts w:hint="eastAsia"/>
          <w:lang w:val="en-US" w:eastAsia="zh-CN"/>
        </w:rPr>
        <w:t>044</w:t>
      </w:r>
      <w:r>
        <w:t>t/a、1.03t/a，</w:t>
      </w:r>
      <w:r>
        <w:rPr>
          <w:rFonts w:hint="eastAsia"/>
        </w:rPr>
        <w:t>排放浓度峰值为18.7mg/m</w:t>
      </w:r>
      <w:r>
        <w:rPr>
          <w:rFonts w:hint="eastAsia"/>
          <w:vertAlign w:val="superscript"/>
        </w:rPr>
        <w:t>3</w:t>
      </w:r>
      <w:r>
        <w:t>、</w:t>
      </w:r>
      <w:r>
        <w:rPr>
          <w:rFonts w:hint="eastAsia"/>
          <w:lang w:val="en-US" w:eastAsia="zh-CN"/>
        </w:rPr>
        <w:t>2.69</w:t>
      </w:r>
      <w:r>
        <w:rPr>
          <w:rFonts w:hint="eastAsia"/>
        </w:rPr>
        <w:t>mg/m</w:t>
      </w:r>
      <w:r>
        <w:rPr>
          <w:rFonts w:hint="eastAsia"/>
          <w:vertAlign w:val="superscript"/>
        </w:rPr>
        <w:t>3</w:t>
      </w:r>
      <w:r>
        <w:t>、62.2</w:t>
      </w:r>
      <w:r>
        <w:rPr>
          <w:rFonts w:hint="eastAsia"/>
        </w:rPr>
        <w:t>mg/m</w:t>
      </w:r>
      <w:r>
        <w:rPr>
          <w:rFonts w:hint="eastAsia"/>
          <w:vertAlign w:val="superscript"/>
        </w:rPr>
        <w:t>3</w:t>
      </w:r>
      <w:r>
        <w:rPr>
          <w:rFonts w:hint="eastAsia"/>
        </w:rPr>
        <w:t>，</w:t>
      </w:r>
      <w:r>
        <w:t>燃料废气排放</w:t>
      </w:r>
      <w:r>
        <w:rPr>
          <w:rFonts w:hint="eastAsia"/>
        </w:rPr>
        <w:t>满足《锅炉大气污染物排放标准》（GB13271-2014）中表3特别排放限值（颗粒物20mg/m</w:t>
      </w:r>
      <w:r>
        <w:rPr>
          <w:rFonts w:hint="eastAsia"/>
          <w:vertAlign w:val="superscript"/>
        </w:rPr>
        <w:t>3</w:t>
      </w:r>
      <w:r>
        <w:rPr>
          <w:rFonts w:hint="eastAsia"/>
        </w:rPr>
        <w:t>、二氧化硫50mg/m</w:t>
      </w:r>
      <w:r>
        <w:rPr>
          <w:rFonts w:hint="eastAsia"/>
          <w:vertAlign w:val="superscript"/>
        </w:rPr>
        <w:t>3</w:t>
      </w:r>
      <w:r>
        <w:rPr>
          <w:rFonts w:hint="eastAsia"/>
        </w:rPr>
        <w:t>、氮氧化物150mg/m</w:t>
      </w:r>
      <w:r>
        <w:rPr>
          <w:rFonts w:hint="eastAsia"/>
          <w:vertAlign w:val="superscript"/>
        </w:rPr>
        <w:t>3</w:t>
      </w:r>
      <w:r>
        <w:rPr>
          <w:rFonts w:hint="eastAsia"/>
        </w:rPr>
        <w:t>）。</w:t>
      </w:r>
    </w:p>
    <w:p w14:paraId="6C8AF0C6">
      <w:pPr>
        <w:ind w:firstLine="480"/>
      </w:pPr>
      <w:r>
        <w:rPr>
          <w:rFonts w:hint="eastAsia"/>
        </w:rPr>
        <w:t>4.食堂油烟</w:t>
      </w:r>
    </w:p>
    <w:p w14:paraId="75E1367F">
      <w:pPr>
        <w:ind w:firstLine="480"/>
        <w:rPr>
          <w:color w:val="FF0000"/>
        </w:rPr>
      </w:pPr>
      <w:r>
        <w:t>本次变更不增加劳动定员，项目就餐人员仍为</w:t>
      </w:r>
      <w:r>
        <w:rPr>
          <w:rFonts w:hint="eastAsia"/>
        </w:rPr>
        <w:t>71</w:t>
      </w:r>
      <w:r>
        <w:t>人，一日</w:t>
      </w:r>
      <w:r>
        <w:rPr>
          <w:rFonts w:hint="eastAsia"/>
        </w:rPr>
        <w:t>三</w:t>
      </w:r>
      <w:r>
        <w:t>餐。根据《生活源产排污系数手册》表3-1生活及其他大气污染物排放系数表单，湖南地区餐饮油烟排放系数为301g/人·a，该食堂厨房配套安装了油烟净化装置，处理效率约80%，则油烟排放量为</w:t>
      </w:r>
      <w:r>
        <w:rPr>
          <w:rFonts w:hint="eastAsia"/>
        </w:rPr>
        <w:t>0.02</w:t>
      </w:r>
      <w:r>
        <w:t>t/a，食堂每天操作按</w:t>
      </w:r>
      <w:r>
        <w:rPr>
          <w:rFonts w:hint="eastAsia"/>
        </w:rPr>
        <w:t>4</w:t>
      </w:r>
      <w:r>
        <w:t>h计，年工作时间</w:t>
      </w:r>
      <w:r>
        <w:rPr>
          <w:rFonts w:hint="eastAsia"/>
        </w:rPr>
        <w:t>34</w:t>
      </w:r>
      <w:r>
        <w:t>0天计，风机风量为</w:t>
      </w:r>
      <w:r>
        <w:rPr>
          <w:rFonts w:hint="eastAsia"/>
        </w:rPr>
        <w:t>45</w:t>
      </w:r>
      <w:r>
        <w:t>000m</w:t>
      </w:r>
      <w:r>
        <w:rPr>
          <w:vertAlign w:val="superscript"/>
        </w:rPr>
        <w:t>3</w:t>
      </w:r>
      <w:r>
        <w:t>/h，油烟排放浓度</w:t>
      </w:r>
      <w:r>
        <w:rPr>
          <w:rFonts w:hint="eastAsia"/>
        </w:rPr>
        <w:t>0.33</w:t>
      </w:r>
      <w:r>
        <w:t>mg/m</w:t>
      </w:r>
      <w:r>
        <w:rPr>
          <w:vertAlign w:val="superscript"/>
        </w:rPr>
        <w:t>3</w:t>
      </w:r>
      <w:r>
        <w:t>，满足《饮食业油烟排放标准（试行）》（GB18483-2001）限值要求</w:t>
      </w:r>
      <w:r>
        <w:rPr>
          <w:rFonts w:hint="eastAsia"/>
        </w:rPr>
        <w:t>“</w:t>
      </w:r>
      <w:r>
        <w:t>2.0mg/m</w:t>
      </w:r>
      <w:r>
        <w:rPr>
          <w:vertAlign w:val="superscript"/>
        </w:rPr>
        <w:t>3</w:t>
      </w:r>
      <w:r>
        <w:rPr>
          <w:rFonts w:hint="eastAsia"/>
        </w:rPr>
        <w:t>”</w:t>
      </w:r>
      <w:r>
        <w:t>，由排烟管道引至屋顶达标排放。</w:t>
      </w:r>
    </w:p>
    <w:p w14:paraId="1F09DFAA">
      <w:pPr>
        <w:ind w:firstLine="480"/>
      </w:pPr>
      <w:r>
        <w:rPr>
          <w:rFonts w:hint="eastAsia"/>
        </w:rPr>
        <w:t>5.废气源强核算汇总</w:t>
      </w:r>
    </w:p>
    <w:p w14:paraId="186C62BE">
      <w:pPr>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t>本项目污染源源强核算结果及相关参数列表如下表所示。</w:t>
      </w:r>
    </w:p>
    <w:p w14:paraId="5FC33F45">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表4.3-9 </w:t>
      </w:r>
      <w:r>
        <w:rPr>
          <w:rFonts w:hint="eastAsia" w:ascii="宋体" w:hAnsi="宋体" w:cs="宋体"/>
          <w:b/>
          <w:bCs/>
          <w:color w:val="auto"/>
          <w:kern w:val="2"/>
          <w:sz w:val="21"/>
          <w:szCs w:val="21"/>
          <w:lang w:val="en-US" w:eastAsia="zh-CN" w:bidi="ar-SA"/>
        </w:rPr>
        <w:t xml:space="preserve">             </w:t>
      </w:r>
      <w:r>
        <w:rPr>
          <w:rFonts w:hint="eastAsia"/>
        </w:rPr>
        <w:t>本项目废气产生和排放情况汇总一览表</w:t>
      </w:r>
    </w:p>
    <w:tbl>
      <w:tblPr>
        <w:tblStyle w:val="32"/>
        <w:tblW w:w="139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4"/>
        <w:gridCol w:w="582"/>
        <w:gridCol w:w="528"/>
        <w:gridCol w:w="990"/>
        <w:gridCol w:w="755"/>
        <w:gridCol w:w="808"/>
        <w:gridCol w:w="681"/>
        <w:gridCol w:w="1478"/>
        <w:gridCol w:w="699"/>
        <w:gridCol w:w="425"/>
        <w:gridCol w:w="567"/>
        <w:gridCol w:w="709"/>
        <w:gridCol w:w="850"/>
        <w:gridCol w:w="851"/>
        <w:gridCol w:w="425"/>
        <w:gridCol w:w="992"/>
        <w:gridCol w:w="1002"/>
        <w:gridCol w:w="892"/>
      </w:tblGrid>
      <w:tr w14:paraId="1A6D6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14:paraId="6CCAFCF5">
            <w:pPr>
              <w:tabs>
                <w:tab w:val="left" w:pos="1021"/>
              </w:tabs>
              <w:spacing w:line="240" w:lineRule="auto"/>
              <w:jc w:val="center"/>
              <w:rPr>
                <w:sz w:val="21"/>
                <w:szCs w:val="21"/>
              </w:rPr>
            </w:pPr>
            <w:r>
              <w:rPr>
                <w:sz w:val="21"/>
                <w:szCs w:val="21"/>
              </w:rPr>
              <w:t>工序/生产线</w:t>
            </w:r>
          </w:p>
        </w:tc>
        <w:tc>
          <w:tcPr>
            <w:tcW w:w="582" w:type="dxa"/>
            <w:vMerge w:val="restart"/>
            <w:vAlign w:val="center"/>
          </w:tcPr>
          <w:p w14:paraId="3B81748B">
            <w:pPr>
              <w:tabs>
                <w:tab w:val="left" w:pos="1021"/>
              </w:tabs>
              <w:spacing w:line="240" w:lineRule="auto"/>
              <w:jc w:val="center"/>
              <w:rPr>
                <w:sz w:val="21"/>
                <w:szCs w:val="21"/>
              </w:rPr>
            </w:pPr>
            <w:r>
              <w:rPr>
                <w:sz w:val="21"/>
                <w:szCs w:val="21"/>
              </w:rPr>
              <w:t>污染物</w:t>
            </w:r>
          </w:p>
        </w:tc>
        <w:tc>
          <w:tcPr>
            <w:tcW w:w="3081" w:type="dxa"/>
            <w:gridSpan w:val="4"/>
            <w:vAlign w:val="center"/>
          </w:tcPr>
          <w:p w14:paraId="516B0020">
            <w:pPr>
              <w:tabs>
                <w:tab w:val="left" w:pos="1021"/>
              </w:tabs>
              <w:spacing w:line="240" w:lineRule="auto"/>
              <w:jc w:val="center"/>
              <w:rPr>
                <w:sz w:val="21"/>
                <w:szCs w:val="21"/>
              </w:rPr>
            </w:pPr>
            <w:r>
              <w:rPr>
                <w:sz w:val="21"/>
                <w:szCs w:val="21"/>
              </w:rPr>
              <w:t>污染物产生</w:t>
            </w:r>
          </w:p>
        </w:tc>
        <w:tc>
          <w:tcPr>
            <w:tcW w:w="2858" w:type="dxa"/>
            <w:gridSpan w:val="3"/>
            <w:vAlign w:val="center"/>
          </w:tcPr>
          <w:p w14:paraId="1F70429B">
            <w:pPr>
              <w:tabs>
                <w:tab w:val="left" w:pos="1021"/>
              </w:tabs>
              <w:spacing w:line="240" w:lineRule="auto"/>
              <w:jc w:val="center"/>
              <w:rPr>
                <w:sz w:val="21"/>
                <w:szCs w:val="21"/>
              </w:rPr>
            </w:pPr>
            <w:r>
              <w:rPr>
                <w:rFonts w:hint="eastAsia"/>
                <w:sz w:val="21"/>
                <w:szCs w:val="21"/>
              </w:rPr>
              <w:t>治理措施</w:t>
            </w:r>
          </w:p>
        </w:tc>
        <w:tc>
          <w:tcPr>
            <w:tcW w:w="3402" w:type="dxa"/>
            <w:gridSpan w:val="5"/>
            <w:vAlign w:val="center"/>
          </w:tcPr>
          <w:p w14:paraId="72E6BE4E">
            <w:pPr>
              <w:tabs>
                <w:tab w:val="left" w:pos="1021"/>
              </w:tabs>
              <w:spacing w:line="240" w:lineRule="auto"/>
              <w:jc w:val="center"/>
              <w:rPr>
                <w:sz w:val="21"/>
                <w:szCs w:val="21"/>
              </w:rPr>
            </w:pPr>
            <w:r>
              <w:rPr>
                <w:rFonts w:hint="eastAsia"/>
                <w:sz w:val="21"/>
                <w:szCs w:val="21"/>
              </w:rPr>
              <w:t>有组织污染物排放</w:t>
            </w:r>
          </w:p>
        </w:tc>
        <w:tc>
          <w:tcPr>
            <w:tcW w:w="2419" w:type="dxa"/>
            <w:gridSpan w:val="3"/>
            <w:vAlign w:val="center"/>
          </w:tcPr>
          <w:p w14:paraId="0798959C">
            <w:pPr>
              <w:tabs>
                <w:tab w:val="left" w:pos="1021"/>
              </w:tabs>
              <w:spacing w:line="240" w:lineRule="auto"/>
              <w:jc w:val="center"/>
              <w:rPr>
                <w:sz w:val="21"/>
                <w:szCs w:val="21"/>
              </w:rPr>
            </w:pPr>
            <w:r>
              <w:rPr>
                <w:rFonts w:hint="eastAsia"/>
                <w:sz w:val="21"/>
                <w:szCs w:val="21"/>
              </w:rPr>
              <w:t>无组织污染物排放</w:t>
            </w:r>
          </w:p>
        </w:tc>
        <w:tc>
          <w:tcPr>
            <w:tcW w:w="892" w:type="dxa"/>
            <w:vMerge w:val="restart"/>
            <w:vAlign w:val="center"/>
          </w:tcPr>
          <w:p w14:paraId="647C1855">
            <w:pPr>
              <w:tabs>
                <w:tab w:val="left" w:pos="1021"/>
              </w:tabs>
              <w:spacing w:line="240" w:lineRule="auto"/>
              <w:jc w:val="center"/>
              <w:rPr>
                <w:sz w:val="21"/>
                <w:szCs w:val="21"/>
              </w:rPr>
            </w:pPr>
            <w:r>
              <w:rPr>
                <w:rFonts w:hint="eastAsia"/>
                <w:sz w:val="21"/>
                <w:szCs w:val="21"/>
              </w:rPr>
              <w:t>排放时间</w:t>
            </w:r>
          </w:p>
        </w:tc>
      </w:tr>
      <w:tr w14:paraId="20DE7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14:paraId="31BB4719">
            <w:pPr>
              <w:tabs>
                <w:tab w:val="left" w:pos="1021"/>
              </w:tabs>
              <w:spacing w:line="240" w:lineRule="auto"/>
              <w:jc w:val="center"/>
              <w:rPr>
                <w:sz w:val="21"/>
                <w:szCs w:val="21"/>
              </w:rPr>
            </w:pPr>
          </w:p>
        </w:tc>
        <w:tc>
          <w:tcPr>
            <w:tcW w:w="582" w:type="dxa"/>
            <w:vMerge w:val="continue"/>
            <w:vAlign w:val="center"/>
          </w:tcPr>
          <w:p w14:paraId="3D5FF5C6">
            <w:pPr>
              <w:tabs>
                <w:tab w:val="left" w:pos="1021"/>
              </w:tabs>
              <w:spacing w:line="240" w:lineRule="auto"/>
              <w:jc w:val="center"/>
              <w:rPr>
                <w:sz w:val="21"/>
                <w:szCs w:val="21"/>
              </w:rPr>
            </w:pPr>
          </w:p>
        </w:tc>
        <w:tc>
          <w:tcPr>
            <w:tcW w:w="528" w:type="dxa"/>
            <w:vAlign w:val="center"/>
          </w:tcPr>
          <w:p w14:paraId="7F178870">
            <w:pPr>
              <w:tabs>
                <w:tab w:val="left" w:pos="1021"/>
              </w:tabs>
              <w:spacing w:line="240" w:lineRule="auto"/>
              <w:jc w:val="center"/>
              <w:rPr>
                <w:sz w:val="21"/>
                <w:szCs w:val="21"/>
              </w:rPr>
            </w:pPr>
            <w:r>
              <w:rPr>
                <w:sz w:val="21"/>
                <w:szCs w:val="21"/>
              </w:rPr>
              <w:t>核算方法</w:t>
            </w:r>
          </w:p>
        </w:tc>
        <w:tc>
          <w:tcPr>
            <w:tcW w:w="990" w:type="dxa"/>
            <w:vAlign w:val="center"/>
          </w:tcPr>
          <w:p w14:paraId="74E3ED3A">
            <w:pPr>
              <w:tabs>
                <w:tab w:val="left" w:pos="1021"/>
              </w:tabs>
              <w:spacing w:line="240" w:lineRule="auto"/>
              <w:jc w:val="center"/>
              <w:rPr>
                <w:sz w:val="21"/>
                <w:szCs w:val="21"/>
              </w:rPr>
            </w:pPr>
            <w:r>
              <w:rPr>
                <w:sz w:val="21"/>
                <w:szCs w:val="21"/>
              </w:rPr>
              <w:t>废气产生量（m</w:t>
            </w:r>
            <w:r>
              <w:rPr>
                <w:sz w:val="21"/>
                <w:szCs w:val="21"/>
                <w:vertAlign w:val="superscript"/>
              </w:rPr>
              <w:t>3</w:t>
            </w:r>
            <w:r>
              <w:rPr>
                <w:sz w:val="21"/>
                <w:szCs w:val="21"/>
              </w:rPr>
              <w:t>/h）</w:t>
            </w:r>
          </w:p>
        </w:tc>
        <w:tc>
          <w:tcPr>
            <w:tcW w:w="755" w:type="dxa"/>
            <w:vAlign w:val="center"/>
          </w:tcPr>
          <w:p w14:paraId="5277155A">
            <w:pPr>
              <w:tabs>
                <w:tab w:val="left" w:pos="1021"/>
              </w:tabs>
              <w:spacing w:line="240" w:lineRule="auto"/>
              <w:jc w:val="center"/>
              <w:rPr>
                <w:sz w:val="21"/>
                <w:szCs w:val="21"/>
              </w:rPr>
            </w:pPr>
            <w:r>
              <w:rPr>
                <w:sz w:val="21"/>
                <w:szCs w:val="21"/>
              </w:rPr>
              <w:t>浓度（mg/m</w:t>
            </w:r>
            <w:r>
              <w:rPr>
                <w:sz w:val="21"/>
                <w:szCs w:val="21"/>
                <w:vertAlign w:val="superscript"/>
              </w:rPr>
              <w:t>3</w:t>
            </w:r>
            <w:r>
              <w:rPr>
                <w:sz w:val="21"/>
                <w:szCs w:val="21"/>
              </w:rPr>
              <w:t>）</w:t>
            </w:r>
          </w:p>
        </w:tc>
        <w:tc>
          <w:tcPr>
            <w:tcW w:w="808" w:type="dxa"/>
            <w:vAlign w:val="center"/>
          </w:tcPr>
          <w:p w14:paraId="2C45EC43">
            <w:pPr>
              <w:tabs>
                <w:tab w:val="left" w:pos="1021"/>
              </w:tabs>
              <w:spacing w:line="240" w:lineRule="auto"/>
              <w:jc w:val="center"/>
              <w:rPr>
                <w:sz w:val="21"/>
                <w:szCs w:val="21"/>
              </w:rPr>
            </w:pPr>
            <w:r>
              <w:rPr>
                <w:sz w:val="21"/>
                <w:szCs w:val="21"/>
              </w:rPr>
              <w:t>产生量（t/a）</w:t>
            </w:r>
          </w:p>
        </w:tc>
        <w:tc>
          <w:tcPr>
            <w:tcW w:w="681" w:type="dxa"/>
            <w:vAlign w:val="center"/>
          </w:tcPr>
          <w:p w14:paraId="6298165D">
            <w:pPr>
              <w:tabs>
                <w:tab w:val="left" w:pos="1021"/>
              </w:tabs>
              <w:spacing w:line="240" w:lineRule="auto"/>
              <w:jc w:val="center"/>
              <w:rPr>
                <w:sz w:val="21"/>
                <w:szCs w:val="21"/>
              </w:rPr>
            </w:pPr>
            <w:r>
              <w:rPr>
                <w:rFonts w:hint="eastAsia"/>
                <w:sz w:val="21"/>
                <w:szCs w:val="21"/>
              </w:rPr>
              <w:t>工艺</w:t>
            </w:r>
          </w:p>
        </w:tc>
        <w:tc>
          <w:tcPr>
            <w:tcW w:w="1478" w:type="dxa"/>
            <w:vAlign w:val="center"/>
          </w:tcPr>
          <w:p w14:paraId="5231512C">
            <w:pPr>
              <w:tabs>
                <w:tab w:val="left" w:pos="1021"/>
              </w:tabs>
              <w:spacing w:line="240" w:lineRule="auto"/>
              <w:jc w:val="center"/>
              <w:rPr>
                <w:sz w:val="21"/>
                <w:szCs w:val="21"/>
              </w:rPr>
            </w:pPr>
            <w:r>
              <w:rPr>
                <w:rFonts w:hint="eastAsia"/>
                <w:sz w:val="21"/>
                <w:szCs w:val="21"/>
              </w:rPr>
              <w:t>效率</w:t>
            </w:r>
          </w:p>
        </w:tc>
        <w:tc>
          <w:tcPr>
            <w:tcW w:w="699" w:type="dxa"/>
            <w:vAlign w:val="center"/>
          </w:tcPr>
          <w:p w14:paraId="18E81F05">
            <w:pPr>
              <w:tabs>
                <w:tab w:val="left" w:pos="1021"/>
              </w:tabs>
              <w:spacing w:line="240" w:lineRule="auto"/>
              <w:jc w:val="center"/>
              <w:rPr>
                <w:sz w:val="21"/>
                <w:szCs w:val="21"/>
              </w:rPr>
            </w:pPr>
            <w:r>
              <w:rPr>
                <w:rFonts w:hint="eastAsia"/>
                <w:sz w:val="21"/>
                <w:szCs w:val="21"/>
              </w:rPr>
              <w:t>是否为可行技术</w:t>
            </w:r>
          </w:p>
        </w:tc>
        <w:tc>
          <w:tcPr>
            <w:tcW w:w="425" w:type="dxa"/>
            <w:vAlign w:val="center"/>
          </w:tcPr>
          <w:p w14:paraId="1DB67B22">
            <w:pPr>
              <w:tabs>
                <w:tab w:val="left" w:pos="1021"/>
              </w:tabs>
              <w:spacing w:line="240" w:lineRule="auto"/>
              <w:jc w:val="center"/>
              <w:rPr>
                <w:sz w:val="21"/>
                <w:szCs w:val="21"/>
              </w:rPr>
            </w:pPr>
            <w:r>
              <w:rPr>
                <w:rFonts w:hint="eastAsia"/>
                <w:sz w:val="21"/>
                <w:szCs w:val="21"/>
              </w:rPr>
              <w:t>排放口</w:t>
            </w:r>
          </w:p>
        </w:tc>
        <w:tc>
          <w:tcPr>
            <w:tcW w:w="567" w:type="dxa"/>
            <w:vAlign w:val="center"/>
          </w:tcPr>
          <w:p w14:paraId="21DAE739">
            <w:pPr>
              <w:tabs>
                <w:tab w:val="left" w:pos="1021"/>
              </w:tabs>
              <w:spacing w:line="240" w:lineRule="auto"/>
              <w:jc w:val="center"/>
              <w:rPr>
                <w:sz w:val="21"/>
                <w:szCs w:val="21"/>
              </w:rPr>
            </w:pPr>
            <w:r>
              <w:rPr>
                <w:rFonts w:hint="eastAsia"/>
                <w:sz w:val="21"/>
                <w:szCs w:val="21"/>
              </w:rPr>
              <w:t>核算方法</w:t>
            </w:r>
          </w:p>
        </w:tc>
        <w:tc>
          <w:tcPr>
            <w:tcW w:w="709" w:type="dxa"/>
            <w:vAlign w:val="center"/>
          </w:tcPr>
          <w:p w14:paraId="325B720C">
            <w:pPr>
              <w:tabs>
                <w:tab w:val="left" w:pos="1021"/>
              </w:tabs>
              <w:spacing w:line="240" w:lineRule="auto"/>
              <w:jc w:val="center"/>
              <w:rPr>
                <w:sz w:val="21"/>
                <w:szCs w:val="21"/>
              </w:rPr>
            </w:pPr>
            <w:r>
              <w:rPr>
                <w:rFonts w:hint="eastAsia"/>
                <w:sz w:val="21"/>
                <w:szCs w:val="21"/>
              </w:rPr>
              <w:t>排放</w:t>
            </w:r>
          </w:p>
          <w:p w14:paraId="42C7DBDF">
            <w:pPr>
              <w:tabs>
                <w:tab w:val="left" w:pos="1021"/>
              </w:tabs>
              <w:spacing w:line="240" w:lineRule="auto"/>
              <w:jc w:val="center"/>
              <w:rPr>
                <w:sz w:val="21"/>
                <w:szCs w:val="21"/>
              </w:rPr>
            </w:pPr>
            <w:r>
              <w:rPr>
                <w:rFonts w:hint="eastAsia"/>
                <w:sz w:val="21"/>
                <w:szCs w:val="21"/>
              </w:rPr>
              <w:t>速率kg/h</w:t>
            </w:r>
          </w:p>
        </w:tc>
        <w:tc>
          <w:tcPr>
            <w:tcW w:w="850" w:type="dxa"/>
            <w:vAlign w:val="center"/>
          </w:tcPr>
          <w:p w14:paraId="2EB4E395">
            <w:pPr>
              <w:tabs>
                <w:tab w:val="left" w:pos="1021"/>
              </w:tabs>
              <w:spacing w:line="240" w:lineRule="auto"/>
              <w:jc w:val="center"/>
              <w:rPr>
                <w:sz w:val="21"/>
                <w:szCs w:val="21"/>
              </w:rPr>
            </w:pPr>
            <w:r>
              <w:rPr>
                <w:rFonts w:hint="eastAsia"/>
                <w:sz w:val="21"/>
                <w:szCs w:val="21"/>
              </w:rPr>
              <w:t>排放</w:t>
            </w:r>
          </w:p>
          <w:p w14:paraId="3E1ABFFC">
            <w:pPr>
              <w:tabs>
                <w:tab w:val="left" w:pos="1021"/>
              </w:tabs>
              <w:spacing w:line="240" w:lineRule="auto"/>
              <w:jc w:val="center"/>
              <w:rPr>
                <w:sz w:val="21"/>
                <w:szCs w:val="21"/>
              </w:rPr>
            </w:pPr>
            <w:r>
              <w:rPr>
                <w:rFonts w:hint="eastAsia"/>
                <w:sz w:val="21"/>
                <w:szCs w:val="21"/>
              </w:rPr>
              <w:t>浓度mg/m</w:t>
            </w:r>
            <w:r>
              <w:rPr>
                <w:rFonts w:hint="eastAsia"/>
                <w:sz w:val="21"/>
                <w:szCs w:val="21"/>
                <w:vertAlign w:val="superscript"/>
              </w:rPr>
              <w:t>3</w:t>
            </w:r>
          </w:p>
        </w:tc>
        <w:tc>
          <w:tcPr>
            <w:tcW w:w="851" w:type="dxa"/>
            <w:vAlign w:val="center"/>
          </w:tcPr>
          <w:p w14:paraId="4C0076AA">
            <w:pPr>
              <w:tabs>
                <w:tab w:val="left" w:pos="1021"/>
              </w:tabs>
              <w:spacing w:line="240" w:lineRule="auto"/>
              <w:jc w:val="center"/>
              <w:rPr>
                <w:sz w:val="21"/>
                <w:szCs w:val="21"/>
              </w:rPr>
            </w:pPr>
            <w:r>
              <w:rPr>
                <w:rFonts w:hint="eastAsia"/>
                <w:sz w:val="21"/>
                <w:szCs w:val="21"/>
              </w:rPr>
              <w:t>排放量t/a</w:t>
            </w:r>
          </w:p>
        </w:tc>
        <w:tc>
          <w:tcPr>
            <w:tcW w:w="425" w:type="dxa"/>
            <w:vAlign w:val="center"/>
          </w:tcPr>
          <w:p w14:paraId="232E6F4B">
            <w:pPr>
              <w:tabs>
                <w:tab w:val="left" w:pos="1021"/>
              </w:tabs>
              <w:spacing w:line="240" w:lineRule="auto"/>
              <w:jc w:val="center"/>
              <w:rPr>
                <w:sz w:val="21"/>
                <w:szCs w:val="21"/>
              </w:rPr>
            </w:pPr>
            <w:r>
              <w:rPr>
                <w:rFonts w:hint="eastAsia"/>
                <w:sz w:val="21"/>
                <w:szCs w:val="21"/>
              </w:rPr>
              <w:t>核算方法</w:t>
            </w:r>
          </w:p>
        </w:tc>
        <w:tc>
          <w:tcPr>
            <w:tcW w:w="992" w:type="dxa"/>
            <w:vAlign w:val="center"/>
          </w:tcPr>
          <w:p w14:paraId="7D16A40A">
            <w:pPr>
              <w:tabs>
                <w:tab w:val="left" w:pos="1021"/>
              </w:tabs>
              <w:spacing w:line="240" w:lineRule="auto"/>
              <w:jc w:val="center"/>
              <w:rPr>
                <w:sz w:val="21"/>
                <w:szCs w:val="21"/>
              </w:rPr>
            </w:pPr>
            <w:r>
              <w:rPr>
                <w:rFonts w:hint="eastAsia"/>
                <w:sz w:val="21"/>
                <w:szCs w:val="21"/>
              </w:rPr>
              <w:t>排放速率kg/h</w:t>
            </w:r>
          </w:p>
        </w:tc>
        <w:tc>
          <w:tcPr>
            <w:tcW w:w="1002" w:type="dxa"/>
            <w:vAlign w:val="center"/>
          </w:tcPr>
          <w:p w14:paraId="3D70C68A">
            <w:pPr>
              <w:tabs>
                <w:tab w:val="left" w:pos="1021"/>
              </w:tabs>
              <w:spacing w:line="240" w:lineRule="auto"/>
              <w:jc w:val="center"/>
              <w:rPr>
                <w:sz w:val="21"/>
                <w:szCs w:val="21"/>
              </w:rPr>
            </w:pPr>
            <w:r>
              <w:rPr>
                <w:rFonts w:hint="eastAsia"/>
                <w:sz w:val="21"/>
                <w:szCs w:val="21"/>
              </w:rPr>
              <w:t>排放量t/a</w:t>
            </w:r>
          </w:p>
        </w:tc>
        <w:tc>
          <w:tcPr>
            <w:tcW w:w="892" w:type="dxa"/>
            <w:vMerge w:val="continue"/>
            <w:vAlign w:val="center"/>
          </w:tcPr>
          <w:p w14:paraId="7A6B59F5">
            <w:pPr>
              <w:tabs>
                <w:tab w:val="left" w:pos="1021"/>
              </w:tabs>
              <w:spacing w:line="240" w:lineRule="auto"/>
              <w:jc w:val="center"/>
              <w:rPr>
                <w:sz w:val="21"/>
                <w:szCs w:val="21"/>
              </w:rPr>
            </w:pPr>
          </w:p>
        </w:tc>
      </w:tr>
      <w:tr w14:paraId="5582B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892" w:hRule="atLeast"/>
          <w:jc w:val="center"/>
        </w:trPr>
        <w:tc>
          <w:tcPr>
            <w:tcW w:w="694" w:type="dxa"/>
            <w:vAlign w:val="center"/>
          </w:tcPr>
          <w:p w14:paraId="44524075">
            <w:pPr>
              <w:tabs>
                <w:tab w:val="left" w:pos="1021"/>
              </w:tabs>
              <w:spacing w:line="240" w:lineRule="auto"/>
              <w:jc w:val="center"/>
              <w:rPr>
                <w:sz w:val="21"/>
                <w:szCs w:val="21"/>
              </w:rPr>
            </w:pPr>
            <w:r>
              <w:rPr>
                <w:rFonts w:hint="eastAsia"/>
                <w:sz w:val="21"/>
                <w:szCs w:val="21"/>
              </w:rPr>
              <w:t>印刷复合车间</w:t>
            </w:r>
          </w:p>
          <w:p w14:paraId="66E364D6">
            <w:pPr>
              <w:tabs>
                <w:tab w:val="left" w:pos="1021"/>
              </w:tabs>
              <w:spacing w:line="240" w:lineRule="auto"/>
              <w:jc w:val="center"/>
              <w:rPr>
                <w:sz w:val="21"/>
                <w:szCs w:val="21"/>
              </w:rPr>
            </w:pPr>
            <w:r>
              <w:rPr>
                <w:rFonts w:hint="eastAsia"/>
                <w:sz w:val="21"/>
                <w:szCs w:val="21"/>
              </w:rPr>
              <w:t>危废间</w:t>
            </w:r>
          </w:p>
        </w:tc>
        <w:tc>
          <w:tcPr>
            <w:tcW w:w="582" w:type="dxa"/>
            <w:vAlign w:val="center"/>
          </w:tcPr>
          <w:p w14:paraId="54EDA5DE">
            <w:pPr>
              <w:tabs>
                <w:tab w:val="left" w:pos="1021"/>
              </w:tabs>
              <w:spacing w:line="240" w:lineRule="auto"/>
              <w:jc w:val="center"/>
              <w:rPr>
                <w:sz w:val="21"/>
                <w:szCs w:val="21"/>
              </w:rPr>
            </w:pPr>
            <w:r>
              <w:rPr>
                <w:rFonts w:hint="eastAsia"/>
                <w:sz w:val="21"/>
                <w:szCs w:val="21"/>
              </w:rPr>
              <w:t>挥发性有机物</w:t>
            </w:r>
          </w:p>
        </w:tc>
        <w:tc>
          <w:tcPr>
            <w:tcW w:w="528" w:type="dxa"/>
            <w:vAlign w:val="center"/>
          </w:tcPr>
          <w:p w14:paraId="5C712DB8">
            <w:pPr>
              <w:tabs>
                <w:tab w:val="left" w:pos="1021"/>
              </w:tabs>
              <w:spacing w:line="240" w:lineRule="auto"/>
              <w:jc w:val="center"/>
              <w:rPr>
                <w:sz w:val="21"/>
                <w:szCs w:val="21"/>
              </w:rPr>
            </w:pPr>
            <w:r>
              <w:rPr>
                <w:rFonts w:hint="eastAsia"/>
                <w:sz w:val="21"/>
                <w:szCs w:val="21"/>
              </w:rPr>
              <w:t>物料衡算法</w:t>
            </w:r>
          </w:p>
        </w:tc>
        <w:tc>
          <w:tcPr>
            <w:tcW w:w="990" w:type="dxa"/>
            <w:vMerge w:val="restart"/>
            <w:vAlign w:val="center"/>
          </w:tcPr>
          <w:p w14:paraId="12166149">
            <w:pPr>
              <w:tabs>
                <w:tab w:val="left" w:pos="1021"/>
              </w:tabs>
              <w:spacing w:line="240" w:lineRule="auto"/>
              <w:jc w:val="center"/>
              <w:rPr>
                <w:sz w:val="21"/>
                <w:szCs w:val="21"/>
              </w:rPr>
            </w:pPr>
            <w:r>
              <w:rPr>
                <w:rFonts w:hint="eastAsia"/>
                <w:sz w:val="21"/>
                <w:szCs w:val="21"/>
                <w:lang w:val="en-US" w:eastAsia="zh-CN"/>
              </w:rPr>
              <w:t>38</w:t>
            </w:r>
            <w:r>
              <w:rPr>
                <w:rFonts w:hint="eastAsia"/>
                <w:sz w:val="21"/>
                <w:szCs w:val="21"/>
              </w:rPr>
              <w:t>0000</w:t>
            </w:r>
          </w:p>
        </w:tc>
        <w:tc>
          <w:tcPr>
            <w:tcW w:w="755" w:type="dxa"/>
            <w:vAlign w:val="center"/>
          </w:tcPr>
          <w:p w14:paraId="23E8307B">
            <w:pPr>
              <w:tabs>
                <w:tab w:val="left" w:pos="1021"/>
              </w:tabs>
              <w:spacing w:line="240" w:lineRule="auto"/>
              <w:jc w:val="center"/>
              <w:rPr>
                <w:sz w:val="21"/>
                <w:szCs w:val="21"/>
              </w:rPr>
            </w:pPr>
            <w:r>
              <w:rPr>
                <w:rFonts w:hint="eastAsia"/>
                <w:sz w:val="21"/>
                <w:szCs w:val="21"/>
              </w:rPr>
              <w:t>/</w:t>
            </w:r>
          </w:p>
        </w:tc>
        <w:tc>
          <w:tcPr>
            <w:tcW w:w="808" w:type="dxa"/>
            <w:vAlign w:val="center"/>
          </w:tcPr>
          <w:p w14:paraId="2D9C7647">
            <w:pPr>
              <w:tabs>
                <w:tab w:val="left" w:pos="1021"/>
              </w:tabs>
              <w:spacing w:line="240" w:lineRule="auto"/>
              <w:jc w:val="center"/>
              <w:rPr>
                <w:rFonts w:hint="default" w:eastAsia="宋体"/>
                <w:sz w:val="21"/>
                <w:szCs w:val="21"/>
                <w:lang w:val="en-US" w:eastAsia="zh-CN"/>
              </w:rPr>
            </w:pPr>
            <w:r>
              <w:rPr>
                <w:rFonts w:hint="eastAsia"/>
                <w:bCs/>
                <w:sz w:val="21"/>
                <w:szCs w:val="21"/>
                <w:lang w:val="en-US" w:eastAsia="zh-CN"/>
              </w:rPr>
              <w:t>2069.5</w:t>
            </w:r>
          </w:p>
        </w:tc>
        <w:tc>
          <w:tcPr>
            <w:tcW w:w="681" w:type="dxa"/>
            <w:vMerge w:val="restart"/>
            <w:vAlign w:val="center"/>
          </w:tcPr>
          <w:p w14:paraId="15E960A3">
            <w:pPr>
              <w:tabs>
                <w:tab w:val="left" w:pos="1021"/>
              </w:tabs>
              <w:spacing w:line="240" w:lineRule="auto"/>
              <w:jc w:val="center"/>
              <w:rPr>
                <w:sz w:val="21"/>
                <w:szCs w:val="21"/>
              </w:rPr>
            </w:pPr>
            <w:r>
              <w:rPr>
                <w:rFonts w:hint="eastAsia"/>
                <w:sz w:val="21"/>
                <w:szCs w:val="21"/>
              </w:rPr>
              <w:t>吸附浓缩+溶剂回收系统</w:t>
            </w:r>
          </w:p>
        </w:tc>
        <w:tc>
          <w:tcPr>
            <w:tcW w:w="1478" w:type="dxa"/>
            <w:vMerge w:val="restart"/>
            <w:vAlign w:val="center"/>
          </w:tcPr>
          <w:p w14:paraId="4DF50C9E">
            <w:pPr>
              <w:tabs>
                <w:tab w:val="left" w:pos="1021"/>
              </w:tabs>
              <w:spacing w:line="240" w:lineRule="auto"/>
              <w:jc w:val="center"/>
              <w:rPr>
                <w:sz w:val="21"/>
                <w:szCs w:val="21"/>
              </w:rPr>
            </w:pPr>
            <w:r>
              <w:rPr>
                <w:rFonts w:hint="eastAsia"/>
                <w:sz w:val="21"/>
                <w:szCs w:val="21"/>
              </w:rPr>
              <w:t>工区密闭负压收集和车间整体收集均为</w:t>
            </w:r>
            <w:r>
              <w:rPr>
                <w:rFonts w:hint="eastAsia"/>
                <w:sz w:val="21"/>
                <w:szCs w:val="21"/>
                <w:lang w:val="en-US" w:eastAsia="zh-CN"/>
              </w:rPr>
              <w:t>90</w:t>
            </w:r>
            <w:r>
              <w:rPr>
                <w:rFonts w:hint="eastAsia"/>
                <w:sz w:val="21"/>
                <w:szCs w:val="21"/>
              </w:rPr>
              <w:t>%、调墨调胶、危废间均为</w:t>
            </w:r>
            <w:r>
              <w:rPr>
                <w:rFonts w:hint="eastAsia"/>
                <w:sz w:val="21"/>
                <w:szCs w:val="21"/>
                <w:lang w:val="en-US" w:eastAsia="zh-CN"/>
              </w:rPr>
              <w:t>90</w:t>
            </w:r>
            <w:r>
              <w:rPr>
                <w:rFonts w:hint="eastAsia"/>
                <w:sz w:val="21"/>
                <w:szCs w:val="21"/>
              </w:rPr>
              <w:t>%；</w:t>
            </w:r>
            <w:r>
              <w:rPr>
                <w:rFonts w:hint="eastAsia"/>
                <w:sz w:val="21"/>
                <w:szCs w:val="21"/>
                <w:lang w:val="en-US" w:eastAsia="zh-CN"/>
              </w:rPr>
              <w:t>组合</w:t>
            </w:r>
            <w:r>
              <w:rPr>
                <w:rFonts w:hint="eastAsia"/>
                <w:sz w:val="21"/>
                <w:szCs w:val="21"/>
              </w:rPr>
              <w:t>处理效率95%</w:t>
            </w:r>
          </w:p>
        </w:tc>
        <w:tc>
          <w:tcPr>
            <w:tcW w:w="699" w:type="dxa"/>
            <w:vMerge w:val="restart"/>
            <w:vAlign w:val="center"/>
          </w:tcPr>
          <w:p w14:paraId="79603500">
            <w:pPr>
              <w:tabs>
                <w:tab w:val="left" w:pos="1021"/>
              </w:tabs>
              <w:spacing w:line="240" w:lineRule="auto"/>
              <w:jc w:val="center"/>
              <w:rPr>
                <w:sz w:val="21"/>
                <w:szCs w:val="21"/>
              </w:rPr>
            </w:pPr>
            <w:r>
              <w:rPr>
                <w:rFonts w:hint="eastAsia"/>
                <w:sz w:val="21"/>
                <w:szCs w:val="21"/>
              </w:rPr>
              <w:t>是</w:t>
            </w:r>
          </w:p>
        </w:tc>
        <w:tc>
          <w:tcPr>
            <w:tcW w:w="425" w:type="dxa"/>
            <w:vMerge w:val="restart"/>
            <w:vAlign w:val="center"/>
          </w:tcPr>
          <w:p w14:paraId="5DFE72E1">
            <w:pPr>
              <w:tabs>
                <w:tab w:val="left" w:pos="1021"/>
              </w:tabs>
              <w:spacing w:line="240" w:lineRule="auto"/>
              <w:jc w:val="center"/>
              <w:rPr>
                <w:sz w:val="21"/>
                <w:szCs w:val="21"/>
              </w:rPr>
            </w:pPr>
            <w:r>
              <w:rPr>
                <w:rFonts w:hint="eastAsia"/>
                <w:sz w:val="21"/>
                <w:szCs w:val="21"/>
              </w:rPr>
              <w:t>DA001</w:t>
            </w:r>
          </w:p>
        </w:tc>
        <w:tc>
          <w:tcPr>
            <w:tcW w:w="567" w:type="dxa"/>
            <w:vMerge w:val="restart"/>
            <w:vAlign w:val="center"/>
          </w:tcPr>
          <w:p w14:paraId="7EB8C2D1">
            <w:pPr>
              <w:tabs>
                <w:tab w:val="left" w:pos="1021"/>
              </w:tabs>
              <w:spacing w:line="240" w:lineRule="auto"/>
              <w:jc w:val="center"/>
              <w:rPr>
                <w:sz w:val="21"/>
                <w:szCs w:val="21"/>
              </w:rPr>
            </w:pPr>
            <w:r>
              <w:rPr>
                <w:rFonts w:hint="eastAsia"/>
                <w:sz w:val="21"/>
                <w:szCs w:val="21"/>
              </w:rPr>
              <w:t>系数法</w:t>
            </w:r>
          </w:p>
        </w:tc>
        <w:tc>
          <w:tcPr>
            <w:tcW w:w="709" w:type="dxa"/>
            <w:vAlign w:val="center"/>
          </w:tcPr>
          <w:p w14:paraId="49FF013A">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12.5</w:t>
            </w:r>
          </w:p>
        </w:tc>
        <w:tc>
          <w:tcPr>
            <w:tcW w:w="850" w:type="dxa"/>
            <w:vAlign w:val="center"/>
          </w:tcPr>
          <w:p w14:paraId="60DCC424">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32.8</w:t>
            </w:r>
          </w:p>
        </w:tc>
        <w:tc>
          <w:tcPr>
            <w:tcW w:w="851" w:type="dxa"/>
            <w:vAlign w:val="center"/>
          </w:tcPr>
          <w:p w14:paraId="3A45C5BE">
            <w:pPr>
              <w:tabs>
                <w:tab w:val="left" w:pos="1021"/>
              </w:tabs>
              <w:spacing w:line="240" w:lineRule="auto"/>
              <w:jc w:val="center"/>
              <w:rPr>
                <w:rFonts w:hint="default"/>
                <w:sz w:val="21"/>
                <w:szCs w:val="21"/>
                <w:lang w:val="en-US"/>
              </w:rPr>
            </w:pPr>
            <w:r>
              <w:rPr>
                <w:rFonts w:hint="eastAsia"/>
                <w:sz w:val="21"/>
                <w:szCs w:val="21"/>
                <w:lang w:val="en-US" w:eastAsia="zh-CN"/>
              </w:rPr>
              <w:t>101.72</w:t>
            </w:r>
          </w:p>
        </w:tc>
        <w:tc>
          <w:tcPr>
            <w:tcW w:w="425" w:type="dxa"/>
            <w:vAlign w:val="center"/>
          </w:tcPr>
          <w:p w14:paraId="3D59BC46">
            <w:pPr>
              <w:tabs>
                <w:tab w:val="left" w:pos="1021"/>
              </w:tabs>
              <w:spacing w:line="240" w:lineRule="auto"/>
              <w:jc w:val="center"/>
              <w:rPr>
                <w:sz w:val="21"/>
                <w:szCs w:val="21"/>
              </w:rPr>
            </w:pPr>
            <w:r>
              <w:rPr>
                <w:rFonts w:hint="eastAsia"/>
                <w:sz w:val="21"/>
                <w:szCs w:val="21"/>
              </w:rPr>
              <w:t>/</w:t>
            </w:r>
          </w:p>
        </w:tc>
        <w:tc>
          <w:tcPr>
            <w:tcW w:w="992" w:type="dxa"/>
            <w:vAlign w:val="center"/>
          </w:tcPr>
          <w:p w14:paraId="2531E84F">
            <w:pPr>
              <w:tabs>
                <w:tab w:val="left" w:pos="1021"/>
              </w:tabs>
              <w:spacing w:line="240" w:lineRule="auto"/>
              <w:jc w:val="center"/>
              <w:rPr>
                <w:sz w:val="21"/>
                <w:szCs w:val="21"/>
              </w:rPr>
            </w:pPr>
            <w:r>
              <w:rPr>
                <w:rFonts w:hint="eastAsia"/>
                <w:sz w:val="21"/>
                <w:szCs w:val="21"/>
              </w:rPr>
              <w:t>/</w:t>
            </w:r>
          </w:p>
        </w:tc>
        <w:tc>
          <w:tcPr>
            <w:tcW w:w="1002" w:type="dxa"/>
            <w:vAlign w:val="center"/>
          </w:tcPr>
          <w:p w14:paraId="4FDF9D53">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35.102</w:t>
            </w:r>
          </w:p>
        </w:tc>
        <w:tc>
          <w:tcPr>
            <w:tcW w:w="892" w:type="dxa"/>
            <w:vAlign w:val="center"/>
          </w:tcPr>
          <w:p w14:paraId="15EE27B2">
            <w:pPr>
              <w:tabs>
                <w:tab w:val="left" w:pos="1021"/>
              </w:tabs>
              <w:spacing w:line="240" w:lineRule="auto"/>
              <w:jc w:val="center"/>
              <w:rPr>
                <w:sz w:val="21"/>
                <w:szCs w:val="21"/>
              </w:rPr>
            </w:pPr>
            <w:r>
              <w:rPr>
                <w:rFonts w:hint="eastAsia"/>
                <w:sz w:val="21"/>
                <w:szCs w:val="21"/>
              </w:rPr>
              <w:t>8160h</w:t>
            </w:r>
          </w:p>
        </w:tc>
      </w:tr>
      <w:tr w14:paraId="20AE11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Align w:val="center"/>
          </w:tcPr>
          <w:p w14:paraId="6899CBDB">
            <w:pPr>
              <w:tabs>
                <w:tab w:val="left" w:pos="1021"/>
              </w:tabs>
              <w:spacing w:line="240" w:lineRule="auto"/>
              <w:jc w:val="center"/>
              <w:rPr>
                <w:sz w:val="21"/>
                <w:szCs w:val="21"/>
              </w:rPr>
            </w:pPr>
            <w:r>
              <w:rPr>
                <w:rFonts w:hint="eastAsia"/>
                <w:sz w:val="21"/>
                <w:szCs w:val="21"/>
              </w:rPr>
              <w:t>印刷复合车间</w:t>
            </w:r>
          </w:p>
        </w:tc>
        <w:tc>
          <w:tcPr>
            <w:tcW w:w="582" w:type="dxa"/>
            <w:vAlign w:val="center"/>
          </w:tcPr>
          <w:p w14:paraId="622C0ECA">
            <w:pPr>
              <w:tabs>
                <w:tab w:val="left" w:pos="1021"/>
              </w:tabs>
              <w:spacing w:line="240" w:lineRule="auto"/>
              <w:jc w:val="center"/>
              <w:rPr>
                <w:sz w:val="21"/>
                <w:szCs w:val="21"/>
              </w:rPr>
            </w:pPr>
            <w:r>
              <w:rPr>
                <w:rFonts w:hint="eastAsia"/>
                <w:sz w:val="21"/>
                <w:szCs w:val="21"/>
              </w:rPr>
              <w:t>臭气浓度</w:t>
            </w:r>
          </w:p>
        </w:tc>
        <w:tc>
          <w:tcPr>
            <w:tcW w:w="528" w:type="dxa"/>
            <w:vAlign w:val="center"/>
          </w:tcPr>
          <w:p w14:paraId="32EC7BB6">
            <w:pPr>
              <w:tabs>
                <w:tab w:val="left" w:pos="1021"/>
              </w:tabs>
              <w:spacing w:line="240" w:lineRule="auto"/>
              <w:jc w:val="center"/>
              <w:rPr>
                <w:sz w:val="21"/>
                <w:szCs w:val="21"/>
              </w:rPr>
            </w:pPr>
            <w:r>
              <w:rPr>
                <w:rFonts w:hint="eastAsia"/>
                <w:sz w:val="21"/>
                <w:szCs w:val="21"/>
              </w:rPr>
              <w:t>/</w:t>
            </w:r>
          </w:p>
        </w:tc>
        <w:tc>
          <w:tcPr>
            <w:tcW w:w="990" w:type="dxa"/>
            <w:vMerge w:val="continue"/>
            <w:vAlign w:val="center"/>
          </w:tcPr>
          <w:p w14:paraId="107441F5">
            <w:pPr>
              <w:tabs>
                <w:tab w:val="left" w:pos="1021"/>
              </w:tabs>
              <w:spacing w:line="240" w:lineRule="auto"/>
              <w:jc w:val="center"/>
              <w:rPr>
                <w:sz w:val="21"/>
                <w:szCs w:val="21"/>
              </w:rPr>
            </w:pPr>
          </w:p>
        </w:tc>
        <w:tc>
          <w:tcPr>
            <w:tcW w:w="755" w:type="dxa"/>
            <w:vAlign w:val="center"/>
          </w:tcPr>
          <w:p w14:paraId="60DECA8E">
            <w:pPr>
              <w:tabs>
                <w:tab w:val="left" w:pos="1021"/>
              </w:tabs>
              <w:spacing w:line="240" w:lineRule="auto"/>
              <w:jc w:val="center"/>
              <w:rPr>
                <w:sz w:val="21"/>
                <w:szCs w:val="21"/>
              </w:rPr>
            </w:pPr>
            <w:r>
              <w:rPr>
                <w:rFonts w:hint="eastAsia"/>
                <w:sz w:val="21"/>
                <w:szCs w:val="21"/>
              </w:rPr>
              <w:t>/</w:t>
            </w:r>
          </w:p>
        </w:tc>
        <w:tc>
          <w:tcPr>
            <w:tcW w:w="808" w:type="dxa"/>
            <w:vAlign w:val="center"/>
          </w:tcPr>
          <w:p w14:paraId="4A62ACEE">
            <w:pPr>
              <w:tabs>
                <w:tab w:val="left" w:pos="1021"/>
              </w:tabs>
              <w:spacing w:line="240" w:lineRule="auto"/>
              <w:jc w:val="center"/>
              <w:rPr>
                <w:sz w:val="21"/>
                <w:szCs w:val="21"/>
              </w:rPr>
            </w:pPr>
            <w:r>
              <w:rPr>
                <w:rFonts w:hint="eastAsia"/>
                <w:sz w:val="21"/>
                <w:szCs w:val="21"/>
              </w:rPr>
              <w:t>/</w:t>
            </w:r>
          </w:p>
        </w:tc>
        <w:tc>
          <w:tcPr>
            <w:tcW w:w="681" w:type="dxa"/>
            <w:vMerge w:val="continue"/>
            <w:vAlign w:val="center"/>
          </w:tcPr>
          <w:p w14:paraId="07497BF8">
            <w:pPr>
              <w:tabs>
                <w:tab w:val="left" w:pos="1021"/>
              </w:tabs>
              <w:spacing w:line="240" w:lineRule="auto"/>
              <w:jc w:val="center"/>
              <w:rPr>
                <w:sz w:val="21"/>
                <w:szCs w:val="21"/>
              </w:rPr>
            </w:pPr>
          </w:p>
        </w:tc>
        <w:tc>
          <w:tcPr>
            <w:tcW w:w="1478" w:type="dxa"/>
            <w:vMerge w:val="continue"/>
            <w:tcBorders>
              <w:bottom w:val="single" w:color="000000" w:sz="8" w:space="0"/>
            </w:tcBorders>
            <w:vAlign w:val="center"/>
          </w:tcPr>
          <w:p w14:paraId="4BB0C84B">
            <w:pPr>
              <w:tabs>
                <w:tab w:val="left" w:pos="1021"/>
              </w:tabs>
              <w:spacing w:line="240" w:lineRule="auto"/>
              <w:jc w:val="center"/>
              <w:rPr>
                <w:sz w:val="21"/>
                <w:szCs w:val="21"/>
              </w:rPr>
            </w:pPr>
          </w:p>
        </w:tc>
        <w:tc>
          <w:tcPr>
            <w:tcW w:w="699" w:type="dxa"/>
            <w:vMerge w:val="continue"/>
            <w:vAlign w:val="center"/>
          </w:tcPr>
          <w:p w14:paraId="481E5953">
            <w:pPr>
              <w:tabs>
                <w:tab w:val="left" w:pos="1021"/>
              </w:tabs>
              <w:spacing w:line="240" w:lineRule="auto"/>
              <w:jc w:val="center"/>
              <w:rPr>
                <w:sz w:val="21"/>
                <w:szCs w:val="21"/>
              </w:rPr>
            </w:pPr>
          </w:p>
        </w:tc>
        <w:tc>
          <w:tcPr>
            <w:tcW w:w="425" w:type="dxa"/>
            <w:vMerge w:val="continue"/>
            <w:vAlign w:val="center"/>
          </w:tcPr>
          <w:p w14:paraId="6F5EC29C">
            <w:pPr>
              <w:tabs>
                <w:tab w:val="left" w:pos="1021"/>
              </w:tabs>
              <w:spacing w:line="240" w:lineRule="auto"/>
              <w:jc w:val="center"/>
              <w:rPr>
                <w:sz w:val="21"/>
                <w:szCs w:val="21"/>
              </w:rPr>
            </w:pPr>
          </w:p>
        </w:tc>
        <w:tc>
          <w:tcPr>
            <w:tcW w:w="567" w:type="dxa"/>
            <w:vMerge w:val="continue"/>
            <w:vAlign w:val="center"/>
          </w:tcPr>
          <w:p w14:paraId="5C227F88">
            <w:pPr>
              <w:tabs>
                <w:tab w:val="left" w:pos="1021"/>
              </w:tabs>
              <w:spacing w:line="240" w:lineRule="auto"/>
              <w:jc w:val="center"/>
              <w:rPr>
                <w:sz w:val="21"/>
                <w:szCs w:val="21"/>
              </w:rPr>
            </w:pPr>
          </w:p>
        </w:tc>
        <w:tc>
          <w:tcPr>
            <w:tcW w:w="709" w:type="dxa"/>
            <w:vAlign w:val="center"/>
          </w:tcPr>
          <w:p w14:paraId="4ECA6D61">
            <w:pPr>
              <w:tabs>
                <w:tab w:val="left" w:pos="1021"/>
              </w:tabs>
              <w:spacing w:line="240" w:lineRule="auto"/>
              <w:jc w:val="center"/>
              <w:rPr>
                <w:sz w:val="21"/>
                <w:szCs w:val="21"/>
              </w:rPr>
            </w:pPr>
            <w:r>
              <w:rPr>
                <w:rFonts w:hint="eastAsia"/>
                <w:sz w:val="21"/>
                <w:szCs w:val="21"/>
              </w:rPr>
              <w:t>/</w:t>
            </w:r>
          </w:p>
        </w:tc>
        <w:tc>
          <w:tcPr>
            <w:tcW w:w="850" w:type="dxa"/>
            <w:vAlign w:val="center"/>
          </w:tcPr>
          <w:p w14:paraId="62E24682">
            <w:pPr>
              <w:tabs>
                <w:tab w:val="left" w:pos="1021"/>
              </w:tabs>
              <w:spacing w:line="240" w:lineRule="auto"/>
              <w:jc w:val="center"/>
              <w:rPr>
                <w:sz w:val="21"/>
                <w:szCs w:val="21"/>
              </w:rPr>
            </w:pPr>
            <w:r>
              <w:rPr>
                <w:rFonts w:hint="eastAsia"/>
                <w:sz w:val="21"/>
                <w:szCs w:val="21"/>
              </w:rPr>
              <w:t>/</w:t>
            </w:r>
          </w:p>
        </w:tc>
        <w:tc>
          <w:tcPr>
            <w:tcW w:w="851" w:type="dxa"/>
            <w:vAlign w:val="center"/>
          </w:tcPr>
          <w:p w14:paraId="75606CCE">
            <w:pPr>
              <w:tabs>
                <w:tab w:val="left" w:pos="1021"/>
              </w:tabs>
              <w:spacing w:line="240" w:lineRule="auto"/>
              <w:jc w:val="center"/>
              <w:rPr>
                <w:sz w:val="21"/>
                <w:szCs w:val="21"/>
              </w:rPr>
            </w:pPr>
            <w:r>
              <w:rPr>
                <w:rFonts w:hint="eastAsia"/>
                <w:sz w:val="21"/>
                <w:szCs w:val="21"/>
              </w:rPr>
              <w:t>/</w:t>
            </w:r>
          </w:p>
        </w:tc>
        <w:tc>
          <w:tcPr>
            <w:tcW w:w="425" w:type="dxa"/>
            <w:vAlign w:val="center"/>
          </w:tcPr>
          <w:p w14:paraId="6F3893DC">
            <w:pPr>
              <w:tabs>
                <w:tab w:val="left" w:pos="1021"/>
              </w:tabs>
              <w:spacing w:line="240" w:lineRule="auto"/>
              <w:jc w:val="center"/>
              <w:rPr>
                <w:sz w:val="21"/>
                <w:szCs w:val="21"/>
              </w:rPr>
            </w:pPr>
            <w:r>
              <w:rPr>
                <w:rFonts w:hint="eastAsia"/>
                <w:sz w:val="21"/>
                <w:szCs w:val="21"/>
              </w:rPr>
              <w:t>/</w:t>
            </w:r>
          </w:p>
        </w:tc>
        <w:tc>
          <w:tcPr>
            <w:tcW w:w="992" w:type="dxa"/>
            <w:vAlign w:val="center"/>
          </w:tcPr>
          <w:p w14:paraId="27BDF3DC">
            <w:pPr>
              <w:tabs>
                <w:tab w:val="left" w:pos="1021"/>
              </w:tabs>
              <w:spacing w:line="240" w:lineRule="auto"/>
              <w:jc w:val="center"/>
              <w:rPr>
                <w:sz w:val="21"/>
                <w:szCs w:val="21"/>
              </w:rPr>
            </w:pPr>
            <w:r>
              <w:rPr>
                <w:rFonts w:hint="eastAsia"/>
                <w:sz w:val="21"/>
                <w:szCs w:val="21"/>
              </w:rPr>
              <w:t>/</w:t>
            </w:r>
          </w:p>
        </w:tc>
        <w:tc>
          <w:tcPr>
            <w:tcW w:w="1002" w:type="dxa"/>
            <w:vAlign w:val="center"/>
          </w:tcPr>
          <w:p w14:paraId="55B58802">
            <w:pPr>
              <w:tabs>
                <w:tab w:val="left" w:pos="1021"/>
              </w:tabs>
              <w:spacing w:line="240" w:lineRule="auto"/>
              <w:jc w:val="center"/>
              <w:rPr>
                <w:sz w:val="21"/>
                <w:szCs w:val="21"/>
              </w:rPr>
            </w:pPr>
            <w:r>
              <w:rPr>
                <w:rFonts w:hint="eastAsia"/>
                <w:sz w:val="21"/>
                <w:szCs w:val="21"/>
              </w:rPr>
              <w:t>/</w:t>
            </w:r>
          </w:p>
        </w:tc>
        <w:tc>
          <w:tcPr>
            <w:tcW w:w="892" w:type="dxa"/>
            <w:vAlign w:val="center"/>
          </w:tcPr>
          <w:p w14:paraId="62437B29">
            <w:pPr>
              <w:tabs>
                <w:tab w:val="left" w:pos="1021"/>
              </w:tabs>
              <w:spacing w:line="240" w:lineRule="auto"/>
              <w:jc w:val="center"/>
              <w:rPr>
                <w:sz w:val="21"/>
                <w:szCs w:val="21"/>
              </w:rPr>
            </w:pPr>
            <w:r>
              <w:rPr>
                <w:rFonts w:hint="eastAsia"/>
                <w:sz w:val="21"/>
                <w:szCs w:val="21"/>
              </w:rPr>
              <w:t>/</w:t>
            </w:r>
          </w:p>
        </w:tc>
      </w:tr>
      <w:tr w14:paraId="569921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14:paraId="439BECE5">
            <w:pPr>
              <w:tabs>
                <w:tab w:val="left" w:pos="1021"/>
              </w:tabs>
              <w:spacing w:line="240" w:lineRule="auto"/>
              <w:jc w:val="center"/>
              <w:rPr>
                <w:sz w:val="21"/>
                <w:szCs w:val="21"/>
              </w:rPr>
            </w:pPr>
            <w:r>
              <w:rPr>
                <w:rFonts w:hint="eastAsia"/>
                <w:sz w:val="21"/>
                <w:szCs w:val="21"/>
              </w:rPr>
              <w:t>印刷复合烘干天然气</w:t>
            </w:r>
          </w:p>
        </w:tc>
        <w:tc>
          <w:tcPr>
            <w:tcW w:w="582" w:type="dxa"/>
            <w:vAlign w:val="center"/>
          </w:tcPr>
          <w:p w14:paraId="4F3EF986">
            <w:pPr>
              <w:tabs>
                <w:tab w:val="left" w:pos="1021"/>
              </w:tabs>
              <w:spacing w:line="240" w:lineRule="auto"/>
              <w:jc w:val="center"/>
              <w:rPr>
                <w:sz w:val="21"/>
                <w:szCs w:val="21"/>
              </w:rPr>
            </w:pPr>
            <w:r>
              <w:rPr>
                <w:rFonts w:hint="eastAsia"/>
                <w:sz w:val="21"/>
                <w:szCs w:val="21"/>
              </w:rPr>
              <w:t>颗粒物</w:t>
            </w:r>
          </w:p>
        </w:tc>
        <w:tc>
          <w:tcPr>
            <w:tcW w:w="528" w:type="dxa"/>
            <w:vMerge w:val="restart"/>
            <w:vAlign w:val="center"/>
          </w:tcPr>
          <w:p w14:paraId="73DAE811">
            <w:pPr>
              <w:tabs>
                <w:tab w:val="left" w:pos="1021"/>
              </w:tabs>
              <w:spacing w:line="240" w:lineRule="auto"/>
              <w:jc w:val="center"/>
              <w:rPr>
                <w:sz w:val="21"/>
                <w:szCs w:val="21"/>
              </w:rPr>
            </w:pPr>
            <w:r>
              <w:rPr>
                <w:rFonts w:hint="eastAsia"/>
                <w:sz w:val="21"/>
                <w:szCs w:val="21"/>
              </w:rPr>
              <w:t>系数法</w:t>
            </w:r>
          </w:p>
        </w:tc>
        <w:tc>
          <w:tcPr>
            <w:tcW w:w="990" w:type="dxa"/>
            <w:vMerge w:val="continue"/>
            <w:vAlign w:val="center"/>
          </w:tcPr>
          <w:p w14:paraId="7E334E93">
            <w:pPr>
              <w:tabs>
                <w:tab w:val="left" w:pos="1021"/>
              </w:tabs>
              <w:spacing w:line="240" w:lineRule="auto"/>
              <w:jc w:val="center"/>
              <w:rPr>
                <w:sz w:val="21"/>
                <w:szCs w:val="21"/>
              </w:rPr>
            </w:pPr>
          </w:p>
        </w:tc>
        <w:tc>
          <w:tcPr>
            <w:tcW w:w="755" w:type="dxa"/>
            <w:vAlign w:val="center"/>
          </w:tcPr>
          <w:p w14:paraId="47ED063B">
            <w:pPr>
              <w:tabs>
                <w:tab w:val="left" w:pos="1021"/>
              </w:tabs>
              <w:spacing w:line="240" w:lineRule="auto"/>
              <w:jc w:val="center"/>
              <w:rPr>
                <w:sz w:val="21"/>
                <w:szCs w:val="21"/>
              </w:rPr>
            </w:pPr>
            <w:r>
              <w:rPr>
                <w:rFonts w:hint="eastAsia"/>
                <w:sz w:val="21"/>
                <w:szCs w:val="21"/>
              </w:rPr>
              <w:t>7.7</w:t>
            </w:r>
          </w:p>
        </w:tc>
        <w:tc>
          <w:tcPr>
            <w:tcW w:w="808" w:type="dxa"/>
            <w:vAlign w:val="center"/>
          </w:tcPr>
          <w:p w14:paraId="1C69380D">
            <w:pPr>
              <w:tabs>
                <w:tab w:val="left" w:pos="1021"/>
              </w:tabs>
              <w:spacing w:line="240" w:lineRule="auto"/>
              <w:jc w:val="center"/>
              <w:rPr>
                <w:sz w:val="21"/>
                <w:szCs w:val="21"/>
              </w:rPr>
            </w:pPr>
            <w:r>
              <w:rPr>
                <w:rFonts w:hint="eastAsia"/>
                <w:sz w:val="21"/>
                <w:szCs w:val="21"/>
              </w:rPr>
              <w:t>0.126</w:t>
            </w:r>
          </w:p>
        </w:tc>
        <w:tc>
          <w:tcPr>
            <w:tcW w:w="681" w:type="dxa"/>
            <w:vMerge w:val="restart"/>
            <w:vAlign w:val="center"/>
          </w:tcPr>
          <w:p w14:paraId="0787B649">
            <w:pPr>
              <w:tabs>
                <w:tab w:val="left" w:pos="1021"/>
              </w:tabs>
              <w:spacing w:line="240" w:lineRule="auto"/>
              <w:jc w:val="center"/>
              <w:rPr>
                <w:color w:val="FF0000"/>
                <w:sz w:val="21"/>
                <w:szCs w:val="21"/>
              </w:rPr>
            </w:pPr>
            <w:r>
              <w:rPr>
                <w:rFonts w:hint="eastAsia"/>
                <w:sz w:val="21"/>
                <w:szCs w:val="21"/>
              </w:rPr>
              <w:t>直排</w:t>
            </w:r>
          </w:p>
        </w:tc>
        <w:tc>
          <w:tcPr>
            <w:tcW w:w="1478" w:type="dxa"/>
            <w:vMerge w:val="restart"/>
            <w:vAlign w:val="center"/>
          </w:tcPr>
          <w:p w14:paraId="67FC70BA">
            <w:pPr>
              <w:tabs>
                <w:tab w:val="left" w:pos="1021"/>
              </w:tabs>
              <w:spacing w:line="240" w:lineRule="auto"/>
              <w:jc w:val="center"/>
              <w:rPr>
                <w:color w:val="FF0000"/>
                <w:sz w:val="21"/>
                <w:szCs w:val="21"/>
              </w:rPr>
            </w:pPr>
            <w:r>
              <w:rPr>
                <w:rFonts w:hint="eastAsia"/>
                <w:sz w:val="21"/>
                <w:szCs w:val="21"/>
              </w:rPr>
              <w:t>清洁能源直排</w:t>
            </w:r>
          </w:p>
        </w:tc>
        <w:tc>
          <w:tcPr>
            <w:tcW w:w="699" w:type="dxa"/>
            <w:vMerge w:val="continue"/>
            <w:vAlign w:val="center"/>
          </w:tcPr>
          <w:p w14:paraId="110AC1E2">
            <w:pPr>
              <w:tabs>
                <w:tab w:val="left" w:pos="1021"/>
              </w:tabs>
              <w:spacing w:line="240" w:lineRule="auto"/>
              <w:jc w:val="center"/>
              <w:rPr>
                <w:color w:val="FF0000"/>
                <w:sz w:val="21"/>
                <w:szCs w:val="21"/>
              </w:rPr>
            </w:pPr>
          </w:p>
        </w:tc>
        <w:tc>
          <w:tcPr>
            <w:tcW w:w="425" w:type="dxa"/>
            <w:vMerge w:val="continue"/>
            <w:vAlign w:val="center"/>
          </w:tcPr>
          <w:p w14:paraId="16B5891F">
            <w:pPr>
              <w:tabs>
                <w:tab w:val="left" w:pos="1021"/>
              </w:tabs>
              <w:spacing w:line="240" w:lineRule="auto"/>
              <w:jc w:val="center"/>
              <w:rPr>
                <w:color w:val="FF0000"/>
                <w:sz w:val="21"/>
                <w:szCs w:val="21"/>
              </w:rPr>
            </w:pPr>
          </w:p>
        </w:tc>
        <w:tc>
          <w:tcPr>
            <w:tcW w:w="567" w:type="dxa"/>
            <w:vMerge w:val="continue"/>
            <w:vAlign w:val="center"/>
          </w:tcPr>
          <w:p w14:paraId="542E030D">
            <w:pPr>
              <w:tabs>
                <w:tab w:val="left" w:pos="1021"/>
              </w:tabs>
              <w:spacing w:line="240" w:lineRule="auto"/>
              <w:jc w:val="center"/>
              <w:rPr>
                <w:color w:val="FF0000"/>
                <w:sz w:val="21"/>
                <w:szCs w:val="21"/>
              </w:rPr>
            </w:pPr>
          </w:p>
        </w:tc>
        <w:tc>
          <w:tcPr>
            <w:tcW w:w="709" w:type="dxa"/>
            <w:vAlign w:val="center"/>
          </w:tcPr>
          <w:p w14:paraId="34EC5BED">
            <w:pPr>
              <w:tabs>
                <w:tab w:val="left" w:pos="1021"/>
              </w:tabs>
              <w:spacing w:line="240" w:lineRule="auto"/>
              <w:jc w:val="center"/>
              <w:rPr>
                <w:sz w:val="21"/>
                <w:szCs w:val="21"/>
              </w:rPr>
            </w:pPr>
            <w:r>
              <w:rPr>
                <w:rFonts w:hint="eastAsia"/>
                <w:sz w:val="21"/>
                <w:szCs w:val="21"/>
              </w:rPr>
              <w:t>0.02</w:t>
            </w:r>
          </w:p>
        </w:tc>
        <w:tc>
          <w:tcPr>
            <w:tcW w:w="850" w:type="dxa"/>
            <w:vAlign w:val="center"/>
          </w:tcPr>
          <w:p w14:paraId="161B7977">
            <w:pPr>
              <w:tabs>
                <w:tab w:val="left" w:pos="1021"/>
              </w:tabs>
              <w:spacing w:line="240" w:lineRule="auto"/>
              <w:jc w:val="center"/>
              <w:rPr>
                <w:sz w:val="21"/>
                <w:szCs w:val="21"/>
              </w:rPr>
            </w:pPr>
            <w:r>
              <w:rPr>
                <w:rFonts w:hint="eastAsia"/>
                <w:sz w:val="21"/>
                <w:szCs w:val="21"/>
              </w:rPr>
              <w:t>7.7</w:t>
            </w:r>
          </w:p>
        </w:tc>
        <w:tc>
          <w:tcPr>
            <w:tcW w:w="851" w:type="dxa"/>
            <w:vAlign w:val="center"/>
          </w:tcPr>
          <w:p w14:paraId="003F1C82">
            <w:pPr>
              <w:tabs>
                <w:tab w:val="left" w:pos="1021"/>
              </w:tabs>
              <w:spacing w:line="240" w:lineRule="auto"/>
              <w:jc w:val="center"/>
              <w:rPr>
                <w:sz w:val="21"/>
                <w:szCs w:val="21"/>
              </w:rPr>
            </w:pPr>
            <w:r>
              <w:rPr>
                <w:rFonts w:hint="eastAsia"/>
                <w:sz w:val="21"/>
                <w:szCs w:val="21"/>
              </w:rPr>
              <w:t>0.126</w:t>
            </w:r>
          </w:p>
        </w:tc>
        <w:tc>
          <w:tcPr>
            <w:tcW w:w="425" w:type="dxa"/>
            <w:vMerge w:val="restart"/>
            <w:vAlign w:val="center"/>
          </w:tcPr>
          <w:p w14:paraId="7DB83F07">
            <w:pPr>
              <w:tabs>
                <w:tab w:val="left" w:pos="1021"/>
              </w:tabs>
              <w:spacing w:line="240" w:lineRule="auto"/>
              <w:jc w:val="center"/>
              <w:rPr>
                <w:sz w:val="21"/>
                <w:szCs w:val="21"/>
              </w:rPr>
            </w:pPr>
            <w:r>
              <w:rPr>
                <w:rFonts w:hint="eastAsia"/>
                <w:sz w:val="21"/>
                <w:szCs w:val="21"/>
              </w:rPr>
              <w:t>/</w:t>
            </w:r>
          </w:p>
        </w:tc>
        <w:tc>
          <w:tcPr>
            <w:tcW w:w="992" w:type="dxa"/>
            <w:vAlign w:val="center"/>
          </w:tcPr>
          <w:p w14:paraId="30936CFF">
            <w:pPr>
              <w:tabs>
                <w:tab w:val="left" w:pos="1021"/>
              </w:tabs>
              <w:spacing w:line="240" w:lineRule="auto"/>
              <w:jc w:val="center"/>
              <w:rPr>
                <w:sz w:val="21"/>
                <w:szCs w:val="21"/>
              </w:rPr>
            </w:pPr>
            <w:r>
              <w:rPr>
                <w:rFonts w:hint="eastAsia"/>
                <w:sz w:val="21"/>
                <w:szCs w:val="21"/>
              </w:rPr>
              <w:t>/</w:t>
            </w:r>
          </w:p>
        </w:tc>
        <w:tc>
          <w:tcPr>
            <w:tcW w:w="1002" w:type="dxa"/>
            <w:vAlign w:val="center"/>
          </w:tcPr>
          <w:p w14:paraId="743277DE">
            <w:pPr>
              <w:tabs>
                <w:tab w:val="left" w:pos="1021"/>
              </w:tabs>
              <w:spacing w:line="240" w:lineRule="auto"/>
              <w:jc w:val="center"/>
              <w:rPr>
                <w:sz w:val="21"/>
                <w:szCs w:val="21"/>
              </w:rPr>
            </w:pPr>
            <w:r>
              <w:rPr>
                <w:rFonts w:hint="eastAsia"/>
                <w:sz w:val="21"/>
                <w:szCs w:val="21"/>
              </w:rPr>
              <w:t>/</w:t>
            </w:r>
          </w:p>
        </w:tc>
        <w:tc>
          <w:tcPr>
            <w:tcW w:w="892" w:type="dxa"/>
            <w:vAlign w:val="center"/>
          </w:tcPr>
          <w:p w14:paraId="08BB9484">
            <w:pPr>
              <w:tabs>
                <w:tab w:val="left" w:pos="1021"/>
              </w:tabs>
              <w:spacing w:line="240" w:lineRule="auto"/>
              <w:jc w:val="center"/>
              <w:rPr>
                <w:sz w:val="21"/>
                <w:szCs w:val="21"/>
              </w:rPr>
            </w:pPr>
            <w:r>
              <w:rPr>
                <w:rFonts w:hint="eastAsia"/>
                <w:sz w:val="21"/>
                <w:szCs w:val="21"/>
              </w:rPr>
              <w:t>8160h</w:t>
            </w:r>
          </w:p>
        </w:tc>
      </w:tr>
      <w:tr w14:paraId="30F31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14:paraId="427441BB">
            <w:pPr>
              <w:tabs>
                <w:tab w:val="left" w:pos="1021"/>
              </w:tabs>
              <w:spacing w:line="240" w:lineRule="auto"/>
              <w:jc w:val="center"/>
              <w:rPr>
                <w:sz w:val="21"/>
                <w:szCs w:val="21"/>
              </w:rPr>
            </w:pPr>
          </w:p>
        </w:tc>
        <w:tc>
          <w:tcPr>
            <w:tcW w:w="582" w:type="dxa"/>
            <w:vAlign w:val="center"/>
          </w:tcPr>
          <w:p w14:paraId="667F62F1">
            <w:pPr>
              <w:tabs>
                <w:tab w:val="left" w:pos="1021"/>
              </w:tabs>
              <w:spacing w:line="240" w:lineRule="auto"/>
              <w:jc w:val="center"/>
              <w:rPr>
                <w:sz w:val="21"/>
                <w:szCs w:val="21"/>
              </w:rPr>
            </w:pPr>
            <w:r>
              <w:rPr>
                <w:sz w:val="21"/>
                <w:szCs w:val="21"/>
              </w:rPr>
              <w:t>SO</w:t>
            </w:r>
            <w:r>
              <w:rPr>
                <w:sz w:val="21"/>
                <w:szCs w:val="21"/>
                <w:vertAlign w:val="subscript"/>
              </w:rPr>
              <w:t>2</w:t>
            </w:r>
          </w:p>
        </w:tc>
        <w:tc>
          <w:tcPr>
            <w:tcW w:w="528" w:type="dxa"/>
            <w:vMerge w:val="continue"/>
            <w:vAlign w:val="center"/>
          </w:tcPr>
          <w:p w14:paraId="153EDC92">
            <w:pPr>
              <w:tabs>
                <w:tab w:val="left" w:pos="1021"/>
              </w:tabs>
              <w:spacing w:line="240" w:lineRule="auto"/>
              <w:jc w:val="center"/>
              <w:rPr>
                <w:sz w:val="21"/>
                <w:szCs w:val="21"/>
              </w:rPr>
            </w:pPr>
          </w:p>
        </w:tc>
        <w:tc>
          <w:tcPr>
            <w:tcW w:w="990" w:type="dxa"/>
            <w:vMerge w:val="continue"/>
            <w:vAlign w:val="center"/>
          </w:tcPr>
          <w:p w14:paraId="54202B1B">
            <w:pPr>
              <w:tabs>
                <w:tab w:val="left" w:pos="1021"/>
              </w:tabs>
              <w:spacing w:line="240" w:lineRule="auto"/>
              <w:jc w:val="center"/>
              <w:rPr>
                <w:sz w:val="21"/>
                <w:szCs w:val="21"/>
              </w:rPr>
            </w:pPr>
          </w:p>
        </w:tc>
        <w:tc>
          <w:tcPr>
            <w:tcW w:w="755" w:type="dxa"/>
            <w:vAlign w:val="center"/>
          </w:tcPr>
          <w:p w14:paraId="0A05E795">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1.1</w:t>
            </w:r>
          </w:p>
        </w:tc>
        <w:tc>
          <w:tcPr>
            <w:tcW w:w="808" w:type="dxa"/>
            <w:vAlign w:val="center"/>
          </w:tcPr>
          <w:p w14:paraId="266B7333">
            <w:pPr>
              <w:tabs>
                <w:tab w:val="left" w:pos="1021"/>
              </w:tabs>
              <w:spacing w:line="240" w:lineRule="auto"/>
              <w:jc w:val="center"/>
              <w:rPr>
                <w:sz w:val="21"/>
                <w:szCs w:val="21"/>
              </w:rPr>
            </w:pPr>
            <w:r>
              <w:rPr>
                <w:rFonts w:hint="eastAsia"/>
                <w:sz w:val="21"/>
                <w:szCs w:val="21"/>
              </w:rPr>
              <w:t>0.0</w:t>
            </w:r>
            <w:r>
              <w:rPr>
                <w:rFonts w:hint="eastAsia"/>
                <w:sz w:val="21"/>
                <w:szCs w:val="21"/>
                <w:lang w:val="en-US" w:eastAsia="zh-CN"/>
              </w:rPr>
              <w:t>1</w:t>
            </w:r>
            <w:r>
              <w:rPr>
                <w:rFonts w:hint="eastAsia"/>
                <w:sz w:val="21"/>
                <w:szCs w:val="21"/>
              </w:rPr>
              <w:t>8</w:t>
            </w:r>
          </w:p>
        </w:tc>
        <w:tc>
          <w:tcPr>
            <w:tcW w:w="681" w:type="dxa"/>
            <w:vMerge w:val="continue"/>
            <w:vAlign w:val="center"/>
          </w:tcPr>
          <w:p w14:paraId="0D1985FE">
            <w:pPr>
              <w:tabs>
                <w:tab w:val="left" w:pos="1021"/>
              </w:tabs>
              <w:spacing w:line="240" w:lineRule="auto"/>
              <w:jc w:val="center"/>
              <w:rPr>
                <w:color w:val="FF0000"/>
                <w:sz w:val="21"/>
                <w:szCs w:val="21"/>
              </w:rPr>
            </w:pPr>
          </w:p>
        </w:tc>
        <w:tc>
          <w:tcPr>
            <w:tcW w:w="1478" w:type="dxa"/>
            <w:vMerge w:val="continue"/>
            <w:vAlign w:val="center"/>
          </w:tcPr>
          <w:p w14:paraId="6F58ED23">
            <w:pPr>
              <w:tabs>
                <w:tab w:val="left" w:pos="1021"/>
              </w:tabs>
              <w:spacing w:line="240" w:lineRule="auto"/>
              <w:jc w:val="center"/>
              <w:rPr>
                <w:color w:val="FF0000"/>
                <w:sz w:val="21"/>
                <w:szCs w:val="21"/>
              </w:rPr>
            </w:pPr>
          </w:p>
        </w:tc>
        <w:tc>
          <w:tcPr>
            <w:tcW w:w="699" w:type="dxa"/>
            <w:vMerge w:val="continue"/>
            <w:vAlign w:val="center"/>
          </w:tcPr>
          <w:p w14:paraId="3562351A">
            <w:pPr>
              <w:tabs>
                <w:tab w:val="left" w:pos="1021"/>
              </w:tabs>
              <w:spacing w:line="240" w:lineRule="auto"/>
              <w:jc w:val="center"/>
              <w:rPr>
                <w:color w:val="FF0000"/>
                <w:sz w:val="21"/>
                <w:szCs w:val="21"/>
              </w:rPr>
            </w:pPr>
          </w:p>
        </w:tc>
        <w:tc>
          <w:tcPr>
            <w:tcW w:w="425" w:type="dxa"/>
            <w:vMerge w:val="continue"/>
            <w:vAlign w:val="center"/>
          </w:tcPr>
          <w:p w14:paraId="00D2F0EF">
            <w:pPr>
              <w:tabs>
                <w:tab w:val="left" w:pos="1021"/>
              </w:tabs>
              <w:spacing w:line="240" w:lineRule="auto"/>
              <w:jc w:val="center"/>
              <w:rPr>
                <w:color w:val="FF0000"/>
                <w:sz w:val="21"/>
                <w:szCs w:val="21"/>
              </w:rPr>
            </w:pPr>
          </w:p>
        </w:tc>
        <w:tc>
          <w:tcPr>
            <w:tcW w:w="567" w:type="dxa"/>
            <w:vMerge w:val="continue"/>
            <w:vAlign w:val="center"/>
          </w:tcPr>
          <w:p w14:paraId="66AF2235">
            <w:pPr>
              <w:tabs>
                <w:tab w:val="left" w:pos="1021"/>
              </w:tabs>
              <w:spacing w:line="240" w:lineRule="auto"/>
              <w:jc w:val="center"/>
              <w:rPr>
                <w:color w:val="FF0000"/>
                <w:sz w:val="21"/>
                <w:szCs w:val="21"/>
              </w:rPr>
            </w:pPr>
          </w:p>
        </w:tc>
        <w:tc>
          <w:tcPr>
            <w:tcW w:w="709" w:type="dxa"/>
            <w:vAlign w:val="center"/>
          </w:tcPr>
          <w:p w14:paraId="06206BF4">
            <w:pPr>
              <w:tabs>
                <w:tab w:val="left" w:pos="1021"/>
              </w:tabs>
              <w:spacing w:line="240" w:lineRule="auto"/>
              <w:jc w:val="center"/>
              <w:rPr>
                <w:rFonts w:hint="default" w:eastAsia="宋体"/>
                <w:sz w:val="21"/>
                <w:szCs w:val="21"/>
                <w:lang w:val="en-US" w:eastAsia="zh-CN"/>
              </w:rPr>
            </w:pPr>
            <w:r>
              <w:rPr>
                <w:rFonts w:hint="eastAsia"/>
                <w:sz w:val="21"/>
                <w:szCs w:val="21"/>
              </w:rPr>
              <w:t>0.0</w:t>
            </w:r>
            <w:r>
              <w:rPr>
                <w:rFonts w:hint="eastAsia"/>
                <w:sz w:val="21"/>
                <w:szCs w:val="21"/>
                <w:lang w:val="en-US" w:eastAsia="zh-CN"/>
              </w:rPr>
              <w:t>02</w:t>
            </w:r>
          </w:p>
        </w:tc>
        <w:tc>
          <w:tcPr>
            <w:tcW w:w="850" w:type="dxa"/>
            <w:vAlign w:val="center"/>
          </w:tcPr>
          <w:p w14:paraId="415F78B1">
            <w:pPr>
              <w:tabs>
                <w:tab w:val="left" w:pos="1021"/>
              </w:tabs>
              <w:spacing w:line="240" w:lineRule="auto"/>
              <w:jc w:val="center"/>
              <w:rPr>
                <w:sz w:val="21"/>
                <w:szCs w:val="21"/>
              </w:rPr>
            </w:pPr>
            <w:r>
              <w:rPr>
                <w:rFonts w:hint="eastAsia"/>
                <w:sz w:val="21"/>
                <w:szCs w:val="21"/>
                <w:lang w:val="en-US" w:eastAsia="zh-CN"/>
              </w:rPr>
              <w:t>1.1</w:t>
            </w:r>
          </w:p>
        </w:tc>
        <w:tc>
          <w:tcPr>
            <w:tcW w:w="851" w:type="dxa"/>
            <w:vAlign w:val="center"/>
          </w:tcPr>
          <w:p w14:paraId="2C83C904">
            <w:pPr>
              <w:tabs>
                <w:tab w:val="left" w:pos="1021"/>
              </w:tabs>
              <w:spacing w:line="240" w:lineRule="auto"/>
              <w:jc w:val="center"/>
              <w:rPr>
                <w:sz w:val="21"/>
                <w:szCs w:val="21"/>
              </w:rPr>
            </w:pPr>
            <w:r>
              <w:rPr>
                <w:rFonts w:hint="eastAsia"/>
                <w:sz w:val="21"/>
                <w:szCs w:val="21"/>
              </w:rPr>
              <w:t>0.0</w:t>
            </w:r>
            <w:r>
              <w:rPr>
                <w:rFonts w:hint="eastAsia"/>
                <w:sz w:val="21"/>
                <w:szCs w:val="21"/>
                <w:lang w:val="en-US" w:eastAsia="zh-CN"/>
              </w:rPr>
              <w:t>1</w:t>
            </w:r>
            <w:r>
              <w:rPr>
                <w:rFonts w:hint="eastAsia"/>
                <w:sz w:val="21"/>
                <w:szCs w:val="21"/>
              </w:rPr>
              <w:t>8</w:t>
            </w:r>
          </w:p>
        </w:tc>
        <w:tc>
          <w:tcPr>
            <w:tcW w:w="425" w:type="dxa"/>
            <w:vMerge w:val="continue"/>
            <w:vAlign w:val="center"/>
          </w:tcPr>
          <w:p w14:paraId="0D03B5C7">
            <w:pPr>
              <w:tabs>
                <w:tab w:val="left" w:pos="1021"/>
              </w:tabs>
              <w:spacing w:line="240" w:lineRule="auto"/>
              <w:jc w:val="center"/>
              <w:rPr>
                <w:sz w:val="21"/>
                <w:szCs w:val="21"/>
              </w:rPr>
            </w:pPr>
          </w:p>
        </w:tc>
        <w:tc>
          <w:tcPr>
            <w:tcW w:w="992" w:type="dxa"/>
            <w:vAlign w:val="center"/>
          </w:tcPr>
          <w:p w14:paraId="45D8DA01">
            <w:pPr>
              <w:tabs>
                <w:tab w:val="left" w:pos="1021"/>
              </w:tabs>
              <w:spacing w:line="240" w:lineRule="auto"/>
              <w:jc w:val="center"/>
              <w:rPr>
                <w:sz w:val="21"/>
                <w:szCs w:val="21"/>
              </w:rPr>
            </w:pPr>
            <w:r>
              <w:rPr>
                <w:rFonts w:hint="eastAsia"/>
                <w:sz w:val="21"/>
                <w:szCs w:val="21"/>
              </w:rPr>
              <w:t>/</w:t>
            </w:r>
          </w:p>
        </w:tc>
        <w:tc>
          <w:tcPr>
            <w:tcW w:w="1002" w:type="dxa"/>
            <w:vAlign w:val="center"/>
          </w:tcPr>
          <w:p w14:paraId="2F03D1A5">
            <w:pPr>
              <w:tabs>
                <w:tab w:val="left" w:pos="1021"/>
              </w:tabs>
              <w:spacing w:line="240" w:lineRule="auto"/>
              <w:jc w:val="center"/>
              <w:rPr>
                <w:sz w:val="21"/>
                <w:szCs w:val="21"/>
              </w:rPr>
            </w:pPr>
            <w:r>
              <w:rPr>
                <w:rFonts w:hint="eastAsia"/>
                <w:sz w:val="21"/>
                <w:szCs w:val="21"/>
              </w:rPr>
              <w:t>/</w:t>
            </w:r>
          </w:p>
        </w:tc>
        <w:tc>
          <w:tcPr>
            <w:tcW w:w="892" w:type="dxa"/>
            <w:vAlign w:val="center"/>
          </w:tcPr>
          <w:p w14:paraId="4840832E">
            <w:pPr>
              <w:tabs>
                <w:tab w:val="left" w:pos="1021"/>
              </w:tabs>
              <w:spacing w:line="240" w:lineRule="auto"/>
              <w:jc w:val="center"/>
              <w:rPr>
                <w:sz w:val="21"/>
                <w:szCs w:val="21"/>
              </w:rPr>
            </w:pPr>
            <w:r>
              <w:rPr>
                <w:rFonts w:hint="eastAsia"/>
                <w:sz w:val="21"/>
                <w:szCs w:val="21"/>
              </w:rPr>
              <w:t>8160h</w:t>
            </w:r>
          </w:p>
        </w:tc>
      </w:tr>
      <w:tr w14:paraId="1D97DC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14:paraId="358B0412">
            <w:pPr>
              <w:tabs>
                <w:tab w:val="left" w:pos="1021"/>
              </w:tabs>
              <w:spacing w:line="240" w:lineRule="auto"/>
              <w:jc w:val="center"/>
              <w:rPr>
                <w:sz w:val="21"/>
                <w:szCs w:val="21"/>
              </w:rPr>
            </w:pPr>
          </w:p>
        </w:tc>
        <w:tc>
          <w:tcPr>
            <w:tcW w:w="582" w:type="dxa"/>
            <w:vAlign w:val="center"/>
          </w:tcPr>
          <w:p w14:paraId="7A7D59BC">
            <w:pPr>
              <w:tabs>
                <w:tab w:val="left" w:pos="1021"/>
              </w:tabs>
              <w:spacing w:line="240" w:lineRule="auto"/>
              <w:jc w:val="center"/>
              <w:rPr>
                <w:sz w:val="21"/>
                <w:szCs w:val="21"/>
              </w:rPr>
            </w:pPr>
            <w:r>
              <w:rPr>
                <w:sz w:val="21"/>
                <w:szCs w:val="21"/>
              </w:rPr>
              <w:t>NOx</w:t>
            </w:r>
          </w:p>
        </w:tc>
        <w:tc>
          <w:tcPr>
            <w:tcW w:w="528" w:type="dxa"/>
            <w:vMerge w:val="continue"/>
            <w:vAlign w:val="center"/>
          </w:tcPr>
          <w:p w14:paraId="006F6781">
            <w:pPr>
              <w:tabs>
                <w:tab w:val="left" w:pos="1021"/>
              </w:tabs>
              <w:spacing w:line="240" w:lineRule="auto"/>
              <w:jc w:val="center"/>
              <w:rPr>
                <w:sz w:val="21"/>
                <w:szCs w:val="21"/>
              </w:rPr>
            </w:pPr>
          </w:p>
        </w:tc>
        <w:tc>
          <w:tcPr>
            <w:tcW w:w="990" w:type="dxa"/>
            <w:vMerge w:val="continue"/>
            <w:vAlign w:val="center"/>
          </w:tcPr>
          <w:p w14:paraId="476F5280">
            <w:pPr>
              <w:tabs>
                <w:tab w:val="left" w:pos="1021"/>
              </w:tabs>
              <w:spacing w:line="240" w:lineRule="auto"/>
              <w:jc w:val="center"/>
              <w:rPr>
                <w:sz w:val="21"/>
                <w:szCs w:val="21"/>
              </w:rPr>
            </w:pPr>
          </w:p>
        </w:tc>
        <w:tc>
          <w:tcPr>
            <w:tcW w:w="755" w:type="dxa"/>
            <w:vAlign w:val="center"/>
          </w:tcPr>
          <w:p w14:paraId="68FE44BA">
            <w:pPr>
              <w:tabs>
                <w:tab w:val="left" w:pos="1021"/>
              </w:tabs>
              <w:spacing w:line="240" w:lineRule="auto"/>
              <w:jc w:val="center"/>
              <w:rPr>
                <w:sz w:val="21"/>
                <w:szCs w:val="21"/>
              </w:rPr>
            </w:pPr>
            <w:r>
              <w:rPr>
                <w:rFonts w:hint="eastAsia"/>
                <w:sz w:val="21"/>
                <w:szCs w:val="21"/>
              </w:rPr>
              <w:t>25.2</w:t>
            </w:r>
          </w:p>
        </w:tc>
        <w:tc>
          <w:tcPr>
            <w:tcW w:w="808" w:type="dxa"/>
            <w:vAlign w:val="center"/>
          </w:tcPr>
          <w:p w14:paraId="47B337B3">
            <w:pPr>
              <w:tabs>
                <w:tab w:val="left" w:pos="1021"/>
              </w:tabs>
              <w:spacing w:line="240" w:lineRule="auto"/>
              <w:jc w:val="center"/>
              <w:rPr>
                <w:sz w:val="21"/>
                <w:szCs w:val="21"/>
              </w:rPr>
            </w:pPr>
            <w:r>
              <w:rPr>
                <w:rFonts w:hint="eastAsia"/>
                <w:sz w:val="21"/>
                <w:szCs w:val="21"/>
              </w:rPr>
              <w:t>0.412</w:t>
            </w:r>
          </w:p>
        </w:tc>
        <w:tc>
          <w:tcPr>
            <w:tcW w:w="681" w:type="dxa"/>
            <w:vMerge w:val="continue"/>
            <w:vAlign w:val="center"/>
          </w:tcPr>
          <w:p w14:paraId="10A50789">
            <w:pPr>
              <w:tabs>
                <w:tab w:val="left" w:pos="1021"/>
              </w:tabs>
              <w:spacing w:line="240" w:lineRule="auto"/>
              <w:jc w:val="center"/>
              <w:rPr>
                <w:color w:val="FF0000"/>
                <w:sz w:val="21"/>
                <w:szCs w:val="21"/>
              </w:rPr>
            </w:pPr>
          </w:p>
        </w:tc>
        <w:tc>
          <w:tcPr>
            <w:tcW w:w="1478" w:type="dxa"/>
            <w:vMerge w:val="continue"/>
            <w:tcBorders>
              <w:bottom w:val="single" w:color="auto" w:sz="4" w:space="0"/>
            </w:tcBorders>
            <w:vAlign w:val="center"/>
          </w:tcPr>
          <w:p w14:paraId="1E9285C7">
            <w:pPr>
              <w:tabs>
                <w:tab w:val="left" w:pos="1021"/>
              </w:tabs>
              <w:spacing w:line="240" w:lineRule="auto"/>
              <w:jc w:val="center"/>
              <w:rPr>
                <w:color w:val="FF0000"/>
                <w:sz w:val="21"/>
                <w:szCs w:val="21"/>
              </w:rPr>
            </w:pPr>
          </w:p>
        </w:tc>
        <w:tc>
          <w:tcPr>
            <w:tcW w:w="699" w:type="dxa"/>
            <w:vMerge w:val="continue"/>
            <w:tcBorders>
              <w:bottom w:val="single" w:color="auto" w:sz="4" w:space="0"/>
            </w:tcBorders>
            <w:vAlign w:val="center"/>
          </w:tcPr>
          <w:p w14:paraId="5F23727E">
            <w:pPr>
              <w:tabs>
                <w:tab w:val="left" w:pos="1021"/>
              </w:tabs>
              <w:spacing w:line="240" w:lineRule="auto"/>
              <w:jc w:val="center"/>
              <w:rPr>
                <w:color w:val="FF0000"/>
                <w:sz w:val="21"/>
                <w:szCs w:val="21"/>
              </w:rPr>
            </w:pPr>
          </w:p>
        </w:tc>
        <w:tc>
          <w:tcPr>
            <w:tcW w:w="425" w:type="dxa"/>
            <w:vMerge w:val="continue"/>
            <w:tcBorders>
              <w:bottom w:val="single" w:color="auto" w:sz="4" w:space="0"/>
            </w:tcBorders>
            <w:vAlign w:val="center"/>
          </w:tcPr>
          <w:p w14:paraId="0EB125D2">
            <w:pPr>
              <w:tabs>
                <w:tab w:val="left" w:pos="1021"/>
              </w:tabs>
              <w:spacing w:line="240" w:lineRule="auto"/>
              <w:jc w:val="center"/>
              <w:rPr>
                <w:color w:val="FF0000"/>
                <w:sz w:val="21"/>
                <w:szCs w:val="21"/>
              </w:rPr>
            </w:pPr>
          </w:p>
        </w:tc>
        <w:tc>
          <w:tcPr>
            <w:tcW w:w="567" w:type="dxa"/>
            <w:vMerge w:val="continue"/>
            <w:tcBorders>
              <w:bottom w:val="single" w:color="auto" w:sz="4" w:space="0"/>
            </w:tcBorders>
            <w:vAlign w:val="center"/>
          </w:tcPr>
          <w:p w14:paraId="677B3019">
            <w:pPr>
              <w:tabs>
                <w:tab w:val="left" w:pos="1021"/>
              </w:tabs>
              <w:spacing w:line="240" w:lineRule="auto"/>
              <w:jc w:val="center"/>
              <w:rPr>
                <w:color w:val="FF0000"/>
                <w:sz w:val="21"/>
                <w:szCs w:val="21"/>
              </w:rPr>
            </w:pPr>
          </w:p>
        </w:tc>
        <w:tc>
          <w:tcPr>
            <w:tcW w:w="709" w:type="dxa"/>
            <w:tcBorders>
              <w:bottom w:val="single" w:color="auto" w:sz="4" w:space="0"/>
            </w:tcBorders>
            <w:vAlign w:val="center"/>
          </w:tcPr>
          <w:p w14:paraId="1791C27D">
            <w:pPr>
              <w:tabs>
                <w:tab w:val="left" w:pos="1021"/>
              </w:tabs>
              <w:spacing w:line="240" w:lineRule="auto"/>
              <w:jc w:val="center"/>
              <w:rPr>
                <w:sz w:val="21"/>
                <w:szCs w:val="21"/>
              </w:rPr>
            </w:pPr>
            <w:r>
              <w:rPr>
                <w:rFonts w:hint="eastAsia"/>
                <w:sz w:val="21"/>
                <w:szCs w:val="21"/>
              </w:rPr>
              <w:t>0.05</w:t>
            </w:r>
          </w:p>
        </w:tc>
        <w:tc>
          <w:tcPr>
            <w:tcW w:w="850" w:type="dxa"/>
            <w:vAlign w:val="center"/>
          </w:tcPr>
          <w:p w14:paraId="485CA03D">
            <w:pPr>
              <w:tabs>
                <w:tab w:val="left" w:pos="1021"/>
              </w:tabs>
              <w:spacing w:line="240" w:lineRule="auto"/>
              <w:jc w:val="center"/>
              <w:rPr>
                <w:sz w:val="21"/>
                <w:szCs w:val="21"/>
              </w:rPr>
            </w:pPr>
            <w:r>
              <w:rPr>
                <w:rFonts w:hint="eastAsia"/>
                <w:sz w:val="21"/>
                <w:szCs w:val="21"/>
              </w:rPr>
              <w:t>25.2</w:t>
            </w:r>
          </w:p>
        </w:tc>
        <w:tc>
          <w:tcPr>
            <w:tcW w:w="851" w:type="dxa"/>
            <w:vAlign w:val="center"/>
          </w:tcPr>
          <w:p w14:paraId="6AE1D47C">
            <w:pPr>
              <w:tabs>
                <w:tab w:val="left" w:pos="1021"/>
              </w:tabs>
              <w:spacing w:line="240" w:lineRule="auto"/>
              <w:jc w:val="center"/>
              <w:rPr>
                <w:sz w:val="21"/>
                <w:szCs w:val="21"/>
              </w:rPr>
            </w:pPr>
            <w:r>
              <w:rPr>
                <w:rFonts w:hint="eastAsia"/>
                <w:sz w:val="21"/>
                <w:szCs w:val="21"/>
              </w:rPr>
              <w:t>0.412</w:t>
            </w:r>
          </w:p>
        </w:tc>
        <w:tc>
          <w:tcPr>
            <w:tcW w:w="425" w:type="dxa"/>
            <w:vMerge w:val="continue"/>
            <w:vAlign w:val="center"/>
          </w:tcPr>
          <w:p w14:paraId="22435E17">
            <w:pPr>
              <w:tabs>
                <w:tab w:val="left" w:pos="1021"/>
              </w:tabs>
              <w:spacing w:line="240" w:lineRule="auto"/>
              <w:jc w:val="center"/>
              <w:rPr>
                <w:sz w:val="21"/>
                <w:szCs w:val="21"/>
              </w:rPr>
            </w:pPr>
          </w:p>
        </w:tc>
        <w:tc>
          <w:tcPr>
            <w:tcW w:w="992" w:type="dxa"/>
            <w:vAlign w:val="center"/>
          </w:tcPr>
          <w:p w14:paraId="38F68D31">
            <w:pPr>
              <w:tabs>
                <w:tab w:val="left" w:pos="1021"/>
              </w:tabs>
              <w:spacing w:line="240" w:lineRule="auto"/>
              <w:jc w:val="center"/>
              <w:rPr>
                <w:sz w:val="21"/>
                <w:szCs w:val="21"/>
              </w:rPr>
            </w:pPr>
            <w:r>
              <w:rPr>
                <w:rFonts w:hint="eastAsia"/>
                <w:sz w:val="21"/>
                <w:szCs w:val="21"/>
              </w:rPr>
              <w:t>/</w:t>
            </w:r>
          </w:p>
        </w:tc>
        <w:tc>
          <w:tcPr>
            <w:tcW w:w="1002" w:type="dxa"/>
            <w:vAlign w:val="center"/>
          </w:tcPr>
          <w:p w14:paraId="66DCE074">
            <w:pPr>
              <w:tabs>
                <w:tab w:val="left" w:pos="1021"/>
              </w:tabs>
              <w:spacing w:line="240" w:lineRule="auto"/>
              <w:jc w:val="center"/>
              <w:rPr>
                <w:sz w:val="21"/>
                <w:szCs w:val="21"/>
              </w:rPr>
            </w:pPr>
            <w:r>
              <w:rPr>
                <w:rFonts w:hint="eastAsia"/>
                <w:sz w:val="21"/>
                <w:szCs w:val="21"/>
              </w:rPr>
              <w:t>/</w:t>
            </w:r>
          </w:p>
        </w:tc>
        <w:tc>
          <w:tcPr>
            <w:tcW w:w="892" w:type="dxa"/>
            <w:vAlign w:val="center"/>
          </w:tcPr>
          <w:p w14:paraId="2D70CE95">
            <w:pPr>
              <w:tabs>
                <w:tab w:val="left" w:pos="1021"/>
              </w:tabs>
              <w:spacing w:line="240" w:lineRule="auto"/>
              <w:jc w:val="center"/>
              <w:rPr>
                <w:sz w:val="21"/>
                <w:szCs w:val="21"/>
              </w:rPr>
            </w:pPr>
            <w:r>
              <w:rPr>
                <w:rFonts w:hint="eastAsia"/>
                <w:sz w:val="21"/>
                <w:szCs w:val="21"/>
              </w:rPr>
              <w:t>8160h</w:t>
            </w:r>
          </w:p>
        </w:tc>
      </w:tr>
      <w:tr w14:paraId="69A1E2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vAlign w:val="center"/>
          </w:tcPr>
          <w:p w14:paraId="0DB4B9B0">
            <w:pPr>
              <w:tabs>
                <w:tab w:val="left" w:pos="1021"/>
              </w:tabs>
              <w:spacing w:line="240" w:lineRule="auto"/>
              <w:jc w:val="center"/>
              <w:rPr>
                <w:sz w:val="21"/>
                <w:szCs w:val="21"/>
              </w:rPr>
            </w:pPr>
            <w:r>
              <w:rPr>
                <w:rFonts w:hint="eastAsia"/>
                <w:sz w:val="21"/>
                <w:szCs w:val="21"/>
              </w:rPr>
              <w:t>导热油炉天然气</w:t>
            </w:r>
          </w:p>
        </w:tc>
        <w:tc>
          <w:tcPr>
            <w:tcW w:w="582" w:type="dxa"/>
            <w:vAlign w:val="center"/>
          </w:tcPr>
          <w:p w14:paraId="09D4E3AB">
            <w:pPr>
              <w:tabs>
                <w:tab w:val="left" w:pos="1021"/>
              </w:tabs>
              <w:spacing w:line="240" w:lineRule="auto"/>
              <w:jc w:val="center"/>
              <w:rPr>
                <w:sz w:val="21"/>
                <w:szCs w:val="21"/>
              </w:rPr>
            </w:pPr>
            <w:r>
              <w:rPr>
                <w:rFonts w:hint="eastAsia"/>
                <w:sz w:val="21"/>
                <w:szCs w:val="21"/>
              </w:rPr>
              <w:t>颗粒物</w:t>
            </w:r>
          </w:p>
        </w:tc>
        <w:tc>
          <w:tcPr>
            <w:tcW w:w="528" w:type="dxa"/>
            <w:vMerge w:val="restart"/>
            <w:vAlign w:val="center"/>
          </w:tcPr>
          <w:p w14:paraId="3E5834AC">
            <w:pPr>
              <w:tabs>
                <w:tab w:val="left" w:pos="1021"/>
              </w:tabs>
              <w:spacing w:line="240" w:lineRule="auto"/>
              <w:jc w:val="center"/>
              <w:rPr>
                <w:sz w:val="21"/>
                <w:szCs w:val="21"/>
              </w:rPr>
            </w:pPr>
            <w:r>
              <w:rPr>
                <w:rFonts w:hint="eastAsia"/>
                <w:sz w:val="21"/>
                <w:szCs w:val="21"/>
              </w:rPr>
              <w:t>系数法</w:t>
            </w:r>
          </w:p>
        </w:tc>
        <w:tc>
          <w:tcPr>
            <w:tcW w:w="990" w:type="dxa"/>
            <w:vMerge w:val="restart"/>
            <w:vAlign w:val="center"/>
          </w:tcPr>
          <w:p w14:paraId="2244FB99">
            <w:pPr>
              <w:tabs>
                <w:tab w:val="left" w:pos="1021"/>
              </w:tabs>
              <w:spacing w:line="240" w:lineRule="auto"/>
              <w:jc w:val="center"/>
              <w:rPr>
                <w:sz w:val="21"/>
                <w:szCs w:val="21"/>
              </w:rPr>
            </w:pPr>
            <w:r>
              <w:rPr>
                <w:rFonts w:hint="eastAsia"/>
                <w:sz w:val="21"/>
                <w:szCs w:val="21"/>
              </w:rPr>
              <w:t>2000</w:t>
            </w:r>
          </w:p>
        </w:tc>
        <w:tc>
          <w:tcPr>
            <w:tcW w:w="755" w:type="dxa"/>
            <w:vAlign w:val="center"/>
          </w:tcPr>
          <w:p w14:paraId="2D95B05A">
            <w:pPr>
              <w:tabs>
                <w:tab w:val="left" w:pos="1021"/>
              </w:tabs>
              <w:spacing w:line="240" w:lineRule="auto"/>
              <w:jc w:val="center"/>
              <w:rPr>
                <w:sz w:val="21"/>
                <w:szCs w:val="21"/>
              </w:rPr>
            </w:pPr>
            <w:r>
              <w:rPr>
                <w:rFonts w:hint="eastAsia"/>
                <w:sz w:val="21"/>
                <w:szCs w:val="21"/>
              </w:rPr>
              <w:t>11.0</w:t>
            </w:r>
          </w:p>
        </w:tc>
        <w:tc>
          <w:tcPr>
            <w:tcW w:w="808" w:type="dxa"/>
            <w:vAlign w:val="center"/>
          </w:tcPr>
          <w:p w14:paraId="78D03C99">
            <w:pPr>
              <w:tabs>
                <w:tab w:val="left" w:pos="1021"/>
              </w:tabs>
              <w:spacing w:line="240" w:lineRule="auto"/>
              <w:jc w:val="center"/>
              <w:rPr>
                <w:color w:val="FF0000"/>
                <w:sz w:val="21"/>
                <w:szCs w:val="21"/>
              </w:rPr>
            </w:pPr>
            <w:r>
              <w:rPr>
                <w:rFonts w:hint="eastAsia"/>
                <w:sz w:val="21"/>
                <w:szCs w:val="21"/>
              </w:rPr>
              <w:t>0.189</w:t>
            </w:r>
          </w:p>
        </w:tc>
        <w:tc>
          <w:tcPr>
            <w:tcW w:w="681" w:type="dxa"/>
            <w:vMerge w:val="restart"/>
            <w:vAlign w:val="center"/>
          </w:tcPr>
          <w:p w14:paraId="65987150">
            <w:pPr>
              <w:tabs>
                <w:tab w:val="left" w:pos="1021"/>
              </w:tabs>
              <w:spacing w:line="240" w:lineRule="auto"/>
              <w:jc w:val="center"/>
              <w:rPr>
                <w:sz w:val="21"/>
                <w:szCs w:val="21"/>
              </w:rPr>
            </w:pPr>
            <w:r>
              <w:rPr>
                <w:rFonts w:hint="eastAsia"/>
                <w:sz w:val="21"/>
                <w:szCs w:val="21"/>
              </w:rPr>
              <w:t>低氮燃烧</w:t>
            </w:r>
          </w:p>
        </w:tc>
        <w:tc>
          <w:tcPr>
            <w:tcW w:w="1478" w:type="dxa"/>
            <w:vMerge w:val="restart"/>
            <w:tcBorders>
              <w:top w:val="single" w:color="000000" w:sz="8" w:space="0"/>
            </w:tcBorders>
            <w:vAlign w:val="center"/>
          </w:tcPr>
          <w:p w14:paraId="648F1057">
            <w:pPr>
              <w:tabs>
                <w:tab w:val="left" w:pos="1021"/>
              </w:tabs>
              <w:spacing w:line="240" w:lineRule="auto"/>
              <w:jc w:val="center"/>
              <w:rPr>
                <w:sz w:val="21"/>
                <w:szCs w:val="21"/>
              </w:rPr>
            </w:pPr>
            <w:r>
              <w:rPr>
                <w:rFonts w:hint="eastAsia"/>
                <w:sz w:val="21"/>
                <w:szCs w:val="21"/>
              </w:rPr>
              <w:t>50.75%</w:t>
            </w:r>
          </w:p>
        </w:tc>
        <w:tc>
          <w:tcPr>
            <w:tcW w:w="699" w:type="dxa"/>
            <w:tcBorders>
              <w:top w:val="single" w:color="000000" w:sz="8" w:space="0"/>
            </w:tcBorders>
            <w:vAlign w:val="center"/>
          </w:tcPr>
          <w:p w14:paraId="10B8D2A9">
            <w:pPr>
              <w:tabs>
                <w:tab w:val="left" w:pos="1021"/>
              </w:tabs>
              <w:spacing w:line="240" w:lineRule="auto"/>
              <w:jc w:val="center"/>
              <w:rPr>
                <w:sz w:val="21"/>
                <w:szCs w:val="21"/>
              </w:rPr>
            </w:pPr>
            <w:r>
              <w:rPr>
                <w:rFonts w:hint="eastAsia"/>
                <w:sz w:val="21"/>
                <w:szCs w:val="21"/>
              </w:rPr>
              <w:t>是</w:t>
            </w:r>
          </w:p>
        </w:tc>
        <w:tc>
          <w:tcPr>
            <w:tcW w:w="425" w:type="dxa"/>
            <w:vMerge w:val="restart"/>
            <w:tcBorders>
              <w:top w:val="single" w:color="000000" w:sz="8" w:space="0"/>
            </w:tcBorders>
            <w:vAlign w:val="center"/>
          </w:tcPr>
          <w:p w14:paraId="7C8E8A15">
            <w:pPr>
              <w:tabs>
                <w:tab w:val="left" w:pos="1021"/>
              </w:tabs>
              <w:spacing w:line="240" w:lineRule="auto"/>
              <w:jc w:val="center"/>
              <w:rPr>
                <w:sz w:val="21"/>
                <w:szCs w:val="21"/>
              </w:rPr>
            </w:pPr>
            <w:r>
              <w:rPr>
                <w:rFonts w:hint="eastAsia"/>
                <w:sz w:val="21"/>
                <w:szCs w:val="21"/>
              </w:rPr>
              <w:t>DA002</w:t>
            </w:r>
          </w:p>
        </w:tc>
        <w:tc>
          <w:tcPr>
            <w:tcW w:w="567" w:type="dxa"/>
            <w:vMerge w:val="restart"/>
            <w:tcBorders>
              <w:top w:val="single" w:color="000000" w:sz="8" w:space="0"/>
            </w:tcBorders>
            <w:vAlign w:val="center"/>
          </w:tcPr>
          <w:p w14:paraId="4BC7FCEF">
            <w:pPr>
              <w:tabs>
                <w:tab w:val="left" w:pos="1021"/>
              </w:tabs>
              <w:spacing w:line="240" w:lineRule="auto"/>
              <w:jc w:val="center"/>
              <w:rPr>
                <w:sz w:val="21"/>
                <w:szCs w:val="21"/>
              </w:rPr>
            </w:pPr>
            <w:r>
              <w:rPr>
                <w:rFonts w:hint="eastAsia"/>
                <w:sz w:val="21"/>
                <w:szCs w:val="21"/>
              </w:rPr>
              <w:t>系数法</w:t>
            </w:r>
          </w:p>
        </w:tc>
        <w:tc>
          <w:tcPr>
            <w:tcW w:w="709" w:type="dxa"/>
            <w:vAlign w:val="center"/>
          </w:tcPr>
          <w:p w14:paraId="32647235">
            <w:pPr>
              <w:tabs>
                <w:tab w:val="left" w:pos="1021"/>
              </w:tabs>
              <w:spacing w:line="240" w:lineRule="auto"/>
              <w:jc w:val="center"/>
              <w:rPr>
                <w:rFonts w:hint="default" w:eastAsia="宋体"/>
                <w:color w:val="FF0000"/>
                <w:sz w:val="21"/>
                <w:szCs w:val="21"/>
                <w:lang w:val="en-US" w:eastAsia="zh-CN"/>
              </w:rPr>
            </w:pPr>
            <w:r>
              <w:rPr>
                <w:rFonts w:hint="eastAsia"/>
                <w:sz w:val="21"/>
                <w:szCs w:val="21"/>
              </w:rPr>
              <w:t>0.02</w:t>
            </w:r>
          </w:p>
        </w:tc>
        <w:tc>
          <w:tcPr>
            <w:tcW w:w="850" w:type="dxa"/>
            <w:vAlign w:val="center"/>
          </w:tcPr>
          <w:p w14:paraId="5E3D556D">
            <w:pPr>
              <w:tabs>
                <w:tab w:val="left" w:pos="1021"/>
              </w:tabs>
              <w:spacing w:line="240" w:lineRule="auto"/>
              <w:jc w:val="center"/>
              <w:rPr>
                <w:sz w:val="21"/>
                <w:szCs w:val="21"/>
              </w:rPr>
            </w:pPr>
            <w:r>
              <w:rPr>
                <w:rFonts w:hint="eastAsia"/>
                <w:sz w:val="21"/>
                <w:szCs w:val="21"/>
              </w:rPr>
              <w:t>11.0</w:t>
            </w:r>
          </w:p>
        </w:tc>
        <w:tc>
          <w:tcPr>
            <w:tcW w:w="851" w:type="dxa"/>
            <w:vAlign w:val="center"/>
          </w:tcPr>
          <w:p w14:paraId="2707AF02">
            <w:pPr>
              <w:tabs>
                <w:tab w:val="left" w:pos="1021"/>
              </w:tabs>
              <w:spacing w:line="240" w:lineRule="auto"/>
              <w:jc w:val="center"/>
              <w:rPr>
                <w:color w:val="FF0000"/>
                <w:sz w:val="21"/>
                <w:szCs w:val="21"/>
              </w:rPr>
            </w:pPr>
            <w:r>
              <w:rPr>
                <w:rFonts w:hint="eastAsia"/>
                <w:sz w:val="21"/>
                <w:szCs w:val="21"/>
              </w:rPr>
              <w:t>0.189</w:t>
            </w:r>
          </w:p>
        </w:tc>
        <w:tc>
          <w:tcPr>
            <w:tcW w:w="425" w:type="dxa"/>
            <w:vAlign w:val="center"/>
          </w:tcPr>
          <w:p w14:paraId="5DF754AC">
            <w:pPr>
              <w:tabs>
                <w:tab w:val="left" w:pos="1021"/>
              </w:tabs>
              <w:spacing w:line="240" w:lineRule="auto"/>
              <w:jc w:val="center"/>
              <w:rPr>
                <w:sz w:val="21"/>
                <w:szCs w:val="21"/>
              </w:rPr>
            </w:pPr>
            <w:r>
              <w:rPr>
                <w:rFonts w:hint="eastAsia"/>
                <w:sz w:val="21"/>
                <w:szCs w:val="21"/>
              </w:rPr>
              <w:t>/</w:t>
            </w:r>
          </w:p>
        </w:tc>
        <w:tc>
          <w:tcPr>
            <w:tcW w:w="992" w:type="dxa"/>
            <w:vAlign w:val="center"/>
          </w:tcPr>
          <w:p w14:paraId="6436F0D2">
            <w:pPr>
              <w:tabs>
                <w:tab w:val="left" w:pos="1021"/>
              </w:tabs>
              <w:spacing w:line="240" w:lineRule="auto"/>
              <w:jc w:val="center"/>
              <w:rPr>
                <w:sz w:val="21"/>
                <w:szCs w:val="21"/>
              </w:rPr>
            </w:pPr>
            <w:r>
              <w:rPr>
                <w:rFonts w:hint="eastAsia"/>
                <w:sz w:val="21"/>
                <w:szCs w:val="21"/>
              </w:rPr>
              <w:t>/</w:t>
            </w:r>
          </w:p>
        </w:tc>
        <w:tc>
          <w:tcPr>
            <w:tcW w:w="1002" w:type="dxa"/>
            <w:vAlign w:val="center"/>
          </w:tcPr>
          <w:p w14:paraId="42223A65">
            <w:pPr>
              <w:tabs>
                <w:tab w:val="left" w:pos="1021"/>
              </w:tabs>
              <w:spacing w:line="240" w:lineRule="auto"/>
              <w:jc w:val="center"/>
              <w:rPr>
                <w:sz w:val="21"/>
                <w:szCs w:val="21"/>
              </w:rPr>
            </w:pPr>
            <w:r>
              <w:rPr>
                <w:rFonts w:hint="eastAsia"/>
                <w:sz w:val="21"/>
                <w:szCs w:val="21"/>
              </w:rPr>
              <w:t>/</w:t>
            </w:r>
          </w:p>
        </w:tc>
        <w:tc>
          <w:tcPr>
            <w:tcW w:w="892" w:type="dxa"/>
            <w:vAlign w:val="center"/>
          </w:tcPr>
          <w:p w14:paraId="278A8039">
            <w:pPr>
              <w:tabs>
                <w:tab w:val="left" w:pos="1021"/>
              </w:tabs>
              <w:spacing w:line="240" w:lineRule="auto"/>
              <w:jc w:val="center"/>
              <w:rPr>
                <w:sz w:val="21"/>
                <w:szCs w:val="21"/>
              </w:rPr>
            </w:pPr>
            <w:r>
              <w:rPr>
                <w:rFonts w:hint="eastAsia"/>
                <w:sz w:val="21"/>
                <w:szCs w:val="21"/>
              </w:rPr>
              <w:t>8160h</w:t>
            </w:r>
          </w:p>
        </w:tc>
      </w:tr>
      <w:tr w14:paraId="006BB9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14:paraId="0DF54447">
            <w:pPr>
              <w:tabs>
                <w:tab w:val="left" w:pos="1021"/>
              </w:tabs>
              <w:spacing w:line="240" w:lineRule="auto"/>
              <w:jc w:val="center"/>
              <w:rPr>
                <w:sz w:val="21"/>
                <w:szCs w:val="21"/>
              </w:rPr>
            </w:pPr>
          </w:p>
        </w:tc>
        <w:tc>
          <w:tcPr>
            <w:tcW w:w="582" w:type="dxa"/>
            <w:vAlign w:val="center"/>
          </w:tcPr>
          <w:p w14:paraId="4029D974">
            <w:pPr>
              <w:tabs>
                <w:tab w:val="left" w:pos="1021"/>
              </w:tabs>
              <w:spacing w:line="240" w:lineRule="auto"/>
              <w:jc w:val="center"/>
              <w:rPr>
                <w:sz w:val="21"/>
                <w:szCs w:val="21"/>
              </w:rPr>
            </w:pPr>
            <w:r>
              <w:rPr>
                <w:sz w:val="21"/>
                <w:szCs w:val="21"/>
              </w:rPr>
              <w:t>SO</w:t>
            </w:r>
            <w:r>
              <w:rPr>
                <w:sz w:val="21"/>
                <w:szCs w:val="21"/>
                <w:vertAlign w:val="subscript"/>
              </w:rPr>
              <w:t>2</w:t>
            </w:r>
          </w:p>
        </w:tc>
        <w:tc>
          <w:tcPr>
            <w:tcW w:w="528" w:type="dxa"/>
            <w:vMerge w:val="continue"/>
            <w:vAlign w:val="center"/>
          </w:tcPr>
          <w:p w14:paraId="58F81D81">
            <w:pPr>
              <w:tabs>
                <w:tab w:val="left" w:pos="1021"/>
              </w:tabs>
              <w:spacing w:line="240" w:lineRule="auto"/>
              <w:jc w:val="center"/>
              <w:rPr>
                <w:sz w:val="21"/>
                <w:szCs w:val="21"/>
              </w:rPr>
            </w:pPr>
          </w:p>
        </w:tc>
        <w:tc>
          <w:tcPr>
            <w:tcW w:w="990" w:type="dxa"/>
            <w:vMerge w:val="continue"/>
            <w:vAlign w:val="center"/>
          </w:tcPr>
          <w:p w14:paraId="317E3BF3">
            <w:pPr>
              <w:tabs>
                <w:tab w:val="left" w:pos="1021"/>
              </w:tabs>
              <w:spacing w:line="240" w:lineRule="auto"/>
              <w:jc w:val="center"/>
              <w:rPr>
                <w:sz w:val="21"/>
                <w:szCs w:val="21"/>
              </w:rPr>
            </w:pPr>
          </w:p>
        </w:tc>
        <w:tc>
          <w:tcPr>
            <w:tcW w:w="755" w:type="dxa"/>
            <w:vAlign w:val="center"/>
          </w:tcPr>
          <w:p w14:paraId="024F24E6">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1.59</w:t>
            </w:r>
          </w:p>
        </w:tc>
        <w:tc>
          <w:tcPr>
            <w:tcW w:w="808" w:type="dxa"/>
            <w:vAlign w:val="center"/>
          </w:tcPr>
          <w:p w14:paraId="432428F9">
            <w:pPr>
              <w:tabs>
                <w:tab w:val="left" w:pos="1021"/>
              </w:tabs>
              <w:spacing w:line="240" w:lineRule="auto"/>
              <w:jc w:val="center"/>
              <w:rPr>
                <w:rFonts w:hint="default" w:eastAsia="宋体"/>
                <w:sz w:val="21"/>
                <w:szCs w:val="21"/>
                <w:lang w:val="en-US" w:eastAsia="zh-CN"/>
              </w:rPr>
            </w:pPr>
            <w:r>
              <w:rPr>
                <w:rFonts w:hint="eastAsia"/>
                <w:sz w:val="21"/>
                <w:szCs w:val="21"/>
              </w:rPr>
              <w:t>0.</w:t>
            </w:r>
            <w:r>
              <w:rPr>
                <w:rFonts w:hint="eastAsia"/>
                <w:sz w:val="21"/>
                <w:szCs w:val="21"/>
                <w:lang w:val="en-US" w:eastAsia="zh-CN"/>
              </w:rPr>
              <w:t>026</w:t>
            </w:r>
          </w:p>
        </w:tc>
        <w:tc>
          <w:tcPr>
            <w:tcW w:w="681" w:type="dxa"/>
            <w:vMerge w:val="continue"/>
            <w:vAlign w:val="center"/>
          </w:tcPr>
          <w:p w14:paraId="00B2CE35">
            <w:pPr>
              <w:tabs>
                <w:tab w:val="left" w:pos="1021"/>
              </w:tabs>
              <w:spacing w:line="240" w:lineRule="auto"/>
              <w:jc w:val="center"/>
              <w:rPr>
                <w:sz w:val="21"/>
                <w:szCs w:val="21"/>
              </w:rPr>
            </w:pPr>
          </w:p>
        </w:tc>
        <w:tc>
          <w:tcPr>
            <w:tcW w:w="1478" w:type="dxa"/>
            <w:vMerge w:val="continue"/>
            <w:vAlign w:val="center"/>
          </w:tcPr>
          <w:p w14:paraId="421A17F3">
            <w:pPr>
              <w:tabs>
                <w:tab w:val="left" w:pos="1021"/>
              </w:tabs>
              <w:spacing w:line="240" w:lineRule="auto"/>
              <w:jc w:val="center"/>
              <w:rPr>
                <w:sz w:val="21"/>
                <w:szCs w:val="21"/>
              </w:rPr>
            </w:pPr>
          </w:p>
        </w:tc>
        <w:tc>
          <w:tcPr>
            <w:tcW w:w="699" w:type="dxa"/>
            <w:vAlign w:val="center"/>
          </w:tcPr>
          <w:p w14:paraId="1AB3EDEF">
            <w:pPr>
              <w:tabs>
                <w:tab w:val="left" w:pos="1021"/>
              </w:tabs>
              <w:spacing w:line="240" w:lineRule="auto"/>
              <w:jc w:val="center"/>
              <w:rPr>
                <w:sz w:val="21"/>
                <w:szCs w:val="21"/>
              </w:rPr>
            </w:pPr>
            <w:r>
              <w:rPr>
                <w:rFonts w:hint="eastAsia"/>
                <w:sz w:val="21"/>
                <w:szCs w:val="21"/>
              </w:rPr>
              <w:t>是</w:t>
            </w:r>
          </w:p>
        </w:tc>
        <w:tc>
          <w:tcPr>
            <w:tcW w:w="425" w:type="dxa"/>
            <w:vMerge w:val="continue"/>
            <w:vAlign w:val="center"/>
          </w:tcPr>
          <w:p w14:paraId="3BD2CA98">
            <w:pPr>
              <w:tabs>
                <w:tab w:val="left" w:pos="1021"/>
              </w:tabs>
              <w:spacing w:line="240" w:lineRule="auto"/>
              <w:jc w:val="center"/>
              <w:rPr>
                <w:sz w:val="21"/>
                <w:szCs w:val="21"/>
              </w:rPr>
            </w:pPr>
          </w:p>
        </w:tc>
        <w:tc>
          <w:tcPr>
            <w:tcW w:w="567" w:type="dxa"/>
            <w:vMerge w:val="continue"/>
            <w:vAlign w:val="center"/>
          </w:tcPr>
          <w:p w14:paraId="45AE0A4C">
            <w:pPr>
              <w:tabs>
                <w:tab w:val="left" w:pos="1021"/>
              </w:tabs>
              <w:spacing w:line="240" w:lineRule="auto"/>
              <w:jc w:val="center"/>
              <w:rPr>
                <w:sz w:val="21"/>
                <w:szCs w:val="21"/>
              </w:rPr>
            </w:pPr>
          </w:p>
        </w:tc>
        <w:tc>
          <w:tcPr>
            <w:tcW w:w="709" w:type="dxa"/>
            <w:vAlign w:val="center"/>
          </w:tcPr>
          <w:p w14:paraId="2EF78CCC">
            <w:pPr>
              <w:tabs>
                <w:tab w:val="left" w:pos="1021"/>
              </w:tabs>
              <w:spacing w:line="240" w:lineRule="auto"/>
              <w:jc w:val="center"/>
              <w:rPr>
                <w:rFonts w:hint="default" w:eastAsia="宋体"/>
                <w:sz w:val="21"/>
                <w:szCs w:val="21"/>
                <w:lang w:val="en-US" w:eastAsia="zh-CN"/>
              </w:rPr>
            </w:pPr>
            <w:r>
              <w:rPr>
                <w:rFonts w:hint="eastAsia"/>
                <w:sz w:val="21"/>
                <w:szCs w:val="21"/>
              </w:rPr>
              <w:t>0</w:t>
            </w:r>
            <w:r>
              <w:rPr>
                <w:rFonts w:hint="eastAsia"/>
                <w:sz w:val="21"/>
                <w:szCs w:val="21"/>
                <w:lang w:val="en-US" w:eastAsia="zh-CN"/>
              </w:rPr>
              <w:t>.003</w:t>
            </w:r>
          </w:p>
        </w:tc>
        <w:tc>
          <w:tcPr>
            <w:tcW w:w="850" w:type="dxa"/>
            <w:vAlign w:val="center"/>
          </w:tcPr>
          <w:p w14:paraId="6A330956">
            <w:pPr>
              <w:tabs>
                <w:tab w:val="left" w:pos="1021"/>
              </w:tabs>
              <w:spacing w:line="240" w:lineRule="auto"/>
              <w:jc w:val="center"/>
              <w:rPr>
                <w:sz w:val="21"/>
                <w:szCs w:val="21"/>
              </w:rPr>
            </w:pPr>
            <w:r>
              <w:rPr>
                <w:rFonts w:hint="eastAsia"/>
                <w:sz w:val="21"/>
                <w:szCs w:val="21"/>
                <w:lang w:val="en-US" w:eastAsia="zh-CN"/>
              </w:rPr>
              <w:t>1.59</w:t>
            </w:r>
          </w:p>
        </w:tc>
        <w:tc>
          <w:tcPr>
            <w:tcW w:w="851" w:type="dxa"/>
            <w:vAlign w:val="center"/>
          </w:tcPr>
          <w:p w14:paraId="43F7FD5F">
            <w:pPr>
              <w:tabs>
                <w:tab w:val="left" w:pos="1021"/>
              </w:tabs>
              <w:spacing w:line="240" w:lineRule="auto"/>
              <w:jc w:val="center"/>
              <w:rPr>
                <w:sz w:val="21"/>
                <w:szCs w:val="21"/>
              </w:rPr>
            </w:pPr>
            <w:r>
              <w:rPr>
                <w:rFonts w:hint="eastAsia"/>
                <w:sz w:val="21"/>
                <w:szCs w:val="21"/>
              </w:rPr>
              <w:t>0.</w:t>
            </w:r>
            <w:r>
              <w:rPr>
                <w:rFonts w:hint="eastAsia"/>
                <w:sz w:val="21"/>
                <w:szCs w:val="21"/>
                <w:lang w:val="en-US" w:eastAsia="zh-CN"/>
              </w:rPr>
              <w:t>026</w:t>
            </w:r>
          </w:p>
        </w:tc>
        <w:tc>
          <w:tcPr>
            <w:tcW w:w="425" w:type="dxa"/>
            <w:vAlign w:val="center"/>
          </w:tcPr>
          <w:p w14:paraId="5AAD044B">
            <w:pPr>
              <w:tabs>
                <w:tab w:val="left" w:pos="1021"/>
              </w:tabs>
              <w:spacing w:line="240" w:lineRule="auto"/>
              <w:jc w:val="center"/>
              <w:rPr>
                <w:sz w:val="21"/>
                <w:szCs w:val="21"/>
              </w:rPr>
            </w:pPr>
            <w:r>
              <w:rPr>
                <w:rFonts w:hint="eastAsia"/>
                <w:sz w:val="21"/>
                <w:szCs w:val="21"/>
              </w:rPr>
              <w:t>/</w:t>
            </w:r>
          </w:p>
        </w:tc>
        <w:tc>
          <w:tcPr>
            <w:tcW w:w="992" w:type="dxa"/>
            <w:vAlign w:val="center"/>
          </w:tcPr>
          <w:p w14:paraId="4273DF41">
            <w:pPr>
              <w:tabs>
                <w:tab w:val="left" w:pos="1021"/>
              </w:tabs>
              <w:spacing w:line="240" w:lineRule="auto"/>
              <w:jc w:val="center"/>
              <w:rPr>
                <w:sz w:val="21"/>
                <w:szCs w:val="21"/>
              </w:rPr>
            </w:pPr>
            <w:r>
              <w:rPr>
                <w:rFonts w:hint="eastAsia"/>
                <w:sz w:val="21"/>
                <w:szCs w:val="21"/>
              </w:rPr>
              <w:t>/</w:t>
            </w:r>
          </w:p>
        </w:tc>
        <w:tc>
          <w:tcPr>
            <w:tcW w:w="1002" w:type="dxa"/>
            <w:vAlign w:val="center"/>
          </w:tcPr>
          <w:p w14:paraId="27CE833A">
            <w:pPr>
              <w:tabs>
                <w:tab w:val="left" w:pos="1021"/>
              </w:tabs>
              <w:spacing w:line="240" w:lineRule="auto"/>
              <w:jc w:val="center"/>
              <w:rPr>
                <w:sz w:val="21"/>
                <w:szCs w:val="21"/>
              </w:rPr>
            </w:pPr>
            <w:r>
              <w:rPr>
                <w:rFonts w:hint="eastAsia"/>
                <w:sz w:val="21"/>
                <w:szCs w:val="21"/>
              </w:rPr>
              <w:t>/</w:t>
            </w:r>
          </w:p>
        </w:tc>
        <w:tc>
          <w:tcPr>
            <w:tcW w:w="892" w:type="dxa"/>
            <w:vAlign w:val="center"/>
          </w:tcPr>
          <w:p w14:paraId="384621FD">
            <w:pPr>
              <w:tabs>
                <w:tab w:val="left" w:pos="1021"/>
              </w:tabs>
              <w:spacing w:line="240" w:lineRule="auto"/>
              <w:jc w:val="center"/>
              <w:rPr>
                <w:sz w:val="21"/>
                <w:szCs w:val="21"/>
              </w:rPr>
            </w:pPr>
            <w:r>
              <w:rPr>
                <w:rFonts w:hint="eastAsia"/>
                <w:sz w:val="21"/>
                <w:szCs w:val="21"/>
              </w:rPr>
              <w:t>8160h</w:t>
            </w:r>
          </w:p>
        </w:tc>
      </w:tr>
      <w:tr w14:paraId="4BCC19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vAlign w:val="center"/>
          </w:tcPr>
          <w:p w14:paraId="00B7027E">
            <w:pPr>
              <w:tabs>
                <w:tab w:val="left" w:pos="1021"/>
              </w:tabs>
              <w:spacing w:line="240" w:lineRule="auto"/>
              <w:jc w:val="center"/>
              <w:rPr>
                <w:sz w:val="21"/>
                <w:szCs w:val="21"/>
              </w:rPr>
            </w:pPr>
          </w:p>
        </w:tc>
        <w:tc>
          <w:tcPr>
            <w:tcW w:w="582" w:type="dxa"/>
            <w:vAlign w:val="center"/>
          </w:tcPr>
          <w:p w14:paraId="5FE64A80">
            <w:pPr>
              <w:tabs>
                <w:tab w:val="left" w:pos="1021"/>
              </w:tabs>
              <w:spacing w:line="240" w:lineRule="auto"/>
              <w:jc w:val="center"/>
              <w:rPr>
                <w:sz w:val="21"/>
                <w:szCs w:val="21"/>
              </w:rPr>
            </w:pPr>
            <w:r>
              <w:rPr>
                <w:sz w:val="21"/>
                <w:szCs w:val="21"/>
              </w:rPr>
              <w:t>NOx</w:t>
            </w:r>
          </w:p>
        </w:tc>
        <w:tc>
          <w:tcPr>
            <w:tcW w:w="528" w:type="dxa"/>
            <w:vMerge w:val="continue"/>
            <w:vAlign w:val="center"/>
          </w:tcPr>
          <w:p w14:paraId="7B1FEB0E">
            <w:pPr>
              <w:tabs>
                <w:tab w:val="left" w:pos="1021"/>
              </w:tabs>
              <w:spacing w:line="240" w:lineRule="auto"/>
              <w:jc w:val="center"/>
              <w:rPr>
                <w:sz w:val="21"/>
                <w:szCs w:val="21"/>
              </w:rPr>
            </w:pPr>
          </w:p>
        </w:tc>
        <w:tc>
          <w:tcPr>
            <w:tcW w:w="990" w:type="dxa"/>
            <w:vMerge w:val="continue"/>
            <w:vAlign w:val="center"/>
          </w:tcPr>
          <w:p w14:paraId="6B3572E4">
            <w:pPr>
              <w:tabs>
                <w:tab w:val="left" w:pos="1021"/>
              </w:tabs>
              <w:spacing w:line="240" w:lineRule="auto"/>
              <w:jc w:val="center"/>
              <w:rPr>
                <w:sz w:val="21"/>
                <w:szCs w:val="21"/>
              </w:rPr>
            </w:pPr>
          </w:p>
        </w:tc>
        <w:tc>
          <w:tcPr>
            <w:tcW w:w="755" w:type="dxa"/>
            <w:vAlign w:val="center"/>
          </w:tcPr>
          <w:p w14:paraId="7E20A8C6">
            <w:pPr>
              <w:tabs>
                <w:tab w:val="left" w:pos="1021"/>
              </w:tabs>
              <w:spacing w:line="240" w:lineRule="auto"/>
              <w:jc w:val="center"/>
              <w:rPr>
                <w:sz w:val="21"/>
                <w:szCs w:val="21"/>
              </w:rPr>
            </w:pPr>
            <w:r>
              <w:rPr>
                <w:rFonts w:hint="eastAsia"/>
                <w:sz w:val="21"/>
                <w:szCs w:val="21"/>
              </w:rPr>
              <w:t>37.0</w:t>
            </w:r>
          </w:p>
        </w:tc>
        <w:tc>
          <w:tcPr>
            <w:tcW w:w="808" w:type="dxa"/>
            <w:vAlign w:val="center"/>
          </w:tcPr>
          <w:p w14:paraId="355D8338">
            <w:pPr>
              <w:tabs>
                <w:tab w:val="left" w:pos="1021"/>
              </w:tabs>
              <w:spacing w:line="240" w:lineRule="auto"/>
              <w:jc w:val="center"/>
              <w:rPr>
                <w:sz w:val="21"/>
                <w:szCs w:val="21"/>
              </w:rPr>
            </w:pPr>
            <w:r>
              <w:rPr>
                <w:rFonts w:hint="eastAsia"/>
                <w:sz w:val="21"/>
                <w:szCs w:val="21"/>
              </w:rPr>
              <w:t>0.618</w:t>
            </w:r>
          </w:p>
        </w:tc>
        <w:tc>
          <w:tcPr>
            <w:tcW w:w="681" w:type="dxa"/>
            <w:vMerge w:val="continue"/>
            <w:vAlign w:val="center"/>
          </w:tcPr>
          <w:p w14:paraId="5F649371">
            <w:pPr>
              <w:tabs>
                <w:tab w:val="left" w:pos="1021"/>
              </w:tabs>
              <w:spacing w:line="240" w:lineRule="auto"/>
              <w:jc w:val="center"/>
              <w:rPr>
                <w:sz w:val="21"/>
                <w:szCs w:val="21"/>
              </w:rPr>
            </w:pPr>
          </w:p>
        </w:tc>
        <w:tc>
          <w:tcPr>
            <w:tcW w:w="1478" w:type="dxa"/>
            <w:vMerge w:val="continue"/>
            <w:vAlign w:val="center"/>
          </w:tcPr>
          <w:p w14:paraId="6318CFE6">
            <w:pPr>
              <w:tabs>
                <w:tab w:val="left" w:pos="1021"/>
              </w:tabs>
              <w:spacing w:line="240" w:lineRule="auto"/>
              <w:jc w:val="center"/>
              <w:rPr>
                <w:sz w:val="21"/>
                <w:szCs w:val="21"/>
              </w:rPr>
            </w:pPr>
          </w:p>
        </w:tc>
        <w:tc>
          <w:tcPr>
            <w:tcW w:w="699" w:type="dxa"/>
            <w:vAlign w:val="center"/>
          </w:tcPr>
          <w:p w14:paraId="55060D08">
            <w:pPr>
              <w:tabs>
                <w:tab w:val="left" w:pos="1021"/>
              </w:tabs>
              <w:spacing w:line="240" w:lineRule="auto"/>
              <w:jc w:val="center"/>
              <w:rPr>
                <w:sz w:val="21"/>
                <w:szCs w:val="21"/>
              </w:rPr>
            </w:pPr>
            <w:r>
              <w:rPr>
                <w:rFonts w:hint="eastAsia"/>
                <w:sz w:val="21"/>
                <w:szCs w:val="21"/>
              </w:rPr>
              <w:t>是</w:t>
            </w:r>
          </w:p>
        </w:tc>
        <w:tc>
          <w:tcPr>
            <w:tcW w:w="425" w:type="dxa"/>
            <w:vMerge w:val="continue"/>
            <w:vAlign w:val="center"/>
          </w:tcPr>
          <w:p w14:paraId="48858FD1">
            <w:pPr>
              <w:tabs>
                <w:tab w:val="left" w:pos="1021"/>
              </w:tabs>
              <w:spacing w:line="240" w:lineRule="auto"/>
              <w:jc w:val="center"/>
              <w:rPr>
                <w:sz w:val="21"/>
                <w:szCs w:val="21"/>
              </w:rPr>
            </w:pPr>
          </w:p>
        </w:tc>
        <w:tc>
          <w:tcPr>
            <w:tcW w:w="567" w:type="dxa"/>
            <w:vMerge w:val="continue"/>
            <w:vAlign w:val="center"/>
          </w:tcPr>
          <w:p w14:paraId="465D8A88">
            <w:pPr>
              <w:tabs>
                <w:tab w:val="left" w:pos="1021"/>
              </w:tabs>
              <w:spacing w:line="240" w:lineRule="auto"/>
              <w:jc w:val="center"/>
              <w:rPr>
                <w:sz w:val="21"/>
                <w:szCs w:val="21"/>
              </w:rPr>
            </w:pPr>
          </w:p>
        </w:tc>
        <w:tc>
          <w:tcPr>
            <w:tcW w:w="709" w:type="dxa"/>
            <w:vAlign w:val="center"/>
          </w:tcPr>
          <w:p w14:paraId="5B2E9739">
            <w:pPr>
              <w:tabs>
                <w:tab w:val="left" w:pos="1021"/>
              </w:tabs>
              <w:spacing w:line="240" w:lineRule="auto"/>
              <w:jc w:val="center"/>
              <w:rPr>
                <w:sz w:val="21"/>
                <w:szCs w:val="21"/>
              </w:rPr>
            </w:pPr>
            <w:r>
              <w:rPr>
                <w:rFonts w:hint="eastAsia"/>
                <w:sz w:val="21"/>
                <w:szCs w:val="21"/>
              </w:rPr>
              <w:t>0.08</w:t>
            </w:r>
          </w:p>
        </w:tc>
        <w:tc>
          <w:tcPr>
            <w:tcW w:w="850" w:type="dxa"/>
            <w:vAlign w:val="center"/>
          </w:tcPr>
          <w:p w14:paraId="34B6C491">
            <w:pPr>
              <w:tabs>
                <w:tab w:val="left" w:pos="1021"/>
              </w:tabs>
              <w:spacing w:line="240" w:lineRule="auto"/>
              <w:jc w:val="center"/>
              <w:rPr>
                <w:sz w:val="21"/>
                <w:szCs w:val="21"/>
              </w:rPr>
            </w:pPr>
            <w:r>
              <w:rPr>
                <w:rFonts w:hint="eastAsia"/>
                <w:sz w:val="21"/>
                <w:szCs w:val="21"/>
              </w:rPr>
              <w:t>37.0</w:t>
            </w:r>
          </w:p>
        </w:tc>
        <w:tc>
          <w:tcPr>
            <w:tcW w:w="851" w:type="dxa"/>
            <w:vAlign w:val="center"/>
          </w:tcPr>
          <w:p w14:paraId="1F4E4E4B">
            <w:pPr>
              <w:tabs>
                <w:tab w:val="left" w:pos="1021"/>
              </w:tabs>
              <w:spacing w:line="240" w:lineRule="auto"/>
              <w:jc w:val="center"/>
              <w:rPr>
                <w:sz w:val="21"/>
                <w:szCs w:val="21"/>
              </w:rPr>
            </w:pPr>
            <w:r>
              <w:rPr>
                <w:rFonts w:hint="eastAsia"/>
                <w:sz w:val="21"/>
                <w:szCs w:val="21"/>
              </w:rPr>
              <w:t>0.618</w:t>
            </w:r>
          </w:p>
        </w:tc>
        <w:tc>
          <w:tcPr>
            <w:tcW w:w="425" w:type="dxa"/>
            <w:vAlign w:val="center"/>
          </w:tcPr>
          <w:p w14:paraId="32B04AE1">
            <w:pPr>
              <w:tabs>
                <w:tab w:val="left" w:pos="1021"/>
              </w:tabs>
              <w:spacing w:line="240" w:lineRule="auto"/>
              <w:jc w:val="center"/>
              <w:rPr>
                <w:sz w:val="21"/>
                <w:szCs w:val="21"/>
              </w:rPr>
            </w:pPr>
            <w:r>
              <w:rPr>
                <w:rFonts w:hint="eastAsia"/>
                <w:sz w:val="21"/>
                <w:szCs w:val="21"/>
              </w:rPr>
              <w:t>/</w:t>
            </w:r>
          </w:p>
        </w:tc>
        <w:tc>
          <w:tcPr>
            <w:tcW w:w="992" w:type="dxa"/>
            <w:vAlign w:val="center"/>
          </w:tcPr>
          <w:p w14:paraId="0B08EAF8">
            <w:pPr>
              <w:tabs>
                <w:tab w:val="left" w:pos="1021"/>
              </w:tabs>
              <w:spacing w:line="240" w:lineRule="auto"/>
              <w:jc w:val="center"/>
              <w:rPr>
                <w:sz w:val="21"/>
                <w:szCs w:val="21"/>
              </w:rPr>
            </w:pPr>
            <w:r>
              <w:rPr>
                <w:rFonts w:hint="eastAsia"/>
                <w:sz w:val="21"/>
                <w:szCs w:val="21"/>
              </w:rPr>
              <w:t>/</w:t>
            </w:r>
          </w:p>
        </w:tc>
        <w:tc>
          <w:tcPr>
            <w:tcW w:w="1002" w:type="dxa"/>
            <w:vAlign w:val="center"/>
          </w:tcPr>
          <w:p w14:paraId="674C972B">
            <w:pPr>
              <w:tabs>
                <w:tab w:val="left" w:pos="1021"/>
              </w:tabs>
              <w:spacing w:line="240" w:lineRule="auto"/>
              <w:jc w:val="center"/>
              <w:rPr>
                <w:sz w:val="21"/>
                <w:szCs w:val="21"/>
              </w:rPr>
            </w:pPr>
            <w:r>
              <w:rPr>
                <w:rFonts w:hint="eastAsia"/>
                <w:sz w:val="21"/>
                <w:szCs w:val="21"/>
              </w:rPr>
              <w:t>/</w:t>
            </w:r>
          </w:p>
        </w:tc>
        <w:tc>
          <w:tcPr>
            <w:tcW w:w="892" w:type="dxa"/>
            <w:vAlign w:val="center"/>
          </w:tcPr>
          <w:p w14:paraId="7E273341">
            <w:pPr>
              <w:tabs>
                <w:tab w:val="left" w:pos="1021"/>
              </w:tabs>
              <w:spacing w:line="240" w:lineRule="auto"/>
              <w:jc w:val="center"/>
              <w:rPr>
                <w:sz w:val="21"/>
                <w:szCs w:val="21"/>
              </w:rPr>
            </w:pPr>
            <w:r>
              <w:rPr>
                <w:rFonts w:hint="eastAsia"/>
                <w:sz w:val="21"/>
                <w:szCs w:val="21"/>
              </w:rPr>
              <w:t>8160h</w:t>
            </w:r>
          </w:p>
        </w:tc>
      </w:tr>
    </w:tbl>
    <w:p w14:paraId="370AC3A9">
      <w:pPr>
        <w:pStyle w:val="38"/>
        <w:ind w:firstLine="480"/>
        <w:sectPr>
          <w:pgSz w:w="16838" w:h="11906" w:orient="landscape"/>
          <w:pgMar w:top="1800" w:right="1440" w:bottom="1800" w:left="144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0052A59A">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4.3.2.2</w:t>
      </w:r>
      <w:r>
        <w:rPr>
          <w:rFonts w:hint="eastAsia"/>
        </w:rPr>
        <w:t>废水污染源强分析</w:t>
      </w:r>
    </w:p>
    <w:p w14:paraId="03671CA8">
      <w:pPr>
        <w:ind w:firstLine="480"/>
      </w:pPr>
      <w:r>
        <w:t>根据本项目工艺流程可知，本项目无生产废水产生，项目生产设备</w:t>
      </w:r>
      <w:r>
        <w:rPr>
          <w:rFonts w:hint="eastAsia"/>
        </w:rPr>
        <w:t>及环保措施</w:t>
      </w:r>
      <w:r>
        <w:t>冷却水循环使用不外排。因此项目废水主要来源于员工生活废水。</w:t>
      </w:r>
    </w:p>
    <w:p w14:paraId="65B13082">
      <w:pPr>
        <w:tabs>
          <w:tab w:val="left" w:pos="2355"/>
        </w:tabs>
        <w:ind w:firstLine="480"/>
      </w:pPr>
      <w:r>
        <w:rPr>
          <w:rFonts w:hint="eastAsia"/>
        </w:rPr>
        <w:t>1.设备冷却用水主要来自</w:t>
      </w:r>
      <w:r>
        <w:t>印刷</w:t>
      </w:r>
      <w:r>
        <w:rPr>
          <w:rFonts w:hint="eastAsia"/>
        </w:rPr>
        <w:t>机、</w:t>
      </w:r>
      <w:r>
        <w:t>复合</w:t>
      </w:r>
      <w:r>
        <w:rPr>
          <w:rFonts w:hint="eastAsia"/>
        </w:rPr>
        <w:t>机、</w:t>
      </w:r>
      <w:r>
        <w:t>制袋</w:t>
      </w:r>
      <w:r>
        <w:rPr>
          <w:rFonts w:hint="eastAsia"/>
        </w:rPr>
        <w:t>机的循环冷却用水</w:t>
      </w:r>
      <w:r>
        <w:t>（间冷</w:t>
      </w:r>
      <w:r>
        <w:rPr>
          <w:rFonts w:hint="eastAsia"/>
        </w:rPr>
        <w:t>敞</w:t>
      </w:r>
      <w:r>
        <w:t>开式循环冷却水系统）</w:t>
      </w:r>
      <w:r>
        <w:rPr>
          <w:rFonts w:hint="eastAsia"/>
        </w:rPr>
        <w:t>，</w:t>
      </w:r>
      <w:r>
        <w:t>进入1个约90m</w:t>
      </w:r>
      <w:r>
        <w:rPr>
          <w:vertAlign w:val="superscript"/>
        </w:rPr>
        <w:t>3</w:t>
      </w:r>
      <w:r>
        <w:t>（规格6m×5m×3m）的</w:t>
      </w:r>
      <w:r>
        <w:rPr>
          <w:rFonts w:hint="eastAsia"/>
        </w:rPr>
        <w:t>地下</w:t>
      </w:r>
      <w:r>
        <w:t>循环水池循环回收利用，共2个循环水泵，间接冷却水循环量分别为2t/h、4t/h，年工作</w:t>
      </w:r>
      <w:r>
        <w:rPr>
          <w:rFonts w:hint="eastAsia"/>
        </w:rPr>
        <w:t>340</w:t>
      </w:r>
      <w:r>
        <w:t>天，平均每天运行时间24小时，蒸发补充水量约为</w:t>
      </w:r>
      <w:r>
        <w:rPr>
          <w:rFonts w:hint="eastAsia"/>
        </w:rPr>
        <w:t>0.48</w:t>
      </w:r>
      <w:r>
        <w:t>m</w:t>
      </w:r>
      <w:r>
        <w:rPr>
          <w:vertAlign w:val="superscript"/>
        </w:rPr>
        <w:t>3</w:t>
      </w:r>
      <w:r>
        <w:t>/h，约</w:t>
      </w:r>
      <w:r>
        <w:rPr>
          <w:rFonts w:hint="eastAsia"/>
        </w:rPr>
        <w:t>3916.8</w:t>
      </w:r>
      <w:r>
        <w:t>m</w:t>
      </w:r>
      <w:r>
        <w:rPr>
          <w:vertAlign w:val="superscript"/>
        </w:rPr>
        <w:t>3</w:t>
      </w:r>
      <w:r>
        <w:t>/a。冷却水用于设备的冷却，不接触原辅材料及产品，没有添加任何药剂处理</w:t>
      </w:r>
      <w:r>
        <w:rPr>
          <w:rFonts w:hint="eastAsia"/>
        </w:rPr>
        <w:t>；</w:t>
      </w:r>
      <w:r>
        <w:t>冷却水可经冷却后循环使用，定期补充损耗用水，不外排。</w:t>
      </w:r>
    </w:p>
    <w:p w14:paraId="62844230">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2.</w:t>
      </w:r>
      <w:r>
        <w:rPr>
          <w:rFonts w:ascii="Times New Roman" w:hAnsi="Times New Roman" w:eastAsia="宋体" w:cs="Times New Roman"/>
          <w:color w:val="auto"/>
        </w:rPr>
        <w:t>环保措施冷却用水，共3个循环水泵，间接冷却水循环量分别为150t/h、200t/h、300t/h，年工作3</w:t>
      </w:r>
      <w:r>
        <w:rPr>
          <w:rFonts w:hint="eastAsia" w:ascii="Times New Roman" w:hAnsi="Times New Roman" w:eastAsia="宋体" w:cs="Times New Roman"/>
          <w:color w:val="auto"/>
        </w:rPr>
        <w:t>4</w:t>
      </w:r>
      <w:r>
        <w:rPr>
          <w:rFonts w:ascii="Times New Roman" w:hAnsi="Times New Roman" w:eastAsia="宋体" w:cs="Times New Roman"/>
          <w:color w:val="auto"/>
        </w:rPr>
        <w:t>0天，平均每天运行时间24小时，</w:t>
      </w:r>
      <w:r>
        <w:rPr>
          <w:rFonts w:hint="eastAsia"/>
        </w:rPr>
        <w:t>损耗量按循环水量的</w:t>
      </w:r>
      <w:r>
        <w:rPr>
          <w:rFonts w:ascii="Times New Roman" w:hAnsi="Times New Roman" w:cs="Times New Roman"/>
        </w:rPr>
        <w:t>2％</w:t>
      </w:r>
      <w:r>
        <w:rPr>
          <w:rFonts w:hint="eastAsia"/>
        </w:rPr>
        <w:t>计，</w:t>
      </w:r>
      <w:bookmarkStart w:id="94" w:name="OLE_LINK1"/>
      <w:bookmarkStart w:id="95" w:name="OLE_LINK2"/>
      <w:r>
        <w:rPr>
          <w:rFonts w:ascii="Times New Roman" w:hAnsi="Times New Roman" w:eastAsia="宋体" w:cs="Times New Roman"/>
          <w:color w:val="auto"/>
        </w:rPr>
        <w:t>新鲜补充水量为106080t/a（</w:t>
      </w:r>
      <w:r>
        <w:rPr>
          <w:rFonts w:hint="eastAsia" w:ascii="Times New Roman" w:hAnsi="Times New Roman" w:eastAsia="宋体" w:cs="Times New Roman"/>
          <w:color w:val="auto"/>
        </w:rPr>
        <w:t>13</w:t>
      </w:r>
      <w:r>
        <w:rPr>
          <w:rFonts w:ascii="Times New Roman" w:hAnsi="Times New Roman" w:eastAsia="宋体" w:cs="Times New Roman"/>
          <w:color w:val="auto"/>
        </w:rPr>
        <w:t>m</w:t>
      </w:r>
      <w:r>
        <w:rPr>
          <w:rFonts w:ascii="Times New Roman" w:hAnsi="Times New Roman" w:eastAsia="宋体" w:cs="Times New Roman"/>
          <w:color w:val="auto"/>
          <w:vertAlign w:val="superscript"/>
        </w:rPr>
        <w:t>3</w:t>
      </w:r>
      <w:r>
        <w:rPr>
          <w:rFonts w:ascii="Times New Roman" w:hAnsi="Times New Roman" w:eastAsia="宋体" w:cs="Times New Roman"/>
          <w:color w:val="auto"/>
        </w:rPr>
        <w:t>/h）</w:t>
      </w:r>
      <w:bookmarkEnd w:id="94"/>
      <w:bookmarkEnd w:id="95"/>
      <w:r>
        <w:rPr>
          <w:rFonts w:ascii="Times New Roman" w:hAnsi="Times New Roman" w:eastAsia="宋体" w:cs="Times New Roman"/>
          <w:color w:val="auto"/>
        </w:rPr>
        <w:t>；冷却塔用水用于设备的冷却，不接触原辅材料及产品，没有添加任何药剂处理；冷却塔用水可经冷却后循环使用，定期补充损耗用水，不外排。</w:t>
      </w:r>
    </w:p>
    <w:p w14:paraId="778FA148">
      <w:pPr>
        <w:ind w:firstLine="480"/>
      </w:pPr>
      <w:r>
        <w:rPr>
          <w:rFonts w:hint="eastAsia"/>
        </w:rPr>
        <w:t>3.生活污水</w:t>
      </w:r>
    </w:p>
    <w:p w14:paraId="0B932997">
      <w:pPr>
        <w:ind w:firstLine="480"/>
      </w:pPr>
      <w:r>
        <w:t>项目用水主要为生活用水，本次变更不新增劳动</w:t>
      </w:r>
      <w:r>
        <w:rPr>
          <w:rFonts w:hint="eastAsia"/>
        </w:rPr>
        <w:t>定员</w:t>
      </w:r>
      <w:r>
        <w:t>，仍为</w:t>
      </w:r>
      <w:r>
        <w:rPr>
          <w:rFonts w:hint="eastAsia"/>
        </w:rPr>
        <w:t>341</w:t>
      </w:r>
      <w:r>
        <w:t>人。根据《湖南省用水定额》（DB43/T388-2020），就餐</w:t>
      </w:r>
      <w:r>
        <w:rPr>
          <w:rFonts w:hint="eastAsia"/>
        </w:rPr>
        <w:t>、集体宿舍</w:t>
      </w:r>
      <w:r>
        <w:t>参照国家行政机构办公楼用水量通用值38m</w:t>
      </w:r>
      <w:r>
        <w:rPr>
          <w:vertAlign w:val="superscript"/>
        </w:rPr>
        <w:t>3</w:t>
      </w:r>
      <w:r>
        <w:t>/人·a，项目生活用水量约</w:t>
      </w:r>
      <w:r>
        <w:rPr>
          <w:rFonts w:hint="eastAsia"/>
        </w:rPr>
        <w:t>12958</w:t>
      </w:r>
      <w:r>
        <w:t>t/</w:t>
      </w:r>
      <w:r>
        <w:rPr>
          <w:rFonts w:hint="eastAsia"/>
        </w:rPr>
        <w:t>a，约38.1</w:t>
      </w:r>
      <w:r>
        <w:t>t/</w:t>
      </w:r>
      <w:r>
        <w:rPr>
          <w:rFonts w:hint="eastAsia"/>
        </w:rPr>
        <w:t>d</w:t>
      </w:r>
      <w:r>
        <w:t>。生活污水产生系数以0.8计，则项目生活污水产生量为10366.4t/a</w:t>
      </w:r>
      <w:r>
        <w:rPr>
          <w:rFonts w:hint="eastAsia"/>
        </w:rPr>
        <w:t>（30.5m</w:t>
      </w:r>
      <w:r>
        <w:rPr>
          <w:rFonts w:hint="eastAsia"/>
          <w:vertAlign w:val="superscript"/>
        </w:rPr>
        <w:t>3</w:t>
      </w:r>
      <w:r>
        <w:rPr>
          <w:rFonts w:hint="eastAsia"/>
        </w:rPr>
        <w:t>/d）</w:t>
      </w:r>
      <w:r>
        <w:t>。生活污水主要来自职工日常上班、办公区等，主要污染因子有COD、SS、NH</w:t>
      </w:r>
      <w:r>
        <w:rPr>
          <w:vertAlign w:val="subscript"/>
        </w:rPr>
        <w:t>3</w:t>
      </w:r>
      <w:r>
        <w:t>-N、BOD</w:t>
      </w:r>
      <w:r>
        <w:rPr>
          <w:vertAlign w:val="subscript"/>
        </w:rPr>
        <w:t>5</w:t>
      </w:r>
      <w:r>
        <w:rPr>
          <w:rFonts w:hint="eastAsia"/>
        </w:rPr>
        <w:t>、动植物油</w:t>
      </w:r>
      <w:r>
        <w:t>等。生活污水的主要污染物浓度参考环境保护部环境工程技术评估中心编制《环境影响评价（社会区域类）》教材中“表5-18”</w:t>
      </w:r>
      <w:r>
        <w:rPr>
          <w:rFonts w:hint="eastAsia"/>
        </w:rPr>
        <w:t>中浓度取值，动植物油去除率参考《废水处理工程技术手册2010》取值为60%。</w:t>
      </w:r>
      <w:r>
        <w:t>生活污水（食堂含油废水经厂区隔油池处理）</w:t>
      </w:r>
      <w:r>
        <w:rPr>
          <w:rFonts w:hint="eastAsia"/>
        </w:rPr>
        <w:t>经</w:t>
      </w:r>
      <w:r>
        <w:t>厂区隔油池处理达标后排入市政污水管网，经</w:t>
      </w:r>
      <w:r>
        <w:rPr>
          <w:rFonts w:hint="eastAsia"/>
        </w:rPr>
        <w:t>湘潭县顺业污水处理有限公司污水处理厂</w:t>
      </w:r>
      <w:r>
        <w:t>处理达《城镇污水处理厂污染物排放标准》（GB18918-2002）及修改单要求的一级A标准后排入湘江。</w:t>
      </w:r>
    </w:p>
    <w:p w14:paraId="0A5938C2">
      <w:pPr>
        <w:ind w:firstLine="480"/>
      </w:pPr>
      <w:r>
        <w:t>本项目废水排放情况详见表</w:t>
      </w:r>
      <w:r>
        <w:rPr>
          <w:rFonts w:hint="eastAsia"/>
        </w:rPr>
        <w:t>4</w:t>
      </w:r>
      <w:r>
        <w:t>.</w:t>
      </w:r>
      <w:r>
        <w:rPr>
          <w:rFonts w:hint="eastAsia"/>
        </w:rPr>
        <w:t>3</w:t>
      </w:r>
      <w:r>
        <w:t>-</w:t>
      </w:r>
      <w:r>
        <w:rPr>
          <w:rFonts w:hint="eastAsia"/>
        </w:rPr>
        <w:t>10。</w:t>
      </w:r>
    </w:p>
    <w:p w14:paraId="14FB0509">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表4.3-10 </w:t>
      </w:r>
      <w:r>
        <w:rPr>
          <w:rFonts w:hint="eastAsia" w:ascii="宋体" w:hAnsi="宋体" w:cs="宋体"/>
          <w:b/>
          <w:bCs/>
          <w:color w:val="auto"/>
          <w:kern w:val="2"/>
          <w:sz w:val="21"/>
          <w:szCs w:val="21"/>
          <w:lang w:val="en-US" w:eastAsia="zh-CN" w:bidi="ar-SA"/>
        </w:rPr>
        <w:t xml:space="preserve">    </w:t>
      </w:r>
      <w:r>
        <w:rPr>
          <w:rFonts w:hint="eastAsia"/>
        </w:rPr>
        <w:t>本项目生活污水污染物产排情况一览表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30"/>
        <w:gridCol w:w="454"/>
        <w:gridCol w:w="510"/>
        <w:gridCol w:w="638"/>
        <w:gridCol w:w="587"/>
        <w:gridCol w:w="437"/>
        <w:gridCol w:w="431"/>
        <w:gridCol w:w="512"/>
        <w:gridCol w:w="338"/>
        <w:gridCol w:w="691"/>
        <w:gridCol w:w="850"/>
        <w:gridCol w:w="993"/>
        <w:gridCol w:w="427"/>
        <w:gridCol w:w="639"/>
        <w:gridCol w:w="685"/>
      </w:tblGrid>
      <w:tr w14:paraId="610CE2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0" w:type="dxa"/>
            <w:vMerge w:val="restart"/>
            <w:tcBorders>
              <w:tl2br w:val="nil"/>
              <w:tr2bl w:val="nil"/>
            </w:tcBorders>
            <w:vAlign w:val="center"/>
          </w:tcPr>
          <w:p w14:paraId="17B9A4FC">
            <w:pPr>
              <w:pStyle w:val="64"/>
              <w:spacing w:line="240" w:lineRule="auto"/>
              <w:ind w:firstLine="0"/>
              <w:rPr>
                <w:sz w:val="21"/>
                <w:szCs w:val="21"/>
              </w:rPr>
            </w:pPr>
            <w:r>
              <w:rPr>
                <w:sz w:val="21"/>
                <w:szCs w:val="21"/>
              </w:rPr>
              <w:t>源强</w:t>
            </w:r>
          </w:p>
        </w:tc>
        <w:tc>
          <w:tcPr>
            <w:tcW w:w="454" w:type="dxa"/>
            <w:vMerge w:val="restart"/>
            <w:tcBorders>
              <w:tl2br w:val="nil"/>
              <w:tr2bl w:val="nil"/>
            </w:tcBorders>
            <w:vAlign w:val="center"/>
          </w:tcPr>
          <w:p w14:paraId="5A27A62A">
            <w:pPr>
              <w:pStyle w:val="64"/>
              <w:spacing w:line="240" w:lineRule="auto"/>
              <w:ind w:firstLine="0"/>
              <w:rPr>
                <w:sz w:val="21"/>
                <w:szCs w:val="21"/>
              </w:rPr>
            </w:pPr>
            <w:r>
              <w:rPr>
                <w:sz w:val="21"/>
                <w:szCs w:val="21"/>
              </w:rPr>
              <w:t>废水量m</w:t>
            </w:r>
            <w:r>
              <w:rPr>
                <w:sz w:val="21"/>
                <w:szCs w:val="21"/>
                <w:vertAlign w:val="superscript"/>
              </w:rPr>
              <w:t>3</w:t>
            </w:r>
            <w:r>
              <w:rPr>
                <w:sz w:val="21"/>
                <w:szCs w:val="21"/>
              </w:rPr>
              <w:t>/a</w:t>
            </w:r>
          </w:p>
        </w:tc>
        <w:tc>
          <w:tcPr>
            <w:tcW w:w="510" w:type="dxa"/>
            <w:vMerge w:val="restart"/>
            <w:tcBorders>
              <w:tl2br w:val="nil"/>
              <w:tr2bl w:val="nil"/>
            </w:tcBorders>
            <w:vAlign w:val="center"/>
          </w:tcPr>
          <w:p w14:paraId="6E40E53F">
            <w:pPr>
              <w:pStyle w:val="64"/>
              <w:spacing w:line="240" w:lineRule="auto"/>
              <w:ind w:firstLine="0"/>
              <w:rPr>
                <w:sz w:val="21"/>
                <w:szCs w:val="21"/>
              </w:rPr>
            </w:pPr>
            <w:r>
              <w:rPr>
                <w:sz w:val="21"/>
                <w:szCs w:val="21"/>
              </w:rPr>
              <w:t>污染物</w:t>
            </w:r>
          </w:p>
        </w:tc>
        <w:tc>
          <w:tcPr>
            <w:tcW w:w="1225" w:type="dxa"/>
            <w:gridSpan w:val="2"/>
            <w:tcBorders>
              <w:tl2br w:val="nil"/>
              <w:tr2bl w:val="nil"/>
            </w:tcBorders>
            <w:vAlign w:val="center"/>
          </w:tcPr>
          <w:p w14:paraId="34F1D013">
            <w:pPr>
              <w:pStyle w:val="64"/>
              <w:spacing w:line="240" w:lineRule="auto"/>
              <w:ind w:firstLine="0"/>
              <w:rPr>
                <w:sz w:val="21"/>
                <w:szCs w:val="21"/>
              </w:rPr>
            </w:pPr>
            <w:r>
              <w:rPr>
                <w:sz w:val="21"/>
                <w:szCs w:val="21"/>
              </w:rPr>
              <w:t>产生情况</w:t>
            </w:r>
          </w:p>
        </w:tc>
        <w:tc>
          <w:tcPr>
            <w:tcW w:w="1718" w:type="dxa"/>
            <w:gridSpan w:val="4"/>
            <w:tcBorders>
              <w:tl2br w:val="nil"/>
              <w:tr2bl w:val="nil"/>
            </w:tcBorders>
            <w:vAlign w:val="center"/>
          </w:tcPr>
          <w:p w14:paraId="128FCE7B">
            <w:pPr>
              <w:pStyle w:val="64"/>
              <w:spacing w:line="240" w:lineRule="auto"/>
              <w:ind w:firstLine="0"/>
              <w:rPr>
                <w:sz w:val="21"/>
                <w:szCs w:val="21"/>
              </w:rPr>
            </w:pPr>
            <w:r>
              <w:rPr>
                <w:rFonts w:hint="eastAsia"/>
                <w:sz w:val="21"/>
                <w:szCs w:val="21"/>
              </w:rPr>
              <w:t>生活污水</w:t>
            </w:r>
            <w:r>
              <w:rPr>
                <w:sz w:val="21"/>
                <w:szCs w:val="21"/>
              </w:rPr>
              <w:t>处理设施</w:t>
            </w:r>
          </w:p>
        </w:tc>
        <w:tc>
          <w:tcPr>
            <w:tcW w:w="1541" w:type="dxa"/>
            <w:gridSpan w:val="2"/>
            <w:tcBorders>
              <w:tl2br w:val="nil"/>
              <w:tr2bl w:val="nil"/>
            </w:tcBorders>
            <w:vAlign w:val="center"/>
          </w:tcPr>
          <w:p w14:paraId="1A98095F">
            <w:pPr>
              <w:pStyle w:val="64"/>
              <w:spacing w:line="240" w:lineRule="auto"/>
              <w:ind w:firstLine="0"/>
              <w:rPr>
                <w:sz w:val="21"/>
                <w:szCs w:val="21"/>
              </w:rPr>
            </w:pPr>
            <w:r>
              <w:rPr>
                <w:sz w:val="21"/>
                <w:szCs w:val="21"/>
              </w:rPr>
              <w:t>处理后</w:t>
            </w:r>
            <w:r>
              <w:rPr>
                <w:rFonts w:hint="eastAsia"/>
                <w:sz w:val="21"/>
                <w:szCs w:val="21"/>
              </w:rPr>
              <w:t>排放</w:t>
            </w:r>
            <w:r>
              <w:rPr>
                <w:sz w:val="21"/>
                <w:szCs w:val="21"/>
              </w:rPr>
              <w:t>情况</w:t>
            </w:r>
          </w:p>
        </w:tc>
        <w:tc>
          <w:tcPr>
            <w:tcW w:w="993" w:type="dxa"/>
            <w:tcBorders>
              <w:tl2br w:val="nil"/>
              <w:tr2bl w:val="nil"/>
            </w:tcBorders>
            <w:vAlign w:val="center"/>
          </w:tcPr>
          <w:p w14:paraId="6FF69011">
            <w:pPr>
              <w:pStyle w:val="64"/>
              <w:spacing w:line="240" w:lineRule="auto"/>
              <w:ind w:firstLine="0"/>
              <w:rPr>
                <w:sz w:val="21"/>
                <w:szCs w:val="21"/>
              </w:rPr>
            </w:pPr>
            <w:r>
              <w:rPr>
                <w:rFonts w:hint="eastAsia"/>
                <w:sz w:val="21"/>
                <w:szCs w:val="21"/>
              </w:rPr>
              <w:t>污水综合排放标准（三级）</w:t>
            </w:r>
          </w:p>
        </w:tc>
        <w:tc>
          <w:tcPr>
            <w:tcW w:w="1751" w:type="dxa"/>
            <w:gridSpan w:val="3"/>
            <w:tcBorders>
              <w:tl2br w:val="nil"/>
              <w:tr2bl w:val="nil"/>
            </w:tcBorders>
            <w:vAlign w:val="center"/>
          </w:tcPr>
          <w:p w14:paraId="24014112">
            <w:pPr>
              <w:pStyle w:val="64"/>
              <w:spacing w:line="240" w:lineRule="auto"/>
              <w:ind w:firstLine="0"/>
              <w:rPr>
                <w:sz w:val="21"/>
                <w:szCs w:val="21"/>
              </w:rPr>
            </w:pPr>
            <w:r>
              <w:rPr>
                <w:rFonts w:hint="eastAsia"/>
                <w:sz w:val="21"/>
                <w:szCs w:val="21"/>
              </w:rPr>
              <w:t>最终排放情况</w:t>
            </w:r>
          </w:p>
        </w:tc>
      </w:tr>
      <w:tr w14:paraId="59C5B8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0" w:type="dxa"/>
            <w:vMerge w:val="continue"/>
            <w:tcBorders>
              <w:tl2br w:val="nil"/>
              <w:tr2bl w:val="nil"/>
            </w:tcBorders>
            <w:vAlign w:val="center"/>
          </w:tcPr>
          <w:p w14:paraId="5443B1E8">
            <w:pPr>
              <w:pStyle w:val="64"/>
              <w:spacing w:line="240" w:lineRule="auto"/>
              <w:ind w:firstLine="0"/>
              <w:rPr>
                <w:sz w:val="21"/>
                <w:szCs w:val="21"/>
              </w:rPr>
            </w:pPr>
          </w:p>
        </w:tc>
        <w:tc>
          <w:tcPr>
            <w:tcW w:w="454" w:type="dxa"/>
            <w:vMerge w:val="continue"/>
            <w:tcBorders>
              <w:tl2br w:val="nil"/>
              <w:tr2bl w:val="nil"/>
            </w:tcBorders>
            <w:vAlign w:val="center"/>
          </w:tcPr>
          <w:p w14:paraId="292D6400">
            <w:pPr>
              <w:pStyle w:val="64"/>
              <w:spacing w:line="240" w:lineRule="auto"/>
              <w:ind w:firstLine="0"/>
              <w:rPr>
                <w:sz w:val="21"/>
                <w:szCs w:val="21"/>
              </w:rPr>
            </w:pPr>
          </w:p>
        </w:tc>
        <w:tc>
          <w:tcPr>
            <w:tcW w:w="510" w:type="dxa"/>
            <w:vMerge w:val="continue"/>
            <w:tcBorders>
              <w:tl2br w:val="nil"/>
              <w:tr2bl w:val="nil"/>
            </w:tcBorders>
            <w:vAlign w:val="center"/>
          </w:tcPr>
          <w:p w14:paraId="5D684410">
            <w:pPr>
              <w:pStyle w:val="64"/>
              <w:spacing w:line="240" w:lineRule="auto"/>
              <w:ind w:firstLine="0"/>
              <w:rPr>
                <w:sz w:val="21"/>
                <w:szCs w:val="21"/>
              </w:rPr>
            </w:pPr>
          </w:p>
        </w:tc>
        <w:tc>
          <w:tcPr>
            <w:tcW w:w="638" w:type="dxa"/>
            <w:tcBorders>
              <w:tl2br w:val="nil"/>
              <w:tr2bl w:val="nil"/>
            </w:tcBorders>
            <w:vAlign w:val="center"/>
          </w:tcPr>
          <w:p w14:paraId="04E10955">
            <w:pPr>
              <w:pStyle w:val="64"/>
              <w:spacing w:line="240" w:lineRule="auto"/>
              <w:ind w:firstLine="0"/>
              <w:rPr>
                <w:sz w:val="21"/>
                <w:szCs w:val="21"/>
              </w:rPr>
            </w:pPr>
            <w:r>
              <w:rPr>
                <w:sz w:val="21"/>
                <w:szCs w:val="21"/>
              </w:rPr>
              <w:t>浓度</w:t>
            </w:r>
          </w:p>
          <w:p w14:paraId="2B4584DF">
            <w:pPr>
              <w:pStyle w:val="64"/>
              <w:spacing w:line="240" w:lineRule="auto"/>
              <w:ind w:firstLine="0"/>
              <w:rPr>
                <w:sz w:val="21"/>
                <w:szCs w:val="21"/>
              </w:rPr>
            </w:pPr>
            <w:r>
              <w:rPr>
                <w:sz w:val="21"/>
                <w:szCs w:val="21"/>
              </w:rPr>
              <w:t>（mg/L）</w:t>
            </w:r>
          </w:p>
        </w:tc>
        <w:tc>
          <w:tcPr>
            <w:tcW w:w="587" w:type="dxa"/>
            <w:tcBorders>
              <w:tl2br w:val="nil"/>
              <w:tr2bl w:val="nil"/>
            </w:tcBorders>
            <w:vAlign w:val="center"/>
          </w:tcPr>
          <w:p w14:paraId="5ABCFDCA">
            <w:pPr>
              <w:pStyle w:val="64"/>
              <w:spacing w:line="240" w:lineRule="auto"/>
              <w:ind w:firstLine="0"/>
              <w:rPr>
                <w:sz w:val="21"/>
                <w:szCs w:val="21"/>
              </w:rPr>
            </w:pPr>
            <w:r>
              <w:rPr>
                <w:sz w:val="21"/>
                <w:szCs w:val="21"/>
              </w:rPr>
              <w:t>产生量（t/a）</w:t>
            </w:r>
          </w:p>
        </w:tc>
        <w:tc>
          <w:tcPr>
            <w:tcW w:w="437" w:type="dxa"/>
            <w:tcBorders>
              <w:tl2br w:val="nil"/>
              <w:tr2bl w:val="nil"/>
            </w:tcBorders>
            <w:vAlign w:val="center"/>
          </w:tcPr>
          <w:p w14:paraId="189A1237">
            <w:pPr>
              <w:pStyle w:val="64"/>
              <w:spacing w:line="240" w:lineRule="auto"/>
              <w:ind w:firstLine="0"/>
              <w:rPr>
                <w:sz w:val="21"/>
                <w:szCs w:val="21"/>
              </w:rPr>
            </w:pPr>
            <w:r>
              <w:rPr>
                <w:sz w:val="21"/>
                <w:szCs w:val="21"/>
              </w:rPr>
              <w:t>处理能力</w:t>
            </w:r>
          </w:p>
        </w:tc>
        <w:tc>
          <w:tcPr>
            <w:tcW w:w="431" w:type="dxa"/>
            <w:tcBorders>
              <w:tl2br w:val="nil"/>
              <w:tr2bl w:val="nil"/>
            </w:tcBorders>
            <w:vAlign w:val="center"/>
          </w:tcPr>
          <w:p w14:paraId="266FE162">
            <w:pPr>
              <w:pStyle w:val="64"/>
              <w:spacing w:line="240" w:lineRule="auto"/>
              <w:ind w:firstLine="0"/>
              <w:rPr>
                <w:sz w:val="21"/>
                <w:szCs w:val="21"/>
              </w:rPr>
            </w:pPr>
            <w:r>
              <w:rPr>
                <w:sz w:val="21"/>
                <w:szCs w:val="21"/>
              </w:rPr>
              <w:t>治理工艺</w:t>
            </w:r>
          </w:p>
        </w:tc>
        <w:tc>
          <w:tcPr>
            <w:tcW w:w="512" w:type="dxa"/>
            <w:tcBorders>
              <w:tl2br w:val="nil"/>
              <w:tr2bl w:val="nil"/>
            </w:tcBorders>
            <w:vAlign w:val="center"/>
          </w:tcPr>
          <w:p w14:paraId="6B561689">
            <w:pPr>
              <w:pStyle w:val="64"/>
              <w:spacing w:line="240" w:lineRule="auto"/>
              <w:ind w:firstLine="0"/>
              <w:rPr>
                <w:sz w:val="21"/>
                <w:szCs w:val="21"/>
              </w:rPr>
            </w:pPr>
            <w:r>
              <w:rPr>
                <w:sz w:val="21"/>
                <w:szCs w:val="21"/>
              </w:rPr>
              <w:t>治理效率（%）</w:t>
            </w:r>
          </w:p>
        </w:tc>
        <w:tc>
          <w:tcPr>
            <w:tcW w:w="338" w:type="dxa"/>
            <w:tcBorders>
              <w:tl2br w:val="nil"/>
              <w:tr2bl w:val="nil"/>
            </w:tcBorders>
            <w:vAlign w:val="center"/>
          </w:tcPr>
          <w:p w14:paraId="36931DDB">
            <w:pPr>
              <w:pStyle w:val="64"/>
              <w:spacing w:line="240" w:lineRule="auto"/>
              <w:ind w:firstLine="0"/>
              <w:rPr>
                <w:sz w:val="21"/>
                <w:szCs w:val="21"/>
              </w:rPr>
            </w:pPr>
            <w:r>
              <w:rPr>
                <w:sz w:val="21"/>
                <w:szCs w:val="21"/>
              </w:rPr>
              <w:t>是否为可行技术</w:t>
            </w:r>
          </w:p>
        </w:tc>
        <w:tc>
          <w:tcPr>
            <w:tcW w:w="691" w:type="dxa"/>
            <w:tcBorders>
              <w:tl2br w:val="nil"/>
              <w:tr2bl w:val="nil"/>
            </w:tcBorders>
            <w:vAlign w:val="center"/>
          </w:tcPr>
          <w:p w14:paraId="32305B8F">
            <w:pPr>
              <w:pStyle w:val="64"/>
              <w:spacing w:line="240" w:lineRule="auto"/>
              <w:ind w:firstLine="0"/>
              <w:rPr>
                <w:sz w:val="21"/>
                <w:szCs w:val="21"/>
              </w:rPr>
            </w:pPr>
            <w:r>
              <w:rPr>
                <w:sz w:val="21"/>
                <w:szCs w:val="21"/>
              </w:rPr>
              <w:t>浓度（mg/L）</w:t>
            </w:r>
          </w:p>
        </w:tc>
        <w:tc>
          <w:tcPr>
            <w:tcW w:w="850" w:type="dxa"/>
            <w:tcBorders>
              <w:tl2br w:val="nil"/>
              <w:tr2bl w:val="nil"/>
            </w:tcBorders>
            <w:vAlign w:val="center"/>
          </w:tcPr>
          <w:p w14:paraId="0F89C623">
            <w:pPr>
              <w:pStyle w:val="64"/>
              <w:spacing w:line="240" w:lineRule="auto"/>
              <w:ind w:firstLine="0"/>
              <w:rPr>
                <w:sz w:val="21"/>
                <w:szCs w:val="21"/>
              </w:rPr>
            </w:pPr>
            <w:r>
              <w:rPr>
                <w:sz w:val="21"/>
                <w:szCs w:val="21"/>
              </w:rPr>
              <w:t>排放量（t/a）</w:t>
            </w:r>
          </w:p>
        </w:tc>
        <w:tc>
          <w:tcPr>
            <w:tcW w:w="993" w:type="dxa"/>
            <w:tcBorders>
              <w:tl2br w:val="nil"/>
              <w:tr2bl w:val="nil"/>
            </w:tcBorders>
            <w:vAlign w:val="center"/>
          </w:tcPr>
          <w:p w14:paraId="51A283E9">
            <w:pPr>
              <w:pStyle w:val="64"/>
              <w:spacing w:line="240" w:lineRule="auto"/>
              <w:ind w:firstLine="0"/>
              <w:rPr>
                <w:sz w:val="21"/>
                <w:szCs w:val="21"/>
              </w:rPr>
            </w:pPr>
            <w:r>
              <w:rPr>
                <w:sz w:val="21"/>
                <w:szCs w:val="21"/>
              </w:rPr>
              <w:t>浓度（mg/L）</w:t>
            </w:r>
          </w:p>
        </w:tc>
        <w:tc>
          <w:tcPr>
            <w:tcW w:w="427" w:type="dxa"/>
            <w:tcBorders>
              <w:tl2br w:val="nil"/>
              <w:tr2bl w:val="nil"/>
            </w:tcBorders>
            <w:vAlign w:val="center"/>
          </w:tcPr>
          <w:p w14:paraId="34881CA2">
            <w:pPr>
              <w:pStyle w:val="64"/>
              <w:spacing w:line="240" w:lineRule="auto"/>
              <w:ind w:firstLine="0"/>
              <w:rPr>
                <w:sz w:val="21"/>
                <w:szCs w:val="21"/>
              </w:rPr>
            </w:pPr>
            <w:r>
              <w:rPr>
                <w:rFonts w:hint="eastAsia"/>
                <w:sz w:val="21"/>
                <w:szCs w:val="21"/>
              </w:rPr>
              <w:t>排放去向</w:t>
            </w:r>
          </w:p>
        </w:tc>
        <w:tc>
          <w:tcPr>
            <w:tcW w:w="639" w:type="dxa"/>
            <w:tcBorders>
              <w:tl2br w:val="nil"/>
              <w:tr2bl w:val="nil"/>
            </w:tcBorders>
            <w:vAlign w:val="center"/>
          </w:tcPr>
          <w:p w14:paraId="2B157CC6">
            <w:pPr>
              <w:pStyle w:val="64"/>
              <w:spacing w:line="240" w:lineRule="auto"/>
              <w:ind w:firstLine="0"/>
              <w:rPr>
                <w:sz w:val="21"/>
                <w:szCs w:val="21"/>
              </w:rPr>
            </w:pPr>
            <w:r>
              <w:rPr>
                <w:rFonts w:hint="eastAsia"/>
                <w:sz w:val="21"/>
                <w:szCs w:val="21"/>
              </w:rPr>
              <w:t>排放浓度</w:t>
            </w:r>
            <w:r>
              <w:rPr>
                <w:sz w:val="21"/>
                <w:szCs w:val="21"/>
              </w:rPr>
              <w:t>（mg/L）</w:t>
            </w:r>
          </w:p>
        </w:tc>
        <w:tc>
          <w:tcPr>
            <w:tcW w:w="685" w:type="dxa"/>
            <w:tcBorders>
              <w:tl2br w:val="nil"/>
              <w:tr2bl w:val="nil"/>
            </w:tcBorders>
            <w:vAlign w:val="center"/>
          </w:tcPr>
          <w:p w14:paraId="3A0F4C25">
            <w:pPr>
              <w:pStyle w:val="64"/>
              <w:spacing w:line="240" w:lineRule="auto"/>
              <w:ind w:firstLine="0"/>
              <w:rPr>
                <w:sz w:val="21"/>
                <w:szCs w:val="21"/>
              </w:rPr>
            </w:pPr>
            <w:r>
              <w:rPr>
                <w:rFonts w:hint="eastAsia"/>
                <w:sz w:val="21"/>
                <w:szCs w:val="21"/>
              </w:rPr>
              <w:t>排放量</w:t>
            </w:r>
            <w:r>
              <w:rPr>
                <w:sz w:val="21"/>
                <w:szCs w:val="21"/>
              </w:rPr>
              <w:t>（t/a）</w:t>
            </w:r>
          </w:p>
        </w:tc>
      </w:tr>
      <w:tr w14:paraId="27D946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3" w:hRule="atLeast"/>
          <w:jc w:val="center"/>
        </w:trPr>
        <w:tc>
          <w:tcPr>
            <w:tcW w:w="330" w:type="dxa"/>
            <w:vMerge w:val="restart"/>
            <w:tcBorders>
              <w:tl2br w:val="nil"/>
              <w:tr2bl w:val="nil"/>
            </w:tcBorders>
            <w:vAlign w:val="center"/>
          </w:tcPr>
          <w:p w14:paraId="1D76371D">
            <w:pPr>
              <w:adjustRightInd w:val="0"/>
              <w:snapToGrid w:val="0"/>
              <w:spacing w:line="240" w:lineRule="auto"/>
              <w:jc w:val="center"/>
              <w:rPr>
                <w:sz w:val="21"/>
                <w:szCs w:val="21"/>
              </w:rPr>
            </w:pPr>
            <w:r>
              <w:rPr>
                <w:rFonts w:hint="eastAsia"/>
                <w:sz w:val="21"/>
                <w:szCs w:val="21"/>
              </w:rPr>
              <w:t>生活污水</w:t>
            </w:r>
          </w:p>
        </w:tc>
        <w:tc>
          <w:tcPr>
            <w:tcW w:w="454" w:type="dxa"/>
            <w:vMerge w:val="restart"/>
            <w:tcBorders>
              <w:tl2br w:val="nil"/>
              <w:tr2bl w:val="nil"/>
            </w:tcBorders>
            <w:vAlign w:val="center"/>
          </w:tcPr>
          <w:p w14:paraId="6D581453">
            <w:pPr>
              <w:pStyle w:val="64"/>
              <w:spacing w:line="240" w:lineRule="auto"/>
              <w:ind w:firstLine="0"/>
              <w:rPr>
                <w:sz w:val="21"/>
                <w:szCs w:val="21"/>
              </w:rPr>
            </w:pPr>
            <w:r>
              <w:rPr>
                <w:rFonts w:hint="eastAsia"/>
                <w:sz w:val="21"/>
                <w:szCs w:val="21"/>
              </w:rPr>
              <w:t>10366.4</w:t>
            </w:r>
          </w:p>
        </w:tc>
        <w:tc>
          <w:tcPr>
            <w:tcW w:w="510" w:type="dxa"/>
            <w:tcBorders>
              <w:tl2br w:val="nil"/>
              <w:tr2bl w:val="nil"/>
            </w:tcBorders>
            <w:vAlign w:val="center"/>
          </w:tcPr>
          <w:p w14:paraId="2B3E1485">
            <w:pPr>
              <w:pStyle w:val="64"/>
              <w:spacing w:line="240" w:lineRule="auto"/>
              <w:ind w:firstLine="0"/>
              <w:rPr>
                <w:sz w:val="21"/>
                <w:szCs w:val="21"/>
              </w:rPr>
            </w:pPr>
            <w:r>
              <w:rPr>
                <w:sz w:val="21"/>
                <w:szCs w:val="21"/>
              </w:rPr>
              <w:t>COD</w:t>
            </w:r>
          </w:p>
        </w:tc>
        <w:tc>
          <w:tcPr>
            <w:tcW w:w="638" w:type="dxa"/>
            <w:tcBorders>
              <w:tl2br w:val="nil"/>
              <w:tr2bl w:val="nil"/>
            </w:tcBorders>
            <w:vAlign w:val="center"/>
          </w:tcPr>
          <w:p w14:paraId="2479389F">
            <w:pPr>
              <w:adjustRightInd w:val="0"/>
              <w:snapToGrid w:val="0"/>
              <w:spacing w:line="240" w:lineRule="auto"/>
              <w:jc w:val="center"/>
              <w:rPr>
                <w:sz w:val="21"/>
                <w:szCs w:val="21"/>
              </w:rPr>
            </w:pPr>
            <w:r>
              <w:rPr>
                <w:rFonts w:hint="eastAsia"/>
                <w:sz w:val="21"/>
                <w:szCs w:val="21"/>
              </w:rPr>
              <w:t>350</w:t>
            </w:r>
          </w:p>
        </w:tc>
        <w:tc>
          <w:tcPr>
            <w:tcW w:w="587" w:type="dxa"/>
            <w:tcBorders>
              <w:tl2br w:val="nil"/>
              <w:tr2bl w:val="nil"/>
            </w:tcBorders>
            <w:vAlign w:val="center"/>
          </w:tcPr>
          <w:p w14:paraId="0EB22771">
            <w:pPr>
              <w:spacing w:line="240" w:lineRule="auto"/>
              <w:jc w:val="center"/>
              <w:rPr>
                <w:sz w:val="21"/>
                <w:szCs w:val="21"/>
              </w:rPr>
            </w:pPr>
            <w:r>
              <w:rPr>
                <w:rFonts w:hint="eastAsia"/>
                <w:sz w:val="21"/>
                <w:szCs w:val="21"/>
              </w:rPr>
              <w:t>3.63</w:t>
            </w:r>
          </w:p>
        </w:tc>
        <w:tc>
          <w:tcPr>
            <w:tcW w:w="437" w:type="dxa"/>
            <w:vMerge w:val="restart"/>
            <w:tcBorders>
              <w:tl2br w:val="nil"/>
              <w:tr2bl w:val="nil"/>
            </w:tcBorders>
            <w:vAlign w:val="center"/>
          </w:tcPr>
          <w:p w14:paraId="289E9069">
            <w:pPr>
              <w:adjustRightInd w:val="0"/>
              <w:snapToGrid w:val="0"/>
              <w:spacing w:line="240" w:lineRule="auto"/>
              <w:jc w:val="center"/>
              <w:rPr>
                <w:sz w:val="21"/>
                <w:szCs w:val="21"/>
              </w:rPr>
            </w:pPr>
            <w:r>
              <w:rPr>
                <w:rFonts w:hint="eastAsia"/>
                <w:sz w:val="21"/>
                <w:szCs w:val="21"/>
              </w:rPr>
              <w:t>5t</w:t>
            </w:r>
            <w:r>
              <w:rPr>
                <w:sz w:val="21"/>
                <w:szCs w:val="21"/>
              </w:rPr>
              <w:t>/d</w:t>
            </w:r>
          </w:p>
        </w:tc>
        <w:tc>
          <w:tcPr>
            <w:tcW w:w="431" w:type="dxa"/>
            <w:vMerge w:val="restart"/>
            <w:tcBorders>
              <w:tl2br w:val="nil"/>
              <w:tr2bl w:val="nil"/>
            </w:tcBorders>
            <w:vAlign w:val="center"/>
          </w:tcPr>
          <w:p w14:paraId="25840B5A">
            <w:pPr>
              <w:adjustRightInd w:val="0"/>
              <w:snapToGrid w:val="0"/>
              <w:spacing w:line="240" w:lineRule="auto"/>
              <w:jc w:val="center"/>
              <w:rPr>
                <w:sz w:val="21"/>
                <w:szCs w:val="21"/>
              </w:rPr>
            </w:pPr>
            <w:r>
              <w:rPr>
                <w:rFonts w:hint="eastAsia"/>
                <w:sz w:val="21"/>
                <w:szCs w:val="21"/>
              </w:rPr>
              <w:t>隔油池、化粪池</w:t>
            </w:r>
          </w:p>
        </w:tc>
        <w:tc>
          <w:tcPr>
            <w:tcW w:w="512" w:type="dxa"/>
            <w:tcBorders>
              <w:tl2br w:val="nil"/>
              <w:tr2bl w:val="nil"/>
            </w:tcBorders>
            <w:vAlign w:val="center"/>
          </w:tcPr>
          <w:p w14:paraId="1C9CD53F">
            <w:pPr>
              <w:spacing w:line="240" w:lineRule="auto"/>
              <w:jc w:val="center"/>
              <w:rPr>
                <w:sz w:val="21"/>
                <w:szCs w:val="21"/>
              </w:rPr>
            </w:pPr>
            <w:r>
              <w:rPr>
                <w:rFonts w:hint="eastAsia"/>
                <w:sz w:val="21"/>
                <w:szCs w:val="21"/>
              </w:rPr>
              <w:t>25</w:t>
            </w:r>
          </w:p>
        </w:tc>
        <w:tc>
          <w:tcPr>
            <w:tcW w:w="338" w:type="dxa"/>
            <w:vMerge w:val="restart"/>
            <w:tcBorders>
              <w:tl2br w:val="nil"/>
              <w:tr2bl w:val="nil"/>
            </w:tcBorders>
            <w:vAlign w:val="center"/>
          </w:tcPr>
          <w:p w14:paraId="0460EC83">
            <w:pPr>
              <w:adjustRightInd w:val="0"/>
              <w:snapToGrid w:val="0"/>
              <w:spacing w:line="240" w:lineRule="auto"/>
              <w:jc w:val="center"/>
              <w:rPr>
                <w:sz w:val="21"/>
                <w:szCs w:val="21"/>
              </w:rPr>
            </w:pPr>
            <w:r>
              <w:rPr>
                <w:sz w:val="21"/>
                <w:szCs w:val="21"/>
              </w:rPr>
              <w:t>是</w:t>
            </w:r>
          </w:p>
        </w:tc>
        <w:tc>
          <w:tcPr>
            <w:tcW w:w="691" w:type="dxa"/>
            <w:tcBorders>
              <w:tl2br w:val="nil"/>
              <w:tr2bl w:val="nil"/>
            </w:tcBorders>
            <w:vAlign w:val="center"/>
          </w:tcPr>
          <w:p w14:paraId="4AC99085">
            <w:pPr>
              <w:adjustRightInd w:val="0"/>
              <w:snapToGrid w:val="0"/>
              <w:spacing w:line="240" w:lineRule="auto"/>
              <w:jc w:val="center"/>
              <w:rPr>
                <w:sz w:val="21"/>
                <w:szCs w:val="21"/>
              </w:rPr>
            </w:pPr>
            <w:r>
              <w:rPr>
                <w:rFonts w:hint="eastAsia"/>
                <w:sz w:val="21"/>
                <w:szCs w:val="21"/>
              </w:rPr>
              <w:t>263</w:t>
            </w:r>
          </w:p>
        </w:tc>
        <w:tc>
          <w:tcPr>
            <w:tcW w:w="850" w:type="dxa"/>
            <w:tcBorders>
              <w:tl2br w:val="nil"/>
              <w:tr2bl w:val="nil"/>
            </w:tcBorders>
            <w:vAlign w:val="center"/>
          </w:tcPr>
          <w:p w14:paraId="501E1E1B">
            <w:pPr>
              <w:spacing w:line="240" w:lineRule="auto"/>
              <w:jc w:val="center"/>
              <w:rPr>
                <w:sz w:val="21"/>
                <w:szCs w:val="21"/>
              </w:rPr>
            </w:pPr>
            <w:r>
              <w:rPr>
                <w:rFonts w:hint="eastAsia"/>
                <w:sz w:val="21"/>
                <w:szCs w:val="21"/>
              </w:rPr>
              <w:t>2.73</w:t>
            </w:r>
          </w:p>
        </w:tc>
        <w:tc>
          <w:tcPr>
            <w:tcW w:w="993" w:type="dxa"/>
            <w:tcBorders>
              <w:tl2br w:val="nil"/>
              <w:tr2bl w:val="nil"/>
            </w:tcBorders>
            <w:vAlign w:val="center"/>
          </w:tcPr>
          <w:p w14:paraId="16F82EB2">
            <w:pPr>
              <w:spacing w:line="240" w:lineRule="auto"/>
              <w:jc w:val="center"/>
              <w:rPr>
                <w:sz w:val="21"/>
                <w:szCs w:val="21"/>
              </w:rPr>
            </w:pPr>
            <w:r>
              <w:rPr>
                <w:rFonts w:hint="eastAsia"/>
                <w:sz w:val="21"/>
                <w:szCs w:val="21"/>
              </w:rPr>
              <w:t>500</w:t>
            </w:r>
          </w:p>
        </w:tc>
        <w:tc>
          <w:tcPr>
            <w:tcW w:w="427" w:type="dxa"/>
            <w:vMerge w:val="restart"/>
            <w:tcBorders>
              <w:tl2br w:val="nil"/>
              <w:tr2bl w:val="nil"/>
            </w:tcBorders>
            <w:vAlign w:val="center"/>
          </w:tcPr>
          <w:p w14:paraId="28D2D141">
            <w:pPr>
              <w:spacing w:line="240" w:lineRule="auto"/>
              <w:jc w:val="center"/>
              <w:rPr>
                <w:sz w:val="21"/>
                <w:szCs w:val="21"/>
              </w:rPr>
            </w:pPr>
            <w:r>
              <w:rPr>
                <w:rFonts w:hint="eastAsia"/>
                <w:sz w:val="21"/>
                <w:szCs w:val="21"/>
              </w:rPr>
              <w:t>湘潭县顺业污水处理厂</w:t>
            </w:r>
          </w:p>
        </w:tc>
        <w:tc>
          <w:tcPr>
            <w:tcW w:w="639" w:type="dxa"/>
            <w:tcBorders>
              <w:tl2br w:val="nil"/>
              <w:tr2bl w:val="nil"/>
            </w:tcBorders>
            <w:vAlign w:val="center"/>
          </w:tcPr>
          <w:p w14:paraId="2D5A06A8">
            <w:pPr>
              <w:spacing w:line="240" w:lineRule="auto"/>
              <w:jc w:val="center"/>
              <w:rPr>
                <w:sz w:val="21"/>
                <w:szCs w:val="21"/>
              </w:rPr>
            </w:pPr>
            <w:r>
              <w:rPr>
                <w:rFonts w:hint="eastAsia"/>
                <w:sz w:val="21"/>
                <w:szCs w:val="21"/>
              </w:rPr>
              <w:t>50</w:t>
            </w:r>
          </w:p>
        </w:tc>
        <w:tc>
          <w:tcPr>
            <w:tcW w:w="685" w:type="dxa"/>
            <w:tcBorders>
              <w:tl2br w:val="nil"/>
              <w:tr2bl w:val="nil"/>
            </w:tcBorders>
            <w:vAlign w:val="center"/>
          </w:tcPr>
          <w:p w14:paraId="2677AAE8">
            <w:pPr>
              <w:spacing w:line="240" w:lineRule="auto"/>
              <w:jc w:val="center"/>
              <w:rPr>
                <w:sz w:val="21"/>
                <w:szCs w:val="21"/>
              </w:rPr>
            </w:pPr>
            <w:r>
              <w:rPr>
                <w:rFonts w:hint="eastAsia"/>
                <w:sz w:val="21"/>
                <w:szCs w:val="21"/>
              </w:rPr>
              <w:t>0.52</w:t>
            </w:r>
          </w:p>
        </w:tc>
      </w:tr>
      <w:tr w14:paraId="686CC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330" w:type="dxa"/>
            <w:vMerge w:val="continue"/>
            <w:tcBorders>
              <w:tl2br w:val="nil"/>
              <w:tr2bl w:val="nil"/>
            </w:tcBorders>
            <w:vAlign w:val="center"/>
          </w:tcPr>
          <w:p w14:paraId="67361B3C">
            <w:pPr>
              <w:pStyle w:val="64"/>
              <w:spacing w:line="240" w:lineRule="auto"/>
              <w:ind w:firstLine="0"/>
              <w:rPr>
                <w:sz w:val="21"/>
                <w:szCs w:val="21"/>
              </w:rPr>
            </w:pPr>
          </w:p>
        </w:tc>
        <w:tc>
          <w:tcPr>
            <w:tcW w:w="454" w:type="dxa"/>
            <w:vMerge w:val="continue"/>
            <w:tcBorders>
              <w:tl2br w:val="nil"/>
              <w:tr2bl w:val="nil"/>
            </w:tcBorders>
            <w:vAlign w:val="center"/>
          </w:tcPr>
          <w:p w14:paraId="2B06DD7C">
            <w:pPr>
              <w:pStyle w:val="64"/>
              <w:spacing w:line="240" w:lineRule="auto"/>
              <w:ind w:firstLine="0"/>
              <w:rPr>
                <w:sz w:val="21"/>
                <w:szCs w:val="21"/>
              </w:rPr>
            </w:pPr>
          </w:p>
        </w:tc>
        <w:tc>
          <w:tcPr>
            <w:tcW w:w="510" w:type="dxa"/>
            <w:tcBorders>
              <w:tl2br w:val="nil"/>
              <w:tr2bl w:val="nil"/>
            </w:tcBorders>
            <w:vAlign w:val="center"/>
          </w:tcPr>
          <w:p w14:paraId="45988888">
            <w:pPr>
              <w:pStyle w:val="64"/>
              <w:spacing w:line="240" w:lineRule="auto"/>
              <w:ind w:firstLine="0"/>
              <w:rPr>
                <w:sz w:val="21"/>
                <w:szCs w:val="21"/>
              </w:rPr>
            </w:pPr>
            <w:r>
              <w:rPr>
                <w:sz w:val="21"/>
                <w:szCs w:val="21"/>
              </w:rPr>
              <w:t>BOD</w:t>
            </w:r>
            <w:r>
              <w:rPr>
                <w:sz w:val="21"/>
                <w:szCs w:val="21"/>
                <w:vertAlign w:val="subscript"/>
              </w:rPr>
              <w:t>5</w:t>
            </w:r>
          </w:p>
        </w:tc>
        <w:tc>
          <w:tcPr>
            <w:tcW w:w="638" w:type="dxa"/>
            <w:tcBorders>
              <w:tl2br w:val="nil"/>
              <w:tr2bl w:val="nil"/>
            </w:tcBorders>
            <w:vAlign w:val="center"/>
          </w:tcPr>
          <w:p w14:paraId="64AAF5B4">
            <w:pPr>
              <w:adjustRightInd w:val="0"/>
              <w:snapToGrid w:val="0"/>
              <w:spacing w:line="240" w:lineRule="auto"/>
              <w:jc w:val="center"/>
              <w:rPr>
                <w:sz w:val="21"/>
                <w:szCs w:val="21"/>
              </w:rPr>
            </w:pPr>
            <w:r>
              <w:rPr>
                <w:rFonts w:hint="eastAsia"/>
                <w:sz w:val="21"/>
                <w:szCs w:val="21"/>
              </w:rPr>
              <w:t>150</w:t>
            </w:r>
          </w:p>
        </w:tc>
        <w:tc>
          <w:tcPr>
            <w:tcW w:w="587" w:type="dxa"/>
            <w:tcBorders>
              <w:tl2br w:val="nil"/>
              <w:tr2bl w:val="nil"/>
            </w:tcBorders>
            <w:vAlign w:val="center"/>
          </w:tcPr>
          <w:p w14:paraId="063A9875">
            <w:pPr>
              <w:spacing w:line="240" w:lineRule="auto"/>
              <w:jc w:val="center"/>
              <w:rPr>
                <w:sz w:val="21"/>
                <w:szCs w:val="21"/>
              </w:rPr>
            </w:pPr>
            <w:r>
              <w:rPr>
                <w:rFonts w:hint="eastAsia"/>
                <w:sz w:val="21"/>
                <w:szCs w:val="21"/>
              </w:rPr>
              <w:t>1.55</w:t>
            </w:r>
          </w:p>
        </w:tc>
        <w:tc>
          <w:tcPr>
            <w:tcW w:w="437" w:type="dxa"/>
            <w:vMerge w:val="continue"/>
            <w:tcBorders>
              <w:tl2br w:val="nil"/>
              <w:tr2bl w:val="nil"/>
            </w:tcBorders>
            <w:vAlign w:val="center"/>
          </w:tcPr>
          <w:p w14:paraId="1E766CA1">
            <w:pPr>
              <w:adjustRightInd w:val="0"/>
              <w:snapToGrid w:val="0"/>
              <w:spacing w:line="240" w:lineRule="auto"/>
              <w:jc w:val="center"/>
              <w:rPr>
                <w:sz w:val="21"/>
                <w:szCs w:val="21"/>
              </w:rPr>
            </w:pPr>
          </w:p>
        </w:tc>
        <w:tc>
          <w:tcPr>
            <w:tcW w:w="431" w:type="dxa"/>
            <w:vMerge w:val="continue"/>
            <w:tcBorders>
              <w:tl2br w:val="nil"/>
              <w:tr2bl w:val="nil"/>
            </w:tcBorders>
            <w:vAlign w:val="center"/>
          </w:tcPr>
          <w:p w14:paraId="2BC19A3B">
            <w:pPr>
              <w:adjustRightInd w:val="0"/>
              <w:snapToGrid w:val="0"/>
              <w:spacing w:line="240" w:lineRule="auto"/>
              <w:jc w:val="center"/>
              <w:rPr>
                <w:sz w:val="21"/>
                <w:szCs w:val="21"/>
              </w:rPr>
            </w:pPr>
          </w:p>
        </w:tc>
        <w:tc>
          <w:tcPr>
            <w:tcW w:w="512" w:type="dxa"/>
            <w:tcBorders>
              <w:tl2br w:val="nil"/>
              <w:tr2bl w:val="nil"/>
            </w:tcBorders>
            <w:vAlign w:val="center"/>
          </w:tcPr>
          <w:p w14:paraId="2F20A442">
            <w:pPr>
              <w:spacing w:line="240" w:lineRule="auto"/>
              <w:jc w:val="center"/>
              <w:rPr>
                <w:sz w:val="21"/>
                <w:szCs w:val="21"/>
              </w:rPr>
            </w:pPr>
            <w:r>
              <w:rPr>
                <w:rFonts w:hint="eastAsia"/>
                <w:sz w:val="21"/>
                <w:szCs w:val="21"/>
              </w:rPr>
              <w:t>15</w:t>
            </w:r>
          </w:p>
        </w:tc>
        <w:tc>
          <w:tcPr>
            <w:tcW w:w="338" w:type="dxa"/>
            <w:vMerge w:val="continue"/>
            <w:tcBorders>
              <w:tl2br w:val="nil"/>
              <w:tr2bl w:val="nil"/>
            </w:tcBorders>
            <w:vAlign w:val="center"/>
          </w:tcPr>
          <w:p w14:paraId="1D5506D5">
            <w:pPr>
              <w:adjustRightInd w:val="0"/>
              <w:snapToGrid w:val="0"/>
              <w:spacing w:line="240" w:lineRule="auto"/>
              <w:jc w:val="center"/>
              <w:rPr>
                <w:sz w:val="21"/>
                <w:szCs w:val="21"/>
              </w:rPr>
            </w:pPr>
          </w:p>
        </w:tc>
        <w:tc>
          <w:tcPr>
            <w:tcW w:w="691" w:type="dxa"/>
            <w:tcBorders>
              <w:tl2br w:val="nil"/>
              <w:tr2bl w:val="nil"/>
            </w:tcBorders>
            <w:vAlign w:val="center"/>
          </w:tcPr>
          <w:p w14:paraId="6FC028AE">
            <w:pPr>
              <w:adjustRightInd w:val="0"/>
              <w:snapToGrid w:val="0"/>
              <w:spacing w:line="240" w:lineRule="auto"/>
              <w:jc w:val="center"/>
              <w:rPr>
                <w:sz w:val="21"/>
                <w:szCs w:val="21"/>
              </w:rPr>
            </w:pPr>
            <w:r>
              <w:rPr>
                <w:rFonts w:hint="eastAsia"/>
                <w:sz w:val="21"/>
                <w:szCs w:val="21"/>
              </w:rPr>
              <w:t>100</w:t>
            </w:r>
          </w:p>
        </w:tc>
        <w:tc>
          <w:tcPr>
            <w:tcW w:w="850" w:type="dxa"/>
            <w:tcBorders>
              <w:tl2br w:val="nil"/>
              <w:tr2bl w:val="nil"/>
            </w:tcBorders>
            <w:vAlign w:val="center"/>
          </w:tcPr>
          <w:p w14:paraId="6EFE7082">
            <w:pPr>
              <w:spacing w:line="240" w:lineRule="auto"/>
              <w:jc w:val="center"/>
              <w:rPr>
                <w:sz w:val="21"/>
                <w:szCs w:val="21"/>
              </w:rPr>
            </w:pPr>
            <w:r>
              <w:rPr>
                <w:rFonts w:hint="eastAsia"/>
                <w:sz w:val="21"/>
                <w:szCs w:val="21"/>
              </w:rPr>
              <w:t>1.04</w:t>
            </w:r>
          </w:p>
        </w:tc>
        <w:tc>
          <w:tcPr>
            <w:tcW w:w="993" w:type="dxa"/>
            <w:tcBorders>
              <w:tl2br w:val="nil"/>
              <w:tr2bl w:val="nil"/>
            </w:tcBorders>
            <w:vAlign w:val="center"/>
          </w:tcPr>
          <w:p w14:paraId="6C9370E9">
            <w:pPr>
              <w:spacing w:line="240" w:lineRule="auto"/>
              <w:jc w:val="center"/>
              <w:rPr>
                <w:sz w:val="21"/>
                <w:szCs w:val="21"/>
              </w:rPr>
            </w:pPr>
            <w:r>
              <w:rPr>
                <w:rFonts w:hint="eastAsia"/>
                <w:sz w:val="21"/>
                <w:szCs w:val="21"/>
              </w:rPr>
              <w:t>300</w:t>
            </w:r>
          </w:p>
        </w:tc>
        <w:tc>
          <w:tcPr>
            <w:tcW w:w="427" w:type="dxa"/>
            <w:vMerge w:val="continue"/>
            <w:tcBorders>
              <w:tl2br w:val="nil"/>
              <w:tr2bl w:val="nil"/>
            </w:tcBorders>
            <w:vAlign w:val="center"/>
          </w:tcPr>
          <w:p w14:paraId="58338A6B">
            <w:pPr>
              <w:spacing w:line="240" w:lineRule="auto"/>
              <w:jc w:val="center"/>
              <w:rPr>
                <w:sz w:val="21"/>
                <w:szCs w:val="21"/>
              </w:rPr>
            </w:pPr>
          </w:p>
        </w:tc>
        <w:tc>
          <w:tcPr>
            <w:tcW w:w="639" w:type="dxa"/>
            <w:tcBorders>
              <w:tl2br w:val="nil"/>
              <w:tr2bl w:val="nil"/>
            </w:tcBorders>
            <w:vAlign w:val="center"/>
          </w:tcPr>
          <w:p w14:paraId="0CDB0014">
            <w:pPr>
              <w:spacing w:line="240" w:lineRule="auto"/>
              <w:jc w:val="center"/>
              <w:rPr>
                <w:sz w:val="21"/>
                <w:szCs w:val="21"/>
              </w:rPr>
            </w:pPr>
            <w:r>
              <w:rPr>
                <w:rFonts w:hint="eastAsia"/>
                <w:sz w:val="21"/>
                <w:szCs w:val="21"/>
              </w:rPr>
              <w:t>10</w:t>
            </w:r>
          </w:p>
        </w:tc>
        <w:tc>
          <w:tcPr>
            <w:tcW w:w="685" w:type="dxa"/>
            <w:tcBorders>
              <w:tl2br w:val="nil"/>
              <w:tr2bl w:val="nil"/>
            </w:tcBorders>
            <w:vAlign w:val="center"/>
          </w:tcPr>
          <w:p w14:paraId="00AE04C5">
            <w:pPr>
              <w:spacing w:line="240" w:lineRule="auto"/>
              <w:jc w:val="center"/>
              <w:rPr>
                <w:sz w:val="21"/>
                <w:szCs w:val="21"/>
              </w:rPr>
            </w:pPr>
            <w:r>
              <w:rPr>
                <w:rFonts w:hint="eastAsia"/>
                <w:sz w:val="21"/>
                <w:szCs w:val="21"/>
              </w:rPr>
              <w:t>0.10</w:t>
            </w:r>
          </w:p>
        </w:tc>
      </w:tr>
      <w:tr w14:paraId="195870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0" w:type="dxa"/>
            <w:vMerge w:val="continue"/>
            <w:tcBorders>
              <w:tl2br w:val="nil"/>
              <w:tr2bl w:val="nil"/>
            </w:tcBorders>
            <w:vAlign w:val="center"/>
          </w:tcPr>
          <w:p w14:paraId="5D9C8089">
            <w:pPr>
              <w:pStyle w:val="64"/>
              <w:spacing w:line="240" w:lineRule="auto"/>
              <w:ind w:firstLine="0"/>
              <w:rPr>
                <w:sz w:val="21"/>
                <w:szCs w:val="21"/>
              </w:rPr>
            </w:pPr>
          </w:p>
        </w:tc>
        <w:tc>
          <w:tcPr>
            <w:tcW w:w="454" w:type="dxa"/>
            <w:vMerge w:val="continue"/>
            <w:tcBorders>
              <w:tl2br w:val="nil"/>
              <w:tr2bl w:val="nil"/>
            </w:tcBorders>
            <w:vAlign w:val="center"/>
          </w:tcPr>
          <w:p w14:paraId="41E3B093">
            <w:pPr>
              <w:pStyle w:val="64"/>
              <w:spacing w:line="240" w:lineRule="auto"/>
              <w:ind w:firstLine="0"/>
              <w:rPr>
                <w:sz w:val="21"/>
                <w:szCs w:val="21"/>
              </w:rPr>
            </w:pPr>
          </w:p>
        </w:tc>
        <w:tc>
          <w:tcPr>
            <w:tcW w:w="510" w:type="dxa"/>
            <w:tcBorders>
              <w:tl2br w:val="nil"/>
              <w:tr2bl w:val="nil"/>
            </w:tcBorders>
            <w:vAlign w:val="center"/>
          </w:tcPr>
          <w:p w14:paraId="4ED5B653">
            <w:pPr>
              <w:pStyle w:val="64"/>
              <w:spacing w:line="240" w:lineRule="auto"/>
              <w:ind w:firstLine="0"/>
              <w:rPr>
                <w:sz w:val="21"/>
                <w:szCs w:val="21"/>
              </w:rPr>
            </w:pPr>
            <w:r>
              <w:rPr>
                <w:sz w:val="21"/>
                <w:szCs w:val="21"/>
              </w:rPr>
              <w:t>SS</w:t>
            </w:r>
          </w:p>
        </w:tc>
        <w:tc>
          <w:tcPr>
            <w:tcW w:w="638" w:type="dxa"/>
            <w:tcBorders>
              <w:tl2br w:val="nil"/>
              <w:tr2bl w:val="nil"/>
            </w:tcBorders>
            <w:vAlign w:val="center"/>
          </w:tcPr>
          <w:p w14:paraId="0181E376">
            <w:pPr>
              <w:adjustRightInd w:val="0"/>
              <w:snapToGrid w:val="0"/>
              <w:spacing w:line="240" w:lineRule="auto"/>
              <w:jc w:val="center"/>
              <w:rPr>
                <w:sz w:val="21"/>
                <w:szCs w:val="21"/>
              </w:rPr>
            </w:pPr>
            <w:r>
              <w:rPr>
                <w:rFonts w:hint="eastAsia"/>
                <w:sz w:val="21"/>
                <w:szCs w:val="21"/>
              </w:rPr>
              <w:t>200</w:t>
            </w:r>
          </w:p>
        </w:tc>
        <w:tc>
          <w:tcPr>
            <w:tcW w:w="587" w:type="dxa"/>
            <w:tcBorders>
              <w:tl2br w:val="nil"/>
              <w:tr2bl w:val="nil"/>
            </w:tcBorders>
            <w:vAlign w:val="center"/>
          </w:tcPr>
          <w:p w14:paraId="078F9D40">
            <w:pPr>
              <w:spacing w:line="240" w:lineRule="auto"/>
              <w:jc w:val="center"/>
              <w:rPr>
                <w:sz w:val="21"/>
                <w:szCs w:val="21"/>
              </w:rPr>
            </w:pPr>
            <w:r>
              <w:rPr>
                <w:rFonts w:hint="eastAsia"/>
                <w:sz w:val="21"/>
                <w:szCs w:val="21"/>
              </w:rPr>
              <w:t>2.07</w:t>
            </w:r>
          </w:p>
        </w:tc>
        <w:tc>
          <w:tcPr>
            <w:tcW w:w="437" w:type="dxa"/>
            <w:vMerge w:val="continue"/>
            <w:tcBorders>
              <w:tl2br w:val="nil"/>
              <w:tr2bl w:val="nil"/>
            </w:tcBorders>
            <w:vAlign w:val="center"/>
          </w:tcPr>
          <w:p w14:paraId="1DAA1EEC">
            <w:pPr>
              <w:adjustRightInd w:val="0"/>
              <w:snapToGrid w:val="0"/>
              <w:spacing w:line="240" w:lineRule="auto"/>
              <w:jc w:val="center"/>
              <w:rPr>
                <w:sz w:val="21"/>
                <w:szCs w:val="21"/>
              </w:rPr>
            </w:pPr>
          </w:p>
        </w:tc>
        <w:tc>
          <w:tcPr>
            <w:tcW w:w="431" w:type="dxa"/>
            <w:vMerge w:val="continue"/>
            <w:tcBorders>
              <w:tl2br w:val="nil"/>
              <w:tr2bl w:val="nil"/>
            </w:tcBorders>
            <w:vAlign w:val="center"/>
          </w:tcPr>
          <w:p w14:paraId="7C4A0A8F">
            <w:pPr>
              <w:adjustRightInd w:val="0"/>
              <w:snapToGrid w:val="0"/>
              <w:spacing w:line="240" w:lineRule="auto"/>
              <w:jc w:val="center"/>
              <w:rPr>
                <w:sz w:val="21"/>
                <w:szCs w:val="21"/>
              </w:rPr>
            </w:pPr>
          </w:p>
        </w:tc>
        <w:tc>
          <w:tcPr>
            <w:tcW w:w="512" w:type="dxa"/>
            <w:tcBorders>
              <w:tl2br w:val="nil"/>
              <w:tr2bl w:val="nil"/>
            </w:tcBorders>
            <w:vAlign w:val="center"/>
          </w:tcPr>
          <w:p w14:paraId="31F0AB67">
            <w:pPr>
              <w:spacing w:line="240" w:lineRule="auto"/>
              <w:jc w:val="center"/>
              <w:rPr>
                <w:sz w:val="21"/>
                <w:szCs w:val="21"/>
              </w:rPr>
            </w:pPr>
            <w:r>
              <w:rPr>
                <w:rFonts w:hint="eastAsia"/>
                <w:sz w:val="21"/>
                <w:szCs w:val="21"/>
              </w:rPr>
              <w:t>30</w:t>
            </w:r>
          </w:p>
        </w:tc>
        <w:tc>
          <w:tcPr>
            <w:tcW w:w="338" w:type="dxa"/>
            <w:vMerge w:val="continue"/>
            <w:tcBorders>
              <w:tl2br w:val="nil"/>
              <w:tr2bl w:val="nil"/>
            </w:tcBorders>
            <w:vAlign w:val="center"/>
          </w:tcPr>
          <w:p w14:paraId="40263CEA">
            <w:pPr>
              <w:adjustRightInd w:val="0"/>
              <w:snapToGrid w:val="0"/>
              <w:spacing w:line="240" w:lineRule="auto"/>
              <w:jc w:val="center"/>
              <w:rPr>
                <w:sz w:val="21"/>
                <w:szCs w:val="21"/>
              </w:rPr>
            </w:pPr>
          </w:p>
        </w:tc>
        <w:tc>
          <w:tcPr>
            <w:tcW w:w="691" w:type="dxa"/>
            <w:tcBorders>
              <w:tl2br w:val="nil"/>
              <w:tr2bl w:val="nil"/>
            </w:tcBorders>
            <w:vAlign w:val="center"/>
          </w:tcPr>
          <w:p w14:paraId="4B338EAD">
            <w:pPr>
              <w:adjustRightInd w:val="0"/>
              <w:snapToGrid w:val="0"/>
              <w:spacing w:line="240" w:lineRule="auto"/>
              <w:jc w:val="center"/>
              <w:rPr>
                <w:sz w:val="21"/>
                <w:szCs w:val="21"/>
              </w:rPr>
            </w:pPr>
            <w:r>
              <w:rPr>
                <w:rFonts w:hint="eastAsia"/>
                <w:sz w:val="21"/>
                <w:szCs w:val="21"/>
              </w:rPr>
              <w:t>140</w:t>
            </w:r>
          </w:p>
        </w:tc>
        <w:tc>
          <w:tcPr>
            <w:tcW w:w="850" w:type="dxa"/>
            <w:tcBorders>
              <w:tl2br w:val="nil"/>
              <w:tr2bl w:val="nil"/>
            </w:tcBorders>
            <w:vAlign w:val="center"/>
          </w:tcPr>
          <w:p w14:paraId="7FCDD512">
            <w:pPr>
              <w:spacing w:line="240" w:lineRule="auto"/>
              <w:jc w:val="center"/>
              <w:rPr>
                <w:sz w:val="21"/>
                <w:szCs w:val="21"/>
              </w:rPr>
            </w:pPr>
            <w:r>
              <w:rPr>
                <w:rFonts w:hint="eastAsia"/>
                <w:sz w:val="21"/>
                <w:szCs w:val="21"/>
              </w:rPr>
              <w:t>1.45</w:t>
            </w:r>
          </w:p>
        </w:tc>
        <w:tc>
          <w:tcPr>
            <w:tcW w:w="993" w:type="dxa"/>
            <w:tcBorders>
              <w:tl2br w:val="nil"/>
              <w:tr2bl w:val="nil"/>
            </w:tcBorders>
            <w:vAlign w:val="center"/>
          </w:tcPr>
          <w:p w14:paraId="7ADF0FDB">
            <w:pPr>
              <w:spacing w:line="240" w:lineRule="auto"/>
              <w:jc w:val="center"/>
              <w:rPr>
                <w:sz w:val="21"/>
                <w:szCs w:val="21"/>
              </w:rPr>
            </w:pPr>
            <w:r>
              <w:rPr>
                <w:rFonts w:hint="eastAsia"/>
                <w:sz w:val="21"/>
                <w:szCs w:val="21"/>
              </w:rPr>
              <w:t>400</w:t>
            </w:r>
          </w:p>
        </w:tc>
        <w:tc>
          <w:tcPr>
            <w:tcW w:w="427" w:type="dxa"/>
            <w:vMerge w:val="continue"/>
            <w:tcBorders>
              <w:tl2br w:val="nil"/>
              <w:tr2bl w:val="nil"/>
            </w:tcBorders>
            <w:vAlign w:val="center"/>
          </w:tcPr>
          <w:p w14:paraId="243D33F9">
            <w:pPr>
              <w:spacing w:line="240" w:lineRule="auto"/>
              <w:jc w:val="center"/>
              <w:rPr>
                <w:sz w:val="21"/>
                <w:szCs w:val="21"/>
              </w:rPr>
            </w:pPr>
          </w:p>
        </w:tc>
        <w:tc>
          <w:tcPr>
            <w:tcW w:w="639" w:type="dxa"/>
            <w:tcBorders>
              <w:tl2br w:val="nil"/>
              <w:tr2bl w:val="nil"/>
            </w:tcBorders>
            <w:vAlign w:val="center"/>
          </w:tcPr>
          <w:p w14:paraId="7C63E4D1">
            <w:pPr>
              <w:spacing w:line="240" w:lineRule="auto"/>
              <w:jc w:val="center"/>
              <w:rPr>
                <w:sz w:val="21"/>
                <w:szCs w:val="21"/>
              </w:rPr>
            </w:pPr>
            <w:r>
              <w:rPr>
                <w:rFonts w:hint="eastAsia"/>
                <w:sz w:val="21"/>
                <w:szCs w:val="21"/>
              </w:rPr>
              <w:t>10</w:t>
            </w:r>
          </w:p>
        </w:tc>
        <w:tc>
          <w:tcPr>
            <w:tcW w:w="685" w:type="dxa"/>
            <w:tcBorders>
              <w:tl2br w:val="nil"/>
              <w:tr2bl w:val="nil"/>
            </w:tcBorders>
            <w:vAlign w:val="center"/>
          </w:tcPr>
          <w:p w14:paraId="124DADDF">
            <w:pPr>
              <w:spacing w:line="240" w:lineRule="auto"/>
              <w:jc w:val="center"/>
              <w:rPr>
                <w:sz w:val="21"/>
                <w:szCs w:val="21"/>
              </w:rPr>
            </w:pPr>
            <w:r>
              <w:rPr>
                <w:rFonts w:hint="eastAsia"/>
                <w:sz w:val="21"/>
                <w:szCs w:val="21"/>
              </w:rPr>
              <w:t>0.10</w:t>
            </w:r>
          </w:p>
        </w:tc>
      </w:tr>
      <w:tr w14:paraId="2E7676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0" w:type="dxa"/>
            <w:vMerge w:val="continue"/>
            <w:tcBorders>
              <w:tl2br w:val="nil"/>
              <w:tr2bl w:val="nil"/>
            </w:tcBorders>
            <w:vAlign w:val="center"/>
          </w:tcPr>
          <w:p w14:paraId="47757627">
            <w:pPr>
              <w:pStyle w:val="64"/>
              <w:spacing w:line="240" w:lineRule="auto"/>
              <w:ind w:firstLine="0"/>
              <w:rPr>
                <w:sz w:val="21"/>
                <w:szCs w:val="21"/>
              </w:rPr>
            </w:pPr>
          </w:p>
        </w:tc>
        <w:tc>
          <w:tcPr>
            <w:tcW w:w="454" w:type="dxa"/>
            <w:vMerge w:val="continue"/>
            <w:tcBorders>
              <w:tl2br w:val="nil"/>
              <w:tr2bl w:val="nil"/>
            </w:tcBorders>
            <w:vAlign w:val="center"/>
          </w:tcPr>
          <w:p w14:paraId="6D4A78B5">
            <w:pPr>
              <w:pStyle w:val="64"/>
              <w:spacing w:line="240" w:lineRule="auto"/>
              <w:ind w:firstLine="0"/>
              <w:rPr>
                <w:sz w:val="21"/>
                <w:szCs w:val="21"/>
              </w:rPr>
            </w:pPr>
          </w:p>
        </w:tc>
        <w:tc>
          <w:tcPr>
            <w:tcW w:w="510" w:type="dxa"/>
            <w:tcBorders>
              <w:tl2br w:val="nil"/>
              <w:tr2bl w:val="nil"/>
            </w:tcBorders>
            <w:vAlign w:val="center"/>
          </w:tcPr>
          <w:p w14:paraId="01BD532B">
            <w:pPr>
              <w:pStyle w:val="64"/>
              <w:spacing w:line="240" w:lineRule="auto"/>
              <w:ind w:firstLine="0"/>
              <w:rPr>
                <w:sz w:val="21"/>
                <w:szCs w:val="21"/>
              </w:rPr>
            </w:pPr>
            <w:r>
              <w:rPr>
                <w:sz w:val="21"/>
                <w:szCs w:val="21"/>
              </w:rPr>
              <w:t>NH</w:t>
            </w:r>
            <w:r>
              <w:rPr>
                <w:sz w:val="21"/>
                <w:szCs w:val="21"/>
                <w:vertAlign w:val="subscript"/>
              </w:rPr>
              <w:t>3</w:t>
            </w:r>
            <w:r>
              <w:rPr>
                <w:sz w:val="21"/>
                <w:szCs w:val="21"/>
              </w:rPr>
              <w:t>-N</w:t>
            </w:r>
          </w:p>
        </w:tc>
        <w:tc>
          <w:tcPr>
            <w:tcW w:w="638" w:type="dxa"/>
            <w:tcBorders>
              <w:tl2br w:val="nil"/>
              <w:tr2bl w:val="nil"/>
            </w:tcBorders>
            <w:vAlign w:val="center"/>
          </w:tcPr>
          <w:p w14:paraId="11D7431E">
            <w:pPr>
              <w:adjustRightInd w:val="0"/>
              <w:snapToGrid w:val="0"/>
              <w:spacing w:line="240" w:lineRule="auto"/>
              <w:jc w:val="center"/>
              <w:rPr>
                <w:sz w:val="21"/>
                <w:szCs w:val="21"/>
              </w:rPr>
            </w:pPr>
            <w:r>
              <w:rPr>
                <w:rFonts w:hint="eastAsia"/>
                <w:sz w:val="21"/>
                <w:szCs w:val="21"/>
              </w:rPr>
              <w:t>25</w:t>
            </w:r>
          </w:p>
        </w:tc>
        <w:tc>
          <w:tcPr>
            <w:tcW w:w="587" w:type="dxa"/>
            <w:tcBorders>
              <w:tl2br w:val="nil"/>
              <w:tr2bl w:val="nil"/>
            </w:tcBorders>
            <w:vAlign w:val="center"/>
          </w:tcPr>
          <w:p w14:paraId="11B71E5C">
            <w:pPr>
              <w:spacing w:line="240" w:lineRule="auto"/>
              <w:jc w:val="center"/>
              <w:rPr>
                <w:sz w:val="21"/>
                <w:szCs w:val="21"/>
              </w:rPr>
            </w:pPr>
            <w:r>
              <w:rPr>
                <w:rFonts w:hint="eastAsia"/>
                <w:sz w:val="21"/>
                <w:szCs w:val="21"/>
              </w:rPr>
              <w:t>0.26</w:t>
            </w:r>
          </w:p>
        </w:tc>
        <w:tc>
          <w:tcPr>
            <w:tcW w:w="437" w:type="dxa"/>
            <w:vMerge w:val="continue"/>
            <w:tcBorders>
              <w:tl2br w:val="nil"/>
              <w:tr2bl w:val="nil"/>
            </w:tcBorders>
            <w:vAlign w:val="center"/>
          </w:tcPr>
          <w:p w14:paraId="0A4C32C3">
            <w:pPr>
              <w:adjustRightInd w:val="0"/>
              <w:snapToGrid w:val="0"/>
              <w:spacing w:line="240" w:lineRule="auto"/>
              <w:jc w:val="center"/>
              <w:rPr>
                <w:sz w:val="21"/>
                <w:szCs w:val="21"/>
              </w:rPr>
            </w:pPr>
          </w:p>
        </w:tc>
        <w:tc>
          <w:tcPr>
            <w:tcW w:w="431" w:type="dxa"/>
            <w:vMerge w:val="continue"/>
            <w:tcBorders>
              <w:tl2br w:val="nil"/>
              <w:tr2bl w:val="nil"/>
            </w:tcBorders>
            <w:vAlign w:val="center"/>
          </w:tcPr>
          <w:p w14:paraId="607141D8">
            <w:pPr>
              <w:adjustRightInd w:val="0"/>
              <w:snapToGrid w:val="0"/>
              <w:spacing w:line="240" w:lineRule="auto"/>
              <w:jc w:val="center"/>
              <w:rPr>
                <w:sz w:val="21"/>
                <w:szCs w:val="21"/>
              </w:rPr>
            </w:pPr>
          </w:p>
        </w:tc>
        <w:tc>
          <w:tcPr>
            <w:tcW w:w="512" w:type="dxa"/>
            <w:tcBorders>
              <w:tl2br w:val="nil"/>
              <w:tr2bl w:val="nil"/>
            </w:tcBorders>
            <w:vAlign w:val="center"/>
          </w:tcPr>
          <w:p w14:paraId="65D1C70D">
            <w:pPr>
              <w:spacing w:line="240" w:lineRule="auto"/>
              <w:jc w:val="center"/>
              <w:rPr>
                <w:sz w:val="21"/>
                <w:szCs w:val="21"/>
              </w:rPr>
            </w:pPr>
            <w:r>
              <w:rPr>
                <w:rFonts w:hint="eastAsia"/>
                <w:sz w:val="21"/>
                <w:szCs w:val="21"/>
              </w:rPr>
              <w:t>0</w:t>
            </w:r>
          </w:p>
        </w:tc>
        <w:tc>
          <w:tcPr>
            <w:tcW w:w="338" w:type="dxa"/>
            <w:vMerge w:val="continue"/>
            <w:tcBorders>
              <w:tl2br w:val="nil"/>
              <w:tr2bl w:val="nil"/>
            </w:tcBorders>
            <w:vAlign w:val="center"/>
          </w:tcPr>
          <w:p w14:paraId="748DCD0C">
            <w:pPr>
              <w:adjustRightInd w:val="0"/>
              <w:snapToGrid w:val="0"/>
              <w:spacing w:line="240" w:lineRule="auto"/>
              <w:jc w:val="center"/>
              <w:rPr>
                <w:sz w:val="21"/>
                <w:szCs w:val="21"/>
              </w:rPr>
            </w:pPr>
          </w:p>
        </w:tc>
        <w:tc>
          <w:tcPr>
            <w:tcW w:w="691" w:type="dxa"/>
            <w:tcBorders>
              <w:tl2br w:val="nil"/>
              <w:tr2bl w:val="nil"/>
            </w:tcBorders>
            <w:vAlign w:val="center"/>
          </w:tcPr>
          <w:p w14:paraId="3ABC573D">
            <w:pPr>
              <w:adjustRightInd w:val="0"/>
              <w:snapToGrid w:val="0"/>
              <w:spacing w:line="240" w:lineRule="auto"/>
              <w:jc w:val="center"/>
              <w:rPr>
                <w:sz w:val="21"/>
                <w:szCs w:val="21"/>
              </w:rPr>
            </w:pPr>
            <w:r>
              <w:rPr>
                <w:rFonts w:hint="eastAsia"/>
                <w:sz w:val="21"/>
                <w:szCs w:val="21"/>
              </w:rPr>
              <w:t>22</w:t>
            </w:r>
          </w:p>
        </w:tc>
        <w:tc>
          <w:tcPr>
            <w:tcW w:w="850" w:type="dxa"/>
            <w:tcBorders>
              <w:tl2br w:val="nil"/>
              <w:tr2bl w:val="nil"/>
            </w:tcBorders>
            <w:vAlign w:val="center"/>
          </w:tcPr>
          <w:p w14:paraId="196F2679">
            <w:pPr>
              <w:spacing w:line="240" w:lineRule="auto"/>
              <w:jc w:val="center"/>
              <w:rPr>
                <w:sz w:val="21"/>
                <w:szCs w:val="21"/>
              </w:rPr>
            </w:pPr>
            <w:r>
              <w:rPr>
                <w:rFonts w:hint="eastAsia"/>
                <w:sz w:val="21"/>
                <w:szCs w:val="21"/>
              </w:rPr>
              <w:t>0.23</w:t>
            </w:r>
          </w:p>
        </w:tc>
        <w:tc>
          <w:tcPr>
            <w:tcW w:w="993" w:type="dxa"/>
            <w:tcBorders>
              <w:tl2br w:val="nil"/>
              <w:tr2bl w:val="nil"/>
            </w:tcBorders>
            <w:vAlign w:val="center"/>
          </w:tcPr>
          <w:p w14:paraId="0B06DFBA">
            <w:pPr>
              <w:spacing w:line="240" w:lineRule="auto"/>
              <w:jc w:val="center"/>
              <w:rPr>
                <w:sz w:val="21"/>
                <w:szCs w:val="21"/>
              </w:rPr>
            </w:pPr>
            <w:r>
              <w:rPr>
                <w:rFonts w:hint="eastAsia"/>
                <w:sz w:val="21"/>
                <w:szCs w:val="21"/>
              </w:rPr>
              <w:t>45</w:t>
            </w:r>
          </w:p>
        </w:tc>
        <w:tc>
          <w:tcPr>
            <w:tcW w:w="427" w:type="dxa"/>
            <w:vMerge w:val="continue"/>
            <w:tcBorders>
              <w:tl2br w:val="nil"/>
              <w:tr2bl w:val="nil"/>
            </w:tcBorders>
            <w:vAlign w:val="center"/>
          </w:tcPr>
          <w:p w14:paraId="0AADBE5B">
            <w:pPr>
              <w:spacing w:line="240" w:lineRule="auto"/>
              <w:jc w:val="center"/>
              <w:rPr>
                <w:sz w:val="21"/>
                <w:szCs w:val="21"/>
              </w:rPr>
            </w:pPr>
          </w:p>
        </w:tc>
        <w:tc>
          <w:tcPr>
            <w:tcW w:w="639" w:type="dxa"/>
            <w:tcBorders>
              <w:tl2br w:val="nil"/>
              <w:tr2bl w:val="nil"/>
            </w:tcBorders>
            <w:vAlign w:val="center"/>
          </w:tcPr>
          <w:p w14:paraId="4AF62D35">
            <w:pPr>
              <w:spacing w:line="240" w:lineRule="auto"/>
              <w:jc w:val="center"/>
              <w:rPr>
                <w:sz w:val="21"/>
                <w:szCs w:val="21"/>
              </w:rPr>
            </w:pPr>
            <w:r>
              <w:rPr>
                <w:rFonts w:hint="eastAsia"/>
                <w:sz w:val="21"/>
                <w:szCs w:val="21"/>
              </w:rPr>
              <w:t>5</w:t>
            </w:r>
          </w:p>
        </w:tc>
        <w:tc>
          <w:tcPr>
            <w:tcW w:w="685" w:type="dxa"/>
            <w:tcBorders>
              <w:tl2br w:val="nil"/>
              <w:tr2bl w:val="nil"/>
            </w:tcBorders>
            <w:vAlign w:val="center"/>
          </w:tcPr>
          <w:p w14:paraId="1E341B8B">
            <w:pPr>
              <w:spacing w:line="240" w:lineRule="auto"/>
              <w:jc w:val="center"/>
              <w:rPr>
                <w:sz w:val="21"/>
                <w:szCs w:val="21"/>
              </w:rPr>
            </w:pPr>
            <w:r>
              <w:rPr>
                <w:rFonts w:hint="eastAsia"/>
                <w:sz w:val="21"/>
                <w:szCs w:val="21"/>
              </w:rPr>
              <w:t>0.05</w:t>
            </w:r>
          </w:p>
        </w:tc>
      </w:tr>
      <w:tr w14:paraId="17E219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0" w:type="dxa"/>
            <w:vMerge w:val="continue"/>
            <w:tcBorders>
              <w:tl2br w:val="nil"/>
              <w:tr2bl w:val="nil"/>
            </w:tcBorders>
            <w:vAlign w:val="center"/>
          </w:tcPr>
          <w:p w14:paraId="0B72918A">
            <w:pPr>
              <w:pStyle w:val="64"/>
              <w:spacing w:line="240" w:lineRule="auto"/>
              <w:ind w:firstLine="0"/>
              <w:rPr>
                <w:sz w:val="21"/>
                <w:szCs w:val="21"/>
              </w:rPr>
            </w:pPr>
          </w:p>
        </w:tc>
        <w:tc>
          <w:tcPr>
            <w:tcW w:w="454" w:type="dxa"/>
            <w:vMerge w:val="continue"/>
            <w:tcBorders>
              <w:tl2br w:val="nil"/>
              <w:tr2bl w:val="nil"/>
            </w:tcBorders>
            <w:vAlign w:val="center"/>
          </w:tcPr>
          <w:p w14:paraId="3FD4D5FB">
            <w:pPr>
              <w:pStyle w:val="64"/>
              <w:spacing w:line="240" w:lineRule="auto"/>
              <w:ind w:firstLine="0"/>
              <w:rPr>
                <w:sz w:val="21"/>
                <w:szCs w:val="21"/>
              </w:rPr>
            </w:pPr>
          </w:p>
        </w:tc>
        <w:tc>
          <w:tcPr>
            <w:tcW w:w="510" w:type="dxa"/>
            <w:tcBorders>
              <w:tl2br w:val="nil"/>
              <w:tr2bl w:val="nil"/>
            </w:tcBorders>
            <w:vAlign w:val="center"/>
          </w:tcPr>
          <w:p w14:paraId="47327AC5">
            <w:pPr>
              <w:pStyle w:val="64"/>
              <w:spacing w:line="240" w:lineRule="auto"/>
              <w:ind w:firstLine="0"/>
              <w:rPr>
                <w:sz w:val="21"/>
                <w:szCs w:val="21"/>
              </w:rPr>
            </w:pPr>
            <w:r>
              <w:rPr>
                <w:rFonts w:hint="eastAsia"/>
                <w:sz w:val="21"/>
                <w:szCs w:val="21"/>
              </w:rPr>
              <w:t>动植物油</w:t>
            </w:r>
          </w:p>
        </w:tc>
        <w:tc>
          <w:tcPr>
            <w:tcW w:w="638" w:type="dxa"/>
            <w:tcBorders>
              <w:tl2br w:val="nil"/>
              <w:tr2bl w:val="nil"/>
            </w:tcBorders>
            <w:vAlign w:val="center"/>
          </w:tcPr>
          <w:p w14:paraId="2368BC3E">
            <w:pPr>
              <w:adjustRightInd w:val="0"/>
              <w:snapToGrid w:val="0"/>
              <w:spacing w:line="240" w:lineRule="auto"/>
              <w:jc w:val="center"/>
              <w:rPr>
                <w:sz w:val="21"/>
                <w:szCs w:val="21"/>
              </w:rPr>
            </w:pPr>
            <w:r>
              <w:rPr>
                <w:rFonts w:hint="eastAsia"/>
                <w:sz w:val="21"/>
                <w:szCs w:val="21"/>
              </w:rPr>
              <w:t>100</w:t>
            </w:r>
          </w:p>
        </w:tc>
        <w:tc>
          <w:tcPr>
            <w:tcW w:w="587" w:type="dxa"/>
            <w:tcBorders>
              <w:tl2br w:val="nil"/>
              <w:tr2bl w:val="nil"/>
            </w:tcBorders>
            <w:vAlign w:val="center"/>
          </w:tcPr>
          <w:p w14:paraId="6DD0BA39">
            <w:pPr>
              <w:spacing w:line="240" w:lineRule="auto"/>
              <w:jc w:val="center"/>
              <w:rPr>
                <w:sz w:val="21"/>
                <w:szCs w:val="21"/>
              </w:rPr>
            </w:pPr>
            <w:r>
              <w:rPr>
                <w:rFonts w:hint="eastAsia"/>
                <w:sz w:val="21"/>
                <w:szCs w:val="21"/>
              </w:rPr>
              <w:t>1.04</w:t>
            </w:r>
          </w:p>
        </w:tc>
        <w:tc>
          <w:tcPr>
            <w:tcW w:w="437" w:type="dxa"/>
            <w:vMerge w:val="continue"/>
            <w:tcBorders>
              <w:tl2br w:val="nil"/>
              <w:tr2bl w:val="nil"/>
            </w:tcBorders>
            <w:vAlign w:val="center"/>
          </w:tcPr>
          <w:p w14:paraId="131C26AC">
            <w:pPr>
              <w:adjustRightInd w:val="0"/>
              <w:snapToGrid w:val="0"/>
              <w:spacing w:line="240" w:lineRule="auto"/>
              <w:jc w:val="center"/>
              <w:rPr>
                <w:color w:val="FF0000"/>
                <w:sz w:val="21"/>
                <w:szCs w:val="21"/>
              </w:rPr>
            </w:pPr>
          </w:p>
        </w:tc>
        <w:tc>
          <w:tcPr>
            <w:tcW w:w="431" w:type="dxa"/>
            <w:vMerge w:val="continue"/>
            <w:tcBorders>
              <w:tl2br w:val="nil"/>
              <w:tr2bl w:val="nil"/>
            </w:tcBorders>
            <w:vAlign w:val="center"/>
          </w:tcPr>
          <w:p w14:paraId="0F108B58">
            <w:pPr>
              <w:adjustRightInd w:val="0"/>
              <w:snapToGrid w:val="0"/>
              <w:spacing w:line="240" w:lineRule="auto"/>
              <w:jc w:val="center"/>
              <w:rPr>
                <w:color w:val="FF0000"/>
                <w:sz w:val="21"/>
                <w:szCs w:val="21"/>
              </w:rPr>
            </w:pPr>
          </w:p>
        </w:tc>
        <w:tc>
          <w:tcPr>
            <w:tcW w:w="512" w:type="dxa"/>
            <w:tcBorders>
              <w:tl2br w:val="nil"/>
              <w:tr2bl w:val="nil"/>
            </w:tcBorders>
            <w:vAlign w:val="center"/>
          </w:tcPr>
          <w:p w14:paraId="4D40E40B">
            <w:pPr>
              <w:spacing w:line="240" w:lineRule="auto"/>
              <w:jc w:val="center"/>
              <w:rPr>
                <w:color w:val="FF0000"/>
                <w:sz w:val="21"/>
                <w:szCs w:val="21"/>
              </w:rPr>
            </w:pPr>
            <w:r>
              <w:rPr>
                <w:rFonts w:hint="eastAsia"/>
                <w:sz w:val="21"/>
                <w:szCs w:val="21"/>
              </w:rPr>
              <w:t>60</w:t>
            </w:r>
          </w:p>
        </w:tc>
        <w:tc>
          <w:tcPr>
            <w:tcW w:w="338" w:type="dxa"/>
            <w:vMerge w:val="continue"/>
            <w:tcBorders>
              <w:tl2br w:val="nil"/>
              <w:tr2bl w:val="nil"/>
            </w:tcBorders>
            <w:vAlign w:val="center"/>
          </w:tcPr>
          <w:p w14:paraId="2AAC815C">
            <w:pPr>
              <w:adjustRightInd w:val="0"/>
              <w:snapToGrid w:val="0"/>
              <w:spacing w:line="240" w:lineRule="auto"/>
              <w:jc w:val="center"/>
              <w:rPr>
                <w:color w:val="FF0000"/>
                <w:sz w:val="21"/>
                <w:szCs w:val="21"/>
              </w:rPr>
            </w:pPr>
          </w:p>
        </w:tc>
        <w:tc>
          <w:tcPr>
            <w:tcW w:w="691" w:type="dxa"/>
            <w:tcBorders>
              <w:tl2br w:val="nil"/>
              <w:tr2bl w:val="nil"/>
            </w:tcBorders>
            <w:vAlign w:val="center"/>
          </w:tcPr>
          <w:p w14:paraId="06A3A147">
            <w:pPr>
              <w:adjustRightInd w:val="0"/>
              <w:snapToGrid w:val="0"/>
              <w:spacing w:line="240" w:lineRule="auto"/>
              <w:jc w:val="center"/>
              <w:rPr>
                <w:sz w:val="21"/>
                <w:szCs w:val="21"/>
              </w:rPr>
            </w:pPr>
            <w:r>
              <w:rPr>
                <w:rFonts w:hint="eastAsia"/>
                <w:sz w:val="21"/>
                <w:szCs w:val="21"/>
              </w:rPr>
              <w:t>40</w:t>
            </w:r>
          </w:p>
        </w:tc>
        <w:tc>
          <w:tcPr>
            <w:tcW w:w="850" w:type="dxa"/>
            <w:tcBorders>
              <w:tl2br w:val="nil"/>
              <w:tr2bl w:val="nil"/>
            </w:tcBorders>
            <w:vAlign w:val="center"/>
          </w:tcPr>
          <w:p w14:paraId="28E8FABA">
            <w:pPr>
              <w:spacing w:line="240" w:lineRule="auto"/>
              <w:jc w:val="center"/>
              <w:rPr>
                <w:sz w:val="21"/>
                <w:szCs w:val="21"/>
              </w:rPr>
            </w:pPr>
            <w:r>
              <w:rPr>
                <w:rFonts w:hint="eastAsia"/>
                <w:sz w:val="21"/>
                <w:szCs w:val="21"/>
              </w:rPr>
              <w:t>0.41</w:t>
            </w:r>
          </w:p>
        </w:tc>
        <w:tc>
          <w:tcPr>
            <w:tcW w:w="993" w:type="dxa"/>
            <w:tcBorders>
              <w:tl2br w:val="nil"/>
              <w:tr2bl w:val="nil"/>
            </w:tcBorders>
            <w:vAlign w:val="center"/>
          </w:tcPr>
          <w:p w14:paraId="7E391F66">
            <w:pPr>
              <w:spacing w:line="240" w:lineRule="auto"/>
              <w:jc w:val="center"/>
              <w:rPr>
                <w:sz w:val="21"/>
                <w:szCs w:val="21"/>
              </w:rPr>
            </w:pPr>
            <w:r>
              <w:rPr>
                <w:rFonts w:hint="eastAsia"/>
                <w:sz w:val="21"/>
                <w:szCs w:val="21"/>
              </w:rPr>
              <w:t>100</w:t>
            </w:r>
          </w:p>
        </w:tc>
        <w:tc>
          <w:tcPr>
            <w:tcW w:w="427" w:type="dxa"/>
            <w:vMerge w:val="continue"/>
            <w:tcBorders>
              <w:tl2br w:val="nil"/>
              <w:tr2bl w:val="nil"/>
            </w:tcBorders>
            <w:vAlign w:val="center"/>
          </w:tcPr>
          <w:p w14:paraId="7EAA0E68">
            <w:pPr>
              <w:spacing w:line="240" w:lineRule="auto"/>
              <w:jc w:val="center"/>
              <w:rPr>
                <w:color w:val="FF0000"/>
                <w:sz w:val="21"/>
                <w:szCs w:val="21"/>
              </w:rPr>
            </w:pPr>
          </w:p>
        </w:tc>
        <w:tc>
          <w:tcPr>
            <w:tcW w:w="639" w:type="dxa"/>
            <w:tcBorders>
              <w:tl2br w:val="nil"/>
              <w:tr2bl w:val="nil"/>
            </w:tcBorders>
            <w:vAlign w:val="center"/>
          </w:tcPr>
          <w:p w14:paraId="6F7961A2">
            <w:pPr>
              <w:spacing w:line="240" w:lineRule="auto"/>
              <w:jc w:val="center"/>
              <w:rPr>
                <w:sz w:val="21"/>
                <w:szCs w:val="21"/>
              </w:rPr>
            </w:pPr>
            <w:r>
              <w:rPr>
                <w:rFonts w:hint="eastAsia"/>
                <w:sz w:val="21"/>
                <w:szCs w:val="21"/>
              </w:rPr>
              <w:t>1</w:t>
            </w:r>
          </w:p>
        </w:tc>
        <w:tc>
          <w:tcPr>
            <w:tcW w:w="685" w:type="dxa"/>
            <w:tcBorders>
              <w:tl2br w:val="nil"/>
              <w:tr2bl w:val="nil"/>
            </w:tcBorders>
            <w:vAlign w:val="center"/>
          </w:tcPr>
          <w:p w14:paraId="61B7C8D2">
            <w:pPr>
              <w:spacing w:line="240" w:lineRule="auto"/>
              <w:jc w:val="center"/>
              <w:rPr>
                <w:sz w:val="21"/>
                <w:szCs w:val="21"/>
              </w:rPr>
            </w:pPr>
            <w:r>
              <w:rPr>
                <w:rFonts w:hint="eastAsia"/>
                <w:sz w:val="21"/>
                <w:szCs w:val="21"/>
              </w:rPr>
              <w:t>0.01</w:t>
            </w:r>
          </w:p>
        </w:tc>
      </w:tr>
    </w:tbl>
    <w:p w14:paraId="2393D0B6">
      <w:r>
        <w:rPr>
          <w:rFonts w:hint="eastAsia"/>
        </w:rPr>
        <w:t>4.项目水平衡图</w:t>
      </w:r>
    </w:p>
    <w:p w14:paraId="078D2BEA">
      <w:pPr>
        <w:pStyle w:val="38"/>
        <w:jc w:val="center"/>
      </w:pPr>
      <w:r>
        <w:rPr>
          <w:rFonts w:hint="eastAsia"/>
          <w:color w:val="FF0000"/>
        </w:rPr>
        <w:object>
          <v:shape id="_x0000_i1030" o:spt="75" type="#_x0000_t75" style="height:148.35pt;width:368.65pt;" o:ole="t" filled="f" o:preferrelative="t" stroked="f" coordsize="21600,21600">
            <v:path/>
            <v:fill on="f" focussize="0,0"/>
            <v:stroke on="f"/>
            <v:imagedata r:id="rId45" o:title=""/>
            <o:lock v:ext="edit" aspectratio="f"/>
            <w10:wrap type="none"/>
            <w10:anchorlock/>
          </v:shape>
          <o:OLEObject Type="Embed" ProgID="Visio.Drawing.11" ShapeID="_x0000_i1030" DrawAspect="Content" ObjectID="_1468075733" r:id="rId44">
            <o:LockedField>false</o:LockedField>
          </o:OLEObject>
        </w:object>
      </w:r>
    </w:p>
    <w:p w14:paraId="15BD1EED">
      <w:pPr>
        <w:pStyle w:val="45"/>
        <w:numPr>
          <w:ilvl w:val="6"/>
          <w:numId w:val="0"/>
        </w:numPr>
        <w:spacing w:before="156"/>
        <w:ind w:left="6096" w:leftChars="0" w:hanging="3827" w:firstLineChars="0"/>
        <w:jc w:val="both"/>
        <w:rPr>
          <w:color w:val="auto"/>
        </w:rPr>
      </w:pPr>
      <w:r>
        <w:rPr>
          <w:rFonts w:hint="default" w:ascii="宋体" w:hAnsi="宋体" w:eastAsia="宋体" w:cs="宋体"/>
          <w:b/>
          <w:bCs/>
          <w:color w:val="auto"/>
          <w:kern w:val="2"/>
          <w:sz w:val="21"/>
          <w:szCs w:val="21"/>
          <w:lang w:val="en-US" w:eastAsia="zh-CN" w:bidi="ar-SA"/>
        </w:rPr>
        <w:t xml:space="preserve">图4.3-1 </w:t>
      </w:r>
      <w:r>
        <w:rPr>
          <w:rFonts w:hint="eastAsia"/>
          <w:color w:val="auto"/>
          <w:lang w:val="en-US" w:eastAsia="zh-CN"/>
        </w:rPr>
        <w:t>变动后</w:t>
      </w:r>
      <w:r>
        <w:rPr>
          <w:rFonts w:hint="eastAsia"/>
          <w:color w:val="auto"/>
        </w:rPr>
        <w:t>后全厂水平衡图（单位：t/d）</w:t>
      </w:r>
    </w:p>
    <w:p w14:paraId="48EDA9F2">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4.3.2.3</w:t>
      </w:r>
      <w:r>
        <w:rPr>
          <w:rFonts w:hint="eastAsia"/>
        </w:rPr>
        <w:t>噪声污染源强分析</w:t>
      </w:r>
    </w:p>
    <w:p w14:paraId="69C2AEAE">
      <w:pPr>
        <w:pStyle w:val="40"/>
        <w:spacing w:line="360" w:lineRule="auto"/>
        <w:ind w:firstLine="480"/>
        <w:rPr>
          <w:rFonts w:ascii="Times New Roman"/>
        </w:rPr>
        <w:sectPr>
          <w:footerReference r:id="rId13" w:type="default"/>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rPr>
          <w:rFonts w:ascii="Times New Roman"/>
        </w:rPr>
        <w:t>本次由部分生产设备</w:t>
      </w:r>
      <w:r>
        <w:rPr>
          <w:rFonts w:hint="eastAsia" w:ascii="Times New Roman"/>
          <w:lang w:val="en-US" w:eastAsia="zh-CN"/>
        </w:rPr>
        <w:t>调整</w:t>
      </w:r>
      <w:r>
        <w:rPr>
          <w:rFonts w:ascii="Times New Roman"/>
        </w:rPr>
        <w:t>，运营期噪声主要包括</w:t>
      </w:r>
      <w:r>
        <w:rPr>
          <w:rFonts w:hint="eastAsia" w:ascii="Times New Roman"/>
        </w:rPr>
        <w:t>印刷机、复合机、制袋机</w:t>
      </w:r>
      <w:r>
        <w:rPr>
          <w:rFonts w:ascii="Times New Roman"/>
        </w:rPr>
        <w:t>等工序产生的噪声，其源强在75～95dB(A)之间，项目所有主要产</w:t>
      </w:r>
      <w:r>
        <w:rPr>
          <w:rFonts w:hint="eastAsia" w:ascii="Times New Roman"/>
        </w:rPr>
        <w:t>生</w:t>
      </w:r>
      <w:r>
        <w:rPr>
          <w:rFonts w:ascii="Times New Roman"/>
        </w:rPr>
        <w:t>噪设备除风机在室外，其他设备均位于室内。参照《印刷工业污染防治可行技术指南》（HJ1089—2020），变更后各类</w:t>
      </w:r>
      <w:r>
        <w:rPr>
          <w:rFonts w:hint="eastAsia" w:ascii="Times New Roman"/>
        </w:rPr>
        <w:t>室内</w:t>
      </w:r>
      <w:r>
        <w:rPr>
          <w:rFonts w:ascii="Times New Roman"/>
        </w:rPr>
        <w:t>设备噪声源强见表</w:t>
      </w:r>
      <w:r>
        <w:rPr>
          <w:rFonts w:hint="eastAsia" w:ascii="Times New Roman"/>
        </w:rPr>
        <w:t>4</w:t>
      </w:r>
      <w:r>
        <w:rPr>
          <w:rFonts w:ascii="Times New Roman"/>
        </w:rPr>
        <w:t>.</w:t>
      </w:r>
      <w:r>
        <w:rPr>
          <w:rFonts w:hint="eastAsia" w:ascii="Times New Roman"/>
        </w:rPr>
        <w:t>3</w:t>
      </w:r>
      <w:r>
        <w:rPr>
          <w:rFonts w:ascii="Times New Roman"/>
        </w:rPr>
        <w:t>-</w:t>
      </w:r>
      <w:r>
        <w:rPr>
          <w:rFonts w:hint="eastAsia" w:ascii="Times New Roman"/>
        </w:rPr>
        <w:t>11、室外</w:t>
      </w:r>
      <w:r>
        <w:rPr>
          <w:rFonts w:ascii="Times New Roman"/>
        </w:rPr>
        <w:t>设备噪声源强见表</w:t>
      </w:r>
      <w:r>
        <w:rPr>
          <w:rFonts w:hint="eastAsia" w:ascii="Times New Roman"/>
        </w:rPr>
        <w:t>4</w:t>
      </w:r>
      <w:r>
        <w:rPr>
          <w:rFonts w:ascii="Times New Roman"/>
        </w:rPr>
        <w:t>.</w:t>
      </w:r>
      <w:r>
        <w:rPr>
          <w:rFonts w:hint="eastAsia" w:ascii="Times New Roman"/>
        </w:rPr>
        <w:t>3</w:t>
      </w:r>
      <w:r>
        <w:rPr>
          <w:rFonts w:ascii="Times New Roman"/>
        </w:rPr>
        <w:t>-</w:t>
      </w:r>
      <w:r>
        <w:rPr>
          <w:rFonts w:hint="eastAsia" w:ascii="Times New Roman"/>
        </w:rPr>
        <w:t>12</w:t>
      </w:r>
      <w:r>
        <w:rPr>
          <w:rFonts w:ascii="Times New Roman"/>
        </w:rPr>
        <w:t>。</w:t>
      </w:r>
    </w:p>
    <w:p w14:paraId="02314B12">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表4.3-11 </w:t>
      </w:r>
      <w:r>
        <w:rPr>
          <w:rFonts w:hint="eastAsia" w:ascii="宋体" w:hAnsi="宋体" w:cs="宋体"/>
          <w:b/>
          <w:bCs/>
          <w:color w:val="auto"/>
          <w:kern w:val="2"/>
          <w:sz w:val="21"/>
          <w:szCs w:val="21"/>
          <w:lang w:val="en-US" w:eastAsia="zh-CN" w:bidi="ar-SA"/>
        </w:rPr>
        <w:t xml:space="preserve">        </w:t>
      </w:r>
      <w:r>
        <w:rPr>
          <w:rFonts w:hint="eastAsia"/>
        </w:rPr>
        <w:t>工业企业噪声源强调查清单（室内声源）</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2"/>
        <w:gridCol w:w="629"/>
        <w:gridCol w:w="480"/>
        <w:gridCol w:w="1534"/>
        <w:gridCol w:w="708"/>
        <w:gridCol w:w="1216"/>
        <w:gridCol w:w="645"/>
        <w:gridCol w:w="786"/>
        <w:gridCol w:w="828"/>
        <w:gridCol w:w="755"/>
        <w:gridCol w:w="1382"/>
        <w:gridCol w:w="1145"/>
        <w:gridCol w:w="645"/>
        <w:gridCol w:w="1089"/>
        <w:gridCol w:w="1151"/>
        <w:gridCol w:w="769"/>
      </w:tblGrid>
      <w:tr w14:paraId="666002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33B8E21F">
            <w:pPr>
              <w:adjustRightInd w:val="0"/>
              <w:snapToGrid w:val="0"/>
              <w:spacing w:line="240" w:lineRule="auto"/>
              <w:jc w:val="center"/>
              <w:rPr>
                <w:sz w:val="21"/>
                <w:szCs w:val="21"/>
              </w:rPr>
            </w:pPr>
            <w:r>
              <w:rPr>
                <w:sz w:val="21"/>
                <w:szCs w:val="21"/>
              </w:rPr>
              <w:t>序号</w:t>
            </w:r>
          </w:p>
        </w:tc>
        <w:tc>
          <w:tcPr>
            <w:tcW w:w="629" w:type="dxa"/>
            <w:vMerge w:val="restart"/>
            <w:tcBorders>
              <w:tl2br w:val="nil"/>
              <w:tr2bl w:val="nil"/>
            </w:tcBorders>
            <w:vAlign w:val="center"/>
          </w:tcPr>
          <w:p w14:paraId="1D28F23B">
            <w:pPr>
              <w:adjustRightInd w:val="0"/>
              <w:snapToGrid w:val="0"/>
              <w:spacing w:line="240" w:lineRule="auto"/>
              <w:jc w:val="center"/>
              <w:rPr>
                <w:sz w:val="21"/>
                <w:szCs w:val="21"/>
              </w:rPr>
            </w:pPr>
            <w:r>
              <w:rPr>
                <w:sz w:val="21"/>
                <w:szCs w:val="21"/>
              </w:rPr>
              <w:t>建筑物</w:t>
            </w:r>
          </w:p>
        </w:tc>
        <w:tc>
          <w:tcPr>
            <w:tcW w:w="480" w:type="dxa"/>
            <w:vMerge w:val="restart"/>
            <w:tcBorders>
              <w:tl2br w:val="nil"/>
              <w:tr2bl w:val="nil"/>
            </w:tcBorders>
            <w:vAlign w:val="center"/>
          </w:tcPr>
          <w:p w14:paraId="06A28F86">
            <w:pPr>
              <w:adjustRightInd w:val="0"/>
              <w:snapToGrid w:val="0"/>
              <w:spacing w:line="240" w:lineRule="auto"/>
              <w:jc w:val="center"/>
              <w:rPr>
                <w:sz w:val="21"/>
                <w:szCs w:val="21"/>
              </w:rPr>
            </w:pPr>
            <w:r>
              <w:rPr>
                <w:sz w:val="21"/>
                <w:szCs w:val="21"/>
              </w:rPr>
              <w:t>声源名称</w:t>
            </w:r>
          </w:p>
        </w:tc>
        <w:tc>
          <w:tcPr>
            <w:tcW w:w="1534" w:type="dxa"/>
            <w:vMerge w:val="restart"/>
            <w:tcBorders>
              <w:tl2br w:val="nil"/>
              <w:tr2bl w:val="nil"/>
            </w:tcBorders>
            <w:vAlign w:val="center"/>
          </w:tcPr>
          <w:p w14:paraId="097715DC">
            <w:pPr>
              <w:adjustRightInd w:val="0"/>
              <w:snapToGrid w:val="0"/>
              <w:spacing w:line="240" w:lineRule="auto"/>
              <w:jc w:val="center"/>
              <w:rPr>
                <w:sz w:val="21"/>
                <w:szCs w:val="21"/>
              </w:rPr>
            </w:pPr>
            <w:r>
              <w:rPr>
                <w:sz w:val="21"/>
                <w:szCs w:val="21"/>
              </w:rPr>
              <w:t>型号</w:t>
            </w:r>
          </w:p>
        </w:tc>
        <w:tc>
          <w:tcPr>
            <w:tcW w:w="708" w:type="dxa"/>
            <w:vMerge w:val="restart"/>
            <w:tcBorders>
              <w:tl2br w:val="nil"/>
              <w:tr2bl w:val="nil"/>
            </w:tcBorders>
            <w:vAlign w:val="center"/>
          </w:tcPr>
          <w:p w14:paraId="55582BA1">
            <w:pPr>
              <w:adjustRightInd w:val="0"/>
              <w:snapToGrid w:val="0"/>
              <w:spacing w:line="240" w:lineRule="auto"/>
              <w:jc w:val="center"/>
              <w:rPr>
                <w:sz w:val="21"/>
                <w:szCs w:val="21"/>
              </w:rPr>
            </w:pPr>
            <w:r>
              <w:rPr>
                <w:rFonts w:hint="eastAsia"/>
                <w:sz w:val="21"/>
                <w:szCs w:val="21"/>
              </w:rPr>
              <w:t>数量</w:t>
            </w:r>
          </w:p>
        </w:tc>
        <w:tc>
          <w:tcPr>
            <w:tcW w:w="1216" w:type="dxa"/>
            <w:tcBorders>
              <w:tl2br w:val="nil"/>
              <w:tr2bl w:val="nil"/>
            </w:tcBorders>
            <w:vAlign w:val="center"/>
          </w:tcPr>
          <w:p w14:paraId="59A5D74E">
            <w:pPr>
              <w:adjustRightInd w:val="0"/>
              <w:snapToGrid w:val="0"/>
              <w:spacing w:line="240" w:lineRule="auto"/>
              <w:jc w:val="center"/>
              <w:rPr>
                <w:sz w:val="21"/>
                <w:szCs w:val="21"/>
              </w:rPr>
            </w:pPr>
            <w:r>
              <w:rPr>
                <w:sz w:val="21"/>
                <w:szCs w:val="21"/>
              </w:rPr>
              <w:t>声源源强</w:t>
            </w:r>
          </w:p>
        </w:tc>
        <w:tc>
          <w:tcPr>
            <w:tcW w:w="645" w:type="dxa"/>
            <w:vMerge w:val="restart"/>
            <w:tcBorders>
              <w:tl2br w:val="nil"/>
              <w:tr2bl w:val="nil"/>
            </w:tcBorders>
            <w:vAlign w:val="center"/>
          </w:tcPr>
          <w:p w14:paraId="3BB7FCA2">
            <w:pPr>
              <w:adjustRightInd w:val="0"/>
              <w:snapToGrid w:val="0"/>
              <w:spacing w:line="240" w:lineRule="auto"/>
              <w:jc w:val="center"/>
              <w:rPr>
                <w:color w:val="FF0000"/>
                <w:sz w:val="21"/>
                <w:szCs w:val="21"/>
              </w:rPr>
            </w:pPr>
            <w:r>
              <w:rPr>
                <w:sz w:val="21"/>
                <w:szCs w:val="21"/>
              </w:rPr>
              <w:t>声源控制措施</w:t>
            </w:r>
          </w:p>
        </w:tc>
        <w:tc>
          <w:tcPr>
            <w:tcW w:w="2369" w:type="dxa"/>
            <w:gridSpan w:val="3"/>
            <w:tcBorders>
              <w:tl2br w:val="nil"/>
              <w:tr2bl w:val="nil"/>
            </w:tcBorders>
            <w:vAlign w:val="center"/>
          </w:tcPr>
          <w:p w14:paraId="1D238335">
            <w:pPr>
              <w:adjustRightInd w:val="0"/>
              <w:snapToGrid w:val="0"/>
              <w:spacing w:line="240" w:lineRule="auto"/>
              <w:jc w:val="center"/>
              <w:rPr>
                <w:sz w:val="21"/>
                <w:szCs w:val="21"/>
              </w:rPr>
            </w:pPr>
            <w:r>
              <w:rPr>
                <w:sz w:val="21"/>
                <w:szCs w:val="21"/>
              </w:rPr>
              <w:t>空间相对位置/m</w:t>
            </w:r>
          </w:p>
        </w:tc>
        <w:tc>
          <w:tcPr>
            <w:tcW w:w="1382" w:type="dxa"/>
            <w:vMerge w:val="restart"/>
            <w:tcBorders>
              <w:tl2br w:val="nil"/>
              <w:tr2bl w:val="nil"/>
            </w:tcBorders>
            <w:vAlign w:val="center"/>
          </w:tcPr>
          <w:p w14:paraId="7619C36B">
            <w:pPr>
              <w:adjustRightInd w:val="0"/>
              <w:snapToGrid w:val="0"/>
              <w:spacing w:line="240" w:lineRule="auto"/>
              <w:jc w:val="center"/>
              <w:rPr>
                <w:sz w:val="21"/>
                <w:szCs w:val="21"/>
              </w:rPr>
            </w:pPr>
            <w:r>
              <w:rPr>
                <w:sz w:val="21"/>
                <w:szCs w:val="21"/>
              </w:rPr>
              <w:t>距室内边界距离/m</w:t>
            </w:r>
          </w:p>
        </w:tc>
        <w:tc>
          <w:tcPr>
            <w:tcW w:w="1145" w:type="dxa"/>
            <w:vMerge w:val="restart"/>
            <w:tcBorders>
              <w:tl2br w:val="nil"/>
              <w:tr2bl w:val="nil"/>
            </w:tcBorders>
            <w:vAlign w:val="center"/>
          </w:tcPr>
          <w:p w14:paraId="367AA247">
            <w:pPr>
              <w:adjustRightInd w:val="0"/>
              <w:snapToGrid w:val="0"/>
              <w:spacing w:line="240" w:lineRule="auto"/>
              <w:jc w:val="center"/>
              <w:rPr>
                <w:sz w:val="21"/>
                <w:szCs w:val="21"/>
              </w:rPr>
            </w:pPr>
            <w:r>
              <w:rPr>
                <w:sz w:val="21"/>
                <w:szCs w:val="21"/>
              </w:rPr>
              <w:t>室内边界声级/dB(A)</w:t>
            </w:r>
          </w:p>
        </w:tc>
        <w:tc>
          <w:tcPr>
            <w:tcW w:w="645" w:type="dxa"/>
            <w:vMerge w:val="restart"/>
            <w:tcBorders>
              <w:tl2br w:val="nil"/>
              <w:tr2bl w:val="nil"/>
            </w:tcBorders>
            <w:vAlign w:val="center"/>
          </w:tcPr>
          <w:p w14:paraId="51D69C08">
            <w:pPr>
              <w:adjustRightInd w:val="0"/>
              <w:snapToGrid w:val="0"/>
              <w:spacing w:line="240" w:lineRule="auto"/>
              <w:jc w:val="center"/>
              <w:rPr>
                <w:sz w:val="21"/>
                <w:szCs w:val="21"/>
              </w:rPr>
            </w:pPr>
            <w:r>
              <w:rPr>
                <w:sz w:val="21"/>
                <w:szCs w:val="21"/>
              </w:rPr>
              <w:t>运行时段</w:t>
            </w:r>
          </w:p>
        </w:tc>
        <w:tc>
          <w:tcPr>
            <w:tcW w:w="1089" w:type="dxa"/>
            <w:vMerge w:val="restart"/>
            <w:tcBorders>
              <w:tl2br w:val="nil"/>
              <w:tr2bl w:val="nil"/>
            </w:tcBorders>
            <w:vAlign w:val="center"/>
          </w:tcPr>
          <w:p w14:paraId="32B6F12A">
            <w:pPr>
              <w:adjustRightInd w:val="0"/>
              <w:snapToGrid w:val="0"/>
              <w:spacing w:line="240" w:lineRule="auto"/>
              <w:jc w:val="center"/>
              <w:rPr>
                <w:sz w:val="21"/>
                <w:szCs w:val="21"/>
              </w:rPr>
            </w:pPr>
            <w:r>
              <w:rPr>
                <w:sz w:val="21"/>
                <w:szCs w:val="21"/>
              </w:rPr>
              <w:t>建筑物插入损失/dB(A)</w:t>
            </w:r>
          </w:p>
        </w:tc>
        <w:tc>
          <w:tcPr>
            <w:tcW w:w="1920" w:type="dxa"/>
            <w:gridSpan w:val="2"/>
            <w:tcBorders>
              <w:tl2br w:val="nil"/>
              <w:tr2bl w:val="nil"/>
            </w:tcBorders>
            <w:vAlign w:val="center"/>
          </w:tcPr>
          <w:p w14:paraId="6C19C851">
            <w:pPr>
              <w:adjustRightInd w:val="0"/>
              <w:snapToGrid w:val="0"/>
              <w:spacing w:line="240" w:lineRule="auto"/>
              <w:jc w:val="center"/>
              <w:rPr>
                <w:sz w:val="21"/>
                <w:szCs w:val="21"/>
              </w:rPr>
            </w:pPr>
            <w:r>
              <w:rPr>
                <w:sz w:val="21"/>
                <w:szCs w:val="21"/>
              </w:rPr>
              <w:t>建筑物外噪声</w:t>
            </w:r>
          </w:p>
        </w:tc>
      </w:tr>
      <w:tr w14:paraId="051DAD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1C933DDD">
            <w:pPr>
              <w:adjustRightInd w:val="0"/>
              <w:snapToGrid w:val="0"/>
              <w:spacing w:line="240" w:lineRule="auto"/>
              <w:jc w:val="center"/>
              <w:rPr>
                <w:sz w:val="21"/>
                <w:szCs w:val="21"/>
              </w:rPr>
            </w:pPr>
          </w:p>
        </w:tc>
        <w:tc>
          <w:tcPr>
            <w:tcW w:w="629" w:type="dxa"/>
            <w:vMerge w:val="continue"/>
            <w:tcBorders>
              <w:tl2br w:val="nil"/>
              <w:tr2bl w:val="nil"/>
            </w:tcBorders>
            <w:vAlign w:val="center"/>
          </w:tcPr>
          <w:p w14:paraId="3D42511D">
            <w:pPr>
              <w:adjustRightInd w:val="0"/>
              <w:snapToGrid w:val="0"/>
              <w:spacing w:line="240" w:lineRule="auto"/>
              <w:jc w:val="center"/>
              <w:rPr>
                <w:sz w:val="21"/>
                <w:szCs w:val="21"/>
              </w:rPr>
            </w:pPr>
          </w:p>
        </w:tc>
        <w:tc>
          <w:tcPr>
            <w:tcW w:w="480" w:type="dxa"/>
            <w:vMerge w:val="continue"/>
            <w:tcBorders>
              <w:tl2br w:val="nil"/>
              <w:tr2bl w:val="nil"/>
            </w:tcBorders>
            <w:vAlign w:val="center"/>
          </w:tcPr>
          <w:p w14:paraId="4999F941">
            <w:pPr>
              <w:adjustRightInd w:val="0"/>
              <w:snapToGrid w:val="0"/>
              <w:spacing w:line="240" w:lineRule="auto"/>
              <w:jc w:val="center"/>
              <w:rPr>
                <w:sz w:val="21"/>
                <w:szCs w:val="21"/>
              </w:rPr>
            </w:pPr>
          </w:p>
        </w:tc>
        <w:tc>
          <w:tcPr>
            <w:tcW w:w="1534" w:type="dxa"/>
            <w:vMerge w:val="continue"/>
            <w:tcBorders>
              <w:tl2br w:val="nil"/>
              <w:tr2bl w:val="nil"/>
            </w:tcBorders>
            <w:vAlign w:val="center"/>
          </w:tcPr>
          <w:p w14:paraId="4C37E2E6">
            <w:pPr>
              <w:adjustRightInd w:val="0"/>
              <w:snapToGrid w:val="0"/>
              <w:spacing w:line="240" w:lineRule="auto"/>
              <w:jc w:val="center"/>
              <w:rPr>
                <w:sz w:val="21"/>
                <w:szCs w:val="21"/>
              </w:rPr>
            </w:pPr>
          </w:p>
        </w:tc>
        <w:tc>
          <w:tcPr>
            <w:tcW w:w="708" w:type="dxa"/>
            <w:vMerge w:val="continue"/>
            <w:tcBorders>
              <w:tl2br w:val="nil"/>
              <w:tr2bl w:val="nil"/>
            </w:tcBorders>
            <w:vAlign w:val="center"/>
          </w:tcPr>
          <w:p w14:paraId="7586FE4A">
            <w:pPr>
              <w:adjustRightInd w:val="0"/>
              <w:snapToGrid w:val="0"/>
              <w:spacing w:line="240" w:lineRule="auto"/>
              <w:jc w:val="center"/>
              <w:rPr>
                <w:sz w:val="21"/>
                <w:szCs w:val="21"/>
              </w:rPr>
            </w:pPr>
          </w:p>
        </w:tc>
        <w:tc>
          <w:tcPr>
            <w:tcW w:w="1216" w:type="dxa"/>
            <w:tcBorders>
              <w:tl2br w:val="nil"/>
              <w:tr2bl w:val="nil"/>
            </w:tcBorders>
            <w:vAlign w:val="center"/>
          </w:tcPr>
          <w:p w14:paraId="13B0A4E6">
            <w:pPr>
              <w:adjustRightInd w:val="0"/>
              <w:snapToGrid w:val="0"/>
              <w:spacing w:line="240" w:lineRule="auto"/>
              <w:jc w:val="center"/>
              <w:rPr>
                <w:sz w:val="21"/>
                <w:szCs w:val="21"/>
              </w:rPr>
            </w:pPr>
            <w:r>
              <w:rPr>
                <w:sz w:val="21"/>
                <w:szCs w:val="21"/>
              </w:rPr>
              <w:t>声功率级/dB(A)</w:t>
            </w:r>
          </w:p>
        </w:tc>
        <w:tc>
          <w:tcPr>
            <w:tcW w:w="645" w:type="dxa"/>
            <w:vMerge w:val="continue"/>
            <w:tcBorders>
              <w:tl2br w:val="nil"/>
              <w:tr2bl w:val="nil"/>
            </w:tcBorders>
            <w:vAlign w:val="center"/>
          </w:tcPr>
          <w:p w14:paraId="2CFE1A0E">
            <w:pPr>
              <w:adjustRightInd w:val="0"/>
              <w:snapToGrid w:val="0"/>
              <w:spacing w:line="240" w:lineRule="auto"/>
              <w:jc w:val="center"/>
              <w:rPr>
                <w:color w:val="FF0000"/>
                <w:sz w:val="21"/>
                <w:szCs w:val="21"/>
              </w:rPr>
            </w:pPr>
          </w:p>
        </w:tc>
        <w:tc>
          <w:tcPr>
            <w:tcW w:w="786" w:type="dxa"/>
            <w:tcBorders>
              <w:tl2br w:val="nil"/>
              <w:tr2bl w:val="nil"/>
            </w:tcBorders>
            <w:vAlign w:val="center"/>
          </w:tcPr>
          <w:p w14:paraId="042ED236">
            <w:pPr>
              <w:adjustRightInd w:val="0"/>
              <w:snapToGrid w:val="0"/>
              <w:spacing w:line="240" w:lineRule="auto"/>
              <w:jc w:val="center"/>
              <w:rPr>
                <w:sz w:val="21"/>
                <w:szCs w:val="21"/>
              </w:rPr>
            </w:pPr>
            <w:r>
              <w:rPr>
                <w:sz w:val="21"/>
                <w:szCs w:val="21"/>
              </w:rPr>
              <w:t>X</w:t>
            </w:r>
          </w:p>
        </w:tc>
        <w:tc>
          <w:tcPr>
            <w:tcW w:w="828" w:type="dxa"/>
            <w:tcBorders>
              <w:tl2br w:val="nil"/>
              <w:tr2bl w:val="nil"/>
            </w:tcBorders>
            <w:vAlign w:val="center"/>
          </w:tcPr>
          <w:p w14:paraId="750F3185">
            <w:pPr>
              <w:adjustRightInd w:val="0"/>
              <w:snapToGrid w:val="0"/>
              <w:spacing w:line="240" w:lineRule="auto"/>
              <w:jc w:val="center"/>
              <w:rPr>
                <w:sz w:val="21"/>
                <w:szCs w:val="21"/>
              </w:rPr>
            </w:pPr>
            <w:r>
              <w:rPr>
                <w:sz w:val="21"/>
                <w:szCs w:val="21"/>
              </w:rPr>
              <w:t>Y</w:t>
            </w:r>
          </w:p>
        </w:tc>
        <w:tc>
          <w:tcPr>
            <w:tcW w:w="755" w:type="dxa"/>
            <w:tcBorders>
              <w:tl2br w:val="nil"/>
              <w:tr2bl w:val="nil"/>
            </w:tcBorders>
            <w:vAlign w:val="center"/>
          </w:tcPr>
          <w:p w14:paraId="51A97E7D">
            <w:pPr>
              <w:adjustRightInd w:val="0"/>
              <w:snapToGrid w:val="0"/>
              <w:spacing w:line="240" w:lineRule="auto"/>
              <w:jc w:val="center"/>
              <w:rPr>
                <w:sz w:val="21"/>
                <w:szCs w:val="21"/>
              </w:rPr>
            </w:pPr>
            <w:r>
              <w:rPr>
                <w:sz w:val="21"/>
                <w:szCs w:val="21"/>
              </w:rPr>
              <w:t>Z</w:t>
            </w:r>
          </w:p>
        </w:tc>
        <w:tc>
          <w:tcPr>
            <w:tcW w:w="1382" w:type="dxa"/>
            <w:vMerge w:val="continue"/>
            <w:tcBorders>
              <w:tl2br w:val="nil"/>
              <w:tr2bl w:val="nil"/>
            </w:tcBorders>
            <w:vAlign w:val="center"/>
          </w:tcPr>
          <w:p w14:paraId="13C872FE">
            <w:pPr>
              <w:adjustRightInd w:val="0"/>
              <w:snapToGrid w:val="0"/>
              <w:spacing w:line="240" w:lineRule="auto"/>
              <w:jc w:val="center"/>
              <w:rPr>
                <w:sz w:val="21"/>
                <w:szCs w:val="21"/>
              </w:rPr>
            </w:pPr>
          </w:p>
        </w:tc>
        <w:tc>
          <w:tcPr>
            <w:tcW w:w="1145" w:type="dxa"/>
            <w:vMerge w:val="continue"/>
            <w:tcBorders>
              <w:tl2br w:val="nil"/>
              <w:tr2bl w:val="nil"/>
            </w:tcBorders>
            <w:vAlign w:val="center"/>
          </w:tcPr>
          <w:p w14:paraId="0A550002">
            <w:pPr>
              <w:adjustRightInd w:val="0"/>
              <w:snapToGrid w:val="0"/>
              <w:spacing w:line="240" w:lineRule="auto"/>
              <w:jc w:val="center"/>
              <w:rPr>
                <w:sz w:val="21"/>
                <w:szCs w:val="21"/>
              </w:rPr>
            </w:pPr>
          </w:p>
        </w:tc>
        <w:tc>
          <w:tcPr>
            <w:tcW w:w="645" w:type="dxa"/>
            <w:vMerge w:val="continue"/>
            <w:tcBorders>
              <w:tl2br w:val="nil"/>
              <w:tr2bl w:val="nil"/>
            </w:tcBorders>
            <w:vAlign w:val="center"/>
          </w:tcPr>
          <w:p w14:paraId="58DC7BE1">
            <w:pPr>
              <w:adjustRightInd w:val="0"/>
              <w:snapToGrid w:val="0"/>
              <w:spacing w:line="240" w:lineRule="auto"/>
              <w:jc w:val="center"/>
              <w:rPr>
                <w:sz w:val="21"/>
                <w:szCs w:val="21"/>
              </w:rPr>
            </w:pPr>
          </w:p>
        </w:tc>
        <w:tc>
          <w:tcPr>
            <w:tcW w:w="1089" w:type="dxa"/>
            <w:vMerge w:val="continue"/>
            <w:tcBorders>
              <w:tl2br w:val="nil"/>
              <w:tr2bl w:val="nil"/>
            </w:tcBorders>
            <w:vAlign w:val="center"/>
          </w:tcPr>
          <w:p w14:paraId="3751800A">
            <w:pPr>
              <w:adjustRightInd w:val="0"/>
              <w:snapToGrid w:val="0"/>
              <w:spacing w:line="240" w:lineRule="auto"/>
              <w:jc w:val="center"/>
              <w:rPr>
                <w:sz w:val="21"/>
                <w:szCs w:val="21"/>
              </w:rPr>
            </w:pPr>
          </w:p>
        </w:tc>
        <w:tc>
          <w:tcPr>
            <w:tcW w:w="1151" w:type="dxa"/>
            <w:tcBorders>
              <w:tl2br w:val="nil"/>
              <w:tr2bl w:val="nil"/>
            </w:tcBorders>
            <w:vAlign w:val="center"/>
          </w:tcPr>
          <w:p w14:paraId="5141E966">
            <w:pPr>
              <w:adjustRightInd w:val="0"/>
              <w:snapToGrid w:val="0"/>
              <w:spacing w:line="240" w:lineRule="auto"/>
              <w:jc w:val="center"/>
              <w:rPr>
                <w:sz w:val="21"/>
                <w:szCs w:val="21"/>
              </w:rPr>
            </w:pPr>
            <w:r>
              <w:rPr>
                <w:sz w:val="21"/>
                <w:szCs w:val="21"/>
              </w:rPr>
              <w:t>声压级/dB(A)</w:t>
            </w:r>
          </w:p>
        </w:tc>
        <w:tc>
          <w:tcPr>
            <w:tcW w:w="769" w:type="dxa"/>
            <w:tcBorders>
              <w:tl2br w:val="nil"/>
              <w:tr2bl w:val="nil"/>
            </w:tcBorders>
            <w:vAlign w:val="center"/>
          </w:tcPr>
          <w:p w14:paraId="162260D4">
            <w:pPr>
              <w:adjustRightInd w:val="0"/>
              <w:snapToGrid w:val="0"/>
              <w:spacing w:line="240" w:lineRule="auto"/>
              <w:jc w:val="center"/>
              <w:rPr>
                <w:sz w:val="21"/>
                <w:szCs w:val="21"/>
              </w:rPr>
            </w:pPr>
            <w:r>
              <w:rPr>
                <w:sz w:val="21"/>
                <w:szCs w:val="21"/>
              </w:rPr>
              <w:t>建筑物外距离</w:t>
            </w:r>
          </w:p>
        </w:tc>
      </w:tr>
      <w:tr w14:paraId="44A42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742CB988">
            <w:pPr>
              <w:adjustRightInd w:val="0"/>
              <w:snapToGrid w:val="0"/>
              <w:spacing w:line="240" w:lineRule="auto"/>
              <w:jc w:val="center"/>
              <w:rPr>
                <w:sz w:val="21"/>
                <w:szCs w:val="21"/>
              </w:rPr>
            </w:pPr>
            <w:r>
              <w:rPr>
                <w:rFonts w:hint="eastAsia"/>
                <w:sz w:val="21"/>
                <w:szCs w:val="21"/>
              </w:rPr>
              <w:t>1</w:t>
            </w:r>
          </w:p>
        </w:tc>
        <w:tc>
          <w:tcPr>
            <w:tcW w:w="629" w:type="dxa"/>
            <w:vMerge w:val="restart"/>
            <w:tcBorders>
              <w:tl2br w:val="nil"/>
              <w:tr2bl w:val="nil"/>
            </w:tcBorders>
            <w:vAlign w:val="center"/>
          </w:tcPr>
          <w:p w14:paraId="7A21E7F4">
            <w:pPr>
              <w:adjustRightInd w:val="0"/>
              <w:snapToGrid w:val="0"/>
              <w:spacing w:line="240" w:lineRule="auto"/>
              <w:jc w:val="center"/>
              <w:rPr>
                <w:sz w:val="21"/>
                <w:szCs w:val="21"/>
              </w:rPr>
            </w:pPr>
            <w:r>
              <w:rPr>
                <w:rFonts w:hint="eastAsia"/>
                <w:sz w:val="21"/>
                <w:szCs w:val="21"/>
              </w:rPr>
              <w:t>3车间</w:t>
            </w:r>
          </w:p>
        </w:tc>
        <w:tc>
          <w:tcPr>
            <w:tcW w:w="480" w:type="dxa"/>
            <w:vMerge w:val="restart"/>
            <w:tcBorders>
              <w:tl2br w:val="nil"/>
              <w:tr2bl w:val="nil"/>
            </w:tcBorders>
            <w:vAlign w:val="center"/>
          </w:tcPr>
          <w:p w14:paraId="1E397E98">
            <w:pPr>
              <w:adjustRightInd w:val="0"/>
              <w:snapToGrid w:val="0"/>
              <w:spacing w:line="240" w:lineRule="auto"/>
              <w:jc w:val="center"/>
              <w:rPr>
                <w:sz w:val="21"/>
                <w:szCs w:val="21"/>
              </w:rPr>
            </w:pPr>
            <w:r>
              <w:rPr>
                <w:rFonts w:hint="eastAsia"/>
                <w:sz w:val="21"/>
                <w:szCs w:val="21"/>
              </w:rPr>
              <w:t>印刷机</w:t>
            </w:r>
          </w:p>
        </w:tc>
        <w:tc>
          <w:tcPr>
            <w:tcW w:w="1534" w:type="dxa"/>
            <w:tcBorders>
              <w:tl2br w:val="nil"/>
              <w:tr2bl w:val="nil"/>
            </w:tcBorders>
            <w:vAlign w:val="center"/>
          </w:tcPr>
          <w:p w14:paraId="09FCFA63">
            <w:pPr>
              <w:adjustRightInd w:val="0"/>
              <w:snapToGrid w:val="0"/>
              <w:spacing w:line="240" w:lineRule="auto"/>
              <w:jc w:val="center"/>
              <w:rPr>
                <w:sz w:val="21"/>
                <w:szCs w:val="21"/>
              </w:rPr>
            </w:pPr>
            <w:r>
              <w:rPr>
                <w:rFonts w:hint="eastAsia"/>
                <w:sz w:val="21"/>
                <w:szCs w:val="21"/>
              </w:rPr>
              <w:t>/</w:t>
            </w:r>
          </w:p>
        </w:tc>
        <w:tc>
          <w:tcPr>
            <w:tcW w:w="708" w:type="dxa"/>
            <w:tcBorders>
              <w:tl2br w:val="nil"/>
              <w:tr2bl w:val="nil"/>
            </w:tcBorders>
            <w:vAlign w:val="center"/>
          </w:tcPr>
          <w:p w14:paraId="406EB035">
            <w:pPr>
              <w:adjustRightInd w:val="0"/>
              <w:snapToGrid w:val="0"/>
              <w:spacing w:line="240" w:lineRule="auto"/>
              <w:jc w:val="center"/>
              <w:rPr>
                <w:sz w:val="21"/>
                <w:szCs w:val="21"/>
              </w:rPr>
            </w:pPr>
            <w:r>
              <w:rPr>
                <w:rFonts w:hint="eastAsia"/>
                <w:sz w:val="21"/>
                <w:szCs w:val="21"/>
              </w:rPr>
              <w:t>1台</w:t>
            </w:r>
          </w:p>
        </w:tc>
        <w:tc>
          <w:tcPr>
            <w:tcW w:w="1216" w:type="dxa"/>
            <w:vMerge w:val="restart"/>
            <w:tcBorders>
              <w:tl2br w:val="nil"/>
              <w:tr2bl w:val="nil"/>
            </w:tcBorders>
            <w:vAlign w:val="center"/>
          </w:tcPr>
          <w:p w14:paraId="39BB5E17">
            <w:pPr>
              <w:adjustRightInd w:val="0"/>
              <w:snapToGrid w:val="0"/>
              <w:spacing w:line="240" w:lineRule="auto"/>
              <w:jc w:val="center"/>
              <w:rPr>
                <w:sz w:val="21"/>
                <w:szCs w:val="21"/>
              </w:rPr>
            </w:pPr>
            <w:r>
              <w:rPr>
                <w:rFonts w:hint="eastAsia"/>
                <w:sz w:val="21"/>
                <w:szCs w:val="21"/>
              </w:rPr>
              <w:t>80~90</w:t>
            </w:r>
          </w:p>
          <w:p w14:paraId="5A7BC54E">
            <w:pPr>
              <w:adjustRightInd w:val="0"/>
              <w:snapToGrid w:val="0"/>
              <w:spacing w:line="240" w:lineRule="auto"/>
              <w:jc w:val="center"/>
              <w:rPr>
                <w:sz w:val="21"/>
                <w:szCs w:val="21"/>
              </w:rPr>
            </w:pPr>
            <w:r>
              <w:rPr>
                <w:rFonts w:hint="eastAsia"/>
                <w:sz w:val="21"/>
                <w:szCs w:val="21"/>
              </w:rPr>
              <w:t>叠加后92.8</w:t>
            </w:r>
          </w:p>
        </w:tc>
        <w:tc>
          <w:tcPr>
            <w:tcW w:w="645" w:type="dxa"/>
            <w:vMerge w:val="restart"/>
            <w:tcBorders>
              <w:tl2br w:val="nil"/>
              <w:tr2bl w:val="nil"/>
            </w:tcBorders>
            <w:vAlign w:val="center"/>
          </w:tcPr>
          <w:p w14:paraId="037384B1">
            <w:pPr>
              <w:adjustRightInd w:val="0"/>
              <w:snapToGrid w:val="0"/>
              <w:spacing w:line="240" w:lineRule="auto"/>
              <w:jc w:val="center"/>
              <w:rPr>
                <w:color w:val="FF0000"/>
                <w:sz w:val="21"/>
                <w:szCs w:val="21"/>
              </w:rPr>
            </w:pPr>
            <w:r>
              <w:rPr>
                <w:rFonts w:hint="eastAsia"/>
                <w:sz w:val="21"/>
                <w:szCs w:val="21"/>
              </w:rPr>
              <w:t>减震</w:t>
            </w:r>
          </w:p>
        </w:tc>
        <w:tc>
          <w:tcPr>
            <w:tcW w:w="786" w:type="dxa"/>
            <w:vMerge w:val="restart"/>
            <w:tcBorders>
              <w:tl2br w:val="nil"/>
              <w:tr2bl w:val="nil"/>
            </w:tcBorders>
            <w:vAlign w:val="center"/>
          </w:tcPr>
          <w:p w14:paraId="068C05F9">
            <w:pPr>
              <w:adjustRightInd w:val="0"/>
              <w:snapToGrid w:val="0"/>
              <w:spacing w:line="240" w:lineRule="auto"/>
              <w:jc w:val="center"/>
              <w:rPr>
                <w:sz w:val="21"/>
                <w:szCs w:val="21"/>
              </w:rPr>
            </w:pPr>
            <w:r>
              <w:rPr>
                <w:rFonts w:hint="eastAsia"/>
                <w:sz w:val="21"/>
                <w:szCs w:val="21"/>
              </w:rPr>
              <w:t>-20.9</w:t>
            </w:r>
          </w:p>
        </w:tc>
        <w:tc>
          <w:tcPr>
            <w:tcW w:w="828" w:type="dxa"/>
            <w:vMerge w:val="restart"/>
            <w:tcBorders>
              <w:tl2br w:val="nil"/>
              <w:tr2bl w:val="nil"/>
            </w:tcBorders>
            <w:vAlign w:val="center"/>
          </w:tcPr>
          <w:p w14:paraId="5D59A57B">
            <w:pPr>
              <w:adjustRightInd w:val="0"/>
              <w:snapToGrid w:val="0"/>
              <w:spacing w:line="240" w:lineRule="auto"/>
              <w:jc w:val="center"/>
              <w:rPr>
                <w:sz w:val="21"/>
                <w:szCs w:val="21"/>
              </w:rPr>
            </w:pPr>
            <w:r>
              <w:rPr>
                <w:rFonts w:hint="eastAsia"/>
                <w:sz w:val="21"/>
                <w:szCs w:val="21"/>
              </w:rPr>
              <w:t>16.4</w:t>
            </w:r>
          </w:p>
        </w:tc>
        <w:tc>
          <w:tcPr>
            <w:tcW w:w="755" w:type="dxa"/>
            <w:vMerge w:val="restart"/>
            <w:tcBorders>
              <w:tl2br w:val="nil"/>
              <w:tr2bl w:val="nil"/>
            </w:tcBorders>
            <w:vAlign w:val="center"/>
          </w:tcPr>
          <w:p w14:paraId="19C7564E">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69F4C833">
            <w:pPr>
              <w:adjustRightInd w:val="0"/>
              <w:snapToGrid w:val="0"/>
              <w:spacing w:line="240" w:lineRule="auto"/>
              <w:jc w:val="center"/>
              <w:rPr>
                <w:sz w:val="21"/>
                <w:szCs w:val="21"/>
              </w:rPr>
            </w:pPr>
            <w:r>
              <w:rPr>
                <w:rFonts w:hint="eastAsia"/>
                <w:sz w:val="21"/>
                <w:szCs w:val="21"/>
              </w:rPr>
              <w:t>E：33.5</w:t>
            </w:r>
          </w:p>
        </w:tc>
        <w:tc>
          <w:tcPr>
            <w:tcW w:w="1145" w:type="dxa"/>
            <w:tcBorders>
              <w:tl2br w:val="nil"/>
              <w:tr2bl w:val="nil"/>
            </w:tcBorders>
            <w:vAlign w:val="center"/>
          </w:tcPr>
          <w:p w14:paraId="6721A45E">
            <w:pPr>
              <w:adjustRightInd w:val="0"/>
              <w:snapToGrid w:val="0"/>
              <w:spacing w:line="240" w:lineRule="auto"/>
              <w:jc w:val="center"/>
              <w:rPr>
                <w:sz w:val="21"/>
                <w:szCs w:val="21"/>
              </w:rPr>
            </w:pPr>
            <w:r>
              <w:rPr>
                <w:rFonts w:hint="eastAsia"/>
                <w:sz w:val="21"/>
                <w:szCs w:val="21"/>
              </w:rPr>
              <w:t>77.6</w:t>
            </w:r>
          </w:p>
        </w:tc>
        <w:tc>
          <w:tcPr>
            <w:tcW w:w="645" w:type="dxa"/>
            <w:vMerge w:val="restart"/>
            <w:tcBorders>
              <w:tl2br w:val="nil"/>
              <w:tr2bl w:val="nil"/>
            </w:tcBorders>
            <w:vAlign w:val="center"/>
          </w:tcPr>
          <w:p w14:paraId="19E96F5B">
            <w:pPr>
              <w:adjustRightInd w:val="0"/>
              <w:snapToGrid w:val="0"/>
              <w:spacing w:line="240" w:lineRule="auto"/>
              <w:jc w:val="center"/>
              <w:rPr>
                <w:sz w:val="21"/>
                <w:szCs w:val="21"/>
              </w:rPr>
            </w:pPr>
            <w:r>
              <w:rPr>
                <w:rFonts w:hint="eastAsia"/>
                <w:sz w:val="21"/>
                <w:szCs w:val="21"/>
              </w:rPr>
              <w:t>昼夜间</w:t>
            </w:r>
          </w:p>
        </w:tc>
        <w:tc>
          <w:tcPr>
            <w:tcW w:w="1089" w:type="dxa"/>
            <w:tcBorders>
              <w:tl2br w:val="nil"/>
              <w:tr2bl w:val="nil"/>
            </w:tcBorders>
            <w:vAlign w:val="center"/>
          </w:tcPr>
          <w:p w14:paraId="3F4A68CF">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2D531097">
            <w:pPr>
              <w:adjustRightInd w:val="0"/>
              <w:snapToGrid w:val="0"/>
              <w:spacing w:line="240" w:lineRule="auto"/>
              <w:jc w:val="center"/>
              <w:rPr>
                <w:sz w:val="21"/>
                <w:szCs w:val="21"/>
              </w:rPr>
            </w:pPr>
            <w:r>
              <w:rPr>
                <w:rFonts w:hint="eastAsia"/>
                <w:sz w:val="21"/>
                <w:szCs w:val="21"/>
              </w:rPr>
              <w:t>57.6</w:t>
            </w:r>
          </w:p>
        </w:tc>
        <w:tc>
          <w:tcPr>
            <w:tcW w:w="769" w:type="dxa"/>
            <w:tcBorders>
              <w:tl2br w:val="nil"/>
              <w:tr2bl w:val="nil"/>
            </w:tcBorders>
            <w:vAlign w:val="center"/>
          </w:tcPr>
          <w:p w14:paraId="07C887B6">
            <w:pPr>
              <w:adjustRightInd w:val="0"/>
              <w:snapToGrid w:val="0"/>
              <w:spacing w:line="240" w:lineRule="auto"/>
              <w:jc w:val="center"/>
              <w:rPr>
                <w:sz w:val="21"/>
                <w:szCs w:val="21"/>
              </w:rPr>
            </w:pPr>
            <w:r>
              <w:rPr>
                <w:rFonts w:hint="eastAsia"/>
                <w:sz w:val="21"/>
                <w:szCs w:val="21"/>
              </w:rPr>
              <w:t>1m</w:t>
            </w:r>
          </w:p>
        </w:tc>
      </w:tr>
      <w:tr w14:paraId="5696DC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59E871F3">
            <w:pPr>
              <w:adjustRightInd w:val="0"/>
              <w:snapToGrid w:val="0"/>
              <w:spacing w:line="240" w:lineRule="auto"/>
              <w:jc w:val="center"/>
              <w:rPr>
                <w:sz w:val="21"/>
                <w:szCs w:val="21"/>
              </w:rPr>
            </w:pPr>
          </w:p>
        </w:tc>
        <w:tc>
          <w:tcPr>
            <w:tcW w:w="629" w:type="dxa"/>
            <w:vMerge w:val="continue"/>
            <w:tcBorders>
              <w:tl2br w:val="nil"/>
              <w:tr2bl w:val="nil"/>
            </w:tcBorders>
            <w:vAlign w:val="center"/>
          </w:tcPr>
          <w:p w14:paraId="1E680944">
            <w:pPr>
              <w:adjustRightInd w:val="0"/>
              <w:snapToGrid w:val="0"/>
              <w:spacing w:line="240" w:lineRule="auto"/>
              <w:jc w:val="center"/>
              <w:rPr>
                <w:sz w:val="21"/>
                <w:szCs w:val="21"/>
              </w:rPr>
            </w:pPr>
          </w:p>
        </w:tc>
        <w:tc>
          <w:tcPr>
            <w:tcW w:w="480" w:type="dxa"/>
            <w:vMerge w:val="continue"/>
            <w:tcBorders>
              <w:tl2br w:val="nil"/>
              <w:tr2bl w:val="nil"/>
            </w:tcBorders>
            <w:vAlign w:val="center"/>
          </w:tcPr>
          <w:p w14:paraId="0176EDAD">
            <w:pPr>
              <w:adjustRightInd w:val="0"/>
              <w:snapToGrid w:val="0"/>
              <w:spacing w:line="240" w:lineRule="auto"/>
              <w:jc w:val="center"/>
              <w:rPr>
                <w:sz w:val="21"/>
                <w:szCs w:val="21"/>
              </w:rPr>
            </w:pPr>
          </w:p>
        </w:tc>
        <w:tc>
          <w:tcPr>
            <w:tcW w:w="1534" w:type="dxa"/>
            <w:tcBorders>
              <w:tl2br w:val="nil"/>
              <w:tr2bl w:val="nil"/>
            </w:tcBorders>
            <w:vAlign w:val="center"/>
          </w:tcPr>
          <w:p w14:paraId="6713C354">
            <w:pPr>
              <w:adjustRightInd w:val="0"/>
              <w:snapToGrid w:val="0"/>
              <w:spacing w:line="240" w:lineRule="auto"/>
              <w:jc w:val="center"/>
              <w:rPr>
                <w:sz w:val="21"/>
                <w:szCs w:val="21"/>
              </w:rPr>
            </w:pPr>
            <w:r>
              <w:rPr>
                <w:sz w:val="21"/>
                <w:szCs w:val="21"/>
              </w:rPr>
              <w:t>SGF</w:t>
            </w:r>
            <w:r>
              <w:rPr>
                <w:rFonts w:hint="eastAsia"/>
                <w:sz w:val="21"/>
                <w:szCs w:val="21"/>
              </w:rPr>
              <w:t>850</w:t>
            </w:r>
            <w:r>
              <w:rPr>
                <w:sz w:val="21"/>
                <w:szCs w:val="21"/>
              </w:rPr>
              <w:t>WZA</w:t>
            </w:r>
          </w:p>
        </w:tc>
        <w:tc>
          <w:tcPr>
            <w:tcW w:w="708" w:type="dxa"/>
            <w:tcBorders>
              <w:tl2br w:val="nil"/>
              <w:tr2bl w:val="nil"/>
            </w:tcBorders>
            <w:vAlign w:val="center"/>
          </w:tcPr>
          <w:p w14:paraId="1832B618">
            <w:pPr>
              <w:adjustRightInd w:val="0"/>
              <w:snapToGrid w:val="0"/>
              <w:spacing w:line="240" w:lineRule="auto"/>
              <w:jc w:val="center"/>
              <w:rPr>
                <w:sz w:val="21"/>
                <w:szCs w:val="21"/>
              </w:rPr>
            </w:pPr>
            <w:r>
              <w:rPr>
                <w:rFonts w:hint="eastAsia"/>
                <w:sz w:val="21"/>
                <w:szCs w:val="21"/>
              </w:rPr>
              <w:t>1台</w:t>
            </w:r>
          </w:p>
        </w:tc>
        <w:tc>
          <w:tcPr>
            <w:tcW w:w="1216" w:type="dxa"/>
            <w:vMerge w:val="continue"/>
            <w:tcBorders>
              <w:tl2br w:val="nil"/>
              <w:tr2bl w:val="nil"/>
            </w:tcBorders>
            <w:vAlign w:val="center"/>
          </w:tcPr>
          <w:p w14:paraId="55931500">
            <w:pPr>
              <w:adjustRightInd w:val="0"/>
              <w:snapToGrid w:val="0"/>
              <w:spacing w:line="240" w:lineRule="auto"/>
              <w:jc w:val="center"/>
              <w:rPr>
                <w:sz w:val="21"/>
                <w:szCs w:val="21"/>
              </w:rPr>
            </w:pPr>
          </w:p>
        </w:tc>
        <w:tc>
          <w:tcPr>
            <w:tcW w:w="645" w:type="dxa"/>
            <w:vMerge w:val="continue"/>
            <w:tcBorders>
              <w:tl2br w:val="nil"/>
              <w:tr2bl w:val="nil"/>
            </w:tcBorders>
            <w:vAlign w:val="center"/>
          </w:tcPr>
          <w:p w14:paraId="14C0C9F0">
            <w:pPr>
              <w:adjustRightInd w:val="0"/>
              <w:snapToGrid w:val="0"/>
              <w:spacing w:line="240" w:lineRule="auto"/>
              <w:jc w:val="center"/>
              <w:rPr>
                <w:sz w:val="21"/>
                <w:szCs w:val="21"/>
              </w:rPr>
            </w:pPr>
          </w:p>
        </w:tc>
        <w:tc>
          <w:tcPr>
            <w:tcW w:w="786" w:type="dxa"/>
            <w:vMerge w:val="continue"/>
            <w:tcBorders>
              <w:tl2br w:val="nil"/>
              <w:tr2bl w:val="nil"/>
            </w:tcBorders>
            <w:vAlign w:val="center"/>
          </w:tcPr>
          <w:p w14:paraId="33C83A22">
            <w:pPr>
              <w:adjustRightInd w:val="0"/>
              <w:snapToGrid w:val="0"/>
              <w:spacing w:line="240" w:lineRule="auto"/>
              <w:jc w:val="center"/>
              <w:rPr>
                <w:sz w:val="21"/>
                <w:szCs w:val="21"/>
              </w:rPr>
            </w:pPr>
          </w:p>
        </w:tc>
        <w:tc>
          <w:tcPr>
            <w:tcW w:w="828" w:type="dxa"/>
            <w:vMerge w:val="continue"/>
            <w:tcBorders>
              <w:tl2br w:val="nil"/>
              <w:tr2bl w:val="nil"/>
            </w:tcBorders>
            <w:vAlign w:val="center"/>
          </w:tcPr>
          <w:p w14:paraId="29BA2CC0">
            <w:pPr>
              <w:adjustRightInd w:val="0"/>
              <w:snapToGrid w:val="0"/>
              <w:spacing w:line="240" w:lineRule="auto"/>
              <w:jc w:val="center"/>
              <w:rPr>
                <w:sz w:val="21"/>
                <w:szCs w:val="21"/>
              </w:rPr>
            </w:pPr>
          </w:p>
        </w:tc>
        <w:tc>
          <w:tcPr>
            <w:tcW w:w="755" w:type="dxa"/>
            <w:vMerge w:val="continue"/>
            <w:tcBorders>
              <w:tl2br w:val="nil"/>
              <w:tr2bl w:val="nil"/>
            </w:tcBorders>
            <w:vAlign w:val="center"/>
          </w:tcPr>
          <w:p w14:paraId="0544F2B8">
            <w:pPr>
              <w:adjustRightInd w:val="0"/>
              <w:snapToGrid w:val="0"/>
              <w:spacing w:line="240" w:lineRule="auto"/>
              <w:jc w:val="center"/>
              <w:rPr>
                <w:sz w:val="21"/>
                <w:szCs w:val="21"/>
              </w:rPr>
            </w:pPr>
          </w:p>
        </w:tc>
        <w:tc>
          <w:tcPr>
            <w:tcW w:w="1382" w:type="dxa"/>
            <w:tcBorders>
              <w:tl2br w:val="nil"/>
              <w:tr2bl w:val="nil"/>
            </w:tcBorders>
            <w:vAlign w:val="center"/>
          </w:tcPr>
          <w:p w14:paraId="7D09271E">
            <w:pPr>
              <w:adjustRightInd w:val="0"/>
              <w:snapToGrid w:val="0"/>
              <w:spacing w:line="240" w:lineRule="auto"/>
              <w:jc w:val="center"/>
              <w:rPr>
                <w:sz w:val="21"/>
                <w:szCs w:val="21"/>
              </w:rPr>
            </w:pPr>
            <w:r>
              <w:rPr>
                <w:rFonts w:hint="eastAsia"/>
                <w:sz w:val="21"/>
                <w:szCs w:val="21"/>
              </w:rPr>
              <w:t>E：36.5</w:t>
            </w:r>
          </w:p>
        </w:tc>
        <w:tc>
          <w:tcPr>
            <w:tcW w:w="1145" w:type="dxa"/>
            <w:tcBorders>
              <w:tl2br w:val="nil"/>
              <w:tr2bl w:val="nil"/>
            </w:tcBorders>
            <w:vAlign w:val="center"/>
          </w:tcPr>
          <w:p w14:paraId="7341059E">
            <w:pPr>
              <w:adjustRightInd w:val="0"/>
              <w:snapToGrid w:val="0"/>
              <w:spacing w:line="240" w:lineRule="auto"/>
              <w:jc w:val="center"/>
              <w:rPr>
                <w:sz w:val="21"/>
                <w:szCs w:val="21"/>
              </w:rPr>
            </w:pPr>
            <w:r>
              <w:rPr>
                <w:rFonts w:hint="eastAsia"/>
                <w:sz w:val="21"/>
                <w:szCs w:val="21"/>
              </w:rPr>
              <w:t>77.6</w:t>
            </w:r>
          </w:p>
        </w:tc>
        <w:tc>
          <w:tcPr>
            <w:tcW w:w="645" w:type="dxa"/>
            <w:vMerge w:val="continue"/>
            <w:tcBorders>
              <w:tl2br w:val="nil"/>
              <w:tr2bl w:val="nil"/>
            </w:tcBorders>
            <w:vAlign w:val="center"/>
          </w:tcPr>
          <w:p w14:paraId="54C9A18A">
            <w:pPr>
              <w:adjustRightInd w:val="0"/>
              <w:snapToGrid w:val="0"/>
              <w:spacing w:line="240" w:lineRule="auto"/>
              <w:jc w:val="center"/>
              <w:rPr>
                <w:sz w:val="21"/>
                <w:szCs w:val="21"/>
              </w:rPr>
            </w:pPr>
          </w:p>
        </w:tc>
        <w:tc>
          <w:tcPr>
            <w:tcW w:w="1089" w:type="dxa"/>
            <w:tcBorders>
              <w:tl2br w:val="nil"/>
              <w:tr2bl w:val="nil"/>
            </w:tcBorders>
            <w:vAlign w:val="center"/>
          </w:tcPr>
          <w:p w14:paraId="1B91955D">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71CA508C">
            <w:pPr>
              <w:adjustRightInd w:val="0"/>
              <w:snapToGrid w:val="0"/>
              <w:spacing w:line="240" w:lineRule="auto"/>
              <w:jc w:val="center"/>
              <w:rPr>
                <w:sz w:val="21"/>
                <w:szCs w:val="21"/>
              </w:rPr>
            </w:pPr>
            <w:r>
              <w:rPr>
                <w:rFonts w:hint="eastAsia"/>
                <w:sz w:val="21"/>
                <w:szCs w:val="21"/>
              </w:rPr>
              <w:t>57.6</w:t>
            </w:r>
          </w:p>
        </w:tc>
        <w:tc>
          <w:tcPr>
            <w:tcW w:w="769" w:type="dxa"/>
            <w:tcBorders>
              <w:tl2br w:val="nil"/>
              <w:tr2bl w:val="nil"/>
            </w:tcBorders>
            <w:vAlign w:val="center"/>
          </w:tcPr>
          <w:p w14:paraId="59F95054">
            <w:pPr>
              <w:adjustRightInd w:val="0"/>
              <w:snapToGrid w:val="0"/>
              <w:spacing w:line="240" w:lineRule="auto"/>
              <w:jc w:val="center"/>
              <w:rPr>
                <w:sz w:val="21"/>
                <w:szCs w:val="21"/>
              </w:rPr>
            </w:pPr>
            <w:r>
              <w:rPr>
                <w:rFonts w:hint="eastAsia"/>
                <w:sz w:val="21"/>
                <w:szCs w:val="21"/>
              </w:rPr>
              <w:t>1m</w:t>
            </w:r>
          </w:p>
        </w:tc>
      </w:tr>
      <w:tr w14:paraId="12959B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12" w:type="dxa"/>
            <w:vMerge w:val="continue"/>
            <w:tcBorders>
              <w:tl2br w:val="nil"/>
              <w:tr2bl w:val="nil"/>
            </w:tcBorders>
            <w:vAlign w:val="center"/>
          </w:tcPr>
          <w:p w14:paraId="1A4394FD">
            <w:pPr>
              <w:adjustRightInd w:val="0"/>
              <w:snapToGrid w:val="0"/>
              <w:spacing w:line="240" w:lineRule="auto"/>
              <w:jc w:val="center"/>
              <w:rPr>
                <w:sz w:val="21"/>
                <w:szCs w:val="21"/>
              </w:rPr>
            </w:pPr>
          </w:p>
        </w:tc>
        <w:tc>
          <w:tcPr>
            <w:tcW w:w="629" w:type="dxa"/>
            <w:vMerge w:val="continue"/>
            <w:tcBorders>
              <w:tl2br w:val="nil"/>
              <w:tr2bl w:val="nil"/>
            </w:tcBorders>
            <w:vAlign w:val="center"/>
          </w:tcPr>
          <w:p w14:paraId="19B680A4">
            <w:pPr>
              <w:adjustRightInd w:val="0"/>
              <w:snapToGrid w:val="0"/>
              <w:spacing w:line="240" w:lineRule="auto"/>
              <w:jc w:val="center"/>
              <w:rPr>
                <w:sz w:val="21"/>
                <w:szCs w:val="21"/>
              </w:rPr>
            </w:pPr>
          </w:p>
        </w:tc>
        <w:tc>
          <w:tcPr>
            <w:tcW w:w="480" w:type="dxa"/>
            <w:vMerge w:val="continue"/>
            <w:tcBorders>
              <w:tl2br w:val="nil"/>
              <w:tr2bl w:val="nil"/>
            </w:tcBorders>
            <w:vAlign w:val="center"/>
          </w:tcPr>
          <w:p w14:paraId="2D4BDC92">
            <w:pPr>
              <w:adjustRightInd w:val="0"/>
              <w:snapToGrid w:val="0"/>
              <w:spacing w:line="240" w:lineRule="auto"/>
              <w:jc w:val="center"/>
              <w:rPr>
                <w:sz w:val="21"/>
                <w:szCs w:val="21"/>
              </w:rPr>
            </w:pPr>
          </w:p>
        </w:tc>
        <w:tc>
          <w:tcPr>
            <w:tcW w:w="1534" w:type="dxa"/>
            <w:tcBorders>
              <w:tl2br w:val="nil"/>
              <w:tr2bl w:val="nil"/>
            </w:tcBorders>
            <w:vAlign w:val="center"/>
          </w:tcPr>
          <w:p w14:paraId="3A0A74D3">
            <w:pPr>
              <w:adjustRightInd w:val="0"/>
              <w:snapToGrid w:val="0"/>
              <w:spacing w:line="240" w:lineRule="auto"/>
              <w:jc w:val="center"/>
              <w:rPr>
                <w:sz w:val="21"/>
                <w:szCs w:val="21"/>
              </w:rPr>
            </w:pPr>
            <w:r>
              <w:rPr>
                <w:sz w:val="21"/>
                <w:szCs w:val="21"/>
              </w:rPr>
              <w:t>ARB180</w:t>
            </w:r>
          </w:p>
        </w:tc>
        <w:tc>
          <w:tcPr>
            <w:tcW w:w="708" w:type="dxa"/>
            <w:tcBorders>
              <w:tl2br w:val="nil"/>
              <w:tr2bl w:val="nil"/>
            </w:tcBorders>
            <w:vAlign w:val="center"/>
          </w:tcPr>
          <w:p w14:paraId="6E07495E">
            <w:pPr>
              <w:adjustRightInd w:val="0"/>
              <w:snapToGrid w:val="0"/>
              <w:spacing w:line="240" w:lineRule="auto"/>
              <w:jc w:val="center"/>
              <w:rPr>
                <w:sz w:val="21"/>
                <w:szCs w:val="21"/>
              </w:rPr>
            </w:pPr>
            <w:r>
              <w:rPr>
                <w:rFonts w:hint="eastAsia"/>
                <w:sz w:val="21"/>
                <w:szCs w:val="21"/>
              </w:rPr>
              <w:t>1台</w:t>
            </w:r>
          </w:p>
        </w:tc>
        <w:tc>
          <w:tcPr>
            <w:tcW w:w="1216" w:type="dxa"/>
            <w:vMerge w:val="continue"/>
            <w:tcBorders>
              <w:tl2br w:val="nil"/>
              <w:tr2bl w:val="nil"/>
            </w:tcBorders>
            <w:vAlign w:val="center"/>
          </w:tcPr>
          <w:p w14:paraId="6B0375F4">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03F3162A">
            <w:pPr>
              <w:adjustRightInd w:val="0"/>
              <w:snapToGrid w:val="0"/>
              <w:spacing w:line="240" w:lineRule="auto"/>
              <w:jc w:val="center"/>
              <w:rPr>
                <w:sz w:val="21"/>
                <w:szCs w:val="21"/>
              </w:rPr>
            </w:pPr>
          </w:p>
        </w:tc>
        <w:tc>
          <w:tcPr>
            <w:tcW w:w="786" w:type="dxa"/>
            <w:vMerge w:val="continue"/>
            <w:tcBorders>
              <w:tl2br w:val="nil"/>
              <w:tr2bl w:val="nil"/>
            </w:tcBorders>
            <w:vAlign w:val="center"/>
          </w:tcPr>
          <w:p w14:paraId="64749003">
            <w:pPr>
              <w:adjustRightInd w:val="0"/>
              <w:snapToGrid w:val="0"/>
              <w:spacing w:line="240" w:lineRule="auto"/>
              <w:jc w:val="center"/>
              <w:rPr>
                <w:sz w:val="21"/>
                <w:szCs w:val="21"/>
              </w:rPr>
            </w:pPr>
          </w:p>
        </w:tc>
        <w:tc>
          <w:tcPr>
            <w:tcW w:w="828" w:type="dxa"/>
            <w:vMerge w:val="continue"/>
            <w:tcBorders>
              <w:tl2br w:val="nil"/>
              <w:tr2bl w:val="nil"/>
            </w:tcBorders>
            <w:vAlign w:val="center"/>
          </w:tcPr>
          <w:p w14:paraId="2436FCA7">
            <w:pPr>
              <w:adjustRightInd w:val="0"/>
              <w:snapToGrid w:val="0"/>
              <w:spacing w:line="240" w:lineRule="auto"/>
              <w:jc w:val="center"/>
              <w:rPr>
                <w:sz w:val="21"/>
                <w:szCs w:val="21"/>
              </w:rPr>
            </w:pPr>
          </w:p>
        </w:tc>
        <w:tc>
          <w:tcPr>
            <w:tcW w:w="755" w:type="dxa"/>
            <w:vMerge w:val="continue"/>
            <w:tcBorders>
              <w:tl2br w:val="nil"/>
              <w:tr2bl w:val="nil"/>
            </w:tcBorders>
            <w:vAlign w:val="center"/>
          </w:tcPr>
          <w:p w14:paraId="35D400E0">
            <w:pPr>
              <w:adjustRightInd w:val="0"/>
              <w:snapToGrid w:val="0"/>
              <w:spacing w:line="240" w:lineRule="auto"/>
              <w:jc w:val="center"/>
              <w:rPr>
                <w:color w:val="FF0000"/>
                <w:sz w:val="21"/>
                <w:szCs w:val="21"/>
              </w:rPr>
            </w:pPr>
          </w:p>
        </w:tc>
        <w:tc>
          <w:tcPr>
            <w:tcW w:w="1382" w:type="dxa"/>
            <w:vMerge w:val="restart"/>
            <w:tcBorders>
              <w:tl2br w:val="nil"/>
              <w:tr2bl w:val="nil"/>
            </w:tcBorders>
            <w:vAlign w:val="center"/>
          </w:tcPr>
          <w:p w14:paraId="1744AAED">
            <w:pPr>
              <w:adjustRightInd w:val="0"/>
              <w:snapToGrid w:val="0"/>
              <w:spacing w:line="240" w:lineRule="auto"/>
              <w:jc w:val="center"/>
              <w:rPr>
                <w:sz w:val="21"/>
                <w:szCs w:val="21"/>
              </w:rPr>
            </w:pPr>
            <w:r>
              <w:rPr>
                <w:rFonts w:hint="eastAsia"/>
                <w:sz w:val="21"/>
                <w:szCs w:val="21"/>
              </w:rPr>
              <w:t>S：11.6</w:t>
            </w:r>
          </w:p>
        </w:tc>
        <w:tc>
          <w:tcPr>
            <w:tcW w:w="1145" w:type="dxa"/>
            <w:vMerge w:val="restart"/>
            <w:tcBorders>
              <w:tl2br w:val="nil"/>
              <w:tr2bl w:val="nil"/>
            </w:tcBorders>
            <w:vAlign w:val="center"/>
          </w:tcPr>
          <w:p w14:paraId="3B5A1D33">
            <w:pPr>
              <w:adjustRightInd w:val="0"/>
              <w:snapToGrid w:val="0"/>
              <w:spacing w:line="240" w:lineRule="auto"/>
              <w:jc w:val="center"/>
              <w:rPr>
                <w:sz w:val="21"/>
                <w:szCs w:val="21"/>
              </w:rPr>
            </w:pPr>
            <w:r>
              <w:rPr>
                <w:rFonts w:hint="eastAsia"/>
                <w:sz w:val="21"/>
                <w:szCs w:val="21"/>
              </w:rPr>
              <w:t>77.7</w:t>
            </w:r>
          </w:p>
        </w:tc>
        <w:tc>
          <w:tcPr>
            <w:tcW w:w="645" w:type="dxa"/>
            <w:vMerge w:val="continue"/>
            <w:tcBorders>
              <w:tl2br w:val="nil"/>
              <w:tr2bl w:val="nil"/>
            </w:tcBorders>
            <w:vAlign w:val="center"/>
          </w:tcPr>
          <w:p w14:paraId="08A30F93">
            <w:pPr>
              <w:adjustRightInd w:val="0"/>
              <w:snapToGrid w:val="0"/>
              <w:spacing w:line="240" w:lineRule="auto"/>
              <w:jc w:val="center"/>
              <w:rPr>
                <w:color w:val="FF0000"/>
                <w:sz w:val="21"/>
                <w:szCs w:val="21"/>
              </w:rPr>
            </w:pPr>
          </w:p>
        </w:tc>
        <w:tc>
          <w:tcPr>
            <w:tcW w:w="1089" w:type="dxa"/>
            <w:vMerge w:val="restart"/>
            <w:tcBorders>
              <w:tl2br w:val="nil"/>
              <w:tr2bl w:val="nil"/>
            </w:tcBorders>
            <w:vAlign w:val="center"/>
          </w:tcPr>
          <w:p w14:paraId="60299D5C">
            <w:pPr>
              <w:adjustRightInd w:val="0"/>
              <w:snapToGrid w:val="0"/>
              <w:spacing w:line="240" w:lineRule="auto"/>
              <w:jc w:val="center"/>
              <w:rPr>
                <w:sz w:val="21"/>
                <w:szCs w:val="21"/>
              </w:rPr>
            </w:pPr>
            <w:r>
              <w:rPr>
                <w:rFonts w:hint="eastAsia"/>
                <w:sz w:val="21"/>
                <w:szCs w:val="21"/>
              </w:rPr>
              <w:t>20</w:t>
            </w:r>
          </w:p>
        </w:tc>
        <w:tc>
          <w:tcPr>
            <w:tcW w:w="1151" w:type="dxa"/>
            <w:vMerge w:val="restart"/>
            <w:tcBorders>
              <w:tl2br w:val="nil"/>
              <w:tr2bl w:val="nil"/>
            </w:tcBorders>
            <w:vAlign w:val="center"/>
          </w:tcPr>
          <w:p w14:paraId="2E0C09D4">
            <w:pPr>
              <w:adjustRightInd w:val="0"/>
              <w:snapToGrid w:val="0"/>
              <w:spacing w:line="240" w:lineRule="auto"/>
              <w:jc w:val="center"/>
              <w:rPr>
                <w:sz w:val="21"/>
                <w:szCs w:val="21"/>
              </w:rPr>
            </w:pPr>
            <w:r>
              <w:rPr>
                <w:rFonts w:hint="eastAsia"/>
                <w:sz w:val="21"/>
                <w:szCs w:val="21"/>
              </w:rPr>
              <w:t>57.7</w:t>
            </w:r>
          </w:p>
        </w:tc>
        <w:tc>
          <w:tcPr>
            <w:tcW w:w="769" w:type="dxa"/>
            <w:vMerge w:val="restart"/>
            <w:tcBorders>
              <w:tl2br w:val="nil"/>
              <w:tr2bl w:val="nil"/>
            </w:tcBorders>
            <w:vAlign w:val="center"/>
          </w:tcPr>
          <w:p w14:paraId="59FFD99A">
            <w:pPr>
              <w:adjustRightInd w:val="0"/>
              <w:snapToGrid w:val="0"/>
              <w:spacing w:line="240" w:lineRule="auto"/>
              <w:jc w:val="center"/>
              <w:rPr>
                <w:sz w:val="21"/>
                <w:szCs w:val="21"/>
              </w:rPr>
            </w:pPr>
            <w:r>
              <w:rPr>
                <w:rFonts w:hint="eastAsia"/>
                <w:sz w:val="21"/>
                <w:szCs w:val="21"/>
              </w:rPr>
              <w:t>1m</w:t>
            </w:r>
          </w:p>
        </w:tc>
      </w:tr>
      <w:tr w14:paraId="38BA3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2" w:type="dxa"/>
            <w:vMerge w:val="continue"/>
            <w:tcBorders>
              <w:tl2br w:val="nil"/>
              <w:tr2bl w:val="nil"/>
            </w:tcBorders>
            <w:vAlign w:val="center"/>
          </w:tcPr>
          <w:p w14:paraId="1C396C7B">
            <w:pPr>
              <w:adjustRightInd w:val="0"/>
              <w:snapToGrid w:val="0"/>
              <w:spacing w:line="240" w:lineRule="auto"/>
              <w:jc w:val="center"/>
              <w:rPr>
                <w:sz w:val="21"/>
                <w:szCs w:val="21"/>
              </w:rPr>
            </w:pPr>
          </w:p>
        </w:tc>
        <w:tc>
          <w:tcPr>
            <w:tcW w:w="629" w:type="dxa"/>
            <w:vMerge w:val="continue"/>
            <w:tcBorders>
              <w:tl2br w:val="nil"/>
              <w:tr2bl w:val="nil"/>
            </w:tcBorders>
            <w:vAlign w:val="center"/>
          </w:tcPr>
          <w:p w14:paraId="7194A07D">
            <w:pPr>
              <w:adjustRightInd w:val="0"/>
              <w:snapToGrid w:val="0"/>
              <w:spacing w:line="240" w:lineRule="auto"/>
              <w:jc w:val="center"/>
              <w:rPr>
                <w:sz w:val="21"/>
                <w:szCs w:val="21"/>
              </w:rPr>
            </w:pPr>
          </w:p>
        </w:tc>
        <w:tc>
          <w:tcPr>
            <w:tcW w:w="480" w:type="dxa"/>
            <w:vMerge w:val="continue"/>
            <w:tcBorders>
              <w:tl2br w:val="nil"/>
              <w:tr2bl w:val="nil"/>
            </w:tcBorders>
            <w:vAlign w:val="center"/>
          </w:tcPr>
          <w:p w14:paraId="2689C115">
            <w:pPr>
              <w:adjustRightInd w:val="0"/>
              <w:snapToGrid w:val="0"/>
              <w:spacing w:line="240" w:lineRule="auto"/>
              <w:jc w:val="center"/>
              <w:rPr>
                <w:sz w:val="21"/>
                <w:szCs w:val="21"/>
              </w:rPr>
            </w:pPr>
          </w:p>
        </w:tc>
        <w:tc>
          <w:tcPr>
            <w:tcW w:w="1534" w:type="dxa"/>
            <w:tcBorders>
              <w:tl2br w:val="nil"/>
              <w:tr2bl w:val="nil"/>
            </w:tcBorders>
            <w:vAlign w:val="center"/>
          </w:tcPr>
          <w:p w14:paraId="2ED1B9B6">
            <w:pPr>
              <w:adjustRightInd w:val="0"/>
              <w:snapToGrid w:val="0"/>
              <w:spacing w:line="240" w:lineRule="auto"/>
              <w:jc w:val="center"/>
              <w:rPr>
                <w:sz w:val="21"/>
                <w:szCs w:val="21"/>
              </w:rPr>
            </w:pPr>
            <w:r>
              <w:rPr>
                <w:sz w:val="21"/>
                <w:szCs w:val="21"/>
              </w:rPr>
              <w:t>YA1001250FWZ</w:t>
            </w:r>
          </w:p>
        </w:tc>
        <w:tc>
          <w:tcPr>
            <w:tcW w:w="708" w:type="dxa"/>
            <w:tcBorders>
              <w:tl2br w:val="nil"/>
              <w:tr2bl w:val="nil"/>
            </w:tcBorders>
            <w:vAlign w:val="center"/>
          </w:tcPr>
          <w:p w14:paraId="1E0A2BAE">
            <w:pPr>
              <w:adjustRightInd w:val="0"/>
              <w:snapToGrid w:val="0"/>
              <w:spacing w:line="240" w:lineRule="auto"/>
              <w:jc w:val="center"/>
              <w:rPr>
                <w:sz w:val="21"/>
                <w:szCs w:val="21"/>
              </w:rPr>
            </w:pPr>
            <w:r>
              <w:rPr>
                <w:rFonts w:hint="eastAsia"/>
                <w:sz w:val="21"/>
                <w:szCs w:val="21"/>
              </w:rPr>
              <w:t>1台</w:t>
            </w:r>
          </w:p>
        </w:tc>
        <w:tc>
          <w:tcPr>
            <w:tcW w:w="1216" w:type="dxa"/>
            <w:vMerge w:val="continue"/>
            <w:tcBorders>
              <w:tl2br w:val="nil"/>
              <w:tr2bl w:val="nil"/>
            </w:tcBorders>
            <w:vAlign w:val="center"/>
          </w:tcPr>
          <w:p w14:paraId="4F787E8E">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7D5F6EB8">
            <w:pPr>
              <w:adjustRightInd w:val="0"/>
              <w:snapToGrid w:val="0"/>
              <w:spacing w:line="240" w:lineRule="auto"/>
              <w:jc w:val="center"/>
              <w:rPr>
                <w:sz w:val="21"/>
                <w:szCs w:val="21"/>
              </w:rPr>
            </w:pPr>
          </w:p>
        </w:tc>
        <w:tc>
          <w:tcPr>
            <w:tcW w:w="786" w:type="dxa"/>
            <w:vMerge w:val="continue"/>
            <w:tcBorders>
              <w:tl2br w:val="nil"/>
              <w:tr2bl w:val="nil"/>
            </w:tcBorders>
            <w:vAlign w:val="center"/>
          </w:tcPr>
          <w:p w14:paraId="44B9C295">
            <w:pPr>
              <w:adjustRightInd w:val="0"/>
              <w:snapToGrid w:val="0"/>
              <w:spacing w:line="240" w:lineRule="auto"/>
              <w:jc w:val="center"/>
              <w:rPr>
                <w:sz w:val="21"/>
                <w:szCs w:val="21"/>
              </w:rPr>
            </w:pPr>
          </w:p>
        </w:tc>
        <w:tc>
          <w:tcPr>
            <w:tcW w:w="828" w:type="dxa"/>
            <w:vMerge w:val="continue"/>
            <w:tcBorders>
              <w:tl2br w:val="nil"/>
              <w:tr2bl w:val="nil"/>
            </w:tcBorders>
            <w:vAlign w:val="center"/>
          </w:tcPr>
          <w:p w14:paraId="330B6467">
            <w:pPr>
              <w:adjustRightInd w:val="0"/>
              <w:snapToGrid w:val="0"/>
              <w:spacing w:line="240" w:lineRule="auto"/>
              <w:jc w:val="center"/>
              <w:rPr>
                <w:sz w:val="21"/>
                <w:szCs w:val="21"/>
              </w:rPr>
            </w:pPr>
          </w:p>
        </w:tc>
        <w:tc>
          <w:tcPr>
            <w:tcW w:w="755" w:type="dxa"/>
            <w:vMerge w:val="continue"/>
            <w:tcBorders>
              <w:tl2br w:val="nil"/>
              <w:tr2bl w:val="nil"/>
            </w:tcBorders>
            <w:vAlign w:val="center"/>
          </w:tcPr>
          <w:p w14:paraId="4338601D">
            <w:pPr>
              <w:adjustRightInd w:val="0"/>
              <w:snapToGrid w:val="0"/>
              <w:spacing w:line="240" w:lineRule="auto"/>
              <w:jc w:val="center"/>
              <w:rPr>
                <w:color w:val="FF0000"/>
                <w:sz w:val="21"/>
                <w:szCs w:val="21"/>
              </w:rPr>
            </w:pPr>
          </w:p>
        </w:tc>
        <w:tc>
          <w:tcPr>
            <w:tcW w:w="1382" w:type="dxa"/>
            <w:vMerge w:val="continue"/>
            <w:tcBorders>
              <w:tl2br w:val="nil"/>
              <w:tr2bl w:val="nil"/>
            </w:tcBorders>
            <w:vAlign w:val="center"/>
          </w:tcPr>
          <w:p w14:paraId="798A9FFA">
            <w:pPr>
              <w:adjustRightInd w:val="0"/>
              <w:snapToGrid w:val="0"/>
              <w:spacing w:line="240" w:lineRule="auto"/>
              <w:jc w:val="center"/>
              <w:rPr>
                <w:sz w:val="21"/>
                <w:szCs w:val="21"/>
              </w:rPr>
            </w:pPr>
          </w:p>
        </w:tc>
        <w:tc>
          <w:tcPr>
            <w:tcW w:w="1145" w:type="dxa"/>
            <w:vMerge w:val="continue"/>
            <w:tcBorders>
              <w:tl2br w:val="nil"/>
              <w:tr2bl w:val="nil"/>
            </w:tcBorders>
            <w:vAlign w:val="center"/>
          </w:tcPr>
          <w:p w14:paraId="7BD92038">
            <w:pPr>
              <w:adjustRightInd w:val="0"/>
              <w:snapToGrid w:val="0"/>
              <w:spacing w:line="240" w:lineRule="auto"/>
              <w:jc w:val="center"/>
              <w:rPr>
                <w:sz w:val="21"/>
                <w:szCs w:val="21"/>
              </w:rPr>
            </w:pPr>
          </w:p>
        </w:tc>
        <w:tc>
          <w:tcPr>
            <w:tcW w:w="645" w:type="dxa"/>
            <w:vMerge w:val="continue"/>
            <w:tcBorders>
              <w:tl2br w:val="nil"/>
              <w:tr2bl w:val="nil"/>
            </w:tcBorders>
            <w:vAlign w:val="center"/>
          </w:tcPr>
          <w:p w14:paraId="793AA33E">
            <w:pPr>
              <w:adjustRightInd w:val="0"/>
              <w:snapToGrid w:val="0"/>
              <w:spacing w:line="240" w:lineRule="auto"/>
              <w:jc w:val="center"/>
              <w:rPr>
                <w:color w:val="FF0000"/>
                <w:sz w:val="21"/>
                <w:szCs w:val="21"/>
              </w:rPr>
            </w:pPr>
          </w:p>
        </w:tc>
        <w:tc>
          <w:tcPr>
            <w:tcW w:w="1089" w:type="dxa"/>
            <w:vMerge w:val="continue"/>
            <w:tcBorders>
              <w:tl2br w:val="nil"/>
              <w:tr2bl w:val="nil"/>
            </w:tcBorders>
            <w:vAlign w:val="center"/>
          </w:tcPr>
          <w:p w14:paraId="0662B1B3">
            <w:pPr>
              <w:adjustRightInd w:val="0"/>
              <w:snapToGrid w:val="0"/>
              <w:spacing w:line="240" w:lineRule="auto"/>
              <w:jc w:val="center"/>
              <w:rPr>
                <w:sz w:val="21"/>
                <w:szCs w:val="21"/>
              </w:rPr>
            </w:pPr>
          </w:p>
        </w:tc>
        <w:tc>
          <w:tcPr>
            <w:tcW w:w="1151" w:type="dxa"/>
            <w:vMerge w:val="continue"/>
            <w:tcBorders>
              <w:tl2br w:val="nil"/>
              <w:tr2bl w:val="nil"/>
            </w:tcBorders>
            <w:vAlign w:val="center"/>
          </w:tcPr>
          <w:p w14:paraId="5D8F3771">
            <w:pPr>
              <w:adjustRightInd w:val="0"/>
              <w:snapToGrid w:val="0"/>
              <w:spacing w:line="240" w:lineRule="auto"/>
              <w:jc w:val="center"/>
              <w:rPr>
                <w:sz w:val="21"/>
                <w:szCs w:val="21"/>
              </w:rPr>
            </w:pPr>
          </w:p>
        </w:tc>
        <w:tc>
          <w:tcPr>
            <w:tcW w:w="769" w:type="dxa"/>
            <w:vMerge w:val="continue"/>
            <w:tcBorders>
              <w:tl2br w:val="nil"/>
              <w:tr2bl w:val="nil"/>
            </w:tcBorders>
            <w:vAlign w:val="center"/>
          </w:tcPr>
          <w:p w14:paraId="27D385AF">
            <w:pPr>
              <w:adjustRightInd w:val="0"/>
              <w:snapToGrid w:val="0"/>
              <w:spacing w:line="240" w:lineRule="auto"/>
              <w:jc w:val="center"/>
              <w:rPr>
                <w:sz w:val="21"/>
                <w:szCs w:val="21"/>
              </w:rPr>
            </w:pPr>
          </w:p>
        </w:tc>
      </w:tr>
      <w:tr w14:paraId="4A9818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36B6D90E">
            <w:pPr>
              <w:adjustRightInd w:val="0"/>
              <w:snapToGrid w:val="0"/>
              <w:spacing w:line="240" w:lineRule="auto"/>
              <w:jc w:val="center"/>
              <w:rPr>
                <w:sz w:val="21"/>
                <w:szCs w:val="21"/>
              </w:rPr>
            </w:pPr>
          </w:p>
        </w:tc>
        <w:tc>
          <w:tcPr>
            <w:tcW w:w="629" w:type="dxa"/>
            <w:vMerge w:val="continue"/>
            <w:tcBorders>
              <w:tl2br w:val="nil"/>
              <w:tr2bl w:val="nil"/>
            </w:tcBorders>
            <w:vAlign w:val="center"/>
          </w:tcPr>
          <w:p w14:paraId="5A2CDDF8">
            <w:pPr>
              <w:adjustRightInd w:val="0"/>
              <w:snapToGrid w:val="0"/>
              <w:spacing w:line="240" w:lineRule="auto"/>
              <w:jc w:val="center"/>
              <w:rPr>
                <w:sz w:val="21"/>
                <w:szCs w:val="21"/>
              </w:rPr>
            </w:pPr>
          </w:p>
        </w:tc>
        <w:tc>
          <w:tcPr>
            <w:tcW w:w="480" w:type="dxa"/>
            <w:vMerge w:val="continue"/>
            <w:tcBorders>
              <w:tl2br w:val="nil"/>
              <w:tr2bl w:val="nil"/>
            </w:tcBorders>
            <w:vAlign w:val="center"/>
          </w:tcPr>
          <w:p w14:paraId="551D9120">
            <w:pPr>
              <w:adjustRightInd w:val="0"/>
              <w:snapToGrid w:val="0"/>
              <w:spacing w:line="240" w:lineRule="auto"/>
              <w:jc w:val="center"/>
              <w:rPr>
                <w:sz w:val="21"/>
                <w:szCs w:val="21"/>
              </w:rPr>
            </w:pPr>
          </w:p>
        </w:tc>
        <w:tc>
          <w:tcPr>
            <w:tcW w:w="1534" w:type="dxa"/>
            <w:tcBorders>
              <w:tl2br w:val="nil"/>
              <w:tr2bl w:val="nil"/>
            </w:tcBorders>
            <w:vAlign w:val="center"/>
          </w:tcPr>
          <w:p w14:paraId="612EA6B7">
            <w:pPr>
              <w:adjustRightInd w:val="0"/>
              <w:snapToGrid w:val="0"/>
              <w:spacing w:line="240" w:lineRule="auto"/>
              <w:jc w:val="center"/>
              <w:rPr>
                <w:sz w:val="21"/>
                <w:szCs w:val="21"/>
              </w:rPr>
            </w:pPr>
            <w:r>
              <w:rPr>
                <w:rFonts w:hint="eastAsia"/>
                <w:sz w:val="21"/>
                <w:szCs w:val="21"/>
              </w:rPr>
              <w:t>RS3.O</w:t>
            </w:r>
          </w:p>
        </w:tc>
        <w:tc>
          <w:tcPr>
            <w:tcW w:w="708" w:type="dxa"/>
            <w:tcBorders>
              <w:tl2br w:val="nil"/>
              <w:tr2bl w:val="nil"/>
            </w:tcBorders>
            <w:vAlign w:val="center"/>
          </w:tcPr>
          <w:p w14:paraId="665B3875">
            <w:pPr>
              <w:adjustRightInd w:val="0"/>
              <w:snapToGrid w:val="0"/>
              <w:spacing w:line="240" w:lineRule="auto"/>
              <w:jc w:val="center"/>
              <w:rPr>
                <w:color w:val="FF0000"/>
                <w:sz w:val="21"/>
                <w:szCs w:val="21"/>
              </w:rPr>
            </w:pPr>
            <w:r>
              <w:rPr>
                <w:rFonts w:hint="eastAsia"/>
                <w:sz w:val="21"/>
                <w:szCs w:val="21"/>
              </w:rPr>
              <w:t>2台</w:t>
            </w:r>
          </w:p>
        </w:tc>
        <w:tc>
          <w:tcPr>
            <w:tcW w:w="1216" w:type="dxa"/>
            <w:vMerge w:val="continue"/>
            <w:tcBorders>
              <w:tl2br w:val="nil"/>
              <w:tr2bl w:val="nil"/>
            </w:tcBorders>
            <w:vAlign w:val="center"/>
          </w:tcPr>
          <w:p w14:paraId="371B8228">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390FD30A">
            <w:pPr>
              <w:adjustRightInd w:val="0"/>
              <w:snapToGrid w:val="0"/>
              <w:spacing w:line="240" w:lineRule="auto"/>
              <w:jc w:val="center"/>
              <w:rPr>
                <w:sz w:val="21"/>
                <w:szCs w:val="21"/>
              </w:rPr>
            </w:pPr>
          </w:p>
        </w:tc>
        <w:tc>
          <w:tcPr>
            <w:tcW w:w="786" w:type="dxa"/>
            <w:vMerge w:val="continue"/>
            <w:tcBorders>
              <w:tl2br w:val="nil"/>
              <w:tr2bl w:val="nil"/>
            </w:tcBorders>
            <w:vAlign w:val="center"/>
          </w:tcPr>
          <w:p w14:paraId="3DE5A857">
            <w:pPr>
              <w:adjustRightInd w:val="0"/>
              <w:snapToGrid w:val="0"/>
              <w:spacing w:line="240" w:lineRule="auto"/>
              <w:jc w:val="center"/>
              <w:rPr>
                <w:sz w:val="21"/>
                <w:szCs w:val="21"/>
              </w:rPr>
            </w:pPr>
          </w:p>
        </w:tc>
        <w:tc>
          <w:tcPr>
            <w:tcW w:w="828" w:type="dxa"/>
            <w:vMerge w:val="continue"/>
            <w:tcBorders>
              <w:tl2br w:val="nil"/>
              <w:tr2bl w:val="nil"/>
            </w:tcBorders>
            <w:vAlign w:val="center"/>
          </w:tcPr>
          <w:p w14:paraId="762DFE11">
            <w:pPr>
              <w:adjustRightInd w:val="0"/>
              <w:snapToGrid w:val="0"/>
              <w:spacing w:line="240" w:lineRule="auto"/>
              <w:jc w:val="center"/>
              <w:rPr>
                <w:sz w:val="21"/>
                <w:szCs w:val="21"/>
              </w:rPr>
            </w:pPr>
          </w:p>
        </w:tc>
        <w:tc>
          <w:tcPr>
            <w:tcW w:w="755" w:type="dxa"/>
            <w:vMerge w:val="continue"/>
            <w:tcBorders>
              <w:tl2br w:val="nil"/>
              <w:tr2bl w:val="nil"/>
            </w:tcBorders>
            <w:vAlign w:val="center"/>
          </w:tcPr>
          <w:p w14:paraId="158ACB17">
            <w:pPr>
              <w:adjustRightInd w:val="0"/>
              <w:snapToGrid w:val="0"/>
              <w:spacing w:line="240" w:lineRule="auto"/>
              <w:jc w:val="center"/>
              <w:rPr>
                <w:color w:val="FF0000"/>
                <w:sz w:val="21"/>
                <w:szCs w:val="21"/>
              </w:rPr>
            </w:pPr>
          </w:p>
        </w:tc>
        <w:tc>
          <w:tcPr>
            <w:tcW w:w="1382" w:type="dxa"/>
            <w:tcBorders>
              <w:tl2br w:val="nil"/>
              <w:tr2bl w:val="nil"/>
            </w:tcBorders>
            <w:vAlign w:val="center"/>
          </w:tcPr>
          <w:p w14:paraId="7CB2814A">
            <w:pPr>
              <w:adjustRightInd w:val="0"/>
              <w:snapToGrid w:val="0"/>
              <w:spacing w:line="240" w:lineRule="auto"/>
              <w:jc w:val="center"/>
              <w:rPr>
                <w:sz w:val="21"/>
                <w:szCs w:val="21"/>
              </w:rPr>
            </w:pPr>
            <w:r>
              <w:rPr>
                <w:rFonts w:hint="eastAsia"/>
                <w:sz w:val="21"/>
                <w:szCs w:val="21"/>
              </w:rPr>
              <w:t>W：105.1</w:t>
            </w:r>
          </w:p>
        </w:tc>
        <w:tc>
          <w:tcPr>
            <w:tcW w:w="1145" w:type="dxa"/>
            <w:tcBorders>
              <w:tl2br w:val="nil"/>
              <w:tr2bl w:val="nil"/>
            </w:tcBorders>
            <w:vAlign w:val="center"/>
          </w:tcPr>
          <w:p w14:paraId="4324D6F2">
            <w:pPr>
              <w:adjustRightInd w:val="0"/>
              <w:snapToGrid w:val="0"/>
              <w:spacing w:line="240" w:lineRule="auto"/>
              <w:jc w:val="center"/>
              <w:rPr>
                <w:sz w:val="21"/>
                <w:szCs w:val="21"/>
              </w:rPr>
            </w:pPr>
            <w:r>
              <w:rPr>
                <w:rFonts w:hint="eastAsia"/>
                <w:sz w:val="21"/>
                <w:szCs w:val="21"/>
              </w:rPr>
              <w:t>77.6</w:t>
            </w:r>
          </w:p>
        </w:tc>
        <w:tc>
          <w:tcPr>
            <w:tcW w:w="645" w:type="dxa"/>
            <w:vMerge w:val="continue"/>
            <w:tcBorders>
              <w:tl2br w:val="nil"/>
              <w:tr2bl w:val="nil"/>
            </w:tcBorders>
            <w:vAlign w:val="center"/>
          </w:tcPr>
          <w:p w14:paraId="41CC8092">
            <w:pPr>
              <w:adjustRightInd w:val="0"/>
              <w:snapToGrid w:val="0"/>
              <w:spacing w:line="240" w:lineRule="auto"/>
              <w:jc w:val="center"/>
              <w:rPr>
                <w:color w:val="FF0000"/>
                <w:sz w:val="21"/>
                <w:szCs w:val="21"/>
              </w:rPr>
            </w:pPr>
          </w:p>
        </w:tc>
        <w:tc>
          <w:tcPr>
            <w:tcW w:w="1089" w:type="dxa"/>
            <w:tcBorders>
              <w:tl2br w:val="nil"/>
              <w:tr2bl w:val="nil"/>
            </w:tcBorders>
            <w:vAlign w:val="center"/>
          </w:tcPr>
          <w:p w14:paraId="73D8EB0D">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55B3B2C2">
            <w:pPr>
              <w:adjustRightInd w:val="0"/>
              <w:snapToGrid w:val="0"/>
              <w:spacing w:line="240" w:lineRule="auto"/>
              <w:jc w:val="center"/>
              <w:rPr>
                <w:sz w:val="21"/>
                <w:szCs w:val="21"/>
              </w:rPr>
            </w:pPr>
            <w:r>
              <w:rPr>
                <w:rFonts w:hint="eastAsia"/>
                <w:sz w:val="21"/>
                <w:szCs w:val="21"/>
              </w:rPr>
              <w:t>57.6</w:t>
            </w:r>
          </w:p>
        </w:tc>
        <w:tc>
          <w:tcPr>
            <w:tcW w:w="769" w:type="dxa"/>
            <w:tcBorders>
              <w:tl2br w:val="nil"/>
              <w:tr2bl w:val="nil"/>
            </w:tcBorders>
            <w:vAlign w:val="center"/>
          </w:tcPr>
          <w:p w14:paraId="75E2E41B">
            <w:pPr>
              <w:adjustRightInd w:val="0"/>
              <w:snapToGrid w:val="0"/>
              <w:spacing w:line="240" w:lineRule="auto"/>
              <w:jc w:val="center"/>
              <w:rPr>
                <w:sz w:val="21"/>
                <w:szCs w:val="21"/>
              </w:rPr>
            </w:pPr>
            <w:r>
              <w:rPr>
                <w:rFonts w:hint="eastAsia"/>
                <w:sz w:val="21"/>
                <w:szCs w:val="21"/>
              </w:rPr>
              <w:t>1m</w:t>
            </w:r>
          </w:p>
        </w:tc>
      </w:tr>
      <w:tr w14:paraId="50D910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69212808">
            <w:pPr>
              <w:adjustRightInd w:val="0"/>
              <w:snapToGrid w:val="0"/>
              <w:spacing w:line="240" w:lineRule="auto"/>
              <w:jc w:val="center"/>
              <w:rPr>
                <w:sz w:val="21"/>
                <w:szCs w:val="21"/>
              </w:rPr>
            </w:pPr>
          </w:p>
        </w:tc>
        <w:tc>
          <w:tcPr>
            <w:tcW w:w="629" w:type="dxa"/>
            <w:vMerge w:val="continue"/>
            <w:tcBorders>
              <w:tl2br w:val="nil"/>
              <w:tr2bl w:val="nil"/>
            </w:tcBorders>
            <w:vAlign w:val="center"/>
          </w:tcPr>
          <w:p w14:paraId="52C7508A">
            <w:pPr>
              <w:adjustRightInd w:val="0"/>
              <w:snapToGrid w:val="0"/>
              <w:spacing w:line="240" w:lineRule="auto"/>
              <w:jc w:val="center"/>
              <w:rPr>
                <w:sz w:val="21"/>
                <w:szCs w:val="21"/>
              </w:rPr>
            </w:pPr>
          </w:p>
        </w:tc>
        <w:tc>
          <w:tcPr>
            <w:tcW w:w="480" w:type="dxa"/>
            <w:vMerge w:val="continue"/>
            <w:tcBorders>
              <w:tl2br w:val="nil"/>
              <w:tr2bl w:val="nil"/>
            </w:tcBorders>
            <w:vAlign w:val="center"/>
          </w:tcPr>
          <w:p w14:paraId="702FB9F9">
            <w:pPr>
              <w:adjustRightInd w:val="0"/>
              <w:snapToGrid w:val="0"/>
              <w:spacing w:line="240" w:lineRule="auto"/>
              <w:jc w:val="center"/>
              <w:rPr>
                <w:sz w:val="21"/>
                <w:szCs w:val="21"/>
              </w:rPr>
            </w:pPr>
          </w:p>
        </w:tc>
        <w:tc>
          <w:tcPr>
            <w:tcW w:w="1534" w:type="dxa"/>
            <w:tcBorders>
              <w:tl2br w:val="nil"/>
              <w:tr2bl w:val="nil"/>
            </w:tcBorders>
            <w:vAlign w:val="center"/>
          </w:tcPr>
          <w:p w14:paraId="505E8B60">
            <w:pPr>
              <w:adjustRightInd w:val="0"/>
              <w:snapToGrid w:val="0"/>
              <w:spacing w:line="240" w:lineRule="auto"/>
              <w:jc w:val="center"/>
              <w:rPr>
                <w:sz w:val="21"/>
                <w:szCs w:val="21"/>
              </w:rPr>
            </w:pPr>
            <w:r>
              <w:rPr>
                <w:sz w:val="21"/>
                <w:szCs w:val="21"/>
              </w:rPr>
              <w:t>FR300ELS</w:t>
            </w:r>
          </w:p>
        </w:tc>
        <w:tc>
          <w:tcPr>
            <w:tcW w:w="708" w:type="dxa"/>
            <w:tcBorders>
              <w:tl2br w:val="nil"/>
              <w:tr2bl w:val="nil"/>
            </w:tcBorders>
            <w:vAlign w:val="center"/>
          </w:tcPr>
          <w:p w14:paraId="56739443">
            <w:pPr>
              <w:adjustRightInd w:val="0"/>
              <w:snapToGrid w:val="0"/>
              <w:spacing w:line="240" w:lineRule="auto"/>
              <w:jc w:val="center"/>
              <w:rPr>
                <w:sz w:val="21"/>
                <w:szCs w:val="21"/>
              </w:rPr>
            </w:pPr>
            <w:r>
              <w:rPr>
                <w:rFonts w:hint="eastAsia"/>
                <w:sz w:val="21"/>
                <w:szCs w:val="21"/>
              </w:rPr>
              <w:t>1台</w:t>
            </w:r>
          </w:p>
        </w:tc>
        <w:tc>
          <w:tcPr>
            <w:tcW w:w="1216" w:type="dxa"/>
            <w:vMerge w:val="continue"/>
            <w:tcBorders>
              <w:tl2br w:val="nil"/>
              <w:tr2bl w:val="nil"/>
            </w:tcBorders>
            <w:vAlign w:val="center"/>
          </w:tcPr>
          <w:p w14:paraId="68187476">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1A5A92D9">
            <w:pPr>
              <w:adjustRightInd w:val="0"/>
              <w:snapToGrid w:val="0"/>
              <w:spacing w:line="240" w:lineRule="auto"/>
              <w:jc w:val="center"/>
              <w:rPr>
                <w:sz w:val="21"/>
                <w:szCs w:val="21"/>
              </w:rPr>
            </w:pPr>
          </w:p>
        </w:tc>
        <w:tc>
          <w:tcPr>
            <w:tcW w:w="786" w:type="dxa"/>
            <w:vMerge w:val="continue"/>
            <w:tcBorders>
              <w:tl2br w:val="nil"/>
              <w:tr2bl w:val="nil"/>
            </w:tcBorders>
            <w:vAlign w:val="center"/>
          </w:tcPr>
          <w:p w14:paraId="4646732C">
            <w:pPr>
              <w:adjustRightInd w:val="0"/>
              <w:snapToGrid w:val="0"/>
              <w:spacing w:line="240" w:lineRule="auto"/>
              <w:jc w:val="center"/>
              <w:rPr>
                <w:sz w:val="21"/>
                <w:szCs w:val="21"/>
              </w:rPr>
            </w:pPr>
          </w:p>
        </w:tc>
        <w:tc>
          <w:tcPr>
            <w:tcW w:w="828" w:type="dxa"/>
            <w:vMerge w:val="continue"/>
            <w:tcBorders>
              <w:tl2br w:val="nil"/>
              <w:tr2bl w:val="nil"/>
            </w:tcBorders>
            <w:vAlign w:val="center"/>
          </w:tcPr>
          <w:p w14:paraId="071DD5A4">
            <w:pPr>
              <w:adjustRightInd w:val="0"/>
              <w:snapToGrid w:val="0"/>
              <w:spacing w:line="240" w:lineRule="auto"/>
              <w:jc w:val="center"/>
              <w:rPr>
                <w:sz w:val="21"/>
                <w:szCs w:val="21"/>
              </w:rPr>
            </w:pPr>
          </w:p>
        </w:tc>
        <w:tc>
          <w:tcPr>
            <w:tcW w:w="755" w:type="dxa"/>
            <w:vMerge w:val="continue"/>
            <w:tcBorders>
              <w:tl2br w:val="nil"/>
              <w:tr2bl w:val="nil"/>
            </w:tcBorders>
            <w:vAlign w:val="center"/>
          </w:tcPr>
          <w:p w14:paraId="18FA6EC5">
            <w:pPr>
              <w:adjustRightInd w:val="0"/>
              <w:snapToGrid w:val="0"/>
              <w:spacing w:line="240" w:lineRule="auto"/>
              <w:jc w:val="center"/>
              <w:rPr>
                <w:color w:val="FF0000"/>
                <w:sz w:val="21"/>
                <w:szCs w:val="21"/>
              </w:rPr>
            </w:pPr>
          </w:p>
        </w:tc>
        <w:tc>
          <w:tcPr>
            <w:tcW w:w="1382" w:type="dxa"/>
            <w:tcBorders>
              <w:tl2br w:val="nil"/>
              <w:tr2bl w:val="nil"/>
            </w:tcBorders>
            <w:vAlign w:val="center"/>
          </w:tcPr>
          <w:p w14:paraId="0F5D4BD4">
            <w:pPr>
              <w:adjustRightInd w:val="0"/>
              <w:snapToGrid w:val="0"/>
              <w:spacing w:line="240" w:lineRule="auto"/>
              <w:jc w:val="center"/>
              <w:rPr>
                <w:sz w:val="21"/>
                <w:szCs w:val="21"/>
              </w:rPr>
            </w:pPr>
            <w:r>
              <w:rPr>
                <w:rFonts w:hint="eastAsia"/>
                <w:sz w:val="21"/>
                <w:szCs w:val="21"/>
              </w:rPr>
              <w:t>N：21.6</w:t>
            </w:r>
          </w:p>
        </w:tc>
        <w:tc>
          <w:tcPr>
            <w:tcW w:w="1145" w:type="dxa"/>
            <w:tcBorders>
              <w:tl2br w:val="nil"/>
              <w:tr2bl w:val="nil"/>
            </w:tcBorders>
            <w:vAlign w:val="center"/>
          </w:tcPr>
          <w:p w14:paraId="1F3798D5">
            <w:pPr>
              <w:adjustRightInd w:val="0"/>
              <w:snapToGrid w:val="0"/>
              <w:spacing w:line="240" w:lineRule="auto"/>
              <w:jc w:val="center"/>
              <w:rPr>
                <w:sz w:val="21"/>
                <w:szCs w:val="21"/>
              </w:rPr>
            </w:pPr>
            <w:r>
              <w:rPr>
                <w:rFonts w:hint="eastAsia"/>
                <w:sz w:val="21"/>
                <w:szCs w:val="21"/>
              </w:rPr>
              <w:t>77.6</w:t>
            </w:r>
          </w:p>
        </w:tc>
        <w:tc>
          <w:tcPr>
            <w:tcW w:w="645" w:type="dxa"/>
            <w:vMerge w:val="continue"/>
            <w:tcBorders>
              <w:tl2br w:val="nil"/>
              <w:tr2bl w:val="nil"/>
            </w:tcBorders>
            <w:vAlign w:val="center"/>
          </w:tcPr>
          <w:p w14:paraId="5D679816">
            <w:pPr>
              <w:adjustRightInd w:val="0"/>
              <w:snapToGrid w:val="0"/>
              <w:spacing w:line="240" w:lineRule="auto"/>
              <w:jc w:val="center"/>
              <w:rPr>
                <w:color w:val="FF0000"/>
                <w:sz w:val="21"/>
                <w:szCs w:val="21"/>
              </w:rPr>
            </w:pPr>
          </w:p>
        </w:tc>
        <w:tc>
          <w:tcPr>
            <w:tcW w:w="1089" w:type="dxa"/>
            <w:tcBorders>
              <w:tl2br w:val="nil"/>
              <w:tr2bl w:val="nil"/>
            </w:tcBorders>
            <w:vAlign w:val="center"/>
          </w:tcPr>
          <w:p w14:paraId="6214ED07">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75DF2948">
            <w:pPr>
              <w:adjustRightInd w:val="0"/>
              <w:snapToGrid w:val="0"/>
              <w:spacing w:line="240" w:lineRule="auto"/>
              <w:jc w:val="center"/>
              <w:rPr>
                <w:sz w:val="21"/>
                <w:szCs w:val="21"/>
              </w:rPr>
            </w:pPr>
            <w:r>
              <w:rPr>
                <w:rFonts w:hint="eastAsia"/>
                <w:sz w:val="21"/>
                <w:szCs w:val="21"/>
              </w:rPr>
              <w:t>57.6</w:t>
            </w:r>
          </w:p>
        </w:tc>
        <w:tc>
          <w:tcPr>
            <w:tcW w:w="769" w:type="dxa"/>
            <w:tcBorders>
              <w:tl2br w:val="nil"/>
              <w:tr2bl w:val="nil"/>
            </w:tcBorders>
            <w:vAlign w:val="center"/>
          </w:tcPr>
          <w:p w14:paraId="0D3DC2D0">
            <w:pPr>
              <w:adjustRightInd w:val="0"/>
              <w:snapToGrid w:val="0"/>
              <w:spacing w:line="240" w:lineRule="auto"/>
              <w:jc w:val="center"/>
              <w:rPr>
                <w:sz w:val="21"/>
                <w:szCs w:val="21"/>
              </w:rPr>
            </w:pPr>
            <w:r>
              <w:rPr>
                <w:rFonts w:hint="eastAsia"/>
                <w:sz w:val="21"/>
                <w:szCs w:val="21"/>
              </w:rPr>
              <w:t>1m</w:t>
            </w:r>
          </w:p>
        </w:tc>
      </w:tr>
      <w:tr w14:paraId="13EB15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54A370F5">
            <w:pPr>
              <w:adjustRightInd w:val="0"/>
              <w:snapToGrid w:val="0"/>
              <w:spacing w:line="240" w:lineRule="auto"/>
              <w:jc w:val="center"/>
              <w:rPr>
                <w:color w:val="FF0000"/>
                <w:sz w:val="21"/>
                <w:szCs w:val="21"/>
              </w:rPr>
            </w:pPr>
            <w:r>
              <w:rPr>
                <w:rFonts w:hint="eastAsia"/>
                <w:sz w:val="21"/>
                <w:szCs w:val="21"/>
              </w:rPr>
              <w:t>2</w:t>
            </w:r>
          </w:p>
        </w:tc>
        <w:tc>
          <w:tcPr>
            <w:tcW w:w="629" w:type="dxa"/>
            <w:vMerge w:val="continue"/>
            <w:tcBorders>
              <w:tl2br w:val="nil"/>
              <w:tr2bl w:val="nil"/>
            </w:tcBorders>
            <w:vAlign w:val="center"/>
          </w:tcPr>
          <w:p w14:paraId="5592733C">
            <w:pPr>
              <w:adjustRightInd w:val="0"/>
              <w:snapToGrid w:val="0"/>
              <w:spacing w:line="240" w:lineRule="auto"/>
              <w:jc w:val="center"/>
              <w:rPr>
                <w:color w:val="FF0000"/>
                <w:sz w:val="21"/>
                <w:szCs w:val="21"/>
              </w:rPr>
            </w:pPr>
          </w:p>
        </w:tc>
        <w:tc>
          <w:tcPr>
            <w:tcW w:w="480" w:type="dxa"/>
            <w:vMerge w:val="restart"/>
            <w:tcBorders>
              <w:tl2br w:val="nil"/>
              <w:tr2bl w:val="nil"/>
            </w:tcBorders>
            <w:vAlign w:val="center"/>
          </w:tcPr>
          <w:p w14:paraId="55194151">
            <w:pPr>
              <w:adjustRightInd w:val="0"/>
              <w:snapToGrid w:val="0"/>
              <w:spacing w:line="240" w:lineRule="auto"/>
              <w:jc w:val="center"/>
              <w:rPr>
                <w:color w:val="FF0000"/>
                <w:sz w:val="21"/>
                <w:szCs w:val="21"/>
              </w:rPr>
            </w:pPr>
            <w:r>
              <w:rPr>
                <w:rFonts w:hint="eastAsia"/>
                <w:sz w:val="21"/>
                <w:szCs w:val="21"/>
              </w:rPr>
              <w:t>干式复合机</w:t>
            </w:r>
          </w:p>
        </w:tc>
        <w:tc>
          <w:tcPr>
            <w:tcW w:w="1534" w:type="dxa"/>
            <w:tcBorders>
              <w:tl2br w:val="nil"/>
              <w:tr2bl w:val="nil"/>
            </w:tcBorders>
            <w:vAlign w:val="center"/>
          </w:tcPr>
          <w:p w14:paraId="146F4E5D">
            <w:pPr>
              <w:adjustRightInd w:val="0"/>
              <w:snapToGrid w:val="0"/>
              <w:spacing w:line="240" w:lineRule="auto"/>
              <w:jc w:val="center"/>
              <w:rPr>
                <w:color w:val="FF0000"/>
                <w:sz w:val="21"/>
                <w:szCs w:val="21"/>
              </w:rPr>
            </w:pPr>
            <w:r>
              <w:rPr>
                <w:sz w:val="21"/>
                <w:szCs w:val="21"/>
              </w:rPr>
              <w:t>LHG-1150D</w:t>
            </w:r>
          </w:p>
        </w:tc>
        <w:tc>
          <w:tcPr>
            <w:tcW w:w="708" w:type="dxa"/>
            <w:tcBorders>
              <w:tl2br w:val="nil"/>
              <w:tr2bl w:val="nil"/>
            </w:tcBorders>
            <w:vAlign w:val="center"/>
          </w:tcPr>
          <w:p w14:paraId="07DCA98D">
            <w:pPr>
              <w:adjustRightInd w:val="0"/>
              <w:snapToGrid w:val="0"/>
              <w:spacing w:line="240" w:lineRule="auto"/>
              <w:jc w:val="center"/>
              <w:rPr>
                <w:color w:val="FF0000"/>
                <w:sz w:val="21"/>
                <w:szCs w:val="21"/>
              </w:rPr>
            </w:pPr>
            <w:r>
              <w:rPr>
                <w:rFonts w:hint="eastAsia"/>
                <w:sz w:val="21"/>
                <w:szCs w:val="21"/>
              </w:rPr>
              <w:t>1台</w:t>
            </w:r>
          </w:p>
        </w:tc>
        <w:tc>
          <w:tcPr>
            <w:tcW w:w="1216" w:type="dxa"/>
            <w:vMerge w:val="restart"/>
            <w:tcBorders>
              <w:tl2br w:val="nil"/>
              <w:tr2bl w:val="nil"/>
            </w:tcBorders>
            <w:vAlign w:val="center"/>
          </w:tcPr>
          <w:p w14:paraId="564F8231">
            <w:pPr>
              <w:adjustRightInd w:val="0"/>
              <w:snapToGrid w:val="0"/>
              <w:spacing w:line="240" w:lineRule="auto"/>
              <w:jc w:val="center"/>
              <w:rPr>
                <w:sz w:val="21"/>
                <w:szCs w:val="21"/>
              </w:rPr>
            </w:pPr>
            <w:r>
              <w:rPr>
                <w:rFonts w:hint="eastAsia"/>
                <w:sz w:val="21"/>
                <w:szCs w:val="21"/>
              </w:rPr>
              <w:t>75~85</w:t>
            </w:r>
          </w:p>
          <w:p w14:paraId="35D827E1">
            <w:pPr>
              <w:adjustRightInd w:val="0"/>
              <w:snapToGrid w:val="0"/>
              <w:spacing w:line="240" w:lineRule="auto"/>
              <w:jc w:val="center"/>
              <w:rPr>
                <w:sz w:val="21"/>
                <w:szCs w:val="21"/>
              </w:rPr>
            </w:pPr>
            <w:r>
              <w:rPr>
                <w:rFonts w:hint="eastAsia"/>
                <w:sz w:val="21"/>
                <w:szCs w:val="21"/>
              </w:rPr>
              <w:t>叠加后86</w:t>
            </w:r>
          </w:p>
        </w:tc>
        <w:tc>
          <w:tcPr>
            <w:tcW w:w="645" w:type="dxa"/>
            <w:vMerge w:val="restart"/>
            <w:tcBorders>
              <w:tl2br w:val="nil"/>
              <w:tr2bl w:val="nil"/>
            </w:tcBorders>
            <w:vAlign w:val="center"/>
          </w:tcPr>
          <w:p w14:paraId="3CD61289">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62C1ACAA">
            <w:pPr>
              <w:adjustRightInd w:val="0"/>
              <w:snapToGrid w:val="0"/>
              <w:spacing w:line="240" w:lineRule="auto"/>
              <w:jc w:val="center"/>
              <w:rPr>
                <w:sz w:val="21"/>
                <w:szCs w:val="21"/>
              </w:rPr>
            </w:pPr>
            <w:r>
              <w:rPr>
                <w:rFonts w:hint="eastAsia"/>
                <w:sz w:val="21"/>
                <w:szCs w:val="21"/>
              </w:rPr>
              <w:t>-104.6</w:t>
            </w:r>
          </w:p>
        </w:tc>
        <w:tc>
          <w:tcPr>
            <w:tcW w:w="828" w:type="dxa"/>
            <w:vMerge w:val="restart"/>
            <w:tcBorders>
              <w:tl2br w:val="nil"/>
              <w:tr2bl w:val="nil"/>
            </w:tcBorders>
            <w:vAlign w:val="center"/>
          </w:tcPr>
          <w:p w14:paraId="1B4ECA0D">
            <w:pPr>
              <w:adjustRightInd w:val="0"/>
              <w:snapToGrid w:val="0"/>
              <w:spacing w:line="240" w:lineRule="auto"/>
              <w:jc w:val="center"/>
              <w:rPr>
                <w:sz w:val="21"/>
                <w:szCs w:val="21"/>
              </w:rPr>
            </w:pPr>
            <w:r>
              <w:rPr>
                <w:rFonts w:hint="eastAsia"/>
                <w:sz w:val="21"/>
                <w:szCs w:val="21"/>
              </w:rPr>
              <w:t>19</w:t>
            </w:r>
          </w:p>
        </w:tc>
        <w:tc>
          <w:tcPr>
            <w:tcW w:w="755" w:type="dxa"/>
            <w:vMerge w:val="restart"/>
            <w:tcBorders>
              <w:tl2br w:val="nil"/>
              <w:tr2bl w:val="nil"/>
            </w:tcBorders>
            <w:vAlign w:val="center"/>
          </w:tcPr>
          <w:p w14:paraId="033C5B99">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325B0074">
            <w:pPr>
              <w:adjustRightInd w:val="0"/>
              <w:snapToGrid w:val="0"/>
              <w:spacing w:line="240" w:lineRule="auto"/>
              <w:jc w:val="center"/>
              <w:rPr>
                <w:sz w:val="21"/>
                <w:szCs w:val="21"/>
              </w:rPr>
            </w:pPr>
            <w:r>
              <w:rPr>
                <w:rFonts w:hint="eastAsia"/>
                <w:sz w:val="21"/>
                <w:szCs w:val="21"/>
              </w:rPr>
              <w:t>E：123.4</w:t>
            </w:r>
          </w:p>
        </w:tc>
        <w:tc>
          <w:tcPr>
            <w:tcW w:w="1145" w:type="dxa"/>
            <w:tcBorders>
              <w:tl2br w:val="nil"/>
              <w:tr2bl w:val="nil"/>
            </w:tcBorders>
            <w:vAlign w:val="center"/>
          </w:tcPr>
          <w:p w14:paraId="450CD3A3">
            <w:pPr>
              <w:adjustRightInd w:val="0"/>
              <w:snapToGrid w:val="0"/>
              <w:spacing w:line="240" w:lineRule="auto"/>
              <w:jc w:val="center"/>
              <w:rPr>
                <w:sz w:val="21"/>
                <w:szCs w:val="21"/>
              </w:rPr>
            </w:pPr>
            <w:r>
              <w:rPr>
                <w:rFonts w:hint="eastAsia"/>
                <w:sz w:val="21"/>
                <w:szCs w:val="21"/>
              </w:rPr>
              <w:t>70.8</w:t>
            </w:r>
          </w:p>
        </w:tc>
        <w:tc>
          <w:tcPr>
            <w:tcW w:w="645" w:type="dxa"/>
            <w:vMerge w:val="continue"/>
            <w:tcBorders>
              <w:tl2br w:val="nil"/>
              <w:tr2bl w:val="nil"/>
            </w:tcBorders>
            <w:vAlign w:val="center"/>
          </w:tcPr>
          <w:p w14:paraId="41807088">
            <w:pPr>
              <w:adjustRightInd w:val="0"/>
              <w:snapToGrid w:val="0"/>
              <w:spacing w:line="240" w:lineRule="auto"/>
              <w:jc w:val="center"/>
              <w:rPr>
                <w:sz w:val="21"/>
                <w:szCs w:val="21"/>
              </w:rPr>
            </w:pPr>
          </w:p>
        </w:tc>
        <w:tc>
          <w:tcPr>
            <w:tcW w:w="1089" w:type="dxa"/>
            <w:tcBorders>
              <w:tl2br w:val="nil"/>
              <w:tr2bl w:val="nil"/>
            </w:tcBorders>
            <w:vAlign w:val="center"/>
          </w:tcPr>
          <w:p w14:paraId="7CD5B18A">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0C98BA59">
            <w:pPr>
              <w:adjustRightInd w:val="0"/>
              <w:snapToGrid w:val="0"/>
              <w:spacing w:line="240" w:lineRule="auto"/>
              <w:jc w:val="center"/>
              <w:rPr>
                <w:sz w:val="21"/>
                <w:szCs w:val="21"/>
              </w:rPr>
            </w:pPr>
            <w:r>
              <w:rPr>
                <w:rFonts w:hint="eastAsia"/>
                <w:sz w:val="21"/>
                <w:szCs w:val="21"/>
              </w:rPr>
              <w:t>50.8</w:t>
            </w:r>
          </w:p>
        </w:tc>
        <w:tc>
          <w:tcPr>
            <w:tcW w:w="769" w:type="dxa"/>
            <w:tcBorders>
              <w:tl2br w:val="nil"/>
              <w:tr2bl w:val="nil"/>
            </w:tcBorders>
            <w:vAlign w:val="center"/>
          </w:tcPr>
          <w:p w14:paraId="71957E0D">
            <w:pPr>
              <w:adjustRightInd w:val="0"/>
              <w:snapToGrid w:val="0"/>
              <w:spacing w:line="240" w:lineRule="auto"/>
              <w:jc w:val="center"/>
              <w:rPr>
                <w:sz w:val="21"/>
                <w:szCs w:val="21"/>
              </w:rPr>
            </w:pPr>
            <w:r>
              <w:rPr>
                <w:rFonts w:hint="eastAsia"/>
                <w:sz w:val="21"/>
                <w:szCs w:val="21"/>
              </w:rPr>
              <w:t>1m</w:t>
            </w:r>
          </w:p>
        </w:tc>
      </w:tr>
      <w:tr w14:paraId="51F63B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5820DF76">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3D559E8F">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2F809FAE">
            <w:pPr>
              <w:adjustRightInd w:val="0"/>
              <w:snapToGrid w:val="0"/>
              <w:spacing w:line="240" w:lineRule="auto"/>
              <w:jc w:val="center"/>
              <w:rPr>
                <w:color w:val="FF0000"/>
                <w:sz w:val="21"/>
                <w:szCs w:val="21"/>
              </w:rPr>
            </w:pPr>
          </w:p>
        </w:tc>
        <w:tc>
          <w:tcPr>
            <w:tcW w:w="1534" w:type="dxa"/>
            <w:tcBorders>
              <w:tl2br w:val="nil"/>
              <w:tr2bl w:val="nil"/>
            </w:tcBorders>
            <w:vAlign w:val="center"/>
          </w:tcPr>
          <w:p w14:paraId="7B9BD293">
            <w:pPr>
              <w:adjustRightInd w:val="0"/>
              <w:snapToGrid w:val="0"/>
              <w:spacing w:line="240" w:lineRule="auto"/>
              <w:jc w:val="center"/>
              <w:rPr>
                <w:color w:val="FF0000"/>
                <w:sz w:val="21"/>
                <w:szCs w:val="21"/>
              </w:rPr>
            </w:pPr>
            <w:r>
              <w:rPr>
                <w:sz w:val="21"/>
                <w:szCs w:val="21"/>
              </w:rPr>
              <w:t>FHD1250S</w:t>
            </w:r>
          </w:p>
        </w:tc>
        <w:tc>
          <w:tcPr>
            <w:tcW w:w="708" w:type="dxa"/>
            <w:tcBorders>
              <w:tl2br w:val="nil"/>
              <w:tr2bl w:val="nil"/>
            </w:tcBorders>
            <w:vAlign w:val="center"/>
          </w:tcPr>
          <w:p w14:paraId="2F813327">
            <w:pPr>
              <w:adjustRightInd w:val="0"/>
              <w:snapToGrid w:val="0"/>
              <w:spacing w:line="240" w:lineRule="auto"/>
              <w:jc w:val="center"/>
              <w:rPr>
                <w:color w:val="FF0000"/>
                <w:sz w:val="21"/>
                <w:szCs w:val="21"/>
              </w:rPr>
            </w:pPr>
            <w:r>
              <w:rPr>
                <w:rFonts w:hint="eastAsia"/>
                <w:sz w:val="21"/>
                <w:szCs w:val="21"/>
              </w:rPr>
              <w:t>1台</w:t>
            </w:r>
          </w:p>
        </w:tc>
        <w:tc>
          <w:tcPr>
            <w:tcW w:w="1216" w:type="dxa"/>
            <w:vMerge w:val="continue"/>
            <w:tcBorders>
              <w:tl2br w:val="nil"/>
              <w:tr2bl w:val="nil"/>
            </w:tcBorders>
            <w:vAlign w:val="center"/>
          </w:tcPr>
          <w:p w14:paraId="0F0D7068">
            <w:pPr>
              <w:adjustRightInd w:val="0"/>
              <w:snapToGrid w:val="0"/>
              <w:spacing w:line="240" w:lineRule="auto"/>
              <w:jc w:val="center"/>
              <w:rPr>
                <w:sz w:val="21"/>
                <w:szCs w:val="21"/>
              </w:rPr>
            </w:pPr>
          </w:p>
        </w:tc>
        <w:tc>
          <w:tcPr>
            <w:tcW w:w="645" w:type="dxa"/>
            <w:vMerge w:val="continue"/>
            <w:tcBorders>
              <w:tl2br w:val="nil"/>
              <w:tr2bl w:val="nil"/>
            </w:tcBorders>
            <w:vAlign w:val="center"/>
          </w:tcPr>
          <w:p w14:paraId="75BC8E77">
            <w:pPr>
              <w:adjustRightInd w:val="0"/>
              <w:snapToGrid w:val="0"/>
              <w:spacing w:line="240" w:lineRule="auto"/>
              <w:jc w:val="center"/>
              <w:rPr>
                <w:sz w:val="21"/>
                <w:szCs w:val="21"/>
              </w:rPr>
            </w:pPr>
          </w:p>
        </w:tc>
        <w:tc>
          <w:tcPr>
            <w:tcW w:w="786" w:type="dxa"/>
            <w:vMerge w:val="continue"/>
            <w:tcBorders>
              <w:tl2br w:val="nil"/>
              <w:tr2bl w:val="nil"/>
            </w:tcBorders>
            <w:vAlign w:val="center"/>
          </w:tcPr>
          <w:p w14:paraId="0B9DD4ED">
            <w:pPr>
              <w:adjustRightInd w:val="0"/>
              <w:snapToGrid w:val="0"/>
              <w:spacing w:line="240" w:lineRule="auto"/>
              <w:jc w:val="center"/>
              <w:rPr>
                <w:sz w:val="21"/>
                <w:szCs w:val="21"/>
              </w:rPr>
            </w:pPr>
          </w:p>
        </w:tc>
        <w:tc>
          <w:tcPr>
            <w:tcW w:w="828" w:type="dxa"/>
            <w:vMerge w:val="continue"/>
            <w:tcBorders>
              <w:tl2br w:val="nil"/>
              <w:tr2bl w:val="nil"/>
            </w:tcBorders>
            <w:vAlign w:val="center"/>
          </w:tcPr>
          <w:p w14:paraId="3C8FB7B3">
            <w:pPr>
              <w:adjustRightInd w:val="0"/>
              <w:snapToGrid w:val="0"/>
              <w:spacing w:line="240" w:lineRule="auto"/>
              <w:jc w:val="center"/>
              <w:rPr>
                <w:sz w:val="21"/>
                <w:szCs w:val="21"/>
              </w:rPr>
            </w:pPr>
          </w:p>
        </w:tc>
        <w:tc>
          <w:tcPr>
            <w:tcW w:w="755" w:type="dxa"/>
            <w:vMerge w:val="continue"/>
            <w:tcBorders>
              <w:tl2br w:val="nil"/>
              <w:tr2bl w:val="nil"/>
            </w:tcBorders>
            <w:vAlign w:val="center"/>
          </w:tcPr>
          <w:p w14:paraId="2BBA0CBD">
            <w:pPr>
              <w:adjustRightInd w:val="0"/>
              <w:snapToGrid w:val="0"/>
              <w:spacing w:line="240" w:lineRule="auto"/>
              <w:jc w:val="center"/>
              <w:rPr>
                <w:sz w:val="21"/>
                <w:szCs w:val="21"/>
              </w:rPr>
            </w:pPr>
          </w:p>
        </w:tc>
        <w:tc>
          <w:tcPr>
            <w:tcW w:w="1382" w:type="dxa"/>
            <w:tcBorders>
              <w:tl2br w:val="nil"/>
              <w:tr2bl w:val="nil"/>
            </w:tcBorders>
            <w:vAlign w:val="center"/>
          </w:tcPr>
          <w:p w14:paraId="1EB84B5B">
            <w:pPr>
              <w:adjustRightInd w:val="0"/>
              <w:snapToGrid w:val="0"/>
              <w:spacing w:line="240" w:lineRule="auto"/>
              <w:jc w:val="center"/>
              <w:rPr>
                <w:sz w:val="21"/>
                <w:szCs w:val="21"/>
              </w:rPr>
            </w:pPr>
            <w:r>
              <w:rPr>
                <w:rFonts w:hint="eastAsia"/>
                <w:sz w:val="21"/>
                <w:szCs w:val="21"/>
              </w:rPr>
              <w:t>S：14.2</w:t>
            </w:r>
          </w:p>
        </w:tc>
        <w:tc>
          <w:tcPr>
            <w:tcW w:w="1145" w:type="dxa"/>
            <w:tcBorders>
              <w:tl2br w:val="nil"/>
              <w:tr2bl w:val="nil"/>
            </w:tcBorders>
            <w:vAlign w:val="center"/>
          </w:tcPr>
          <w:p w14:paraId="5812AF26">
            <w:pPr>
              <w:adjustRightInd w:val="0"/>
              <w:snapToGrid w:val="0"/>
              <w:spacing w:line="240" w:lineRule="auto"/>
              <w:jc w:val="center"/>
              <w:rPr>
                <w:sz w:val="21"/>
                <w:szCs w:val="21"/>
              </w:rPr>
            </w:pPr>
            <w:r>
              <w:rPr>
                <w:rFonts w:hint="eastAsia"/>
                <w:sz w:val="21"/>
                <w:szCs w:val="21"/>
              </w:rPr>
              <w:t>70.9</w:t>
            </w:r>
          </w:p>
        </w:tc>
        <w:tc>
          <w:tcPr>
            <w:tcW w:w="645" w:type="dxa"/>
            <w:vMerge w:val="continue"/>
            <w:tcBorders>
              <w:tl2br w:val="nil"/>
              <w:tr2bl w:val="nil"/>
            </w:tcBorders>
            <w:vAlign w:val="center"/>
          </w:tcPr>
          <w:p w14:paraId="10C1438B">
            <w:pPr>
              <w:adjustRightInd w:val="0"/>
              <w:snapToGrid w:val="0"/>
              <w:spacing w:line="240" w:lineRule="auto"/>
              <w:jc w:val="center"/>
              <w:rPr>
                <w:sz w:val="21"/>
                <w:szCs w:val="21"/>
              </w:rPr>
            </w:pPr>
          </w:p>
        </w:tc>
        <w:tc>
          <w:tcPr>
            <w:tcW w:w="1089" w:type="dxa"/>
            <w:tcBorders>
              <w:tl2br w:val="nil"/>
              <w:tr2bl w:val="nil"/>
            </w:tcBorders>
            <w:vAlign w:val="center"/>
          </w:tcPr>
          <w:p w14:paraId="484F2312">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5FA4AF90">
            <w:pPr>
              <w:adjustRightInd w:val="0"/>
              <w:snapToGrid w:val="0"/>
              <w:spacing w:line="240" w:lineRule="auto"/>
              <w:jc w:val="center"/>
              <w:rPr>
                <w:sz w:val="21"/>
                <w:szCs w:val="21"/>
              </w:rPr>
            </w:pPr>
            <w:r>
              <w:rPr>
                <w:rFonts w:hint="eastAsia"/>
                <w:sz w:val="21"/>
                <w:szCs w:val="21"/>
              </w:rPr>
              <w:t>50.9</w:t>
            </w:r>
          </w:p>
        </w:tc>
        <w:tc>
          <w:tcPr>
            <w:tcW w:w="769" w:type="dxa"/>
            <w:tcBorders>
              <w:tl2br w:val="nil"/>
              <w:tr2bl w:val="nil"/>
            </w:tcBorders>
            <w:vAlign w:val="center"/>
          </w:tcPr>
          <w:p w14:paraId="42AB1A87">
            <w:pPr>
              <w:adjustRightInd w:val="0"/>
              <w:snapToGrid w:val="0"/>
              <w:spacing w:line="240" w:lineRule="auto"/>
              <w:jc w:val="center"/>
              <w:rPr>
                <w:sz w:val="21"/>
                <w:szCs w:val="21"/>
              </w:rPr>
            </w:pPr>
            <w:r>
              <w:rPr>
                <w:rFonts w:hint="eastAsia"/>
                <w:sz w:val="21"/>
                <w:szCs w:val="21"/>
              </w:rPr>
              <w:t>1m</w:t>
            </w:r>
          </w:p>
        </w:tc>
      </w:tr>
      <w:tr w14:paraId="01521F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70A83EF9">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4D5F4CC6">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7D6C03C3">
            <w:pPr>
              <w:adjustRightInd w:val="0"/>
              <w:snapToGrid w:val="0"/>
              <w:spacing w:line="240" w:lineRule="auto"/>
              <w:jc w:val="center"/>
              <w:rPr>
                <w:color w:val="FF0000"/>
                <w:sz w:val="21"/>
                <w:szCs w:val="21"/>
              </w:rPr>
            </w:pPr>
          </w:p>
        </w:tc>
        <w:tc>
          <w:tcPr>
            <w:tcW w:w="1534" w:type="dxa"/>
            <w:tcBorders>
              <w:tl2br w:val="nil"/>
              <w:tr2bl w:val="nil"/>
            </w:tcBorders>
            <w:vAlign w:val="center"/>
          </w:tcPr>
          <w:p w14:paraId="7ADDA129">
            <w:pPr>
              <w:adjustRightInd w:val="0"/>
              <w:snapToGrid w:val="0"/>
              <w:spacing w:line="240" w:lineRule="auto"/>
              <w:jc w:val="center"/>
              <w:rPr>
                <w:color w:val="FF0000"/>
                <w:sz w:val="21"/>
                <w:szCs w:val="21"/>
              </w:rPr>
            </w:pPr>
            <w:r>
              <w:rPr>
                <w:sz w:val="21"/>
                <w:szCs w:val="21"/>
              </w:rPr>
              <w:t>DA800</w:t>
            </w:r>
          </w:p>
        </w:tc>
        <w:tc>
          <w:tcPr>
            <w:tcW w:w="708" w:type="dxa"/>
            <w:tcBorders>
              <w:tl2br w:val="nil"/>
              <w:tr2bl w:val="nil"/>
            </w:tcBorders>
            <w:vAlign w:val="center"/>
          </w:tcPr>
          <w:p w14:paraId="38567F94">
            <w:pPr>
              <w:adjustRightInd w:val="0"/>
              <w:snapToGrid w:val="0"/>
              <w:spacing w:line="240" w:lineRule="auto"/>
              <w:jc w:val="center"/>
              <w:rPr>
                <w:color w:val="FF0000"/>
                <w:sz w:val="21"/>
                <w:szCs w:val="21"/>
              </w:rPr>
            </w:pPr>
            <w:r>
              <w:rPr>
                <w:rFonts w:hint="eastAsia"/>
                <w:sz w:val="21"/>
                <w:szCs w:val="21"/>
              </w:rPr>
              <w:t>1台</w:t>
            </w:r>
          </w:p>
        </w:tc>
        <w:tc>
          <w:tcPr>
            <w:tcW w:w="1216" w:type="dxa"/>
            <w:vMerge w:val="continue"/>
            <w:tcBorders>
              <w:tl2br w:val="nil"/>
              <w:tr2bl w:val="nil"/>
            </w:tcBorders>
            <w:vAlign w:val="center"/>
          </w:tcPr>
          <w:p w14:paraId="6A491141">
            <w:pPr>
              <w:adjustRightInd w:val="0"/>
              <w:snapToGrid w:val="0"/>
              <w:spacing w:line="240" w:lineRule="auto"/>
              <w:jc w:val="center"/>
              <w:rPr>
                <w:sz w:val="21"/>
                <w:szCs w:val="21"/>
              </w:rPr>
            </w:pPr>
          </w:p>
        </w:tc>
        <w:tc>
          <w:tcPr>
            <w:tcW w:w="645" w:type="dxa"/>
            <w:vMerge w:val="continue"/>
            <w:tcBorders>
              <w:tl2br w:val="nil"/>
              <w:tr2bl w:val="nil"/>
            </w:tcBorders>
            <w:vAlign w:val="center"/>
          </w:tcPr>
          <w:p w14:paraId="01A776F7">
            <w:pPr>
              <w:adjustRightInd w:val="0"/>
              <w:snapToGrid w:val="0"/>
              <w:spacing w:line="240" w:lineRule="auto"/>
              <w:jc w:val="center"/>
              <w:rPr>
                <w:sz w:val="21"/>
                <w:szCs w:val="21"/>
              </w:rPr>
            </w:pPr>
          </w:p>
        </w:tc>
        <w:tc>
          <w:tcPr>
            <w:tcW w:w="786" w:type="dxa"/>
            <w:vMerge w:val="continue"/>
            <w:tcBorders>
              <w:tl2br w:val="nil"/>
              <w:tr2bl w:val="nil"/>
            </w:tcBorders>
            <w:vAlign w:val="center"/>
          </w:tcPr>
          <w:p w14:paraId="1CFD8668">
            <w:pPr>
              <w:adjustRightInd w:val="0"/>
              <w:snapToGrid w:val="0"/>
              <w:spacing w:line="240" w:lineRule="auto"/>
              <w:jc w:val="center"/>
              <w:rPr>
                <w:sz w:val="21"/>
                <w:szCs w:val="21"/>
              </w:rPr>
            </w:pPr>
          </w:p>
        </w:tc>
        <w:tc>
          <w:tcPr>
            <w:tcW w:w="828" w:type="dxa"/>
            <w:vMerge w:val="continue"/>
            <w:tcBorders>
              <w:tl2br w:val="nil"/>
              <w:tr2bl w:val="nil"/>
            </w:tcBorders>
            <w:vAlign w:val="center"/>
          </w:tcPr>
          <w:p w14:paraId="4D0DD0A7">
            <w:pPr>
              <w:adjustRightInd w:val="0"/>
              <w:snapToGrid w:val="0"/>
              <w:spacing w:line="240" w:lineRule="auto"/>
              <w:jc w:val="center"/>
              <w:rPr>
                <w:sz w:val="21"/>
                <w:szCs w:val="21"/>
              </w:rPr>
            </w:pPr>
          </w:p>
        </w:tc>
        <w:tc>
          <w:tcPr>
            <w:tcW w:w="755" w:type="dxa"/>
            <w:vMerge w:val="continue"/>
            <w:tcBorders>
              <w:tl2br w:val="nil"/>
              <w:tr2bl w:val="nil"/>
            </w:tcBorders>
            <w:vAlign w:val="center"/>
          </w:tcPr>
          <w:p w14:paraId="4DD32C17">
            <w:pPr>
              <w:adjustRightInd w:val="0"/>
              <w:snapToGrid w:val="0"/>
              <w:spacing w:line="240" w:lineRule="auto"/>
              <w:jc w:val="center"/>
              <w:rPr>
                <w:sz w:val="21"/>
                <w:szCs w:val="21"/>
              </w:rPr>
            </w:pPr>
          </w:p>
        </w:tc>
        <w:tc>
          <w:tcPr>
            <w:tcW w:w="1382" w:type="dxa"/>
            <w:tcBorders>
              <w:tl2br w:val="nil"/>
              <w:tr2bl w:val="nil"/>
            </w:tcBorders>
            <w:vAlign w:val="center"/>
          </w:tcPr>
          <w:p w14:paraId="2D8291CD">
            <w:pPr>
              <w:adjustRightInd w:val="0"/>
              <w:snapToGrid w:val="0"/>
              <w:spacing w:line="240" w:lineRule="auto"/>
              <w:jc w:val="center"/>
              <w:rPr>
                <w:sz w:val="21"/>
                <w:szCs w:val="21"/>
              </w:rPr>
            </w:pPr>
            <w:r>
              <w:rPr>
                <w:rFonts w:hint="eastAsia"/>
                <w:sz w:val="21"/>
                <w:szCs w:val="21"/>
              </w:rPr>
              <w:t>W：21.4</w:t>
            </w:r>
          </w:p>
        </w:tc>
        <w:tc>
          <w:tcPr>
            <w:tcW w:w="1145" w:type="dxa"/>
            <w:tcBorders>
              <w:tl2br w:val="nil"/>
              <w:tr2bl w:val="nil"/>
            </w:tcBorders>
            <w:vAlign w:val="center"/>
          </w:tcPr>
          <w:p w14:paraId="592EE685">
            <w:pPr>
              <w:adjustRightInd w:val="0"/>
              <w:snapToGrid w:val="0"/>
              <w:spacing w:line="240" w:lineRule="auto"/>
              <w:jc w:val="center"/>
              <w:rPr>
                <w:sz w:val="21"/>
                <w:szCs w:val="21"/>
              </w:rPr>
            </w:pPr>
            <w:r>
              <w:rPr>
                <w:rFonts w:hint="eastAsia"/>
                <w:sz w:val="21"/>
                <w:szCs w:val="21"/>
              </w:rPr>
              <w:t>70.8</w:t>
            </w:r>
          </w:p>
        </w:tc>
        <w:tc>
          <w:tcPr>
            <w:tcW w:w="645" w:type="dxa"/>
            <w:vMerge w:val="continue"/>
            <w:tcBorders>
              <w:tl2br w:val="nil"/>
              <w:tr2bl w:val="nil"/>
            </w:tcBorders>
            <w:vAlign w:val="center"/>
          </w:tcPr>
          <w:p w14:paraId="4DB3CF88">
            <w:pPr>
              <w:adjustRightInd w:val="0"/>
              <w:snapToGrid w:val="0"/>
              <w:spacing w:line="240" w:lineRule="auto"/>
              <w:jc w:val="center"/>
              <w:rPr>
                <w:sz w:val="21"/>
                <w:szCs w:val="21"/>
              </w:rPr>
            </w:pPr>
          </w:p>
        </w:tc>
        <w:tc>
          <w:tcPr>
            <w:tcW w:w="1089" w:type="dxa"/>
            <w:tcBorders>
              <w:tl2br w:val="nil"/>
              <w:tr2bl w:val="nil"/>
            </w:tcBorders>
            <w:vAlign w:val="center"/>
          </w:tcPr>
          <w:p w14:paraId="65578DDB">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0443366D">
            <w:pPr>
              <w:adjustRightInd w:val="0"/>
              <w:snapToGrid w:val="0"/>
              <w:spacing w:line="240" w:lineRule="auto"/>
              <w:jc w:val="center"/>
              <w:rPr>
                <w:sz w:val="21"/>
                <w:szCs w:val="21"/>
              </w:rPr>
            </w:pPr>
            <w:r>
              <w:rPr>
                <w:rFonts w:hint="eastAsia"/>
                <w:sz w:val="21"/>
                <w:szCs w:val="21"/>
              </w:rPr>
              <w:t>50.8</w:t>
            </w:r>
          </w:p>
        </w:tc>
        <w:tc>
          <w:tcPr>
            <w:tcW w:w="769" w:type="dxa"/>
            <w:tcBorders>
              <w:tl2br w:val="nil"/>
              <w:tr2bl w:val="nil"/>
            </w:tcBorders>
            <w:vAlign w:val="center"/>
          </w:tcPr>
          <w:p w14:paraId="72A11373">
            <w:pPr>
              <w:adjustRightInd w:val="0"/>
              <w:snapToGrid w:val="0"/>
              <w:spacing w:line="240" w:lineRule="auto"/>
              <w:jc w:val="center"/>
              <w:rPr>
                <w:sz w:val="21"/>
                <w:szCs w:val="21"/>
              </w:rPr>
            </w:pPr>
            <w:r>
              <w:rPr>
                <w:rFonts w:hint="eastAsia"/>
                <w:sz w:val="21"/>
                <w:szCs w:val="21"/>
              </w:rPr>
              <w:t>1m</w:t>
            </w:r>
          </w:p>
        </w:tc>
      </w:tr>
      <w:tr w14:paraId="7DC4D1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07339493">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0E192EAE">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245E361B">
            <w:pPr>
              <w:adjustRightInd w:val="0"/>
              <w:snapToGrid w:val="0"/>
              <w:spacing w:line="240" w:lineRule="auto"/>
              <w:jc w:val="center"/>
              <w:rPr>
                <w:color w:val="FF0000"/>
                <w:sz w:val="21"/>
                <w:szCs w:val="21"/>
              </w:rPr>
            </w:pPr>
          </w:p>
        </w:tc>
        <w:tc>
          <w:tcPr>
            <w:tcW w:w="1534" w:type="dxa"/>
            <w:tcBorders>
              <w:tl2br w:val="nil"/>
              <w:tr2bl w:val="nil"/>
            </w:tcBorders>
            <w:vAlign w:val="center"/>
          </w:tcPr>
          <w:p w14:paraId="100ECDF8">
            <w:pPr>
              <w:adjustRightInd w:val="0"/>
              <w:snapToGrid w:val="0"/>
              <w:spacing w:line="240" w:lineRule="auto"/>
              <w:jc w:val="center"/>
              <w:rPr>
                <w:color w:val="FF0000"/>
                <w:sz w:val="21"/>
                <w:szCs w:val="21"/>
              </w:rPr>
            </w:pPr>
            <w:r>
              <w:rPr>
                <w:sz w:val="21"/>
                <w:szCs w:val="21"/>
              </w:rPr>
              <w:t>LHG-1050</w:t>
            </w:r>
          </w:p>
        </w:tc>
        <w:tc>
          <w:tcPr>
            <w:tcW w:w="708" w:type="dxa"/>
            <w:tcBorders>
              <w:tl2br w:val="nil"/>
              <w:tr2bl w:val="nil"/>
            </w:tcBorders>
            <w:vAlign w:val="center"/>
          </w:tcPr>
          <w:p w14:paraId="1B4A5281">
            <w:pPr>
              <w:adjustRightInd w:val="0"/>
              <w:snapToGrid w:val="0"/>
              <w:spacing w:line="240" w:lineRule="auto"/>
              <w:jc w:val="center"/>
              <w:rPr>
                <w:color w:val="FF0000"/>
                <w:sz w:val="21"/>
                <w:szCs w:val="21"/>
              </w:rPr>
            </w:pPr>
            <w:r>
              <w:rPr>
                <w:rFonts w:hint="eastAsia"/>
                <w:sz w:val="21"/>
                <w:szCs w:val="21"/>
              </w:rPr>
              <w:t>1台</w:t>
            </w:r>
          </w:p>
        </w:tc>
        <w:tc>
          <w:tcPr>
            <w:tcW w:w="1216" w:type="dxa"/>
            <w:vMerge w:val="continue"/>
            <w:tcBorders>
              <w:tl2br w:val="nil"/>
              <w:tr2bl w:val="nil"/>
            </w:tcBorders>
            <w:vAlign w:val="center"/>
          </w:tcPr>
          <w:p w14:paraId="6A09035F">
            <w:pPr>
              <w:adjustRightInd w:val="0"/>
              <w:snapToGrid w:val="0"/>
              <w:spacing w:line="240" w:lineRule="auto"/>
              <w:jc w:val="center"/>
              <w:rPr>
                <w:sz w:val="21"/>
                <w:szCs w:val="21"/>
              </w:rPr>
            </w:pPr>
          </w:p>
        </w:tc>
        <w:tc>
          <w:tcPr>
            <w:tcW w:w="645" w:type="dxa"/>
            <w:vMerge w:val="continue"/>
            <w:tcBorders>
              <w:tl2br w:val="nil"/>
              <w:tr2bl w:val="nil"/>
            </w:tcBorders>
            <w:vAlign w:val="center"/>
          </w:tcPr>
          <w:p w14:paraId="1F6B638E">
            <w:pPr>
              <w:adjustRightInd w:val="0"/>
              <w:snapToGrid w:val="0"/>
              <w:spacing w:line="240" w:lineRule="auto"/>
              <w:jc w:val="center"/>
              <w:rPr>
                <w:sz w:val="21"/>
                <w:szCs w:val="21"/>
              </w:rPr>
            </w:pPr>
          </w:p>
        </w:tc>
        <w:tc>
          <w:tcPr>
            <w:tcW w:w="786" w:type="dxa"/>
            <w:vMerge w:val="continue"/>
            <w:tcBorders>
              <w:tl2br w:val="nil"/>
              <w:tr2bl w:val="nil"/>
            </w:tcBorders>
            <w:vAlign w:val="center"/>
          </w:tcPr>
          <w:p w14:paraId="5BCCA8EB">
            <w:pPr>
              <w:adjustRightInd w:val="0"/>
              <w:snapToGrid w:val="0"/>
              <w:spacing w:line="240" w:lineRule="auto"/>
              <w:jc w:val="center"/>
              <w:rPr>
                <w:sz w:val="21"/>
                <w:szCs w:val="21"/>
              </w:rPr>
            </w:pPr>
          </w:p>
        </w:tc>
        <w:tc>
          <w:tcPr>
            <w:tcW w:w="828" w:type="dxa"/>
            <w:vMerge w:val="continue"/>
            <w:tcBorders>
              <w:tl2br w:val="nil"/>
              <w:tr2bl w:val="nil"/>
            </w:tcBorders>
            <w:vAlign w:val="center"/>
          </w:tcPr>
          <w:p w14:paraId="5E9B18BF">
            <w:pPr>
              <w:adjustRightInd w:val="0"/>
              <w:snapToGrid w:val="0"/>
              <w:spacing w:line="240" w:lineRule="auto"/>
              <w:jc w:val="center"/>
              <w:rPr>
                <w:sz w:val="21"/>
                <w:szCs w:val="21"/>
              </w:rPr>
            </w:pPr>
          </w:p>
        </w:tc>
        <w:tc>
          <w:tcPr>
            <w:tcW w:w="755" w:type="dxa"/>
            <w:vMerge w:val="continue"/>
            <w:tcBorders>
              <w:tl2br w:val="nil"/>
              <w:tr2bl w:val="nil"/>
            </w:tcBorders>
            <w:vAlign w:val="center"/>
          </w:tcPr>
          <w:p w14:paraId="27DB7030">
            <w:pPr>
              <w:adjustRightInd w:val="0"/>
              <w:snapToGrid w:val="0"/>
              <w:spacing w:line="240" w:lineRule="auto"/>
              <w:jc w:val="center"/>
              <w:rPr>
                <w:sz w:val="21"/>
                <w:szCs w:val="21"/>
              </w:rPr>
            </w:pPr>
          </w:p>
        </w:tc>
        <w:tc>
          <w:tcPr>
            <w:tcW w:w="1382" w:type="dxa"/>
            <w:tcBorders>
              <w:tl2br w:val="nil"/>
              <w:tr2bl w:val="nil"/>
            </w:tcBorders>
            <w:vAlign w:val="center"/>
          </w:tcPr>
          <w:p w14:paraId="21840E83">
            <w:pPr>
              <w:adjustRightInd w:val="0"/>
              <w:snapToGrid w:val="0"/>
              <w:spacing w:line="240" w:lineRule="auto"/>
              <w:jc w:val="center"/>
              <w:rPr>
                <w:sz w:val="21"/>
                <w:szCs w:val="21"/>
              </w:rPr>
            </w:pPr>
            <w:r>
              <w:rPr>
                <w:rFonts w:hint="eastAsia"/>
                <w:sz w:val="21"/>
                <w:szCs w:val="21"/>
              </w:rPr>
              <w:t>N：19.0</w:t>
            </w:r>
          </w:p>
        </w:tc>
        <w:tc>
          <w:tcPr>
            <w:tcW w:w="1145" w:type="dxa"/>
            <w:tcBorders>
              <w:tl2br w:val="nil"/>
              <w:tr2bl w:val="nil"/>
            </w:tcBorders>
            <w:vAlign w:val="center"/>
          </w:tcPr>
          <w:p w14:paraId="65544B05">
            <w:pPr>
              <w:adjustRightInd w:val="0"/>
              <w:snapToGrid w:val="0"/>
              <w:spacing w:line="240" w:lineRule="auto"/>
              <w:jc w:val="center"/>
              <w:rPr>
                <w:sz w:val="21"/>
                <w:szCs w:val="21"/>
              </w:rPr>
            </w:pPr>
            <w:r>
              <w:rPr>
                <w:rFonts w:hint="eastAsia"/>
                <w:sz w:val="21"/>
                <w:szCs w:val="21"/>
              </w:rPr>
              <w:t>70.9</w:t>
            </w:r>
          </w:p>
        </w:tc>
        <w:tc>
          <w:tcPr>
            <w:tcW w:w="645" w:type="dxa"/>
            <w:vMerge w:val="continue"/>
            <w:tcBorders>
              <w:tl2br w:val="nil"/>
              <w:tr2bl w:val="nil"/>
            </w:tcBorders>
            <w:vAlign w:val="center"/>
          </w:tcPr>
          <w:p w14:paraId="6740155A">
            <w:pPr>
              <w:adjustRightInd w:val="0"/>
              <w:snapToGrid w:val="0"/>
              <w:spacing w:line="240" w:lineRule="auto"/>
              <w:jc w:val="center"/>
              <w:rPr>
                <w:sz w:val="21"/>
                <w:szCs w:val="21"/>
              </w:rPr>
            </w:pPr>
          </w:p>
        </w:tc>
        <w:tc>
          <w:tcPr>
            <w:tcW w:w="1089" w:type="dxa"/>
            <w:tcBorders>
              <w:tl2br w:val="nil"/>
              <w:tr2bl w:val="nil"/>
            </w:tcBorders>
            <w:vAlign w:val="center"/>
          </w:tcPr>
          <w:p w14:paraId="5EB53CD7">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31E62F63">
            <w:pPr>
              <w:adjustRightInd w:val="0"/>
              <w:snapToGrid w:val="0"/>
              <w:spacing w:line="240" w:lineRule="auto"/>
              <w:jc w:val="center"/>
              <w:rPr>
                <w:sz w:val="21"/>
                <w:szCs w:val="21"/>
              </w:rPr>
            </w:pPr>
            <w:r>
              <w:rPr>
                <w:rFonts w:hint="eastAsia"/>
                <w:sz w:val="21"/>
                <w:szCs w:val="21"/>
              </w:rPr>
              <w:t>50.9</w:t>
            </w:r>
          </w:p>
        </w:tc>
        <w:tc>
          <w:tcPr>
            <w:tcW w:w="769" w:type="dxa"/>
            <w:tcBorders>
              <w:tl2br w:val="nil"/>
              <w:tr2bl w:val="nil"/>
            </w:tcBorders>
            <w:vAlign w:val="center"/>
          </w:tcPr>
          <w:p w14:paraId="6B828506">
            <w:pPr>
              <w:adjustRightInd w:val="0"/>
              <w:snapToGrid w:val="0"/>
              <w:spacing w:line="240" w:lineRule="auto"/>
              <w:jc w:val="center"/>
              <w:rPr>
                <w:sz w:val="21"/>
                <w:szCs w:val="21"/>
              </w:rPr>
            </w:pPr>
            <w:r>
              <w:rPr>
                <w:rFonts w:hint="eastAsia"/>
                <w:sz w:val="21"/>
                <w:szCs w:val="21"/>
              </w:rPr>
              <w:t>1m</w:t>
            </w:r>
          </w:p>
        </w:tc>
      </w:tr>
      <w:tr w14:paraId="65F8D9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5CB4DFA5">
            <w:pPr>
              <w:adjustRightInd w:val="0"/>
              <w:snapToGrid w:val="0"/>
              <w:spacing w:line="240" w:lineRule="auto"/>
              <w:jc w:val="center"/>
              <w:rPr>
                <w:sz w:val="21"/>
                <w:szCs w:val="21"/>
              </w:rPr>
            </w:pPr>
            <w:r>
              <w:rPr>
                <w:rFonts w:hint="eastAsia"/>
                <w:sz w:val="21"/>
                <w:szCs w:val="21"/>
              </w:rPr>
              <w:t>3</w:t>
            </w:r>
          </w:p>
        </w:tc>
        <w:tc>
          <w:tcPr>
            <w:tcW w:w="629" w:type="dxa"/>
            <w:vMerge w:val="continue"/>
            <w:tcBorders>
              <w:tl2br w:val="nil"/>
              <w:tr2bl w:val="nil"/>
            </w:tcBorders>
            <w:vAlign w:val="center"/>
          </w:tcPr>
          <w:p w14:paraId="03643F7D">
            <w:pPr>
              <w:adjustRightInd w:val="0"/>
              <w:snapToGrid w:val="0"/>
              <w:spacing w:line="240" w:lineRule="auto"/>
              <w:jc w:val="center"/>
              <w:rPr>
                <w:sz w:val="21"/>
                <w:szCs w:val="21"/>
              </w:rPr>
            </w:pPr>
          </w:p>
        </w:tc>
        <w:tc>
          <w:tcPr>
            <w:tcW w:w="480" w:type="dxa"/>
            <w:vMerge w:val="restart"/>
            <w:tcBorders>
              <w:tl2br w:val="nil"/>
              <w:tr2bl w:val="nil"/>
            </w:tcBorders>
            <w:vAlign w:val="center"/>
          </w:tcPr>
          <w:p w14:paraId="77D7E8C2">
            <w:pPr>
              <w:adjustRightInd w:val="0"/>
              <w:snapToGrid w:val="0"/>
              <w:spacing w:line="240" w:lineRule="auto"/>
              <w:jc w:val="center"/>
              <w:rPr>
                <w:sz w:val="21"/>
                <w:szCs w:val="21"/>
              </w:rPr>
            </w:pPr>
            <w:r>
              <w:rPr>
                <w:rFonts w:hint="eastAsia"/>
                <w:sz w:val="21"/>
                <w:szCs w:val="21"/>
              </w:rPr>
              <w:t>无溶剂复合机</w:t>
            </w:r>
          </w:p>
        </w:tc>
        <w:tc>
          <w:tcPr>
            <w:tcW w:w="1534" w:type="dxa"/>
            <w:vMerge w:val="restart"/>
            <w:tcBorders>
              <w:tl2br w:val="nil"/>
              <w:tr2bl w:val="nil"/>
            </w:tcBorders>
            <w:vAlign w:val="center"/>
          </w:tcPr>
          <w:p w14:paraId="32E09757">
            <w:pPr>
              <w:adjustRightInd w:val="0"/>
              <w:snapToGrid w:val="0"/>
              <w:spacing w:line="240" w:lineRule="auto"/>
              <w:jc w:val="center"/>
              <w:rPr>
                <w:sz w:val="21"/>
                <w:szCs w:val="21"/>
              </w:rPr>
            </w:pPr>
            <w:r>
              <w:rPr>
                <w:sz w:val="21"/>
                <w:szCs w:val="21"/>
              </w:rPr>
              <w:t>L1300</w:t>
            </w:r>
          </w:p>
        </w:tc>
        <w:tc>
          <w:tcPr>
            <w:tcW w:w="708" w:type="dxa"/>
            <w:vMerge w:val="restart"/>
            <w:tcBorders>
              <w:tl2br w:val="nil"/>
              <w:tr2bl w:val="nil"/>
            </w:tcBorders>
            <w:vAlign w:val="center"/>
          </w:tcPr>
          <w:p w14:paraId="0F5D754F">
            <w:pPr>
              <w:adjustRightInd w:val="0"/>
              <w:snapToGrid w:val="0"/>
              <w:spacing w:line="240" w:lineRule="auto"/>
              <w:jc w:val="center"/>
              <w:rPr>
                <w:sz w:val="21"/>
                <w:szCs w:val="21"/>
              </w:rPr>
            </w:pPr>
            <w:r>
              <w:rPr>
                <w:rFonts w:hint="eastAsia"/>
                <w:sz w:val="21"/>
                <w:szCs w:val="21"/>
              </w:rPr>
              <w:t>10台</w:t>
            </w:r>
          </w:p>
        </w:tc>
        <w:tc>
          <w:tcPr>
            <w:tcW w:w="1216" w:type="dxa"/>
            <w:vMerge w:val="restart"/>
            <w:tcBorders>
              <w:tl2br w:val="nil"/>
              <w:tr2bl w:val="nil"/>
            </w:tcBorders>
            <w:vAlign w:val="center"/>
          </w:tcPr>
          <w:p w14:paraId="54ED26C9">
            <w:pPr>
              <w:adjustRightInd w:val="0"/>
              <w:snapToGrid w:val="0"/>
              <w:spacing w:line="240" w:lineRule="auto"/>
              <w:jc w:val="center"/>
              <w:rPr>
                <w:sz w:val="21"/>
                <w:szCs w:val="21"/>
              </w:rPr>
            </w:pPr>
            <w:r>
              <w:rPr>
                <w:rFonts w:hint="eastAsia"/>
                <w:sz w:val="21"/>
                <w:szCs w:val="21"/>
              </w:rPr>
              <w:t>75~85</w:t>
            </w:r>
          </w:p>
          <w:p w14:paraId="769C7B0D">
            <w:pPr>
              <w:adjustRightInd w:val="0"/>
              <w:snapToGrid w:val="0"/>
              <w:spacing w:line="240" w:lineRule="auto"/>
              <w:jc w:val="center"/>
              <w:rPr>
                <w:sz w:val="21"/>
                <w:szCs w:val="21"/>
              </w:rPr>
            </w:pPr>
            <w:r>
              <w:rPr>
                <w:rFonts w:hint="eastAsia"/>
                <w:sz w:val="21"/>
                <w:szCs w:val="21"/>
              </w:rPr>
              <w:t>叠加后90</w:t>
            </w:r>
          </w:p>
        </w:tc>
        <w:tc>
          <w:tcPr>
            <w:tcW w:w="645" w:type="dxa"/>
            <w:vMerge w:val="restart"/>
            <w:tcBorders>
              <w:tl2br w:val="nil"/>
              <w:tr2bl w:val="nil"/>
            </w:tcBorders>
            <w:vAlign w:val="center"/>
          </w:tcPr>
          <w:p w14:paraId="7AD8D2EA">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2DDA720F">
            <w:pPr>
              <w:adjustRightInd w:val="0"/>
              <w:snapToGrid w:val="0"/>
              <w:spacing w:line="240" w:lineRule="auto"/>
              <w:jc w:val="center"/>
              <w:rPr>
                <w:sz w:val="21"/>
                <w:szCs w:val="21"/>
              </w:rPr>
            </w:pPr>
            <w:r>
              <w:rPr>
                <w:rFonts w:hint="eastAsia"/>
                <w:sz w:val="21"/>
                <w:szCs w:val="21"/>
              </w:rPr>
              <w:t>-88</w:t>
            </w:r>
          </w:p>
        </w:tc>
        <w:tc>
          <w:tcPr>
            <w:tcW w:w="828" w:type="dxa"/>
            <w:vMerge w:val="restart"/>
            <w:tcBorders>
              <w:tl2br w:val="nil"/>
              <w:tr2bl w:val="nil"/>
            </w:tcBorders>
            <w:vAlign w:val="center"/>
          </w:tcPr>
          <w:p w14:paraId="71F133B7">
            <w:pPr>
              <w:adjustRightInd w:val="0"/>
              <w:snapToGrid w:val="0"/>
              <w:spacing w:line="240" w:lineRule="auto"/>
              <w:jc w:val="center"/>
              <w:rPr>
                <w:sz w:val="21"/>
                <w:szCs w:val="21"/>
              </w:rPr>
            </w:pPr>
            <w:r>
              <w:rPr>
                <w:rFonts w:hint="eastAsia"/>
                <w:sz w:val="21"/>
                <w:szCs w:val="21"/>
              </w:rPr>
              <w:t>18.8</w:t>
            </w:r>
          </w:p>
        </w:tc>
        <w:tc>
          <w:tcPr>
            <w:tcW w:w="755" w:type="dxa"/>
            <w:vMerge w:val="restart"/>
            <w:tcBorders>
              <w:tl2br w:val="nil"/>
              <w:tr2bl w:val="nil"/>
            </w:tcBorders>
            <w:vAlign w:val="center"/>
          </w:tcPr>
          <w:p w14:paraId="353141DD">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237BDDBD">
            <w:pPr>
              <w:adjustRightInd w:val="0"/>
              <w:snapToGrid w:val="0"/>
              <w:spacing w:line="240" w:lineRule="auto"/>
              <w:jc w:val="center"/>
              <w:rPr>
                <w:sz w:val="21"/>
                <w:szCs w:val="21"/>
              </w:rPr>
            </w:pPr>
            <w:r>
              <w:rPr>
                <w:rFonts w:hint="eastAsia"/>
                <w:sz w:val="21"/>
                <w:szCs w:val="21"/>
              </w:rPr>
              <w:t>E：106.8</w:t>
            </w:r>
          </w:p>
        </w:tc>
        <w:tc>
          <w:tcPr>
            <w:tcW w:w="1145" w:type="dxa"/>
            <w:tcBorders>
              <w:tl2br w:val="nil"/>
              <w:tr2bl w:val="nil"/>
            </w:tcBorders>
            <w:vAlign w:val="center"/>
          </w:tcPr>
          <w:p w14:paraId="7569B92E">
            <w:pPr>
              <w:adjustRightInd w:val="0"/>
              <w:snapToGrid w:val="0"/>
              <w:spacing w:line="240" w:lineRule="auto"/>
              <w:jc w:val="center"/>
              <w:rPr>
                <w:sz w:val="21"/>
                <w:szCs w:val="21"/>
              </w:rPr>
            </w:pPr>
            <w:r>
              <w:rPr>
                <w:rFonts w:hint="eastAsia"/>
                <w:sz w:val="21"/>
                <w:szCs w:val="21"/>
              </w:rPr>
              <w:t>74.8</w:t>
            </w:r>
          </w:p>
        </w:tc>
        <w:tc>
          <w:tcPr>
            <w:tcW w:w="645" w:type="dxa"/>
            <w:vMerge w:val="continue"/>
            <w:tcBorders>
              <w:tl2br w:val="nil"/>
              <w:tr2bl w:val="nil"/>
            </w:tcBorders>
            <w:vAlign w:val="center"/>
          </w:tcPr>
          <w:p w14:paraId="42A1EC4D">
            <w:pPr>
              <w:adjustRightInd w:val="0"/>
              <w:snapToGrid w:val="0"/>
              <w:spacing w:line="240" w:lineRule="auto"/>
              <w:jc w:val="center"/>
              <w:rPr>
                <w:sz w:val="21"/>
                <w:szCs w:val="21"/>
              </w:rPr>
            </w:pPr>
          </w:p>
        </w:tc>
        <w:tc>
          <w:tcPr>
            <w:tcW w:w="1089" w:type="dxa"/>
            <w:tcBorders>
              <w:tl2br w:val="nil"/>
              <w:tr2bl w:val="nil"/>
            </w:tcBorders>
            <w:vAlign w:val="center"/>
          </w:tcPr>
          <w:p w14:paraId="446AA08B">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07D56B1B">
            <w:pPr>
              <w:adjustRightInd w:val="0"/>
              <w:snapToGrid w:val="0"/>
              <w:spacing w:line="240" w:lineRule="auto"/>
              <w:jc w:val="center"/>
              <w:rPr>
                <w:sz w:val="21"/>
                <w:szCs w:val="21"/>
              </w:rPr>
            </w:pPr>
            <w:r>
              <w:rPr>
                <w:rFonts w:hint="eastAsia"/>
                <w:sz w:val="21"/>
                <w:szCs w:val="21"/>
              </w:rPr>
              <w:t>54.8</w:t>
            </w:r>
          </w:p>
        </w:tc>
        <w:tc>
          <w:tcPr>
            <w:tcW w:w="769" w:type="dxa"/>
            <w:tcBorders>
              <w:tl2br w:val="nil"/>
              <w:tr2bl w:val="nil"/>
            </w:tcBorders>
            <w:vAlign w:val="center"/>
          </w:tcPr>
          <w:p w14:paraId="75E667F9">
            <w:pPr>
              <w:adjustRightInd w:val="0"/>
              <w:snapToGrid w:val="0"/>
              <w:spacing w:line="240" w:lineRule="auto"/>
              <w:jc w:val="center"/>
              <w:rPr>
                <w:sz w:val="21"/>
                <w:szCs w:val="21"/>
              </w:rPr>
            </w:pPr>
            <w:r>
              <w:rPr>
                <w:rFonts w:hint="eastAsia"/>
                <w:sz w:val="21"/>
                <w:szCs w:val="21"/>
              </w:rPr>
              <w:t>1m</w:t>
            </w:r>
          </w:p>
        </w:tc>
      </w:tr>
      <w:tr w14:paraId="7F1E35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0B85218B">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57909BD8">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3BA37985">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54920219">
            <w:pPr>
              <w:adjustRightInd w:val="0"/>
              <w:snapToGrid w:val="0"/>
              <w:spacing w:line="240" w:lineRule="auto"/>
              <w:jc w:val="center"/>
              <w:rPr>
                <w:sz w:val="21"/>
                <w:szCs w:val="21"/>
              </w:rPr>
            </w:pPr>
          </w:p>
        </w:tc>
        <w:tc>
          <w:tcPr>
            <w:tcW w:w="708" w:type="dxa"/>
            <w:vMerge w:val="continue"/>
            <w:tcBorders>
              <w:tl2br w:val="nil"/>
              <w:tr2bl w:val="nil"/>
            </w:tcBorders>
            <w:vAlign w:val="center"/>
          </w:tcPr>
          <w:p w14:paraId="3C1949B3">
            <w:pPr>
              <w:adjustRightInd w:val="0"/>
              <w:snapToGrid w:val="0"/>
              <w:spacing w:line="240" w:lineRule="auto"/>
              <w:jc w:val="center"/>
              <w:rPr>
                <w:sz w:val="21"/>
                <w:szCs w:val="21"/>
              </w:rPr>
            </w:pPr>
          </w:p>
        </w:tc>
        <w:tc>
          <w:tcPr>
            <w:tcW w:w="1216" w:type="dxa"/>
            <w:vMerge w:val="continue"/>
            <w:tcBorders>
              <w:tl2br w:val="nil"/>
              <w:tr2bl w:val="nil"/>
            </w:tcBorders>
            <w:vAlign w:val="center"/>
          </w:tcPr>
          <w:p w14:paraId="0C107500">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43BED845">
            <w:pPr>
              <w:adjustRightInd w:val="0"/>
              <w:snapToGrid w:val="0"/>
              <w:spacing w:line="240" w:lineRule="auto"/>
              <w:jc w:val="center"/>
              <w:rPr>
                <w:sz w:val="21"/>
                <w:szCs w:val="21"/>
              </w:rPr>
            </w:pPr>
          </w:p>
        </w:tc>
        <w:tc>
          <w:tcPr>
            <w:tcW w:w="786" w:type="dxa"/>
            <w:vMerge w:val="continue"/>
            <w:tcBorders>
              <w:tl2br w:val="nil"/>
              <w:tr2bl w:val="nil"/>
            </w:tcBorders>
            <w:vAlign w:val="center"/>
          </w:tcPr>
          <w:p w14:paraId="11482F37">
            <w:pPr>
              <w:adjustRightInd w:val="0"/>
              <w:snapToGrid w:val="0"/>
              <w:spacing w:line="240" w:lineRule="auto"/>
              <w:jc w:val="center"/>
              <w:rPr>
                <w:sz w:val="21"/>
                <w:szCs w:val="21"/>
              </w:rPr>
            </w:pPr>
          </w:p>
        </w:tc>
        <w:tc>
          <w:tcPr>
            <w:tcW w:w="828" w:type="dxa"/>
            <w:vMerge w:val="continue"/>
            <w:tcBorders>
              <w:tl2br w:val="nil"/>
              <w:tr2bl w:val="nil"/>
            </w:tcBorders>
            <w:vAlign w:val="center"/>
          </w:tcPr>
          <w:p w14:paraId="2C540B59">
            <w:pPr>
              <w:adjustRightInd w:val="0"/>
              <w:snapToGrid w:val="0"/>
              <w:spacing w:line="240" w:lineRule="auto"/>
              <w:jc w:val="center"/>
              <w:rPr>
                <w:sz w:val="21"/>
                <w:szCs w:val="21"/>
              </w:rPr>
            </w:pPr>
          </w:p>
        </w:tc>
        <w:tc>
          <w:tcPr>
            <w:tcW w:w="755" w:type="dxa"/>
            <w:vMerge w:val="continue"/>
            <w:tcBorders>
              <w:tl2br w:val="nil"/>
              <w:tr2bl w:val="nil"/>
            </w:tcBorders>
            <w:vAlign w:val="center"/>
          </w:tcPr>
          <w:p w14:paraId="23570F80">
            <w:pPr>
              <w:adjustRightInd w:val="0"/>
              <w:snapToGrid w:val="0"/>
              <w:spacing w:line="240" w:lineRule="auto"/>
              <w:jc w:val="center"/>
              <w:rPr>
                <w:sz w:val="21"/>
                <w:szCs w:val="21"/>
              </w:rPr>
            </w:pPr>
          </w:p>
        </w:tc>
        <w:tc>
          <w:tcPr>
            <w:tcW w:w="1382" w:type="dxa"/>
            <w:tcBorders>
              <w:tl2br w:val="nil"/>
              <w:tr2bl w:val="nil"/>
            </w:tcBorders>
            <w:vAlign w:val="center"/>
          </w:tcPr>
          <w:p w14:paraId="4D5D31D6">
            <w:pPr>
              <w:adjustRightInd w:val="0"/>
              <w:snapToGrid w:val="0"/>
              <w:spacing w:line="240" w:lineRule="auto"/>
              <w:jc w:val="center"/>
              <w:rPr>
                <w:sz w:val="21"/>
                <w:szCs w:val="21"/>
              </w:rPr>
            </w:pPr>
            <w:r>
              <w:rPr>
                <w:rFonts w:hint="eastAsia"/>
                <w:sz w:val="21"/>
                <w:szCs w:val="21"/>
              </w:rPr>
              <w:t>S：14</w:t>
            </w:r>
          </w:p>
        </w:tc>
        <w:tc>
          <w:tcPr>
            <w:tcW w:w="1145" w:type="dxa"/>
            <w:tcBorders>
              <w:tl2br w:val="nil"/>
              <w:tr2bl w:val="nil"/>
            </w:tcBorders>
            <w:vAlign w:val="center"/>
          </w:tcPr>
          <w:p w14:paraId="4CF4AD14">
            <w:pPr>
              <w:adjustRightInd w:val="0"/>
              <w:snapToGrid w:val="0"/>
              <w:spacing w:line="240" w:lineRule="auto"/>
              <w:jc w:val="center"/>
              <w:rPr>
                <w:sz w:val="21"/>
                <w:szCs w:val="21"/>
              </w:rPr>
            </w:pPr>
            <w:r>
              <w:rPr>
                <w:rFonts w:hint="eastAsia"/>
                <w:sz w:val="21"/>
                <w:szCs w:val="21"/>
              </w:rPr>
              <w:t>74.9</w:t>
            </w:r>
          </w:p>
        </w:tc>
        <w:tc>
          <w:tcPr>
            <w:tcW w:w="645" w:type="dxa"/>
            <w:vMerge w:val="continue"/>
            <w:tcBorders>
              <w:tl2br w:val="nil"/>
              <w:tr2bl w:val="nil"/>
            </w:tcBorders>
            <w:vAlign w:val="center"/>
          </w:tcPr>
          <w:p w14:paraId="6E1F4D61">
            <w:pPr>
              <w:adjustRightInd w:val="0"/>
              <w:snapToGrid w:val="0"/>
              <w:spacing w:line="240" w:lineRule="auto"/>
              <w:jc w:val="center"/>
              <w:rPr>
                <w:sz w:val="21"/>
                <w:szCs w:val="21"/>
              </w:rPr>
            </w:pPr>
          </w:p>
        </w:tc>
        <w:tc>
          <w:tcPr>
            <w:tcW w:w="1089" w:type="dxa"/>
            <w:tcBorders>
              <w:tl2br w:val="nil"/>
              <w:tr2bl w:val="nil"/>
            </w:tcBorders>
            <w:vAlign w:val="center"/>
          </w:tcPr>
          <w:p w14:paraId="5857268B">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36627234">
            <w:pPr>
              <w:adjustRightInd w:val="0"/>
              <w:snapToGrid w:val="0"/>
              <w:spacing w:line="240" w:lineRule="auto"/>
              <w:jc w:val="center"/>
              <w:rPr>
                <w:sz w:val="21"/>
                <w:szCs w:val="21"/>
              </w:rPr>
            </w:pPr>
            <w:r>
              <w:rPr>
                <w:rFonts w:hint="eastAsia"/>
                <w:sz w:val="21"/>
                <w:szCs w:val="21"/>
              </w:rPr>
              <w:t>54.9</w:t>
            </w:r>
          </w:p>
        </w:tc>
        <w:tc>
          <w:tcPr>
            <w:tcW w:w="769" w:type="dxa"/>
            <w:tcBorders>
              <w:tl2br w:val="nil"/>
              <w:tr2bl w:val="nil"/>
            </w:tcBorders>
            <w:vAlign w:val="center"/>
          </w:tcPr>
          <w:p w14:paraId="569CA8F8">
            <w:pPr>
              <w:adjustRightInd w:val="0"/>
              <w:snapToGrid w:val="0"/>
              <w:spacing w:line="240" w:lineRule="auto"/>
              <w:jc w:val="center"/>
              <w:rPr>
                <w:sz w:val="21"/>
                <w:szCs w:val="21"/>
              </w:rPr>
            </w:pPr>
            <w:r>
              <w:rPr>
                <w:rFonts w:hint="eastAsia"/>
                <w:sz w:val="21"/>
                <w:szCs w:val="21"/>
              </w:rPr>
              <w:t>1m</w:t>
            </w:r>
          </w:p>
        </w:tc>
      </w:tr>
      <w:tr w14:paraId="05517C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393FC537">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094E0025">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3CC9CB41">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01F577D0">
            <w:pPr>
              <w:adjustRightInd w:val="0"/>
              <w:snapToGrid w:val="0"/>
              <w:spacing w:line="240" w:lineRule="auto"/>
              <w:jc w:val="center"/>
              <w:rPr>
                <w:sz w:val="21"/>
                <w:szCs w:val="21"/>
              </w:rPr>
            </w:pPr>
          </w:p>
        </w:tc>
        <w:tc>
          <w:tcPr>
            <w:tcW w:w="708" w:type="dxa"/>
            <w:vMerge w:val="continue"/>
            <w:tcBorders>
              <w:tl2br w:val="nil"/>
              <w:tr2bl w:val="nil"/>
            </w:tcBorders>
            <w:vAlign w:val="center"/>
          </w:tcPr>
          <w:p w14:paraId="0E9BFEB4">
            <w:pPr>
              <w:adjustRightInd w:val="0"/>
              <w:snapToGrid w:val="0"/>
              <w:spacing w:line="240" w:lineRule="auto"/>
              <w:jc w:val="center"/>
              <w:rPr>
                <w:sz w:val="21"/>
                <w:szCs w:val="21"/>
              </w:rPr>
            </w:pPr>
          </w:p>
        </w:tc>
        <w:tc>
          <w:tcPr>
            <w:tcW w:w="1216" w:type="dxa"/>
            <w:vMerge w:val="continue"/>
            <w:tcBorders>
              <w:tl2br w:val="nil"/>
              <w:tr2bl w:val="nil"/>
            </w:tcBorders>
            <w:vAlign w:val="center"/>
          </w:tcPr>
          <w:p w14:paraId="210AF6F0">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69679696">
            <w:pPr>
              <w:adjustRightInd w:val="0"/>
              <w:snapToGrid w:val="0"/>
              <w:spacing w:line="240" w:lineRule="auto"/>
              <w:jc w:val="center"/>
              <w:rPr>
                <w:sz w:val="21"/>
                <w:szCs w:val="21"/>
              </w:rPr>
            </w:pPr>
          </w:p>
        </w:tc>
        <w:tc>
          <w:tcPr>
            <w:tcW w:w="786" w:type="dxa"/>
            <w:vMerge w:val="continue"/>
            <w:tcBorders>
              <w:tl2br w:val="nil"/>
              <w:tr2bl w:val="nil"/>
            </w:tcBorders>
            <w:vAlign w:val="center"/>
          </w:tcPr>
          <w:p w14:paraId="2D9E2992">
            <w:pPr>
              <w:adjustRightInd w:val="0"/>
              <w:snapToGrid w:val="0"/>
              <w:spacing w:line="240" w:lineRule="auto"/>
              <w:jc w:val="center"/>
              <w:rPr>
                <w:sz w:val="21"/>
                <w:szCs w:val="21"/>
              </w:rPr>
            </w:pPr>
          </w:p>
        </w:tc>
        <w:tc>
          <w:tcPr>
            <w:tcW w:w="828" w:type="dxa"/>
            <w:vMerge w:val="continue"/>
            <w:tcBorders>
              <w:tl2br w:val="nil"/>
              <w:tr2bl w:val="nil"/>
            </w:tcBorders>
            <w:vAlign w:val="center"/>
          </w:tcPr>
          <w:p w14:paraId="2BEC8413">
            <w:pPr>
              <w:adjustRightInd w:val="0"/>
              <w:snapToGrid w:val="0"/>
              <w:spacing w:line="240" w:lineRule="auto"/>
              <w:jc w:val="center"/>
              <w:rPr>
                <w:sz w:val="21"/>
                <w:szCs w:val="21"/>
              </w:rPr>
            </w:pPr>
          </w:p>
        </w:tc>
        <w:tc>
          <w:tcPr>
            <w:tcW w:w="755" w:type="dxa"/>
            <w:vMerge w:val="continue"/>
            <w:tcBorders>
              <w:tl2br w:val="nil"/>
              <w:tr2bl w:val="nil"/>
            </w:tcBorders>
            <w:vAlign w:val="center"/>
          </w:tcPr>
          <w:p w14:paraId="15DED373">
            <w:pPr>
              <w:adjustRightInd w:val="0"/>
              <w:snapToGrid w:val="0"/>
              <w:spacing w:line="240" w:lineRule="auto"/>
              <w:jc w:val="center"/>
              <w:rPr>
                <w:sz w:val="21"/>
                <w:szCs w:val="21"/>
              </w:rPr>
            </w:pPr>
          </w:p>
        </w:tc>
        <w:tc>
          <w:tcPr>
            <w:tcW w:w="1382" w:type="dxa"/>
            <w:tcBorders>
              <w:tl2br w:val="nil"/>
              <w:tr2bl w:val="nil"/>
            </w:tcBorders>
            <w:vAlign w:val="center"/>
          </w:tcPr>
          <w:p w14:paraId="6D509671">
            <w:pPr>
              <w:adjustRightInd w:val="0"/>
              <w:snapToGrid w:val="0"/>
              <w:spacing w:line="240" w:lineRule="auto"/>
              <w:jc w:val="center"/>
              <w:rPr>
                <w:sz w:val="21"/>
                <w:szCs w:val="21"/>
              </w:rPr>
            </w:pPr>
            <w:r>
              <w:rPr>
                <w:rFonts w:hint="eastAsia"/>
                <w:sz w:val="21"/>
                <w:szCs w:val="21"/>
              </w:rPr>
              <w:t>W：38</w:t>
            </w:r>
          </w:p>
        </w:tc>
        <w:tc>
          <w:tcPr>
            <w:tcW w:w="1145" w:type="dxa"/>
            <w:tcBorders>
              <w:tl2br w:val="nil"/>
              <w:tr2bl w:val="nil"/>
            </w:tcBorders>
            <w:vAlign w:val="center"/>
          </w:tcPr>
          <w:p w14:paraId="1AF30FD8">
            <w:pPr>
              <w:adjustRightInd w:val="0"/>
              <w:snapToGrid w:val="0"/>
              <w:spacing w:line="240" w:lineRule="auto"/>
              <w:jc w:val="center"/>
              <w:rPr>
                <w:sz w:val="21"/>
                <w:szCs w:val="21"/>
              </w:rPr>
            </w:pPr>
            <w:r>
              <w:rPr>
                <w:rFonts w:hint="eastAsia"/>
                <w:sz w:val="21"/>
                <w:szCs w:val="21"/>
              </w:rPr>
              <w:t>74.8</w:t>
            </w:r>
          </w:p>
        </w:tc>
        <w:tc>
          <w:tcPr>
            <w:tcW w:w="645" w:type="dxa"/>
            <w:vMerge w:val="continue"/>
            <w:tcBorders>
              <w:tl2br w:val="nil"/>
              <w:tr2bl w:val="nil"/>
            </w:tcBorders>
            <w:vAlign w:val="center"/>
          </w:tcPr>
          <w:p w14:paraId="2F7AF42D">
            <w:pPr>
              <w:adjustRightInd w:val="0"/>
              <w:snapToGrid w:val="0"/>
              <w:spacing w:line="240" w:lineRule="auto"/>
              <w:jc w:val="center"/>
              <w:rPr>
                <w:sz w:val="21"/>
                <w:szCs w:val="21"/>
              </w:rPr>
            </w:pPr>
          </w:p>
        </w:tc>
        <w:tc>
          <w:tcPr>
            <w:tcW w:w="1089" w:type="dxa"/>
            <w:tcBorders>
              <w:tl2br w:val="nil"/>
              <w:tr2bl w:val="nil"/>
            </w:tcBorders>
            <w:vAlign w:val="center"/>
          </w:tcPr>
          <w:p w14:paraId="11E57620">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70A39031">
            <w:pPr>
              <w:adjustRightInd w:val="0"/>
              <w:snapToGrid w:val="0"/>
              <w:spacing w:line="240" w:lineRule="auto"/>
              <w:jc w:val="center"/>
              <w:rPr>
                <w:sz w:val="21"/>
                <w:szCs w:val="21"/>
              </w:rPr>
            </w:pPr>
            <w:r>
              <w:rPr>
                <w:rFonts w:hint="eastAsia"/>
                <w:sz w:val="21"/>
                <w:szCs w:val="21"/>
              </w:rPr>
              <w:t>54.8</w:t>
            </w:r>
          </w:p>
        </w:tc>
        <w:tc>
          <w:tcPr>
            <w:tcW w:w="769" w:type="dxa"/>
            <w:tcBorders>
              <w:tl2br w:val="nil"/>
              <w:tr2bl w:val="nil"/>
            </w:tcBorders>
            <w:vAlign w:val="center"/>
          </w:tcPr>
          <w:p w14:paraId="54E296DB">
            <w:pPr>
              <w:adjustRightInd w:val="0"/>
              <w:snapToGrid w:val="0"/>
              <w:spacing w:line="240" w:lineRule="auto"/>
              <w:jc w:val="center"/>
              <w:rPr>
                <w:sz w:val="21"/>
                <w:szCs w:val="21"/>
              </w:rPr>
            </w:pPr>
            <w:r>
              <w:rPr>
                <w:rFonts w:hint="eastAsia"/>
                <w:sz w:val="21"/>
                <w:szCs w:val="21"/>
              </w:rPr>
              <w:t>1m</w:t>
            </w:r>
          </w:p>
        </w:tc>
      </w:tr>
      <w:tr w14:paraId="38F3DC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6B0CAD47">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5A1475D0">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3464D3B7">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57172FB3">
            <w:pPr>
              <w:adjustRightInd w:val="0"/>
              <w:snapToGrid w:val="0"/>
              <w:spacing w:line="240" w:lineRule="auto"/>
              <w:jc w:val="center"/>
              <w:rPr>
                <w:sz w:val="21"/>
                <w:szCs w:val="21"/>
              </w:rPr>
            </w:pPr>
          </w:p>
        </w:tc>
        <w:tc>
          <w:tcPr>
            <w:tcW w:w="708" w:type="dxa"/>
            <w:vMerge w:val="continue"/>
            <w:tcBorders>
              <w:tl2br w:val="nil"/>
              <w:tr2bl w:val="nil"/>
            </w:tcBorders>
            <w:vAlign w:val="center"/>
          </w:tcPr>
          <w:p w14:paraId="2A7B18E1">
            <w:pPr>
              <w:adjustRightInd w:val="0"/>
              <w:snapToGrid w:val="0"/>
              <w:spacing w:line="240" w:lineRule="auto"/>
              <w:jc w:val="center"/>
              <w:rPr>
                <w:sz w:val="21"/>
                <w:szCs w:val="21"/>
              </w:rPr>
            </w:pPr>
          </w:p>
        </w:tc>
        <w:tc>
          <w:tcPr>
            <w:tcW w:w="1216" w:type="dxa"/>
            <w:vMerge w:val="continue"/>
            <w:tcBorders>
              <w:tl2br w:val="nil"/>
              <w:tr2bl w:val="nil"/>
            </w:tcBorders>
            <w:vAlign w:val="center"/>
          </w:tcPr>
          <w:p w14:paraId="0AC42BAB">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29B0BFE3">
            <w:pPr>
              <w:adjustRightInd w:val="0"/>
              <w:snapToGrid w:val="0"/>
              <w:spacing w:line="240" w:lineRule="auto"/>
              <w:jc w:val="center"/>
              <w:rPr>
                <w:sz w:val="21"/>
                <w:szCs w:val="21"/>
              </w:rPr>
            </w:pPr>
          </w:p>
        </w:tc>
        <w:tc>
          <w:tcPr>
            <w:tcW w:w="786" w:type="dxa"/>
            <w:vMerge w:val="continue"/>
            <w:tcBorders>
              <w:tl2br w:val="nil"/>
              <w:tr2bl w:val="nil"/>
            </w:tcBorders>
            <w:vAlign w:val="center"/>
          </w:tcPr>
          <w:p w14:paraId="0D7024FB">
            <w:pPr>
              <w:adjustRightInd w:val="0"/>
              <w:snapToGrid w:val="0"/>
              <w:spacing w:line="240" w:lineRule="auto"/>
              <w:jc w:val="center"/>
              <w:rPr>
                <w:sz w:val="21"/>
                <w:szCs w:val="21"/>
              </w:rPr>
            </w:pPr>
          </w:p>
        </w:tc>
        <w:tc>
          <w:tcPr>
            <w:tcW w:w="828" w:type="dxa"/>
            <w:vMerge w:val="continue"/>
            <w:tcBorders>
              <w:tl2br w:val="nil"/>
              <w:tr2bl w:val="nil"/>
            </w:tcBorders>
            <w:vAlign w:val="center"/>
          </w:tcPr>
          <w:p w14:paraId="48C8EE75">
            <w:pPr>
              <w:adjustRightInd w:val="0"/>
              <w:snapToGrid w:val="0"/>
              <w:spacing w:line="240" w:lineRule="auto"/>
              <w:jc w:val="center"/>
              <w:rPr>
                <w:sz w:val="21"/>
                <w:szCs w:val="21"/>
              </w:rPr>
            </w:pPr>
          </w:p>
        </w:tc>
        <w:tc>
          <w:tcPr>
            <w:tcW w:w="755" w:type="dxa"/>
            <w:vMerge w:val="continue"/>
            <w:tcBorders>
              <w:tl2br w:val="nil"/>
              <w:tr2bl w:val="nil"/>
            </w:tcBorders>
            <w:vAlign w:val="center"/>
          </w:tcPr>
          <w:p w14:paraId="3361DFE9">
            <w:pPr>
              <w:adjustRightInd w:val="0"/>
              <w:snapToGrid w:val="0"/>
              <w:spacing w:line="240" w:lineRule="auto"/>
              <w:jc w:val="center"/>
              <w:rPr>
                <w:sz w:val="21"/>
                <w:szCs w:val="21"/>
              </w:rPr>
            </w:pPr>
          </w:p>
        </w:tc>
        <w:tc>
          <w:tcPr>
            <w:tcW w:w="1382" w:type="dxa"/>
            <w:tcBorders>
              <w:tl2br w:val="nil"/>
              <w:tr2bl w:val="nil"/>
            </w:tcBorders>
            <w:vAlign w:val="center"/>
          </w:tcPr>
          <w:p w14:paraId="2450E79A">
            <w:pPr>
              <w:adjustRightInd w:val="0"/>
              <w:snapToGrid w:val="0"/>
              <w:spacing w:line="240" w:lineRule="auto"/>
              <w:jc w:val="center"/>
              <w:rPr>
                <w:sz w:val="21"/>
                <w:szCs w:val="21"/>
              </w:rPr>
            </w:pPr>
            <w:r>
              <w:rPr>
                <w:rFonts w:hint="eastAsia"/>
                <w:sz w:val="21"/>
                <w:szCs w:val="21"/>
              </w:rPr>
              <w:t>N：19.2</w:t>
            </w:r>
          </w:p>
        </w:tc>
        <w:tc>
          <w:tcPr>
            <w:tcW w:w="1145" w:type="dxa"/>
            <w:tcBorders>
              <w:tl2br w:val="nil"/>
              <w:tr2bl w:val="nil"/>
            </w:tcBorders>
            <w:vAlign w:val="center"/>
          </w:tcPr>
          <w:p w14:paraId="2556DA1B">
            <w:pPr>
              <w:adjustRightInd w:val="0"/>
              <w:snapToGrid w:val="0"/>
              <w:spacing w:line="240" w:lineRule="auto"/>
              <w:jc w:val="center"/>
              <w:rPr>
                <w:sz w:val="21"/>
                <w:szCs w:val="21"/>
              </w:rPr>
            </w:pPr>
            <w:r>
              <w:rPr>
                <w:rFonts w:hint="eastAsia"/>
                <w:sz w:val="21"/>
                <w:szCs w:val="21"/>
              </w:rPr>
              <w:t>74.9</w:t>
            </w:r>
          </w:p>
        </w:tc>
        <w:tc>
          <w:tcPr>
            <w:tcW w:w="645" w:type="dxa"/>
            <w:vMerge w:val="continue"/>
            <w:tcBorders>
              <w:tl2br w:val="nil"/>
              <w:tr2bl w:val="nil"/>
            </w:tcBorders>
            <w:vAlign w:val="center"/>
          </w:tcPr>
          <w:p w14:paraId="2EF5806E">
            <w:pPr>
              <w:adjustRightInd w:val="0"/>
              <w:snapToGrid w:val="0"/>
              <w:spacing w:line="240" w:lineRule="auto"/>
              <w:jc w:val="center"/>
              <w:rPr>
                <w:sz w:val="21"/>
                <w:szCs w:val="21"/>
              </w:rPr>
            </w:pPr>
          </w:p>
        </w:tc>
        <w:tc>
          <w:tcPr>
            <w:tcW w:w="1089" w:type="dxa"/>
            <w:tcBorders>
              <w:tl2br w:val="nil"/>
              <w:tr2bl w:val="nil"/>
            </w:tcBorders>
            <w:vAlign w:val="center"/>
          </w:tcPr>
          <w:p w14:paraId="616A21EB">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2A6EA2BF">
            <w:pPr>
              <w:adjustRightInd w:val="0"/>
              <w:snapToGrid w:val="0"/>
              <w:spacing w:line="240" w:lineRule="auto"/>
              <w:jc w:val="center"/>
              <w:rPr>
                <w:sz w:val="21"/>
                <w:szCs w:val="21"/>
              </w:rPr>
            </w:pPr>
            <w:r>
              <w:rPr>
                <w:rFonts w:hint="eastAsia"/>
                <w:sz w:val="21"/>
                <w:szCs w:val="21"/>
              </w:rPr>
              <w:t>54.9</w:t>
            </w:r>
          </w:p>
        </w:tc>
        <w:tc>
          <w:tcPr>
            <w:tcW w:w="769" w:type="dxa"/>
            <w:tcBorders>
              <w:tl2br w:val="nil"/>
              <w:tr2bl w:val="nil"/>
            </w:tcBorders>
            <w:vAlign w:val="center"/>
          </w:tcPr>
          <w:p w14:paraId="661E0153">
            <w:pPr>
              <w:adjustRightInd w:val="0"/>
              <w:snapToGrid w:val="0"/>
              <w:spacing w:line="240" w:lineRule="auto"/>
              <w:jc w:val="center"/>
              <w:rPr>
                <w:sz w:val="21"/>
                <w:szCs w:val="21"/>
              </w:rPr>
            </w:pPr>
            <w:r>
              <w:rPr>
                <w:rFonts w:hint="eastAsia"/>
                <w:sz w:val="21"/>
                <w:szCs w:val="21"/>
              </w:rPr>
              <w:t>1m</w:t>
            </w:r>
          </w:p>
        </w:tc>
      </w:tr>
      <w:tr w14:paraId="234DB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267F767F">
            <w:pPr>
              <w:adjustRightInd w:val="0"/>
              <w:snapToGrid w:val="0"/>
              <w:spacing w:line="240" w:lineRule="auto"/>
              <w:jc w:val="center"/>
              <w:rPr>
                <w:sz w:val="21"/>
                <w:szCs w:val="21"/>
              </w:rPr>
            </w:pPr>
            <w:r>
              <w:rPr>
                <w:rFonts w:hint="eastAsia"/>
                <w:sz w:val="21"/>
                <w:szCs w:val="21"/>
              </w:rPr>
              <w:t>4</w:t>
            </w:r>
          </w:p>
        </w:tc>
        <w:tc>
          <w:tcPr>
            <w:tcW w:w="629" w:type="dxa"/>
            <w:vMerge w:val="continue"/>
            <w:tcBorders>
              <w:tl2br w:val="nil"/>
              <w:tr2bl w:val="nil"/>
            </w:tcBorders>
            <w:vAlign w:val="center"/>
          </w:tcPr>
          <w:p w14:paraId="5001AC3C">
            <w:pPr>
              <w:adjustRightInd w:val="0"/>
              <w:snapToGrid w:val="0"/>
              <w:spacing w:line="240" w:lineRule="auto"/>
              <w:jc w:val="center"/>
              <w:rPr>
                <w:sz w:val="21"/>
                <w:szCs w:val="21"/>
              </w:rPr>
            </w:pPr>
          </w:p>
        </w:tc>
        <w:tc>
          <w:tcPr>
            <w:tcW w:w="480" w:type="dxa"/>
            <w:vMerge w:val="restart"/>
            <w:tcBorders>
              <w:tl2br w:val="nil"/>
              <w:tr2bl w:val="nil"/>
            </w:tcBorders>
            <w:vAlign w:val="center"/>
          </w:tcPr>
          <w:p w14:paraId="2597A21D">
            <w:pPr>
              <w:adjustRightInd w:val="0"/>
              <w:snapToGrid w:val="0"/>
              <w:spacing w:line="240" w:lineRule="auto"/>
              <w:jc w:val="center"/>
              <w:rPr>
                <w:sz w:val="21"/>
                <w:szCs w:val="21"/>
              </w:rPr>
            </w:pPr>
            <w:r>
              <w:rPr>
                <w:rFonts w:hint="eastAsia"/>
                <w:sz w:val="21"/>
                <w:szCs w:val="21"/>
              </w:rPr>
              <w:t>品检机</w:t>
            </w:r>
          </w:p>
        </w:tc>
        <w:tc>
          <w:tcPr>
            <w:tcW w:w="1534" w:type="dxa"/>
            <w:vMerge w:val="restart"/>
            <w:tcBorders>
              <w:tl2br w:val="nil"/>
              <w:tr2bl w:val="nil"/>
            </w:tcBorders>
            <w:vAlign w:val="center"/>
          </w:tcPr>
          <w:p w14:paraId="2FA14D6C">
            <w:pPr>
              <w:adjustRightInd w:val="0"/>
              <w:snapToGrid w:val="0"/>
              <w:spacing w:line="240" w:lineRule="auto"/>
              <w:jc w:val="center"/>
              <w:rPr>
                <w:sz w:val="21"/>
                <w:szCs w:val="21"/>
              </w:rPr>
            </w:pPr>
            <w:r>
              <w:rPr>
                <w:sz w:val="21"/>
                <w:szCs w:val="21"/>
              </w:rPr>
              <w:t>1200D</w:t>
            </w:r>
          </w:p>
        </w:tc>
        <w:tc>
          <w:tcPr>
            <w:tcW w:w="708" w:type="dxa"/>
            <w:vMerge w:val="restart"/>
            <w:tcBorders>
              <w:tl2br w:val="nil"/>
              <w:tr2bl w:val="nil"/>
            </w:tcBorders>
            <w:vAlign w:val="center"/>
          </w:tcPr>
          <w:p w14:paraId="4D8938B3">
            <w:pPr>
              <w:adjustRightInd w:val="0"/>
              <w:snapToGrid w:val="0"/>
              <w:spacing w:line="240" w:lineRule="auto"/>
              <w:jc w:val="center"/>
              <w:rPr>
                <w:sz w:val="21"/>
                <w:szCs w:val="21"/>
              </w:rPr>
            </w:pPr>
            <w:r>
              <w:rPr>
                <w:rFonts w:hint="eastAsia"/>
                <w:sz w:val="21"/>
                <w:szCs w:val="21"/>
              </w:rPr>
              <w:t>10台</w:t>
            </w:r>
          </w:p>
        </w:tc>
        <w:tc>
          <w:tcPr>
            <w:tcW w:w="1216" w:type="dxa"/>
            <w:vMerge w:val="restart"/>
            <w:tcBorders>
              <w:tl2br w:val="nil"/>
              <w:tr2bl w:val="nil"/>
            </w:tcBorders>
            <w:vAlign w:val="center"/>
          </w:tcPr>
          <w:p w14:paraId="45896F8B">
            <w:pPr>
              <w:adjustRightInd w:val="0"/>
              <w:snapToGrid w:val="0"/>
              <w:spacing w:line="240" w:lineRule="auto"/>
              <w:jc w:val="center"/>
              <w:rPr>
                <w:sz w:val="21"/>
                <w:szCs w:val="21"/>
              </w:rPr>
            </w:pPr>
            <w:r>
              <w:rPr>
                <w:rFonts w:hint="eastAsia"/>
                <w:sz w:val="21"/>
                <w:szCs w:val="21"/>
              </w:rPr>
              <w:t>70~95</w:t>
            </w:r>
          </w:p>
          <w:p w14:paraId="3F34295F">
            <w:pPr>
              <w:adjustRightInd w:val="0"/>
              <w:snapToGrid w:val="0"/>
              <w:spacing w:line="240" w:lineRule="auto"/>
              <w:jc w:val="center"/>
              <w:rPr>
                <w:color w:val="FF0000"/>
                <w:sz w:val="21"/>
                <w:szCs w:val="21"/>
              </w:rPr>
            </w:pPr>
            <w:r>
              <w:rPr>
                <w:rFonts w:hint="eastAsia"/>
                <w:sz w:val="21"/>
                <w:szCs w:val="21"/>
              </w:rPr>
              <w:t>叠加后92.5</w:t>
            </w:r>
          </w:p>
        </w:tc>
        <w:tc>
          <w:tcPr>
            <w:tcW w:w="645" w:type="dxa"/>
            <w:vMerge w:val="restart"/>
            <w:tcBorders>
              <w:tl2br w:val="nil"/>
              <w:tr2bl w:val="nil"/>
            </w:tcBorders>
            <w:vAlign w:val="center"/>
          </w:tcPr>
          <w:p w14:paraId="3407C71B">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6D39DD95">
            <w:pPr>
              <w:adjustRightInd w:val="0"/>
              <w:snapToGrid w:val="0"/>
              <w:spacing w:line="240" w:lineRule="auto"/>
              <w:jc w:val="center"/>
              <w:rPr>
                <w:sz w:val="21"/>
                <w:szCs w:val="21"/>
              </w:rPr>
            </w:pPr>
            <w:r>
              <w:rPr>
                <w:rFonts w:hint="eastAsia"/>
                <w:sz w:val="21"/>
                <w:szCs w:val="21"/>
              </w:rPr>
              <w:t>-55.2</w:t>
            </w:r>
          </w:p>
        </w:tc>
        <w:tc>
          <w:tcPr>
            <w:tcW w:w="828" w:type="dxa"/>
            <w:vMerge w:val="restart"/>
            <w:tcBorders>
              <w:tl2br w:val="nil"/>
              <w:tr2bl w:val="nil"/>
            </w:tcBorders>
            <w:vAlign w:val="center"/>
          </w:tcPr>
          <w:p w14:paraId="5B31CDAF">
            <w:pPr>
              <w:adjustRightInd w:val="0"/>
              <w:snapToGrid w:val="0"/>
              <w:spacing w:line="240" w:lineRule="auto"/>
              <w:jc w:val="center"/>
              <w:rPr>
                <w:sz w:val="21"/>
                <w:szCs w:val="21"/>
              </w:rPr>
            </w:pPr>
            <w:r>
              <w:rPr>
                <w:rFonts w:hint="eastAsia"/>
                <w:sz w:val="21"/>
                <w:szCs w:val="21"/>
              </w:rPr>
              <w:t>17.7</w:t>
            </w:r>
          </w:p>
        </w:tc>
        <w:tc>
          <w:tcPr>
            <w:tcW w:w="755" w:type="dxa"/>
            <w:vMerge w:val="restart"/>
            <w:tcBorders>
              <w:tl2br w:val="nil"/>
              <w:tr2bl w:val="nil"/>
            </w:tcBorders>
            <w:vAlign w:val="center"/>
          </w:tcPr>
          <w:p w14:paraId="073FA923">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53963E5D">
            <w:pPr>
              <w:adjustRightInd w:val="0"/>
              <w:snapToGrid w:val="0"/>
              <w:spacing w:line="240" w:lineRule="auto"/>
              <w:jc w:val="center"/>
              <w:rPr>
                <w:sz w:val="21"/>
                <w:szCs w:val="21"/>
              </w:rPr>
            </w:pPr>
            <w:r>
              <w:rPr>
                <w:rFonts w:hint="eastAsia"/>
                <w:sz w:val="21"/>
                <w:szCs w:val="21"/>
              </w:rPr>
              <w:t>E：74</w:t>
            </w:r>
          </w:p>
        </w:tc>
        <w:tc>
          <w:tcPr>
            <w:tcW w:w="1145" w:type="dxa"/>
            <w:tcBorders>
              <w:tl2br w:val="nil"/>
              <w:tr2bl w:val="nil"/>
            </w:tcBorders>
            <w:vAlign w:val="center"/>
          </w:tcPr>
          <w:p w14:paraId="595F2EB2">
            <w:pPr>
              <w:adjustRightInd w:val="0"/>
              <w:snapToGrid w:val="0"/>
              <w:spacing w:line="240" w:lineRule="auto"/>
              <w:jc w:val="center"/>
              <w:rPr>
                <w:sz w:val="21"/>
                <w:szCs w:val="21"/>
              </w:rPr>
            </w:pPr>
            <w:r>
              <w:rPr>
                <w:rFonts w:hint="eastAsia"/>
                <w:sz w:val="21"/>
                <w:szCs w:val="21"/>
              </w:rPr>
              <w:t>77.3</w:t>
            </w:r>
          </w:p>
        </w:tc>
        <w:tc>
          <w:tcPr>
            <w:tcW w:w="645" w:type="dxa"/>
            <w:vMerge w:val="continue"/>
            <w:tcBorders>
              <w:tl2br w:val="nil"/>
              <w:tr2bl w:val="nil"/>
            </w:tcBorders>
            <w:vAlign w:val="center"/>
          </w:tcPr>
          <w:p w14:paraId="74429871">
            <w:pPr>
              <w:adjustRightInd w:val="0"/>
              <w:snapToGrid w:val="0"/>
              <w:spacing w:line="240" w:lineRule="auto"/>
              <w:jc w:val="center"/>
              <w:rPr>
                <w:sz w:val="21"/>
                <w:szCs w:val="21"/>
              </w:rPr>
            </w:pPr>
          </w:p>
        </w:tc>
        <w:tc>
          <w:tcPr>
            <w:tcW w:w="1089" w:type="dxa"/>
            <w:tcBorders>
              <w:tl2br w:val="nil"/>
              <w:tr2bl w:val="nil"/>
            </w:tcBorders>
            <w:vAlign w:val="center"/>
          </w:tcPr>
          <w:p w14:paraId="1523E4B5">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27E12711">
            <w:pPr>
              <w:adjustRightInd w:val="0"/>
              <w:snapToGrid w:val="0"/>
              <w:spacing w:line="240" w:lineRule="auto"/>
              <w:jc w:val="center"/>
              <w:rPr>
                <w:sz w:val="21"/>
                <w:szCs w:val="21"/>
              </w:rPr>
            </w:pPr>
            <w:r>
              <w:rPr>
                <w:rFonts w:hint="eastAsia"/>
                <w:sz w:val="21"/>
                <w:szCs w:val="21"/>
              </w:rPr>
              <w:t>57.3</w:t>
            </w:r>
          </w:p>
        </w:tc>
        <w:tc>
          <w:tcPr>
            <w:tcW w:w="769" w:type="dxa"/>
            <w:tcBorders>
              <w:tl2br w:val="nil"/>
              <w:tr2bl w:val="nil"/>
            </w:tcBorders>
            <w:vAlign w:val="center"/>
          </w:tcPr>
          <w:p w14:paraId="0DC8738F">
            <w:pPr>
              <w:adjustRightInd w:val="0"/>
              <w:snapToGrid w:val="0"/>
              <w:spacing w:line="240" w:lineRule="auto"/>
              <w:jc w:val="center"/>
              <w:rPr>
                <w:sz w:val="21"/>
                <w:szCs w:val="21"/>
              </w:rPr>
            </w:pPr>
            <w:r>
              <w:rPr>
                <w:rFonts w:hint="eastAsia"/>
                <w:sz w:val="21"/>
                <w:szCs w:val="21"/>
              </w:rPr>
              <w:t>1m</w:t>
            </w:r>
          </w:p>
        </w:tc>
      </w:tr>
      <w:tr w14:paraId="5FD96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58FBB8F6">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51D2F3A3">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2729F862">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599AAA58">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1DD4FC65">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18741AEA">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3C04A413">
            <w:pPr>
              <w:adjustRightInd w:val="0"/>
              <w:snapToGrid w:val="0"/>
              <w:spacing w:line="240" w:lineRule="auto"/>
              <w:jc w:val="center"/>
              <w:rPr>
                <w:sz w:val="21"/>
                <w:szCs w:val="21"/>
              </w:rPr>
            </w:pPr>
          </w:p>
        </w:tc>
        <w:tc>
          <w:tcPr>
            <w:tcW w:w="786" w:type="dxa"/>
            <w:vMerge w:val="continue"/>
            <w:tcBorders>
              <w:tl2br w:val="nil"/>
              <w:tr2bl w:val="nil"/>
            </w:tcBorders>
            <w:vAlign w:val="center"/>
          </w:tcPr>
          <w:p w14:paraId="111E0426">
            <w:pPr>
              <w:adjustRightInd w:val="0"/>
              <w:snapToGrid w:val="0"/>
              <w:spacing w:line="240" w:lineRule="auto"/>
              <w:jc w:val="center"/>
              <w:rPr>
                <w:sz w:val="21"/>
                <w:szCs w:val="21"/>
              </w:rPr>
            </w:pPr>
          </w:p>
        </w:tc>
        <w:tc>
          <w:tcPr>
            <w:tcW w:w="828" w:type="dxa"/>
            <w:vMerge w:val="continue"/>
            <w:tcBorders>
              <w:tl2br w:val="nil"/>
              <w:tr2bl w:val="nil"/>
            </w:tcBorders>
            <w:vAlign w:val="center"/>
          </w:tcPr>
          <w:p w14:paraId="7EF73524">
            <w:pPr>
              <w:adjustRightInd w:val="0"/>
              <w:snapToGrid w:val="0"/>
              <w:spacing w:line="240" w:lineRule="auto"/>
              <w:jc w:val="center"/>
              <w:rPr>
                <w:sz w:val="21"/>
                <w:szCs w:val="21"/>
              </w:rPr>
            </w:pPr>
          </w:p>
        </w:tc>
        <w:tc>
          <w:tcPr>
            <w:tcW w:w="755" w:type="dxa"/>
            <w:vMerge w:val="continue"/>
            <w:tcBorders>
              <w:tl2br w:val="nil"/>
              <w:tr2bl w:val="nil"/>
            </w:tcBorders>
            <w:vAlign w:val="center"/>
          </w:tcPr>
          <w:p w14:paraId="1AC4DD9B">
            <w:pPr>
              <w:adjustRightInd w:val="0"/>
              <w:snapToGrid w:val="0"/>
              <w:spacing w:line="240" w:lineRule="auto"/>
              <w:jc w:val="center"/>
              <w:rPr>
                <w:sz w:val="21"/>
                <w:szCs w:val="21"/>
              </w:rPr>
            </w:pPr>
          </w:p>
        </w:tc>
        <w:tc>
          <w:tcPr>
            <w:tcW w:w="1382" w:type="dxa"/>
            <w:tcBorders>
              <w:tl2br w:val="nil"/>
              <w:tr2bl w:val="nil"/>
            </w:tcBorders>
            <w:vAlign w:val="center"/>
          </w:tcPr>
          <w:p w14:paraId="3CAD1330">
            <w:pPr>
              <w:adjustRightInd w:val="0"/>
              <w:snapToGrid w:val="0"/>
              <w:spacing w:line="240" w:lineRule="auto"/>
              <w:jc w:val="center"/>
              <w:rPr>
                <w:sz w:val="21"/>
                <w:szCs w:val="21"/>
              </w:rPr>
            </w:pPr>
            <w:r>
              <w:rPr>
                <w:rFonts w:hint="eastAsia"/>
                <w:sz w:val="21"/>
                <w:szCs w:val="21"/>
              </w:rPr>
              <w:t>S：12.9</w:t>
            </w:r>
          </w:p>
        </w:tc>
        <w:tc>
          <w:tcPr>
            <w:tcW w:w="1145" w:type="dxa"/>
            <w:tcBorders>
              <w:tl2br w:val="nil"/>
              <w:tr2bl w:val="nil"/>
            </w:tcBorders>
            <w:vAlign w:val="center"/>
          </w:tcPr>
          <w:p w14:paraId="64F346B7">
            <w:pPr>
              <w:adjustRightInd w:val="0"/>
              <w:snapToGrid w:val="0"/>
              <w:spacing w:line="240" w:lineRule="auto"/>
              <w:jc w:val="center"/>
              <w:rPr>
                <w:sz w:val="21"/>
                <w:szCs w:val="21"/>
              </w:rPr>
            </w:pPr>
            <w:r>
              <w:rPr>
                <w:rFonts w:hint="eastAsia"/>
                <w:sz w:val="21"/>
                <w:szCs w:val="21"/>
              </w:rPr>
              <w:t>77.4</w:t>
            </w:r>
          </w:p>
        </w:tc>
        <w:tc>
          <w:tcPr>
            <w:tcW w:w="645" w:type="dxa"/>
            <w:vMerge w:val="continue"/>
            <w:tcBorders>
              <w:tl2br w:val="nil"/>
              <w:tr2bl w:val="nil"/>
            </w:tcBorders>
            <w:vAlign w:val="center"/>
          </w:tcPr>
          <w:p w14:paraId="58E6062E">
            <w:pPr>
              <w:adjustRightInd w:val="0"/>
              <w:snapToGrid w:val="0"/>
              <w:spacing w:line="240" w:lineRule="auto"/>
              <w:jc w:val="center"/>
              <w:rPr>
                <w:sz w:val="21"/>
                <w:szCs w:val="21"/>
              </w:rPr>
            </w:pPr>
          </w:p>
        </w:tc>
        <w:tc>
          <w:tcPr>
            <w:tcW w:w="1089" w:type="dxa"/>
            <w:tcBorders>
              <w:tl2br w:val="nil"/>
              <w:tr2bl w:val="nil"/>
            </w:tcBorders>
            <w:vAlign w:val="center"/>
          </w:tcPr>
          <w:p w14:paraId="6245B9BB">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5062F18E">
            <w:pPr>
              <w:adjustRightInd w:val="0"/>
              <w:snapToGrid w:val="0"/>
              <w:spacing w:line="240" w:lineRule="auto"/>
              <w:jc w:val="center"/>
              <w:rPr>
                <w:sz w:val="21"/>
                <w:szCs w:val="21"/>
              </w:rPr>
            </w:pPr>
            <w:r>
              <w:rPr>
                <w:rFonts w:hint="eastAsia"/>
                <w:sz w:val="21"/>
                <w:szCs w:val="21"/>
              </w:rPr>
              <w:t>57.4</w:t>
            </w:r>
          </w:p>
        </w:tc>
        <w:tc>
          <w:tcPr>
            <w:tcW w:w="769" w:type="dxa"/>
            <w:tcBorders>
              <w:tl2br w:val="nil"/>
              <w:tr2bl w:val="nil"/>
            </w:tcBorders>
            <w:vAlign w:val="center"/>
          </w:tcPr>
          <w:p w14:paraId="5E0EB9CA">
            <w:pPr>
              <w:adjustRightInd w:val="0"/>
              <w:snapToGrid w:val="0"/>
              <w:spacing w:line="240" w:lineRule="auto"/>
              <w:jc w:val="center"/>
              <w:rPr>
                <w:sz w:val="21"/>
                <w:szCs w:val="21"/>
              </w:rPr>
            </w:pPr>
            <w:r>
              <w:rPr>
                <w:rFonts w:hint="eastAsia"/>
                <w:sz w:val="21"/>
                <w:szCs w:val="21"/>
              </w:rPr>
              <w:t>1m</w:t>
            </w:r>
          </w:p>
        </w:tc>
      </w:tr>
      <w:tr w14:paraId="28193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68D55346">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272282FF">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0A57CF7B">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43D28A1E">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0B5914CD">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60602A6B">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3EF1A5C6">
            <w:pPr>
              <w:adjustRightInd w:val="0"/>
              <w:snapToGrid w:val="0"/>
              <w:spacing w:line="240" w:lineRule="auto"/>
              <w:jc w:val="center"/>
              <w:rPr>
                <w:sz w:val="21"/>
                <w:szCs w:val="21"/>
              </w:rPr>
            </w:pPr>
          </w:p>
        </w:tc>
        <w:tc>
          <w:tcPr>
            <w:tcW w:w="786" w:type="dxa"/>
            <w:vMerge w:val="continue"/>
            <w:tcBorders>
              <w:tl2br w:val="nil"/>
              <w:tr2bl w:val="nil"/>
            </w:tcBorders>
            <w:vAlign w:val="center"/>
          </w:tcPr>
          <w:p w14:paraId="453D1669">
            <w:pPr>
              <w:adjustRightInd w:val="0"/>
              <w:snapToGrid w:val="0"/>
              <w:spacing w:line="240" w:lineRule="auto"/>
              <w:jc w:val="center"/>
              <w:rPr>
                <w:sz w:val="21"/>
                <w:szCs w:val="21"/>
              </w:rPr>
            </w:pPr>
          </w:p>
        </w:tc>
        <w:tc>
          <w:tcPr>
            <w:tcW w:w="828" w:type="dxa"/>
            <w:vMerge w:val="continue"/>
            <w:tcBorders>
              <w:tl2br w:val="nil"/>
              <w:tr2bl w:val="nil"/>
            </w:tcBorders>
            <w:vAlign w:val="center"/>
          </w:tcPr>
          <w:p w14:paraId="6450F4EB">
            <w:pPr>
              <w:adjustRightInd w:val="0"/>
              <w:snapToGrid w:val="0"/>
              <w:spacing w:line="240" w:lineRule="auto"/>
              <w:jc w:val="center"/>
              <w:rPr>
                <w:sz w:val="21"/>
                <w:szCs w:val="21"/>
              </w:rPr>
            </w:pPr>
          </w:p>
        </w:tc>
        <w:tc>
          <w:tcPr>
            <w:tcW w:w="755" w:type="dxa"/>
            <w:vMerge w:val="continue"/>
            <w:tcBorders>
              <w:tl2br w:val="nil"/>
              <w:tr2bl w:val="nil"/>
            </w:tcBorders>
            <w:vAlign w:val="center"/>
          </w:tcPr>
          <w:p w14:paraId="0AE6D86A">
            <w:pPr>
              <w:adjustRightInd w:val="0"/>
              <w:snapToGrid w:val="0"/>
              <w:spacing w:line="240" w:lineRule="auto"/>
              <w:jc w:val="center"/>
              <w:rPr>
                <w:sz w:val="21"/>
                <w:szCs w:val="21"/>
              </w:rPr>
            </w:pPr>
          </w:p>
        </w:tc>
        <w:tc>
          <w:tcPr>
            <w:tcW w:w="1382" w:type="dxa"/>
            <w:tcBorders>
              <w:tl2br w:val="nil"/>
              <w:tr2bl w:val="nil"/>
            </w:tcBorders>
            <w:vAlign w:val="center"/>
          </w:tcPr>
          <w:p w14:paraId="0390A3BE">
            <w:pPr>
              <w:adjustRightInd w:val="0"/>
              <w:snapToGrid w:val="0"/>
              <w:spacing w:line="240" w:lineRule="auto"/>
              <w:jc w:val="center"/>
              <w:rPr>
                <w:sz w:val="21"/>
                <w:szCs w:val="21"/>
              </w:rPr>
            </w:pPr>
            <w:r>
              <w:rPr>
                <w:rFonts w:hint="eastAsia"/>
                <w:sz w:val="21"/>
                <w:szCs w:val="21"/>
              </w:rPr>
              <w:t>W：70.8</w:t>
            </w:r>
          </w:p>
        </w:tc>
        <w:tc>
          <w:tcPr>
            <w:tcW w:w="1145" w:type="dxa"/>
            <w:tcBorders>
              <w:tl2br w:val="nil"/>
              <w:tr2bl w:val="nil"/>
            </w:tcBorders>
            <w:vAlign w:val="center"/>
          </w:tcPr>
          <w:p w14:paraId="2A4FFE27">
            <w:pPr>
              <w:adjustRightInd w:val="0"/>
              <w:snapToGrid w:val="0"/>
              <w:spacing w:line="240" w:lineRule="auto"/>
              <w:jc w:val="center"/>
              <w:rPr>
                <w:sz w:val="21"/>
                <w:szCs w:val="21"/>
              </w:rPr>
            </w:pPr>
            <w:r>
              <w:rPr>
                <w:rFonts w:hint="eastAsia"/>
                <w:sz w:val="21"/>
                <w:szCs w:val="21"/>
              </w:rPr>
              <w:t>77.3</w:t>
            </w:r>
          </w:p>
        </w:tc>
        <w:tc>
          <w:tcPr>
            <w:tcW w:w="645" w:type="dxa"/>
            <w:vMerge w:val="continue"/>
            <w:tcBorders>
              <w:tl2br w:val="nil"/>
              <w:tr2bl w:val="nil"/>
            </w:tcBorders>
            <w:vAlign w:val="center"/>
          </w:tcPr>
          <w:p w14:paraId="06C2898E">
            <w:pPr>
              <w:adjustRightInd w:val="0"/>
              <w:snapToGrid w:val="0"/>
              <w:spacing w:line="240" w:lineRule="auto"/>
              <w:jc w:val="center"/>
              <w:rPr>
                <w:sz w:val="21"/>
                <w:szCs w:val="21"/>
              </w:rPr>
            </w:pPr>
          </w:p>
        </w:tc>
        <w:tc>
          <w:tcPr>
            <w:tcW w:w="1089" w:type="dxa"/>
            <w:tcBorders>
              <w:tl2br w:val="nil"/>
              <w:tr2bl w:val="nil"/>
            </w:tcBorders>
            <w:vAlign w:val="center"/>
          </w:tcPr>
          <w:p w14:paraId="4DF72051">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13A19FF4">
            <w:pPr>
              <w:adjustRightInd w:val="0"/>
              <w:snapToGrid w:val="0"/>
              <w:spacing w:line="240" w:lineRule="auto"/>
              <w:jc w:val="center"/>
              <w:rPr>
                <w:sz w:val="21"/>
                <w:szCs w:val="21"/>
              </w:rPr>
            </w:pPr>
            <w:r>
              <w:rPr>
                <w:rFonts w:hint="eastAsia"/>
                <w:sz w:val="21"/>
                <w:szCs w:val="21"/>
              </w:rPr>
              <w:t>57.3</w:t>
            </w:r>
          </w:p>
        </w:tc>
        <w:tc>
          <w:tcPr>
            <w:tcW w:w="769" w:type="dxa"/>
            <w:tcBorders>
              <w:tl2br w:val="nil"/>
              <w:tr2bl w:val="nil"/>
            </w:tcBorders>
            <w:vAlign w:val="center"/>
          </w:tcPr>
          <w:p w14:paraId="55943D29">
            <w:pPr>
              <w:adjustRightInd w:val="0"/>
              <w:snapToGrid w:val="0"/>
              <w:spacing w:line="240" w:lineRule="auto"/>
              <w:jc w:val="center"/>
              <w:rPr>
                <w:sz w:val="21"/>
                <w:szCs w:val="21"/>
              </w:rPr>
            </w:pPr>
            <w:r>
              <w:rPr>
                <w:rFonts w:hint="eastAsia"/>
                <w:sz w:val="21"/>
                <w:szCs w:val="21"/>
              </w:rPr>
              <w:t>1m</w:t>
            </w:r>
          </w:p>
        </w:tc>
      </w:tr>
      <w:tr w14:paraId="60562E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7C4F1AE5">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417C7B8E">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098D5DBD">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274E5F8C">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42671D64">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4052F28A">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703F2DB5">
            <w:pPr>
              <w:adjustRightInd w:val="0"/>
              <w:snapToGrid w:val="0"/>
              <w:spacing w:line="240" w:lineRule="auto"/>
              <w:jc w:val="center"/>
              <w:rPr>
                <w:sz w:val="21"/>
                <w:szCs w:val="21"/>
              </w:rPr>
            </w:pPr>
          </w:p>
        </w:tc>
        <w:tc>
          <w:tcPr>
            <w:tcW w:w="786" w:type="dxa"/>
            <w:vMerge w:val="continue"/>
            <w:tcBorders>
              <w:tl2br w:val="nil"/>
              <w:tr2bl w:val="nil"/>
            </w:tcBorders>
            <w:vAlign w:val="center"/>
          </w:tcPr>
          <w:p w14:paraId="355F7596">
            <w:pPr>
              <w:adjustRightInd w:val="0"/>
              <w:snapToGrid w:val="0"/>
              <w:spacing w:line="240" w:lineRule="auto"/>
              <w:jc w:val="center"/>
              <w:rPr>
                <w:sz w:val="21"/>
                <w:szCs w:val="21"/>
              </w:rPr>
            </w:pPr>
          </w:p>
        </w:tc>
        <w:tc>
          <w:tcPr>
            <w:tcW w:w="828" w:type="dxa"/>
            <w:vMerge w:val="continue"/>
            <w:tcBorders>
              <w:tl2br w:val="nil"/>
              <w:tr2bl w:val="nil"/>
            </w:tcBorders>
            <w:vAlign w:val="center"/>
          </w:tcPr>
          <w:p w14:paraId="6950D00F">
            <w:pPr>
              <w:adjustRightInd w:val="0"/>
              <w:snapToGrid w:val="0"/>
              <w:spacing w:line="240" w:lineRule="auto"/>
              <w:jc w:val="center"/>
              <w:rPr>
                <w:sz w:val="21"/>
                <w:szCs w:val="21"/>
              </w:rPr>
            </w:pPr>
          </w:p>
        </w:tc>
        <w:tc>
          <w:tcPr>
            <w:tcW w:w="755" w:type="dxa"/>
            <w:vMerge w:val="continue"/>
            <w:tcBorders>
              <w:tl2br w:val="nil"/>
              <w:tr2bl w:val="nil"/>
            </w:tcBorders>
            <w:vAlign w:val="center"/>
          </w:tcPr>
          <w:p w14:paraId="6D25500B">
            <w:pPr>
              <w:adjustRightInd w:val="0"/>
              <w:snapToGrid w:val="0"/>
              <w:spacing w:line="240" w:lineRule="auto"/>
              <w:jc w:val="center"/>
              <w:rPr>
                <w:sz w:val="21"/>
                <w:szCs w:val="21"/>
              </w:rPr>
            </w:pPr>
          </w:p>
        </w:tc>
        <w:tc>
          <w:tcPr>
            <w:tcW w:w="1382" w:type="dxa"/>
            <w:tcBorders>
              <w:tl2br w:val="nil"/>
              <w:tr2bl w:val="nil"/>
            </w:tcBorders>
            <w:vAlign w:val="center"/>
          </w:tcPr>
          <w:p w14:paraId="6F5953BC">
            <w:pPr>
              <w:adjustRightInd w:val="0"/>
              <w:snapToGrid w:val="0"/>
              <w:spacing w:line="240" w:lineRule="auto"/>
              <w:jc w:val="center"/>
              <w:rPr>
                <w:sz w:val="21"/>
                <w:szCs w:val="21"/>
              </w:rPr>
            </w:pPr>
            <w:r>
              <w:rPr>
                <w:rFonts w:hint="eastAsia"/>
                <w:sz w:val="21"/>
                <w:szCs w:val="21"/>
              </w:rPr>
              <w:t>N：20.3</w:t>
            </w:r>
          </w:p>
        </w:tc>
        <w:tc>
          <w:tcPr>
            <w:tcW w:w="1145" w:type="dxa"/>
            <w:tcBorders>
              <w:tl2br w:val="nil"/>
              <w:tr2bl w:val="nil"/>
            </w:tcBorders>
            <w:vAlign w:val="center"/>
          </w:tcPr>
          <w:p w14:paraId="0536DC59">
            <w:pPr>
              <w:adjustRightInd w:val="0"/>
              <w:snapToGrid w:val="0"/>
              <w:spacing w:line="240" w:lineRule="auto"/>
              <w:jc w:val="center"/>
              <w:rPr>
                <w:sz w:val="21"/>
                <w:szCs w:val="21"/>
              </w:rPr>
            </w:pPr>
            <w:r>
              <w:rPr>
                <w:rFonts w:hint="eastAsia"/>
                <w:sz w:val="21"/>
                <w:szCs w:val="21"/>
              </w:rPr>
              <w:t>77.3</w:t>
            </w:r>
          </w:p>
        </w:tc>
        <w:tc>
          <w:tcPr>
            <w:tcW w:w="645" w:type="dxa"/>
            <w:vMerge w:val="continue"/>
            <w:tcBorders>
              <w:tl2br w:val="nil"/>
              <w:tr2bl w:val="nil"/>
            </w:tcBorders>
            <w:vAlign w:val="center"/>
          </w:tcPr>
          <w:p w14:paraId="477DCDF1">
            <w:pPr>
              <w:adjustRightInd w:val="0"/>
              <w:snapToGrid w:val="0"/>
              <w:spacing w:line="240" w:lineRule="auto"/>
              <w:jc w:val="center"/>
              <w:rPr>
                <w:sz w:val="21"/>
                <w:szCs w:val="21"/>
              </w:rPr>
            </w:pPr>
          </w:p>
        </w:tc>
        <w:tc>
          <w:tcPr>
            <w:tcW w:w="1089" w:type="dxa"/>
            <w:tcBorders>
              <w:tl2br w:val="nil"/>
              <w:tr2bl w:val="nil"/>
            </w:tcBorders>
            <w:vAlign w:val="center"/>
          </w:tcPr>
          <w:p w14:paraId="730D91AE">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6D6A91CF">
            <w:pPr>
              <w:adjustRightInd w:val="0"/>
              <w:snapToGrid w:val="0"/>
              <w:spacing w:line="240" w:lineRule="auto"/>
              <w:jc w:val="center"/>
              <w:rPr>
                <w:sz w:val="21"/>
                <w:szCs w:val="21"/>
              </w:rPr>
            </w:pPr>
            <w:r>
              <w:rPr>
                <w:rFonts w:hint="eastAsia"/>
                <w:sz w:val="21"/>
                <w:szCs w:val="21"/>
              </w:rPr>
              <w:t>57.3</w:t>
            </w:r>
          </w:p>
        </w:tc>
        <w:tc>
          <w:tcPr>
            <w:tcW w:w="769" w:type="dxa"/>
            <w:tcBorders>
              <w:tl2br w:val="nil"/>
              <w:tr2bl w:val="nil"/>
            </w:tcBorders>
            <w:vAlign w:val="center"/>
          </w:tcPr>
          <w:p w14:paraId="0DB4CCF9">
            <w:pPr>
              <w:adjustRightInd w:val="0"/>
              <w:snapToGrid w:val="0"/>
              <w:spacing w:line="240" w:lineRule="auto"/>
              <w:jc w:val="center"/>
              <w:rPr>
                <w:sz w:val="21"/>
                <w:szCs w:val="21"/>
              </w:rPr>
            </w:pPr>
            <w:r>
              <w:rPr>
                <w:rFonts w:hint="eastAsia"/>
                <w:sz w:val="21"/>
                <w:szCs w:val="21"/>
              </w:rPr>
              <w:t>1m</w:t>
            </w:r>
          </w:p>
        </w:tc>
      </w:tr>
      <w:tr w14:paraId="78D002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1403FCE3">
            <w:pPr>
              <w:adjustRightInd w:val="0"/>
              <w:snapToGrid w:val="0"/>
              <w:spacing w:line="240" w:lineRule="auto"/>
              <w:jc w:val="center"/>
              <w:rPr>
                <w:sz w:val="21"/>
                <w:szCs w:val="21"/>
              </w:rPr>
            </w:pPr>
            <w:r>
              <w:rPr>
                <w:rFonts w:hint="eastAsia"/>
                <w:sz w:val="21"/>
                <w:szCs w:val="21"/>
              </w:rPr>
              <w:t>5</w:t>
            </w:r>
          </w:p>
        </w:tc>
        <w:tc>
          <w:tcPr>
            <w:tcW w:w="629" w:type="dxa"/>
            <w:vMerge w:val="continue"/>
            <w:tcBorders>
              <w:tl2br w:val="nil"/>
              <w:tr2bl w:val="nil"/>
            </w:tcBorders>
            <w:vAlign w:val="center"/>
          </w:tcPr>
          <w:p w14:paraId="2CF3ADDD">
            <w:pPr>
              <w:adjustRightInd w:val="0"/>
              <w:snapToGrid w:val="0"/>
              <w:spacing w:line="240" w:lineRule="auto"/>
              <w:jc w:val="center"/>
              <w:rPr>
                <w:sz w:val="21"/>
                <w:szCs w:val="21"/>
              </w:rPr>
            </w:pPr>
          </w:p>
        </w:tc>
        <w:tc>
          <w:tcPr>
            <w:tcW w:w="480" w:type="dxa"/>
            <w:vMerge w:val="restart"/>
            <w:tcBorders>
              <w:tl2br w:val="nil"/>
              <w:tr2bl w:val="nil"/>
            </w:tcBorders>
            <w:vAlign w:val="center"/>
          </w:tcPr>
          <w:p w14:paraId="0B6BDCF0">
            <w:pPr>
              <w:adjustRightInd w:val="0"/>
              <w:snapToGrid w:val="0"/>
              <w:spacing w:line="240" w:lineRule="auto"/>
              <w:jc w:val="center"/>
              <w:rPr>
                <w:sz w:val="21"/>
                <w:szCs w:val="21"/>
              </w:rPr>
            </w:pPr>
            <w:r>
              <w:rPr>
                <w:rFonts w:hint="eastAsia"/>
                <w:sz w:val="21"/>
                <w:szCs w:val="21"/>
              </w:rPr>
              <w:t>打孔机</w:t>
            </w:r>
          </w:p>
        </w:tc>
        <w:tc>
          <w:tcPr>
            <w:tcW w:w="1534" w:type="dxa"/>
            <w:vMerge w:val="restart"/>
            <w:tcBorders>
              <w:tl2br w:val="nil"/>
              <w:tr2bl w:val="nil"/>
            </w:tcBorders>
            <w:vAlign w:val="center"/>
          </w:tcPr>
          <w:p w14:paraId="7C51A96E">
            <w:pPr>
              <w:adjustRightInd w:val="0"/>
              <w:snapToGrid w:val="0"/>
              <w:spacing w:line="240" w:lineRule="auto"/>
              <w:jc w:val="center"/>
              <w:rPr>
                <w:sz w:val="21"/>
                <w:szCs w:val="21"/>
              </w:rPr>
            </w:pPr>
            <w:r>
              <w:rPr>
                <w:rFonts w:hint="eastAsia"/>
                <w:sz w:val="21"/>
                <w:szCs w:val="21"/>
              </w:rPr>
              <w:t>/</w:t>
            </w:r>
          </w:p>
        </w:tc>
        <w:tc>
          <w:tcPr>
            <w:tcW w:w="708" w:type="dxa"/>
            <w:vMerge w:val="restart"/>
            <w:tcBorders>
              <w:tl2br w:val="nil"/>
              <w:tr2bl w:val="nil"/>
            </w:tcBorders>
            <w:vAlign w:val="center"/>
          </w:tcPr>
          <w:p w14:paraId="28D9381F">
            <w:pPr>
              <w:adjustRightInd w:val="0"/>
              <w:snapToGrid w:val="0"/>
              <w:spacing w:line="240" w:lineRule="auto"/>
              <w:jc w:val="center"/>
              <w:rPr>
                <w:sz w:val="21"/>
                <w:szCs w:val="21"/>
              </w:rPr>
            </w:pPr>
            <w:r>
              <w:rPr>
                <w:rFonts w:hint="eastAsia"/>
                <w:sz w:val="21"/>
                <w:szCs w:val="21"/>
              </w:rPr>
              <w:t>10台</w:t>
            </w:r>
          </w:p>
        </w:tc>
        <w:tc>
          <w:tcPr>
            <w:tcW w:w="1216" w:type="dxa"/>
            <w:vMerge w:val="restart"/>
            <w:tcBorders>
              <w:tl2br w:val="nil"/>
              <w:tr2bl w:val="nil"/>
            </w:tcBorders>
            <w:vAlign w:val="center"/>
          </w:tcPr>
          <w:p w14:paraId="673B043C">
            <w:pPr>
              <w:adjustRightInd w:val="0"/>
              <w:snapToGrid w:val="0"/>
              <w:spacing w:line="240" w:lineRule="auto"/>
              <w:jc w:val="center"/>
              <w:rPr>
                <w:sz w:val="21"/>
                <w:szCs w:val="21"/>
              </w:rPr>
            </w:pPr>
            <w:r>
              <w:rPr>
                <w:rFonts w:hint="eastAsia"/>
                <w:sz w:val="21"/>
                <w:szCs w:val="21"/>
              </w:rPr>
              <w:t>70~95</w:t>
            </w:r>
          </w:p>
          <w:p w14:paraId="77E11DCF">
            <w:pPr>
              <w:adjustRightInd w:val="0"/>
              <w:snapToGrid w:val="0"/>
              <w:spacing w:line="240" w:lineRule="auto"/>
              <w:jc w:val="center"/>
              <w:rPr>
                <w:color w:val="FF0000"/>
                <w:sz w:val="21"/>
                <w:szCs w:val="21"/>
              </w:rPr>
            </w:pPr>
            <w:r>
              <w:rPr>
                <w:rFonts w:hint="eastAsia"/>
                <w:sz w:val="21"/>
                <w:szCs w:val="21"/>
              </w:rPr>
              <w:t>叠加后92.5</w:t>
            </w:r>
          </w:p>
        </w:tc>
        <w:tc>
          <w:tcPr>
            <w:tcW w:w="645" w:type="dxa"/>
            <w:vMerge w:val="restart"/>
            <w:tcBorders>
              <w:tl2br w:val="nil"/>
              <w:tr2bl w:val="nil"/>
            </w:tcBorders>
            <w:vAlign w:val="center"/>
          </w:tcPr>
          <w:p w14:paraId="450F4FF1">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256833ED">
            <w:pPr>
              <w:adjustRightInd w:val="0"/>
              <w:snapToGrid w:val="0"/>
              <w:spacing w:line="240" w:lineRule="auto"/>
              <w:jc w:val="center"/>
              <w:rPr>
                <w:sz w:val="21"/>
                <w:szCs w:val="21"/>
              </w:rPr>
            </w:pPr>
            <w:r>
              <w:rPr>
                <w:rFonts w:hint="eastAsia"/>
                <w:sz w:val="21"/>
                <w:szCs w:val="21"/>
              </w:rPr>
              <w:t>-47</w:t>
            </w:r>
          </w:p>
        </w:tc>
        <w:tc>
          <w:tcPr>
            <w:tcW w:w="828" w:type="dxa"/>
            <w:vMerge w:val="restart"/>
            <w:tcBorders>
              <w:tl2br w:val="nil"/>
              <w:tr2bl w:val="nil"/>
            </w:tcBorders>
            <w:vAlign w:val="center"/>
          </w:tcPr>
          <w:p w14:paraId="40AD68FC">
            <w:pPr>
              <w:adjustRightInd w:val="0"/>
              <w:snapToGrid w:val="0"/>
              <w:spacing w:line="240" w:lineRule="auto"/>
              <w:jc w:val="center"/>
              <w:rPr>
                <w:sz w:val="21"/>
                <w:szCs w:val="21"/>
              </w:rPr>
            </w:pPr>
            <w:r>
              <w:rPr>
                <w:rFonts w:hint="eastAsia"/>
                <w:sz w:val="21"/>
                <w:szCs w:val="21"/>
              </w:rPr>
              <w:t>17.4</w:t>
            </w:r>
          </w:p>
        </w:tc>
        <w:tc>
          <w:tcPr>
            <w:tcW w:w="755" w:type="dxa"/>
            <w:vMerge w:val="restart"/>
            <w:tcBorders>
              <w:tl2br w:val="nil"/>
              <w:tr2bl w:val="nil"/>
            </w:tcBorders>
            <w:vAlign w:val="center"/>
          </w:tcPr>
          <w:p w14:paraId="4AFE9C55">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7AD0EF25">
            <w:pPr>
              <w:adjustRightInd w:val="0"/>
              <w:snapToGrid w:val="0"/>
              <w:spacing w:line="240" w:lineRule="auto"/>
              <w:jc w:val="center"/>
              <w:rPr>
                <w:sz w:val="21"/>
                <w:szCs w:val="21"/>
              </w:rPr>
            </w:pPr>
            <w:r>
              <w:rPr>
                <w:rFonts w:hint="eastAsia"/>
                <w:sz w:val="21"/>
                <w:szCs w:val="21"/>
              </w:rPr>
              <w:t>E：65.8</w:t>
            </w:r>
          </w:p>
        </w:tc>
        <w:tc>
          <w:tcPr>
            <w:tcW w:w="1145" w:type="dxa"/>
            <w:tcBorders>
              <w:tl2br w:val="nil"/>
              <w:tr2bl w:val="nil"/>
            </w:tcBorders>
            <w:vAlign w:val="center"/>
          </w:tcPr>
          <w:p w14:paraId="1A493DB3">
            <w:pPr>
              <w:adjustRightInd w:val="0"/>
              <w:snapToGrid w:val="0"/>
              <w:spacing w:line="240" w:lineRule="auto"/>
              <w:jc w:val="center"/>
              <w:rPr>
                <w:sz w:val="21"/>
                <w:szCs w:val="21"/>
              </w:rPr>
            </w:pPr>
            <w:r>
              <w:rPr>
                <w:rFonts w:hint="eastAsia"/>
                <w:sz w:val="21"/>
                <w:szCs w:val="21"/>
              </w:rPr>
              <w:t>77.3</w:t>
            </w:r>
          </w:p>
        </w:tc>
        <w:tc>
          <w:tcPr>
            <w:tcW w:w="645" w:type="dxa"/>
            <w:vMerge w:val="continue"/>
            <w:tcBorders>
              <w:tl2br w:val="nil"/>
              <w:tr2bl w:val="nil"/>
            </w:tcBorders>
            <w:vAlign w:val="center"/>
          </w:tcPr>
          <w:p w14:paraId="20E11932">
            <w:pPr>
              <w:adjustRightInd w:val="0"/>
              <w:snapToGrid w:val="0"/>
              <w:spacing w:line="240" w:lineRule="auto"/>
              <w:jc w:val="center"/>
              <w:rPr>
                <w:sz w:val="21"/>
                <w:szCs w:val="21"/>
              </w:rPr>
            </w:pPr>
          </w:p>
        </w:tc>
        <w:tc>
          <w:tcPr>
            <w:tcW w:w="1089" w:type="dxa"/>
            <w:tcBorders>
              <w:tl2br w:val="nil"/>
              <w:tr2bl w:val="nil"/>
            </w:tcBorders>
            <w:vAlign w:val="center"/>
          </w:tcPr>
          <w:p w14:paraId="39B58089">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42035BDA">
            <w:pPr>
              <w:adjustRightInd w:val="0"/>
              <w:snapToGrid w:val="0"/>
              <w:spacing w:line="240" w:lineRule="auto"/>
              <w:jc w:val="center"/>
              <w:rPr>
                <w:sz w:val="21"/>
                <w:szCs w:val="21"/>
              </w:rPr>
            </w:pPr>
            <w:r>
              <w:rPr>
                <w:rFonts w:hint="eastAsia"/>
                <w:sz w:val="21"/>
                <w:szCs w:val="21"/>
              </w:rPr>
              <w:t>57.3</w:t>
            </w:r>
          </w:p>
        </w:tc>
        <w:tc>
          <w:tcPr>
            <w:tcW w:w="769" w:type="dxa"/>
            <w:tcBorders>
              <w:tl2br w:val="nil"/>
              <w:tr2bl w:val="nil"/>
            </w:tcBorders>
            <w:vAlign w:val="center"/>
          </w:tcPr>
          <w:p w14:paraId="5CBF5360">
            <w:pPr>
              <w:adjustRightInd w:val="0"/>
              <w:snapToGrid w:val="0"/>
              <w:spacing w:line="240" w:lineRule="auto"/>
              <w:jc w:val="center"/>
              <w:rPr>
                <w:sz w:val="21"/>
                <w:szCs w:val="21"/>
              </w:rPr>
            </w:pPr>
            <w:r>
              <w:rPr>
                <w:rFonts w:hint="eastAsia"/>
                <w:sz w:val="21"/>
                <w:szCs w:val="21"/>
              </w:rPr>
              <w:t>1m</w:t>
            </w:r>
          </w:p>
        </w:tc>
      </w:tr>
      <w:tr w14:paraId="5D2BCA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36676B3B">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46759369">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108BE23E">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3EC597B6">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237E6F82">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59210791">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10FE8B2C">
            <w:pPr>
              <w:adjustRightInd w:val="0"/>
              <w:snapToGrid w:val="0"/>
              <w:spacing w:line="240" w:lineRule="auto"/>
              <w:jc w:val="center"/>
              <w:rPr>
                <w:sz w:val="21"/>
                <w:szCs w:val="21"/>
              </w:rPr>
            </w:pPr>
          </w:p>
        </w:tc>
        <w:tc>
          <w:tcPr>
            <w:tcW w:w="786" w:type="dxa"/>
            <w:vMerge w:val="continue"/>
            <w:tcBorders>
              <w:tl2br w:val="nil"/>
              <w:tr2bl w:val="nil"/>
            </w:tcBorders>
            <w:vAlign w:val="center"/>
          </w:tcPr>
          <w:p w14:paraId="333020DB">
            <w:pPr>
              <w:adjustRightInd w:val="0"/>
              <w:snapToGrid w:val="0"/>
              <w:spacing w:line="240" w:lineRule="auto"/>
              <w:jc w:val="center"/>
              <w:rPr>
                <w:sz w:val="21"/>
                <w:szCs w:val="21"/>
              </w:rPr>
            </w:pPr>
          </w:p>
        </w:tc>
        <w:tc>
          <w:tcPr>
            <w:tcW w:w="828" w:type="dxa"/>
            <w:vMerge w:val="continue"/>
            <w:tcBorders>
              <w:tl2br w:val="nil"/>
              <w:tr2bl w:val="nil"/>
            </w:tcBorders>
            <w:vAlign w:val="center"/>
          </w:tcPr>
          <w:p w14:paraId="731349B4">
            <w:pPr>
              <w:adjustRightInd w:val="0"/>
              <w:snapToGrid w:val="0"/>
              <w:spacing w:line="240" w:lineRule="auto"/>
              <w:jc w:val="center"/>
              <w:rPr>
                <w:sz w:val="21"/>
                <w:szCs w:val="21"/>
              </w:rPr>
            </w:pPr>
          </w:p>
        </w:tc>
        <w:tc>
          <w:tcPr>
            <w:tcW w:w="755" w:type="dxa"/>
            <w:vMerge w:val="continue"/>
            <w:tcBorders>
              <w:tl2br w:val="nil"/>
              <w:tr2bl w:val="nil"/>
            </w:tcBorders>
            <w:vAlign w:val="center"/>
          </w:tcPr>
          <w:p w14:paraId="264BBBFA">
            <w:pPr>
              <w:adjustRightInd w:val="0"/>
              <w:snapToGrid w:val="0"/>
              <w:spacing w:line="240" w:lineRule="auto"/>
              <w:jc w:val="center"/>
              <w:rPr>
                <w:sz w:val="21"/>
                <w:szCs w:val="21"/>
              </w:rPr>
            </w:pPr>
          </w:p>
        </w:tc>
        <w:tc>
          <w:tcPr>
            <w:tcW w:w="1382" w:type="dxa"/>
            <w:tcBorders>
              <w:tl2br w:val="nil"/>
              <w:tr2bl w:val="nil"/>
            </w:tcBorders>
            <w:vAlign w:val="center"/>
          </w:tcPr>
          <w:p w14:paraId="1C046DF0">
            <w:pPr>
              <w:adjustRightInd w:val="0"/>
              <w:snapToGrid w:val="0"/>
              <w:spacing w:line="240" w:lineRule="auto"/>
              <w:jc w:val="center"/>
              <w:rPr>
                <w:sz w:val="21"/>
                <w:szCs w:val="21"/>
              </w:rPr>
            </w:pPr>
            <w:r>
              <w:rPr>
                <w:rFonts w:hint="eastAsia"/>
                <w:sz w:val="21"/>
                <w:szCs w:val="21"/>
              </w:rPr>
              <w:t>S：12.6</w:t>
            </w:r>
          </w:p>
        </w:tc>
        <w:tc>
          <w:tcPr>
            <w:tcW w:w="1145" w:type="dxa"/>
            <w:tcBorders>
              <w:tl2br w:val="nil"/>
              <w:tr2bl w:val="nil"/>
            </w:tcBorders>
            <w:vAlign w:val="center"/>
          </w:tcPr>
          <w:p w14:paraId="1BBFF7FB">
            <w:pPr>
              <w:adjustRightInd w:val="0"/>
              <w:snapToGrid w:val="0"/>
              <w:spacing w:line="240" w:lineRule="auto"/>
              <w:jc w:val="center"/>
              <w:rPr>
                <w:sz w:val="21"/>
                <w:szCs w:val="21"/>
              </w:rPr>
            </w:pPr>
            <w:r>
              <w:rPr>
                <w:rFonts w:hint="eastAsia"/>
                <w:sz w:val="21"/>
                <w:szCs w:val="21"/>
              </w:rPr>
              <w:t>77.4</w:t>
            </w:r>
          </w:p>
        </w:tc>
        <w:tc>
          <w:tcPr>
            <w:tcW w:w="645" w:type="dxa"/>
            <w:vMerge w:val="continue"/>
            <w:tcBorders>
              <w:tl2br w:val="nil"/>
              <w:tr2bl w:val="nil"/>
            </w:tcBorders>
            <w:vAlign w:val="center"/>
          </w:tcPr>
          <w:p w14:paraId="76A233AF">
            <w:pPr>
              <w:adjustRightInd w:val="0"/>
              <w:snapToGrid w:val="0"/>
              <w:spacing w:line="240" w:lineRule="auto"/>
              <w:jc w:val="center"/>
              <w:rPr>
                <w:sz w:val="21"/>
                <w:szCs w:val="21"/>
              </w:rPr>
            </w:pPr>
          </w:p>
        </w:tc>
        <w:tc>
          <w:tcPr>
            <w:tcW w:w="1089" w:type="dxa"/>
            <w:tcBorders>
              <w:tl2br w:val="nil"/>
              <w:tr2bl w:val="nil"/>
            </w:tcBorders>
            <w:vAlign w:val="center"/>
          </w:tcPr>
          <w:p w14:paraId="5A4B3CE9">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12D0D5B0">
            <w:pPr>
              <w:adjustRightInd w:val="0"/>
              <w:snapToGrid w:val="0"/>
              <w:spacing w:line="240" w:lineRule="auto"/>
              <w:jc w:val="center"/>
              <w:rPr>
                <w:sz w:val="21"/>
                <w:szCs w:val="21"/>
              </w:rPr>
            </w:pPr>
            <w:r>
              <w:rPr>
                <w:rFonts w:hint="eastAsia"/>
                <w:sz w:val="21"/>
                <w:szCs w:val="21"/>
              </w:rPr>
              <w:t>57.4</w:t>
            </w:r>
          </w:p>
        </w:tc>
        <w:tc>
          <w:tcPr>
            <w:tcW w:w="769" w:type="dxa"/>
            <w:tcBorders>
              <w:tl2br w:val="nil"/>
              <w:tr2bl w:val="nil"/>
            </w:tcBorders>
            <w:vAlign w:val="center"/>
          </w:tcPr>
          <w:p w14:paraId="7A25BC70">
            <w:pPr>
              <w:adjustRightInd w:val="0"/>
              <w:snapToGrid w:val="0"/>
              <w:spacing w:line="240" w:lineRule="auto"/>
              <w:jc w:val="center"/>
              <w:rPr>
                <w:sz w:val="21"/>
                <w:szCs w:val="21"/>
              </w:rPr>
            </w:pPr>
            <w:r>
              <w:rPr>
                <w:rFonts w:hint="eastAsia"/>
                <w:sz w:val="21"/>
                <w:szCs w:val="21"/>
              </w:rPr>
              <w:t>1m</w:t>
            </w:r>
          </w:p>
        </w:tc>
      </w:tr>
      <w:tr w14:paraId="3ECDF9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37F21D50">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1A244B80">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7B4DD66A">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6C4B2537">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41B09D82">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68FCD9AF">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09FE14D7">
            <w:pPr>
              <w:adjustRightInd w:val="0"/>
              <w:snapToGrid w:val="0"/>
              <w:spacing w:line="240" w:lineRule="auto"/>
              <w:jc w:val="center"/>
              <w:rPr>
                <w:sz w:val="21"/>
                <w:szCs w:val="21"/>
              </w:rPr>
            </w:pPr>
          </w:p>
        </w:tc>
        <w:tc>
          <w:tcPr>
            <w:tcW w:w="786" w:type="dxa"/>
            <w:vMerge w:val="continue"/>
            <w:tcBorders>
              <w:tl2br w:val="nil"/>
              <w:tr2bl w:val="nil"/>
            </w:tcBorders>
            <w:vAlign w:val="center"/>
          </w:tcPr>
          <w:p w14:paraId="4761026F">
            <w:pPr>
              <w:adjustRightInd w:val="0"/>
              <w:snapToGrid w:val="0"/>
              <w:spacing w:line="240" w:lineRule="auto"/>
              <w:jc w:val="center"/>
              <w:rPr>
                <w:sz w:val="21"/>
                <w:szCs w:val="21"/>
              </w:rPr>
            </w:pPr>
          </w:p>
        </w:tc>
        <w:tc>
          <w:tcPr>
            <w:tcW w:w="828" w:type="dxa"/>
            <w:vMerge w:val="continue"/>
            <w:tcBorders>
              <w:tl2br w:val="nil"/>
              <w:tr2bl w:val="nil"/>
            </w:tcBorders>
            <w:vAlign w:val="center"/>
          </w:tcPr>
          <w:p w14:paraId="495B9320">
            <w:pPr>
              <w:adjustRightInd w:val="0"/>
              <w:snapToGrid w:val="0"/>
              <w:spacing w:line="240" w:lineRule="auto"/>
              <w:jc w:val="center"/>
              <w:rPr>
                <w:sz w:val="21"/>
                <w:szCs w:val="21"/>
              </w:rPr>
            </w:pPr>
          </w:p>
        </w:tc>
        <w:tc>
          <w:tcPr>
            <w:tcW w:w="755" w:type="dxa"/>
            <w:vMerge w:val="continue"/>
            <w:tcBorders>
              <w:tl2br w:val="nil"/>
              <w:tr2bl w:val="nil"/>
            </w:tcBorders>
            <w:vAlign w:val="center"/>
          </w:tcPr>
          <w:p w14:paraId="2116A7E0">
            <w:pPr>
              <w:adjustRightInd w:val="0"/>
              <w:snapToGrid w:val="0"/>
              <w:spacing w:line="240" w:lineRule="auto"/>
              <w:jc w:val="center"/>
              <w:rPr>
                <w:sz w:val="21"/>
                <w:szCs w:val="21"/>
              </w:rPr>
            </w:pPr>
          </w:p>
        </w:tc>
        <w:tc>
          <w:tcPr>
            <w:tcW w:w="1382" w:type="dxa"/>
            <w:tcBorders>
              <w:tl2br w:val="nil"/>
              <w:tr2bl w:val="nil"/>
            </w:tcBorders>
            <w:vAlign w:val="center"/>
          </w:tcPr>
          <w:p w14:paraId="445C4214">
            <w:pPr>
              <w:adjustRightInd w:val="0"/>
              <w:snapToGrid w:val="0"/>
              <w:spacing w:line="240" w:lineRule="auto"/>
              <w:jc w:val="center"/>
              <w:rPr>
                <w:sz w:val="21"/>
                <w:szCs w:val="21"/>
              </w:rPr>
            </w:pPr>
            <w:r>
              <w:rPr>
                <w:rFonts w:hint="eastAsia"/>
                <w:sz w:val="21"/>
                <w:szCs w:val="21"/>
              </w:rPr>
              <w:t>W：79.0</w:t>
            </w:r>
          </w:p>
        </w:tc>
        <w:tc>
          <w:tcPr>
            <w:tcW w:w="1145" w:type="dxa"/>
            <w:tcBorders>
              <w:tl2br w:val="nil"/>
              <w:tr2bl w:val="nil"/>
            </w:tcBorders>
            <w:vAlign w:val="center"/>
          </w:tcPr>
          <w:p w14:paraId="36FA11DC">
            <w:pPr>
              <w:adjustRightInd w:val="0"/>
              <w:snapToGrid w:val="0"/>
              <w:spacing w:line="240" w:lineRule="auto"/>
              <w:jc w:val="center"/>
              <w:rPr>
                <w:sz w:val="21"/>
                <w:szCs w:val="21"/>
              </w:rPr>
            </w:pPr>
            <w:r>
              <w:rPr>
                <w:rFonts w:hint="eastAsia"/>
                <w:sz w:val="21"/>
                <w:szCs w:val="21"/>
              </w:rPr>
              <w:t>77.3</w:t>
            </w:r>
          </w:p>
        </w:tc>
        <w:tc>
          <w:tcPr>
            <w:tcW w:w="645" w:type="dxa"/>
            <w:vMerge w:val="continue"/>
            <w:tcBorders>
              <w:tl2br w:val="nil"/>
              <w:tr2bl w:val="nil"/>
            </w:tcBorders>
            <w:vAlign w:val="center"/>
          </w:tcPr>
          <w:p w14:paraId="1B0FA0F2">
            <w:pPr>
              <w:adjustRightInd w:val="0"/>
              <w:snapToGrid w:val="0"/>
              <w:spacing w:line="240" w:lineRule="auto"/>
              <w:jc w:val="center"/>
              <w:rPr>
                <w:sz w:val="21"/>
                <w:szCs w:val="21"/>
              </w:rPr>
            </w:pPr>
          </w:p>
        </w:tc>
        <w:tc>
          <w:tcPr>
            <w:tcW w:w="1089" w:type="dxa"/>
            <w:tcBorders>
              <w:tl2br w:val="nil"/>
              <w:tr2bl w:val="nil"/>
            </w:tcBorders>
            <w:vAlign w:val="center"/>
          </w:tcPr>
          <w:p w14:paraId="22EEE8A5">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5D56AF34">
            <w:pPr>
              <w:adjustRightInd w:val="0"/>
              <w:snapToGrid w:val="0"/>
              <w:spacing w:line="240" w:lineRule="auto"/>
              <w:jc w:val="center"/>
              <w:rPr>
                <w:sz w:val="21"/>
                <w:szCs w:val="21"/>
              </w:rPr>
            </w:pPr>
            <w:r>
              <w:rPr>
                <w:rFonts w:hint="eastAsia"/>
                <w:sz w:val="21"/>
                <w:szCs w:val="21"/>
              </w:rPr>
              <w:t>57.3</w:t>
            </w:r>
          </w:p>
        </w:tc>
        <w:tc>
          <w:tcPr>
            <w:tcW w:w="769" w:type="dxa"/>
            <w:tcBorders>
              <w:tl2br w:val="nil"/>
              <w:tr2bl w:val="nil"/>
            </w:tcBorders>
            <w:vAlign w:val="center"/>
          </w:tcPr>
          <w:p w14:paraId="1B04F9D1">
            <w:pPr>
              <w:adjustRightInd w:val="0"/>
              <w:snapToGrid w:val="0"/>
              <w:spacing w:line="240" w:lineRule="auto"/>
              <w:jc w:val="center"/>
              <w:rPr>
                <w:sz w:val="21"/>
                <w:szCs w:val="21"/>
              </w:rPr>
            </w:pPr>
            <w:r>
              <w:rPr>
                <w:rFonts w:hint="eastAsia"/>
                <w:sz w:val="21"/>
                <w:szCs w:val="21"/>
              </w:rPr>
              <w:t>1m</w:t>
            </w:r>
          </w:p>
        </w:tc>
      </w:tr>
      <w:tr w14:paraId="169FB7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101A543F">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352102CA">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1BF68B94">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02147F56">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50B2A618">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47BD54D7">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5E6841FA">
            <w:pPr>
              <w:adjustRightInd w:val="0"/>
              <w:snapToGrid w:val="0"/>
              <w:spacing w:line="240" w:lineRule="auto"/>
              <w:jc w:val="center"/>
              <w:rPr>
                <w:sz w:val="21"/>
                <w:szCs w:val="21"/>
              </w:rPr>
            </w:pPr>
          </w:p>
        </w:tc>
        <w:tc>
          <w:tcPr>
            <w:tcW w:w="786" w:type="dxa"/>
            <w:vMerge w:val="continue"/>
            <w:tcBorders>
              <w:tl2br w:val="nil"/>
              <w:tr2bl w:val="nil"/>
            </w:tcBorders>
            <w:vAlign w:val="center"/>
          </w:tcPr>
          <w:p w14:paraId="37193877">
            <w:pPr>
              <w:adjustRightInd w:val="0"/>
              <w:snapToGrid w:val="0"/>
              <w:spacing w:line="240" w:lineRule="auto"/>
              <w:jc w:val="center"/>
              <w:rPr>
                <w:sz w:val="21"/>
                <w:szCs w:val="21"/>
              </w:rPr>
            </w:pPr>
          </w:p>
        </w:tc>
        <w:tc>
          <w:tcPr>
            <w:tcW w:w="828" w:type="dxa"/>
            <w:vMerge w:val="continue"/>
            <w:tcBorders>
              <w:tl2br w:val="nil"/>
              <w:tr2bl w:val="nil"/>
            </w:tcBorders>
            <w:vAlign w:val="center"/>
          </w:tcPr>
          <w:p w14:paraId="3653B19F">
            <w:pPr>
              <w:adjustRightInd w:val="0"/>
              <w:snapToGrid w:val="0"/>
              <w:spacing w:line="240" w:lineRule="auto"/>
              <w:jc w:val="center"/>
              <w:rPr>
                <w:sz w:val="21"/>
                <w:szCs w:val="21"/>
              </w:rPr>
            </w:pPr>
          </w:p>
        </w:tc>
        <w:tc>
          <w:tcPr>
            <w:tcW w:w="755" w:type="dxa"/>
            <w:vMerge w:val="continue"/>
            <w:tcBorders>
              <w:tl2br w:val="nil"/>
              <w:tr2bl w:val="nil"/>
            </w:tcBorders>
            <w:vAlign w:val="center"/>
          </w:tcPr>
          <w:p w14:paraId="7BC14D70">
            <w:pPr>
              <w:adjustRightInd w:val="0"/>
              <w:snapToGrid w:val="0"/>
              <w:spacing w:line="240" w:lineRule="auto"/>
              <w:jc w:val="center"/>
              <w:rPr>
                <w:sz w:val="21"/>
                <w:szCs w:val="21"/>
              </w:rPr>
            </w:pPr>
          </w:p>
        </w:tc>
        <w:tc>
          <w:tcPr>
            <w:tcW w:w="1382" w:type="dxa"/>
            <w:tcBorders>
              <w:tl2br w:val="nil"/>
              <w:tr2bl w:val="nil"/>
            </w:tcBorders>
            <w:vAlign w:val="center"/>
          </w:tcPr>
          <w:p w14:paraId="3AEBD7DA">
            <w:pPr>
              <w:adjustRightInd w:val="0"/>
              <w:snapToGrid w:val="0"/>
              <w:spacing w:line="240" w:lineRule="auto"/>
              <w:jc w:val="center"/>
              <w:rPr>
                <w:sz w:val="21"/>
                <w:szCs w:val="21"/>
              </w:rPr>
            </w:pPr>
            <w:r>
              <w:rPr>
                <w:rFonts w:hint="eastAsia"/>
                <w:sz w:val="21"/>
                <w:szCs w:val="21"/>
              </w:rPr>
              <w:t>N：20.6</w:t>
            </w:r>
          </w:p>
        </w:tc>
        <w:tc>
          <w:tcPr>
            <w:tcW w:w="1145" w:type="dxa"/>
            <w:tcBorders>
              <w:tl2br w:val="nil"/>
              <w:tr2bl w:val="nil"/>
            </w:tcBorders>
            <w:vAlign w:val="center"/>
          </w:tcPr>
          <w:p w14:paraId="761CFAAB">
            <w:pPr>
              <w:adjustRightInd w:val="0"/>
              <w:snapToGrid w:val="0"/>
              <w:spacing w:line="240" w:lineRule="auto"/>
              <w:jc w:val="center"/>
              <w:rPr>
                <w:sz w:val="21"/>
                <w:szCs w:val="21"/>
              </w:rPr>
            </w:pPr>
            <w:r>
              <w:rPr>
                <w:rFonts w:hint="eastAsia"/>
                <w:sz w:val="21"/>
                <w:szCs w:val="21"/>
              </w:rPr>
              <w:t>77.3</w:t>
            </w:r>
          </w:p>
        </w:tc>
        <w:tc>
          <w:tcPr>
            <w:tcW w:w="645" w:type="dxa"/>
            <w:vMerge w:val="continue"/>
            <w:tcBorders>
              <w:tl2br w:val="nil"/>
              <w:tr2bl w:val="nil"/>
            </w:tcBorders>
            <w:vAlign w:val="center"/>
          </w:tcPr>
          <w:p w14:paraId="5C75B4F3">
            <w:pPr>
              <w:adjustRightInd w:val="0"/>
              <w:snapToGrid w:val="0"/>
              <w:spacing w:line="240" w:lineRule="auto"/>
              <w:jc w:val="center"/>
              <w:rPr>
                <w:sz w:val="21"/>
                <w:szCs w:val="21"/>
              </w:rPr>
            </w:pPr>
          </w:p>
        </w:tc>
        <w:tc>
          <w:tcPr>
            <w:tcW w:w="1089" w:type="dxa"/>
            <w:tcBorders>
              <w:tl2br w:val="nil"/>
              <w:tr2bl w:val="nil"/>
            </w:tcBorders>
            <w:vAlign w:val="center"/>
          </w:tcPr>
          <w:p w14:paraId="231FFB93">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18643834">
            <w:pPr>
              <w:adjustRightInd w:val="0"/>
              <w:snapToGrid w:val="0"/>
              <w:spacing w:line="240" w:lineRule="auto"/>
              <w:jc w:val="center"/>
              <w:rPr>
                <w:sz w:val="21"/>
                <w:szCs w:val="21"/>
              </w:rPr>
            </w:pPr>
            <w:r>
              <w:rPr>
                <w:rFonts w:hint="eastAsia"/>
                <w:sz w:val="21"/>
                <w:szCs w:val="21"/>
              </w:rPr>
              <w:t>57.3</w:t>
            </w:r>
          </w:p>
        </w:tc>
        <w:tc>
          <w:tcPr>
            <w:tcW w:w="769" w:type="dxa"/>
            <w:tcBorders>
              <w:tl2br w:val="nil"/>
              <w:tr2bl w:val="nil"/>
            </w:tcBorders>
            <w:vAlign w:val="center"/>
          </w:tcPr>
          <w:p w14:paraId="08B0A6FA">
            <w:pPr>
              <w:adjustRightInd w:val="0"/>
              <w:snapToGrid w:val="0"/>
              <w:spacing w:line="240" w:lineRule="auto"/>
              <w:jc w:val="center"/>
              <w:rPr>
                <w:sz w:val="21"/>
                <w:szCs w:val="21"/>
              </w:rPr>
            </w:pPr>
            <w:r>
              <w:rPr>
                <w:rFonts w:hint="eastAsia"/>
                <w:sz w:val="21"/>
                <w:szCs w:val="21"/>
              </w:rPr>
              <w:t>1m</w:t>
            </w:r>
          </w:p>
        </w:tc>
      </w:tr>
      <w:tr w14:paraId="147913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06744FA4">
            <w:pPr>
              <w:adjustRightInd w:val="0"/>
              <w:snapToGrid w:val="0"/>
              <w:spacing w:line="240" w:lineRule="auto"/>
              <w:jc w:val="center"/>
              <w:rPr>
                <w:sz w:val="21"/>
                <w:szCs w:val="21"/>
              </w:rPr>
            </w:pPr>
            <w:r>
              <w:rPr>
                <w:rFonts w:hint="eastAsia"/>
                <w:sz w:val="21"/>
                <w:szCs w:val="21"/>
              </w:rPr>
              <w:t>6</w:t>
            </w:r>
          </w:p>
        </w:tc>
        <w:tc>
          <w:tcPr>
            <w:tcW w:w="629" w:type="dxa"/>
            <w:vMerge w:val="continue"/>
            <w:tcBorders>
              <w:tl2br w:val="nil"/>
              <w:tr2bl w:val="nil"/>
            </w:tcBorders>
            <w:vAlign w:val="center"/>
          </w:tcPr>
          <w:p w14:paraId="5CCFB109">
            <w:pPr>
              <w:adjustRightInd w:val="0"/>
              <w:snapToGrid w:val="0"/>
              <w:spacing w:line="240" w:lineRule="auto"/>
              <w:jc w:val="center"/>
              <w:rPr>
                <w:sz w:val="21"/>
                <w:szCs w:val="21"/>
              </w:rPr>
            </w:pPr>
          </w:p>
        </w:tc>
        <w:tc>
          <w:tcPr>
            <w:tcW w:w="480" w:type="dxa"/>
            <w:vMerge w:val="restart"/>
            <w:tcBorders>
              <w:tl2br w:val="nil"/>
              <w:tr2bl w:val="nil"/>
            </w:tcBorders>
            <w:vAlign w:val="center"/>
          </w:tcPr>
          <w:p w14:paraId="131D38D7">
            <w:pPr>
              <w:adjustRightInd w:val="0"/>
              <w:snapToGrid w:val="0"/>
              <w:spacing w:line="240" w:lineRule="auto"/>
              <w:jc w:val="center"/>
              <w:rPr>
                <w:sz w:val="21"/>
                <w:szCs w:val="21"/>
              </w:rPr>
            </w:pPr>
            <w:r>
              <w:rPr>
                <w:rFonts w:hint="eastAsia"/>
                <w:sz w:val="21"/>
                <w:szCs w:val="21"/>
              </w:rPr>
              <w:t>分切机</w:t>
            </w:r>
          </w:p>
        </w:tc>
        <w:tc>
          <w:tcPr>
            <w:tcW w:w="1534" w:type="dxa"/>
            <w:vMerge w:val="restart"/>
            <w:tcBorders>
              <w:tl2br w:val="nil"/>
              <w:tr2bl w:val="nil"/>
            </w:tcBorders>
            <w:vAlign w:val="center"/>
          </w:tcPr>
          <w:p w14:paraId="5274DDDC">
            <w:pPr>
              <w:adjustRightInd w:val="0"/>
              <w:snapToGrid w:val="0"/>
              <w:spacing w:line="240" w:lineRule="auto"/>
              <w:jc w:val="center"/>
              <w:rPr>
                <w:color w:val="FF0000"/>
                <w:sz w:val="21"/>
                <w:szCs w:val="21"/>
              </w:rPr>
            </w:pPr>
            <w:r>
              <w:rPr>
                <w:sz w:val="21"/>
                <w:szCs w:val="21"/>
              </w:rPr>
              <w:t>FSL-VL1300HTHS1300CZ</w:t>
            </w:r>
          </w:p>
        </w:tc>
        <w:tc>
          <w:tcPr>
            <w:tcW w:w="708" w:type="dxa"/>
            <w:vMerge w:val="restart"/>
            <w:tcBorders>
              <w:tl2br w:val="nil"/>
              <w:tr2bl w:val="nil"/>
            </w:tcBorders>
            <w:vAlign w:val="center"/>
          </w:tcPr>
          <w:p w14:paraId="3AA72AEB">
            <w:pPr>
              <w:adjustRightInd w:val="0"/>
              <w:snapToGrid w:val="0"/>
              <w:spacing w:line="240" w:lineRule="auto"/>
              <w:jc w:val="center"/>
              <w:rPr>
                <w:color w:val="FF0000"/>
                <w:sz w:val="21"/>
                <w:szCs w:val="21"/>
              </w:rPr>
            </w:pPr>
            <w:r>
              <w:rPr>
                <w:rFonts w:hint="eastAsia"/>
                <w:sz w:val="21"/>
                <w:szCs w:val="21"/>
              </w:rPr>
              <w:t>20台</w:t>
            </w:r>
          </w:p>
        </w:tc>
        <w:tc>
          <w:tcPr>
            <w:tcW w:w="1216" w:type="dxa"/>
            <w:vMerge w:val="restart"/>
            <w:tcBorders>
              <w:tl2br w:val="nil"/>
              <w:tr2bl w:val="nil"/>
            </w:tcBorders>
            <w:vAlign w:val="center"/>
          </w:tcPr>
          <w:p w14:paraId="330A1AAC">
            <w:pPr>
              <w:adjustRightInd w:val="0"/>
              <w:snapToGrid w:val="0"/>
              <w:spacing w:line="240" w:lineRule="auto"/>
              <w:jc w:val="center"/>
              <w:rPr>
                <w:sz w:val="21"/>
                <w:szCs w:val="21"/>
              </w:rPr>
            </w:pPr>
            <w:r>
              <w:rPr>
                <w:rFonts w:hint="eastAsia"/>
                <w:sz w:val="21"/>
                <w:szCs w:val="21"/>
              </w:rPr>
              <w:t>70~95</w:t>
            </w:r>
          </w:p>
          <w:p w14:paraId="651422BB">
            <w:pPr>
              <w:adjustRightInd w:val="0"/>
              <w:snapToGrid w:val="0"/>
              <w:spacing w:line="240" w:lineRule="auto"/>
              <w:jc w:val="center"/>
              <w:rPr>
                <w:color w:val="FF0000"/>
                <w:sz w:val="21"/>
                <w:szCs w:val="21"/>
              </w:rPr>
            </w:pPr>
            <w:r>
              <w:rPr>
                <w:rFonts w:hint="eastAsia"/>
                <w:sz w:val="21"/>
                <w:szCs w:val="21"/>
              </w:rPr>
              <w:t>叠加后95.5</w:t>
            </w:r>
          </w:p>
        </w:tc>
        <w:tc>
          <w:tcPr>
            <w:tcW w:w="645" w:type="dxa"/>
            <w:vMerge w:val="restart"/>
            <w:tcBorders>
              <w:tl2br w:val="nil"/>
              <w:tr2bl w:val="nil"/>
            </w:tcBorders>
            <w:vAlign w:val="center"/>
          </w:tcPr>
          <w:p w14:paraId="4B5C561D">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27494D57">
            <w:pPr>
              <w:adjustRightInd w:val="0"/>
              <w:snapToGrid w:val="0"/>
              <w:spacing w:line="240" w:lineRule="auto"/>
              <w:jc w:val="center"/>
              <w:rPr>
                <w:sz w:val="21"/>
                <w:szCs w:val="21"/>
              </w:rPr>
            </w:pPr>
            <w:r>
              <w:rPr>
                <w:rFonts w:hint="eastAsia"/>
                <w:sz w:val="21"/>
                <w:szCs w:val="21"/>
              </w:rPr>
              <w:t>-44.4</w:t>
            </w:r>
          </w:p>
        </w:tc>
        <w:tc>
          <w:tcPr>
            <w:tcW w:w="828" w:type="dxa"/>
            <w:vMerge w:val="restart"/>
            <w:tcBorders>
              <w:tl2br w:val="nil"/>
              <w:tr2bl w:val="nil"/>
            </w:tcBorders>
            <w:vAlign w:val="center"/>
          </w:tcPr>
          <w:p w14:paraId="3B361EDF">
            <w:pPr>
              <w:adjustRightInd w:val="0"/>
              <w:snapToGrid w:val="0"/>
              <w:spacing w:line="240" w:lineRule="auto"/>
              <w:jc w:val="center"/>
              <w:rPr>
                <w:sz w:val="21"/>
                <w:szCs w:val="21"/>
              </w:rPr>
            </w:pPr>
            <w:r>
              <w:rPr>
                <w:rFonts w:hint="eastAsia"/>
                <w:sz w:val="21"/>
                <w:szCs w:val="21"/>
              </w:rPr>
              <w:t>25.4</w:t>
            </w:r>
          </w:p>
        </w:tc>
        <w:tc>
          <w:tcPr>
            <w:tcW w:w="755" w:type="dxa"/>
            <w:vMerge w:val="restart"/>
            <w:tcBorders>
              <w:tl2br w:val="nil"/>
              <w:tr2bl w:val="nil"/>
            </w:tcBorders>
            <w:vAlign w:val="center"/>
          </w:tcPr>
          <w:p w14:paraId="03E1DB5D">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54559EDB">
            <w:pPr>
              <w:adjustRightInd w:val="0"/>
              <w:snapToGrid w:val="0"/>
              <w:spacing w:line="240" w:lineRule="auto"/>
              <w:jc w:val="center"/>
              <w:rPr>
                <w:sz w:val="21"/>
                <w:szCs w:val="21"/>
              </w:rPr>
            </w:pPr>
            <w:r>
              <w:rPr>
                <w:rFonts w:hint="eastAsia"/>
                <w:sz w:val="21"/>
                <w:szCs w:val="21"/>
              </w:rPr>
              <w:t>E：63.2</w:t>
            </w:r>
          </w:p>
        </w:tc>
        <w:tc>
          <w:tcPr>
            <w:tcW w:w="1145" w:type="dxa"/>
            <w:tcBorders>
              <w:tl2br w:val="nil"/>
              <w:tr2bl w:val="nil"/>
            </w:tcBorders>
            <w:vAlign w:val="center"/>
          </w:tcPr>
          <w:p w14:paraId="4D27EE3B">
            <w:pPr>
              <w:adjustRightInd w:val="0"/>
              <w:snapToGrid w:val="0"/>
              <w:spacing w:line="240" w:lineRule="auto"/>
              <w:jc w:val="center"/>
              <w:rPr>
                <w:sz w:val="21"/>
                <w:szCs w:val="21"/>
              </w:rPr>
            </w:pPr>
            <w:r>
              <w:rPr>
                <w:rFonts w:hint="eastAsia"/>
                <w:sz w:val="21"/>
                <w:szCs w:val="21"/>
              </w:rPr>
              <w:t>80.3</w:t>
            </w:r>
          </w:p>
        </w:tc>
        <w:tc>
          <w:tcPr>
            <w:tcW w:w="645" w:type="dxa"/>
            <w:vMerge w:val="continue"/>
            <w:tcBorders>
              <w:tl2br w:val="nil"/>
              <w:tr2bl w:val="nil"/>
            </w:tcBorders>
            <w:vAlign w:val="center"/>
          </w:tcPr>
          <w:p w14:paraId="6E82EB7A">
            <w:pPr>
              <w:adjustRightInd w:val="0"/>
              <w:snapToGrid w:val="0"/>
              <w:spacing w:line="240" w:lineRule="auto"/>
              <w:jc w:val="center"/>
              <w:rPr>
                <w:color w:val="FF0000"/>
                <w:sz w:val="21"/>
                <w:szCs w:val="21"/>
              </w:rPr>
            </w:pPr>
          </w:p>
        </w:tc>
        <w:tc>
          <w:tcPr>
            <w:tcW w:w="1089" w:type="dxa"/>
            <w:tcBorders>
              <w:tl2br w:val="nil"/>
              <w:tr2bl w:val="nil"/>
            </w:tcBorders>
            <w:vAlign w:val="center"/>
          </w:tcPr>
          <w:p w14:paraId="1D069B24">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05C26ED7">
            <w:pPr>
              <w:adjustRightInd w:val="0"/>
              <w:snapToGrid w:val="0"/>
              <w:spacing w:line="240" w:lineRule="auto"/>
              <w:jc w:val="center"/>
              <w:rPr>
                <w:sz w:val="21"/>
                <w:szCs w:val="21"/>
              </w:rPr>
            </w:pPr>
            <w:r>
              <w:rPr>
                <w:rFonts w:hint="eastAsia"/>
                <w:sz w:val="21"/>
                <w:szCs w:val="21"/>
              </w:rPr>
              <w:t>60.3</w:t>
            </w:r>
          </w:p>
        </w:tc>
        <w:tc>
          <w:tcPr>
            <w:tcW w:w="769" w:type="dxa"/>
            <w:tcBorders>
              <w:tl2br w:val="nil"/>
              <w:tr2bl w:val="nil"/>
            </w:tcBorders>
            <w:vAlign w:val="center"/>
          </w:tcPr>
          <w:p w14:paraId="7F9FD9D4">
            <w:pPr>
              <w:adjustRightInd w:val="0"/>
              <w:snapToGrid w:val="0"/>
              <w:spacing w:line="240" w:lineRule="auto"/>
              <w:jc w:val="center"/>
              <w:rPr>
                <w:color w:val="FF0000"/>
                <w:sz w:val="21"/>
                <w:szCs w:val="21"/>
              </w:rPr>
            </w:pPr>
            <w:r>
              <w:rPr>
                <w:rFonts w:hint="eastAsia"/>
                <w:sz w:val="21"/>
                <w:szCs w:val="21"/>
              </w:rPr>
              <w:t>1m</w:t>
            </w:r>
          </w:p>
        </w:tc>
      </w:tr>
      <w:tr w14:paraId="58F5E7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7730D82D">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56131BA5">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43CE3564">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6AE67CCF">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15871E04">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464B859B">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0CEF2917">
            <w:pPr>
              <w:adjustRightInd w:val="0"/>
              <w:snapToGrid w:val="0"/>
              <w:spacing w:line="240" w:lineRule="auto"/>
              <w:jc w:val="center"/>
              <w:rPr>
                <w:sz w:val="21"/>
                <w:szCs w:val="21"/>
              </w:rPr>
            </w:pPr>
          </w:p>
        </w:tc>
        <w:tc>
          <w:tcPr>
            <w:tcW w:w="786" w:type="dxa"/>
            <w:vMerge w:val="continue"/>
            <w:tcBorders>
              <w:tl2br w:val="nil"/>
              <w:tr2bl w:val="nil"/>
            </w:tcBorders>
            <w:vAlign w:val="center"/>
          </w:tcPr>
          <w:p w14:paraId="22D10AF3">
            <w:pPr>
              <w:adjustRightInd w:val="0"/>
              <w:snapToGrid w:val="0"/>
              <w:spacing w:line="240" w:lineRule="auto"/>
              <w:jc w:val="center"/>
              <w:rPr>
                <w:sz w:val="21"/>
                <w:szCs w:val="21"/>
              </w:rPr>
            </w:pPr>
          </w:p>
        </w:tc>
        <w:tc>
          <w:tcPr>
            <w:tcW w:w="828" w:type="dxa"/>
            <w:vMerge w:val="continue"/>
            <w:tcBorders>
              <w:tl2br w:val="nil"/>
              <w:tr2bl w:val="nil"/>
            </w:tcBorders>
            <w:vAlign w:val="center"/>
          </w:tcPr>
          <w:p w14:paraId="17896DB9">
            <w:pPr>
              <w:adjustRightInd w:val="0"/>
              <w:snapToGrid w:val="0"/>
              <w:spacing w:line="240" w:lineRule="auto"/>
              <w:jc w:val="center"/>
              <w:rPr>
                <w:sz w:val="21"/>
                <w:szCs w:val="21"/>
              </w:rPr>
            </w:pPr>
          </w:p>
        </w:tc>
        <w:tc>
          <w:tcPr>
            <w:tcW w:w="755" w:type="dxa"/>
            <w:vMerge w:val="continue"/>
            <w:tcBorders>
              <w:tl2br w:val="nil"/>
              <w:tr2bl w:val="nil"/>
            </w:tcBorders>
            <w:vAlign w:val="center"/>
          </w:tcPr>
          <w:p w14:paraId="0600AE7A">
            <w:pPr>
              <w:adjustRightInd w:val="0"/>
              <w:snapToGrid w:val="0"/>
              <w:spacing w:line="240" w:lineRule="auto"/>
              <w:jc w:val="center"/>
              <w:rPr>
                <w:sz w:val="21"/>
                <w:szCs w:val="21"/>
              </w:rPr>
            </w:pPr>
          </w:p>
        </w:tc>
        <w:tc>
          <w:tcPr>
            <w:tcW w:w="1382" w:type="dxa"/>
            <w:tcBorders>
              <w:tl2br w:val="nil"/>
              <w:tr2bl w:val="nil"/>
            </w:tcBorders>
            <w:vAlign w:val="center"/>
          </w:tcPr>
          <w:p w14:paraId="5E1AB4C6">
            <w:pPr>
              <w:adjustRightInd w:val="0"/>
              <w:snapToGrid w:val="0"/>
              <w:spacing w:line="240" w:lineRule="auto"/>
              <w:jc w:val="center"/>
              <w:rPr>
                <w:sz w:val="21"/>
                <w:szCs w:val="21"/>
              </w:rPr>
            </w:pPr>
            <w:r>
              <w:rPr>
                <w:rFonts w:hint="eastAsia"/>
                <w:sz w:val="21"/>
                <w:szCs w:val="21"/>
              </w:rPr>
              <w:t>S：20.6</w:t>
            </w:r>
          </w:p>
        </w:tc>
        <w:tc>
          <w:tcPr>
            <w:tcW w:w="1145" w:type="dxa"/>
            <w:tcBorders>
              <w:tl2br w:val="nil"/>
              <w:tr2bl w:val="nil"/>
            </w:tcBorders>
            <w:vAlign w:val="center"/>
          </w:tcPr>
          <w:p w14:paraId="4047D318">
            <w:pPr>
              <w:adjustRightInd w:val="0"/>
              <w:snapToGrid w:val="0"/>
              <w:spacing w:line="240" w:lineRule="auto"/>
              <w:jc w:val="center"/>
              <w:rPr>
                <w:sz w:val="21"/>
                <w:szCs w:val="21"/>
              </w:rPr>
            </w:pPr>
            <w:r>
              <w:rPr>
                <w:rFonts w:hint="eastAsia"/>
                <w:sz w:val="21"/>
                <w:szCs w:val="21"/>
              </w:rPr>
              <w:t>80.3</w:t>
            </w:r>
          </w:p>
        </w:tc>
        <w:tc>
          <w:tcPr>
            <w:tcW w:w="645" w:type="dxa"/>
            <w:vMerge w:val="continue"/>
            <w:tcBorders>
              <w:tl2br w:val="nil"/>
              <w:tr2bl w:val="nil"/>
            </w:tcBorders>
            <w:vAlign w:val="center"/>
          </w:tcPr>
          <w:p w14:paraId="65FF8499">
            <w:pPr>
              <w:adjustRightInd w:val="0"/>
              <w:snapToGrid w:val="0"/>
              <w:spacing w:line="240" w:lineRule="auto"/>
              <w:jc w:val="center"/>
              <w:rPr>
                <w:color w:val="FF0000"/>
                <w:sz w:val="21"/>
                <w:szCs w:val="21"/>
              </w:rPr>
            </w:pPr>
          </w:p>
        </w:tc>
        <w:tc>
          <w:tcPr>
            <w:tcW w:w="1089" w:type="dxa"/>
            <w:tcBorders>
              <w:tl2br w:val="nil"/>
              <w:tr2bl w:val="nil"/>
            </w:tcBorders>
            <w:vAlign w:val="center"/>
          </w:tcPr>
          <w:p w14:paraId="4A2F6E01">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76253527">
            <w:pPr>
              <w:adjustRightInd w:val="0"/>
              <w:snapToGrid w:val="0"/>
              <w:spacing w:line="240" w:lineRule="auto"/>
              <w:jc w:val="center"/>
              <w:rPr>
                <w:sz w:val="21"/>
                <w:szCs w:val="21"/>
              </w:rPr>
            </w:pPr>
            <w:r>
              <w:rPr>
                <w:rFonts w:hint="eastAsia"/>
                <w:sz w:val="21"/>
                <w:szCs w:val="21"/>
              </w:rPr>
              <w:t>60.3</w:t>
            </w:r>
          </w:p>
        </w:tc>
        <w:tc>
          <w:tcPr>
            <w:tcW w:w="769" w:type="dxa"/>
            <w:tcBorders>
              <w:tl2br w:val="nil"/>
              <w:tr2bl w:val="nil"/>
            </w:tcBorders>
            <w:vAlign w:val="center"/>
          </w:tcPr>
          <w:p w14:paraId="43090720">
            <w:pPr>
              <w:adjustRightInd w:val="0"/>
              <w:snapToGrid w:val="0"/>
              <w:spacing w:line="240" w:lineRule="auto"/>
              <w:jc w:val="center"/>
              <w:rPr>
                <w:color w:val="FF0000"/>
                <w:sz w:val="21"/>
                <w:szCs w:val="21"/>
              </w:rPr>
            </w:pPr>
            <w:r>
              <w:rPr>
                <w:rFonts w:hint="eastAsia"/>
                <w:sz w:val="21"/>
                <w:szCs w:val="21"/>
              </w:rPr>
              <w:t>1m</w:t>
            </w:r>
          </w:p>
        </w:tc>
      </w:tr>
      <w:tr w14:paraId="17F80E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2BFD73D6">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2840CA8A">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1EBC1C1B">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182CBE86">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38FF184C">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44156673">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6223306E">
            <w:pPr>
              <w:adjustRightInd w:val="0"/>
              <w:snapToGrid w:val="0"/>
              <w:spacing w:line="240" w:lineRule="auto"/>
              <w:jc w:val="center"/>
              <w:rPr>
                <w:sz w:val="21"/>
                <w:szCs w:val="21"/>
              </w:rPr>
            </w:pPr>
          </w:p>
        </w:tc>
        <w:tc>
          <w:tcPr>
            <w:tcW w:w="786" w:type="dxa"/>
            <w:vMerge w:val="continue"/>
            <w:tcBorders>
              <w:tl2br w:val="nil"/>
              <w:tr2bl w:val="nil"/>
            </w:tcBorders>
            <w:vAlign w:val="center"/>
          </w:tcPr>
          <w:p w14:paraId="4B96547F">
            <w:pPr>
              <w:adjustRightInd w:val="0"/>
              <w:snapToGrid w:val="0"/>
              <w:spacing w:line="240" w:lineRule="auto"/>
              <w:jc w:val="center"/>
              <w:rPr>
                <w:sz w:val="21"/>
                <w:szCs w:val="21"/>
              </w:rPr>
            </w:pPr>
          </w:p>
        </w:tc>
        <w:tc>
          <w:tcPr>
            <w:tcW w:w="828" w:type="dxa"/>
            <w:vMerge w:val="continue"/>
            <w:tcBorders>
              <w:tl2br w:val="nil"/>
              <w:tr2bl w:val="nil"/>
            </w:tcBorders>
            <w:vAlign w:val="center"/>
          </w:tcPr>
          <w:p w14:paraId="39BD7A53">
            <w:pPr>
              <w:adjustRightInd w:val="0"/>
              <w:snapToGrid w:val="0"/>
              <w:spacing w:line="240" w:lineRule="auto"/>
              <w:jc w:val="center"/>
              <w:rPr>
                <w:sz w:val="21"/>
                <w:szCs w:val="21"/>
              </w:rPr>
            </w:pPr>
          </w:p>
        </w:tc>
        <w:tc>
          <w:tcPr>
            <w:tcW w:w="755" w:type="dxa"/>
            <w:vMerge w:val="continue"/>
            <w:tcBorders>
              <w:tl2br w:val="nil"/>
              <w:tr2bl w:val="nil"/>
            </w:tcBorders>
            <w:vAlign w:val="center"/>
          </w:tcPr>
          <w:p w14:paraId="1D8543A9">
            <w:pPr>
              <w:adjustRightInd w:val="0"/>
              <w:snapToGrid w:val="0"/>
              <w:spacing w:line="240" w:lineRule="auto"/>
              <w:jc w:val="center"/>
              <w:rPr>
                <w:sz w:val="21"/>
                <w:szCs w:val="21"/>
              </w:rPr>
            </w:pPr>
          </w:p>
        </w:tc>
        <w:tc>
          <w:tcPr>
            <w:tcW w:w="1382" w:type="dxa"/>
            <w:tcBorders>
              <w:tl2br w:val="nil"/>
              <w:tr2bl w:val="nil"/>
            </w:tcBorders>
            <w:vAlign w:val="center"/>
          </w:tcPr>
          <w:p w14:paraId="7916471B">
            <w:pPr>
              <w:adjustRightInd w:val="0"/>
              <w:snapToGrid w:val="0"/>
              <w:spacing w:line="240" w:lineRule="auto"/>
              <w:jc w:val="center"/>
              <w:rPr>
                <w:sz w:val="21"/>
                <w:szCs w:val="21"/>
              </w:rPr>
            </w:pPr>
            <w:r>
              <w:rPr>
                <w:rFonts w:hint="eastAsia"/>
                <w:sz w:val="21"/>
                <w:szCs w:val="21"/>
              </w:rPr>
              <w:t>W：81.6</w:t>
            </w:r>
          </w:p>
        </w:tc>
        <w:tc>
          <w:tcPr>
            <w:tcW w:w="1145" w:type="dxa"/>
            <w:tcBorders>
              <w:tl2br w:val="nil"/>
              <w:tr2bl w:val="nil"/>
            </w:tcBorders>
            <w:vAlign w:val="center"/>
          </w:tcPr>
          <w:p w14:paraId="1E4411A1">
            <w:pPr>
              <w:adjustRightInd w:val="0"/>
              <w:snapToGrid w:val="0"/>
              <w:spacing w:line="240" w:lineRule="auto"/>
              <w:jc w:val="center"/>
              <w:rPr>
                <w:sz w:val="21"/>
                <w:szCs w:val="21"/>
              </w:rPr>
            </w:pPr>
            <w:r>
              <w:rPr>
                <w:rFonts w:hint="eastAsia"/>
                <w:sz w:val="21"/>
                <w:szCs w:val="21"/>
              </w:rPr>
              <w:t>80.3</w:t>
            </w:r>
          </w:p>
        </w:tc>
        <w:tc>
          <w:tcPr>
            <w:tcW w:w="645" w:type="dxa"/>
            <w:vMerge w:val="continue"/>
            <w:tcBorders>
              <w:tl2br w:val="nil"/>
              <w:tr2bl w:val="nil"/>
            </w:tcBorders>
            <w:vAlign w:val="center"/>
          </w:tcPr>
          <w:p w14:paraId="56189F63">
            <w:pPr>
              <w:adjustRightInd w:val="0"/>
              <w:snapToGrid w:val="0"/>
              <w:spacing w:line="240" w:lineRule="auto"/>
              <w:jc w:val="center"/>
              <w:rPr>
                <w:color w:val="FF0000"/>
                <w:sz w:val="21"/>
                <w:szCs w:val="21"/>
              </w:rPr>
            </w:pPr>
          </w:p>
        </w:tc>
        <w:tc>
          <w:tcPr>
            <w:tcW w:w="1089" w:type="dxa"/>
            <w:tcBorders>
              <w:tl2br w:val="nil"/>
              <w:tr2bl w:val="nil"/>
            </w:tcBorders>
            <w:vAlign w:val="center"/>
          </w:tcPr>
          <w:p w14:paraId="3B44D511">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21B852C0">
            <w:pPr>
              <w:adjustRightInd w:val="0"/>
              <w:snapToGrid w:val="0"/>
              <w:spacing w:line="240" w:lineRule="auto"/>
              <w:jc w:val="center"/>
              <w:rPr>
                <w:sz w:val="21"/>
                <w:szCs w:val="21"/>
              </w:rPr>
            </w:pPr>
            <w:r>
              <w:rPr>
                <w:rFonts w:hint="eastAsia"/>
                <w:sz w:val="21"/>
                <w:szCs w:val="21"/>
              </w:rPr>
              <w:t>60.3</w:t>
            </w:r>
          </w:p>
        </w:tc>
        <w:tc>
          <w:tcPr>
            <w:tcW w:w="769" w:type="dxa"/>
            <w:tcBorders>
              <w:tl2br w:val="nil"/>
              <w:tr2bl w:val="nil"/>
            </w:tcBorders>
            <w:vAlign w:val="center"/>
          </w:tcPr>
          <w:p w14:paraId="353AC478">
            <w:pPr>
              <w:adjustRightInd w:val="0"/>
              <w:snapToGrid w:val="0"/>
              <w:spacing w:line="240" w:lineRule="auto"/>
              <w:jc w:val="center"/>
              <w:rPr>
                <w:color w:val="FF0000"/>
                <w:sz w:val="21"/>
                <w:szCs w:val="21"/>
              </w:rPr>
            </w:pPr>
            <w:r>
              <w:rPr>
                <w:rFonts w:hint="eastAsia"/>
                <w:sz w:val="21"/>
                <w:szCs w:val="21"/>
              </w:rPr>
              <w:t>1m</w:t>
            </w:r>
          </w:p>
        </w:tc>
      </w:tr>
      <w:tr w14:paraId="0FD563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3B5A7594">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04E7A096">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3E8CE176">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04625474">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3AD83F6A">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0CA75CFC">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13A0DECE">
            <w:pPr>
              <w:adjustRightInd w:val="0"/>
              <w:snapToGrid w:val="0"/>
              <w:spacing w:line="240" w:lineRule="auto"/>
              <w:jc w:val="center"/>
              <w:rPr>
                <w:sz w:val="21"/>
                <w:szCs w:val="21"/>
              </w:rPr>
            </w:pPr>
          </w:p>
        </w:tc>
        <w:tc>
          <w:tcPr>
            <w:tcW w:w="786" w:type="dxa"/>
            <w:vMerge w:val="continue"/>
            <w:tcBorders>
              <w:tl2br w:val="nil"/>
              <w:tr2bl w:val="nil"/>
            </w:tcBorders>
            <w:vAlign w:val="center"/>
          </w:tcPr>
          <w:p w14:paraId="6D8F2A04">
            <w:pPr>
              <w:adjustRightInd w:val="0"/>
              <w:snapToGrid w:val="0"/>
              <w:spacing w:line="240" w:lineRule="auto"/>
              <w:jc w:val="center"/>
              <w:rPr>
                <w:sz w:val="21"/>
                <w:szCs w:val="21"/>
              </w:rPr>
            </w:pPr>
          </w:p>
        </w:tc>
        <w:tc>
          <w:tcPr>
            <w:tcW w:w="828" w:type="dxa"/>
            <w:vMerge w:val="continue"/>
            <w:tcBorders>
              <w:tl2br w:val="nil"/>
              <w:tr2bl w:val="nil"/>
            </w:tcBorders>
            <w:vAlign w:val="center"/>
          </w:tcPr>
          <w:p w14:paraId="20B86371">
            <w:pPr>
              <w:adjustRightInd w:val="0"/>
              <w:snapToGrid w:val="0"/>
              <w:spacing w:line="240" w:lineRule="auto"/>
              <w:jc w:val="center"/>
              <w:rPr>
                <w:sz w:val="21"/>
                <w:szCs w:val="21"/>
              </w:rPr>
            </w:pPr>
          </w:p>
        </w:tc>
        <w:tc>
          <w:tcPr>
            <w:tcW w:w="755" w:type="dxa"/>
            <w:vMerge w:val="continue"/>
            <w:tcBorders>
              <w:tl2br w:val="nil"/>
              <w:tr2bl w:val="nil"/>
            </w:tcBorders>
            <w:vAlign w:val="center"/>
          </w:tcPr>
          <w:p w14:paraId="2EB9B3BF">
            <w:pPr>
              <w:adjustRightInd w:val="0"/>
              <w:snapToGrid w:val="0"/>
              <w:spacing w:line="240" w:lineRule="auto"/>
              <w:jc w:val="center"/>
              <w:rPr>
                <w:sz w:val="21"/>
                <w:szCs w:val="21"/>
              </w:rPr>
            </w:pPr>
          </w:p>
        </w:tc>
        <w:tc>
          <w:tcPr>
            <w:tcW w:w="1382" w:type="dxa"/>
            <w:tcBorders>
              <w:tl2br w:val="nil"/>
              <w:tr2bl w:val="nil"/>
            </w:tcBorders>
            <w:vAlign w:val="center"/>
          </w:tcPr>
          <w:p w14:paraId="7B8878A6">
            <w:pPr>
              <w:adjustRightInd w:val="0"/>
              <w:snapToGrid w:val="0"/>
              <w:spacing w:line="240" w:lineRule="auto"/>
              <w:jc w:val="center"/>
              <w:rPr>
                <w:sz w:val="21"/>
                <w:szCs w:val="21"/>
              </w:rPr>
            </w:pPr>
            <w:r>
              <w:rPr>
                <w:rFonts w:hint="eastAsia"/>
                <w:sz w:val="21"/>
                <w:szCs w:val="21"/>
              </w:rPr>
              <w:t>N：12.6</w:t>
            </w:r>
          </w:p>
        </w:tc>
        <w:tc>
          <w:tcPr>
            <w:tcW w:w="1145" w:type="dxa"/>
            <w:tcBorders>
              <w:tl2br w:val="nil"/>
              <w:tr2bl w:val="nil"/>
            </w:tcBorders>
            <w:vAlign w:val="center"/>
          </w:tcPr>
          <w:p w14:paraId="55EE3E08">
            <w:pPr>
              <w:adjustRightInd w:val="0"/>
              <w:snapToGrid w:val="0"/>
              <w:spacing w:line="240" w:lineRule="auto"/>
              <w:jc w:val="center"/>
              <w:rPr>
                <w:sz w:val="21"/>
                <w:szCs w:val="21"/>
              </w:rPr>
            </w:pPr>
            <w:r>
              <w:rPr>
                <w:rFonts w:hint="eastAsia"/>
                <w:sz w:val="21"/>
                <w:szCs w:val="21"/>
              </w:rPr>
              <w:t>80.4</w:t>
            </w:r>
          </w:p>
        </w:tc>
        <w:tc>
          <w:tcPr>
            <w:tcW w:w="645" w:type="dxa"/>
            <w:vMerge w:val="continue"/>
            <w:tcBorders>
              <w:tl2br w:val="nil"/>
              <w:tr2bl w:val="nil"/>
            </w:tcBorders>
            <w:vAlign w:val="center"/>
          </w:tcPr>
          <w:p w14:paraId="19E1A146">
            <w:pPr>
              <w:adjustRightInd w:val="0"/>
              <w:snapToGrid w:val="0"/>
              <w:spacing w:line="240" w:lineRule="auto"/>
              <w:jc w:val="center"/>
              <w:rPr>
                <w:color w:val="FF0000"/>
                <w:sz w:val="21"/>
                <w:szCs w:val="21"/>
              </w:rPr>
            </w:pPr>
          </w:p>
        </w:tc>
        <w:tc>
          <w:tcPr>
            <w:tcW w:w="1089" w:type="dxa"/>
            <w:tcBorders>
              <w:tl2br w:val="nil"/>
              <w:tr2bl w:val="nil"/>
            </w:tcBorders>
            <w:vAlign w:val="center"/>
          </w:tcPr>
          <w:p w14:paraId="1AF632E1">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5B6DE39D">
            <w:pPr>
              <w:adjustRightInd w:val="0"/>
              <w:snapToGrid w:val="0"/>
              <w:spacing w:line="240" w:lineRule="auto"/>
              <w:jc w:val="center"/>
              <w:rPr>
                <w:sz w:val="21"/>
                <w:szCs w:val="21"/>
              </w:rPr>
            </w:pPr>
            <w:r>
              <w:rPr>
                <w:rFonts w:hint="eastAsia"/>
                <w:sz w:val="21"/>
                <w:szCs w:val="21"/>
              </w:rPr>
              <w:t>60.4</w:t>
            </w:r>
          </w:p>
        </w:tc>
        <w:tc>
          <w:tcPr>
            <w:tcW w:w="769" w:type="dxa"/>
            <w:tcBorders>
              <w:tl2br w:val="nil"/>
              <w:tr2bl w:val="nil"/>
            </w:tcBorders>
            <w:vAlign w:val="center"/>
          </w:tcPr>
          <w:p w14:paraId="2DA14AD2">
            <w:pPr>
              <w:adjustRightInd w:val="0"/>
              <w:snapToGrid w:val="0"/>
              <w:spacing w:line="240" w:lineRule="auto"/>
              <w:jc w:val="center"/>
              <w:rPr>
                <w:color w:val="FF0000"/>
                <w:sz w:val="21"/>
                <w:szCs w:val="21"/>
              </w:rPr>
            </w:pPr>
            <w:r>
              <w:rPr>
                <w:rFonts w:hint="eastAsia"/>
                <w:sz w:val="21"/>
                <w:szCs w:val="21"/>
              </w:rPr>
              <w:t>1m</w:t>
            </w:r>
          </w:p>
        </w:tc>
      </w:tr>
      <w:tr w14:paraId="251FC9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180AAF38">
            <w:pPr>
              <w:adjustRightInd w:val="0"/>
              <w:snapToGrid w:val="0"/>
              <w:spacing w:line="240" w:lineRule="auto"/>
              <w:jc w:val="center"/>
              <w:rPr>
                <w:sz w:val="21"/>
                <w:szCs w:val="21"/>
              </w:rPr>
            </w:pPr>
            <w:r>
              <w:rPr>
                <w:rFonts w:hint="eastAsia"/>
                <w:sz w:val="21"/>
                <w:szCs w:val="21"/>
              </w:rPr>
              <w:t>7</w:t>
            </w:r>
          </w:p>
        </w:tc>
        <w:tc>
          <w:tcPr>
            <w:tcW w:w="629" w:type="dxa"/>
            <w:vMerge w:val="restart"/>
            <w:tcBorders>
              <w:tl2br w:val="nil"/>
              <w:tr2bl w:val="nil"/>
            </w:tcBorders>
            <w:vAlign w:val="center"/>
          </w:tcPr>
          <w:p w14:paraId="7C44B105">
            <w:pPr>
              <w:adjustRightInd w:val="0"/>
              <w:snapToGrid w:val="0"/>
              <w:spacing w:line="240" w:lineRule="auto"/>
              <w:jc w:val="center"/>
              <w:rPr>
                <w:sz w:val="21"/>
                <w:szCs w:val="21"/>
              </w:rPr>
            </w:pPr>
            <w:r>
              <w:rPr>
                <w:rFonts w:hint="eastAsia"/>
                <w:sz w:val="21"/>
                <w:szCs w:val="21"/>
              </w:rPr>
              <w:t>2车间</w:t>
            </w:r>
          </w:p>
        </w:tc>
        <w:tc>
          <w:tcPr>
            <w:tcW w:w="480" w:type="dxa"/>
            <w:vMerge w:val="restart"/>
            <w:tcBorders>
              <w:tl2br w:val="nil"/>
              <w:tr2bl w:val="nil"/>
            </w:tcBorders>
            <w:vAlign w:val="center"/>
          </w:tcPr>
          <w:p w14:paraId="39E969A5">
            <w:pPr>
              <w:adjustRightInd w:val="0"/>
              <w:snapToGrid w:val="0"/>
              <w:spacing w:line="240" w:lineRule="auto"/>
              <w:jc w:val="center"/>
              <w:rPr>
                <w:sz w:val="21"/>
                <w:szCs w:val="21"/>
              </w:rPr>
            </w:pPr>
            <w:r>
              <w:rPr>
                <w:rFonts w:hint="eastAsia"/>
                <w:sz w:val="21"/>
                <w:szCs w:val="21"/>
              </w:rPr>
              <w:t>制袋机</w:t>
            </w:r>
          </w:p>
        </w:tc>
        <w:tc>
          <w:tcPr>
            <w:tcW w:w="1534" w:type="dxa"/>
            <w:vMerge w:val="restart"/>
            <w:tcBorders>
              <w:tl2br w:val="nil"/>
              <w:tr2bl w:val="nil"/>
            </w:tcBorders>
            <w:vAlign w:val="center"/>
          </w:tcPr>
          <w:p w14:paraId="26D5AB21">
            <w:pPr>
              <w:adjustRightInd w:val="0"/>
              <w:snapToGrid w:val="0"/>
              <w:spacing w:line="240" w:lineRule="auto"/>
              <w:jc w:val="center"/>
              <w:rPr>
                <w:sz w:val="21"/>
                <w:szCs w:val="21"/>
              </w:rPr>
            </w:pPr>
            <w:r>
              <w:rPr>
                <w:sz w:val="21"/>
                <w:szCs w:val="21"/>
              </w:rPr>
              <w:t>SFZZ-500FSD-600Ⅲ</w:t>
            </w:r>
          </w:p>
        </w:tc>
        <w:tc>
          <w:tcPr>
            <w:tcW w:w="708" w:type="dxa"/>
            <w:vMerge w:val="restart"/>
            <w:tcBorders>
              <w:tl2br w:val="nil"/>
              <w:tr2bl w:val="nil"/>
            </w:tcBorders>
            <w:vAlign w:val="center"/>
          </w:tcPr>
          <w:p w14:paraId="2624315D">
            <w:pPr>
              <w:adjustRightInd w:val="0"/>
              <w:snapToGrid w:val="0"/>
              <w:spacing w:line="240" w:lineRule="auto"/>
              <w:jc w:val="center"/>
              <w:rPr>
                <w:sz w:val="21"/>
                <w:szCs w:val="21"/>
              </w:rPr>
            </w:pPr>
            <w:r>
              <w:rPr>
                <w:rFonts w:hint="eastAsia"/>
                <w:sz w:val="21"/>
                <w:szCs w:val="21"/>
              </w:rPr>
              <w:t>70台</w:t>
            </w:r>
          </w:p>
        </w:tc>
        <w:tc>
          <w:tcPr>
            <w:tcW w:w="1216" w:type="dxa"/>
            <w:vMerge w:val="restart"/>
            <w:tcBorders>
              <w:tl2br w:val="nil"/>
              <w:tr2bl w:val="nil"/>
            </w:tcBorders>
            <w:vAlign w:val="center"/>
          </w:tcPr>
          <w:p w14:paraId="1737F939">
            <w:pPr>
              <w:adjustRightInd w:val="0"/>
              <w:snapToGrid w:val="0"/>
              <w:spacing w:line="240" w:lineRule="auto"/>
              <w:jc w:val="center"/>
              <w:rPr>
                <w:sz w:val="21"/>
                <w:szCs w:val="21"/>
              </w:rPr>
            </w:pPr>
            <w:r>
              <w:rPr>
                <w:rFonts w:hint="eastAsia"/>
                <w:sz w:val="21"/>
                <w:szCs w:val="21"/>
              </w:rPr>
              <w:t>75~85</w:t>
            </w:r>
          </w:p>
          <w:p w14:paraId="77E31F15">
            <w:pPr>
              <w:adjustRightInd w:val="0"/>
              <w:snapToGrid w:val="0"/>
              <w:spacing w:line="240" w:lineRule="auto"/>
              <w:jc w:val="center"/>
              <w:rPr>
                <w:color w:val="FF0000"/>
                <w:sz w:val="21"/>
                <w:szCs w:val="21"/>
              </w:rPr>
            </w:pPr>
            <w:r>
              <w:rPr>
                <w:rFonts w:hint="eastAsia"/>
                <w:sz w:val="21"/>
                <w:szCs w:val="21"/>
              </w:rPr>
              <w:t>叠加后98.5</w:t>
            </w:r>
          </w:p>
        </w:tc>
        <w:tc>
          <w:tcPr>
            <w:tcW w:w="645" w:type="dxa"/>
            <w:vMerge w:val="restart"/>
            <w:tcBorders>
              <w:tl2br w:val="nil"/>
              <w:tr2bl w:val="nil"/>
            </w:tcBorders>
            <w:vAlign w:val="center"/>
          </w:tcPr>
          <w:p w14:paraId="5B2AE8A9">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5141CA46">
            <w:pPr>
              <w:adjustRightInd w:val="0"/>
              <w:snapToGrid w:val="0"/>
              <w:spacing w:line="240" w:lineRule="auto"/>
              <w:jc w:val="center"/>
              <w:rPr>
                <w:sz w:val="21"/>
                <w:szCs w:val="21"/>
              </w:rPr>
            </w:pPr>
            <w:r>
              <w:rPr>
                <w:rFonts w:hint="eastAsia"/>
                <w:sz w:val="21"/>
                <w:szCs w:val="21"/>
              </w:rPr>
              <w:t>-44.1</w:t>
            </w:r>
          </w:p>
        </w:tc>
        <w:tc>
          <w:tcPr>
            <w:tcW w:w="828" w:type="dxa"/>
            <w:vMerge w:val="restart"/>
            <w:tcBorders>
              <w:tl2br w:val="nil"/>
              <w:tr2bl w:val="nil"/>
            </w:tcBorders>
            <w:vAlign w:val="center"/>
          </w:tcPr>
          <w:p w14:paraId="2E1845BD">
            <w:pPr>
              <w:adjustRightInd w:val="0"/>
              <w:snapToGrid w:val="0"/>
              <w:spacing w:line="240" w:lineRule="auto"/>
              <w:jc w:val="center"/>
              <w:rPr>
                <w:sz w:val="21"/>
                <w:szCs w:val="21"/>
              </w:rPr>
            </w:pPr>
            <w:r>
              <w:rPr>
                <w:rFonts w:hint="eastAsia"/>
                <w:sz w:val="21"/>
                <w:szCs w:val="21"/>
              </w:rPr>
              <w:t>-29.9</w:t>
            </w:r>
          </w:p>
        </w:tc>
        <w:tc>
          <w:tcPr>
            <w:tcW w:w="755" w:type="dxa"/>
            <w:vMerge w:val="restart"/>
            <w:tcBorders>
              <w:tl2br w:val="nil"/>
              <w:tr2bl w:val="nil"/>
            </w:tcBorders>
            <w:vAlign w:val="center"/>
          </w:tcPr>
          <w:p w14:paraId="5BB5DB7B">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235C2F11">
            <w:pPr>
              <w:adjustRightInd w:val="0"/>
              <w:snapToGrid w:val="0"/>
              <w:spacing w:line="240" w:lineRule="auto"/>
              <w:jc w:val="center"/>
              <w:rPr>
                <w:sz w:val="21"/>
                <w:szCs w:val="21"/>
              </w:rPr>
            </w:pPr>
            <w:r>
              <w:rPr>
                <w:rFonts w:hint="eastAsia"/>
                <w:sz w:val="21"/>
                <w:szCs w:val="21"/>
              </w:rPr>
              <w:t>E：62.9</w:t>
            </w:r>
          </w:p>
        </w:tc>
        <w:tc>
          <w:tcPr>
            <w:tcW w:w="1145" w:type="dxa"/>
            <w:tcBorders>
              <w:tl2br w:val="nil"/>
              <w:tr2bl w:val="nil"/>
            </w:tcBorders>
            <w:vAlign w:val="center"/>
          </w:tcPr>
          <w:p w14:paraId="334E34E9">
            <w:pPr>
              <w:adjustRightInd w:val="0"/>
              <w:snapToGrid w:val="0"/>
              <w:spacing w:line="240" w:lineRule="auto"/>
              <w:jc w:val="center"/>
              <w:rPr>
                <w:sz w:val="21"/>
                <w:szCs w:val="21"/>
              </w:rPr>
            </w:pPr>
            <w:r>
              <w:rPr>
                <w:rFonts w:hint="eastAsia"/>
                <w:sz w:val="21"/>
                <w:szCs w:val="21"/>
              </w:rPr>
              <w:t>83.3</w:t>
            </w:r>
          </w:p>
        </w:tc>
        <w:tc>
          <w:tcPr>
            <w:tcW w:w="645" w:type="dxa"/>
            <w:vMerge w:val="continue"/>
            <w:tcBorders>
              <w:tl2br w:val="nil"/>
              <w:tr2bl w:val="nil"/>
            </w:tcBorders>
            <w:vAlign w:val="center"/>
          </w:tcPr>
          <w:p w14:paraId="78719D14">
            <w:pPr>
              <w:adjustRightInd w:val="0"/>
              <w:snapToGrid w:val="0"/>
              <w:spacing w:line="240" w:lineRule="auto"/>
              <w:jc w:val="center"/>
              <w:rPr>
                <w:color w:val="FF0000"/>
                <w:sz w:val="21"/>
                <w:szCs w:val="21"/>
              </w:rPr>
            </w:pPr>
          </w:p>
        </w:tc>
        <w:tc>
          <w:tcPr>
            <w:tcW w:w="1089" w:type="dxa"/>
            <w:tcBorders>
              <w:tl2br w:val="nil"/>
              <w:tr2bl w:val="nil"/>
            </w:tcBorders>
            <w:vAlign w:val="center"/>
          </w:tcPr>
          <w:p w14:paraId="2D6C6EF5">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63C2EADA">
            <w:pPr>
              <w:adjustRightInd w:val="0"/>
              <w:snapToGrid w:val="0"/>
              <w:spacing w:line="240" w:lineRule="auto"/>
              <w:jc w:val="center"/>
              <w:rPr>
                <w:sz w:val="21"/>
                <w:szCs w:val="21"/>
              </w:rPr>
            </w:pPr>
            <w:r>
              <w:rPr>
                <w:rFonts w:hint="eastAsia"/>
                <w:sz w:val="21"/>
                <w:szCs w:val="21"/>
              </w:rPr>
              <w:t>63.3</w:t>
            </w:r>
          </w:p>
        </w:tc>
        <w:tc>
          <w:tcPr>
            <w:tcW w:w="769" w:type="dxa"/>
            <w:tcBorders>
              <w:tl2br w:val="nil"/>
              <w:tr2bl w:val="nil"/>
            </w:tcBorders>
            <w:vAlign w:val="center"/>
          </w:tcPr>
          <w:p w14:paraId="3173D152">
            <w:pPr>
              <w:adjustRightInd w:val="0"/>
              <w:snapToGrid w:val="0"/>
              <w:spacing w:line="240" w:lineRule="auto"/>
              <w:jc w:val="center"/>
              <w:rPr>
                <w:color w:val="FF0000"/>
                <w:sz w:val="21"/>
                <w:szCs w:val="21"/>
              </w:rPr>
            </w:pPr>
            <w:r>
              <w:rPr>
                <w:rFonts w:hint="eastAsia"/>
                <w:sz w:val="21"/>
                <w:szCs w:val="21"/>
              </w:rPr>
              <w:t>1m</w:t>
            </w:r>
          </w:p>
        </w:tc>
      </w:tr>
      <w:tr w14:paraId="3C2A96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5F04F0C5">
            <w:pPr>
              <w:adjustRightInd w:val="0"/>
              <w:snapToGrid w:val="0"/>
              <w:spacing w:line="240" w:lineRule="auto"/>
              <w:jc w:val="center"/>
              <w:rPr>
                <w:sz w:val="21"/>
                <w:szCs w:val="21"/>
              </w:rPr>
            </w:pPr>
          </w:p>
        </w:tc>
        <w:tc>
          <w:tcPr>
            <w:tcW w:w="629" w:type="dxa"/>
            <w:vMerge w:val="continue"/>
            <w:tcBorders>
              <w:tl2br w:val="nil"/>
              <w:tr2bl w:val="nil"/>
            </w:tcBorders>
            <w:vAlign w:val="center"/>
          </w:tcPr>
          <w:p w14:paraId="108AB4C9">
            <w:pPr>
              <w:adjustRightInd w:val="0"/>
              <w:snapToGrid w:val="0"/>
              <w:spacing w:line="240" w:lineRule="auto"/>
              <w:jc w:val="center"/>
              <w:rPr>
                <w:sz w:val="21"/>
                <w:szCs w:val="21"/>
              </w:rPr>
            </w:pPr>
          </w:p>
        </w:tc>
        <w:tc>
          <w:tcPr>
            <w:tcW w:w="480" w:type="dxa"/>
            <w:vMerge w:val="continue"/>
            <w:tcBorders>
              <w:tl2br w:val="nil"/>
              <w:tr2bl w:val="nil"/>
            </w:tcBorders>
            <w:vAlign w:val="center"/>
          </w:tcPr>
          <w:p w14:paraId="2EAD43DF">
            <w:pPr>
              <w:adjustRightInd w:val="0"/>
              <w:snapToGrid w:val="0"/>
              <w:spacing w:line="240" w:lineRule="auto"/>
              <w:jc w:val="center"/>
              <w:rPr>
                <w:sz w:val="21"/>
                <w:szCs w:val="21"/>
              </w:rPr>
            </w:pPr>
          </w:p>
        </w:tc>
        <w:tc>
          <w:tcPr>
            <w:tcW w:w="1534" w:type="dxa"/>
            <w:vMerge w:val="continue"/>
            <w:tcBorders>
              <w:tl2br w:val="nil"/>
              <w:tr2bl w:val="nil"/>
            </w:tcBorders>
            <w:vAlign w:val="center"/>
          </w:tcPr>
          <w:p w14:paraId="6F6090E9">
            <w:pPr>
              <w:adjustRightInd w:val="0"/>
              <w:snapToGrid w:val="0"/>
              <w:spacing w:line="240" w:lineRule="auto"/>
              <w:jc w:val="center"/>
              <w:rPr>
                <w:sz w:val="21"/>
                <w:szCs w:val="21"/>
              </w:rPr>
            </w:pPr>
          </w:p>
        </w:tc>
        <w:tc>
          <w:tcPr>
            <w:tcW w:w="708" w:type="dxa"/>
            <w:vMerge w:val="continue"/>
            <w:tcBorders>
              <w:tl2br w:val="nil"/>
              <w:tr2bl w:val="nil"/>
            </w:tcBorders>
            <w:vAlign w:val="center"/>
          </w:tcPr>
          <w:p w14:paraId="266C363B">
            <w:pPr>
              <w:adjustRightInd w:val="0"/>
              <w:snapToGrid w:val="0"/>
              <w:spacing w:line="240" w:lineRule="auto"/>
              <w:jc w:val="center"/>
              <w:rPr>
                <w:sz w:val="21"/>
                <w:szCs w:val="21"/>
              </w:rPr>
            </w:pPr>
          </w:p>
        </w:tc>
        <w:tc>
          <w:tcPr>
            <w:tcW w:w="1216" w:type="dxa"/>
            <w:vMerge w:val="continue"/>
            <w:tcBorders>
              <w:tl2br w:val="nil"/>
              <w:tr2bl w:val="nil"/>
            </w:tcBorders>
            <w:vAlign w:val="center"/>
          </w:tcPr>
          <w:p w14:paraId="2670B5A4">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02202801">
            <w:pPr>
              <w:adjustRightInd w:val="0"/>
              <w:snapToGrid w:val="0"/>
              <w:spacing w:line="240" w:lineRule="auto"/>
              <w:jc w:val="center"/>
              <w:rPr>
                <w:sz w:val="21"/>
                <w:szCs w:val="21"/>
              </w:rPr>
            </w:pPr>
          </w:p>
        </w:tc>
        <w:tc>
          <w:tcPr>
            <w:tcW w:w="786" w:type="dxa"/>
            <w:vMerge w:val="continue"/>
            <w:tcBorders>
              <w:tl2br w:val="nil"/>
              <w:tr2bl w:val="nil"/>
            </w:tcBorders>
            <w:vAlign w:val="center"/>
          </w:tcPr>
          <w:p w14:paraId="1A54E232">
            <w:pPr>
              <w:adjustRightInd w:val="0"/>
              <w:snapToGrid w:val="0"/>
              <w:spacing w:line="240" w:lineRule="auto"/>
              <w:jc w:val="center"/>
              <w:rPr>
                <w:sz w:val="21"/>
                <w:szCs w:val="21"/>
              </w:rPr>
            </w:pPr>
          </w:p>
        </w:tc>
        <w:tc>
          <w:tcPr>
            <w:tcW w:w="828" w:type="dxa"/>
            <w:vMerge w:val="continue"/>
            <w:tcBorders>
              <w:tl2br w:val="nil"/>
              <w:tr2bl w:val="nil"/>
            </w:tcBorders>
            <w:vAlign w:val="center"/>
          </w:tcPr>
          <w:p w14:paraId="41954B42">
            <w:pPr>
              <w:adjustRightInd w:val="0"/>
              <w:snapToGrid w:val="0"/>
              <w:spacing w:line="240" w:lineRule="auto"/>
              <w:jc w:val="center"/>
              <w:rPr>
                <w:sz w:val="21"/>
                <w:szCs w:val="21"/>
              </w:rPr>
            </w:pPr>
          </w:p>
        </w:tc>
        <w:tc>
          <w:tcPr>
            <w:tcW w:w="755" w:type="dxa"/>
            <w:vMerge w:val="continue"/>
            <w:tcBorders>
              <w:tl2br w:val="nil"/>
              <w:tr2bl w:val="nil"/>
            </w:tcBorders>
            <w:vAlign w:val="center"/>
          </w:tcPr>
          <w:p w14:paraId="460F7B56">
            <w:pPr>
              <w:adjustRightInd w:val="0"/>
              <w:snapToGrid w:val="0"/>
              <w:spacing w:line="240" w:lineRule="auto"/>
              <w:jc w:val="center"/>
              <w:rPr>
                <w:sz w:val="21"/>
                <w:szCs w:val="21"/>
              </w:rPr>
            </w:pPr>
          </w:p>
        </w:tc>
        <w:tc>
          <w:tcPr>
            <w:tcW w:w="1382" w:type="dxa"/>
            <w:tcBorders>
              <w:tl2br w:val="nil"/>
              <w:tr2bl w:val="nil"/>
            </w:tcBorders>
            <w:vAlign w:val="center"/>
          </w:tcPr>
          <w:p w14:paraId="5545DEA4">
            <w:pPr>
              <w:adjustRightInd w:val="0"/>
              <w:snapToGrid w:val="0"/>
              <w:spacing w:line="240" w:lineRule="auto"/>
              <w:jc w:val="center"/>
              <w:rPr>
                <w:sz w:val="21"/>
                <w:szCs w:val="21"/>
              </w:rPr>
            </w:pPr>
            <w:r>
              <w:rPr>
                <w:rFonts w:hint="eastAsia"/>
                <w:sz w:val="21"/>
                <w:szCs w:val="21"/>
              </w:rPr>
              <w:t>S：34.7</w:t>
            </w:r>
          </w:p>
        </w:tc>
        <w:tc>
          <w:tcPr>
            <w:tcW w:w="1145" w:type="dxa"/>
            <w:tcBorders>
              <w:tl2br w:val="nil"/>
              <w:tr2bl w:val="nil"/>
            </w:tcBorders>
            <w:vAlign w:val="center"/>
          </w:tcPr>
          <w:p w14:paraId="38EC1B05">
            <w:pPr>
              <w:adjustRightInd w:val="0"/>
              <w:snapToGrid w:val="0"/>
              <w:spacing w:line="240" w:lineRule="auto"/>
              <w:jc w:val="center"/>
              <w:rPr>
                <w:sz w:val="21"/>
                <w:szCs w:val="21"/>
              </w:rPr>
            </w:pPr>
            <w:r>
              <w:rPr>
                <w:rFonts w:hint="eastAsia"/>
                <w:sz w:val="21"/>
                <w:szCs w:val="21"/>
              </w:rPr>
              <w:t>83.3</w:t>
            </w:r>
          </w:p>
        </w:tc>
        <w:tc>
          <w:tcPr>
            <w:tcW w:w="645" w:type="dxa"/>
            <w:vMerge w:val="continue"/>
            <w:tcBorders>
              <w:tl2br w:val="nil"/>
              <w:tr2bl w:val="nil"/>
            </w:tcBorders>
            <w:vAlign w:val="center"/>
          </w:tcPr>
          <w:p w14:paraId="5A046EC9">
            <w:pPr>
              <w:adjustRightInd w:val="0"/>
              <w:snapToGrid w:val="0"/>
              <w:spacing w:line="240" w:lineRule="auto"/>
              <w:jc w:val="center"/>
              <w:rPr>
                <w:color w:val="FF0000"/>
                <w:sz w:val="21"/>
                <w:szCs w:val="21"/>
              </w:rPr>
            </w:pPr>
          </w:p>
        </w:tc>
        <w:tc>
          <w:tcPr>
            <w:tcW w:w="1089" w:type="dxa"/>
            <w:tcBorders>
              <w:tl2br w:val="nil"/>
              <w:tr2bl w:val="nil"/>
            </w:tcBorders>
            <w:vAlign w:val="center"/>
          </w:tcPr>
          <w:p w14:paraId="4F7B0437">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7EB6671B">
            <w:pPr>
              <w:adjustRightInd w:val="0"/>
              <w:snapToGrid w:val="0"/>
              <w:spacing w:line="240" w:lineRule="auto"/>
              <w:jc w:val="center"/>
              <w:rPr>
                <w:sz w:val="21"/>
                <w:szCs w:val="21"/>
              </w:rPr>
            </w:pPr>
            <w:r>
              <w:rPr>
                <w:rFonts w:hint="eastAsia"/>
                <w:sz w:val="21"/>
                <w:szCs w:val="21"/>
              </w:rPr>
              <w:t>63.3</w:t>
            </w:r>
          </w:p>
        </w:tc>
        <w:tc>
          <w:tcPr>
            <w:tcW w:w="769" w:type="dxa"/>
            <w:tcBorders>
              <w:tl2br w:val="nil"/>
              <w:tr2bl w:val="nil"/>
            </w:tcBorders>
            <w:vAlign w:val="center"/>
          </w:tcPr>
          <w:p w14:paraId="4A820181">
            <w:pPr>
              <w:adjustRightInd w:val="0"/>
              <w:snapToGrid w:val="0"/>
              <w:spacing w:line="240" w:lineRule="auto"/>
              <w:jc w:val="center"/>
              <w:rPr>
                <w:color w:val="FF0000"/>
                <w:sz w:val="21"/>
                <w:szCs w:val="21"/>
              </w:rPr>
            </w:pPr>
            <w:r>
              <w:rPr>
                <w:rFonts w:hint="eastAsia"/>
                <w:sz w:val="21"/>
                <w:szCs w:val="21"/>
              </w:rPr>
              <w:t>1m</w:t>
            </w:r>
          </w:p>
        </w:tc>
      </w:tr>
      <w:tr w14:paraId="3ED5B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6297ED71">
            <w:pPr>
              <w:adjustRightInd w:val="0"/>
              <w:snapToGrid w:val="0"/>
              <w:spacing w:line="240" w:lineRule="auto"/>
              <w:jc w:val="center"/>
              <w:rPr>
                <w:sz w:val="21"/>
                <w:szCs w:val="21"/>
              </w:rPr>
            </w:pPr>
          </w:p>
        </w:tc>
        <w:tc>
          <w:tcPr>
            <w:tcW w:w="629" w:type="dxa"/>
            <w:vMerge w:val="continue"/>
            <w:tcBorders>
              <w:tl2br w:val="nil"/>
              <w:tr2bl w:val="nil"/>
            </w:tcBorders>
            <w:vAlign w:val="center"/>
          </w:tcPr>
          <w:p w14:paraId="15B72BB0">
            <w:pPr>
              <w:adjustRightInd w:val="0"/>
              <w:snapToGrid w:val="0"/>
              <w:spacing w:line="240" w:lineRule="auto"/>
              <w:jc w:val="center"/>
              <w:rPr>
                <w:sz w:val="21"/>
                <w:szCs w:val="21"/>
              </w:rPr>
            </w:pPr>
          </w:p>
        </w:tc>
        <w:tc>
          <w:tcPr>
            <w:tcW w:w="480" w:type="dxa"/>
            <w:vMerge w:val="continue"/>
            <w:tcBorders>
              <w:tl2br w:val="nil"/>
              <w:tr2bl w:val="nil"/>
            </w:tcBorders>
            <w:vAlign w:val="center"/>
          </w:tcPr>
          <w:p w14:paraId="1EC18958">
            <w:pPr>
              <w:adjustRightInd w:val="0"/>
              <w:snapToGrid w:val="0"/>
              <w:spacing w:line="240" w:lineRule="auto"/>
              <w:jc w:val="center"/>
              <w:rPr>
                <w:sz w:val="21"/>
                <w:szCs w:val="21"/>
              </w:rPr>
            </w:pPr>
          </w:p>
        </w:tc>
        <w:tc>
          <w:tcPr>
            <w:tcW w:w="1534" w:type="dxa"/>
            <w:vMerge w:val="continue"/>
            <w:tcBorders>
              <w:tl2br w:val="nil"/>
              <w:tr2bl w:val="nil"/>
            </w:tcBorders>
            <w:vAlign w:val="center"/>
          </w:tcPr>
          <w:p w14:paraId="1F627599">
            <w:pPr>
              <w:adjustRightInd w:val="0"/>
              <w:snapToGrid w:val="0"/>
              <w:spacing w:line="240" w:lineRule="auto"/>
              <w:jc w:val="center"/>
              <w:rPr>
                <w:sz w:val="21"/>
                <w:szCs w:val="21"/>
              </w:rPr>
            </w:pPr>
          </w:p>
        </w:tc>
        <w:tc>
          <w:tcPr>
            <w:tcW w:w="708" w:type="dxa"/>
            <w:vMerge w:val="continue"/>
            <w:tcBorders>
              <w:tl2br w:val="nil"/>
              <w:tr2bl w:val="nil"/>
            </w:tcBorders>
            <w:vAlign w:val="center"/>
          </w:tcPr>
          <w:p w14:paraId="4BECF3D0">
            <w:pPr>
              <w:adjustRightInd w:val="0"/>
              <w:snapToGrid w:val="0"/>
              <w:spacing w:line="240" w:lineRule="auto"/>
              <w:jc w:val="center"/>
              <w:rPr>
                <w:sz w:val="21"/>
                <w:szCs w:val="21"/>
              </w:rPr>
            </w:pPr>
          </w:p>
        </w:tc>
        <w:tc>
          <w:tcPr>
            <w:tcW w:w="1216" w:type="dxa"/>
            <w:vMerge w:val="continue"/>
            <w:tcBorders>
              <w:tl2br w:val="nil"/>
              <w:tr2bl w:val="nil"/>
            </w:tcBorders>
            <w:vAlign w:val="center"/>
          </w:tcPr>
          <w:p w14:paraId="6E35FAE2">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304B3FB6">
            <w:pPr>
              <w:adjustRightInd w:val="0"/>
              <w:snapToGrid w:val="0"/>
              <w:spacing w:line="240" w:lineRule="auto"/>
              <w:jc w:val="center"/>
              <w:rPr>
                <w:sz w:val="21"/>
                <w:szCs w:val="21"/>
              </w:rPr>
            </w:pPr>
          </w:p>
        </w:tc>
        <w:tc>
          <w:tcPr>
            <w:tcW w:w="786" w:type="dxa"/>
            <w:vMerge w:val="continue"/>
            <w:tcBorders>
              <w:tl2br w:val="nil"/>
              <w:tr2bl w:val="nil"/>
            </w:tcBorders>
            <w:vAlign w:val="center"/>
          </w:tcPr>
          <w:p w14:paraId="5F9596AE">
            <w:pPr>
              <w:adjustRightInd w:val="0"/>
              <w:snapToGrid w:val="0"/>
              <w:spacing w:line="240" w:lineRule="auto"/>
              <w:jc w:val="center"/>
              <w:rPr>
                <w:sz w:val="21"/>
                <w:szCs w:val="21"/>
              </w:rPr>
            </w:pPr>
          </w:p>
        </w:tc>
        <w:tc>
          <w:tcPr>
            <w:tcW w:w="828" w:type="dxa"/>
            <w:vMerge w:val="continue"/>
            <w:tcBorders>
              <w:tl2br w:val="nil"/>
              <w:tr2bl w:val="nil"/>
            </w:tcBorders>
            <w:vAlign w:val="center"/>
          </w:tcPr>
          <w:p w14:paraId="6C1DEEB5">
            <w:pPr>
              <w:adjustRightInd w:val="0"/>
              <w:snapToGrid w:val="0"/>
              <w:spacing w:line="240" w:lineRule="auto"/>
              <w:jc w:val="center"/>
              <w:rPr>
                <w:sz w:val="21"/>
                <w:szCs w:val="21"/>
              </w:rPr>
            </w:pPr>
          </w:p>
        </w:tc>
        <w:tc>
          <w:tcPr>
            <w:tcW w:w="755" w:type="dxa"/>
            <w:vMerge w:val="continue"/>
            <w:tcBorders>
              <w:tl2br w:val="nil"/>
              <w:tr2bl w:val="nil"/>
            </w:tcBorders>
            <w:vAlign w:val="center"/>
          </w:tcPr>
          <w:p w14:paraId="3557AE8A">
            <w:pPr>
              <w:adjustRightInd w:val="0"/>
              <w:snapToGrid w:val="0"/>
              <w:spacing w:line="240" w:lineRule="auto"/>
              <w:jc w:val="center"/>
              <w:rPr>
                <w:sz w:val="21"/>
                <w:szCs w:val="21"/>
              </w:rPr>
            </w:pPr>
          </w:p>
        </w:tc>
        <w:tc>
          <w:tcPr>
            <w:tcW w:w="1382" w:type="dxa"/>
            <w:tcBorders>
              <w:tl2br w:val="nil"/>
              <w:tr2bl w:val="nil"/>
            </w:tcBorders>
            <w:vAlign w:val="center"/>
          </w:tcPr>
          <w:p w14:paraId="14707B58">
            <w:pPr>
              <w:adjustRightInd w:val="0"/>
              <w:snapToGrid w:val="0"/>
              <w:spacing w:line="240" w:lineRule="auto"/>
              <w:jc w:val="center"/>
              <w:rPr>
                <w:sz w:val="21"/>
                <w:szCs w:val="21"/>
              </w:rPr>
            </w:pPr>
            <w:r>
              <w:rPr>
                <w:rFonts w:hint="eastAsia"/>
                <w:sz w:val="21"/>
                <w:szCs w:val="21"/>
              </w:rPr>
              <w:t>W：81.9</w:t>
            </w:r>
          </w:p>
        </w:tc>
        <w:tc>
          <w:tcPr>
            <w:tcW w:w="1145" w:type="dxa"/>
            <w:tcBorders>
              <w:tl2br w:val="nil"/>
              <w:tr2bl w:val="nil"/>
            </w:tcBorders>
            <w:vAlign w:val="center"/>
          </w:tcPr>
          <w:p w14:paraId="5040D68C">
            <w:pPr>
              <w:adjustRightInd w:val="0"/>
              <w:snapToGrid w:val="0"/>
              <w:spacing w:line="240" w:lineRule="auto"/>
              <w:jc w:val="center"/>
              <w:rPr>
                <w:sz w:val="21"/>
                <w:szCs w:val="21"/>
              </w:rPr>
            </w:pPr>
            <w:r>
              <w:rPr>
                <w:rFonts w:hint="eastAsia"/>
                <w:sz w:val="21"/>
                <w:szCs w:val="21"/>
              </w:rPr>
              <w:t>83.3</w:t>
            </w:r>
          </w:p>
        </w:tc>
        <w:tc>
          <w:tcPr>
            <w:tcW w:w="645" w:type="dxa"/>
            <w:vMerge w:val="continue"/>
            <w:tcBorders>
              <w:tl2br w:val="nil"/>
              <w:tr2bl w:val="nil"/>
            </w:tcBorders>
            <w:vAlign w:val="center"/>
          </w:tcPr>
          <w:p w14:paraId="263E64B8">
            <w:pPr>
              <w:adjustRightInd w:val="0"/>
              <w:snapToGrid w:val="0"/>
              <w:spacing w:line="240" w:lineRule="auto"/>
              <w:jc w:val="center"/>
              <w:rPr>
                <w:color w:val="FF0000"/>
                <w:sz w:val="21"/>
                <w:szCs w:val="21"/>
              </w:rPr>
            </w:pPr>
          </w:p>
        </w:tc>
        <w:tc>
          <w:tcPr>
            <w:tcW w:w="1089" w:type="dxa"/>
            <w:tcBorders>
              <w:tl2br w:val="nil"/>
              <w:tr2bl w:val="nil"/>
            </w:tcBorders>
            <w:vAlign w:val="center"/>
          </w:tcPr>
          <w:p w14:paraId="136E9F7E">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1DFF6ED0">
            <w:pPr>
              <w:adjustRightInd w:val="0"/>
              <w:snapToGrid w:val="0"/>
              <w:spacing w:line="240" w:lineRule="auto"/>
              <w:jc w:val="center"/>
              <w:rPr>
                <w:sz w:val="21"/>
                <w:szCs w:val="21"/>
              </w:rPr>
            </w:pPr>
            <w:r>
              <w:rPr>
                <w:rFonts w:hint="eastAsia"/>
                <w:sz w:val="21"/>
                <w:szCs w:val="21"/>
              </w:rPr>
              <w:t>63.3</w:t>
            </w:r>
          </w:p>
        </w:tc>
        <w:tc>
          <w:tcPr>
            <w:tcW w:w="769" w:type="dxa"/>
            <w:tcBorders>
              <w:tl2br w:val="nil"/>
              <w:tr2bl w:val="nil"/>
            </w:tcBorders>
            <w:vAlign w:val="center"/>
          </w:tcPr>
          <w:p w14:paraId="48C0E0D2">
            <w:pPr>
              <w:adjustRightInd w:val="0"/>
              <w:snapToGrid w:val="0"/>
              <w:spacing w:line="240" w:lineRule="auto"/>
              <w:jc w:val="center"/>
              <w:rPr>
                <w:color w:val="FF0000"/>
                <w:sz w:val="21"/>
                <w:szCs w:val="21"/>
              </w:rPr>
            </w:pPr>
            <w:r>
              <w:rPr>
                <w:rFonts w:hint="eastAsia"/>
                <w:sz w:val="21"/>
                <w:szCs w:val="21"/>
              </w:rPr>
              <w:t>1m</w:t>
            </w:r>
          </w:p>
        </w:tc>
      </w:tr>
      <w:tr w14:paraId="77F6FD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088E9EBE">
            <w:pPr>
              <w:adjustRightInd w:val="0"/>
              <w:snapToGrid w:val="0"/>
              <w:spacing w:line="240" w:lineRule="auto"/>
              <w:jc w:val="center"/>
              <w:rPr>
                <w:sz w:val="21"/>
                <w:szCs w:val="21"/>
              </w:rPr>
            </w:pPr>
          </w:p>
        </w:tc>
        <w:tc>
          <w:tcPr>
            <w:tcW w:w="629" w:type="dxa"/>
            <w:vMerge w:val="continue"/>
            <w:tcBorders>
              <w:tl2br w:val="nil"/>
              <w:tr2bl w:val="nil"/>
            </w:tcBorders>
            <w:vAlign w:val="center"/>
          </w:tcPr>
          <w:p w14:paraId="4E63F443">
            <w:pPr>
              <w:adjustRightInd w:val="0"/>
              <w:snapToGrid w:val="0"/>
              <w:spacing w:line="240" w:lineRule="auto"/>
              <w:jc w:val="center"/>
              <w:rPr>
                <w:sz w:val="21"/>
                <w:szCs w:val="21"/>
              </w:rPr>
            </w:pPr>
          </w:p>
        </w:tc>
        <w:tc>
          <w:tcPr>
            <w:tcW w:w="480" w:type="dxa"/>
            <w:vMerge w:val="continue"/>
            <w:tcBorders>
              <w:tl2br w:val="nil"/>
              <w:tr2bl w:val="nil"/>
            </w:tcBorders>
            <w:vAlign w:val="center"/>
          </w:tcPr>
          <w:p w14:paraId="15BA4FCF">
            <w:pPr>
              <w:adjustRightInd w:val="0"/>
              <w:snapToGrid w:val="0"/>
              <w:spacing w:line="240" w:lineRule="auto"/>
              <w:jc w:val="center"/>
              <w:rPr>
                <w:sz w:val="21"/>
                <w:szCs w:val="21"/>
              </w:rPr>
            </w:pPr>
          </w:p>
        </w:tc>
        <w:tc>
          <w:tcPr>
            <w:tcW w:w="1534" w:type="dxa"/>
            <w:vMerge w:val="continue"/>
            <w:tcBorders>
              <w:tl2br w:val="nil"/>
              <w:tr2bl w:val="nil"/>
            </w:tcBorders>
            <w:vAlign w:val="center"/>
          </w:tcPr>
          <w:p w14:paraId="3887D79F">
            <w:pPr>
              <w:adjustRightInd w:val="0"/>
              <w:snapToGrid w:val="0"/>
              <w:spacing w:line="240" w:lineRule="auto"/>
              <w:jc w:val="center"/>
              <w:rPr>
                <w:sz w:val="21"/>
                <w:szCs w:val="21"/>
              </w:rPr>
            </w:pPr>
          </w:p>
        </w:tc>
        <w:tc>
          <w:tcPr>
            <w:tcW w:w="708" w:type="dxa"/>
            <w:vMerge w:val="continue"/>
            <w:tcBorders>
              <w:tl2br w:val="nil"/>
              <w:tr2bl w:val="nil"/>
            </w:tcBorders>
            <w:vAlign w:val="center"/>
          </w:tcPr>
          <w:p w14:paraId="228DF06B">
            <w:pPr>
              <w:adjustRightInd w:val="0"/>
              <w:snapToGrid w:val="0"/>
              <w:spacing w:line="240" w:lineRule="auto"/>
              <w:jc w:val="center"/>
              <w:rPr>
                <w:sz w:val="21"/>
                <w:szCs w:val="21"/>
              </w:rPr>
            </w:pPr>
          </w:p>
        </w:tc>
        <w:tc>
          <w:tcPr>
            <w:tcW w:w="1216" w:type="dxa"/>
            <w:vMerge w:val="continue"/>
            <w:tcBorders>
              <w:tl2br w:val="nil"/>
              <w:tr2bl w:val="nil"/>
            </w:tcBorders>
            <w:vAlign w:val="center"/>
          </w:tcPr>
          <w:p w14:paraId="62B076E6">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206DBBC9">
            <w:pPr>
              <w:adjustRightInd w:val="0"/>
              <w:snapToGrid w:val="0"/>
              <w:spacing w:line="240" w:lineRule="auto"/>
              <w:jc w:val="center"/>
              <w:rPr>
                <w:sz w:val="21"/>
                <w:szCs w:val="21"/>
              </w:rPr>
            </w:pPr>
          </w:p>
        </w:tc>
        <w:tc>
          <w:tcPr>
            <w:tcW w:w="786" w:type="dxa"/>
            <w:vMerge w:val="continue"/>
            <w:tcBorders>
              <w:tl2br w:val="nil"/>
              <w:tr2bl w:val="nil"/>
            </w:tcBorders>
            <w:vAlign w:val="center"/>
          </w:tcPr>
          <w:p w14:paraId="46833D1E">
            <w:pPr>
              <w:adjustRightInd w:val="0"/>
              <w:snapToGrid w:val="0"/>
              <w:spacing w:line="240" w:lineRule="auto"/>
              <w:jc w:val="center"/>
              <w:rPr>
                <w:sz w:val="21"/>
                <w:szCs w:val="21"/>
              </w:rPr>
            </w:pPr>
          </w:p>
        </w:tc>
        <w:tc>
          <w:tcPr>
            <w:tcW w:w="828" w:type="dxa"/>
            <w:vMerge w:val="continue"/>
            <w:tcBorders>
              <w:tl2br w:val="nil"/>
              <w:tr2bl w:val="nil"/>
            </w:tcBorders>
            <w:vAlign w:val="center"/>
          </w:tcPr>
          <w:p w14:paraId="19933B2F">
            <w:pPr>
              <w:adjustRightInd w:val="0"/>
              <w:snapToGrid w:val="0"/>
              <w:spacing w:line="240" w:lineRule="auto"/>
              <w:jc w:val="center"/>
              <w:rPr>
                <w:sz w:val="21"/>
                <w:szCs w:val="21"/>
              </w:rPr>
            </w:pPr>
          </w:p>
        </w:tc>
        <w:tc>
          <w:tcPr>
            <w:tcW w:w="755" w:type="dxa"/>
            <w:vMerge w:val="continue"/>
            <w:tcBorders>
              <w:tl2br w:val="nil"/>
              <w:tr2bl w:val="nil"/>
            </w:tcBorders>
            <w:vAlign w:val="center"/>
          </w:tcPr>
          <w:p w14:paraId="16E284A8">
            <w:pPr>
              <w:adjustRightInd w:val="0"/>
              <w:snapToGrid w:val="0"/>
              <w:spacing w:line="240" w:lineRule="auto"/>
              <w:jc w:val="center"/>
              <w:rPr>
                <w:sz w:val="21"/>
                <w:szCs w:val="21"/>
              </w:rPr>
            </w:pPr>
          </w:p>
        </w:tc>
        <w:tc>
          <w:tcPr>
            <w:tcW w:w="1382" w:type="dxa"/>
            <w:tcBorders>
              <w:tl2br w:val="nil"/>
              <w:tr2bl w:val="nil"/>
            </w:tcBorders>
            <w:vAlign w:val="center"/>
          </w:tcPr>
          <w:p w14:paraId="5FF889A3">
            <w:pPr>
              <w:adjustRightInd w:val="0"/>
              <w:snapToGrid w:val="0"/>
              <w:spacing w:line="240" w:lineRule="auto"/>
              <w:jc w:val="center"/>
              <w:rPr>
                <w:sz w:val="21"/>
                <w:szCs w:val="21"/>
              </w:rPr>
            </w:pPr>
            <w:r>
              <w:rPr>
                <w:rFonts w:hint="eastAsia"/>
                <w:sz w:val="21"/>
                <w:szCs w:val="21"/>
              </w:rPr>
              <w:t>N：67.9</w:t>
            </w:r>
          </w:p>
        </w:tc>
        <w:tc>
          <w:tcPr>
            <w:tcW w:w="1145" w:type="dxa"/>
            <w:tcBorders>
              <w:tl2br w:val="nil"/>
              <w:tr2bl w:val="nil"/>
            </w:tcBorders>
            <w:vAlign w:val="center"/>
          </w:tcPr>
          <w:p w14:paraId="722E170B">
            <w:pPr>
              <w:adjustRightInd w:val="0"/>
              <w:snapToGrid w:val="0"/>
              <w:spacing w:line="240" w:lineRule="auto"/>
              <w:jc w:val="center"/>
              <w:rPr>
                <w:sz w:val="21"/>
                <w:szCs w:val="21"/>
              </w:rPr>
            </w:pPr>
            <w:r>
              <w:rPr>
                <w:rFonts w:hint="eastAsia"/>
                <w:sz w:val="21"/>
                <w:szCs w:val="21"/>
              </w:rPr>
              <w:t>83.3</w:t>
            </w:r>
          </w:p>
        </w:tc>
        <w:tc>
          <w:tcPr>
            <w:tcW w:w="645" w:type="dxa"/>
            <w:vMerge w:val="continue"/>
            <w:tcBorders>
              <w:tl2br w:val="nil"/>
              <w:tr2bl w:val="nil"/>
            </w:tcBorders>
            <w:vAlign w:val="center"/>
          </w:tcPr>
          <w:p w14:paraId="12F42CD5">
            <w:pPr>
              <w:adjustRightInd w:val="0"/>
              <w:snapToGrid w:val="0"/>
              <w:spacing w:line="240" w:lineRule="auto"/>
              <w:jc w:val="center"/>
              <w:rPr>
                <w:color w:val="FF0000"/>
                <w:sz w:val="21"/>
                <w:szCs w:val="21"/>
              </w:rPr>
            </w:pPr>
          </w:p>
        </w:tc>
        <w:tc>
          <w:tcPr>
            <w:tcW w:w="1089" w:type="dxa"/>
            <w:tcBorders>
              <w:tl2br w:val="nil"/>
              <w:tr2bl w:val="nil"/>
            </w:tcBorders>
            <w:vAlign w:val="center"/>
          </w:tcPr>
          <w:p w14:paraId="64098A8B">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01DBF884">
            <w:pPr>
              <w:adjustRightInd w:val="0"/>
              <w:snapToGrid w:val="0"/>
              <w:spacing w:line="240" w:lineRule="auto"/>
              <w:jc w:val="center"/>
              <w:rPr>
                <w:sz w:val="21"/>
                <w:szCs w:val="21"/>
              </w:rPr>
            </w:pPr>
            <w:r>
              <w:rPr>
                <w:rFonts w:hint="eastAsia"/>
                <w:sz w:val="21"/>
                <w:szCs w:val="21"/>
              </w:rPr>
              <w:t>63.3</w:t>
            </w:r>
          </w:p>
        </w:tc>
        <w:tc>
          <w:tcPr>
            <w:tcW w:w="769" w:type="dxa"/>
            <w:tcBorders>
              <w:tl2br w:val="nil"/>
              <w:tr2bl w:val="nil"/>
            </w:tcBorders>
            <w:vAlign w:val="center"/>
          </w:tcPr>
          <w:p w14:paraId="6DD79F54">
            <w:pPr>
              <w:adjustRightInd w:val="0"/>
              <w:snapToGrid w:val="0"/>
              <w:spacing w:line="240" w:lineRule="auto"/>
              <w:jc w:val="center"/>
              <w:rPr>
                <w:color w:val="FF0000"/>
                <w:sz w:val="21"/>
                <w:szCs w:val="21"/>
              </w:rPr>
            </w:pPr>
            <w:r>
              <w:rPr>
                <w:rFonts w:hint="eastAsia"/>
                <w:sz w:val="21"/>
                <w:szCs w:val="21"/>
              </w:rPr>
              <w:t>1m</w:t>
            </w:r>
          </w:p>
        </w:tc>
      </w:tr>
      <w:tr w14:paraId="6C20F3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restart"/>
            <w:tcBorders>
              <w:tl2br w:val="nil"/>
              <w:tr2bl w:val="nil"/>
            </w:tcBorders>
            <w:vAlign w:val="center"/>
          </w:tcPr>
          <w:p w14:paraId="47CA1A77">
            <w:pPr>
              <w:adjustRightInd w:val="0"/>
              <w:snapToGrid w:val="0"/>
              <w:spacing w:line="240" w:lineRule="auto"/>
              <w:jc w:val="center"/>
              <w:rPr>
                <w:sz w:val="21"/>
                <w:szCs w:val="21"/>
              </w:rPr>
            </w:pPr>
            <w:r>
              <w:rPr>
                <w:rFonts w:hint="eastAsia"/>
                <w:sz w:val="21"/>
                <w:szCs w:val="21"/>
              </w:rPr>
              <w:t>8</w:t>
            </w:r>
          </w:p>
        </w:tc>
        <w:tc>
          <w:tcPr>
            <w:tcW w:w="629" w:type="dxa"/>
            <w:vMerge w:val="continue"/>
            <w:tcBorders>
              <w:tl2br w:val="nil"/>
              <w:tr2bl w:val="nil"/>
            </w:tcBorders>
            <w:vAlign w:val="center"/>
          </w:tcPr>
          <w:p w14:paraId="39F5BFE6">
            <w:pPr>
              <w:adjustRightInd w:val="0"/>
              <w:snapToGrid w:val="0"/>
              <w:spacing w:line="240" w:lineRule="auto"/>
              <w:jc w:val="center"/>
              <w:rPr>
                <w:sz w:val="21"/>
                <w:szCs w:val="21"/>
              </w:rPr>
            </w:pPr>
          </w:p>
        </w:tc>
        <w:tc>
          <w:tcPr>
            <w:tcW w:w="480" w:type="dxa"/>
            <w:vMerge w:val="restart"/>
            <w:tcBorders>
              <w:tl2br w:val="nil"/>
              <w:tr2bl w:val="nil"/>
            </w:tcBorders>
            <w:vAlign w:val="center"/>
          </w:tcPr>
          <w:p w14:paraId="0518C050">
            <w:pPr>
              <w:adjustRightInd w:val="0"/>
              <w:snapToGrid w:val="0"/>
              <w:spacing w:line="240" w:lineRule="auto"/>
              <w:jc w:val="center"/>
              <w:rPr>
                <w:sz w:val="21"/>
                <w:szCs w:val="21"/>
              </w:rPr>
            </w:pPr>
            <w:r>
              <w:rPr>
                <w:rFonts w:hint="eastAsia"/>
                <w:sz w:val="21"/>
                <w:szCs w:val="21"/>
              </w:rPr>
              <w:t>烫金机</w:t>
            </w:r>
          </w:p>
        </w:tc>
        <w:tc>
          <w:tcPr>
            <w:tcW w:w="1534" w:type="dxa"/>
            <w:vMerge w:val="restart"/>
            <w:tcBorders>
              <w:tl2br w:val="nil"/>
              <w:tr2bl w:val="nil"/>
            </w:tcBorders>
            <w:vAlign w:val="center"/>
          </w:tcPr>
          <w:p w14:paraId="72861A6A">
            <w:pPr>
              <w:adjustRightInd w:val="0"/>
              <w:snapToGrid w:val="0"/>
              <w:spacing w:line="240" w:lineRule="auto"/>
              <w:jc w:val="center"/>
              <w:rPr>
                <w:sz w:val="21"/>
                <w:szCs w:val="21"/>
              </w:rPr>
            </w:pPr>
            <w:r>
              <w:rPr>
                <w:rFonts w:hint="eastAsia"/>
                <w:sz w:val="21"/>
                <w:szCs w:val="21"/>
              </w:rPr>
              <w:t>/</w:t>
            </w:r>
          </w:p>
        </w:tc>
        <w:tc>
          <w:tcPr>
            <w:tcW w:w="708" w:type="dxa"/>
            <w:vMerge w:val="restart"/>
            <w:tcBorders>
              <w:tl2br w:val="nil"/>
              <w:tr2bl w:val="nil"/>
            </w:tcBorders>
            <w:vAlign w:val="center"/>
          </w:tcPr>
          <w:p w14:paraId="54881FA7">
            <w:pPr>
              <w:adjustRightInd w:val="0"/>
              <w:snapToGrid w:val="0"/>
              <w:spacing w:line="240" w:lineRule="auto"/>
              <w:jc w:val="center"/>
              <w:rPr>
                <w:sz w:val="21"/>
                <w:szCs w:val="21"/>
              </w:rPr>
            </w:pPr>
            <w:r>
              <w:rPr>
                <w:rFonts w:hint="eastAsia"/>
                <w:sz w:val="21"/>
                <w:szCs w:val="21"/>
              </w:rPr>
              <w:t>14台</w:t>
            </w:r>
          </w:p>
        </w:tc>
        <w:tc>
          <w:tcPr>
            <w:tcW w:w="1216" w:type="dxa"/>
            <w:vMerge w:val="restart"/>
            <w:tcBorders>
              <w:tl2br w:val="nil"/>
              <w:tr2bl w:val="nil"/>
            </w:tcBorders>
            <w:vAlign w:val="center"/>
          </w:tcPr>
          <w:p w14:paraId="05F23B6A">
            <w:pPr>
              <w:adjustRightInd w:val="0"/>
              <w:snapToGrid w:val="0"/>
              <w:spacing w:line="240" w:lineRule="auto"/>
              <w:jc w:val="center"/>
              <w:rPr>
                <w:sz w:val="21"/>
                <w:szCs w:val="21"/>
              </w:rPr>
            </w:pPr>
            <w:r>
              <w:rPr>
                <w:rFonts w:hint="eastAsia"/>
                <w:sz w:val="21"/>
                <w:szCs w:val="21"/>
              </w:rPr>
              <w:t>70~95</w:t>
            </w:r>
          </w:p>
          <w:p w14:paraId="72A0CA04">
            <w:pPr>
              <w:adjustRightInd w:val="0"/>
              <w:snapToGrid w:val="0"/>
              <w:spacing w:line="240" w:lineRule="auto"/>
              <w:jc w:val="center"/>
              <w:rPr>
                <w:sz w:val="21"/>
                <w:szCs w:val="21"/>
              </w:rPr>
            </w:pPr>
            <w:r>
              <w:rPr>
                <w:rFonts w:hint="eastAsia"/>
                <w:sz w:val="21"/>
                <w:szCs w:val="21"/>
              </w:rPr>
              <w:t>叠加后94</w:t>
            </w:r>
          </w:p>
        </w:tc>
        <w:tc>
          <w:tcPr>
            <w:tcW w:w="645" w:type="dxa"/>
            <w:vMerge w:val="restart"/>
            <w:tcBorders>
              <w:tl2br w:val="nil"/>
              <w:tr2bl w:val="nil"/>
            </w:tcBorders>
            <w:vAlign w:val="center"/>
          </w:tcPr>
          <w:p w14:paraId="1D61517D">
            <w:pPr>
              <w:adjustRightInd w:val="0"/>
              <w:snapToGrid w:val="0"/>
              <w:spacing w:line="240" w:lineRule="auto"/>
              <w:jc w:val="center"/>
              <w:rPr>
                <w:sz w:val="21"/>
                <w:szCs w:val="21"/>
              </w:rPr>
            </w:pPr>
            <w:r>
              <w:rPr>
                <w:rFonts w:hint="eastAsia"/>
                <w:sz w:val="21"/>
                <w:szCs w:val="21"/>
              </w:rPr>
              <w:t>减震</w:t>
            </w:r>
          </w:p>
        </w:tc>
        <w:tc>
          <w:tcPr>
            <w:tcW w:w="786" w:type="dxa"/>
            <w:vMerge w:val="restart"/>
            <w:tcBorders>
              <w:tl2br w:val="nil"/>
              <w:tr2bl w:val="nil"/>
            </w:tcBorders>
            <w:vAlign w:val="center"/>
          </w:tcPr>
          <w:p w14:paraId="4EC1C0DD">
            <w:pPr>
              <w:adjustRightInd w:val="0"/>
              <w:snapToGrid w:val="0"/>
              <w:spacing w:line="240" w:lineRule="auto"/>
              <w:jc w:val="center"/>
              <w:rPr>
                <w:sz w:val="21"/>
                <w:szCs w:val="21"/>
              </w:rPr>
            </w:pPr>
            <w:r>
              <w:rPr>
                <w:rFonts w:hint="eastAsia"/>
                <w:sz w:val="21"/>
                <w:szCs w:val="21"/>
              </w:rPr>
              <w:t>-120.2</w:t>
            </w:r>
          </w:p>
        </w:tc>
        <w:tc>
          <w:tcPr>
            <w:tcW w:w="828" w:type="dxa"/>
            <w:vMerge w:val="restart"/>
            <w:tcBorders>
              <w:tl2br w:val="nil"/>
              <w:tr2bl w:val="nil"/>
            </w:tcBorders>
            <w:vAlign w:val="center"/>
          </w:tcPr>
          <w:p w14:paraId="36B3D3FA">
            <w:pPr>
              <w:adjustRightInd w:val="0"/>
              <w:snapToGrid w:val="0"/>
              <w:spacing w:line="240" w:lineRule="auto"/>
              <w:jc w:val="center"/>
              <w:rPr>
                <w:sz w:val="21"/>
                <w:szCs w:val="21"/>
              </w:rPr>
            </w:pPr>
            <w:r>
              <w:rPr>
                <w:rFonts w:hint="eastAsia"/>
                <w:sz w:val="21"/>
                <w:szCs w:val="21"/>
              </w:rPr>
              <w:t>-29.9</w:t>
            </w:r>
          </w:p>
        </w:tc>
        <w:tc>
          <w:tcPr>
            <w:tcW w:w="755" w:type="dxa"/>
            <w:vMerge w:val="restart"/>
            <w:tcBorders>
              <w:tl2br w:val="nil"/>
              <w:tr2bl w:val="nil"/>
            </w:tcBorders>
            <w:vAlign w:val="center"/>
          </w:tcPr>
          <w:p w14:paraId="135EB604">
            <w:pPr>
              <w:adjustRightInd w:val="0"/>
              <w:snapToGrid w:val="0"/>
              <w:spacing w:line="240" w:lineRule="auto"/>
              <w:jc w:val="center"/>
              <w:rPr>
                <w:sz w:val="21"/>
                <w:szCs w:val="21"/>
              </w:rPr>
            </w:pPr>
            <w:r>
              <w:rPr>
                <w:rFonts w:hint="eastAsia"/>
                <w:sz w:val="21"/>
                <w:szCs w:val="21"/>
              </w:rPr>
              <w:t>1.2</w:t>
            </w:r>
          </w:p>
        </w:tc>
        <w:tc>
          <w:tcPr>
            <w:tcW w:w="1382" w:type="dxa"/>
            <w:tcBorders>
              <w:tl2br w:val="nil"/>
              <w:tr2bl w:val="nil"/>
            </w:tcBorders>
            <w:vAlign w:val="center"/>
          </w:tcPr>
          <w:p w14:paraId="700AA32F">
            <w:pPr>
              <w:adjustRightInd w:val="0"/>
              <w:snapToGrid w:val="0"/>
              <w:spacing w:line="240" w:lineRule="auto"/>
              <w:jc w:val="center"/>
              <w:rPr>
                <w:sz w:val="21"/>
                <w:szCs w:val="21"/>
              </w:rPr>
            </w:pPr>
            <w:r>
              <w:rPr>
                <w:rFonts w:hint="eastAsia"/>
                <w:sz w:val="21"/>
                <w:szCs w:val="21"/>
              </w:rPr>
              <w:t>E：139</w:t>
            </w:r>
          </w:p>
        </w:tc>
        <w:tc>
          <w:tcPr>
            <w:tcW w:w="1145" w:type="dxa"/>
            <w:tcBorders>
              <w:tl2br w:val="nil"/>
              <w:tr2bl w:val="nil"/>
            </w:tcBorders>
            <w:vAlign w:val="center"/>
          </w:tcPr>
          <w:p w14:paraId="0D0CC152">
            <w:pPr>
              <w:adjustRightInd w:val="0"/>
              <w:snapToGrid w:val="0"/>
              <w:spacing w:line="240" w:lineRule="auto"/>
              <w:jc w:val="center"/>
              <w:rPr>
                <w:sz w:val="21"/>
                <w:szCs w:val="21"/>
              </w:rPr>
            </w:pPr>
            <w:r>
              <w:rPr>
                <w:rFonts w:hint="eastAsia"/>
                <w:sz w:val="21"/>
                <w:szCs w:val="21"/>
              </w:rPr>
              <w:t>78.8</w:t>
            </w:r>
          </w:p>
        </w:tc>
        <w:tc>
          <w:tcPr>
            <w:tcW w:w="645" w:type="dxa"/>
            <w:vMerge w:val="continue"/>
            <w:tcBorders>
              <w:tl2br w:val="nil"/>
              <w:tr2bl w:val="nil"/>
            </w:tcBorders>
            <w:vAlign w:val="center"/>
          </w:tcPr>
          <w:p w14:paraId="2247FEB6">
            <w:pPr>
              <w:adjustRightInd w:val="0"/>
              <w:snapToGrid w:val="0"/>
              <w:spacing w:line="240" w:lineRule="auto"/>
              <w:jc w:val="center"/>
              <w:rPr>
                <w:color w:val="FF0000"/>
                <w:sz w:val="21"/>
                <w:szCs w:val="21"/>
              </w:rPr>
            </w:pPr>
          </w:p>
        </w:tc>
        <w:tc>
          <w:tcPr>
            <w:tcW w:w="1089" w:type="dxa"/>
            <w:tcBorders>
              <w:tl2br w:val="nil"/>
              <w:tr2bl w:val="nil"/>
            </w:tcBorders>
            <w:vAlign w:val="center"/>
          </w:tcPr>
          <w:p w14:paraId="31D9C04E">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118F1D96">
            <w:pPr>
              <w:adjustRightInd w:val="0"/>
              <w:snapToGrid w:val="0"/>
              <w:spacing w:line="240" w:lineRule="auto"/>
              <w:jc w:val="center"/>
              <w:rPr>
                <w:sz w:val="21"/>
                <w:szCs w:val="21"/>
              </w:rPr>
            </w:pPr>
            <w:r>
              <w:rPr>
                <w:rFonts w:hint="eastAsia"/>
                <w:sz w:val="21"/>
                <w:szCs w:val="21"/>
              </w:rPr>
              <w:t>53.8</w:t>
            </w:r>
          </w:p>
        </w:tc>
        <w:tc>
          <w:tcPr>
            <w:tcW w:w="769" w:type="dxa"/>
            <w:tcBorders>
              <w:tl2br w:val="nil"/>
              <w:tr2bl w:val="nil"/>
            </w:tcBorders>
            <w:vAlign w:val="center"/>
          </w:tcPr>
          <w:p w14:paraId="1CB5446B">
            <w:pPr>
              <w:adjustRightInd w:val="0"/>
              <w:snapToGrid w:val="0"/>
              <w:spacing w:line="240" w:lineRule="auto"/>
              <w:jc w:val="center"/>
              <w:rPr>
                <w:color w:val="FF0000"/>
                <w:sz w:val="21"/>
                <w:szCs w:val="21"/>
              </w:rPr>
            </w:pPr>
            <w:r>
              <w:rPr>
                <w:rFonts w:hint="eastAsia"/>
                <w:sz w:val="21"/>
                <w:szCs w:val="21"/>
              </w:rPr>
              <w:t>1m</w:t>
            </w:r>
          </w:p>
        </w:tc>
      </w:tr>
      <w:tr w14:paraId="7BC4F6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5740A5EB">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12736E25">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4EF47534">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71D350DD">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5936157F">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37CCC5AC">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56A81643">
            <w:pPr>
              <w:adjustRightInd w:val="0"/>
              <w:snapToGrid w:val="0"/>
              <w:spacing w:line="240" w:lineRule="auto"/>
              <w:jc w:val="center"/>
              <w:rPr>
                <w:color w:val="FF0000"/>
                <w:sz w:val="21"/>
                <w:szCs w:val="21"/>
              </w:rPr>
            </w:pPr>
          </w:p>
        </w:tc>
        <w:tc>
          <w:tcPr>
            <w:tcW w:w="786" w:type="dxa"/>
            <w:vMerge w:val="continue"/>
            <w:tcBorders>
              <w:tl2br w:val="nil"/>
              <w:tr2bl w:val="nil"/>
            </w:tcBorders>
            <w:vAlign w:val="center"/>
          </w:tcPr>
          <w:p w14:paraId="49660903">
            <w:pPr>
              <w:adjustRightInd w:val="0"/>
              <w:snapToGrid w:val="0"/>
              <w:spacing w:line="240" w:lineRule="auto"/>
              <w:jc w:val="center"/>
              <w:rPr>
                <w:color w:val="FF0000"/>
                <w:sz w:val="21"/>
                <w:szCs w:val="21"/>
              </w:rPr>
            </w:pPr>
          </w:p>
        </w:tc>
        <w:tc>
          <w:tcPr>
            <w:tcW w:w="828" w:type="dxa"/>
            <w:vMerge w:val="continue"/>
            <w:tcBorders>
              <w:tl2br w:val="nil"/>
              <w:tr2bl w:val="nil"/>
            </w:tcBorders>
            <w:vAlign w:val="center"/>
          </w:tcPr>
          <w:p w14:paraId="3CA73C43">
            <w:pPr>
              <w:adjustRightInd w:val="0"/>
              <w:snapToGrid w:val="0"/>
              <w:spacing w:line="240" w:lineRule="auto"/>
              <w:jc w:val="center"/>
              <w:rPr>
                <w:color w:val="FF0000"/>
                <w:sz w:val="21"/>
                <w:szCs w:val="21"/>
              </w:rPr>
            </w:pPr>
          </w:p>
        </w:tc>
        <w:tc>
          <w:tcPr>
            <w:tcW w:w="755" w:type="dxa"/>
            <w:vMerge w:val="continue"/>
            <w:tcBorders>
              <w:tl2br w:val="nil"/>
              <w:tr2bl w:val="nil"/>
            </w:tcBorders>
            <w:vAlign w:val="center"/>
          </w:tcPr>
          <w:p w14:paraId="0863D3C1">
            <w:pPr>
              <w:adjustRightInd w:val="0"/>
              <w:snapToGrid w:val="0"/>
              <w:spacing w:line="240" w:lineRule="auto"/>
              <w:jc w:val="center"/>
              <w:rPr>
                <w:color w:val="FF0000"/>
                <w:sz w:val="21"/>
                <w:szCs w:val="21"/>
              </w:rPr>
            </w:pPr>
          </w:p>
        </w:tc>
        <w:tc>
          <w:tcPr>
            <w:tcW w:w="1382" w:type="dxa"/>
            <w:tcBorders>
              <w:tl2br w:val="nil"/>
              <w:tr2bl w:val="nil"/>
            </w:tcBorders>
            <w:vAlign w:val="center"/>
          </w:tcPr>
          <w:p w14:paraId="07970888">
            <w:pPr>
              <w:adjustRightInd w:val="0"/>
              <w:snapToGrid w:val="0"/>
              <w:spacing w:line="240" w:lineRule="auto"/>
              <w:jc w:val="center"/>
              <w:rPr>
                <w:sz w:val="21"/>
                <w:szCs w:val="21"/>
              </w:rPr>
            </w:pPr>
            <w:r>
              <w:rPr>
                <w:rFonts w:hint="eastAsia"/>
                <w:sz w:val="21"/>
                <w:szCs w:val="21"/>
              </w:rPr>
              <w:t>S：34.7</w:t>
            </w:r>
          </w:p>
        </w:tc>
        <w:tc>
          <w:tcPr>
            <w:tcW w:w="1145" w:type="dxa"/>
            <w:tcBorders>
              <w:tl2br w:val="nil"/>
              <w:tr2bl w:val="nil"/>
            </w:tcBorders>
            <w:vAlign w:val="center"/>
          </w:tcPr>
          <w:p w14:paraId="463D456D">
            <w:pPr>
              <w:adjustRightInd w:val="0"/>
              <w:snapToGrid w:val="0"/>
              <w:spacing w:line="240" w:lineRule="auto"/>
              <w:jc w:val="center"/>
              <w:rPr>
                <w:sz w:val="21"/>
                <w:szCs w:val="21"/>
              </w:rPr>
            </w:pPr>
            <w:r>
              <w:rPr>
                <w:rFonts w:hint="eastAsia"/>
                <w:sz w:val="21"/>
                <w:szCs w:val="21"/>
              </w:rPr>
              <w:t>78.8</w:t>
            </w:r>
          </w:p>
        </w:tc>
        <w:tc>
          <w:tcPr>
            <w:tcW w:w="645" w:type="dxa"/>
            <w:vMerge w:val="continue"/>
            <w:tcBorders>
              <w:tl2br w:val="nil"/>
              <w:tr2bl w:val="nil"/>
            </w:tcBorders>
            <w:vAlign w:val="center"/>
          </w:tcPr>
          <w:p w14:paraId="518A1CBE">
            <w:pPr>
              <w:adjustRightInd w:val="0"/>
              <w:snapToGrid w:val="0"/>
              <w:spacing w:line="240" w:lineRule="auto"/>
              <w:jc w:val="center"/>
              <w:rPr>
                <w:color w:val="FF0000"/>
                <w:sz w:val="21"/>
                <w:szCs w:val="21"/>
              </w:rPr>
            </w:pPr>
          </w:p>
        </w:tc>
        <w:tc>
          <w:tcPr>
            <w:tcW w:w="1089" w:type="dxa"/>
            <w:tcBorders>
              <w:tl2br w:val="nil"/>
              <w:tr2bl w:val="nil"/>
            </w:tcBorders>
            <w:vAlign w:val="center"/>
          </w:tcPr>
          <w:p w14:paraId="2C108F25">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1E7691D2">
            <w:pPr>
              <w:adjustRightInd w:val="0"/>
              <w:snapToGrid w:val="0"/>
              <w:spacing w:line="240" w:lineRule="auto"/>
              <w:jc w:val="center"/>
              <w:rPr>
                <w:sz w:val="21"/>
                <w:szCs w:val="21"/>
              </w:rPr>
            </w:pPr>
            <w:r>
              <w:rPr>
                <w:rFonts w:hint="eastAsia"/>
                <w:sz w:val="21"/>
                <w:szCs w:val="21"/>
              </w:rPr>
              <w:t>53.8</w:t>
            </w:r>
          </w:p>
        </w:tc>
        <w:tc>
          <w:tcPr>
            <w:tcW w:w="769" w:type="dxa"/>
            <w:tcBorders>
              <w:tl2br w:val="nil"/>
              <w:tr2bl w:val="nil"/>
            </w:tcBorders>
            <w:vAlign w:val="center"/>
          </w:tcPr>
          <w:p w14:paraId="752A90C9">
            <w:pPr>
              <w:adjustRightInd w:val="0"/>
              <w:snapToGrid w:val="0"/>
              <w:spacing w:line="240" w:lineRule="auto"/>
              <w:jc w:val="center"/>
              <w:rPr>
                <w:color w:val="FF0000"/>
                <w:sz w:val="21"/>
                <w:szCs w:val="21"/>
              </w:rPr>
            </w:pPr>
            <w:r>
              <w:rPr>
                <w:rFonts w:hint="eastAsia"/>
                <w:sz w:val="21"/>
                <w:szCs w:val="21"/>
              </w:rPr>
              <w:t>1m</w:t>
            </w:r>
          </w:p>
        </w:tc>
      </w:tr>
      <w:tr w14:paraId="2DC188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60545C26">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47EC504D">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3F22739A">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254102FF">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4419FD23">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5367582E">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289FD373">
            <w:pPr>
              <w:adjustRightInd w:val="0"/>
              <w:snapToGrid w:val="0"/>
              <w:spacing w:line="240" w:lineRule="auto"/>
              <w:jc w:val="center"/>
              <w:rPr>
                <w:color w:val="FF0000"/>
                <w:sz w:val="21"/>
                <w:szCs w:val="21"/>
              </w:rPr>
            </w:pPr>
          </w:p>
        </w:tc>
        <w:tc>
          <w:tcPr>
            <w:tcW w:w="786" w:type="dxa"/>
            <w:vMerge w:val="continue"/>
            <w:tcBorders>
              <w:tl2br w:val="nil"/>
              <w:tr2bl w:val="nil"/>
            </w:tcBorders>
            <w:vAlign w:val="center"/>
          </w:tcPr>
          <w:p w14:paraId="40DD5952">
            <w:pPr>
              <w:adjustRightInd w:val="0"/>
              <w:snapToGrid w:val="0"/>
              <w:spacing w:line="240" w:lineRule="auto"/>
              <w:jc w:val="center"/>
              <w:rPr>
                <w:color w:val="FF0000"/>
                <w:sz w:val="21"/>
                <w:szCs w:val="21"/>
              </w:rPr>
            </w:pPr>
          </w:p>
        </w:tc>
        <w:tc>
          <w:tcPr>
            <w:tcW w:w="828" w:type="dxa"/>
            <w:vMerge w:val="continue"/>
            <w:tcBorders>
              <w:tl2br w:val="nil"/>
              <w:tr2bl w:val="nil"/>
            </w:tcBorders>
            <w:vAlign w:val="center"/>
          </w:tcPr>
          <w:p w14:paraId="4C18C7B7">
            <w:pPr>
              <w:adjustRightInd w:val="0"/>
              <w:snapToGrid w:val="0"/>
              <w:spacing w:line="240" w:lineRule="auto"/>
              <w:jc w:val="center"/>
              <w:rPr>
                <w:color w:val="FF0000"/>
                <w:sz w:val="21"/>
                <w:szCs w:val="21"/>
              </w:rPr>
            </w:pPr>
          </w:p>
        </w:tc>
        <w:tc>
          <w:tcPr>
            <w:tcW w:w="755" w:type="dxa"/>
            <w:vMerge w:val="continue"/>
            <w:tcBorders>
              <w:tl2br w:val="nil"/>
              <w:tr2bl w:val="nil"/>
            </w:tcBorders>
            <w:vAlign w:val="center"/>
          </w:tcPr>
          <w:p w14:paraId="35F08A01">
            <w:pPr>
              <w:adjustRightInd w:val="0"/>
              <w:snapToGrid w:val="0"/>
              <w:spacing w:line="240" w:lineRule="auto"/>
              <w:jc w:val="center"/>
              <w:rPr>
                <w:color w:val="FF0000"/>
                <w:sz w:val="21"/>
                <w:szCs w:val="21"/>
              </w:rPr>
            </w:pPr>
          </w:p>
        </w:tc>
        <w:tc>
          <w:tcPr>
            <w:tcW w:w="1382" w:type="dxa"/>
            <w:tcBorders>
              <w:tl2br w:val="nil"/>
              <w:tr2bl w:val="nil"/>
            </w:tcBorders>
            <w:vAlign w:val="center"/>
          </w:tcPr>
          <w:p w14:paraId="50BEB29C">
            <w:pPr>
              <w:adjustRightInd w:val="0"/>
              <w:snapToGrid w:val="0"/>
              <w:spacing w:line="240" w:lineRule="auto"/>
              <w:jc w:val="center"/>
              <w:rPr>
                <w:sz w:val="21"/>
                <w:szCs w:val="21"/>
              </w:rPr>
            </w:pPr>
            <w:r>
              <w:rPr>
                <w:rFonts w:hint="eastAsia"/>
                <w:sz w:val="21"/>
                <w:szCs w:val="21"/>
              </w:rPr>
              <w:t>W：5.8</w:t>
            </w:r>
          </w:p>
        </w:tc>
        <w:tc>
          <w:tcPr>
            <w:tcW w:w="1145" w:type="dxa"/>
            <w:tcBorders>
              <w:tl2br w:val="nil"/>
              <w:tr2bl w:val="nil"/>
            </w:tcBorders>
            <w:vAlign w:val="center"/>
          </w:tcPr>
          <w:p w14:paraId="707A4317">
            <w:pPr>
              <w:adjustRightInd w:val="0"/>
              <w:snapToGrid w:val="0"/>
              <w:spacing w:line="240" w:lineRule="auto"/>
              <w:jc w:val="center"/>
              <w:rPr>
                <w:sz w:val="21"/>
                <w:szCs w:val="21"/>
              </w:rPr>
            </w:pPr>
            <w:r>
              <w:rPr>
                <w:rFonts w:hint="eastAsia"/>
                <w:sz w:val="21"/>
                <w:szCs w:val="21"/>
              </w:rPr>
              <w:t>79.1</w:t>
            </w:r>
          </w:p>
        </w:tc>
        <w:tc>
          <w:tcPr>
            <w:tcW w:w="645" w:type="dxa"/>
            <w:vMerge w:val="continue"/>
            <w:tcBorders>
              <w:tl2br w:val="nil"/>
              <w:tr2bl w:val="nil"/>
            </w:tcBorders>
            <w:vAlign w:val="center"/>
          </w:tcPr>
          <w:p w14:paraId="3E96AE87">
            <w:pPr>
              <w:adjustRightInd w:val="0"/>
              <w:snapToGrid w:val="0"/>
              <w:spacing w:line="240" w:lineRule="auto"/>
              <w:jc w:val="center"/>
              <w:rPr>
                <w:color w:val="FF0000"/>
                <w:sz w:val="21"/>
                <w:szCs w:val="21"/>
              </w:rPr>
            </w:pPr>
          </w:p>
        </w:tc>
        <w:tc>
          <w:tcPr>
            <w:tcW w:w="1089" w:type="dxa"/>
            <w:tcBorders>
              <w:tl2br w:val="nil"/>
              <w:tr2bl w:val="nil"/>
            </w:tcBorders>
            <w:vAlign w:val="center"/>
          </w:tcPr>
          <w:p w14:paraId="093A8B33">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2907C049">
            <w:pPr>
              <w:adjustRightInd w:val="0"/>
              <w:snapToGrid w:val="0"/>
              <w:spacing w:line="240" w:lineRule="auto"/>
              <w:jc w:val="center"/>
              <w:rPr>
                <w:sz w:val="21"/>
                <w:szCs w:val="21"/>
              </w:rPr>
            </w:pPr>
            <w:r>
              <w:rPr>
                <w:rFonts w:hint="eastAsia"/>
                <w:sz w:val="21"/>
                <w:szCs w:val="21"/>
              </w:rPr>
              <w:t>59.1</w:t>
            </w:r>
          </w:p>
        </w:tc>
        <w:tc>
          <w:tcPr>
            <w:tcW w:w="769" w:type="dxa"/>
            <w:tcBorders>
              <w:tl2br w:val="nil"/>
              <w:tr2bl w:val="nil"/>
            </w:tcBorders>
            <w:vAlign w:val="center"/>
          </w:tcPr>
          <w:p w14:paraId="0FC6061C">
            <w:pPr>
              <w:adjustRightInd w:val="0"/>
              <w:snapToGrid w:val="0"/>
              <w:spacing w:line="240" w:lineRule="auto"/>
              <w:jc w:val="center"/>
              <w:rPr>
                <w:color w:val="FF0000"/>
                <w:sz w:val="21"/>
                <w:szCs w:val="21"/>
              </w:rPr>
            </w:pPr>
            <w:r>
              <w:rPr>
                <w:rFonts w:hint="eastAsia"/>
                <w:sz w:val="21"/>
                <w:szCs w:val="21"/>
              </w:rPr>
              <w:t>1m</w:t>
            </w:r>
          </w:p>
        </w:tc>
      </w:tr>
      <w:tr w14:paraId="5EB02F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2" w:type="dxa"/>
            <w:vMerge w:val="continue"/>
            <w:tcBorders>
              <w:tl2br w:val="nil"/>
              <w:tr2bl w:val="nil"/>
            </w:tcBorders>
            <w:vAlign w:val="center"/>
          </w:tcPr>
          <w:p w14:paraId="738A9CE3">
            <w:pPr>
              <w:adjustRightInd w:val="0"/>
              <w:snapToGrid w:val="0"/>
              <w:spacing w:line="240" w:lineRule="auto"/>
              <w:jc w:val="center"/>
              <w:rPr>
                <w:color w:val="FF0000"/>
                <w:sz w:val="21"/>
                <w:szCs w:val="21"/>
              </w:rPr>
            </w:pPr>
          </w:p>
        </w:tc>
        <w:tc>
          <w:tcPr>
            <w:tcW w:w="629" w:type="dxa"/>
            <w:vMerge w:val="continue"/>
            <w:tcBorders>
              <w:tl2br w:val="nil"/>
              <w:tr2bl w:val="nil"/>
            </w:tcBorders>
            <w:vAlign w:val="center"/>
          </w:tcPr>
          <w:p w14:paraId="56DC9741">
            <w:pPr>
              <w:adjustRightInd w:val="0"/>
              <w:snapToGrid w:val="0"/>
              <w:spacing w:line="240" w:lineRule="auto"/>
              <w:jc w:val="center"/>
              <w:rPr>
                <w:color w:val="FF0000"/>
                <w:sz w:val="21"/>
                <w:szCs w:val="21"/>
              </w:rPr>
            </w:pPr>
          </w:p>
        </w:tc>
        <w:tc>
          <w:tcPr>
            <w:tcW w:w="480" w:type="dxa"/>
            <w:vMerge w:val="continue"/>
            <w:tcBorders>
              <w:tl2br w:val="nil"/>
              <w:tr2bl w:val="nil"/>
            </w:tcBorders>
            <w:vAlign w:val="center"/>
          </w:tcPr>
          <w:p w14:paraId="6CD5F697">
            <w:pPr>
              <w:adjustRightInd w:val="0"/>
              <w:snapToGrid w:val="0"/>
              <w:spacing w:line="240" w:lineRule="auto"/>
              <w:jc w:val="center"/>
              <w:rPr>
                <w:color w:val="FF0000"/>
                <w:sz w:val="21"/>
                <w:szCs w:val="21"/>
              </w:rPr>
            </w:pPr>
          </w:p>
        </w:tc>
        <w:tc>
          <w:tcPr>
            <w:tcW w:w="1534" w:type="dxa"/>
            <w:vMerge w:val="continue"/>
            <w:tcBorders>
              <w:tl2br w:val="nil"/>
              <w:tr2bl w:val="nil"/>
            </w:tcBorders>
            <w:vAlign w:val="center"/>
          </w:tcPr>
          <w:p w14:paraId="5E8F3B08">
            <w:pPr>
              <w:adjustRightInd w:val="0"/>
              <w:snapToGrid w:val="0"/>
              <w:spacing w:line="240" w:lineRule="auto"/>
              <w:jc w:val="center"/>
              <w:rPr>
                <w:color w:val="FF0000"/>
                <w:sz w:val="21"/>
                <w:szCs w:val="21"/>
              </w:rPr>
            </w:pPr>
          </w:p>
        </w:tc>
        <w:tc>
          <w:tcPr>
            <w:tcW w:w="708" w:type="dxa"/>
            <w:vMerge w:val="continue"/>
            <w:tcBorders>
              <w:tl2br w:val="nil"/>
              <w:tr2bl w:val="nil"/>
            </w:tcBorders>
            <w:vAlign w:val="center"/>
          </w:tcPr>
          <w:p w14:paraId="4EAC369E">
            <w:pPr>
              <w:adjustRightInd w:val="0"/>
              <w:snapToGrid w:val="0"/>
              <w:spacing w:line="240" w:lineRule="auto"/>
              <w:jc w:val="center"/>
              <w:rPr>
                <w:color w:val="FF0000"/>
                <w:sz w:val="21"/>
                <w:szCs w:val="21"/>
              </w:rPr>
            </w:pPr>
          </w:p>
        </w:tc>
        <w:tc>
          <w:tcPr>
            <w:tcW w:w="1216" w:type="dxa"/>
            <w:vMerge w:val="continue"/>
            <w:tcBorders>
              <w:tl2br w:val="nil"/>
              <w:tr2bl w:val="nil"/>
            </w:tcBorders>
            <w:vAlign w:val="center"/>
          </w:tcPr>
          <w:p w14:paraId="73967627">
            <w:pPr>
              <w:adjustRightInd w:val="0"/>
              <w:snapToGrid w:val="0"/>
              <w:spacing w:line="240" w:lineRule="auto"/>
              <w:jc w:val="center"/>
              <w:rPr>
                <w:color w:val="FF0000"/>
                <w:sz w:val="21"/>
                <w:szCs w:val="21"/>
              </w:rPr>
            </w:pPr>
          </w:p>
        </w:tc>
        <w:tc>
          <w:tcPr>
            <w:tcW w:w="645" w:type="dxa"/>
            <w:vMerge w:val="continue"/>
            <w:tcBorders>
              <w:tl2br w:val="nil"/>
              <w:tr2bl w:val="nil"/>
            </w:tcBorders>
            <w:vAlign w:val="center"/>
          </w:tcPr>
          <w:p w14:paraId="36E27E58">
            <w:pPr>
              <w:adjustRightInd w:val="0"/>
              <w:snapToGrid w:val="0"/>
              <w:spacing w:line="240" w:lineRule="auto"/>
              <w:jc w:val="center"/>
              <w:rPr>
                <w:color w:val="FF0000"/>
                <w:sz w:val="21"/>
                <w:szCs w:val="21"/>
              </w:rPr>
            </w:pPr>
          </w:p>
        </w:tc>
        <w:tc>
          <w:tcPr>
            <w:tcW w:w="786" w:type="dxa"/>
            <w:vMerge w:val="continue"/>
            <w:tcBorders>
              <w:tl2br w:val="nil"/>
              <w:tr2bl w:val="nil"/>
            </w:tcBorders>
            <w:vAlign w:val="center"/>
          </w:tcPr>
          <w:p w14:paraId="1708DA2B">
            <w:pPr>
              <w:adjustRightInd w:val="0"/>
              <w:snapToGrid w:val="0"/>
              <w:spacing w:line="240" w:lineRule="auto"/>
              <w:jc w:val="center"/>
              <w:rPr>
                <w:color w:val="FF0000"/>
                <w:sz w:val="21"/>
                <w:szCs w:val="21"/>
              </w:rPr>
            </w:pPr>
          </w:p>
        </w:tc>
        <w:tc>
          <w:tcPr>
            <w:tcW w:w="828" w:type="dxa"/>
            <w:vMerge w:val="continue"/>
            <w:tcBorders>
              <w:tl2br w:val="nil"/>
              <w:tr2bl w:val="nil"/>
            </w:tcBorders>
            <w:vAlign w:val="center"/>
          </w:tcPr>
          <w:p w14:paraId="1A7B021C">
            <w:pPr>
              <w:adjustRightInd w:val="0"/>
              <w:snapToGrid w:val="0"/>
              <w:spacing w:line="240" w:lineRule="auto"/>
              <w:jc w:val="center"/>
              <w:rPr>
                <w:color w:val="FF0000"/>
                <w:sz w:val="21"/>
                <w:szCs w:val="21"/>
              </w:rPr>
            </w:pPr>
          </w:p>
        </w:tc>
        <w:tc>
          <w:tcPr>
            <w:tcW w:w="755" w:type="dxa"/>
            <w:vMerge w:val="continue"/>
            <w:tcBorders>
              <w:tl2br w:val="nil"/>
              <w:tr2bl w:val="nil"/>
            </w:tcBorders>
            <w:vAlign w:val="center"/>
          </w:tcPr>
          <w:p w14:paraId="0C9FEB04">
            <w:pPr>
              <w:adjustRightInd w:val="0"/>
              <w:snapToGrid w:val="0"/>
              <w:spacing w:line="240" w:lineRule="auto"/>
              <w:jc w:val="center"/>
              <w:rPr>
                <w:color w:val="FF0000"/>
                <w:sz w:val="21"/>
                <w:szCs w:val="21"/>
              </w:rPr>
            </w:pPr>
          </w:p>
        </w:tc>
        <w:tc>
          <w:tcPr>
            <w:tcW w:w="1382" w:type="dxa"/>
            <w:tcBorders>
              <w:tl2br w:val="nil"/>
              <w:tr2bl w:val="nil"/>
            </w:tcBorders>
            <w:vAlign w:val="center"/>
          </w:tcPr>
          <w:p w14:paraId="68C4D8A6">
            <w:pPr>
              <w:adjustRightInd w:val="0"/>
              <w:snapToGrid w:val="0"/>
              <w:spacing w:line="240" w:lineRule="auto"/>
              <w:jc w:val="center"/>
              <w:rPr>
                <w:sz w:val="21"/>
                <w:szCs w:val="21"/>
              </w:rPr>
            </w:pPr>
            <w:r>
              <w:rPr>
                <w:rFonts w:hint="eastAsia"/>
                <w:sz w:val="21"/>
                <w:szCs w:val="21"/>
              </w:rPr>
              <w:t>N：67.9</w:t>
            </w:r>
          </w:p>
        </w:tc>
        <w:tc>
          <w:tcPr>
            <w:tcW w:w="1145" w:type="dxa"/>
            <w:tcBorders>
              <w:tl2br w:val="nil"/>
              <w:tr2bl w:val="nil"/>
            </w:tcBorders>
            <w:vAlign w:val="center"/>
          </w:tcPr>
          <w:p w14:paraId="3EC7D836">
            <w:pPr>
              <w:adjustRightInd w:val="0"/>
              <w:snapToGrid w:val="0"/>
              <w:spacing w:line="240" w:lineRule="auto"/>
              <w:jc w:val="center"/>
              <w:rPr>
                <w:sz w:val="21"/>
                <w:szCs w:val="21"/>
              </w:rPr>
            </w:pPr>
            <w:r>
              <w:rPr>
                <w:rFonts w:hint="eastAsia"/>
                <w:sz w:val="21"/>
                <w:szCs w:val="21"/>
              </w:rPr>
              <w:t>78.8</w:t>
            </w:r>
          </w:p>
        </w:tc>
        <w:tc>
          <w:tcPr>
            <w:tcW w:w="645" w:type="dxa"/>
            <w:vMerge w:val="continue"/>
            <w:tcBorders>
              <w:tl2br w:val="nil"/>
              <w:tr2bl w:val="nil"/>
            </w:tcBorders>
            <w:vAlign w:val="center"/>
          </w:tcPr>
          <w:p w14:paraId="71DE0007">
            <w:pPr>
              <w:adjustRightInd w:val="0"/>
              <w:snapToGrid w:val="0"/>
              <w:spacing w:line="240" w:lineRule="auto"/>
              <w:jc w:val="center"/>
              <w:rPr>
                <w:color w:val="FF0000"/>
                <w:sz w:val="21"/>
                <w:szCs w:val="21"/>
              </w:rPr>
            </w:pPr>
          </w:p>
        </w:tc>
        <w:tc>
          <w:tcPr>
            <w:tcW w:w="1089" w:type="dxa"/>
            <w:tcBorders>
              <w:tl2br w:val="nil"/>
              <w:tr2bl w:val="nil"/>
            </w:tcBorders>
            <w:vAlign w:val="center"/>
          </w:tcPr>
          <w:p w14:paraId="1B4FF022">
            <w:pPr>
              <w:adjustRightInd w:val="0"/>
              <w:snapToGrid w:val="0"/>
              <w:spacing w:line="240" w:lineRule="auto"/>
              <w:jc w:val="center"/>
              <w:rPr>
                <w:sz w:val="21"/>
                <w:szCs w:val="21"/>
              </w:rPr>
            </w:pPr>
            <w:r>
              <w:rPr>
                <w:rFonts w:hint="eastAsia"/>
                <w:sz w:val="21"/>
                <w:szCs w:val="21"/>
              </w:rPr>
              <w:t>20</w:t>
            </w:r>
          </w:p>
        </w:tc>
        <w:tc>
          <w:tcPr>
            <w:tcW w:w="1151" w:type="dxa"/>
            <w:tcBorders>
              <w:tl2br w:val="nil"/>
              <w:tr2bl w:val="nil"/>
            </w:tcBorders>
            <w:vAlign w:val="center"/>
          </w:tcPr>
          <w:p w14:paraId="30186AED">
            <w:pPr>
              <w:adjustRightInd w:val="0"/>
              <w:snapToGrid w:val="0"/>
              <w:spacing w:line="240" w:lineRule="auto"/>
              <w:jc w:val="center"/>
              <w:rPr>
                <w:sz w:val="21"/>
                <w:szCs w:val="21"/>
              </w:rPr>
            </w:pPr>
            <w:r>
              <w:rPr>
                <w:rFonts w:hint="eastAsia"/>
                <w:sz w:val="21"/>
                <w:szCs w:val="21"/>
              </w:rPr>
              <w:t>58.8</w:t>
            </w:r>
          </w:p>
        </w:tc>
        <w:tc>
          <w:tcPr>
            <w:tcW w:w="769" w:type="dxa"/>
            <w:tcBorders>
              <w:tl2br w:val="nil"/>
              <w:tr2bl w:val="nil"/>
            </w:tcBorders>
            <w:vAlign w:val="center"/>
          </w:tcPr>
          <w:p w14:paraId="25C932A7">
            <w:pPr>
              <w:adjustRightInd w:val="0"/>
              <w:snapToGrid w:val="0"/>
              <w:spacing w:line="240" w:lineRule="auto"/>
              <w:jc w:val="center"/>
              <w:rPr>
                <w:color w:val="FF0000"/>
                <w:sz w:val="21"/>
                <w:szCs w:val="21"/>
              </w:rPr>
            </w:pPr>
            <w:r>
              <w:rPr>
                <w:rFonts w:hint="eastAsia"/>
                <w:sz w:val="21"/>
                <w:szCs w:val="21"/>
              </w:rPr>
              <w:t>1m</w:t>
            </w:r>
          </w:p>
        </w:tc>
      </w:tr>
    </w:tbl>
    <w:p w14:paraId="341496A7">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表4.3-12 </w:t>
      </w:r>
      <w:r>
        <w:rPr>
          <w:rFonts w:hint="eastAsia" w:ascii="宋体" w:hAnsi="宋体" w:cs="宋体"/>
          <w:b/>
          <w:bCs/>
          <w:color w:val="auto"/>
          <w:kern w:val="2"/>
          <w:sz w:val="21"/>
          <w:szCs w:val="21"/>
          <w:lang w:val="en-US" w:eastAsia="zh-CN" w:bidi="ar-SA"/>
        </w:rPr>
        <w:t xml:space="preserve">  </w:t>
      </w:r>
      <w:r>
        <w:rPr>
          <w:rFonts w:hint="eastAsia"/>
        </w:rPr>
        <w:t>工业企业噪声源强调查清单（室外声源）</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1318"/>
        <w:gridCol w:w="719"/>
        <w:gridCol w:w="1053"/>
        <w:gridCol w:w="1606"/>
        <w:gridCol w:w="1606"/>
        <w:gridCol w:w="1592"/>
        <w:gridCol w:w="1645"/>
        <w:gridCol w:w="1547"/>
        <w:gridCol w:w="1547"/>
      </w:tblGrid>
      <w:tr w14:paraId="255C7E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vMerge w:val="restart"/>
            <w:tcBorders>
              <w:tl2br w:val="nil"/>
              <w:tr2bl w:val="nil"/>
            </w:tcBorders>
            <w:vAlign w:val="center"/>
          </w:tcPr>
          <w:p w14:paraId="064ECCF2">
            <w:pPr>
              <w:adjustRightInd w:val="0"/>
              <w:snapToGrid w:val="0"/>
              <w:spacing w:line="240" w:lineRule="auto"/>
              <w:jc w:val="center"/>
              <w:rPr>
                <w:sz w:val="21"/>
                <w:szCs w:val="21"/>
              </w:rPr>
            </w:pPr>
            <w:bookmarkStart w:id="96" w:name="PT_5"/>
            <w:r>
              <w:rPr>
                <w:sz w:val="21"/>
                <w:szCs w:val="21"/>
              </w:rPr>
              <w:t>序号</w:t>
            </w:r>
          </w:p>
        </w:tc>
        <w:tc>
          <w:tcPr>
            <w:tcW w:w="1318" w:type="dxa"/>
            <w:vMerge w:val="restart"/>
            <w:tcBorders>
              <w:tl2br w:val="nil"/>
              <w:tr2bl w:val="nil"/>
            </w:tcBorders>
            <w:vAlign w:val="center"/>
          </w:tcPr>
          <w:p w14:paraId="6EDACDEE">
            <w:pPr>
              <w:adjustRightInd w:val="0"/>
              <w:snapToGrid w:val="0"/>
              <w:spacing w:line="240" w:lineRule="auto"/>
              <w:jc w:val="center"/>
              <w:rPr>
                <w:sz w:val="21"/>
                <w:szCs w:val="21"/>
              </w:rPr>
            </w:pPr>
            <w:r>
              <w:rPr>
                <w:sz w:val="21"/>
                <w:szCs w:val="21"/>
              </w:rPr>
              <w:t>声源名称</w:t>
            </w:r>
          </w:p>
        </w:tc>
        <w:tc>
          <w:tcPr>
            <w:tcW w:w="719" w:type="dxa"/>
            <w:vMerge w:val="restart"/>
            <w:tcBorders>
              <w:tl2br w:val="nil"/>
              <w:tr2bl w:val="nil"/>
            </w:tcBorders>
            <w:vAlign w:val="center"/>
          </w:tcPr>
          <w:p w14:paraId="758EB690">
            <w:pPr>
              <w:adjustRightInd w:val="0"/>
              <w:snapToGrid w:val="0"/>
              <w:spacing w:line="240" w:lineRule="auto"/>
              <w:jc w:val="center"/>
              <w:rPr>
                <w:sz w:val="21"/>
                <w:szCs w:val="21"/>
              </w:rPr>
            </w:pPr>
            <w:r>
              <w:rPr>
                <w:rFonts w:hint="eastAsia"/>
                <w:sz w:val="21"/>
                <w:szCs w:val="21"/>
              </w:rPr>
              <w:t>型号</w:t>
            </w:r>
          </w:p>
        </w:tc>
        <w:tc>
          <w:tcPr>
            <w:tcW w:w="1053" w:type="dxa"/>
            <w:vMerge w:val="restart"/>
            <w:tcBorders>
              <w:tl2br w:val="nil"/>
              <w:tr2bl w:val="nil"/>
            </w:tcBorders>
            <w:vAlign w:val="center"/>
          </w:tcPr>
          <w:p w14:paraId="6E011321">
            <w:pPr>
              <w:adjustRightInd w:val="0"/>
              <w:snapToGrid w:val="0"/>
              <w:spacing w:line="240" w:lineRule="auto"/>
              <w:jc w:val="center"/>
              <w:rPr>
                <w:sz w:val="21"/>
                <w:szCs w:val="21"/>
              </w:rPr>
            </w:pPr>
            <w:r>
              <w:rPr>
                <w:rFonts w:hint="eastAsia"/>
                <w:sz w:val="21"/>
                <w:szCs w:val="21"/>
              </w:rPr>
              <w:t>数量</w:t>
            </w:r>
          </w:p>
        </w:tc>
        <w:tc>
          <w:tcPr>
            <w:tcW w:w="4804" w:type="dxa"/>
            <w:gridSpan w:val="3"/>
            <w:tcBorders>
              <w:tl2br w:val="nil"/>
              <w:tr2bl w:val="nil"/>
            </w:tcBorders>
            <w:vAlign w:val="center"/>
          </w:tcPr>
          <w:p w14:paraId="492D35C4">
            <w:pPr>
              <w:adjustRightInd w:val="0"/>
              <w:snapToGrid w:val="0"/>
              <w:spacing w:line="240" w:lineRule="auto"/>
              <w:jc w:val="center"/>
              <w:rPr>
                <w:sz w:val="21"/>
                <w:szCs w:val="21"/>
              </w:rPr>
            </w:pPr>
            <w:r>
              <w:rPr>
                <w:sz w:val="21"/>
                <w:szCs w:val="21"/>
              </w:rPr>
              <w:t>空间相对位置/m</w:t>
            </w:r>
          </w:p>
        </w:tc>
        <w:tc>
          <w:tcPr>
            <w:tcW w:w="1645" w:type="dxa"/>
            <w:tcBorders>
              <w:tl2br w:val="nil"/>
              <w:tr2bl w:val="nil"/>
            </w:tcBorders>
            <w:vAlign w:val="center"/>
          </w:tcPr>
          <w:p w14:paraId="2E403453">
            <w:pPr>
              <w:adjustRightInd w:val="0"/>
              <w:snapToGrid w:val="0"/>
              <w:spacing w:line="240" w:lineRule="auto"/>
              <w:jc w:val="center"/>
              <w:rPr>
                <w:sz w:val="21"/>
                <w:szCs w:val="21"/>
              </w:rPr>
            </w:pPr>
            <w:r>
              <w:rPr>
                <w:sz w:val="21"/>
                <w:szCs w:val="21"/>
              </w:rPr>
              <w:t>声源源强</w:t>
            </w:r>
          </w:p>
        </w:tc>
        <w:tc>
          <w:tcPr>
            <w:tcW w:w="1547" w:type="dxa"/>
            <w:vMerge w:val="restart"/>
            <w:tcBorders>
              <w:tl2br w:val="nil"/>
              <w:tr2bl w:val="nil"/>
            </w:tcBorders>
            <w:vAlign w:val="center"/>
          </w:tcPr>
          <w:p w14:paraId="5925753D">
            <w:pPr>
              <w:adjustRightInd w:val="0"/>
              <w:snapToGrid w:val="0"/>
              <w:spacing w:line="240" w:lineRule="auto"/>
              <w:jc w:val="center"/>
              <w:rPr>
                <w:sz w:val="21"/>
                <w:szCs w:val="21"/>
              </w:rPr>
            </w:pPr>
            <w:r>
              <w:rPr>
                <w:sz w:val="21"/>
                <w:szCs w:val="21"/>
              </w:rPr>
              <w:t>声源控制措施</w:t>
            </w:r>
          </w:p>
        </w:tc>
        <w:tc>
          <w:tcPr>
            <w:tcW w:w="1547" w:type="dxa"/>
            <w:vMerge w:val="restart"/>
            <w:tcBorders>
              <w:tl2br w:val="nil"/>
              <w:tr2bl w:val="nil"/>
            </w:tcBorders>
            <w:vAlign w:val="center"/>
          </w:tcPr>
          <w:p w14:paraId="03E65548">
            <w:pPr>
              <w:adjustRightInd w:val="0"/>
              <w:snapToGrid w:val="0"/>
              <w:spacing w:line="240" w:lineRule="auto"/>
              <w:jc w:val="center"/>
              <w:rPr>
                <w:sz w:val="21"/>
                <w:szCs w:val="21"/>
              </w:rPr>
            </w:pPr>
            <w:r>
              <w:rPr>
                <w:sz w:val="21"/>
                <w:szCs w:val="21"/>
              </w:rPr>
              <w:t>运行时段</w:t>
            </w:r>
          </w:p>
        </w:tc>
      </w:tr>
      <w:tr w14:paraId="765F0B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vMerge w:val="continue"/>
            <w:tcBorders>
              <w:tl2br w:val="nil"/>
              <w:tr2bl w:val="nil"/>
            </w:tcBorders>
            <w:vAlign w:val="center"/>
          </w:tcPr>
          <w:p w14:paraId="501C2643">
            <w:pPr>
              <w:adjustRightInd w:val="0"/>
              <w:snapToGrid w:val="0"/>
              <w:spacing w:line="240" w:lineRule="auto"/>
              <w:jc w:val="center"/>
              <w:rPr>
                <w:sz w:val="21"/>
                <w:szCs w:val="21"/>
              </w:rPr>
            </w:pPr>
          </w:p>
        </w:tc>
        <w:tc>
          <w:tcPr>
            <w:tcW w:w="1318" w:type="dxa"/>
            <w:vMerge w:val="continue"/>
            <w:tcBorders>
              <w:tl2br w:val="nil"/>
              <w:tr2bl w:val="nil"/>
            </w:tcBorders>
            <w:vAlign w:val="center"/>
          </w:tcPr>
          <w:p w14:paraId="5F248F7D">
            <w:pPr>
              <w:adjustRightInd w:val="0"/>
              <w:snapToGrid w:val="0"/>
              <w:spacing w:line="240" w:lineRule="auto"/>
              <w:jc w:val="center"/>
              <w:rPr>
                <w:sz w:val="21"/>
                <w:szCs w:val="21"/>
              </w:rPr>
            </w:pPr>
          </w:p>
        </w:tc>
        <w:tc>
          <w:tcPr>
            <w:tcW w:w="719" w:type="dxa"/>
            <w:vMerge w:val="continue"/>
            <w:tcBorders>
              <w:tl2br w:val="nil"/>
              <w:tr2bl w:val="nil"/>
            </w:tcBorders>
            <w:vAlign w:val="center"/>
          </w:tcPr>
          <w:p w14:paraId="4B209D41">
            <w:pPr>
              <w:adjustRightInd w:val="0"/>
              <w:snapToGrid w:val="0"/>
              <w:spacing w:line="240" w:lineRule="auto"/>
              <w:jc w:val="center"/>
              <w:rPr>
                <w:sz w:val="21"/>
                <w:szCs w:val="21"/>
              </w:rPr>
            </w:pPr>
          </w:p>
        </w:tc>
        <w:tc>
          <w:tcPr>
            <w:tcW w:w="1053" w:type="dxa"/>
            <w:vMerge w:val="continue"/>
            <w:tcBorders>
              <w:tl2br w:val="nil"/>
              <w:tr2bl w:val="nil"/>
            </w:tcBorders>
            <w:vAlign w:val="center"/>
          </w:tcPr>
          <w:p w14:paraId="177BE82D">
            <w:pPr>
              <w:adjustRightInd w:val="0"/>
              <w:snapToGrid w:val="0"/>
              <w:spacing w:line="240" w:lineRule="auto"/>
              <w:jc w:val="center"/>
              <w:rPr>
                <w:sz w:val="21"/>
                <w:szCs w:val="21"/>
              </w:rPr>
            </w:pPr>
          </w:p>
        </w:tc>
        <w:tc>
          <w:tcPr>
            <w:tcW w:w="1606" w:type="dxa"/>
            <w:tcBorders>
              <w:tl2br w:val="nil"/>
              <w:tr2bl w:val="nil"/>
            </w:tcBorders>
            <w:vAlign w:val="center"/>
          </w:tcPr>
          <w:p w14:paraId="68A24FB7">
            <w:pPr>
              <w:adjustRightInd w:val="0"/>
              <w:snapToGrid w:val="0"/>
              <w:spacing w:line="240" w:lineRule="auto"/>
              <w:jc w:val="center"/>
              <w:rPr>
                <w:sz w:val="21"/>
                <w:szCs w:val="21"/>
              </w:rPr>
            </w:pPr>
            <w:r>
              <w:rPr>
                <w:sz w:val="21"/>
                <w:szCs w:val="21"/>
              </w:rPr>
              <w:t>X</w:t>
            </w:r>
          </w:p>
        </w:tc>
        <w:tc>
          <w:tcPr>
            <w:tcW w:w="1606" w:type="dxa"/>
            <w:tcBorders>
              <w:tl2br w:val="nil"/>
              <w:tr2bl w:val="nil"/>
            </w:tcBorders>
            <w:vAlign w:val="center"/>
          </w:tcPr>
          <w:p w14:paraId="7932C76B">
            <w:pPr>
              <w:adjustRightInd w:val="0"/>
              <w:snapToGrid w:val="0"/>
              <w:spacing w:line="240" w:lineRule="auto"/>
              <w:jc w:val="center"/>
              <w:rPr>
                <w:sz w:val="21"/>
                <w:szCs w:val="21"/>
              </w:rPr>
            </w:pPr>
            <w:r>
              <w:rPr>
                <w:sz w:val="21"/>
                <w:szCs w:val="21"/>
              </w:rPr>
              <w:t>Y</w:t>
            </w:r>
          </w:p>
        </w:tc>
        <w:tc>
          <w:tcPr>
            <w:tcW w:w="1592" w:type="dxa"/>
            <w:tcBorders>
              <w:tl2br w:val="nil"/>
              <w:tr2bl w:val="nil"/>
            </w:tcBorders>
            <w:vAlign w:val="center"/>
          </w:tcPr>
          <w:p w14:paraId="0E378437">
            <w:pPr>
              <w:adjustRightInd w:val="0"/>
              <w:snapToGrid w:val="0"/>
              <w:spacing w:line="240" w:lineRule="auto"/>
              <w:jc w:val="center"/>
              <w:rPr>
                <w:sz w:val="21"/>
                <w:szCs w:val="21"/>
              </w:rPr>
            </w:pPr>
            <w:r>
              <w:rPr>
                <w:sz w:val="21"/>
                <w:szCs w:val="21"/>
              </w:rPr>
              <w:t>Z</w:t>
            </w:r>
          </w:p>
        </w:tc>
        <w:tc>
          <w:tcPr>
            <w:tcW w:w="1645" w:type="dxa"/>
            <w:tcBorders>
              <w:tl2br w:val="nil"/>
              <w:tr2bl w:val="nil"/>
            </w:tcBorders>
            <w:vAlign w:val="center"/>
          </w:tcPr>
          <w:p w14:paraId="49F02A6C">
            <w:pPr>
              <w:adjustRightInd w:val="0"/>
              <w:snapToGrid w:val="0"/>
              <w:spacing w:line="240" w:lineRule="auto"/>
              <w:jc w:val="center"/>
              <w:rPr>
                <w:sz w:val="21"/>
                <w:szCs w:val="21"/>
              </w:rPr>
            </w:pPr>
            <w:r>
              <w:rPr>
                <w:sz w:val="21"/>
                <w:szCs w:val="21"/>
              </w:rPr>
              <w:t>声功率级/dB(A)</w:t>
            </w:r>
          </w:p>
        </w:tc>
        <w:tc>
          <w:tcPr>
            <w:tcW w:w="1547" w:type="dxa"/>
            <w:vMerge w:val="continue"/>
            <w:tcBorders>
              <w:tl2br w:val="nil"/>
              <w:tr2bl w:val="nil"/>
            </w:tcBorders>
            <w:vAlign w:val="center"/>
          </w:tcPr>
          <w:p w14:paraId="476027FA">
            <w:pPr>
              <w:adjustRightInd w:val="0"/>
              <w:snapToGrid w:val="0"/>
              <w:spacing w:line="240" w:lineRule="auto"/>
              <w:jc w:val="center"/>
              <w:rPr>
                <w:sz w:val="21"/>
                <w:szCs w:val="21"/>
              </w:rPr>
            </w:pPr>
          </w:p>
        </w:tc>
        <w:tc>
          <w:tcPr>
            <w:tcW w:w="1547" w:type="dxa"/>
            <w:vMerge w:val="continue"/>
            <w:tcBorders>
              <w:tl2br w:val="nil"/>
              <w:tr2bl w:val="nil"/>
            </w:tcBorders>
            <w:vAlign w:val="center"/>
          </w:tcPr>
          <w:p w14:paraId="48051B25">
            <w:pPr>
              <w:adjustRightInd w:val="0"/>
              <w:snapToGrid w:val="0"/>
              <w:spacing w:line="240" w:lineRule="auto"/>
              <w:jc w:val="center"/>
              <w:rPr>
                <w:sz w:val="21"/>
                <w:szCs w:val="21"/>
              </w:rPr>
            </w:pPr>
          </w:p>
        </w:tc>
      </w:tr>
      <w:tr w14:paraId="25FDF0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nil"/>
              <w:tr2bl w:val="nil"/>
            </w:tcBorders>
            <w:vAlign w:val="center"/>
          </w:tcPr>
          <w:p w14:paraId="11151AD6">
            <w:pPr>
              <w:adjustRightInd w:val="0"/>
              <w:snapToGrid w:val="0"/>
              <w:spacing w:line="240" w:lineRule="auto"/>
              <w:jc w:val="center"/>
              <w:rPr>
                <w:sz w:val="21"/>
                <w:szCs w:val="21"/>
              </w:rPr>
            </w:pPr>
            <w:r>
              <w:rPr>
                <w:rFonts w:hint="eastAsia"/>
                <w:sz w:val="21"/>
                <w:szCs w:val="21"/>
              </w:rPr>
              <w:t>1</w:t>
            </w:r>
          </w:p>
        </w:tc>
        <w:tc>
          <w:tcPr>
            <w:tcW w:w="1318" w:type="dxa"/>
            <w:tcBorders>
              <w:tl2br w:val="nil"/>
              <w:tr2bl w:val="nil"/>
            </w:tcBorders>
            <w:vAlign w:val="center"/>
          </w:tcPr>
          <w:p w14:paraId="5CCF8C58">
            <w:pPr>
              <w:adjustRightInd w:val="0"/>
              <w:snapToGrid w:val="0"/>
              <w:spacing w:line="240" w:lineRule="auto"/>
              <w:jc w:val="center"/>
              <w:rPr>
                <w:sz w:val="21"/>
                <w:szCs w:val="21"/>
              </w:rPr>
            </w:pPr>
            <w:r>
              <w:rPr>
                <w:rFonts w:hint="eastAsia"/>
                <w:sz w:val="21"/>
                <w:szCs w:val="21"/>
              </w:rPr>
              <w:t>排</w:t>
            </w:r>
            <w:r>
              <w:rPr>
                <w:sz w:val="21"/>
                <w:szCs w:val="21"/>
              </w:rPr>
              <w:t>风机</w:t>
            </w:r>
            <w:r>
              <w:rPr>
                <w:rFonts w:hint="eastAsia"/>
                <w:sz w:val="21"/>
                <w:szCs w:val="21"/>
              </w:rPr>
              <w:t>1</w:t>
            </w:r>
          </w:p>
        </w:tc>
        <w:tc>
          <w:tcPr>
            <w:tcW w:w="719" w:type="dxa"/>
            <w:tcBorders>
              <w:tl2br w:val="nil"/>
              <w:tr2bl w:val="nil"/>
            </w:tcBorders>
            <w:vAlign w:val="center"/>
          </w:tcPr>
          <w:p w14:paraId="1DF3930E">
            <w:pPr>
              <w:adjustRightInd w:val="0"/>
              <w:snapToGrid w:val="0"/>
              <w:spacing w:line="240" w:lineRule="auto"/>
              <w:jc w:val="center"/>
              <w:rPr>
                <w:sz w:val="21"/>
                <w:szCs w:val="21"/>
              </w:rPr>
            </w:pPr>
            <w:r>
              <w:rPr>
                <w:rFonts w:hint="eastAsia"/>
                <w:sz w:val="21"/>
                <w:szCs w:val="21"/>
              </w:rPr>
              <w:t>/</w:t>
            </w:r>
          </w:p>
        </w:tc>
        <w:tc>
          <w:tcPr>
            <w:tcW w:w="1053" w:type="dxa"/>
            <w:tcBorders>
              <w:tl2br w:val="nil"/>
              <w:tr2bl w:val="nil"/>
            </w:tcBorders>
            <w:vAlign w:val="center"/>
          </w:tcPr>
          <w:p w14:paraId="3EC18DEE">
            <w:pPr>
              <w:adjustRightInd w:val="0"/>
              <w:snapToGrid w:val="0"/>
              <w:spacing w:line="240" w:lineRule="auto"/>
              <w:jc w:val="center"/>
              <w:rPr>
                <w:sz w:val="21"/>
                <w:szCs w:val="21"/>
              </w:rPr>
            </w:pPr>
            <w:r>
              <w:rPr>
                <w:rFonts w:hint="eastAsia"/>
                <w:sz w:val="21"/>
                <w:szCs w:val="21"/>
              </w:rPr>
              <w:t>1台</w:t>
            </w:r>
          </w:p>
        </w:tc>
        <w:tc>
          <w:tcPr>
            <w:tcW w:w="1606" w:type="dxa"/>
            <w:tcBorders>
              <w:tl2br w:val="nil"/>
              <w:tr2bl w:val="nil"/>
            </w:tcBorders>
            <w:vAlign w:val="center"/>
          </w:tcPr>
          <w:p w14:paraId="61188D12">
            <w:pPr>
              <w:adjustRightInd w:val="0"/>
              <w:snapToGrid w:val="0"/>
              <w:spacing w:line="240" w:lineRule="auto"/>
              <w:jc w:val="center"/>
              <w:rPr>
                <w:sz w:val="21"/>
                <w:szCs w:val="21"/>
              </w:rPr>
            </w:pPr>
            <w:r>
              <w:rPr>
                <w:rFonts w:hint="eastAsia"/>
                <w:sz w:val="21"/>
                <w:szCs w:val="21"/>
              </w:rPr>
              <w:t>23.8</w:t>
            </w:r>
          </w:p>
        </w:tc>
        <w:tc>
          <w:tcPr>
            <w:tcW w:w="1606" w:type="dxa"/>
            <w:tcBorders>
              <w:tl2br w:val="nil"/>
              <w:tr2bl w:val="nil"/>
            </w:tcBorders>
            <w:vAlign w:val="center"/>
          </w:tcPr>
          <w:p w14:paraId="71F62062">
            <w:pPr>
              <w:adjustRightInd w:val="0"/>
              <w:snapToGrid w:val="0"/>
              <w:spacing w:line="240" w:lineRule="auto"/>
              <w:jc w:val="center"/>
              <w:rPr>
                <w:sz w:val="21"/>
                <w:szCs w:val="21"/>
              </w:rPr>
            </w:pPr>
            <w:r>
              <w:rPr>
                <w:rFonts w:hint="eastAsia"/>
                <w:sz w:val="21"/>
                <w:szCs w:val="21"/>
              </w:rPr>
              <w:t>19</w:t>
            </w:r>
          </w:p>
        </w:tc>
        <w:tc>
          <w:tcPr>
            <w:tcW w:w="1592" w:type="dxa"/>
            <w:tcBorders>
              <w:tl2br w:val="nil"/>
              <w:tr2bl w:val="nil"/>
            </w:tcBorders>
            <w:vAlign w:val="center"/>
          </w:tcPr>
          <w:p w14:paraId="6238A408">
            <w:pPr>
              <w:adjustRightInd w:val="0"/>
              <w:snapToGrid w:val="0"/>
              <w:spacing w:line="240" w:lineRule="auto"/>
              <w:jc w:val="center"/>
              <w:rPr>
                <w:sz w:val="21"/>
                <w:szCs w:val="21"/>
              </w:rPr>
            </w:pPr>
            <w:r>
              <w:rPr>
                <w:rFonts w:hint="eastAsia"/>
                <w:sz w:val="21"/>
                <w:szCs w:val="21"/>
              </w:rPr>
              <w:t>1.2</w:t>
            </w:r>
          </w:p>
        </w:tc>
        <w:tc>
          <w:tcPr>
            <w:tcW w:w="1645" w:type="dxa"/>
            <w:tcBorders>
              <w:tl2br w:val="nil"/>
              <w:tr2bl w:val="nil"/>
            </w:tcBorders>
            <w:vAlign w:val="center"/>
          </w:tcPr>
          <w:p w14:paraId="661E42E8">
            <w:pPr>
              <w:adjustRightInd w:val="0"/>
              <w:snapToGrid w:val="0"/>
              <w:spacing w:line="240" w:lineRule="auto"/>
              <w:jc w:val="center"/>
              <w:rPr>
                <w:sz w:val="21"/>
                <w:szCs w:val="21"/>
              </w:rPr>
            </w:pPr>
            <w:r>
              <w:rPr>
                <w:rFonts w:hint="eastAsia"/>
                <w:sz w:val="21"/>
                <w:szCs w:val="21"/>
              </w:rPr>
              <w:t>85~90</w:t>
            </w:r>
          </w:p>
        </w:tc>
        <w:tc>
          <w:tcPr>
            <w:tcW w:w="1547" w:type="dxa"/>
            <w:tcBorders>
              <w:tl2br w:val="nil"/>
              <w:tr2bl w:val="nil"/>
            </w:tcBorders>
            <w:vAlign w:val="center"/>
          </w:tcPr>
          <w:p w14:paraId="6DD55407">
            <w:pPr>
              <w:adjustRightInd w:val="0"/>
              <w:snapToGrid w:val="0"/>
              <w:spacing w:line="240" w:lineRule="auto"/>
              <w:jc w:val="center"/>
              <w:rPr>
                <w:sz w:val="21"/>
                <w:szCs w:val="21"/>
              </w:rPr>
            </w:pPr>
            <w:r>
              <w:rPr>
                <w:rFonts w:hint="eastAsia"/>
                <w:sz w:val="21"/>
                <w:szCs w:val="21"/>
              </w:rPr>
              <w:t>减震</w:t>
            </w:r>
          </w:p>
        </w:tc>
        <w:tc>
          <w:tcPr>
            <w:tcW w:w="1547" w:type="dxa"/>
            <w:tcBorders>
              <w:tl2br w:val="nil"/>
              <w:tr2bl w:val="nil"/>
            </w:tcBorders>
            <w:vAlign w:val="center"/>
          </w:tcPr>
          <w:p w14:paraId="2C8D0D98">
            <w:pPr>
              <w:adjustRightInd w:val="0"/>
              <w:snapToGrid w:val="0"/>
              <w:spacing w:line="240" w:lineRule="auto"/>
              <w:jc w:val="center"/>
              <w:rPr>
                <w:sz w:val="21"/>
                <w:szCs w:val="21"/>
              </w:rPr>
            </w:pPr>
            <w:r>
              <w:rPr>
                <w:rFonts w:hint="eastAsia"/>
                <w:sz w:val="21"/>
                <w:szCs w:val="21"/>
              </w:rPr>
              <w:t>昼夜间</w:t>
            </w:r>
          </w:p>
        </w:tc>
      </w:tr>
      <w:tr w14:paraId="1272E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1" w:type="dxa"/>
            <w:tcBorders>
              <w:tl2br w:val="nil"/>
              <w:tr2bl w:val="nil"/>
            </w:tcBorders>
            <w:vAlign w:val="center"/>
          </w:tcPr>
          <w:p w14:paraId="333BA191">
            <w:pPr>
              <w:adjustRightInd w:val="0"/>
              <w:snapToGrid w:val="0"/>
              <w:spacing w:line="240" w:lineRule="auto"/>
              <w:jc w:val="center"/>
              <w:rPr>
                <w:sz w:val="21"/>
                <w:szCs w:val="21"/>
              </w:rPr>
            </w:pPr>
            <w:r>
              <w:rPr>
                <w:rFonts w:hint="eastAsia"/>
                <w:sz w:val="21"/>
                <w:szCs w:val="21"/>
              </w:rPr>
              <w:t>2</w:t>
            </w:r>
          </w:p>
        </w:tc>
        <w:tc>
          <w:tcPr>
            <w:tcW w:w="1318" w:type="dxa"/>
            <w:tcBorders>
              <w:tl2br w:val="nil"/>
              <w:tr2bl w:val="nil"/>
            </w:tcBorders>
            <w:vAlign w:val="center"/>
          </w:tcPr>
          <w:p w14:paraId="1355A79B">
            <w:pPr>
              <w:adjustRightInd w:val="0"/>
              <w:snapToGrid w:val="0"/>
              <w:spacing w:line="240" w:lineRule="auto"/>
              <w:jc w:val="center"/>
              <w:rPr>
                <w:sz w:val="21"/>
                <w:szCs w:val="21"/>
              </w:rPr>
            </w:pPr>
            <w:r>
              <w:rPr>
                <w:rFonts w:hint="eastAsia"/>
                <w:sz w:val="21"/>
                <w:szCs w:val="21"/>
              </w:rPr>
              <w:t>排</w:t>
            </w:r>
            <w:r>
              <w:rPr>
                <w:sz w:val="21"/>
                <w:szCs w:val="21"/>
              </w:rPr>
              <w:t>风机</w:t>
            </w:r>
            <w:r>
              <w:rPr>
                <w:rFonts w:hint="eastAsia"/>
                <w:sz w:val="21"/>
                <w:szCs w:val="21"/>
              </w:rPr>
              <w:t>2</w:t>
            </w:r>
          </w:p>
        </w:tc>
        <w:tc>
          <w:tcPr>
            <w:tcW w:w="719" w:type="dxa"/>
            <w:tcBorders>
              <w:tl2br w:val="nil"/>
              <w:tr2bl w:val="nil"/>
            </w:tcBorders>
            <w:vAlign w:val="center"/>
          </w:tcPr>
          <w:p w14:paraId="6B7903E1">
            <w:pPr>
              <w:adjustRightInd w:val="0"/>
              <w:snapToGrid w:val="0"/>
              <w:spacing w:line="240" w:lineRule="auto"/>
              <w:jc w:val="center"/>
              <w:rPr>
                <w:sz w:val="21"/>
                <w:szCs w:val="21"/>
              </w:rPr>
            </w:pPr>
            <w:r>
              <w:rPr>
                <w:rFonts w:hint="eastAsia"/>
                <w:sz w:val="21"/>
                <w:szCs w:val="21"/>
              </w:rPr>
              <w:t>/</w:t>
            </w:r>
          </w:p>
        </w:tc>
        <w:tc>
          <w:tcPr>
            <w:tcW w:w="1053" w:type="dxa"/>
            <w:tcBorders>
              <w:tl2br w:val="nil"/>
              <w:tr2bl w:val="nil"/>
            </w:tcBorders>
            <w:vAlign w:val="center"/>
          </w:tcPr>
          <w:p w14:paraId="47E1C9DE">
            <w:pPr>
              <w:adjustRightInd w:val="0"/>
              <w:snapToGrid w:val="0"/>
              <w:spacing w:line="240" w:lineRule="auto"/>
              <w:jc w:val="center"/>
              <w:rPr>
                <w:sz w:val="21"/>
                <w:szCs w:val="21"/>
              </w:rPr>
            </w:pPr>
            <w:r>
              <w:rPr>
                <w:rFonts w:hint="eastAsia"/>
                <w:sz w:val="21"/>
                <w:szCs w:val="21"/>
              </w:rPr>
              <w:t>1台</w:t>
            </w:r>
          </w:p>
        </w:tc>
        <w:tc>
          <w:tcPr>
            <w:tcW w:w="1606" w:type="dxa"/>
            <w:tcBorders>
              <w:tl2br w:val="nil"/>
              <w:tr2bl w:val="nil"/>
            </w:tcBorders>
            <w:vAlign w:val="center"/>
          </w:tcPr>
          <w:p w14:paraId="65F4714C">
            <w:pPr>
              <w:adjustRightInd w:val="0"/>
              <w:snapToGrid w:val="0"/>
              <w:spacing w:line="240" w:lineRule="auto"/>
              <w:jc w:val="center"/>
              <w:rPr>
                <w:sz w:val="21"/>
                <w:szCs w:val="21"/>
              </w:rPr>
            </w:pPr>
            <w:r>
              <w:rPr>
                <w:rFonts w:hint="eastAsia"/>
                <w:sz w:val="21"/>
                <w:szCs w:val="21"/>
              </w:rPr>
              <w:t>-23</w:t>
            </w:r>
          </w:p>
        </w:tc>
        <w:tc>
          <w:tcPr>
            <w:tcW w:w="1606" w:type="dxa"/>
            <w:tcBorders>
              <w:tl2br w:val="nil"/>
              <w:tr2bl w:val="nil"/>
            </w:tcBorders>
            <w:vAlign w:val="center"/>
          </w:tcPr>
          <w:p w14:paraId="4A995E8F">
            <w:pPr>
              <w:adjustRightInd w:val="0"/>
              <w:snapToGrid w:val="0"/>
              <w:spacing w:line="240" w:lineRule="auto"/>
              <w:jc w:val="center"/>
              <w:rPr>
                <w:sz w:val="21"/>
                <w:szCs w:val="21"/>
              </w:rPr>
            </w:pPr>
            <w:r>
              <w:rPr>
                <w:rFonts w:hint="eastAsia"/>
                <w:sz w:val="21"/>
                <w:szCs w:val="21"/>
              </w:rPr>
              <w:t>46</w:t>
            </w:r>
          </w:p>
        </w:tc>
        <w:tc>
          <w:tcPr>
            <w:tcW w:w="1592" w:type="dxa"/>
            <w:tcBorders>
              <w:tl2br w:val="nil"/>
              <w:tr2bl w:val="nil"/>
            </w:tcBorders>
            <w:vAlign w:val="center"/>
          </w:tcPr>
          <w:p w14:paraId="36ED6F58">
            <w:pPr>
              <w:adjustRightInd w:val="0"/>
              <w:snapToGrid w:val="0"/>
              <w:spacing w:line="240" w:lineRule="auto"/>
              <w:jc w:val="center"/>
              <w:rPr>
                <w:sz w:val="21"/>
                <w:szCs w:val="21"/>
              </w:rPr>
            </w:pPr>
            <w:r>
              <w:rPr>
                <w:rFonts w:hint="eastAsia"/>
                <w:sz w:val="21"/>
                <w:szCs w:val="21"/>
              </w:rPr>
              <w:t>1.2</w:t>
            </w:r>
          </w:p>
        </w:tc>
        <w:tc>
          <w:tcPr>
            <w:tcW w:w="1645" w:type="dxa"/>
            <w:tcBorders>
              <w:tl2br w:val="nil"/>
              <w:tr2bl w:val="nil"/>
            </w:tcBorders>
            <w:vAlign w:val="center"/>
          </w:tcPr>
          <w:p w14:paraId="1EBF7766">
            <w:pPr>
              <w:adjustRightInd w:val="0"/>
              <w:snapToGrid w:val="0"/>
              <w:spacing w:line="240" w:lineRule="auto"/>
              <w:jc w:val="center"/>
              <w:rPr>
                <w:sz w:val="21"/>
                <w:szCs w:val="21"/>
              </w:rPr>
            </w:pPr>
            <w:r>
              <w:rPr>
                <w:rFonts w:hint="eastAsia"/>
                <w:sz w:val="21"/>
                <w:szCs w:val="21"/>
              </w:rPr>
              <w:t>85~90</w:t>
            </w:r>
          </w:p>
        </w:tc>
        <w:tc>
          <w:tcPr>
            <w:tcW w:w="1547" w:type="dxa"/>
            <w:tcBorders>
              <w:tl2br w:val="nil"/>
              <w:tr2bl w:val="nil"/>
            </w:tcBorders>
            <w:vAlign w:val="center"/>
          </w:tcPr>
          <w:p w14:paraId="4FC30B55">
            <w:pPr>
              <w:adjustRightInd w:val="0"/>
              <w:snapToGrid w:val="0"/>
              <w:spacing w:line="240" w:lineRule="auto"/>
              <w:jc w:val="center"/>
              <w:rPr>
                <w:sz w:val="21"/>
                <w:szCs w:val="21"/>
              </w:rPr>
            </w:pPr>
            <w:r>
              <w:rPr>
                <w:rFonts w:hint="eastAsia"/>
                <w:sz w:val="21"/>
                <w:szCs w:val="21"/>
              </w:rPr>
              <w:t>减震</w:t>
            </w:r>
          </w:p>
        </w:tc>
        <w:tc>
          <w:tcPr>
            <w:tcW w:w="1547" w:type="dxa"/>
            <w:tcBorders>
              <w:tl2br w:val="nil"/>
              <w:tr2bl w:val="nil"/>
            </w:tcBorders>
            <w:vAlign w:val="center"/>
          </w:tcPr>
          <w:p w14:paraId="7B801E64">
            <w:pPr>
              <w:adjustRightInd w:val="0"/>
              <w:snapToGrid w:val="0"/>
              <w:spacing w:line="240" w:lineRule="auto"/>
              <w:jc w:val="center"/>
              <w:rPr>
                <w:sz w:val="21"/>
                <w:szCs w:val="21"/>
              </w:rPr>
            </w:pPr>
            <w:r>
              <w:rPr>
                <w:rFonts w:hint="eastAsia"/>
                <w:sz w:val="21"/>
                <w:szCs w:val="21"/>
              </w:rPr>
              <w:t>昼夜间</w:t>
            </w:r>
          </w:p>
        </w:tc>
      </w:tr>
      <w:bookmarkEnd w:id="96"/>
    </w:tbl>
    <w:p w14:paraId="22115AF8">
      <w:pPr>
        <w:pStyle w:val="38"/>
        <w:ind w:firstLine="480"/>
        <w:sectPr>
          <w:pgSz w:w="16838" w:h="11906" w:orient="landscape"/>
          <w:pgMar w:top="1800" w:right="1440" w:bottom="1800" w:left="144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7B29785B">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4.3.2.4</w:t>
      </w:r>
      <w:r>
        <w:rPr>
          <w:rFonts w:hint="eastAsia"/>
        </w:rPr>
        <w:t>固体废弃物污染源强分析</w:t>
      </w:r>
    </w:p>
    <w:p w14:paraId="76963F24">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本项目固体废物主要为员工生活垃圾</w:t>
      </w:r>
      <w:r>
        <w:rPr>
          <w:rFonts w:hint="eastAsia" w:ascii="Times New Roman" w:hAnsi="Times New Roman" w:cs="Times New Roman"/>
          <w:kern w:val="2"/>
          <w:sz w:val="24"/>
        </w:rPr>
        <w:t>；一般固废为：废印刷版、废边角料、废烫金膜、</w:t>
      </w:r>
      <w:r>
        <w:rPr>
          <w:rFonts w:ascii="Times New Roman" w:hAnsi="Times New Roman" w:cs="Times New Roman"/>
          <w:kern w:val="2"/>
          <w:sz w:val="24"/>
        </w:rPr>
        <w:t>不合格产品</w:t>
      </w:r>
      <w:r>
        <w:rPr>
          <w:rFonts w:hint="eastAsia" w:ascii="Times New Roman" w:hAnsi="Times New Roman" w:cs="Times New Roman"/>
          <w:kern w:val="2"/>
          <w:sz w:val="24"/>
        </w:rPr>
        <w:t>、废包装材料；危险废物为：</w:t>
      </w:r>
      <w:r>
        <w:rPr>
          <w:rFonts w:ascii="Times New Roman" w:hAnsi="Times New Roman" w:cs="Times New Roman"/>
          <w:kern w:val="2"/>
          <w:sz w:val="24"/>
        </w:rPr>
        <w:t>废油墨、</w:t>
      </w:r>
      <w:r>
        <w:rPr>
          <w:rFonts w:hint="eastAsia" w:ascii="Times New Roman" w:hAnsi="Times New Roman" w:cs="Times New Roman"/>
          <w:kern w:val="2"/>
          <w:sz w:val="24"/>
        </w:rPr>
        <w:t>废溶剂、</w:t>
      </w:r>
      <w:r>
        <w:rPr>
          <w:rFonts w:ascii="Times New Roman" w:hAnsi="Times New Roman" w:cs="Times New Roman"/>
          <w:kern w:val="2"/>
          <w:sz w:val="24"/>
        </w:rPr>
        <w:t>废胶水</w:t>
      </w:r>
      <w:r>
        <w:rPr>
          <w:rFonts w:hint="eastAsia" w:ascii="Times New Roman" w:hAnsi="Times New Roman" w:cs="Times New Roman"/>
          <w:kern w:val="2"/>
          <w:sz w:val="24"/>
        </w:rPr>
        <w:t>、</w:t>
      </w:r>
      <w:r>
        <w:rPr>
          <w:rFonts w:ascii="Times New Roman" w:hAnsi="Times New Roman" w:cs="Times New Roman"/>
          <w:kern w:val="2"/>
          <w:sz w:val="24"/>
        </w:rPr>
        <w:t>废弃包装桶</w:t>
      </w:r>
      <w:r>
        <w:rPr>
          <w:rFonts w:hint="eastAsia" w:ascii="Times New Roman" w:hAnsi="Times New Roman" w:cs="Times New Roman"/>
          <w:kern w:val="2"/>
          <w:sz w:val="24"/>
        </w:rPr>
        <w:t>、</w:t>
      </w:r>
      <w:r>
        <w:rPr>
          <w:rFonts w:ascii="Times New Roman" w:hAnsi="Times New Roman" w:cs="Times New Roman"/>
          <w:kern w:val="2"/>
          <w:sz w:val="24"/>
        </w:rPr>
        <w:t>废</w:t>
      </w:r>
      <w:r>
        <w:rPr>
          <w:rFonts w:hint="eastAsia" w:ascii="Times New Roman" w:hAnsi="Times New Roman" w:cs="Times New Roman"/>
          <w:kern w:val="2"/>
          <w:sz w:val="24"/>
        </w:rPr>
        <w:t>沾染</w:t>
      </w:r>
      <w:r>
        <w:rPr>
          <w:rFonts w:ascii="Times New Roman" w:hAnsi="Times New Roman" w:cs="Times New Roman"/>
          <w:kern w:val="2"/>
          <w:sz w:val="24"/>
        </w:rPr>
        <w:t>抹布</w:t>
      </w:r>
      <w:r>
        <w:rPr>
          <w:rFonts w:hint="eastAsia" w:ascii="Times New Roman" w:hAnsi="Times New Roman" w:cs="Times New Roman"/>
          <w:kern w:val="2"/>
          <w:sz w:val="24"/>
        </w:rPr>
        <w:t>、手套、废过滤棉、废活性炭、废沸石、精馏残液、废润滑油及其包装桶。</w:t>
      </w:r>
    </w:p>
    <w:p w14:paraId="7E67D125">
      <w:pPr>
        <w:pStyle w:val="41"/>
        <w:spacing w:before="0" w:beforeAutospacing="0" w:after="0" w:afterAutospacing="0"/>
        <w:ind w:firstLine="480"/>
        <w:rPr>
          <w:rFonts w:ascii="Times New Roman" w:hAnsi="Times New Roman" w:cs="Times New Roman"/>
          <w:kern w:val="2"/>
          <w:sz w:val="24"/>
        </w:rPr>
      </w:pPr>
      <w:r>
        <w:rPr>
          <w:rFonts w:hint="eastAsia"/>
          <w:kern w:val="2"/>
          <w:sz w:val="24"/>
        </w:rPr>
        <w:t>1.</w:t>
      </w:r>
      <w:r>
        <w:rPr>
          <w:rFonts w:ascii="Times New Roman" w:hAnsi="Times New Roman" w:cs="Times New Roman"/>
          <w:kern w:val="2"/>
          <w:sz w:val="24"/>
        </w:rPr>
        <w:t>生活垃圾</w:t>
      </w:r>
    </w:p>
    <w:p w14:paraId="3CD5E835">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不本次变更</w:t>
      </w:r>
      <w:r>
        <w:rPr>
          <w:rFonts w:hint="eastAsia" w:ascii="Times New Roman" w:hAnsi="Times New Roman" w:cs="Times New Roman"/>
          <w:kern w:val="2"/>
          <w:sz w:val="24"/>
        </w:rPr>
        <w:t>后</w:t>
      </w:r>
      <w:r>
        <w:rPr>
          <w:rFonts w:ascii="Times New Roman" w:hAnsi="Times New Roman" w:cs="Times New Roman"/>
          <w:kern w:val="2"/>
          <w:sz w:val="24"/>
        </w:rPr>
        <w:t>全厂仍为</w:t>
      </w:r>
      <w:r>
        <w:rPr>
          <w:rFonts w:hint="eastAsia" w:ascii="Times New Roman" w:hAnsi="Times New Roman" w:cs="Times New Roman"/>
          <w:kern w:val="2"/>
          <w:sz w:val="24"/>
        </w:rPr>
        <w:t>341人</w:t>
      </w:r>
      <w:r>
        <w:rPr>
          <w:rFonts w:ascii="Times New Roman" w:hAnsi="Times New Roman" w:cs="Times New Roman"/>
          <w:kern w:val="2"/>
          <w:sz w:val="24"/>
        </w:rPr>
        <w:t>，每人每天产生生活垃圾按0.8kg估算，生活垃圾约</w:t>
      </w:r>
      <w:r>
        <w:rPr>
          <w:rFonts w:hint="eastAsia" w:ascii="Times New Roman" w:hAnsi="Times New Roman" w:cs="Times New Roman"/>
          <w:kern w:val="2"/>
          <w:sz w:val="24"/>
        </w:rPr>
        <w:t>92.8</w:t>
      </w:r>
      <w:r>
        <w:rPr>
          <w:rFonts w:ascii="Times New Roman" w:hAnsi="Times New Roman" w:cs="Times New Roman"/>
          <w:kern w:val="2"/>
          <w:sz w:val="24"/>
        </w:rPr>
        <w:t>t/a，生活区的垃圾经统一收集后由市政环卫部门统一收集，集中处置。</w:t>
      </w:r>
    </w:p>
    <w:p w14:paraId="68BC6247">
      <w:pPr>
        <w:pStyle w:val="41"/>
        <w:spacing w:before="0" w:beforeAutospacing="0" w:after="0" w:afterAutospacing="0"/>
        <w:ind w:firstLine="480"/>
        <w:rPr>
          <w:rFonts w:ascii="Times New Roman" w:hAnsi="Times New Roman" w:cs="Times New Roman"/>
          <w:kern w:val="2"/>
          <w:sz w:val="24"/>
        </w:rPr>
      </w:pPr>
      <w:r>
        <w:rPr>
          <w:rFonts w:hint="eastAsia"/>
          <w:kern w:val="2"/>
          <w:sz w:val="24"/>
        </w:rPr>
        <w:t>2.</w:t>
      </w:r>
      <w:r>
        <w:rPr>
          <w:rFonts w:ascii="Times New Roman" w:hAnsi="Times New Roman" w:cs="Times New Roman"/>
          <w:kern w:val="2"/>
          <w:sz w:val="24"/>
        </w:rPr>
        <w:t>一般固废</w:t>
      </w:r>
    </w:p>
    <w:p w14:paraId="05BC5FE9">
      <w:pPr>
        <w:pStyle w:val="41"/>
        <w:spacing w:before="0" w:beforeAutospacing="0" w:after="0" w:afterAutospacing="0"/>
        <w:ind w:firstLine="480"/>
        <w:rPr>
          <w:kern w:val="2"/>
          <w:sz w:val="24"/>
        </w:rPr>
      </w:pPr>
      <w:r>
        <w:rPr>
          <w:rFonts w:hint="eastAsia"/>
          <w:kern w:val="2"/>
          <w:sz w:val="24"/>
        </w:rPr>
        <w:t>⑴废印刷版</w:t>
      </w:r>
    </w:p>
    <w:p w14:paraId="2B545BBC">
      <w:pPr>
        <w:pStyle w:val="25"/>
        <w:ind w:left="0" w:leftChars="0" w:firstLine="480"/>
      </w:pPr>
      <w:r>
        <w:rPr>
          <w:rFonts w:hint="eastAsia"/>
        </w:rPr>
        <w:t>在生产时，因产品订单不同而需更换不同的凹印版。本次变更属于单一产品增加产量，未改变产品类别，因此，年更换凹印版总量变化不大，预计增加2000块，总产生量达到6677只，换下的废凹印版因其表面含有一定量的油墨，采用废弃布料沾取一定量的清洗剂进行擦洗，擦洗过后的废印刷版属于一般固废，交由原厂商进行回收、再利用。</w:t>
      </w:r>
    </w:p>
    <w:p w14:paraId="50656555">
      <w:pPr>
        <w:pStyle w:val="9"/>
        <w:ind w:firstLine="480"/>
        <w:rPr>
          <w:rFonts w:ascii="宋体" w:hAnsi="宋体" w:cs="宋体"/>
        </w:rPr>
      </w:pPr>
      <w:r>
        <w:rPr>
          <w:rFonts w:hint="eastAsia" w:ascii="宋体" w:hAnsi="宋体" w:cs="宋体"/>
        </w:rPr>
        <w:t>⑵废边角料</w:t>
      </w:r>
    </w:p>
    <w:p w14:paraId="79A0A8BE">
      <w:pPr>
        <w:ind w:firstLine="480"/>
      </w:pPr>
      <w:r>
        <w:rPr>
          <w:rFonts w:hint="eastAsia"/>
        </w:rPr>
        <w:t>项目塑料包装生产过程中，分切及制袋过程中，分切及制袋工序将产生部分塑料边角料，根据建设单位日常生产的统计数据，变更后预计全厂产生的废塑料包装袋量约600t/a，暂存于固废暂存间，定期由塑料收购企业定期回收再利用。</w:t>
      </w:r>
    </w:p>
    <w:p w14:paraId="41E88853">
      <w:pPr>
        <w:pStyle w:val="25"/>
        <w:ind w:left="0" w:leftChars="0" w:firstLine="480"/>
      </w:pPr>
      <w:r>
        <w:t>（</w:t>
      </w:r>
      <w:r>
        <w:rPr>
          <w:rFonts w:hint="eastAsia"/>
        </w:rPr>
        <w:t>3</w:t>
      </w:r>
      <w:r>
        <w:t>）废烫金膜</w:t>
      </w:r>
    </w:p>
    <w:p w14:paraId="4398B528">
      <w:pPr>
        <w:pStyle w:val="38"/>
        <w:ind w:firstLine="480"/>
        <w:rPr>
          <w:rFonts w:ascii="Times New Roman" w:hAnsi="Times New Roman" w:eastAsia="宋体" w:cs="Times New Roman"/>
          <w:color w:val="auto"/>
        </w:rPr>
      </w:pPr>
      <w:r>
        <w:rPr>
          <w:rFonts w:ascii="Times New Roman" w:hAnsi="Times New Roman" w:eastAsia="宋体" w:cs="Times New Roman"/>
          <w:color w:val="auto"/>
        </w:rPr>
        <w:t>烫金膜是一种在薄膜片基上经涂料和真空蒸镀复加一层金属箔而制成的烫印材料。在烫金过程中会产生一定量的废烫金膜，类比相关项目，废烫金膜产生量约为原料的</w:t>
      </w:r>
      <w:r>
        <w:rPr>
          <w:rFonts w:hint="eastAsia" w:ascii="Times New Roman" w:hAnsi="Times New Roman" w:eastAsia="宋体" w:cs="Times New Roman"/>
          <w:color w:val="auto"/>
        </w:rPr>
        <w:t>1.2%，变更后产生量</w:t>
      </w:r>
      <w:r>
        <w:rPr>
          <w:rFonts w:ascii="Times New Roman" w:hAnsi="Times New Roman" w:eastAsia="宋体" w:cs="Times New Roman"/>
          <w:color w:val="auto"/>
        </w:rPr>
        <w:t>约</w:t>
      </w:r>
      <w:r>
        <w:rPr>
          <w:rFonts w:hint="eastAsia" w:ascii="Times New Roman" w:hAnsi="Times New Roman" w:eastAsia="宋体" w:cs="Times New Roman"/>
          <w:color w:val="auto"/>
        </w:rPr>
        <w:t>0.96</w:t>
      </w:r>
      <w:r>
        <w:rPr>
          <w:rFonts w:ascii="Times New Roman" w:hAnsi="Times New Roman" w:eastAsia="宋体" w:cs="Times New Roman"/>
          <w:color w:val="auto"/>
        </w:rPr>
        <w:t>t/a。经收集打捆后由废塑料收购企业定期回收再利用。</w:t>
      </w:r>
    </w:p>
    <w:p w14:paraId="0B170657">
      <w:pPr>
        <w:pStyle w:val="41"/>
        <w:spacing w:before="0" w:beforeAutospacing="0" w:after="0" w:afterAutospacing="0"/>
        <w:ind w:firstLine="480"/>
        <w:rPr>
          <w:kern w:val="2"/>
          <w:sz w:val="24"/>
        </w:rPr>
      </w:pPr>
      <w:r>
        <w:rPr>
          <w:rFonts w:hint="eastAsia"/>
          <w:kern w:val="2"/>
          <w:sz w:val="24"/>
        </w:rPr>
        <w:t>⑷不合格品</w:t>
      </w:r>
    </w:p>
    <w:p w14:paraId="269D11EF">
      <w:pPr>
        <w:pStyle w:val="41"/>
        <w:spacing w:before="0" w:beforeAutospacing="0" w:after="0" w:afterAutospacing="0"/>
        <w:ind w:firstLine="480"/>
        <w:jc w:val="both"/>
        <w:rPr>
          <w:rFonts w:ascii="Times New Roman" w:hAnsi="Times New Roman" w:cs="Times New Roman"/>
          <w:kern w:val="2"/>
          <w:sz w:val="24"/>
        </w:rPr>
      </w:pPr>
      <w:r>
        <w:rPr>
          <w:rFonts w:hint="eastAsia" w:ascii="Times New Roman" w:hAnsi="Times New Roman" w:cs="Times New Roman"/>
          <w:kern w:val="2"/>
          <w:sz w:val="24"/>
        </w:rPr>
        <w:t>塑料包装袋在生产过程中，因设备运转异常或人为操作失误时，制袋等工序将产生部分不合格包装袋，根据建设单位统计数据，废品率约5%，本次变更后，不合格品产生量预计为1500t/a，处理方式为全部收集、打捆后外卖由废塑料收购企业定期回收再利用。</w:t>
      </w:r>
    </w:p>
    <w:p w14:paraId="7C282AC2">
      <w:pPr>
        <w:pStyle w:val="25"/>
        <w:ind w:left="0" w:leftChars="0" w:firstLine="480"/>
      </w:pPr>
      <w:r>
        <w:rPr>
          <w:rFonts w:hint="eastAsia" w:ascii="宋体" w:hAnsi="宋体" w:cs="宋体"/>
        </w:rPr>
        <w:t>⑸</w:t>
      </w:r>
      <w:r>
        <w:rPr>
          <w:rFonts w:hint="eastAsia"/>
        </w:rPr>
        <w:t>废包装材料</w:t>
      </w:r>
    </w:p>
    <w:p w14:paraId="07073926">
      <w:pPr>
        <w:pStyle w:val="25"/>
        <w:ind w:left="0" w:leftChars="0" w:firstLine="480"/>
      </w:pPr>
      <w:r>
        <w:rPr>
          <w:rFonts w:hint="eastAsia"/>
        </w:rPr>
        <w:t>项目日常生产，原料使用过程中将产生废包装材料，编织袋、纸箱等，经估算，变更后年产生量约为4t/a，收集后外售处置。</w:t>
      </w:r>
    </w:p>
    <w:p w14:paraId="04F52E49">
      <w:pPr>
        <w:pStyle w:val="9"/>
        <w:ind w:firstLine="480"/>
      </w:pPr>
      <w:r>
        <w:rPr>
          <w:rFonts w:hint="eastAsia" w:ascii="宋体" w:hAnsi="宋体" w:cs="宋体"/>
        </w:rPr>
        <w:t>⑹</w:t>
      </w:r>
      <w:r>
        <w:rPr>
          <w:rFonts w:hint="eastAsia"/>
        </w:rPr>
        <w:t>废溶剂包装桶</w:t>
      </w:r>
    </w:p>
    <w:p w14:paraId="7627B030">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溶剂包装桶</w:t>
      </w:r>
      <w:r>
        <w:rPr>
          <w:rFonts w:ascii="Times New Roman" w:hAnsi="Times New Roman" w:cs="Times New Roman"/>
          <w:kern w:val="2"/>
          <w:sz w:val="24"/>
        </w:rPr>
        <w:t>内</w:t>
      </w:r>
      <w:r>
        <w:rPr>
          <w:rFonts w:hint="eastAsia" w:ascii="Times New Roman" w:hAnsi="Times New Roman" w:cs="Times New Roman"/>
          <w:kern w:val="2"/>
          <w:sz w:val="24"/>
        </w:rPr>
        <w:t>有</w:t>
      </w:r>
      <w:r>
        <w:rPr>
          <w:rFonts w:ascii="Times New Roman" w:hAnsi="Times New Roman" w:cs="Times New Roman"/>
          <w:kern w:val="2"/>
          <w:sz w:val="24"/>
        </w:rPr>
        <w:t>一层高强度内衬袋。</w:t>
      </w:r>
      <w:r>
        <w:rPr>
          <w:rFonts w:hint="eastAsia" w:ascii="Times New Roman" w:hAnsi="Times New Roman" w:cs="Times New Roman"/>
          <w:kern w:val="2"/>
          <w:sz w:val="24"/>
        </w:rPr>
        <w:t>溶剂</w:t>
      </w:r>
      <w:r>
        <w:rPr>
          <w:rFonts w:ascii="Times New Roman" w:hAnsi="Times New Roman" w:cs="Times New Roman"/>
          <w:kern w:val="2"/>
          <w:sz w:val="24"/>
        </w:rPr>
        <w:t>使用完后，将沾染</w:t>
      </w:r>
      <w:r>
        <w:rPr>
          <w:rFonts w:hint="eastAsia" w:ascii="Times New Roman" w:hAnsi="Times New Roman" w:cs="Times New Roman"/>
          <w:kern w:val="2"/>
          <w:sz w:val="24"/>
        </w:rPr>
        <w:t>溶剂</w:t>
      </w:r>
      <w:r>
        <w:rPr>
          <w:rFonts w:ascii="Times New Roman" w:hAnsi="Times New Roman" w:cs="Times New Roman"/>
          <w:kern w:val="2"/>
          <w:sz w:val="24"/>
        </w:rPr>
        <w:t>的内衬袋按危险废物处置。工艺操作过程中内衬袋如有破损，内衬袋及包装桶均按危险废物处置；但针对内衬袋完好，不沾染</w:t>
      </w:r>
      <w:r>
        <w:rPr>
          <w:rFonts w:hint="eastAsia" w:ascii="Times New Roman" w:hAnsi="Times New Roman" w:cs="Times New Roman"/>
          <w:kern w:val="2"/>
          <w:sz w:val="24"/>
        </w:rPr>
        <w:t>溶剂</w:t>
      </w:r>
      <w:r>
        <w:rPr>
          <w:rFonts w:ascii="Times New Roman" w:hAnsi="Times New Roman" w:cs="Times New Roman"/>
          <w:kern w:val="2"/>
          <w:sz w:val="24"/>
        </w:rPr>
        <w:t>的包装桶按一般固废处置。则沾染</w:t>
      </w:r>
      <w:r>
        <w:rPr>
          <w:rFonts w:hint="eastAsia" w:ascii="Times New Roman" w:hAnsi="Times New Roman" w:cs="Times New Roman"/>
          <w:kern w:val="2"/>
          <w:sz w:val="24"/>
        </w:rPr>
        <w:t>溶剂</w:t>
      </w:r>
      <w:r>
        <w:rPr>
          <w:rFonts w:ascii="Times New Roman" w:hAnsi="Times New Roman" w:cs="Times New Roman"/>
          <w:kern w:val="2"/>
          <w:sz w:val="24"/>
        </w:rPr>
        <w:t>的内衬袋及包装桶统一收集，暂存危废暂存间，委托相应资质的危废处置单位处置；本次变更后，增加了溶剂等原辅材料的采购量，不沾染</w:t>
      </w:r>
      <w:r>
        <w:rPr>
          <w:rFonts w:hint="eastAsia" w:ascii="Times New Roman" w:hAnsi="Times New Roman" w:cs="Times New Roman"/>
          <w:kern w:val="2"/>
          <w:sz w:val="24"/>
        </w:rPr>
        <w:t>溶剂</w:t>
      </w:r>
      <w:r>
        <w:rPr>
          <w:rFonts w:ascii="Times New Roman" w:hAnsi="Times New Roman" w:cs="Times New Roman"/>
          <w:kern w:val="2"/>
          <w:sz w:val="24"/>
        </w:rPr>
        <w:t>的包装桶产生量</w:t>
      </w:r>
      <w:r>
        <w:rPr>
          <w:rFonts w:hint="eastAsia" w:ascii="Times New Roman" w:hAnsi="Times New Roman" w:cs="Times New Roman"/>
          <w:kern w:val="2"/>
          <w:sz w:val="24"/>
        </w:rPr>
        <w:t>增加</w:t>
      </w:r>
      <w:r>
        <w:rPr>
          <w:rFonts w:ascii="Times New Roman" w:hAnsi="Times New Roman" w:cs="Times New Roman"/>
          <w:kern w:val="2"/>
          <w:sz w:val="24"/>
        </w:rPr>
        <w:t>至</w:t>
      </w:r>
      <w:r>
        <w:rPr>
          <w:rFonts w:hint="eastAsia" w:ascii="Times New Roman" w:hAnsi="Times New Roman" w:cs="Times New Roman"/>
          <w:kern w:val="2"/>
          <w:sz w:val="24"/>
        </w:rPr>
        <w:t>10</w:t>
      </w:r>
      <w:r>
        <w:rPr>
          <w:rFonts w:ascii="Times New Roman" w:hAnsi="Times New Roman" w:cs="Times New Roman"/>
          <w:kern w:val="2"/>
          <w:sz w:val="24"/>
        </w:rPr>
        <w:t>t/a，属于一般固体废物，经统一收集后交由供应厂家回收利用。</w:t>
      </w:r>
    </w:p>
    <w:p w14:paraId="228F5231">
      <w:pPr>
        <w:pStyle w:val="41"/>
        <w:spacing w:before="0" w:beforeAutospacing="0" w:after="0" w:afterAutospacing="0"/>
        <w:ind w:firstLine="480"/>
        <w:rPr>
          <w:rFonts w:ascii="Times New Roman" w:hAnsi="Times New Roman" w:cs="Times New Roman"/>
          <w:kern w:val="2"/>
          <w:sz w:val="24"/>
        </w:rPr>
      </w:pPr>
      <w:r>
        <w:rPr>
          <w:rFonts w:hint="eastAsia"/>
          <w:kern w:val="2"/>
          <w:sz w:val="24"/>
        </w:rPr>
        <w:t>3.</w:t>
      </w:r>
      <w:r>
        <w:rPr>
          <w:rFonts w:ascii="Times New Roman" w:hAnsi="Times New Roman" w:cs="Times New Roman"/>
          <w:kern w:val="2"/>
          <w:sz w:val="24"/>
        </w:rPr>
        <w:t>危险固废</w:t>
      </w:r>
    </w:p>
    <w:p w14:paraId="56EEAFCB">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①废油墨、</w:t>
      </w:r>
      <w:r>
        <w:rPr>
          <w:rFonts w:hint="eastAsia" w:ascii="Times New Roman" w:hAnsi="Times New Roman" w:cs="Times New Roman"/>
          <w:kern w:val="2"/>
          <w:sz w:val="24"/>
        </w:rPr>
        <w:t>废溶剂、</w:t>
      </w:r>
      <w:r>
        <w:rPr>
          <w:rFonts w:ascii="Times New Roman" w:hAnsi="Times New Roman" w:cs="Times New Roman"/>
          <w:kern w:val="2"/>
          <w:sz w:val="24"/>
        </w:rPr>
        <w:t>废胶水</w:t>
      </w:r>
    </w:p>
    <w:p w14:paraId="34E3BDB7">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A.废油墨：</w:t>
      </w:r>
      <w:r>
        <w:rPr>
          <w:rFonts w:ascii="Times New Roman" w:hAnsi="Times New Roman" w:cs="Times New Roman"/>
          <w:kern w:val="2"/>
          <w:sz w:val="24"/>
        </w:rPr>
        <w:t>本项目印刷工艺油墨使用过程中开盖后没及时用完会产生固化，固化的油墨失效，废油墨产生量</w:t>
      </w:r>
      <w:r>
        <w:rPr>
          <w:rFonts w:hint="eastAsia" w:ascii="Times New Roman" w:hAnsi="Times New Roman" w:cs="Times New Roman"/>
          <w:kern w:val="2"/>
          <w:sz w:val="24"/>
        </w:rPr>
        <w:t>由5.6</w:t>
      </w:r>
      <w:r>
        <w:rPr>
          <w:rFonts w:ascii="Times New Roman" w:hAnsi="Times New Roman" w:cs="Times New Roman"/>
          <w:kern w:val="2"/>
          <w:sz w:val="24"/>
        </w:rPr>
        <w:t>t/a增加至</w:t>
      </w:r>
      <w:r>
        <w:rPr>
          <w:rFonts w:hint="eastAsia" w:ascii="Times New Roman" w:hAnsi="Times New Roman" w:cs="Times New Roman"/>
          <w:kern w:val="2"/>
          <w:sz w:val="24"/>
        </w:rPr>
        <w:t>16.4t/a</w:t>
      </w:r>
      <w:r>
        <w:rPr>
          <w:rFonts w:ascii="Times New Roman" w:hAnsi="Times New Roman" w:cs="Times New Roman"/>
          <w:kern w:val="2"/>
          <w:sz w:val="24"/>
        </w:rPr>
        <w:t>，根据《国家危险废物名录》（2021年版）可知，废油墨属于危险废物，其编号为HW12（染料、涂料废物），代码为900-299-12（生产、销售和使用过程中产生的失效、变质、不合格、淘汰、伪劣的油墨、染料、颜料、油漆（不包括水性漆））。收集于危废暂存间由有资质的单位进行处置。</w:t>
      </w:r>
    </w:p>
    <w:p w14:paraId="1E6A827C">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B.废溶剂：开桶后有未用完溶剂，过期后报废</w:t>
      </w:r>
      <w:r>
        <w:rPr>
          <w:rFonts w:ascii="Times New Roman" w:hAnsi="Times New Roman" w:cs="Times New Roman"/>
          <w:kern w:val="2"/>
          <w:sz w:val="24"/>
        </w:rPr>
        <w:t>，变更后增加了</w:t>
      </w:r>
      <w:r>
        <w:rPr>
          <w:rFonts w:hint="eastAsia" w:ascii="Times New Roman" w:hAnsi="Times New Roman" w:cs="Times New Roman"/>
          <w:kern w:val="2"/>
          <w:sz w:val="24"/>
        </w:rPr>
        <w:t>使用量，</w:t>
      </w:r>
      <w:r>
        <w:rPr>
          <w:rFonts w:ascii="Times New Roman" w:hAnsi="Times New Roman" w:cs="Times New Roman"/>
          <w:kern w:val="2"/>
          <w:sz w:val="24"/>
        </w:rPr>
        <w:t>废溶剂产生量</w:t>
      </w:r>
      <w:r>
        <w:rPr>
          <w:rFonts w:hint="eastAsia" w:ascii="Times New Roman" w:hAnsi="Times New Roman" w:cs="Times New Roman"/>
          <w:kern w:val="2"/>
          <w:sz w:val="24"/>
        </w:rPr>
        <w:t>由8</w:t>
      </w:r>
      <w:r>
        <w:rPr>
          <w:rFonts w:ascii="Times New Roman" w:hAnsi="Times New Roman" w:cs="Times New Roman"/>
          <w:kern w:val="2"/>
          <w:sz w:val="24"/>
        </w:rPr>
        <w:t>t/a增加至</w:t>
      </w:r>
      <w:r>
        <w:rPr>
          <w:rFonts w:hint="eastAsia" w:ascii="Times New Roman" w:hAnsi="Times New Roman" w:cs="Times New Roman"/>
          <w:kern w:val="2"/>
          <w:sz w:val="24"/>
        </w:rPr>
        <w:t>14t/a</w:t>
      </w:r>
      <w:r>
        <w:rPr>
          <w:rFonts w:ascii="Times New Roman" w:hAnsi="Times New Roman" w:cs="Times New Roman"/>
          <w:kern w:val="2"/>
          <w:sz w:val="24"/>
        </w:rPr>
        <w:t>，根据《国家危险废物名录》（2021年版）可知，废溶剂属于危险废物，其编号为HW06（废有机溶剂与含有机溶剂废物），代码为900-402-06（工业生产中作为清洗剂、萃取剂、溶剂或反应介质使用后废弃的有机溶剂）。收集于危废暂存间由有资质的单位进行处置。</w:t>
      </w:r>
    </w:p>
    <w:p w14:paraId="6FE97CC0">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C.废胶水：</w:t>
      </w:r>
      <w:r>
        <w:rPr>
          <w:rFonts w:ascii="Times New Roman" w:hAnsi="Times New Roman" w:cs="Times New Roman"/>
          <w:kern w:val="2"/>
          <w:sz w:val="24"/>
        </w:rPr>
        <w:t>本项目原材料使用过程中，会产生少量的废胶水，增加使用量后，废胶水的产生量增加至</w:t>
      </w:r>
      <w:r>
        <w:rPr>
          <w:rFonts w:hint="eastAsia" w:ascii="Times New Roman" w:hAnsi="Times New Roman" w:cs="Times New Roman"/>
          <w:kern w:val="2"/>
          <w:sz w:val="24"/>
        </w:rPr>
        <w:t>16</w:t>
      </w:r>
      <w:r>
        <w:rPr>
          <w:rFonts w:ascii="Times New Roman" w:hAnsi="Times New Roman" w:cs="Times New Roman"/>
          <w:kern w:val="2"/>
          <w:sz w:val="24"/>
        </w:rPr>
        <w:t>t/a，根据《国家危险废物名录》（2021年版）可知，废胶水属于危险废物，其编号为HW13（有机树脂类废物），代码为900-014-13（废弃的黏合剂和密封剂）。收集于危废暂存间，由有资质的单位进行处置。</w:t>
      </w:r>
    </w:p>
    <w:p w14:paraId="6DB066AF">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②废弃包装桶</w:t>
      </w:r>
      <w:r>
        <w:rPr>
          <w:rFonts w:hint="eastAsia" w:ascii="Times New Roman" w:hAnsi="Times New Roman" w:cs="Times New Roman"/>
          <w:kern w:val="2"/>
          <w:sz w:val="24"/>
        </w:rPr>
        <w:t>及内衬</w:t>
      </w:r>
    </w:p>
    <w:p w14:paraId="27BBA8F8">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废弃包装桶包括含油墨包装桶、胶水包装桶，溶剂包装桶</w:t>
      </w:r>
      <w:r>
        <w:rPr>
          <w:rFonts w:hint="eastAsia" w:ascii="Times New Roman" w:hAnsi="Times New Roman" w:cs="Times New Roman"/>
          <w:kern w:val="2"/>
          <w:sz w:val="24"/>
        </w:rPr>
        <w:t>及内衬</w:t>
      </w:r>
      <w:r>
        <w:rPr>
          <w:rFonts w:ascii="Times New Roman" w:hAnsi="Times New Roman" w:cs="Times New Roman"/>
          <w:kern w:val="2"/>
          <w:sz w:val="24"/>
        </w:rPr>
        <w:t>，废弃包装桶，根据建设单位提供资料，本次变更后废弃包装桶及内衬增加至</w:t>
      </w:r>
      <w:r>
        <w:rPr>
          <w:rFonts w:hint="eastAsia" w:ascii="Times New Roman" w:hAnsi="Times New Roman" w:cs="Times New Roman"/>
          <w:kern w:val="2"/>
          <w:sz w:val="24"/>
        </w:rPr>
        <w:t>82</w:t>
      </w:r>
      <w:r>
        <w:rPr>
          <w:rFonts w:ascii="Times New Roman" w:hAnsi="Times New Roman" w:cs="Times New Roman"/>
          <w:kern w:val="2"/>
          <w:sz w:val="24"/>
        </w:rPr>
        <w:t>t/a，属于危险废物，根据《国家危险废物名录》（2</w:t>
      </w:r>
      <w:r>
        <w:rPr>
          <w:rFonts w:hint="eastAsia" w:ascii="Times New Roman" w:hAnsi="Times New Roman" w:cs="Times New Roman"/>
          <w:kern w:val="2"/>
          <w:sz w:val="24"/>
        </w:rPr>
        <w:t>025</w:t>
      </w:r>
      <w:r>
        <w:rPr>
          <w:rFonts w:ascii="Times New Roman" w:hAnsi="Times New Roman" w:cs="Times New Roman"/>
          <w:kern w:val="2"/>
          <w:sz w:val="24"/>
        </w:rPr>
        <w:t>年版）可知废弃包装桶属于HW49其他废物900-041-49含有或沾染毒性、感染性危险废物的废弃包装物、容器、过滤吸附介质。收集于危废暂存间内，由有资质的单位进行处置。</w:t>
      </w:r>
    </w:p>
    <w:p w14:paraId="2BC20FE7">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③废</w:t>
      </w:r>
      <w:r>
        <w:rPr>
          <w:rFonts w:hint="eastAsia" w:ascii="Times New Roman" w:hAnsi="Times New Roman" w:cs="Times New Roman"/>
          <w:kern w:val="2"/>
          <w:sz w:val="24"/>
        </w:rPr>
        <w:t>沾染</w:t>
      </w:r>
      <w:r>
        <w:rPr>
          <w:rFonts w:ascii="Times New Roman" w:hAnsi="Times New Roman" w:cs="Times New Roman"/>
          <w:kern w:val="2"/>
          <w:sz w:val="24"/>
        </w:rPr>
        <w:t>抹布</w:t>
      </w:r>
      <w:r>
        <w:rPr>
          <w:rFonts w:hint="eastAsia" w:ascii="Times New Roman" w:hAnsi="Times New Roman" w:cs="Times New Roman"/>
          <w:kern w:val="2"/>
          <w:sz w:val="24"/>
        </w:rPr>
        <w:t>、手套</w:t>
      </w:r>
    </w:p>
    <w:p w14:paraId="5EA3A8A1">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本项目</w:t>
      </w:r>
      <w:r>
        <w:rPr>
          <w:rFonts w:hint="eastAsia" w:ascii="Times New Roman" w:hAnsi="Times New Roman" w:cs="Times New Roman"/>
          <w:kern w:val="2"/>
          <w:sz w:val="24"/>
        </w:rPr>
        <w:t>工人将戴手套使用抹布擦拭或者维修设备，</w:t>
      </w:r>
      <w:r>
        <w:rPr>
          <w:rFonts w:ascii="Times New Roman" w:hAnsi="Times New Roman" w:cs="Times New Roman"/>
          <w:kern w:val="2"/>
          <w:sz w:val="24"/>
        </w:rPr>
        <w:t>废抹布中沾有</w:t>
      </w:r>
      <w:r>
        <w:rPr>
          <w:rFonts w:hint="eastAsia" w:ascii="Times New Roman" w:hAnsi="Times New Roman" w:cs="Times New Roman"/>
          <w:kern w:val="2"/>
          <w:sz w:val="24"/>
        </w:rPr>
        <w:t>润滑油、</w:t>
      </w:r>
      <w:r>
        <w:rPr>
          <w:rFonts w:ascii="Times New Roman" w:hAnsi="Times New Roman" w:cs="Times New Roman"/>
          <w:kern w:val="2"/>
          <w:sz w:val="24"/>
        </w:rPr>
        <w:t>胶水、油墨、稀释剂等，产生量约由变更前的</w:t>
      </w:r>
      <w:r>
        <w:rPr>
          <w:rFonts w:hint="eastAsia" w:ascii="Times New Roman" w:hAnsi="Times New Roman" w:cs="Times New Roman"/>
          <w:kern w:val="2"/>
          <w:sz w:val="24"/>
        </w:rPr>
        <w:t>3.5</w:t>
      </w:r>
      <w:r>
        <w:rPr>
          <w:rFonts w:ascii="Times New Roman" w:hAnsi="Times New Roman" w:cs="Times New Roman"/>
          <w:kern w:val="2"/>
          <w:sz w:val="24"/>
        </w:rPr>
        <w:t>t/a增加至</w:t>
      </w:r>
      <w:r>
        <w:rPr>
          <w:rFonts w:hint="eastAsia" w:ascii="Times New Roman" w:hAnsi="Times New Roman" w:cs="Times New Roman"/>
          <w:kern w:val="2"/>
          <w:sz w:val="24"/>
        </w:rPr>
        <w:t>6.5t/a</w:t>
      </w:r>
      <w:r>
        <w:rPr>
          <w:rFonts w:ascii="Times New Roman" w:hAnsi="Times New Roman" w:cs="Times New Roman"/>
          <w:kern w:val="2"/>
          <w:sz w:val="24"/>
        </w:rPr>
        <w:t>。根据《国家危险废物名录》（2021年版）可知废弃包装桶属于HW49其他废物900-041-49含有或沾染毒性、感染性危险废物的废弃包装物、容器、过滤吸附介质。收集于危废暂存间，之后由有资质的单位进行处理。</w:t>
      </w:r>
    </w:p>
    <w:p w14:paraId="6E3EA05C">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④废过滤棉</w:t>
      </w:r>
    </w:p>
    <w:p w14:paraId="6BBEF32A">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项目废气处理部分含过滤棉，总装填量约为0.015t，本次变更后，处理负荷增加，更换频率由原30工作日提高到20工作日更换一次，则产生量由0.18t/a增加至0.26t/a，危废代码参照《国家危险废物名录》（</w:t>
      </w:r>
      <w:r>
        <w:rPr>
          <w:rFonts w:ascii="Times New Roman" w:hAnsi="Times New Roman" w:cs="Times New Roman"/>
          <w:kern w:val="2"/>
          <w:sz w:val="24"/>
        </w:rPr>
        <w:t>2021</w:t>
      </w:r>
      <w:r>
        <w:rPr>
          <w:rFonts w:hint="eastAsia" w:ascii="Times New Roman" w:hAnsi="Times New Roman" w:cs="Times New Roman"/>
          <w:kern w:val="2"/>
          <w:sz w:val="24"/>
        </w:rPr>
        <w:t>年版）中的</w:t>
      </w:r>
      <w:r>
        <w:rPr>
          <w:rFonts w:ascii="Times New Roman" w:hAnsi="Times New Roman" w:cs="Times New Roman"/>
          <w:kern w:val="2"/>
          <w:sz w:val="24"/>
        </w:rPr>
        <w:t>HW49其他废物900-041-49含有或沾染毒性、感染性危险废物的废弃包装物、容器、过滤吸附介质</w:t>
      </w:r>
      <w:r>
        <w:rPr>
          <w:rFonts w:hint="eastAsia" w:ascii="Times New Roman" w:hAnsi="Times New Roman" w:cs="Times New Roman"/>
          <w:kern w:val="2"/>
          <w:sz w:val="24"/>
        </w:rPr>
        <w:t>。</w:t>
      </w:r>
    </w:p>
    <w:p w14:paraId="765B3FE7">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⑤</w:t>
      </w:r>
      <w:r>
        <w:rPr>
          <w:rFonts w:hint="eastAsia" w:ascii="Times New Roman" w:hAnsi="Times New Roman" w:cs="Times New Roman"/>
          <w:kern w:val="2"/>
          <w:sz w:val="24"/>
        </w:rPr>
        <w:t>废吸附剂（活性炭、废沸石）</w:t>
      </w:r>
    </w:p>
    <w:p w14:paraId="392416B0">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A.</w:t>
      </w:r>
      <w:r>
        <w:rPr>
          <w:rFonts w:ascii="Times New Roman" w:hAnsi="Times New Roman" w:cs="Times New Roman"/>
          <w:kern w:val="2"/>
          <w:sz w:val="24"/>
        </w:rPr>
        <w:t>废活性炭</w:t>
      </w:r>
    </w:p>
    <w:p w14:paraId="4E8BAFDC">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前端</w:t>
      </w:r>
      <w:r>
        <w:rPr>
          <w:rFonts w:ascii="Times New Roman" w:hAnsi="Times New Roman" w:cs="Times New Roman"/>
          <w:kern w:val="2"/>
          <w:sz w:val="24"/>
        </w:rPr>
        <w:t>浓缩吸附</w:t>
      </w:r>
      <w:r>
        <w:rPr>
          <w:rFonts w:hint="eastAsia" w:ascii="Times New Roman" w:hAnsi="Times New Roman" w:cs="Times New Roman"/>
          <w:kern w:val="2"/>
          <w:sz w:val="24"/>
        </w:rPr>
        <w:t>设置7个活性炭吸附箱，</w:t>
      </w:r>
      <w:r>
        <w:rPr>
          <w:rFonts w:ascii="Times New Roman" w:hAnsi="Times New Roman" w:cs="Times New Roman"/>
          <w:kern w:val="2"/>
          <w:sz w:val="24"/>
        </w:rPr>
        <w:t>每个活性炭箱体填充量为</w:t>
      </w:r>
      <w:r>
        <w:rPr>
          <w:rFonts w:hint="eastAsia" w:ascii="Times New Roman" w:hAnsi="Times New Roman" w:cs="Times New Roman"/>
          <w:kern w:val="2"/>
          <w:sz w:val="24"/>
        </w:rPr>
        <w:t>10t</w:t>
      </w:r>
      <w:r>
        <w:rPr>
          <w:rFonts w:ascii="Times New Roman" w:hAnsi="Times New Roman" w:cs="Times New Roman"/>
          <w:kern w:val="2"/>
          <w:sz w:val="24"/>
        </w:rPr>
        <w:t>，</w:t>
      </w:r>
      <w:r>
        <w:rPr>
          <w:rFonts w:hint="eastAsia" w:ascii="Times New Roman" w:hAnsi="Times New Roman" w:cs="Times New Roman"/>
          <w:kern w:val="2"/>
          <w:sz w:val="24"/>
        </w:rPr>
        <w:t>则活性炭一次填充量为70t</w:t>
      </w:r>
      <w:r>
        <w:rPr>
          <w:rFonts w:ascii="Times New Roman" w:hAnsi="Times New Roman" w:cs="Times New Roman"/>
          <w:kern w:val="2"/>
          <w:sz w:val="24"/>
        </w:rPr>
        <w:t>，</w:t>
      </w:r>
      <w:r>
        <w:rPr>
          <w:rFonts w:hint="eastAsia" w:ascii="Times New Roman" w:hAnsi="Times New Roman" w:cs="Times New Roman"/>
          <w:kern w:val="2"/>
          <w:sz w:val="24"/>
        </w:rPr>
        <w:t>10年更换一次，本次变更不改变设计使用寿命，</w:t>
      </w:r>
      <w:r>
        <w:rPr>
          <w:rFonts w:ascii="Times New Roman" w:hAnsi="Times New Roman" w:cs="Times New Roman"/>
          <w:kern w:val="2"/>
          <w:sz w:val="24"/>
        </w:rPr>
        <w:t>根据《国家危险废物名录》（20</w:t>
      </w:r>
      <w:r>
        <w:rPr>
          <w:rFonts w:hint="eastAsia" w:ascii="Times New Roman" w:hAnsi="Times New Roman" w:cs="Times New Roman"/>
          <w:kern w:val="2"/>
          <w:sz w:val="24"/>
        </w:rPr>
        <w:t>25</w:t>
      </w:r>
      <w:r>
        <w:rPr>
          <w:rFonts w:ascii="Times New Roman" w:hAnsi="Times New Roman" w:cs="Times New Roman"/>
          <w:kern w:val="2"/>
          <w:sz w:val="24"/>
        </w:rPr>
        <w:t>年版）可知，废活性炭属于HW49其他废物中900-039-49烟气、VOCs治理过程产生的废活性炭。收集于危废暂存间，之后由有资质的单位进行处理。</w:t>
      </w:r>
    </w:p>
    <w:p w14:paraId="75743F7C">
      <w:pPr>
        <w:pStyle w:val="25"/>
        <w:ind w:left="0" w:leftChars="0" w:firstLine="480"/>
        <w:rPr>
          <w:rFonts w:ascii="宋体" w:hAnsi="宋体" w:cs="宋体"/>
        </w:rPr>
      </w:pPr>
      <w:r>
        <w:rPr>
          <w:rFonts w:hint="eastAsia" w:ascii="宋体" w:hAnsi="宋体" w:cs="宋体"/>
        </w:rPr>
        <w:t>B.废沸石</w:t>
      </w:r>
    </w:p>
    <w:p w14:paraId="45B3A9BB">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共设置1个沸石转轮，沸石填充量为2.5t，</w:t>
      </w:r>
      <w:r>
        <w:rPr>
          <w:rFonts w:hint="eastAsia" w:ascii="Times New Roman" w:hAnsi="Times New Roman" w:cs="Times New Roman"/>
          <w:kern w:val="2"/>
          <w:sz w:val="24"/>
        </w:rPr>
        <w:t>8</w:t>
      </w:r>
      <w:r>
        <w:rPr>
          <w:rFonts w:ascii="Times New Roman" w:hAnsi="Times New Roman" w:cs="Times New Roman"/>
          <w:kern w:val="2"/>
          <w:sz w:val="24"/>
        </w:rPr>
        <w:t>年更换一次</w:t>
      </w:r>
      <w:r>
        <w:rPr>
          <w:rFonts w:hint="eastAsia" w:ascii="Times New Roman" w:hAnsi="Times New Roman" w:cs="Times New Roman"/>
          <w:kern w:val="2"/>
          <w:sz w:val="24"/>
        </w:rPr>
        <w:t>，本次变更不改变设计使用寿命。</w:t>
      </w:r>
      <w:r>
        <w:rPr>
          <w:rFonts w:ascii="Times New Roman" w:hAnsi="Times New Roman" w:cs="Times New Roman"/>
          <w:kern w:val="2"/>
          <w:sz w:val="24"/>
        </w:rPr>
        <w:t>根据《国家危险废物名录》（20</w:t>
      </w:r>
      <w:r>
        <w:rPr>
          <w:rFonts w:hint="eastAsia" w:ascii="Times New Roman" w:hAnsi="Times New Roman" w:cs="Times New Roman"/>
          <w:kern w:val="2"/>
          <w:sz w:val="24"/>
        </w:rPr>
        <w:t>25</w:t>
      </w:r>
      <w:r>
        <w:rPr>
          <w:rFonts w:ascii="Times New Roman" w:hAnsi="Times New Roman" w:cs="Times New Roman"/>
          <w:kern w:val="2"/>
          <w:sz w:val="24"/>
        </w:rPr>
        <w:t>年版）可知，废沸石属于HW49其他废物中900-041-49含有或沾染毒性、感染性危险废物的废弃包装物、容器、过滤吸附介质。收集于危废暂存间，之后由有资质的单位进行处理。</w:t>
      </w:r>
    </w:p>
    <w:p w14:paraId="1D5BD4A9">
      <w:pPr>
        <w:pStyle w:val="25"/>
        <w:ind w:left="0" w:leftChars="0" w:firstLine="480"/>
      </w:pPr>
      <w:r>
        <w:t>⑥</w:t>
      </w:r>
      <w:r>
        <w:rPr>
          <w:rFonts w:hint="eastAsia"/>
        </w:rPr>
        <w:t>精馏残液</w:t>
      </w:r>
      <w:r>
        <w:t>：溶剂回收装置</w:t>
      </w:r>
      <w:r>
        <w:rPr>
          <w:rFonts w:hint="eastAsia"/>
        </w:rPr>
        <w:t>提纯</w:t>
      </w:r>
      <w:r>
        <w:t>产生的</w:t>
      </w:r>
      <w:r>
        <w:rPr>
          <w:rFonts w:hint="eastAsia"/>
        </w:rPr>
        <w:t>蒸馏</w:t>
      </w:r>
      <w:r>
        <w:t>釜残液，约</w:t>
      </w:r>
      <w:r>
        <w:rPr>
          <w:rFonts w:hint="eastAsia"/>
        </w:rPr>
        <w:t>86.033t/a</w:t>
      </w:r>
      <w:r>
        <w:t>。对照《国家危险废物名录》（20</w:t>
      </w:r>
      <w:r>
        <w:rPr>
          <w:rFonts w:hint="eastAsia"/>
        </w:rPr>
        <w:t>25</w:t>
      </w:r>
      <w:r>
        <w:t>版），属于HW06中900-407-06。</w:t>
      </w:r>
      <w:r>
        <w:rPr>
          <w:rFonts w:hint="eastAsia"/>
        </w:rPr>
        <w:t>收集方式采用吨桶（共5个吨桶），存放于危废暂存间，装满5t后定期</w:t>
      </w:r>
      <w:r>
        <w:t>由有资质的单位进行处理。</w:t>
      </w:r>
    </w:p>
    <w:p w14:paraId="0D13BBDB">
      <w:pPr>
        <w:pStyle w:val="41"/>
        <w:spacing w:before="0" w:beforeAutospacing="0" w:after="0" w:afterAutospacing="0"/>
        <w:ind w:firstLine="480"/>
        <w:rPr>
          <w:rFonts w:ascii="Times New Roman" w:hAnsi="Times New Roman" w:cs="Times New Roman"/>
          <w:kern w:val="2"/>
          <w:sz w:val="24"/>
        </w:rPr>
      </w:pPr>
      <w:r>
        <w:rPr>
          <w:rFonts w:hint="eastAsia"/>
          <w:kern w:val="2"/>
          <w:sz w:val="24"/>
        </w:rPr>
        <w:t>⑦</w:t>
      </w:r>
      <w:r>
        <w:rPr>
          <w:rFonts w:hint="eastAsia" w:ascii="Times New Roman" w:hAnsi="Times New Roman" w:cs="Times New Roman"/>
          <w:kern w:val="2"/>
          <w:sz w:val="24"/>
        </w:rPr>
        <w:t>废矿物油及其包装桶</w:t>
      </w:r>
    </w:p>
    <w:p w14:paraId="4FBAD47C">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本项目营运期间设备维护会产生废</w:t>
      </w:r>
      <w:r>
        <w:rPr>
          <w:rFonts w:hint="eastAsia" w:ascii="Times New Roman" w:hAnsi="Times New Roman" w:cs="Times New Roman"/>
          <w:kern w:val="2"/>
          <w:sz w:val="24"/>
        </w:rPr>
        <w:t>矿物油为废导热油和废润滑油</w:t>
      </w:r>
      <w:r>
        <w:rPr>
          <w:rFonts w:ascii="Times New Roman" w:hAnsi="Times New Roman" w:cs="Times New Roman"/>
          <w:kern w:val="2"/>
          <w:sz w:val="24"/>
        </w:rPr>
        <w:t>及其包装桶，本次变更不涉及设备调整，该部分危废产生情况不变</w:t>
      </w:r>
      <w:r>
        <w:rPr>
          <w:rFonts w:hint="eastAsia" w:ascii="Times New Roman" w:hAnsi="Times New Roman" w:cs="Times New Roman"/>
          <w:kern w:val="2"/>
          <w:sz w:val="24"/>
        </w:rPr>
        <w:t>，废润滑油</w:t>
      </w:r>
      <w:r>
        <w:rPr>
          <w:rFonts w:ascii="Times New Roman" w:hAnsi="Times New Roman" w:cs="Times New Roman"/>
          <w:kern w:val="2"/>
          <w:sz w:val="24"/>
        </w:rPr>
        <w:t>及其包装桶约为</w:t>
      </w:r>
      <w:r>
        <w:rPr>
          <w:rFonts w:hint="eastAsia" w:ascii="Times New Roman" w:hAnsi="Times New Roman" w:cs="Times New Roman"/>
          <w:kern w:val="2"/>
          <w:sz w:val="24"/>
        </w:rPr>
        <w:t>0</w:t>
      </w:r>
      <w:r>
        <w:rPr>
          <w:rFonts w:ascii="Times New Roman" w:hAnsi="Times New Roman" w:cs="Times New Roman"/>
          <w:kern w:val="2"/>
          <w:sz w:val="24"/>
        </w:rPr>
        <w:t>.</w:t>
      </w:r>
      <w:r>
        <w:rPr>
          <w:rFonts w:hint="eastAsia" w:ascii="Times New Roman" w:hAnsi="Times New Roman" w:cs="Times New Roman"/>
          <w:kern w:val="2"/>
          <w:sz w:val="24"/>
        </w:rPr>
        <w:t>5</w:t>
      </w:r>
      <w:r>
        <w:rPr>
          <w:rFonts w:ascii="Times New Roman" w:hAnsi="Times New Roman" w:cs="Times New Roman"/>
          <w:kern w:val="2"/>
          <w:sz w:val="24"/>
        </w:rPr>
        <w:t>t/a，</w:t>
      </w:r>
      <w:r>
        <w:rPr>
          <w:rFonts w:hint="eastAsia" w:ascii="Times New Roman" w:hAnsi="Times New Roman" w:cs="Times New Roman"/>
          <w:kern w:val="2"/>
          <w:sz w:val="24"/>
        </w:rPr>
        <w:t>废导热油</w:t>
      </w:r>
      <w:r>
        <w:rPr>
          <w:rFonts w:ascii="Times New Roman" w:hAnsi="Times New Roman" w:cs="Times New Roman"/>
          <w:kern w:val="2"/>
          <w:sz w:val="24"/>
        </w:rPr>
        <w:t>及其包装桶</w:t>
      </w:r>
      <w:r>
        <w:rPr>
          <w:rFonts w:hint="eastAsia" w:ascii="Times New Roman" w:hAnsi="Times New Roman" w:cs="Times New Roman"/>
          <w:kern w:val="2"/>
          <w:sz w:val="24"/>
        </w:rPr>
        <w:t>2t/2a（2年更换一次），导热油和润滑油</w:t>
      </w:r>
      <w:r>
        <w:rPr>
          <w:rFonts w:ascii="Times New Roman" w:hAnsi="Times New Roman" w:cs="Times New Roman"/>
          <w:kern w:val="2"/>
          <w:sz w:val="24"/>
        </w:rPr>
        <w:t>及其包装桶属于《国家危险废物名录》(2021年版)中的HW08废矿物油及含矿物油废物，废物代码900-2</w:t>
      </w:r>
      <w:r>
        <w:rPr>
          <w:rFonts w:hint="eastAsia" w:ascii="Times New Roman" w:hAnsi="Times New Roman" w:cs="Times New Roman"/>
          <w:kern w:val="2"/>
          <w:sz w:val="24"/>
        </w:rPr>
        <w:t>49</w:t>
      </w:r>
      <w:r>
        <w:rPr>
          <w:rFonts w:ascii="Times New Roman" w:hAnsi="Times New Roman" w:cs="Times New Roman"/>
          <w:kern w:val="2"/>
          <w:sz w:val="24"/>
        </w:rPr>
        <w:t>-08，妥善收集后交由有资质单位回收处理。</w:t>
      </w:r>
    </w:p>
    <w:p w14:paraId="34065143">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3.</w:t>
      </w:r>
      <w:r>
        <w:rPr>
          <w:rFonts w:ascii="Times New Roman" w:hAnsi="Times New Roman" w:cs="Times New Roman"/>
          <w:kern w:val="2"/>
          <w:sz w:val="24"/>
        </w:rPr>
        <w:t>固体废物产生及处置情况汇总</w:t>
      </w:r>
    </w:p>
    <w:p w14:paraId="6CF5F2A5">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根据《国家危险废物名录》</w:t>
      </w:r>
      <w:r>
        <w:rPr>
          <w:rFonts w:hint="eastAsia" w:ascii="Times New Roman" w:hAnsi="Times New Roman" w:cs="Times New Roman"/>
          <w:kern w:val="2"/>
          <w:sz w:val="24"/>
        </w:rPr>
        <w:t>（</w:t>
      </w:r>
      <w:r>
        <w:rPr>
          <w:rFonts w:ascii="Times New Roman" w:hAnsi="Times New Roman" w:cs="Times New Roman"/>
          <w:kern w:val="2"/>
          <w:sz w:val="24"/>
        </w:rPr>
        <w:t>2021年版</w:t>
      </w:r>
      <w:r>
        <w:rPr>
          <w:rFonts w:hint="eastAsia" w:ascii="Times New Roman" w:hAnsi="Times New Roman" w:cs="Times New Roman"/>
          <w:kern w:val="2"/>
          <w:sz w:val="24"/>
        </w:rPr>
        <w:t>）、</w:t>
      </w:r>
      <w:r>
        <w:rPr>
          <w:rFonts w:ascii="Times New Roman" w:hAnsi="Times New Roman" w:cs="Times New Roman"/>
          <w:kern w:val="2"/>
          <w:sz w:val="24"/>
        </w:rPr>
        <w:t>《危险废物贮存污染控制标准》（GB18597-20</w:t>
      </w:r>
      <w:r>
        <w:rPr>
          <w:rFonts w:hint="eastAsia" w:ascii="Times New Roman" w:hAnsi="Times New Roman" w:cs="Times New Roman"/>
          <w:kern w:val="2"/>
          <w:sz w:val="24"/>
        </w:rPr>
        <w:t>23</w:t>
      </w:r>
      <w:r>
        <w:rPr>
          <w:rFonts w:ascii="Times New Roman" w:hAnsi="Times New Roman" w:cs="Times New Roman"/>
          <w:kern w:val="2"/>
          <w:sz w:val="24"/>
        </w:rPr>
        <w:t>）的要求，本次环评将变更后的危险废物的名称、数量、类别、形态、危险特性和污染防治措施等情况介绍如下表4.</w:t>
      </w:r>
      <w:r>
        <w:rPr>
          <w:rFonts w:hint="eastAsia" w:ascii="Times New Roman" w:hAnsi="Times New Roman" w:cs="Times New Roman"/>
          <w:kern w:val="2"/>
          <w:sz w:val="24"/>
        </w:rPr>
        <w:t>3</w:t>
      </w:r>
      <w:r>
        <w:rPr>
          <w:rFonts w:ascii="Times New Roman" w:hAnsi="Times New Roman" w:cs="Times New Roman"/>
          <w:kern w:val="2"/>
          <w:sz w:val="24"/>
        </w:rPr>
        <w:t>-1</w:t>
      </w:r>
      <w:r>
        <w:rPr>
          <w:rFonts w:hint="eastAsia" w:ascii="Times New Roman" w:hAnsi="Times New Roman" w:cs="Times New Roman"/>
          <w:kern w:val="2"/>
          <w:sz w:val="24"/>
        </w:rPr>
        <w:t>3</w:t>
      </w:r>
      <w:r>
        <w:rPr>
          <w:rFonts w:ascii="Times New Roman" w:hAnsi="Times New Roman" w:cs="Times New Roman"/>
          <w:kern w:val="2"/>
          <w:sz w:val="24"/>
        </w:rPr>
        <w:t>。</w:t>
      </w:r>
    </w:p>
    <w:p w14:paraId="56B763F6">
      <w:pPr>
        <w:pStyle w:val="51"/>
        <w:numPr>
          <w:ilvl w:val="5"/>
          <w:numId w:val="0"/>
        </w:numPr>
        <w:spacing w:before="156"/>
        <w:ind w:left="305" w:leftChars="0" w:hanging="3260" w:firstLineChars="0"/>
        <w:rPr>
          <w:rStyle w:val="53"/>
          <w:rFonts w:hint="default"/>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表4.3-13 </w:t>
      </w:r>
      <w:r>
        <w:rPr>
          <w:rFonts w:hint="eastAsia" w:ascii="宋体" w:hAnsi="宋体" w:cs="宋体"/>
          <w:b/>
          <w:bCs/>
          <w:color w:val="auto"/>
          <w:kern w:val="2"/>
          <w:sz w:val="21"/>
          <w:szCs w:val="21"/>
          <w:lang w:val="en-US" w:eastAsia="zh-CN" w:bidi="ar-SA"/>
        </w:rPr>
        <w:t xml:space="preserve">   </w:t>
      </w:r>
      <w:r>
        <w:rPr>
          <w:rFonts w:hint="eastAsia"/>
        </w:rPr>
        <w:t>项</w:t>
      </w:r>
      <w:r>
        <w:rPr>
          <w:rStyle w:val="53"/>
          <w:rFonts w:hint="default"/>
        </w:rPr>
        <w:t>目变更后营运期全厂固废产生情况一览表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autofit"/>
        <w:tblCellMar>
          <w:top w:w="0" w:type="dxa"/>
          <w:left w:w="108" w:type="dxa"/>
          <w:bottom w:w="0" w:type="dxa"/>
          <w:right w:w="108" w:type="dxa"/>
        </w:tblCellMar>
      </w:tblPr>
      <w:tblGrid>
        <w:gridCol w:w="561"/>
        <w:gridCol w:w="1245"/>
        <w:gridCol w:w="1408"/>
        <w:gridCol w:w="642"/>
        <w:gridCol w:w="1008"/>
        <w:gridCol w:w="1340"/>
        <w:gridCol w:w="850"/>
        <w:gridCol w:w="709"/>
        <w:gridCol w:w="759"/>
      </w:tblGrid>
      <w:tr w14:paraId="1733BFB3">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Merge w:val="restart"/>
            <w:vAlign w:val="center"/>
          </w:tcPr>
          <w:p w14:paraId="0FF2294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序号</w:t>
            </w:r>
          </w:p>
        </w:tc>
        <w:tc>
          <w:tcPr>
            <w:tcW w:w="1245" w:type="dxa"/>
            <w:vMerge w:val="restart"/>
            <w:vAlign w:val="center"/>
          </w:tcPr>
          <w:p w14:paraId="437D5FB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副产品</w:t>
            </w:r>
          </w:p>
          <w:p w14:paraId="6C1DC46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名称</w:t>
            </w:r>
          </w:p>
        </w:tc>
        <w:tc>
          <w:tcPr>
            <w:tcW w:w="1408" w:type="dxa"/>
            <w:vMerge w:val="restart"/>
            <w:vAlign w:val="center"/>
          </w:tcPr>
          <w:p w14:paraId="5B7996A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产生工序</w:t>
            </w:r>
          </w:p>
        </w:tc>
        <w:tc>
          <w:tcPr>
            <w:tcW w:w="642" w:type="dxa"/>
            <w:vMerge w:val="restart"/>
            <w:vAlign w:val="center"/>
          </w:tcPr>
          <w:p w14:paraId="44EAD18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形态</w:t>
            </w:r>
          </w:p>
        </w:tc>
        <w:tc>
          <w:tcPr>
            <w:tcW w:w="1008" w:type="dxa"/>
            <w:vMerge w:val="restart"/>
            <w:vAlign w:val="center"/>
          </w:tcPr>
          <w:p w14:paraId="4011A66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主要</w:t>
            </w:r>
          </w:p>
          <w:p w14:paraId="5DBBB5F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成分</w:t>
            </w:r>
          </w:p>
        </w:tc>
        <w:tc>
          <w:tcPr>
            <w:tcW w:w="1340" w:type="dxa"/>
            <w:vMerge w:val="restart"/>
            <w:vAlign w:val="center"/>
          </w:tcPr>
          <w:p w14:paraId="23714EE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预测</w:t>
            </w:r>
          </w:p>
          <w:p w14:paraId="1E9B511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产生量</w:t>
            </w:r>
          </w:p>
        </w:tc>
        <w:tc>
          <w:tcPr>
            <w:tcW w:w="2318" w:type="dxa"/>
            <w:gridSpan w:val="3"/>
            <w:vAlign w:val="center"/>
          </w:tcPr>
          <w:p w14:paraId="718B283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种类判断</w:t>
            </w:r>
          </w:p>
        </w:tc>
      </w:tr>
      <w:tr w14:paraId="602EAFA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Merge w:val="continue"/>
            <w:vAlign w:val="center"/>
          </w:tcPr>
          <w:p w14:paraId="4B74871E">
            <w:pPr>
              <w:pStyle w:val="64"/>
              <w:spacing w:line="240" w:lineRule="auto"/>
              <w:ind w:firstLine="0"/>
              <w:rPr>
                <w:rStyle w:val="53"/>
                <w:rFonts w:hint="default" w:ascii="Times New Roman" w:hAnsi="Times New Roman" w:cs="Times New Roman"/>
              </w:rPr>
            </w:pPr>
          </w:p>
        </w:tc>
        <w:tc>
          <w:tcPr>
            <w:tcW w:w="1245" w:type="dxa"/>
            <w:vMerge w:val="continue"/>
            <w:vAlign w:val="center"/>
          </w:tcPr>
          <w:p w14:paraId="6D72007E">
            <w:pPr>
              <w:pStyle w:val="64"/>
              <w:spacing w:line="240" w:lineRule="auto"/>
              <w:ind w:firstLine="0"/>
              <w:rPr>
                <w:rStyle w:val="53"/>
                <w:rFonts w:hint="default" w:ascii="Times New Roman" w:hAnsi="Times New Roman" w:cs="Times New Roman"/>
              </w:rPr>
            </w:pPr>
          </w:p>
        </w:tc>
        <w:tc>
          <w:tcPr>
            <w:tcW w:w="1408" w:type="dxa"/>
            <w:vMerge w:val="continue"/>
            <w:vAlign w:val="center"/>
          </w:tcPr>
          <w:p w14:paraId="0C3E27FE">
            <w:pPr>
              <w:pStyle w:val="64"/>
              <w:spacing w:line="240" w:lineRule="auto"/>
              <w:ind w:firstLine="0"/>
              <w:rPr>
                <w:rStyle w:val="53"/>
                <w:rFonts w:hint="default" w:ascii="Times New Roman" w:hAnsi="Times New Roman" w:cs="Times New Roman"/>
              </w:rPr>
            </w:pPr>
          </w:p>
        </w:tc>
        <w:tc>
          <w:tcPr>
            <w:tcW w:w="642" w:type="dxa"/>
            <w:vMerge w:val="continue"/>
            <w:vAlign w:val="center"/>
          </w:tcPr>
          <w:p w14:paraId="75DBBAE6">
            <w:pPr>
              <w:pStyle w:val="64"/>
              <w:spacing w:line="240" w:lineRule="auto"/>
              <w:ind w:firstLine="0"/>
              <w:rPr>
                <w:rStyle w:val="53"/>
                <w:rFonts w:hint="default" w:ascii="Times New Roman" w:hAnsi="Times New Roman" w:cs="Times New Roman"/>
              </w:rPr>
            </w:pPr>
          </w:p>
        </w:tc>
        <w:tc>
          <w:tcPr>
            <w:tcW w:w="1008" w:type="dxa"/>
            <w:vMerge w:val="continue"/>
            <w:vAlign w:val="center"/>
          </w:tcPr>
          <w:p w14:paraId="3EB87196">
            <w:pPr>
              <w:pStyle w:val="64"/>
              <w:spacing w:line="240" w:lineRule="auto"/>
              <w:ind w:firstLine="0"/>
              <w:rPr>
                <w:rStyle w:val="53"/>
                <w:rFonts w:hint="default" w:ascii="Times New Roman" w:hAnsi="Times New Roman" w:cs="Times New Roman"/>
              </w:rPr>
            </w:pPr>
          </w:p>
        </w:tc>
        <w:tc>
          <w:tcPr>
            <w:tcW w:w="1340" w:type="dxa"/>
            <w:vMerge w:val="continue"/>
            <w:vAlign w:val="center"/>
          </w:tcPr>
          <w:p w14:paraId="63902B53">
            <w:pPr>
              <w:pStyle w:val="64"/>
              <w:spacing w:line="240" w:lineRule="auto"/>
              <w:ind w:firstLine="0"/>
              <w:rPr>
                <w:rStyle w:val="53"/>
                <w:rFonts w:hint="default" w:ascii="Times New Roman" w:hAnsi="Times New Roman" w:cs="Times New Roman"/>
              </w:rPr>
            </w:pPr>
          </w:p>
        </w:tc>
        <w:tc>
          <w:tcPr>
            <w:tcW w:w="850" w:type="dxa"/>
            <w:vAlign w:val="center"/>
          </w:tcPr>
          <w:p w14:paraId="5307690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固体</w:t>
            </w:r>
          </w:p>
          <w:p w14:paraId="734D0B4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废物</w:t>
            </w:r>
          </w:p>
        </w:tc>
        <w:tc>
          <w:tcPr>
            <w:tcW w:w="709" w:type="dxa"/>
            <w:vAlign w:val="center"/>
          </w:tcPr>
          <w:p w14:paraId="63C5A9A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属性</w:t>
            </w:r>
          </w:p>
        </w:tc>
        <w:tc>
          <w:tcPr>
            <w:tcW w:w="759" w:type="dxa"/>
            <w:vAlign w:val="center"/>
          </w:tcPr>
          <w:p w14:paraId="7F239F4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判定</w:t>
            </w:r>
          </w:p>
          <w:p w14:paraId="119D5CA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依据</w:t>
            </w:r>
          </w:p>
        </w:tc>
      </w:tr>
      <w:tr w14:paraId="37EC1D2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63894D8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w:t>
            </w:r>
          </w:p>
        </w:tc>
        <w:tc>
          <w:tcPr>
            <w:tcW w:w="1245" w:type="dxa"/>
            <w:vAlign w:val="center"/>
          </w:tcPr>
          <w:p w14:paraId="2822AF4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废印刷版</w:t>
            </w:r>
          </w:p>
        </w:tc>
        <w:tc>
          <w:tcPr>
            <w:tcW w:w="1408" w:type="dxa"/>
            <w:vAlign w:val="center"/>
          </w:tcPr>
          <w:p w14:paraId="750ECDA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印刷</w:t>
            </w:r>
          </w:p>
        </w:tc>
        <w:tc>
          <w:tcPr>
            <w:tcW w:w="642" w:type="dxa"/>
            <w:vAlign w:val="center"/>
          </w:tcPr>
          <w:p w14:paraId="6499DA5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778C5EB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塑料</w:t>
            </w:r>
          </w:p>
        </w:tc>
        <w:tc>
          <w:tcPr>
            <w:tcW w:w="1340" w:type="dxa"/>
            <w:vAlign w:val="center"/>
          </w:tcPr>
          <w:p w14:paraId="27C640ED">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6677只/a</w:t>
            </w:r>
          </w:p>
        </w:tc>
        <w:tc>
          <w:tcPr>
            <w:tcW w:w="850" w:type="dxa"/>
            <w:tcBorders>
              <w:bottom w:val="single" w:color="auto" w:sz="4" w:space="0"/>
            </w:tcBorders>
            <w:vAlign w:val="center"/>
          </w:tcPr>
          <w:p w14:paraId="500C446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restart"/>
            <w:vAlign w:val="center"/>
          </w:tcPr>
          <w:p w14:paraId="1C78298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一般固体废物</w:t>
            </w:r>
          </w:p>
        </w:tc>
        <w:tc>
          <w:tcPr>
            <w:tcW w:w="759" w:type="dxa"/>
            <w:vMerge w:val="restart"/>
            <w:vAlign w:val="center"/>
          </w:tcPr>
          <w:p w14:paraId="67504A1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《国家危险废物名录》</w:t>
            </w:r>
          </w:p>
        </w:tc>
      </w:tr>
      <w:tr w14:paraId="3872BE1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2E7CBD5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2</w:t>
            </w:r>
          </w:p>
        </w:tc>
        <w:tc>
          <w:tcPr>
            <w:tcW w:w="1245" w:type="dxa"/>
            <w:vAlign w:val="center"/>
          </w:tcPr>
          <w:p w14:paraId="77550B0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废边角料</w:t>
            </w:r>
          </w:p>
        </w:tc>
        <w:tc>
          <w:tcPr>
            <w:tcW w:w="1408" w:type="dxa"/>
            <w:vAlign w:val="center"/>
          </w:tcPr>
          <w:p w14:paraId="4156CE6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分切及制袋过程中</w:t>
            </w:r>
          </w:p>
        </w:tc>
        <w:tc>
          <w:tcPr>
            <w:tcW w:w="642" w:type="dxa"/>
            <w:vAlign w:val="center"/>
          </w:tcPr>
          <w:p w14:paraId="5604DD0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4D72C62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塑料</w:t>
            </w:r>
          </w:p>
        </w:tc>
        <w:tc>
          <w:tcPr>
            <w:tcW w:w="1340" w:type="dxa"/>
            <w:vAlign w:val="center"/>
          </w:tcPr>
          <w:p w14:paraId="4E5251D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600t/a</w:t>
            </w:r>
          </w:p>
        </w:tc>
        <w:tc>
          <w:tcPr>
            <w:tcW w:w="850" w:type="dxa"/>
            <w:tcBorders>
              <w:bottom w:val="single" w:color="auto" w:sz="4" w:space="0"/>
            </w:tcBorders>
            <w:vAlign w:val="center"/>
          </w:tcPr>
          <w:p w14:paraId="03B24F7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1B81834D">
            <w:pPr>
              <w:pStyle w:val="64"/>
              <w:spacing w:line="240" w:lineRule="auto"/>
              <w:ind w:firstLine="0"/>
              <w:rPr>
                <w:rStyle w:val="53"/>
                <w:rFonts w:hint="default" w:ascii="Times New Roman" w:hAnsi="Times New Roman" w:cs="Times New Roman"/>
              </w:rPr>
            </w:pPr>
          </w:p>
        </w:tc>
        <w:tc>
          <w:tcPr>
            <w:tcW w:w="759" w:type="dxa"/>
            <w:vMerge w:val="continue"/>
            <w:vAlign w:val="center"/>
          </w:tcPr>
          <w:p w14:paraId="2B8E6A8E">
            <w:pPr>
              <w:ind w:firstLine="420"/>
              <w:jc w:val="center"/>
              <w:rPr>
                <w:rStyle w:val="53"/>
                <w:rFonts w:hint="default" w:ascii="Times New Roman" w:hAnsi="Times New Roman" w:cs="Times New Roman"/>
              </w:rPr>
            </w:pPr>
          </w:p>
        </w:tc>
      </w:tr>
      <w:tr w14:paraId="2D04617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3918475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3</w:t>
            </w:r>
          </w:p>
        </w:tc>
        <w:tc>
          <w:tcPr>
            <w:tcW w:w="1245" w:type="dxa"/>
            <w:vAlign w:val="center"/>
          </w:tcPr>
          <w:p w14:paraId="665C6F1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废烫金膜</w:t>
            </w:r>
          </w:p>
        </w:tc>
        <w:tc>
          <w:tcPr>
            <w:tcW w:w="1408" w:type="dxa"/>
            <w:vAlign w:val="center"/>
          </w:tcPr>
          <w:p w14:paraId="0617AD2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烫金过程</w:t>
            </w:r>
          </w:p>
        </w:tc>
        <w:tc>
          <w:tcPr>
            <w:tcW w:w="642" w:type="dxa"/>
            <w:vAlign w:val="center"/>
          </w:tcPr>
          <w:p w14:paraId="1EE0C0B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665B045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编织袋、纸箱</w:t>
            </w:r>
          </w:p>
        </w:tc>
        <w:tc>
          <w:tcPr>
            <w:tcW w:w="1340" w:type="dxa"/>
            <w:vAlign w:val="center"/>
          </w:tcPr>
          <w:p w14:paraId="22D6527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0.96t/a</w:t>
            </w:r>
          </w:p>
        </w:tc>
        <w:tc>
          <w:tcPr>
            <w:tcW w:w="850" w:type="dxa"/>
            <w:tcBorders>
              <w:bottom w:val="single" w:color="auto" w:sz="4" w:space="0"/>
            </w:tcBorders>
            <w:vAlign w:val="center"/>
          </w:tcPr>
          <w:p w14:paraId="6ABA701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42844B16">
            <w:pPr>
              <w:pStyle w:val="64"/>
              <w:spacing w:line="240" w:lineRule="auto"/>
              <w:ind w:firstLine="0"/>
              <w:rPr>
                <w:rStyle w:val="53"/>
                <w:rFonts w:hint="default" w:ascii="Times New Roman" w:hAnsi="Times New Roman" w:cs="Times New Roman"/>
              </w:rPr>
            </w:pPr>
          </w:p>
        </w:tc>
        <w:tc>
          <w:tcPr>
            <w:tcW w:w="759" w:type="dxa"/>
            <w:vMerge w:val="continue"/>
            <w:vAlign w:val="center"/>
          </w:tcPr>
          <w:p w14:paraId="067C84CE">
            <w:pPr>
              <w:ind w:firstLine="420"/>
              <w:jc w:val="center"/>
              <w:rPr>
                <w:rStyle w:val="53"/>
                <w:rFonts w:hint="default" w:ascii="Times New Roman" w:hAnsi="Times New Roman" w:cs="Times New Roman"/>
              </w:rPr>
            </w:pPr>
          </w:p>
        </w:tc>
      </w:tr>
      <w:tr w14:paraId="307EC73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0482E15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4</w:t>
            </w:r>
          </w:p>
        </w:tc>
        <w:tc>
          <w:tcPr>
            <w:tcW w:w="1245" w:type="dxa"/>
            <w:vAlign w:val="center"/>
          </w:tcPr>
          <w:p w14:paraId="4C7AE0E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不合格产品</w:t>
            </w:r>
          </w:p>
        </w:tc>
        <w:tc>
          <w:tcPr>
            <w:tcW w:w="1408" w:type="dxa"/>
            <w:vAlign w:val="center"/>
          </w:tcPr>
          <w:p w14:paraId="3453B4D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生产检验过程</w:t>
            </w:r>
          </w:p>
        </w:tc>
        <w:tc>
          <w:tcPr>
            <w:tcW w:w="642" w:type="dxa"/>
            <w:vAlign w:val="center"/>
          </w:tcPr>
          <w:p w14:paraId="0D73959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6C49AE2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塑料</w:t>
            </w:r>
          </w:p>
        </w:tc>
        <w:tc>
          <w:tcPr>
            <w:tcW w:w="1340" w:type="dxa"/>
            <w:vAlign w:val="center"/>
          </w:tcPr>
          <w:p w14:paraId="50FCA05E">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1500t/a</w:t>
            </w:r>
          </w:p>
        </w:tc>
        <w:tc>
          <w:tcPr>
            <w:tcW w:w="850" w:type="dxa"/>
            <w:tcBorders>
              <w:bottom w:val="single" w:color="auto" w:sz="4" w:space="0"/>
            </w:tcBorders>
            <w:vAlign w:val="center"/>
          </w:tcPr>
          <w:p w14:paraId="70FD54B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5A8ADFEE">
            <w:pPr>
              <w:pStyle w:val="64"/>
              <w:spacing w:line="240" w:lineRule="auto"/>
              <w:ind w:firstLine="0"/>
              <w:rPr>
                <w:rStyle w:val="53"/>
                <w:rFonts w:hint="default" w:ascii="Times New Roman" w:hAnsi="Times New Roman" w:cs="Times New Roman"/>
              </w:rPr>
            </w:pPr>
          </w:p>
        </w:tc>
        <w:tc>
          <w:tcPr>
            <w:tcW w:w="759" w:type="dxa"/>
            <w:vMerge w:val="continue"/>
            <w:vAlign w:val="center"/>
          </w:tcPr>
          <w:p w14:paraId="139379B6">
            <w:pPr>
              <w:ind w:firstLine="420"/>
              <w:jc w:val="center"/>
              <w:rPr>
                <w:rStyle w:val="53"/>
                <w:rFonts w:hint="default" w:ascii="Times New Roman" w:hAnsi="Times New Roman" w:cs="Times New Roman"/>
              </w:rPr>
            </w:pPr>
          </w:p>
        </w:tc>
      </w:tr>
      <w:tr w14:paraId="7C7AFBC1">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2D07210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5</w:t>
            </w:r>
          </w:p>
        </w:tc>
        <w:tc>
          <w:tcPr>
            <w:tcW w:w="1245" w:type="dxa"/>
            <w:vAlign w:val="center"/>
          </w:tcPr>
          <w:p w14:paraId="342CB0A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废包装材料</w:t>
            </w:r>
          </w:p>
        </w:tc>
        <w:tc>
          <w:tcPr>
            <w:tcW w:w="1408" w:type="dxa"/>
            <w:vAlign w:val="center"/>
          </w:tcPr>
          <w:p w14:paraId="4A19E8C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原料使用过程</w:t>
            </w:r>
          </w:p>
        </w:tc>
        <w:tc>
          <w:tcPr>
            <w:tcW w:w="642" w:type="dxa"/>
            <w:vAlign w:val="center"/>
          </w:tcPr>
          <w:p w14:paraId="3B6C209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51A68B5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编织袋、纸箱</w:t>
            </w:r>
          </w:p>
        </w:tc>
        <w:tc>
          <w:tcPr>
            <w:tcW w:w="1340" w:type="dxa"/>
            <w:vAlign w:val="center"/>
          </w:tcPr>
          <w:p w14:paraId="21DDB41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4t/a</w:t>
            </w:r>
          </w:p>
        </w:tc>
        <w:tc>
          <w:tcPr>
            <w:tcW w:w="850" w:type="dxa"/>
            <w:tcBorders>
              <w:bottom w:val="single" w:color="auto" w:sz="4" w:space="0"/>
            </w:tcBorders>
            <w:vAlign w:val="center"/>
          </w:tcPr>
          <w:p w14:paraId="5735904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76AA041B">
            <w:pPr>
              <w:pStyle w:val="64"/>
              <w:spacing w:line="240" w:lineRule="auto"/>
              <w:ind w:firstLine="0"/>
              <w:rPr>
                <w:rStyle w:val="53"/>
                <w:rFonts w:hint="default" w:ascii="Times New Roman" w:hAnsi="Times New Roman" w:cs="Times New Roman"/>
              </w:rPr>
            </w:pPr>
          </w:p>
        </w:tc>
        <w:tc>
          <w:tcPr>
            <w:tcW w:w="759" w:type="dxa"/>
            <w:vMerge w:val="continue"/>
            <w:vAlign w:val="center"/>
          </w:tcPr>
          <w:p w14:paraId="04189BD9">
            <w:pPr>
              <w:ind w:firstLine="420"/>
              <w:jc w:val="center"/>
              <w:rPr>
                <w:rStyle w:val="53"/>
                <w:rFonts w:hint="default" w:ascii="Times New Roman" w:hAnsi="Times New Roman" w:cs="Times New Roman"/>
              </w:rPr>
            </w:pPr>
          </w:p>
        </w:tc>
      </w:tr>
      <w:tr w14:paraId="3DEC7C93">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23782EB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w:t>
            </w:r>
          </w:p>
        </w:tc>
        <w:tc>
          <w:tcPr>
            <w:tcW w:w="1245" w:type="dxa"/>
            <w:vAlign w:val="center"/>
          </w:tcPr>
          <w:p w14:paraId="5A055CF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废溶剂包装桶</w:t>
            </w:r>
          </w:p>
        </w:tc>
        <w:tc>
          <w:tcPr>
            <w:tcW w:w="1408" w:type="dxa"/>
            <w:vAlign w:val="center"/>
          </w:tcPr>
          <w:p w14:paraId="55D4AD7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溶剂使用过程</w:t>
            </w:r>
          </w:p>
        </w:tc>
        <w:tc>
          <w:tcPr>
            <w:tcW w:w="642" w:type="dxa"/>
            <w:vAlign w:val="center"/>
          </w:tcPr>
          <w:p w14:paraId="39E0872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0E83A6C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铁桶</w:t>
            </w:r>
          </w:p>
        </w:tc>
        <w:tc>
          <w:tcPr>
            <w:tcW w:w="1340" w:type="dxa"/>
            <w:vAlign w:val="center"/>
          </w:tcPr>
          <w:p w14:paraId="6A4B771D">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10t/a</w:t>
            </w:r>
          </w:p>
        </w:tc>
        <w:tc>
          <w:tcPr>
            <w:tcW w:w="850" w:type="dxa"/>
            <w:tcBorders>
              <w:bottom w:val="single" w:color="auto" w:sz="4" w:space="0"/>
            </w:tcBorders>
            <w:vAlign w:val="center"/>
          </w:tcPr>
          <w:p w14:paraId="556AC31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tcBorders>
              <w:bottom w:val="single" w:color="auto" w:sz="4" w:space="0"/>
            </w:tcBorders>
            <w:vAlign w:val="center"/>
          </w:tcPr>
          <w:p w14:paraId="053EA216">
            <w:pPr>
              <w:pStyle w:val="64"/>
              <w:spacing w:line="240" w:lineRule="auto"/>
              <w:ind w:firstLine="0"/>
              <w:rPr>
                <w:rStyle w:val="53"/>
                <w:rFonts w:hint="default" w:ascii="Times New Roman" w:hAnsi="Times New Roman" w:cs="Times New Roman"/>
              </w:rPr>
            </w:pPr>
          </w:p>
        </w:tc>
        <w:tc>
          <w:tcPr>
            <w:tcW w:w="759" w:type="dxa"/>
            <w:vMerge w:val="continue"/>
            <w:vAlign w:val="center"/>
          </w:tcPr>
          <w:p w14:paraId="7C956A63">
            <w:pPr>
              <w:ind w:firstLine="420"/>
              <w:jc w:val="center"/>
              <w:rPr>
                <w:rStyle w:val="53"/>
                <w:rFonts w:hint="default" w:ascii="Times New Roman" w:hAnsi="Times New Roman" w:cs="Times New Roman"/>
              </w:rPr>
            </w:pPr>
          </w:p>
        </w:tc>
      </w:tr>
      <w:tr w14:paraId="4CFDD1B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497C27E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7</w:t>
            </w:r>
          </w:p>
        </w:tc>
        <w:tc>
          <w:tcPr>
            <w:tcW w:w="1245" w:type="dxa"/>
            <w:vAlign w:val="center"/>
          </w:tcPr>
          <w:p w14:paraId="6B27B84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生活垃圾</w:t>
            </w:r>
          </w:p>
        </w:tc>
        <w:tc>
          <w:tcPr>
            <w:tcW w:w="1408" w:type="dxa"/>
            <w:vAlign w:val="center"/>
          </w:tcPr>
          <w:p w14:paraId="0C3348E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职工生活</w:t>
            </w:r>
          </w:p>
        </w:tc>
        <w:tc>
          <w:tcPr>
            <w:tcW w:w="642" w:type="dxa"/>
            <w:vAlign w:val="center"/>
          </w:tcPr>
          <w:p w14:paraId="7EBA044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4A48DF6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生活垃圾</w:t>
            </w:r>
          </w:p>
        </w:tc>
        <w:tc>
          <w:tcPr>
            <w:tcW w:w="1340" w:type="dxa"/>
            <w:vAlign w:val="center"/>
          </w:tcPr>
          <w:p w14:paraId="49320C4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92.8t/a</w:t>
            </w:r>
          </w:p>
        </w:tc>
        <w:tc>
          <w:tcPr>
            <w:tcW w:w="850" w:type="dxa"/>
            <w:vAlign w:val="center"/>
          </w:tcPr>
          <w:p w14:paraId="711A639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tcBorders>
              <w:top w:val="single" w:color="auto" w:sz="4" w:space="0"/>
            </w:tcBorders>
            <w:vAlign w:val="center"/>
          </w:tcPr>
          <w:p w14:paraId="14B88F7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生活垃圾</w:t>
            </w:r>
          </w:p>
        </w:tc>
        <w:tc>
          <w:tcPr>
            <w:tcW w:w="759" w:type="dxa"/>
            <w:vMerge w:val="continue"/>
            <w:vAlign w:val="center"/>
          </w:tcPr>
          <w:p w14:paraId="6C7B5ABD">
            <w:pPr>
              <w:ind w:firstLine="420"/>
              <w:jc w:val="left"/>
              <w:rPr>
                <w:rStyle w:val="53"/>
                <w:rFonts w:hint="default" w:ascii="Times New Roman" w:hAnsi="Times New Roman" w:cs="Times New Roman"/>
              </w:rPr>
            </w:pPr>
          </w:p>
        </w:tc>
      </w:tr>
      <w:tr w14:paraId="77D72251">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6A927B1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w:t>
            </w:r>
          </w:p>
        </w:tc>
        <w:tc>
          <w:tcPr>
            <w:tcW w:w="1245" w:type="dxa"/>
            <w:vAlign w:val="center"/>
          </w:tcPr>
          <w:p w14:paraId="478A142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废油墨</w:t>
            </w:r>
          </w:p>
        </w:tc>
        <w:tc>
          <w:tcPr>
            <w:tcW w:w="1408" w:type="dxa"/>
            <w:vAlign w:val="center"/>
          </w:tcPr>
          <w:p w14:paraId="587A02A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油墨储存</w:t>
            </w:r>
          </w:p>
        </w:tc>
        <w:tc>
          <w:tcPr>
            <w:tcW w:w="642" w:type="dxa"/>
            <w:vAlign w:val="center"/>
          </w:tcPr>
          <w:p w14:paraId="067B205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液态</w:t>
            </w:r>
          </w:p>
        </w:tc>
        <w:tc>
          <w:tcPr>
            <w:tcW w:w="1008" w:type="dxa"/>
            <w:vAlign w:val="center"/>
          </w:tcPr>
          <w:p w14:paraId="2069FE7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油墨</w:t>
            </w:r>
          </w:p>
        </w:tc>
        <w:tc>
          <w:tcPr>
            <w:tcW w:w="1340" w:type="dxa"/>
            <w:vAlign w:val="center"/>
          </w:tcPr>
          <w:p w14:paraId="73A1107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16.4t/a</w:t>
            </w:r>
          </w:p>
        </w:tc>
        <w:tc>
          <w:tcPr>
            <w:tcW w:w="850" w:type="dxa"/>
            <w:vAlign w:val="center"/>
          </w:tcPr>
          <w:p w14:paraId="1525036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restart"/>
            <w:vAlign w:val="center"/>
          </w:tcPr>
          <w:p w14:paraId="42D2991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危险废物</w:t>
            </w:r>
          </w:p>
        </w:tc>
        <w:tc>
          <w:tcPr>
            <w:tcW w:w="759" w:type="dxa"/>
            <w:vMerge w:val="continue"/>
            <w:vAlign w:val="center"/>
          </w:tcPr>
          <w:p w14:paraId="31F8DF15">
            <w:pPr>
              <w:ind w:firstLine="420"/>
              <w:jc w:val="left"/>
              <w:rPr>
                <w:rStyle w:val="53"/>
                <w:rFonts w:hint="default" w:ascii="Times New Roman" w:hAnsi="Times New Roman" w:cs="Times New Roman"/>
              </w:rPr>
            </w:pPr>
          </w:p>
        </w:tc>
      </w:tr>
      <w:tr w14:paraId="59AE7E9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PrEx>
        <w:trPr>
          <w:trHeight w:val="340" w:hRule="atLeast"/>
          <w:jc w:val="center"/>
        </w:trPr>
        <w:tc>
          <w:tcPr>
            <w:tcW w:w="561" w:type="dxa"/>
            <w:vAlign w:val="center"/>
          </w:tcPr>
          <w:p w14:paraId="65ACC25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2</w:t>
            </w:r>
          </w:p>
        </w:tc>
        <w:tc>
          <w:tcPr>
            <w:tcW w:w="1245" w:type="dxa"/>
            <w:vAlign w:val="center"/>
          </w:tcPr>
          <w:p w14:paraId="10E3D9D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废溶剂</w:t>
            </w:r>
          </w:p>
        </w:tc>
        <w:tc>
          <w:tcPr>
            <w:tcW w:w="1408" w:type="dxa"/>
            <w:vAlign w:val="center"/>
          </w:tcPr>
          <w:p w14:paraId="362DA26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溶剂储存</w:t>
            </w:r>
          </w:p>
        </w:tc>
        <w:tc>
          <w:tcPr>
            <w:tcW w:w="642" w:type="dxa"/>
            <w:vAlign w:val="center"/>
          </w:tcPr>
          <w:p w14:paraId="7FCDEEE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液态</w:t>
            </w:r>
          </w:p>
        </w:tc>
        <w:tc>
          <w:tcPr>
            <w:tcW w:w="1008" w:type="dxa"/>
            <w:vAlign w:val="center"/>
          </w:tcPr>
          <w:p w14:paraId="6D285E2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溶剂</w:t>
            </w:r>
          </w:p>
        </w:tc>
        <w:tc>
          <w:tcPr>
            <w:tcW w:w="1340" w:type="dxa"/>
            <w:vAlign w:val="center"/>
          </w:tcPr>
          <w:p w14:paraId="5971AAC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14t/a</w:t>
            </w:r>
          </w:p>
        </w:tc>
        <w:tc>
          <w:tcPr>
            <w:tcW w:w="850" w:type="dxa"/>
            <w:vAlign w:val="center"/>
          </w:tcPr>
          <w:p w14:paraId="3408A39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6A78CDBB">
            <w:pPr>
              <w:pStyle w:val="64"/>
              <w:spacing w:line="240" w:lineRule="auto"/>
              <w:ind w:firstLine="0"/>
              <w:rPr>
                <w:rStyle w:val="53"/>
                <w:rFonts w:hint="default" w:ascii="Times New Roman" w:hAnsi="Times New Roman" w:cs="Times New Roman"/>
              </w:rPr>
            </w:pPr>
          </w:p>
        </w:tc>
        <w:tc>
          <w:tcPr>
            <w:tcW w:w="759" w:type="dxa"/>
            <w:vMerge w:val="continue"/>
            <w:vAlign w:val="center"/>
          </w:tcPr>
          <w:p w14:paraId="6A1A8E62">
            <w:pPr>
              <w:ind w:firstLine="420"/>
              <w:jc w:val="left"/>
              <w:rPr>
                <w:rStyle w:val="53"/>
                <w:rFonts w:hint="default" w:ascii="Times New Roman" w:hAnsi="Times New Roman" w:cs="Times New Roman"/>
              </w:rPr>
            </w:pPr>
          </w:p>
        </w:tc>
      </w:tr>
      <w:tr w14:paraId="379EB833">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5037333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3</w:t>
            </w:r>
          </w:p>
        </w:tc>
        <w:tc>
          <w:tcPr>
            <w:tcW w:w="1245" w:type="dxa"/>
            <w:vAlign w:val="center"/>
          </w:tcPr>
          <w:p w14:paraId="1DFEF08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废胶水</w:t>
            </w:r>
          </w:p>
        </w:tc>
        <w:tc>
          <w:tcPr>
            <w:tcW w:w="1408" w:type="dxa"/>
            <w:vAlign w:val="center"/>
          </w:tcPr>
          <w:p w14:paraId="37FEDE3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胶粘剂储存</w:t>
            </w:r>
          </w:p>
        </w:tc>
        <w:tc>
          <w:tcPr>
            <w:tcW w:w="642" w:type="dxa"/>
            <w:vAlign w:val="center"/>
          </w:tcPr>
          <w:p w14:paraId="36F92E9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液态</w:t>
            </w:r>
          </w:p>
        </w:tc>
        <w:tc>
          <w:tcPr>
            <w:tcW w:w="1008" w:type="dxa"/>
            <w:vAlign w:val="center"/>
          </w:tcPr>
          <w:p w14:paraId="0679E37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胶水</w:t>
            </w:r>
          </w:p>
        </w:tc>
        <w:tc>
          <w:tcPr>
            <w:tcW w:w="1340" w:type="dxa"/>
            <w:vAlign w:val="center"/>
          </w:tcPr>
          <w:p w14:paraId="6D22E94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16t/a</w:t>
            </w:r>
          </w:p>
        </w:tc>
        <w:tc>
          <w:tcPr>
            <w:tcW w:w="850" w:type="dxa"/>
            <w:vAlign w:val="center"/>
          </w:tcPr>
          <w:p w14:paraId="02835A1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749EB2E6">
            <w:pPr>
              <w:ind w:firstLine="420"/>
              <w:jc w:val="center"/>
              <w:rPr>
                <w:rStyle w:val="53"/>
                <w:rFonts w:hint="default" w:ascii="Times New Roman" w:hAnsi="Times New Roman" w:cs="Times New Roman"/>
              </w:rPr>
            </w:pPr>
          </w:p>
        </w:tc>
        <w:tc>
          <w:tcPr>
            <w:tcW w:w="759" w:type="dxa"/>
            <w:vMerge w:val="continue"/>
            <w:vAlign w:val="center"/>
          </w:tcPr>
          <w:p w14:paraId="5BFC3CD1">
            <w:pPr>
              <w:ind w:firstLine="420"/>
              <w:jc w:val="left"/>
              <w:rPr>
                <w:rStyle w:val="53"/>
                <w:rFonts w:hint="default" w:ascii="Times New Roman" w:hAnsi="Times New Roman" w:cs="Times New Roman"/>
              </w:rPr>
            </w:pPr>
          </w:p>
        </w:tc>
      </w:tr>
      <w:tr w14:paraId="3181074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1F6C4A3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4</w:t>
            </w:r>
          </w:p>
        </w:tc>
        <w:tc>
          <w:tcPr>
            <w:tcW w:w="1245" w:type="dxa"/>
            <w:vAlign w:val="center"/>
          </w:tcPr>
          <w:p w14:paraId="76E3DFD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废弃包装桶（油墨、胶水）及内衬</w:t>
            </w:r>
          </w:p>
        </w:tc>
        <w:tc>
          <w:tcPr>
            <w:tcW w:w="1408" w:type="dxa"/>
            <w:vAlign w:val="center"/>
          </w:tcPr>
          <w:p w14:paraId="7C86692D">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原料使用过程</w:t>
            </w:r>
          </w:p>
        </w:tc>
        <w:tc>
          <w:tcPr>
            <w:tcW w:w="642" w:type="dxa"/>
            <w:vAlign w:val="center"/>
          </w:tcPr>
          <w:p w14:paraId="1F43829E">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0AAEC6C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油墨、胶水</w:t>
            </w:r>
          </w:p>
        </w:tc>
        <w:tc>
          <w:tcPr>
            <w:tcW w:w="1340" w:type="dxa"/>
            <w:vAlign w:val="center"/>
          </w:tcPr>
          <w:p w14:paraId="312A04A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82t/a</w:t>
            </w:r>
          </w:p>
        </w:tc>
        <w:tc>
          <w:tcPr>
            <w:tcW w:w="850" w:type="dxa"/>
            <w:vAlign w:val="center"/>
          </w:tcPr>
          <w:p w14:paraId="46811DE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147E2732">
            <w:pPr>
              <w:ind w:firstLine="420"/>
              <w:jc w:val="center"/>
              <w:rPr>
                <w:rStyle w:val="53"/>
                <w:rFonts w:hint="default" w:ascii="Times New Roman" w:hAnsi="Times New Roman" w:cs="Times New Roman"/>
              </w:rPr>
            </w:pPr>
          </w:p>
        </w:tc>
        <w:tc>
          <w:tcPr>
            <w:tcW w:w="759" w:type="dxa"/>
            <w:vMerge w:val="continue"/>
            <w:vAlign w:val="center"/>
          </w:tcPr>
          <w:p w14:paraId="6E656857">
            <w:pPr>
              <w:ind w:firstLine="420"/>
              <w:jc w:val="left"/>
              <w:rPr>
                <w:rStyle w:val="53"/>
                <w:rFonts w:hint="default" w:ascii="Times New Roman" w:hAnsi="Times New Roman" w:cs="Times New Roman"/>
              </w:rPr>
            </w:pPr>
          </w:p>
        </w:tc>
      </w:tr>
      <w:tr w14:paraId="27B78B2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7B249DD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5</w:t>
            </w:r>
          </w:p>
        </w:tc>
        <w:tc>
          <w:tcPr>
            <w:tcW w:w="1245" w:type="dxa"/>
            <w:vAlign w:val="center"/>
          </w:tcPr>
          <w:p w14:paraId="1DA26E3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含油抹布、手套</w:t>
            </w:r>
          </w:p>
        </w:tc>
        <w:tc>
          <w:tcPr>
            <w:tcW w:w="1408" w:type="dxa"/>
            <w:vAlign w:val="center"/>
          </w:tcPr>
          <w:p w14:paraId="14FF4DCE">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清洁</w:t>
            </w:r>
          </w:p>
        </w:tc>
        <w:tc>
          <w:tcPr>
            <w:tcW w:w="642" w:type="dxa"/>
            <w:vAlign w:val="center"/>
          </w:tcPr>
          <w:p w14:paraId="10BFDA1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7415802E">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沾染有机溶剂和润滑油纤维布</w:t>
            </w:r>
          </w:p>
        </w:tc>
        <w:tc>
          <w:tcPr>
            <w:tcW w:w="1340" w:type="dxa"/>
            <w:vAlign w:val="center"/>
          </w:tcPr>
          <w:p w14:paraId="1F05D80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6.5t/a</w:t>
            </w:r>
          </w:p>
        </w:tc>
        <w:tc>
          <w:tcPr>
            <w:tcW w:w="850" w:type="dxa"/>
            <w:vAlign w:val="center"/>
          </w:tcPr>
          <w:p w14:paraId="74EE9C0F">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1EB242F7">
            <w:pPr>
              <w:ind w:firstLine="420"/>
              <w:jc w:val="center"/>
              <w:rPr>
                <w:rStyle w:val="53"/>
                <w:rFonts w:hint="default" w:ascii="Times New Roman" w:hAnsi="Times New Roman" w:cs="Times New Roman"/>
              </w:rPr>
            </w:pPr>
          </w:p>
        </w:tc>
        <w:tc>
          <w:tcPr>
            <w:tcW w:w="759" w:type="dxa"/>
            <w:vMerge w:val="continue"/>
            <w:vAlign w:val="center"/>
          </w:tcPr>
          <w:p w14:paraId="1F7F7F4D">
            <w:pPr>
              <w:ind w:firstLine="420"/>
              <w:jc w:val="left"/>
              <w:rPr>
                <w:rStyle w:val="53"/>
                <w:rFonts w:hint="default" w:ascii="Times New Roman" w:hAnsi="Times New Roman" w:cs="Times New Roman"/>
              </w:rPr>
            </w:pPr>
          </w:p>
        </w:tc>
      </w:tr>
      <w:tr w14:paraId="5DD8E55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64C7C54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w:t>
            </w:r>
          </w:p>
        </w:tc>
        <w:tc>
          <w:tcPr>
            <w:tcW w:w="1245" w:type="dxa"/>
            <w:vAlign w:val="center"/>
          </w:tcPr>
          <w:p w14:paraId="1E0AE2E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废过滤棉</w:t>
            </w:r>
          </w:p>
        </w:tc>
        <w:tc>
          <w:tcPr>
            <w:tcW w:w="1408" w:type="dxa"/>
            <w:vAlign w:val="center"/>
          </w:tcPr>
          <w:p w14:paraId="7F8D6B1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环保末端处理设备</w:t>
            </w:r>
          </w:p>
        </w:tc>
        <w:tc>
          <w:tcPr>
            <w:tcW w:w="642" w:type="dxa"/>
            <w:vAlign w:val="center"/>
          </w:tcPr>
          <w:p w14:paraId="0B8AD79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4B05718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沾染有机溶剂纤维布</w:t>
            </w:r>
          </w:p>
        </w:tc>
        <w:tc>
          <w:tcPr>
            <w:tcW w:w="1340" w:type="dxa"/>
            <w:vAlign w:val="center"/>
          </w:tcPr>
          <w:p w14:paraId="009F764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0.26t/a</w:t>
            </w:r>
          </w:p>
        </w:tc>
        <w:tc>
          <w:tcPr>
            <w:tcW w:w="850" w:type="dxa"/>
            <w:vAlign w:val="center"/>
          </w:tcPr>
          <w:p w14:paraId="3930E7B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44478248">
            <w:pPr>
              <w:ind w:firstLine="420"/>
              <w:jc w:val="center"/>
              <w:rPr>
                <w:rStyle w:val="53"/>
                <w:rFonts w:hint="default" w:ascii="Times New Roman" w:hAnsi="Times New Roman" w:cs="Times New Roman"/>
              </w:rPr>
            </w:pPr>
          </w:p>
        </w:tc>
        <w:tc>
          <w:tcPr>
            <w:tcW w:w="759" w:type="dxa"/>
            <w:vMerge w:val="continue"/>
            <w:vAlign w:val="center"/>
          </w:tcPr>
          <w:p w14:paraId="7D88918B">
            <w:pPr>
              <w:ind w:firstLine="420"/>
              <w:jc w:val="left"/>
              <w:rPr>
                <w:rStyle w:val="53"/>
                <w:rFonts w:hint="default" w:ascii="Times New Roman" w:hAnsi="Times New Roman" w:cs="Times New Roman"/>
              </w:rPr>
            </w:pPr>
          </w:p>
        </w:tc>
      </w:tr>
      <w:tr w14:paraId="03597C38">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190DD42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7</w:t>
            </w:r>
          </w:p>
        </w:tc>
        <w:tc>
          <w:tcPr>
            <w:tcW w:w="1245" w:type="dxa"/>
            <w:vAlign w:val="center"/>
          </w:tcPr>
          <w:p w14:paraId="5FE1DC2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废活性炭</w:t>
            </w:r>
          </w:p>
        </w:tc>
        <w:tc>
          <w:tcPr>
            <w:tcW w:w="1408" w:type="dxa"/>
            <w:vAlign w:val="center"/>
          </w:tcPr>
          <w:p w14:paraId="6566E1C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环保末端处理设备</w:t>
            </w:r>
          </w:p>
        </w:tc>
        <w:tc>
          <w:tcPr>
            <w:tcW w:w="642" w:type="dxa"/>
            <w:vAlign w:val="center"/>
          </w:tcPr>
          <w:p w14:paraId="4815F1DE">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4C73151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活性炭</w:t>
            </w:r>
          </w:p>
        </w:tc>
        <w:tc>
          <w:tcPr>
            <w:tcW w:w="1340" w:type="dxa"/>
            <w:vAlign w:val="center"/>
          </w:tcPr>
          <w:p w14:paraId="1940C32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70t/10a</w:t>
            </w:r>
          </w:p>
        </w:tc>
        <w:tc>
          <w:tcPr>
            <w:tcW w:w="850" w:type="dxa"/>
            <w:vAlign w:val="center"/>
          </w:tcPr>
          <w:p w14:paraId="27F041F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3F191EA5">
            <w:pPr>
              <w:ind w:firstLine="420"/>
              <w:jc w:val="center"/>
              <w:rPr>
                <w:rStyle w:val="53"/>
                <w:rFonts w:hint="default" w:ascii="Times New Roman" w:hAnsi="Times New Roman" w:cs="Times New Roman"/>
              </w:rPr>
            </w:pPr>
          </w:p>
        </w:tc>
        <w:tc>
          <w:tcPr>
            <w:tcW w:w="759" w:type="dxa"/>
            <w:vMerge w:val="continue"/>
            <w:vAlign w:val="center"/>
          </w:tcPr>
          <w:p w14:paraId="5444AA73">
            <w:pPr>
              <w:ind w:firstLine="420"/>
              <w:jc w:val="left"/>
              <w:rPr>
                <w:rStyle w:val="53"/>
                <w:rFonts w:hint="default" w:ascii="Times New Roman" w:hAnsi="Times New Roman" w:cs="Times New Roman"/>
              </w:rPr>
            </w:pPr>
          </w:p>
        </w:tc>
      </w:tr>
      <w:tr w14:paraId="6CB2B7C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568FD8F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8</w:t>
            </w:r>
          </w:p>
        </w:tc>
        <w:tc>
          <w:tcPr>
            <w:tcW w:w="1245" w:type="dxa"/>
            <w:vAlign w:val="center"/>
          </w:tcPr>
          <w:p w14:paraId="509D3E2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废沸石</w:t>
            </w:r>
          </w:p>
        </w:tc>
        <w:tc>
          <w:tcPr>
            <w:tcW w:w="1408" w:type="dxa"/>
            <w:vAlign w:val="center"/>
          </w:tcPr>
          <w:p w14:paraId="45DD808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环保末端处理设备</w:t>
            </w:r>
          </w:p>
        </w:tc>
        <w:tc>
          <w:tcPr>
            <w:tcW w:w="642" w:type="dxa"/>
            <w:vAlign w:val="center"/>
          </w:tcPr>
          <w:p w14:paraId="08B7A28E">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固态</w:t>
            </w:r>
          </w:p>
        </w:tc>
        <w:tc>
          <w:tcPr>
            <w:tcW w:w="1008" w:type="dxa"/>
            <w:vAlign w:val="center"/>
          </w:tcPr>
          <w:p w14:paraId="645B5AF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沸石</w:t>
            </w:r>
          </w:p>
        </w:tc>
        <w:tc>
          <w:tcPr>
            <w:tcW w:w="1340" w:type="dxa"/>
            <w:vAlign w:val="center"/>
          </w:tcPr>
          <w:p w14:paraId="1269089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2.5t/8a</w:t>
            </w:r>
          </w:p>
        </w:tc>
        <w:tc>
          <w:tcPr>
            <w:tcW w:w="850" w:type="dxa"/>
            <w:vAlign w:val="center"/>
          </w:tcPr>
          <w:p w14:paraId="06E2666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068AB783">
            <w:pPr>
              <w:ind w:firstLine="420"/>
              <w:jc w:val="center"/>
              <w:rPr>
                <w:rStyle w:val="53"/>
                <w:rFonts w:hint="default" w:ascii="Times New Roman" w:hAnsi="Times New Roman" w:cs="Times New Roman"/>
              </w:rPr>
            </w:pPr>
          </w:p>
        </w:tc>
        <w:tc>
          <w:tcPr>
            <w:tcW w:w="759" w:type="dxa"/>
            <w:vMerge w:val="continue"/>
            <w:vAlign w:val="center"/>
          </w:tcPr>
          <w:p w14:paraId="2DFBBE9F">
            <w:pPr>
              <w:ind w:firstLine="420"/>
              <w:jc w:val="left"/>
              <w:rPr>
                <w:rStyle w:val="53"/>
                <w:rFonts w:hint="default" w:ascii="Times New Roman" w:hAnsi="Times New Roman" w:cs="Times New Roman"/>
              </w:rPr>
            </w:pPr>
          </w:p>
        </w:tc>
      </w:tr>
      <w:tr w14:paraId="78F9C94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79E3850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9</w:t>
            </w:r>
          </w:p>
        </w:tc>
        <w:tc>
          <w:tcPr>
            <w:tcW w:w="1245" w:type="dxa"/>
            <w:vAlign w:val="center"/>
          </w:tcPr>
          <w:p w14:paraId="4D840C6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精馏残液</w:t>
            </w:r>
          </w:p>
        </w:tc>
        <w:tc>
          <w:tcPr>
            <w:tcW w:w="1408" w:type="dxa"/>
            <w:vAlign w:val="center"/>
          </w:tcPr>
          <w:p w14:paraId="7723853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环保末端处理设备</w:t>
            </w:r>
          </w:p>
        </w:tc>
        <w:tc>
          <w:tcPr>
            <w:tcW w:w="642" w:type="dxa"/>
            <w:vAlign w:val="center"/>
          </w:tcPr>
          <w:p w14:paraId="434A567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液态</w:t>
            </w:r>
          </w:p>
        </w:tc>
        <w:tc>
          <w:tcPr>
            <w:tcW w:w="1008" w:type="dxa"/>
            <w:vAlign w:val="center"/>
          </w:tcPr>
          <w:p w14:paraId="5413B25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高沸物和釜底残渣</w:t>
            </w:r>
          </w:p>
        </w:tc>
        <w:tc>
          <w:tcPr>
            <w:tcW w:w="1340" w:type="dxa"/>
            <w:vAlign w:val="center"/>
          </w:tcPr>
          <w:p w14:paraId="21CD2A6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90.561t/a</w:t>
            </w:r>
          </w:p>
        </w:tc>
        <w:tc>
          <w:tcPr>
            <w:tcW w:w="850" w:type="dxa"/>
            <w:vAlign w:val="center"/>
          </w:tcPr>
          <w:p w14:paraId="52C57F5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56303C5D">
            <w:pPr>
              <w:ind w:firstLine="420"/>
              <w:jc w:val="center"/>
              <w:rPr>
                <w:rStyle w:val="53"/>
                <w:rFonts w:hint="default" w:ascii="Times New Roman" w:hAnsi="Times New Roman" w:cs="Times New Roman"/>
              </w:rPr>
            </w:pPr>
          </w:p>
        </w:tc>
        <w:tc>
          <w:tcPr>
            <w:tcW w:w="759" w:type="dxa"/>
            <w:vMerge w:val="continue"/>
            <w:vAlign w:val="center"/>
          </w:tcPr>
          <w:p w14:paraId="4C496C86">
            <w:pPr>
              <w:ind w:firstLine="420"/>
              <w:jc w:val="left"/>
              <w:rPr>
                <w:rStyle w:val="53"/>
                <w:rFonts w:hint="default" w:ascii="Times New Roman" w:hAnsi="Times New Roman" w:cs="Times New Roman"/>
              </w:rPr>
            </w:pPr>
          </w:p>
        </w:tc>
      </w:tr>
      <w:tr w14:paraId="3CE1FFF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2E03F72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10</w:t>
            </w:r>
          </w:p>
        </w:tc>
        <w:tc>
          <w:tcPr>
            <w:tcW w:w="1245" w:type="dxa"/>
            <w:vAlign w:val="center"/>
          </w:tcPr>
          <w:p w14:paraId="2062E1B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废润滑油及其包装桶</w:t>
            </w:r>
          </w:p>
        </w:tc>
        <w:tc>
          <w:tcPr>
            <w:tcW w:w="1408" w:type="dxa"/>
            <w:vAlign w:val="center"/>
          </w:tcPr>
          <w:p w14:paraId="0C7B3DB0">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设备维修及维护</w:t>
            </w:r>
          </w:p>
        </w:tc>
        <w:tc>
          <w:tcPr>
            <w:tcW w:w="642" w:type="dxa"/>
            <w:vAlign w:val="center"/>
          </w:tcPr>
          <w:p w14:paraId="0F5AC36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液态、固态</w:t>
            </w:r>
          </w:p>
        </w:tc>
        <w:tc>
          <w:tcPr>
            <w:tcW w:w="1008" w:type="dxa"/>
            <w:vAlign w:val="center"/>
          </w:tcPr>
          <w:p w14:paraId="2CB92E1D">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废矿物油</w:t>
            </w:r>
          </w:p>
        </w:tc>
        <w:tc>
          <w:tcPr>
            <w:tcW w:w="1340" w:type="dxa"/>
            <w:vAlign w:val="center"/>
          </w:tcPr>
          <w:p w14:paraId="55F85AD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0.5t/a</w:t>
            </w:r>
          </w:p>
        </w:tc>
        <w:tc>
          <w:tcPr>
            <w:tcW w:w="850" w:type="dxa"/>
            <w:vAlign w:val="center"/>
          </w:tcPr>
          <w:p w14:paraId="559BB2C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7E63708D">
            <w:pPr>
              <w:ind w:firstLine="420"/>
              <w:jc w:val="center"/>
              <w:rPr>
                <w:rStyle w:val="53"/>
                <w:rFonts w:hint="default" w:ascii="Times New Roman" w:hAnsi="Times New Roman" w:cs="Times New Roman"/>
              </w:rPr>
            </w:pPr>
          </w:p>
        </w:tc>
        <w:tc>
          <w:tcPr>
            <w:tcW w:w="759" w:type="dxa"/>
            <w:vMerge w:val="continue"/>
            <w:vAlign w:val="center"/>
          </w:tcPr>
          <w:p w14:paraId="49553C0E">
            <w:pPr>
              <w:ind w:firstLine="420"/>
              <w:jc w:val="left"/>
              <w:rPr>
                <w:rStyle w:val="53"/>
                <w:rFonts w:hint="default" w:ascii="Times New Roman" w:hAnsi="Times New Roman" w:cs="Times New Roman"/>
              </w:rPr>
            </w:pPr>
          </w:p>
        </w:tc>
      </w:tr>
      <w:tr w14:paraId="25652F9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61" w:type="dxa"/>
            <w:vAlign w:val="center"/>
          </w:tcPr>
          <w:p w14:paraId="2413AA1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11</w:t>
            </w:r>
          </w:p>
        </w:tc>
        <w:tc>
          <w:tcPr>
            <w:tcW w:w="1245" w:type="dxa"/>
            <w:vAlign w:val="center"/>
          </w:tcPr>
          <w:p w14:paraId="1D248161">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废导热油及其包装桶</w:t>
            </w:r>
          </w:p>
        </w:tc>
        <w:tc>
          <w:tcPr>
            <w:tcW w:w="1408" w:type="dxa"/>
            <w:vAlign w:val="center"/>
          </w:tcPr>
          <w:p w14:paraId="7FDEBC4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导热油锅炉</w:t>
            </w:r>
          </w:p>
        </w:tc>
        <w:tc>
          <w:tcPr>
            <w:tcW w:w="642" w:type="dxa"/>
            <w:vAlign w:val="center"/>
          </w:tcPr>
          <w:p w14:paraId="64E642B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液态、固态</w:t>
            </w:r>
          </w:p>
        </w:tc>
        <w:tc>
          <w:tcPr>
            <w:tcW w:w="1008" w:type="dxa"/>
            <w:vAlign w:val="center"/>
          </w:tcPr>
          <w:p w14:paraId="6E6FF4F5">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废矿物油</w:t>
            </w:r>
          </w:p>
        </w:tc>
        <w:tc>
          <w:tcPr>
            <w:tcW w:w="1340" w:type="dxa"/>
            <w:vAlign w:val="center"/>
          </w:tcPr>
          <w:p w14:paraId="33E8FDB4">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2t/2a</w:t>
            </w:r>
          </w:p>
        </w:tc>
        <w:tc>
          <w:tcPr>
            <w:tcW w:w="850" w:type="dxa"/>
            <w:vAlign w:val="center"/>
          </w:tcPr>
          <w:p w14:paraId="6865D5F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w:t>
            </w:r>
          </w:p>
        </w:tc>
        <w:tc>
          <w:tcPr>
            <w:tcW w:w="709" w:type="dxa"/>
            <w:vMerge w:val="continue"/>
            <w:vAlign w:val="center"/>
          </w:tcPr>
          <w:p w14:paraId="6F4B8904">
            <w:pPr>
              <w:ind w:firstLine="420"/>
              <w:jc w:val="center"/>
              <w:rPr>
                <w:rStyle w:val="53"/>
                <w:rFonts w:hint="default" w:ascii="Times New Roman" w:hAnsi="Times New Roman" w:cs="Times New Roman"/>
              </w:rPr>
            </w:pPr>
          </w:p>
        </w:tc>
        <w:tc>
          <w:tcPr>
            <w:tcW w:w="759" w:type="dxa"/>
            <w:vMerge w:val="continue"/>
            <w:vAlign w:val="center"/>
          </w:tcPr>
          <w:p w14:paraId="727658C6">
            <w:pPr>
              <w:ind w:firstLine="420"/>
              <w:jc w:val="left"/>
              <w:rPr>
                <w:rStyle w:val="53"/>
                <w:rFonts w:hint="default" w:ascii="Times New Roman" w:hAnsi="Times New Roman" w:cs="Times New Roman"/>
              </w:rPr>
            </w:pPr>
          </w:p>
        </w:tc>
      </w:tr>
    </w:tbl>
    <w:p w14:paraId="7C34D116">
      <w:pPr>
        <w:pStyle w:val="38"/>
        <w:ind w:firstLine="480"/>
        <w:rPr>
          <w:rFonts w:ascii="Times New Roman" w:hAnsi="Times New Roman" w:eastAsia="宋体" w:cs="Times New Roman"/>
          <w:color w:val="auto"/>
        </w:rPr>
      </w:pPr>
      <w:r>
        <w:rPr>
          <w:rFonts w:ascii="Times New Roman" w:hAnsi="Times New Roman" w:eastAsia="宋体" w:cs="Times New Roman"/>
          <w:color w:val="auto"/>
        </w:rPr>
        <w:t>项目固体废物处置方式汇总见表</w:t>
      </w:r>
      <w:r>
        <w:rPr>
          <w:rFonts w:hint="eastAsia" w:ascii="Times New Roman" w:hAnsi="Times New Roman" w:cs="Times New Roman"/>
          <w:color w:val="auto"/>
        </w:rPr>
        <w:t>4.3-14</w:t>
      </w:r>
      <w:r>
        <w:rPr>
          <w:rFonts w:ascii="Times New Roman" w:hAnsi="Times New Roman" w:eastAsia="宋体" w:cs="Times New Roman"/>
          <w:color w:val="auto"/>
        </w:rPr>
        <w:t>。</w:t>
      </w:r>
    </w:p>
    <w:p w14:paraId="0D181237">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表4.3-14</w:t>
      </w:r>
      <w:r>
        <w:rPr>
          <w:rFonts w:hint="eastAsia" w:ascii="宋体" w:hAnsi="宋体" w:cs="宋体"/>
          <w:b/>
          <w:bCs/>
          <w:color w:val="auto"/>
          <w:kern w:val="2"/>
          <w:sz w:val="21"/>
          <w:szCs w:val="21"/>
          <w:lang w:val="en-US" w:eastAsia="zh-CN" w:bidi="ar-SA"/>
        </w:rPr>
        <w:t xml:space="preserve">     </w:t>
      </w:r>
      <w:r>
        <w:rPr>
          <w:rFonts w:hint="eastAsia"/>
        </w:rPr>
        <w:t>项目变更后固体废物处置方式汇总</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autofit"/>
        <w:tblCellMar>
          <w:top w:w="0" w:type="dxa"/>
          <w:left w:w="108" w:type="dxa"/>
          <w:bottom w:w="0" w:type="dxa"/>
          <w:right w:w="108" w:type="dxa"/>
        </w:tblCellMar>
      </w:tblPr>
      <w:tblGrid>
        <w:gridCol w:w="432"/>
        <w:gridCol w:w="715"/>
        <w:gridCol w:w="849"/>
        <w:gridCol w:w="588"/>
        <w:gridCol w:w="1210"/>
        <w:gridCol w:w="1112"/>
        <w:gridCol w:w="614"/>
        <w:gridCol w:w="941"/>
        <w:gridCol w:w="1255"/>
        <w:gridCol w:w="806"/>
      </w:tblGrid>
      <w:tr w14:paraId="215C18B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33F2FF9E">
            <w:pPr>
              <w:pStyle w:val="64"/>
              <w:spacing w:line="240" w:lineRule="auto"/>
              <w:ind w:firstLine="0"/>
              <w:rPr>
                <w:sz w:val="21"/>
                <w:szCs w:val="21"/>
              </w:rPr>
            </w:pPr>
            <w:r>
              <w:rPr>
                <w:sz w:val="21"/>
                <w:szCs w:val="21"/>
              </w:rPr>
              <w:t>序号</w:t>
            </w:r>
          </w:p>
        </w:tc>
        <w:tc>
          <w:tcPr>
            <w:tcW w:w="715" w:type="dxa"/>
            <w:tcBorders>
              <w:tl2br w:val="nil"/>
              <w:tr2bl w:val="nil"/>
            </w:tcBorders>
            <w:vAlign w:val="center"/>
          </w:tcPr>
          <w:p w14:paraId="5B8E33F5">
            <w:pPr>
              <w:pStyle w:val="64"/>
              <w:spacing w:line="240" w:lineRule="auto"/>
              <w:ind w:firstLine="0"/>
              <w:rPr>
                <w:sz w:val="21"/>
                <w:szCs w:val="21"/>
              </w:rPr>
            </w:pPr>
            <w:r>
              <w:rPr>
                <w:sz w:val="21"/>
                <w:szCs w:val="21"/>
              </w:rPr>
              <w:t>固体废物</w:t>
            </w:r>
          </w:p>
          <w:p w14:paraId="08F676A9">
            <w:pPr>
              <w:pStyle w:val="64"/>
              <w:spacing w:line="240" w:lineRule="auto"/>
              <w:ind w:firstLine="0"/>
              <w:rPr>
                <w:sz w:val="21"/>
                <w:szCs w:val="21"/>
              </w:rPr>
            </w:pPr>
            <w:r>
              <w:rPr>
                <w:sz w:val="21"/>
                <w:szCs w:val="21"/>
              </w:rPr>
              <w:t>名称</w:t>
            </w:r>
          </w:p>
        </w:tc>
        <w:tc>
          <w:tcPr>
            <w:tcW w:w="849" w:type="dxa"/>
            <w:tcBorders>
              <w:tl2br w:val="nil"/>
              <w:tr2bl w:val="nil"/>
            </w:tcBorders>
            <w:vAlign w:val="center"/>
          </w:tcPr>
          <w:p w14:paraId="6B73CE29">
            <w:pPr>
              <w:pStyle w:val="64"/>
              <w:spacing w:line="240" w:lineRule="auto"/>
              <w:ind w:firstLine="0"/>
              <w:rPr>
                <w:sz w:val="21"/>
                <w:szCs w:val="21"/>
              </w:rPr>
            </w:pPr>
            <w:r>
              <w:rPr>
                <w:sz w:val="21"/>
                <w:szCs w:val="21"/>
              </w:rPr>
              <w:t>产生工序</w:t>
            </w:r>
          </w:p>
        </w:tc>
        <w:tc>
          <w:tcPr>
            <w:tcW w:w="588" w:type="dxa"/>
            <w:tcBorders>
              <w:tl2br w:val="nil"/>
              <w:tr2bl w:val="nil"/>
            </w:tcBorders>
            <w:vAlign w:val="center"/>
          </w:tcPr>
          <w:p w14:paraId="13A1A144">
            <w:pPr>
              <w:pStyle w:val="64"/>
              <w:spacing w:line="240" w:lineRule="auto"/>
              <w:ind w:firstLine="0"/>
              <w:rPr>
                <w:sz w:val="21"/>
                <w:szCs w:val="21"/>
              </w:rPr>
            </w:pPr>
            <w:r>
              <w:rPr>
                <w:sz w:val="21"/>
                <w:szCs w:val="21"/>
              </w:rPr>
              <w:t>属性</w:t>
            </w:r>
          </w:p>
        </w:tc>
        <w:tc>
          <w:tcPr>
            <w:tcW w:w="1210" w:type="dxa"/>
            <w:tcBorders>
              <w:tl2br w:val="nil"/>
              <w:tr2bl w:val="nil"/>
            </w:tcBorders>
            <w:vAlign w:val="center"/>
          </w:tcPr>
          <w:p w14:paraId="50374755">
            <w:pPr>
              <w:pStyle w:val="64"/>
              <w:spacing w:line="240" w:lineRule="auto"/>
              <w:ind w:firstLine="0"/>
              <w:rPr>
                <w:sz w:val="21"/>
                <w:szCs w:val="21"/>
              </w:rPr>
            </w:pPr>
            <w:r>
              <w:rPr>
                <w:sz w:val="21"/>
                <w:szCs w:val="21"/>
              </w:rPr>
              <w:t>危险废物类别/代码</w:t>
            </w:r>
          </w:p>
        </w:tc>
        <w:tc>
          <w:tcPr>
            <w:tcW w:w="1112" w:type="dxa"/>
            <w:tcBorders>
              <w:tl2br w:val="nil"/>
              <w:tr2bl w:val="nil"/>
            </w:tcBorders>
            <w:vAlign w:val="center"/>
          </w:tcPr>
          <w:p w14:paraId="0A9ECA98">
            <w:pPr>
              <w:pStyle w:val="64"/>
              <w:spacing w:line="240" w:lineRule="auto"/>
              <w:ind w:firstLine="0"/>
              <w:rPr>
                <w:sz w:val="21"/>
                <w:szCs w:val="21"/>
              </w:rPr>
            </w:pPr>
            <w:r>
              <w:rPr>
                <w:sz w:val="21"/>
                <w:szCs w:val="21"/>
              </w:rPr>
              <w:t>预测产生量</w:t>
            </w:r>
          </w:p>
        </w:tc>
        <w:tc>
          <w:tcPr>
            <w:tcW w:w="614" w:type="dxa"/>
            <w:tcBorders>
              <w:tl2br w:val="nil"/>
              <w:tr2bl w:val="nil"/>
            </w:tcBorders>
            <w:vAlign w:val="center"/>
          </w:tcPr>
          <w:p w14:paraId="5C9E04E0">
            <w:pPr>
              <w:pStyle w:val="64"/>
              <w:spacing w:line="240" w:lineRule="auto"/>
              <w:ind w:firstLine="0"/>
              <w:rPr>
                <w:sz w:val="21"/>
                <w:szCs w:val="21"/>
              </w:rPr>
            </w:pPr>
            <w:r>
              <w:rPr>
                <w:sz w:val="21"/>
                <w:szCs w:val="21"/>
              </w:rPr>
              <w:t>贮存周期</w:t>
            </w:r>
          </w:p>
        </w:tc>
        <w:tc>
          <w:tcPr>
            <w:tcW w:w="941" w:type="dxa"/>
            <w:tcBorders>
              <w:tl2br w:val="nil"/>
              <w:tr2bl w:val="nil"/>
            </w:tcBorders>
            <w:vAlign w:val="center"/>
          </w:tcPr>
          <w:p w14:paraId="33602DF8">
            <w:pPr>
              <w:pStyle w:val="64"/>
              <w:spacing w:line="240" w:lineRule="auto"/>
              <w:ind w:firstLine="0"/>
              <w:rPr>
                <w:sz w:val="21"/>
                <w:szCs w:val="21"/>
              </w:rPr>
            </w:pPr>
            <w:r>
              <w:rPr>
                <w:sz w:val="21"/>
                <w:szCs w:val="21"/>
              </w:rPr>
              <w:t>危险特性</w:t>
            </w:r>
          </w:p>
        </w:tc>
        <w:tc>
          <w:tcPr>
            <w:tcW w:w="1255" w:type="dxa"/>
            <w:tcBorders>
              <w:tl2br w:val="nil"/>
              <w:tr2bl w:val="nil"/>
            </w:tcBorders>
            <w:vAlign w:val="center"/>
          </w:tcPr>
          <w:p w14:paraId="53547B2F">
            <w:pPr>
              <w:pStyle w:val="64"/>
              <w:spacing w:line="240" w:lineRule="auto"/>
              <w:ind w:firstLine="0"/>
              <w:rPr>
                <w:sz w:val="21"/>
                <w:szCs w:val="21"/>
              </w:rPr>
            </w:pPr>
            <w:r>
              <w:rPr>
                <w:sz w:val="21"/>
                <w:szCs w:val="21"/>
              </w:rPr>
              <w:t>利用处置方式</w:t>
            </w:r>
          </w:p>
        </w:tc>
        <w:tc>
          <w:tcPr>
            <w:tcW w:w="806" w:type="dxa"/>
            <w:tcBorders>
              <w:tl2br w:val="nil"/>
              <w:tr2bl w:val="nil"/>
            </w:tcBorders>
            <w:vAlign w:val="center"/>
          </w:tcPr>
          <w:p w14:paraId="3D8B6945">
            <w:pPr>
              <w:pStyle w:val="64"/>
              <w:spacing w:line="240" w:lineRule="auto"/>
              <w:ind w:firstLine="0"/>
              <w:rPr>
                <w:sz w:val="21"/>
                <w:szCs w:val="21"/>
              </w:rPr>
            </w:pPr>
            <w:r>
              <w:rPr>
                <w:sz w:val="21"/>
                <w:szCs w:val="21"/>
              </w:rPr>
              <w:t>是否符合环保要求</w:t>
            </w:r>
          </w:p>
        </w:tc>
      </w:tr>
      <w:tr w14:paraId="608DEC5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2E3E75AF">
            <w:pPr>
              <w:pStyle w:val="64"/>
              <w:spacing w:line="240" w:lineRule="auto"/>
              <w:ind w:firstLine="0"/>
              <w:rPr>
                <w:sz w:val="21"/>
                <w:szCs w:val="21"/>
              </w:rPr>
            </w:pPr>
            <w:r>
              <w:rPr>
                <w:sz w:val="21"/>
                <w:szCs w:val="21"/>
              </w:rPr>
              <w:t>1</w:t>
            </w:r>
          </w:p>
        </w:tc>
        <w:tc>
          <w:tcPr>
            <w:tcW w:w="715" w:type="dxa"/>
            <w:tcBorders>
              <w:tl2br w:val="nil"/>
              <w:tr2bl w:val="nil"/>
            </w:tcBorders>
            <w:vAlign w:val="center"/>
          </w:tcPr>
          <w:p w14:paraId="5D35BAF9">
            <w:pPr>
              <w:pStyle w:val="64"/>
              <w:spacing w:line="240" w:lineRule="auto"/>
              <w:ind w:firstLine="0"/>
              <w:rPr>
                <w:sz w:val="21"/>
                <w:szCs w:val="21"/>
              </w:rPr>
            </w:pPr>
            <w:r>
              <w:rPr>
                <w:sz w:val="21"/>
                <w:szCs w:val="21"/>
              </w:rPr>
              <w:t>废印刷版</w:t>
            </w:r>
          </w:p>
        </w:tc>
        <w:tc>
          <w:tcPr>
            <w:tcW w:w="849" w:type="dxa"/>
            <w:tcBorders>
              <w:tl2br w:val="nil"/>
              <w:tr2bl w:val="nil"/>
            </w:tcBorders>
            <w:vAlign w:val="center"/>
          </w:tcPr>
          <w:p w14:paraId="7900A39D">
            <w:pPr>
              <w:pStyle w:val="64"/>
              <w:spacing w:line="240" w:lineRule="auto"/>
              <w:ind w:firstLine="0"/>
              <w:rPr>
                <w:sz w:val="21"/>
                <w:szCs w:val="21"/>
              </w:rPr>
            </w:pPr>
            <w:r>
              <w:rPr>
                <w:sz w:val="21"/>
                <w:szCs w:val="21"/>
              </w:rPr>
              <w:t>印刷</w:t>
            </w:r>
          </w:p>
        </w:tc>
        <w:tc>
          <w:tcPr>
            <w:tcW w:w="588" w:type="dxa"/>
            <w:vMerge w:val="restart"/>
            <w:tcBorders>
              <w:tl2br w:val="nil"/>
              <w:tr2bl w:val="nil"/>
            </w:tcBorders>
            <w:vAlign w:val="center"/>
          </w:tcPr>
          <w:p w14:paraId="47F0B1E8">
            <w:pPr>
              <w:pStyle w:val="64"/>
              <w:spacing w:line="240" w:lineRule="auto"/>
              <w:ind w:firstLine="0"/>
              <w:rPr>
                <w:sz w:val="21"/>
                <w:szCs w:val="21"/>
              </w:rPr>
            </w:pPr>
            <w:r>
              <w:rPr>
                <w:sz w:val="21"/>
                <w:szCs w:val="21"/>
              </w:rPr>
              <w:t>一般固废</w:t>
            </w:r>
          </w:p>
        </w:tc>
        <w:tc>
          <w:tcPr>
            <w:tcW w:w="1210" w:type="dxa"/>
            <w:tcBorders>
              <w:tl2br w:val="nil"/>
              <w:tr2bl w:val="nil"/>
            </w:tcBorders>
            <w:vAlign w:val="center"/>
          </w:tcPr>
          <w:p w14:paraId="6CA6EA02">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5043D41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6677只/a</w:t>
            </w:r>
          </w:p>
        </w:tc>
        <w:tc>
          <w:tcPr>
            <w:tcW w:w="614" w:type="dxa"/>
            <w:tcBorders>
              <w:tl2br w:val="nil"/>
              <w:tr2bl w:val="nil"/>
            </w:tcBorders>
            <w:vAlign w:val="center"/>
          </w:tcPr>
          <w:p w14:paraId="10624DFE">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36830477">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5157B1E5">
            <w:pPr>
              <w:pStyle w:val="64"/>
              <w:spacing w:line="240" w:lineRule="auto"/>
              <w:ind w:firstLine="0"/>
              <w:rPr>
                <w:sz w:val="21"/>
                <w:szCs w:val="21"/>
              </w:rPr>
            </w:pPr>
            <w:r>
              <w:rPr>
                <w:sz w:val="21"/>
                <w:szCs w:val="21"/>
              </w:rPr>
              <w:t>交由原厂商进行回收、再利用</w:t>
            </w:r>
          </w:p>
        </w:tc>
        <w:tc>
          <w:tcPr>
            <w:tcW w:w="806" w:type="dxa"/>
            <w:tcBorders>
              <w:tl2br w:val="nil"/>
              <w:tr2bl w:val="nil"/>
            </w:tcBorders>
            <w:vAlign w:val="center"/>
          </w:tcPr>
          <w:p w14:paraId="53114290">
            <w:pPr>
              <w:pStyle w:val="64"/>
              <w:spacing w:line="240" w:lineRule="auto"/>
              <w:ind w:firstLine="0"/>
              <w:rPr>
                <w:sz w:val="21"/>
                <w:szCs w:val="21"/>
              </w:rPr>
            </w:pPr>
            <w:r>
              <w:rPr>
                <w:sz w:val="21"/>
                <w:szCs w:val="21"/>
              </w:rPr>
              <w:t>符合</w:t>
            </w:r>
          </w:p>
        </w:tc>
      </w:tr>
      <w:tr w14:paraId="0D9359B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19705502">
            <w:pPr>
              <w:pStyle w:val="64"/>
              <w:spacing w:line="240" w:lineRule="auto"/>
              <w:ind w:firstLine="0"/>
              <w:rPr>
                <w:sz w:val="21"/>
                <w:szCs w:val="21"/>
              </w:rPr>
            </w:pPr>
            <w:r>
              <w:rPr>
                <w:sz w:val="21"/>
                <w:szCs w:val="21"/>
              </w:rPr>
              <w:t>2</w:t>
            </w:r>
          </w:p>
        </w:tc>
        <w:tc>
          <w:tcPr>
            <w:tcW w:w="715" w:type="dxa"/>
            <w:tcBorders>
              <w:tl2br w:val="nil"/>
              <w:tr2bl w:val="nil"/>
            </w:tcBorders>
            <w:vAlign w:val="center"/>
          </w:tcPr>
          <w:p w14:paraId="1F8D4A7A">
            <w:pPr>
              <w:pStyle w:val="64"/>
              <w:spacing w:line="240" w:lineRule="auto"/>
              <w:ind w:firstLine="0"/>
              <w:rPr>
                <w:sz w:val="21"/>
                <w:szCs w:val="21"/>
              </w:rPr>
            </w:pPr>
            <w:r>
              <w:rPr>
                <w:sz w:val="21"/>
                <w:szCs w:val="21"/>
              </w:rPr>
              <w:t>废边角料</w:t>
            </w:r>
          </w:p>
        </w:tc>
        <w:tc>
          <w:tcPr>
            <w:tcW w:w="849" w:type="dxa"/>
            <w:tcBorders>
              <w:tl2br w:val="nil"/>
              <w:tr2bl w:val="nil"/>
            </w:tcBorders>
            <w:vAlign w:val="center"/>
          </w:tcPr>
          <w:p w14:paraId="75A5DA5F">
            <w:pPr>
              <w:pStyle w:val="64"/>
              <w:spacing w:line="240" w:lineRule="auto"/>
              <w:ind w:firstLine="0"/>
              <w:rPr>
                <w:sz w:val="21"/>
                <w:szCs w:val="21"/>
              </w:rPr>
            </w:pPr>
            <w:r>
              <w:rPr>
                <w:sz w:val="21"/>
                <w:szCs w:val="21"/>
              </w:rPr>
              <w:t>分切及制袋过程中</w:t>
            </w:r>
          </w:p>
        </w:tc>
        <w:tc>
          <w:tcPr>
            <w:tcW w:w="588" w:type="dxa"/>
            <w:vMerge w:val="continue"/>
            <w:tcBorders>
              <w:tl2br w:val="nil"/>
              <w:tr2bl w:val="nil"/>
            </w:tcBorders>
            <w:vAlign w:val="center"/>
          </w:tcPr>
          <w:p w14:paraId="4DAEFDED">
            <w:pPr>
              <w:pStyle w:val="64"/>
              <w:spacing w:line="240" w:lineRule="auto"/>
              <w:ind w:firstLine="0"/>
              <w:rPr>
                <w:sz w:val="21"/>
                <w:szCs w:val="21"/>
              </w:rPr>
            </w:pPr>
          </w:p>
        </w:tc>
        <w:tc>
          <w:tcPr>
            <w:tcW w:w="1210" w:type="dxa"/>
            <w:tcBorders>
              <w:tl2br w:val="nil"/>
              <w:tr2bl w:val="nil"/>
            </w:tcBorders>
            <w:vAlign w:val="center"/>
          </w:tcPr>
          <w:p w14:paraId="190A400E">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1F76B3C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600t/a</w:t>
            </w:r>
          </w:p>
        </w:tc>
        <w:tc>
          <w:tcPr>
            <w:tcW w:w="614" w:type="dxa"/>
            <w:tcBorders>
              <w:tl2br w:val="nil"/>
              <w:tr2bl w:val="nil"/>
            </w:tcBorders>
            <w:vAlign w:val="center"/>
          </w:tcPr>
          <w:p w14:paraId="3193ACC3">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66CE8636">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5E821B60">
            <w:pPr>
              <w:pStyle w:val="64"/>
              <w:spacing w:line="240" w:lineRule="auto"/>
              <w:ind w:firstLine="0"/>
              <w:rPr>
                <w:sz w:val="21"/>
                <w:szCs w:val="21"/>
              </w:rPr>
            </w:pPr>
            <w:r>
              <w:rPr>
                <w:sz w:val="21"/>
                <w:szCs w:val="21"/>
              </w:rPr>
              <w:t>定期由塑料收购企业定期回收再利用</w:t>
            </w:r>
          </w:p>
        </w:tc>
        <w:tc>
          <w:tcPr>
            <w:tcW w:w="806" w:type="dxa"/>
            <w:tcBorders>
              <w:tl2br w:val="nil"/>
              <w:tr2bl w:val="nil"/>
            </w:tcBorders>
            <w:vAlign w:val="center"/>
          </w:tcPr>
          <w:p w14:paraId="266A0152">
            <w:pPr>
              <w:pStyle w:val="64"/>
              <w:spacing w:line="240" w:lineRule="auto"/>
              <w:ind w:firstLine="0"/>
              <w:rPr>
                <w:sz w:val="21"/>
                <w:szCs w:val="21"/>
              </w:rPr>
            </w:pPr>
            <w:r>
              <w:rPr>
                <w:sz w:val="21"/>
                <w:szCs w:val="21"/>
              </w:rPr>
              <w:t>符合</w:t>
            </w:r>
          </w:p>
        </w:tc>
      </w:tr>
      <w:tr w14:paraId="27D0F3F1">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6812C006">
            <w:pPr>
              <w:pStyle w:val="64"/>
              <w:spacing w:line="240" w:lineRule="auto"/>
              <w:ind w:firstLine="0"/>
              <w:rPr>
                <w:sz w:val="21"/>
                <w:szCs w:val="21"/>
              </w:rPr>
            </w:pPr>
            <w:r>
              <w:rPr>
                <w:sz w:val="21"/>
                <w:szCs w:val="21"/>
              </w:rPr>
              <w:t>3</w:t>
            </w:r>
          </w:p>
        </w:tc>
        <w:tc>
          <w:tcPr>
            <w:tcW w:w="715" w:type="dxa"/>
            <w:tcBorders>
              <w:tl2br w:val="nil"/>
              <w:tr2bl w:val="nil"/>
            </w:tcBorders>
            <w:vAlign w:val="center"/>
          </w:tcPr>
          <w:p w14:paraId="2BA765B3">
            <w:pPr>
              <w:pStyle w:val="64"/>
              <w:spacing w:line="240" w:lineRule="auto"/>
              <w:ind w:firstLine="0"/>
              <w:rPr>
                <w:sz w:val="21"/>
                <w:szCs w:val="21"/>
              </w:rPr>
            </w:pPr>
            <w:r>
              <w:rPr>
                <w:sz w:val="21"/>
                <w:szCs w:val="21"/>
              </w:rPr>
              <w:t>废烫金膜</w:t>
            </w:r>
          </w:p>
        </w:tc>
        <w:tc>
          <w:tcPr>
            <w:tcW w:w="849" w:type="dxa"/>
            <w:tcBorders>
              <w:tl2br w:val="nil"/>
              <w:tr2bl w:val="nil"/>
            </w:tcBorders>
            <w:vAlign w:val="center"/>
          </w:tcPr>
          <w:p w14:paraId="1AAD9DD7">
            <w:pPr>
              <w:pStyle w:val="64"/>
              <w:spacing w:line="240" w:lineRule="auto"/>
              <w:ind w:firstLine="0"/>
              <w:rPr>
                <w:sz w:val="21"/>
                <w:szCs w:val="21"/>
              </w:rPr>
            </w:pPr>
            <w:r>
              <w:rPr>
                <w:sz w:val="21"/>
                <w:szCs w:val="21"/>
              </w:rPr>
              <w:t>烫金过程</w:t>
            </w:r>
          </w:p>
        </w:tc>
        <w:tc>
          <w:tcPr>
            <w:tcW w:w="588" w:type="dxa"/>
            <w:vMerge w:val="continue"/>
            <w:tcBorders>
              <w:tl2br w:val="nil"/>
              <w:tr2bl w:val="nil"/>
            </w:tcBorders>
            <w:vAlign w:val="center"/>
          </w:tcPr>
          <w:p w14:paraId="2043D0D5">
            <w:pPr>
              <w:pStyle w:val="64"/>
              <w:spacing w:line="240" w:lineRule="auto"/>
              <w:ind w:firstLine="0"/>
              <w:rPr>
                <w:sz w:val="21"/>
                <w:szCs w:val="21"/>
              </w:rPr>
            </w:pPr>
          </w:p>
        </w:tc>
        <w:tc>
          <w:tcPr>
            <w:tcW w:w="1210" w:type="dxa"/>
            <w:tcBorders>
              <w:tl2br w:val="nil"/>
              <w:tr2bl w:val="nil"/>
            </w:tcBorders>
            <w:vAlign w:val="center"/>
          </w:tcPr>
          <w:p w14:paraId="59299F9E">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66C6677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0.96t/a</w:t>
            </w:r>
          </w:p>
        </w:tc>
        <w:tc>
          <w:tcPr>
            <w:tcW w:w="614" w:type="dxa"/>
            <w:tcBorders>
              <w:tl2br w:val="nil"/>
              <w:tr2bl w:val="nil"/>
            </w:tcBorders>
            <w:vAlign w:val="center"/>
          </w:tcPr>
          <w:p w14:paraId="4B540FA5">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64EAE414">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57CE2916">
            <w:pPr>
              <w:pStyle w:val="64"/>
              <w:spacing w:line="240" w:lineRule="auto"/>
              <w:ind w:firstLine="0"/>
              <w:rPr>
                <w:sz w:val="21"/>
                <w:szCs w:val="21"/>
              </w:rPr>
            </w:pPr>
            <w:r>
              <w:rPr>
                <w:sz w:val="21"/>
                <w:szCs w:val="21"/>
              </w:rPr>
              <w:t>经收集打捆后由废塑料收购企业定期回收再利用</w:t>
            </w:r>
          </w:p>
        </w:tc>
        <w:tc>
          <w:tcPr>
            <w:tcW w:w="806" w:type="dxa"/>
            <w:tcBorders>
              <w:tl2br w:val="nil"/>
              <w:tr2bl w:val="nil"/>
            </w:tcBorders>
            <w:vAlign w:val="center"/>
          </w:tcPr>
          <w:p w14:paraId="4A9ADE53">
            <w:pPr>
              <w:pStyle w:val="64"/>
              <w:spacing w:line="240" w:lineRule="auto"/>
              <w:ind w:firstLine="0"/>
              <w:rPr>
                <w:sz w:val="21"/>
                <w:szCs w:val="21"/>
              </w:rPr>
            </w:pPr>
            <w:r>
              <w:rPr>
                <w:sz w:val="21"/>
                <w:szCs w:val="21"/>
              </w:rPr>
              <w:t>符合</w:t>
            </w:r>
          </w:p>
        </w:tc>
      </w:tr>
      <w:tr w14:paraId="5419FD3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2896C988">
            <w:pPr>
              <w:pStyle w:val="64"/>
              <w:spacing w:line="240" w:lineRule="auto"/>
              <w:ind w:firstLine="0"/>
              <w:rPr>
                <w:sz w:val="21"/>
                <w:szCs w:val="21"/>
              </w:rPr>
            </w:pPr>
            <w:r>
              <w:rPr>
                <w:sz w:val="21"/>
                <w:szCs w:val="21"/>
              </w:rPr>
              <w:t>4</w:t>
            </w:r>
          </w:p>
        </w:tc>
        <w:tc>
          <w:tcPr>
            <w:tcW w:w="715" w:type="dxa"/>
            <w:tcBorders>
              <w:tl2br w:val="nil"/>
              <w:tr2bl w:val="nil"/>
            </w:tcBorders>
            <w:vAlign w:val="center"/>
          </w:tcPr>
          <w:p w14:paraId="678DEE62">
            <w:pPr>
              <w:pStyle w:val="64"/>
              <w:spacing w:line="240" w:lineRule="auto"/>
              <w:ind w:firstLine="0"/>
              <w:rPr>
                <w:sz w:val="21"/>
                <w:szCs w:val="21"/>
              </w:rPr>
            </w:pPr>
            <w:r>
              <w:rPr>
                <w:sz w:val="21"/>
                <w:szCs w:val="21"/>
              </w:rPr>
              <w:t>不合格产品</w:t>
            </w:r>
          </w:p>
        </w:tc>
        <w:tc>
          <w:tcPr>
            <w:tcW w:w="849" w:type="dxa"/>
            <w:tcBorders>
              <w:tl2br w:val="nil"/>
              <w:tr2bl w:val="nil"/>
            </w:tcBorders>
            <w:vAlign w:val="center"/>
          </w:tcPr>
          <w:p w14:paraId="3AE20457">
            <w:pPr>
              <w:pStyle w:val="64"/>
              <w:spacing w:line="240" w:lineRule="auto"/>
              <w:ind w:firstLine="0"/>
              <w:rPr>
                <w:sz w:val="21"/>
                <w:szCs w:val="21"/>
              </w:rPr>
            </w:pPr>
            <w:r>
              <w:rPr>
                <w:sz w:val="21"/>
                <w:szCs w:val="21"/>
              </w:rPr>
              <w:t>生产检验过程</w:t>
            </w:r>
          </w:p>
        </w:tc>
        <w:tc>
          <w:tcPr>
            <w:tcW w:w="588" w:type="dxa"/>
            <w:vMerge w:val="continue"/>
            <w:tcBorders>
              <w:tl2br w:val="nil"/>
              <w:tr2bl w:val="nil"/>
            </w:tcBorders>
            <w:vAlign w:val="center"/>
          </w:tcPr>
          <w:p w14:paraId="07FBA80E">
            <w:pPr>
              <w:pStyle w:val="64"/>
              <w:spacing w:line="240" w:lineRule="auto"/>
              <w:ind w:firstLine="0"/>
              <w:rPr>
                <w:sz w:val="21"/>
                <w:szCs w:val="21"/>
              </w:rPr>
            </w:pPr>
          </w:p>
        </w:tc>
        <w:tc>
          <w:tcPr>
            <w:tcW w:w="1210" w:type="dxa"/>
            <w:tcBorders>
              <w:tl2br w:val="nil"/>
              <w:tr2bl w:val="nil"/>
            </w:tcBorders>
            <w:vAlign w:val="center"/>
          </w:tcPr>
          <w:p w14:paraId="1BB7A6DC">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174382F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1500t/a</w:t>
            </w:r>
          </w:p>
        </w:tc>
        <w:tc>
          <w:tcPr>
            <w:tcW w:w="614" w:type="dxa"/>
            <w:tcBorders>
              <w:tl2br w:val="nil"/>
              <w:tr2bl w:val="nil"/>
            </w:tcBorders>
            <w:vAlign w:val="center"/>
          </w:tcPr>
          <w:p w14:paraId="2B97293D">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5BF167B1">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03E63DA7">
            <w:pPr>
              <w:pStyle w:val="64"/>
              <w:spacing w:line="240" w:lineRule="auto"/>
              <w:ind w:firstLine="0"/>
              <w:rPr>
                <w:sz w:val="21"/>
                <w:szCs w:val="21"/>
              </w:rPr>
            </w:pPr>
            <w:r>
              <w:rPr>
                <w:sz w:val="21"/>
                <w:szCs w:val="21"/>
              </w:rPr>
              <w:t>打捆后外卖由废塑料收购企业定期回收再利用</w:t>
            </w:r>
          </w:p>
        </w:tc>
        <w:tc>
          <w:tcPr>
            <w:tcW w:w="806" w:type="dxa"/>
            <w:tcBorders>
              <w:tl2br w:val="nil"/>
              <w:tr2bl w:val="nil"/>
            </w:tcBorders>
            <w:vAlign w:val="center"/>
          </w:tcPr>
          <w:p w14:paraId="2290BFC9">
            <w:pPr>
              <w:pStyle w:val="64"/>
              <w:spacing w:line="240" w:lineRule="auto"/>
              <w:ind w:firstLine="0"/>
              <w:rPr>
                <w:sz w:val="21"/>
                <w:szCs w:val="21"/>
              </w:rPr>
            </w:pPr>
            <w:r>
              <w:rPr>
                <w:sz w:val="21"/>
                <w:szCs w:val="21"/>
              </w:rPr>
              <w:t>符合</w:t>
            </w:r>
          </w:p>
        </w:tc>
      </w:tr>
      <w:tr w14:paraId="320B712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1FC2E3B6">
            <w:pPr>
              <w:pStyle w:val="64"/>
              <w:spacing w:line="240" w:lineRule="auto"/>
              <w:ind w:firstLine="0"/>
              <w:rPr>
                <w:sz w:val="21"/>
                <w:szCs w:val="21"/>
              </w:rPr>
            </w:pPr>
            <w:r>
              <w:rPr>
                <w:sz w:val="21"/>
                <w:szCs w:val="21"/>
              </w:rPr>
              <w:t>5</w:t>
            </w:r>
          </w:p>
        </w:tc>
        <w:tc>
          <w:tcPr>
            <w:tcW w:w="715" w:type="dxa"/>
            <w:tcBorders>
              <w:tl2br w:val="nil"/>
              <w:tr2bl w:val="nil"/>
            </w:tcBorders>
            <w:vAlign w:val="center"/>
          </w:tcPr>
          <w:p w14:paraId="749B0A6F">
            <w:pPr>
              <w:pStyle w:val="64"/>
              <w:spacing w:line="240" w:lineRule="auto"/>
              <w:ind w:firstLine="0"/>
              <w:rPr>
                <w:sz w:val="21"/>
                <w:szCs w:val="21"/>
              </w:rPr>
            </w:pPr>
            <w:r>
              <w:rPr>
                <w:sz w:val="21"/>
                <w:szCs w:val="21"/>
              </w:rPr>
              <w:t>废包装材料</w:t>
            </w:r>
          </w:p>
        </w:tc>
        <w:tc>
          <w:tcPr>
            <w:tcW w:w="849" w:type="dxa"/>
            <w:tcBorders>
              <w:tl2br w:val="nil"/>
              <w:tr2bl w:val="nil"/>
            </w:tcBorders>
            <w:vAlign w:val="center"/>
          </w:tcPr>
          <w:p w14:paraId="5546DA36">
            <w:pPr>
              <w:pStyle w:val="64"/>
              <w:spacing w:line="240" w:lineRule="auto"/>
              <w:ind w:firstLine="0"/>
              <w:rPr>
                <w:sz w:val="21"/>
                <w:szCs w:val="21"/>
              </w:rPr>
            </w:pPr>
            <w:r>
              <w:rPr>
                <w:sz w:val="21"/>
                <w:szCs w:val="21"/>
              </w:rPr>
              <w:t>原料使用过程</w:t>
            </w:r>
          </w:p>
        </w:tc>
        <w:tc>
          <w:tcPr>
            <w:tcW w:w="588" w:type="dxa"/>
            <w:vMerge w:val="continue"/>
            <w:tcBorders>
              <w:tl2br w:val="nil"/>
              <w:tr2bl w:val="nil"/>
            </w:tcBorders>
            <w:vAlign w:val="center"/>
          </w:tcPr>
          <w:p w14:paraId="65646A40">
            <w:pPr>
              <w:pStyle w:val="64"/>
              <w:spacing w:line="240" w:lineRule="auto"/>
              <w:ind w:firstLine="0"/>
              <w:rPr>
                <w:sz w:val="21"/>
                <w:szCs w:val="21"/>
              </w:rPr>
            </w:pPr>
          </w:p>
        </w:tc>
        <w:tc>
          <w:tcPr>
            <w:tcW w:w="1210" w:type="dxa"/>
            <w:tcBorders>
              <w:tl2br w:val="nil"/>
              <w:tr2bl w:val="nil"/>
            </w:tcBorders>
            <w:vAlign w:val="center"/>
          </w:tcPr>
          <w:p w14:paraId="05B4E6AF">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3C3AC5EC">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4t/a</w:t>
            </w:r>
          </w:p>
        </w:tc>
        <w:tc>
          <w:tcPr>
            <w:tcW w:w="614" w:type="dxa"/>
            <w:tcBorders>
              <w:tl2br w:val="nil"/>
              <w:tr2bl w:val="nil"/>
            </w:tcBorders>
            <w:vAlign w:val="center"/>
          </w:tcPr>
          <w:p w14:paraId="404A6057">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4972B365">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105CF31C">
            <w:pPr>
              <w:pStyle w:val="64"/>
              <w:spacing w:line="240" w:lineRule="auto"/>
              <w:ind w:firstLine="0"/>
              <w:rPr>
                <w:sz w:val="21"/>
                <w:szCs w:val="21"/>
              </w:rPr>
            </w:pPr>
            <w:r>
              <w:rPr>
                <w:sz w:val="21"/>
                <w:szCs w:val="21"/>
              </w:rPr>
              <w:t>收集后外售处置</w:t>
            </w:r>
          </w:p>
        </w:tc>
        <w:tc>
          <w:tcPr>
            <w:tcW w:w="806" w:type="dxa"/>
            <w:tcBorders>
              <w:tl2br w:val="nil"/>
              <w:tr2bl w:val="nil"/>
            </w:tcBorders>
            <w:vAlign w:val="center"/>
          </w:tcPr>
          <w:p w14:paraId="45A41602">
            <w:pPr>
              <w:pStyle w:val="64"/>
              <w:spacing w:line="240" w:lineRule="auto"/>
              <w:ind w:firstLine="0"/>
              <w:rPr>
                <w:sz w:val="21"/>
                <w:szCs w:val="21"/>
              </w:rPr>
            </w:pPr>
            <w:r>
              <w:rPr>
                <w:sz w:val="21"/>
                <w:szCs w:val="21"/>
              </w:rPr>
              <w:t>符合</w:t>
            </w:r>
          </w:p>
        </w:tc>
      </w:tr>
      <w:tr w14:paraId="24E9FA4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45C1632D">
            <w:pPr>
              <w:pStyle w:val="64"/>
              <w:spacing w:line="240" w:lineRule="auto"/>
              <w:ind w:firstLine="0"/>
              <w:rPr>
                <w:sz w:val="21"/>
                <w:szCs w:val="21"/>
              </w:rPr>
            </w:pPr>
            <w:r>
              <w:rPr>
                <w:sz w:val="21"/>
                <w:szCs w:val="21"/>
              </w:rPr>
              <w:t>6</w:t>
            </w:r>
          </w:p>
        </w:tc>
        <w:tc>
          <w:tcPr>
            <w:tcW w:w="715" w:type="dxa"/>
            <w:tcBorders>
              <w:tl2br w:val="nil"/>
              <w:tr2bl w:val="nil"/>
            </w:tcBorders>
            <w:vAlign w:val="center"/>
          </w:tcPr>
          <w:p w14:paraId="027008D2">
            <w:pPr>
              <w:pStyle w:val="64"/>
              <w:spacing w:line="240" w:lineRule="auto"/>
              <w:ind w:firstLine="0"/>
              <w:rPr>
                <w:sz w:val="21"/>
                <w:szCs w:val="21"/>
              </w:rPr>
            </w:pPr>
            <w:r>
              <w:rPr>
                <w:sz w:val="21"/>
                <w:szCs w:val="21"/>
              </w:rPr>
              <w:t>废溶剂包装桶</w:t>
            </w:r>
          </w:p>
        </w:tc>
        <w:tc>
          <w:tcPr>
            <w:tcW w:w="849" w:type="dxa"/>
            <w:tcBorders>
              <w:tl2br w:val="nil"/>
              <w:tr2bl w:val="nil"/>
            </w:tcBorders>
            <w:vAlign w:val="center"/>
          </w:tcPr>
          <w:p w14:paraId="6039C759">
            <w:pPr>
              <w:pStyle w:val="64"/>
              <w:spacing w:line="240" w:lineRule="auto"/>
              <w:ind w:firstLine="0"/>
              <w:rPr>
                <w:sz w:val="21"/>
                <w:szCs w:val="21"/>
              </w:rPr>
            </w:pPr>
            <w:r>
              <w:rPr>
                <w:sz w:val="21"/>
                <w:szCs w:val="21"/>
              </w:rPr>
              <w:t>溶剂使用过程</w:t>
            </w:r>
          </w:p>
        </w:tc>
        <w:tc>
          <w:tcPr>
            <w:tcW w:w="588" w:type="dxa"/>
            <w:tcBorders>
              <w:tl2br w:val="nil"/>
              <w:tr2bl w:val="nil"/>
            </w:tcBorders>
            <w:vAlign w:val="center"/>
          </w:tcPr>
          <w:p w14:paraId="44514E64">
            <w:pPr>
              <w:pStyle w:val="64"/>
              <w:spacing w:line="240" w:lineRule="auto"/>
              <w:ind w:firstLine="0"/>
              <w:rPr>
                <w:sz w:val="21"/>
                <w:szCs w:val="21"/>
              </w:rPr>
            </w:pPr>
          </w:p>
        </w:tc>
        <w:tc>
          <w:tcPr>
            <w:tcW w:w="1210" w:type="dxa"/>
            <w:tcBorders>
              <w:tl2br w:val="nil"/>
              <w:tr2bl w:val="nil"/>
            </w:tcBorders>
            <w:vAlign w:val="center"/>
          </w:tcPr>
          <w:p w14:paraId="441D8F55">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18CD1AB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10t/a</w:t>
            </w:r>
          </w:p>
        </w:tc>
        <w:tc>
          <w:tcPr>
            <w:tcW w:w="614" w:type="dxa"/>
            <w:tcBorders>
              <w:tl2br w:val="nil"/>
              <w:tr2bl w:val="nil"/>
            </w:tcBorders>
            <w:vAlign w:val="center"/>
          </w:tcPr>
          <w:p w14:paraId="213D3489">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47FED28D">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45D51191">
            <w:pPr>
              <w:pStyle w:val="64"/>
              <w:spacing w:line="240" w:lineRule="auto"/>
              <w:ind w:firstLine="0"/>
              <w:rPr>
                <w:sz w:val="21"/>
                <w:szCs w:val="21"/>
              </w:rPr>
            </w:pPr>
            <w:r>
              <w:rPr>
                <w:sz w:val="21"/>
                <w:szCs w:val="21"/>
              </w:rPr>
              <w:t>厂家回收</w:t>
            </w:r>
          </w:p>
        </w:tc>
        <w:tc>
          <w:tcPr>
            <w:tcW w:w="806" w:type="dxa"/>
            <w:tcBorders>
              <w:tl2br w:val="nil"/>
              <w:tr2bl w:val="nil"/>
            </w:tcBorders>
            <w:vAlign w:val="center"/>
          </w:tcPr>
          <w:p w14:paraId="5ACB5FEF">
            <w:pPr>
              <w:pStyle w:val="64"/>
              <w:spacing w:line="240" w:lineRule="auto"/>
              <w:ind w:firstLine="0"/>
              <w:rPr>
                <w:sz w:val="21"/>
                <w:szCs w:val="21"/>
              </w:rPr>
            </w:pPr>
            <w:r>
              <w:rPr>
                <w:sz w:val="21"/>
                <w:szCs w:val="21"/>
              </w:rPr>
              <w:t>符合</w:t>
            </w:r>
          </w:p>
        </w:tc>
      </w:tr>
      <w:tr w14:paraId="72D51AB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74549714">
            <w:pPr>
              <w:pStyle w:val="64"/>
              <w:spacing w:line="240" w:lineRule="auto"/>
              <w:ind w:firstLine="0"/>
              <w:rPr>
                <w:sz w:val="21"/>
                <w:szCs w:val="21"/>
              </w:rPr>
            </w:pPr>
            <w:r>
              <w:rPr>
                <w:sz w:val="21"/>
                <w:szCs w:val="21"/>
              </w:rPr>
              <w:t>1</w:t>
            </w:r>
          </w:p>
        </w:tc>
        <w:tc>
          <w:tcPr>
            <w:tcW w:w="715" w:type="dxa"/>
            <w:tcBorders>
              <w:tl2br w:val="nil"/>
              <w:tr2bl w:val="nil"/>
            </w:tcBorders>
            <w:vAlign w:val="center"/>
          </w:tcPr>
          <w:p w14:paraId="7DEFEDF1">
            <w:pPr>
              <w:pStyle w:val="64"/>
              <w:spacing w:line="240" w:lineRule="auto"/>
              <w:ind w:firstLine="0"/>
              <w:rPr>
                <w:sz w:val="21"/>
                <w:szCs w:val="21"/>
              </w:rPr>
            </w:pPr>
            <w:r>
              <w:rPr>
                <w:sz w:val="21"/>
                <w:szCs w:val="21"/>
              </w:rPr>
              <w:t>生活垃圾</w:t>
            </w:r>
          </w:p>
        </w:tc>
        <w:tc>
          <w:tcPr>
            <w:tcW w:w="849" w:type="dxa"/>
            <w:tcBorders>
              <w:tl2br w:val="nil"/>
              <w:tr2bl w:val="nil"/>
            </w:tcBorders>
            <w:vAlign w:val="center"/>
          </w:tcPr>
          <w:p w14:paraId="7AFACEDD">
            <w:pPr>
              <w:pStyle w:val="64"/>
              <w:spacing w:line="240" w:lineRule="auto"/>
              <w:ind w:firstLine="0"/>
              <w:rPr>
                <w:sz w:val="21"/>
                <w:szCs w:val="21"/>
              </w:rPr>
            </w:pPr>
            <w:r>
              <w:rPr>
                <w:sz w:val="21"/>
                <w:szCs w:val="21"/>
              </w:rPr>
              <w:t>职工</w:t>
            </w:r>
          </w:p>
          <w:p w14:paraId="7000E1E8">
            <w:pPr>
              <w:pStyle w:val="64"/>
              <w:spacing w:line="240" w:lineRule="auto"/>
              <w:ind w:firstLine="0"/>
              <w:rPr>
                <w:sz w:val="21"/>
                <w:szCs w:val="21"/>
              </w:rPr>
            </w:pPr>
            <w:r>
              <w:rPr>
                <w:sz w:val="21"/>
                <w:szCs w:val="21"/>
              </w:rPr>
              <w:t>生活</w:t>
            </w:r>
          </w:p>
        </w:tc>
        <w:tc>
          <w:tcPr>
            <w:tcW w:w="588" w:type="dxa"/>
            <w:tcBorders>
              <w:tl2br w:val="nil"/>
              <w:tr2bl w:val="nil"/>
            </w:tcBorders>
            <w:vAlign w:val="center"/>
          </w:tcPr>
          <w:p w14:paraId="2719FC7B">
            <w:pPr>
              <w:pStyle w:val="64"/>
              <w:spacing w:line="240" w:lineRule="auto"/>
              <w:ind w:firstLine="0"/>
              <w:rPr>
                <w:sz w:val="21"/>
                <w:szCs w:val="21"/>
              </w:rPr>
            </w:pPr>
            <w:r>
              <w:rPr>
                <w:sz w:val="21"/>
                <w:szCs w:val="21"/>
              </w:rPr>
              <w:t>生活垃圾</w:t>
            </w:r>
          </w:p>
        </w:tc>
        <w:tc>
          <w:tcPr>
            <w:tcW w:w="1210" w:type="dxa"/>
            <w:tcBorders>
              <w:tl2br w:val="nil"/>
              <w:tr2bl w:val="nil"/>
            </w:tcBorders>
            <w:vAlign w:val="center"/>
          </w:tcPr>
          <w:p w14:paraId="16506D3C">
            <w:pPr>
              <w:pStyle w:val="64"/>
              <w:spacing w:line="240" w:lineRule="auto"/>
              <w:ind w:firstLine="0"/>
              <w:rPr>
                <w:sz w:val="21"/>
                <w:szCs w:val="21"/>
              </w:rPr>
            </w:pPr>
            <w:r>
              <w:rPr>
                <w:sz w:val="21"/>
                <w:szCs w:val="21"/>
              </w:rPr>
              <w:t>/</w:t>
            </w:r>
          </w:p>
        </w:tc>
        <w:tc>
          <w:tcPr>
            <w:tcW w:w="1112" w:type="dxa"/>
            <w:tcBorders>
              <w:tl2br w:val="nil"/>
              <w:tr2bl w:val="nil"/>
            </w:tcBorders>
            <w:vAlign w:val="center"/>
          </w:tcPr>
          <w:p w14:paraId="1F25EAF8">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92.8t/a</w:t>
            </w:r>
          </w:p>
        </w:tc>
        <w:tc>
          <w:tcPr>
            <w:tcW w:w="614" w:type="dxa"/>
            <w:tcBorders>
              <w:tl2br w:val="nil"/>
              <w:tr2bl w:val="nil"/>
            </w:tcBorders>
            <w:vAlign w:val="center"/>
          </w:tcPr>
          <w:p w14:paraId="486AE0BB">
            <w:pPr>
              <w:pStyle w:val="64"/>
              <w:spacing w:line="240" w:lineRule="auto"/>
              <w:ind w:firstLine="0"/>
              <w:rPr>
                <w:sz w:val="21"/>
                <w:szCs w:val="21"/>
              </w:rPr>
            </w:pPr>
            <w:r>
              <w:rPr>
                <w:sz w:val="21"/>
                <w:szCs w:val="21"/>
              </w:rPr>
              <w:t>/</w:t>
            </w:r>
          </w:p>
        </w:tc>
        <w:tc>
          <w:tcPr>
            <w:tcW w:w="941" w:type="dxa"/>
            <w:tcBorders>
              <w:tl2br w:val="nil"/>
              <w:tr2bl w:val="nil"/>
            </w:tcBorders>
            <w:vAlign w:val="center"/>
          </w:tcPr>
          <w:p w14:paraId="393C19D5">
            <w:pPr>
              <w:pStyle w:val="64"/>
              <w:spacing w:line="240" w:lineRule="auto"/>
              <w:ind w:firstLine="0"/>
              <w:rPr>
                <w:sz w:val="21"/>
                <w:szCs w:val="21"/>
              </w:rPr>
            </w:pPr>
            <w:r>
              <w:rPr>
                <w:sz w:val="21"/>
                <w:szCs w:val="21"/>
              </w:rPr>
              <w:t>/</w:t>
            </w:r>
          </w:p>
        </w:tc>
        <w:tc>
          <w:tcPr>
            <w:tcW w:w="1255" w:type="dxa"/>
            <w:tcBorders>
              <w:tl2br w:val="nil"/>
              <w:tr2bl w:val="nil"/>
            </w:tcBorders>
            <w:vAlign w:val="center"/>
          </w:tcPr>
          <w:p w14:paraId="15F468B2">
            <w:pPr>
              <w:pStyle w:val="64"/>
              <w:spacing w:line="240" w:lineRule="auto"/>
              <w:ind w:firstLine="0"/>
              <w:rPr>
                <w:sz w:val="21"/>
                <w:szCs w:val="21"/>
              </w:rPr>
            </w:pPr>
            <w:r>
              <w:rPr>
                <w:sz w:val="21"/>
                <w:szCs w:val="21"/>
              </w:rPr>
              <w:t>由环卫部门统一清运</w:t>
            </w:r>
          </w:p>
        </w:tc>
        <w:tc>
          <w:tcPr>
            <w:tcW w:w="806" w:type="dxa"/>
            <w:tcBorders>
              <w:tl2br w:val="nil"/>
              <w:tr2bl w:val="nil"/>
            </w:tcBorders>
            <w:vAlign w:val="center"/>
          </w:tcPr>
          <w:p w14:paraId="533EB378">
            <w:pPr>
              <w:pStyle w:val="64"/>
              <w:spacing w:line="240" w:lineRule="auto"/>
              <w:ind w:firstLine="0"/>
              <w:rPr>
                <w:sz w:val="21"/>
                <w:szCs w:val="21"/>
              </w:rPr>
            </w:pPr>
            <w:r>
              <w:rPr>
                <w:sz w:val="21"/>
                <w:szCs w:val="21"/>
              </w:rPr>
              <w:t>符合</w:t>
            </w:r>
          </w:p>
        </w:tc>
      </w:tr>
      <w:tr w14:paraId="1D8090D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3B20C86D">
            <w:pPr>
              <w:pStyle w:val="64"/>
              <w:spacing w:line="240" w:lineRule="auto"/>
              <w:ind w:firstLine="0"/>
              <w:rPr>
                <w:sz w:val="21"/>
                <w:szCs w:val="21"/>
              </w:rPr>
            </w:pPr>
            <w:r>
              <w:rPr>
                <w:sz w:val="21"/>
                <w:szCs w:val="21"/>
              </w:rPr>
              <w:t>1</w:t>
            </w:r>
          </w:p>
        </w:tc>
        <w:tc>
          <w:tcPr>
            <w:tcW w:w="715" w:type="dxa"/>
            <w:tcBorders>
              <w:tl2br w:val="nil"/>
              <w:tr2bl w:val="nil"/>
            </w:tcBorders>
            <w:vAlign w:val="center"/>
          </w:tcPr>
          <w:p w14:paraId="0AC47A92">
            <w:pPr>
              <w:pStyle w:val="64"/>
              <w:spacing w:line="240" w:lineRule="auto"/>
              <w:ind w:firstLine="0"/>
              <w:rPr>
                <w:sz w:val="21"/>
                <w:szCs w:val="21"/>
              </w:rPr>
            </w:pPr>
            <w:r>
              <w:rPr>
                <w:sz w:val="21"/>
                <w:szCs w:val="21"/>
              </w:rPr>
              <w:t>废油墨</w:t>
            </w:r>
          </w:p>
        </w:tc>
        <w:tc>
          <w:tcPr>
            <w:tcW w:w="849" w:type="dxa"/>
            <w:tcBorders>
              <w:tl2br w:val="nil"/>
              <w:tr2bl w:val="nil"/>
            </w:tcBorders>
            <w:vAlign w:val="center"/>
          </w:tcPr>
          <w:p w14:paraId="084DA6FB">
            <w:pPr>
              <w:pStyle w:val="64"/>
              <w:spacing w:line="240" w:lineRule="auto"/>
              <w:ind w:firstLine="0"/>
              <w:rPr>
                <w:sz w:val="21"/>
                <w:szCs w:val="21"/>
              </w:rPr>
            </w:pPr>
            <w:r>
              <w:rPr>
                <w:sz w:val="21"/>
                <w:szCs w:val="21"/>
              </w:rPr>
              <w:t>油墨储存</w:t>
            </w:r>
          </w:p>
        </w:tc>
        <w:tc>
          <w:tcPr>
            <w:tcW w:w="588" w:type="dxa"/>
            <w:vMerge w:val="restart"/>
            <w:tcBorders>
              <w:tl2br w:val="nil"/>
              <w:tr2bl w:val="nil"/>
            </w:tcBorders>
            <w:vAlign w:val="center"/>
          </w:tcPr>
          <w:p w14:paraId="06B1463B">
            <w:pPr>
              <w:pStyle w:val="64"/>
              <w:spacing w:line="240" w:lineRule="auto"/>
              <w:ind w:firstLine="0"/>
              <w:rPr>
                <w:sz w:val="21"/>
                <w:szCs w:val="21"/>
              </w:rPr>
            </w:pPr>
            <w:r>
              <w:rPr>
                <w:sz w:val="21"/>
                <w:szCs w:val="21"/>
              </w:rPr>
              <w:t>危险废物</w:t>
            </w:r>
          </w:p>
        </w:tc>
        <w:tc>
          <w:tcPr>
            <w:tcW w:w="1210" w:type="dxa"/>
            <w:tcBorders>
              <w:tl2br w:val="nil"/>
              <w:tr2bl w:val="nil"/>
            </w:tcBorders>
            <w:vAlign w:val="center"/>
          </w:tcPr>
          <w:p w14:paraId="6DD52B2E">
            <w:pPr>
              <w:pStyle w:val="64"/>
              <w:spacing w:line="240" w:lineRule="auto"/>
              <w:ind w:firstLine="0"/>
              <w:rPr>
                <w:sz w:val="21"/>
                <w:szCs w:val="21"/>
              </w:rPr>
            </w:pPr>
            <w:r>
              <w:rPr>
                <w:sz w:val="21"/>
                <w:szCs w:val="21"/>
              </w:rPr>
              <w:t>HW12</w:t>
            </w:r>
          </w:p>
          <w:p w14:paraId="1643CF1D">
            <w:pPr>
              <w:pStyle w:val="64"/>
              <w:spacing w:line="240" w:lineRule="auto"/>
              <w:ind w:firstLine="0"/>
              <w:rPr>
                <w:sz w:val="21"/>
                <w:szCs w:val="21"/>
              </w:rPr>
            </w:pPr>
            <w:r>
              <w:rPr>
                <w:sz w:val="21"/>
                <w:szCs w:val="21"/>
              </w:rPr>
              <w:t>900-299-12</w:t>
            </w:r>
          </w:p>
        </w:tc>
        <w:tc>
          <w:tcPr>
            <w:tcW w:w="1112" w:type="dxa"/>
            <w:tcBorders>
              <w:tl2br w:val="nil"/>
              <w:tr2bl w:val="nil"/>
            </w:tcBorders>
            <w:vAlign w:val="center"/>
          </w:tcPr>
          <w:p w14:paraId="08E8DDB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16.4t/a</w:t>
            </w:r>
          </w:p>
        </w:tc>
        <w:tc>
          <w:tcPr>
            <w:tcW w:w="614" w:type="dxa"/>
            <w:vMerge w:val="restart"/>
            <w:tcBorders>
              <w:tl2br w:val="nil"/>
              <w:tr2bl w:val="nil"/>
            </w:tcBorders>
            <w:vAlign w:val="center"/>
          </w:tcPr>
          <w:p w14:paraId="1EFE717A">
            <w:pPr>
              <w:pStyle w:val="64"/>
              <w:spacing w:line="240" w:lineRule="auto"/>
              <w:ind w:firstLine="0"/>
              <w:rPr>
                <w:sz w:val="21"/>
                <w:szCs w:val="21"/>
              </w:rPr>
            </w:pPr>
            <w:r>
              <w:rPr>
                <w:sz w:val="21"/>
                <w:szCs w:val="21"/>
              </w:rPr>
              <w:t>定期转运</w:t>
            </w:r>
          </w:p>
        </w:tc>
        <w:tc>
          <w:tcPr>
            <w:tcW w:w="941" w:type="dxa"/>
            <w:tcBorders>
              <w:tl2br w:val="nil"/>
              <w:tr2bl w:val="nil"/>
            </w:tcBorders>
            <w:vAlign w:val="center"/>
          </w:tcPr>
          <w:p w14:paraId="27C02B03">
            <w:pPr>
              <w:pStyle w:val="64"/>
              <w:spacing w:line="240" w:lineRule="auto"/>
              <w:ind w:firstLine="0"/>
              <w:rPr>
                <w:sz w:val="21"/>
                <w:szCs w:val="21"/>
              </w:rPr>
            </w:pPr>
            <w:r>
              <w:rPr>
                <w:sz w:val="21"/>
                <w:szCs w:val="21"/>
              </w:rPr>
              <w:t>T</w:t>
            </w:r>
          </w:p>
        </w:tc>
        <w:tc>
          <w:tcPr>
            <w:tcW w:w="1255" w:type="dxa"/>
            <w:vMerge w:val="restart"/>
            <w:tcBorders>
              <w:tl2br w:val="nil"/>
              <w:tr2bl w:val="nil"/>
            </w:tcBorders>
            <w:vAlign w:val="center"/>
          </w:tcPr>
          <w:p w14:paraId="59598AA4">
            <w:pPr>
              <w:pStyle w:val="64"/>
              <w:spacing w:line="240" w:lineRule="auto"/>
              <w:ind w:firstLine="0"/>
              <w:rPr>
                <w:color w:val="FF0000"/>
                <w:sz w:val="21"/>
                <w:szCs w:val="21"/>
              </w:rPr>
            </w:pPr>
            <w:r>
              <w:rPr>
                <w:sz w:val="21"/>
                <w:szCs w:val="21"/>
              </w:rPr>
              <w:t>置于危废暂存间，定期由有资质单位统一处</w:t>
            </w:r>
          </w:p>
        </w:tc>
        <w:tc>
          <w:tcPr>
            <w:tcW w:w="806" w:type="dxa"/>
            <w:tcBorders>
              <w:tl2br w:val="nil"/>
              <w:tr2bl w:val="nil"/>
            </w:tcBorders>
            <w:vAlign w:val="center"/>
          </w:tcPr>
          <w:p w14:paraId="05DB5EE3">
            <w:pPr>
              <w:pStyle w:val="64"/>
              <w:spacing w:line="240" w:lineRule="auto"/>
              <w:ind w:firstLine="0"/>
              <w:rPr>
                <w:color w:val="FF0000"/>
                <w:sz w:val="21"/>
                <w:szCs w:val="21"/>
              </w:rPr>
            </w:pPr>
            <w:r>
              <w:rPr>
                <w:sz w:val="21"/>
                <w:szCs w:val="21"/>
              </w:rPr>
              <w:t>符合</w:t>
            </w:r>
          </w:p>
        </w:tc>
      </w:tr>
      <w:tr w14:paraId="6900377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33940F99">
            <w:pPr>
              <w:pStyle w:val="64"/>
              <w:spacing w:line="240" w:lineRule="auto"/>
              <w:ind w:firstLine="0"/>
              <w:rPr>
                <w:sz w:val="21"/>
                <w:szCs w:val="21"/>
              </w:rPr>
            </w:pPr>
            <w:r>
              <w:rPr>
                <w:sz w:val="21"/>
                <w:szCs w:val="21"/>
              </w:rPr>
              <w:t>2</w:t>
            </w:r>
          </w:p>
        </w:tc>
        <w:tc>
          <w:tcPr>
            <w:tcW w:w="715" w:type="dxa"/>
            <w:tcBorders>
              <w:tl2br w:val="nil"/>
              <w:tr2bl w:val="nil"/>
            </w:tcBorders>
            <w:vAlign w:val="center"/>
          </w:tcPr>
          <w:p w14:paraId="6FB73F8F">
            <w:pPr>
              <w:pStyle w:val="64"/>
              <w:spacing w:line="240" w:lineRule="auto"/>
              <w:ind w:firstLine="0"/>
              <w:rPr>
                <w:sz w:val="21"/>
                <w:szCs w:val="21"/>
              </w:rPr>
            </w:pPr>
            <w:r>
              <w:rPr>
                <w:sz w:val="21"/>
                <w:szCs w:val="21"/>
              </w:rPr>
              <w:t>废溶剂</w:t>
            </w:r>
          </w:p>
        </w:tc>
        <w:tc>
          <w:tcPr>
            <w:tcW w:w="849" w:type="dxa"/>
            <w:tcBorders>
              <w:tl2br w:val="nil"/>
              <w:tr2bl w:val="nil"/>
            </w:tcBorders>
            <w:vAlign w:val="center"/>
          </w:tcPr>
          <w:p w14:paraId="334A3665">
            <w:pPr>
              <w:pStyle w:val="64"/>
              <w:spacing w:line="240" w:lineRule="auto"/>
              <w:ind w:firstLine="0"/>
              <w:rPr>
                <w:sz w:val="21"/>
                <w:szCs w:val="21"/>
              </w:rPr>
            </w:pPr>
            <w:r>
              <w:rPr>
                <w:sz w:val="21"/>
                <w:szCs w:val="21"/>
              </w:rPr>
              <w:t>溶剂储存</w:t>
            </w:r>
          </w:p>
        </w:tc>
        <w:tc>
          <w:tcPr>
            <w:tcW w:w="588" w:type="dxa"/>
            <w:vMerge w:val="continue"/>
            <w:tcBorders>
              <w:tl2br w:val="nil"/>
              <w:tr2bl w:val="nil"/>
            </w:tcBorders>
            <w:vAlign w:val="center"/>
          </w:tcPr>
          <w:p w14:paraId="4DE53F91">
            <w:pPr>
              <w:pStyle w:val="64"/>
              <w:spacing w:line="240" w:lineRule="auto"/>
              <w:ind w:firstLine="0"/>
              <w:rPr>
                <w:sz w:val="21"/>
                <w:szCs w:val="21"/>
              </w:rPr>
            </w:pPr>
          </w:p>
        </w:tc>
        <w:tc>
          <w:tcPr>
            <w:tcW w:w="1210" w:type="dxa"/>
            <w:tcBorders>
              <w:tl2br w:val="nil"/>
              <w:tr2bl w:val="nil"/>
            </w:tcBorders>
            <w:vAlign w:val="center"/>
          </w:tcPr>
          <w:p w14:paraId="3C61E99D">
            <w:pPr>
              <w:pStyle w:val="64"/>
              <w:spacing w:line="240" w:lineRule="auto"/>
              <w:ind w:firstLine="0"/>
              <w:rPr>
                <w:sz w:val="21"/>
                <w:szCs w:val="21"/>
              </w:rPr>
            </w:pPr>
            <w:r>
              <w:rPr>
                <w:sz w:val="21"/>
                <w:szCs w:val="21"/>
              </w:rPr>
              <w:t>HW06</w:t>
            </w:r>
          </w:p>
          <w:p w14:paraId="6C920D67">
            <w:pPr>
              <w:pStyle w:val="64"/>
              <w:spacing w:line="240" w:lineRule="auto"/>
              <w:ind w:firstLine="0"/>
              <w:rPr>
                <w:sz w:val="21"/>
                <w:szCs w:val="21"/>
              </w:rPr>
            </w:pPr>
            <w:r>
              <w:rPr>
                <w:sz w:val="21"/>
                <w:szCs w:val="21"/>
              </w:rPr>
              <w:t>900-402-06</w:t>
            </w:r>
          </w:p>
        </w:tc>
        <w:tc>
          <w:tcPr>
            <w:tcW w:w="1112" w:type="dxa"/>
            <w:tcBorders>
              <w:tl2br w:val="nil"/>
              <w:tr2bl w:val="nil"/>
            </w:tcBorders>
            <w:vAlign w:val="center"/>
          </w:tcPr>
          <w:p w14:paraId="57C1D2D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14t/a</w:t>
            </w:r>
          </w:p>
        </w:tc>
        <w:tc>
          <w:tcPr>
            <w:tcW w:w="614" w:type="dxa"/>
            <w:vMerge w:val="continue"/>
            <w:tcBorders>
              <w:tl2br w:val="nil"/>
              <w:tr2bl w:val="nil"/>
            </w:tcBorders>
            <w:vAlign w:val="center"/>
          </w:tcPr>
          <w:p w14:paraId="3071D031">
            <w:pPr>
              <w:pStyle w:val="64"/>
              <w:spacing w:line="240" w:lineRule="auto"/>
              <w:ind w:firstLine="0"/>
              <w:rPr>
                <w:sz w:val="21"/>
                <w:szCs w:val="21"/>
              </w:rPr>
            </w:pPr>
          </w:p>
        </w:tc>
        <w:tc>
          <w:tcPr>
            <w:tcW w:w="941" w:type="dxa"/>
            <w:tcBorders>
              <w:tl2br w:val="nil"/>
              <w:tr2bl w:val="nil"/>
            </w:tcBorders>
            <w:vAlign w:val="center"/>
          </w:tcPr>
          <w:p w14:paraId="6DC3C1A5">
            <w:pPr>
              <w:pStyle w:val="64"/>
              <w:spacing w:line="240" w:lineRule="auto"/>
              <w:ind w:firstLine="0"/>
              <w:rPr>
                <w:sz w:val="21"/>
                <w:szCs w:val="21"/>
              </w:rPr>
            </w:pPr>
            <w:r>
              <w:rPr>
                <w:sz w:val="21"/>
                <w:szCs w:val="21"/>
              </w:rPr>
              <w:t>T，I，R</w:t>
            </w:r>
          </w:p>
        </w:tc>
        <w:tc>
          <w:tcPr>
            <w:tcW w:w="1255" w:type="dxa"/>
            <w:vMerge w:val="continue"/>
            <w:tcBorders>
              <w:tl2br w:val="nil"/>
              <w:tr2bl w:val="nil"/>
            </w:tcBorders>
            <w:vAlign w:val="center"/>
          </w:tcPr>
          <w:p w14:paraId="36FB11DF">
            <w:pPr>
              <w:pStyle w:val="64"/>
              <w:spacing w:line="240" w:lineRule="auto"/>
              <w:ind w:firstLine="0"/>
              <w:rPr>
                <w:sz w:val="21"/>
                <w:szCs w:val="21"/>
              </w:rPr>
            </w:pPr>
          </w:p>
        </w:tc>
        <w:tc>
          <w:tcPr>
            <w:tcW w:w="806" w:type="dxa"/>
            <w:tcBorders>
              <w:tl2br w:val="nil"/>
              <w:tr2bl w:val="nil"/>
            </w:tcBorders>
            <w:vAlign w:val="center"/>
          </w:tcPr>
          <w:p w14:paraId="1FA84555">
            <w:pPr>
              <w:pStyle w:val="64"/>
              <w:spacing w:line="240" w:lineRule="auto"/>
              <w:ind w:firstLine="0"/>
              <w:rPr>
                <w:sz w:val="21"/>
                <w:szCs w:val="21"/>
              </w:rPr>
            </w:pPr>
            <w:r>
              <w:rPr>
                <w:sz w:val="21"/>
                <w:szCs w:val="21"/>
              </w:rPr>
              <w:t>符合</w:t>
            </w:r>
          </w:p>
        </w:tc>
      </w:tr>
      <w:tr w14:paraId="6B4BC106">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245C2D13">
            <w:pPr>
              <w:pStyle w:val="64"/>
              <w:spacing w:line="240" w:lineRule="auto"/>
              <w:ind w:firstLine="0"/>
              <w:rPr>
                <w:sz w:val="21"/>
                <w:szCs w:val="21"/>
              </w:rPr>
            </w:pPr>
            <w:r>
              <w:rPr>
                <w:sz w:val="21"/>
                <w:szCs w:val="21"/>
              </w:rPr>
              <w:t>3</w:t>
            </w:r>
          </w:p>
        </w:tc>
        <w:tc>
          <w:tcPr>
            <w:tcW w:w="715" w:type="dxa"/>
            <w:tcBorders>
              <w:tl2br w:val="nil"/>
              <w:tr2bl w:val="nil"/>
            </w:tcBorders>
            <w:vAlign w:val="center"/>
          </w:tcPr>
          <w:p w14:paraId="2D7865E7">
            <w:pPr>
              <w:pStyle w:val="64"/>
              <w:spacing w:line="240" w:lineRule="auto"/>
              <w:ind w:firstLine="0"/>
              <w:rPr>
                <w:sz w:val="21"/>
                <w:szCs w:val="21"/>
              </w:rPr>
            </w:pPr>
            <w:r>
              <w:rPr>
                <w:sz w:val="21"/>
                <w:szCs w:val="21"/>
              </w:rPr>
              <w:t>废胶水</w:t>
            </w:r>
          </w:p>
        </w:tc>
        <w:tc>
          <w:tcPr>
            <w:tcW w:w="849" w:type="dxa"/>
            <w:tcBorders>
              <w:tl2br w:val="nil"/>
              <w:tr2bl w:val="nil"/>
            </w:tcBorders>
            <w:vAlign w:val="center"/>
          </w:tcPr>
          <w:p w14:paraId="4151D742">
            <w:pPr>
              <w:pStyle w:val="64"/>
              <w:spacing w:line="240" w:lineRule="auto"/>
              <w:ind w:firstLine="0"/>
              <w:rPr>
                <w:sz w:val="21"/>
                <w:szCs w:val="21"/>
              </w:rPr>
            </w:pPr>
            <w:r>
              <w:rPr>
                <w:sz w:val="21"/>
                <w:szCs w:val="21"/>
              </w:rPr>
              <w:t>胶粘剂储存</w:t>
            </w:r>
          </w:p>
        </w:tc>
        <w:tc>
          <w:tcPr>
            <w:tcW w:w="588" w:type="dxa"/>
            <w:vMerge w:val="continue"/>
            <w:tcBorders>
              <w:tl2br w:val="nil"/>
              <w:tr2bl w:val="nil"/>
            </w:tcBorders>
            <w:vAlign w:val="center"/>
          </w:tcPr>
          <w:p w14:paraId="31CC4E18">
            <w:pPr>
              <w:pStyle w:val="64"/>
              <w:spacing w:line="240" w:lineRule="auto"/>
              <w:ind w:firstLine="0"/>
              <w:rPr>
                <w:sz w:val="21"/>
                <w:szCs w:val="21"/>
              </w:rPr>
            </w:pPr>
          </w:p>
        </w:tc>
        <w:tc>
          <w:tcPr>
            <w:tcW w:w="1210" w:type="dxa"/>
            <w:tcBorders>
              <w:tl2br w:val="nil"/>
              <w:tr2bl w:val="nil"/>
            </w:tcBorders>
            <w:vAlign w:val="center"/>
          </w:tcPr>
          <w:p w14:paraId="771D53EC">
            <w:pPr>
              <w:pStyle w:val="64"/>
              <w:spacing w:line="240" w:lineRule="auto"/>
              <w:ind w:firstLine="0"/>
              <w:rPr>
                <w:sz w:val="21"/>
                <w:szCs w:val="21"/>
              </w:rPr>
            </w:pPr>
            <w:r>
              <w:rPr>
                <w:sz w:val="21"/>
                <w:szCs w:val="21"/>
              </w:rPr>
              <w:t>HW13</w:t>
            </w:r>
          </w:p>
          <w:p w14:paraId="1AC71AF6">
            <w:pPr>
              <w:pStyle w:val="64"/>
              <w:spacing w:line="240" w:lineRule="auto"/>
              <w:ind w:firstLine="0"/>
              <w:rPr>
                <w:sz w:val="21"/>
                <w:szCs w:val="21"/>
              </w:rPr>
            </w:pPr>
            <w:r>
              <w:rPr>
                <w:sz w:val="21"/>
                <w:szCs w:val="21"/>
              </w:rPr>
              <w:t>900-014-13</w:t>
            </w:r>
          </w:p>
        </w:tc>
        <w:tc>
          <w:tcPr>
            <w:tcW w:w="1112" w:type="dxa"/>
            <w:tcBorders>
              <w:tl2br w:val="nil"/>
              <w:tr2bl w:val="nil"/>
            </w:tcBorders>
            <w:vAlign w:val="center"/>
          </w:tcPr>
          <w:p w14:paraId="45A228D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16t/a</w:t>
            </w:r>
          </w:p>
        </w:tc>
        <w:tc>
          <w:tcPr>
            <w:tcW w:w="614" w:type="dxa"/>
            <w:vMerge w:val="continue"/>
            <w:tcBorders>
              <w:tl2br w:val="nil"/>
              <w:tr2bl w:val="nil"/>
            </w:tcBorders>
            <w:vAlign w:val="center"/>
          </w:tcPr>
          <w:p w14:paraId="3FFFACB7">
            <w:pPr>
              <w:pStyle w:val="64"/>
              <w:spacing w:line="240" w:lineRule="auto"/>
              <w:ind w:firstLine="0"/>
              <w:rPr>
                <w:sz w:val="21"/>
                <w:szCs w:val="21"/>
              </w:rPr>
            </w:pPr>
          </w:p>
        </w:tc>
        <w:tc>
          <w:tcPr>
            <w:tcW w:w="941" w:type="dxa"/>
            <w:tcBorders>
              <w:tl2br w:val="nil"/>
              <w:tr2bl w:val="nil"/>
            </w:tcBorders>
            <w:vAlign w:val="center"/>
          </w:tcPr>
          <w:p w14:paraId="5C0F64CA">
            <w:pPr>
              <w:pStyle w:val="64"/>
              <w:spacing w:line="240" w:lineRule="auto"/>
              <w:ind w:firstLine="0"/>
              <w:rPr>
                <w:sz w:val="21"/>
                <w:szCs w:val="21"/>
              </w:rPr>
            </w:pPr>
            <w:r>
              <w:rPr>
                <w:sz w:val="21"/>
                <w:szCs w:val="21"/>
              </w:rPr>
              <w:t>T</w:t>
            </w:r>
          </w:p>
        </w:tc>
        <w:tc>
          <w:tcPr>
            <w:tcW w:w="1255" w:type="dxa"/>
            <w:vMerge w:val="continue"/>
            <w:tcBorders>
              <w:tl2br w:val="nil"/>
              <w:tr2bl w:val="nil"/>
            </w:tcBorders>
            <w:vAlign w:val="center"/>
          </w:tcPr>
          <w:p w14:paraId="0930EE15">
            <w:pPr>
              <w:pStyle w:val="64"/>
              <w:spacing w:line="240" w:lineRule="auto"/>
              <w:ind w:firstLine="0"/>
              <w:rPr>
                <w:sz w:val="21"/>
                <w:szCs w:val="21"/>
              </w:rPr>
            </w:pPr>
          </w:p>
        </w:tc>
        <w:tc>
          <w:tcPr>
            <w:tcW w:w="806" w:type="dxa"/>
            <w:tcBorders>
              <w:tl2br w:val="nil"/>
              <w:tr2bl w:val="nil"/>
            </w:tcBorders>
            <w:vAlign w:val="center"/>
          </w:tcPr>
          <w:p w14:paraId="266301F7">
            <w:pPr>
              <w:pStyle w:val="64"/>
              <w:spacing w:line="240" w:lineRule="auto"/>
              <w:ind w:firstLine="0"/>
              <w:rPr>
                <w:sz w:val="21"/>
                <w:szCs w:val="21"/>
              </w:rPr>
            </w:pPr>
            <w:r>
              <w:rPr>
                <w:sz w:val="21"/>
                <w:szCs w:val="21"/>
              </w:rPr>
              <w:t>符合</w:t>
            </w:r>
          </w:p>
        </w:tc>
      </w:tr>
      <w:tr w14:paraId="2156F29A">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68C1635D">
            <w:pPr>
              <w:pStyle w:val="64"/>
              <w:spacing w:line="240" w:lineRule="auto"/>
              <w:ind w:firstLine="0"/>
              <w:rPr>
                <w:sz w:val="21"/>
                <w:szCs w:val="21"/>
              </w:rPr>
            </w:pPr>
            <w:r>
              <w:rPr>
                <w:sz w:val="21"/>
                <w:szCs w:val="21"/>
              </w:rPr>
              <w:t>4</w:t>
            </w:r>
          </w:p>
        </w:tc>
        <w:tc>
          <w:tcPr>
            <w:tcW w:w="715" w:type="dxa"/>
            <w:tcBorders>
              <w:tl2br w:val="nil"/>
              <w:tr2bl w:val="nil"/>
            </w:tcBorders>
            <w:vAlign w:val="center"/>
          </w:tcPr>
          <w:p w14:paraId="14980CF9">
            <w:pPr>
              <w:pStyle w:val="64"/>
              <w:spacing w:line="240" w:lineRule="auto"/>
              <w:ind w:firstLine="0"/>
              <w:rPr>
                <w:sz w:val="21"/>
                <w:szCs w:val="21"/>
              </w:rPr>
            </w:pPr>
            <w:r>
              <w:rPr>
                <w:sz w:val="21"/>
                <w:szCs w:val="21"/>
              </w:rPr>
              <w:t>废弃包装桶</w:t>
            </w:r>
          </w:p>
        </w:tc>
        <w:tc>
          <w:tcPr>
            <w:tcW w:w="849" w:type="dxa"/>
            <w:tcBorders>
              <w:tl2br w:val="nil"/>
              <w:tr2bl w:val="nil"/>
            </w:tcBorders>
            <w:vAlign w:val="center"/>
          </w:tcPr>
          <w:p w14:paraId="3DD5BD43">
            <w:pPr>
              <w:pStyle w:val="64"/>
              <w:spacing w:line="240" w:lineRule="auto"/>
              <w:ind w:firstLine="0"/>
              <w:rPr>
                <w:sz w:val="21"/>
                <w:szCs w:val="21"/>
              </w:rPr>
            </w:pPr>
            <w:r>
              <w:rPr>
                <w:sz w:val="21"/>
                <w:szCs w:val="21"/>
              </w:rPr>
              <w:t>原料使用过程</w:t>
            </w:r>
          </w:p>
        </w:tc>
        <w:tc>
          <w:tcPr>
            <w:tcW w:w="588" w:type="dxa"/>
            <w:vMerge w:val="continue"/>
            <w:tcBorders>
              <w:tl2br w:val="nil"/>
              <w:tr2bl w:val="nil"/>
            </w:tcBorders>
            <w:vAlign w:val="center"/>
          </w:tcPr>
          <w:p w14:paraId="437397A7">
            <w:pPr>
              <w:pStyle w:val="64"/>
              <w:spacing w:line="240" w:lineRule="auto"/>
              <w:ind w:firstLine="0"/>
              <w:rPr>
                <w:sz w:val="21"/>
                <w:szCs w:val="21"/>
              </w:rPr>
            </w:pPr>
          </w:p>
        </w:tc>
        <w:tc>
          <w:tcPr>
            <w:tcW w:w="1210" w:type="dxa"/>
            <w:tcBorders>
              <w:tl2br w:val="nil"/>
              <w:tr2bl w:val="nil"/>
            </w:tcBorders>
            <w:vAlign w:val="center"/>
          </w:tcPr>
          <w:p w14:paraId="6375D376">
            <w:pPr>
              <w:pStyle w:val="64"/>
              <w:spacing w:line="240" w:lineRule="auto"/>
              <w:ind w:firstLine="0"/>
              <w:rPr>
                <w:sz w:val="21"/>
                <w:szCs w:val="21"/>
              </w:rPr>
            </w:pPr>
            <w:r>
              <w:rPr>
                <w:sz w:val="21"/>
                <w:szCs w:val="21"/>
              </w:rPr>
              <w:t>HW49</w:t>
            </w:r>
          </w:p>
          <w:p w14:paraId="2F522065">
            <w:pPr>
              <w:pStyle w:val="64"/>
              <w:spacing w:line="240" w:lineRule="auto"/>
              <w:ind w:firstLine="0"/>
              <w:rPr>
                <w:sz w:val="21"/>
                <w:szCs w:val="21"/>
              </w:rPr>
            </w:pPr>
            <w:r>
              <w:rPr>
                <w:sz w:val="21"/>
                <w:szCs w:val="21"/>
              </w:rPr>
              <w:t>900-041-49</w:t>
            </w:r>
          </w:p>
        </w:tc>
        <w:tc>
          <w:tcPr>
            <w:tcW w:w="1112" w:type="dxa"/>
            <w:tcBorders>
              <w:tl2br w:val="nil"/>
              <w:tr2bl w:val="nil"/>
            </w:tcBorders>
            <w:vAlign w:val="center"/>
          </w:tcPr>
          <w:p w14:paraId="4BD915D9">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82t/a</w:t>
            </w:r>
          </w:p>
        </w:tc>
        <w:tc>
          <w:tcPr>
            <w:tcW w:w="614" w:type="dxa"/>
            <w:vMerge w:val="continue"/>
            <w:tcBorders>
              <w:tl2br w:val="nil"/>
              <w:tr2bl w:val="nil"/>
            </w:tcBorders>
            <w:vAlign w:val="center"/>
          </w:tcPr>
          <w:p w14:paraId="2663F68A">
            <w:pPr>
              <w:pStyle w:val="64"/>
              <w:spacing w:line="240" w:lineRule="auto"/>
              <w:ind w:firstLine="0"/>
              <w:rPr>
                <w:sz w:val="21"/>
                <w:szCs w:val="21"/>
              </w:rPr>
            </w:pPr>
          </w:p>
        </w:tc>
        <w:tc>
          <w:tcPr>
            <w:tcW w:w="941" w:type="dxa"/>
            <w:tcBorders>
              <w:tl2br w:val="nil"/>
              <w:tr2bl w:val="nil"/>
            </w:tcBorders>
            <w:vAlign w:val="center"/>
          </w:tcPr>
          <w:p w14:paraId="123B2C38">
            <w:pPr>
              <w:pStyle w:val="64"/>
              <w:spacing w:line="240" w:lineRule="auto"/>
              <w:ind w:firstLine="0"/>
              <w:rPr>
                <w:sz w:val="21"/>
                <w:szCs w:val="21"/>
              </w:rPr>
            </w:pPr>
            <w:r>
              <w:rPr>
                <w:sz w:val="21"/>
                <w:szCs w:val="21"/>
              </w:rPr>
              <w:t>T/In</w:t>
            </w:r>
          </w:p>
        </w:tc>
        <w:tc>
          <w:tcPr>
            <w:tcW w:w="1255" w:type="dxa"/>
            <w:vMerge w:val="continue"/>
            <w:tcBorders>
              <w:tl2br w:val="nil"/>
              <w:tr2bl w:val="nil"/>
            </w:tcBorders>
            <w:vAlign w:val="center"/>
          </w:tcPr>
          <w:p w14:paraId="616A9448">
            <w:pPr>
              <w:pStyle w:val="64"/>
              <w:spacing w:line="240" w:lineRule="auto"/>
              <w:ind w:firstLine="0"/>
              <w:rPr>
                <w:sz w:val="21"/>
                <w:szCs w:val="21"/>
              </w:rPr>
            </w:pPr>
          </w:p>
        </w:tc>
        <w:tc>
          <w:tcPr>
            <w:tcW w:w="806" w:type="dxa"/>
            <w:tcBorders>
              <w:tl2br w:val="nil"/>
              <w:tr2bl w:val="nil"/>
            </w:tcBorders>
            <w:vAlign w:val="center"/>
          </w:tcPr>
          <w:p w14:paraId="4B33E805">
            <w:pPr>
              <w:pStyle w:val="64"/>
              <w:spacing w:line="240" w:lineRule="auto"/>
              <w:ind w:firstLine="0"/>
              <w:rPr>
                <w:sz w:val="21"/>
                <w:szCs w:val="21"/>
              </w:rPr>
            </w:pPr>
            <w:r>
              <w:rPr>
                <w:sz w:val="21"/>
                <w:szCs w:val="21"/>
              </w:rPr>
              <w:t>符合</w:t>
            </w:r>
          </w:p>
        </w:tc>
      </w:tr>
      <w:tr w14:paraId="3B84B0E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1EE9B29E">
            <w:pPr>
              <w:pStyle w:val="64"/>
              <w:spacing w:line="240" w:lineRule="auto"/>
              <w:ind w:firstLine="0"/>
              <w:rPr>
                <w:sz w:val="21"/>
                <w:szCs w:val="21"/>
              </w:rPr>
            </w:pPr>
            <w:r>
              <w:rPr>
                <w:sz w:val="21"/>
                <w:szCs w:val="21"/>
              </w:rPr>
              <w:t>5</w:t>
            </w:r>
          </w:p>
        </w:tc>
        <w:tc>
          <w:tcPr>
            <w:tcW w:w="715" w:type="dxa"/>
            <w:tcBorders>
              <w:tl2br w:val="nil"/>
              <w:tr2bl w:val="nil"/>
            </w:tcBorders>
            <w:vAlign w:val="center"/>
          </w:tcPr>
          <w:p w14:paraId="72CD0068">
            <w:pPr>
              <w:pStyle w:val="64"/>
              <w:spacing w:line="240" w:lineRule="auto"/>
              <w:ind w:firstLine="0"/>
              <w:rPr>
                <w:sz w:val="21"/>
                <w:szCs w:val="21"/>
              </w:rPr>
            </w:pPr>
            <w:r>
              <w:rPr>
                <w:sz w:val="21"/>
                <w:szCs w:val="21"/>
              </w:rPr>
              <w:t>含油抹布、手套</w:t>
            </w:r>
          </w:p>
        </w:tc>
        <w:tc>
          <w:tcPr>
            <w:tcW w:w="849" w:type="dxa"/>
            <w:tcBorders>
              <w:tl2br w:val="nil"/>
              <w:tr2bl w:val="nil"/>
            </w:tcBorders>
            <w:vAlign w:val="center"/>
          </w:tcPr>
          <w:p w14:paraId="3350A791">
            <w:pPr>
              <w:pStyle w:val="64"/>
              <w:spacing w:line="240" w:lineRule="auto"/>
              <w:ind w:firstLine="0"/>
              <w:rPr>
                <w:sz w:val="21"/>
                <w:szCs w:val="21"/>
              </w:rPr>
            </w:pPr>
            <w:r>
              <w:rPr>
                <w:sz w:val="21"/>
                <w:szCs w:val="21"/>
              </w:rPr>
              <w:t>清洁、设备维修</w:t>
            </w:r>
          </w:p>
        </w:tc>
        <w:tc>
          <w:tcPr>
            <w:tcW w:w="588" w:type="dxa"/>
            <w:vMerge w:val="continue"/>
            <w:tcBorders>
              <w:tl2br w:val="nil"/>
              <w:tr2bl w:val="nil"/>
            </w:tcBorders>
            <w:vAlign w:val="center"/>
          </w:tcPr>
          <w:p w14:paraId="15BC0498">
            <w:pPr>
              <w:pStyle w:val="64"/>
              <w:spacing w:line="240" w:lineRule="auto"/>
              <w:ind w:firstLine="0"/>
              <w:rPr>
                <w:sz w:val="21"/>
                <w:szCs w:val="21"/>
              </w:rPr>
            </w:pPr>
          </w:p>
        </w:tc>
        <w:tc>
          <w:tcPr>
            <w:tcW w:w="1210" w:type="dxa"/>
            <w:tcBorders>
              <w:tl2br w:val="nil"/>
              <w:tr2bl w:val="nil"/>
            </w:tcBorders>
            <w:vAlign w:val="center"/>
          </w:tcPr>
          <w:p w14:paraId="6A2AE798">
            <w:pPr>
              <w:pStyle w:val="64"/>
              <w:spacing w:line="240" w:lineRule="auto"/>
              <w:ind w:firstLine="0"/>
              <w:rPr>
                <w:sz w:val="21"/>
                <w:szCs w:val="21"/>
              </w:rPr>
            </w:pPr>
            <w:r>
              <w:rPr>
                <w:sz w:val="21"/>
                <w:szCs w:val="21"/>
              </w:rPr>
              <w:t>HW49</w:t>
            </w:r>
          </w:p>
          <w:p w14:paraId="62A24A78">
            <w:pPr>
              <w:pStyle w:val="64"/>
              <w:spacing w:line="240" w:lineRule="auto"/>
              <w:ind w:firstLine="0"/>
              <w:rPr>
                <w:sz w:val="21"/>
                <w:szCs w:val="21"/>
              </w:rPr>
            </w:pPr>
            <w:r>
              <w:rPr>
                <w:sz w:val="21"/>
                <w:szCs w:val="21"/>
              </w:rPr>
              <w:t>900-041-49</w:t>
            </w:r>
          </w:p>
        </w:tc>
        <w:tc>
          <w:tcPr>
            <w:tcW w:w="1112" w:type="dxa"/>
            <w:tcBorders>
              <w:tl2br w:val="nil"/>
              <w:tr2bl w:val="nil"/>
            </w:tcBorders>
            <w:vAlign w:val="center"/>
          </w:tcPr>
          <w:p w14:paraId="7DE48F4B">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6.5t/a</w:t>
            </w:r>
          </w:p>
        </w:tc>
        <w:tc>
          <w:tcPr>
            <w:tcW w:w="614" w:type="dxa"/>
            <w:vMerge w:val="continue"/>
            <w:tcBorders>
              <w:tl2br w:val="nil"/>
              <w:tr2bl w:val="nil"/>
            </w:tcBorders>
            <w:vAlign w:val="center"/>
          </w:tcPr>
          <w:p w14:paraId="261569A4">
            <w:pPr>
              <w:pStyle w:val="64"/>
              <w:spacing w:line="240" w:lineRule="auto"/>
              <w:ind w:firstLine="0"/>
              <w:rPr>
                <w:sz w:val="21"/>
                <w:szCs w:val="21"/>
              </w:rPr>
            </w:pPr>
          </w:p>
        </w:tc>
        <w:tc>
          <w:tcPr>
            <w:tcW w:w="941" w:type="dxa"/>
            <w:tcBorders>
              <w:tl2br w:val="nil"/>
              <w:tr2bl w:val="nil"/>
            </w:tcBorders>
            <w:vAlign w:val="center"/>
          </w:tcPr>
          <w:p w14:paraId="612190CC">
            <w:pPr>
              <w:pStyle w:val="64"/>
              <w:spacing w:line="240" w:lineRule="auto"/>
              <w:ind w:firstLine="0"/>
              <w:rPr>
                <w:sz w:val="21"/>
                <w:szCs w:val="21"/>
              </w:rPr>
            </w:pPr>
            <w:r>
              <w:rPr>
                <w:sz w:val="21"/>
                <w:szCs w:val="21"/>
              </w:rPr>
              <w:t>T/In</w:t>
            </w:r>
          </w:p>
        </w:tc>
        <w:tc>
          <w:tcPr>
            <w:tcW w:w="1255" w:type="dxa"/>
            <w:vMerge w:val="continue"/>
            <w:tcBorders>
              <w:tl2br w:val="nil"/>
              <w:tr2bl w:val="nil"/>
            </w:tcBorders>
            <w:vAlign w:val="center"/>
          </w:tcPr>
          <w:p w14:paraId="565AD5AA">
            <w:pPr>
              <w:pStyle w:val="64"/>
              <w:spacing w:line="240" w:lineRule="auto"/>
              <w:ind w:firstLine="0"/>
              <w:rPr>
                <w:sz w:val="21"/>
                <w:szCs w:val="21"/>
              </w:rPr>
            </w:pPr>
          </w:p>
        </w:tc>
        <w:tc>
          <w:tcPr>
            <w:tcW w:w="806" w:type="dxa"/>
            <w:tcBorders>
              <w:tl2br w:val="nil"/>
              <w:tr2bl w:val="nil"/>
            </w:tcBorders>
            <w:vAlign w:val="center"/>
          </w:tcPr>
          <w:p w14:paraId="14E23DE4">
            <w:pPr>
              <w:pStyle w:val="64"/>
              <w:spacing w:line="240" w:lineRule="auto"/>
              <w:ind w:firstLine="0"/>
              <w:rPr>
                <w:sz w:val="21"/>
                <w:szCs w:val="21"/>
              </w:rPr>
            </w:pPr>
            <w:r>
              <w:rPr>
                <w:sz w:val="21"/>
                <w:szCs w:val="21"/>
              </w:rPr>
              <w:t>符合</w:t>
            </w:r>
          </w:p>
        </w:tc>
      </w:tr>
      <w:tr w14:paraId="4B1219E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10476EAB">
            <w:pPr>
              <w:pStyle w:val="64"/>
              <w:spacing w:line="240" w:lineRule="auto"/>
              <w:ind w:firstLine="0"/>
              <w:rPr>
                <w:sz w:val="21"/>
                <w:szCs w:val="21"/>
              </w:rPr>
            </w:pPr>
            <w:r>
              <w:rPr>
                <w:sz w:val="21"/>
                <w:szCs w:val="21"/>
              </w:rPr>
              <w:t>6</w:t>
            </w:r>
          </w:p>
        </w:tc>
        <w:tc>
          <w:tcPr>
            <w:tcW w:w="715" w:type="dxa"/>
            <w:tcBorders>
              <w:tl2br w:val="nil"/>
              <w:tr2bl w:val="nil"/>
            </w:tcBorders>
            <w:vAlign w:val="center"/>
          </w:tcPr>
          <w:p w14:paraId="786ED02D">
            <w:pPr>
              <w:pStyle w:val="64"/>
              <w:spacing w:line="240" w:lineRule="auto"/>
              <w:ind w:firstLine="0"/>
              <w:rPr>
                <w:sz w:val="21"/>
                <w:szCs w:val="21"/>
              </w:rPr>
            </w:pPr>
            <w:r>
              <w:rPr>
                <w:sz w:val="21"/>
                <w:szCs w:val="21"/>
              </w:rPr>
              <w:t>废过滤棉</w:t>
            </w:r>
          </w:p>
        </w:tc>
        <w:tc>
          <w:tcPr>
            <w:tcW w:w="849" w:type="dxa"/>
            <w:tcBorders>
              <w:tl2br w:val="nil"/>
              <w:tr2bl w:val="nil"/>
            </w:tcBorders>
            <w:vAlign w:val="center"/>
          </w:tcPr>
          <w:p w14:paraId="35B04B02">
            <w:pPr>
              <w:pStyle w:val="64"/>
              <w:spacing w:line="240" w:lineRule="auto"/>
              <w:ind w:firstLine="0"/>
              <w:rPr>
                <w:sz w:val="21"/>
                <w:szCs w:val="21"/>
              </w:rPr>
            </w:pPr>
            <w:r>
              <w:rPr>
                <w:sz w:val="21"/>
                <w:szCs w:val="21"/>
              </w:rPr>
              <w:t>环保末端处理设备</w:t>
            </w:r>
          </w:p>
        </w:tc>
        <w:tc>
          <w:tcPr>
            <w:tcW w:w="588" w:type="dxa"/>
            <w:vMerge w:val="continue"/>
            <w:tcBorders>
              <w:tl2br w:val="nil"/>
              <w:tr2bl w:val="nil"/>
            </w:tcBorders>
            <w:vAlign w:val="center"/>
          </w:tcPr>
          <w:p w14:paraId="06DC4BBD">
            <w:pPr>
              <w:pStyle w:val="64"/>
              <w:spacing w:line="240" w:lineRule="auto"/>
              <w:ind w:firstLine="0"/>
              <w:rPr>
                <w:sz w:val="21"/>
                <w:szCs w:val="21"/>
              </w:rPr>
            </w:pPr>
          </w:p>
        </w:tc>
        <w:tc>
          <w:tcPr>
            <w:tcW w:w="1210" w:type="dxa"/>
            <w:tcBorders>
              <w:tl2br w:val="nil"/>
              <w:tr2bl w:val="nil"/>
            </w:tcBorders>
            <w:vAlign w:val="center"/>
          </w:tcPr>
          <w:p w14:paraId="67A83D74">
            <w:pPr>
              <w:pStyle w:val="64"/>
              <w:spacing w:line="240" w:lineRule="auto"/>
              <w:ind w:firstLine="0"/>
              <w:rPr>
                <w:sz w:val="21"/>
                <w:szCs w:val="21"/>
              </w:rPr>
            </w:pPr>
            <w:r>
              <w:rPr>
                <w:sz w:val="21"/>
                <w:szCs w:val="21"/>
              </w:rPr>
              <w:t>HW49</w:t>
            </w:r>
          </w:p>
          <w:p w14:paraId="702B2C6F">
            <w:pPr>
              <w:pStyle w:val="64"/>
              <w:spacing w:line="240" w:lineRule="auto"/>
              <w:ind w:firstLine="0"/>
              <w:rPr>
                <w:sz w:val="21"/>
                <w:szCs w:val="21"/>
              </w:rPr>
            </w:pPr>
            <w:r>
              <w:rPr>
                <w:sz w:val="21"/>
                <w:szCs w:val="21"/>
              </w:rPr>
              <w:t>900-041-49</w:t>
            </w:r>
          </w:p>
        </w:tc>
        <w:tc>
          <w:tcPr>
            <w:tcW w:w="1112" w:type="dxa"/>
            <w:tcBorders>
              <w:tl2br w:val="nil"/>
              <w:tr2bl w:val="nil"/>
            </w:tcBorders>
            <w:vAlign w:val="center"/>
          </w:tcPr>
          <w:p w14:paraId="5B637B56">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0.26t/a</w:t>
            </w:r>
          </w:p>
        </w:tc>
        <w:tc>
          <w:tcPr>
            <w:tcW w:w="614" w:type="dxa"/>
            <w:vMerge w:val="continue"/>
            <w:tcBorders>
              <w:tl2br w:val="nil"/>
              <w:tr2bl w:val="nil"/>
            </w:tcBorders>
            <w:vAlign w:val="center"/>
          </w:tcPr>
          <w:p w14:paraId="5E0F80E9">
            <w:pPr>
              <w:pStyle w:val="64"/>
              <w:spacing w:line="240" w:lineRule="auto"/>
              <w:ind w:firstLine="0"/>
              <w:rPr>
                <w:sz w:val="21"/>
                <w:szCs w:val="21"/>
              </w:rPr>
            </w:pPr>
          </w:p>
        </w:tc>
        <w:tc>
          <w:tcPr>
            <w:tcW w:w="941" w:type="dxa"/>
            <w:tcBorders>
              <w:tl2br w:val="nil"/>
              <w:tr2bl w:val="nil"/>
            </w:tcBorders>
            <w:vAlign w:val="center"/>
          </w:tcPr>
          <w:p w14:paraId="0F491098">
            <w:pPr>
              <w:pStyle w:val="64"/>
              <w:spacing w:line="240" w:lineRule="auto"/>
              <w:ind w:firstLine="0"/>
              <w:rPr>
                <w:sz w:val="21"/>
                <w:szCs w:val="21"/>
              </w:rPr>
            </w:pPr>
            <w:r>
              <w:rPr>
                <w:sz w:val="21"/>
                <w:szCs w:val="21"/>
              </w:rPr>
              <w:t>T/In</w:t>
            </w:r>
          </w:p>
        </w:tc>
        <w:tc>
          <w:tcPr>
            <w:tcW w:w="1255" w:type="dxa"/>
            <w:vMerge w:val="continue"/>
            <w:tcBorders>
              <w:tl2br w:val="nil"/>
              <w:tr2bl w:val="nil"/>
            </w:tcBorders>
            <w:vAlign w:val="center"/>
          </w:tcPr>
          <w:p w14:paraId="76FBD258">
            <w:pPr>
              <w:pStyle w:val="64"/>
              <w:spacing w:line="240" w:lineRule="auto"/>
              <w:ind w:firstLine="0"/>
              <w:rPr>
                <w:sz w:val="21"/>
                <w:szCs w:val="21"/>
              </w:rPr>
            </w:pPr>
          </w:p>
        </w:tc>
        <w:tc>
          <w:tcPr>
            <w:tcW w:w="806" w:type="dxa"/>
            <w:tcBorders>
              <w:tl2br w:val="nil"/>
              <w:tr2bl w:val="nil"/>
            </w:tcBorders>
            <w:vAlign w:val="center"/>
          </w:tcPr>
          <w:p w14:paraId="42EE5C9E">
            <w:pPr>
              <w:pStyle w:val="64"/>
              <w:spacing w:line="240" w:lineRule="auto"/>
              <w:ind w:firstLine="0"/>
              <w:rPr>
                <w:sz w:val="21"/>
                <w:szCs w:val="21"/>
              </w:rPr>
            </w:pPr>
            <w:r>
              <w:rPr>
                <w:sz w:val="21"/>
                <w:szCs w:val="21"/>
              </w:rPr>
              <w:t>符合</w:t>
            </w:r>
          </w:p>
        </w:tc>
      </w:tr>
      <w:tr w14:paraId="7670BB4A">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13FA4FFF">
            <w:pPr>
              <w:pStyle w:val="64"/>
              <w:spacing w:line="240" w:lineRule="auto"/>
              <w:ind w:firstLine="0"/>
              <w:rPr>
                <w:sz w:val="21"/>
                <w:szCs w:val="21"/>
              </w:rPr>
            </w:pPr>
            <w:r>
              <w:rPr>
                <w:sz w:val="21"/>
                <w:szCs w:val="21"/>
              </w:rPr>
              <w:t>7</w:t>
            </w:r>
          </w:p>
        </w:tc>
        <w:tc>
          <w:tcPr>
            <w:tcW w:w="715" w:type="dxa"/>
            <w:tcBorders>
              <w:tl2br w:val="nil"/>
              <w:tr2bl w:val="nil"/>
            </w:tcBorders>
            <w:vAlign w:val="center"/>
          </w:tcPr>
          <w:p w14:paraId="2DFCD396">
            <w:pPr>
              <w:pStyle w:val="64"/>
              <w:spacing w:line="240" w:lineRule="auto"/>
              <w:ind w:firstLine="0"/>
              <w:rPr>
                <w:sz w:val="21"/>
                <w:szCs w:val="21"/>
              </w:rPr>
            </w:pPr>
            <w:r>
              <w:rPr>
                <w:sz w:val="21"/>
                <w:szCs w:val="21"/>
              </w:rPr>
              <w:t>废活性炭</w:t>
            </w:r>
          </w:p>
        </w:tc>
        <w:tc>
          <w:tcPr>
            <w:tcW w:w="849" w:type="dxa"/>
            <w:tcBorders>
              <w:tl2br w:val="nil"/>
              <w:tr2bl w:val="nil"/>
            </w:tcBorders>
            <w:vAlign w:val="center"/>
          </w:tcPr>
          <w:p w14:paraId="2C6832D0">
            <w:pPr>
              <w:pStyle w:val="64"/>
              <w:spacing w:line="240" w:lineRule="auto"/>
              <w:ind w:firstLine="0"/>
              <w:rPr>
                <w:sz w:val="21"/>
                <w:szCs w:val="21"/>
              </w:rPr>
            </w:pPr>
            <w:r>
              <w:rPr>
                <w:sz w:val="21"/>
                <w:szCs w:val="21"/>
              </w:rPr>
              <w:t>环保末端处理设备</w:t>
            </w:r>
          </w:p>
        </w:tc>
        <w:tc>
          <w:tcPr>
            <w:tcW w:w="588" w:type="dxa"/>
            <w:vMerge w:val="continue"/>
            <w:tcBorders>
              <w:tl2br w:val="nil"/>
              <w:tr2bl w:val="nil"/>
            </w:tcBorders>
            <w:vAlign w:val="center"/>
          </w:tcPr>
          <w:p w14:paraId="2784505A">
            <w:pPr>
              <w:pStyle w:val="64"/>
              <w:spacing w:line="240" w:lineRule="auto"/>
              <w:ind w:firstLine="0"/>
              <w:rPr>
                <w:sz w:val="21"/>
                <w:szCs w:val="21"/>
              </w:rPr>
            </w:pPr>
          </w:p>
        </w:tc>
        <w:tc>
          <w:tcPr>
            <w:tcW w:w="1210" w:type="dxa"/>
            <w:tcBorders>
              <w:tl2br w:val="nil"/>
              <w:tr2bl w:val="nil"/>
            </w:tcBorders>
            <w:vAlign w:val="center"/>
          </w:tcPr>
          <w:p w14:paraId="50C8B001">
            <w:pPr>
              <w:pStyle w:val="64"/>
              <w:spacing w:line="240" w:lineRule="auto"/>
              <w:ind w:firstLine="0"/>
              <w:rPr>
                <w:sz w:val="21"/>
                <w:szCs w:val="21"/>
              </w:rPr>
            </w:pPr>
            <w:r>
              <w:rPr>
                <w:sz w:val="21"/>
                <w:szCs w:val="21"/>
              </w:rPr>
              <w:t>HW49</w:t>
            </w:r>
          </w:p>
          <w:p w14:paraId="71734E20">
            <w:pPr>
              <w:pStyle w:val="64"/>
              <w:spacing w:line="240" w:lineRule="auto"/>
              <w:ind w:firstLine="0"/>
              <w:rPr>
                <w:sz w:val="21"/>
                <w:szCs w:val="21"/>
              </w:rPr>
            </w:pPr>
            <w:r>
              <w:rPr>
                <w:sz w:val="21"/>
                <w:szCs w:val="21"/>
              </w:rPr>
              <w:t>900-039-49</w:t>
            </w:r>
          </w:p>
        </w:tc>
        <w:tc>
          <w:tcPr>
            <w:tcW w:w="1112" w:type="dxa"/>
            <w:tcBorders>
              <w:tl2br w:val="nil"/>
              <w:tr2bl w:val="nil"/>
            </w:tcBorders>
            <w:vAlign w:val="center"/>
          </w:tcPr>
          <w:p w14:paraId="0C0F8A1A">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70t/10a</w:t>
            </w:r>
          </w:p>
        </w:tc>
        <w:tc>
          <w:tcPr>
            <w:tcW w:w="614" w:type="dxa"/>
            <w:vMerge w:val="restart"/>
            <w:tcBorders>
              <w:tl2br w:val="nil"/>
              <w:tr2bl w:val="nil"/>
            </w:tcBorders>
            <w:vAlign w:val="center"/>
          </w:tcPr>
          <w:p w14:paraId="6F057D7F">
            <w:pPr>
              <w:pStyle w:val="64"/>
              <w:spacing w:line="240" w:lineRule="auto"/>
              <w:ind w:firstLine="0"/>
              <w:rPr>
                <w:sz w:val="21"/>
                <w:szCs w:val="21"/>
              </w:rPr>
            </w:pPr>
            <w:r>
              <w:rPr>
                <w:sz w:val="21"/>
                <w:szCs w:val="21"/>
              </w:rPr>
              <w:t>不贮存</w:t>
            </w:r>
          </w:p>
        </w:tc>
        <w:tc>
          <w:tcPr>
            <w:tcW w:w="941" w:type="dxa"/>
            <w:tcBorders>
              <w:tl2br w:val="nil"/>
              <w:tr2bl w:val="nil"/>
            </w:tcBorders>
            <w:vAlign w:val="center"/>
          </w:tcPr>
          <w:p w14:paraId="0EF6F57B">
            <w:pPr>
              <w:pStyle w:val="64"/>
              <w:spacing w:line="240" w:lineRule="auto"/>
              <w:ind w:firstLine="0"/>
              <w:rPr>
                <w:sz w:val="21"/>
                <w:szCs w:val="21"/>
              </w:rPr>
            </w:pPr>
            <w:r>
              <w:rPr>
                <w:sz w:val="21"/>
                <w:szCs w:val="21"/>
              </w:rPr>
              <w:t>T</w:t>
            </w:r>
          </w:p>
        </w:tc>
        <w:tc>
          <w:tcPr>
            <w:tcW w:w="1255" w:type="dxa"/>
            <w:vMerge w:val="continue"/>
            <w:tcBorders>
              <w:tl2br w:val="nil"/>
              <w:tr2bl w:val="nil"/>
            </w:tcBorders>
            <w:vAlign w:val="center"/>
          </w:tcPr>
          <w:p w14:paraId="19F213A0">
            <w:pPr>
              <w:pStyle w:val="64"/>
              <w:spacing w:line="240" w:lineRule="auto"/>
              <w:ind w:firstLine="0"/>
              <w:rPr>
                <w:sz w:val="21"/>
                <w:szCs w:val="21"/>
              </w:rPr>
            </w:pPr>
          </w:p>
        </w:tc>
        <w:tc>
          <w:tcPr>
            <w:tcW w:w="806" w:type="dxa"/>
            <w:tcBorders>
              <w:tl2br w:val="nil"/>
              <w:tr2bl w:val="nil"/>
            </w:tcBorders>
            <w:vAlign w:val="center"/>
          </w:tcPr>
          <w:p w14:paraId="3576F7E8">
            <w:pPr>
              <w:pStyle w:val="64"/>
              <w:spacing w:line="240" w:lineRule="auto"/>
              <w:ind w:firstLine="0"/>
              <w:rPr>
                <w:sz w:val="21"/>
                <w:szCs w:val="21"/>
              </w:rPr>
            </w:pPr>
            <w:r>
              <w:rPr>
                <w:sz w:val="21"/>
                <w:szCs w:val="21"/>
              </w:rPr>
              <w:t>符合</w:t>
            </w:r>
          </w:p>
        </w:tc>
      </w:tr>
      <w:tr w14:paraId="08E9EA88">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6BE5C6D9">
            <w:pPr>
              <w:pStyle w:val="64"/>
              <w:spacing w:line="240" w:lineRule="auto"/>
              <w:ind w:firstLine="0"/>
              <w:rPr>
                <w:color w:val="FF0000"/>
                <w:sz w:val="21"/>
                <w:szCs w:val="21"/>
              </w:rPr>
            </w:pPr>
            <w:r>
              <w:rPr>
                <w:sz w:val="21"/>
                <w:szCs w:val="21"/>
              </w:rPr>
              <w:t>8</w:t>
            </w:r>
          </w:p>
        </w:tc>
        <w:tc>
          <w:tcPr>
            <w:tcW w:w="715" w:type="dxa"/>
            <w:tcBorders>
              <w:tl2br w:val="nil"/>
              <w:tr2bl w:val="nil"/>
            </w:tcBorders>
            <w:vAlign w:val="center"/>
          </w:tcPr>
          <w:p w14:paraId="1F0D4A95">
            <w:pPr>
              <w:pStyle w:val="64"/>
              <w:spacing w:line="240" w:lineRule="auto"/>
              <w:ind w:firstLine="0"/>
              <w:rPr>
                <w:sz w:val="21"/>
                <w:szCs w:val="21"/>
              </w:rPr>
            </w:pPr>
            <w:r>
              <w:rPr>
                <w:sz w:val="21"/>
                <w:szCs w:val="21"/>
              </w:rPr>
              <w:t>废沸石</w:t>
            </w:r>
          </w:p>
        </w:tc>
        <w:tc>
          <w:tcPr>
            <w:tcW w:w="849" w:type="dxa"/>
            <w:tcBorders>
              <w:tl2br w:val="nil"/>
              <w:tr2bl w:val="nil"/>
            </w:tcBorders>
            <w:vAlign w:val="center"/>
          </w:tcPr>
          <w:p w14:paraId="081B1E1C">
            <w:pPr>
              <w:pStyle w:val="64"/>
              <w:spacing w:line="240" w:lineRule="auto"/>
              <w:ind w:firstLine="0"/>
              <w:rPr>
                <w:sz w:val="21"/>
                <w:szCs w:val="21"/>
              </w:rPr>
            </w:pPr>
            <w:r>
              <w:rPr>
                <w:sz w:val="21"/>
                <w:szCs w:val="21"/>
              </w:rPr>
              <w:t>环保末端处理设备</w:t>
            </w:r>
          </w:p>
        </w:tc>
        <w:tc>
          <w:tcPr>
            <w:tcW w:w="588" w:type="dxa"/>
            <w:vMerge w:val="continue"/>
            <w:tcBorders>
              <w:tl2br w:val="nil"/>
              <w:tr2bl w:val="nil"/>
            </w:tcBorders>
            <w:vAlign w:val="center"/>
          </w:tcPr>
          <w:p w14:paraId="113DA1C7">
            <w:pPr>
              <w:pStyle w:val="64"/>
              <w:spacing w:line="240" w:lineRule="auto"/>
              <w:ind w:firstLine="0"/>
              <w:rPr>
                <w:sz w:val="21"/>
                <w:szCs w:val="21"/>
              </w:rPr>
            </w:pPr>
          </w:p>
        </w:tc>
        <w:tc>
          <w:tcPr>
            <w:tcW w:w="1210" w:type="dxa"/>
            <w:tcBorders>
              <w:tl2br w:val="nil"/>
              <w:tr2bl w:val="nil"/>
            </w:tcBorders>
            <w:vAlign w:val="center"/>
          </w:tcPr>
          <w:p w14:paraId="292EC865">
            <w:pPr>
              <w:pStyle w:val="64"/>
              <w:spacing w:line="240" w:lineRule="auto"/>
              <w:ind w:firstLine="0"/>
              <w:rPr>
                <w:sz w:val="21"/>
                <w:szCs w:val="21"/>
              </w:rPr>
            </w:pPr>
            <w:r>
              <w:rPr>
                <w:sz w:val="21"/>
                <w:szCs w:val="21"/>
              </w:rPr>
              <w:t>HW49</w:t>
            </w:r>
          </w:p>
          <w:p w14:paraId="0C7C7880">
            <w:pPr>
              <w:pStyle w:val="64"/>
              <w:spacing w:line="240" w:lineRule="auto"/>
              <w:ind w:firstLine="0"/>
              <w:rPr>
                <w:sz w:val="21"/>
                <w:szCs w:val="21"/>
              </w:rPr>
            </w:pPr>
            <w:r>
              <w:rPr>
                <w:sz w:val="21"/>
                <w:szCs w:val="21"/>
              </w:rPr>
              <w:t>900-041-49</w:t>
            </w:r>
          </w:p>
        </w:tc>
        <w:tc>
          <w:tcPr>
            <w:tcW w:w="1112" w:type="dxa"/>
            <w:tcBorders>
              <w:tl2br w:val="nil"/>
              <w:tr2bl w:val="nil"/>
            </w:tcBorders>
            <w:vAlign w:val="center"/>
          </w:tcPr>
          <w:p w14:paraId="2341FAA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2.5t/8a</w:t>
            </w:r>
          </w:p>
        </w:tc>
        <w:tc>
          <w:tcPr>
            <w:tcW w:w="614" w:type="dxa"/>
            <w:vMerge w:val="continue"/>
            <w:tcBorders>
              <w:tl2br w:val="nil"/>
              <w:tr2bl w:val="nil"/>
            </w:tcBorders>
            <w:vAlign w:val="center"/>
          </w:tcPr>
          <w:p w14:paraId="2620E4CA">
            <w:pPr>
              <w:pStyle w:val="64"/>
              <w:spacing w:line="240" w:lineRule="auto"/>
              <w:ind w:firstLine="0"/>
              <w:rPr>
                <w:sz w:val="21"/>
                <w:szCs w:val="21"/>
              </w:rPr>
            </w:pPr>
          </w:p>
        </w:tc>
        <w:tc>
          <w:tcPr>
            <w:tcW w:w="941" w:type="dxa"/>
            <w:tcBorders>
              <w:tl2br w:val="nil"/>
              <w:tr2bl w:val="nil"/>
            </w:tcBorders>
            <w:vAlign w:val="center"/>
          </w:tcPr>
          <w:p w14:paraId="1E352F05">
            <w:pPr>
              <w:pStyle w:val="64"/>
              <w:spacing w:line="240" w:lineRule="auto"/>
              <w:ind w:firstLine="0"/>
              <w:rPr>
                <w:sz w:val="21"/>
                <w:szCs w:val="21"/>
              </w:rPr>
            </w:pPr>
            <w:r>
              <w:rPr>
                <w:sz w:val="21"/>
                <w:szCs w:val="21"/>
              </w:rPr>
              <w:t>T/In</w:t>
            </w:r>
          </w:p>
        </w:tc>
        <w:tc>
          <w:tcPr>
            <w:tcW w:w="1255" w:type="dxa"/>
            <w:vMerge w:val="continue"/>
            <w:tcBorders>
              <w:tl2br w:val="nil"/>
              <w:tr2bl w:val="nil"/>
            </w:tcBorders>
            <w:vAlign w:val="center"/>
          </w:tcPr>
          <w:p w14:paraId="466C6BF5">
            <w:pPr>
              <w:pStyle w:val="64"/>
              <w:spacing w:line="240" w:lineRule="auto"/>
              <w:ind w:firstLine="0"/>
              <w:rPr>
                <w:sz w:val="21"/>
                <w:szCs w:val="21"/>
              </w:rPr>
            </w:pPr>
          </w:p>
        </w:tc>
        <w:tc>
          <w:tcPr>
            <w:tcW w:w="806" w:type="dxa"/>
            <w:tcBorders>
              <w:tl2br w:val="nil"/>
              <w:tr2bl w:val="nil"/>
            </w:tcBorders>
            <w:vAlign w:val="center"/>
          </w:tcPr>
          <w:p w14:paraId="08616592">
            <w:pPr>
              <w:pStyle w:val="64"/>
              <w:spacing w:line="240" w:lineRule="auto"/>
              <w:ind w:firstLine="0"/>
              <w:rPr>
                <w:sz w:val="21"/>
                <w:szCs w:val="21"/>
              </w:rPr>
            </w:pPr>
            <w:r>
              <w:rPr>
                <w:sz w:val="21"/>
                <w:szCs w:val="21"/>
              </w:rPr>
              <w:t>符合</w:t>
            </w:r>
          </w:p>
        </w:tc>
      </w:tr>
      <w:tr w14:paraId="4E22F0F0">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775DC19B">
            <w:pPr>
              <w:pStyle w:val="64"/>
              <w:spacing w:line="240" w:lineRule="auto"/>
              <w:ind w:firstLine="0"/>
              <w:rPr>
                <w:sz w:val="21"/>
                <w:szCs w:val="21"/>
              </w:rPr>
            </w:pPr>
            <w:r>
              <w:rPr>
                <w:sz w:val="21"/>
                <w:szCs w:val="21"/>
              </w:rPr>
              <w:t>9</w:t>
            </w:r>
          </w:p>
        </w:tc>
        <w:tc>
          <w:tcPr>
            <w:tcW w:w="715" w:type="dxa"/>
            <w:tcBorders>
              <w:tl2br w:val="nil"/>
              <w:tr2bl w:val="nil"/>
            </w:tcBorders>
            <w:vAlign w:val="center"/>
          </w:tcPr>
          <w:p w14:paraId="111BF4A8">
            <w:pPr>
              <w:pStyle w:val="64"/>
              <w:spacing w:line="240" w:lineRule="auto"/>
              <w:ind w:firstLine="0"/>
              <w:rPr>
                <w:sz w:val="21"/>
                <w:szCs w:val="21"/>
              </w:rPr>
            </w:pPr>
            <w:r>
              <w:rPr>
                <w:sz w:val="21"/>
                <w:szCs w:val="21"/>
              </w:rPr>
              <w:t>精馏残液</w:t>
            </w:r>
          </w:p>
        </w:tc>
        <w:tc>
          <w:tcPr>
            <w:tcW w:w="849" w:type="dxa"/>
            <w:tcBorders>
              <w:tl2br w:val="nil"/>
              <w:tr2bl w:val="nil"/>
            </w:tcBorders>
            <w:vAlign w:val="center"/>
          </w:tcPr>
          <w:p w14:paraId="35308451">
            <w:pPr>
              <w:pStyle w:val="64"/>
              <w:spacing w:line="240" w:lineRule="auto"/>
              <w:ind w:firstLine="0"/>
              <w:rPr>
                <w:sz w:val="21"/>
                <w:szCs w:val="21"/>
              </w:rPr>
            </w:pPr>
            <w:r>
              <w:rPr>
                <w:sz w:val="21"/>
                <w:szCs w:val="21"/>
              </w:rPr>
              <w:t>环保末端处理设备</w:t>
            </w:r>
          </w:p>
        </w:tc>
        <w:tc>
          <w:tcPr>
            <w:tcW w:w="588" w:type="dxa"/>
            <w:vMerge w:val="continue"/>
            <w:tcBorders>
              <w:tl2br w:val="nil"/>
              <w:tr2bl w:val="nil"/>
            </w:tcBorders>
            <w:vAlign w:val="center"/>
          </w:tcPr>
          <w:p w14:paraId="32EAE4F0">
            <w:pPr>
              <w:pStyle w:val="64"/>
              <w:spacing w:line="240" w:lineRule="auto"/>
              <w:ind w:firstLine="0"/>
              <w:rPr>
                <w:sz w:val="21"/>
                <w:szCs w:val="21"/>
              </w:rPr>
            </w:pPr>
          </w:p>
        </w:tc>
        <w:tc>
          <w:tcPr>
            <w:tcW w:w="1210" w:type="dxa"/>
            <w:tcBorders>
              <w:tl2br w:val="nil"/>
              <w:tr2bl w:val="nil"/>
            </w:tcBorders>
            <w:vAlign w:val="center"/>
          </w:tcPr>
          <w:p w14:paraId="6F7E8E40">
            <w:pPr>
              <w:pStyle w:val="64"/>
              <w:spacing w:line="240" w:lineRule="auto"/>
              <w:ind w:firstLine="0"/>
              <w:rPr>
                <w:sz w:val="21"/>
                <w:szCs w:val="21"/>
              </w:rPr>
            </w:pPr>
            <w:r>
              <w:rPr>
                <w:sz w:val="21"/>
                <w:szCs w:val="21"/>
              </w:rPr>
              <w:t>HW06</w:t>
            </w:r>
          </w:p>
          <w:p w14:paraId="3EBF1B5C">
            <w:pPr>
              <w:pStyle w:val="64"/>
              <w:spacing w:line="240" w:lineRule="auto"/>
              <w:ind w:firstLine="0"/>
              <w:rPr>
                <w:sz w:val="21"/>
                <w:szCs w:val="21"/>
              </w:rPr>
            </w:pPr>
            <w:r>
              <w:rPr>
                <w:sz w:val="21"/>
                <w:szCs w:val="21"/>
              </w:rPr>
              <w:t>900-407-06</w:t>
            </w:r>
          </w:p>
        </w:tc>
        <w:tc>
          <w:tcPr>
            <w:tcW w:w="1112" w:type="dxa"/>
            <w:tcBorders>
              <w:tl2br w:val="nil"/>
              <w:tr2bl w:val="nil"/>
            </w:tcBorders>
            <w:vAlign w:val="center"/>
          </w:tcPr>
          <w:p w14:paraId="59BA12F7">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90.561t/a</w:t>
            </w:r>
          </w:p>
        </w:tc>
        <w:tc>
          <w:tcPr>
            <w:tcW w:w="614" w:type="dxa"/>
            <w:vMerge w:val="restart"/>
            <w:tcBorders>
              <w:tl2br w:val="nil"/>
              <w:tr2bl w:val="nil"/>
            </w:tcBorders>
            <w:vAlign w:val="center"/>
          </w:tcPr>
          <w:p w14:paraId="23D75D38">
            <w:pPr>
              <w:pStyle w:val="64"/>
              <w:spacing w:line="240" w:lineRule="auto"/>
              <w:ind w:firstLine="0"/>
              <w:rPr>
                <w:sz w:val="21"/>
                <w:szCs w:val="21"/>
              </w:rPr>
            </w:pPr>
            <w:r>
              <w:rPr>
                <w:sz w:val="21"/>
                <w:szCs w:val="21"/>
              </w:rPr>
              <w:t>定期转运</w:t>
            </w:r>
          </w:p>
        </w:tc>
        <w:tc>
          <w:tcPr>
            <w:tcW w:w="941" w:type="dxa"/>
            <w:tcBorders>
              <w:tl2br w:val="nil"/>
              <w:tr2bl w:val="nil"/>
            </w:tcBorders>
            <w:vAlign w:val="center"/>
          </w:tcPr>
          <w:p w14:paraId="508138CE">
            <w:pPr>
              <w:pStyle w:val="64"/>
              <w:spacing w:line="240" w:lineRule="auto"/>
              <w:ind w:firstLine="0"/>
              <w:rPr>
                <w:sz w:val="21"/>
                <w:szCs w:val="21"/>
              </w:rPr>
            </w:pPr>
            <w:r>
              <w:rPr>
                <w:sz w:val="21"/>
                <w:szCs w:val="21"/>
              </w:rPr>
              <w:t>T，I，R</w:t>
            </w:r>
          </w:p>
        </w:tc>
        <w:tc>
          <w:tcPr>
            <w:tcW w:w="1255" w:type="dxa"/>
            <w:vMerge w:val="continue"/>
            <w:tcBorders>
              <w:tl2br w:val="nil"/>
              <w:tr2bl w:val="nil"/>
            </w:tcBorders>
            <w:vAlign w:val="center"/>
          </w:tcPr>
          <w:p w14:paraId="12EDDDCE">
            <w:pPr>
              <w:pStyle w:val="64"/>
              <w:spacing w:line="240" w:lineRule="auto"/>
              <w:ind w:firstLine="0"/>
              <w:rPr>
                <w:sz w:val="21"/>
                <w:szCs w:val="21"/>
              </w:rPr>
            </w:pPr>
          </w:p>
        </w:tc>
        <w:tc>
          <w:tcPr>
            <w:tcW w:w="806" w:type="dxa"/>
            <w:tcBorders>
              <w:tl2br w:val="nil"/>
              <w:tr2bl w:val="nil"/>
            </w:tcBorders>
            <w:vAlign w:val="center"/>
          </w:tcPr>
          <w:p w14:paraId="2A2F161F">
            <w:pPr>
              <w:pStyle w:val="64"/>
              <w:spacing w:line="240" w:lineRule="auto"/>
              <w:ind w:firstLine="0"/>
              <w:rPr>
                <w:sz w:val="21"/>
                <w:szCs w:val="21"/>
              </w:rPr>
            </w:pPr>
            <w:r>
              <w:rPr>
                <w:sz w:val="21"/>
                <w:szCs w:val="21"/>
              </w:rPr>
              <w:t>符合</w:t>
            </w:r>
          </w:p>
        </w:tc>
      </w:tr>
      <w:tr w14:paraId="283E321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43629990">
            <w:pPr>
              <w:pStyle w:val="64"/>
              <w:spacing w:line="240" w:lineRule="auto"/>
              <w:ind w:firstLine="0"/>
              <w:rPr>
                <w:sz w:val="21"/>
                <w:szCs w:val="21"/>
              </w:rPr>
            </w:pPr>
            <w:r>
              <w:rPr>
                <w:sz w:val="21"/>
                <w:szCs w:val="21"/>
              </w:rPr>
              <w:t>10</w:t>
            </w:r>
          </w:p>
        </w:tc>
        <w:tc>
          <w:tcPr>
            <w:tcW w:w="715" w:type="dxa"/>
            <w:tcBorders>
              <w:tl2br w:val="nil"/>
              <w:tr2bl w:val="nil"/>
            </w:tcBorders>
            <w:vAlign w:val="center"/>
          </w:tcPr>
          <w:p w14:paraId="13894E4E">
            <w:pPr>
              <w:pStyle w:val="64"/>
              <w:spacing w:line="240" w:lineRule="auto"/>
              <w:ind w:firstLine="0"/>
              <w:rPr>
                <w:sz w:val="21"/>
                <w:szCs w:val="21"/>
              </w:rPr>
            </w:pPr>
            <w:r>
              <w:rPr>
                <w:sz w:val="21"/>
                <w:szCs w:val="21"/>
              </w:rPr>
              <w:t>废润滑油及其包装桶</w:t>
            </w:r>
          </w:p>
        </w:tc>
        <w:tc>
          <w:tcPr>
            <w:tcW w:w="849" w:type="dxa"/>
            <w:tcBorders>
              <w:tl2br w:val="nil"/>
              <w:tr2bl w:val="nil"/>
            </w:tcBorders>
            <w:vAlign w:val="center"/>
          </w:tcPr>
          <w:p w14:paraId="00CD5253">
            <w:pPr>
              <w:pStyle w:val="64"/>
              <w:spacing w:line="240" w:lineRule="auto"/>
              <w:ind w:firstLine="0"/>
              <w:rPr>
                <w:sz w:val="21"/>
                <w:szCs w:val="21"/>
              </w:rPr>
            </w:pPr>
            <w:r>
              <w:rPr>
                <w:sz w:val="21"/>
                <w:szCs w:val="21"/>
              </w:rPr>
              <w:t>设备维修及维护</w:t>
            </w:r>
          </w:p>
        </w:tc>
        <w:tc>
          <w:tcPr>
            <w:tcW w:w="588" w:type="dxa"/>
            <w:vMerge w:val="continue"/>
            <w:tcBorders>
              <w:tl2br w:val="nil"/>
              <w:tr2bl w:val="nil"/>
            </w:tcBorders>
            <w:vAlign w:val="center"/>
          </w:tcPr>
          <w:p w14:paraId="00245C45">
            <w:pPr>
              <w:pStyle w:val="64"/>
              <w:spacing w:line="240" w:lineRule="auto"/>
              <w:ind w:firstLine="0"/>
              <w:rPr>
                <w:sz w:val="21"/>
                <w:szCs w:val="21"/>
              </w:rPr>
            </w:pPr>
          </w:p>
        </w:tc>
        <w:tc>
          <w:tcPr>
            <w:tcW w:w="1210" w:type="dxa"/>
            <w:tcBorders>
              <w:tl2br w:val="nil"/>
              <w:tr2bl w:val="nil"/>
            </w:tcBorders>
            <w:vAlign w:val="center"/>
          </w:tcPr>
          <w:p w14:paraId="3AF0610C">
            <w:pPr>
              <w:pStyle w:val="64"/>
              <w:spacing w:line="240" w:lineRule="auto"/>
              <w:ind w:firstLine="0"/>
              <w:rPr>
                <w:sz w:val="21"/>
                <w:szCs w:val="21"/>
              </w:rPr>
            </w:pPr>
            <w:r>
              <w:rPr>
                <w:sz w:val="21"/>
                <w:szCs w:val="21"/>
              </w:rPr>
              <w:t>HW08</w:t>
            </w:r>
          </w:p>
          <w:p w14:paraId="64ACB751">
            <w:pPr>
              <w:pStyle w:val="64"/>
              <w:spacing w:line="240" w:lineRule="auto"/>
              <w:ind w:firstLine="0"/>
              <w:rPr>
                <w:sz w:val="21"/>
                <w:szCs w:val="21"/>
              </w:rPr>
            </w:pPr>
            <w:r>
              <w:rPr>
                <w:sz w:val="21"/>
                <w:szCs w:val="21"/>
              </w:rPr>
              <w:t>900-249-08</w:t>
            </w:r>
          </w:p>
        </w:tc>
        <w:tc>
          <w:tcPr>
            <w:tcW w:w="1112" w:type="dxa"/>
            <w:tcBorders>
              <w:tl2br w:val="nil"/>
              <w:tr2bl w:val="nil"/>
            </w:tcBorders>
            <w:vAlign w:val="center"/>
          </w:tcPr>
          <w:p w14:paraId="5FC174D3">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0.5t/a</w:t>
            </w:r>
          </w:p>
        </w:tc>
        <w:tc>
          <w:tcPr>
            <w:tcW w:w="614" w:type="dxa"/>
            <w:vMerge w:val="continue"/>
            <w:tcBorders>
              <w:tl2br w:val="nil"/>
              <w:tr2bl w:val="nil"/>
            </w:tcBorders>
            <w:vAlign w:val="center"/>
          </w:tcPr>
          <w:p w14:paraId="7BEBD2D9">
            <w:pPr>
              <w:pStyle w:val="64"/>
              <w:spacing w:line="240" w:lineRule="auto"/>
              <w:ind w:firstLine="0"/>
              <w:rPr>
                <w:sz w:val="21"/>
                <w:szCs w:val="21"/>
              </w:rPr>
            </w:pPr>
          </w:p>
        </w:tc>
        <w:tc>
          <w:tcPr>
            <w:tcW w:w="941" w:type="dxa"/>
            <w:tcBorders>
              <w:tl2br w:val="nil"/>
              <w:tr2bl w:val="nil"/>
            </w:tcBorders>
            <w:vAlign w:val="center"/>
          </w:tcPr>
          <w:p w14:paraId="2FD82DFC">
            <w:pPr>
              <w:pStyle w:val="64"/>
              <w:spacing w:line="240" w:lineRule="auto"/>
              <w:ind w:firstLine="0"/>
              <w:rPr>
                <w:sz w:val="21"/>
                <w:szCs w:val="21"/>
              </w:rPr>
            </w:pPr>
            <w:r>
              <w:rPr>
                <w:sz w:val="21"/>
                <w:szCs w:val="21"/>
              </w:rPr>
              <w:t>T，I</w:t>
            </w:r>
          </w:p>
        </w:tc>
        <w:tc>
          <w:tcPr>
            <w:tcW w:w="1255" w:type="dxa"/>
            <w:vMerge w:val="continue"/>
            <w:tcBorders>
              <w:tl2br w:val="nil"/>
              <w:tr2bl w:val="nil"/>
            </w:tcBorders>
            <w:vAlign w:val="center"/>
          </w:tcPr>
          <w:p w14:paraId="2F992D16">
            <w:pPr>
              <w:pStyle w:val="64"/>
              <w:spacing w:line="240" w:lineRule="auto"/>
              <w:ind w:firstLine="0"/>
              <w:rPr>
                <w:sz w:val="21"/>
                <w:szCs w:val="21"/>
              </w:rPr>
            </w:pPr>
          </w:p>
        </w:tc>
        <w:tc>
          <w:tcPr>
            <w:tcW w:w="806" w:type="dxa"/>
            <w:tcBorders>
              <w:tl2br w:val="nil"/>
              <w:tr2bl w:val="nil"/>
            </w:tcBorders>
            <w:vAlign w:val="center"/>
          </w:tcPr>
          <w:p w14:paraId="3ED8522B">
            <w:pPr>
              <w:pStyle w:val="64"/>
              <w:spacing w:line="240" w:lineRule="auto"/>
              <w:ind w:firstLine="0"/>
              <w:rPr>
                <w:sz w:val="21"/>
                <w:szCs w:val="21"/>
              </w:rPr>
            </w:pPr>
            <w:r>
              <w:rPr>
                <w:sz w:val="21"/>
                <w:szCs w:val="21"/>
              </w:rPr>
              <w:t>符合</w:t>
            </w:r>
          </w:p>
        </w:tc>
      </w:tr>
      <w:tr w14:paraId="43327AC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31E8967D">
            <w:pPr>
              <w:pStyle w:val="64"/>
              <w:spacing w:line="240" w:lineRule="auto"/>
              <w:ind w:firstLine="0"/>
              <w:rPr>
                <w:sz w:val="21"/>
                <w:szCs w:val="21"/>
              </w:rPr>
            </w:pPr>
            <w:r>
              <w:rPr>
                <w:sz w:val="21"/>
                <w:szCs w:val="21"/>
              </w:rPr>
              <w:t>11</w:t>
            </w:r>
          </w:p>
        </w:tc>
        <w:tc>
          <w:tcPr>
            <w:tcW w:w="715" w:type="dxa"/>
            <w:tcBorders>
              <w:tl2br w:val="nil"/>
              <w:tr2bl w:val="nil"/>
            </w:tcBorders>
            <w:vAlign w:val="center"/>
          </w:tcPr>
          <w:p w14:paraId="2A6366A1">
            <w:pPr>
              <w:pStyle w:val="64"/>
              <w:spacing w:line="240" w:lineRule="auto"/>
              <w:ind w:firstLine="0"/>
              <w:rPr>
                <w:sz w:val="21"/>
                <w:szCs w:val="21"/>
              </w:rPr>
            </w:pPr>
            <w:r>
              <w:rPr>
                <w:sz w:val="21"/>
                <w:szCs w:val="21"/>
              </w:rPr>
              <w:t>废导热油及其包装桶</w:t>
            </w:r>
          </w:p>
        </w:tc>
        <w:tc>
          <w:tcPr>
            <w:tcW w:w="849" w:type="dxa"/>
            <w:tcBorders>
              <w:tl2br w:val="nil"/>
              <w:tr2bl w:val="nil"/>
            </w:tcBorders>
            <w:vAlign w:val="center"/>
          </w:tcPr>
          <w:p w14:paraId="49264985">
            <w:pPr>
              <w:pStyle w:val="64"/>
              <w:spacing w:line="240" w:lineRule="auto"/>
              <w:ind w:firstLine="0"/>
              <w:rPr>
                <w:sz w:val="21"/>
                <w:szCs w:val="21"/>
              </w:rPr>
            </w:pPr>
            <w:r>
              <w:rPr>
                <w:sz w:val="21"/>
                <w:szCs w:val="21"/>
              </w:rPr>
              <w:t>导热油锅炉</w:t>
            </w:r>
          </w:p>
        </w:tc>
        <w:tc>
          <w:tcPr>
            <w:tcW w:w="588" w:type="dxa"/>
            <w:tcBorders>
              <w:tl2br w:val="nil"/>
              <w:tr2bl w:val="nil"/>
            </w:tcBorders>
            <w:vAlign w:val="center"/>
          </w:tcPr>
          <w:p w14:paraId="14238EE1">
            <w:pPr>
              <w:pStyle w:val="64"/>
              <w:spacing w:line="240" w:lineRule="auto"/>
              <w:ind w:firstLine="0"/>
              <w:rPr>
                <w:sz w:val="21"/>
                <w:szCs w:val="21"/>
              </w:rPr>
            </w:pPr>
          </w:p>
        </w:tc>
        <w:tc>
          <w:tcPr>
            <w:tcW w:w="1210" w:type="dxa"/>
            <w:tcBorders>
              <w:tl2br w:val="nil"/>
              <w:tr2bl w:val="nil"/>
            </w:tcBorders>
            <w:vAlign w:val="center"/>
          </w:tcPr>
          <w:p w14:paraId="1B1C4233">
            <w:pPr>
              <w:pStyle w:val="64"/>
              <w:spacing w:line="240" w:lineRule="auto"/>
              <w:ind w:firstLine="0"/>
              <w:rPr>
                <w:sz w:val="21"/>
                <w:szCs w:val="21"/>
              </w:rPr>
            </w:pPr>
            <w:r>
              <w:rPr>
                <w:sz w:val="21"/>
                <w:szCs w:val="21"/>
              </w:rPr>
              <w:t>HW08</w:t>
            </w:r>
          </w:p>
          <w:p w14:paraId="4ABE2B5B">
            <w:pPr>
              <w:pStyle w:val="64"/>
              <w:spacing w:line="240" w:lineRule="auto"/>
              <w:ind w:firstLine="0"/>
              <w:rPr>
                <w:sz w:val="21"/>
                <w:szCs w:val="21"/>
              </w:rPr>
            </w:pPr>
            <w:r>
              <w:rPr>
                <w:sz w:val="21"/>
                <w:szCs w:val="21"/>
              </w:rPr>
              <w:t>900-249-08</w:t>
            </w:r>
          </w:p>
        </w:tc>
        <w:tc>
          <w:tcPr>
            <w:tcW w:w="1112" w:type="dxa"/>
            <w:tcBorders>
              <w:tl2br w:val="nil"/>
              <w:tr2bl w:val="nil"/>
            </w:tcBorders>
            <w:vAlign w:val="center"/>
          </w:tcPr>
          <w:p w14:paraId="457C44D2">
            <w:pPr>
              <w:pStyle w:val="64"/>
              <w:spacing w:line="240" w:lineRule="auto"/>
              <w:ind w:firstLine="0"/>
              <w:rPr>
                <w:rStyle w:val="53"/>
                <w:rFonts w:hint="default" w:ascii="Times New Roman" w:hAnsi="Times New Roman" w:cs="Times New Roman"/>
              </w:rPr>
            </w:pPr>
            <w:r>
              <w:rPr>
                <w:rStyle w:val="53"/>
                <w:rFonts w:hint="default" w:ascii="Times New Roman" w:hAnsi="Times New Roman" w:cs="Times New Roman"/>
              </w:rPr>
              <w:t>2t/2a</w:t>
            </w:r>
          </w:p>
        </w:tc>
        <w:tc>
          <w:tcPr>
            <w:tcW w:w="614" w:type="dxa"/>
            <w:vMerge w:val="continue"/>
            <w:tcBorders>
              <w:tl2br w:val="nil"/>
              <w:tr2bl w:val="nil"/>
            </w:tcBorders>
            <w:vAlign w:val="center"/>
          </w:tcPr>
          <w:p w14:paraId="5EE059B0">
            <w:pPr>
              <w:pStyle w:val="64"/>
              <w:spacing w:line="240" w:lineRule="auto"/>
              <w:ind w:firstLine="0"/>
              <w:rPr>
                <w:sz w:val="21"/>
                <w:szCs w:val="21"/>
              </w:rPr>
            </w:pPr>
          </w:p>
        </w:tc>
        <w:tc>
          <w:tcPr>
            <w:tcW w:w="941" w:type="dxa"/>
            <w:tcBorders>
              <w:tl2br w:val="nil"/>
              <w:tr2bl w:val="nil"/>
            </w:tcBorders>
            <w:vAlign w:val="center"/>
          </w:tcPr>
          <w:p w14:paraId="7F0212FF">
            <w:pPr>
              <w:pStyle w:val="64"/>
              <w:spacing w:line="240" w:lineRule="auto"/>
              <w:ind w:firstLine="0"/>
              <w:rPr>
                <w:sz w:val="21"/>
                <w:szCs w:val="21"/>
              </w:rPr>
            </w:pPr>
            <w:r>
              <w:rPr>
                <w:sz w:val="21"/>
                <w:szCs w:val="21"/>
              </w:rPr>
              <w:t>T，I</w:t>
            </w:r>
          </w:p>
        </w:tc>
        <w:tc>
          <w:tcPr>
            <w:tcW w:w="1255" w:type="dxa"/>
            <w:vMerge w:val="continue"/>
            <w:tcBorders>
              <w:tl2br w:val="nil"/>
              <w:tr2bl w:val="nil"/>
            </w:tcBorders>
            <w:vAlign w:val="center"/>
          </w:tcPr>
          <w:p w14:paraId="53731C92">
            <w:pPr>
              <w:pStyle w:val="64"/>
              <w:spacing w:line="240" w:lineRule="auto"/>
              <w:ind w:firstLine="0"/>
              <w:rPr>
                <w:sz w:val="21"/>
                <w:szCs w:val="21"/>
              </w:rPr>
            </w:pPr>
          </w:p>
        </w:tc>
        <w:tc>
          <w:tcPr>
            <w:tcW w:w="806" w:type="dxa"/>
            <w:tcBorders>
              <w:tl2br w:val="nil"/>
              <w:tr2bl w:val="nil"/>
            </w:tcBorders>
            <w:vAlign w:val="center"/>
          </w:tcPr>
          <w:p w14:paraId="1E92EBBA">
            <w:pPr>
              <w:pStyle w:val="64"/>
              <w:spacing w:line="240" w:lineRule="auto"/>
              <w:ind w:firstLine="0"/>
              <w:rPr>
                <w:sz w:val="21"/>
                <w:szCs w:val="21"/>
              </w:rPr>
            </w:pPr>
            <w:r>
              <w:rPr>
                <w:sz w:val="21"/>
                <w:szCs w:val="21"/>
              </w:rPr>
              <w:t>符合</w:t>
            </w:r>
          </w:p>
        </w:tc>
      </w:tr>
    </w:tbl>
    <w:p w14:paraId="14140B2E">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表4.3-15 </w:t>
      </w:r>
      <w:r>
        <w:rPr>
          <w:rFonts w:hint="eastAsia" w:ascii="宋体" w:hAnsi="宋体" w:cs="宋体"/>
          <w:b/>
          <w:bCs/>
          <w:color w:val="auto"/>
          <w:kern w:val="2"/>
          <w:sz w:val="21"/>
          <w:szCs w:val="21"/>
          <w:lang w:val="en-US" w:eastAsia="zh-CN" w:bidi="ar-SA"/>
        </w:rPr>
        <w:t xml:space="preserve">   </w:t>
      </w:r>
      <w:r>
        <w:rPr>
          <w:rFonts w:hint="eastAsia"/>
        </w:rPr>
        <w:t>危险废物贮存场所（设施）基本情况表</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97"/>
        <w:gridCol w:w="2676"/>
        <w:gridCol w:w="1254"/>
        <w:gridCol w:w="1116"/>
        <w:gridCol w:w="701"/>
        <w:gridCol w:w="699"/>
        <w:gridCol w:w="747"/>
      </w:tblGrid>
      <w:tr w14:paraId="6020EDB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1197" w:type="dxa"/>
            <w:tcBorders>
              <w:bottom w:val="single" w:color="000000" w:sz="4" w:space="0"/>
              <w:right w:val="single" w:color="000000" w:sz="4" w:space="0"/>
            </w:tcBorders>
            <w:vAlign w:val="center"/>
          </w:tcPr>
          <w:p w14:paraId="20BF275B">
            <w:pPr>
              <w:pStyle w:val="64"/>
              <w:spacing w:line="240" w:lineRule="auto"/>
              <w:ind w:firstLine="0"/>
              <w:rPr>
                <w:sz w:val="21"/>
                <w:szCs w:val="21"/>
              </w:rPr>
            </w:pPr>
            <w:r>
              <w:rPr>
                <w:sz w:val="21"/>
                <w:szCs w:val="21"/>
              </w:rPr>
              <w:t>贮存场所</w:t>
            </w:r>
          </w:p>
          <w:p w14:paraId="0F2DBA2A">
            <w:pPr>
              <w:pStyle w:val="64"/>
              <w:spacing w:line="240" w:lineRule="auto"/>
              <w:ind w:firstLine="0"/>
              <w:rPr>
                <w:sz w:val="21"/>
                <w:szCs w:val="21"/>
              </w:rPr>
            </w:pPr>
            <w:r>
              <w:rPr>
                <w:sz w:val="21"/>
                <w:szCs w:val="21"/>
              </w:rPr>
              <w:t>（设施）</w:t>
            </w:r>
          </w:p>
        </w:tc>
        <w:tc>
          <w:tcPr>
            <w:tcW w:w="2676" w:type="dxa"/>
            <w:tcBorders>
              <w:left w:val="single" w:color="000000" w:sz="4" w:space="0"/>
              <w:bottom w:val="single" w:color="000000" w:sz="4" w:space="0"/>
              <w:right w:val="single" w:color="000000" w:sz="4" w:space="0"/>
            </w:tcBorders>
            <w:vAlign w:val="center"/>
          </w:tcPr>
          <w:p w14:paraId="441D8A21">
            <w:pPr>
              <w:pStyle w:val="64"/>
              <w:spacing w:line="240" w:lineRule="auto"/>
              <w:ind w:firstLine="0"/>
              <w:rPr>
                <w:sz w:val="21"/>
                <w:szCs w:val="21"/>
              </w:rPr>
            </w:pPr>
            <w:r>
              <w:rPr>
                <w:sz w:val="21"/>
                <w:szCs w:val="21"/>
              </w:rPr>
              <w:t>危险废物</w:t>
            </w:r>
          </w:p>
        </w:tc>
        <w:tc>
          <w:tcPr>
            <w:tcW w:w="1254" w:type="dxa"/>
            <w:tcBorders>
              <w:left w:val="single" w:color="000000" w:sz="4" w:space="0"/>
              <w:bottom w:val="single" w:color="000000" w:sz="4" w:space="0"/>
              <w:right w:val="single" w:color="000000" w:sz="4" w:space="0"/>
            </w:tcBorders>
            <w:vAlign w:val="center"/>
          </w:tcPr>
          <w:p w14:paraId="7B73823C">
            <w:pPr>
              <w:pStyle w:val="64"/>
              <w:spacing w:line="240" w:lineRule="auto"/>
              <w:ind w:firstLine="0"/>
              <w:rPr>
                <w:sz w:val="21"/>
                <w:szCs w:val="21"/>
              </w:rPr>
            </w:pPr>
            <w:r>
              <w:rPr>
                <w:sz w:val="21"/>
                <w:szCs w:val="21"/>
              </w:rPr>
              <w:t>位置</w:t>
            </w:r>
          </w:p>
        </w:tc>
        <w:tc>
          <w:tcPr>
            <w:tcW w:w="1116" w:type="dxa"/>
            <w:tcBorders>
              <w:left w:val="single" w:color="000000" w:sz="4" w:space="0"/>
              <w:bottom w:val="single" w:color="000000" w:sz="4" w:space="0"/>
              <w:right w:val="single" w:color="000000" w:sz="4" w:space="0"/>
            </w:tcBorders>
            <w:vAlign w:val="center"/>
          </w:tcPr>
          <w:p w14:paraId="758BE130">
            <w:pPr>
              <w:pStyle w:val="64"/>
              <w:spacing w:line="240" w:lineRule="auto"/>
              <w:ind w:firstLine="0"/>
              <w:rPr>
                <w:sz w:val="21"/>
                <w:szCs w:val="21"/>
              </w:rPr>
            </w:pPr>
            <w:r>
              <w:rPr>
                <w:sz w:val="21"/>
                <w:szCs w:val="21"/>
              </w:rPr>
              <w:t>占地面积</w:t>
            </w:r>
          </w:p>
          <w:p w14:paraId="34525A33">
            <w:pPr>
              <w:pStyle w:val="64"/>
              <w:spacing w:line="240" w:lineRule="auto"/>
              <w:ind w:firstLine="0"/>
              <w:rPr>
                <w:sz w:val="21"/>
                <w:szCs w:val="21"/>
              </w:rPr>
            </w:pPr>
            <w:r>
              <w:rPr>
                <w:sz w:val="21"/>
                <w:szCs w:val="21"/>
              </w:rPr>
              <w:t>（m</w:t>
            </w:r>
            <w:r>
              <w:rPr>
                <w:sz w:val="21"/>
                <w:szCs w:val="21"/>
                <w:vertAlign w:val="superscript"/>
              </w:rPr>
              <w:t>2</w:t>
            </w:r>
            <w:r>
              <w:rPr>
                <w:sz w:val="21"/>
                <w:szCs w:val="21"/>
              </w:rPr>
              <w:t>）</w:t>
            </w:r>
          </w:p>
        </w:tc>
        <w:tc>
          <w:tcPr>
            <w:tcW w:w="701" w:type="dxa"/>
            <w:tcBorders>
              <w:left w:val="single" w:color="000000" w:sz="4" w:space="0"/>
              <w:bottom w:val="single" w:color="000000" w:sz="4" w:space="0"/>
              <w:right w:val="single" w:color="000000" w:sz="4" w:space="0"/>
            </w:tcBorders>
            <w:vAlign w:val="center"/>
          </w:tcPr>
          <w:p w14:paraId="75951B2D">
            <w:pPr>
              <w:pStyle w:val="64"/>
              <w:spacing w:line="240" w:lineRule="auto"/>
              <w:ind w:firstLine="0"/>
              <w:rPr>
                <w:sz w:val="21"/>
                <w:szCs w:val="21"/>
              </w:rPr>
            </w:pPr>
            <w:r>
              <w:rPr>
                <w:sz w:val="21"/>
                <w:szCs w:val="21"/>
              </w:rPr>
              <w:t>贮存</w:t>
            </w:r>
          </w:p>
          <w:p w14:paraId="2C0F3843">
            <w:pPr>
              <w:pStyle w:val="64"/>
              <w:spacing w:line="240" w:lineRule="auto"/>
              <w:ind w:firstLine="0"/>
              <w:rPr>
                <w:sz w:val="21"/>
                <w:szCs w:val="21"/>
              </w:rPr>
            </w:pPr>
            <w:r>
              <w:rPr>
                <w:sz w:val="21"/>
                <w:szCs w:val="21"/>
              </w:rPr>
              <w:t>方式</w:t>
            </w:r>
          </w:p>
        </w:tc>
        <w:tc>
          <w:tcPr>
            <w:tcW w:w="699" w:type="dxa"/>
            <w:tcBorders>
              <w:left w:val="single" w:color="000000" w:sz="4" w:space="0"/>
              <w:bottom w:val="single" w:color="000000" w:sz="4" w:space="0"/>
              <w:right w:val="single" w:color="000000" w:sz="4" w:space="0"/>
            </w:tcBorders>
            <w:vAlign w:val="center"/>
          </w:tcPr>
          <w:p w14:paraId="449BF367">
            <w:pPr>
              <w:pStyle w:val="64"/>
              <w:spacing w:line="240" w:lineRule="auto"/>
              <w:ind w:firstLine="0"/>
              <w:rPr>
                <w:sz w:val="21"/>
                <w:szCs w:val="21"/>
              </w:rPr>
            </w:pPr>
            <w:r>
              <w:rPr>
                <w:sz w:val="21"/>
                <w:szCs w:val="21"/>
              </w:rPr>
              <w:t>贮存</w:t>
            </w:r>
          </w:p>
          <w:p w14:paraId="67CBC4AE">
            <w:pPr>
              <w:pStyle w:val="64"/>
              <w:spacing w:line="240" w:lineRule="auto"/>
              <w:ind w:firstLine="0"/>
              <w:rPr>
                <w:sz w:val="21"/>
                <w:szCs w:val="21"/>
              </w:rPr>
            </w:pPr>
            <w:r>
              <w:rPr>
                <w:sz w:val="21"/>
                <w:szCs w:val="21"/>
              </w:rPr>
              <w:t>能力</w:t>
            </w:r>
          </w:p>
        </w:tc>
        <w:tc>
          <w:tcPr>
            <w:tcW w:w="747" w:type="dxa"/>
            <w:tcBorders>
              <w:left w:val="single" w:color="000000" w:sz="4" w:space="0"/>
              <w:bottom w:val="single" w:color="000000" w:sz="4" w:space="0"/>
            </w:tcBorders>
            <w:vAlign w:val="center"/>
          </w:tcPr>
          <w:p w14:paraId="2DEA1B5F">
            <w:pPr>
              <w:pStyle w:val="64"/>
              <w:spacing w:line="240" w:lineRule="auto"/>
              <w:ind w:firstLine="0"/>
              <w:rPr>
                <w:sz w:val="21"/>
                <w:szCs w:val="21"/>
              </w:rPr>
            </w:pPr>
            <w:r>
              <w:rPr>
                <w:sz w:val="21"/>
                <w:szCs w:val="21"/>
              </w:rPr>
              <w:t>贮存</w:t>
            </w:r>
          </w:p>
          <w:p w14:paraId="43AD0546">
            <w:pPr>
              <w:pStyle w:val="64"/>
              <w:spacing w:line="240" w:lineRule="auto"/>
              <w:ind w:firstLine="0"/>
              <w:rPr>
                <w:sz w:val="21"/>
                <w:szCs w:val="21"/>
              </w:rPr>
            </w:pPr>
            <w:r>
              <w:rPr>
                <w:sz w:val="21"/>
                <w:szCs w:val="21"/>
              </w:rPr>
              <w:t>周期</w:t>
            </w:r>
          </w:p>
        </w:tc>
      </w:tr>
      <w:tr w14:paraId="102363A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1197" w:type="dxa"/>
            <w:tcBorders>
              <w:top w:val="single" w:color="000000" w:sz="4" w:space="0"/>
              <w:right w:val="single" w:color="000000" w:sz="4" w:space="0"/>
            </w:tcBorders>
            <w:vAlign w:val="center"/>
          </w:tcPr>
          <w:p w14:paraId="4CC1AFF6">
            <w:pPr>
              <w:pStyle w:val="64"/>
              <w:spacing w:line="240" w:lineRule="auto"/>
              <w:ind w:firstLine="0"/>
              <w:rPr>
                <w:sz w:val="21"/>
                <w:szCs w:val="21"/>
              </w:rPr>
            </w:pPr>
            <w:r>
              <w:rPr>
                <w:sz w:val="21"/>
                <w:szCs w:val="21"/>
              </w:rPr>
              <w:t>危废暂存间</w:t>
            </w:r>
          </w:p>
        </w:tc>
        <w:tc>
          <w:tcPr>
            <w:tcW w:w="2676" w:type="dxa"/>
            <w:tcBorders>
              <w:top w:val="single" w:color="000000" w:sz="4" w:space="0"/>
              <w:left w:val="single" w:color="000000" w:sz="4" w:space="0"/>
              <w:right w:val="single" w:color="000000" w:sz="4" w:space="0"/>
            </w:tcBorders>
            <w:vAlign w:val="center"/>
          </w:tcPr>
          <w:p w14:paraId="63C8FC50">
            <w:pPr>
              <w:pStyle w:val="64"/>
              <w:spacing w:line="240" w:lineRule="auto"/>
              <w:ind w:firstLine="0"/>
              <w:rPr>
                <w:sz w:val="21"/>
                <w:szCs w:val="21"/>
              </w:rPr>
            </w:pPr>
            <w:r>
              <w:rPr>
                <w:sz w:val="21"/>
                <w:szCs w:val="21"/>
              </w:rPr>
              <w:t>废油墨、废胶</w:t>
            </w:r>
            <w:r>
              <w:rPr>
                <w:rFonts w:hint="eastAsia"/>
                <w:sz w:val="21"/>
                <w:szCs w:val="21"/>
              </w:rPr>
              <w:t>水</w:t>
            </w:r>
            <w:r>
              <w:rPr>
                <w:sz w:val="21"/>
                <w:szCs w:val="21"/>
              </w:rPr>
              <w:t>、废弃包装桶、废沾染抹布</w:t>
            </w:r>
            <w:r>
              <w:rPr>
                <w:rFonts w:hint="eastAsia"/>
                <w:sz w:val="21"/>
                <w:szCs w:val="21"/>
              </w:rPr>
              <w:t>手套</w:t>
            </w:r>
            <w:r>
              <w:rPr>
                <w:sz w:val="21"/>
                <w:szCs w:val="21"/>
              </w:rPr>
              <w:t>、废</w:t>
            </w:r>
            <w:r>
              <w:rPr>
                <w:rFonts w:hint="eastAsia"/>
                <w:sz w:val="21"/>
                <w:szCs w:val="21"/>
              </w:rPr>
              <w:t>活性炭</w:t>
            </w:r>
            <w:r>
              <w:rPr>
                <w:sz w:val="21"/>
                <w:szCs w:val="21"/>
              </w:rPr>
              <w:t>、</w:t>
            </w:r>
            <w:r>
              <w:rPr>
                <w:rFonts w:hint="eastAsia"/>
                <w:sz w:val="21"/>
                <w:szCs w:val="21"/>
              </w:rPr>
              <w:t>废催化剂、废机油及其包装桶</w:t>
            </w:r>
          </w:p>
        </w:tc>
        <w:tc>
          <w:tcPr>
            <w:tcW w:w="1254" w:type="dxa"/>
            <w:tcBorders>
              <w:top w:val="single" w:color="000000" w:sz="4" w:space="0"/>
              <w:left w:val="single" w:color="000000" w:sz="4" w:space="0"/>
              <w:right w:val="single" w:color="000000" w:sz="4" w:space="0"/>
            </w:tcBorders>
            <w:vAlign w:val="center"/>
          </w:tcPr>
          <w:p w14:paraId="6EF07BFF">
            <w:pPr>
              <w:pStyle w:val="64"/>
              <w:spacing w:line="240" w:lineRule="auto"/>
              <w:ind w:firstLine="0"/>
              <w:rPr>
                <w:sz w:val="21"/>
                <w:szCs w:val="21"/>
              </w:rPr>
            </w:pPr>
            <w:r>
              <w:rPr>
                <w:sz w:val="21"/>
                <w:szCs w:val="21"/>
              </w:rPr>
              <w:t>四车间一楼西侧</w:t>
            </w:r>
          </w:p>
        </w:tc>
        <w:tc>
          <w:tcPr>
            <w:tcW w:w="1116" w:type="dxa"/>
            <w:tcBorders>
              <w:top w:val="single" w:color="000000" w:sz="4" w:space="0"/>
              <w:left w:val="single" w:color="000000" w:sz="4" w:space="0"/>
              <w:right w:val="single" w:color="000000" w:sz="4" w:space="0"/>
            </w:tcBorders>
            <w:vAlign w:val="center"/>
          </w:tcPr>
          <w:p w14:paraId="043EC071">
            <w:pPr>
              <w:pStyle w:val="64"/>
              <w:spacing w:line="240" w:lineRule="auto"/>
              <w:ind w:firstLine="0"/>
              <w:rPr>
                <w:sz w:val="21"/>
                <w:szCs w:val="21"/>
              </w:rPr>
            </w:pPr>
            <w:r>
              <w:rPr>
                <w:rFonts w:hint="eastAsia"/>
                <w:sz w:val="21"/>
                <w:szCs w:val="21"/>
              </w:rPr>
              <w:t>272</w:t>
            </w:r>
          </w:p>
        </w:tc>
        <w:tc>
          <w:tcPr>
            <w:tcW w:w="701" w:type="dxa"/>
            <w:tcBorders>
              <w:top w:val="single" w:color="000000" w:sz="4" w:space="0"/>
              <w:left w:val="single" w:color="000000" w:sz="4" w:space="0"/>
              <w:right w:val="single" w:color="000000" w:sz="4" w:space="0"/>
            </w:tcBorders>
            <w:vAlign w:val="center"/>
          </w:tcPr>
          <w:p w14:paraId="43ED9D66">
            <w:pPr>
              <w:pStyle w:val="64"/>
              <w:spacing w:line="240" w:lineRule="auto"/>
              <w:ind w:firstLine="0"/>
              <w:rPr>
                <w:sz w:val="21"/>
                <w:szCs w:val="21"/>
              </w:rPr>
            </w:pPr>
            <w:r>
              <w:rPr>
                <w:sz w:val="21"/>
                <w:szCs w:val="21"/>
              </w:rPr>
              <w:t>封闭</w:t>
            </w:r>
          </w:p>
          <w:p w14:paraId="08CFA65C">
            <w:pPr>
              <w:pStyle w:val="64"/>
              <w:spacing w:line="240" w:lineRule="auto"/>
              <w:ind w:firstLine="0"/>
              <w:rPr>
                <w:sz w:val="21"/>
                <w:szCs w:val="21"/>
              </w:rPr>
            </w:pPr>
            <w:r>
              <w:rPr>
                <w:sz w:val="21"/>
                <w:szCs w:val="21"/>
              </w:rPr>
              <w:t>式</w:t>
            </w:r>
          </w:p>
        </w:tc>
        <w:tc>
          <w:tcPr>
            <w:tcW w:w="699" w:type="dxa"/>
            <w:tcBorders>
              <w:top w:val="single" w:color="000000" w:sz="4" w:space="0"/>
              <w:left w:val="single" w:color="000000" w:sz="4" w:space="0"/>
              <w:right w:val="single" w:color="000000" w:sz="4" w:space="0"/>
            </w:tcBorders>
            <w:vAlign w:val="center"/>
          </w:tcPr>
          <w:p w14:paraId="56BB4FB3">
            <w:pPr>
              <w:pStyle w:val="64"/>
              <w:spacing w:line="240" w:lineRule="auto"/>
              <w:ind w:firstLine="0"/>
              <w:rPr>
                <w:sz w:val="21"/>
                <w:szCs w:val="21"/>
              </w:rPr>
            </w:pPr>
            <w:r>
              <w:rPr>
                <w:rFonts w:hint="eastAsia"/>
                <w:sz w:val="21"/>
                <w:szCs w:val="21"/>
              </w:rPr>
              <w:t>272m</w:t>
            </w:r>
            <w:r>
              <w:rPr>
                <w:rFonts w:hint="eastAsia"/>
                <w:sz w:val="21"/>
                <w:szCs w:val="21"/>
                <w:vertAlign w:val="superscript"/>
              </w:rPr>
              <w:t>2</w:t>
            </w:r>
          </w:p>
        </w:tc>
        <w:tc>
          <w:tcPr>
            <w:tcW w:w="747" w:type="dxa"/>
            <w:tcBorders>
              <w:top w:val="single" w:color="000000" w:sz="4" w:space="0"/>
              <w:left w:val="single" w:color="000000" w:sz="4" w:space="0"/>
            </w:tcBorders>
            <w:vAlign w:val="center"/>
          </w:tcPr>
          <w:p w14:paraId="3DAB456C">
            <w:pPr>
              <w:pStyle w:val="64"/>
              <w:spacing w:line="240" w:lineRule="auto"/>
              <w:ind w:firstLine="0"/>
              <w:rPr>
                <w:sz w:val="21"/>
                <w:szCs w:val="21"/>
              </w:rPr>
            </w:pPr>
            <w:r>
              <w:rPr>
                <w:rFonts w:hint="eastAsia"/>
                <w:sz w:val="21"/>
                <w:szCs w:val="21"/>
              </w:rPr>
              <w:t>定期</w:t>
            </w:r>
          </w:p>
          <w:p w14:paraId="76E462CB">
            <w:pPr>
              <w:pStyle w:val="64"/>
              <w:spacing w:line="240" w:lineRule="auto"/>
              <w:ind w:firstLine="0"/>
              <w:rPr>
                <w:sz w:val="21"/>
                <w:szCs w:val="21"/>
              </w:rPr>
            </w:pPr>
            <w:r>
              <w:rPr>
                <w:rFonts w:hint="eastAsia"/>
                <w:sz w:val="21"/>
                <w:szCs w:val="21"/>
              </w:rPr>
              <w:t>转运</w:t>
            </w:r>
          </w:p>
        </w:tc>
      </w:tr>
    </w:tbl>
    <w:p w14:paraId="1910745C">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表4.3-16 </w:t>
      </w:r>
      <w:r>
        <w:rPr>
          <w:rFonts w:hint="eastAsia" w:ascii="宋体" w:hAnsi="宋体" w:cs="宋体"/>
          <w:b/>
          <w:bCs/>
          <w:color w:val="auto"/>
          <w:kern w:val="2"/>
          <w:sz w:val="21"/>
          <w:szCs w:val="21"/>
          <w:lang w:val="en-US" w:eastAsia="zh-CN" w:bidi="ar-SA"/>
        </w:rPr>
        <w:t xml:space="preserve">  </w:t>
      </w:r>
      <w:r>
        <w:rPr>
          <w:rFonts w:hint="eastAsia"/>
        </w:rPr>
        <w:t>一般工业废物贮存场所（设施）基本情况表</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017"/>
        <w:gridCol w:w="1851"/>
        <w:gridCol w:w="1350"/>
        <w:gridCol w:w="896"/>
        <w:gridCol w:w="826"/>
        <w:gridCol w:w="699"/>
        <w:gridCol w:w="751"/>
      </w:tblGrid>
      <w:tr w14:paraId="1C4893B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6" w:hRule="atLeast"/>
          <w:jc w:val="center"/>
        </w:trPr>
        <w:tc>
          <w:tcPr>
            <w:tcW w:w="2017" w:type="dxa"/>
            <w:tcBorders>
              <w:bottom w:val="single" w:color="000000" w:sz="4" w:space="0"/>
              <w:right w:val="single" w:color="000000" w:sz="4" w:space="0"/>
            </w:tcBorders>
            <w:vAlign w:val="center"/>
          </w:tcPr>
          <w:p w14:paraId="7F3E6758">
            <w:pPr>
              <w:pStyle w:val="64"/>
              <w:spacing w:line="240" w:lineRule="auto"/>
              <w:ind w:firstLine="0"/>
              <w:rPr>
                <w:sz w:val="21"/>
                <w:szCs w:val="21"/>
              </w:rPr>
            </w:pPr>
            <w:r>
              <w:rPr>
                <w:sz w:val="21"/>
                <w:szCs w:val="21"/>
              </w:rPr>
              <w:t>贮存场所（设施）</w:t>
            </w:r>
          </w:p>
        </w:tc>
        <w:tc>
          <w:tcPr>
            <w:tcW w:w="1851" w:type="dxa"/>
            <w:tcBorders>
              <w:left w:val="single" w:color="000000" w:sz="4" w:space="0"/>
              <w:bottom w:val="single" w:color="000000" w:sz="4" w:space="0"/>
              <w:right w:val="single" w:color="000000" w:sz="4" w:space="0"/>
            </w:tcBorders>
            <w:vAlign w:val="center"/>
          </w:tcPr>
          <w:p w14:paraId="4E90DF50">
            <w:pPr>
              <w:pStyle w:val="64"/>
              <w:spacing w:line="240" w:lineRule="auto"/>
              <w:ind w:firstLine="0"/>
              <w:rPr>
                <w:sz w:val="21"/>
                <w:szCs w:val="21"/>
              </w:rPr>
            </w:pPr>
            <w:r>
              <w:rPr>
                <w:sz w:val="21"/>
                <w:szCs w:val="21"/>
              </w:rPr>
              <w:t>一般工业固废</w:t>
            </w:r>
          </w:p>
        </w:tc>
        <w:tc>
          <w:tcPr>
            <w:tcW w:w="1350" w:type="dxa"/>
            <w:tcBorders>
              <w:left w:val="single" w:color="000000" w:sz="4" w:space="0"/>
              <w:bottom w:val="single" w:color="000000" w:sz="4" w:space="0"/>
              <w:right w:val="single" w:color="000000" w:sz="4" w:space="0"/>
            </w:tcBorders>
            <w:vAlign w:val="center"/>
          </w:tcPr>
          <w:p w14:paraId="281D2C25">
            <w:pPr>
              <w:pStyle w:val="64"/>
              <w:spacing w:line="240" w:lineRule="auto"/>
              <w:ind w:firstLine="0"/>
              <w:rPr>
                <w:sz w:val="21"/>
                <w:szCs w:val="21"/>
              </w:rPr>
            </w:pPr>
            <w:r>
              <w:rPr>
                <w:sz w:val="21"/>
                <w:szCs w:val="21"/>
              </w:rPr>
              <w:t>位置</w:t>
            </w:r>
          </w:p>
        </w:tc>
        <w:tc>
          <w:tcPr>
            <w:tcW w:w="896" w:type="dxa"/>
            <w:tcBorders>
              <w:left w:val="single" w:color="000000" w:sz="4" w:space="0"/>
              <w:bottom w:val="single" w:color="000000" w:sz="4" w:space="0"/>
              <w:right w:val="single" w:color="000000" w:sz="4" w:space="0"/>
            </w:tcBorders>
            <w:vAlign w:val="center"/>
          </w:tcPr>
          <w:p w14:paraId="6453405C">
            <w:pPr>
              <w:pStyle w:val="64"/>
              <w:spacing w:line="240" w:lineRule="auto"/>
              <w:ind w:firstLine="0"/>
              <w:rPr>
                <w:sz w:val="21"/>
                <w:szCs w:val="21"/>
              </w:rPr>
            </w:pPr>
            <w:r>
              <w:rPr>
                <w:sz w:val="21"/>
                <w:szCs w:val="21"/>
              </w:rPr>
              <w:t>占地面积（m</w:t>
            </w:r>
            <w:r>
              <w:rPr>
                <w:sz w:val="21"/>
                <w:szCs w:val="21"/>
                <w:vertAlign w:val="superscript"/>
              </w:rPr>
              <w:t>2</w:t>
            </w:r>
            <w:r>
              <w:rPr>
                <w:sz w:val="21"/>
                <w:szCs w:val="21"/>
              </w:rPr>
              <w:t>）</w:t>
            </w:r>
          </w:p>
        </w:tc>
        <w:tc>
          <w:tcPr>
            <w:tcW w:w="826" w:type="dxa"/>
            <w:tcBorders>
              <w:left w:val="single" w:color="000000" w:sz="4" w:space="0"/>
              <w:bottom w:val="single" w:color="000000" w:sz="4" w:space="0"/>
              <w:right w:val="single" w:color="000000" w:sz="4" w:space="0"/>
            </w:tcBorders>
            <w:vAlign w:val="center"/>
          </w:tcPr>
          <w:p w14:paraId="1766DDBC">
            <w:pPr>
              <w:pStyle w:val="64"/>
              <w:spacing w:line="240" w:lineRule="auto"/>
              <w:ind w:firstLine="0"/>
              <w:rPr>
                <w:sz w:val="21"/>
                <w:szCs w:val="21"/>
              </w:rPr>
            </w:pPr>
            <w:r>
              <w:rPr>
                <w:sz w:val="21"/>
                <w:szCs w:val="21"/>
              </w:rPr>
              <w:t>贮存方式</w:t>
            </w:r>
          </w:p>
        </w:tc>
        <w:tc>
          <w:tcPr>
            <w:tcW w:w="699" w:type="dxa"/>
            <w:tcBorders>
              <w:left w:val="single" w:color="000000" w:sz="4" w:space="0"/>
              <w:bottom w:val="single" w:color="000000" w:sz="4" w:space="0"/>
              <w:right w:val="single" w:color="000000" w:sz="4" w:space="0"/>
            </w:tcBorders>
            <w:vAlign w:val="center"/>
          </w:tcPr>
          <w:p w14:paraId="4B9FF568">
            <w:pPr>
              <w:pStyle w:val="64"/>
              <w:spacing w:line="240" w:lineRule="auto"/>
              <w:ind w:firstLine="0"/>
              <w:rPr>
                <w:sz w:val="21"/>
                <w:szCs w:val="21"/>
              </w:rPr>
            </w:pPr>
            <w:r>
              <w:rPr>
                <w:sz w:val="21"/>
                <w:szCs w:val="21"/>
              </w:rPr>
              <w:t>贮存能力</w:t>
            </w:r>
          </w:p>
        </w:tc>
        <w:tc>
          <w:tcPr>
            <w:tcW w:w="751" w:type="dxa"/>
            <w:tcBorders>
              <w:left w:val="single" w:color="000000" w:sz="4" w:space="0"/>
              <w:bottom w:val="single" w:color="000000" w:sz="4" w:space="0"/>
            </w:tcBorders>
            <w:vAlign w:val="center"/>
          </w:tcPr>
          <w:p w14:paraId="036BB99B">
            <w:pPr>
              <w:pStyle w:val="64"/>
              <w:spacing w:line="240" w:lineRule="auto"/>
              <w:ind w:firstLine="0"/>
              <w:rPr>
                <w:sz w:val="21"/>
                <w:szCs w:val="21"/>
              </w:rPr>
            </w:pPr>
            <w:r>
              <w:rPr>
                <w:sz w:val="21"/>
                <w:szCs w:val="21"/>
              </w:rPr>
              <w:t>贮存周期</w:t>
            </w:r>
          </w:p>
        </w:tc>
      </w:tr>
      <w:tr w14:paraId="2BBD10B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0" w:hRule="atLeast"/>
          <w:jc w:val="center"/>
        </w:trPr>
        <w:tc>
          <w:tcPr>
            <w:tcW w:w="2017" w:type="dxa"/>
            <w:tcBorders>
              <w:top w:val="single" w:color="000000" w:sz="4" w:space="0"/>
              <w:right w:val="single" w:color="000000" w:sz="4" w:space="0"/>
            </w:tcBorders>
            <w:vAlign w:val="center"/>
          </w:tcPr>
          <w:p w14:paraId="09D81D61">
            <w:pPr>
              <w:pStyle w:val="64"/>
              <w:spacing w:line="240" w:lineRule="auto"/>
              <w:ind w:firstLine="0"/>
              <w:rPr>
                <w:sz w:val="21"/>
                <w:szCs w:val="21"/>
              </w:rPr>
            </w:pPr>
            <w:r>
              <w:rPr>
                <w:sz w:val="21"/>
                <w:szCs w:val="21"/>
              </w:rPr>
              <w:t>一般工业固废贮存间</w:t>
            </w:r>
          </w:p>
        </w:tc>
        <w:tc>
          <w:tcPr>
            <w:tcW w:w="1851" w:type="dxa"/>
            <w:tcBorders>
              <w:top w:val="single" w:color="000000" w:sz="4" w:space="0"/>
              <w:left w:val="single" w:color="000000" w:sz="4" w:space="0"/>
              <w:right w:val="single" w:color="000000" w:sz="4" w:space="0"/>
            </w:tcBorders>
            <w:vAlign w:val="center"/>
          </w:tcPr>
          <w:p w14:paraId="44838FD1">
            <w:pPr>
              <w:pStyle w:val="64"/>
              <w:spacing w:line="240" w:lineRule="auto"/>
              <w:ind w:firstLine="0"/>
              <w:rPr>
                <w:sz w:val="21"/>
                <w:szCs w:val="21"/>
              </w:rPr>
            </w:pPr>
            <w:r>
              <w:rPr>
                <w:sz w:val="21"/>
                <w:szCs w:val="21"/>
              </w:rPr>
              <w:t>废膜及不合格品</w:t>
            </w:r>
            <w:r>
              <w:rPr>
                <w:rFonts w:hint="eastAsia"/>
                <w:sz w:val="21"/>
                <w:szCs w:val="21"/>
              </w:rPr>
              <w:t>、废边条、废包装材料</w:t>
            </w:r>
          </w:p>
        </w:tc>
        <w:tc>
          <w:tcPr>
            <w:tcW w:w="1350" w:type="dxa"/>
            <w:tcBorders>
              <w:top w:val="single" w:color="000000" w:sz="4" w:space="0"/>
              <w:left w:val="single" w:color="000000" w:sz="4" w:space="0"/>
              <w:right w:val="single" w:color="000000" w:sz="4" w:space="0"/>
            </w:tcBorders>
            <w:vAlign w:val="center"/>
          </w:tcPr>
          <w:p w14:paraId="121BA4E1">
            <w:pPr>
              <w:pStyle w:val="64"/>
              <w:spacing w:line="240" w:lineRule="auto"/>
              <w:ind w:firstLine="0"/>
              <w:rPr>
                <w:sz w:val="21"/>
                <w:szCs w:val="21"/>
              </w:rPr>
            </w:pPr>
            <w:r>
              <w:rPr>
                <w:sz w:val="21"/>
                <w:szCs w:val="21"/>
              </w:rPr>
              <w:t>四车间一楼</w:t>
            </w:r>
            <w:r>
              <w:rPr>
                <w:rFonts w:hint="eastAsia"/>
                <w:sz w:val="21"/>
                <w:szCs w:val="21"/>
              </w:rPr>
              <w:t>东</w:t>
            </w:r>
            <w:r>
              <w:rPr>
                <w:sz w:val="21"/>
                <w:szCs w:val="21"/>
              </w:rPr>
              <w:t>侧</w:t>
            </w:r>
          </w:p>
        </w:tc>
        <w:tc>
          <w:tcPr>
            <w:tcW w:w="896" w:type="dxa"/>
            <w:tcBorders>
              <w:top w:val="single" w:color="000000" w:sz="4" w:space="0"/>
              <w:left w:val="single" w:color="000000" w:sz="4" w:space="0"/>
              <w:right w:val="single" w:color="000000" w:sz="4" w:space="0"/>
            </w:tcBorders>
            <w:vAlign w:val="center"/>
          </w:tcPr>
          <w:p w14:paraId="41A64FFD">
            <w:pPr>
              <w:pStyle w:val="64"/>
              <w:spacing w:line="240" w:lineRule="auto"/>
              <w:ind w:firstLine="0"/>
              <w:rPr>
                <w:sz w:val="21"/>
                <w:szCs w:val="21"/>
              </w:rPr>
            </w:pPr>
            <w:r>
              <w:rPr>
                <w:rFonts w:hint="eastAsia"/>
                <w:sz w:val="21"/>
                <w:szCs w:val="21"/>
              </w:rPr>
              <w:t>304</w:t>
            </w:r>
          </w:p>
        </w:tc>
        <w:tc>
          <w:tcPr>
            <w:tcW w:w="826" w:type="dxa"/>
            <w:tcBorders>
              <w:top w:val="single" w:color="000000" w:sz="4" w:space="0"/>
              <w:left w:val="single" w:color="000000" w:sz="4" w:space="0"/>
              <w:right w:val="single" w:color="000000" w:sz="4" w:space="0"/>
            </w:tcBorders>
            <w:vAlign w:val="center"/>
          </w:tcPr>
          <w:p w14:paraId="02B22416">
            <w:pPr>
              <w:pStyle w:val="64"/>
              <w:spacing w:line="240" w:lineRule="auto"/>
              <w:ind w:firstLine="0"/>
              <w:rPr>
                <w:sz w:val="21"/>
                <w:szCs w:val="21"/>
              </w:rPr>
            </w:pPr>
            <w:r>
              <w:rPr>
                <w:sz w:val="21"/>
                <w:szCs w:val="21"/>
              </w:rPr>
              <w:t>封闭式</w:t>
            </w:r>
          </w:p>
        </w:tc>
        <w:tc>
          <w:tcPr>
            <w:tcW w:w="699" w:type="dxa"/>
            <w:tcBorders>
              <w:top w:val="single" w:color="000000" w:sz="4" w:space="0"/>
              <w:left w:val="single" w:color="000000" w:sz="4" w:space="0"/>
              <w:right w:val="single" w:color="000000" w:sz="4" w:space="0"/>
            </w:tcBorders>
            <w:vAlign w:val="center"/>
          </w:tcPr>
          <w:p w14:paraId="7B5EDDFD">
            <w:pPr>
              <w:pStyle w:val="64"/>
              <w:spacing w:line="240" w:lineRule="auto"/>
              <w:ind w:firstLine="0"/>
              <w:rPr>
                <w:sz w:val="21"/>
                <w:szCs w:val="21"/>
              </w:rPr>
            </w:pPr>
            <w:r>
              <w:rPr>
                <w:rFonts w:hint="eastAsia"/>
                <w:sz w:val="21"/>
                <w:szCs w:val="21"/>
              </w:rPr>
              <w:t>304m</w:t>
            </w:r>
            <w:r>
              <w:rPr>
                <w:rFonts w:hint="eastAsia"/>
                <w:sz w:val="21"/>
                <w:szCs w:val="21"/>
                <w:vertAlign w:val="superscript"/>
              </w:rPr>
              <w:t>2</w:t>
            </w:r>
          </w:p>
        </w:tc>
        <w:tc>
          <w:tcPr>
            <w:tcW w:w="751" w:type="dxa"/>
            <w:tcBorders>
              <w:top w:val="single" w:color="000000" w:sz="4" w:space="0"/>
              <w:left w:val="single" w:color="000000" w:sz="4" w:space="0"/>
            </w:tcBorders>
            <w:vAlign w:val="center"/>
          </w:tcPr>
          <w:p w14:paraId="10E6A3C6">
            <w:pPr>
              <w:pStyle w:val="64"/>
              <w:spacing w:line="240" w:lineRule="auto"/>
              <w:ind w:firstLine="0"/>
              <w:rPr>
                <w:sz w:val="21"/>
                <w:szCs w:val="21"/>
              </w:rPr>
            </w:pPr>
            <w:r>
              <w:rPr>
                <w:sz w:val="21"/>
                <w:szCs w:val="21"/>
              </w:rPr>
              <w:t>1周</w:t>
            </w:r>
          </w:p>
        </w:tc>
      </w:tr>
    </w:tbl>
    <w:p w14:paraId="277481CC">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4.3.2.5</w:t>
      </w:r>
      <w:r>
        <w:rPr>
          <w:rFonts w:hint="eastAsia"/>
        </w:rPr>
        <w:t>非正常工况污染源强分析</w:t>
      </w:r>
    </w:p>
    <w:p w14:paraId="00124817">
      <w:pPr>
        <w:ind w:firstLine="480"/>
      </w:pPr>
      <w:r>
        <w:t>非正常情况指正常开停</w:t>
      </w:r>
      <w:r>
        <w:rPr>
          <w:rFonts w:hint="eastAsia"/>
        </w:rPr>
        <w:t>机</w:t>
      </w:r>
      <w:r>
        <w:t>或部分设备检修时排放的污染物及工艺设备或环保设备达不到设计规定指标要求或出现故障时排放的污染物。参照最不利原则，本评价以废气处理设施失效（活性炭饱和、</w:t>
      </w:r>
      <w:r>
        <w:rPr>
          <w:rFonts w:hint="eastAsia"/>
        </w:rPr>
        <w:t>沸石转轮饱和、低氮燃烧措施失效</w:t>
      </w:r>
      <w:r>
        <w:t>）作为非正常工况源强，且持久排放一段时，其排放源强见下表。</w:t>
      </w:r>
    </w:p>
    <w:p w14:paraId="059EE6B6">
      <w:pPr>
        <w:pStyle w:val="51"/>
        <w:numPr>
          <w:ilvl w:val="5"/>
          <w:numId w:val="0"/>
        </w:numPr>
        <w:spacing w:before="156"/>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表4.3-17 </w:t>
      </w:r>
      <w:r>
        <w:rPr>
          <w:rFonts w:hint="eastAsia" w:ascii="宋体" w:hAnsi="宋体" w:cs="宋体"/>
          <w:b/>
          <w:bCs/>
          <w:color w:val="auto"/>
          <w:kern w:val="2"/>
          <w:sz w:val="21"/>
          <w:szCs w:val="21"/>
          <w:lang w:val="en-US" w:eastAsia="zh-CN" w:bidi="ar-SA"/>
        </w:rPr>
        <w:t xml:space="preserve">   </w:t>
      </w:r>
      <w:r>
        <w:rPr>
          <w:rFonts w:hint="eastAsia"/>
        </w:rPr>
        <w:t>污染源非正常排放量核算表</w:t>
      </w:r>
    </w:p>
    <w:tbl>
      <w:tblPr>
        <w:tblStyle w:val="31"/>
        <w:tblW w:w="852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01"/>
        <w:gridCol w:w="1270"/>
        <w:gridCol w:w="1155"/>
        <w:gridCol w:w="862"/>
        <w:gridCol w:w="947"/>
        <w:gridCol w:w="879"/>
        <w:gridCol w:w="881"/>
        <w:gridCol w:w="643"/>
        <w:gridCol w:w="1488"/>
      </w:tblGrid>
      <w:tr w14:paraId="75E9D3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17" w:hRule="atLeast"/>
          <w:jc w:val="center"/>
        </w:trPr>
        <w:tc>
          <w:tcPr>
            <w:tcW w:w="401" w:type="dxa"/>
            <w:tcBorders>
              <w:tl2br w:val="nil"/>
              <w:tr2bl w:val="nil"/>
            </w:tcBorders>
            <w:vAlign w:val="center"/>
          </w:tcPr>
          <w:p w14:paraId="5E33B2C4">
            <w:pPr>
              <w:pStyle w:val="64"/>
              <w:spacing w:line="240" w:lineRule="auto"/>
              <w:ind w:firstLine="0"/>
              <w:rPr>
                <w:sz w:val="21"/>
                <w:szCs w:val="21"/>
              </w:rPr>
            </w:pPr>
            <w:r>
              <w:rPr>
                <w:sz w:val="21"/>
                <w:szCs w:val="21"/>
              </w:rPr>
              <w:t>序号</w:t>
            </w:r>
          </w:p>
        </w:tc>
        <w:tc>
          <w:tcPr>
            <w:tcW w:w="1270" w:type="dxa"/>
            <w:tcBorders>
              <w:tl2br w:val="nil"/>
              <w:tr2bl w:val="nil"/>
            </w:tcBorders>
            <w:vAlign w:val="center"/>
          </w:tcPr>
          <w:p w14:paraId="07918816">
            <w:pPr>
              <w:pStyle w:val="64"/>
              <w:spacing w:line="240" w:lineRule="auto"/>
              <w:ind w:firstLine="0"/>
              <w:rPr>
                <w:sz w:val="21"/>
                <w:szCs w:val="21"/>
              </w:rPr>
            </w:pPr>
            <w:r>
              <w:rPr>
                <w:sz w:val="21"/>
                <w:szCs w:val="21"/>
              </w:rPr>
              <w:t>污染源</w:t>
            </w:r>
          </w:p>
        </w:tc>
        <w:tc>
          <w:tcPr>
            <w:tcW w:w="1155" w:type="dxa"/>
            <w:tcBorders>
              <w:tl2br w:val="nil"/>
              <w:tr2bl w:val="nil"/>
            </w:tcBorders>
            <w:vAlign w:val="center"/>
          </w:tcPr>
          <w:p w14:paraId="1BC91395">
            <w:pPr>
              <w:pStyle w:val="64"/>
              <w:spacing w:line="240" w:lineRule="auto"/>
              <w:ind w:firstLine="0"/>
              <w:rPr>
                <w:sz w:val="21"/>
                <w:szCs w:val="21"/>
              </w:rPr>
            </w:pPr>
            <w:r>
              <w:rPr>
                <w:sz w:val="21"/>
                <w:szCs w:val="21"/>
              </w:rPr>
              <w:t>非正常排放原因</w:t>
            </w:r>
          </w:p>
        </w:tc>
        <w:tc>
          <w:tcPr>
            <w:tcW w:w="862" w:type="dxa"/>
            <w:tcBorders>
              <w:tl2br w:val="nil"/>
              <w:tr2bl w:val="nil"/>
            </w:tcBorders>
            <w:vAlign w:val="center"/>
          </w:tcPr>
          <w:p w14:paraId="3791885E">
            <w:pPr>
              <w:pStyle w:val="64"/>
              <w:spacing w:line="240" w:lineRule="auto"/>
              <w:ind w:firstLine="0"/>
              <w:rPr>
                <w:sz w:val="21"/>
                <w:szCs w:val="21"/>
              </w:rPr>
            </w:pPr>
            <w:r>
              <w:rPr>
                <w:sz w:val="21"/>
                <w:szCs w:val="21"/>
              </w:rPr>
              <w:t>污染物</w:t>
            </w:r>
          </w:p>
        </w:tc>
        <w:tc>
          <w:tcPr>
            <w:tcW w:w="947" w:type="dxa"/>
            <w:tcBorders>
              <w:tl2br w:val="nil"/>
              <w:tr2bl w:val="nil"/>
            </w:tcBorders>
            <w:vAlign w:val="center"/>
          </w:tcPr>
          <w:p w14:paraId="30BF859D">
            <w:pPr>
              <w:pStyle w:val="64"/>
              <w:spacing w:line="240" w:lineRule="auto"/>
              <w:ind w:firstLine="0"/>
              <w:rPr>
                <w:sz w:val="21"/>
                <w:szCs w:val="21"/>
              </w:rPr>
            </w:pPr>
            <w:r>
              <w:rPr>
                <w:sz w:val="21"/>
                <w:szCs w:val="21"/>
              </w:rPr>
              <w:t>排放量</w:t>
            </w:r>
          </w:p>
          <w:p w14:paraId="53A4B3C0">
            <w:pPr>
              <w:pStyle w:val="64"/>
              <w:spacing w:line="240" w:lineRule="auto"/>
              <w:ind w:firstLine="0"/>
              <w:rPr>
                <w:sz w:val="21"/>
                <w:szCs w:val="21"/>
              </w:rPr>
            </w:pPr>
            <w:r>
              <w:rPr>
                <w:sz w:val="21"/>
                <w:szCs w:val="21"/>
              </w:rPr>
              <w:t>t/a</w:t>
            </w:r>
          </w:p>
        </w:tc>
        <w:tc>
          <w:tcPr>
            <w:tcW w:w="879" w:type="dxa"/>
            <w:tcBorders>
              <w:tl2br w:val="nil"/>
              <w:tr2bl w:val="nil"/>
            </w:tcBorders>
            <w:vAlign w:val="center"/>
          </w:tcPr>
          <w:p w14:paraId="51D228D5">
            <w:pPr>
              <w:pStyle w:val="64"/>
              <w:spacing w:line="240" w:lineRule="auto"/>
              <w:ind w:firstLine="0"/>
              <w:rPr>
                <w:sz w:val="21"/>
                <w:szCs w:val="21"/>
              </w:rPr>
            </w:pPr>
            <w:r>
              <w:rPr>
                <w:sz w:val="21"/>
                <w:szCs w:val="21"/>
              </w:rPr>
              <w:t>排放速率 kg/h</w:t>
            </w:r>
          </w:p>
        </w:tc>
        <w:tc>
          <w:tcPr>
            <w:tcW w:w="881" w:type="dxa"/>
            <w:tcBorders>
              <w:tl2br w:val="nil"/>
              <w:tr2bl w:val="nil"/>
            </w:tcBorders>
            <w:vAlign w:val="center"/>
          </w:tcPr>
          <w:p w14:paraId="20CA2E1C">
            <w:pPr>
              <w:pStyle w:val="64"/>
              <w:spacing w:line="240" w:lineRule="auto"/>
              <w:ind w:firstLine="0"/>
              <w:rPr>
                <w:sz w:val="21"/>
                <w:szCs w:val="21"/>
              </w:rPr>
            </w:pPr>
            <w:r>
              <w:rPr>
                <w:sz w:val="21"/>
                <w:szCs w:val="21"/>
              </w:rPr>
              <w:t>单次持续时间</w:t>
            </w:r>
          </w:p>
        </w:tc>
        <w:tc>
          <w:tcPr>
            <w:tcW w:w="643" w:type="dxa"/>
            <w:tcBorders>
              <w:tl2br w:val="nil"/>
              <w:tr2bl w:val="nil"/>
            </w:tcBorders>
            <w:vAlign w:val="center"/>
          </w:tcPr>
          <w:p w14:paraId="3E91610B">
            <w:pPr>
              <w:pStyle w:val="64"/>
              <w:spacing w:line="240" w:lineRule="auto"/>
              <w:ind w:firstLine="0"/>
              <w:rPr>
                <w:sz w:val="21"/>
                <w:szCs w:val="21"/>
              </w:rPr>
            </w:pPr>
            <w:r>
              <w:rPr>
                <w:sz w:val="21"/>
                <w:szCs w:val="21"/>
              </w:rPr>
              <w:t>年发</w:t>
            </w:r>
          </w:p>
          <w:p w14:paraId="25F4E4C0">
            <w:pPr>
              <w:pStyle w:val="64"/>
              <w:spacing w:line="240" w:lineRule="auto"/>
              <w:ind w:firstLine="0"/>
              <w:rPr>
                <w:sz w:val="21"/>
                <w:szCs w:val="21"/>
              </w:rPr>
            </w:pPr>
            <w:r>
              <w:rPr>
                <w:sz w:val="21"/>
                <w:szCs w:val="21"/>
              </w:rPr>
              <w:t>生频次</w:t>
            </w:r>
          </w:p>
        </w:tc>
        <w:tc>
          <w:tcPr>
            <w:tcW w:w="1488" w:type="dxa"/>
            <w:tcBorders>
              <w:tl2br w:val="nil"/>
              <w:tr2bl w:val="nil"/>
            </w:tcBorders>
            <w:vAlign w:val="center"/>
          </w:tcPr>
          <w:p w14:paraId="711B771D">
            <w:pPr>
              <w:pStyle w:val="64"/>
              <w:spacing w:line="240" w:lineRule="auto"/>
              <w:ind w:firstLine="0"/>
              <w:rPr>
                <w:sz w:val="21"/>
                <w:szCs w:val="21"/>
              </w:rPr>
            </w:pPr>
            <w:r>
              <w:rPr>
                <w:sz w:val="21"/>
                <w:szCs w:val="21"/>
              </w:rPr>
              <w:t>应对措施</w:t>
            </w:r>
          </w:p>
        </w:tc>
      </w:tr>
      <w:tr w14:paraId="70A4D1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4" w:hRule="atLeast"/>
          <w:jc w:val="center"/>
        </w:trPr>
        <w:tc>
          <w:tcPr>
            <w:tcW w:w="401" w:type="dxa"/>
            <w:tcBorders>
              <w:tl2br w:val="nil"/>
              <w:tr2bl w:val="nil"/>
            </w:tcBorders>
            <w:vAlign w:val="center"/>
          </w:tcPr>
          <w:p w14:paraId="36B7C120">
            <w:pPr>
              <w:pStyle w:val="64"/>
              <w:spacing w:line="240" w:lineRule="auto"/>
              <w:ind w:firstLine="0"/>
              <w:rPr>
                <w:sz w:val="21"/>
                <w:szCs w:val="21"/>
              </w:rPr>
            </w:pPr>
            <w:bookmarkStart w:id="97" w:name="_Hlk184053741"/>
            <w:r>
              <w:rPr>
                <w:sz w:val="21"/>
                <w:szCs w:val="21"/>
              </w:rPr>
              <w:t>1</w:t>
            </w:r>
          </w:p>
        </w:tc>
        <w:tc>
          <w:tcPr>
            <w:tcW w:w="1270" w:type="dxa"/>
            <w:tcBorders>
              <w:tl2br w:val="nil"/>
              <w:tr2bl w:val="nil"/>
            </w:tcBorders>
            <w:vAlign w:val="center"/>
          </w:tcPr>
          <w:p w14:paraId="1DF9A814">
            <w:pPr>
              <w:pStyle w:val="64"/>
              <w:spacing w:line="240" w:lineRule="auto"/>
              <w:ind w:firstLine="0"/>
              <w:rPr>
                <w:sz w:val="21"/>
                <w:szCs w:val="21"/>
              </w:rPr>
            </w:pPr>
            <w:r>
              <w:rPr>
                <w:sz w:val="21"/>
                <w:szCs w:val="21"/>
              </w:rPr>
              <w:t>印刷、复合</w:t>
            </w:r>
          </w:p>
          <w:p w14:paraId="29DC6459">
            <w:pPr>
              <w:pStyle w:val="64"/>
              <w:spacing w:line="240" w:lineRule="auto"/>
              <w:ind w:firstLine="0"/>
              <w:rPr>
                <w:sz w:val="21"/>
                <w:szCs w:val="21"/>
              </w:rPr>
            </w:pPr>
            <w:r>
              <w:rPr>
                <w:sz w:val="21"/>
                <w:szCs w:val="21"/>
              </w:rPr>
              <w:t>工序</w:t>
            </w:r>
          </w:p>
        </w:tc>
        <w:tc>
          <w:tcPr>
            <w:tcW w:w="1155" w:type="dxa"/>
            <w:tcBorders>
              <w:tl2br w:val="nil"/>
              <w:tr2bl w:val="nil"/>
            </w:tcBorders>
            <w:vAlign w:val="center"/>
          </w:tcPr>
          <w:p w14:paraId="45A25EA3">
            <w:pPr>
              <w:pStyle w:val="64"/>
              <w:spacing w:line="240" w:lineRule="auto"/>
              <w:ind w:firstLine="0"/>
              <w:rPr>
                <w:sz w:val="21"/>
                <w:szCs w:val="21"/>
              </w:rPr>
            </w:pPr>
            <w:r>
              <w:rPr>
                <w:sz w:val="21"/>
                <w:szCs w:val="21"/>
              </w:rPr>
              <w:t>开</w:t>
            </w:r>
            <w:r>
              <w:rPr>
                <w:rFonts w:hint="eastAsia"/>
                <w:sz w:val="21"/>
                <w:szCs w:val="21"/>
              </w:rPr>
              <w:t>机</w:t>
            </w:r>
            <w:r>
              <w:rPr>
                <w:sz w:val="21"/>
                <w:szCs w:val="21"/>
              </w:rPr>
              <w:t>、停</w:t>
            </w:r>
            <w:r>
              <w:rPr>
                <w:rFonts w:hint="eastAsia"/>
                <w:sz w:val="21"/>
                <w:szCs w:val="21"/>
              </w:rPr>
              <w:t>机</w:t>
            </w:r>
            <w:r>
              <w:rPr>
                <w:sz w:val="21"/>
                <w:szCs w:val="21"/>
              </w:rPr>
              <w:t>、检修或事故 状态</w:t>
            </w:r>
          </w:p>
        </w:tc>
        <w:tc>
          <w:tcPr>
            <w:tcW w:w="862" w:type="dxa"/>
            <w:tcBorders>
              <w:tl2br w:val="nil"/>
              <w:tr2bl w:val="nil"/>
            </w:tcBorders>
            <w:vAlign w:val="center"/>
          </w:tcPr>
          <w:p w14:paraId="57CC25D6">
            <w:pPr>
              <w:pStyle w:val="64"/>
              <w:spacing w:line="240" w:lineRule="auto"/>
              <w:ind w:firstLine="0"/>
              <w:rPr>
                <w:sz w:val="21"/>
                <w:szCs w:val="21"/>
              </w:rPr>
            </w:pPr>
            <w:r>
              <w:rPr>
                <w:rFonts w:hint="eastAsia"/>
                <w:sz w:val="21"/>
                <w:szCs w:val="21"/>
              </w:rPr>
              <w:t>挥发性有机物</w:t>
            </w:r>
          </w:p>
        </w:tc>
        <w:tc>
          <w:tcPr>
            <w:tcW w:w="947" w:type="dxa"/>
            <w:tcBorders>
              <w:tl2br w:val="nil"/>
              <w:tr2bl w:val="nil"/>
            </w:tcBorders>
            <w:vAlign w:val="center"/>
          </w:tcPr>
          <w:p w14:paraId="3C4D207F">
            <w:pPr>
              <w:pStyle w:val="64"/>
              <w:spacing w:line="240" w:lineRule="auto"/>
              <w:ind w:firstLine="0"/>
              <w:rPr>
                <w:sz w:val="21"/>
                <w:szCs w:val="21"/>
              </w:rPr>
            </w:pPr>
            <w:r>
              <w:rPr>
                <w:rFonts w:hint="eastAsia"/>
                <w:sz w:val="21"/>
                <w:szCs w:val="21"/>
              </w:rPr>
              <w:t>2322.064</w:t>
            </w:r>
          </w:p>
        </w:tc>
        <w:tc>
          <w:tcPr>
            <w:tcW w:w="879" w:type="dxa"/>
            <w:tcBorders>
              <w:tl2br w:val="nil"/>
              <w:tr2bl w:val="nil"/>
            </w:tcBorders>
            <w:vAlign w:val="center"/>
          </w:tcPr>
          <w:p w14:paraId="1CE26734">
            <w:pPr>
              <w:pStyle w:val="64"/>
              <w:spacing w:line="240" w:lineRule="auto"/>
              <w:ind w:firstLine="0"/>
              <w:rPr>
                <w:sz w:val="21"/>
                <w:szCs w:val="21"/>
              </w:rPr>
            </w:pPr>
            <w:r>
              <w:rPr>
                <w:rFonts w:hint="eastAsia"/>
                <w:sz w:val="21"/>
                <w:szCs w:val="21"/>
              </w:rPr>
              <w:t>284.6</w:t>
            </w:r>
          </w:p>
        </w:tc>
        <w:tc>
          <w:tcPr>
            <w:tcW w:w="881" w:type="dxa"/>
            <w:tcBorders>
              <w:tl2br w:val="nil"/>
              <w:tr2bl w:val="nil"/>
            </w:tcBorders>
            <w:vAlign w:val="center"/>
          </w:tcPr>
          <w:p w14:paraId="7B065FCD">
            <w:pPr>
              <w:pStyle w:val="64"/>
              <w:spacing w:line="240" w:lineRule="auto"/>
              <w:ind w:firstLine="0"/>
              <w:rPr>
                <w:sz w:val="21"/>
                <w:szCs w:val="21"/>
              </w:rPr>
            </w:pPr>
            <w:r>
              <w:rPr>
                <w:sz w:val="21"/>
                <w:szCs w:val="21"/>
              </w:rPr>
              <w:t>&lt;</w:t>
            </w:r>
            <w:r>
              <w:rPr>
                <w:rFonts w:hint="eastAsia"/>
                <w:sz w:val="21"/>
                <w:szCs w:val="21"/>
              </w:rPr>
              <w:t>1h</w:t>
            </w:r>
          </w:p>
        </w:tc>
        <w:tc>
          <w:tcPr>
            <w:tcW w:w="643" w:type="dxa"/>
            <w:tcBorders>
              <w:tl2br w:val="nil"/>
              <w:tr2bl w:val="nil"/>
            </w:tcBorders>
            <w:vAlign w:val="center"/>
          </w:tcPr>
          <w:p w14:paraId="1D909C2E">
            <w:pPr>
              <w:pStyle w:val="64"/>
              <w:spacing w:line="240" w:lineRule="auto"/>
              <w:ind w:firstLine="0"/>
              <w:rPr>
                <w:sz w:val="21"/>
                <w:szCs w:val="21"/>
              </w:rPr>
            </w:pPr>
            <w:r>
              <w:rPr>
                <w:rFonts w:hint="eastAsia"/>
                <w:sz w:val="21"/>
                <w:szCs w:val="21"/>
              </w:rPr>
              <w:t>2次</w:t>
            </w:r>
          </w:p>
        </w:tc>
        <w:tc>
          <w:tcPr>
            <w:tcW w:w="1488" w:type="dxa"/>
            <w:tcBorders>
              <w:tl2br w:val="nil"/>
              <w:tr2bl w:val="nil"/>
            </w:tcBorders>
            <w:vAlign w:val="center"/>
          </w:tcPr>
          <w:p w14:paraId="75D1DA70">
            <w:pPr>
              <w:pStyle w:val="64"/>
              <w:spacing w:line="240" w:lineRule="auto"/>
              <w:ind w:firstLine="0"/>
              <w:rPr>
                <w:sz w:val="21"/>
                <w:szCs w:val="21"/>
              </w:rPr>
            </w:pPr>
            <w:r>
              <w:rPr>
                <w:sz w:val="21"/>
                <w:szCs w:val="21"/>
              </w:rPr>
              <w:t>立即停产检修</w:t>
            </w:r>
          </w:p>
        </w:tc>
      </w:tr>
      <w:tr w14:paraId="5789CE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4" w:hRule="atLeast"/>
          <w:jc w:val="center"/>
        </w:trPr>
        <w:tc>
          <w:tcPr>
            <w:tcW w:w="401" w:type="dxa"/>
            <w:tcBorders>
              <w:tl2br w:val="nil"/>
              <w:tr2bl w:val="nil"/>
            </w:tcBorders>
            <w:vAlign w:val="center"/>
          </w:tcPr>
          <w:p w14:paraId="7F647EEF">
            <w:pPr>
              <w:pStyle w:val="64"/>
              <w:spacing w:line="240" w:lineRule="auto"/>
              <w:ind w:firstLine="0"/>
              <w:rPr>
                <w:sz w:val="21"/>
                <w:szCs w:val="21"/>
              </w:rPr>
            </w:pPr>
            <w:r>
              <w:rPr>
                <w:rFonts w:hint="eastAsia"/>
                <w:sz w:val="21"/>
                <w:szCs w:val="21"/>
              </w:rPr>
              <w:t>2</w:t>
            </w:r>
          </w:p>
        </w:tc>
        <w:tc>
          <w:tcPr>
            <w:tcW w:w="1270" w:type="dxa"/>
            <w:tcBorders>
              <w:tl2br w:val="nil"/>
              <w:tr2bl w:val="nil"/>
            </w:tcBorders>
            <w:vAlign w:val="center"/>
          </w:tcPr>
          <w:p w14:paraId="66BA7E0F">
            <w:pPr>
              <w:pStyle w:val="64"/>
              <w:spacing w:line="240" w:lineRule="auto"/>
              <w:ind w:firstLine="0"/>
              <w:rPr>
                <w:sz w:val="21"/>
                <w:szCs w:val="21"/>
              </w:rPr>
            </w:pPr>
            <w:r>
              <w:rPr>
                <w:rFonts w:hint="eastAsia"/>
                <w:sz w:val="21"/>
                <w:szCs w:val="21"/>
              </w:rPr>
              <w:t>导热油锅炉</w:t>
            </w:r>
          </w:p>
        </w:tc>
        <w:tc>
          <w:tcPr>
            <w:tcW w:w="1155" w:type="dxa"/>
            <w:tcBorders>
              <w:tl2br w:val="nil"/>
              <w:tr2bl w:val="nil"/>
            </w:tcBorders>
            <w:vAlign w:val="center"/>
          </w:tcPr>
          <w:p w14:paraId="71C2776E">
            <w:pPr>
              <w:pStyle w:val="64"/>
              <w:spacing w:line="240" w:lineRule="auto"/>
              <w:ind w:firstLine="0"/>
              <w:rPr>
                <w:sz w:val="21"/>
                <w:szCs w:val="21"/>
              </w:rPr>
            </w:pPr>
            <w:r>
              <w:rPr>
                <w:sz w:val="21"/>
                <w:szCs w:val="21"/>
              </w:rPr>
              <w:t>检修或事故 状态</w:t>
            </w:r>
          </w:p>
        </w:tc>
        <w:tc>
          <w:tcPr>
            <w:tcW w:w="862" w:type="dxa"/>
            <w:tcBorders>
              <w:tl2br w:val="nil"/>
              <w:tr2bl w:val="nil"/>
            </w:tcBorders>
            <w:vAlign w:val="center"/>
          </w:tcPr>
          <w:p w14:paraId="7B79B664">
            <w:pPr>
              <w:pStyle w:val="64"/>
              <w:spacing w:line="240" w:lineRule="auto"/>
              <w:ind w:firstLine="0"/>
              <w:rPr>
                <w:sz w:val="21"/>
                <w:szCs w:val="21"/>
              </w:rPr>
            </w:pPr>
            <w:r>
              <w:rPr>
                <w:rFonts w:hint="eastAsia"/>
                <w:sz w:val="21"/>
                <w:szCs w:val="21"/>
              </w:rPr>
              <w:t>NOx</w:t>
            </w:r>
          </w:p>
        </w:tc>
        <w:tc>
          <w:tcPr>
            <w:tcW w:w="947" w:type="dxa"/>
            <w:tcBorders>
              <w:tl2br w:val="nil"/>
              <w:tr2bl w:val="nil"/>
            </w:tcBorders>
            <w:vAlign w:val="center"/>
          </w:tcPr>
          <w:p w14:paraId="5C1E1EDB">
            <w:pPr>
              <w:pStyle w:val="64"/>
              <w:spacing w:line="240" w:lineRule="auto"/>
              <w:ind w:firstLine="0"/>
              <w:rPr>
                <w:sz w:val="21"/>
                <w:szCs w:val="21"/>
              </w:rPr>
            </w:pPr>
            <w:r>
              <w:rPr>
                <w:rFonts w:hint="eastAsia"/>
                <w:sz w:val="21"/>
                <w:szCs w:val="21"/>
              </w:rPr>
              <w:t>1.32</w:t>
            </w:r>
          </w:p>
        </w:tc>
        <w:tc>
          <w:tcPr>
            <w:tcW w:w="879" w:type="dxa"/>
            <w:tcBorders>
              <w:tl2br w:val="nil"/>
              <w:tr2bl w:val="nil"/>
            </w:tcBorders>
            <w:vAlign w:val="center"/>
          </w:tcPr>
          <w:p w14:paraId="2DD00359">
            <w:pPr>
              <w:pStyle w:val="64"/>
              <w:spacing w:line="240" w:lineRule="auto"/>
              <w:ind w:firstLine="0"/>
              <w:rPr>
                <w:sz w:val="21"/>
                <w:szCs w:val="21"/>
              </w:rPr>
            </w:pPr>
            <w:r>
              <w:rPr>
                <w:rFonts w:hint="eastAsia"/>
                <w:sz w:val="21"/>
                <w:szCs w:val="21"/>
              </w:rPr>
              <w:t>0.16</w:t>
            </w:r>
          </w:p>
        </w:tc>
        <w:tc>
          <w:tcPr>
            <w:tcW w:w="881" w:type="dxa"/>
            <w:tcBorders>
              <w:tl2br w:val="nil"/>
              <w:tr2bl w:val="nil"/>
            </w:tcBorders>
            <w:vAlign w:val="center"/>
          </w:tcPr>
          <w:p w14:paraId="4B7972ED">
            <w:pPr>
              <w:pStyle w:val="64"/>
              <w:spacing w:line="240" w:lineRule="auto"/>
              <w:ind w:firstLine="0"/>
              <w:rPr>
                <w:sz w:val="21"/>
                <w:szCs w:val="21"/>
              </w:rPr>
            </w:pPr>
            <w:r>
              <w:rPr>
                <w:sz w:val="21"/>
                <w:szCs w:val="21"/>
              </w:rPr>
              <w:t>&lt;</w:t>
            </w:r>
            <w:r>
              <w:rPr>
                <w:rFonts w:hint="eastAsia"/>
                <w:sz w:val="21"/>
                <w:szCs w:val="21"/>
              </w:rPr>
              <w:t>1h</w:t>
            </w:r>
          </w:p>
        </w:tc>
        <w:tc>
          <w:tcPr>
            <w:tcW w:w="643" w:type="dxa"/>
            <w:tcBorders>
              <w:tl2br w:val="nil"/>
              <w:tr2bl w:val="nil"/>
            </w:tcBorders>
            <w:vAlign w:val="center"/>
          </w:tcPr>
          <w:p w14:paraId="0764D942">
            <w:pPr>
              <w:pStyle w:val="64"/>
              <w:spacing w:line="240" w:lineRule="auto"/>
              <w:ind w:firstLine="0"/>
              <w:rPr>
                <w:sz w:val="21"/>
                <w:szCs w:val="21"/>
              </w:rPr>
            </w:pPr>
            <w:r>
              <w:rPr>
                <w:rFonts w:hint="eastAsia"/>
                <w:sz w:val="21"/>
                <w:szCs w:val="21"/>
              </w:rPr>
              <w:t>2次</w:t>
            </w:r>
          </w:p>
        </w:tc>
        <w:tc>
          <w:tcPr>
            <w:tcW w:w="1488" w:type="dxa"/>
            <w:tcBorders>
              <w:tl2br w:val="nil"/>
              <w:tr2bl w:val="nil"/>
            </w:tcBorders>
            <w:vAlign w:val="center"/>
          </w:tcPr>
          <w:p w14:paraId="76FABD04">
            <w:pPr>
              <w:pStyle w:val="64"/>
              <w:spacing w:line="240" w:lineRule="auto"/>
              <w:ind w:firstLine="0"/>
              <w:rPr>
                <w:sz w:val="21"/>
                <w:szCs w:val="21"/>
              </w:rPr>
            </w:pPr>
            <w:r>
              <w:rPr>
                <w:sz w:val="21"/>
                <w:szCs w:val="21"/>
              </w:rPr>
              <w:t>立即停产检修</w:t>
            </w:r>
          </w:p>
        </w:tc>
      </w:tr>
      <w:bookmarkEnd w:id="97"/>
    </w:tbl>
    <w:p w14:paraId="2E425D83">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4.3.2.6</w:t>
      </w:r>
      <w:r>
        <w:rPr>
          <w:rFonts w:hint="eastAsia"/>
        </w:rPr>
        <w:t>物料平衡</w:t>
      </w:r>
    </w:p>
    <w:p w14:paraId="1B06D2E3">
      <w:pPr>
        <w:ind w:firstLine="480"/>
        <w:rPr>
          <w:rFonts w:hint="eastAsia"/>
        </w:rPr>
      </w:pPr>
      <w:r>
        <w:rPr>
          <w:rFonts w:hint="eastAsia"/>
          <w:u w:val="single"/>
        </w:rPr>
        <w:t>本次变更增加了原辅材料的用量，改变了全厂污染物的产排放情况，</w:t>
      </w:r>
      <w:r>
        <w:rPr>
          <w:rFonts w:hint="eastAsia"/>
          <w:u w:val="single"/>
          <w:lang w:val="en-US" w:eastAsia="zh-CN"/>
        </w:rPr>
        <w:t>变动前后</w:t>
      </w:r>
      <w:r>
        <w:rPr>
          <w:rFonts w:hint="eastAsia"/>
          <w:u w:val="single"/>
        </w:rPr>
        <w:t>物料平衡</w:t>
      </w:r>
      <w:r>
        <w:rPr>
          <w:rFonts w:hint="eastAsia"/>
          <w:u w:val="single"/>
          <w:lang w:val="en-US" w:eastAsia="zh-CN"/>
        </w:rPr>
        <w:t>变化情况</w:t>
      </w:r>
      <w:r>
        <w:rPr>
          <w:rFonts w:hint="eastAsia"/>
          <w:u w:val="single"/>
        </w:rPr>
        <w:t>详见下表4.3-18。</w:t>
      </w:r>
    </w:p>
    <w:p w14:paraId="4E6FE72F">
      <w:pPr>
        <w:pStyle w:val="95"/>
        <w:rPr>
          <w:rFonts w:hint="eastAsia"/>
        </w:rPr>
      </w:pPr>
    </w:p>
    <w:p w14:paraId="6A30FE29">
      <w:pPr>
        <w:pStyle w:val="95"/>
        <w:rPr>
          <w:rFonts w:hint="eastAsia"/>
        </w:rPr>
      </w:pPr>
    </w:p>
    <w:p w14:paraId="51AF7F19">
      <w:pPr>
        <w:pStyle w:val="95"/>
        <w:rPr>
          <w:rFonts w:hint="eastAsia"/>
        </w:rPr>
      </w:pPr>
    </w:p>
    <w:p w14:paraId="1F6FE5AC">
      <w:pPr>
        <w:pStyle w:val="95"/>
        <w:ind w:firstLine="2168" w:firstLineChars="900"/>
        <w:rPr>
          <w:rFonts w:hint="eastAsia"/>
          <w:u w:val="single"/>
          <w:lang w:val="en-US" w:eastAsia="zh-CN"/>
        </w:rPr>
      </w:pPr>
      <w:r>
        <w:rPr>
          <w:rFonts w:hint="default" w:ascii="Times New Roman" w:hAnsi="Times New Roman" w:cs="Times New Roman"/>
          <w:b/>
          <w:bCs/>
          <w:u w:val="single"/>
          <w:lang w:val="en-US" w:eastAsia="zh-CN"/>
        </w:rPr>
        <w:t>表4.3-18</w:t>
      </w:r>
      <w:r>
        <w:rPr>
          <w:rFonts w:hint="eastAsia" w:ascii="Times New Roman" w:hAnsi="Times New Roman" w:cs="Times New Roman"/>
          <w:b/>
          <w:bCs/>
          <w:u w:val="single"/>
          <w:lang w:val="en-US" w:eastAsia="zh-CN"/>
        </w:rPr>
        <w:t xml:space="preserve">   </w:t>
      </w:r>
      <w:r>
        <w:rPr>
          <w:rFonts w:hint="default" w:ascii="Times New Roman" w:hAnsi="Times New Roman" w:cs="Times New Roman"/>
          <w:b/>
          <w:bCs/>
          <w:u w:val="single"/>
          <w:lang w:val="en-US" w:eastAsia="zh-CN"/>
        </w:rPr>
        <w:t>项目物料平衡一览表</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2272"/>
        <w:gridCol w:w="1601"/>
        <w:gridCol w:w="2686"/>
        <w:gridCol w:w="1831"/>
      </w:tblGrid>
      <w:tr w14:paraId="189EB9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873" w:type="dxa"/>
            <w:gridSpan w:val="2"/>
            <w:tcBorders>
              <w:tl2br w:val="nil"/>
              <w:tr2bl w:val="nil"/>
            </w:tcBorders>
            <w:vAlign w:val="top"/>
          </w:tcPr>
          <w:p w14:paraId="741FD8F4">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投入</w:t>
            </w:r>
          </w:p>
        </w:tc>
        <w:tc>
          <w:tcPr>
            <w:tcW w:w="4517" w:type="dxa"/>
            <w:gridSpan w:val="2"/>
            <w:tcBorders>
              <w:tl2br w:val="nil"/>
              <w:tr2bl w:val="nil"/>
            </w:tcBorders>
            <w:vAlign w:val="top"/>
          </w:tcPr>
          <w:p w14:paraId="6F5EFA22">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产出</w:t>
            </w:r>
          </w:p>
        </w:tc>
      </w:tr>
      <w:tr w14:paraId="2F1DEFE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5B9D4EC6">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物料名称</w:t>
            </w:r>
          </w:p>
        </w:tc>
        <w:tc>
          <w:tcPr>
            <w:tcW w:w="1601" w:type="dxa"/>
            <w:tcBorders>
              <w:tl2br w:val="nil"/>
              <w:tr2bl w:val="nil"/>
            </w:tcBorders>
            <w:vAlign w:val="top"/>
          </w:tcPr>
          <w:p w14:paraId="5B4B941C">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投入量（t/a）</w:t>
            </w:r>
          </w:p>
        </w:tc>
        <w:tc>
          <w:tcPr>
            <w:tcW w:w="2686" w:type="dxa"/>
            <w:tcBorders>
              <w:tl2br w:val="nil"/>
              <w:tr2bl w:val="nil"/>
            </w:tcBorders>
            <w:vAlign w:val="top"/>
          </w:tcPr>
          <w:p w14:paraId="2562157B">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物料名称</w:t>
            </w:r>
          </w:p>
        </w:tc>
        <w:tc>
          <w:tcPr>
            <w:tcW w:w="1831" w:type="dxa"/>
            <w:tcBorders>
              <w:tl2br w:val="nil"/>
              <w:tr2bl w:val="nil"/>
            </w:tcBorders>
            <w:vAlign w:val="top"/>
          </w:tcPr>
          <w:p w14:paraId="4E1CF4A7">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产出量（t/a）</w:t>
            </w:r>
          </w:p>
        </w:tc>
      </w:tr>
      <w:tr w14:paraId="6EE18C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365CBFF4">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聚丙烯薄膜</w:t>
            </w:r>
          </w:p>
        </w:tc>
        <w:tc>
          <w:tcPr>
            <w:tcW w:w="1601" w:type="dxa"/>
            <w:tcBorders>
              <w:tl2br w:val="nil"/>
              <w:tr2bl w:val="nil"/>
            </w:tcBorders>
            <w:vAlign w:val="top"/>
          </w:tcPr>
          <w:p w14:paraId="06C67609">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6291</w:t>
            </w:r>
          </w:p>
        </w:tc>
        <w:tc>
          <w:tcPr>
            <w:tcW w:w="2686" w:type="dxa"/>
            <w:tcBorders>
              <w:tl2br w:val="nil"/>
              <w:tr2bl w:val="nil"/>
            </w:tcBorders>
            <w:vAlign w:val="top"/>
          </w:tcPr>
          <w:p w14:paraId="499F2D89">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塑料软包装袋</w:t>
            </w:r>
          </w:p>
        </w:tc>
        <w:tc>
          <w:tcPr>
            <w:tcW w:w="1831" w:type="dxa"/>
            <w:tcBorders>
              <w:tl2br w:val="nil"/>
              <w:tr2bl w:val="nil"/>
            </w:tcBorders>
            <w:vAlign w:val="top"/>
          </w:tcPr>
          <w:p w14:paraId="03E2B1D6">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15000</w:t>
            </w:r>
          </w:p>
        </w:tc>
      </w:tr>
      <w:tr w14:paraId="61DEE3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6768818F">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低密度聚乙烯薄膜</w:t>
            </w:r>
          </w:p>
        </w:tc>
        <w:tc>
          <w:tcPr>
            <w:tcW w:w="1601" w:type="dxa"/>
            <w:tcBorders>
              <w:tl2br w:val="nil"/>
              <w:tr2bl w:val="nil"/>
            </w:tcBorders>
            <w:vAlign w:val="top"/>
          </w:tcPr>
          <w:p w14:paraId="22196A17">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4874</w:t>
            </w:r>
          </w:p>
        </w:tc>
        <w:tc>
          <w:tcPr>
            <w:tcW w:w="2686" w:type="dxa"/>
            <w:tcBorders>
              <w:tl2br w:val="nil"/>
              <w:tr2bl w:val="nil"/>
            </w:tcBorders>
            <w:vAlign w:val="top"/>
          </w:tcPr>
          <w:p w14:paraId="05952A90">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废边角料</w:t>
            </w:r>
          </w:p>
        </w:tc>
        <w:tc>
          <w:tcPr>
            <w:tcW w:w="1831" w:type="dxa"/>
            <w:tcBorders>
              <w:tl2br w:val="nil"/>
              <w:tr2bl w:val="nil"/>
            </w:tcBorders>
            <w:vAlign w:val="top"/>
          </w:tcPr>
          <w:p w14:paraId="42EDEDB2">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200+112=312</w:t>
            </w:r>
          </w:p>
        </w:tc>
      </w:tr>
      <w:tr w14:paraId="1E38DF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5A5290CE">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双向拉伸尼龙薄膜</w:t>
            </w:r>
          </w:p>
        </w:tc>
        <w:tc>
          <w:tcPr>
            <w:tcW w:w="1601" w:type="dxa"/>
            <w:tcBorders>
              <w:tl2br w:val="nil"/>
              <w:tr2bl w:val="nil"/>
            </w:tcBorders>
            <w:vAlign w:val="top"/>
          </w:tcPr>
          <w:p w14:paraId="5717574F">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1813</w:t>
            </w:r>
          </w:p>
        </w:tc>
        <w:tc>
          <w:tcPr>
            <w:tcW w:w="2686" w:type="dxa"/>
            <w:tcBorders>
              <w:tl2br w:val="nil"/>
              <w:tr2bl w:val="nil"/>
            </w:tcBorders>
            <w:vAlign w:val="top"/>
          </w:tcPr>
          <w:p w14:paraId="63E4705B">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不合格产品</w:t>
            </w:r>
          </w:p>
        </w:tc>
        <w:tc>
          <w:tcPr>
            <w:tcW w:w="1831" w:type="dxa"/>
            <w:tcBorders>
              <w:tl2br w:val="nil"/>
              <w:tr2bl w:val="nil"/>
            </w:tcBorders>
            <w:vAlign w:val="top"/>
          </w:tcPr>
          <w:p w14:paraId="4AC282AF">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596.8+234.3=831.1</w:t>
            </w:r>
          </w:p>
        </w:tc>
      </w:tr>
      <w:tr w14:paraId="0E58DA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62F95B2C">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流延聚丙烯薄膜</w:t>
            </w:r>
          </w:p>
        </w:tc>
        <w:tc>
          <w:tcPr>
            <w:tcW w:w="1601" w:type="dxa"/>
            <w:tcBorders>
              <w:tl2br w:val="nil"/>
              <w:tr2bl w:val="nil"/>
            </w:tcBorders>
            <w:vAlign w:val="top"/>
          </w:tcPr>
          <w:p w14:paraId="0F73D9AB">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2816</w:t>
            </w:r>
          </w:p>
        </w:tc>
        <w:tc>
          <w:tcPr>
            <w:tcW w:w="2686" w:type="dxa"/>
            <w:tcBorders>
              <w:tl2br w:val="nil"/>
              <w:tr2bl w:val="nil"/>
            </w:tcBorders>
            <w:vAlign w:val="top"/>
          </w:tcPr>
          <w:p w14:paraId="77268D9B">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塑料软包装袋生产线废气</w:t>
            </w:r>
          </w:p>
        </w:tc>
        <w:tc>
          <w:tcPr>
            <w:tcW w:w="1831" w:type="dxa"/>
            <w:tcBorders>
              <w:tl2br w:val="nil"/>
              <w:tr2bl w:val="nil"/>
            </w:tcBorders>
            <w:vAlign w:val="top"/>
          </w:tcPr>
          <w:p w14:paraId="5B3F6865">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915.4</w:t>
            </w:r>
          </w:p>
        </w:tc>
      </w:tr>
      <w:tr w14:paraId="2A6402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14FD58CF">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烫金纸</w:t>
            </w:r>
          </w:p>
        </w:tc>
        <w:tc>
          <w:tcPr>
            <w:tcW w:w="1601" w:type="dxa"/>
            <w:tcBorders>
              <w:tl2br w:val="nil"/>
              <w:tr2bl w:val="nil"/>
            </w:tcBorders>
            <w:vAlign w:val="top"/>
          </w:tcPr>
          <w:p w14:paraId="3BC9E9FB">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70</w:t>
            </w:r>
          </w:p>
        </w:tc>
        <w:tc>
          <w:tcPr>
            <w:tcW w:w="2686" w:type="dxa"/>
            <w:tcBorders>
              <w:tl2br w:val="nil"/>
              <w:tr2bl w:val="nil"/>
            </w:tcBorders>
            <w:vAlign w:val="top"/>
          </w:tcPr>
          <w:p w14:paraId="0840E6B5">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废烫金膜</w:t>
            </w:r>
          </w:p>
        </w:tc>
        <w:tc>
          <w:tcPr>
            <w:tcW w:w="1831" w:type="dxa"/>
            <w:tcBorders>
              <w:tl2br w:val="nil"/>
              <w:tr2bl w:val="nil"/>
            </w:tcBorders>
            <w:vAlign w:val="top"/>
          </w:tcPr>
          <w:p w14:paraId="0491CB75">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0.8</w:t>
            </w:r>
          </w:p>
        </w:tc>
      </w:tr>
      <w:tr w14:paraId="1A38F7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74228E4B">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油墨</w:t>
            </w:r>
          </w:p>
        </w:tc>
        <w:tc>
          <w:tcPr>
            <w:tcW w:w="1601" w:type="dxa"/>
            <w:tcBorders>
              <w:tl2br w:val="nil"/>
              <w:tr2bl w:val="nil"/>
            </w:tcBorders>
            <w:vAlign w:val="top"/>
          </w:tcPr>
          <w:p w14:paraId="01D2E245">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560</w:t>
            </w:r>
          </w:p>
        </w:tc>
        <w:tc>
          <w:tcPr>
            <w:tcW w:w="2686" w:type="dxa"/>
            <w:tcBorders>
              <w:tl2br w:val="nil"/>
              <w:tr2bl w:val="nil"/>
            </w:tcBorders>
            <w:vAlign w:val="top"/>
          </w:tcPr>
          <w:p w14:paraId="612E3C81">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废油墨</w:t>
            </w:r>
          </w:p>
        </w:tc>
        <w:tc>
          <w:tcPr>
            <w:tcW w:w="1831" w:type="dxa"/>
            <w:tcBorders>
              <w:tl2br w:val="nil"/>
              <w:tr2bl w:val="nil"/>
            </w:tcBorders>
            <w:vAlign w:val="top"/>
          </w:tcPr>
          <w:p w14:paraId="3C54000A">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3.4+5.6=9</w:t>
            </w:r>
          </w:p>
        </w:tc>
      </w:tr>
      <w:tr w14:paraId="1601B7F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7106EFA9">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稀释剂</w:t>
            </w:r>
          </w:p>
        </w:tc>
        <w:tc>
          <w:tcPr>
            <w:tcW w:w="1601" w:type="dxa"/>
            <w:tcBorders>
              <w:tl2br w:val="nil"/>
              <w:tr2bl w:val="nil"/>
            </w:tcBorders>
            <w:vAlign w:val="top"/>
          </w:tcPr>
          <w:p w14:paraId="600C0C39">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603</w:t>
            </w:r>
          </w:p>
        </w:tc>
        <w:tc>
          <w:tcPr>
            <w:tcW w:w="2686" w:type="dxa"/>
            <w:tcBorders>
              <w:tl2br w:val="nil"/>
              <w:tr2bl w:val="nil"/>
            </w:tcBorders>
            <w:vAlign w:val="top"/>
          </w:tcPr>
          <w:p w14:paraId="40FCF3B6">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废胶</w:t>
            </w:r>
          </w:p>
        </w:tc>
        <w:tc>
          <w:tcPr>
            <w:tcW w:w="1831" w:type="dxa"/>
            <w:tcBorders>
              <w:tl2br w:val="nil"/>
              <w:tr2bl w:val="nil"/>
            </w:tcBorders>
            <w:vAlign w:val="top"/>
          </w:tcPr>
          <w:p w14:paraId="573942EE">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2.8+4.2=7</w:t>
            </w:r>
          </w:p>
        </w:tc>
      </w:tr>
      <w:tr w14:paraId="19A3FEB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75AC4B4C">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无溶剂胶黏剂A/B胶</w:t>
            </w:r>
          </w:p>
        </w:tc>
        <w:tc>
          <w:tcPr>
            <w:tcW w:w="1601" w:type="dxa"/>
            <w:tcBorders>
              <w:tl2br w:val="nil"/>
              <w:tr2bl w:val="nil"/>
            </w:tcBorders>
            <w:vAlign w:val="top"/>
          </w:tcPr>
          <w:p w14:paraId="472E8898">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51.5</w:t>
            </w:r>
          </w:p>
        </w:tc>
        <w:tc>
          <w:tcPr>
            <w:tcW w:w="2686" w:type="dxa"/>
            <w:tcBorders>
              <w:tl2br w:val="nil"/>
              <w:tr2bl w:val="nil"/>
            </w:tcBorders>
            <w:vAlign w:val="top"/>
          </w:tcPr>
          <w:p w14:paraId="5A277CA0">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废溶剂</w:t>
            </w:r>
          </w:p>
        </w:tc>
        <w:tc>
          <w:tcPr>
            <w:tcW w:w="1831" w:type="dxa"/>
            <w:tcBorders>
              <w:tl2br w:val="nil"/>
              <w:tr2bl w:val="nil"/>
            </w:tcBorders>
            <w:vAlign w:val="top"/>
          </w:tcPr>
          <w:p w14:paraId="4EC2B22C">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2+6=8</w:t>
            </w:r>
          </w:p>
        </w:tc>
      </w:tr>
      <w:tr w14:paraId="2F5AC1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272" w:type="dxa"/>
            <w:tcBorders>
              <w:tl2br w:val="nil"/>
              <w:tr2bl w:val="nil"/>
            </w:tcBorders>
            <w:vAlign w:val="top"/>
          </w:tcPr>
          <w:p w14:paraId="51113F55">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溶剂型包装胶水</w:t>
            </w:r>
          </w:p>
        </w:tc>
        <w:tc>
          <w:tcPr>
            <w:tcW w:w="1601" w:type="dxa"/>
            <w:tcBorders>
              <w:tl2br w:val="nil"/>
              <w:tr2bl w:val="nil"/>
            </w:tcBorders>
            <w:vAlign w:val="top"/>
          </w:tcPr>
          <w:p w14:paraId="1E4D7D16">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40</w:t>
            </w:r>
          </w:p>
        </w:tc>
        <w:tc>
          <w:tcPr>
            <w:tcW w:w="2686" w:type="dxa"/>
            <w:tcBorders>
              <w:tl2br w:val="nil"/>
              <w:tr2bl w:val="nil"/>
            </w:tcBorders>
            <w:vAlign w:val="top"/>
          </w:tcPr>
          <w:p w14:paraId="3FF55EC5">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废残液</w:t>
            </w:r>
          </w:p>
        </w:tc>
        <w:tc>
          <w:tcPr>
            <w:tcW w:w="1831" w:type="dxa"/>
            <w:tcBorders>
              <w:tl2br w:val="nil"/>
              <w:tr2bl w:val="nil"/>
            </w:tcBorders>
            <w:vAlign w:val="top"/>
          </w:tcPr>
          <w:p w14:paraId="5908C8F4">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35.2</w:t>
            </w:r>
          </w:p>
        </w:tc>
      </w:tr>
      <w:tr w14:paraId="64B7C86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41" w:hRule="atLeast"/>
          <w:jc w:val="center"/>
        </w:trPr>
        <w:tc>
          <w:tcPr>
            <w:tcW w:w="2272" w:type="dxa"/>
            <w:tcBorders>
              <w:tl2br w:val="nil"/>
              <w:tr2bl w:val="nil"/>
            </w:tcBorders>
            <w:vAlign w:val="top"/>
          </w:tcPr>
          <w:p w14:paraId="0FD1A04C">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总计</w:t>
            </w:r>
          </w:p>
        </w:tc>
        <w:tc>
          <w:tcPr>
            <w:tcW w:w="1601" w:type="dxa"/>
            <w:tcBorders>
              <w:tl2br w:val="nil"/>
              <w:tr2bl w:val="nil"/>
            </w:tcBorders>
            <w:vAlign w:val="top"/>
          </w:tcPr>
          <w:p w14:paraId="6FF27416">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17118.5</w:t>
            </w:r>
          </w:p>
        </w:tc>
        <w:tc>
          <w:tcPr>
            <w:tcW w:w="2686" w:type="dxa"/>
            <w:tcBorders>
              <w:tl2br w:val="nil"/>
              <w:tr2bl w:val="nil"/>
            </w:tcBorders>
            <w:vAlign w:val="top"/>
          </w:tcPr>
          <w:p w14:paraId="1BCBB947">
            <w:pPr>
              <w:pStyle w:val="64"/>
              <w:spacing w:line="240" w:lineRule="auto"/>
              <w:ind w:firstLine="0"/>
              <w:rPr>
                <w:rFonts w:hint="eastAsia" w:ascii="Times New Roman" w:hAnsi="Times New Roman" w:eastAsia="宋体" w:cs="Times New Roman"/>
                <w:sz w:val="21"/>
                <w:szCs w:val="21"/>
                <w:u w:val="single"/>
                <w:lang w:val="en-US" w:eastAsia="zh-CN"/>
              </w:rPr>
            </w:pPr>
          </w:p>
        </w:tc>
        <w:tc>
          <w:tcPr>
            <w:tcW w:w="1831" w:type="dxa"/>
            <w:tcBorders>
              <w:tl2br w:val="nil"/>
              <w:tr2bl w:val="nil"/>
            </w:tcBorders>
            <w:vAlign w:val="top"/>
          </w:tcPr>
          <w:p w14:paraId="1E6F3D99">
            <w:pPr>
              <w:pStyle w:val="64"/>
              <w:spacing w:line="240" w:lineRule="auto"/>
              <w:ind w:firstLine="0"/>
              <w:rPr>
                <w:rFonts w:hint="eastAsia" w:ascii="Times New Roman" w:hAnsi="Times New Roman" w:eastAsia="宋体" w:cs="Times New Roman"/>
                <w:sz w:val="21"/>
                <w:szCs w:val="21"/>
                <w:u w:val="single"/>
                <w:lang w:val="en-US" w:eastAsia="zh-CN"/>
              </w:rPr>
            </w:pPr>
            <w:r>
              <w:rPr>
                <w:rFonts w:hint="eastAsia" w:ascii="Times New Roman" w:hAnsi="Times New Roman" w:eastAsia="宋体" w:cs="Times New Roman"/>
                <w:sz w:val="21"/>
                <w:szCs w:val="21"/>
                <w:u w:val="single"/>
                <w:lang w:val="en-US" w:eastAsia="zh-CN"/>
              </w:rPr>
              <w:t>17118.5</w:t>
            </w:r>
          </w:p>
        </w:tc>
      </w:tr>
    </w:tbl>
    <w:p w14:paraId="34DFF469">
      <w:pPr>
        <w:pStyle w:val="51"/>
        <w:numPr>
          <w:ilvl w:val="5"/>
          <w:numId w:val="0"/>
        </w:numPr>
        <w:spacing w:before="156"/>
        <w:ind w:left="305" w:leftChars="0" w:hanging="3260" w:firstLineChars="0"/>
        <w:rPr>
          <w:u w:val="single"/>
        </w:rPr>
      </w:pP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表4.3-1</w:t>
      </w:r>
      <w:r>
        <w:rPr>
          <w:rFonts w:hint="eastAsia" w:ascii="宋体" w:hAnsi="宋体" w:cs="宋体"/>
          <w:b/>
          <w:bCs/>
          <w:color w:val="auto"/>
          <w:kern w:val="2"/>
          <w:sz w:val="21"/>
          <w:szCs w:val="21"/>
          <w:u w:val="single"/>
          <w:lang w:val="en-US" w:eastAsia="zh-CN" w:bidi="ar-SA"/>
        </w:rPr>
        <w:t>9</w:t>
      </w:r>
      <w:r>
        <w:rPr>
          <w:rFonts w:hint="default" w:ascii="宋体" w:hAnsi="宋体" w:eastAsia="宋体" w:cs="宋体"/>
          <w:b/>
          <w:bCs/>
          <w:color w:val="auto"/>
          <w:kern w:val="2"/>
          <w:sz w:val="21"/>
          <w:szCs w:val="21"/>
          <w:u w:val="single"/>
          <w:lang w:val="en-US" w:eastAsia="zh-CN" w:bidi="ar-SA"/>
        </w:rPr>
        <w:t xml:space="preserve"> </w:t>
      </w:r>
      <w:r>
        <w:rPr>
          <w:rFonts w:hint="eastAsia" w:ascii="宋体" w:hAnsi="宋体" w:cs="宋体"/>
          <w:b/>
          <w:bCs/>
          <w:color w:val="auto"/>
          <w:kern w:val="2"/>
          <w:sz w:val="21"/>
          <w:szCs w:val="21"/>
          <w:u w:val="single"/>
          <w:lang w:val="en-US" w:eastAsia="zh-CN" w:bidi="ar-SA"/>
        </w:rPr>
        <w:t xml:space="preserve">    </w:t>
      </w:r>
      <w:r>
        <w:rPr>
          <w:rFonts w:hint="eastAsia"/>
          <w:u w:val="single"/>
        </w:rPr>
        <w:t>项目物料平衡一览表</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2452"/>
        <w:gridCol w:w="1559"/>
        <w:gridCol w:w="2548"/>
        <w:gridCol w:w="1831"/>
      </w:tblGrid>
      <w:tr w14:paraId="19890DD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4" w:hRule="atLeast"/>
          <w:jc w:val="center"/>
        </w:trPr>
        <w:tc>
          <w:tcPr>
            <w:tcW w:w="4011" w:type="dxa"/>
            <w:gridSpan w:val="2"/>
            <w:tcBorders>
              <w:tl2br w:val="nil"/>
              <w:tr2bl w:val="nil"/>
            </w:tcBorders>
            <w:vAlign w:val="center"/>
          </w:tcPr>
          <w:p w14:paraId="2BF45F99">
            <w:pPr>
              <w:pStyle w:val="64"/>
              <w:spacing w:line="240" w:lineRule="auto"/>
              <w:ind w:firstLine="0"/>
              <w:rPr>
                <w:b/>
                <w:sz w:val="21"/>
                <w:szCs w:val="21"/>
                <w:u w:val="single"/>
              </w:rPr>
            </w:pPr>
            <w:r>
              <w:rPr>
                <w:b/>
                <w:sz w:val="21"/>
                <w:szCs w:val="21"/>
                <w:u w:val="single"/>
              </w:rPr>
              <w:t>投入</w:t>
            </w:r>
          </w:p>
        </w:tc>
        <w:tc>
          <w:tcPr>
            <w:tcW w:w="4379" w:type="dxa"/>
            <w:gridSpan w:val="2"/>
            <w:tcBorders>
              <w:tl2br w:val="nil"/>
              <w:tr2bl w:val="nil"/>
            </w:tcBorders>
            <w:vAlign w:val="center"/>
          </w:tcPr>
          <w:p w14:paraId="44E2D4EE">
            <w:pPr>
              <w:pStyle w:val="64"/>
              <w:spacing w:line="240" w:lineRule="auto"/>
              <w:ind w:firstLine="0"/>
              <w:rPr>
                <w:b/>
                <w:sz w:val="21"/>
                <w:szCs w:val="21"/>
                <w:u w:val="single"/>
              </w:rPr>
            </w:pPr>
            <w:r>
              <w:rPr>
                <w:b/>
                <w:sz w:val="21"/>
                <w:szCs w:val="21"/>
                <w:u w:val="single"/>
              </w:rPr>
              <w:t>产出</w:t>
            </w:r>
          </w:p>
        </w:tc>
      </w:tr>
      <w:tr w14:paraId="2D31CA9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66E0FFC9">
            <w:pPr>
              <w:pStyle w:val="64"/>
              <w:spacing w:line="240" w:lineRule="auto"/>
              <w:ind w:firstLine="0"/>
              <w:rPr>
                <w:sz w:val="21"/>
                <w:szCs w:val="21"/>
                <w:u w:val="single"/>
              </w:rPr>
            </w:pPr>
            <w:r>
              <w:rPr>
                <w:sz w:val="21"/>
                <w:szCs w:val="21"/>
                <w:u w:val="single"/>
              </w:rPr>
              <w:t>物料名称</w:t>
            </w:r>
          </w:p>
        </w:tc>
        <w:tc>
          <w:tcPr>
            <w:tcW w:w="1559" w:type="dxa"/>
            <w:tcBorders>
              <w:tl2br w:val="nil"/>
              <w:tr2bl w:val="nil"/>
            </w:tcBorders>
            <w:vAlign w:val="center"/>
          </w:tcPr>
          <w:p w14:paraId="3318C9C8">
            <w:pPr>
              <w:pStyle w:val="64"/>
              <w:spacing w:line="240" w:lineRule="auto"/>
              <w:ind w:firstLine="0"/>
              <w:rPr>
                <w:sz w:val="21"/>
                <w:szCs w:val="21"/>
                <w:u w:val="single"/>
              </w:rPr>
            </w:pPr>
            <w:r>
              <w:rPr>
                <w:sz w:val="21"/>
                <w:szCs w:val="21"/>
                <w:u w:val="single"/>
              </w:rPr>
              <w:t>投入量（t/a）</w:t>
            </w:r>
          </w:p>
        </w:tc>
        <w:tc>
          <w:tcPr>
            <w:tcW w:w="2548" w:type="dxa"/>
            <w:tcBorders>
              <w:tl2br w:val="nil"/>
              <w:tr2bl w:val="nil"/>
            </w:tcBorders>
            <w:vAlign w:val="center"/>
          </w:tcPr>
          <w:p w14:paraId="1A67E9F8">
            <w:pPr>
              <w:pStyle w:val="64"/>
              <w:spacing w:line="240" w:lineRule="auto"/>
              <w:ind w:firstLine="0"/>
              <w:rPr>
                <w:sz w:val="21"/>
                <w:szCs w:val="21"/>
                <w:u w:val="single"/>
              </w:rPr>
            </w:pPr>
            <w:r>
              <w:rPr>
                <w:sz w:val="21"/>
                <w:szCs w:val="21"/>
                <w:u w:val="single"/>
              </w:rPr>
              <w:t>物料名称</w:t>
            </w:r>
          </w:p>
        </w:tc>
        <w:tc>
          <w:tcPr>
            <w:tcW w:w="1831" w:type="dxa"/>
            <w:tcBorders>
              <w:tl2br w:val="nil"/>
              <w:tr2bl w:val="nil"/>
            </w:tcBorders>
            <w:vAlign w:val="center"/>
          </w:tcPr>
          <w:p w14:paraId="12E2CE91">
            <w:pPr>
              <w:pStyle w:val="64"/>
              <w:spacing w:line="240" w:lineRule="auto"/>
              <w:ind w:firstLine="0"/>
              <w:rPr>
                <w:sz w:val="21"/>
                <w:szCs w:val="21"/>
                <w:u w:val="single"/>
              </w:rPr>
            </w:pPr>
            <w:r>
              <w:rPr>
                <w:sz w:val="21"/>
                <w:szCs w:val="21"/>
                <w:u w:val="single"/>
              </w:rPr>
              <w:t>产出量（t/a）</w:t>
            </w:r>
          </w:p>
        </w:tc>
      </w:tr>
      <w:tr w14:paraId="7C9E97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5E0B101B">
            <w:pPr>
              <w:pStyle w:val="64"/>
              <w:spacing w:line="240" w:lineRule="auto"/>
              <w:ind w:firstLine="0"/>
              <w:rPr>
                <w:sz w:val="21"/>
                <w:szCs w:val="21"/>
                <w:u w:val="single"/>
              </w:rPr>
            </w:pPr>
            <w:r>
              <w:rPr>
                <w:sz w:val="21"/>
                <w:szCs w:val="21"/>
                <w:u w:val="single"/>
              </w:rPr>
              <w:t>聚丙烯薄膜</w:t>
            </w:r>
          </w:p>
        </w:tc>
        <w:tc>
          <w:tcPr>
            <w:tcW w:w="1559" w:type="dxa"/>
            <w:tcBorders>
              <w:tl2br w:val="nil"/>
              <w:tr2bl w:val="nil"/>
            </w:tcBorders>
            <w:vAlign w:val="center"/>
          </w:tcPr>
          <w:p w14:paraId="59601493">
            <w:pPr>
              <w:jc w:val="center"/>
              <w:rPr>
                <w:color w:val="000000"/>
                <w:sz w:val="21"/>
                <w:szCs w:val="21"/>
                <w:u w:val="single"/>
              </w:rPr>
            </w:pPr>
            <w:r>
              <w:rPr>
                <w:color w:val="000000"/>
                <w:sz w:val="21"/>
                <w:szCs w:val="21"/>
                <w:u w:val="single"/>
              </w:rPr>
              <w:t>2</w:t>
            </w:r>
            <w:r>
              <w:rPr>
                <w:rFonts w:hint="eastAsia"/>
                <w:color w:val="000000"/>
                <w:sz w:val="21"/>
                <w:szCs w:val="21"/>
                <w:u w:val="single"/>
              </w:rPr>
              <w:t>8</w:t>
            </w:r>
            <w:r>
              <w:rPr>
                <w:color w:val="000000"/>
                <w:sz w:val="21"/>
                <w:szCs w:val="21"/>
                <w:u w:val="single"/>
              </w:rPr>
              <w:t>50</w:t>
            </w:r>
          </w:p>
        </w:tc>
        <w:tc>
          <w:tcPr>
            <w:tcW w:w="2548" w:type="dxa"/>
            <w:tcBorders>
              <w:tl2br w:val="nil"/>
              <w:tr2bl w:val="nil"/>
            </w:tcBorders>
            <w:vAlign w:val="center"/>
          </w:tcPr>
          <w:p w14:paraId="14929317">
            <w:pPr>
              <w:pStyle w:val="64"/>
              <w:spacing w:line="240" w:lineRule="auto"/>
              <w:ind w:firstLine="0"/>
              <w:rPr>
                <w:sz w:val="21"/>
                <w:szCs w:val="21"/>
                <w:u w:val="single"/>
              </w:rPr>
            </w:pPr>
            <w:r>
              <w:rPr>
                <w:sz w:val="21"/>
                <w:szCs w:val="21"/>
                <w:u w:val="single"/>
              </w:rPr>
              <w:t>塑料软包装袋</w:t>
            </w:r>
          </w:p>
        </w:tc>
        <w:tc>
          <w:tcPr>
            <w:tcW w:w="1831" w:type="dxa"/>
            <w:tcBorders>
              <w:tl2br w:val="nil"/>
              <w:tr2bl w:val="nil"/>
            </w:tcBorders>
            <w:vAlign w:val="center"/>
          </w:tcPr>
          <w:p w14:paraId="6D33847B">
            <w:pPr>
              <w:pStyle w:val="64"/>
              <w:spacing w:line="240" w:lineRule="auto"/>
              <w:ind w:firstLine="0"/>
              <w:rPr>
                <w:sz w:val="21"/>
                <w:szCs w:val="21"/>
                <w:u w:val="single"/>
              </w:rPr>
            </w:pPr>
            <w:r>
              <w:rPr>
                <w:rFonts w:hint="eastAsia"/>
                <w:sz w:val="21"/>
                <w:szCs w:val="21"/>
                <w:u w:val="single"/>
              </w:rPr>
              <w:t>30000</w:t>
            </w:r>
          </w:p>
        </w:tc>
      </w:tr>
      <w:tr w14:paraId="0ED01D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01E6E53E">
            <w:pPr>
              <w:pStyle w:val="64"/>
              <w:spacing w:line="240" w:lineRule="auto"/>
              <w:ind w:firstLine="0"/>
              <w:rPr>
                <w:sz w:val="21"/>
                <w:szCs w:val="21"/>
                <w:u w:val="single"/>
              </w:rPr>
            </w:pPr>
            <w:r>
              <w:rPr>
                <w:sz w:val="21"/>
                <w:szCs w:val="21"/>
                <w:u w:val="single"/>
              </w:rPr>
              <w:t>低密度聚乙烯薄膜</w:t>
            </w:r>
          </w:p>
        </w:tc>
        <w:tc>
          <w:tcPr>
            <w:tcW w:w="1559" w:type="dxa"/>
            <w:tcBorders>
              <w:tl2br w:val="nil"/>
              <w:tr2bl w:val="nil"/>
            </w:tcBorders>
            <w:vAlign w:val="center"/>
          </w:tcPr>
          <w:p w14:paraId="75ADE778">
            <w:pPr>
              <w:jc w:val="center"/>
              <w:rPr>
                <w:color w:val="000000"/>
                <w:sz w:val="21"/>
                <w:szCs w:val="21"/>
                <w:u w:val="single"/>
              </w:rPr>
            </w:pPr>
            <w:r>
              <w:rPr>
                <w:color w:val="000000"/>
                <w:sz w:val="21"/>
                <w:szCs w:val="21"/>
                <w:u w:val="single"/>
              </w:rPr>
              <w:t>10700</w:t>
            </w:r>
          </w:p>
        </w:tc>
        <w:tc>
          <w:tcPr>
            <w:tcW w:w="2548" w:type="dxa"/>
            <w:tcBorders>
              <w:tl2br w:val="nil"/>
              <w:tr2bl w:val="nil"/>
            </w:tcBorders>
            <w:vAlign w:val="center"/>
          </w:tcPr>
          <w:p w14:paraId="662ECAAD">
            <w:pPr>
              <w:pStyle w:val="64"/>
              <w:spacing w:line="240" w:lineRule="auto"/>
              <w:ind w:firstLine="0"/>
              <w:rPr>
                <w:sz w:val="21"/>
                <w:szCs w:val="21"/>
                <w:u w:val="single"/>
              </w:rPr>
            </w:pPr>
            <w:r>
              <w:rPr>
                <w:sz w:val="21"/>
                <w:szCs w:val="21"/>
                <w:u w:val="single"/>
              </w:rPr>
              <w:t>废边角料</w:t>
            </w:r>
          </w:p>
        </w:tc>
        <w:tc>
          <w:tcPr>
            <w:tcW w:w="1831" w:type="dxa"/>
            <w:tcBorders>
              <w:tl2br w:val="nil"/>
              <w:tr2bl w:val="nil"/>
            </w:tcBorders>
            <w:vAlign w:val="center"/>
          </w:tcPr>
          <w:p w14:paraId="69850E38">
            <w:pPr>
              <w:pStyle w:val="64"/>
              <w:spacing w:line="240" w:lineRule="auto"/>
              <w:ind w:firstLine="0"/>
              <w:rPr>
                <w:sz w:val="21"/>
                <w:szCs w:val="21"/>
                <w:u w:val="single"/>
              </w:rPr>
            </w:pPr>
            <w:r>
              <w:rPr>
                <w:rFonts w:hint="eastAsia"/>
                <w:sz w:val="21"/>
                <w:szCs w:val="21"/>
                <w:u w:val="single"/>
              </w:rPr>
              <w:t>600</w:t>
            </w:r>
          </w:p>
        </w:tc>
      </w:tr>
      <w:tr w14:paraId="4F1D84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71F28BFC">
            <w:pPr>
              <w:pStyle w:val="64"/>
              <w:spacing w:line="240" w:lineRule="auto"/>
              <w:ind w:firstLine="0"/>
              <w:rPr>
                <w:sz w:val="21"/>
                <w:szCs w:val="21"/>
                <w:u w:val="single"/>
              </w:rPr>
            </w:pPr>
            <w:r>
              <w:rPr>
                <w:sz w:val="21"/>
                <w:szCs w:val="21"/>
                <w:u w:val="single"/>
              </w:rPr>
              <w:t>双向拉伸尼龙薄膜</w:t>
            </w:r>
          </w:p>
        </w:tc>
        <w:tc>
          <w:tcPr>
            <w:tcW w:w="1559" w:type="dxa"/>
            <w:tcBorders>
              <w:tl2br w:val="nil"/>
              <w:tr2bl w:val="nil"/>
            </w:tcBorders>
            <w:vAlign w:val="center"/>
          </w:tcPr>
          <w:p w14:paraId="6C0F999B">
            <w:pPr>
              <w:jc w:val="center"/>
              <w:rPr>
                <w:color w:val="000000"/>
                <w:sz w:val="21"/>
                <w:szCs w:val="21"/>
                <w:u w:val="single"/>
              </w:rPr>
            </w:pPr>
            <w:r>
              <w:rPr>
                <w:rFonts w:hint="eastAsia"/>
                <w:color w:val="000000"/>
                <w:sz w:val="21"/>
                <w:szCs w:val="21"/>
                <w:u w:val="single"/>
              </w:rPr>
              <w:t>1248</w:t>
            </w:r>
          </w:p>
        </w:tc>
        <w:tc>
          <w:tcPr>
            <w:tcW w:w="2548" w:type="dxa"/>
            <w:tcBorders>
              <w:tl2br w:val="nil"/>
              <w:tr2bl w:val="nil"/>
            </w:tcBorders>
            <w:vAlign w:val="center"/>
          </w:tcPr>
          <w:p w14:paraId="70F026A5">
            <w:pPr>
              <w:pStyle w:val="64"/>
              <w:spacing w:line="240" w:lineRule="auto"/>
              <w:ind w:firstLine="0"/>
              <w:rPr>
                <w:sz w:val="21"/>
                <w:szCs w:val="21"/>
                <w:u w:val="single"/>
              </w:rPr>
            </w:pPr>
            <w:r>
              <w:rPr>
                <w:sz w:val="21"/>
                <w:szCs w:val="21"/>
                <w:u w:val="single"/>
              </w:rPr>
              <w:t>不合格产品</w:t>
            </w:r>
          </w:p>
        </w:tc>
        <w:tc>
          <w:tcPr>
            <w:tcW w:w="1831" w:type="dxa"/>
            <w:tcBorders>
              <w:tl2br w:val="nil"/>
              <w:tr2bl w:val="nil"/>
            </w:tcBorders>
            <w:vAlign w:val="center"/>
          </w:tcPr>
          <w:p w14:paraId="543D53EE">
            <w:pPr>
              <w:pStyle w:val="64"/>
              <w:spacing w:line="240" w:lineRule="auto"/>
              <w:ind w:firstLine="0"/>
              <w:rPr>
                <w:sz w:val="21"/>
                <w:szCs w:val="21"/>
                <w:u w:val="single"/>
              </w:rPr>
            </w:pPr>
            <w:r>
              <w:rPr>
                <w:rFonts w:hint="eastAsia"/>
                <w:sz w:val="21"/>
                <w:szCs w:val="21"/>
                <w:u w:val="single"/>
              </w:rPr>
              <w:t>1500</w:t>
            </w:r>
          </w:p>
        </w:tc>
      </w:tr>
      <w:tr w14:paraId="2FB735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7E30AC06">
            <w:pPr>
              <w:pStyle w:val="64"/>
              <w:spacing w:line="240" w:lineRule="auto"/>
              <w:ind w:firstLine="0"/>
              <w:rPr>
                <w:sz w:val="21"/>
                <w:szCs w:val="21"/>
                <w:u w:val="single"/>
              </w:rPr>
            </w:pPr>
            <w:r>
              <w:rPr>
                <w:sz w:val="21"/>
                <w:szCs w:val="21"/>
                <w:u w:val="single"/>
              </w:rPr>
              <w:t>流延聚丙烯薄膜</w:t>
            </w:r>
          </w:p>
        </w:tc>
        <w:tc>
          <w:tcPr>
            <w:tcW w:w="1559" w:type="dxa"/>
            <w:tcBorders>
              <w:tl2br w:val="nil"/>
              <w:tr2bl w:val="nil"/>
            </w:tcBorders>
            <w:vAlign w:val="center"/>
          </w:tcPr>
          <w:p w14:paraId="2BFAD270">
            <w:pPr>
              <w:jc w:val="center"/>
              <w:rPr>
                <w:color w:val="000000"/>
                <w:sz w:val="21"/>
                <w:szCs w:val="21"/>
                <w:u w:val="single"/>
              </w:rPr>
            </w:pPr>
            <w:r>
              <w:rPr>
                <w:color w:val="000000"/>
                <w:sz w:val="21"/>
                <w:szCs w:val="21"/>
                <w:u w:val="single"/>
              </w:rPr>
              <w:t>6</w:t>
            </w:r>
            <w:r>
              <w:rPr>
                <w:rFonts w:hint="eastAsia"/>
                <w:color w:val="000000"/>
                <w:sz w:val="21"/>
                <w:szCs w:val="21"/>
                <w:u w:val="single"/>
              </w:rPr>
              <w:t>5</w:t>
            </w:r>
            <w:r>
              <w:rPr>
                <w:color w:val="000000"/>
                <w:sz w:val="21"/>
                <w:szCs w:val="21"/>
                <w:u w:val="single"/>
              </w:rPr>
              <w:t>40</w:t>
            </w:r>
          </w:p>
        </w:tc>
        <w:tc>
          <w:tcPr>
            <w:tcW w:w="2548" w:type="dxa"/>
            <w:tcBorders>
              <w:tl2br w:val="nil"/>
              <w:tr2bl w:val="nil"/>
            </w:tcBorders>
            <w:vAlign w:val="center"/>
          </w:tcPr>
          <w:p w14:paraId="0158E442">
            <w:pPr>
              <w:pStyle w:val="64"/>
              <w:spacing w:line="240" w:lineRule="auto"/>
              <w:ind w:firstLine="0"/>
              <w:rPr>
                <w:sz w:val="21"/>
                <w:szCs w:val="21"/>
                <w:u w:val="single"/>
              </w:rPr>
            </w:pPr>
            <w:r>
              <w:rPr>
                <w:sz w:val="21"/>
                <w:szCs w:val="21"/>
                <w:u w:val="single"/>
              </w:rPr>
              <w:t>生产线有机废气</w:t>
            </w:r>
          </w:p>
        </w:tc>
        <w:tc>
          <w:tcPr>
            <w:tcW w:w="1831" w:type="dxa"/>
            <w:tcBorders>
              <w:tl2br w:val="nil"/>
              <w:tr2bl w:val="nil"/>
            </w:tcBorders>
            <w:vAlign w:val="center"/>
          </w:tcPr>
          <w:p w14:paraId="31CC6329">
            <w:pPr>
              <w:pStyle w:val="64"/>
              <w:spacing w:line="240" w:lineRule="auto"/>
              <w:ind w:firstLine="0"/>
              <w:rPr>
                <w:sz w:val="21"/>
                <w:szCs w:val="21"/>
                <w:u w:val="single"/>
              </w:rPr>
            </w:pPr>
            <w:r>
              <w:rPr>
                <w:rFonts w:hint="eastAsia"/>
                <w:sz w:val="21"/>
                <w:szCs w:val="21"/>
                <w:u w:val="single"/>
              </w:rPr>
              <w:t>210.203</w:t>
            </w:r>
          </w:p>
        </w:tc>
      </w:tr>
      <w:tr w14:paraId="65825B8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0471674A">
            <w:pPr>
              <w:pStyle w:val="64"/>
              <w:spacing w:line="240" w:lineRule="auto"/>
              <w:ind w:firstLine="0"/>
              <w:rPr>
                <w:sz w:val="21"/>
                <w:szCs w:val="21"/>
                <w:u w:val="single"/>
              </w:rPr>
            </w:pPr>
            <w:r>
              <w:rPr>
                <w:sz w:val="21"/>
                <w:szCs w:val="21"/>
                <w:u w:val="single"/>
              </w:rPr>
              <w:t>聚酯膜</w:t>
            </w:r>
          </w:p>
        </w:tc>
        <w:tc>
          <w:tcPr>
            <w:tcW w:w="1559" w:type="dxa"/>
            <w:tcBorders>
              <w:tl2br w:val="nil"/>
              <w:tr2bl w:val="nil"/>
            </w:tcBorders>
            <w:vAlign w:val="center"/>
          </w:tcPr>
          <w:p w14:paraId="02DB2EA7">
            <w:pPr>
              <w:jc w:val="center"/>
              <w:rPr>
                <w:color w:val="000000"/>
                <w:sz w:val="21"/>
                <w:szCs w:val="21"/>
                <w:u w:val="single"/>
              </w:rPr>
            </w:pPr>
            <w:r>
              <w:rPr>
                <w:rFonts w:hint="eastAsia"/>
                <w:color w:val="000000"/>
                <w:sz w:val="21"/>
                <w:szCs w:val="21"/>
                <w:u w:val="single"/>
              </w:rPr>
              <w:t>4650</w:t>
            </w:r>
          </w:p>
        </w:tc>
        <w:tc>
          <w:tcPr>
            <w:tcW w:w="2548" w:type="dxa"/>
            <w:tcBorders>
              <w:tl2br w:val="nil"/>
              <w:tr2bl w:val="nil"/>
            </w:tcBorders>
            <w:vAlign w:val="center"/>
          </w:tcPr>
          <w:p w14:paraId="04C97ACA">
            <w:pPr>
              <w:pStyle w:val="64"/>
              <w:spacing w:line="240" w:lineRule="auto"/>
              <w:ind w:firstLine="0"/>
              <w:rPr>
                <w:sz w:val="21"/>
                <w:szCs w:val="21"/>
                <w:u w:val="single"/>
              </w:rPr>
            </w:pPr>
            <w:r>
              <w:rPr>
                <w:sz w:val="21"/>
                <w:szCs w:val="21"/>
                <w:u w:val="single"/>
              </w:rPr>
              <w:t>废烫金膜</w:t>
            </w:r>
          </w:p>
        </w:tc>
        <w:tc>
          <w:tcPr>
            <w:tcW w:w="1831" w:type="dxa"/>
            <w:tcBorders>
              <w:tl2br w:val="nil"/>
              <w:tr2bl w:val="nil"/>
            </w:tcBorders>
            <w:vAlign w:val="center"/>
          </w:tcPr>
          <w:p w14:paraId="071D4C84">
            <w:pPr>
              <w:pStyle w:val="64"/>
              <w:spacing w:line="240" w:lineRule="auto"/>
              <w:ind w:firstLine="0"/>
              <w:rPr>
                <w:sz w:val="21"/>
                <w:szCs w:val="21"/>
                <w:u w:val="single"/>
              </w:rPr>
            </w:pPr>
            <w:r>
              <w:rPr>
                <w:sz w:val="21"/>
                <w:szCs w:val="21"/>
                <w:u w:val="single"/>
              </w:rPr>
              <w:t>0.</w:t>
            </w:r>
            <w:r>
              <w:rPr>
                <w:rFonts w:hint="eastAsia"/>
                <w:sz w:val="21"/>
                <w:szCs w:val="21"/>
                <w:u w:val="single"/>
              </w:rPr>
              <w:t>96</w:t>
            </w:r>
          </w:p>
        </w:tc>
      </w:tr>
      <w:tr w14:paraId="58F83B1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29F144CD">
            <w:pPr>
              <w:pStyle w:val="64"/>
              <w:spacing w:line="240" w:lineRule="auto"/>
              <w:ind w:firstLine="0"/>
              <w:rPr>
                <w:sz w:val="21"/>
                <w:szCs w:val="21"/>
                <w:u w:val="single"/>
              </w:rPr>
            </w:pPr>
            <w:r>
              <w:rPr>
                <w:sz w:val="21"/>
                <w:szCs w:val="21"/>
                <w:u w:val="single"/>
              </w:rPr>
              <w:t>AL铝箔</w:t>
            </w:r>
          </w:p>
        </w:tc>
        <w:tc>
          <w:tcPr>
            <w:tcW w:w="1559" w:type="dxa"/>
            <w:tcBorders>
              <w:tl2br w:val="nil"/>
              <w:tr2bl w:val="nil"/>
            </w:tcBorders>
            <w:vAlign w:val="center"/>
          </w:tcPr>
          <w:p w14:paraId="16A0E437">
            <w:pPr>
              <w:pStyle w:val="64"/>
              <w:spacing w:line="240" w:lineRule="auto"/>
              <w:ind w:firstLine="0"/>
              <w:rPr>
                <w:sz w:val="21"/>
                <w:szCs w:val="21"/>
                <w:u w:val="single"/>
              </w:rPr>
            </w:pPr>
            <w:r>
              <w:rPr>
                <w:sz w:val="21"/>
                <w:szCs w:val="21"/>
                <w:u w:val="single"/>
              </w:rPr>
              <w:t>1</w:t>
            </w:r>
            <w:r>
              <w:rPr>
                <w:rFonts w:hint="eastAsia"/>
                <w:sz w:val="21"/>
                <w:szCs w:val="21"/>
                <w:u w:val="single"/>
              </w:rPr>
              <w:t>70</w:t>
            </w:r>
            <w:r>
              <w:rPr>
                <w:sz w:val="21"/>
                <w:szCs w:val="21"/>
                <w:u w:val="single"/>
              </w:rPr>
              <w:t>0</w:t>
            </w:r>
          </w:p>
        </w:tc>
        <w:tc>
          <w:tcPr>
            <w:tcW w:w="2548" w:type="dxa"/>
            <w:tcBorders>
              <w:tl2br w:val="nil"/>
              <w:tr2bl w:val="nil"/>
            </w:tcBorders>
            <w:vAlign w:val="center"/>
          </w:tcPr>
          <w:p w14:paraId="1FB99557">
            <w:pPr>
              <w:pStyle w:val="64"/>
              <w:spacing w:line="240" w:lineRule="auto"/>
              <w:ind w:firstLine="0"/>
              <w:rPr>
                <w:sz w:val="21"/>
                <w:szCs w:val="21"/>
                <w:u w:val="single"/>
              </w:rPr>
            </w:pPr>
            <w:r>
              <w:rPr>
                <w:sz w:val="21"/>
                <w:szCs w:val="21"/>
                <w:u w:val="single"/>
              </w:rPr>
              <w:t>废油墨</w:t>
            </w:r>
          </w:p>
        </w:tc>
        <w:tc>
          <w:tcPr>
            <w:tcW w:w="1831" w:type="dxa"/>
            <w:tcBorders>
              <w:tl2br w:val="nil"/>
              <w:tr2bl w:val="nil"/>
            </w:tcBorders>
            <w:vAlign w:val="center"/>
          </w:tcPr>
          <w:p w14:paraId="2BEF313E">
            <w:pPr>
              <w:pStyle w:val="64"/>
              <w:spacing w:line="240" w:lineRule="auto"/>
              <w:ind w:firstLine="0"/>
              <w:rPr>
                <w:sz w:val="21"/>
                <w:szCs w:val="21"/>
                <w:u w:val="single"/>
              </w:rPr>
            </w:pPr>
            <w:r>
              <w:rPr>
                <w:rFonts w:hint="eastAsia"/>
                <w:sz w:val="21"/>
                <w:szCs w:val="21"/>
                <w:u w:val="single"/>
              </w:rPr>
              <w:t>16.4</w:t>
            </w:r>
          </w:p>
        </w:tc>
      </w:tr>
      <w:tr w14:paraId="5C546C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5FC88412">
            <w:pPr>
              <w:pStyle w:val="64"/>
              <w:spacing w:line="240" w:lineRule="auto"/>
              <w:ind w:firstLine="0"/>
              <w:rPr>
                <w:sz w:val="21"/>
                <w:szCs w:val="21"/>
                <w:u w:val="single"/>
              </w:rPr>
            </w:pPr>
            <w:r>
              <w:rPr>
                <w:sz w:val="21"/>
                <w:szCs w:val="21"/>
                <w:u w:val="single"/>
              </w:rPr>
              <w:t>镭射膜</w:t>
            </w:r>
          </w:p>
        </w:tc>
        <w:tc>
          <w:tcPr>
            <w:tcW w:w="1559" w:type="dxa"/>
            <w:tcBorders>
              <w:tl2br w:val="nil"/>
              <w:tr2bl w:val="nil"/>
            </w:tcBorders>
            <w:vAlign w:val="center"/>
          </w:tcPr>
          <w:p w14:paraId="18AD9576">
            <w:pPr>
              <w:pStyle w:val="64"/>
              <w:spacing w:line="240" w:lineRule="auto"/>
              <w:ind w:firstLine="0"/>
              <w:rPr>
                <w:sz w:val="21"/>
                <w:szCs w:val="21"/>
                <w:u w:val="single"/>
              </w:rPr>
            </w:pPr>
            <w:r>
              <w:rPr>
                <w:rFonts w:hint="eastAsia"/>
                <w:sz w:val="21"/>
                <w:szCs w:val="21"/>
                <w:u w:val="single"/>
              </w:rPr>
              <w:t>300</w:t>
            </w:r>
          </w:p>
        </w:tc>
        <w:tc>
          <w:tcPr>
            <w:tcW w:w="2548" w:type="dxa"/>
            <w:tcBorders>
              <w:tl2br w:val="nil"/>
              <w:tr2bl w:val="nil"/>
            </w:tcBorders>
            <w:vAlign w:val="center"/>
          </w:tcPr>
          <w:p w14:paraId="552B3550">
            <w:pPr>
              <w:pStyle w:val="64"/>
              <w:spacing w:line="240" w:lineRule="auto"/>
              <w:ind w:firstLine="0"/>
              <w:rPr>
                <w:sz w:val="21"/>
                <w:szCs w:val="21"/>
                <w:u w:val="single"/>
              </w:rPr>
            </w:pPr>
            <w:r>
              <w:rPr>
                <w:sz w:val="21"/>
                <w:szCs w:val="21"/>
                <w:u w:val="single"/>
              </w:rPr>
              <w:t>废胶</w:t>
            </w:r>
          </w:p>
        </w:tc>
        <w:tc>
          <w:tcPr>
            <w:tcW w:w="1831" w:type="dxa"/>
            <w:tcBorders>
              <w:tl2br w:val="nil"/>
              <w:tr2bl w:val="nil"/>
            </w:tcBorders>
            <w:vAlign w:val="center"/>
          </w:tcPr>
          <w:p w14:paraId="2D6EC130">
            <w:pPr>
              <w:pStyle w:val="64"/>
              <w:spacing w:line="240" w:lineRule="auto"/>
              <w:ind w:firstLine="0"/>
              <w:rPr>
                <w:sz w:val="21"/>
                <w:szCs w:val="21"/>
                <w:u w:val="single"/>
              </w:rPr>
            </w:pPr>
            <w:r>
              <w:rPr>
                <w:rFonts w:hint="eastAsia"/>
                <w:sz w:val="21"/>
                <w:szCs w:val="21"/>
                <w:u w:val="single"/>
              </w:rPr>
              <w:t>16</w:t>
            </w:r>
          </w:p>
        </w:tc>
      </w:tr>
      <w:tr w14:paraId="0E4EE8F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743F9F01">
            <w:pPr>
              <w:pStyle w:val="64"/>
              <w:spacing w:line="240" w:lineRule="auto"/>
              <w:ind w:firstLine="0"/>
              <w:rPr>
                <w:sz w:val="21"/>
                <w:szCs w:val="21"/>
                <w:u w:val="single"/>
              </w:rPr>
            </w:pPr>
            <w:r>
              <w:rPr>
                <w:sz w:val="21"/>
                <w:szCs w:val="21"/>
                <w:u w:val="single"/>
              </w:rPr>
              <w:t>烫金纸</w:t>
            </w:r>
          </w:p>
        </w:tc>
        <w:tc>
          <w:tcPr>
            <w:tcW w:w="1559" w:type="dxa"/>
            <w:tcBorders>
              <w:tl2br w:val="nil"/>
              <w:tr2bl w:val="nil"/>
            </w:tcBorders>
            <w:vAlign w:val="center"/>
          </w:tcPr>
          <w:p w14:paraId="7E7AF4F0">
            <w:pPr>
              <w:pStyle w:val="64"/>
              <w:spacing w:line="240" w:lineRule="auto"/>
              <w:ind w:firstLine="0"/>
              <w:rPr>
                <w:sz w:val="21"/>
                <w:szCs w:val="21"/>
                <w:u w:val="single"/>
              </w:rPr>
            </w:pPr>
            <w:r>
              <w:rPr>
                <w:rFonts w:hint="eastAsia"/>
                <w:sz w:val="21"/>
                <w:szCs w:val="21"/>
                <w:u w:val="single"/>
              </w:rPr>
              <w:t>80</w:t>
            </w:r>
          </w:p>
        </w:tc>
        <w:tc>
          <w:tcPr>
            <w:tcW w:w="2548" w:type="dxa"/>
            <w:tcBorders>
              <w:tl2br w:val="nil"/>
              <w:tr2bl w:val="nil"/>
            </w:tcBorders>
            <w:vAlign w:val="center"/>
          </w:tcPr>
          <w:p w14:paraId="1F3ED1DB">
            <w:pPr>
              <w:pStyle w:val="64"/>
              <w:spacing w:line="240" w:lineRule="auto"/>
              <w:ind w:firstLine="0"/>
              <w:rPr>
                <w:sz w:val="21"/>
                <w:szCs w:val="21"/>
                <w:u w:val="single"/>
              </w:rPr>
            </w:pPr>
            <w:r>
              <w:rPr>
                <w:sz w:val="21"/>
                <w:szCs w:val="21"/>
                <w:u w:val="single"/>
              </w:rPr>
              <w:t>废溶剂</w:t>
            </w:r>
          </w:p>
        </w:tc>
        <w:tc>
          <w:tcPr>
            <w:tcW w:w="1831" w:type="dxa"/>
            <w:tcBorders>
              <w:tl2br w:val="nil"/>
              <w:tr2bl w:val="nil"/>
            </w:tcBorders>
            <w:vAlign w:val="center"/>
          </w:tcPr>
          <w:p w14:paraId="4D2E47F2">
            <w:pPr>
              <w:pStyle w:val="64"/>
              <w:spacing w:line="240" w:lineRule="auto"/>
              <w:ind w:firstLine="0"/>
              <w:rPr>
                <w:sz w:val="21"/>
                <w:szCs w:val="21"/>
                <w:u w:val="single"/>
              </w:rPr>
            </w:pPr>
            <w:r>
              <w:rPr>
                <w:rFonts w:hint="eastAsia"/>
                <w:sz w:val="21"/>
                <w:szCs w:val="21"/>
                <w:u w:val="single"/>
              </w:rPr>
              <w:t>14</w:t>
            </w:r>
          </w:p>
        </w:tc>
      </w:tr>
      <w:tr w14:paraId="7C0A12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5769EDDA">
            <w:pPr>
              <w:pStyle w:val="64"/>
              <w:spacing w:line="240" w:lineRule="auto"/>
              <w:ind w:firstLine="0"/>
              <w:rPr>
                <w:sz w:val="21"/>
                <w:szCs w:val="21"/>
                <w:u w:val="single"/>
              </w:rPr>
            </w:pPr>
            <w:r>
              <w:rPr>
                <w:sz w:val="21"/>
                <w:szCs w:val="21"/>
                <w:u w:val="single"/>
              </w:rPr>
              <w:t>油墨</w:t>
            </w:r>
          </w:p>
        </w:tc>
        <w:tc>
          <w:tcPr>
            <w:tcW w:w="1559" w:type="dxa"/>
            <w:tcBorders>
              <w:tl2br w:val="nil"/>
              <w:tr2bl w:val="nil"/>
            </w:tcBorders>
            <w:vAlign w:val="center"/>
          </w:tcPr>
          <w:p w14:paraId="05E4683F">
            <w:pPr>
              <w:pStyle w:val="64"/>
              <w:spacing w:line="240" w:lineRule="auto"/>
              <w:ind w:firstLine="0"/>
              <w:rPr>
                <w:sz w:val="21"/>
                <w:szCs w:val="21"/>
                <w:u w:val="single"/>
              </w:rPr>
            </w:pPr>
            <w:r>
              <w:rPr>
                <w:rFonts w:hint="eastAsia"/>
                <w:sz w:val="21"/>
                <w:szCs w:val="21"/>
                <w:u w:val="single"/>
              </w:rPr>
              <w:t>1640</w:t>
            </w:r>
          </w:p>
        </w:tc>
        <w:tc>
          <w:tcPr>
            <w:tcW w:w="2548" w:type="dxa"/>
            <w:tcBorders>
              <w:tl2br w:val="nil"/>
              <w:tr2bl w:val="nil"/>
            </w:tcBorders>
            <w:vAlign w:val="center"/>
          </w:tcPr>
          <w:p w14:paraId="74DB11CC">
            <w:pPr>
              <w:pStyle w:val="64"/>
              <w:spacing w:line="240" w:lineRule="auto"/>
              <w:ind w:firstLine="0"/>
              <w:rPr>
                <w:sz w:val="21"/>
                <w:szCs w:val="21"/>
                <w:u w:val="single"/>
              </w:rPr>
            </w:pPr>
            <w:r>
              <w:rPr>
                <w:sz w:val="21"/>
                <w:szCs w:val="21"/>
                <w:u w:val="single"/>
              </w:rPr>
              <w:t>废残液</w:t>
            </w:r>
          </w:p>
        </w:tc>
        <w:tc>
          <w:tcPr>
            <w:tcW w:w="1831" w:type="dxa"/>
            <w:tcBorders>
              <w:tl2br w:val="nil"/>
              <w:tr2bl w:val="nil"/>
            </w:tcBorders>
            <w:vAlign w:val="center"/>
          </w:tcPr>
          <w:p w14:paraId="0D85EC70">
            <w:pPr>
              <w:pStyle w:val="64"/>
              <w:spacing w:line="240" w:lineRule="auto"/>
              <w:ind w:firstLine="0"/>
              <w:rPr>
                <w:color w:val="FF0000"/>
                <w:sz w:val="21"/>
                <w:szCs w:val="21"/>
                <w:u w:val="single"/>
              </w:rPr>
            </w:pPr>
            <w:r>
              <w:rPr>
                <w:rFonts w:hint="eastAsia"/>
                <w:sz w:val="21"/>
                <w:szCs w:val="21"/>
                <w:u w:val="single"/>
              </w:rPr>
              <w:t>90.561</w:t>
            </w:r>
          </w:p>
        </w:tc>
      </w:tr>
      <w:tr w14:paraId="466B041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237687D0">
            <w:pPr>
              <w:pStyle w:val="64"/>
              <w:spacing w:line="240" w:lineRule="auto"/>
              <w:ind w:firstLine="0"/>
              <w:rPr>
                <w:sz w:val="21"/>
                <w:szCs w:val="21"/>
                <w:u w:val="single"/>
              </w:rPr>
            </w:pPr>
            <w:r>
              <w:rPr>
                <w:sz w:val="21"/>
                <w:szCs w:val="21"/>
                <w:u w:val="single"/>
              </w:rPr>
              <w:t>稀释剂</w:t>
            </w:r>
          </w:p>
        </w:tc>
        <w:tc>
          <w:tcPr>
            <w:tcW w:w="1559" w:type="dxa"/>
            <w:tcBorders>
              <w:tl2br w:val="nil"/>
              <w:tr2bl w:val="nil"/>
            </w:tcBorders>
            <w:vAlign w:val="center"/>
          </w:tcPr>
          <w:p w14:paraId="1BA697C5">
            <w:pPr>
              <w:pStyle w:val="64"/>
              <w:spacing w:line="240" w:lineRule="auto"/>
              <w:ind w:firstLine="0"/>
              <w:rPr>
                <w:sz w:val="21"/>
                <w:szCs w:val="21"/>
                <w:u w:val="single"/>
              </w:rPr>
            </w:pPr>
            <w:r>
              <w:rPr>
                <w:sz w:val="21"/>
                <w:szCs w:val="21"/>
                <w:u w:val="single"/>
              </w:rPr>
              <w:t>3493</w:t>
            </w:r>
          </w:p>
        </w:tc>
        <w:tc>
          <w:tcPr>
            <w:tcW w:w="2548" w:type="dxa"/>
            <w:tcBorders>
              <w:tl2br w:val="nil"/>
              <w:tr2bl w:val="nil"/>
            </w:tcBorders>
            <w:vAlign w:val="center"/>
          </w:tcPr>
          <w:p w14:paraId="70A9CA5C">
            <w:pPr>
              <w:pStyle w:val="64"/>
              <w:spacing w:line="240" w:lineRule="auto"/>
              <w:ind w:firstLine="0"/>
              <w:rPr>
                <w:sz w:val="21"/>
                <w:szCs w:val="21"/>
                <w:u w:val="single"/>
              </w:rPr>
            </w:pPr>
            <w:r>
              <w:rPr>
                <w:sz w:val="21"/>
                <w:szCs w:val="21"/>
                <w:u w:val="single"/>
              </w:rPr>
              <w:t>回收溶剂（自用）</w:t>
            </w:r>
          </w:p>
        </w:tc>
        <w:tc>
          <w:tcPr>
            <w:tcW w:w="1831" w:type="dxa"/>
            <w:tcBorders>
              <w:tl2br w:val="nil"/>
              <w:tr2bl w:val="nil"/>
            </w:tcBorders>
            <w:vAlign w:val="center"/>
          </w:tcPr>
          <w:p w14:paraId="71C66278">
            <w:pPr>
              <w:pStyle w:val="64"/>
              <w:spacing w:line="240" w:lineRule="auto"/>
              <w:ind w:firstLine="0"/>
              <w:rPr>
                <w:rFonts w:hint="default" w:eastAsia="宋体"/>
                <w:sz w:val="21"/>
                <w:szCs w:val="21"/>
                <w:u w:val="single"/>
                <w:lang w:val="en-US" w:eastAsia="zh-CN"/>
              </w:rPr>
            </w:pPr>
            <w:r>
              <w:rPr>
                <w:rFonts w:hint="eastAsia"/>
                <w:sz w:val="21"/>
                <w:szCs w:val="21"/>
                <w:u w:val="single"/>
                <w:lang w:val="en-US" w:eastAsia="zh-CN"/>
              </w:rPr>
              <w:t>1468.328</w:t>
            </w:r>
          </w:p>
        </w:tc>
      </w:tr>
      <w:tr w14:paraId="19CC7E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0700A2CC">
            <w:pPr>
              <w:pStyle w:val="64"/>
              <w:spacing w:line="240" w:lineRule="auto"/>
              <w:ind w:firstLine="0"/>
              <w:rPr>
                <w:sz w:val="21"/>
                <w:szCs w:val="21"/>
                <w:u w:val="single"/>
              </w:rPr>
            </w:pPr>
            <w:r>
              <w:rPr>
                <w:sz w:val="21"/>
                <w:szCs w:val="21"/>
                <w:u w:val="single"/>
              </w:rPr>
              <w:t>无溶剂胶黏剂A/B胶</w:t>
            </w:r>
          </w:p>
        </w:tc>
        <w:tc>
          <w:tcPr>
            <w:tcW w:w="1559" w:type="dxa"/>
            <w:tcBorders>
              <w:tl2br w:val="nil"/>
              <w:tr2bl w:val="nil"/>
            </w:tcBorders>
            <w:vAlign w:val="center"/>
          </w:tcPr>
          <w:p w14:paraId="71AE7817">
            <w:pPr>
              <w:pStyle w:val="64"/>
              <w:spacing w:line="240" w:lineRule="auto"/>
              <w:ind w:firstLine="0"/>
              <w:rPr>
                <w:sz w:val="21"/>
                <w:szCs w:val="21"/>
                <w:u w:val="single"/>
              </w:rPr>
            </w:pPr>
            <w:r>
              <w:rPr>
                <w:rFonts w:hint="eastAsia"/>
                <w:sz w:val="21"/>
                <w:szCs w:val="21"/>
                <w:u w:val="single"/>
              </w:rPr>
              <w:t>520</w:t>
            </w:r>
          </w:p>
        </w:tc>
        <w:tc>
          <w:tcPr>
            <w:tcW w:w="2548" w:type="dxa"/>
            <w:tcBorders>
              <w:tl2br w:val="nil"/>
              <w:tr2bl w:val="nil"/>
            </w:tcBorders>
            <w:vAlign w:val="center"/>
          </w:tcPr>
          <w:p w14:paraId="360D2C54">
            <w:pPr>
              <w:pStyle w:val="64"/>
              <w:spacing w:line="240" w:lineRule="auto"/>
              <w:ind w:firstLine="0"/>
              <w:rPr>
                <w:sz w:val="21"/>
                <w:szCs w:val="21"/>
                <w:u w:val="single"/>
              </w:rPr>
            </w:pPr>
            <w:r>
              <w:rPr>
                <w:sz w:val="21"/>
                <w:szCs w:val="21"/>
                <w:u w:val="single"/>
              </w:rPr>
              <w:t>回收溶剂（公司回收）</w:t>
            </w:r>
          </w:p>
        </w:tc>
        <w:tc>
          <w:tcPr>
            <w:tcW w:w="1831" w:type="dxa"/>
            <w:tcBorders>
              <w:tl2br w:val="nil"/>
              <w:tr2bl w:val="nil"/>
            </w:tcBorders>
            <w:vAlign w:val="center"/>
          </w:tcPr>
          <w:p w14:paraId="6C047778">
            <w:pPr>
              <w:pStyle w:val="64"/>
              <w:spacing w:line="240" w:lineRule="auto"/>
              <w:ind w:firstLine="0"/>
              <w:rPr>
                <w:rFonts w:hint="default" w:eastAsia="宋体"/>
                <w:sz w:val="21"/>
                <w:szCs w:val="21"/>
                <w:u w:val="single"/>
                <w:lang w:val="en-US" w:eastAsia="zh-CN"/>
              </w:rPr>
            </w:pPr>
            <w:r>
              <w:rPr>
                <w:rFonts w:hint="eastAsia"/>
                <w:sz w:val="21"/>
                <w:szCs w:val="21"/>
                <w:u w:val="single"/>
                <w:lang w:val="en-US" w:eastAsia="zh-CN"/>
              </w:rPr>
              <w:t>629.283</w:t>
            </w:r>
          </w:p>
        </w:tc>
      </w:tr>
      <w:tr w14:paraId="4C20C48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452" w:type="dxa"/>
            <w:tcBorders>
              <w:tl2br w:val="nil"/>
              <w:tr2bl w:val="nil"/>
            </w:tcBorders>
            <w:vAlign w:val="center"/>
          </w:tcPr>
          <w:p w14:paraId="522C3525">
            <w:pPr>
              <w:pStyle w:val="64"/>
              <w:spacing w:line="240" w:lineRule="auto"/>
              <w:ind w:firstLine="0"/>
              <w:rPr>
                <w:sz w:val="21"/>
                <w:szCs w:val="21"/>
                <w:u w:val="single"/>
              </w:rPr>
            </w:pPr>
            <w:r>
              <w:rPr>
                <w:sz w:val="21"/>
                <w:szCs w:val="21"/>
                <w:u w:val="single"/>
              </w:rPr>
              <w:t>溶剂型包装胶水</w:t>
            </w:r>
          </w:p>
        </w:tc>
        <w:tc>
          <w:tcPr>
            <w:tcW w:w="1559" w:type="dxa"/>
            <w:tcBorders>
              <w:tl2br w:val="nil"/>
              <w:tr2bl w:val="nil"/>
            </w:tcBorders>
            <w:vAlign w:val="center"/>
          </w:tcPr>
          <w:p w14:paraId="08D1A2F7">
            <w:pPr>
              <w:pStyle w:val="64"/>
              <w:spacing w:line="240" w:lineRule="auto"/>
              <w:ind w:firstLine="0"/>
              <w:rPr>
                <w:sz w:val="21"/>
                <w:szCs w:val="21"/>
                <w:u w:val="single"/>
              </w:rPr>
            </w:pPr>
            <w:r>
              <w:rPr>
                <w:rFonts w:hint="eastAsia"/>
                <w:sz w:val="21"/>
                <w:szCs w:val="21"/>
                <w:u w:val="single"/>
              </w:rPr>
              <w:t>900</w:t>
            </w:r>
          </w:p>
        </w:tc>
        <w:tc>
          <w:tcPr>
            <w:tcW w:w="2548" w:type="dxa"/>
            <w:tcBorders>
              <w:tl2br w:val="nil"/>
              <w:tr2bl w:val="nil"/>
            </w:tcBorders>
            <w:vAlign w:val="center"/>
          </w:tcPr>
          <w:p w14:paraId="1CB2BEEA">
            <w:pPr>
              <w:pStyle w:val="64"/>
              <w:spacing w:line="240" w:lineRule="auto"/>
              <w:ind w:firstLine="0"/>
              <w:rPr>
                <w:sz w:val="21"/>
                <w:szCs w:val="21"/>
                <w:u w:val="single"/>
              </w:rPr>
            </w:pPr>
            <w:r>
              <w:rPr>
                <w:rFonts w:hint="eastAsia"/>
                <w:sz w:val="21"/>
                <w:szCs w:val="21"/>
                <w:u w:val="single"/>
              </w:rPr>
              <w:t>/</w:t>
            </w:r>
          </w:p>
        </w:tc>
        <w:tc>
          <w:tcPr>
            <w:tcW w:w="1831" w:type="dxa"/>
            <w:tcBorders>
              <w:tl2br w:val="nil"/>
              <w:tr2bl w:val="nil"/>
            </w:tcBorders>
            <w:vAlign w:val="center"/>
          </w:tcPr>
          <w:p w14:paraId="06D5D05C">
            <w:pPr>
              <w:pStyle w:val="64"/>
              <w:spacing w:line="240" w:lineRule="auto"/>
              <w:ind w:firstLine="0"/>
              <w:rPr>
                <w:color w:val="FF0000"/>
                <w:sz w:val="21"/>
                <w:szCs w:val="21"/>
                <w:u w:val="single"/>
              </w:rPr>
            </w:pPr>
            <w:r>
              <w:rPr>
                <w:rFonts w:hint="eastAsia"/>
                <w:sz w:val="21"/>
                <w:szCs w:val="21"/>
                <w:u w:val="single"/>
              </w:rPr>
              <w:t>/</w:t>
            </w:r>
          </w:p>
        </w:tc>
      </w:tr>
      <w:tr w14:paraId="1C6CD5F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41" w:hRule="atLeast"/>
          <w:jc w:val="center"/>
        </w:trPr>
        <w:tc>
          <w:tcPr>
            <w:tcW w:w="2452" w:type="dxa"/>
            <w:tcBorders>
              <w:tl2br w:val="nil"/>
              <w:tr2bl w:val="nil"/>
            </w:tcBorders>
            <w:vAlign w:val="center"/>
          </w:tcPr>
          <w:p w14:paraId="73AE27EC">
            <w:pPr>
              <w:pStyle w:val="64"/>
              <w:spacing w:line="240" w:lineRule="auto"/>
              <w:ind w:firstLine="0"/>
              <w:rPr>
                <w:sz w:val="21"/>
                <w:szCs w:val="21"/>
                <w:u w:val="single"/>
              </w:rPr>
            </w:pPr>
            <w:r>
              <w:rPr>
                <w:sz w:val="21"/>
                <w:szCs w:val="21"/>
                <w:u w:val="single"/>
              </w:rPr>
              <w:t>总计</w:t>
            </w:r>
          </w:p>
        </w:tc>
        <w:tc>
          <w:tcPr>
            <w:tcW w:w="1559" w:type="dxa"/>
            <w:tcBorders>
              <w:tl2br w:val="nil"/>
              <w:tr2bl w:val="nil"/>
            </w:tcBorders>
            <w:vAlign w:val="center"/>
          </w:tcPr>
          <w:p w14:paraId="192A0156">
            <w:pPr>
              <w:pStyle w:val="64"/>
              <w:spacing w:line="240" w:lineRule="auto"/>
              <w:ind w:firstLine="0"/>
              <w:rPr>
                <w:sz w:val="21"/>
                <w:szCs w:val="21"/>
                <w:u w:val="single"/>
              </w:rPr>
            </w:pPr>
            <w:r>
              <w:rPr>
                <w:rFonts w:hint="eastAsia"/>
                <w:sz w:val="21"/>
                <w:szCs w:val="21"/>
                <w:u w:val="single"/>
              </w:rPr>
              <w:t>34621</w:t>
            </w:r>
          </w:p>
        </w:tc>
        <w:tc>
          <w:tcPr>
            <w:tcW w:w="2548" w:type="dxa"/>
            <w:tcBorders>
              <w:tl2br w:val="nil"/>
              <w:tr2bl w:val="nil"/>
            </w:tcBorders>
            <w:vAlign w:val="center"/>
          </w:tcPr>
          <w:p w14:paraId="45E31F6A">
            <w:pPr>
              <w:pStyle w:val="64"/>
              <w:spacing w:line="240" w:lineRule="auto"/>
              <w:ind w:firstLine="0"/>
              <w:rPr>
                <w:color w:val="FF0000"/>
                <w:sz w:val="21"/>
                <w:szCs w:val="21"/>
                <w:u w:val="single"/>
              </w:rPr>
            </w:pPr>
          </w:p>
        </w:tc>
        <w:tc>
          <w:tcPr>
            <w:tcW w:w="1831" w:type="dxa"/>
            <w:tcBorders>
              <w:tl2br w:val="nil"/>
              <w:tr2bl w:val="nil"/>
            </w:tcBorders>
            <w:vAlign w:val="center"/>
          </w:tcPr>
          <w:p w14:paraId="17F8571C">
            <w:pPr>
              <w:pStyle w:val="64"/>
              <w:spacing w:line="240" w:lineRule="auto"/>
              <w:ind w:firstLine="0"/>
              <w:rPr>
                <w:color w:val="FF0000"/>
                <w:sz w:val="21"/>
                <w:szCs w:val="21"/>
                <w:u w:val="single"/>
              </w:rPr>
            </w:pPr>
            <w:r>
              <w:rPr>
                <w:rFonts w:hint="eastAsia"/>
                <w:sz w:val="21"/>
                <w:szCs w:val="21"/>
                <w:u w:val="single"/>
              </w:rPr>
              <w:t>34621</w:t>
            </w:r>
          </w:p>
        </w:tc>
      </w:tr>
    </w:tbl>
    <w:p w14:paraId="479F38E2">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4.3.2.7</w:t>
      </w:r>
      <w:r>
        <w:rPr>
          <w:rFonts w:hint="eastAsia"/>
        </w:rPr>
        <w:t>污染物三本账核算</w:t>
      </w:r>
    </w:p>
    <w:p w14:paraId="1D045CAD">
      <w:pPr>
        <w:spacing w:line="240" w:lineRule="auto"/>
        <w:ind w:firstLine="480"/>
        <w:rPr>
          <w:u w:val="single"/>
        </w:rPr>
      </w:pPr>
      <w:r>
        <w:rPr>
          <w:rFonts w:hint="eastAsia"/>
          <w:u w:val="single"/>
        </w:rPr>
        <w:t>本次</w:t>
      </w:r>
      <w:r>
        <w:rPr>
          <w:u w:val="single"/>
        </w:rPr>
        <w:t>变更后全</w:t>
      </w:r>
      <w:r>
        <w:rPr>
          <w:rFonts w:asciiTheme="minorEastAsia" w:hAnsiTheme="minorEastAsia" w:eastAsiaTheme="minorEastAsia"/>
          <w:u w:val="single"/>
        </w:rPr>
        <w:t>厂“</w:t>
      </w:r>
      <w:r>
        <w:rPr>
          <w:u w:val="single"/>
        </w:rPr>
        <w:t>三本账</w:t>
      </w:r>
      <w:r>
        <w:rPr>
          <w:rFonts w:asciiTheme="minorEastAsia" w:hAnsiTheme="minorEastAsia" w:eastAsiaTheme="minorEastAsia"/>
          <w:u w:val="single"/>
        </w:rPr>
        <w:t>”</w:t>
      </w:r>
      <w:r>
        <w:rPr>
          <w:u w:val="single"/>
        </w:rPr>
        <w:t>分析见表</w:t>
      </w:r>
      <w:r>
        <w:rPr>
          <w:rFonts w:hint="eastAsia"/>
          <w:u w:val="single"/>
        </w:rPr>
        <w:t>4.3-20</w:t>
      </w:r>
      <w:r>
        <w:rPr>
          <w:u w:val="single"/>
        </w:rPr>
        <w:t>。</w:t>
      </w:r>
    </w:p>
    <w:p w14:paraId="4FEC9BC3">
      <w:pPr>
        <w:pStyle w:val="51"/>
        <w:numPr>
          <w:ilvl w:val="5"/>
          <w:numId w:val="0"/>
        </w:numPr>
        <w:spacing w:before="156"/>
        <w:ind w:left="305" w:leftChars="0" w:hanging="3260" w:firstLineChars="0"/>
        <w:rPr>
          <w:u w:val="single"/>
        </w:rPr>
      </w:pPr>
      <w:r>
        <w:rPr>
          <w:rFonts w:hint="eastAsia" w:ascii="宋体" w:hAnsi="宋体" w:cs="宋体"/>
          <w:b/>
          <w:bCs/>
          <w:color w:val="auto"/>
          <w:kern w:val="2"/>
          <w:sz w:val="21"/>
          <w:szCs w:val="21"/>
          <w:u w:val="non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表4.3-19 </w:t>
      </w:r>
      <w:r>
        <w:rPr>
          <w:rFonts w:hint="eastAsia" w:ascii="宋体" w:hAnsi="宋体" w:cs="宋体"/>
          <w:b/>
          <w:bCs/>
          <w:color w:val="auto"/>
          <w:kern w:val="2"/>
          <w:sz w:val="21"/>
          <w:szCs w:val="21"/>
          <w:u w:val="single"/>
          <w:lang w:val="en-US" w:eastAsia="zh-CN" w:bidi="ar-SA"/>
        </w:rPr>
        <w:t xml:space="preserve">     </w:t>
      </w:r>
      <w:r>
        <w:rPr>
          <w:rFonts w:hint="eastAsia"/>
          <w:u w:val="single"/>
        </w:rPr>
        <w:t xml:space="preserve"> “三本账”情况分析      </w:t>
      </w:r>
      <w:r>
        <w:rPr>
          <w:rFonts w:hint="eastAsia"/>
          <w:sz w:val="18"/>
          <w:szCs w:val="18"/>
          <w:u w:val="single"/>
        </w:rPr>
        <w:t>单位：t/a</w:t>
      </w:r>
    </w:p>
    <w:tbl>
      <w:tblPr>
        <w:tblStyle w:val="3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1735"/>
        <w:gridCol w:w="1217"/>
        <w:gridCol w:w="1217"/>
        <w:gridCol w:w="1218"/>
        <w:gridCol w:w="1218"/>
        <w:gridCol w:w="1218"/>
      </w:tblGrid>
      <w:tr w14:paraId="68DB8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699" w:type="dxa"/>
            <w:tcBorders>
              <w:tl2br w:val="nil"/>
              <w:tr2bl w:val="nil"/>
            </w:tcBorders>
            <w:vAlign w:val="center"/>
          </w:tcPr>
          <w:p w14:paraId="4E432FBD">
            <w:pPr>
              <w:pStyle w:val="64"/>
              <w:spacing w:line="240" w:lineRule="auto"/>
              <w:ind w:firstLine="0"/>
              <w:rPr>
                <w:sz w:val="21"/>
                <w:szCs w:val="21"/>
                <w:u w:val="single"/>
              </w:rPr>
            </w:pPr>
            <w:r>
              <w:rPr>
                <w:rFonts w:hint="eastAsia"/>
                <w:sz w:val="21"/>
                <w:szCs w:val="21"/>
                <w:u w:val="single"/>
              </w:rPr>
              <w:t>类别</w:t>
            </w:r>
          </w:p>
        </w:tc>
        <w:tc>
          <w:tcPr>
            <w:tcW w:w="1735" w:type="dxa"/>
            <w:tcBorders>
              <w:tl2br w:val="nil"/>
              <w:tr2bl w:val="nil"/>
            </w:tcBorders>
            <w:vAlign w:val="center"/>
          </w:tcPr>
          <w:p w14:paraId="55BE9058">
            <w:pPr>
              <w:pStyle w:val="64"/>
              <w:spacing w:line="240" w:lineRule="auto"/>
              <w:ind w:firstLine="0"/>
              <w:rPr>
                <w:sz w:val="21"/>
                <w:szCs w:val="21"/>
                <w:u w:val="single"/>
              </w:rPr>
            </w:pPr>
            <w:r>
              <w:rPr>
                <w:rFonts w:hint="eastAsia"/>
                <w:sz w:val="21"/>
                <w:szCs w:val="21"/>
                <w:u w:val="single"/>
              </w:rPr>
              <w:t>污染物名称</w:t>
            </w:r>
          </w:p>
        </w:tc>
        <w:tc>
          <w:tcPr>
            <w:tcW w:w="1217" w:type="dxa"/>
            <w:tcBorders>
              <w:tl2br w:val="nil"/>
              <w:tr2bl w:val="nil"/>
            </w:tcBorders>
            <w:vAlign w:val="center"/>
          </w:tcPr>
          <w:p w14:paraId="18184629">
            <w:pPr>
              <w:pStyle w:val="64"/>
              <w:spacing w:line="240" w:lineRule="auto"/>
              <w:ind w:firstLine="0"/>
              <w:rPr>
                <w:sz w:val="21"/>
                <w:szCs w:val="21"/>
                <w:u w:val="single"/>
              </w:rPr>
            </w:pPr>
            <w:r>
              <w:rPr>
                <w:rFonts w:hint="eastAsia"/>
                <w:sz w:val="21"/>
                <w:szCs w:val="21"/>
                <w:u w:val="single"/>
              </w:rPr>
              <w:t>现有工程排放量（1）</w:t>
            </w:r>
          </w:p>
        </w:tc>
        <w:tc>
          <w:tcPr>
            <w:tcW w:w="1217" w:type="dxa"/>
            <w:tcBorders>
              <w:tl2br w:val="nil"/>
              <w:tr2bl w:val="nil"/>
            </w:tcBorders>
            <w:vAlign w:val="center"/>
          </w:tcPr>
          <w:p w14:paraId="7A66DA9B">
            <w:pPr>
              <w:pStyle w:val="64"/>
              <w:spacing w:line="240" w:lineRule="auto"/>
              <w:ind w:firstLine="0"/>
              <w:rPr>
                <w:sz w:val="21"/>
                <w:szCs w:val="21"/>
                <w:u w:val="single"/>
              </w:rPr>
            </w:pPr>
            <w:r>
              <w:rPr>
                <w:rFonts w:hint="eastAsia"/>
                <w:sz w:val="21"/>
                <w:szCs w:val="21"/>
                <w:u w:val="single"/>
              </w:rPr>
              <w:t>变更后排放量（2）</w:t>
            </w:r>
          </w:p>
        </w:tc>
        <w:tc>
          <w:tcPr>
            <w:tcW w:w="1218" w:type="dxa"/>
            <w:tcBorders>
              <w:tl2br w:val="nil"/>
              <w:tr2bl w:val="nil"/>
            </w:tcBorders>
            <w:vAlign w:val="center"/>
          </w:tcPr>
          <w:p w14:paraId="5CD62247">
            <w:pPr>
              <w:pStyle w:val="64"/>
              <w:spacing w:line="240" w:lineRule="auto"/>
              <w:ind w:firstLine="0"/>
              <w:rPr>
                <w:sz w:val="21"/>
                <w:szCs w:val="21"/>
                <w:u w:val="single"/>
              </w:rPr>
            </w:pPr>
            <w:r>
              <w:rPr>
                <w:rFonts w:hint="eastAsia"/>
                <w:sz w:val="21"/>
                <w:szCs w:val="21"/>
                <w:u w:val="single"/>
              </w:rPr>
              <w:t>“以新带老”消减量（3）</w:t>
            </w:r>
          </w:p>
        </w:tc>
        <w:tc>
          <w:tcPr>
            <w:tcW w:w="1218" w:type="dxa"/>
            <w:tcBorders>
              <w:tl2br w:val="nil"/>
              <w:tr2bl w:val="nil"/>
            </w:tcBorders>
            <w:vAlign w:val="center"/>
          </w:tcPr>
          <w:p w14:paraId="512F9DF7">
            <w:pPr>
              <w:pStyle w:val="64"/>
              <w:spacing w:line="240" w:lineRule="auto"/>
              <w:ind w:firstLine="0"/>
              <w:rPr>
                <w:sz w:val="21"/>
                <w:szCs w:val="21"/>
                <w:u w:val="single"/>
              </w:rPr>
            </w:pPr>
            <w:r>
              <w:rPr>
                <w:rFonts w:hint="eastAsia"/>
                <w:sz w:val="21"/>
                <w:szCs w:val="21"/>
                <w:u w:val="single"/>
              </w:rPr>
              <w:t>本项目完成后全厂排放量（4）</w:t>
            </w:r>
          </w:p>
        </w:tc>
        <w:tc>
          <w:tcPr>
            <w:tcW w:w="1218" w:type="dxa"/>
            <w:tcBorders>
              <w:tl2br w:val="nil"/>
              <w:tr2bl w:val="nil"/>
            </w:tcBorders>
            <w:vAlign w:val="center"/>
          </w:tcPr>
          <w:p w14:paraId="5D206493">
            <w:pPr>
              <w:pStyle w:val="64"/>
              <w:spacing w:line="240" w:lineRule="auto"/>
              <w:ind w:firstLine="0"/>
              <w:rPr>
                <w:sz w:val="21"/>
                <w:szCs w:val="21"/>
                <w:u w:val="single"/>
              </w:rPr>
            </w:pPr>
            <w:r>
              <w:rPr>
                <w:rFonts w:hint="eastAsia"/>
                <w:sz w:val="21"/>
                <w:szCs w:val="21"/>
                <w:u w:val="single"/>
              </w:rPr>
              <w:t>排放增减量（5）</w:t>
            </w:r>
          </w:p>
        </w:tc>
      </w:tr>
      <w:tr w14:paraId="1047D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1B25401D">
            <w:pPr>
              <w:pStyle w:val="64"/>
              <w:spacing w:line="240" w:lineRule="auto"/>
              <w:ind w:firstLine="0"/>
              <w:rPr>
                <w:sz w:val="21"/>
                <w:szCs w:val="21"/>
                <w:u w:val="single"/>
              </w:rPr>
            </w:pPr>
            <w:r>
              <w:rPr>
                <w:rFonts w:hint="eastAsia"/>
                <w:sz w:val="21"/>
                <w:szCs w:val="21"/>
                <w:u w:val="single"/>
              </w:rPr>
              <w:t>废气</w:t>
            </w:r>
          </w:p>
        </w:tc>
        <w:tc>
          <w:tcPr>
            <w:tcW w:w="1735" w:type="dxa"/>
            <w:tcBorders>
              <w:tl2br w:val="nil"/>
              <w:tr2bl w:val="nil"/>
            </w:tcBorders>
            <w:vAlign w:val="center"/>
          </w:tcPr>
          <w:p w14:paraId="2CDB0D58">
            <w:pPr>
              <w:pStyle w:val="64"/>
              <w:spacing w:line="240" w:lineRule="auto"/>
              <w:ind w:firstLine="0"/>
              <w:rPr>
                <w:sz w:val="21"/>
                <w:szCs w:val="21"/>
                <w:u w:val="single"/>
              </w:rPr>
            </w:pPr>
            <w:r>
              <w:rPr>
                <w:rFonts w:hint="eastAsia"/>
                <w:sz w:val="21"/>
                <w:szCs w:val="21"/>
                <w:u w:val="single"/>
              </w:rPr>
              <w:t>挥发性有机物（有组织）</w:t>
            </w:r>
          </w:p>
        </w:tc>
        <w:tc>
          <w:tcPr>
            <w:tcW w:w="1217" w:type="dxa"/>
            <w:tcBorders>
              <w:tl2br w:val="nil"/>
              <w:tr2bl w:val="nil"/>
            </w:tcBorders>
            <w:vAlign w:val="center"/>
          </w:tcPr>
          <w:p w14:paraId="0A780DC5">
            <w:pPr>
              <w:pStyle w:val="64"/>
              <w:spacing w:line="240" w:lineRule="auto"/>
              <w:ind w:firstLine="0"/>
              <w:rPr>
                <w:sz w:val="21"/>
                <w:szCs w:val="21"/>
                <w:u w:val="single"/>
              </w:rPr>
            </w:pPr>
            <w:r>
              <w:rPr>
                <w:rFonts w:hint="eastAsia"/>
                <w:sz w:val="21"/>
                <w:szCs w:val="21"/>
                <w:u w:val="single"/>
              </w:rPr>
              <w:t>27.86</w:t>
            </w:r>
          </w:p>
        </w:tc>
        <w:tc>
          <w:tcPr>
            <w:tcW w:w="1217" w:type="dxa"/>
            <w:tcBorders>
              <w:tl2br w:val="nil"/>
              <w:tr2bl w:val="nil"/>
            </w:tcBorders>
            <w:vAlign w:val="center"/>
          </w:tcPr>
          <w:p w14:paraId="6ED101E4">
            <w:pPr>
              <w:pStyle w:val="64"/>
              <w:spacing w:line="240" w:lineRule="auto"/>
              <w:ind w:firstLine="0"/>
              <w:rPr>
                <w:rFonts w:hint="default" w:eastAsia="宋体"/>
                <w:sz w:val="21"/>
                <w:szCs w:val="21"/>
                <w:u w:val="single"/>
                <w:lang w:val="en-US" w:eastAsia="zh-CN"/>
              </w:rPr>
            </w:pPr>
            <w:r>
              <w:rPr>
                <w:rFonts w:hint="eastAsia"/>
                <w:sz w:val="21"/>
                <w:szCs w:val="21"/>
                <w:u w:val="single"/>
                <w:lang w:val="en-US" w:eastAsia="zh-CN"/>
              </w:rPr>
              <w:t>101.72</w:t>
            </w:r>
          </w:p>
        </w:tc>
        <w:tc>
          <w:tcPr>
            <w:tcW w:w="1218" w:type="dxa"/>
            <w:tcBorders>
              <w:tl2br w:val="nil"/>
              <w:tr2bl w:val="nil"/>
            </w:tcBorders>
            <w:vAlign w:val="center"/>
          </w:tcPr>
          <w:p w14:paraId="47674972">
            <w:pPr>
              <w:pStyle w:val="64"/>
              <w:spacing w:line="240" w:lineRule="auto"/>
              <w:ind w:firstLine="0"/>
              <w:rPr>
                <w:sz w:val="21"/>
                <w:szCs w:val="21"/>
                <w:u w:val="single"/>
              </w:rPr>
            </w:pPr>
            <w:r>
              <w:rPr>
                <w:rFonts w:hint="eastAsia"/>
                <w:sz w:val="21"/>
                <w:szCs w:val="21"/>
                <w:u w:val="single"/>
              </w:rPr>
              <w:t>27.86</w:t>
            </w:r>
          </w:p>
        </w:tc>
        <w:tc>
          <w:tcPr>
            <w:tcW w:w="1218" w:type="dxa"/>
            <w:tcBorders>
              <w:tl2br w:val="nil"/>
              <w:tr2bl w:val="nil"/>
            </w:tcBorders>
            <w:vAlign w:val="center"/>
          </w:tcPr>
          <w:p w14:paraId="509777F4">
            <w:pPr>
              <w:pStyle w:val="64"/>
              <w:spacing w:line="240" w:lineRule="auto"/>
              <w:ind w:firstLine="0" w:firstLineChars="0"/>
              <w:rPr>
                <w:sz w:val="21"/>
                <w:szCs w:val="21"/>
                <w:u w:val="single"/>
              </w:rPr>
            </w:pPr>
            <w:r>
              <w:rPr>
                <w:rFonts w:hint="eastAsia"/>
                <w:sz w:val="21"/>
                <w:szCs w:val="21"/>
                <w:u w:val="single"/>
                <w:lang w:val="en-US" w:eastAsia="zh-CN"/>
              </w:rPr>
              <w:t>101.72</w:t>
            </w:r>
          </w:p>
        </w:tc>
        <w:tc>
          <w:tcPr>
            <w:tcW w:w="1218" w:type="dxa"/>
            <w:tcBorders>
              <w:tl2br w:val="nil"/>
              <w:tr2bl w:val="nil"/>
            </w:tcBorders>
            <w:vAlign w:val="center"/>
          </w:tcPr>
          <w:p w14:paraId="05AE4CC5">
            <w:pPr>
              <w:pStyle w:val="64"/>
              <w:spacing w:line="240" w:lineRule="auto"/>
              <w:ind w:firstLine="0"/>
              <w:rPr>
                <w:sz w:val="21"/>
                <w:szCs w:val="21"/>
                <w:u w:val="single"/>
              </w:rPr>
            </w:pPr>
            <w:r>
              <w:rPr>
                <w:rFonts w:hint="eastAsia"/>
                <w:sz w:val="21"/>
                <w:szCs w:val="21"/>
                <w:u w:val="single"/>
              </w:rPr>
              <w:t>+73.86</w:t>
            </w:r>
          </w:p>
        </w:tc>
      </w:tr>
      <w:tr w14:paraId="5FACFC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8E3F935">
            <w:pPr>
              <w:pStyle w:val="64"/>
              <w:spacing w:line="240" w:lineRule="auto"/>
              <w:ind w:firstLine="0"/>
              <w:rPr>
                <w:color w:val="FF0000"/>
                <w:sz w:val="21"/>
                <w:szCs w:val="21"/>
                <w:u w:val="single"/>
              </w:rPr>
            </w:pPr>
          </w:p>
        </w:tc>
        <w:tc>
          <w:tcPr>
            <w:tcW w:w="1735" w:type="dxa"/>
            <w:tcBorders>
              <w:tl2br w:val="nil"/>
              <w:tr2bl w:val="nil"/>
            </w:tcBorders>
            <w:vAlign w:val="center"/>
          </w:tcPr>
          <w:p w14:paraId="0368168A">
            <w:pPr>
              <w:pStyle w:val="64"/>
              <w:spacing w:line="240" w:lineRule="auto"/>
              <w:ind w:firstLine="0"/>
              <w:rPr>
                <w:sz w:val="21"/>
                <w:szCs w:val="21"/>
                <w:u w:val="single"/>
              </w:rPr>
            </w:pPr>
            <w:r>
              <w:rPr>
                <w:rFonts w:hint="eastAsia"/>
                <w:sz w:val="21"/>
                <w:szCs w:val="21"/>
                <w:u w:val="single"/>
              </w:rPr>
              <w:t>挥发性有机物（无组织）</w:t>
            </w:r>
          </w:p>
        </w:tc>
        <w:tc>
          <w:tcPr>
            <w:tcW w:w="1217" w:type="dxa"/>
            <w:tcBorders>
              <w:tl2br w:val="nil"/>
              <w:tr2bl w:val="nil"/>
            </w:tcBorders>
            <w:vAlign w:val="center"/>
          </w:tcPr>
          <w:p w14:paraId="08DCCAD5">
            <w:pPr>
              <w:pStyle w:val="64"/>
              <w:spacing w:line="240" w:lineRule="auto"/>
              <w:ind w:firstLine="0"/>
              <w:rPr>
                <w:sz w:val="21"/>
                <w:szCs w:val="21"/>
                <w:u w:val="single"/>
              </w:rPr>
            </w:pPr>
            <w:r>
              <w:rPr>
                <w:rFonts w:hint="eastAsia"/>
                <w:sz w:val="21"/>
                <w:szCs w:val="21"/>
                <w:u w:val="single"/>
              </w:rPr>
              <w:t>7.56</w:t>
            </w:r>
          </w:p>
        </w:tc>
        <w:tc>
          <w:tcPr>
            <w:tcW w:w="1217" w:type="dxa"/>
            <w:tcBorders>
              <w:tl2br w:val="nil"/>
              <w:tr2bl w:val="nil"/>
            </w:tcBorders>
            <w:vAlign w:val="center"/>
          </w:tcPr>
          <w:p w14:paraId="0C7661AD">
            <w:pPr>
              <w:pStyle w:val="64"/>
              <w:spacing w:line="240" w:lineRule="auto"/>
              <w:ind w:firstLine="0"/>
              <w:rPr>
                <w:rFonts w:hint="default" w:eastAsia="宋体"/>
                <w:sz w:val="21"/>
                <w:szCs w:val="21"/>
                <w:u w:val="single"/>
                <w:lang w:val="en-US" w:eastAsia="zh-CN"/>
              </w:rPr>
            </w:pPr>
            <w:r>
              <w:rPr>
                <w:rFonts w:hint="eastAsia"/>
                <w:sz w:val="21"/>
                <w:szCs w:val="21"/>
                <w:u w:val="single"/>
                <w:lang w:val="en-US" w:eastAsia="zh-CN"/>
              </w:rPr>
              <w:t>35.102</w:t>
            </w:r>
          </w:p>
        </w:tc>
        <w:tc>
          <w:tcPr>
            <w:tcW w:w="1218" w:type="dxa"/>
            <w:tcBorders>
              <w:tl2br w:val="nil"/>
              <w:tr2bl w:val="nil"/>
            </w:tcBorders>
            <w:vAlign w:val="center"/>
          </w:tcPr>
          <w:p w14:paraId="138CF197">
            <w:pPr>
              <w:pStyle w:val="64"/>
              <w:spacing w:line="240" w:lineRule="auto"/>
              <w:ind w:firstLine="0"/>
              <w:rPr>
                <w:sz w:val="21"/>
                <w:szCs w:val="21"/>
                <w:u w:val="single"/>
              </w:rPr>
            </w:pPr>
            <w:r>
              <w:rPr>
                <w:rFonts w:hint="eastAsia"/>
                <w:sz w:val="21"/>
                <w:szCs w:val="21"/>
                <w:u w:val="single"/>
              </w:rPr>
              <w:t>7.56</w:t>
            </w:r>
          </w:p>
        </w:tc>
        <w:tc>
          <w:tcPr>
            <w:tcW w:w="1218" w:type="dxa"/>
            <w:tcBorders>
              <w:tl2br w:val="nil"/>
              <w:tr2bl w:val="nil"/>
            </w:tcBorders>
            <w:vAlign w:val="center"/>
          </w:tcPr>
          <w:p w14:paraId="3ADA9CD5">
            <w:pPr>
              <w:pStyle w:val="64"/>
              <w:spacing w:line="240" w:lineRule="auto"/>
              <w:ind w:firstLine="0" w:firstLineChars="0"/>
              <w:rPr>
                <w:sz w:val="21"/>
                <w:szCs w:val="21"/>
                <w:u w:val="single"/>
              </w:rPr>
            </w:pPr>
            <w:r>
              <w:rPr>
                <w:rFonts w:hint="eastAsia"/>
                <w:sz w:val="21"/>
                <w:szCs w:val="21"/>
                <w:u w:val="single"/>
                <w:lang w:val="en-US" w:eastAsia="zh-CN"/>
              </w:rPr>
              <w:t>35.102</w:t>
            </w:r>
          </w:p>
        </w:tc>
        <w:tc>
          <w:tcPr>
            <w:tcW w:w="1218" w:type="dxa"/>
            <w:tcBorders>
              <w:tl2br w:val="nil"/>
              <w:tr2bl w:val="nil"/>
            </w:tcBorders>
            <w:vAlign w:val="center"/>
          </w:tcPr>
          <w:p w14:paraId="4E56D3DC">
            <w:pPr>
              <w:pStyle w:val="64"/>
              <w:spacing w:line="240" w:lineRule="auto"/>
              <w:ind w:firstLine="0"/>
              <w:rPr>
                <w:sz w:val="21"/>
                <w:szCs w:val="21"/>
                <w:u w:val="single"/>
              </w:rPr>
            </w:pPr>
            <w:r>
              <w:rPr>
                <w:rFonts w:hint="eastAsia"/>
                <w:sz w:val="21"/>
                <w:szCs w:val="21"/>
                <w:u w:val="single"/>
              </w:rPr>
              <w:t>+27.542</w:t>
            </w:r>
          </w:p>
        </w:tc>
      </w:tr>
      <w:tr w14:paraId="019476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38E84713">
            <w:pPr>
              <w:pStyle w:val="64"/>
              <w:spacing w:line="240" w:lineRule="auto"/>
              <w:ind w:firstLine="0"/>
              <w:rPr>
                <w:color w:val="FF0000"/>
                <w:sz w:val="21"/>
                <w:szCs w:val="21"/>
                <w:u w:val="single"/>
              </w:rPr>
            </w:pPr>
          </w:p>
        </w:tc>
        <w:tc>
          <w:tcPr>
            <w:tcW w:w="1735" w:type="dxa"/>
            <w:tcBorders>
              <w:tl2br w:val="nil"/>
              <w:tr2bl w:val="nil"/>
            </w:tcBorders>
            <w:vAlign w:val="center"/>
          </w:tcPr>
          <w:p w14:paraId="6CCE9A93">
            <w:pPr>
              <w:pStyle w:val="64"/>
              <w:spacing w:line="240" w:lineRule="auto"/>
              <w:ind w:firstLine="0"/>
              <w:rPr>
                <w:sz w:val="21"/>
                <w:szCs w:val="21"/>
                <w:u w:val="single"/>
              </w:rPr>
            </w:pPr>
            <w:r>
              <w:rPr>
                <w:rFonts w:hint="eastAsia"/>
                <w:sz w:val="21"/>
                <w:szCs w:val="21"/>
                <w:u w:val="single"/>
              </w:rPr>
              <w:t>挥发性有机物（合计）</w:t>
            </w:r>
          </w:p>
        </w:tc>
        <w:tc>
          <w:tcPr>
            <w:tcW w:w="1217" w:type="dxa"/>
            <w:tcBorders>
              <w:tl2br w:val="nil"/>
              <w:tr2bl w:val="nil"/>
            </w:tcBorders>
            <w:vAlign w:val="center"/>
          </w:tcPr>
          <w:p w14:paraId="0C55ABD7">
            <w:pPr>
              <w:pStyle w:val="64"/>
              <w:spacing w:line="240" w:lineRule="auto"/>
              <w:ind w:firstLine="0"/>
              <w:rPr>
                <w:sz w:val="21"/>
                <w:szCs w:val="21"/>
                <w:u w:val="single"/>
              </w:rPr>
            </w:pPr>
            <w:r>
              <w:rPr>
                <w:rFonts w:hint="eastAsia"/>
                <w:sz w:val="21"/>
                <w:szCs w:val="21"/>
                <w:u w:val="single"/>
              </w:rPr>
              <w:t>35.42</w:t>
            </w:r>
          </w:p>
        </w:tc>
        <w:tc>
          <w:tcPr>
            <w:tcW w:w="1217" w:type="dxa"/>
            <w:tcBorders>
              <w:tl2br w:val="nil"/>
              <w:tr2bl w:val="nil"/>
            </w:tcBorders>
            <w:vAlign w:val="center"/>
          </w:tcPr>
          <w:p w14:paraId="53EAFA8C">
            <w:pPr>
              <w:pStyle w:val="64"/>
              <w:spacing w:line="240" w:lineRule="auto"/>
              <w:ind w:firstLine="0"/>
              <w:rPr>
                <w:rFonts w:hint="default" w:eastAsia="宋体"/>
                <w:sz w:val="21"/>
                <w:szCs w:val="21"/>
                <w:u w:val="single"/>
                <w:lang w:val="en-US" w:eastAsia="zh-CN"/>
              </w:rPr>
            </w:pPr>
            <w:r>
              <w:rPr>
                <w:rFonts w:hint="eastAsia"/>
                <w:sz w:val="21"/>
                <w:szCs w:val="21"/>
                <w:u w:val="single"/>
                <w:lang w:val="en-US" w:eastAsia="zh-CN"/>
              </w:rPr>
              <w:t>136.822</w:t>
            </w:r>
          </w:p>
        </w:tc>
        <w:tc>
          <w:tcPr>
            <w:tcW w:w="1218" w:type="dxa"/>
            <w:tcBorders>
              <w:tl2br w:val="nil"/>
              <w:tr2bl w:val="nil"/>
            </w:tcBorders>
            <w:vAlign w:val="center"/>
          </w:tcPr>
          <w:p w14:paraId="6995A1B5">
            <w:pPr>
              <w:pStyle w:val="64"/>
              <w:spacing w:line="240" w:lineRule="auto"/>
              <w:ind w:firstLine="0"/>
              <w:rPr>
                <w:sz w:val="21"/>
                <w:szCs w:val="21"/>
                <w:u w:val="single"/>
              </w:rPr>
            </w:pPr>
            <w:r>
              <w:rPr>
                <w:rFonts w:hint="eastAsia"/>
                <w:sz w:val="21"/>
                <w:szCs w:val="21"/>
                <w:u w:val="single"/>
              </w:rPr>
              <w:t>35.42</w:t>
            </w:r>
          </w:p>
        </w:tc>
        <w:tc>
          <w:tcPr>
            <w:tcW w:w="1218" w:type="dxa"/>
            <w:tcBorders>
              <w:tl2br w:val="nil"/>
              <w:tr2bl w:val="nil"/>
            </w:tcBorders>
            <w:vAlign w:val="center"/>
          </w:tcPr>
          <w:p w14:paraId="79B1EA77">
            <w:pPr>
              <w:pStyle w:val="64"/>
              <w:spacing w:line="240" w:lineRule="auto"/>
              <w:ind w:firstLine="0" w:firstLineChars="0"/>
              <w:rPr>
                <w:sz w:val="21"/>
                <w:szCs w:val="21"/>
                <w:u w:val="single"/>
              </w:rPr>
            </w:pPr>
            <w:r>
              <w:rPr>
                <w:rFonts w:hint="eastAsia"/>
                <w:sz w:val="21"/>
                <w:szCs w:val="21"/>
                <w:u w:val="single"/>
                <w:lang w:val="en-US" w:eastAsia="zh-CN"/>
              </w:rPr>
              <w:t>136.822</w:t>
            </w:r>
          </w:p>
        </w:tc>
        <w:tc>
          <w:tcPr>
            <w:tcW w:w="1218" w:type="dxa"/>
            <w:tcBorders>
              <w:tl2br w:val="nil"/>
              <w:tr2bl w:val="nil"/>
            </w:tcBorders>
            <w:vAlign w:val="center"/>
          </w:tcPr>
          <w:p w14:paraId="26C1B7D6">
            <w:pPr>
              <w:pStyle w:val="64"/>
              <w:spacing w:line="240" w:lineRule="auto"/>
              <w:ind w:firstLine="0"/>
              <w:rPr>
                <w:sz w:val="21"/>
                <w:szCs w:val="21"/>
                <w:u w:val="single"/>
              </w:rPr>
            </w:pPr>
            <w:r>
              <w:rPr>
                <w:rFonts w:hint="eastAsia"/>
                <w:sz w:val="21"/>
                <w:szCs w:val="21"/>
                <w:u w:val="single"/>
              </w:rPr>
              <w:t>+101.402</w:t>
            </w:r>
          </w:p>
        </w:tc>
      </w:tr>
      <w:tr w14:paraId="4B527B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EC2CA8E">
            <w:pPr>
              <w:pStyle w:val="64"/>
              <w:spacing w:line="240" w:lineRule="auto"/>
              <w:ind w:firstLine="0"/>
              <w:rPr>
                <w:color w:val="FF0000"/>
                <w:sz w:val="21"/>
                <w:szCs w:val="21"/>
                <w:u w:val="single"/>
              </w:rPr>
            </w:pPr>
          </w:p>
        </w:tc>
        <w:tc>
          <w:tcPr>
            <w:tcW w:w="1735" w:type="dxa"/>
            <w:tcBorders>
              <w:tl2br w:val="nil"/>
              <w:tr2bl w:val="nil"/>
            </w:tcBorders>
            <w:vAlign w:val="center"/>
          </w:tcPr>
          <w:p w14:paraId="5497D6A8">
            <w:pPr>
              <w:pStyle w:val="64"/>
              <w:spacing w:line="240" w:lineRule="auto"/>
              <w:ind w:firstLine="0"/>
              <w:rPr>
                <w:sz w:val="21"/>
                <w:szCs w:val="21"/>
                <w:u w:val="single"/>
              </w:rPr>
            </w:pPr>
            <w:r>
              <w:rPr>
                <w:rFonts w:hint="eastAsia"/>
                <w:sz w:val="21"/>
                <w:szCs w:val="21"/>
                <w:u w:val="single"/>
              </w:rPr>
              <w:t>颗粒物</w:t>
            </w:r>
          </w:p>
        </w:tc>
        <w:tc>
          <w:tcPr>
            <w:tcW w:w="1217" w:type="dxa"/>
            <w:tcBorders>
              <w:tl2br w:val="nil"/>
              <w:tr2bl w:val="nil"/>
            </w:tcBorders>
            <w:vAlign w:val="center"/>
          </w:tcPr>
          <w:p w14:paraId="3E2BD9B8">
            <w:pPr>
              <w:pStyle w:val="64"/>
              <w:spacing w:line="240" w:lineRule="auto"/>
              <w:ind w:firstLine="0"/>
              <w:rPr>
                <w:sz w:val="21"/>
                <w:szCs w:val="21"/>
                <w:u w:val="single"/>
              </w:rPr>
            </w:pPr>
            <w:r>
              <w:rPr>
                <w:rFonts w:hint="eastAsia"/>
                <w:sz w:val="21"/>
                <w:szCs w:val="21"/>
                <w:u w:val="single"/>
              </w:rPr>
              <w:t>0.21</w:t>
            </w:r>
          </w:p>
        </w:tc>
        <w:tc>
          <w:tcPr>
            <w:tcW w:w="1217" w:type="dxa"/>
            <w:tcBorders>
              <w:tl2br w:val="nil"/>
              <w:tr2bl w:val="nil"/>
            </w:tcBorders>
            <w:vAlign w:val="center"/>
          </w:tcPr>
          <w:p w14:paraId="24ADCDF9">
            <w:pPr>
              <w:pStyle w:val="64"/>
              <w:spacing w:line="240" w:lineRule="auto"/>
              <w:ind w:firstLine="0"/>
              <w:rPr>
                <w:sz w:val="21"/>
                <w:szCs w:val="21"/>
                <w:u w:val="single"/>
              </w:rPr>
            </w:pPr>
            <w:r>
              <w:rPr>
                <w:rFonts w:hint="eastAsia"/>
                <w:sz w:val="21"/>
                <w:szCs w:val="21"/>
                <w:u w:val="single"/>
              </w:rPr>
              <w:t>0.315</w:t>
            </w:r>
          </w:p>
        </w:tc>
        <w:tc>
          <w:tcPr>
            <w:tcW w:w="1218" w:type="dxa"/>
            <w:tcBorders>
              <w:tl2br w:val="nil"/>
              <w:tr2bl w:val="nil"/>
            </w:tcBorders>
            <w:vAlign w:val="center"/>
          </w:tcPr>
          <w:p w14:paraId="4B10086B">
            <w:pPr>
              <w:pStyle w:val="64"/>
              <w:spacing w:line="240" w:lineRule="auto"/>
              <w:ind w:firstLine="0"/>
              <w:rPr>
                <w:sz w:val="21"/>
                <w:szCs w:val="21"/>
                <w:u w:val="single"/>
              </w:rPr>
            </w:pPr>
            <w:r>
              <w:rPr>
                <w:rFonts w:hint="eastAsia"/>
                <w:sz w:val="21"/>
                <w:szCs w:val="21"/>
                <w:u w:val="single"/>
              </w:rPr>
              <w:t>0.21</w:t>
            </w:r>
          </w:p>
        </w:tc>
        <w:tc>
          <w:tcPr>
            <w:tcW w:w="1218" w:type="dxa"/>
            <w:tcBorders>
              <w:tl2br w:val="nil"/>
              <w:tr2bl w:val="nil"/>
            </w:tcBorders>
            <w:vAlign w:val="center"/>
          </w:tcPr>
          <w:p w14:paraId="4C5D5EE4">
            <w:pPr>
              <w:pStyle w:val="64"/>
              <w:spacing w:line="240" w:lineRule="auto"/>
              <w:ind w:firstLine="0"/>
              <w:rPr>
                <w:sz w:val="21"/>
                <w:szCs w:val="21"/>
                <w:u w:val="single"/>
              </w:rPr>
            </w:pPr>
            <w:r>
              <w:rPr>
                <w:rFonts w:hint="eastAsia"/>
                <w:sz w:val="21"/>
                <w:szCs w:val="21"/>
                <w:u w:val="single"/>
              </w:rPr>
              <w:t>0.315</w:t>
            </w:r>
          </w:p>
        </w:tc>
        <w:tc>
          <w:tcPr>
            <w:tcW w:w="1218" w:type="dxa"/>
            <w:tcBorders>
              <w:tl2br w:val="nil"/>
              <w:tr2bl w:val="nil"/>
            </w:tcBorders>
            <w:vAlign w:val="center"/>
          </w:tcPr>
          <w:p w14:paraId="36FB955A">
            <w:pPr>
              <w:pStyle w:val="64"/>
              <w:spacing w:line="240" w:lineRule="auto"/>
              <w:ind w:firstLine="0"/>
              <w:rPr>
                <w:sz w:val="21"/>
                <w:szCs w:val="21"/>
                <w:u w:val="single"/>
              </w:rPr>
            </w:pPr>
            <w:r>
              <w:rPr>
                <w:rFonts w:hint="eastAsia"/>
                <w:sz w:val="21"/>
                <w:szCs w:val="21"/>
                <w:u w:val="single"/>
              </w:rPr>
              <w:t>+</w:t>
            </w:r>
            <w:r>
              <w:rPr>
                <w:sz w:val="21"/>
                <w:szCs w:val="21"/>
                <w:u w:val="single"/>
              </w:rPr>
              <w:t>0.105</w:t>
            </w:r>
          </w:p>
        </w:tc>
      </w:tr>
      <w:tr w14:paraId="088C1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6A071468">
            <w:pPr>
              <w:pStyle w:val="64"/>
              <w:spacing w:line="240" w:lineRule="auto"/>
              <w:ind w:firstLine="0"/>
              <w:rPr>
                <w:color w:val="FF0000"/>
                <w:sz w:val="21"/>
                <w:szCs w:val="21"/>
                <w:u w:val="single"/>
              </w:rPr>
            </w:pPr>
          </w:p>
        </w:tc>
        <w:tc>
          <w:tcPr>
            <w:tcW w:w="1735" w:type="dxa"/>
            <w:tcBorders>
              <w:tl2br w:val="nil"/>
              <w:tr2bl w:val="nil"/>
            </w:tcBorders>
            <w:vAlign w:val="center"/>
          </w:tcPr>
          <w:p w14:paraId="4D824796">
            <w:pPr>
              <w:pStyle w:val="64"/>
              <w:spacing w:line="240" w:lineRule="auto"/>
              <w:ind w:firstLine="0"/>
              <w:rPr>
                <w:sz w:val="21"/>
                <w:szCs w:val="21"/>
                <w:u w:val="single"/>
              </w:rPr>
            </w:pPr>
            <w:r>
              <w:rPr>
                <w:rFonts w:hint="eastAsia"/>
                <w:sz w:val="21"/>
                <w:szCs w:val="21"/>
                <w:u w:val="single"/>
              </w:rPr>
              <w:t>SO</w:t>
            </w:r>
            <w:r>
              <w:rPr>
                <w:rFonts w:hint="eastAsia"/>
                <w:sz w:val="21"/>
                <w:szCs w:val="21"/>
                <w:u w:val="single"/>
                <w:vertAlign w:val="subscript"/>
              </w:rPr>
              <w:t>2</w:t>
            </w:r>
          </w:p>
        </w:tc>
        <w:tc>
          <w:tcPr>
            <w:tcW w:w="1217" w:type="dxa"/>
            <w:tcBorders>
              <w:tl2br w:val="nil"/>
              <w:tr2bl w:val="nil"/>
            </w:tcBorders>
            <w:vAlign w:val="center"/>
          </w:tcPr>
          <w:p w14:paraId="15402A5B">
            <w:pPr>
              <w:pStyle w:val="64"/>
              <w:spacing w:line="240" w:lineRule="auto"/>
              <w:ind w:firstLine="0"/>
              <w:rPr>
                <w:sz w:val="21"/>
                <w:szCs w:val="21"/>
                <w:u w:val="single"/>
              </w:rPr>
            </w:pPr>
            <w:r>
              <w:rPr>
                <w:rFonts w:hint="eastAsia"/>
                <w:sz w:val="21"/>
                <w:szCs w:val="21"/>
                <w:u w:val="single"/>
              </w:rPr>
              <w:t>0.15</w:t>
            </w:r>
          </w:p>
        </w:tc>
        <w:tc>
          <w:tcPr>
            <w:tcW w:w="1217" w:type="dxa"/>
            <w:tcBorders>
              <w:tl2br w:val="nil"/>
              <w:tr2bl w:val="nil"/>
            </w:tcBorders>
            <w:vAlign w:val="center"/>
          </w:tcPr>
          <w:p w14:paraId="6F491B52">
            <w:pPr>
              <w:pStyle w:val="64"/>
              <w:spacing w:line="240" w:lineRule="auto"/>
              <w:ind w:firstLine="0"/>
              <w:rPr>
                <w:sz w:val="21"/>
                <w:szCs w:val="21"/>
                <w:u w:val="single"/>
              </w:rPr>
            </w:pPr>
            <w:r>
              <w:rPr>
                <w:rFonts w:hint="eastAsia"/>
                <w:sz w:val="21"/>
                <w:szCs w:val="21"/>
                <w:u w:val="single"/>
              </w:rPr>
              <w:t>0.</w:t>
            </w:r>
            <w:r>
              <w:rPr>
                <w:rFonts w:hint="eastAsia"/>
                <w:sz w:val="21"/>
                <w:szCs w:val="21"/>
                <w:u w:val="single"/>
                <w:lang w:val="en-US" w:eastAsia="zh-CN"/>
              </w:rPr>
              <w:t>044</w:t>
            </w:r>
          </w:p>
        </w:tc>
        <w:tc>
          <w:tcPr>
            <w:tcW w:w="1218" w:type="dxa"/>
            <w:tcBorders>
              <w:tl2br w:val="nil"/>
              <w:tr2bl w:val="nil"/>
            </w:tcBorders>
            <w:vAlign w:val="center"/>
          </w:tcPr>
          <w:p w14:paraId="56195E44">
            <w:pPr>
              <w:pStyle w:val="64"/>
              <w:spacing w:line="240" w:lineRule="auto"/>
              <w:ind w:firstLine="0"/>
              <w:rPr>
                <w:sz w:val="21"/>
                <w:szCs w:val="21"/>
                <w:u w:val="single"/>
              </w:rPr>
            </w:pPr>
            <w:r>
              <w:rPr>
                <w:rFonts w:hint="eastAsia"/>
                <w:sz w:val="21"/>
                <w:szCs w:val="21"/>
                <w:u w:val="single"/>
              </w:rPr>
              <w:t>0.15</w:t>
            </w:r>
          </w:p>
        </w:tc>
        <w:tc>
          <w:tcPr>
            <w:tcW w:w="1218" w:type="dxa"/>
            <w:tcBorders>
              <w:tl2br w:val="nil"/>
              <w:tr2bl w:val="nil"/>
            </w:tcBorders>
            <w:vAlign w:val="center"/>
          </w:tcPr>
          <w:p w14:paraId="060133BA">
            <w:pPr>
              <w:pStyle w:val="64"/>
              <w:spacing w:line="240" w:lineRule="auto"/>
              <w:ind w:firstLine="0"/>
              <w:rPr>
                <w:sz w:val="21"/>
                <w:szCs w:val="21"/>
                <w:u w:val="single"/>
              </w:rPr>
            </w:pPr>
            <w:r>
              <w:rPr>
                <w:rFonts w:hint="eastAsia"/>
                <w:sz w:val="21"/>
                <w:szCs w:val="21"/>
                <w:u w:val="single"/>
              </w:rPr>
              <w:t>0.</w:t>
            </w:r>
            <w:r>
              <w:rPr>
                <w:rFonts w:hint="eastAsia"/>
                <w:sz w:val="21"/>
                <w:szCs w:val="21"/>
                <w:u w:val="single"/>
                <w:lang w:val="en-US" w:eastAsia="zh-CN"/>
              </w:rPr>
              <w:t>044</w:t>
            </w:r>
          </w:p>
        </w:tc>
        <w:tc>
          <w:tcPr>
            <w:tcW w:w="1218" w:type="dxa"/>
            <w:tcBorders>
              <w:tl2br w:val="nil"/>
              <w:tr2bl w:val="nil"/>
            </w:tcBorders>
            <w:vAlign w:val="center"/>
          </w:tcPr>
          <w:p w14:paraId="6E6E6085">
            <w:pPr>
              <w:pStyle w:val="64"/>
              <w:spacing w:line="240" w:lineRule="auto"/>
              <w:ind w:firstLine="0"/>
              <w:rPr>
                <w:rFonts w:hint="eastAsia" w:eastAsia="宋体"/>
                <w:sz w:val="21"/>
                <w:szCs w:val="21"/>
                <w:u w:val="single"/>
                <w:lang w:val="en-US" w:eastAsia="zh-CN"/>
              </w:rPr>
            </w:pPr>
            <w:r>
              <w:rPr>
                <w:rFonts w:hint="eastAsia"/>
                <w:sz w:val="21"/>
                <w:szCs w:val="21"/>
                <w:u w:val="single"/>
              </w:rPr>
              <w:t>-0.106</w:t>
            </w:r>
            <w:r>
              <w:rPr>
                <w:rFonts w:hint="eastAsia"/>
                <w:sz w:val="21"/>
                <w:szCs w:val="21"/>
                <w:u w:val="single"/>
                <w:lang w:val="en-US" w:eastAsia="zh-CN"/>
              </w:rPr>
              <w:t>*</w:t>
            </w:r>
          </w:p>
        </w:tc>
      </w:tr>
      <w:tr w14:paraId="5FAF0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EF28617">
            <w:pPr>
              <w:pStyle w:val="64"/>
              <w:spacing w:line="240" w:lineRule="auto"/>
              <w:ind w:firstLine="0"/>
              <w:rPr>
                <w:color w:val="FF0000"/>
                <w:sz w:val="21"/>
                <w:szCs w:val="21"/>
                <w:u w:val="single"/>
              </w:rPr>
            </w:pPr>
          </w:p>
        </w:tc>
        <w:tc>
          <w:tcPr>
            <w:tcW w:w="1735" w:type="dxa"/>
            <w:tcBorders>
              <w:tl2br w:val="nil"/>
              <w:tr2bl w:val="nil"/>
            </w:tcBorders>
            <w:vAlign w:val="center"/>
          </w:tcPr>
          <w:p w14:paraId="36B79715">
            <w:pPr>
              <w:pStyle w:val="64"/>
              <w:spacing w:line="240" w:lineRule="auto"/>
              <w:ind w:firstLine="0"/>
              <w:rPr>
                <w:sz w:val="21"/>
                <w:szCs w:val="21"/>
                <w:u w:val="single"/>
              </w:rPr>
            </w:pPr>
            <w:r>
              <w:rPr>
                <w:rFonts w:hint="eastAsia"/>
                <w:sz w:val="21"/>
                <w:szCs w:val="21"/>
                <w:u w:val="single"/>
              </w:rPr>
              <w:t>NO</w:t>
            </w:r>
            <w:r>
              <w:rPr>
                <w:rFonts w:hint="eastAsia"/>
                <w:sz w:val="21"/>
                <w:szCs w:val="21"/>
                <w:u w:val="single"/>
                <w:vertAlign w:val="subscript"/>
              </w:rPr>
              <w:t>x</w:t>
            </w:r>
          </w:p>
        </w:tc>
        <w:tc>
          <w:tcPr>
            <w:tcW w:w="1217" w:type="dxa"/>
            <w:tcBorders>
              <w:tl2br w:val="nil"/>
              <w:tr2bl w:val="nil"/>
            </w:tcBorders>
            <w:vAlign w:val="center"/>
          </w:tcPr>
          <w:p w14:paraId="1EAD0C41">
            <w:pPr>
              <w:pStyle w:val="64"/>
              <w:spacing w:line="240" w:lineRule="auto"/>
              <w:ind w:firstLine="0"/>
              <w:rPr>
                <w:sz w:val="21"/>
                <w:szCs w:val="21"/>
                <w:u w:val="single"/>
              </w:rPr>
            </w:pPr>
            <w:r>
              <w:rPr>
                <w:rFonts w:hint="eastAsia"/>
                <w:sz w:val="21"/>
                <w:szCs w:val="21"/>
                <w:u w:val="single"/>
              </w:rPr>
              <w:t>1.09</w:t>
            </w:r>
          </w:p>
        </w:tc>
        <w:tc>
          <w:tcPr>
            <w:tcW w:w="1217" w:type="dxa"/>
            <w:tcBorders>
              <w:tl2br w:val="nil"/>
              <w:tr2bl w:val="nil"/>
            </w:tcBorders>
            <w:vAlign w:val="center"/>
          </w:tcPr>
          <w:p w14:paraId="669725D1">
            <w:pPr>
              <w:pStyle w:val="64"/>
              <w:spacing w:line="240" w:lineRule="auto"/>
              <w:ind w:firstLine="0"/>
              <w:rPr>
                <w:sz w:val="21"/>
                <w:szCs w:val="21"/>
                <w:u w:val="single"/>
              </w:rPr>
            </w:pPr>
            <w:r>
              <w:rPr>
                <w:rFonts w:hint="eastAsia"/>
                <w:sz w:val="21"/>
                <w:szCs w:val="21"/>
                <w:u w:val="single"/>
              </w:rPr>
              <w:t>1.03</w:t>
            </w:r>
          </w:p>
        </w:tc>
        <w:tc>
          <w:tcPr>
            <w:tcW w:w="1218" w:type="dxa"/>
            <w:tcBorders>
              <w:tl2br w:val="nil"/>
              <w:tr2bl w:val="nil"/>
            </w:tcBorders>
            <w:vAlign w:val="center"/>
          </w:tcPr>
          <w:p w14:paraId="3D3656D3">
            <w:pPr>
              <w:pStyle w:val="64"/>
              <w:spacing w:line="240" w:lineRule="auto"/>
              <w:ind w:firstLine="0"/>
              <w:rPr>
                <w:sz w:val="21"/>
                <w:szCs w:val="21"/>
                <w:u w:val="single"/>
              </w:rPr>
            </w:pPr>
            <w:r>
              <w:rPr>
                <w:rFonts w:hint="eastAsia"/>
                <w:sz w:val="21"/>
                <w:szCs w:val="21"/>
                <w:u w:val="single"/>
              </w:rPr>
              <w:t>1.09</w:t>
            </w:r>
          </w:p>
        </w:tc>
        <w:tc>
          <w:tcPr>
            <w:tcW w:w="1218" w:type="dxa"/>
            <w:tcBorders>
              <w:tl2br w:val="nil"/>
              <w:tr2bl w:val="nil"/>
            </w:tcBorders>
            <w:vAlign w:val="center"/>
          </w:tcPr>
          <w:p w14:paraId="65BCB17F">
            <w:pPr>
              <w:pStyle w:val="64"/>
              <w:spacing w:line="240" w:lineRule="auto"/>
              <w:ind w:firstLine="0"/>
              <w:rPr>
                <w:sz w:val="21"/>
                <w:szCs w:val="21"/>
                <w:u w:val="single"/>
              </w:rPr>
            </w:pPr>
            <w:r>
              <w:rPr>
                <w:rFonts w:hint="eastAsia"/>
                <w:sz w:val="21"/>
                <w:szCs w:val="21"/>
                <w:u w:val="single"/>
              </w:rPr>
              <w:t>1.03</w:t>
            </w:r>
          </w:p>
        </w:tc>
        <w:tc>
          <w:tcPr>
            <w:tcW w:w="1218" w:type="dxa"/>
            <w:tcBorders>
              <w:tl2br w:val="nil"/>
              <w:tr2bl w:val="nil"/>
            </w:tcBorders>
            <w:vAlign w:val="center"/>
          </w:tcPr>
          <w:p w14:paraId="1F353E12">
            <w:pPr>
              <w:pStyle w:val="64"/>
              <w:spacing w:line="240" w:lineRule="auto"/>
              <w:ind w:firstLine="0"/>
              <w:rPr>
                <w:sz w:val="21"/>
                <w:szCs w:val="21"/>
                <w:u w:val="single"/>
              </w:rPr>
            </w:pPr>
            <w:r>
              <w:rPr>
                <w:sz w:val="21"/>
                <w:szCs w:val="21"/>
                <w:u w:val="single"/>
              </w:rPr>
              <w:t>-0.06</w:t>
            </w:r>
          </w:p>
        </w:tc>
      </w:tr>
      <w:tr w14:paraId="1A85D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7B310904">
            <w:pPr>
              <w:pStyle w:val="64"/>
              <w:spacing w:line="240" w:lineRule="auto"/>
              <w:ind w:firstLine="0"/>
              <w:rPr>
                <w:sz w:val="21"/>
                <w:szCs w:val="21"/>
                <w:u w:val="single"/>
              </w:rPr>
            </w:pPr>
            <w:r>
              <w:rPr>
                <w:rFonts w:hint="eastAsia"/>
                <w:sz w:val="21"/>
                <w:szCs w:val="21"/>
                <w:u w:val="single"/>
              </w:rPr>
              <w:t>废水（生活污水）</w:t>
            </w:r>
          </w:p>
        </w:tc>
        <w:tc>
          <w:tcPr>
            <w:tcW w:w="1735" w:type="dxa"/>
            <w:tcBorders>
              <w:tl2br w:val="nil"/>
              <w:tr2bl w:val="nil"/>
            </w:tcBorders>
            <w:vAlign w:val="center"/>
          </w:tcPr>
          <w:p w14:paraId="481248EE">
            <w:pPr>
              <w:pStyle w:val="64"/>
              <w:spacing w:line="240" w:lineRule="auto"/>
              <w:ind w:firstLine="0"/>
              <w:rPr>
                <w:sz w:val="21"/>
                <w:szCs w:val="21"/>
                <w:u w:val="single"/>
              </w:rPr>
            </w:pPr>
            <w:r>
              <w:rPr>
                <w:rFonts w:hint="eastAsia"/>
                <w:sz w:val="21"/>
                <w:szCs w:val="21"/>
                <w:u w:val="single"/>
              </w:rPr>
              <w:t>废水量</w:t>
            </w:r>
          </w:p>
        </w:tc>
        <w:tc>
          <w:tcPr>
            <w:tcW w:w="1217" w:type="dxa"/>
            <w:tcBorders>
              <w:tl2br w:val="nil"/>
              <w:tr2bl w:val="nil"/>
            </w:tcBorders>
            <w:vAlign w:val="center"/>
          </w:tcPr>
          <w:p w14:paraId="7B6E43BA">
            <w:pPr>
              <w:pStyle w:val="64"/>
              <w:spacing w:line="240" w:lineRule="auto"/>
              <w:ind w:firstLine="0"/>
              <w:rPr>
                <w:sz w:val="21"/>
                <w:szCs w:val="21"/>
                <w:u w:val="single"/>
              </w:rPr>
            </w:pPr>
            <w:r>
              <w:rPr>
                <w:rFonts w:hint="eastAsia"/>
                <w:sz w:val="21"/>
                <w:szCs w:val="21"/>
                <w:u w:val="single"/>
              </w:rPr>
              <w:t>10366.4</w:t>
            </w:r>
          </w:p>
        </w:tc>
        <w:tc>
          <w:tcPr>
            <w:tcW w:w="1217" w:type="dxa"/>
            <w:tcBorders>
              <w:tl2br w:val="nil"/>
              <w:tr2bl w:val="nil"/>
            </w:tcBorders>
            <w:vAlign w:val="center"/>
          </w:tcPr>
          <w:p w14:paraId="04F32A73">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22C2F16">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B7ABF5A">
            <w:pPr>
              <w:pStyle w:val="64"/>
              <w:spacing w:line="240" w:lineRule="auto"/>
              <w:ind w:firstLine="0"/>
              <w:rPr>
                <w:sz w:val="21"/>
                <w:szCs w:val="21"/>
                <w:u w:val="single"/>
              </w:rPr>
            </w:pPr>
            <w:r>
              <w:rPr>
                <w:rFonts w:hint="eastAsia"/>
                <w:sz w:val="21"/>
                <w:szCs w:val="21"/>
                <w:u w:val="single"/>
              </w:rPr>
              <w:t>10366.4</w:t>
            </w:r>
          </w:p>
        </w:tc>
        <w:tc>
          <w:tcPr>
            <w:tcW w:w="1218" w:type="dxa"/>
            <w:tcBorders>
              <w:tl2br w:val="nil"/>
              <w:tr2bl w:val="nil"/>
            </w:tcBorders>
            <w:vAlign w:val="center"/>
          </w:tcPr>
          <w:p w14:paraId="69F1A9A3">
            <w:pPr>
              <w:pStyle w:val="64"/>
              <w:spacing w:line="240" w:lineRule="auto"/>
              <w:ind w:firstLine="0"/>
              <w:rPr>
                <w:sz w:val="21"/>
                <w:szCs w:val="21"/>
                <w:u w:val="single"/>
              </w:rPr>
            </w:pPr>
            <w:r>
              <w:rPr>
                <w:rFonts w:hint="eastAsia"/>
                <w:sz w:val="21"/>
                <w:szCs w:val="21"/>
                <w:u w:val="single"/>
              </w:rPr>
              <w:t>0</w:t>
            </w:r>
          </w:p>
        </w:tc>
      </w:tr>
      <w:tr w14:paraId="7EE81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2F5A4240">
            <w:pPr>
              <w:pStyle w:val="64"/>
              <w:spacing w:line="240" w:lineRule="auto"/>
              <w:ind w:firstLine="0"/>
              <w:rPr>
                <w:sz w:val="21"/>
                <w:szCs w:val="21"/>
                <w:u w:val="single"/>
              </w:rPr>
            </w:pPr>
          </w:p>
        </w:tc>
        <w:tc>
          <w:tcPr>
            <w:tcW w:w="1735" w:type="dxa"/>
            <w:tcBorders>
              <w:tl2br w:val="nil"/>
              <w:tr2bl w:val="nil"/>
            </w:tcBorders>
            <w:vAlign w:val="center"/>
          </w:tcPr>
          <w:p w14:paraId="3956348A">
            <w:pPr>
              <w:pStyle w:val="64"/>
              <w:spacing w:line="240" w:lineRule="auto"/>
              <w:ind w:firstLine="0"/>
              <w:rPr>
                <w:sz w:val="21"/>
                <w:szCs w:val="21"/>
                <w:u w:val="single"/>
              </w:rPr>
            </w:pPr>
            <w:r>
              <w:rPr>
                <w:rFonts w:hint="eastAsia"/>
                <w:sz w:val="21"/>
                <w:szCs w:val="21"/>
                <w:u w:val="single"/>
              </w:rPr>
              <w:t>COD</w:t>
            </w:r>
          </w:p>
        </w:tc>
        <w:tc>
          <w:tcPr>
            <w:tcW w:w="1217" w:type="dxa"/>
            <w:tcBorders>
              <w:tl2br w:val="nil"/>
              <w:tr2bl w:val="nil"/>
            </w:tcBorders>
            <w:vAlign w:val="center"/>
          </w:tcPr>
          <w:p w14:paraId="2DB85A8A">
            <w:pPr>
              <w:pStyle w:val="64"/>
              <w:spacing w:line="240" w:lineRule="auto"/>
              <w:ind w:firstLine="0"/>
              <w:rPr>
                <w:sz w:val="21"/>
                <w:szCs w:val="21"/>
                <w:u w:val="single"/>
              </w:rPr>
            </w:pPr>
            <w:r>
              <w:rPr>
                <w:rFonts w:hint="eastAsia"/>
                <w:sz w:val="21"/>
                <w:szCs w:val="21"/>
                <w:u w:val="single"/>
              </w:rPr>
              <w:t>0.52</w:t>
            </w:r>
          </w:p>
        </w:tc>
        <w:tc>
          <w:tcPr>
            <w:tcW w:w="1217" w:type="dxa"/>
            <w:tcBorders>
              <w:tl2br w:val="nil"/>
              <w:tr2bl w:val="nil"/>
            </w:tcBorders>
            <w:vAlign w:val="center"/>
          </w:tcPr>
          <w:p w14:paraId="30465053">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3458CD41">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EE97F06">
            <w:pPr>
              <w:pStyle w:val="64"/>
              <w:spacing w:line="240" w:lineRule="auto"/>
              <w:ind w:firstLine="0"/>
              <w:rPr>
                <w:sz w:val="21"/>
                <w:szCs w:val="21"/>
                <w:u w:val="single"/>
              </w:rPr>
            </w:pPr>
            <w:r>
              <w:rPr>
                <w:rFonts w:hint="eastAsia"/>
                <w:sz w:val="21"/>
                <w:szCs w:val="21"/>
                <w:u w:val="single"/>
              </w:rPr>
              <w:t>0.52</w:t>
            </w:r>
          </w:p>
        </w:tc>
        <w:tc>
          <w:tcPr>
            <w:tcW w:w="1218" w:type="dxa"/>
            <w:tcBorders>
              <w:tl2br w:val="nil"/>
              <w:tr2bl w:val="nil"/>
            </w:tcBorders>
            <w:vAlign w:val="center"/>
          </w:tcPr>
          <w:p w14:paraId="303BD3DC">
            <w:pPr>
              <w:pStyle w:val="64"/>
              <w:spacing w:line="240" w:lineRule="auto"/>
              <w:ind w:firstLine="0"/>
              <w:rPr>
                <w:sz w:val="21"/>
                <w:szCs w:val="21"/>
                <w:u w:val="single"/>
              </w:rPr>
            </w:pPr>
            <w:r>
              <w:rPr>
                <w:rFonts w:hint="eastAsia"/>
                <w:sz w:val="21"/>
                <w:szCs w:val="21"/>
                <w:u w:val="single"/>
              </w:rPr>
              <w:t>0</w:t>
            </w:r>
          </w:p>
        </w:tc>
      </w:tr>
      <w:tr w14:paraId="173AF1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B21C98E">
            <w:pPr>
              <w:pStyle w:val="64"/>
              <w:spacing w:line="240" w:lineRule="auto"/>
              <w:ind w:firstLine="0"/>
              <w:rPr>
                <w:sz w:val="21"/>
                <w:szCs w:val="21"/>
                <w:u w:val="single"/>
              </w:rPr>
            </w:pPr>
          </w:p>
        </w:tc>
        <w:tc>
          <w:tcPr>
            <w:tcW w:w="1735" w:type="dxa"/>
            <w:tcBorders>
              <w:tl2br w:val="nil"/>
              <w:tr2bl w:val="nil"/>
            </w:tcBorders>
            <w:vAlign w:val="center"/>
          </w:tcPr>
          <w:p w14:paraId="5AF93967">
            <w:pPr>
              <w:pStyle w:val="64"/>
              <w:spacing w:line="240" w:lineRule="auto"/>
              <w:ind w:firstLine="0"/>
              <w:rPr>
                <w:sz w:val="21"/>
                <w:szCs w:val="21"/>
                <w:u w:val="single"/>
              </w:rPr>
            </w:pPr>
            <w:r>
              <w:rPr>
                <w:rFonts w:hint="eastAsia"/>
                <w:sz w:val="21"/>
                <w:szCs w:val="21"/>
                <w:u w:val="single"/>
              </w:rPr>
              <w:t>NH</w:t>
            </w:r>
            <w:r>
              <w:rPr>
                <w:rFonts w:hint="eastAsia"/>
                <w:sz w:val="21"/>
                <w:szCs w:val="21"/>
                <w:u w:val="single"/>
                <w:vertAlign w:val="subscript"/>
              </w:rPr>
              <w:t>3</w:t>
            </w:r>
            <w:r>
              <w:rPr>
                <w:rFonts w:hint="eastAsia"/>
                <w:sz w:val="21"/>
                <w:szCs w:val="21"/>
                <w:u w:val="single"/>
              </w:rPr>
              <w:t>-N</w:t>
            </w:r>
          </w:p>
        </w:tc>
        <w:tc>
          <w:tcPr>
            <w:tcW w:w="1217" w:type="dxa"/>
            <w:tcBorders>
              <w:tl2br w:val="nil"/>
              <w:tr2bl w:val="nil"/>
            </w:tcBorders>
            <w:vAlign w:val="center"/>
          </w:tcPr>
          <w:p w14:paraId="37A71367">
            <w:pPr>
              <w:pStyle w:val="64"/>
              <w:spacing w:line="240" w:lineRule="auto"/>
              <w:ind w:firstLine="0"/>
              <w:rPr>
                <w:sz w:val="21"/>
                <w:szCs w:val="21"/>
                <w:u w:val="single"/>
              </w:rPr>
            </w:pPr>
            <w:r>
              <w:rPr>
                <w:rFonts w:hint="eastAsia"/>
                <w:sz w:val="21"/>
                <w:szCs w:val="21"/>
                <w:u w:val="single"/>
              </w:rPr>
              <w:t>0.05</w:t>
            </w:r>
          </w:p>
        </w:tc>
        <w:tc>
          <w:tcPr>
            <w:tcW w:w="1217" w:type="dxa"/>
            <w:tcBorders>
              <w:tl2br w:val="nil"/>
              <w:tr2bl w:val="nil"/>
            </w:tcBorders>
            <w:vAlign w:val="center"/>
          </w:tcPr>
          <w:p w14:paraId="6597D45E">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F5419BA">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6364252">
            <w:pPr>
              <w:pStyle w:val="64"/>
              <w:spacing w:line="240" w:lineRule="auto"/>
              <w:ind w:firstLine="0"/>
              <w:rPr>
                <w:sz w:val="21"/>
                <w:szCs w:val="21"/>
                <w:u w:val="single"/>
              </w:rPr>
            </w:pPr>
            <w:r>
              <w:rPr>
                <w:rFonts w:hint="eastAsia"/>
                <w:sz w:val="21"/>
                <w:szCs w:val="21"/>
                <w:u w:val="single"/>
              </w:rPr>
              <w:t>0.05</w:t>
            </w:r>
          </w:p>
        </w:tc>
        <w:tc>
          <w:tcPr>
            <w:tcW w:w="1218" w:type="dxa"/>
            <w:tcBorders>
              <w:tl2br w:val="nil"/>
              <w:tr2bl w:val="nil"/>
            </w:tcBorders>
            <w:vAlign w:val="center"/>
          </w:tcPr>
          <w:p w14:paraId="7071C852">
            <w:pPr>
              <w:pStyle w:val="64"/>
              <w:spacing w:line="240" w:lineRule="auto"/>
              <w:ind w:firstLine="0"/>
              <w:rPr>
                <w:sz w:val="21"/>
                <w:szCs w:val="21"/>
                <w:u w:val="single"/>
              </w:rPr>
            </w:pPr>
            <w:r>
              <w:rPr>
                <w:rFonts w:hint="eastAsia"/>
                <w:sz w:val="21"/>
                <w:szCs w:val="21"/>
                <w:u w:val="single"/>
              </w:rPr>
              <w:t>0</w:t>
            </w:r>
          </w:p>
        </w:tc>
      </w:tr>
      <w:tr w14:paraId="609E9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6B7191A7">
            <w:pPr>
              <w:pStyle w:val="64"/>
              <w:spacing w:line="240" w:lineRule="auto"/>
              <w:ind w:firstLine="0"/>
              <w:rPr>
                <w:color w:val="FF0000"/>
                <w:sz w:val="21"/>
                <w:szCs w:val="21"/>
                <w:u w:val="single"/>
              </w:rPr>
            </w:pPr>
            <w:r>
              <w:rPr>
                <w:rFonts w:hint="eastAsia"/>
                <w:sz w:val="21"/>
                <w:szCs w:val="21"/>
                <w:u w:val="single"/>
              </w:rPr>
              <w:t>一般固废</w:t>
            </w:r>
          </w:p>
        </w:tc>
        <w:tc>
          <w:tcPr>
            <w:tcW w:w="1735" w:type="dxa"/>
            <w:tcBorders>
              <w:tl2br w:val="nil"/>
              <w:tr2bl w:val="nil"/>
            </w:tcBorders>
            <w:vAlign w:val="center"/>
          </w:tcPr>
          <w:p w14:paraId="64E476B0">
            <w:pPr>
              <w:pStyle w:val="64"/>
              <w:spacing w:line="240" w:lineRule="auto"/>
              <w:ind w:firstLine="0"/>
              <w:rPr>
                <w:sz w:val="21"/>
                <w:szCs w:val="21"/>
                <w:u w:val="single"/>
              </w:rPr>
            </w:pPr>
            <w:r>
              <w:rPr>
                <w:sz w:val="21"/>
                <w:szCs w:val="21"/>
                <w:u w:val="single"/>
              </w:rPr>
              <w:t>废印刷版</w:t>
            </w:r>
          </w:p>
        </w:tc>
        <w:tc>
          <w:tcPr>
            <w:tcW w:w="1217" w:type="dxa"/>
            <w:tcBorders>
              <w:tl2br w:val="nil"/>
              <w:tr2bl w:val="nil"/>
            </w:tcBorders>
            <w:vAlign w:val="center"/>
          </w:tcPr>
          <w:p w14:paraId="2D113CFA">
            <w:pPr>
              <w:pStyle w:val="64"/>
              <w:spacing w:line="240" w:lineRule="auto"/>
              <w:ind w:firstLine="0"/>
              <w:rPr>
                <w:color w:val="FF0000"/>
                <w:sz w:val="21"/>
                <w:szCs w:val="21"/>
                <w:u w:val="single"/>
              </w:rPr>
            </w:pPr>
            <w:r>
              <w:rPr>
                <w:rFonts w:hint="eastAsia"/>
                <w:sz w:val="21"/>
                <w:szCs w:val="21"/>
                <w:u w:val="single"/>
              </w:rPr>
              <w:t>4677只</w:t>
            </w:r>
          </w:p>
        </w:tc>
        <w:tc>
          <w:tcPr>
            <w:tcW w:w="1217" w:type="dxa"/>
            <w:tcBorders>
              <w:tl2br w:val="nil"/>
              <w:tr2bl w:val="nil"/>
            </w:tcBorders>
            <w:vAlign w:val="center"/>
          </w:tcPr>
          <w:p w14:paraId="167B552E">
            <w:pPr>
              <w:pStyle w:val="64"/>
              <w:spacing w:line="240" w:lineRule="auto"/>
              <w:ind w:firstLine="0"/>
              <w:rPr>
                <w:sz w:val="21"/>
                <w:szCs w:val="21"/>
                <w:u w:val="single"/>
              </w:rPr>
            </w:pPr>
            <w:r>
              <w:rPr>
                <w:rFonts w:hint="eastAsia"/>
                <w:sz w:val="21"/>
                <w:szCs w:val="21"/>
                <w:u w:val="single"/>
              </w:rPr>
              <w:t>2000</w:t>
            </w:r>
          </w:p>
        </w:tc>
        <w:tc>
          <w:tcPr>
            <w:tcW w:w="1218" w:type="dxa"/>
            <w:tcBorders>
              <w:tl2br w:val="nil"/>
              <w:tr2bl w:val="nil"/>
            </w:tcBorders>
            <w:vAlign w:val="center"/>
          </w:tcPr>
          <w:p w14:paraId="4688A889">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69E5772E">
            <w:pPr>
              <w:pStyle w:val="64"/>
              <w:spacing w:line="240" w:lineRule="auto"/>
              <w:ind w:firstLine="0"/>
              <w:rPr>
                <w:color w:val="FF0000"/>
                <w:sz w:val="21"/>
                <w:szCs w:val="21"/>
                <w:u w:val="single"/>
              </w:rPr>
            </w:pPr>
            <w:r>
              <w:rPr>
                <w:rFonts w:hint="eastAsia"/>
                <w:sz w:val="21"/>
                <w:szCs w:val="21"/>
                <w:u w:val="single"/>
              </w:rPr>
              <w:t>6677只</w:t>
            </w:r>
          </w:p>
        </w:tc>
        <w:tc>
          <w:tcPr>
            <w:tcW w:w="1218" w:type="dxa"/>
            <w:tcBorders>
              <w:tl2br w:val="nil"/>
              <w:tr2bl w:val="nil"/>
            </w:tcBorders>
            <w:vAlign w:val="center"/>
          </w:tcPr>
          <w:p w14:paraId="06A5BAFF">
            <w:pPr>
              <w:pStyle w:val="64"/>
              <w:spacing w:line="240" w:lineRule="auto"/>
              <w:ind w:firstLine="0"/>
              <w:rPr>
                <w:sz w:val="21"/>
                <w:szCs w:val="21"/>
                <w:u w:val="single"/>
              </w:rPr>
            </w:pPr>
            <w:r>
              <w:rPr>
                <w:rFonts w:hint="eastAsia"/>
                <w:sz w:val="21"/>
                <w:szCs w:val="21"/>
                <w:u w:val="single"/>
              </w:rPr>
              <w:t>+2000</w:t>
            </w:r>
          </w:p>
        </w:tc>
      </w:tr>
      <w:tr w14:paraId="201CA5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3F73442">
            <w:pPr>
              <w:pStyle w:val="64"/>
              <w:spacing w:line="240" w:lineRule="auto"/>
              <w:ind w:firstLine="0"/>
              <w:rPr>
                <w:color w:val="FF0000"/>
                <w:sz w:val="21"/>
                <w:szCs w:val="21"/>
                <w:u w:val="single"/>
              </w:rPr>
            </w:pPr>
          </w:p>
        </w:tc>
        <w:tc>
          <w:tcPr>
            <w:tcW w:w="1735" w:type="dxa"/>
            <w:tcBorders>
              <w:tl2br w:val="nil"/>
              <w:tr2bl w:val="nil"/>
            </w:tcBorders>
            <w:vAlign w:val="center"/>
          </w:tcPr>
          <w:p w14:paraId="31D2AFA7">
            <w:pPr>
              <w:pStyle w:val="64"/>
              <w:spacing w:line="240" w:lineRule="auto"/>
              <w:ind w:firstLine="0"/>
              <w:rPr>
                <w:sz w:val="21"/>
                <w:szCs w:val="21"/>
                <w:u w:val="single"/>
              </w:rPr>
            </w:pPr>
            <w:r>
              <w:rPr>
                <w:sz w:val="21"/>
                <w:szCs w:val="21"/>
                <w:u w:val="single"/>
              </w:rPr>
              <w:t>废边角料</w:t>
            </w:r>
          </w:p>
        </w:tc>
        <w:tc>
          <w:tcPr>
            <w:tcW w:w="1217" w:type="dxa"/>
            <w:tcBorders>
              <w:tl2br w:val="nil"/>
              <w:tr2bl w:val="nil"/>
            </w:tcBorders>
            <w:vAlign w:val="center"/>
          </w:tcPr>
          <w:p w14:paraId="0F1E1CD7">
            <w:pPr>
              <w:pStyle w:val="64"/>
              <w:spacing w:line="240" w:lineRule="auto"/>
              <w:ind w:firstLine="0"/>
              <w:rPr>
                <w:sz w:val="21"/>
                <w:szCs w:val="21"/>
                <w:u w:val="single"/>
              </w:rPr>
            </w:pPr>
            <w:r>
              <w:rPr>
                <w:rFonts w:hint="eastAsia"/>
                <w:sz w:val="21"/>
                <w:szCs w:val="21"/>
                <w:u w:val="single"/>
              </w:rPr>
              <w:t>312</w:t>
            </w:r>
          </w:p>
        </w:tc>
        <w:tc>
          <w:tcPr>
            <w:tcW w:w="1217" w:type="dxa"/>
            <w:tcBorders>
              <w:tl2br w:val="nil"/>
              <w:tr2bl w:val="nil"/>
            </w:tcBorders>
            <w:vAlign w:val="center"/>
          </w:tcPr>
          <w:p w14:paraId="5DC8DE9C">
            <w:pPr>
              <w:pStyle w:val="64"/>
              <w:spacing w:line="240" w:lineRule="auto"/>
              <w:ind w:firstLine="0"/>
              <w:rPr>
                <w:sz w:val="21"/>
                <w:szCs w:val="21"/>
                <w:u w:val="single"/>
              </w:rPr>
            </w:pPr>
            <w:r>
              <w:rPr>
                <w:rFonts w:hint="eastAsia"/>
                <w:sz w:val="21"/>
                <w:szCs w:val="21"/>
                <w:u w:val="single"/>
              </w:rPr>
              <w:t>288</w:t>
            </w:r>
          </w:p>
        </w:tc>
        <w:tc>
          <w:tcPr>
            <w:tcW w:w="1218" w:type="dxa"/>
            <w:tcBorders>
              <w:tl2br w:val="nil"/>
              <w:tr2bl w:val="nil"/>
            </w:tcBorders>
            <w:vAlign w:val="center"/>
          </w:tcPr>
          <w:p w14:paraId="4D72281F">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8F39E74">
            <w:pPr>
              <w:pStyle w:val="64"/>
              <w:spacing w:line="240" w:lineRule="auto"/>
              <w:ind w:firstLine="0"/>
              <w:rPr>
                <w:sz w:val="21"/>
                <w:szCs w:val="21"/>
                <w:u w:val="single"/>
              </w:rPr>
            </w:pPr>
            <w:r>
              <w:rPr>
                <w:rFonts w:hint="eastAsia"/>
                <w:sz w:val="21"/>
                <w:szCs w:val="21"/>
                <w:u w:val="single"/>
              </w:rPr>
              <w:t>600</w:t>
            </w:r>
          </w:p>
        </w:tc>
        <w:tc>
          <w:tcPr>
            <w:tcW w:w="1218" w:type="dxa"/>
            <w:tcBorders>
              <w:tl2br w:val="nil"/>
              <w:tr2bl w:val="nil"/>
            </w:tcBorders>
            <w:vAlign w:val="center"/>
          </w:tcPr>
          <w:p w14:paraId="1B1DA5DA">
            <w:pPr>
              <w:pStyle w:val="64"/>
              <w:spacing w:line="240" w:lineRule="auto"/>
              <w:ind w:firstLine="0"/>
              <w:rPr>
                <w:sz w:val="21"/>
                <w:szCs w:val="21"/>
                <w:u w:val="single"/>
              </w:rPr>
            </w:pPr>
            <w:r>
              <w:rPr>
                <w:rFonts w:hint="eastAsia"/>
                <w:sz w:val="21"/>
                <w:szCs w:val="21"/>
                <w:u w:val="single"/>
              </w:rPr>
              <w:t>+288</w:t>
            </w:r>
          </w:p>
        </w:tc>
      </w:tr>
      <w:tr w14:paraId="1C7152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45093696">
            <w:pPr>
              <w:pStyle w:val="64"/>
              <w:spacing w:line="240" w:lineRule="auto"/>
              <w:ind w:firstLine="0"/>
              <w:rPr>
                <w:color w:val="FF0000"/>
                <w:sz w:val="21"/>
                <w:szCs w:val="21"/>
                <w:u w:val="single"/>
              </w:rPr>
            </w:pPr>
          </w:p>
        </w:tc>
        <w:tc>
          <w:tcPr>
            <w:tcW w:w="1735" w:type="dxa"/>
            <w:tcBorders>
              <w:tl2br w:val="nil"/>
              <w:tr2bl w:val="nil"/>
            </w:tcBorders>
            <w:vAlign w:val="center"/>
          </w:tcPr>
          <w:p w14:paraId="4302975F">
            <w:pPr>
              <w:pStyle w:val="64"/>
              <w:spacing w:line="240" w:lineRule="auto"/>
              <w:ind w:firstLine="0"/>
              <w:rPr>
                <w:sz w:val="21"/>
                <w:szCs w:val="21"/>
                <w:u w:val="single"/>
              </w:rPr>
            </w:pPr>
            <w:r>
              <w:rPr>
                <w:sz w:val="21"/>
                <w:szCs w:val="21"/>
                <w:u w:val="single"/>
              </w:rPr>
              <w:t>废烫金膜</w:t>
            </w:r>
          </w:p>
        </w:tc>
        <w:tc>
          <w:tcPr>
            <w:tcW w:w="1217" w:type="dxa"/>
            <w:tcBorders>
              <w:tl2br w:val="nil"/>
              <w:tr2bl w:val="nil"/>
            </w:tcBorders>
            <w:vAlign w:val="center"/>
          </w:tcPr>
          <w:p w14:paraId="514506BA">
            <w:pPr>
              <w:pStyle w:val="64"/>
              <w:spacing w:line="240" w:lineRule="auto"/>
              <w:ind w:firstLine="0"/>
              <w:rPr>
                <w:sz w:val="21"/>
                <w:szCs w:val="21"/>
                <w:u w:val="single"/>
              </w:rPr>
            </w:pPr>
            <w:r>
              <w:rPr>
                <w:rFonts w:hint="eastAsia"/>
                <w:sz w:val="21"/>
                <w:szCs w:val="21"/>
                <w:u w:val="single"/>
              </w:rPr>
              <w:t>0.8</w:t>
            </w:r>
          </w:p>
        </w:tc>
        <w:tc>
          <w:tcPr>
            <w:tcW w:w="1217" w:type="dxa"/>
            <w:tcBorders>
              <w:tl2br w:val="nil"/>
              <w:tr2bl w:val="nil"/>
            </w:tcBorders>
            <w:vAlign w:val="center"/>
          </w:tcPr>
          <w:p w14:paraId="06A2FD98">
            <w:pPr>
              <w:pStyle w:val="64"/>
              <w:spacing w:line="240" w:lineRule="auto"/>
              <w:ind w:firstLine="0"/>
              <w:rPr>
                <w:sz w:val="21"/>
                <w:szCs w:val="21"/>
                <w:u w:val="single"/>
              </w:rPr>
            </w:pPr>
            <w:r>
              <w:rPr>
                <w:rFonts w:hint="eastAsia"/>
                <w:sz w:val="21"/>
                <w:szCs w:val="21"/>
                <w:u w:val="single"/>
              </w:rPr>
              <w:t>0.16</w:t>
            </w:r>
          </w:p>
        </w:tc>
        <w:tc>
          <w:tcPr>
            <w:tcW w:w="1218" w:type="dxa"/>
            <w:tcBorders>
              <w:tl2br w:val="nil"/>
              <w:tr2bl w:val="nil"/>
            </w:tcBorders>
            <w:vAlign w:val="center"/>
          </w:tcPr>
          <w:p w14:paraId="4B24E03F">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D6C3756">
            <w:pPr>
              <w:pStyle w:val="64"/>
              <w:spacing w:line="240" w:lineRule="auto"/>
              <w:ind w:firstLine="0"/>
              <w:rPr>
                <w:sz w:val="21"/>
                <w:szCs w:val="21"/>
                <w:u w:val="single"/>
              </w:rPr>
            </w:pPr>
            <w:r>
              <w:rPr>
                <w:rFonts w:hint="eastAsia"/>
                <w:sz w:val="21"/>
                <w:szCs w:val="21"/>
                <w:u w:val="single"/>
              </w:rPr>
              <w:t>0.96</w:t>
            </w:r>
          </w:p>
        </w:tc>
        <w:tc>
          <w:tcPr>
            <w:tcW w:w="1218" w:type="dxa"/>
            <w:tcBorders>
              <w:tl2br w:val="nil"/>
              <w:tr2bl w:val="nil"/>
            </w:tcBorders>
            <w:vAlign w:val="center"/>
          </w:tcPr>
          <w:p w14:paraId="39F7C741">
            <w:pPr>
              <w:pStyle w:val="64"/>
              <w:spacing w:line="240" w:lineRule="auto"/>
              <w:ind w:firstLine="0"/>
              <w:rPr>
                <w:sz w:val="21"/>
                <w:szCs w:val="21"/>
                <w:u w:val="single"/>
              </w:rPr>
            </w:pPr>
            <w:r>
              <w:rPr>
                <w:rFonts w:hint="eastAsia"/>
                <w:sz w:val="21"/>
                <w:szCs w:val="21"/>
                <w:u w:val="single"/>
              </w:rPr>
              <w:t>+0.16</w:t>
            </w:r>
          </w:p>
        </w:tc>
      </w:tr>
      <w:tr w14:paraId="345927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897D52F">
            <w:pPr>
              <w:pStyle w:val="64"/>
              <w:spacing w:line="240" w:lineRule="auto"/>
              <w:ind w:firstLine="0"/>
              <w:rPr>
                <w:color w:val="FF0000"/>
                <w:sz w:val="21"/>
                <w:szCs w:val="21"/>
                <w:u w:val="single"/>
              </w:rPr>
            </w:pPr>
          </w:p>
        </w:tc>
        <w:tc>
          <w:tcPr>
            <w:tcW w:w="1735" w:type="dxa"/>
            <w:tcBorders>
              <w:tl2br w:val="nil"/>
              <w:tr2bl w:val="nil"/>
            </w:tcBorders>
            <w:vAlign w:val="center"/>
          </w:tcPr>
          <w:p w14:paraId="6FA4132E">
            <w:pPr>
              <w:pStyle w:val="64"/>
              <w:spacing w:line="240" w:lineRule="auto"/>
              <w:ind w:firstLine="0"/>
              <w:rPr>
                <w:sz w:val="21"/>
                <w:szCs w:val="21"/>
                <w:u w:val="single"/>
              </w:rPr>
            </w:pPr>
            <w:r>
              <w:rPr>
                <w:sz w:val="21"/>
                <w:szCs w:val="21"/>
                <w:u w:val="single"/>
              </w:rPr>
              <w:t>不合格产品</w:t>
            </w:r>
          </w:p>
        </w:tc>
        <w:tc>
          <w:tcPr>
            <w:tcW w:w="1217" w:type="dxa"/>
            <w:tcBorders>
              <w:tl2br w:val="nil"/>
              <w:tr2bl w:val="nil"/>
            </w:tcBorders>
            <w:vAlign w:val="center"/>
          </w:tcPr>
          <w:p w14:paraId="61511450">
            <w:pPr>
              <w:pStyle w:val="64"/>
              <w:spacing w:line="240" w:lineRule="auto"/>
              <w:ind w:firstLine="0"/>
              <w:rPr>
                <w:sz w:val="21"/>
                <w:szCs w:val="21"/>
                <w:u w:val="single"/>
              </w:rPr>
            </w:pPr>
            <w:r>
              <w:rPr>
                <w:rFonts w:hint="eastAsia"/>
                <w:sz w:val="21"/>
                <w:szCs w:val="21"/>
                <w:u w:val="single"/>
              </w:rPr>
              <w:t>831</w:t>
            </w:r>
          </w:p>
        </w:tc>
        <w:tc>
          <w:tcPr>
            <w:tcW w:w="1217" w:type="dxa"/>
            <w:tcBorders>
              <w:tl2br w:val="nil"/>
              <w:tr2bl w:val="nil"/>
            </w:tcBorders>
            <w:vAlign w:val="center"/>
          </w:tcPr>
          <w:p w14:paraId="33B8DAA2">
            <w:pPr>
              <w:pStyle w:val="64"/>
              <w:spacing w:line="240" w:lineRule="auto"/>
              <w:ind w:firstLine="0"/>
              <w:rPr>
                <w:sz w:val="21"/>
                <w:szCs w:val="21"/>
                <w:u w:val="single"/>
              </w:rPr>
            </w:pPr>
            <w:r>
              <w:rPr>
                <w:rFonts w:hint="eastAsia"/>
                <w:sz w:val="21"/>
                <w:szCs w:val="21"/>
                <w:u w:val="single"/>
              </w:rPr>
              <w:t>669</w:t>
            </w:r>
          </w:p>
        </w:tc>
        <w:tc>
          <w:tcPr>
            <w:tcW w:w="1218" w:type="dxa"/>
            <w:tcBorders>
              <w:tl2br w:val="nil"/>
              <w:tr2bl w:val="nil"/>
            </w:tcBorders>
            <w:vAlign w:val="center"/>
          </w:tcPr>
          <w:p w14:paraId="693F7F53">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A3C418B">
            <w:pPr>
              <w:pStyle w:val="64"/>
              <w:spacing w:line="240" w:lineRule="auto"/>
              <w:ind w:firstLine="0"/>
              <w:rPr>
                <w:sz w:val="21"/>
                <w:szCs w:val="21"/>
                <w:u w:val="single"/>
              </w:rPr>
            </w:pPr>
            <w:r>
              <w:rPr>
                <w:rFonts w:hint="eastAsia"/>
                <w:sz w:val="21"/>
                <w:szCs w:val="21"/>
                <w:u w:val="single"/>
              </w:rPr>
              <w:t>1500</w:t>
            </w:r>
          </w:p>
        </w:tc>
        <w:tc>
          <w:tcPr>
            <w:tcW w:w="1218" w:type="dxa"/>
            <w:tcBorders>
              <w:tl2br w:val="nil"/>
              <w:tr2bl w:val="nil"/>
            </w:tcBorders>
            <w:vAlign w:val="center"/>
          </w:tcPr>
          <w:p w14:paraId="3E031951">
            <w:pPr>
              <w:pStyle w:val="64"/>
              <w:spacing w:line="240" w:lineRule="auto"/>
              <w:ind w:firstLine="0"/>
              <w:rPr>
                <w:sz w:val="21"/>
                <w:szCs w:val="21"/>
                <w:u w:val="single"/>
              </w:rPr>
            </w:pPr>
            <w:r>
              <w:rPr>
                <w:rFonts w:hint="eastAsia"/>
                <w:sz w:val="21"/>
                <w:szCs w:val="21"/>
                <w:u w:val="single"/>
              </w:rPr>
              <w:t>+669</w:t>
            </w:r>
          </w:p>
        </w:tc>
      </w:tr>
      <w:tr w14:paraId="54BF43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489A83FA">
            <w:pPr>
              <w:pStyle w:val="64"/>
              <w:spacing w:line="240" w:lineRule="auto"/>
              <w:ind w:firstLine="0"/>
              <w:rPr>
                <w:color w:val="FF0000"/>
                <w:sz w:val="21"/>
                <w:szCs w:val="21"/>
                <w:u w:val="single"/>
              </w:rPr>
            </w:pPr>
          </w:p>
        </w:tc>
        <w:tc>
          <w:tcPr>
            <w:tcW w:w="1735" w:type="dxa"/>
            <w:tcBorders>
              <w:tl2br w:val="nil"/>
              <w:tr2bl w:val="nil"/>
            </w:tcBorders>
            <w:vAlign w:val="center"/>
          </w:tcPr>
          <w:p w14:paraId="76B0960A">
            <w:pPr>
              <w:pStyle w:val="64"/>
              <w:spacing w:line="240" w:lineRule="auto"/>
              <w:ind w:firstLine="0"/>
              <w:rPr>
                <w:sz w:val="21"/>
                <w:szCs w:val="21"/>
                <w:u w:val="single"/>
              </w:rPr>
            </w:pPr>
            <w:r>
              <w:rPr>
                <w:rFonts w:hint="eastAsia"/>
                <w:sz w:val="21"/>
                <w:szCs w:val="21"/>
                <w:u w:val="single"/>
              </w:rPr>
              <w:t>废包装材料</w:t>
            </w:r>
          </w:p>
        </w:tc>
        <w:tc>
          <w:tcPr>
            <w:tcW w:w="1217" w:type="dxa"/>
            <w:tcBorders>
              <w:tl2br w:val="nil"/>
              <w:tr2bl w:val="nil"/>
            </w:tcBorders>
            <w:vAlign w:val="center"/>
          </w:tcPr>
          <w:p w14:paraId="72C73E03">
            <w:pPr>
              <w:pStyle w:val="64"/>
              <w:spacing w:line="240" w:lineRule="auto"/>
              <w:ind w:firstLine="0"/>
              <w:rPr>
                <w:sz w:val="21"/>
                <w:szCs w:val="21"/>
                <w:u w:val="single"/>
              </w:rPr>
            </w:pPr>
            <w:r>
              <w:rPr>
                <w:rFonts w:hint="eastAsia"/>
                <w:sz w:val="21"/>
                <w:szCs w:val="21"/>
                <w:u w:val="single"/>
              </w:rPr>
              <w:t>2</w:t>
            </w:r>
          </w:p>
        </w:tc>
        <w:tc>
          <w:tcPr>
            <w:tcW w:w="1217" w:type="dxa"/>
            <w:tcBorders>
              <w:tl2br w:val="nil"/>
              <w:tr2bl w:val="nil"/>
            </w:tcBorders>
            <w:vAlign w:val="center"/>
          </w:tcPr>
          <w:p w14:paraId="132CCF0A">
            <w:pPr>
              <w:pStyle w:val="64"/>
              <w:spacing w:line="240" w:lineRule="auto"/>
              <w:ind w:firstLine="0"/>
              <w:rPr>
                <w:sz w:val="21"/>
                <w:szCs w:val="21"/>
                <w:u w:val="single"/>
              </w:rPr>
            </w:pPr>
            <w:r>
              <w:rPr>
                <w:rFonts w:hint="eastAsia"/>
                <w:sz w:val="21"/>
                <w:szCs w:val="21"/>
                <w:u w:val="single"/>
              </w:rPr>
              <w:t>2</w:t>
            </w:r>
          </w:p>
        </w:tc>
        <w:tc>
          <w:tcPr>
            <w:tcW w:w="1218" w:type="dxa"/>
            <w:tcBorders>
              <w:tl2br w:val="nil"/>
              <w:tr2bl w:val="nil"/>
            </w:tcBorders>
            <w:vAlign w:val="center"/>
          </w:tcPr>
          <w:p w14:paraId="70B3F6CF">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7A52D8E3">
            <w:pPr>
              <w:pStyle w:val="64"/>
              <w:spacing w:line="240" w:lineRule="auto"/>
              <w:ind w:firstLine="0"/>
              <w:rPr>
                <w:sz w:val="21"/>
                <w:szCs w:val="21"/>
                <w:u w:val="single"/>
              </w:rPr>
            </w:pPr>
            <w:r>
              <w:rPr>
                <w:rFonts w:hint="eastAsia"/>
                <w:sz w:val="21"/>
                <w:szCs w:val="21"/>
                <w:u w:val="single"/>
              </w:rPr>
              <w:t>4</w:t>
            </w:r>
          </w:p>
        </w:tc>
        <w:tc>
          <w:tcPr>
            <w:tcW w:w="1218" w:type="dxa"/>
            <w:tcBorders>
              <w:tl2br w:val="nil"/>
              <w:tr2bl w:val="nil"/>
            </w:tcBorders>
            <w:vAlign w:val="center"/>
          </w:tcPr>
          <w:p w14:paraId="4D0BD125">
            <w:pPr>
              <w:pStyle w:val="64"/>
              <w:spacing w:line="240" w:lineRule="auto"/>
              <w:ind w:firstLine="0"/>
              <w:rPr>
                <w:sz w:val="21"/>
                <w:szCs w:val="21"/>
                <w:u w:val="single"/>
              </w:rPr>
            </w:pPr>
            <w:r>
              <w:rPr>
                <w:rFonts w:hint="eastAsia"/>
                <w:sz w:val="21"/>
                <w:szCs w:val="21"/>
                <w:u w:val="single"/>
              </w:rPr>
              <w:t>+2</w:t>
            </w:r>
          </w:p>
        </w:tc>
      </w:tr>
      <w:tr w14:paraId="7F6C63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07E73D72">
            <w:pPr>
              <w:pStyle w:val="64"/>
              <w:spacing w:line="240" w:lineRule="auto"/>
              <w:ind w:firstLine="0"/>
              <w:rPr>
                <w:color w:val="FF0000"/>
                <w:sz w:val="21"/>
                <w:szCs w:val="21"/>
                <w:u w:val="single"/>
              </w:rPr>
            </w:pPr>
          </w:p>
        </w:tc>
        <w:tc>
          <w:tcPr>
            <w:tcW w:w="1735" w:type="dxa"/>
            <w:tcBorders>
              <w:tl2br w:val="nil"/>
              <w:tr2bl w:val="nil"/>
            </w:tcBorders>
            <w:vAlign w:val="center"/>
          </w:tcPr>
          <w:p w14:paraId="3CF1B77E">
            <w:pPr>
              <w:pStyle w:val="64"/>
              <w:spacing w:line="240" w:lineRule="auto"/>
              <w:ind w:firstLine="0"/>
              <w:rPr>
                <w:sz w:val="21"/>
                <w:szCs w:val="21"/>
                <w:u w:val="single"/>
              </w:rPr>
            </w:pPr>
            <w:r>
              <w:rPr>
                <w:rFonts w:hint="eastAsia"/>
                <w:sz w:val="21"/>
                <w:szCs w:val="21"/>
                <w:u w:val="single"/>
              </w:rPr>
              <w:t>废溶剂桶</w:t>
            </w:r>
          </w:p>
        </w:tc>
        <w:tc>
          <w:tcPr>
            <w:tcW w:w="1217" w:type="dxa"/>
            <w:tcBorders>
              <w:tl2br w:val="nil"/>
              <w:tr2bl w:val="nil"/>
            </w:tcBorders>
            <w:vAlign w:val="center"/>
          </w:tcPr>
          <w:p w14:paraId="535E459A">
            <w:pPr>
              <w:pStyle w:val="64"/>
              <w:spacing w:line="240" w:lineRule="auto"/>
              <w:ind w:firstLine="0"/>
              <w:rPr>
                <w:sz w:val="21"/>
                <w:szCs w:val="21"/>
                <w:u w:val="single"/>
              </w:rPr>
            </w:pPr>
            <w:r>
              <w:rPr>
                <w:rFonts w:hint="eastAsia"/>
                <w:sz w:val="21"/>
                <w:szCs w:val="21"/>
                <w:u w:val="single"/>
              </w:rPr>
              <w:t>5</w:t>
            </w:r>
          </w:p>
        </w:tc>
        <w:tc>
          <w:tcPr>
            <w:tcW w:w="1217" w:type="dxa"/>
            <w:tcBorders>
              <w:tl2br w:val="nil"/>
              <w:tr2bl w:val="nil"/>
            </w:tcBorders>
            <w:vAlign w:val="center"/>
          </w:tcPr>
          <w:p w14:paraId="61929015">
            <w:pPr>
              <w:pStyle w:val="64"/>
              <w:spacing w:line="240" w:lineRule="auto"/>
              <w:ind w:firstLine="0"/>
              <w:rPr>
                <w:sz w:val="21"/>
                <w:szCs w:val="21"/>
                <w:u w:val="single"/>
              </w:rPr>
            </w:pPr>
            <w:r>
              <w:rPr>
                <w:rFonts w:hint="eastAsia"/>
                <w:sz w:val="21"/>
                <w:szCs w:val="21"/>
                <w:u w:val="single"/>
              </w:rPr>
              <w:t>5</w:t>
            </w:r>
          </w:p>
        </w:tc>
        <w:tc>
          <w:tcPr>
            <w:tcW w:w="1218" w:type="dxa"/>
            <w:tcBorders>
              <w:tl2br w:val="nil"/>
              <w:tr2bl w:val="nil"/>
            </w:tcBorders>
            <w:vAlign w:val="center"/>
          </w:tcPr>
          <w:p w14:paraId="358AD69E">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F943C5C">
            <w:pPr>
              <w:pStyle w:val="64"/>
              <w:spacing w:line="240" w:lineRule="auto"/>
              <w:ind w:firstLine="0"/>
              <w:rPr>
                <w:sz w:val="21"/>
                <w:szCs w:val="21"/>
                <w:u w:val="single"/>
              </w:rPr>
            </w:pPr>
            <w:r>
              <w:rPr>
                <w:rFonts w:hint="eastAsia"/>
                <w:sz w:val="21"/>
                <w:szCs w:val="21"/>
                <w:u w:val="single"/>
              </w:rPr>
              <w:t>10</w:t>
            </w:r>
          </w:p>
        </w:tc>
        <w:tc>
          <w:tcPr>
            <w:tcW w:w="1218" w:type="dxa"/>
            <w:tcBorders>
              <w:tl2br w:val="nil"/>
              <w:tr2bl w:val="nil"/>
            </w:tcBorders>
            <w:vAlign w:val="center"/>
          </w:tcPr>
          <w:p w14:paraId="4666621E">
            <w:pPr>
              <w:pStyle w:val="64"/>
              <w:spacing w:line="240" w:lineRule="auto"/>
              <w:ind w:firstLine="0"/>
              <w:rPr>
                <w:sz w:val="21"/>
                <w:szCs w:val="21"/>
                <w:u w:val="single"/>
              </w:rPr>
            </w:pPr>
            <w:r>
              <w:rPr>
                <w:rFonts w:hint="eastAsia"/>
                <w:sz w:val="21"/>
                <w:szCs w:val="21"/>
                <w:u w:val="single"/>
              </w:rPr>
              <w:t>+5</w:t>
            </w:r>
          </w:p>
        </w:tc>
      </w:tr>
      <w:tr w14:paraId="406864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restart"/>
            <w:tcBorders>
              <w:tl2br w:val="nil"/>
              <w:tr2bl w:val="nil"/>
            </w:tcBorders>
            <w:vAlign w:val="center"/>
          </w:tcPr>
          <w:p w14:paraId="7859F3B5">
            <w:pPr>
              <w:pStyle w:val="64"/>
              <w:spacing w:line="240" w:lineRule="auto"/>
              <w:ind w:firstLine="0"/>
              <w:rPr>
                <w:color w:val="FF0000"/>
                <w:sz w:val="21"/>
                <w:szCs w:val="21"/>
                <w:u w:val="single"/>
              </w:rPr>
            </w:pPr>
            <w:r>
              <w:rPr>
                <w:rFonts w:hint="eastAsia"/>
                <w:sz w:val="21"/>
                <w:szCs w:val="21"/>
                <w:u w:val="single"/>
              </w:rPr>
              <w:t>危险废物</w:t>
            </w:r>
          </w:p>
        </w:tc>
        <w:tc>
          <w:tcPr>
            <w:tcW w:w="1735" w:type="dxa"/>
            <w:tcBorders>
              <w:tl2br w:val="nil"/>
              <w:tr2bl w:val="nil"/>
            </w:tcBorders>
            <w:vAlign w:val="center"/>
          </w:tcPr>
          <w:p w14:paraId="7CE69BCB">
            <w:pPr>
              <w:pStyle w:val="64"/>
              <w:spacing w:line="240" w:lineRule="auto"/>
              <w:ind w:firstLine="0"/>
              <w:rPr>
                <w:sz w:val="21"/>
                <w:szCs w:val="21"/>
                <w:u w:val="single"/>
              </w:rPr>
            </w:pPr>
            <w:r>
              <w:rPr>
                <w:sz w:val="21"/>
                <w:szCs w:val="21"/>
                <w:u w:val="single"/>
              </w:rPr>
              <w:t>废油墨</w:t>
            </w:r>
          </w:p>
        </w:tc>
        <w:tc>
          <w:tcPr>
            <w:tcW w:w="1217" w:type="dxa"/>
            <w:tcBorders>
              <w:tl2br w:val="nil"/>
              <w:tr2bl w:val="nil"/>
            </w:tcBorders>
            <w:vAlign w:val="center"/>
          </w:tcPr>
          <w:p w14:paraId="7E697670">
            <w:pPr>
              <w:pStyle w:val="64"/>
              <w:spacing w:line="240" w:lineRule="auto"/>
              <w:ind w:firstLine="0"/>
              <w:rPr>
                <w:sz w:val="21"/>
                <w:szCs w:val="21"/>
                <w:u w:val="single"/>
              </w:rPr>
            </w:pPr>
            <w:r>
              <w:rPr>
                <w:rFonts w:hint="eastAsia"/>
                <w:sz w:val="21"/>
                <w:szCs w:val="21"/>
                <w:u w:val="single"/>
              </w:rPr>
              <w:t>9</w:t>
            </w:r>
          </w:p>
        </w:tc>
        <w:tc>
          <w:tcPr>
            <w:tcW w:w="1217" w:type="dxa"/>
            <w:tcBorders>
              <w:tl2br w:val="nil"/>
              <w:tr2bl w:val="nil"/>
            </w:tcBorders>
            <w:vAlign w:val="center"/>
          </w:tcPr>
          <w:p w14:paraId="779FAD82">
            <w:pPr>
              <w:pStyle w:val="64"/>
              <w:spacing w:line="240" w:lineRule="auto"/>
              <w:ind w:firstLine="0"/>
              <w:rPr>
                <w:sz w:val="21"/>
                <w:szCs w:val="21"/>
                <w:u w:val="single"/>
              </w:rPr>
            </w:pPr>
            <w:r>
              <w:rPr>
                <w:rFonts w:hint="eastAsia"/>
                <w:sz w:val="21"/>
                <w:szCs w:val="21"/>
                <w:u w:val="single"/>
              </w:rPr>
              <w:t>7.4</w:t>
            </w:r>
          </w:p>
        </w:tc>
        <w:tc>
          <w:tcPr>
            <w:tcW w:w="1218" w:type="dxa"/>
            <w:tcBorders>
              <w:tl2br w:val="nil"/>
              <w:tr2bl w:val="nil"/>
            </w:tcBorders>
            <w:vAlign w:val="center"/>
          </w:tcPr>
          <w:p w14:paraId="44D8A93A">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D19DE1B">
            <w:pPr>
              <w:pStyle w:val="64"/>
              <w:spacing w:line="240" w:lineRule="auto"/>
              <w:ind w:firstLine="0"/>
              <w:rPr>
                <w:sz w:val="21"/>
                <w:szCs w:val="21"/>
                <w:u w:val="single"/>
              </w:rPr>
            </w:pPr>
            <w:r>
              <w:rPr>
                <w:rFonts w:hint="eastAsia"/>
                <w:sz w:val="21"/>
                <w:szCs w:val="21"/>
                <w:u w:val="single"/>
              </w:rPr>
              <w:t>16.4</w:t>
            </w:r>
          </w:p>
        </w:tc>
        <w:tc>
          <w:tcPr>
            <w:tcW w:w="1218" w:type="dxa"/>
            <w:tcBorders>
              <w:tl2br w:val="nil"/>
              <w:tr2bl w:val="nil"/>
            </w:tcBorders>
            <w:vAlign w:val="center"/>
          </w:tcPr>
          <w:p w14:paraId="21FDE298">
            <w:pPr>
              <w:pStyle w:val="64"/>
              <w:spacing w:line="240" w:lineRule="auto"/>
              <w:ind w:firstLine="0"/>
              <w:rPr>
                <w:sz w:val="21"/>
                <w:szCs w:val="21"/>
                <w:u w:val="single"/>
              </w:rPr>
            </w:pPr>
            <w:r>
              <w:rPr>
                <w:rFonts w:hint="eastAsia"/>
                <w:sz w:val="21"/>
                <w:szCs w:val="21"/>
                <w:u w:val="single"/>
              </w:rPr>
              <w:t>+7.4</w:t>
            </w:r>
          </w:p>
        </w:tc>
      </w:tr>
      <w:tr w14:paraId="7FF2A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D8F9425">
            <w:pPr>
              <w:pStyle w:val="64"/>
              <w:spacing w:line="240" w:lineRule="auto"/>
              <w:ind w:firstLine="0"/>
              <w:rPr>
                <w:color w:val="FF0000"/>
                <w:sz w:val="21"/>
                <w:szCs w:val="21"/>
                <w:u w:val="single"/>
              </w:rPr>
            </w:pPr>
          </w:p>
        </w:tc>
        <w:tc>
          <w:tcPr>
            <w:tcW w:w="1735" w:type="dxa"/>
            <w:tcBorders>
              <w:tl2br w:val="nil"/>
              <w:tr2bl w:val="nil"/>
            </w:tcBorders>
            <w:vAlign w:val="center"/>
          </w:tcPr>
          <w:p w14:paraId="5E662692">
            <w:pPr>
              <w:pStyle w:val="64"/>
              <w:spacing w:line="240" w:lineRule="auto"/>
              <w:ind w:firstLine="0"/>
              <w:rPr>
                <w:sz w:val="21"/>
                <w:szCs w:val="21"/>
                <w:u w:val="single"/>
              </w:rPr>
            </w:pPr>
            <w:r>
              <w:rPr>
                <w:sz w:val="21"/>
                <w:szCs w:val="21"/>
                <w:u w:val="single"/>
              </w:rPr>
              <w:t>废溶剂</w:t>
            </w:r>
          </w:p>
        </w:tc>
        <w:tc>
          <w:tcPr>
            <w:tcW w:w="1217" w:type="dxa"/>
            <w:tcBorders>
              <w:tl2br w:val="nil"/>
              <w:tr2bl w:val="nil"/>
            </w:tcBorders>
            <w:vAlign w:val="center"/>
          </w:tcPr>
          <w:p w14:paraId="3973E6C6">
            <w:pPr>
              <w:pStyle w:val="64"/>
              <w:spacing w:line="240" w:lineRule="auto"/>
              <w:ind w:firstLine="0"/>
              <w:rPr>
                <w:sz w:val="21"/>
                <w:szCs w:val="21"/>
                <w:u w:val="single"/>
              </w:rPr>
            </w:pPr>
            <w:r>
              <w:rPr>
                <w:rFonts w:hint="eastAsia"/>
                <w:sz w:val="21"/>
                <w:szCs w:val="21"/>
                <w:u w:val="single"/>
              </w:rPr>
              <w:t>8</w:t>
            </w:r>
          </w:p>
        </w:tc>
        <w:tc>
          <w:tcPr>
            <w:tcW w:w="1217" w:type="dxa"/>
            <w:tcBorders>
              <w:tl2br w:val="nil"/>
              <w:tr2bl w:val="nil"/>
            </w:tcBorders>
            <w:vAlign w:val="center"/>
          </w:tcPr>
          <w:p w14:paraId="6666A940">
            <w:pPr>
              <w:pStyle w:val="64"/>
              <w:spacing w:line="240" w:lineRule="auto"/>
              <w:ind w:firstLine="0"/>
              <w:rPr>
                <w:sz w:val="21"/>
                <w:szCs w:val="21"/>
                <w:u w:val="single"/>
              </w:rPr>
            </w:pPr>
            <w:r>
              <w:rPr>
                <w:rFonts w:hint="eastAsia"/>
                <w:sz w:val="21"/>
                <w:szCs w:val="21"/>
                <w:u w:val="single"/>
              </w:rPr>
              <w:t>6</w:t>
            </w:r>
          </w:p>
        </w:tc>
        <w:tc>
          <w:tcPr>
            <w:tcW w:w="1218" w:type="dxa"/>
            <w:tcBorders>
              <w:tl2br w:val="nil"/>
              <w:tr2bl w:val="nil"/>
            </w:tcBorders>
            <w:vAlign w:val="center"/>
          </w:tcPr>
          <w:p w14:paraId="5DAB2A5F">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B84EEF7">
            <w:pPr>
              <w:pStyle w:val="64"/>
              <w:spacing w:line="240" w:lineRule="auto"/>
              <w:ind w:firstLine="0"/>
              <w:rPr>
                <w:sz w:val="21"/>
                <w:szCs w:val="21"/>
                <w:u w:val="single"/>
              </w:rPr>
            </w:pPr>
            <w:r>
              <w:rPr>
                <w:rFonts w:hint="eastAsia"/>
                <w:sz w:val="21"/>
                <w:szCs w:val="21"/>
                <w:u w:val="single"/>
              </w:rPr>
              <w:t>14</w:t>
            </w:r>
          </w:p>
        </w:tc>
        <w:tc>
          <w:tcPr>
            <w:tcW w:w="1218" w:type="dxa"/>
            <w:tcBorders>
              <w:tl2br w:val="nil"/>
              <w:tr2bl w:val="nil"/>
            </w:tcBorders>
            <w:vAlign w:val="center"/>
          </w:tcPr>
          <w:p w14:paraId="445DD270">
            <w:pPr>
              <w:pStyle w:val="64"/>
              <w:spacing w:line="240" w:lineRule="auto"/>
              <w:ind w:firstLine="0"/>
              <w:rPr>
                <w:sz w:val="21"/>
                <w:szCs w:val="21"/>
                <w:u w:val="single"/>
              </w:rPr>
            </w:pPr>
            <w:r>
              <w:rPr>
                <w:rFonts w:hint="eastAsia"/>
                <w:sz w:val="21"/>
                <w:szCs w:val="21"/>
                <w:u w:val="single"/>
              </w:rPr>
              <w:t>+6</w:t>
            </w:r>
          </w:p>
        </w:tc>
      </w:tr>
      <w:tr w14:paraId="764175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16A0B4DC">
            <w:pPr>
              <w:pStyle w:val="64"/>
              <w:spacing w:line="240" w:lineRule="auto"/>
              <w:ind w:firstLine="0"/>
              <w:rPr>
                <w:color w:val="FF0000"/>
                <w:sz w:val="21"/>
                <w:szCs w:val="21"/>
                <w:u w:val="single"/>
              </w:rPr>
            </w:pPr>
          </w:p>
        </w:tc>
        <w:tc>
          <w:tcPr>
            <w:tcW w:w="1735" w:type="dxa"/>
            <w:tcBorders>
              <w:tl2br w:val="nil"/>
              <w:tr2bl w:val="nil"/>
            </w:tcBorders>
            <w:vAlign w:val="center"/>
          </w:tcPr>
          <w:p w14:paraId="0DA16746">
            <w:pPr>
              <w:pStyle w:val="64"/>
              <w:spacing w:line="240" w:lineRule="auto"/>
              <w:ind w:firstLine="0"/>
              <w:rPr>
                <w:sz w:val="21"/>
                <w:szCs w:val="21"/>
                <w:u w:val="single"/>
              </w:rPr>
            </w:pPr>
            <w:r>
              <w:rPr>
                <w:sz w:val="21"/>
                <w:szCs w:val="21"/>
                <w:u w:val="single"/>
              </w:rPr>
              <w:t>废胶</w:t>
            </w:r>
          </w:p>
        </w:tc>
        <w:tc>
          <w:tcPr>
            <w:tcW w:w="1217" w:type="dxa"/>
            <w:tcBorders>
              <w:tl2br w:val="nil"/>
              <w:tr2bl w:val="nil"/>
            </w:tcBorders>
            <w:vAlign w:val="center"/>
          </w:tcPr>
          <w:p w14:paraId="069DA474">
            <w:pPr>
              <w:pStyle w:val="64"/>
              <w:spacing w:line="240" w:lineRule="auto"/>
              <w:ind w:firstLine="0"/>
              <w:rPr>
                <w:color w:val="FF0000"/>
                <w:sz w:val="21"/>
                <w:szCs w:val="21"/>
                <w:u w:val="single"/>
              </w:rPr>
            </w:pPr>
            <w:r>
              <w:rPr>
                <w:rFonts w:hint="eastAsia"/>
                <w:sz w:val="21"/>
                <w:szCs w:val="21"/>
                <w:u w:val="single"/>
              </w:rPr>
              <w:t>7</w:t>
            </w:r>
          </w:p>
        </w:tc>
        <w:tc>
          <w:tcPr>
            <w:tcW w:w="1217" w:type="dxa"/>
            <w:tcBorders>
              <w:tl2br w:val="nil"/>
              <w:tr2bl w:val="nil"/>
            </w:tcBorders>
            <w:vAlign w:val="center"/>
          </w:tcPr>
          <w:p w14:paraId="0012A93B">
            <w:pPr>
              <w:pStyle w:val="64"/>
              <w:spacing w:line="240" w:lineRule="auto"/>
              <w:ind w:firstLine="0"/>
              <w:rPr>
                <w:sz w:val="21"/>
                <w:szCs w:val="21"/>
                <w:u w:val="single"/>
              </w:rPr>
            </w:pPr>
            <w:r>
              <w:rPr>
                <w:rFonts w:hint="eastAsia"/>
                <w:sz w:val="21"/>
                <w:szCs w:val="21"/>
                <w:u w:val="single"/>
              </w:rPr>
              <w:t>9</w:t>
            </w:r>
          </w:p>
        </w:tc>
        <w:tc>
          <w:tcPr>
            <w:tcW w:w="1218" w:type="dxa"/>
            <w:tcBorders>
              <w:tl2br w:val="nil"/>
              <w:tr2bl w:val="nil"/>
            </w:tcBorders>
            <w:vAlign w:val="center"/>
          </w:tcPr>
          <w:p w14:paraId="7FD405D3">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4D1017A">
            <w:pPr>
              <w:pStyle w:val="64"/>
              <w:spacing w:line="240" w:lineRule="auto"/>
              <w:ind w:firstLine="0"/>
              <w:rPr>
                <w:sz w:val="21"/>
                <w:szCs w:val="21"/>
                <w:u w:val="single"/>
              </w:rPr>
            </w:pPr>
            <w:r>
              <w:rPr>
                <w:rFonts w:hint="eastAsia"/>
                <w:sz w:val="21"/>
                <w:szCs w:val="21"/>
                <w:u w:val="single"/>
              </w:rPr>
              <w:t>16</w:t>
            </w:r>
          </w:p>
        </w:tc>
        <w:tc>
          <w:tcPr>
            <w:tcW w:w="1218" w:type="dxa"/>
            <w:tcBorders>
              <w:tl2br w:val="nil"/>
              <w:tr2bl w:val="nil"/>
            </w:tcBorders>
            <w:vAlign w:val="center"/>
          </w:tcPr>
          <w:p w14:paraId="65C307B6">
            <w:pPr>
              <w:pStyle w:val="64"/>
              <w:spacing w:line="240" w:lineRule="auto"/>
              <w:ind w:firstLine="0"/>
              <w:rPr>
                <w:sz w:val="21"/>
                <w:szCs w:val="21"/>
                <w:u w:val="single"/>
              </w:rPr>
            </w:pPr>
            <w:r>
              <w:rPr>
                <w:rFonts w:hint="eastAsia"/>
                <w:sz w:val="21"/>
                <w:szCs w:val="21"/>
                <w:u w:val="single"/>
              </w:rPr>
              <w:t>+9</w:t>
            </w:r>
          </w:p>
        </w:tc>
      </w:tr>
      <w:tr w14:paraId="73D4E5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9CD9106">
            <w:pPr>
              <w:pStyle w:val="64"/>
              <w:spacing w:line="240" w:lineRule="auto"/>
              <w:ind w:firstLine="0"/>
              <w:rPr>
                <w:color w:val="FF0000"/>
                <w:sz w:val="21"/>
                <w:szCs w:val="21"/>
                <w:u w:val="single"/>
              </w:rPr>
            </w:pPr>
          </w:p>
        </w:tc>
        <w:tc>
          <w:tcPr>
            <w:tcW w:w="1735" w:type="dxa"/>
            <w:tcBorders>
              <w:tl2br w:val="nil"/>
              <w:tr2bl w:val="nil"/>
            </w:tcBorders>
            <w:vAlign w:val="center"/>
          </w:tcPr>
          <w:p w14:paraId="50725DE7">
            <w:pPr>
              <w:pStyle w:val="64"/>
              <w:spacing w:line="240" w:lineRule="auto"/>
              <w:ind w:firstLine="0"/>
              <w:rPr>
                <w:sz w:val="21"/>
                <w:szCs w:val="21"/>
                <w:u w:val="single"/>
              </w:rPr>
            </w:pPr>
            <w:r>
              <w:rPr>
                <w:sz w:val="21"/>
                <w:szCs w:val="21"/>
                <w:u w:val="single"/>
              </w:rPr>
              <w:t>废包装桶</w:t>
            </w:r>
            <w:r>
              <w:rPr>
                <w:rFonts w:hint="eastAsia"/>
                <w:sz w:val="21"/>
                <w:szCs w:val="21"/>
                <w:u w:val="single"/>
              </w:rPr>
              <w:t>及内衬</w:t>
            </w:r>
          </w:p>
        </w:tc>
        <w:tc>
          <w:tcPr>
            <w:tcW w:w="1217" w:type="dxa"/>
            <w:tcBorders>
              <w:tl2br w:val="nil"/>
              <w:tr2bl w:val="nil"/>
            </w:tcBorders>
            <w:vAlign w:val="center"/>
          </w:tcPr>
          <w:p w14:paraId="21D59FD9">
            <w:pPr>
              <w:pStyle w:val="64"/>
              <w:spacing w:line="240" w:lineRule="auto"/>
              <w:ind w:firstLine="0"/>
              <w:rPr>
                <w:sz w:val="21"/>
                <w:szCs w:val="21"/>
                <w:u w:val="single"/>
              </w:rPr>
            </w:pPr>
            <w:r>
              <w:rPr>
                <w:rFonts w:hint="eastAsia"/>
                <w:sz w:val="21"/>
                <w:szCs w:val="21"/>
                <w:u w:val="single"/>
              </w:rPr>
              <w:t>50.95</w:t>
            </w:r>
          </w:p>
        </w:tc>
        <w:tc>
          <w:tcPr>
            <w:tcW w:w="1217" w:type="dxa"/>
            <w:tcBorders>
              <w:tl2br w:val="nil"/>
              <w:tr2bl w:val="nil"/>
            </w:tcBorders>
            <w:vAlign w:val="center"/>
          </w:tcPr>
          <w:p w14:paraId="3181C49D">
            <w:pPr>
              <w:pStyle w:val="64"/>
              <w:spacing w:line="240" w:lineRule="auto"/>
              <w:ind w:firstLine="0"/>
              <w:rPr>
                <w:sz w:val="21"/>
                <w:szCs w:val="21"/>
                <w:u w:val="single"/>
              </w:rPr>
            </w:pPr>
            <w:r>
              <w:rPr>
                <w:rFonts w:hint="eastAsia"/>
                <w:sz w:val="21"/>
                <w:szCs w:val="21"/>
                <w:u w:val="single"/>
              </w:rPr>
              <w:t>31.05</w:t>
            </w:r>
          </w:p>
        </w:tc>
        <w:tc>
          <w:tcPr>
            <w:tcW w:w="1218" w:type="dxa"/>
            <w:tcBorders>
              <w:tl2br w:val="nil"/>
              <w:tr2bl w:val="nil"/>
            </w:tcBorders>
            <w:vAlign w:val="center"/>
          </w:tcPr>
          <w:p w14:paraId="73F1CEAD">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60BD52C">
            <w:pPr>
              <w:pStyle w:val="64"/>
              <w:spacing w:line="240" w:lineRule="auto"/>
              <w:ind w:firstLine="0"/>
              <w:rPr>
                <w:sz w:val="21"/>
                <w:szCs w:val="21"/>
                <w:u w:val="single"/>
              </w:rPr>
            </w:pPr>
            <w:r>
              <w:rPr>
                <w:rFonts w:hint="eastAsia"/>
                <w:sz w:val="21"/>
                <w:szCs w:val="21"/>
                <w:u w:val="single"/>
              </w:rPr>
              <w:t>82</w:t>
            </w:r>
          </w:p>
        </w:tc>
        <w:tc>
          <w:tcPr>
            <w:tcW w:w="1218" w:type="dxa"/>
            <w:tcBorders>
              <w:tl2br w:val="nil"/>
              <w:tr2bl w:val="nil"/>
            </w:tcBorders>
            <w:vAlign w:val="center"/>
          </w:tcPr>
          <w:p w14:paraId="5A6F23AD">
            <w:pPr>
              <w:pStyle w:val="64"/>
              <w:spacing w:line="240" w:lineRule="auto"/>
              <w:ind w:firstLine="0"/>
              <w:rPr>
                <w:sz w:val="21"/>
                <w:szCs w:val="21"/>
                <w:u w:val="single"/>
              </w:rPr>
            </w:pPr>
            <w:r>
              <w:rPr>
                <w:rFonts w:hint="eastAsia"/>
                <w:sz w:val="21"/>
                <w:szCs w:val="21"/>
                <w:u w:val="single"/>
              </w:rPr>
              <w:t>+31.05</w:t>
            </w:r>
          </w:p>
        </w:tc>
      </w:tr>
      <w:tr w14:paraId="050140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05257AE6">
            <w:pPr>
              <w:pStyle w:val="64"/>
              <w:spacing w:line="240" w:lineRule="auto"/>
              <w:ind w:firstLine="0"/>
              <w:rPr>
                <w:color w:val="FF0000"/>
                <w:sz w:val="21"/>
                <w:szCs w:val="21"/>
                <w:u w:val="single"/>
              </w:rPr>
            </w:pPr>
          </w:p>
        </w:tc>
        <w:tc>
          <w:tcPr>
            <w:tcW w:w="1735" w:type="dxa"/>
            <w:tcBorders>
              <w:tl2br w:val="nil"/>
              <w:tr2bl w:val="nil"/>
            </w:tcBorders>
            <w:vAlign w:val="center"/>
          </w:tcPr>
          <w:p w14:paraId="04435BE8">
            <w:pPr>
              <w:pStyle w:val="64"/>
              <w:spacing w:line="240" w:lineRule="auto"/>
              <w:ind w:firstLine="0"/>
              <w:rPr>
                <w:sz w:val="21"/>
                <w:szCs w:val="21"/>
                <w:u w:val="single"/>
              </w:rPr>
            </w:pPr>
            <w:r>
              <w:rPr>
                <w:sz w:val="21"/>
                <w:szCs w:val="21"/>
                <w:u w:val="single"/>
              </w:rPr>
              <w:t>废碱液</w:t>
            </w:r>
          </w:p>
        </w:tc>
        <w:tc>
          <w:tcPr>
            <w:tcW w:w="1217" w:type="dxa"/>
            <w:tcBorders>
              <w:tl2br w:val="nil"/>
              <w:tr2bl w:val="nil"/>
            </w:tcBorders>
            <w:vAlign w:val="center"/>
          </w:tcPr>
          <w:p w14:paraId="3658AA6D">
            <w:pPr>
              <w:pStyle w:val="64"/>
              <w:spacing w:line="240" w:lineRule="auto"/>
              <w:ind w:firstLine="0"/>
              <w:rPr>
                <w:sz w:val="21"/>
                <w:szCs w:val="21"/>
                <w:u w:val="single"/>
              </w:rPr>
            </w:pPr>
            <w:r>
              <w:rPr>
                <w:rFonts w:hint="eastAsia"/>
                <w:sz w:val="21"/>
                <w:szCs w:val="21"/>
                <w:u w:val="single"/>
              </w:rPr>
              <w:t>10</w:t>
            </w:r>
          </w:p>
        </w:tc>
        <w:tc>
          <w:tcPr>
            <w:tcW w:w="1217" w:type="dxa"/>
            <w:tcBorders>
              <w:tl2br w:val="nil"/>
              <w:tr2bl w:val="nil"/>
            </w:tcBorders>
            <w:vAlign w:val="center"/>
          </w:tcPr>
          <w:p w14:paraId="34DDCFE8">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E9C341E">
            <w:pPr>
              <w:pStyle w:val="64"/>
              <w:spacing w:line="240" w:lineRule="auto"/>
              <w:ind w:firstLine="0"/>
              <w:rPr>
                <w:sz w:val="21"/>
                <w:szCs w:val="21"/>
                <w:u w:val="single"/>
              </w:rPr>
            </w:pPr>
            <w:r>
              <w:rPr>
                <w:rFonts w:hint="eastAsia"/>
                <w:sz w:val="21"/>
                <w:szCs w:val="21"/>
                <w:u w:val="single"/>
              </w:rPr>
              <w:t>-10</w:t>
            </w:r>
          </w:p>
        </w:tc>
        <w:tc>
          <w:tcPr>
            <w:tcW w:w="1218" w:type="dxa"/>
            <w:tcBorders>
              <w:tl2br w:val="nil"/>
              <w:tr2bl w:val="nil"/>
            </w:tcBorders>
            <w:vAlign w:val="center"/>
          </w:tcPr>
          <w:p w14:paraId="23F55C69">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3E2EB166">
            <w:pPr>
              <w:pStyle w:val="64"/>
              <w:spacing w:line="240" w:lineRule="auto"/>
              <w:ind w:firstLine="0"/>
              <w:rPr>
                <w:sz w:val="21"/>
                <w:szCs w:val="21"/>
                <w:u w:val="single"/>
              </w:rPr>
            </w:pPr>
            <w:r>
              <w:rPr>
                <w:rFonts w:hint="eastAsia"/>
                <w:sz w:val="21"/>
                <w:szCs w:val="21"/>
                <w:u w:val="single"/>
              </w:rPr>
              <w:t>-10</w:t>
            </w:r>
          </w:p>
        </w:tc>
      </w:tr>
      <w:tr w14:paraId="04FD2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2F55469">
            <w:pPr>
              <w:pStyle w:val="64"/>
              <w:spacing w:line="240" w:lineRule="auto"/>
              <w:ind w:firstLine="0"/>
              <w:rPr>
                <w:color w:val="FF0000"/>
                <w:sz w:val="21"/>
                <w:szCs w:val="21"/>
                <w:u w:val="single"/>
              </w:rPr>
            </w:pPr>
          </w:p>
        </w:tc>
        <w:tc>
          <w:tcPr>
            <w:tcW w:w="1735" w:type="dxa"/>
            <w:tcBorders>
              <w:tl2br w:val="nil"/>
              <w:tr2bl w:val="nil"/>
            </w:tcBorders>
            <w:vAlign w:val="center"/>
          </w:tcPr>
          <w:p w14:paraId="59B1582D">
            <w:pPr>
              <w:pStyle w:val="64"/>
              <w:spacing w:line="240" w:lineRule="auto"/>
              <w:ind w:firstLine="0"/>
              <w:rPr>
                <w:sz w:val="21"/>
                <w:szCs w:val="21"/>
                <w:u w:val="single"/>
              </w:rPr>
            </w:pPr>
            <w:r>
              <w:rPr>
                <w:rFonts w:hint="eastAsia"/>
                <w:sz w:val="21"/>
                <w:szCs w:val="21"/>
                <w:u w:val="single"/>
              </w:rPr>
              <w:t>含油抹布、手套</w:t>
            </w:r>
          </w:p>
        </w:tc>
        <w:tc>
          <w:tcPr>
            <w:tcW w:w="1217" w:type="dxa"/>
            <w:tcBorders>
              <w:tl2br w:val="nil"/>
              <w:tr2bl w:val="nil"/>
            </w:tcBorders>
            <w:vAlign w:val="center"/>
          </w:tcPr>
          <w:p w14:paraId="157F2E58">
            <w:pPr>
              <w:pStyle w:val="64"/>
              <w:spacing w:line="240" w:lineRule="auto"/>
              <w:ind w:firstLine="0"/>
              <w:rPr>
                <w:sz w:val="21"/>
                <w:szCs w:val="21"/>
                <w:u w:val="single"/>
              </w:rPr>
            </w:pPr>
            <w:r>
              <w:rPr>
                <w:rFonts w:hint="eastAsia"/>
                <w:sz w:val="21"/>
                <w:szCs w:val="21"/>
                <w:u w:val="single"/>
              </w:rPr>
              <w:t>5</w:t>
            </w:r>
          </w:p>
        </w:tc>
        <w:tc>
          <w:tcPr>
            <w:tcW w:w="1217" w:type="dxa"/>
            <w:tcBorders>
              <w:tl2br w:val="nil"/>
              <w:tr2bl w:val="nil"/>
            </w:tcBorders>
            <w:vAlign w:val="center"/>
          </w:tcPr>
          <w:p w14:paraId="0C96DF02">
            <w:pPr>
              <w:pStyle w:val="64"/>
              <w:spacing w:line="240" w:lineRule="auto"/>
              <w:ind w:firstLine="0"/>
              <w:rPr>
                <w:sz w:val="21"/>
                <w:szCs w:val="21"/>
                <w:u w:val="single"/>
              </w:rPr>
            </w:pPr>
            <w:r>
              <w:rPr>
                <w:rFonts w:hint="eastAsia"/>
                <w:sz w:val="21"/>
                <w:szCs w:val="21"/>
                <w:u w:val="single"/>
              </w:rPr>
              <w:t>1.5</w:t>
            </w:r>
          </w:p>
        </w:tc>
        <w:tc>
          <w:tcPr>
            <w:tcW w:w="1218" w:type="dxa"/>
            <w:tcBorders>
              <w:tl2br w:val="nil"/>
              <w:tr2bl w:val="nil"/>
            </w:tcBorders>
            <w:vAlign w:val="center"/>
          </w:tcPr>
          <w:p w14:paraId="02B257C5">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6EA869DC">
            <w:pPr>
              <w:pStyle w:val="64"/>
              <w:spacing w:line="240" w:lineRule="auto"/>
              <w:ind w:firstLine="0"/>
              <w:rPr>
                <w:sz w:val="21"/>
                <w:szCs w:val="21"/>
                <w:u w:val="single"/>
              </w:rPr>
            </w:pPr>
            <w:r>
              <w:rPr>
                <w:rFonts w:hint="eastAsia"/>
                <w:sz w:val="21"/>
                <w:szCs w:val="21"/>
                <w:u w:val="single"/>
              </w:rPr>
              <w:t>6.5</w:t>
            </w:r>
          </w:p>
        </w:tc>
        <w:tc>
          <w:tcPr>
            <w:tcW w:w="1218" w:type="dxa"/>
            <w:tcBorders>
              <w:tl2br w:val="nil"/>
              <w:tr2bl w:val="nil"/>
            </w:tcBorders>
            <w:vAlign w:val="center"/>
          </w:tcPr>
          <w:p w14:paraId="37244520">
            <w:pPr>
              <w:pStyle w:val="64"/>
              <w:spacing w:line="240" w:lineRule="auto"/>
              <w:ind w:firstLine="0"/>
              <w:rPr>
                <w:sz w:val="21"/>
                <w:szCs w:val="21"/>
                <w:u w:val="single"/>
              </w:rPr>
            </w:pPr>
            <w:r>
              <w:rPr>
                <w:rFonts w:hint="eastAsia"/>
                <w:sz w:val="21"/>
                <w:szCs w:val="21"/>
                <w:u w:val="single"/>
              </w:rPr>
              <w:t>+1.5</w:t>
            </w:r>
          </w:p>
        </w:tc>
      </w:tr>
      <w:tr w14:paraId="0D6069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0B8B1197">
            <w:pPr>
              <w:pStyle w:val="64"/>
              <w:spacing w:line="240" w:lineRule="auto"/>
              <w:ind w:firstLine="0"/>
              <w:rPr>
                <w:color w:val="FF0000"/>
                <w:sz w:val="21"/>
                <w:szCs w:val="21"/>
                <w:u w:val="single"/>
              </w:rPr>
            </w:pPr>
          </w:p>
        </w:tc>
        <w:tc>
          <w:tcPr>
            <w:tcW w:w="1735" w:type="dxa"/>
            <w:tcBorders>
              <w:tl2br w:val="nil"/>
              <w:tr2bl w:val="nil"/>
            </w:tcBorders>
            <w:vAlign w:val="center"/>
          </w:tcPr>
          <w:p w14:paraId="34D225E7">
            <w:pPr>
              <w:pStyle w:val="64"/>
              <w:spacing w:line="240" w:lineRule="auto"/>
              <w:ind w:firstLine="0"/>
              <w:rPr>
                <w:sz w:val="21"/>
                <w:szCs w:val="21"/>
                <w:u w:val="single"/>
              </w:rPr>
            </w:pPr>
            <w:r>
              <w:rPr>
                <w:rFonts w:hint="eastAsia"/>
                <w:sz w:val="21"/>
                <w:szCs w:val="21"/>
                <w:u w:val="single"/>
              </w:rPr>
              <w:t>废过滤棉</w:t>
            </w:r>
          </w:p>
        </w:tc>
        <w:tc>
          <w:tcPr>
            <w:tcW w:w="1217" w:type="dxa"/>
            <w:tcBorders>
              <w:tl2br w:val="nil"/>
              <w:tr2bl w:val="nil"/>
            </w:tcBorders>
            <w:vAlign w:val="center"/>
          </w:tcPr>
          <w:p w14:paraId="0B76AE15">
            <w:pPr>
              <w:pStyle w:val="64"/>
              <w:spacing w:line="240" w:lineRule="auto"/>
              <w:ind w:firstLine="0"/>
              <w:rPr>
                <w:sz w:val="21"/>
                <w:szCs w:val="21"/>
                <w:u w:val="single"/>
              </w:rPr>
            </w:pPr>
            <w:r>
              <w:rPr>
                <w:rFonts w:hint="eastAsia"/>
                <w:sz w:val="21"/>
                <w:szCs w:val="21"/>
                <w:u w:val="single"/>
              </w:rPr>
              <w:t>0.18</w:t>
            </w:r>
          </w:p>
        </w:tc>
        <w:tc>
          <w:tcPr>
            <w:tcW w:w="1217" w:type="dxa"/>
            <w:tcBorders>
              <w:tl2br w:val="nil"/>
              <w:tr2bl w:val="nil"/>
            </w:tcBorders>
            <w:vAlign w:val="center"/>
          </w:tcPr>
          <w:p w14:paraId="7FCB3C48">
            <w:pPr>
              <w:pStyle w:val="64"/>
              <w:spacing w:line="240" w:lineRule="auto"/>
              <w:ind w:firstLine="0"/>
              <w:rPr>
                <w:sz w:val="21"/>
                <w:szCs w:val="21"/>
                <w:u w:val="single"/>
              </w:rPr>
            </w:pPr>
            <w:r>
              <w:rPr>
                <w:rFonts w:hint="eastAsia"/>
                <w:sz w:val="21"/>
                <w:szCs w:val="21"/>
                <w:u w:val="single"/>
              </w:rPr>
              <w:t>0.18</w:t>
            </w:r>
          </w:p>
        </w:tc>
        <w:tc>
          <w:tcPr>
            <w:tcW w:w="1218" w:type="dxa"/>
            <w:tcBorders>
              <w:tl2br w:val="nil"/>
              <w:tr2bl w:val="nil"/>
            </w:tcBorders>
            <w:vAlign w:val="center"/>
          </w:tcPr>
          <w:p w14:paraId="355B05B1">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8AA7120">
            <w:pPr>
              <w:pStyle w:val="64"/>
              <w:spacing w:line="240" w:lineRule="auto"/>
              <w:ind w:firstLine="0"/>
              <w:rPr>
                <w:sz w:val="21"/>
                <w:szCs w:val="21"/>
                <w:u w:val="single"/>
              </w:rPr>
            </w:pPr>
            <w:r>
              <w:rPr>
                <w:rFonts w:hint="eastAsia"/>
                <w:sz w:val="21"/>
                <w:szCs w:val="21"/>
                <w:u w:val="single"/>
              </w:rPr>
              <w:t>0.26</w:t>
            </w:r>
          </w:p>
        </w:tc>
        <w:tc>
          <w:tcPr>
            <w:tcW w:w="1218" w:type="dxa"/>
            <w:tcBorders>
              <w:tl2br w:val="nil"/>
              <w:tr2bl w:val="nil"/>
            </w:tcBorders>
            <w:vAlign w:val="center"/>
          </w:tcPr>
          <w:p w14:paraId="14BE5981">
            <w:pPr>
              <w:pStyle w:val="64"/>
              <w:spacing w:line="240" w:lineRule="auto"/>
              <w:ind w:firstLine="0"/>
              <w:rPr>
                <w:sz w:val="21"/>
                <w:szCs w:val="21"/>
                <w:u w:val="single"/>
              </w:rPr>
            </w:pPr>
            <w:r>
              <w:rPr>
                <w:rFonts w:hint="eastAsia"/>
                <w:sz w:val="21"/>
                <w:szCs w:val="21"/>
                <w:u w:val="single"/>
              </w:rPr>
              <w:t>+0.18</w:t>
            </w:r>
          </w:p>
        </w:tc>
      </w:tr>
      <w:tr w14:paraId="2CFFAE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77802109">
            <w:pPr>
              <w:pStyle w:val="64"/>
              <w:spacing w:line="240" w:lineRule="auto"/>
              <w:ind w:firstLine="0"/>
              <w:rPr>
                <w:color w:val="FF0000"/>
                <w:sz w:val="21"/>
                <w:szCs w:val="21"/>
                <w:u w:val="single"/>
              </w:rPr>
            </w:pPr>
          </w:p>
        </w:tc>
        <w:tc>
          <w:tcPr>
            <w:tcW w:w="1735" w:type="dxa"/>
            <w:tcBorders>
              <w:tl2br w:val="nil"/>
              <w:tr2bl w:val="nil"/>
            </w:tcBorders>
            <w:vAlign w:val="center"/>
          </w:tcPr>
          <w:p w14:paraId="3B72703E">
            <w:pPr>
              <w:pStyle w:val="64"/>
              <w:spacing w:line="240" w:lineRule="auto"/>
              <w:ind w:firstLine="0"/>
              <w:rPr>
                <w:sz w:val="21"/>
                <w:szCs w:val="21"/>
                <w:u w:val="single"/>
              </w:rPr>
            </w:pPr>
            <w:r>
              <w:rPr>
                <w:sz w:val="21"/>
                <w:szCs w:val="21"/>
                <w:u w:val="single"/>
              </w:rPr>
              <w:t>废</w:t>
            </w:r>
            <w:r>
              <w:rPr>
                <w:rFonts w:hint="eastAsia"/>
                <w:sz w:val="21"/>
                <w:szCs w:val="21"/>
                <w:u w:val="single"/>
              </w:rPr>
              <w:t>活性炭</w:t>
            </w:r>
          </w:p>
        </w:tc>
        <w:tc>
          <w:tcPr>
            <w:tcW w:w="1217" w:type="dxa"/>
            <w:tcBorders>
              <w:tl2br w:val="nil"/>
              <w:tr2bl w:val="nil"/>
            </w:tcBorders>
            <w:vAlign w:val="center"/>
          </w:tcPr>
          <w:p w14:paraId="6820F60A">
            <w:pPr>
              <w:pStyle w:val="64"/>
              <w:spacing w:line="240" w:lineRule="auto"/>
              <w:ind w:firstLine="0"/>
              <w:rPr>
                <w:sz w:val="21"/>
                <w:szCs w:val="21"/>
                <w:u w:val="single"/>
              </w:rPr>
            </w:pPr>
            <w:r>
              <w:rPr>
                <w:rFonts w:hint="eastAsia"/>
                <w:sz w:val="21"/>
                <w:szCs w:val="21"/>
                <w:u w:val="single"/>
              </w:rPr>
              <w:t>70</w:t>
            </w:r>
            <w:r>
              <w:rPr>
                <w:sz w:val="21"/>
                <w:szCs w:val="21"/>
                <w:u w:val="single"/>
              </w:rPr>
              <w:t>/</w:t>
            </w:r>
            <w:r>
              <w:rPr>
                <w:rFonts w:hint="eastAsia"/>
                <w:sz w:val="21"/>
                <w:szCs w:val="21"/>
                <w:u w:val="single"/>
              </w:rPr>
              <w:t>10</w:t>
            </w:r>
            <w:r>
              <w:rPr>
                <w:sz w:val="21"/>
                <w:szCs w:val="21"/>
                <w:u w:val="single"/>
              </w:rPr>
              <w:t>a</w:t>
            </w:r>
          </w:p>
        </w:tc>
        <w:tc>
          <w:tcPr>
            <w:tcW w:w="1217" w:type="dxa"/>
            <w:tcBorders>
              <w:tl2br w:val="nil"/>
              <w:tr2bl w:val="nil"/>
            </w:tcBorders>
            <w:vAlign w:val="center"/>
          </w:tcPr>
          <w:p w14:paraId="6D766402">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34F2E1AF">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64F74526">
            <w:pPr>
              <w:pStyle w:val="64"/>
              <w:spacing w:line="240" w:lineRule="auto"/>
              <w:ind w:firstLine="0"/>
              <w:rPr>
                <w:sz w:val="21"/>
                <w:szCs w:val="21"/>
                <w:u w:val="single"/>
              </w:rPr>
            </w:pPr>
            <w:r>
              <w:rPr>
                <w:rFonts w:hint="eastAsia"/>
                <w:sz w:val="21"/>
                <w:szCs w:val="21"/>
                <w:u w:val="single"/>
              </w:rPr>
              <w:t>70</w:t>
            </w:r>
            <w:r>
              <w:rPr>
                <w:sz w:val="21"/>
                <w:szCs w:val="21"/>
                <w:u w:val="single"/>
              </w:rPr>
              <w:t>/</w:t>
            </w:r>
            <w:r>
              <w:rPr>
                <w:rFonts w:hint="eastAsia"/>
                <w:sz w:val="21"/>
                <w:szCs w:val="21"/>
                <w:u w:val="single"/>
              </w:rPr>
              <w:t>10</w:t>
            </w:r>
            <w:r>
              <w:rPr>
                <w:sz w:val="21"/>
                <w:szCs w:val="21"/>
                <w:u w:val="single"/>
              </w:rPr>
              <w:t>a</w:t>
            </w:r>
          </w:p>
        </w:tc>
        <w:tc>
          <w:tcPr>
            <w:tcW w:w="1218" w:type="dxa"/>
            <w:tcBorders>
              <w:tl2br w:val="nil"/>
              <w:tr2bl w:val="nil"/>
            </w:tcBorders>
            <w:vAlign w:val="center"/>
          </w:tcPr>
          <w:p w14:paraId="5CA4F68E">
            <w:pPr>
              <w:pStyle w:val="64"/>
              <w:spacing w:line="240" w:lineRule="auto"/>
              <w:ind w:firstLine="0"/>
              <w:rPr>
                <w:sz w:val="21"/>
                <w:szCs w:val="21"/>
                <w:u w:val="single"/>
              </w:rPr>
            </w:pPr>
            <w:r>
              <w:rPr>
                <w:rFonts w:hint="eastAsia"/>
                <w:sz w:val="21"/>
                <w:szCs w:val="21"/>
                <w:u w:val="single"/>
              </w:rPr>
              <w:t>0</w:t>
            </w:r>
          </w:p>
        </w:tc>
      </w:tr>
      <w:tr w14:paraId="65866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4CB6289E">
            <w:pPr>
              <w:pStyle w:val="64"/>
              <w:spacing w:line="240" w:lineRule="auto"/>
              <w:ind w:firstLine="0"/>
              <w:rPr>
                <w:color w:val="FF0000"/>
                <w:sz w:val="21"/>
                <w:szCs w:val="21"/>
                <w:u w:val="single"/>
              </w:rPr>
            </w:pPr>
          </w:p>
        </w:tc>
        <w:tc>
          <w:tcPr>
            <w:tcW w:w="1735" w:type="dxa"/>
            <w:tcBorders>
              <w:tl2br w:val="nil"/>
              <w:tr2bl w:val="nil"/>
            </w:tcBorders>
            <w:vAlign w:val="center"/>
          </w:tcPr>
          <w:p w14:paraId="0F7A324D">
            <w:pPr>
              <w:pStyle w:val="64"/>
              <w:spacing w:line="240" w:lineRule="auto"/>
              <w:ind w:firstLine="0"/>
              <w:rPr>
                <w:sz w:val="21"/>
                <w:szCs w:val="21"/>
                <w:u w:val="single"/>
              </w:rPr>
            </w:pPr>
            <w:r>
              <w:rPr>
                <w:rFonts w:hint="eastAsia"/>
                <w:sz w:val="21"/>
                <w:szCs w:val="21"/>
                <w:u w:val="single"/>
              </w:rPr>
              <w:t>废沸石</w:t>
            </w:r>
          </w:p>
        </w:tc>
        <w:tc>
          <w:tcPr>
            <w:tcW w:w="1217" w:type="dxa"/>
            <w:tcBorders>
              <w:tl2br w:val="nil"/>
              <w:tr2bl w:val="nil"/>
            </w:tcBorders>
            <w:vAlign w:val="center"/>
          </w:tcPr>
          <w:p w14:paraId="2EA20E63">
            <w:pPr>
              <w:pStyle w:val="64"/>
              <w:spacing w:line="240" w:lineRule="auto"/>
              <w:ind w:firstLine="0"/>
              <w:rPr>
                <w:sz w:val="21"/>
                <w:szCs w:val="21"/>
                <w:u w:val="single"/>
              </w:rPr>
            </w:pPr>
            <w:r>
              <w:rPr>
                <w:rFonts w:hint="eastAsia"/>
                <w:sz w:val="21"/>
                <w:szCs w:val="21"/>
                <w:u w:val="single"/>
              </w:rPr>
              <w:t>2.5</w:t>
            </w:r>
            <w:r>
              <w:rPr>
                <w:sz w:val="21"/>
                <w:szCs w:val="21"/>
                <w:u w:val="single"/>
              </w:rPr>
              <w:t>t/</w:t>
            </w:r>
            <w:r>
              <w:rPr>
                <w:rFonts w:hint="eastAsia"/>
                <w:sz w:val="21"/>
                <w:szCs w:val="21"/>
                <w:u w:val="single"/>
              </w:rPr>
              <w:t>8</w:t>
            </w:r>
            <w:r>
              <w:rPr>
                <w:sz w:val="21"/>
                <w:szCs w:val="21"/>
                <w:u w:val="single"/>
              </w:rPr>
              <w:t>a</w:t>
            </w:r>
          </w:p>
        </w:tc>
        <w:tc>
          <w:tcPr>
            <w:tcW w:w="1217" w:type="dxa"/>
            <w:tcBorders>
              <w:tl2br w:val="nil"/>
              <w:tr2bl w:val="nil"/>
            </w:tcBorders>
            <w:vAlign w:val="center"/>
          </w:tcPr>
          <w:p w14:paraId="579642B9">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25451572">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5BD60A81">
            <w:pPr>
              <w:pStyle w:val="64"/>
              <w:spacing w:line="240" w:lineRule="auto"/>
              <w:ind w:firstLine="0"/>
              <w:rPr>
                <w:sz w:val="21"/>
                <w:szCs w:val="21"/>
                <w:u w:val="single"/>
              </w:rPr>
            </w:pPr>
            <w:r>
              <w:rPr>
                <w:rFonts w:hint="eastAsia"/>
                <w:sz w:val="21"/>
                <w:szCs w:val="21"/>
                <w:u w:val="single"/>
              </w:rPr>
              <w:t>70</w:t>
            </w:r>
            <w:r>
              <w:rPr>
                <w:sz w:val="21"/>
                <w:szCs w:val="21"/>
                <w:u w:val="single"/>
              </w:rPr>
              <w:t>/</w:t>
            </w:r>
            <w:r>
              <w:rPr>
                <w:rFonts w:hint="eastAsia"/>
                <w:sz w:val="21"/>
                <w:szCs w:val="21"/>
                <w:u w:val="single"/>
              </w:rPr>
              <w:t>10</w:t>
            </w:r>
            <w:r>
              <w:rPr>
                <w:sz w:val="21"/>
                <w:szCs w:val="21"/>
                <w:u w:val="single"/>
              </w:rPr>
              <w:t>a</w:t>
            </w:r>
          </w:p>
        </w:tc>
        <w:tc>
          <w:tcPr>
            <w:tcW w:w="1218" w:type="dxa"/>
            <w:tcBorders>
              <w:tl2br w:val="nil"/>
              <w:tr2bl w:val="nil"/>
            </w:tcBorders>
            <w:vAlign w:val="center"/>
          </w:tcPr>
          <w:p w14:paraId="6BC79A94">
            <w:pPr>
              <w:pStyle w:val="64"/>
              <w:spacing w:line="240" w:lineRule="auto"/>
              <w:ind w:firstLine="0"/>
              <w:rPr>
                <w:sz w:val="21"/>
                <w:szCs w:val="21"/>
                <w:u w:val="single"/>
              </w:rPr>
            </w:pPr>
            <w:r>
              <w:rPr>
                <w:rFonts w:hint="eastAsia"/>
                <w:sz w:val="21"/>
                <w:szCs w:val="21"/>
                <w:u w:val="single"/>
              </w:rPr>
              <w:t>0</w:t>
            </w:r>
          </w:p>
        </w:tc>
      </w:tr>
      <w:tr w14:paraId="3E5E47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42448B21">
            <w:pPr>
              <w:pStyle w:val="64"/>
              <w:spacing w:line="240" w:lineRule="auto"/>
              <w:ind w:firstLine="0"/>
              <w:rPr>
                <w:color w:val="FF0000"/>
                <w:sz w:val="21"/>
                <w:szCs w:val="21"/>
                <w:u w:val="single"/>
              </w:rPr>
            </w:pPr>
          </w:p>
        </w:tc>
        <w:tc>
          <w:tcPr>
            <w:tcW w:w="1735" w:type="dxa"/>
            <w:tcBorders>
              <w:tl2br w:val="nil"/>
              <w:tr2bl w:val="nil"/>
            </w:tcBorders>
            <w:vAlign w:val="center"/>
          </w:tcPr>
          <w:p w14:paraId="531AF6B3">
            <w:pPr>
              <w:pStyle w:val="64"/>
              <w:spacing w:line="240" w:lineRule="auto"/>
              <w:ind w:firstLine="0"/>
              <w:rPr>
                <w:sz w:val="21"/>
                <w:szCs w:val="21"/>
                <w:u w:val="single"/>
              </w:rPr>
            </w:pPr>
            <w:r>
              <w:rPr>
                <w:rFonts w:hint="eastAsia"/>
                <w:sz w:val="21"/>
                <w:szCs w:val="21"/>
                <w:u w:val="single"/>
              </w:rPr>
              <w:t>精馏残液</w:t>
            </w:r>
          </w:p>
        </w:tc>
        <w:tc>
          <w:tcPr>
            <w:tcW w:w="1217" w:type="dxa"/>
            <w:tcBorders>
              <w:tl2br w:val="nil"/>
              <w:tr2bl w:val="nil"/>
            </w:tcBorders>
            <w:vAlign w:val="center"/>
          </w:tcPr>
          <w:p w14:paraId="67C5393E">
            <w:pPr>
              <w:pStyle w:val="64"/>
              <w:spacing w:line="240" w:lineRule="auto"/>
              <w:ind w:firstLine="0"/>
              <w:rPr>
                <w:sz w:val="21"/>
                <w:szCs w:val="21"/>
                <w:u w:val="single"/>
              </w:rPr>
            </w:pPr>
            <w:r>
              <w:rPr>
                <w:rFonts w:hint="eastAsia"/>
                <w:sz w:val="21"/>
                <w:szCs w:val="21"/>
                <w:u w:val="single"/>
              </w:rPr>
              <w:t>35.2</w:t>
            </w:r>
          </w:p>
        </w:tc>
        <w:tc>
          <w:tcPr>
            <w:tcW w:w="1217" w:type="dxa"/>
            <w:tcBorders>
              <w:tl2br w:val="nil"/>
              <w:tr2bl w:val="nil"/>
            </w:tcBorders>
            <w:vAlign w:val="center"/>
          </w:tcPr>
          <w:p w14:paraId="292DF3A0">
            <w:pPr>
              <w:pStyle w:val="64"/>
              <w:spacing w:line="240" w:lineRule="auto"/>
              <w:ind w:firstLine="0"/>
              <w:rPr>
                <w:sz w:val="21"/>
                <w:szCs w:val="21"/>
                <w:u w:val="single"/>
              </w:rPr>
            </w:pPr>
            <w:r>
              <w:rPr>
                <w:sz w:val="21"/>
                <w:szCs w:val="21"/>
                <w:u w:val="single"/>
              </w:rPr>
              <w:t>55.361</w:t>
            </w:r>
          </w:p>
        </w:tc>
        <w:tc>
          <w:tcPr>
            <w:tcW w:w="1218" w:type="dxa"/>
            <w:tcBorders>
              <w:tl2br w:val="nil"/>
              <w:tr2bl w:val="nil"/>
            </w:tcBorders>
            <w:vAlign w:val="center"/>
          </w:tcPr>
          <w:p w14:paraId="0E1674F8">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30086F6D">
            <w:pPr>
              <w:pStyle w:val="64"/>
              <w:spacing w:line="240" w:lineRule="auto"/>
              <w:ind w:firstLine="0"/>
              <w:rPr>
                <w:sz w:val="21"/>
                <w:szCs w:val="21"/>
                <w:u w:val="single"/>
              </w:rPr>
            </w:pPr>
            <w:r>
              <w:rPr>
                <w:rFonts w:hint="eastAsia"/>
                <w:sz w:val="21"/>
                <w:szCs w:val="21"/>
                <w:u w:val="single"/>
              </w:rPr>
              <w:t>90.561</w:t>
            </w:r>
          </w:p>
        </w:tc>
        <w:tc>
          <w:tcPr>
            <w:tcW w:w="1218" w:type="dxa"/>
            <w:tcBorders>
              <w:tl2br w:val="nil"/>
              <w:tr2bl w:val="nil"/>
            </w:tcBorders>
            <w:vAlign w:val="center"/>
          </w:tcPr>
          <w:p w14:paraId="557FEAF3">
            <w:pPr>
              <w:pStyle w:val="64"/>
              <w:spacing w:line="240" w:lineRule="auto"/>
              <w:ind w:firstLine="0"/>
              <w:rPr>
                <w:sz w:val="21"/>
                <w:szCs w:val="21"/>
                <w:u w:val="single"/>
              </w:rPr>
            </w:pPr>
            <w:r>
              <w:rPr>
                <w:rFonts w:hint="eastAsia"/>
                <w:sz w:val="21"/>
                <w:szCs w:val="21"/>
                <w:u w:val="single"/>
              </w:rPr>
              <w:t>+</w:t>
            </w:r>
            <w:r>
              <w:rPr>
                <w:sz w:val="21"/>
                <w:szCs w:val="21"/>
                <w:u w:val="single"/>
              </w:rPr>
              <w:t>55.361</w:t>
            </w:r>
          </w:p>
        </w:tc>
      </w:tr>
      <w:tr w14:paraId="650482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684E07E5">
            <w:pPr>
              <w:pStyle w:val="64"/>
              <w:spacing w:line="240" w:lineRule="auto"/>
              <w:ind w:firstLine="0"/>
              <w:rPr>
                <w:color w:val="FF0000"/>
                <w:sz w:val="21"/>
                <w:szCs w:val="21"/>
                <w:u w:val="single"/>
              </w:rPr>
            </w:pPr>
          </w:p>
        </w:tc>
        <w:tc>
          <w:tcPr>
            <w:tcW w:w="1735" w:type="dxa"/>
            <w:tcBorders>
              <w:tl2br w:val="nil"/>
              <w:tr2bl w:val="nil"/>
            </w:tcBorders>
            <w:vAlign w:val="center"/>
          </w:tcPr>
          <w:p w14:paraId="50E0BC10">
            <w:pPr>
              <w:pStyle w:val="64"/>
              <w:spacing w:line="240" w:lineRule="auto"/>
              <w:ind w:firstLine="0"/>
              <w:rPr>
                <w:sz w:val="21"/>
                <w:szCs w:val="21"/>
                <w:u w:val="single"/>
              </w:rPr>
            </w:pPr>
            <w:r>
              <w:rPr>
                <w:rFonts w:hint="eastAsia"/>
                <w:sz w:val="21"/>
                <w:szCs w:val="21"/>
                <w:u w:val="single"/>
              </w:rPr>
              <w:t>废润滑油及其包装桶</w:t>
            </w:r>
          </w:p>
        </w:tc>
        <w:tc>
          <w:tcPr>
            <w:tcW w:w="1217" w:type="dxa"/>
            <w:tcBorders>
              <w:tl2br w:val="nil"/>
              <w:tr2bl w:val="nil"/>
            </w:tcBorders>
            <w:vAlign w:val="center"/>
          </w:tcPr>
          <w:p w14:paraId="1F1033FA">
            <w:pPr>
              <w:pStyle w:val="64"/>
              <w:spacing w:line="240" w:lineRule="auto"/>
              <w:ind w:firstLine="0"/>
              <w:rPr>
                <w:sz w:val="21"/>
                <w:szCs w:val="21"/>
                <w:u w:val="single"/>
              </w:rPr>
            </w:pPr>
            <w:r>
              <w:rPr>
                <w:rFonts w:hint="eastAsia"/>
                <w:sz w:val="21"/>
                <w:szCs w:val="21"/>
                <w:u w:val="single"/>
              </w:rPr>
              <w:t>0.5</w:t>
            </w:r>
          </w:p>
        </w:tc>
        <w:tc>
          <w:tcPr>
            <w:tcW w:w="1217" w:type="dxa"/>
            <w:tcBorders>
              <w:tl2br w:val="nil"/>
              <w:tr2bl w:val="nil"/>
            </w:tcBorders>
            <w:vAlign w:val="center"/>
          </w:tcPr>
          <w:p w14:paraId="3E5947A5">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1A3B3990">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60207CC7">
            <w:pPr>
              <w:pStyle w:val="64"/>
              <w:spacing w:line="240" w:lineRule="auto"/>
              <w:ind w:firstLine="0"/>
              <w:rPr>
                <w:sz w:val="21"/>
                <w:szCs w:val="21"/>
                <w:u w:val="single"/>
              </w:rPr>
            </w:pPr>
            <w:r>
              <w:rPr>
                <w:rFonts w:hint="eastAsia"/>
                <w:sz w:val="21"/>
                <w:szCs w:val="21"/>
                <w:u w:val="single"/>
              </w:rPr>
              <w:t>0.5</w:t>
            </w:r>
          </w:p>
        </w:tc>
        <w:tc>
          <w:tcPr>
            <w:tcW w:w="1218" w:type="dxa"/>
            <w:tcBorders>
              <w:tl2br w:val="nil"/>
              <w:tr2bl w:val="nil"/>
            </w:tcBorders>
            <w:vAlign w:val="center"/>
          </w:tcPr>
          <w:p w14:paraId="721D191A">
            <w:pPr>
              <w:pStyle w:val="64"/>
              <w:spacing w:line="240" w:lineRule="auto"/>
              <w:ind w:firstLine="0"/>
              <w:rPr>
                <w:sz w:val="21"/>
                <w:szCs w:val="21"/>
                <w:u w:val="single"/>
              </w:rPr>
            </w:pPr>
            <w:r>
              <w:rPr>
                <w:rFonts w:hint="eastAsia"/>
                <w:sz w:val="21"/>
                <w:szCs w:val="21"/>
                <w:u w:val="single"/>
              </w:rPr>
              <w:t>0</w:t>
            </w:r>
          </w:p>
        </w:tc>
      </w:tr>
      <w:tr w14:paraId="268A0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9" w:type="dxa"/>
            <w:vMerge w:val="continue"/>
            <w:tcBorders>
              <w:tl2br w:val="nil"/>
              <w:tr2bl w:val="nil"/>
            </w:tcBorders>
            <w:vAlign w:val="center"/>
          </w:tcPr>
          <w:p w14:paraId="5113C3C3">
            <w:pPr>
              <w:pStyle w:val="64"/>
              <w:spacing w:line="240" w:lineRule="auto"/>
              <w:ind w:firstLine="0"/>
              <w:rPr>
                <w:color w:val="FF0000"/>
                <w:sz w:val="21"/>
                <w:szCs w:val="21"/>
                <w:u w:val="single"/>
              </w:rPr>
            </w:pPr>
          </w:p>
        </w:tc>
        <w:tc>
          <w:tcPr>
            <w:tcW w:w="1735" w:type="dxa"/>
            <w:tcBorders>
              <w:tl2br w:val="nil"/>
              <w:tr2bl w:val="nil"/>
            </w:tcBorders>
            <w:vAlign w:val="center"/>
          </w:tcPr>
          <w:p w14:paraId="4310E1E3">
            <w:pPr>
              <w:pStyle w:val="64"/>
              <w:spacing w:line="240" w:lineRule="auto"/>
              <w:ind w:firstLine="0"/>
              <w:rPr>
                <w:sz w:val="21"/>
                <w:szCs w:val="21"/>
                <w:u w:val="single"/>
              </w:rPr>
            </w:pPr>
            <w:r>
              <w:rPr>
                <w:rFonts w:hint="eastAsia"/>
                <w:sz w:val="21"/>
                <w:szCs w:val="21"/>
                <w:u w:val="single"/>
              </w:rPr>
              <w:t>废导热油及其包装桶</w:t>
            </w:r>
          </w:p>
        </w:tc>
        <w:tc>
          <w:tcPr>
            <w:tcW w:w="1217" w:type="dxa"/>
            <w:tcBorders>
              <w:tl2br w:val="nil"/>
              <w:tr2bl w:val="nil"/>
            </w:tcBorders>
            <w:vAlign w:val="center"/>
          </w:tcPr>
          <w:p w14:paraId="1424E761">
            <w:pPr>
              <w:pStyle w:val="64"/>
              <w:spacing w:line="240" w:lineRule="auto"/>
              <w:ind w:firstLine="0"/>
              <w:rPr>
                <w:sz w:val="21"/>
                <w:szCs w:val="21"/>
                <w:u w:val="single"/>
              </w:rPr>
            </w:pPr>
            <w:r>
              <w:rPr>
                <w:rFonts w:hint="eastAsia"/>
                <w:sz w:val="21"/>
                <w:szCs w:val="21"/>
                <w:u w:val="single"/>
              </w:rPr>
              <w:t>2</w:t>
            </w:r>
            <w:r>
              <w:rPr>
                <w:sz w:val="21"/>
                <w:szCs w:val="21"/>
                <w:u w:val="single"/>
              </w:rPr>
              <w:t>t/</w:t>
            </w:r>
            <w:r>
              <w:rPr>
                <w:rFonts w:hint="eastAsia"/>
                <w:sz w:val="21"/>
                <w:szCs w:val="21"/>
                <w:u w:val="single"/>
              </w:rPr>
              <w:t>2</w:t>
            </w:r>
            <w:r>
              <w:rPr>
                <w:sz w:val="21"/>
                <w:szCs w:val="21"/>
                <w:u w:val="single"/>
              </w:rPr>
              <w:t>a</w:t>
            </w:r>
          </w:p>
        </w:tc>
        <w:tc>
          <w:tcPr>
            <w:tcW w:w="1217" w:type="dxa"/>
            <w:tcBorders>
              <w:tl2br w:val="nil"/>
              <w:tr2bl w:val="nil"/>
            </w:tcBorders>
            <w:vAlign w:val="center"/>
          </w:tcPr>
          <w:p w14:paraId="5AD78E71">
            <w:pPr>
              <w:pStyle w:val="64"/>
              <w:spacing w:line="240" w:lineRule="auto"/>
              <w:ind w:firstLine="0"/>
              <w:rPr>
                <w:sz w:val="21"/>
                <w:szCs w:val="21"/>
                <w:u w:val="single"/>
              </w:rPr>
            </w:pPr>
            <w:r>
              <w:rPr>
                <w:rFonts w:hint="eastAsia"/>
                <w:sz w:val="21"/>
                <w:szCs w:val="21"/>
                <w:u w:val="single"/>
              </w:rPr>
              <w:t>0</w:t>
            </w:r>
          </w:p>
        </w:tc>
        <w:tc>
          <w:tcPr>
            <w:tcW w:w="1218" w:type="dxa"/>
            <w:tcBorders>
              <w:tl2br w:val="nil"/>
              <w:tr2bl w:val="nil"/>
            </w:tcBorders>
            <w:vAlign w:val="center"/>
          </w:tcPr>
          <w:p w14:paraId="4DCEDB3A">
            <w:pPr>
              <w:pStyle w:val="64"/>
              <w:spacing w:line="240" w:lineRule="auto"/>
              <w:ind w:firstLine="0"/>
              <w:rPr>
                <w:color w:val="FF0000"/>
                <w:sz w:val="21"/>
                <w:szCs w:val="21"/>
                <w:u w:val="single"/>
              </w:rPr>
            </w:pPr>
            <w:r>
              <w:rPr>
                <w:rFonts w:hint="eastAsia"/>
                <w:sz w:val="21"/>
                <w:szCs w:val="21"/>
                <w:u w:val="single"/>
              </w:rPr>
              <w:t>0</w:t>
            </w:r>
          </w:p>
        </w:tc>
        <w:tc>
          <w:tcPr>
            <w:tcW w:w="1218" w:type="dxa"/>
            <w:tcBorders>
              <w:tl2br w:val="nil"/>
              <w:tr2bl w:val="nil"/>
            </w:tcBorders>
            <w:vAlign w:val="center"/>
          </w:tcPr>
          <w:p w14:paraId="0BF1249E">
            <w:pPr>
              <w:pStyle w:val="64"/>
              <w:spacing w:line="240" w:lineRule="auto"/>
              <w:ind w:firstLine="0"/>
              <w:rPr>
                <w:sz w:val="21"/>
                <w:szCs w:val="21"/>
                <w:u w:val="single"/>
              </w:rPr>
            </w:pPr>
            <w:r>
              <w:rPr>
                <w:rFonts w:hint="eastAsia"/>
                <w:sz w:val="21"/>
                <w:szCs w:val="21"/>
                <w:u w:val="single"/>
              </w:rPr>
              <w:t>2</w:t>
            </w:r>
            <w:r>
              <w:rPr>
                <w:sz w:val="21"/>
                <w:szCs w:val="21"/>
                <w:u w:val="single"/>
              </w:rPr>
              <w:t>t/</w:t>
            </w:r>
            <w:r>
              <w:rPr>
                <w:rFonts w:hint="eastAsia"/>
                <w:sz w:val="21"/>
                <w:szCs w:val="21"/>
                <w:u w:val="single"/>
              </w:rPr>
              <w:t>2</w:t>
            </w:r>
            <w:r>
              <w:rPr>
                <w:sz w:val="21"/>
                <w:szCs w:val="21"/>
                <w:u w:val="single"/>
              </w:rPr>
              <w:t>a</w:t>
            </w:r>
          </w:p>
        </w:tc>
        <w:tc>
          <w:tcPr>
            <w:tcW w:w="1218" w:type="dxa"/>
            <w:tcBorders>
              <w:tl2br w:val="nil"/>
              <w:tr2bl w:val="nil"/>
            </w:tcBorders>
            <w:vAlign w:val="center"/>
          </w:tcPr>
          <w:p w14:paraId="1879BCD0">
            <w:pPr>
              <w:pStyle w:val="64"/>
              <w:spacing w:line="240" w:lineRule="auto"/>
              <w:ind w:firstLine="0"/>
              <w:rPr>
                <w:sz w:val="21"/>
                <w:szCs w:val="21"/>
                <w:u w:val="single"/>
              </w:rPr>
            </w:pPr>
            <w:r>
              <w:rPr>
                <w:rFonts w:hint="eastAsia"/>
                <w:sz w:val="21"/>
                <w:szCs w:val="21"/>
                <w:u w:val="single"/>
              </w:rPr>
              <w:t>0</w:t>
            </w:r>
          </w:p>
        </w:tc>
      </w:tr>
      <w:tr w14:paraId="7C99F7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7"/>
            <w:tcBorders>
              <w:tl2br w:val="nil"/>
              <w:tr2bl w:val="nil"/>
            </w:tcBorders>
            <w:vAlign w:val="center"/>
          </w:tcPr>
          <w:p w14:paraId="529E4B3C">
            <w:pPr>
              <w:pStyle w:val="64"/>
              <w:spacing w:line="240" w:lineRule="auto"/>
              <w:ind w:firstLine="0"/>
              <w:rPr>
                <w:color w:val="FF0000"/>
                <w:sz w:val="21"/>
                <w:szCs w:val="21"/>
                <w:u w:val="single"/>
              </w:rPr>
            </w:pPr>
            <w:r>
              <w:rPr>
                <w:rFonts w:hint="eastAsia"/>
                <w:sz w:val="21"/>
                <w:szCs w:val="21"/>
                <w:u w:val="single"/>
              </w:rPr>
              <w:t>（5）=（2）–（3），（4）=（1）–（3）＋（2）</w:t>
            </w:r>
          </w:p>
        </w:tc>
      </w:tr>
    </w:tbl>
    <w:p w14:paraId="59C7357B">
      <w:pPr>
        <w:pStyle w:val="40"/>
        <w:spacing w:line="240" w:lineRule="auto"/>
        <w:ind w:firstLine="480"/>
        <w:rPr>
          <w:rFonts w:hint="default" w:eastAsia="宋体"/>
          <w:color w:val="FF0000"/>
          <w:lang w:val="en-US" w:eastAsia="zh-CN"/>
        </w:rPr>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cs="Times New Roman"/>
          <w:b/>
          <w:bCs/>
          <w:color w:val="auto"/>
          <w:sz w:val="18"/>
          <w:szCs w:val="18"/>
          <w:lang w:val="en-US" w:eastAsia="zh-CN"/>
        </w:rPr>
        <w:t>SO</w:t>
      </w:r>
      <w:r>
        <w:rPr>
          <w:rFonts w:hint="default" w:ascii="Times New Roman" w:hAnsi="Times New Roman" w:cs="Times New Roman"/>
          <w:b/>
          <w:bCs/>
          <w:color w:val="auto"/>
          <w:sz w:val="18"/>
          <w:szCs w:val="18"/>
          <w:vertAlign w:val="subscript"/>
          <w:lang w:val="en-US" w:eastAsia="zh-CN"/>
        </w:rPr>
        <w:t>2</w:t>
      </w:r>
      <w:r>
        <w:rPr>
          <w:rFonts w:hint="default" w:ascii="Times New Roman" w:hAnsi="Times New Roman" w:cs="Times New Roman"/>
          <w:b/>
          <w:bCs/>
          <w:color w:val="auto"/>
          <w:sz w:val="18"/>
          <w:szCs w:val="18"/>
          <w:lang w:val="en-US" w:eastAsia="zh-CN"/>
        </w:rPr>
        <w:t>：根据核实，目前市政天然气供给已全面达到国家一类气标准，含硫量从100毫克/立方米降低至20毫克/立方米，因此SO</w:t>
      </w:r>
      <w:r>
        <w:rPr>
          <w:rFonts w:hint="default" w:ascii="Times New Roman" w:hAnsi="Times New Roman" w:cs="Times New Roman"/>
          <w:b/>
          <w:bCs/>
          <w:color w:val="auto"/>
          <w:sz w:val="18"/>
          <w:szCs w:val="18"/>
          <w:vertAlign w:val="subscript"/>
          <w:lang w:val="en-US" w:eastAsia="zh-CN"/>
        </w:rPr>
        <w:t>2</w:t>
      </w:r>
      <w:r>
        <w:rPr>
          <w:rFonts w:hint="default" w:ascii="Times New Roman" w:hAnsi="Times New Roman" w:cs="Times New Roman"/>
          <w:b/>
          <w:bCs/>
          <w:color w:val="auto"/>
          <w:sz w:val="18"/>
          <w:szCs w:val="18"/>
          <w:lang w:val="en-US" w:eastAsia="zh-CN"/>
        </w:rPr>
        <w:t>的排放量有一定削减。</w:t>
      </w:r>
    </w:p>
    <w:p w14:paraId="5561511C">
      <w:pPr>
        <w:pStyle w:val="2"/>
        <w:numPr>
          <w:ilvl w:val="0"/>
          <w:numId w:val="0"/>
        </w:numPr>
        <w:ind w:left="425" w:leftChars="0" w:hanging="425" w:firstLineChars="0"/>
        <w:rPr>
          <w:color w:val="auto"/>
        </w:rPr>
      </w:pPr>
      <w:bookmarkStart w:id="98" w:name="_Toc19755"/>
      <w:bookmarkStart w:id="99" w:name="_Toc13312"/>
      <w:bookmarkStart w:id="100" w:name="_Toc23733"/>
      <w:bookmarkStart w:id="101" w:name="_Toc18264"/>
      <w:bookmarkStart w:id="102" w:name="_Toc1991"/>
      <w:bookmarkStart w:id="103" w:name="_Toc2194"/>
      <w:r>
        <w:rPr>
          <w:rFonts w:hint="default" w:ascii="宋体" w:hAnsi="宋体" w:eastAsia="宋体" w:cs="宋体"/>
          <w:b/>
          <w:bCs/>
          <w:color w:val="auto"/>
          <w:kern w:val="44"/>
          <w:sz w:val="32"/>
          <w:szCs w:val="32"/>
          <w:lang w:val="en-US" w:eastAsia="zh-CN" w:bidi="ar-SA"/>
        </w:rPr>
        <w:t>第5章</w:t>
      </w:r>
      <w:r>
        <w:rPr>
          <w:rFonts w:hint="eastAsia"/>
          <w:color w:val="auto"/>
        </w:rPr>
        <w:t>环境现状调查与评价</w:t>
      </w:r>
      <w:bookmarkEnd w:id="98"/>
      <w:bookmarkEnd w:id="99"/>
      <w:bookmarkEnd w:id="100"/>
      <w:bookmarkEnd w:id="101"/>
      <w:bookmarkEnd w:id="102"/>
      <w:bookmarkEnd w:id="103"/>
    </w:p>
    <w:p w14:paraId="0168E7C3">
      <w:pPr>
        <w:pStyle w:val="3"/>
        <w:numPr>
          <w:ilvl w:val="1"/>
          <w:numId w:val="0"/>
        </w:numPr>
        <w:ind w:left="567" w:leftChars="0" w:hanging="567" w:firstLineChars="0"/>
        <w:rPr>
          <w:sz w:val="28"/>
          <w:szCs w:val="28"/>
        </w:rPr>
      </w:pPr>
      <w:bookmarkStart w:id="104" w:name="_Toc29"/>
      <w:r>
        <w:rPr>
          <w:rFonts w:hint="default" w:ascii="宋体" w:hAnsi="宋体" w:eastAsia="宋体" w:cs="宋体"/>
          <w:b/>
          <w:bCs/>
          <w:kern w:val="2"/>
          <w:sz w:val="28"/>
          <w:szCs w:val="28"/>
          <w:lang w:val="en-US" w:eastAsia="zh-CN" w:bidi="ar-SA"/>
        </w:rPr>
        <w:t>5.1</w:t>
      </w:r>
      <w:r>
        <w:rPr>
          <w:rFonts w:hint="eastAsia"/>
          <w:sz w:val="28"/>
          <w:szCs w:val="28"/>
        </w:rPr>
        <w:t>自然环境现状调查与评价</w:t>
      </w:r>
      <w:bookmarkEnd w:id="104"/>
    </w:p>
    <w:p w14:paraId="7F23674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5.1.1</w:t>
      </w:r>
      <w:r>
        <w:rPr>
          <w:rFonts w:hint="eastAsia"/>
        </w:rPr>
        <w:t>地理位置</w:t>
      </w:r>
    </w:p>
    <w:p w14:paraId="232213D2">
      <w:pPr>
        <w:ind w:firstLine="480"/>
      </w:pPr>
      <w:r>
        <w:t>湘潭，古称潭州，位于湖南中部，湘江中游，与长沙、株洲各相距约40km，成“品”字状，构成湖南省政治、经济、文化最发达的“金三角”地区，是广大内陆地区通往广州、上海等沿海地区的重要通道之一。地理位置为东经111°58′-113°05′，北纬27°20′55″-28°05′40″，在平面直角坐标上，湘潭市东西最大横距108km，南北最大纵距81km；北连宁乡县、望城县、长沙县，南与衡东县、衡山县、株洲县交界，东接株洲市区、株洲县，西与双峰县、涟源县接壤。</w:t>
      </w:r>
    </w:p>
    <w:p w14:paraId="5C3A5C34">
      <w:pPr>
        <w:ind w:firstLine="480"/>
      </w:pPr>
      <w:r>
        <w:t>本项目位于湘潭县湘潭天易经济开发区海鸥路以北，厂区中心地理坐标为N27.460443°，E112.572879°，区域内交通便利。地理位置图详见附图1。</w:t>
      </w:r>
    </w:p>
    <w:p w14:paraId="6E19F8D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5.1.2</w:t>
      </w:r>
      <w:r>
        <w:rPr>
          <w:rFonts w:hint="eastAsia"/>
        </w:rPr>
        <w:t>地形地貌</w:t>
      </w:r>
    </w:p>
    <w:p w14:paraId="63C80AE4">
      <w:pPr>
        <w:ind w:firstLine="480"/>
      </w:pPr>
      <w:r>
        <w:t>本工程所在区域为剥蚀丘陵环绕的河谷堆积盆地，属低山丘陵地貌，地表切割微弱，起伏和缓，海拔50-110m，相对高度10-60m，地面坡度3-5°。该区域属于构造剥蚀岗地地貌，总的地貌轮廓是北高南低，地貌类型多样，山地、丘陵、岗地、水面具备，在全部土地总面积中以丘陵地为主，约占50%。</w:t>
      </w:r>
    </w:p>
    <w:p w14:paraId="1EB15F01">
      <w:pPr>
        <w:ind w:firstLine="480"/>
      </w:pPr>
      <w:r>
        <w:t>工程所在区域位于华南加里东～印支褶带边缘，白马伏～梅林桥褶皱带中部，长塘向斜的左翼，向斜轴向NE25-30°，SE翼展布地层有泥盆系易家湾组(DYY)炭质页岩、页岩、泥灰岩和泥盆系跳马漳组(D12)，紫红色石英砂岩及灰白色石英砂岩夹石英砾岩，其下与元古界板溪群沙坪组(Pt)板岩、砂质板岩及轻变质砂岩成角不整合接触。本区褶皱、断裂构造均发育，主要有早期雪峰山运动形成的NW向构造和后期印支运动形成的NNE向构造。</w:t>
      </w:r>
    </w:p>
    <w:p w14:paraId="79B1A3C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5.1.3</w:t>
      </w:r>
      <w:r>
        <w:rPr>
          <w:rFonts w:hint="eastAsia"/>
        </w:rPr>
        <w:t>地质</w:t>
      </w:r>
    </w:p>
    <w:p w14:paraId="0033ABEA">
      <w:pPr>
        <w:pStyle w:val="38"/>
        <w:ind w:firstLine="480"/>
        <w:rPr>
          <w:rFonts w:ascii="Times New Roman" w:hAnsi="Times New Roman" w:eastAsia="宋体" w:cs="Times New Roman"/>
          <w:color w:val="auto"/>
        </w:rPr>
      </w:pPr>
      <w:r>
        <w:rPr>
          <w:rFonts w:ascii="Times New Roman" w:hAnsi="Times New Roman" w:eastAsia="宋体" w:cs="Times New Roman"/>
          <w:color w:val="auto"/>
        </w:rPr>
        <w:t>⑴区域地质构造</w:t>
      </w:r>
    </w:p>
    <w:p w14:paraId="31EDBBEC">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城市区域地质调查报告》，湘潭市场地构造较为简单，未见断裂构造穿过，（株潭幅）未发现其他不良地质现象。区内大部分地段地质条件良好，东部分布为灰岩、白云岩及砂砾岩，西部为红色沙岩、钙泥岩。在迅达大道以南，板马路两侧的建设村内局部地段，由于人工开挖，形成地面岩溶塌陷易发区。</w:t>
      </w:r>
    </w:p>
    <w:p w14:paraId="7CB6F66A">
      <w:pPr>
        <w:pStyle w:val="38"/>
        <w:ind w:firstLine="480"/>
        <w:rPr>
          <w:rFonts w:ascii="Times New Roman" w:hAnsi="Times New Roman" w:eastAsia="宋体" w:cs="Times New Roman"/>
          <w:color w:val="auto"/>
        </w:rPr>
      </w:pPr>
      <w:r>
        <w:rPr>
          <w:rFonts w:ascii="Times New Roman" w:hAnsi="Times New Roman" w:eastAsia="宋体" w:cs="Times New Roman"/>
          <w:color w:val="auto"/>
        </w:rPr>
        <w:t>⑵地质构造及地震烈度</w:t>
      </w:r>
    </w:p>
    <w:p w14:paraId="01F403E3">
      <w:pPr>
        <w:pStyle w:val="38"/>
        <w:ind w:firstLine="480"/>
        <w:rPr>
          <w:rFonts w:ascii="Times New Roman" w:hAnsi="Times New Roman" w:eastAsia="宋体" w:cs="Times New Roman"/>
          <w:color w:val="auto"/>
        </w:rPr>
      </w:pPr>
      <w:r>
        <w:rPr>
          <w:rFonts w:ascii="Times New Roman" w:hAnsi="Times New Roman" w:eastAsia="宋体" w:cs="Times New Roman"/>
          <w:color w:val="auto"/>
        </w:rPr>
        <w:t>①区域地质构造</w:t>
      </w:r>
    </w:p>
    <w:p w14:paraId="35569580">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城市区域地质调查报告》，湘潭经开区场地构造较为简单，未见断裂构造穿过，（株潭幅）未发现其他不良地质现象。区内大部分地段地质条件良好，东部分布为灰岩、白云岩及砂砾岩，西部为红色沙岩、钙泥岩。</w:t>
      </w:r>
    </w:p>
    <w:p w14:paraId="67985B40">
      <w:pPr>
        <w:pStyle w:val="38"/>
        <w:ind w:firstLine="480"/>
        <w:rPr>
          <w:rFonts w:ascii="Times New Roman" w:hAnsi="Times New Roman" w:eastAsia="宋体" w:cs="Times New Roman"/>
          <w:color w:val="auto"/>
        </w:rPr>
      </w:pPr>
      <w:r>
        <w:rPr>
          <w:rFonts w:ascii="Times New Roman" w:hAnsi="Times New Roman" w:eastAsia="宋体" w:cs="Times New Roman"/>
          <w:color w:val="auto"/>
        </w:rPr>
        <w:t>②水文地质</w:t>
      </w:r>
    </w:p>
    <w:p w14:paraId="747A9F6E">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根据《湖南省湘潭市矿山地质环境调查与评价报告》资料，项目区范围内地下水可分为：上层滞水、孔隙潜水及基岩裂隙水三种类型。</w:t>
      </w:r>
    </w:p>
    <w:p w14:paraId="306C2322">
      <w:pPr>
        <w:pStyle w:val="38"/>
        <w:ind w:firstLine="480"/>
        <w:rPr>
          <w:rFonts w:ascii="Times New Roman" w:hAnsi="Times New Roman" w:eastAsia="宋体" w:cs="Times New Roman"/>
          <w:color w:val="auto"/>
        </w:rPr>
      </w:pPr>
      <w:r>
        <w:rPr>
          <w:rFonts w:ascii="Times New Roman" w:hAnsi="Times New Roman" w:eastAsia="宋体" w:cs="Times New Roman"/>
          <w:color w:val="auto"/>
        </w:rPr>
        <w:t>A、上层滞水：含水层主要为杂填土及耕土中，补给来源为大气降水及地表水，受季节影响，变化明显，水量较贫乏。</w:t>
      </w:r>
    </w:p>
    <w:p w14:paraId="7BC187C6">
      <w:pPr>
        <w:pStyle w:val="38"/>
        <w:ind w:firstLine="480"/>
        <w:rPr>
          <w:rFonts w:ascii="Times New Roman" w:hAnsi="Times New Roman" w:eastAsia="宋体" w:cs="Times New Roman"/>
          <w:color w:val="auto"/>
        </w:rPr>
      </w:pPr>
      <w:r>
        <w:rPr>
          <w:rFonts w:ascii="Times New Roman" w:hAnsi="Times New Roman" w:eastAsia="宋体" w:cs="Times New Roman"/>
          <w:color w:val="auto"/>
        </w:rPr>
        <w:t>B、孔隙水：主要分布于区域内各河谷地带。含水岩组为第四系冲积砂砾石层组成，地下水以孔隙潜水为主。由于岩性、厚度和地形、地表水的影响不同，其富水性各异。孔隙水分布广泛，埋藏小于10m，多为潜水。水位埋深2－4m，含水层厚4－8m，根据韶山幅《区域水文地质普查报告》，平均渗透系数为46.85（m/d），单井涌水量一般为608（m</w:t>
      </w:r>
      <w:r>
        <w:rPr>
          <w:rFonts w:ascii="Times New Roman" w:hAnsi="Times New Roman" w:eastAsia="宋体" w:cs="Times New Roman"/>
          <w:color w:val="auto"/>
          <w:vertAlign w:val="superscript"/>
        </w:rPr>
        <w:t>3</w:t>
      </w:r>
      <w:r>
        <w:rPr>
          <w:rFonts w:ascii="Times New Roman" w:hAnsi="Times New Roman" w:eastAsia="宋体" w:cs="Times New Roman"/>
          <w:color w:val="auto"/>
        </w:rPr>
        <w:t>/d），水质类型为HCO</w:t>
      </w:r>
      <w:r>
        <w:rPr>
          <w:rFonts w:ascii="Times New Roman" w:hAnsi="Times New Roman" w:eastAsia="宋体" w:cs="Times New Roman"/>
          <w:color w:val="auto"/>
          <w:vertAlign w:val="subscript"/>
        </w:rPr>
        <w:t>3</w:t>
      </w:r>
      <w:r>
        <w:rPr>
          <w:rFonts w:ascii="Times New Roman" w:hAnsi="Times New Roman" w:eastAsia="宋体" w:cs="Times New Roman"/>
          <w:color w:val="auto"/>
        </w:rPr>
        <w:t>－Ca·Na型，矿化度为0.1－0.25g/L，属淡水。该类型地下水较为丰富，但含水层上部的隔水层较薄，地下水容易受到污染。</w:t>
      </w:r>
    </w:p>
    <w:p w14:paraId="3DC9DDE7">
      <w:pPr>
        <w:pStyle w:val="38"/>
        <w:ind w:firstLine="480"/>
        <w:rPr>
          <w:rFonts w:ascii="Times New Roman" w:hAnsi="Times New Roman" w:eastAsia="宋体" w:cs="Times New Roman"/>
          <w:color w:val="auto"/>
        </w:rPr>
      </w:pPr>
      <w:r>
        <w:rPr>
          <w:rFonts w:ascii="Times New Roman" w:hAnsi="Times New Roman" w:eastAsia="宋体" w:cs="Times New Roman"/>
          <w:color w:val="auto"/>
        </w:rPr>
        <w:t>C、基岩裂隙水：含水岩（层）组由新元古界板溪群，泥盆系、石炭系等浅变质岩系、碎屑岩系组成。其富水程度受岩性、构造与地貌等因素的影响，一般含不均匀的裂隙潜水，富水性较差，多以下降泉形式出露地表，且泉水沿沟谷旁侧出露较多，流量一般为0.01-0.091L/s，含贫乏风化裂隙水，水质类型主要为HCO</w:t>
      </w:r>
      <w:r>
        <w:rPr>
          <w:rFonts w:ascii="Times New Roman" w:hAnsi="Times New Roman" w:eastAsia="宋体" w:cs="Times New Roman"/>
          <w:color w:val="auto"/>
          <w:vertAlign w:val="subscript"/>
        </w:rPr>
        <w:t>3</w:t>
      </w:r>
      <w:r>
        <w:rPr>
          <w:rFonts w:ascii="Times New Roman" w:hAnsi="Times New Roman" w:eastAsia="宋体" w:cs="Times New Roman"/>
          <w:color w:val="auto"/>
        </w:rPr>
        <w:t>·SO</w:t>
      </w:r>
      <w:r>
        <w:rPr>
          <w:rFonts w:ascii="Times New Roman" w:hAnsi="Times New Roman" w:eastAsia="宋体" w:cs="Times New Roman"/>
          <w:color w:val="auto"/>
          <w:vertAlign w:val="subscript"/>
        </w:rPr>
        <w:t>4</w:t>
      </w:r>
      <w:r>
        <w:rPr>
          <w:rFonts w:ascii="Times New Roman" w:hAnsi="Times New Roman" w:eastAsia="宋体" w:cs="Times New Roman"/>
          <w:color w:val="auto"/>
        </w:rPr>
        <w:t>－Na·Ca型。但构造裂隙发育地段或断裂破碎带相对富水，并往往显承压性质，对矿山开采影响较为明显。</w:t>
      </w:r>
    </w:p>
    <w:p w14:paraId="56297EA2">
      <w:pPr>
        <w:pStyle w:val="38"/>
        <w:ind w:firstLine="480"/>
        <w:rPr>
          <w:rFonts w:ascii="Times New Roman" w:hAnsi="Times New Roman" w:eastAsia="宋体" w:cs="Times New Roman"/>
          <w:color w:val="auto"/>
        </w:rPr>
      </w:pPr>
      <w:r>
        <w:rPr>
          <w:rFonts w:ascii="Times New Roman" w:hAnsi="Times New Roman" w:eastAsia="宋体" w:cs="Times New Roman"/>
          <w:color w:val="auto"/>
        </w:rPr>
        <w:t>D、地下水的补给、迳流、排泄条件</w:t>
      </w:r>
    </w:p>
    <w:p w14:paraId="61B6A9E0">
      <w:pPr>
        <w:pStyle w:val="38"/>
        <w:ind w:firstLine="480"/>
        <w:rPr>
          <w:rFonts w:ascii="Times New Roman" w:hAnsi="Times New Roman" w:eastAsia="宋体" w:cs="Times New Roman"/>
          <w:color w:val="auto"/>
        </w:rPr>
      </w:pPr>
      <w:r>
        <w:rPr>
          <w:rFonts w:ascii="Times New Roman" w:hAnsi="Times New Roman" w:eastAsia="宋体" w:cs="Times New Roman"/>
          <w:color w:val="auto"/>
        </w:rPr>
        <w:t>孔隙水的主要补给来源为大气降水，其次为地表水及上层孔隙水的补给；地下水迳流条件与含水岩石的透水性有密切关系，一般灰砾岩溶洞裂隙层间水分布区迳流条件好；其排泄方式主要有三类，一类是以泉的方式集中排泄，另一类为片状排泄，第三类为溪沟、河谷的线状排泄。</w:t>
      </w:r>
    </w:p>
    <w:p w14:paraId="310E2275">
      <w:pPr>
        <w:pStyle w:val="38"/>
        <w:ind w:firstLine="480"/>
        <w:rPr>
          <w:rFonts w:ascii="Times New Roman" w:hAnsi="Times New Roman" w:eastAsia="宋体" w:cs="Times New Roman"/>
          <w:color w:val="auto"/>
        </w:rPr>
      </w:pPr>
      <w:r>
        <w:rPr>
          <w:rFonts w:ascii="Times New Roman" w:hAnsi="Times New Roman" w:eastAsia="宋体" w:cs="Times New Roman"/>
          <w:color w:val="auto"/>
        </w:rPr>
        <w:t>基岩裂隙水的主要补给来源为大气降水，地下迳流一般受地表水文网制约。侵蚀基准面以上部分，由于地形切割较深，高差大，一般地下水迳流条件良好，水交替强烈；侵蚀基准面以下，一般迳流条件差，水交替迟缓。基岩裂隙水常通过风化裂隙片状渗出，排泄于小溪。其次以下降泉方式排泄。</w:t>
      </w:r>
    </w:p>
    <w:p w14:paraId="17B70BC4">
      <w:pPr>
        <w:pStyle w:val="38"/>
        <w:ind w:firstLine="480"/>
        <w:rPr>
          <w:rFonts w:ascii="Times New Roman" w:hAnsi="Times New Roman" w:eastAsia="宋体" w:cs="Times New Roman"/>
          <w:color w:val="auto"/>
        </w:rPr>
      </w:pPr>
      <w:r>
        <w:rPr>
          <w:rFonts w:ascii="Times New Roman" w:hAnsi="Times New Roman" w:eastAsia="宋体" w:cs="Times New Roman"/>
          <w:color w:val="auto"/>
        </w:rPr>
        <w:t>③地震烈度</w:t>
      </w:r>
    </w:p>
    <w:p w14:paraId="4BAD3A8F">
      <w:pPr>
        <w:pStyle w:val="38"/>
        <w:ind w:firstLine="480"/>
        <w:rPr>
          <w:rFonts w:ascii="Times New Roman" w:hAnsi="Times New Roman" w:eastAsia="宋体" w:cs="Times New Roman"/>
          <w:color w:val="auto"/>
        </w:rPr>
      </w:pPr>
      <w:r>
        <w:rPr>
          <w:rFonts w:ascii="Times New Roman" w:hAnsi="Times New Roman" w:eastAsia="宋体" w:cs="Times New Roman"/>
          <w:color w:val="auto"/>
        </w:rPr>
        <w:t>据历史记载，湘潭市没有发生过破坏性地震，根据国家质量技术监督局出版的《中国地震动参数区划图[GB18306-2001]》，湘潭市的地震动峰值加速度为g&lt;0.05m/s</w:t>
      </w:r>
      <w:r>
        <w:rPr>
          <w:rFonts w:ascii="Times New Roman" w:hAnsi="Times New Roman" w:eastAsia="宋体" w:cs="Times New Roman"/>
          <w:color w:val="auto"/>
          <w:vertAlign w:val="superscript"/>
        </w:rPr>
        <w:t>2</w:t>
      </w:r>
      <w:r>
        <w:rPr>
          <w:rFonts w:ascii="Times New Roman" w:hAnsi="Times New Roman" w:eastAsia="宋体" w:cs="Times New Roman"/>
          <w:color w:val="auto"/>
        </w:rPr>
        <w:t>，地震烈度小于6度。</w:t>
      </w:r>
    </w:p>
    <w:p w14:paraId="496428A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5.1.4</w:t>
      </w:r>
      <w:r>
        <w:rPr>
          <w:rFonts w:hint="eastAsia"/>
        </w:rPr>
        <w:t>水系</w:t>
      </w:r>
    </w:p>
    <w:p w14:paraId="4D0C9501">
      <w:pPr>
        <w:pStyle w:val="40"/>
        <w:spacing w:line="360" w:lineRule="auto"/>
        <w:ind w:firstLine="480"/>
        <w:rPr>
          <w:rFonts w:ascii="Times New Roman"/>
        </w:rPr>
      </w:pPr>
      <w:r>
        <w:rPr>
          <w:rFonts w:ascii="Times New Roman"/>
        </w:rPr>
        <w:t>湘潭市水系属湘江水系，由湘江和涟水、涓水为主体构成。总长603km的36条大小河川呈树枝状分布市境，是典型的江南水乡，水资源总量为40.92亿m</w:t>
      </w:r>
      <w:r>
        <w:rPr>
          <w:rFonts w:ascii="Times New Roman"/>
          <w:vertAlign w:val="superscript"/>
        </w:rPr>
        <w:t>3</w:t>
      </w:r>
      <w:r>
        <w:rPr>
          <w:rFonts w:ascii="Times New Roman"/>
        </w:rPr>
        <w:t>，其中地表水34.62亿m</w:t>
      </w:r>
      <w:r>
        <w:rPr>
          <w:rFonts w:ascii="Times New Roman"/>
          <w:vertAlign w:val="superscript"/>
        </w:rPr>
        <w:t>3</w:t>
      </w:r>
      <w:r>
        <w:rPr>
          <w:rFonts w:ascii="Times New Roman"/>
        </w:rPr>
        <w:t>，地下水6.3亿m</w:t>
      </w:r>
      <w:r>
        <w:rPr>
          <w:rFonts w:ascii="Times New Roman"/>
          <w:vertAlign w:val="superscript"/>
        </w:rPr>
        <w:t>3</w:t>
      </w:r>
      <w:r>
        <w:rPr>
          <w:rFonts w:ascii="Times New Roman"/>
        </w:rPr>
        <w:t>。水资源特点一是本地地表水的地区分布差异较小，多年平均径流深度的变化范围在550-700mm之间；二是地表水中本地水少、客水多。湘江、涟水、涓水到湘潭市总汇集面积达7.72万km</w:t>
      </w:r>
      <w:r>
        <w:rPr>
          <w:rFonts w:ascii="Times New Roman"/>
          <w:vertAlign w:val="superscript"/>
        </w:rPr>
        <w:t>2</w:t>
      </w:r>
      <w:r>
        <w:rPr>
          <w:rFonts w:ascii="Times New Roman"/>
        </w:rPr>
        <w:t>，总量为581.34亿m</w:t>
      </w:r>
      <w:r>
        <w:rPr>
          <w:rFonts w:ascii="Times New Roman"/>
          <w:vertAlign w:val="superscript"/>
        </w:rPr>
        <w:t>3</w:t>
      </w:r>
      <w:r>
        <w:rPr>
          <w:rFonts w:ascii="Times New Roman"/>
        </w:rPr>
        <w:t>，客水为本地水的18.5倍。</w:t>
      </w:r>
    </w:p>
    <w:p w14:paraId="5AB2AA39">
      <w:pPr>
        <w:pStyle w:val="40"/>
        <w:spacing w:line="360" w:lineRule="auto"/>
        <w:ind w:firstLine="480"/>
        <w:rPr>
          <w:rFonts w:ascii="Times New Roman"/>
        </w:rPr>
      </w:pPr>
      <w:r>
        <w:rPr>
          <w:rFonts w:ascii="Times New Roman"/>
        </w:rPr>
        <w:t>湘江是项目区域的重要水源，也是纳污水体。湘江为长江洞庭湖水系一级支流，发源于湖南省永州市蓝山县。湘江湘潭段上至马家河与株洲相接，下至易家湾与长沙接界。湘江湘潭市内河流全长42km，河流宽度400-800m，湘潭水文站控制湘江流域面积81638km</w:t>
      </w:r>
      <w:r>
        <w:rPr>
          <w:rFonts w:ascii="Times New Roman"/>
          <w:vertAlign w:val="superscript"/>
        </w:rPr>
        <w:t>2</w:t>
      </w:r>
      <w:r>
        <w:rPr>
          <w:rFonts w:ascii="Times New Roman"/>
        </w:rPr>
        <w:t>。湘江在湘潭市域范围内有涟水和涓水两支流汇入。湘江多年平均流量2126m</w:t>
      </w:r>
      <w:r>
        <w:rPr>
          <w:rFonts w:ascii="Times New Roman"/>
          <w:vertAlign w:val="superscript"/>
        </w:rPr>
        <w:t>3</w:t>
      </w:r>
      <w:r>
        <w:rPr>
          <w:rFonts w:ascii="Times New Roman"/>
        </w:rPr>
        <w:t>/s，最大洪峰流量21100m</w:t>
      </w:r>
      <w:r>
        <w:rPr>
          <w:rFonts w:ascii="Times New Roman"/>
          <w:vertAlign w:val="superscript"/>
        </w:rPr>
        <w:t>3</w:t>
      </w:r>
      <w:r>
        <w:rPr>
          <w:rFonts w:ascii="Times New Roman"/>
        </w:rPr>
        <w:t>/s（1994年6月18日），最小流量100m</w:t>
      </w:r>
      <w:r>
        <w:rPr>
          <w:rFonts w:ascii="Times New Roman"/>
          <w:vertAlign w:val="superscript"/>
        </w:rPr>
        <w:t>3</w:t>
      </w:r>
      <w:r>
        <w:rPr>
          <w:rFonts w:ascii="Times New Roman"/>
        </w:rPr>
        <w:t>/s（1994年10月6日），多年平均水位28.304m（黄海高程，下同），最高洪峰水位39.664m，最低水位25.42m。</w:t>
      </w:r>
    </w:p>
    <w:p w14:paraId="0B8AB4D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5.1.5</w:t>
      </w:r>
      <w:r>
        <w:rPr>
          <w:rFonts w:hint="eastAsia"/>
        </w:rPr>
        <w:t>气候特点</w:t>
      </w:r>
    </w:p>
    <w:p w14:paraId="58B96E13">
      <w:pPr>
        <w:pStyle w:val="25"/>
        <w:ind w:left="0" w:leftChars="0" w:firstLine="480"/>
        <w:jc w:val="left"/>
      </w:pPr>
      <w:r>
        <w:t>湘潭地处亚热带湿润气候区，四季分明，冬冷夏热，夏热期长，严寒期短。年平均气温16.7℃，较四周县市略低，年极端最高气温为39.5℃。一月份平均气温为4.4℃。7月最热，月平均气温28.9℃。湘潭年平均降水1358毫米，最多年份达到1719.9毫米。雨季在4月15日前后开始，7月10日前后结束，春夏多雨，秋冬干燥。湘潭日照偏多，年日照达1717小时，年平均日照百分率为39%，分布趋势与气温变化基本一致。</w:t>
      </w:r>
    </w:p>
    <w:p w14:paraId="49BF22E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5.1.6</w:t>
      </w:r>
      <w:r>
        <w:rPr>
          <w:rFonts w:hint="eastAsia"/>
        </w:rPr>
        <w:t>植被覆盖情况及生物多样性</w:t>
      </w:r>
    </w:p>
    <w:p w14:paraId="6639EE22">
      <w:pPr>
        <w:pStyle w:val="9"/>
        <w:ind w:firstLine="480"/>
      </w:pPr>
      <w:r>
        <w:t>湘潭市亚热带丘陵区，有林业用地346万亩，占土地面积的46%。目前，全市有林地面积340多万亩，森林覆盖率为45%以上，森林蓄积量490多万m</w:t>
      </w:r>
      <w:r>
        <w:rPr>
          <w:vertAlign w:val="superscript"/>
        </w:rPr>
        <w:t>3</w:t>
      </w:r>
      <w:r>
        <w:t>。在湘潭市全部的5015km</w:t>
      </w:r>
      <w:r>
        <w:rPr>
          <w:vertAlign w:val="superscript"/>
        </w:rPr>
        <w:t>2</w:t>
      </w:r>
      <w:r>
        <w:t>土地总面积中：山地607.8km</w:t>
      </w:r>
      <w:r>
        <w:rPr>
          <w:vertAlign w:val="superscript"/>
        </w:rPr>
        <w:t>2</w:t>
      </w:r>
      <w:r>
        <w:t>，占12.1%；丘陵965.4km</w:t>
      </w:r>
      <w:r>
        <w:rPr>
          <w:vertAlign w:val="superscript"/>
        </w:rPr>
        <w:t>2</w:t>
      </w:r>
      <w:r>
        <w:t>，占19.3%；岗地1607km</w:t>
      </w:r>
      <w:r>
        <w:rPr>
          <w:vertAlign w:val="superscript"/>
        </w:rPr>
        <w:t>2</w:t>
      </w:r>
      <w:r>
        <w:t>，占32.0%；平原1406.8km</w:t>
      </w:r>
      <w:r>
        <w:rPr>
          <w:vertAlign w:val="superscript"/>
        </w:rPr>
        <w:t>2</w:t>
      </w:r>
      <w:r>
        <w:t>，占28.1%；水面428.0km</w:t>
      </w:r>
      <w:r>
        <w:rPr>
          <w:vertAlign w:val="superscript"/>
        </w:rPr>
        <w:t>2</w:t>
      </w:r>
      <w:r>
        <w:t>，占8.5%。</w:t>
      </w:r>
    </w:p>
    <w:p w14:paraId="29217B1D">
      <w:pPr>
        <w:pStyle w:val="9"/>
        <w:ind w:firstLine="480"/>
      </w:pPr>
      <w:r>
        <w:t>湘潭市现有森林植被以人工林为主，树种类型多样，用材林有杉木、马尾松、樟木、稠木、楠木、百乐等；经济林有油茶、油桐、棕、乌桕、桑、茶叶、桃、李、梅等；引进树有湿地松、国外松、火炬松、水杉、池杉、意大利杨、黑荆等。农作物资源丰富，可供栽培的粮食、油料、纤维及其他经济作物上千种。湘潭市的动物种类繁多，其中不少是产业动物，有的已被开发利用；养殖的主要经济鱼类达到40多种。</w:t>
      </w:r>
    </w:p>
    <w:p w14:paraId="0FD0B975">
      <w:pPr>
        <w:pStyle w:val="9"/>
        <w:ind w:firstLine="480"/>
      </w:pPr>
      <w:r>
        <w:t>天易示范区内植被种类相对较少，以城市绿化为主。经踏勘调查，评价区域内未发现珍稀动植物，无森林和自然保护区。</w:t>
      </w:r>
    </w:p>
    <w:p w14:paraId="27F5F47A">
      <w:pPr>
        <w:pStyle w:val="3"/>
        <w:numPr>
          <w:ilvl w:val="1"/>
          <w:numId w:val="0"/>
        </w:numPr>
        <w:ind w:left="567" w:leftChars="0" w:hanging="567" w:firstLineChars="0"/>
        <w:rPr>
          <w:sz w:val="28"/>
          <w:szCs w:val="28"/>
        </w:rPr>
      </w:pPr>
      <w:bookmarkStart w:id="105" w:name="_Toc30044"/>
      <w:r>
        <w:rPr>
          <w:rFonts w:hint="default" w:ascii="宋体" w:hAnsi="宋体" w:eastAsia="宋体" w:cs="宋体"/>
          <w:b/>
          <w:bCs/>
          <w:kern w:val="2"/>
          <w:sz w:val="28"/>
          <w:szCs w:val="28"/>
          <w:lang w:val="en-US" w:eastAsia="zh-CN" w:bidi="ar-SA"/>
        </w:rPr>
        <w:t>5.2</w:t>
      </w:r>
      <w:r>
        <w:rPr>
          <w:rFonts w:hint="eastAsia"/>
          <w:sz w:val="28"/>
          <w:szCs w:val="28"/>
        </w:rPr>
        <w:t>环境质量现状调查与评价</w:t>
      </w:r>
      <w:bookmarkEnd w:id="105"/>
    </w:p>
    <w:p w14:paraId="7F477B5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5.2.1</w:t>
      </w:r>
      <w:r>
        <w:rPr>
          <w:rFonts w:hint="eastAsia"/>
        </w:rPr>
        <w:t>环境空气质量现状调查与评价</w:t>
      </w:r>
    </w:p>
    <w:p w14:paraId="0C2C154B">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5.2.1.1</w:t>
      </w:r>
      <w:r>
        <w:rPr>
          <w:rFonts w:hint="eastAsia"/>
        </w:rPr>
        <w:t>环境空气基本因子现状调查</w:t>
      </w:r>
    </w:p>
    <w:p w14:paraId="27533588">
      <w:pPr>
        <w:ind w:firstLine="480"/>
        <w:rPr>
          <w:u w:val="single"/>
        </w:rPr>
      </w:pPr>
      <w:r>
        <w:rPr>
          <w:rFonts w:hint="eastAsia"/>
          <w:u w:val="single"/>
        </w:rPr>
        <w:t>《环境影响评价技术导则 大气环境》(HJ2.2-2018)“5.5评价基准年筛选依据评价所需环境空气质量现状、气象资料等数据的可获得性、数据质量、代表性等因素，选择近3年中数据相对完整的1个日历年作为评价基准年”。“6.2数据来，采用评价范围内国家或地方环境空气质量监测网中评价基准年连续1年的监测数据，或采用生态环境主管部门公开发布的环境空气质量现状数据”。依据上述新版大气导则要求，为了解本项目周边环境空气质量状况，本评价收集了湘潭县202</w:t>
      </w:r>
      <w:r>
        <w:rPr>
          <w:rFonts w:hint="eastAsia"/>
          <w:u w:val="single"/>
          <w:lang w:val="en-US" w:eastAsia="zh-CN"/>
        </w:rPr>
        <w:t>4</w:t>
      </w:r>
      <w:r>
        <w:rPr>
          <w:rFonts w:hint="eastAsia"/>
          <w:u w:val="single"/>
        </w:rPr>
        <w:t>年</w:t>
      </w:r>
      <w:r>
        <w:rPr>
          <w:rFonts w:hint="eastAsia"/>
          <w:u w:val="single"/>
          <w:lang w:val="en-US" w:eastAsia="zh-CN"/>
        </w:rPr>
        <w:t>年度</w:t>
      </w:r>
      <w:r>
        <w:rPr>
          <w:rFonts w:hint="eastAsia"/>
          <w:u w:val="single"/>
        </w:rPr>
        <w:t>环境空气监测数据（湘潭县环境监测站监测），并对湘潭县例行监测数据进行统计分析，具体见表4.2-1。</w:t>
      </w:r>
    </w:p>
    <w:p w14:paraId="7BE97F1F">
      <w:pPr>
        <w:pStyle w:val="51"/>
        <w:widowControl w:val="0"/>
        <w:numPr>
          <w:ilvl w:val="5"/>
          <w:numId w:val="0"/>
        </w:numPr>
        <w:tabs>
          <w:tab w:val="left" w:pos="4395"/>
        </w:tabs>
        <w:spacing w:before="156"/>
        <w:ind w:left="4700" w:leftChars="0" w:hanging="3260" w:firstLineChars="0"/>
        <w:rPr>
          <w:sz w:val="10"/>
          <w:u w:val="single"/>
        </w:rPr>
      </w:pPr>
      <w:r>
        <w:rPr>
          <w:rFonts w:hint="default" w:ascii="宋体" w:hAnsi="宋体" w:eastAsia="宋体" w:cs="宋体"/>
          <w:b/>
          <w:bCs/>
          <w:color w:val="auto"/>
          <w:kern w:val="2"/>
          <w:sz w:val="21"/>
          <w:szCs w:val="21"/>
          <w:u w:val="single"/>
          <w:lang w:val="en-US" w:eastAsia="zh-CN" w:bidi="ar-SA"/>
        </w:rPr>
        <w:t xml:space="preserve">表5.2-1 </w:t>
      </w:r>
      <w:r>
        <w:rPr>
          <w:rFonts w:hint="eastAsia"/>
          <w:u w:val="single"/>
        </w:rPr>
        <w:t>202</w:t>
      </w:r>
      <w:r>
        <w:rPr>
          <w:rFonts w:hint="eastAsia"/>
          <w:u w:val="single"/>
          <w:lang w:val="en-US" w:eastAsia="zh-CN"/>
        </w:rPr>
        <w:t>4</w:t>
      </w:r>
      <w:r>
        <w:rPr>
          <w:rFonts w:hint="eastAsia"/>
          <w:u w:val="single"/>
        </w:rPr>
        <w:t>年湘潭县环境空气监测结果    单位（ug/m</w:t>
      </w:r>
      <w:r>
        <w:rPr>
          <w:rFonts w:hint="eastAsia"/>
          <w:u w:val="single"/>
          <w:vertAlign w:val="superscript"/>
        </w:rPr>
        <w:t>3</w:t>
      </w:r>
      <w:r>
        <w:rPr>
          <w:rFonts w:hint="eastAsia"/>
          <w:u w:val="single"/>
        </w:rPr>
        <w:t>）</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595"/>
        <w:gridCol w:w="1260"/>
        <w:gridCol w:w="1011"/>
        <w:gridCol w:w="1698"/>
        <w:gridCol w:w="1698"/>
      </w:tblGrid>
      <w:tr w14:paraId="7C4038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0" w:type="dxa"/>
            <w:vAlign w:val="center"/>
          </w:tcPr>
          <w:p w14:paraId="0D61B591">
            <w:pPr>
              <w:spacing w:line="240" w:lineRule="auto"/>
              <w:jc w:val="center"/>
              <w:rPr>
                <w:sz w:val="21"/>
                <w:szCs w:val="21"/>
                <w:u w:val="single"/>
              </w:rPr>
            </w:pPr>
            <w:r>
              <w:rPr>
                <w:sz w:val="21"/>
                <w:szCs w:val="21"/>
                <w:u w:val="single"/>
              </w:rPr>
              <w:t>污染物</w:t>
            </w:r>
          </w:p>
        </w:tc>
        <w:tc>
          <w:tcPr>
            <w:tcW w:w="1594" w:type="dxa"/>
            <w:vAlign w:val="center"/>
          </w:tcPr>
          <w:p w14:paraId="598AE66E">
            <w:pPr>
              <w:spacing w:line="240" w:lineRule="auto"/>
              <w:jc w:val="center"/>
              <w:rPr>
                <w:sz w:val="21"/>
                <w:szCs w:val="21"/>
                <w:u w:val="single"/>
              </w:rPr>
            </w:pPr>
            <w:r>
              <w:rPr>
                <w:sz w:val="21"/>
                <w:szCs w:val="21"/>
                <w:u w:val="single"/>
              </w:rPr>
              <w:t>年评价指标</w:t>
            </w:r>
          </w:p>
        </w:tc>
        <w:tc>
          <w:tcPr>
            <w:tcW w:w="1260" w:type="dxa"/>
            <w:vAlign w:val="center"/>
          </w:tcPr>
          <w:p w14:paraId="0D09C5BD">
            <w:pPr>
              <w:spacing w:line="240" w:lineRule="auto"/>
              <w:jc w:val="center"/>
              <w:rPr>
                <w:sz w:val="21"/>
                <w:szCs w:val="21"/>
                <w:u w:val="single"/>
              </w:rPr>
            </w:pPr>
            <w:r>
              <w:rPr>
                <w:sz w:val="21"/>
                <w:szCs w:val="21"/>
                <w:u w:val="single"/>
              </w:rPr>
              <w:t>现状浓度</w:t>
            </w:r>
          </w:p>
        </w:tc>
        <w:tc>
          <w:tcPr>
            <w:tcW w:w="1011" w:type="dxa"/>
            <w:vAlign w:val="center"/>
          </w:tcPr>
          <w:p w14:paraId="0D1EE81C">
            <w:pPr>
              <w:spacing w:line="240" w:lineRule="auto"/>
              <w:jc w:val="center"/>
              <w:rPr>
                <w:sz w:val="21"/>
                <w:szCs w:val="21"/>
                <w:u w:val="single"/>
              </w:rPr>
            </w:pPr>
            <w:r>
              <w:rPr>
                <w:sz w:val="21"/>
                <w:szCs w:val="21"/>
                <w:u w:val="single"/>
              </w:rPr>
              <w:t>标准值</w:t>
            </w:r>
          </w:p>
        </w:tc>
        <w:tc>
          <w:tcPr>
            <w:tcW w:w="1697" w:type="dxa"/>
            <w:vAlign w:val="center"/>
          </w:tcPr>
          <w:p w14:paraId="42303D27">
            <w:pPr>
              <w:spacing w:line="240" w:lineRule="auto"/>
              <w:jc w:val="center"/>
              <w:rPr>
                <w:sz w:val="21"/>
                <w:szCs w:val="21"/>
                <w:u w:val="single"/>
              </w:rPr>
            </w:pPr>
            <w:r>
              <w:rPr>
                <w:sz w:val="21"/>
                <w:szCs w:val="21"/>
                <w:u w:val="single"/>
              </w:rPr>
              <w:t>占标率</w:t>
            </w:r>
          </w:p>
        </w:tc>
        <w:tc>
          <w:tcPr>
            <w:tcW w:w="1697" w:type="dxa"/>
            <w:vAlign w:val="center"/>
          </w:tcPr>
          <w:p w14:paraId="0B7831C4">
            <w:pPr>
              <w:spacing w:line="240" w:lineRule="auto"/>
              <w:jc w:val="center"/>
              <w:rPr>
                <w:sz w:val="21"/>
                <w:szCs w:val="21"/>
                <w:u w:val="single"/>
              </w:rPr>
            </w:pPr>
            <w:r>
              <w:rPr>
                <w:sz w:val="21"/>
                <w:szCs w:val="21"/>
                <w:u w:val="single"/>
              </w:rPr>
              <w:t>达标情况</w:t>
            </w:r>
          </w:p>
        </w:tc>
      </w:tr>
      <w:tr w14:paraId="05978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0" w:type="dxa"/>
            <w:vAlign w:val="center"/>
          </w:tcPr>
          <w:p w14:paraId="6ECF4F7A">
            <w:pPr>
              <w:spacing w:line="240" w:lineRule="auto"/>
              <w:jc w:val="center"/>
              <w:rPr>
                <w:sz w:val="21"/>
                <w:szCs w:val="21"/>
                <w:u w:val="single"/>
              </w:rPr>
            </w:pPr>
            <w:r>
              <w:rPr>
                <w:sz w:val="21"/>
                <w:szCs w:val="21"/>
                <w:u w:val="single"/>
              </w:rPr>
              <w:t>SO</w:t>
            </w:r>
            <w:r>
              <w:rPr>
                <w:sz w:val="21"/>
                <w:szCs w:val="21"/>
                <w:u w:val="single"/>
                <w:vertAlign w:val="subscript"/>
              </w:rPr>
              <w:t>2</w:t>
            </w:r>
          </w:p>
        </w:tc>
        <w:tc>
          <w:tcPr>
            <w:tcW w:w="1594" w:type="dxa"/>
            <w:vAlign w:val="center"/>
          </w:tcPr>
          <w:p w14:paraId="66F5E717">
            <w:pPr>
              <w:spacing w:line="240" w:lineRule="auto"/>
              <w:jc w:val="center"/>
              <w:rPr>
                <w:sz w:val="21"/>
                <w:szCs w:val="21"/>
                <w:u w:val="single"/>
              </w:rPr>
            </w:pPr>
            <w:r>
              <w:rPr>
                <w:sz w:val="21"/>
                <w:szCs w:val="21"/>
                <w:u w:val="single"/>
              </w:rPr>
              <w:t>年平均浓度</w:t>
            </w:r>
          </w:p>
        </w:tc>
        <w:tc>
          <w:tcPr>
            <w:tcW w:w="1260" w:type="dxa"/>
            <w:vAlign w:val="center"/>
          </w:tcPr>
          <w:p w14:paraId="76E102AF">
            <w:pPr>
              <w:spacing w:line="240" w:lineRule="auto"/>
              <w:jc w:val="center"/>
              <w:rPr>
                <w:rFonts w:hint="default" w:eastAsia="宋体"/>
                <w:sz w:val="21"/>
                <w:szCs w:val="21"/>
                <w:u w:val="single"/>
                <w:lang w:val="en-US" w:eastAsia="zh-CN"/>
              </w:rPr>
            </w:pPr>
            <w:r>
              <w:rPr>
                <w:rFonts w:hint="eastAsia"/>
                <w:sz w:val="21"/>
                <w:szCs w:val="21"/>
                <w:u w:val="single"/>
                <w:lang w:val="en-US" w:eastAsia="zh-CN"/>
              </w:rPr>
              <w:t>6.3</w:t>
            </w:r>
          </w:p>
        </w:tc>
        <w:tc>
          <w:tcPr>
            <w:tcW w:w="1011" w:type="dxa"/>
            <w:vAlign w:val="center"/>
          </w:tcPr>
          <w:p w14:paraId="64B13D28">
            <w:pPr>
              <w:spacing w:line="240" w:lineRule="auto"/>
              <w:jc w:val="center"/>
              <w:rPr>
                <w:sz w:val="21"/>
                <w:szCs w:val="21"/>
                <w:u w:val="single"/>
              </w:rPr>
            </w:pPr>
            <w:r>
              <w:rPr>
                <w:sz w:val="21"/>
                <w:szCs w:val="21"/>
                <w:u w:val="single"/>
              </w:rPr>
              <w:t>60</w:t>
            </w:r>
          </w:p>
        </w:tc>
        <w:tc>
          <w:tcPr>
            <w:tcW w:w="1697" w:type="dxa"/>
            <w:vAlign w:val="center"/>
          </w:tcPr>
          <w:p w14:paraId="03F8B424">
            <w:pPr>
              <w:spacing w:line="240" w:lineRule="auto"/>
              <w:jc w:val="center"/>
              <w:rPr>
                <w:sz w:val="21"/>
                <w:szCs w:val="21"/>
                <w:u w:val="single"/>
              </w:rPr>
            </w:pPr>
            <w:r>
              <w:rPr>
                <w:rFonts w:hint="eastAsia"/>
                <w:sz w:val="21"/>
                <w:szCs w:val="21"/>
                <w:u w:val="single"/>
              </w:rPr>
              <w:t>11.7</w:t>
            </w:r>
          </w:p>
        </w:tc>
        <w:tc>
          <w:tcPr>
            <w:tcW w:w="1697" w:type="dxa"/>
            <w:vAlign w:val="center"/>
          </w:tcPr>
          <w:p w14:paraId="7C6E3ADC">
            <w:pPr>
              <w:spacing w:line="240" w:lineRule="auto"/>
              <w:jc w:val="center"/>
              <w:rPr>
                <w:sz w:val="21"/>
                <w:szCs w:val="21"/>
                <w:u w:val="single"/>
              </w:rPr>
            </w:pPr>
            <w:r>
              <w:rPr>
                <w:sz w:val="21"/>
                <w:szCs w:val="21"/>
                <w:u w:val="single"/>
              </w:rPr>
              <w:t>达标</w:t>
            </w:r>
          </w:p>
        </w:tc>
      </w:tr>
      <w:tr w14:paraId="08392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0" w:type="dxa"/>
            <w:vAlign w:val="center"/>
          </w:tcPr>
          <w:p w14:paraId="3DE7BF9C">
            <w:pPr>
              <w:spacing w:line="240" w:lineRule="auto"/>
              <w:jc w:val="center"/>
              <w:rPr>
                <w:sz w:val="21"/>
                <w:szCs w:val="21"/>
                <w:u w:val="single"/>
              </w:rPr>
            </w:pPr>
            <w:r>
              <w:rPr>
                <w:sz w:val="21"/>
                <w:szCs w:val="21"/>
                <w:u w:val="single"/>
              </w:rPr>
              <w:t>NO</w:t>
            </w:r>
            <w:r>
              <w:rPr>
                <w:sz w:val="21"/>
                <w:szCs w:val="21"/>
                <w:u w:val="single"/>
                <w:vertAlign w:val="subscript"/>
              </w:rPr>
              <w:t>2</w:t>
            </w:r>
          </w:p>
        </w:tc>
        <w:tc>
          <w:tcPr>
            <w:tcW w:w="1594" w:type="dxa"/>
            <w:vAlign w:val="center"/>
          </w:tcPr>
          <w:p w14:paraId="5619731E">
            <w:pPr>
              <w:spacing w:line="240" w:lineRule="auto"/>
              <w:jc w:val="center"/>
              <w:rPr>
                <w:sz w:val="21"/>
                <w:szCs w:val="21"/>
                <w:u w:val="single"/>
              </w:rPr>
            </w:pPr>
            <w:r>
              <w:rPr>
                <w:sz w:val="21"/>
                <w:szCs w:val="21"/>
                <w:u w:val="single"/>
              </w:rPr>
              <w:t>年平均浓度</w:t>
            </w:r>
          </w:p>
        </w:tc>
        <w:tc>
          <w:tcPr>
            <w:tcW w:w="1260" w:type="dxa"/>
            <w:vAlign w:val="center"/>
          </w:tcPr>
          <w:p w14:paraId="08C2EA43">
            <w:pPr>
              <w:spacing w:line="240" w:lineRule="auto"/>
              <w:jc w:val="center"/>
              <w:rPr>
                <w:rFonts w:hint="default" w:eastAsia="宋体"/>
                <w:sz w:val="21"/>
                <w:szCs w:val="21"/>
                <w:u w:val="single"/>
                <w:lang w:val="en-US" w:eastAsia="zh-CN"/>
              </w:rPr>
            </w:pPr>
            <w:r>
              <w:rPr>
                <w:rFonts w:hint="eastAsia"/>
                <w:sz w:val="21"/>
                <w:szCs w:val="21"/>
                <w:u w:val="single"/>
                <w:lang w:val="en-US" w:eastAsia="zh-CN"/>
              </w:rPr>
              <w:t>22.1</w:t>
            </w:r>
          </w:p>
        </w:tc>
        <w:tc>
          <w:tcPr>
            <w:tcW w:w="1011" w:type="dxa"/>
            <w:vAlign w:val="center"/>
          </w:tcPr>
          <w:p w14:paraId="7BDDED62">
            <w:pPr>
              <w:spacing w:line="240" w:lineRule="auto"/>
              <w:jc w:val="center"/>
              <w:rPr>
                <w:sz w:val="21"/>
                <w:szCs w:val="21"/>
                <w:u w:val="single"/>
              </w:rPr>
            </w:pPr>
            <w:r>
              <w:rPr>
                <w:sz w:val="21"/>
                <w:szCs w:val="21"/>
                <w:u w:val="single"/>
              </w:rPr>
              <w:t>40</w:t>
            </w:r>
          </w:p>
        </w:tc>
        <w:tc>
          <w:tcPr>
            <w:tcW w:w="1697" w:type="dxa"/>
            <w:vAlign w:val="center"/>
          </w:tcPr>
          <w:p w14:paraId="469A41E7">
            <w:pPr>
              <w:spacing w:line="240" w:lineRule="auto"/>
              <w:jc w:val="center"/>
              <w:rPr>
                <w:sz w:val="21"/>
                <w:szCs w:val="21"/>
                <w:u w:val="single"/>
              </w:rPr>
            </w:pPr>
            <w:r>
              <w:rPr>
                <w:rFonts w:hint="eastAsia"/>
                <w:sz w:val="21"/>
                <w:szCs w:val="21"/>
                <w:u w:val="single"/>
              </w:rPr>
              <w:t>40</w:t>
            </w:r>
          </w:p>
        </w:tc>
        <w:tc>
          <w:tcPr>
            <w:tcW w:w="1697" w:type="dxa"/>
            <w:vAlign w:val="center"/>
          </w:tcPr>
          <w:p w14:paraId="7619033F">
            <w:pPr>
              <w:spacing w:line="240" w:lineRule="auto"/>
              <w:jc w:val="center"/>
              <w:rPr>
                <w:sz w:val="21"/>
                <w:szCs w:val="21"/>
                <w:u w:val="single"/>
              </w:rPr>
            </w:pPr>
            <w:r>
              <w:rPr>
                <w:sz w:val="21"/>
                <w:szCs w:val="21"/>
                <w:u w:val="single"/>
              </w:rPr>
              <w:t>达标</w:t>
            </w:r>
          </w:p>
        </w:tc>
      </w:tr>
      <w:tr w14:paraId="34191A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0" w:type="dxa"/>
            <w:vAlign w:val="center"/>
          </w:tcPr>
          <w:p w14:paraId="40A24680">
            <w:pPr>
              <w:spacing w:line="240" w:lineRule="auto"/>
              <w:jc w:val="center"/>
              <w:rPr>
                <w:sz w:val="21"/>
                <w:szCs w:val="21"/>
                <w:u w:val="single"/>
              </w:rPr>
            </w:pPr>
            <w:r>
              <w:rPr>
                <w:sz w:val="21"/>
                <w:szCs w:val="21"/>
                <w:u w:val="single"/>
              </w:rPr>
              <w:t>PM</w:t>
            </w:r>
            <w:r>
              <w:rPr>
                <w:sz w:val="21"/>
                <w:szCs w:val="21"/>
                <w:u w:val="single"/>
                <w:vertAlign w:val="subscript"/>
              </w:rPr>
              <w:t>10</w:t>
            </w:r>
          </w:p>
        </w:tc>
        <w:tc>
          <w:tcPr>
            <w:tcW w:w="1594" w:type="dxa"/>
            <w:vAlign w:val="center"/>
          </w:tcPr>
          <w:p w14:paraId="0651286A">
            <w:pPr>
              <w:spacing w:line="240" w:lineRule="auto"/>
              <w:jc w:val="center"/>
              <w:rPr>
                <w:sz w:val="21"/>
                <w:szCs w:val="21"/>
                <w:u w:val="single"/>
              </w:rPr>
            </w:pPr>
            <w:r>
              <w:rPr>
                <w:sz w:val="21"/>
                <w:szCs w:val="21"/>
                <w:u w:val="single"/>
              </w:rPr>
              <w:t>年平均浓度</w:t>
            </w:r>
          </w:p>
        </w:tc>
        <w:tc>
          <w:tcPr>
            <w:tcW w:w="1260" w:type="dxa"/>
            <w:vAlign w:val="center"/>
          </w:tcPr>
          <w:p w14:paraId="3329329F">
            <w:pPr>
              <w:spacing w:line="240" w:lineRule="auto"/>
              <w:jc w:val="center"/>
              <w:rPr>
                <w:rFonts w:hint="default" w:eastAsia="宋体"/>
                <w:sz w:val="21"/>
                <w:szCs w:val="21"/>
                <w:u w:val="single"/>
                <w:lang w:val="en-US" w:eastAsia="zh-CN"/>
              </w:rPr>
            </w:pPr>
            <w:r>
              <w:rPr>
                <w:rFonts w:hint="eastAsia"/>
                <w:sz w:val="21"/>
                <w:szCs w:val="21"/>
                <w:u w:val="single"/>
                <w:lang w:val="en-US" w:eastAsia="zh-CN"/>
              </w:rPr>
              <w:t>50.3</w:t>
            </w:r>
          </w:p>
        </w:tc>
        <w:tc>
          <w:tcPr>
            <w:tcW w:w="1011" w:type="dxa"/>
            <w:vAlign w:val="center"/>
          </w:tcPr>
          <w:p w14:paraId="0C2813DE">
            <w:pPr>
              <w:spacing w:line="240" w:lineRule="auto"/>
              <w:jc w:val="center"/>
              <w:rPr>
                <w:sz w:val="21"/>
                <w:szCs w:val="21"/>
                <w:u w:val="single"/>
              </w:rPr>
            </w:pPr>
            <w:r>
              <w:rPr>
                <w:sz w:val="21"/>
                <w:szCs w:val="21"/>
                <w:u w:val="single"/>
              </w:rPr>
              <w:t>70</w:t>
            </w:r>
          </w:p>
        </w:tc>
        <w:tc>
          <w:tcPr>
            <w:tcW w:w="1697" w:type="dxa"/>
            <w:vAlign w:val="center"/>
          </w:tcPr>
          <w:p w14:paraId="4E51635D">
            <w:pPr>
              <w:spacing w:line="240" w:lineRule="auto"/>
              <w:jc w:val="center"/>
              <w:rPr>
                <w:sz w:val="21"/>
                <w:szCs w:val="21"/>
                <w:u w:val="single"/>
              </w:rPr>
            </w:pPr>
            <w:r>
              <w:rPr>
                <w:rFonts w:hint="eastAsia"/>
                <w:sz w:val="21"/>
                <w:szCs w:val="21"/>
                <w:u w:val="single"/>
              </w:rPr>
              <w:t>77.1</w:t>
            </w:r>
          </w:p>
        </w:tc>
        <w:tc>
          <w:tcPr>
            <w:tcW w:w="1697" w:type="dxa"/>
            <w:vAlign w:val="center"/>
          </w:tcPr>
          <w:p w14:paraId="2C9DA5A3">
            <w:pPr>
              <w:spacing w:line="240" w:lineRule="auto"/>
              <w:jc w:val="center"/>
              <w:rPr>
                <w:sz w:val="21"/>
                <w:szCs w:val="21"/>
                <w:u w:val="single"/>
              </w:rPr>
            </w:pPr>
            <w:r>
              <w:rPr>
                <w:sz w:val="21"/>
                <w:szCs w:val="21"/>
                <w:u w:val="single"/>
              </w:rPr>
              <w:t>达标</w:t>
            </w:r>
          </w:p>
        </w:tc>
      </w:tr>
      <w:tr w14:paraId="40DE88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0" w:type="dxa"/>
            <w:vAlign w:val="center"/>
          </w:tcPr>
          <w:p w14:paraId="535AAAAC">
            <w:pPr>
              <w:spacing w:line="240" w:lineRule="auto"/>
              <w:jc w:val="center"/>
              <w:rPr>
                <w:sz w:val="21"/>
                <w:szCs w:val="21"/>
                <w:u w:val="single"/>
              </w:rPr>
            </w:pPr>
            <w:r>
              <w:rPr>
                <w:sz w:val="21"/>
                <w:szCs w:val="21"/>
                <w:u w:val="single"/>
              </w:rPr>
              <w:t>PM</w:t>
            </w:r>
            <w:r>
              <w:rPr>
                <w:sz w:val="21"/>
                <w:szCs w:val="21"/>
                <w:u w:val="single"/>
                <w:vertAlign w:val="subscript"/>
              </w:rPr>
              <w:t>2.5</w:t>
            </w:r>
          </w:p>
        </w:tc>
        <w:tc>
          <w:tcPr>
            <w:tcW w:w="1594" w:type="dxa"/>
            <w:vAlign w:val="center"/>
          </w:tcPr>
          <w:p w14:paraId="71EDBE90">
            <w:pPr>
              <w:spacing w:line="240" w:lineRule="auto"/>
              <w:jc w:val="center"/>
              <w:rPr>
                <w:sz w:val="21"/>
                <w:szCs w:val="21"/>
                <w:u w:val="single"/>
              </w:rPr>
            </w:pPr>
            <w:r>
              <w:rPr>
                <w:sz w:val="21"/>
                <w:szCs w:val="21"/>
                <w:u w:val="single"/>
              </w:rPr>
              <w:t>年平均浓度</w:t>
            </w:r>
          </w:p>
        </w:tc>
        <w:tc>
          <w:tcPr>
            <w:tcW w:w="1260" w:type="dxa"/>
            <w:vAlign w:val="center"/>
          </w:tcPr>
          <w:p w14:paraId="24CB8D88">
            <w:pPr>
              <w:spacing w:line="240" w:lineRule="auto"/>
              <w:jc w:val="center"/>
              <w:rPr>
                <w:rFonts w:hint="default" w:eastAsia="宋体"/>
                <w:sz w:val="21"/>
                <w:szCs w:val="21"/>
                <w:u w:val="single"/>
                <w:lang w:val="en-US" w:eastAsia="zh-CN"/>
              </w:rPr>
            </w:pPr>
            <w:r>
              <w:rPr>
                <w:rFonts w:hint="eastAsia"/>
                <w:sz w:val="21"/>
                <w:szCs w:val="21"/>
                <w:u w:val="single"/>
                <w:lang w:val="en-US" w:eastAsia="zh-CN"/>
              </w:rPr>
              <w:t>33.3</w:t>
            </w:r>
          </w:p>
        </w:tc>
        <w:tc>
          <w:tcPr>
            <w:tcW w:w="1011" w:type="dxa"/>
            <w:vAlign w:val="center"/>
          </w:tcPr>
          <w:p w14:paraId="37C45557">
            <w:pPr>
              <w:spacing w:line="240" w:lineRule="auto"/>
              <w:jc w:val="center"/>
              <w:rPr>
                <w:sz w:val="21"/>
                <w:szCs w:val="21"/>
                <w:u w:val="single"/>
              </w:rPr>
            </w:pPr>
            <w:r>
              <w:rPr>
                <w:sz w:val="21"/>
                <w:szCs w:val="21"/>
                <w:u w:val="single"/>
              </w:rPr>
              <w:t>35</w:t>
            </w:r>
          </w:p>
        </w:tc>
        <w:tc>
          <w:tcPr>
            <w:tcW w:w="1697" w:type="dxa"/>
            <w:vAlign w:val="center"/>
          </w:tcPr>
          <w:p w14:paraId="405E2DF6">
            <w:pPr>
              <w:spacing w:line="240" w:lineRule="auto"/>
              <w:jc w:val="center"/>
              <w:rPr>
                <w:rFonts w:hint="default" w:eastAsia="宋体"/>
                <w:sz w:val="21"/>
                <w:szCs w:val="21"/>
                <w:u w:val="single"/>
                <w:lang w:val="en-US" w:eastAsia="zh-CN"/>
              </w:rPr>
            </w:pPr>
            <w:r>
              <w:rPr>
                <w:rFonts w:hint="eastAsia"/>
                <w:sz w:val="21"/>
                <w:szCs w:val="21"/>
                <w:u w:val="single"/>
                <w:lang w:val="en-US" w:eastAsia="zh-CN"/>
              </w:rPr>
              <w:t>95.1</w:t>
            </w:r>
          </w:p>
        </w:tc>
        <w:tc>
          <w:tcPr>
            <w:tcW w:w="1697" w:type="dxa"/>
            <w:vAlign w:val="center"/>
          </w:tcPr>
          <w:p w14:paraId="7C90167D">
            <w:pPr>
              <w:spacing w:line="240" w:lineRule="auto"/>
              <w:jc w:val="center"/>
              <w:rPr>
                <w:sz w:val="21"/>
                <w:szCs w:val="21"/>
                <w:u w:val="single"/>
              </w:rPr>
            </w:pPr>
            <w:r>
              <w:rPr>
                <w:rFonts w:hint="eastAsia"/>
                <w:sz w:val="21"/>
                <w:szCs w:val="21"/>
                <w:u w:val="single"/>
              </w:rPr>
              <w:t>达标</w:t>
            </w:r>
          </w:p>
        </w:tc>
      </w:tr>
      <w:tr w14:paraId="6736D0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260" w:type="dxa"/>
            <w:vAlign w:val="center"/>
          </w:tcPr>
          <w:p w14:paraId="4B9C8261">
            <w:pPr>
              <w:spacing w:line="240" w:lineRule="auto"/>
              <w:jc w:val="center"/>
              <w:rPr>
                <w:sz w:val="21"/>
                <w:szCs w:val="21"/>
                <w:u w:val="single"/>
              </w:rPr>
            </w:pPr>
            <w:r>
              <w:rPr>
                <w:sz w:val="21"/>
                <w:szCs w:val="21"/>
                <w:u w:val="single"/>
              </w:rPr>
              <w:t>CO</w:t>
            </w:r>
          </w:p>
        </w:tc>
        <w:tc>
          <w:tcPr>
            <w:tcW w:w="1594" w:type="dxa"/>
            <w:vAlign w:val="center"/>
          </w:tcPr>
          <w:p w14:paraId="47BDC505">
            <w:pPr>
              <w:spacing w:line="240" w:lineRule="auto"/>
              <w:jc w:val="center"/>
              <w:rPr>
                <w:sz w:val="21"/>
                <w:szCs w:val="21"/>
                <w:u w:val="single"/>
              </w:rPr>
            </w:pPr>
            <w:r>
              <w:rPr>
                <w:sz w:val="21"/>
                <w:szCs w:val="21"/>
                <w:u w:val="single"/>
              </w:rPr>
              <w:t>24h平均浓度</w:t>
            </w:r>
          </w:p>
        </w:tc>
        <w:tc>
          <w:tcPr>
            <w:tcW w:w="1260" w:type="dxa"/>
            <w:vAlign w:val="center"/>
          </w:tcPr>
          <w:p w14:paraId="4425DD66">
            <w:pPr>
              <w:spacing w:line="240" w:lineRule="auto"/>
              <w:jc w:val="center"/>
              <w:rPr>
                <w:rFonts w:hint="default" w:eastAsia="宋体"/>
                <w:sz w:val="21"/>
                <w:szCs w:val="21"/>
                <w:u w:val="single"/>
                <w:lang w:val="en-US" w:eastAsia="zh-CN"/>
              </w:rPr>
            </w:pPr>
            <w:r>
              <w:rPr>
                <w:rFonts w:hint="eastAsia"/>
                <w:sz w:val="21"/>
                <w:szCs w:val="21"/>
                <w:u w:val="single"/>
                <w:lang w:val="en-US" w:eastAsia="zh-CN"/>
              </w:rPr>
              <w:t>900</w:t>
            </w:r>
          </w:p>
        </w:tc>
        <w:tc>
          <w:tcPr>
            <w:tcW w:w="1011" w:type="dxa"/>
            <w:vAlign w:val="center"/>
          </w:tcPr>
          <w:p w14:paraId="152A97B8">
            <w:pPr>
              <w:spacing w:line="240" w:lineRule="auto"/>
              <w:jc w:val="center"/>
              <w:rPr>
                <w:sz w:val="21"/>
                <w:szCs w:val="21"/>
                <w:u w:val="single"/>
              </w:rPr>
            </w:pPr>
            <w:r>
              <w:rPr>
                <w:sz w:val="21"/>
                <w:szCs w:val="21"/>
                <w:u w:val="single"/>
              </w:rPr>
              <w:t>4000</w:t>
            </w:r>
          </w:p>
        </w:tc>
        <w:tc>
          <w:tcPr>
            <w:tcW w:w="1697" w:type="dxa"/>
            <w:vAlign w:val="center"/>
          </w:tcPr>
          <w:p w14:paraId="56AFE42D">
            <w:pPr>
              <w:spacing w:line="240" w:lineRule="auto"/>
              <w:jc w:val="center"/>
              <w:rPr>
                <w:sz w:val="21"/>
                <w:szCs w:val="21"/>
                <w:u w:val="single"/>
              </w:rPr>
            </w:pPr>
            <w:r>
              <w:rPr>
                <w:rFonts w:hint="eastAsia"/>
                <w:sz w:val="21"/>
                <w:szCs w:val="21"/>
                <w:u w:val="single"/>
              </w:rPr>
              <w:t>27.5</w:t>
            </w:r>
          </w:p>
        </w:tc>
        <w:tc>
          <w:tcPr>
            <w:tcW w:w="1697" w:type="dxa"/>
            <w:vAlign w:val="center"/>
          </w:tcPr>
          <w:p w14:paraId="77832A33">
            <w:pPr>
              <w:spacing w:line="240" w:lineRule="auto"/>
              <w:jc w:val="center"/>
              <w:rPr>
                <w:sz w:val="21"/>
                <w:szCs w:val="21"/>
                <w:u w:val="single"/>
              </w:rPr>
            </w:pPr>
            <w:r>
              <w:rPr>
                <w:sz w:val="21"/>
                <w:szCs w:val="21"/>
                <w:u w:val="single"/>
              </w:rPr>
              <w:t>达标</w:t>
            </w:r>
          </w:p>
        </w:tc>
      </w:tr>
      <w:tr w14:paraId="47F94B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0" w:type="dxa"/>
            <w:vAlign w:val="center"/>
          </w:tcPr>
          <w:p w14:paraId="790544A6">
            <w:pPr>
              <w:spacing w:line="240" w:lineRule="auto"/>
              <w:jc w:val="center"/>
              <w:rPr>
                <w:sz w:val="21"/>
                <w:szCs w:val="21"/>
                <w:u w:val="single"/>
              </w:rPr>
            </w:pPr>
            <w:r>
              <w:rPr>
                <w:sz w:val="21"/>
                <w:szCs w:val="21"/>
                <w:u w:val="single"/>
              </w:rPr>
              <w:t>O</w:t>
            </w:r>
            <w:r>
              <w:rPr>
                <w:sz w:val="21"/>
                <w:szCs w:val="21"/>
                <w:u w:val="single"/>
                <w:vertAlign w:val="subscript"/>
              </w:rPr>
              <w:t>3</w:t>
            </w:r>
          </w:p>
        </w:tc>
        <w:tc>
          <w:tcPr>
            <w:tcW w:w="1594" w:type="dxa"/>
            <w:vAlign w:val="center"/>
          </w:tcPr>
          <w:p w14:paraId="6A25F291">
            <w:pPr>
              <w:spacing w:line="240" w:lineRule="auto"/>
              <w:jc w:val="center"/>
              <w:rPr>
                <w:sz w:val="21"/>
                <w:szCs w:val="21"/>
                <w:u w:val="single"/>
              </w:rPr>
            </w:pPr>
            <w:r>
              <w:rPr>
                <w:sz w:val="21"/>
                <w:szCs w:val="21"/>
                <w:u w:val="single"/>
              </w:rPr>
              <w:t>日最大8h平均浓度</w:t>
            </w:r>
          </w:p>
        </w:tc>
        <w:tc>
          <w:tcPr>
            <w:tcW w:w="1260" w:type="dxa"/>
            <w:vAlign w:val="center"/>
          </w:tcPr>
          <w:p w14:paraId="4133F062">
            <w:pPr>
              <w:spacing w:line="240" w:lineRule="auto"/>
              <w:jc w:val="center"/>
              <w:rPr>
                <w:rFonts w:hint="default" w:eastAsia="宋体"/>
                <w:sz w:val="21"/>
                <w:szCs w:val="21"/>
                <w:u w:val="single"/>
                <w:lang w:val="en-US" w:eastAsia="zh-CN"/>
              </w:rPr>
            </w:pPr>
            <w:r>
              <w:rPr>
                <w:rFonts w:hint="eastAsia"/>
                <w:sz w:val="21"/>
                <w:szCs w:val="21"/>
                <w:u w:val="single"/>
                <w:lang w:val="en-US" w:eastAsia="zh-CN"/>
              </w:rPr>
              <w:t>117.6</w:t>
            </w:r>
          </w:p>
        </w:tc>
        <w:tc>
          <w:tcPr>
            <w:tcW w:w="1011" w:type="dxa"/>
            <w:vAlign w:val="center"/>
          </w:tcPr>
          <w:p w14:paraId="2DBC2919">
            <w:pPr>
              <w:spacing w:line="240" w:lineRule="auto"/>
              <w:jc w:val="center"/>
              <w:rPr>
                <w:sz w:val="21"/>
                <w:szCs w:val="21"/>
                <w:u w:val="single"/>
              </w:rPr>
            </w:pPr>
            <w:r>
              <w:rPr>
                <w:sz w:val="21"/>
                <w:szCs w:val="21"/>
                <w:u w:val="single"/>
              </w:rPr>
              <w:t>160</w:t>
            </w:r>
          </w:p>
        </w:tc>
        <w:tc>
          <w:tcPr>
            <w:tcW w:w="1697" w:type="dxa"/>
            <w:vAlign w:val="center"/>
          </w:tcPr>
          <w:p w14:paraId="25273311">
            <w:pPr>
              <w:spacing w:line="240" w:lineRule="auto"/>
              <w:jc w:val="center"/>
              <w:rPr>
                <w:sz w:val="21"/>
                <w:szCs w:val="21"/>
                <w:u w:val="single"/>
              </w:rPr>
            </w:pPr>
            <w:r>
              <w:rPr>
                <w:rFonts w:hint="eastAsia"/>
                <w:sz w:val="21"/>
                <w:szCs w:val="21"/>
                <w:u w:val="single"/>
              </w:rPr>
              <w:t>88.1</w:t>
            </w:r>
          </w:p>
        </w:tc>
        <w:tc>
          <w:tcPr>
            <w:tcW w:w="1697" w:type="dxa"/>
            <w:vAlign w:val="center"/>
          </w:tcPr>
          <w:p w14:paraId="4946F2C1">
            <w:pPr>
              <w:spacing w:line="240" w:lineRule="auto"/>
              <w:jc w:val="center"/>
              <w:rPr>
                <w:sz w:val="21"/>
                <w:szCs w:val="21"/>
                <w:u w:val="single"/>
              </w:rPr>
            </w:pPr>
            <w:r>
              <w:rPr>
                <w:sz w:val="21"/>
                <w:szCs w:val="21"/>
                <w:u w:val="single"/>
              </w:rPr>
              <w:t>达标</w:t>
            </w:r>
          </w:p>
        </w:tc>
      </w:tr>
    </w:tbl>
    <w:p w14:paraId="051A568D">
      <w:pPr>
        <w:ind w:firstLine="480"/>
        <w:rPr>
          <w:u w:val="single"/>
        </w:rPr>
      </w:pPr>
      <w:r>
        <w:rPr>
          <w:rFonts w:hint="eastAsia"/>
          <w:u w:val="single"/>
        </w:rPr>
        <w:t>由上表可知，项目所在区域</w:t>
      </w:r>
      <w:r>
        <w:rPr>
          <w:rFonts w:hint="eastAsia"/>
          <w:u w:val="single"/>
          <w:lang w:val="en-US" w:eastAsia="zh-CN"/>
        </w:rPr>
        <w:t>各因子均满足</w:t>
      </w:r>
      <w:r>
        <w:rPr>
          <w:rFonts w:hint="eastAsia"/>
          <w:u w:val="single"/>
        </w:rPr>
        <w:t>《环境空气质量标准》（GB3095-20</w:t>
      </w:r>
      <w:r>
        <w:rPr>
          <w:rFonts w:hint="eastAsia"/>
          <w:u w:val="single"/>
          <w:lang w:val="en-US" w:eastAsia="zh-CN"/>
        </w:rPr>
        <w:t>26</w:t>
      </w:r>
      <w:r>
        <w:rPr>
          <w:rFonts w:hint="eastAsia"/>
          <w:u w:val="single"/>
        </w:rPr>
        <w:t>）</w:t>
      </w:r>
      <w:r>
        <w:rPr>
          <w:rFonts w:hint="eastAsia"/>
          <w:u w:val="single"/>
          <w:lang w:val="en-US" w:eastAsia="zh-CN"/>
        </w:rPr>
        <w:t>表1过渡阶段浓度限值</w:t>
      </w:r>
      <w:r>
        <w:rPr>
          <w:rFonts w:hint="eastAsia"/>
          <w:u w:val="single"/>
        </w:rPr>
        <w:t>，判定本项目所在区域为达标区。</w:t>
      </w:r>
    </w:p>
    <w:p w14:paraId="74CACC80">
      <w:pPr>
        <w:pStyle w:val="5"/>
        <w:numPr>
          <w:ilvl w:val="3"/>
          <w:numId w:val="0"/>
        </w:numPr>
        <w:ind w:left="1984" w:leftChars="0" w:hanging="1984" w:firstLineChars="0"/>
        <w:rPr>
          <w:u w:val="single"/>
        </w:rPr>
      </w:pPr>
      <w:r>
        <w:rPr>
          <w:rFonts w:hint="default" w:ascii="宋体" w:hAnsi="宋体" w:eastAsia="宋体" w:cs="宋体"/>
          <w:b/>
          <w:bCs/>
          <w:kern w:val="2"/>
          <w:sz w:val="24"/>
          <w:szCs w:val="24"/>
          <w:u w:val="single"/>
          <w:lang w:val="en-US" w:eastAsia="zh-CN" w:bidi="ar-SA"/>
        </w:rPr>
        <w:t>5.2.1.2</w:t>
      </w:r>
      <w:r>
        <w:rPr>
          <w:rFonts w:hint="eastAsia"/>
          <w:u w:val="single"/>
        </w:rPr>
        <w:t>环境空气其它因子现状调查</w:t>
      </w:r>
    </w:p>
    <w:p w14:paraId="0707FC78">
      <w:pPr>
        <w:ind w:firstLine="480"/>
        <w:rPr>
          <w:rFonts w:hint="default" w:eastAsia="宋体"/>
          <w:u w:val="single"/>
          <w:lang w:val="en-US" w:eastAsia="zh-CN"/>
        </w:rPr>
      </w:pPr>
      <w:r>
        <w:rPr>
          <w:u w:val="single"/>
        </w:rPr>
        <w:t>本项目大气特征污染物为</w:t>
      </w:r>
      <w:r>
        <w:rPr>
          <w:rFonts w:hint="eastAsia"/>
          <w:u w:val="single"/>
        </w:rPr>
        <w:t>TVOC</w:t>
      </w:r>
      <w:r>
        <w:rPr>
          <w:u w:val="single"/>
        </w:rPr>
        <w:t>，为了解项目拟建地周边的环境空气质量现状，本次评价</w:t>
      </w:r>
      <w:r>
        <w:rPr>
          <w:rFonts w:hint="eastAsia"/>
          <w:u w:val="single"/>
        </w:rPr>
        <w:t>引用</w:t>
      </w:r>
      <w:r>
        <w:rPr>
          <w:rFonts w:hint="eastAsia"/>
          <w:u w:val="single"/>
          <w:lang w:val="en-US" w:eastAsia="zh-CN"/>
        </w:rPr>
        <w:t>了《天易经济开发区总体规划环境影响报告书》中的区域的环境空气现状监测结果，监测时间2023.7.25-7.31，在引用历史数据有效期内（3年），收集的监测点位相对距离和概况如下：</w:t>
      </w:r>
    </w:p>
    <w:p w14:paraId="25E460E0">
      <w:pPr>
        <w:ind w:firstLine="480"/>
        <w:jc w:val="left"/>
        <w:rPr>
          <w:u w:val="single"/>
        </w:rPr>
      </w:pPr>
      <w:r>
        <w:rPr>
          <w:rFonts w:hint="eastAsia"/>
          <w:u w:val="single"/>
        </w:rPr>
        <w:t>1.监测布点</w:t>
      </w:r>
    </w:p>
    <w:p w14:paraId="48A31DB7">
      <w:pPr>
        <w:ind w:firstLine="480"/>
        <w:jc w:val="left"/>
        <w:rPr>
          <w:rFonts w:hint="eastAsia"/>
          <w:u w:val="single"/>
        </w:rPr>
      </w:pPr>
      <w:r>
        <w:rPr>
          <w:u w:val="single"/>
        </w:rPr>
        <w:t>监测</w:t>
      </w:r>
      <w:r>
        <w:rPr>
          <w:rFonts w:hint="eastAsia"/>
          <w:u w:val="single"/>
        </w:rPr>
        <w:t>布点详见表5.2-2。</w:t>
      </w:r>
    </w:p>
    <w:p w14:paraId="0E99BF2D">
      <w:pPr>
        <w:pStyle w:val="51"/>
        <w:numPr>
          <w:ilvl w:val="5"/>
          <w:numId w:val="0"/>
        </w:numPr>
        <w:tabs>
          <w:tab w:val="left" w:pos="4395"/>
        </w:tabs>
        <w:spacing w:before="156"/>
        <w:ind w:firstLine="2108" w:firstLineChars="1000"/>
        <w:jc w:val="both"/>
        <w:rPr>
          <w:u w:val="single"/>
        </w:rPr>
      </w:pPr>
      <w:r>
        <w:rPr>
          <w:rFonts w:hint="default" w:ascii="宋体" w:hAnsi="宋体" w:eastAsia="宋体" w:cs="宋体"/>
          <w:b/>
          <w:bCs/>
          <w:color w:val="auto"/>
          <w:kern w:val="2"/>
          <w:sz w:val="21"/>
          <w:szCs w:val="21"/>
          <w:u w:val="single"/>
          <w:lang w:val="en-US" w:eastAsia="zh-CN" w:bidi="ar-SA"/>
        </w:rPr>
        <w:t>表5.2-2</w:t>
      </w:r>
      <w:r>
        <w:rPr>
          <w:rFonts w:hint="eastAsia" w:ascii="宋体" w:hAnsi="宋体" w:cs="宋体"/>
          <w:b/>
          <w:bCs/>
          <w:color w:val="auto"/>
          <w:kern w:val="2"/>
          <w:sz w:val="21"/>
          <w:szCs w:val="21"/>
          <w:u w:val="single"/>
          <w:lang w:val="en-US" w:eastAsia="zh-CN" w:bidi="ar-SA"/>
        </w:rPr>
        <w:t xml:space="preserve"> </w:t>
      </w:r>
      <w:r>
        <w:rPr>
          <w:rFonts w:hint="default" w:ascii="宋体" w:hAnsi="宋体" w:eastAsia="宋体" w:cs="宋体"/>
          <w:b/>
          <w:bCs/>
          <w:color w:val="auto"/>
          <w:kern w:val="2"/>
          <w:sz w:val="21"/>
          <w:szCs w:val="21"/>
          <w:u w:val="single"/>
          <w:lang w:val="en-US" w:eastAsia="zh-CN" w:bidi="ar-SA"/>
        </w:rPr>
        <w:t xml:space="preserve"> </w:t>
      </w:r>
      <w:r>
        <w:rPr>
          <w:u w:val="single"/>
        </w:rPr>
        <w:t>环境空气现状监测布点一览表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
        <w:gridCol w:w="1766"/>
        <w:gridCol w:w="814"/>
        <w:gridCol w:w="1500"/>
        <w:gridCol w:w="1620"/>
        <w:gridCol w:w="1928"/>
      </w:tblGrid>
      <w:tr w14:paraId="4820C6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4" w:type="dxa"/>
            <w:vAlign w:val="center"/>
          </w:tcPr>
          <w:p w14:paraId="101E522C">
            <w:pPr>
              <w:tabs>
                <w:tab w:val="left" w:pos="1021"/>
              </w:tabs>
              <w:autoSpaceDE w:val="0"/>
              <w:autoSpaceDN w:val="0"/>
              <w:adjustRightInd w:val="0"/>
              <w:spacing w:line="240" w:lineRule="auto"/>
              <w:jc w:val="center"/>
              <w:rPr>
                <w:sz w:val="21"/>
                <w:szCs w:val="21"/>
                <w:u w:val="single"/>
                <w:lang w:val="zh-CN"/>
              </w:rPr>
            </w:pPr>
            <w:r>
              <w:rPr>
                <w:sz w:val="21"/>
                <w:szCs w:val="21"/>
                <w:u w:val="single"/>
                <w:lang w:val="zh-CN"/>
              </w:rPr>
              <w:t>监测点</w:t>
            </w:r>
          </w:p>
          <w:p w14:paraId="3A70F469">
            <w:pPr>
              <w:tabs>
                <w:tab w:val="left" w:pos="1021"/>
              </w:tabs>
              <w:autoSpaceDE w:val="0"/>
              <w:autoSpaceDN w:val="0"/>
              <w:adjustRightInd w:val="0"/>
              <w:spacing w:line="240" w:lineRule="auto"/>
              <w:jc w:val="center"/>
              <w:rPr>
                <w:sz w:val="21"/>
                <w:szCs w:val="21"/>
                <w:u w:val="single"/>
              </w:rPr>
            </w:pPr>
            <w:r>
              <w:rPr>
                <w:sz w:val="21"/>
                <w:szCs w:val="21"/>
                <w:u w:val="single"/>
                <w:lang w:val="zh-CN"/>
              </w:rPr>
              <w:t>编号</w:t>
            </w:r>
          </w:p>
        </w:tc>
        <w:tc>
          <w:tcPr>
            <w:tcW w:w="1766" w:type="dxa"/>
            <w:vAlign w:val="center"/>
          </w:tcPr>
          <w:p w14:paraId="7E6426E7">
            <w:pPr>
              <w:tabs>
                <w:tab w:val="left" w:pos="1021"/>
              </w:tabs>
              <w:autoSpaceDE w:val="0"/>
              <w:autoSpaceDN w:val="0"/>
              <w:adjustRightInd w:val="0"/>
              <w:spacing w:line="240" w:lineRule="auto"/>
              <w:jc w:val="center"/>
              <w:rPr>
                <w:sz w:val="21"/>
                <w:szCs w:val="21"/>
                <w:u w:val="single"/>
              </w:rPr>
            </w:pPr>
            <w:r>
              <w:rPr>
                <w:sz w:val="21"/>
                <w:szCs w:val="21"/>
                <w:u w:val="single"/>
                <w:lang w:val="zh-CN"/>
              </w:rPr>
              <w:t>监测点名称</w:t>
            </w:r>
          </w:p>
        </w:tc>
        <w:tc>
          <w:tcPr>
            <w:tcW w:w="814" w:type="dxa"/>
            <w:vAlign w:val="center"/>
          </w:tcPr>
          <w:p w14:paraId="641029C7">
            <w:pPr>
              <w:tabs>
                <w:tab w:val="left" w:pos="1021"/>
              </w:tabs>
              <w:autoSpaceDE w:val="0"/>
              <w:autoSpaceDN w:val="0"/>
              <w:adjustRightInd w:val="0"/>
              <w:spacing w:line="240" w:lineRule="auto"/>
              <w:jc w:val="center"/>
              <w:rPr>
                <w:sz w:val="21"/>
                <w:szCs w:val="21"/>
                <w:u w:val="single"/>
                <w:lang w:val="zh-CN"/>
              </w:rPr>
            </w:pPr>
            <w:r>
              <w:rPr>
                <w:sz w:val="21"/>
                <w:szCs w:val="21"/>
                <w:u w:val="single"/>
                <w:lang w:val="zh-CN"/>
              </w:rPr>
              <w:t>监测</w:t>
            </w:r>
          </w:p>
          <w:p w14:paraId="79153E91">
            <w:pPr>
              <w:tabs>
                <w:tab w:val="left" w:pos="1021"/>
              </w:tabs>
              <w:autoSpaceDE w:val="0"/>
              <w:autoSpaceDN w:val="0"/>
              <w:adjustRightInd w:val="0"/>
              <w:spacing w:line="240" w:lineRule="auto"/>
              <w:jc w:val="center"/>
              <w:rPr>
                <w:sz w:val="21"/>
                <w:szCs w:val="21"/>
                <w:u w:val="single"/>
              </w:rPr>
            </w:pPr>
            <w:r>
              <w:rPr>
                <w:sz w:val="21"/>
                <w:szCs w:val="21"/>
                <w:u w:val="single"/>
                <w:lang w:val="zh-CN"/>
              </w:rPr>
              <w:t>因子</w:t>
            </w:r>
          </w:p>
        </w:tc>
        <w:tc>
          <w:tcPr>
            <w:tcW w:w="1500" w:type="dxa"/>
            <w:vAlign w:val="center"/>
          </w:tcPr>
          <w:p w14:paraId="3A12CA80">
            <w:pPr>
              <w:tabs>
                <w:tab w:val="left" w:pos="1021"/>
              </w:tabs>
              <w:autoSpaceDE w:val="0"/>
              <w:autoSpaceDN w:val="0"/>
              <w:adjustRightInd w:val="0"/>
              <w:spacing w:line="240" w:lineRule="auto"/>
              <w:jc w:val="center"/>
              <w:rPr>
                <w:sz w:val="21"/>
                <w:szCs w:val="21"/>
                <w:u w:val="single"/>
              </w:rPr>
            </w:pPr>
            <w:r>
              <w:rPr>
                <w:sz w:val="21"/>
                <w:szCs w:val="21"/>
                <w:u w:val="single"/>
                <w:lang w:val="zh-CN"/>
              </w:rPr>
              <w:t>相对项目方位及距离</w:t>
            </w:r>
          </w:p>
        </w:tc>
        <w:tc>
          <w:tcPr>
            <w:tcW w:w="1620" w:type="dxa"/>
            <w:vAlign w:val="center"/>
          </w:tcPr>
          <w:p w14:paraId="07FD8208">
            <w:pPr>
              <w:tabs>
                <w:tab w:val="left" w:pos="1021"/>
              </w:tabs>
              <w:autoSpaceDE w:val="0"/>
              <w:autoSpaceDN w:val="0"/>
              <w:adjustRightInd w:val="0"/>
              <w:spacing w:line="240" w:lineRule="auto"/>
              <w:jc w:val="center"/>
              <w:rPr>
                <w:sz w:val="21"/>
                <w:szCs w:val="21"/>
                <w:u w:val="single"/>
                <w:lang w:val="zh-CN"/>
              </w:rPr>
            </w:pPr>
            <w:r>
              <w:rPr>
                <w:sz w:val="21"/>
                <w:szCs w:val="21"/>
                <w:u w:val="single"/>
                <w:lang w:val="zh-CN"/>
              </w:rPr>
              <w:t>监测时间</w:t>
            </w:r>
          </w:p>
        </w:tc>
        <w:tc>
          <w:tcPr>
            <w:tcW w:w="1928" w:type="dxa"/>
            <w:vAlign w:val="center"/>
          </w:tcPr>
          <w:p w14:paraId="0D942A27">
            <w:pPr>
              <w:tabs>
                <w:tab w:val="left" w:pos="1021"/>
              </w:tabs>
              <w:autoSpaceDE w:val="0"/>
              <w:autoSpaceDN w:val="0"/>
              <w:adjustRightInd w:val="0"/>
              <w:spacing w:line="240" w:lineRule="auto"/>
              <w:jc w:val="center"/>
              <w:rPr>
                <w:sz w:val="21"/>
                <w:szCs w:val="21"/>
                <w:u w:val="single"/>
                <w:lang w:val="zh-CN"/>
              </w:rPr>
            </w:pPr>
            <w:r>
              <w:rPr>
                <w:rFonts w:hint="eastAsia"/>
                <w:sz w:val="21"/>
                <w:szCs w:val="21"/>
                <w:u w:val="single"/>
                <w:lang w:val="zh-CN"/>
              </w:rPr>
              <w:t>备注</w:t>
            </w:r>
          </w:p>
        </w:tc>
      </w:tr>
      <w:tr w14:paraId="7B53B4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4" w:type="dxa"/>
            <w:vAlign w:val="center"/>
          </w:tcPr>
          <w:p w14:paraId="0961212E">
            <w:pPr>
              <w:tabs>
                <w:tab w:val="left" w:pos="1021"/>
              </w:tabs>
              <w:autoSpaceDE w:val="0"/>
              <w:autoSpaceDN w:val="0"/>
              <w:adjustRightInd w:val="0"/>
              <w:spacing w:line="240" w:lineRule="auto"/>
              <w:jc w:val="center"/>
              <w:rPr>
                <w:sz w:val="21"/>
                <w:szCs w:val="21"/>
                <w:u w:val="single"/>
              </w:rPr>
            </w:pPr>
            <w:r>
              <w:rPr>
                <w:rFonts w:hint="eastAsia"/>
                <w:sz w:val="21"/>
                <w:szCs w:val="21"/>
                <w:u w:val="single"/>
              </w:rPr>
              <w:t>G1</w:t>
            </w:r>
          </w:p>
        </w:tc>
        <w:tc>
          <w:tcPr>
            <w:tcW w:w="1766" w:type="dxa"/>
            <w:vAlign w:val="center"/>
          </w:tcPr>
          <w:p w14:paraId="50B7719F">
            <w:pPr>
              <w:pStyle w:val="19"/>
              <w:adjustRightInd w:val="0"/>
              <w:snapToGrid w:val="0"/>
              <w:spacing w:line="240" w:lineRule="auto"/>
              <w:ind w:firstLine="0"/>
              <w:jc w:val="center"/>
              <w:rPr>
                <w:sz w:val="21"/>
                <w:szCs w:val="21"/>
                <w:u w:val="single"/>
              </w:rPr>
            </w:pPr>
            <w:r>
              <w:rPr>
                <w:rFonts w:hint="eastAsia"/>
                <w:sz w:val="21"/>
                <w:szCs w:val="21"/>
                <w:u w:val="single"/>
                <w:lang w:val="en-US" w:eastAsia="zh-CN"/>
              </w:rPr>
              <w:t>湘潭县第九中学</w:t>
            </w:r>
          </w:p>
        </w:tc>
        <w:tc>
          <w:tcPr>
            <w:tcW w:w="814" w:type="dxa"/>
            <w:vMerge w:val="restart"/>
            <w:vAlign w:val="center"/>
          </w:tcPr>
          <w:p w14:paraId="0B2D4E92">
            <w:pPr>
              <w:tabs>
                <w:tab w:val="left" w:pos="1021"/>
              </w:tabs>
              <w:autoSpaceDE w:val="0"/>
              <w:autoSpaceDN w:val="0"/>
              <w:adjustRightInd w:val="0"/>
              <w:spacing w:line="240" w:lineRule="auto"/>
              <w:jc w:val="center"/>
              <w:rPr>
                <w:sz w:val="21"/>
                <w:szCs w:val="21"/>
                <w:u w:val="single"/>
              </w:rPr>
            </w:pPr>
            <w:r>
              <w:rPr>
                <w:rFonts w:hint="eastAsia"/>
                <w:sz w:val="21"/>
                <w:szCs w:val="21"/>
                <w:u w:val="single"/>
              </w:rPr>
              <w:t>TVOC</w:t>
            </w:r>
          </w:p>
        </w:tc>
        <w:tc>
          <w:tcPr>
            <w:tcW w:w="1500" w:type="dxa"/>
            <w:vAlign w:val="center"/>
          </w:tcPr>
          <w:p w14:paraId="76D7D944">
            <w:pPr>
              <w:adjustRightInd w:val="0"/>
              <w:snapToGrid w:val="0"/>
              <w:spacing w:line="240" w:lineRule="auto"/>
              <w:jc w:val="center"/>
              <w:rPr>
                <w:sz w:val="21"/>
                <w:szCs w:val="21"/>
                <w:u w:val="single"/>
              </w:rPr>
            </w:pPr>
            <w:r>
              <w:rPr>
                <w:rFonts w:hint="eastAsia"/>
                <w:sz w:val="21"/>
                <w:szCs w:val="21"/>
                <w:u w:val="single"/>
              </w:rPr>
              <w:t>南</w:t>
            </w:r>
            <w:r>
              <w:rPr>
                <w:rFonts w:hint="eastAsia"/>
                <w:sz w:val="21"/>
                <w:szCs w:val="21"/>
                <w:u w:val="single"/>
                <w:lang w:eastAsia="zh-CN"/>
              </w:rPr>
              <w:t>，</w:t>
            </w:r>
            <w:r>
              <w:rPr>
                <w:rFonts w:hint="eastAsia"/>
                <w:sz w:val="21"/>
                <w:szCs w:val="21"/>
                <w:u w:val="single"/>
                <w:lang w:val="en-US" w:eastAsia="zh-CN"/>
              </w:rPr>
              <w:t>1.6k</w:t>
            </w:r>
            <w:r>
              <w:rPr>
                <w:rFonts w:hint="eastAsia"/>
                <w:sz w:val="21"/>
                <w:szCs w:val="21"/>
                <w:u w:val="single"/>
              </w:rPr>
              <w:t>m</w:t>
            </w:r>
          </w:p>
        </w:tc>
        <w:tc>
          <w:tcPr>
            <w:tcW w:w="1620" w:type="dxa"/>
            <w:vMerge w:val="restart"/>
            <w:vAlign w:val="center"/>
          </w:tcPr>
          <w:p w14:paraId="191253A2">
            <w:pPr>
              <w:tabs>
                <w:tab w:val="left" w:pos="1021"/>
              </w:tabs>
              <w:autoSpaceDE w:val="0"/>
              <w:autoSpaceDN w:val="0"/>
              <w:adjustRightInd w:val="0"/>
              <w:spacing w:line="240" w:lineRule="auto"/>
              <w:jc w:val="center"/>
              <w:rPr>
                <w:rFonts w:hint="default" w:eastAsia="宋体"/>
                <w:sz w:val="21"/>
                <w:szCs w:val="21"/>
                <w:u w:val="single"/>
                <w:lang w:val="en-US" w:eastAsia="zh-CN"/>
              </w:rPr>
            </w:pPr>
            <w:r>
              <w:rPr>
                <w:rFonts w:hint="eastAsia"/>
                <w:sz w:val="21"/>
                <w:szCs w:val="21"/>
                <w:u w:val="single"/>
              </w:rPr>
              <w:t>2023</w:t>
            </w:r>
            <w:r>
              <w:rPr>
                <w:rFonts w:hint="eastAsia"/>
                <w:sz w:val="21"/>
                <w:szCs w:val="21"/>
                <w:u w:val="single"/>
                <w:lang w:val="en-US" w:eastAsia="zh-CN"/>
              </w:rPr>
              <w:t>.7.25-7.31</w:t>
            </w:r>
          </w:p>
        </w:tc>
        <w:tc>
          <w:tcPr>
            <w:tcW w:w="1928" w:type="dxa"/>
            <w:vMerge w:val="restart"/>
            <w:vAlign w:val="center"/>
          </w:tcPr>
          <w:p w14:paraId="5C518F3A">
            <w:pPr>
              <w:tabs>
                <w:tab w:val="left" w:pos="1021"/>
              </w:tabs>
              <w:autoSpaceDE w:val="0"/>
              <w:autoSpaceDN w:val="0"/>
              <w:adjustRightInd w:val="0"/>
              <w:spacing w:line="240" w:lineRule="auto"/>
              <w:jc w:val="center"/>
              <w:rPr>
                <w:rFonts w:hint="default" w:eastAsia="宋体"/>
                <w:sz w:val="21"/>
                <w:szCs w:val="21"/>
                <w:u w:val="single"/>
                <w:lang w:val="en-US" w:eastAsia="zh-CN"/>
              </w:rPr>
            </w:pPr>
            <w:r>
              <w:rPr>
                <w:rFonts w:hint="eastAsia"/>
                <w:sz w:val="21"/>
                <w:szCs w:val="21"/>
                <w:u w:val="single"/>
                <w:lang w:val="en-US" w:eastAsia="zh-CN"/>
              </w:rPr>
              <w:t>天易经开区2023年例行监测</w:t>
            </w:r>
          </w:p>
        </w:tc>
      </w:tr>
      <w:tr w14:paraId="10C065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4" w:type="dxa"/>
            <w:vAlign w:val="center"/>
          </w:tcPr>
          <w:p w14:paraId="2FE4DFC9">
            <w:pPr>
              <w:tabs>
                <w:tab w:val="left" w:pos="1021"/>
              </w:tabs>
              <w:autoSpaceDE w:val="0"/>
              <w:autoSpaceDN w:val="0"/>
              <w:adjustRightInd w:val="0"/>
              <w:spacing w:line="240" w:lineRule="auto"/>
              <w:jc w:val="center"/>
              <w:rPr>
                <w:sz w:val="21"/>
                <w:szCs w:val="21"/>
                <w:u w:val="single"/>
              </w:rPr>
            </w:pPr>
            <w:r>
              <w:rPr>
                <w:rFonts w:hint="eastAsia"/>
                <w:sz w:val="21"/>
                <w:szCs w:val="21"/>
                <w:u w:val="single"/>
              </w:rPr>
              <w:t>G2</w:t>
            </w:r>
          </w:p>
        </w:tc>
        <w:tc>
          <w:tcPr>
            <w:tcW w:w="1766" w:type="dxa"/>
            <w:vAlign w:val="center"/>
          </w:tcPr>
          <w:p w14:paraId="39A72B27">
            <w:pPr>
              <w:pStyle w:val="19"/>
              <w:adjustRightInd w:val="0"/>
              <w:snapToGrid w:val="0"/>
              <w:spacing w:line="240" w:lineRule="auto"/>
              <w:ind w:firstLine="0"/>
              <w:jc w:val="center"/>
              <w:rPr>
                <w:rFonts w:hint="default" w:eastAsia="宋体"/>
                <w:sz w:val="21"/>
                <w:szCs w:val="21"/>
                <w:u w:val="single"/>
                <w:lang w:val="en-US" w:eastAsia="zh-CN"/>
              </w:rPr>
            </w:pPr>
            <w:r>
              <w:rPr>
                <w:rFonts w:hint="eastAsia"/>
                <w:sz w:val="21"/>
                <w:szCs w:val="21"/>
                <w:u w:val="single"/>
                <w:lang w:val="en-US" w:eastAsia="zh-CN"/>
              </w:rPr>
              <w:t>晓木塘安置区</w:t>
            </w:r>
          </w:p>
        </w:tc>
        <w:tc>
          <w:tcPr>
            <w:tcW w:w="814" w:type="dxa"/>
            <w:vMerge w:val="continue"/>
            <w:vAlign w:val="center"/>
          </w:tcPr>
          <w:p w14:paraId="69959AC8">
            <w:pPr>
              <w:tabs>
                <w:tab w:val="left" w:pos="1021"/>
              </w:tabs>
              <w:autoSpaceDE w:val="0"/>
              <w:autoSpaceDN w:val="0"/>
              <w:adjustRightInd w:val="0"/>
              <w:spacing w:line="240" w:lineRule="auto"/>
              <w:jc w:val="center"/>
              <w:rPr>
                <w:sz w:val="21"/>
                <w:szCs w:val="21"/>
                <w:u w:val="single"/>
              </w:rPr>
            </w:pPr>
          </w:p>
        </w:tc>
        <w:tc>
          <w:tcPr>
            <w:tcW w:w="1500" w:type="dxa"/>
            <w:vAlign w:val="center"/>
          </w:tcPr>
          <w:p w14:paraId="56388CF6">
            <w:pPr>
              <w:adjustRightInd w:val="0"/>
              <w:snapToGrid w:val="0"/>
              <w:spacing w:line="240" w:lineRule="auto"/>
              <w:jc w:val="center"/>
              <w:rPr>
                <w:rFonts w:hint="eastAsia" w:eastAsia="宋体"/>
                <w:sz w:val="21"/>
                <w:szCs w:val="21"/>
                <w:u w:val="single"/>
                <w:lang w:eastAsia="zh-CN"/>
              </w:rPr>
            </w:pPr>
            <w:r>
              <w:rPr>
                <w:rFonts w:hint="eastAsia"/>
                <w:sz w:val="21"/>
                <w:szCs w:val="21"/>
                <w:u w:val="single"/>
                <w:lang w:val="en-US" w:eastAsia="zh-CN"/>
              </w:rPr>
              <w:t>东北，1.1km</w:t>
            </w:r>
          </w:p>
        </w:tc>
        <w:tc>
          <w:tcPr>
            <w:tcW w:w="1620" w:type="dxa"/>
            <w:vMerge w:val="continue"/>
            <w:vAlign w:val="center"/>
          </w:tcPr>
          <w:p w14:paraId="2E86F4B6">
            <w:pPr>
              <w:tabs>
                <w:tab w:val="left" w:pos="1021"/>
              </w:tabs>
              <w:autoSpaceDE w:val="0"/>
              <w:autoSpaceDN w:val="0"/>
              <w:adjustRightInd w:val="0"/>
              <w:spacing w:line="240" w:lineRule="auto"/>
              <w:jc w:val="center"/>
              <w:rPr>
                <w:sz w:val="21"/>
                <w:szCs w:val="21"/>
                <w:u w:val="single"/>
              </w:rPr>
            </w:pPr>
          </w:p>
        </w:tc>
        <w:tc>
          <w:tcPr>
            <w:tcW w:w="1928" w:type="dxa"/>
            <w:vMerge w:val="continue"/>
            <w:vAlign w:val="center"/>
          </w:tcPr>
          <w:p w14:paraId="40E6C9FA">
            <w:pPr>
              <w:tabs>
                <w:tab w:val="left" w:pos="1021"/>
              </w:tabs>
              <w:autoSpaceDE w:val="0"/>
              <w:autoSpaceDN w:val="0"/>
              <w:adjustRightInd w:val="0"/>
              <w:spacing w:line="240" w:lineRule="auto"/>
              <w:jc w:val="center"/>
              <w:rPr>
                <w:sz w:val="21"/>
                <w:szCs w:val="21"/>
                <w:u w:val="single"/>
              </w:rPr>
            </w:pPr>
          </w:p>
        </w:tc>
      </w:tr>
    </w:tbl>
    <w:p w14:paraId="25F050FE">
      <w:pPr>
        <w:ind w:firstLine="480"/>
        <w:rPr>
          <w:u w:val="single"/>
        </w:rPr>
      </w:pPr>
      <w:r>
        <w:rPr>
          <w:rFonts w:hint="eastAsia"/>
          <w:u w:val="single"/>
        </w:rPr>
        <w:t>2.监测结果</w:t>
      </w:r>
    </w:p>
    <w:p w14:paraId="27A166AC">
      <w:pPr>
        <w:ind w:firstLine="480"/>
        <w:jc w:val="left"/>
        <w:rPr>
          <w:u w:val="single"/>
        </w:rPr>
      </w:pPr>
      <w:r>
        <w:rPr>
          <w:rFonts w:hint="eastAsia"/>
          <w:u w:val="single"/>
        </w:rPr>
        <w:t>监测统计结果详见表5.2-3。</w:t>
      </w:r>
    </w:p>
    <w:p w14:paraId="3EF05EDF">
      <w:pPr>
        <w:pStyle w:val="51"/>
        <w:numPr>
          <w:ilvl w:val="5"/>
          <w:numId w:val="0"/>
        </w:numPr>
        <w:tabs>
          <w:tab w:val="left" w:pos="4395"/>
        </w:tabs>
        <w:spacing w:before="156"/>
        <w:ind w:left="4973" w:leftChars="967" w:hanging="2652" w:hangingChars="1258"/>
        <w:jc w:val="both"/>
        <w:rPr>
          <w:u w:val="single"/>
          <w:lang w:val="zh-CN"/>
        </w:rPr>
      </w:pPr>
      <w:r>
        <w:rPr>
          <w:rFonts w:hint="default" w:ascii="宋体" w:hAnsi="宋体" w:eastAsia="宋体" w:cs="宋体"/>
          <w:b/>
          <w:bCs/>
          <w:color w:val="auto"/>
          <w:kern w:val="2"/>
          <w:sz w:val="21"/>
          <w:szCs w:val="21"/>
          <w:u w:val="single"/>
          <w:lang w:val="en-US" w:eastAsia="zh-CN" w:bidi="ar-SA"/>
        </w:rPr>
        <w:t xml:space="preserve">表5.2-3 </w:t>
      </w:r>
      <w:r>
        <w:rPr>
          <w:rFonts w:hint="eastAsia" w:ascii="宋体" w:hAnsi="宋体" w:cs="宋体"/>
          <w:b/>
          <w:bCs/>
          <w:color w:val="auto"/>
          <w:kern w:val="2"/>
          <w:sz w:val="21"/>
          <w:szCs w:val="21"/>
          <w:u w:val="single"/>
          <w:lang w:val="en-US" w:eastAsia="zh-CN" w:bidi="ar-SA"/>
        </w:rPr>
        <w:t xml:space="preserve"> </w:t>
      </w:r>
      <w:r>
        <w:rPr>
          <w:u w:val="single"/>
        </w:rPr>
        <w:t>环境空气质量现状监测统计结果</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24"/>
        <w:gridCol w:w="2475"/>
        <w:gridCol w:w="4523"/>
      </w:tblGrid>
      <w:tr w14:paraId="31DB6A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4" w:type="dxa"/>
            <w:vMerge w:val="restart"/>
            <w:tcBorders>
              <w:tl2br w:val="nil"/>
              <w:tr2bl w:val="nil"/>
            </w:tcBorders>
            <w:vAlign w:val="center"/>
          </w:tcPr>
          <w:p w14:paraId="3940890D">
            <w:pPr>
              <w:spacing w:line="240" w:lineRule="auto"/>
              <w:jc w:val="center"/>
              <w:rPr>
                <w:sz w:val="21"/>
                <w:szCs w:val="21"/>
                <w:u w:val="single"/>
              </w:rPr>
            </w:pPr>
            <w:r>
              <w:rPr>
                <w:rFonts w:hint="eastAsia"/>
                <w:sz w:val="21"/>
                <w:szCs w:val="21"/>
                <w:u w:val="single"/>
              </w:rPr>
              <w:t>采样点位</w:t>
            </w:r>
          </w:p>
        </w:tc>
        <w:tc>
          <w:tcPr>
            <w:tcW w:w="2475" w:type="dxa"/>
            <w:vMerge w:val="restart"/>
            <w:tcBorders>
              <w:tl2br w:val="nil"/>
              <w:tr2bl w:val="nil"/>
            </w:tcBorders>
            <w:vAlign w:val="center"/>
          </w:tcPr>
          <w:p w14:paraId="6283B07B">
            <w:pPr>
              <w:spacing w:line="240" w:lineRule="auto"/>
              <w:jc w:val="center"/>
              <w:rPr>
                <w:sz w:val="21"/>
                <w:szCs w:val="21"/>
                <w:u w:val="single"/>
              </w:rPr>
            </w:pPr>
            <w:r>
              <w:rPr>
                <w:rFonts w:hint="eastAsia"/>
                <w:sz w:val="21"/>
                <w:szCs w:val="21"/>
                <w:u w:val="single"/>
              </w:rPr>
              <w:t>采样日期</w:t>
            </w:r>
          </w:p>
        </w:tc>
        <w:tc>
          <w:tcPr>
            <w:tcW w:w="4523" w:type="dxa"/>
            <w:tcBorders>
              <w:tl2br w:val="nil"/>
              <w:tr2bl w:val="nil"/>
            </w:tcBorders>
            <w:vAlign w:val="center"/>
          </w:tcPr>
          <w:p w14:paraId="77185F86">
            <w:pPr>
              <w:spacing w:line="240" w:lineRule="auto"/>
              <w:jc w:val="center"/>
              <w:rPr>
                <w:sz w:val="21"/>
                <w:szCs w:val="21"/>
                <w:u w:val="single"/>
              </w:rPr>
            </w:pPr>
            <w:r>
              <w:rPr>
                <w:rFonts w:hint="eastAsia"/>
                <w:sz w:val="21"/>
                <w:szCs w:val="21"/>
                <w:u w:val="single"/>
              </w:rPr>
              <w:t>检测结果mg/m</w:t>
            </w:r>
            <w:r>
              <w:rPr>
                <w:rFonts w:hint="eastAsia"/>
                <w:sz w:val="21"/>
                <w:szCs w:val="21"/>
                <w:u w:val="single"/>
                <w:vertAlign w:val="superscript"/>
              </w:rPr>
              <w:t>3</w:t>
            </w:r>
          </w:p>
        </w:tc>
      </w:tr>
      <w:tr w14:paraId="05D27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4" w:type="dxa"/>
            <w:vMerge w:val="continue"/>
            <w:tcBorders>
              <w:tl2br w:val="nil"/>
              <w:tr2bl w:val="nil"/>
            </w:tcBorders>
            <w:vAlign w:val="center"/>
          </w:tcPr>
          <w:p w14:paraId="417E0E1F">
            <w:pPr>
              <w:spacing w:line="240" w:lineRule="auto"/>
              <w:jc w:val="center"/>
              <w:rPr>
                <w:sz w:val="21"/>
                <w:szCs w:val="21"/>
                <w:u w:val="single"/>
              </w:rPr>
            </w:pPr>
          </w:p>
        </w:tc>
        <w:tc>
          <w:tcPr>
            <w:tcW w:w="2475" w:type="dxa"/>
            <w:vMerge w:val="continue"/>
            <w:tcBorders>
              <w:tl2br w:val="nil"/>
              <w:tr2bl w:val="nil"/>
            </w:tcBorders>
            <w:vAlign w:val="center"/>
          </w:tcPr>
          <w:p w14:paraId="0FC2C60F">
            <w:pPr>
              <w:spacing w:line="240" w:lineRule="auto"/>
              <w:jc w:val="center"/>
              <w:rPr>
                <w:sz w:val="21"/>
                <w:szCs w:val="21"/>
                <w:u w:val="single"/>
              </w:rPr>
            </w:pPr>
          </w:p>
        </w:tc>
        <w:tc>
          <w:tcPr>
            <w:tcW w:w="4523" w:type="dxa"/>
            <w:tcBorders>
              <w:tl2br w:val="nil"/>
              <w:tr2bl w:val="nil"/>
            </w:tcBorders>
            <w:vAlign w:val="center"/>
          </w:tcPr>
          <w:p w14:paraId="4D9DC16B">
            <w:pPr>
              <w:spacing w:line="240" w:lineRule="auto"/>
              <w:jc w:val="center"/>
              <w:rPr>
                <w:sz w:val="21"/>
                <w:szCs w:val="21"/>
                <w:u w:val="single"/>
              </w:rPr>
            </w:pPr>
            <w:r>
              <w:rPr>
                <w:rFonts w:hint="eastAsia"/>
                <w:sz w:val="21"/>
                <w:szCs w:val="21"/>
                <w:u w:val="single"/>
              </w:rPr>
              <w:t>TVOC</w:t>
            </w:r>
          </w:p>
        </w:tc>
      </w:tr>
      <w:tr w14:paraId="4931B8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4" w:type="dxa"/>
            <w:tcBorders>
              <w:tl2br w:val="nil"/>
              <w:tr2bl w:val="nil"/>
            </w:tcBorders>
            <w:vAlign w:val="center"/>
          </w:tcPr>
          <w:p w14:paraId="4CBB07B6">
            <w:pPr>
              <w:spacing w:line="240" w:lineRule="auto"/>
              <w:jc w:val="center"/>
              <w:rPr>
                <w:sz w:val="21"/>
                <w:szCs w:val="21"/>
                <w:u w:val="single"/>
              </w:rPr>
            </w:pPr>
            <w:r>
              <w:rPr>
                <w:sz w:val="21"/>
                <w:szCs w:val="21"/>
                <w:u w:val="single"/>
              </w:rPr>
              <w:t>G</w:t>
            </w:r>
            <w:r>
              <w:rPr>
                <w:rFonts w:hint="eastAsia"/>
                <w:sz w:val="21"/>
                <w:szCs w:val="21"/>
                <w:u w:val="single"/>
              </w:rPr>
              <w:t>1</w:t>
            </w:r>
          </w:p>
        </w:tc>
        <w:tc>
          <w:tcPr>
            <w:tcW w:w="2475" w:type="dxa"/>
            <w:vMerge w:val="restart"/>
            <w:tcBorders>
              <w:tl2br w:val="nil"/>
              <w:tr2bl w:val="nil"/>
            </w:tcBorders>
            <w:vAlign w:val="center"/>
          </w:tcPr>
          <w:p w14:paraId="33B1FEF2">
            <w:pPr>
              <w:spacing w:line="240" w:lineRule="auto"/>
              <w:jc w:val="center"/>
              <w:rPr>
                <w:sz w:val="21"/>
                <w:szCs w:val="21"/>
                <w:u w:val="single"/>
              </w:rPr>
            </w:pPr>
            <w:r>
              <w:rPr>
                <w:rFonts w:hint="eastAsia"/>
                <w:sz w:val="21"/>
                <w:szCs w:val="21"/>
                <w:u w:val="single"/>
              </w:rPr>
              <w:t>2023</w:t>
            </w:r>
            <w:r>
              <w:rPr>
                <w:rFonts w:hint="eastAsia"/>
                <w:sz w:val="21"/>
                <w:szCs w:val="21"/>
                <w:u w:val="single"/>
                <w:lang w:val="en-US" w:eastAsia="zh-CN"/>
              </w:rPr>
              <w:t>.7.25-7.31</w:t>
            </w:r>
          </w:p>
        </w:tc>
        <w:tc>
          <w:tcPr>
            <w:tcW w:w="4523" w:type="dxa"/>
            <w:tcBorders>
              <w:tl2br w:val="nil"/>
              <w:tr2bl w:val="nil"/>
            </w:tcBorders>
            <w:vAlign w:val="center"/>
          </w:tcPr>
          <w:p w14:paraId="200F5DCC">
            <w:pPr>
              <w:spacing w:line="240" w:lineRule="auto"/>
              <w:jc w:val="center"/>
              <w:rPr>
                <w:rFonts w:hint="default" w:eastAsia="宋体"/>
                <w:sz w:val="21"/>
                <w:szCs w:val="21"/>
                <w:u w:val="single"/>
                <w:lang w:val="en-US" w:eastAsia="zh-CN"/>
              </w:rPr>
            </w:pPr>
            <w:r>
              <w:rPr>
                <w:rFonts w:hint="eastAsia"/>
                <w:sz w:val="21"/>
                <w:szCs w:val="21"/>
                <w:u w:val="single"/>
                <w:lang w:val="en-US" w:eastAsia="zh-CN"/>
              </w:rPr>
              <w:t>0.199-0.310（8小时均值）</w:t>
            </w:r>
          </w:p>
        </w:tc>
      </w:tr>
      <w:tr w14:paraId="7AF6D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4" w:type="dxa"/>
            <w:tcBorders>
              <w:tl2br w:val="nil"/>
              <w:tr2bl w:val="nil"/>
            </w:tcBorders>
            <w:vAlign w:val="center"/>
          </w:tcPr>
          <w:p w14:paraId="7670BBBC">
            <w:pPr>
              <w:spacing w:line="240" w:lineRule="auto"/>
              <w:jc w:val="center"/>
              <w:rPr>
                <w:sz w:val="21"/>
                <w:szCs w:val="21"/>
                <w:u w:val="single"/>
              </w:rPr>
            </w:pPr>
            <w:r>
              <w:rPr>
                <w:rFonts w:hint="eastAsia"/>
                <w:sz w:val="21"/>
                <w:szCs w:val="21"/>
                <w:u w:val="single"/>
              </w:rPr>
              <w:t>G2</w:t>
            </w:r>
          </w:p>
        </w:tc>
        <w:tc>
          <w:tcPr>
            <w:tcW w:w="2475" w:type="dxa"/>
            <w:vMerge w:val="continue"/>
            <w:tcBorders>
              <w:tl2br w:val="nil"/>
              <w:tr2bl w:val="nil"/>
            </w:tcBorders>
            <w:vAlign w:val="center"/>
          </w:tcPr>
          <w:p w14:paraId="0692850A">
            <w:pPr>
              <w:spacing w:line="240" w:lineRule="auto"/>
              <w:jc w:val="center"/>
              <w:rPr>
                <w:sz w:val="21"/>
                <w:szCs w:val="21"/>
                <w:u w:val="single"/>
              </w:rPr>
            </w:pPr>
          </w:p>
        </w:tc>
        <w:tc>
          <w:tcPr>
            <w:tcW w:w="4523" w:type="dxa"/>
            <w:tcBorders>
              <w:tl2br w:val="nil"/>
              <w:tr2bl w:val="nil"/>
            </w:tcBorders>
            <w:vAlign w:val="center"/>
          </w:tcPr>
          <w:p w14:paraId="01571D64">
            <w:pPr>
              <w:spacing w:line="240" w:lineRule="auto"/>
              <w:jc w:val="center"/>
              <w:rPr>
                <w:sz w:val="21"/>
                <w:szCs w:val="21"/>
                <w:u w:val="single"/>
              </w:rPr>
            </w:pPr>
            <w:r>
              <w:rPr>
                <w:rFonts w:hint="eastAsia"/>
                <w:sz w:val="21"/>
                <w:szCs w:val="21"/>
                <w:u w:val="single"/>
                <w:lang w:val="en-US" w:eastAsia="zh-CN"/>
              </w:rPr>
              <w:t>0.213-0.408（8小时均值）</w:t>
            </w:r>
          </w:p>
        </w:tc>
      </w:tr>
      <w:tr w14:paraId="7AE5A6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9" w:type="dxa"/>
            <w:gridSpan w:val="2"/>
            <w:tcBorders>
              <w:tl2br w:val="nil"/>
              <w:tr2bl w:val="nil"/>
            </w:tcBorders>
            <w:vAlign w:val="center"/>
          </w:tcPr>
          <w:p w14:paraId="508F95B6">
            <w:pPr>
              <w:spacing w:line="240" w:lineRule="auto"/>
              <w:jc w:val="center"/>
              <w:rPr>
                <w:sz w:val="21"/>
                <w:szCs w:val="21"/>
                <w:u w:val="single"/>
              </w:rPr>
            </w:pPr>
            <w:r>
              <w:rPr>
                <w:rFonts w:hint="eastAsia"/>
                <w:sz w:val="21"/>
                <w:szCs w:val="21"/>
                <w:u w:val="single"/>
              </w:rPr>
              <w:t>标准值</w:t>
            </w:r>
          </w:p>
        </w:tc>
        <w:tc>
          <w:tcPr>
            <w:tcW w:w="4523" w:type="dxa"/>
            <w:tcBorders>
              <w:tl2br w:val="nil"/>
              <w:tr2bl w:val="nil"/>
            </w:tcBorders>
            <w:vAlign w:val="center"/>
          </w:tcPr>
          <w:p w14:paraId="1E09FB4A">
            <w:pPr>
              <w:spacing w:line="240" w:lineRule="auto"/>
              <w:jc w:val="center"/>
              <w:rPr>
                <w:rFonts w:hint="default" w:eastAsia="宋体"/>
                <w:sz w:val="21"/>
                <w:szCs w:val="21"/>
                <w:u w:val="single"/>
                <w:lang w:val="en-US" w:eastAsia="zh-CN"/>
              </w:rPr>
            </w:pPr>
            <w:r>
              <w:rPr>
                <w:rFonts w:hint="eastAsia"/>
                <w:sz w:val="21"/>
                <w:szCs w:val="21"/>
                <w:u w:val="single"/>
                <w:lang w:val="en-US" w:eastAsia="zh-CN"/>
              </w:rPr>
              <w:t>0.6</w:t>
            </w:r>
          </w:p>
        </w:tc>
      </w:tr>
    </w:tbl>
    <w:p w14:paraId="77425813">
      <w:pPr>
        <w:pStyle w:val="11"/>
        <w:ind w:left="0" w:firstLine="480"/>
        <w:rPr>
          <w:rFonts w:hint="eastAsia" w:ascii="Times New Roman" w:hAnsi="Times New Roman" w:eastAsia="宋体" w:cs="Times New Roman"/>
          <w:sz w:val="24"/>
          <w:szCs w:val="24"/>
          <w:lang w:eastAsia="zh-CN" w:bidi="ar-SA"/>
        </w:rPr>
      </w:pPr>
      <w:r>
        <w:rPr>
          <w:rFonts w:ascii="Times New Roman" w:hAnsi="Times New Roman" w:cs="Times New Roman"/>
          <w:sz w:val="24"/>
          <w:szCs w:val="24"/>
          <w:u w:val="single"/>
          <w:lang w:bidi="ar-SA"/>
        </w:rPr>
        <w:t>由上表监测结果可知，</w:t>
      </w:r>
      <w:r>
        <w:rPr>
          <w:rFonts w:hint="eastAsia" w:ascii="Times New Roman" w:hAnsi="Times New Roman" w:cs="Times New Roman"/>
          <w:sz w:val="24"/>
          <w:szCs w:val="24"/>
          <w:u w:val="single"/>
          <w:lang w:val="en-US" w:eastAsia="zh-CN" w:bidi="ar-SA"/>
        </w:rPr>
        <w:t>引用的两个点位</w:t>
      </w:r>
      <w:r>
        <w:rPr>
          <w:rFonts w:ascii="Times New Roman" w:hAnsi="Times New Roman" w:cs="Times New Roman"/>
          <w:sz w:val="24"/>
          <w:szCs w:val="24"/>
          <w:u w:val="single"/>
          <w:lang w:bidi="ar-SA"/>
        </w:rPr>
        <w:t>的</w:t>
      </w:r>
      <w:r>
        <w:rPr>
          <w:rFonts w:hint="eastAsia" w:ascii="Times New Roman" w:hAnsi="Times New Roman" w:cs="Times New Roman"/>
          <w:sz w:val="24"/>
          <w:szCs w:val="24"/>
          <w:u w:val="single"/>
          <w:lang w:val="en-US" w:bidi="ar-SA"/>
        </w:rPr>
        <w:t>TVOC</w:t>
      </w:r>
      <w:r>
        <w:rPr>
          <w:rFonts w:ascii="Times New Roman" w:hAnsi="Times New Roman" w:cs="Times New Roman"/>
          <w:sz w:val="24"/>
          <w:szCs w:val="24"/>
          <w:u w:val="single"/>
          <w:lang w:bidi="ar-SA"/>
        </w:rPr>
        <w:t>可达到《环境影响评价技术导则-大气环境》（HJ2.2-2018）附录D中的参考限值</w:t>
      </w:r>
      <w:r>
        <w:rPr>
          <w:rFonts w:hint="eastAsia" w:ascii="Times New Roman" w:hAnsi="Times New Roman" w:cs="Times New Roman"/>
          <w:sz w:val="24"/>
          <w:szCs w:val="24"/>
          <w:u w:val="single"/>
          <w:lang w:eastAsia="zh-CN" w:bidi="ar-SA"/>
        </w:rPr>
        <w:t>。</w:t>
      </w:r>
    </w:p>
    <w:p w14:paraId="60CEB276">
      <w:pPr>
        <w:pStyle w:val="4"/>
        <w:numPr>
          <w:ilvl w:val="2"/>
          <w:numId w:val="0"/>
        </w:numPr>
        <w:ind w:left="992" w:leftChars="0" w:hanging="992" w:firstLineChars="0"/>
      </w:pPr>
      <w:bookmarkStart w:id="106" w:name="（2）水资源"/>
      <w:bookmarkEnd w:id="106"/>
      <w:r>
        <w:rPr>
          <w:rFonts w:hint="default" w:ascii="宋体" w:hAnsi="宋体" w:eastAsia="宋体" w:cs="宋体"/>
          <w:b/>
          <w:bCs/>
          <w:kern w:val="2"/>
          <w:sz w:val="24"/>
          <w:szCs w:val="24"/>
          <w:lang w:val="en-US" w:eastAsia="zh-CN" w:bidi="ar-SA"/>
        </w:rPr>
        <w:t>5.2.2</w:t>
      </w:r>
      <w:r>
        <w:rPr>
          <w:rFonts w:hint="eastAsia"/>
        </w:rPr>
        <w:t>地表水环境质量现状调查与评价</w:t>
      </w:r>
    </w:p>
    <w:p w14:paraId="470E3DF8">
      <w:pPr>
        <w:ind w:firstLine="480"/>
        <w:rPr>
          <w:u w:val="single"/>
        </w:rPr>
      </w:pPr>
      <w:r>
        <w:rPr>
          <w:rFonts w:hint="eastAsia"/>
          <w:u w:val="single"/>
        </w:rPr>
        <w:t>本项目纳污水体为湘江，根据《湖南省主要水系地表水环境功能区划》（DB43/023-2005），湘江该江段水域应执行《地表水环境质量标准》（GB3838-2002）Ⅲ类标准。为了解项目区域地表水质量现状，本环评收集了《202</w:t>
      </w:r>
      <w:r>
        <w:rPr>
          <w:rFonts w:hint="eastAsia"/>
          <w:u w:val="single"/>
          <w:lang w:val="en-US" w:eastAsia="zh-CN"/>
        </w:rPr>
        <w:t>4</w:t>
      </w:r>
      <w:r>
        <w:rPr>
          <w:rFonts w:hint="eastAsia"/>
          <w:u w:val="single"/>
        </w:rPr>
        <w:t>年湘潭市水环境质量状况年度简报》。根据《建设项目环境影响报告表编制技术指南(污染影响类)》：“引用与建设项目距离近的有效数据，包括近3年的规划环境影响评价的监测数据，所在流域控制单元内国家、地</w:t>
      </w:r>
      <w:r>
        <w:rPr>
          <w:rFonts w:hint="eastAsia"/>
          <w:u w:val="single"/>
          <w:lang w:val="en-US" w:eastAsia="zh-CN"/>
        </w:rPr>
        <w:t>0</w:t>
      </w:r>
      <w:r>
        <w:rPr>
          <w:rFonts w:hint="eastAsia"/>
          <w:u w:val="single"/>
        </w:rPr>
        <w:t>方控制断面监测数据，生态环境主管部门发布的水环境质量数据或地表水达标情况的结论”，可知本项目引用数据可行。断面水质情况</w:t>
      </w:r>
      <w:r>
        <w:rPr>
          <w:rFonts w:hint="eastAsia"/>
          <w:u w:val="single"/>
          <w:lang w:val="en-US" w:eastAsia="zh-CN"/>
        </w:rPr>
        <w:t>摘抄如下：</w:t>
      </w:r>
    </w:p>
    <w:p w14:paraId="1DB94E79">
      <w:pPr>
        <w:ind w:firstLine="480"/>
        <w:rPr>
          <w:rFonts w:hint="eastAsia"/>
          <w:u w:val="single"/>
          <w:lang w:val="en-US" w:eastAsia="zh-CN" w:bidi="ar"/>
        </w:rPr>
      </w:pPr>
      <w:r>
        <w:rPr>
          <w:rFonts w:hint="eastAsia"/>
          <w:b/>
          <w:bCs/>
          <w:u w:val="single"/>
          <w:lang w:bidi="ar"/>
        </w:rPr>
        <w:t>易俗河水厂</w:t>
      </w:r>
      <w:r>
        <w:rPr>
          <w:rFonts w:hint="eastAsia"/>
          <w:b/>
          <w:bCs/>
          <w:u w:val="single"/>
          <w:lang w:val="en-US" w:eastAsia="zh-CN" w:bidi="ar"/>
        </w:rPr>
        <w:t>断面</w:t>
      </w:r>
      <w:r>
        <w:rPr>
          <w:rFonts w:hint="eastAsia"/>
          <w:b/>
          <w:bCs/>
          <w:u w:val="single"/>
          <w:lang w:eastAsia="zh-CN" w:bidi="ar"/>
        </w:rPr>
        <w:t>：</w:t>
      </w:r>
      <w:r>
        <w:rPr>
          <w:rFonts w:hint="eastAsia"/>
          <w:u w:val="single"/>
          <w:lang w:bidi="ar"/>
        </w:rPr>
        <w:t>2024</w:t>
      </w:r>
      <w:r>
        <w:rPr>
          <w:rFonts w:hint="eastAsia"/>
          <w:u w:val="single"/>
          <w:lang w:val="en-US" w:eastAsia="zh-CN" w:bidi="ar"/>
        </w:rPr>
        <w:t>年</w:t>
      </w:r>
      <w:r>
        <w:rPr>
          <w:rFonts w:hint="eastAsia"/>
          <w:u w:val="single"/>
          <w:lang w:bidi="ar"/>
        </w:rPr>
        <w:t>8</w:t>
      </w:r>
      <w:r>
        <w:rPr>
          <w:rFonts w:hint="eastAsia"/>
          <w:u w:val="single"/>
          <w:lang w:val="en-US" w:eastAsia="zh-CN" w:bidi="ar"/>
        </w:rPr>
        <w:t>月</w:t>
      </w:r>
      <w:r>
        <w:rPr>
          <w:rFonts w:hint="eastAsia"/>
          <w:u w:val="single"/>
          <w:lang w:bidi="ar"/>
        </w:rPr>
        <w:t>溶解氧</w:t>
      </w:r>
      <w:r>
        <w:rPr>
          <w:rFonts w:hint="eastAsia"/>
          <w:u w:val="single"/>
          <w:lang w:eastAsia="zh-CN" w:bidi="ar"/>
        </w:rPr>
        <w:t>、</w:t>
      </w:r>
      <w:r>
        <w:rPr>
          <w:rFonts w:hint="eastAsia"/>
          <w:u w:val="single"/>
          <w:lang w:bidi="ar"/>
        </w:rPr>
        <w:t>2024</w:t>
      </w:r>
      <w:r>
        <w:rPr>
          <w:rFonts w:hint="eastAsia"/>
          <w:u w:val="single"/>
          <w:lang w:val="en-US" w:eastAsia="zh-CN" w:bidi="ar"/>
        </w:rPr>
        <w:t>年</w:t>
      </w:r>
      <w:r>
        <w:rPr>
          <w:rFonts w:hint="eastAsia"/>
          <w:u w:val="single"/>
          <w:lang w:bidi="ar"/>
        </w:rPr>
        <w:t>4</w:t>
      </w:r>
      <w:r>
        <w:rPr>
          <w:rFonts w:hint="eastAsia"/>
          <w:u w:val="single"/>
          <w:lang w:val="en-US" w:eastAsia="zh-CN" w:bidi="ar"/>
        </w:rPr>
        <w:t>-5月</w:t>
      </w:r>
      <w:r>
        <w:rPr>
          <w:rFonts w:hint="eastAsia"/>
          <w:u w:val="single"/>
          <w:lang w:bidi="ar"/>
        </w:rPr>
        <w:t>总磷未达到 II 类考核目标，</w:t>
      </w:r>
      <w:r>
        <w:rPr>
          <w:rFonts w:hint="eastAsia"/>
          <w:u w:val="single"/>
          <w:lang w:val="en-US" w:eastAsia="zh-CN" w:bidi="ar"/>
        </w:rPr>
        <w:t>其余月份均满足《地表水环境质量标准》（GB3838-2002）II 类标准；溶解氧超标主要原因是发生洪水导致；总磷超标是受农业面源影响、受湘潭县老城区管网因建设年代久远，雨污分流不彻底所致。</w:t>
      </w:r>
    </w:p>
    <w:p w14:paraId="2CEF1931">
      <w:pPr>
        <w:ind w:firstLine="480"/>
        <w:rPr>
          <w:rFonts w:hint="eastAsia" w:eastAsia="宋体"/>
          <w:lang w:eastAsia="zh-CN" w:bidi="ar"/>
        </w:rPr>
      </w:pPr>
      <w:r>
        <w:rPr>
          <w:rFonts w:hint="eastAsia"/>
          <w:b/>
          <w:bCs/>
          <w:u w:val="single"/>
          <w:lang w:val="en-US" w:eastAsia="zh-CN" w:bidi="ar"/>
        </w:rPr>
        <w:t>一水厂断面：</w:t>
      </w:r>
      <w:r>
        <w:rPr>
          <w:rFonts w:hint="eastAsia"/>
          <w:u w:val="single"/>
          <w:lang w:val="en-US" w:eastAsia="zh-CN" w:bidi="ar"/>
        </w:rPr>
        <w:t>2024年8月溶解氧未达到 II 类考核目标，其余月份均满足《地表水环境质量标准》（GB3838-2002）II 类标准</w:t>
      </w:r>
      <w:r>
        <w:rPr>
          <w:u w:val="single"/>
          <w:lang w:bidi="ar"/>
        </w:rPr>
        <w:t>。</w:t>
      </w:r>
      <w:r>
        <w:rPr>
          <w:rFonts w:hint="eastAsia"/>
          <w:u w:val="single"/>
          <w:lang w:bidi="ar"/>
        </w:rPr>
        <w:t>主要原因是发生洪水导致溶解氧超标</w:t>
      </w:r>
      <w:r>
        <w:rPr>
          <w:rFonts w:hint="eastAsia"/>
          <w:u w:val="single"/>
          <w:lang w:eastAsia="zh-CN" w:bidi="ar"/>
        </w:rPr>
        <w:t>。</w:t>
      </w:r>
    </w:p>
    <w:p w14:paraId="70EBB38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5.2.3</w:t>
      </w:r>
      <w:r>
        <w:rPr>
          <w:rFonts w:hint="eastAsia"/>
        </w:rPr>
        <w:t>声环境质量现状调查与评价</w:t>
      </w:r>
    </w:p>
    <w:p w14:paraId="39974519">
      <w:pPr>
        <w:ind w:firstLine="480"/>
      </w:pPr>
      <w:bookmarkStart w:id="107" w:name="_Toc334704720"/>
      <w:r>
        <w:rPr>
          <w:rFonts w:hint="eastAsia"/>
        </w:rPr>
        <w:t>项目厂址周边均为工业企业厂房，且2024年至今未进行改扩建和技术改造，周边噪声源不变。</w:t>
      </w:r>
      <w:r>
        <w:rPr>
          <w:rFonts w:hint="eastAsia"/>
          <w:lang w:val="en-US" w:eastAsia="zh-CN"/>
        </w:rPr>
        <w:t>拟变更项目暂未投产</w:t>
      </w:r>
      <w:r>
        <w:rPr>
          <w:rFonts w:hint="eastAsia"/>
        </w:rPr>
        <w:t>，仍引用在建项目环评时委托湖南国网环境检测有限公司于2023年5月18日和2023年5月19日对厂址进行的声环境质量监测数据，具体情况如下：</w:t>
      </w:r>
    </w:p>
    <w:p w14:paraId="61359FE6">
      <w:pPr>
        <w:ind w:firstLine="480"/>
      </w:pPr>
      <w:r>
        <w:rPr>
          <w:rFonts w:hint="eastAsia"/>
        </w:rPr>
        <w:t>监测点布设：共设4个噪声监测点，距离厂界东、南、西、北外1m；</w:t>
      </w:r>
    </w:p>
    <w:p w14:paraId="5366DFEB">
      <w:pPr>
        <w:pStyle w:val="51"/>
        <w:numPr>
          <w:ilvl w:val="5"/>
          <w:numId w:val="0"/>
        </w:numPr>
        <w:tabs>
          <w:tab w:val="left" w:pos="4395"/>
        </w:tabs>
        <w:spacing w:before="156"/>
        <w:ind w:left="4700" w:leftChars="0" w:hanging="7513"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表5.2-5 </w:t>
      </w:r>
      <w:r>
        <w:rPr>
          <w:rFonts w:hint="eastAsia" w:ascii="宋体" w:hAnsi="宋体" w:cs="宋体"/>
          <w:b/>
          <w:bCs/>
          <w:color w:val="auto"/>
          <w:kern w:val="2"/>
          <w:sz w:val="21"/>
          <w:szCs w:val="21"/>
          <w:lang w:val="en-US" w:eastAsia="zh-CN" w:bidi="ar-SA"/>
        </w:rPr>
        <w:t xml:space="preserve">  </w:t>
      </w:r>
      <w:r>
        <w:rPr>
          <w:rFonts w:hint="eastAsia"/>
        </w:rPr>
        <w:t>监测点与项目位置关系</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2024"/>
        <w:gridCol w:w="1234"/>
        <w:gridCol w:w="1420"/>
        <w:gridCol w:w="1420"/>
        <w:gridCol w:w="1421"/>
      </w:tblGrid>
      <w:tr w14:paraId="6C94CF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vMerge w:val="restart"/>
            <w:tcBorders>
              <w:tl2br w:val="nil"/>
              <w:tr2bl w:val="nil"/>
            </w:tcBorders>
            <w:vAlign w:val="center"/>
          </w:tcPr>
          <w:p w14:paraId="77B213F1">
            <w:pPr>
              <w:spacing w:line="240" w:lineRule="auto"/>
              <w:jc w:val="center"/>
              <w:rPr>
                <w:sz w:val="21"/>
                <w:szCs w:val="21"/>
              </w:rPr>
            </w:pPr>
            <w:bookmarkStart w:id="108" w:name="PT_1"/>
            <w:r>
              <w:rPr>
                <w:sz w:val="21"/>
                <w:szCs w:val="21"/>
              </w:rPr>
              <w:t>序号</w:t>
            </w:r>
          </w:p>
        </w:tc>
        <w:tc>
          <w:tcPr>
            <w:tcW w:w="1972" w:type="dxa"/>
            <w:vMerge w:val="restart"/>
            <w:tcBorders>
              <w:tl2br w:val="nil"/>
              <w:tr2bl w:val="nil"/>
            </w:tcBorders>
            <w:vAlign w:val="center"/>
          </w:tcPr>
          <w:p w14:paraId="09CDFA00">
            <w:pPr>
              <w:spacing w:line="240" w:lineRule="auto"/>
              <w:jc w:val="center"/>
              <w:rPr>
                <w:sz w:val="21"/>
                <w:szCs w:val="21"/>
              </w:rPr>
            </w:pPr>
            <w:r>
              <w:rPr>
                <w:sz w:val="21"/>
                <w:szCs w:val="21"/>
              </w:rPr>
              <w:t>监测点位</w:t>
            </w:r>
          </w:p>
        </w:tc>
        <w:tc>
          <w:tcPr>
            <w:tcW w:w="1203" w:type="dxa"/>
            <w:vMerge w:val="restart"/>
            <w:tcBorders>
              <w:tl2br w:val="nil"/>
              <w:tr2bl w:val="nil"/>
            </w:tcBorders>
            <w:vAlign w:val="center"/>
          </w:tcPr>
          <w:p w14:paraId="483BF147">
            <w:pPr>
              <w:spacing w:line="240" w:lineRule="auto"/>
              <w:jc w:val="center"/>
              <w:rPr>
                <w:sz w:val="21"/>
                <w:szCs w:val="21"/>
              </w:rPr>
            </w:pPr>
            <w:r>
              <w:rPr>
                <w:sz w:val="21"/>
                <w:szCs w:val="21"/>
              </w:rPr>
              <w:t>方位</w:t>
            </w:r>
          </w:p>
        </w:tc>
        <w:tc>
          <w:tcPr>
            <w:tcW w:w="4153" w:type="dxa"/>
            <w:gridSpan w:val="3"/>
            <w:tcBorders>
              <w:tl2br w:val="nil"/>
              <w:tr2bl w:val="nil"/>
            </w:tcBorders>
            <w:vAlign w:val="center"/>
          </w:tcPr>
          <w:p w14:paraId="358551FF">
            <w:pPr>
              <w:spacing w:line="240" w:lineRule="auto"/>
              <w:jc w:val="center"/>
              <w:rPr>
                <w:sz w:val="21"/>
                <w:szCs w:val="21"/>
              </w:rPr>
            </w:pPr>
            <w:r>
              <w:rPr>
                <w:sz w:val="21"/>
                <w:szCs w:val="21"/>
              </w:rPr>
              <w:t>空间相对位置/m</w:t>
            </w:r>
          </w:p>
        </w:tc>
      </w:tr>
      <w:tr w14:paraId="2BBBA7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vMerge w:val="continue"/>
            <w:tcBorders>
              <w:tl2br w:val="nil"/>
              <w:tr2bl w:val="nil"/>
            </w:tcBorders>
            <w:vAlign w:val="center"/>
          </w:tcPr>
          <w:p w14:paraId="69B0961C">
            <w:pPr>
              <w:spacing w:line="240" w:lineRule="auto"/>
              <w:jc w:val="center"/>
              <w:rPr>
                <w:sz w:val="21"/>
                <w:szCs w:val="21"/>
              </w:rPr>
            </w:pPr>
          </w:p>
        </w:tc>
        <w:tc>
          <w:tcPr>
            <w:tcW w:w="1972" w:type="dxa"/>
            <w:vMerge w:val="continue"/>
            <w:tcBorders>
              <w:tl2br w:val="nil"/>
              <w:tr2bl w:val="nil"/>
            </w:tcBorders>
            <w:vAlign w:val="center"/>
          </w:tcPr>
          <w:p w14:paraId="23153C46">
            <w:pPr>
              <w:spacing w:line="240" w:lineRule="auto"/>
              <w:jc w:val="center"/>
              <w:rPr>
                <w:sz w:val="21"/>
                <w:szCs w:val="21"/>
              </w:rPr>
            </w:pPr>
          </w:p>
        </w:tc>
        <w:tc>
          <w:tcPr>
            <w:tcW w:w="1203" w:type="dxa"/>
            <w:vMerge w:val="continue"/>
            <w:tcBorders>
              <w:tl2br w:val="nil"/>
              <w:tr2bl w:val="nil"/>
            </w:tcBorders>
            <w:vAlign w:val="center"/>
          </w:tcPr>
          <w:p w14:paraId="2D785982">
            <w:pPr>
              <w:spacing w:line="240" w:lineRule="auto"/>
              <w:jc w:val="center"/>
              <w:rPr>
                <w:sz w:val="21"/>
                <w:szCs w:val="21"/>
              </w:rPr>
            </w:pPr>
          </w:p>
        </w:tc>
        <w:tc>
          <w:tcPr>
            <w:tcW w:w="1384" w:type="dxa"/>
            <w:tcBorders>
              <w:tl2br w:val="nil"/>
              <w:tr2bl w:val="nil"/>
            </w:tcBorders>
            <w:vAlign w:val="center"/>
          </w:tcPr>
          <w:p w14:paraId="694A02C9">
            <w:pPr>
              <w:spacing w:line="240" w:lineRule="auto"/>
              <w:jc w:val="center"/>
              <w:rPr>
                <w:sz w:val="21"/>
                <w:szCs w:val="21"/>
              </w:rPr>
            </w:pPr>
            <w:r>
              <w:rPr>
                <w:sz w:val="21"/>
                <w:szCs w:val="21"/>
              </w:rPr>
              <w:t>X</w:t>
            </w:r>
          </w:p>
        </w:tc>
        <w:tc>
          <w:tcPr>
            <w:tcW w:w="1384" w:type="dxa"/>
            <w:tcBorders>
              <w:tl2br w:val="nil"/>
              <w:tr2bl w:val="nil"/>
            </w:tcBorders>
            <w:vAlign w:val="center"/>
          </w:tcPr>
          <w:p w14:paraId="006E386B">
            <w:pPr>
              <w:spacing w:line="240" w:lineRule="auto"/>
              <w:jc w:val="center"/>
              <w:rPr>
                <w:sz w:val="21"/>
                <w:szCs w:val="21"/>
              </w:rPr>
            </w:pPr>
            <w:r>
              <w:rPr>
                <w:sz w:val="21"/>
                <w:szCs w:val="21"/>
              </w:rPr>
              <w:t>Y</w:t>
            </w:r>
          </w:p>
        </w:tc>
        <w:tc>
          <w:tcPr>
            <w:tcW w:w="1385" w:type="dxa"/>
            <w:tcBorders>
              <w:tl2br w:val="nil"/>
              <w:tr2bl w:val="nil"/>
            </w:tcBorders>
            <w:vAlign w:val="center"/>
          </w:tcPr>
          <w:p w14:paraId="32F9A050">
            <w:pPr>
              <w:spacing w:line="240" w:lineRule="auto"/>
              <w:jc w:val="center"/>
              <w:rPr>
                <w:sz w:val="21"/>
                <w:szCs w:val="21"/>
              </w:rPr>
            </w:pPr>
            <w:r>
              <w:rPr>
                <w:sz w:val="21"/>
                <w:szCs w:val="21"/>
              </w:rPr>
              <w:t>Z</w:t>
            </w:r>
          </w:p>
        </w:tc>
      </w:tr>
      <w:tr w14:paraId="6981F9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tcBorders>
              <w:tl2br w:val="nil"/>
              <w:tr2bl w:val="nil"/>
            </w:tcBorders>
            <w:vAlign w:val="center"/>
          </w:tcPr>
          <w:p w14:paraId="39ED7604">
            <w:pPr>
              <w:spacing w:line="240" w:lineRule="auto"/>
              <w:jc w:val="center"/>
              <w:rPr>
                <w:sz w:val="21"/>
                <w:szCs w:val="21"/>
              </w:rPr>
            </w:pPr>
            <w:r>
              <w:rPr>
                <w:sz w:val="21"/>
                <w:szCs w:val="21"/>
              </w:rPr>
              <w:t>1</w:t>
            </w:r>
          </w:p>
        </w:tc>
        <w:tc>
          <w:tcPr>
            <w:tcW w:w="1972" w:type="dxa"/>
            <w:tcBorders>
              <w:tl2br w:val="nil"/>
              <w:tr2bl w:val="nil"/>
            </w:tcBorders>
            <w:vAlign w:val="center"/>
          </w:tcPr>
          <w:p w14:paraId="2770014E">
            <w:pPr>
              <w:spacing w:line="240" w:lineRule="auto"/>
              <w:jc w:val="center"/>
              <w:rPr>
                <w:sz w:val="21"/>
                <w:szCs w:val="21"/>
              </w:rPr>
            </w:pPr>
            <w:r>
              <w:rPr>
                <w:rFonts w:hint="eastAsia"/>
                <w:sz w:val="21"/>
                <w:szCs w:val="21"/>
              </w:rPr>
              <w:t>N</w:t>
            </w:r>
            <w:r>
              <w:rPr>
                <w:sz w:val="21"/>
                <w:szCs w:val="21"/>
              </w:rPr>
              <w:t>1</w:t>
            </w:r>
            <w:r>
              <w:rPr>
                <w:rFonts w:hint="eastAsia"/>
                <w:sz w:val="21"/>
                <w:szCs w:val="21"/>
              </w:rPr>
              <w:t>厂界东侧</w:t>
            </w:r>
            <w:r>
              <w:rPr>
                <w:sz w:val="21"/>
                <w:szCs w:val="21"/>
              </w:rPr>
              <w:t>1m外</w:t>
            </w:r>
          </w:p>
        </w:tc>
        <w:tc>
          <w:tcPr>
            <w:tcW w:w="1203" w:type="dxa"/>
            <w:tcBorders>
              <w:tl2br w:val="nil"/>
              <w:tr2bl w:val="nil"/>
            </w:tcBorders>
            <w:vAlign w:val="center"/>
          </w:tcPr>
          <w:p w14:paraId="3D49DF91">
            <w:pPr>
              <w:spacing w:line="240" w:lineRule="auto"/>
              <w:jc w:val="center"/>
              <w:rPr>
                <w:sz w:val="21"/>
                <w:szCs w:val="21"/>
              </w:rPr>
            </w:pPr>
            <w:r>
              <w:rPr>
                <w:sz w:val="21"/>
                <w:szCs w:val="21"/>
              </w:rPr>
              <w:t>东</w:t>
            </w:r>
          </w:p>
        </w:tc>
        <w:tc>
          <w:tcPr>
            <w:tcW w:w="1384" w:type="dxa"/>
            <w:tcBorders>
              <w:tl2br w:val="nil"/>
              <w:tr2bl w:val="nil"/>
            </w:tcBorders>
            <w:vAlign w:val="center"/>
          </w:tcPr>
          <w:p w14:paraId="2A4210C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77.6</w:t>
            </w:r>
          </w:p>
        </w:tc>
        <w:tc>
          <w:tcPr>
            <w:tcW w:w="1384" w:type="dxa"/>
            <w:tcBorders>
              <w:tl2br w:val="nil"/>
              <w:tr2bl w:val="nil"/>
            </w:tcBorders>
            <w:vAlign w:val="center"/>
          </w:tcPr>
          <w:p w14:paraId="795CC195">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1385" w:type="dxa"/>
            <w:tcBorders>
              <w:tl2br w:val="nil"/>
              <w:tr2bl w:val="nil"/>
            </w:tcBorders>
            <w:vAlign w:val="center"/>
          </w:tcPr>
          <w:p w14:paraId="61E2B46C">
            <w:pPr>
              <w:spacing w:line="240" w:lineRule="auto"/>
              <w:jc w:val="center"/>
              <w:rPr>
                <w:sz w:val="21"/>
                <w:szCs w:val="21"/>
              </w:rPr>
            </w:pPr>
            <w:r>
              <w:rPr>
                <w:rFonts w:hint="eastAsia"/>
                <w:sz w:val="21"/>
                <w:szCs w:val="21"/>
              </w:rPr>
              <w:t>1.2</w:t>
            </w:r>
          </w:p>
        </w:tc>
      </w:tr>
      <w:tr w14:paraId="5ED32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tcBorders>
              <w:tl2br w:val="nil"/>
              <w:tr2bl w:val="nil"/>
            </w:tcBorders>
            <w:vAlign w:val="center"/>
          </w:tcPr>
          <w:p w14:paraId="1045F0ED">
            <w:pPr>
              <w:spacing w:line="240" w:lineRule="auto"/>
              <w:jc w:val="center"/>
              <w:rPr>
                <w:sz w:val="21"/>
                <w:szCs w:val="21"/>
              </w:rPr>
            </w:pPr>
            <w:r>
              <w:rPr>
                <w:sz w:val="21"/>
                <w:szCs w:val="21"/>
              </w:rPr>
              <w:t>2</w:t>
            </w:r>
          </w:p>
        </w:tc>
        <w:tc>
          <w:tcPr>
            <w:tcW w:w="1972" w:type="dxa"/>
            <w:tcBorders>
              <w:tl2br w:val="nil"/>
              <w:tr2bl w:val="nil"/>
            </w:tcBorders>
            <w:vAlign w:val="center"/>
          </w:tcPr>
          <w:p w14:paraId="66D41667">
            <w:pPr>
              <w:spacing w:line="240" w:lineRule="auto"/>
              <w:jc w:val="center"/>
              <w:rPr>
                <w:sz w:val="21"/>
                <w:szCs w:val="21"/>
              </w:rPr>
            </w:pPr>
            <w:r>
              <w:rPr>
                <w:rFonts w:hint="eastAsia"/>
                <w:sz w:val="21"/>
                <w:szCs w:val="21"/>
              </w:rPr>
              <w:t>N2厂界南侧</w:t>
            </w:r>
            <w:r>
              <w:rPr>
                <w:sz w:val="21"/>
                <w:szCs w:val="21"/>
              </w:rPr>
              <w:t>1m外</w:t>
            </w:r>
          </w:p>
        </w:tc>
        <w:tc>
          <w:tcPr>
            <w:tcW w:w="1203" w:type="dxa"/>
            <w:tcBorders>
              <w:tl2br w:val="nil"/>
              <w:tr2bl w:val="nil"/>
            </w:tcBorders>
            <w:vAlign w:val="center"/>
          </w:tcPr>
          <w:p w14:paraId="68438C81">
            <w:pPr>
              <w:spacing w:line="240" w:lineRule="auto"/>
              <w:jc w:val="center"/>
              <w:rPr>
                <w:sz w:val="21"/>
                <w:szCs w:val="21"/>
              </w:rPr>
            </w:pPr>
            <w:r>
              <w:rPr>
                <w:sz w:val="21"/>
                <w:szCs w:val="21"/>
              </w:rPr>
              <w:t>南</w:t>
            </w:r>
          </w:p>
        </w:tc>
        <w:tc>
          <w:tcPr>
            <w:tcW w:w="1384" w:type="dxa"/>
            <w:tcBorders>
              <w:tl2br w:val="nil"/>
              <w:tr2bl w:val="nil"/>
            </w:tcBorders>
            <w:vAlign w:val="center"/>
          </w:tcPr>
          <w:p w14:paraId="2D2C84AC">
            <w:pPr>
              <w:pStyle w:val="56"/>
              <w:spacing w:line="24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-45.4</w:t>
            </w:r>
          </w:p>
        </w:tc>
        <w:tc>
          <w:tcPr>
            <w:tcW w:w="1384" w:type="dxa"/>
            <w:tcBorders>
              <w:tl2br w:val="nil"/>
              <w:tr2bl w:val="nil"/>
            </w:tcBorders>
            <w:vAlign w:val="center"/>
          </w:tcPr>
          <w:p w14:paraId="5919BA1D">
            <w:pPr>
              <w:pStyle w:val="56"/>
              <w:spacing w:line="24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-76.8</w:t>
            </w:r>
          </w:p>
        </w:tc>
        <w:tc>
          <w:tcPr>
            <w:tcW w:w="1385" w:type="dxa"/>
            <w:tcBorders>
              <w:tl2br w:val="nil"/>
              <w:tr2bl w:val="nil"/>
            </w:tcBorders>
            <w:vAlign w:val="center"/>
          </w:tcPr>
          <w:p w14:paraId="4EC57201">
            <w:pPr>
              <w:spacing w:line="240" w:lineRule="auto"/>
              <w:jc w:val="center"/>
              <w:rPr>
                <w:sz w:val="21"/>
                <w:szCs w:val="21"/>
              </w:rPr>
            </w:pPr>
            <w:r>
              <w:rPr>
                <w:rFonts w:hint="eastAsia"/>
                <w:sz w:val="21"/>
                <w:szCs w:val="21"/>
              </w:rPr>
              <w:t>1.2</w:t>
            </w:r>
          </w:p>
        </w:tc>
      </w:tr>
      <w:tr w14:paraId="67D32A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tcBorders>
              <w:tl2br w:val="nil"/>
              <w:tr2bl w:val="nil"/>
            </w:tcBorders>
            <w:vAlign w:val="center"/>
          </w:tcPr>
          <w:p w14:paraId="7C2A804E">
            <w:pPr>
              <w:spacing w:line="240" w:lineRule="auto"/>
              <w:jc w:val="center"/>
              <w:rPr>
                <w:sz w:val="21"/>
                <w:szCs w:val="21"/>
              </w:rPr>
            </w:pPr>
            <w:r>
              <w:rPr>
                <w:sz w:val="21"/>
                <w:szCs w:val="21"/>
              </w:rPr>
              <w:t>3</w:t>
            </w:r>
          </w:p>
        </w:tc>
        <w:tc>
          <w:tcPr>
            <w:tcW w:w="1972" w:type="dxa"/>
            <w:tcBorders>
              <w:tl2br w:val="nil"/>
              <w:tr2bl w:val="nil"/>
            </w:tcBorders>
            <w:vAlign w:val="center"/>
          </w:tcPr>
          <w:p w14:paraId="7EE07BC2">
            <w:pPr>
              <w:spacing w:line="240" w:lineRule="auto"/>
              <w:jc w:val="center"/>
              <w:rPr>
                <w:sz w:val="21"/>
                <w:szCs w:val="21"/>
              </w:rPr>
            </w:pPr>
            <w:r>
              <w:rPr>
                <w:rFonts w:hint="eastAsia"/>
                <w:sz w:val="21"/>
                <w:szCs w:val="21"/>
              </w:rPr>
              <w:t>N3厂界西侧</w:t>
            </w:r>
            <w:r>
              <w:rPr>
                <w:sz w:val="21"/>
                <w:szCs w:val="21"/>
              </w:rPr>
              <w:t>1m外</w:t>
            </w:r>
          </w:p>
        </w:tc>
        <w:tc>
          <w:tcPr>
            <w:tcW w:w="1203" w:type="dxa"/>
            <w:tcBorders>
              <w:tl2br w:val="nil"/>
              <w:tr2bl w:val="nil"/>
            </w:tcBorders>
            <w:vAlign w:val="center"/>
          </w:tcPr>
          <w:p w14:paraId="1AF1A8D2">
            <w:pPr>
              <w:spacing w:line="240" w:lineRule="auto"/>
              <w:jc w:val="center"/>
              <w:rPr>
                <w:sz w:val="21"/>
                <w:szCs w:val="21"/>
              </w:rPr>
            </w:pPr>
            <w:r>
              <w:rPr>
                <w:sz w:val="21"/>
                <w:szCs w:val="21"/>
              </w:rPr>
              <w:t>西</w:t>
            </w:r>
          </w:p>
        </w:tc>
        <w:tc>
          <w:tcPr>
            <w:tcW w:w="1384" w:type="dxa"/>
            <w:tcBorders>
              <w:tl2br w:val="nil"/>
              <w:tr2bl w:val="nil"/>
            </w:tcBorders>
            <w:vAlign w:val="center"/>
          </w:tcPr>
          <w:p w14:paraId="585357E3">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-140.6</w:t>
            </w:r>
          </w:p>
        </w:tc>
        <w:tc>
          <w:tcPr>
            <w:tcW w:w="1384" w:type="dxa"/>
            <w:tcBorders>
              <w:tl2br w:val="nil"/>
              <w:tr2bl w:val="nil"/>
            </w:tcBorders>
            <w:vAlign w:val="center"/>
          </w:tcPr>
          <w:p w14:paraId="40CDF680">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-28.8</w:t>
            </w:r>
          </w:p>
        </w:tc>
        <w:tc>
          <w:tcPr>
            <w:tcW w:w="1385" w:type="dxa"/>
            <w:tcBorders>
              <w:tl2br w:val="nil"/>
              <w:tr2bl w:val="nil"/>
            </w:tcBorders>
            <w:vAlign w:val="center"/>
          </w:tcPr>
          <w:p w14:paraId="7A92BBBD">
            <w:pPr>
              <w:spacing w:line="240" w:lineRule="auto"/>
              <w:jc w:val="center"/>
              <w:rPr>
                <w:sz w:val="21"/>
                <w:szCs w:val="21"/>
              </w:rPr>
            </w:pPr>
            <w:r>
              <w:rPr>
                <w:rFonts w:hint="eastAsia"/>
                <w:sz w:val="21"/>
                <w:szCs w:val="21"/>
              </w:rPr>
              <w:t>1.2</w:t>
            </w:r>
          </w:p>
        </w:tc>
      </w:tr>
      <w:tr w14:paraId="5F39EB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tcBorders>
              <w:tl2br w:val="nil"/>
              <w:tr2bl w:val="nil"/>
            </w:tcBorders>
            <w:vAlign w:val="center"/>
          </w:tcPr>
          <w:p w14:paraId="530D10D3">
            <w:pPr>
              <w:spacing w:line="240" w:lineRule="auto"/>
              <w:jc w:val="center"/>
              <w:rPr>
                <w:sz w:val="21"/>
                <w:szCs w:val="21"/>
              </w:rPr>
            </w:pPr>
            <w:r>
              <w:rPr>
                <w:rFonts w:hint="eastAsia"/>
                <w:sz w:val="21"/>
                <w:szCs w:val="21"/>
              </w:rPr>
              <w:t>4</w:t>
            </w:r>
          </w:p>
        </w:tc>
        <w:tc>
          <w:tcPr>
            <w:tcW w:w="1972" w:type="dxa"/>
            <w:tcBorders>
              <w:tl2br w:val="nil"/>
              <w:tr2bl w:val="nil"/>
            </w:tcBorders>
            <w:vAlign w:val="center"/>
          </w:tcPr>
          <w:p w14:paraId="030932ED">
            <w:pPr>
              <w:spacing w:line="240" w:lineRule="auto"/>
              <w:jc w:val="center"/>
              <w:rPr>
                <w:sz w:val="21"/>
                <w:szCs w:val="21"/>
              </w:rPr>
            </w:pPr>
            <w:r>
              <w:rPr>
                <w:rFonts w:hint="eastAsia"/>
                <w:sz w:val="21"/>
                <w:szCs w:val="21"/>
              </w:rPr>
              <w:t>N4</w:t>
            </w:r>
            <w:r>
              <w:rPr>
                <w:sz w:val="21"/>
                <w:szCs w:val="21"/>
              </w:rPr>
              <w:t>厂界北侧1m外</w:t>
            </w:r>
          </w:p>
        </w:tc>
        <w:tc>
          <w:tcPr>
            <w:tcW w:w="1203" w:type="dxa"/>
            <w:tcBorders>
              <w:tl2br w:val="nil"/>
              <w:tr2bl w:val="nil"/>
            </w:tcBorders>
            <w:vAlign w:val="center"/>
          </w:tcPr>
          <w:p w14:paraId="1E30D1C5">
            <w:pPr>
              <w:spacing w:line="240" w:lineRule="auto"/>
              <w:jc w:val="center"/>
              <w:rPr>
                <w:sz w:val="21"/>
                <w:szCs w:val="21"/>
              </w:rPr>
            </w:pPr>
            <w:r>
              <w:rPr>
                <w:sz w:val="21"/>
                <w:szCs w:val="21"/>
              </w:rPr>
              <w:t>北</w:t>
            </w:r>
          </w:p>
        </w:tc>
        <w:tc>
          <w:tcPr>
            <w:tcW w:w="1384" w:type="dxa"/>
            <w:tcBorders>
              <w:tl2br w:val="nil"/>
              <w:tr2bl w:val="nil"/>
            </w:tcBorders>
            <w:vAlign w:val="center"/>
          </w:tcPr>
          <w:p w14:paraId="01E785C3">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-29.6</w:t>
            </w:r>
          </w:p>
        </w:tc>
        <w:tc>
          <w:tcPr>
            <w:tcW w:w="1384" w:type="dxa"/>
            <w:tcBorders>
              <w:tl2br w:val="nil"/>
              <w:tr2bl w:val="nil"/>
            </w:tcBorders>
            <w:vAlign w:val="center"/>
          </w:tcPr>
          <w:p w14:paraId="3F71B171">
            <w:pPr>
              <w:pStyle w:val="56"/>
              <w:spacing w:line="24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76.8</w:t>
            </w:r>
          </w:p>
        </w:tc>
        <w:tc>
          <w:tcPr>
            <w:tcW w:w="1385" w:type="dxa"/>
            <w:tcBorders>
              <w:tl2br w:val="nil"/>
              <w:tr2bl w:val="nil"/>
            </w:tcBorders>
            <w:vAlign w:val="center"/>
          </w:tcPr>
          <w:p w14:paraId="6485C7BE">
            <w:pPr>
              <w:spacing w:line="240" w:lineRule="auto"/>
              <w:jc w:val="center"/>
              <w:rPr>
                <w:sz w:val="21"/>
                <w:szCs w:val="21"/>
              </w:rPr>
            </w:pPr>
            <w:r>
              <w:rPr>
                <w:rFonts w:hint="eastAsia"/>
                <w:sz w:val="21"/>
                <w:szCs w:val="21"/>
              </w:rPr>
              <w:t>1.2</w:t>
            </w:r>
          </w:p>
        </w:tc>
      </w:tr>
      <w:bookmarkEnd w:id="108"/>
    </w:tbl>
    <w:p w14:paraId="370ABB20">
      <w:pPr>
        <w:spacing w:line="240" w:lineRule="auto"/>
        <w:ind w:firstLine="422"/>
        <w:rPr>
          <w:b/>
          <w:bCs/>
        </w:rPr>
      </w:pPr>
      <w:r>
        <w:rPr>
          <w:rFonts w:hint="eastAsia" w:ascii="宋体" w:hAnsi="宋体"/>
          <w:b/>
          <w:bCs/>
          <w:sz w:val="21"/>
          <w:szCs w:val="21"/>
        </w:rPr>
        <w:t>注：坐标原点为项目厂界中心，东向为X轴正方向，北向为Y轴正方向。</w:t>
      </w:r>
    </w:p>
    <w:p w14:paraId="2865A185">
      <w:pPr>
        <w:ind w:firstLine="480"/>
        <w:rPr>
          <w:b/>
        </w:rPr>
      </w:pPr>
      <w:r>
        <w:t>监测因子：昼间等效A声级（Ld）、夜间等效A声级（Ln）；</w:t>
      </w:r>
    </w:p>
    <w:p w14:paraId="3818F530">
      <w:pPr>
        <w:ind w:firstLine="480"/>
      </w:pPr>
      <w:r>
        <w:t>监测方法：按《声环境质量标准》（GB3096-2008）规定方法和要求执行；</w:t>
      </w:r>
    </w:p>
    <w:p w14:paraId="1742178E">
      <w:pPr>
        <w:tabs>
          <w:tab w:val="left" w:pos="1021"/>
        </w:tabs>
        <w:ind w:firstLine="480"/>
      </w:pPr>
      <w:bookmarkStart w:id="109" w:name="_Toc317256677"/>
      <w:bookmarkStart w:id="110" w:name="_Toc179470366"/>
      <w:bookmarkStart w:id="111" w:name="_Toc179470546"/>
      <w:r>
        <w:t>评价标准</w:t>
      </w:r>
      <w:bookmarkEnd w:id="109"/>
      <w:bookmarkEnd w:id="110"/>
      <w:bookmarkEnd w:id="111"/>
      <w:r>
        <w:rPr>
          <w:rFonts w:hint="eastAsia"/>
        </w:rPr>
        <w:t>：</w:t>
      </w:r>
      <w:r>
        <w:t>根据《湘潭市城市声功能区划分</w:t>
      </w:r>
      <w:r>
        <w:rPr>
          <w:rFonts w:hint="eastAsia"/>
        </w:rPr>
        <w:t>方案</w:t>
      </w:r>
      <w:r>
        <w:t>》（2021版），</w:t>
      </w:r>
      <w:r>
        <w:rPr>
          <w:rFonts w:hint="eastAsia"/>
        </w:rPr>
        <w:t>西侧厂界临城市主干道海鸥东路</w:t>
      </w:r>
      <w:r>
        <w:t>执行《声环境质量标准》（GB3096-2008）4a类标准，其余</w:t>
      </w:r>
      <w:r>
        <w:rPr>
          <w:rFonts w:hint="eastAsia"/>
        </w:rPr>
        <w:t>西侧、北侧、东侧厂界</w:t>
      </w:r>
      <w:r>
        <w:t>执行《声环境质量标准》（GB3096-2008）3类标准</w:t>
      </w:r>
      <w:r>
        <w:rPr>
          <w:rFonts w:hint="eastAsia"/>
        </w:rPr>
        <w:t>。</w:t>
      </w:r>
    </w:p>
    <w:p w14:paraId="153B167C">
      <w:pPr>
        <w:ind w:firstLine="480"/>
      </w:pPr>
      <w:r>
        <w:t>监测结果具体见下表：</w:t>
      </w:r>
    </w:p>
    <w:p w14:paraId="2CB882BA">
      <w:pPr>
        <w:pStyle w:val="51"/>
        <w:numPr>
          <w:ilvl w:val="5"/>
          <w:numId w:val="0"/>
        </w:numPr>
        <w:tabs>
          <w:tab w:val="left" w:pos="4395"/>
        </w:tabs>
        <w:spacing w:before="156"/>
        <w:ind w:left="4700" w:leftChars="0" w:hanging="7229" w:firstLineChars="0"/>
      </w:pPr>
      <w:r>
        <w:rPr>
          <w:rFonts w:hint="default" w:ascii="宋体" w:hAnsi="宋体" w:eastAsia="宋体" w:cs="宋体"/>
          <w:b/>
          <w:bCs/>
          <w:color w:val="auto"/>
          <w:kern w:val="2"/>
          <w:sz w:val="21"/>
          <w:szCs w:val="21"/>
          <w:lang w:val="en-US" w:eastAsia="zh-CN" w:bidi="ar-SA"/>
        </w:rPr>
        <w:t xml:space="preserve">表5.2-6 </w:t>
      </w:r>
      <w:r>
        <w:rPr>
          <w:rFonts w:hint="eastAsia"/>
        </w:rPr>
        <w:t xml:space="preserve"> 现状声环境预测结果</w:t>
      </w:r>
    </w:p>
    <w:tbl>
      <w:tblPr>
        <w:tblStyle w:val="31"/>
        <w:tblW w:w="85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34"/>
        <w:gridCol w:w="1325"/>
        <w:gridCol w:w="1193"/>
        <w:gridCol w:w="1517"/>
        <w:gridCol w:w="1316"/>
        <w:gridCol w:w="1134"/>
      </w:tblGrid>
      <w:tr w14:paraId="5175D5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restart"/>
            <w:vAlign w:val="center"/>
          </w:tcPr>
          <w:p w14:paraId="617B7B43">
            <w:pPr>
              <w:spacing w:line="240" w:lineRule="auto"/>
              <w:jc w:val="center"/>
              <w:rPr>
                <w:sz w:val="21"/>
                <w:szCs w:val="21"/>
              </w:rPr>
            </w:pPr>
            <w:r>
              <w:rPr>
                <w:sz w:val="21"/>
                <w:szCs w:val="21"/>
              </w:rPr>
              <w:t>监测点位</w:t>
            </w:r>
          </w:p>
        </w:tc>
        <w:tc>
          <w:tcPr>
            <w:tcW w:w="1325" w:type="dxa"/>
            <w:vMerge w:val="restart"/>
            <w:vAlign w:val="center"/>
          </w:tcPr>
          <w:p w14:paraId="14E32FCE">
            <w:pPr>
              <w:spacing w:line="240" w:lineRule="auto"/>
              <w:jc w:val="center"/>
              <w:rPr>
                <w:sz w:val="21"/>
                <w:szCs w:val="21"/>
              </w:rPr>
            </w:pPr>
            <w:r>
              <w:rPr>
                <w:sz w:val="21"/>
                <w:szCs w:val="21"/>
              </w:rPr>
              <w:t>监测时段</w:t>
            </w:r>
          </w:p>
        </w:tc>
        <w:tc>
          <w:tcPr>
            <w:tcW w:w="1193" w:type="dxa"/>
            <w:vMerge w:val="restart"/>
            <w:vAlign w:val="center"/>
          </w:tcPr>
          <w:p w14:paraId="37AB782F">
            <w:pPr>
              <w:spacing w:line="240" w:lineRule="auto"/>
              <w:jc w:val="center"/>
              <w:rPr>
                <w:sz w:val="21"/>
                <w:szCs w:val="21"/>
              </w:rPr>
            </w:pPr>
            <w:r>
              <w:rPr>
                <w:sz w:val="21"/>
                <w:szCs w:val="21"/>
              </w:rPr>
              <w:t>标准限值</w:t>
            </w:r>
          </w:p>
        </w:tc>
        <w:tc>
          <w:tcPr>
            <w:tcW w:w="2833" w:type="dxa"/>
            <w:gridSpan w:val="2"/>
            <w:vAlign w:val="center"/>
          </w:tcPr>
          <w:p w14:paraId="59345667">
            <w:pPr>
              <w:spacing w:line="240" w:lineRule="auto"/>
              <w:jc w:val="center"/>
              <w:rPr>
                <w:sz w:val="21"/>
                <w:szCs w:val="21"/>
              </w:rPr>
            </w:pPr>
            <w:r>
              <w:rPr>
                <w:sz w:val="21"/>
                <w:szCs w:val="21"/>
              </w:rPr>
              <w:t>监测结果</w:t>
            </w:r>
          </w:p>
        </w:tc>
        <w:tc>
          <w:tcPr>
            <w:tcW w:w="1134" w:type="dxa"/>
            <w:vMerge w:val="restart"/>
            <w:vAlign w:val="center"/>
          </w:tcPr>
          <w:p w14:paraId="6E76F8D6">
            <w:pPr>
              <w:spacing w:line="240" w:lineRule="auto"/>
              <w:jc w:val="center"/>
              <w:rPr>
                <w:sz w:val="21"/>
                <w:szCs w:val="21"/>
              </w:rPr>
            </w:pPr>
            <w:r>
              <w:rPr>
                <w:sz w:val="21"/>
                <w:szCs w:val="21"/>
              </w:rPr>
              <w:t>是否达标</w:t>
            </w:r>
          </w:p>
        </w:tc>
      </w:tr>
      <w:tr w14:paraId="78D06E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continue"/>
            <w:vAlign w:val="center"/>
          </w:tcPr>
          <w:p w14:paraId="22712530">
            <w:pPr>
              <w:spacing w:line="240" w:lineRule="auto"/>
              <w:jc w:val="center"/>
              <w:rPr>
                <w:sz w:val="21"/>
                <w:szCs w:val="21"/>
              </w:rPr>
            </w:pPr>
          </w:p>
        </w:tc>
        <w:tc>
          <w:tcPr>
            <w:tcW w:w="1325" w:type="dxa"/>
            <w:vMerge w:val="continue"/>
            <w:vAlign w:val="center"/>
          </w:tcPr>
          <w:p w14:paraId="5832FB15">
            <w:pPr>
              <w:spacing w:line="240" w:lineRule="auto"/>
              <w:jc w:val="center"/>
              <w:rPr>
                <w:sz w:val="21"/>
                <w:szCs w:val="21"/>
              </w:rPr>
            </w:pPr>
          </w:p>
        </w:tc>
        <w:tc>
          <w:tcPr>
            <w:tcW w:w="1193" w:type="dxa"/>
            <w:vMerge w:val="continue"/>
            <w:vAlign w:val="center"/>
          </w:tcPr>
          <w:p w14:paraId="7DE016E4">
            <w:pPr>
              <w:spacing w:line="240" w:lineRule="auto"/>
              <w:jc w:val="center"/>
              <w:rPr>
                <w:sz w:val="21"/>
                <w:szCs w:val="21"/>
              </w:rPr>
            </w:pPr>
          </w:p>
        </w:tc>
        <w:tc>
          <w:tcPr>
            <w:tcW w:w="1517" w:type="dxa"/>
            <w:vAlign w:val="center"/>
          </w:tcPr>
          <w:p w14:paraId="17FAEDE3">
            <w:pPr>
              <w:spacing w:line="240" w:lineRule="auto"/>
              <w:jc w:val="center"/>
              <w:rPr>
                <w:sz w:val="21"/>
                <w:szCs w:val="21"/>
              </w:rPr>
            </w:pPr>
            <w:r>
              <w:rPr>
                <w:rFonts w:hint="eastAsia"/>
                <w:sz w:val="21"/>
                <w:szCs w:val="21"/>
              </w:rPr>
              <w:t>2023.5.18</w:t>
            </w:r>
          </w:p>
        </w:tc>
        <w:tc>
          <w:tcPr>
            <w:tcW w:w="1316" w:type="dxa"/>
            <w:vAlign w:val="center"/>
          </w:tcPr>
          <w:p w14:paraId="7B282703">
            <w:pPr>
              <w:spacing w:line="240" w:lineRule="auto"/>
              <w:jc w:val="center"/>
              <w:rPr>
                <w:sz w:val="21"/>
                <w:szCs w:val="21"/>
              </w:rPr>
            </w:pPr>
            <w:r>
              <w:rPr>
                <w:rFonts w:hint="eastAsia"/>
                <w:sz w:val="21"/>
                <w:szCs w:val="21"/>
              </w:rPr>
              <w:t>2023.5.19</w:t>
            </w:r>
          </w:p>
        </w:tc>
        <w:tc>
          <w:tcPr>
            <w:tcW w:w="1134" w:type="dxa"/>
            <w:vMerge w:val="continue"/>
            <w:vAlign w:val="center"/>
          </w:tcPr>
          <w:p w14:paraId="2AA38742">
            <w:pPr>
              <w:spacing w:line="240" w:lineRule="auto"/>
              <w:jc w:val="center"/>
              <w:rPr>
                <w:sz w:val="21"/>
                <w:szCs w:val="21"/>
              </w:rPr>
            </w:pPr>
          </w:p>
        </w:tc>
      </w:tr>
      <w:tr w14:paraId="5CB552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034" w:type="dxa"/>
            <w:vMerge w:val="restart"/>
            <w:vAlign w:val="center"/>
          </w:tcPr>
          <w:p w14:paraId="5D6B4A68">
            <w:pPr>
              <w:spacing w:line="240" w:lineRule="auto"/>
              <w:jc w:val="center"/>
              <w:rPr>
                <w:sz w:val="21"/>
                <w:szCs w:val="21"/>
              </w:rPr>
            </w:pPr>
            <w:r>
              <w:rPr>
                <w:rFonts w:hint="eastAsia"/>
                <w:sz w:val="21"/>
                <w:szCs w:val="21"/>
              </w:rPr>
              <w:t>N</w:t>
            </w:r>
            <w:r>
              <w:rPr>
                <w:sz w:val="21"/>
                <w:szCs w:val="21"/>
              </w:rPr>
              <w:t>1</w:t>
            </w:r>
            <w:r>
              <w:rPr>
                <w:rFonts w:hint="eastAsia"/>
                <w:sz w:val="21"/>
                <w:szCs w:val="21"/>
              </w:rPr>
              <w:t>厂界东侧</w:t>
            </w:r>
            <w:r>
              <w:rPr>
                <w:sz w:val="21"/>
                <w:szCs w:val="21"/>
              </w:rPr>
              <w:t>1m外</w:t>
            </w:r>
          </w:p>
        </w:tc>
        <w:tc>
          <w:tcPr>
            <w:tcW w:w="1325" w:type="dxa"/>
            <w:vAlign w:val="center"/>
          </w:tcPr>
          <w:p w14:paraId="7D3889A7">
            <w:pPr>
              <w:spacing w:line="240" w:lineRule="auto"/>
              <w:jc w:val="center"/>
              <w:rPr>
                <w:sz w:val="21"/>
                <w:szCs w:val="21"/>
              </w:rPr>
            </w:pPr>
            <w:r>
              <w:rPr>
                <w:sz w:val="21"/>
                <w:szCs w:val="21"/>
              </w:rPr>
              <w:t>昼间</w:t>
            </w:r>
          </w:p>
        </w:tc>
        <w:tc>
          <w:tcPr>
            <w:tcW w:w="1193" w:type="dxa"/>
            <w:vAlign w:val="center"/>
          </w:tcPr>
          <w:p w14:paraId="4238B0B6">
            <w:pPr>
              <w:spacing w:line="240" w:lineRule="auto"/>
              <w:jc w:val="center"/>
              <w:rPr>
                <w:sz w:val="21"/>
                <w:szCs w:val="21"/>
              </w:rPr>
            </w:pPr>
            <w:r>
              <w:rPr>
                <w:rFonts w:hint="eastAsia"/>
                <w:sz w:val="21"/>
                <w:szCs w:val="21"/>
              </w:rPr>
              <w:t>65</w:t>
            </w:r>
          </w:p>
        </w:tc>
        <w:tc>
          <w:tcPr>
            <w:tcW w:w="1517" w:type="dxa"/>
            <w:vAlign w:val="center"/>
          </w:tcPr>
          <w:p w14:paraId="05977DAD">
            <w:pPr>
              <w:spacing w:line="240" w:lineRule="auto"/>
              <w:jc w:val="center"/>
              <w:rPr>
                <w:sz w:val="21"/>
                <w:szCs w:val="21"/>
              </w:rPr>
            </w:pPr>
            <w:r>
              <w:rPr>
                <w:rFonts w:hint="eastAsia"/>
                <w:sz w:val="21"/>
                <w:szCs w:val="21"/>
              </w:rPr>
              <w:t>58.1</w:t>
            </w:r>
          </w:p>
        </w:tc>
        <w:tc>
          <w:tcPr>
            <w:tcW w:w="1316" w:type="dxa"/>
            <w:vAlign w:val="center"/>
          </w:tcPr>
          <w:p w14:paraId="2641A4A5">
            <w:pPr>
              <w:spacing w:line="240" w:lineRule="auto"/>
              <w:jc w:val="center"/>
              <w:rPr>
                <w:sz w:val="21"/>
                <w:szCs w:val="21"/>
              </w:rPr>
            </w:pPr>
            <w:r>
              <w:rPr>
                <w:rFonts w:hint="eastAsia"/>
                <w:sz w:val="21"/>
                <w:szCs w:val="21"/>
              </w:rPr>
              <w:t>58.8</w:t>
            </w:r>
          </w:p>
        </w:tc>
        <w:tc>
          <w:tcPr>
            <w:tcW w:w="1134" w:type="dxa"/>
            <w:vAlign w:val="center"/>
          </w:tcPr>
          <w:p w14:paraId="519BD812">
            <w:pPr>
              <w:spacing w:line="240" w:lineRule="auto"/>
              <w:jc w:val="center"/>
              <w:rPr>
                <w:sz w:val="21"/>
                <w:szCs w:val="21"/>
              </w:rPr>
            </w:pPr>
            <w:r>
              <w:rPr>
                <w:sz w:val="21"/>
                <w:szCs w:val="21"/>
              </w:rPr>
              <w:t>是</w:t>
            </w:r>
          </w:p>
        </w:tc>
      </w:tr>
      <w:tr w14:paraId="7AECB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continue"/>
            <w:vAlign w:val="center"/>
          </w:tcPr>
          <w:p w14:paraId="2A13B0EA">
            <w:pPr>
              <w:spacing w:line="240" w:lineRule="auto"/>
              <w:jc w:val="center"/>
              <w:rPr>
                <w:sz w:val="21"/>
                <w:szCs w:val="21"/>
              </w:rPr>
            </w:pPr>
          </w:p>
        </w:tc>
        <w:tc>
          <w:tcPr>
            <w:tcW w:w="1325" w:type="dxa"/>
            <w:vAlign w:val="center"/>
          </w:tcPr>
          <w:p w14:paraId="47F8C15C">
            <w:pPr>
              <w:spacing w:line="240" w:lineRule="auto"/>
              <w:jc w:val="center"/>
              <w:rPr>
                <w:sz w:val="21"/>
                <w:szCs w:val="21"/>
              </w:rPr>
            </w:pPr>
            <w:r>
              <w:rPr>
                <w:sz w:val="21"/>
                <w:szCs w:val="21"/>
              </w:rPr>
              <w:t>夜间</w:t>
            </w:r>
          </w:p>
        </w:tc>
        <w:tc>
          <w:tcPr>
            <w:tcW w:w="1193" w:type="dxa"/>
            <w:vAlign w:val="center"/>
          </w:tcPr>
          <w:p w14:paraId="1FD04745">
            <w:pPr>
              <w:spacing w:line="240" w:lineRule="auto"/>
              <w:jc w:val="center"/>
              <w:rPr>
                <w:sz w:val="21"/>
                <w:szCs w:val="21"/>
              </w:rPr>
            </w:pPr>
            <w:r>
              <w:rPr>
                <w:rFonts w:hint="eastAsia"/>
                <w:sz w:val="21"/>
                <w:szCs w:val="21"/>
              </w:rPr>
              <w:t>55</w:t>
            </w:r>
          </w:p>
        </w:tc>
        <w:tc>
          <w:tcPr>
            <w:tcW w:w="1517" w:type="dxa"/>
            <w:vAlign w:val="center"/>
          </w:tcPr>
          <w:p w14:paraId="3DE6045D">
            <w:pPr>
              <w:spacing w:line="240" w:lineRule="auto"/>
              <w:jc w:val="center"/>
              <w:rPr>
                <w:sz w:val="21"/>
                <w:szCs w:val="21"/>
              </w:rPr>
            </w:pPr>
            <w:r>
              <w:rPr>
                <w:rFonts w:hint="eastAsia"/>
                <w:sz w:val="21"/>
                <w:szCs w:val="21"/>
              </w:rPr>
              <w:t>50.6</w:t>
            </w:r>
          </w:p>
        </w:tc>
        <w:tc>
          <w:tcPr>
            <w:tcW w:w="1316" w:type="dxa"/>
            <w:vAlign w:val="center"/>
          </w:tcPr>
          <w:p w14:paraId="75B9661B">
            <w:pPr>
              <w:spacing w:line="240" w:lineRule="auto"/>
              <w:jc w:val="center"/>
              <w:rPr>
                <w:sz w:val="21"/>
                <w:szCs w:val="21"/>
              </w:rPr>
            </w:pPr>
            <w:r>
              <w:rPr>
                <w:rFonts w:hint="eastAsia"/>
                <w:sz w:val="21"/>
                <w:szCs w:val="21"/>
              </w:rPr>
              <w:t>50.9</w:t>
            </w:r>
          </w:p>
        </w:tc>
        <w:tc>
          <w:tcPr>
            <w:tcW w:w="1134" w:type="dxa"/>
            <w:vAlign w:val="center"/>
          </w:tcPr>
          <w:p w14:paraId="7D46DD36">
            <w:pPr>
              <w:spacing w:line="240" w:lineRule="auto"/>
              <w:jc w:val="center"/>
              <w:rPr>
                <w:sz w:val="21"/>
                <w:szCs w:val="21"/>
              </w:rPr>
            </w:pPr>
            <w:r>
              <w:rPr>
                <w:sz w:val="21"/>
                <w:szCs w:val="21"/>
              </w:rPr>
              <w:t>是</w:t>
            </w:r>
          </w:p>
        </w:tc>
      </w:tr>
      <w:tr w14:paraId="1777FD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restart"/>
            <w:vAlign w:val="center"/>
          </w:tcPr>
          <w:p w14:paraId="5F42ADD4">
            <w:pPr>
              <w:spacing w:line="240" w:lineRule="auto"/>
              <w:jc w:val="center"/>
              <w:rPr>
                <w:sz w:val="21"/>
                <w:szCs w:val="21"/>
              </w:rPr>
            </w:pPr>
            <w:r>
              <w:rPr>
                <w:rFonts w:hint="eastAsia"/>
                <w:sz w:val="21"/>
                <w:szCs w:val="21"/>
              </w:rPr>
              <w:t>N2厂界南侧</w:t>
            </w:r>
            <w:r>
              <w:rPr>
                <w:sz w:val="21"/>
                <w:szCs w:val="21"/>
              </w:rPr>
              <w:t>1m外</w:t>
            </w:r>
          </w:p>
        </w:tc>
        <w:tc>
          <w:tcPr>
            <w:tcW w:w="1325" w:type="dxa"/>
            <w:vAlign w:val="center"/>
          </w:tcPr>
          <w:p w14:paraId="26E49EBC">
            <w:pPr>
              <w:spacing w:line="240" w:lineRule="auto"/>
              <w:jc w:val="center"/>
              <w:rPr>
                <w:sz w:val="21"/>
                <w:szCs w:val="21"/>
              </w:rPr>
            </w:pPr>
            <w:r>
              <w:rPr>
                <w:sz w:val="21"/>
                <w:szCs w:val="21"/>
              </w:rPr>
              <w:t>昼间</w:t>
            </w:r>
          </w:p>
        </w:tc>
        <w:tc>
          <w:tcPr>
            <w:tcW w:w="1193" w:type="dxa"/>
            <w:vAlign w:val="center"/>
          </w:tcPr>
          <w:p w14:paraId="0F9F8256">
            <w:pPr>
              <w:spacing w:line="240" w:lineRule="auto"/>
              <w:jc w:val="center"/>
              <w:rPr>
                <w:sz w:val="21"/>
                <w:szCs w:val="21"/>
              </w:rPr>
            </w:pPr>
            <w:r>
              <w:rPr>
                <w:rFonts w:hint="eastAsia"/>
                <w:sz w:val="21"/>
                <w:szCs w:val="21"/>
              </w:rPr>
              <w:t>70</w:t>
            </w:r>
          </w:p>
        </w:tc>
        <w:tc>
          <w:tcPr>
            <w:tcW w:w="1517" w:type="dxa"/>
            <w:vAlign w:val="center"/>
          </w:tcPr>
          <w:p w14:paraId="54E7A56D">
            <w:pPr>
              <w:spacing w:line="240" w:lineRule="auto"/>
              <w:jc w:val="center"/>
              <w:rPr>
                <w:sz w:val="21"/>
                <w:szCs w:val="21"/>
              </w:rPr>
            </w:pPr>
            <w:r>
              <w:rPr>
                <w:rFonts w:hint="eastAsia"/>
                <w:sz w:val="21"/>
                <w:szCs w:val="21"/>
              </w:rPr>
              <w:t>62.6</w:t>
            </w:r>
          </w:p>
        </w:tc>
        <w:tc>
          <w:tcPr>
            <w:tcW w:w="1316" w:type="dxa"/>
            <w:vAlign w:val="center"/>
          </w:tcPr>
          <w:p w14:paraId="0FE3DC58">
            <w:pPr>
              <w:spacing w:line="240" w:lineRule="auto"/>
              <w:jc w:val="center"/>
              <w:rPr>
                <w:sz w:val="21"/>
                <w:szCs w:val="21"/>
              </w:rPr>
            </w:pPr>
            <w:r>
              <w:rPr>
                <w:rFonts w:hint="eastAsia"/>
                <w:sz w:val="21"/>
                <w:szCs w:val="21"/>
              </w:rPr>
              <w:t>62.3</w:t>
            </w:r>
          </w:p>
        </w:tc>
        <w:tc>
          <w:tcPr>
            <w:tcW w:w="1134" w:type="dxa"/>
            <w:vAlign w:val="center"/>
          </w:tcPr>
          <w:p w14:paraId="4F69DC9B">
            <w:pPr>
              <w:spacing w:line="240" w:lineRule="auto"/>
              <w:jc w:val="center"/>
              <w:rPr>
                <w:sz w:val="21"/>
                <w:szCs w:val="21"/>
              </w:rPr>
            </w:pPr>
            <w:r>
              <w:rPr>
                <w:sz w:val="21"/>
                <w:szCs w:val="21"/>
              </w:rPr>
              <w:t>是</w:t>
            </w:r>
          </w:p>
        </w:tc>
      </w:tr>
      <w:tr w14:paraId="4F4E53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continue"/>
            <w:vAlign w:val="center"/>
          </w:tcPr>
          <w:p w14:paraId="1C51736F">
            <w:pPr>
              <w:spacing w:line="240" w:lineRule="auto"/>
              <w:jc w:val="center"/>
              <w:rPr>
                <w:sz w:val="21"/>
                <w:szCs w:val="21"/>
              </w:rPr>
            </w:pPr>
          </w:p>
        </w:tc>
        <w:tc>
          <w:tcPr>
            <w:tcW w:w="1325" w:type="dxa"/>
            <w:vAlign w:val="center"/>
          </w:tcPr>
          <w:p w14:paraId="6009DB98">
            <w:pPr>
              <w:spacing w:line="240" w:lineRule="auto"/>
              <w:jc w:val="center"/>
              <w:rPr>
                <w:sz w:val="21"/>
                <w:szCs w:val="21"/>
              </w:rPr>
            </w:pPr>
            <w:r>
              <w:rPr>
                <w:sz w:val="21"/>
                <w:szCs w:val="21"/>
              </w:rPr>
              <w:t>夜间</w:t>
            </w:r>
          </w:p>
        </w:tc>
        <w:tc>
          <w:tcPr>
            <w:tcW w:w="1193" w:type="dxa"/>
            <w:vAlign w:val="center"/>
          </w:tcPr>
          <w:p w14:paraId="79D96DAD">
            <w:pPr>
              <w:spacing w:line="240" w:lineRule="auto"/>
              <w:jc w:val="center"/>
              <w:rPr>
                <w:sz w:val="21"/>
                <w:szCs w:val="21"/>
              </w:rPr>
            </w:pPr>
            <w:r>
              <w:rPr>
                <w:sz w:val="21"/>
                <w:szCs w:val="21"/>
              </w:rPr>
              <w:t>5</w:t>
            </w:r>
            <w:r>
              <w:rPr>
                <w:rFonts w:hint="eastAsia"/>
                <w:sz w:val="21"/>
                <w:szCs w:val="21"/>
              </w:rPr>
              <w:t>5</w:t>
            </w:r>
          </w:p>
        </w:tc>
        <w:tc>
          <w:tcPr>
            <w:tcW w:w="1517" w:type="dxa"/>
            <w:vAlign w:val="center"/>
          </w:tcPr>
          <w:p w14:paraId="5267E521">
            <w:pPr>
              <w:spacing w:line="240" w:lineRule="auto"/>
              <w:jc w:val="center"/>
              <w:rPr>
                <w:sz w:val="21"/>
                <w:szCs w:val="21"/>
              </w:rPr>
            </w:pPr>
            <w:r>
              <w:rPr>
                <w:rFonts w:hint="eastAsia"/>
                <w:sz w:val="21"/>
                <w:szCs w:val="21"/>
              </w:rPr>
              <w:t>50.8</w:t>
            </w:r>
          </w:p>
        </w:tc>
        <w:tc>
          <w:tcPr>
            <w:tcW w:w="1316" w:type="dxa"/>
            <w:vAlign w:val="center"/>
          </w:tcPr>
          <w:p w14:paraId="50794525">
            <w:pPr>
              <w:spacing w:line="240" w:lineRule="auto"/>
              <w:jc w:val="center"/>
              <w:rPr>
                <w:sz w:val="21"/>
                <w:szCs w:val="21"/>
              </w:rPr>
            </w:pPr>
            <w:r>
              <w:rPr>
                <w:rFonts w:hint="eastAsia"/>
                <w:sz w:val="21"/>
                <w:szCs w:val="21"/>
              </w:rPr>
              <w:t>51.4</w:t>
            </w:r>
          </w:p>
        </w:tc>
        <w:tc>
          <w:tcPr>
            <w:tcW w:w="1134" w:type="dxa"/>
            <w:vAlign w:val="center"/>
          </w:tcPr>
          <w:p w14:paraId="525BF23D">
            <w:pPr>
              <w:spacing w:line="240" w:lineRule="auto"/>
              <w:jc w:val="center"/>
              <w:rPr>
                <w:sz w:val="21"/>
                <w:szCs w:val="21"/>
              </w:rPr>
            </w:pPr>
            <w:r>
              <w:rPr>
                <w:sz w:val="21"/>
                <w:szCs w:val="21"/>
              </w:rPr>
              <w:t>是</w:t>
            </w:r>
          </w:p>
        </w:tc>
      </w:tr>
      <w:tr w14:paraId="2D9322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restart"/>
            <w:vAlign w:val="center"/>
          </w:tcPr>
          <w:p w14:paraId="7527C180">
            <w:pPr>
              <w:spacing w:line="240" w:lineRule="auto"/>
              <w:jc w:val="center"/>
              <w:rPr>
                <w:sz w:val="21"/>
                <w:szCs w:val="21"/>
              </w:rPr>
            </w:pPr>
            <w:r>
              <w:rPr>
                <w:rFonts w:hint="eastAsia"/>
                <w:sz w:val="21"/>
                <w:szCs w:val="21"/>
              </w:rPr>
              <w:t>N3厂界西侧</w:t>
            </w:r>
            <w:r>
              <w:rPr>
                <w:sz w:val="21"/>
                <w:szCs w:val="21"/>
              </w:rPr>
              <w:t>1m外</w:t>
            </w:r>
          </w:p>
        </w:tc>
        <w:tc>
          <w:tcPr>
            <w:tcW w:w="1325" w:type="dxa"/>
            <w:vAlign w:val="center"/>
          </w:tcPr>
          <w:p w14:paraId="0D326D34">
            <w:pPr>
              <w:spacing w:line="240" w:lineRule="auto"/>
              <w:jc w:val="center"/>
              <w:rPr>
                <w:sz w:val="21"/>
                <w:szCs w:val="21"/>
              </w:rPr>
            </w:pPr>
            <w:r>
              <w:rPr>
                <w:sz w:val="21"/>
                <w:szCs w:val="21"/>
              </w:rPr>
              <w:t>昼间</w:t>
            </w:r>
          </w:p>
        </w:tc>
        <w:tc>
          <w:tcPr>
            <w:tcW w:w="1193" w:type="dxa"/>
            <w:vAlign w:val="center"/>
          </w:tcPr>
          <w:p w14:paraId="5AB569FD">
            <w:pPr>
              <w:spacing w:line="240" w:lineRule="auto"/>
              <w:jc w:val="center"/>
              <w:rPr>
                <w:sz w:val="21"/>
                <w:szCs w:val="21"/>
              </w:rPr>
            </w:pPr>
            <w:r>
              <w:rPr>
                <w:rFonts w:hint="eastAsia"/>
                <w:sz w:val="21"/>
                <w:szCs w:val="21"/>
              </w:rPr>
              <w:t>65</w:t>
            </w:r>
          </w:p>
        </w:tc>
        <w:tc>
          <w:tcPr>
            <w:tcW w:w="1517" w:type="dxa"/>
            <w:vAlign w:val="center"/>
          </w:tcPr>
          <w:p w14:paraId="406DCCCD">
            <w:pPr>
              <w:spacing w:line="240" w:lineRule="auto"/>
              <w:jc w:val="center"/>
              <w:rPr>
                <w:sz w:val="21"/>
                <w:szCs w:val="21"/>
              </w:rPr>
            </w:pPr>
            <w:r>
              <w:rPr>
                <w:rFonts w:hint="eastAsia"/>
                <w:sz w:val="21"/>
                <w:szCs w:val="21"/>
              </w:rPr>
              <w:t>58.6</w:t>
            </w:r>
          </w:p>
        </w:tc>
        <w:tc>
          <w:tcPr>
            <w:tcW w:w="1316" w:type="dxa"/>
            <w:vAlign w:val="center"/>
          </w:tcPr>
          <w:p w14:paraId="512CEA7A">
            <w:pPr>
              <w:spacing w:line="240" w:lineRule="auto"/>
              <w:jc w:val="center"/>
              <w:rPr>
                <w:sz w:val="21"/>
                <w:szCs w:val="21"/>
              </w:rPr>
            </w:pPr>
            <w:r>
              <w:rPr>
                <w:rFonts w:hint="eastAsia"/>
                <w:sz w:val="21"/>
                <w:szCs w:val="21"/>
              </w:rPr>
              <w:t>58.4</w:t>
            </w:r>
          </w:p>
        </w:tc>
        <w:tc>
          <w:tcPr>
            <w:tcW w:w="1134" w:type="dxa"/>
            <w:vAlign w:val="center"/>
          </w:tcPr>
          <w:p w14:paraId="604AF8FD">
            <w:pPr>
              <w:spacing w:line="240" w:lineRule="auto"/>
              <w:jc w:val="center"/>
              <w:rPr>
                <w:sz w:val="21"/>
                <w:szCs w:val="21"/>
              </w:rPr>
            </w:pPr>
            <w:r>
              <w:rPr>
                <w:sz w:val="21"/>
                <w:szCs w:val="21"/>
              </w:rPr>
              <w:t>是</w:t>
            </w:r>
          </w:p>
        </w:tc>
      </w:tr>
      <w:tr w14:paraId="66BACA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continue"/>
            <w:vAlign w:val="center"/>
          </w:tcPr>
          <w:p w14:paraId="7E0B0A1F">
            <w:pPr>
              <w:spacing w:line="240" w:lineRule="auto"/>
              <w:jc w:val="center"/>
              <w:rPr>
                <w:sz w:val="21"/>
                <w:szCs w:val="21"/>
              </w:rPr>
            </w:pPr>
          </w:p>
        </w:tc>
        <w:tc>
          <w:tcPr>
            <w:tcW w:w="1325" w:type="dxa"/>
            <w:vAlign w:val="center"/>
          </w:tcPr>
          <w:p w14:paraId="59342A05">
            <w:pPr>
              <w:spacing w:line="240" w:lineRule="auto"/>
              <w:jc w:val="center"/>
              <w:rPr>
                <w:sz w:val="21"/>
                <w:szCs w:val="21"/>
              </w:rPr>
            </w:pPr>
            <w:r>
              <w:rPr>
                <w:sz w:val="21"/>
                <w:szCs w:val="21"/>
              </w:rPr>
              <w:t>夜间</w:t>
            </w:r>
          </w:p>
        </w:tc>
        <w:tc>
          <w:tcPr>
            <w:tcW w:w="1193" w:type="dxa"/>
            <w:vAlign w:val="center"/>
          </w:tcPr>
          <w:p w14:paraId="2EDEB96F">
            <w:pPr>
              <w:spacing w:line="240" w:lineRule="auto"/>
              <w:jc w:val="center"/>
              <w:rPr>
                <w:sz w:val="21"/>
                <w:szCs w:val="21"/>
              </w:rPr>
            </w:pPr>
            <w:r>
              <w:rPr>
                <w:rFonts w:hint="eastAsia"/>
                <w:sz w:val="21"/>
                <w:szCs w:val="21"/>
              </w:rPr>
              <w:t>55</w:t>
            </w:r>
          </w:p>
        </w:tc>
        <w:tc>
          <w:tcPr>
            <w:tcW w:w="1517" w:type="dxa"/>
            <w:vAlign w:val="center"/>
          </w:tcPr>
          <w:p w14:paraId="6116DCE0">
            <w:pPr>
              <w:spacing w:line="240" w:lineRule="auto"/>
              <w:jc w:val="center"/>
              <w:rPr>
                <w:sz w:val="21"/>
                <w:szCs w:val="21"/>
              </w:rPr>
            </w:pPr>
            <w:r>
              <w:rPr>
                <w:rFonts w:hint="eastAsia"/>
                <w:sz w:val="21"/>
                <w:szCs w:val="21"/>
              </w:rPr>
              <w:t>51.0</w:t>
            </w:r>
          </w:p>
        </w:tc>
        <w:tc>
          <w:tcPr>
            <w:tcW w:w="1316" w:type="dxa"/>
            <w:vAlign w:val="center"/>
          </w:tcPr>
          <w:p w14:paraId="6EB305D8">
            <w:pPr>
              <w:spacing w:line="240" w:lineRule="auto"/>
              <w:jc w:val="center"/>
              <w:rPr>
                <w:sz w:val="21"/>
                <w:szCs w:val="21"/>
              </w:rPr>
            </w:pPr>
            <w:r>
              <w:rPr>
                <w:rFonts w:hint="eastAsia"/>
                <w:sz w:val="21"/>
                <w:szCs w:val="21"/>
              </w:rPr>
              <w:t>50.8</w:t>
            </w:r>
          </w:p>
        </w:tc>
        <w:tc>
          <w:tcPr>
            <w:tcW w:w="1134" w:type="dxa"/>
            <w:vAlign w:val="center"/>
          </w:tcPr>
          <w:p w14:paraId="139DAF11">
            <w:pPr>
              <w:spacing w:line="240" w:lineRule="auto"/>
              <w:jc w:val="center"/>
              <w:rPr>
                <w:sz w:val="21"/>
                <w:szCs w:val="21"/>
              </w:rPr>
            </w:pPr>
            <w:r>
              <w:rPr>
                <w:sz w:val="21"/>
                <w:szCs w:val="21"/>
              </w:rPr>
              <w:t>是</w:t>
            </w:r>
          </w:p>
        </w:tc>
      </w:tr>
      <w:tr w14:paraId="306FB3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restart"/>
            <w:vAlign w:val="center"/>
          </w:tcPr>
          <w:p w14:paraId="5FBBFC64">
            <w:pPr>
              <w:spacing w:line="240" w:lineRule="auto"/>
              <w:jc w:val="center"/>
              <w:rPr>
                <w:sz w:val="21"/>
                <w:szCs w:val="21"/>
              </w:rPr>
            </w:pPr>
            <w:r>
              <w:rPr>
                <w:rFonts w:hint="eastAsia"/>
                <w:sz w:val="21"/>
                <w:szCs w:val="21"/>
              </w:rPr>
              <w:t>N4</w:t>
            </w:r>
            <w:r>
              <w:rPr>
                <w:sz w:val="21"/>
                <w:szCs w:val="21"/>
              </w:rPr>
              <w:t>厂界北侧1m外</w:t>
            </w:r>
          </w:p>
        </w:tc>
        <w:tc>
          <w:tcPr>
            <w:tcW w:w="1325" w:type="dxa"/>
            <w:vAlign w:val="center"/>
          </w:tcPr>
          <w:p w14:paraId="54ACFE6D">
            <w:pPr>
              <w:spacing w:line="240" w:lineRule="auto"/>
              <w:jc w:val="center"/>
              <w:rPr>
                <w:sz w:val="21"/>
                <w:szCs w:val="21"/>
              </w:rPr>
            </w:pPr>
            <w:r>
              <w:rPr>
                <w:sz w:val="21"/>
                <w:szCs w:val="21"/>
              </w:rPr>
              <w:t>昼间</w:t>
            </w:r>
          </w:p>
        </w:tc>
        <w:tc>
          <w:tcPr>
            <w:tcW w:w="1193" w:type="dxa"/>
            <w:vAlign w:val="center"/>
          </w:tcPr>
          <w:p w14:paraId="02905B78">
            <w:pPr>
              <w:spacing w:line="240" w:lineRule="auto"/>
              <w:jc w:val="center"/>
              <w:rPr>
                <w:sz w:val="21"/>
                <w:szCs w:val="21"/>
              </w:rPr>
            </w:pPr>
            <w:r>
              <w:rPr>
                <w:rFonts w:hint="eastAsia"/>
                <w:sz w:val="21"/>
                <w:szCs w:val="21"/>
              </w:rPr>
              <w:t>65</w:t>
            </w:r>
          </w:p>
        </w:tc>
        <w:tc>
          <w:tcPr>
            <w:tcW w:w="1517" w:type="dxa"/>
            <w:vAlign w:val="center"/>
          </w:tcPr>
          <w:p w14:paraId="7F6B5888">
            <w:pPr>
              <w:spacing w:line="240" w:lineRule="auto"/>
              <w:jc w:val="center"/>
              <w:rPr>
                <w:sz w:val="21"/>
                <w:szCs w:val="21"/>
              </w:rPr>
            </w:pPr>
            <w:r>
              <w:rPr>
                <w:rFonts w:hint="eastAsia"/>
                <w:sz w:val="21"/>
                <w:szCs w:val="21"/>
              </w:rPr>
              <w:t>57.9</w:t>
            </w:r>
          </w:p>
        </w:tc>
        <w:tc>
          <w:tcPr>
            <w:tcW w:w="1316" w:type="dxa"/>
            <w:vAlign w:val="center"/>
          </w:tcPr>
          <w:p w14:paraId="7AE6FF59">
            <w:pPr>
              <w:spacing w:line="240" w:lineRule="auto"/>
              <w:jc w:val="center"/>
              <w:rPr>
                <w:sz w:val="21"/>
                <w:szCs w:val="21"/>
              </w:rPr>
            </w:pPr>
            <w:r>
              <w:rPr>
                <w:rFonts w:hint="eastAsia"/>
                <w:sz w:val="21"/>
                <w:szCs w:val="21"/>
              </w:rPr>
              <w:t>59.9</w:t>
            </w:r>
          </w:p>
        </w:tc>
        <w:tc>
          <w:tcPr>
            <w:tcW w:w="1134" w:type="dxa"/>
            <w:vAlign w:val="center"/>
          </w:tcPr>
          <w:p w14:paraId="617567FD">
            <w:pPr>
              <w:spacing w:line="240" w:lineRule="auto"/>
              <w:jc w:val="center"/>
              <w:rPr>
                <w:sz w:val="21"/>
                <w:szCs w:val="21"/>
              </w:rPr>
            </w:pPr>
            <w:r>
              <w:rPr>
                <w:sz w:val="21"/>
                <w:szCs w:val="21"/>
              </w:rPr>
              <w:t>是</w:t>
            </w:r>
          </w:p>
        </w:tc>
      </w:tr>
      <w:tr w14:paraId="14239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034" w:type="dxa"/>
            <w:vMerge w:val="continue"/>
            <w:vAlign w:val="center"/>
          </w:tcPr>
          <w:p w14:paraId="5E775E2E">
            <w:pPr>
              <w:spacing w:line="240" w:lineRule="auto"/>
              <w:jc w:val="center"/>
              <w:rPr>
                <w:sz w:val="21"/>
                <w:szCs w:val="21"/>
              </w:rPr>
            </w:pPr>
          </w:p>
        </w:tc>
        <w:tc>
          <w:tcPr>
            <w:tcW w:w="1325" w:type="dxa"/>
            <w:vAlign w:val="center"/>
          </w:tcPr>
          <w:p w14:paraId="656C47AB">
            <w:pPr>
              <w:spacing w:line="240" w:lineRule="auto"/>
              <w:jc w:val="center"/>
              <w:rPr>
                <w:sz w:val="21"/>
                <w:szCs w:val="21"/>
              </w:rPr>
            </w:pPr>
            <w:r>
              <w:rPr>
                <w:sz w:val="21"/>
                <w:szCs w:val="21"/>
              </w:rPr>
              <w:t>夜间</w:t>
            </w:r>
          </w:p>
        </w:tc>
        <w:tc>
          <w:tcPr>
            <w:tcW w:w="1193" w:type="dxa"/>
            <w:vAlign w:val="center"/>
          </w:tcPr>
          <w:p w14:paraId="70264636">
            <w:pPr>
              <w:spacing w:line="240" w:lineRule="auto"/>
              <w:jc w:val="center"/>
              <w:rPr>
                <w:sz w:val="21"/>
                <w:szCs w:val="21"/>
              </w:rPr>
            </w:pPr>
            <w:r>
              <w:rPr>
                <w:rFonts w:hint="eastAsia"/>
                <w:sz w:val="21"/>
                <w:szCs w:val="21"/>
              </w:rPr>
              <w:t>55</w:t>
            </w:r>
          </w:p>
        </w:tc>
        <w:tc>
          <w:tcPr>
            <w:tcW w:w="1517" w:type="dxa"/>
            <w:vAlign w:val="center"/>
          </w:tcPr>
          <w:p w14:paraId="242F0E53">
            <w:pPr>
              <w:spacing w:line="240" w:lineRule="auto"/>
              <w:jc w:val="center"/>
              <w:rPr>
                <w:sz w:val="21"/>
                <w:szCs w:val="21"/>
              </w:rPr>
            </w:pPr>
            <w:r>
              <w:rPr>
                <w:rFonts w:hint="eastAsia"/>
                <w:sz w:val="21"/>
                <w:szCs w:val="21"/>
              </w:rPr>
              <w:t>50.9</w:t>
            </w:r>
          </w:p>
        </w:tc>
        <w:tc>
          <w:tcPr>
            <w:tcW w:w="1316" w:type="dxa"/>
            <w:vAlign w:val="center"/>
          </w:tcPr>
          <w:p w14:paraId="659651A3">
            <w:pPr>
              <w:spacing w:line="240" w:lineRule="auto"/>
              <w:jc w:val="center"/>
              <w:rPr>
                <w:sz w:val="21"/>
                <w:szCs w:val="21"/>
              </w:rPr>
            </w:pPr>
            <w:r>
              <w:rPr>
                <w:rFonts w:hint="eastAsia"/>
                <w:sz w:val="21"/>
                <w:szCs w:val="21"/>
              </w:rPr>
              <w:t>51.6</w:t>
            </w:r>
          </w:p>
        </w:tc>
        <w:tc>
          <w:tcPr>
            <w:tcW w:w="1134" w:type="dxa"/>
            <w:vAlign w:val="center"/>
          </w:tcPr>
          <w:p w14:paraId="4A4204D0">
            <w:pPr>
              <w:spacing w:line="240" w:lineRule="auto"/>
              <w:jc w:val="center"/>
              <w:rPr>
                <w:sz w:val="21"/>
                <w:szCs w:val="21"/>
              </w:rPr>
            </w:pPr>
            <w:r>
              <w:rPr>
                <w:sz w:val="21"/>
                <w:szCs w:val="21"/>
              </w:rPr>
              <w:t>是</w:t>
            </w:r>
          </w:p>
        </w:tc>
      </w:tr>
    </w:tbl>
    <w:p w14:paraId="400C0A52">
      <w:pPr>
        <w:ind w:firstLine="480"/>
      </w:pPr>
      <w:r>
        <w:t>由上述的噪声监测结果可知，本项目</w:t>
      </w:r>
      <w:r>
        <w:rPr>
          <w:rFonts w:hint="eastAsia"/>
        </w:rPr>
        <w:t>南</w:t>
      </w:r>
      <w:r>
        <w:t>厂界的昼间等效A声级（Ld）、夜间等效A声级（Ln）能达到《声环境质量标准》（GB3096-2008）4a类标准，</w:t>
      </w:r>
      <w:r>
        <w:rPr>
          <w:rFonts w:hint="eastAsia"/>
        </w:rPr>
        <w:t>东、西</w:t>
      </w:r>
      <w:r>
        <w:t>、</w:t>
      </w:r>
      <w:r>
        <w:rPr>
          <w:rFonts w:hint="eastAsia"/>
        </w:rPr>
        <w:t>北</w:t>
      </w:r>
      <w:r>
        <w:t>厂界的昼间等效A声级（Ld）、夜间等效A声级（Ln）可达到《声环境质量标准》（GB3096-2008）3类标准。</w:t>
      </w:r>
    </w:p>
    <w:bookmarkEnd w:id="107"/>
    <w:p w14:paraId="540E6E0F">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5.2.4</w:t>
      </w:r>
      <w:r>
        <w:rPr>
          <w:rFonts w:hint="eastAsia"/>
        </w:rPr>
        <w:t>生态环境现状</w:t>
      </w:r>
    </w:p>
    <w:p w14:paraId="2CBB4CFC">
      <w:pPr>
        <w:ind w:firstLine="480"/>
      </w:pPr>
      <w:bookmarkStart w:id="112" w:name="_Toc191367932"/>
      <w:bookmarkStart w:id="113" w:name="_Toc231699675"/>
      <w:bookmarkStart w:id="114" w:name="_Toc467841721"/>
      <w:bookmarkStart w:id="115" w:name="_Toc191371444"/>
      <w:bookmarkStart w:id="116" w:name="_Toc231529740"/>
      <w:bookmarkStart w:id="117" w:name="_Toc214621635"/>
      <w:bookmarkStart w:id="118" w:name="_Toc191367619"/>
      <w:bookmarkStart w:id="119" w:name="_Toc189818088"/>
      <w:bookmarkStart w:id="120" w:name="_Toc195687671"/>
      <w:bookmarkStart w:id="121" w:name="_Toc191459364"/>
      <w:bookmarkStart w:id="122" w:name="_Toc215911609"/>
      <w:r>
        <w:rPr>
          <w:rFonts w:hint="eastAsia"/>
        </w:rPr>
        <w:t>项目所在区域内植物多为常见种，以马尾松、杉木等林木及农作物植被为主，农业生产系统现以种植水稻为主，种植柑桔、油茶、蔬菜等为辅，植被类型相对较为简单；主要野生动物包括哺乳类的黄鼠狼、野兔、麂子，鸟类的斑鸠、喜鹊、啄木鸟、麻雀等及蛙类、蛇类等常见中小型动物。据调查，项目用地范围及周边区域未发现国家和地方珍稀保护动植物，项目用地区域及周边土壤类型侵蚀以水力侵蚀为主，侵蚀形态以面蚀为主，其次是沟蚀，属微度～轻度土壤侵蚀区域，项目周边区域生态环境质量状况较好。</w:t>
      </w:r>
    </w:p>
    <w:p w14:paraId="6B9FF34D">
      <w:pPr>
        <w:pStyle w:val="3"/>
        <w:numPr>
          <w:ilvl w:val="1"/>
          <w:numId w:val="0"/>
        </w:numPr>
        <w:ind w:left="567" w:leftChars="0" w:hanging="567" w:firstLineChars="0"/>
        <w:rPr>
          <w:sz w:val="28"/>
          <w:szCs w:val="28"/>
        </w:rPr>
      </w:pPr>
      <w:bookmarkStart w:id="123" w:name="_Toc31715"/>
      <w:r>
        <w:rPr>
          <w:rFonts w:hint="default" w:ascii="宋体" w:hAnsi="宋体" w:eastAsia="宋体" w:cs="宋体"/>
          <w:b/>
          <w:bCs/>
          <w:kern w:val="2"/>
          <w:sz w:val="28"/>
          <w:szCs w:val="28"/>
          <w:lang w:val="en-US" w:eastAsia="zh-CN" w:bidi="ar-SA"/>
        </w:rPr>
        <w:t>5.3</w:t>
      </w:r>
      <w:r>
        <w:rPr>
          <w:rFonts w:hint="eastAsia"/>
          <w:sz w:val="28"/>
          <w:szCs w:val="28"/>
        </w:rPr>
        <w:t>园区概况及与本项目有关原有污染情况调查</w:t>
      </w:r>
      <w:bookmarkEnd w:id="123"/>
    </w:p>
    <w:bookmarkEnd w:id="112"/>
    <w:bookmarkEnd w:id="113"/>
    <w:bookmarkEnd w:id="114"/>
    <w:bookmarkEnd w:id="115"/>
    <w:bookmarkEnd w:id="116"/>
    <w:bookmarkEnd w:id="117"/>
    <w:bookmarkEnd w:id="118"/>
    <w:bookmarkEnd w:id="119"/>
    <w:bookmarkEnd w:id="120"/>
    <w:bookmarkEnd w:id="121"/>
    <w:bookmarkEnd w:id="122"/>
    <w:p w14:paraId="690500F2">
      <w:pPr>
        <w:pStyle w:val="4"/>
        <w:numPr>
          <w:ilvl w:val="2"/>
          <w:numId w:val="0"/>
        </w:numPr>
        <w:ind w:left="992" w:leftChars="0" w:hanging="992" w:firstLineChars="0"/>
      </w:pPr>
      <w:bookmarkStart w:id="124" w:name="4.1.1_评价思路和方法"/>
      <w:bookmarkEnd w:id="124"/>
      <w:bookmarkStart w:id="125" w:name="_bookmark50"/>
      <w:bookmarkEnd w:id="125"/>
      <w:bookmarkStart w:id="126" w:name="_bookmark48"/>
      <w:bookmarkEnd w:id="126"/>
      <w:bookmarkStart w:id="127" w:name="（3）建设功能指向的环境容量评价结果"/>
      <w:bookmarkEnd w:id="127"/>
      <w:bookmarkStart w:id="128" w:name="4.2农业功能指向的承载力等级评价"/>
      <w:bookmarkEnd w:id="128"/>
      <w:r>
        <w:rPr>
          <w:rFonts w:hint="default" w:ascii="宋体" w:hAnsi="宋体" w:eastAsia="宋体" w:cs="宋体"/>
          <w:b/>
          <w:bCs/>
          <w:kern w:val="2"/>
          <w:sz w:val="24"/>
          <w:szCs w:val="24"/>
          <w:lang w:val="en-US" w:eastAsia="zh-CN" w:bidi="ar-SA"/>
        </w:rPr>
        <w:t>5.3.1</w:t>
      </w:r>
      <w:r>
        <w:rPr>
          <w:rFonts w:hint="eastAsia"/>
        </w:rPr>
        <w:t>湘潭天易经济开发区（又名湘潭易俗河片区）概况</w:t>
      </w:r>
    </w:p>
    <w:p w14:paraId="49882778">
      <w:pPr>
        <w:ind w:firstLine="480"/>
        <w:rPr>
          <w:rFonts w:hint="eastAsia"/>
        </w:rPr>
      </w:pPr>
      <w:r>
        <w:t>湘潭天易经济开发区（即长株潭城市群两型社会示范区湘潭易俗河片区）位于湘潭县东部偏北，地处东经112°25'~13°03'、北纬27°20'~28°05'之间。湘潭天易经济开发区作为湘潭县经济建设的主战场，于2009年6月8日，在易俗河经济开发区（1992年成立的省级经济开发区）的基础上正式挂牌成立</w:t>
      </w:r>
      <w:r>
        <w:rPr>
          <w:rFonts w:hint="eastAsia"/>
          <w:lang w:eastAsia="zh-CN"/>
        </w:rPr>
        <w:t>。2006 年国家发改委[2006]8 号公告再核减非工业用地面积</w:t>
      </w:r>
      <w:r>
        <w:rPr>
          <w:rFonts w:hint="eastAsia"/>
          <w:lang w:val="en-US" w:eastAsia="zh-CN"/>
        </w:rPr>
        <w:t>后</w:t>
      </w:r>
      <w:r>
        <w:rPr>
          <w:rFonts w:hint="eastAsia"/>
          <w:lang w:eastAsia="zh-CN"/>
        </w:rPr>
        <w:t>最终确定在中国开发区审核公告目录中（2006 年），核准面积为 9.43km</w:t>
      </w:r>
      <w:r>
        <w:rPr>
          <w:rFonts w:hint="eastAsia"/>
          <w:vertAlign w:val="superscript"/>
          <w:lang w:eastAsia="zh-CN"/>
        </w:rPr>
        <w:t>2</w:t>
      </w:r>
      <w:r>
        <w:rPr>
          <w:rFonts w:hint="eastAsia"/>
          <w:lang w:eastAsia="zh-CN"/>
        </w:rPr>
        <w:t>，主导产业为机电、医药、食品。</w:t>
      </w:r>
      <w:r>
        <w:rPr>
          <w:rFonts w:hint="eastAsia"/>
        </w:rPr>
        <w:t>2012年6月，根据《湖南省人民政府关于部分省级开发区更名的通知》湘政函[2012]88 号，湖南湘潭易俗河经济开发区正式更名为湖南湘潭天易经济开发区。</w:t>
      </w:r>
    </w:p>
    <w:p w14:paraId="22A26133">
      <w:pPr>
        <w:pStyle w:val="38"/>
        <w:ind w:firstLine="480" w:firstLineChars="200"/>
        <w:rPr>
          <w:rFonts w:hint="default" w:eastAsiaTheme="minorEastAsia"/>
          <w:lang w:val="en-US" w:eastAsia="zh-CN"/>
        </w:rPr>
      </w:pPr>
      <w:r>
        <w:rPr>
          <w:rFonts w:hint="default" w:ascii="Times New Roman" w:hAnsi="Times New Roman" w:cs="Times New Roman"/>
        </w:rPr>
        <w:t>2024年12月2日，湖南省发展和改革委员会《关于长沙天心经济开发区等29 家园区调区的复函》（湘发改函[2024]64 号）中，湘潭天易经济开发区调区具体方案为：调出218.76ha，调区后园区总面积为848.26ha。因（湘发改园区〔2022〕601号）核准面积为1067.02ha，后湖南省自然资源厅《关于湘潭天易经济开发区扩区审核意见的函》实际核定面积为1067.04ha，因此调区实际面积为218.78ha，调区后园区总面积为848.26ha</w:t>
      </w:r>
      <w:r>
        <w:t>。</w:t>
      </w:r>
      <w:r>
        <w:rPr>
          <w:rFonts w:hint="eastAsia"/>
          <w:lang w:val="en-US" w:eastAsia="zh-CN"/>
        </w:rPr>
        <w:t>并委托编制了《湘潭天易经济开发区总体规划环境影响报告书》，批文号：湘环评函【</w:t>
      </w:r>
      <w:r>
        <w:rPr>
          <w:rFonts w:hint="default" w:ascii="Times New Roman" w:hAnsi="Times New Roman" w:cs="Times New Roman"/>
          <w:lang w:val="en-US" w:eastAsia="zh-CN"/>
        </w:rPr>
        <w:t>2026】8</w:t>
      </w:r>
      <w:r>
        <w:rPr>
          <w:rFonts w:hint="eastAsia"/>
          <w:lang w:val="en-US" w:eastAsia="zh-CN"/>
        </w:rPr>
        <w:t>号。批复</w:t>
      </w:r>
      <w:r>
        <w:rPr>
          <w:rFonts w:hint="default" w:ascii="Times New Roman" w:hAnsi="Times New Roman" w:cs="Times New Roman"/>
          <w:lang w:val="en-US" w:eastAsia="zh-CN"/>
        </w:rPr>
        <w:t>时间：2026年3月4日。</w:t>
      </w:r>
    </w:p>
    <w:p w14:paraId="0246335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5.3.2</w:t>
      </w:r>
      <w:r>
        <w:rPr>
          <w:rFonts w:hint="eastAsia"/>
        </w:rPr>
        <w:t>产业定位</w:t>
      </w:r>
    </w:p>
    <w:p w14:paraId="08057EC2">
      <w:pPr>
        <w:ind w:firstLine="480"/>
      </w:pPr>
      <w:r>
        <w:rPr>
          <w:rFonts w:hint="eastAsia"/>
        </w:rPr>
        <w:t>据《湘潭县天易经济开发区总体规划（2024-2030 年）》，规划经开区以调后面积（848.26ha）为基准进行扩区，扩区后总面积为1187.68公顷，形成“一园两片区”，即核心区（区块一），东城片区（区块二）。核心区规划面积978.04公顷，紧靠湘潭县城，北至天易大道，东至向东渠西路（规划），南至梧桐南路，西至湘南路，重点发展先进装备制造业、食品医药、新材料产业。东城片区规划面积 209.64公顷，位于县城东部，北临天易大道，西至芙蓉大道，南抵海鸥东路（规划），东邻紫竹路，发展先进装备制造产业。</w:t>
      </w:r>
    </w:p>
    <w:p w14:paraId="2B4B8F7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5.3.</w:t>
      </w:r>
      <w:r>
        <w:rPr>
          <w:rFonts w:hint="eastAsia" w:ascii="宋体" w:hAnsi="宋体" w:cs="宋体"/>
          <w:b/>
          <w:bCs/>
          <w:kern w:val="2"/>
          <w:sz w:val="24"/>
          <w:szCs w:val="24"/>
          <w:lang w:val="en-US" w:eastAsia="zh-CN" w:bidi="ar-SA"/>
        </w:rPr>
        <w:t>3</w:t>
      </w:r>
      <w:r>
        <w:rPr>
          <w:rFonts w:hint="eastAsia"/>
        </w:rPr>
        <w:t>公共基础设施</w:t>
      </w:r>
    </w:p>
    <w:p w14:paraId="1944AE2A">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5.3.</w:t>
      </w:r>
      <w:r>
        <w:rPr>
          <w:rFonts w:hint="eastAsia" w:cs="宋体"/>
          <w:b/>
          <w:bCs/>
          <w:kern w:val="2"/>
          <w:sz w:val="24"/>
          <w:szCs w:val="24"/>
          <w:lang w:val="en-US" w:eastAsia="zh-CN" w:bidi="ar-SA"/>
        </w:rPr>
        <w:t>3</w:t>
      </w:r>
      <w:r>
        <w:rPr>
          <w:rFonts w:hint="default" w:ascii="宋体" w:hAnsi="宋体" w:eastAsia="宋体" w:cs="宋体"/>
          <w:b/>
          <w:bCs/>
          <w:kern w:val="2"/>
          <w:sz w:val="24"/>
          <w:szCs w:val="24"/>
          <w:lang w:val="en-US" w:eastAsia="zh-CN" w:bidi="ar-SA"/>
        </w:rPr>
        <w:t>.1</w:t>
      </w:r>
      <w:r>
        <w:rPr>
          <w:rFonts w:hint="eastAsia"/>
        </w:rPr>
        <w:t>供水现状</w:t>
      </w:r>
    </w:p>
    <w:p w14:paraId="616BE0E2">
      <w:pPr>
        <w:ind w:firstLine="480"/>
      </w:pPr>
      <w:r>
        <w:rPr>
          <w:rFonts w:hint="eastAsia"/>
        </w:rPr>
        <w:t>湘潭县现有自来水厂两座，即湘潭县京湘水厂（又名湘潭县一水厂）及2015年建成的县城二水厂（天易水厂），取水均来自湘江，取水口相距约50m，其中湘潭县京湘水厂设计供水能力6万t/d，天易水厂设计供水能力10万t/d（其中一期5万t/d已投入运营）。</w:t>
      </w:r>
    </w:p>
    <w:p w14:paraId="645B9D5A">
      <w:pPr>
        <w:ind w:firstLine="480"/>
      </w:pPr>
      <w:r>
        <w:rPr>
          <w:rFonts w:hint="eastAsia"/>
        </w:rPr>
        <w:t>湘潭县现状供水管线主干网约100km，最大干管800mm，已经形成环状管网和支状管网相结合的供水管网体系。供水范围西起涓水河，东至金霞山，北到湘江，南至县一职（含湘潭天易经济开发区新建区），供水覆盖率98%。</w:t>
      </w:r>
    </w:p>
    <w:p w14:paraId="1D61AD8D">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5.3.</w:t>
      </w:r>
      <w:r>
        <w:rPr>
          <w:rFonts w:hint="eastAsia" w:cs="宋体"/>
          <w:b/>
          <w:bCs/>
          <w:kern w:val="2"/>
          <w:sz w:val="24"/>
          <w:szCs w:val="24"/>
          <w:lang w:val="en-US" w:eastAsia="zh-CN" w:bidi="ar-SA"/>
        </w:rPr>
        <w:t>3</w:t>
      </w:r>
      <w:r>
        <w:rPr>
          <w:rFonts w:hint="default" w:ascii="宋体" w:hAnsi="宋体" w:eastAsia="宋体" w:cs="宋体"/>
          <w:b/>
          <w:bCs/>
          <w:kern w:val="2"/>
          <w:sz w:val="24"/>
          <w:szCs w:val="24"/>
          <w:lang w:val="en-US" w:eastAsia="zh-CN" w:bidi="ar-SA"/>
        </w:rPr>
        <w:t>.2</w:t>
      </w:r>
      <w:r>
        <w:rPr>
          <w:rFonts w:hint="eastAsia"/>
        </w:rPr>
        <w:t>污水工程</w:t>
      </w:r>
    </w:p>
    <w:p w14:paraId="032F907E">
      <w:pPr>
        <w:ind w:firstLine="480"/>
      </w:pPr>
      <w:r>
        <w:rPr>
          <w:rFonts w:hint="eastAsia"/>
        </w:rPr>
        <w:t>湘潭天易经济开发区区内湘潭县老城区排水体制目前主要采用截流式合流制排水系统，截流倍数为1.0，目前县城区合流管渠主要有低排渠、飞羊渠以及百花渠等。随着旧城改造工程及城区道路改造工程的实施，示范区对现状合流制管网进行截污改造，同步将合流制排水管改造为分流制排水管。</w:t>
      </w:r>
    </w:p>
    <w:p w14:paraId="36DD6247">
      <w:pPr>
        <w:ind w:firstLine="480"/>
      </w:pPr>
      <w:r>
        <w:rPr>
          <w:rFonts w:hint="eastAsia"/>
        </w:rPr>
        <w:t>湘潭天易经济开发区区内现有污水处理厂二座：湘潭县顺业污水处理有限公司污水处理厂位于湘潭县易俗河镇金桂北路，一期污水处理规模2.5×10</w:t>
      </w:r>
      <w:r>
        <w:rPr>
          <w:rFonts w:hint="eastAsia"/>
          <w:vertAlign w:val="superscript"/>
        </w:rPr>
        <w:t>4</w:t>
      </w:r>
      <w:r>
        <w:rPr>
          <w:rFonts w:hint="eastAsia"/>
        </w:rPr>
        <w:t>m</w:t>
      </w:r>
      <w:r>
        <w:rPr>
          <w:rFonts w:hint="eastAsia"/>
          <w:vertAlign w:val="superscript"/>
        </w:rPr>
        <w:t>3</w:t>
      </w:r>
      <w:r>
        <w:rPr>
          <w:rFonts w:hint="eastAsia"/>
        </w:rPr>
        <w:t>/d，于2009年9月建成投产；二期工程污水处理规模2.5×10</w:t>
      </w:r>
      <w:r>
        <w:rPr>
          <w:rFonts w:hint="eastAsia"/>
          <w:vertAlign w:val="superscript"/>
        </w:rPr>
        <w:t>4</w:t>
      </w:r>
      <w:r>
        <w:rPr>
          <w:rFonts w:hint="eastAsia"/>
        </w:rPr>
        <w:t>m</w:t>
      </w:r>
      <w:r>
        <w:rPr>
          <w:rFonts w:hint="eastAsia"/>
          <w:vertAlign w:val="superscript"/>
        </w:rPr>
        <w:t>3</w:t>
      </w:r>
      <w:r>
        <w:rPr>
          <w:rFonts w:hint="eastAsia"/>
        </w:rPr>
        <w:t>/d，于2014年1月建成投产。一期、二期工程均采用A</w:t>
      </w:r>
      <w:r>
        <w:rPr>
          <w:rFonts w:hint="eastAsia"/>
          <w:vertAlign w:val="superscript"/>
        </w:rPr>
        <w:t>2</w:t>
      </w:r>
      <w:r>
        <w:rPr>
          <w:rFonts w:hint="eastAsia"/>
        </w:rPr>
        <w:t>/O氧化沟（其中二期工程采用微孔曝气形式）＋紫外线（UV）消毒池的处理工艺，污水经处理达《城镇污水处理厂污染物排放标准》（B18918-2002）及修改单一级A标准后，经邯郸港排渍泵站排入湘江。</w:t>
      </w:r>
    </w:p>
    <w:p w14:paraId="4711A7B0">
      <w:pPr>
        <w:ind w:firstLine="480"/>
      </w:pPr>
      <w:r>
        <w:rPr>
          <w:rFonts w:hint="eastAsia"/>
        </w:rPr>
        <w:t>湘潭县第二污水处理厂位于湘潭县易俗河镇京竹村，纳污面积约为23.5平方公里。设计总规模为5万m</w:t>
      </w:r>
      <w:r>
        <w:rPr>
          <w:rFonts w:hint="eastAsia"/>
          <w:vertAlign w:val="superscript"/>
        </w:rPr>
        <w:t>3</w:t>
      </w:r>
      <w:r>
        <w:rPr>
          <w:rFonts w:hint="eastAsia"/>
        </w:rPr>
        <w:t>/d，分两期建设，一期工程污水处理规模2.5×10</w:t>
      </w:r>
      <w:r>
        <w:rPr>
          <w:rFonts w:hint="eastAsia"/>
          <w:vertAlign w:val="superscript"/>
        </w:rPr>
        <w:t>4</w:t>
      </w:r>
      <w:r>
        <w:rPr>
          <w:rFonts w:hint="eastAsia"/>
        </w:rPr>
        <w:t>m</w:t>
      </w:r>
      <w:r>
        <w:rPr>
          <w:rFonts w:hint="eastAsia"/>
          <w:vertAlign w:val="superscript"/>
        </w:rPr>
        <w:t>3</w:t>
      </w:r>
      <w:r>
        <w:rPr>
          <w:rFonts w:hint="eastAsia"/>
        </w:rPr>
        <w:t>/d，已于2018年6月建成运行，二期工程拟建污水处理规模2.5×10</w:t>
      </w:r>
      <w:r>
        <w:rPr>
          <w:rFonts w:hint="eastAsia"/>
          <w:vertAlign w:val="superscript"/>
        </w:rPr>
        <w:t>4</w:t>
      </w:r>
      <w:r>
        <w:rPr>
          <w:rFonts w:hint="eastAsia"/>
        </w:rPr>
        <w:t>m</w:t>
      </w:r>
      <w:r>
        <w:rPr>
          <w:rFonts w:hint="eastAsia"/>
          <w:vertAlign w:val="superscript"/>
        </w:rPr>
        <w:t>3</w:t>
      </w:r>
      <w:r>
        <w:rPr>
          <w:rFonts w:hint="eastAsia"/>
        </w:rPr>
        <w:t>/d。一期、二期工程均采用A</w:t>
      </w:r>
      <w:r>
        <w:rPr>
          <w:rFonts w:hint="eastAsia"/>
          <w:vertAlign w:val="superscript"/>
        </w:rPr>
        <w:t>2</w:t>
      </w:r>
      <w:r>
        <w:rPr>
          <w:rFonts w:hint="eastAsia"/>
        </w:rPr>
        <w:t>/O氧化沟（其中二期工程采用微孔曝气形式）＋紫外线（UV）消毒池的处理工艺，尾水经京竹闸排入涓水。</w:t>
      </w:r>
    </w:p>
    <w:p w14:paraId="0EE69DDC">
      <w:pPr>
        <w:ind w:firstLine="480"/>
      </w:pPr>
      <w:r>
        <w:rPr>
          <w:rFonts w:hint="eastAsia"/>
        </w:rPr>
        <w:t>本工程产生生产生活污水经市政污水管网汇入湘潭县顺业污水处理有限公司污水处理厂处理。</w:t>
      </w:r>
    </w:p>
    <w:p w14:paraId="791A47F1">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5.3.</w:t>
      </w:r>
      <w:r>
        <w:rPr>
          <w:rFonts w:hint="eastAsia" w:cs="宋体"/>
          <w:b/>
          <w:bCs/>
          <w:kern w:val="2"/>
          <w:sz w:val="24"/>
          <w:szCs w:val="24"/>
          <w:lang w:val="en-US" w:eastAsia="zh-CN" w:bidi="ar-SA"/>
        </w:rPr>
        <w:t>3</w:t>
      </w:r>
      <w:r>
        <w:rPr>
          <w:rFonts w:hint="default" w:ascii="宋体" w:hAnsi="宋体" w:eastAsia="宋体" w:cs="宋体"/>
          <w:b/>
          <w:bCs/>
          <w:kern w:val="2"/>
          <w:sz w:val="24"/>
          <w:szCs w:val="24"/>
          <w:lang w:val="en-US" w:eastAsia="zh-CN" w:bidi="ar-SA"/>
        </w:rPr>
        <w:t>.3</w:t>
      </w:r>
      <w:r>
        <w:rPr>
          <w:rFonts w:hint="eastAsia"/>
        </w:rPr>
        <w:t>能源结构现状</w:t>
      </w:r>
    </w:p>
    <w:p w14:paraId="7580772D">
      <w:pPr>
        <w:ind w:firstLine="480"/>
      </w:pPr>
      <w:r>
        <w:rPr>
          <w:rFonts w:hint="eastAsia"/>
        </w:rPr>
        <w:t>示范区成立以来一直努力推进清洁能源替代，目前示范区原有燃煤锅炉已基本改造完毕，燃煤主要来自居民生活用煤。</w:t>
      </w:r>
    </w:p>
    <w:p w14:paraId="3BEBC07C">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5.3.</w:t>
      </w:r>
      <w:r>
        <w:rPr>
          <w:rFonts w:hint="eastAsia" w:cs="宋体"/>
          <w:b/>
          <w:bCs/>
          <w:kern w:val="2"/>
          <w:sz w:val="24"/>
          <w:szCs w:val="24"/>
          <w:lang w:val="en-US" w:eastAsia="zh-CN" w:bidi="ar-SA"/>
        </w:rPr>
        <w:t>3</w:t>
      </w:r>
      <w:r>
        <w:rPr>
          <w:rFonts w:hint="default" w:ascii="宋体" w:hAnsi="宋体" w:eastAsia="宋体" w:cs="宋体"/>
          <w:b/>
          <w:bCs/>
          <w:kern w:val="2"/>
          <w:sz w:val="24"/>
          <w:szCs w:val="24"/>
          <w:lang w:val="en-US" w:eastAsia="zh-CN" w:bidi="ar-SA"/>
        </w:rPr>
        <w:t>.4</w:t>
      </w:r>
      <w:r>
        <w:rPr>
          <w:rFonts w:hint="eastAsia"/>
        </w:rPr>
        <w:t>交通现状</w:t>
      </w:r>
    </w:p>
    <w:p w14:paraId="6CA640F1">
      <w:pPr>
        <w:ind w:firstLine="480"/>
      </w:pPr>
      <w:r>
        <w:t>示范区现有城市道路近30条，总长度46.7km，道路用地面积129.4万㎡，人均约12m</w:t>
      </w:r>
      <w:r>
        <w:rPr>
          <w:vertAlign w:val="superscript"/>
        </w:rPr>
        <w:t>2</w:t>
      </w:r>
      <w:r>
        <w:t>，路网密度为3.1km/km</w:t>
      </w:r>
      <w:r>
        <w:rPr>
          <w:vertAlign w:val="superscript"/>
        </w:rPr>
        <w:t>2</w:t>
      </w:r>
      <w:r>
        <w:t>，已建设快速路、主、次干路、支路长度分别为：3065m、12903m、18699.3m和11994.2m。中心城区内部道路现共有13条主干道，包括：湘莲大道、玉兰路、金桂路、海棠路、杨柳路、芙蓉大道、紫竹路、滨江大道、凤凰路、天易大道（大鹏路）、云龙路、海鸥路、武广大道；以及10条次干道：银杏路、雪松路、荷花路、贵竹路、朝阳路、天马路、飞羊路、龙江路、紫薇路、金铃路等。</w:t>
      </w:r>
    </w:p>
    <w:p w14:paraId="29539C9E">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5.3.</w:t>
      </w:r>
      <w:r>
        <w:rPr>
          <w:rFonts w:hint="eastAsia" w:cs="宋体"/>
          <w:b/>
          <w:bCs/>
          <w:kern w:val="2"/>
          <w:sz w:val="24"/>
          <w:szCs w:val="24"/>
          <w:lang w:val="en-US" w:eastAsia="zh-CN" w:bidi="ar-SA"/>
        </w:rPr>
        <w:t>3</w:t>
      </w:r>
      <w:r>
        <w:rPr>
          <w:rFonts w:hint="default" w:ascii="宋体" w:hAnsi="宋体" w:eastAsia="宋体" w:cs="宋体"/>
          <w:b/>
          <w:bCs/>
          <w:kern w:val="2"/>
          <w:sz w:val="24"/>
          <w:szCs w:val="24"/>
          <w:lang w:val="en-US" w:eastAsia="zh-CN" w:bidi="ar-SA"/>
        </w:rPr>
        <w:t>.5</w:t>
      </w:r>
      <w:r>
        <w:rPr>
          <w:rFonts w:hint="eastAsia"/>
        </w:rPr>
        <w:t>供电现状</w:t>
      </w:r>
    </w:p>
    <w:p w14:paraId="60A36F03">
      <w:pPr>
        <w:pStyle w:val="38"/>
        <w:ind w:firstLine="480"/>
        <w:rPr>
          <w:rFonts w:ascii="Times New Roman" w:hAnsi="Times New Roman" w:eastAsia="宋体" w:cs="Times New Roman"/>
          <w:color w:val="auto"/>
        </w:rPr>
      </w:pPr>
      <w:r>
        <w:rPr>
          <w:rFonts w:ascii="Times New Roman" w:hAnsi="Times New Roman" w:eastAsia="宋体" w:cs="Times New Roman"/>
          <w:color w:val="auto"/>
        </w:rPr>
        <w:t>示范区现状110KV供电站一座，主变容量2×31.5MVA，供电网络结构主要为110KV/10KV/0.4KV。在建220KV变电站1座，主变1台，主变容量180MVA。</w:t>
      </w:r>
    </w:p>
    <w:p w14:paraId="42C3000F">
      <w:pPr>
        <w:pStyle w:val="5"/>
        <w:numPr>
          <w:ilvl w:val="3"/>
          <w:numId w:val="0"/>
        </w:numPr>
        <w:ind w:left="1984" w:leftChars="0" w:hanging="1984" w:firstLineChars="0"/>
        <w:rPr>
          <w:u w:val="single"/>
        </w:rPr>
      </w:pPr>
      <w:r>
        <w:rPr>
          <w:rFonts w:hint="default" w:ascii="宋体" w:hAnsi="宋体" w:eastAsia="宋体" w:cs="宋体"/>
          <w:b/>
          <w:bCs/>
          <w:kern w:val="2"/>
          <w:sz w:val="24"/>
          <w:szCs w:val="24"/>
          <w:u w:val="single"/>
          <w:lang w:val="en-US" w:eastAsia="zh-CN" w:bidi="ar-SA"/>
        </w:rPr>
        <w:t>5.3.</w:t>
      </w:r>
      <w:r>
        <w:rPr>
          <w:rFonts w:hint="eastAsia" w:cs="宋体"/>
          <w:b/>
          <w:bCs/>
          <w:kern w:val="2"/>
          <w:sz w:val="24"/>
          <w:szCs w:val="24"/>
          <w:u w:val="single"/>
          <w:lang w:val="en-US" w:eastAsia="zh-CN" w:bidi="ar-SA"/>
        </w:rPr>
        <w:t>3</w:t>
      </w:r>
      <w:r>
        <w:rPr>
          <w:rFonts w:hint="default" w:ascii="宋体" w:hAnsi="宋体" w:eastAsia="宋体" w:cs="宋体"/>
          <w:b/>
          <w:bCs/>
          <w:kern w:val="2"/>
          <w:sz w:val="24"/>
          <w:szCs w:val="24"/>
          <w:u w:val="single"/>
          <w:lang w:val="en-US" w:eastAsia="zh-CN" w:bidi="ar-SA"/>
        </w:rPr>
        <w:t>.6</w:t>
      </w:r>
      <w:r>
        <w:rPr>
          <w:rFonts w:hint="eastAsia"/>
          <w:u w:val="single"/>
        </w:rPr>
        <w:t>产业准入</w:t>
      </w:r>
    </w:p>
    <w:p w14:paraId="16D19CB3">
      <w:pPr>
        <w:ind w:firstLine="240" w:firstLineChars="100"/>
        <w:rPr>
          <w:rFonts w:hint="default"/>
          <w:u w:val="single"/>
          <w:lang w:val="en-US"/>
        </w:rPr>
      </w:pPr>
      <w:r>
        <w:rPr>
          <w:rFonts w:hint="eastAsia"/>
          <w:u w:val="single"/>
          <w:lang w:val="en-US" w:eastAsia="zh-CN"/>
        </w:rPr>
        <w:t>根据《湘潭天易经济开发区总体规划环境影响报告书》（2026年版）产业准入相关要求如下：</w:t>
      </w:r>
    </w:p>
    <w:p w14:paraId="5CBB496E">
      <w:pPr>
        <w:ind w:firstLine="480" w:firstLineChars="200"/>
        <w:rPr>
          <w:u w:val="single"/>
        </w:rPr>
      </w:pPr>
      <w:r>
        <w:rPr>
          <w:rFonts w:hint="eastAsia"/>
          <w:u w:val="single"/>
        </w:rPr>
        <w:t>（1）禁止类项目</w:t>
      </w:r>
    </w:p>
    <w:p w14:paraId="24D8A540">
      <w:pPr>
        <w:ind w:firstLine="480"/>
        <w:rPr>
          <w:u w:val="single"/>
        </w:rPr>
      </w:pPr>
      <w:r>
        <w:rPr>
          <w:rFonts w:hint="eastAsia"/>
          <w:u w:val="single"/>
        </w:rPr>
        <w:t>禁止类入园项目是指国家现行产业政策明令禁止或淘汰的产业及工业，以及排污量较大、污染物控制难度大，不符合园区水污染和大气污染总量控制原则的项目。对于这一类项目，园区管委会招商部门应严格把关、禁止引入，相关生态环境部门不予审批。</w:t>
      </w:r>
    </w:p>
    <w:p w14:paraId="4653F153">
      <w:pPr>
        <w:ind w:firstLine="480"/>
        <w:rPr>
          <w:rFonts w:hint="eastAsia"/>
          <w:u w:val="single"/>
        </w:rPr>
      </w:pPr>
      <w:r>
        <w:rPr>
          <w:rFonts w:hint="eastAsia"/>
          <w:u w:val="single"/>
        </w:rPr>
        <w:t>（2）限制类项目</w:t>
      </w:r>
    </w:p>
    <w:p w14:paraId="0D0CB73A">
      <w:pPr>
        <w:ind w:firstLine="480"/>
        <w:rPr>
          <w:rFonts w:hint="eastAsia"/>
          <w:u w:val="single"/>
        </w:rPr>
      </w:pPr>
      <w:r>
        <w:rPr>
          <w:rFonts w:hint="eastAsia"/>
          <w:u w:val="single"/>
        </w:rPr>
        <w:t>限制类入园项目主要是指国家现行产业政策未禁止或未淘汰的，工业区产业链上不可或缺的污染型入区项目。对于这一类项目，审批过程中视具体情况有条件地引入，但要严格执行环境影响评价制度。同时根据区域环境容量，把好总量控制关，做到与周边环境相容。</w:t>
      </w:r>
    </w:p>
    <w:p w14:paraId="5147A694">
      <w:pPr>
        <w:pStyle w:val="38"/>
        <w:ind w:firstLine="480" w:firstLineChars="200"/>
        <w:rPr>
          <w:u w:val="single"/>
        </w:rPr>
      </w:pPr>
      <w:r>
        <w:rPr>
          <w:rFonts w:hint="eastAsia"/>
          <w:u w:val="single"/>
        </w:rPr>
        <w:t>根据《湖南省“三线一单”生态环境总体管控要求暨省级以上产业园区生态环境准入清单》以及本次环评的成果、园区产业发展规划和《环境保护综合名录（2021 年版）》、《湘潭县人民政府关于划定湘潭县城区高污染燃料禁售禁燃区的通告》、《湖南省两高行业目录》以及国家有关“两高”行业相关政策制定园区环境准入行业，本次环评从行业列出禁止类和限制类分别列出清单，环境准入行业清单见下表。</w:t>
      </w:r>
    </w:p>
    <w:p w14:paraId="6CC88EC7">
      <w:pPr>
        <w:pStyle w:val="51"/>
        <w:numPr>
          <w:ilvl w:val="5"/>
          <w:numId w:val="0"/>
        </w:numPr>
        <w:tabs>
          <w:tab w:val="left" w:pos="4395"/>
        </w:tabs>
        <w:spacing w:before="156"/>
        <w:ind w:firstLine="1476" w:firstLineChars="700"/>
        <w:jc w:val="both"/>
        <w:rPr>
          <w:rFonts w:hint="default" w:eastAsia="宋体"/>
          <w:u w:val="single"/>
          <w:lang w:val="en-US" w:eastAsia="zh-CN"/>
        </w:rPr>
      </w:pPr>
      <w:r>
        <w:rPr>
          <w:rFonts w:hint="default" w:ascii="宋体" w:hAnsi="宋体" w:eastAsia="宋体" w:cs="宋体"/>
          <w:b/>
          <w:bCs/>
          <w:color w:val="auto"/>
          <w:kern w:val="2"/>
          <w:sz w:val="21"/>
          <w:szCs w:val="21"/>
          <w:u w:val="single"/>
          <w:lang w:val="en-US" w:eastAsia="zh-CN" w:bidi="ar-SA"/>
        </w:rPr>
        <w:t xml:space="preserve">表5.3-1 </w:t>
      </w:r>
      <w:r>
        <w:rPr>
          <w:rFonts w:hint="eastAsia" w:ascii="宋体" w:hAnsi="宋体" w:cs="宋体"/>
          <w:b/>
          <w:bCs/>
          <w:color w:val="auto"/>
          <w:kern w:val="2"/>
          <w:sz w:val="21"/>
          <w:szCs w:val="21"/>
          <w:u w:val="single"/>
          <w:lang w:val="en-US" w:eastAsia="zh-CN" w:bidi="ar-SA"/>
        </w:rPr>
        <w:t xml:space="preserve">  </w:t>
      </w:r>
      <w:r>
        <w:rPr>
          <w:rFonts w:hint="eastAsia"/>
          <w:u w:val="single"/>
        </w:rPr>
        <w:t>湘潭天易经济开发区</w:t>
      </w:r>
      <w:r>
        <w:rPr>
          <w:rFonts w:hint="eastAsia"/>
          <w:u w:val="single"/>
          <w:lang w:val="en-US" w:eastAsia="zh-CN"/>
        </w:rPr>
        <w:t>生态环境准入清单</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1286"/>
        <w:gridCol w:w="6261"/>
      </w:tblGrid>
      <w:tr w14:paraId="64F695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972" w:type="dxa"/>
            <w:tcBorders>
              <w:tl2br w:val="nil"/>
              <w:tr2bl w:val="nil"/>
            </w:tcBorders>
            <w:vAlign w:val="center"/>
          </w:tcPr>
          <w:p w14:paraId="4327BB4E">
            <w:pPr>
              <w:keepNext w:val="0"/>
              <w:keepLines w:val="0"/>
              <w:pageBreakBefore w:val="0"/>
              <w:widowControl/>
              <w:kinsoku/>
              <w:wordWrap/>
              <w:overflowPunct/>
              <w:topLinePunct w:val="0"/>
              <w:bidi w:val="0"/>
              <w:snapToGrid/>
              <w:spacing w:line="240" w:lineRule="auto"/>
              <w:jc w:val="center"/>
              <w:textAlignment w:val="auto"/>
              <w:rPr>
                <w:rFonts w:hint="eastAsia" w:eastAsia="宋体"/>
                <w:b/>
                <w:bCs/>
                <w:sz w:val="21"/>
                <w:szCs w:val="21"/>
                <w:u w:val="single"/>
                <w:lang w:val="en-US" w:eastAsia="zh-CN"/>
              </w:rPr>
            </w:pPr>
            <w:r>
              <w:rPr>
                <w:rFonts w:hint="eastAsia"/>
                <w:b/>
                <w:bCs/>
                <w:sz w:val="21"/>
                <w:szCs w:val="21"/>
                <w:u w:val="single"/>
                <w:lang w:val="en-US" w:eastAsia="zh-CN"/>
              </w:rPr>
              <w:t>片区</w:t>
            </w:r>
          </w:p>
        </w:tc>
        <w:tc>
          <w:tcPr>
            <w:tcW w:w="1286" w:type="dxa"/>
            <w:tcBorders>
              <w:tl2br w:val="nil"/>
              <w:tr2bl w:val="nil"/>
            </w:tcBorders>
            <w:vAlign w:val="center"/>
          </w:tcPr>
          <w:p w14:paraId="0D97E072">
            <w:pPr>
              <w:keepNext w:val="0"/>
              <w:keepLines w:val="0"/>
              <w:pageBreakBefore w:val="0"/>
              <w:widowControl/>
              <w:kinsoku/>
              <w:wordWrap/>
              <w:overflowPunct/>
              <w:topLinePunct w:val="0"/>
              <w:bidi w:val="0"/>
              <w:snapToGrid/>
              <w:spacing w:line="240" w:lineRule="auto"/>
              <w:jc w:val="center"/>
              <w:textAlignment w:val="auto"/>
              <w:rPr>
                <w:rFonts w:hint="eastAsia" w:eastAsia="宋体"/>
                <w:b/>
                <w:bCs/>
                <w:sz w:val="21"/>
                <w:szCs w:val="21"/>
                <w:u w:val="single"/>
                <w:lang w:val="en-US" w:eastAsia="zh-CN"/>
              </w:rPr>
            </w:pPr>
            <w:r>
              <w:rPr>
                <w:rFonts w:hint="eastAsia"/>
                <w:b/>
                <w:bCs/>
                <w:sz w:val="21"/>
                <w:szCs w:val="21"/>
                <w:u w:val="single"/>
                <w:lang w:val="en-US" w:eastAsia="zh-CN"/>
              </w:rPr>
              <w:t>类别</w:t>
            </w:r>
          </w:p>
        </w:tc>
        <w:tc>
          <w:tcPr>
            <w:tcW w:w="6261" w:type="dxa"/>
            <w:tcBorders>
              <w:tl2br w:val="nil"/>
              <w:tr2bl w:val="nil"/>
            </w:tcBorders>
            <w:vAlign w:val="center"/>
          </w:tcPr>
          <w:p w14:paraId="53661B43">
            <w:pPr>
              <w:keepNext w:val="0"/>
              <w:keepLines w:val="0"/>
              <w:pageBreakBefore w:val="0"/>
              <w:widowControl/>
              <w:kinsoku/>
              <w:wordWrap/>
              <w:overflowPunct/>
              <w:topLinePunct w:val="0"/>
              <w:bidi w:val="0"/>
              <w:snapToGrid/>
              <w:spacing w:line="240" w:lineRule="auto"/>
              <w:jc w:val="center"/>
              <w:textAlignment w:val="auto"/>
              <w:rPr>
                <w:b/>
                <w:bCs/>
                <w:sz w:val="21"/>
                <w:szCs w:val="21"/>
                <w:u w:val="single"/>
              </w:rPr>
            </w:pPr>
            <w:r>
              <w:rPr>
                <w:rFonts w:hint="eastAsia"/>
                <w:b/>
                <w:bCs/>
                <w:sz w:val="21"/>
                <w:szCs w:val="21"/>
                <w:u w:val="single"/>
              </w:rPr>
              <w:t>产业生态环境准入清单</w:t>
            </w:r>
          </w:p>
        </w:tc>
      </w:tr>
      <w:tr w14:paraId="1F0DF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2" w:type="dxa"/>
            <w:vMerge w:val="restart"/>
            <w:tcBorders>
              <w:tl2br w:val="nil"/>
              <w:tr2bl w:val="nil"/>
            </w:tcBorders>
            <w:vAlign w:val="center"/>
          </w:tcPr>
          <w:p w14:paraId="0A4DEDEE">
            <w:pPr>
              <w:keepNext w:val="0"/>
              <w:keepLines w:val="0"/>
              <w:pageBreakBefore w:val="0"/>
              <w:widowControl/>
              <w:kinsoku/>
              <w:wordWrap/>
              <w:overflowPunct/>
              <w:topLinePunct w:val="0"/>
              <w:bidi w:val="0"/>
              <w:snapToGrid/>
              <w:spacing w:line="240" w:lineRule="auto"/>
              <w:jc w:val="center"/>
              <w:textAlignment w:val="auto"/>
              <w:rPr>
                <w:rFonts w:hint="eastAsia" w:eastAsia="宋体"/>
                <w:sz w:val="21"/>
                <w:szCs w:val="21"/>
                <w:u w:val="single"/>
                <w:lang w:val="en-US" w:eastAsia="zh-CN"/>
              </w:rPr>
            </w:pPr>
            <w:r>
              <w:rPr>
                <w:rFonts w:hint="eastAsia"/>
                <w:sz w:val="21"/>
                <w:szCs w:val="21"/>
                <w:u w:val="single"/>
                <w:lang w:val="en-US" w:eastAsia="zh-CN"/>
              </w:rPr>
              <w:t>核心区</w:t>
            </w:r>
          </w:p>
        </w:tc>
        <w:tc>
          <w:tcPr>
            <w:tcW w:w="1286" w:type="dxa"/>
            <w:tcBorders>
              <w:tl2br w:val="nil"/>
              <w:tr2bl w:val="nil"/>
            </w:tcBorders>
            <w:vAlign w:val="center"/>
          </w:tcPr>
          <w:p w14:paraId="4BD62A77">
            <w:pPr>
              <w:keepNext w:val="0"/>
              <w:keepLines w:val="0"/>
              <w:pageBreakBefore w:val="0"/>
              <w:widowControl/>
              <w:kinsoku/>
              <w:wordWrap/>
              <w:overflowPunct/>
              <w:topLinePunct w:val="0"/>
              <w:bidi w:val="0"/>
              <w:snapToGrid/>
              <w:spacing w:line="240" w:lineRule="auto"/>
              <w:jc w:val="center"/>
              <w:textAlignment w:val="auto"/>
              <w:rPr>
                <w:rFonts w:hint="eastAsia" w:eastAsia="宋体"/>
                <w:sz w:val="21"/>
                <w:szCs w:val="21"/>
                <w:u w:val="single"/>
                <w:lang w:val="en-US" w:eastAsia="zh-CN"/>
              </w:rPr>
            </w:pPr>
            <w:r>
              <w:rPr>
                <w:rFonts w:hint="eastAsia"/>
                <w:sz w:val="21"/>
                <w:szCs w:val="21"/>
                <w:u w:val="single"/>
                <w:lang w:val="en-US" w:eastAsia="zh-CN"/>
              </w:rPr>
              <w:t>产业定位</w:t>
            </w:r>
          </w:p>
        </w:tc>
        <w:tc>
          <w:tcPr>
            <w:tcW w:w="6261" w:type="dxa"/>
            <w:tcBorders>
              <w:tl2br w:val="nil"/>
              <w:tr2bl w:val="nil"/>
            </w:tcBorders>
            <w:vAlign w:val="center"/>
          </w:tcPr>
          <w:p w14:paraId="3FD9D79E">
            <w:pPr>
              <w:keepNext w:val="0"/>
              <w:keepLines w:val="0"/>
              <w:pageBreakBefore w:val="0"/>
              <w:widowControl/>
              <w:kinsoku/>
              <w:wordWrap/>
              <w:overflowPunct/>
              <w:topLinePunct w:val="0"/>
              <w:bidi w:val="0"/>
              <w:snapToGrid/>
              <w:spacing w:line="240" w:lineRule="auto"/>
              <w:jc w:val="both"/>
              <w:textAlignment w:val="auto"/>
              <w:rPr>
                <w:sz w:val="21"/>
                <w:szCs w:val="21"/>
                <w:u w:val="single"/>
              </w:rPr>
            </w:pPr>
            <w:r>
              <w:rPr>
                <w:rFonts w:hint="eastAsia"/>
                <w:sz w:val="21"/>
                <w:szCs w:val="21"/>
                <w:u w:val="single"/>
              </w:rPr>
              <w:t>主要发展先进装备制造业、食品医药、新材料等产业。</w:t>
            </w:r>
          </w:p>
        </w:tc>
      </w:tr>
      <w:tr w14:paraId="712517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2" w:type="dxa"/>
            <w:vMerge w:val="continue"/>
            <w:tcBorders>
              <w:tl2br w:val="nil"/>
              <w:tr2bl w:val="nil"/>
            </w:tcBorders>
            <w:vAlign w:val="center"/>
          </w:tcPr>
          <w:p w14:paraId="5B70E651">
            <w:pPr>
              <w:keepNext w:val="0"/>
              <w:keepLines w:val="0"/>
              <w:pageBreakBefore w:val="0"/>
              <w:widowControl/>
              <w:kinsoku/>
              <w:wordWrap/>
              <w:overflowPunct/>
              <w:topLinePunct w:val="0"/>
              <w:bidi w:val="0"/>
              <w:snapToGrid/>
              <w:spacing w:line="240" w:lineRule="auto"/>
              <w:jc w:val="center"/>
              <w:textAlignment w:val="auto"/>
              <w:rPr>
                <w:sz w:val="21"/>
                <w:szCs w:val="21"/>
                <w:u w:val="single"/>
              </w:rPr>
            </w:pPr>
          </w:p>
        </w:tc>
        <w:tc>
          <w:tcPr>
            <w:tcW w:w="1286" w:type="dxa"/>
            <w:tcBorders>
              <w:tl2br w:val="nil"/>
              <w:tr2bl w:val="nil"/>
            </w:tcBorders>
            <w:vAlign w:val="center"/>
          </w:tcPr>
          <w:p w14:paraId="48C9C085">
            <w:pPr>
              <w:keepNext w:val="0"/>
              <w:keepLines w:val="0"/>
              <w:pageBreakBefore w:val="0"/>
              <w:widowControl/>
              <w:kinsoku/>
              <w:wordWrap/>
              <w:overflowPunct/>
              <w:topLinePunct w:val="0"/>
              <w:bidi w:val="0"/>
              <w:snapToGrid/>
              <w:spacing w:line="240" w:lineRule="auto"/>
              <w:jc w:val="center"/>
              <w:textAlignment w:val="auto"/>
              <w:rPr>
                <w:rFonts w:hint="eastAsia" w:eastAsia="宋体"/>
                <w:sz w:val="21"/>
                <w:szCs w:val="21"/>
                <w:u w:val="single"/>
                <w:lang w:val="en-US" w:eastAsia="zh-CN"/>
              </w:rPr>
            </w:pPr>
            <w:r>
              <w:rPr>
                <w:rFonts w:hint="eastAsia"/>
                <w:sz w:val="21"/>
                <w:szCs w:val="21"/>
                <w:u w:val="single"/>
                <w:lang w:val="en-US" w:eastAsia="zh-CN"/>
              </w:rPr>
              <w:t>限制类</w:t>
            </w:r>
          </w:p>
        </w:tc>
        <w:tc>
          <w:tcPr>
            <w:tcW w:w="6261" w:type="dxa"/>
            <w:tcBorders>
              <w:tl2br w:val="nil"/>
              <w:tr2bl w:val="nil"/>
            </w:tcBorders>
            <w:vAlign w:val="center"/>
          </w:tcPr>
          <w:p w14:paraId="46FD7B13">
            <w:pPr>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1、属于《产业结构调整指导目录》限制类工艺和设备的项目。</w:t>
            </w:r>
          </w:p>
          <w:p w14:paraId="6B7D74C8">
            <w:pPr>
              <w:pStyle w:val="38"/>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lang w:val="en-US" w:eastAsia="zh-CN"/>
              </w:rPr>
              <w:t>2</w:t>
            </w:r>
            <w:r>
              <w:rPr>
                <w:rFonts w:hint="eastAsia"/>
                <w:sz w:val="21"/>
                <w:szCs w:val="21"/>
                <w:u w:val="single"/>
              </w:rPr>
              <w:t>、邻近居住用地、学校等敏感点相邻的工业用地限制引入气型污染大、噪声大的企业，建议优先布局气型污染轻、噪声小的产业。</w:t>
            </w:r>
          </w:p>
          <w:p w14:paraId="768C7C5A">
            <w:pPr>
              <w:pStyle w:val="38"/>
              <w:keepNext w:val="0"/>
              <w:keepLines w:val="0"/>
              <w:pageBreakBefore w:val="0"/>
              <w:widowControl/>
              <w:kinsoku/>
              <w:wordWrap/>
              <w:overflowPunct/>
              <w:topLinePunct w:val="0"/>
              <w:bidi w:val="0"/>
              <w:snapToGrid/>
              <w:spacing w:line="240" w:lineRule="auto"/>
              <w:jc w:val="both"/>
              <w:textAlignment w:val="auto"/>
              <w:rPr>
                <w:sz w:val="21"/>
                <w:szCs w:val="21"/>
                <w:u w:val="single"/>
              </w:rPr>
            </w:pPr>
            <w:r>
              <w:rPr>
                <w:rFonts w:hint="eastAsia"/>
                <w:sz w:val="21"/>
                <w:szCs w:val="21"/>
                <w:u w:val="single"/>
              </w:rPr>
              <w:t>3、严格限制两高项目入园。</w:t>
            </w:r>
          </w:p>
        </w:tc>
      </w:tr>
      <w:tr w14:paraId="6B15ED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2" w:type="dxa"/>
            <w:vMerge w:val="continue"/>
            <w:tcBorders>
              <w:tl2br w:val="nil"/>
              <w:tr2bl w:val="nil"/>
            </w:tcBorders>
            <w:vAlign w:val="center"/>
          </w:tcPr>
          <w:p w14:paraId="139C2001">
            <w:pPr>
              <w:keepNext w:val="0"/>
              <w:keepLines w:val="0"/>
              <w:pageBreakBefore w:val="0"/>
              <w:widowControl/>
              <w:kinsoku/>
              <w:wordWrap/>
              <w:overflowPunct/>
              <w:topLinePunct w:val="0"/>
              <w:bidi w:val="0"/>
              <w:snapToGrid/>
              <w:spacing w:line="240" w:lineRule="auto"/>
              <w:jc w:val="center"/>
              <w:textAlignment w:val="auto"/>
              <w:rPr>
                <w:sz w:val="21"/>
                <w:szCs w:val="21"/>
                <w:u w:val="single"/>
              </w:rPr>
            </w:pPr>
          </w:p>
        </w:tc>
        <w:tc>
          <w:tcPr>
            <w:tcW w:w="1286" w:type="dxa"/>
            <w:tcBorders>
              <w:tl2br w:val="nil"/>
              <w:tr2bl w:val="nil"/>
            </w:tcBorders>
            <w:vAlign w:val="center"/>
          </w:tcPr>
          <w:p w14:paraId="2F9128C9">
            <w:pPr>
              <w:keepNext w:val="0"/>
              <w:keepLines w:val="0"/>
              <w:pageBreakBefore w:val="0"/>
              <w:widowControl/>
              <w:kinsoku/>
              <w:wordWrap/>
              <w:overflowPunct/>
              <w:topLinePunct w:val="0"/>
              <w:bidi w:val="0"/>
              <w:snapToGrid/>
              <w:spacing w:line="240" w:lineRule="auto"/>
              <w:jc w:val="center"/>
              <w:textAlignment w:val="auto"/>
              <w:rPr>
                <w:rFonts w:hint="eastAsia" w:eastAsia="宋体"/>
                <w:sz w:val="21"/>
                <w:szCs w:val="21"/>
                <w:u w:val="single"/>
                <w:lang w:val="en-US" w:eastAsia="zh-CN"/>
              </w:rPr>
            </w:pPr>
            <w:r>
              <w:rPr>
                <w:rFonts w:hint="eastAsia"/>
                <w:sz w:val="21"/>
                <w:szCs w:val="21"/>
                <w:u w:val="single"/>
                <w:lang w:val="en-US" w:eastAsia="zh-CN"/>
              </w:rPr>
              <w:t>禁止类</w:t>
            </w:r>
          </w:p>
        </w:tc>
        <w:tc>
          <w:tcPr>
            <w:tcW w:w="6261" w:type="dxa"/>
            <w:tcBorders>
              <w:tl2br w:val="nil"/>
              <w:tr2bl w:val="nil"/>
            </w:tcBorders>
            <w:vAlign w:val="center"/>
          </w:tcPr>
          <w:p w14:paraId="0A314F38">
            <w:pPr>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1、禁止引进《产业结构调整指导目录》淘汰类工艺和设备的项目。</w:t>
            </w:r>
          </w:p>
          <w:p w14:paraId="7DFC04B8">
            <w:pPr>
              <w:pStyle w:val="38"/>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2、根据国、省政策要求必须入化工园区的项目，先进装备制造业禁止引进集中电镀；新材料产业禁止新引进基础化学原料项目（单纯物理分离、物理提纯、混合、分装的除外）、火法冶炼项目（合金制造除外）；禁止新引进涉及《有毒有害水污染物名录》排放的项目；禁止新引进涉及持久性有机污染物的化学药品原料药的项目；禁止新引进涉及第一类重金属污染物排放的项目。</w:t>
            </w:r>
          </w:p>
          <w:p w14:paraId="72E9A674">
            <w:pPr>
              <w:pStyle w:val="38"/>
              <w:keepNext w:val="0"/>
              <w:keepLines w:val="0"/>
              <w:pageBreakBefore w:val="0"/>
              <w:widowControl/>
              <w:kinsoku/>
              <w:wordWrap/>
              <w:overflowPunct/>
              <w:topLinePunct w:val="0"/>
              <w:bidi w:val="0"/>
              <w:snapToGrid/>
              <w:spacing w:line="240" w:lineRule="auto"/>
              <w:jc w:val="both"/>
              <w:textAlignment w:val="auto"/>
              <w:rPr>
                <w:rFonts w:hint="eastAsia" w:eastAsiaTheme="minorEastAsia"/>
                <w:sz w:val="21"/>
                <w:szCs w:val="21"/>
                <w:u w:val="single"/>
                <w:lang w:val="en-US" w:eastAsia="zh-CN"/>
              </w:rPr>
            </w:pPr>
            <w:r>
              <w:rPr>
                <w:rFonts w:hint="eastAsia"/>
                <w:sz w:val="21"/>
                <w:szCs w:val="21"/>
                <w:u w:val="single"/>
                <w:lang w:val="en-US" w:eastAsia="zh-CN"/>
              </w:rPr>
              <w:t>3、禁止新引入原辅材料或产品中含有《重点管控新污染物清单》现行版中禁止生产、加工使用的新污染物的项目；禁燃区禁止审批、新建、扩建、改建燃用高污染燃料的燃烧设施，禁止燃用高污染燃料。</w:t>
            </w:r>
          </w:p>
        </w:tc>
      </w:tr>
      <w:tr w14:paraId="73987B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2" w:type="dxa"/>
            <w:vMerge w:val="restart"/>
            <w:tcBorders>
              <w:tl2br w:val="nil"/>
              <w:tr2bl w:val="nil"/>
            </w:tcBorders>
            <w:vAlign w:val="center"/>
          </w:tcPr>
          <w:p w14:paraId="15546313">
            <w:pPr>
              <w:keepNext w:val="0"/>
              <w:keepLines w:val="0"/>
              <w:pageBreakBefore w:val="0"/>
              <w:widowControl/>
              <w:kinsoku/>
              <w:wordWrap/>
              <w:overflowPunct/>
              <w:topLinePunct w:val="0"/>
              <w:bidi w:val="0"/>
              <w:snapToGrid/>
              <w:spacing w:line="240" w:lineRule="auto"/>
              <w:jc w:val="center"/>
              <w:textAlignment w:val="auto"/>
              <w:rPr>
                <w:rFonts w:hint="eastAsia"/>
                <w:sz w:val="21"/>
                <w:szCs w:val="21"/>
                <w:u w:val="single"/>
                <w:lang w:val="en-US" w:eastAsia="zh-CN"/>
              </w:rPr>
            </w:pPr>
            <w:r>
              <w:rPr>
                <w:rFonts w:hint="eastAsia"/>
                <w:sz w:val="21"/>
                <w:szCs w:val="21"/>
                <w:u w:val="single"/>
                <w:lang w:val="en-US" w:eastAsia="zh-CN"/>
              </w:rPr>
              <w:t>东城</w:t>
            </w:r>
          </w:p>
          <w:p w14:paraId="7DDB2652">
            <w:pPr>
              <w:keepNext w:val="0"/>
              <w:keepLines w:val="0"/>
              <w:pageBreakBefore w:val="0"/>
              <w:widowControl/>
              <w:kinsoku/>
              <w:wordWrap/>
              <w:overflowPunct/>
              <w:topLinePunct w:val="0"/>
              <w:bidi w:val="0"/>
              <w:snapToGrid/>
              <w:spacing w:line="240" w:lineRule="auto"/>
              <w:jc w:val="center"/>
              <w:textAlignment w:val="auto"/>
              <w:rPr>
                <w:rFonts w:hint="default" w:eastAsia="宋体"/>
                <w:sz w:val="21"/>
                <w:szCs w:val="21"/>
                <w:u w:val="single"/>
                <w:lang w:val="en-US" w:eastAsia="zh-CN"/>
              </w:rPr>
            </w:pPr>
            <w:r>
              <w:rPr>
                <w:rFonts w:hint="eastAsia"/>
                <w:sz w:val="21"/>
                <w:szCs w:val="21"/>
                <w:u w:val="single"/>
                <w:lang w:val="en-US" w:eastAsia="zh-CN"/>
              </w:rPr>
              <w:t>片区</w:t>
            </w:r>
          </w:p>
        </w:tc>
        <w:tc>
          <w:tcPr>
            <w:tcW w:w="1286" w:type="dxa"/>
            <w:tcBorders>
              <w:tl2br w:val="nil"/>
              <w:tr2bl w:val="nil"/>
            </w:tcBorders>
            <w:vAlign w:val="center"/>
          </w:tcPr>
          <w:p w14:paraId="5270C045">
            <w:pPr>
              <w:keepNext w:val="0"/>
              <w:keepLines w:val="0"/>
              <w:pageBreakBefore w:val="0"/>
              <w:widowControl/>
              <w:kinsoku/>
              <w:wordWrap/>
              <w:overflowPunct/>
              <w:topLinePunct w:val="0"/>
              <w:bidi w:val="0"/>
              <w:snapToGrid/>
              <w:spacing w:line="240" w:lineRule="auto"/>
              <w:jc w:val="center"/>
              <w:textAlignment w:val="auto"/>
              <w:rPr>
                <w:sz w:val="21"/>
                <w:szCs w:val="21"/>
                <w:u w:val="single"/>
              </w:rPr>
            </w:pPr>
            <w:r>
              <w:rPr>
                <w:rFonts w:hint="eastAsia"/>
                <w:sz w:val="21"/>
                <w:szCs w:val="21"/>
                <w:u w:val="single"/>
                <w:lang w:val="en-US" w:eastAsia="zh-CN"/>
              </w:rPr>
              <w:t>产业定位</w:t>
            </w:r>
          </w:p>
        </w:tc>
        <w:tc>
          <w:tcPr>
            <w:tcW w:w="6261" w:type="dxa"/>
            <w:tcBorders>
              <w:tl2br w:val="nil"/>
              <w:tr2bl w:val="nil"/>
            </w:tcBorders>
            <w:vAlign w:val="center"/>
          </w:tcPr>
          <w:p w14:paraId="573F8AA0">
            <w:pPr>
              <w:keepNext w:val="0"/>
              <w:keepLines w:val="0"/>
              <w:pageBreakBefore w:val="0"/>
              <w:widowControl/>
              <w:kinsoku/>
              <w:wordWrap/>
              <w:overflowPunct/>
              <w:topLinePunct w:val="0"/>
              <w:bidi w:val="0"/>
              <w:snapToGrid/>
              <w:spacing w:line="240" w:lineRule="auto"/>
              <w:jc w:val="both"/>
              <w:textAlignment w:val="auto"/>
              <w:rPr>
                <w:sz w:val="21"/>
                <w:szCs w:val="21"/>
                <w:u w:val="single"/>
              </w:rPr>
            </w:pPr>
            <w:r>
              <w:rPr>
                <w:rFonts w:hint="eastAsia"/>
                <w:sz w:val="21"/>
                <w:szCs w:val="21"/>
                <w:u w:val="single"/>
              </w:rPr>
              <w:t>主要发展先进装备制造业。</w:t>
            </w:r>
          </w:p>
        </w:tc>
      </w:tr>
      <w:tr w14:paraId="20169D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2" w:type="dxa"/>
            <w:vMerge w:val="continue"/>
            <w:tcBorders>
              <w:tl2br w:val="nil"/>
              <w:tr2bl w:val="nil"/>
            </w:tcBorders>
            <w:vAlign w:val="center"/>
          </w:tcPr>
          <w:p w14:paraId="23D853B8">
            <w:pPr>
              <w:keepNext w:val="0"/>
              <w:keepLines w:val="0"/>
              <w:pageBreakBefore w:val="0"/>
              <w:widowControl/>
              <w:kinsoku/>
              <w:wordWrap/>
              <w:overflowPunct/>
              <w:topLinePunct w:val="0"/>
              <w:bidi w:val="0"/>
              <w:snapToGrid/>
              <w:spacing w:line="240" w:lineRule="auto"/>
              <w:jc w:val="center"/>
              <w:textAlignment w:val="auto"/>
              <w:rPr>
                <w:sz w:val="21"/>
                <w:szCs w:val="21"/>
                <w:u w:val="single"/>
              </w:rPr>
            </w:pPr>
            <w:bookmarkStart w:id="129" w:name="_Toc26483"/>
          </w:p>
        </w:tc>
        <w:tc>
          <w:tcPr>
            <w:tcW w:w="1286" w:type="dxa"/>
            <w:tcBorders>
              <w:tl2br w:val="nil"/>
              <w:tr2bl w:val="nil"/>
            </w:tcBorders>
            <w:vAlign w:val="center"/>
          </w:tcPr>
          <w:p w14:paraId="6652DE39">
            <w:pPr>
              <w:keepNext w:val="0"/>
              <w:keepLines w:val="0"/>
              <w:pageBreakBefore w:val="0"/>
              <w:widowControl/>
              <w:kinsoku/>
              <w:wordWrap/>
              <w:overflowPunct/>
              <w:topLinePunct w:val="0"/>
              <w:bidi w:val="0"/>
              <w:snapToGrid/>
              <w:spacing w:line="240" w:lineRule="auto"/>
              <w:jc w:val="center"/>
              <w:textAlignment w:val="auto"/>
              <w:rPr>
                <w:sz w:val="21"/>
                <w:szCs w:val="21"/>
                <w:u w:val="single"/>
              </w:rPr>
            </w:pPr>
            <w:r>
              <w:rPr>
                <w:rFonts w:hint="eastAsia"/>
                <w:sz w:val="21"/>
                <w:szCs w:val="21"/>
                <w:u w:val="single"/>
                <w:lang w:val="en-US" w:eastAsia="zh-CN"/>
              </w:rPr>
              <w:t>限制类</w:t>
            </w:r>
          </w:p>
        </w:tc>
        <w:tc>
          <w:tcPr>
            <w:tcW w:w="6261" w:type="dxa"/>
            <w:tcBorders>
              <w:tl2br w:val="nil"/>
              <w:tr2bl w:val="nil"/>
            </w:tcBorders>
            <w:vAlign w:val="center"/>
          </w:tcPr>
          <w:p w14:paraId="64E55B1B">
            <w:pPr>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1、《产业结构调整指导目录》限制类工艺和设备的项目。</w:t>
            </w:r>
          </w:p>
          <w:p w14:paraId="76334C58">
            <w:pPr>
              <w:pStyle w:val="38"/>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2、邻近居住用地、学校等敏感点相邻的工业用地限制引入气型污染大、噪声大的企业，建议优先布局气型污染轻、噪声小的产业。</w:t>
            </w:r>
          </w:p>
          <w:p w14:paraId="7D7C5B26">
            <w:pPr>
              <w:pStyle w:val="38"/>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3、严格限制两高项目入园。</w:t>
            </w:r>
          </w:p>
        </w:tc>
      </w:tr>
      <w:tr w14:paraId="127CC8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2" w:type="dxa"/>
            <w:vMerge w:val="continue"/>
            <w:tcBorders>
              <w:tl2br w:val="nil"/>
              <w:tr2bl w:val="nil"/>
            </w:tcBorders>
            <w:vAlign w:val="center"/>
          </w:tcPr>
          <w:p w14:paraId="0369C43F">
            <w:pPr>
              <w:keepNext w:val="0"/>
              <w:keepLines w:val="0"/>
              <w:pageBreakBefore w:val="0"/>
              <w:widowControl/>
              <w:kinsoku/>
              <w:wordWrap/>
              <w:overflowPunct/>
              <w:topLinePunct w:val="0"/>
              <w:bidi w:val="0"/>
              <w:snapToGrid/>
              <w:spacing w:line="240" w:lineRule="auto"/>
              <w:jc w:val="center"/>
              <w:textAlignment w:val="auto"/>
              <w:rPr>
                <w:sz w:val="21"/>
                <w:szCs w:val="21"/>
                <w:u w:val="single"/>
              </w:rPr>
            </w:pPr>
          </w:p>
        </w:tc>
        <w:tc>
          <w:tcPr>
            <w:tcW w:w="1286" w:type="dxa"/>
            <w:tcBorders>
              <w:tl2br w:val="nil"/>
              <w:tr2bl w:val="nil"/>
            </w:tcBorders>
            <w:vAlign w:val="center"/>
          </w:tcPr>
          <w:p w14:paraId="0820D8B2">
            <w:pPr>
              <w:keepNext w:val="0"/>
              <w:keepLines w:val="0"/>
              <w:pageBreakBefore w:val="0"/>
              <w:widowControl/>
              <w:kinsoku/>
              <w:wordWrap/>
              <w:overflowPunct/>
              <w:topLinePunct w:val="0"/>
              <w:bidi w:val="0"/>
              <w:snapToGrid/>
              <w:spacing w:line="240" w:lineRule="auto"/>
              <w:jc w:val="center"/>
              <w:textAlignment w:val="auto"/>
              <w:rPr>
                <w:sz w:val="21"/>
                <w:szCs w:val="21"/>
                <w:u w:val="single"/>
              </w:rPr>
            </w:pPr>
            <w:r>
              <w:rPr>
                <w:rFonts w:hint="eastAsia"/>
                <w:sz w:val="21"/>
                <w:szCs w:val="21"/>
                <w:u w:val="single"/>
                <w:lang w:val="en-US" w:eastAsia="zh-CN"/>
              </w:rPr>
              <w:t>禁止类</w:t>
            </w:r>
          </w:p>
        </w:tc>
        <w:tc>
          <w:tcPr>
            <w:tcW w:w="6261" w:type="dxa"/>
            <w:tcBorders>
              <w:tl2br w:val="nil"/>
              <w:tr2bl w:val="nil"/>
            </w:tcBorders>
            <w:vAlign w:val="center"/>
          </w:tcPr>
          <w:p w14:paraId="4D9663C4">
            <w:pPr>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lang w:val="en-US" w:eastAsia="zh-CN"/>
              </w:rPr>
              <w:t>1</w:t>
            </w:r>
            <w:r>
              <w:rPr>
                <w:rFonts w:hint="eastAsia"/>
                <w:sz w:val="21"/>
                <w:szCs w:val="21"/>
                <w:u w:val="single"/>
              </w:rPr>
              <w:t>、禁止引进《产业结构调整指导目录》淘汰类工艺和设备的项目。</w:t>
            </w:r>
          </w:p>
          <w:p w14:paraId="0388D273">
            <w:pPr>
              <w:pStyle w:val="38"/>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2、根据国、省政策要求必须入化工园区的项目，禁止引进集中电镀、火法冶炼项目（合金制造除外）；禁止新引进涉及《有毒有害水污染物名录》排放的项目；禁止新引进涉及第一类重金属污染物排放的项目。</w:t>
            </w:r>
          </w:p>
          <w:p w14:paraId="59221A87">
            <w:pPr>
              <w:pStyle w:val="38"/>
              <w:keepNext w:val="0"/>
              <w:keepLines w:val="0"/>
              <w:pageBreakBefore w:val="0"/>
              <w:widowControl/>
              <w:kinsoku/>
              <w:wordWrap/>
              <w:overflowPunct/>
              <w:topLinePunct w:val="0"/>
              <w:bidi w:val="0"/>
              <w:snapToGrid/>
              <w:spacing w:line="240" w:lineRule="auto"/>
              <w:jc w:val="both"/>
              <w:textAlignment w:val="auto"/>
              <w:rPr>
                <w:rFonts w:hint="eastAsia"/>
                <w:sz w:val="21"/>
                <w:szCs w:val="21"/>
                <w:u w:val="single"/>
              </w:rPr>
            </w:pPr>
            <w:r>
              <w:rPr>
                <w:rFonts w:hint="eastAsia"/>
                <w:sz w:val="21"/>
                <w:szCs w:val="21"/>
                <w:u w:val="single"/>
              </w:rPr>
              <w:t>3、禁止新引入原辅材料或产品中含有《重点管控新污染物清单》现行版中禁止生产、加工使用的新污染物的项目；禁燃区禁止审批、新建、</w:t>
            </w:r>
            <w:r>
              <w:rPr>
                <w:rFonts w:hint="eastAsia"/>
                <w:sz w:val="21"/>
                <w:szCs w:val="21"/>
                <w:u w:val="single"/>
                <w:lang w:val="en-US" w:eastAsia="zh-CN"/>
              </w:rPr>
              <w:t>改</w:t>
            </w:r>
            <w:r>
              <w:rPr>
                <w:rFonts w:hint="eastAsia"/>
                <w:sz w:val="21"/>
                <w:szCs w:val="21"/>
                <w:u w:val="single"/>
              </w:rPr>
              <w:t>扩建燃用高污染燃料的燃烧设施，禁止燃用高污染燃料</w:t>
            </w:r>
          </w:p>
        </w:tc>
      </w:tr>
    </w:tbl>
    <w:p w14:paraId="0133E7B6">
      <w:pPr>
        <w:pStyle w:val="3"/>
        <w:numPr>
          <w:ilvl w:val="1"/>
          <w:numId w:val="0"/>
        </w:numPr>
        <w:ind w:left="567" w:leftChars="0" w:hanging="567" w:firstLineChars="0"/>
        <w:rPr>
          <w:sz w:val="28"/>
          <w:szCs w:val="28"/>
        </w:rPr>
      </w:pPr>
      <w:r>
        <w:rPr>
          <w:rFonts w:hint="default" w:ascii="宋体" w:hAnsi="宋体" w:eastAsia="宋体" w:cs="宋体"/>
          <w:b/>
          <w:bCs/>
          <w:kern w:val="2"/>
          <w:sz w:val="28"/>
          <w:szCs w:val="28"/>
          <w:lang w:val="en-US" w:eastAsia="zh-CN" w:bidi="ar-SA"/>
        </w:rPr>
        <w:t>5.4</w:t>
      </w:r>
      <w:r>
        <w:rPr>
          <w:rFonts w:hint="eastAsia"/>
          <w:sz w:val="28"/>
          <w:szCs w:val="28"/>
        </w:rPr>
        <w:t>湘潭县顺业污水处理有限公司污水处理厂概况</w:t>
      </w:r>
      <w:bookmarkEnd w:id="129"/>
    </w:p>
    <w:p w14:paraId="47358ACD">
      <w:pPr>
        <w:ind w:firstLine="480"/>
      </w:pPr>
      <w:r>
        <w:rPr>
          <w:rFonts w:hint="eastAsia"/>
        </w:rPr>
        <w:t>湘潭县顺业污水处理有限公司污水处理厂</w:t>
      </w:r>
      <w:r>
        <w:t>建设单位</w:t>
      </w:r>
      <w:r>
        <w:rPr>
          <w:rFonts w:hint="eastAsia"/>
        </w:rPr>
        <w:t>为</w:t>
      </w:r>
      <w:r>
        <w:t>湘潭县顺业污水处理有限公司。</w:t>
      </w:r>
      <w:r>
        <w:rPr>
          <w:rFonts w:hint="eastAsia"/>
        </w:rPr>
        <w:t>湘潭县顺业污水处理有限公司污水处理厂</w:t>
      </w:r>
      <w:r>
        <w:t>位于县城临湘江南岸的邯郸港，银杏北路与金桂北路之间，占地面积45980m</w:t>
      </w:r>
      <w:r>
        <w:rPr>
          <w:vertAlign w:val="superscript"/>
        </w:rPr>
        <w:t>2</w:t>
      </w:r>
      <w:r>
        <w:t>（合69.87亩）。</w:t>
      </w:r>
      <w:r>
        <w:rPr>
          <w:rFonts w:hint="eastAsia"/>
        </w:rPr>
        <w:t>湘潭县顺业污水处理有限公司污水处理厂</w:t>
      </w:r>
      <w:r>
        <w:t>总设计规模为5万t/d，其中一期工程污水处理规模为2.5万t/d，于2009年9月建成投产，2009年10月通过了湘潭市环保局的验收；二期工程污水处理规模2.5万t/d，于2014年1月建成投产，2014年2月通过了湘潭市环保局的验收，现状一、二期总处理规模为5万t/d，出水水质达《城镇污水处理厂污染物排放标准》（GB18918—2002）一级A标准后，尾水排入湘江易江湾江段。</w:t>
      </w:r>
    </w:p>
    <w:p w14:paraId="38A70B7D">
      <w:pPr>
        <w:ind w:firstLine="480"/>
      </w:pPr>
      <w:r>
        <w:t>根据湘潭县排水专项规划，湘潭县分为4个排水分区：老城区汇水区、涓水汇水区、向东渠西汇水区和向东渠东汇水区。湘潭污水处理厂主要服务范围为老城区和向东渠西岩的汇水区域，其中一期工程服务范围主要集中在邯郸港、关阳港、云水渠港三个排水区，二期工程服务范围为新城区。</w:t>
      </w:r>
      <w:r>
        <w:rPr>
          <w:rFonts w:hint="eastAsia"/>
        </w:rPr>
        <w:t>湘潭县顺业污水处理有限公司污水处理厂</w:t>
      </w:r>
      <w:r>
        <w:t>废水来源主要为纳污片区内的生活污水及湘潭天易经济开发区内部分企业的工业废水，</w:t>
      </w:r>
      <w:r>
        <w:rPr>
          <w:rFonts w:hint="eastAsia"/>
        </w:rPr>
        <w:t>湘潭县顺业污水处理有限公司污水处理厂</w:t>
      </w:r>
      <w:r>
        <w:t>一期、二期工程均采用A</w:t>
      </w:r>
      <w:r>
        <w:rPr>
          <w:vertAlign w:val="superscript"/>
        </w:rPr>
        <w:t>2</w:t>
      </w:r>
      <w:r>
        <w:t>/O氧化沟工艺处理各类污水。</w:t>
      </w:r>
    </w:p>
    <w:p w14:paraId="61859513">
      <w:pPr>
        <w:ind w:firstLine="480"/>
      </w:pPr>
      <w:r>
        <w:t>根据湘潭县排水专项规划，本工程所在区域为</w:t>
      </w:r>
      <w:r>
        <w:rPr>
          <w:rFonts w:hint="eastAsia"/>
        </w:rPr>
        <w:t>湘潭县顺业污水处理有限公司污水处理厂</w:t>
      </w:r>
      <w:r>
        <w:t>纳污范围，产生生产生活污水进入</w:t>
      </w:r>
      <w:r>
        <w:rPr>
          <w:rFonts w:hint="eastAsia"/>
        </w:rPr>
        <w:t>湘潭县顺业污水处理有限公司污水处理厂</w:t>
      </w:r>
      <w:r>
        <w:t>处理。</w:t>
      </w:r>
    </w:p>
    <w:p w14:paraId="611C55D5">
      <w:pPr>
        <w:pStyle w:val="3"/>
        <w:numPr>
          <w:ilvl w:val="1"/>
          <w:numId w:val="0"/>
        </w:numPr>
        <w:ind w:left="567" w:leftChars="0" w:hanging="567" w:firstLineChars="0"/>
        <w:rPr>
          <w:sz w:val="28"/>
          <w:szCs w:val="28"/>
        </w:rPr>
      </w:pPr>
      <w:bookmarkStart w:id="130" w:name="_Toc20870"/>
      <w:r>
        <w:rPr>
          <w:rFonts w:hint="default" w:ascii="宋体" w:hAnsi="宋体" w:eastAsia="宋体" w:cs="宋体"/>
          <w:b/>
          <w:bCs/>
          <w:kern w:val="2"/>
          <w:sz w:val="28"/>
          <w:szCs w:val="28"/>
          <w:lang w:val="en-US" w:eastAsia="zh-CN" w:bidi="ar-SA"/>
        </w:rPr>
        <w:t>5.5</w:t>
      </w:r>
      <w:r>
        <w:rPr>
          <w:rFonts w:hint="eastAsia"/>
          <w:sz w:val="28"/>
          <w:szCs w:val="28"/>
        </w:rPr>
        <w:t>区域污染源调查</w:t>
      </w:r>
      <w:bookmarkEnd w:id="130"/>
    </w:p>
    <w:p w14:paraId="4C30E455">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5.5.1</w:t>
      </w:r>
      <w:r>
        <w:rPr>
          <w:rFonts w:hint="eastAsia"/>
        </w:rPr>
        <w:t>已建项目污染源统计</w:t>
      </w:r>
    </w:p>
    <w:p w14:paraId="5CAEC1DB">
      <w:pPr>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t>项目位于湘潭天易经济开发区内，</w:t>
      </w:r>
      <w:r>
        <w:rPr>
          <w:rFonts w:hint="eastAsia"/>
        </w:rPr>
        <w:t>根据《湖南湘潭天易经济开发区环境影响跟踪评价报告书》统计目前，区域内主要排污企业涉及电力、热力、燃气及水生产和供应业，电气机械和器材制造业，非金属矿物制品业，废弃资源综合利用业，化学原料和化学制品制造业，机动车、电子产品和日用产品修理业，家具制造业，金属制品业，酒、饮料和精制茶制造业，农副食品加工业，其他服务业，汽车制造业，食品制造业，铁路、船舶、航空航天和其他运输设备制造业，通用设备制造业，文教、工美、体育和娱乐用品制造业，橡胶和塑料制品业，医药制造业，印刷和记录媒介复制业，有色金属冶炼和压延加工业，专用设备制造业和装卸搬运和仓储业等产业。国家核定范围内131家企业正在运行，4家企业在建，7家企业停产；。</w:t>
      </w:r>
      <w:r>
        <w:t>天易经开区</w:t>
      </w:r>
      <w:r>
        <w:rPr>
          <w:rFonts w:hint="eastAsia"/>
        </w:rPr>
        <w:t>范围</w:t>
      </w:r>
      <w:r>
        <w:t>内</w:t>
      </w:r>
      <w:r>
        <w:rPr>
          <w:rFonts w:hint="eastAsia"/>
        </w:rPr>
        <w:t>运行</w:t>
      </w:r>
      <w:r>
        <w:t>企业</w:t>
      </w:r>
      <w:r>
        <w:rPr>
          <w:rFonts w:hint="eastAsia"/>
        </w:rPr>
        <w:t>污染物排放总量统计表如下：</w:t>
      </w:r>
    </w:p>
    <w:p w14:paraId="746A1839">
      <w:pPr>
        <w:pStyle w:val="51"/>
        <w:numPr>
          <w:ilvl w:val="5"/>
          <w:numId w:val="0"/>
        </w:numPr>
        <w:tabs>
          <w:tab w:val="left" w:pos="4395"/>
        </w:tabs>
        <w:spacing w:before="156"/>
        <w:ind w:left="4700" w:leftChars="0" w:hanging="6804"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表5.5-1 </w:t>
      </w:r>
      <w:r>
        <w:rPr>
          <w:rFonts w:hint="eastAsia" w:ascii="宋体" w:hAnsi="宋体" w:cs="宋体"/>
          <w:b/>
          <w:bCs/>
          <w:color w:val="auto"/>
          <w:kern w:val="2"/>
          <w:sz w:val="21"/>
          <w:szCs w:val="21"/>
          <w:lang w:val="en-US" w:eastAsia="zh-CN" w:bidi="ar-SA"/>
        </w:rPr>
        <w:t xml:space="preserve">  </w:t>
      </w:r>
      <w:r>
        <w:rPr>
          <w:rFonts w:hint="eastAsia"/>
        </w:rPr>
        <w:t>天易经开区范围内运行企业污染物排放统计汇总表</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89"/>
        <w:gridCol w:w="900"/>
        <w:gridCol w:w="902"/>
        <w:gridCol w:w="809"/>
        <w:gridCol w:w="901"/>
        <w:gridCol w:w="808"/>
        <w:gridCol w:w="808"/>
        <w:gridCol w:w="893"/>
        <w:gridCol w:w="740"/>
        <w:gridCol w:w="746"/>
        <w:gridCol w:w="678"/>
        <w:gridCol w:w="712"/>
        <w:gridCol w:w="907"/>
        <w:gridCol w:w="1086"/>
        <w:gridCol w:w="995"/>
      </w:tblGrid>
      <w:tr w14:paraId="3E8C1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vMerge w:val="restart"/>
            <w:vAlign w:val="center"/>
          </w:tcPr>
          <w:p w14:paraId="412B6F1C">
            <w:pPr>
              <w:pStyle w:val="89"/>
            </w:pPr>
            <w:r>
              <w:t>产业</w:t>
            </w:r>
          </w:p>
        </w:tc>
        <w:tc>
          <w:tcPr>
            <w:tcW w:w="317" w:type="pct"/>
            <w:vMerge w:val="restart"/>
            <w:vAlign w:val="center"/>
          </w:tcPr>
          <w:p w14:paraId="0ACE972A">
            <w:pPr>
              <w:pStyle w:val="89"/>
            </w:pPr>
            <w:r>
              <w:t>废水量(万t/a)</w:t>
            </w:r>
          </w:p>
        </w:tc>
        <w:tc>
          <w:tcPr>
            <w:tcW w:w="603" w:type="pct"/>
            <w:gridSpan w:val="2"/>
            <w:shd w:val="clear" w:color="auto" w:fill="auto"/>
            <w:vAlign w:val="center"/>
          </w:tcPr>
          <w:p w14:paraId="64D51EEB">
            <w:pPr>
              <w:pStyle w:val="89"/>
            </w:pPr>
            <w:r>
              <w:t>废水污染物（t/a）</w:t>
            </w:r>
          </w:p>
        </w:tc>
        <w:tc>
          <w:tcPr>
            <w:tcW w:w="2537" w:type="pct"/>
            <w:gridSpan w:val="9"/>
            <w:vAlign w:val="center"/>
          </w:tcPr>
          <w:p w14:paraId="6AF7EE35">
            <w:pPr>
              <w:pStyle w:val="89"/>
            </w:pPr>
            <w:r>
              <w:t>废气（t/a）</w:t>
            </w:r>
          </w:p>
        </w:tc>
        <w:tc>
          <w:tcPr>
            <w:tcW w:w="734" w:type="pct"/>
            <w:gridSpan w:val="2"/>
            <w:vAlign w:val="center"/>
          </w:tcPr>
          <w:p w14:paraId="423D6CE2">
            <w:pPr>
              <w:pStyle w:val="89"/>
            </w:pPr>
            <w:r>
              <w:t>固废（t/a）</w:t>
            </w:r>
          </w:p>
        </w:tc>
      </w:tr>
      <w:tr w14:paraId="2C5B80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vMerge w:val="continue"/>
            <w:vAlign w:val="center"/>
          </w:tcPr>
          <w:p w14:paraId="0BF40C78">
            <w:pPr>
              <w:pStyle w:val="89"/>
            </w:pPr>
          </w:p>
        </w:tc>
        <w:tc>
          <w:tcPr>
            <w:tcW w:w="317" w:type="pct"/>
            <w:vMerge w:val="continue"/>
            <w:vAlign w:val="center"/>
          </w:tcPr>
          <w:p w14:paraId="47BDFAD1">
            <w:pPr>
              <w:pStyle w:val="89"/>
            </w:pPr>
          </w:p>
        </w:tc>
        <w:tc>
          <w:tcPr>
            <w:tcW w:w="318" w:type="pct"/>
            <w:shd w:val="clear" w:color="auto" w:fill="auto"/>
            <w:vAlign w:val="center"/>
          </w:tcPr>
          <w:p w14:paraId="76F69819">
            <w:pPr>
              <w:pStyle w:val="89"/>
            </w:pPr>
            <w:r>
              <w:t>COD</w:t>
            </w:r>
          </w:p>
        </w:tc>
        <w:tc>
          <w:tcPr>
            <w:tcW w:w="285" w:type="pct"/>
            <w:shd w:val="clear" w:color="auto" w:fill="auto"/>
            <w:vAlign w:val="center"/>
          </w:tcPr>
          <w:p w14:paraId="3F55C201">
            <w:pPr>
              <w:pStyle w:val="89"/>
            </w:pPr>
            <w:r>
              <w:t>NH</w:t>
            </w:r>
            <w:r>
              <w:rPr>
                <w:vertAlign w:val="subscript"/>
              </w:rPr>
              <w:t>3</w:t>
            </w:r>
            <w:r>
              <w:t>-N</w:t>
            </w:r>
          </w:p>
        </w:tc>
        <w:tc>
          <w:tcPr>
            <w:tcW w:w="318" w:type="pct"/>
            <w:vAlign w:val="center"/>
          </w:tcPr>
          <w:p w14:paraId="2AAF3845">
            <w:pPr>
              <w:pStyle w:val="89"/>
            </w:pPr>
            <w:r>
              <w:t>粉尘</w:t>
            </w:r>
          </w:p>
        </w:tc>
        <w:tc>
          <w:tcPr>
            <w:tcW w:w="285" w:type="pct"/>
            <w:vAlign w:val="center"/>
          </w:tcPr>
          <w:p w14:paraId="710B23CA">
            <w:pPr>
              <w:pStyle w:val="89"/>
            </w:pPr>
            <w:r>
              <w:t>SO</w:t>
            </w:r>
            <w:r>
              <w:rPr>
                <w:vertAlign w:val="subscript"/>
              </w:rPr>
              <w:t>2</w:t>
            </w:r>
          </w:p>
        </w:tc>
        <w:tc>
          <w:tcPr>
            <w:tcW w:w="285" w:type="pct"/>
            <w:vAlign w:val="center"/>
          </w:tcPr>
          <w:p w14:paraId="7B6D39EC">
            <w:pPr>
              <w:pStyle w:val="89"/>
            </w:pPr>
            <w:r>
              <w:t>NOX</w:t>
            </w:r>
          </w:p>
        </w:tc>
        <w:tc>
          <w:tcPr>
            <w:tcW w:w="315" w:type="pct"/>
            <w:vAlign w:val="center"/>
          </w:tcPr>
          <w:p w14:paraId="7453A261">
            <w:pPr>
              <w:pStyle w:val="89"/>
            </w:pPr>
            <w:r>
              <w:t>VOCs</w:t>
            </w:r>
          </w:p>
        </w:tc>
        <w:tc>
          <w:tcPr>
            <w:tcW w:w="261" w:type="pct"/>
            <w:shd w:val="clear" w:color="auto" w:fill="auto"/>
            <w:vAlign w:val="center"/>
          </w:tcPr>
          <w:p w14:paraId="42EC8A45">
            <w:pPr>
              <w:pStyle w:val="89"/>
            </w:pPr>
            <w:r>
              <w:t>氯化氢</w:t>
            </w:r>
          </w:p>
        </w:tc>
        <w:tc>
          <w:tcPr>
            <w:tcW w:w="263" w:type="pct"/>
            <w:shd w:val="clear" w:color="auto" w:fill="auto"/>
            <w:vAlign w:val="center"/>
          </w:tcPr>
          <w:p w14:paraId="65FEA649">
            <w:pPr>
              <w:pStyle w:val="89"/>
            </w:pPr>
            <w:r>
              <w:t>硫酸雾</w:t>
            </w:r>
          </w:p>
        </w:tc>
        <w:tc>
          <w:tcPr>
            <w:tcW w:w="239" w:type="pct"/>
            <w:shd w:val="clear" w:color="auto" w:fill="auto"/>
            <w:vAlign w:val="center"/>
          </w:tcPr>
          <w:p w14:paraId="0CF4AE98">
            <w:pPr>
              <w:pStyle w:val="89"/>
            </w:pPr>
            <w:r>
              <w:t>硫化氢</w:t>
            </w:r>
          </w:p>
        </w:tc>
        <w:tc>
          <w:tcPr>
            <w:tcW w:w="251" w:type="pct"/>
            <w:shd w:val="clear" w:color="auto" w:fill="auto"/>
            <w:vAlign w:val="center"/>
          </w:tcPr>
          <w:p w14:paraId="42D78BF8">
            <w:pPr>
              <w:pStyle w:val="89"/>
            </w:pPr>
            <w:r>
              <w:t>氨</w:t>
            </w:r>
          </w:p>
        </w:tc>
        <w:tc>
          <w:tcPr>
            <w:tcW w:w="319" w:type="pct"/>
            <w:shd w:val="clear" w:color="auto" w:fill="auto"/>
            <w:vAlign w:val="center"/>
          </w:tcPr>
          <w:p w14:paraId="1AF0BBF0">
            <w:pPr>
              <w:pStyle w:val="89"/>
            </w:pPr>
            <w:r>
              <w:t>铅及其化合物</w:t>
            </w:r>
          </w:p>
        </w:tc>
        <w:tc>
          <w:tcPr>
            <w:tcW w:w="383" w:type="pct"/>
            <w:vAlign w:val="center"/>
          </w:tcPr>
          <w:p w14:paraId="42E5CDE1">
            <w:pPr>
              <w:pStyle w:val="89"/>
            </w:pPr>
            <w:r>
              <w:rPr>
                <w:rFonts w:hint="eastAsia"/>
              </w:rPr>
              <w:t>一般</w:t>
            </w:r>
            <w:r>
              <w:t>工业固废</w:t>
            </w:r>
          </w:p>
        </w:tc>
        <w:tc>
          <w:tcPr>
            <w:tcW w:w="351" w:type="pct"/>
            <w:vAlign w:val="center"/>
          </w:tcPr>
          <w:p w14:paraId="7F4DBC11">
            <w:pPr>
              <w:pStyle w:val="89"/>
            </w:pPr>
            <w:r>
              <w:t>危险废物</w:t>
            </w:r>
          </w:p>
        </w:tc>
      </w:tr>
      <w:tr w14:paraId="727FF0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vAlign w:val="center"/>
          </w:tcPr>
          <w:p w14:paraId="525D69EE">
            <w:pPr>
              <w:pStyle w:val="89"/>
            </w:pPr>
            <w:r>
              <w:rPr>
                <w:rFonts w:hint="eastAsia"/>
                <w:color w:val="000000"/>
                <w:sz w:val="22"/>
              </w:rPr>
              <w:t>电力、热力、燃气及水生产和供应业</w:t>
            </w:r>
          </w:p>
        </w:tc>
        <w:tc>
          <w:tcPr>
            <w:tcW w:w="317" w:type="pct"/>
            <w:vAlign w:val="center"/>
          </w:tcPr>
          <w:p w14:paraId="55AA3DDB">
            <w:pPr>
              <w:pStyle w:val="89"/>
            </w:pPr>
            <w:r>
              <w:rPr>
                <w:rFonts w:hint="eastAsia"/>
                <w:color w:val="000000"/>
                <w:sz w:val="22"/>
              </w:rPr>
              <w:t xml:space="preserve">0.11 </w:t>
            </w:r>
          </w:p>
        </w:tc>
        <w:tc>
          <w:tcPr>
            <w:tcW w:w="318" w:type="pct"/>
            <w:shd w:val="clear" w:color="auto" w:fill="auto"/>
            <w:vAlign w:val="center"/>
          </w:tcPr>
          <w:p w14:paraId="56CAA645">
            <w:pPr>
              <w:pStyle w:val="89"/>
            </w:pPr>
            <w:r>
              <w:rPr>
                <w:rFonts w:hint="eastAsia"/>
                <w:color w:val="000000"/>
                <w:sz w:val="22"/>
              </w:rPr>
              <w:t xml:space="preserve">0.26 </w:t>
            </w:r>
          </w:p>
        </w:tc>
        <w:tc>
          <w:tcPr>
            <w:tcW w:w="285" w:type="pct"/>
            <w:shd w:val="clear" w:color="auto" w:fill="auto"/>
            <w:vAlign w:val="center"/>
          </w:tcPr>
          <w:p w14:paraId="7EC725AF">
            <w:pPr>
              <w:pStyle w:val="89"/>
            </w:pPr>
            <w:r>
              <w:rPr>
                <w:rFonts w:hint="eastAsia"/>
                <w:color w:val="000000"/>
                <w:sz w:val="22"/>
              </w:rPr>
              <w:t xml:space="preserve">0.03 </w:t>
            </w:r>
          </w:p>
        </w:tc>
        <w:tc>
          <w:tcPr>
            <w:tcW w:w="318" w:type="pct"/>
            <w:vAlign w:val="center"/>
          </w:tcPr>
          <w:p w14:paraId="51653165">
            <w:pPr>
              <w:pStyle w:val="89"/>
            </w:pPr>
            <w:r>
              <w:rPr>
                <w:rFonts w:hint="eastAsia"/>
                <w:color w:val="000000"/>
                <w:sz w:val="22"/>
              </w:rPr>
              <w:t xml:space="preserve">1.84 </w:t>
            </w:r>
          </w:p>
        </w:tc>
        <w:tc>
          <w:tcPr>
            <w:tcW w:w="285" w:type="pct"/>
            <w:vAlign w:val="center"/>
          </w:tcPr>
          <w:p w14:paraId="6F4CD66B">
            <w:pPr>
              <w:pStyle w:val="89"/>
            </w:pPr>
            <w:r>
              <w:rPr>
                <w:rFonts w:hint="eastAsia"/>
                <w:color w:val="000000"/>
                <w:sz w:val="22"/>
              </w:rPr>
              <w:t xml:space="preserve">5.10 </w:t>
            </w:r>
          </w:p>
        </w:tc>
        <w:tc>
          <w:tcPr>
            <w:tcW w:w="285" w:type="pct"/>
            <w:vAlign w:val="center"/>
          </w:tcPr>
          <w:p w14:paraId="0AA9C873">
            <w:pPr>
              <w:pStyle w:val="89"/>
            </w:pPr>
            <w:r>
              <w:rPr>
                <w:rFonts w:hint="eastAsia"/>
                <w:color w:val="000000"/>
                <w:sz w:val="22"/>
              </w:rPr>
              <w:t xml:space="preserve">28.20 </w:t>
            </w:r>
          </w:p>
        </w:tc>
        <w:tc>
          <w:tcPr>
            <w:tcW w:w="315" w:type="pct"/>
            <w:vAlign w:val="center"/>
          </w:tcPr>
          <w:p w14:paraId="3EF8296F">
            <w:pPr>
              <w:pStyle w:val="89"/>
            </w:pPr>
            <w:r>
              <w:rPr>
                <w:rFonts w:hint="eastAsia"/>
                <w:color w:val="000000"/>
                <w:sz w:val="22"/>
              </w:rPr>
              <w:t xml:space="preserve">0.00 </w:t>
            </w:r>
          </w:p>
        </w:tc>
        <w:tc>
          <w:tcPr>
            <w:tcW w:w="261" w:type="pct"/>
            <w:shd w:val="clear" w:color="auto" w:fill="auto"/>
            <w:vAlign w:val="center"/>
          </w:tcPr>
          <w:p w14:paraId="5A1C3E94">
            <w:pPr>
              <w:pStyle w:val="89"/>
            </w:pPr>
            <w:r>
              <w:t>/</w:t>
            </w:r>
          </w:p>
        </w:tc>
        <w:tc>
          <w:tcPr>
            <w:tcW w:w="263" w:type="pct"/>
            <w:shd w:val="clear" w:color="auto" w:fill="auto"/>
            <w:vAlign w:val="center"/>
          </w:tcPr>
          <w:p w14:paraId="24FA5DD4">
            <w:pPr>
              <w:pStyle w:val="89"/>
            </w:pPr>
            <w:r>
              <w:t>/</w:t>
            </w:r>
          </w:p>
        </w:tc>
        <w:tc>
          <w:tcPr>
            <w:tcW w:w="239" w:type="pct"/>
            <w:shd w:val="clear" w:color="auto" w:fill="auto"/>
            <w:vAlign w:val="center"/>
          </w:tcPr>
          <w:p w14:paraId="3BC75440">
            <w:pPr>
              <w:pStyle w:val="89"/>
            </w:pPr>
            <w:r>
              <w:t>/</w:t>
            </w:r>
          </w:p>
        </w:tc>
        <w:tc>
          <w:tcPr>
            <w:tcW w:w="251" w:type="pct"/>
            <w:shd w:val="clear" w:color="auto" w:fill="auto"/>
            <w:vAlign w:val="center"/>
          </w:tcPr>
          <w:p w14:paraId="4A0CD38D">
            <w:pPr>
              <w:pStyle w:val="89"/>
            </w:pPr>
            <w:r>
              <w:t>/</w:t>
            </w:r>
          </w:p>
        </w:tc>
        <w:tc>
          <w:tcPr>
            <w:tcW w:w="319" w:type="pct"/>
            <w:shd w:val="clear" w:color="auto" w:fill="auto"/>
            <w:vAlign w:val="center"/>
          </w:tcPr>
          <w:p w14:paraId="30D2531E">
            <w:pPr>
              <w:pStyle w:val="89"/>
            </w:pPr>
            <w:r>
              <w:t>/</w:t>
            </w:r>
          </w:p>
        </w:tc>
        <w:tc>
          <w:tcPr>
            <w:tcW w:w="383" w:type="pct"/>
            <w:vAlign w:val="center"/>
          </w:tcPr>
          <w:p w14:paraId="299D2259">
            <w:pPr>
              <w:pStyle w:val="89"/>
            </w:pPr>
            <w:r>
              <w:rPr>
                <w:rFonts w:hint="eastAsia"/>
                <w:color w:val="000000"/>
                <w:sz w:val="22"/>
              </w:rPr>
              <w:t xml:space="preserve">1282.09 </w:t>
            </w:r>
          </w:p>
        </w:tc>
        <w:tc>
          <w:tcPr>
            <w:tcW w:w="351" w:type="pct"/>
            <w:vAlign w:val="center"/>
          </w:tcPr>
          <w:p w14:paraId="0DF4958F">
            <w:pPr>
              <w:pStyle w:val="89"/>
            </w:pPr>
            <w:r>
              <w:rPr>
                <w:rFonts w:hint="eastAsia"/>
                <w:color w:val="000000"/>
                <w:sz w:val="22"/>
              </w:rPr>
              <w:t xml:space="preserve">3.20 </w:t>
            </w:r>
          </w:p>
        </w:tc>
      </w:tr>
      <w:tr w14:paraId="64CF4B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vAlign w:val="center"/>
          </w:tcPr>
          <w:p w14:paraId="63B6384C">
            <w:pPr>
              <w:pStyle w:val="89"/>
            </w:pPr>
            <w:r>
              <w:rPr>
                <w:rFonts w:hint="eastAsia"/>
                <w:color w:val="000000"/>
                <w:sz w:val="22"/>
              </w:rPr>
              <w:t>电气机械和器材制造业</w:t>
            </w:r>
          </w:p>
        </w:tc>
        <w:tc>
          <w:tcPr>
            <w:tcW w:w="317" w:type="pct"/>
            <w:vAlign w:val="center"/>
          </w:tcPr>
          <w:p w14:paraId="67A1E31A">
            <w:pPr>
              <w:pStyle w:val="89"/>
            </w:pPr>
            <w:r>
              <w:rPr>
                <w:rFonts w:hint="eastAsia"/>
                <w:color w:val="000000"/>
                <w:sz w:val="22"/>
              </w:rPr>
              <w:t xml:space="preserve">1.46 </w:t>
            </w:r>
          </w:p>
        </w:tc>
        <w:tc>
          <w:tcPr>
            <w:tcW w:w="318" w:type="pct"/>
            <w:shd w:val="clear" w:color="auto" w:fill="auto"/>
            <w:vAlign w:val="center"/>
          </w:tcPr>
          <w:p w14:paraId="6D7D4DA9">
            <w:pPr>
              <w:pStyle w:val="89"/>
            </w:pPr>
            <w:r>
              <w:rPr>
                <w:rFonts w:hint="eastAsia"/>
                <w:color w:val="000000"/>
                <w:sz w:val="22"/>
              </w:rPr>
              <w:t xml:space="preserve">2.92 </w:t>
            </w:r>
          </w:p>
        </w:tc>
        <w:tc>
          <w:tcPr>
            <w:tcW w:w="285" w:type="pct"/>
            <w:shd w:val="clear" w:color="auto" w:fill="auto"/>
            <w:vAlign w:val="center"/>
          </w:tcPr>
          <w:p w14:paraId="6FBC8B0C">
            <w:pPr>
              <w:pStyle w:val="89"/>
            </w:pPr>
            <w:r>
              <w:rPr>
                <w:rFonts w:hint="eastAsia"/>
                <w:color w:val="000000"/>
                <w:sz w:val="22"/>
              </w:rPr>
              <w:t xml:space="preserve">0.34 </w:t>
            </w:r>
          </w:p>
        </w:tc>
        <w:tc>
          <w:tcPr>
            <w:tcW w:w="318" w:type="pct"/>
            <w:vAlign w:val="center"/>
          </w:tcPr>
          <w:p w14:paraId="2B70F7B5">
            <w:pPr>
              <w:pStyle w:val="89"/>
            </w:pPr>
            <w:r>
              <w:rPr>
                <w:rFonts w:hint="eastAsia"/>
                <w:color w:val="000000"/>
                <w:sz w:val="22"/>
              </w:rPr>
              <w:t xml:space="preserve">0.43 </w:t>
            </w:r>
          </w:p>
        </w:tc>
        <w:tc>
          <w:tcPr>
            <w:tcW w:w="285" w:type="pct"/>
            <w:vAlign w:val="center"/>
          </w:tcPr>
          <w:p w14:paraId="4B462406">
            <w:pPr>
              <w:pStyle w:val="89"/>
            </w:pPr>
            <w:r>
              <w:rPr>
                <w:rFonts w:hint="eastAsia"/>
                <w:color w:val="000000"/>
                <w:sz w:val="22"/>
              </w:rPr>
              <w:t xml:space="preserve">0.39 </w:t>
            </w:r>
          </w:p>
        </w:tc>
        <w:tc>
          <w:tcPr>
            <w:tcW w:w="285" w:type="pct"/>
            <w:vAlign w:val="center"/>
          </w:tcPr>
          <w:p w14:paraId="5458EB0A">
            <w:pPr>
              <w:pStyle w:val="89"/>
            </w:pPr>
            <w:r>
              <w:rPr>
                <w:rFonts w:hint="eastAsia"/>
                <w:color w:val="000000"/>
                <w:sz w:val="22"/>
              </w:rPr>
              <w:t xml:space="preserve">0.82 </w:t>
            </w:r>
          </w:p>
        </w:tc>
        <w:tc>
          <w:tcPr>
            <w:tcW w:w="315" w:type="pct"/>
            <w:vAlign w:val="center"/>
          </w:tcPr>
          <w:p w14:paraId="293DA334">
            <w:pPr>
              <w:pStyle w:val="89"/>
            </w:pPr>
            <w:r>
              <w:rPr>
                <w:rFonts w:hint="eastAsia"/>
                <w:color w:val="000000"/>
                <w:sz w:val="22"/>
              </w:rPr>
              <w:t xml:space="preserve">2.31 </w:t>
            </w:r>
          </w:p>
        </w:tc>
        <w:tc>
          <w:tcPr>
            <w:tcW w:w="261" w:type="pct"/>
            <w:shd w:val="clear" w:color="auto" w:fill="auto"/>
            <w:vAlign w:val="center"/>
          </w:tcPr>
          <w:p w14:paraId="333BA458">
            <w:pPr>
              <w:pStyle w:val="89"/>
            </w:pPr>
            <w:r>
              <w:t>/</w:t>
            </w:r>
          </w:p>
        </w:tc>
        <w:tc>
          <w:tcPr>
            <w:tcW w:w="263" w:type="pct"/>
            <w:shd w:val="clear" w:color="auto" w:fill="auto"/>
            <w:vAlign w:val="center"/>
          </w:tcPr>
          <w:p w14:paraId="4218D4F1">
            <w:pPr>
              <w:pStyle w:val="89"/>
            </w:pPr>
            <w:r>
              <w:t>0.02014</w:t>
            </w:r>
          </w:p>
        </w:tc>
        <w:tc>
          <w:tcPr>
            <w:tcW w:w="239" w:type="pct"/>
            <w:shd w:val="clear" w:color="auto" w:fill="auto"/>
            <w:vAlign w:val="center"/>
          </w:tcPr>
          <w:p w14:paraId="685C2730">
            <w:pPr>
              <w:pStyle w:val="89"/>
            </w:pPr>
            <w:r>
              <w:t>/</w:t>
            </w:r>
          </w:p>
        </w:tc>
        <w:tc>
          <w:tcPr>
            <w:tcW w:w="251" w:type="pct"/>
            <w:shd w:val="clear" w:color="auto" w:fill="auto"/>
            <w:vAlign w:val="center"/>
          </w:tcPr>
          <w:p w14:paraId="3103666F">
            <w:pPr>
              <w:pStyle w:val="89"/>
            </w:pPr>
            <w:r>
              <w:t>/</w:t>
            </w:r>
          </w:p>
        </w:tc>
        <w:tc>
          <w:tcPr>
            <w:tcW w:w="319" w:type="pct"/>
            <w:shd w:val="clear" w:color="auto" w:fill="auto"/>
            <w:vAlign w:val="center"/>
          </w:tcPr>
          <w:p w14:paraId="5DC5CD39">
            <w:pPr>
              <w:pStyle w:val="89"/>
            </w:pPr>
            <w:r>
              <w:t>0.001186</w:t>
            </w:r>
          </w:p>
        </w:tc>
        <w:tc>
          <w:tcPr>
            <w:tcW w:w="383" w:type="pct"/>
            <w:vAlign w:val="center"/>
          </w:tcPr>
          <w:p w14:paraId="1EB5B7B9">
            <w:pPr>
              <w:pStyle w:val="89"/>
            </w:pPr>
            <w:r>
              <w:rPr>
                <w:rFonts w:hint="eastAsia"/>
                <w:color w:val="000000"/>
                <w:sz w:val="22"/>
              </w:rPr>
              <w:t xml:space="preserve">239.00 </w:t>
            </w:r>
          </w:p>
        </w:tc>
        <w:tc>
          <w:tcPr>
            <w:tcW w:w="351" w:type="pct"/>
            <w:vAlign w:val="center"/>
          </w:tcPr>
          <w:p w14:paraId="2F458FF7">
            <w:pPr>
              <w:pStyle w:val="89"/>
            </w:pPr>
            <w:r>
              <w:rPr>
                <w:rFonts w:hint="eastAsia"/>
                <w:color w:val="000000"/>
                <w:sz w:val="22"/>
              </w:rPr>
              <w:t xml:space="preserve">44.32 </w:t>
            </w:r>
          </w:p>
        </w:tc>
      </w:tr>
      <w:tr w14:paraId="7EB350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vAlign w:val="center"/>
          </w:tcPr>
          <w:p w14:paraId="3632AC56">
            <w:pPr>
              <w:pStyle w:val="89"/>
            </w:pPr>
            <w:r>
              <w:rPr>
                <w:rFonts w:hint="eastAsia"/>
                <w:color w:val="000000"/>
                <w:sz w:val="22"/>
              </w:rPr>
              <w:t>非金属矿物制品业</w:t>
            </w:r>
          </w:p>
        </w:tc>
        <w:tc>
          <w:tcPr>
            <w:tcW w:w="317" w:type="pct"/>
            <w:vAlign w:val="center"/>
          </w:tcPr>
          <w:p w14:paraId="02FC47F6">
            <w:pPr>
              <w:pStyle w:val="89"/>
            </w:pPr>
            <w:r>
              <w:rPr>
                <w:rFonts w:hint="eastAsia"/>
                <w:color w:val="000000"/>
                <w:sz w:val="22"/>
              </w:rPr>
              <w:t xml:space="preserve">4.20 </w:t>
            </w:r>
          </w:p>
        </w:tc>
        <w:tc>
          <w:tcPr>
            <w:tcW w:w="318" w:type="pct"/>
            <w:shd w:val="clear" w:color="auto" w:fill="auto"/>
            <w:vAlign w:val="center"/>
          </w:tcPr>
          <w:p w14:paraId="25FFE4E4">
            <w:pPr>
              <w:pStyle w:val="89"/>
            </w:pPr>
            <w:r>
              <w:rPr>
                <w:rFonts w:hint="eastAsia"/>
                <w:color w:val="000000"/>
                <w:sz w:val="22"/>
              </w:rPr>
              <w:t xml:space="preserve">4.46 </w:t>
            </w:r>
          </w:p>
        </w:tc>
        <w:tc>
          <w:tcPr>
            <w:tcW w:w="285" w:type="pct"/>
            <w:shd w:val="clear" w:color="auto" w:fill="auto"/>
            <w:vAlign w:val="center"/>
          </w:tcPr>
          <w:p w14:paraId="5A1A5A12">
            <w:pPr>
              <w:pStyle w:val="89"/>
            </w:pPr>
            <w:r>
              <w:rPr>
                <w:rFonts w:hint="eastAsia"/>
                <w:color w:val="000000"/>
                <w:sz w:val="22"/>
              </w:rPr>
              <w:t xml:space="preserve">0.81 </w:t>
            </w:r>
          </w:p>
        </w:tc>
        <w:tc>
          <w:tcPr>
            <w:tcW w:w="318" w:type="pct"/>
            <w:vAlign w:val="center"/>
          </w:tcPr>
          <w:p w14:paraId="443BC093">
            <w:pPr>
              <w:pStyle w:val="89"/>
            </w:pPr>
            <w:r>
              <w:rPr>
                <w:rFonts w:hint="eastAsia"/>
                <w:color w:val="000000"/>
                <w:sz w:val="22"/>
              </w:rPr>
              <w:t xml:space="preserve">12.14 </w:t>
            </w:r>
          </w:p>
        </w:tc>
        <w:tc>
          <w:tcPr>
            <w:tcW w:w="285" w:type="pct"/>
            <w:vAlign w:val="center"/>
          </w:tcPr>
          <w:p w14:paraId="3377D4D0">
            <w:pPr>
              <w:pStyle w:val="89"/>
            </w:pPr>
            <w:r>
              <w:rPr>
                <w:rFonts w:hint="eastAsia"/>
                <w:color w:val="000000"/>
                <w:sz w:val="22"/>
              </w:rPr>
              <w:t xml:space="preserve">1.22 </w:t>
            </w:r>
          </w:p>
        </w:tc>
        <w:tc>
          <w:tcPr>
            <w:tcW w:w="285" w:type="pct"/>
            <w:vAlign w:val="center"/>
          </w:tcPr>
          <w:p w14:paraId="0DF47DDA">
            <w:pPr>
              <w:pStyle w:val="89"/>
            </w:pPr>
            <w:r>
              <w:rPr>
                <w:rFonts w:hint="eastAsia"/>
                <w:color w:val="000000"/>
                <w:sz w:val="22"/>
              </w:rPr>
              <w:t xml:space="preserve">6.06 </w:t>
            </w:r>
          </w:p>
        </w:tc>
        <w:tc>
          <w:tcPr>
            <w:tcW w:w="315" w:type="pct"/>
            <w:vAlign w:val="center"/>
          </w:tcPr>
          <w:p w14:paraId="556A3913">
            <w:pPr>
              <w:pStyle w:val="89"/>
            </w:pPr>
            <w:r>
              <w:rPr>
                <w:rFonts w:hint="eastAsia"/>
                <w:color w:val="000000"/>
                <w:sz w:val="22"/>
              </w:rPr>
              <w:t xml:space="preserve">5.75 </w:t>
            </w:r>
          </w:p>
        </w:tc>
        <w:tc>
          <w:tcPr>
            <w:tcW w:w="261" w:type="pct"/>
            <w:shd w:val="clear" w:color="auto" w:fill="auto"/>
            <w:vAlign w:val="center"/>
          </w:tcPr>
          <w:p w14:paraId="40D8A01D">
            <w:pPr>
              <w:pStyle w:val="89"/>
            </w:pPr>
            <w:r>
              <w:t>/</w:t>
            </w:r>
          </w:p>
        </w:tc>
        <w:tc>
          <w:tcPr>
            <w:tcW w:w="263" w:type="pct"/>
            <w:shd w:val="clear" w:color="auto" w:fill="auto"/>
            <w:vAlign w:val="center"/>
          </w:tcPr>
          <w:p w14:paraId="541C21BB">
            <w:pPr>
              <w:pStyle w:val="89"/>
            </w:pPr>
            <w:r>
              <w:t>/</w:t>
            </w:r>
          </w:p>
        </w:tc>
        <w:tc>
          <w:tcPr>
            <w:tcW w:w="239" w:type="pct"/>
            <w:shd w:val="clear" w:color="auto" w:fill="auto"/>
            <w:vAlign w:val="center"/>
          </w:tcPr>
          <w:p w14:paraId="73308F26">
            <w:pPr>
              <w:pStyle w:val="89"/>
            </w:pPr>
            <w:r>
              <w:t>/</w:t>
            </w:r>
          </w:p>
        </w:tc>
        <w:tc>
          <w:tcPr>
            <w:tcW w:w="251" w:type="pct"/>
            <w:shd w:val="clear" w:color="auto" w:fill="auto"/>
            <w:vAlign w:val="center"/>
          </w:tcPr>
          <w:p w14:paraId="71552EF9">
            <w:pPr>
              <w:pStyle w:val="89"/>
            </w:pPr>
            <w:r>
              <w:t>/</w:t>
            </w:r>
          </w:p>
        </w:tc>
        <w:tc>
          <w:tcPr>
            <w:tcW w:w="319" w:type="pct"/>
            <w:shd w:val="clear" w:color="auto" w:fill="auto"/>
            <w:vAlign w:val="center"/>
          </w:tcPr>
          <w:p w14:paraId="2E365C0D">
            <w:pPr>
              <w:pStyle w:val="89"/>
            </w:pPr>
            <w:r>
              <w:t>/</w:t>
            </w:r>
          </w:p>
        </w:tc>
        <w:tc>
          <w:tcPr>
            <w:tcW w:w="383" w:type="pct"/>
            <w:vAlign w:val="center"/>
          </w:tcPr>
          <w:p w14:paraId="387F2458">
            <w:pPr>
              <w:pStyle w:val="89"/>
            </w:pPr>
            <w:r>
              <w:rPr>
                <w:rFonts w:hint="eastAsia"/>
                <w:color w:val="000000"/>
                <w:sz w:val="22"/>
              </w:rPr>
              <w:t xml:space="preserve">14661.84 </w:t>
            </w:r>
          </w:p>
        </w:tc>
        <w:tc>
          <w:tcPr>
            <w:tcW w:w="351" w:type="pct"/>
            <w:vAlign w:val="center"/>
          </w:tcPr>
          <w:p w14:paraId="60A8A5E9">
            <w:pPr>
              <w:pStyle w:val="89"/>
            </w:pPr>
            <w:r>
              <w:rPr>
                <w:rFonts w:hint="eastAsia"/>
                <w:color w:val="000000"/>
                <w:sz w:val="22"/>
              </w:rPr>
              <w:t xml:space="preserve">115.83 </w:t>
            </w:r>
          </w:p>
        </w:tc>
      </w:tr>
      <w:tr w14:paraId="0BF4E6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5AC287EF">
            <w:pPr>
              <w:pStyle w:val="89"/>
            </w:pPr>
            <w:r>
              <w:rPr>
                <w:rFonts w:hint="eastAsia"/>
                <w:color w:val="000000"/>
                <w:sz w:val="22"/>
              </w:rPr>
              <w:t>废弃资源综合利用业</w:t>
            </w:r>
          </w:p>
        </w:tc>
        <w:tc>
          <w:tcPr>
            <w:tcW w:w="317" w:type="pct"/>
            <w:shd w:val="clear" w:color="auto" w:fill="auto"/>
            <w:noWrap/>
            <w:vAlign w:val="center"/>
          </w:tcPr>
          <w:p w14:paraId="09A3C9EA">
            <w:pPr>
              <w:pStyle w:val="89"/>
            </w:pPr>
            <w:r>
              <w:rPr>
                <w:rFonts w:hint="eastAsia"/>
                <w:color w:val="000000"/>
                <w:sz w:val="22"/>
              </w:rPr>
              <w:t xml:space="preserve">0.02 </w:t>
            </w:r>
          </w:p>
        </w:tc>
        <w:tc>
          <w:tcPr>
            <w:tcW w:w="318" w:type="pct"/>
            <w:shd w:val="clear" w:color="auto" w:fill="auto"/>
            <w:noWrap/>
            <w:vAlign w:val="center"/>
          </w:tcPr>
          <w:p w14:paraId="4F949EAE">
            <w:pPr>
              <w:pStyle w:val="89"/>
            </w:pPr>
            <w:r>
              <w:rPr>
                <w:rFonts w:hint="eastAsia"/>
                <w:color w:val="000000"/>
                <w:sz w:val="22"/>
              </w:rPr>
              <w:t xml:space="preserve">0.02 </w:t>
            </w:r>
          </w:p>
        </w:tc>
        <w:tc>
          <w:tcPr>
            <w:tcW w:w="285" w:type="pct"/>
            <w:shd w:val="clear" w:color="auto" w:fill="auto"/>
            <w:noWrap/>
            <w:vAlign w:val="center"/>
          </w:tcPr>
          <w:p w14:paraId="4229797D">
            <w:pPr>
              <w:pStyle w:val="89"/>
            </w:pPr>
            <w:r>
              <w:rPr>
                <w:rFonts w:hint="eastAsia"/>
                <w:color w:val="000000"/>
                <w:sz w:val="22"/>
              </w:rPr>
              <w:t xml:space="preserve">0.002 </w:t>
            </w:r>
          </w:p>
        </w:tc>
        <w:tc>
          <w:tcPr>
            <w:tcW w:w="318" w:type="pct"/>
            <w:vAlign w:val="center"/>
          </w:tcPr>
          <w:p w14:paraId="1BC34937">
            <w:pPr>
              <w:pStyle w:val="89"/>
            </w:pPr>
            <w:r>
              <w:rPr>
                <w:rFonts w:hint="eastAsia"/>
                <w:color w:val="000000"/>
                <w:sz w:val="22"/>
              </w:rPr>
              <w:t xml:space="preserve">2.76 </w:t>
            </w:r>
          </w:p>
        </w:tc>
        <w:tc>
          <w:tcPr>
            <w:tcW w:w="285" w:type="pct"/>
            <w:vAlign w:val="center"/>
          </w:tcPr>
          <w:p w14:paraId="3E69D630">
            <w:pPr>
              <w:pStyle w:val="89"/>
            </w:pPr>
            <w:r>
              <w:rPr>
                <w:rFonts w:hint="eastAsia"/>
                <w:color w:val="000000"/>
                <w:sz w:val="22"/>
              </w:rPr>
              <w:t xml:space="preserve">0.16 </w:t>
            </w:r>
          </w:p>
        </w:tc>
        <w:tc>
          <w:tcPr>
            <w:tcW w:w="285" w:type="pct"/>
            <w:vAlign w:val="center"/>
          </w:tcPr>
          <w:p w14:paraId="2E7AF9BF">
            <w:pPr>
              <w:pStyle w:val="89"/>
            </w:pPr>
            <w:r>
              <w:rPr>
                <w:rFonts w:hint="eastAsia"/>
                <w:color w:val="000000"/>
                <w:sz w:val="22"/>
              </w:rPr>
              <w:t xml:space="preserve">0.93 </w:t>
            </w:r>
          </w:p>
        </w:tc>
        <w:tc>
          <w:tcPr>
            <w:tcW w:w="315" w:type="pct"/>
            <w:vAlign w:val="center"/>
          </w:tcPr>
          <w:p w14:paraId="2D9B8026">
            <w:pPr>
              <w:pStyle w:val="89"/>
            </w:pPr>
            <w:r>
              <w:rPr>
                <w:rFonts w:hint="eastAsia"/>
                <w:color w:val="000000"/>
                <w:sz w:val="22"/>
              </w:rPr>
              <w:t xml:space="preserve">0.00 </w:t>
            </w:r>
          </w:p>
        </w:tc>
        <w:tc>
          <w:tcPr>
            <w:tcW w:w="261" w:type="pct"/>
            <w:shd w:val="clear" w:color="auto" w:fill="auto"/>
            <w:vAlign w:val="center"/>
          </w:tcPr>
          <w:p w14:paraId="23ABD1D1">
            <w:pPr>
              <w:pStyle w:val="89"/>
            </w:pPr>
            <w:r>
              <w:t>/</w:t>
            </w:r>
          </w:p>
        </w:tc>
        <w:tc>
          <w:tcPr>
            <w:tcW w:w="263" w:type="pct"/>
            <w:shd w:val="clear" w:color="auto" w:fill="auto"/>
            <w:vAlign w:val="center"/>
          </w:tcPr>
          <w:p w14:paraId="0C37E7B6">
            <w:pPr>
              <w:pStyle w:val="89"/>
            </w:pPr>
            <w:r>
              <w:t>/</w:t>
            </w:r>
          </w:p>
        </w:tc>
        <w:tc>
          <w:tcPr>
            <w:tcW w:w="239" w:type="pct"/>
            <w:shd w:val="clear" w:color="auto" w:fill="auto"/>
            <w:vAlign w:val="center"/>
          </w:tcPr>
          <w:p w14:paraId="1025DF55">
            <w:pPr>
              <w:pStyle w:val="89"/>
            </w:pPr>
            <w:r>
              <w:t>/</w:t>
            </w:r>
          </w:p>
        </w:tc>
        <w:tc>
          <w:tcPr>
            <w:tcW w:w="251" w:type="pct"/>
            <w:shd w:val="clear" w:color="auto" w:fill="auto"/>
            <w:vAlign w:val="center"/>
          </w:tcPr>
          <w:p w14:paraId="55C605D8">
            <w:pPr>
              <w:pStyle w:val="89"/>
            </w:pPr>
            <w:r>
              <w:t>/</w:t>
            </w:r>
          </w:p>
        </w:tc>
        <w:tc>
          <w:tcPr>
            <w:tcW w:w="319" w:type="pct"/>
            <w:shd w:val="clear" w:color="auto" w:fill="auto"/>
            <w:vAlign w:val="center"/>
          </w:tcPr>
          <w:p w14:paraId="72EBA571">
            <w:pPr>
              <w:pStyle w:val="89"/>
            </w:pPr>
            <w:r>
              <w:t>/</w:t>
            </w:r>
          </w:p>
        </w:tc>
        <w:tc>
          <w:tcPr>
            <w:tcW w:w="383" w:type="pct"/>
            <w:vAlign w:val="center"/>
          </w:tcPr>
          <w:p w14:paraId="727B24FA">
            <w:pPr>
              <w:pStyle w:val="89"/>
            </w:pPr>
            <w:r>
              <w:rPr>
                <w:rFonts w:hint="eastAsia"/>
                <w:color w:val="000000"/>
                <w:sz w:val="22"/>
              </w:rPr>
              <w:t xml:space="preserve">0.60 </w:t>
            </w:r>
          </w:p>
        </w:tc>
        <w:tc>
          <w:tcPr>
            <w:tcW w:w="351" w:type="pct"/>
            <w:vAlign w:val="center"/>
          </w:tcPr>
          <w:p w14:paraId="343F0760">
            <w:pPr>
              <w:pStyle w:val="89"/>
            </w:pPr>
            <w:r>
              <w:rPr>
                <w:rFonts w:hint="eastAsia"/>
                <w:color w:val="000000"/>
                <w:sz w:val="22"/>
              </w:rPr>
              <w:t xml:space="preserve">0.57 </w:t>
            </w:r>
          </w:p>
        </w:tc>
      </w:tr>
      <w:tr w14:paraId="331DA1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64C39659">
            <w:pPr>
              <w:pStyle w:val="89"/>
            </w:pPr>
            <w:r>
              <w:rPr>
                <w:rFonts w:hint="eastAsia"/>
                <w:color w:val="000000"/>
                <w:sz w:val="22"/>
              </w:rPr>
              <w:t>机动车、电子产品和日用产品修理业</w:t>
            </w:r>
          </w:p>
        </w:tc>
        <w:tc>
          <w:tcPr>
            <w:tcW w:w="317" w:type="pct"/>
            <w:shd w:val="clear" w:color="auto" w:fill="auto"/>
            <w:noWrap/>
            <w:vAlign w:val="center"/>
          </w:tcPr>
          <w:p w14:paraId="5F5D98F5">
            <w:pPr>
              <w:pStyle w:val="89"/>
            </w:pPr>
            <w:r>
              <w:rPr>
                <w:rFonts w:hint="eastAsia"/>
                <w:color w:val="000000"/>
                <w:sz w:val="22"/>
              </w:rPr>
              <w:t xml:space="preserve">0.04 </w:t>
            </w:r>
          </w:p>
        </w:tc>
        <w:tc>
          <w:tcPr>
            <w:tcW w:w="318" w:type="pct"/>
            <w:shd w:val="clear" w:color="auto" w:fill="auto"/>
            <w:noWrap/>
            <w:vAlign w:val="center"/>
          </w:tcPr>
          <w:p w14:paraId="4306927B">
            <w:pPr>
              <w:pStyle w:val="89"/>
            </w:pPr>
            <w:r>
              <w:rPr>
                <w:rFonts w:hint="eastAsia"/>
                <w:color w:val="000000"/>
                <w:sz w:val="22"/>
              </w:rPr>
              <w:t xml:space="preserve">0.07 </w:t>
            </w:r>
          </w:p>
        </w:tc>
        <w:tc>
          <w:tcPr>
            <w:tcW w:w="285" w:type="pct"/>
            <w:shd w:val="clear" w:color="auto" w:fill="auto"/>
            <w:noWrap/>
            <w:vAlign w:val="center"/>
          </w:tcPr>
          <w:p w14:paraId="1BA715F7">
            <w:pPr>
              <w:pStyle w:val="89"/>
            </w:pPr>
            <w:r>
              <w:rPr>
                <w:rFonts w:hint="eastAsia"/>
                <w:color w:val="000000"/>
                <w:sz w:val="22"/>
              </w:rPr>
              <w:t xml:space="preserve">0.01 </w:t>
            </w:r>
          </w:p>
        </w:tc>
        <w:tc>
          <w:tcPr>
            <w:tcW w:w="318" w:type="pct"/>
            <w:vAlign w:val="center"/>
          </w:tcPr>
          <w:p w14:paraId="0544CB9E">
            <w:pPr>
              <w:pStyle w:val="89"/>
            </w:pPr>
            <w:r>
              <w:rPr>
                <w:rFonts w:hint="eastAsia"/>
                <w:color w:val="000000"/>
                <w:sz w:val="22"/>
              </w:rPr>
              <w:t xml:space="preserve">0.003 </w:t>
            </w:r>
          </w:p>
        </w:tc>
        <w:tc>
          <w:tcPr>
            <w:tcW w:w="285" w:type="pct"/>
            <w:vAlign w:val="center"/>
          </w:tcPr>
          <w:p w14:paraId="0EF324B3">
            <w:pPr>
              <w:pStyle w:val="89"/>
            </w:pPr>
            <w:r>
              <w:rPr>
                <w:rFonts w:hint="eastAsia"/>
                <w:color w:val="000000"/>
                <w:sz w:val="22"/>
              </w:rPr>
              <w:t xml:space="preserve">0.00 </w:t>
            </w:r>
          </w:p>
        </w:tc>
        <w:tc>
          <w:tcPr>
            <w:tcW w:w="285" w:type="pct"/>
            <w:vAlign w:val="center"/>
          </w:tcPr>
          <w:p w14:paraId="46247CE8">
            <w:pPr>
              <w:pStyle w:val="89"/>
            </w:pPr>
            <w:r>
              <w:rPr>
                <w:rFonts w:hint="eastAsia"/>
                <w:color w:val="000000"/>
                <w:sz w:val="22"/>
              </w:rPr>
              <w:t xml:space="preserve">0.00 </w:t>
            </w:r>
          </w:p>
        </w:tc>
        <w:tc>
          <w:tcPr>
            <w:tcW w:w="315" w:type="pct"/>
            <w:vAlign w:val="center"/>
          </w:tcPr>
          <w:p w14:paraId="0B85E07B">
            <w:pPr>
              <w:pStyle w:val="89"/>
            </w:pPr>
            <w:r>
              <w:rPr>
                <w:rFonts w:hint="eastAsia"/>
                <w:color w:val="000000"/>
                <w:sz w:val="22"/>
              </w:rPr>
              <w:t xml:space="preserve">0.03 </w:t>
            </w:r>
          </w:p>
        </w:tc>
        <w:tc>
          <w:tcPr>
            <w:tcW w:w="261" w:type="pct"/>
            <w:shd w:val="clear" w:color="auto" w:fill="auto"/>
            <w:vAlign w:val="center"/>
          </w:tcPr>
          <w:p w14:paraId="48979031">
            <w:pPr>
              <w:pStyle w:val="89"/>
            </w:pPr>
            <w:r>
              <w:t>/</w:t>
            </w:r>
          </w:p>
        </w:tc>
        <w:tc>
          <w:tcPr>
            <w:tcW w:w="263" w:type="pct"/>
            <w:shd w:val="clear" w:color="auto" w:fill="auto"/>
            <w:vAlign w:val="center"/>
          </w:tcPr>
          <w:p w14:paraId="34799283">
            <w:pPr>
              <w:pStyle w:val="89"/>
            </w:pPr>
            <w:r>
              <w:t>/</w:t>
            </w:r>
          </w:p>
        </w:tc>
        <w:tc>
          <w:tcPr>
            <w:tcW w:w="239" w:type="pct"/>
            <w:shd w:val="clear" w:color="auto" w:fill="auto"/>
            <w:vAlign w:val="center"/>
          </w:tcPr>
          <w:p w14:paraId="1CE27BDC">
            <w:pPr>
              <w:pStyle w:val="89"/>
            </w:pPr>
            <w:r>
              <w:t>/</w:t>
            </w:r>
          </w:p>
        </w:tc>
        <w:tc>
          <w:tcPr>
            <w:tcW w:w="251" w:type="pct"/>
            <w:shd w:val="clear" w:color="auto" w:fill="auto"/>
            <w:vAlign w:val="center"/>
          </w:tcPr>
          <w:p w14:paraId="54BFF6C8">
            <w:pPr>
              <w:pStyle w:val="89"/>
            </w:pPr>
            <w:r>
              <w:t>/</w:t>
            </w:r>
          </w:p>
        </w:tc>
        <w:tc>
          <w:tcPr>
            <w:tcW w:w="319" w:type="pct"/>
            <w:shd w:val="clear" w:color="auto" w:fill="auto"/>
            <w:vAlign w:val="center"/>
          </w:tcPr>
          <w:p w14:paraId="1902C6A8">
            <w:pPr>
              <w:pStyle w:val="89"/>
            </w:pPr>
            <w:r>
              <w:t>/</w:t>
            </w:r>
          </w:p>
        </w:tc>
        <w:tc>
          <w:tcPr>
            <w:tcW w:w="383" w:type="pct"/>
            <w:vAlign w:val="center"/>
          </w:tcPr>
          <w:p w14:paraId="1D67008E">
            <w:pPr>
              <w:pStyle w:val="89"/>
            </w:pPr>
            <w:r>
              <w:rPr>
                <w:rFonts w:hint="eastAsia"/>
                <w:color w:val="000000"/>
                <w:sz w:val="22"/>
              </w:rPr>
              <w:t xml:space="preserve">5.01 </w:t>
            </w:r>
          </w:p>
        </w:tc>
        <w:tc>
          <w:tcPr>
            <w:tcW w:w="351" w:type="pct"/>
            <w:vAlign w:val="center"/>
          </w:tcPr>
          <w:p w14:paraId="56B620BB">
            <w:pPr>
              <w:pStyle w:val="89"/>
            </w:pPr>
            <w:r>
              <w:rPr>
                <w:rFonts w:hint="eastAsia"/>
                <w:color w:val="000000"/>
                <w:sz w:val="22"/>
              </w:rPr>
              <w:t xml:space="preserve">4.95 </w:t>
            </w:r>
          </w:p>
        </w:tc>
      </w:tr>
      <w:tr w14:paraId="1239A9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63743E7F">
            <w:pPr>
              <w:pStyle w:val="89"/>
            </w:pPr>
            <w:r>
              <w:rPr>
                <w:rFonts w:hint="eastAsia"/>
                <w:color w:val="000000"/>
                <w:sz w:val="22"/>
              </w:rPr>
              <w:t>家具制造业</w:t>
            </w:r>
          </w:p>
        </w:tc>
        <w:tc>
          <w:tcPr>
            <w:tcW w:w="317" w:type="pct"/>
            <w:shd w:val="clear" w:color="auto" w:fill="auto"/>
            <w:noWrap/>
            <w:vAlign w:val="center"/>
          </w:tcPr>
          <w:p w14:paraId="50004B98">
            <w:pPr>
              <w:pStyle w:val="89"/>
            </w:pPr>
            <w:r>
              <w:rPr>
                <w:rFonts w:hint="eastAsia"/>
                <w:color w:val="000000"/>
                <w:sz w:val="22"/>
              </w:rPr>
              <w:t xml:space="preserve">0.32 </w:t>
            </w:r>
          </w:p>
        </w:tc>
        <w:tc>
          <w:tcPr>
            <w:tcW w:w="318" w:type="pct"/>
            <w:shd w:val="clear" w:color="auto" w:fill="auto"/>
            <w:noWrap/>
            <w:vAlign w:val="center"/>
          </w:tcPr>
          <w:p w14:paraId="4AF13321">
            <w:pPr>
              <w:pStyle w:val="89"/>
            </w:pPr>
            <w:r>
              <w:rPr>
                <w:rFonts w:hint="eastAsia"/>
                <w:color w:val="000000"/>
                <w:sz w:val="22"/>
              </w:rPr>
              <w:t xml:space="preserve">0.16 </w:t>
            </w:r>
          </w:p>
        </w:tc>
        <w:tc>
          <w:tcPr>
            <w:tcW w:w="285" w:type="pct"/>
            <w:shd w:val="clear" w:color="auto" w:fill="auto"/>
            <w:noWrap/>
            <w:vAlign w:val="center"/>
          </w:tcPr>
          <w:p w14:paraId="46787943">
            <w:pPr>
              <w:pStyle w:val="89"/>
            </w:pPr>
            <w:r>
              <w:rPr>
                <w:rFonts w:hint="eastAsia"/>
                <w:color w:val="000000"/>
                <w:sz w:val="22"/>
              </w:rPr>
              <w:t xml:space="preserve">0.02 </w:t>
            </w:r>
          </w:p>
        </w:tc>
        <w:tc>
          <w:tcPr>
            <w:tcW w:w="318" w:type="pct"/>
            <w:vAlign w:val="center"/>
          </w:tcPr>
          <w:p w14:paraId="51472A79">
            <w:pPr>
              <w:pStyle w:val="89"/>
            </w:pPr>
            <w:r>
              <w:rPr>
                <w:rFonts w:hint="eastAsia"/>
                <w:color w:val="000000"/>
                <w:sz w:val="22"/>
              </w:rPr>
              <w:t xml:space="preserve">0.00 </w:t>
            </w:r>
          </w:p>
        </w:tc>
        <w:tc>
          <w:tcPr>
            <w:tcW w:w="285" w:type="pct"/>
            <w:vAlign w:val="center"/>
          </w:tcPr>
          <w:p w14:paraId="6E0CFA11">
            <w:pPr>
              <w:pStyle w:val="89"/>
            </w:pPr>
            <w:r>
              <w:rPr>
                <w:rFonts w:hint="eastAsia"/>
                <w:color w:val="000000"/>
                <w:sz w:val="22"/>
              </w:rPr>
              <w:t xml:space="preserve">0.001 </w:t>
            </w:r>
          </w:p>
        </w:tc>
        <w:tc>
          <w:tcPr>
            <w:tcW w:w="285" w:type="pct"/>
            <w:vAlign w:val="center"/>
          </w:tcPr>
          <w:p w14:paraId="4FC040E6">
            <w:pPr>
              <w:pStyle w:val="89"/>
            </w:pPr>
            <w:r>
              <w:rPr>
                <w:rFonts w:hint="eastAsia"/>
                <w:color w:val="000000"/>
                <w:sz w:val="22"/>
              </w:rPr>
              <w:t xml:space="preserve">0.01 </w:t>
            </w:r>
          </w:p>
        </w:tc>
        <w:tc>
          <w:tcPr>
            <w:tcW w:w="315" w:type="pct"/>
            <w:vAlign w:val="center"/>
          </w:tcPr>
          <w:p w14:paraId="12B564E3">
            <w:pPr>
              <w:pStyle w:val="89"/>
            </w:pPr>
            <w:r>
              <w:rPr>
                <w:rFonts w:hint="eastAsia"/>
                <w:color w:val="000000"/>
                <w:sz w:val="22"/>
              </w:rPr>
              <w:t xml:space="preserve">0.08 </w:t>
            </w:r>
          </w:p>
        </w:tc>
        <w:tc>
          <w:tcPr>
            <w:tcW w:w="261" w:type="pct"/>
            <w:shd w:val="clear" w:color="auto" w:fill="auto"/>
            <w:vAlign w:val="center"/>
          </w:tcPr>
          <w:p w14:paraId="73D82AA4">
            <w:pPr>
              <w:pStyle w:val="89"/>
            </w:pPr>
            <w:r>
              <w:t>/</w:t>
            </w:r>
          </w:p>
        </w:tc>
        <w:tc>
          <w:tcPr>
            <w:tcW w:w="263" w:type="pct"/>
            <w:shd w:val="clear" w:color="auto" w:fill="auto"/>
            <w:vAlign w:val="center"/>
          </w:tcPr>
          <w:p w14:paraId="5A9F87C6">
            <w:pPr>
              <w:pStyle w:val="89"/>
            </w:pPr>
            <w:r>
              <w:t>/</w:t>
            </w:r>
          </w:p>
        </w:tc>
        <w:tc>
          <w:tcPr>
            <w:tcW w:w="239" w:type="pct"/>
            <w:shd w:val="clear" w:color="auto" w:fill="auto"/>
            <w:vAlign w:val="center"/>
          </w:tcPr>
          <w:p w14:paraId="01E6ECAC">
            <w:pPr>
              <w:pStyle w:val="89"/>
            </w:pPr>
            <w:r>
              <w:t>/</w:t>
            </w:r>
          </w:p>
        </w:tc>
        <w:tc>
          <w:tcPr>
            <w:tcW w:w="251" w:type="pct"/>
            <w:shd w:val="clear" w:color="auto" w:fill="auto"/>
            <w:vAlign w:val="center"/>
          </w:tcPr>
          <w:p w14:paraId="4DD7549B">
            <w:pPr>
              <w:pStyle w:val="89"/>
            </w:pPr>
            <w:r>
              <w:t>/</w:t>
            </w:r>
          </w:p>
        </w:tc>
        <w:tc>
          <w:tcPr>
            <w:tcW w:w="319" w:type="pct"/>
            <w:shd w:val="clear" w:color="auto" w:fill="auto"/>
            <w:vAlign w:val="center"/>
          </w:tcPr>
          <w:p w14:paraId="7CD68E61">
            <w:pPr>
              <w:pStyle w:val="89"/>
            </w:pPr>
            <w:r>
              <w:t>/</w:t>
            </w:r>
          </w:p>
        </w:tc>
        <w:tc>
          <w:tcPr>
            <w:tcW w:w="383" w:type="pct"/>
            <w:vAlign w:val="center"/>
          </w:tcPr>
          <w:p w14:paraId="731DEDC4">
            <w:pPr>
              <w:pStyle w:val="89"/>
            </w:pPr>
            <w:r>
              <w:rPr>
                <w:rFonts w:hint="eastAsia"/>
                <w:color w:val="000000"/>
                <w:sz w:val="22"/>
              </w:rPr>
              <w:t xml:space="preserve">5.86 </w:t>
            </w:r>
          </w:p>
        </w:tc>
        <w:tc>
          <w:tcPr>
            <w:tcW w:w="351" w:type="pct"/>
            <w:vAlign w:val="center"/>
          </w:tcPr>
          <w:p w14:paraId="2B514EF4">
            <w:pPr>
              <w:pStyle w:val="89"/>
            </w:pPr>
            <w:r>
              <w:rPr>
                <w:rFonts w:hint="eastAsia"/>
                <w:color w:val="000000"/>
                <w:sz w:val="22"/>
              </w:rPr>
              <w:t xml:space="preserve">2.47 </w:t>
            </w:r>
          </w:p>
        </w:tc>
      </w:tr>
      <w:tr w14:paraId="6775B0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0214E6AC">
            <w:pPr>
              <w:pStyle w:val="89"/>
            </w:pPr>
            <w:r>
              <w:rPr>
                <w:rFonts w:hint="eastAsia"/>
                <w:color w:val="000000"/>
                <w:sz w:val="22"/>
              </w:rPr>
              <w:t>金属制品业</w:t>
            </w:r>
          </w:p>
        </w:tc>
        <w:tc>
          <w:tcPr>
            <w:tcW w:w="317" w:type="pct"/>
            <w:shd w:val="clear" w:color="auto" w:fill="auto"/>
            <w:noWrap/>
            <w:vAlign w:val="center"/>
          </w:tcPr>
          <w:p w14:paraId="771DA215">
            <w:pPr>
              <w:pStyle w:val="89"/>
            </w:pPr>
            <w:r>
              <w:rPr>
                <w:rFonts w:hint="eastAsia"/>
                <w:color w:val="000000"/>
                <w:sz w:val="22"/>
              </w:rPr>
              <w:t xml:space="preserve">2.56 </w:t>
            </w:r>
          </w:p>
        </w:tc>
        <w:tc>
          <w:tcPr>
            <w:tcW w:w="318" w:type="pct"/>
            <w:shd w:val="clear" w:color="auto" w:fill="auto"/>
            <w:noWrap/>
            <w:vAlign w:val="center"/>
          </w:tcPr>
          <w:p w14:paraId="3E3EB0B9">
            <w:pPr>
              <w:pStyle w:val="89"/>
            </w:pPr>
            <w:r>
              <w:rPr>
                <w:rFonts w:hint="eastAsia"/>
                <w:color w:val="000000"/>
                <w:sz w:val="22"/>
              </w:rPr>
              <w:t xml:space="preserve">1.73 </w:t>
            </w:r>
          </w:p>
        </w:tc>
        <w:tc>
          <w:tcPr>
            <w:tcW w:w="285" w:type="pct"/>
            <w:shd w:val="clear" w:color="auto" w:fill="auto"/>
            <w:noWrap/>
            <w:vAlign w:val="center"/>
          </w:tcPr>
          <w:p w14:paraId="6CEB481F">
            <w:pPr>
              <w:pStyle w:val="89"/>
            </w:pPr>
            <w:r>
              <w:rPr>
                <w:rFonts w:hint="eastAsia"/>
                <w:color w:val="000000"/>
                <w:sz w:val="22"/>
              </w:rPr>
              <w:t xml:space="preserve">0.27 </w:t>
            </w:r>
          </w:p>
        </w:tc>
        <w:tc>
          <w:tcPr>
            <w:tcW w:w="318" w:type="pct"/>
            <w:vAlign w:val="center"/>
          </w:tcPr>
          <w:p w14:paraId="3678F249">
            <w:pPr>
              <w:pStyle w:val="89"/>
            </w:pPr>
            <w:r>
              <w:rPr>
                <w:rFonts w:hint="eastAsia"/>
                <w:color w:val="000000"/>
                <w:sz w:val="22"/>
              </w:rPr>
              <w:t xml:space="preserve">9.31 </w:t>
            </w:r>
          </w:p>
        </w:tc>
        <w:tc>
          <w:tcPr>
            <w:tcW w:w="285" w:type="pct"/>
            <w:vAlign w:val="center"/>
          </w:tcPr>
          <w:p w14:paraId="78150288">
            <w:pPr>
              <w:pStyle w:val="89"/>
            </w:pPr>
            <w:r>
              <w:rPr>
                <w:rFonts w:hint="eastAsia"/>
                <w:color w:val="000000"/>
                <w:sz w:val="22"/>
              </w:rPr>
              <w:t xml:space="preserve">0.10 </w:t>
            </w:r>
          </w:p>
        </w:tc>
        <w:tc>
          <w:tcPr>
            <w:tcW w:w="285" w:type="pct"/>
            <w:vAlign w:val="center"/>
          </w:tcPr>
          <w:p w14:paraId="75C3660B">
            <w:pPr>
              <w:pStyle w:val="89"/>
            </w:pPr>
            <w:r>
              <w:rPr>
                <w:rFonts w:hint="eastAsia"/>
                <w:color w:val="000000"/>
                <w:sz w:val="22"/>
              </w:rPr>
              <w:t xml:space="preserve">0.49 </w:t>
            </w:r>
          </w:p>
        </w:tc>
        <w:tc>
          <w:tcPr>
            <w:tcW w:w="315" w:type="pct"/>
            <w:vAlign w:val="center"/>
          </w:tcPr>
          <w:p w14:paraId="4AEE451A">
            <w:pPr>
              <w:pStyle w:val="89"/>
            </w:pPr>
            <w:r>
              <w:rPr>
                <w:rFonts w:hint="eastAsia"/>
                <w:color w:val="000000"/>
                <w:sz w:val="22"/>
              </w:rPr>
              <w:t xml:space="preserve">3.52 </w:t>
            </w:r>
          </w:p>
        </w:tc>
        <w:tc>
          <w:tcPr>
            <w:tcW w:w="261" w:type="pct"/>
            <w:shd w:val="clear" w:color="auto" w:fill="auto"/>
            <w:vAlign w:val="center"/>
          </w:tcPr>
          <w:p w14:paraId="64AD1908">
            <w:pPr>
              <w:pStyle w:val="89"/>
            </w:pPr>
            <w:r>
              <w:t>/</w:t>
            </w:r>
          </w:p>
        </w:tc>
        <w:tc>
          <w:tcPr>
            <w:tcW w:w="263" w:type="pct"/>
            <w:shd w:val="clear" w:color="auto" w:fill="auto"/>
            <w:vAlign w:val="center"/>
          </w:tcPr>
          <w:p w14:paraId="3BB67824">
            <w:pPr>
              <w:pStyle w:val="89"/>
            </w:pPr>
            <w:r>
              <w:t>0.129</w:t>
            </w:r>
          </w:p>
        </w:tc>
        <w:tc>
          <w:tcPr>
            <w:tcW w:w="239" w:type="pct"/>
            <w:shd w:val="clear" w:color="auto" w:fill="auto"/>
            <w:vAlign w:val="center"/>
          </w:tcPr>
          <w:p w14:paraId="4BAE54E5">
            <w:pPr>
              <w:pStyle w:val="89"/>
            </w:pPr>
            <w:r>
              <w:t>/</w:t>
            </w:r>
          </w:p>
        </w:tc>
        <w:tc>
          <w:tcPr>
            <w:tcW w:w="251" w:type="pct"/>
            <w:shd w:val="clear" w:color="auto" w:fill="auto"/>
            <w:vAlign w:val="center"/>
          </w:tcPr>
          <w:p w14:paraId="296D60F1">
            <w:pPr>
              <w:pStyle w:val="89"/>
            </w:pPr>
            <w:r>
              <w:t>/</w:t>
            </w:r>
          </w:p>
        </w:tc>
        <w:tc>
          <w:tcPr>
            <w:tcW w:w="319" w:type="pct"/>
            <w:shd w:val="clear" w:color="auto" w:fill="auto"/>
            <w:vAlign w:val="center"/>
          </w:tcPr>
          <w:p w14:paraId="665577C0">
            <w:pPr>
              <w:pStyle w:val="89"/>
            </w:pPr>
            <w:r>
              <w:t>/</w:t>
            </w:r>
          </w:p>
        </w:tc>
        <w:tc>
          <w:tcPr>
            <w:tcW w:w="383" w:type="pct"/>
            <w:vAlign w:val="center"/>
          </w:tcPr>
          <w:p w14:paraId="3EFC796E">
            <w:pPr>
              <w:pStyle w:val="89"/>
            </w:pPr>
            <w:r>
              <w:rPr>
                <w:rFonts w:hint="eastAsia"/>
                <w:color w:val="000000"/>
                <w:sz w:val="22"/>
              </w:rPr>
              <w:t xml:space="preserve">1598.70 </w:t>
            </w:r>
          </w:p>
        </w:tc>
        <w:tc>
          <w:tcPr>
            <w:tcW w:w="351" w:type="pct"/>
            <w:vAlign w:val="center"/>
          </w:tcPr>
          <w:p w14:paraId="292D5463">
            <w:pPr>
              <w:pStyle w:val="89"/>
            </w:pPr>
            <w:r>
              <w:rPr>
                <w:rFonts w:hint="eastAsia"/>
                <w:color w:val="000000"/>
                <w:sz w:val="22"/>
              </w:rPr>
              <w:t xml:space="preserve">7.83 </w:t>
            </w:r>
          </w:p>
        </w:tc>
      </w:tr>
      <w:tr w14:paraId="3AEA0D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496F8BC9">
            <w:pPr>
              <w:pStyle w:val="89"/>
            </w:pPr>
            <w:r>
              <w:rPr>
                <w:rFonts w:hint="eastAsia"/>
                <w:color w:val="000000"/>
                <w:sz w:val="22"/>
              </w:rPr>
              <w:t>酒、饮料和精制茶制造业</w:t>
            </w:r>
          </w:p>
        </w:tc>
        <w:tc>
          <w:tcPr>
            <w:tcW w:w="317" w:type="pct"/>
            <w:shd w:val="clear" w:color="auto" w:fill="auto"/>
            <w:noWrap/>
            <w:vAlign w:val="center"/>
          </w:tcPr>
          <w:p w14:paraId="05DC80E0">
            <w:pPr>
              <w:pStyle w:val="89"/>
            </w:pPr>
            <w:r>
              <w:rPr>
                <w:rFonts w:hint="eastAsia"/>
                <w:color w:val="000000"/>
                <w:sz w:val="22"/>
              </w:rPr>
              <w:t xml:space="preserve">106.78 </w:t>
            </w:r>
          </w:p>
        </w:tc>
        <w:tc>
          <w:tcPr>
            <w:tcW w:w="318" w:type="pct"/>
            <w:shd w:val="clear" w:color="auto" w:fill="auto"/>
            <w:noWrap/>
            <w:vAlign w:val="center"/>
          </w:tcPr>
          <w:p w14:paraId="1394C5AA">
            <w:pPr>
              <w:pStyle w:val="89"/>
            </w:pPr>
            <w:r>
              <w:rPr>
                <w:rFonts w:hint="eastAsia"/>
                <w:color w:val="000000"/>
                <w:sz w:val="22"/>
              </w:rPr>
              <w:t xml:space="preserve">35.82 </w:t>
            </w:r>
          </w:p>
        </w:tc>
        <w:tc>
          <w:tcPr>
            <w:tcW w:w="285" w:type="pct"/>
            <w:shd w:val="clear" w:color="auto" w:fill="auto"/>
            <w:noWrap/>
            <w:vAlign w:val="center"/>
          </w:tcPr>
          <w:p w14:paraId="6090E93A">
            <w:pPr>
              <w:pStyle w:val="89"/>
            </w:pPr>
            <w:r>
              <w:rPr>
                <w:rFonts w:hint="eastAsia"/>
                <w:color w:val="000000"/>
                <w:sz w:val="22"/>
              </w:rPr>
              <w:t xml:space="preserve">0.85 </w:t>
            </w:r>
          </w:p>
        </w:tc>
        <w:tc>
          <w:tcPr>
            <w:tcW w:w="318" w:type="pct"/>
            <w:vAlign w:val="center"/>
          </w:tcPr>
          <w:p w14:paraId="28C3824F">
            <w:pPr>
              <w:pStyle w:val="89"/>
            </w:pPr>
            <w:r>
              <w:rPr>
                <w:rFonts w:hint="eastAsia"/>
                <w:color w:val="000000"/>
                <w:sz w:val="22"/>
              </w:rPr>
              <w:t xml:space="preserve">0.25 </w:t>
            </w:r>
          </w:p>
        </w:tc>
        <w:tc>
          <w:tcPr>
            <w:tcW w:w="285" w:type="pct"/>
            <w:vAlign w:val="center"/>
          </w:tcPr>
          <w:p w14:paraId="72BDA9EC">
            <w:pPr>
              <w:pStyle w:val="89"/>
            </w:pPr>
            <w:r>
              <w:rPr>
                <w:rFonts w:hint="eastAsia"/>
                <w:color w:val="000000"/>
                <w:sz w:val="22"/>
              </w:rPr>
              <w:t xml:space="preserve">0.10 </w:t>
            </w:r>
          </w:p>
        </w:tc>
        <w:tc>
          <w:tcPr>
            <w:tcW w:w="285" w:type="pct"/>
            <w:vAlign w:val="center"/>
          </w:tcPr>
          <w:p w14:paraId="0F2E760D">
            <w:pPr>
              <w:pStyle w:val="89"/>
            </w:pPr>
            <w:r>
              <w:rPr>
                <w:rFonts w:hint="eastAsia"/>
                <w:color w:val="000000"/>
                <w:sz w:val="22"/>
              </w:rPr>
              <w:t xml:space="preserve">11.29 </w:t>
            </w:r>
          </w:p>
        </w:tc>
        <w:tc>
          <w:tcPr>
            <w:tcW w:w="315" w:type="pct"/>
            <w:vAlign w:val="center"/>
          </w:tcPr>
          <w:p w14:paraId="12D62998">
            <w:pPr>
              <w:pStyle w:val="89"/>
            </w:pPr>
            <w:r>
              <w:rPr>
                <w:rFonts w:hint="eastAsia"/>
                <w:color w:val="000000"/>
                <w:sz w:val="22"/>
              </w:rPr>
              <w:t xml:space="preserve">0.00 </w:t>
            </w:r>
          </w:p>
        </w:tc>
        <w:tc>
          <w:tcPr>
            <w:tcW w:w="261" w:type="pct"/>
            <w:shd w:val="clear" w:color="auto" w:fill="auto"/>
            <w:vAlign w:val="center"/>
          </w:tcPr>
          <w:p w14:paraId="40184858">
            <w:pPr>
              <w:pStyle w:val="89"/>
            </w:pPr>
            <w:r>
              <w:t>/</w:t>
            </w:r>
          </w:p>
        </w:tc>
        <w:tc>
          <w:tcPr>
            <w:tcW w:w="263" w:type="pct"/>
            <w:shd w:val="clear" w:color="auto" w:fill="auto"/>
            <w:vAlign w:val="center"/>
          </w:tcPr>
          <w:p w14:paraId="5FDAE30B">
            <w:pPr>
              <w:pStyle w:val="89"/>
            </w:pPr>
            <w:r>
              <w:t>/</w:t>
            </w:r>
          </w:p>
        </w:tc>
        <w:tc>
          <w:tcPr>
            <w:tcW w:w="239" w:type="pct"/>
            <w:shd w:val="clear" w:color="auto" w:fill="auto"/>
            <w:vAlign w:val="center"/>
          </w:tcPr>
          <w:p w14:paraId="40AD664C">
            <w:pPr>
              <w:pStyle w:val="89"/>
            </w:pPr>
            <w:r>
              <w:t>0.0986</w:t>
            </w:r>
          </w:p>
        </w:tc>
        <w:tc>
          <w:tcPr>
            <w:tcW w:w="251" w:type="pct"/>
            <w:shd w:val="clear" w:color="auto" w:fill="auto"/>
            <w:vAlign w:val="center"/>
          </w:tcPr>
          <w:p w14:paraId="0101E1FB">
            <w:pPr>
              <w:pStyle w:val="89"/>
            </w:pPr>
            <w:r>
              <w:rPr>
                <w:rFonts w:hint="eastAsia"/>
              </w:rPr>
              <w:t>/</w:t>
            </w:r>
          </w:p>
        </w:tc>
        <w:tc>
          <w:tcPr>
            <w:tcW w:w="319" w:type="pct"/>
            <w:shd w:val="clear" w:color="auto" w:fill="auto"/>
            <w:vAlign w:val="center"/>
          </w:tcPr>
          <w:p w14:paraId="6B264A1E">
            <w:pPr>
              <w:pStyle w:val="89"/>
            </w:pPr>
            <w:r>
              <w:t>/</w:t>
            </w:r>
          </w:p>
        </w:tc>
        <w:tc>
          <w:tcPr>
            <w:tcW w:w="383" w:type="pct"/>
            <w:vAlign w:val="center"/>
          </w:tcPr>
          <w:p w14:paraId="433E5C36">
            <w:pPr>
              <w:pStyle w:val="89"/>
            </w:pPr>
            <w:r>
              <w:rPr>
                <w:rFonts w:hint="eastAsia"/>
                <w:color w:val="000000"/>
                <w:sz w:val="22"/>
              </w:rPr>
              <w:t xml:space="preserve">18184.80 </w:t>
            </w:r>
          </w:p>
        </w:tc>
        <w:tc>
          <w:tcPr>
            <w:tcW w:w="351" w:type="pct"/>
            <w:vAlign w:val="center"/>
          </w:tcPr>
          <w:p w14:paraId="58A2D428">
            <w:pPr>
              <w:pStyle w:val="89"/>
            </w:pPr>
            <w:r>
              <w:rPr>
                <w:rFonts w:hint="eastAsia"/>
                <w:color w:val="000000"/>
                <w:sz w:val="22"/>
              </w:rPr>
              <w:t xml:space="preserve">1.00 </w:t>
            </w:r>
          </w:p>
        </w:tc>
      </w:tr>
      <w:tr w14:paraId="7DA2E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330ADFCA">
            <w:pPr>
              <w:pStyle w:val="89"/>
            </w:pPr>
            <w:r>
              <w:rPr>
                <w:rFonts w:hint="eastAsia"/>
                <w:color w:val="000000"/>
                <w:sz w:val="22"/>
              </w:rPr>
              <w:t>农副食品加工业</w:t>
            </w:r>
          </w:p>
        </w:tc>
        <w:tc>
          <w:tcPr>
            <w:tcW w:w="317" w:type="pct"/>
            <w:shd w:val="clear" w:color="auto" w:fill="auto"/>
            <w:vAlign w:val="center"/>
          </w:tcPr>
          <w:p w14:paraId="77E889A1">
            <w:pPr>
              <w:pStyle w:val="89"/>
            </w:pPr>
            <w:r>
              <w:rPr>
                <w:rFonts w:hint="eastAsia"/>
                <w:color w:val="000000"/>
                <w:sz w:val="22"/>
              </w:rPr>
              <w:t xml:space="preserve">58.95 </w:t>
            </w:r>
          </w:p>
        </w:tc>
        <w:tc>
          <w:tcPr>
            <w:tcW w:w="318" w:type="pct"/>
            <w:shd w:val="clear" w:color="auto" w:fill="auto"/>
            <w:vAlign w:val="center"/>
          </w:tcPr>
          <w:p w14:paraId="6A876206">
            <w:pPr>
              <w:pStyle w:val="89"/>
            </w:pPr>
            <w:r>
              <w:rPr>
                <w:rFonts w:hint="eastAsia"/>
                <w:color w:val="000000"/>
                <w:sz w:val="22"/>
              </w:rPr>
              <w:t xml:space="preserve">51.34 </w:t>
            </w:r>
          </w:p>
        </w:tc>
        <w:tc>
          <w:tcPr>
            <w:tcW w:w="285" w:type="pct"/>
            <w:shd w:val="clear" w:color="auto" w:fill="auto"/>
            <w:vAlign w:val="center"/>
          </w:tcPr>
          <w:p w14:paraId="29242678">
            <w:pPr>
              <w:pStyle w:val="89"/>
            </w:pPr>
            <w:r>
              <w:rPr>
                <w:rFonts w:hint="eastAsia"/>
                <w:color w:val="000000"/>
                <w:sz w:val="22"/>
              </w:rPr>
              <w:t xml:space="preserve">3.73 </w:t>
            </w:r>
          </w:p>
        </w:tc>
        <w:tc>
          <w:tcPr>
            <w:tcW w:w="318" w:type="pct"/>
            <w:vAlign w:val="center"/>
          </w:tcPr>
          <w:p w14:paraId="7D586F29">
            <w:pPr>
              <w:pStyle w:val="89"/>
            </w:pPr>
            <w:r>
              <w:rPr>
                <w:rFonts w:hint="eastAsia"/>
                <w:color w:val="000000"/>
                <w:sz w:val="22"/>
              </w:rPr>
              <w:t xml:space="preserve">3.20 </w:t>
            </w:r>
          </w:p>
        </w:tc>
        <w:tc>
          <w:tcPr>
            <w:tcW w:w="285" w:type="pct"/>
            <w:vAlign w:val="center"/>
          </w:tcPr>
          <w:p w14:paraId="0BE5A311">
            <w:pPr>
              <w:pStyle w:val="89"/>
            </w:pPr>
            <w:r>
              <w:rPr>
                <w:rFonts w:hint="eastAsia"/>
                <w:color w:val="000000"/>
                <w:sz w:val="22"/>
              </w:rPr>
              <w:t xml:space="preserve">0.42 </w:t>
            </w:r>
          </w:p>
        </w:tc>
        <w:tc>
          <w:tcPr>
            <w:tcW w:w="285" w:type="pct"/>
            <w:vAlign w:val="center"/>
          </w:tcPr>
          <w:p w14:paraId="544DD63B">
            <w:pPr>
              <w:pStyle w:val="89"/>
            </w:pPr>
            <w:r>
              <w:rPr>
                <w:rFonts w:hint="eastAsia"/>
                <w:color w:val="000000"/>
                <w:sz w:val="22"/>
              </w:rPr>
              <w:t xml:space="preserve">1.89 </w:t>
            </w:r>
          </w:p>
        </w:tc>
        <w:tc>
          <w:tcPr>
            <w:tcW w:w="315" w:type="pct"/>
            <w:vAlign w:val="center"/>
          </w:tcPr>
          <w:p w14:paraId="58582335">
            <w:pPr>
              <w:pStyle w:val="89"/>
            </w:pPr>
            <w:r>
              <w:rPr>
                <w:rFonts w:hint="eastAsia"/>
                <w:color w:val="000000"/>
                <w:sz w:val="22"/>
              </w:rPr>
              <w:t xml:space="preserve">0.30 </w:t>
            </w:r>
          </w:p>
        </w:tc>
        <w:tc>
          <w:tcPr>
            <w:tcW w:w="261" w:type="pct"/>
            <w:shd w:val="clear" w:color="auto" w:fill="auto"/>
            <w:vAlign w:val="center"/>
          </w:tcPr>
          <w:p w14:paraId="41C12CE3">
            <w:pPr>
              <w:pStyle w:val="89"/>
            </w:pPr>
            <w:r>
              <w:t>/</w:t>
            </w:r>
          </w:p>
        </w:tc>
        <w:tc>
          <w:tcPr>
            <w:tcW w:w="263" w:type="pct"/>
            <w:shd w:val="clear" w:color="auto" w:fill="auto"/>
            <w:vAlign w:val="center"/>
          </w:tcPr>
          <w:p w14:paraId="4832F8E8">
            <w:pPr>
              <w:pStyle w:val="89"/>
            </w:pPr>
            <w:r>
              <w:t>/</w:t>
            </w:r>
          </w:p>
        </w:tc>
        <w:tc>
          <w:tcPr>
            <w:tcW w:w="239" w:type="pct"/>
            <w:shd w:val="clear" w:color="auto" w:fill="auto"/>
            <w:vAlign w:val="center"/>
          </w:tcPr>
          <w:p w14:paraId="3E3D55E6">
            <w:pPr>
              <w:pStyle w:val="89"/>
            </w:pPr>
            <w:r>
              <w:t>/</w:t>
            </w:r>
          </w:p>
        </w:tc>
        <w:tc>
          <w:tcPr>
            <w:tcW w:w="251" w:type="pct"/>
            <w:shd w:val="clear" w:color="auto" w:fill="auto"/>
            <w:vAlign w:val="center"/>
          </w:tcPr>
          <w:p w14:paraId="5C0B77E7">
            <w:pPr>
              <w:pStyle w:val="89"/>
            </w:pPr>
            <w:r>
              <w:rPr>
                <w:rFonts w:hint="eastAsia"/>
              </w:rPr>
              <w:t>/</w:t>
            </w:r>
          </w:p>
        </w:tc>
        <w:tc>
          <w:tcPr>
            <w:tcW w:w="319" w:type="pct"/>
            <w:shd w:val="clear" w:color="auto" w:fill="auto"/>
            <w:vAlign w:val="center"/>
          </w:tcPr>
          <w:p w14:paraId="4A05BC67">
            <w:pPr>
              <w:pStyle w:val="89"/>
            </w:pPr>
            <w:r>
              <w:t>/</w:t>
            </w:r>
          </w:p>
        </w:tc>
        <w:tc>
          <w:tcPr>
            <w:tcW w:w="383" w:type="pct"/>
            <w:vAlign w:val="center"/>
          </w:tcPr>
          <w:p w14:paraId="04025993">
            <w:pPr>
              <w:pStyle w:val="89"/>
            </w:pPr>
            <w:r>
              <w:rPr>
                <w:rFonts w:hint="eastAsia"/>
                <w:color w:val="000000"/>
                <w:sz w:val="22"/>
              </w:rPr>
              <w:t xml:space="preserve">8196.66 </w:t>
            </w:r>
          </w:p>
        </w:tc>
        <w:tc>
          <w:tcPr>
            <w:tcW w:w="351" w:type="pct"/>
            <w:vAlign w:val="center"/>
          </w:tcPr>
          <w:p w14:paraId="23C6730C">
            <w:pPr>
              <w:pStyle w:val="89"/>
            </w:pPr>
            <w:r>
              <w:rPr>
                <w:rFonts w:hint="eastAsia"/>
                <w:color w:val="000000"/>
                <w:sz w:val="22"/>
              </w:rPr>
              <w:t xml:space="preserve">0.39 </w:t>
            </w:r>
          </w:p>
        </w:tc>
      </w:tr>
      <w:tr w14:paraId="391A2E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533886AC">
            <w:pPr>
              <w:pStyle w:val="89"/>
            </w:pPr>
            <w:r>
              <w:rPr>
                <w:rFonts w:hint="eastAsia"/>
                <w:color w:val="000000"/>
                <w:sz w:val="22"/>
              </w:rPr>
              <w:t>其他服务业</w:t>
            </w:r>
          </w:p>
        </w:tc>
        <w:tc>
          <w:tcPr>
            <w:tcW w:w="317" w:type="pct"/>
            <w:shd w:val="clear" w:color="auto" w:fill="auto"/>
            <w:vAlign w:val="center"/>
          </w:tcPr>
          <w:p w14:paraId="73EECDCF">
            <w:pPr>
              <w:pStyle w:val="89"/>
            </w:pPr>
            <w:r>
              <w:rPr>
                <w:rFonts w:hint="eastAsia"/>
                <w:color w:val="000000"/>
                <w:sz w:val="22"/>
              </w:rPr>
              <w:t xml:space="preserve">2.41 </w:t>
            </w:r>
          </w:p>
        </w:tc>
        <w:tc>
          <w:tcPr>
            <w:tcW w:w="318" w:type="pct"/>
            <w:shd w:val="clear" w:color="auto" w:fill="auto"/>
            <w:vAlign w:val="center"/>
          </w:tcPr>
          <w:p w14:paraId="10CA5494">
            <w:pPr>
              <w:pStyle w:val="89"/>
            </w:pPr>
            <w:r>
              <w:rPr>
                <w:rFonts w:hint="eastAsia"/>
                <w:color w:val="000000"/>
                <w:sz w:val="22"/>
              </w:rPr>
              <w:t xml:space="preserve">1.20 </w:t>
            </w:r>
          </w:p>
        </w:tc>
        <w:tc>
          <w:tcPr>
            <w:tcW w:w="285" w:type="pct"/>
            <w:shd w:val="clear" w:color="auto" w:fill="auto"/>
            <w:vAlign w:val="center"/>
          </w:tcPr>
          <w:p w14:paraId="1F4B2A72">
            <w:pPr>
              <w:pStyle w:val="89"/>
            </w:pPr>
            <w:r>
              <w:rPr>
                <w:rFonts w:hint="eastAsia"/>
                <w:color w:val="000000"/>
                <w:sz w:val="22"/>
              </w:rPr>
              <w:t xml:space="preserve">0.12 </w:t>
            </w:r>
          </w:p>
        </w:tc>
        <w:tc>
          <w:tcPr>
            <w:tcW w:w="318" w:type="pct"/>
            <w:vAlign w:val="center"/>
          </w:tcPr>
          <w:p w14:paraId="6325D972">
            <w:pPr>
              <w:pStyle w:val="89"/>
            </w:pPr>
            <w:r>
              <w:rPr>
                <w:rFonts w:hint="eastAsia"/>
                <w:color w:val="000000"/>
                <w:sz w:val="22"/>
              </w:rPr>
              <w:t xml:space="preserve">0.00 </w:t>
            </w:r>
          </w:p>
        </w:tc>
        <w:tc>
          <w:tcPr>
            <w:tcW w:w="285" w:type="pct"/>
            <w:vAlign w:val="center"/>
          </w:tcPr>
          <w:p w14:paraId="7A52B0D6">
            <w:pPr>
              <w:pStyle w:val="89"/>
            </w:pPr>
            <w:r>
              <w:rPr>
                <w:rFonts w:hint="eastAsia"/>
                <w:color w:val="000000"/>
                <w:sz w:val="22"/>
              </w:rPr>
              <w:t xml:space="preserve">0.005 </w:t>
            </w:r>
          </w:p>
        </w:tc>
        <w:tc>
          <w:tcPr>
            <w:tcW w:w="285" w:type="pct"/>
            <w:vAlign w:val="center"/>
          </w:tcPr>
          <w:p w14:paraId="06E540B3">
            <w:pPr>
              <w:pStyle w:val="89"/>
            </w:pPr>
            <w:r>
              <w:rPr>
                <w:rFonts w:hint="eastAsia"/>
                <w:color w:val="000000"/>
                <w:sz w:val="22"/>
              </w:rPr>
              <w:t xml:space="preserve">0.22 </w:t>
            </w:r>
          </w:p>
        </w:tc>
        <w:tc>
          <w:tcPr>
            <w:tcW w:w="315" w:type="pct"/>
            <w:vAlign w:val="center"/>
          </w:tcPr>
          <w:p w14:paraId="57CBDC51">
            <w:pPr>
              <w:pStyle w:val="89"/>
            </w:pPr>
            <w:r>
              <w:rPr>
                <w:rFonts w:hint="eastAsia"/>
                <w:color w:val="000000"/>
                <w:sz w:val="22"/>
              </w:rPr>
              <w:t xml:space="preserve">0.00 </w:t>
            </w:r>
          </w:p>
        </w:tc>
        <w:tc>
          <w:tcPr>
            <w:tcW w:w="261" w:type="pct"/>
            <w:shd w:val="clear" w:color="auto" w:fill="auto"/>
            <w:vAlign w:val="center"/>
          </w:tcPr>
          <w:p w14:paraId="5124B226">
            <w:pPr>
              <w:pStyle w:val="89"/>
            </w:pPr>
            <w:r>
              <w:t>/</w:t>
            </w:r>
          </w:p>
        </w:tc>
        <w:tc>
          <w:tcPr>
            <w:tcW w:w="263" w:type="pct"/>
            <w:shd w:val="clear" w:color="auto" w:fill="auto"/>
            <w:vAlign w:val="center"/>
          </w:tcPr>
          <w:p w14:paraId="0ECC4693">
            <w:pPr>
              <w:pStyle w:val="89"/>
            </w:pPr>
            <w:r>
              <w:t>/</w:t>
            </w:r>
          </w:p>
        </w:tc>
        <w:tc>
          <w:tcPr>
            <w:tcW w:w="239" w:type="pct"/>
            <w:shd w:val="clear" w:color="auto" w:fill="auto"/>
            <w:vAlign w:val="center"/>
          </w:tcPr>
          <w:p w14:paraId="20832CBA">
            <w:pPr>
              <w:pStyle w:val="89"/>
            </w:pPr>
            <w:r>
              <w:t>/</w:t>
            </w:r>
          </w:p>
        </w:tc>
        <w:tc>
          <w:tcPr>
            <w:tcW w:w="251" w:type="pct"/>
            <w:shd w:val="clear" w:color="auto" w:fill="auto"/>
            <w:vAlign w:val="center"/>
          </w:tcPr>
          <w:p w14:paraId="02D7CC61">
            <w:pPr>
              <w:pStyle w:val="89"/>
            </w:pPr>
            <w:r>
              <w:t>/</w:t>
            </w:r>
          </w:p>
        </w:tc>
        <w:tc>
          <w:tcPr>
            <w:tcW w:w="319" w:type="pct"/>
            <w:shd w:val="clear" w:color="auto" w:fill="auto"/>
            <w:vAlign w:val="center"/>
          </w:tcPr>
          <w:p w14:paraId="6FC4E05F">
            <w:pPr>
              <w:pStyle w:val="89"/>
            </w:pPr>
            <w:r>
              <w:t>/</w:t>
            </w:r>
          </w:p>
        </w:tc>
        <w:tc>
          <w:tcPr>
            <w:tcW w:w="383" w:type="pct"/>
            <w:vAlign w:val="center"/>
          </w:tcPr>
          <w:p w14:paraId="083D430E">
            <w:pPr>
              <w:pStyle w:val="89"/>
            </w:pPr>
            <w:r>
              <w:rPr>
                <w:rFonts w:hint="eastAsia"/>
                <w:color w:val="000000"/>
                <w:sz w:val="22"/>
              </w:rPr>
              <w:t xml:space="preserve">29.00 </w:t>
            </w:r>
          </w:p>
        </w:tc>
        <w:tc>
          <w:tcPr>
            <w:tcW w:w="351" w:type="pct"/>
            <w:vAlign w:val="center"/>
          </w:tcPr>
          <w:p w14:paraId="3939E127">
            <w:pPr>
              <w:pStyle w:val="89"/>
            </w:pPr>
            <w:r>
              <w:rPr>
                <w:rFonts w:hint="eastAsia"/>
                <w:color w:val="000000"/>
                <w:sz w:val="22"/>
              </w:rPr>
              <w:t xml:space="preserve">0.01 </w:t>
            </w:r>
          </w:p>
        </w:tc>
      </w:tr>
      <w:tr w14:paraId="16269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2171FCAB">
            <w:pPr>
              <w:pStyle w:val="89"/>
            </w:pPr>
            <w:r>
              <w:rPr>
                <w:rFonts w:hint="eastAsia"/>
                <w:color w:val="000000"/>
                <w:sz w:val="22"/>
              </w:rPr>
              <w:t>汽车制造业</w:t>
            </w:r>
          </w:p>
        </w:tc>
        <w:tc>
          <w:tcPr>
            <w:tcW w:w="317" w:type="pct"/>
            <w:shd w:val="clear" w:color="auto" w:fill="auto"/>
            <w:vAlign w:val="center"/>
          </w:tcPr>
          <w:p w14:paraId="1AD9F537">
            <w:pPr>
              <w:pStyle w:val="89"/>
            </w:pPr>
            <w:r>
              <w:rPr>
                <w:rFonts w:hint="eastAsia"/>
                <w:color w:val="000000"/>
                <w:sz w:val="22"/>
              </w:rPr>
              <w:t xml:space="preserve">1.46 </w:t>
            </w:r>
          </w:p>
        </w:tc>
        <w:tc>
          <w:tcPr>
            <w:tcW w:w="318" w:type="pct"/>
            <w:shd w:val="clear" w:color="auto" w:fill="auto"/>
            <w:vAlign w:val="center"/>
          </w:tcPr>
          <w:p w14:paraId="043A7877">
            <w:pPr>
              <w:pStyle w:val="89"/>
            </w:pPr>
            <w:r>
              <w:rPr>
                <w:rFonts w:hint="eastAsia"/>
                <w:color w:val="000000"/>
                <w:sz w:val="22"/>
              </w:rPr>
              <w:t xml:space="preserve">0.78 </w:t>
            </w:r>
          </w:p>
        </w:tc>
        <w:tc>
          <w:tcPr>
            <w:tcW w:w="285" w:type="pct"/>
            <w:shd w:val="clear" w:color="auto" w:fill="auto"/>
            <w:vAlign w:val="center"/>
          </w:tcPr>
          <w:p w14:paraId="5349789F">
            <w:pPr>
              <w:pStyle w:val="89"/>
            </w:pPr>
            <w:r>
              <w:rPr>
                <w:rFonts w:hint="eastAsia"/>
                <w:color w:val="000000"/>
                <w:sz w:val="22"/>
              </w:rPr>
              <w:t xml:space="preserve">0.07 </w:t>
            </w:r>
          </w:p>
        </w:tc>
        <w:tc>
          <w:tcPr>
            <w:tcW w:w="318" w:type="pct"/>
            <w:vAlign w:val="center"/>
          </w:tcPr>
          <w:p w14:paraId="7704DD9B">
            <w:pPr>
              <w:pStyle w:val="89"/>
            </w:pPr>
            <w:r>
              <w:rPr>
                <w:rFonts w:hint="eastAsia"/>
                <w:color w:val="000000"/>
                <w:sz w:val="22"/>
              </w:rPr>
              <w:t xml:space="preserve">0.32 </w:t>
            </w:r>
          </w:p>
        </w:tc>
        <w:tc>
          <w:tcPr>
            <w:tcW w:w="285" w:type="pct"/>
            <w:vAlign w:val="center"/>
          </w:tcPr>
          <w:p w14:paraId="186BA487">
            <w:pPr>
              <w:pStyle w:val="89"/>
            </w:pPr>
            <w:r>
              <w:rPr>
                <w:rFonts w:hint="eastAsia"/>
                <w:color w:val="000000"/>
                <w:sz w:val="22"/>
              </w:rPr>
              <w:t xml:space="preserve">0.00 </w:t>
            </w:r>
          </w:p>
        </w:tc>
        <w:tc>
          <w:tcPr>
            <w:tcW w:w="285" w:type="pct"/>
            <w:vAlign w:val="center"/>
          </w:tcPr>
          <w:p w14:paraId="7279F7BB">
            <w:pPr>
              <w:pStyle w:val="89"/>
            </w:pPr>
            <w:r>
              <w:rPr>
                <w:rFonts w:hint="eastAsia"/>
                <w:color w:val="000000"/>
                <w:sz w:val="22"/>
              </w:rPr>
              <w:t xml:space="preserve">0.00 </w:t>
            </w:r>
          </w:p>
        </w:tc>
        <w:tc>
          <w:tcPr>
            <w:tcW w:w="315" w:type="pct"/>
            <w:vAlign w:val="center"/>
          </w:tcPr>
          <w:p w14:paraId="25498684">
            <w:pPr>
              <w:pStyle w:val="89"/>
            </w:pPr>
            <w:r>
              <w:rPr>
                <w:rFonts w:hint="eastAsia"/>
                <w:color w:val="000000"/>
                <w:sz w:val="22"/>
              </w:rPr>
              <w:t xml:space="preserve">0.62 </w:t>
            </w:r>
          </w:p>
        </w:tc>
        <w:tc>
          <w:tcPr>
            <w:tcW w:w="261" w:type="pct"/>
            <w:shd w:val="clear" w:color="auto" w:fill="auto"/>
            <w:vAlign w:val="center"/>
          </w:tcPr>
          <w:p w14:paraId="6AD4C689">
            <w:pPr>
              <w:pStyle w:val="89"/>
            </w:pPr>
            <w:r>
              <w:t>/</w:t>
            </w:r>
          </w:p>
        </w:tc>
        <w:tc>
          <w:tcPr>
            <w:tcW w:w="263" w:type="pct"/>
            <w:shd w:val="clear" w:color="auto" w:fill="auto"/>
            <w:vAlign w:val="center"/>
          </w:tcPr>
          <w:p w14:paraId="34E3559B">
            <w:pPr>
              <w:pStyle w:val="89"/>
            </w:pPr>
            <w:r>
              <w:t>/</w:t>
            </w:r>
          </w:p>
        </w:tc>
        <w:tc>
          <w:tcPr>
            <w:tcW w:w="239" w:type="pct"/>
            <w:shd w:val="clear" w:color="auto" w:fill="auto"/>
            <w:vAlign w:val="center"/>
          </w:tcPr>
          <w:p w14:paraId="7F02BDFF">
            <w:pPr>
              <w:pStyle w:val="89"/>
            </w:pPr>
            <w:r>
              <w:t>/</w:t>
            </w:r>
          </w:p>
        </w:tc>
        <w:tc>
          <w:tcPr>
            <w:tcW w:w="251" w:type="pct"/>
            <w:shd w:val="clear" w:color="auto" w:fill="auto"/>
            <w:vAlign w:val="center"/>
          </w:tcPr>
          <w:p w14:paraId="34D6C424">
            <w:pPr>
              <w:pStyle w:val="89"/>
            </w:pPr>
            <w:r>
              <w:t>/</w:t>
            </w:r>
          </w:p>
        </w:tc>
        <w:tc>
          <w:tcPr>
            <w:tcW w:w="319" w:type="pct"/>
            <w:shd w:val="clear" w:color="auto" w:fill="auto"/>
            <w:vAlign w:val="center"/>
          </w:tcPr>
          <w:p w14:paraId="7F8AD55E">
            <w:pPr>
              <w:pStyle w:val="89"/>
            </w:pPr>
            <w:r>
              <w:t>/</w:t>
            </w:r>
          </w:p>
        </w:tc>
        <w:tc>
          <w:tcPr>
            <w:tcW w:w="383" w:type="pct"/>
            <w:vAlign w:val="center"/>
          </w:tcPr>
          <w:p w14:paraId="4B15F300">
            <w:pPr>
              <w:pStyle w:val="89"/>
            </w:pPr>
            <w:r>
              <w:rPr>
                <w:rFonts w:hint="eastAsia"/>
                <w:color w:val="000000"/>
                <w:sz w:val="22"/>
              </w:rPr>
              <w:t xml:space="preserve">265.86 </w:t>
            </w:r>
          </w:p>
        </w:tc>
        <w:tc>
          <w:tcPr>
            <w:tcW w:w="351" w:type="pct"/>
            <w:vAlign w:val="center"/>
          </w:tcPr>
          <w:p w14:paraId="35DB0210">
            <w:pPr>
              <w:pStyle w:val="89"/>
            </w:pPr>
            <w:r>
              <w:rPr>
                <w:rFonts w:hint="eastAsia"/>
                <w:color w:val="000000"/>
                <w:sz w:val="22"/>
              </w:rPr>
              <w:t xml:space="preserve">16.80 </w:t>
            </w:r>
          </w:p>
        </w:tc>
      </w:tr>
      <w:tr w14:paraId="1E2EA3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3BB10690">
            <w:pPr>
              <w:pStyle w:val="89"/>
            </w:pPr>
            <w:r>
              <w:rPr>
                <w:rFonts w:hint="eastAsia"/>
                <w:color w:val="000000"/>
                <w:sz w:val="22"/>
              </w:rPr>
              <w:t>食品制造业</w:t>
            </w:r>
          </w:p>
        </w:tc>
        <w:tc>
          <w:tcPr>
            <w:tcW w:w="317" w:type="pct"/>
            <w:shd w:val="clear" w:color="auto" w:fill="auto"/>
            <w:vAlign w:val="center"/>
          </w:tcPr>
          <w:p w14:paraId="601B8372">
            <w:pPr>
              <w:pStyle w:val="89"/>
            </w:pPr>
            <w:r>
              <w:rPr>
                <w:rFonts w:hint="eastAsia"/>
                <w:color w:val="000000"/>
                <w:sz w:val="22"/>
              </w:rPr>
              <w:t xml:space="preserve">71.07 </w:t>
            </w:r>
          </w:p>
        </w:tc>
        <w:tc>
          <w:tcPr>
            <w:tcW w:w="318" w:type="pct"/>
            <w:shd w:val="clear" w:color="auto" w:fill="auto"/>
            <w:vAlign w:val="center"/>
          </w:tcPr>
          <w:p w14:paraId="3EC68B90">
            <w:pPr>
              <w:pStyle w:val="89"/>
            </w:pPr>
            <w:r>
              <w:rPr>
                <w:rFonts w:hint="eastAsia"/>
                <w:color w:val="000000"/>
                <w:sz w:val="22"/>
              </w:rPr>
              <w:t xml:space="preserve">42.36 </w:t>
            </w:r>
          </w:p>
        </w:tc>
        <w:tc>
          <w:tcPr>
            <w:tcW w:w="285" w:type="pct"/>
            <w:shd w:val="clear" w:color="auto" w:fill="auto"/>
            <w:vAlign w:val="center"/>
          </w:tcPr>
          <w:p w14:paraId="1E41FF76">
            <w:pPr>
              <w:pStyle w:val="89"/>
            </w:pPr>
            <w:r>
              <w:rPr>
                <w:rFonts w:hint="eastAsia"/>
                <w:color w:val="000000"/>
                <w:sz w:val="22"/>
              </w:rPr>
              <w:t xml:space="preserve">3.68 </w:t>
            </w:r>
          </w:p>
        </w:tc>
        <w:tc>
          <w:tcPr>
            <w:tcW w:w="318" w:type="pct"/>
            <w:vAlign w:val="center"/>
          </w:tcPr>
          <w:p w14:paraId="5E9A1699">
            <w:pPr>
              <w:pStyle w:val="89"/>
            </w:pPr>
            <w:r>
              <w:rPr>
                <w:rFonts w:hint="eastAsia"/>
                <w:color w:val="000000"/>
                <w:sz w:val="22"/>
              </w:rPr>
              <w:t xml:space="preserve">3.36 </w:t>
            </w:r>
          </w:p>
        </w:tc>
        <w:tc>
          <w:tcPr>
            <w:tcW w:w="285" w:type="pct"/>
            <w:vAlign w:val="center"/>
          </w:tcPr>
          <w:p w14:paraId="79B9F8CF">
            <w:pPr>
              <w:pStyle w:val="89"/>
            </w:pPr>
            <w:r>
              <w:rPr>
                <w:rFonts w:hint="eastAsia"/>
                <w:color w:val="000000"/>
                <w:sz w:val="22"/>
              </w:rPr>
              <w:t xml:space="preserve">1.77 </w:t>
            </w:r>
          </w:p>
        </w:tc>
        <w:tc>
          <w:tcPr>
            <w:tcW w:w="285" w:type="pct"/>
            <w:vAlign w:val="center"/>
          </w:tcPr>
          <w:p w14:paraId="6AC251B3">
            <w:pPr>
              <w:pStyle w:val="89"/>
            </w:pPr>
            <w:r>
              <w:rPr>
                <w:rFonts w:hint="eastAsia"/>
                <w:color w:val="000000"/>
                <w:sz w:val="22"/>
              </w:rPr>
              <w:t xml:space="preserve">7.88 </w:t>
            </w:r>
          </w:p>
        </w:tc>
        <w:tc>
          <w:tcPr>
            <w:tcW w:w="315" w:type="pct"/>
            <w:vAlign w:val="center"/>
          </w:tcPr>
          <w:p w14:paraId="4C0BAC3A">
            <w:pPr>
              <w:pStyle w:val="89"/>
            </w:pPr>
            <w:r>
              <w:rPr>
                <w:rFonts w:hint="eastAsia"/>
                <w:color w:val="000000"/>
                <w:sz w:val="22"/>
              </w:rPr>
              <w:t xml:space="preserve">0.69 </w:t>
            </w:r>
          </w:p>
        </w:tc>
        <w:tc>
          <w:tcPr>
            <w:tcW w:w="261" w:type="pct"/>
            <w:shd w:val="clear" w:color="auto" w:fill="auto"/>
            <w:vAlign w:val="center"/>
          </w:tcPr>
          <w:p w14:paraId="0A3620C0">
            <w:pPr>
              <w:pStyle w:val="89"/>
            </w:pPr>
            <w:r>
              <w:t>/</w:t>
            </w:r>
          </w:p>
        </w:tc>
        <w:tc>
          <w:tcPr>
            <w:tcW w:w="263" w:type="pct"/>
            <w:shd w:val="clear" w:color="auto" w:fill="auto"/>
            <w:vAlign w:val="center"/>
          </w:tcPr>
          <w:p w14:paraId="2455D4A2">
            <w:pPr>
              <w:pStyle w:val="89"/>
            </w:pPr>
            <w:r>
              <w:t>/</w:t>
            </w:r>
          </w:p>
        </w:tc>
        <w:tc>
          <w:tcPr>
            <w:tcW w:w="239" w:type="pct"/>
            <w:shd w:val="clear" w:color="auto" w:fill="auto"/>
            <w:vAlign w:val="center"/>
          </w:tcPr>
          <w:p w14:paraId="210660D8">
            <w:pPr>
              <w:pStyle w:val="89"/>
            </w:pPr>
            <w:r>
              <w:t>/</w:t>
            </w:r>
          </w:p>
        </w:tc>
        <w:tc>
          <w:tcPr>
            <w:tcW w:w="251" w:type="pct"/>
            <w:shd w:val="clear" w:color="auto" w:fill="auto"/>
            <w:vAlign w:val="center"/>
          </w:tcPr>
          <w:p w14:paraId="2B8D2498">
            <w:pPr>
              <w:pStyle w:val="89"/>
            </w:pPr>
            <w:r>
              <w:t>/</w:t>
            </w:r>
          </w:p>
        </w:tc>
        <w:tc>
          <w:tcPr>
            <w:tcW w:w="319" w:type="pct"/>
            <w:shd w:val="clear" w:color="auto" w:fill="auto"/>
            <w:vAlign w:val="center"/>
          </w:tcPr>
          <w:p w14:paraId="3A159E37">
            <w:pPr>
              <w:pStyle w:val="89"/>
            </w:pPr>
            <w:r>
              <w:t>/</w:t>
            </w:r>
          </w:p>
        </w:tc>
        <w:tc>
          <w:tcPr>
            <w:tcW w:w="383" w:type="pct"/>
            <w:vAlign w:val="center"/>
          </w:tcPr>
          <w:p w14:paraId="433B6F9A">
            <w:pPr>
              <w:pStyle w:val="89"/>
            </w:pPr>
            <w:r>
              <w:rPr>
                <w:rFonts w:hint="eastAsia"/>
                <w:color w:val="000000"/>
                <w:sz w:val="22"/>
              </w:rPr>
              <w:t xml:space="preserve">1948.15 </w:t>
            </w:r>
          </w:p>
        </w:tc>
        <w:tc>
          <w:tcPr>
            <w:tcW w:w="351" w:type="pct"/>
            <w:vAlign w:val="center"/>
          </w:tcPr>
          <w:p w14:paraId="51679572">
            <w:pPr>
              <w:pStyle w:val="89"/>
            </w:pPr>
            <w:r>
              <w:rPr>
                <w:rFonts w:hint="eastAsia"/>
                <w:color w:val="000000"/>
                <w:sz w:val="22"/>
              </w:rPr>
              <w:t xml:space="preserve">0.03 </w:t>
            </w:r>
          </w:p>
        </w:tc>
      </w:tr>
      <w:tr w14:paraId="2CD2C0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7E081D98">
            <w:pPr>
              <w:pStyle w:val="89"/>
            </w:pPr>
            <w:r>
              <w:rPr>
                <w:rFonts w:hint="eastAsia"/>
                <w:color w:val="000000"/>
                <w:sz w:val="22"/>
              </w:rPr>
              <w:t>铁路、船舶、航空航天和其他运输设备制造业</w:t>
            </w:r>
          </w:p>
        </w:tc>
        <w:tc>
          <w:tcPr>
            <w:tcW w:w="317" w:type="pct"/>
            <w:shd w:val="clear" w:color="auto" w:fill="auto"/>
            <w:vAlign w:val="center"/>
          </w:tcPr>
          <w:p w14:paraId="03821D9B">
            <w:pPr>
              <w:pStyle w:val="89"/>
            </w:pPr>
            <w:r>
              <w:rPr>
                <w:rFonts w:hint="eastAsia"/>
                <w:color w:val="000000"/>
                <w:sz w:val="22"/>
              </w:rPr>
              <w:t xml:space="preserve">0.33 </w:t>
            </w:r>
          </w:p>
        </w:tc>
        <w:tc>
          <w:tcPr>
            <w:tcW w:w="318" w:type="pct"/>
            <w:shd w:val="clear" w:color="auto" w:fill="auto"/>
            <w:vAlign w:val="center"/>
          </w:tcPr>
          <w:p w14:paraId="1E6744D1">
            <w:pPr>
              <w:pStyle w:val="89"/>
            </w:pPr>
            <w:r>
              <w:rPr>
                <w:rFonts w:hint="eastAsia"/>
                <w:color w:val="000000"/>
                <w:sz w:val="22"/>
              </w:rPr>
              <w:t xml:space="preserve">0.66 </w:t>
            </w:r>
          </w:p>
        </w:tc>
        <w:tc>
          <w:tcPr>
            <w:tcW w:w="285" w:type="pct"/>
            <w:shd w:val="clear" w:color="auto" w:fill="auto"/>
            <w:vAlign w:val="center"/>
          </w:tcPr>
          <w:p w14:paraId="6D443840">
            <w:pPr>
              <w:pStyle w:val="89"/>
            </w:pPr>
            <w:r>
              <w:rPr>
                <w:rFonts w:hint="eastAsia"/>
                <w:color w:val="000000"/>
                <w:sz w:val="22"/>
              </w:rPr>
              <w:t xml:space="preserve">0.06 </w:t>
            </w:r>
          </w:p>
        </w:tc>
        <w:tc>
          <w:tcPr>
            <w:tcW w:w="318" w:type="pct"/>
            <w:vAlign w:val="center"/>
          </w:tcPr>
          <w:p w14:paraId="295EF994">
            <w:pPr>
              <w:pStyle w:val="89"/>
            </w:pPr>
            <w:r>
              <w:rPr>
                <w:rFonts w:hint="eastAsia"/>
                <w:color w:val="000000"/>
                <w:sz w:val="22"/>
              </w:rPr>
              <w:t xml:space="preserve">0.05 </w:t>
            </w:r>
          </w:p>
        </w:tc>
        <w:tc>
          <w:tcPr>
            <w:tcW w:w="285" w:type="pct"/>
            <w:vAlign w:val="center"/>
          </w:tcPr>
          <w:p w14:paraId="2866E68C">
            <w:pPr>
              <w:pStyle w:val="89"/>
            </w:pPr>
            <w:r>
              <w:rPr>
                <w:rFonts w:hint="eastAsia"/>
                <w:color w:val="000000"/>
                <w:sz w:val="22"/>
              </w:rPr>
              <w:t xml:space="preserve">0.00 </w:t>
            </w:r>
          </w:p>
        </w:tc>
        <w:tc>
          <w:tcPr>
            <w:tcW w:w="285" w:type="pct"/>
            <w:vAlign w:val="center"/>
          </w:tcPr>
          <w:p w14:paraId="649665A6">
            <w:pPr>
              <w:pStyle w:val="89"/>
            </w:pPr>
            <w:r>
              <w:rPr>
                <w:rFonts w:hint="eastAsia"/>
                <w:color w:val="000000"/>
                <w:sz w:val="22"/>
              </w:rPr>
              <w:t xml:space="preserve">0.00 </w:t>
            </w:r>
          </w:p>
        </w:tc>
        <w:tc>
          <w:tcPr>
            <w:tcW w:w="315" w:type="pct"/>
            <w:vAlign w:val="center"/>
          </w:tcPr>
          <w:p w14:paraId="3A198307">
            <w:pPr>
              <w:pStyle w:val="89"/>
            </w:pPr>
            <w:r>
              <w:rPr>
                <w:rFonts w:hint="eastAsia"/>
                <w:color w:val="000000"/>
                <w:sz w:val="22"/>
              </w:rPr>
              <w:t xml:space="preserve">0.00 </w:t>
            </w:r>
          </w:p>
        </w:tc>
        <w:tc>
          <w:tcPr>
            <w:tcW w:w="261" w:type="pct"/>
            <w:shd w:val="clear" w:color="auto" w:fill="auto"/>
            <w:vAlign w:val="center"/>
          </w:tcPr>
          <w:p w14:paraId="1EF3CA34">
            <w:pPr>
              <w:pStyle w:val="89"/>
            </w:pPr>
            <w:r>
              <w:t>/</w:t>
            </w:r>
          </w:p>
        </w:tc>
        <w:tc>
          <w:tcPr>
            <w:tcW w:w="263" w:type="pct"/>
            <w:shd w:val="clear" w:color="auto" w:fill="auto"/>
            <w:vAlign w:val="center"/>
          </w:tcPr>
          <w:p w14:paraId="438551DF">
            <w:pPr>
              <w:pStyle w:val="89"/>
            </w:pPr>
            <w:r>
              <w:t>/</w:t>
            </w:r>
          </w:p>
        </w:tc>
        <w:tc>
          <w:tcPr>
            <w:tcW w:w="239" w:type="pct"/>
            <w:shd w:val="clear" w:color="auto" w:fill="auto"/>
            <w:vAlign w:val="center"/>
          </w:tcPr>
          <w:p w14:paraId="2F665BAB">
            <w:pPr>
              <w:pStyle w:val="89"/>
            </w:pPr>
            <w:r>
              <w:t>0.015</w:t>
            </w:r>
          </w:p>
        </w:tc>
        <w:tc>
          <w:tcPr>
            <w:tcW w:w="251" w:type="pct"/>
            <w:shd w:val="clear" w:color="auto" w:fill="auto"/>
            <w:vAlign w:val="center"/>
          </w:tcPr>
          <w:p w14:paraId="631C8070">
            <w:pPr>
              <w:pStyle w:val="89"/>
            </w:pPr>
            <w:r>
              <w:t>0.405</w:t>
            </w:r>
          </w:p>
        </w:tc>
        <w:tc>
          <w:tcPr>
            <w:tcW w:w="319" w:type="pct"/>
            <w:shd w:val="clear" w:color="auto" w:fill="auto"/>
            <w:vAlign w:val="center"/>
          </w:tcPr>
          <w:p w14:paraId="11C9365A">
            <w:pPr>
              <w:pStyle w:val="89"/>
            </w:pPr>
            <w:r>
              <w:t>/</w:t>
            </w:r>
          </w:p>
        </w:tc>
        <w:tc>
          <w:tcPr>
            <w:tcW w:w="383" w:type="pct"/>
            <w:vAlign w:val="center"/>
          </w:tcPr>
          <w:p w14:paraId="26D1FAF2">
            <w:pPr>
              <w:pStyle w:val="89"/>
            </w:pPr>
            <w:r>
              <w:rPr>
                <w:rFonts w:hint="eastAsia"/>
                <w:color w:val="000000"/>
                <w:sz w:val="22"/>
              </w:rPr>
              <w:t xml:space="preserve">124.08 </w:t>
            </w:r>
          </w:p>
        </w:tc>
        <w:tc>
          <w:tcPr>
            <w:tcW w:w="351" w:type="pct"/>
            <w:vAlign w:val="center"/>
          </w:tcPr>
          <w:p w14:paraId="70D74F2E">
            <w:pPr>
              <w:pStyle w:val="89"/>
            </w:pPr>
            <w:r>
              <w:rPr>
                <w:rFonts w:hint="eastAsia"/>
                <w:color w:val="000000"/>
                <w:sz w:val="22"/>
              </w:rPr>
              <w:t xml:space="preserve">0.23 </w:t>
            </w:r>
          </w:p>
        </w:tc>
      </w:tr>
      <w:tr w14:paraId="0B22CE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746EAF39">
            <w:pPr>
              <w:pStyle w:val="89"/>
            </w:pPr>
            <w:r>
              <w:rPr>
                <w:rFonts w:hint="eastAsia"/>
                <w:color w:val="000000"/>
                <w:sz w:val="22"/>
              </w:rPr>
              <w:t>通用设备制造业</w:t>
            </w:r>
          </w:p>
        </w:tc>
        <w:tc>
          <w:tcPr>
            <w:tcW w:w="317" w:type="pct"/>
            <w:shd w:val="clear" w:color="auto" w:fill="auto"/>
            <w:vAlign w:val="center"/>
          </w:tcPr>
          <w:p w14:paraId="74DA0BA3">
            <w:pPr>
              <w:pStyle w:val="89"/>
            </w:pPr>
            <w:r>
              <w:rPr>
                <w:rFonts w:hint="eastAsia"/>
                <w:color w:val="000000"/>
                <w:sz w:val="22"/>
              </w:rPr>
              <w:t xml:space="preserve">7.54 </w:t>
            </w:r>
          </w:p>
        </w:tc>
        <w:tc>
          <w:tcPr>
            <w:tcW w:w="318" w:type="pct"/>
            <w:shd w:val="clear" w:color="auto" w:fill="auto"/>
            <w:vAlign w:val="center"/>
          </w:tcPr>
          <w:p w14:paraId="44BD07B6">
            <w:pPr>
              <w:pStyle w:val="89"/>
            </w:pPr>
            <w:r>
              <w:rPr>
                <w:rFonts w:hint="eastAsia"/>
                <w:color w:val="000000"/>
                <w:sz w:val="22"/>
              </w:rPr>
              <w:t xml:space="preserve">12.56 </w:t>
            </w:r>
          </w:p>
        </w:tc>
        <w:tc>
          <w:tcPr>
            <w:tcW w:w="285" w:type="pct"/>
            <w:shd w:val="clear" w:color="auto" w:fill="auto"/>
            <w:vAlign w:val="center"/>
          </w:tcPr>
          <w:p w14:paraId="6D2B1A18">
            <w:pPr>
              <w:pStyle w:val="89"/>
            </w:pPr>
            <w:r>
              <w:rPr>
                <w:rFonts w:hint="eastAsia"/>
                <w:color w:val="000000"/>
                <w:sz w:val="22"/>
              </w:rPr>
              <w:t xml:space="preserve">0.72 </w:t>
            </w:r>
          </w:p>
        </w:tc>
        <w:tc>
          <w:tcPr>
            <w:tcW w:w="318" w:type="pct"/>
            <w:vAlign w:val="center"/>
          </w:tcPr>
          <w:p w14:paraId="212C4EFA">
            <w:pPr>
              <w:pStyle w:val="89"/>
            </w:pPr>
            <w:r>
              <w:rPr>
                <w:rFonts w:hint="eastAsia"/>
                <w:color w:val="000000"/>
                <w:sz w:val="22"/>
              </w:rPr>
              <w:t xml:space="preserve">12.12 </w:t>
            </w:r>
          </w:p>
        </w:tc>
        <w:tc>
          <w:tcPr>
            <w:tcW w:w="285" w:type="pct"/>
            <w:vAlign w:val="center"/>
          </w:tcPr>
          <w:p w14:paraId="0F10BE16">
            <w:pPr>
              <w:pStyle w:val="89"/>
            </w:pPr>
            <w:r>
              <w:rPr>
                <w:rFonts w:hint="eastAsia"/>
                <w:color w:val="000000"/>
                <w:sz w:val="22"/>
              </w:rPr>
              <w:t xml:space="preserve">0.05 </w:t>
            </w:r>
          </w:p>
        </w:tc>
        <w:tc>
          <w:tcPr>
            <w:tcW w:w="285" w:type="pct"/>
            <w:vAlign w:val="center"/>
          </w:tcPr>
          <w:p w14:paraId="112B6AA0">
            <w:pPr>
              <w:pStyle w:val="89"/>
            </w:pPr>
            <w:r>
              <w:rPr>
                <w:rFonts w:hint="eastAsia"/>
                <w:color w:val="000000"/>
                <w:sz w:val="22"/>
              </w:rPr>
              <w:t xml:space="preserve">0.44 </w:t>
            </w:r>
          </w:p>
        </w:tc>
        <w:tc>
          <w:tcPr>
            <w:tcW w:w="315" w:type="pct"/>
            <w:vAlign w:val="center"/>
          </w:tcPr>
          <w:p w14:paraId="194C8523">
            <w:pPr>
              <w:pStyle w:val="89"/>
            </w:pPr>
            <w:r>
              <w:rPr>
                <w:rFonts w:hint="eastAsia"/>
                <w:color w:val="000000"/>
                <w:sz w:val="22"/>
              </w:rPr>
              <w:t xml:space="preserve">9.78 </w:t>
            </w:r>
          </w:p>
        </w:tc>
        <w:tc>
          <w:tcPr>
            <w:tcW w:w="261" w:type="pct"/>
            <w:shd w:val="clear" w:color="auto" w:fill="auto"/>
            <w:vAlign w:val="center"/>
          </w:tcPr>
          <w:p w14:paraId="3B34C038">
            <w:pPr>
              <w:pStyle w:val="89"/>
            </w:pPr>
            <w:r>
              <w:t>/</w:t>
            </w:r>
          </w:p>
        </w:tc>
        <w:tc>
          <w:tcPr>
            <w:tcW w:w="263" w:type="pct"/>
            <w:shd w:val="clear" w:color="auto" w:fill="auto"/>
            <w:vAlign w:val="center"/>
          </w:tcPr>
          <w:p w14:paraId="55045CED">
            <w:pPr>
              <w:pStyle w:val="89"/>
            </w:pPr>
            <w:r>
              <w:t>/</w:t>
            </w:r>
          </w:p>
        </w:tc>
        <w:tc>
          <w:tcPr>
            <w:tcW w:w="239" w:type="pct"/>
            <w:shd w:val="clear" w:color="auto" w:fill="auto"/>
            <w:vAlign w:val="center"/>
          </w:tcPr>
          <w:p w14:paraId="331CEC5F">
            <w:pPr>
              <w:pStyle w:val="89"/>
            </w:pPr>
            <w:r>
              <w:t>/</w:t>
            </w:r>
          </w:p>
        </w:tc>
        <w:tc>
          <w:tcPr>
            <w:tcW w:w="251" w:type="pct"/>
            <w:shd w:val="clear" w:color="auto" w:fill="auto"/>
            <w:vAlign w:val="center"/>
          </w:tcPr>
          <w:p w14:paraId="37483FC3">
            <w:pPr>
              <w:pStyle w:val="89"/>
            </w:pPr>
            <w:r>
              <w:t>/</w:t>
            </w:r>
          </w:p>
        </w:tc>
        <w:tc>
          <w:tcPr>
            <w:tcW w:w="319" w:type="pct"/>
            <w:shd w:val="clear" w:color="auto" w:fill="auto"/>
            <w:vAlign w:val="center"/>
          </w:tcPr>
          <w:p w14:paraId="33EE54D5">
            <w:pPr>
              <w:pStyle w:val="89"/>
            </w:pPr>
            <w:r>
              <w:t>/</w:t>
            </w:r>
          </w:p>
        </w:tc>
        <w:tc>
          <w:tcPr>
            <w:tcW w:w="383" w:type="pct"/>
            <w:vAlign w:val="center"/>
          </w:tcPr>
          <w:p w14:paraId="35738E7C">
            <w:pPr>
              <w:pStyle w:val="89"/>
            </w:pPr>
            <w:r>
              <w:rPr>
                <w:rFonts w:hint="eastAsia"/>
                <w:color w:val="000000"/>
                <w:sz w:val="22"/>
              </w:rPr>
              <w:t xml:space="preserve">13782.12 </w:t>
            </w:r>
          </w:p>
        </w:tc>
        <w:tc>
          <w:tcPr>
            <w:tcW w:w="351" w:type="pct"/>
            <w:vAlign w:val="center"/>
          </w:tcPr>
          <w:p w14:paraId="0377D749">
            <w:pPr>
              <w:pStyle w:val="89"/>
            </w:pPr>
            <w:r>
              <w:rPr>
                <w:rFonts w:hint="eastAsia"/>
                <w:color w:val="000000"/>
                <w:sz w:val="22"/>
              </w:rPr>
              <w:t xml:space="preserve">391.42 </w:t>
            </w:r>
          </w:p>
        </w:tc>
      </w:tr>
      <w:tr w14:paraId="6DC6EF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7E65BA80">
            <w:pPr>
              <w:pStyle w:val="89"/>
            </w:pPr>
            <w:r>
              <w:rPr>
                <w:rFonts w:hint="eastAsia"/>
                <w:color w:val="000000"/>
                <w:sz w:val="22"/>
              </w:rPr>
              <w:t>文教、工美、体育 和娱乐用品制造业</w:t>
            </w:r>
          </w:p>
        </w:tc>
        <w:tc>
          <w:tcPr>
            <w:tcW w:w="317" w:type="pct"/>
            <w:shd w:val="clear" w:color="auto" w:fill="auto"/>
            <w:vAlign w:val="center"/>
          </w:tcPr>
          <w:p w14:paraId="489993B5">
            <w:pPr>
              <w:pStyle w:val="89"/>
            </w:pPr>
            <w:r>
              <w:rPr>
                <w:rFonts w:hint="eastAsia"/>
                <w:color w:val="000000"/>
                <w:sz w:val="22"/>
              </w:rPr>
              <w:t xml:space="preserve">0.22 </w:t>
            </w:r>
          </w:p>
        </w:tc>
        <w:tc>
          <w:tcPr>
            <w:tcW w:w="318" w:type="pct"/>
            <w:shd w:val="clear" w:color="auto" w:fill="auto"/>
            <w:vAlign w:val="center"/>
          </w:tcPr>
          <w:p w14:paraId="440173DF">
            <w:pPr>
              <w:pStyle w:val="89"/>
            </w:pPr>
            <w:r>
              <w:rPr>
                <w:rFonts w:hint="eastAsia"/>
                <w:color w:val="000000"/>
                <w:sz w:val="22"/>
              </w:rPr>
              <w:t xml:space="preserve">0.43 </w:t>
            </w:r>
          </w:p>
        </w:tc>
        <w:tc>
          <w:tcPr>
            <w:tcW w:w="285" w:type="pct"/>
            <w:shd w:val="clear" w:color="auto" w:fill="auto"/>
            <w:vAlign w:val="center"/>
          </w:tcPr>
          <w:p w14:paraId="30297B11">
            <w:pPr>
              <w:pStyle w:val="89"/>
            </w:pPr>
            <w:r>
              <w:rPr>
                <w:rFonts w:hint="eastAsia"/>
                <w:color w:val="000000"/>
                <w:sz w:val="22"/>
              </w:rPr>
              <w:t xml:space="preserve">0.03 </w:t>
            </w:r>
          </w:p>
        </w:tc>
        <w:tc>
          <w:tcPr>
            <w:tcW w:w="318" w:type="pct"/>
            <w:vAlign w:val="center"/>
          </w:tcPr>
          <w:p w14:paraId="3028BC4B">
            <w:pPr>
              <w:pStyle w:val="89"/>
            </w:pPr>
            <w:r>
              <w:rPr>
                <w:rFonts w:hint="eastAsia"/>
                <w:color w:val="000000"/>
                <w:sz w:val="22"/>
              </w:rPr>
              <w:t xml:space="preserve">0.00 </w:t>
            </w:r>
          </w:p>
        </w:tc>
        <w:tc>
          <w:tcPr>
            <w:tcW w:w="285" w:type="pct"/>
            <w:vAlign w:val="center"/>
          </w:tcPr>
          <w:p w14:paraId="5820ED58">
            <w:pPr>
              <w:pStyle w:val="89"/>
            </w:pPr>
            <w:r>
              <w:rPr>
                <w:rFonts w:hint="eastAsia"/>
                <w:color w:val="000000"/>
                <w:sz w:val="22"/>
              </w:rPr>
              <w:t xml:space="preserve">0.00 </w:t>
            </w:r>
          </w:p>
        </w:tc>
        <w:tc>
          <w:tcPr>
            <w:tcW w:w="285" w:type="pct"/>
            <w:vAlign w:val="center"/>
          </w:tcPr>
          <w:p w14:paraId="23CF465E">
            <w:pPr>
              <w:pStyle w:val="89"/>
            </w:pPr>
            <w:r>
              <w:rPr>
                <w:rFonts w:hint="eastAsia"/>
                <w:color w:val="000000"/>
                <w:sz w:val="22"/>
              </w:rPr>
              <w:t xml:space="preserve">0.00 </w:t>
            </w:r>
          </w:p>
        </w:tc>
        <w:tc>
          <w:tcPr>
            <w:tcW w:w="315" w:type="pct"/>
            <w:vAlign w:val="center"/>
          </w:tcPr>
          <w:p w14:paraId="7A09CD8F">
            <w:pPr>
              <w:pStyle w:val="89"/>
            </w:pPr>
            <w:r>
              <w:rPr>
                <w:rFonts w:hint="eastAsia"/>
                <w:color w:val="000000"/>
                <w:sz w:val="22"/>
              </w:rPr>
              <w:t xml:space="preserve">0.18 </w:t>
            </w:r>
          </w:p>
        </w:tc>
        <w:tc>
          <w:tcPr>
            <w:tcW w:w="261" w:type="pct"/>
            <w:shd w:val="clear" w:color="auto" w:fill="auto"/>
            <w:vAlign w:val="center"/>
          </w:tcPr>
          <w:p w14:paraId="0473004E">
            <w:pPr>
              <w:pStyle w:val="89"/>
            </w:pPr>
            <w:r>
              <w:t>0.648</w:t>
            </w:r>
          </w:p>
        </w:tc>
        <w:tc>
          <w:tcPr>
            <w:tcW w:w="263" w:type="pct"/>
            <w:shd w:val="clear" w:color="auto" w:fill="auto"/>
            <w:vAlign w:val="center"/>
          </w:tcPr>
          <w:p w14:paraId="65B43240">
            <w:pPr>
              <w:pStyle w:val="89"/>
            </w:pPr>
            <w:r>
              <w:rPr>
                <w:rFonts w:hint="eastAsia"/>
              </w:rPr>
              <w:t>/</w:t>
            </w:r>
          </w:p>
        </w:tc>
        <w:tc>
          <w:tcPr>
            <w:tcW w:w="239" w:type="pct"/>
            <w:shd w:val="clear" w:color="auto" w:fill="auto"/>
            <w:vAlign w:val="center"/>
          </w:tcPr>
          <w:p w14:paraId="2BF15C59">
            <w:pPr>
              <w:pStyle w:val="89"/>
            </w:pPr>
            <w:r>
              <w:t>0.19</w:t>
            </w:r>
          </w:p>
        </w:tc>
        <w:tc>
          <w:tcPr>
            <w:tcW w:w="251" w:type="pct"/>
            <w:shd w:val="clear" w:color="auto" w:fill="auto"/>
            <w:vAlign w:val="center"/>
          </w:tcPr>
          <w:p w14:paraId="7DD0F19E">
            <w:pPr>
              <w:pStyle w:val="89"/>
            </w:pPr>
            <w:r>
              <w:t>/</w:t>
            </w:r>
          </w:p>
        </w:tc>
        <w:tc>
          <w:tcPr>
            <w:tcW w:w="319" w:type="pct"/>
            <w:shd w:val="clear" w:color="auto" w:fill="auto"/>
            <w:vAlign w:val="center"/>
          </w:tcPr>
          <w:p w14:paraId="74FFFB54">
            <w:pPr>
              <w:pStyle w:val="89"/>
            </w:pPr>
            <w:r>
              <w:t>/</w:t>
            </w:r>
          </w:p>
        </w:tc>
        <w:tc>
          <w:tcPr>
            <w:tcW w:w="383" w:type="pct"/>
            <w:vAlign w:val="center"/>
          </w:tcPr>
          <w:p w14:paraId="5380C360">
            <w:pPr>
              <w:pStyle w:val="89"/>
            </w:pPr>
            <w:r>
              <w:rPr>
                <w:rFonts w:hint="eastAsia"/>
                <w:color w:val="000000"/>
                <w:sz w:val="22"/>
              </w:rPr>
              <w:t xml:space="preserve">50.00 </w:t>
            </w:r>
          </w:p>
        </w:tc>
        <w:tc>
          <w:tcPr>
            <w:tcW w:w="351" w:type="pct"/>
            <w:vAlign w:val="center"/>
          </w:tcPr>
          <w:p w14:paraId="1557BA79">
            <w:pPr>
              <w:pStyle w:val="89"/>
            </w:pPr>
            <w:r>
              <w:rPr>
                <w:rFonts w:hint="eastAsia"/>
                <w:color w:val="000000"/>
                <w:sz w:val="22"/>
              </w:rPr>
              <w:t xml:space="preserve">2.30 </w:t>
            </w:r>
          </w:p>
        </w:tc>
      </w:tr>
      <w:tr w14:paraId="28548E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2D12AB29">
            <w:pPr>
              <w:pStyle w:val="89"/>
            </w:pPr>
            <w:r>
              <w:rPr>
                <w:rFonts w:hint="eastAsia"/>
                <w:color w:val="000000"/>
                <w:sz w:val="22"/>
              </w:rPr>
              <w:t>橡胶和塑料制品业</w:t>
            </w:r>
          </w:p>
        </w:tc>
        <w:tc>
          <w:tcPr>
            <w:tcW w:w="317" w:type="pct"/>
            <w:shd w:val="clear" w:color="auto" w:fill="auto"/>
            <w:vAlign w:val="center"/>
          </w:tcPr>
          <w:p w14:paraId="2E8B7D8D">
            <w:pPr>
              <w:pStyle w:val="89"/>
            </w:pPr>
            <w:r>
              <w:rPr>
                <w:rFonts w:hint="eastAsia"/>
                <w:color w:val="000000"/>
                <w:sz w:val="22"/>
              </w:rPr>
              <w:t xml:space="preserve">0.42 </w:t>
            </w:r>
          </w:p>
        </w:tc>
        <w:tc>
          <w:tcPr>
            <w:tcW w:w="318" w:type="pct"/>
            <w:shd w:val="clear" w:color="auto" w:fill="auto"/>
            <w:vAlign w:val="center"/>
          </w:tcPr>
          <w:p w14:paraId="0F845CBF">
            <w:pPr>
              <w:pStyle w:val="89"/>
            </w:pPr>
            <w:r>
              <w:rPr>
                <w:rFonts w:hint="eastAsia"/>
                <w:color w:val="000000"/>
                <w:sz w:val="22"/>
              </w:rPr>
              <w:t xml:space="preserve">0.58 </w:t>
            </w:r>
          </w:p>
        </w:tc>
        <w:tc>
          <w:tcPr>
            <w:tcW w:w="285" w:type="pct"/>
            <w:shd w:val="clear" w:color="auto" w:fill="auto"/>
            <w:vAlign w:val="center"/>
          </w:tcPr>
          <w:p w14:paraId="205469EA">
            <w:pPr>
              <w:pStyle w:val="89"/>
            </w:pPr>
            <w:r>
              <w:rPr>
                <w:rFonts w:hint="eastAsia"/>
                <w:color w:val="000000"/>
                <w:sz w:val="22"/>
              </w:rPr>
              <w:t xml:space="preserve">0.05 </w:t>
            </w:r>
          </w:p>
        </w:tc>
        <w:tc>
          <w:tcPr>
            <w:tcW w:w="318" w:type="pct"/>
            <w:vAlign w:val="center"/>
          </w:tcPr>
          <w:p w14:paraId="41AF98F7">
            <w:pPr>
              <w:pStyle w:val="89"/>
            </w:pPr>
            <w:r>
              <w:rPr>
                <w:rFonts w:hint="eastAsia"/>
                <w:color w:val="000000"/>
                <w:sz w:val="22"/>
              </w:rPr>
              <w:t xml:space="preserve">1.28 </w:t>
            </w:r>
          </w:p>
        </w:tc>
        <w:tc>
          <w:tcPr>
            <w:tcW w:w="285" w:type="pct"/>
            <w:vAlign w:val="center"/>
          </w:tcPr>
          <w:p w14:paraId="27571F4C">
            <w:pPr>
              <w:pStyle w:val="89"/>
            </w:pPr>
            <w:r>
              <w:rPr>
                <w:rFonts w:hint="eastAsia"/>
                <w:color w:val="000000"/>
                <w:sz w:val="22"/>
              </w:rPr>
              <w:t xml:space="preserve">0.00 </w:t>
            </w:r>
          </w:p>
        </w:tc>
        <w:tc>
          <w:tcPr>
            <w:tcW w:w="285" w:type="pct"/>
            <w:vAlign w:val="center"/>
          </w:tcPr>
          <w:p w14:paraId="38D5858D">
            <w:pPr>
              <w:pStyle w:val="89"/>
            </w:pPr>
            <w:r>
              <w:rPr>
                <w:rFonts w:hint="eastAsia"/>
                <w:color w:val="000000"/>
                <w:sz w:val="22"/>
              </w:rPr>
              <w:t xml:space="preserve">0.00 </w:t>
            </w:r>
          </w:p>
        </w:tc>
        <w:tc>
          <w:tcPr>
            <w:tcW w:w="315" w:type="pct"/>
            <w:vAlign w:val="center"/>
          </w:tcPr>
          <w:p w14:paraId="1BBE5A82">
            <w:pPr>
              <w:pStyle w:val="89"/>
            </w:pPr>
            <w:r>
              <w:rPr>
                <w:rFonts w:hint="eastAsia"/>
                <w:color w:val="000000"/>
                <w:sz w:val="22"/>
              </w:rPr>
              <w:t xml:space="preserve">7.08 </w:t>
            </w:r>
          </w:p>
        </w:tc>
        <w:tc>
          <w:tcPr>
            <w:tcW w:w="261" w:type="pct"/>
            <w:shd w:val="clear" w:color="auto" w:fill="auto"/>
            <w:vAlign w:val="center"/>
          </w:tcPr>
          <w:p w14:paraId="511FEEED">
            <w:pPr>
              <w:pStyle w:val="89"/>
            </w:pPr>
            <w:r>
              <w:t>/</w:t>
            </w:r>
          </w:p>
        </w:tc>
        <w:tc>
          <w:tcPr>
            <w:tcW w:w="263" w:type="pct"/>
            <w:shd w:val="clear" w:color="auto" w:fill="auto"/>
            <w:vAlign w:val="center"/>
          </w:tcPr>
          <w:p w14:paraId="7C340032">
            <w:pPr>
              <w:pStyle w:val="89"/>
            </w:pPr>
            <w:r>
              <w:t>/</w:t>
            </w:r>
          </w:p>
        </w:tc>
        <w:tc>
          <w:tcPr>
            <w:tcW w:w="239" w:type="pct"/>
            <w:shd w:val="clear" w:color="auto" w:fill="auto"/>
            <w:vAlign w:val="center"/>
          </w:tcPr>
          <w:p w14:paraId="2909D082">
            <w:pPr>
              <w:pStyle w:val="89"/>
            </w:pPr>
            <w:r>
              <w:t>/</w:t>
            </w:r>
          </w:p>
        </w:tc>
        <w:tc>
          <w:tcPr>
            <w:tcW w:w="251" w:type="pct"/>
            <w:shd w:val="clear" w:color="auto" w:fill="auto"/>
            <w:vAlign w:val="center"/>
          </w:tcPr>
          <w:p w14:paraId="4E605C3C">
            <w:pPr>
              <w:pStyle w:val="89"/>
            </w:pPr>
            <w:r>
              <w:t>/</w:t>
            </w:r>
          </w:p>
        </w:tc>
        <w:tc>
          <w:tcPr>
            <w:tcW w:w="319" w:type="pct"/>
            <w:shd w:val="clear" w:color="auto" w:fill="auto"/>
            <w:vAlign w:val="center"/>
          </w:tcPr>
          <w:p w14:paraId="4BDC39A1">
            <w:pPr>
              <w:pStyle w:val="89"/>
            </w:pPr>
            <w:r>
              <w:t>/</w:t>
            </w:r>
          </w:p>
        </w:tc>
        <w:tc>
          <w:tcPr>
            <w:tcW w:w="383" w:type="pct"/>
            <w:vAlign w:val="center"/>
          </w:tcPr>
          <w:p w14:paraId="5DD722E8">
            <w:pPr>
              <w:pStyle w:val="89"/>
            </w:pPr>
            <w:r>
              <w:rPr>
                <w:rFonts w:hint="eastAsia"/>
                <w:color w:val="000000"/>
                <w:sz w:val="22"/>
              </w:rPr>
              <w:t xml:space="preserve">975.98 </w:t>
            </w:r>
          </w:p>
        </w:tc>
        <w:tc>
          <w:tcPr>
            <w:tcW w:w="351" w:type="pct"/>
            <w:vAlign w:val="center"/>
          </w:tcPr>
          <w:p w14:paraId="23234E39">
            <w:pPr>
              <w:pStyle w:val="89"/>
            </w:pPr>
            <w:r>
              <w:rPr>
                <w:rFonts w:hint="eastAsia"/>
                <w:color w:val="000000"/>
                <w:sz w:val="22"/>
              </w:rPr>
              <w:t xml:space="preserve">36.71 </w:t>
            </w:r>
          </w:p>
        </w:tc>
      </w:tr>
      <w:tr w14:paraId="7BA92B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4EFBE9EF">
            <w:pPr>
              <w:pStyle w:val="89"/>
            </w:pPr>
            <w:r>
              <w:rPr>
                <w:rFonts w:hint="eastAsia"/>
                <w:color w:val="000000"/>
                <w:sz w:val="22"/>
              </w:rPr>
              <w:t>医药制造业</w:t>
            </w:r>
          </w:p>
        </w:tc>
        <w:tc>
          <w:tcPr>
            <w:tcW w:w="317" w:type="pct"/>
            <w:shd w:val="clear" w:color="auto" w:fill="auto"/>
            <w:vAlign w:val="center"/>
          </w:tcPr>
          <w:p w14:paraId="5BE82D91">
            <w:pPr>
              <w:pStyle w:val="89"/>
            </w:pPr>
            <w:r>
              <w:rPr>
                <w:rFonts w:hint="eastAsia"/>
                <w:color w:val="000000"/>
                <w:sz w:val="22"/>
              </w:rPr>
              <w:t xml:space="preserve">16.89 </w:t>
            </w:r>
          </w:p>
        </w:tc>
        <w:tc>
          <w:tcPr>
            <w:tcW w:w="318" w:type="pct"/>
            <w:shd w:val="clear" w:color="auto" w:fill="auto"/>
            <w:vAlign w:val="center"/>
          </w:tcPr>
          <w:p w14:paraId="4352F821">
            <w:pPr>
              <w:pStyle w:val="89"/>
            </w:pPr>
            <w:r>
              <w:rPr>
                <w:rFonts w:hint="eastAsia"/>
                <w:color w:val="000000"/>
                <w:sz w:val="22"/>
              </w:rPr>
              <w:t xml:space="preserve">16.20 </w:t>
            </w:r>
          </w:p>
        </w:tc>
        <w:tc>
          <w:tcPr>
            <w:tcW w:w="285" w:type="pct"/>
            <w:shd w:val="clear" w:color="auto" w:fill="auto"/>
            <w:vAlign w:val="center"/>
          </w:tcPr>
          <w:p w14:paraId="2805C031">
            <w:pPr>
              <w:pStyle w:val="89"/>
            </w:pPr>
            <w:r>
              <w:rPr>
                <w:rFonts w:hint="eastAsia"/>
                <w:color w:val="000000"/>
                <w:sz w:val="22"/>
              </w:rPr>
              <w:t xml:space="preserve">1.54 </w:t>
            </w:r>
          </w:p>
        </w:tc>
        <w:tc>
          <w:tcPr>
            <w:tcW w:w="318" w:type="pct"/>
            <w:vAlign w:val="center"/>
          </w:tcPr>
          <w:p w14:paraId="0C329059">
            <w:pPr>
              <w:pStyle w:val="89"/>
            </w:pPr>
            <w:r>
              <w:rPr>
                <w:rFonts w:hint="eastAsia"/>
                <w:color w:val="000000"/>
                <w:sz w:val="22"/>
              </w:rPr>
              <w:t xml:space="preserve">2.80 </w:t>
            </w:r>
          </w:p>
        </w:tc>
        <w:tc>
          <w:tcPr>
            <w:tcW w:w="285" w:type="pct"/>
            <w:vAlign w:val="center"/>
          </w:tcPr>
          <w:p w14:paraId="333F8CC4">
            <w:pPr>
              <w:pStyle w:val="89"/>
            </w:pPr>
            <w:r>
              <w:rPr>
                <w:rFonts w:hint="eastAsia"/>
                <w:color w:val="000000"/>
                <w:sz w:val="22"/>
              </w:rPr>
              <w:t xml:space="preserve">1.22 </w:t>
            </w:r>
          </w:p>
        </w:tc>
        <w:tc>
          <w:tcPr>
            <w:tcW w:w="285" w:type="pct"/>
            <w:vAlign w:val="center"/>
          </w:tcPr>
          <w:p w14:paraId="5C3A9035">
            <w:pPr>
              <w:pStyle w:val="89"/>
            </w:pPr>
            <w:r>
              <w:rPr>
                <w:rFonts w:hint="eastAsia"/>
                <w:color w:val="000000"/>
                <w:sz w:val="22"/>
              </w:rPr>
              <w:t xml:space="preserve">5.97 </w:t>
            </w:r>
          </w:p>
        </w:tc>
        <w:tc>
          <w:tcPr>
            <w:tcW w:w="315" w:type="pct"/>
            <w:vAlign w:val="center"/>
          </w:tcPr>
          <w:p w14:paraId="0D5EE9D6">
            <w:pPr>
              <w:pStyle w:val="89"/>
            </w:pPr>
            <w:r>
              <w:rPr>
                <w:rFonts w:hint="eastAsia"/>
                <w:color w:val="000000"/>
                <w:sz w:val="22"/>
              </w:rPr>
              <w:t xml:space="preserve">4.19 </w:t>
            </w:r>
          </w:p>
        </w:tc>
        <w:tc>
          <w:tcPr>
            <w:tcW w:w="261" w:type="pct"/>
            <w:shd w:val="clear" w:color="auto" w:fill="auto"/>
            <w:vAlign w:val="center"/>
          </w:tcPr>
          <w:p w14:paraId="36DFD7CA">
            <w:pPr>
              <w:pStyle w:val="89"/>
            </w:pPr>
            <w:r>
              <w:t>/</w:t>
            </w:r>
          </w:p>
        </w:tc>
        <w:tc>
          <w:tcPr>
            <w:tcW w:w="263" w:type="pct"/>
            <w:shd w:val="clear" w:color="auto" w:fill="auto"/>
            <w:vAlign w:val="center"/>
          </w:tcPr>
          <w:p w14:paraId="765F287E">
            <w:pPr>
              <w:pStyle w:val="89"/>
            </w:pPr>
            <w:r>
              <w:t>/</w:t>
            </w:r>
          </w:p>
        </w:tc>
        <w:tc>
          <w:tcPr>
            <w:tcW w:w="239" w:type="pct"/>
            <w:shd w:val="clear" w:color="auto" w:fill="auto"/>
            <w:vAlign w:val="center"/>
          </w:tcPr>
          <w:p w14:paraId="32C8A937">
            <w:pPr>
              <w:pStyle w:val="89"/>
            </w:pPr>
            <w:r>
              <w:t>/</w:t>
            </w:r>
          </w:p>
        </w:tc>
        <w:tc>
          <w:tcPr>
            <w:tcW w:w="251" w:type="pct"/>
            <w:shd w:val="clear" w:color="auto" w:fill="auto"/>
            <w:vAlign w:val="center"/>
          </w:tcPr>
          <w:p w14:paraId="5BAC9010">
            <w:pPr>
              <w:pStyle w:val="89"/>
            </w:pPr>
            <w:r>
              <w:t>/</w:t>
            </w:r>
          </w:p>
        </w:tc>
        <w:tc>
          <w:tcPr>
            <w:tcW w:w="319" w:type="pct"/>
            <w:shd w:val="clear" w:color="auto" w:fill="auto"/>
            <w:vAlign w:val="center"/>
          </w:tcPr>
          <w:p w14:paraId="465A235B">
            <w:pPr>
              <w:pStyle w:val="89"/>
            </w:pPr>
            <w:r>
              <w:t>/</w:t>
            </w:r>
          </w:p>
        </w:tc>
        <w:tc>
          <w:tcPr>
            <w:tcW w:w="383" w:type="pct"/>
            <w:vAlign w:val="center"/>
          </w:tcPr>
          <w:p w14:paraId="563CF080">
            <w:pPr>
              <w:pStyle w:val="89"/>
            </w:pPr>
            <w:r>
              <w:rPr>
                <w:rFonts w:hint="eastAsia"/>
                <w:color w:val="000000"/>
                <w:sz w:val="22"/>
              </w:rPr>
              <w:t xml:space="preserve">3637.68 </w:t>
            </w:r>
          </w:p>
        </w:tc>
        <w:tc>
          <w:tcPr>
            <w:tcW w:w="351" w:type="pct"/>
            <w:vAlign w:val="center"/>
          </w:tcPr>
          <w:p w14:paraId="335D45F3">
            <w:pPr>
              <w:pStyle w:val="89"/>
            </w:pPr>
            <w:r>
              <w:rPr>
                <w:rFonts w:hint="eastAsia"/>
                <w:color w:val="000000"/>
                <w:sz w:val="22"/>
              </w:rPr>
              <w:t xml:space="preserve">753.57 </w:t>
            </w:r>
          </w:p>
        </w:tc>
      </w:tr>
      <w:tr w14:paraId="67B4BA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0B7A94B1">
            <w:pPr>
              <w:pStyle w:val="89"/>
            </w:pPr>
            <w:r>
              <w:rPr>
                <w:rFonts w:hint="eastAsia"/>
                <w:color w:val="000000"/>
                <w:sz w:val="22"/>
              </w:rPr>
              <w:t>印刷和记录媒介复制业</w:t>
            </w:r>
          </w:p>
        </w:tc>
        <w:tc>
          <w:tcPr>
            <w:tcW w:w="317" w:type="pct"/>
            <w:shd w:val="clear" w:color="auto" w:fill="auto"/>
            <w:vAlign w:val="center"/>
          </w:tcPr>
          <w:p w14:paraId="53EA3D02">
            <w:pPr>
              <w:pStyle w:val="89"/>
            </w:pPr>
            <w:r>
              <w:rPr>
                <w:rFonts w:hint="eastAsia"/>
                <w:color w:val="000000"/>
                <w:sz w:val="22"/>
              </w:rPr>
              <w:t xml:space="preserve">3.07 </w:t>
            </w:r>
          </w:p>
        </w:tc>
        <w:tc>
          <w:tcPr>
            <w:tcW w:w="318" w:type="pct"/>
            <w:shd w:val="clear" w:color="auto" w:fill="auto"/>
            <w:vAlign w:val="center"/>
          </w:tcPr>
          <w:p w14:paraId="6D7E499A">
            <w:pPr>
              <w:pStyle w:val="89"/>
            </w:pPr>
            <w:r>
              <w:rPr>
                <w:rFonts w:hint="eastAsia"/>
                <w:color w:val="000000"/>
                <w:sz w:val="22"/>
              </w:rPr>
              <w:t xml:space="preserve">2.09 </w:t>
            </w:r>
          </w:p>
        </w:tc>
        <w:tc>
          <w:tcPr>
            <w:tcW w:w="285" w:type="pct"/>
            <w:shd w:val="clear" w:color="auto" w:fill="auto"/>
            <w:vAlign w:val="center"/>
          </w:tcPr>
          <w:p w14:paraId="7015982C">
            <w:pPr>
              <w:pStyle w:val="89"/>
            </w:pPr>
            <w:r>
              <w:rPr>
                <w:rFonts w:hint="eastAsia"/>
                <w:color w:val="000000"/>
                <w:sz w:val="22"/>
              </w:rPr>
              <w:t xml:space="preserve">0.35 </w:t>
            </w:r>
          </w:p>
        </w:tc>
        <w:tc>
          <w:tcPr>
            <w:tcW w:w="318" w:type="pct"/>
            <w:vAlign w:val="center"/>
          </w:tcPr>
          <w:p w14:paraId="37FFFB14">
            <w:pPr>
              <w:pStyle w:val="89"/>
            </w:pPr>
            <w:r>
              <w:rPr>
                <w:rFonts w:hint="eastAsia"/>
                <w:color w:val="000000"/>
                <w:sz w:val="22"/>
              </w:rPr>
              <w:t xml:space="preserve">0.13 </w:t>
            </w:r>
          </w:p>
        </w:tc>
        <w:tc>
          <w:tcPr>
            <w:tcW w:w="285" w:type="pct"/>
            <w:vAlign w:val="center"/>
          </w:tcPr>
          <w:p w14:paraId="553764C7">
            <w:pPr>
              <w:pStyle w:val="89"/>
            </w:pPr>
            <w:r>
              <w:rPr>
                <w:rFonts w:hint="eastAsia"/>
                <w:color w:val="000000"/>
                <w:sz w:val="22"/>
              </w:rPr>
              <w:t xml:space="preserve">0.12 </w:t>
            </w:r>
          </w:p>
        </w:tc>
        <w:tc>
          <w:tcPr>
            <w:tcW w:w="285" w:type="pct"/>
            <w:vAlign w:val="center"/>
          </w:tcPr>
          <w:p w14:paraId="470CB396">
            <w:pPr>
              <w:pStyle w:val="89"/>
            </w:pPr>
            <w:r>
              <w:rPr>
                <w:rFonts w:hint="eastAsia"/>
                <w:color w:val="000000"/>
                <w:sz w:val="22"/>
              </w:rPr>
              <w:t xml:space="preserve">1.15 </w:t>
            </w:r>
          </w:p>
        </w:tc>
        <w:tc>
          <w:tcPr>
            <w:tcW w:w="315" w:type="pct"/>
            <w:vAlign w:val="center"/>
          </w:tcPr>
          <w:p w14:paraId="7BED9A55">
            <w:pPr>
              <w:pStyle w:val="89"/>
            </w:pPr>
            <w:r>
              <w:rPr>
                <w:rFonts w:hint="eastAsia"/>
                <w:color w:val="000000"/>
                <w:sz w:val="22"/>
              </w:rPr>
              <w:t xml:space="preserve">62.30 </w:t>
            </w:r>
          </w:p>
        </w:tc>
        <w:tc>
          <w:tcPr>
            <w:tcW w:w="261" w:type="pct"/>
            <w:shd w:val="clear" w:color="auto" w:fill="auto"/>
            <w:vAlign w:val="center"/>
          </w:tcPr>
          <w:p w14:paraId="63C753C7">
            <w:pPr>
              <w:pStyle w:val="89"/>
            </w:pPr>
            <w:r>
              <w:t>/</w:t>
            </w:r>
          </w:p>
        </w:tc>
        <w:tc>
          <w:tcPr>
            <w:tcW w:w="263" w:type="pct"/>
            <w:shd w:val="clear" w:color="auto" w:fill="auto"/>
            <w:vAlign w:val="center"/>
          </w:tcPr>
          <w:p w14:paraId="196B2D64">
            <w:pPr>
              <w:pStyle w:val="89"/>
            </w:pPr>
            <w:r>
              <w:t>/</w:t>
            </w:r>
          </w:p>
        </w:tc>
        <w:tc>
          <w:tcPr>
            <w:tcW w:w="239" w:type="pct"/>
            <w:shd w:val="clear" w:color="auto" w:fill="auto"/>
            <w:vAlign w:val="center"/>
          </w:tcPr>
          <w:p w14:paraId="2A262FDA">
            <w:pPr>
              <w:pStyle w:val="89"/>
            </w:pPr>
            <w:r>
              <w:t>0.002</w:t>
            </w:r>
          </w:p>
        </w:tc>
        <w:tc>
          <w:tcPr>
            <w:tcW w:w="251" w:type="pct"/>
            <w:shd w:val="clear" w:color="auto" w:fill="auto"/>
            <w:vAlign w:val="center"/>
          </w:tcPr>
          <w:p w14:paraId="24690C63">
            <w:pPr>
              <w:pStyle w:val="89"/>
            </w:pPr>
            <w:r>
              <w:t>0.017</w:t>
            </w:r>
          </w:p>
        </w:tc>
        <w:tc>
          <w:tcPr>
            <w:tcW w:w="319" w:type="pct"/>
            <w:shd w:val="clear" w:color="auto" w:fill="auto"/>
            <w:vAlign w:val="center"/>
          </w:tcPr>
          <w:p w14:paraId="1CC60964">
            <w:pPr>
              <w:pStyle w:val="89"/>
            </w:pPr>
            <w:r>
              <w:t>/</w:t>
            </w:r>
          </w:p>
        </w:tc>
        <w:tc>
          <w:tcPr>
            <w:tcW w:w="383" w:type="pct"/>
            <w:vAlign w:val="center"/>
          </w:tcPr>
          <w:p w14:paraId="3C58EFB2">
            <w:pPr>
              <w:pStyle w:val="89"/>
            </w:pPr>
            <w:r>
              <w:rPr>
                <w:rFonts w:hint="eastAsia"/>
                <w:color w:val="000000"/>
                <w:sz w:val="22"/>
              </w:rPr>
              <w:t xml:space="preserve">607.66 </w:t>
            </w:r>
          </w:p>
        </w:tc>
        <w:tc>
          <w:tcPr>
            <w:tcW w:w="351" w:type="pct"/>
            <w:vAlign w:val="center"/>
          </w:tcPr>
          <w:p w14:paraId="6291F963">
            <w:pPr>
              <w:pStyle w:val="89"/>
            </w:pPr>
            <w:r>
              <w:rPr>
                <w:rFonts w:hint="eastAsia"/>
                <w:color w:val="000000"/>
                <w:sz w:val="22"/>
              </w:rPr>
              <w:t xml:space="preserve">618.03 </w:t>
            </w:r>
          </w:p>
        </w:tc>
      </w:tr>
      <w:tr w14:paraId="03A060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4B2BF1E7">
            <w:pPr>
              <w:pStyle w:val="89"/>
            </w:pPr>
            <w:r>
              <w:rPr>
                <w:rFonts w:hint="eastAsia"/>
                <w:color w:val="000000"/>
                <w:sz w:val="22"/>
              </w:rPr>
              <w:t>专用设备制造业</w:t>
            </w:r>
          </w:p>
        </w:tc>
        <w:tc>
          <w:tcPr>
            <w:tcW w:w="317" w:type="pct"/>
            <w:shd w:val="clear" w:color="auto" w:fill="auto"/>
            <w:vAlign w:val="center"/>
          </w:tcPr>
          <w:p w14:paraId="7F07012B">
            <w:pPr>
              <w:pStyle w:val="89"/>
            </w:pPr>
            <w:r>
              <w:rPr>
                <w:rFonts w:hint="eastAsia"/>
                <w:color w:val="000000"/>
                <w:sz w:val="22"/>
              </w:rPr>
              <w:t xml:space="preserve">5.59 </w:t>
            </w:r>
          </w:p>
        </w:tc>
        <w:tc>
          <w:tcPr>
            <w:tcW w:w="318" w:type="pct"/>
            <w:shd w:val="clear" w:color="auto" w:fill="auto"/>
            <w:vAlign w:val="center"/>
          </w:tcPr>
          <w:p w14:paraId="24D3BFC0">
            <w:pPr>
              <w:pStyle w:val="89"/>
            </w:pPr>
            <w:r>
              <w:rPr>
                <w:rFonts w:hint="eastAsia"/>
                <w:color w:val="000000"/>
                <w:sz w:val="22"/>
              </w:rPr>
              <w:t xml:space="preserve">9.67 </w:t>
            </w:r>
          </w:p>
        </w:tc>
        <w:tc>
          <w:tcPr>
            <w:tcW w:w="285" w:type="pct"/>
            <w:shd w:val="clear" w:color="auto" w:fill="auto"/>
            <w:vAlign w:val="center"/>
          </w:tcPr>
          <w:p w14:paraId="61C5F26B">
            <w:pPr>
              <w:pStyle w:val="89"/>
            </w:pPr>
            <w:r>
              <w:rPr>
                <w:rFonts w:hint="eastAsia"/>
                <w:color w:val="000000"/>
                <w:sz w:val="22"/>
              </w:rPr>
              <w:t xml:space="preserve">1.61 </w:t>
            </w:r>
          </w:p>
        </w:tc>
        <w:tc>
          <w:tcPr>
            <w:tcW w:w="318" w:type="pct"/>
            <w:vAlign w:val="center"/>
          </w:tcPr>
          <w:p w14:paraId="22BBB222">
            <w:pPr>
              <w:pStyle w:val="89"/>
            </w:pPr>
            <w:r>
              <w:rPr>
                <w:rFonts w:hint="eastAsia"/>
                <w:color w:val="000000"/>
                <w:sz w:val="22"/>
              </w:rPr>
              <w:t xml:space="preserve">8.22 </w:t>
            </w:r>
          </w:p>
        </w:tc>
        <w:tc>
          <w:tcPr>
            <w:tcW w:w="285" w:type="pct"/>
            <w:vAlign w:val="center"/>
          </w:tcPr>
          <w:p w14:paraId="7B23D5AB">
            <w:pPr>
              <w:pStyle w:val="89"/>
            </w:pPr>
            <w:r>
              <w:rPr>
                <w:rFonts w:hint="eastAsia"/>
                <w:color w:val="000000"/>
                <w:sz w:val="22"/>
              </w:rPr>
              <w:t xml:space="preserve">0.00 </w:t>
            </w:r>
          </w:p>
        </w:tc>
        <w:tc>
          <w:tcPr>
            <w:tcW w:w="285" w:type="pct"/>
            <w:vAlign w:val="center"/>
          </w:tcPr>
          <w:p w14:paraId="6D5D145C">
            <w:pPr>
              <w:pStyle w:val="89"/>
            </w:pPr>
            <w:r>
              <w:rPr>
                <w:rFonts w:hint="eastAsia"/>
                <w:color w:val="000000"/>
                <w:sz w:val="22"/>
              </w:rPr>
              <w:t xml:space="preserve">0.00 </w:t>
            </w:r>
          </w:p>
        </w:tc>
        <w:tc>
          <w:tcPr>
            <w:tcW w:w="315" w:type="pct"/>
            <w:vAlign w:val="center"/>
          </w:tcPr>
          <w:p w14:paraId="15EA4557">
            <w:pPr>
              <w:pStyle w:val="89"/>
            </w:pPr>
            <w:r>
              <w:rPr>
                <w:rFonts w:hint="eastAsia"/>
                <w:color w:val="000000"/>
                <w:sz w:val="22"/>
              </w:rPr>
              <w:t xml:space="preserve">7.94 </w:t>
            </w:r>
          </w:p>
        </w:tc>
        <w:tc>
          <w:tcPr>
            <w:tcW w:w="261" w:type="pct"/>
            <w:shd w:val="clear" w:color="auto" w:fill="auto"/>
            <w:vAlign w:val="center"/>
          </w:tcPr>
          <w:p w14:paraId="5F7CBBE4">
            <w:pPr>
              <w:pStyle w:val="89"/>
            </w:pPr>
            <w:r>
              <w:t>/</w:t>
            </w:r>
          </w:p>
        </w:tc>
        <w:tc>
          <w:tcPr>
            <w:tcW w:w="263" w:type="pct"/>
            <w:shd w:val="clear" w:color="auto" w:fill="auto"/>
            <w:vAlign w:val="center"/>
          </w:tcPr>
          <w:p w14:paraId="4762DFA9">
            <w:pPr>
              <w:pStyle w:val="89"/>
            </w:pPr>
            <w:r>
              <w:t>/</w:t>
            </w:r>
          </w:p>
        </w:tc>
        <w:tc>
          <w:tcPr>
            <w:tcW w:w="239" w:type="pct"/>
            <w:shd w:val="clear" w:color="auto" w:fill="auto"/>
            <w:vAlign w:val="center"/>
          </w:tcPr>
          <w:p w14:paraId="21C19B24">
            <w:pPr>
              <w:pStyle w:val="89"/>
            </w:pPr>
            <w:r>
              <w:t>/</w:t>
            </w:r>
          </w:p>
        </w:tc>
        <w:tc>
          <w:tcPr>
            <w:tcW w:w="251" w:type="pct"/>
            <w:shd w:val="clear" w:color="auto" w:fill="auto"/>
            <w:vAlign w:val="center"/>
          </w:tcPr>
          <w:p w14:paraId="1B59BBED">
            <w:pPr>
              <w:pStyle w:val="89"/>
            </w:pPr>
            <w:r>
              <w:t>/</w:t>
            </w:r>
          </w:p>
        </w:tc>
        <w:tc>
          <w:tcPr>
            <w:tcW w:w="319" w:type="pct"/>
            <w:shd w:val="clear" w:color="auto" w:fill="auto"/>
            <w:vAlign w:val="center"/>
          </w:tcPr>
          <w:p w14:paraId="5787BA16">
            <w:pPr>
              <w:pStyle w:val="89"/>
            </w:pPr>
            <w:r>
              <w:t>/</w:t>
            </w:r>
          </w:p>
        </w:tc>
        <w:tc>
          <w:tcPr>
            <w:tcW w:w="383" w:type="pct"/>
            <w:vAlign w:val="center"/>
          </w:tcPr>
          <w:p w14:paraId="6B362454">
            <w:pPr>
              <w:pStyle w:val="89"/>
            </w:pPr>
            <w:r>
              <w:rPr>
                <w:rFonts w:hint="eastAsia"/>
                <w:color w:val="000000"/>
                <w:sz w:val="22"/>
              </w:rPr>
              <w:t xml:space="preserve">4977.18 </w:t>
            </w:r>
          </w:p>
        </w:tc>
        <w:tc>
          <w:tcPr>
            <w:tcW w:w="351" w:type="pct"/>
            <w:vAlign w:val="center"/>
          </w:tcPr>
          <w:p w14:paraId="4F11DDE5">
            <w:pPr>
              <w:pStyle w:val="89"/>
            </w:pPr>
            <w:r>
              <w:rPr>
                <w:rFonts w:hint="eastAsia"/>
                <w:color w:val="000000"/>
                <w:sz w:val="22"/>
              </w:rPr>
              <w:t xml:space="preserve">105.30 </w:t>
            </w:r>
          </w:p>
        </w:tc>
      </w:tr>
      <w:tr w14:paraId="74503E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4A77C62B">
            <w:pPr>
              <w:pStyle w:val="89"/>
            </w:pPr>
            <w:r>
              <w:rPr>
                <w:rFonts w:hint="eastAsia"/>
                <w:color w:val="000000"/>
                <w:sz w:val="22"/>
              </w:rPr>
              <w:t>装卸搬运和仓储业</w:t>
            </w:r>
          </w:p>
        </w:tc>
        <w:tc>
          <w:tcPr>
            <w:tcW w:w="317" w:type="pct"/>
            <w:shd w:val="clear" w:color="auto" w:fill="auto"/>
            <w:vAlign w:val="center"/>
          </w:tcPr>
          <w:p w14:paraId="4F7A8F5B">
            <w:pPr>
              <w:pStyle w:val="89"/>
            </w:pPr>
            <w:r>
              <w:rPr>
                <w:rFonts w:hint="eastAsia"/>
                <w:color w:val="000000"/>
                <w:sz w:val="22"/>
              </w:rPr>
              <w:t>1.38</w:t>
            </w:r>
          </w:p>
        </w:tc>
        <w:tc>
          <w:tcPr>
            <w:tcW w:w="318" w:type="pct"/>
            <w:shd w:val="clear" w:color="auto" w:fill="auto"/>
            <w:vAlign w:val="center"/>
          </w:tcPr>
          <w:p w14:paraId="08D54875">
            <w:pPr>
              <w:pStyle w:val="89"/>
            </w:pPr>
            <w:r>
              <w:rPr>
                <w:rFonts w:hint="eastAsia"/>
                <w:color w:val="000000"/>
                <w:sz w:val="22"/>
              </w:rPr>
              <w:t>3.54</w:t>
            </w:r>
          </w:p>
        </w:tc>
        <w:tc>
          <w:tcPr>
            <w:tcW w:w="285" w:type="pct"/>
            <w:shd w:val="clear" w:color="auto" w:fill="auto"/>
            <w:vAlign w:val="center"/>
          </w:tcPr>
          <w:p w14:paraId="59BCE324">
            <w:pPr>
              <w:pStyle w:val="89"/>
            </w:pPr>
            <w:r>
              <w:rPr>
                <w:rFonts w:hint="eastAsia"/>
                <w:color w:val="000000"/>
                <w:sz w:val="22"/>
              </w:rPr>
              <w:t>0.35</w:t>
            </w:r>
          </w:p>
        </w:tc>
        <w:tc>
          <w:tcPr>
            <w:tcW w:w="318" w:type="pct"/>
            <w:vAlign w:val="center"/>
          </w:tcPr>
          <w:p w14:paraId="5B2EFDFD">
            <w:pPr>
              <w:pStyle w:val="89"/>
            </w:pPr>
            <w:r>
              <w:rPr>
                <w:rFonts w:hint="eastAsia"/>
                <w:color w:val="000000"/>
                <w:sz w:val="22"/>
              </w:rPr>
              <w:t xml:space="preserve">0.16 </w:t>
            </w:r>
          </w:p>
        </w:tc>
        <w:tc>
          <w:tcPr>
            <w:tcW w:w="285" w:type="pct"/>
            <w:vAlign w:val="center"/>
          </w:tcPr>
          <w:p w14:paraId="740B774F">
            <w:pPr>
              <w:pStyle w:val="89"/>
            </w:pPr>
            <w:r>
              <w:rPr>
                <w:rFonts w:hint="eastAsia"/>
                <w:color w:val="000000"/>
                <w:sz w:val="22"/>
              </w:rPr>
              <w:t xml:space="preserve">0.00 </w:t>
            </w:r>
          </w:p>
        </w:tc>
        <w:tc>
          <w:tcPr>
            <w:tcW w:w="285" w:type="pct"/>
            <w:vAlign w:val="center"/>
          </w:tcPr>
          <w:p w14:paraId="33E2A566">
            <w:pPr>
              <w:pStyle w:val="89"/>
            </w:pPr>
            <w:r>
              <w:rPr>
                <w:rFonts w:hint="eastAsia"/>
                <w:color w:val="000000"/>
                <w:sz w:val="22"/>
              </w:rPr>
              <w:t xml:space="preserve">0.00 </w:t>
            </w:r>
          </w:p>
        </w:tc>
        <w:tc>
          <w:tcPr>
            <w:tcW w:w="315" w:type="pct"/>
            <w:vAlign w:val="center"/>
          </w:tcPr>
          <w:p w14:paraId="0795CAE2">
            <w:pPr>
              <w:pStyle w:val="89"/>
            </w:pPr>
            <w:r>
              <w:rPr>
                <w:rFonts w:hint="eastAsia"/>
                <w:color w:val="000000"/>
                <w:sz w:val="22"/>
              </w:rPr>
              <w:t xml:space="preserve">0.00 </w:t>
            </w:r>
          </w:p>
        </w:tc>
        <w:tc>
          <w:tcPr>
            <w:tcW w:w="261" w:type="pct"/>
            <w:shd w:val="clear" w:color="auto" w:fill="auto"/>
            <w:vAlign w:val="center"/>
          </w:tcPr>
          <w:p w14:paraId="17D9F3C0">
            <w:pPr>
              <w:pStyle w:val="89"/>
            </w:pPr>
            <w:r>
              <w:t>/</w:t>
            </w:r>
          </w:p>
        </w:tc>
        <w:tc>
          <w:tcPr>
            <w:tcW w:w="263" w:type="pct"/>
            <w:shd w:val="clear" w:color="auto" w:fill="auto"/>
            <w:vAlign w:val="center"/>
          </w:tcPr>
          <w:p w14:paraId="0BB95C50">
            <w:pPr>
              <w:pStyle w:val="89"/>
            </w:pPr>
            <w:r>
              <w:t>/</w:t>
            </w:r>
          </w:p>
        </w:tc>
        <w:tc>
          <w:tcPr>
            <w:tcW w:w="239" w:type="pct"/>
            <w:shd w:val="clear" w:color="auto" w:fill="auto"/>
            <w:vAlign w:val="center"/>
          </w:tcPr>
          <w:p w14:paraId="3304B88A">
            <w:pPr>
              <w:pStyle w:val="89"/>
            </w:pPr>
            <w:r>
              <w:t>/</w:t>
            </w:r>
          </w:p>
        </w:tc>
        <w:tc>
          <w:tcPr>
            <w:tcW w:w="251" w:type="pct"/>
            <w:shd w:val="clear" w:color="auto" w:fill="auto"/>
            <w:vAlign w:val="center"/>
          </w:tcPr>
          <w:p w14:paraId="6311E1F3">
            <w:pPr>
              <w:pStyle w:val="89"/>
            </w:pPr>
            <w:r>
              <w:t>/</w:t>
            </w:r>
          </w:p>
        </w:tc>
        <w:tc>
          <w:tcPr>
            <w:tcW w:w="319" w:type="pct"/>
            <w:shd w:val="clear" w:color="auto" w:fill="auto"/>
            <w:vAlign w:val="center"/>
          </w:tcPr>
          <w:p w14:paraId="3FD61A6C">
            <w:pPr>
              <w:pStyle w:val="89"/>
            </w:pPr>
            <w:r>
              <w:t>/</w:t>
            </w:r>
          </w:p>
        </w:tc>
        <w:tc>
          <w:tcPr>
            <w:tcW w:w="383" w:type="pct"/>
            <w:vAlign w:val="center"/>
          </w:tcPr>
          <w:p w14:paraId="05C2623A">
            <w:pPr>
              <w:pStyle w:val="89"/>
            </w:pPr>
            <w:r>
              <w:rPr>
                <w:rFonts w:hint="eastAsia"/>
                <w:color w:val="000000"/>
                <w:sz w:val="22"/>
              </w:rPr>
              <w:t xml:space="preserve">388.09 </w:t>
            </w:r>
          </w:p>
        </w:tc>
        <w:tc>
          <w:tcPr>
            <w:tcW w:w="351" w:type="pct"/>
            <w:vAlign w:val="center"/>
          </w:tcPr>
          <w:p w14:paraId="0B8F5756">
            <w:pPr>
              <w:pStyle w:val="89"/>
            </w:pPr>
            <w:r>
              <w:rPr>
                <w:rFonts w:hint="eastAsia"/>
                <w:color w:val="000000"/>
                <w:sz w:val="22"/>
              </w:rPr>
              <w:t xml:space="preserve">5.00 </w:t>
            </w:r>
          </w:p>
        </w:tc>
      </w:tr>
      <w:tr w14:paraId="4A538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33977A00">
            <w:pPr>
              <w:pStyle w:val="89"/>
            </w:pPr>
            <w:r>
              <w:rPr>
                <w:rFonts w:hint="eastAsia"/>
                <w:color w:val="000000"/>
                <w:sz w:val="22"/>
              </w:rPr>
              <w:t>金属压延加工业</w:t>
            </w:r>
          </w:p>
        </w:tc>
        <w:tc>
          <w:tcPr>
            <w:tcW w:w="317" w:type="pct"/>
            <w:shd w:val="clear" w:color="auto" w:fill="auto"/>
            <w:vAlign w:val="center"/>
          </w:tcPr>
          <w:p w14:paraId="4C90815F">
            <w:pPr>
              <w:pStyle w:val="89"/>
            </w:pPr>
            <w:r>
              <w:rPr>
                <w:rFonts w:hint="eastAsia"/>
                <w:color w:val="000000"/>
                <w:sz w:val="22"/>
              </w:rPr>
              <w:t xml:space="preserve">0.50 </w:t>
            </w:r>
          </w:p>
        </w:tc>
        <w:tc>
          <w:tcPr>
            <w:tcW w:w="318" w:type="pct"/>
            <w:shd w:val="clear" w:color="auto" w:fill="auto"/>
            <w:vAlign w:val="center"/>
          </w:tcPr>
          <w:p w14:paraId="7C8241B8">
            <w:pPr>
              <w:pStyle w:val="89"/>
            </w:pPr>
            <w:r>
              <w:rPr>
                <w:rFonts w:hint="eastAsia"/>
                <w:color w:val="000000"/>
                <w:sz w:val="22"/>
              </w:rPr>
              <w:t xml:space="preserve">0.93 </w:t>
            </w:r>
          </w:p>
        </w:tc>
        <w:tc>
          <w:tcPr>
            <w:tcW w:w="285" w:type="pct"/>
            <w:shd w:val="clear" w:color="auto" w:fill="auto"/>
            <w:vAlign w:val="center"/>
          </w:tcPr>
          <w:p w14:paraId="138E92A9">
            <w:pPr>
              <w:pStyle w:val="89"/>
            </w:pPr>
            <w:r>
              <w:rPr>
                <w:rFonts w:hint="eastAsia"/>
                <w:color w:val="000000"/>
                <w:sz w:val="22"/>
              </w:rPr>
              <w:t xml:space="preserve">0.13 </w:t>
            </w:r>
          </w:p>
        </w:tc>
        <w:tc>
          <w:tcPr>
            <w:tcW w:w="318" w:type="pct"/>
            <w:vAlign w:val="center"/>
          </w:tcPr>
          <w:p w14:paraId="423D2102">
            <w:pPr>
              <w:pStyle w:val="89"/>
            </w:pPr>
            <w:r>
              <w:rPr>
                <w:rFonts w:hint="eastAsia"/>
                <w:color w:val="000000"/>
                <w:sz w:val="22"/>
              </w:rPr>
              <w:t xml:space="preserve">2.05 </w:t>
            </w:r>
          </w:p>
        </w:tc>
        <w:tc>
          <w:tcPr>
            <w:tcW w:w="285" w:type="pct"/>
            <w:vAlign w:val="center"/>
          </w:tcPr>
          <w:p w14:paraId="4C635117">
            <w:pPr>
              <w:pStyle w:val="89"/>
            </w:pPr>
            <w:r>
              <w:rPr>
                <w:rFonts w:hint="eastAsia"/>
                <w:color w:val="000000"/>
                <w:sz w:val="22"/>
              </w:rPr>
              <w:t xml:space="preserve">0.003 </w:t>
            </w:r>
          </w:p>
        </w:tc>
        <w:tc>
          <w:tcPr>
            <w:tcW w:w="285" w:type="pct"/>
            <w:vAlign w:val="center"/>
          </w:tcPr>
          <w:p w14:paraId="51300694">
            <w:pPr>
              <w:pStyle w:val="89"/>
            </w:pPr>
            <w:r>
              <w:rPr>
                <w:rFonts w:hint="eastAsia"/>
                <w:color w:val="000000"/>
                <w:sz w:val="22"/>
              </w:rPr>
              <w:t xml:space="preserve">1.07 </w:t>
            </w:r>
          </w:p>
        </w:tc>
        <w:tc>
          <w:tcPr>
            <w:tcW w:w="315" w:type="pct"/>
            <w:vAlign w:val="center"/>
          </w:tcPr>
          <w:p w14:paraId="51102BB8">
            <w:pPr>
              <w:pStyle w:val="89"/>
            </w:pPr>
            <w:r>
              <w:rPr>
                <w:rFonts w:hint="eastAsia"/>
                <w:color w:val="000000"/>
                <w:sz w:val="22"/>
              </w:rPr>
              <w:t xml:space="preserve">0.00 </w:t>
            </w:r>
          </w:p>
        </w:tc>
        <w:tc>
          <w:tcPr>
            <w:tcW w:w="261" w:type="pct"/>
            <w:shd w:val="clear" w:color="auto" w:fill="auto"/>
            <w:vAlign w:val="center"/>
          </w:tcPr>
          <w:p w14:paraId="57E87B44">
            <w:pPr>
              <w:pStyle w:val="89"/>
            </w:pPr>
            <w:r>
              <w:t>/</w:t>
            </w:r>
          </w:p>
        </w:tc>
        <w:tc>
          <w:tcPr>
            <w:tcW w:w="263" w:type="pct"/>
            <w:shd w:val="clear" w:color="auto" w:fill="auto"/>
            <w:vAlign w:val="center"/>
          </w:tcPr>
          <w:p w14:paraId="0F3579D6">
            <w:pPr>
              <w:pStyle w:val="89"/>
            </w:pPr>
            <w:r>
              <w:t>/</w:t>
            </w:r>
          </w:p>
        </w:tc>
        <w:tc>
          <w:tcPr>
            <w:tcW w:w="239" w:type="pct"/>
            <w:shd w:val="clear" w:color="auto" w:fill="auto"/>
            <w:vAlign w:val="center"/>
          </w:tcPr>
          <w:p w14:paraId="1C3AE635">
            <w:pPr>
              <w:pStyle w:val="89"/>
            </w:pPr>
            <w:r>
              <w:t>/</w:t>
            </w:r>
          </w:p>
        </w:tc>
        <w:tc>
          <w:tcPr>
            <w:tcW w:w="251" w:type="pct"/>
            <w:shd w:val="clear" w:color="auto" w:fill="auto"/>
            <w:vAlign w:val="center"/>
          </w:tcPr>
          <w:p w14:paraId="22326164">
            <w:pPr>
              <w:pStyle w:val="89"/>
            </w:pPr>
            <w:r>
              <w:t>/</w:t>
            </w:r>
          </w:p>
        </w:tc>
        <w:tc>
          <w:tcPr>
            <w:tcW w:w="319" w:type="pct"/>
            <w:shd w:val="clear" w:color="auto" w:fill="auto"/>
            <w:vAlign w:val="center"/>
          </w:tcPr>
          <w:p w14:paraId="04476171">
            <w:pPr>
              <w:pStyle w:val="89"/>
            </w:pPr>
            <w:r>
              <w:t>/</w:t>
            </w:r>
          </w:p>
        </w:tc>
        <w:tc>
          <w:tcPr>
            <w:tcW w:w="383" w:type="pct"/>
            <w:vAlign w:val="center"/>
          </w:tcPr>
          <w:p w14:paraId="455F4BC5">
            <w:pPr>
              <w:pStyle w:val="89"/>
            </w:pPr>
            <w:r>
              <w:rPr>
                <w:rFonts w:hint="eastAsia"/>
                <w:color w:val="000000"/>
                <w:sz w:val="22"/>
              </w:rPr>
              <w:t xml:space="preserve">245.02 </w:t>
            </w:r>
          </w:p>
        </w:tc>
        <w:tc>
          <w:tcPr>
            <w:tcW w:w="351" w:type="pct"/>
            <w:vAlign w:val="center"/>
          </w:tcPr>
          <w:p w14:paraId="3A0A59D8">
            <w:pPr>
              <w:pStyle w:val="89"/>
            </w:pPr>
            <w:r>
              <w:rPr>
                <w:rFonts w:hint="eastAsia"/>
                <w:color w:val="000000"/>
                <w:sz w:val="22"/>
              </w:rPr>
              <w:t xml:space="preserve">1.64 </w:t>
            </w:r>
          </w:p>
        </w:tc>
      </w:tr>
      <w:tr w14:paraId="2E191F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4D145999">
            <w:pPr>
              <w:pStyle w:val="89"/>
            </w:pPr>
            <w:r>
              <w:rPr>
                <w:rFonts w:hint="eastAsia"/>
                <w:color w:val="000000"/>
                <w:sz w:val="22"/>
              </w:rPr>
              <w:t>化学原料和化学制品制造业</w:t>
            </w:r>
          </w:p>
        </w:tc>
        <w:tc>
          <w:tcPr>
            <w:tcW w:w="317" w:type="pct"/>
            <w:shd w:val="clear" w:color="auto" w:fill="auto"/>
            <w:vAlign w:val="center"/>
          </w:tcPr>
          <w:p w14:paraId="3C7A9EFB">
            <w:pPr>
              <w:pStyle w:val="89"/>
            </w:pPr>
            <w:r>
              <w:rPr>
                <w:rFonts w:hint="eastAsia"/>
                <w:color w:val="000000"/>
                <w:sz w:val="22"/>
              </w:rPr>
              <w:t xml:space="preserve">1.92 </w:t>
            </w:r>
          </w:p>
        </w:tc>
        <w:tc>
          <w:tcPr>
            <w:tcW w:w="318" w:type="pct"/>
            <w:shd w:val="clear" w:color="auto" w:fill="auto"/>
            <w:vAlign w:val="center"/>
          </w:tcPr>
          <w:p w14:paraId="5117DB74">
            <w:pPr>
              <w:pStyle w:val="89"/>
            </w:pPr>
            <w:r>
              <w:rPr>
                <w:rFonts w:hint="eastAsia"/>
                <w:color w:val="000000"/>
                <w:sz w:val="22"/>
              </w:rPr>
              <w:t xml:space="preserve">1.10 </w:t>
            </w:r>
          </w:p>
        </w:tc>
        <w:tc>
          <w:tcPr>
            <w:tcW w:w="285" w:type="pct"/>
            <w:shd w:val="clear" w:color="auto" w:fill="auto"/>
            <w:vAlign w:val="center"/>
          </w:tcPr>
          <w:p w14:paraId="50E97352">
            <w:pPr>
              <w:pStyle w:val="89"/>
            </w:pPr>
            <w:r>
              <w:rPr>
                <w:rFonts w:hint="eastAsia"/>
                <w:color w:val="000000"/>
                <w:sz w:val="22"/>
              </w:rPr>
              <w:t xml:space="preserve">0.05 </w:t>
            </w:r>
          </w:p>
        </w:tc>
        <w:tc>
          <w:tcPr>
            <w:tcW w:w="318" w:type="pct"/>
            <w:vAlign w:val="center"/>
          </w:tcPr>
          <w:p w14:paraId="76EA1F86">
            <w:pPr>
              <w:pStyle w:val="89"/>
            </w:pPr>
            <w:r>
              <w:rPr>
                <w:rFonts w:hint="eastAsia"/>
                <w:color w:val="000000"/>
                <w:sz w:val="22"/>
              </w:rPr>
              <w:t xml:space="preserve">11.09 </w:t>
            </w:r>
          </w:p>
        </w:tc>
        <w:tc>
          <w:tcPr>
            <w:tcW w:w="285" w:type="pct"/>
            <w:vAlign w:val="center"/>
          </w:tcPr>
          <w:p w14:paraId="03F3D5D4">
            <w:pPr>
              <w:pStyle w:val="89"/>
            </w:pPr>
            <w:r>
              <w:rPr>
                <w:rFonts w:hint="eastAsia"/>
                <w:color w:val="000000"/>
                <w:sz w:val="22"/>
              </w:rPr>
              <w:t xml:space="preserve">45.48 </w:t>
            </w:r>
          </w:p>
        </w:tc>
        <w:tc>
          <w:tcPr>
            <w:tcW w:w="285" w:type="pct"/>
            <w:vAlign w:val="center"/>
          </w:tcPr>
          <w:p w14:paraId="02434E65">
            <w:pPr>
              <w:pStyle w:val="89"/>
            </w:pPr>
            <w:r>
              <w:rPr>
                <w:rFonts w:hint="eastAsia"/>
                <w:color w:val="000000"/>
                <w:sz w:val="22"/>
              </w:rPr>
              <w:t xml:space="preserve">32.77 </w:t>
            </w:r>
          </w:p>
        </w:tc>
        <w:tc>
          <w:tcPr>
            <w:tcW w:w="315" w:type="pct"/>
            <w:vAlign w:val="center"/>
          </w:tcPr>
          <w:p w14:paraId="02F26A49">
            <w:pPr>
              <w:pStyle w:val="89"/>
            </w:pPr>
            <w:r>
              <w:rPr>
                <w:rFonts w:hint="eastAsia"/>
                <w:color w:val="000000"/>
                <w:sz w:val="22"/>
              </w:rPr>
              <w:t xml:space="preserve">5.79 </w:t>
            </w:r>
          </w:p>
        </w:tc>
        <w:tc>
          <w:tcPr>
            <w:tcW w:w="261" w:type="pct"/>
            <w:shd w:val="clear" w:color="auto" w:fill="auto"/>
            <w:vAlign w:val="center"/>
          </w:tcPr>
          <w:p w14:paraId="5BD0A6DB">
            <w:pPr>
              <w:pStyle w:val="89"/>
            </w:pPr>
            <w:r>
              <w:t>/</w:t>
            </w:r>
          </w:p>
        </w:tc>
        <w:tc>
          <w:tcPr>
            <w:tcW w:w="263" w:type="pct"/>
            <w:shd w:val="clear" w:color="auto" w:fill="auto"/>
            <w:vAlign w:val="center"/>
          </w:tcPr>
          <w:p w14:paraId="6E526DFB">
            <w:pPr>
              <w:pStyle w:val="89"/>
            </w:pPr>
            <w:r>
              <w:t>/</w:t>
            </w:r>
          </w:p>
        </w:tc>
        <w:tc>
          <w:tcPr>
            <w:tcW w:w="239" w:type="pct"/>
            <w:shd w:val="clear" w:color="auto" w:fill="auto"/>
            <w:vAlign w:val="center"/>
          </w:tcPr>
          <w:p w14:paraId="13BB208A">
            <w:pPr>
              <w:pStyle w:val="89"/>
            </w:pPr>
            <w:r>
              <w:t>/</w:t>
            </w:r>
          </w:p>
        </w:tc>
        <w:tc>
          <w:tcPr>
            <w:tcW w:w="251" w:type="pct"/>
            <w:shd w:val="clear" w:color="auto" w:fill="auto"/>
            <w:vAlign w:val="center"/>
          </w:tcPr>
          <w:p w14:paraId="61FC7164">
            <w:pPr>
              <w:pStyle w:val="89"/>
            </w:pPr>
            <w:r>
              <w:t>/</w:t>
            </w:r>
          </w:p>
        </w:tc>
        <w:tc>
          <w:tcPr>
            <w:tcW w:w="319" w:type="pct"/>
            <w:shd w:val="clear" w:color="auto" w:fill="auto"/>
            <w:vAlign w:val="center"/>
          </w:tcPr>
          <w:p w14:paraId="26C1AF9E">
            <w:pPr>
              <w:pStyle w:val="89"/>
            </w:pPr>
            <w:r>
              <w:t>/</w:t>
            </w:r>
          </w:p>
        </w:tc>
        <w:tc>
          <w:tcPr>
            <w:tcW w:w="383" w:type="pct"/>
            <w:vAlign w:val="center"/>
          </w:tcPr>
          <w:p w14:paraId="281DF4A7">
            <w:pPr>
              <w:pStyle w:val="89"/>
            </w:pPr>
            <w:r>
              <w:rPr>
                <w:rFonts w:hint="eastAsia"/>
                <w:color w:val="000000"/>
                <w:sz w:val="22"/>
              </w:rPr>
              <w:t xml:space="preserve">3542.33 </w:t>
            </w:r>
          </w:p>
        </w:tc>
        <w:tc>
          <w:tcPr>
            <w:tcW w:w="351" w:type="pct"/>
            <w:vAlign w:val="center"/>
          </w:tcPr>
          <w:p w14:paraId="066CF5EE">
            <w:pPr>
              <w:pStyle w:val="89"/>
            </w:pPr>
            <w:r>
              <w:rPr>
                <w:rFonts w:hint="eastAsia"/>
                <w:color w:val="000000"/>
                <w:sz w:val="22"/>
              </w:rPr>
              <w:t xml:space="preserve">2.97 </w:t>
            </w:r>
          </w:p>
        </w:tc>
      </w:tr>
      <w:tr w14:paraId="2D6D9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71AF35DC">
            <w:pPr>
              <w:pStyle w:val="89"/>
            </w:pPr>
            <w:r>
              <w:rPr>
                <w:rFonts w:hint="eastAsia"/>
                <w:color w:val="000000"/>
                <w:sz w:val="22"/>
              </w:rPr>
              <w:t>电力、热力、燃气及水生产和供应业</w:t>
            </w:r>
          </w:p>
        </w:tc>
        <w:tc>
          <w:tcPr>
            <w:tcW w:w="317" w:type="pct"/>
            <w:shd w:val="clear" w:color="auto" w:fill="auto"/>
            <w:vAlign w:val="center"/>
          </w:tcPr>
          <w:p w14:paraId="1558635C">
            <w:pPr>
              <w:pStyle w:val="89"/>
            </w:pPr>
            <w:r>
              <w:rPr>
                <w:rFonts w:hint="eastAsia"/>
                <w:color w:val="000000"/>
                <w:sz w:val="22"/>
              </w:rPr>
              <w:t xml:space="preserve">0.11 </w:t>
            </w:r>
          </w:p>
        </w:tc>
        <w:tc>
          <w:tcPr>
            <w:tcW w:w="318" w:type="pct"/>
            <w:shd w:val="clear" w:color="auto" w:fill="auto"/>
            <w:vAlign w:val="center"/>
          </w:tcPr>
          <w:p w14:paraId="6009B9F2">
            <w:pPr>
              <w:pStyle w:val="89"/>
            </w:pPr>
            <w:r>
              <w:rPr>
                <w:rFonts w:hint="eastAsia"/>
                <w:color w:val="000000"/>
                <w:sz w:val="22"/>
              </w:rPr>
              <w:t xml:space="preserve">0.26 </w:t>
            </w:r>
          </w:p>
        </w:tc>
        <w:tc>
          <w:tcPr>
            <w:tcW w:w="285" w:type="pct"/>
            <w:shd w:val="clear" w:color="auto" w:fill="auto"/>
            <w:vAlign w:val="center"/>
          </w:tcPr>
          <w:p w14:paraId="2DE15A6A">
            <w:pPr>
              <w:pStyle w:val="89"/>
            </w:pPr>
            <w:r>
              <w:rPr>
                <w:rFonts w:hint="eastAsia"/>
                <w:color w:val="000000"/>
                <w:sz w:val="22"/>
              </w:rPr>
              <w:t xml:space="preserve">0.03 </w:t>
            </w:r>
          </w:p>
        </w:tc>
        <w:tc>
          <w:tcPr>
            <w:tcW w:w="318" w:type="pct"/>
            <w:vAlign w:val="center"/>
          </w:tcPr>
          <w:p w14:paraId="4011D022">
            <w:pPr>
              <w:pStyle w:val="89"/>
            </w:pPr>
            <w:r>
              <w:rPr>
                <w:rFonts w:hint="eastAsia"/>
                <w:color w:val="000000"/>
                <w:sz w:val="22"/>
              </w:rPr>
              <w:t xml:space="preserve">1.84 </w:t>
            </w:r>
          </w:p>
        </w:tc>
        <w:tc>
          <w:tcPr>
            <w:tcW w:w="285" w:type="pct"/>
            <w:vAlign w:val="center"/>
          </w:tcPr>
          <w:p w14:paraId="5A686272">
            <w:pPr>
              <w:pStyle w:val="89"/>
            </w:pPr>
            <w:r>
              <w:rPr>
                <w:rFonts w:hint="eastAsia"/>
                <w:color w:val="000000"/>
                <w:sz w:val="22"/>
              </w:rPr>
              <w:t xml:space="preserve">5.10 </w:t>
            </w:r>
          </w:p>
        </w:tc>
        <w:tc>
          <w:tcPr>
            <w:tcW w:w="285" w:type="pct"/>
            <w:vAlign w:val="center"/>
          </w:tcPr>
          <w:p w14:paraId="78D606A7">
            <w:pPr>
              <w:pStyle w:val="89"/>
            </w:pPr>
            <w:r>
              <w:rPr>
                <w:rFonts w:hint="eastAsia"/>
                <w:color w:val="000000"/>
                <w:sz w:val="22"/>
              </w:rPr>
              <w:t xml:space="preserve">28.20 </w:t>
            </w:r>
          </w:p>
        </w:tc>
        <w:tc>
          <w:tcPr>
            <w:tcW w:w="315" w:type="pct"/>
            <w:vAlign w:val="center"/>
          </w:tcPr>
          <w:p w14:paraId="55785A37">
            <w:pPr>
              <w:pStyle w:val="89"/>
            </w:pPr>
            <w:r>
              <w:rPr>
                <w:rFonts w:hint="eastAsia"/>
                <w:color w:val="000000"/>
                <w:sz w:val="22"/>
              </w:rPr>
              <w:t xml:space="preserve">0.00 </w:t>
            </w:r>
          </w:p>
        </w:tc>
        <w:tc>
          <w:tcPr>
            <w:tcW w:w="261" w:type="pct"/>
            <w:shd w:val="clear" w:color="auto" w:fill="auto"/>
            <w:vAlign w:val="center"/>
          </w:tcPr>
          <w:p w14:paraId="34F4FE7D">
            <w:pPr>
              <w:pStyle w:val="89"/>
            </w:pPr>
            <w:r>
              <w:t>/</w:t>
            </w:r>
          </w:p>
        </w:tc>
        <w:tc>
          <w:tcPr>
            <w:tcW w:w="263" w:type="pct"/>
            <w:shd w:val="clear" w:color="auto" w:fill="auto"/>
            <w:vAlign w:val="center"/>
          </w:tcPr>
          <w:p w14:paraId="1D5A4495">
            <w:pPr>
              <w:pStyle w:val="89"/>
            </w:pPr>
            <w:r>
              <w:t>/</w:t>
            </w:r>
          </w:p>
        </w:tc>
        <w:tc>
          <w:tcPr>
            <w:tcW w:w="239" w:type="pct"/>
            <w:shd w:val="clear" w:color="auto" w:fill="auto"/>
            <w:vAlign w:val="center"/>
          </w:tcPr>
          <w:p w14:paraId="0AA145AB">
            <w:pPr>
              <w:pStyle w:val="89"/>
            </w:pPr>
            <w:r>
              <w:t>/</w:t>
            </w:r>
          </w:p>
        </w:tc>
        <w:tc>
          <w:tcPr>
            <w:tcW w:w="251" w:type="pct"/>
            <w:shd w:val="clear" w:color="auto" w:fill="auto"/>
            <w:vAlign w:val="center"/>
          </w:tcPr>
          <w:p w14:paraId="23ED6B3C">
            <w:pPr>
              <w:pStyle w:val="89"/>
            </w:pPr>
            <w:r>
              <w:t>/</w:t>
            </w:r>
          </w:p>
        </w:tc>
        <w:tc>
          <w:tcPr>
            <w:tcW w:w="319" w:type="pct"/>
            <w:shd w:val="clear" w:color="auto" w:fill="auto"/>
            <w:vAlign w:val="center"/>
          </w:tcPr>
          <w:p w14:paraId="73BA34D3">
            <w:pPr>
              <w:pStyle w:val="89"/>
            </w:pPr>
            <w:r>
              <w:t>0.93</w:t>
            </w:r>
          </w:p>
        </w:tc>
        <w:tc>
          <w:tcPr>
            <w:tcW w:w="383" w:type="pct"/>
            <w:vAlign w:val="center"/>
          </w:tcPr>
          <w:p w14:paraId="36FAE6F9">
            <w:pPr>
              <w:pStyle w:val="89"/>
            </w:pPr>
            <w:r>
              <w:rPr>
                <w:rFonts w:hint="eastAsia"/>
                <w:color w:val="000000"/>
                <w:sz w:val="22"/>
              </w:rPr>
              <w:t xml:space="preserve">74747.71 </w:t>
            </w:r>
          </w:p>
        </w:tc>
        <w:tc>
          <w:tcPr>
            <w:tcW w:w="351" w:type="pct"/>
            <w:vAlign w:val="center"/>
          </w:tcPr>
          <w:p w14:paraId="261E3ACA">
            <w:pPr>
              <w:pStyle w:val="89"/>
            </w:pPr>
            <w:r>
              <w:rPr>
                <w:rFonts w:hint="eastAsia"/>
                <w:color w:val="000000"/>
                <w:sz w:val="22"/>
              </w:rPr>
              <w:t xml:space="preserve">2114.56 </w:t>
            </w:r>
          </w:p>
        </w:tc>
      </w:tr>
      <w:tr w14:paraId="6E795A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7" w:type="pct"/>
            <w:shd w:val="clear" w:color="auto" w:fill="auto"/>
            <w:vAlign w:val="center"/>
          </w:tcPr>
          <w:p w14:paraId="49754768">
            <w:pPr>
              <w:pStyle w:val="89"/>
            </w:pPr>
            <w:r>
              <w:t>合计</w:t>
            </w:r>
          </w:p>
        </w:tc>
        <w:tc>
          <w:tcPr>
            <w:tcW w:w="317" w:type="pct"/>
            <w:shd w:val="clear" w:color="auto" w:fill="auto"/>
            <w:vAlign w:val="center"/>
          </w:tcPr>
          <w:p w14:paraId="65491212">
            <w:pPr>
              <w:pStyle w:val="89"/>
            </w:pPr>
            <w:r>
              <w:rPr>
                <w:rFonts w:hint="eastAsia"/>
                <w:color w:val="000000"/>
                <w:sz w:val="22"/>
              </w:rPr>
              <w:t>287.22</w:t>
            </w:r>
          </w:p>
        </w:tc>
        <w:tc>
          <w:tcPr>
            <w:tcW w:w="318" w:type="pct"/>
            <w:shd w:val="clear" w:color="auto" w:fill="auto"/>
            <w:vAlign w:val="center"/>
          </w:tcPr>
          <w:p w14:paraId="4D212CE8">
            <w:pPr>
              <w:pStyle w:val="89"/>
            </w:pPr>
            <w:r>
              <w:rPr>
                <w:rFonts w:hint="eastAsia"/>
                <w:color w:val="000000"/>
                <w:sz w:val="22"/>
              </w:rPr>
              <w:t>188.86</w:t>
            </w:r>
          </w:p>
        </w:tc>
        <w:tc>
          <w:tcPr>
            <w:tcW w:w="285" w:type="pct"/>
            <w:shd w:val="clear" w:color="auto" w:fill="auto"/>
            <w:vAlign w:val="center"/>
          </w:tcPr>
          <w:p w14:paraId="6FF97E73">
            <w:pPr>
              <w:pStyle w:val="89"/>
            </w:pPr>
            <w:r>
              <w:rPr>
                <w:rFonts w:hint="eastAsia"/>
                <w:color w:val="000000"/>
                <w:sz w:val="22"/>
              </w:rPr>
              <w:t>14.83</w:t>
            </w:r>
          </w:p>
        </w:tc>
        <w:tc>
          <w:tcPr>
            <w:tcW w:w="318" w:type="pct"/>
            <w:vAlign w:val="center"/>
          </w:tcPr>
          <w:p w14:paraId="52B88238">
            <w:pPr>
              <w:pStyle w:val="89"/>
            </w:pPr>
            <w:r>
              <w:rPr>
                <w:rFonts w:hint="eastAsia"/>
                <w:color w:val="000000"/>
                <w:sz w:val="22"/>
              </w:rPr>
              <w:t xml:space="preserve">71.50 </w:t>
            </w:r>
          </w:p>
        </w:tc>
        <w:tc>
          <w:tcPr>
            <w:tcW w:w="285" w:type="pct"/>
            <w:vAlign w:val="center"/>
          </w:tcPr>
          <w:p w14:paraId="64940AB8">
            <w:pPr>
              <w:pStyle w:val="89"/>
            </w:pPr>
            <w:r>
              <w:rPr>
                <w:rFonts w:hint="eastAsia"/>
                <w:color w:val="000000"/>
                <w:sz w:val="22"/>
              </w:rPr>
              <w:t xml:space="preserve">56.15 </w:t>
            </w:r>
          </w:p>
        </w:tc>
        <w:tc>
          <w:tcPr>
            <w:tcW w:w="285" w:type="pct"/>
            <w:vAlign w:val="center"/>
          </w:tcPr>
          <w:p w14:paraId="79A7558C">
            <w:pPr>
              <w:pStyle w:val="89"/>
            </w:pPr>
            <w:r>
              <w:rPr>
                <w:rFonts w:hint="eastAsia"/>
                <w:color w:val="000000"/>
                <w:sz w:val="22"/>
              </w:rPr>
              <w:t xml:space="preserve">99.20 </w:t>
            </w:r>
          </w:p>
        </w:tc>
        <w:tc>
          <w:tcPr>
            <w:tcW w:w="315" w:type="pct"/>
            <w:vAlign w:val="center"/>
          </w:tcPr>
          <w:p w14:paraId="302C640F">
            <w:pPr>
              <w:pStyle w:val="89"/>
            </w:pPr>
            <w:r>
              <w:rPr>
                <w:rFonts w:hint="eastAsia"/>
                <w:color w:val="000000"/>
                <w:sz w:val="22"/>
              </w:rPr>
              <w:t xml:space="preserve">110.55 </w:t>
            </w:r>
          </w:p>
        </w:tc>
        <w:tc>
          <w:tcPr>
            <w:tcW w:w="261" w:type="pct"/>
            <w:shd w:val="clear" w:color="auto" w:fill="auto"/>
            <w:vAlign w:val="center"/>
          </w:tcPr>
          <w:p w14:paraId="66858FFD">
            <w:pPr>
              <w:pStyle w:val="89"/>
            </w:pPr>
            <w:r>
              <w:rPr>
                <w:rFonts w:hint="eastAsia"/>
              </w:rPr>
              <w:t>0.648</w:t>
            </w:r>
          </w:p>
        </w:tc>
        <w:tc>
          <w:tcPr>
            <w:tcW w:w="263" w:type="pct"/>
            <w:shd w:val="clear" w:color="auto" w:fill="auto"/>
            <w:vAlign w:val="bottom"/>
          </w:tcPr>
          <w:p w14:paraId="0C024EAA">
            <w:pPr>
              <w:pStyle w:val="89"/>
            </w:pPr>
            <w:r>
              <w:rPr>
                <w:rFonts w:hint="eastAsia"/>
              </w:rPr>
              <w:t>0.1491</w:t>
            </w:r>
            <w:r>
              <w:t>4</w:t>
            </w:r>
          </w:p>
        </w:tc>
        <w:tc>
          <w:tcPr>
            <w:tcW w:w="239" w:type="pct"/>
            <w:shd w:val="clear" w:color="auto" w:fill="auto"/>
            <w:vAlign w:val="bottom"/>
          </w:tcPr>
          <w:p w14:paraId="0AC953D7">
            <w:pPr>
              <w:pStyle w:val="89"/>
            </w:pPr>
            <w:r>
              <w:rPr>
                <w:rFonts w:hint="eastAsia"/>
              </w:rPr>
              <w:t>0.3056</w:t>
            </w:r>
          </w:p>
        </w:tc>
        <w:tc>
          <w:tcPr>
            <w:tcW w:w="251" w:type="pct"/>
            <w:shd w:val="clear" w:color="auto" w:fill="auto"/>
            <w:vAlign w:val="bottom"/>
          </w:tcPr>
          <w:p w14:paraId="6C685910">
            <w:pPr>
              <w:pStyle w:val="89"/>
            </w:pPr>
            <w:r>
              <w:rPr>
                <w:rFonts w:hint="eastAsia"/>
              </w:rPr>
              <w:t>0.422</w:t>
            </w:r>
          </w:p>
        </w:tc>
        <w:tc>
          <w:tcPr>
            <w:tcW w:w="319" w:type="pct"/>
            <w:shd w:val="clear" w:color="auto" w:fill="auto"/>
            <w:vAlign w:val="bottom"/>
          </w:tcPr>
          <w:p w14:paraId="41DB1EBA">
            <w:pPr>
              <w:pStyle w:val="89"/>
            </w:pPr>
            <w:r>
              <w:rPr>
                <w:rFonts w:hint="eastAsia"/>
              </w:rPr>
              <w:t>0.</w:t>
            </w:r>
            <w:r>
              <w:t>931186</w:t>
            </w:r>
          </w:p>
        </w:tc>
        <w:tc>
          <w:tcPr>
            <w:tcW w:w="383" w:type="pct"/>
            <w:vAlign w:val="center"/>
          </w:tcPr>
          <w:p w14:paraId="672B2744">
            <w:pPr>
              <w:pStyle w:val="89"/>
            </w:pPr>
            <w:r>
              <w:rPr>
                <w:rFonts w:hint="eastAsia"/>
                <w:color w:val="000000"/>
                <w:sz w:val="22"/>
              </w:rPr>
              <w:t xml:space="preserve">1282.09 </w:t>
            </w:r>
          </w:p>
        </w:tc>
        <w:tc>
          <w:tcPr>
            <w:tcW w:w="351" w:type="pct"/>
            <w:vAlign w:val="center"/>
          </w:tcPr>
          <w:p w14:paraId="68CAB168">
            <w:pPr>
              <w:pStyle w:val="89"/>
            </w:pPr>
            <w:r>
              <w:rPr>
                <w:rFonts w:hint="eastAsia"/>
                <w:color w:val="000000"/>
                <w:sz w:val="22"/>
              </w:rPr>
              <w:t xml:space="preserve">3.20 </w:t>
            </w:r>
          </w:p>
        </w:tc>
      </w:tr>
    </w:tbl>
    <w:p w14:paraId="7D4D6A07">
      <w:pPr>
        <w:ind w:firstLine="480"/>
        <w:sectPr>
          <w:pgSz w:w="16838" w:h="11906" w:orient="landscape"/>
          <w:pgMar w:top="1800" w:right="1440" w:bottom="1800" w:left="144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2A62E4D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5.5.2</w:t>
      </w:r>
      <w:r>
        <w:rPr>
          <w:rFonts w:hint="eastAsia"/>
        </w:rPr>
        <w:t>拟建项目污染源统计</w:t>
      </w:r>
    </w:p>
    <w:p w14:paraId="6FECD4DC">
      <w:pPr>
        <w:ind w:firstLine="480"/>
      </w:pPr>
      <w:r>
        <w:rPr>
          <w:rFonts w:hint="eastAsia"/>
        </w:rPr>
        <w:t>根据调查，评价范围拟建项目主要污染源见下表。</w:t>
      </w:r>
    </w:p>
    <w:p w14:paraId="5F135989">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表5.5-2 </w:t>
      </w:r>
      <w:r>
        <w:rPr>
          <w:rFonts w:hint="eastAsia"/>
        </w:rPr>
        <w:t>评价范围与评价项目排放污染物有关的拟建、在建项目情况</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2"/>
        <w:gridCol w:w="1690"/>
        <w:gridCol w:w="1524"/>
        <w:gridCol w:w="2090"/>
        <w:gridCol w:w="1205"/>
        <w:gridCol w:w="1421"/>
      </w:tblGrid>
      <w:tr w14:paraId="6DEDA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dxa"/>
            <w:tcBorders>
              <w:top w:val="single" w:color="auto" w:sz="12" w:space="0"/>
              <w:left w:val="single" w:color="auto" w:sz="12" w:space="0"/>
            </w:tcBorders>
            <w:vAlign w:val="center"/>
          </w:tcPr>
          <w:p w14:paraId="069EA147">
            <w:pPr>
              <w:spacing w:line="240" w:lineRule="auto"/>
              <w:jc w:val="center"/>
              <w:rPr>
                <w:sz w:val="21"/>
                <w:szCs w:val="21"/>
              </w:rPr>
            </w:pPr>
            <w:r>
              <w:rPr>
                <w:rFonts w:hint="eastAsia"/>
                <w:sz w:val="21"/>
                <w:szCs w:val="21"/>
              </w:rPr>
              <w:t>序号</w:t>
            </w:r>
          </w:p>
        </w:tc>
        <w:tc>
          <w:tcPr>
            <w:tcW w:w="1690" w:type="dxa"/>
            <w:tcBorders>
              <w:top w:val="single" w:color="auto" w:sz="12" w:space="0"/>
            </w:tcBorders>
            <w:vAlign w:val="center"/>
          </w:tcPr>
          <w:p w14:paraId="05E02B6F">
            <w:pPr>
              <w:spacing w:line="240" w:lineRule="auto"/>
              <w:jc w:val="center"/>
              <w:rPr>
                <w:sz w:val="21"/>
                <w:szCs w:val="21"/>
              </w:rPr>
            </w:pPr>
            <w:r>
              <w:rPr>
                <w:rFonts w:hint="eastAsia"/>
                <w:sz w:val="21"/>
                <w:szCs w:val="21"/>
              </w:rPr>
              <w:t>企业名称</w:t>
            </w:r>
          </w:p>
        </w:tc>
        <w:tc>
          <w:tcPr>
            <w:tcW w:w="1524" w:type="dxa"/>
            <w:tcBorders>
              <w:top w:val="single" w:color="auto" w:sz="12" w:space="0"/>
            </w:tcBorders>
            <w:vAlign w:val="center"/>
          </w:tcPr>
          <w:p w14:paraId="5BA32227">
            <w:pPr>
              <w:spacing w:line="240" w:lineRule="auto"/>
              <w:jc w:val="center"/>
              <w:rPr>
                <w:sz w:val="21"/>
                <w:szCs w:val="21"/>
              </w:rPr>
            </w:pPr>
            <w:r>
              <w:rPr>
                <w:rFonts w:hint="eastAsia"/>
                <w:sz w:val="21"/>
                <w:szCs w:val="21"/>
              </w:rPr>
              <w:t>项目情况</w:t>
            </w:r>
          </w:p>
        </w:tc>
        <w:tc>
          <w:tcPr>
            <w:tcW w:w="2090" w:type="dxa"/>
            <w:tcBorders>
              <w:top w:val="single" w:color="auto" w:sz="12" w:space="0"/>
            </w:tcBorders>
            <w:vAlign w:val="center"/>
          </w:tcPr>
          <w:p w14:paraId="57C47455">
            <w:pPr>
              <w:spacing w:line="240" w:lineRule="auto"/>
              <w:jc w:val="center"/>
              <w:rPr>
                <w:sz w:val="21"/>
                <w:szCs w:val="21"/>
              </w:rPr>
            </w:pPr>
            <w:r>
              <w:rPr>
                <w:rFonts w:hint="eastAsia"/>
                <w:sz w:val="21"/>
                <w:szCs w:val="21"/>
              </w:rPr>
              <w:t>要污染物</w:t>
            </w:r>
          </w:p>
        </w:tc>
        <w:tc>
          <w:tcPr>
            <w:tcW w:w="1205" w:type="dxa"/>
            <w:tcBorders>
              <w:top w:val="single" w:color="auto" w:sz="12" w:space="0"/>
            </w:tcBorders>
            <w:vAlign w:val="center"/>
          </w:tcPr>
          <w:p w14:paraId="2EAE5781">
            <w:pPr>
              <w:spacing w:line="240" w:lineRule="auto"/>
              <w:jc w:val="center"/>
              <w:rPr>
                <w:sz w:val="21"/>
                <w:szCs w:val="21"/>
              </w:rPr>
            </w:pPr>
            <w:r>
              <w:rPr>
                <w:rFonts w:hint="eastAsia"/>
                <w:sz w:val="21"/>
                <w:szCs w:val="21"/>
              </w:rPr>
              <w:t>有项目位置关系</w:t>
            </w:r>
          </w:p>
        </w:tc>
        <w:tc>
          <w:tcPr>
            <w:tcW w:w="1421" w:type="dxa"/>
            <w:tcBorders>
              <w:top w:val="single" w:color="auto" w:sz="12" w:space="0"/>
              <w:right w:val="single" w:color="auto" w:sz="12" w:space="0"/>
            </w:tcBorders>
            <w:vAlign w:val="center"/>
          </w:tcPr>
          <w:p w14:paraId="4E6F48BC">
            <w:pPr>
              <w:spacing w:line="240" w:lineRule="auto"/>
              <w:jc w:val="center"/>
              <w:rPr>
                <w:sz w:val="21"/>
                <w:szCs w:val="21"/>
              </w:rPr>
            </w:pPr>
            <w:r>
              <w:rPr>
                <w:rFonts w:hint="eastAsia"/>
                <w:sz w:val="21"/>
                <w:szCs w:val="21"/>
              </w:rPr>
              <w:t>备注</w:t>
            </w:r>
          </w:p>
        </w:tc>
      </w:tr>
      <w:tr w14:paraId="2F747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dxa"/>
            <w:tcBorders>
              <w:left w:val="single" w:color="auto" w:sz="12" w:space="0"/>
            </w:tcBorders>
            <w:vAlign w:val="center"/>
          </w:tcPr>
          <w:p w14:paraId="7B8316A3">
            <w:pPr>
              <w:spacing w:line="240" w:lineRule="auto"/>
              <w:jc w:val="center"/>
              <w:rPr>
                <w:sz w:val="21"/>
                <w:szCs w:val="21"/>
              </w:rPr>
            </w:pPr>
            <w:r>
              <w:rPr>
                <w:rFonts w:hint="eastAsia"/>
                <w:sz w:val="21"/>
                <w:szCs w:val="21"/>
              </w:rPr>
              <w:t>1</w:t>
            </w:r>
          </w:p>
        </w:tc>
        <w:tc>
          <w:tcPr>
            <w:tcW w:w="1690" w:type="dxa"/>
            <w:vAlign w:val="center"/>
          </w:tcPr>
          <w:p w14:paraId="117BEC0A">
            <w:pPr>
              <w:spacing w:line="240" w:lineRule="auto"/>
              <w:jc w:val="center"/>
              <w:rPr>
                <w:sz w:val="21"/>
                <w:szCs w:val="21"/>
              </w:rPr>
            </w:pPr>
            <w:r>
              <w:rPr>
                <w:sz w:val="21"/>
                <w:szCs w:val="21"/>
              </w:rPr>
              <w:t>湖南绿尚再生资源有限公司</w:t>
            </w:r>
          </w:p>
        </w:tc>
        <w:tc>
          <w:tcPr>
            <w:tcW w:w="1524" w:type="dxa"/>
            <w:vAlign w:val="center"/>
          </w:tcPr>
          <w:p w14:paraId="60741ECD">
            <w:pPr>
              <w:spacing w:line="240" w:lineRule="auto"/>
              <w:rPr>
                <w:sz w:val="21"/>
                <w:szCs w:val="21"/>
              </w:rPr>
            </w:pPr>
            <w:r>
              <w:rPr>
                <w:sz w:val="21"/>
                <w:szCs w:val="21"/>
              </w:rPr>
              <w:t>危废转运规模为13550t/a</w:t>
            </w:r>
          </w:p>
        </w:tc>
        <w:tc>
          <w:tcPr>
            <w:tcW w:w="2090" w:type="dxa"/>
            <w:vAlign w:val="center"/>
          </w:tcPr>
          <w:p w14:paraId="76D48358">
            <w:pPr>
              <w:spacing w:line="240" w:lineRule="auto"/>
            </w:pPr>
            <w:r>
              <w:rPr>
                <w:rFonts w:hint="eastAsia"/>
                <w:sz w:val="21"/>
                <w:szCs w:val="21"/>
              </w:rPr>
              <w:t>有机废气：有组织0.29t/a，0.033kg/h；无组织0.1606t/a，0.018kg/h</w:t>
            </w:r>
          </w:p>
        </w:tc>
        <w:tc>
          <w:tcPr>
            <w:tcW w:w="1205" w:type="dxa"/>
            <w:vAlign w:val="center"/>
          </w:tcPr>
          <w:p w14:paraId="36AECFFA">
            <w:pPr>
              <w:spacing w:line="240" w:lineRule="auto"/>
              <w:jc w:val="center"/>
              <w:rPr>
                <w:sz w:val="21"/>
                <w:szCs w:val="21"/>
              </w:rPr>
            </w:pPr>
            <w:r>
              <w:rPr>
                <w:rFonts w:hint="eastAsia"/>
                <w:sz w:val="21"/>
                <w:szCs w:val="21"/>
              </w:rPr>
              <w:t>南侧11km</w:t>
            </w:r>
          </w:p>
        </w:tc>
        <w:tc>
          <w:tcPr>
            <w:tcW w:w="1421" w:type="dxa"/>
            <w:tcBorders>
              <w:right w:val="single" w:color="auto" w:sz="12" w:space="0"/>
            </w:tcBorders>
            <w:vAlign w:val="center"/>
          </w:tcPr>
          <w:p w14:paraId="41187EE4">
            <w:pPr>
              <w:spacing w:line="240" w:lineRule="auto"/>
              <w:jc w:val="center"/>
              <w:rPr>
                <w:sz w:val="21"/>
                <w:szCs w:val="21"/>
              </w:rPr>
            </w:pPr>
            <w:r>
              <w:rPr>
                <w:rFonts w:hint="eastAsia"/>
                <w:sz w:val="21"/>
                <w:szCs w:val="21"/>
              </w:rPr>
              <w:t>已批复在建</w:t>
            </w:r>
          </w:p>
        </w:tc>
      </w:tr>
      <w:tr w14:paraId="21AFF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dxa"/>
            <w:tcBorders>
              <w:left w:val="single" w:color="auto" w:sz="12" w:space="0"/>
            </w:tcBorders>
            <w:vAlign w:val="center"/>
          </w:tcPr>
          <w:p w14:paraId="318FDE75">
            <w:pPr>
              <w:spacing w:line="240" w:lineRule="auto"/>
              <w:jc w:val="center"/>
              <w:rPr>
                <w:sz w:val="21"/>
                <w:szCs w:val="21"/>
              </w:rPr>
            </w:pPr>
            <w:r>
              <w:rPr>
                <w:rFonts w:hint="eastAsia"/>
                <w:sz w:val="21"/>
                <w:szCs w:val="21"/>
              </w:rPr>
              <w:t>2</w:t>
            </w:r>
          </w:p>
        </w:tc>
        <w:tc>
          <w:tcPr>
            <w:tcW w:w="1690" w:type="dxa"/>
            <w:vAlign w:val="center"/>
          </w:tcPr>
          <w:p w14:paraId="55FC64B7">
            <w:pPr>
              <w:spacing w:line="240" w:lineRule="auto"/>
              <w:jc w:val="center"/>
              <w:rPr>
                <w:sz w:val="21"/>
                <w:szCs w:val="21"/>
              </w:rPr>
            </w:pPr>
            <w:r>
              <w:rPr>
                <w:sz w:val="21"/>
                <w:szCs w:val="21"/>
              </w:rPr>
              <w:t>湖南利宇金属科技有限公司</w:t>
            </w:r>
          </w:p>
        </w:tc>
        <w:tc>
          <w:tcPr>
            <w:tcW w:w="1524" w:type="dxa"/>
            <w:vAlign w:val="center"/>
          </w:tcPr>
          <w:p w14:paraId="71E4B14E">
            <w:pPr>
              <w:spacing w:line="240" w:lineRule="auto"/>
              <w:rPr>
                <w:sz w:val="21"/>
                <w:szCs w:val="21"/>
              </w:rPr>
            </w:pPr>
            <w:r>
              <w:rPr>
                <w:rFonts w:hint="eastAsia"/>
                <w:sz w:val="21"/>
                <w:szCs w:val="21"/>
              </w:rPr>
              <w:t>40000t/a金属线材</w:t>
            </w:r>
          </w:p>
        </w:tc>
        <w:tc>
          <w:tcPr>
            <w:tcW w:w="2090" w:type="dxa"/>
            <w:vAlign w:val="center"/>
          </w:tcPr>
          <w:p w14:paraId="6B753B0A">
            <w:pPr>
              <w:spacing w:line="240" w:lineRule="auto"/>
              <w:rPr>
                <w:color w:val="FF0000"/>
                <w:sz w:val="21"/>
                <w:szCs w:val="21"/>
              </w:rPr>
            </w:pPr>
            <w:r>
              <w:rPr>
                <w:rFonts w:hint="eastAsia"/>
                <w:sz w:val="21"/>
                <w:szCs w:val="21"/>
              </w:rPr>
              <w:t>颗粒物：有组织0.058t/a，0.019kg/h；二氧化硫：有组织0.04t/a，0.013kg/h；氮氧化物：有组织0.187t/a，0.062kg/h</w:t>
            </w:r>
          </w:p>
        </w:tc>
        <w:tc>
          <w:tcPr>
            <w:tcW w:w="1205" w:type="dxa"/>
            <w:vAlign w:val="center"/>
          </w:tcPr>
          <w:p w14:paraId="7ED65F8E">
            <w:pPr>
              <w:spacing w:line="240" w:lineRule="auto"/>
              <w:jc w:val="center"/>
              <w:rPr>
                <w:sz w:val="21"/>
                <w:szCs w:val="21"/>
              </w:rPr>
            </w:pPr>
            <w:r>
              <w:rPr>
                <w:rFonts w:hint="eastAsia"/>
                <w:sz w:val="21"/>
                <w:szCs w:val="21"/>
              </w:rPr>
              <w:t>西南侧520m</w:t>
            </w:r>
          </w:p>
        </w:tc>
        <w:tc>
          <w:tcPr>
            <w:tcW w:w="1421" w:type="dxa"/>
            <w:tcBorders>
              <w:right w:val="single" w:color="auto" w:sz="12" w:space="0"/>
            </w:tcBorders>
            <w:vAlign w:val="center"/>
          </w:tcPr>
          <w:p w14:paraId="71AAF8FB">
            <w:pPr>
              <w:spacing w:line="240" w:lineRule="auto"/>
              <w:jc w:val="center"/>
              <w:rPr>
                <w:sz w:val="21"/>
                <w:szCs w:val="21"/>
              </w:rPr>
            </w:pPr>
            <w:r>
              <w:rPr>
                <w:rFonts w:hint="eastAsia"/>
                <w:sz w:val="21"/>
                <w:szCs w:val="21"/>
              </w:rPr>
              <w:t>已批复在建</w:t>
            </w:r>
          </w:p>
        </w:tc>
      </w:tr>
      <w:tr w14:paraId="5C871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dxa"/>
            <w:tcBorders>
              <w:left w:val="single" w:color="auto" w:sz="12" w:space="0"/>
            </w:tcBorders>
            <w:vAlign w:val="center"/>
          </w:tcPr>
          <w:p w14:paraId="6C58582D">
            <w:pPr>
              <w:spacing w:line="240" w:lineRule="auto"/>
              <w:jc w:val="center"/>
              <w:rPr>
                <w:sz w:val="21"/>
                <w:szCs w:val="21"/>
              </w:rPr>
            </w:pPr>
            <w:r>
              <w:rPr>
                <w:rFonts w:hint="eastAsia"/>
                <w:sz w:val="21"/>
                <w:szCs w:val="21"/>
              </w:rPr>
              <w:t>3</w:t>
            </w:r>
          </w:p>
        </w:tc>
        <w:tc>
          <w:tcPr>
            <w:tcW w:w="1690" w:type="dxa"/>
            <w:vAlign w:val="center"/>
          </w:tcPr>
          <w:p w14:paraId="37DDFC57">
            <w:pPr>
              <w:spacing w:line="240" w:lineRule="auto"/>
              <w:jc w:val="center"/>
              <w:rPr>
                <w:sz w:val="21"/>
                <w:szCs w:val="21"/>
              </w:rPr>
            </w:pPr>
            <w:r>
              <w:rPr>
                <w:sz w:val="21"/>
                <w:szCs w:val="21"/>
              </w:rPr>
              <w:t>湖南尚银模具有限公司</w:t>
            </w:r>
          </w:p>
        </w:tc>
        <w:tc>
          <w:tcPr>
            <w:tcW w:w="1524" w:type="dxa"/>
            <w:vAlign w:val="center"/>
          </w:tcPr>
          <w:p w14:paraId="2AE199AE">
            <w:pPr>
              <w:spacing w:line="240" w:lineRule="auto"/>
              <w:rPr>
                <w:sz w:val="21"/>
                <w:szCs w:val="21"/>
              </w:rPr>
            </w:pPr>
            <w:r>
              <w:rPr>
                <w:sz w:val="21"/>
                <w:szCs w:val="21"/>
              </w:rPr>
              <w:t>年产3000吨铝合金铸件</w:t>
            </w:r>
          </w:p>
        </w:tc>
        <w:tc>
          <w:tcPr>
            <w:tcW w:w="2090" w:type="dxa"/>
            <w:vAlign w:val="center"/>
          </w:tcPr>
          <w:p w14:paraId="5B90EAF4">
            <w:pPr>
              <w:spacing w:line="240" w:lineRule="auto"/>
              <w:rPr>
                <w:sz w:val="21"/>
                <w:szCs w:val="21"/>
              </w:rPr>
            </w:pPr>
            <w:r>
              <w:rPr>
                <w:rFonts w:hint="eastAsia"/>
                <w:sz w:val="21"/>
                <w:szCs w:val="21"/>
              </w:rPr>
              <w:t>有机废气：有组织0.024t/a，0.027kg/h；无组织0.006t/a，0.007kg/h；颗粒物：有组织0.09t/a，0.1kg/h；无组织0.46t/a，0.515kg/h</w:t>
            </w:r>
          </w:p>
        </w:tc>
        <w:tc>
          <w:tcPr>
            <w:tcW w:w="1205" w:type="dxa"/>
            <w:vAlign w:val="center"/>
          </w:tcPr>
          <w:p w14:paraId="08207DBE">
            <w:pPr>
              <w:spacing w:line="240" w:lineRule="auto"/>
              <w:jc w:val="center"/>
              <w:rPr>
                <w:sz w:val="21"/>
                <w:szCs w:val="21"/>
              </w:rPr>
            </w:pPr>
            <w:r>
              <w:rPr>
                <w:rFonts w:hint="eastAsia"/>
                <w:sz w:val="21"/>
                <w:szCs w:val="21"/>
              </w:rPr>
              <w:t>西南1.3km</w:t>
            </w:r>
          </w:p>
        </w:tc>
        <w:tc>
          <w:tcPr>
            <w:tcW w:w="1421" w:type="dxa"/>
            <w:tcBorders>
              <w:right w:val="single" w:color="auto" w:sz="12" w:space="0"/>
            </w:tcBorders>
            <w:vAlign w:val="center"/>
          </w:tcPr>
          <w:p w14:paraId="343253B3">
            <w:pPr>
              <w:spacing w:line="240" w:lineRule="auto"/>
              <w:jc w:val="center"/>
              <w:rPr>
                <w:sz w:val="21"/>
                <w:szCs w:val="21"/>
              </w:rPr>
            </w:pPr>
            <w:r>
              <w:rPr>
                <w:rFonts w:hint="eastAsia"/>
                <w:sz w:val="21"/>
                <w:szCs w:val="21"/>
              </w:rPr>
              <w:t>已批复在建</w:t>
            </w:r>
          </w:p>
        </w:tc>
      </w:tr>
    </w:tbl>
    <w:p w14:paraId="6DDE232A">
      <w:pPr>
        <w:pStyle w:val="38"/>
        <w:rPr>
          <w:color w:val="FF0000"/>
        </w:rPr>
      </w:pPr>
    </w:p>
    <w:p w14:paraId="51F39F0E">
      <w:pPr>
        <w:pStyle w:val="38"/>
        <w:rPr>
          <w:color w:val="FF0000"/>
        </w:rPr>
      </w:pPr>
    </w:p>
    <w:p w14:paraId="5BBF2EDA">
      <w:pPr>
        <w:pStyle w:val="38"/>
        <w:rPr>
          <w:color w:val="FF0000"/>
        </w:rPr>
      </w:pPr>
    </w:p>
    <w:p w14:paraId="5BA8CA28">
      <w:pPr>
        <w:pStyle w:val="38"/>
        <w:rPr>
          <w:color w:val="FF0000"/>
        </w:rPr>
      </w:pPr>
    </w:p>
    <w:p w14:paraId="2C54E906">
      <w:pPr>
        <w:pStyle w:val="38"/>
        <w:rPr>
          <w:color w:val="FF0000"/>
        </w:rPr>
      </w:pPr>
    </w:p>
    <w:p w14:paraId="07359829">
      <w:pPr>
        <w:pStyle w:val="38"/>
        <w:rPr>
          <w:color w:val="FF0000"/>
        </w:rPr>
      </w:pPr>
    </w:p>
    <w:p w14:paraId="70AB44C6">
      <w:pPr>
        <w:pStyle w:val="38"/>
        <w:rPr>
          <w:color w:val="FF0000"/>
        </w:rPr>
      </w:pPr>
    </w:p>
    <w:p w14:paraId="1215938E">
      <w:pPr>
        <w:pStyle w:val="38"/>
        <w:rPr>
          <w:color w:val="FF0000"/>
        </w:rPr>
      </w:pPr>
    </w:p>
    <w:p w14:paraId="010E73C1">
      <w:pPr>
        <w:pStyle w:val="38"/>
        <w:rPr>
          <w:color w:val="FF0000"/>
        </w:rPr>
      </w:pPr>
    </w:p>
    <w:p w14:paraId="7CF8A1B3">
      <w:pPr>
        <w:pStyle w:val="38"/>
        <w:rPr>
          <w:color w:val="FF0000"/>
        </w:rPr>
      </w:pPr>
    </w:p>
    <w:p w14:paraId="63D9184C">
      <w:pPr>
        <w:pStyle w:val="38"/>
        <w:rPr>
          <w:color w:val="FF0000"/>
        </w:rPr>
      </w:pPr>
    </w:p>
    <w:p w14:paraId="710263FF">
      <w:pPr>
        <w:pStyle w:val="2"/>
        <w:numPr>
          <w:ilvl w:val="0"/>
          <w:numId w:val="0"/>
        </w:numPr>
        <w:ind w:left="425" w:leftChars="0" w:hanging="425" w:firstLineChars="0"/>
        <w:rPr>
          <w:color w:val="auto"/>
        </w:rPr>
      </w:pPr>
      <w:bookmarkStart w:id="131" w:name="_Toc20089"/>
      <w:bookmarkStart w:id="132" w:name="_Toc29256"/>
      <w:bookmarkStart w:id="133" w:name="_Toc12569"/>
      <w:bookmarkStart w:id="134" w:name="_Toc149"/>
      <w:bookmarkStart w:id="135" w:name="_Toc27523"/>
      <w:bookmarkStart w:id="136" w:name="_Toc13139"/>
      <w:r>
        <w:rPr>
          <w:rFonts w:hint="default" w:ascii="宋体" w:hAnsi="宋体" w:eastAsia="宋体" w:cs="宋体"/>
          <w:b/>
          <w:bCs/>
          <w:color w:val="auto"/>
          <w:kern w:val="44"/>
          <w:sz w:val="32"/>
          <w:szCs w:val="32"/>
          <w:lang w:val="en-US" w:eastAsia="zh-CN" w:bidi="ar-SA"/>
        </w:rPr>
        <w:t>第6章</w:t>
      </w:r>
      <w:r>
        <w:rPr>
          <w:rFonts w:hint="eastAsia"/>
          <w:color w:val="auto"/>
        </w:rPr>
        <w:t>环境影响预测与评价</w:t>
      </w:r>
      <w:bookmarkEnd w:id="131"/>
    </w:p>
    <w:p w14:paraId="7BD145DB">
      <w:pPr>
        <w:pStyle w:val="3"/>
        <w:numPr>
          <w:ilvl w:val="1"/>
          <w:numId w:val="0"/>
        </w:numPr>
        <w:ind w:left="567" w:leftChars="0" w:hanging="567" w:firstLineChars="0"/>
        <w:rPr>
          <w:sz w:val="28"/>
          <w:szCs w:val="28"/>
        </w:rPr>
      </w:pPr>
      <w:bookmarkStart w:id="137" w:name="_Toc8653"/>
      <w:r>
        <w:rPr>
          <w:rFonts w:hint="default" w:ascii="宋体" w:hAnsi="宋体" w:eastAsia="宋体" w:cs="宋体"/>
          <w:b/>
          <w:bCs/>
          <w:kern w:val="2"/>
          <w:sz w:val="28"/>
          <w:szCs w:val="28"/>
          <w:lang w:val="en-US" w:eastAsia="zh-CN" w:bidi="ar-SA"/>
        </w:rPr>
        <w:t>6.1</w:t>
      </w:r>
      <w:r>
        <w:rPr>
          <w:rFonts w:hint="eastAsia"/>
          <w:sz w:val="28"/>
          <w:szCs w:val="28"/>
        </w:rPr>
        <w:t>施工期环境影响预测与评价</w:t>
      </w:r>
      <w:bookmarkEnd w:id="137"/>
    </w:p>
    <w:p w14:paraId="21D58710">
      <w:pPr>
        <w:pStyle w:val="40"/>
        <w:spacing w:line="360" w:lineRule="auto"/>
        <w:ind w:firstLine="480"/>
      </w:pPr>
      <w:r>
        <w:rPr>
          <w:rFonts w:hint="eastAsia"/>
        </w:rPr>
        <w:t>本次拟变更的在建项目不涉及土建施工，根据本次环评现场踏勘，厂内已完成设备安装和调试，已不存在施工期影响。</w:t>
      </w:r>
    </w:p>
    <w:p w14:paraId="2F618B8F">
      <w:pPr>
        <w:pStyle w:val="3"/>
        <w:numPr>
          <w:ilvl w:val="1"/>
          <w:numId w:val="0"/>
        </w:numPr>
        <w:ind w:left="567" w:leftChars="0" w:hanging="567" w:firstLineChars="0"/>
        <w:rPr>
          <w:sz w:val="28"/>
          <w:szCs w:val="28"/>
        </w:rPr>
      </w:pPr>
      <w:bookmarkStart w:id="138" w:name="_Toc5685"/>
      <w:r>
        <w:rPr>
          <w:rFonts w:hint="default" w:ascii="宋体" w:hAnsi="宋体" w:eastAsia="宋体" w:cs="宋体"/>
          <w:b/>
          <w:bCs/>
          <w:kern w:val="2"/>
          <w:sz w:val="28"/>
          <w:szCs w:val="28"/>
          <w:lang w:val="en-US" w:eastAsia="zh-CN" w:bidi="ar-SA"/>
        </w:rPr>
        <w:t>6.2</w:t>
      </w:r>
      <w:r>
        <w:rPr>
          <w:rFonts w:hint="eastAsia"/>
          <w:sz w:val="28"/>
          <w:szCs w:val="28"/>
        </w:rPr>
        <w:t>运营期环境影响预测与评价</w:t>
      </w:r>
      <w:bookmarkEnd w:id="138"/>
    </w:p>
    <w:p w14:paraId="0A6CE9B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6.2.1</w:t>
      </w:r>
      <w:r>
        <w:rPr>
          <w:rFonts w:hint="eastAsia"/>
        </w:rPr>
        <w:t>评价区环境空气污染源调查</w:t>
      </w:r>
    </w:p>
    <w:p w14:paraId="7C02B0A7">
      <w:pPr>
        <w:ind w:firstLine="480"/>
      </w:pPr>
      <w:r>
        <w:rPr>
          <w:rFonts w:hint="eastAsia"/>
        </w:rPr>
        <w:t>环境现状监测期间，已建成企业处于正常生产状态，监测数据已包含评价范围内正在生产项目排污对周围环境的影响。</w:t>
      </w:r>
    </w:p>
    <w:p w14:paraId="5E408E30">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6.2.2</w:t>
      </w:r>
      <w:r>
        <w:rPr>
          <w:rFonts w:hint="eastAsia"/>
        </w:rPr>
        <w:t>大气环境质量现状评价</w:t>
      </w:r>
    </w:p>
    <w:p w14:paraId="5E06E43B">
      <w:pPr>
        <w:ind w:firstLine="480"/>
      </w:pPr>
      <w:r>
        <w:rPr>
          <w:rFonts w:hint="eastAsia"/>
        </w:rPr>
        <w:t>根据环境质量现状资料，202</w:t>
      </w:r>
      <w:r>
        <w:rPr>
          <w:rFonts w:hint="eastAsia"/>
          <w:lang w:val="en-US" w:eastAsia="zh-CN"/>
        </w:rPr>
        <w:t>4</w:t>
      </w:r>
      <w:r>
        <w:rPr>
          <w:rFonts w:hint="eastAsia"/>
        </w:rPr>
        <w:t>年湘潭县环境空气中各监测因子均达标，根据《环境影响评价技术导则 大气环境》（HJ2.2-2018），判定本项目所在区域为达标区。</w:t>
      </w:r>
    </w:p>
    <w:p w14:paraId="506D959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6.2.3</w:t>
      </w:r>
      <w:r>
        <w:rPr>
          <w:rFonts w:hint="eastAsia"/>
        </w:rPr>
        <w:t>气象资料</w:t>
      </w:r>
    </w:p>
    <w:p w14:paraId="5127F3F5">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6.2.3.1</w:t>
      </w:r>
      <w:r>
        <w:rPr>
          <w:rFonts w:hint="eastAsia"/>
        </w:rPr>
        <w:t>常规气象资料分析</w:t>
      </w:r>
    </w:p>
    <w:p w14:paraId="5B962B4A">
      <w:pPr>
        <w:pStyle w:val="38"/>
        <w:ind w:firstLine="480"/>
        <w:rPr>
          <w:rFonts w:ascii="Times New Roman" w:hAnsi="Times New Roman" w:eastAsia="宋体" w:cs="Times New Roman"/>
          <w:color w:val="auto"/>
        </w:rPr>
      </w:pPr>
      <w:r>
        <w:rPr>
          <w:rFonts w:ascii="Times New Roman" w:hAnsi="Times New Roman" w:eastAsia="宋体" w:cs="Times New Roman"/>
          <w:color w:val="auto"/>
        </w:rPr>
        <w:t>湘潭气象站位于项目</w:t>
      </w:r>
      <w:r>
        <w:rPr>
          <w:rFonts w:hint="eastAsia" w:ascii="Times New Roman" w:hAnsi="Times New Roman" w:eastAsia="宋体" w:cs="Times New Roman"/>
          <w:color w:val="auto"/>
        </w:rPr>
        <w:t>西</w:t>
      </w:r>
      <w:r>
        <w:rPr>
          <w:rFonts w:ascii="Times New Roman" w:hAnsi="Times New Roman" w:eastAsia="宋体" w:cs="Times New Roman"/>
          <w:color w:val="auto"/>
        </w:rPr>
        <w:t>北侧17.67km，站台编号为57773，海拔为63.8m，站点经纬度为北纬27.8</w:t>
      </w:r>
      <w:r>
        <w:rPr>
          <w:rFonts w:hint="eastAsia" w:ascii="Times New Roman" w:hAnsi="Times New Roman" w:eastAsia="宋体" w:cs="Times New Roman"/>
          <w:color w:val="auto"/>
        </w:rPr>
        <w:t>8</w:t>
      </w:r>
      <w:r>
        <w:rPr>
          <w:rFonts w:ascii="Times New Roman" w:hAnsi="Times New Roman" w:eastAsia="宋体" w:cs="Times New Roman"/>
          <w:color w:val="auto"/>
        </w:rPr>
        <w:t>°、东经112.8</w:t>
      </w:r>
      <w:r>
        <w:rPr>
          <w:rFonts w:hint="eastAsia" w:ascii="Times New Roman" w:hAnsi="Times New Roman" w:eastAsia="宋体" w:cs="Times New Roman"/>
          <w:color w:val="auto"/>
        </w:rPr>
        <w:t>3</w:t>
      </w:r>
      <w:r>
        <w:rPr>
          <w:rFonts w:ascii="Times New Roman" w:hAnsi="Times New Roman" w:eastAsia="宋体" w:cs="Times New Roman"/>
          <w:color w:val="auto"/>
        </w:rPr>
        <w:t>°。据湘潭气象站20</w:t>
      </w:r>
      <w:r>
        <w:rPr>
          <w:rFonts w:hint="eastAsia" w:ascii="Times New Roman" w:hAnsi="Times New Roman" w:eastAsia="宋体" w:cs="Times New Roman"/>
          <w:color w:val="auto"/>
        </w:rPr>
        <w:t>03</w:t>
      </w:r>
      <w:r>
        <w:rPr>
          <w:rFonts w:ascii="Times New Roman" w:hAnsi="Times New Roman" w:eastAsia="宋体" w:cs="Times New Roman"/>
          <w:color w:val="auto"/>
        </w:rPr>
        <w:t>～202</w:t>
      </w:r>
      <w:r>
        <w:rPr>
          <w:rFonts w:hint="eastAsia" w:ascii="Times New Roman" w:hAnsi="Times New Roman" w:eastAsia="宋体" w:cs="Times New Roman"/>
          <w:color w:val="auto"/>
        </w:rPr>
        <w:t>3</w:t>
      </w:r>
      <w:r>
        <w:rPr>
          <w:rFonts w:ascii="Times New Roman" w:hAnsi="Times New Roman" w:eastAsia="宋体" w:cs="Times New Roman"/>
          <w:color w:val="auto"/>
        </w:rPr>
        <w:t>年累计气象观测资料，本地区多年最大日降水量为98.</w:t>
      </w:r>
      <w:r>
        <w:rPr>
          <w:rFonts w:hint="eastAsia" w:ascii="Times New Roman" w:hAnsi="Times New Roman" w:eastAsia="宋体" w:cs="Times New Roman"/>
          <w:color w:val="auto"/>
        </w:rPr>
        <w:t>97</w:t>
      </w:r>
      <w:r>
        <w:rPr>
          <w:rFonts w:ascii="Times New Roman" w:hAnsi="Times New Roman" w:eastAsia="宋体" w:cs="Times New Roman"/>
          <w:color w:val="auto"/>
        </w:rPr>
        <w:t>mm（极值为153.8mm，出现时间：2013.6.28），多年最高气温为38.</w:t>
      </w:r>
      <w:r>
        <w:rPr>
          <w:rFonts w:hint="eastAsia" w:ascii="Times New Roman" w:hAnsi="Times New Roman" w:eastAsia="宋体" w:cs="Times New Roman"/>
          <w:color w:val="auto"/>
        </w:rPr>
        <w:t>98</w:t>
      </w:r>
      <w:r>
        <w:rPr>
          <w:rFonts w:ascii="Times New Roman" w:hAnsi="Times New Roman" w:eastAsia="宋体" w:cs="Times New Roman"/>
          <w:color w:val="auto"/>
        </w:rPr>
        <w:t>℃（极值为41.8℃，出现时间：2003.8.3），多年最低气温为-3.</w:t>
      </w:r>
      <w:r>
        <w:rPr>
          <w:rFonts w:hint="eastAsia" w:ascii="Times New Roman" w:hAnsi="Times New Roman" w:eastAsia="宋体" w:cs="Times New Roman"/>
          <w:color w:val="auto"/>
        </w:rPr>
        <w:t>8</w:t>
      </w:r>
      <w:r>
        <w:rPr>
          <w:rFonts w:ascii="Times New Roman" w:hAnsi="Times New Roman" w:eastAsia="宋体" w:cs="Times New Roman"/>
          <w:color w:val="auto"/>
        </w:rPr>
        <w:t>℃（极值为-8℃，出现时间：2008.2.3），多年最大风速为20.</w:t>
      </w:r>
      <w:r>
        <w:rPr>
          <w:rFonts w:hint="eastAsia" w:ascii="Times New Roman" w:hAnsi="Times New Roman" w:eastAsia="宋体" w:cs="Times New Roman"/>
          <w:color w:val="auto"/>
        </w:rPr>
        <w:t>23</w:t>
      </w:r>
      <w:r>
        <w:rPr>
          <w:rFonts w:ascii="Times New Roman" w:hAnsi="Times New Roman" w:eastAsia="宋体" w:cs="Times New Roman"/>
          <w:color w:val="auto"/>
        </w:rPr>
        <w:t>m/s（极值为25m/s，出现时间：2007.7.27），多年平均气压为1007.6</w:t>
      </w:r>
      <w:r>
        <w:rPr>
          <w:rFonts w:hint="eastAsia" w:ascii="Times New Roman" w:hAnsi="Times New Roman" w:eastAsia="宋体" w:cs="Times New Roman"/>
          <w:color w:val="auto"/>
        </w:rPr>
        <w:t>2</w:t>
      </w:r>
      <w:r>
        <w:rPr>
          <w:rFonts w:ascii="Times New Roman" w:hAnsi="Times New Roman" w:eastAsia="宋体" w:cs="Times New Roman"/>
          <w:color w:val="auto"/>
        </w:rPr>
        <w:t>hPa，多年平均相对湿度为80.</w:t>
      </w:r>
      <w:r>
        <w:rPr>
          <w:rFonts w:hint="eastAsia" w:ascii="Times New Roman" w:hAnsi="Times New Roman" w:eastAsia="宋体" w:cs="Times New Roman"/>
          <w:color w:val="auto"/>
        </w:rPr>
        <w:t>53</w:t>
      </w:r>
      <w:r>
        <w:rPr>
          <w:rFonts w:ascii="Times New Roman" w:hAnsi="Times New Roman" w:eastAsia="宋体" w:cs="Times New Roman"/>
          <w:color w:val="auto"/>
        </w:rPr>
        <w:t>%，多年平均气温为</w:t>
      </w:r>
      <w:r>
        <w:rPr>
          <w:rFonts w:hint="eastAsia" w:ascii="Times New Roman" w:hAnsi="Times New Roman" w:eastAsia="宋体" w:cs="Times New Roman"/>
          <w:color w:val="auto"/>
        </w:rPr>
        <w:t>18.01</w:t>
      </w:r>
      <w:r>
        <w:rPr>
          <w:rFonts w:ascii="Times New Roman" w:hAnsi="Times New Roman" w:eastAsia="宋体" w:cs="Times New Roman"/>
          <w:color w:val="auto"/>
        </w:rPr>
        <w:t>℃，多年平均风速为2.2</w:t>
      </w:r>
      <w:r>
        <w:rPr>
          <w:rFonts w:hint="eastAsia" w:ascii="Times New Roman" w:hAnsi="Times New Roman" w:eastAsia="宋体" w:cs="Times New Roman"/>
          <w:color w:val="auto"/>
        </w:rPr>
        <w:t>3</w:t>
      </w:r>
      <w:r>
        <w:rPr>
          <w:rFonts w:ascii="Times New Roman" w:hAnsi="Times New Roman" w:eastAsia="宋体" w:cs="Times New Roman"/>
          <w:color w:val="auto"/>
        </w:rPr>
        <w:t>m/s，多年平均静风出现频率为</w:t>
      </w:r>
      <w:r>
        <w:rPr>
          <w:rFonts w:hint="eastAsia" w:ascii="Times New Roman" w:hAnsi="Times New Roman" w:eastAsia="宋体" w:cs="Times New Roman"/>
          <w:color w:val="auto"/>
        </w:rPr>
        <w:t>10.14</w:t>
      </w:r>
      <w:r>
        <w:rPr>
          <w:rFonts w:ascii="Times New Roman" w:hAnsi="Times New Roman" w:eastAsia="宋体" w:cs="Times New Roman"/>
          <w:color w:val="auto"/>
        </w:rPr>
        <w:t>%，多年平均年降水量为</w:t>
      </w:r>
      <w:r>
        <w:rPr>
          <w:rFonts w:hint="eastAsia" w:ascii="Times New Roman" w:hAnsi="Times New Roman" w:eastAsia="宋体" w:cs="Times New Roman"/>
          <w:color w:val="auto"/>
        </w:rPr>
        <w:t>98.97</w:t>
      </w:r>
      <w:r>
        <w:rPr>
          <w:rFonts w:ascii="Times New Roman" w:hAnsi="Times New Roman" w:eastAsia="宋体" w:cs="Times New Roman"/>
          <w:color w:val="auto"/>
        </w:rPr>
        <w:t>mm。</w:t>
      </w:r>
    </w:p>
    <w:p w14:paraId="49AB46C3">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据湘潭气象站200</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rPr>
        <w:t>～202</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rPr>
        <w:t>年累计气象观测资料统计，主要气象特征如下：</w:t>
      </w:r>
    </w:p>
    <w:p w14:paraId="4D957ACD">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⑴气温：湘潭地区1月份平均气温最低5.28℃，7月份平均气温最高29.54℃，年平均气温18.73℃。</w:t>
      </w:r>
    </w:p>
    <w:p w14:paraId="7AE59E44">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⑵相对湿度：湘潭地区年平均相对湿度为79.12%。1～6月相对湿度较高，达80%以上。</w:t>
      </w:r>
    </w:p>
    <w:p w14:paraId="4581ADF4">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⑶降水：湘潭地区降水集中于5月、6月，10月份降水量最低为42.87mm，6月份降水量最高为224.46mm，全年降水量为1614.8mm。</w:t>
      </w:r>
    </w:p>
    <w:p w14:paraId="0C4F6214">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⑷日照时数：湘潭地区全年日照时数为1737.1h，7月份最高为237.77h，1月份最低为59.78h。</w:t>
      </w:r>
    </w:p>
    <w:p w14:paraId="018E59DC">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⑸风速：湘潭地区年平均风速2.29m/s，月平均风速7月份相对较大为2.49m/s，1月份相对较小为2.05m/s。</w:t>
      </w:r>
    </w:p>
    <w:p w14:paraId="694EB06C">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湘潭地区累年平均气温、相对湿度、降水、日照时数、平均风速统计见表：</w:t>
      </w:r>
    </w:p>
    <w:p w14:paraId="4211FFBE">
      <w:pPr>
        <w:pStyle w:val="51"/>
        <w:numPr>
          <w:ilvl w:val="5"/>
          <w:numId w:val="0"/>
        </w:numPr>
        <w:tabs>
          <w:tab w:val="left" w:pos="4395"/>
        </w:tabs>
        <w:spacing w:before="156"/>
        <w:ind w:left="4700" w:leftChars="0" w:hanging="3260" w:firstLineChars="0"/>
        <w:jc w:val="both"/>
      </w:pPr>
      <w:r>
        <w:rPr>
          <w:rFonts w:hint="default" w:ascii="宋体" w:hAnsi="宋体" w:eastAsia="宋体" w:cs="宋体"/>
          <w:b/>
          <w:bCs/>
          <w:color w:val="auto"/>
          <w:kern w:val="2"/>
          <w:sz w:val="21"/>
          <w:szCs w:val="21"/>
          <w:lang w:val="en-US" w:eastAsia="zh-CN" w:bidi="ar-SA"/>
        </w:rPr>
        <w:t xml:space="preserve">表6.2-1 </w:t>
      </w:r>
      <w:r>
        <w:rPr>
          <w:rFonts w:hint="eastAsia" w:ascii="宋体" w:hAnsi="宋体" w:cs="宋体"/>
          <w:b/>
          <w:bCs/>
          <w:color w:val="auto"/>
          <w:kern w:val="2"/>
          <w:sz w:val="21"/>
          <w:szCs w:val="21"/>
          <w:lang w:val="en-US" w:eastAsia="zh-CN" w:bidi="ar-SA"/>
        </w:rPr>
        <w:t xml:space="preserve">  </w:t>
      </w:r>
      <w:r>
        <w:rPr>
          <w:rFonts w:hint="eastAsia"/>
        </w:rPr>
        <w:t>湘潭地区200</w:t>
      </w:r>
      <w:r>
        <w:rPr>
          <w:rFonts w:hint="eastAsia"/>
          <w:lang w:val="en-US" w:eastAsia="zh-CN"/>
        </w:rPr>
        <w:t>4</w:t>
      </w:r>
      <w:r>
        <w:rPr>
          <w:rFonts w:hint="eastAsia"/>
        </w:rPr>
        <w:t>—202</w:t>
      </w:r>
      <w:r>
        <w:rPr>
          <w:rFonts w:hint="eastAsia"/>
          <w:lang w:val="en-US" w:eastAsia="zh-CN"/>
        </w:rPr>
        <w:t>4</w:t>
      </w:r>
      <w:r>
        <w:rPr>
          <w:rFonts w:hint="eastAsia"/>
        </w:rPr>
        <w:t>年气象指标月变化</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44"/>
        <w:gridCol w:w="511"/>
        <w:gridCol w:w="509"/>
        <w:gridCol w:w="622"/>
        <w:gridCol w:w="612"/>
        <w:gridCol w:w="593"/>
        <w:gridCol w:w="619"/>
        <w:gridCol w:w="593"/>
        <w:gridCol w:w="622"/>
        <w:gridCol w:w="593"/>
        <w:gridCol w:w="593"/>
        <w:gridCol w:w="576"/>
        <w:gridCol w:w="512"/>
        <w:gridCol w:w="737"/>
      </w:tblGrid>
      <w:tr w14:paraId="583C0C7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6" w:type="dxa"/>
            <w:tcBorders>
              <w:bottom w:val="single" w:color="000000" w:sz="6" w:space="0"/>
              <w:right w:val="single" w:color="000000" w:sz="6" w:space="0"/>
            </w:tcBorders>
            <w:vAlign w:val="center"/>
          </w:tcPr>
          <w:p w14:paraId="373954C5">
            <w:pPr>
              <w:spacing w:line="240" w:lineRule="auto"/>
              <w:jc w:val="center"/>
              <w:rPr>
                <w:sz w:val="21"/>
                <w:szCs w:val="21"/>
              </w:rPr>
            </w:pPr>
            <w:r>
              <w:rPr>
                <w:sz w:val="21"/>
                <w:szCs w:val="21"/>
              </w:rPr>
              <w:t>月份</w:t>
            </w:r>
          </w:p>
        </w:tc>
        <w:tc>
          <w:tcPr>
            <w:tcW w:w="512" w:type="dxa"/>
            <w:tcBorders>
              <w:left w:val="single" w:color="000000" w:sz="6" w:space="0"/>
              <w:bottom w:val="single" w:color="000000" w:sz="6" w:space="0"/>
              <w:right w:val="single" w:color="000000" w:sz="6" w:space="0"/>
            </w:tcBorders>
            <w:vAlign w:val="center"/>
          </w:tcPr>
          <w:p w14:paraId="32940FD1">
            <w:pPr>
              <w:spacing w:line="240" w:lineRule="auto"/>
              <w:jc w:val="center"/>
              <w:rPr>
                <w:sz w:val="21"/>
                <w:szCs w:val="21"/>
              </w:rPr>
            </w:pPr>
            <w:r>
              <w:rPr>
                <w:rFonts w:hint="eastAsia"/>
                <w:sz w:val="21"/>
                <w:szCs w:val="21"/>
              </w:rPr>
              <w:t>1</w:t>
            </w:r>
            <w:r>
              <w:rPr>
                <w:sz w:val="21"/>
                <w:szCs w:val="21"/>
              </w:rPr>
              <w:t>月</w:t>
            </w:r>
          </w:p>
        </w:tc>
        <w:tc>
          <w:tcPr>
            <w:tcW w:w="510" w:type="dxa"/>
            <w:tcBorders>
              <w:left w:val="single" w:color="000000" w:sz="6" w:space="0"/>
              <w:bottom w:val="single" w:color="000000" w:sz="6" w:space="0"/>
              <w:right w:val="single" w:color="000000" w:sz="6" w:space="0"/>
            </w:tcBorders>
            <w:vAlign w:val="center"/>
          </w:tcPr>
          <w:p w14:paraId="2E2FDF95">
            <w:pPr>
              <w:spacing w:line="240" w:lineRule="auto"/>
              <w:jc w:val="center"/>
              <w:rPr>
                <w:sz w:val="21"/>
                <w:szCs w:val="21"/>
              </w:rPr>
            </w:pPr>
            <w:r>
              <w:rPr>
                <w:rFonts w:hint="eastAsia"/>
                <w:sz w:val="21"/>
                <w:szCs w:val="21"/>
              </w:rPr>
              <w:t>2</w:t>
            </w:r>
            <w:r>
              <w:rPr>
                <w:sz w:val="21"/>
                <w:szCs w:val="21"/>
              </w:rPr>
              <w:t>月</w:t>
            </w:r>
          </w:p>
        </w:tc>
        <w:tc>
          <w:tcPr>
            <w:tcW w:w="623" w:type="dxa"/>
            <w:tcBorders>
              <w:left w:val="single" w:color="000000" w:sz="6" w:space="0"/>
              <w:bottom w:val="single" w:color="000000" w:sz="6" w:space="0"/>
              <w:right w:val="single" w:color="000000" w:sz="6" w:space="0"/>
            </w:tcBorders>
            <w:vAlign w:val="center"/>
          </w:tcPr>
          <w:p w14:paraId="7093026F">
            <w:pPr>
              <w:spacing w:line="240" w:lineRule="auto"/>
              <w:jc w:val="center"/>
              <w:rPr>
                <w:sz w:val="21"/>
                <w:szCs w:val="21"/>
              </w:rPr>
            </w:pPr>
            <w:r>
              <w:rPr>
                <w:rFonts w:hint="eastAsia"/>
                <w:sz w:val="21"/>
                <w:szCs w:val="21"/>
              </w:rPr>
              <w:t>3</w:t>
            </w:r>
            <w:r>
              <w:rPr>
                <w:sz w:val="21"/>
                <w:szCs w:val="21"/>
              </w:rPr>
              <w:t>月</w:t>
            </w:r>
          </w:p>
        </w:tc>
        <w:tc>
          <w:tcPr>
            <w:tcW w:w="613" w:type="dxa"/>
            <w:tcBorders>
              <w:left w:val="single" w:color="000000" w:sz="6" w:space="0"/>
              <w:bottom w:val="single" w:color="000000" w:sz="6" w:space="0"/>
              <w:right w:val="single" w:color="000000" w:sz="6" w:space="0"/>
            </w:tcBorders>
            <w:vAlign w:val="center"/>
          </w:tcPr>
          <w:p w14:paraId="0E463531">
            <w:pPr>
              <w:spacing w:line="240" w:lineRule="auto"/>
              <w:jc w:val="center"/>
              <w:rPr>
                <w:sz w:val="21"/>
                <w:szCs w:val="21"/>
              </w:rPr>
            </w:pPr>
            <w:r>
              <w:rPr>
                <w:rFonts w:hint="eastAsia"/>
                <w:sz w:val="21"/>
                <w:szCs w:val="21"/>
              </w:rPr>
              <w:t>4</w:t>
            </w:r>
            <w:r>
              <w:rPr>
                <w:sz w:val="21"/>
                <w:szCs w:val="21"/>
              </w:rPr>
              <w:t>月</w:t>
            </w:r>
          </w:p>
        </w:tc>
        <w:tc>
          <w:tcPr>
            <w:tcW w:w="594" w:type="dxa"/>
            <w:tcBorders>
              <w:left w:val="single" w:color="000000" w:sz="6" w:space="0"/>
              <w:bottom w:val="single" w:color="000000" w:sz="6" w:space="0"/>
              <w:right w:val="single" w:color="000000" w:sz="6" w:space="0"/>
            </w:tcBorders>
            <w:vAlign w:val="center"/>
          </w:tcPr>
          <w:p w14:paraId="6145A79D">
            <w:pPr>
              <w:spacing w:line="240" w:lineRule="auto"/>
              <w:jc w:val="center"/>
              <w:rPr>
                <w:sz w:val="21"/>
                <w:szCs w:val="21"/>
              </w:rPr>
            </w:pPr>
            <w:r>
              <w:rPr>
                <w:rFonts w:hint="eastAsia"/>
                <w:sz w:val="21"/>
                <w:szCs w:val="21"/>
              </w:rPr>
              <w:t>5</w:t>
            </w:r>
            <w:r>
              <w:rPr>
                <w:sz w:val="21"/>
                <w:szCs w:val="21"/>
              </w:rPr>
              <w:t>月</w:t>
            </w:r>
          </w:p>
        </w:tc>
        <w:tc>
          <w:tcPr>
            <w:tcW w:w="620" w:type="dxa"/>
            <w:tcBorders>
              <w:left w:val="single" w:color="000000" w:sz="6" w:space="0"/>
              <w:bottom w:val="single" w:color="000000" w:sz="6" w:space="0"/>
              <w:right w:val="single" w:color="000000" w:sz="6" w:space="0"/>
            </w:tcBorders>
            <w:vAlign w:val="center"/>
          </w:tcPr>
          <w:p w14:paraId="448BC33F">
            <w:pPr>
              <w:spacing w:line="240" w:lineRule="auto"/>
              <w:jc w:val="center"/>
              <w:rPr>
                <w:sz w:val="21"/>
                <w:szCs w:val="21"/>
              </w:rPr>
            </w:pPr>
            <w:r>
              <w:rPr>
                <w:rFonts w:hint="eastAsia"/>
                <w:sz w:val="21"/>
                <w:szCs w:val="21"/>
              </w:rPr>
              <w:t>6</w:t>
            </w:r>
            <w:r>
              <w:rPr>
                <w:sz w:val="21"/>
                <w:szCs w:val="21"/>
              </w:rPr>
              <w:t>月</w:t>
            </w:r>
          </w:p>
        </w:tc>
        <w:tc>
          <w:tcPr>
            <w:tcW w:w="594" w:type="dxa"/>
            <w:tcBorders>
              <w:left w:val="single" w:color="000000" w:sz="6" w:space="0"/>
              <w:bottom w:val="single" w:color="000000" w:sz="6" w:space="0"/>
              <w:right w:val="single" w:color="000000" w:sz="6" w:space="0"/>
            </w:tcBorders>
            <w:vAlign w:val="center"/>
          </w:tcPr>
          <w:p w14:paraId="46CE3081">
            <w:pPr>
              <w:spacing w:line="240" w:lineRule="auto"/>
              <w:jc w:val="center"/>
              <w:rPr>
                <w:sz w:val="21"/>
                <w:szCs w:val="21"/>
              </w:rPr>
            </w:pPr>
            <w:r>
              <w:rPr>
                <w:rFonts w:hint="eastAsia"/>
                <w:sz w:val="21"/>
                <w:szCs w:val="21"/>
              </w:rPr>
              <w:t>7</w:t>
            </w:r>
            <w:r>
              <w:rPr>
                <w:sz w:val="21"/>
                <w:szCs w:val="21"/>
              </w:rPr>
              <w:t>月</w:t>
            </w:r>
          </w:p>
        </w:tc>
        <w:tc>
          <w:tcPr>
            <w:tcW w:w="623" w:type="dxa"/>
            <w:tcBorders>
              <w:left w:val="single" w:color="000000" w:sz="6" w:space="0"/>
              <w:bottom w:val="single" w:color="000000" w:sz="6" w:space="0"/>
              <w:right w:val="single" w:color="000000" w:sz="6" w:space="0"/>
            </w:tcBorders>
            <w:vAlign w:val="center"/>
          </w:tcPr>
          <w:p w14:paraId="50E6424C">
            <w:pPr>
              <w:spacing w:line="240" w:lineRule="auto"/>
              <w:jc w:val="center"/>
              <w:rPr>
                <w:sz w:val="21"/>
                <w:szCs w:val="21"/>
              </w:rPr>
            </w:pPr>
            <w:r>
              <w:rPr>
                <w:rFonts w:hint="eastAsia"/>
                <w:sz w:val="21"/>
                <w:szCs w:val="21"/>
              </w:rPr>
              <w:t>8</w:t>
            </w:r>
            <w:r>
              <w:rPr>
                <w:sz w:val="21"/>
                <w:szCs w:val="21"/>
              </w:rPr>
              <w:t>月</w:t>
            </w:r>
          </w:p>
        </w:tc>
        <w:tc>
          <w:tcPr>
            <w:tcW w:w="594" w:type="dxa"/>
            <w:tcBorders>
              <w:left w:val="single" w:color="000000" w:sz="6" w:space="0"/>
              <w:bottom w:val="single" w:color="000000" w:sz="6" w:space="0"/>
              <w:right w:val="single" w:color="000000" w:sz="6" w:space="0"/>
            </w:tcBorders>
            <w:vAlign w:val="center"/>
          </w:tcPr>
          <w:p w14:paraId="3DD791D2">
            <w:pPr>
              <w:spacing w:line="240" w:lineRule="auto"/>
              <w:jc w:val="center"/>
              <w:rPr>
                <w:sz w:val="21"/>
                <w:szCs w:val="21"/>
              </w:rPr>
            </w:pPr>
            <w:r>
              <w:rPr>
                <w:rFonts w:hint="eastAsia"/>
                <w:sz w:val="21"/>
                <w:szCs w:val="21"/>
              </w:rPr>
              <w:t>9</w:t>
            </w:r>
            <w:r>
              <w:rPr>
                <w:sz w:val="21"/>
                <w:szCs w:val="21"/>
              </w:rPr>
              <w:t>月</w:t>
            </w:r>
          </w:p>
        </w:tc>
        <w:tc>
          <w:tcPr>
            <w:tcW w:w="594" w:type="dxa"/>
            <w:tcBorders>
              <w:left w:val="single" w:color="000000" w:sz="6" w:space="0"/>
              <w:bottom w:val="single" w:color="000000" w:sz="6" w:space="0"/>
              <w:right w:val="single" w:color="000000" w:sz="6" w:space="0"/>
            </w:tcBorders>
            <w:vAlign w:val="center"/>
          </w:tcPr>
          <w:p w14:paraId="4A934348">
            <w:pPr>
              <w:spacing w:line="240" w:lineRule="auto"/>
              <w:jc w:val="center"/>
              <w:rPr>
                <w:sz w:val="21"/>
                <w:szCs w:val="21"/>
              </w:rPr>
            </w:pPr>
            <w:r>
              <w:rPr>
                <w:rFonts w:hint="eastAsia"/>
                <w:sz w:val="21"/>
                <w:szCs w:val="21"/>
              </w:rPr>
              <w:t>10</w:t>
            </w:r>
            <w:r>
              <w:rPr>
                <w:sz w:val="21"/>
                <w:szCs w:val="21"/>
              </w:rPr>
              <w:t>月</w:t>
            </w:r>
          </w:p>
        </w:tc>
        <w:tc>
          <w:tcPr>
            <w:tcW w:w="577" w:type="dxa"/>
            <w:tcBorders>
              <w:left w:val="single" w:color="000000" w:sz="6" w:space="0"/>
              <w:bottom w:val="single" w:color="000000" w:sz="6" w:space="0"/>
              <w:right w:val="single" w:color="000000" w:sz="6" w:space="0"/>
            </w:tcBorders>
            <w:vAlign w:val="center"/>
          </w:tcPr>
          <w:p w14:paraId="2A4F56AD">
            <w:pPr>
              <w:spacing w:line="240" w:lineRule="auto"/>
              <w:jc w:val="center"/>
              <w:rPr>
                <w:sz w:val="21"/>
                <w:szCs w:val="21"/>
              </w:rPr>
            </w:pPr>
            <w:r>
              <w:rPr>
                <w:rFonts w:hint="eastAsia"/>
                <w:sz w:val="21"/>
                <w:szCs w:val="21"/>
              </w:rPr>
              <w:t>11</w:t>
            </w:r>
            <w:r>
              <w:rPr>
                <w:sz w:val="21"/>
                <w:szCs w:val="21"/>
              </w:rPr>
              <w:t>月</w:t>
            </w:r>
          </w:p>
        </w:tc>
        <w:tc>
          <w:tcPr>
            <w:tcW w:w="513" w:type="dxa"/>
            <w:tcBorders>
              <w:left w:val="single" w:color="000000" w:sz="6" w:space="0"/>
              <w:bottom w:val="single" w:color="000000" w:sz="6" w:space="0"/>
              <w:right w:val="single" w:color="000000" w:sz="6" w:space="0"/>
            </w:tcBorders>
            <w:vAlign w:val="center"/>
          </w:tcPr>
          <w:p w14:paraId="6D496DF5">
            <w:pPr>
              <w:spacing w:line="240" w:lineRule="auto"/>
              <w:jc w:val="center"/>
              <w:rPr>
                <w:sz w:val="21"/>
                <w:szCs w:val="21"/>
              </w:rPr>
            </w:pPr>
            <w:r>
              <w:rPr>
                <w:rFonts w:hint="eastAsia"/>
                <w:sz w:val="21"/>
                <w:szCs w:val="21"/>
              </w:rPr>
              <w:t>12</w:t>
            </w:r>
            <w:r>
              <w:rPr>
                <w:sz w:val="21"/>
                <w:szCs w:val="21"/>
              </w:rPr>
              <w:t>月</w:t>
            </w:r>
          </w:p>
        </w:tc>
        <w:tc>
          <w:tcPr>
            <w:tcW w:w="738" w:type="dxa"/>
            <w:tcBorders>
              <w:left w:val="single" w:color="000000" w:sz="6" w:space="0"/>
              <w:bottom w:val="single" w:color="000000" w:sz="6" w:space="0"/>
            </w:tcBorders>
            <w:vAlign w:val="center"/>
          </w:tcPr>
          <w:p w14:paraId="3A796833">
            <w:pPr>
              <w:spacing w:line="240" w:lineRule="auto"/>
              <w:jc w:val="center"/>
              <w:rPr>
                <w:sz w:val="21"/>
                <w:szCs w:val="21"/>
              </w:rPr>
            </w:pPr>
            <w:r>
              <w:rPr>
                <w:sz w:val="21"/>
                <w:szCs w:val="21"/>
              </w:rPr>
              <w:t>全年</w:t>
            </w:r>
          </w:p>
        </w:tc>
      </w:tr>
      <w:tr w14:paraId="015CAB5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6" w:type="dxa"/>
            <w:tcBorders>
              <w:top w:val="single" w:color="000000" w:sz="6" w:space="0"/>
              <w:bottom w:val="single" w:color="000000" w:sz="6" w:space="0"/>
              <w:right w:val="single" w:color="000000" w:sz="6" w:space="0"/>
            </w:tcBorders>
            <w:vAlign w:val="center"/>
          </w:tcPr>
          <w:p w14:paraId="363A115B">
            <w:pPr>
              <w:spacing w:line="240" w:lineRule="auto"/>
              <w:jc w:val="center"/>
              <w:rPr>
                <w:sz w:val="21"/>
                <w:szCs w:val="21"/>
              </w:rPr>
            </w:pPr>
            <w:r>
              <w:rPr>
                <w:sz w:val="21"/>
                <w:szCs w:val="21"/>
              </w:rPr>
              <w:t>温度℃</w:t>
            </w:r>
          </w:p>
        </w:tc>
        <w:tc>
          <w:tcPr>
            <w:tcW w:w="512" w:type="dxa"/>
            <w:tcBorders>
              <w:top w:val="single" w:color="000000" w:sz="6" w:space="0"/>
              <w:left w:val="single" w:color="000000" w:sz="6" w:space="0"/>
              <w:bottom w:val="single" w:color="000000" w:sz="6" w:space="0"/>
              <w:right w:val="single" w:color="000000" w:sz="6" w:space="0"/>
            </w:tcBorders>
            <w:vAlign w:val="center"/>
          </w:tcPr>
          <w:p w14:paraId="1F33CEEE">
            <w:pPr>
              <w:spacing w:line="240" w:lineRule="auto"/>
              <w:jc w:val="center"/>
              <w:rPr>
                <w:sz w:val="21"/>
                <w:szCs w:val="21"/>
              </w:rPr>
            </w:pPr>
            <w:r>
              <w:rPr>
                <w:rFonts w:hint="eastAsia"/>
                <w:sz w:val="21"/>
                <w:szCs w:val="21"/>
              </w:rPr>
              <w:t>5.28</w:t>
            </w:r>
          </w:p>
        </w:tc>
        <w:tc>
          <w:tcPr>
            <w:tcW w:w="510" w:type="dxa"/>
            <w:tcBorders>
              <w:top w:val="single" w:color="000000" w:sz="6" w:space="0"/>
              <w:left w:val="single" w:color="000000" w:sz="6" w:space="0"/>
              <w:bottom w:val="single" w:color="000000" w:sz="6" w:space="0"/>
              <w:right w:val="single" w:color="000000" w:sz="6" w:space="0"/>
            </w:tcBorders>
            <w:vAlign w:val="center"/>
          </w:tcPr>
          <w:p w14:paraId="4D03ED28">
            <w:pPr>
              <w:spacing w:line="240" w:lineRule="auto"/>
              <w:jc w:val="center"/>
              <w:rPr>
                <w:sz w:val="21"/>
                <w:szCs w:val="21"/>
              </w:rPr>
            </w:pPr>
            <w:r>
              <w:rPr>
                <w:rFonts w:hint="eastAsia"/>
                <w:sz w:val="21"/>
                <w:szCs w:val="21"/>
              </w:rPr>
              <w:t>7.87</w:t>
            </w:r>
          </w:p>
        </w:tc>
        <w:tc>
          <w:tcPr>
            <w:tcW w:w="623" w:type="dxa"/>
            <w:tcBorders>
              <w:top w:val="single" w:color="000000" w:sz="6" w:space="0"/>
              <w:left w:val="single" w:color="000000" w:sz="6" w:space="0"/>
              <w:bottom w:val="single" w:color="000000" w:sz="6" w:space="0"/>
              <w:right w:val="single" w:color="000000" w:sz="6" w:space="0"/>
            </w:tcBorders>
            <w:vAlign w:val="center"/>
          </w:tcPr>
          <w:p w14:paraId="5D88A48B">
            <w:pPr>
              <w:spacing w:line="240" w:lineRule="auto"/>
              <w:jc w:val="center"/>
              <w:rPr>
                <w:sz w:val="21"/>
                <w:szCs w:val="21"/>
              </w:rPr>
            </w:pPr>
            <w:r>
              <w:rPr>
                <w:rFonts w:hint="eastAsia"/>
                <w:sz w:val="21"/>
                <w:szCs w:val="21"/>
              </w:rPr>
              <w:t>12.64</w:t>
            </w:r>
          </w:p>
        </w:tc>
        <w:tc>
          <w:tcPr>
            <w:tcW w:w="613" w:type="dxa"/>
            <w:tcBorders>
              <w:top w:val="single" w:color="000000" w:sz="6" w:space="0"/>
              <w:left w:val="single" w:color="000000" w:sz="6" w:space="0"/>
              <w:bottom w:val="single" w:color="000000" w:sz="6" w:space="0"/>
              <w:right w:val="single" w:color="000000" w:sz="6" w:space="0"/>
            </w:tcBorders>
            <w:vAlign w:val="center"/>
          </w:tcPr>
          <w:p w14:paraId="1F21E003">
            <w:pPr>
              <w:spacing w:line="240" w:lineRule="auto"/>
              <w:jc w:val="center"/>
              <w:rPr>
                <w:sz w:val="21"/>
                <w:szCs w:val="21"/>
              </w:rPr>
            </w:pPr>
            <w:r>
              <w:rPr>
                <w:rFonts w:hint="eastAsia"/>
                <w:sz w:val="21"/>
                <w:szCs w:val="21"/>
              </w:rPr>
              <w:t>18.3</w:t>
            </w:r>
          </w:p>
        </w:tc>
        <w:tc>
          <w:tcPr>
            <w:tcW w:w="594" w:type="dxa"/>
            <w:tcBorders>
              <w:top w:val="single" w:color="000000" w:sz="6" w:space="0"/>
              <w:left w:val="single" w:color="000000" w:sz="6" w:space="0"/>
              <w:bottom w:val="single" w:color="000000" w:sz="6" w:space="0"/>
              <w:right w:val="single" w:color="000000" w:sz="6" w:space="0"/>
            </w:tcBorders>
            <w:vAlign w:val="center"/>
          </w:tcPr>
          <w:p w14:paraId="62CDED99">
            <w:pPr>
              <w:spacing w:line="240" w:lineRule="auto"/>
              <w:jc w:val="center"/>
              <w:rPr>
                <w:sz w:val="21"/>
                <w:szCs w:val="21"/>
              </w:rPr>
            </w:pPr>
            <w:r>
              <w:rPr>
                <w:rFonts w:hint="eastAsia"/>
                <w:sz w:val="21"/>
                <w:szCs w:val="21"/>
              </w:rPr>
              <w:t>22.58</w:t>
            </w:r>
          </w:p>
        </w:tc>
        <w:tc>
          <w:tcPr>
            <w:tcW w:w="620" w:type="dxa"/>
            <w:tcBorders>
              <w:top w:val="single" w:color="000000" w:sz="6" w:space="0"/>
              <w:left w:val="single" w:color="000000" w:sz="6" w:space="0"/>
              <w:bottom w:val="single" w:color="000000" w:sz="6" w:space="0"/>
              <w:right w:val="single" w:color="000000" w:sz="6" w:space="0"/>
            </w:tcBorders>
            <w:vAlign w:val="center"/>
          </w:tcPr>
          <w:p w14:paraId="3A8FBD30">
            <w:pPr>
              <w:spacing w:line="240" w:lineRule="auto"/>
              <w:jc w:val="center"/>
              <w:rPr>
                <w:sz w:val="21"/>
                <w:szCs w:val="21"/>
              </w:rPr>
            </w:pPr>
            <w:r>
              <w:rPr>
                <w:rFonts w:hint="eastAsia"/>
                <w:sz w:val="21"/>
                <w:szCs w:val="21"/>
              </w:rPr>
              <w:t>26.31</w:t>
            </w:r>
          </w:p>
        </w:tc>
        <w:tc>
          <w:tcPr>
            <w:tcW w:w="594" w:type="dxa"/>
            <w:tcBorders>
              <w:top w:val="single" w:color="000000" w:sz="6" w:space="0"/>
              <w:left w:val="single" w:color="000000" w:sz="6" w:space="0"/>
              <w:bottom w:val="single" w:color="000000" w:sz="6" w:space="0"/>
              <w:right w:val="single" w:color="000000" w:sz="6" w:space="0"/>
            </w:tcBorders>
            <w:vAlign w:val="center"/>
          </w:tcPr>
          <w:p w14:paraId="05D401C9">
            <w:pPr>
              <w:spacing w:line="240" w:lineRule="auto"/>
              <w:jc w:val="center"/>
              <w:rPr>
                <w:sz w:val="21"/>
                <w:szCs w:val="21"/>
              </w:rPr>
            </w:pPr>
            <w:r>
              <w:rPr>
                <w:rFonts w:hint="eastAsia"/>
                <w:sz w:val="21"/>
                <w:szCs w:val="21"/>
              </w:rPr>
              <w:t>29.54</w:t>
            </w:r>
          </w:p>
        </w:tc>
        <w:tc>
          <w:tcPr>
            <w:tcW w:w="623" w:type="dxa"/>
            <w:tcBorders>
              <w:top w:val="single" w:color="000000" w:sz="6" w:space="0"/>
              <w:left w:val="single" w:color="000000" w:sz="6" w:space="0"/>
              <w:bottom w:val="single" w:color="000000" w:sz="6" w:space="0"/>
              <w:right w:val="single" w:color="000000" w:sz="6" w:space="0"/>
            </w:tcBorders>
            <w:vAlign w:val="center"/>
          </w:tcPr>
          <w:p w14:paraId="07F9F358">
            <w:pPr>
              <w:spacing w:line="240" w:lineRule="auto"/>
              <w:jc w:val="center"/>
              <w:rPr>
                <w:sz w:val="21"/>
                <w:szCs w:val="21"/>
              </w:rPr>
            </w:pPr>
            <w:r>
              <w:rPr>
                <w:rFonts w:hint="eastAsia"/>
                <w:sz w:val="21"/>
                <w:szCs w:val="21"/>
              </w:rPr>
              <w:t>28.78</w:t>
            </w:r>
          </w:p>
        </w:tc>
        <w:tc>
          <w:tcPr>
            <w:tcW w:w="594" w:type="dxa"/>
            <w:tcBorders>
              <w:top w:val="single" w:color="000000" w:sz="6" w:space="0"/>
              <w:left w:val="single" w:color="000000" w:sz="6" w:space="0"/>
              <w:bottom w:val="single" w:color="000000" w:sz="6" w:space="0"/>
              <w:right w:val="single" w:color="000000" w:sz="6" w:space="0"/>
            </w:tcBorders>
            <w:vAlign w:val="center"/>
          </w:tcPr>
          <w:p w14:paraId="2795E16D">
            <w:pPr>
              <w:spacing w:line="240" w:lineRule="auto"/>
              <w:jc w:val="center"/>
              <w:rPr>
                <w:sz w:val="21"/>
                <w:szCs w:val="21"/>
              </w:rPr>
            </w:pPr>
            <w:r>
              <w:rPr>
                <w:rFonts w:hint="eastAsia"/>
                <w:sz w:val="21"/>
                <w:szCs w:val="21"/>
              </w:rPr>
              <w:t>24.75</w:t>
            </w:r>
          </w:p>
        </w:tc>
        <w:tc>
          <w:tcPr>
            <w:tcW w:w="594" w:type="dxa"/>
            <w:tcBorders>
              <w:top w:val="single" w:color="000000" w:sz="6" w:space="0"/>
              <w:left w:val="single" w:color="000000" w:sz="6" w:space="0"/>
              <w:bottom w:val="single" w:color="000000" w:sz="6" w:space="0"/>
              <w:right w:val="single" w:color="000000" w:sz="6" w:space="0"/>
            </w:tcBorders>
            <w:vAlign w:val="center"/>
          </w:tcPr>
          <w:p w14:paraId="1B6E0AAB">
            <w:pPr>
              <w:spacing w:line="240" w:lineRule="auto"/>
              <w:jc w:val="center"/>
              <w:rPr>
                <w:sz w:val="21"/>
                <w:szCs w:val="21"/>
              </w:rPr>
            </w:pPr>
            <w:r>
              <w:rPr>
                <w:rFonts w:hint="eastAsia"/>
                <w:sz w:val="21"/>
                <w:szCs w:val="21"/>
              </w:rPr>
              <w:t>19.1</w:t>
            </w:r>
          </w:p>
        </w:tc>
        <w:tc>
          <w:tcPr>
            <w:tcW w:w="577" w:type="dxa"/>
            <w:tcBorders>
              <w:top w:val="single" w:color="000000" w:sz="6" w:space="0"/>
              <w:left w:val="single" w:color="000000" w:sz="6" w:space="0"/>
              <w:bottom w:val="single" w:color="000000" w:sz="6" w:space="0"/>
              <w:right w:val="single" w:color="000000" w:sz="6" w:space="0"/>
            </w:tcBorders>
            <w:vAlign w:val="center"/>
          </w:tcPr>
          <w:p w14:paraId="3F8BC081">
            <w:pPr>
              <w:spacing w:line="240" w:lineRule="auto"/>
              <w:jc w:val="center"/>
              <w:rPr>
                <w:sz w:val="21"/>
                <w:szCs w:val="21"/>
              </w:rPr>
            </w:pPr>
            <w:r>
              <w:rPr>
                <w:rFonts w:hint="eastAsia"/>
                <w:sz w:val="21"/>
                <w:szCs w:val="21"/>
              </w:rPr>
              <w:t>13.57</w:t>
            </w:r>
          </w:p>
        </w:tc>
        <w:tc>
          <w:tcPr>
            <w:tcW w:w="513" w:type="dxa"/>
            <w:tcBorders>
              <w:top w:val="single" w:color="000000" w:sz="6" w:space="0"/>
              <w:left w:val="single" w:color="000000" w:sz="6" w:space="0"/>
              <w:bottom w:val="single" w:color="000000" w:sz="6" w:space="0"/>
              <w:right w:val="single" w:color="000000" w:sz="6" w:space="0"/>
            </w:tcBorders>
            <w:vAlign w:val="center"/>
          </w:tcPr>
          <w:p w14:paraId="54116622">
            <w:pPr>
              <w:spacing w:line="240" w:lineRule="auto"/>
              <w:jc w:val="center"/>
              <w:rPr>
                <w:sz w:val="21"/>
                <w:szCs w:val="21"/>
              </w:rPr>
            </w:pPr>
            <w:r>
              <w:rPr>
                <w:rFonts w:hint="eastAsia"/>
                <w:sz w:val="21"/>
                <w:szCs w:val="21"/>
              </w:rPr>
              <w:t>7.48</w:t>
            </w:r>
          </w:p>
        </w:tc>
        <w:tc>
          <w:tcPr>
            <w:tcW w:w="738" w:type="dxa"/>
            <w:tcBorders>
              <w:top w:val="single" w:color="000000" w:sz="6" w:space="0"/>
              <w:left w:val="single" w:color="000000" w:sz="6" w:space="0"/>
              <w:bottom w:val="single" w:color="000000" w:sz="6" w:space="0"/>
            </w:tcBorders>
            <w:vAlign w:val="center"/>
          </w:tcPr>
          <w:p w14:paraId="051FA7A5">
            <w:pPr>
              <w:spacing w:line="240" w:lineRule="auto"/>
              <w:jc w:val="center"/>
              <w:rPr>
                <w:sz w:val="21"/>
                <w:szCs w:val="21"/>
              </w:rPr>
            </w:pPr>
            <w:r>
              <w:rPr>
                <w:rFonts w:hint="eastAsia"/>
                <w:sz w:val="21"/>
                <w:szCs w:val="21"/>
              </w:rPr>
              <w:t>18.73</w:t>
            </w:r>
          </w:p>
        </w:tc>
      </w:tr>
      <w:tr w14:paraId="182F49F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6" w:type="dxa"/>
            <w:tcBorders>
              <w:top w:val="single" w:color="000000" w:sz="6" w:space="0"/>
              <w:bottom w:val="single" w:color="000000" w:sz="6" w:space="0"/>
              <w:right w:val="single" w:color="000000" w:sz="6" w:space="0"/>
            </w:tcBorders>
            <w:vAlign w:val="center"/>
          </w:tcPr>
          <w:p w14:paraId="0B2EC7E9">
            <w:pPr>
              <w:spacing w:line="240" w:lineRule="auto"/>
              <w:jc w:val="center"/>
              <w:rPr>
                <w:sz w:val="21"/>
                <w:szCs w:val="21"/>
              </w:rPr>
            </w:pPr>
            <w:r>
              <w:rPr>
                <w:sz w:val="21"/>
                <w:szCs w:val="21"/>
              </w:rPr>
              <w:t>湿度%</w:t>
            </w:r>
          </w:p>
        </w:tc>
        <w:tc>
          <w:tcPr>
            <w:tcW w:w="512" w:type="dxa"/>
            <w:tcBorders>
              <w:top w:val="single" w:color="000000" w:sz="6" w:space="0"/>
              <w:left w:val="single" w:color="000000" w:sz="6" w:space="0"/>
              <w:bottom w:val="single" w:color="000000" w:sz="6" w:space="0"/>
              <w:right w:val="single" w:color="000000" w:sz="6" w:space="0"/>
            </w:tcBorders>
            <w:vAlign w:val="center"/>
          </w:tcPr>
          <w:p w14:paraId="57DA082A">
            <w:pPr>
              <w:spacing w:line="240" w:lineRule="auto"/>
              <w:jc w:val="center"/>
              <w:rPr>
                <w:sz w:val="21"/>
                <w:szCs w:val="21"/>
              </w:rPr>
            </w:pPr>
            <w:r>
              <w:rPr>
                <w:rFonts w:hint="eastAsia"/>
                <w:sz w:val="21"/>
                <w:szCs w:val="21"/>
              </w:rPr>
              <w:t>81.61</w:t>
            </w:r>
          </w:p>
        </w:tc>
        <w:tc>
          <w:tcPr>
            <w:tcW w:w="510" w:type="dxa"/>
            <w:tcBorders>
              <w:top w:val="single" w:color="000000" w:sz="6" w:space="0"/>
              <w:left w:val="single" w:color="000000" w:sz="6" w:space="0"/>
              <w:bottom w:val="single" w:color="000000" w:sz="6" w:space="0"/>
              <w:right w:val="single" w:color="000000" w:sz="6" w:space="0"/>
            </w:tcBorders>
            <w:vAlign w:val="center"/>
          </w:tcPr>
          <w:p w14:paraId="079A4CF8">
            <w:pPr>
              <w:spacing w:line="240" w:lineRule="auto"/>
              <w:jc w:val="center"/>
              <w:rPr>
                <w:sz w:val="21"/>
                <w:szCs w:val="21"/>
              </w:rPr>
            </w:pPr>
            <w:r>
              <w:rPr>
                <w:rFonts w:hint="eastAsia"/>
                <w:sz w:val="21"/>
                <w:szCs w:val="21"/>
              </w:rPr>
              <w:t>82.34</w:t>
            </w:r>
          </w:p>
        </w:tc>
        <w:tc>
          <w:tcPr>
            <w:tcW w:w="623" w:type="dxa"/>
            <w:tcBorders>
              <w:top w:val="single" w:color="000000" w:sz="6" w:space="0"/>
              <w:left w:val="single" w:color="000000" w:sz="6" w:space="0"/>
              <w:bottom w:val="single" w:color="000000" w:sz="6" w:space="0"/>
              <w:right w:val="single" w:color="000000" w:sz="6" w:space="0"/>
            </w:tcBorders>
            <w:vAlign w:val="center"/>
          </w:tcPr>
          <w:p w14:paraId="354BE714">
            <w:pPr>
              <w:spacing w:line="240" w:lineRule="auto"/>
              <w:jc w:val="center"/>
              <w:rPr>
                <w:sz w:val="21"/>
                <w:szCs w:val="21"/>
              </w:rPr>
            </w:pPr>
            <w:r>
              <w:rPr>
                <w:rFonts w:hint="eastAsia"/>
                <w:sz w:val="21"/>
                <w:szCs w:val="21"/>
              </w:rPr>
              <w:t>82.87</w:t>
            </w:r>
          </w:p>
        </w:tc>
        <w:tc>
          <w:tcPr>
            <w:tcW w:w="613" w:type="dxa"/>
            <w:tcBorders>
              <w:top w:val="single" w:color="000000" w:sz="6" w:space="0"/>
              <w:left w:val="single" w:color="000000" w:sz="6" w:space="0"/>
              <w:bottom w:val="single" w:color="000000" w:sz="6" w:space="0"/>
              <w:right w:val="single" w:color="000000" w:sz="6" w:space="0"/>
            </w:tcBorders>
            <w:vAlign w:val="center"/>
          </w:tcPr>
          <w:p w14:paraId="0432377A">
            <w:pPr>
              <w:spacing w:line="240" w:lineRule="auto"/>
              <w:jc w:val="center"/>
              <w:rPr>
                <w:sz w:val="21"/>
                <w:szCs w:val="21"/>
              </w:rPr>
            </w:pPr>
            <w:r>
              <w:rPr>
                <w:rFonts w:hint="eastAsia"/>
                <w:sz w:val="21"/>
                <w:szCs w:val="21"/>
              </w:rPr>
              <w:t>80.89</w:t>
            </w:r>
          </w:p>
        </w:tc>
        <w:tc>
          <w:tcPr>
            <w:tcW w:w="594" w:type="dxa"/>
            <w:tcBorders>
              <w:top w:val="single" w:color="000000" w:sz="6" w:space="0"/>
              <w:left w:val="single" w:color="000000" w:sz="6" w:space="0"/>
              <w:bottom w:val="single" w:color="000000" w:sz="6" w:space="0"/>
              <w:right w:val="single" w:color="000000" w:sz="6" w:space="0"/>
            </w:tcBorders>
            <w:vAlign w:val="center"/>
          </w:tcPr>
          <w:p w14:paraId="41DF63B0">
            <w:pPr>
              <w:spacing w:line="240" w:lineRule="auto"/>
              <w:jc w:val="center"/>
              <w:rPr>
                <w:sz w:val="21"/>
                <w:szCs w:val="21"/>
              </w:rPr>
            </w:pPr>
            <w:r>
              <w:rPr>
                <w:rFonts w:hint="eastAsia"/>
                <w:sz w:val="21"/>
                <w:szCs w:val="21"/>
              </w:rPr>
              <w:t>83.18</w:t>
            </w:r>
          </w:p>
        </w:tc>
        <w:tc>
          <w:tcPr>
            <w:tcW w:w="620" w:type="dxa"/>
            <w:tcBorders>
              <w:top w:val="single" w:color="000000" w:sz="6" w:space="0"/>
              <w:left w:val="single" w:color="000000" w:sz="6" w:space="0"/>
              <w:bottom w:val="single" w:color="000000" w:sz="6" w:space="0"/>
              <w:right w:val="single" w:color="000000" w:sz="6" w:space="0"/>
            </w:tcBorders>
            <w:vAlign w:val="center"/>
          </w:tcPr>
          <w:p w14:paraId="12778F1D">
            <w:pPr>
              <w:spacing w:line="240" w:lineRule="auto"/>
              <w:jc w:val="center"/>
              <w:rPr>
                <w:sz w:val="21"/>
                <w:szCs w:val="21"/>
              </w:rPr>
            </w:pPr>
            <w:r>
              <w:rPr>
                <w:rFonts w:hint="eastAsia"/>
                <w:sz w:val="21"/>
                <w:szCs w:val="21"/>
              </w:rPr>
              <w:t>83.75</w:t>
            </w:r>
          </w:p>
        </w:tc>
        <w:tc>
          <w:tcPr>
            <w:tcW w:w="594" w:type="dxa"/>
            <w:tcBorders>
              <w:top w:val="single" w:color="000000" w:sz="6" w:space="0"/>
              <w:left w:val="single" w:color="000000" w:sz="6" w:space="0"/>
              <w:bottom w:val="single" w:color="000000" w:sz="6" w:space="0"/>
              <w:right w:val="single" w:color="000000" w:sz="6" w:space="0"/>
            </w:tcBorders>
            <w:vAlign w:val="center"/>
          </w:tcPr>
          <w:p w14:paraId="15C932FC">
            <w:pPr>
              <w:spacing w:line="240" w:lineRule="auto"/>
              <w:jc w:val="center"/>
              <w:rPr>
                <w:sz w:val="21"/>
                <w:szCs w:val="21"/>
              </w:rPr>
            </w:pPr>
            <w:r>
              <w:rPr>
                <w:rFonts w:hint="eastAsia"/>
                <w:sz w:val="21"/>
                <w:szCs w:val="21"/>
              </w:rPr>
              <w:t>76.22</w:t>
            </w:r>
          </w:p>
        </w:tc>
        <w:tc>
          <w:tcPr>
            <w:tcW w:w="623" w:type="dxa"/>
            <w:tcBorders>
              <w:top w:val="single" w:color="000000" w:sz="6" w:space="0"/>
              <w:left w:val="single" w:color="000000" w:sz="6" w:space="0"/>
              <w:bottom w:val="single" w:color="000000" w:sz="6" w:space="0"/>
              <w:right w:val="single" w:color="000000" w:sz="6" w:space="0"/>
            </w:tcBorders>
            <w:vAlign w:val="center"/>
          </w:tcPr>
          <w:p w14:paraId="1BDB0DCC">
            <w:pPr>
              <w:spacing w:line="240" w:lineRule="auto"/>
              <w:jc w:val="center"/>
              <w:rPr>
                <w:sz w:val="21"/>
                <w:szCs w:val="21"/>
              </w:rPr>
            </w:pPr>
            <w:r>
              <w:rPr>
                <w:rFonts w:hint="eastAsia"/>
                <w:sz w:val="21"/>
                <w:szCs w:val="21"/>
              </w:rPr>
              <w:t>77.08</w:t>
            </w:r>
          </w:p>
        </w:tc>
        <w:tc>
          <w:tcPr>
            <w:tcW w:w="594" w:type="dxa"/>
            <w:tcBorders>
              <w:top w:val="single" w:color="000000" w:sz="6" w:space="0"/>
              <w:left w:val="single" w:color="000000" w:sz="6" w:space="0"/>
              <w:bottom w:val="single" w:color="000000" w:sz="6" w:space="0"/>
              <w:right w:val="single" w:color="000000" w:sz="6" w:space="0"/>
            </w:tcBorders>
            <w:vAlign w:val="center"/>
          </w:tcPr>
          <w:p w14:paraId="394753B4">
            <w:pPr>
              <w:spacing w:line="240" w:lineRule="auto"/>
              <w:jc w:val="center"/>
              <w:rPr>
                <w:sz w:val="21"/>
                <w:szCs w:val="21"/>
              </w:rPr>
            </w:pPr>
            <w:r>
              <w:rPr>
                <w:rFonts w:hint="eastAsia"/>
                <w:sz w:val="21"/>
                <w:szCs w:val="21"/>
              </w:rPr>
              <w:t>79.11</w:t>
            </w:r>
          </w:p>
        </w:tc>
        <w:tc>
          <w:tcPr>
            <w:tcW w:w="594" w:type="dxa"/>
            <w:tcBorders>
              <w:top w:val="single" w:color="000000" w:sz="6" w:space="0"/>
              <w:left w:val="single" w:color="000000" w:sz="6" w:space="0"/>
              <w:bottom w:val="single" w:color="000000" w:sz="6" w:space="0"/>
              <w:right w:val="single" w:color="000000" w:sz="6" w:space="0"/>
            </w:tcBorders>
            <w:vAlign w:val="center"/>
          </w:tcPr>
          <w:p w14:paraId="37697552">
            <w:pPr>
              <w:spacing w:line="240" w:lineRule="auto"/>
              <w:jc w:val="center"/>
              <w:rPr>
                <w:sz w:val="21"/>
                <w:szCs w:val="21"/>
              </w:rPr>
            </w:pPr>
            <w:r>
              <w:rPr>
                <w:rFonts w:hint="eastAsia"/>
                <w:sz w:val="21"/>
                <w:szCs w:val="21"/>
              </w:rPr>
              <w:t>79.14</w:t>
            </w:r>
          </w:p>
        </w:tc>
        <w:tc>
          <w:tcPr>
            <w:tcW w:w="577" w:type="dxa"/>
            <w:tcBorders>
              <w:top w:val="single" w:color="000000" w:sz="6" w:space="0"/>
              <w:left w:val="single" w:color="000000" w:sz="6" w:space="0"/>
              <w:bottom w:val="single" w:color="000000" w:sz="6" w:space="0"/>
              <w:right w:val="single" w:color="000000" w:sz="6" w:space="0"/>
            </w:tcBorders>
            <w:vAlign w:val="center"/>
          </w:tcPr>
          <w:p w14:paraId="14B2CDCA">
            <w:pPr>
              <w:spacing w:line="240" w:lineRule="auto"/>
              <w:jc w:val="center"/>
              <w:rPr>
                <w:sz w:val="21"/>
                <w:szCs w:val="21"/>
              </w:rPr>
            </w:pPr>
            <w:r>
              <w:rPr>
                <w:rFonts w:hint="eastAsia"/>
                <w:sz w:val="21"/>
                <w:szCs w:val="21"/>
              </w:rPr>
              <w:t>81.19</w:t>
            </w:r>
          </w:p>
        </w:tc>
        <w:tc>
          <w:tcPr>
            <w:tcW w:w="513" w:type="dxa"/>
            <w:tcBorders>
              <w:top w:val="single" w:color="000000" w:sz="6" w:space="0"/>
              <w:left w:val="single" w:color="000000" w:sz="6" w:space="0"/>
              <w:bottom w:val="single" w:color="000000" w:sz="6" w:space="0"/>
              <w:right w:val="single" w:color="000000" w:sz="6" w:space="0"/>
            </w:tcBorders>
            <w:vAlign w:val="center"/>
          </w:tcPr>
          <w:p w14:paraId="6379E81A">
            <w:pPr>
              <w:spacing w:line="240" w:lineRule="auto"/>
              <w:jc w:val="center"/>
              <w:rPr>
                <w:sz w:val="21"/>
                <w:szCs w:val="21"/>
              </w:rPr>
            </w:pPr>
            <w:r>
              <w:rPr>
                <w:rFonts w:hint="eastAsia"/>
                <w:sz w:val="21"/>
                <w:szCs w:val="21"/>
              </w:rPr>
              <w:t>78.75</w:t>
            </w:r>
          </w:p>
        </w:tc>
        <w:tc>
          <w:tcPr>
            <w:tcW w:w="738" w:type="dxa"/>
            <w:tcBorders>
              <w:top w:val="single" w:color="000000" w:sz="6" w:space="0"/>
              <w:left w:val="single" w:color="000000" w:sz="6" w:space="0"/>
              <w:bottom w:val="single" w:color="000000" w:sz="6" w:space="0"/>
            </w:tcBorders>
            <w:vAlign w:val="center"/>
          </w:tcPr>
          <w:p w14:paraId="3E35929B">
            <w:pPr>
              <w:spacing w:line="240" w:lineRule="auto"/>
              <w:jc w:val="center"/>
              <w:rPr>
                <w:sz w:val="21"/>
                <w:szCs w:val="21"/>
              </w:rPr>
            </w:pPr>
            <w:r>
              <w:rPr>
                <w:rFonts w:hint="eastAsia"/>
                <w:sz w:val="21"/>
                <w:szCs w:val="21"/>
              </w:rPr>
              <w:t>79.12</w:t>
            </w:r>
          </w:p>
        </w:tc>
      </w:tr>
      <w:tr w14:paraId="40E0706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6" w:type="dxa"/>
            <w:tcBorders>
              <w:top w:val="single" w:color="000000" w:sz="6" w:space="0"/>
              <w:bottom w:val="single" w:color="000000" w:sz="6" w:space="0"/>
              <w:right w:val="single" w:color="000000" w:sz="6" w:space="0"/>
            </w:tcBorders>
            <w:vAlign w:val="center"/>
          </w:tcPr>
          <w:p w14:paraId="212E8C92">
            <w:pPr>
              <w:spacing w:line="240" w:lineRule="auto"/>
              <w:jc w:val="center"/>
              <w:rPr>
                <w:sz w:val="21"/>
                <w:szCs w:val="21"/>
              </w:rPr>
            </w:pPr>
            <w:r>
              <w:rPr>
                <w:sz w:val="21"/>
                <w:szCs w:val="21"/>
              </w:rPr>
              <w:t>降水</w:t>
            </w:r>
          </w:p>
          <w:p w14:paraId="5F7DFE01">
            <w:pPr>
              <w:spacing w:line="240" w:lineRule="auto"/>
              <w:jc w:val="center"/>
              <w:rPr>
                <w:sz w:val="21"/>
                <w:szCs w:val="21"/>
              </w:rPr>
            </w:pPr>
            <w:r>
              <w:rPr>
                <w:sz w:val="21"/>
                <w:szCs w:val="21"/>
              </w:rPr>
              <w:t>量mm</w:t>
            </w:r>
          </w:p>
        </w:tc>
        <w:tc>
          <w:tcPr>
            <w:tcW w:w="512" w:type="dxa"/>
            <w:tcBorders>
              <w:top w:val="single" w:color="000000" w:sz="6" w:space="0"/>
              <w:left w:val="single" w:color="000000" w:sz="6" w:space="0"/>
              <w:bottom w:val="single" w:color="000000" w:sz="6" w:space="0"/>
              <w:right w:val="single" w:color="000000" w:sz="6" w:space="0"/>
            </w:tcBorders>
            <w:vAlign w:val="center"/>
          </w:tcPr>
          <w:p w14:paraId="4916EEE9">
            <w:pPr>
              <w:spacing w:line="240" w:lineRule="auto"/>
              <w:jc w:val="center"/>
              <w:rPr>
                <w:sz w:val="21"/>
                <w:szCs w:val="21"/>
              </w:rPr>
            </w:pPr>
            <w:r>
              <w:rPr>
                <w:rFonts w:hint="eastAsia"/>
                <w:sz w:val="21"/>
                <w:szCs w:val="21"/>
              </w:rPr>
              <w:t>69.88</w:t>
            </w:r>
          </w:p>
        </w:tc>
        <w:tc>
          <w:tcPr>
            <w:tcW w:w="510" w:type="dxa"/>
            <w:tcBorders>
              <w:top w:val="single" w:color="000000" w:sz="6" w:space="0"/>
              <w:left w:val="single" w:color="000000" w:sz="6" w:space="0"/>
              <w:bottom w:val="single" w:color="000000" w:sz="6" w:space="0"/>
              <w:right w:val="single" w:color="000000" w:sz="6" w:space="0"/>
            </w:tcBorders>
            <w:vAlign w:val="center"/>
          </w:tcPr>
          <w:p w14:paraId="2B74E759">
            <w:pPr>
              <w:spacing w:line="240" w:lineRule="auto"/>
              <w:jc w:val="center"/>
              <w:rPr>
                <w:sz w:val="21"/>
                <w:szCs w:val="21"/>
              </w:rPr>
            </w:pPr>
            <w:r>
              <w:rPr>
                <w:rFonts w:hint="eastAsia"/>
                <w:sz w:val="21"/>
                <w:szCs w:val="21"/>
              </w:rPr>
              <w:t>101.4</w:t>
            </w:r>
          </w:p>
        </w:tc>
        <w:tc>
          <w:tcPr>
            <w:tcW w:w="623" w:type="dxa"/>
            <w:tcBorders>
              <w:top w:val="single" w:color="000000" w:sz="6" w:space="0"/>
              <w:left w:val="single" w:color="000000" w:sz="6" w:space="0"/>
              <w:bottom w:val="single" w:color="000000" w:sz="6" w:space="0"/>
              <w:right w:val="single" w:color="000000" w:sz="6" w:space="0"/>
            </w:tcBorders>
            <w:vAlign w:val="center"/>
          </w:tcPr>
          <w:p w14:paraId="14E4314C">
            <w:pPr>
              <w:spacing w:line="240" w:lineRule="auto"/>
              <w:jc w:val="center"/>
              <w:rPr>
                <w:sz w:val="21"/>
                <w:szCs w:val="21"/>
              </w:rPr>
            </w:pPr>
            <w:r>
              <w:rPr>
                <w:rFonts w:hint="eastAsia"/>
                <w:sz w:val="21"/>
                <w:szCs w:val="21"/>
              </w:rPr>
              <w:t>145.52</w:t>
            </w:r>
          </w:p>
        </w:tc>
        <w:tc>
          <w:tcPr>
            <w:tcW w:w="613" w:type="dxa"/>
            <w:tcBorders>
              <w:top w:val="single" w:color="000000" w:sz="6" w:space="0"/>
              <w:left w:val="single" w:color="000000" w:sz="6" w:space="0"/>
              <w:bottom w:val="single" w:color="000000" w:sz="6" w:space="0"/>
              <w:right w:val="single" w:color="000000" w:sz="6" w:space="0"/>
            </w:tcBorders>
            <w:vAlign w:val="center"/>
          </w:tcPr>
          <w:p w14:paraId="1C1FC799">
            <w:pPr>
              <w:spacing w:line="240" w:lineRule="auto"/>
              <w:jc w:val="center"/>
              <w:rPr>
                <w:sz w:val="21"/>
                <w:szCs w:val="21"/>
              </w:rPr>
            </w:pPr>
            <w:r>
              <w:rPr>
                <w:rFonts w:hint="eastAsia"/>
                <w:sz w:val="21"/>
                <w:szCs w:val="21"/>
              </w:rPr>
              <w:t>146.06</w:t>
            </w:r>
          </w:p>
        </w:tc>
        <w:tc>
          <w:tcPr>
            <w:tcW w:w="594" w:type="dxa"/>
            <w:tcBorders>
              <w:top w:val="single" w:color="000000" w:sz="6" w:space="0"/>
              <w:left w:val="single" w:color="000000" w:sz="6" w:space="0"/>
              <w:bottom w:val="single" w:color="000000" w:sz="6" w:space="0"/>
              <w:right w:val="single" w:color="000000" w:sz="6" w:space="0"/>
            </w:tcBorders>
            <w:vAlign w:val="center"/>
          </w:tcPr>
          <w:p w14:paraId="73747675">
            <w:pPr>
              <w:spacing w:line="240" w:lineRule="auto"/>
              <w:jc w:val="center"/>
              <w:rPr>
                <w:sz w:val="21"/>
                <w:szCs w:val="21"/>
              </w:rPr>
            </w:pPr>
            <w:r>
              <w:rPr>
                <w:rFonts w:hint="eastAsia"/>
                <w:sz w:val="21"/>
                <w:szCs w:val="21"/>
              </w:rPr>
              <w:t>210.92</w:t>
            </w:r>
          </w:p>
        </w:tc>
        <w:tc>
          <w:tcPr>
            <w:tcW w:w="620" w:type="dxa"/>
            <w:tcBorders>
              <w:top w:val="single" w:color="000000" w:sz="6" w:space="0"/>
              <w:left w:val="single" w:color="000000" w:sz="6" w:space="0"/>
              <w:bottom w:val="single" w:color="000000" w:sz="6" w:space="0"/>
              <w:right w:val="single" w:color="000000" w:sz="6" w:space="0"/>
            </w:tcBorders>
            <w:vAlign w:val="center"/>
          </w:tcPr>
          <w:p w14:paraId="5A28544F">
            <w:pPr>
              <w:spacing w:line="240" w:lineRule="auto"/>
              <w:jc w:val="center"/>
              <w:rPr>
                <w:sz w:val="21"/>
                <w:szCs w:val="21"/>
              </w:rPr>
            </w:pPr>
            <w:r>
              <w:rPr>
                <w:rFonts w:hint="eastAsia"/>
                <w:sz w:val="21"/>
                <w:szCs w:val="21"/>
              </w:rPr>
              <w:t>224.46</w:t>
            </w:r>
          </w:p>
        </w:tc>
        <w:tc>
          <w:tcPr>
            <w:tcW w:w="594" w:type="dxa"/>
            <w:tcBorders>
              <w:top w:val="single" w:color="000000" w:sz="6" w:space="0"/>
              <w:left w:val="single" w:color="000000" w:sz="6" w:space="0"/>
              <w:bottom w:val="single" w:color="000000" w:sz="6" w:space="0"/>
              <w:right w:val="single" w:color="000000" w:sz="6" w:space="0"/>
            </w:tcBorders>
            <w:vAlign w:val="center"/>
          </w:tcPr>
          <w:p w14:paraId="3DD79172">
            <w:pPr>
              <w:spacing w:line="240" w:lineRule="auto"/>
              <w:jc w:val="center"/>
              <w:rPr>
                <w:sz w:val="21"/>
                <w:szCs w:val="21"/>
              </w:rPr>
            </w:pPr>
            <w:r>
              <w:rPr>
                <w:rFonts w:hint="eastAsia"/>
                <w:sz w:val="21"/>
                <w:szCs w:val="21"/>
              </w:rPr>
              <w:t>146.76</w:t>
            </w:r>
          </w:p>
        </w:tc>
        <w:tc>
          <w:tcPr>
            <w:tcW w:w="623" w:type="dxa"/>
            <w:tcBorders>
              <w:top w:val="single" w:color="000000" w:sz="6" w:space="0"/>
              <w:left w:val="single" w:color="000000" w:sz="6" w:space="0"/>
              <w:bottom w:val="single" w:color="000000" w:sz="6" w:space="0"/>
              <w:right w:val="single" w:color="000000" w:sz="6" w:space="0"/>
            </w:tcBorders>
            <w:vAlign w:val="center"/>
          </w:tcPr>
          <w:p w14:paraId="4B78EABE">
            <w:pPr>
              <w:spacing w:line="240" w:lineRule="auto"/>
              <w:jc w:val="center"/>
              <w:rPr>
                <w:sz w:val="21"/>
                <w:szCs w:val="21"/>
              </w:rPr>
            </w:pPr>
            <w:r>
              <w:rPr>
                <w:rFonts w:hint="eastAsia"/>
                <w:sz w:val="21"/>
                <w:szCs w:val="21"/>
              </w:rPr>
              <w:t>88.97</w:t>
            </w:r>
          </w:p>
        </w:tc>
        <w:tc>
          <w:tcPr>
            <w:tcW w:w="594" w:type="dxa"/>
            <w:tcBorders>
              <w:top w:val="single" w:color="000000" w:sz="6" w:space="0"/>
              <w:left w:val="single" w:color="000000" w:sz="6" w:space="0"/>
              <w:bottom w:val="single" w:color="000000" w:sz="6" w:space="0"/>
              <w:right w:val="single" w:color="000000" w:sz="6" w:space="0"/>
            </w:tcBorders>
            <w:vAlign w:val="center"/>
          </w:tcPr>
          <w:p w14:paraId="0A0F20ED">
            <w:pPr>
              <w:spacing w:line="240" w:lineRule="auto"/>
              <w:jc w:val="center"/>
              <w:rPr>
                <w:sz w:val="21"/>
                <w:szCs w:val="21"/>
              </w:rPr>
            </w:pPr>
            <w:r>
              <w:rPr>
                <w:rFonts w:hint="eastAsia"/>
                <w:sz w:val="21"/>
                <w:szCs w:val="21"/>
              </w:rPr>
              <w:t>67.82</w:t>
            </w:r>
          </w:p>
        </w:tc>
        <w:tc>
          <w:tcPr>
            <w:tcW w:w="594" w:type="dxa"/>
            <w:tcBorders>
              <w:top w:val="single" w:color="000000" w:sz="6" w:space="0"/>
              <w:left w:val="single" w:color="000000" w:sz="6" w:space="0"/>
              <w:bottom w:val="single" w:color="000000" w:sz="6" w:space="0"/>
              <w:right w:val="single" w:color="000000" w:sz="6" w:space="0"/>
            </w:tcBorders>
            <w:vAlign w:val="center"/>
          </w:tcPr>
          <w:p w14:paraId="4B3FE603">
            <w:pPr>
              <w:spacing w:line="240" w:lineRule="auto"/>
              <w:jc w:val="center"/>
              <w:rPr>
                <w:sz w:val="21"/>
                <w:szCs w:val="21"/>
              </w:rPr>
            </w:pPr>
            <w:r>
              <w:rPr>
                <w:rFonts w:hint="eastAsia"/>
                <w:sz w:val="21"/>
                <w:szCs w:val="21"/>
              </w:rPr>
              <w:t>42.87</w:t>
            </w:r>
          </w:p>
        </w:tc>
        <w:tc>
          <w:tcPr>
            <w:tcW w:w="577" w:type="dxa"/>
            <w:tcBorders>
              <w:top w:val="single" w:color="000000" w:sz="6" w:space="0"/>
              <w:left w:val="single" w:color="000000" w:sz="6" w:space="0"/>
              <w:bottom w:val="single" w:color="000000" w:sz="6" w:space="0"/>
              <w:right w:val="single" w:color="000000" w:sz="6" w:space="0"/>
            </w:tcBorders>
            <w:vAlign w:val="center"/>
          </w:tcPr>
          <w:p w14:paraId="72D43DD1">
            <w:pPr>
              <w:spacing w:line="240" w:lineRule="auto"/>
              <w:jc w:val="center"/>
              <w:rPr>
                <w:sz w:val="21"/>
                <w:szCs w:val="21"/>
              </w:rPr>
            </w:pPr>
            <w:r>
              <w:rPr>
                <w:rFonts w:hint="eastAsia"/>
                <w:sz w:val="21"/>
                <w:szCs w:val="21"/>
              </w:rPr>
              <w:t>87.82</w:t>
            </w:r>
          </w:p>
        </w:tc>
        <w:tc>
          <w:tcPr>
            <w:tcW w:w="513" w:type="dxa"/>
            <w:tcBorders>
              <w:top w:val="single" w:color="000000" w:sz="6" w:space="0"/>
              <w:left w:val="single" w:color="000000" w:sz="6" w:space="0"/>
              <w:bottom w:val="single" w:color="000000" w:sz="6" w:space="0"/>
              <w:right w:val="single" w:color="000000" w:sz="6" w:space="0"/>
            </w:tcBorders>
            <w:vAlign w:val="center"/>
          </w:tcPr>
          <w:p w14:paraId="2FC8F827">
            <w:pPr>
              <w:spacing w:line="240" w:lineRule="auto"/>
              <w:jc w:val="center"/>
              <w:rPr>
                <w:sz w:val="21"/>
                <w:szCs w:val="21"/>
              </w:rPr>
            </w:pPr>
            <w:r>
              <w:rPr>
                <w:rFonts w:hint="eastAsia"/>
                <w:sz w:val="21"/>
                <w:szCs w:val="21"/>
              </w:rPr>
              <w:t>53.39</w:t>
            </w:r>
          </w:p>
        </w:tc>
        <w:tc>
          <w:tcPr>
            <w:tcW w:w="738" w:type="dxa"/>
            <w:tcBorders>
              <w:top w:val="single" w:color="000000" w:sz="6" w:space="0"/>
              <w:left w:val="single" w:color="000000" w:sz="6" w:space="0"/>
              <w:bottom w:val="single" w:color="000000" w:sz="6" w:space="0"/>
            </w:tcBorders>
            <w:vAlign w:val="center"/>
          </w:tcPr>
          <w:p w14:paraId="43D27D37">
            <w:pPr>
              <w:spacing w:line="240" w:lineRule="auto"/>
              <w:jc w:val="center"/>
              <w:rPr>
                <w:sz w:val="21"/>
                <w:szCs w:val="21"/>
              </w:rPr>
            </w:pPr>
            <w:r>
              <w:rPr>
                <w:rFonts w:hint="eastAsia"/>
                <w:sz w:val="21"/>
                <w:szCs w:val="21"/>
              </w:rPr>
              <w:t>1614.8</w:t>
            </w:r>
          </w:p>
        </w:tc>
      </w:tr>
      <w:tr w14:paraId="174F80A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6" w:type="dxa"/>
            <w:tcBorders>
              <w:top w:val="single" w:color="000000" w:sz="6" w:space="0"/>
              <w:bottom w:val="single" w:color="000000" w:sz="6" w:space="0"/>
              <w:right w:val="single" w:color="000000" w:sz="6" w:space="0"/>
            </w:tcBorders>
            <w:vAlign w:val="center"/>
          </w:tcPr>
          <w:p w14:paraId="27FE4631">
            <w:pPr>
              <w:spacing w:line="240" w:lineRule="auto"/>
              <w:jc w:val="center"/>
              <w:rPr>
                <w:sz w:val="21"/>
                <w:szCs w:val="21"/>
              </w:rPr>
            </w:pPr>
            <w:r>
              <w:rPr>
                <w:sz w:val="21"/>
                <w:szCs w:val="21"/>
              </w:rPr>
              <w:t>日照</w:t>
            </w:r>
          </w:p>
          <w:p w14:paraId="37265678">
            <w:pPr>
              <w:spacing w:line="240" w:lineRule="auto"/>
              <w:jc w:val="center"/>
              <w:rPr>
                <w:sz w:val="21"/>
                <w:szCs w:val="21"/>
              </w:rPr>
            </w:pPr>
            <w:r>
              <w:rPr>
                <w:sz w:val="21"/>
                <w:szCs w:val="21"/>
              </w:rPr>
              <w:t>时数 h</w:t>
            </w:r>
          </w:p>
        </w:tc>
        <w:tc>
          <w:tcPr>
            <w:tcW w:w="512" w:type="dxa"/>
            <w:tcBorders>
              <w:top w:val="single" w:color="000000" w:sz="6" w:space="0"/>
              <w:left w:val="single" w:color="000000" w:sz="6" w:space="0"/>
              <w:bottom w:val="single" w:color="000000" w:sz="6" w:space="0"/>
              <w:right w:val="single" w:color="000000" w:sz="6" w:space="0"/>
            </w:tcBorders>
            <w:vAlign w:val="center"/>
          </w:tcPr>
          <w:p w14:paraId="5A802E6B">
            <w:pPr>
              <w:spacing w:line="240" w:lineRule="auto"/>
              <w:jc w:val="center"/>
              <w:rPr>
                <w:sz w:val="21"/>
                <w:szCs w:val="21"/>
              </w:rPr>
            </w:pPr>
            <w:r>
              <w:rPr>
                <w:rFonts w:hint="eastAsia"/>
                <w:sz w:val="21"/>
                <w:szCs w:val="21"/>
              </w:rPr>
              <w:t>59.78</w:t>
            </w:r>
          </w:p>
        </w:tc>
        <w:tc>
          <w:tcPr>
            <w:tcW w:w="510" w:type="dxa"/>
            <w:tcBorders>
              <w:top w:val="single" w:color="000000" w:sz="6" w:space="0"/>
              <w:left w:val="single" w:color="000000" w:sz="6" w:space="0"/>
              <w:bottom w:val="single" w:color="000000" w:sz="6" w:space="0"/>
              <w:right w:val="single" w:color="000000" w:sz="6" w:space="0"/>
            </w:tcBorders>
            <w:vAlign w:val="center"/>
          </w:tcPr>
          <w:p w14:paraId="16F12648">
            <w:pPr>
              <w:spacing w:line="240" w:lineRule="auto"/>
              <w:jc w:val="center"/>
              <w:rPr>
                <w:sz w:val="21"/>
                <w:szCs w:val="21"/>
              </w:rPr>
            </w:pPr>
            <w:r>
              <w:rPr>
                <w:rFonts w:hint="eastAsia"/>
                <w:sz w:val="21"/>
                <w:szCs w:val="21"/>
              </w:rPr>
              <w:t>64.04</w:t>
            </w:r>
          </w:p>
        </w:tc>
        <w:tc>
          <w:tcPr>
            <w:tcW w:w="623" w:type="dxa"/>
            <w:tcBorders>
              <w:top w:val="single" w:color="000000" w:sz="6" w:space="0"/>
              <w:left w:val="single" w:color="000000" w:sz="6" w:space="0"/>
              <w:bottom w:val="single" w:color="000000" w:sz="6" w:space="0"/>
              <w:right w:val="single" w:color="000000" w:sz="6" w:space="0"/>
            </w:tcBorders>
            <w:vAlign w:val="center"/>
          </w:tcPr>
          <w:p w14:paraId="65197F2C">
            <w:pPr>
              <w:spacing w:line="240" w:lineRule="auto"/>
              <w:jc w:val="center"/>
              <w:rPr>
                <w:sz w:val="21"/>
                <w:szCs w:val="21"/>
              </w:rPr>
            </w:pPr>
            <w:r>
              <w:rPr>
                <w:rFonts w:hint="eastAsia"/>
                <w:sz w:val="21"/>
                <w:szCs w:val="21"/>
              </w:rPr>
              <w:t>86.96</w:t>
            </w:r>
          </w:p>
        </w:tc>
        <w:tc>
          <w:tcPr>
            <w:tcW w:w="613" w:type="dxa"/>
            <w:tcBorders>
              <w:top w:val="single" w:color="000000" w:sz="6" w:space="0"/>
              <w:left w:val="single" w:color="000000" w:sz="6" w:space="0"/>
              <w:bottom w:val="single" w:color="000000" w:sz="6" w:space="0"/>
              <w:right w:val="single" w:color="000000" w:sz="6" w:space="0"/>
            </w:tcBorders>
            <w:vAlign w:val="center"/>
          </w:tcPr>
          <w:p w14:paraId="2C468BA5">
            <w:pPr>
              <w:spacing w:line="240" w:lineRule="auto"/>
              <w:jc w:val="center"/>
              <w:rPr>
                <w:sz w:val="21"/>
                <w:szCs w:val="21"/>
              </w:rPr>
            </w:pPr>
            <w:r>
              <w:rPr>
                <w:rFonts w:hint="eastAsia"/>
                <w:sz w:val="21"/>
                <w:szCs w:val="21"/>
              </w:rPr>
              <w:t>114.43</w:t>
            </w:r>
          </w:p>
        </w:tc>
        <w:tc>
          <w:tcPr>
            <w:tcW w:w="594" w:type="dxa"/>
            <w:tcBorders>
              <w:top w:val="single" w:color="000000" w:sz="6" w:space="0"/>
              <w:left w:val="single" w:color="000000" w:sz="6" w:space="0"/>
              <w:bottom w:val="single" w:color="000000" w:sz="6" w:space="0"/>
              <w:right w:val="single" w:color="000000" w:sz="6" w:space="0"/>
            </w:tcBorders>
            <w:vAlign w:val="center"/>
          </w:tcPr>
          <w:p w14:paraId="16738A87">
            <w:pPr>
              <w:spacing w:line="240" w:lineRule="auto"/>
              <w:jc w:val="center"/>
              <w:rPr>
                <w:sz w:val="21"/>
                <w:szCs w:val="21"/>
              </w:rPr>
            </w:pPr>
            <w:r>
              <w:rPr>
                <w:rFonts w:hint="eastAsia"/>
                <w:sz w:val="21"/>
                <w:szCs w:val="21"/>
              </w:rPr>
              <w:t>130.35</w:t>
            </w:r>
          </w:p>
        </w:tc>
        <w:tc>
          <w:tcPr>
            <w:tcW w:w="620" w:type="dxa"/>
            <w:tcBorders>
              <w:top w:val="single" w:color="000000" w:sz="6" w:space="0"/>
              <w:left w:val="single" w:color="000000" w:sz="6" w:space="0"/>
              <w:bottom w:val="single" w:color="000000" w:sz="6" w:space="0"/>
              <w:right w:val="single" w:color="000000" w:sz="6" w:space="0"/>
            </w:tcBorders>
            <w:vAlign w:val="center"/>
          </w:tcPr>
          <w:p w14:paraId="2CA73643">
            <w:pPr>
              <w:spacing w:line="240" w:lineRule="auto"/>
              <w:jc w:val="center"/>
              <w:rPr>
                <w:sz w:val="21"/>
                <w:szCs w:val="21"/>
              </w:rPr>
            </w:pPr>
            <w:r>
              <w:rPr>
                <w:rFonts w:hint="eastAsia"/>
                <w:sz w:val="21"/>
                <w:szCs w:val="21"/>
              </w:rPr>
              <w:t>138.34</w:t>
            </w:r>
          </w:p>
        </w:tc>
        <w:tc>
          <w:tcPr>
            <w:tcW w:w="594" w:type="dxa"/>
            <w:tcBorders>
              <w:top w:val="single" w:color="000000" w:sz="6" w:space="0"/>
              <w:left w:val="single" w:color="000000" w:sz="6" w:space="0"/>
              <w:bottom w:val="single" w:color="000000" w:sz="6" w:space="0"/>
              <w:right w:val="single" w:color="000000" w:sz="6" w:space="0"/>
            </w:tcBorders>
            <w:vAlign w:val="center"/>
          </w:tcPr>
          <w:p w14:paraId="4FA6EB1F">
            <w:pPr>
              <w:spacing w:line="240" w:lineRule="auto"/>
              <w:jc w:val="center"/>
              <w:rPr>
                <w:sz w:val="21"/>
                <w:szCs w:val="21"/>
              </w:rPr>
            </w:pPr>
            <w:r>
              <w:rPr>
                <w:rFonts w:hint="eastAsia"/>
                <w:sz w:val="21"/>
                <w:szCs w:val="21"/>
              </w:rPr>
              <w:t>237.77</w:t>
            </w:r>
          </w:p>
        </w:tc>
        <w:tc>
          <w:tcPr>
            <w:tcW w:w="623" w:type="dxa"/>
            <w:tcBorders>
              <w:top w:val="single" w:color="000000" w:sz="6" w:space="0"/>
              <w:left w:val="single" w:color="000000" w:sz="6" w:space="0"/>
              <w:bottom w:val="single" w:color="000000" w:sz="6" w:space="0"/>
              <w:right w:val="single" w:color="000000" w:sz="6" w:space="0"/>
            </w:tcBorders>
            <w:vAlign w:val="center"/>
          </w:tcPr>
          <w:p w14:paraId="66ECA6F1">
            <w:pPr>
              <w:spacing w:line="240" w:lineRule="auto"/>
              <w:jc w:val="center"/>
              <w:rPr>
                <w:sz w:val="21"/>
                <w:szCs w:val="21"/>
              </w:rPr>
            </w:pPr>
            <w:r>
              <w:rPr>
                <w:rFonts w:hint="eastAsia"/>
                <w:sz w:val="21"/>
                <w:szCs w:val="21"/>
              </w:rPr>
              <w:t>219.46</w:t>
            </w:r>
          </w:p>
        </w:tc>
        <w:tc>
          <w:tcPr>
            <w:tcW w:w="594" w:type="dxa"/>
            <w:tcBorders>
              <w:top w:val="single" w:color="000000" w:sz="6" w:space="0"/>
              <w:left w:val="single" w:color="000000" w:sz="6" w:space="0"/>
              <w:bottom w:val="single" w:color="000000" w:sz="6" w:space="0"/>
              <w:right w:val="single" w:color="000000" w:sz="6" w:space="0"/>
            </w:tcBorders>
            <w:vAlign w:val="center"/>
          </w:tcPr>
          <w:p w14:paraId="70DEFF71">
            <w:pPr>
              <w:spacing w:line="240" w:lineRule="auto"/>
              <w:jc w:val="center"/>
              <w:rPr>
                <w:sz w:val="21"/>
                <w:szCs w:val="21"/>
              </w:rPr>
            </w:pPr>
            <w:r>
              <w:rPr>
                <w:rFonts w:hint="eastAsia"/>
                <w:sz w:val="21"/>
                <w:szCs w:val="21"/>
              </w:rPr>
              <w:t>157.92</w:t>
            </w:r>
          </w:p>
        </w:tc>
        <w:tc>
          <w:tcPr>
            <w:tcW w:w="594" w:type="dxa"/>
            <w:tcBorders>
              <w:top w:val="single" w:color="000000" w:sz="6" w:space="0"/>
              <w:left w:val="single" w:color="000000" w:sz="6" w:space="0"/>
              <w:bottom w:val="single" w:color="000000" w:sz="6" w:space="0"/>
              <w:right w:val="single" w:color="000000" w:sz="6" w:space="0"/>
            </w:tcBorders>
            <w:vAlign w:val="center"/>
          </w:tcPr>
          <w:p w14:paraId="527A3300">
            <w:pPr>
              <w:spacing w:line="240" w:lineRule="auto"/>
              <w:jc w:val="center"/>
              <w:rPr>
                <w:sz w:val="21"/>
                <w:szCs w:val="21"/>
              </w:rPr>
            </w:pPr>
            <w:r>
              <w:rPr>
                <w:rFonts w:hint="eastAsia"/>
                <w:sz w:val="21"/>
                <w:szCs w:val="21"/>
              </w:rPr>
              <w:t>127.13</w:t>
            </w:r>
          </w:p>
        </w:tc>
        <w:tc>
          <w:tcPr>
            <w:tcW w:w="577" w:type="dxa"/>
            <w:tcBorders>
              <w:top w:val="single" w:color="000000" w:sz="6" w:space="0"/>
              <w:left w:val="single" w:color="000000" w:sz="6" w:space="0"/>
              <w:bottom w:val="single" w:color="000000" w:sz="6" w:space="0"/>
              <w:right w:val="single" w:color="000000" w:sz="6" w:space="0"/>
            </w:tcBorders>
            <w:vAlign w:val="center"/>
          </w:tcPr>
          <w:p w14:paraId="64F7DE89">
            <w:pPr>
              <w:spacing w:line="240" w:lineRule="auto"/>
              <w:jc w:val="center"/>
              <w:rPr>
                <w:sz w:val="21"/>
                <w:szCs w:val="21"/>
              </w:rPr>
            </w:pPr>
            <w:r>
              <w:rPr>
                <w:rFonts w:hint="eastAsia"/>
                <w:sz w:val="21"/>
                <w:szCs w:val="21"/>
              </w:rPr>
              <w:t>110.9</w:t>
            </w:r>
          </w:p>
        </w:tc>
        <w:tc>
          <w:tcPr>
            <w:tcW w:w="513" w:type="dxa"/>
            <w:tcBorders>
              <w:top w:val="single" w:color="000000" w:sz="6" w:space="0"/>
              <w:left w:val="single" w:color="000000" w:sz="6" w:space="0"/>
              <w:bottom w:val="single" w:color="000000" w:sz="6" w:space="0"/>
              <w:right w:val="single" w:color="000000" w:sz="6" w:space="0"/>
            </w:tcBorders>
            <w:vAlign w:val="center"/>
          </w:tcPr>
          <w:p w14:paraId="4F609D4D">
            <w:pPr>
              <w:spacing w:line="240" w:lineRule="auto"/>
              <w:jc w:val="center"/>
              <w:rPr>
                <w:sz w:val="21"/>
                <w:szCs w:val="21"/>
              </w:rPr>
            </w:pPr>
            <w:r>
              <w:rPr>
                <w:rFonts w:hint="eastAsia"/>
                <w:sz w:val="21"/>
                <w:szCs w:val="21"/>
              </w:rPr>
              <w:t>98.18</w:t>
            </w:r>
          </w:p>
        </w:tc>
        <w:tc>
          <w:tcPr>
            <w:tcW w:w="738" w:type="dxa"/>
            <w:tcBorders>
              <w:top w:val="single" w:color="000000" w:sz="6" w:space="0"/>
              <w:left w:val="single" w:color="000000" w:sz="6" w:space="0"/>
              <w:bottom w:val="single" w:color="000000" w:sz="6" w:space="0"/>
            </w:tcBorders>
            <w:vAlign w:val="center"/>
          </w:tcPr>
          <w:p w14:paraId="361E8F78">
            <w:pPr>
              <w:spacing w:line="240" w:lineRule="auto"/>
              <w:jc w:val="center"/>
              <w:rPr>
                <w:sz w:val="21"/>
                <w:szCs w:val="21"/>
              </w:rPr>
            </w:pPr>
            <w:r>
              <w:rPr>
                <w:rFonts w:hint="eastAsia"/>
                <w:sz w:val="21"/>
                <w:szCs w:val="21"/>
              </w:rPr>
              <w:t>1737.1</w:t>
            </w:r>
          </w:p>
        </w:tc>
      </w:tr>
      <w:tr w14:paraId="6DBB189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6" w:type="dxa"/>
            <w:tcBorders>
              <w:top w:val="single" w:color="000000" w:sz="6" w:space="0"/>
              <w:right w:val="single" w:color="000000" w:sz="6" w:space="0"/>
            </w:tcBorders>
            <w:vAlign w:val="center"/>
          </w:tcPr>
          <w:p w14:paraId="2C8DCC80">
            <w:pPr>
              <w:spacing w:line="240" w:lineRule="auto"/>
              <w:jc w:val="center"/>
              <w:rPr>
                <w:sz w:val="21"/>
                <w:szCs w:val="21"/>
              </w:rPr>
            </w:pPr>
            <w:r>
              <w:rPr>
                <w:sz w:val="21"/>
                <w:szCs w:val="21"/>
              </w:rPr>
              <w:t>风速</w:t>
            </w:r>
          </w:p>
          <w:p w14:paraId="23646A6D">
            <w:pPr>
              <w:spacing w:line="240" w:lineRule="auto"/>
              <w:jc w:val="center"/>
              <w:rPr>
                <w:sz w:val="21"/>
                <w:szCs w:val="21"/>
              </w:rPr>
            </w:pPr>
            <w:r>
              <w:rPr>
                <w:sz w:val="21"/>
                <w:szCs w:val="21"/>
              </w:rPr>
              <w:t>m/s</w:t>
            </w:r>
          </w:p>
        </w:tc>
        <w:tc>
          <w:tcPr>
            <w:tcW w:w="512" w:type="dxa"/>
            <w:tcBorders>
              <w:top w:val="single" w:color="000000" w:sz="6" w:space="0"/>
              <w:left w:val="single" w:color="000000" w:sz="6" w:space="0"/>
              <w:right w:val="single" w:color="000000" w:sz="6" w:space="0"/>
            </w:tcBorders>
            <w:vAlign w:val="center"/>
          </w:tcPr>
          <w:p w14:paraId="2EF4C39F">
            <w:pPr>
              <w:spacing w:line="240" w:lineRule="auto"/>
              <w:jc w:val="center"/>
              <w:rPr>
                <w:sz w:val="21"/>
                <w:szCs w:val="21"/>
              </w:rPr>
            </w:pPr>
            <w:r>
              <w:rPr>
                <w:rFonts w:hint="eastAsia"/>
                <w:sz w:val="21"/>
                <w:szCs w:val="21"/>
              </w:rPr>
              <w:t>2.05</w:t>
            </w:r>
          </w:p>
        </w:tc>
        <w:tc>
          <w:tcPr>
            <w:tcW w:w="510" w:type="dxa"/>
            <w:tcBorders>
              <w:top w:val="single" w:color="000000" w:sz="6" w:space="0"/>
              <w:left w:val="single" w:color="000000" w:sz="6" w:space="0"/>
              <w:right w:val="single" w:color="000000" w:sz="6" w:space="0"/>
            </w:tcBorders>
            <w:vAlign w:val="center"/>
          </w:tcPr>
          <w:p w14:paraId="13DC6FB5">
            <w:pPr>
              <w:spacing w:line="240" w:lineRule="auto"/>
              <w:jc w:val="center"/>
              <w:rPr>
                <w:sz w:val="21"/>
                <w:szCs w:val="21"/>
              </w:rPr>
            </w:pPr>
            <w:r>
              <w:rPr>
                <w:rFonts w:hint="eastAsia"/>
                <w:sz w:val="21"/>
                <w:szCs w:val="21"/>
              </w:rPr>
              <w:t>2.33</w:t>
            </w:r>
          </w:p>
        </w:tc>
        <w:tc>
          <w:tcPr>
            <w:tcW w:w="623" w:type="dxa"/>
            <w:tcBorders>
              <w:top w:val="single" w:color="000000" w:sz="6" w:space="0"/>
              <w:left w:val="single" w:color="000000" w:sz="6" w:space="0"/>
              <w:right w:val="single" w:color="000000" w:sz="6" w:space="0"/>
            </w:tcBorders>
            <w:vAlign w:val="center"/>
          </w:tcPr>
          <w:p w14:paraId="35DF03BE">
            <w:pPr>
              <w:spacing w:line="240" w:lineRule="auto"/>
              <w:jc w:val="center"/>
              <w:rPr>
                <w:sz w:val="21"/>
                <w:szCs w:val="21"/>
              </w:rPr>
            </w:pPr>
            <w:r>
              <w:rPr>
                <w:rFonts w:hint="eastAsia"/>
                <w:sz w:val="21"/>
                <w:szCs w:val="21"/>
              </w:rPr>
              <w:t>2.25</w:t>
            </w:r>
          </w:p>
        </w:tc>
        <w:tc>
          <w:tcPr>
            <w:tcW w:w="613" w:type="dxa"/>
            <w:tcBorders>
              <w:top w:val="single" w:color="000000" w:sz="6" w:space="0"/>
              <w:left w:val="single" w:color="000000" w:sz="6" w:space="0"/>
              <w:right w:val="single" w:color="000000" w:sz="6" w:space="0"/>
            </w:tcBorders>
            <w:vAlign w:val="center"/>
          </w:tcPr>
          <w:p w14:paraId="5DC7B447">
            <w:pPr>
              <w:spacing w:line="240" w:lineRule="auto"/>
              <w:jc w:val="center"/>
              <w:rPr>
                <w:sz w:val="21"/>
                <w:szCs w:val="21"/>
              </w:rPr>
            </w:pPr>
            <w:r>
              <w:rPr>
                <w:rFonts w:hint="eastAsia"/>
                <w:sz w:val="21"/>
                <w:szCs w:val="21"/>
              </w:rPr>
              <w:t>2.3</w:t>
            </w:r>
          </w:p>
        </w:tc>
        <w:tc>
          <w:tcPr>
            <w:tcW w:w="594" w:type="dxa"/>
            <w:tcBorders>
              <w:top w:val="single" w:color="000000" w:sz="6" w:space="0"/>
              <w:left w:val="single" w:color="000000" w:sz="6" w:space="0"/>
              <w:right w:val="single" w:color="000000" w:sz="6" w:space="0"/>
            </w:tcBorders>
            <w:vAlign w:val="center"/>
          </w:tcPr>
          <w:p w14:paraId="6DC926E4">
            <w:pPr>
              <w:spacing w:line="240" w:lineRule="auto"/>
              <w:jc w:val="center"/>
              <w:rPr>
                <w:sz w:val="21"/>
                <w:szCs w:val="21"/>
              </w:rPr>
            </w:pPr>
            <w:r>
              <w:rPr>
                <w:rFonts w:hint="eastAsia"/>
                <w:sz w:val="21"/>
                <w:szCs w:val="21"/>
              </w:rPr>
              <w:t>2.15</w:t>
            </w:r>
          </w:p>
        </w:tc>
        <w:tc>
          <w:tcPr>
            <w:tcW w:w="620" w:type="dxa"/>
            <w:tcBorders>
              <w:top w:val="single" w:color="000000" w:sz="6" w:space="0"/>
              <w:left w:val="single" w:color="000000" w:sz="6" w:space="0"/>
              <w:right w:val="single" w:color="000000" w:sz="6" w:space="0"/>
            </w:tcBorders>
            <w:vAlign w:val="center"/>
          </w:tcPr>
          <w:p w14:paraId="034F72D0">
            <w:pPr>
              <w:spacing w:line="240" w:lineRule="auto"/>
              <w:jc w:val="center"/>
              <w:rPr>
                <w:sz w:val="21"/>
                <w:szCs w:val="21"/>
              </w:rPr>
            </w:pPr>
            <w:r>
              <w:rPr>
                <w:rFonts w:hint="eastAsia"/>
                <w:sz w:val="21"/>
                <w:szCs w:val="21"/>
              </w:rPr>
              <w:t>2.06</w:t>
            </w:r>
          </w:p>
        </w:tc>
        <w:tc>
          <w:tcPr>
            <w:tcW w:w="594" w:type="dxa"/>
            <w:tcBorders>
              <w:top w:val="single" w:color="000000" w:sz="6" w:space="0"/>
              <w:left w:val="single" w:color="000000" w:sz="6" w:space="0"/>
              <w:right w:val="single" w:color="000000" w:sz="6" w:space="0"/>
            </w:tcBorders>
            <w:vAlign w:val="center"/>
          </w:tcPr>
          <w:p w14:paraId="31BC4308">
            <w:pPr>
              <w:spacing w:line="240" w:lineRule="auto"/>
              <w:jc w:val="center"/>
              <w:rPr>
                <w:sz w:val="21"/>
                <w:szCs w:val="21"/>
              </w:rPr>
            </w:pPr>
            <w:r>
              <w:rPr>
                <w:rFonts w:hint="eastAsia"/>
                <w:sz w:val="21"/>
                <w:szCs w:val="21"/>
              </w:rPr>
              <w:t>2.49</w:t>
            </w:r>
          </w:p>
        </w:tc>
        <w:tc>
          <w:tcPr>
            <w:tcW w:w="623" w:type="dxa"/>
            <w:tcBorders>
              <w:top w:val="single" w:color="000000" w:sz="6" w:space="0"/>
              <w:left w:val="single" w:color="000000" w:sz="6" w:space="0"/>
              <w:right w:val="single" w:color="000000" w:sz="6" w:space="0"/>
            </w:tcBorders>
            <w:vAlign w:val="center"/>
          </w:tcPr>
          <w:p w14:paraId="43A59EFF">
            <w:pPr>
              <w:spacing w:line="240" w:lineRule="auto"/>
              <w:jc w:val="center"/>
              <w:rPr>
                <w:sz w:val="21"/>
                <w:szCs w:val="21"/>
              </w:rPr>
            </w:pPr>
            <w:r>
              <w:rPr>
                <w:rFonts w:hint="eastAsia"/>
                <w:sz w:val="21"/>
                <w:szCs w:val="21"/>
              </w:rPr>
              <w:t>2.33</w:t>
            </w:r>
          </w:p>
        </w:tc>
        <w:tc>
          <w:tcPr>
            <w:tcW w:w="594" w:type="dxa"/>
            <w:tcBorders>
              <w:top w:val="single" w:color="000000" w:sz="6" w:space="0"/>
              <w:left w:val="single" w:color="000000" w:sz="6" w:space="0"/>
              <w:right w:val="single" w:color="000000" w:sz="6" w:space="0"/>
            </w:tcBorders>
            <w:vAlign w:val="center"/>
          </w:tcPr>
          <w:p w14:paraId="52E35F82">
            <w:pPr>
              <w:spacing w:line="240" w:lineRule="auto"/>
              <w:jc w:val="center"/>
              <w:rPr>
                <w:sz w:val="21"/>
                <w:szCs w:val="21"/>
              </w:rPr>
            </w:pPr>
            <w:r>
              <w:rPr>
                <w:rFonts w:hint="eastAsia"/>
                <w:sz w:val="21"/>
                <w:szCs w:val="21"/>
              </w:rPr>
              <w:t>2.24</w:t>
            </w:r>
          </w:p>
        </w:tc>
        <w:tc>
          <w:tcPr>
            <w:tcW w:w="594" w:type="dxa"/>
            <w:tcBorders>
              <w:top w:val="single" w:color="000000" w:sz="6" w:space="0"/>
              <w:left w:val="single" w:color="000000" w:sz="6" w:space="0"/>
              <w:right w:val="single" w:color="000000" w:sz="6" w:space="0"/>
            </w:tcBorders>
            <w:vAlign w:val="center"/>
          </w:tcPr>
          <w:p w14:paraId="442546AF">
            <w:pPr>
              <w:spacing w:line="240" w:lineRule="auto"/>
              <w:jc w:val="center"/>
              <w:rPr>
                <w:sz w:val="21"/>
                <w:szCs w:val="21"/>
              </w:rPr>
            </w:pPr>
            <w:r>
              <w:rPr>
                <w:rFonts w:hint="eastAsia"/>
                <w:sz w:val="21"/>
                <w:szCs w:val="21"/>
              </w:rPr>
              <w:t>2.32</w:t>
            </w:r>
          </w:p>
        </w:tc>
        <w:tc>
          <w:tcPr>
            <w:tcW w:w="577" w:type="dxa"/>
            <w:tcBorders>
              <w:top w:val="single" w:color="000000" w:sz="6" w:space="0"/>
              <w:left w:val="single" w:color="000000" w:sz="6" w:space="0"/>
              <w:right w:val="single" w:color="000000" w:sz="6" w:space="0"/>
            </w:tcBorders>
            <w:vAlign w:val="center"/>
          </w:tcPr>
          <w:p w14:paraId="6702CFDE">
            <w:pPr>
              <w:spacing w:line="240" w:lineRule="auto"/>
              <w:jc w:val="center"/>
              <w:rPr>
                <w:sz w:val="21"/>
                <w:szCs w:val="21"/>
              </w:rPr>
            </w:pPr>
            <w:r>
              <w:rPr>
                <w:rFonts w:hint="eastAsia"/>
                <w:sz w:val="21"/>
                <w:szCs w:val="21"/>
              </w:rPr>
              <w:t>2.16</w:t>
            </w:r>
          </w:p>
        </w:tc>
        <w:tc>
          <w:tcPr>
            <w:tcW w:w="513" w:type="dxa"/>
            <w:tcBorders>
              <w:top w:val="single" w:color="000000" w:sz="6" w:space="0"/>
              <w:left w:val="single" w:color="000000" w:sz="6" w:space="0"/>
              <w:right w:val="single" w:color="000000" w:sz="6" w:space="0"/>
            </w:tcBorders>
            <w:vAlign w:val="center"/>
          </w:tcPr>
          <w:p w14:paraId="75BB1E48">
            <w:pPr>
              <w:spacing w:line="240" w:lineRule="auto"/>
              <w:jc w:val="center"/>
              <w:rPr>
                <w:sz w:val="21"/>
                <w:szCs w:val="21"/>
              </w:rPr>
            </w:pPr>
            <w:r>
              <w:rPr>
                <w:rFonts w:hint="eastAsia"/>
                <w:sz w:val="21"/>
                <w:szCs w:val="21"/>
              </w:rPr>
              <w:t>2.19</w:t>
            </w:r>
          </w:p>
        </w:tc>
        <w:tc>
          <w:tcPr>
            <w:tcW w:w="738" w:type="dxa"/>
            <w:tcBorders>
              <w:top w:val="single" w:color="000000" w:sz="6" w:space="0"/>
              <w:left w:val="single" w:color="000000" w:sz="6" w:space="0"/>
            </w:tcBorders>
            <w:vAlign w:val="center"/>
          </w:tcPr>
          <w:p w14:paraId="024ADF41">
            <w:pPr>
              <w:spacing w:line="240" w:lineRule="auto"/>
              <w:jc w:val="center"/>
              <w:rPr>
                <w:sz w:val="21"/>
                <w:szCs w:val="21"/>
              </w:rPr>
            </w:pPr>
            <w:r>
              <w:rPr>
                <w:sz w:val="21"/>
                <w:szCs w:val="21"/>
              </w:rPr>
              <w:t>2.2</w:t>
            </w:r>
            <w:r>
              <w:rPr>
                <w:rFonts w:hint="eastAsia"/>
                <w:sz w:val="21"/>
                <w:szCs w:val="21"/>
              </w:rPr>
              <w:t>9</w:t>
            </w:r>
          </w:p>
        </w:tc>
      </w:tr>
    </w:tbl>
    <w:p w14:paraId="5C0A42B0">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⑹风频</w:t>
      </w:r>
    </w:p>
    <w:p w14:paraId="136C70CA">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湘潭地区累年风频最多为N，频率32.45%；其次是NNW，频率14.38%，WSW 最少，频率为0.88%。湘潭地区累年风频统计见表6.2-2。</w:t>
      </w:r>
    </w:p>
    <w:p w14:paraId="20B34004">
      <w:pPr>
        <w:pStyle w:val="51"/>
        <w:numPr>
          <w:ilvl w:val="5"/>
          <w:numId w:val="0"/>
        </w:numPr>
        <w:tabs>
          <w:tab w:val="left" w:pos="4395"/>
        </w:tabs>
        <w:spacing w:before="156"/>
        <w:ind w:firstLine="1054" w:firstLineChars="500"/>
        <w:jc w:val="both"/>
      </w:pPr>
      <w:r>
        <w:rPr>
          <w:rFonts w:hint="default" w:ascii="宋体" w:hAnsi="宋体" w:eastAsia="宋体" w:cs="宋体"/>
          <w:b/>
          <w:bCs/>
          <w:color w:val="auto"/>
          <w:kern w:val="2"/>
          <w:sz w:val="21"/>
          <w:szCs w:val="21"/>
          <w:lang w:val="en-US" w:eastAsia="zh-CN" w:bidi="ar-SA"/>
        </w:rPr>
        <w:t xml:space="preserve">表6.2-2 </w:t>
      </w:r>
      <w:r>
        <w:rPr>
          <w:rFonts w:hint="eastAsia" w:ascii="宋体" w:hAnsi="宋体" w:cs="宋体"/>
          <w:b/>
          <w:bCs/>
          <w:color w:val="auto"/>
          <w:kern w:val="2"/>
          <w:sz w:val="21"/>
          <w:szCs w:val="21"/>
          <w:lang w:val="en-US" w:eastAsia="zh-CN" w:bidi="ar-SA"/>
        </w:rPr>
        <w:t xml:space="preserve"> </w:t>
      </w:r>
      <w:r>
        <w:rPr>
          <w:rFonts w:hint="eastAsia"/>
        </w:rPr>
        <w:t>湘潭地区200</w:t>
      </w:r>
      <w:r>
        <w:rPr>
          <w:rFonts w:hint="eastAsia"/>
          <w:lang w:val="en-US" w:eastAsia="zh-CN"/>
        </w:rPr>
        <w:t>4</w:t>
      </w:r>
      <w:r>
        <w:rPr>
          <w:rFonts w:hint="eastAsia"/>
        </w:rPr>
        <w:t>—202</w:t>
      </w:r>
      <w:r>
        <w:rPr>
          <w:rFonts w:hint="eastAsia"/>
          <w:lang w:val="en-US" w:eastAsia="zh-CN"/>
        </w:rPr>
        <w:t>4</w:t>
      </w:r>
      <w:r>
        <w:rPr>
          <w:rFonts w:hint="eastAsia"/>
        </w:rPr>
        <w:t>年气象指标月变化</w:t>
      </w:r>
    </w:p>
    <w:tbl>
      <w:tblPr>
        <w:tblStyle w:val="31"/>
        <w:tblpPr w:leftFromText="180" w:rightFromText="180" w:vertAnchor="text" w:horzAnchor="page" w:tblpXSpec="center" w:tblpY="78"/>
        <w:tblOverlap w:val="never"/>
        <w:tblW w:w="839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27"/>
        <w:gridCol w:w="850"/>
        <w:gridCol w:w="921"/>
        <w:gridCol w:w="736"/>
        <w:gridCol w:w="983"/>
        <w:gridCol w:w="679"/>
        <w:gridCol w:w="900"/>
        <w:gridCol w:w="850"/>
        <w:gridCol w:w="851"/>
        <w:gridCol w:w="793"/>
      </w:tblGrid>
      <w:tr w14:paraId="0C40252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bottom w:val="single" w:color="000000" w:sz="6" w:space="0"/>
              <w:right w:val="single" w:color="000000" w:sz="6" w:space="0"/>
            </w:tcBorders>
            <w:vAlign w:val="center"/>
          </w:tcPr>
          <w:p w14:paraId="267C559F">
            <w:pPr>
              <w:spacing w:line="240" w:lineRule="auto"/>
              <w:jc w:val="center"/>
              <w:rPr>
                <w:sz w:val="21"/>
                <w:szCs w:val="21"/>
              </w:rPr>
            </w:pPr>
            <w:r>
              <w:rPr>
                <w:sz w:val="21"/>
                <w:szCs w:val="21"/>
              </w:rPr>
              <w:t>月份</w:t>
            </w:r>
          </w:p>
        </w:tc>
        <w:tc>
          <w:tcPr>
            <w:tcW w:w="845" w:type="dxa"/>
            <w:tcBorders>
              <w:left w:val="single" w:color="000000" w:sz="6" w:space="0"/>
              <w:bottom w:val="single" w:color="000000" w:sz="6" w:space="0"/>
              <w:right w:val="single" w:color="000000" w:sz="6" w:space="0"/>
            </w:tcBorders>
            <w:vAlign w:val="center"/>
          </w:tcPr>
          <w:p w14:paraId="79B4541C">
            <w:pPr>
              <w:spacing w:line="240" w:lineRule="auto"/>
              <w:jc w:val="center"/>
              <w:rPr>
                <w:sz w:val="21"/>
                <w:szCs w:val="21"/>
              </w:rPr>
            </w:pPr>
            <w:r>
              <w:rPr>
                <w:sz w:val="21"/>
                <w:szCs w:val="21"/>
              </w:rPr>
              <w:t>NNE</w:t>
            </w:r>
          </w:p>
        </w:tc>
        <w:tc>
          <w:tcPr>
            <w:tcW w:w="915" w:type="dxa"/>
            <w:tcBorders>
              <w:left w:val="single" w:color="000000" w:sz="6" w:space="0"/>
              <w:bottom w:val="single" w:color="000000" w:sz="6" w:space="0"/>
              <w:right w:val="single" w:color="000000" w:sz="6" w:space="0"/>
            </w:tcBorders>
            <w:vAlign w:val="center"/>
          </w:tcPr>
          <w:p w14:paraId="3D7F038F">
            <w:pPr>
              <w:spacing w:line="240" w:lineRule="auto"/>
              <w:jc w:val="center"/>
              <w:rPr>
                <w:sz w:val="21"/>
                <w:szCs w:val="21"/>
              </w:rPr>
            </w:pPr>
            <w:r>
              <w:rPr>
                <w:sz w:val="21"/>
                <w:szCs w:val="21"/>
              </w:rPr>
              <w:t>NE</w:t>
            </w:r>
          </w:p>
        </w:tc>
        <w:tc>
          <w:tcPr>
            <w:tcW w:w="732" w:type="dxa"/>
            <w:tcBorders>
              <w:left w:val="single" w:color="000000" w:sz="6" w:space="0"/>
              <w:bottom w:val="single" w:color="000000" w:sz="6" w:space="0"/>
              <w:right w:val="single" w:color="000000" w:sz="6" w:space="0"/>
            </w:tcBorders>
            <w:vAlign w:val="center"/>
          </w:tcPr>
          <w:p w14:paraId="539072F0">
            <w:pPr>
              <w:spacing w:line="240" w:lineRule="auto"/>
              <w:jc w:val="center"/>
              <w:rPr>
                <w:sz w:val="21"/>
                <w:szCs w:val="21"/>
              </w:rPr>
            </w:pPr>
            <w:r>
              <w:rPr>
                <w:sz w:val="21"/>
                <w:szCs w:val="21"/>
              </w:rPr>
              <w:t>ENE</w:t>
            </w:r>
          </w:p>
        </w:tc>
        <w:tc>
          <w:tcPr>
            <w:tcW w:w="977" w:type="dxa"/>
            <w:tcBorders>
              <w:left w:val="single" w:color="000000" w:sz="6" w:space="0"/>
              <w:bottom w:val="single" w:color="000000" w:sz="6" w:space="0"/>
              <w:right w:val="single" w:color="000000" w:sz="6" w:space="0"/>
            </w:tcBorders>
            <w:vAlign w:val="center"/>
          </w:tcPr>
          <w:p w14:paraId="1F3754A2">
            <w:pPr>
              <w:spacing w:line="240" w:lineRule="auto"/>
              <w:jc w:val="center"/>
              <w:rPr>
                <w:sz w:val="21"/>
                <w:szCs w:val="21"/>
              </w:rPr>
            </w:pPr>
            <w:r>
              <w:rPr>
                <w:sz w:val="21"/>
                <w:szCs w:val="21"/>
              </w:rPr>
              <w:t>E</w:t>
            </w:r>
          </w:p>
        </w:tc>
        <w:tc>
          <w:tcPr>
            <w:tcW w:w="675" w:type="dxa"/>
            <w:tcBorders>
              <w:left w:val="single" w:color="000000" w:sz="6" w:space="0"/>
              <w:bottom w:val="single" w:color="000000" w:sz="6" w:space="0"/>
              <w:right w:val="single" w:color="000000" w:sz="6" w:space="0"/>
            </w:tcBorders>
            <w:vAlign w:val="center"/>
          </w:tcPr>
          <w:p w14:paraId="11F0D2AD">
            <w:pPr>
              <w:spacing w:line="240" w:lineRule="auto"/>
              <w:jc w:val="center"/>
              <w:rPr>
                <w:sz w:val="21"/>
                <w:szCs w:val="21"/>
              </w:rPr>
            </w:pPr>
            <w:r>
              <w:rPr>
                <w:sz w:val="21"/>
                <w:szCs w:val="21"/>
              </w:rPr>
              <w:t>ESE</w:t>
            </w:r>
          </w:p>
        </w:tc>
        <w:tc>
          <w:tcPr>
            <w:tcW w:w="895" w:type="dxa"/>
            <w:tcBorders>
              <w:left w:val="single" w:color="000000" w:sz="6" w:space="0"/>
              <w:bottom w:val="single" w:color="000000" w:sz="6" w:space="0"/>
              <w:right w:val="single" w:color="000000" w:sz="6" w:space="0"/>
            </w:tcBorders>
            <w:vAlign w:val="center"/>
          </w:tcPr>
          <w:p w14:paraId="1AAA4223">
            <w:pPr>
              <w:spacing w:line="240" w:lineRule="auto"/>
              <w:jc w:val="center"/>
              <w:rPr>
                <w:sz w:val="21"/>
                <w:szCs w:val="21"/>
              </w:rPr>
            </w:pPr>
            <w:r>
              <w:rPr>
                <w:sz w:val="21"/>
                <w:szCs w:val="21"/>
              </w:rPr>
              <w:t>SE</w:t>
            </w:r>
          </w:p>
        </w:tc>
        <w:tc>
          <w:tcPr>
            <w:tcW w:w="845" w:type="dxa"/>
            <w:tcBorders>
              <w:left w:val="single" w:color="000000" w:sz="6" w:space="0"/>
              <w:bottom w:val="single" w:color="000000" w:sz="6" w:space="0"/>
              <w:right w:val="single" w:color="000000" w:sz="6" w:space="0"/>
            </w:tcBorders>
            <w:vAlign w:val="center"/>
          </w:tcPr>
          <w:p w14:paraId="25E74CDD">
            <w:pPr>
              <w:spacing w:line="240" w:lineRule="auto"/>
              <w:jc w:val="center"/>
              <w:rPr>
                <w:sz w:val="21"/>
                <w:szCs w:val="21"/>
              </w:rPr>
            </w:pPr>
            <w:r>
              <w:rPr>
                <w:sz w:val="21"/>
                <w:szCs w:val="21"/>
              </w:rPr>
              <w:t>SSE</w:t>
            </w:r>
          </w:p>
        </w:tc>
        <w:tc>
          <w:tcPr>
            <w:tcW w:w="846" w:type="dxa"/>
            <w:tcBorders>
              <w:left w:val="single" w:color="000000" w:sz="6" w:space="0"/>
              <w:bottom w:val="single" w:color="000000" w:sz="6" w:space="0"/>
              <w:right w:val="single" w:color="000000" w:sz="6" w:space="0"/>
            </w:tcBorders>
            <w:vAlign w:val="center"/>
          </w:tcPr>
          <w:p w14:paraId="07C5FBFB">
            <w:pPr>
              <w:spacing w:line="240" w:lineRule="auto"/>
              <w:jc w:val="center"/>
              <w:rPr>
                <w:sz w:val="21"/>
                <w:szCs w:val="21"/>
              </w:rPr>
            </w:pPr>
            <w:r>
              <w:rPr>
                <w:sz w:val="21"/>
                <w:szCs w:val="21"/>
              </w:rPr>
              <w:t>S</w:t>
            </w:r>
          </w:p>
        </w:tc>
        <w:tc>
          <w:tcPr>
            <w:tcW w:w="788" w:type="dxa"/>
            <w:tcBorders>
              <w:left w:val="single" w:color="000000" w:sz="6" w:space="0"/>
              <w:bottom w:val="single" w:color="000000" w:sz="6" w:space="0"/>
            </w:tcBorders>
            <w:vAlign w:val="center"/>
          </w:tcPr>
          <w:p w14:paraId="658A96C2">
            <w:pPr>
              <w:spacing w:line="240" w:lineRule="auto"/>
              <w:jc w:val="center"/>
              <w:rPr>
                <w:sz w:val="21"/>
                <w:szCs w:val="21"/>
              </w:rPr>
            </w:pPr>
            <w:r>
              <w:rPr>
                <w:sz w:val="21"/>
                <w:szCs w:val="21"/>
              </w:rPr>
              <w:t>SSW</w:t>
            </w:r>
          </w:p>
        </w:tc>
      </w:tr>
      <w:tr w14:paraId="769958E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7D4C4E5">
            <w:pPr>
              <w:spacing w:line="240" w:lineRule="auto"/>
              <w:jc w:val="center"/>
              <w:rPr>
                <w:sz w:val="21"/>
                <w:szCs w:val="21"/>
              </w:rPr>
            </w:pPr>
            <w:r>
              <w:rPr>
                <w:sz w:val="21"/>
                <w:szCs w:val="21"/>
              </w:rPr>
              <w:t>1月</w:t>
            </w:r>
          </w:p>
        </w:tc>
        <w:tc>
          <w:tcPr>
            <w:tcW w:w="845" w:type="dxa"/>
            <w:tcBorders>
              <w:top w:val="single" w:color="000000" w:sz="6" w:space="0"/>
              <w:left w:val="single" w:color="000000" w:sz="6" w:space="0"/>
              <w:bottom w:val="single" w:color="000000" w:sz="6" w:space="0"/>
              <w:right w:val="single" w:color="000000" w:sz="6" w:space="0"/>
            </w:tcBorders>
            <w:vAlign w:val="center"/>
          </w:tcPr>
          <w:p w14:paraId="0D6EE562">
            <w:pPr>
              <w:spacing w:line="240" w:lineRule="auto"/>
              <w:jc w:val="center"/>
              <w:rPr>
                <w:sz w:val="21"/>
                <w:szCs w:val="21"/>
              </w:rPr>
            </w:pPr>
            <w:r>
              <w:rPr>
                <w:rFonts w:hint="eastAsia"/>
                <w:sz w:val="21"/>
                <w:szCs w:val="21"/>
              </w:rPr>
              <w:t>10.85</w:t>
            </w:r>
          </w:p>
        </w:tc>
        <w:tc>
          <w:tcPr>
            <w:tcW w:w="915" w:type="dxa"/>
            <w:tcBorders>
              <w:top w:val="single" w:color="000000" w:sz="6" w:space="0"/>
              <w:left w:val="single" w:color="000000" w:sz="6" w:space="0"/>
              <w:bottom w:val="single" w:color="000000" w:sz="6" w:space="0"/>
              <w:right w:val="single" w:color="000000" w:sz="6" w:space="0"/>
            </w:tcBorders>
            <w:vAlign w:val="center"/>
          </w:tcPr>
          <w:p w14:paraId="25540075">
            <w:pPr>
              <w:spacing w:line="240" w:lineRule="auto"/>
              <w:jc w:val="center"/>
              <w:rPr>
                <w:sz w:val="21"/>
                <w:szCs w:val="21"/>
              </w:rPr>
            </w:pPr>
            <w:r>
              <w:rPr>
                <w:rFonts w:hint="eastAsia"/>
                <w:sz w:val="21"/>
                <w:szCs w:val="21"/>
              </w:rPr>
              <w:t>3.38</w:t>
            </w:r>
          </w:p>
        </w:tc>
        <w:tc>
          <w:tcPr>
            <w:tcW w:w="732" w:type="dxa"/>
            <w:tcBorders>
              <w:top w:val="single" w:color="000000" w:sz="6" w:space="0"/>
              <w:left w:val="single" w:color="000000" w:sz="6" w:space="0"/>
              <w:bottom w:val="single" w:color="000000" w:sz="6" w:space="0"/>
              <w:right w:val="single" w:color="000000" w:sz="6" w:space="0"/>
            </w:tcBorders>
            <w:vAlign w:val="center"/>
          </w:tcPr>
          <w:p w14:paraId="0E5BF200">
            <w:pPr>
              <w:spacing w:line="240" w:lineRule="auto"/>
              <w:jc w:val="center"/>
              <w:rPr>
                <w:sz w:val="21"/>
                <w:szCs w:val="21"/>
              </w:rPr>
            </w:pPr>
            <w:r>
              <w:rPr>
                <w:rFonts w:hint="eastAsia"/>
                <w:sz w:val="21"/>
                <w:szCs w:val="21"/>
              </w:rPr>
              <w:t>1.35</w:t>
            </w:r>
          </w:p>
        </w:tc>
        <w:tc>
          <w:tcPr>
            <w:tcW w:w="977" w:type="dxa"/>
            <w:tcBorders>
              <w:top w:val="single" w:color="000000" w:sz="6" w:space="0"/>
              <w:left w:val="single" w:color="000000" w:sz="6" w:space="0"/>
              <w:bottom w:val="single" w:color="000000" w:sz="6" w:space="0"/>
              <w:right w:val="single" w:color="000000" w:sz="6" w:space="0"/>
            </w:tcBorders>
            <w:vAlign w:val="center"/>
          </w:tcPr>
          <w:p w14:paraId="545097E2">
            <w:pPr>
              <w:spacing w:line="240" w:lineRule="auto"/>
              <w:jc w:val="center"/>
              <w:rPr>
                <w:sz w:val="21"/>
                <w:szCs w:val="21"/>
              </w:rPr>
            </w:pPr>
            <w:r>
              <w:rPr>
                <w:rFonts w:hint="eastAsia"/>
                <w:sz w:val="21"/>
                <w:szCs w:val="21"/>
              </w:rPr>
              <w:t>1.47</w:t>
            </w:r>
          </w:p>
        </w:tc>
        <w:tc>
          <w:tcPr>
            <w:tcW w:w="675" w:type="dxa"/>
            <w:tcBorders>
              <w:top w:val="single" w:color="000000" w:sz="6" w:space="0"/>
              <w:left w:val="single" w:color="000000" w:sz="6" w:space="0"/>
              <w:bottom w:val="single" w:color="000000" w:sz="6" w:space="0"/>
              <w:right w:val="single" w:color="000000" w:sz="6" w:space="0"/>
            </w:tcBorders>
            <w:vAlign w:val="center"/>
          </w:tcPr>
          <w:p w14:paraId="7DEFE475">
            <w:pPr>
              <w:spacing w:line="240" w:lineRule="auto"/>
              <w:jc w:val="center"/>
              <w:rPr>
                <w:sz w:val="21"/>
                <w:szCs w:val="21"/>
              </w:rPr>
            </w:pPr>
            <w:r>
              <w:rPr>
                <w:rFonts w:hint="eastAsia"/>
                <w:sz w:val="21"/>
                <w:szCs w:val="21"/>
              </w:rPr>
              <w:t>1.67</w:t>
            </w:r>
          </w:p>
        </w:tc>
        <w:tc>
          <w:tcPr>
            <w:tcW w:w="895" w:type="dxa"/>
            <w:tcBorders>
              <w:top w:val="single" w:color="000000" w:sz="6" w:space="0"/>
              <w:left w:val="single" w:color="000000" w:sz="6" w:space="0"/>
              <w:bottom w:val="single" w:color="000000" w:sz="6" w:space="0"/>
              <w:right w:val="single" w:color="000000" w:sz="6" w:space="0"/>
            </w:tcBorders>
            <w:vAlign w:val="center"/>
          </w:tcPr>
          <w:p w14:paraId="733B245A">
            <w:pPr>
              <w:spacing w:line="240" w:lineRule="auto"/>
              <w:jc w:val="center"/>
              <w:rPr>
                <w:sz w:val="21"/>
                <w:szCs w:val="21"/>
              </w:rPr>
            </w:pPr>
            <w:r>
              <w:rPr>
                <w:rFonts w:hint="eastAsia"/>
                <w:sz w:val="21"/>
                <w:szCs w:val="21"/>
              </w:rPr>
              <w:t>3.27</w:t>
            </w:r>
          </w:p>
        </w:tc>
        <w:tc>
          <w:tcPr>
            <w:tcW w:w="845" w:type="dxa"/>
            <w:tcBorders>
              <w:top w:val="single" w:color="000000" w:sz="6" w:space="0"/>
              <w:left w:val="single" w:color="000000" w:sz="6" w:space="0"/>
              <w:bottom w:val="single" w:color="000000" w:sz="6" w:space="0"/>
              <w:right w:val="single" w:color="000000" w:sz="6" w:space="0"/>
            </w:tcBorders>
            <w:vAlign w:val="center"/>
          </w:tcPr>
          <w:p w14:paraId="62C1F30A">
            <w:pPr>
              <w:spacing w:line="240" w:lineRule="auto"/>
              <w:jc w:val="center"/>
              <w:rPr>
                <w:sz w:val="21"/>
                <w:szCs w:val="21"/>
              </w:rPr>
            </w:pPr>
            <w:r>
              <w:rPr>
                <w:rFonts w:hint="eastAsia"/>
                <w:sz w:val="21"/>
                <w:szCs w:val="21"/>
              </w:rPr>
              <w:t>2.87</w:t>
            </w:r>
          </w:p>
        </w:tc>
        <w:tc>
          <w:tcPr>
            <w:tcW w:w="846" w:type="dxa"/>
            <w:tcBorders>
              <w:top w:val="single" w:color="000000" w:sz="6" w:space="0"/>
              <w:left w:val="single" w:color="000000" w:sz="6" w:space="0"/>
              <w:bottom w:val="single" w:color="000000" w:sz="6" w:space="0"/>
              <w:right w:val="single" w:color="000000" w:sz="6" w:space="0"/>
            </w:tcBorders>
            <w:vAlign w:val="center"/>
          </w:tcPr>
          <w:p w14:paraId="299C8402">
            <w:pPr>
              <w:spacing w:line="240" w:lineRule="auto"/>
              <w:jc w:val="center"/>
              <w:rPr>
                <w:sz w:val="21"/>
                <w:szCs w:val="21"/>
              </w:rPr>
            </w:pPr>
            <w:r>
              <w:rPr>
                <w:rFonts w:hint="eastAsia"/>
                <w:sz w:val="21"/>
                <w:szCs w:val="21"/>
              </w:rPr>
              <w:t>5.34</w:t>
            </w:r>
          </w:p>
        </w:tc>
        <w:tc>
          <w:tcPr>
            <w:tcW w:w="788" w:type="dxa"/>
            <w:tcBorders>
              <w:top w:val="single" w:color="000000" w:sz="6" w:space="0"/>
              <w:left w:val="single" w:color="000000" w:sz="6" w:space="0"/>
              <w:bottom w:val="single" w:color="000000" w:sz="6" w:space="0"/>
            </w:tcBorders>
            <w:vAlign w:val="center"/>
          </w:tcPr>
          <w:p w14:paraId="445E3AA1">
            <w:pPr>
              <w:spacing w:line="240" w:lineRule="auto"/>
              <w:jc w:val="center"/>
              <w:rPr>
                <w:sz w:val="21"/>
                <w:szCs w:val="21"/>
              </w:rPr>
            </w:pPr>
            <w:r>
              <w:rPr>
                <w:rFonts w:hint="eastAsia"/>
                <w:sz w:val="21"/>
                <w:szCs w:val="21"/>
              </w:rPr>
              <w:t>1.98</w:t>
            </w:r>
          </w:p>
        </w:tc>
      </w:tr>
      <w:tr w14:paraId="0963573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BE09823">
            <w:pPr>
              <w:spacing w:line="240" w:lineRule="auto"/>
              <w:jc w:val="center"/>
              <w:rPr>
                <w:sz w:val="21"/>
                <w:szCs w:val="21"/>
              </w:rPr>
            </w:pPr>
            <w:r>
              <w:rPr>
                <w:sz w:val="21"/>
                <w:szCs w:val="21"/>
              </w:rPr>
              <w:t>2月</w:t>
            </w:r>
          </w:p>
        </w:tc>
        <w:tc>
          <w:tcPr>
            <w:tcW w:w="845" w:type="dxa"/>
            <w:tcBorders>
              <w:top w:val="single" w:color="000000" w:sz="6" w:space="0"/>
              <w:left w:val="single" w:color="000000" w:sz="6" w:space="0"/>
              <w:bottom w:val="single" w:color="000000" w:sz="6" w:space="0"/>
              <w:right w:val="single" w:color="000000" w:sz="6" w:space="0"/>
            </w:tcBorders>
            <w:vAlign w:val="center"/>
          </w:tcPr>
          <w:p w14:paraId="2B2EB8F1">
            <w:pPr>
              <w:spacing w:line="240" w:lineRule="auto"/>
              <w:jc w:val="center"/>
              <w:rPr>
                <w:sz w:val="21"/>
                <w:szCs w:val="21"/>
              </w:rPr>
            </w:pPr>
            <w:r>
              <w:rPr>
                <w:rFonts w:hint="eastAsia"/>
                <w:sz w:val="21"/>
                <w:szCs w:val="21"/>
              </w:rPr>
              <w:t>10.37</w:t>
            </w:r>
          </w:p>
        </w:tc>
        <w:tc>
          <w:tcPr>
            <w:tcW w:w="915" w:type="dxa"/>
            <w:tcBorders>
              <w:top w:val="single" w:color="000000" w:sz="6" w:space="0"/>
              <w:left w:val="single" w:color="000000" w:sz="6" w:space="0"/>
              <w:bottom w:val="single" w:color="000000" w:sz="6" w:space="0"/>
              <w:right w:val="single" w:color="000000" w:sz="6" w:space="0"/>
            </w:tcBorders>
            <w:vAlign w:val="center"/>
          </w:tcPr>
          <w:p w14:paraId="12F7B2F0">
            <w:pPr>
              <w:spacing w:line="240" w:lineRule="auto"/>
              <w:jc w:val="center"/>
              <w:rPr>
                <w:sz w:val="21"/>
                <w:szCs w:val="21"/>
              </w:rPr>
            </w:pPr>
            <w:r>
              <w:rPr>
                <w:rFonts w:hint="eastAsia"/>
                <w:sz w:val="21"/>
                <w:szCs w:val="21"/>
              </w:rPr>
              <w:t>3.51</w:t>
            </w:r>
          </w:p>
        </w:tc>
        <w:tc>
          <w:tcPr>
            <w:tcW w:w="732" w:type="dxa"/>
            <w:tcBorders>
              <w:top w:val="single" w:color="000000" w:sz="6" w:space="0"/>
              <w:left w:val="single" w:color="000000" w:sz="6" w:space="0"/>
              <w:bottom w:val="single" w:color="000000" w:sz="6" w:space="0"/>
              <w:right w:val="single" w:color="000000" w:sz="6" w:space="0"/>
            </w:tcBorders>
            <w:vAlign w:val="center"/>
          </w:tcPr>
          <w:p w14:paraId="65636ADC">
            <w:pPr>
              <w:spacing w:line="240" w:lineRule="auto"/>
              <w:jc w:val="center"/>
              <w:rPr>
                <w:sz w:val="21"/>
                <w:szCs w:val="21"/>
              </w:rPr>
            </w:pPr>
            <w:r>
              <w:rPr>
                <w:rFonts w:hint="eastAsia"/>
                <w:sz w:val="21"/>
                <w:szCs w:val="21"/>
              </w:rPr>
              <w:t>1.45</w:t>
            </w:r>
          </w:p>
        </w:tc>
        <w:tc>
          <w:tcPr>
            <w:tcW w:w="977" w:type="dxa"/>
            <w:tcBorders>
              <w:top w:val="single" w:color="000000" w:sz="6" w:space="0"/>
              <w:left w:val="single" w:color="000000" w:sz="6" w:space="0"/>
              <w:bottom w:val="single" w:color="000000" w:sz="6" w:space="0"/>
              <w:right w:val="single" w:color="000000" w:sz="6" w:space="0"/>
            </w:tcBorders>
            <w:vAlign w:val="center"/>
          </w:tcPr>
          <w:p w14:paraId="6C71B40C">
            <w:pPr>
              <w:spacing w:line="240" w:lineRule="auto"/>
              <w:jc w:val="center"/>
              <w:rPr>
                <w:sz w:val="21"/>
                <w:szCs w:val="21"/>
              </w:rPr>
            </w:pPr>
            <w:r>
              <w:rPr>
                <w:rFonts w:hint="eastAsia"/>
                <w:sz w:val="21"/>
                <w:szCs w:val="21"/>
              </w:rPr>
              <w:t>1.53</w:t>
            </w:r>
          </w:p>
        </w:tc>
        <w:tc>
          <w:tcPr>
            <w:tcW w:w="675" w:type="dxa"/>
            <w:tcBorders>
              <w:top w:val="single" w:color="000000" w:sz="6" w:space="0"/>
              <w:left w:val="single" w:color="000000" w:sz="6" w:space="0"/>
              <w:bottom w:val="single" w:color="000000" w:sz="6" w:space="0"/>
              <w:right w:val="single" w:color="000000" w:sz="6" w:space="0"/>
            </w:tcBorders>
            <w:vAlign w:val="center"/>
          </w:tcPr>
          <w:p w14:paraId="14D95643">
            <w:pPr>
              <w:spacing w:line="240" w:lineRule="auto"/>
              <w:jc w:val="center"/>
              <w:rPr>
                <w:sz w:val="21"/>
                <w:szCs w:val="21"/>
              </w:rPr>
            </w:pPr>
            <w:r>
              <w:rPr>
                <w:rFonts w:hint="eastAsia"/>
                <w:sz w:val="21"/>
                <w:szCs w:val="21"/>
              </w:rPr>
              <w:t>1.86</w:t>
            </w:r>
          </w:p>
        </w:tc>
        <w:tc>
          <w:tcPr>
            <w:tcW w:w="895" w:type="dxa"/>
            <w:tcBorders>
              <w:top w:val="single" w:color="000000" w:sz="6" w:space="0"/>
              <w:left w:val="single" w:color="000000" w:sz="6" w:space="0"/>
              <w:bottom w:val="single" w:color="000000" w:sz="6" w:space="0"/>
              <w:right w:val="single" w:color="000000" w:sz="6" w:space="0"/>
            </w:tcBorders>
            <w:vAlign w:val="center"/>
          </w:tcPr>
          <w:p w14:paraId="5F627267">
            <w:pPr>
              <w:spacing w:line="240" w:lineRule="auto"/>
              <w:jc w:val="center"/>
              <w:rPr>
                <w:sz w:val="21"/>
                <w:szCs w:val="21"/>
              </w:rPr>
            </w:pPr>
            <w:r>
              <w:rPr>
                <w:rFonts w:hint="eastAsia"/>
                <w:sz w:val="21"/>
                <w:szCs w:val="21"/>
              </w:rPr>
              <w:t>3.96</w:t>
            </w:r>
          </w:p>
        </w:tc>
        <w:tc>
          <w:tcPr>
            <w:tcW w:w="845" w:type="dxa"/>
            <w:tcBorders>
              <w:top w:val="single" w:color="000000" w:sz="6" w:space="0"/>
              <w:left w:val="single" w:color="000000" w:sz="6" w:space="0"/>
              <w:bottom w:val="single" w:color="000000" w:sz="6" w:space="0"/>
              <w:right w:val="single" w:color="000000" w:sz="6" w:space="0"/>
            </w:tcBorders>
            <w:vAlign w:val="center"/>
          </w:tcPr>
          <w:p w14:paraId="5F9F4EE1">
            <w:pPr>
              <w:spacing w:line="240" w:lineRule="auto"/>
              <w:jc w:val="center"/>
              <w:rPr>
                <w:sz w:val="21"/>
                <w:szCs w:val="21"/>
              </w:rPr>
            </w:pPr>
            <w:r>
              <w:rPr>
                <w:rFonts w:hint="eastAsia"/>
                <w:sz w:val="21"/>
                <w:szCs w:val="21"/>
              </w:rPr>
              <w:t>3.81</w:t>
            </w:r>
          </w:p>
        </w:tc>
        <w:tc>
          <w:tcPr>
            <w:tcW w:w="846" w:type="dxa"/>
            <w:tcBorders>
              <w:top w:val="single" w:color="000000" w:sz="6" w:space="0"/>
              <w:left w:val="single" w:color="000000" w:sz="6" w:space="0"/>
              <w:bottom w:val="single" w:color="000000" w:sz="6" w:space="0"/>
              <w:right w:val="single" w:color="000000" w:sz="6" w:space="0"/>
            </w:tcBorders>
            <w:vAlign w:val="center"/>
          </w:tcPr>
          <w:p w14:paraId="0BAA5284">
            <w:pPr>
              <w:spacing w:line="240" w:lineRule="auto"/>
              <w:jc w:val="center"/>
              <w:rPr>
                <w:sz w:val="21"/>
                <w:szCs w:val="21"/>
              </w:rPr>
            </w:pPr>
            <w:r>
              <w:rPr>
                <w:rFonts w:hint="eastAsia"/>
                <w:sz w:val="21"/>
                <w:szCs w:val="21"/>
              </w:rPr>
              <w:t>6.12</w:t>
            </w:r>
          </w:p>
        </w:tc>
        <w:tc>
          <w:tcPr>
            <w:tcW w:w="788" w:type="dxa"/>
            <w:tcBorders>
              <w:top w:val="single" w:color="000000" w:sz="6" w:space="0"/>
              <w:left w:val="single" w:color="000000" w:sz="6" w:space="0"/>
              <w:bottom w:val="single" w:color="000000" w:sz="6" w:space="0"/>
            </w:tcBorders>
            <w:vAlign w:val="center"/>
          </w:tcPr>
          <w:p w14:paraId="25972BB3">
            <w:pPr>
              <w:spacing w:line="240" w:lineRule="auto"/>
              <w:jc w:val="center"/>
              <w:rPr>
                <w:sz w:val="21"/>
                <w:szCs w:val="21"/>
              </w:rPr>
            </w:pPr>
            <w:r>
              <w:rPr>
                <w:rFonts w:hint="eastAsia"/>
                <w:sz w:val="21"/>
                <w:szCs w:val="21"/>
              </w:rPr>
              <w:t>2.46</w:t>
            </w:r>
          </w:p>
        </w:tc>
      </w:tr>
      <w:tr w14:paraId="31FBC4B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190CCDF8">
            <w:pPr>
              <w:spacing w:line="240" w:lineRule="auto"/>
              <w:jc w:val="center"/>
              <w:rPr>
                <w:sz w:val="21"/>
                <w:szCs w:val="21"/>
              </w:rPr>
            </w:pPr>
            <w:r>
              <w:rPr>
                <w:sz w:val="21"/>
                <w:szCs w:val="21"/>
              </w:rPr>
              <w:t>3月</w:t>
            </w:r>
          </w:p>
        </w:tc>
        <w:tc>
          <w:tcPr>
            <w:tcW w:w="845" w:type="dxa"/>
            <w:tcBorders>
              <w:top w:val="single" w:color="000000" w:sz="6" w:space="0"/>
              <w:left w:val="single" w:color="000000" w:sz="6" w:space="0"/>
              <w:bottom w:val="single" w:color="000000" w:sz="6" w:space="0"/>
              <w:right w:val="single" w:color="000000" w:sz="6" w:space="0"/>
            </w:tcBorders>
            <w:vAlign w:val="center"/>
          </w:tcPr>
          <w:p w14:paraId="0EBF738C">
            <w:pPr>
              <w:spacing w:line="240" w:lineRule="auto"/>
              <w:jc w:val="center"/>
              <w:rPr>
                <w:sz w:val="21"/>
                <w:szCs w:val="21"/>
              </w:rPr>
            </w:pPr>
            <w:r>
              <w:rPr>
                <w:rFonts w:hint="eastAsia"/>
                <w:sz w:val="21"/>
                <w:szCs w:val="21"/>
              </w:rPr>
              <w:t>10.41</w:t>
            </w:r>
          </w:p>
        </w:tc>
        <w:tc>
          <w:tcPr>
            <w:tcW w:w="915" w:type="dxa"/>
            <w:tcBorders>
              <w:top w:val="single" w:color="000000" w:sz="6" w:space="0"/>
              <w:left w:val="single" w:color="000000" w:sz="6" w:space="0"/>
              <w:bottom w:val="single" w:color="000000" w:sz="6" w:space="0"/>
              <w:right w:val="single" w:color="000000" w:sz="6" w:space="0"/>
            </w:tcBorders>
            <w:vAlign w:val="center"/>
          </w:tcPr>
          <w:p w14:paraId="742CD11E">
            <w:pPr>
              <w:spacing w:line="240" w:lineRule="auto"/>
              <w:jc w:val="center"/>
              <w:rPr>
                <w:sz w:val="21"/>
                <w:szCs w:val="21"/>
              </w:rPr>
            </w:pPr>
            <w:r>
              <w:rPr>
                <w:rFonts w:hint="eastAsia"/>
                <w:sz w:val="21"/>
                <w:szCs w:val="21"/>
              </w:rPr>
              <w:t>4.02</w:t>
            </w:r>
          </w:p>
        </w:tc>
        <w:tc>
          <w:tcPr>
            <w:tcW w:w="732" w:type="dxa"/>
            <w:tcBorders>
              <w:top w:val="single" w:color="000000" w:sz="6" w:space="0"/>
              <w:left w:val="single" w:color="000000" w:sz="6" w:space="0"/>
              <w:bottom w:val="single" w:color="000000" w:sz="6" w:space="0"/>
              <w:right w:val="single" w:color="000000" w:sz="6" w:space="0"/>
            </w:tcBorders>
            <w:vAlign w:val="center"/>
          </w:tcPr>
          <w:p w14:paraId="751CBBD9">
            <w:pPr>
              <w:spacing w:line="240" w:lineRule="auto"/>
              <w:jc w:val="center"/>
              <w:rPr>
                <w:sz w:val="21"/>
                <w:szCs w:val="21"/>
              </w:rPr>
            </w:pPr>
            <w:r>
              <w:rPr>
                <w:rFonts w:hint="eastAsia"/>
                <w:sz w:val="21"/>
                <w:szCs w:val="21"/>
              </w:rPr>
              <w:t>1.62</w:t>
            </w:r>
          </w:p>
        </w:tc>
        <w:tc>
          <w:tcPr>
            <w:tcW w:w="977" w:type="dxa"/>
            <w:tcBorders>
              <w:top w:val="single" w:color="000000" w:sz="6" w:space="0"/>
              <w:left w:val="single" w:color="000000" w:sz="6" w:space="0"/>
              <w:bottom w:val="single" w:color="000000" w:sz="6" w:space="0"/>
              <w:right w:val="single" w:color="000000" w:sz="6" w:space="0"/>
            </w:tcBorders>
            <w:vAlign w:val="center"/>
          </w:tcPr>
          <w:p w14:paraId="5CDAB3A8">
            <w:pPr>
              <w:spacing w:line="240" w:lineRule="auto"/>
              <w:jc w:val="center"/>
              <w:rPr>
                <w:sz w:val="21"/>
                <w:szCs w:val="21"/>
              </w:rPr>
            </w:pPr>
            <w:r>
              <w:rPr>
                <w:rFonts w:hint="eastAsia"/>
                <w:sz w:val="21"/>
                <w:szCs w:val="21"/>
              </w:rPr>
              <w:t>1.75</w:t>
            </w:r>
          </w:p>
        </w:tc>
        <w:tc>
          <w:tcPr>
            <w:tcW w:w="675" w:type="dxa"/>
            <w:tcBorders>
              <w:top w:val="single" w:color="000000" w:sz="6" w:space="0"/>
              <w:left w:val="single" w:color="000000" w:sz="6" w:space="0"/>
              <w:bottom w:val="single" w:color="000000" w:sz="6" w:space="0"/>
              <w:right w:val="single" w:color="000000" w:sz="6" w:space="0"/>
            </w:tcBorders>
            <w:vAlign w:val="center"/>
          </w:tcPr>
          <w:p w14:paraId="1123E12F">
            <w:pPr>
              <w:spacing w:line="240" w:lineRule="auto"/>
              <w:jc w:val="center"/>
              <w:rPr>
                <w:sz w:val="21"/>
                <w:szCs w:val="21"/>
              </w:rPr>
            </w:pPr>
            <w:r>
              <w:rPr>
                <w:rFonts w:hint="eastAsia"/>
                <w:sz w:val="21"/>
                <w:szCs w:val="21"/>
              </w:rPr>
              <w:t>2.34</w:t>
            </w:r>
          </w:p>
        </w:tc>
        <w:tc>
          <w:tcPr>
            <w:tcW w:w="895" w:type="dxa"/>
            <w:tcBorders>
              <w:top w:val="single" w:color="000000" w:sz="6" w:space="0"/>
              <w:left w:val="single" w:color="000000" w:sz="6" w:space="0"/>
              <w:bottom w:val="single" w:color="000000" w:sz="6" w:space="0"/>
              <w:right w:val="single" w:color="000000" w:sz="6" w:space="0"/>
            </w:tcBorders>
            <w:vAlign w:val="center"/>
          </w:tcPr>
          <w:p w14:paraId="43C65214">
            <w:pPr>
              <w:spacing w:line="240" w:lineRule="auto"/>
              <w:jc w:val="center"/>
              <w:rPr>
                <w:sz w:val="21"/>
                <w:szCs w:val="21"/>
              </w:rPr>
            </w:pPr>
            <w:r>
              <w:rPr>
                <w:rFonts w:hint="eastAsia"/>
                <w:sz w:val="21"/>
                <w:szCs w:val="21"/>
              </w:rPr>
              <w:t>4.75</w:t>
            </w:r>
          </w:p>
        </w:tc>
        <w:tc>
          <w:tcPr>
            <w:tcW w:w="845" w:type="dxa"/>
            <w:tcBorders>
              <w:top w:val="single" w:color="000000" w:sz="6" w:space="0"/>
              <w:left w:val="single" w:color="000000" w:sz="6" w:space="0"/>
              <w:bottom w:val="single" w:color="000000" w:sz="6" w:space="0"/>
              <w:right w:val="single" w:color="000000" w:sz="6" w:space="0"/>
            </w:tcBorders>
            <w:vAlign w:val="center"/>
          </w:tcPr>
          <w:p w14:paraId="66D402EF">
            <w:pPr>
              <w:spacing w:line="240" w:lineRule="auto"/>
              <w:jc w:val="center"/>
              <w:rPr>
                <w:sz w:val="21"/>
                <w:szCs w:val="21"/>
              </w:rPr>
            </w:pPr>
            <w:r>
              <w:rPr>
                <w:rFonts w:hint="eastAsia"/>
                <w:sz w:val="21"/>
                <w:szCs w:val="21"/>
              </w:rPr>
              <w:t>5.67</w:t>
            </w:r>
          </w:p>
        </w:tc>
        <w:tc>
          <w:tcPr>
            <w:tcW w:w="846" w:type="dxa"/>
            <w:tcBorders>
              <w:top w:val="single" w:color="000000" w:sz="6" w:space="0"/>
              <w:left w:val="single" w:color="000000" w:sz="6" w:space="0"/>
              <w:bottom w:val="single" w:color="000000" w:sz="6" w:space="0"/>
              <w:right w:val="single" w:color="000000" w:sz="6" w:space="0"/>
            </w:tcBorders>
            <w:vAlign w:val="center"/>
          </w:tcPr>
          <w:p w14:paraId="74D802E6">
            <w:pPr>
              <w:spacing w:line="240" w:lineRule="auto"/>
              <w:jc w:val="center"/>
              <w:rPr>
                <w:sz w:val="21"/>
                <w:szCs w:val="21"/>
              </w:rPr>
            </w:pPr>
            <w:r>
              <w:rPr>
                <w:rFonts w:hint="eastAsia"/>
                <w:sz w:val="21"/>
                <w:szCs w:val="21"/>
              </w:rPr>
              <w:t>7.75</w:t>
            </w:r>
          </w:p>
        </w:tc>
        <w:tc>
          <w:tcPr>
            <w:tcW w:w="788" w:type="dxa"/>
            <w:tcBorders>
              <w:top w:val="single" w:color="000000" w:sz="6" w:space="0"/>
              <w:left w:val="single" w:color="000000" w:sz="6" w:space="0"/>
              <w:bottom w:val="single" w:color="000000" w:sz="6" w:space="0"/>
            </w:tcBorders>
            <w:vAlign w:val="center"/>
          </w:tcPr>
          <w:p w14:paraId="5D5EE508">
            <w:pPr>
              <w:spacing w:line="240" w:lineRule="auto"/>
              <w:jc w:val="center"/>
              <w:rPr>
                <w:sz w:val="21"/>
                <w:szCs w:val="21"/>
              </w:rPr>
            </w:pPr>
            <w:r>
              <w:rPr>
                <w:rFonts w:hint="eastAsia"/>
                <w:sz w:val="21"/>
                <w:szCs w:val="21"/>
              </w:rPr>
              <w:t>3.29</w:t>
            </w:r>
          </w:p>
        </w:tc>
      </w:tr>
      <w:tr w14:paraId="477B9AD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4412CF3">
            <w:pPr>
              <w:spacing w:line="240" w:lineRule="auto"/>
              <w:jc w:val="center"/>
              <w:rPr>
                <w:sz w:val="21"/>
                <w:szCs w:val="21"/>
              </w:rPr>
            </w:pPr>
            <w:r>
              <w:rPr>
                <w:sz w:val="21"/>
                <w:szCs w:val="21"/>
              </w:rPr>
              <w:t>4月</w:t>
            </w:r>
          </w:p>
        </w:tc>
        <w:tc>
          <w:tcPr>
            <w:tcW w:w="845" w:type="dxa"/>
            <w:tcBorders>
              <w:top w:val="single" w:color="000000" w:sz="6" w:space="0"/>
              <w:left w:val="single" w:color="000000" w:sz="6" w:space="0"/>
              <w:bottom w:val="single" w:color="000000" w:sz="6" w:space="0"/>
              <w:right w:val="single" w:color="000000" w:sz="6" w:space="0"/>
            </w:tcBorders>
            <w:vAlign w:val="center"/>
          </w:tcPr>
          <w:p w14:paraId="707B8924">
            <w:pPr>
              <w:spacing w:line="240" w:lineRule="auto"/>
              <w:jc w:val="center"/>
              <w:rPr>
                <w:sz w:val="21"/>
                <w:szCs w:val="21"/>
              </w:rPr>
            </w:pPr>
            <w:r>
              <w:rPr>
                <w:rFonts w:hint="eastAsia"/>
                <w:sz w:val="21"/>
                <w:szCs w:val="21"/>
              </w:rPr>
              <w:t>10</w:t>
            </w:r>
          </w:p>
        </w:tc>
        <w:tc>
          <w:tcPr>
            <w:tcW w:w="915" w:type="dxa"/>
            <w:tcBorders>
              <w:top w:val="single" w:color="000000" w:sz="6" w:space="0"/>
              <w:left w:val="single" w:color="000000" w:sz="6" w:space="0"/>
              <w:bottom w:val="single" w:color="000000" w:sz="6" w:space="0"/>
              <w:right w:val="single" w:color="000000" w:sz="6" w:space="0"/>
            </w:tcBorders>
            <w:vAlign w:val="center"/>
          </w:tcPr>
          <w:p w14:paraId="5D2E7A2D">
            <w:pPr>
              <w:spacing w:line="240" w:lineRule="auto"/>
              <w:jc w:val="center"/>
              <w:rPr>
                <w:sz w:val="21"/>
                <w:szCs w:val="21"/>
              </w:rPr>
            </w:pPr>
            <w:r>
              <w:rPr>
                <w:rFonts w:hint="eastAsia"/>
                <w:sz w:val="21"/>
                <w:szCs w:val="21"/>
              </w:rPr>
              <w:t>3.91</w:t>
            </w:r>
          </w:p>
        </w:tc>
        <w:tc>
          <w:tcPr>
            <w:tcW w:w="732" w:type="dxa"/>
            <w:tcBorders>
              <w:top w:val="single" w:color="000000" w:sz="6" w:space="0"/>
              <w:left w:val="single" w:color="000000" w:sz="6" w:space="0"/>
              <w:bottom w:val="single" w:color="000000" w:sz="6" w:space="0"/>
              <w:right w:val="single" w:color="000000" w:sz="6" w:space="0"/>
            </w:tcBorders>
            <w:vAlign w:val="center"/>
          </w:tcPr>
          <w:p w14:paraId="29A277BA">
            <w:pPr>
              <w:spacing w:line="240" w:lineRule="auto"/>
              <w:jc w:val="center"/>
              <w:rPr>
                <w:sz w:val="21"/>
                <w:szCs w:val="21"/>
              </w:rPr>
            </w:pPr>
            <w:r>
              <w:rPr>
                <w:rFonts w:hint="eastAsia"/>
                <w:sz w:val="21"/>
                <w:szCs w:val="21"/>
              </w:rPr>
              <w:t>1.45</w:t>
            </w:r>
          </w:p>
        </w:tc>
        <w:tc>
          <w:tcPr>
            <w:tcW w:w="977" w:type="dxa"/>
            <w:tcBorders>
              <w:top w:val="single" w:color="000000" w:sz="6" w:space="0"/>
              <w:left w:val="single" w:color="000000" w:sz="6" w:space="0"/>
              <w:bottom w:val="single" w:color="000000" w:sz="6" w:space="0"/>
              <w:right w:val="single" w:color="000000" w:sz="6" w:space="0"/>
            </w:tcBorders>
            <w:vAlign w:val="center"/>
          </w:tcPr>
          <w:p w14:paraId="39B7D9D8">
            <w:pPr>
              <w:spacing w:line="240" w:lineRule="auto"/>
              <w:jc w:val="center"/>
              <w:rPr>
                <w:sz w:val="21"/>
                <w:szCs w:val="21"/>
              </w:rPr>
            </w:pPr>
            <w:r>
              <w:rPr>
                <w:rFonts w:hint="eastAsia"/>
                <w:sz w:val="21"/>
                <w:szCs w:val="21"/>
              </w:rPr>
              <w:t>1.49</w:t>
            </w:r>
          </w:p>
        </w:tc>
        <w:tc>
          <w:tcPr>
            <w:tcW w:w="675" w:type="dxa"/>
            <w:tcBorders>
              <w:top w:val="single" w:color="000000" w:sz="6" w:space="0"/>
              <w:left w:val="single" w:color="000000" w:sz="6" w:space="0"/>
              <w:bottom w:val="single" w:color="000000" w:sz="6" w:space="0"/>
              <w:right w:val="single" w:color="000000" w:sz="6" w:space="0"/>
            </w:tcBorders>
            <w:vAlign w:val="center"/>
          </w:tcPr>
          <w:p w14:paraId="7DB35915">
            <w:pPr>
              <w:spacing w:line="240" w:lineRule="auto"/>
              <w:jc w:val="center"/>
              <w:rPr>
                <w:sz w:val="21"/>
                <w:szCs w:val="21"/>
              </w:rPr>
            </w:pPr>
            <w:r>
              <w:rPr>
                <w:rFonts w:hint="eastAsia"/>
                <w:sz w:val="21"/>
                <w:szCs w:val="21"/>
              </w:rPr>
              <w:t>2.14</w:t>
            </w:r>
          </w:p>
        </w:tc>
        <w:tc>
          <w:tcPr>
            <w:tcW w:w="895" w:type="dxa"/>
            <w:tcBorders>
              <w:top w:val="single" w:color="000000" w:sz="6" w:space="0"/>
              <w:left w:val="single" w:color="000000" w:sz="6" w:space="0"/>
              <w:bottom w:val="single" w:color="000000" w:sz="6" w:space="0"/>
              <w:right w:val="single" w:color="000000" w:sz="6" w:space="0"/>
            </w:tcBorders>
            <w:vAlign w:val="center"/>
          </w:tcPr>
          <w:p w14:paraId="7670AA90">
            <w:pPr>
              <w:spacing w:line="240" w:lineRule="auto"/>
              <w:jc w:val="center"/>
              <w:rPr>
                <w:sz w:val="21"/>
                <w:szCs w:val="21"/>
              </w:rPr>
            </w:pPr>
            <w:r>
              <w:rPr>
                <w:rFonts w:hint="eastAsia"/>
                <w:sz w:val="21"/>
                <w:szCs w:val="21"/>
              </w:rPr>
              <w:t>5.37</w:t>
            </w:r>
          </w:p>
        </w:tc>
        <w:tc>
          <w:tcPr>
            <w:tcW w:w="845" w:type="dxa"/>
            <w:tcBorders>
              <w:top w:val="single" w:color="000000" w:sz="6" w:space="0"/>
              <w:left w:val="single" w:color="000000" w:sz="6" w:space="0"/>
              <w:bottom w:val="single" w:color="000000" w:sz="6" w:space="0"/>
              <w:right w:val="single" w:color="000000" w:sz="6" w:space="0"/>
            </w:tcBorders>
            <w:vAlign w:val="center"/>
          </w:tcPr>
          <w:p w14:paraId="693BA363">
            <w:pPr>
              <w:spacing w:line="240" w:lineRule="auto"/>
              <w:jc w:val="center"/>
              <w:rPr>
                <w:sz w:val="21"/>
                <w:szCs w:val="21"/>
              </w:rPr>
            </w:pPr>
            <w:r>
              <w:rPr>
                <w:rFonts w:hint="eastAsia"/>
                <w:sz w:val="21"/>
                <w:szCs w:val="21"/>
              </w:rPr>
              <w:t>7.16</w:t>
            </w:r>
          </w:p>
        </w:tc>
        <w:tc>
          <w:tcPr>
            <w:tcW w:w="846" w:type="dxa"/>
            <w:tcBorders>
              <w:top w:val="single" w:color="000000" w:sz="6" w:space="0"/>
              <w:left w:val="single" w:color="000000" w:sz="6" w:space="0"/>
              <w:bottom w:val="single" w:color="000000" w:sz="6" w:space="0"/>
              <w:right w:val="single" w:color="000000" w:sz="6" w:space="0"/>
            </w:tcBorders>
            <w:vAlign w:val="center"/>
          </w:tcPr>
          <w:p w14:paraId="279F5968">
            <w:pPr>
              <w:spacing w:line="240" w:lineRule="auto"/>
              <w:jc w:val="center"/>
              <w:rPr>
                <w:sz w:val="21"/>
                <w:szCs w:val="21"/>
              </w:rPr>
            </w:pPr>
            <w:r>
              <w:rPr>
                <w:rFonts w:hint="eastAsia"/>
                <w:sz w:val="21"/>
                <w:szCs w:val="21"/>
              </w:rPr>
              <w:t>9.49</w:t>
            </w:r>
          </w:p>
        </w:tc>
        <w:tc>
          <w:tcPr>
            <w:tcW w:w="788" w:type="dxa"/>
            <w:tcBorders>
              <w:top w:val="single" w:color="000000" w:sz="6" w:space="0"/>
              <w:left w:val="single" w:color="000000" w:sz="6" w:space="0"/>
              <w:bottom w:val="single" w:color="000000" w:sz="6" w:space="0"/>
            </w:tcBorders>
            <w:vAlign w:val="center"/>
          </w:tcPr>
          <w:p w14:paraId="01F2C828">
            <w:pPr>
              <w:spacing w:line="240" w:lineRule="auto"/>
              <w:jc w:val="center"/>
              <w:rPr>
                <w:sz w:val="21"/>
                <w:szCs w:val="21"/>
              </w:rPr>
            </w:pPr>
            <w:r>
              <w:rPr>
                <w:rFonts w:hint="eastAsia"/>
                <w:sz w:val="21"/>
                <w:szCs w:val="21"/>
              </w:rPr>
              <w:t>3.9</w:t>
            </w:r>
          </w:p>
        </w:tc>
      </w:tr>
      <w:tr w14:paraId="7CFC8C3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55042EFC">
            <w:pPr>
              <w:spacing w:line="240" w:lineRule="auto"/>
              <w:jc w:val="center"/>
              <w:rPr>
                <w:sz w:val="21"/>
                <w:szCs w:val="21"/>
              </w:rPr>
            </w:pPr>
            <w:r>
              <w:rPr>
                <w:sz w:val="21"/>
                <w:szCs w:val="21"/>
              </w:rPr>
              <w:t>5月</w:t>
            </w:r>
          </w:p>
        </w:tc>
        <w:tc>
          <w:tcPr>
            <w:tcW w:w="845" w:type="dxa"/>
            <w:tcBorders>
              <w:top w:val="single" w:color="000000" w:sz="6" w:space="0"/>
              <w:left w:val="single" w:color="000000" w:sz="6" w:space="0"/>
              <w:bottom w:val="single" w:color="000000" w:sz="6" w:space="0"/>
              <w:right w:val="single" w:color="000000" w:sz="6" w:space="0"/>
            </w:tcBorders>
            <w:vAlign w:val="center"/>
          </w:tcPr>
          <w:p w14:paraId="432800F5">
            <w:pPr>
              <w:spacing w:line="240" w:lineRule="auto"/>
              <w:jc w:val="center"/>
              <w:rPr>
                <w:sz w:val="21"/>
                <w:szCs w:val="21"/>
              </w:rPr>
            </w:pPr>
            <w:r>
              <w:rPr>
                <w:rFonts w:hint="eastAsia"/>
                <w:sz w:val="21"/>
                <w:szCs w:val="21"/>
              </w:rPr>
              <w:t>9.77</w:t>
            </w:r>
          </w:p>
        </w:tc>
        <w:tc>
          <w:tcPr>
            <w:tcW w:w="915" w:type="dxa"/>
            <w:tcBorders>
              <w:top w:val="single" w:color="000000" w:sz="6" w:space="0"/>
              <w:left w:val="single" w:color="000000" w:sz="6" w:space="0"/>
              <w:bottom w:val="single" w:color="000000" w:sz="6" w:space="0"/>
              <w:right w:val="single" w:color="000000" w:sz="6" w:space="0"/>
            </w:tcBorders>
            <w:vAlign w:val="center"/>
          </w:tcPr>
          <w:p w14:paraId="28C2AC72">
            <w:pPr>
              <w:spacing w:line="240" w:lineRule="auto"/>
              <w:jc w:val="center"/>
              <w:rPr>
                <w:sz w:val="21"/>
                <w:szCs w:val="21"/>
              </w:rPr>
            </w:pPr>
            <w:r>
              <w:rPr>
                <w:rFonts w:hint="eastAsia"/>
                <w:sz w:val="21"/>
                <w:szCs w:val="21"/>
              </w:rPr>
              <w:t>3.99</w:t>
            </w:r>
          </w:p>
        </w:tc>
        <w:tc>
          <w:tcPr>
            <w:tcW w:w="732" w:type="dxa"/>
            <w:tcBorders>
              <w:top w:val="single" w:color="000000" w:sz="6" w:space="0"/>
              <w:left w:val="single" w:color="000000" w:sz="6" w:space="0"/>
              <w:bottom w:val="single" w:color="000000" w:sz="6" w:space="0"/>
              <w:right w:val="single" w:color="000000" w:sz="6" w:space="0"/>
            </w:tcBorders>
            <w:vAlign w:val="center"/>
          </w:tcPr>
          <w:p w14:paraId="776F0FDA">
            <w:pPr>
              <w:spacing w:line="240" w:lineRule="auto"/>
              <w:jc w:val="center"/>
              <w:rPr>
                <w:sz w:val="21"/>
                <w:szCs w:val="21"/>
              </w:rPr>
            </w:pPr>
            <w:r>
              <w:rPr>
                <w:rFonts w:hint="eastAsia"/>
                <w:sz w:val="21"/>
                <w:szCs w:val="21"/>
              </w:rPr>
              <w:t>1.66</w:t>
            </w:r>
          </w:p>
        </w:tc>
        <w:tc>
          <w:tcPr>
            <w:tcW w:w="977" w:type="dxa"/>
            <w:tcBorders>
              <w:top w:val="single" w:color="000000" w:sz="6" w:space="0"/>
              <w:left w:val="single" w:color="000000" w:sz="6" w:space="0"/>
              <w:bottom w:val="single" w:color="000000" w:sz="6" w:space="0"/>
              <w:right w:val="single" w:color="000000" w:sz="6" w:space="0"/>
            </w:tcBorders>
            <w:vAlign w:val="center"/>
          </w:tcPr>
          <w:p w14:paraId="6F7875C0">
            <w:pPr>
              <w:spacing w:line="240" w:lineRule="auto"/>
              <w:jc w:val="center"/>
              <w:rPr>
                <w:sz w:val="21"/>
                <w:szCs w:val="21"/>
              </w:rPr>
            </w:pPr>
            <w:r>
              <w:rPr>
                <w:rFonts w:hint="eastAsia"/>
                <w:sz w:val="21"/>
                <w:szCs w:val="21"/>
              </w:rPr>
              <w:t>1.42</w:t>
            </w:r>
          </w:p>
        </w:tc>
        <w:tc>
          <w:tcPr>
            <w:tcW w:w="675" w:type="dxa"/>
            <w:tcBorders>
              <w:top w:val="single" w:color="000000" w:sz="6" w:space="0"/>
              <w:left w:val="single" w:color="000000" w:sz="6" w:space="0"/>
              <w:bottom w:val="single" w:color="000000" w:sz="6" w:space="0"/>
              <w:right w:val="single" w:color="000000" w:sz="6" w:space="0"/>
            </w:tcBorders>
            <w:vAlign w:val="center"/>
          </w:tcPr>
          <w:p w14:paraId="449CFADD">
            <w:pPr>
              <w:spacing w:line="240" w:lineRule="auto"/>
              <w:jc w:val="center"/>
              <w:rPr>
                <w:sz w:val="21"/>
                <w:szCs w:val="21"/>
              </w:rPr>
            </w:pPr>
            <w:r>
              <w:rPr>
                <w:rFonts w:hint="eastAsia"/>
                <w:sz w:val="21"/>
                <w:szCs w:val="21"/>
              </w:rPr>
              <w:t>1.58</w:t>
            </w:r>
          </w:p>
        </w:tc>
        <w:tc>
          <w:tcPr>
            <w:tcW w:w="895" w:type="dxa"/>
            <w:tcBorders>
              <w:top w:val="single" w:color="000000" w:sz="6" w:space="0"/>
              <w:left w:val="single" w:color="000000" w:sz="6" w:space="0"/>
              <w:bottom w:val="single" w:color="000000" w:sz="6" w:space="0"/>
              <w:right w:val="single" w:color="000000" w:sz="6" w:space="0"/>
            </w:tcBorders>
            <w:vAlign w:val="center"/>
          </w:tcPr>
          <w:p w14:paraId="6F6764B1">
            <w:pPr>
              <w:spacing w:line="240" w:lineRule="auto"/>
              <w:jc w:val="center"/>
              <w:rPr>
                <w:sz w:val="21"/>
                <w:szCs w:val="21"/>
              </w:rPr>
            </w:pPr>
            <w:r>
              <w:rPr>
                <w:rFonts w:hint="eastAsia"/>
                <w:sz w:val="21"/>
                <w:szCs w:val="21"/>
              </w:rPr>
              <w:t>4.39</w:t>
            </w:r>
          </w:p>
        </w:tc>
        <w:tc>
          <w:tcPr>
            <w:tcW w:w="845" w:type="dxa"/>
            <w:tcBorders>
              <w:top w:val="single" w:color="000000" w:sz="6" w:space="0"/>
              <w:left w:val="single" w:color="000000" w:sz="6" w:space="0"/>
              <w:bottom w:val="single" w:color="000000" w:sz="6" w:space="0"/>
              <w:right w:val="single" w:color="000000" w:sz="6" w:space="0"/>
            </w:tcBorders>
            <w:vAlign w:val="center"/>
          </w:tcPr>
          <w:p w14:paraId="0FF60EB8">
            <w:pPr>
              <w:spacing w:line="240" w:lineRule="auto"/>
              <w:jc w:val="center"/>
              <w:rPr>
                <w:sz w:val="21"/>
                <w:szCs w:val="21"/>
              </w:rPr>
            </w:pPr>
            <w:r>
              <w:rPr>
                <w:rFonts w:hint="eastAsia"/>
                <w:sz w:val="21"/>
                <w:szCs w:val="21"/>
              </w:rPr>
              <w:t>6.37</w:t>
            </w:r>
          </w:p>
        </w:tc>
        <w:tc>
          <w:tcPr>
            <w:tcW w:w="846" w:type="dxa"/>
            <w:tcBorders>
              <w:top w:val="single" w:color="000000" w:sz="6" w:space="0"/>
              <w:left w:val="single" w:color="000000" w:sz="6" w:space="0"/>
              <w:bottom w:val="single" w:color="000000" w:sz="6" w:space="0"/>
              <w:right w:val="single" w:color="000000" w:sz="6" w:space="0"/>
            </w:tcBorders>
            <w:vAlign w:val="center"/>
          </w:tcPr>
          <w:p w14:paraId="7AC41BA6">
            <w:pPr>
              <w:spacing w:line="240" w:lineRule="auto"/>
              <w:jc w:val="center"/>
              <w:rPr>
                <w:sz w:val="21"/>
                <w:szCs w:val="21"/>
              </w:rPr>
            </w:pPr>
            <w:r>
              <w:rPr>
                <w:rFonts w:hint="eastAsia"/>
                <w:sz w:val="21"/>
                <w:szCs w:val="21"/>
              </w:rPr>
              <w:t>9.34</w:t>
            </w:r>
          </w:p>
        </w:tc>
        <w:tc>
          <w:tcPr>
            <w:tcW w:w="788" w:type="dxa"/>
            <w:tcBorders>
              <w:top w:val="single" w:color="000000" w:sz="6" w:space="0"/>
              <w:left w:val="single" w:color="000000" w:sz="6" w:space="0"/>
              <w:bottom w:val="single" w:color="000000" w:sz="6" w:space="0"/>
            </w:tcBorders>
            <w:vAlign w:val="center"/>
          </w:tcPr>
          <w:p w14:paraId="7DDFC700">
            <w:pPr>
              <w:spacing w:line="240" w:lineRule="auto"/>
              <w:jc w:val="center"/>
              <w:rPr>
                <w:sz w:val="21"/>
                <w:szCs w:val="21"/>
              </w:rPr>
            </w:pPr>
            <w:r>
              <w:rPr>
                <w:rFonts w:hint="eastAsia"/>
                <w:sz w:val="21"/>
                <w:szCs w:val="21"/>
              </w:rPr>
              <w:t>4.12</w:t>
            </w:r>
          </w:p>
        </w:tc>
      </w:tr>
      <w:tr w14:paraId="4D27F70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154D3605">
            <w:pPr>
              <w:spacing w:line="240" w:lineRule="auto"/>
              <w:jc w:val="center"/>
              <w:rPr>
                <w:sz w:val="21"/>
                <w:szCs w:val="21"/>
              </w:rPr>
            </w:pPr>
            <w:r>
              <w:rPr>
                <w:sz w:val="21"/>
                <w:szCs w:val="21"/>
              </w:rPr>
              <w:t>6月</w:t>
            </w:r>
          </w:p>
        </w:tc>
        <w:tc>
          <w:tcPr>
            <w:tcW w:w="845" w:type="dxa"/>
            <w:tcBorders>
              <w:top w:val="single" w:color="000000" w:sz="6" w:space="0"/>
              <w:left w:val="single" w:color="000000" w:sz="6" w:space="0"/>
              <w:bottom w:val="single" w:color="000000" w:sz="6" w:space="0"/>
              <w:right w:val="single" w:color="000000" w:sz="6" w:space="0"/>
            </w:tcBorders>
            <w:vAlign w:val="center"/>
          </w:tcPr>
          <w:p w14:paraId="768DE935">
            <w:pPr>
              <w:spacing w:line="240" w:lineRule="auto"/>
              <w:jc w:val="center"/>
              <w:rPr>
                <w:sz w:val="21"/>
                <w:szCs w:val="21"/>
              </w:rPr>
            </w:pPr>
            <w:r>
              <w:rPr>
                <w:rFonts w:hint="eastAsia"/>
                <w:sz w:val="21"/>
                <w:szCs w:val="21"/>
              </w:rPr>
              <w:t>9.7</w:t>
            </w:r>
          </w:p>
        </w:tc>
        <w:tc>
          <w:tcPr>
            <w:tcW w:w="915" w:type="dxa"/>
            <w:tcBorders>
              <w:top w:val="single" w:color="000000" w:sz="6" w:space="0"/>
              <w:left w:val="single" w:color="000000" w:sz="6" w:space="0"/>
              <w:bottom w:val="single" w:color="000000" w:sz="6" w:space="0"/>
              <w:right w:val="single" w:color="000000" w:sz="6" w:space="0"/>
            </w:tcBorders>
            <w:vAlign w:val="center"/>
          </w:tcPr>
          <w:p w14:paraId="09FC46DE">
            <w:pPr>
              <w:spacing w:line="240" w:lineRule="auto"/>
              <w:jc w:val="center"/>
              <w:rPr>
                <w:sz w:val="21"/>
                <w:szCs w:val="21"/>
              </w:rPr>
            </w:pPr>
            <w:r>
              <w:rPr>
                <w:rFonts w:hint="eastAsia"/>
                <w:sz w:val="21"/>
                <w:szCs w:val="21"/>
              </w:rPr>
              <w:t>4.28</w:t>
            </w:r>
          </w:p>
        </w:tc>
        <w:tc>
          <w:tcPr>
            <w:tcW w:w="732" w:type="dxa"/>
            <w:tcBorders>
              <w:top w:val="single" w:color="000000" w:sz="6" w:space="0"/>
              <w:left w:val="single" w:color="000000" w:sz="6" w:space="0"/>
              <w:bottom w:val="single" w:color="000000" w:sz="6" w:space="0"/>
              <w:right w:val="single" w:color="000000" w:sz="6" w:space="0"/>
            </w:tcBorders>
            <w:vAlign w:val="center"/>
          </w:tcPr>
          <w:p w14:paraId="121C2E9A">
            <w:pPr>
              <w:spacing w:line="240" w:lineRule="auto"/>
              <w:jc w:val="center"/>
              <w:rPr>
                <w:sz w:val="21"/>
                <w:szCs w:val="21"/>
              </w:rPr>
            </w:pPr>
            <w:r>
              <w:rPr>
                <w:rFonts w:hint="eastAsia"/>
                <w:sz w:val="21"/>
                <w:szCs w:val="21"/>
              </w:rPr>
              <w:t>1.79</w:t>
            </w:r>
          </w:p>
        </w:tc>
        <w:tc>
          <w:tcPr>
            <w:tcW w:w="977" w:type="dxa"/>
            <w:tcBorders>
              <w:top w:val="single" w:color="000000" w:sz="6" w:space="0"/>
              <w:left w:val="single" w:color="000000" w:sz="6" w:space="0"/>
              <w:bottom w:val="single" w:color="000000" w:sz="6" w:space="0"/>
              <w:right w:val="single" w:color="000000" w:sz="6" w:space="0"/>
            </w:tcBorders>
            <w:vAlign w:val="center"/>
          </w:tcPr>
          <w:p w14:paraId="5921E8C0">
            <w:pPr>
              <w:spacing w:line="240" w:lineRule="auto"/>
              <w:jc w:val="center"/>
              <w:rPr>
                <w:sz w:val="21"/>
                <w:szCs w:val="21"/>
              </w:rPr>
            </w:pPr>
            <w:r>
              <w:rPr>
                <w:rFonts w:hint="eastAsia"/>
                <w:sz w:val="21"/>
                <w:szCs w:val="21"/>
              </w:rPr>
              <w:t>1.47</w:t>
            </w:r>
          </w:p>
        </w:tc>
        <w:tc>
          <w:tcPr>
            <w:tcW w:w="675" w:type="dxa"/>
            <w:tcBorders>
              <w:top w:val="single" w:color="000000" w:sz="6" w:space="0"/>
              <w:left w:val="single" w:color="000000" w:sz="6" w:space="0"/>
              <w:bottom w:val="single" w:color="000000" w:sz="6" w:space="0"/>
              <w:right w:val="single" w:color="000000" w:sz="6" w:space="0"/>
            </w:tcBorders>
            <w:vAlign w:val="center"/>
          </w:tcPr>
          <w:p w14:paraId="522004A0">
            <w:pPr>
              <w:spacing w:line="240" w:lineRule="auto"/>
              <w:jc w:val="center"/>
              <w:rPr>
                <w:sz w:val="21"/>
                <w:szCs w:val="21"/>
              </w:rPr>
            </w:pPr>
            <w:r>
              <w:rPr>
                <w:rFonts w:hint="eastAsia"/>
                <w:sz w:val="21"/>
                <w:szCs w:val="21"/>
              </w:rPr>
              <w:t>1.71</w:t>
            </w:r>
          </w:p>
        </w:tc>
        <w:tc>
          <w:tcPr>
            <w:tcW w:w="895" w:type="dxa"/>
            <w:tcBorders>
              <w:top w:val="single" w:color="000000" w:sz="6" w:space="0"/>
              <w:left w:val="single" w:color="000000" w:sz="6" w:space="0"/>
              <w:bottom w:val="single" w:color="000000" w:sz="6" w:space="0"/>
              <w:right w:val="single" w:color="000000" w:sz="6" w:space="0"/>
            </w:tcBorders>
            <w:vAlign w:val="center"/>
          </w:tcPr>
          <w:p w14:paraId="2D64B6A9">
            <w:pPr>
              <w:spacing w:line="240" w:lineRule="auto"/>
              <w:jc w:val="center"/>
              <w:rPr>
                <w:sz w:val="21"/>
                <w:szCs w:val="21"/>
              </w:rPr>
            </w:pPr>
            <w:r>
              <w:rPr>
                <w:rFonts w:hint="eastAsia"/>
                <w:sz w:val="21"/>
                <w:szCs w:val="21"/>
              </w:rPr>
              <w:t>4.62</w:t>
            </w:r>
          </w:p>
        </w:tc>
        <w:tc>
          <w:tcPr>
            <w:tcW w:w="845" w:type="dxa"/>
            <w:tcBorders>
              <w:top w:val="single" w:color="000000" w:sz="6" w:space="0"/>
              <w:left w:val="single" w:color="000000" w:sz="6" w:space="0"/>
              <w:bottom w:val="single" w:color="000000" w:sz="6" w:space="0"/>
              <w:right w:val="single" w:color="000000" w:sz="6" w:space="0"/>
            </w:tcBorders>
            <w:vAlign w:val="center"/>
          </w:tcPr>
          <w:p w14:paraId="3E843E1B">
            <w:pPr>
              <w:spacing w:line="240" w:lineRule="auto"/>
              <w:jc w:val="center"/>
              <w:rPr>
                <w:sz w:val="21"/>
                <w:szCs w:val="21"/>
              </w:rPr>
            </w:pPr>
            <w:r>
              <w:rPr>
                <w:rFonts w:hint="eastAsia"/>
                <w:sz w:val="21"/>
                <w:szCs w:val="21"/>
              </w:rPr>
              <w:t>8.08</w:t>
            </w:r>
          </w:p>
        </w:tc>
        <w:tc>
          <w:tcPr>
            <w:tcW w:w="846" w:type="dxa"/>
            <w:tcBorders>
              <w:top w:val="single" w:color="000000" w:sz="6" w:space="0"/>
              <w:left w:val="single" w:color="000000" w:sz="6" w:space="0"/>
              <w:bottom w:val="single" w:color="000000" w:sz="6" w:space="0"/>
              <w:right w:val="single" w:color="000000" w:sz="6" w:space="0"/>
            </w:tcBorders>
            <w:vAlign w:val="center"/>
          </w:tcPr>
          <w:p w14:paraId="482AED6F">
            <w:pPr>
              <w:spacing w:line="240" w:lineRule="auto"/>
              <w:jc w:val="center"/>
              <w:rPr>
                <w:sz w:val="21"/>
                <w:szCs w:val="21"/>
              </w:rPr>
            </w:pPr>
            <w:r>
              <w:rPr>
                <w:rFonts w:hint="eastAsia"/>
                <w:sz w:val="21"/>
                <w:szCs w:val="21"/>
              </w:rPr>
              <w:t>12.53</w:t>
            </w:r>
          </w:p>
        </w:tc>
        <w:tc>
          <w:tcPr>
            <w:tcW w:w="788" w:type="dxa"/>
            <w:tcBorders>
              <w:top w:val="single" w:color="000000" w:sz="6" w:space="0"/>
              <w:left w:val="single" w:color="000000" w:sz="6" w:space="0"/>
              <w:bottom w:val="single" w:color="000000" w:sz="6" w:space="0"/>
            </w:tcBorders>
            <w:vAlign w:val="center"/>
          </w:tcPr>
          <w:p w14:paraId="4BBA0165">
            <w:pPr>
              <w:spacing w:line="240" w:lineRule="auto"/>
              <w:jc w:val="center"/>
              <w:rPr>
                <w:sz w:val="21"/>
                <w:szCs w:val="21"/>
              </w:rPr>
            </w:pPr>
            <w:r>
              <w:rPr>
                <w:rFonts w:hint="eastAsia"/>
                <w:sz w:val="21"/>
                <w:szCs w:val="21"/>
              </w:rPr>
              <w:t>6.09</w:t>
            </w:r>
          </w:p>
        </w:tc>
      </w:tr>
      <w:tr w14:paraId="6CC3D7F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9746478">
            <w:pPr>
              <w:spacing w:line="240" w:lineRule="auto"/>
              <w:jc w:val="center"/>
              <w:rPr>
                <w:sz w:val="21"/>
                <w:szCs w:val="21"/>
              </w:rPr>
            </w:pPr>
            <w:r>
              <w:rPr>
                <w:sz w:val="21"/>
                <w:szCs w:val="21"/>
              </w:rPr>
              <w:t>7月</w:t>
            </w:r>
          </w:p>
        </w:tc>
        <w:tc>
          <w:tcPr>
            <w:tcW w:w="845" w:type="dxa"/>
            <w:tcBorders>
              <w:top w:val="single" w:color="000000" w:sz="6" w:space="0"/>
              <w:left w:val="single" w:color="000000" w:sz="6" w:space="0"/>
              <w:bottom w:val="single" w:color="000000" w:sz="6" w:space="0"/>
              <w:right w:val="single" w:color="000000" w:sz="6" w:space="0"/>
            </w:tcBorders>
            <w:vAlign w:val="center"/>
          </w:tcPr>
          <w:p w14:paraId="70CB58FA">
            <w:pPr>
              <w:spacing w:line="240" w:lineRule="auto"/>
              <w:jc w:val="center"/>
              <w:rPr>
                <w:sz w:val="21"/>
                <w:szCs w:val="21"/>
              </w:rPr>
            </w:pPr>
            <w:r>
              <w:rPr>
                <w:rFonts w:hint="eastAsia"/>
                <w:sz w:val="21"/>
                <w:szCs w:val="21"/>
              </w:rPr>
              <w:t>7.24</w:t>
            </w:r>
          </w:p>
        </w:tc>
        <w:tc>
          <w:tcPr>
            <w:tcW w:w="915" w:type="dxa"/>
            <w:tcBorders>
              <w:top w:val="single" w:color="000000" w:sz="6" w:space="0"/>
              <w:left w:val="single" w:color="000000" w:sz="6" w:space="0"/>
              <w:bottom w:val="single" w:color="000000" w:sz="6" w:space="0"/>
              <w:right w:val="single" w:color="000000" w:sz="6" w:space="0"/>
            </w:tcBorders>
            <w:vAlign w:val="center"/>
          </w:tcPr>
          <w:p w14:paraId="56A1890F">
            <w:pPr>
              <w:spacing w:line="240" w:lineRule="auto"/>
              <w:jc w:val="center"/>
              <w:rPr>
                <w:sz w:val="21"/>
                <w:szCs w:val="21"/>
              </w:rPr>
            </w:pPr>
            <w:r>
              <w:rPr>
                <w:rFonts w:hint="eastAsia"/>
                <w:sz w:val="21"/>
                <w:szCs w:val="21"/>
              </w:rPr>
              <w:t>3.51</w:t>
            </w:r>
          </w:p>
        </w:tc>
        <w:tc>
          <w:tcPr>
            <w:tcW w:w="732" w:type="dxa"/>
            <w:tcBorders>
              <w:top w:val="single" w:color="000000" w:sz="6" w:space="0"/>
              <w:left w:val="single" w:color="000000" w:sz="6" w:space="0"/>
              <w:bottom w:val="single" w:color="000000" w:sz="6" w:space="0"/>
              <w:right w:val="single" w:color="000000" w:sz="6" w:space="0"/>
            </w:tcBorders>
            <w:vAlign w:val="center"/>
          </w:tcPr>
          <w:p w14:paraId="59D5A60B">
            <w:pPr>
              <w:spacing w:line="240" w:lineRule="auto"/>
              <w:jc w:val="center"/>
              <w:rPr>
                <w:sz w:val="21"/>
                <w:szCs w:val="21"/>
              </w:rPr>
            </w:pPr>
            <w:r>
              <w:rPr>
                <w:rFonts w:hint="eastAsia"/>
                <w:sz w:val="21"/>
                <w:szCs w:val="21"/>
              </w:rPr>
              <w:t>1.09</w:t>
            </w:r>
          </w:p>
        </w:tc>
        <w:tc>
          <w:tcPr>
            <w:tcW w:w="977" w:type="dxa"/>
            <w:tcBorders>
              <w:top w:val="single" w:color="000000" w:sz="6" w:space="0"/>
              <w:left w:val="single" w:color="000000" w:sz="6" w:space="0"/>
              <w:bottom w:val="single" w:color="000000" w:sz="6" w:space="0"/>
              <w:right w:val="single" w:color="000000" w:sz="6" w:space="0"/>
            </w:tcBorders>
            <w:vAlign w:val="center"/>
          </w:tcPr>
          <w:p w14:paraId="14A2631B">
            <w:pPr>
              <w:spacing w:line="240" w:lineRule="auto"/>
              <w:jc w:val="center"/>
              <w:rPr>
                <w:sz w:val="21"/>
                <w:szCs w:val="21"/>
              </w:rPr>
            </w:pPr>
            <w:r>
              <w:rPr>
                <w:rFonts w:hint="eastAsia"/>
                <w:sz w:val="21"/>
                <w:szCs w:val="21"/>
              </w:rPr>
              <w:t>1.28</w:t>
            </w:r>
          </w:p>
        </w:tc>
        <w:tc>
          <w:tcPr>
            <w:tcW w:w="675" w:type="dxa"/>
            <w:tcBorders>
              <w:top w:val="single" w:color="000000" w:sz="6" w:space="0"/>
              <w:left w:val="single" w:color="000000" w:sz="6" w:space="0"/>
              <w:bottom w:val="single" w:color="000000" w:sz="6" w:space="0"/>
              <w:right w:val="single" w:color="000000" w:sz="6" w:space="0"/>
            </w:tcBorders>
            <w:vAlign w:val="center"/>
          </w:tcPr>
          <w:p w14:paraId="034DB259">
            <w:pPr>
              <w:spacing w:line="240" w:lineRule="auto"/>
              <w:jc w:val="center"/>
              <w:rPr>
                <w:sz w:val="21"/>
                <w:szCs w:val="21"/>
              </w:rPr>
            </w:pPr>
            <w:r>
              <w:rPr>
                <w:rFonts w:hint="eastAsia"/>
                <w:sz w:val="21"/>
                <w:szCs w:val="21"/>
              </w:rPr>
              <w:t>1.5</w:t>
            </w:r>
          </w:p>
        </w:tc>
        <w:tc>
          <w:tcPr>
            <w:tcW w:w="895" w:type="dxa"/>
            <w:tcBorders>
              <w:top w:val="single" w:color="000000" w:sz="6" w:space="0"/>
              <w:left w:val="single" w:color="000000" w:sz="6" w:space="0"/>
              <w:bottom w:val="single" w:color="000000" w:sz="6" w:space="0"/>
              <w:right w:val="single" w:color="000000" w:sz="6" w:space="0"/>
            </w:tcBorders>
            <w:vAlign w:val="center"/>
          </w:tcPr>
          <w:p w14:paraId="7E1C258D">
            <w:pPr>
              <w:spacing w:line="240" w:lineRule="auto"/>
              <w:jc w:val="center"/>
              <w:rPr>
                <w:sz w:val="21"/>
                <w:szCs w:val="21"/>
              </w:rPr>
            </w:pPr>
            <w:r>
              <w:rPr>
                <w:rFonts w:hint="eastAsia"/>
                <w:sz w:val="21"/>
                <w:szCs w:val="21"/>
              </w:rPr>
              <w:t>4.7</w:t>
            </w:r>
          </w:p>
        </w:tc>
        <w:tc>
          <w:tcPr>
            <w:tcW w:w="845" w:type="dxa"/>
            <w:tcBorders>
              <w:top w:val="single" w:color="000000" w:sz="6" w:space="0"/>
              <w:left w:val="single" w:color="000000" w:sz="6" w:space="0"/>
              <w:bottom w:val="single" w:color="000000" w:sz="6" w:space="0"/>
              <w:right w:val="single" w:color="000000" w:sz="6" w:space="0"/>
            </w:tcBorders>
            <w:vAlign w:val="center"/>
          </w:tcPr>
          <w:p w14:paraId="2B5372EB">
            <w:pPr>
              <w:spacing w:line="240" w:lineRule="auto"/>
              <w:jc w:val="center"/>
              <w:rPr>
                <w:sz w:val="21"/>
                <w:szCs w:val="21"/>
              </w:rPr>
            </w:pPr>
            <w:r>
              <w:rPr>
                <w:rFonts w:hint="eastAsia"/>
                <w:sz w:val="21"/>
                <w:szCs w:val="21"/>
              </w:rPr>
              <w:t>9.98</w:t>
            </w:r>
          </w:p>
        </w:tc>
        <w:tc>
          <w:tcPr>
            <w:tcW w:w="846" w:type="dxa"/>
            <w:tcBorders>
              <w:top w:val="single" w:color="000000" w:sz="6" w:space="0"/>
              <w:left w:val="single" w:color="000000" w:sz="6" w:space="0"/>
              <w:bottom w:val="single" w:color="000000" w:sz="6" w:space="0"/>
              <w:right w:val="single" w:color="000000" w:sz="6" w:space="0"/>
            </w:tcBorders>
            <w:vAlign w:val="center"/>
          </w:tcPr>
          <w:p w14:paraId="3F46D0B7">
            <w:pPr>
              <w:spacing w:line="240" w:lineRule="auto"/>
              <w:jc w:val="center"/>
              <w:rPr>
                <w:sz w:val="21"/>
                <w:szCs w:val="21"/>
              </w:rPr>
            </w:pPr>
            <w:r>
              <w:rPr>
                <w:rFonts w:hint="eastAsia"/>
                <w:sz w:val="21"/>
                <w:szCs w:val="21"/>
              </w:rPr>
              <w:t>16.04</w:t>
            </w:r>
          </w:p>
        </w:tc>
        <w:tc>
          <w:tcPr>
            <w:tcW w:w="788" w:type="dxa"/>
            <w:tcBorders>
              <w:top w:val="single" w:color="000000" w:sz="6" w:space="0"/>
              <w:left w:val="single" w:color="000000" w:sz="6" w:space="0"/>
              <w:bottom w:val="single" w:color="000000" w:sz="6" w:space="0"/>
            </w:tcBorders>
            <w:vAlign w:val="center"/>
          </w:tcPr>
          <w:p w14:paraId="08827EC7">
            <w:pPr>
              <w:spacing w:line="240" w:lineRule="auto"/>
              <w:jc w:val="center"/>
              <w:rPr>
                <w:sz w:val="21"/>
                <w:szCs w:val="21"/>
              </w:rPr>
            </w:pPr>
            <w:r>
              <w:rPr>
                <w:rFonts w:hint="eastAsia"/>
                <w:sz w:val="21"/>
                <w:szCs w:val="21"/>
              </w:rPr>
              <w:t>9.36</w:t>
            </w:r>
          </w:p>
        </w:tc>
      </w:tr>
      <w:tr w14:paraId="56590C5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FC9A2B9">
            <w:pPr>
              <w:spacing w:line="240" w:lineRule="auto"/>
              <w:jc w:val="center"/>
              <w:rPr>
                <w:sz w:val="21"/>
                <w:szCs w:val="21"/>
              </w:rPr>
            </w:pPr>
            <w:r>
              <w:rPr>
                <w:sz w:val="21"/>
                <w:szCs w:val="21"/>
              </w:rPr>
              <w:t>8月</w:t>
            </w:r>
          </w:p>
        </w:tc>
        <w:tc>
          <w:tcPr>
            <w:tcW w:w="845" w:type="dxa"/>
            <w:tcBorders>
              <w:top w:val="single" w:color="000000" w:sz="6" w:space="0"/>
              <w:left w:val="single" w:color="000000" w:sz="6" w:space="0"/>
              <w:bottom w:val="single" w:color="000000" w:sz="6" w:space="0"/>
              <w:right w:val="single" w:color="000000" w:sz="6" w:space="0"/>
            </w:tcBorders>
            <w:vAlign w:val="center"/>
          </w:tcPr>
          <w:p w14:paraId="0AD51941">
            <w:pPr>
              <w:spacing w:line="240" w:lineRule="auto"/>
              <w:jc w:val="center"/>
              <w:rPr>
                <w:sz w:val="21"/>
                <w:szCs w:val="21"/>
              </w:rPr>
            </w:pPr>
            <w:r>
              <w:rPr>
                <w:rFonts w:hint="eastAsia"/>
                <w:sz w:val="21"/>
                <w:szCs w:val="21"/>
              </w:rPr>
              <w:t>10.51</w:t>
            </w:r>
          </w:p>
        </w:tc>
        <w:tc>
          <w:tcPr>
            <w:tcW w:w="915" w:type="dxa"/>
            <w:tcBorders>
              <w:top w:val="single" w:color="000000" w:sz="6" w:space="0"/>
              <w:left w:val="single" w:color="000000" w:sz="6" w:space="0"/>
              <w:bottom w:val="single" w:color="000000" w:sz="6" w:space="0"/>
              <w:right w:val="single" w:color="000000" w:sz="6" w:space="0"/>
            </w:tcBorders>
            <w:vAlign w:val="center"/>
          </w:tcPr>
          <w:p w14:paraId="08436F08">
            <w:pPr>
              <w:spacing w:line="240" w:lineRule="auto"/>
              <w:jc w:val="center"/>
              <w:rPr>
                <w:sz w:val="21"/>
                <w:szCs w:val="21"/>
              </w:rPr>
            </w:pPr>
            <w:r>
              <w:rPr>
                <w:rFonts w:hint="eastAsia"/>
                <w:sz w:val="21"/>
                <w:szCs w:val="21"/>
              </w:rPr>
              <w:t>3.72</w:t>
            </w:r>
          </w:p>
        </w:tc>
        <w:tc>
          <w:tcPr>
            <w:tcW w:w="732" w:type="dxa"/>
            <w:tcBorders>
              <w:top w:val="single" w:color="000000" w:sz="6" w:space="0"/>
              <w:left w:val="single" w:color="000000" w:sz="6" w:space="0"/>
              <w:bottom w:val="single" w:color="000000" w:sz="6" w:space="0"/>
              <w:right w:val="single" w:color="000000" w:sz="6" w:space="0"/>
            </w:tcBorders>
            <w:vAlign w:val="center"/>
          </w:tcPr>
          <w:p w14:paraId="0DE721C2">
            <w:pPr>
              <w:spacing w:line="240" w:lineRule="auto"/>
              <w:jc w:val="center"/>
              <w:rPr>
                <w:sz w:val="21"/>
                <w:szCs w:val="21"/>
              </w:rPr>
            </w:pPr>
            <w:r>
              <w:rPr>
                <w:rFonts w:hint="eastAsia"/>
                <w:sz w:val="21"/>
                <w:szCs w:val="21"/>
              </w:rPr>
              <w:t>1.34</w:t>
            </w:r>
          </w:p>
        </w:tc>
        <w:tc>
          <w:tcPr>
            <w:tcW w:w="977" w:type="dxa"/>
            <w:tcBorders>
              <w:top w:val="single" w:color="000000" w:sz="6" w:space="0"/>
              <w:left w:val="single" w:color="000000" w:sz="6" w:space="0"/>
              <w:bottom w:val="single" w:color="000000" w:sz="6" w:space="0"/>
              <w:right w:val="single" w:color="000000" w:sz="6" w:space="0"/>
            </w:tcBorders>
            <w:vAlign w:val="center"/>
          </w:tcPr>
          <w:p w14:paraId="367E0109">
            <w:pPr>
              <w:spacing w:line="240" w:lineRule="auto"/>
              <w:jc w:val="center"/>
              <w:rPr>
                <w:sz w:val="21"/>
                <w:szCs w:val="21"/>
              </w:rPr>
            </w:pPr>
            <w:r>
              <w:rPr>
                <w:rFonts w:hint="eastAsia"/>
                <w:sz w:val="21"/>
                <w:szCs w:val="21"/>
              </w:rPr>
              <w:t>1.31</w:t>
            </w:r>
          </w:p>
        </w:tc>
        <w:tc>
          <w:tcPr>
            <w:tcW w:w="675" w:type="dxa"/>
            <w:tcBorders>
              <w:top w:val="single" w:color="000000" w:sz="6" w:space="0"/>
              <w:left w:val="single" w:color="000000" w:sz="6" w:space="0"/>
              <w:bottom w:val="single" w:color="000000" w:sz="6" w:space="0"/>
              <w:right w:val="single" w:color="000000" w:sz="6" w:space="0"/>
            </w:tcBorders>
            <w:vAlign w:val="center"/>
          </w:tcPr>
          <w:p w14:paraId="16147CA1">
            <w:pPr>
              <w:spacing w:line="240" w:lineRule="auto"/>
              <w:jc w:val="center"/>
              <w:rPr>
                <w:sz w:val="21"/>
                <w:szCs w:val="21"/>
              </w:rPr>
            </w:pPr>
            <w:r>
              <w:rPr>
                <w:rFonts w:hint="eastAsia"/>
                <w:sz w:val="21"/>
                <w:szCs w:val="21"/>
              </w:rPr>
              <w:t>1.27</w:t>
            </w:r>
          </w:p>
        </w:tc>
        <w:tc>
          <w:tcPr>
            <w:tcW w:w="895" w:type="dxa"/>
            <w:tcBorders>
              <w:top w:val="single" w:color="000000" w:sz="6" w:space="0"/>
              <w:left w:val="single" w:color="000000" w:sz="6" w:space="0"/>
              <w:bottom w:val="single" w:color="000000" w:sz="6" w:space="0"/>
              <w:right w:val="single" w:color="000000" w:sz="6" w:space="0"/>
            </w:tcBorders>
            <w:vAlign w:val="center"/>
          </w:tcPr>
          <w:p w14:paraId="4B51E1EC">
            <w:pPr>
              <w:spacing w:line="240" w:lineRule="auto"/>
              <w:jc w:val="center"/>
              <w:rPr>
                <w:sz w:val="21"/>
                <w:szCs w:val="21"/>
              </w:rPr>
            </w:pPr>
            <w:r>
              <w:rPr>
                <w:rFonts w:hint="eastAsia"/>
                <w:sz w:val="21"/>
                <w:szCs w:val="21"/>
              </w:rPr>
              <w:t>3.83</w:t>
            </w:r>
          </w:p>
        </w:tc>
        <w:tc>
          <w:tcPr>
            <w:tcW w:w="845" w:type="dxa"/>
            <w:tcBorders>
              <w:top w:val="single" w:color="000000" w:sz="6" w:space="0"/>
              <w:left w:val="single" w:color="000000" w:sz="6" w:space="0"/>
              <w:bottom w:val="single" w:color="000000" w:sz="6" w:space="0"/>
              <w:right w:val="single" w:color="000000" w:sz="6" w:space="0"/>
            </w:tcBorders>
            <w:vAlign w:val="center"/>
          </w:tcPr>
          <w:p w14:paraId="143968AE">
            <w:pPr>
              <w:spacing w:line="240" w:lineRule="auto"/>
              <w:jc w:val="center"/>
              <w:rPr>
                <w:sz w:val="21"/>
                <w:szCs w:val="21"/>
              </w:rPr>
            </w:pPr>
            <w:r>
              <w:rPr>
                <w:rFonts w:hint="eastAsia"/>
                <w:sz w:val="21"/>
                <w:szCs w:val="21"/>
              </w:rPr>
              <w:t>7.06</w:t>
            </w:r>
          </w:p>
        </w:tc>
        <w:tc>
          <w:tcPr>
            <w:tcW w:w="846" w:type="dxa"/>
            <w:tcBorders>
              <w:top w:val="single" w:color="000000" w:sz="6" w:space="0"/>
              <w:left w:val="single" w:color="000000" w:sz="6" w:space="0"/>
              <w:bottom w:val="single" w:color="000000" w:sz="6" w:space="0"/>
              <w:right w:val="single" w:color="000000" w:sz="6" w:space="0"/>
            </w:tcBorders>
            <w:vAlign w:val="center"/>
          </w:tcPr>
          <w:p w14:paraId="03AEC89B">
            <w:pPr>
              <w:spacing w:line="240" w:lineRule="auto"/>
              <w:jc w:val="center"/>
              <w:rPr>
                <w:sz w:val="21"/>
                <w:szCs w:val="21"/>
              </w:rPr>
            </w:pPr>
            <w:r>
              <w:rPr>
                <w:rFonts w:hint="eastAsia"/>
                <w:sz w:val="21"/>
                <w:szCs w:val="21"/>
              </w:rPr>
              <w:t>11.36</w:t>
            </w:r>
          </w:p>
        </w:tc>
        <w:tc>
          <w:tcPr>
            <w:tcW w:w="788" w:type="dxa"/>
            <w:tcBorders>
              <w:top w:val="single" w:color="000000" w:sz="6" w:space="0"/>
              <w:left w:val="single" w:color="000000" w:sz="6" w:space="0"/>
              <w:bottom w:val="single" w:color="000000" w:sz="6" w:space="0"/>
            </w:tcBorders>
            <w:vAlign w:val="center"/>
          </w:tcPr>
          <w:p w14:paraId="124559E7">
            <w:pPr>
              <w:spacing w:line="240" w:lineRule="auto"/>
              <w:jc w:val="center"/>
              <w:rPr>
                <w:sz w:val="21"/>
                <w:szCs w:val="21"/>
              </w:rPr>
            </w:pPr>
            <w:r>
              <w:rPr>
                <w:rFonts w:hint="eastAsia"/>
                <w:sz w:val="21"/>
                <w:szCs w:val="21"/>
              </w:rPr>
              <w:t>5.91</w:t>
            </w:r>
          </w:p>
        </w:tc>
      </w:tr>
      <w:tr w14:paraId="29AEE9C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1C33B4F0">
            <w:pPr>
              <w:spacing w:line="240" w:lineRule="auto"/>
              <w:jc w:val="center"/>
              <w:rPr>
                <w:sz w:val="21"/>
                <w:szCs w:val="21"/>
              </w:rPr>
            </w:pPr>
            <w:r>
              <w:rPr>
                <w:sz w:val="21"/>
                <w:szCs w:val="21"/>
              </w:rPr>
              <w:t>9月</w:t>
            </w:r>
          </w:p>
        </w:tc>
        <w:tc>
          <w:tcPr>
            <w:tcW w:w="845" w:type="dxa"/>
            <w:tcBorders>
              <w:top w:val="single" w:color="000000" w:sz="6" w:space="0"/>
              <w:left w:val="single" w:color="000000" w:sz="6" w:space="0"/>
              <w:bottom w:val="single" w:color="000000" w:sz="6" w:space="0"/>
              <w:right w:val="single" w:color="000000" w:sz="6" w:space="0"/>
            </w:tcBorders>
            <w:vAlign w:val="center"/>
          </w:tcPr>
          <w:p w14:paraId="40BF850B">
            <w:pPr>
              <w:spacing w:line="240" w:lineRule="auto"/>
              <w:jc w:val="center"/>
              <w:rPr>
                <w:sz w:val="21"/>
                <w:szCs w:val="21"/>
              </w:rPr>
            </w:pPr>
            <w:r>
              <w:rPr>
                <w:rFonts w:hint="eastAsia"/>
                <w:sz w:val="21"/>
                <w:szCs w:val="21"/>
              </w:rPr>
              <w:t>14.78</w:t>
            </w:r>
          </w:p>
        </w:tc>
        <w:tc>
          <w:tcPr>
            <w:tcW w:w="915" w:type="dxa"/>
            <w:tcBorders>
              <w:top w:val="single" w:color="000000" w:sz="6" w:space="0"/>
              <w:left w:val="single" w:color="000000" w:sz="6" w:space="0"/>
              <w:bottom w:val="single" w:color="000000" w:sz="6" w:space="0"/>
              <w:right w:val="single" w:color="000000" w:sz="6" w:space="0"/>
            </w:tcBorders>
            <w:vAlign w:val="center"/>
          </w:tcPr>
          <w:p w14:paraId="4DD9505A">
            <w:pPr>
              <w:spacing w:line="240" w:lineRule="auto"/>
              <w:jc w:val="center"/>
              <w:rPr>
                <w:sz w:val="21"/>
                <w:szCs w:val="21"/>
              </w:rPr>
            </w:pPr>
            <w:r>
              <w:rPr>
                <w:rFonts w:hint="eastAsia"/>
                <w:sz w:val="21"/>
                <w:szCs w:val="21"/>
              </w:rPr>
              <w:t>4.23</w:t>
            </w:r>
          </w:p>
        </w:tc>
        <w:tc>
          <w:tcPr>
            <w:tcW w:w="732" w:type="dxa"/>
            <w:tcBorders>
              <w:top w:val="single" w:color="000000" w:sz="6" w:space="0"/>
              <w:left w:val="single" w:color="000000" w:sz="6" w:space="0"/>
              <w:bottom w:val="single" w:color="000000" w:sz="6" w:space="0"/>
              <w:right w:val="single" w:color="000000" w:sz="6" w:space="0"/>
            </w:tcBorders>
            <w:vAlign w:val="center"/>
          </w:tcPr>
          <w:p w14:paraId="3B5589AA">
            <w:pPr>
              <w:spacing w:line="240" w:lineRule="auto"/>
              <w:jc w:val="center"/>
              <w:rPr>
                <w:sz w:val="21"/>
                <w:szCs w:val="21"/>
              </w:rPr>
            </w:pPr>
            <w:r>
              <w:rPr>
                <w:rFonts w:hint="eastAsia"/>
                <w:sz w:val="21"/>
                <w:szCs w:val="21"/>
              </w:rPr>
              <w:t>1.37</w:t>
            </w:r>
          </w:p>
        </w:tc>
        <w:tc>
          <w:tcPr>
            <w:tcW w:w="977" w:type="dxa"/>
            <w:tcBorders>
              <w:top w:val="single" w:color="000000" w:sz="6" w:space="0"/>
              <w:left w:val="single" w:color="000000" w:sz="6" w:space="0"/>
              <w:bottom w:val="single" w:color="000000" w:sz="6" w:space="0"/>
              <w:right w:val="single" w:color="000000" w:sz="6" w:space="0"/>
            </w:tcBorders>
            <w:vAlign w:val="center"/>
          </w:tcPr>
          <w:p w14:paraId="4381DBFF">
            <w:pPr>
              <w:spacing w:line="240" w:lineRule="auto"/>
              <w:jc w:val="center"/>
              <w:rPr>
                <w:sz w:val="21"/>
                <w:szCs w:val="21"/>
              </w:rPr>
            </w:pPr>
            <w:r>
              <w:rPr>
                <w:rFonts w:hint="eastAsia"/>
                <w:sz w:val="21"/>
                <w:szCs w:val="21"/>
              </w:rPr>
              <w:t>1.14</w:t>
            </w:r>
          </w:p>
        </w:tc>
        <w:tc>
          <w:tcPr>
            <w:tcW w:w="675" w:type="dxa"/>
            <w:tcBorders>
              <w:top w:val="single" w:color="000000" w:sz="6" w:space="0"/>
              <w:left w:val="single" w:color="000000" w:sz="6" w:space="0"/>
              <w:bottom w:val="single" w:color="000000" w:sz="6" w:space="0"/>
              <w:right w:val="single" w:color="000000" w:sz="6" w:space="0"/>
            </w:tcBorders>
            <w:vAlign w:val="center"/>
          </w:tcPr>
          <w:p w14:paraId="6DE6F653">
            <w:pPr>
              <w:spacing w:line="240" w:lineRule="auto"/>
              <w:jc w:val="center"/>
              <w:rPr>
                <w:sz w:val="21"/>
                <w:szCs w:val="21"/>
              </w:rPr>
            </w:pPr>
            <w:r>
              <w:rPr>
                <w:rFonts w:hint="eastAsia"/>
                <w:sz w:val="21"/>
                <w:szCs w:val="21"/>
              </w:rPr>
              <w:t>1.11</w:t>
            </w:r>
          </w:p>
        </w:tc>
        <w:tc>
          <w:tcPr>
            <w:tcW w:w="895" w:type="dxa"/>
            <w:tcBorders>
              <w:top w:val="single" w:color="000000" w:sz="6" w:space="0"/>
              <w:left w:val="single" w:color="000000" w:sz="6" w:space="0"/>
              <w:bottom w:val="single" w:color="000000" w:sz="6" w:space="0"/>
              <w:right w:val="single" w:color="000000" w:sz="6" w:space="0"/>
            </w:tcBorders>
            <w:vAlign w:val="center"/>
          </w:tcPr>
          <w:p w14:paraId="68A16E21">
            <w:pPr>
              <w:spacing w:line="240" w:lineRule="auto"/>
              <w:jc w:val="center"/>
              <w:rPr>
                <w:sz w:val="21"/>
                <w:szCs w:val="21"/>
              </w:rPr>
            </w:pPr>
            <w:r>
              <w:rPr>
                <w:rFonts w:hint="eastAsia"/>
                <w:sz w:val="21"/>
                <w:szCs w:val="21"/>
              </w:rPr>
              <w:t>2.82</w:t>
            </w:r>
          </w:p>
        </w:tc>
        <w:tc>
          <w:tcPr>
            <w:tcW w:w="845" w:type="dxa"/>
            <w:tcBorders>
              <w:top w:val="single" w:color="000000" w:sz="6" w:space="0"/>
              <w:left w:val="single" w:color="000000" w:sz="6" w:space="0"/>
              <w:bottom w:val="single" w:color="000000" w:sz="6" w:space="0"/>
              <w:right w:val="single" w:color="000000" w:sz="6" w:space="0"/>
            </w:tcBorders>
            <w:vAlign w:val="center"/>
          </w:tcPr>
          <w:p w14:paraId="6C9BCBC7">
            <w:pPr>
              <w:spacing w:line="240" w:lineRule="auto"/>
              <w:jc w:val="center"/>
              <w:rPr>
                <w:sz w:val="21"/>
                <w:szCs w:val="21"/>
              </w:rPr>
            </w:pPr>
            <w:r>
              <w:rPr>
                <w:rFonts w:hint="eastAsia"/>
                <w:sz w:val="21"/>
                <w:szCs w:val="21"/>
              </w:rPr>
              <w:t>3.52</w:t>
            </w:r>
          </w:p>
        </w:tc>
        <w:tc>
          <w:tcPr>
            <w:tcW w:w="846" w:type="dxa"/>
            <w:tcBorders>
              <w:top w:val="single" w:color="000000" w:sz="6" w:space="0"/>
              <w:left w:val="single" w:color="000000" w:sz="6" w:space="0"/>
              <w:bottom w:val="single" w:color="000000" w:sz="6" w:space="0"/>
              <w:right w:val="single" w:color="000000" w:sz="6" w:space="0"/>
            </w:tcBorders>
            <w:vAlign w:val="center"/>
          </w:tcPr>
          <w:p w14:paraId="1EAC47E1">
            <w:pPr>
              <w:spacing w:line="240" w:lineRule="auto"/>
              <w:jc w:val="center"/>
              <w:rPr>
                <w:sz w:val="21"/>
                <w:szCs w:val="21"/>
              </w:rPr>
            </w:pPr>
            <w:r>
              <w:rPr>
                <w:rFonts w:hint="eastAsia"/>
                <w:sz w:val="21"/>
                <w:szCs w:val="21"/>
              </w:rPr>
              <w:t>6.25</w:t>
            </w:r>
          </w:p>
        </w:tc>
        <w:tc>
          <w:tcPr>
            <w:tcW w:w="788" w:type="dxa"/>
            <w:tcBorders>
              <w:top w:val="single" w:color="000000" w:sz="6" w:space="0"/>
              <w:left w:val="single" w:color="000000" w:sz="6" w:space="0"/>
              <w:bottom w:val="single" w:color="000000" w:sz="6" w:space="0"/>
            </w:tcBorders>
            <w:vAlign w:val="center"/>
          </w:tcPr>
          <w:p w14:paraId="2355121F">
            <w:pPr>
              <w:spacing w:line="240" w:lineRule="auto"/>
              <w:jc w:val="center"/>
              <w:rPr>
                <w:sz w:val="21"/>
                <w:szCs w:val="21"/>
              </w:rPr>
            </w:pPr>
            <w:r>
              <w:rPr>
                <w:rFonts w:hint="eastAsia"/>
                <w:sz w:val="21"/>
                <w:szCs w:val="21"/>
              </w:rPr>
              <w:t>2.64</w:t>
            </w:r>
          </w:p>
        </w:tc>
      </w:tr>
      <w:tr w14:paraId="5A7EFC6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900F842">
            <w:pPr>
              <w:spacing w:line="240" w:lineRule="auto"/>
              <w:jc w:val="center"/>
              <w:rPr>
                <w:sz w:val="21"/>
                <w:szCs w:val="21"/>
              </w:rPr>
            </w:pPr>
            <w:r>
              <w:rPr>
                <w:sz w:val="21"/>
                <w:szCs w:val="21"/>
              </w:rPr>
              <w:t>10月</w:t>
            </w:r>
          </w:p>
        </w:tc>
        <w:tc>
          <w:tcPr>
            <w:tcW w:w="845" w:type="dxa"/>
            <w:tcBorders>
              <w:top w:val="single" w:color="000000" w:sz="6" w:space="0"/>
              <w:left w:val="single" w:color="000000" w:sz="6" w:space="0"/>
              <w:bottom w:val="single" w:color="000000" w:sz="6" w:space="0"/>
              <w:right w:val="single" w:color="000000" w:sz="6" w:space="0"/>
            </w:tcBorders>
            <w:vAlign w:val="center"/>
          </w:tcPr>
          <w:p w14:paraId="6DE5C5F7">
            <w:pPr>
              <w:spacing w:line="240" w:lineRule="auto"/>
              <w:jc w:val="center"/>
              <w:rPr>
                <w:sz w:val="21"/>
                <w:szCs w:val="21"/>
              </w:rPr>
            </w:pPr>
            <w:r>
              <w:rPr>
                <w:rFonts w:hint="eastAsia"/>
                <w:sz w:val="21"/>
                <w:szCs w:val="21"/>
              </w:rPr>
              <w:t>15.78</w:t>
            </w:r>
          </w:p>
        </w:tc>
        <w:tc>
          <w:tcPr>
            <w:tcW w:w="915" w:type="dxa"/>
            <w:tcBorders>
              <w:top w:val="single" w:color="000000" w:sz="6" w:space="0"/>
              <w:left w:val="single" w:color="000000" w:sz="6" w:space="0"/>
              <w:bottom w:val="single" w:color="000000" w:sz="6" w:space="0"/>
              <w:right w:val="single" w:color="000000" w:sz="6" w:space="0"/>
            </w:tcBorders>
            <w:vAlign w:val="center"/>
          </w:tcPr>
          <w:p w14:paraId="15672B57">
            <w:pPr>
              <w:spacing w:line="240" w:lineRule="auto"/>
              <w:jc w:val="center"/>
              <w:rPr>
                <w:sz w:val="21"/>
                <w:szCs w:val="21"/>
              </w:rPr>
            </w:pPr>
            <w:r>
              <w:rPr>
                <w:rFonts w:hint="eastAsia"/>
                <w:sz w:val="21"/>
                <w:szCs w:val="21"/>
              </w:rPr>
              <w:t>4.06</w:t>
            </w:r>
          </w:p>
        </w:tc>
        <w:tc>
          <w:tcPr>
            <w:tcW w:w="732" w:type="dxa"/>
            <w:tcBorders>
              <w:top w:val="single" w:color="000000" w:sz="6" w:space="0"/>
              <w:left w:val="single" w:color="000000" w:sz="6" w:space="0"/>
              <w:bottom w:val="single" w:color="000000" w:sz="6" w:space="0"/>
              <w:right w:val="single" w:color="000000" w:sz="6" w:space="0"/>
            </w:tcBorders>
            <w:vAlign w:val="center"/>
          </w:tcPr>
          <w:p w14:paraId="63E75D2A">
            <w:pPr>
              <w:spacing w:line="240" w:lineRule="auto"/>
              <w:jc w:val="center"/>
              <w:rPr>
                <w:sz w:val="21"/>
                <w:szCs w:val="21"/>
              </w:rPr>
            </w:pPr>
            <w:r>
              <w:rPr>
                <w:rFonts w:hint="eastAsia"/>
                <w:sz w:val="21"/>
                <w:szCs w:val="21"/>
              </w:rPr>
              <w:t>1.44</w:t>
            </w:r>
          </w:p>
        </w:tc>
        <w:tc>
          <w:tcPr>
            <w:tcW w:w="977" w:type="dxa"/>
            <w:tcBorders>
              <w:top w:val="single" w:color="000000" w:sz="6" w:space="0"/>
              <w:left w:val="single" w:color="000000" w:sz="6" w:space="0"/>
              <w:bottom w:val="single" w:color="000000" w:sz="6" w:space="0"/>
              <w:right w:val="single" w:color="000000" w:sz="6" w:space="0"/>
            </w:tcBorders>
            <w:vAlign w:val="center"/>
          </w:tcPr>
          <w:p w14:paraId="0B0C2796">
            <w:pPr>
              <w:spacing w:line="240" w:lineRule="auto"/>
              <w:jc w:val="center"/>
              <w:rPr>
                <w:sz w:val="21"/>
                <w:szCs w:val="21"/>
              </w:rPr>
            </w:pPr>
            <w:r>
              <w:rPr>
                <w:rFonts w:hint="eastAsia"/>
                <w:sz w:val="21"/>
                <w:szCs w:val="21"/>
              </w:rPr>
              <w:t>1.03</w:t>
            </w:r>
          </w:p>
        </w:tc>
        <w:tc>
          <w:tcPr>
            <w:tcW w:w="675" w:type="dxa"/>
            <w:tcBorders>
              <w:top w:val="single" w:color="000000" w:sz="6" w:space="0"/>
              <w:left w:val="single" w:color="000000" w:sz="6" w:space="0"/>
              <w:bottom w:val="single" w:color="000000" w:sz="6" w:space="0"/>
              <w:right w:val="single" w:color="000000" w:sz="6" w:space="0"/>
            </w:tcBorders>
            <w:vAlign w:val="center"/>
          </w:tcPr>
          <w:p w14:paraId="76C4228A">
            <w:pPr>
              <w:spacing w:line="240" w:lineRule="auto"/>
              <w:jc w:val="center"/>
              <w:rPr>
                <w:sz w:val="21"/>
                <w:szCs w:val="21"/>
              </w:rPr>
            </w:pPr>
            <w:r>
              <w:rPr>
                <w:rFonts w:hint="eastAsia"/>
                <w:sz w:val="21"/>
                <w:szCs w:val="21"/>
              </w:rPr>
              <w:t>0.93</w:t>
            </w:r>
          </w:p>
        </w:tc>
        <w:tc>
          <w:tcPr>
            <w:tcW w:w="895" w:type="dxa"/>
            <w:tcBorders>
              <w:top w:val="single" w:color="000000" w:sz="6" w:space="0"/>
              <w:left w:val="single" w:color="000000" w:sz="6" w:space="0"/>
              <w:bottom w:val="single" w:color="000000" w:sz="6" w:space="0"/>
              <w:right w:val="single" w:color="000000" w:sz="6" w:space="0"/>
            </w:tcBorders>
            <w:vAlign w:val="center"/>
          </w:tcPr>
          <w:p w14:paraId="6E55010D">
            <w:pPr>
              <w:spacing w:line="240" w:lineRule="auto"/>
              <w:jc w:val="center"/>
              <w:rPr>
                <w:sz w:val="21"/>
                <w:szCs w:val="21"/>
              </w:rPr>
            </w:pPr>
            <w:r>
              <w:rPr>
                <w:rFonts w:hint="eastAsia"/>
                <w:sz w:val="21"/>
                <w:szCs w:val="21"/>
              </w:rPr>
              <w:t>2.45</w:t>
            </w:r>
          </w:p>
        </w:tc>
        <w:tc>
          <w:tcPr>
            <w:tcW w:w="845" w:type="dxa"/>
            <w:tcBorders>
              <w:top w:val="single" w:color="000000" w:sz="6" w:space="0"/>
              <w:left w:val="single" w:color="000000" w:sz="6" w:space="0"/>
              <w:bottom w:val="single" w:color="000000" w:sz="6" w:space="0"/>
              <w:right w:val="single" w:color="000000" w:sz="6" w:space="0"/>
            </w:tcBorders>
            <w:vAlign w:val="center"/>
          </w:tcPr>
          <w:p w14:paraId="6D1303E6">
            <w:pPr>
              <w:spacing w:line="240" w:lineRule="auto"/>
              <w:jc w:val="center"/>
              <w:rPr>
                <w:sz w:val="21"/>
                <w:szCs w:val="21"/>
              </w:rPr>
            </w:pPr>
            <w:r>
              <w:rPr>
                <w:rFonts w:hint="eastAsia"/>
                <w:sz w:val="21"/>
                <w:szCs w:val="21"/>
              </w:rPr>
              <w:t>2.42</w:t>
            </w:r>
          </w:p>
        </w:tc>
        <w:tc>
          <w:tcPr>
            <w:tcW w:w="846" w:type="dxa"/>
            <w:tcBorders>
              <w:top w:val="single" w:color="000000" w:sz="6" w:space="0"/>
              <w:left w:val="single" w:color="000000" w:sz="6" w:space="0"/>
              <w:bottom w:val="single" w:color="000000" w:sz="6" w:space="0"/>
              <w:right w:val="single" w:color="000000" w:sz="6" w:space="0"/>
            </w:tcBorders>
            <w:vAlign w:val="center"/>
          </w:tcPr>
          <w:p w14:paraId="450CBCF4">
            <w:pPr>
              <w:spacing w:line="240" w:lineRule="auto"/>
              <w:jc w:val="center"/>
              <w:rPr>
                <w:sz w:val="21"/>
                <w:szCs w:val="21"/>
              </w:rPr>
            </w:pPr>
            <w:r>
              <w:rPr>
                <w:rFonts w:hint="eastAsia"/>
                <w:sz w:val="21"/>
                <w:szCs w:val="21"/>
              </w:rPr>
              <w:t>5.21</w:t>
            </w:r>
          </w:p>
        </w:tc>
        <w:tc>
          <w:tcPr>
            <w:tcW w:w="788" w:type="dxa"/>
            <w:tcBorders>
              <w:top w:val="single" w:color="000000" w:sz="6" w:space="0"/>
              <w:left w:val="single" w:color="000000" w:sz="6" w:space="0"/>
              <w:bottom w:val="single" w:color="000000" w:sz="6" w:space="0"/>
            </w:tcBorders>
            <w:vAlign w:val="center"/>
          </w:tcPr>
          <w:p w14:paraId="53D3017A">
            <w:pPr>
              <w:spacing w:line="240" w:lineRule="auto"/>
              <w:jc w:val="center"/>
              <w:rPr>
                <w:sz w:val="21"/>
                <w:szCs w:val="21"/>
              </w:rPr>
            </w:pPr>
            <w:r>
              <w:rPr>
                <w:rFonts w:hint="eastAsia"/>
                <w:sz w:val="21"/>
                <w:szCs w:val="21"/>
              </w:rPr>
              <w:t>1.86</w:t>
            </w:r>
          </w:p>
        </w:tc>
      </w:tr>
      <w:tr w14:paraId="719A35D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098F4D81">
            <w:pPr>
              <w:spacing w:line="240" w:lineRule="auto"/>
              <w:jc w:val="center"/>
              <w:rPr>
                <w:sz w:val="21"/>
                <w:szCs w:val="21"/>
              </w:rPr>
            </w:pPr>
            <w:r>
              <w:rPr>
                <w:sz w:val="21"/>
                <w:szCs w:val="21"/>
              </w:rPr>
              <w:t>11月</w:t>
            </w:r>
          </w:p>
        </w:tc>
        <w:tc>
          <w:tcPr>
            <w:tcW w:w="845" w:type="dxa"/>
            <w:tcBorders>
              <w:top w:val="single" w:color="000000" w:sz="6" w:space="0"/>
              <w:left w:val="single" w:color="000000" w:sz="6" w:space="0"/>
              <w:bottom w:val="single" w:color="000000" w:sz="6" w:space="0"/>
              <w:right w:val="single" w:color="000000" w:sz="6" w:space="0"/>
            </w:tcBorders>
            <w:vAlign w:val="center"/>
          </w:tcPr>
          <w:p w14:paraId="2FBCD6F2">
            <w:pPr>
              <w:spacing w:line="240" w:lineRule="auto"/>
              <w:jc w:val="center"/>
              <w:rPr>
                <w:sz w:val="21"/>
                <w:szCs w:val="21"/>
              </w:rPr>
            </w:pPr>
            <w:r>
              <w:rPr>
                <w:rFonts w:hint="eastAsia"/>
                <w:sz w:val="21"/>
                <w:szCs w:val="21"/>
              </w:rPr>
              <w:t>13.34</w:t>
            </w:r>
          </w:p>
        </w:tc>
        <w:tc>
          <w:tcPr>
            <w:tcW w:w="915" w:type="dxa"/>
            <w:tcBorders>
              <w:top w:val="single" w:color="000000" w:sz="6" w:space="0"/>
              <w:left w:val="single" w:color="000000" w:sz="6" w:space="0"/>
              <w:bottom w:val="single" w:color="000000" w:sz="6" w:space="0"/>
              <w:right w:val="single" w:color="000000" w:sz="6" w:space="0"/>
            </w:tcBorders>
            <w:vAlign w:val="center"/>
          </w:tcPr>
          <w:p w14:paraId="22C23F07">
            <w:pPr>
              <w:spacing w:line="240" w:lineRule="auto"/>
              <w:jc w:val="center"/>
              <w:rPr>
                <w:sz w:val="21"/>
                <w:szCs w:val="21"/>
              </w:rPr>
            </w:pPr>
            <w:r>
              <w:rPr>
                <w:rFonts w:hint="eastAsia"/>
                <w:sz w:val="21"/>
                <w:szCs w:val="21"/>
              </w:rPr>
              <w:t>4.98</w:t>
            </w:r>
          </w:p>
        </w:tc>
        <w:tc>
          <w:tcPr>
            <w:tcW w:w="732" w:type="dxa"/>
            <w:tcBorders>
              <w:top w:val="single" w:color="000000" w:sz="6" w:space="0"/>
              <w:left w:val="single" w:color="000000" w:sz="6" w:space="0"/>
              <w:bottom w:val="single" w:color="000000" w:sz="6" w:space="0"/>
              <w:right w:val="single" w:color="000000" w:sz="6" w:space="0"/>
            </w:tcBorders>
            <w:vAlign w:val="center"/>
          </w:tcPr>
          <w:p w14:paraId="568D68EC">
            <w:pPr>
              <w:spacing w:line="240" w:lineRule="auto"/>
              <w:jc w:val="center"/>
              <w:rPr>
                <w:sz w:val="21"/>
                <w:szCs w:val="21"/>
              </w:rPr>
            </w:pPr>
            <w:r>
              <w:rPr>
                <w:rFonts w:hint="eastAsia"/>
                <w:sz w:val="21"/>
                <w:szCs w:val="21"/>
              </w:rPr>
              <w:t>1.77</w:t>
            </w:r>
          </w:p>
        </w:tc>
        <w:tc>
          <w:tcPr>
            <w:tcW w:w="977" w:type="dxa"/>
            <w:tcBorders>
              <w:top w:val="single" w:color="000000" w:sz="6" w:space="0"/>
              <w:left w:val="single" w:color="000000" w:sz="6" w:space="0"/>
              <w:bottom w:val="single" w:color="000000" w:sz="6" w:space="0"/>
              <w:right w:val="single" w:color="000000" w:sz="6" w:space="0"/>
            </w:tcBorders>
            <w:vAlign w:val="center"/>
          </w:tcPr>
          <w:p w14:paraId="60B1533D">
            <w:pPr>
              <w:spacing w:line="240" w:lineRule="auto"/>
              <w:jc w:val="center"/>
              <w:rPr>
                <w:sz w:val="21"/>
                <w:szCs w:val="21"/>
              </w:rPr>
            </w:pPr>
            <w:r>
              <w:rPr>
                <w:rFonts w:hint="eastAsia"/>
                <w:sz w:val="21"/>
                <w:szCs w:val="21"/>
              </w:rPr>
              <w:t>1.71</w:t>
            </w:r>
          </w:p>
        </w:tc>
        <w:tc>
          <w:tcPr>
            <w:tcW w:w="675" w:type="dxa"/>
            <w:tcBorders>
              <w:top w:val="single" w:color="000000" w:sz="6" w:space="0"/>
              <w:left w:val="single" w:color="000000" w:sz="6" w:space="0"/>
              <w:bottom w:val="single" w:color="000000" w:sz="6" w:space="0"/>
              <w:right w:val="single" w:color="000000" w:sz="6" w:space="0"/>
            </w:tcBorders>
            <w:vAlign w:val="center"/>
          </w:tcPr>
          <w:p w14:paraId="60394BD8">
            <w:pPr>
              <w:spacing w:line="240" w:lineRule="auto"/>
              <w:jc w:val="center"/>
              <w:rPr>
                <w:sz w:val="21"/>
                <w:szCs w:val="21"/>
              </w:rPr>
            </w:pPr>
            <w:r>
              <w:rPr>
                <w:rFonts w:hint="eastAsia"/>
                <w:sz w:val="21"/>
                <w:szCs w:val="21"/>
              </w:rPr>
              <w:t>1.84</w:t>
            </w:r>
          </w:p>
        </w:tc>
        <w:tc>
          <w:tcPr>
            <w:tcW w:w="895" w:type="dxa"/>
            <w:tcBorders>
              <w:top w:val="single" w:color="000000" w:sz="6" w:space="0"/>
              <w:left w:val="single" w:color="000000" w:sz="6" w:space="0"/>
              <w:bottom w:val="single" w:color="000000" w:sz="6" w:space="0"/>
              <w:right w:val="single" w:color="000000" w:sz="6" w:space="0"/>
            </w:tcBorders>
            <w:vAlign w:val="center"/>
          </w:tcPr>
          <w:p w14:paraId="177E24D5">
            <w:pPr>
              <w:spacing w:line="240" w:lineRule="auto"/>
              <w:jc w:val="center"/>
              <w:rPr>
                <w:sz w:val="21"/>
                <w:szCs w:val="21"/>
              </w:rPr>
            </w:pPr>
            <w:r>
              <w:rPr>
                <w:rFonts w:hint="eastAsia"/>
                <w:sz w:val="21"/>
                <w:szCs w:val="21"/>
              </w:rPr>
              <w:t>3.59</w:t>
            </w:r>
          </w:p>
        </w:tc>
        <w:tc>
          <w:tcPr>
            <w:tcW w:w="845" w:type="dxa"/>
            <w:tcBorders>
              <w:top w:val="single" w:color="000000" w:sz="6" w:space="0"/>
              <w:left w:val="single" w:color="000000" w:sz="6" w:space="0"/>
              <w:bottom w:val="single" w:color="000000" w:sz="6" w:space="0"/>
              <w:right w:val="single" w:color="000000" w:sz="6" w:space="0"/>
            </w:tcBorders>
            <w:vAlign w:val="center"/>
          </w:tcPr>
          <w:p w14:paraId="53C23E0E">
            <w:pPr>
              <w:spacing w:line="240" w:lineRule="auto"/>
              <w:jc w:val="center"/>
              <w:rPr>
                <w:sz w:val="21"/>
                <w:szCs w:val="21"/>
              </w:rPr>
            </w:pPr>
            <w:r>
              <w:rPr>
                <w:rFonts w:hint="eastAsia"/>
                <w:sz w:val="21"/>
                <w:szCs w:val="21"/>
              </w:rPr>
              <w:t>3.17</w:t>
            </w:r>
          </w:p>
        </w:tc>
        <w:tc>
          <w:tcPr>
            <w:tcW w:w="846" w:type="dxa"/>
            <w:tcBorders>
              <w:top w:val="single" w:color="000000" w:sz="6" w:space="0"/>
              <w:left w:val="single" w:color="000000" w:sz="6" w:space="0"/>
              <w:bottom w:val="single" w:color="000000" w:sz="6" w:space="0"/>
              <w:right w:val="single" w:color="000000" w:sz="6" w:space="0"/>
            </w:tcBorders>
            <w:vAlign w:val="center"/>
          </w:tcPr>
          <w:p w14:paraId="6DF8891C">
            <w:pPr>
              <w:spacing w:line="240" w:lineRule="auto"/>
              <w:jc w:val="center"/>
              <w:rPr>
                <w:sz w:val="21"/>
                <w:szCs w:val="21"/>
              </w:rPr>
            </w:pPr>
            <w:r>
              <w:rPr>
                <w:rFonts w:hint="eastAsia"/>
                <w:sz w:val="21"/>
                <w:szCs w:val="21"/>
              </w:rPr>
              <w:t>5.56</w:t>
            </w:r>
          </w:p>
        </w:tc>
        <w:tc>
          <w:tcPr>
            <w:tcW w:w="788" w:type="dxa"/>
            <w:tcBorders>
              <w:top w:val="single" w:color="000000" w:sz="6" w:space="0"/>
              <w:left w:val="single" w:color="000000" w:sz="6" w:space="0"/>
              <w:bottom w:val="single" w:color="000000" w:sz="6" w:space="0"/>
            </w:tcBorders>
            <w:vAlign w:val="center"/>
          </w:tcPr>
          <w:p w14:paraId="7F8D78A0">
            <w:pPr>
              <w:spacing w:line="240" w:lineRule="auto"/>
              <w:jc w:val="center"/>
              <w:rPr>
                <w:sz w:val="21"/>
                <w:szCs w:val="21"/>
              </w:rPr>
            </w:pPr>
            <w:r>
              <w:rPr>
                <w:rFonts w:hint="eastAsia"/>
                <w:sz w:val="21"/>
                <w:szCs w:val="21"/>
              </w:rPr>
              <w:t>2.3</w:t>
            </w:r>
          </w:p>
        </w:tc>
      </w:tr>
      <w:tr w14:paraId="35C66C4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0E73BF07">
            <w:pPr>
              <w:spacing w:line="240" w:lineRule="auto"/>
              <w:jc w:val="center"/>
              <w:rPr>
                <w:sz w:val="21"/>
                <w:szCs w:val="21"/>
              </w:rPr>
            </w:pPr>
            <w:r>
              <w:rPr>
                <w:sz w:val="21"/>
                <w:szCs w:val="21"/>
              </w:rPr>
              <w:t>12月</w:t>
            </w:r>
          </w:p>
        </w:tc>
        <w:tc>
          <w:tcPr>
            <w:tcW w:w="845" w:type="dxa"/>
            <w:tcBorders>
              <w:top w:val="single" w:color="000000" w:sz="6" w:space="0"/>
              <w:left w:val="single" w:color="000000" w:sz="6" w:space="0"/>
              <w:bottom w:val="single" w:color="000000" w:sz="6" w:space="0"/>
              <w:right w:val="single" w:color="000000" w:sz="6" w:space="0"/>
            </w:tcBorders>
            <w:vAlign w:val="center"/>
          </w:tcPr>
          <w:p w14:paraId="4845CE58">
            <w:pPr>
              <w:spacing w:line="240" w:lineRule="auto"/>
              <w:jc w:val="center"/>
              <w:rPr>
                <w:sz w:val="21"/>
                <w:szCs w:val="21"/>
              </w:rPr>
            </w:pPr>
            <w:r>
              <w:rPr>
                <w:rFonts w:hint="eastAsia"/>
                <w:sz w:val="21"/>
                <w:szCs w:val="21"/>
              </w:rPr>
              <w:t>12.78</w:t>
            </w:r>
          </w:p>
        </w:tc>
        <w:tc>
          <w:tcPr>
            <w:tcW w:w="915" w:type="dxa"/>
            <w:tcBorders>
              <w:top w:val="single" w:color="000000" w:sz="6" w:space="0"/>
              <w:left w:val="single" w:color="000000" w:sz="6" w:space="0"/>
              <w:bottom w:val="single" w:color="000000" w:sz="6" w:space="0"/>
              <w:right w:val="single" w:color="000000" w:sz="6" w:space="0"/>
            </w:tcBorders>
            <w:vAlign w:val="center"/>
          </w:tcPr>
          <w:p w14:paraId="0CCA1DF7">
            <w:pPr>
              <w:spacing w:line="240" w:lineRule="auto"/>
              <w:jc w:val="center"/>
              <w:rPr>
                <w:sz w:val="21"/>
                <w:szCs w:val="21"/>
              </w:rPr>
            </w:pPr>
            <w:r>
              <w:rPr>
                <w:rFonts w:hint="eastAsia"/>
                <w:sz w:val="21"/>
                <w:szCs w:val="21"/>
              </w:rPr>
              <w:t>3.93</w:t>
            </w:r>
          </w:p>
        </w:tc>
        <w:tc>
          <w:tcPr>
            <w:tcW w:w="732" w:type="dxa"/>
            <w:tcBorders>
              <w:top w:val="single" w:color="000000" w:sz="6" w:space="0"/>
              <w:left w:val="single" w:color="000000" w:sz="6" w:space="0"/>
              <w:bottom w:val="single" w:color="000000" w:sz="6" w:space="0"/>
              <w:right w:val="single" w:color="000000" w:sz="6" w:space="0"/>
            </w:tcBorders>
            <w:vAlign w:val="center"/>
          </w:tcPr>
          <w:p w14:paraId="4715087C">
            <w:pPr>
              <w:spacing w:line="240" w:lineRule="auto"/>
              <w:jc w:val="center"/>
              <w:rPr>
                <w:sz w:val="21"/>
                <w:szCs w:val="21"/>
              </w:rPr>
            </w:pPr>
            <w:r>
              <w:rPr>
                <w:rFonts w:hint="eastAsia"/>
                <w:sz w:val="21"/>
                <w:szCs w:val="21"/>
              </w:rPr>
              <w:t>1.63</w:t>
            </w:r>
          </w:p>
        </w:tc>
        <w:tc>
          <w:tcPr>
            <w:tcW w:w="977" w:type="dxa"/>
            <w:tcBorders>
              <w:top w:val="single" w:color="000000" w:sz="6" w:space="0"/>
              <w:left w:val="single" w:color="000000" w:sz="6" w:space="0"/>
              <w:bottom w:val="single" w:color="000000" w:sz="6" w:space="0"/>
              <w:right w:val="single" w:color="000000" w:sz="6" w:space="0"/>
            </w:tcBorders>
            <w:vAlign w:val="center"/>
          </w:tcPr>
          <w:p w14:paraId="72DFDCFA">
            <w:pPr>
              <w:spacing w:line="240" w:lineRule="auto"/>
              <w:jc w:val="center"/>
              <w:rPr>
                <w:sz w:val="21"/>
                <w:szCs w:val="21"/>
              </w:rPr>
            </w:pPr>
            <w:r>
              <w:rPr>
                <w:rFonts w:hint="eastAsia"/>
                <w:sz w:val="21"/>
                <w:szCs w:val="21"/>
              </w:rPr>
              <w:t>1.5</w:t>
            </w:r>
          </w:p>
        </w:tc>
        <w:tc>
          <w:tcPr>
            <w:tcW w:w="675" w:type="dxa"/>
            <w:tcBorders>
              <w:top w:val="single" w:color="000000" w:sz="6" w:space="0"/>
              <w:left w:val="single" w:color="000000" w:sz="6" w:space="0"/>
              <w:bottom w:val="single" w:color="000000" w:sz="6" w:space="0"/>
              <w:right w:val="single" w:color="000000" w:sz="6" w:space="0"/>
            </w:tcBorders>
            <w:vAlign w:val="center"/>
          </w:tcPr>
          <w:p w14:paraId="6BF9FB93">
            <w:pPr>
              <w:spacing w:line="240" w:lineRule="auto"/>
              <w:jc w:val="center"/>
              <w:rPr>
                <w:sz w:val="21"/>
                <w:szCs w:val="21"/>
              </w:rPr>
            </w:pPr>
            <w:r>
              <w:rPr>
                <w:rFonts w:hint="eastAsia"/>
                <w:sz w:val="21"/>
                <w:szCs w:val="21"/>
              </w:rPr>
              <w:t>1.53</w:t>
            </w:r>
          </w:p>
        </w:tc>
        <w:tc>
          <w:tcPr>
            <w:tcW w:w="895" w:type="dxa"/>
            <w:tcBorders>
              <w:top w:val="single" w:color="000000" w:sz="6" w:space="0"/>
              <w:left w:val="single" w:color="000000" w:sz="6" w:space="0"/>
              <w:bottom w:val="single" w:color="000000" w:sz="6" w:space="0"/>
              <w:right w:val="single" w:color="000000" w:sz="6" w:space="0"/>
            </w:tcBorders>
            <w:vAlign w:val="center"/>
          </w:tcPr>
          <w:p w14:paraId="66FA43F5">
            <w:pPr>
              <w:spacing w:line="240" w:lineRule="auto"/>
              <w:jc w:val="center"/>
              <w:rPr>
                <w:sz w:val="21"/>
                <w:szCs w:val="21"/>
              </w:rPr>
            </w:pPr>
            <w:r>
              <w:rPr>
                <w:rFonts w:hint="eastAsia"/>
                <w:sz w:val="21"/>
                <w:szCs w:val="21"/>
              </w:rPr>
              <w:t>3.13</w:t>
            </w:r>
          </w:p>
        </w:tc>
        <w:tc>
          <w:tcPr>
            <w:tcW w:w="845" w:type="dxa"/>
            <w:tcBorders>
              <w:top w:val="single" w:color="000000" w:sz="6" w:space="0"/>
              <w:left w:val="single" w:color="000000" w:sz="6" w:space="0"/>
              <w:bottom w:val="single" w:color="000000" w:sz="6" w:space="0"/>
              <w:right w:val="single" w:color="000000" w:sz="6" w:space="0"/>
            </w:tcBorders>
            <w:vAlign w:val="center"/>
          </w:tcPr>
          <w:p w14:paraId="4FDFBF1E">
            <w:pPr>
              <w:spacing w:line="240" w:lineRule="auto"/>
              <w:jc w:val="center"/>
              <w:rPr>
                <w:sz w:val="21"/>
                <w:szCs w:val="21"/>
              </w:rPr>
            </w:pPr>
            <w:r>
              <w:rPr>
                <w:rFonts w:hint="eastAsia"/>
                <w:sz w:val="21"/>
                <w:szCs w:val="21"/>
              </w:rPr>
              <w:t>3.11</w:t>
            </w:r>
          </w:p>
        </w:tc>
        <w:tc>
          <w:tcPr>
            <w:tcW w:w="846" w:type="dxa"/>
            <w:tcBorders>
              <w:top w:val="single" w:color="000000" w:sz="6" w:space="0"/>
              <w:left w:val="single" w:color="000000" w:sz="6" w:space="0"/>
              <w:bottom w:val="single" w:color="000000" w:sz="6" w:space="0"/>
              <w:right w:val="single" w:color="000000" w:sz="6" w:space="0"/>
            </w:tcBorders>
            <w:vAlign w:val="center"/>
          </w:tcPr>
          <w:p w14:paraId="6C55455F">
            <w:pPr>
              <w:spacing w:line="240" w:lineRule="auto"/>
              <w:jc w:val="center"/>
              <w:rPr>
                <w:sz w:val="21"/>
                <w:szCs w:val="21"/>
              </w:rPr>
            </w:pPr>
            <w:r>
              <w:rPr>
                <w:rFonts w:hint="eastAsia"/>
                <w:sz w:val="21"/>
                <w:szCs w:val="21"/>
              </w:rPr>
              <w:t>5.74</w:t>
            </w:r>
          </w:p>
        </w:tc>
        <w:tc>
          <w:tcPr>
            <w:tcW w:w="788" w:type="dxa"/>
            <w:tcBorders>
              <w:top w:val="single" w:color="000000" w:sz="6" w:space="0"/>
              <w:left w:val="single" w:color="000000" w:sz="6" w:space="0"/>
              <w:bottom w:val="single" w:color="000000" w:sz="6" w:space="0"/>
            </w:tcBorders>
            <w:vAlign w:val="center"/>
          </w:tcPr>
          <w:p w14:paraId="706CD1B0">
            <w:pPr>
              <w:spacing w:line="240" w:lineRule="auto"/>
              <w:jc w:val="center"/>
              <w:rPr>
                <w:sz w:val="21"/>
                <w:szCs w:val="21"/>
              </w:rPr>
            </w:pPr>
            <w:r>
              <w:rPr>
                <w:rFonts w:hint="eastAsia"/>
                <w:sz w:val="21"/>
                <w:szCs w:val="21"/>
              </w:rPr>
              <w:t>2.37</w:t>
            </w:r>
          </w:p>
        </w:tc>
      </w:tr>
      <w:tr w14:paraId="6C72C44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15D887B">
            <w:pPr>
              <w:spacing w:line="240" w:lineRule="auto"/>
              <w:jc w:val="center"/>
              <w:rPr>
                <w:sz w:val="21"/>
                <w:szCs w:val="21"/>
              </w:rPr>
            </w:pPr>
            <w:r>
              <w:rPr>
                <w:sz w:val="21"/>
                <w:szCs w:val="21"/>
              </w:rPr>
              <w:t>全年</w:t>
            </w:r>
          </w:p>
        </w:tc>
        <w:tc>
          <w:tcPr>
            <w:tcW w:w="845" w:type="dxa"/>
            <w:tcBorders>
              <w:top w:val="single" w:color="000000" w:sz="6" w:space="0"/>
              <w:left w:val="single" w:color="000000" w:sz="6" w:space="0"/>
              <w:bottom w:val="single" w:color="000000" w:sz="6" w:space="0"/>
              <w:right w:val="single" w:color="000000" w:sz="6" w:space="0"/>
            </w:tcBorders>
            <w:vAlign w:val="center"/>
          </w:tcPr>
          <w:p w14:paraId="0CA521B8">
            <w:pPr>
              <w:spacing w:line="240" w:lineRule="auto"/>
              <w:jc w:val="center"/>
              <w:rPr>
                <w:sz w:val="21"/>
                <w:szCs w:val="21"/>
              </w:rPr>
            </w:pPr>
            <w:r>
              <w:rPr>
                <w:rFonts w:hint="eastAsia"/>
                <w:sz w:val="21"/>
                <w:szCs w:val="21"/>
              </w:rPr>
              <w:t>24.52</w:t>
            </w:r>
          </w:p>
        </w:tc>
        <w:tc>
          <w:tcPr>
            <w:tcW w:w="915" w:type="dxa"/>
            <w:tcBorders>
              <w:top w:val="single" w:color="000000" w:sz="6" w:space="0"/>
              <w:left w:val="single" w:color="000000" w:sz="6" w:space="0"/>
              <w:bottom w:val="single" w:color="000000" w:sz="6" w:space="0"/>
              <w:right w:val="single" w:color="000000" w:sz="6" w:space="0"/>
            </w:tcBorders>
            <w:vAlign w:val="center"/>
          </w:tcPr>
          <w:p w14:paraId="020E6BB4">
            <w:pPr>
              <w:spacing w:line="240" w:lineRule="auto"/>
              <w:jc w:val="center"/>
              <w:rPr>
                <w:sz w:val="21"/>
                <w:szCs w:val="21"/>
              </w:rPr>
            </w:pPr>
            <w:r>
              <w:rPr>
                <w:rFonts w:hint="eastAsia"/>
                <w:sz w:val="21"/>
                <w:szCs w:val="21"/>
              </w:rPr>
              <w:t>7</w:t>
            </w:r>
          </w:p>
        </w:tc>
        <w:tc>
          <w:tcPr>
            <w:tcW w:w="732" w:type="dxa"/>
            <w:tcBorders>
              <w:top w:val="single" w:color="000000" w:sz="6" w:space="0"/>
              <w:left w:val="single" w:color="000000" w:sz="6" w:space="0"/>
              <w:bottom w:val="single" w:color="000000" w:sz="6" w:space="0"/>
              <w:right w:val="single" w:color="000000" w:sz="6" w:space="0"/>
            </w:tcBorders>
            <w:vAlign w:val="center"/>
          </w:tcPr>
          <w:p w14:paraId="467D39B0">
            <w:pPr>
              <w:spacing w:line="240" w:lineRule="auto"/>
              <w:jc w:val="center"/>
              <w:rPr>
                <w:sz w:val="21"/>
                <w:szCs w:val="21"/>
              </w:rPr>
            </w:pPr>
            <w:r>
              <w:rPr>
                <w:rFonts w:hint="eastAsia"/>
                <w:sz w:val="21"/>
                <w:szCs w:val="21"/>
              </w:rPr>
              <w:t>2.67</w:t>
            </w:r>
          </w:p>
        </w:tc>
        <w:tc>
          <w:tcPr>
            <w:tcW w:w="977" w:type="dxa"/>
            <w:tcBorders>
              <w:top w:val="single" w:color="000000" w:sz="6" w:space="0"/>
              <w:left w:val="single" w:color="000000" w:sz="6" w:space="0"/>
              <w:bottom w:val="single" w:color="000000" w:sz="6" w:space="0"/>
              <w:right w:val="single" w:color="000000" w:sz="6" w:space="0"/>
            </w:tcBorders>
            <w:vAlign w:val="center"/>
          </w:tcPr>
          <w:p w14:paraId="6097D3D5">
            <w:pPr>
              <w:spacing w:line="240" w:lineRule="auto"/>
              <w:jc w:val="center"/>
              <w:rPr>
                <w:sz w:val="21"/>
                <w:szCs w:val="21"/>
              </w:rPr>
            </w:pPr>
            <w:r>
              <w:rPr>
                <w:rFonts w:hint="eastAsia"/>
                <w:sz w:val="21"/>
                <w:szCs w:val="21"/>
              </w:rPr>
              <w:t>1.87</w:t>
            </w:r>
          </w:p>
        </w:tc>
        <w:tc>
          <w:tcPr>
            <w:tcW w:w="675" w:type="dxa"/>
            <w:tcBorders>
              <w:top w:val="single" w:color="000000" w:sz="6" w:space="0"/>
              <w:left w:val="single" w:color="000000" w:sz="6" w:space="0"/>
              <w:bottom w:val="single" w:color="000000" w:sz="6" w:space="0"/>
              <w:right w:val="single" w:color="000000" w:sz="6" w:space="0"/>
            </w:tcBorders>
            <w:vAlign w:val="center"/>
          </w:tcPr>
          <w:p w14:paraId="383A3818">
            <w:pPr>
              <w:spacing w:line="240" w:lineRule="auto"/>
              <w:jc w:val="center"/>
              <w:rPr>
                <w:sz w:val="21"/>
                <w:szCs w:val="21"/>
              </w:rPr>
            </w:pPr>
            <w:r>
              <w:rPr>
                <w:rFonts w:hint="eastAsia"/>
                <w:sz w:val="21"/>
                <w:szCs w:val="21"/>
              </w:rPr>
              <w:t>1.58</w:t>
            </w:r>
          </w:p>
        </w:tc>
        <w:tc>
          <w:tcPr>
            <w:tcW w:w="895" w:type="dxa"/>
            <w:tcBorders>
              <w:top w:val="single" w:color="000000" w:sz="6" w:space="0"/>
              <w:left w:val="single" w:color="000000" w:sz="6" w:space="0"/>
              <w:bottom w:val="single" w:color="000000" w:sz="6" w:space="0"/>
              <w:right w:val="single" w:color="000000" w:sz="6" w:space="0"/>
            </w:tcBorders>
            <w:vAlign w:val="center"/>
          </w:tcPr>
          <w:p w14:paraId="35CD0574">
            <w:pPr>
              <w:spacing w:line="240" w:lineRule="auto"/>
              <w:jc w:val="center"/>
              <w:rPr>
                <w:sz w:val="21"/>
                <w:szCs w:val="21"/>
              </w:rPr>
            </w:pPr>
            <w:r>
              <w:rPr>
                <w:rFonts w:hint="eastAsia"/>
                <w:sz w:val="21"/>
                <w:szCs w:val="21"/>
              </w:rPr>
              <w:t>2.4</w:t>
            </w:r>
          </w:p>
        </w:tc>
        <w:tc>
          <w:tcPr>
            <w:tcW w:w="845" w:type="dxa"/>
            <w:tcBorders>
              <w:top w:val="single" w:color="000000" w:sz="6" w:space="0"/>
              <w:left w:val="single" w:color="000000" w:sz="6" w:space="0"/>
              <w:bottom w:val="single" w:color="000000" w:sz="6" w:space="0"/>
              <w:right w:val="single" w:color="000000" w:sz="6" w:space="0"/>
            </w:tcBorders>
            <w:vAlign w:val="center"/>
          </w:tcPr>
          <w:p w14:paraId="183C35EF">
            <w:pPr>
              <w:spacing w:line="240" w:lineRule="auto"/>
              <w:jc w:val="center"/>
              <w:rPr>
                <w:sz w:val="21"/>
                <w:szCs w:val="21"/>
              </w:rPr>
            </w:pPr>
            <w:r>
              <w:rPr>
                <w:rFonts w:hint="eastAsia"/>
                <w:sz w:val="21"/>
                <w:szCs w:val="21"/>
              </w:rPr>
              <w:t>4.36</w:t>
            </w:r>
          </w:p>
        </w:tc>
        <w:tc>
          <w:tcPr>
            <w:tcW w:w="846" w:type="dxa"/>
            <w:tcBorders>
              <w:top w:val="single" w:color="000000" w:sz="6" w:space="0"/>
              <w:left w:val="single" w:color="000000" w:sz="6" w:space="0"/>
              <w:bottom w:val="single" w:color="000000" w:sz="6" w:space="0"/>
              <w:right w:val="single" w:color="000000" w:sz="6" w:space="0"/>
            </w:tcBorders>
            <w:vAlign w:val="center"/>
          </w:tcPr>
          <w:p w14:paraId="6A3133AE">
            <w:pPr>
              <w:spacing w:line="240" w:lineRule="auto"/>
              <w:jc w:val="center"/>
              <w:rPr>
                <w:sz w:val="21"/>
                <w:szCs w:val="21"/>
              </w:rPr>
            </w:pPr>
            <w:r>
              <w:rPr>
                <w:rFonts w:hint="eastAsia"/>
                <w:sz w:val="21"/>
                <w:szCs w:val="21"/>
              </w:rPr>
              <w:t>9.82</w:t>
            </w:r>
          </w:p>
        </w:tc>
        <w:tc>
          <w:tcPr>
            <w:tcW w:w="788" w:type="dxa"/>
            <w:tcBorders>
              <w:top w:val="single" w:color="000000" w:sz="6" w:space="0"/>
              <w:left w:val="single" w:color="000000" w:sz="6" w:space="0"/>
              <w:bottom w:val="single" w:color="000000" w:sz="6" w:space="0"/>
            </w:tcBorders>
            <w:vAlign w:val="center"/>
          </w:tcPr>
          <w:p w14:paraId="19E421AA">
            <w:pPr>
              <w:spacing w:line="240" w:lineRule="auto"/>
              <w:jc w:val="center"/>
              <w:rPr>
                <w:sz w:val="21"/>
                <w:szCs w:val="21"/>
              </w:rPr>
            </w:pPr>
            <w:r>
              <w:rPr>
                <w:rFonts w:hint="eastAsia"/>
                <w:sz w:val="21"/>
                <w:szCs w:val="21"/>
              </w:rPr>
              <w:t>8.59</w:t>
            </w:r>
          </w:p>
        </w:tc>
      </w:tr>
      <w:tr w14:paraId="7736A2B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70E3759">
            <w:pPr>
              <w:spacing w:line="240" w:lineRule="auto"/>
              <w:jc w:val="center"/>
              <w:rPr>
                <w:sz w:val="21"/>
                <w:szCs w:val="21"/>
              </w:rPr>
            </w:pPr>
            <w:r>
              <w:rPr>
                <w:sz w:val="21"/>
                <w:szCs w:val="21"/>
              </w:rPr>
              <w:t>月份</w:t>
            </w:r>
          </w:p>
        </w:tc>
        <w:tc>
          <w:tcPr>
            <w:tcW w:w="845" w:type="dxa"/>
            <w:tcBorders>
              <w:top w:val="single" w:color="000000" w:sz="6" w:space="0"/>
              <w:left w:val="single" w:color="000000" w:sz="6" w:space="0"/>
              <w:bottom w:val="single" w:color="000000" w:sz="6" w:space="0"/>
              <w:right w:val="single" w:color="000000" w:sz="6" w:space="0"/>
            </w:tcBorders>
            <w:vAlign w:val="center"/>
          </w:tcPr>
          <w:p w14:paraId="30F839EB">
            <w:pPr>
              <w:spacing w:line="240" w:lineRule="auto"/>
              <w:jc w:val="center"/>
              <w:rPr>
                <w:sz w:val="21"/>
                <w:szCs w:val="21"/>
              </w:rPr>
            </w:pPr>
            <w:r>
              <w:rPr>
                <w:sz w:val="21"/>
                <w:szCs w:val="21"/>
              </w:rPr>
              <w:t>SW</w:t>
            </w:r>
          </w:p>
        </w:tc>
        <w:tc>
          <w:tcPr>
            <w:tcW w:w="915" w:type="dxa"/>
            <w:tcBorders>
              <w:top w:val="single" w:color="000000" w:sz="6" w:space="0"/>
              <w:left w:val="single" w:color="000000" w:sz="6" w:space="0"/>
              <w:bottom w:val="single" w:color="000000" w:sz="6" w:space="0"/>
              <w:right w:val="single" w:color="000000" w:sz="6" w:space="0"/>
            </w:tcBorders>
            <w:vAlign w:val="center"/>
          </w:tcPr>
          <w:p w14:paraId="4DA4EBD7">
            <w:pPr>
              <w:spacing w:line="240" w:lineRule="auto"/>
              <w:jc w:val="center"/>
              <w:rPr>
                <w:sz w:val="21"/>
                <w:szCs w:val="21"/>
              </w:rPr>
            </w:pPr>
            <w:r>
              <w:rPr>
                <w:sz w:val="21"/>
                <w:szCs w:val="21"/>
              </w:rPr>
              <w:t>WSW</w:t>
            </w:r>
          </w:p>
        </w:tc>
        <w:tc>
          <w:tcPr>
            <w:tcW w:w="732" w:type="dxa"/>
            <w:tcBorders>
              <w:top w:val="single" w:color="000000" w:sz="6" w:space="0"/>
              <w:left w:val="single" w:color="000000" w:sz="6" w:space="0"/>
              <w:bottom w:val="single" w:color="000000" w:sz="6" w:space="0"/>
              <w:right w:val="single" w:color="000000" w:sz="6" w:space="0"/>
            </w:tcBorders>
            <w:vAlign w:val="center"/>
          </w:tcPr>
          <w:p w14:paraId="2B103174">
            <w:pPr>
              <w:spacing w:line="240" w:lineRule="auto"/>
              <w:jc w:val="center"/>
              <w:rPr>
                <w:sz w:val="21"/>
                <w:szCs w:val="21"/>
              </w:rPr>
            </w:pPr>
            <w:r>
              <w:rPr>
                <w:sz w:val="21"/>
                <w:szCs w:val="21"/>
              </w:rPr>
              <w:t>W</w:t>
            </w:r>
          </w:p>
        </w:tc>
        <w:tc>
          <w:tcPr>
            <w:tcW w:w="977" w:type="dxa"/>
            <w:tcBorders>
              <w:top w:val="single" w:color="000000" w:sz="6" w:space="0"/>
              <w:left w:val="single" w:color="000000" w:sz="6" w:space="0"/>
              <w:bottom w:val="single" w:color="000000" w:sz="6" w:space="0"/>
              <w:right w:val="single" w:color="000000" w:sz="6" w:space="0"/>
            </w:tcBorders>
            <w:vAlign w:val="center"/>
          </w:tcPr>
          <w:p w14:paraId="5F8EA2F5">
            <w:pPr>
              <w:spacing w:line="240" w:lineRule="auto"/>
              <w:jc w:val="center"/>
              <w:rPr>
                <w:sz w:val="21"/>
                <w:szCs w:val="21"/>
              </w:rPr>
            </w:pPr>
            <w:r>
              <w:rPr>
                <w:sz w:val="21"/>
                <w:szCs w:val="21"/>
              </w:rPr>
              <w:t>WNW</w:t>
            </w:r>
          </w:p>
        </w:tc>
        <w:tc>
          <w:tcPr>
            <w:tcW w:w="675" w:type="dxa"/>
            <w:tcBorders>
              <w:top w:val="single" w:color="000000" w:sz="6" w:space="0"/>
              <w:left w:val="single" w:color="000000" w:sz="6" w:space="0"/>
              <w:bottom w:val="single" w:color="000000" w:sz="6" w:space="0"/>
              <w:right w:val="single" w:color="000000" w:sz="6" w:space="0"/>
            </w:tcBorders>
            <w:vAlign w:val="center"/>
          </w:tcPr>
          <w:p w14:paraId="55CF24A5">
            <w:pPr>
              <w:spacing w:line="240" w:lineRule="auto"/>
              <w:jc w:val="center"/>
              <w:rPr>
                <w:sz w:val="21"/>
                <w:szCs w:val="21"/>
              </w:rPr>
            </w:pPr>
            <w:r>
              <w:rPr>
                <w:sz w:val="21"/>
                <w:szCs w:val="21"/>
              </w:rPr>
              <w:t>NW</w:t>
            </w:r>
          </w:p>
        </w:tc>
        <w:tc>
          <w:tcPr>
            <w:tcW w:w="895" w:type="dxa"/>
            <w:tcBorders>
              <w:top w:val="single" w:color="000000" w:sz="6" w:space="0"/>
              <w:left w:val="single" w:color="000000" w:sz="6" w:space="0"/>
              <w:bottom w:val="single" w:color="000000" w:sz="6" w:space="0"/>
              <w:right w:val="single" w:color="000000" w:sz="6" w:space="0"/>
            </w:tcBorders>
            <w:vAlign w:val="center"/>
          </w:tcPr>
          <w:p w14:paraId="1844C743">
            <w:pPr>
              <w:spacing w:line="240" w:lineRule="auto"/>
              <w:jc w:val="center"/>
              <w:rPr>
                <w:sz w:val="21"/>
                <w:szCs w:val="21"/>
              </w:rPr>
            </w:pPr>
            <w:r>
              <w:rPr>
                <w:sz w:val="21"/>
                <w:szCs w:val="21"/>
              </w:rPr>
              <w:t>NNW</w:t>
            </w:r>
          </w:p>
        </w:tc>
        <w:tc>
          <w:tcPr>
            <w:tcW w:w="845" w:type="dxa"/>
            <w:tcBorders>
              <w:top w:val="single" w:color="000000" w:sz="6" w:space="0"/>
              <w:left w:val="single" w:color="000000" w:sz="6" w:space="0"/>
              <w:bottom w:val="single" w:color="000000" w:sz="6" w:space="0"/>
              <w:right w:val="single" w:color="000000" w:sz="6" w:space="0"/>
            </w:tcBorders>
            <w:vAlign w:val="center"/>
          </w:tcPr>
          <w:p w14:paraId="3BD0414A">
            <w:pPr>
              <w:spacing w:line="240" w:lineRule="auto"/>
              <w:jc w:val="center"/>
              <w:rPr>
                <w:sz w:val="21"/>
                <w:szCs w:val="21"/>
              </w:rPr>
            </w:pPr>
            <w:r>
              <w:rPr>
                <w:sz w:val="21"/>
                <w:szCs w:val="21"/>
              </w:rPr>
              <w:t>N</w:t>
            </w:r>
          </w:p>
        </w:tc>
        <w:tc>
          <w:tcPr>
            <w:tcW w:w="846" w:type="dxa"/>
            <w:tcBorders>
              <w:top w:val="single" w:color="000000" w:sz="6" w:space="0"/>
              <w:left w:val="single" w:color="000000" w:sz="6" w:space="0"/>
              <w:bottom w:val="single" w:color="000000" w:sz="6" w:space="0"/>
              <w:right w:val="single" w:color="000000" w:sz="6" w:space="0"/>
            </w:tcBorders>
            <w:vAlign w:val="center"/>
          </w:tcPr>
          <w:p w14:paraId="4B147AA7">
            <w:pPr>
              <w:spacing w:line="240" w:lineRule="auto"/>
              <w:jc w:val="center"/>
              <w:rPr>
                <w:sz w:val="21"/>
                <w:szCs w:val="21"/>
              </w:rPr>
            </w:pPr>
            <w:r>
              <w:rPr>
                <w:sz w:val="21"/>
                <w:szCs w:val="21"/>
              </w:rPr>
              <w:t>C</w:t>
            </w:r>
          </w:p>
        </w:tc>
        <w:tc>
          <w:tcPr>
            <w:tcW w:w="788" w:type="dxa"/>
            <w:tcBorders>
              <w:top w:val="single" w:color="000000" w:sz="6" w:space="0"/>
              <w:left w:val="single" w:color="000000" w:sz="6" w:space="0"/>
              <w:bottom w:val="single" w:color="000000" w:sz="6" w:space="0"/>
            </w:tcBorders>
            <w:vAlign w:val="center"/>
          </w:tcPr>
          <w:p w14:paraId="6E6F7276">
            <w:pPr>
              <w:spacing w:line="240" w:lineRule="auto"/>
              <w:jc w:val="center"/>
              <w:rPr>
                <w:sz w:val="21"/>
                <w:szCs w:val="21"/>
              </w:rPr>
            </w:pPr>
          </w:p>
        </w:tc>
      </w:tr>
      <w:tr w14:paraId="34401C0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B1F33A2">
            <w:pPr>
              <w:spacing w:line="240" w:lineRule="auto"/>
              <w:jc w:val="center"/>
              <w:rPr>
                <w:sz w:val="21"/>
                <w:szCs w:val="21"/>
              </w:rPr>
            </w:pPr>
            <w:r>
              <w:rPr>
                <w:sz w:val="21"/>
                <w:szCs w:val="21"/>
              </w:rPr>
              <w:t>1月</w:t>
            </w:r>
          </w:p>
        </w:tc>
        <w:tc>
          <w:tcPr>
            <w:tcW w:w="845" w:type="dxa"/>
            <w:tcBorders>
              <w:top w:val="single" w:color="000000" w:sz="6" w:space="0"/>
              <w:left w:val="single" w:color="000000" w:sz="6" w:space="0"/>
              <w:bottom w:val="single" w:color="000000" w:sz="6" w:space="0"/>
              <w:right w:val="single" w:color="000000" w:sz="6" w:space="0"/>
            </w:tcBorders>
            <w:vAlign w:val="center"/>
          </w:tcPr>
          <w:p w14:paraId="25A2C6FC">
            <w:pPr>
              <w:spacing w:line="240" w:lineRule="auto"/>
              <w:jc w:val="center"/>
              <w:rPr>
                <w:sz w:val="21"/>
                <w:szCs w:val="21"/>
              </w:rPr>
            </w:pPr>
            <w:r>
              <w:rPr>
                <w:rFonts w:hint="eastAsia"/>
                <w:sz w:val="21"/>
                <w:szCs w:val="21"/>
              </w:rPr>
              <w:t>1.52</w:t>
            </w:r>
          </w:p>
        </w:tc>
        <w:tc>
          <w:tcPr>
            <w:tcW w:w="915" w:type="dxa"/>
            <w:tcBorders>
              <w:top w:val="single" w:color="000000" w:sz="6" w:space="0"/>
              <w:left w:val="single" w:color="000000" w:sz="6" w:space="0"/>
              <w:bottom w:val="single" w:color="000000" w:sz="6" w:space="0"/>
              <w:right w:val="single" w:color="000000" w:sz="6" w:space="0"/>
            </w:tcBorders>
            <w:vAlign w:val="center"/>
          </w:tcPr>
          <w:p w14:paraId="744CCED8">
            <w:pPr>
              <w:spacing w:line="240" w:lineRule="auto"/>
              <w:jc w:val="center"/>
              <w:rPr>
                <w:sz w:val="21"/>
                <w:szCs w:val="21"/>
              </w:rPr>
            </w:pPr>
            <w:r>
              <w:rPr>
                <w:rFonts w:hint="eastAsia"/>
                <w:sz w:val="21"/>
                <w:szCs w:val="21"/>
              </w:rPr>
              <w:t>1.03</w:t>
            </w:r>
          </w:p>
        </w:tc>
        <w:tc>
          <w:tcPr>
            <w:tcW w:w="732" w:type="dxa"/>
            <w:tcBorders>
              <w:top w:val="single" w:color="000000" w:sz="6" w:space="0"/>
              <w:left w:val="single" w:color="000000" w:sz="6" w:space="0"/>
              <w:bottom w:val="single" w:color="000000" w:sz="6" w:space="0"/>
              <w:right w:val="single" w:color="000000" w:sz="6" w:space="0"/>
            </w:tcBorders>
            <w:vAlign w:val="center"/>
          </w:tcPr>
          <w:p w14:paraId="6AA1C64B">
            <w:pPr>
              <w:spacing w:line="240" w:lineRule="auto"/>
              <w:jc w:val="center"/>
              <w:rPr>
                <w:sz w:val="21"/>
                <w:szCs w:val="21"/>
              </w:rPr>
            </w:pPr>
            <w:r>
              <w:rPr>
                <w:rFonts w:hint="eastAsia"/>
                <w:sz w:val="21"/>
                <w:szCs w:val="21"/>
              </w:rPr>
              <w:t>1.63</w:t>
            </w:r>
          </w:p>
        </w:tc>
        <w:tc>
          <w:tcPr>
            <w:tcW w:w="977" w:type="dxa"/>
            <w:tcBorders>
              <w:top w:val="single" w:color="000000" w:sz="6" w:space="0"/>
              <w:left w:val="single" w:color="000000" w:sz="6" w:space="0"/>
              <w:bottom w:val="single" w:color="000000" w:sz="6" w:space="0"/>
              <w:right w:val="single" w:color="000000" w:sz="6" w:space="0"/>
            </w:tcBorders>
            <w:vAlign w:val="center"/>
          </w:tcPr>
          <w:p w14:paraId="0BB39286">
            <w:pPr>
              <w:spacing w:line="240" w:lineRule="auto"/>
              <w:jc w:val="center"/>
              <w:rPr>
                <w:sz w:val="21"/>
                <w:szCs w:val="21"/>
              </w:rPr>
            </w:pPr>
            <w:r>
              <w:rPr>
                <w:rFonts w:hint="eastAsia"/>
                <w:sz w:val="21"/>
                <w:szCs w:val="21"/>
              </w:rPr>
              <w:t>1.67</w:t>
            </w:r>
          </w:p>
        </w:tc>
        <w:tc>
          <w:tcPr>
            <w:tcW w:w="675" w:type="dxa"/>
            <w:tcBorders>
              <w:top w:val="single" w:color="000000" w:sz="6" w:space="0"/>
              <w:left w:val="single" w:color="000000" w:sz="6" w:space="0"/>
              <w:bottom w:val="single" w:color="000000" w:sz="6" w:space="0"/>
              <w:right w:val="single" w:color="000000" w:sz="6" w:space="0"/>
            </w:tcBorders>
            <w:vAlign w:val="center"/>
          </w:tcPr>
          <w:p w14:paraId="0F64FEF1">
            <w:pPr>
              <w:spacing w:line="240" w:lineRule="auto"/>
              <w:jc w:val="center"/>
              <w:rPr>
                <w:sz w:val="21"/>
                <w:szCs w:val="21"/>
              </w:rPr>
            </w:pPr>
            <w:r>
              <w:rPr>
                <w:rFonts w:hint="eastAsia"/>
                <w:sz w:val="21"/>
                <w:szCs w:val="21"/>
              </w:rPr>
              <w:t>4.58</w:t>
            </w:r>
          </w:p>
        </w:tc>
        <w:tc>
          <w:tcPr>
            <w:tcW w:w="895" w:type="dxa"/>
            <w:tcBorders>
              <w:top w:val="single" w:color="000000" w:sz="6" w:space="0"/>
              <w:left w:val="single" w:color="000000" w:sz="6" w:space="0"/>
              <w:bottom w:val="single" w:color="000000" w:sz="6" w:space="0"/>
              <w:right w:val="single" w:color="000000" w:sz="6" w:space="0"/>
            </w:tcBorders>
            <w:vAlign w:val="center"/>
          </w:tcPr>
          <w:p w14:paraId="416748C3">
            <w:pPr>
              <w:spacing w:line="240" w:lineRule="auto"/>
              <w:jc w:val="center"/>
              <w:rPr>
                <w:sz w:val="21"/>
                <w:szCs w:val="21"/>
              </w:rPr>
            </w:pPr>
            <w:r>
              <w:rPr>
                <w:rFonts w:hint="eastAsia"/>
                <w:sz w:val="21"/>
                <w:szCs w:val="21"/>
              </w:rPr>
              <w:t>14.38</w:t>
            </w:r>
          </w:p>
        </w:tc>
        <w:tc>
          <w:tcPr>
            <w:tcW w:w="845" w:type="dxa"/>
            <w:tcBorders>
              <w:top w:val="single" w:color="000000" w:sz="6" w:space="0"/>
              <w:left w:val="single" w:color="000000" w:sz="6" w:space="0"/>
              <w:bottom w:val="single" w:color="000000" w:sz="6" w:space="0"/>
              <w:right w:val="single" w:color="000000" w:sz="6" w:space="0"/>
            </w:tcBorders>
            <w:vAlign w:val="center"/>
          </w:tcPr>
          <w:p w14:paraId="344F2AF8">
            <w:pPr>
              <w:spacing w:line="240" w:lineRule="auto"/>
              <w:jc w:val="center"/>
              <w:rPr>
                <w:sz w:val="21"/>
                <w:szCs w:val="21"/>
              </w:rPr>
            </w:pPr>
            <w:r>
              <w:rPr>
                <w:rFonts w:hint="eastAsia"/>
                <w:sz w:val="21"/>
                <w:szCs w:val="21"/>
              </w:rPr>
              <w:t>32.45</w:t>
            </w:r>
          </w:p>
        </w:tc>
        <w:tc>
          <w:tcPr>
            <w:tcW w:w="846" w:type="dxa"/>
            <w:tcBorders>
              <w:top w:val="single" w:color="000000" w:sz="6" w:space="0"/>
              <w:left w:val="single" w:color="000000" w:sz="6" w:space="0"/>
              <w:bottom w:val="single" w:color="000000" w:sz="6" w:space="0"/>
              <w:right w:val="single" w:color="000000" w:sz="6" w:space="0"/>
            </w:tcBorders>
            <w:vAlign w:val="center"/>
          </w:tcPr>
          <w:p w14:paraId="3EBBC930">
            <w:pPr>
              <w:spacing w:line="240" w:lineRule="auto"/>
              <w:jc w:val="center"/>
              <w:rPr>
                <w:sz w:val="21"/>
                <w:szCs w:val="21"/>
              </w:rPr>
            </w:pPr>
            <w:r>
              <w:rPr>
                <w:rFonts w:hint="eastAsia"/>
                <w:sz w:val="21"/>
                <w:szCs w:val="21"/>
              </w:rPr>
              <w:t>11.17</w:t>
            </w:r>
          </w:p>
        </w:tc>
        <w:tc>
          <w:tcPr>
            <w:tcW w:w="788" w:type="dxa"/>
            <w:tcBorders>
              <w:top w:val="single" w:color="000000" w:sz="6" w:space="0"/>
              <w:left w:val="single" w:color="000000" w:sz="6" w:space="0"/>
              <w:bottom w:val="single" w:color="000000" w:sz="6" w:space="0"/>
            </w:tcBorders>
            <w:vAlign w:val="center"/>
          </w:tcPr>
          <w:p w14:paraId="081BEF4A">
            <w:pPr>
              <w:spacing w:line="240" w:lineRule="auto"/>
              <w:jc w:val="center"/>
              <w:rPr>
                <w:sz w:val="21"/>
                <w:szCs w:val="21"/>
              </w:rPr>
            </w:pPr>
          </w:p>
        </w:tc>
      </w:tr>
      <w:tr w14:paraId="31F2713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5900A17">
            <w:pPr>
              <w:spacing w:line="240" w:lineRule="auto"/>
              <w:jc w:val="center"/>
              <w:rPr>
                <w:sz w:val="21"/>
                <w:szCs w:val="21"/>
              </w:rPr>
            </w:pPr>
            <w:r>
              <w:rPr>
                <w:sz w:val="21"/>
                <w:szCs w:val="21"/>
              </w:rPr>
              <w:t>2月</w:t>
            </w:r>
          </w:p>
        </w:tc>
        <w:tc>
          <w:tcPr>
            <w:tcW w:w="845" w:type="dxa"/>
            <w:tcBorders>
              <w:top w:val="single" w:color="000000" w:sz="6" w:space="0"/>
              <w:left w:val="single" w:color="000000" w:sz="6" w:space="0"/>
              <w:bottom w:val="single" w:color="000000" w:sz="6" w:space="0"/>
              <w:right w:val="single" w:color="000000" w:sz="6" w:space="0"/>
            </w:tcBorders>
            <w:vAlign w:val="center"/>
          </w:tcPr>
          <w:p w14:paraId="3B8193B7">
            <w:pPr>
              <w:spacing w:line="240" w:lineRule="auto"/>
              <w:jc w:val="center"/>
              <w:rPr>
                <w:sz w:val="21"/>
                <w:szCs w:val="21"/>
              </w:rPr>
            </w:pPr>
            <w:r>
              <w:rPr>
                <w:rFonts w:hint="eastAsia"/>
                <w:sz w:val="21"/>
                <w:szCs w:val="21"/>
              </w:rPr>
              <w:t>1.68</w:t>
            </w:r>
          </w:p>
        </w:tc>
        <w:tc>
          <w:tcPr>
            <w:tcW w:w="915" w:type="dxa"/>
            <w:tcBorders>
              <w:top w:val="single" w:color="000000" w:sz="6" w:space="0"/>
              <w:left w:val="single" w:color="000000" w:sz="6" w:space="0"/>
              <w:bottom w:val="single" w:color="000000" w:sz="6" w:space="0"/>
              <w:right w:val="single" w:color="000000" w:sz="6" w:space="0"/>
            </w:tcBorders>
            <w:vAlign w:val="center"/>
          </w:tcPr>
          <w:p w14:paraId="095D11E4">
            <w:pPr>
              <w:spacing w:line="240" w:lineRule="auto"/>
              <w:jc w:val="center"/>
              <w:rPr>
                <w:sz w:val="21"/>
                <w:szCs w:val="21"/>
              </w:rPr>
            </w:pPr>
            <w:r>
              <w:rPr>
                <w:rFonts w:hint="eastAsia"/>
                <w:sz w:val="21"/>
                <w:szCs w:val="21"/>
              </w:rPr>
              <w:t>1.04</w:t>
            </w:r>
          </w:p>
        </w:tc>
        <w:tc>
          <w:tcPr>
            <w:tcW w:w="732" w:type="dxa"/>
            <w:tcBorders>
              <w:top w:val="single" w:color="000000" w:sz="6" w:space="0"/>
              <w:left w:val="single" w:color="000000" w:sz="6" w:space="0"/>
              <w:bottom w:val="single" w:color="000000" w:sz="6" w:space="0"/>
              <w:right w:val="single" w:color="000000" w:sz="6" w:space="0"/>
            </w:tcBorders>
            <w:vAlign w:val="center"/>
          </w:tcPr>
          <w:p w14:paraId="14E8987C">
            <w:pPr>
              <w:spacing w:line="240" w:lineRule="auto"/>
              <w:jc w:val="center"/>
              <w:rPr>
                <w:sz w:val="21"/>
                <w:szCs w:val="21"/>
              </w:rPr>
            </w:pPr>
            <w:r>
              <w:rPr>
                <w:rFonts w:hint="eastAsia"/>
                <w:sz w:val="21"/>
                <w:szCs w:val="21"/>
              </w:rPr>
              <w:t>1.63</w:t>
            </w:r>
          </w:p>
        </w:tc>
        <w:tc>
          <w:tcPr>
            <w:tcW w:w="977" w:type="dxa"/>
            <w:tcBorders>
              <w:top w:val="single" w:color="000000" w:sz="6" w:space="0"/>
              <w:left w:val="single" w:color="000000" w:sz="6" w:space="0"/>
              <w:bottom w:val="single" w:color="000000" w:sz="6" w:space="0"/>
              <w:right w:val="single" w:color="000000" w:sz="6" w:space="0"/>
            </w:tcBorders>
            <w:vAlign w:val="center"/>
          </w:tcPr>
          <w:p w14:paraId="651DAA1C">
            <w:pPr>
              <w:spacing w:line="240" w:lineRule="auto"/>
              <w:jc w:val="center"/>
              <w:rPr>
                <w:sz w:val="21"/>
                <w:szCs w:val="21"/>
              </w:rPr>
            </w:pPr>
            <w:r>
              <w:rPr>
                <w:rFonts w:hint="eastAsia"/>
                <w:sz w:val="21"/>
                <w:szCs w:val="21"/>
              </w:rPr>
              <w:t>1.52</w:t>
            </w:r>
          </w:p>
        </w:tc>
        <w:tc>
          <w:tcPr>
            <w:tcW w:w="675" w:type="dxa"/>
            <w:tcBorders>
              <w:top w:val="single" w:color="000000" w:sz="6" w:space="0"/>
              <w:left w:val="single" w:color="000000" w:sz="6" w:space="0"/>
              <w:bottom w:val="single" w:color="000000" w:sz="6" w:space="0"/>
              <w:right w:val="single" w:color="000000" w:sz="6" w:space="0"/>
            </w:tcBorders>
            <w:vAlign w:val="center"/>
          </w:tcPr>
          <w:p w14:paraId="1BABFF27">
            <w:pPr>
              <w:spacing w:line="240" w:lineRule="auto"/>
              <w:jc w:val="center"/>
              <w:rPr>
                <w:sz w:val="21"/>
                <w:szCs w:val="21"/>
              </w:rPr>
            </w:pPr>
            <w:r>
              <w:rPr>
                <w:rFonts w:hint="eastAsia"/>
                <w:sz w:val="21"/>
                <w:szCs w:val="21"/>
              </w:rPr>
              <w:t>4.98</w:t>
            </w:r>
          </w:p>
        </w:tc>
        <w:tc>
          <w:tcPr>
            <w:tcW w:w="895" w:type="dxa"/>
            <w:tcBorders>
              <w:top w:val="single" w:color="000000" w:sz="6" w:space="0"/>
              <w:left w:val="single" w:color="000000" w:sz="6" w:space="0"/>
              <w:bottom w:val="single" w:color="000000" w:sz="6" w:space="0"/>
              <w:right w:val="single" w:color="000000" w:sz="6" w:space="0"/>
            </w:tcBorders>
            <w:vAlign w:val="center"/>
          </w:tcPr>
          <w:p w14:paraId="1DF6F060">
            <w:pPr>
              <w:spacing w:line="240" w:lineRule="auto"/>
              <w:jc w:val="center"/>
              <w:rPr>
                <w:sz w:val="21"/>
                <w:szCs w:val="21"/>
              </w:rPr>
            </w:pPr>
            <w:r>
              <w:rPr>
                <w:rFonts w:hint="eastAsia"/>
                <w:sz w:val="21"/>
                <w:szCs w:val="21"/>
              </w:rPr>
              <w:t>13.64</w:t>
            </w:r>
          </w:p>
        </w:tc>
        <w:tc>
          <w:tcPr>
            <w:tcW w:w="845" w:type="dxa"/>
            <w:tcBorders>
              <w:top w:val="single" w:color="000000" w:sz="6" w:space="0"/>
              <w:left w:val="single" w:color="000000" w:sz="6" w:space="0"/>
              <w:bottom w:val="single" w:color="000000" w:sz="6" w:space="0"/>
              <w:right w:val="single" w:color="000000" w:sz="6" w:space="0"/>
            </w:tcBorders>
            <w:vAlign w:val="center"/>
          </w:tcPr>
          <w:p w14:paraId="0CF6277E">
            <w:pPr>
              <w:spacing w:line="240" w:lineRule="auto"/>
              <w:jc w:val="center"/>
              <w:rPr>
                <w:sz w:val="21"/>
                <w:szCs w:val="21"/>
              </w:rPr>
            </w:pPr>
            <w:r>
              <w:rPr>
                <w:rFonts w:hint="eastAsia"/>
                <w:sz w:val="21"/>
                <w:szCs w:val="21"/>
              </w:rPr>
              <w:t>30.45</w:t>
            </w:r>
          </w:p>
        </w:tc>
        <w:tc>
          <w:tcPr>
            <w:tcW w:w="846" w:type="dxa"/>
            <w:tcBorders>
              <w:top w:val="single" w:color="000000" w:sz="6" w:space="0"/>
              <w:left w:val="single" w:color="000000" w:sz="6" w:space="0"/>
              <w:bottom w:val="single" w:color="000000" w:sz="6" w:space="0"/>
              <w:right w:val="single" w:color="000000" w:sz="6" w:space="0"/>
            </w:tcBorders>
            <w:vAlign w:val="center"/>
          </w:tcPr>
          <w:p w14:paraId="1FD4CFBA">
            <w:pPr>
              <w:spacing w:line="240" w:lineRule="auto"/>
              <w:jc w:val="center"/>
              <w:rPr>
                <w:sz w:val="21"/>
                <w:szCs w:val="21"/>
              </w:rPr>
            </w:pPr>
            <w:r>
              <w:rPr>
                <w:rFonts w:hint="eastAsia"/>
                <w:sz w:val="21"/>
                <w:szCs w:val="21"/>
              </w:rPr>
              <w:t>10.22</w:t>
            </w:r>
          </w:p>
        </w:tc>
        <w:tc>
          <w:tcPr>
            <w:tcW w:w="788" w:type="dxa"/>
            <w:tcBorders>
              <w:top w:val="single" w:color="000000" w:sz="6" w:space="0"/>
              <w:left w:val="single" w:color="000000" w:sz="6" w:space="0"/>
              <w:bottom w:val="single" w:color="000000" w:sz="6" w:space="0"/>
            </w:tcBorders>
            <w:vAlign w:val="center"/>
          </w:tcPr>
          <w:p w14:paraId="1D290DA7">
            <w:pPr>
              <w:spacing w:line="240" w:lineRule="auto"/>
              <w:jc w:val="center"/>
              <w:rPr>
                <w:sz w:val="21"/>
                <w:szCs w:val="21"/>
              </w:rPr>
            </w:pPr>
          </w:p>
        </w:tc>
      </w:tr>
      <w:tr w14:paraId="08438B7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8A16717">
            <w:pPr>
              <w:spacing w:line="240" w:lineRule="auto"/>
              <w:jc w:val="center"/>
              <w:rPr>
                <w:sz w:val="21"/>
                <w:szCs w:val="21"/>
              </w:rPr>
            </w:pPr>
            <w:r>
              <w:rPr>
                <w:sz w:val="21"/>
                <w:szCs w:val="21"/>
              </w:rPr>
              <w:t>3月</w:t>
            </w:r>
          </w:p>
        </w:tc>
        <w:tc>
          <w:tcPr>
            <w:tcW w:w="845" w:type="dxa"/>
            <w:tcBorders>
              <w:top w:val="single" w:color="000000" w:sz="6" w:space="0"/>
              <w:left w:val="single" w:color="000000" w:sz="6" w:space="0"/>
              <w:bottom w:val="single" w:color="000000" w:sz="6" w:space="0"/>
              <w:right w:val="single" w:color="000000" w:sz="6" w:space="0"/>
            </w:tcBorders>
            <w:vAlign w:val="center"/>
          </w:tcPr>
          <w:p w14:paraId="08E6535A">
            <w:pPr>
              <w:spacing w:line="240" w:lineRule="auto"/>
              <w:jc w:val="center"/>
              <w:rPr>
                <w:sz w:val="21"/>
                <w:szCs w:val="21"/>
              </w:rPr>
            </w:pPr>
            <w:r>
              <w:rPr>
                <w:rFonts w:hint="eastAsia"/>
                <w:sz w:val="21"/>
                <w:szCs w:val="21"/>
              </w:rPr>
              <w:t>2.14</w:t>
            </w:r>
          </w:p>
        </w:tc>
        <w:tc>
          <w:tcPr>
            <w:tcW w:w="915" w:type="dxa"/>
            <w:tcBorders>
              <w:top w:val="single" w:color="000000" w:sz="6" w:space="0"/>
              <w:left w:val="single" w:color="000000" w:sz="6" w:space="0"/>
              <w:bottom w:val="single" w:color="000000" w:sz="6" w:space="0"/>
              <w:right w:val="single" w:color="000000" w:sz="6" w:space="0"/>
            </w:tcBorders>
            <w:vAlign w:val="center"/>
          </w:tcPr>
          <w:p w14:paraId="3D612F07">
            <w:pPr>
              <w:spacing w:line="240" w:lineRule="auto"/>
              <w:jc w:val="center"/>
              <w:rPr>
                <w:sz w:val="21"/>
                <w:szCs w:val="21"/>
              </w:rPr>
            </w:pPr>
            <w:r>
              <w:rPr>
                <w:rFonts w:hint="eastAsia"/>
                <w:sz w:val="21"/>
                <w:szCs w:val="21"/>
              </w:rPr>
              <w:t>1.35</w:t>
            </w:r>
          </w:p>
        </w:tc>
        <w:tc>
          <w:tcPr>
            <w:tcW w:w="732" w:type="dxa"/>
            <w:tcBorders>
              <w:top w:val="single" w:color="000000" w:sz="6" w:space="0"/>
              <w:left w:val="single" w:color="000000" w:sz="6" w:space="0"/>
              <w:bottom w:val="single" w:color="000000" w:sz="6" w:space="0"/>
              <w:right w:val="single" w:color="000000" w:sz="6" w:space="0"/>
            </w:tcBorders>
            <w:vAlign w:val="center"/>
          </w:tcPr>
          <w:p w14:paraId="690225CA">
            <w:pPr>
              <w:spacing w:line="240" w:lineRule="auto"/>
              <w:jc w:val="center"/>
              <w:rPr>
                <w:sz w:val="21"/>
                <w:szCs w:val="21"/>
              </w:rPr>
            </w:pPr>
            <w:r>
              <w:rPr>
                <w:rFonts w:hint="eastAsia"/>
                <w:sz w:val="21"/>
                <w:szCs w:val="21"/>
              </w:rPr>
              <w:t>1.99</w:t>
            </w:r>
          </w:p>
        </w:tc>
        <w:tc>
          <w:tcPr>
            <w:tcW w:w="977" w:type="dxa"/>
            <w:tcBorders>
              <w:top w:val="single" w:color="000000" w:sz="6" w:space="0"/>
              <w:left w:val="single" w:color="000000" w:sz="6" w:space="0"/>
              <w:bottom w:val="single" w:color="000000" w:sz="6" w:space="0"/>
              <w:right w:val="single" w:color="000000" w:sz="6" w:space="0"/>
            </w:tcBorders>
            <w:vAlign w:val="center"/>
          </w:tcPr>
          <w:p w14:paraId="144E17A2">
            <w:pPr>
              <w:spacing w:line="240" w:lineRule="auto"/>
              <w:jc w:val="center"/>
              <w:rPr>
                <w:sz w:val="21"/>
                <w:szCs w:val="21"/>
              </w:rPr>
            </w:pPr>
            <w:r>
              <w:rPr>
                <w:rFonts w:hint="eastAsia"/>
                <w:sz w:val="21"/>
                <w:szCs w:val="21"/>
              </w:rPr>
              <w:t>1.78</w:t>
            </w:r>
          </w:p>
        </w:tc>
        <w:tc>
          <w:tcPr>
            <w:tcW w:w="675" w:type="dxa"/>
            <w:tcBorders>
              <w:top w:val="single" w:color="000000" w:sz="6" w:space="0"/>
              <w:left w:val="single" w:color="000000" w:sz="6" w:space="0"/>
              <w:bottom w:val="single" w:color="000000" w:sz="6" w:space="0"/>
              <w:right w:val="single" w:color="000000" w:sz="6" w:space="0"/>
            </w:tcBorders>
            <w:vAlign w:val="center"/>
          </w:tcPr>
          <w:p w14:paraId="70E4F9B7">
            <w:pPr>
              <w:spacing w:line="240" w:lineRule="auto"/>
              <w:jc w:val="center"/>
              <w:rPr>
                <w:sz w:val="21"/>
                <w:szCs w:val="21"/>
              </w:rPr>
            </w:pPr>
            <w:r>
              <w:rPr>
                <w:rFonts w:hint="eastAsia"/>
                <w:sz w:val="21"/>
                <w:szCs w:val="21"/>
              </w:rPr>
              <w:t>4.28</w:t>
            </w:r>
          </w:p>
        </w:tc>
        <w:tc>
          <w:tcPr>
            <w:tcW w:w="895" w:type="dxa"/>
            <w:tcBorders>
              <w:top w:val="single" w:color="000000" w:sz="6" w:space="0"/>
              <w:left w:val="single" w:color="000000" w:sz="6" w:space="0"/>
              <w:bottom w:val="single" w:color="000000" w:sz="6" w:space="0"/>
              <w:right w:val="single" w:color="000000" w:sz="6" w:space="0"/>
            </w:tcBorders>
            <w:vAlign w:val="center"/>
          </w:tcPr>
          <w:p w14:paraId="2F95EFE0">
            <w:pPr>
              <w:spacing w:line="240" w:lineRule="auto"/>
              <w:jc w:val="center"/>
              <w:rPr>
                <w:sz w:val="21"/>
                <w:szCs w:val="21"/>
              </w:rPr>
            </w:pPr>
            <w:r>
              <w:rPr>
                <w:rFonts w:hint="eastAsia"/>
                <w:sz w:val="21"/>
                <w:szCs w:val="21"/>
              </w:rPr>
              <w:t>11.1</w:t>
            </w:r>
          </w:p>
        </w:tc>
        <w:tc>
          <w:tcPr>
            <w:tcW w:w="845" w:type="dxa"/>
            <w:tcBorders>
              <w:top w:val="single" w:color="000000" w:sz="6" w:space="0"/>
              <w:left w:val="single" w:color="000000" w:sz="6" w:space="0"/>
              <w:bottom w:val="single" w:color="000000" w:sz="6" w:space="0"/>
              <w:right w:val="single" w:color="000000" w:sz="6" w:space="0"/>
            </w:tcBorders>
            <w:vAlign w:val="center"/>
          </w:tcPr>
          <w:p w14:paraId="1B7E7593">
            <w:pPr>
              <w:spacing w:line="240" w:lineRule="auto"/>
              <w:jc w:val="center"/>
              <w:rPr>
                <w:sz w:val="21"/>
                <w:szCs w:val="21"/>
              </w:rPr>
            </w:pPr>
            <w:r>
              <w:rPr>
                <w:rFonts w:hint="eastAsia"/>
                <w:sz w:val="21"/>
                <w:szCs w:val="21"/>
              </w:rPr>
              <w:t>25.6</w:t>
            </w:r>
          </w:p>
        </w:tc>
        <w:tc>
          <w:tcPr>
            <w:tcW w:w="846" w:type="dxa"/>
            <w:tcBorders>
              <w:top w:val="single" w:color="000000" w:sz="6" w:space="0"/>
              <w:left w:val="single" w:color="000000" w:sz="6" w:space="0"/>
              <w:bottom w:val="single" w:color="000000" w:sz="6" w:space="0"/>
              <w:right w:val="single" w:color="000000" w:sz="6" w:space="0"/>
            </w:tcBorders>
            <w:vAlign w:val="center"/>
          </w:tcPr>
          <w:p w14:paraId="6C0BEA1A">
            <w:pPr>
              <w:spacing w:line="240" w:lineRule="auto"/>
              <w:jc w:val="center"/>
              <w:rPr>
                <w:sz w:val="21"/>
                <w:szCs w:val="21"/>
              </w:rPr>
            </w:pPr>
            <w:r>
              <w:rPr>
                <w:rFonts w:hint="eastAsia"/>
                <w:sz w:val="21"/>
                <w:szCs w:val="21"/>
              </w:rPr>
              <w:t>10.48</w:t>
            </w:r>
          </w:p>
        </w:tc>
        <w:tc>
          <w:tcPr>
            <w:tcW w:w="788" w:type="dxa"/>
            <w:tcBorders>
              <w:top w:val="single" w:color="000000" w:sz="6" w:space="0"/>
              <w:left w:val="single" w:color="000000" w:sz="6" w:space="0"/>
              <w:bottom w:val="single" w:color="000000" w:sz="6" w:space="0"/>
            </w:tcBorders>
            <w:vAlign w:val="center"/>
          </w:tcPr>
          <w:p w14:paraId="439EABA0">
            <w:pPr>
              <w:spacing w:line="240" w:lineRule="auto"/>
              <w:jc w:val="center"/>
              <w:rPr>
                <w:sz w:val="21"/>
                <w:szCs w:val="21"/>
              </w:rPr>
            </w:pPr>
          </w:p>
        </w:tc>
      </w:tr>
      <w:tr w14:paraId="64E4C00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6DF72B4">
            <w:pPr>
              <w:spacing w:line="240" w:lineRule="auto"/>
              <w:jc w:val="center"/>
              <w:rPr>
                <w:sz w:val="21"/>
                <w:szCs w:val="21"/>
              </w:rPr>
            </w:pPr>
            <w:r>
              <w:rPr>
                <w:sz w:val="21"/>
                <w:szCs w:val="21"/>
              </w:rPr>
              <w:t>4月</w:t>
            </w:r>
          </w:p>
        </w:tc>
        <w:tc>
          <w:tcPr>
            <w:tcW w:w="845" w:type="dxa"/>
            <w:tcBorders>
              <w:top w:val="single" w:color="000000" w:sz="6" w:space="0"/>
              <w:left w:val="single" w:color="000000" w:sz="6" w:space="0"/>
              <w:bottom w:val="single" w:color="000000" w:sz="6" w:space="0"/>
              <w:right w:val="single" w:color="000000" w:sz="6" w:space="0"/>
            </w:tcBorders>
            <w:vAlign w:val="center"/>
          </w:tcPr>
          <w:p w14:paraId="71072834">
            <w:pPr>
              <w:spacing w:line="240" w:lineRule="auto"/>
              <w:jc w:val="center"/>
              <w:rPr>
                <w:sz w:val="21"/>
                <w:szCs w:val="21"/>
              </w:rPr>
            </w:pPr>
            <w:r>
              <w:rPr>
                <w:rFonts w:hint="eastAsia"/>
                <w:sz w:val="21"/>
                <w:szCs w:val="21"/>
              </w:rPr>
              <w:t>2.56</w:t>
            </w:r>
          </w:p>
        </w:tc>
        <w:tc>
          <w:tcPr>
            <w:tcW w:w="915" w:type="dxa"/>
            <w:tcBorders>
              <w:top w:val="single" w:color="000000" w:sz="6" w:space="0"/>
              <w:left w:val="single" w:color="000000" w:sz="6" w:space="0"/>
              <w:bottom w:val="single" w:color="000000" w:sz="6" w:space="0"/>
              <w:right w:val="single" w:color="000000" w:sz="6" w:space="0"/>
            </w:tcBorders>
            <w:vAlign w:val="center"/>
          </w:tcPr>
          <w:p w14:paraId="1C4D84B6">
            <w:pPr>
              <w:spacing w:line="240" w:lineRule="auto"/>
              <w:jc w:val="center"/>
              <w:rPr>
                <w:sz w:val="21"/>
                <w:szCs w:val="21"/>
              </w:rPr>
            </w:pPr>
            <w:r>
              <w:rPr>
                <w:rFonts w:hint="eastAsia"/>
                <w:sz w:val="21"/>
                <w:szCs w:val="21"/>
              </w:rPr>
              <w:t>1.5</w:t>
            </w:r>
          </w:p>
        </w:tc>
        <w:tc>
          <w:tcPr>
            <w:tcW w:w="732" w:type="dxa"/>
            <w:tcBorders>
              <w:top w:val="single" w:color="000000" w:sz="6" w:space="0"/>
              <w:left w:val="single" w:color="000000" w:sz="6" w:space="0"/>
              <w:bottom w:val="single" w:color="000000" w:sz="6" w:space="0"/>
              <w:right w:val="single" w:color="000000" w:sz="6" w:space="0"/>
            </w:tcBorders>
            <w:vAlign w:val="center"/>
          </w:tcPr>
          <w:p w14:paraId="62B340F9">
            <w:pPr>
              <w:spacing w:line="240" w:lineRule="auto"/>
              <w:jc w:val="center"/>
              <w:rPr>
                <w:sz w:val="21"/>
                <w:szCs w:val="21"/>
              </w:rPr>
            </w:pPr>
            <w:r>
              <w:rPr>
                <w:rFonts w:hint="eastAsia"/>
                <w:sz w:val="21"/>
                <w:szCs w:val="21"/>
              </w:rPr>
              <w:t>1.8</w:t>
            </w:r>
          </w:p>
        </w:tc>
        <w:tc>
          <w:tcPr>
            <w:tcW w:w="977" w:type="dxa"/>
            <w:tcBorders>
              <w:top w:val="single" w:color="000000" w:sz="6" w:space="0"/>
              <w:left w:val="single" w:color="000000" w:sz="6" w:space="0"/>
              <w:bottom w:val="single" w:color="000000" w:sz="6" w:space="0"/>
              <w:right w:val="single" w:color="000000" w:sz="6" w:space="0"/>
            </w:tcBorders>
            <w:vAlign w:val="center"/>
          </w:tcPr>
          <w:p w14:paraId="791F0215">
            <w:pPr>
              <w:spacing w:line="240" w:lineRule="auto"/>
              <w:jc w:val="center"/>
              <w:rPr>
                <w:sz w:val="21"/>
                <w:szCs w:val="21"/>
              </w:rPr>
            </w:pPr>
            <w:r>
              <w:rPr>
                <w:rFonts w:hint="eastAsia"/>
                <w:sz w:val="21"/>
                <w:szCs w:val="21"/>
              </w:rPr>
              <w:t>1.65</w:t>
            </w:r>
          </w:p>
        </w:tc>
        <w:tc>
          <w:tcPr>
            <w:tcW w:w="675" w:type="dxa"/>
            <w:tcBorders>
              <w:top w:val="single" w:color="000000" w:sz="6" w:space="0"/>
              <w:left w:val="single" w:color="000000" w:sz="6" w:space="0"/>
              <w:bottom w:val="single" w:color="000000" w:sz="6" w:space="0"/>
              <w:right w:val="single" w:color="000000" w:sz="6" w:space="0"/>
            </w:tcBorders>
            <w:vAlign w:val="center"/>
          </w:tcPr>
          <w:p w14:paraId="543C7DC1">
            <w:pPr>
              <w:spacing w:line="240" w:lineRule="auto"/>
              <w:jc w:val="center"/>
              <w:rPr>
                <w:sz w:val="21"/>
                <w:szCs w:val="21"/>
              </w:rPr>
            </w:pPr>
            <w:r>
              <w:rPr>
                <w:rFonts w:hint="eastAsia"/>
                <w:sz w:val="21"/>
                <w:szCs w:val="21"/>
              </w:rPr>
              <w:t>4.11</w:t>
            </w:r>
          </w:p>
        </w:tc>
        <w:tc>
          <w:tcPr>
            <w:tcW w:w="895" w:type="dxa"/>
            <w:tcBorders>
              <w:top w:val="single" w:color="000000" w:sz="6" w:space="0"/>
              <w:left w:val="single" w:color="000000" w:sz="6" w:space="0"/>
              <w:bottom w:val="single" w:color="000000" w:sz="6" w:space="0"/>
              <w:right w:val="single" w:color="000000" w:sz="6" w:space="0"/>
            </w:tcBorders>
            <w:vAlign w:val="center"/>
          </w:tcPr>
          <w:p w14:paraId="79DE2527">
            <w:pPr>
              <w:spacing w:line="240" w:lineRule="auto"/>
              <w:jc w:val="center"/>
              <w:rPr>
                <w:sz w:val="21"/>
                <w:szCs w:val="21"/>
              </w:rPr>
            </w:pPr>
            <w:r>
              <w:rPr>
                <w:rFonts w:hint="eastAsia"/>
                <w:sz w:val="21"/>
                <w:szCs w:val="21"/>
              </w:rPr>
              <w:t>10.01</w:t>
            </w:r>
          </w:p>
        </w:tc>
        <w:tc>
          <w:tcPr>
            <w:tcW w:w="845" w:type="dxa"/>
            <w:tcBorders>
              <w:top w:val="single" w:color="000000" w:sz="6" w:space="0"/>
              <w:left w:val="single" w:color="000000" w:sz="6" w:space="0"/>
              <w:bottom w:val="single" w:color="000000" w:sz="6" w:space="0"/>
              <w:right w:val="single" w:color="000000" w:sz="6" w:space="0"/>
            </w:tcBorders>
            <w:vAlign w:val="center"/>
          </w:tcPr>
          <w:p w14:paraId="13625F9C">
            <w:pPr>
              <w:spacing w:line="240" w:lineRule="auto"/>
              <w:jc w:val="center"/>
              <w:rPr>
                <w:sz w:val="21"/>
                <w:szCs w:val="21"/>
              </w:rPr>
            </w:pPr>
            <w:r>
              <w:rPr>
                <w:rFonts w:hint="eastAsia"/>
                <w:sz w:val="21"/>
                <w:szCs w:val="21"/>
              </w:rPr>
              <w:t>23.42</w:t>
            </w:r>
          </w:p>
        </w:tc>
        <w:tc>
          <w:tcPr>
            <w:tcW w:w="846" w:type="dxa"/>
            <w:tcBorders>
              <w:top w:val="single" w:color="000000" w:sz="6" w:space="0"/>
              <w:left w:val="single" w:color="000000" w:sz="6" w:space="0"/>
              <w:bottom w:val="single" w:color="000000" w:sz="6" w:space="0"/>
              <w:right w:val="single" w:color="000000" w:sz="6" w:space="0"/>
            </w:tcBorders>
            <w:vAlign w:val="center"/>
          </w:tcPr>
          <w:p w14:paraId="14118D43">
            <w:pPr>
              <w:spacing w:line="240" w:lineRule="auto"/>
              <w:jc w:val="center"/>
              <w:rPr>
                <w:sz w:val="21"/>
                <w:szCs w:val="21"/>
              </w:rPr>
            </w:pPr>
            <w:r>
              <w:rPr>
                <w:rFonts w:hint="eastAsia"/>
                <w:sz w:val="21"/>
                <w:szCs w:val="21"/>
              </w:rPr>
              <w:t>10.33</w:t>
            </w:r>
          </w:p>
        </w:tc>
        <w:tc>
          <w:tcPr>
            <w:tcW w:w="788" w:type="dxa"/>
            <w:tcBorders>
              <w:top w:val="single" w:color="000000" w:sz="6" w:space="0"/>
              <w:left w:val="single" w:color="000000" w:sz="6" w:space="0"/>
              <w:bottom w:val="single" w:color="000000" w:sz="6" w:space="0"/>
            </w:tcBorders>
            <w:vAlign w:val="center"/>
          </w:tcPr>
          <w:p w14:paraId="44D95CEA">
            <w:pPr>
              <w:spacing w:line="240" w:lineRule="auto"/>
              <w:jc w:val="center"/>
              <w:rPr>
                <w:sz w:val="21"/>
                <w:szCs w:val="21"/>
              </w:rPr>
            </w:pPr>
          </w:p>
        </w:tc>
      </w:tr>
      <w:tr w14:paraId="5957AB7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53983E04">
            <w:pPr>
              <w:spacing w:line="240" w:lineRule="auto"/>
              <w:jc w:val="center"/>
              <w:rPr>
                <w:sz w:val="21"/>
                <w:szCs w:val="21"/>
              </w:rPr>
            </w:pPr>
            <w:r>
              <w:rPr>
                <w:sz w:val="21"/>
                <w:szCs w:val="21"/>
              </w:rPr>
              <w:t>5月</w:t>
            </w:r>
          </w:p>
        </w:tc>
        <w:tc>
          <w:tcPr>
            <w:tcW w:w="845" w:type="dxa"/>
            <w:tcBorders>
              <w:top w:val="single" w:color="000000" w:sz="6" w:space="0"/>
              <w:left w:val="single" w:color="000000" w:sz="6" w:space="0"/>
              <w:bottom w:val="single" w:color="000000" w:sz="6" w:space="0"/>
              <w:right w:val="single" w:color="000000" w:sz="6" w:space="0"/>
            </w:tcBorders>
            <w:vAlign w:val="center"/>
          </w:tcPr>
          <w:p w14:paraId="4342C159">
            <w:pPr>
              <w:spacing w:line="240" w:lineRule="auto"/>
              <w:jc w:val="center"/>
              <w:rPr>
                <w:sz w:val="21"/>
                <w:szCs w:val="21"/>
              </w:rPr>
            </w:pPr>
            <w:r>
              <w:rPr>
                <w:rFonts w:hint="eastAsia"/>
                <w:sz w:val="21"/>
                <w:szCs w:val="21"/>
              </w:rPr>
              <w:t>2.72</w:t>
            </w:r>
          </w:p>
        </w:tc>
        <w:tc>
          <w:tcPr>
            <w:tcW w:w="915" w:type="dxa"/>
            <w:tcBorders>
              <w:top w:val="single" w:color="000000" w:sz="6" w:space="0"/>
              <w:left w:val="single" w:color="000000" w:sz="6" w:space="0"/>
              <w:bottom w:val="single" w:color="000000" w:sz="6" w:space="0"/>
              <w:right w:val="single" w:color="000000" w:sz="6" w:space="0"/>
            </w:tcBorders>
            <w:vAlign w:val="center"/>
          </w:tcPr>
          <w:p w14:paraId="65EA1F3B">
            <w:pPr>
              <w:spacing w:line="240" w:lineRule="auto"/>
              <w:jc w:val="center"/>
              <w:rPr>
                <w:sz w:val="21"/>
                <w:szCs w:val="21"/>
              </w:rPr>
            </w:pPr>
            <w:r>
              <w:rPr>
                <w:rFonts w:hint="eastAsia"/>
                <w:sz w:val="21"/>
                <w:szCs w:val="21"/>
              </w:rPr>
              <w:t>1.85</w:t>
            </w:r>
          </w:p>
        </w:tc>
        <w:tc>
          <w:tcPr>
            <w:tcW w:w="732" w:type="dxa"/>
            <w:tcBorders>
              <w:top w:val="single" w:color="000000" w:sz="6" w:space="0"/>
              <w:left w:val="single" w:color="000000" w:sz="6" w:space="0"/>
              <w:bottom w:val="single" w:color="000000" w:sz="6" w:space="0"/>
              <w:right w:val="single" w:color="000000" w:sz="6" w:space="0"/>
            </w:tcBorders>
            <w:vAlign w:val="center"/>
          </w:tcPr>
          <w:p w14:paraId="674E49B7">
            <w:pPr>
              <w:spacing w:line="240" w:lineRule="auto"/>
              <w:jc w:val="center"/>
              <w:rPr>
                <w:sz w:val="21"/>
                <w:szCs w:val="21"/>
              </w:rPr>
            </w:pPr>
            <w:r>
              <w:rPr>
                <w:rFonts w:hint="eastAsia"/>
                <w:sz w:val="21"/>
                <w:szCs w:val="21"/>
              </w:rPr>
              <w:t>1.99</w:t>
            </w:r>
          </w:p>
        </w:tc>
        <w:tc>
          <w:tcPr>
            <w:tcW w:w="977" w:type="dxa"/>
            <w:tcBorders>
              <w:top w:val="single" w:color="000000" w:sz="6" w:space="0"/>
              <w:left w:val="single" w:color="000000" w:sz="6" w:space="0"/>
              <w:bottom w:val="single" w:color="000000" w:sz="6" w:space="0"/>
              <w:right w:val="single" w:color="000000" w:sz="6" w:space="0"/>
            </w:tcBorders>
            <w:vAlign w:val="center"/>
          </w:tcPr>
          <w:p w14:paraId="6FC885A4">
            <w:pPr>
              <w:spacing w:line="240" w:lineRule="auto"/>
              <w:jc w:val="center"/>
              <w:rPr>
                <w:sz w:val="21"/>
                <w:szCs w:val="21"/>
              </w:rPr>
            </w:pPr>
            <w:r>
              <w:rPr>
                <w:rFonts w:hint="eastAsia"/>
                <w:sz w:val="21"/>
                <w:szCs w:val="21"/>
              </w:rPr>
              <w:t>2.06</w:t>
            </w:r>
          </w:p>
        </w:tc>
        <w:tc>
          <w:tcPr>
            <w:tcW w:w="675" w:type="dxa"/>
            <w:tcBorders>
              <w:top w:val="single" w:color="000000" w:sz="6" w:space="0"/>
              <w:left w:val="single" w:color="000000" w:sz="6" w:space="0"/>
              <w:bottom w:val="single" w:color="000000" w:sz="6" w:space="0"/>
              <w:right w:val="single" w:color="000000" w:sz="6" w:space="0"/>
            </w:tcBorders>
            <w:vAlign w:val="center"/>
          </w:tcPr>
          <w:p w14:paraId="2EB74BCF">
            <w:pPr>
              <w:spacing w:line="240" w:lineRule="auto"/>
              <w:jc w:val="center"/>
              <w:rPr>
                <w:sz w:val="21"/>
                <w:szCs w:val="21"/>
              </w:rPr>
            </w:pPr>
            <w:r>
              <w:rPr>
                <w:rFonts w:hint="eastAsia"/>
                <w:sz w:val="21"/>
                <w:szCs w:val="21"/>
              </w:rPr>
              <w:t>4.96</w:t>
            </w:r>
          </w:p>
        </w:tc>
        <w:tc>
          <w:tcPr>
            <w:tcW w:w="895" w:type="dxa"/>
            <w:tcBorders>
              <w:top w:val="single" w:color="000000" w:sz="6" w:space="0"/>
              <w:left w:val="single" w:color="000000" w:sz="6" w:space="0"/>
              <w:bottom w:val="single" w:color="000000" w:sz="6" w:space="0"/>
              <w:right w:val="single" w:color="000000" w:sz="6" w:space="0"/>
            </w:tcBorders>
            <w:vAlign w:val="center"/>
          </w:tcPr>
          <w:p w14:paraId="427BFE8F">
            <w:pPr>
              <w:spacing w:line="240" w:lineRule="auto"/>
              <w:jc w:val="center"/>
              <w:rPr>
                <w:sz w:val="21"/>
                <w:szCs w:val="21"/>
              </w:rPr>
            </w:pPr>
            <w:r>
              <w:rPr>
                <w:rFonts w:hint="eastAsia"/>
                <w:sz w:val="21"/>
                <w:szCs w:val="21"/>
              </w:rPr>
              <w:t>10.91</w:t>
            </w:r>
          </w:p>
        </w:tc>
        <w:tc>
          <w:tcPr>
            <w:tcW w:w="845" w:type="dxa"/>
            <w:tcBorders>
              <w:top w:val="single" w:color="000000" w:sz="6" w:space="0"/>
              <w:left w:val="single" w:color="000000" w:sz="6" w:space="0"/>
              <w:bottom w:val="single" w:color="000000" w:sz="6" w:space="0"/>
              <w:right w:val="single" w:color="000000" w:sz="6" w:space="0"/>
            </w:tcBorders>
            <w:vAlign w:val="center"/>
          </w:tcPr>
          <w:p w14:paraId="3E66D4FE">
            <w:pPr>
              <w:spacing w:line="240" w:lineRule="auto"/>
              <w:jc w:val="center"/>
              <w:rPr>
                <w:sz w:val="21"/>
                <w:szCs w:val="21"/>
              </w:rPr>
            </w:pPr>
            <w:r>
              <w:rPr>
                <w:rFonts w:hint="eastAsia"/>
                <w:sz w:val="21"/>
                <w:szCs w:val="21"/>
              </w:rPr>
              <w:t>22.41</w:t>
            </w:r>
          </w:p>
        </w:tc>
        <w:tc>
          <w:tcPr>
            <w:tcW w:w="846" w:type="dxa"/>
            <w:tcBorders>
              <w:top w:val="single" w:color="000000" w:sz="6" w:space="0"/>
              <w:left w:val="single" w:color="000000" w:sz="6" w:space="0"/>
              <w:bottom w:val="single" w:color="000000" w:sz="6" w:space="0"/>
              <w:right w:val="single" w:color="000000" w:sz="6" w:space="0"/>
            </w:tcBorders>
            <w:vAlign w:val="center"/>
          </w:tcPr>
          <w:p w14:paraId="5E7059F2">
            <w:pPr>
              <w:spacing w:line="240" w:lineRule="auto"/>
              <w:jc w:val="center"/>
              <w:rPr>
                <w:sz w:val="21"/>
                <w:szCs w:val="21"/>
              </w:rPr>
            </w:pPr>
            <w:r>
              <w:rPr>
                <w:rFonts w:hint="eastAsia"/>
                <w:sz w:val="21"/>
                <w:szCs w:val="21"/>
              </w:rPr>
              <w:t>10.72</w:t>
            </w:r>
          </w:p>
        </w:tc>
        <w:tc>
          <w:tcPr>
            <w:tcW w:w="788" w:type="dxa"/>
            <w:tcBorders>
              <w:top w:val="single" w:color="000000" w:sz="6" w:space="0"/>
              <w:left w:val="single" w:color="000000" w:sz="6" w:space="0"/>
              <w:bottom w:val="single" w:color="000000" w:sz="6" w:space="0"/>
            </w:tcBorders>
            <w:vAlign w:val="center"/>
          </w:tcPr>
          <w:p w14:paraId="39DC6EA1">
            <w:pPr>
              <w:spacing w:line="240" w:lineRule="auto"/>
              <w:jc w:val="center"/>
              <w:rPr>
                <w:sz w:val="21"/>
                <w:szCs w:val="21"/>
              </w:rPr>
            </w:pPr>
          </w:p>
        </w:tc>
      </w:tr>
      <w:tr w14:paraId="2C35205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1C90C27">
            <w:pPr>
              <w:spacing w:line="240" w:lineRule="auto"/>
              <w:jc w:val="center"/>
              <w:rPr>
                <w:sz w:val="21"/>
                <w:szCs w:val="21"/>
              </w:rPr>
            </w:pPr>
            <w:r>
              <w:rPr>
                <w:sz w:val="21"/>
                <w:szCs w:val="21"/>
              </w:rPr>
              <w:t>6月</w:t>
            </w:r>
          </w:p>
        </w:tc>
        <w:tc>
          <w:tcPr>
            <w:tcW w:w="845" w:type="dxa"/>
            <w:tcBorders>
              <w:top w:val="single" w:color="000000" w:sz="6" w:space="0"/>
              <w:left w:val="single" w:color="000000" w:sz="6" w:space="0"/>
              <w:bottom w:val="single" w:color="000000" w:sz="6" w:space="0"/>
              <w:right w:val="single" w:color="000000" w:sz="6" w:space="0"/>
            </w:tcBorders>
            <w:vAlign w:val="center"/>
          </w:tcPr>
          <w:p w14:paraId="2DCFD833">
            <w:pPr>
              <w:spacing w:line="240" w:lineRule="auto"/>
              <w:jc w:val="center"/>
              <w:rPr>
                <w:sz w:val="21"/>
                <w:szCs w:val="21"/>
              </w:rPr>
            </w:pPr>
            <w:r>
              <w:rPr>
                <w:rFonts w:hint="eastAsia"/>
                <w:sz w:val="21"/>
                <w:szCs w:val="21"/>
              </w:rPr>
              <w:t>3.29</w:t>
            </w:r>
          </w:p>
        </w:tc>
        <w:tc>
          <w:tcPr>
            <w:tcW w:w="915" w:type="dxa"/>
            <w:tcBorders>
              <w:top w:val="single" w:color="000000" w:sz="6" w:space="0"/>
              <w:left w:val="single" w:color="000000" w:sz="6" w:space="0"/>
              <w:bottom w:val="single" w:color="000000" w:sz="6" w:space="0"/>
              <w:right w:val="single" w:color="000000" w:sz="6" w:space="0"/>
            </w:tcBorders>
            <w:vAlign w:val="center"/>
          </w:tcPr>
          <w:p w14:paraId="0D12F8B6">
            <w:pPr>
              <w:spacing w:line="240" w:lineRule="auto"/>
              <w:jc w:val="center"/>
              <w:rPr>
                <w:sz w:val="21"/>
                <w:szCs w:val="21"/>
              </w:rPr>
            </w:pPr>
            <w:r>
              <w:rPr>
                <w:rFonts w:hint="eastAsia"/>
                <w:sz w:val="21"/>
                <w:szCs w:val="21"/>
              </w:rPr>
              <w:t>1.63</w:t>
            </w:r>
          </w:p>
        </w:tc>
        <w:tc>
          <w:tcPr>
            <w:tcW w:w="732" w:type="dxa"/>
            <w:tcBorders>
              <w:top w:val="single" w:color="000000" w:sz="6" w:space="0"/>
              <w:left w:val="single" w:color="000000" w:sz="6" w:space="0"/>
              <w:bottom w:val="single" w:color="000000" w:sz="6" w:space="0"/>
              <w:right w:val="single" w:color="000000" w:sz="6" w:space="0"/>
            </w:tcBorders>
            <w:vAlign w:val="center"/>
          </w:tcPr>
          <w:p w14:paraId="29422BB3">
            <w:pPr>
              <w:spacing w:line="240" w:lineRule="auto"/>
              <w:jc w:val="center"/>
              <w:rPr>
                <w:sz w:val="21"/>
                <w:szCs w:val="21"/>
              </w:rPr>
            </w:pPr>
            <w:r>
              <w:rPr>
                <w:rFonts w:hint="eastAsia"/>
                <w:sz w:val="21"/>
                <w:szCs w:val="21"/>
              </w:rPr>
              <w:t>1.98</w:t>
            </w:r>
          </w:p>
        </w:tc>
        <w:tc>
          <w:tcPr>
            <w:tcW w:w="977" w:type="dxa"/>
            <w:tcBorders>
              <w:top w:val="single" w:color="000000" w:sz="6" w:space="0"/>
              <w:left w:val="single" w:color="000000" w:sz="6" w:space="0"/>
              <w:bottom w:val="single" w:color="000000" w:sz="6" w:space="0"/>
              <w:right w:val="single" w:color="000000" w:sz="6" w:space="0"/>
            </w:tcBorders>
            <w:vAlign w:val="center"/>
          </w:tcPr>
          <w:p w14:paraId="1B8D24DA">
            <w:pPr>
              <w:spacing w:line="240" w:lineRule="auto"/>
              <w:jc w:val="center"/>
              <w:rPr>
                <w:sz w:val="21"/>
                <w:szCs w:val="21"/>
              </w:rPr>
            </w:pPr>
            <w:r>
              <w:rPr>
                <w:rFonts w:hint="eastAsia"/>
                <w:sz w:val="21"/>
                <w:szCs w:val="21"/>
              </w:rPr>
              <w:t>1.77</w:t>
            </w:r>
          </w:p>
        </w:tc>
        <w:tc>
          <w:tcPr>
            <w:tcW w:w="675" w:type="dxa"/>
            <w:tcBorders>
              <w:top w:val="single" w:color="000000" w:sz="6" w:space="0"/>
              <w:left w:val="single" w:color="000000" w:sz="6" w:space="0"/>
              <w:bottom w:val="single" w:color="000000" w:sz="6" w:space="0"/>
              <w:right w:val="single" w:color="000000" w:sz="6" w:space="0"/>
            </w:tcBorders>
            <w:vAlign w:val="center"/>
          </w:tcPr>
          <w:p w14:paraId="068BAD0C">
            <w:pPr>
              <w:spacing w:line="240" w:lineRule="auto"/>
              <w:jc w:val="center"/>
              <w:rPr>
                <w:sz w:val="21"/>
                <w:szCs w:val="21"/>
              </w:rPr>
            </w:pPr>
            <w:r>
              <w:rPr>
                <w:rFonts w:hint="eastAsia"/>
                <w:sz w:val="21"/>
                <w:szCs w:val="21"/>
              </w:rPr>
              <w:t>4.57</w:t>
            </w:r>
          </w:p>
        </w:tc>
        <w:tc>
          <w:tcPr>
            <w:tcW w:w="895" w:type="dxa"/>
            <w:tcBorders>
              <w:top w:val="single" w:color="000000" w:sz="6" w:space="0"/>
              <w:left w:val="single" w:color="000000" w:sz="6" w:space="0"/>
              <w:bottom w:val="single" w:color="000000" w:sz="6" w:space="0"/>
              <w:right w:val="single" w:color="000000" w:sz="6" w:space="0"/>
            </w:tcBorders>
            <w:vAlign w:val="center"/>
          </w:tcPr>
          <w:p w14:paraId="5ED3B3C2">
            <w:pPr>
              <w:spacing w:line="240" w:lineRule="auto"/>
              <w:jc w:val="center"/>
              <w:rPr>
                <w:sz w:val="21"/>
                <w:szCs w:val="21"/>
              </w:rPr>
            </w:pPr>
            <w:r>
              <w:rPr>
                <w:rFonts w:hint="eastAsia"/>
                <w:sz w:val="21"/>
                <w:szCs w:val="21"/>
              </w:rPr>
              <w:t>8.13</w:t>
            </w:r>
          </w:p>
        </w:tc>
        <w:tc>
          <w:tcPr>
            <w:tcW w:w="845" w:type="dxa"/>
            <w:tcBorders>
              <w:top w:val="single" w:color="000000" w:sz="6" w:space="0"/>
              <w:left w:val="single" w:color="000000" w:sz="6" w:space="0"/>
              <w:bottom w:val="single" w:color="000000" w:sz="6" w:space="0"/>
              <w:right w:val="single" w:color="000000" w:sz="6" w:space="0"/>
            </w:tcBorders>
            <w:vAlign w:val="center"/>
          </w:tcPr>
          <w:p w14:paraId="671464CC">
            <w:pPr>
              <w:spacing w:line="240" w:lineRule="auto"/>
              <w:jc w:val="center"/>
              <w:rPr>
                <w:sz w:val="21"/>
                <w:szCs w:val="21"/>
              </w:rPr>
            </w:pPr>
            <w:r>
              <w:rPr>
                <w:rFonts w:hint="eastAsia"/>
                <w:sz w:val="21"/>
                <w:szCs w:val="21"/>
              </w:rPr>
              <w:t>18.2</w:t>
            </w:r>
          </w:p>
        </w:tc>
        <w:tc>
          <w:tcPr>
            <w:tcW w:w="846" w:type="dxa"/>
            <w:tcBorders>
              <w:top w:val="single" w:color="000000" w:sz="6" w:space="0"/>
              <w:left w:val="single" w:color="000000" w:sz="6" w:space="0"/>
              <w:bottom w:val="single" w:color="000000" w:sz="6" w:space="0"/>
              <w:right w:val="single" w:color="000000" w:sz="6" w:space="0"/>
            </w:tcBorders>
            <w:vAlign w:val="center"/>
          </w:tcPr>
          <w:p w14:paraId="750172E1">
            <w:pPr>
              <w:spacing w:line="240" w:lineRule="auto"/>
              <w:jc w:val="center"/>
              <w:rPr>
                <w:sz w:val="21"/>
                <w:szCs w:val="21"/>
              </w:rPr>
            </w:pPr>
            <w:r>
              <w:rPr>
                <w:rFonts w:hint="eastAsia"/>
                <w:sz w:val="21"/>
                <w:szCs w:val="21"/>
              </w:rPr>
              <w:t>10.44</w:t>
            </w:r>
          </w:p>
        </w:tc>
        <w:tc>
          <w:tcPr>
            <w:tcW w:w="788" w:type="dxa"/>
            <w:tcBorders>
              <w:top w:val="single" w:color="000000" w:sz="6" w:space="0"/>
              <w:left w:val="single" w:color="000000" w:sz="6" w:space="0"/>
              <w:bottom w:val="single" w:color="000000" w:sz="6" w:space="0"/>
            </w:tcBorders>
            <w:vAlign w:val="center"/>
          </w:tcPr>
          <w:p w14:paraId="10E2C355">
            <w:pPr>
              <w:spacing w:line="240" w:lineRule="auto"/>
              <w:jc w:val="center"/>
              <w:rPr>
                <w:sz w:val="21"/>
                <w:szCs w:val="21"/>
              </w:rPr>
            </w:pPr>
          </w:p>
        </w:tc>
      </w:tr>
      <w:tr w14:paraId="5F51E8B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52E6B05C">
            <w:pPr>
              <w:spacing w:line="240" w:lineRule="auto"/>
              <w:jc w:val="center"/>
              <w:rPr>
                <w:sz w:val="21"/>
                <w:szCs w:val="21"/>
              </w:rPr>
            </w:pPr>
            <w:r>
              <w:rPr>
                <w:sz w:val="21"/>
                <w:szCs w:val="21"/>
              </w:rPr>
              <w:t>7月</w:t>
            </w:r>
          </w:p>
        </w:tc>
        <w:tc>
          <w:tcPr>
            <w:tcW w:w="845" w:type="dxa"/>
            <w:tcBorders>
              <w:top w:val="single" w:color="000000" w:sz="6" w:space="0"/>
              <w:left w:val="single" w:color="000000" w:sz="6" w:space="0"/>
              <w:bottom w:val="single" w:color="000000" w:sz="6" w:space="0"/>
              <w:right w:val="single" w:color="000000" w:sz="6" w:space="0"/>
            </w:tcBorders>
            <w:vAlign w:val="center"/>
          </w:tcPr>
          <w:p w14:paraId="36F935C2">
            <w:pPr>
              <w:spacing w:line="240" w:lineRule="auto"/>
              <w:jc w:val="center"/>
              <w:rPr>
                <w:sz w:val="21"/>
                <w:szCs w:val="21"/>
              </w:rPr>
            </w:pPr>
            <w:r>
              <w:rPr>
                <w:rFonts w:hint="eastAsia"/>
                <w:sz w:val="21"/>
                <w:szCs w:val="21"/>
              </w:rPr>
              <w:t>4.4</w:t>
            </w:r>
          </w:p>
        </w:tc>
        <w:tc>
          <w:tcPr>
            <w:tcW w:w="915" w:type="dxa"/>
            <w:tcBorders>
              <w:top w:val="single" w:color="000000" w:sz="6" w:space="0"/>
              <w:left w:val="single" w:color="000000" w:sz="6" w:space="0"/>
              <w:bottom w:val="single" w:color="000000" w:sz="6" w:space="0"/>
              <w:right w:val="single" w:color="000000" w:sz="6" w:space="0"/>
            </w:tcBorders>
            <w:vAlign w:val="center"/>
          </w:tcPr>
          <w:p w14:paraId="7289D11D">
            <w:pPr>
              <w:spacing w:line="240" w:lineRule="auto"/>
              <w:jc w:val="center"/>
              <w:rPr>
                <w:sz w:val="21"/>
                <w:szCs w:val="21"/>
              </w:rPr>
            </w:pPr>
            <w:r>
              <w:rPr>
                <w:rFonts w:hint="eastAsia"/>
                <w:sz w:val="21"/>
                <w:szCs w:val="21"/>
              </w:rPr>
              <w:t>1.85</w:t>
            </w:r>
          </w:p>
        </w:tc>
        <w:tc>
          <w:tcPr>
            <w:tcW w:w="732" w:type="dxa"/>
            <w:tcBorders>
              <w:top w:val="single" w:color="000000" w:sz="6" w:space="0"/>
              <w:left w:val="single" w:color="000000" w:sz="6" w:space="0"/>
              <w:bottom w:val="single" w:color="000000" w:sz="6" w:space="0"/>
              <w:right w:val="single" w:color="000000" w:sz="6" w:space="0"/>
            </w:tcBorders>
            <w:vAlign w:val="center"/>
          </w:tcPr>
          <w:p w14:paraId="501F9FE1">
            <w:pPr>
              <w:spacing w:line="240" w:lineRule="auto"/>
              <w:jc w:val="center"/>
              <w:rPr>
                <w:sz w:val="21"/>
                <w:szCs w:val="21"/>
              </w:rPr>
            </w:pPr>
            <w:r>
              <w:rPr>
                <w:rFonts w:hint="eastAsia"/>
                <w:sz w:val="21"/>
                <w:szCs w:val="21"/>
              </w:rPr>
              <w:t>1.59</w:t>
            </w:r>
          </w:p>
        </w:tc>
        <w:tc>
          <w:tcPr>
            <w:tcW w:w="977" w:type="dxa"/>
            <w:tcBorders>
              <w:top w:val="single" w:color="000000" w:sz="6" w:space="0"/>
              <w:left w:val="single" w:color="000000" w:sz="6" w:space="0"/>
              <w:bottom w:val="single" w:color="000000" w:sz="6" w:space="0"/>
              <w:right w:val="single" w:color="000000" w:sz="6" w:space="0"/>
            </w:tcBorders>
            <w:vAlign w:val="center"/>
          </w:tcPr>
          <w:p w14:paraId="1F37F658">
            <w:pPr>
              <w:spacing w:line="240" w:lineRule="auto"/>
              <w:jc w:val="center"/>
              <w:rPr>
                <w:sz w:val="21"/>
                <w:szCs w:val="21"/>
              </w:rPr>
            </w:pPr>
            <w:r>
              <w:rPr>
                <w:rFonts w:hint="eastAsia"/>
                <w:sz w:val="21"/>
                <w:szCs w:val="21"/>
              </w:rPr>
              <w:t>1.33</w:t>
            </w:r>
          </w:p>
        </w:tc>
        <w:tc>
          <w:tcPr>
            <w:tcW w:w="675" w:type="dxa"/>
            <w:tcBorders>
              <w:top w:val="single" w:color="000000" w:sz="6" w:space="0"/>
              <w:left w:val="single" w:color="000000" w:sz="6" w:space="0"/>
              <w:bottom w:val="single" w:color="000000" w:sz="6" w:space="0"/>
              <w:right w:val="single" w:color="000000" w:sz="6" w:space="0"/>
            </w:tcBorders>
            <w:vAlign w:val="center"/>
          </w:tcPr>
          <w:p w14:paraId="4A1ADA3C">
            <w:pPr>
              <w:spacing w:line="240" w:lineRule="auto"/>
              <w:jc w:val="center"/>
              <w:rPr>
                <w:sz w:val="21"/>
                <w:szCs w:val="21"/>
              </w:rPr>
            </w:pPr>
            <w:r>
              <w:rPr>
                <w:rFonts w:hint="eastAsia"/>
                <w:sz w:val="21"/>
                <w:szCs w:val="21"/>
              </w:rPr>
              <w:t>3.64</w:t>
            </w:r>
          </w:p>
        </w:tc>
        <w:tc>
          <w:tcPr>
            <w:tcW w:w="895" w:type="dxa"/>
            <w:tcBorders>
              <w:top w:val="single" w:color="000000" w:sz="6" w:space="0"/>
              <w:left w:val="single" w:color="000000" w:sz="6" w:space="0"/>
              <w:bottom w:val="single" w:color="000000" w:sz="6" w:space="0"/>
              <w:right w:val="single" w:color="000000" w:sz="6" w:space="0"/>
            </w:tcBorders>
            <w:vAlign w:val="center"/>
          </w:tcPr>
          <w:p w14:paraId="1546772B">
            <w:pPr>
              <w:spacing w:line="240" w:lineRule="auto"/>
              <w:jc w:val="center"/>
              <w:rPr>
                <w:sz w:val="21"/>
                <w:szCs w:val="21"/>
              </w:rPr>
            </w:pPr>
            <w:r>
              <w:rPr>
                <w:rFonts w:hint="eastAsia"/>
                <w:sz w:val="21"/>
                <w:szCs w:val="21"/>
              </w:rPr>
              <w:t>6.41</w:t>
            </w:r>
          </w:p>
        </w:tc>
        <w:tc>
          <w:tcPr>
            <w:tcW w:w="845" w:type="dxa"/>
            <w:tcBorders>
              <w:top w:val="single" w:color="000000" w:sz="6" w:space="0"/>
              <w:left w:val="single" w:color="000000" w:sz="6" w:space="0"/>
              <w:bottom w:val="single" w:color="000000" w:sz="6" w:space="0"/>
              <w:right w:val="single" w:color="000000" w:sz="6" w:space="0"/>
            </w:tcBorders>
            <w:vAlign w:val="center"/>
          </w:tcPr>
          <w:p w14:paraId="49281846">
            <w:pPr>
              <w:spacing w:line="240" w:lineRule="auto"/>
              <w:jc w:val="center"/>
              <w:rPr>
                <w:sz w:val="21"/>
                <w:szCs w:val="21"/>
              </w:rPr>
            </w:pPr>
            <w:r>
              <w:rPr>
                <w:rFonts w:hint="eastAsia"/>
                <w:sz w:val="21"/>
                <w:szCs w:val="21"/>
              </w:rPr>
              <w:t>17.04</w:t>
            </w:r>
          </w:p>
        </w:tc>
        <w:tc>
          <w:tcPr>
            <w:tcW w:w="846" w:type="dxa"/>
            <w:tcBorders>
              <w:top w:val="single" w:color="000000" w:sz="6" w:space="0"/>
              <w:left w:val="single" w:color="000000" w:sz="6" w:space="0"/>
              <w:bottom w:val="single" w:color="000000" w:sz="6" w:space="0"/>
              <w:right w:val="single" w:color="000000" w:sz="6" w:space="0"/>
            </w:tcBorders>
            <w:vAlign w:val="center"/>
          </w:tcPr>
          <w:p w14:paraId="7981E3D4">
            <w:pPr>
              <w:spacing w:line="240" w:lineRule="auto"/>
              <w:jc w:val="center"/>
              <w:rPr>
                <w:sz w:val="21"/>
                <w:szCs w:val="21"/>
              </w:rPr>
            </w:pPr>
            <w:r>
              <w:rPr>
                <w:rFonts w:hint="eastAsia"/>
                <w:sz w:val="21"/>
                <w:szCs w:val="21"/>
              </w:rPr>
              <w:t>9.5</w:t>
            </w:r>
          </w:p>
        </w:tc>
        <w:tc>
          <w:tcPr>
            <w:tcW w:w="788" w:type="dxa"/>
            <w:tcBorders>
              <w:top w:val="single" w:color="000000" w:sz="6" w:space="0"/>
              <w:left w:val="single" w:color="000000" w:sz="6" w:space="0"/>
              <w:bottom w:val="single" w:color="000000" w:sz="6" w:space="0"/>
            </w:tcBorders>
            <w:vAlign w:val="center"/>
          </w:tcPr>
          <w:p w14:paraId="22FF243F">
            <w:pPr>
              <w:spacing w:line="240" w:lineRule="auto"/>
              <w:jc w:val="center"/>
              <w:rPr>
                <w:sz w:val="21"/>
                <w:szCs w:val="21"/>
              </w:rPr>
            </w:pPr>
          </w:p>
        </w:tc>
      </w:tr>
      <w:tr w14:paraId="4F267B2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5E6FD52">
            <w:pPr>
              <w:spacing w:line="240" w:lineRule="auto"/>
              <w:jc w:val="center"/>
              <w:rPr>
                <w:sz w:val="21"/>
                <w:szCs w:val="21"/>
              </w:rPr>
            </w:pPr>
            <w:r>
              <w:rPr>
                <w:sz w:val="21"/>
                <w:szCs w:val="21"/>
              </w:rPr>
              <w:t>8月</w:t>
            </w:r>
          </w:p>
        </w:tc>
        <w:tc>
          <w:tcPr>
            <w:tcW w:w="845" w:type="dxa"/>
            <w:tcBorders>
              <w:top w:val="single" w:color="000000" w:sz="6" w:space="0"/>
              <w:left w:val="single" w:color="000000" w:sz="6" w:space="0"/>
              <w:bottom w:val="single" w:color="000000" w:sz="6" w:space="0"/>
              <w:right w:val="single" w:color="000000" w:sz="6" w:space="0"/>
            </w:tcBorders>
            <w:vAlign w:val="center"/>
          </w:tcPr>
          <w:p w14:paraId="2B7F1E3C">
            <w:pPr>
              <w:spacing w:line="240" w:lineRule="auto"/>
              <w:jc w:val="center"/>
              <w:rPr>
                <w:sz w:val="21"/>
                <w:szCs w:val="21"/>
              </w:rPr>
            </w:pPr>
            <w:r>
              <w:rPr>
                <w:rFonts w:hint="eastAsia"/>
                <w:sz w:val="21"/>
                <w:szCs w:val="21"/>
              </w:rPr>
              <w:t>3.33</w:t>
            </w:r>
          </w:p>
        </w:tc>
        <w:tc>
          <w:tcPr>
            <w:tcW w:w="915" w:type="dxa"/>
            <w:tcBorders>
              <w:top w:val="single" w:color="000000" w:sz="6" w:space="0"/>
              <w:left w:val="single" w:color="000000" w:sz="6" w:space="0"/>
              <w:bottom w:val="single" w:color="000000" w:sz="6" w:space="0"/>
              <w:right w:val="single" w:color="000000" w:sz="6" w:space="0"/>
            </w:tcBorders>
            <w:vAlign w:val="center"/>
          </w:tcPr>
          <w:p w14:paraId="1BEAF1B2">
            <w:pPr>
              <w:spacing w:line="240" w:lineRule="auto"/>
              <w:jc w:val="center"/>
              <w:rPr>
                <w:sz w:val="21"/>
                <w:szCs w:val="21"/>
              </w:rPr>
            </w:pPr>
            <w:r>
              <w:rPr>
                <w:rFonts w:hint="eastAsia"/>
                <w:sz w:val="21"/>
                <w:szCs w:val="21"/>
              </w:rPr>
              <w:t>1.57</w:t>
            </w:r>
          </w:p>
        </w:tc>
        <w:tc>
          <w:tcPr>
            <w:tcW w:w="732" w:type="dxa"/>
            <w:tcBorders>
              <w:top w:val="single" w:color="000000" w:sz="6" w:space="0"/>
              <w:left w:val="single" w:color="000000" w:sz="6" w:space="0"/>
              <w:bottom w:val="single" w:color="000000" w:sz="6" w:space="0"/>
              <w:right w:val="single" w:color="000000" w:sz="6" w:space="0"/>
            </w:tcBorders>
            <w:vAlign w:val="center"/>
          </w:tcPr>
          <w:p w14:paraId="3791E574">
            <w:pPr>
              <w:spacing w:line="240" w:lineRule="auto"/>
              <w:jc w:val="center"/>
              <w:rPr>
                <w:sz w:val="21"/>
                <w:szCs w:val="21"/>
              </w:rPr>
            </w:pPr>
            <w:r>
              <w:rPr>
                <w:rFonts w:hint="eastAsia"/>
                <w:sz w:val="21"/>
                <w:szCs w:val="21"/>
              </w:rPr>
              <w:t>1.61</w:t>
            </w:r>
          </w:p>
        </w:tc>
        <w:tc>
          <w:tcPr>
            <w:tcW w:w="977" w:type="dxa"/>
            <w:tcBorders>
              <w:top w:val="single" w:color="000000" w:sz="6" w:space="0"/>
              <w:left w:val="single" w:color="000000" w:sz="6" w:space="0"/>
              <w:bottom w:val="single" w:color="000000" w:sz="6" w:space="0"/>
              <w:right w:val="single" w:color="000000" w:sz="6" w:space="0"/>
            </w:tcBorders>
            <w:vAlign w:val="center"/>
          </w:tcPr>
          <w:p w14:paraId="209B2582">
            <w:pPr>
              <w:spacing w:line="240" w:lineRule="auto"/>
              <w:jc w:val="center"/>
              <w:rPr>
                <w:sz w:val="21"/>
                <w:szCs w:val="21"/>
              </w:rPr>
            </w:pPr>
            <w:r>
              <w:rPr>
                <w:rFonts w:hint="eastAsia"/>
                <w:sz w:val="21"/>
                <w:szCs w:val="21"/>
              </w:rPr>
              <w:t>1.46</w:t>
            </w:r>
          </w:p>
        </w:tc>
        <w:tc>
          <w:tcPr>
            <w:tcW w:w="675" w:type="dxa"/>
            <w:tcBorders>
              <w:top w:val="single" w:color="000000" w:sz="6" w:space="0"/>
              <w:left w:val="single" w:color="000000" w:sz="6" w:space="0"/>
              <w:bottom w:val="single" w:color="000000" w:sz="6" w:space="0"/>
              <w:right w:val="single" w:color="000000" w:sz="6" w:space="0"/>
            </w:tcBorders>
            <w:vAlign w:val="center"/>
          </w:tcPr>
          <w:p w14:paraId="213DEA68">
            <w:pPr>
              <w:spacing w:line="240" w:lineRule="auto"/>
              <w:jc w:val="center"/>
              <w:rPr>
                <w:sz w:val="21"/>
                <w:szCs w:val="21"/>
              </w:rPr>
            </w:pPr>
            <w:r>
              <w:rPr>
                <w:rFonts w:hint="eastAsia"/>
                <w:sz w:val="21"/>
                <w:szCs w:val="21"/>
              </w:rPr>
              <w:t>3.69</w:t>
            </w:r>
          </w:p>
        </w:tc>
        <w:tc>
          <w:tcPr>
            <w:tcW w:w="895" w:type="dxa"/>
            <w:tcBorders>
              <w:top w:val="single" w:color="000000" w:sz="6" w:space="0"/>
              <w:left w:val="single" w:color="000000" w:sz="6" w:space="0"/>
              <w:bottom w:val="single" w:color="000000" w:sz="6" w:space="0"/>
              <w:right w:val="single" w:color="000000" w:sz="6" w:space="0"/>
            </w:tcBorders>
            <w:vAlign w:val="center"/>
          </w:tcPr>
          <w:p w14:paraId="0D93A494">
            <w:pPr>
              <w:spacing w:line="240" w:lineRule="auto"/>
              <w:jc w:val="center"/>
              <w:rPr>
                <w:sz w:val="21"/>
                <w:szCs w:val="21"/>
              </w:rPr>
            </w:pPr>
            <w:r>
              <w:rPr>
                <w:rFonts w:hint="eastAsia"/>
                <w:sz w:val="21"/>
                <w:szCs w:val="21"/>
              </w:rPr>
              <w:t>10.12</w:t>
            </w:r>
          </w:p>
        </w:tc>
        <w:tc>
          <w:tcPr>
            <w:tcW w:w="845" w:type="dxa"/>
            <w:tcBorders>
              <w:top w:val="single" w:color="000000" w:sz="6" w:space="0"/>
              <w:left w:val="single" w:color="000000" w:sz="6" w:space="0"/>
              <w:bottom w:val="single" w:color="000000" w:sz="6" w:space="0"/>
              <w:right w:val="single" w:color="000000" w:sz="6" w:space="0"/>
            </w:tcBorders>
            <w:vAlign w:val="center"/>
          </w:tcPr>
          <w:p w14:paraId="30F59407">
            <w:pPr>
              <w:spacing w:line="240" w:lineRule="auto"/>
              <w:jc w:val="center"/>
              <w:rPr>
                <w:sz w:val="21"/>
                <w:szCs w:val="21"/>
              </w:rPr>
            </w:pPr>
            <w:r>
              <w:rPr>
                <w:rFonts w:hint="eastAsia"/>
                <w:sz w:val="21"/>
                <w:szCs w:val="21"/>
              </w:rPr>
              <w:t>23.5</w:t>
            </w:r>
          </w:p>
        </w:tc>
        <w:tc>
          <w:tcPr>
            <w:tcW w:w="846" w:type="dxa"/>
            <w:tcBorders>
              <w:top w:val="single" w:color="000000" w:sz="6" w:space="0"/>
              <w:left w:val="single" w:color="000000" w:sz="6" w:space="0"/>
              <w:bottom w:val="single" w:color="000000" w:sz="6" w:space="0"/>
              <w:right w:val="single" w:color="000000" w:sz="6" w:space="0"/>
            </w:tcBorders>
            <w:vAlign w:val="center"/>
          </w:tcPr>
          <w:p w14:paraId="3487CA13">
            <w:pPr>
              <w:spacing w:line="240" w:lineRule="auto"/>
              <w:jc w:val="center"/>
              <w:rPr>
                <w:sz w:val="21"/>
                <w:szCs w:val="21"/>
              </w:rPr>
            </w:pPr>
            <w:r>
              <w:rPr>
                <w:rFonts w:hint="eastAsia"/>
                <w:sz w:val="21"/>
                <w:szCs w:val="21"/>
              </w:rPr>
              <w:t>8.76</w:t>
            </w:r>
          </w:p>
        </w:tc>
        <w:tc>
          <w:tcPr>
            <w:tcW w:w="788" w:type="dxa"/>
            <w:tcBorders>
              <w:top w:val="single" w:color="000000" w:sz="6" w:space="0"/>
              <w:left w:val="single" w:color="000000" w:sz="6" w:space="0"/>
              <w:bottom w:val="single" w:color="000000" w:sz="6" w:space="0"/>
            </w:tcBorders>
            <w:vAlign w:val="center"/>
          </w:tcPr>
          <w:p w14:paraId="5A898839">
            <w:pPr>
              <w:spacing w:line="240" w:lineRule="auto"/>
              <w:jc w:val="center"/>
              <w:rPr>
                <w:sz w:val="21"/>
                <w:szCs w:val="21"/>
              </w:rPr>
            </w:pPr>
          </w:p>
        </w:tc>
      </w:tr>
      <w:tr w14:paraId="3A1B395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0013B3C5">
            <w:pPr>
              <w:spacing w:line="240" w:lineRule="auto"/>
              <w:jc w:val="center"/>
              <w:rPr>
                <w:sz w:val="21"/>
                <w:szCs w:val="21"/>
              </w:rPr>
            </w:pPr>
            <w:r>
              <w:rPr>
                <w:sz w:val="21"/>
                <w:szCs w:val="21"/>
              </w:rPr>
              <w:t>9月</w:t>
            </w:r>
          </w:p>
        </w:tc>
        <w:tc>
          <w:tcPr>
            <w:tcW w:w="845" w:type="dxa"/>
            <w:tcBorders>
              <w:top w:val="single" w:color="000000" w:sz="6" w:space="0"/>
              <w:left w:val="single" w:color="000000" w:sz="6" w:space="0"/>
              <w:bottom w:val="single" w:color="000000" w:sz="6" w:space="0"/>
              <w:right w:val="single" w:color="000000" w:sz="6" w:space="0"/>
            </w:tcBorders>
            <w:vAlign w:val="center"/>
          </w:tcPr>
          <w:p w14:paraId="63192DA9">
            <w:pPr>
              <w:spacing w:line="240" w:lineRule="auto"/>
              <w:jc w:val="center"/>
              <w:rPr>
                <w:sz w:val="21"/>
                <w:szCs w:val="21"/>
              </w:rPr>
            </w:pPr>
            <w:r>
              <w:rPr>
                <w:rFonts w:hint="eastAsia"/>
                <w:sz w:val="21"/>
                <w:szCs w:val="21"/>
              </w:rPr>
              <w:t>1.86</w:t>
            </w:r>
          </w:p>
        </w:tc>
        <w:tc>
          <w:tcPr>
            <w:tcW w:w="915" w:type="dxa"/>
            <w:tcBorders>
              <w:top w:val="single" w:color="000000" w:sz="6" w:space="0"/>
              <w:left w:val="single" w:color="000000" w:sz="6" w:space="0"/>
              <w:bottom w:val="single" w:color="000000" w:sz="6" w:space="0"/>
              <w:right w:val="single" w:color="000000" w:sz="6" w:space="0"/>
            </w:tcBorders>
            <w:vAlign w:val="center"/>
          </w:tcPr>
          <w:p w14:paraId="202FFC56">
            <w:pPr>
              <w:spacing w:line="240" w:lineRule="auto"/>
              <w:jc w:val="center"/>
              <w:rPr>
                <w:sz w:val="21"/>
                <w:szCs w:val="21"/>
              </w:rPr>
            </w:pPr>
            <w:r>
              <w:rPr>
                <w:rFonts w:hint="eastAsia"/>
                <w:sz w:val="21"/>
                <w:szCs w:val="21"/>
              </w:rPr>
              <w:t>1.21</w:t>
            </w:r>
          </w:p>
        </w:tc>
        <w:tc>
          <w:tcPr>
            <w:tcW w:w="732" w:type="dxa"/>
            <w:tcBorders>
              <w:top w:val="single" w:color="000000" w:sz="6" w:space="0"/>
              <w:left w:val="single" w:color="000000" w:sz="6" w:space="0"/>
              <w:bottom w:val="single" w:color="000000" w:sz="6" w:space="0"/>
              <w:right w:val="single" w:color="000000" w:sz="6" w:space="0"/>
            </w:tcBorders>
            <w:vAlign w:val="center"/>
          </w:tcPr>
          <w:p w14:paraId="19B4B7ED">
            <w:pPr>
              <w:spacing w:line="240" w:lineRule="auto"/>
              <w:jc w:val="center"/>
              <w:rPr>
                <w:sz w:val="21"/>
                <w:szCs w:val="21"/>
              </w:rPr>
            </w:pPr>
            <w:r>
              <w:rPr>
                <w:rFonts w:hint="eastAsia"/>
                <w:sz w:val="21"/>
                <w:szCs w:val="21"/>
              </w:rPr>
              <w:t>1.59</w:t>
            </w:r>
          </w:p>
        </w:tc>
        <w:tc>
          <w:tcPr>
            <w:tcW w:w="977" w:type="dxa"/>
            <w:tcBorders>
              <w:top w:val="single" w:color="000000" w:sz="6" w:space="0"/>
              <w:left w:val="single" w:color="000000" w:sz="6" w:space="0"/>
              <w:bottom w:val="single" w:color="000000" w:sz="6" w:space="0"/>
              <w:right w:val="single" w:color="000000" w:sz="6" w:space="0"/>
            </w:tcBorders>
            <w:vAlign w:val="center"/>
          </w:tcPr>
          <w:p w14:paraId="41FA1DEC">
            <w:pPr>
              <w:spacing w:line="240" w:lineRule="auto"/>
              <w:jc w:val="center"/>
              <w:rPr>
                <w:sz w:val="21"/>
                <w:szCs w:val="21"/>
              </w:rPr>
            </w:pPr>
            <w:r>
              <w:rPr>
                <w:rFonts w:hint="eastAsia"/>
                <w:sz w:val="21"/>
                <w:szCs w:val="21"/>
              </w:rPr>
              <w:t>1.44</w:t>
            </w:r>
          </w:p>
        </w:tc>
        <w:tc>
          <w:tcPr>
            <w:tcW w:w="675" w:type="dxa"/>
            <w:tcBorders>
              <w:top w:val="single" w:color="000000" w:sz="6" w:space="0"/>
              <w:left w:val="single" w:color="000000" w:sz="6" w:space="0"/>
              <w:bottom w:val="single" w:color="000000" w:sz="6" w:space="0"/>
              <w:right w:val="single" w:color="000000" w:sz="6" w:space="0"/>
            </w:tcBorders>
            <w:vAlign w:val="center"/>
          </w:tcPr>
          <w:p w14:paraId="3DE4A154">
            <w:pPr>
              <w:spacing w:line="240" w:lineRule="auto"/>
              <w:jc w:val="center"/>
              <w:rPr>
                <w:sz w:val="21"/>
                <w:szCs w:val="21"/>
              </w:rPr>
            </w:pPr>
            <w:r>
              <w:rPr>
                <w:rFonts w:hint="eastAsia"/>
                <w:sz w:val="21"/>
                <w:szCs w:val="21"/>
              </w:rPr>
              <w:t>4.43</w:t>
            </w:r>
          </w:p>
        </w:tc>
        <w:tc>
          <w:tcPr>
            <w:tcW w:w="895" w:type="dxa"/>
            <w:tcBorders>
              <w:top w:val="single" w:color="000000" w:sz="6" w:space="0"/>
              <w:left w:val="single" w:color="000000" w:sz="6" w:space="0"/>
              <w:bottom w:val="single" w:color="000000" w:sz="6" w:space="0"/>
              <w:right w:val="single" w:color="000000" w:sz="6" w:space="0"/>
            </w:tcBorders>
            <w:vAlign w:val="center"/>
          </w:tcPr>
          <w:p w14:paraId="1D35AD90">
            <w:pPr>
              <w:spacing w:line="240" w:lineRule="auto"/>
              <w:jc w:val="center"/>
              <w:rPr>
                <w:sz w:val="21"/>
                <w:szCs w:val="21"/>
              </w:rPr>
            </w:pPr>
            <w:r>
              <w:rPr>
                <w:rFonts w:hint="eastAsia"/>
                <w:sz w:val="21"/>
                <w:szCs w:val="21"/>
              </w:rPr>
              <w:t>12.99</w:t>
            </w:r>
          </w:p>
        </w:tc>
        <w:tc>
          <w:tcPr>
            <w:tcW w:w="845" w:type="dxa"/>
            <w:tcBorders>
              <w:top w:val="single" w:color="000000" w:sz="6" w:space="0"/>
              <w:left w:val="single" w:color="000000" w:sz="6" w:space="0"/>
              <w:bottom w:val="single" w:color="000000" w:sz="6" w:space="0"/>
              <w:right w:val="single" w:color="000000" w:sz="6" w:space="0"/>
            </w:tcBorders>
            <w:vAlign w:val="center"/>
          </w:tcPr>
          <w:p w14:paraId="4662F9F1">
            <w:pPr>
              <w:spacing w:line="240" w:lineRule="auto"/>
              <w:jc w:val="center"/>
              <w:rPr>
                <w:sz w:val="21"/>
                <w:szCs w:val="21"/>
              </w:rPr>
            </w:pPr>
            <w:r>
              <w:rPr>
                <w:rFonts w:hint="eastAsia"/>
                <w:sz w:val="21"/>
                <w:szCs w:val="21"/>
              </w:rPr>
              <w:t>29.5</w:t>
            </w:r>
          </w:p>
        </w:tc>
        <w:tc>
          <w:tcPr>
            <w:tcW w:w="846" w:type="dxa"/>
            <w:tcBorders>
              <w:top w:val="single" w:color="000000" w:sz="6" w:space="0"/>
              <w:left w:val="single" w:color="000000" w:sz="6" w:space="0"/>
              <w:bottom w:val="single" w:color="000000" w:sz="6" w:space="0"/>
              <w:right w:val="single" w:color="000000" w:sz="6" w:space="0"/>
            </w:tcBorders>
            <w:vAlign w:val="center"/>
          </w:tcPr>
          <w:p w14:paraId="55D268A1">
            <w:pPr>
              <w:spacing w:line="240" w:lineRule="auto"/>
              <w:jc w:val="center"/>
              <w:rPr>
                <w:sz w:val="21"/>
                <w:szCs w:val="21"/>
              </w:rPr>
            </w:pPr>
            <w:r>
              <w:rPr>
                <w:rFonts w:hint="eastAsia"/>
                <w:sz w:val="21"/>
                <w:szCs w:val="21"/>
              </w:rPr>
              <w:t>9.3</w:t>
            </w:r>
          </w:p>
        </w:tc>
        <w:tc>
          <w:tcPr>
            <w:tcW w:w="788" w:type="dxa"/>
            <w:tcBorders>
              <w:top w:val="single" w:color="000000" w:sz="6" w:space="0"/>
              <w:left w:val="single" w:color="000000" w:sz="6" w:space="0"/>
              <w:bottom w:val="single" w:color="000000" w:sz="6" w:space="0"/>
            </w:tcBorders>
            <w:vAlign w:val="center"/>
          </w:tcPr>
          <w:p w14:paraId="1514382C">
            <w:pPr>
              <w:spacing w:line="240" w:lineRule="auto"/>
              <w:jc w:val="center"/>
              <w:rPr>
                <w:sz w:val="21"/>
                <w:szCs w:val="21"/>
              </w:rPr>
            </w:pPr>
          </w:p>
        </w:tc>
      </w:tr>
      <w:tr w14:paraId="4A7EF12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E89CBE3">
            <w:pPr>
              <w:spacing w:line="240" w:lineRule="auto"/>
              <w:jc w:val="center"/>
              <w:rPr>
                <w:sz w:val="21"/>
                <w:szCs w:val="21"/>
              </w:rPr>
            </w:pPr>
            <w:r>
              <w:rPr>
                <w:sz w:val="21"/>
                <w:szCs w:val="21"/>
              </w:rPr>
              <w:t>10月</w:t>
            </w:r>
          </w:p>
        </w:tc>
        <w:tc>
          <w:tcPr>
            <w:tcW w:w="845" w:type="dxa"/>
            <w:tcBorders>
              <w:top w:val="single" w:color="000000" w:sz="6" w:space="0"/>
              <w:left w:val="single" w:color="000000" w:sz="6" w:space="0"/>
              <w:bottom w:val="single" w:color="000000" w:sz="6" w:space="0"/>
              <w:right w:val="single" w:color="000000" w:sz="6" w:space="0"/>
            </w:tcBorders>
            <w:vAlign w:val="center"/>
          </w:tcPr>
          <w:p w14:paraId="040E2EC9">
            <w:pPr>
              <w:spacing w:line="240" w:lineRule="auto"/>
              <w:jc w:val="center"/>
              <w:rPr>
                <w:sz w:val="21"/>
                <w:szCs w:val="21"/>
              </w:rPr>
            </w:pPr>
            <w:r>
              <w:rPr>
                <w:rFonts w:hint="eastAsia"/>
                <w:sz w:val="21"/>
                <w:szCs w:val="21"/>
              </w:rPr>
              <w:t>1.59</w:t>
            </w:r>
          </w:p>
        </w:tc>
        <w:tc>
          <w:tcPr>
            <w:tcW w:w="915" w:type="dxa"/>
            <w:tcBorders>
              <w:top w:val="single" w:color="000000" w:sz="6" w:space="0"/>
              <w:left w:val="single" w:color="000000" w:sz="6" w:space="0"/>
              <w:bottom w:val="single" w:color="000000" w:sz="6" w:space="0"/>
              <w:right w:val="single" w:color="000000" w:sz="6" w:space="0"/>
            </w:tcBorders>
            <w:vAlign w:val="center"/>
          </w:tcPr>
          <w:p w14:paraId="0380B480">
            <w:pPr>
              <w:spacing w:line="240" w:lineRule="auto"/>
              <w:jc w:val="center"/>
              <w:rPr>
                <w:sz w:val="21"/>
                <w:szCs w:val="21"/>
              </w:rPr>
            </w:pPr>
            <w:r>
              <w:rPr>
                <w:rFonts w:hint="eastAsia"/>
                <w:sz w:val="21"/>
                <w:szCs w:val="21"/>
              </w:rPr>
              <w:t>0.94</w:t>
            </w:r>
          </w:p>
        </w:tc>
        <w:tc>
          <w:tcPr>
            <w:tcW w:w="732" w:type="dxa"/>
            <w:tcBorders>
              <w:top w:val="single" w:color="000000" w:sz="6" w:space="0"/>
              <w:left w:val="single" w:color="000000" w:sz="6" w:space="0"/>
              <w:bottom w:val="single" w:color="000000" w:sz="6" w:space="0"/>
              <w:right w:val="single" w:color="000000" w:sz="6" w:space="0"/>
            </w:tcBorders>
            <w:vAlign w:val="center"/>
          </w:tcPr>
          <w:p w14:paraId="78E2548F">
            <w:pPr>
              <w:spacing w:line="240" w:lineRule="auto"/>
              <w:jc w:val="center"/>
              <w:rPr>
                <w:sz w:val="21"/>
                <w:szCs w:val="21"/>
              </w:rPr>
            </w:pPr>
            <w:r>
              <w:rPr>
                <w:rFonts w:hint="eastAsia"/>
                <w:sz w:val="21"/>
                <w:szCs w:val="21"/>
              </w:rPr>
              <w:t>1.29</w:t>
            </w:r>
          </w:p>
        </w:tc>
        <w:tc>
          <w:tcPr>
            <w:tcW w:w="977" w:type="dxa"/>
            <w:tcBorders>
              <w:top w:val="single" w:color="000000" w:sz="6" w:space="0"/>
              <w:left w:val="single" w:color="000000" w:sz="6" w:space="0"/>
              <w:bottom w:val="single" w:color="000000" w:sz="6" w:space="0"/>
              <w:right w:val="single" w:color="000000" w:sz="6" w:space="0"/>
            </w:tcBorders>
            <w:vAlign w:val="center"/>
          </w:tcPr>
          <w:p w14:paraId="58E819DC">
            <w:pPr>
              <w:spacing w:line="240" w:lineRule="auto"/>
              <w:jc w:val="center"/>
              <w:rPr>
                <w:sz w:val="21"/>
                <w:szCs w:val="21"/>
              </w:rPr>
            </w:pPr>
            <w:r>
              <w:rPr>
                <w:rFonts w:hint="eastAsia"/>
                <w:sz w:val="21"/>
                <w:szCs w:val="21"/>
              </w:rPr>
              <w:t>1.51</w:t>
            </w:r>
          </w:p>
        </w:tc>
        <w:tc>
          <w:tcPr>
            <w:tcW w:w="675" w:type="dxa"/>
            <w:tcBorders>
              <w:top w:val="single" w:color="000000" w:sz="6" w:space="0"/>
              <w:left w:val="single" w:color="000000" w:sz="6" w:space="0"/>
              <w:bottom w:val="single" w:color="000000" w:sz="6" w:space="0"/>
              <w:right w:val="single" w:color="000000" w:sz="6" w:space="0"/>
            </w:tcBorders>
            <w:vAlign w:val="center"/>
          </w:tcPr>
          <w:p w14:paraId="25273787">
            <w:pPr>
              <w:spacing w:line="240" w:lineRule="auto"/>
              <w:jc w:val="center"/>
              <w:rPr>
                <w:sz w:val="21"/>
                <w:szCs w:val="21"/>
              </w:rPr>
            </w:pPr>
            <w:r>
              <w:rPr>
                <w:rFonts w:hint="eastAsia"/>
                <w:sz w:val="21"/>
                <w:szCs w:val="21"/>
              </w:rPr>
              <w:t>4.25</w:t>
            </w:r>
          </w:p>
        </w:tc>
        <w:tc>
          <w:tcPr>
            <w:tcW w:w="895" w:type="dxa"/>
            <w:tcBorders>
              <w:top w:val="single" w:color="000000" w:sz="6" w:space="0"/>
              <w:left w:val="single" w:color="000000" w:sz="6" w:space="0"/>
              <w:bottom w:val="single" w:color="000000" w:sz="6" w:space="0"/>
              <w:right w:val="single" w:color="000000" w:sz="6" w:space="0"/>
            </w:tcBorders>
            <w:vAlign w:val="center"/>
          </w:tcPr>
          <w:p w14:paraId="646F7DDF">
            <w:pPr>
              <w:spacing w:line="240" w:lineRule="auto"/>
              <w:jc w:val="center"/>
              <w:rPr>
                <w:sz w:val="21"/>
                <w:szCs w:val="21"/>
              </w:rPr>
            </w:pPr>
            <w:r>
              <w:rPr>
                <w:rFonts w:hint="eastAsia"/>
                <w:sz w:val="21"/>
                <w:szCs w:val="21"/>
              </w:rPr>
              <w:t>13.49</w:t>
            </w:r>
          </w:p>
        </w:tc>
        <w:tc>
          <w:tcPr>
            <w:tcW w:w="845" w:type="dxa"/>
            <w:tcBorders>
              <w:top w:val="single" w:color="000000" w:sz="6" w:space="0"/>
              <w:left w:val="single" w:color="000000" w:sz="6" w:space="0"/>
              <w:bottom w:val="single" w:color="000000" w:sz="6" w:space="0"/>
              <w:right w:val="single" w:color="000000" w:sz="6" w:space="0"/>
            </w:tcBorders>
            <w:vAlign w:val="center"/>
          </w:tcPr>
          <w:p w14:paraId="59414DAF">
            <w:pPr>
              <w:spacing w:line="240" w:lineRule="auto"/>
              <w:jc w:val="center"/>
              <w:rPr>
                <w:sz w:val="21"/>
                <w:szCs w:val="21"/>
              </w:rPr>
            </w:pPr>
            <w:r>
              <w:rPr>
                <w:rFonts w:hint="eastAsia"/>
                <w:sz w:val="21"/>
                <w:szCs w:val="21"/>
              </w:rPr>
              <w:t>32.23</w:t>
            </w:r>
          </w:p>
        </w:tc>
        <w:tc>
          <w:tcPr>
            <w:tcW w:w="846" w:type="dxa"/>
            <w:tcBorders>
              <w:top w:val="single" w:color="000000" w:sz="6" w:space="0"/>
              <w:left w:val="single" w:color="000000" w:sz="6" w:space="0"/>
              <w:bottom w:val="single" w:color="000000" w:sz="6" w:space="0"/>
              <w:right w:val="single" w:color="000000" w:sz="6" w:space="0"/>
            </w:tcBorders>
            <w:vAlign w:val="center"/>
          </w:tcPr>
          <w:p w14:paraId="4F8A33AF">
            <w:pPr>
              <w:spacing w:line="240" w:lineRule="auto"/>
              <w:jc w:val="center"/>
              <w:rPr>
                <w:sz w:val="21"/>
                <w:szCs w:val="21"/>
              </w:rPr>
            </w:pPr>
            <w:r>
              <w:rPr>
                <w:rFonts w:hint="eastAsia"/>
                <w:sz w:val="21"/>
                <w:szCs w:val="21"/>
              </w:rPr>
              <w:t>10.01</w:t>
            </w:r>
          </w:p>
        </w:tc>
        <w:tc>
          <w:tcPr>
            <w:tcW w:w="788" w:type="dxa"/>
            <w:tcBorders>
              <w:top w:val="single" w:color="000000" w:sz="6" w:space="0"/>
              <w:left w:val="single" w:color="000000" w:sz="6" w:space="0"/>
              <w:bottom w:val="single" w:color="000000" w:sz="6" w:space="0"/>
            </w:tcBorders>
            <w:vAlign w:val="center"/>
          </w:tcPr>
          <w:p w14:paraId="51579FB9">
            <w:pPr>
              <w:spacing w:line="240" w:lineRule="auto"/>
              <w:jc w:val="center"/>
              <w:rPr>
                <w:sz w:val="21"/>
                <w:szCs w:val="21"/>
              </w:rPr>
            </w:pPr>
          </w:p>
        </w:tc>
      </w:tr>
      <w:tr w14:paraId="250147C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E038646">
            <w:pPr>
              <w:spacing w:line="240" w:lineRule="auto"/>
              <w:jc w:val="center"/>
              <w:rPr>
                <w:sz w:val="21"/>
                <w:szCs w:val="21"/>
              </w:rPr>
            </w:pPr>
            <w:r>
              <w:rPr>
                <w:sz w:val="21"/>
                <w:szCs w:val="21"/>
              </w:rPr>
              <w:t>11月</w:t>
            </w:r>
          </w:p>
        </w:tc>
        <w:tc>
          <w:tcPr>
            <w:tcW w:w="845" w:type="dxa"/>
            <w:tcBorders>
              <w:top w:val="single" w:color="000000" w:sz="6" w:space="0"/>
              <w:left w:val="single" w:color="000000" w:sz="6" w:space="0"/>
              <w:bottom w:val="single" w:color="000000" w:sz="6" w:space="0"/>
              <w:right w:val="single" w:color="000000" w:sz="6" w:space="0"/>
            </w:tcBorders>
            <w:vAlign w:val="center"/>
          </w:tcPr>
          <w:p w14:paraId="43455ED8">
            <w:pPr>
              <w:spacing w:line="240" w:lineRule="auto"/>
              <w:jc w:val="center"/>
              <w:rPr>
                <w:sz w:val="21"/>
                <w:szCs w:val="21"/>
              </w:rPr>
            </w:pPr>
            <w:r>
              <w:rPr>
                <w:rFonts w:hint="eastAsia"/>
                <w:sz w:val="21"/>
                <w:szCs w:val="21"/>
              </w:rPr>
              <w:t>1.77</w:t>
            </w:r>
          </w:p>
        </w:tc>
        <w:tc>
          <w:tcPr>
            <w:tcW w:w="915" w:type="dxa"/>
            <w:tcBorders>
              <w:top w:val="single" w:color="000000" w:sz="6" w:space="0"/>
              <w:left w:val="single" w:color="000000" w:sz="6" w:space="0"/>
              <w:bottom w:val="single" w:color="000000" w:sz="6" w:space="0"/>
              <w:right w:val="single" w:color="000000" w:sz="6" w:space="0"/>
            </w:tcBorders>
            <w:vAlign w:val="center"/>
          </w:tcPr>
          <w:p w14:paraId="26ADC0E5">
            <w:pPr>
              <w:spacing w:line="240" w:lineRule="auto"/>
              <w:jc w:val="center"/>
              <w:rPr>
                <w:sz w:val="21"/>
                <w:szCs w:val="21"/>
              </w:rPr>
            </w:pPr>
            <w:r>
              <w:rPr>
                <w:rFonts w:hint="eastAsia"/>
                <w:sz w:val="21"/>
                <w:szCs w:val="21"/>
              </w:rPr>
              <w:t>0.88</w:t>
            </w:r>
          </w:p>
        </w:tc>
        <w:tc>
          <w:tcPr>
            <w:tcW w:w="732" w:type="dxa"/>
            <w:tcBorders>
              <w:top w:val="single" w:color="000000" w:sz="6" w:space="0"/>
              <w:left w:val="single" w:color="000000" w:sz="6" w:space="0"/>
              <w:bottom w:val="single" w:color="000000" w:sz="6" w:space="0"/>
              <w:right w:val="single" w:color="000000" w:sz="6" w:space="0"/>
            </w:tcBorders>
            <w:vAlign w:val="center"/>
          </w:tcPr>
          <w:p w14:paraId="3838BABD">
            <w:pPr>
              <w:spacing w:line="240" w:lineRule="auto"/>
              <w:jc w:val="center"/>
              <w:rPr>
                <w:sz w:val="21"/>
                <w:szCs w:val="21"/>
              </w:rPr>
            </w:pPr>
            <w:r>
              <w:rPr>
                <w:rFonts w:hint="eastAsia"/>
                <w:sz w:val="21"/>
                <w:szCs w:val="21"/>
              </w:rPr>
              <w:t>1.47</w:t>
            </w:r>
          </w:p>
        </w:tc>
        <w:tc>
          <w:tcPr>
            <w:tcW w:w="977" w:type="dxa"/>
            <w:tcBorders>
              <w:top w:val="single" w:color="000000" w:sz="6" w:space="0"/>
              <w:left w:val="single" w:color="000000" w:sz="6" w:space="0"/>
              <w:bottom w:val="single" w:color="000000" w:sz="6" w:space="0"/>
              <w:right w:val="single" w:color="000000" w:sz="6" w:space="0"/>
            </w:tcBorders>
            <w:vAlign w:val="center"/>
          </w:tcPr>
          <w:p w14:paraId="0A6B95DB">
            <w:pPr>
              <w:spacing w:line="240" w:lineRule="auto"/>
              <w:jc w:val="center"/>
              <w:rPr>
                <w:sz w:val="21"/>
                <w:szCs w:val="21"/>
              </w:rPr>
            </w:pPr>
            <w:r>
              <w:rPr>
                <w:rFonts w:hint="eastAsia"/>
                <w:sz w:val="21"/>
                <w:szCs w:val="21"/>
              </w:rPr>
              <w:t>1.44</w:t>
            </w:r>
          </w:p>
        </w:tc>
        <w:tc>
          <w:tcPr>
            <w:tcW w:w="675" w:type="dxa"/>
            <w:tcBorders>
              <w:top w:val="single" w:color="000000" w:sz="6" w:space="0"/>
              <w:left w:val="single" w:color="000000" w:sz="6" w:space="0"/>
              <w:bottom w:val="single" w:color="000000" w:sz="6" w:space="0"/>
              <w:right w:val="single" w:color="000000" w:sz="6" w:space="0"/>
            </w:tcBorders>
            <w:vAlign w:val="center"/>
          </w:tcPr>
          <w:p w14:paraId="5177463E">
            <w:pPr>
              <w:spacing w:line="240" w:lineRule="auto"/>
              <w:jc w:val="center"/>
              <w:rPr>
                <w:sz w:val="21"/>
                <w:szCs w:val="21"/>
              </w:rPr>
            </w:pPr>
            <w:r>
              <w:rPr>
                <w:rFonts w:hint="eastAsia"/>
                <w:sz w:val="21"/>
                <w:szCs w:val="21"/>
              </w:rPr>
              <w:t>4.7</w:t>
            </w:r>
          </w:p>
        </w:tc>
        <w:tc>
          <w:tcPr>
            <w:tcW w:w="895" w:type="dxa"/>
            <w:tcBorders>
              <w:top w:val="single" w:color="000000" w:sz="6" w:space="0"/>
              <w:left w:val="single" w:color="000000" w:sz="6" w:space="0"/>
              <w:bottom w:val="single" w:color="000000" w:sz="6" w:space="0"/>
              <w:right w:val="single" w:color="000000" w:sz="6" w:space="0"/>
            </w:tcBorders>
            <w:vAlign w:val="center"/>
          </w:tcPr>
          <w:p w14:paraId="497C8CFE">
            <w:pPr>
              <w:spacing w:line="240" w:lineRule="auto"/>
              <w:jc w:val="center"/>
              <w:rPr>
                <w:sz w:val="21"/>
                <w:szCs w:val="21"/>
              </w:rPr>
            </w:pPr>
            <w:r>
              <w:rPr>
                <w:rFonts w:hint="eastAsia"/>
                <w:sz w:val="21"/>
                <w:szCs w:val="21"/>
              </w:rPr>
              <w:t>12.76</w:t>
            </w:r>
          </w:p>
        </w:tc>
        <w:tc>
          <w:tcPr>
            <w:tcW w:w="845" w:type="dxa"/>
            <w:tcBorders>
              <w:top w:val="single" w:color="000000" w:sz="6" w:space="0"/>
              <w:left w:val="single" w:color="000000" w:sz="6" w:space="0"/>
              <w:bottom w:val="single" w:color="000000" w:sz="6" w:space="0"/>
              <w:right w:val="single" w:color="000000" w:sz="6" w:space="0"/>
            </w:tcBorders>
            <w:vAlign w:val="center"/>
          </w:tcPr>
          <w:p w14:paraId="7EE2C663">
            <w:pPr>
              <w:spacing w:line="240" w:lineRule="auto"/>
              <w:jc w:val="center"/>
              <w:rPr>
                <w:sz w:val="21"/>
                <w:szCs w:val="21"/>
              </w:rPr>
            </w:pPr>
            <w:r>
              <w:rPr>
                <w:rFonts w:hint="eastAsia"/>
                <w:sz w:val="21"/>
                <w:szCs w:val="21"/>
              </w:rPr>
              <w:t>28.79</w:t>
            </w:r>
          </w:p>
        </w:tc>
        <w:tc>
          <w:tcPr>
            <w:tcW w:w="846" w:type="dxa"/>
            <w:tcBorders>
              <w:top w:val="single" w:color="000000" w:sz="6" w:space="0"/>
              <w:left w:val="single" w:color="000000" w:sz="6" w:space="0"/>
              <w:bottom w:val="single" w:color="000000" w:sz="6" w:space="0"/>
              <w:right w:val="single" w:color="000000" w:sz="6" w:space="0"/>
            </w:tcBorders>
            <w:vAlign w:val="center"/>
          </w:tcPr>
          <w:p w14:paraId="6C3498EA">
            <w:pPr>
              <w:spacing w:line="240" w:lineRule="auto"/>
              <w:jc w:val="center"/>
              <w:rPr>
                <w:sz w:val="21"/>
                <w:szCs w:val="21"/>
              </w:rPr>
            </w:pPr>
            <w:r>
              <w:rPr>
                <w:rFonts w:hint="eastAsia"/>
                <w:sz w:val="21"/>
                <w:szCs w:val="21"/>
              </w:rPr>
              <w:t>10.17</w:t>
            </w:r>
          </w:p>
        </w:tc>
        <w:tc>
          <w:tcPr>
            <w:tcW w:w="788" w:type="dxa"/>
            <w:tcBorders>
              <w:top w:val="single" w:color="000000" w:sz="6" w:space="0"/>
              <w:left w:val="single" w:color="000000" w:sz="6" w:space="0"/>
              <w:bottom w:val="single" w:color="000000" w:sz="6" w:space="0"/>
            </w:tcBorders>
            <w:vAlign w:val="center"/>
          </w:tcPr>
          <w:p w14:paraId="1258D580">
            <w:pPr>
              <w:spacing w:line="240" w:lineRule="auto"/>
              <w:jc w:val="center"/>
              <w:rPr>
                <w:sz w:val="21"/>
                <w:szCs w:val="21"/>
              </w:rPr>
            </w:pPr>
          </w:p>
        </w:tc>
      </w:tr>
      <w:tr w14:paraId="4B2EE4B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E87A7DD">
            <w:pPr>
              <w:spacing w:line="240" w:lineRule="auto"/>
              <w:jc w:val="center"/>
              <w:rPr>
                <w:sz w:val="21"/>
                <w:szCs w:val="21"/>
              </w:rPr>
            </w:pPr>
            <w:r>
              <w:rPr>
                <w:sz w:val="21"/>
                <w:szCs w:val="21"/>
              </w:rPr>
              <w:t>12月</w:t>
            </w:r>
          </w:p>
        </w:tc>
        <w:tc>
          <w:tcPr>
            <w:tcW w:w="845" w:type="dxa"/>
            <w:tcBorders>
              <w:top w:val="single" w:color="000000" w:sz="6" w:space="0"/>
              <w:left w:val="single" w:color="000000" w:sz="6" w:space="0"/>
              <w:bottom w:val="single" w:color="000000" w:sz="6" w:space="0"/>
              <w:right w:val="single" w:color="000000" w:sz="6" w:space="0"/>
            </w:tcBorders>
            <w:vAlign w:val="center"/>
          </w:tcPr>
          <w:p w14:paraId="60BA64E3">
            <w:pPr>
              <w:spacing w:line="240" w:lineRule="auto"/>
              <w:jc w:val="center"/>
              <w:rPr>
                <w:sz w:val="21"/>
                <w:szCs w:val="21"/>
              </w:rPr>
            </w:pPr>
            <w:r>
              <w:rPr>
                <w:rFonts w:hint="eastAsia"/>
                <w:sz w:val="21"/>
                <w:szCs w:val="21"/>
              </w:rPr>
              <w:t>1.81</w:t>
            </w:r>
          </w:p>
        </w:tc>
        <w:tc>
          <w:tcPr>
            <w:tcW w:w="915" w:type="dxa"/>
            <w:tcBorders>
              <w:top w:val="single" w:color="000000" w:sz="6" w:space="0"/>
              <w:left w:val="single" w:color="000000" w:sz="6" w:space="0"/>
              <w:bottom w:val="single" w:color="000000" w:sz="6" w:space="0"/>
              <w:right w:val="single" w:color="000000" w:sz="6" w:space="0"/>
            </w:tcBorders>
            <w:vAlign w:val="center"/>
          </w:tcPr>
          <w:p w14:paraId="71AA3EE9">
            <w:pPr>
              <w:spacing w:line="240" w:lineRule="auto"/>
              <w:jc w:val="center"/>
              <w:rPr>
                <w:sz w:val="21"/>
                <w:szCs w:val="21"/>
              </w:rPr>
            </w:pPr>
            <w:r>
              <w:rPr>
                <w:rFonts w:hint="eastAsia"/>
                <w:sz w:val="21"/>
                <w:szCs w:val="21"/>
              </w:rPr>
              <w:t>1.07</w:t>
            </w:r>
          </w:p>
        </w:tc>
        <w:tc>
          <w:tcPr>
            <w:tcW w:w="732" w:type="dxa"/>
            <w:tcBorders>
              <w:top w:val="single" w:color="000000" w:sz="6" w:space="0"/>
              <w:left w:val="single" w:color="000000" w:sz="6" w:space="0"/>
              <w:bottom w:val="single" w:color="000000" w:sz="6" w:space="0"/>
              <w:right w:val="single" w:color="000000" w:sz="6" w:space="0"/>
            </w:tcBorders>
            <w:vAlign w:val="center"/>
          </w:tcPr>
          <w:p w14:paraId="2E47AF60">
            <w:pPr>
              <w:spacing w:line="240" w:lineRule="auto"/>
              <w:jc w:val="center"/>
              <w:rPr>
                <w:sz w:val="21"/>
                <w:szCs w:val="21"/>
              </w:rPr>
            </w:pPr>
            <w:r>
              <w:rPr>
                <w:rFonts w:hint="eastAsia"/>
                <w:sz w:val="21"/>
                <w:szCs w:val="21"/>
              </w:rPr>
              <w:t>1.35</w:t>
            </w:r>
          </w:p>
        </w:tc>
        <w:tc>
          <w:tcPr>
            <w:tcW w:w="977" w:type="dxa"/>
            <w:tcBorders>
              <w:top w:val="single" w:color="000000" w:sz="6" w:space="0"/>
              <w:left w:val="single" w:color="000000" w:sz="6" w:space="0"/>
              <w:bottom w:val="single" w:color="000000" w:sz="6" w:space="0"/>
              <w:right w:val="single" w:color="000000" w:sz="6" w:space="0"/>
            </w:tcBorders>
            <w:vAlign w:val="center"/>
          </w:tcPr>
          <w:p w14:paraId="4B6BBC9B">
            <w:pPr>
              <w:spacing w:line="240" w:lineRule="auto"/>
              <w:jc w:val="center"/>
              <w:rPr>
                <w:sz w:val="21"/>
                <w:szCs w:val="21"/>
              </w:rPr>
            </w:pPr>
            <w:r>
              <w:rPr>
                <w:rFonts w:hint="eastAsia"/>
                <w:sz w:val="21"/>
                <w:szCs w:val="21"/>
              </w:rPr>
              <w:t>1.29</w:t>
            </w:r>
          </w:p>
        </w:tc>
        <w:tc>
          <w:tcPr>
            <w:tcW w:w="675" w:type="dxa"/>
            <w:tcBorders>
              <w:top w:val="single" w:color="000000" w:sz="6" w:space="0"/>
              <w:left w:val="single" w:color="000000" w:sz="6" w:space="0"/>
              <w:bottom w:val="single" w:color="000000" w:sz="6" w:space="0"/>
              <w:right w:val="single" w:color="000000" w:sz="6" w:space="0"/>
            </w:tcBorders>
            <w:vAlign w:val="center"/>
          </w:tcPr>
          <w:p w14:paraId="22E62A12">
            <w:pPr>
              <w:spacing w:line="240" w:lineRule="auto"/>
              <w:jc w:val="center"/>
              <w:rPr>
                <w:sz w:val="21"/>
                <w:szCs w:val="21"/>
              </w:rPr>
            </w:pPr>
            <w:r>
              <w:rPr>
                <w:rFonts w:hint="eastAsia"/>
                <w:sz w:val="21"/>
                <w:szCs w:val="21"/>
              </w:rPr>
              <w:t>4</w:t>
            </w:r>
          </w:p>
        </w:tc>
        <w:tc>
          <w:tcPr>
            <w:tcW w:w="895" w:type="dxa"/>
            <w:tcBorders>
              <w:top w:val="single" w:color="000000" w:sz="6" w:space="0"/>
              <w:left w:val="single" w:color="000000" w:sz="6" w:space="0"/>
              <w:bottom w:val="single" w:color="000000" w:sz="6" w:space="0"/>
              <w:right w:val="single" w:color="000000" w:sz="6" w:space="0"/>
            </w:tcBorders>
            <w:vAlign w:val="center"/>
          </w:tcPr>
          <w:p w14:paraId="164B5F94">
            <w:pPr>
              <w:spacing w:line="240" w:lineRule="auto"/>
              <w:jc w:val="center"/>
              <w:rPr>
                <w:sz w:val="21"/>
                <w:szCs w:val="21"/>
              </w:rPr>
            </w:pPr>
            <w:r>
              <w:rPr>
                <w:rFonts w:hint="eastAsia"/>
                <w:sz w:val="21"/>
                <w:szCs w:val="21"/>
              </w:rPr>
              <w:t>14.25</w:t>
            </w:r>
          </w:p>
        </w:tc>
        <w:tc>
          <w:tcPr>
            <w:tcW w:w="845" w:type="dxa"/>
            <w:tcBorders>
              <w:top w:val="single" w:color="000000" w:sz="6" w:space="0"/>
              <w:left w:val="single" w:color="000000" w:sz="6" w:space="0"/>
              <w:bottom w:val="single" w:color="000000" w:sz="6" w:space="0"/>
              <w:right w:val="single" w:color="000000" w:sz="6" w:space="0"/>
            </w:tcBorders>
            <w:vAlign w:val="center"/>
          </w:tcPr>
          <w:p w14:paraId="2444AA5E">
            <w:pPr>
              <w:spacing w:line="240" w:lineRule="auto"/>
              <w:jc w:val="center"/>
              <w:rPr>
                <w:sz w:val="21"/>
                <w:szCs w:val="21"/>
              </w:rPr>
            </w:pPr>
            <w:r>
              <w:rPr>
                <w:rFonts w:hint="eastAsia"/>
                <w:sz w:val="21"/>
                <w:szCs w:val="21"/>
              </w:rPr>
              <w:t>30.62</w:t>
            </w:r>
          </w:p>
        </w:tc>
        <w:tc>
          <w:tcPr>
            <w:tcW w:w="846" w:type="dxa"/>
            <w:tcBorders>
              <w:top w:val="single" w:color="000000" w:sz="6" w:space="0"/>
              <w:left w:val="single" w:color="000000" w:sz="6" w:space="0"/>
              <w:bottom w:val="single" w:color="000000" w:sz="6" w:space="0"/>
              <w:right w:val="single" w:color="000000" w:sz="6" w:space="0"/>
            </w:tcBorders>
            <w:vAlign w:val="center"/>
          </w:tcPr>
          <w:p w14:paraId="475CB453">
            <w:pPr>
              <w:spacing w:line="240" w:lineRule="auto"/>
              <w:jc w:val="center"/>
              <w:rPr>
                <w:sz w:val="21"/>
                <w:szCs w:val="21"/>
              </w:rPr>
            </w:pPr>
            <w:r>
              <w:rPr>
                <w:rFonts w:hint="eastAsia"/>
                <w:sz w:val="21"/>
                <w:szCs w:val="21"/>
              </w:rPr>
              <w:t>10.22</w:t>
            </w:r>
          </w:p>
        </w:tc>
        <w:tc>
          <w:tcPr>
            <w:tcW w:w="788" w:type="dxa"/>
            <w:tcBorders>
              <w:top w:val="single" w:color="000000" w:sz="6" w:space="0"/>
              <w:left w:val="single" w:color="000000" w:sz="6" w:space="0"/>
              <w:bottom w:val="single" w:color="000000" w:sz="6" w:space="0"/>
            </w:tcBorders>
            <w:vAlign w:val="center"/>
          </w:tcPr>
          <w:p w14:paraId="20232A90">
            <w:pPr>
              <w:spacing w:line="240" w:lineRule="auto"/>
              <w:jc w:val="center"/>
              <w:rPr>
                <w:sz w:val="21"/>
                <w:szCs w:val="21"/>
              </w:rPr>
            </w:pPr>
          </w:p>
        </w:tc>
      </w:tr>
      <w:tr w14:paraId="0B51995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right w:val="single" w:color="000000" w:sz="6" w:space="0"/>
            </w:tcBorders>
            <w:vAlign w:val="center"/>
          </w:tcPr>
          <w:p w14:paraId="6436316B">
            <w:pPr>
              <w:spacing w:line="240" w:lineRule="auto"/>
              <w:jc w:val="center"/>
              <w:rPr>
                <w:sz w:val="21"/>
                <w:szCs w:val="21"/>
              </w:rPr>
            </w:pPr>
            <w:r>
              <w:rPr>
                <w:sz w:val="21"/>
                <w:szCs w:val="21"/>
              </w:rPr>
              <w:t>全年</w:t>
            </w:r>
          </w:p>
        </w:tc>
        <w:tc>
          <w:tcPr>
            <w:tcW w:w="845" w:type="dxa"/>
            <w:tcBorders>
              <w:top w:val="single" w:color="000000" w:sz="6" w:space="0"/>
              <w:left w:val="single" w:color="000000" w:sz="6" w:space="0"/>
              <w:right w:val="single" w:color="000000" w:sz="6" w:space="0"/>
            </w:tcBorders>
            <w:vAlign w:val="center"/>
          </w:tcPr>
          <w:p w14:paraId="6C5E2B30">
            <w:pPr>
              <w:spacing w:line="240" w:lineRule="auto"/>
              <w:jc w:val="center"/>
              <w:rPr>
                <w:sz w:val="21"/>
                <w:szCs w:val="21"/>
              </w:rPr>
            </w:pPr>
            <w:r>
              <w:rPr>
                <w:rFonts w:hint="eastAsia"/>
                <w:sz w:val="21"/>
                <w:szCs w:val="21"/>
              </w:rPr>
              <w:t>4.41</w:t>
            </w:r>
          </w:p>
        </w:tc>
        <w:tc>
          <w:tcPr>
            <w:tcW w:w="915" w:type="dxa"/>
            <w:tcBorders>
              <w:top w:val="single" w:color="000000" w:sz="6" w:space="0"/>
              <w:left w:val="single" w:color="000000" w:sz="6" w:space="0"/>
              <w:right w:val="single" w:color="000000" w:sz="6" w:space="0"/>
            </w:tcBorders>
            <w:vAlign w:val="center"/>
          </w:tcPr>
          <w:p w14:paraId="7E019EBD">
            <w:pPr>
              <w:spacing w:line="240" w:lineRule="auto"/>
              <w:jc w:val="center"/>
              <w:rPr>
                <w:sz w:val="21"/>
                <w:szCs w:val="21"/>
              </w:rPr>
            </w:pPr>
            <w:r>
              <w:rPr>
                <w:rFonts w:hint="eastAsia"/>
                <w:sz w:val="21"/>
                <w:szCs w:val="21"/>
              </w:rPr>
              <w:t>1.82</w:t>
            </w:r>
          </w:p>
        </w:tc>
        <w:tc>
          <w:tcPr>
            <w:tcW w:w="732" w:type="dxa"/>
            <w:tcBorders>
              <w:top w:val="single" w:color="000000" w:sz="6" w:space="0"/>
              <w:left w:val="single" w:color="000000" w:sz="6" w:space="0"/>
              <w:right w:val="single" w:color="000000" w:sz="6" w:space="0"/>
            </w:tcBorders>
            <w:vAlign w:val="center"/>
          </w:tcPr>
          <w:p w14:paraId="4EF277BF">
            <w:pPr>
              <w:spacing w:line="240" w:lineRule="auto"/>
              <w:jc w:val="center"/>
              <w:rPr>
                <w:sz w:val="21"/>
                <w:szCs w:val="21"/>
              </w:rPr>
            </w:pPr>
            <w:r>
              <w:rPr>
                <w:rFonts w:hint="eastAsia"/>
                <w:sz w:val="21"/>
                <w:szCs w:val="21"/>
              </w:rPr>
              <w:t>1.42</w:t>
            </w:r>
          </w:p>
        </w:tc>
        <w:tc>
          <w:tcPr>
            <w:tcW w:w="977" w:type="dxa"/>
            <w:tcBorders>
              <w:top w:val="single" w:color="000000" w:sz="6" w:space="0"/>
              <w:left w:val="single" w:color="000000" w:sz="6" w:space="0"/>
              <w:right w:val="single" w:color="000000" w:sz="6" w:space="0"/>
            </w:tcBorders>
            <w:vAlign w:val="center"/>
          </w:tcPr>
          <w:p w14:paraId="64835EAC">
            <w:pPr>
              <w:spacing w:line="240" w:lineRule="auto"/>
              <w:jc w:val="center"/>
              <w:rPr>
                <w:sz w:val="21"/>
                <w:szCs w:val="21"/>
              </w:rPr>
            </w:pPr>
            <w:r>
              <w:rPr>
                <w:rFonts w:hint="eastAsia"/>
                <w:sz w:val="21"/>
                <w:szCs w:val="21"/>
              </w:rPr>
              <w:t>1.38</w:t>
            </w:r>
          </w:p>
        </w:tc>
        <w:tc>
          <w:tcPr>
            <w:tcW w:w="675" w:type="dxa"/>
            <w:tcBorders>
              <w:top w:val="single" w:color="000000" w:sz="6" w:space="0"/>
              <w:left w:val="single" w:color="000000" w:sz="6" w:space="0"/>
              <w:right w:val="single" w:color="000000" w:sz="6" w:space="0"/>
            </w:tcBorders>
            <w:vAlign w:val="center"/>
          </w:tcPr>
          <w:p w14:paraId="4674DD7D">
            <w:pPr>
              <w:spacing w:line="240" w:lineRule="auto"/>
              <w:jc w:val="center"/>
              <w:rPr>
                <w:sz w:val="21"/>
                <w:szCs w:val="21"/>
              </w:rPr>
            </w:pPr>
            <w:r>
              <w:rPr>
                <w:rFonts w:hint="eastAsia"/>
                <w:sz w:val="21"/>
                <w:szCs w:val="21"/>
              </w:rPr>
              <w:t>1.79</w:t>
            </w:r>
          </w:p>
        </w:tc>
        <w:tc>
          <w:tcPr>
            <w:tcW w:w="895" w:type="dxa"/>
            <w:tcBorders>
              <w:top w:val="single" w:color="000000" w:sz="6" w:space="0"/>
              <w:left w:val="single" w:color="000000" w:sz="6" w:space="0"/>
              <w:right w:val="single" w:color="000000" w:sz="6" w:space="0"/>
            </w:tcBorders>
            <w:vAlign w:val="center"/>
          </w:tcPr>
          <w:p w14:paraId="287C1612">
            <w:pPr>
              <w:spacing w:line="240" w:lineRule="auto"/>
              <w:jc w:val="center"/>
              <w:rPr>
                <w:sz w:val="21"/>
                <w:szCs w:val="21"/>
              </w:rPr>
            </w:pPr>
            <w:r>
              <w:rPr>
                <w:rFonts w:hint="eastAsia"/>
                <w:sz w:val="21"/>
                <w:szCs w:val="21"/>
              </w:rPr>
              <w:t>4.05</w:t>
            </w:r>
          </w:p>
        </w:tc>
        <w:tc>
          <w:tcPr>
            <w:tcW w:w="845" w:type="dxa"/>
            <w:tcBorders>
              <w:top w:val="single" w:color="000000" w:sz="6" w:space="0"/>
              <w:left w:val="single" w:color="000000" w:sz="6" w:space="0"/>
              <w:right w:val="single" w:color="000000" w:sz="6" w:space="0"/>
            </w:tcBorders>
            <w:vAlign w:val="center"/>
          </w:tcPr>
          <w:p w14:paraId="08AE965D">
            <w:pPr>
              <w:spacing w:line="240" w:lineRule="auto"/>
              <w:jc w:val="center"/>
              <w:rPr>
                <w:sz w:val="21"/>
                <w:szCs w:val="21"/>
              </w:rPr>
            </w:pPr>
            <w:r>
              <w:rPr>
                <w:rFonts w:hint="eastAsia"/>
                <w:sz w:val="21"/>
                <w:szCs w:val="21"/>
              </w:rPr>
              <w:t>21.22</w:t>
            </w:r>
          </w:p>
        </w:tc>
        <w:tc>
          <w:tcPr>
            <w:tcW w:w="846" w:type="dxa"/>
            <w:tcBorders>
              <w:top w:val="single" w:color="000000" w:sz="6" w:space="0"/>
              <w:left w:val="single" w:color="000000" w:sz="6" w:space="0"/>
              <w:right w:val="single" w:color="000000" w:sz="6" w:space="0"/>
            </w:tcBorders>
            <w:vAlign w:val="center"/>
          </w:tcPr>
          <w:p w14:paraId="646384B7">
            <w:pPr>
              <w:spacing w:line="240" w:lineRule="auto"/>
              <w:jc w:val="center"/>
              <w:rPr>
                <w:sz w:val="21"/>
                <w:szCs w:val="21"/>
              </w:rPr>
            </w:pPr>
            <w:r>
              <w:rPr>
                <w:rFonts w:hint="eastAsia"/>
                <w:sz w:val="21"/>
                <w:szCs w:val="21"/>
              </w:rPr>
              <w:t>1.12</w:t>
            </w:r>
          </w:p>
        </w:tc>
        <w:tc>
          <w:tcPr>
            <w:tcW w:w="788" w:type="dxa"/>
            <w:tcBorders>
              <w:top w:val="single" w:color="000000" w:sz="6" w:space="0"/>
              <w:left w:val="single" w:color="000000" w:sz="6" w:space="0"/>
            </w:tcBorders>
            <w:vAlign w:val="center"/>
          </w:tcPr>
          <w:p w14:paraId="71F2667F">
            <w:pPr>
              <w:spacing w:line="240" w:lineRule="auto"/>
              <w:jc w:val="center"/>
              <w:rPr>
                <w:sz w:val="21"/>
                <w:szCs w:val="21"/>
              </w:rPr>
            </w:pPr>
          </w:p>
        </w:tc>
      </w:tr>
    </w:tbl>
    <w:p w14:paraId="2F9491A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6.2.3.2</w:t>
      </w:r>
      <w:r>
        <w:rPr>
          <w:rFonts w:hint="eastAsia"/>
        </w:rPr>
        <w:t>地面气象数据</w:t>
      </w:r>
    </w:p>
    <w:p w14:paraId="385753CC">
      <w:pPr>
        <w:pStyle w:val="25"/>
        <w:ind w:left="0" w:leftChars="0" w:firstLine="480"/>
      </w:pPr>
      <w:r>
        <w:t>地面气象资料采用国家评估中心重点实验室环境空气质量模型地面气象数据，本数据中风向、风速、温度等原始地面气象观测数据来源于国家气象局，云量数据来源于国家环境保护环境影响评价数值模拟重点实验室卫星观测总云量（Cloud TotalAmountretrieved by Satellite，CTAS）。为保证模型所需输入数据的连续性，对于观测数据中存在个别小时风向、风速、温度等观测数据缺失的时段，采用线性插值方式予以补充。对于低云量的缺失（低云量主要影响气象统计分析，不参与模型计算），采用总云量代替的方式予以补充。</w:t>
      </w:r>
    </w:p>
    <w:p w14:paraId="53720C86">
      <w:pPr>
        <w:ind w:firstLine="480"/>
      </w:pPr>
      <w:r>
        <w:t>本项目采用湘潭气象站202</w:t>
      </w:r>
      <w:r>
        <w:rPr>
          <w:rFonts w:hint="eastAsia"/>
          <w:lang w:val="en-US" w:eastAsia="zh-CN"/>
        </w:rPr>
        <w:t>4</w:t>
      </w:r>
      <w:r>
        <w:t>年全年每天24小时的地面气象数据，气象因子包括风向、风速、总云量、低云量和干球温度。湘潭气象站位于项目</w:t>
      </w:r>
      <w:r>
        <w:rPr>
          <w:rFonts w:hint="eastAsia"/>
        </w:rPr>
        <w:t>西北</w:t>
      </w:r>
      <w:r>
        <w:t>侧</w:t>
      </w:r>
      <w:r>
        <w:rPr>
          <w:rFonts w:hint="eastAsia"/>
        </w:rPr>
        <w:t>17.67</w:t>
      </w:r>
      <w:r>
        <w:t>km，站台编号为57773，海拔高度为63.8m，站点经纬度为北纬27.8</w:t>
      </w:r>
      <w:r>
        <w:rPr>
          <w:rFonts w:hint="eastAsia"/>
        </w:rPr>
        <w:t>8</w:t>
      </w:r>
      <w:r>
        <w:t>°、东经112.8</w:t>
      </w:r>
      <w:r>
        <w:rPr>
          <w:rFonts w:hint="eastAsia"/>
        </w:rPr>
        <w:t>3</w:t>
      </w:r>
      <w:r>
        <w:t>°。项目观测气象数据信息见表6.2-3。</w:t>
      </w:r>
    </w:p>
    <w:p w14:paraId="45B0DAAD">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表6.2-3 </w:t>
      </w:r>
      <w:r>
        <w:rPr>
          <w:rFonts w:hint="eastAsia"/>
        </w:rPr>
        <w:t>观测气象数据信息</w:t>
      </w:r>
    </w:p>
    <w:tbl>
      <w:tblPr>
        <w:tblStyle w:val="61"/>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3"/>
        <w:gridCol w:w="946"/>
        <w:gridCol w:w="945"/>
        <w:gridCol w:w="947"/>
        <w:gridCol w:w="947"/>
        <w:gridCol w:w="957"/>
        <w:gridCol w:w="747"/>
        <w:gridCol w:w="750"/>
        <w:gridCol w:w="1340"/>
      </w:tblGrid>
      <w:tr w14:paraId="37D2F3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46" w:type="dxa"/>
            <w:vMerge w:val="restart"/>
            <w:vAlign w:val="center"/>
          </w:tcPr>
          <w:p w14:paraId="1DE72161">
            <w:pPr>
              <w:tabs>
                <w:tab w:val="left" w:pos="1021"/>
              </w:tabs>
              <w:spacing w:line="240" w:lineRule="auto"/>
              <w:jc w:val="center"/>
              <w:rPr>
                <w:rFonts w:eastAsiaTheme="minorEastAsia"/>
                <w:sz w:val="21"/>
                <w:szCs w:val="21"/>
              </w:rPr>
            </w:pPr>
            <w:r>
              <w:rPr>
                <w:rFonts w:eastAsiaTheme="minorEastAsia"/>
                <w:sz w:val="21"/>
                <w:szCs w:val="21"/>
              </w:rPr>
              <w:t>气象站名称</w:t>
            </w:r>
          </w:p>
        </w:tc>
        <w:tc>
          <w:tcPr>
            <w:tcW w:w="947" w:type="dxa"/>
            <w:vMerge w:val="restart"/>
            <w:vAlign w:val="center"/>
          </w:tcPr>
          <w:p w14:paraId="7656CAD8">
            <w:pPr>
              <w:tabs>
                <w:tab w:val="left" w:pos="1021"/>
              </w:tabs>
              <w:spacing w:line="240" w:lineRule="auto"/>
              <w:jc w:val="center"/>
              <w:rPr>
                <w:rFonts w:eastAsiaTheme="minorEastAsia"/>
                <w:sz w:val="21"/>
                <w:szCs w:val="21"/>
              </w:rPr>
            </w:pPr>
            <w:r>
              <w:rPr>
                <w:rFonts w:eastAsiaTheme="minorEastAsia"/>
                <w:sz w:val="21"/>
                <w:szCs w:val="21"/>
              </w:rPr>
              <w:t>气象站编号</w:t>
            </w:r>
          </w:p>
        </w:tc>
        <w:tc>
          <w:tcPr>
            <w:tcW w:w="947" w:type="dxa"/>
            <w:vMerge w:val="restart"/>
            <w:vAlign w:val="center"/>
          </w:tcPr>
          <w:p w14:paraId="1E42D71D">
            <w:pPr>
              <w:tabs>
                <w:tab w:val="left" w:pos="1021"/>
              </w:tabs>
              <w:spacing w:line="240" w:lineRule="auto"/>
              <w:jc w:val="center"/>
              <w:rPr>
                <w:rFonts w:eastAsiaTheme="minorEastAsia"/>
                <w:sz w:val="21"/>
                <w:szCs w:val="21"/>
              </w:rPr>
            </w:pPr>
            <w:r>
              <w:rPr>
                <w:rFonts w:eastAsiaTheme="minorEastAsia"/>
                <w:sz w:val="21"/>
                <w:szCs w:val="21"/>
              </w:rPr>
              <w:t>气象站等级</w:t>
            </w:r>
          </w:p>
        </w:tc>
        <w:tc>
          <w:tcPr>
            <w:tcW w:w="1894" w:type="dxa"/>
            <w:gridSpan w:val="2"/>
            <w:vAlign w:val="center"/>
          </w:tcPr>
          <w:p w14:paraId="66EAD84F">
            <w:pPr>
              <w:tabs>
                <w:tab w:val="left" w:pos="1021"/>
              </w:tabs>
              <w:spacing w:line="240" w:lineRule="auto"/>
              <w:jc w:val="center"/>
              <w:rPr>
                <w:rFonts w:eastAsiaTheme="minorEastAsia"/>
                <w:sz w:val="21"/>
                <w:szCs w:val="21"/>
              </w:rPr>
            </w:pPr>
            <w:r>
              <w:rPr>
                <w:rFonts w:eastAsiaTheme="minorEastAsia"/>
                <w:sz w:val="21"/>
                <w:szCs w:val="21"/>
              </w:rPr>
              <w:t>气象站坐标</w:t>
            </w:r>
          </w:p>
        </w:tc>
        <w:tc>
          <w:tcPr>
            <w:tcW w:w="947" w:type="dxa"/>
            <w:vMerge w:val="restart"/>
            <w:vAlign w:val="center"/>
          </w:tcPr>
          <w:p w14:paraId="378F4838">
            <w:pPr>
              <w:tabs>
                <w:tab w:val="left" w:pos="1021"/>
              </w:tabs>
              <w:spacing w:line="240" w:lineRule="auto"/>
              <w:jc w:val="center"/>
              <w:rPr>
                <w:rFonts w:eastAsiaTheme="minorEastAsia"/>
                <w:sz w:val="21"/>
                <w:szCs w:val="21"/>
              </w:rPr>
            </w:pPr>
            <w:r>
              <w:rPr>
                <w:rFonts w:eastAsiaTheme="minorEastAsia"/>
                <w:sz w:val="21"/>
                <w:szCs w:val="21"/>
              </w:rPr>
              <w:t>相对</w:t>
            </w:r>
          </w:p>
          <w:p w14:paraId="069B2F35">
            <w:pPr>
              <w:tabs>
                <w:tab w:val="left" w:pos="1021"/>
              </w:tabs>
              <w:spacing w:line="240" w:lineRule="auto"/>
              <w:jc w:val="center"/>
              <w:rPr>
                <w:rFonts w:eastAsiaTheme="minorEastAsia"/>
                <w:sz w:val="21"/>
                <w:szCs w:val="21"/>
              </w:rPr>
            </w:pPr>
            <w:r>
              <w:rPr>
                <w:rFonts w:eastAsiaTheme="minorEastAsia"/>
                <w:sz w:val="21"/>
                <w:szCs w:val="21"/>
              </w:rPr>
              <w:t>距离</w:t>
            </w:r>
          </w:p>
        </w:tc>
        <w:tc>
          <w:tcPr>
            <w:tcW w:w="748" w:type="dxa"/>
            <w:vMerge w:val="restart"/>
            <w:vAlign w:val="center"/>
          </w:tcPr>
          <w:p w14:paraId="23CF0705">
            <w:pPr>
              <w:tabs>
                <w:tab w:val="left" w:pos="1021"/>
              </w:tabs>
              <w:spacing w:line="240" w:lineRule="auto"/>
              <w:jc w:val="center"/>
              <w:rPr>
                <w:rFonts w:eastAsiaTheme="minorEastAsia"/>
                <w:sz w:val="21"/>
                <w:szCs w:val="21"/>
              </w:rPr>
            </w:pPr>
            <w:r>
              <w:rPr>
                <w:rFonts w:eastAsiaTheme="minorEastAsia"/>
                <w:sz w:val="21"/>
                <w:szCs w:val="21"/>
              </w:rPr>
              <w:t>海拔高度</w:t>
            </w:r>
          </w:p>
        </w:tc>
        <w:tc>
          <w:tcPr>
            <w:tcW w:w="750" w:type="dxa"/>
            <w:vMerge w:val="restart"/>
            <w:vAlign w:val="center"/>
          </w:tcPr>
          <w:p w14:paraId="019DA6BF">
            <w:pPr>
              <w:tabs>
                <w:tab w:val="left" w:pos="1021"/>
              </w:tabs>
              <w:spacing w:line="240" w:lineRule="auto"/>
              <w:jc w:val="center"/>
              <w:rPr>
                <w:rFonts w:eastAsiaTheme="minorEastAsia"/>
                <w:sz w:val="21"/>
                <w:szCs w:val="21"/>
              </w:rPr>
            </w:pPr>
            <w:r>
              <w:rPr>
                <w:rFonts w:eastAsiaTheme="minorEastAsia"/>
                <w:sz w:val="21"/>
                <w:szCs w:val="21"/>
              </w:rPr>
              <w:t>数据年份</w:t>
            </w:r>
          </w:p>
        </w:tc>
        <w:tc>
          <w:tcPr>
            <w:tcW w:w="1343" w:type="dxa"/>
            <w:vMerge w:val="restart"/>
            <w:vAlign w:val="center"/>
          </w:tcPr>
          <w:p w14:paraId="60ED59B9">
            <w:pPr>
              <w:tabs>
                <w:tab w:val="left" w:pos="1021"/>
              </w:tabs>
              <w:spacing w:line="240" w:lineRule="auto"/>
              <w:jc w:val="center"/>
              <w:rPr>
                <w:rFonts w:eastAsiaTheme="minorEastAsia"/>
                <w:sz w:val="21"/>
                <w:szCs w:val="21"/>
              </w:rPr>
            </w:pPr>
            <w:r>
              <w:rPr>
                <w:rFonts w:eastAsiaTheme="minorEastAsia"/>
                <w:sz w:val="21"/>
                <w:szCs w:val="21"/>
              </w:rPr>
              <w:t>气象要素</w:t>
            </w:r>
          </w:p>
        </w:tc>
      </w:tr>
      <w:tr w14:paraId="27B2FC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46" w:type="dxa"/>
            <w:vMerge w:val="continue"/>
            <w:vAlign w:val="center"/>
          </w:tcPr>
          <w:p w14:paraId="4F490600">
            <w:pPr>
              <w:tabs>
                <w:tab w:val="left" w:pos="1021"/>
              </w:tabs>
              <w:spacing w:line="240" w:lineRule="auto"/>
              <w:jc w:val="center"/>
              <w:rPr>
                <w:rFonts w:eastAsiaTheme="minorEastAsia"/>
                <w:sz w:val="21"/>
                <w:szCs w:val="21"/>
              </w:rPr>
            </w:pPr>
          </w:p>
        </w:tc>
        <w:tc>
          <w:tcPr>
            <w:tcW w:w="947" w:type="dxa"/>
            <w:vMerge w:val="continue"/>
            <w:vAlign w:val="center"/>
          </w:tcPr>
          <w:p w14:paraId="3A14540C">
            <w:pPr>
              <w:tabs>
                <w:tab w:val="left" w:pos="1021"/>
              </w:tabs>
              <w:spacing w:line="240" w:lineRule="auto"/>
              <w:jc w:val="center"/>
              <w:rPr>
                <w:rFonts w:eastAsiaTheme="minorEastAsia"/>
                <w:sz w:val="21"/>
                <w:szCs w:val="21"/>
              </w:rPr>
            </w:pPr>
          </w:p>
        </w:tc>
        <w:tc>
          <w:tcPr>
            <w:tcW w:w="947" w:type="dxa"/>
            <w:vMerge w:val="continue"/>
            <w:vAlign w:val="center"/>
          </w:tcPr>
          <w:p w14:paraId="630CF607">
            <w:pPr>
              <w:tabs>
                <w:tab w:val="left" w:pos="1021"/>
              </w:tabs>
              <w:spacing w:line="240" w:lineRule="auto"/>
              <w:jc w:val="center"/>
              <w:rPr>
                <w:rFonts w:eastAsiaTheme="minorEastAsia"/>
                <w:sz w:val="21"/>
                <w:szCs w:val="21"/>
              </w:rPr>
            </w:pPr>
          </w:p>
        </w:tc>
        <w:tc>
          <w:tcPr>
            <w:tcW w:w="947" w:type="dxa"/>
            <w:vAlign w:val="center"/>
          </w:tcPr>
          <w:p w14:paraId="7CF9A199">
            <w:pPr>
              <w:tabs>
                <w:tab w:val="left" w:pos="1021"/>
              </w:tabs>
              <w:spacing w:line="240" w:lineRule="auto"/>
              <w:jc w:val="center"/>
              <w:rPr>
                <w:rFonts w:eastAsiaTheme="minorEastAsia"/>
                <w:sz w:val="21"/>
                <w:szCs w:val="21"/>
              </w:rPr>
            </w:pPr>
            <w:r>
              <w:rPr>
                <w:rFonts w:eastAsiaTheme="minorEastAsia"/>
                <w:sz w:val="21"/>
                <w:szCs w:val="21"/>
              </w:rPr>
              <w:t>B</w:t>
            </w:r>
          </w:p>
        </w:tc>
        <w:tc>
          <w:tcPr>
            <w:tcW w:w="947" w:type="dxa"/>
            <w:vAlign w:val="center"/>
          </w:tcPr>
          <w:p w14:paraId="62A47179">
            <w:pPr>
              <w:tabs>
                <w:tab w:val="left" w:pos="1021"/>
              </w:tabs>
              <w:spacing w:line="240" w:lineRule="auto"/>
              <w:jc w:val="center"/>
              <w:rPr>
                <w:rFonts w:eastAsiaTheme="minorEastAsia"/>
                <w:sz w:val="21"/>
                <w:szCs w:val="21"/>
              </w:rPr>
            </w:pPr>
            <w:r>
              <w:rPr>
                <w:rFonts w:eastAsiaTheme="minorEastAsia"/>
                <w:sz w:val="21"/>
                <w:szCs w:val="21"/>
              </w:rPr>
              <w:t>L</w:t>
            </w:r>
          </w:p>
        </w:tc>
        <w:tc>
          <w:tcPr>
            <w:tcW w:w="947" w:type="dxa"/>
            <w:vMerge w:val="continue"/>
            <w:vAlign w:val="center"/>
          </w:tcPr>
          <w:p w14:paraId="72001FA4">
            <w:pPr>
              <w:tabs>
                <w:tab w:val="left" w:pos="1021"/>
              </w:tabs>
              <w:spacing w:line="240" w:lineRule="auto"/>
              <w:jc w:val="center"/>
              <w:rPr>
                <w:rFonts w:eastAsiaTheme="minorEastAsia"/>
                <w:sz w:val="21"/>
                <w:szCs w:val="21"/>
              </w:rPr>
            </w:pPr>
          </w:p>
        </w:tc>
        <w:tc>
          <w:tcPr>
            <w:tcW w:w="748" w:type="dxa"/>
            <w:vMerge w:val="continue"/>
            <w:vAlign w:val="center"/>
          </w:tcPr>
          <w:p w14:paraId="320D5E26">
            <w:pPr>
              <w:tabs>
                <w:tab w:val="left" w:pos="1021"/>
              </w:tabs>
              <w:spacing w:line="240" w:lineRule="auto"/>
              <w:jc w:val="center"/>
              <w:rPr>
                <w:rFonts w:eastAsiaTheme="minorEastAsia"/>
                <w:sz w:val="21"/>
                <w:szCs w:val="21"/>
              </w:rPr>
            </w:pPr>
          </w:p>
        </w:tc>
        <w:tc>
          <w:tcPr>
            <w:tcW w:w="750" w:type="dxa"/>
            <w:vMerge w:val="continue"/>
            <w:vAlign w:val="center"/>
          </w:tcPr>
          <w:p w14:paraId="1BA6F4D0">
            <w:pPr>
              <w:tabs>
                <w:tab w:val="left" w:pos="1021"/>
              </w:tabs>
              <w:spacing w:line="240" w:lineRule="auto"/>
              <w:jc w:val="center"/>
              <w:rPr>
                <w:rFonts w:eastAsiaTheme="minorEastAsia"/>
                <w:sz w:val="21"/>
                <w:szCs w:val="21"/>
              </w:rPr>
            </w:pPr>
          </w:p>
        </w:tc>
        <w:tc>
          <w:tcPr>
            <w:tcW w:w="1343" w:type="dxa"/>
            <w:vMerge w:val="continue"/>
            <w:vAlign w:val="center"/>
          </w:tcPr>
          <w:p w14:paraId="3E59A2EA">
            <w:pPr>
              <w:tabs>
                <w:tab w:val="left" w:pos="1021"/>
              </w:tabs>
              <w:spacing w:line="240" w:lineRule="auto"/>
              <w:jc w:val="center"/>
              <w:rPr>
                <w:rFonts w:eastAsiaTheme="minorEastAsia"/>
                <w:sz w:val="21"/>
                <w:szCs w:val="21"/>
              </w:rPr>
            </w:pPr>
          </w:p>
        </w:tc>
      </w:tr>
      <w:tr w14:paraId="6C44B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46" w:type="dxa"/>
            <w:vAlign w:val="center"/>
          </w:tcPr>
          <w:p w14:paraId="44DD25C9">
            <w:pPr>
              <w:tabs>
                <w:tab w:val="left" w:pos="1021"/>
              </w:tabs>
              <w:spacing w:line="240" w:lineRule="auto"/>
              <w:jc w:val="center"/>
              <w:rPr>
                <w:rFonts w:eastAsiaTheme="minorEastAsia"/>
                <w:sz w:val="21"/>
                <w:szCs w:val="21"/>
              </w:rPr>
            </w:pPr>
            <w:r>
              <w:rPr>
                <w:rFonts w:eastAsiaTheme="minorEastAsia"/>
                <w:sz w:val="21"/>
                <w:szCs w:val="21"/>
              </w:rPr>
              <w:t>湘潭</w:t>
            </w:r>
          </w:p>
        </w:tc>
        <w:tc>
          <w:tcPr>
            <w:tcW w:w="947" w:type="dxa"/>
            <w:vAlign w:val="center"/>
          </w:tcPr>
          <w:p w14:paraId="18663C2E">
            <w:pPr>
              <w:tabs>
                <w:tab w:val="left" w:pos="1021"/>
              </w:tabs>
              <w:spacing w:line="240" w:lineRule="auto"/>
              <w:jc w:val="center"/>
              <w:rPr>
                <w:rFonts w:eastAsiaTheme="minorEastAsia"/>
                <w:sz w:val="21"/>
                <w:szCs w:val="21"/>
              </w:rPr>
            </w:pPr>
            <w:r>
              <w:rPr>
                <w:rFonts w:eastAsiaTheme="minorEastAsia"/>
                <w:sz w:val="21"/>
                <w:szCs w:val="21"/>
              </w:rPr>
              <w:t>57773</w:t>
            </w:r>
          </w:p>
        </w:tc>
        <w:tc>
          <w:tcPr>
            <w:tcW w:w="947" w:type="dxa"/>
            <w:vAlign w:val="center"/>
          </w:tcPr>
          <w:p w14:paraId="7CAF1F87">
            <w:pPr>
              <w:tabs>
                <w:tab w:val="left" w:pos="1021"/>
              </w:tabs>
              <w:spacing w:line="240" w:lineRule="auto"/>
              <w:jc w:val="center"/>
              <w:rPr>
                <w:rFonts w:eastAsiaTheme="minorEastAsia"/>
                <w:sz w:val="21"/>
                <w:szCs w:val="21"/>
              </w:rPr>
            </w:pPr>
            <w:r>
              <w:rPr>
                <w:rFonts w:eastAsiaTheme="minorEastAsia"/>
                <w:sz w:val="21"/>
                <w:szCs w:val="21"/>
              </w:rPr>
              <w:t>一般站</w:t>
            </w:r>
          </w:p>
        </w:tc>
        <w:tc>
          <w:tcPr>
            <w:tcW w:w="947" w:type="dxa"/>
            <w:vAlign w:val="center"/>
          </w:tcPr>
          <w:p w14:paraId="12E7C5B7">
            <w:pPr>
              <w:tabs>
                <w:tab w:val="left" w:pos="1021"/>
              </w:tabs>
              <w:spacing w:line="240" w:lineRule="auto"/>
              <w:jc w:val="center"/>
              <w:rPr>
                <w:rFonts w:eastAsiaTheme="minorEastAsia"/>
                <w:sz w:val="21"/>
                <w:szCs w:val="21"/>
              </w:rPr>
            </w:pPr>
            <w:r>
              <w:rPr>
                <w:rFonts w:eastAsiaTheme="minorEastAsia"/>
                <w:sz w:val="21"/>
                <w:szCs w:val="21"/>
              </w:rPr>
              <w:t>27.88N</w:t>
            </w:r>
          </w:p>
        </w:tc>
        <w:tc>
          <w:tcPr>
            <w:tcW w:w="947" w:type="dxa"/>
            <w:vAlign w:val="center"/>
          </w:tcPr>
          <w:p w14:paraId="45A44A1F">
            <w:pPr>
              <w:tabs>
                <w:tab w:val="left" w:pos="1021"/>
              </w:tabs>
              <w:spacing w:line="240" w:lineRule="auto"/>
              <w:jc w:val="center"/>
              <w:rPr>
                <w:rFonts w:eastAsiaTheme="minorEastAsia"/>
                <w:sz w:val="21"/>
                <w:szCs w:val="21"/>
              </w:rPr>
            </w:pPr>
            <w:r>
              <w:rPr>
                <w:rFonts w:eastAsiaTheme="minorEastAsia"/>
                <w:sz w:val="21"/>
                <w:szCs w:val="21"/>
              </w:rPr>
              <w:t>112.83E</w:t>
            </w:r>
          </w:p>
        </w:tc>
        <w:tc>
          <w:tcPr>
            <w:tcW w:w="947" w:type="dxa"/>
            <w:vAlign w:val="center"/>
          </w:tcPr>
          <w:p w14:paraId="2016BB4E">
            <w:pPr>
              <w:tabs>
                <w:tab w:val="left" w:pos="1021"/>
              </w:tabs>
              <w:spacing w:line="240" w:lineRule="auto"/>
              <w:jc w:val="center"/>
              <w:rPr>
                <w:rFonts w:eastAsiaTheme="minorEastAsia"/>
                <w:sz w:val="21"/>
                <w:szCs w:val="21"/>
              </w:rPr>
            </w:pPr>
            <w:r>
              <w:rPr>
                <w:rFonts w:eastAsiaTheme="minorEastAsia"/>
                <w:sz w:val="21"/>
                <w:szCs w:val="21"/>
              </w:rPr>
              <w:t>17.67km</w:t>
            </w:r>
          </w:p>
        </w:tc>
        <w:tc>
          <w:tcPr>
            <w:tcW w:w="748" w:type="dxa"/>
            <w:vAlign w:val="center"/>
          </w:tcPr>
          <w:p w14:paraId="76C1E8AC">
            <w:pPr>
              <w:tabs>
                <w:tab w:val="left" w:pos="1021"/>
              </w:tabs>
              <w:spacing w:line="240" w:lineRule="auto"/>
              <w:jc w:val="center"/>
              <w:rPr>
                <w:rFonts w:eastAsiaTheme="minorEastAsia"/>
                <w:sz w:val="21"/>
                <w:szCs w:val="21"/>
              </w:rPr>
            </w:pPr>
            <w:r>
              <w:rPr>
                <w:rFonts w:eastAsiaTheme="minorEastAsia"/>
                <w:sz w:val="21"/>
                <w:szCs w:val="21"/>
              </w:rPr>
              <w:t>63.8</w:t>
            </w:r>
          </w:p>
        </w:tc>
        <w:tc>
          <w:tcPr>
            <w:tcW w:w="750" w:type="dxa"/>
            <w:vAlign w:val="center"/>
          </w:tcPr>
          <w:p w14:paraId="062422B7">
            <w:pPr>
              <w:tabs>
                <w:tab w:val="left" w:pos="1021"/>
              </w:tabs>
              <w:spacing w:line="240" w:lineRule="auto"/>
              <w:jc w:val="center"/>
              <w:rPr>
                <w:rFonts w:hint="eastAsia" w:eastAsiaTheme="minorEastAsia"/>
                <w:sz w:val="21"/>
                <w:szCs w:val="21"/>
                <w:lang w:eastAsia="zh-CN"/>
              </w:rPr>
            </w:pPr>
            <w:r>
              <w:rPr>
                <w:rFonts w:eastAsiaTheme="minorEastAsia"/>
                <w:sz w:val="21"/>
                <w:szCs w:val="21"/>
              </w:rPr>
              <w:t>202</w:t>
            </w:r>
            <w:r>
              <w:rPr>
                <w:rFonts w:hint="eastAsia" w:eastAsiaTheme="minorEastAsia"/>
                <w:sz w:val="21"/>
                <w:szCs w:val="21"/>
                <w:lang w:val="en-US" w:eastAsia="zh-CN"/>
              </w:rPr>
              <w:t>4</w:t>
            </w:r>
          </w:p>
        </w:tc>
        <w:tc>
          <w:tcPr>
            <w:tcW w:w="1343" w:type="dxa"/>
            <w:vAlign w:val="center"/>
          </w:tcPr>
          <w:p w14:paraId="50C49CA5">
            <w:pPr>
              <w:tabs>
                <w:tab w:val="left" w:pos="1021"/>
              </w:tabs>
              <w:spacing w:line="240" w:lineRule="auto"/>
              <w:jc w:val="center"/>
              <w:rPr>
                <w:rFonts w:eastAsiaTheme="minorEastAsia"/>
                <w:sz w:val="21"/>
                <w:szCs w:val="21"/>
              </w:rPr>
            </w:pPr>
            <w:r>
              <w:rPr>
                <w:rFonts w:eastAsiaTheme="minorEastAsia"/>
                <w:sz w:val="21"/>
                <w:szCs w:val="21"/>
              </w:rPr>
              <w:t>风向、风速、总云、低云、气温</w:t>
            </w:r>
          </w:p>
        </w:tc>
      </w:tr>
    </w:tbl>
    <w:p w14:paraId="4C0F00EF">
      <w:pPr>
        <w:spacing w:line="240" w:lineRule="auto"/>
        <w:ind w:firstLine="360"/>
        <w:rPr>
          <w:sz w:val="18"/>
          <w:szCs w:val="18"/>
        </w:rPr>
      </w:pPr>
      <w:r>
        <w:rPr>
          <w:sz w:val="18"/>
          <w:szCs w:val="18"/>
        </w:rPr>
        <w:t>注：数据格式为OQA格式，风向、风速、气温为气象部门观测数据，总云量和低云量为中尺度气象模型WRF模拟的数据</w:t>
      </w:r>
    </w:p>
    <w:p w14:paraId="6253E25F">
      <w:pPr>
        <w:pStyle w:val="10"/>
        <w:ind w:left="0"/>
        <w:jc w:val="both"/>
        <w:rPr>
          <w:sz w:val="24"/>
          <w:szCs w:val="24"/>
          <w:lang w:val="en-US" w:bidi="ar-SA"/>
        </w:rPr>
      </w:pPr>
      <w:r>
        <w:rPr>
          <w:sz w:val="24"/>
          <w:szCs w:val="24"/>
          <w:lang w:val="en-US" w:bidi="ar-SA"/>
        </w:rPr>
        <w:t>湘潭市202</w:t>
      </w:r>
      <w:r>
        <w:rPr>
          <w:rFonts w:hint="eastAsia"/>
          <w:sz w:val="24"/>
          <w:szCs w:val="24"/>
          <w:lang w:val="en-US" w:eastAsia="zh-CN" w:bidi="ar-SA"/>
        </w:rPr>
        <w:t>4</w:t>
      </w:r>
      <w:r>
        <w:rPr>
          <w:sz w:val="24"/>
          <w:szCs w:val="24"/>
          <w:lang w:val="en-US" w:bidi="ar-SA"/>
        </w:rPr>
        <w:t>年风频最多的是N，频率为2</w:t>
      </w:r>
      <w:r>
        <w:rPr>
          <w:rFonts w:hint="eastAsia"/>
          <w:sz w:val="24"/>
          <w:szCs w:val="24"/>
          <w:lang w:val="en-US" w:bidi="ar-SA"/>
        </w:rPr>
        <w:t>8</w:t>
      </w:r>
      <w:r>
        <w:rPr>
          <w:sz w:val="24"/>
          <w:szCs w:val="24"/>
          <w:lang w:val="en-US" w:bidi="ar-SA"/>
        </w:rPr>
        <w:t>.</w:t>
      </w:r>
      <w:r>
        <w:rPr>
          <w:rFonts w:hint="eastAsia"/>
          <w:sz w:val="24"/>
          <w:szCs w:val="24"/>
          <w:lang w:val="en-US" w:bidi="ar-SA"/>
        </w:rPr>
        <w:t>86</w:t>
      </w:r>
      <w:r>
        <w:rPr>
          <w:sz w:val="24"/>
          <w:szCs w:val="24"/>
          <w:lang w:val="en-US" w:bidi="ar-SA"/>
        </w:rPr>
        <w:t>%；其次是NNE，频率为</w:t>
      </w:r>
      <w:r>
        <w:rPr>
          <w:rFonts w:hint="eastAsia"/>
          <w:sz w:val="24"/>
          <w:szCs w:val="24"/>
          <w:lang w:val="en-US" w:bidi="ar-SA"/>
        </w:rPr>
        <w:t>19.51</w:t>
      </w:r>
      <w:r>
        <w:rPr>
          <w:sz w:val="24"/>
          <w:szCs w:val="24"/>
          <w:lang w:val="en-US" w:bidi="ar-SA"/>
        </w:rPr>
        <w:t>%，</w:t>
      </w:r>
      <w:r>
        <w:rPr>
          <w:rFonts w:hint="eastAsia"/>
          <w:sz w:val="24"/>
          <w:szCs w:val="24"/>
          <w:lang w:val="en-US" w:bidi="ar-SA"/>
        </w:rPr>
        <w:t>C</w:t>
      </w:r>
      <w:r>
        <w:rPr>
          <w:sz w:val="24"/>
          <w:szCs w:val="24"/>
          <w:lang w:val="en-US" w:bidi="ar-SA"/>
        </w:rPr>
        <w:t>最少，频率为</w:t>
      </w:r>
      <w:r>
        <w:rPr>
          <w:rFonts w:hint="eastAsia"/>
          <w:sz w:val="24"/>
          <w:szCs w:val="24"/>
          <w:lang w:val="en-US" w:bidi="ar-SA"/>
        </w:rPr>
        <w:t>0.28</w:t>
      </w:r>
      <w:r>
        <w:rPr>
          <w:sz w:val="24"/>
          <w:szCs w:val="24"/>
          <w:lang w:val="en-US" w:bidi="ar-SA"/>
        </w:rPr>
        <w:t>%。湘潭市202</w:t>
      </w:r>
      <w:r>
        <w:rPr>
          <w:rFonts w:hint="eastAsia"/>
          <w:sz w:val="24"/>
          <w:szCs w:val="24"/>
          <w:lang w:val="en-US" w:eastAsia="zh-CN" w:bidi="ar-SA"/>
        </w:rPr>
        <w:t>4</w:t>
      </w:r>
      <w:r>
        <w:rPr>
          <w:sz w:val="24"/>
          <w:szCs w:val="24"/>
          <w:lang w:val="en-US" w:bidi="ar-SA"/>
        </w:rPr>
        <w:t>年风频统计见表6.2-4和风向玫瑰图见图6.2-</w:t>
      </w:r>
      <w:r>
        <w:rPr>
          <w:rFonts w:hint="eastAsia"/>
          <w:sz w:val="24"/>
          <w:szCs w:val="24"/>
          <w:lang w:val="en-US" w:bidi="ar-SA"/>
        </w:rPr>
        <w:t>1</w:t>
      </w:r>
      <w:r>
        <w:rPr>
          <w:sz w:val="24"/>
          <w:szCs w:val="24"/>
          <w:lang w:val="en-US" w:bidi="ar-SA"/>
        </w:rPr>
        <w:t>。</w:t>
      </w:r>
    </w:p>
    <w:p w14:paraId="289C7804">
      <w:pPr>
        <w:pStyle w:val="51"/>
        <w:numPr>
          <w:ilvl w:val="5"/>
          <w:numId w:val="0"/>
        </w:numPr>
        <w:tabs>
          <w:tab w:val="left" w:pos="4395"/>
        </w:tabs>
        <w:spacing w:before="156"/>
        <w:ind w:firstLine="1476" w:firstLineChars="700"/>
        <w:jc w:val="both"/>
      </w:pPr>
      <w:r>
        <w:rPr>
          <w:rFonts w:hint="default" w:ascii="宋体" w:hAnsi="宋体" w:eastAsia="宋体" w:cs="宋体"/>
          <w:b/>
          <w:bCs/>
          <w:color w:val="auto"/>
          <w:kern w:val="2"/>
          <w:sz w:val="21"/>
          <w:szCs w:val="21"/>
          <w:lang w:val="en-US" w:eastAsia="zh-CN" w:bidi="ar-SA"/>
        </w:rPr>
        <w:t xml:space="preserve">表6.2-4 </w:t>
      </w:r>
      <w:r>
        <w:rPr>
          <w:rFonts w:hint="eastAsia" w:ascii="宋体" w:hAnsi="宋体" w:cs="宋体"/>
          <w:b/>
          <w:bCs/>
          <w:color w:val="auto"/>
          <w:kern w:val="2"/>
          <w:sz w:val="21"/>
          <w:szCs w:val="21"/>
          <w:lang w:val="en-US" w:eastAsia="zh-CN" w:bidi="ar-SA"/>
        </w:rPr>
        <w:t xml:space="preserve">  </w:t>
      </w:r>
      <w:r>
        <w:rPr>
          <w:rFonts w:hint="eastAsia"/>
        </w:rPr>
        <w:t>湘潭地区202</w:t>
      </w:r>
      <w:r>
        <w:rPr>
          <w:rFonts w:hint="eastAsia"/>
          <w:lang w:val="en-US" w:eastAsia="zh-CN"/>
        </w:rPr>
        <w:t>4</w:t>
      </w:r>
      <w:r>
        <w:rPr>
          <w:rFonts w:hint="eastAsia"/>
        </w:rPr>
        <w:t>年气象指标月变化</w:t>
      </w:r>
    </w:p>
    <w:tbl>
      <w:tblPr>
        <w:tblStyle w:val="31"/>
        <w:tblpPr w:leftFromText="180" w:rightFromText="180" w:vertAnchor="text" w:horzAnchor="page" w:tblpXSpec="center" w:tblpY="78"/>
        <w:tblOverlap w:val="never"/>
        <w:tblW w:w="839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27"/>
        <w:gridCol w:w="850"/>
        <w:gridCol w:w="921"/>
        <w:gridCol w:w="736"/>
        <w:gridCol w:w="983"/>
        <w:gridCol w:w="679"/>
        <w:gridCol w:w="900"/>
        <w:gridCol w:w="850"/>
        <w:gridCol w:w="851"/>
        <w:gridCol w:w="793"/>
      </w:tblGrid>
      <w:tr w14:paraId="051F14C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bottom w:val="single" w:color="000000" w:sz="6" w:space="0"/>
              <w:right w:val="single" w:color="000000" w:sz="6" w:space="0"/>
            </w:tcBorders>
            <w:vAlign w:val="center"/>
          </w:tcPr>
          <w:p w14:paraId="135C150E">
            <w:pPr>
              <w:spacing w:line="240" w:lineRule="auto"/>
              <w:jc w:val="center"/>
              <w:rPr>
                <w:sz w:val="21"/>
                <w:szCs w:val="21"/>
              </w:rPr>
            </w:pPr>
            <w:r>
              <w:rPr>
                <w:sz w:val="21"/>
                <w:szCs w:val="21"/>
              </w:rPr>
              <w:t>月份</w:t>
            </w:r>
          </w:p>
        </w:tc>
        <w:tc>
          <w:tcPr>
            <w:tcW w:w="845" w:type="dxa"/>
            <w:tcBorders>
              <w:left w:val="single" w:color="000000" w:sz="6" w:space="0"/>
              <w:bottom w:val="single" w:color="000000" w:sz="6" w:space="0"/>
              <w:right w:val="single" w:color="000000" w:sz="6" w:space="0"/>
            </w:tcBorders>
            <w:vAlign w:val="center"/>
          </w:tcPr>
          <w:p w14:paraId="1C485E53">
            <w:pPr>
              <w:spacing w:line="240" w:lineRule="auto"/>
              <w:jc w:val="center"/>
              <w:rPr>
                <w:sz w:val="21"/>
                <w:szCs w:val="21"/>
              </w:rPr>
            </w:pPr>
            <w:r>
              <w:rPr>
                <w:sz w:val="21"/>
                <w:szCs w:val="21"/>
              </w:rPr>
              <w:t>NNE</w:t>
            </w:r>
          </w:p>
        </w:tc>
        <w:tc>
          <w:tcPr>
            <w:tcW w:w="915" w:type="dxa"/>
            <w:tcBorders>
              <w:left w:val="single" w:color="000000" w:sz="6" w:space="0"/>
              <w:bottom w:val="single" w:color="000000" w:sz="6" w:space="0"/>
              <w:right w:val="single" w:color="000000" w:sz="6" w:space="0"/>
            </w:tcBorders>
            <w:vAlign w:val="center"/>
          </w:tcPr>
          <w:p w14:paraId="5C3A9650">
            <w:pPr>
              <w:spacing w:line="240" w:lineRule="auto"/>
              <w:jc w:val="center"/>
              <w:rPr>
                <w:sz w:val="21"/>
                <w:szCs w:val="21"/>
              </w:rPr>
            </w:pPr>
            <w:r>
              <w:rPr>
                <w:sz w:val="21"/>
                <w:szCs w:val="21"/>
              </w:rPr>
              <w:t>NE</w:t>
            </w:r>
          </w:p>
        </w:tc>
        <w:tc>
          <w:tcPr>
            <w:tcW w:w="732" w:type="dxa"/>
            <w:tcBorders>
              <w:left w:val="single" w:color="000000" w:sz="6" w:space="0"/>
              <w:bottom w:val="single" w:color="000000" w:sz="6" w:space="0"/>
              <w:right w:val="single" w:color="000000" w:sz="6" w:space="0"/>
            </w:tcBorders>
            <w:vAlign w:val="center"/>
          </w:tcPr>
          <w:p w14:paraId="017E7986">
            <w:pPr>
              <w:spacing w:line="240" w:lineRule="auto"/>
              <w:jc w:val="center"/>
              <w:rPr>
                <w:sz w:val="21"/>
                <w:szCs w:val="21"/>
              </w:rPr>
            </w:pPr>
            <w:r>
              <w:rPr>
                <w:sz w:val="21"/>
                <w:szCs w:val="21"/>
              </w:rPr>
              <w:t>ENE</w:t>
            </w:r>
          </w:p>
        </w:tc>
        <w:tc>
          <w:tcPr>
            <w:tcW w:w="977" w:type="dxa"/>
            <w:tcBorders>
              <w:left w:val="single" w:color="000000" w:sz="6" w:space="0"/>
              <w:bottom w:val="single" w:color="000000" w:sz="6" w:space="0"/>
              <w:right w:val="single" w:color="000000" w:sz="6" w:space="0"/>
            </w:tcBorders>
            <w:vAlign w:val="center"/>
          </w:tcPr>
          <w:p w14:paraId="7A136F61">
            <w:pPr>
              <w:spacing w:line="240" w:lineRule="auto"/>
              <w:jc w:val="center"/>
              <w:rPr>
                <w:sz w:val="21"/>
                <w:szCs w:val="21"/>
              </w:rPr>
            </w:pPr>
            <w:r>
              <w:rPr>
                <w:sz w:val="21"/>
                <w:szCs w:val="21"/>
              </w:rPr>
              <w:t>E</w:t>
            </w:r>
          </w:p>
        </w:tc>
        <w:tc>
          <w:tcPr>
            <w:tcW w:w="675" w:type="dxa"/>
            <w:tcBorders>
              <w:left w:val="single" w:color="000000" w:sz="6" w:space="0"/>
              <w:bottom w:val="single" w:color="000000" w:sz="6" w:space="0"/>
              <w:right w:val="single" w:color="000000" w:sz="6" w:space="0"/>
            </w:tcBorders>
            <w:vAlign w:val="center"/>
          </w:tcPr>
          <w:p w14:paraId="19A91587">
            <w:pPr>
              <w:spacing w:line="240" w:lineRule="auto"/>
              <w:jc w:val="center"/>
              <w:rPr>
                <w:sz w:val="21"/>
                <w:szCs w:val="21"/>
              </w:rPr>
            </w:pPr>
            <w:r>
              <w:rPr>
                <w:sz w:val="21"/>
                <w:szCs w:val="21"/>
              </w:rPr>
              <w:t>ESE</w:t>
            </w:r>
          </w:p>
        </w:tc>
        <w:tc>
          <w:tcPr>
            <w:tcW w:w="895" w:type="dxa"/>
            <w:tcBorders>
              <w:left w:val="single" w:color="000000" w:sz="6" w:space="0"/>
              <w:bottom w:val="single" w:color="000000" w:sz="6" w:space="0"/>
              <w:right w:val="single" w:color="000000" w:sz="6" w:space="0"/>
            </w:tcBorders>
            <w:vAlign w:val="center"/>
          </w:tcPr>
          <w:p w14:paraId="37D616C9">
            <w:pPr>
              <w:spacing w:line="240" w:lineRule="auto"/>
              <w:jc w:val="center"/>
              <w:rPr>
                <w:sz w:val="21"/>
                <w:szCs w:val="21"/>
              </w:rPr>
            </w:pPr>
            <w:r>
              <w:rPr>
                <w:sz w:val="21"/>
                <w:szCs w:val="21"/>
              </w:rPr>
              <w:t>SE</w:t>
            </w:r>
          </w:p>
        </w:tc>
        <w:tc>
          <w:tcPr>
            <w:tcW w:w="845" w:type="dxa"/>
            <w:tcBorders>
              <w:left w:val="single" w:color="000000" w:sz="6" w:space="0"/>
              <w:bottom w:val="single" w:color="000000" w:sz="6" w:space="0"/>
              <w:right w:val="single" w:color="000000" w:sz="6" w:space="0"/>
            </w:tcBorders>
            <w:vAlign w:val="center"/>
          </w:tcPr>
          <w:p w14:paraId="617736BB">
            <w:pPr>
              <w:spacing w:line="240" w:lineRule="auto"/>
              <w:jc w:val="center"/>
              <w:rPr>
                <w:sz w:val="21"/>
                <w:szCs w:val="21"/>
              </w:rPr>
            </w:pPr>
            <w:r>
              <w:rPr>
                <w:sz w:val="21"/>
                <w:szCs w:val="21"/>
              </w:rPr>
              <w:t>SSE</w:t>
            </w:r>
          </w:p>
        </w:tc>
        <w:tc>
          <w:tcPr>
            <w:tcW w:w="846" w:type="dxa"/>
            <w:tcBorders>
              <w:left w:val="single" w:color="000000" w:sz="6" w:space="0"/>
              <w:bottom w:val="single" w:color="000000" w:sz="6" w:space="0"/>
              <w:right w:val="single" w:color="000000" w:sz="6" w:space="0"/>
            </w:tcBorders>
            <w:vAlign w:val="center"/>
          </w:tcPr>
          <w:p w14:paraId="28768804">
            <w:pPr>
              <w:spacing w:line="240" w:lineRule="auto"/>
              <w:jc w:val="center"/>
              <w:rPr>
                <w:sz w:val="21"/>
                <w:szCs w:val="21"/>
              </w:rPr>
            </w:pPr>
            <w:r>
              <w:rPr>
                <w:sz w:val="21"/>
                <w:szCs w:val="21"/>
              </w:rPr>
              <w:t>S</w:t>
            </w:r>
          </w:p>
        </w:tc>
        <w:tc>
          <w:tcPr>
            <w:tcW w:w="788" w:type="dxa"/>
            <w:tcBorders>
              <w:left w:val="single" w:color="000000" w:sz="6" w:space="0"/>
              <w:bottom w:val="single" w:color="000000" w:sz="6" w:space="0"/>
            </w:tcBorders>
            <w:vAlign w:val="center"/>
          </w:tcPr>
          <w:p w14:paraId="3D5D24FF">
            <w:pPr>
              <w:spacing w:line="240" w:lineRule="auto"/>
              <w:jc w:val="center"/>
              <w:rPr>
                <w:sz w:val="21"/>
                <w:szCs w:val="21"/>
              </w:rPr>
            </w:pPr>
            <w:r>
              <w:rPr>
                <w:sz w:val="21"/>
                <w:szCs w:val="21"/>
              </w:rPr>
              <w:t>SSW</w:t>
            </w:r>
          </w:p>
        </w:tc>
      </w:tr>
      <w:tr w14:paraId="6CEFB58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FF6F7E2">
            <w:pPr>
              <w:spacing w:line="240" w:lineRule="auto"/>
              <w:jc w:val="center"/>
              <w:rPr>
                <w:sz w:val="21"/>
                <w:szCs w:val="21"/>
              </w:rPr>
            </w:pPr>
            <w:r>
              <w:rPr>
                <w:sz w:val="21"/>
                <w:szCs w:val="21"/>
              </w:rPr>
              <w:t>1月</w:t>
            </w:r>
          </w:p>
        </w:tc>
        <w:tc>
          <w:tcPr>
            <w:tcW w:w="845" w:type="dxa"/>
            <w:tcBorders>
              <w:top w:val="single" w:color="000000" w:sz="6" w:space="0"/>
              <w:left w:val="single" w:color="000000" w:sz="6" w:space="0"/>
              <w:bottom w:val="single" w:color="000000" w:sz="6" w:space="0"/>
              <w:right w:val="single" w:color="000000" w:sz="6" w:space="0"/>
            </w:tcBorders>
            <w:vAlign w:val="bottom"/>
          </w:tcPr>
          <w:p w14:paraId="55273F1C">
            <w:pPr>
              <w:spacing w:line="240" w:lineRule="auto"/>
              <w:jc w:val="center"/>
              <w:rPr>
                <w:sz w:val="21"/>
                <w:szCs w:val="21"/>
              </w:rPr>
            </w:pPr>
            <w:r>
              <w:rPr>
                <w:rFonts w:hint="eastAsia"/>
                <w:sz w:val="21"/>
                <w:szCs w:val="21"/>
              </w:rPr>
              <w:t xml:space="preserve">31.85 </w:t>
            </w:r>
          </w:p>
        </w:tc>
        <w:tc>
          <w:tcPr>
            <w:tcW w:w="915" w:type="dxa"/>
            <w:tcBorders>
              <w:top w:val="single" w:color="000000" w:sz="6" w:space="0"/>
              <w:left w:val="single" w:color="000000" w:sz="6" w:space="0"/>
              <w:bottom w:val="single" w:color="000000" w:sz="6" w:space="0"/>
              <w:right w:val="single" w:color="000000" w:sz="6" w:space="0"/>
            </w:tcBorders>
            <w:vAlign w:val="bottom"/>
          </w:tcPr>
          <w:p w14:paraId="0BC20872">
            <w:pPr>
              <w:spacing w:line="240" w:lineRule="auto"/>
              <w:jc w:val="center"/>
              <w:rPr>
                <w:sz w:val="21"/>
                <w:szCs w:val="21"/>
              </w:rPr>
            </w:pPr>
            <w:r>
              <w:rPr>
                <w:rFonts w:hint="eastAsia"/>
                <w:sz w:val="21"/>
                <w:szCs w:val="21"/>
              </w:rPr>
              <w:t xml:space="preserve">6.85 </w:t>
            </w:r>
          </w:p>
        </w:tc>
        <w:tc>
          <w:tcPr>
            <w:tcW w:w="732" w:type="dxa"/>
            <w:tcBorders>
              <w:top w:val="single" w:color="000000" w:sz="6" w:space="0"/>
              <w:left w:val="single" w:color="000000" w:sz="6" w:space="0"/>
              <w:bottom w:val="single" w:color="000000" w:sz="6" w:space="0"/>
              <w:right w:val="single" w:color="000000" w:sz="6" w:space="0"/>
            </w:tcBorders>
            <w:vAlign w:val="bottom"/>
          </w:tcPr>
          <w:p w14:paraId="791B8ECE">
            <w:pPr>
              <w:spacing w:line="240" w:lineRule="auto"/>
              <w:jc w:val="center"/>
              <w:rPr>
                <w:sz w:val="21"/>
                <w:szCs w:val="21"/>
              </w:rPr>
            </w:pPr>
            <w:r>
              <w:rPr>
                <w:rFonts w:hint="eastAsia"/>
                <w:sz w:val="21"/>
                <w:szCs w:val="21"/>
              </w:rPr>
              <w:t xml:space="preserve">1.08 </w:t>
            </w:r>
          </w:p>
        </w:tc>
        <w:tc>
          <w:tcPr>
            <w:tcW w:w="977" w:type="dxa"/>
            <w:tcBorders>
              <w:top w:val="single" w:color="000000" w:sz="6" w:space="0"/>
              <w:left w:val="single" w:color="000000" w:sz="6" w:space="0"/>
              <w:bottom w:val="single" w:color="000000" w:sz="6" w:space="0"/>
              <w:right w:val="single" w:color="000000" w:sz="6" w:space="0"/>
            </w:tcBorders>
            <w:vAlign w:val="bottom"/>
          </w:tcPr>
          <w:p w14:paraId="0B2E9334">
            <w:pPr>
              <w:spacing w:line="240" w:lineRule="auto"/>
              <w:jc w:val="center"/>
              <w:rPr>
                <w:sz w:val="21"/>
                <w:szCs w:val="21"/>
              </w:rPr>
            </w:pPr>
            <w:r>
              <w:rPr>
                <w:rFonts w:hint="eastAsia"/>
                <w:sz w:val="21"/>
                <w:szCs w:val="21"/>
              </w:rPr>
              <w:t xml:space="preserve">1.48 </w:t>
            </w:r>
          </w:p>
        </w:tc>
        <w:tc>
          <w:tcPr>
            <w:tcW w:w="675" w:type="dxa"/>
            <w:tcBorders>
              <w:top w:val="single" w:color="000000" w:sz="6" w:space="0"/>
              <w:left w:val="single" w:color="000000" w:sz="6" w:space="0"/>
              <w:bottom w:val="single" w:color="000000" w:sz="6" w:space="0"/>
              <w:right w:val="single" w:color="000000" w:sz="6" w:space="0"/>
            </w:tcBorders>
            <w:vAlign w:val="bottom"/>
          </w:tcPr>
          <w:p w14:paraId="172B780D">
            <w:pPr>
              <w:spacing w:line="240" w:lineRule="auto"/>
              <w:jc w:val="center"/>
              <w:rPr>
                <w:sz w:val="21"/>
                <w:szCs w:val="21"/>
              </w:rPr>
            </w:pPr>
            <w:r>
              <w:rPr>
                <w:rFonts w:hint="eastAsia"/>
                <w:sz w:val="21"/>
                <w:szCs w:val="21"/>
              </w:rPr>
              <w:t xml:space="preserve">0.81 </w:t>
            </w:r>
          </w:p>
        </w:tc>
        <w:tc>
          <w:tcPr>
            <w:tcW w:w="895" w:type="dxa"/>
            <w:tcBorders>
              <w:top w:val="single" w:color="000000" w:sz="6" w:space="0"/>
              <w:left w:val="single" w:color="000000" w:sz="6" w:space="0"/>
              <w:bottom w:val="single" w:color="000000" w:sz="6" w:space="0"/>
              <w:right w:val="single" w:color="000000" w:sz="6" w:space="0"/>
            </w:tcBorders>
            <w:vAlign w:val="bottom"/>
          </w:tcPr>
          <w:p w14:paraId="332CC26B">
            <w:pPr>
              <w:spacing w:line="240" w:lineRule="auto"/>
              <w:jc w:val="center"/>
              <w:rPr>
                <w:sz w:val="21"/>
                <w:szCs w:val="21"/>
              </w:rPr>
            </w:pPr>
            <w:r>
              <w:rPr>
                <w:rFonts w:hint="eastAsia"/>
                <w:sz w:val="21"/>
                <w:szCs w:val="21"/>
              </w:rPr>
              <w:t xml:space="preserve">0.40 </w:t>
            </w:r>
          </w:p>
        </w:tc>
        <w:tc>
          <w:tcPr>
            <w:tcW w:w="845" w:type="dxa"/>
            <w:tcBorders>
              <w:top w:val="single" w:color="000000" w:sz="6" w:space="0"/>
              <w:left w:val="single" w:color="000000" w:sz="6" w:space="0"/>
              <w:bottom w:val="single" w:color="000000" w:sz="6" w:space="0"/>
              <w:right w:val="single" w:color="000000" w:sz="6" w:space="0"/>
            </w:tcBorders>
            <w:vAlign w:val="bottom"/>
          </w:tcPr>
          <w:p w14:paraId="22CB92FE">
            <w:pPr>
              <w:spacing w:line="240" w:lineRule="auto"/>
              <w:jc w:val="center"/>
              <w:rPr>
                <w:sz w:val="21"/>
                <w:szCs w:val="21"/>
              </w:rPr>
            </w:pPr>
            <w:r>
              <w:rPr>
                <w:rFonts w:hint="eastAsia"/>
                <w:sz w:val="21"/>
                <w:szCs w:val="21"/>
              </w:rPr>
              <w:t xml:space="preserve">1.08 </w:t>
            </w:r>
          </w:p>
        </w:tc>
        <w:tc>
          <w:tcPr>
            <w:tcW w:w="846" w:type="dxa"/>
            <w:tcBorders>
              <w:top w:val="single" w:color="000000" w:sz="6" w:space="0"/>
              <w:left w:val="single" w:color="000000" w:sz="6" w:space="0"/>
              <w:bottom w:val="single" w:color="000000" w:sz="6" w:space="0"/>
              <w:right w:val="single" w:color="000000" w:sz="6" w:space="0"/>
            </w:tcBorders>
            <w:vAlign w:val="bottom"/>
          </w:tcPr>
          <w:p w14:paraId="3E6A8292">
            <w:pPr>
              <w:spacing w:line="240" w:lineRule="auto"/>
              <w:jc w:val="center"/>
              <w:rPr>
                <w:sz w:val="21"/>
                <w:szCs w:val="21"/>
              </w:rPr>
            </w:pPr>
            <w:r>
              <w:rPr>
                <w:rFonts w:hint="eastAsia"/>
                <w:sz w:val="21"/>
                <w:szCs w:val="21"/>
              </w:rPr>
              <w:t xml:space="preserve">1.75 </w:t>
            </w:r>
          </w:p>
        </w:tc>
        <w:tc>
          <w:tcPr>
            <w:tcW w:w="788" w:type="dxa"/>
            <w:tcBorders>
              <w:top w:val="single" w:color="000000" w:sz="6" w:space="0"/>
              <w:left w:val="single" w:color="000000" w:sz="6" w:space="0"/>
              <w:bottom w:val="single" w:color="000000" w:sz="6" w:space="0"/>
            </w:tcBorders>
            <w:vAlign w:val="bottom"/>
          </w:tcPr>
          <w:p w14:paraId="6E29F012">
            <w:pPr>
              <w:spacing w:line="240" w:lineRule="auto"/>
              <w:jc w:val="center"/>
              <w:rPr>
                <w:sz w:val="21"/>
                <w:szCs w:val="21"/>
              </w:rPr>
            </w:pPr>
            <w:r>
              <w:rPr>
                <w:rFonts w:hint="eastAsia"/>
                <w:sz w:val="21"/>
                <w:szCs w:val="21"/>
              </w:rPr>
              <w:t xml:space="preserve">1.75 </w:t>
            </w:r>
          </w:p>
        </w:tc>
      </w:tr>
      <w:tr w14:paraId="5D43735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1C6499E">
            <w:pPr>
              <w:spacing w:line="240" w:lineRule="auto"/>
              <w:jc w:val="center"/>
              <w:rPr>
                <w:sz w:val="21"/>
                <w:szCs w:val="21"/>
              </w:rPr>
            </w:pPr>
            <w:r>
              <w:rPr>
                <w:sz w:val="21"/>
                <w:szCs w:val="21"/>
              </w:rPr>
              <w:t>2月</w:t>
            </w:r>
          </w:p>
        </w:tc>
        <w:tc>
          <w:tcPr>
            <w:tcW w:w="845" w:type="dxa"/>
            <w:tcBorders>
              <w:top w:val="single" w:color="000000" w:sz="6" w:space="0"/>
              <w:left w:val="single" w:color="000000" w:sz="6" w:space="0"/>
              <w:bottom w:val="single" w:color="000000" w:sz="6" w:space="0"/>
              <w:right w:val="single" w:color="000000" w:sz="6" w:space="0"/>
            </w:tcBorders>
            <w:vAlign w:val="bottom"/>
          </w:tcPr>
          <w:p w14:paraId="7219CBF7">
            <w:pPr>
              <w:spacing w:line="240" w:lineRule="auto"/>
              <w:jc w:val="center"/>
              <w:rPr>
                <w:sz w:val="21"/>
                <w:szCs w:val="21"/>
              </w:rPr>
            </w:pPr>
            <w:r>
              <w:rPr>
                <w:rFonts w:hint="eastAsia"/>
                <w:sz w:val="21"/>
                <w:szCs w:val="21"/>
              </w:rPr>
              <w:t xml:space="preserve">29.02 </w:t>
            </w:r>
          </w:p>
        </w:tc>
        <w:tc>
          <w:tcPr>
            <w:tcW w:w="915" w:type="dxa"/>
            <w:tcBorders>
              <w:top w:val="single" w:color="000000" w:sz="6" w:space="0"/>
              <w:left w:val="single" w:color="000000" w:sz="6" w:space="0"/>
              <w:bottom w:val="single" w:color="000000" w:sz="6" w:space="0"/>
              <w:right w:val="single" w:color="000000" w:sz="6" w:space="0"/>
            </w:tcBorders>
            <w:vAlign w:val="bottom"/>
          </w:tcPr>
          <w:p w14:paraId="0F2D4788">
            <w:pPr>
              <w:spacing w:line="240" w:lineRule="auto"/>
              <w:jc w:val="center"/>
              <w:rPr>
                <w:sz w:val="21"/>
                <w:szCs w:val="21"/>
              </w:rPr>
            </w:pPr>
            <w:r>
              <w:rPr>
                <w:rFonts w:hint="eastAsia"/>
                <w:sz w:val="21"/>
                <w:szCs w:val="21"/>
              </w:rPr>
              <w:t xml:space="preserve">6.55 </w:t>
            </w:r>
          </w:p>
        </w:tc>
        <w:tc>
          <w:tcPr>
            <w:tcW w:w="732" w:type="dxa"/>
            <w:tcBorders>
              <w:top w:val="single" w:color="000000" w:sz="6" w:space="0"/>
              <w:left w:val="single" w:color="000000" w:sz="6" w:space="0"/>
              <w:bottom w:val="single" w:color="000000" w:sz="6" w:space="0"/>
              <w:right w:val="single" w:color="000000" w:sz="6" w:space="0"/>
            </w:tcBorders>
            <w:vAlign w:val="bottom"/>
          </w:tcPr>
          <w:p w14:paraId="376F8DE2">
            <w:pPr>
              <w:spacing w:line="240" w:lineRule="auto"/>
              <w:jc w:val="center"/>
              <w:rPr>
                <w:sz w:val="21"/>
                <w:szCs w:val="21"/>
              </w:rPr>
            </w:pPr>
            <w:r>
              <w:rPr>
                <w:rFonts w:hint="eastAsia"/>
                <w:sz w:val="21"/>
                <w:szCs w:val="21"/>
              </w:rPr>
              <w:t xml:space="preserve">3.13 </w:t>
            </w:r>
          </w:p>
        </w:tc>
        <w:tc>
          <w:tcPr>
            <w:tcW w:w="977" w:type="dxa"/>
            <w:tcBorders>
              <w:top w:val="single" w:color="000000" w:sz="6" w:space="0"/>
              <w:left w:val="single" w:color="000000" w:sz="6" w:space="0"/>
              <w:bottom w:val="single" w:color="000000" w:sz="6" w:space="0"/>
              <w:right w:val="single" w:color="000000" w:sz="6" w:space="0"/>
            </w:tcBorders>
            <w:vAlign w:val="bottom"/>
          </w:tcPr>
          <w:p w14:paraId="0707847F">
            <w:pPr>
              <w:spacing w:line="240" w:lineRule="auto"/>
              <w:jc w:val="center"/>
              <w:rPr>
                <w:sz w:val="21"/>
                <w:szCs w:val="21"/>
              </w:rPr>
            </w:pPr>
            <w:r>
              <w:rPr>
                <w:rFonts w:hint="eastAsia"/>
                <w:sz w:val="21"/>
                <w:szCs w:val="21"/>
              </w:rPr>
              <w:t xml:space="preserve">1.79 </w:t>
            </w:r>
          </w:p>
        </w:tc>
        <w:tc>
          <w:tcPr>
            <w:tcW w:w="675" w:type="dxa"/>
            <w:tcBorders>
              <w:top w:val="single" w:color="000000" w:sz="6" w:space="0"/>
              <w:left w:val="single" w:color="000000" w:sz="6" w:space="0"/>
              <w:bottom w:val="single" w:color="000000" w:sz="6" w:space="0"/>
              <w:right w:val="single" w:color="000000" w:sz="6" w:space="0"/>
            </w:tcBorders>
            <w:vAlign w:val="bottom"/>
          </w:tcPr>
          <w:p w14:paraId="012647B8">
            <w:pPr>
              <w:spacing w:line="240" w:lineRule="auto"/>
              <w:jc w:val="center"/>
              <w:rPr>
                <w:sz w:val="21"/>
                <w:szCs w:val="21"/>
              </w:rPr>
            </w:pPr>
            <w:r>
              <w:rPr>
                <w:rFonts w:hint="eastAsia"/>
                <w:sz w:val="21"/>
                <w:szCs w:val="21"/>
              </w:rPr>
              <w:t xml:space="preserve">1.79 </w:t>
            </w:r>
          </w:p>
        </w:tc>
        <w:tc>
          <w:tcPr>
            <w:tcW w:w="895" w:type="dxa"/>
            <w:tcBorders>
              <w:top w:val="single" w:color="000000" w:sz="6" w:space="0"/>
              <w:left w:val="single" w:color="000000" w:sz="6" w:space="0"/>
              <w:bottom w:val="single" w:color="000000" w:sz="6" w:space="0"/>
              <w:right w:val="single" w:color="000000" w:sz="6" w:space="0"/>
            </w:tcBorders>
            <w:vAlign w:val="bottom"/>
          </w:tcPr>
          <w:p w14:paraId="1045976F">
            <w:pPr>
              <w:spacing w:line="240" w:lineRule="auto"/>
              <w:jc w:val="center"/>
              <w:rPr>
                <w:sz w:val="21"/>
                <w:szCs w:val="21"/>
              </w:rPr>
            </w:pPr>
            <w:r>
              <w:rPr>
                <w:rFonts w:hint="eastAsia"/>
                <w:sz w:val="21"/>
                <w:szCs w:val="21"/>
              </w:rPr>
              <w:t xml:space="preserve">1.49 </w:t>
            </w:r>
          </w:p>
        </w:tc>
        <w:tc>
          <w:tcPr>
            <w:tcW w:w="845" w:type="dxa"/>
            <w:tcBorders>
              <w:top w:val="single" w:color="000000" w:sz="6" w:space="0"/>
              <w:left w:val="single" w:color="000000" w:sz="6" w:space="0"/>
              <w:bottom w:val="single" w:color="000000" w:sz="6" w:space="0"/>
              <w:right w:val="single" w:color="000000" w:sz="6" w:space="0"/>
            </w:tcBorders>
            <w:vAlign w:val="bottom"/>
          </w:tcPr>
          <w:p w14:paraId="5742332A">
            <w:pPr>
              <w:spacing w:line="240" w:lineRule="auto"/>
              <w:jc w:val="center"/>
              <w:rPr>
                <w:sz w:val="21"/>
                <w:szCs w:val="21"/>
              </w:rPr>
            </w:pPr>
            <w:r>
              <w:rPr>
                <w:rFonts w:hint="eastAsia"/>
                <w:sz w:val="21"/>
                <w:szCs w:val="21"/>
              </w:rPr>
              <w:t xml:space="preserve">1.79 </w:t>
            </w:r>
          </w:p>
        </w:tc>
        <w:tc>
          <w:tcPr>
            <w:tcW w:w="846" w:type="dxa"/>
            <w:tcBorders>
              <w:top w:val="single" w:color="000000" w:sz="6" w:space="0"/>
              <w:left w:val="single" w:color="000000" w:sz="6" w:space="0"/>
              <w:bottom w:val="single" w:color="000000" w:sz="6" w:space="0"/>
              <w:right w:val="single" w:color="000000" w:sz="6" w:space="0"/>
            </w:tcBorders>
            <w:vAlign w:val="bottom"/>
          </w:tcPr>
          <w:p w14:paraId="7BAF1C27">
            <w:pPr>
              <w:spacing w:line="240" w:lineRule="auto"/>
              <w:jc w:val="center"/>
              <w:rPr>
                <w:sz w:val="21"/>
                <w:szCs w:val="21"/>
              </w:rPr>
            </w:pPr>
            <w:r>
              <w:rPr>
                <w:rFonts w:hint="eastAsia"/>
                <w:sz w:val="21"/>
                <w:szCs w:val="21"/>
              </w:rPr>
              <w:t xml:space="preserve">1.93 </w:t>
            </w:r>
          </w:p>
        </w:tc>
        <w:tc>
          <w:tcPr>
            <w:tcW w:w="788" w:type="dxa"/>
            <w:tcBorders>
              <w:top w:val="single" w:color="000000" w:sz="6" w:space="0"/>
              <w:left w:val="single" w:color="000000" w:sz="6" w:space="0"/>
              <w:bottom w:val="single" w:color="000000" w:sz="6" w:space="0"/>
            </w:tcBorders>
            <w:vAlign w:val="bottom"/>
          </w:tcPr>
          <w:p w14:paraId="1C53E351">
            <w:pPr>
              <w:spacing w:line="240" w:lineRule="auto"/>
              <w:jc w:val="center"/>
              <w:rPr>
                <w:sz w:val="21"/>
                <w:szCs w:val="21"/>
              </w:rPr>
            </w:pPr>
            <w:r>
              <w:rPr>
                <w:rFonts w:hint="eastAsia"/>
                <w:sz w:val="21"/>
                <w:szCs w:val="21"/>
              </w:rPr>
              <w:t xml:space="preserve">3.13 </w:t>
            </w:r>
          </w:p>
        </w:tc>
      </w:tr>
      <w:tr w14:paraId="213B17B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0A2BEE3">
            <w:pPr>
              <w:spacing w:line="240" w:lineRule="auto"/>
              <w:jc w:val="center"/>
              <w:rPr>
                <w:sz w:val="21"/>
                <w:szCs w:val="21"/>
              </w:rPr>
            </w:pPr>
            <w:r>
              <w:rPr>
                <w:sz w:val="21"/>
                <w:szCs w:val="21"/>
              </w:rPr>
              <w:t>3月</w:t>
            </w:r>
          </w:p>
        </w:tc>
        <w:tc>
          <w:tcPr>
            <w:tcW w:w="845" w:type="dxa"/>
            <w:tcBorders>
              <w:top w:val="single" w:color="000000" w:sz="6" w:space="0"/>
              <w:left w:val="single" w:color="000000" w:sz="6" w:space="0"/>
              <w:bottom w:val="single" w:color="000000" w:sz="6" w:space="0"/>
              <w:right w:val="single" w:color="000000" w:sz="6" w:space="0"/>
            </w:tcBorders>
            <w:vAlign w:val="bottom"/>
          </w:tcPr>
          <w:p w14:paraId="1EC23900">
            <w:pPr>
              <w:spacing w:line="240" w:lineRule="auto"/>
              <w:jc w:val="center"/>
              <w:rPr>
                <w:sz w:val="21"/>
                <w:szCs w:val="21"/>
              </w:rPr>
            </w:pPr>
            <w:r>
              <w:rPr>
                <w:rFonts w:hint="eastAsia"/>
                <w:sz w:val="21"/>
                <w:szCs w:val="21"/>
              </w:rPr>
              <w:t xml:space="preserve">17.20 </w:t>
            </w:r>
          </w:p>
        </w:tc>
        <w:tc>
          <w:tcPr>
            <w:tcW w:w="915" w:type="dxa"/>
            <w:tcBorders>
              <w:top w:val="single" w:color="000000" w:sz="6" w:space="0"/>
              <w:left w:val="single" w:color="000000" w:sz="6" w:space="0"/>
              <w:bottom w:val="single" w:color="000000" w:sz="6" w:space="0"/>
              <w:right w:val="single" w:color="000000" w:sz="6" w:space="0"/>
            </w:tcBorders>
            <w:vAlign w:val="bottom"/>
          </w:tcPr>
          <w:p w14:paraId="5024AE34">
            <w:pPr>
              <w:spacing w:line="240" w:lineRule="auto"/>
              <w:jc w:val="center"/>
              <w:rPr>
                <w:sz w:val="21"/>
                <w:szCs w:val="21"/>
              </w:rPr>
            </w:pPr>
            <w:r>
              <w:rPr>
                <w:rFonts w:hint="eastAsia"/>
                <w:sz w:val="21"/>
                <w:szCs w:val="21"/>
              </w:rPr>
              <w:t xml:space="preserve">7.12 </w:t>
            </w:r>
          </w:p>
        </w:tc>
        <w:tc>
          <w:tcPr>
            <w:tcW w:w="732" w:type="dxa"/>
            <w:tcBorders>
              <w:top w:val="single" w:color="000000" w:sz="6" w:space="0"/>
              <w:left w:val="single" w:color="000000" w:sz="6" w:space="0"/>
              <w:bottom w:val="single" w:color="000000" w:sz="6" w:space="0"/>
              <w:right w:val="single" w:color="000000" w:sz="6" w:space="0"/>
            </w:tcBorders>
            <w:vAlign w:val="bottom"/>
          </w:tcPr>
          <w:p w14:paraId="3B5D3A7D">
            <w:pPr>
              <w:spacing w:line="240" w:lineRule="auto"/>
              <w:jc w:val="center"/>
              <w:rPr>
                <w:sz w:val="21"/>
                <w:szCs w:val="21"/>
              </w:rPr>
            </w:pPr>
            <w:r>
              <w:rPr>
                <w:rFonts w:hint="eastAsia"/>
                <w:sz w:val="21"/>
                <w:szCs w:val="21"/>
              </w:rPr>
              <w:t xml:space="preserve">2.15 </w:t>
            </w:r>
          </w:p>
        </w:tc>
        <w:tc>
          <w:tcPr>
            <w:tcW w:w="977" w:type="dxa"/>
            <w:tcBorders>
              <w:top w:val="single" w:color="000000" w:sz="6" w:space="0"/>
              <w:left w:val="single" w:color="000000" w:sz="6" w:space="0"/>
              <w:bottom w:val="single" w:color="000000" w:sz="6" w:space="0"/>
              <w:right w:val="single" w:color="000000" w:sz="6" w:space="0"/>
            </w:tcBorders>
            <w:vAlign w:val="bottom"/>
          </w:tcPr>
          <w:p w14:paraId="54E7CDC8">
            <w:pPr>
              <w:spacing w:line="240" w:lineRule="auto"/>
              <w:jc w:val="center"/>
              <w:rPr>
                <w:sz w:val="21"/>
                <w:szCs w:val="21"/>
              </w:rPr>
            </w:pPr>
            <w:r>
              <w:rPr>
                <w:rFonts w:hint="eastAsia"/>
                <w:sz w:val="21"/>
                <w:szCs w:val="21"/>
              </w:rPr>
              <w:t xml:space="preserve">2.96 </w:t>
            </w:r>
          </w:p>
        </w:tc>
        <w:tc>
          <w:tcPr>
            <w:tcW w:w="675" w:type="dxa"/>
            <w:tcBorders>
              <w:top w:val="single" w:color="000000" w:sz="6" w:space="0"/>
              <w:left w:val="single" w:color="000000" w:sz="6" w:space="0"/>
              <w:bottom w:val="single" w:color="000000" w:sz="6" w:space="0"/>
              <w:right w:val="single" w:color="000000" w:sz="6" w:space="0"/>
            </w:tcBorders>
            <w:vAlign w:val="bottom"/>
          </w:tcPr>
          <w:p w14:paraId="3284BEA9">
            <w:pPr>
              <w:spacing w:line="240" w:lineRule="auto"/>
              <w:jc w:val="center"/>
              <w:rPr>
                <w:sz w:val="21"/>
                <w:szCs w:val="21"/>
              </w:rPr>
            </w:pPr>
            <w:r>
              <w:rPr>
                <w:rFonts w:hint="eastAsia"/>
                <w:sz w:val="21"/>
                <w:szCs w:val="21"/>
              </w:rPr>
              <w:t xml:space="preserve">2.55 </w:t>
            </w:r>
          </w:p>
        </w:tc>
        <w:tc>
          <w:tcPr>
            <w:tcW w:w="895" w:type="dxa"/>
            <w:tcBorders>
              <w:top w:val="single" w:color="000000" w:sz="6" w:space="0"/>
              <w:left w:val="single" w:color="000000" w:sz="6" w:space="0"/>
              <w:bottom w:val="single" w:color="000000" w:sz="6" w:space="0"/>
              <w:right w:val="single" w:color="000000" w:sz="6" w:space="0"/>
            </w:tcBorders>
            <w:vAlign w:val="bottom"/>
          </w:tcPr>
          <w:p w14:paraId="260FEE94">
            <w:pPr>
              <w:spacing w:line="240" w:lineRule="auto"/>
              <w:jc w:val="center"/>
              <w:rPr>
                <w:sz w:val="21"/>
                <w:szCs w:val="21"/>
              </w:rPr>
            </w:pPr>
            <w:r>
              <w:rPr>
                <w:rFonts w:hint="eastAsia"/>
                <w:sz w:val="21"/>
                <w:szCs w:val="21"/>
              </w:rPr>
              <w:t xml:space="preserve">5.91 </w:t>
            </w:r>
          </w:p>
        </w:tc>
        <w:tc>
          <w:tcPr>
            <w:tcW w:w="845" w:type="dxa"/>
            <w:tcBorders>
              <w:top w:val="single" w:color="000000" w:sz="6" w:space="0"/>
              <w:left w:val="single" w:color="000000" w:sz="6" w:space="0"/>
              <w:bottom w:val="single" w:color="000000" w:sz="6" w:space="0"/>
              <w:right w:val="single" w:color="000000" w:sz="6" w:space="0"/>
            </w:tcBorders>
            <w:vAlign w:val="bottom"/>
          </w:tcPr>
          <w:p w14:paraId="17592E31">
            <w:pPr>
              <w:spacing w:line="240" w:lineRule="auto"/>
              <w:jc w:val="center"/>
              <w:rPr>
                <w:sz w:val="21"/>
                <w:szCs w:val="21"/>
              </w:rPr>
            </w:pPr>
            <w:r>
              <w:rPr>
                <w:rFonts w:hint="eastAsia"/>
                <w:sz w:val="21"/>
                <w:szCs w:val="21"/>
              </w:rPr>
              <w:t xml:space="preserve">5.65 </w:t>
            </w:r>
          </w:p>
        </w:tc>
        <w:tc>
          <w:tcPr>
            <w:tcW w:w="846" w:type="dxa"/>
            <w:tcBorders>
              <w:top w:val="single" w:color="000000" w:sz="6" w:space="0"/>
              <w:left w:val="single" w:color="000000" w:sz="6" w:space="0"/>
              <w:bottom w:val="single" w:color="000000" w:sz="6" w:space="0"/>
              <w:right w:val="single" w:color="000000" w:sz="6" w:space="0"/>
            </w:tcBorders>
            <w:vAlign w:val="bottom"/>
          </w:tcPr>
          <w:p w14:paraId="04F54FFB">
            <w:pPr>
              <w:spacing w:line="240" w:lineRule="auto"/>
              <w:jc w:val="center"/>
              <w:rPr>
                <w:sz w:val="21"/>
                <w:szCs w:val="21"/>
              </w:rPr>
            </w:pPr>
            <w:r>
              <w:rPr>
                <w:rFonts w:hint="eastAsia"/>
                <w:sz w:val="21"/>
                <w:szCs w:val="21"/>
              </w:rPr>
              <w:t xml:space="preserve">11.83 </w:t>
            </w:r>
          </w:p>
        </w:tc>
        <w:tc>
          <w:tcPr>
            <w:tcW w:w="788" w:type="dxa"/>
            <w:tcBorders>
              <w:top w:val="single" w:color="000000" w:sz="6" w:space="0"/>
              <w:left w:val="single" w:color="000000" w:sz="6" w:space="0"/>
              <w:bottom w:val="single" w:color="000000" w:sz="6" w:space="0"/>
            </w:tcBorders>
            <w:vAlign w:val="bottom"/>
          </w:tcPr>
          <w:p w14:paraId="6EC03134">
            <w:pPr>
              <w:spacing w:line="240" w:lineRule="auto"/>
              <w:jc w:val="center"/>
              <w:rPr>
                <w:sz w:val="21"/>
                <w:szCs w:val="21"/>
              </w:rPr>
            </w:pPr>
            <w:r>
              <w:rPr>
                <w:rFonts w:hint="eastAsia"/>
                <w:sz w:val="21"/>
                <w:szCs w:val="21"/>
              </w:rPr>
              <w:t xml:space="preserve">6.18 </w:t>
            </w:r>
          </w:p>
        </w:tc>
      </w:tr>
      <w:tr w14:paraId="6208F58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DAA211A">
            <w:pPr>
              <w:spacing w:line="240" w:lineRule="auto"/>
              <w:jc w:val="center"/>
              <w:rPr>
                <w:sz w:val="21"/>
                <w:szCs w:val="21"/>
              </w:rPr>
            </w:pPr>
            <w:r>
              <w:rPr>
                <w:sz w:val="21"/>
                <w:szCs w:val="21"/>
              </w:rPr>
              <w:t>4月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1CD4640">
            <w:pPr>
              <w:spacing w:line="240" w:lineRule="auto"/>
              <w:jc w:val="center"/>
              <w:rPr>
                <w:sz w:val="21"/>
                <w:szCs w:val="21"/>
              </w:rPr>
            </w:pPr>
            <w:r>
              <w:rPr>
                <w:rFonts w:hint="eastAsia"/>
                <w:sz w:val="21"/>
                <w:szCs w:val="21"/>
              </w:rPr>
              <w:t xml:space="preserve">14.72 </w:t>
            </w:r>
          </w:p>
        </w:tc>
        <w:tc>
          <w:tcPr>
            <w:tcW w:w="915" w:type="dxa"/>
            <w:tcBorders>
              <w:top w:val="single" w:color="000000" w:sz="6" w:space="0"/>
              <w:left w:val="single" w:color="000000" w:sz="6" w:space="0"/>
              <w:bottom w:val="single" w:color="000000" w:sz="6" w:space="0"/>
              <w:right w:val="single" w:color="000000" w:sz="6" w:space="0"/>
            </w:tcBorders>
            <w:vAlign w:val="bottom"/>
          </w:tcPr>
          <w:p w14:paraId="163942EE">
            <w:pPr>
              <w:spacing w:line="240" w:lineRule="auto"/>
              <w:jc w:val="center"/>
              <w:rPr>
                <w:sz w:val="21"/>
                <w:szCs w:val="21"/>
              </w:rPr>
            </w:pPr>
            <w:r>
              <w:rPr>
                <w:rFonts w:hint="eastAsia"/>
                <w:sz w:val="21"/>
                <w:szCs w:val="21"/>
              </w:rPr>
              <w:t xml:space="preserve">6.67 </w:t>
            </w:r>
          </w:p>
        </w:tc>
        <w:tc>
          <w:tcPr>
            <w:tcW w:w="732" w:type="dxa"/>
            <w:tcBorders>
              <w:top w:val="single" w:color="000000" w:sz="6" w:space="0"/>
              <w:left w:val="single" w:color="000000" w:sz="6" w:space="0"/>
              <w:bottom w:val="single" w:color="000000" w:sz="6" w:space="0"/>
              <w:right w:val="single" w:color="000000" w:sz="6" w:space="0"/>
            </w:tcBorders>
            <w:vAlign w:val="bottom"/>
          </w:tcPr>
          <w:p w14:paraId="5172B504">
            <w:pPr>
              <w:spacing w:line="240" w:lineRule="auto"/>
              <w:jc w:val="center"/>
              <w:rPr>
                <w:sz w:val="21"/>
                <w:szCs w:val="21"/>
              </w:rPr>
            </w:pPr>
            <w:r>
              <w:rPr>
                <w:rFonts w:hint="eastAsia"/>
                <w:sz w:val="21"/>
                <w:szCs w:val="21"/>
              </w:rPr>
              <w:t xml:space="preserve">2.08 </w:t>
            </w:r>
          </w:p>
        </w:tc>
        <w:tc>
          <w:tcPr>
            <w:tcW w:w="977" w:type="dxa"/>
            <w:tcBorders>
              <w:top w:val="single" w:color="000000" w:sz="6" w:space="0"/>
              <w:left w:val="single" w:color="000000" w:sz="6" w:space="0"/>
              <w:bottom w:val="single" w:color="000000" w:sz="6" w:space="0"/>
              <w:right w:val="single" w:color="000000" w:sz="6" w:space="0"/>
            </w:tcBorders>
            <w:vAlign w:val="bottom"/>
          </w:tcPr>
          <w:p w14:paraId="45F2EC72">
            <w:pPr>
              <w:spacing w:line="240" w:lineRule="auto"/>
              <w:jc w:val="center"/>
              <w:rPr>
                <w:sz w:val="21"/>
                <w:szCs w:val="21"/>
              </w:rPr>
            </w:pPr>
            <w:r>
              <w:rPr>
                <w:rFonts w:hint="eastAsia"/>
                <w:sz w:val="21"/>
                <w:szCs w:val="21"/>
              </w:rPr>
              <w:t xml:space="preserve">2.64 </w:t>
            </w:r>
          </w:p>
        </w:tc>
        <w:tc>
          <w:tcPr>
            <w:tcW w:w="675" w:type="dxa"/>
            <w:tcBorders>
              <w:top w:val="single" w:color="000000" w:sz="6" w:space="0"/>
              <w:left w:val="single" w:color="000000" w:sz="6" w:space="0"/>
              <w:bottom w:val="single" w:color="000000" w:sz="6" w:space="0"/>
              <w:right w:val="single" w:color="000000" w:sz="6" w:space="0"/>
            </w:tcBorders>
            <w:vAlign w:val="bottom"/>
          </w:tcPr>
          <w:p w14:paraId="60EF6681">
            <w:pPr>
              <w:spacing w:line="240" w:lineRule="auto"/>
              <w:jc w:val="center"/>
              <w:rPr>
                <w:sz w:val="21"/>
                <w:szCs w:val="21"/>
              </w:rPr>
            </w:pPr>
            <w:r>
              <w:rPr>
                <w:rFonts w:hint="eastAsia"/>
                <w:sz w:val="21"/>
                <w:szCs w:val="21"/>
              </w:rPr>
              <w:t xml:space="preserve">0.69 </w:t>
            </w:r>
          </w:p>
        </w:tc>
        <w:tc>
          <w:tcPr>
            <w:tcW w:w="895" w:type="dxa"/>
            <w:tcBorders>
              <w:top w:val="single" w:color="000000" w:sz="6" w:space="0"/>
              <w:left w:val="single" w:color="000000" w:sz="6" w:space="0"/>
              <w:bottom w:val="single" w:color="000000" w:sz="6" w:space="0"/>
              <w:right w:val="single" w:color="000000" w:sz="6" w:space="0"/>
            </w:tcBorders>
            <w:vAlign w:val="bottom"/>
          </w:tcPr>
          <w:p w14:paraId="38F2B04C">
            <w:pPr>
              <w:spacing w:line="240" w:lineRule="auto"/>
              <w:jc w:val="center"/>
              <w:rPr>
                <w:sz w:val="21"/>
                <w:szCs w:val="21"/>
              </w:rPr>
            </w:pPr>
            <w:r>
              <w:rPr>
                <w:rFonts w:hint="eastAsia"/>
                <w:sz w:val="21"/>
                <w:szCs w:val="21"/>
              </w:rPr>
              <w:t xml:space="preserve">2.92 </w:t>
            </w:r>
          </w:p>
        </w:tc>
        <w:tc>
          <w:tcPr>
            <w:tcW w:w="845" w:type="dxa"/>
            <w:tcBorders>
              <w:top w:val="single" w:color="000000" w:sz="6" w:space="0"/>
              <w:left w:val="single" w:color="000000" w:sz="6" w:space="0"/>
              <w:bottom w:val="single" w:color="000000" w:sz="6" w:space="0"/>
              <w:right w:val="single" w:color="000000" w:sz="6" w:space="0"/>
            </w:tcBorders>
            <w:vAlign w:val="bottom"/>
          </w:tcPr>
          <w:p w14:paraId="265D1DE6">
            <w:pPr>
              <w:spacing w:line="240" w:lineRule="auto"/>
              <w:jc w:val="center"/>
              <w:rPr>
                <w:sz w:val="21"/>
                <w:szCs w:val="21"/>
              </w:rPr>
            </w:pPr>
            <w:r>
              <w:rPr>
                <w:rFonts w:hint="eastAsia"/>
                <w:sz w:val="21"/>
                <w:szCs w:val="21"/>
              </w:rPr>
              <w:t xml:space="preserve">6.94 </w:t>
            </w:r>
          </w:p>
        </w:tc>
        <w:tc>
          <w:tcPr>
            <w:tcW w:w="846" w:type="dxa"/>
            <w:tcBorders>
              <w:top w:val="single" w:color="000000" w:sz="6" w:space="0"/>
              <w:left w:val="single" w:color="000000" w:sz="6" w:space="0"/>
              <w:bottom w:val="single" w:color="000000" w:sz="6" w:space="0"/>
              <w:right w:val="single" w:color="000000" w:sz="6" w:space="0"/>
            </w:tcBorders>
            <w:vAlign w:val="bottom"/>
          </w:tcPr>
          <w:p w14:paraId="2F403E6E">
            <w:pPr>
              <w:spacing w:line="240" w:lineRule="auto"/>
              <w:jc w:val="center"/>
              <w:rPr>
                <w:sz w:val="21"/>
                <w:szCs w:val="21"/>
              </w:rPr>
            </w:pPr>
            <w:r>
              <w:rPr>
                <w:rFonts w:hint="eastAsia"/>
                <w:sz w:val="21"/>
                <w:szCs w:val="21"/>
              </w:rPr>
              <w:t xml:space="preserve">17.50 </w:t>
            </w:r>
          </w:p>
        </w:tc>
        <w:tc>
          <w:tcPr>
            <w:tcW w:w="788" w:type="dxa"/>
            <w:tcBorders>
              <w:top w:val="single" w:color="000000" w:sz="6" w:space="0"/>
              <w:left w:val="single" w:color="000000" w:sz="6" w:space="0"/>
              <w:bottom w:val="single" w:color="000000" w:sz="6" w:space="0"/>
            </w:tcBorders>
            <w:vAlign w:val="bottom"/>
          </w:tcPr>
          <w:p w14:paraId="22EEED3F">
            <w:pPr>
              <w:spacing w:line="240" w:lineRule="auto"/>
              <w:jc w:val="center"/>
              <w:rPr>
                <w:sz w:val="21"/>
                <w:szCs w:val="21"/>
              </w:rPr>
            </w:pPr>
            <w:r>
              <w:rPr>
                <w:rFonts w:hint="eastAsia"/>
                <w:sz w:val="21"/>
                <w:szCs w:val="21"/>
              </w:rPr>
              <w:t xml:space="preserve">7.22 </w:t>
            </w:r>
          </w:p>
        </w:tc>
      </w:tr>
      <w:tr w14:paraId="1521B74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0D2A152">
            <w:pPr>
              <w:spacing w:line="240" w:lineRule="auto"/>
              <w:jc w:val="center"/>
              <w:rPr>
                <w:sz w:val="21"/>
                <w:szCs w:val="21"/>
              </w:rPr>
            </w:pPr>
            <w:r>
              <w:rPr>
                <w:sz w:val="21"/>
                <w:szCs w:val="21"/>
              </w:rPr>
              <w:t>5月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B31744B">
            <w:pPr>
              <w:spacing w:line="240" w:lineRule="auto"/>
              <w:jc w:val="center"/>
              <w:rPr>
                <w:sz w:val="21"/>
                <w:szCs w:val="21"/>
              </w:rPr>
            </w:pPr>
            <w:r>
              <w:rPr>
                <w:rFonts w:hint="eastAsia"/>
                <w:sz w:val="21"/>
                <w:szCs w:val="21"/>
              </w:rPr>
              <w:t xml:space="preserve">19.09 </w:t>
            </w:r>
          </w:p>
        </w:tc>
        <w:tc>
          <w:tcPr>
            <w:tcW w:w="915" w:type="dxa"/>
            <w:tcBorders>
              <w:top w:val="single" w:color="000000" w:sz="6" w:space="0"/>
              <w:left w:val="single" w:color="000000" w:sz="6" w:space="0"/>
              <w:bottom w:val="single" w:color="000000" w:sz="6" w:space="0"/>
              <w:right w:val="single" w:color="000000" w:sz="6" w:space="0"/>
            </w:tcBorders>
            <w:vAlign w:val="bottom"/>
          </w:tcPr>
          <w:p w14:paraId="02201CE3">
            <w:pPr>
              <w:spacing w:line="240" w:lineRule="auto"/>
              <w:jc w:val="center"/>
              <w:rPr>
                <w:sz w:val="21"/>
                <w:szCs w:val="21"/>
              </w:rPr>
            </w:pPr>
            <w:r>
              <w:rPr>
                <w:rFonts w:hint="eastAsia"/>
                <w:sz w:val="21"/>
                <w:szCs w:val="21"/>
              </w:rPr>
              <w:t xml:space="preserve">5.38 </w:t>
            </w:r>
          </w:p>
        </w:tc>
        <w:tc>
          <w:tcPr>
            <w:tcW w:w="732" w:type="dxa"/>
            <w:tcBorders>
              <w:top w:val="single" w:color="000000" w:sz="6" w:space="0"/>
              <w:left w:val="single" w:color="000000" w:sz="6" w:space="0"/>
              <w:bottom w:val="single" w:color="000000" w:sz="6" w:space="0"/>
              <w:right w:val="single" w:color="000000" w:sz="6" w:space="0"/>
            </w:tcBorders>
            <w:vAlign w:val="bottom"/>
          </w:tcPr>
          <w:p w14:paraId="333F8B55">
            <w:pPr>
              <w:spacing w:line="240" w:lineRule="auto"/>
              <w:jc w:val="center"/>
              <w:rPr>
                <w:sz w:val="21"/>
                <w:szCs w:val="21"/>
              </w:rPr>
            </w:pPr>
            <w:r>
              <w:rPr>
                <w:rFonts w:hint="eastAsia"/>
                <w:sz w:val="21"/>
                <w:szCs w:val="21"/>
              </w:rPr>
              <w:t xml:space="preserve">3.76 </w:t>
            </w:r>
          </w:p>
        </w:tc>
        <w:tc>
          <w:tcPr>
            <w:tcW w:w="977" w:type="dxa"/>
            <w:tcBorders>
              <w:top w:val="single" w:color="000000" w:sz="6" w:space="0"/>
              <w:left w:val="single" w:color="000000" w:sz="6" w:space="0"/>
              <w:bottom w:val="single" w:color="000000" w:sz="6" w:space="0"/>
              <w:right w:val="single" w:color="000000" w:sz="6" w:space="0"/>
            </w:tcBorders>
            <w:vAlign w:val="bottom"/>
          </w:tcPr>
          <w:p w14:paraId="5006C653">
            <w:pPr>
              <w:spacing w:line="240" w:lineRule="auto"/>
              <w:jc w:val="center"/>
              <w:rPr>
                <w:sz w:val="21"/>
                <w:szCs w:val="21"/>
              </w:rPr>
            </w:pPr>
            <w:r>
              <w:rPr>
                <w:rFonts w:hint="eastAsia"/>
                <w:sz w:val="21"/>
                <w:szCs w:val="21"/>
              </w:rPr>
              <w:t xml:space="preserve">1.61 </w:t>
            </w:r>
          </w:p>
        </w:tc>
        <w:tc>
          <w:tcPr>
            <w:tcW w:w="675" w:type="dxa"/>
            <w:tcBorders>
              <w:top w:val="single" w:color="000000" w:sz="6" w:space="0"/>
              <w:left w:val="single" w:color="000000" w:sz="6" w:space="0"/>
              <w:bottom w:val="single" w:color="000000" w:sz="6" w:space="0"/>
              <w:right w:val="single" w:color="000000" w:sz="6" w:space="0"/>
            </w:tcBorders>
            <w:vAlign w:val="bottom"/>
          </w:tcPr>
          <w:p w14:paraId="5F71285E">
            <w:pPr>
              <w:spacing w:line="240" w:lineRule="auto"/>
              <w:jc w:val="center"/>
              <w:rPr>
                <w:sz w:val="21"/>
                <w:szCs w:val="21"/>
              </w:rPr>
            </w:pPr>
            <w:r>
              <w:rPr>
                <w:rFonts w:hint="eastAsia"/>
                <w:sz w:val="21"/>
                <w:szCs w:val="21"/>
              </w:rPr>
              <w:t xml:space="preserve">1.08 </w:t>
            </w:r>
          </w:p>
        </w:tc>
        <w:tc>
          <w:tcPr>
            <w:tcW w:w="895" w:type="dxa"/>
            <w:tcBorders>
              <w:top w:val="single" w:color="000000" w:sz="6" w:space="0"/>
              <w:left w:val="single" w:color="000000" w:sz="6" w:space="0"/>
              <w:bottom w:val="single" w:color="000000" w:sz="6" w:space="0"/>
              <w:right w:val="single" w:color="000000" w:sz="6" w:space="0"/>
            </w:tcBorders>
            <w:vAlign w:val="bottom"/>
          </w:tcPr>
          <w:p w14:paraId="2BCF2C29">
            <w:pPr>
              <w:spacing w:line="240" w:lineRule="auto"/>
              <w:jc w:val="center"/>
              <w:rPr>
                <w:sz w:val="21"/>
                <w:szCs w:val="21"/>
              </w:rPr>
            </w:pPr>
            <w:r>
              <w:rPr>
                <w:rFonts w:hint="eastAsia"/>
                <w:sz w:val="21"/>
                <w:szCs w:val="21"/>
              </w:rPr>
              <w:t xml:space="preserve">1.34 </w:t>
            </w:r>
          </w:p>
        </w:tc>
        <w:tc>
          <w:tcPr>
            <w:tcW w:w="845" w:type="dxa"/>
            <w:tcBorders>
              <w:top w:val="single" w:color="000000" w:sz="6" w:space="0"/>
              <w:left w:val="single" w:color="000000" w:sz="6" w:space="0"/>
              <w:bottom w:val="single" w:color="000000" w:sz="6" w:space="0"/>
              <w:right w:val="single" w:color="000000" w:sz="6" w:space="0"/>
            </w:tcBorders>
            <w:vAlign w:val="bottom"/>
          </w:tcPr>
          <w:p w14:paraId="5FE84D2C">
            <w:pPr>
              <w:spacing w:line="240" w:lineRule="auto"/>
              <w:jc w:val="center"/>
              <w:rPr>
                <w:sz w:val="21"/>
                <w:szCs w:val="21"/>
              </w:rPr>
            </w:pPr>
            <w:r>
              <w:rPr>
                <w:rFonts w:hint="eastAsia"/>
                <w:sz w:val="21"/>
                <w:szCs w:val="21"/>
              </w:rPr>
              <w:t xml:space="preserve">2.96 </w:t>
            </w:r>
          </w:p>
        </w:tc>
        <w:tc>
          <w:tcPr>
            <w:tcW w:w="846" w:type="dxa"/>
            <w:tcBorders>
              <w:top w:val="single" w:color="000000" w:sz="6" w:space="0"/>
              <w:left w:val="single" w:color="000000" w:sz="6" w:space="0"/>
              <w:bottom w:val="single" w:color="000000" w:sz="6" w:space="0"/>
              <w:right w:val="single" w:color="000000" w:sz="6" w:space="0"/>
            </w:tcBorders>
            <w:vAlign w:val="bottom"/>
          </w:tcPr>
          <w:p w14:paraId="593BC9C1">
            <w:pPr>
              <w:spacing w:line="240" w:lineRule="auto"/>
              <w:jc w:val="center"/>
              <w:rPr>
                <w:sz w:val="21"/>
                <w:szCs w:val="21"/>
              </w:rPr>
            </w:pPr>
            <w:r>
              <w:rPr>
                <w:rFonts w:hint="eastAsia"/>
                <w:sz w:val="21"/>
                <w:szCs w:val="21"/>
              </w:rPr>
              <w:t xml:space="preserve">7.80 </w:t>
            </w:r>
          </w:p>
        </w:tc>
        <w:tc>
          <w:tcPr>
            <w:tcW w:w="788" w:type="dxa"/>
            <w:tcBorders>
              <w:top w:val="single" w:color="000000" w:sz="6" w:space="0"/>
              <w:left w:val="single" w:color="000000" w:sz="6" w:space="0"/>
              <w:bottom w:val="single" w:color="000000" w:sz="6" w:space="0"/>
            </w:tcBorders>
            <w:vAlign w:val="bottom"/>
          </w:tcPr>
          <w:p w14:paraId="6229E774">
            <w:pPr>
              <w:spacing w:line="240" w:lineRule="auto"/>
              <w:jc w:val="center"/>
              <w:rPr>
                <w:sz w:val="21"/>
                <w:szCs w:val="21"/>
              </w:rPr>
            </w:pPr>
            <w:r>
              <w:rPr>
                <w:rFonts w:hint="eastAsia"/>
                <w:sz w:val="21"/>
                <w:szCs w:val="21"/>
              </w:rPr>
              <w:t xml:space="preserve">6.59 </w:t>
            </w:r>
          </w:p>
        </w:tc>
      </w:tr>
      <w:tr w14:paraId="3B53489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331FC257">
            <w:pPr>
              <w:spacing w:line="240" w:lineRule="auto"/>
              <w:jc w:val="center"/>
              <w:rPr>
                <w:sz w:val="21"/>
                <w:szCs w:val="21"/>
              </w:rPr>
            </w:pPr>
            <w:r>
              <w:rPr>
                <w:sz w:val="21"/>
                <w:szCs w:val="21"/>
              </w:rPr>
              <w:t>6月</w:t>
            </w:r>
          </w:p>
        </w:tc>
        <w:tc>
          <w:tcPr>
            <w:tcW w:w="845" w:type="dxa"/>
            <w:tcBorders>
              <w:top w:val="single" w:color="000000" w:sz="6" w:space="0"/>
              <w:left w:val="single" w:color="000000" w:sz="6" w:space="0"/>
              <w:bottom w:val="single" w:color="000000" w:sz="6" w:space="0"/>
              <w:right w:val="single" w:color="000000" w:sz="6" w:space="0"/>
            </w:tcBorders>
            <w:vAlign w:val="bottom"/>
          </w:tcPr>
          <w:p w14:paraId="151994B2">
            <w:pPr>
              <w:spacing w:line="240" w:lineRule="auto"/>
              <w:jc w:val="center"/>
              <w:rPr>
                <w:sz w:val="21"/>
                <w:szCs w:val="21"/>
              </w:rPr>
            </w:pPr>
            <w:r>
              <w:rPr>
                <w:rFonts w:hint="eastAsia"/>
                <w:sz w:val="21"/>
                <w:szCs w:val="21"/>
              </w:rPr>
              <w:t xml:space="preserve">6.39 </w:t>
            </w:r>
          </w:p>
        </w:tc>
        <w:tc>
          <w:tcPr>
            <w:tcW w:w="915" w:type="dxa"/>
            <w:tcBorders>
              <w:top w:val="single" w:color="000000" w:sz="6" w:space="0"/>
              <w:left w:val="single" w:color="000000" w:sz="6" w:space="0"/>
              <w:bottom w:val="single" w:color="000000" w:sz="6" w:space="0"/>
              <w:right w:val="single" w:color="000000" w:sz="6" w:space="0"/>
            </w:tcBorders>
            <w:vAlign w:val="bottom"/>
          </w:tcPr>
          <w:p w14:paraId="44B0651B">
            <w:pPr>
              <w:spacing w:line="240" w:lineRule="auto"/>
              <w:jc w:val="center"/>
              <w:rPr>
                <w:sz w:val="21"/>
                <w:szCs w:val="21"/>
              </w:rPr>
            </w:pPr>
            <w:r>
              <w:rPr>
                <w:rFonts w:hint="eastAsia"/>
                <w:sz w:val="21"/>
                <w:szCs w:val="21"/>
              </w:rPr>
              <w:t xml:space="preserve">5.56 </w:t>
            </w:r>
          </w:p>
        </w:tc>
        <w:tc>
          <w:tcPr>
            <w:tcW w:w="732" w:type="dxa"/>
            <w:tcBorders>
              <w:top w:val="single" w:color="000000" w:sz="6" w:space="0"/>
              <w:left w:val="single" w:color="000000" w:sz="6" w:space="0"/>
              <w:bottom w:val="single" w:color="000000" w:sz="6" w:space="0"/>
              <w:right w:val="single" w:color="000000" w:sz="6" w:space="0"/>
            </w:tcBorders>
            <w:vAlign w:val="bottom"/>
          </w:tcPr>
          <w:p w14:paraId="73B7E191">
            <w:pPr>
              <w:spacing w:line="240" w:lineRule="auto"/>
              <w:jc w:val="center"/>
              <w:rPr>
                <w:sz w:val="21"/>
                <w:szCs w:val="21"/>
              </w:rPr>
            </w:pPr>
            <w:r>
              <w:rPr>
                <w:rFonts w:hint="eastAsia"/>
                <w:sz w:val="21"/>
                <w:szCs w:val="21"/>
              </w:rPr>
              <w:t xml:space="preserve">4.31 </w:t>
            </w:r>
          </w:p>
        </w:tc>
        <w:tc>
          <w:tcPr>
            <w:tcW w:w="977" w:type="dxa"/>
            <w:tcBorders>
              <w:top w:val="single" w:color="000000" w:sz="6" w:space="0"/>
              <w:left w:val="single" w:color="000000" w:sz="6" w:space="0"/>
              <w:bottom w:val="single" w:color="000000" w:sz="6" w:space="0"/>
              <w:right w:val="single" w:color="000000" w:sz="6" w:space="0"/>
            </w:tcBorders>
            <w:vAlign w:val="bottom"/>
          </w:tcPr>
          <w:p w14:paraId="246DF527">
            <w:pPr>
              <w:spacing w:line="240" w:lineRule="auto"/>
              <w:jc w:val="center"/>
              <w:rPr>
                <w:sz w:val="21"/>
                <w:szCs w:val="21"/>
              </w:rPr>
            </w:pPr>
            <w:r>
              <w:rPr>
                <w:rFonts w:hint="eastAsia"/>
                <w:sz w:val="21"/>
                <w:szCs w:val="21"/>
              </w:rPr>
              <w:t xml:space="preserve">4.44 </w:t>
            </w:r>
          </w:p>
        </w:tc>
        <w:tc>
          <w:tcPr>
            <w:tcW w:w="675" w:type="dxa"/>
            <w:tcBorders>
              <w:top w:val="single" w:color="000000" w:sz="6" w:space="0"/>
              <w:left w:val="single" w:color="000000" w:sz="6" w:space="0"/>
              <w:bottom w:val="single" w:color="000000" w:sz="6" w:space="0"/>
              <w:right w:val="single" w:color="000000" w:sz="6" w:space="0"/>
            </w:tcBorders>
            <w:vAlign w:val="bottom"/>
          </w:tcPr>
          <w:p w14:paraId="3866D18F">
            <w:pPr>
              <w:spacing w:line="240" w:lineRule="auto"/>
              <w:jc w:val="center"/>
              <w:rPr>
                <w:sz w:val="21"/>
                <w:szCs w:val="21"/>
              </w:rPr>
            </w:pPr>
            <w:r>
              <w:rPr>
                <w:rFonts w:hint="eastAsia"/>
                <w:sz w:val="21"/>
                <w:szCs w:val="21"/>
              </w:rPr>
              <w:t xml:space="preserve">2.22 </w:t>
            </w:r>
          </w:p>
        </w:tc>
        <w:tc>
          <w:tcPr>
            <w:tcW w:w="895" w:type="dxa"/>
            <w:tcBorders>
              <w:top w:val="single" w:color="000000" w:sz="6" w:space="0"/>
              <w:left w:val="single" w:color="000000" w:sz="6" w:space="0"/>
              <w:bottom w:val="single" w:color="000000" w:sz="6" w:space="0"/>
              <w:right w:val="single" w:color="000000" w:sz="6" w:space="0"/>
            </w:tcBorders>
            <w:vAlign w:val="bottom"/>
          </w:tcPr>
          <w:p w14:paraId="331F99D7">
            <w:pPr>
              <w:spacing w:line="240" w:lineRule="auto"/>
              <w:jc w:val="center"/>
              <w:rPr>
                <w:sz w:val="21"/>
                <w:szCs w:val="21"/>
              </w:rPr>
            </w:pPr>
            <w:r>
              <w:rPr>
                <w:rFonts w:hint="eastAsia"/>
                <w:sz w:val="21"/>
                <w:szCs w:val="21"/>
              </w:rPr>
              <w:t xml:space="preserve">1.94 </w:t>
            </w:r>
          </w:p>
        </w:tc>
        <w:tc>
          <w:tcPr>
            <w:tcW w:w="845" w:type="dxa"/>
            <w:tcBorders>
              <w:top w:val="single" w:color="000000" w:sz="6" w:space="0"/>
              <w:left w:val="single" w:color="000000" w:sz="6" w:space="0"/>
              <w:bottom w:val="single" w:color="000000" w:sz="6" w:space="0"/>
              <w:right w:val="single" w:color="000000" w:sz="6" w:space="0"/>
            </w:tcBorders>
            <w:vAlign w:val="bottom"/>
          </w:tcPr>
          <w:p w14:paraId="5A57D662">
            <w:pPr>
              <w:spacing w:line="240" w:lineRule="auto"/>
              <w:jc w:val="center"/>
              <w:rPr>
                <w:sz w:val="21"/>
                <w:szCs w:val="21"/>
              </w:rPr>
            </w:pPr>
            <w:r>
              <w:rPr>
                <w:rFonts w:hint="eastAsia"/>
                <w:sz w:val="21"/>
                <w:szCs w:val="21"/>
              </w:rPr>
              <w:t xml:space="preserve">6.81 </w:t>
            </w:r>
          </w:p>
        </w:tc>
        <w:tc>
          <w:tcPr>
            <w:tcW w:w="846" w:type="dxa"/>
            <w:tcBorders>
              <w:top w:val="single" w:color="000000" w:sz="6" w:space="0"/>
              <w:left w:val="single" w:color="000000" w:sz="6" w:space="0"/>
              <w:bottom w:val="single" w:color="000000" w:sz="6" w:space="0"/>
              <w:right w:val="single" w:color="000000" w:sz="6" w:space="0"/>
            </w:tcBorders>
            <w:vAlign w:val="bottom"/>
          </w:tcPr>
          <w:p w14:paraId="7D554006">
            <w:pPr>
              <w:spacing w:line="240" w:lineRule="auto"/>
              <w:jc w:val="center"/>
              <w:rPr>
                <w:sz w:val="21"/>
                <w:szCs w:val="21"/>
              </w:rPr>
            </w:pPr>
            <w:r>
              <w:rPr>
                <w:rFonts w:hint="eastAsia"/>
                <w:sz w:val="21"/>
                <w:szCs w:val="21"/>
              </w:rPr>
              <w:t xml:space="preserve">30.28 </w:t>
            </w:r>
          </w:p>
        </w:tc>
        <w:tc>
          <w:tcPr>
            <w:tcW w:w="788" w:type="dxa"/>
            <w:tcBorders>
              <w:top w:val="single" w:color="000000" w:sz="6" w:space="0"/>
              <w:left w:val="single" w:color="000000" w:sz="6" w:space="0"/>
              <w:bottom w:val="single" w:color="000000" w:sz="6" w:space="0"/>
            </w:tcBorders>
            <w:vAlign w:val="bottom"/>
          </w:tcPr>
          <w:p w14:paraId="3F4ABD2D">
            <w:pPr>
              <w:spacing w:line="240" w:lineRule="auto"/>
              <w:jc w:val="center"/>
              <w:rPr>
                <w:sz w:val="21"/>
                <w:szCs w:val="21"/>
              </w:rPr>
            </w:pPr>
            <w:r>
              <w:rPr>
                <w:rFonts w:hint="eastAsia"/>
                <w:sz w:val="21"/>
                <w:szCs w:val="21"/>
              </w:rPr>
              <w:t xml:space="preserve">15.28 </w:t>
            </w:r>
          </w:p>
        </w:tc>
      </w:tr>
      <w:tr w14:paraId="3120F59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35638A0">
            <w:pPr>
              <w:spacing w:line="240" w:lineRule="auto"/>
              <w:jc w:val="center"/>
              <w:rPr>
                <w:sz w:val="21"/>
                <w:szCs w:val="21"/>
              </w:rPr>
            </w:pPr>
            <w:r>
              <w:rPr>
                <w:sz w:val="21"/>
                <w:szCs w:val="21"/>
              </w:rPr>
              <w:t>7月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443BF14">
            <w:pPr>
              <w:spacing w:line="240" w:lineRule="auto"/>
              <w:jc w:val="center"/>
              <w:rPr>
                <w:sz w:val="21"/>
                <w:szCs w:val="21"/>
              </w:rPr>
            </w:pPr>
            <w:r>
              <w:rPr>
                <w:rFonts w:hint="eastAsia"/>
                <w:sz w:val="21"/>
                <w:szCs w:val="21"/>
              </w:rPr>
              <w:t xml:space="preserve">7.26 </w:t>
            </w:r>
          </w:p>
        </w:tc>
        <w:tc>
          <w:tcPr>
            <w:tcW w:w="915" w:type="dxa"/>
            <w:tcBorders>
              <w:top w:val="single" w:color="000000" w:sz="6" w:space="0"/>
              <w:left w:val="single" w:color="000000" w:sz="6" w:space="0"/>
              <w:bottom w:val="single" w:color="000000" w:sz="6" w:space="0"/>
              <w:right w:val="single" w:color="000000" w:sz="6" w:space="0"/>
            </w:tcBorders>
            <w:vAlign w:val="bottom"/>
          </w:tcPr>
          <w:p w14:paraId="59763C4A">
            <w:pPr>
              <w:spacing w:line="240" w:lineRule="auto"/>
              <w:jc w:val="center"/>
              <w:rPr>
                <w:sz w:val="21"/>
                <w:szCs w:val="21"/>
              </w:rPr>
            </w:pPr>
            <w:r>
              <w:rPr>
                <w:rFonts w:hint="eastAsia"/>
                <w:sz w:val="21"/>
                <w:szCs w:val="21"/>
              </w:rPr>
              <w:t xml:space="preserve">5.51 </w:t>
            </w:r>
          </w:p>
        </w:tc>
        <w:tc>
          <w:tcPr>
            <w:tcW w:w="732" w:type="dxa"/>
            <w:tcBorders>
              <w:top w:val="single" w:color="000000" w:sz="6" w:space="0"/>
              <w:left w:val="single" w:color="000000" w:sz="6" w:space="0"/>
              <w:bottom w:val="single" w:color="000000" w:sz="6" w:space="0"/>
              <w:right w:val="single" w:color="000000" w:sz="6" w:space="0"/>
            </w:tcBorders>
            <w:vAlign w:val="bottom"/>
          </w:tcPr>
          <w:p w14:paraId="1BA7D5B5">
            <w:pPr>
              <w:spacing w:line="240" w:lineRule="auto"/>
              <w:jc w:val="center"/>
              <w:rPr>
                <w:sz w:val="21"/>
                <w:szCs w:val="21"/>
              </w:rPr>
            </w:pPr>
            <w:r>
              <w:rPr>
                <w:rFonts w:hint="eastAsia"/>
                <w:sz w:val="21"/>
                <w:szCs w:val="21"/>
              </w:rPr>
              <w:t xml:space="preserve">1.48 </w:t>
            </w:r>
          </w:p>
        </w:tc>
        <w:tc>
          <w:tcPr>
            <w:tcW w:w="977" w:type="dxa"/>
            <w:tcBorders>
              <w:top w:val="single" w:color="000000" w:sz="6" w:space="0"/>
              <w:left w:val="single" w:color="000000" w:sz="6" w:space="0"/>
              <w:bottom w:val="single" w:color="000000" w:sz="6" w:space="0"/>
              <w:right w:val="single" w:color="000000" w:sz="6" w:space="0"/>
            </w:tcBorders>
            <w:vAlign w:val="bottom"/>
          </w:tcPr>
          <w:p w14:paraId="52B9C2C9">
            <w:pPr>
              <w:spacing w:line="240" w:lineRule="auto"/>
              <w:jc w:val="center"/>
              <w:rPr>
                <w:sz w:val="21"/>
                <w:szCs w:val="21"/>
              </w:rPr>
            </w:pPr>
            <w:r>
              <w:rPr>
                <w:rFonts w:hint="eastAsia"/>
                <w:sz w:val="21"/>
                <w:szCs w:val="21"/>
              </w:rPr>
              <w:t xml:space="preserve">2.96 </w:t>
            </w:r>
          </w:p>
        </w:tc>
        <w:tc>
          <w:tcPr>
            <w:tcW w:w="675" w:type="dxa"/>
            <w:tcBorders>
              <w:top w:val="single" w:color="000000" w:sz="6" w:space="0"/>
              <w:left w:val="single" w:color="000000" w:sz="6" w:space="0"/>
              <w:bottom w:val="single" w:color="000000" w:sz="6" w:space="0"/>
              <w:right w:val="single" w:color="000000" w:sz="6" w:space="0"/>
            </w:tcBorders>
            <w:vAlign w:val="bottom"/>
          </w:tcPr>
          <w:p w14:paraId="02186057">
            <w:pPr>
              <w:spacing w:line="240" w:lineRule="auto"/>
              <w:jc w:val="center"/>
              <w:rPr>
                <w:sz w:val="21"/>
                <w:szCs w:val="21"/>
              </w:rPr>
            </w:pPr>
            <w:r>
              <w:rPr>
                <w:rFonts w:hint="eastAsia"/>
                <w:sz w:val="21"/>
                <w:szCs w:val="21"/>
              </w:rPr>
              <w:t xml:space="preserve">0.67 </w:t>
            </w:r>
          </w:p>
        </w:tc>
        <w:tc>
          <w:tcPr>
            <w:tcW w:w="895" w:type="dxa"/>
            <w:tcBorders>
              <w:top w:val="single" w:color="000000" w:sz="6" w:space="0"/>
              <w:left w:val="single" w:color="000000" w:sz="6" w:space="0"/>
              <w:bottom w:val="single" w:color="000000" w:sz="6" w:space="0"/>
              <w:right w:val="single" w:color="000000" w:sz="6" w:space="0"/>
            </w:tcBorders>
            <w:vAlign w:val="bottom"/>
          </w:tcPr>
          <w:p w14:paraId="4720CEB7">
            <w:pPr>
              <w:spacing w:line="240" w:lineRule="auto"/>
              <w:jc w:val="center"/>
              <w:rPr>
                <w:sz w:val="21"/>
                <w:szCs w:val="21"/>
              </w:rPr>
            </w:pPr>
            <w:r>
              <w:rPr>
                <w:rFonts w:hint="eastAsia"/>
                <w:sz w:val="21"/>
                <w:szCs w:val="21"/>
              </w:rPr>
              <w:t xml:space="preserve">0.54 </w:t>
            </w:r>
          </w:p>
        </w:tc>
        <w:tc>
          <w:tcPr>
            <w:tcW w:w="845" w:type="dxa"/>
            <w:tcBorders>
              <w:top w:val="single" w:color="000000" w:sz="6" w:space="0"/>
              <w:left w:val="single" w:color="000000" w:sz="6" w:space="0"/>
              <w:bottom w:val="single" w:color="000000" w:sz="6" w:space="0"/>
              <w:right w:val="single" w:color="000000" w:sz="6" w:space="0"/>
            </w:tcBorders>
            <w:vAlign w:val="bottom"/>
          </w:tcPr>
          <w:p w14:paraId="5B279E99">
            <w:pPr>
              <w:spacing w:line="240" w:lineRule="auto"/>
              <w:jc w:val="center"/>
              <w:rPr>
                <w:sz w:val="21"/>
                <w:szCs w:val="21"/>
              </w:rPr>
            </w:pPr>
            <w:r>
              <w:rPr>
                <w:rFonts w:hint="eastAsia"/>
                <w:sz w:val="21"/>
                <w:szCs w:val="21"/>
              </w:rPr>
              <w:t xml:space="preserve">3.63 </w:t>
            </w:r>
          </w:p>
        </w:tc>
        <w:tc>
          <w:tcPr>
            <w:tcW w:w="846" w:type="dxa"/>
            <w:tcBorders>
              <w:top w:val="single" w:color="000000" w:sz="6" w:space="0"/>
              <w:left w:val="single" w:color="000000" w:sz="6" w:space="0"/>
              <w:bottom w:val="single" w:color="000000" w:sz="6" w:space="0"/>
              <w:right w:val="single" w:color="000000" w:sz="6" w:space="0"/>
            </w:tcBorders>
            <w:vAlign w:val="bottom"/>
          </w:tcPr>
          <w:p w14:paraId="400B3B04">
            <w:pPr>
              <w:spacing w:line="240" w:lineRule="auto"/>
              <w:jc w:val="center"/>
              <w:rPr>
                <w:sz w:val="21"/>
                <w:szCs w:val="21"/>
              </w:rPr>
            </w:pPr>
            <w:r>
              <w:rPr>
                <w:rFonts w:hint="eastAsia"/>
                <w:sz w:val="21"/>
                <w:szCs w:val="21"/>
              </w:rPr>
              <w:t xml:space="preserve">28.63 </w:t>
            </w:r>
          </w:p>
        </w:tc>
        <w:tc>
          <w:tcPr>
            <w:tcW w:w="788" w:type="dxa"/>
            <w:tcBorders>
              <w:top w:val="single" w:color="000000" w:sz="6" w:space="0"/>
              <w:left w:val="single" w:color="000000" w:sz="6" w:space="0"/>
              <w:bottom w:val="single" w:color="000000" w:sz="6" w:space="0"/>
            </w:tcBorders>
            <w:vAlign w:val="bottom"/>
          </w:tcPr>
          <w:p w14:paraId="372536E9">
            <w:pPr>
              <w:spacing w:line="240" w:lineRule="auto"/>
              <w:jc w:val="center"/>
              <w:rPr>
                <w:sz w:val="21"/>
                <w:szCs w:val="21"/>
              </w:rPr>
            </w:pPr>
            <w:r>
              <w:rPr>
                <w:rFonts w:hint="eastAsia"/>
                <w:sz w:val="21"/>
                <w:szCs w:val="21"/>
              </w:rPr>
              <w:t xml:space="preserve">19.62 </w:t>
            </w:r>
          </w:p>
        </w:tc>
      </w:tr>
      <w:tr w14:paraId="047406B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5A926BAA">
            <w:pPr>
              <w:spacing w:line="240" w:lineRule="auto"/>
              <w:jc w:val="center"/>
              <w:rPr>
                <w:sz w:val="21"/>
                <w:szCs w:val="21"/>
              </w:rPr>
            </w:pPr>
            <w:r>
              <w:rPr>
                <w:sz w:val="21"/>
                <w:szCs w:val="21"/>
              </w:rPr>
              <w:t>8月</w:t>
            </w:r>
          </w:p>
        </w:tc>
        <w:tc>
          <w:tcPr>
            <w:tcW w:w="845" w:type="dxa"/>
            <w:tcBorders>
              <w:top w:val="single" w:color="000000" w:sz="6" w:space="0"/>
              <w:left w:val="single" w:color="000000" w:sz="6" w:space="0"/>
              <w:bottom w:val="single" w:color="000000" w:sz="6" w:space="0"/>
              <w:right w:val="single" w:color="000000" w:sz="6" w:space="0"/>
            </w:tcBorders>
            <w:vAlign w:val="bottom"/>
          </w:tcPr>
          <w:p w14:paraId="70527876">
            <w:pPr>
              <w:spacing w:line="240" w:lineRule="auto"/>
              <w:jc w:val="center"/>
              <w:rPr>
                <w:sz w:val="21"/>
                <w:szCs w:val="21"/>
              </w:rPr>
            </w:pPr>
            <w:r>
              <w:rPr>
                <w:rFonts w:hint="eastAsia"/>
                <w:sz w:val="21"/>
                <w:szCs w:val="21"/>
              </w:rPr>
              <w:t xml:space="preserve">8.20 </w:t>
            </w:r>
          </w:p>
        </w:tc>
        <w:tc>
          <w:tcPr>
            <w:tcW w:w="915" w:type="dxa"/>
            <w:tcBorders>
              <w:top w:val="single" w:color="000000" w:sz="6" w:space="0"/>
              <w:left w:val="single" w:color="000000" w:sz="6" w:space="0"/>
              <w:bottom w:val="single" w:color="000000" w:sz="6" w:space="0"/>
              <w:right w:val="single" w:color="000000" w:sz="6" w:space="0"/>
            </w:tcBorders>
            <w:vAlign w:val="bottom"/>
          </w:tcPr>
          <w:p w14:paraId="44177CCC">
            <w:pPr>
              <w:spacing w:line="240" w:lineRule="auto"/>
              <w:jc w:val="center"/>
              <w:rPr>
                <w:sz w:val="21"/>
                <w:szCs w:val="21"/>
              </w:rPr>
            </w:pPr>
            <w:r>
              <w:rPr>
                <w:rFonts w:hint="eastAsia"/>
                <w:sz w:val="21"/>
                <w:szCs w:val="21"/>
              </w:rPr>
              <w:t xml:space="preserve">2.15 </w:t>
            </w:r>
          </w:p>
        </w:tc>
        <w:tc>
          <w:tcPr>
            <w:tcW w:w="732" w:type="dxa"/>
            <w:tcBorders>
              <w:top w:val="single" w:color="000000" w:sz="6" w:space="0"/>
              <w:left w:val="single" w:color="000000" w:sz="6" w:space="0"/>
              <w:bottom w:val="single" w:color="000000" w:sz="6" w:space="0"/>
              <w:right w:val="single" w:color="000000" w:sz="6" w:space="0"/>
            </w:tcBorders>
            <w:vAlign w:val="bottom"/>
          </w:tcPr>
          <w:p w14:paraId="13E49B3B">
            <w:pPr>
              <w:spacing w:line="240" w:lineRule="auto"/>
              <w:jc w:val="center"/>
              <w:rPr>
                <w:sz w:val="21"/>
                <w:szCs w:val="21"/>
              </w:rPr>
            </w:pPr>
            <w:r>
              <w:rPr>
                <w:rFonts w:hint="eastAsia"/>
                <w:sz w:val="21"/>
                <w:szCs w:val="21"/>
              </w:rPr>
              <w:t xml:space="preserve">0.94 </w:t>
            </w:r>
          </w:p>
        </w:tc>
        <w:tc>
          <w:tcPr>
            <w:tcW w:w="977" w:type="dxa"/>
            <w:tcBorders>
              <w:top w:val="single" w:color="000000" w:sz="6" w:space="0"/>
              <w:left w:val="single" w:color="000000" w:sz="6" w:space="0"/>
              <w:bottom w:val="single" w:color="000000" w:sz="6" w:space="0"/>
              <w:right w:val="single" w:color="000000" w:sz="6" w:space="0"/>
            </w:tcBorders>
            <w:vAlign w:val="bottom"/>
          </w:tcPr>
          <w:p w14:paraId="79853D93">
            <w:pPr>
              <w:spacing w:line="240" w:lineRule="auto"/>
              <w:jc w:val="center"/>
              <w:rPr>
                <w:sz w:val="21"/>
                <w:szCs w:val="21"/>
              </w:rPr>
            </w:pPr>
            <w:r>
              <w:rPr>
                <w:rFonts w:hint="eastAsia"/>
                <w:sz w:val="21"/>
                <w:szCs w:val="21"/>
              </w:rPr>
              <w:t xml:space="preserve">0.94 </w:t>
            </w:r>
          </w:p>
        </w:tc>
        <w:tc>
          <w:tcPr>
            <w:tcW w:w="675" w:type="dxa"/>
            <w:tcBorders>
              <w:top w:val="single" w:color="000000" w:sz="6" w:space="0"/>
              <w:left w:val="single" w:color="000000" w:sz="6" w:space="0"/>
              <w:bottom w:val="single" w:color="000000" w:sz="6" w:space="0"/>
              <w:right w:val="single" w:color="000000" w:sz="6" w:space="0"/>
            </w:tcBorders>
            <w:vAlign w:val="bottom"/>
          </w:tcPr>
          <w:p w14:paraId="6741C0CE">
            <w:pPr>
              <w:spacing w:line="240" w:lineRule="auto"/>
              <w:jc w:val="center"/>
              <w:rPr>
                <w:sz w:val="21"/>
                <w:szCs w:val="21"/>
              </w:rPr>
            </w:pPr>
            <w:r>
              <w:rPr>
                <w:rFonts w:hint="eastAsia"/>
                <w:sz w:val="21"/>
                <w:szCs w:val="21"/>
              </w:rPr>
              <w:t xml:space="preserve">0.67 </w:t>
            </w:r>
          </w:p>
        </w:tc>
        <w:tc>
          <w:tcPr>
            <w:tcW w:w="895" w:type="dxa"/>
            <w:tcBorders>
              <w:top w:val="single" w:color="000000" w:sz="6" w:space="0"/>
              <w:left w:val="single" w:color="000000" w:sz="6" w:space="0"/>
              <w:bottom w:val="single" w:color="000000" w:sz="6" w:space="0"/>
              <w:right w:val="single" w:color="000000" w:sz="6" w:space="0"/>
            </w:tcBorders>
            <w:vAlign w:val="bottom"/>
          </w:tcPr>
          <w:p w14:paraId="68A53EE3">
            <w:pPr>
              <w:spacing w:line="240" w:lineRule="auto"/>
              <w:jc w:val="center"/>
              <w:rPr>
                <w:sz w:val="21"/>
                <w:szCs w:val="21"/>
              </w:rPr>
            </w:pPr>
            <w:r>
              <w:rPr>
                <w:rFonts w:hint="eastAsia"/>
                <w:sz w:val="21"/>
                <w:szCs w:val="21"/>
              </w:rPr>
              <w:t xml:space="preserve">1.88 </w:t>
            </w:r>
          </w:p>
        </w:tc>
        <w:tc>
          <w:tcPr>
            <w:tcW w:w="845" w:type="dxa"/>
            <w:tcBorders>
              <w:top w:val="single" w:color="000000" w:sz="6" w:space="0"/>
              <w:left w:val="single" w:color="000000" w:sz="6" w:space="0"/>
              <w:bottom w:val="single" w:color="000000" w:sz="6" w:space="0"/>
              <w:right w:val="single" w:color="000000" w:sz="6" w:space="0"/>
            </w:tcBorders>
            <w:vAlign w:val="bottom"/>
          </w:tcPr>
          <w:p w14:paraId="5BC83F2A">
            <w:pPr>
              <w:spacing w:line="240" w:lineRule="auto"/>
              <w:jc w:val="center"/>
              <w:rPr>
                <w:sz w:val="21"/>
                <w:szCs w:val="21"/>
              </w:rPr>
            </w:pPr>
            <w:r>
              <w:rPr>
                <w:rFonts w:hint="eastAsia"/>
                <w:sz w:val="21"/>
                <w:szCs w:val="21"/>
              </w:rPr>
              <w:t xml:space="preserve">6.18 </w:t>
            </w:r>
          </w:p>
        </w:tc>
        <w:tc>
          <w:tcPr>
            <w:tcW w:w="846" w:type="dxa"/>
            <w:tcBorders>
              <w:top w:val="single" w:color="000000" w:sz="6" w:space="0"/>
              <w:left w:val="single" w:color="000000" w:sz="6" w:space="0"/>
              <w:bottom w:val="single" w:color="000000" w:sz="6" w:space="0"/>
              <w:right w:val="single" w:color="000000" w:sz="6" w:space="0"/>
            </w:tcBorders>
            <w:vAlign w:val="bottom"/>
          </w:tcPr>
          <w:p w14:paraId="7CF322E2">
            <w:pPr>
              <w:spacing w:line="240" w:lineRule="auto"/>
              <w:jc w:val="center"/>
              <w:rPr>
                <w:sz w:val="21"/>
                <w:szCs w:val="21"/>
              </w:rPr>
            </w:pPr>
            <w:r>
              <w:rPr>
                <w:rFonts w:hint="eastAsia"/>
                <w:sz w:val="21"/>
                <w:szCs w:val="21"/>
              </w:rPr>
              <w:t xml:space="preserve">34.95 </w:t>
            </w:r>
          </w:p>
        </w:tc>
        <w:tc>
          <w:tcPr>
            <w:tcW w:w="788" w:type="dxa"/>
            <w:tcBorders>
              <w:top w:val="single" w:color="000000" w:sz="6" w:space="0"/>
              <w:left w:val="single" w:color="000000" w:sz="6" w:space="0"/>
              <w:bottom w:val="single" w:color="000000" w:sz="6" w:space="0"/>
            </w:tcBorders>
            <w:vAlign w:val="bottom"/>
          </w:tcPr>
          <w:p w14:paraId="014D3E14">
            <w:pPr>
              <w:spacing w:line="240" w:lineRule="auto"/>
              <w:jc w:val="center"/>
              <w:rPr>
                <w:sz w:val="21"/>
                <w:szCs w:val="21"/>
              </w:rPr>
            </w:pPr>
            <w:r>
              <w:rPr>
                <w:rFonts w:hint="eastAsia"/>
                <w:sz w:val="21"/>
                <w:szCs w:val="21"/>
              </w:rPr>
              <w:t xml:space="preserve">19.09 </w:t>
            </w:r>
          </w:p>
        </w:tc>
      </w:tr>
      <w:tr w14:paraId="4CE250E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30766475">
            <w:pPr>
              <w:spacing w:line="240" w:lineRule="auto"/>
              <w:jc w:val="center"/>
              <w:rPr>
                <w:sz w:val="21"/>
                <w:szCs w:val="21"/>
              </w:rPr>
            </w:pPr>
            <w:r>
              <w:rPr>
                <w:sz w:val="21"/>
                <w:szCs w:val="21"/>
              </w:rPr>
              <w:t>9月</w:t>
            </w:r>
          </w:p>
        </w:tc>
        <w:tc>
          <w:tcPr>
            <w:tcW w:w="845" w:type="dxa"/>
            <w:tcBorders>
              <w:top w:val="single" w:color="000000" w:sz="6" w:space="0"/>
              <w:left w:val="single" w:color="000000" w:sz="6" w:space="0"/>
              <w:bottom w:val="single" w:color="000000" w:sz="6" w:space="0"/>
              <w:right w:val="single" w:color="000000" w:sz="6" w:space="0"/>
            </w:tcBorders>
            <w:vAlign w:val="bottom"/>
          </w:tcPr>
          <w:p w14:paraId="7F904EA0">
            <w:pPr>
              <w:spacing w:line="240" w:lineRule="auto"/>
              <w:jc w:val="center"/>
              <w:rPr>
                <w:sz w:val="21"/>
                <w:szCs w:val="21"/>
              </w:rPr>
            </w:pPr>
            <w:r>
              <w:rPr>
                <w:rFonts w:hint="eastAsia"/>
                <w:sz w:val="21"/>
                <w:szCs w:val="21"/>
              </w:rPr>
              <w:t xml:space="preserve">28.33 </w:t>
            </w:r>
          </w:p>
        </w:tc>
        <w:tc>
          <w:tcPr>
            <w:tcW w:w="915" w:type="dxa"/>
            <w:tcBorders>
              <w:top w:val="single" w:color="000000" w:sz="6" w:space="0"/>
              <w:left w:val="single" w:color="000000" w:sz="6" w:space="0"/>
              <w:bottom w:val="single" w:color="000000" w:sz="6" w:space="0"/>
              <w:right w:val="single" w:color="000000" w:sz="6" w:space="0"/>
            </w:tcBorders>
            <w:vAlign w:val="bottom"/>
          </w:tcPr>
          <w:p w14:paraId="7BD205F9">
            <w:pPr>
              <w:spacing w:line="240" w:lineRule="auto"/>
              <w:jc w:val="center"/>
              <w:rPr>
                <w:sz w:val="21"/>
                <w:szCs w:val="21"/>
              </w:rPr>
            </w:pPr>
            <w:r>
              <w:rPr>
                <w:rFonts w:hint="eastAsia"/>
                <w:sz w:val="21"/>
                <w:szCs w:val="21"/>
              </w:rPr>
              <w:t xml:space="preserve">6.39 </w:t>
            </w:r>
          </w:p>
        </w:tc>
        <w:tc>
          <w:tcPr>
            <w:tcW w:w="732" w:type="dxa"/>
            <w:tcBorders>
              <w:top w:val="single" w:color="000000" w:sz="6" w:space="0"/>
              <w:left w:val="single" w:color="000000" w:sz="6" w:space="0"/>
              <w:bottom w:val="single" w:color="000000" w:sz="6" w:space="0"/>
              <w:right w:val="single" w:color="000000" w:sz="6" w:space="0"/>
            </w:tcBorders>
            <w:vAlign w:val="bottom"/>
          </w:tcPr>
          <w:p w14:paraId="51486D87">
            <w:pPr>
              <w:spacing w:line="240" w:lineRule="auto"/>
              <w:jc w:val="center"/>
              <w:rPr>
                <w:sz w:val="21"/>
                <w:szCs w:val="21"/>
              </w:rPr>
            </w:pPr>
            <w:r>
              <w:rPr>
                <w:rFonts w:hint="eastAsia"/>
                <w:sz w:val="21"/>
                <w:szCs w:val="21"/>
              </w:rPr>
              <w:t xml:space="preserve">2.36 </w:t>
            </w:r>
          </w:p>
        </w:tc>
        <w:tc>
          <w:tcPr>
            <w:tcW w:w="977" w:type="dxa"/>
            <w:tcBorders>
              <w:top w:val="single" w:color="000000" w:sz="6" w:space="0"/>
              <w:left w:val="single" w:color="000000" w:sz="6" w:space="0"/>
              <w:bottom w:val="single" w:color="000000" w:sz="6" w:space="0"/>
              <w:right w:val="single" w:color="000000" w:sz="6" w:space="0"/>
            </w:tcBorders>
            <w:vAlign w:val="bottom"/>
          </w:tcPr>
          <w:p w14:paraId="3B2486BA">
            <w:pPr>
              <w:spacing w:line="240" w:lineRule="auto"/>
              <w:jc w:val="center"/>
              <w:rPr>
                <w:sz w:val="21"/>
                <w:szCs w:val="21"/>
              </w:rPr>
            </w:pPr>
            <w:r>
              <w:rPr>
                <w:rFonts w:hint="eastAsia"/>
                <w:sz w:val="21"/>
                <w:szCs w:val="21"/>
              </w:rPr>
              <w:t xml:space="preserve">2.22 </w:t>
            </w:r>
          </w:p>
        </w:tc>
        <w:tc>
          <w:tcPr>
            <w:tcW w:w="675" w:type="dxa"/>
            <w:tcBorders>
              <w:top w:val="single" w:color="000000" w:sz="6" w:space="0"/>
              <w:left w:val="single" w:color="000000" w:sz="6" w:space="0"/>
              <w:bottom w:val="single" w:color="000000" w:sz="6" w:space="0"/>
              <w:right w:val="single" w:color="000000" w:sz="6" w:space="0"/>
            </w:tcBorders>
            <w:vAlign w:val="bottom"/>
          </w:tcPr>
          <w:p w14:paraId="4D13B955">
            <w:pPr>
              <w:spacing w:line="240" w:lineRule="auto"/>
              <w:jc w:val="center"/>
              <w:rPr>
                <w:sz w:val="21"/>
                <w:szCs w:val="21"/>
              </w:rPr>
            </w:pPr>
            <w:r>
              <w:rPr>
                <w:rFonts w:hint="eastAsia"/>
                <w:sz w:val="21"/>
                <w:szCs w:val="21"/>
              </w:rPr>
              <w:t xml:space="preserve">1.81 </w:t>
            </w:r>
          </w:p>
        </w:tc>
        <w:tc>
          <w:tcPr>
            <w:tcW w:w="895" w:type="dxa"/>
            <w:tcBorders>
              <w:top w:val="single" w:color="000000" w:sz="6" w:space="0"/>
              <w:left w:val="single" w:color="000000" w:sz="6" w:space="0"/>
              <w:bottom w:val="single" w:color="000000" w:sz="6" w:space="0"/>
              <w:right w:val="single" w:color="000000" w:sz="6" w:space="0"/>
            </w:tcBorders>
            <w:vAlign w:val="bottom"/>
          </w:tcPr>
          <w:p w14:paraId="0979730B">
            <w:pPr>
              <w:spacing w:line="240" w:lineRule="auto"/>
              <w:jc w:val="center"/>
              <w:rPr>
                <w:sz w:val="21"/>
                <w:szCs w:val="21"/>
              </w:rPr>
            </w:pPr>
            <w:r>
              <w:rPr>
                <w:rFonts w:hint="eastAsia"/>
                <w:sz w:val="21"/>
                <w:szCs w:val="21"/>
              </w:rPr>
              <w:t xml:space="preserve">0.69 </w:t>
            </w:r>
          </w:p>
        </w:tc>
        <w:tc>
          <w:tcPr>
            <w:tcW w:w="845" w:type="dxa"/>
            <w:tcBorders>
              <w:top w:val="single" w:color="000000" w:sz="6" w:space="0"/>
              <w:left w:val="single" w:color="000000" w:sz="6" w:space="0"/>
              <w:bottom w:val="single" w:color="000000" w:sz="6" w:space="0"/>
              <w:right w:val="single" w:color="000000" w:sz="6" w:space="0"/>
            </w:tcBorders>
            <w:vAlign w:val="bottom"/>
          </w:tcPr>
          <w:p w14:paraId="69607D4F">
            <w:pPr>
              <w:spacing w:line="240" w:lineRule="auto"/>
              <w:jc w:val="center"/>
              <w:rPr>
                <w:sz w:val="21"/>
                <w:szCs w:val="21"/>
              </w:rPr>
            </w:pPr>
            <w:r>
              <w:rPr>
                <w:rFonts w:hint="eastAsia"/>
                <w:sz w:val="21"/>
                <w:szCs w:val="21"/>
              </w:rPr>
              <w:t xml:space="preserve">1.11 </w:t>
            </w:r>
          </w:p>
        </w:tc>
        <w:tc>
          <w:tcPr>
            <w:tcW w:w="846" w:type="dxa"/>
            <w:tcBorders>
              <w:top w:val="single" w:color="000000" w:sz="6" w:space="0"/>
              <w:left w:val="single" w:color="000000" w:sz="6" w:space="0"/>
              <w:bottom w:val="single" w:color="000000" w:sz="6" w:space="0"/>
              <w:right w:val="single" w:color="000000" w:sz="6" w:space="0"/>
            </w:tcBorders>
            <w:vAlign w:val="bottom"/>
          </w:tcPr>
          <w:p w14:paraId="5F2D31F0">
            <w:pPr>
              <w:spacing w:line="240" w:lineRule="auto"/>
              <w:jc w:val="center"/>
              <w:rPr>
                <w:sz w:val="21"/>
                <w:szCs w:val="21"/>
              </w:rPr>
            </w:pPr>
            <w:r>
              <w:rPr>
                <w:rFonts w:hint="eastAsia"/>
                <w:sz w:val="21"/>
                <w:szCs w:val="21"/>
              </w:rPr>
              <w:t xml:space="preserve">1.53 </w:t>
            </w:r>
          </w:p>
        </w:tc>
        <w:tc>
          <w:tcPr>
            <w:tcW w:w="788" w:type="dxa"/>
            <w:tcBorders>
              <w:top w:val="single" w:color="000000" w:sz="6" w:space="0"/>
              <w:left w:val="single" w:color="000000" w:sz="6" w:space="0"/>
              <w:bottom w:val="single" w:color="000000" w:sz="6" w:space="0"/>
            </w:tcBorders>
            <w:vAlign w:val="bottom"/>
          </w:tcPr>
          <w:p w14:paraId="5D05F627">
            <w:pPr>
              <w:spacing w:line="240" w:lineRule="auto"/>
              <w:jc w:val="center"/>
              <w:rPr>
                <w:sz w:val="21"/>
                <w:szCs w:val="21"/>
              </w:rPr>
            </w:pPr>
            <w:r>
              <w:rPr>
                <w:rFonts w:hint="eastAsia"/>
                <w:sz w:val="21"/>
                <w:szCs w:val="21"/>
              </w:rPr>
              <w:t xml:space="preserve">1.25 </w:t>
            </w:r>
          </w:p>
        </w:tc>
      </w:tr>
      <w:tr w14:paraId="71336CD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0ED6D80A">
            <w:pPr>
              <w:spacing w:line="240" w:lineRule="auto"/>
              <w:jc w:val="center"/>
              <w:rPr>
                <w:sz w:val="21"/>
                <w:szCs w:val="21"/>
              </w:rPr>
            </w:pPr>
            <w:r>
              <w:rPr>
                <w:sz w:val="21"/>
                <w:szCs w:val="21"/>
              </w:rPr>
              <w:t>10月</w:t>
            </w:r>
          </w:p>
        </w:tc>
        <w:tc>
          <w:tcPr>
            <w:tcW w:w="845" w:type="dxa"/>
            <w:tcBorders>
              <w:top w:val="single" w:color="000000" w:sz="6" w:space="0"/>
              <w:left w:val="single" w:color="000000" w:sz="6" w:space="0"/>
              <w:bottom w:val="single" w:color="000000" w:sz="6" w:space="0"/>
              <w:right w:val="single" w:color="000000" w:sz="6" w:space="0"/>
            </w:tcBorders>
            <w:vAlign w:val="bottom"/>
          </w:tcPr>
          <w:p w14:paraId="53CF34EB">
            <w:pPr>
              <w:spacing w:line="240" w:lineRule="auto"/>
              <w:jc w:val="center"/>
              <w:rPr>
                <w:sz w:val="21"/>
                <w:szCs w:val="21"/>
              </w:rPr>
            </w:pPr>
            <w:r>
              <w:rPr>
                <w:rFonts w:hint="eastAsia"/>
                <w:sz w:val="21"/>
                <w:szCs w:val="21"/>
              </w:rPr>
              <w:t xml:space="preserve">25.81 </w:t>
            </w:r>
          </w:p>
        </w:tc>
        <w:tc>
          <w:tcPr>
            <w:tcW w:w="915" w:type="dxa"/>
            <w:tcBorders>
              <w:top w:val="single" w:color="000000" w:sz="6" w:space="0"/>
              <w:left w:val="single" w:color="000000" w:sz="6" w:space="0"/>
              <w:bottom w:val="single" w:color="000000" w:sz="6" w:space="0"/>
              <w:right w:val="single" w:color="000000" w:sz="6" w:space="0"/>
            </w:tcBorders>
            <w:vAlign w:val="bottom"/>
          </w:tcPr>
          <w:p w14:paraId="4CE09ABD">
            <w:pPr>
              <w:spacing w:line="240" w:lineRule="auto"/>
              <w:jc w:val="center"/>
              <w:rPr>
                <w:sz w:val="21"/>
                <w:szCs w:val="21"/>
              </w:rPr>
            </w:pPr>
            <w:r>
              <w:rPr>
                <w:rFonts w:hint="eastAsia"/>
                <w:sz w:val="21"/>
                <w:szCs w:val="21"/>
              </w:rPr>
              <w:t xml:space="preserve">6.18 </w:t>
            </w:r>
          </w:p>
        </w:tc>
        <w:tc>
          <w:tcPr>
            <w:tcW w:w="732" w:type="dxa"/>
            <w:tcBorders>
              <w:top w:val="single" w:color="000000" w:sz="6" w:space="0"/>
              <w:left w:val="single" w:color="000000" w:sz="6" w:space="0"/>
              <w:bottom w:val="single" w:color="000000" w:sz="6" w:space="0"/>
              <w:right w:val="single" w:color="000000" w:sz="6" w:space="0"/>
            </w:tcBorders>
            <w:vAlign w:val="bottom"/>
          </w:tcPr>
          <w:p w14:paraId="77E1F3BA">
            <w:pPr>
              <w:spacing w:line="240" w:lineRule="auto"/>
              <w:jc w:val="center"/>
              <w:rPr>
                <w:sz w:val="21"/>
                <w:szCs w:val="21"/>
              </w:rPr>
            </w:pPr>
            <w:r>
              <w:rPr>
                <w:rFonts w:hint="eastAsia"/>
                <w:sz w:val="21"/>
                <w:szCs w:val="21"/>
              </w:rPr>
              <w:t xml:space="preserve">2.28 </w:t>
            </w:r>
          </w:p>
        </w:tc>
        <w:tc>
          <w:tcPr>
            <w:tcW w:w="977" w:type="dxa"/>
            <w:tcBorders>
              <w:top w:val="single" w:color="000000" w:sz="6" w:space="0"/>
              <w:left w:val="single" w:color="000000" w:sz="6" w:space="0"/>
              <w:bottom w:val="single" w:color="000000" w:sz="6" w:space="0"/>
              <w:right w:val="single" w:color="000000" w:sz="6" w:space="0"/>
            </w:tcBorders>
            <w:vAlign w:val="bottom"/>
          </w:tcPr>
          <w:p w14:paraId="594C293C">
            <w:pPr>
              <w:spacing w:line="240" w:lineRule="auto"/>
              <w:jc w:val="center"/>
              <w:rPr>
                <w:sz w:val="21"/>
                <w:szCs w:val="21"/>
              </w:rPr>
            </w:pPr>
            <w:r>
              <w:rPr>
                <w:rFonts w:hint="eastAsia"/>
                <w:sz w:val="21"/>
                <w:szCs w:val="21"/>
              </w:rPr>
              <w:t xml:space="preserve">1.75 </w:t>
            </w:r>
          </w:p>
        </w:tc>
        <w:tc>
          <w:tcPr>
            <w:tcW w:w="675" w:type="dxa"/>
            <w:tcBorders>
              <w:top w:val="single" w:color="000000" w:sz="6" w:space="0"/>
              <w:left w:val="single" w:color="000000" w:sz="6" w:space="0"/>
              <w:bottom w:val="single" w:color="000000" w:sz="6" w:space="0"/>
              <w:right w:val="single" w:color="000000" w:sz="6" w:space="0"/>
            </w:tcBorders>
            <w:vAlign w:val="bottom"/>
          </w:tcPr>
          <w:p w14:paraId="173F59D3">
            <w:pPr>
              <w:spacing w:line="240" w:lineRule="auto"/>
              <w:jc w:val="center"/>
              <w:rPr>
                <w:sz w:val="21"/>
                <w:szCs w:val="21"/>
              </w:rPr>
            </w:pPr>
            <w:r>
              <w:rPr>
                <w:rFonts w:hint="eastAsia"/>
                <w:sz w:val="21"/>
                <w:szCs w:val="21"/>
              </w:rPr>
              <w:t xml:space="preserve">1.08 </w:t>
            </w:r>
          </w:p>
        </w:tc>
        <w:tc>
          <w:tcPr>
            <w:tcW w:w="895" w:type="dxa"/>
            <w:tcBorders>
              <w:top w:val="single" w:color="000000" w:sz="6" w:space="0"/>
              <w:left w:val="single" w:color="000000" w:sz="6" w:space="0"/>
              <w:bottom w:val="single" w:color="000000" w:sz="6" w:space="0"/>
              <w:right w:val="single" w:color="000000" w:sz="6" w:space="0"/>
            </w:tcBorders>
            <w:vAlign w:val="bottom"/>
          </w:tcPr>
          <w:p w14:paraId="5701A390">
            <w:pPr>
              <w:spacing w:line="240" w:lineRule="auto"/>
              <w:jc w:val="center"/>
              <w:rPr>
                <w:sz w:val="21"/>
                <w:szCs w:val="21"/>
              </w:rPr>
            </w:pPr>
            <w:r>
              <w:rPr>
                <w:rFonts w:hint="eastAsia"/>
                <w:sz w:val="21"/>
                <w:szCs w:val="21"/>
              </w:rPr>
              <w:t xml:space="preserve">0.54 </w:t>
            </w:r>
          </w:p>
        </w:tc>
        <w:tc>
          <w:tcPr>
            <w:tcW w:w="845" w:type="dxa"/>
            <w:tcBorders>
              <w:top w:val="single" w:color="000000" w:sz="6" w:space="0"/>
              <w:left w:val="single" w:color="000000" w:sz="6" w:space="0"/>
              <w:bottom w:val="single" w:color="000000" w:sz="6" w:space="0"/>
              <w:right w:val="single" w:color="000000" w:sz="6" w:space="0"/>
            </w:tcBorders>
            <w:vAlign w:val="bottom"/>
          </w:tcPr>
          <w:p w14:paraId="063F9A0F">
            <w:pPr>
              <w:spacing w:line="240" w:lineRule="auto"/>
              <w:jc w:val="center"/>
              <w:rPr>
                <w:sz w:val="21"/>
                <w:szCs w:val="21"/>
              </w:rPr>
            </w:pPr>
            <w:r>
              <w:rPr>
                <w:rFonts w:hint="eastAsia"/>
                <w:sz w:val="21"/>
                <w:szCs w:val="21"/>
              </w:rPr>
              <w:t xml:space="preserve">1.21 </w:t>
            </w:r>
          </w:p>
        </w:tc>
        <w:tc>
          <w:tcPr>
            <w:tcW w:w="846" w:type="dxa"/>
            <w:tcBorders>
              <w:top w:val="single" w:color="000000" w:sz="6" w:space="0"/>
              <w:left w:val="single" w:color="000000" w:sz="6" w:space="0"/>
              <w:bottom w:val="single" w:color="000000" w:sz="6" w:space="0"/>
              <w:right w:val="single" w:color="000000" w:sz="6" w:space="0"/>
            </w:tcBorders>
            <w:vAlign w:val="bottom"/>
          </w:tcPr>
          <w:p w14:paraId="0DAFEF29">
            <w:pPr>
              <w:spacing w:line="240" w:lineRule="auto"/>
              <w:jc w:val="center"/>
              <w:rPr>
                <w:sz w:val="21"/>
                <w:szCs w:val="21"/>
              </w:rPr>
            </w:pPr>
            <w:r>
              <w:rPr>
                <w:rFonts w:hint="eastAsia"/>
                <w:sz w:val="21"/>
                <w:szCs w:val="21"/>
              </w:rPr>
              <w:t xml:space="preserve">3.63 </w:t>
            </w:r>
          </w:p>
        </w:tc>
        <w:tc>
          <w:tcPr>
            <w:tcW w:w="788" w:type="dxa"/>
            <w:tcBorders>
              <w:top w:val="single" w:color="000000" w:sz="6" w:space="0"/>
              <w:left w:val="single" w:color="000000" w:sz="6" w:space="0"/>
              <w:bottom w:val="single" w:color="000000" w:sz="6" w:space="0"/>
            </w:tcBorders>
            <w:vAlign w:val="bottom"/>
          </w:tcPr>
          <w:p w14:paraId="46568BD9">
            <w:pPr>
              <w:spacing w:line="240" w:lineRule="auto"/>
              <w:jc w:val="center"/>
              <w:rPr>
                <w:sz w:val="21"/>
                <w:szCs w:val="21"/>
              </w:rPr>
            </w:pPr>
            <w:r>
              <w:rPr>
                <w:rFonts w:hint="eastAsia"/>
                <w:sz w:val="21"/>
                <w:szCs w:val="21"/>
              </w:rPr>
              <w:t xml:space="preserve">4.17 </w:t>
            </w:r>
          </w:p>
        </w:tc>
      </w:tr>
      <w:tr w14:paraId="40445C1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5760884A">
            <w:pPr>
              <w:spacing w:line="240" w:lineRule="auto"/>
              <w:jc w:val="center"/>
              <w:rPr>
                <w:sz w:val="21"/>
                <w:szCs w:val="21"/>
              </w:rPr>
            </w:pPr>
            <w:r>
              <w:rPr>
                <w:sz w:val="21"/>
                <w:szCs w:val="21"/>
              </w:rPr>
              <w:t>11月</w:t>
            </w:r>
          </w:p>
        </w:tc>
        <w:tc>
          <w:tcPr>
            <w:tcW w:w="845" w:type="dxa"/>
            <w:tcBorders>
              <w:top w:val="single" w:color="000000" w:sz="6" w:space="0"/>
              <w:left w:val="single" w:color="000000" w:sz="6" w:space="0"/>
              <w:bottom w:val="single" w:color="000000" w:sz="6" w:space="0"/>
              <w:right w:val="single" w:color="000000" w:sz="6" w:space="0"/>
            </w:tcBorders>
            <w:vAlign w:val="bottom"/>
          </w:tcPr>
          <w:p w14:paraId="54BAC0CD">
            <w:pPr>
              <w:spacing w:line="240" w:lineRule="auto"/>
              <w:jc w:val="center"/>
              <w:rPr>
                <w:sz w:val="21"/>
                <w:szCs w:val="21"/>
              </w:rPr>
            </w:pPr>
            <w:r>
              <w:rPr>
                <w:rFonts w:hint="eastAsia"/>
                <w:sz w:val="21"/>
                <w:szCs w:val="21"/>
              </w:rPr>
              <w:t xml:space="preserve">25.14 </w:t>
            </w:r>
          </w:p>
        </w:tc>
        <w:tc>
          <w:tcPr>
            <w:tcW w:w="915" w:type="dxa"/>
            <w:tcBorders>
              <w:top w:val="single" w:color="000000" w:sz="6" w:space="0"/>
              <w:left w:val="single" w:color="000000" w:sz="6" w:space="0"/>
              <w:bottom w:val="single" w:color="000000" w:sz="6" w:space="0"/>
              <w:right w:val="single" w:color="000000" w:sz="6" w:space="0"/>
            </w:tcBorders>
            <w:vAlign w:val="bottom"/>
          </w:tcPr>
          <w:p w14:paraId="69F868C8">
            <w:pPr>
              <w:spacing w:line="240" w:lineRule="auto"/>
              <w:jc w:val="center"/>
              <w:rPr>
                <w:sz w:val="21"/>
                <w:szCs w:val="21"/>
              </w:rPr>
            </w:pPr>
            <w:r>
              <w:rPr>
                <w:rFonts w:hint="eastAsia"/>
                <w:sz w:val="21"/>
                <w:szCs w:val="21"/>
              </w:rPr>
              <w:t xml:space="preserve">7.78 </w:t>
            </w:r>
          </w:p>
        </w:tc>
        <w:tc>
          <w:tcPr>
            <w:tcW w:w="732" w:type="dxa"/>
            <w:tcBorders>
              <w:top w:val="single" w:color="000000" w:sz="6" w:space="0"/>
              <w:left w:val="single" w:color="000000" w:sz="6" w:space="0"/>
              <w:bottom w:val="single" w:color="000000" w:sz="6" w:space="0"/>
              <w:right w:val="single" w:color="000000" w:sz="6" w:space="0"/>
            </w:tcBorders>
            <w:vAlign w:val="bottom"/>
          </w:tcPr>
          <w:p w14:paraId="0BA25AA2">
            <w:pPr>
              <w:spacing w:line="240" w:lineRule="auto"/>
              <w:jc w:val="center"/>
              <w:rPr>
                <w:sz w:val="21"/>
                <w:szCs w:val="21"/>
              </w:rPr>
            </w:pPr>
            <w:r>
              <w:rPr>
                <w:rFonts w:hint="eastAsia"/>
                <w:sz w:val="21"/>
                <w:szCs w:val="21"/>
              </w:rPr>
              <w:t xml:space="preserve">3.89 </w:t>
            </w:r>
          </w:p>
        </w:tc>
        <w:tc>
          <w:tcPr>
            <w:tcW w:w="977" w:type="dxa"/>
            <w:tcBorders>
              <w:top w:val="single" w:color="000000" w:sz="6" w:space="0"/>
              <w:left w:val="single" w:color="000000" w:sz="6" w:space="0"/>
              <w:bottom w:val="single" w:color="000000" w:sz="6" w:space="0"/>
              <w:right w:val="single" w:color="000000" w:sz="6" w:space="0"/>
            </w:tcBorders>
            <w:vAlign w:val="bottom"/>
          </w:tcPr>
          <w:p w14:paraId="33EB33BF">
            <w:pPr>
              <w:spacing w:line="240" w:lineRule="auto"/>
              <w:jc w:val="center"/>
              <w:rPr>
                <w:sz w:val="21"/>
                <w:szCs w:val="21"/>
              </w:rPr>
            </w:pPr>
            <w:r>
              <w:rPr>
                <w:rFonts w:hint="eastAsia"/>
                <w:sz w:val="21"/>
                <w:szCs w:val="21"/>
              </w:rPr>
              <w:t xml:space="preserve">4.03 </w:t>
            </w:r>
          </w:p>
        </w:tc>
        <w:tc>
          <w:tcPr>
            <w:tcW w:w="675" w:type="dxa"/>
            <w:tcBorders>
              <w:top w:val="single" w:color="000000" w:sz="6" w:space="0"/>
              <w:left w:val="single" w:color="000000" w:sz="6" w:space="0"/>
              <w:bottom w:val="single" w:color="000000" w:sz="6" w:space="0"/>
              <w:right w:val="single" w:color="000000" w:sz="6" w:space="0"/>
            </w:tcBorders>
            <w:vAlign w:val="bottom"/>
          </w:tcPr>
          <w:p w14:paraId="5EB5857B">
            <w:pPr>
              <w:spacing w:line="240" w:lineRule="auto"/>
              <w:jc w:val="center"/>
              <w:rPr>
                <w:sz w:val="21"/>
                <w:szCs w:val="21"/>
              </w:rPr>
            </w:pPr>
            <w:r>
              <w:rPr>
                <w:rFonts w:hint="eastAsia"/>
                <w:sz w:val="21"/>
                <w:szCs w:val="21"/>
              </w:rPr>
              <w:t xml:space="preserve">2.08 </w:t>
            </w:r>
          </w:p>
        </w:tc>
        <w:tc>
          <w:tcPr>
            <w:tcW w:w="895" w:type="dxa"/>
            <w:tcBorders>
              <w:top w:val="single" w:color="000000" w:sz="6" w:space="0"/>
              <w:left w:val="single" w:color="000000" w:sz="6" w:space="0"/>
              <w:bottom w:val="single" w:color="000000" w:sz="6" w:space="0"/>
              <w:right w:val="single" w:color="000000" w:sz="6" w:space="0"/>
            </w:tcBorders>
            <w:vAlign w:val="bottom"/>
          </w:tcPr>
          <w:p w14:paraId="5E693A22">
            <w:pPr>
              <w:spacing w:line="240" w:lineRule="auto"/>
              <w:jc w:val="center"/>
              <w:rPr>
                <w:sz w:val="21"/>
                <w:szCs w:val="21"/>
              </w:rPr>
            </w:pPr>
            <w:r>
              <w:rPr>
                <w:rFonts w:hint="eastAsia"/>
                <w:sz w:val="21"/>
                <w:szCs w:val="21"/>
              </w:rPr>
              <w:t xml:space="preserve">5.69 </w:t>
            </w:r>
          </w:p>
        </w:tc>
        <w:tc>
          <w:tcPr>
            <w:tcW w:w="845" w:type="dxa"/>
            <w:tcBorders>
              <w:top w:val="single" w:color="000000" w:sz="6" w:space="0"/>
              <w:left w:val="single" w:color="000000" w:sz="6" w:space="0"/>
              <w:bottom w:val="single" w:color="000000" w:sz="6" w:space="0"/>
              <w:right w:val="single" w:color="000000" w:sz="6" w:space="0"/>
            </w:tcBorders>
            <w:vAlign w:val="bottom"/>
          </w:tcPr>
          <w:p w14:paraId="22E0E0A7">
            <w:pPr>
              <w:spacing w:line="240" w:lineRule="auto"/>
              <w:jc w:val="center"/>
              <w:rPr>
                <w:sz w:val="21"/>
                <w:szCs w:val="21"/>
              </w:rPr>
            </w:pPr>
            <w:r>
              <w:rPr>
                <w:rFonts w:hint="eastAsia"/>
                <w:sz w:val="21"/>
                <w:szCs w:val="21"/>
              </w:rPr>
              <w:t xml:space="preserve">3.47 </w:t>
            </w:r>
          </w:p>
        </w:tc>
        <w:tc>
          <w:tcPr>
            <w:tcW w:w="846" w:type="dxa"/>
            <w:tcBorders>
              <w:top w:val="single" w:color="000000" w:sz="6" w:space="0"/>
              <w:left w:val="single" w:color="000000" w:sz="6" w:space="0"/>
              <w:bottom w:val="single" w:color="000000" w:sz="6" w:space="0"/>
              <w:right w:val="single" w:color="000000" w:sz="6" w:space="0"/>
            </w:tcBorders>
            <w:vAlign w:val="bottom"/>
          </w:tcPr>
          <w:p w14:paraId="3DFC92CC">
            <w:pPr>
              <w:spacing w:line="240" w:lineRule="auto"/>
              <w:jc w:val="center"/>
              <w:rPr>
                <w:sz w:val="21"/>
                <w:szCs w:val="21"/>
              </w:rPr>
            </w:pPr>
            <w:r>
              <w:rPr>
                <w:rFonts w:hint="eastAsia"/>
                <w:sz w:val="21"/>
                <w:szCs w:val="21"/>
              </w:rPr>
              <w:t xml:space="preserve">5.42 </w:t>
            </w:r>
          </w:p>
        </w:tc>
        <w:tc>
          <w:tcPr>
            <w:tcW w:w="788" w:type="dxa"/>
            <w:tcBorders>
              <w:top w:val="single" w:color="000000" w:sz="6" w:space="0"/>
              <w:left w:val="single" w:color="000000" w:sz="6" w:space="0"/>
              <w:bottom w:val="single" w:color="000000" w:sz="6" w:space="0"/>
            </w:tcBorders>
            <w:vAlign w:val="bottom"/>
          </w:tcPr>
          <w:p w14:paraId="256A8177">
            <w:pPr>
              <w:spacing w:line="240" w:lineRule="auto"/>
              <w:jc w:val="center"/>
              <w:rPr>
                <w:sz w:val="21"/>
                <w:szCs w:val="21"/>
              </w:rPr>
            </w:pPr>
            <w:r>
              <w:rPr>
                <w:rFonts w:hint="eastAsia"/>
                <w:sz w:val="21"/>
                <w:szCs w:val="21"/>
              </w:rPr>
              <w:t xml:space="preserve">2.64 </w:t>
            </w:r>
          </w:p>
        </w:tc>
      </w:tr>
      <w:tr w14:paraId="36A0C11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7C3BFF3E">
            <w:pPr>
              <w:spacing w:line="240" w:lineRule="auto"/>
              <w:jc w:val="center"/>
              <w:rPr>
                <w:sz w:val="21"/>
                <w:szCs w:val="21"/>
              </w:rPr>
            </w:pPr>
            <w:r>
              <w:rPr>
                <w:sz w:val="21"/>
                <w:szCs w:val="21"/>
              </w:rPr>
              <w:t>12月</w:t>
            </w:r>
          </w:p>
        </w:tc>
        <w:tc>
          <w:tcPr>
            <w:tcW w:w="845" w:type="dxa"/>
            <w:tcBorders>
              <w:top w:val="single" w:color="000000" w:sz="6" w:space="0"/>
              <w:left w:val="single" w:color="000000" w:sz="6" w:space="0"/>
              <w:bottom w:val="single" w:color="000000" w:sz="6" w:space="0"/>
              <w:right w:val="single" w:color="000000" w:sz="6" w:space="0"/>
            </w:tcBorders>
            <w:vAlign w:val="bottom"/>
          </w:tcPr>
          <w:p w14:paraId="6A833920">
            <w:pPr>
              <w:spacing w:line="240" w:lineRule="auto"/>
              <w:jc w:val="center"/>
              <w:rPr>
                <w:sz w:val="21"/>
                <w:szCs w:val="21"/>
              </w:rPr>
            </w:pPr>
            <w:r>
              <w:rPr>
                <w:rFonts w:hint="eastAsia"/>
                <w:sz w:val="21"/>
                <w:szCs w:val="21"/>
              </w:rPr>
              <w:t xml:space="preserve">21.10 </w:t>
            </w:r>
          </w:p>
        </w:tc>
        <w:tc>
          <w:tcPr>
            <w:tcW w:w="915" w:type="dxa"/>
            <w:tcBorders>
              <w:top w:val="single" w:color="000000" w:sz="6" w:space="0"/>
              <w:left w:val="single" w:color="000000" w:sz="6" w:space="0"/>
              <w:bottom w:val="single" w:color="000000" w:sz="6" w:space="0"/>
              <w:right w:val="single" w:color="000000" w:sz="6" w:space="0"/>
            </w:tcBorders>
            <w:vAlign w:val="bottom"/>
          </w:tcPr>
          <w:p w14:paraId="382AEBE8">
            <w:pPr>
              <w:spacing w:line="240" w:lineRule="auto"/>
              <w:jc w:val="center"/>
              <w:rPr>
                <w:sz w:val="21"/>
                <w:szCs w:val="21"/>
              </w:rPr>
            </w:pPr>
            <w:r>
              <w:rPr>
                <w:rFonts w:hint="eastAsia"/>
                <w:sz w:val="21"/>
                <w:szCs w:val="21"/>
              </w:rPr>
              <w:t xml:space="preserve">8.20 </w:t>
            </w:r>
          </w:p>
        </w:tc>
        <w:tc>
          <w:tcPr>
            <w:tcW w:w="732" w:type="dxa"/>
            <w:tcBorders>
              <w:top w:val="single" w:color="000000" w:sz="6" w:space="0"/>
              <w:left w:val="single" w:color="000000" w:sz="6" w:space="0"/>
              <w:bottom w:val="single" w:color="000000" w:sz="6" w:space="0"/>
              <w:right w:val="single" w:color="000000" w:sz="6" w:space="0"/>
            </w:tcBorders>
            <w:vAlign w:val="bottom"/>
          </w:tcPr>
          <w:p w14:paraId="69D6FE21">
            <w:pPr>
              <w:spacing w:line="240" w:lineRule="auto"/>
              <w:jc w:val="center"/>
              <w:rPr>
                <w:sz w:val="21"/>
                <w:szCs w:val="21"/>
              </w:rPr>
            </w:pPr>
            <w:r>
              <w:rPr>
                <w:rFonts w:hint="eastAsia"/>
                <w:sz w:val="21"/>
                <w:szCs w:val="21"/>
              </w:rPr>
              <w:t xml:space="preserve">3.36 </w:t>
            </w:r>
          </w:p>
        </w:tc>
        <w:tc>
          <w:tcPr>
            <w:tcW w:w="977" w:type="dxa"/>
            <w:tcBorders>
              <w:top w:val="single" w:color="000000" w:sz="6" w:space="0"/>
              <w:left w:val="single" w:color="000000" w:sz="6" w:space="0"/>
              <w:bottom w:val="single" w:color="000000" w:sz="6" w:space="0"/>
              <w:right w:val="single" w:color="000000" w:sz="6" w:space="0"/>
            </w:tcBorders>
            <w:vAlign w:val="bottom"/>
          </w:tcPr>
          <w:p w14:paraId="04B40056">
            <w:pPr>
              <w:spacing w:line="240" w:lineRule="auto"/>
              <w:jc w:val="center"/>
              <w:rPr>
                <w:sz w:val="21"/>
                <w:szCs w:val="21"/>
              </w:rPr>
            </w:pPr>
            <w:r>
              <w:rPr>
                <w:rFonts w:hint="eastAsia"/>
                <w:sz w:val="21"/>
                <w:szCs w:val="21"/>
              </w:rPr>
              <w:t xml:space="preserve">3.09 </w:t>
            </w:r>
          </w:p>
        </w:tc>
        <w:tc>
          <w:tcPr>
            <w:tcW w:w="675" w:type="dxa"/>
            <w:tcBorders>
              <w:top w:val="single" w:color="000000" w:sz="6" w:space="0"/>
              <w:left w:val="single" w:color="000000" w:sz="6" w:space="0"/>
              <w:bottom w:val="single" w:color="000000" w:sz="6" w:space="0"/>
              <w:right w:val="single" w:color="000000" w:sz="6" w:space="0"/>
            </w:tcBorders>
            <w:vAlign w:val="bottom"/>
          </w:tcPr>
          <w:p w14:paraId="174F6D6C">
            <w:pPr>
              <w:spacing w:line="240" w:lineRule="auto"/>
              <w:jc w:val="center"/>
              <w:rPr>
                <w:sz w:val="21"/>
                <w:szCs w:val="21"/>
              </w:rPr>
            </w:pPr>
            <w:r>
              <w:rPr>
                <w:rFonts w:hint="eastAsia"/>
                <w:sz w:val="21"/>
                <w:szCs w:val="21"/>
              </w:rPr>
              <w:t xml:space="preserve">1.34 </w:t>
            </w:r>
          </w:p>
        </w:tc>
        <w:tc>
          <w:tcPr>
            <w:tcW w:w="895" w:type="dxa"/>
            <w:tcBorders>
              <w:top w:val="single" w:color="000000" w:sz="6" w:space="0"/>
              <w:left w:val="single" w:color="000000" w:sz="6" w:space="0"/>
              <w:bottom w:val="single" w:color="000000" w:sz="6" w:space="0"/>
              <w:right w:val="single" w:color="000000" w:sz="6" w:space="0"/>
            </w:tcBorders>
            <w:vAlign w:val="bottom"/>
          </w:tcPr>
          <w:p w14:paraId="125B2BE0">
            <w:pPr>
              <w:spacing w:line="240" w:lineRule="auto"/>
              <w:jc w:val="center"/>
              <w:rPr>
                <w:sz w:val="21"/>
                <w:szCs w:val="21"/>
              </w:rPr>
            </w:pPr>
            <w:r>
              <w:rPr>
                <w:rFonts w:hint="eastAsia"/>
                <w:sz w:val="21"/>
                <w:szCs w:val="21"/>
              </w:rPr>
              <w:t xml:space="preserve">0.81 </w:t>
            </w:r>
          </w:p>
        </w:tc>
        <w:tc>
          <w:tcPr>
            <w:tcW w:w="845" w:type="dxa"/>
            <w:tcBorders>
              <w:top w:val="single" w:color="000000" w:sz="6" w:space="0"/>
              <w:left w:val="single" w:color="000000" w:sz="6" w:space="0"/>
              <w:bottom w:val="single" w:color="000000" w:sz="6" w:space="0"/>
              <w:right w:val="single" w:color="000000" w:sz="6" w:space="0"/>
            </w:tcBorders>
            <w:vAlign w:val="bottom"/>
          </w:tcPr>
          <w:p w14:paraId="4F93EBE8">
            <w:pPr>
              <w:spacing w:line="240" w:lineRule="auto"/>
              <w:jc w:val="center"/>
              <w:rPr>
                <w:sz w:val="21"/>
                <w:szCs w:val="21"/>
              </w:rPr>
            </w:pPr>
            <w:r>
              <w:rPr>
                <w:rFonts w:hint="eastAsia"/>
                <w:sz w:val="21"/>
                <w:szCs w:val="21"/>
              </w:rPr>
              <w:t xml:space="preserve">2.28 </w:t>
            </w:r>
          </w:p>
        </w:tc>
        <w:tc>
          <w:tcPr>
            <w:tcW w:w="846" w:type="dxa"/>
            <w:tcBorders>
              <w:top w:val="single" w:color="000000" w:sz="6" w:space="0"/>
              <w:left w:val="single" w:color="000000" w:sz="6" w:space="0"/>
              <w:bottom w:val="single" w:color="000000" w:sz="6" w:space="0"/>
              <w:right w:val="single" w:color="000000" w:sz="6" w:space="0"/>
            </w:tcBorders>
            <w:vAlign w:val="bottom"/>
          </w:tcPr>
          <w:p w14:paraId="775F28FA">
            <w:pPr>
              <w:spacing w:line="240" w:lineRule="auto"/>
              <w:jc w:val="center"/>
              <w:rPr>
                <w:sz w:val="21"/>
                <w:szCs w:val="21"/>
              </w:rPr>
            </w:pPr>
            <w:r>
              <w:rPr>
                <w:rFonts w:hint="eastAsia"/>
                <w:sz w:val="21"/>
                <w:szCs w:val="21"/>
              </w:rPr>
              <w:t xml:space="preserve">2.82 </w:t>
            </w:r>
          </w:p>
        </w:tc>
        <w:tc>
          <w:tcPr>
            <w:tcW w:w="788" w:type="dxa"/>
            <w:tcBorders>
              <w:top w:val="single" w:color="000000" w:sz="6" w:space="0"/>
              <w:left w:val="single" w:color="000000" w:sz="6" w:space="0"/>
              <w:bottom w:val="single" w:color="000000" w:sz="6" w:space="0"/>
            </w:tcBorders>
            <w:vAlign w:val="bottom"/>
          </w:tcPr>
          <w:p w14:paraId="30564079">
            <w:pPr>
              <w:spacing w:line="240" w:lineRule="auto"/>
              <w:jc w:val="center"/>
              <w:rPr>
                <w:sz w:val="21"/>
                <w:szCs w:val="21"/>
              </w:rPr>
            </w:pPr>
            <w:r>
              <w:rPr>
                <w:rFonts w:hint="eastAsia"/>
                <w:sz w:val="21"/>
                <w:szCs w:val="21"/>
              </w:rPr>
              <w:t xml:space="preserve">2.82 </w:t>
            </w:r>
          </w:p>
        </w:tc>
      </w:tr>
      <w:tr w14:paraId="1F5D7B1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39E48580">
            <w:pPr>
              <w:spacing w:line="240" w:lineRule="auto"/>
              <w:jc w:val="center"/>
              <w:rPr>
                <w:sz w:val="21"/>
                <w:szCs w:val="21"/>
              </w:rPr>
            </w:pPr>
            <w:r>
              <w:rPr>
                <w:sz w:val="21"/>
                <w:szCs w:val="21"/>
              </w:rPr>
              <w:t>全年</w:t>
            </w:r>
          </w:p>
        </w:tc>
        <w:tc>
          <w:tcPr>
            <w:tcW w:w="845" w:type="dxa"/>
            <w:tcBorders>
              <w:top w:val="single" w:color="000000" w:sz="6" w:space="0"/>
              <w:left w:val="single" w:color="000000" w:sz="6" w:space="0"/>
              <w:bottom w:val="single" w:color="000000" w:sz="6" w:space="0"/>
              <w:right w:val="single" w:color="000000" w:sz="6" w:space="0"/>
            </w:tcBorders>
            <w:vAlign w:val="center"/>
          </w:tcPr>
          <w:p w14:paraId="445082E5">
            <w:pPr>
              <w:spacing w:line="240" w:lineRule="auto"/>
              <w:jc w:val="center"/>
              <w:rPr>
                <w:sz w:val="21"/>
                <w:szCs w:val="21"/>
              </w:rPr>
            </w:pPr>
            <w:r>
              <w:rPr>
                <w:rFonts w:hint="eastAsia"/>
                <w:sz w:val="21"/>
                <w:szCs w:val="21"/>
              </w:rPr>
              <w:t>19.51</w:t>
            </w:r>
          </w:p>
        </w:tc>
        <w:tc>
          <w:tcPr>
            <w:tcW w:w="915" w:type="dxa"/>
            <w:tcBorders>
              <w:top w:val="single" w:color="000000" w:sz="6" w:space="0"/>
              <w:left w:val="single" w:color="000000" w:sz="6" w:space="0"/>
              <w:bottom w:val="single" w:color="000000" w:sz="6" w:space="0"/>
              <w:right w:val="single" w:color="000000" w:sz="6" w:space="0"/>
            </w:tcBorders>
            <w:vAlign w:val="center"/>
          </w:tcPr>
          <w:p w14:paraId="709F2FCB">
            <w:pPr>
              <w:spacing w:line="240" w:lineRule="auto"/>
              <w:jc w:val="center"/>
              <w:rPr>
                <w:sz w:val="21"/>
                <w:szCs w:val="21"/>
              </w:rPr>
            </w:pPr>
            <w:r>
              <w:rPr>
                <w:rFonts w:hint="eastAsia"/>
                <w:sz w:val="21"/>
                <w:szCs w:val="21"/>
              </w:rPr>
              <w:t>6.2</w:t>
            </w:r>
          </w:p>
        </w:tc>
        <w:tc>
          <w:tcPr>
            <w:tcW w:w="732" w:type="dxa"/>
            <w:tcBorders>
              <w:top w:val="single" w:color="000000" w:sz="6" w:space="0"/>
              <w:left w:val="single" w:color="000000" w:sz="6" w:space="0"/>
              <w:bottom w:val="single" w:color="000000" w:sz="6" w:space="0"/>
              <w:right w:val="single" w:color="000000" w:sz="6" w:space="0"/>
            </w:tcBorders>
            <w:vAlign w:val="center"/>
          </w:tcPr>
          <w:p w14:paraId="41FBD0D1">
            <w:pPr>
              <w:spacing w:line="240" w:lineRule="auto"/>
              <w:jc w:val="center"/>
              <w:rPr>
                <w:sz w:val="21"/>
                <w:szCs w:val="21"/>
              </w:rPr>
            </w:pPr>
            <w:r>
              <w:rPr>
                <w:rFonts w:hint="eastAsia"/>
                <w:sz w:val="21"/>
                <w:szCs w:val="21"/>
              </w:rPr>
              <w:t>2.57</w:t>
            </w:r>
          </w:p>
        </w:tc>
        <w:tc>
          <w:tcPr>
            <w:tcW w:w="977" w:type="dxa"/>
            <w:tcBorders>
              <w:top w:val="single" w:color="000000" w:sz="6" w:space="0"/>
              <w:left w:val="single" w:color="000000" w:sz="6" w:space="0"/>
              <w:bottom w:val="single" w:color="000000" w:sz="6" w:space="0"/>
              <w:right w:val="single" w:color="000000" w:sz="6" w:space="0"/>
            </w:tcBorders>
            <w:vAlign w:val="center"/>
          </w:tcPr>
          <w:p w14:paraId="04CC486A">
            <w:pPr>
              <w:spacing w:line="240" w:lineRule="auto"/>
              <w:jc w:val="center"/>
              <w:rPr>
                <w:sz w:val="21"/>
                <w:szCs w:val="21"/>
              </w:rPr>
            </w:pPr>
            <w:r>
              <w:rPr>
                <w:rFonts w:hint="eastAsia"/>
                <w:sz w:val="21"/>
                <w:szCs w:val="21"/>
              </w:rPr>
              <w:t>2.49</w:t>
            </w:r>
          </w:p>
        </w:tc>
        <w:tc>
          <w:tcPr>
            <w:tcW w:w="675" w:type="dxa"/>
            <w:tcBorders>
              <w:top w:val="single" w:color="000000" w:sz="6" w:space="0"/>
              <w:left w:val="single" w:color="000000" w:sz="6" w:space="0"/>
              <w:bottom w:val="single" w:color="000000" w:sz="6" w:space="0"/>
              <w:right w:val="single" w:color="000000" w:sz="6" w:space="0"/>
            </w:tcBorders>
            <w:vAlign w:val="center"/>
          </w:tcPr>
          <w:p w14:paraId="2807CF3C">
            <w:pPr>
              <w:spacing w:line="240" w:lineRule="auto"/>
              <w:jc w:val="center"/>
              <w:rPr>
                <w:sz w:val="21"/>
                <w:szCs w:val="21"/>
              </w:rPr>
            </w:pPr>
            <w:r>
              <w:rPr>
                <w:rFonts w:hint="eastAsia"/>
                <w:sz w:val="21"/>
                <w:szCs w:val="21"/>
              </w:rPr>
              <w:t>1.4</w:t>
            </w:r>
          </w:p>
        </w:tc>
        <w:tc>
          <w:tcPr>
            <w:tcW w:w="895" w:type="dxa"/>
            <w:tcBorders>
              <w:top w:val="single" w:color="000000" w:sz="6" w:space="0"/>
              <w:left w:val="single" w:color="000000" w:sz="6" w:space="0"/>
              <w:bottom w:val="single" w:color="000000" w:sz="6" w:space="0"/>
              <w:right w:val="single" w:color="000000" w:sz="6" w:space="0"/>
            </w:tcBorders>
            <w:vAlign w:val="center"/>
          </w:tcPr>
          <w:p w14:paraId="5C6A02AF">
            <w:pPr>
              <w:spacing w:line="240" w:lineRule="auto"/>
              <w:jc w:val="center"/>
              <w:rPr>
                <w:sz w:val="21"/>
                <w:szCs w:val="21"/>
              </w:rPr>
            </w:pPr>
            <w:r>
              <w:rPr>
                <w:rFonts w:hint="eastAsia"/>
                <w:sz w:val="21"/>
                <w:szCs w:val="21"/>
              </w:rPr>
              <w:t>2.01</w:t>
            </w:r>
          </w:p>
        </w:tc>
        <w:tc>
          <w:tcPr>
            <w:tcW w:w="845" w:type="dxa"/>
            <w:tcBorders>
              <w:top w:val="single" w:color="000000" w:sz="6" w:space="0"/>
              <w:left w:val="single" w:color="000000" w:sz="6" w:space="0"/>
              <w:bottom w:val="single" w:color="000000" w:sz="6" w:space="0"/>
              <w:right w:val="single" w:color="000000" w:sz="6" w:space="0"/>
            </w:tcBorders>
            <w:vAlign w:val="center"/>
          </w:tcPr>
          <w:p w14:paraId="180DB191">
            <w:pPr>
              <w:spacing w:line="240" w:lineRule="auto"/>
              <w:jc w:val="center"/>
              <w:rPr>
                <w:sz w:val="21"/>
                <w:szCs w:val="21"/>
              </w:rPr>
            </w:pPr>
            <w:r>
              <w:rPr>
                <w:rFonts w:hint="eastAsia"/>
                <w:sz w:val="21"/>
                <w:szCs w:val="21"/>
              </w:rPr>
              <w:t>3.59</w:t>
            </w:r>
          </w:p>
        </w:tc>
        <w:tc>
          <w:tcPr>
            <w:tcW w:w="846" w:type="dxa"/>
            <w:tcBorders>
              <w:top w:val="single" w:color="000000" w:sz="6" w:space="0"/>
              <w:left w:val="single" w:color="000000" w:sz="6" w:space="0"/>
              <w:bottom w:val="single" w:color="000000" w:sz="6" w:space="0"/>
              <w:right w:val="single" w:color="000000" w:sz="6" w:space="0"/>
            </w:tcBorders>
            <w:vAlign w:val="center"/>
          </w:tcPr>
          <w:p w14:paraId="24F0E311">
            <w:pPr>
              <w:spacing w:line="240" w:lineRule="auto"/>
              <w:jc w:val="center"/>
              <w:rPr>
                <w:sz w:val="21"/>
                <w:szCs w:val="21"/>
              </w:rPr>
            </w:pPr>
            <w:r>
              <w:rPr>
                <w:rFonts w:hint="eastAsia"/>
                <w:sz w:val="21"/>
                <w:szCs w:val="21"/>
              </w:rPr>
              <w:t>12.34</w:t>
            </w:r>
          </w:p>
        </w:tc>
        <w:tc>
          <w:tcPr>
            <w:tcW w:w="788" w:type="dxa"/>
            <w:tcBorders>
              <w:top w:val="single" w:color="000000" w:sz="6" w:space="0"/>
              <w:left w:val="single" w:color="000000" w:sz="6" w:space="0"/>
              <w:bottom w:val="single" w:color="000000" w:sz="6" w:space="0"/>
            </w:tcBorders>
            <w:vAlign w:val="center"/>
          </w:tcPr>
          <w:p w14:paraId="688FFB1F">
            <w:pPr>
              <w:spacing w:line="240" w:lineRule="auto"/>
              <w:jc w:val="center"/>
              <w:rPr>
                <w:sz w:val="21"/>
                <w:szCs w:val="21"/>
              </w:rPr>
            </w:pPr>
            <w:r>
              <w:rPr>
                <w:rFonts w:hint="eastAsia"/>
                <w:sz w:val="21"/>
                <w:szCs w:val="21"/>
              </w:rPr>
              <w:t>7.48</w:t>
            </w:r>
          </w:p>
        </w:tc>
      </w:tr>
      <w:tr w14:paraId="3DE8C6E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1D3DD65">
            <w:pPr>
              <w:spacing w:line="240" w:lineRule="auto"/>
              <w:jc w:val="center"/>
              <w:rPr>
                <w:sz w:val="21"/>
                <w:szCs w:val="21"/>
              </w:rPr>
            </w:pPr>
            <w:r>
              <w:rPr>
                <w:sz w:val="21"/>
                <w:szCs w:val="21"/>
              </w:rPr>
              <w:t>月份</w:t>
            </w:r>
          </w:p>
        </w:tc>
        <w:tc>
          <w:tcPr>
            <w:tcW w:w="845" w:type="dxa"/>
            <w:tcBorders>
              <w:top w:val="single" w:color="000000" w:sz="6" w:space="0"/>
              <w:left w:val="single" w:color="000000" w:sz="6" w:space="0"/>
              <w:bottom w:val="single" w:color="000000" w:sz="6" w:space="0"/>
              <w:right w:val="single" w:color="000000" w:sz="6" w:space="0"/>
            </w:tcBorders>
            <w:vAlign w:val="center"/>
          </w:tcPr>
          <w:p w14:paraId="4F252A7A">
            <w:pPr>
              <w:spacing w:line="240" w:lineRule="auto"/>
              <w:jc w:val="center"/>
              <w:rPr>
                <w:sz w:val="21"/>
                <w:szCs w:val="21"/>
              </w:rPr>
            </w:pPr>
            <w:r>
              <w:rPr>
                <w:sz w:val="21"/>
                <w:szCs w:val="21"/>
              </w:rPr>
              <w:t>SW</w:t>
            </w:r>
          </w:p>
        </w:tc>
        <w:tc>
          <w:tcPr>
            <w:tcW w:w="915" w:type="dxa"/>
            <w:tcBorders>
              <w:top w:val="single" w:color="000000" w:sz="6" w:space="0"/>
              <w:left w:val="single" w:color="000000" w:sz="6" w:space="0"/>
              <w:bottom w:val="single" w:color="000000" w:sz="6" w:space="0"/>
              <w:right w:val="single" w:color="000000" w:sz="6" w:space="0"/>
            </w:tcBorders>
            <w:vAlign w:val="center"/>
          </w:tcPr>
          <w:p w14:paraId="1372B1B9">
            <w:pPr>
              <w:spacing w:line="240" w:lineRule="auto"/>
              <w:jc w:val="center"/>
              <w:rPr>
                <w:sz w:val="21"/>
                <w:szCs w:val="21"/>
              </w:rPr>
            </w:pPr>
            <w:r>
              <w:rPr>
                <w:sz w:val="21"/>
                <w:szCs w:val="21"/>
              </w:rPr>
              <w:t>WSW</w:t>
            </w:r>
          </w:p>
        </w:tc>
        <w:tc>
          <w:tcPr>
            <w:tcW w:w="732" w:type="dxa"/>
            <w:tcBorders>
              <w:top w:val="single" w:color="000000" w:sz="6" w:space="0"/>
              <w:left w:val="single" w:color="000000" w:sz="6" w:space="0"/>
              <w:bottom w:val="single" w:color="000000" w:sz="6" w:space="0"/>
              <w:right w:val="single" w:color="000000" w:sz="6" w:space="0"/>
            </w:tcBorders>
            <w:vAlign w:val="center"/>
          </w:tcPr>
          <w:p w14:paraId="01930E2F">
            <w:pPr>
              <w:spacing w:line="240" w:lineRule="auto"/>
              <w:jc w:val="center"/>
              <w:rPr>
                <w:sz w:val="21"/>
                <w:szCs w:val="21"/>
              </w:rPr>
            </w:pPr>
            <w:r>
              <w:rPr>
                <w:sz w:val="21"/>
                <w:szCs w:val="21"/>
              </w:rPr>
              <w:t>W</w:t>
            </w:r>
          </w:p>
        </w:tc>
        <w:tc>
          <w:tcPr>
            <w:tcW w:w="977" w:type="dxa"/>
            <w:tcBorders>
              <w:top w:val="single" w:color="000000" w:sz="6" w:space="0"/>
              <w:left w:val="single" w:color="000000" w:sz="6" w:space="0"/>
              <w:bottom w:val="single" w:color="000000" w:sz="6" w:space="0"/>
              <w:right w:val="single" w:color="000000" w:sz="6" w:space="0"/>
            </w:tcBorders>
            <w:vAlign w:val="center"/>
          </w:tcPr>
          <w:p w14:paraId="3BD90D16">
            <w:pPr>
              <w:spacing w:line="240" w:lineRule="auto"/>
              <w:jc w:val="center"/>
              <w:rPr>
                <w:sz w:val="21"/>
                <w:szCs w:val="21"/>
              </w:rPr>
            </w:pPr>
            <w:r>
              <w:rPr>
                <w:sz w:val="21"/>
                <w:szCs w:val="21"/>
              </w:rPr>
              <w:t>WNW</w:t>
            </w:r>
          </w:p>
        </w:tc>
        <w:tc>
          <w:tcPr>
            <w:tcW w:w="675" w:type="dxa"/>
            <w:tcBorders>
              <w:top w:val="single" w:color="000000" w:sz="6" w:space="0"/>
              <w:left w:val="single" w:color="000000" w:sz="6" w:space="0"/>
              <w:bottom w:val="single" w:color="000000" w:sz="6" w:space="0"/>
              <w:right w:val="single" w:color="000000" w:sz="6" w:space="0"/>
            </w:tcBorders>
            <w:vAlign w:val="center"/>
          </w:tcPr>
          <w:p w14:paraId="4C325E33">
            <w:pPr>
              <w:spacing w:line="240" w:lineRule="auto"/>
              <w:jc w:val="center"/>
              <w:rPr>
                <w:sz w:val="21"/>
                <w:szCs w:val="21"/>
              </w:rPr>
            </w:pPr>
            <w:r>
              <w:rPr>
                <w:sz w:val="21"/>
                <w:szCs w:val="21"/>
              </w:rPr>
              <w:t>NW</w:t>
            </w:r>
          </w:p>
        </w:tc>
        <w:tc>
          <w:tcPr>
            <w:tcW w:w="895" w:type="dxa"/>
            <w:tcBorders>
              <w:top w:val="single" w:color="000000" w:sz="6" w:space="0"/>
              <w:left w:val="single" w:color="000000" w:sz="6" w:space="0"/>
              <w:bottom w:val="single" w:color="000000" w:sz="6" w:space="0"/>
              <w:right w:val="single" w:color="000000" w:sz="6" w:space="0"/>
            </w:tcBorders>
            <w:vAlign w:val="center"/>
          </w:tcPr>
          <w:p w14:paraId="0E5C9BFA">
            <w:pPr>
              <w:spacing w:line="240" w:lineRule="auto"/>
              <w:jc w:val="center"/>
              <w:rPr>
                <w:sz w:val="21"/>
                <w:szCs w:val="21"/>
              </w:rPr>
            </w:pPr>
            <w:r>
              <w:rPr>
                <w:sz w:val="21"/>
                <w:szCs w:val="21"/>
              </w:rPr>
              <w:t>NNW</w:t>
            </w:r>
          </w:p>
        </w:tc>
        <w:tc>
          <w:tcPr>
            <w:tcW w:w="845" w:type="dxa"/>
            <w:tcBorders>
              <w:top w:val="single" w:color="000000" w:sz="6" w:space="0"/>
              <w:left w:val="single" w:color="000000" w:sz="6" w:space="0"/>
              <w:bottom w:val="single" w:color="000000" w:sz="6" w:space="0"/>
              <w:right w:val="single" w:color="000000" w:sz="6" w:space="0"/>
            </w:tcBorders>
            <w:vAlign w:val="center"/>
          </w:tcPr>
          <w:p w14:paraId="70A05E48">
            <w:pPr>
              <w:spacing w:line="240" w:lineRule="auto"/>
              <w:jc w:val="center"/>
              <w:rPr>
                <w:sz w:val="21"/>
                <w:szCs w:val="21"/>
              </w:rPr>
            </w:pPr>
            <w:r>
              <w:rPr>
                <w:sz w:val="21"/>
                <w:szCs w:val="21"/>
              </w:rPr>
              <w:t>N</w:t>
            </w:r>
          </w:p>
        </w:tc>
        <w:tc>
          <w:tcPr>
            <w:tcW w:w="846" w:type="dxa"/>
            <w:tcBorders>
              <w:top w:val="single" w:color="000000" w:sz="6" w:space="0"/>
              <w:left w:val="single" w:color="000000" w:sz="6" w:space="0"/>
              <w:bottom w:val="single" w:color="000000" w:sz="6" w:space="0"/>
              <w:right w:val="single" w:color="000000" w:sz="6" w:space="0"/>
            </w:tcBorders>
            <w:vAlign w:val="center"/>
          </w:tcPr>
          <w:p w14:paraId="78D81A07">
            <w:pPr>
              <w:spacing w:line="240" w:lineRule="auto"/>
              <w:jc w:val="center"/>
              <w:rPr>
                <w:sz w:val="21"/>
                <w:szCs w:val="21"/>
              </w:rPr>
            </w:pPr>
            <w:r>
              <w:rPr>
                <w:sz w:val="21"/>
                <w:szCs w:val="21"/>
              </w:rPr>
              <w:t>C</w:t>
            </w:r>
          </w:p>
        </w:tc>
        <w:tc>
          <w:tcPr>
            <w:tcW w:w="788" w:type="dxa"/>
            <w:tcBorders>
              <w:top w:val="single" w:color="000000" w:sz="6" w:space="0"/>
              <w:left w:val="single" w:color="000000" w:sz="6" w:space="0"/>
              <w:bottom w:val="single" w:color="000000" w:sz="6" w:space="0"/>
            </w:tcBorders>
            <w:vAlign w:val="center"/>
          </w:tcPr>
          <w:p w14:paraId="4B3A7888">
            <w:pPr>
              <w:spacing w:line="240" w:lineRule="auto"/>
              <w:jc w:val="center"/>
              <w:rPr>
                <w:sz w:val="21"/>
                <w:szCs w:val="21"/>
              </w:rPr>
            </w:pPr>
          </w:p>
        </w:tc>
      </w:tr>
      <w:tr w14:paraId="231F508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A0C1D06">
            <w:pPr>
              <w:spacing w:line="240" w:lineRule="auto"/>
              <w:jc w:val="center"/>
              <w:rPr>
                <w:sz w:val="21"/>
                <w:szCs w:val="21"/>
              </w:rPr>
            </w:pPr>
            <w:r>
              <w:rPr>
                <w:sz w:val="21"/>
                <w:szCs w:val="21"/>
              </w:rPr>
              <w:t>1月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E0ECCFC">
            <w:pPr>
              <w:spacing w:line="240" w:lineRule="auto"/>
              <w:jc w:val="center"/>
              <w:rPr>
                <w:sz w:val="21"/>
                <w:szCs w:val="21"/>
              </w:rPr>
            </w:pPr>
            <w:r>
              <w:rPr>
                <w:rFonts w:hint="eastAsia"/>
                <w:sz w:val="21"/>
                <w:szCs w:val="21"/>
              </w:rPr>
              <w:t xml:space="preserve">0.54 </w:t>
            </w:r>
          </w:p>
        </w:tc>
        <w:tc>
          <w:tcPr>
            <w:tcW w:w="915" w:type="dxa"/>
            <w:tcBorders>
              <w:top w:val="single" w:color="000000" w:sz="6" w:space="0"/>
              <w:left w:val="single" w:color="000000" w:sz="6" w:space="0"/>
              <w:bottom w:val="single" w:color="000000" w:sz="6" w:space="0"/>
              <w:right w:val="single" w:color="000000" w:sz="6" w:space="0"/>
            </w:tcBorders>
            <w:vAlign w:val="bottom"/>
          </w:tcPr>
          <w:p w14:paraId="4AEAACD2">
            <w:pPr>
              <w:spacing w:line="240" w:lineRule="auto"/>
              <w:jc w:val="center"/>
              <w:rPr>
                <w:sz w:val="21"/>
                <w:szCs w:val="21"/>
              </w:rPr>
            </w:pPr>
            <w:r>
              <w:rPr>
                <w:rFonts w:hint="eastAsia"/>
                <w:sz w:val="21"/>
                <w:szCs w:val="21"/>
              </w:rPr>
              <w:t xml:space="preserve">0.81 </w:t>
            </w:r>
          </w:p>
        </w:tc>
        <w:tc>
          <w:tcPr>
            <w:tcW w:w="732" w:type="dxa"/>
            <w:tcBorders>
              <w:top w:val="single" w:color="000000" w:sz="6" w:space="0"/>
              <w:left w:val="single" w:color="000000" w:sz="6" w:space="0"/>
              <w:bottom w:val="single" w:color="000000" w:sz="6" w:space="0"/>
              <w:right w:val="single" w:color="000000" w:sz="6" w:space="0"/>
            </w:tcBorders>
            <w:vAlign w:val="bottom"/>
          </w:tcPr>
          <w:p w14:paraId="4AB011C3">
            <w:pPr>
              <w:spacing w:line="240" w:lineRule="auto"/>
              <w:jc w:val="center"/>
              <w:rPr>
                <w:sz w:val="21"/>
                <w:szCs w:val="21"/>
              </w:rPr>
            </w:pPr>
            <w:r>
              <w:rPr>
                <w:rFonts w:hint="eastAsia"/>
                <w:sz w:val="21"/>
                <w:szCs w:val="21"/>
              </w:rPr>
              <w:t xml:space="preserve">1.48 </w:t>
            </w:r>
          </w:p>
        </w:tc>
        <w:tc>
          <w:tcPr>
            <w:tcW w:w="977" w:type="dxa"/>
            <w:tcBorders>
              <w:top w:val="single" w:color="000000" w:sz="6" w:space="0"/>
              <w:left w:val="single" w:color="000000" w:sz="6" w:space="0"/>
              <w:bottom w:val="single" w:color="000000" w:sz="6" w:space="0"/>
              <w:right w:val="single" w:color="000000" w:sz="6" w:space="0"/>
            </w:tcBorders>
            <w:vAlign w:val="bottom"/>
          </w:tcPr>
          <w:p w14:paraId="3CD0AB20">
            <w:pPr>
              <w:spacing w:line="240" w:lineRule="auto"/>
              <w:jc w:val="center"/>
              <w:rPr>
                <w:sz w:val="21"/>
                <w:szCs w:val="21"/>
              </w:rPr>
            </w:pPr>
            <w:r>
              <w:rPr>
                <w:rFonts w:hint="eastAsia"/>
                <w:sz w:val="21"/>
                <w:szCs w:val="21"/>
              </w:rPr>
              <w:t xml:space="preserve">0.94 </w:t>
            </w:r>
          </w:p>
        </w:tc>
        <w:tc>
          <w:tcPr>
            <w:tcW w:w="675" w:type="dxa"/>
            <w:tcBorders>
              <w:top w:val="single" w:color="000000" w:sz="6" w:space="0"/>
              <w:left w:val="single" w:color="000000" w:sz="6" w:space="0"/>
              <w:bottom w:val="single" w:color="000000" w:sz="6" w:space="0"/>
              <w:right w:val="single" w:color="000000" w:sz="6" w:space="0"/>
            </w:tcBorders>
            <w:vAlign w:val="bottom"/>
          </w:tcPr>
          <w:p w14:paraId="62F3BCF8">
            <w:pPr>
              <w:spacing w:line="240" w:lineRule="auto"/>
              <w:jc w:val="center"/>
              <w:rPr>
                <w:sz w:val="21"/>
                <w:szCs w:val="21"/>
              </w:rPr>
            </w:pPr>
            <w:r>
              <w:rPr>
                <w:rFonts w:hint="eastAsia"/>
                <w:sz w:val="21"/>
                <w:szCs w:val="21"/>
              </w:rPr>
              <w:t xml:space="preserve">1.21 </w:t>
            </w:r>
          </w:p>
        </w:tc>
        <w:tc>
          <w:tcPr>
            <w:tcW w:w="895" w:type="dxa"/>
            <w:tcBorders>
              <w:top w:val="single" w:color="000000" w:sz="6" w:space="0"/>
              <w:left w:val="single" w:color="000000" w:sz="6" w:space="0"/>
              <w:bottom w:val="single" w:color="000000" w:sz="6" w:space="0"/>
              <w:right w:val="single" w:color="000000" w:sz="6" w:space="0"/>
            </w:tcBorders>
            <w:vAlign w:val="bottom"/>
          </w:tcPr>
          <w:p w14:paraId="38331947">
            <w:pPr>
              <w:spacing w:line="240" w:lineRule="auto"/>
              <w:jc w:val="center"/>
              <w:rPr>
                <w:sz w:val="21"/>
                <w:szCs w:val="21"/>
              </w:rPr>
            </w:pPr>
            <w:r>
              <w:rPr>
                <w:rFonts w:hint="eastAsia"/>
                <w:sz w:val="21"/>
                <w:szCs w:val="21"/>
              </w:rPr>
              <w:t xml:space="preserve">3.23 </w:t>
            </w:r>
          </w:p>
        </w:tc>
        <w:tc>
          <w:tcPr>
            <w:tcW w:w="845" w:type="dxa"/>
            <w:tcBorders>
              <w:top w:val="single" w:color="000000" w:sz="6" w:space="0"/>
              <w:left w:val="single" w:color="000000" w:sz="6" w:space="0"/>
              <w:bottom w:val="single" w:color="000000" w:sz="6" w:space="0"/>
              <w:right w:val="single" w:color="000000" w:sz="6" w:space="0"/>
            </w:tcBorders>
            <w:vAlign w:val="bottom"/>
          </w:tcPr>
          <w:p w14:paraId="55FE254D">
            <w:pPr>
              <w:spacing w:line="240" w:lineRule="auto"/>
              <w:jc w:val="center"/>
              <w:rPr>
                <w:sz w:val="21"/>
                <w:szCs w:val="21"/>
              </w:rPr>
            </w:pPr>
            <w:r>
              <w:rPr>
                <w:rFonts w:hint="eastAsia"/>
                <w:sz w:val="21"/>
                <w:szCs w:val="21"/>
              </w:rPr>
              <w:t xml:space="preserve">44.49 </w:t>
            </w:r>
          </w:p>
        </w:tc>
        <w:tc>
          <w:tcPr>
            <w:tcW w:w="846" w:type="dxa"/>
            <w:tcBorders>
              <w:top w:val="single" w:color="000000" w:sz="6" w:space="0"/>
              <w:left w:val="single" w:color="000000" w:sz="6" w:space="0"/>
              <w:bottom w:val="single" w:color="000000" w:sz="6" w:space="0"/>
              <w:right w:val="single" w:color="000000" w:sz="6" w:space="0"/>
            </w:tcBorders>
            <w:vAlign w:val="bottom"/>
          </w:tcPr>
          <w:p w14:paraId="18910025">
            <w:pPr>
              <w:spacing w:line="240" w:lineRule="auto"/>
              <w:jc w:val="center"/>
              <w:rPr>
                <w:sz w:val="21"/>
                <w:szCs w:val="21"/>
              </w:rPr>
            </w:pPr>
            <w:r>
              <w:rPr>
                <w:rFonts w:hint="eastAsia"/>
                <w:sz w:val="21"/>
                <w:szCs w:val="21"/>
              </w:rPr>
              <w:t xml:space="preserve">0.27 </w:t>
            </w:r>
          </w:p>
        </w:tc>
        <w:tc>
          <w:tcPr>
            <w:tcW w:w="788" w:type="dxa"/>
            <w:tcBorders>
              <w:top w:val="single" w:color="000000" w:sz="6" w:space="0"/>
              <w:left w:val="single" w:color="000000" w:sz="6" w:space="0"/>
              <w:bottom w:val="single" w:color="000000" w:sz="6" w:space="0"/>
            </w:tcBorders>
            <w:vAlign w:val="center"/>
          </w:tcPr>
          <w:p w14:paraId="73DADF95">
            <w:pPr>
              <w:spacing w:line="240" w:lineRule="auto"/>
              <w:jc w:val="center"/>
              <w:rPr>
                <w:sz w:val="21"/>
                <w:szCs w:val="21"/>
              </w:rPr>
            </w:pPr>
          </w:p>
        </w:tc>
      </w:tr>
      <w:tr w14:paraId="065116B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1B7C8392">
            <w:pPr>
              <w:spacing w:line="240" w:lineRule="auto"/>
              <w:jc w:val="center"/>
              <w:rPr>
                <w:sz w:val="21"/>
                <w:szCs w:val="21"/>
              </w:rPr>
            </w:pPr>
            <w:r>
              <w:rPr>
                <w:sz w:val="21"/>
                <w:szCs w:val="21"/>
              </w:rPr>
              <w:t>2月</w:t>
            </w:r>
          </w:p>
        </w:tc>
        <w:tc>
          <w:tcPr>
            <w:tcW w:w="845" w:type="dxa"/>
            <w:tcBorders>
              <w:top w:val="single" w:color="000000" w:sz="6" w:space="0"/>
              <w:left w:val="single" w:color="000000" w:sz="6" w:space="0"/>
              <w:bottom w:val="single" w:color="000000" w:sz="6" w:space="0"/>
              <w:right w:val="single" w:color="000000" w:sz="6" w:space="0"/>
            </w:tcBorders>
            <w:vAlign w:val="bottom"/>
          </w:tcPr>
          <w:p w14:paraId="235B019F">
            <w:pPr>
              <w:spacing w:line="240" w:lineRule="auto"/>
              <w:jc w:val="center"/>
              <w:rPr>
                <w:sz w:val="21"/>
                <w:szCs w:val="21"/>
              </w:rPr>
            </w:pPr>
            <w:r>
              <w:rPr>
                <w:rFonts w:hint="eastAsia"/>
                <w:sz w:val="21"/>
                <w:szCs w:val="21"/>
              </w:rPr>
              <w:t xml:space="preserve">1.04 </w:t>
            </w:r>
          </w:p>
        </w:tc>
        <w:tc>
          <w:tcPr>
            <w:tcW w:w="915" w:type="dxa"/>
            <w:tcBorders>
              <w:top w:val="single" w:color="000000" w:sz="6" w:space="0"/>
              <w:left w:val="single" w:color="000000" w:sz="6" w:space="0"/>
              <w:bottom w:val="single" w:color="000000" w:sz="6" w:space="0"/>
              <w:right w:val="single" w:color="000000" w:sz="6" w:space="0"/>
            </w:tcBorders>
            <w:vAlign w:val="bottom"/>
          </w:tcPr>
          <w:p w14:paraId="0BF8104D">
            <w:pPr>
              <w:spacing w:line="240" w:lineRule="auto"/>
              <w:jc w:val="center"/>
              <w:rPr>
                <w:sz w:val="21"/>
                <w:szCs w:val="21"/>
              </w:rPr>
            </w:pPr>
            <w:r>
              <w:rPr>
                <w:rFonts w:hint="eastAsia"/>
                <w:sz w:val="21"/>
                <w:szCs w:val="21"/>
              </w:rPr>
              <w:t xml:space="preserve">0.89 </w:t>
            </w:r>
          </w:p>
        </w:tc>
        <w:tc>
          <w:tcPr>
            <w:tcW w:w="732" w:type="dxa"/>
            <w:tcBorders>
              <w:top w:val="single" w:color="000000" w:sz="6" w:space="0"/>
              <w:left w:val="single" w:color="000000" w:sz="6" w:space="0"/>
              <w:bottom w:val="single" w:color="000000" w:sz="6" w:space="0"/>
              <w:right w:val="single" w:color="000000" w:sz="6" w:space="0"/>
            </w:tcBorders>
            <w:vAlign w:val="bottom"/>
          </w:tcPr>
          <w:p w14:paraId="6079B918">
            <w:pPr>
              <w:spacing w:line="240" w:lineRule="auto"/>
              <w:jc w:val="center"/>
              <w:rPr>
                <w:sz w:val="21"/>
                <w:szCs w:val="21"/>
              </w:rPr>
            </w:pPr>
            <w:r>
              <w:rPr>
                <w:rFonts w:hint="eastAsia"/>
                <w:sz w:val="21"/>
                <w:szCs w:val="21"/>
              </w:rPr>
              <w:t xml:space="preserve">1.79 </w:t>
            </w:r>
          </w:p>
        </w:tc>
        <w:tc>
          <w:tcPr>
            <w:tcW w:w="977" w:type="dxa"/>
            <w:tcBorders>
              <w:top w:val="single" w:color="000000" w:sz="6" w:space="0"/>
              <w:left w:val="single" w:color="000000" w:sz="6" w:space="0"/>
              <w:bottom w:val="single" w:color="000000" w:sz="6" w:space="0"/>
              <w:right w:val="single" w:color="000000" w:sz="6" w:space="0"/>
            </w:tcBorders>
            <w:vAlign w:val="bottom"/>
          </w:tcPr>
          <w:p w14:paraId="38B8AC5E">
            <w:pPr>
              <w:spacing w:line="240" w:lineRule="auto"/>
              <w:jc w:val="center"/>
              <w:rPr>
                <w:sz w:val="21"/>
                <w:szCs w:val="21"/>
              </w:rPr>
            </w:pPr>
            <w:r>
              <w:rPr>
                <w:rFonts w:hint="eastAsia"/>
                <w:sz w:val="21"/>
                <w:szCs w:val="21"/>
              </w:rPr>
              <w:t xml:space="preserve">1.04 </w:t>
            </w:r>
          </w:p>
        </w:tc>
        <w:tc>
          <w:tcPr>
            <w:tcW w:w="675" w:type="dxa"/>
            <w:tcBorders>
              <w:top w:val="single" w:color="000000" w:sz="6" w:space="0"/>
              <w:left w:val="single" w:color="000000" w:sz="6" w:space="0"/>
              <w:bottom w:val="single" w:color="000000" w:sz="6" w:space="0"/>
              <w:right w:val="single" w:color="000000" w:sz="6" w:space="0"/>
            </w:tcBorders>
            <w:vAlign w:val="bottom"/>
          </w:tcPr>
          <w:p w14:paraId="2406DB31">
            <w:pPr>
              <w:spacing w:line="240" w:lineRule="auto"/>
              <w:jc w:val="center"/>
              <w:rPr>
                <w:sz w:val="21"/>
                <w:szCs w:val="21"/>
              </w:rPr>
            </w:pPr>
            <w:r>
              <w:rPr>
                <w:rFonts w:hint="eastAsia"/>
                <w:sz w:val="21"/>
                <w:szCs w:val="21"/>
              </w:rPr>
              <w:t xml:space="preserve">2.38 </w:t>
            </w:r>
          </w:p>
        </w:tc>
        <w:tc>
          <w:tcPr>
            <w:tcW w:w="895" w:type="dxa"/>
            <w:tcBorders>
              <w:top w:val="single" w:color="000000" w:sz="6" w:space="0"/>
              <w:left w:val="single" w:color="000000" w:sz="6" w:space="0"/>
              <w:bottom w:val="single" w:color="000000" w:sz="6" w:space="0"/>
              <w:right w:val="single" w:color="000000" w:sz="6" w:space="0"/>
            </w:tcBorders>
            <w:vAlign w:val="bottom"/>
          </w:tcPr>
          <w:p w14:paraId="1AF2BBCC">
            <w:pPr>
              <w:spacing w:line="240" w:lineRule="auto"/>
              <w:jc w:val="center"/>
              <w:rPr>
                <w:sz w:val="21"/>
                <w:szCs w:val="21"/>
              </w:rPr>
            </w:pPr>
            <w:r>
              <w:rPr>
                <w:rFonts w:hint="eastAsia"/>
                <w:sz w:val="21"/>
                <w:szCs w:val="21"/>
              </w:rPr>
              <w:t xml:space="preserve">3.42 </w:t>
            </w:r>
          </w:p>
        </w:tc>
        <w:tc>
          <w:tcPr>
            <w:tcW w:w="845" w:type="dxa"/>
            <w:tcBorders>
              <w:top w:val="single" w:color="000000" w:sz="6" w:space="0"/>
              <w:left w:val="single" w:color="000000" w:sz="6" w:space="0"/>
              <w:bottom w:val="single" w:color="000000" w:sz="6" w:space="0"/>
              <w:right w:val="single" w:color="000000" w:sz="6" w:space="0"/>
            </w:tcBorders>
            <w:vAlign w:val="bottom"/>
          </w:tcPr>
          <w:p w14:paraId="23AD9791">
            <w:pPr>
              <w:spacing w:line="240" w:lineRule="auto"/>
              <w:jc w:val="center"/>
              <w:rPr>
                <w:sz w:val="21"/>
                <w:szCs w:val="21"/>
              </w:rPr>
            </w:pPr>
            <w:r>
              <w:rPr>
                <w:rFonts w:hint="eastAsia"/>
                <w:sz w:val="21"/>
                <w:szCs w:val="21"/>
              </w:rPr>
              <w:t xml:space="preserve">37.95 </w:t>
            </w:r>
          </w:p>
        </w:tc>
        <w:tc>
          <w:tcPr>
            <w:tcW w:w="846" w:type="dxa"/>
            <w:tcBorders>
              <w:top w:val="single" w:color="000000" w:sz="6" w:space="0"/>
              <w:left w:val="single" w:color="000000" w:sz="6" w:space="0"/>
              <w:bottom w:val="single" w:color="000000" w:sz="6" w:space="0"/>
              <w:right w:val="single" w:color="000000" w:sz="6" w:space="0"/>
            </w:tcBorders>
            <w:vAlign w:val="bottom"/>
          </w:tcPr>
          <w:p w14:paraId="725A3A62">
            <w:pPr>
              <w:spacing w:line="240" w:lineRule="auto"/>
              <w:jc w:val="center"/>
              <w:rPr>
                <w:sz w:val="21"/>
                <w:szCs w:val="21"/>
              </w:rPr>
            </w:pPr>
            <w:r>
              <w:rPr>
                <w:rFonts w:hint="eastAsia"/>
                <w:sz w:val="21"/>
                <w:szCs w:val="21"/>
              </w:rPr>
              <w:t xml:space="preserve">0.89 </w:t>
            </w:r>
          </w:p>
        </w:tc>
        <w:tc>
          <w:tcPr>
            <w:tcW w:w="788" w:type="dxa"/>
            <w:tcBorders>
              <w:top w:val="single" w:color="000000" w:sz="6" w:space="0"/>
              <w:left w:val="single" w:color="000000" w:sz="6" w:space="0"/>
              <w:bottom w:val="single" w:color="000000" w:sz="6" w:space="0"/>
            </w:tcBorders>
            <w:vAlign w:val="center"/>
          </w:tcPr>
          <w:p w14:paraId="08C54B84">
            <w:pPr>
              <w:spacing w:line="240" w:lineRule="auto"/>
              <w:jc w:val="center"/>
              <w:rPr>
                <w:sz w:val="21"/>
                <w:szCs w:val="21"/>
              </w:rPr>
            </w:pPr>
          </w:p>
        </w:tc>
      </w:tr>
      <w:tr w14:paraId="0AED437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C528D61">
            <w:pPr>
              <w:spacing w:line="240" w:lineRule="auto"/>
              <w:jc w:val="center"/>
              <w:rPr>
                <w:sz w:val="21"/>
                <w:szCs w:val="21"/>
              </w:rPr>
            </w:pPr>
            <w:r>
              <w:rPr>
                <w:sz w:val="21"/>
                <w:szCs w:val="21"/>
              </w:rPr>
              <w:t>3月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6412C41">
            <w:pPr>
              <w:spacing w:line="240" w:lineRule="auto"/>
              <w:jc w:val="center"/>
              <w:rPr>
                <w:sz w:val="21"/>
                <w:szCs w:val="21"/>
              </w:rPr>
            </w:pPr>
            <w:r>
              <w:rPr>
                <w:rFonts w:hint="eastAsia"/>
                <w:sz w:val="21"/>
                <w:szCs w:val="21"/>
              </w:rPr>
              <w:t xml:space="preserve">3.09 </w:t>
            </w:r>
          </w:p>
        </w:tc>
        <w:tc>
          <w:tcPr>
            <w:tcW w:w="915" w:type="dxa"/>
            <w:tcBorders>
              <w:top w:val="single" w:color="000000" w:sz="6" w:space="0"/>
              <w:left w:val="single" w:color="000000" w:sz="6" w:space="0"/>
              <w:bottom w:val="single" w:color="000000" w:sz="6" w:space="0"/>
              <w:right w:val="single" w:color="000000" w:sz="6" w:space="0"/>
            </w:tcBorders>
            <w:vAlign w:val="bottom"/>
          </w:tcPr>
          <w:p w14:paraId="7BE2BBD5">
            <w:pPr>
              <w:spacing w:line="240" w:lineRule="auto"/>
              <w:jc w:val="center"/>
              <w:rPr>
                <w:sz w:val="21"/>
                <w:szCs w:val="21"/>
              </w:rPr>
            </w:pPr>
            <w:r>
              <w:rPr>
                <w:rFonts w:hint="eastAsia"/>
                <w:sz w:val="21"/>
                <w:szCs w:val="21"/>
              </w:rPr>
              <w:t xml:space="preserve">1.34 </w:t>
            </w:r>
          </w:p>
        </w:tc>
        <w:tc>
          <w:tcPr>
            <w:tcW w:w="732" w:type="dxa"/>
            <w:tcBorders>
              <w:top w:val="single" w:color="000000" w:sz="6" w:space="0"/>
              <w:left w:val="single" w:color="000000" w:sz="6" w:space="0"/>
              <w:bottom w:val="single" w:color="000000" w:sz="6" w:space="0"/>
              <w:right w:val="single" w:color="000000" w:sz="6" w:space="0"/>
            </w:tcBorders>
            <w:vAlign w:val="bottom"/>
          </w:tcPr>
          <w:p w14:paraId="7B0A5878">
            <w:pPr>
              <w:spacing w:line="240" w:lineRule="auto"/>
              <w:jc w:val="center"/>
              <w:rPr>
                <w:sz w:val="21"/>
                <w:szCs w:val="21"/>
              </w:rPr>
            </w:pPr>
            <w:r>
              <w:rPr>
                <w:rFonts w:hint="eastAsia"/>
                <w:sz w:val="21"/>
                <w:szCs w:val="21"/>
              </w:rPr>
              <w:t xml:space="preserve">1.88 </w:t>
            </w:r>
          </w:p>
        </w:tc>
        <w:tc>
          <w:tcPr>
            <w:tcW w:w="977" w:type="dxa"/>
            <w:tcBorders>
              <w:top w:val="single" w:color="000000" w:sz="6" w:space="0"/>
              <w:left w:val="single" w:color="000000" w:sz="6" w:space="0"/>
              <w:bottom w:val="single" w:color="000000" w:sz="6" w:space="0"/>
              <w:right w:val="single" w:color="000000" w:sz="6" w:space="0"/>
            </w:tcBorders>
            <w:vAlign w:val="bottom"/>
          </w:tcPr>
          <w:p w14:paraId="5CBCE23B">
            <w:pPr>
              <w:spacing w:line="240" w:lineRule="auto"/>
              <w:jc w:val="center"/>
              <w:rPr>
                <w:sz w:val="21"/>
                <w:szCs w:val="21"/>
              </w:rPr>
            </w:pPr>
            <w:r>
              <w:rPr>
                <w:rFonts w:hint="eastAsia"/>
                <w:sz w:val="21"/>
                <w:szCs w:val="21"/>
              </w:rPr>
              <w:t xml:space="preserve">1.21 </w:t>
            </w:r>
          </w:p>
        </w:tc>
        <w:tc>
          <w:tcPr>
            <w:tcW w:w="675" w:type="dxa"/>
            <w:tcBorders>
              <w:top w:val="single" w:color="000000" w:sz="6" w:space="0"/>
              <w:left w:val="single" w:color="000000" w:sz="6" w:space="0"/>
              <w:bottom w:val="single" w:color="000000" w:sz="6" w:space="0"/>
              <w:right w:val="single" w:color="000000" w:sz="6" w:space="0"/>
            </w:tcBorders>
            <w:vAlign w:val="bottom"/>
          </w:tcPr>
          <w:p w14:paraId="1CBD107B">
            <w:pPr>
              <w:spacing w:line="240" w:lineRule="auto"/>
              <w:jc w:val="center"/>
              <w:rPr>
                <w:sz w:val="21"/>
                <w:szCs w:val="21"/>
              </w:rPr>
            </w:pPr>
            <w:r>
              <w:rPr>
                <w:rFonts w:hint="eastAsia"/>
                <w:sz w:val="21"/>
                <w:szCs w:val="21"/>
              </w:rPr>
              <w:t xml:space="preserve">2.55 </w:t>
            </w:r>
          </w:p>
        </w:tc>
        <w:tc>
          <w:tcPr>
            <w:tcW w:w="895" w:type="dxa"/>
            <w:tcBorders>
              <w:top w:val="single" w:color="000000" w:sz="6" w:space="0"/>
              <w:left w:val="single" w:color="000000" w:sz="6" w:space="0"/>
              <w:bottom w:val="single" w:color="000000" w:sz="6" w:space="0"/>
              <w:right w:val="single" w:color="000000" w:sz="6" w:space="0"/>
            </w:tcBorders>
            <w:vAlign w:val="bottom"/>
          </w:tcPr>
          <w:p w14:paraId="1F7746CA">
            <w:pPr>
              <w:spacing w:line="240" w:lineRule="auto"/>
              <w:jc w:val="center"/>
              <w:rPr>
                <w:sz w:val="21"/>
                <w:szCs w:val="21"/>
              </w:rPr>
            </w:pPr>
            <w:r>
              <w:rPr>
                <w:rFonts w:hint="eastAsia"/>
                <w:sz w:val="21"/>
                <w:szCs w:val="21"/>
              </w:rPr>
              <w:t xml:space="preserve">3.90 </w:t>
            </w:r>
          </w:p>
        </w:tc>
        <w:tc>
          <w:tcPr>
            <w:tcW w:w="845" w:type="dxa"/>
            <w:tcBorders>
              <w:top w:val="single" w:color="000000" w:sz="6" w:space="0"/>
              <w:left w:val="single" w:color="000000" w:sz="6" w:space="0"/>
              <w:bottom w:val="single" w:color="000000" w:sz="6" w:space="0"/>
              <w:right w:val="single" w:color="000000" w:sz="6" w:space="0"/>
            </w:tcBorders>
            <w:vAlign w:val="bottom"/>
          </w:tcPr>
          <w:p w14:paraId="11D1560A">
            <w:pPr>
              <w:spacing w:line="240" w:lineRule="auto"/>
              <w:jc w:val="center"/>
              <w:rPr>
                <w:sz w:val="21"/>
                <w:szCs w:val="21"/>
              </w:rPr>
            </w:pPr>
            <w:r>
              <w:rPr>
                <w:rFonts w:hint="eastAsia"/>
                <w:sz w:val="21"/>
                <w:szCs w:val="21"/>
              </w:rPr>
              <w:t xml:space="preserve">24.19 </w:t>
            </w:r>
          </w:p>
        </w:tc>
        <w:tc>
          <w:tcPr>
            <w:tcW w:w="846" w:type="dxa"/>
            <w:tcBorders>
              <w:top w:val="single" w:color="000000" w:sz="6" w:space="0"/>
              <w:left w:val="single" w:color="000000" w:sz="6" w:space="0"/>
              <w:bottom w:val="single" w:color="000000" w:sz="6" w:space="0"/>
              <w:right w:val="single" w:color="000000" w:sz="6" w:space="0"/>
            </w:tcBorders>
            <w:vAlign w:val="bottom"/>
          </w:tcPr>
          <w:p w14:paraId="51A38A81">
            <w:pPr>
              <w:spacing w:line="240" w:lineRule="auto"/>
              <w:jc w:val="center"/>
              <w:rPr>
                <w:sz w:val="21"/>
                <w:szCs w:val="21"/>
              </w:rPr>
            </w:pPr>
            <w:r>
              <w:rPr>
                <w:rFonts w:hint="eastAsia"/>
                <w:sz w:val="21"/>
                <w:szCs w:val="21"/>
              </w:rPr>
              <w:t xml:space="preserve">0.27 </w:t>
            </w:r>
          </w:p>
        </w:tc>
        <w:tc>
          <w:tcPr>
            <w:tcW w:w="788" w:type="dxa"/>
            <w:tcBorders>
              <w:top w:val="single" w:color="000000" w:sz="6" w:space="0"/>
              <w:left w:val="single" w:color="000000" w:sz="6" w:space="0"/>
              <w:bottom w:val="single" w:color="000000" w:sz="6" w:space="0"/>
            </w:tcBorders>
            <w:vAlign w:val="center"/>
          </w:tcPr>
          <w:p w14:paraId="38470436">
            <w:pPr>
              <w:spacing w:line="240" w:lineRule="auto"/>
              <w:jc w:val="center"/>
              <w:rPr>
                <w:sz w:val="21"/>
                <w:szCs w:val="21"/>
              </w:rPr>
            </w:pPr>
          </w:p>
        </w:tc>
      </w:tr>
      <w:tr w14:paraId="17F0517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362604D">
            <w:pPr>
              <w:spacing w:line="240" w:lineRule="auto"/>
              <w:jc w:val="center"/>
              <w:rPr>
                <w:sz w:val="21"/>
                <w:szCs w:val="21"/>
              </w:rPr>
            </w:pPr>
            <w:r>
              <w:rPr>
                <w:sz w:val="21"/>
                <w:szCs w:val="21"/>
              </w:rPr>
              <w:t>4月</w:t>
            </w:r>
          </w:p>
        </w:tc>
        <w:tc>
          <w:tcPr>
            <w:tcW w:w="845" w:type="dxa"/>
            <w:tcBorders>
              <w:top w:val="single" w:color="000000" w:sz="6" w:space="0"/>
              <w:left w:val="single" w:color="000000" w:sz="6" w:space="0"/>
              <w:bottom w:val="single" w:color="000000" w:sz="6" w:space="0"/>
              <w:right w:val="single" w:color="000000" w:sz="6" w:space="0"/>
            </w:tcBorders>
            <w:vAlign w:val="bottom"/>
          </w:tcPr>
          <w:p w14:paraId="2828E4AB">
            <w:pPr>
              <w:spacing w:line="240" w:lineRule="auto"/>
              <w:jc w:val="center"/>
              <w:rPr>
                <w:sz w:val="21"/>
                <w:szCs w:val="21"/>
              </w:rPr>
            </w:pPr>
            <w:r>
              <w:rPr>
                <w:rFonts w:hint="eastAsia"/>
                <w:sz w:val="21"/>
                <w:szCs w:val="21"/>
              </w:rPr>
              <w:t xml:space="preserve">4.58 </w:t>
            </w:r>
          </w:p>
        </w:tc>
        <w:tc>
          <w:tcPr>
            <w:tcW w:w="915" w:type="dxa"/>
            <w:tcBorders>
              <w:top w:val="single" w:color="000000" w:sz="6" w:space="0"/>
              <w:left w:val="single" w:color="000000" w:sz="6" w:space="0"/>
              <w:bottom w:val="single" w:color="000000" w:sz="6" w:space="0"/>
              <w:right w:val="single" w:color="000000" w:sz="6" w:space="0"/>
            </w:tcBorders>
            <w:vAlign w:val="bottom"/>
          </w:tcPr>
          <w:p w14:paraId="320394EF">
            <w:pPr>
              <w:spacing w:line="240" w:lineRule="auto"/>
              <w:jc w:val="center"/>
              <w:rPr>
                <w:sz w:val="21"/>
                <w:szCs w:val="21"/>
              </w:rPr>
            </w:pPr>
            <w:r>
              <w:rPr>
                <w:rFonts w:hint="eastAsia"/>
                <w:sz w:val="21"/>
                <w:szCs w:val="21"/>
              </w:rPr>
              <w:t xml:space="preserve">2.50 </w:t>
            </w:r>
          </w:p>
        </w:tc>
        <w:tc>
          <w:tcPr>
            <w:tcW w:w="732" w:type="dxa"/>
            <w:tcBorders>
              <w:top w:val="single" w:color="000000" w:sz="6" w:space="0"/>
              <w:left w:val="single" w:color="000000" w:sz="6" w:space="0"/>
              <w:bottom w:val="single" w:color="000000" w:sz="6" w:space="0"/>
              <w:right w:val="single" w:color="000000" w:sz="6" w:space="0"/>
            </w:tcBorders>
            <w:vAlign w:val="bottom"/>
          </w:tcPr>
          <w:p w14:paraId="31437FEA">
            <w:pPr>
              <w:spacing w:line="240" w:lineRule="auto"/>
              <w:jc w:val="center"/>
              <w:rPr>
                <w:sz w:val="21"/>
                <w:szCs w:val="21"/>
              </w:rPr>
            </w:pPr>
            <w:r>
              <w:rPr>
                <w:rFonts w:hint="eastAsia"/>
                <w:sz w:val="21"/>
                <w:szCs w:val="21"/>
              </w:rPr>
              <w:t xml:space="preserve">3.89 </w:t>
            </w:r>
          </w:p>
        </w:tc>
        <w:tc>
          <w:tcPr>
            <w:tcW w:w="977" w:type="dxa"/>
            <w:tcBorders>
              <w:top w:val="single" w:color="000000" w:sz="6" w:space="0"/>
              <w:left w:val="single" w:color="000000" w:sz="6" w:space="0"/>
              <w:bottom w:val="single" w:color="000000" w:sz="6" w:space="0"/>
              <w:right w:val="single" w:color="000000" w:sz="6" w:space="0"/>
            </w:tcBorders>
            <w:vAlign w:val="bottom"/>
          </w:tcPr>
          <w:p w14:paraId="12E82CC1">
            <w:pPr>
              <w:spacing w:line="240" w:lineRule="auto"/>
              <w:jc w:val="center"/>
              <w:rPr>
                <w:sz w:val="21"/>
                <w:szCs w:val="21"/>
              </w:rPr>
            </w:pPr>
            <w:r>
              <w:rPr>
                <w:rFonts w:hint="eastAsia"/>
                <w:sz w:val="21"/>
                <w:szCs w:val="21"/>
              </w:rPr>
              <w:t xml:space="preserve">2.36 </w:t>
            </w:r>
          </w:p>
        </w:tc>
        <w:tc>
          <w:tcPr>
            <w:tcW w:w="675" w:type="dxa"/>
            <w:tcBorders>
              <w:top w:val="single" w:color="000000" w:sz="6" w:space="0"/>
              <w:left w:val="single" w:color="000000" w:sz="6" w:space="0"/>
              <w:bottom w:val="single" w:color="000000" w:sz="6" w:space="0"/>
              <w:right w:val="single" w:color="000000" w:sz="6" w:space="0"/>
            </w:tcBorders>
            <w:vAlign w:val="bottom"/>
          </w:tcPr>
          <w:p w14:paraId="4C50FFF4">
            <w:pPr>
              <w:spacing w:line="240" w:lineRule="auto"/>
              <w:jc w:val="center"/>
              <w:rPr>
                <w:sz w:val="21"/>
                <w:szCs w:val="21"/>
              </w:rPr>
            </w:pPr>
            <w:r>
              <w:rPr>
                <w:rFonts w:hint="eastAsia"/>
                <w:sz w:val="21"/>
                <w:szCs w:val="21"/>
              </w:rPr>
              <w:t xml:space="preserve">2.08 </w:t>
            </w:r>
          </w:p>
        </w:tc>
        <w:tc>
          <w:tcPr>
            <w:tcW w:w="895" w:type="dxa"/>
            <w:tcBorders>
              <w:top w:val="single" w:color="000000" w:sz="6" w:space="0"/>
              <w:left w:val="single" w:color="000000" w:sz="6" w:space="0"/>
              <w:bottom w:val="single" w:color="000000" w:sz="6" w:space="0"/>
              <w:right w:val="single" w:color="000000" w:sz="6" w:space="0"/>
            </w:tcBorders>
            <w:vAlign w:val="bottom"/>
          </w:tcPr>
          <w:p w14:paraId="391D084B">
            <w:pPr>
              <w:spacing w:line="240" w:lineRule="auto"/>
              <w:jc w:val="center"/>
              <w:rPr>
                <w:sz w:val="21"/>
                <w:szCs w:val="21"/>
              </w:rPr>
            </w:pPr>
            <w:r>
              <w:rPr>
                <w:rFonts w:hint="eastAsia"/>
                <w:sz w:val="21"/>
                <w:szCs w:val="21"/>
              </w:rPr>
              <w:t xml:space="preserve">3.47 </w:t>
            </w:r>
          </w:p>
        </w:tc>
        <w:tc>
          <w:tcPr>
            <w:tcW w:w="845" w:type="dxa"/>
            <w:tcBorders>
              <w:top w:val="single" w:color="000000" w:sz="6" w:space="0"/>
              <w:left w:val="single" w:color="000000" w:sz="6" w:space="0"/>
              <w:bottom w:val="single" w:color="000000" w:sz="6" w:space="0"/>
              <w:right w:val="single" w:color="000000" w:sz="6" w:space="0"/>
            </w:tcBorders>
            <w:vAlign w:val="bottom"/>
          </w:tcPr>
          <w:p w14:paraId="6542DDD5">
            <w:pPr>
              <w:spacing w:line="240" w:lineRule="auto"/>
              <w:jc w:val="center"/>
              <w:rPr>
                <w:sz w:val="21"/>
                <w:szCs w:val="21"/>
              </w:rPr>
            </w:pPr>
            <w:r>
              <w:rPr>
                <w:rFonts w:hint="eastAsia"/>
                <w:sz w:val="21"/>
                <w:szCs w:val="21"/>
              </w:rPr>
              <w:t xml:space="preserve">19.31 </w:t>
            </w:r>
          </w:p>
        </w:tc>
        <w:tc>
          <w:tcPr>
            <w:tcW w:w="846" w:type="dxa"/>
            <w:tcBorders>
              <w:top w:val="single" w:color="000000" w:sz="6" w:space="0"/>
              <w:left w:val="single" w:color="000000" w:sz="6" w:space="0"/>
              <w:bottom w:val="single" w:color="000000" w:sz="6" w:space="0"/>
              <w:right w:val="single" w:color="000000" w:sz="6" w:space="0"/>
            </w:tcBorders>
            <w:vAlign w:val="bottom"/>
          </w:tcPr>
          <w:p w14:paraId="158182C6">
            <w:pPr>
              <w:spacing w:line="240" w:lineRule="auto"/>
              <w:jc w:val="center"/>
              <w:rPr>
                <w:sz w:val="21"/>
                <w:szCs w:val="21"/>
              </w:rPr>
            </w:pPr>
            <w:r>
              <w:rPr>
                <w:rFonts w:hint="eastAsia"/>
                <w:sz w:val="21"/>
                <w:szCs w:val="21"/>
              </w:rPr>
              <w:t xml:space="preserve">0.42 </w:t>
            </w:r>
          </w:p>
        </w:tc>
        <w:tc>
          <w:tcPr>
            <w:tcW w:w="788" w:type="dxa"/>
            <w:tcBorders>
              <w:top w:val="single" w:color="000000" w:sz="6" w:space="0"/>
              <w:left w:val="single" w:color="000000" w:sz="6" w:space="0"/>
              <w:bottom w:val="single" w:color="000000" w:sz="6" w:space="0"/>
            </w:tcBorders>
            <w:vAlign w:val="center"/>
          </w:tcPr>
          <w:p w14:paraId="128A4739">
            <w:pPr>
              <w:spacing w:line="240" w:lineRule="auto"/>
              <w:jc w:val="center"/>
              <w:rPr>
                <w:sz w:val="21"/>
                <w:szCs w:val="21"/>
              </w:rPr>
            </w:pPr>
          </w:p>
        </w:tc>
      </w:tr>
      <w:tr w14:paraId="733789F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E3AEBA6">
            <w:pPr>
              <w:spacing w:line="240" w:lineRule="auto"/>
              <w:jc w:val="center"/>
              <w:rPr>
                <w:sz w:val="21"/>
                <w:szCs w:val="21"/>
              </w:rPr>
            </w:pPr>
            <w:r>
              <w:rPr>
                <w:sz w:val="21"/>
                <w:szCs w:val="21"/>
              </w:rPr>
              <w:t>5月</w:t>
            </w:r>
          </w:p>
        </w:tc>
        <w:tc>
          <w:tcPr>
            <w:tcW w:w="845" w:type="dxa"/>
            <w:tcBorders>
              <w:top w:val="single" w:color="000000" w:sz="6" w:space="0"/>
              <w:left w:val="single" w:color="000000" w:sz="6" w:space="0"/>
              <w:bottom w:val="single" w:color="000000" w:sz="6" w:space="0"/>
              <w:right w:val="single" w:color="000000" w:sz="6" w:space="0"/>
            </w:tcBorders>
            <w:vAlign w:val="bottom"/>
          </w:tcPr>
          <w:p w14:paraId="6513F281">
            <w:pPr>
              <w:spacing w:line="240" w:lineRule="auto"/>
              <w:jc w:val="center"/>
              <w:rPr>
                <w:sz w:val="21"/>
                <w:szCs w:val="21"/>
              </w:rPr>
            </w:pPr>
            <w:r>
              <w:rPr>
                <w:rFonts w:hint="eastAsia"/>
                <w:sz w:val="21"/>
                <w:szCs w:val="21"/>
              </w:rPr>
              <w:t xml:space="preserve">5.24 </w:t>
            </w:r>
          </w:p>
        </w:tc>
        <w:tc>
          <w:tcPr>
            <w:tcW w:w="915" w:type="dxa"/>
            <w:tcBorders>
              <w:top w:val="single" w:color="000000" w:sz="6" w:space="0"/>
              <w:left w:val="single" w:color="000000" w:sz="6" w:space="0"/>
              <w:bottom w:val="single" w:color="000000" w:sz="6" w:space="0"/>
              <w:right w:val="single" w:color="000000" w:sz="6" w:space="0"/>
            </w:tcBorders>
            <w:vAlign w:val="bottom"/>
          </w:tcPr>
          <w:p w14:paraId="3C5C1E13">
            <w:pPr>
              <w:spacing w:line="240" w:lineRule="auto"/>
              <w:jc w:val="center"/>
              <w:rPr>
                <w:sz w:val="21"/>
                <w:szCs w:val="21"/>
              </w:rPr>
            </w:pPr>
            <w:r>
              <w:rPr>
                <w:rFonts w:hint="eastAsia"/>
                <w:sz w:val="21"/>
                <w:szCs w:val="21"/>
              </w:rPr>
              <w:t xml:space="preserve">3.63 </w:t>
            </w:r>
          </w:p>
        </w:tc>
        <w:tc>
          <w:tcPr>
            <w:tcW w:w="732" w:type="dxa"/>
            <w:tcBorders>
              <w:top w:val="single" w:color="000000" w:sz="6" w:space="0"/>
              <w:left w:val="single" w:color="000000" w:sz="6" w:space="0"/>
              <w:bottom w:val="single" w:color="000000" w:sz="6" w:space="0"/>
              <w:right w:val="single" w:color="000000" w:sz="6" w:space="0"/>
            </w:tcBorders>
            <w:vAlign w:val="bottom"/>
          </w:tcPr>
          <w:p w14:paraId="7A4C8141">
            <w:pPr>
              <w:spacing w:line="240" w:lineRule="auto"/>
              <w:jc w:val="center"/>
              <w:rPr>
                <w:sz w:val="21"/>
                <w:szCs w:val="21"/>
              </w:rPr>
            </w:pPr>
            <w:r>
              <w:rPr>
                <w:rFonts w:hint="eastAsia"/>
                <w:sz w:val="21"/>
                <w:szCs w:val="21"/>
              </w:rPr>
              <w:t xml:space="preserve">2.96 </w:t>
            </w:r>
          </w:p>
        </w:tc>
        <w:tc>
          <w:tcPr>
            <w:tcW w:w="977" w:type="dxa"/>
            <w:tcBorders>
              <w:top w:val="single" w:color="000000" w:sz="6" w:space="0"/>
              <w:left w:val="single" w:color="000000" w:sz="6" w:space="0"/>
              <w:bottom w:val="single" w:color="000000" w:sz="6" w:space="0"/>
              <w:right w:val="single" w:color="000000" w:sz="6" w:space="0"/>
            </w:tcBorders>
            <w:vAlign w:val="bottom"/>
          </w:tcPr>
          <w:p w14:paraId="21FDB387">
            <w:pPr>
              <w:spacing w:line="240" w:lineRule="auto"/>
              <w:jc w:val="center"/>
              <w:rPr>
                <w:sz w:val="21"/>
                <w:szCs w:val="21"/>
              </w:rPr>
            </w:pPr>
            <w:r>
              <w:rPr>
                <w:rFonts w:hint="eastAsia"/>
                <w:sz w:val="21"/>
                <w:szCs w:val="21"/>
              </w:rPr>
              <w:t xml:space="preserve">3.90 </w:t>
            </w:r>
          </w:p>
        </w:tc>
        <w:tc>
          <w:tcPr>
            <w:tcW w:w="675" w:type="dxa"/>
            <w:tcBorders>
              <w:top w:val="single" w:color="000000" w:sz="6" w:space="0"/>
              <w:left w:val="single" w:color="000000" w:sz="6" w:space="0"/>
              <w:bottom w:val="single" w:color="000000" w:sz="6" w:space="0"/>
              <w:right w:val="single" w:color="000000" w:sz="6" w:space="0"/>
            </w:tcBorders>
            <w:vAlign w:val="bottom"/>
          </w:tcPr>
          <w:p w14:paraId="3DCB2AC6">
            <w:pPr>
              <w:spacing w:line="240" w:lineRule="auto"/>
              <w:jc w:val="center"/>
              <w:rPr>
                <w:sz w:val="21"/>
                <w:szCs w:val="21"/>
              </w:rPr>
            </w:pPr>
            <w:r>
              <w:rPr>
                <w:rFonts w:hint="eastAsia"/>
                <w:sz w:val="21"/>
                <w:szCs w:val="21"/>
              </w:rPr>
              <w:t xml:space="preserve">2.69 </w:t>
            </w:r>
          </w:p>
        </w:tc>
        <w:tc>
          <w:tcPr>
            <w:tcW w:w="895" w:type="dxa"/>
            <w:tcBorders>
              <w:top w:val="single" w:color="000000" w:sz="6" w:space="0"/>
              <w:left w:val="single" w:color="000000" w:sz="6" w:space="0"/>
              <w:bottom w:val="single" w:color="000000" w:sz="6" w:space="0"/>
              <w:right w:val="single" w:color="000000" w:sz="6" w:space="0"/>
            </w:tcBorders>
            <w:vAlign w:val="bottom"/>
          </w:tcPr>
          <w:p w14:paraId="709514E9">
            <w:pPr>
              <w:spacing w:line="240" w:lineRule="auto"/>
              <w:jc w:val="center"/>
              <w:rPr>
                <w:sz w:val="21"/>
                <w:szCs w:val="21"/>
              </w:rPr>
            </w:pPr>
            <w:r>
              <w:rPr>
                <w:rFonts w:hint="eastAsia"/>
                <w:sz w:val="21"/>
                <w:szCs w:val="21"/>
              </w:rPr>
              <w:t xml:space="preserve">3.49 </w:t>
            </w:r>
          </w:p>
        </w:tc>
        <w:tc>
          <w:tcPr>
            <w:tcW w:w="845" w:type="dxa"/>
            <w:tcBorders>
              <w:top w:val="single" w:color="000000" w:sz="6" w:space="0"/>
              <w:left w:val="single" w:color="000000" w:sz="6" w:space="0"/>
              <w:bottom w:val="single" w:color="000000" w:sz="6" w:space="0"/>
              <w:right w:val="single" w:color="000000" w:sz="6" w:space="0"/>
            </w:tcBorders>
            <w:vAlign w:val="bottom"/>
          </w:tcPr>
          <w:p w14:paraId="0327F9B4">
            <w:pPr>
              <w:spacing w:line="240" w:lineRule="auto"/>
              <w:jc w:val="center"/>
              <w:rPr>
                <w:sz w:val="21"/>
                <w:szCs w:val="21"/>
              </w:rPr>
            </w:pPr>
            <w:r>
              <w:rPr>
                <w:rFonts w:hint="eastAsia"/>
                <w:sz w:val="21"/>
                <w:szCs w:val="21"/>
              </w:rPr>
              <w:t xml:space="preserve">28.49 </w:t>
            </w:r>
          </w:p>
        </w:tc>
        <w:tc>
          <w:tcPr>
            <w:tcW w:w="846" w:type="dxa"/>
            <w:tcBorders>
              <w:top w:val="single" w:color="000000" w:sz="6" w:space="0"/>
              <w:left w:val="single" w:color="000000" w:sz="6" w:space="0"/>
              <w:bottom w:val="single" w:color="000000" w:sz="6" w:space="0"/>
              <w:right w:val="single" w:color="000000" w:sz="6" w:space="0"/>
            </w:tcBorders>
            <w:vAlign w:val="bottom"/>
          </w:tcPr>
          <w:p w14:paraId="13B48F1E">
            <w:pPr>
              <w:spacing w:line="240" w:lineRule="auto"/>
              <w:jc w:val="center"/>
              <w:rPr>
                <w:sz w:val="21"/>
                <w:szCs w:val="21"/>
              </w:rPr>
            </w:pPr>
            <w:r>
              <w:rPr>
                <w:rFonts w:hint="eastAsia"/>
                <w:sz w:val="21"/>
                <w:szCs w:val="21"/>
              </w:rPr>
              <w:t xml:space="preserve">0.00 </w:t>
            </w:r>
          </w:p>
        </w:tc>
        <w:tc>
          <w:tcPr>
            <w:tcW w:w="788" w:type="dxa"/>
            <w:tcBorders>
              <w:top w:val="single" w:color="000000" w:sz="6" w:space="0"/>
              <w:left w:val="single" w:color="000000" w:sz="6" w:space="0"/>
              <w:bottom w:val="single" w:color="000000" w:sz="6" w:space="0"/>
            </w:tcBorders>
            <w:vAlign w:val="center"/>
          </w:tcPr>
          <w:p w14:paraId="5FA3D74E">
            <w:pPr>
              <w:spacing w:line="240" w:lineRule="auto"/>
              <w:jc w:val="center"/>
              <w:rPr>
                <w:sz w:val="21"/>
                <w:szCs w:val="21"/>
              </w:rPr>
            </w:pPr>
          </w:p>
        </w:tc>
      </w:tr>
      <w:tr w14:paraId="020D801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35F23847">
            <w:pPr>
              <w:spacing w:line="240" w:lineRule="auto"/>
              <w:jc w:val="center"/>
              <w:rPr>
                <w:sz w:val="21"/>
                <w:szCs w:val="21"/>
              </w:rPr>
            </w:pPr>
            <w:r>
              <w:rPr>
                <w:sz w:val="21"/>
                <w:szCs w:val="21"/>
              </w:rPr>
              <w:t>6月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2301FE0">
            <w:pPr>
              <w:spacing w:line="240" w:lineRule="auto"/>
              <w:jc w:val="center"/>
              <w:rPr>
                <w:sz w:val="21"/>
                <w:szCs w:val="21"/>
              </w:rPr>
            </w:pPr>
            <w:r>
              <w:rPr>
                <w:rFonts w:hint="eastAsia"/>
                <w:sz w:val="21"/>
                <w:szCs w:val="21"/>
              </w:rPr>
              <w:t xml:space="preserve">5.42 </w:t>
            </w:r>
          </w:p>
        </w:tc>
        <w:tc>
          <w:tcPr>
            <w:tcW w:w="915" w:type="dxa"/>
            <w:tcBorders>
              <w:top w:val="single" w:color="000000" w:sz="6" w:space="0"/>
              <w:left w:val="single" w:color="000000" w:sz="6" w:space="0"/>
              <w:bottom w:val="single" w:color="000000" w:sz="6" w:space="0"/>
              <w:right w:val="single" w:color="000000" w:sz="6" w:space="0"/>
            </w:tcBorders>
            <w:vAlign w:val="bottom"/>
          </w:tcPr>
          <w:p w14:paraId="32236C37">
            <w:pPr>
              <w:spacing w:line="240" w:lineRule="auto"/>
              <w:jc w:val="center"/>
              <w:rPr>
                <w:sz w:val="21"/>
                <w:szCs w:val="21"/>
              </w:rPr>
            </w:pPr>
            <w:r>
              <w:rPr>
                <w:rFonts w:hint="eastAsia"/>
                <w:sz w:val="21"/>
                <w:szCs w:val="21"/>
              </w:rPr>
              <w:t xml:space="preserve">2.08 </w:t>
            </w:r>
          </w:p>
        </w:tc>
        <w:tc>
          <w:tcPr>
            <w:tcW w:w="732" w:type="dxa"/>
            <w:tcBorders>
              <w:top w:val="single" w:color="000000" w:sz="6" w:space="0"/>
              <w:left w:val="single" w:color="000000" w:sz="6" w:space="0"/>
              <w:bottom w:val="single" w:color="000000" w:sz="6" w:space="0"/>
              <w:right w:val="single" w:color="000000" w:sz="6" w:space="0"/>
            </w:tcBorders>
            <w:vAlign w:val="bottom"/>
          </w:tcPr>
          <w:p w14:paraId="79C56B8D">
            <w:pPr>
              <w:spacing w:line="240" w:lineRule="auto"/>
              <w:jc w:val="center"/>
              <w:rPr>
                <w:sz w:val="21"/>
                <w:szCs w:val="21"/>
              </w:rPr>
            </w:pPr>
            <w:r>
              <w:rPr>
                <w:rFonts w:hint="eastAsia"/>
                <w:sz w:val="21"/>
                <w:szCs w:val="21"/>
              </w:rPr>
              <w:t xml:space="preserve">3.33 </w:t>
            </w:r>
          </w:p>
        </w:tc>
        <w:tc>
          <w:tcPr>
            <w:tcW w:w="977" w:type="dxa"/>
            <w:tcBorders>
              <w:top w:val="single" w:color="000000" w:sz="6" w:space="0"/>
              <w:left w:val="single" w:color="000000" w:sz="6" w:space="0"/>
              <w:bottom w:val="single" w:color="000000" w:sz="6" w:space="0"/>
              <w:right w:val="single" w:color="000000" w:sz="6" w:space="0"/>
            </w:tcBorders>
            <w:vAlign w:val="bottom"/>
          </w:tcPr>
          <w:p w14:paraId="1A404BE1">
            <w:pPr>
              <w:spacing w:line="240" w:lineRule="auto"/>
              <w:jc w:val="center"/>
              <w:rPr>
                <w:sz w:val="21"/>
                <w:szCs w:val="21"/>
              </w:rPr>
            </w:pPr>
            <w:r>
              <w:rPr>
                <w:rFonts w:hint="eastAsia"/>
                <w:sz w:val="21"/>
                <w:szCs w:val="21"/>
              </w:rPr>
              <w:t xml:space="preserve">0.56 </w:t>
            </w:r>
          </w:p>
        </w:tc>
        <w:tc>
          <w:tcPr>
            <w:tcW w:w="675" w:type="dxa"/>
            <w:tcBorders>
              <w:top w:val="single" w:color="000000" w:sz="6" w:space="0"/>
              <w:left w:val="single" w:color="000000" w:sz="6" w:space="0"/>
              <w:bottom w:val="single" w:color="000000" w:sz="6" w:space="0"/>
              <w:right w:val="single" w:color="000000" w:sz="6" w:space="0"/>
            </w:tcBorders>
            <w:vAlign w:val="bottom"/>
          </w:tcPr>
          <w:p w14:paraId="177503E1">
            <w:pPr>
              <w:spacing w:line="240" w:lineRule="auto"/>
              <w:jc w:val="center"/>
              <w:rPr>
                <w:sz w:val="21"/>
                <w:szCs w:val="21"/>
              </w:rPr>
            </w:pPr>
            <w:r>
              <w:rPr>
                <w:rFonts w:hint="eastAsia"/>
                <w:sz w:val="21"/>
                <w:szCs w:val="21"/>
              </w:rPr>
              <w:t xml:space="preserve">0.97 </w:t>
            </w:r>
          </w:p>
        </w:tc>
        <w:tc>
          <w:tcPr>
            <w:tcW w:w="895" w:type="dxa"/>
            <w:tcBorders>
              <w:top w:val="single" w:color="000000" w:sz="6" w:space="0"/>
              <w:left w:val="single" w:color="000000" w:sz="6" w:space="0"/>
              <w:bottom w:val="single" w:color="000000" w:sz="6" w:space="0"/>
              <w:right w:val="single" w:color="000000" w:sz="6" w:space="0"/>
            </w:tcBorders>
            <w:vAlign w:val="bottom"/>
          </w:tcPr>
          <w:p w14:paraId="7D673982">
            <w:pPr>
              <w:spacing w:line="240" w:lineRule="auto"/>
              <w:jc w:val="center"/>
              <w:rPr>
                <w:sz w:val="21"/>
                <w:szCs w:val="21"/>
              </w:rPr>
            </w:pPr>
            <w:r>
              <w:rPr>
                <w:rFonts w:hint="eastAsia"/>
                <w:sz w:val="21"/>
                <w:szCs w:val="21"/>
              </w:rPr>
              <w:t xml:space="preserve">3.06 </w:t>
            </w:r>
          </w:p>
        </w:tc>
        <w:tc>
          <w:tcPr>
            <w:tcW w:w="845" w:type="dxa"/>
            <w:tcBorders>
              <w:top w:val="single" w:color="000000" w:sz="6" w:space="0"/>
              <w:left w:val="single" w:color="000000" w:sz="6" w:space="0"/>
              <w:bottom w:val="single" w:color="000000" w:sz="6" w:space="0"/>
              <w:right w:val="single" w:color="000000" w:sz="6" w:space="0"/>
            </w:tcBorders>
            <w:vAlign w:val="bottom"/>
          </w:tcPr>
          <w:p w14:paraId="0BAD4FF6">
            <w:pPr>
              <w:spacing w:line="240" w:lineRule="auto"/>
              <w:jc w:val="center"/>
              <w:rPr>
                <w:sz w:val="21"/>
                <w:szCs w:val="21"/>
              </w:rPr>
            </w:pPr>
            <w:r>
              <w:rPr>
                <w:rFonts w:hint="eastAsia"/>
                <w:sz w:val="21"/>
                <w:szCs w:val="21"/>
              </w:rPr>
              <w:t xml:space="preserve">7.36 </w:t>
            </w:r>
          </w:p>
        </w:tc>
        <w:tc>
          <w:tcPr>
            <w:tcW w:w="846" w:type="dxa"/>
            <w:tcBorders>
              <w:top w:val="single" w:color="000000" w:sz="6" w:space="0"/>
              <w:left w:val="single" w:color="000000" w:sz="6" w:space="0"/>
              <w:bottom w:val="single" w:color="000000" w:sz="6" w:space="0"/>
              <w:right w:val="single" w:color="000000" w:sz="6" w:space="0"/>
            </w:tcBorders>
            <w:vAlign w:val="bottom"/>
          </w:tcPr>
          <w:p w14:paraId="016B6F62">
            <w:pPr>
              <w:spacing w:line="240" w:lineRule="auto"/>
              <w:jc w:val="center"/>
              <w:rPr>
                <w:sz w:val="21"/>
                <w:szCs w:val="21"/>
              </w:rPr>
            </w:pPr>
            <w:r>
              <w:rPr>
                <w:rFonts w:hint="eastAsia"/>
                <w:sz w:val="21"/>
                <w:szCs w:val="21"/>
              </w:rPr>
              <w:t xml:space="preserve">0.00 </w:t>
            </w:r>
          </w:p>
        </w:tc>
        <w:tc>
          <w:tcPr>
            <w:tcW w:w="788" w:type="dxa"/>
            <w:tcBorders>
              <w:top w:val="single" w:color="000000" w:sz="6" w:space="0"/>
              <w:left w:val="single" w:color="000000" w:sz="6" w:space="0"/>
              <w:bottom w:val="single" w:color="000000" w:sz="6" w:space="0"/>
            </w:tcBorders>
            <w:vAlign w:val="center"/>
          </w:tcPr>
          <w:p w14:paraId="6CD44BE2">
            <w:pPr>
              <w:spacing w:line="240" w:lineRule="auto"/>
              <w:jc w:val="center"/>
              <w:rPr>
                <w:sz w:val="21"/>
                <w:szCs w:val="21"/>
              </w:rPr>
            </w:pPr>
          </w:p>
        </w:tc>
      </w:tr>
      <w:tr w14:paraId="0FEBB21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6E8F94FE">
            <w:pPr>
              <w:spacing w:line="240" w:lineRule="auto"/>
              <w:jc w:val="center"/>
              <w:rPr>
                <w:sz w:val="21"/>
                <w:szCs w:val="21"/>
              </w:rPr>
            </w:pPr>
            <w:r>
              <w:rPr>
                <w:sz w:val="21"/>
                <w:szCs w:val="21"/>
              </w:rPr>
              <w:t>7月</w:t>
            </w:r>
          </w:p>
        </w:tc>
        <w:tc>
          <w:tcPr>
            <w:tcW w:w="845" w:type="dxa"/>
            <w:tcBorders>
              <w:top w:val="single" w:color="000000" w:sz="6" w:space="0"/>
              <w:left w:val="single" w:color="000000" w:sz="6" w:space="0"/>
              <w:bottom w:val="single" w:color="000000" w:sz="6" w:space="0"/>
              <w:right w:val="single" w:color="000000" w:sz="6" w:space="0"/>
            </w:tcBorders>
            <w:vAlign w:val="bottom"/>
          </w:tcPr>
          <w:p w14:paraId="28B123F4">
            <w:pPr>
              <w:spacing w:line="240" w:lineRule="auto"/>
              <w:jc w:val="center"/>
              <w:rPr>
                <w:sz w:val="21"/>
                <w:szCs w:val="21"/>
              </w:rPr>
            </w:pPr>
            <w:r>
              <w:rPr>
                <w:rFonts w:hint="eastAsia"/>
                <w:sz w:val="21"/>
                <w:szCs w:val="21"/>
              </w:rPr>
              <w:t xml:space="preserve">12.50 </w:t>
            </w:r>
          </w:p>
        </w:tc>
        <w:tc>
          <w:tcPr>
            <w:tcW w:w="915" w:type="dxa"/>
            <w:tcBorders>
              <w:top w:val="single" w:color="000000" w:sz="6" w:space="0"/>
              <w:left w:val="single" w:color="000000" w:sz="6" w:space="0"/>
              <w:bottom w:val="single" w:color="000000" w:sz="6" w:space="0"/>
              <w:right w:val="single" w:color="000000" w:sz="6" w:space="0"/>
            </w:tcBorders>
            <w:vAlign w:val="bottom"/>
          </w:tcPr>
          <w:p w14:paraId="50A5FBE9">
            <w:pPr>
              <w:spacing w:line="240" w:lineRule="auto"/>
              <w:jc w:val="center"/>
              <w:rPr>
                <w:sz w:val="21"/>
                <w:szCs w:val="21"/>
              </w:rPr>
            </w:pPr>
            <w:r>
              <w:rPr>
                <w:rFonts w:hint="eastAsia"/>
                <w:sz w:val="21"/>
                <w:szCs w:val="21"/>
              </w:rPr>
              <w:t xml:space="preserve">5.11 </w:t>
            </w:r>
          </w:p>
        </w:tc>
        <w:tc>
          <w:tcPr>
            <w:tcW w:w="732" w:type="dxa"/>
            <w:tcBorders>
              <w:top w:val="single" w:color="000000" w:sz="6" w:space="0"/>
              <w:left w:val="single" w:color="000000" w:sz="6" w:space="0"/>
              <w:bottom w:val="single" w:color="000000" w:sz="6" w:space="0"/>
              <w:right w:val="single" w:color="000000" w:sz="6" w:space="0"/>
            </w:tcBorders>
            <w:vAlign w:val="bottom"/>
          </w:tcPr>
          <w:p w14:paraId="019870BC">
            <w:pPr>
              <w:spacing w:line="240" w:lineRule="auto"/>
              <w:jc w:val="center"/>
              <w:rPr>
                <w:sz w:val="21"/>
                <w:szCs w:val="21"/>
              </w:rPr>
            </w:pPr>
            <w:r>
              <w:rPr>
                <w:rFonts w:hint="eastAsia"/>
                <w:sz w:val="21"/>
                <w:szCs w:val="21"/>
              </w:rPr>
              <w:t xml:space="preserve">3.23 </w:t>
            </w:r>
          </w:p>
        </w:tc>
        <w:tc>
          <w:tcPr>
            <w:tcW w:w="977" w:type="dxa"/>
            <w:tcBorders>
              <w:top w:val="single" w:color="000000" w:sz="6" w:space="0"/>
              <w:left w:val="single" w:color="000000" w:sz="6" w:space="0"/>
              <w:bottom w:val="single" w:color="000000" w:sz="6" w:space="0"/>
              <w:right w:val="single" w:color="000000" w:sz="6" w:space="0"/>
            </w:tcBorders>
            <w:vAlign w:val="bottom"/>
          </w:tcPr>
          <w:p w14:paraId="11F4B81B">
            <w:pPr>
              <w:spacing w:line="240" w:lineRule="auto"/>
              <w:jc w:val="center"/>
              <w:rPr>
                <w:sz w:val="21"/>
                <w:szCs w:val="21"/>
              </w:rPr>
            </w:pPr>
            <w:r>
              <w:rPr>
                <w:rFonts w:hint="eastAsia"/>
                <w:sz w:val="21"/>
                <w:szCs w:val="21"/>
              </w:rPr>
              <w:t xml:space="preserve">1.08 </w:t>
            </w:r>
          </w:p>
        </w:tc>
        <w:tc>
          <w:tcPr>
            <w:tcW w:w="675" w:type="dxa"/>
            <w:tcBorders>
              <w:top w:val="single" w:color="000000" w:sz="6" w:space="0"/>
              <w:left w:val="single" w:color="000000" w:sz="6" w:space="0"/>
              <w:bottom w:val="single" w:color="000000" w:sz="6" w:space="0"/>
              <w:right w:val="single" w:color="000000" w:sz="6" w:space="0"/>
            </w:tcBorders>
            <w:vAlign w:val="bottom"/>
          </w:tcPr>
          <w:p w14:paraId="564BE96F">
            <w:pPr>
              <w:spacing w:line="240" w:lineRule="auto"/>
              <w:jc w:val="center"/>
              <w:rPr>
                <w:sz w:val="21"/>
                <w:szCs w:val="21"/>
              </w:rPr>
            </w:pPr>
            <w:r>
              <w:rPr>
                <w:rFonts w:hint="eastAsia"/>
                <w:sz w:val="21"/>
                <w:szCs w:val="21"/>
              </w:rPr>
              <w:t xml:space="preserve">1.75 </w:t>
            </w:r>
          </w:p>
        </w:tc>
        <w:tc>
          <w:tcPr>
            <w:tcW w:w="895" w:type="dxa"/>
            <w:tcBorders>
              <w:top w:val="single" w:color="000000" w:sz="6" w:space="0"/>
              <w:left w:val="single" w:color="000000" w:sz="6" w:space="0"/>
              <w:bottom w:val="single" w:color="000000" w:sz="6" w:space="0"/>
              <w:right w:val="single" w:color="000000" w:sz="6" w:space="0"/>
            </w:tcBorders>
            <w:vAlign w:val="bottom"/>
          </w:tcPr>
          <w:p w14:paraId="4DA63794">
            <w:pPr>
              <w:spacing w:line="240" w:lineRule="auto"/>
              <w:jc w:val="center"/>
              <w:rPr>
                <w:sz w:val="21"/>
                <w:szCs w:val="21"/>
              </w:rPr>
            </w:pPr>
            <w:r>
              <w:rPr>
                <w:rFonts w:hint="eastAsia"/>
                <w:sz w:val="21"/>
                <w:szCs w:val="21"/>
              </w:rPr>
              <w:t xml:space="preserve">0.94 </w:t>
            </w:r>
          </w:p>
        </w:tc>
        <w:tc>
          <w:tcPr>
            <w:tcW w:w="845" w:type="dxa"/>
            <w:tcBorders>
              <w:top w:val="single" w:color="000000" w:sz="6" w:space="0"/>
              <w:left w:val="single" w:color="000000" w:sz="6" w:space="0"/>
              <w:bottom w:val="single" w:color="000000" w:sz="6" w:space="0"/>
              <w:right w:val="single" w:color="000000" w:sz="6" w:space="0"/>
            </w:tcBorders>
            <w:vAlign w:val="bottom"/>
          </w:tcPr>
          <w:p w14:paraId="7C5DD378">
            <w:pPr>
              <w:spacing w:line="240" w:lineRule="auto"/>
              <w:jc w:val="center"/>
              <w:rPr>
                <w:sz w:val="21"/>
                <w:szCs w:val="21"/>
              </w:rPr>
            </w:pPr>
            <w:r>
              <w:rPr>
                <w:rFonts w:hint="eastAsia"/>
                <w:sz w:val="21"/>
                <w:szCs w:val="21"/>
              </w:rPr>
              <w:t xml:space="preserve">5.11 </w:t>
            </w:r>
          </w:p>
        </w:tc>
        <w:tc>
          <w:tcPr>
            <w:tcW w:w="846" w:type="dxa"/>
            <w:tcBorders>
              <w:top w:val="single" w:color="000000" w:sz="6" w:space="0"/>
              <w:left w:val="single" w:color="000000" w:sz="6" w:space="0"/>
              <w:bottom w:val="single" w:color="000000" w:sz="6" w:space="0"/>
              <w:right w:val="single" w:color="000000" w:sz="6" w:space="0"/>
            </w:tcBorders>
            <w:vAlign w:val="bottom"/>
          </w:tcPr>
          <w:p w14:paraId="4924D39E">
            <w:pPr>
              <w:spacing w:line="240" w:lineRule="auto"/>
              <w:jc w:val="center"/>
              <w:rPr>
                <w:sz w:val="21"/>
                <w:szCs w:val="21"/>
              </w:rPr>
            </w:pPr>
            <w:r>
              <w:rPr>
                <w:rFonts w:hint="eastAsia"/>
                <w:sz w:val="21"/>
                <w:szCs w:val="21"/>
              </w:rPr>
              <w:t xml:space="preserve">0.00 </w:t>
            </w:r>
          </w:p>
        </w:tc>
        <w:tc>
          <w:tcPr>
            <w:tcW w:w="788" w:type="dxa"/>
            <w:tcBorders>
              <w:top w:val="single" w:color="000000" w:sz="6" w:space="0"/>
              <w:left w:val="single" w:color="000000" w:sz="6" w:space="0"/>
              <w:bottom w:val="single" w:color="000000" w:sz="6" w:space="0"/>
            </w:tcBorders>
            <w:vAlign w:val="center"/>
          </w:tcPr>
          <w:p w14:paraId="07DC18C3">
            <w:pPr>
              <w:spacing w:line="240" w:lineRule="auto"/>
              <w:jc w:val="center"/>
              <w:rPr>
                <w:sz w:val="21"/>
                <w:szCs w:val="21"/>
              </w:rPr>
            </w:pPr>
          </w:p>
        </w:tc>
      </w:tr>
      <w:tr w14:paraId="64457BE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50B8AE2">
            <w:pPr>
              <w:spacing w:line="240" w:lineRule="auto"/>
              <w:jc w:val="center"/>
              <w:rPr>
                <w:sz w:val="21"/>
                <w:szCs w:val="21"/>
              </w:rPr>
            </w:pPr>
            <w:r>
              <w:rPr>
                <w:sz w:val="21"/>
                <w:szCs w:val="21"/>
              </w:rPr>
              <w:t>8月</w:t>
            </w:r>
          </w:p>
        </w:tc>
        <w:tc>
          <w:tcPr>
            <w:tcW w:w="845" w:type="dxa"/>
            <w:tcBorders>
              <w:top w:val="single" w:color="000000" w:sz="6" w:space="0"/>
              <w:left w:val="single" w:color="000000" w:sz="6" w:space="0"/>
              <w:bottom w:val="single" w:color="000000" w:sz="6" w:space="0"/>
              <w:right w:val="single" w:color="000000" w:sz="6" w:space="0"/>
            </w:tcBorders>
            <w:vAlign w:val="bottom"/>
          </w:tcPr>
          <w:p w14:paraId="4336F10F">
            <w:pPr>
              <w:spacing w:line="240" w:lineRule="auto"/>
              <w:jc w:val="center"/>
              <w:rPr>
                <w:sz w:val="21"/>
                <w:szCs w:val="21"/>
              </w:rPr>
            </w:pPr>
            <w:r>
              <w:rPr>
                <w:rFonts w:hint="eastAsia"/>
                <w:sz w:val="21"/>
                <w:szCs w:val="21"/>
              </w:rPr>
              <w:t xml:space="preserve">8.60 </w:t>
            </w:r>
          </w:p>
        </w:tc>
        <w:tc>
          <w:tcPr>
            <w:tcW w:w="915" w:type="dxa"/>
            <w:tcBorders>
              <w:top w:val="single" w:color="000000" w:sz="6" w:space="0"/>
              <w:left w:val="single" w:color="000000" w:sz="6" w:space="0"/>
              <w:bottom w:val="single" w:color="000000" w:sz="6" w:space="0"/>
              <w:right w:val="single" w:color="000000" w:sz="6" w:space="0"/>
            </w:tcBorders>
            <w:vAlign w:val="bottom"/>
          </w:tcPr>
          <w:p w14:paraId="17E4F748">
            <w:pPr>
              <w:spacing w:line="240" w:lineRule="auto"/>
              <w:jc w:val="center"/>
              <w:rPr>
                <w:sz w:val="21"/>
                <w:szCs w:val="21"/>
              </w:rPr>
            </w:pPr>
            <w:r>
              <w:rPr>
                <w:rFonts w:hint="eastAsia"/>
                <w:sz w:val="21"/>
                <w:szCs w:val="21"/>
              </w:rPr>
              <w:t xml:space="preserve">2.02 </w:t>
            </w:r>
          </w:p>
        </w:tc>
        <w:tc>
          <w:tcPr>
            <w:tcW w:w="732" w:type="dxa"/>
            <w:tcBorders>
              <w:top w:val="single" w:color="000000" w:sz="6" w:space="0"/>
              <w:left w:val="single" w:color="000000" w:sz="6" w:space="0"/>
              <w:bottom w:val="single" w:color="000000" w:sz="6" w:space="0"/>
              <w:right w:val="single" w:color="000000" w:sz="6" w:space="0"/>
            </w:tcBorders>
            <w:vAlign w:val="bottom"/>
          </w:tcPr>
          <w:p w14:paraId="054FEA65">
            <w:pPr>
              <w:spacing w:line="240" w:lineRule="auto"/>
              <w:jc w:val="center"/>
              <w:rPr>
                <w:sz w:val="21"/>
                <w:szCs w:val="21"/>
              </w:rPr>
            </w:pPr>
            <w:r>
              <w:rPr>
                <w:rFonts w:hint="eastAsia"/>
                <w:sz w:val="21"/>
                <w:szCs w:val="21"/>
              </w:rPr>
              <w:t xml:space="preserve">0.67 </w:t>
            </w:r>
          </w:p>
        </w:tc>
        <w:tc>
          <w:tcPr>
            <w:tcW w:w="977" w:type="dxa"/>
            <w:tcBorders>
              <w:top w:val="single" w:color="000000" w:sz="6" w:space="0"/>
              <w:left w:val="single" w:color="000000" w:sz="6" w:space="0"/>
              <w:bottom w:val="single" w:color="000000" w:sz="6" w:space="0"/>
              <w:right w:val="single" w:color="000000" w:sz="6" w:space="0"/>
            </w:tcBorders>
            <w:vAlign w:val="bottom"/>
          </w:tcPr>
          <w:p w14:paraId="6C8BEC70">
            <w:pPr>
              <w:spacing w:line="240" w:lineRule="auto"/>
              <w:jc w:val="center"/>
              <w:rPr>
                <w:sz w:val="21"/>
                <w:szCs w:val="21"/>
              </w:rPr>
            </w:pPr>
            <w:r>
              <w:rPr>
                <w:rFonts w:hint="eastAsia"/>
                <w:sz w:val="21"/>
                <w:szCs w:val="21"/>
              </w:rPr>
              <w:t xml:space="preserve">0.40 </w:t>
            </w:r>
          </w:p>
        </w:tc>
        <w:tc>
          <w:tcPr>
            <w:tcW w:w="675" w:type="dxa"/>
            <w:tcBorders>
              <w:top w:val="single" w:color="000000" w:sz="6" w:space="0"/>
              <w:left w:val="single" w:color="000000" w:sz="6" w:space="0"/>
              <w:bottom w:val="single" w:color="000000" w:sz="6" w:space="0"/>
              <w:right w:val="single" w:color="000000" w:sz="6" w:space="0"/>
            </w:tcBorders>
            <w:vAlign w:val="bottom"/>
          </w:tcPr>
          <w:p w14:paraId="179D3756">
            <w:pPr>
              <w:spacing w:line="240" w:lineRule="auto"/>
              <w:jc w:val="center"/>
              <w:rPr>
                <w:sz w:val="21"/>
                <w:szCs w:val="21"/>
              </w:rPr>
            </w:pPr>
            <w:r>
              <w:rPr>
                <w:rFonts w:hint="eastAsia"/>
                <w:sz w:val="21"/>
                <w:szCs w:val="21"/>
              </w:rPr>
              <w:t xml:space="preserve">0.27 </w:t>
            </w:r>
          </w:p>
        </w:tc>
        <w:tc>
          <w:tcPr>
            <w:tcW w:w="895" w:type="dxa"/>
            <w:tcBorders>
              <w:top w:val="single" w:color="000000" w:sz="6" w:space="0"/>
              <w:left w:val="single" w:color="000000" w:sz="6" w:space="0"/>
              <w:bottom w:val="single" w:color="000000" w:sz="6" w:space="0"/>
              <w:right w:val="single" w:color="000000" w:sz="6" w:space="0"/>
            </w:tcBorders>
            <w:vAlign w:val="bottom"/>
          </w:tcPr>
          <w:p w14:paraId="69B82219">
            <w:pPr>
              <w:spacing w:line="240" w:lineRule="auto"/>
              <w:jc w:val="center"/>
              <w:rPr>
                <w:sz w:val="21"/>
                <w:szCs w:val="21"/>
              </w:rPr>
            </w:pPr>
            <w:r>
              <w:rPr>
                <w:rFonts w:hint="eastAsia"/>
                <w:sz w:val="21"/>
                <w:szCs w:val="21"/>
              </w:rPr>
              <w:t xml:space="preserve">0.40 </w:t>
            </w:r>
          </w:p>
        </w:tc>
        <w:tc>
          <w:tcPr>
            <w:tcW w:w="845" w:type="dxa"/>
            <w:tcBorders>
              <w:top w:val="single" w:color="000000" w:sz="6" w:space="0"/>
              <w:left w:val="single" w:color="000000" w:sz="6" w:space="0"/>
              <w:bottom w:val="single" w:color="000000" w:sz="6" w:space="0"/>
              <w:right w:val="single" w:color="000000" w:sz="6" w:space="0"/>
            </w:tcBorders>
            <w:vAlign w:val="bottom"/>
          </w:tcPr>
          <w:p w14:paraId="3183A9C7">
            <w:pPr>
              <w:spacing w:line="240" w:lineRule="auto"/>
              <w:jc w:val="center"/>
              <w:rPr>
                <w:sz w:val="21"/>
                <w:szCs w:val="21"/>
              </w:rPr>
            </w:pPr>
            <w:r>
              <w:rPr>
                <w:rFonts w:hint="eastAsia"/>
                <w:sz w:val="21"/>
                <w:szCs w:val="21"/>
              </w:rPr>
              <w:t xml:space="preserve">12.63 </w:t>
            </w:r>
          </w:p>
        </w:tc>
        <w:tc>
          <w:tcPr>
            <w:tcW w:w="846" w:type="dxa"/>
            <w:tcBorders>
              <w:top w:val="single" w:color="000000" w:sz="6" w:space="0"/>
              <w:left w:val="single" w:color="000000" w:sz="6" w:space="0"/>
              <w:bottom w:val="single" w:color="000000" w:sz="6" w:space="0"/>
              <w:right w:val="single" w:color="000000" w:sz="6" w:space="0"/>
            </w:tcBorders>
            <w:vAlign w:val="bottom"/>
          </w:tcPr>
          <w:p w14:paraId="723A2504">
            <w:pPr>
              <w:spacing w:line="240" w:lineRule="auto"/>
              <w:jc w:val="center"/>
              <w:rPr>
                <w:sz w:val="21"/>
                <w:szCs w:val="21"/>
              </w:rPr>
            </w:pPr>
            <w:r>
              <w:rPr>
                <w:rFonts w:hint="eastAsia"/>
                <w:sz w:val="21"/>
                <w:szCs w:val="21"/>
              </w:rPr>
              <w:t xml:space="preserve">0.00 </w:t>
            </w:r>
          </w:p>
        </w:tc>
        <w:tc>
          <w:tcPr>
            <w:tcW w:w="788" w:type="dxa"/>
            <w:tcBorders>
              <w:top w:val="single" w:color="000000" w:sz="6" w:space="0"/>
              <w:left w:val="single" w:color="000000" w:sz="6" w:space="0"/>
              <w:bottom w:val="single" w:color="000000" w:sz="6" w:space="0"/>
            </w:tcBorders>
            <w:vAlign w:val="center"/>
          </w:tcPr>
          <w:p w14:paraId="491F632D">
            <w:pPr>
              <w:spacing w:line="240" w:lineRule="auto"/>
              <w:jc w:val="center"/>
              <w:rPr>
                <w:sz w:val="21"/>
                <w:szCs w:val="21"/>
              </w:rPr>
            </w:pPr>
          </w:p>
        </w:tc>
      </w:tr>
      <w:tr w14:paraId="2DB89EF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21CD6BD5">
            <w:pPr>
              <w:spacing w:line="240" w:lineRule="auto"/>
              <w:jc w:val="center"/>
              <w:rPr>
                <w:sz w:val="21"/>
                <w:szCs w:val="21"/>
              </w:rPr>
            </w:pPr>
            <w:r>
              <w:rPr>
                <w:sz w:val="21"/>
                <w:szCs w:val="21"/>
              </w:rPr>
              <w:t>9月</w:t>
            </w:r>
          </w:p>
        </w:tc>
        <w:tc>
          <w:tcPr>
            <w:tcW w:w="845" w:type="dxa"/>
            <w:tcBorders>
              <w:top w:val="single" w:color="000000" w:sz="6" w:space="0"/>
              <w:left w:val="single" w:color="000000" w:sz="6" w:space="0"/>
              <w:bottom w:val="single" w:color="000000" w:sz="6" w:space="0"/>
              <w:right w:val="single" w:color="000000" w:sz="6" w:space="0"/>
            </w:tcBorders>
            <w:vAlign w:val="bottom"/>
          </w:tcPr>
          <w:p w14:paraId="410F376E">
            <w:pPr>
              <w:spacing w:line="240" w:lineRule="auto"/>
              <w:jc w:val="center"/>
              <w:rPr>
                <w:sz w:val="21"/>
                <w:szCs w:val="21"/>
              </w:rPr>
            </w:pPr>
            <w:r>
              <w:rPr>
                <w:rFonts w:hint="eastAsia"/>
                <w:sz w:val="21"/>
                <w:szCs w:val="21"/>
              </w:rPr>
              <w:t xml:space="preserve">0.28 </w:t>
            </w:r>
          </w:p>
        </w:tc>
        <w:tc>
          <w:tcPr>
            <w:tcW w:w="915" w:type="dxa"/>
            <w:tcBorders>
              <w:top w:val="single" w:color="000000" w:sz="6" w:space="0"/>
              <w:left w:val="single" w:color="000000" w:sz="6" w:space="0"/>
              <w:bottom w:val="single" w:color="000000" w:sz="6" w:space="0"/>
              <w:right w:val="single" w:color="000000" w:sz="6" w:space="0"/>
            </w:tcBorders>
            <w:vAlign w:val="bottom"/>
          </w:tcPr>
          <w:p w14:paraId="5A49672F">
            <w:pPr>
              <w:spacing w:line="240" w:lineRule="auto"/>
              <w:jc w:val="center"/>
              <w:rPr>
                <w:sz w:val="21"/>
                <w:szCs w:val="21"/>
              </w:rPr>
            </w:pPr>
            <w:r>
              <w:rPr>
                <w:rFonts w:hint="eastAsia"/>
                <w:sz w:val="21"/>
                <w:szCs w:val="21"/>
              </w:rPr>
              <w:t xml:space="preserve">0.28 </w:t>
            </w:r>
          </w:p>
        </w:tc>
        <w:tc>
          <w:tcPr>
            <w:tcW w:w="732" w:type="dxa"/>
            <w:tcBorders>
              <w:top w:val="single" w:color="000000" w:sz="6" w:space="0"/>
              <w:left w:val="single" w:color="000000" w:sz="6" w:space="0"/>
              <w:bottom w:val="single" w:color="000000" w:sz="6" w:space="0"/>
              <w:right w:val="single" w:color="000000" w:sz="6" w:space="0"/>
            </w:tcBorders>
            <w:vAlign w:val="bottom"/>
          </w:tcPr>
          <w:p w14:paraId="403D3E9E">
            <w:pPr>
              <w:spacing w:line="240" w:lineRule="auto"/>
              <w:jc w:val="center"/>
              <w:rPr>
                <w:sz w:val="21"/>
                <w:szCs w:val="21"/>
              </w:rPr>
            </w:pPr>
            <w:r>
              <w:rPr>
                <w:rFonts w:hint="eastAsia"/>
                <w:sz w:val="21"/>
                <w:szCs w:val="21"/>
              </w:rPr>
              <w:t xml:space="preserve">0.83 </w:t>
            </w:r>
          </w:p>
        </w:tc>
        <w:tc>
          <w:tcPr>
            <w:tcW w:w="977" w:type="dxa"/>
            <w:tcBorders>
              <w:top w:val="single" w:color="000000" w:sz="6" w:space="0"/>
              <w:left w:val="single" w:color="000000" w:sz="6" w:space="0"/>
              <w:bottom w:val="single" w:color="000000" w:sz="6" w:space="0"/>
              <w:right w:val="single" w:color="000000" w:sz="6" w:space="0"/>
            </w:tcBorders>
            <w:vAlign w:val="bottom"/>
          </w:tcPr>
          <w:p w14:paraId="210705A2">
            <w:pPr>
              <w:spacing w:line="240" w:lineRule="auto"/>
              <w:jc w:val="center"/>
              <w:rPr>
                <w:sz w:val="21"/>
                <w:szCs w:val="21"/>
              </w:rPr>
            </w:pPr>
            <w:r>
              <w:rPr>
                <w:rFonts w:hint="eastAsia"/>
                <w:sz w:val="21"/>
                <w:szCs w:val="21"/>
              </w:rPr>
              <w:t xml:space="preserve">1.11 </w:t>
            </w:r>
          </w:p>
        </w:tc>
        <w:tc>
          <w:tcPr>
            <w:tcW w:w="675" w:type="dxa"/>
            <w:tcBorders>
              <w:top w:val="single" w:color="000000" w:sz="6" w:space="0"/>
              <w:left w:val="single" w:color="000000" w:sz="6" w:space="0"/>
              <w:bottom w:val="single" w:color="000000" w:sz="6" w:space="0"/>
              <w:right w:val="single" w:color="000000" w:sz="6" w:space="0"/>
            </w:tcBorders>
            <w:vAlign w:val="bottom"/>
          </w:tcPr>
          <w:p w14:paraId="5469DEE3">
            <w:pPr>
              <w:spacing w:line="240" w:lineRule="auto"/>
              <w:jc w:val="center"/>
              <w:rPr>
                <w:sz w:val="21"/>
                <w:szCs w:val="21"/>
              </w:rPr>
            </w:pPr>
            <w:r>
              <w:rPr>
                <w:rFonts w:hint="eastAsia"/>
                <w:sz w:val="21"/>
                <w:szCs w:val="21"/>
              </w:rPr>
              <w:t xml:space="preserve">1.39 </w:t>
            </w:r>
          </w:p>
        </w:tc>
        <w:tc>
          <w:tcPr>
            <w:tcW w:w="895" w:type="dxa"/>
            <w:tcBorders>
              <w:top w:val="single" w:color="000000" w:sz="6" w:space="0"/>
              <w:left w:val="single" w:color="000000" w:sz="6" w:space="0"/>
              <w:bottom w:val="single" w:color="000000" w:sz="6" w:space="0"/>
              <w:right w:val="single" w:color="000000" w:sz="6" w:space="0"/>
            </w:tcBorders>
            <w:vAlign w:val="bottom"/>
          </w:tcPr>
          <w:p w14:paraId="3856E75A">
            <w:pPr>
              <w:spacing w:line="240" w:lineRule="auto"/>
              <w:jc w:val="center"/>
              <w:rPr>
                <w:sz w:val="21"/>
                <w:szCs w:val="21"/>
              </w:rPr>
            </w:pPr>
            <w:r>
              <w:rPr>
                <w:rFonts w:hint="eastAsia"/>
                <w:sz w:val="21"/>
                <w:szCs w:val="21"/>
              </w:rPr>
              <w:t xml:space="preserve">2.78 </w:t>
            </w:r>
          </w:p>
        </w:tc>
        <w:tc>
          <w:tcPr>
            <w:tcW w:w="845" w:type="dxa"/>
            <w:tcBorders>
              <w:top w:val="single" w:color="000000" w:sz="6" w:space="0"/>
              <w:left w:val="single" w:color="000000" w:sz="6" w:space="0"/>
              <w:bottom w:val="single" w:color="000000" w:sz="6" w:space="0"/>
              <w:right w:val="single" w:color="000000" w:sz="6" w:space="0"/>
            </w:tcBorders>
            <w:vAlign w:val="bottom"/>
          </w:tcPr>
          <w:p w14:paraId="05413E14">
            <w:pPr>
              <w:spacing w:line="240" w:lineRule="auto"/>
              <w:jc w:val="center"/>
              <w:rPr>
                <w:sz w:val="21"/>
                <w:szCs w:val="21"/>
              </w:rPr>
            </w:pPr>
            <w:r>
              <w:rPr>
                <w:rFonts w:hint="eastAsia"/>
                <w:sz w:val="21"/>
                <w:szCs w:val="21"/>
              </w:rPr>
              <w:t xml:space="preserve">46.81 </w:t>
            </w:r>
          </w:p>
        </w:tc>
        <w:tc>
          <w:tcPr>
            <w:tcW w:w="846" w:type="dxa"/>
            <w:tcBorders>
              <w:top w:val="single" w:color="000000" w:sz="6" w:space="0"/>
              <w:left w:val="single" w:color="000000" w:sz="6" w:space="0"/>
              <w:bottom w:val="single" w:color="000000" w:sz="6" w:space="0"/>
              <w:right w:val="single" w:color="000000" w:sz="6" w:space="0"/>
            </w:tcBorders>
            <w:vAlign w:val="bottom"/>
          </w:tcPr>
          <w:p w14:paraId="209F3429">
            <w:pPr>
              <w:spacing w:line="240" w:lineRule="auto"/>
              <w:jc w:val="center"/>
              <w:rPr>
                <w:sz w:val="21"/>
                <w:szCs w:val="21"/>
              </w:rPr>
            </w:pPr>
            <w:r>
              <w:rPr>
                <w:rFonts w:hint="eastAsia"/>
                <w:sz w:val="21"/>
                <w:szCs w:val="21"/>
              </w:rPr>
              <w:t xml:space="preserve">0.83 </w:t>
            </w:r>
          </w:p>
        </w:tc>
        <w:tc>
          <w:tcPr>
            <w:tcW w:w="788" w:type="dxa"/>
            <w:tcBorders>
              <w:top w:val="single" w:color="000000" w:sz="6" w:space="0"/>
              <w:left w:val="single" w:color="000000" w:sz="6" w:space="0"/>
              <w:bottom w:val="single" w:color="000000" w:sz="6" w:space="0"/>
            </w:tcBorders>
            <w:vAlign w:val="center"/>
          </w:tcPr>
          <w:p w14:paraId="7173780B">
            <w:pPr>
              <w:spacing w:line="240" w:lineRule="auto"/>
              <w:jc w:val="center"/>
              <w:rPr>
                <w:sz w:val="21"/>
                <w:szCs w:val="21"/>
              </w:rPr>
            </w:pPr>
          </w:p>
        </w:tc>
      </w:tr>
      <w:tr w14:paraId="5A60E49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401A7563">
            <w:pPr>
              <w:spacing w:line="240" w:lineRule="auto"/>
              <w:jc w:val="center"/>
              <w:rPr>
                <w:sz w:val="21"/>
                <w:szCs w:val="21"/>
              </w:rPr>
            </w:pPr>
            <w:r>
              <w:rPr>
                <w:sz w:val="21"/>
                <w:szCs w:val="21"/>
              </w:rPr>
              <w:t>10月</w:t>
            </w:r>
          </w:p>
        </w:tc>
        <w:tc>
          <w:tcPr>
            <w:tcW w:w="845" w:type="dxa"/>
            <w:tcBorders>
              <w:top w:val="single" w:color="000000" w:sz="6" w:space="0"/>
              <w:left w:val="single" w:color="000000" w:sz="6" w:space="0"/>
              <w:bottom w:val="single" w:color="000000" w:sz="6" w:space="0"/>
              <w:right w:val="single" w:color="000000" w:sz="6" w:space="0"/>
            </w:tcBorders>
            <w:vAlign w:val="bottom"/>
          </w:tcPr>
          <w:p w14:paraId="17447BB6">
            <w:pPr>
              <w:spacing w:line="240" w:lineRule="auto"/>
              <w:jc w:val="center"/>
              <w:rPr>
                <w:sz w:val="21"/>
                <w:szCs w:val="21"/>
              </w:rPr>
            </w:pPr>
            <w:r>
              <w:rPr>
                <w:rFonts w:hint="eastAsia"/>
                <w:sz w:val="21"/>
                <w:szCs w:val="21"/>
              </w:rPr>
              <w:t xml:space="preserve">1.34 </w:t>
            </w:r>
          </w:p>
        </w:tc>
        <w:tc>
          <w:tcPr>
            <w:tcW w:w="915" w:type="dxa"/>
            <w:tcBorders>
              <w:top w:val="single" w:color="000000" w:sz="6" w:space="0"/>
              <w:left w:val="single" w:color="000000" w:sz="6" w:space="0"/>
              <w:bottom w:val="single" w:color="000000" w:sz="6" w:space="0"/>
              <w:right w:val="single" w:color="000000" w:sz="6" w:space="0"/>
            </w:tcBorders>
            <w:vAlign w:val="bottom"/>
          </w:tcPr>
          <w:p w14:paraId="3385022D">
            <w:pPr>
              <w:spacing w:line="240" w:lineRule="auto"/>
              <w:jc w:val="center"/>
              <w:rPr>
                <w:sz w:val="21"/>
                <w:szCs w:val="21"/>
              </w:rPr>
            </w:pPr>
            <w:r>
              <w:rPr>
                <w:rFonts w:hint="eastAsia"/>
                <w:sz w:val="21"/>
                <w:szCs w:val="21"/>
              </w:rPr>
              <w:t xml:space="preserve">0.54 </w:t>
            </w:r>
          </w:p>
        </w:tc>
        <w:tc>
          <w:tcPr>
            <w:tcW w:w="732" w:type="dxa"/>
            <w:tcBorders>
              <w:top w:val="single" w:color="000000" w:sz="6" w:space="0"/>
              <w:left w:val="single" w:color="000000" w:sz="6" w:space="0"/>
              <w:bottom w:val="single" w:color="000000" w:sz="6" w:space="0"/>
              <w:right w:val="single" w:color="000000" w:sz="6" w:space="0"/>
            </w:tcBorders>
            <w:vAlign w:val="bottom"/>
          </w:tcPr>
          <w:p w14:paraId="445E91E3">
            <w:pPr>
              <w:spacing w:line="240" w:lineRule="auto"/>
              <w:jc w:val="center"/>
              <w:rPr>
                <w:sz w:val="21"/>
                <w:szCs w:val="21"/>
              </w:rPr>
            </w:pPr>
            <w:r>
              <w:rPr>
                <w:rFonts w:hint="eastAsia"/>
                <w:sz w:val="21"/>
                <w:szCs w:val="21"/>
              </w:rPr>
              <w:t xml:space="preserve">0.54 </w:t>
            </w:r>
          </w:p>
        </w:tc>
        <w:tc>
          <w:tcPr>
            <w:tcW w:w="977" w:type="dxa"/>
            <w:tcBorders>
              <w:top w:val="single" w:color="000000" w:sz="6" w:space="0"/>
              <w:left w:val="single" w:color="000000" w:sz="6" w:space="0"/>
              <w:bottom w:val="single" w:color="000000" w:sz="6" w:space="0"/>
              <w:right w:val="single" w:color="000000" w:sz="6" w:space="0"/>
            </w:tcBorders>
            <w:vAlign w:val="bottom"/>
          </w:tcPr>
          <w:p w14:paraId="2923CAD1">
            <w:pPr>
              <w:spacing w:line="240" w:lineRule="auto"/>
              <w:jc w:val="center"/>
              <w:rPr>
                <w:sz w:val="21"/>
                <w:szCs w:val="21"/>
              </w:rPr>
            </w:pPr>
            <w:r>
              <w:rPr>
                <w:rFonts w:hint="eastAsia"/>
                <w:sz w:val="21"/>
                <w:szCs w:val="21"/>
              </w:rPr>
              <w:t xml:space="preserve">0.27 </w:t>
            </w:r>
          </w:p>
        </w:tc>
        <w:tc>
          <w:tcPr>
            <w:tcW w:w="675" w:type="dxa"/>
            <w:tcBorders>
              <w:top w:val="single" w:color="000000" w:sz="6" w:space="0"/>
              <w:left w:val="single" w:color="000000" w:sz="6" w:space="0"/>
              <w:bottom w:val="single" w:color="000000" w:sz="6" w:space="0"/>
              <w:right w:val="single" w:color="000000" w:sz="6" w:space="0"/>
            </w:tcBorders>
            <w:vAlign w:val="bottom"/>
          </w:tcPr>
          <w:p w14:paraId="4BAAE5AF">
            <w:pPr>
              <w:spacing w:line="240" w:lineRule="auto"/>
              <w:jc w:val="center"/>
              <w:rPr>
                <w:sz w:val="21"/>
                <w:szCs w:val="21"/>
              </w:rPr>
            </w:pPr>
            <w:r>
              <w:rPr>
                <w:rFonts w:hint="eastAsia"/>
                <w:sz w:val="21"/>
                <w:szCs w:val="21"/>
              </w:rPr>
              <w:t xml:space="preserve">0.00 </w:t>
            </w:r>
          </w:p>
        </w:tc>
        <w:tc>
          <w:tcPr>
            <w:tcW w:w="895" w:type="dxa"/>
            <w:tcBorders>
              <w:top w:val="single" w:color="000000" w:sz="6" w:space="0"/>
              <w:left w:val="single" w:color="000000" w:sz="6" w:space="0"/>
              <w:bottom w:val="single" w:color="000000" w:sz="6" w:space="0"/>
              <w:right w:val="single" w:color="000000" w:sz="6" w:space="0"/>
            </w:tcBorders>
            <w:vAlign w:val="bottom"/>
          </w:tcPr>
          <w:p w14:paraId="7221B93D">
            <w:pPr>
              <w:spacing w:line="240" w:lineRule="auto"/>
              <w:jc w:val="center"/>
              <w:rPr>
                <w:sz w:val="21"/>
                <w:szCs w:val="21"/>
              </w:rPr>
            </w:pPr>
            <w:r>
              <w:rPr>
                <w:rFonts w:hint="eastAsia"/>
                <w:sz w:val="21"/>
                <w:szCs w:val="21"/>
              </w:rPr>
              <w:t xml:space="preserve">1.61 </w:t>
            </w:r>
          </w:p>
        </w:tc>
        <w:tc>
          <w:tcPr>
            <w:tcW w:w="845" w:type="dxa"/>
            <w:tcBorders>
              <w:top w:val="single" w:color="000000" w:sz="6" w:space="0"/>
              <w:left w:val="single" w:color="000000" w:sz="6" w:space="0"/>
              <w:bottom w:val="single" w:color="000000" w:sz="6" w:space="0"/>
              <w:right w:val="single" w:color="000000" w:sz="6" w:space="0"/>
            </w:tcBorders>
            <w:vAlign w:val="bottom"/>
          </w:tcPr>
          <w:p w14:paraId="03EA42AC">
            <w:pPr>
              <w:spacing w:line="240" w:lineRule="auto"/>
              <w:jc w:val="center"/>
              <w:rPr>
                <w:sz w:val="21"/>
                <w:szCs w:val="21"/>
              </w:rPr>
            </w:pPr>
            <w:r>
              <w:rPr>
                <w:rFonts w:hint="eastAsia"/>
                <w:sz w:val="21"/>
                <w:szCs w:val="21"/>
              </w:rPr>
              <w:t xml:space="preserve">48.92 </w:t>
            </w:r>
          </w:p>
        </w:tc>
        <w:tc>
          <w:tcPr>
            <w:tcW w:w="846" w:type="dxa"/>
            <w:tcBorders>
              <w:top w:val="single" w:color="000000" w:sz="6" w:space="0"/>
              <w:left w:val="single" w:color="000000" w:sz="6" w:space="0"/>
              <w:bottom w:val="single" w:color="000000" w:sz="6" w:space="0"/>
              <w:right w:val="single" w:color="000000" w:sz="6" w:space="0"/>
            </w:tcBorders>
            <w:vAlign w:val="bottom"/>
          </w:tcPr>
          <w:p w14:paraId="706C2922">
            <w:pPr>
              <w:spacing w:line="240" w:lineRule="auto"/>
              <w:jc w:val="center"/>
              <w:rPr>
                <w:sz w:val="21"/>
                <w:szCs w:val="21"/>
              </w:rPr>
            </w:pPr>
            <w:r>
              <w:rPr>
                <w:rFonts w:hint="eastAsia"/>
                <w:sz w:val="21"/>
                <w:szCs w:val="21"/>
              </w:rPr>
              <w:t xml:space="preserve">0.13 </w:t>
            </w:r>
          </w:p>
        </w:tc>
        <w:tc>
          <w:tcPr>
            <w:tcW w:w="788" w:type="dxa"/>
            <w:tcBorders>
              <w:top w:val="single" w:color="000000" w:sz="6" w:space="0"/>
              <w:left w:val="single" w:color="000000" w:sz="6" w:space="0"/>
              <w:bottom w:val="single" w:color="000000" w:sz="6" w:space="0"/>
            </w:tcBorders>
            <w:vAlign w:val="center"/>
          </w:tcPr>
          <w:p w14:paraId="5A3BC486">
            <w:pPr>
              <w:spacing w:line="240" w:lineRule="auto"/>
              <w:jc w:val="center"/>
              <w:rPr>
                <w:sz w:val="21"/>
                <w:szCs w:val="21"/>
              </w:rPr>
            </w:pPr>
          </w:p>
        </w:tc>
      </w:tr>
      <w:tr w14:paraId="399F304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3FC2D731">
            <w:pPr>
              <w:spacing w:line="240" w:lineRule="auto"/>
              <w:jc w:val="center"/>
              <w:rPr>
                <w:sz w:val="21"/>
                <w:szCs w:val="21"/>
              </w:rPr>
            </w:pPr>
            <w:r>
              <w:rPr>
                <w:sz w:val="21"/>
                <w:szCs w:val="21"/>
              </w:rPr>
              <w:t>11月</w:t>
            </w:r>
          </w:p>
        </w:tc>
        <w:tc>
          <w:tcPr>
            <w:tcW w:w="845" w:type="dxa"/>
            <w:tcBorders>
              <w:top w:val="single" w:color="000000" w:sz="6" w:space="0"/>
              <w:left w:val="single" w:color="000000" w:sz="6" w:space="0"/>
              <w:bottom w:val="single" w:color="000000" w:sz="6" w:space="0"/>
              <w:right w:val="single" w:color="000000" w:sz="6" w:space="0"/>
            </w:tcBorders>
            <w:vAlign w:val="bottom"/>
          </w:tcPr>
          <w:p w14:paraId="3FB4D478">
            <w:pPr>
              <w:spacing w:line="240" w:lineRule="auto"/>
              <w:jc w:val="center"/>
              <w:rPr>
                <w:sz w:val="21"/>
                <w:szCs w:val="21"/>
              </w:rPr>
            </w:pPr>
            <w:r>
              <w:rPr>
                <w:rFonts w:hint="eastAsia"/>
                <w:sz w:val="21"/>
                <w:szCs w:val="21"/>
              </w:rPr>
              <w:t xml:space="preserve">1.67 </w:t>
            </w:r>
          </w:p>
        </w:tc>
        <w:tc>
          <w:tcPr>
            <w:tcW w:w="915" w:type="dxa"/>
            <w:tcBorders>
              <w:top w:val="single" w:color="000000" w:sz="6" w:space="0"/>
              <w:left w:val="single" w:color="000000" w:sz="6" w:space="0"/>
              <w:bottom w:val="single" w:color="000000" w:sz="6" w:space="0"/>
              <w:right w:val="single" w:color="000000" w:sz="6" w:space="0"/>
            </w:tcBorders>
            <w:vAlign w:val="bottom"/>
          </w:tcPr>
          <w:p w14:paraId="172A56DB">
            <w:pPr>
              <w:spacing w:line="240" w:lineRule="auto"/>
              <w:jc w:val="center"/>
              <w:rPr>
                <w:sz w:val="21"/>
                <w:szCs w:val="21"/>
              </w:rPr>
            </w:pPr>
            <w:r>
              <w:rPr>
                <w:rFonts w:hint="eastAsia"/>
                <w:sz w:val="21"/>
                <w:szCs w:val="21"/>
              </w:rPr>
              <w:t xml:space="preserve">0.83 </w:t>
            </w:r>
          </w:p>
        </w:tc>
        <w:tc>
          <w:tcPr>
            <w:tcW w:w="732" w:type="dxa"/>
            <w:tcBorders>
              <w:top w:val="single" w:color="000000" w:sz="6" w:space="0"/>
              <w:left w:val="single" w:color="000000" w:sz="6" w:space="0"/>
              <w:bottom w:val="single" w:color="000000" w:sz="6" w:space="0"/>
              <w:right w:val="single" w:color="000000" w:sz="6" w:space="0"/>
            </w:tcBorders>
            <w:vAlign w:val="bottom"/>
          </w:tcPr>
          <w:p w14:paraId="6B2F429F">
            <w:pPr>
              <w:spacing w:line="240" w:lineRule="auto"/>
              <w:jc w:val="center"/>
              <w:rPr>
                <w:sz w:val="21"/>
                <w:szCs w:val="21"/>
              </w:rPr>
            </w:pPr>
            <w:r>
              <w:rPr>
                <w:rFonts w:hint="eastAsia"/>
                <w:sz w:val="21"/>
                <w:szCs w:val="21"/>
              </w:rPr>
              <w:t xml:space="preserve">0.83 </w:t>
            </w:r>
          </w:p>
        </w:tc>
        <w:tc>
          <w:tcPr>
            <w:tcW w:w="977" w:type="dxa"/>
            <w:tcBorders>
              <w:top w:val="single" w:color="000000" w:sz="6" w:space="0"/>
              <w:left w:val="single" w:color="000000" w:sz="6" w:space="0"/>
              <w:bottom w:val="single" w:color="000000" w:sz="6" w:space="0"/>
              <w:right w:val="single" w:color="000000" w:sz="6" w:space="0"/>
            </w:tcBorders>
            <w:vAlign w:val="bottom"/>
          </w:tcPr>
          <w:p w14:paraId="68C24F5F">
            <w:pPr>
              <w:spacing w:line="240" w:lineRule="auto"/>
              <w:jc w:val="center"/>
              <w:rPr>
                <w:sz w:val="21"/>
                <w:szCs w:val="21"/>
              </w:rPr>
            </w:pPr>
            <w:r>
              <w:rPr>
                <w:rFonts w:hint="eastAsia"/>
                <w:sz w:val="21"/>
                <w:szCs w:val="21"/>
              </w:rPr>
              <w:t xml:space="preserve">0.97 </w:t>
            </w:r>
          </w:p>
        </w:tc>
        <w:tc>
          <w:tcPr>
            <w:tcW w:w="675" w:type="dxa"/>
            <w:tcBorders>
              <w:top w:val="single" w:color="000000" w:sz="6" w:space="0"/>
              <w:left w:val="single" w:color="000000" w:sz="6" w:space="0"/>
              <w:bottom w:val="single" w:color="000000" w:sz="6" w:space="0"/>
              <w:right w:val="single" w:color="000000" w:sz="6" w:space="0"/>
            </w:tcBorders>
            <w:vAlign w:val="bottom"/>
          </w:tcPr>
          <w:p w14:paraId="72E0CB80">
            <w:pPr>
              <w:spacing w:line="240" w:lineRule="auto"/>
              <w:jc w:val="center"/>
              <w:rPr>
                <w:sz w:val="21"/>
                <w:szCs w:val="21"/>
              </w:rPr>
            </w:pPr>
            <w:r>
              <w:rPr>
                <w:rFonts w:hint="eastAsia"/>
                <w:sz w:val="21"/>
                <w:szCs w:val="21"/>
              </w:rPr>
              <w:t xml:space="preserve">1.67 </w:t>
            </w:r>
          </w:p>
        </w:tc>
        <w:tc>
          <w:tcPr>
            <w:tcW w:w="895" w:type="dxa"/>
            <w:tcBorders>
              <w:top w:val="single" w:color="000000" w:sz="6" w:space="0"/>
              <w:left w:val="single" w:color="000000" w:sz="6" w:space="0"/>
              <w:bottom w:val="single" w:color="000000" w:sz="6" w:space="0"/>
              <w:right w:val="single" w:color="000000" w:sz="6" w:space="0"/>
            </w:tcBorders>
            <w:vAlign w:val="bottom"/>
          </w:tcPr>
          <w:p w14:paraId="0A2ED7DA">
            <w:pPr>
              <w:spacing w:line="240" w:lineRule="auto"/>
              <w:jc w:val="center"/>
              <w:rPr>
                <w:sz w:val="21"/>
                <w:szCs w:val="21"/>
              </w:rPr>
            </w:pPr>
            <w:r>
              <w:rPr>
                <w:rFonts w:hint="eastAsia"/>
                <w:sz w:val="21"/>
                <w:szCs w:val="21"/>
              </w:rPr>
              <w:t xml:space="preserve">3.89 </w:t>
            </w:r>
          </w:p>
        </w:tc>
        <w:tc>
          <w:tcPr>
            <w:tcW w:w="845" w:type="dxa"/>
            <w:tcBorders>
              <w:top w:val="single" w:color="000000" w:sz="6" w:space="0"/>
              <w:left w:val="single" w:color="000000" w:sz="6" w:space="0"/>
              <w:bottom w:val="single" w:color="000000" w:sz="6" w:space="0"/>
              <w:right w:val="single" w:color="000000" w:sz="6" w:space="0"/>
            </w:tcBorders>
            <w:vAlign w:val="bottom"/>
          </w:tcPr>
          <w:p w14:paraId="61CD9190">
            <w:pPr>
              <w:spacing w:line="240" w:lineRule="auto"/>
              <w:jc w:val="center"/>
              <w:rPr>
                <w:sz w:val="21"/>
                <w:szCs w:val="21"/>
              </w:rPr>
            </w:pPr>
            <w:r>
              <w:rPr>
                <w:rFonts w:hint="eastAsia"/>
                <w:sz w:val="21"/>
                <w:szCs w:val="21"/>
              </w:rPr>
              <w:t xml:space="preserve">29.58 </w:t>
            </w:r>
          </w:p>
        </w:tc>
        <w:tc>
          <w:tcPr>
            <w:tcW w:w="846" w:type="dxa"/>
            <w:tcBorders>
              <w:top w:val="single" w:color="000000" w:sz="6" w:space="0"/>
              <w:left w:val="single" w:color="000000" w:sz="6" w:space="0"/>
              <w:bottom w:val="single" w:color="000000" w:sz="6" w:space="0"/>
              <w:right w:val="single" w:color="000000" w:sz="6" w:space="0"/>
            </w:tcBorders>
            <w:vAlign w:val="bottom"/>
          </w:tcPr>
          <w:p w14:paraId="00677529">
            <w:pPr>
              <w:spacing w:line="240" w:lineRule="auto"/>
              <w:jc w:val="center"/>
              <w:rPr>
                <w:sz w:val="21"/>
                <w:szCs w:val="21"/>
              </w:rPr>
            </w:pPr>
            <w:r>
              <w:rPr>
                <w:rFonts w:hint="eastAsia"/>
                <w:sz w:val="21"/>
                <w:szCs w:val="21"/>
              </w:rPr>
              <w:t xml:space="preserve">0.42 </w:t>
            </w:r>
          </w:p>
        </w:tc>
        <w:tc>
          <w:tcPr>
            <w:tcW w:w="788" w:type="dxa"/>
            <w:tcBorders>
              <w:top w:val="single" w:color="000000" w:sz="6" w:space="0"/>
              <w:left w:val="single" w:color="000000" w:sz="6" w:space="0"/>
              <w:bottom w:val="single" w:color="000000" w:sz="6" w:space="0"/>
            </w:tcBorders>
            <w:vAlign w:val="center"/>
          </w:tcPr>
          <w:p w14:paraId="0AA068DF">
            <w:pPr>
              <w:spacing w:line="240" w:lineRule="auto"/>
              <w:jc w:val="center"/>
              <w:rPr>
                <w:sz w:val="21"/>
                <w:szCs w:val="21"/>
              </w:rPr>
            </w:pPr>
          </w:p>
        </w:tc>
      </w:tr>
      <w:tr w14:paraId="6F13B24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bottom w:val="single" w:color="000000" w:sz="6" w:space="0"/>
              <w:right w:val="single" w:color="000000" w:sz="6" w:space="0"/>
            </w:tcBorders>
            <w:vAlign w:val="center"/>
          </w:tcPr>
          <w:p w14:paraId="5286E46D">
            <w:pPr>
              <w:spacing w:line="240" w:lineRule="auto"/>
              <w:jc w:val="center"/>
              <w:rPr>
                <w:sz w:val="21"/>
                <w:szCs w:val="21"/>
              </w:rPr>
            </w:pPr>
            <w:r>
              <w:rPr>
                <w:sz w:val="21"/>
                <w:szCs w:val="21"/>
              </w:rPr>
              <w:t>12月</w:t>
            </w:r>
          </w:p>
        </w:tc>
        <w:tc>
          <w:tcPr>
            <w:tcW w:w="845" w:type="dxa"/>
            <w:tcBorders>
              <w:top w:val="single" w:color="000000" w:sz="6" w:space="0"/>
              <w:left w:val="single" w:color="000000" w:sz="6" w:space="0"/>
              <w:bottom w:val="single" w:color="000000" w:sz="6" w:space="0"/>
              <w:right w:val="single" w:color="000000" w:sz="6" w:space="0"/>
            </w:tcBorders>
            <w:vAlign w:val="bottom"/>
          </w:tcPr>
          <w:p w14:paraId="2A7A28BE">
            <w:pPr>
              <w:spacing w:line="240" w:lineRule="auto"/>
              <w:jc w:val="center"/>
              <w:rPr>
                <w:sz w:val="21"/>
                <w:szCs w:val="21"/>
              </w:rPr>
            </w:pPr>
            <w:r>
              <w:rPr>
                <w:rFonts w:hint="eastAsia"/>
                <w:sz w:val="21"/>
                <w:szCs w:val="21"/>
              </w:rPr>
              <w:t xml:space="preserve">2.15 </w:t>
            </w:r>
          </w:p>
        </w:tc>
        <w:tc>
          <w:tcPr>
            <w:tcW w:w="915" w:type="dxa"/>
            <w:tcBorders>
              <w:top w:val="single" w:color="000000" w:sz="6" w:space="0"/>
              <w:left w:val="single" w:color="000000" w:sz="6" w:space="0"/>
              <w:bottom w:val="single" w:color="000000" w:sz="6" w:space="0"/>
              <w:right w:val="single" w:color="000000" w:sz="6" w:space="0"/>
            </w:tcBorders>
            <w:vAlign w:val="bottom"/>
          </w:tcPr>
          <w:p w14:paraId="4C2B8778">
            <w:pPr>
              <w:spacing w:line="240" w:lineRule="auto"/>
              <w:jc w:val="center"/>
              <w:rPr>
                <w:sz w:val="21"/>
                <w:szCs w:val="21"/>
              </w:rPr>
            </w:pPr>
            <w:r>
              <w:rPr>
                <w:rFonts w:hint="eastAsia"/>
                <w:sz w:val="21"/>
                <w:szCs w:val="21"/>
              </w:rPr>
              <w:t xml:space="preserve">1.21 </w:t>
            </w:r>
          </w:p>
        </w:tc>
        <w:tc>
          <w:tcPr>
            <w:tcW w:w="732" w:type="dxa"/>
            <w:tcBorders>
              <w:top w:val="single" w:color="000000" w:sz="6" w:space="0"/>
              <w:left w:val="single" w:color="000000" w:sz="6" w:space="0"/>
              <w:bottom w:val="single" w:color="000000" w:sz="6" w:space="0"/>
              <w:right w:val="single" w:color="000000" w:sz="6" w:space="0"/>
            </w:tcBorders>
            <w:vAlign w:val="bottom"/>
          </w:tcPr>
          <w:p w14:paraId="06F29A72">
            <w:pPr>
              <w:spacing w:line="240" w:lineRule="auto"/>
              <w:jc w:val="center"/>
              <w:rPr>
                <w:sz w:val="21"/>
                <w:szCs w:val="21"/>
              </w:rPr>
            </w:pPr>
            <w:r>
              <w:rPr>
                <w:rFonts w:hint="eastAsia"/>
                <w:sz w:val="21"/>
                <w:szCs w:val="21"/>
              </w:rPr>
              <w:t xml:space="preserve">1.08 </w:t>
            </w:r>
          </w:p>
        </w:tc>
        <w:tc>
          <w:tcPr>
            <w:tcW w:w="977" w:type="dxa"/>
            <w:tcBorders>
              <w:top w:val="single" w:color="000000" w:sz="6" w:space="0"/>
              <w:left w:val="single" w:color="000000" w:sz="6" w:space="0"/>
              <w:bottom w:val="single" w:color="000000" w:sz="6" w:space="0"/>
              <w:right w:val="single" w:color="000000" w:sz="6" w:space="0"/>
            </w:tcBorders>
            <w:vAlign w:val="bottom"/>
          </w:tcPr>
          <w:p w14:paraId="18C1A220">
            <w:pPr>
              <w:spacing w:line="240" w:lineRule="auto"/>
              <w:jc w:val="center"/>
              <w:rPr>
                <w:sz w:val="21"/>
                <w:szCs w:val="21"/>
              </w:rPr>
            </w:pPr>
            <w:r>
              <w:rPr>
                <w:rFonts w:hint="eastAsia"/>
                <w:sz w:val="21"/>
                <w:szCs w:val="21"/>
              </w:rPr>
              <w:t xml:space="preserve">1.88 </w:t>
            </w:r>
          </w:p>
        </w:tc>
        <w:tc>
          <w:tcPr>
            <w:tcW w:w="675" w:type="dxa"/>
            <w:tcBorders>
              <w:top w:val="single" w:color="000000" w:sz="6" w:space="0"/>
              <w:left w:val="single" w:color="000000" w:sz="6" w:space="0"/>
              <w:bottom w:val="single" w:color="000000" w:sz="6" w:space="0"/>
              <w:right w:val="single" w:color="000000" w:sz="6" w:space="0"/>
            </w:tcBorders>
            <w:vAlign w:val="bottom"/>
          </w:tcPr>
          <w:p w14:paraId="42CAACB2">
            <w:pPr>
              <w:spacing w:line="240" w:lineRule="auto"/>
              <w:jc w:val="center"/>
              <w:rPr>
                <w:sz w:val="21"/>
                <w:szCs w:val="21"/>
              </w:rPr>
            </w:pPr>
            <w:r>
              <w:rPr>
                <w:rFonts w:hint="eastAsia"/>
                <w:sz w:val="21"/>
                <w:szCs w:val="21"/>
              </w:rPr>
              <w:t xml:space="preserve">2.15 </w:t>
            </w:r>
          </w:p>
        </w:tc>
        <w:tc>
          <w:tcPr>
            <w:tcW w:w="895" w:type="dxa"/>
            <w:tcBorders>
              <w:top w:val="single" w:color="000000" w:sz="6" w:space="0"/>
              <w:left w:val="single" w:color="000000" w:sz="6" w:space="0"/>
              <w:bottom w:val="single" w:color="000000" w:sz="6" w:space="0"/>
              <w:right w:val="single" w:color="000000" w:sz="6" w:space="0"/>
            </w:tcBorders>
            <w:vAlign w:val="bottom"/>
          </w:tcPr>
          <w:p w14:paraId="17F325B4">
            <w:pPr>
              <w:spacing w:line="240" w:lineRule="auto"/>
              <w:jc w:val="center"/>
              <w:rPr>
                <w:sz w:val="21"/>
                <w:szCs w:val="21"/>
              </w:rPr>
            </w:pPr>
            <w:r>
              <w:rPr>
                <w:rFonts w:hint="eastAsia"/>
                <w:sz w:val="21"/>
                <w:szCs w:val="21"/>
              </w:rPr>
              <w:t xml:space="preserve">4.03 </w:t>
            </w:r>
          </w:p>
        </w:tc>
        <w:tc>
          <w:tcPr>
            <w:tcW w:w="845" w:type="dxa"/>
            <w:tcBorders>
              <w:top w:val="single" w:color="000000" w:sz="6" w:space="0"/>
              <w:left w:val="single" w:color="000000" w:sz="6" w:space="0"/>
              <w:bottom w:val="single" w:color="000000" w:sz="6" w:space="0"/>
              <w:right w:val="single" w:color="000000" w:sz="6" w:space="0"/>
            </w:tcBorders>
            <w:vAlign w:val="bottom"/>
          </w:tcPr>
          <w:p w14:paraId="23BDD9F3">
            <w:pPr>
              <w:spacing w:line="240" w:lineRule="auto"/>
              <w:jc w:val="center"/>
              <w:rPr>
                <w:sz w:val="21"/>
                <w:szCs w:val="21"/>
              </w:rPr>
            </w:pPr>
            <w:r>
              <w:rPr>
                <w:rFonts w:hint="eastAsia"/>
                <w:sz w:val="21"/>
                <w:szCs w:val="21"/>
              </w:rPr>
              <w:t xml:space="preserve">41.53 </w:t>
            </w:r>
          </w:p>
        </w:tc>
        <w:tc>
          <w:tcPr>
            <w:tcW w:w="846" w:type="dxa"/>
            <w:tcBorders>
              <w:top w:val="single" w:color="000000" w:sz="6" w:space="0"/>
              <w:left w:val="single" w:color="000000" w:sz="6" w:space="0"/>
              <w:bottom w:val="single" w:color="000000" w:sz="6" w:space="0"/>
              <w:right w:val="single" w:color="000000" w:sz="6" w:space="0"/>
            </w:tcBorders>
            <w:vAlign w:val="bottom"/>
          </w:tcPr>
          <w:p w14:paraId="3AD1C4D4">
            <w:pPr>
              <w:spacing w:line="240" w:lineRule="auto"/>
              <w:jc w:val="center"/>
              <w:rPr>
                <w:sz w:val="21"/>
                <w:szCs w:val="21"/>
              </w:rPr>
            </w:pPr>
            <w:r>
              <w:rPr>
                <w:rFonts w:hint="eastAsia"/>
                <w:sz w:val="21"/>
                <w:szCs w:val="21"/>
              </w:rPr>
              <w:t xml:space="preserve">0.13 </w:t>
            </w:r>
          </w:p>
        </w:tc>
        <w:tc>
          <w:tcPr>
            <w:tcW w:w="788" w:type="dxa"/>
            <w:tcBorders>
              <w:top w:val="single" w:color="000000" w:sz="6" w:space="0"/>
              <w:left w:val="single" w:color="000000" w:sz="6" w:space="0"/>
              <w:bottom w:val="single" w:color="000000" w:sz="6" w:space="0"/>
            </w:tcBorders>
            <w:vAlign w:val="center"/>
          </w:tcPr>
          <w:p w14:paraId="5F88F7D1">
            <w:pPr>
              <w:spacing w:line="240" w:lineRule="auto"/>
              <w:jc w:val="center"/>
              <w:rPr>
                <w:sz w:val="21"/>
                <w:szCs w:val="21"/>
              </w:rPr>
            </w:pPr>
          </w:p>
        </w:tc>
      </w:tr>
      <w:tr w14:paraId="1546997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21" w:type="dxa"/>
            <w:tcBorders>
              <w:top w:val="single" w:color="000000" w:sz="6" w:space="0"/>
              <w:right w:val="single" w:color="000000" w:sz="6" w:space="0"/>
            </w:tcBorders>
            <w:vAlign w:val="center"/>
          </w:tcPr>
          <w:p w14:paraId="2B88EC52">
            <w:pPr>
              <w:spacing w:line="240" w:lineRule="auto"/>
              <w:jc w:val="center"/>
              <w:rPr>
                <w:sz w:val="21"/>
                <w:szCs w:val="21"/>
              </w:rPr>
            </w:pPr>
            <w:r>
              <w:rPr>
                <w:sz w:val="21"/>
                <w:szCs w:val="21"/>
              </w:rPr>
              <w:t>全年</w:t>
            </w:r>
          </w:p>
        </w:tc>
        <w:tc>
          <w:tcPr>
            <w:tcW w:w="845" w:type="dxa"/>
            <w:tcBorders>
              <w:top w:val="single" w:color="000000" w:sz="6" w:space="0"/>
              <w:left w:val="single" w:color="000000" w:sz="6" w:space="0"/>
              <w:right w:val="single" w:color="000000" w:sz="6" w:space="0"/>
            </w:tcBorders>
            <w:vAlign w:val="center"/>
          </w:tcPr>
          <w:p w14:paraId="42615033">
            <w:pPr>
              <w:spacing w:line="240" w:lineRule="auto"/>
              <w:jc w:val="center"/>
              <w:rPr>
                <w:sz w:val="21"/>
                <w:szCs w:val="21"/>
              </w:rPr>
            </w:pPr>
            <w:r>
              <w:rPr>
                <w:rFonts w:hint="eastAsia"/>
                <w:sz w:val="21"/>
                <w:szCs w:val="21"/>
              </w:rPr>
              <w:t>3.87</w:t>
            </w:r>
          </w:p>
        </w:tc>
        <w:tc>
          <w:tcPr>
            <w:tcW w:w="915" w:type="dxa"/>
            <w:tcBorders>
              <w:top w:val="single" w:color="000000" w:sz="6" w:space="0"/>
              <w:left w:val="single" w:color="000000" w:sz="6" w:space="0"/>
              <w:right w:val="single" w:color="000000" w:sz="6" w:space="0"/>
            </w:tcBorders>
            <w:vAlign w:val="center"/>
          </w:tcPr>
          <w:p w14:paraId="2EA85408">
            <w:pPr>
              <w:spacing w:line="240" w:lineRule="auto"/>
              <w:jc w:val="center"/>
              <w:rPr>
                <w:sz w:val="21"/>
                <w:szCs w:val="21"/>
              </w:rPr>
            </w:pPr>
            <w:r>
              <w:rPr>
                <w:rFonts w:hint="eastAsia"/>
                <w:sz w:val="21"/>
                <w:szCs w:val="21"/>
              </w:rPr>
              <w:t>1.77</w:t>
            </w:r>
          </w:p>
        </w:tc>
        <w:tc>
          <w:tcPr>
            <w:tcW w:w="732" w:type="dxa"/>
            <w:tcBorders>
              <w:top w:val="single" w:color="000000" w:sz="6" w:space="0"/>
              <w:left w:val="single" w:color="000000" w:sz="6" w:space="0"/>
              <w:right w:val="single" w:color="000000" w:sz="6" w:space="0"/>
            </w:tcBorders>
            <w:vAlign w:val="center"/>
          </w:tcPr>
          <w:p w14:paraId="7DBCB686">
            <w:pPr>
              <w:spacing w:line="240" w:lineRule="auto"/>
              <w:jc w:val="center"/>
              <w:rPr>
                <w:sz w:val="21"/>
                <w:szCs w:val="21"/>
              </w:rPr>
            </w:pPr>
            <w:r>
              <w:rPr>
                <w:rFonts w:hint="eastAsia"/>
                <w:sz w:val="21"/>
                <w:szCs w:val="21"/>
              </w:rPr>
              <w:t>1.88</w:t>
            </w:r>
          </w:p>
        </w:tc>
        <w:tc>
          <w:tcPr>
            <w:tcW w:w="977" w:type="dxa"/>
            <w:tcBorders>
              <w:top w:val="single" w:color="000000" w:sz="6" w:space="0"/>
              <w:left w:val="single" w:color="000000" w:sz="6" w:space="0"/>
              <w:right w:val="single" w:color="000000" w:sz="6" w:space="0"/>
            </w:tcBorders>
            <w:vAlign w:val="center"/>
          </w:tcPr>
          <w:p w14:paraId="4EB12E7A">
            <w:pPr>
              <w:spacing w:line="240" w:lineRule="auto"/>
              <w:jc w:val="center"/>
              <w:rPr>
                <w:sz w:val="21"/>
                <w:szCs w:val="21"/>
              </w:rPr>
            </w:pPr>
            <w:r>
              <w:rPr>
                <w:rFonts w:hint="eastAsia"/>
                <w:sz w:val="21"/>
                <w:szCs w:val="21"/>
              </w:rPr>
              <w:t>1.31</w:t>
            </w:r>
          </w:p>
        </w:tc>
        <w:tc>
          <w:tcPr>
            <w:tcW w:w="675" w:type="dxa"/>
            <w:tcBorders>
              <w:top w:val="single" w:color="000000" w:sz="6" w:space="0"/>
              <w:left w:val="single" w:color="000000" w:sz="6" w:space="0"/>
              <w:right w:val="single" w:color="000000" w:sz="6" w:space="0"/>
            </w:tcBorders>
            <w:vAlign w:val="center"/>
          </w:tcPr>
          <w:p w14:paraId="5EEC9368">
            <w:pPr>
              <w:spacing w:line="240" w:lineRule="auto"/>
              <w:jc w:val="center"/>
              <w:rPr>
                <w:sz w:val="21"/>
                <w:szCs w:val="21"/>
              </w:rPr>
            </w:pPr>
            <w:r>
              <w:rPr>
                <w:rFonts w:hint="eastAsia"/>
                <w:sz w:val="21"/>
                <w:szCs w:val="21"/>
              </w:rPr>
              <w:t>1.59</w:t>
            </w:r>
          </w:p>
        </w:tc>
        <w:tc>
          <w:tcPr>
            <w:tcW w:w="895" w:type="dxa"/>
            <w:tcBorders>
              <w:top w:val="single" w:color="000000" w:sz="6" w:space="0"/>
              <w:left w:val="single" w:color="000000" w:sz="6" w:space="0"/>
              <w:right w:val="single" w:color="000000" w:sz="6" w:space="0"/>
            </w:tcBorders>
            <w:vAlign w:val="center"/>
          </w:tcPr>
          <w:p w14:paraId="6BA79C3B">
            <w:pPr>
              <w:spacing w:line="240" w:lineRule="auto"/>
              <w:jc w:val="center"/>
              <w:rPr>
                <w:sz w:val="21"/>
                <w:szCs w:val="21"/>
              </w:rPr>
            </w:pPr>
            <w:r>
              <w:rPr>
                <w:rFonts w:hint="eastAsia"/>
                <w:sz w:val="21"/>
                <w:szCs w:val="21"/>
              </w:rPr>
              <w:t>2.85</w:t>
            </w:r>
          </w:p>
        </w:tc>
        <w:tc>
          <w:tcPr>
            <w:tcW w:w="845" w:type="dxa"/>
            <w:tcBorders>
              <w:top w:val="single" w:color="000000" w:sz="6" w:space="0"/>
              <w:left w:val="single" w:color="000000" w:sz="6" w:space="0"/>
              <w:right w:val="single" w:color="000000" w:sz="6" w:space="0"/>
            </w:tcBorders>
            <w:vAlign w:val="center"/>
          </w:tcPr>
          <w:p w14:paraId="1AFD9BFA">
            <w:pPr>
              <w:spacing w:line="240" w:lineRule="auto"/>
              <w:jc w:val="center"/>
              <w:rPr>
                <w:sz w:val="21"/>
                <w:szCs w:val="21"/>
              </w:rPr>
            </w:pPr>
            <w:r>
              <w:rPr>
                <w:rFonts w:hint="eastAsia"/>
                <w:sz w:val="21"/>
                <w:szCs w:val="21"/>
              </w:rPr>
              <w:t>28.86</w:t>
            </w:r>
          </w:p>
        </w:tc>
        <w:tc>
          <w:tcPr>
            <w:tcW w:w="846" w:type="dxa"/>
            <w:tcBorders>
              <w:top w:val="single" w:color="000000" w:sz="6" w:space="0"/>
              <w:left w:val="single" w:color="000000" w:sz="6" w:space="0"/>
              <w:right w:val="single" w:color="000000" w:sz="6" w:space="0"/>
            </w:tcBorders>
            <w:vAlign w:val="center"/>
          </w:tcPr>
          <w:p w14:paraId="68160ADD">
            <w:pPr>
              <w:spacing w:line="240" w:lineRule="auto"/>
              <w:jc w:val="center"/>
              <w:rPr>
                <w:sz w:val="21"/>
                <w:szCs w:val="21"/>
              </w:rPr>
            </w:pPr>
            <w:r>
              <w:rPr>
                <w:rFonts w:hint="eastAsia"/>
                <w:sz w:val="21"/>
                <w:szCs w:val="21"/>
              </w:rPr>
              <w:t>0.28</w:t>
            </w:r>
          </w:p>
        </w:tc>
        <w:tc>
          <w:tcPr>
            <w:tcW w:w="788" w:type="dxa"/>
            <w:tcBorders>
              <w:top w:val="single" w:color="000000" w:sz="6" w:space="0"/>
              <w:left w:val="single" w:color="000000" w:sz="6" w:space="0"/>
            </w:tcBorders>
            <w:vAlign w:val="center"/>
          </w:tcPr>
          <w:p w14:paraId="0370AA21">
            <w:pPr>
              <w:spacing w:line="240" w:lineRule="auto"/>
              <w:jc w:val="center"/>
              <w:rPr>
                <w:sz w:val="21"/>
                <w:szCs w:val="21"/>
              </w:rPr>
            </w:pPr>
          </w:p>
        </w:tc>
      </w:tr>
    </w:tbl>
    <w:p w14:paraId="5B124087">
      <w:pPr>
        <w:jc w:val="center"/>
      </w:pPr>
      <w:r>
        <w:drawing>
          <wp:inline distT="0" distB="0" distL="114300" distR="114300">
            <wp:extent cx="5076825" cy="7038975"/>
            <wp:effectExtent l="0" t="0" r="9525" b="9525"/>
            <wp:docPr id="17" name="图片 17" descr="0ffec8b3be0ce45b3a61bc2cc279a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ffec8b3be0ce45b3a61bc2cc279a07"/>
                    <pic:cNvPicPr>
                      <a:picLocks noChangeAspect="1"/>
                    </pic:cNvPicPr>
                  </pic:nvPicPr>
                  <pic:blipFill>
                    <a:blip r:embed="rId46"/>
                    <a:stretch>
                      <a:fillRect/>
                    </a:stretch>
                  </pic:blipFill>
                  <pic:spPr>
                    <a:xfrm>
                      <a:off x="0" y="0"/>
                      <a:ext cx="5076825" cy="7038975"/>
                    </a:xfrm>
                    <a:prstGeom prst="rect">
                      <a:avLst/>
                    </a:prstGeom>
                  </pic:spPr>
                </pic:pic>
              </a:graphicData>
            </a:graphic>
          </wp:inline>
        </w:drawing>
      </w:r>
    </w:p>
    <w:p w14:paraId="23FF6A42">
      <w:pPr>
        <w:pStyle w:val="45"/>
        <w:numPr>
          <w:ilvl w:val="6"/>
          <w:numId w:val="0"/>
        </w:numPr>
        <w:spacing w:before="156"/>
        <w:ind w:left="6096" w:leftChars="0" w:hanging="3827" w:firstLineChars="0"/>
        <w:jc w:val="both"/>
        <w:rPr>
          <w:color w:val="auto"/>
        </w:rPr>
      </w:pPr>
      <w:r>
        <w:rPr>
          <w:rFonts w:hint="default" w:ascii="宋体" w:hAnsi="宋体" w:eastAsia="宋体" w:cs="宋体"/>
          <w:b/>
          <w:bCs/>
          <w:color w:val="auto"/>
          <w:kern w:val="2"/>
          <w:sz w:val="21"/>
          <w:szCs w:val="21"/>
          <w:lang w:val="en-US" w:eastAsia="zh-CN" w:bidi="ar-SA"/>
        </w:rPr>
        <w:t xml:space="preserve">图6.2-1 </w:t>
      </w:r>
      <w:r>
        <w:rPr>
          <w:rFonts w:hint="eastAsia" w:ascii="宋体" w:hAnsi="宋体" w:cs="宋体"/>
          <w:b/>
          <w:bCs/>
          <w:color w:val="auto"/>
          <w:kern w:val="2"/>
          <w:sz w:val="21"/>
          <w:szCs w:val="21"/>
          <w:lang w:val="en-US" w:eastAsia="zh-CN" w:bidi="ar-SA"/>
        </w:rPr>
        <w:t xml:space="preserve"> </w:t>
      </w:r>
      <w:r>
        <w:rPr>
          <w:rFonts w:hint="eastAsia"/>
          <w:color w:val="auto"/>
        </w:rPr>
        <w:t>湘潭市202</w:t>
      </w:r>
      <w:r>
        <w:rPr>
          <w:rFonts w:hint="eastAsia"/>
          <w:color w:val="auto"/>
          <w:lang w:val="en-US" w:eastAsia="zh-CN"/>
        </w:rPr>
        <w:t>4</w:t>
      </w:r>
      <w:r>
        <w:rPr>
          <w:rFonts w:hint="eastAsia"/>
          <w:color w:val="auto"/>
        </w:rPr>
        <w:t>年平均风频玫瑰图</w:t>
      </w:r>
    </w:p>
    <w:p w14:paraId="7C5F1C43">
      <w:pPr>
        <w:ind w:firstLine="480"/>
      </w:pPr>
      <w:r>
        <w:t>湘潭市202</w:t>
      </w:r>
      <w:r>
        <w:rPr>
          <w:rFonts w:hint="eastAsia"/>
          <w:lang w:val="en-US" w:eastAsia="zh-CN"/>
        </w:rPr>
        <w:t>4</w:t>
      </w:r>
      <w:r>
        <w:t>年平均气温为18.</w:t>
      </w:r>
      <w:r>
        <w:rPr>
          <w:rFonts w:hint="eastAsia"/>
        </w:rPr>
        <w:t>8</w:t>
      </w:r>
      <w:r>
        <w:t>℃，</w:t>
      </w:r>
      <w:r>
        <w:rPr>
          <w:rFonts w:hint="eastAsia"/>
        </w:rPr>
        <w:t>2</w:t>
      </w:r>
      <w:r>
        <w:t>月份平均气温最低，为</w:t>
      </w:r>
      <w:r>
        <w:rPr>
          <w:rFonts w:hint="eastAsia"/>
        </w:rPr>
        <w:t>5.01</w:t>
      </w:r>
      <w:r>
        <w:t>℃，8月份平均气温最高，为</w:t>
      </w:r>
      <w:r>
        <w:rPr>
          <w:rFonts w:hint="eastAsia"/>
        </w:rPr>
        <w:t>31.92</w:t>
      </w:r>
      <w:r>
        <w:t>℃；湘潭市202</w:t>
      </w:r>
      <w:r>
        <w:rPr>
          <w:rFonts w:hint="eastAsia"/>
          <w:lang w:val="en-US" w:eastAsia="zh-CN"/>
        </w:rPr>
        <w:t>4</w:t>
      </w:r>
      <w:r>
        <w:t>年平均风速为2.</w:t>
      </w:r>
      <w:r>
        <w:rPr>
          <w:rFonts w:hint="eastAsia"/>
        </w:rPr>
        <w:t>2</w:t>
      </w:r>
      <w:r>
        <w:t>9m/s，最大风速出现在10月，为2.</w:t>
      </w:r>
      <w:r>
        <w:rPr>
          <w:rFonts w:hint="eastAsia"/>
        </w:rPr>
        <w:t>8</w:t>
      </w:r>
      <w:r>
        <w:t>6m/s，最小风速出现在</w:t>
      </w:r>
      <w:r>
        <w:rPr>
          <w:rFonts w:hint="eastAsia"/>
        </w:rPr>
        <w:t>2</w:t>
      </w:r>
      <w:r>
        <w:t>月，为1.9</w:t>
      </w:r>
      <w:r>
        <w:rPr>
          <w:rFonts w:hint="eastAsia"/>
        </w:rPr>
        <w:t>1</w:t>
      </w:r>
      <w:r>
        <w:t>m/s。</w:t>
      </w:r>
    </w:p>
    <w:p w14:paraId="7475A19C">
      <w:pPr>
        <w:ind w:firstLine="480"/>
      </w:pPr>
      <w:r>
        <w:t>湘潭市202</w:t>
      </w:r>
      <w:r>
        <w:rPr>
          <w:rFonts w:hint="eastAsia"/>
          <w:lang w:val="en-US" w:eastAsia="zh-CN"/>
        </w:rPr>
        <w:t>4</w:t>
      </w:r>
      <w:r>
        <w:t>年各月及全年年均气温、风速见表6.2-5和图6.2-</w:t>
      </w:r>
      <w:r>
        <w:rPr>
          <w:rFonts w:hint="eastAsia"/>
        </w:rPr>
        <w:t>2</w:t>
      </w:r>
      <w:r>
        <w:t>、6.2-</w:t>
      </w:r>
      <w:r>
        <w:rPr>
          <w:rFonts w:hint="eastAsia"/>
        </w:rPr>
        <w:t>3</w:t>
      </w:r>
      <w:r>
        <w:t>。</w:t>
      </w:r>
    </w:p>
    <w:p w14:paraId="12B994B1">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表6.2-5 </w:t>
      </w:r>
      <w:r>
        <w:rPr>
          <w:rFonts w:hint="eastAsia"/>
        </w:rPr>
        <w:t>湘潭市202</w:t>
      </w:r>
      <w:r>
        <w:rPr>
          <w:rFonts w:hint="eastAsia"/>
          <w:lang w:val="en-US" w:eastAsia="zh-CN"/>
        </w:rPr>
        <w:t>4</w:t>
      </w:r>
      <w:r>
        <w:rPr>
          <w:rFonts w:hint="eastAsia"/>
        </w:rPr>
        <w:t>年年均气温、风速的月变化</w:t>
      </w:r>
    </w:p>
    <w:tbl>
      <w:tblPr>
        <w:tblStyle w:val="31"/>
        <w:tblW w:w="501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47"/>
        <w:gridCol w:w="513"/>
        <w:gridCol w:w="511"/>
        <w:gridCol w:w="624"/>
        <w:gridCol w:w="614"/>
        <w:gridCol w:w="595"/>
        <w:gridCol w:w="621"/>
        <w:gridCol w:w="595"/>
        <w:gridCol w:w="624"/>
        <w:gridCol w:w="595"/>
        <w:gridCol w:w="595"/>
        <w:gridCol w:w="578"/>
        <w:gridCol w:w="514"/>
        <w:gridCol w:w="740"/>
      </w:tblGrid>
      <w:tr w14:paraId="4A319BF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40" w:hRule="atLeast"/>
          <w:jc w:val="center"/>
        </w:trPr>
        <w:tc>
          <w:tcPr>
            <w:tcW w:w="644" w:type="dxa"/>
            <w:tcBorders>
              <w:bottom w:val="single" w:color="000000" w:sz="6" w:space="0"/>
              <w:right w:val="single" w:color="000000" w:sz="6" w:space="0"/>
            </w:tcBorders>
            <w:vAlign w:val="center"/>
          </w:tcPr>
          <w:p w14:paraId="0C4F7301">
            <w:pPr>
              <w:spacing w:line="240" w:lineRule="auto"/>
              <w:jc w:val="center"/>
              <w:rPr>
                <w:sz w:val="21"/>
                <w:szCs w:val="21"/>
              </w:rPr>
            </w:pPr>
            <w:r>
              <w:rPr>
                <w:sz w:val="21"/>
                <w:szCs w:val="21"/>
              </w:rPr>
              <w:t>月份</w:t>
            </w:r>
          </w:p>
        </w:tc>
        <w:tc>
          <w:tcPr>
            <w:tcW w:w="511" w:type="dxa"/>
            <w:tcBorders>
              <w:left w:val="single" w:color="000000" w:sz="6" w:space="0"/>
              <w:bottom w:val="single" w:color="000000" w:sz="6" w:space="0"/>
              <w:right w:val="single" w:color="000000" w:sz="6" w:space="0"/>
            </w:tcBorders>
            <w:vAlign w:val="center"/>
          </w:tcPr>
          <w:p w14:paraId="578DED8C">
            <w:pPr>
              <w:spacing w:line="240" w:lineRule="auto"/>
              <w:jc w:val="center"/>
              <w:rPr>
                <w:sz w:val="21"/>
                <w:szCs w:val="21"/>
              </w:rPr>
            </w:pPr>
            <w:r>
              <w:rPr>
                <w:rFonts w:hint="eastAsia"/>
                <w:sz w:val="21"/>
                <w:szCs w:val="21"/>
              </w:rPr>
              <w:t>1</w:t>
            </w:r>
            <w:r>
              <w:rPr>
                <w:sz w:val="21"/>
                <w:szCs w:val="21"/>
              </w:rPr>
              <w:t>月</w:t>
            </w:r>
          </w:p>
        </w:tc>
        <w:tc>
          <w:tcPr>
            <w:tcW w:w="509" w:type="dxa"/>
            <w:tcBorders>
              <w:left w:val="single" w:color="000000" w:sz="6" w:space="0"/>
              <w:bottom w:val="single" w:color="000000" w:sz="6" w:space="0"/>
              <w:right w:val="single" w:color="000000" w:sz="6" w:space="0"/>
            </w:tcBorders>
            <w:vAlign w:val="center"/>
          </w:tcPr>
          <w:p w14:paraId="268215CF">
            <w:pPr>
              <w:spacing w:line="240" w:lineRule="auto"/>
              <w:jc w:val="center"/>
              <w:rPr>
                <w:sz w:val="21"/>
                <w:szCs w:val="21"/>
              </w:rPr>
            </w:pPr>
            <w:r>
              <w:rPr>
                <w:rFonts w:hint="eastAsia"/>
                <w:sz w:val="21"/>
                <w:szCs w:val="21"/>
              </w:rPr>
              <w:t>2</w:t>
            </w:r>
            <w:r>
              <w:rPr>
                <w:sz w:val="21"/>
                <w:szCs w:val="21"/>
              </w:rPr>
              <w:t>月</w:t>
            </w:r>
          </w:p>
        </w:tc>
        <w:tc>
          <w:tcPr>
            <w:tcW w:w="622" w:type="dxa"/>
            <w:tcBorders>
              <w:left w:val="single" w:color="000000" w:sz="6" w:space="0"/>
              <w:bottom w:val="single" w:color="000000" w:sz="6" w:space="0"/>
              <w:right w:val="single" w:color="000000" w:sz="6" w:space="0"/>
            </w:tcBorders>
            <w:vAlign w:val="center"/>
          </w:tcPr>
          <w:p w14:paraId="40A0B98A">
            <w:pPr>
              <w:spacing w:line="240" w:lineRule="auto"/>
              <w:jc w:val="center"/>
              <w:rPr>
                <w:sz w:val="21"/>
                <w:szCs w:val="21"/>
              </w:rPr>
            </w:pPr>
            <w:r>
              <w:rPr>
                <w:rFonts w:hint="eastAsia"/>
                <w:sz w:val="21"/>
                <w:szCs w:val="21"/>
              </w:rPr>
              <w:t>3</w:t>
            </w:r>
            <w:r>
              <w:rPr>
                <w:sz w:val="21"/>
                <w:szCs w:val="21"/>
              </w:rPr>
              <w:t>月</w:t>
            </w:r>
          </w:p>
        </w:tc>
        <w:tc>
          <w:tcPr>
            <w:tcW w:w="612" w:type="dxa"/>
            <w:tcBorders>
              <w:left w:val="single" w:color="000000" w:sz="6" w:space="0"/>
              <w:bottom w:val="single" w:color="000000" w:sz="6" w:space="0"/>
              <w:right w:val="single" w:color="000000" w:sz="6" w:space="0"/>
            </w:tcBorders>
            <w:vAlign w:val="center"/>
          </w:tcPr>
          <w:p w14:paraId="114CB6F2">
            <w:pPr>
              <w:spacing w:line="240" w:lineRule="auto"/>
              <w:jc w:val="center"/>
              <w:rPr>
                <w:sz w:val="21"/>
                <w:szCs w:val="21"/>
              </w:rPr>
            </w:pPr>
            <w:r>
              <w:rPr>
                <w:rFonts w:hint="eastAsia"/>
                <w:sz w:val="21"/>
                <w:szCs w:val="21"/>
              </w:rPr>
              <w:t>4</w:t>
            </w:r>
            <w:r>
              <w:rPr>
                <w:sz w:val="21"/>
                <w:szCs w:val="21"/>
              </w:rPr>
              <w:t>月</w:t>
            </w:r>
          </w:p>
        </w:tc>
        <w:tc>
          <w:tcPr>
            <w:tcW w:w="593" w:type="dxa"/>
            <w:tcBorders>
              <w:left w:val="single" w:color="000000" w:sz="6" w:space="0"/>
              <w:bottom w:val="single" w:color="000000" w:sz="6" w:space="0"/>
              <w:right w:val="single" w:color="000000" w:sz="6" w:space="0"/>
            </w:tcBorders>
            <w:vAlign w:val="center"/>
          </w:tcPr>
          <w:p w14:paraId="0AB30074">
            <w:pPr>
              <w:spacing w:line="240" w:lineRule="auto"/>
              <w:jc w:val="center"/>
              <w:rPr>
                <w:sz w:val="21"/>
                <w:szCs w:val="21"/>
              </w:rPr>
            </w:pPr>
            <w:r>
              <w:rPr>
                <w:rFonts w:hint="eastAsia"/>
                <w:sz w:val="21"/>
                <w:szCs w:val="21"/>
              </w:rPr>
              <w:t>5</w:t>
            </w:r>
            <w:r>
              <w:rPr>
                <w:sz w:val="21"/>
                <w:szCs w:val="21"/>
              </w:rPr>
              <w:t>月</w:t>
            </w:r>
          </w:p>
        </w:tc>
        <w:tc>
          <w:tcPr>
            <w:tcW w:w="619" w:type="dxa"/>
            <w:tcBorders>
              <w:left w:val="single" w:color="000000" w:sz="6" w:space="0"/>
              <w:bottom w:val="single" w:color="000000" w:sz="6" w:space="0"/>
              <w:right w:val="single" w:color="000000" w:sz="6" w:space="0"/>
            </w:tcBorders>
            <w:vAlign w:val="center"/>
          </w:tcPr>
          <w:p w14:paraId="2D2D0FBF">
            <w:pPr>
              <w:spacing w:line="240" w:lineRule="auto"/>
              <w:jc w:val="center"/>
              <w:rPr>
                <w:sz w:val="21"/>
                <w:szCs w:val="21"/>
              </w:rPr>
            </w:pPr>
            <w:r>
              <w:rPr>
                <w:rFonts w:hint="eastAsia"/>
                <w:sz w:val="21"/>
                <w:szCs w:val="21"/>
              </w:rPr>
              <w:t>6</w:t>
            </w:r>
            <w:r>
              <w:rPr>
                <w:sz w:val="21"/>
                <w:szCs w:val="21"/>
              </w:rPr>
              <w:t>月</w:t>
            </w:r>
          </w:p>
        </w:tc>
        <w:tc>
          <w:tcPr>
            <w:tcW w:w="593" w:type="dxa"/>
            <w:tcBorders>
              <w:left w:val="single" w:color="000000" w:sz="6" w:space="0"/>
              <w:bottom w:val="single" w:color="000000" w:sz="6" w:space="0"/>
              <w:right w:val="single" w:color="000000" w:sz="6" w:space="0"/>
            </w:tcBorders>
            <w:vAlign w:val="center"/>
          </w:tcPr>
          <w:p w14:paraId="26378739">
            <w:pPr>
              <w:spacing w:line="240" w:lineRule="auto"/>
              <w:jc w:val="center"/>
              <w:rPr>
                <w:sz w:val="21"/>
                <w:szCs w:val="21"/>
              </w:rPr>
            </w:pPr>
            <w:r>
              <w:rPr>
                <w:rFonts w:hint="eastAsia"/>
                <w:sz w:val="21"/>
                <w:szCs w:val="21"/>
              </w:rPr>
              <w:t>7</w:t>
            </w:r>
            <w:r>
              <w:rPr>
                <w:sz w:val="21"/>
                <w:szCs w:val="21"/>
              </w:rPr>
              <w:t>月</w:t>
            </w:r>
          </w:p>
        </w:tc>
        <w:tc>
          <w:tcPr>
            <w:tcW w:w="622" w:type="dxa"/>
            <w:tcBorders>
              <w:left w:val="single" w:color="000000" w:sz="6" w:space="0"/>
              <w:bottom w:val="single" w:color="000000" w:sz="6" w:space="0"/>
              <w:right w:val="single" w:color="000000" w:sz="6" w:space="0"/>
            </w:tcBorders>
            <w:vAlign w:val="center"/>
          </w:tcPr>
          <w:p w14:paraId="26192A7B">
            <w:pPr>
              <w:spacing w:line="240" w:lineRule="auto"/>
              <w:jc w:val="center"/>
              <w:rPr>
                <w:sz w:val="21"/>
                <w:szCs w:val="21"/>
              </w:rPr>
            </w:pPr>
            <w:r>
              <w:rPr>
                <w:rFonts w:hint="eastAsia"/>
                <w:sz w:val="21"/>
                <w:szCs w:val="21"/>
              </w:rPr>
              <w:t>8</w:t>
            </w:r>
            <w:r>
              <w:rPr>
                <w:sz w:val="21"/>
                <w:szCs w:val="21"/>
              </w:rPr>
              <w:t>月</w:t>
            </w:r>
          </w:p>
        </w:tc>
        <w:tc>
          <w:tcPr>
            <w:tcW w:w="593" w:type="dxa"/>
            <w:tcBorders>
              <w:left w:val="single" w:color="000000" w:sz="6" w:space="0"/>
              <w:bottom w:val="single" w:color="000000" w:sz="6" w:space="0"/>
              <w:right w:val="single" w:color="000000" w:sz="6" w:space="0"/>
            </w:tcBorders>
            <w:vAlign w:val="center"/>
          </w:tcPr>
          <w:p w14:paraId="7695FBED">
            <w:pPr>
              <w:spacing w:line="240" w:lineRule="auto"/>
              <w:jc w:val="center"/>
              <w:rPr>
                <w:sz w:val="21"/>
                <w:szCs w:val="21"/>
              </w:rPr>
            </w:pPr>
            <w:r>
              <w:rPr>
                <w:rFonts w:hint="eastAsia"/>
                <w:sz w:val="21"/>
                <w:szCs w:val="21"/>
              </w:rPr>
              <w:t>9</w:t>
            </w:r>
            <w:r>
              <w:rPr>
                <w:sz w:val="21"/>
                <w:szCs w:val="21"/>
              </w:rPr>
              <w:t>月</w:t>
            </w:r>
          </w:p>
        </w:tc>
        <w:tc>
          <w:tcPr>
            <w:tcW w:w="593" w:type="dxa"/>
            <w:tcBorders>
              <w:left w:val="single" w:color="000000" w:sz="6" w:space="0"/>
              <w:bottom w:val="single" w:color="000000" w:sz="6" w:space="0"/>
              <w:right w:val="single" w:color="000000" w:sz="6" w:space="0"/>
            </w:tcBorders>
            <w:vAlign w:val="center"/>
          </w:tcPr>
          <w:p w14:paraId="2A84D732">
            <w:pPr>
              <w:spacing w:line="240" w:lineRule="auto"/>
              <w:jc w:val="center"/>
              <w:rPr>
                <w:sz w:val="21"/>
                <w:szCs w:val="21"/>
              </w:rPr>
            </w:pPr>
            <w:r>
              <w:rPr>
                <w:rFonts w:hint="eastAsia"/>
                <w:sz w:val="21"/>
                <w:szCs w:val="21"/>
              </w:rPr>
              <w:t>10</w:t>
            </w:r>
            <w:r>
              <w:rPr>
                <w:sz w:val="21"/>
                <w:szCs w:val="21"/>
              </w:rPr>
              <w:t>月</w:t>
            </w:r>
          </w:p>
        </w:tc>
        <w:tc>
          <w:tcPr>
            <w:tcW w:w="576" w:type="dxa"/>
            <w:tcBorders>
              <w:left w:val="single" w:color="000000" w:sz="6" w:space="0"/>
              <w:bottom w:val="single" w:color="000000" w:sz="6" w:space="0"/>
              <w:right w:val="single" w:color="000000" w:sz="6" w:space="0"/>
            </w:tcBorders>
            <w:vAlign w:val="center"/>
          </w:tcPr>
          <w:p w14:paraId="1FBE2C6A">
            <w:pPr>
              <w:spacing w:line="240" w:lineRule="auto"/>
              <w:jc w:val="center"/>
              <w:rPr>
                <w:sz w:val="21"/>
                <w:szCs w:val="21"/>
              </w:rPr>
            </w:pPr>
            <w:r>
              <w:rPr>
                <w:rFonts w:hint="eastAsia"/>
                <w:sz w:val="21"/>
                <w:szCs w:val="21"/>
              </w:rPr>
              <w:t>11</w:t>
            </w:r>
            <w:r>
              <w:rPr>
                <w:sz w:val="21"/>
                <w:szCs w:val="21"/>
              </w:rPr>
              <w:t>月</w:t>
            </w:r>
          </w:p>
        </w:tc>
        <w:tc>
          <w:tcPr>
            <w:tcW w:w="512" w:type="dxa"/>
            <w:tcBorders>
              <w:left w:val="single" w:color="000000" w:sz="6" w:space="0"/>
              <w:bottom w:val="single" w:color="000000" w:sz="6" w:space="0"/>
              <w:right w:val="single" w:color="000000" w:sz="6" w:space="0"/>
            </w:tcBorders>
            <w:vAlign w:val="center"/>
          </w:tcPr>
          <w:p w14:paraId="540FA2C2">
            <w:pPr>
              <w:spacing w:line="240" w:lineRule="auto"/>
              <w:jc w:val="center"/>
              <w:rPr>
                <w:sz w:val="21"/>
                <w:szCs w:val="21"/>
              </w:rPr>
            </w:pPr>
            <w:r>
              <w:rPr>
                <w:rFonts w:hint="eastAsia"/>
                <w:sz w:val="21"/>
                <w:szCs w:val="21"/>
              </w:rPr>
              <w:t>12</w:t>
            </w:r>
            <w:r>
              <w:rPr>
                <w:sz w:val="21"/>
                <w:szCs w:val="21"/>
              </w:rPr>
              <w:t>月</w:t>
            </w:r>
          </w:p>
        </w:tc>
        <w:tc>
          <w:tcPr>
            <w:tcW w:w="737" w:type="dxa"/>
            <w:tcBorders>
              <w:left w:val="single" w:color="000000" w:sz="6" w:space="0"/>
              <w:bottom w:val="single" w:color="000000" w:sz="6" w:space="0"/>
            </w:tcBorders>
            <w:vAlign w:val="center"/>
          </w:tcPr>
          <w:p w14:paraId="04F17381">
            <w:pPr>
              <w:spacing w:line="240" w:lineRule="auto"/>
              <w:jc w:val="center"/>
              <w:rPr>
                <w:sz w:val="21"/>
                <w:szCs w:val="21"/>
              </w:rPr>
            </w:pPr>
            <w:r>
              <w:rPr>
                <w:sz w:val="21"/>
                <w:szCs w:val="21"/>
              </w:rPr>
              <w:t>全年</w:t>
            </w:r>
          </w:p>
        </w:tc>
      </w:tr>
      <w:tr w14:paraId="671ECD1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4" w:type="dxa"/>
            <w:tcBorders>
              <w:top w:val="single" w:color="000000" w:sz="6" w:space="0"/>
              <w:bottom w:val="single" w:color="000000" w:sz="6" w:space="0"/>
              <w:right w:val="single" w:color="000000" w:sz="6" w:space="0"/>
            </w:tcBorders>
            <w:vAlign w:val="center"/>
          </w:tcPr>
          <w:p w14:paraId="1671D5EE">
            <w:pPr>
              <w:spacing w:line="240" w:lineRule="auto"/>
              <w:jc w:val="center"/>
              <w:rPr>
                <w:sz w:val="21"/>
                <w:szCs w:val="21"/>
              </w:rPr>
            </w:pPr>
            <w:r>
              <w:rPr>
                <w:sz w:val="21"/>
                <w:szCs w:val="21"/>
              </w:rPr>
              <w:t>温度℃</w:t>
            </w:r>
          </w:p>
        </w:tc>
        <w:tc>
          <w:tcPr>
            <w:tcW w:w="511" w:type="dxa"/>
            <w:tcBorders>
              <w:top w:val="single" w:color="000000" w:sz="6" w:space="0"/>
              <w:left w:val="single" w:color="000000" w:sz="6" w:space="0"/>
              <w:bottom w:val="single" w:color="000000" w:sz="6" w:space="0"/>
              <w:right w:val="single" w:color="000000" w:sz="6" w:space="0"/>
            </w:tcBorders>
            <w:vAlign w:val="center"/>
          </w:tcPr>
          <w:p w14:paraId="3608ABF1">
            <w:pPr>
              <w:spacing w:line="240" w:lineRule="auto"/>
              <w:jc w:val="center"/>
              <w:rPr>
                <w:sz w:val="21"/>
                <w:szCs w:val="21"/>
              </w:rPr>
            </w:pPr>
            <w:r>
              <w:rPr>
                <w:rFonts w:hint="eastAsia"/>
                <w:sz w:val="21"/>
                <w:szCs w:val="21"/>
              </w:rPr>
              <w:t>6.07</w:t>
            </w:r>
          </w:p>
        </w:tc>
        <w:tc>
          <w:tcPr>
            <w:tcW w:w="509" w:type="dxa"/>
            <w:tcBorders>
              <w:top w:val="single" w:color="000000" w:sz="6" w:space="0"/>
              <w:left w:val="single" w:color="000000" w:sz="6" w:space="0"/>
              <w:bottom w:val="single" w:color="000000" w:sz="6" w:space="0"/>
              <w:right w:val="single" w:color="000000" w:sz="6" w:space="0"/>
            </w:tcBorders>
            <w:vAlign w:val="center"/>
          </w:tcPr>
          <w:p w14:paraId="269F5C65">
            <w:pPr>
              <w:spacing w:line="240" w:lineRule="auto"/>
              <w:jc w:val="center"/>
              <w:rPr>
                <w:sz w:val="21"/>
                <w:szCs w:val="21"/>
              </w:rPr>
            </w:pPr>
            <w:r>
              <w:rPr>
                <w:rFonts w:hint="eastAsia"/>
                <w:sz w:val="21"/>
                <w:szCs w:val="21"/>
              </w:rPr>
              <w:t>5.01</w:t>
            </w:r>
          </w:p>
        </w:tc>
        <w:tc>
          <w:tcPr>
            <w:tcW w:w="622" w:type="dxa"/>
            <w:tcBorders>
              <w:top w:val="single" w:color="000000" w:sz="6" w:space="0"/>
              <w:left w:val="single" w:color="000000" w:sz="6" w:space="0"/>
              <w:bottom w:val="single" w:color="000000" w:sz="6" w:space="0"/>
              <w:right w:val="single" w:color="000000" w:sz="6" w:space="0"/>
            </w:tcBorders>
            <w:vAlign w:val="center"/>
          </w:tcPr>
          <w:p w14:paraId="145D6125">
            <w:pPr>
              <w:spacing w:line="240" w:lineRule="auto"/>
              <w:jc w:val="center"/>
              <w:rPr>
                <w:sz w:val="21"/>
                <w:szCs w:val="21"/>
              </w:rPr>
            </w:pPr>
            <w:r>
              <w:rPr>
                <w:rFonts w:hint="eastAsia"/>
                <w:sz w:val="21"/>
                <w:szCs w:val="21"/>
              </w:rPr>
              <w:t>15.50</w:t>
            </w:r>
          </w:p>
        </w:tc>
        <w:tc>
          <w:tcPr>
            <w:tcW w:w="612" w:type="dxa"/>
            <w:tcBorders>
              <w:top w:val="single" w:color="000000" w:sz="6" w:space="0"/>
              <w:left w:val="single" w:color="000000" w:sz="6" w:space="0"/>
              <w:bottom w:val="single" w:color="000000" w:sz="6" w:space="0"/>
              <w:right w:val="single" w:color="000000" w:sz="6" w:space="0"/>
            </w:tcBorders>
            <w:vAlign w:val="center"/>
          </w:tcPr>
          <w:p w14:paraId="7EDD41C4">
            <w:pPr>
              <w:spacing w:line="240" w:lineRule="auto"/>
              <w:jc w:val="center"/>
              <w:rPr>
                <w:sz w:val="21"/>
                <w:szCs w:val="21"/>
              </w:rPr>
            </w:pPr>
            <w:r>
              <w:rPr>
                <w:rFonts w:hint="eastAsia"/>
                <w:sz w:val="21"/>
                <w:szCs w:val="21"/>
              </w:rPr>
              <w:t>19.12</w:t>
            </w:r>
          </w:p>
        </w:tc>
        <w:tc>
          <w:tcPr>
            <w:tcW w:w="593" w:type="dxa"/>
            <w:tcBorders>
              <w:top w:val="single" w:color="000000" w:sz="6" w:space="0"/>
              <w:left w:val="single" w:color="000000" w:sz="6" w:space="0"/>
              <w:bottom w:val="single" w:color="000000" w:sz="6" w:space="0"/>
              <w:right w:val="single" w:color="000000" w:sz="6" w:space="0"/>
            </w:tcBorders>
            <w:vAlign w:val="center"/>
          </w:tcPr>
          <w:p w14:paraId="4D586619">
            <w:pPr>
              <w:spacing w:line="240" w:lineRule="auto"/>
              <w:jc w:val="center"/>
              <w:rPr>
                <w:sz w:val="21"/>
                <w:szCs w:val="21"/>
              </w:rPr>
            </w:pPr>
            <w:r>
              <w:rPr>
                <w:rFonts w:hint="eastAsia"/>
                <w:sz w:val="21"/>
                <w:szCs w:val="21"/>
              </w:rPr>
              <w:t>20.50</w:t>
            </w:r>
          </w:p>
        </w:tc>
        <w:tc>
          <w:tcPr>
            <w:tcW w:w="619" w:type="dxa"/>
            <w:tcBorders>
              <w:top w:val="single" w:color="000000" w:sz="6" w:space="0"/>
              <w:left w:val="single" w:color="000000" w:sz="6" w:space="0"/>
              <w:bottom w:val="single" w:color="000000" w:sz="6" w:space="0"/>
              <w:right w:val="single" w:color="000000" w:sz="6" w:space="0"/>
            </w:tcBorders>
            <w:vAlign w:val="center"/>
          </w:tcPr>
          <w:p w14:paraId="020D1B98">
            <w:pPr>
              <w:spacing w:line="240" w:lineRule="auto"/>
              <w:jc w:val="center"/>
              <w:rPr>
                <w:sz w:val="21"/>
                <w:szCs w:val="21"/>
              </w:rPr>
            </w:pPr>
            <w:r>
              <w:rPr>
                <w:rFonts w:hint="eastAsia"/>
                <w:sz w:val="21"/>
                <w:szCs w:val="21"/>
              </w:rPr>
              <w:t>27.30</w:t>
            </w:r>
          </w:p>
        </w:tc>
        <w:tc>
          <w:tcPr>
            <w:tcW w:w="593" w:type="dxa"/>
            <w:tcBorders>
              <w:top w:val="single" w:color="000000" w:sz="6" w:space="0"/>
              <w:left w:val="single" w:color="000000" w:sz="6" w:space="0"/>
              <w:bottom w:val="single" w:color="000000" w:sz="6" w:space="0"/>
              <w:right w:val="single" w:color="000000" w:sz="6" w:space="0"/>
            </w:tcBorders>
            <w:vAlign w:val="center"/>
          </w:tcPr>
          <w:p w14:paraId="08256758">
            <w:pPr>
              <w:spacing w:line="240" w:lineRule="auto"/>
              <w:jc w:val="center"/>
              <w:rPr>
                <w:sz w:val="21"/>
                <w:szCs w:val="21"/>
              </w:rPr>
            </w:pPr>
            <w:r>
              <w:rPr>
                <w:rFonts w:hint="eastAsia"/>
                <w:sz w:val="21"/>
                <w:szCs w:val="21"/>
              </w:rPr>
              <w:t>30.40</w:t>
            </w:r>
          </w:p>
        </w:tc>
        <w:tc>
          <w:tcPr>
            <w:tcW w:w="622" w:type="dxa"/>
            <w:tcBorders>
              <w:top w:val="single" w:color="000000" w:sz="6" w:space="0"/>
              <w:left w:val="single" w:color="000000" w:sz="6" w:space="0"/>
              <w:bottom w:val="single" w:color="000000" w:sz="6" w:space="0"/>
              <w:right w:val="single" w:color="000000" w:sz="6" w:space="0"/>
            </w:tcBorders>
            <w:vAlign w:val="center"/>
          </w:tcPr>
          <w:p w14:paraId="40195B0E">
            <w:pPr>
              <w:spacing w:line="240" w:lineRule="auto"/>
              <w:jc w:val="center"/>
              <w:rPr>
                <w:sz w:val="21"/>
                <w:szCs w:val="21"/>
              </w:rPr>
            </w:pPr>
            <w:r>
              <w:rPr>
                <w:rFonts w:hint="eastAsia"/>
                <w:sz w:val="21"/>
                <w:szCs w:val="21"/>
              </w:rPr>
              <w:t>31.92</w:t>
            </w:r>
          </w:p>
        </w:tc>
        <w:tc>
          <w:tcPr>
            <w:tcW w:w="593" w:type="dxa"/>
            <w:tcBorders>
              <w:top w:val="single" w:color="000000" w:sz="6" w:space="0"/>
              <w:left w:val="single" w:color="000000" w:sz="6" w:space="0"/>
              <w:bottom w:val="single" w:color="000000" w:sz="6" w:space="0"/>
              <w:right w:val="single" w:color="000000" w:sz="6" w:space="0"/>
            </w:tcBorders>
            <w:vAlign w:val="center"/>
          </w:tcPr>
          <w:p w14:paraId="3203D033">
            <w:pPr>
              <w:spacing w:line="240" w:lineRule="auto"/>
              <w:jc w:val="center"/>
              <w:rPr>
                <w:sz w:val="21"/>
                <w:szCs w:val="21"/>
              </w:rPr>
            </w:pPr>
            <w:r>
              <w:rPr>
                <w:rFonts w:hint="eastAsia"/>
                <w:sz w:val="21"/>
                <w:szCs w:val="21"/>
              </w:rPr>
              <w:t>26.82</w:t>
            </w:r>
          </w:p>
        </w:tc>
        <w:tc>
          <w:tcPr>
            <w:tcW w:w="593" w:type="dxa"/>
            <w:tcBorders>
              <w:top w:val="single" w:color="000000" w:sz="6" w:space="0"/>
              <w:left w:val="single" w:color="000000" w:sz="6" w:space="0"/>
              <w:bottom w:val="single" w:color="000000" w:sz="6" w:space="0"/>
              <w:right w:val="single" w:color="000000" w:sz="6" w:space="0"/>
            </w:tcBorders>
            <w:vAlign w:val="center"/>
          </w:tcPr>
          <w:p w14:paraId="406E3828">
            <w:pPr>
              <w:spacing w:line="240" w:lineRule="auto"/>
              <w:jc w:val="center"/>
              <w:rPr>
                <w:sz w:val="21"/>
                <w:szCs w:val="21"/>
              </w:rPr>
            </w:pPr>
            <w:r>
              <w:rPr>
                <w:rFonts w:hint="eastAsia"/>
                <w:sz w:val="21"/>
                <w:szCs w:val="21"/>
              </w:rPr>
              <w:t>19.59</w:t>
            </w:r>
          </w:p>
        </w:tc>
        <w:tc>
          <w:tcPr>
            <w:tcW w:w="576" w:type="dxa"/>
            <w:tcBorders>
              <w:top w:val="single" w:color="000000" w:sz="6" w:space="0"/>
              <w:left w:val="single" w:color="000000" w:sz="6" w:space="0"/>
              <w:bottom w:val="single" w:color="000000" w:sz="6" w:space="0"/>
              <w:right w:val="single" w:color="000000" w:sz="6" w:space="0"/>
            </w:tcBorders>
            <w:vAlign w:val="center"/>
          </w:tcPr>
          <w:p w14:paraId="273F17E9">
            <w:pPr>
              <w:spacing w:line="240" w:lineRule="auto"/>
              <w:jc w:val="center"/>
              <w:rPr>
                <w:sz w:val="21"/>
                <w:szCs w:val="21"/>
              </w:rPr>
            </w:pPr>
            <w:r>
              <w:rPr>
                <w:rFonts w:hint="eastAsia"/>
                <w:sz w:val="21"/>
                <w:szCs w:val="21"/>
              </w:rPr>
              <w:t>16.82</w:t>
            </w:r>
          </w:p>
        </w:tc>
        <w:tc>
          <w:tcPr>
            <w:tcW w:w="512" w:type="dxa"/>
            <w:tcBorders>
              <w:top w:val="single" w:color="000000" w:sz="6" w:space="0"/>
              <w:left w:val="single" w:color="000000" w:sz="6" w:space="0"/>
              <w:bottom w:val="single" w:color="000000" w:sz="6" w:space="0"/>
              <w:right w:val="single" w:color="000000" w:sz="6" w:space="0"/>
            </w:tcBorders>
            <w:vAlign w:val="center"/>
          </w:tcPr>
          <w:p w14:paraId="589B2304">
            <w:pPr>
              <w:spacing w:line="240" w:lineRule="auto"/>
              <w:jc w:val="center"/>
              <w:rPr>
                <w:sz w:val="21"/>
                <w:szCs w:val="21"/>
              </w:rPr>
            </w:pPr>
            <w:r>
              <w:rPr>
                <w:rFonts w:hint="eastAsia"/>
                <w:sz w:val="21"/>
                <w:szCs w:val="21"/>
              </w:rPr>
              <w:t>6.59</w:t>
            </w:r>
          </w:p>
        </w:tc>
        <w:tc>
          <w:tcPr>
            <w:tcW w:w="737" w:type="dxa"/>
            <w:tcBorders>
              <w:top w:val="single" w:color="000000" w:sz="6" w:space="0"/>
              <w:left w:val="single" w:color="000000" w:sz="6" w:space="0"/>
              <w:bottom w:val="single" w:color="000000" w:sz="6" w:space="0"/>
            </w:tcBorders>
            <w:vAlign w:val="center"/>
          </w:tcPr>
          <w:p w14:paraId="14F76103">
            <w:pPr>
              <w:spacing w:line="240" w:lineRule="auto"/>
              <w:jc w:val="center"/>
              <w:rPr>
                <w:sz w:val="21"/>
                <w:szCs w:val="21"/>
              </w:rPr>
            </w:pPr>
            <w:r>
              <w:rPr>
                <w:rFonts w:hint="eastAsia"/>
                <w:sz w:val="21"/>
                <w:szCs w:val="21"/>
              </w:rPr>
              <w:t>18.8</w:t>
            </w:r>
          </w:p>
        </w:tc>
      </w:tr>
      <w:tr w14:paraId="6323204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44" w:type="dxa"/>
            <w:tcBorders>
              <w:top w:val="single" w:color="000000" w:sz="6" w:space="0"/>
              <w:right w:val="single" w:color="000000" w:sz="6" w:space="0"/>
            </w:tcBorders>
            <w:vAlign w:val="center"/>
          </w:tcPr>
          <w:p w14:paraId="2DEA616E">
            <w:pPr>
              <w:spacing w:line="240" w:lineRule="auto"/>
              <w:jc w:val="center"/>
              <w:rPr>
                <w:sz w:val="21"/>
                <w:szCs w:val="21"/>
              </w:rPr>
            </w:pPr>
            <w:r>
              <w:rPr>
                <w:sz w:val="21"/>
                <w:szCs w:val="21"/>
              </w:rPr>
              <w:t>风速</w:t>
            </w:r>
          </w:p>
          <w:p w14:paraId="47E5869A">
            <w:pPr>
              <w:spacing w:line="240" w:lineRule="auto"/>
              <w:jc w:val="center"/>
              <w:rPr>
                <w:sz w:val="21"/>
                <w:szCs w:val="21"/>
              </w:rPr>
            </w:pPr>
            <w:r>
              <w:rPr>
                <w:sz w:val="21"/>
                <w:szCs w:val="21"/>
              </w:rPr>
              <w:t>m/s</w:t>
            </w:r>
          </w:p>
        </w:tc>
        <w:tc>
          <w:tcPr>
            <w:tcW w:w="511" w:type="dxa"/>
            <w:tcBorders>
              <w:top w:val="single" w:color="000000" w:sz="6" w:space="0"/>
              <w:left w:val="single" w:color="000000" w:sz="6" w:space="0"/>
              <w:right w:val="single" w:color="000000" w:sz="6" w:space="0"/>
            </w:tcBorders>
            <w:vAlign w:val="center"/>
          </w:tcPr>
          <w:p w14:paraId="29C09008">
            <w:pPr>
              <w:spacing w:line="240" w:lineRule="auto"/>
              <w:jc w:val="center"/>
              <w:rPr>
                <w:sz w:val="21"/>
                <w:szCs w:val="21"/>
              </w:rPr>
            </w:pPr>
            <w:r>
              <w:rPr>
                <w:rFonts w:hint="eastAsia"/>
                <w:sz w:val="21"/>
                <w:szCs w:val="21"/>
              </w:rPr>
              <w:t>2.07</w:t>
            </w:r>
          </w:p>
        </w:tc>
        <w:tc>
          <w:tcPr>
            <w:tcW w:w="509" w:type="dxa"/>
            <w:tcBorders>
              <w:top w:val="single" w:color="000000" w:sz="6" w:space="0"/>
              <w:left w:val="single" w:color="000000" w:sz="6" w:space="0"/>
              <w:right w:val="single" w:color="000000" w:sz="6" w:space="0"/>
            </w:tcBorders>
            <w:vAlign w:val="center"/>
          </w:tcPr>
          <w:p w14:paraId="1C0D3BE9">
            <w:pPr>
              <w:spacing w:line="240" w:lineRule="auto"/>
              <w:jc w:val="center"/>
              <w:rPr>
                <w:sz w:val="21"/>
                <w:szCs w:val="21"/>
              </w:rPr>
            </w:pPr>
            <w:r>
              <w:rPr>
                <w:rFonts w:hint="eastAsia"/>
                <w:sz w:val="21"/>
                <w:szCs w:val="21"/>
              </w:rPr>
              <w:t>1.91</w:t>
            </w:r>
          </w:p>
        </w:tc>
        <w:tc>
          <w:tcPr>
            <w:tcW w:w="622" w:type="dxa"/>
            <w:tcBorders>
              <w:top w:val="single" w:color="000000" w:sz="6" w:space="0"/>
              <w:left w:val="single" w:color="000000" w:sz="6" w:space="0"/>
              <w:right w:val="single" w:color="000000" w:sz="6" w:space="0"/>
            </w:tcBorders>
            <w:vAlign w:val="center"/>
          </w:tcPr>
          <w:p w14:paraId="31FF9795">
            <w:pPr>
              <w:spacing w:line="240" w:lineRule="auto"/>
              <w:jc w:val="center"/>
              <w:rPr>
                <w:sz w:val="21"/>
                <w:szCs w:val="21"/>
              </w:rPr>
            </w:pPr>
            <w:r>
              <w:rPr>
                <w:rFonts w:hint="eastAsia"/>
                <w:sz w:val="21"/>
                <w:szCs w:val="21"/>
              </w:rPr>
              <w:t>2.26</w:t>
            </w:r>
          </w:p>
        </w:tc>
        <w:tc>
          <w:tcPr>
            <w:tcW w:w="612" w:type="dxa"/>
            <w:tcBorders>
              <w:top w:val="single" w:color="000000" w:sz="6" w:space="0"/>
              <w:left w:val="single" w:color="000000" w:sz="6" w:space="0"/>
              <w:right w:val="single" w:color="000000" w:sz="6" w:space="0"/>
            </w:tcBorders>
            <w:vAlign w:val="center"/>
          </w:tcPr>
          <w:p w14:paraId="503E8280">
            <w:pPr>
              <w:spacing w:line="240" w:lineRule="auto"/>
              <w:jc w:val="center"/>
              <w:rPr>
                <w:sz w:val="21"/>
                <w:szCs w:val="21"/>
              </w:rPr>
            </w:pPr>
            <w:r>
              <w:rPr>
                <w:rFonts w:hint="eastAsia"/>
                <w:sz w:val="21"/>
                <w:szCs w:val="21"/>
              </w:rPr>
              <w:t>2.10</w:t>
            </w:r>
          </w:p>
        </w:tc>
        <w:tc>
          <w:tcPr>
            <w:tcW w:w="593" w:type="dxa"/>
            <w:tcBorders>
              <w:top w:val="single" w:color="000000" w:sz="6" w:space="0"/>
              <w:left w:val="single" w:color="000000" w:sz="6" w:space="0"/>
              <w:right w:val="single" w:color="000000" w:sz="6" w:space="0"/>
            </w:tcBorders>
            <w:vAlign w:val="center"/>
          </w:tcPr>
          <w:p w14:paraId="5E0B185F">
            <w:pPr>
              <w:spacing w:line="240" w:lineRule="auto"/>
              <w:jc w:val="center"/>
              <w:rPr>
                <w:sz w:val="21"/>
                <w:szCs w:val="21"/>
              </w:rPr>
            </w:pPr>
            <w:r>
              <w:rPr>
                <w:rFonts w:hint="eastAsia"/>
                <w:sz w:val="21"/>
                <w:szCs w:val="21"/>
              </w:rPr>
              <w:t>1.90</w:t>
            </w:r>
          </w:p>
        </w:tc>
        <w:tc>
          <w:tcPr>
            <w:tcW w:w="619" w:type="dxa"/>
            <w:tcBorders>
              <w:top w:val="single" w:color="000000" w:sz="6" w:space="0"/>
              <w:left w:val="single" w:color="000000" w:sz="6" w:space="0"/>
              <w:right w:val="single" w:color="000000" w:sz="6" w:space="0"/>
            </w:tcBorders>
            <w:vAlign w:val="center"/>
          </w:tcPr>
          <w:p w14:paraId="571D9D22">
            <w:pPr>
              <w:spacing w:line="240" w:lineRule="auto"/>
              <w:jc w:val="center"/>
              <w:rPr>
                <w:sz w:val="21"/>
                <w:szCs w:val="21"/>
              </w:rPr>
            </w:pPr>
            <w:r>
              <w:rPr>
                <w:rFonts w:hint="eastAsia"/>
                <w:sz w:val="21"/>
                <w:szCs w:val="21"/>
              </w:rPr>
              <w:t>2.16</w:t>
            </w:r>
          </w:p>
        </w:tc>
        <w:tc>
          <w:tcPr>
            <w:tcW w:w="593" w:type="dxa"/>
            <w:tcBorders>
              <w:top w:val="single" w:color="000000" w:sz="6" w:space="0"/>
              <w:left w:val="single" w:color="000000" w:sz="6" w:space="0"/>
              <w:right w:val="single" w:color="000000" w:sz="6" w:space="0"/>
            </w:tcBorders>
            <w:vAlign w:val="center"/>
          </w:tcPr>
          <w:p w14:paraId="2384D957">
            <w:pPr>
              <w:spacing w:line="240" w:lineRule="auto"/>
              <w:jc w:val="center"/>
              <w:rPr>
                <w:sz w:val="21"/>
                <w:szCs w:val="21"/>
              </w:rPr>
            </w:pPr>
            <w:r>
              <w:rPr>
                <w:rFonts w:hint="eastAsia"/>
                <w:sz w:val="21"/>
                <w:szCs w:val="21"/>
              </w:rPr>
              <w:t>2.36</w:t>
            </w:r>
          </w:p>
        </w:tc>
        <w:tc>
          <w:tcPr>
            <w:tcW w:w="622" w:type="dxa"/>
            <w:tcBorders>
              <w:top w:val="single" w:color="000000" w:sz="6" w:space="0"/>
              <w:left w:val="single" w:color="000000" w:sz="6" w:space="0"/>
              <w:right w:val="single" w:color="000000" w:sz="6" w:space="0"/>
            </w:tcBorders>
            <w:vAlign w:val="center"/>
          </w:tcPr>
          <w:p w14:paraId="26C01327">
            <w:pPr>
              <w:spacing w:line="240" w:lineRule="auto"/>
              <w:jc w:val="center"/>
              <w:rPr>
                <w:sz w:val="21"/>
                <w:szCs w:val="21"/>
              </w:rPr>
            </w:pPr>
            <w:r>
              <w:rPr>
                <w:rFonts w:hint="eastAsia"/>
                <w:sz w:val="21"/>
                <w:szCs w:val="21"/>
              </w:rPr>
              <w:t>2.61</w:t>
            </w:r>
          </w:p>
        </w:tc>
        <w:tc>
          <w:tcPr>
            <w:tcW w:w="593" w:type="dxa"/>
            <w:tcBorders>
              <w:top w:val="single" w:color="000000" w:sz="6" w:space="0"/>
              <w:left w:val="single" w:color="000000" w:sz="6" w:space="0"/>
              <w:right w:val="single" w:color="000000" w:sz="6" w:space="0"/>
            </w:tcBorders>
            <w:vAlign w:val="center"/>
          </w:tcPr>
          <w:p w14:paraId="419600CD">
            <w:pPr>
              <w:spacing w:line="240" w:lineRule="auto"/>
              <w:jc w:val="center"/>
              <w:rPr>
                <w:sz w:val="21"/>
                <w:szCs w:val="21"/>
              </w:rPr>
            </w:pPr>
            <w:r>
              <w:rPr>
                <w:rFonts w:hint="eastAsia"/>
                <w:sz w:val="21"/>
                <w:szCs w:val="21"/>
              </w:rPr>
              <w:t>2.57</w:t>
            </w:r>
          </w:p>
        </w:tc>
        <w:tc>
          <w:tcPr>
            <w:tcW w:w="593" w:type="dxa"/>
            <w:tcBorders>
              <w:top w:val="single" w:color="000000" w:sz="6" w:space="0"/>
              <w:left w:val="single" w:color="000000" w:sz="6" w:space="0"/>
              <w:right w:val="single" w:color="000000" w:sz="6" w:space="0"/>
            </w:tcBorders>
            <w:vAlign w:val="center"/>
          </w:tcPr>
          <w:p w14:paraId="4B015E44">
            <w:pPr>
              <w:spacing w:line="240" w:lineRule="auto"/>
              <w:jc w:val="center"/>
              <w:rPr>
                <w:sz w:val="21"/>
                <w:szCs w:val="21"/>
              </w:rPr>
            </w:pPr>
            <w:r>
              <w:rPr>
                <w:rFonts w:hint="eastAsia"/>
                <w:sz w:val="21"/>
                <w:szCs w:val="21"/>
              </w:rPr>
              <w:t>2.86</w:t>
            </w:r>
          </w:p>
        </w:tc>
        <w:tc>
          <w:tcPr>
            <w:tcW w:w="576" w:type="dxa"/>
            <w:tcBorders>
              <w:top w:val="single" w:color="000000" w:sz="6" w:space="0"/>
              <w:left w:val="single" w:color="000000" w:sz="6" w:space="0"/>
              <w:right w:val="single" w:color="000000" w:sz="6" w:space="0"/>
            </w:tcBorders>
            <w:vAlign w:val="center"/>
          </w:tcPr>
          <w:p w14:paraId="2BD46196">
            <w:pPr>
              <w:spacing w:line="240" w:lineRule="auto"/>
              <w:jc w:val="center"/>
              <w:rPr>
                <w:sz w:val="21"/>
                <w:szCs w:val="21"/>
              </w:rPr>
            </w:pPr>
            <w:r>
              <w:rPr>
                <w:rFonts w:hint="eastAsia"/>
                <w:sz w:val="21"/>
                <w:szCs w:val="21"/>
              </w:rPr>
              <w:t>2.43</w:t>
            </w:r>
          </w:p>
        </w:tc>
        <w:tc>
          <w:tcPr>
            <w:tcW w:w="512" w:type="dxa"/>
            <w:tcBorders>
              <w:top w:val="single" w:color="000000" w:sz="6" w:space="0"/>
              <w:left w:val="single" w:color="000000" w:sz="6" w:space="0"/>
              <w:right w:val="single" w:color="000000" w:sz="6" w:space="0"/>
            </w:tcBorders>
            <w:vAlign w:val="center"/>
          </w:tcPr>
          <w:p w14:paraId="13FA5B72">
            <w:pPr>
              <w:spacing w:line="240" w:lineRule="auto"/>
              <w:jc w:val="center"/>
              <w:rPr>
                <w:sz w:val="21"/>
                <w:szCs w:val="21"/>
              </w:rPr>
            </w:pPr>
            <w:r>
              <w:rPr>
                <w:rFonts w:hint="eastAsia"/>
                <w:sz w:val="21"/>
                <w:szCs w:val="21"/>
              </w:rPr>
              <w:t>2.21</w:t>
            </w:r>
          </w:p>
        </w:tc>
        <w:tc>
          <w:tcPr>
            <w:tcW w:w="737" w:type="dxa"/>
            <w:tcBorders>
              <w:top w:val="single" w:color="000000" w:sz="6" w:space="0"/>
              <w:left w:val="single" w:color="000000" w:sz="6" w:space="0"/>
            </w:tcBorders>
            <w:vAlign w:val="center"/>
          </w:tcPr>
          <w:p w14:paraId="4B9B7826">
            <w:pPr>
              <w:spacing w:line="240" w:lineRule="auto"/>
              <w:jc w:val="center"/>
              <w:rPr>
                <w:sz w:val="21"/>
                <w:szCs w:val="21"/>
              </w:rPr>
            </w:pPr>
            <w:r>
              <w:rPr>
                <w:sz w:val="21"/>
                <w:szCs w:val="21"/>
              </w:rPr>
              <w:t>2.2</w:t>
            </w:r>
            <w:r>
              <w:rPr>
                <w:rFonts w:hint="eastAsia"/>
                <w:sz w:val="21"/>
                <w:szCs w:val="21"/>
              </w:rPr>
              <w:t>9</w:t>
            </w:r>
          </w:p>
        </w:tc>
      </w:tr>
    </w:tbl>
    <w:p w14:paraId="2DBC425C">
      <w:r>
        <w:drawing>
          <wp:inline distT="0" distB="0" distL="114300" distR="114300">
            <wp:extent cx="5271135" cy="2023745"/>
            <wp:effectExtent l="4445" t="4445" r="20320" b="10160"/>
            <wp:docPr id="204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F544031">
      <w:pPr>
        <w:pStyle w:val="45"/>
        <w:numPr>
          <w:ilvl w:val="6"/>
          <w:numId w:val="0"/>
        </w:numPr>
        <w:spacing w:before="156"/>
        <w:ind w:left="6096" w:leftChars="0" w:hanging="4962" w:firstLineChars="0"/>
        <w:rPr>
          <w:color w:val="auto"/>
        </w:rPr>
      </w:pPr>
      <w:r>
        <w:rPr>
          <w:rFonts w:hint="default" w:ascii="宋体" w:hAnsi="宋体" w:eastAsia="宋体" w:cs="宋体"/>
          <w:b/>
          <w:bCs/>
          <w:color w:val="auto"/>
          <w:kern w:val="2"/>
          <w:sz w:val="21"/>
          <w:szCs w:val="21"/>
          <w:lang w:val="en-US" w:eastAsia="zh-CN" w:bidi="ar-SA"/>
        </w:rPr>
        <w:t xml:space="preserve">图6.2-2 </w:t>
      </w:r>
      <w:r>
        <w:rPr>
          <w:rFonts w:hint="eastAsia"/>
          <w:color w:val="auto"/>
        </w:rPr>
        <w:t>湘潭市202</w:t>
      </w:r>
      <w:r>
        <w:rPr>
          <w:rFonts w:hint="eastAsia"/>
          <w:color w:val="auto"/>
          <w:lang w:val="en-US" w:eastAsia="zh-CN"/>
        </w:rPr>
        <w:t>4</w:t>
      </w:r>
      <w:r>
        <w:rPr>
          <w:rFonts w:hint="eastAsia"/>
          <w:color w:val="auto"/>
        </w:rPr>
        <w:t>年年均气温的月变化曲线图</w:t>
      </w:r>
    </w:p>
    <w:p w14:paraId="16456D69">
      <w:pPr>
        <w:pStyle w:val="38"/>
      </w:pPr>
      <w:r>
        <w:drawing>
          <wp:inline distT="0" distB="0" distL="114300" distR="114300">
            <wp:extent cx="5270500" cy="2028825"/>
            <wp:effectExtent l="4445" t="4445" r="20955" b="5080"/>
            <wp:docPr id="205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3E80120">
      <w:pPr>
        <w:pStyle w:val="45"/>
        <w:numPr>
          <w:ilvl w:val="6"/>
          <w:numId w:val="0"/>
        </w:numPr>
        <w:spacing w:before="156"/>
        <w:ind w:left="6096" w:leftChars="0" w:hanging="4820" w:firstLineChars="0"/>
        <w:rPr>
          <w:color w:val="auto"/>
        </w:rPr>
      </w:pPr>
      <w:r>
        <w:rPr>
          <w:rFonts w:hint="default" w:ascii="宋体" w:hAnsi="宋体" w:eastAsia="宋体" w:cs="宋体"/>
          <w:b/>
          <w:bCs/>
          <w:color w:val="auto"/>
          <w:kern w:val="2"/>
          <w:sz w:val="21"/>
          <w:szCs w:val="21"/>
          <w:lang w:val="en-US" w:eastAsia="zh-CN" w:bidi="ar-SA"/>
        </w:rPr>
        <w:t xml:space="preserve">图6.2-3 </w:t>
      </w:r>
      <w:r>
        <w:rPr>
          <w:rFonts w:hint="eastAsia"/>
          <w:color w:val="auto"/>
        </w:rPr>
        <w:t>湘潭市202</w:t>
      </w:r>
      <w:r>
        <w:rPr>
          <w:rFonts w:hint="eastAsia"/>
          <w:color w:val="auto"/>
          <w:lang w:val="en-US" w:eastAsia="zh-CN"/>
        </w:rPr>
        <w:t>4</w:t>
      </w:r>
      <w:r>
        <w:rPr>
          <w:rFonts w:hint="eastAsia"/>
          <w:color w:val="auto"/>
        </w:rPr>
        <w:t>年年均风速的月变化曲线图</w:t>
      </w:r>
    </w:p>
    <w:p w14:paraId="517C722D">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6.2.3.3</w:t>
      </w:r>
      <w:r>
        <w:rPr>
          <w:rFonts w:hint="eastAsia"/>
        </w:rPr>
        <w:t>高空气象数据</w:t>
      </w:r>
    </w:p>
    <w:p w14:paraId="439BEAD6">
      <w:pPr>
        <w:ind w:firstLine="480"/>
      </w:pPr>
      <w:r>
        <w:rPr>
          <w:rFonts w:hint="eastAsia"/>
        </w:rPr>
        <w:t>本项目高空气象数据由中国气象局国家气象信息中心基于国际上前沿的模式与同化方案（GFS/GSI），建成全球大气再分析系统（CRAS），通过多层次循环同化试验，不断强化中国特有观测资料的同化应用，研制出10年以上长度的“中国全球大气再分析中间产品（CRA-Interim，2009）”，时间分辨率为6小时，水平分辨率为34公里，垂直层次64层。提取37个层次的高空模拟气象数据，层次为1000～100hPa每间隔25hPa为一个层次。高空气象因子包括气压、离地高度、干球温度、露点温度、风向和风速。湘潭气象站位于项目西南侧32.96km，站台编号为57773，海拔为63.8m，站点经纬度为北纬27.66°、东经112.65°。项目模拟气象数据信息见表6.2-6。</w:t>
      </w:r>
    </w:p>
    <w:p w14:paraId="68AECB90">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表6.2-6 </w:t>
      </w:r>
      <w:r>
        <w:rPr>
          <w:rFonts w:hint="eastAsia" w:ascii="宋体" w:hAnsi="宋体" w:cs="宋体"/>
          <w:b/>
          <w:bCs/>
          <w:color w:val="auto"/>
          <w:kern w:val="2"/>
          <w:sz w:val="21"/>
          <w:szCs w:val="21"/>
          <w:lang w:val="en-US" w:eastAsia="zh-CN" w:bidi="ar-SA"/>
        </w:rPr>
        <w:t xml:space="preserve"> </w:t>
      </w:r>
      <w:r>
        <w:rPr>
          <w:rFonts w:hint="eastAsia"/>
        </w:rPr>
        <w:t>模拟气象数据信息</w:t>
      </w:r>
    </w:p>
    <w:tbl>
      <w:tblPr>
        <w:tblStyle w:val="6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21"/>
        <w:gridCol w:w="1421"/>
        <w:gridCol w:w="1420"/>
        <w:gridCol w:w="1420"/>
        <w:gridCol w:w="1420"/>
        <w:gridCol w:w="1420"/>
      </w:tblGrid>
      <w:tr w14:paraId="49D613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67" w:type="pct"/>
            <w:gridSpan w:val="2"/>
            <w:vAlign w:val="center"/>
          </w:tcPr>
          <w:p w14:paraId="50F23204">
            <w:pPr>
              <w:tabs>
                <w:tab w:val="left" w:pos="1021"/>
              </w:tabs>
              <w:spacing w:line="240" w:lineRule="auto"/>
              <w:jc w:val="center"/>
              <w:rPr>
                <w:rFonts w:eastAsiaTheme="minorEastAsia"/>
                <w:sz w:val="21"/>
                <w:szCs w:val="21"/>
              </w:rPr>
            </w:pPr>
            <w:r>
              <w:rPr>
                <w:rFonts w:eastAsiaTheme="minorEastAsia"/>
                <w:sz w:val="21"/>
                <w:szCs w:val="21"/>
              </w:rPr>
              <w:t>模拟点坐标</w:t>
            </w:r>
          </w:p>
        </w:tc>
        <w:tc>
          <w:tcPr>
            <w:tcW w:w="833" w:type="pct"/>
            <w:vMerge w:val="restart"/>
            <w:vAlign w:val="center"/>
          </w:tcPr>
          <w:p w14:paraId="6021F892">
            <w:pPr>
              <w:tabs>
                <w:tab w:val="left" w:pos="1021"/>
              </w:tabs>
              <w:spacing w:line="240" w:lineRule="auto"/>
              <w:jc w:val="center"/>
              <w:rPr>
                <w:rFonts w:eastAsiaTheme="minorEastAsia"/>
                <w:sz w:val="21"/>
                <w:szCs w:val="21"/>
              </w:rPr>
            </w:pPr>
            <w:r>
              <w:rPr>
                <w:rFonts w:eastAsiaTheme="minorEastAsia"/>
                <w:sz w:val="21"/>
                <w:szCs w:val="21"/>
              </w:rPr>
              <w:t>相对距离</w:t>
            </w:r>
          </w:p>
        </w:tc>
        <w:tc>
          <w:tcPr>
            <w:tcW w:w="833" w:type="pct"/>
            <w:vMerge w:val="restart"/>
            <w:vAlign w:val="center"/>
          </w:tcPr>
          <w:p w14:paraId="6A9C6705">
            <w:pPr>
              <w:tabs>
                <w:tab w:val="left" w:pos="1021"/>
              </w:tabs>
              <w:spacing w:line="240" w:lineRule="auto"/>
              <w:jc w:val="center"/>
              <w:rPr>
                <w:rFonts w:eastAsiaTheme="minorEastAsia"/>
                <w:sz w:val="21"/>
                <w:szCs w:val="21"/>
              </w:rPr>
            </w:pPr>
            <w:r>
              <w:rPr>
                <w:rFonts w:eastAsiaTheme="minorEastAsia"/>
                <w:sz w:val="21"/>
                <w:szCs w:val="21"/>
              </w:rPr>
              <w:t>数据年份</w:t>
            </w:r>
          </w:p>
        </w:tc>
        <w:tc>
          <w:tcPr>
            <w:tcW w:w="833" w:type="pct"/>
            <w:vMerge w:val="restart"/>
            <w:vAlign w:val="center"/>
          </w:tcPr>
          <w:p w14:paraId="6FF0E3B1">
            <w:pPr>
              <w:tabs>
                <w:tab w:val="left" w:pos="1021"/>
              </w:tabs>
              <w:spacing w:line="240" w:lineRule="auto"/>
              <w:jc w:val="center"/>
              <w:rPr>
                <w:rFonts w:eastAsiaTheme="minorEastAsia"/>
                <w:sz w:val="21"/>
                <w:szCs w:val="21"/>
              </w:rPr>
            </w:pPr>
            <w:r>
              <w:rPr>
                <w:rFonts w:eastAsiaTheme="minorEastAsia"/>
                <w:sz w:val="21"/>
                <w:szCs w:val="21"/>
              </w:rPr>
              <w:t>模拟气象要素</w:t>
            </w:r>
          </w:p>
        </w:tc>
        <w:tc>
          <w:tcPr>
            <w:tcW w:w="833" w:type="pct"/>
            <w:vMerge w:val="restart"/>
            <w:vAlign w:val="center"/>
          </w:tcPr>
          <w:p w14:paraId="61688277">
            <w:pPr>
              <w:tabs>
                <w:tab w:val="left" w:pos="1021"/>
              </w:tabs>
              <w:spacing w:line="240" w:lineRule="auto"/>
              <w:jc w:val="center"/>
              <w:rPr>
                <w:rFonts w:eastAsiaTheme="minorEastAsia"/>
                <w:sz w:val="21"/>
                <w:szCs w:val="21"/>
              </w:rPr>
            </w:pPr>
            <w:r>
              <w:rPr>
                <w:rFonts w:eastAsiaTheme="minorEastAsia"/>
                <w:sz w:val="21"/>
                <w:szCs w:val="21"/>
              </w:rPr>
              <w:t>模拟方式</w:t>
            </w:r>
          </w:p>
        </w:tc>
      </w:tr>
      <w:tr w14:paraId="6E5CC5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34" w:type="pct"/>
            <w:vAlign w:val="center"/>
          </w:tcPr>
          <w:p w14:paraId="10DB96AF">
            <w:pPr>
              <w:tabs>
                <w:tab w:val="left" w:pos="1021"/>
              </w:tabs>
              <w:spacing w:line="240" w:lineRule="auto"/>
              <w:jc w:val="center"/>
              <w:rPr>
                <w:rFonts w:eastAsiaTheme="minorEastAsia"/>
                <w:sz w:val="21"/>
                <w:szCs w:val="21"/>
              </w:rPr>
            </w:pPr>
            <w:r>
              <w:rPr>
                <w:rFonts w:eastAsiaTheme="minorEastAsia"/>
                <w:sz w:val="21"/>
                <w:szCs w:val="21"/>
              </w:rPr>
              <w:t>B</w:t>
            </w:r>
          </w:p>
        </w:tc>
        <w:tc>
          <w:tcPr>
            <w:tcW w:w="834" w:type="pct"/>
            <w:vAlign w:val="center"/>
          </w:tcPr>
          <w:p w14:paraId="505B286C">
            <w:pPr>
              <w:tabs>
                <w:tab w:val="left" w:pos="1021"/>
              </w:tabs>
              <w:spacing w:line="240" w:lineRule="auto"/>
              <w:jc w:val="center"/>
              <w:rPr>
                <w:rFonts w:eastAsiaTheme="minorEastAsia"/>
                <w:sz w:val="21"/>
                <w:szCs w:val="21"/>
              </w:rPr>
            </w:pPr>
            <w:r>
              <w:rPr>
                <w:rFonts w:eastAsiaTheme="minorEastAsia"/>
                <w:sz w:val="21"/>
                <w:szCs w:val="21"/>
              </w:rPr>
              <w:t>L</w:t>
            </w:r>
          </w:p>
        </w:tc>
        <w:tc>
          <w:tcPr>
            <w:tcW w:w="833" w:type="pct"/>
            <w:vMerge w:val="continue"/>
            <w:vAlign w:val="center"/>
          </w:tcPr>
          <w:p w14:paraId="76B67473">
            <w:pPr>
              <w:tabs>
                <w:tab w:val="left" w:pos="1021"/>
              </w:tabs>
              <w:spacing w:line="240" w:lineRule="auto"/>
              <w:jc w:val="center"/>
              <w:rPr>
                <w:rFonts w:eastAsiaTheme="minorEastAsia"/>
                <w:sz w:val="21"/>
                <w:szCs w:val="21"/>
              </w:rPr>
            </w:pPr>
          </w:p>
        </w:tc>
        <w:tc>
          <w:tcPr>
            <w:tcW w:w="833" w:type="pct"/>
            <w:vMerge w:val="continue"/>
            <w:vAlign w:val="center"/>
          </w:tcPr>
          <w:p w14:paraId="27028052">
            <w:pPr>
              <w:tabs>
                <w:tab w:val="left" w:pos="1021"/>
              </w:tabs>
              <w:spacing w:line="240" w:lineRule="auto"/>
              <w:jc w:val="center"/>
              <w:rPr>
                <w:rFonts w:eastAsiaTheme="minorEastAsia"/>
                <w:sz w:val="21"/>
                <w:szCs w:val="21"/>
              </w:rPr>
            </w:pPr>
          </w:p>
        </w:tc>
        <w:tc>
          <w:tcPr>
            <w:tcW w:w="833" w:type="pct"/>
            <w:vMerge w:val="continue"/>
            <w:vAlign w:val="center"/>
          </w:tcPr>
          <w:p w14:paraId="18264226">
            <w:pPr>
              <w:tabs>
                <w:tab w:val="left" w:pos="1021"/>
              </w:tabs>
              <w:spacing w:line="240" w:lineRule="auto"/>
              <w:jc w:val="center"/>
              <w:rPr>
                <w:rFonts w:eastAsiaTheme="minorEastAsia"/>
                <w:sz w:val="21"/>
                <w:szCs w:val="21"/>
              </w:rPr>
            </w:pPr>
          </w:p>
        </w:tc>
        <w:tc>
          <w:tcPr>
            <w:tcW w:w="833" w:type="pct"/>
            <w:vMerge w:val="continue"/>
            <w:vAlign w:val="center"/>
          </w:tcPr>
          <w:p w14:paraId="39C42CEB">
            <w:pPr>
              <w:tabs>
                <w:tab w:val="left" w:pos="1021"/>
              </w:tabs>
              <w:spacing w:line="240" w:lineRule="auto"/>
              <w:jc w:val="center"/>
              <w:rPr>
                <w:rFonts w:eastAsiaTheme="minorEastAsia"/>
                <w:sz w:val="21"/>
                <w:szCs w:val="21"/>
              </w:rPr>
            </w:pPr>
          </w:p>
        </w:tc>
      </w:tr>
      <w:tr w14:paraId="32269F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34" w:type="pct"/>
            <w:vAlign w:val="center"/>
          </w:tcPr>
          <w:p w14:paraId="3032596C">
            <w:pPr>
              <w:tabs>
                <w:tab w:val="left" w:pos="1021"/>
              </w:tabs>
              <w:spacing w:line="240" w:lineRule="auto"/>
              <w:jc w:val="center"/>
              <w:rPr>
                <w:rFonts w:eastAsiaTheme="minorEastAsia"/>
                <w:sz w:val="21"/>
                <w:szCs w:val="21"/>
              </w:rPr>
            </w:pPr>
            <w:r>
              <w:rPr>
                <w:rFonts w:eastAsiaTheme="minorEastAsia"/>
                <w:sz w:val="21"/>
                <w:szCs w:val="21"/>
              </w:rPr>
              <w:t>27.66N</w:t>
            </w:r>
          </w:p>
        </w:tc>
        <w:tc>
          <w:tcPr>
            <w:tcW w:w="834" w:type="pct"/>
            <w:vAlign w:val="center"/>
          </w:tcPr>
          <w:p w14:paraId="5BE094EA">
            <w:pPr>
              <w:tabs>
                <w:tab w:val="left" w:pos="1021"/>
              </w:tabs>
              <w:spacing w:line="240" w:lineRule="auto"/>
              <w:jc w:val="center"/>
              <w:rPr>
                <w:rFonts w:eastAsiaTheme="minorEastAsia"/>
                <w:sz w:val="21"/>
                <w:szCs w:val="21"/>
              </w:rPr>
            </w:pPr>
            <w:r>
              <w:rPr>
                <w:rFonts w:eastAsiaTheme="minorEastAsia"/>
                <w:sz w:val="21"/>
                <w:szCs w:val="21"/>
              </w:rPr>
              <w:t>112.65E</w:t>
            </w:r>
          </w:p>
        </w:tc>
        <w:tc>
          <w:tcPr>
            <w:tcW w:w="833" w:type="pct"/>
            <w:vAlign w:val="center"/>
          </w:tcPr>
          <w:p w14:paraId="0563817E">
            <w:pPr>
              <w:tabs>
                <w:tab w:val="left" w:pos="1021"/>
              </w:tabs>
              <w:spacing w:line="240" w:lineRule="auto"/>
              <w:jc w:val="center"/>
              <w:rPr>
                <w:rFonts w:eastAsiaTheme="minorEastAsia"/>
                <w:sz w:val="21"/>
                <w:szCs w:val="21"/>
              </w:rPr>
            </w:pPr>
            <w:r>
              <w:rPr>
                <w:rFonts w:eastAsiaTheme="minorEastAsia"/>
                <w:sz w:val="21"/>
                <w:szCs w:val="21"/>
              </w:rPr>
              <w:t>32.96km</w:t>
            </w:r>
          </w:p>
        </w:tc>
        <w:tc>
          <w:tcPr>
            <w:tcW w:w="833" w:type="pct"/>
            <w:vAlign w:val="center"/>
          </w:tcPr>
          <w:p w14:paraId="06FBAD08">
            <w:pPr>
              <w:tabs>
                <w:tab w:val="left" w:pos="1021"/>
              </w:tabs>
              <w:spacing w:line="240" w:lineRule="auto"/>
              <w:jc w:val="center"/>
              <w:rPr>
                <w:rFonts w:hint="eastAsia" w:eastAsiaTheme="minorEastAsia"/>
                <w:sz w:val="21"/>
                <w:szCs w:val="21"/>
                <w:lang w:eastAsia="zh-CN"/>
              </w:rPr>
            </w:pPr>
            <w:r>
              <w:rPr>
                <w:rFonts w:eastAsiaTheme="minorEastAsia"/>
                <w:sz w:val="21"/>
                <w:szCs w:val="21"/>
              </w:rPr>
              <w:t>202</w:t>
            </w:r>
            <w:r>
              <w:rPr>
                <w:rFonts w:hint="eastAsia" w:eastAsiaTheme="minorEastAsia"/>
                <w:sz w:val="21"/>
                <w:szCs w:val="21"/>
                <w:lang w:val="en-US" w:eastAsia="zh-CN"/>
              </w:rPr>
              <w:t>4</w:t>
            </w:r>
          </w:p>
        </w:tc>
        <w:tc>
          <w:tcPr>
            <w:tcW w:w="833" w:type="pct"/>
            <w:vAlign w:val="center"/>
          </w:tcPr>
          <w:p w14:paraId="44577158">
            <w:pPr>
              <w:tabs>
                <w:tab w:val="left" w:pos="1021"/>
              </w:tabs>
              <w:spacing w:line="240" w:lineRule="auto"/>
              <w:jc w:val="center"/>
              <w:rPr>
                <w:rFonts w:eastAsiaTheme="minorEastAsia"/>
                <w:sz w:val="21"/>
                <w:szCs w:val="21"/>
              </w:rPr>
            </w:pPr>
            <w:r>
              <w:rPr>
                <w:rFonts w:eastAsiaTheme="minorEastAsia"/>
                <w:sz w:val="21"/>
                <w:szCs w:val="21"/>
              </w:rPr>
              <w:t>探空层层数、气压、离地高度、干球温度</w:t>
            </w:r>
          </w:p>
        </w:tc>
        <w:tc>
          <w:tcPr>
            <w:tcW w:w="833" w:type="pct"/>
            <w:vAlign w:val="center"/>
          </w:tcPr>
          <w:p w14:paraId="4024CEB4">
            <w:pPr>
              <w:tabs>
                <w:tab w:val="left" w:pos="1021"/>
              </w:tabs>
              <w:spacing w:line="240" w:lineRule="auto"/>
              <w:jc w:val="center"/>
              <w:rPr>
                <w:rFonts w:eastAsiaTheme="minorEastAsia"/>
                <w:sz w:val="21"/>
                <w:szCs w:val="21"/>
              </w:rPr>
            </w:pPr>
            <w:r>
              <w:rPr>
                <w:rFonts w:eastAsiaTheme="minorEastAsia"/>
                <w:sz w:val="21"/>
                <w:szCs w:val="21"/>
              </w:rPr>
              <w:t>中尺度气象模型WRF模拟数据</w:t>
            </w:r>
          </w:p>
        </w:tc>
      </w:tr>
    </w:tbl>
    <w:p w14:paraId="4EB96541">
      <w:pPr>
        <w:spacing w:line="240" w:lineRule="auto"/>
        <w:ind w:firstLine="360"/>
        <w:rPr>
          <w:sz w:val="18"/>
          <w:szCs w:val="18"/>
        </w:rPr>
      </w:pPr>
      <w:r>
        <w:rPr>
          <w:sz w:val="18"/>
          <w:szCs w:val="18"/>
        </w:rPr>
        <w:t>注：数据格式为FSL格式，中尺度气象模型WRF模拟数据，数据为每天0、4、8、12、16、20时的数据</w:t>
      </w:r>
    </w:p>
    <w:p w14:paraId="1C7BD6FF">
      <w:pPr>
        <w:pStyle w:val="4"/>
        <w:numPr>
          <w:ilvl w:val="2"/>
          <w:numId w:val="0"/>
        </w:numPr>
        <w:ind w:left="992" w:leftChars="0" w:hanging="992" w:firstLineChars="0"/>
        <w:rPr>
          <w:sz w:val="28"/>
          <w:szCs w:val="28"/>
        </w:rPr>
      </w:pPr>
      <w:r>
        <w:rPr>
          <w:rFonts w:hint="default" w:ascii="宋体" w:hAnsi="宋体" w:eastAsia="宋体" w:cs="宋体"/>
          <w:b/>
          <w:bCs/>
          <w:kern w:val="2"/>
          <w:sz w:val="24"/>
          <w:szCs w:val="24"/>
          <w:lang w:val="en-US" w:eastAsia="zh-CN" w:bidi="ar-SA"/>
        </w:rPr>
        <w:t>6.2.4</w:t>
      </w:r>
      <w:r>
        <w:rPr>
          <w:rFonts w:hint="eastAsia"/>
          <w:sz w:val="28"/>
          <w:szCs w:val="28"/>
        </w:rPr>
        <w:t>预测模型</w:t>
      </w:r>
    </w:p>
    <w:p w14:paraId="0E3AB166">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6.2.4.1</w:t>
      </w:r>
      <w:r>
        <w:rPr>
          <w:rFonts w:hint="eastAsia"/>
        </w:rPr>
        <w:t>预测模式</w:t>
      </w:r>
    </w:p>
    <w:p w14:paraId="411FC82D">
      <w:pPr>
        <w:pStyle w:val="38"/>
        <w:ind w:firstLine="480"/>
        <w:rPr>
          <w:rFonts w:ascii="Times New Roman" w:hAnsi="Times New Roman" w:eastAsia="宋体" w:cs="Times New Roman"/>
          <w:color w:val="auto"/>
        </w:rPr>
      </w:pPr>
      <w:r>
        <w:rPr>
          <w:rFonts w:ascii="Times New Roman" w:hAnsi="Times New Roman" w:eastAsia="宋体" w:cs="Times New Roman"/>
          <w:color w:val="auto"/>
        </w:rPr>
        <w:t>按照《</w:t>
      </w:r>
      <w:r>
        <w:rPr>
          <w:rFonts w:hint="eastAsia" w:ascii="Times New Roman" w:hAnsi="Times New Roman" w:eastAsia="宋体" w:cs="Times New Roman"/>
          <w:color w:val="auto"/>
        </w:rPr>
        <w:t>环境影响评价技术导则 大气环境</w:t>
      </w:r>
      <w:r>
        <w:rPr>
          <w:rFonts w:ascii="Times New Roman" w:hAnsi="Times New Roman" w:eastAsia="宋体" w:cs="Times New Roman"/>
          <w:color w:val="auto"/>
        </w:rPr>
        <w:t>》（HJ2.2-2018）有关要求，本次环境影响评价选用AERMOD模式进行大气环境影响预测。</w:t>
      </w:r>
    </w:p>
    <w:p w14:paraId="574A814F">
      <w:pPr>
        <w:pStyle w:val="38"/>
        <w:ind w:firstLine="480"/>
        <w:rPr>
          <w:rFonts w:ascii="Times New Roman" w:hAnsi="Times New Roman" w:eastAsia="宋体" w:cs="Times New Roman"/>
          <w:color w:val="auto"/>
        </w:rPr>
      </w:pPr>
      <w:r>
        <w:rPr>
          <w:rFonts w:ascii="Times New Roman" w:hAnsi="Times New Roman" w:eastAsia="宋体" w:cs="Times New Roman"/>
          <w:color w:val="auto"/>
        </w:rPr>
        <w:t>AERMOD是一个稳态烟羽扩散模式，可基于大气边界层数据特征模拟点源、面源、体源等排放出的污染物的浓度分布，适用于农村或城市地区、简单或复杂地形。使用AERMOD亦可考虑建筑物尾流（烟羽下洗）的影响。</w:t>
      </w:r>
    </w:p>
    <w:p w14:paraId="2400438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6.2.4.2</w:t>
      </w:r>
      <w:r>
        <w:rPr>
          <w:rFonts w:hint="eastAsia"/>
        </w:rPr>
        <w:t>预测区域地形及网格划分</w:t>
      </w:r>
    </w:p>
    <w:p w14:paraId="7F5FFA2C">
      <w:pPr>
        <w:pStyle w:val="38"/>
        <w:ind w:firstLine="480"/>
        <w:rPr>
          <w:rFonts w:ascii="Times New Roman" w:hAnsi="Times New Roman" w:eastAsia="宋体" w:cs="Times New Roman"/>
          <w:color w:val="auto"/>
        </w:rPr>
      </w:pPr>
      <w:r>
        <w:rPr>
          <w:rFonts w:ascii="Times New Roman" w:hAnsi="Times New Roman" w:eastAsia="宋体" w:cs="Times New Roman"/>
          <w:color w:val="auto"/>
        </w:rPr>
        <w:t>评价项目位于湘潭市城市地区。评价范围内的地形数据采用外部DEM文件，数据来源为http://srtm.csi.cgiar.org/，分辨率为90m。采用Aermap运行计算得出评价范围内各网格及敏感点的地形数据。构建评价范围的预测网格时，采用直角坐标的方式，即坐标形式为（x，y）。评价范围为5km×5km，步长100m。预测分为一个扇区，以中心坐标为原点，建立直角坐标体。</w:t>
      </w:r>
    </w:p>
    <w:p w14:paraId="7604D1BA">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6.2.4.3</w:t>
      </w:r>
      <w:r>
        <w:rPr>
          <w:rFonts w:hint="eastAsia"/>
        </w:rPr>
        <w:t>建筑物下洗判定</w:t>
      </w:r>
    </w:p>
    <w:p w14:paraId="73614F52">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评价项目生产设施共有2根排气筒，DA001（印刷复合生产线、印刷复合烘干天然气燃烧废气、危废间）、DA002（导热油锅炉、热水锅炉天然气燃烧废气）排气筒高度分别为20.5m、16m。项目周围最高的构筑物为项目北侧的4车间，高12m，烟囱基座与该构筑物位于同一水平。</w:t>
      </w:r>
    </w:p>
    <w:p w14:paraId="4A8BFF3C">
      <w:pPr>
        <w:pStyle w:val="41"/>
        <w:spacing w:beforeAutospacing="0" w:afterAutospacing="0"/>
        <w:ind w:firstLine="480"/>
        <w:rPr>
          <w:rFonts w:ascii="Times New Roman" w:hAnsi="Times New Roman" w:cs="Times New Roman"/>
          <w:kern w:val="2"/>
          <w:sz w:val="24"/>
        </w:rPr>
      </w:pPr>
      <w:r>
        <w:rPr>
          <w:rFonts w:hint="eastAsia" w:ascii="Times New Roman" w:hAnsi="Times New Roman" w:cs="Times New Roman"/>
          <w:kern w:val="2"/>
          <w:sz w:val="24"/>
        </w:rPr>
        <w:t>根据周围建筑物高度计算的最佳工程方案（GEP）烟囱高度均为26m/157m、，本项目排气筒设计高度低于GEP烟囱高度，根据预测结果，评价项目需考虑建筑物下洗。</w:t>
      </w:r>
    </w:p>
    <w:p w14:paraId="28E4A3D7">
      <w:pPr>
        <w:pStyle w:val="9"/>
        <w:spacing w:line="360" w:lineRule="auto"/>
      </w:pPr>
      <w:r>
        <w:rPr>
          <w:rFonts w:hint="eastAsia"/>
        </w:rPr>
        <w:drawing>
          <wp:inline distT="0" distB="0" distL="114300" distR="114300">
            <wp:extent cx="5269865" cy="2217420"/>
            <wp:effectExtent l="0" t="0" r="6985" b="11430"/>
            <wp:docPr id="54" name="图片 54" descr="673643843aa274740bb43633c04f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673643843aa274740bb43633c04f180"/>
                    <pic:cNvPicPr>
                      <a:picLocks noChangeAspect="1"/>
                    </pic:cNvPicPr>
                  </pic:nvPicPr>
                  <pic:blipFill>
                    <a:blip r:embed="rId49"/>
                    <a:stretch>
                      <a:fillRect/>
                    </a:stretch>
                  </pic:blipFill>
                  <pic:spPr>
                    <a:xfrm>
                      <a:off x="0" y="0"/>
                      <a:ext cx="5269865" cy="2217420"/>
                    </a:xfrm>
                    <a:prstGeom prst="rect">
                      <a:avLst/>
                    </a:prstGeom>
                  </pic:spPr>
                </pic:pic>
              </a:graphicData>
            </a:graphic>
          </wp:inline>
        </w:drawing>
      </w:r>
    </w:p>
    <w:p w14:paraId="69D230AB">
      <w:pPr>
        <w:pStyle w:val="45"/>
        <w:numPr>
          <w:ilvl w:val="6"/>
          <w:numId w:val="0"/>
        </w:numPr>
        <w:spacing w:before="156"/>
        <w:ind w:left="6096" w:leftChars="0" w:hanging="6096" w:firstLineChars="0"/>
      </w:pPr>
      <w:r>
        <w:rPr>
          <w:rFonts w:hint="default" w:ascii="宋体" w:hAnsi="宋体" w:eastAsia="宋体" w:cs="宋体"/>
          <w:b/>
          <w:bCs/>
          <w:color w:val="000000"/>
          <w:kern w:val="2"/>
          <w:sz w:val="21"/>
          <w:szCs w:val="21"/>
          <w:lang w:val="en-US" w:eastAsia="zh-CN" w:bidi="ar-SA"/>
        </w:rPr>
        <w:t xml:space="preserve">图6.2-4 </w:t>
      </w:r>
      <w:r>
        <w:rPr>
          <w:rFonts w:hint="eastAsia"/>
          <w:color w:val="auto"/>
        </w:rPr>
        <w:t xml:space="preserve"> 建筑物下洗方案截图</w:t>
      </w:r>
    </w:p>
    <w:p w14:paraId="7DC96D32">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6.2.4.4</w:t>
      </w:r>
      <w:r>
        <w:rPr>
          <w:rFonts w:hint="eastAsia"/>
        </w:rPr>
        <w:t>评价因子及评价等级</w:t>
      </w:r>
    </w:p>
    <w:p w14:paraId="217A53EC">
      <w:pPr>
        <w:ind w:firstLine="480"/>
      </w:pPr>
      <w:r>
        <w:rPr>
          <w:rFonts w:hint="eastAsia"/>
        </w:rPr>
        <w:t>1.评价因子及标准</w:t>
      </w:r>
    </w:p>
    <w:p w14:paraId="39CC195F">
      <w:pPr>
        <w:ind w:firstLine="480"/>
      </w:pPr>
      <w:r>
        <w:t>根据工程污染因素分析和评价因子筛选结果，确定大气环境影响预测的主要因子为：生产过程中印刷工序、复合工序产生的</w:t>
      </w:r>
      <w:r>
        <w:rPr>
          <w:rFonts w:hint="eastAsia"/>
        </w:rPr>
        <w:t>挥发性有机物</w:t>
      </w:r>
      <w:r>
        <w:t>，</w:t>
      </w:r>
      <w:r>
        <w:rPr>
          <w:rFonts w:hint="eastAsia"/>
        </w:rPr>
        <w:t>天然气导热油锅炉</w:t>
      </w:r>
      <w:r>
        <w:rPr>
          <w:rFonts w:hint="eastAsia"/>
          <w:lang w:val="en-US" w:eastAsia="zh-CN"/>
        </w:rPr>
        <w:t>和热水锅炉</w:t>
      </w:r>
      <w:r>
        <w:rPr>
          <w:rFonts w:hint="eastAsia"/>
        </w:rPr>
        <w:t>燃烧废气</w:t>
      </w:r>
      <w:r>
        <w:t>SO</w:t>
      </w:r>
      <w:r>
        <w:rPr>
          <w:vertAlign w:val="subscript"/>
        </w:rPr>
        <w:t>2</w:t>
      </w:r>
      <w:r>
        <w:t>、NO</w:t>
      </w:r>
      <w:r>
        <w:rPr>
          <w:rFonts w:hint="eastAsia"/>
          <w:vertAlign w:val="subscript"/>
        </w:rPr>
        <w:t>2</w:t>
      </w:r>
      <w:r>
        <w:t>、</w:t>
      </w:r>
      <w:r>
        <w:rPr>
          <w:rFonts w:hint="eastAsia"/>
        </w:rPr>
        <w:t>TSP，</w:t>
      </w:r>
      <w:r>
        <w:t>其评价标准值见下表：</w:t>
      </w:r>
    </w:p>
    <w:p w14:paraId="74BEE96D">
      <w:pPr>
        <w:pStyle w:val="51"/>
        <w:numPr>
          <w:ilvl w:val="5"/>
          <w:numId w:val="0"/>
        </w:numPr>
        <w:tabs>
          <w:tab w:val="left" w:pos="4395"/>
        </w:tabs>
        <w:spacing w:before="156"/>
        <w:ind w:left="4969" w:leftChars="1054" w:hanging="2439" w:hangingChars="1157"/>
        <w:jc w:val="both"/>
      </w:pPr>
      <w:r>
        <w:rPr>
          <w:rFonts w:hint="default" w:ascii="宋体" w:hAnsi="宋体" w:eastAsia="宋体" w:cs="宋体"/>
          <w:b/>
          <w:bCs/>
          <w:color w:val="auto"/>
          <w:kern w:val="2"/>
          <w:sz w:val="21"/>
          <w:szCs w:val="21"/>
          <w:lang w:val="en-US" w:eastAsia="zh-CN" w:bidi="ar-SA"/>
        </w:rPr>
        <w:t xml:space="preserve">表6.2-7 </w:t>
      </w:r>
      <w:r>
        <w:rPr>
          <w:rFonts w:hint="eastAsia" w:ascii="宋体" w:hAnsi="宋体" w:cs="宋体"/>
          <w:b/>
          <w:bCs/>
          <w:color w:val="auto"/>
          <w:kern w:val="2"/>
          <w:sz w:val="21"/>
          <w:szCs w:val="21"/>
          <w:lang w:val="en-US" w:eastAsia="zh-CN" w:bidi="ar-SA"/>
        </w:rPr>
        <w:t xml:space="preserve"> </w:t>
      </w:r>
      <w:r>
        <w:rPr>
          <w:rFonts w:hint="eastAsia"/>
        </w:rPr>
        <w:t>评价因子和评价标准</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574"/>
        <w:gridCol w:w="852"/>
        <w:gridCol w:w="1475"/>
        <w:gridCol w:w="1136"/>
        <w:gridCol w:w="4485"/>
      </w:tblGrid>
      <w:tr w14:paraId="49E7D3B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74" w:type="dxa"/>
            <w:tcBorders>
              <w:tl2br w:val="nil"/>
              <w:tr2bl w:val="nil"/>
            </w:tcBorders>
            <w:vAlign w:val="center"/>
          </w:tcPr>
          <w:p w14:paraId="0B09B305">
            <w:pPr>
              <w:spacing w:line="240" w:lineRule="auto"/>
              <w:jc w:val="center"/>
              <w:rPr>
                <w:b/>
                <w:sz w:val="21"/>
                <w:szCs w:val="21"/>
              </w:rPr>
            </w:pPr>
            <w:r>
              <w:rPr>
                <w:b/>
                <w:sz w:val="21"/>
                <w:szCs w:val="21"/>
              </w:rPr>
              <w:t>序号</w:t>
            </w:r>
          </w:p>
        </w:tc>
        <w:tc>
          <w:tcPr>
            <w:tcW w:w="852" w:type="dxa"/>
            <w:tcBorders>
              <w:tl2br w:val="nil"/>
              <w:tr2bl w:val="nil"/>
            </w:tcBorders>
            <w:vAlign w:val="center"/>
          </w:tcPr>
          <w:p w14:paraId="3579B6F9">
            <w:pPr>
              <w:spacing w:line="240" w:lineRule="auto"/>
              <w:jc w:val="center"/>
              <w:rPr>
                <w:b/>
                <w:sz w:val="21"/>
                <w:szCs w:val="21"/>
              </w:rPr>
            </w:pPr>
            <w:r>
              <w:rPr>
                <w:b/>
                <w:sz w:val="21"/>
                <w:szCs w:val="21"/>
              </w:rPr>
              <w:t>评价因子</w:t>
            </w:r>
          </w:p>
        </w:tc>
        <w:tc>
          <w:tcPr>
            <w:tcW w:w="1475" w:type="dxa"/>
            <w:tcBorders>
              <w:tl2br w:val="nil"/>
              <w:tr2bl w:val="nil"/>
            </w:tcBorders>
            <w:vAlign w:val="center"/>
          </w:tcPr>
          <w:p w14:paraId="6CACF3BB">
            <w:pPr>
              <w:spacing w:line="240" w:lineRule="auto"/>
              <w:jc w:val="center"/>
              <w:rPr>
                <w:b/>
                <w:sz w:val="21"/>
                <w:szCs w:val="21"/>
              </w:rPr>
            </w:pPr>
            <w:r>
              <w:rPr>
                <w:b/>
                <w:sz w:val="21"/>
                <w:szCs w:val="21"/>
              </w:rPr>
              <w:t>平均时段</w:t>
            </w:r>
          </w:p>
        </w:tc>
        <w:tc>
          <w:tcPr>
            <w:tcW w:w="1136" w:type="dxa"/>
            <w:tcBorders>
              <w:tl2br w:val="nil"/>
              <w:tr2bl w:val="nil"/>
            </w:tcBorders>
            <w:vAlign w:val="center"/>
          </w:tcPr>
          <w:p w14:paraId="66BEBD26">
            <w:pPr>
              <w:spacing w:line="240" w:lineRule="auto"/>
              <w:jc w:val="center"/>
              <w:rPr>
                <w:b/>
                <w:sz w:val="21"/>
                <w:szCs w:val="21"/>
              </w:rPr>
            </w:pPr>
            <w:r>
              <w:rPr>
                <w:b/>
                <w:sz w:val="21"/>
                <w:szCs w:val="21"/>
              </w:rPr>
              <w:t>标准值（μg/m</w:t>
            </w:r>
            <w:r>
              <w:rPr>
                <w:b/>
                <w:sz w:val="21"/>
                <w:szCs w:val="21"/>
                <w:vertAlign w:val="superscript"/>
              </w:rPr>
              <w:t>3</w:t>
            </w:r>
            <w:r>
              <w:rPr>
                <w:b/>
                <w:sz w:val="21"/>
                <w:szCs w:val="21"/>
              </w:rPr>
              <w:t>）</w:t>
            </w:r>
          </w:p>
        </w:tc>
        <w:tc>
          <w:tcPr>
            <w:tcW w:w="4485" w:type="dxa"/>
            <w:tcBorders>
              <w:tl2br w:val="nil"/>
              <w:tr2bl w:val="nil"/>
            </w:tcBorders>
            <w:vAlign w:val="center"/>
          </w:tcPr>
          <w:p w14:paraId="4D493CCA">
            <w:pPr>
              <w:pStyle w:val="88"/>
              <w:rPr>
                <w:b/>
                <w:szCs w:val="21"/>
              </w:rPr>
            </w:pPr>
            <w:r>
              <w:rPr>
                <w:b/>
                <w:szCs w:val="21"/>
              </w:rPr>
              <w:t>标准来源</w:t>
            </w:r>
          </w:p>
        </w:tc>
      </w:tr>
      <w:tr w14:paraId="2BC21C9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74" w:type="dxa"/>
            <w:tcBorders>
              <w:tl2br w:val="nil"/>
              <w:tr2bl w:val="nil"/>
            </w:tcBorders>
            <w:vAlign w:val="center"/>
          </w:tcPr>
          <w:p w14:paraId="7BCF5711">
            <w:pPr>
              <w:spacing w:line="240" w:lineRule="auto"/>
              <w:jc w:val="center"/>
              <w:rPr>
                <w:bCs/>
                <w:sz w:val="21"/>
                <w:szCs w:val="21"/>
              </w:rPr>
            </w:pPr>
            <w:r>
              <w:rPr>
                <w:bCs/>
                <w:sz w:val="21"/>
                <w:szCs w:val="21"/>
              </w:rPr>
              <w:t>1</w:t>
            </w:r>
          </w:p>
        </w:tc>
        <w:tc>
          <w:tcPr>
            <w:tcW w:w="852" w:type="dxa"/>
            <w:tcBorders>
              <w:tl2br w:val="nil"/>
              <w:tr2bl w:val="nil"/>
            </w:tcBorders>
            <w:vAlign w:val="center"/>
          </w:tcPr>
          <w:p w14:paraId="6EC45EC5">
            <w:pPr>
              <w:spacing w:line="240" w:lineRule="auto"/>
              <w:jc w:val="center"/>
              <w:rPr>
                <w:sz w:val="21"/>
                <w:szCs w:val="21"/>
              </w:rPr>
            </w:pPr>
            <w:r>
              <w:rPr>
                <w:rFonts w:hint="eastAsia"/>
                <w:sz w:val="21"/>
                <w:szCs w:val="21"/>
              </w:rPr>
              <w:t>TVOC</w:t>
            </w:r>
          </w:p>
        </w:tc>
        <w:tc>
          <w:tcPr>
            <w:tcW w:w="1475" w:type="dxa"/>
            <w:tcBorders>
              <w:tl2br w:val="nil"/>
              <w:tr2bl w:val="nil"/>
            </w:tcBorders>
            <w:vAlign w:val="center"/>
          </w:tcPr>
          <w:p w14:paraId="14D3F514">
            <w:pPr>
              <w:spacing w:line="240" w:lineRule="auto"/>
              <w:jc w:val="center"/>
              <w:rPr>
                <w:sz w:val="21"/>
                <w:szCs w:val="21"/>
              </w:rPr>
            </w:pPr>
            <w:r>
              <w:rPr>
                <w:sz w:val="21"/>
                <w:szCs w:val="21"/>
              </w:rPr>
              <w:t>1h平均</w:t>
            </w:r>
          </w:p>
        </w:tc>
        <w:tc>
          <w:tcPr>
            <w:tcW w:w="1136" w:type="dxa"/>
            <w:tcBorders>
              <w:tl2br w:val="nil"/>
              <w:tr2bl w:val="nil"/>
            </w:tcBorders>
            <w:vAlign w:val="center"/>
          </w:tcPr>
          <w:p w14:paraId="57DC712D">
            <w:pPr>
              <w:spacing w:line="240" w:lineRule="auto"/>
              <w:jc w:val="center"/>
              <w:rPr>
                <w:sz w:val="21"/>
                <w:szCs w:val="21"/>
              </w:rPr>
            </w:pPr>
            <w:r>
              <w:rPr>
                <w:rFonts w:hint="eastAsia"/>
                <w:sz w:val="21"/>
                <w:szCs w:val="21"/>
              </w:rPr>
              <w:t>12</w:t>
            </w:r>
            <w:r>
              <w:rPr>
                <w:sz w:val="21"/>
                <w:szCs w:val="21"/>
              </w:rPr>
              <w:t>00</w:t>
            </w:r>
          </w:p>
        </w:tc>
        <w:tc>
          <w:tcPr>
            <w:tcW w:w="4485" w:type="dxa"/>
            <w:tcBorders>
              <w:tl2br w:val="nil"/>
              <w:tr2bl w:val="nil"/>
            </w:tcBorders>
            <w:vAlign w:val="center"/>
          </w:tcPr>
          <w:p w14:paraId="61A7CE5D">
            <w:pPr>
              <w:spacing w:line="240" w:lineRule="auto"/>
              <w:jc w:val="center"/>
              <w:rPr>
                <w:sz w:val="21"/>
                <w:szCs w:val="21"/>
              </w:rPr>
            </w:pPr>
            <w:r>
              <w:rPr>
                <w:sz w:val="21"/>
                <w:szCs w:val="21"/>
              </w:rPr>
              <w:t>《环境影响评价技术导则 大气环境》（HJ2.2-2018）附录D取8h浓度值2倍</w:t>
            </w:r>
          </w:p>
        </w:tc>
      </w:tr>
      <w:tr w14:paraId="6A93A4C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74" w:type="dxa"/>
            <w:tcBorders>
              <w:tl2br w:val="nil"/>
              <w:tr2bl w:val="nil"/>
            </w:tcBorders>
            <w:vAlign w:val="center"/>
          </w:tcPr>
          <w:p w14:paraId="6AFF63E5">
            <w:pPr>
              <w:spacing w:line="240" w:lineRule="auto"/>
              <w:jc w:val="center"/>
              <w:rPr>
                <w:bCs/>
                <w:sz w:val="21"/>
                <w:szCs w:val="21"/>
              </w:rPr>
            </w:pPr>
            <w:r>
              <w:rPr>
                <w:bCs/>
                <w:sz w:val="21"/>
                <w:szCs w:val="21"/>
              </w:rPr>
              <w:t>2</w:t>
            </w:r>
          </w:p>
        </w:tc>
        <w:tc>
          <w:tcPr>
            <w:tcW w:w="852" w:type="dxa"/>
            <w:tcBorders>
              <w:tl2br w:val="nil"/>
              <w:tr2bl w:val="nil"/>
            </w:tcBorders>
            <w:vAlign w:val="center"/>
          </w:tcPr>
          <w:p w14:paraId="7622733A">
            <w:pPr>
              <w:spacing w:line="240" w:lineRule="auto"/>
              <w:jc w:val="center"/>
              <w:rPr>
                <w:sz w:val="21"/>
                <w:szCs w:val="21"/>
              </w:rPr>
            </w:pPr>
            <w:r>
              <w:rPr>
                <w:sz w:val="21"/>
                <w:szCs w:val="21"/>
              </w:rPr>
              <w:t>TSP</w:t>
            </w:r>
          </w:p>
        </w:tc>
        <w:tc>
          <w:tcPr>
            <w:tcW w:w="1475" w:type="dxa"/>
            <w:tcBorders>
              <w:tl2br w:val="nil"/>
              <w:tr2bl w:val="nil"/>
            </w:tcBorders>
            <w:vAlign w:val="center"/>
          </w:tcPr>
          <w:p w14:paraId="4F98A354">
            <w:pPr>
              <w:spacing w:line="240" w:lineRule="auto"/>
              <w:jc w:val="center"/>
              <w:rPr>
                <w:sz w:val="21"/>
                <w:szCs w:val="21"/>
              </w:rPr>
            </w:pPr>
            <w:r>
              <w:rPr>
                <w:sz w:val="21"/>
                <w:szCs w:val="21"/>
              </w:rPr>
              <w:t>24小时平均浓度的3倍</w:t>
            </w:r>
          </w:p>
        </w:tc>
        <w:tc>
          <w:tcPr>
            <w:tcW w:w="1136" w:type="dxa"/>
            <w:tcBorders>
              <w:tl2br w:val="nil"/>
              <w:tr2bl w:val="nil"/>
            </w:tcBorders>
            <w:vAlign w:val="center"/>
          </w:tcPr>
          <w:p w14:paraId="0286B254">
            <w:pPr>
              <w:spacing w:line="240" w:lineRule="auto"/>
              <w:jc w:val="center"/>
              <w:rPr>
                <w:sz w:val="21"/>
                <w:szCs w:val="21"/>
              </w:rPr>
            </w:pPr>
            <w:r>
              <w:rPr>
                <w:sz w:val="21"/>
                <w:szCs w:val="21"/>
              </w:rPr>
              <w:t>900</w:t>
            </w:r>
          </w:p>
        </w:tc>
        <w:tc>
          <w:tcPr>
            <w:tcW w:w="4485" w:type="dxa"/>
            <w:tcBorders>
              <w:tl2br w:val="nil"/>
              <w:tr2bl w:val="nil"/>
            </w:tcBorders>
            <w:vAlign w:val="center"/>
          </w:tcPr>
          <w:p w14:paraId="40447D0E">
            <w:pPr>
              <w:spacing w:line="240" w:lineRule="auto"/>
              <w:jc w:val="center"/>
              <w:rPr>
                <w:sz w:val="21"/>
                <w:szCs w:val="21"/>
              </w:rPr>
            </w:pPr>
            <w:r>
              <w:rPr>
                <w:sz w:val="21"/>
                <w:szCs w:val="21"/>
              </w:rPr>
              <w:t>《环境空气质量标准》（GB3095-</w:t>
            </w:r>
            <w:r>
              <w:rPr>
                <w:rFonts w:hint="eastAsia"/>
                <w:sz w:val="21"/>
                <w:szCs w:val="21"/>
                <w:lang w:val="en-US" w:eastAsia="zh-CN"/>
              </w:rPr>
              <w:t>2026</w:t>
            </w:r>
            <w:r>
              <w:rPr>
                <w:sz w:val="21"/>
                <w:szCs w:val="21"/>
              </w:rPr>
              <w:t>）</w:t>
            </w:r>
            <w:r>
              <w:rPr>
                <w:rFonts w:hint="eastAsia"/>
                <w:sz w:val="21"/>
                <w:szCs w:val="21"/>
                <w:lang w:val="en-US" w:eastAsia="zh-CN"/>
              </w:rPr>
              <w:t>过渡期</w:t>
            </w:r>
            <w:r>
              <w:rPr>
                <w:sz w:val="21"/>
                <w:szCs w:val="21"/>
              </w:rPr>
              <w:t>二级标准24小时平均浓度的3倍</w:t>
            </w:r>
          </w:p>
        </w:tc>
      </w:tr>
      <w:tr w14:paraId="5F80695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74" w:type="dxa"/>
            <w:tcBorders>
              <w:tl2br w:val="nil"/>
              <w:tr2bl w:val="nil"/>
            </w:tcBorders>
            <w:vAlign w:val="center"/>
          </w:tcPr>
          <w:p w14:paraId="146C5D63">
            <w:pPr>
              <w:spacing w:line="240" w:lineRule="auto"/>
              <w:jc w:val="center"/>
              <w:rPr>
                <w:bCs/>
                <w:sz w:val="21"/>
                <w:szCs w:val="21"/>
              </w:rPr>
            </w:pPr>
            <w:r>
              <w:rPr>
                <w:bCs/>
                <w:sz w:val="21"/>
                <w:szCs w:val="21"/>
              </w:rPr>
              <w:t>3</w:t>
            </w:r>
          </w:p>
        </w:tc>
        <w:tc>
          <w:tcPr>
            <w:tcW w:w="852" w:type="dxa"/>
            <w:tcBorders>
              <w:tl2br w:val="nil"/>
              <w:tr2bl w:val="nil"/>
            </w:tcBorders>
            <w:vAlign w:val="center"/>
          </w:tcPr>
          <w:p w14:paraId="7C25F595">
            <w:pPr>
              <w:spacing w:line="240" w:lineRule="auto"/>
              <w:jc w:val="center"/>
              <w:rPr>
                <w:sz w:val="21"/>
                <w:szCs w:val="21"/>
              </w:rPr>
            </w:pPr>
            <w:r>
              <w:rPr>
                <w:sz w:val="21"/>
                <w:szCs w:val="21"/>
              </w:rPr>
              <w:t>SO</w:t>
            </w:r>
            <w:r>
              <w:rPr>
                <w:sz w:val="21"/>
                <w:szCs w:val="21"/>
                <w:vertAlign w:val="subscript"/>
              </w:rPr>
              <w:t>2</w:t>
            </w:r>
          </w:p>
        </w:tc>
        <w:tc>
          <w:tcPr>
            <w:tcW w:w="1475" w:type="dxa"/>
            <w:tcBorders>
              <w:tl2br w:val="nil"/>
              <w:tr2bl w:val="nil"/>
            </w:tcBorders>
            <w:vAlign w:val="center"/>
          </w:tcPr>
          <w:p w14:paraId="194067A8">
            <w:pPr>
              <w:spacing w:line="240" w:lineRule="auto"/>
              <w:jc w:val="center"/>
              <w:rPr>
                <w:sz w:val="21"/>
                <w:szCs w:val="21"/>
              </w:rPr>
            </w:pPr>
            <w:r>
              <w:rPr>
                <w:sz w:val="21"/>
                <w:szCs w:val="21"/>
              </w:rPr>
              <w:t>1h平均</w:t>
            </w:r>
          </w:p>
        </w:tc>
        <w:tc>
          <w:tcPr>
            <w:tcW w:w="1136" w:type="dxa"/>
            <w:tcBorders>
              <w:tl2br w:val="nil"/>
              <w:tr2bl w:val="nil"/>
            </w:tcBorders>
            <w:vAlign w:val="center"/>
          </w:tcPr>
          <w:p w14:paraId="37DF9E27">
            <w:pPr>
              <w:spacing w:line="240" w:lineRule="auto"/>
              <w:jc w:val="center"/>
              <w:rPr>
                <w:sz w:val="21"/>
                <w:szCs w:val="21"/>
              </w:rPr>
            </w:pPr>
            <w:r>
              <w:rPr>
                <w:sz w:val="21"/>
                <w:szCs w:val="21"/>
              </w:rPr>
              <w:t>500</w:t>
            </w:r>
          </w:p>
        </w:tc>
        <w:tc>
          <w:tcPr>
            <w:tcW w:w="4485" w:type="dxa"/>
            <w:vMerge w:val="restart"/>
            <w:tcBorders>
              <w:tl2br w:val="nil"/>
              <w:tr2bl w:val="nil"/>
            </w:tcBorders>
            <w:vAlign w:val="center"/>
          </w:tcPr>
          <w:p w14:paraId="42838657">
            <w:pPr>
              <w:spacing w:line="240" w:lineRule="auto"/>
              <w:jc w:val="center"/>
              <w:rPr>
                <w:sz w:val="21"/>
                <w:szCs w:val="21"/>
              </w:rPr>
            </w:pPr>
            <w:r>
              <w:rPr>
                <w:sz w:val="21"/>
                <w:szCs w:val="21"/>
              </w:rPr>
              <w:t>《环境空气质量标准》（GB3095-</w:t>
            </w:r>
            <w:r>
              <w:rPr>
                <w:rFonts w:hint="eastAsia"/>
                <w:sz w:val="21"/>
                <w:szCs w:val="21"/>
                <w:lang w:val="en-US" w:eastAsia="zh-CN"/>
              </w:rPr>
              <w:t>2026</w:t>
            </w:r>
            <w:r>
              <w:rPr>
                <w:sz w:val="21"/>
                <w:szCs w:val="21"/>
              </w:rPr>
              <w:t>）</w:t>
            </w:r>
            <w:r>
              <w:rPr>
                <w:rFonts w:hint="eastAsia"/>
                <w:sz w:val="21"/>
                <w:szCs w:val="21"/>
                <w:lang w:val="en-US" w:eastAsia="zh-CN"/>
              </w:rPr>
              <w:t>过渡期</w:t>
            </w:r>
            <w:r>
              <w:rPr>
                <w:sz w:val="21"/>
                <w:szCs w:val="21"/>
              </w:rPr>
              <w:t>中的二级标准中1h平均值</w:t>
            </w:r>
          </w:p>
        </w:tc>
      </w:tr>
      <w:tr w14:paraId="2CE9CE1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74" w:type="dxa"/>
            <w:tcBorders>
              <w:tl2br w:val="nil"/>
              <w:tr2bl w:val="nil"/>
            </w:tcBorders>
            <w:vAlign w:val="center"/>
          </w:tcPr>
          <w:p w14:paraId="2D3E9B5B">
            <w:pPr>
              <w:spacing w:line="240" w:lineRule="auto"/>
              <w:jc w:val="center"/>
              <w:rPr>
                <w:bCs/>
                <w:sz w:val="21"/>
                <w:szCs w:val="21"/>
              </w:rPr>
            </w:pPr>
            <w:r>
              <w:rPr>
                <w:bCs/>
                <w:sz w:val="21"/>
                <w:szCs w:val="21"/>
              </w:rPr>
              <w:t>4</w:t>
            </w:r>
          </w:p>
        </w:tc>
        <w:tc>
          <w:tcPr>
            <w:tcW w:w="852" w:type="dxa"/>
            <w:tcBorders>
              <w:tl2br w:val="nil"/>
              <w:tr2bl w:val="nil"/>
            </w:tcBorders>
            <w:vAlign w:val="center"/>
          </w:tcPr>
          <w:p w14:paraId="15BB0913">
            <w:pPr>
              <w:spacing w:line="240" w:lineRule="auto"/>
              <w:jc w:val="center"/>
              <w:rPr>
                <w:sz w:val="21"/>
                <w:szCs w:val="21"/>
              </w:rPr>
            </w:pPr>
            <w:r>
              <w:rPr>
                <w:sz w:val="21"/>
                <w:szCs w:val="21"/>
              </w:rPr>
              <w:t>NO</w:t>
            </w:r>
            <w:r>
              <w:rPr>
                <w:rFonts w:hint="eastAsia"/>
                <w:sz w:val="21"/>
                <w:szCs w:val="21"/>
                <w:vertAlign w:val="subscript"/>
              </w:rPr>
              <w:t>2</w:t>
            </w:r>
          </w:p>
        </w:tc>
        <w:tc>
          <w:tcPr>
            <w:tcW w:w="1475" w:type="dxa"/>
            <w:tcBorders>
              <w:tl2br w:val="nil"/>
              <w:tr2bl w:val="nil"/>
            </w:tcBorders>
            <w:vAlign w:val="center"/>
          </w:tcPr>
          <w:p w14:paraId="3C011CE6">
            <w:pPr>
              <w:spacing w:line="240" w:lineRule="auto"/>
              <w:jc w:val="center"/>
              <w:rPr>
                <w:sz w:val="21"/>
                <w:szCs w:val="21"/>
              </w:rPr>
            </w:pPr>
            <w:r>
              <w:rPr>
                <w:sz w:val="21"/>
                <w:szCs w:val="21"/>
              </w:rPr>
              <w:t>1h平均</w:t>
            </w:r>
          </w:p>
        </w:tc>
        <w:tc>
          <w:tcPr>
            <w:tcW w:w="1136" w:type="dxa"/>
            <w:tcBorders>
              <w:tl2br w:val="nil"/>
              <w:tr2bl w:val="nil"/>
            </w:tcBorders>
            <w:vAlign w:val="center"/>
          </w:tcPr>
          <w:p w14:paraId="3C985559">
            <w:pPr>
              <w:spacing w:line="240" w:lineRule="auto"/>
              <w:jc w:val="center"/>
              <w:rPr>
                <w:sz w:val="21"/>
                <w:szCs w:val="21"/>
              </w:rPr>
            </w:pPr>
            <w:r>
              <w:rPr>
                <w:sz w:val="21"/>
                <w:szCs w:val="21"/>
              </w:rPr>
              <w:t>2</w:t>
            </w:r>
            <w:r>
              <w:rPr>
                <w:rFonts w:hint="eastAsia"/>
                <w:sz w:val="21"/>
                <w:szCs w:val="21"/>
              </w:rPr>
              <w:t>0</w:t>
            </w:r>
            <w:r>
              <w:rPr>
                <w:sz w:val="21"/>
                <w:szCs w:val="21"/>
              </w:rPr>
              <w:t>0</w:t>
            </w:r>
          </w:p>
        </w:tc>
        <w:tc>
          <w:tcPr>
            <w:tcW w:w="4485" w:type="dxa"/>
            <w:vMerge w:val="continue"/>
            <w:tcBorders>
              <w:tl2br w:val="nil"/>
              <w:tr2bl w:val="nil"/>
            </w:tcBorders>
            <w:vAlign w:val="center"/>
          </w:tcPr>
          <w:p w14:paraId="30594C1A">
            <w:pPr>
              <w:spacing w:line="240" w:lineRule="auto"/>
              <w:jc w:val="center"/>
              <w:rPr>
                <w:sz w:val="21"/>
                <w:szCs w:val="21"/>
              </w:rPr>
            </w:pPr>
          </w:p>
        </w:tc>
      </w:tr>
    </w:tbl>
    <w:p w14:paraId="22F3486B">
      <w:pPr>
        <w:ind w:left="480" w:leftChars="200"/>
      </w:pPr>
      <w:r>
        <w:t>2.估算模型参数</w:t>
      </w:r>
    </w:p>
    <w:p w14:paraId="7CE205C1">
      <w:pPr>
        <w:pStyle w:val="38"/>
        <w:ind w:left="480" w:leftChars="200"/>
        <w:rPr>
          <w:rFonts w:ascii="Times New Roman" w:hAnsi="Times New Roman" w:eastAsia="宋体" w:cs="Times New Roman"/>
        </w:rPr>
      </w:pPr>
      <w:r>
        <w:rPr>
          <w:rFonts w:ascii="Times New Roman" w:hAnsi="Times New Roman" w:eastAsia="宋体" w:cs="Times New Roman"/>
        </w:rPr>
        <w:t>项目选用AERSCREEN模型，估算模型参数详见下表</w:t>
      </w:r>
    </w:p>
    <w:p w14:paraId="11F35DE0">
      <w:pPr>
        <w:pStyle w:val="51"/>
        <w:numPr>
          <w:ilvl w:val="5"/>
          <w:numId w:val="0"/>
        </w:numPr>
        <w:tabs>
          <w:tab w:val="left" w:pos="4395"/>
        </w:tabs>
        <w:spacing w:before="156"/>
        <w:ind w:left="4969" w:leftChars="1054" w:hanging="2439" w:hangingChars="1157"/>
        <w:jc w:val="both"/>
      </w:pPr>
      <w:r>
        <w:rPr>
          <w:rFonts w:hint="default" w:ascii="宋体" w:hAnsi="宋体" w:eastAsia="宋体" w:cs="宋体"/>
          <w:b/>
          <w:bCs/>
          <w:color w:val="auto"/>
          <w:kern w:val="2"/>
          <w:sz w:val="21"/>
          <w:szCs w:val="21"/>
          <w:lang w:val="en-US" w:eastAsia="zh-CN" w:bidi="ar-SA"/>
        </w:rPr>
        <w:t xml:space="preserve">表6.2-8 </w:t>
      </w:r>
      <w:r>
        <w:rPr>
          <w:rFonts w:hint="eastAsia" w:ascii="宋体" w:hAnsi="宋体" w:cs="宋体"/>
          <w:b/>
          <w:bCs/>
          <w:color w:val="auto"/>
          <w:kern w:val="2"/>
          <w:sz w:val="21"/>
          <w:szCs w:val="21"/>
          <w:lang w:val="en-US" w:eastAsia="zh-CN" w:bidi="ar-SA"/>
        </w:rPr>
        <w:t xml:space="preserve">  </w:t>
      </w:r>
      <w:r>
        <w:rPr>
          <w:rFonts w:hint="eastAsia"/>
        </w:rPr>
        <w:t>估算模型参数表</w:t>
      </w:r>
    </w:p>
    <w:tbl>
      <w:tblPr>
        <w:tblStyle w:val="31"/>
        <w:tblW w:w="513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976"/>
        <w:gridCol w:w="2787"/>
        <w:gridCol w:w="2790"/>
      </w:tblGrid>
      <w:tr w14:paraId="3302A6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43" w:type="dxa"/>
            <w:gridSpan w:val="2"/>
            <w:vAlign w:val="center"/>
          </w:tcPr>
          <w:p w14:paraId="7833F495">
            <w:pPr>
              <w:spacing w:line="240" w:lineRule="auto"/>
              <w:jc w:val="center"/>
              <w:rPr>
                <w:sz w:val="21"/>
                <w:szCs w:val="21"/>
              </w:rPr>
            </w:pPr>
            <w:r>
              <w:rPr>
                <w:sz w:val="21"/>
                <w:szCs w:val="21"/>
              </w:rPr>
              <w:t>参数</w:t>
            </w:r>
          </w:p>
        </w:tc>
        <w:tc>
          <w:tcPr>
            <w:tcW w:w="2780" w:type="dxa"/>
            <w:vAlign w:val="center"/>
          </w:tcPr>
          <w:p w14:paraId="1A3343B7">
            <w:pPr>
              <w:spacing w:line="240" w:lineRule="auto"/>
              <w:jc w:val="center"/>
              <w:rPr>
                <w:sz w:val="21"/>
                <w:szCs w:val="21"/>
              </w:rPr>
            </w:pPr>
            <w:r>
              <w:rPr>
                <w:sz w:val="21"/>
                <w:szCs w:val="21"/>
              </w:rPr>
              <w:t>取值</w:t>
            </w:r>
          </w:p>
        </w:tc>
      </w:tr>
      <w:tr w14:paraId="7AE935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66" w:type="dxa"/>
            <w:vMerge w:val="restart"/>
            <w:vAlign w:val="center"/>
          </w:tcPr>
          <w:p w14:paraId="0924E664">
            <w:pPr>
              <w:spacing w:line="240" w:lineRule="auto"/>
              <w:jc w:val="center"/>
              <w:rPr>
                <w:sz w:val="21"/>
                <w:szCs w:val="21"/>
              </w:rPr>
            </w:pPr>
            <w:r>
              <w:rPr>
                <w:sz w:val="21"/>
                <w:szCs w:val="21"/>
              </w:rPr>
              <w:t>城市/农村选项</w:t>
            </w:r>
          </w:p>
        </w:tc>
        <w:tc>
          <w:tcPr>
            <w:tcW w:w="2777" w:type="dxa"/>
            <w:vAlign w:val="center"/>
          </w:tcPr>
          <w:p w14:paraId="342F0F67">
            <w:pPr>
              <w:spacing w:line="240" w:lineRule="auto"/>
              <w:jc w:val="center"/>
              <w:rPr>
                <w:sz w:val="21"/>
                <w:szCs w:val="21"/>
              </w:rPr>
            </w:pPr>
            <w:r>
              <w:rPr>
                <w:sz w:val="21"/>
                <w:szCs w:val="21"/>
              </w:rPr>
              <w:t>城市/农村</w:t>
            </w:r>
          </w:p>
        </w:tc>
        <w:tc>
          <w:tcPr>
            <w:tcW w:w="2780" w:type="dxa"/>
            <w:vAlign w:val="center"/>
          </w:tcPr>
          <w:p w14:paraId="2DDF4274">
            <w:pPr>
              <w:spacing w:line="240" w:lineRule="auto"/>
              <w:jc w:val="center"/>
              <w:rPr>
                <w:sz w:val="21"/>
                <w:szCs w:val="21"/>
              </w:rPr>
            </w:pPr>
            <w:r>
              <w:rPr>
                <w:sz w:val="21"/>
                <w:szCs w:val="21"/>
              </w:rPr>
              <w:t>城市</w:t>
            </w:r>
          </w:p>
        </w:tc>
      </w:tr>
      <w:tr w14:paraId="2652EB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jc w:val="center"/>
        </w:trPr>
        <w:tc>
          <w:tcPr>
            <w:tcW w:w="2966" w:type="dxa"/>
            <w:vMerge w:val="continue"/>
            <w:vAlign w:val="center"/>
          </w:tcPr>
          <w:p w14:paraId="351E0322">
            <w:pPr>
              <w:spacing w:line="240" w:lineRule="auto"/>
              <w:jc w:val="center"/>
              <w:rPr>
                <w:sz w:val="21"/>
                <w:szCs w:val="21"/>
              </w:rPr>
            </w:pPr>
          </w:p>
        </w:tc>
        <w:tc>
          <w:tcPr>
            <w:tcW w:w="2777" w:type="dxa"/>
            <w:vAlign w:val="center"/>
          </w:tcPr>
          <w:p w14:paraId="77345788">
            <w:pPr>
              <w:spacing w:line="240" w:lineRule="auto"/>
              <w:jc w:val="center"/>
              <w:rPr>
                <w:sz w:val="21"/>
                <w:szCs w:val="21"/>
              </w:rPr>
            </w:pPr>
            <w:r>
              <w:rPr>
                <w:sz w:val="21"/>
                <w:szCs w:val="21"/>
              </w:rPr>
              <w:t>人口数（城市选项）</w:t>
            </w:r>
          </w:p>
        </w:tc>
        <w:tc>
          <w:tcPr>
            <w:tcW w:w="2780" w:type="dxa"/>
            <w:vAlign w:val="center"/>
          </w:tcPr>
          <w:p w14:paraId="4729A228">
            <w:pPr>
              <w:spacing w:line="240" w:lineRule="auto"/>
              <w:jc w:val="center"/>
              <w:rPr>
                <w:sz w:val="21"/>
                <w:szCs w:val="21"/>
              </w:rPr>
            </w:pPr>
            <w:r>
              <w:rPr>
                <w:sz w:val="21"/>
                <w:szCs w:val="21"/>
              </w:rPr>
              <w:t>286.5万</w:t>
            </w:r>
          </w:p>
        </w:tc>
      </w:tr>
      <w:tr w14:paraId="237BF2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43" w:type="dxa"/>
            <w:gridSpan w:val="2"/>
            <w:vAlign w:val="center"/>
          </w:tcPr>
          <w:p w14:paraId="7F6E6B19">
            <w:pPr>
              <w:spacing w:line="240" w:lineRule="auto"/>
              <w:jc w:val="center"/>
              <w:rPr>
                <w:sz w:val="21"/>
                <w:szCs w:val="21"/>
              </w:rPr>
            </w:pPr>
            <w:r>
              <w:rPr>
                <w:sz w:val="21"/>
                <w:szCs w:val="21"/>
              </w:rPr>
              <w:t>最高环境温度/℃</w:t>
            </w:r>
          </w:p>
        </w:tc>
        <w:tc>
          <w:tcPr>
            <w:tcW w:w="2780" w:type="dxa"/>
            <w:vAlign w:val="center"/>
          </w:tcPr>
          <w:p w14:paraId="7C761C5D">
            <w:pPr>
              <w:spacing w:line="240" w:lineRule="auto"/>
              <w:jc w:val="center"/>
              <w:rPr>
                <w:sz w:val="21"/>
                <w:szCs w:val="21"/>
              </w:rPr>
            </w:pPr>
            <w:r>
              <w:rPr>
                <w:sz w:val="21"/>
                <w:szCs w:val="21"/>
              </w:rPr>
              <w:t>42.2</w:t>
            </w:r>
          </w:p>
        </w:tc>
      </w:tr>
      <w:tr w14:paraId="21F8F2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43" w:type="dxa"/>
            <w:gridSpan w:val="2"/>
            <w:vAlign w:val="center"/>
          </w:tcPr>
          <w:p w14:paraId="6E40C5B7">
            <w:pPr>
              <w:spacing w:line="240" w:lineRule="auto"/>
              <w:jc w:val="center"/>
              <w:rPr>
                <w:sz w:val="21"/>
                <w:szCs w:val="21"/>
              </w:rPr>
            </w:pPr>
            <w:r>
              <w:rPr>
                <w:sz w:val="21"/>
                <w:szCs w:val="21"/>
              </w:rPr>
              <w:t>最低环境温度/℃</w:t>
            </w:r>
          </w:p>
        </w:tc>
        <w:tc>
          <w:tcPr>
            <w:tcW w:w="2780" w:type="dxa"/>
            <w:vAlign w:val="center"/>
          </w:tcPr>
          <w:p w14:paraId="3F9006A9">
            <w:pPr>
              <w:spacing w:line="240" w:lineRule="auto"/>
              <w:jc w:val="center"/>
              <w:rPr>
                <w:sz w:val="21"/>
                <w:szCs w:val="21"/>
              </w:rPr>
            </w:pPr>
            <w:r>
              <w:rPr>
                <w:sz w:val="21"/>
                <w:szCs w:val="21"/>
              </w:rPr>
              <w:t>-8.5</w:t>
            </w:r>
          </w:p>
        </w:tc>
      </w:tr>
      <w:tr w14:paraId="243240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43" w:type="dxa"/>
            <w:gridSpan w:val="2"/>
            <w:vAlign w:val="center"/>
          </w:tcPr>
          <w:p w14:paraId="0B02BD3F">
            <w:pPr>
              <w:spacing w:line="240" w:lineRule="auto"/>
              <w:jc w:val="center"/>
              <w:rPr>
                <w:sz w:val="21"/>
                <w:szCs w:val="21"/>
              </w:rPr>
            </w:pPr>
            <w:r>
              <w:rPr>
                <w:sz w:val="21"/>
                <w:szCs w:val="21"/>
              </w:rPr>
              <w:t>土地利用类型</w:t>
            </w:r>
          </w:p>
        </w:tc>
        <w:tc>
          <w:tcPr>
            <w:tcW w:w="2780" w:type="dxa"/>
            <w:vAlign w:val="center"/>
          </w:tcPr>
          <w:p w14:paraId="5DEC9A7B">
            <w:pPr>
              <w:spacing w:line="240" w:lineRule="auto"/>
              <w:jc w:val="center"/>
              <w:rPr>
                <w:sz w:val="21"/>
                <w:szCs w:val="21"/>
              </w:rPr>
            </w:pPr>
            <w:r>
              <w:rPr>
                <w:sz w:val="21"/>
                <w:szCs w:val="21"/>
              </w:rPr>
              <w:t>城市</w:t>
            </w:r>
          </w:p>
        </w:tc>
      </w:tr>
      <w:tr w14:paraId="77464C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43" w:type="dxa"/>
            <w:gridSpan w:val="2"/>
            <w:vAlign w:val="center"/>
          </w:tcPr>
          <w:p w14:paraId="13EF7595">
            <w:pPr>
              <w:spacing w:line="240" w:lineRule="auto"/>
              <w:jc w:val="center"/>
              <w:rPr>
                <w:sz w:val="21"/>
                <w:szCs w:val="21"/>
              </w:rPr>
            </w:pPr>
            <w:r>
              <w:rPr>
                <w:sz w:val="21"/>
                <w:szCs w:val="21"/>
              </w:rPr>
              <w:t>区域湿度条件</w:t>
            </w:r>
          </w:p>
        </w:tc>
        <w:tc>
          <w:tcPr>
            <w:tcW w:w="2780" w:type="dxa"/>
            <w:vAlign w:val="center"/>
          </w:tcPr>
          <w:p w14:paraId="4CBDD8AC">
            <w:pPr>
              <w:spacing w:line="240" w:lineRule="auto"/>
              <w:jc w:val="center"/>
              <w:rPr>
                <w:sz w:val="21"/>
                <w:szCs w:val="21"/>
              </w:rPr>
            </w:pPr>
            <w:r>
              <w:rPr>
                <w:sz w:val="21"/>
                <w:szCs w:val="21"/>
              </w:rPr>
              <w:t>潮湿气候</w:t>
            </w:r>
          </w:p>
        </w:tc>
      </w:tr>
      <w:tr w14:paraId="1C8008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66" w:type="dxa"/>
            <w:vMerge w:val="restart"/>
            <w:vAlign w:val="center"/>
          </w:tcPr>
          <w:p w14:paraId="56C7FE7B">
            <w:pPr>
              <w:spacing w:line="240" w:lineRule="auto"/>
              <w:jc w:val="center"/>
              <w:rPr>
                <w:sz w:val="21"/>
                <w:szCs w:val="21"/>
              </w:rPr>
            </w:pPr>
            <w:r>
              <w:rPr>
                <w:sz w:val="21"/>
                <w:szCs w:val="21"/>
              </w:rPr>
              <w:t>是否考虑地形</w:t>
            </w:r>
          </w:p>
        </w:tc>
        <w:tc>
          <w:tcPr>
            <w:tcW w:w="2777" w:type="dxa"/>
            <w:vAlign w:val="center"/>
          </w:tcPr>
          <w:p w14:paraId="5EBBBAB7">
            <w:pPr>
              <w:spacing w:line="240" w:lineRule="auto"/>
              <w:jc w:val="center"/>
              <w:rPr>
                <w:sz w:val="21"/>
                <w:szCs w:val="21"/>
              </w:rPr>
            </w:pPr>
            <w:r>
              <w:rPr>
                <w:sz w:val="21"/>
                <w:szCs w:val="21"/>
              </w:rPr>
              <w:t>考虑地形</w:t>
            </w:r>
          </w:p>
        </w:tc>
        <w:tc>
          <w:tcPr>
            <w:tcW w:w="2780" w:type="dxa"/>
            <w:vAlign w:val="center"/>
          </w:tcPr>
          <w:p w14:paraId="7ED1E5BA">
            <w:pPr>
              <w:spacing w:line="240" w:lineRule="auto"/>
              <w:jc w:val="center"/>
              <w:rPr>
                <w:sz w:val="21"/>
                <w:szCs w:val="21"/>
              </w:rPr>
            </w:pPr>
            <w:r>
              <w:rPr>
                <w:sz w:val="21"/>
                <w:szCs w:val="21"/>
              </w:rPr>
              <w:t>是√    否□</w:t>
            </w:r>
          </w:p>
        </w:tc>
      </w:tr>
      <w:tr w14:paraId="4C9465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66" w:type="dxa"/>
            <w:vMerge w:val="continue"/>
            <w:vAlign w:val="center"/>
          </w:tcPr>
          <w:p w14:paraId="4E98627B">
            <w:pPr>
              <w:spacing w:line="240" w:lineRule="auto"/>
              <w:jc w:val="center"/>
              <w:rPr>
                <w:sz w:val="21"/>
                <w:szCs w:val="21"/>
              </w:rPr>
            </w:pPr>
          </w:p>
        </w:tc>
        <w:tc>
          <w:tcPr>
            <w:tcW w:w="2777" w:type="dxa"/>
            <w:vAlign w:val="center"/>
          </w:tcPr>
          <w:p w14:paraId="5CB6ACC1">
            <w:pPr>
              <w:spacing w:line="240" w:lineRule="auto"/>
              <w:jc w:val="center"/>
              <w:rPr>
                <w:sz w:val="21"/>
                <w:szCs w:val="21"/>
              </w:rPr>
            </w:pPr>
            <w:r>
              <w:rPr>
                <w:sz w:val="21"/>
                <w:szCs w:val="21"/>
              </w:rPr>
              <w:t>地形数据分辨率/m</w:t>
            </w:r>
          </w:p>
        </w:tc>
        <w:tc>
          <w:tcPr>
            <w:tcW w:w="2780" w:type="dxa"/>
            <w:vAlign w:val="center"/>
          </w:tcPr>
          <w:p w14:paraId="53E8B74B">
            <w:pPr>
              <w:spacing w:line="240" w:lineRule="auto"/>
              <w:jc w:val="center"/>
              <w:rPr>
                <w:sz w:val="21"/>
                <w:szCs w:val="21"/>
              </w:rPr>
            </w:pPr>
            <w:r>
              <w:rPr>
                <w:sz w:val="21"/>
                <w:szCs w:val="21"/>
              </w:rPr>
              <w:t>90</w:t>
            </w:r>
          </w:p>
        </w:tc>
      </w:tr>
      <w:tr w14:paraId="6AAE98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66" w:type="dxa"/>
            <w:vMerge w:val="restart"/>
            <w:vAlign w:val="center"/>
          </w:tcPr>
          <w:p w14:paraId="5ACB2E2D">
            <w:pPr>
              <w:spacing w:line="240" w:lineRule="auto"/>
              <w:jc w:val="center"/>
              <w:rPr>
                <w:sz w:val="21"/>
                <w:szCs w:val="21"/>
              </w:rPr>
            </w:pPr>
            <w:r>
              <w:rPr>
                <w:sz w:val="21"/>
                <w:szCs w:val="21"/>
              </w:rPr>
              <w:t>是否考虑岸线熏烟</w:t>
            </w:r>
          </w:p>
        </w:tc>
        <w:tc>
          <w:tcPr>
            <w:tcW w:w="2777" w:type="dxa"/>
            <w:vAlign w:val="center"/>
          </w:tcPr>
          <w:p w14:paraId="07D9E3D0">
            <w:pPr>
              <w:spacing w:line="240" w:lineRule="auto"/>
              <w:jc w:val="center"/>
              <w:rPr>
                <w:sz w:val="21"/>
                <w:szCs w:val="21"/>
              </w:rPr>
            </w:pPr>
            <w:r>
              <w:rPr>
                <w:sz w:val="21"/>
                <w:szCs w:val="21"/>
              </w:rPr>
              <w:t>考虑岸线熏烟</w:t>
            </w:r>
          </w:p>
        </w:tc>
        <w:tc>
          <w:tcPr>
            <w:tcW w:w="2780" w:type="dxa"/>
            <w:vAlign w:val="center"/>
          </w:tcPr>
          <w:p w14:paraId="59B685F0">
            <w:pPr>
              <w:spacing w:line="240" w:lineRule="auto"/>
              <w:jc w:val="center"/>
              <w:rPr>
                <w:sz w:val="21"/>
                <w:szCs w:val="21"/>
              </w:rPr>
            </w:pPr>
            <w:r>
              <w:rPr>
                <w:sz w:val="21"/>
                <w:szCs w:val="21"/>
              </w:rPr>
              <w:t>是□    否√</w:t>
            </w:r>
          </w:p>
        </w:tc>
      </w:tr>
      <w:tr w14:paraId="6D0EC2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66" w:type="dxa"/>
            <w:vMerge w:val="continue"/>
            <w:vAlign w:val="center"/>
          </w:tcPr>
          <w:p w14:paraId="4DE173A9">
            <w:pPr>
              <w:spacing w:line="240" w:lineRule="auto"/>
              <w:jc w:val="center"/>
              <w:rPr>
                <w:sz w:val="21"/>
                <w:szCs w:val="21"/>
              </w:rPr>
            </w:pPr>
          </w:p>
        </w:tc>
        <w:tc>
          <w:tcPr>
            <w:tcW w:w="2777" w:type="dxa"/>
            <w:vAlign w:val="center"/>
          </w:tcPr>
          <w:p w14:paraId="19139940">
            <w:pPr>
              <w:spacing w:line="240" w:lineRule="auto"/>
              <w:jc w:val="center"/>
              <w:rPr>
                <w:sz w:val="21"/>
                <w:szCs w:val="21"/>
              </w:rPr>
            </w:pPr>
            <w:r>
              <w:rPr>
                <w:sz w:val="21"/>
                <w:szCs w:val="21"/>
              </w:rPr>
              <w:t>岸线距离/km</w:t>
            </w:r>
          </w:p>
        </w:tc>
        <w:tc>
          <w:tcPr>
            <w:tcW w:w="2780" w:type="dxa"/>
            <w:vAlign w:val="center"/>
          </w:tcPr>
          <w:p w14:paraId="4A892F68">
            <w:pPr>
              <w:spacing w:line="240" w:lineRule="auto"/>
              <w:jc w:val="center"/>
              <w:rPr>
                <w:sz w:val="21"/>
                <w:szCs w:val="21"/>
              </w:rPr>
            </w:pPr>
            <w:r>
              <w:rPr>
                <w:sz w:val="21"/>
                <w:szCs w:val="21"/>
              </w:rPr>
              <w:t>/</w:t>
            </w:r>
          </w:p>
        </w:tc>
      </w:tr>
      <w:tr w14:paraId="1F7E25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66" w:type="dxa"/>
            <w:vMerge w:val="continue"/>
            <w:vAlign w:val="center"/>
          </w:tcPr>
          <w:p w14:paraId="3D628B69">
            <w:pPr>
              <w:spacing w:line="240" w:lineRule="auto"/>
              <w:jc w:val="center"/>
              <w:rPr>
                <w:sz w:val="21"/>
                <w:szCs w:val="21"/>
              </w:rPr>
            </w:pPr>
          </w:p>
        </w:tc>
        <w:tc>
          <w:tcPr>
            <w:tcW w:w="2777" w:type="dxa"/>
            <w:vAlign w:val="center"/>
          </w:tcPr>
          <w:p w14:paraId="642AF180">
            <w:pPr>
              <w:spacing w:line="240" w:lineRule="auto"/>
              <w:jc w:val="center"/>
              <w:rPr>
                <w:sz w:val="21"/>
                <w:szCs w:val="21"/>
              </w:rPr>
            </w:pPr>
            <w:r>
              <w:rPr>
                <w:sz w:val="21"/>
                <w:szCs w:val="21"/>
              </w:rPr>
              <w:t>岸线方向/°</w:t>
            </w:r>
          </w:p>
        </w:tc>
        <w:tc>
          <w:tcPr>
            <w:tcW w:w="2780" w:type="dxa"/>
            <w:vAlign w:val="center"/>
          </w:tcPr>
          <w:p w14:paraId="4FA0CC5A">
            <w:pPr>
              <w:spacing w:line="240" w:lineRule="auto"/>
              <w:jc w:val="center"/>
              <w:rPr>
                <w:sz w:val="21"/>
                <w:szCs w:val="21"/>
              </w:rPr>
            </w:pPr>
            <w:r>
              <w:rPr>
                <w:sz w:val="21"/>
                <w:szCs w:val="21"/>
              </w:rPr>
              <w:t>/</w:t>
            </w:r>
          </w:p>
        </w:tc>
      </w:tr>
    </w:tbl>
    <w:p w14:paraId="134B7DAD">
      <w:pPr>
        <w:pStyle w:val="38"/>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51E405D5">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6.2.5</w:t>
      </w:r>
      <w:r>
        <w:rPr>
          <w:rFonts w:hint="eastAsia"/>
        </w:rPr>
        <w:t>污染源计算清单</w:t>
      </w:r>
    </w:p>
    <w:p w14:paraId="6CA4579C">
      <w:pPr>
        <w:pStyle w:val="38"/>
        <w:ind w:firstLine="480" w:firstLineChars="200"/>
        <w:rPr>
          <w:color w:val="auto"/>
        </w:rPr>
      </w:pPr>
      <w:r>
        <w:rPr>
          <w:rFonts w:hint="eastAsia"/>
          <w:color w:val="auto"/>
        </w:rPr>
        <w:t>本次</w:t>
      </w:r>
      <w:r>
        <w:rPr>
          <w:rFonts w:hint="eastAsia"/>
          <w:color w:val="auto"/>
          <w:lang w:val="en-US" w:eastAsia="zh-CN"/>
        </w:rPr>
        <w:t>变动</w:t>
      </w:r>
      <w:r>
        <w:rPr>
          <w:rFonts w:hint="eastAsia"/>
          <w:color w:val="auto"/>
        </w:rPr>
        <w:t>项目投产后，废气处理设施更新换代，全厂的挥发性有机废气均通过新的装置处理后由</w:t>
      </w:r>
      <w:r>
        <w:rPr>
          <w:rFonts w:hint="eastAsia"/>
          <w:color w:val="auto"/>
          <w:lang w:val="en-US" w:eastAsia="zh-CN"/>
        </w:rPr>
        <w:t>合并至1根主排气筒</w:t>
      </w:r>
      <w:r>
        <w:rPr>
          <w:rFonts w:hint="eastAsia"/>
          <w:color w:val="auto"/>
        </w:rPr>
        <w:t>排放，同时区</w:t>
      </w:r>
      <w:r>
        <w:rPr>
          <w:rFonts w:hint="default" w:ascii="Times New Roman" w:hAnsi="Times New Roman" w:cs="Times New Roman"/>
          <w:color w:val="auto"/>
        </w:rPr>
        <w:t>域TVOC</w:t>
      </w:r>
      <w:r>
        <w:rPr>
          <w:rFonts w:hint="eastAsia"/>
          <w:color w:val="auto"/>
        </w:rPr>
        <w:t>质量现状监测值包含了本项目已建工程的贡献值，因此本报告将其已建工程（</w:t>
      </w:r>
      <w:r>
        <w:rPr>
          <w:rFonts w:ascii="Times New Roman" w:hAnsi="Times New Roman" w:cs="Times New Roman"/>
          <w:color w:val="auto"/>
        </w:rPr>
        <w:t>10080t/a</w:t>
      </w:r>
      <w:r>
        <w:rPr>
          <w:rFonts w:hint="eastAsia"/>
          <w:color w:val="auto"/>
        </w:rPr>
        <w:t>塑料包装）的污染物排放作为淘汰源，再将本次变更扩产后（</w:t>
      </w:r>
      <w:r>
        <w:rPr>
          <w:rFonts w:hint="default" w:ascii="Times New Roman" w:hAnsi="Times New Roman" w:cs="Times New Roman"/>
          <w:color w:val="auto"/>
        </w:rPr>
        <w:t>30000t/a</w:t>
      </w:r>
      <w:r>
        <w:rPr>
          <w:rFonts w:hint="eastAsia"/>
          <w:color w:val="auto"/>
        </w:rPr>
        <w:t>塑料包装）的全厂污染物排放源强作为拟建源考虑。</w:t>
      </w:r>
    </w:p>
    <w:p w14:paraId="0D51A7F3">
      <w:pPr>
        <w:pStyle w:val="38"/>
        <w:ind w:firstLine="482" w:firstLineChars="200"/>
        <w:rPr>
          <w:b/>
          <w:color w:val="auto"/>
        </w:rPr>
      </w:pPr>
      <w:r>
        <w:rPr>
          <w:rFonts w:hint="eastAsia"/>
          <w:b/>
          <w:color w:val="auto"/>
        </w:rPr>
        <w:t>1、淘汰污染源</w:t>
      </w:r>
    </w:p>
    <w:p w14:paraId="7DE160F6">
      <w:pPr>
        <w:pStyle w:val="51"/>
        <w:numPr>
          <w:ilvl w:val="5"/>
          <w:numId w:val="0"/>
        </w:numPr>
        <w:tabs>
          <w:tab w:val="left" w:pos="4395"/>
        </w:tabs>
        <w:spacing w:before="156"/>
        <w:ind w:left="5035" w:leftChars="2098" w:firstLine="523" w:firstLineChars="248"/>
        <w:jc w:val="both"/>
      </w:pPr>
      <w:r>
        <w:rPr>
          <w:rFonts w:hint="default" w:ascii="宋体" w:hAnsi="宋体" w:eastAsia="宋体" w:cs="宋体"/>
          <w:b/>
          <w:bCs/>
          <w:color w:val="auto"/>
          <w:kern w:val="2"/>
          <w:sz w:val="21"/>
          <w:szCs w:val="21"/>
          <w:lang w:val="en-US" w:eastAsia="zh-CN" w:bidi="ar-SA"/>
        </w:rPr>
        <w:t xml:space="preserve">表6.2-9 </w:t>
      </w:r>
      <w:r>
        <w:rPr>
          <w:rFonts w:hint="eastAsia" w:ascii="宋体" w:hAnsi="宋体" w:cs="宋体"/>
          <w:b/>
          <w:bCs/>
          <w:color w:val="auto"/>
          <w:kern w:val="2"/>
          <w:sz w:val="21"/>
          <w:szCs w:val="21"/>
          <w:lang w:val="en-US" w:eastAsia="zh-CN" w:bidi="ar-SA"/>
        </w:rPr>
        <w:t xml:space="preserve">  </w:t>
      </w:r>
      <w:r>
        <w:rPr>
          <w:rFonts w:hint="eastAsia"/>
        </w:rPr>
        <w:t>已建项目淘汰源</w:t>
      </w:r>
    </w:p>
    <w:tbl>
      <w:tblPr>
        <w:tblStyle w:val="61"/>
        <w:tblW w:w="454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2"/>
        <w:gridCol w:w="1527"/>
        <w:gridCol w:w="975"/>
        <w:gridCol w:w="1037"/>
        <w:gridCol w:w="1163"/>
        <w:gridCol w:w="962"/>
        <w:gridCol w:w="875"/>
        <w:gridCol w:w="1200"/>
        <w:gridCol w:w="1013"/>
        <w:gridCol w:w="912"/>
        <w:gridCol w:w="763"/>
        <w:gridCol w:w="762"/>
        <w:gridCol w:w="792"/>
      </w:tblGrid>
      <w:tr w14:paraId="7D52BF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Merge w:val="restart"/>
            <w:tcBorders>
              <w:tl2br w:val="nil"/>
              <w:tr2bl w:val="nil"/>
            </w:tcBorders>
            <w:vAlign w:val="center"/>
          </w:tcPr>
          <w:p w14:paraId="3C4B95DA">
            <w:pPr>
              <w:spacing w:line="240" w:lineRule="auto"/>
              <w:jc w:val="center"/>
              <w:rPr>
                <w:rFonts w:eastAsiaTheme="minorEastAsia"/>
                <w:sz w:val="21"/>
                <w:szCs w:val="21"/>
              </w:rPr>
            </w:pPr>
            <w:r>
              <w:rPr>
                <w:rFonts w:eastAsiaTheme="minorEastAsia"/>
                <w:sz w:val="21"/>
                <w:szCs w:val="21"/>
              </w:rPr>
              <w:t>编号</w:t>
            </w:r>
          </w:p>
        </w:tc>
        <w:tc>
          <w:tcPr>
            <w:tcW w:w="1527" w:type="dxa"/>
            <w:vMerge w:val="restart"/>
            <w:tcBorders>
              <w:tl2br w:val="nil"/>
              <w:tr2bl w:val="nil"/>
            </w:tcBorders>
            <w:vAlign w:val="center"/>
          </w:tcPr>
          <w:p w14:paraId="50FCF6DC">
            <w:pPr>
              <w:spacing w:line="240" w:lineRule="auto"/>
              <w:jc w:val="center"/>
              <w:rPr>
                <w:rFonts w:eastAsiaTheme="minorEastAsia"/>
                <w:sz w:val="21"/>
                <w:szCs w:val="21"/>
              </w:rPr>
            </w:pPr>
            <w:r>
              <w:rPr>
                <w:rFonts w:eastAsiaTheme="minorEastAsia"/>
                <w:sz w:val="21"/>
                <w:szCs w:val="21"/>
              </w:rPr>
              <w:t>名称</w:t>
            </w:r>
          </w:p>
        </w:tc>
        <w:tc>
          <w:tcPr>
            <w:tcW w:w="975" w:type="dxa"/>
            <w:vMerge w:val="restart"/>
            <w:tcBorders>
              <w:tl2br w:val="nil"/>
              <w:tr2bl w:val="nil"/>
            </w:tcBorders>
            <w:vAlign w:val="center"/>
          </w:tcPr>
          <w:p w14:paraId="5C4D0F98">
            <w:pPr>
              <w:spacing w:line="240" w:lineRule="auto"/>
              <w:jc w:val="center"/>
              <w:rPr>
                <w:rFonts w:eastAsiaTheme="minorEastAsia"/>
                <w:sz w:val="21"/>
                <w:szCs w:val="21"/>
              </w:rPr>
            </w:pPr>
            <w:r>
              <w:rPr>
                <w:rFonts w:eastAsiaTheme="minorEastAsia"/>
                <w:sz w:val="21"/>
                <w:szCs w:val="21"/>
              </w:rPr>
              <w:t>排气筒底部海拔m</w:t>
            </w:r>
          </w:p>
        </w:tc>
        <w:tc>
          <w:tcPr>
            <w:tcW w:w="1037" w:type="dxa"/>
            <w:vMerge w:val="restart"/>
            <w:tcBorders>
              <w:tl2br w:val="nil"/>
              <w:tr2bl w:val="nil"/>
            </w:tcBorders>
            <w:vAlign w:val="center"/>
          </w:tcPr>
          <w:p w14:paraId="7E0CDA0D">
            <w:pPr>
              <w:spacing w:line="240" w:lineRule="auto"/>
              <w:jc w:val="center"/>
              <w:rPr>
                <w:rFonts w:eastAsiaTheme="minorEastAsia"/>
                <w:sz w:val="21"/>
                <w:szCs w:val="21"/>
              </w:rPr>
            </w:pPr>
            <w:r>
              <w:rPr>
                <w:rFonts w:eastAsiaTheme="minorEastAsia"/>
                <w:sz w:val="21"/>
                <w:szCs w:val="21"/>
              </w:rPr>
              <w:t>排气筒高度m</w:t>
            </w:r>
          </w:p>
        </w:tc>
        <w:tc>
          <w:tcPr>
            <w:tcW w:w="1163" w:type="dxa"/>
            <w:vMerge w:val="restart"/>
            <w:tcBorders>
              <w:tl2br w:val="nil"/>
              <w:tr2bl w:val="nil"/>
            </w:tcBorders>
            <w:vAlign w:val="center"/>
          </w:tcPr>
          <w:p w14:paraId="2037B245">
            <w:pPr>
              <w:spacing w:line="240" w:lineRule="auto"/>
              <w:jc w:val="center"/>
              <w:rPr>
                <w:rFonts w:eastAsiaTheme="minorEastAsia"/>
                <w:sz w:val="21"/>
                <w:szCs w:val="21"/>
              </w:rPr>
            </w:pPr>
            <w:r>
              <w:rPr>
                <w:rFonts w:eastAsiaTheme="minorEastAsia"/>
                <w:sz w:val="21"/>
                <w:szCs w:val="21"/>
              </w:rPr>
              <w:t>排气筒出口内径m</w:t>
            </w:r>
          </w:p>
        </w:tc>
        <w:tc>
          <w:tcPr>
            <w:tcW w:w="962" w:type="dxa"/>
            <w:vMerge w:val="restart"/>
            <w:tcBorders>
              <w:tl2br w:val="nil"/>
              <w:tr2bl w:val="nil"/>
            </w:tcBorders>
            <w:vAlign w:val="center"/>
          </w:tcPr>
          <w:p w14:paraId="3BFB243B">
            <w:pPr>
              <w:spacing w:line="240" w:lineRule="auto"/>
              <w:jc w:val="center"/>
              <w:rPr>
                <w:rFonts w:eastAsiaTheme="minorEastAsia"/>
                <w:sz w:val="21"/>
                <w:szCs w:val="21"/>
              </w:rPr>
            </w:pPr>
            <w:r>
              <w:rPr>
                <w:rFonts w:eastAsiaTheme="minorEastAsia"/>
                <w:sz w:val="21"/>
                <w:szCs w:val="21"/>
              </w:rPr>
              <w:t>排气量m</w:t>
            </w:r>
            <w:r>
              <w:rPr>
                <w:rFonts w:eastAsiaTheme="minorEastAsia"/>
                <w:sz w:val="21"/>
                <w:szCs w:val="21"/>
                <w:vertAlign w:val="superscript"/>
              </w:rPr>
              <w:t>3</w:t>
            </w:r>
            <w:r>
              <w:rPr>
                <w:rFonts w:eastAsiaTheme="minorEastAsia"/>
                <w:sz w:val="21"/>
                <w:szCs w:val="21"/>
              </w:rPr>
              <w:t>/h</w:t>
            </w:r>
          </w:p>
        </w:tc>
        <w:tc>
          <w:tcPr>
            <w:tcW w:w="875" w:type="dxa"/>
            <w:vMerge w:val="restart"/>
            <w:tcBorders>
              <w:tl2br w:val="nil"/>
              <w:tr2bl w:val="nil"/>
            </w:tcBorders>
            <w:vAlign w:val="center"/>
          </w:tcPr>
          <w:p w14:paraId="00266AE6">
            <w:pPr>
              <w:spacing w:line="240" w:lineRule="auto"/>
              <w:jc w:val="center"/>
              <w:rPr>
                <w:rFonts w:eastAsiaTheme="minorEastAsia"/>
                <w:sz w:val="21"/>
                <w:szCs w:val="21"/>
              </w:rPr>
            </w:pPr>
            <w:r>
              <w:rPr>
                <w:rFonts w:eastAsiaTheme="minorEastAsia"/>
                <w:sz w:val="21"/>
                <w:szCs w:val="21"/>
              </w:rPr>
              <w:t>烟气</w:t>
            </w:r>
          </w:p>
          <w:p w14:paraId="41B6A954">
            <w:pPr>
              <w:spacing w:line="240" w:lineRule="auto"/>
              <w:jc w:val="center"/>
              <w:rPr>
                <w:rFonts w:eastAsiaTheme="minorEastAsia"/>
                <w:sz w:val="21"/>
                <w:szCs w:val="21"/>
              </w:rPr>
            </w:pPr>
            <w:r>
              <w:rPr>
                <w:rFonts w:eastAsiaTheme="minorEastAsia"/>
                <w:sz w:val="21"/>
                <w:szCs w:val="21"/>
              </w:rPr>
              <w:t>温度℃</w:t>
            </w:r>
          </w:p>
        </w:tc>
        <w:tc>
          <w:tcPr>
            <w:tcW w:w="1200" w:type="dxa"/>
            <w:vMerge w:val="restart"/>
            <w:tcBorders>
              <w:tl2br w:val="nil"/>
              <w:tr2bl w:val="nil"/>
            </w:tcBorders>
            <w:vAlign w:val="center"/>
          </w:tcPr>
          <w:p w14:paraId="3AF184A3">
            <w:pPr>
              <w:spacing w:line="240" w:lineRule="auto"/>
              <w:jc w:val="center"/>
              <w:rPr>
                <w:rFonts w:eastAsiaTheme="minorEastAsia"/>
                <w:sz w:val="21"/>
                <w:szCs w:val="21"/>
              </w:rPr>
            </w:pPr>
            <w:r>
              <w:rPr>
                <w:rFonts w:eastAsiaTheme="minorEastAsia"/>
                <w:sz w:val="21"/>
                <w:szCs w:val="21"/>
              </w:rPr>
              <w:t>年排放小时数/h</w:t>
            </w:r>
          </w:p>
        </w:tc>
        <w:tc>
          <w:tcPr>
            <w:tcW w:w="1013" w:type="dxa"/>
            <w:vMerge w:val="restart"/>
            <w:tcBorders>
              <w:tl2br w:val="nil"/>
              <w:tr2bl w:val="nil"/>
            </w:tcBorders>
            <w:vAlign w:val="center"/>
          </w:tcPr>
          <w:p w14:paraId="69D2C8B0">
            <w:pPr>
              <w:spacing w:line="240" w:lineRule="auto"/>
              <w:jc w:val="center"/>
              <w:rPr>
                <w:rFonts w:eastAsiaTheme="minorEastAsia"/>
                <w:sz w:val="21"/>
                <w:szCs w:val="21"/>
              </w:rPr>
            </w:pPr>
            <w:r>
              <w:rPr>
                <w:rFonts w:eastAsiaTheme="minorEastAsia"/>
                <w:sz w:val="21"/>
                <w:szCs w:val="21"/>
              </w:rPr>
              <w:t>排放</w:t>
            </w:r>
          </w:p>
          <w:p w14:paraId="38B5F800">
            <w:pPr>
              <w:spacing w:line="240" w:lineRule="auto"/>
              <w:jc w:val="center"/>
              <w:rPr>
                <w:rFonts w:eastAsiaTheme="minorEastAsia"/>
                <w:sz w:val="21"/>
                <w:szCs w:val="21"/>
              </w:rPr>
            </w:pPr>
            <w:r>
              <w:rPr>
                <w:rFonts w:eastAsiaTheme="minorEastAsia"/>
                <w:sz w:val="21"/>
                <w:szCs w:val="21"/>
              </w:rPr>
              <w:t>工况</w:t>
            </w:r>
          </w:p>
        </w:tc>
        <w:tc>
          <w:tcPr>
            <w:tcW w:w="3229" w:type="dxa"/>
            <w:gridSpan w:val="4"/>
            <w:tcBorders>
              <w:tl2br w:val="nil"/>
              <w:tr2bl w:val="nil"/>
            </w:tcBorders>
            <w:vAlign w:val="center"/>
          </w:tcPr>
          <w:p w14:paraId="2B530FDF">
            <w:pPr>
              <w:spacing w:line="240" w:lineRule="auto"/>
              <w:jc w:val="center"/>
              <w:rPr>
                <w:rFonts w:eastAsiaTheme="minorEastAsia"/>
                <w:sz w:val="21"/>
                <w:szCs w:val="21"/>
              </w:rPr>
            </w:pPr>
            <w:r>
              <w:rPr>
                <w:rFonts w:eastAsiaTheme="minorEastAsia"/>
                <w:sz w:val="21"/>
                <w:szCs w:val="21"/>
              </w:rPr>
              <w:t>污染物排放速率</w:t>
            </w:r>
          </w:p>
          <w:p w14:paraId="79FE2EB2">
            <w:pPr>
              <w:spacing w:line="240" w:lineRule="auto"/>
              <w:jc w:val="center"/>
              <w:rPr>
                <w:rFonts w:eastAsiaTheme="minorEastAsia"/>
                <w:sz w:val="21"/>
                <w:szCs w:val="21"/>
              </w:rPr>
            </w:pPr>
            <w:r>
              <w:rPr>
                <w:rFonts w:eastAsiaTheme="minorEastAsia"/>
                <w:sz w:val="21"/>
                <w:szCs w:val="21"/>
              </w:rPr>
              <w:t>kg/h</w:t>
            </w:r>
          </w:p>
        </w:tc>
      </w:tr>
      <w:tr w14:paraId="50C2BF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Merge w:val="continue"/>
            <w:tcBorders>
              <w:tl2br w:val="nil"/>
              <w:tr2bl w:val="nil"/>
            </w:tcBorders>
            <w:vAlign w:val="center"/>
          </w:tcPr>
          <w:p w14:paraId="02FC2BDD">
            <w:pPr>
              <w:spacing w:line="240" w:lineRule="auto"/>
              <w:jc w:val="center"/>
              <w:rPr>
                <w:rFonts w:eastAsiaTheme="minorEastAsia"/>
                <w:sz w:val="21"/>
                <w:szCs w:val="21"/>
              </w:rPr>
            </w:pPr>
          </w:p>
        </w:tc>
        <w:tc>
          <w:tcPr>
            <w:tcW w:w="1527" w:type="dxa"/>
            <w:vMerge w:val="continue"/>
            <w:tcBorders>
              <w:tl2br w:val="nil"/>
              <w:tr2bl w:val="nil"/>
            </w:tcBorders>
            <w:vAlign w:val="center"/>
          </w:tcPr>
          <w:p w14:paraId="5E49403A">
            <w:pPr>
              <w:spacing w:line="240" w:lineRule="auto"/>
              <w:jc w:val="center"/>
              <w:rPr>
                <w:rFonts w:eastAsiaTheme="minorEastAsia"/>
                <w:sz w:val="21"/>
                <w:szCs w:val="21"/>
              </w:rPr>
            </w:pPr>
          </w:p>
        </w:tc>
        <w:tc>
          <w:tcPr>
            <w:tcW w:w="975" w:type="dxa"/>
            <w:vMerge w:val="continue"/>
            <w:tcBorders>
              <w:tl2br w:val="nil"/>
              <w:tr2bl w:val="nil"/>
            </w:tcBorders>
            <w:vAlign w:val="center"/>
          </w:tcPr>
          <w:p w14:paraId="0A55900A">
            <w:pPr>
              <w:spacing w:line="240" w:lineRule="auto"/>
              <w:jc w:val="center"/>
              <w:rPr>
                <w:rFonts w:eastAsiaTheme="minorEastAsia"/>
                <w:sz w:val="21"/>
                <w:szCs w:val="21"/>
              </w:rPr>
            </w:pPr>
          </w:p>
        </w:tc>
        <w:tc>
          <w:tcPr>
            <w:tcW w:w="1037" w:type="dxa"/>
            <w:vMerge w:val="continue"/>
            <w:tcBorders>
              <w:tl2br w:val="nil"/>
              <w:tr2bl w:val="nil"/>
            </w:tcBorders>
            <w:vAlign w:val="center"/>
          </w:tcPr>
          <w:p w14:paraId="1CE95082">
            <w:pPr>
              <w:spacing w:line="240" w:lineRule="auto"/>
              <w:jc w:val="center"/>
              <w:rPr>
                <w:rFonts w:eastAsiaTheme="minorEastAsia"/>
                <w:sz w:val="21"/>
                <w:szCs w:val="21"/>
              </w:rPr>
            </w:pPr>
          </w:p>
        </w:tc>
        <w:tc>
          <w:tcPr>
            <w:tcW w:w="1163" w:type="dxa"/>
            <w:vMerge w:val="continue"/>
            <w:tcBorders>
              <w:tl2br w:val="nil"/>
              <w:tr2bl w:val="nil"/>
            </w:tcBorders>
            <w:vAlign w:val="center"/>
          </w:tcPr>
          <w:p w14:paraId="28155499">
            <w:pPr>
              <w:spacing w:line="240" w:lineRule="auto"/>
              <w:jc w:val="center"/>
              <w:rPr>
                <w:rFonts w:eastAsiaTheme="minorEastAsia"/>
                <w:sz w:val="21"/>
                <w:szCs w:val="21"/>
              </w:rPr>
            </w:pPr>
          </w:p>
        </w:tc>
        <w:tc>
          <w:tcPr>
            <w:tcW w:w="962" w:type="dxa"/>
            <w:vMerge w:val="continue"/>
            <w:tcBorders>
              <w:tl2br w:val="nil"/>
              <w:tr2bl w:val="nil"/>
            </w:tcBorders>
            <w:vAlign w:val="center"/>
          </w:tcPr>
          <w:p w14:paraId="2DCA8A64">
            <w:pPr>
              <w:spacing w:line="240" w:lineRule="auto"/>
              <w:jc w:val="center"/>
              <w:rPr>
                <w:rFonts w:eastAsiaTheme="minorEastAsia"/>
                <w:sz w:val="21"/>
                <w:szCs w:val="21"/>
              </w:rPr>
            </w:pPr>
          </w:p>
        </w:tc>
        <w:tc>
          <w:tcPr>
            <w:tcW w:w="875" w:type="dxa"/>
            <w:vMerge w:val="continue"/>
            <w:tcBorders>
              <w:tl2br w:val="nil"/>
              <w:tr2bl w:val="nil"/>
            </w:tcBorders>
            <w:vAlign w:val="center"/>
          </w:tcPr>
          <w:p w14:paraId="1B93F7CB">
            <w:pPr>
              <w:spacing w:line="240" w:lineRule="auto"/>
              <w:jc w:val="center"/>
              <w:rPr>
                <w:rFonts w:eastAsiaTheme="minorEastAsia"/>
                <w:sz w:val="21"/>
                <w:szCs w:val="21"/>
              </w:rPr>
            </w:pPr>
          </w:p>
        </w:tc>
        <w:tc>
          <w:tcPr>
            <w:tcW w:w="1200" w:type="dxa"/>
            <w:vMerge w:val="continue"/>
            <w:tcBorders>
              <w:tl2br w:val="nil"/>
              <w:tr2bl w:val="nil"/>
            </w:tcBorders>
            <w:vAlign w:val="center"/>
          </w:tcPr>
          <w:p w14:paraId="414B5EC4">
            <w:pPr>
              <w:spacing w:line="240" w:lineRule="auto"/>
              <w:jc w:val="center"/>
              <w:rPr>
                <w:rFonts w:eastAsiaTheme="minorEastAsia"/>
                <w:sz w:val="21"/>
                <w:szCs w:val="21"/>
              </w:rPr>
            </w:pPr>
          </w:p>
        </w:tc>
        <w:tc>
          <w:tcPr>
            <w:tcW w:w="1013" w:type="dxa"/>
            <w:vMerge w:val="continue"/>
            <w:tcBorders>
              <w:tl2br w:val="nil"/>
              <w:tr2bl w:val="nil"/>
            </w:tcBorders>
            <w:vAlign w:val="center"/>
          </w:tcPr>
          <w:p w14:paraId="2E56D6F0">
            <w:pPr>
              <w:spacing w:line="240" w:lineRule="auto"/>
              <w:jc w:val="center"/>
              <w:rPr>
                <w:rFonts w:eastAsiaTheme="minorEastAsia"/>
                <w:sz w:val="21"/>
                <w:szCs w:val="21"/>
              </w:rPr>
            </w:pPr>
          </w:p>
        </w:tc>
        <w:tc>
          <w:tcPr>
            <w:tcW w:w="912" w:type="dxa"/>
            <w:tcBorders>
              <w:tl2br w:val="nil"/>
              <w:tr2bl w:val="nil"/>
            </w:tcBorders>
            <w:vAlign w:val="center"/>
          </w:tcPr>
          <w:p w14:paraId="01B9EDD5">
            <w:pPr>
              <w:spacing w:line="240" w:lineRule="auto"/>
              <w:jc w:val="center"/>
              <w:rPr>
                <w:rFonts w:eastAsiaTheme="minorEastAsia"/>
                <w:sz w:val="21"/>
                <w:szCs w:val="21"/>
              </w:rPr>
            </w:pPr>
            <w:r>
              <w:rPr>
                <w:rFonts w:eastAsiaTheme="minorEastAsia"/>
                <w:sz w:val="21"/>
                <w:szCs w:val="21"/>
              </w:rPr>
              <w:t>挥发性有机物</w:t>
            </w:r>
          </w:p>
        </w:tc>
        <w:tc>
          <w:tcPr>
            <w:tcW w:w="763" w:type="dxa"/>
            <w:tcBorders>
              <w:tl2br w:val="nil"/>
              <w:tr2bl w:val="nil"/>
            </w:tcBorders>
            <w:vAlign w:val="center"/>
          </w:tcPr>
          <w:p w14:paraId="72FB4D21">
            <w:pPr>
              <w:spacing w:line="240" w:lineRule="auto"/>
              <w:jc w:val="center"/>
              <w:rPr>
                <w:rFonts w:eastAsiaTheme="minorEastAsia"/>
                <w:sz w:val="21"/>
                <w:szCs w:val="21"/>
              </w:rPr>
            </w:pPr>
            <w:r>
              <w:rPr>
                <w:rFonts w:eastAsiaTheme="minorEastAsia"/>
                <w:sz w:val="21"/>
                <w:szCs w:val="21"/>
              </w:rPr>
              <w:t>TSP</w:t>
            </w:r>
          </w:p>
        </w:tc>
        <w:tc>
          <w:tcPr>
            <w:tcW w:w="762" w:type="dxa"/>
            <w:tcBorders>
              <w:tl2br w:val="nil"/>
              <w:tr2bl w:val="nil"/>
            </w:tcBorders>
            <w:vAlign w:val="center"/>
          </w:tcPr>
          <w:p w14:paraId="4B552F89">
            <w:pPr>
              <w:spacing w:line="240" w:lineRule="auto"/>
              <w:jc w:val="center"/>
              <w:rPr>
                <w:rFonts w:eastAsiaTheme="minorEastAsia"/>
                <w:sz w:val="21"/>
                <w:szCs w:val="21"/>
              </w:rPr>
            </w:pPr>
            <w:r>
              <w:rPr>
                <w:rFonts w:eastAsiaTheme="minorEastAsia"/>
                <w:sz w:val="21"/>
                <w:szCs w:val="21"/>
              </w:rPr>
              <w:t>SO</w:t>
            </w:r>
            <w:r>
              <w:rPr>
                <w:rFonts w:eastAsiaTheme="minorEastAsia"/>
                <w:sz w:val="21"/>
                <w:szCs w:val="21"/>
                <w:vertAlign w:val="subscript"/>
              </w:rPr>
              <w:t>2</w:t>
            </w:r>
          </w:p>
        </w:tc>
        <w:tc>
          <w:tcPr>
            <w:tcW w:w="792" w:type="dxa"/>
            <w:tcBorders>
              <w:tl2br w:val="nil"/>
              <w:tr2bl w:val="nil"/>
            </w:tcBorders>
            <w:vAlign w:val="center"/>
          </w:tcPr>
          <w:p w14:paraId="58DDB727">
            <w:pPr>
              <w:spacing w:line="240" w:lineRule="auto"/>
              <w:jc w:val="center"/>
              <w:rPr>
                <w:rFonts w:eastAsiaTheme="minorEastAsia"/>
                <w:sz w:val="21"/>
                <w:szCs w:val="21"/>
              </w:rPr>
            </w:pPr>
            <w:r>
              <w:rPr>
                <w:rFonts w:eastAsiaTheme="minorEastAsia"/>
                <w:sz w:val="21"/>
                <w:szCs w:val="21"/>
              </w:rPr>
              <w:t>NOx</w:t>
            </w:r>
          </w:p>
        </w:tc>
      </w:tr>
      <w:tr w14:paraId="3FF4BC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892" w:type="dxa"/>
            <w:tcBorders>
              <w:tl2br w:val="nil"/>
              <w:tr2bl w:val="nil"/>
            </w:tcBorders>
            <w:vAlign w:val="center"/>
          </w:tcPr>
          <w:p w14:paraId="5D5B33E1">
            <w:pPr>
              <w:spacing w:line="240" w:lineRule="auto"/>
              <w:jc w:val="center"/>
              <w:rPr>
                <w:rFonts w:eastAsiaTheme="minorEastAsia"/>
                <w:sz w:val="21"/>
                <w:szCs w:val="21"/>
              </w:rPr>
            </w:pPr>
            <w:r>
              <w:rPr>
                <w:rFonts w:hint="eastAsia" w:eastAsiaTheme="minorEastAsia"/>
                <w:sz w:val="21"/>
                <w:szCs w:val="21"/>
              </w:rPr>
              <w:t>P1</w:t>
            </w:r>
          </w:p>
        </w:tc>
        <w:tc>
          <w:tcPr>
            <w:tcW w:w="1527" w:type="dxa"/>
            <w:tcBorders>
              <w:tl2br w:val="nil"/>
              <w:tr2bl w:val="nil"/>
            </w:tcBorders>
            <w:vAlign w:val="center"/>
          </w:tcPr>
          <w:p w14:paraId="6E45863D">
            <w:pPr>
              <w:spacing w:line="240" w:lineRule="auto"/>
              <w:jc w:val="center"/>
              <w:rPr>
                <w:rFonts w:eastAsiaTheme="minorEastAsia"/>
                <w:sz w:val="21"/>
                <w:szCs w:val="21"/>
              </w:rPr>
            </w:pPr>
            <w:r>
              <w:rPr>
                <w:rFonts w:eastAsiaTheme="minorEastAsia"/>
                <w:sz w:val="21"/>
                <w:szCs w:val="21"/>
              </w:rPr>
              <w:t>印刷、复合有机废气</w:t>
            </w:r>
            <w:r>
              <w:rPr>
                <w:rFonts w:hint="eastAsia" w:eastAsiaTheme="minorEastAsia"/>
                <w:sz w:val="21"/>
                <w:szCs w:val="21"/>
              </w:rPr>
              <w:t>、天然气废气</w:t>
            </w:r>
          </w:p>
        </w:tc>
        <w:tc>
          <w:tcPr>
            <w:tcW w:w="975" w:type="dxa"/>
            <w:tcBorders>
              <w:tl2br w:val="nil"/>
              <w:tr2bl w:val="nil"/>
            </w:tcBorders>
            <w:vAlign w:val="center"/>
          </w:tcPr>
          <w:p w14:paraId="53ADE29E">
            <w:pPr>
              <w:spacing w:line="240" w:lineRule="auto"/>
              <w:jc w:val="center"/>
              <w:rPr>
                <w:rFonts w:eastAsiaTheme="minorEastAsia"/>
                <w:sz w:val="21"/>
                <w:szCs w:val="21"/>
              </w:rPr>
            </w:pPr>
            <w:r>
              <w:rPr>
                <w:rFonts w:eastAsiaTheme="minorEastAsia"/>
                <w:sz w:val="21"/>
                <w:szCs w:val="21"/>
              </w:rPr>
              <w:t>55</w:t>
            </w:r>
          </w:p>
        </w:tc>
        <w:tc>
          <w:tcPr>
            <w:tcW w:w="1037" w:type="dxa"/>
            <w:tcBorders>
              <w:tl2br w:val="nil"/>
              <w:tr2bl w:val="nil"/>
            </w:tcBorders>
            <w:vAlign w:val="center"/>
          </w:tcPr>
          <w:p w14:paraId="167B07CD">
            <w:pPr>
              <w:spacing w:line="240" w:lineRule="auto"/>
              <w:jc w:val="center"/>
              <w:rPr>
                <w:rFonts w:eastAsiaTheme="minorEastAsia"/>
                <w:sz w:val="21"/>
                <w:szCs w:val="21"/>
              </w:rPr>
            </w:pPr>
            <w:r>
              <w:rPr>
                <w:rFonts w:hint="eastAsia" w:eastAsiaTheme="minorEastAsia"/>
                <w:sz w:val="21"/>
                <w:szCs w:val="21"/>
              </w:rPr>
              <w:t>27</w:t>
            </w:r>
          </w:p>
        </w:tc>
        <w:tc>
          <w:tcPr>
            <w:tcW w:w="1163" w:type="dxa"/>
            <w:tcBorders>
              <w:tl2br w:val="nil"/>
              <w:tr2bl w:val="nil"/>
            </w:tcBorders>
            <w:vAlign w:val="center"/>
          </w:tcPr>
          <w:p w14:paraId="6C3E4607">
            <w:pPr>
              <w:spacing w:line="240" w:lineRule="auto"/>
              <w:jc w:val="center"/>
              <w:rPr>
                <w:rFonts w:eastAsiaTheme="minorEastAsia"/>
                <w:sz w:val="21"/>
                <w:szCs w:val="21"/>
              </w:rPr>
            </w:pPr>
            <w:r>
              <w:rPr>
                <w:rFonts w:hint="eastAsia" w:eastAsiaTheme="minorEastAsia"/>
                <w:sz w:val="21"/>
                <w:szCs w:val="21"/>
              </w:rPr>
              <w:t>2.5</w:t>
            </w:r>
          </w:p>
        </w:tc>
        <w:tc>
          <w:tcPr>
            <w:tcW w:w="962" w:type="dxa"/>
            <w:tcBorders>
              <w:tl2br w:val="nil"/>
              <w:tr2bl w:val="nil"/>
            </w:tcBorders>
            <w:vAlign w:val="center"/>
          </w:tcPr>
          <w:p w14:paraId="580E9FC9">
            <w:pPr>
              <w:spacing w:line="240" w:lineRule="auto"/>
              <w:jc w:val="center"/>
              <w:rPr>
                <w:rFonts w:eastAsiaTheme="minorEastAsia"/>
                <w:sz w:val="21"/>
                <w:szCs w:val="21"/>
              </w:rPr>
            </w:pPr>
            <w:r>
              <w:rPr>
                <w:rFonts w:hint="eastAsia" w:eastAsiaTheme="minorEastAsia"/>
                <w:sz w:val="21"/>
                <w:szCs w:val="21"/>
              </w:rPr>
              <w:t>8200</w:t>
            </w:r>
          </w:p>
        </w:tc>
        <w:tc>
          <w:tcPr>
            <w:tcW w:w="875" w:type="dxa"/>
            <w:tcBorders>
              <w:tl2br w:val="nil"/>
              <w:tr2bl w:val="nil"/>
            </w:tcBorders>
            <w:vAlign w:val="center"/>
          </w:tcPr>
          <w:p w14:paraId="5DEB692C">
            <w:pPr>
              <w:spacing w:line="240" w:lineRule="auto"/>
              <w:jc w:val="center"/>
              <w:rPr>
                <w:rFonts w:eastAsiaTheme="minorEastAsia"/>
                <w:sz w:val="21"/>
                <w:szCs w:val="21"/>
              </w:rPr>
            </w:pPr>
            <w:r>
              <w:rPr>
                <w:rFonts w:eastAsiaTheme="minorEastAsia"/>
                <w:sz w:val="21"/>
                <w:szCs w:val="21"/>
              </w:rPr>
              <w:t>38</w:t>
            </w:r>
          </w:p>
        </w:tc>
        <w:tc>
          <w:tcPr>
            <w:tcW w:w="1200" w:type="dxa"/>
            <w:tcBorders>
              <w:tl2br w:val="nil"/>
              <w:tr2bl w:val="nil"/>
            </w:tcBorders>
            <w:vAlign w:val="center"/>
          </w:tcPr>
          <w:p w14:paraId="3FC552CC">
            <w:pPr>
              <w:spacing w:line="240" w:lineRule="auto"/>
              <w:jc w:val="center"/>
              <w:rPr>
                <w:rFonts w:eastAsiaTheme="minorEastAsia"/>
                <w:sz w:val="21"/>
                <w:szCs w:val="21"/>
              </w:rPr>
            </w:pPr>
            <w:r>
              <w:rPr>
                <w:rFonts w:hint="eastAsia" w:eastAsiaTheme="minorEastAsia"/>
                <w:sz w:val="21"/>
                <w:szCs w:val="21"/>
              </w:rPr>
              <w:t>7200</w:t>
            </w:r>
          </w:p>
        </w:tc>
        <w:tc>
          <w:tcPr>
            <w:tcW w:w="1013" w:type="dxa"/>
            <w:vMerge w:val="restart"/>
            <w:tcBorders>
              <w:tl2br w:val="nil"/>
              <w:tr2bl w:val="nil"/>
            </w:tcBorders>
            <w:vAlign w:val="center"/>
          </w:tcPr>
          <w:p w14:paraId="05CB1BF5">
            <w:pPr>
              <w:spacing w:line="240" w:lineRule="auto"/>
              <w:jc w:val="center"/>
              <w:rPr>
                <w:rFonts w:eastAsiaTheme="minorEastAsia"/>
                <w:sz w:val="21"/>
                <w:szCs w:val="21"/>
              </w:rPr>
            </w:pPr>
            <w:r>
              <w:rPr>
                <w:rFonts w:eastAsiaTheme="minorEastAsia"/>
                <w:sz w:val="21"/>
                <w:szCs w:val="21"/>
              </w:rPr>
              <w:t>稳定</w:t>
            </w:r>
          </w:p>
          <w:p w14:paraId="59BD2E9A">
            <w:pPr>
              <w:spacing w:line="240" w:lineRule="auto"/>
              <w:jc w:val="center"/>
              <w:rPr>
                <w:rFonts w:eastAsiaTheme="minorEastAsia"/>
                <w:sz w:val="21"/>
                <w:szCs w:val="21"/>
              </w:rPr>
            </w:pPr>
            <w:r>
              <w:rPr>
                <w:rFonts w:eastAsiaTheme="minorEastAsia"/>
                <w:sz w:val="21"/>
                <w:szCs w:val="21"/>
              </w:rPr>
              <w:t>连续</w:t>
            </w:r>
          </w:p>
        </w:tc>
        <w:tc>
          <w:tcPr>
            <w:tcW w:w="912" w:type="dxa"/>
            <w:tcBorders>
              <w:tl2br w:val="nil"/>
              <w:tr2bl w:val="nil"/>
            </w:tcBorders>
            <w:vAlign w:val="center"/>
          </w:tcPr>
          <w:p w14:paraId="044F7CB6">
            <w:pPr>
              <w:spacing w:line="240" w:lineRule="auto"/>
              <w:jc w:val="center"/>
              <w:rPr>
                <w:rFonts w:eastAsiaTheme="minorEastAsia"/>
                <w:sz w:val="21"/>
                <w:szCs w:val="21"/>
              </w:rPr>
            </w:pPr>
            <w:r>
              <w:rPr>
                <w:rFonts w:hint="eastAsia" w:eastAsiaTheme="minorEastAsia"/>
                <w:sz w:val="21"/>
                <w:szCs w:val="21"/>
              </w:rPr>
              <w:t>0.0084</w:t>
            </w:r>
          </w:p>
        </w:tc>
        <w:tc>
          <w:tcPr>
            <w:tcW w:w="763" w:type="dxa"/>
            <w:tcBorders>
              <w:tl2br w:val="nil"/>
              <w:tr2bl w:val="nil"/>
            </w:tcBorders>
            <w:vAlign w:val="center"/>
          </w:tcPr>
          <w:p w14:paraId="051022F3">
            <w:pPr>
              <w:spacing w:line="240" w:lineRule="auto"/>
              <w:jc w:val="center"/>
              <w:rPr>
                <w:rFonts w:eastAsiaTheme="minorEastAsia"/>
                <w:sz w:val="21"/>
                <w:szCs w:val="21"/>
              </w:rPr>
            </w:pPr>
            <w:r>
              <w:rPr>
                <w:rFonts w:hint="eastAsia" w:eastAsiaTheme="minorEastAsia"/>
                <w:sz w:val="21"/>
                <w:szCs w:val="21"/>
              </w:rPr>
              <w:t>0.015</w:t>
            </w:r>
          </w:p>
        </w:tc>
        <w:tc>
          <w:tcPr>
            <w:tcW w:w="762" w:type="dxa"/>
            <w:tcBorders>
              <w:tl2br w:val="nil"/>
              <w:tr2bl w:val="nil"/>
            </w:tcBorders>
            <w:vAlign w:val="center"/>
          </w:tcPr>
          <w:p w14:paraId="3DA1163B">
            <w:pPr>
              <w:spacing w:line="240" w:lineRule="auto"/>
              <w:jc w:val="center"/>
              <w:rPr>
                <w:rFonts w:eastAsiaTheme="minorEastAsia"/>
                <w:sz w:val="21"/>
                <w:szCs w:val="21"/>
              </w:rPr>
            </w:pPr>
            <w:r>
              <w:rPr>
                <w:rFonts w:hint="eastAsia" w:eastAsiaTheme="minorEastAsia"/>
                <w:sz w:val="21"/>
                <w:szCs w:val="21"/>
              </w:rPr>
              <w:t>0.011</w:t>
            </w:r>
          </w:p>
        </w:tc>
        <w:tc>
          <w:tcPr>
            <w:tcW w:w="792" w:type="dxa"/>
            <w:tcBorders>
              <w:tl2br w:val="nil"/>
              <w:tr2bl w:val="nil"/>
            </w:tcBorders>
            <w:vAlign w:val="center"/>
          </w:tcPr>
          <w:p w14:paraId="448E8472">
            <w:pPr>
              <w:spacing w:line="240" w:lineRule="auto"/>
              <w:jc w:val="center"/>
              <w:rPr>
                <w:rFonts w:eastAsiaTheme="minorEastAsia"/>
                <w:sz w:val="21"/>
                <w:szCs w:val="21"/>
              </w:rPr>
            </w:pPr>
            <w:r>
              <w:rPr>
                <w:rFonts w:hint="eastAsia" w:eastAsiaTheme="minorEastAsia"/>
                <w:sz w:val="21"/>
                <w:szCs w:val="21"/>
              </w:rPr>
              <w:t>0.051</w:t>
            </w:r>
          </w:p>
        </w:tc>
      </w:tr>
      <w:tr w14:paraId="4EA670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tcBorders>
              <w:tl2br w:val="nil"/>
              <w:tr2bl w:val="nil"/>
            </w:tcBorders>
            <w:vAlign w:val="center"/>
          </w:tcPr>
          <w:p w14:paraId="775C0F99">
            <w:pPr>
              <w:spacing w:line="240" w:lineRule="auto"/>
              <w:jc w:val="center"/>
              <w:rPr>
                <w:rFonts w:eastAsiaTheme="minorEastAsia"/>
                <w:sz w:val="21"/>
                <w:szCs w:val="21"/>
              </w:rPr>
            </w:pPr>
            <w:r>
              <w:rPr>
                <w:rFonts w:hint="eastAsia" w:eastAsiaTheme="minorEastAsia"/>
                <w:sz w:val="21"/>
                <w:szCs w:val="21"/>
              </w:rPr>
              <w:t>P2</w:t>
            </w:r>
          </w:p>
        </w:tc>
        <w:tc>
          <w:tcPr>
            <w:tcW w:w="1527" w:type="dxa"/>
            <w:tcBorders>
              <w:tl2br w:val="nil"/>
              <w:tr2bl w:val="nil"/>
            </w:tcBorders>
            <w:vAlign w:val="center"/>
          </w:tcPr>
          <w:p w14:paraId="5ED25E37">
            <w:pPr>
              <w:spacing w:line="240" w:lineRule="auto"/>
              <w:jc w:val="center"/>
              <w:rPr>
                <w:rFonts w:eastAsiaTheme="minorEastAsia"/>
                <w:sz w:val="21"/>
                <w:szCs w:val="21"/>
              </w:rPr>
            </w:pPr>
            <w:r>
              <w:rPr>
                <w:rFonts w:eastAsiaTheme="minorEastAsia"/>
                <w:sz w:val="21"/>
                <w:szCs w:val="21"/>
              </w:rPr>
              <w:t>调墨、调胶有机废气</w:t>
            </w:r>
          </w:p>
        </w:tc>
        <w:tc>
          <w:tcPr>
            <w:tcW w:w="975" w:type="dxa"/>
            <w:tcBorders>
              <w:tl2br w:val="nil"/>
              <w:tr2bl w:val="nil"/>
            </w:tcBorders>
            <w:vAlign w:val="center"/>
          </w:tcPr>
          <w:p w14:paraId="257287AC">
            <w:pPr>
              <w:spacing w:line="240" w:lineRule="auto"/>
              <w:jc w:val="center"/>
              <w:rPr>
                <w:rFonts w:eastAsiaTheme="minorEastAsia"/>
                <w:sz w:val="21"/>
                <w:szCs w:val="21"/>
              </w:rPr>
            </w:pPr>
            <w:r>
              <w:rPr>
                <w:rFonts w:hint="eastAsia" w:eastAsiaTheme="minorEastAsia"/>
                <w:sz w:val="21"/>
                <w:szCs w:val="21"/>
              </w:rPr>
              <w:t>55</w:t>
            </w:r>
          </w:p>
        </w:tc>
        <w:tc>
          <w:tcPr>
            <w:tcW w:w="1037" w:type="dxa"/>
            <w:tcBorders>
              <w:tl2br w:val="nil"/>
              <w:tr2bl w:val="nil"/>
            </w:tcBorders>
            <w:vAlign w:val="center"/>
          </w:tcPr>
          <w:p w14:paraId="7EBFAFFC">
            <w:pPr>
              <w:spacing w:line="240" w:lineRule="auto"/>
              <w:jc w:val="center"/>
              <w:rPr>
                <w:rFonts w:eastAsiaTheme="minorEastAsia"/>
                <w:sz w:val="21"/>
                <w:szCs w:val="21"/>
              </w:rPr>
            </w:pPr>
            <w:r>
              <w:rPr>
                <w:rFonts w:hint="eastAsia" w:eastAsiaTheme="minorEastAsia"/>
                <w:sz w:val="21"/>
                <w:szCs w:val="21"/>
              </w:rPr>
              <w:t>21</w:t>
            </w:r>
          </w:p>
        </w:tc>
        <w:tc>
          <w:tcPr>
            <w:tcW w:w="1163" w:type="dxa"/>
            <w:tcBorders>
              <w:tl2br w:val="nil"/>
              <w:tr2bl w:val="nil"/>
            </w:tcBorders>
            <w:vAlign w:val="center"/>
          </w:tcPr>
          <w:p w14:paraId="12AD2976">
            <w:pPr>
              <w:spacing w:line="240" w:lineRule="auto"/>
              <w:jc w:val="center"/>
              <w:rPr>
                <w:rFonts w:eastAsiaTheme="minorEastAsia"/>
                <w:sz w:val="21"/>
                <w:szCs w:val="21"/>
              </w:rPr>
            </w:pPr>
            <w:r>
              <w:rPr>
                <w:rFonts w:hint="eastAsia" w:eastAsiaTheme="minorEastAsia"/>
                <w:sz w:val="21"/>
                <w:szCs w:val="21"/>
              </w:rPr>
              <w:t>2.0</w:t>
            </w:r>
          </w:p>
        </w:tc>
        <w:tc>
          <w:tcPr>
            <w:tcW w:w="962" w:type="dxa"/>
            <w:tcBorders>
              <w:tl2br w:val="nil"/>
              <w:tr2bl w:val="nil"/>
            </w:tcBorders>
            <w:vAlign w:val="center"/>
          </w:tcPr>
          <w:p w14:paraId="73EA531A">
            <w:pPr>
              <w:spacing w:line="240" w:lineRule="auto"/>
              <w:jc w:val="center"/>
              <w:rPr>
                <w:rFonts w:eastAsiaTheme="minorEastAsia"/>
                <w:sz w:val="21"/>
                <w:szCs w:val="21"/>
              </w:rPr>
            </w:pPr>
            <w:r>
              <w:rPr>
                <w:rFonts w:hint="eastAsia" w:eastAsiaTheme="minorEastAsia"/>
                <w:sz w:val="21"/>
                <w:szCs w:val="21"/>
              </w:rPr>
              <w:t>7500</w:t>
            </w:r>
          </w:p>
        </w:tc>
        <w:tc>
          <w:tcPr>
            <w:tcW w:w="875" w:type="dxa"/>
            <w:tcBorders>
              <w:tl2br w:val="nil"/>
              <w:tr2bl w:val="nil"/>
            </w:tcBorders>
            <w:vAlign w:val="center"/>
          </w:tcPr>
          <w:p w14:paraId="1E82ED2D">
            <w:pPr>
              <w:spacing w:line="240" w:lineRule="auto"/>
              <w:jc w:val="center"/>
              <w:rPr>
                <w:rFonts w:eastAsiaTheme="minorEastAsia"/>
                <w:sz w:val="21"/>
                <w:szCs w:val="21"/>
              </w:rPr>
            </w:pPr>
            <w:r>
              <w:rPr>
                <w:rFonts w:eastAsiaTheme="minorEastAsia"/>
                <w:sz w:val="21"/>
                <w:szCs w:val="21"/>
              </w:rPr>
              <w:t>38</w:t>
            </w:r>
          </w:p>
        </w:tc>
        <w:tc>
          <w:tcPr>
            <w:tcW w:w="1200" w:type="dxa"/>
            <w:tcBorders>
              <w:tl2br w:val="nil"/>
              <w:tr2bl w:val="nil"/>
            </w:tcBorders>
            <w:vAlign w:val="center"/>
          </w:tcPr>
          <w:p w14:paraId="6BAD09E0">
            <w:pPr>
              <w:spacing w:line="240" w:lineRule="auto"/>
              <w:jc w:val="center"/>
              <w:rPr>
                <w:rFonts w:eastAsiaTheme="minorEastAsia"/>
                <w:sz w:val="21"/>
                <w:szCs w:val="21"/>
              </w:rPr>
            </w:pPr>
            <w:r>
              <w:rPr>
                <w:rFonts w:hint="eastAsia" w:eastAsiaTheme="minorEastAsia"/>
                <w:sz w:val="21"/>
                <w:szCs w:val="21"/>
              </w:rPr>
              <w:t>7200</w:t>
            </w:r>
          </w:p>
        </w:tc>
        <w:tc>
          <w:tcPr>
            <w:tcW w:w="1013" w:type="dxa"/>
            <w:vMerge w:val="continue"/>
            <w:tcBorders>
              <w:tl2br w:val="nil"/>
              <w:tr2bl w:val="nil"/>
            </w:tcBorders>
            <w:vAlign w:val="center"/>
          </w:tcPr>
          <w:p w14:paraId="3695C2D7">
            <w:pPr>
              <w:spacing w:line="240" w:lineRule="auto"/>
              <w:jc w:val="center"/>
              <w:rPr>
                <w:rFonts w:eastAsiaTheme="minorEastAsia"/>
                <w:sz w:val="21"/>
                <w:szCs w:val="21"/>
              </w:rPr>
            </w:pPr>
          </w:p>
        </w:tc>
        <w:tc>
          <w:tcPr>
            <w:tcW w:w="912" w:type="dxa"/>
            <w:tcBorders>
              <w:tl2br w:val="nil"/>
              <w:tr2bl w:val="nil"/>
            </w:tcBorders>
            <w:vAlign w:val="center"/>
          </w:tcPr>
          <w:p w14:paraId="5311A019">
            <w:pPr>
              <w:spacing w:line="240" w:lineRule="auto"/>
              <w:jc w:val="center"/>
              <w:rPr>
                <w:rFonts w:eastAsiaTheme="minorEastAsia"/>
                <w:sz w:val="21"/>
                <w:szCs w:val="21"/>
              </w:rPr>
            </w:pPr>
            <w:r>
              <w:rPr>
                <w:rFonts w:hint="eastAsia" w:eastAsiaTheme="minorEastAsia"/>
                <w:sz w:val="21"/>
                <w:szCs w:val="21"/>
              </w:rPr>
              <w:t>0.97</w:t>
            </w:r>
          </w:p>
        </w:tc>
        <w:tc>
          <w:tcPr>
            <w:tcW w:w="763" w:type="dxa"/>
            <w:tcBorders>
              <w:tl2br w:val="nil"/>
              <w:tr2bl w:val="nil"/>
            </w:tcBorders>
            <w:vAlign w:val="center"/>
          </w:tcPr>
          <w:p w14:paraId="674346DA">
            <w:pPr>
              <w:spacing w:line="240" w:lineRule="auto"/>
              <w:jc w:val="center"/>
              <w:rPr>
                <w:rFonts w:eastAsiaTheme="minorEastAsia"/>
                <w:sz w:val="21"/>
                <w:szCs w:val="21"/>
              </w:rPr>
            </w:pPr>
            <w:r>
              <w:rPr>
                <w:rFonts w:eastAsiaTheme="minorEastAsia"/>
                <w:sz w:val="21"/>
                <w:szCs w:val="21"/>
              </w:rPr>
              <w:t>/</w:t>
            </w:r>
          </w:p>
        </w:tc>
        <w:tc>
          <w:tcPr>
            <w:tcW w:w="762" w:type="dxa"/>
            <w:tcBorders>
              <w:tl2br w:val="nil"/>
              <w:tr2bl w:val="nil"/>
            </w:tcBorders>
            <w:vAlign w:val="center"/>
          </w:tcPr>
          <w:p w14:paraId="3D553EC8">
            <w:pPr>
              <w:spacing w:line="240" w:lineRule="auto"/>
              <w:jc w:val="center"/>
              <w:rPr>
                <w:rFonts w:eastAsiaTheme="minorEastAsia"/>
                <w:sz w:val="21"/>
                <w:szCs w:val="21"/>
              </w:rPr>
            </w:pPr>
            <w:r>
              <w:rPr>
                <w:rFonts w:eastAsiaTheme="minorEastAsia"/>
                <w:sz w:val="21"/>
                <w:szCs w:val="21"/>
              </w:rPr>
              <w:t>/</w:t>
            </w:r>
          </w:p>
        </w:tc>
        <w:tc>
          <w:tcPr>
            <w:tcW w:w="792" w:type="dxa"/>
            <w:tcBorders>
              <w:tl2br w:val="nil"/>
              <w:tr2bl w:val="nil"/>
            </w:tcBorders>
            <w:vAlign w:val="center"/>
          </w:tcPr>
          <w:p w14:paraId="1F10FD38">
            <w:pPr>
              <w:spacing w:line="240" w:lineRule="auto"/>
              <w:jc w:val="center"/>
              <w:rPr>
                <w:rFonts w:eastAsiaTheme="minorEastAsia"/>
                <w:sz w:val="21"/>
                <w:szCs w:val="21"/>
              </w:rPr>
            </w:pPr>
            <w:r>
              <w:rPr>
                <w:rFonts w:eastAsiaTheme="minorEastAsia"/>
                <w:sz w:val="21"/>
                <w:szCs w:val="21"/>
              </w:rPr>
              <w:t>/</w:t>
            </w:r>
          </w:p>
        </w:tc>
      </w:tr>
      <w:tr w14:paraId="4D8E67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tcBorders>
              <w:tl2br w:val="nil"/>
              <w:tr2bl w:val="nil"/>
            </w:tcBorders>
            <w:vAlign w:val="center"/>
          </w:tcPr>
          <w:p w14:paraId="0C5B9BD1">
            <w:pPr>
              <w:spacing w:line="240" w:lineRule="auto"/>
              <w:jc w:val="center"/>
              <w:rPr>
                <w:rFonts w:eastAsiaTheme="minorEastAsia"/>
                <w:sz w:val="21"/>
                <w:szCs w:val="21"/>
              </w:rPr>
            </w:pPr>
            <w:r>
              <w:rPr>
                <w:rFonts w:hint="eastAsia" w:eastAsiaTheme="minorEastAsia"/>
                <w:sz w:val="21"/>
                <w:szCs w:val="21"/>
              </w:rPr>
              <w:t>P3</w:t>
            </w:r>
          </w:p>
        </w:tc>
        <w:tc>
          <w:tcPr>
            <w:tcW w:w="1527" w:type="dxa"/>
            <w:tcBorders>
              <w:tl2br w:val="nil"/>
              <w:tr2bl w:val="nil"/>
            </w:tcBorders>
            <w:vAlign w:val="center"/>
          </w:tcPr>
          <w:p w14:paraId="7E356A77">
            <w:pPr>
              <w:spacing w:line="240" w:lineRule="auto"/>
              <w:jc w:val="center"/>
              <w:rPr>
                <w:rFonts w:eastAsiaTheme="minorEastAsia"/>
                <w:sz w:val="21"/>
                <w:szCs w:val="21"/>
              </w:rPr>
            </w:pPr>
            <w:r>
              <w:rPr>
                <w:rFonts w:eastAsiaTheme="minorEastAsia"/>
                <w:sz w:val="21"/>
                <w:szCs w:val="21"/>
              </w:rPr>
              <w:t>复合区无组织收集有机废气</w:t>
            </w:r>
          </w:p>
        </w:tc>
        <w:tc>
          <w:tcPr>
            <w:tcW w:w="975" w:type="dxa"/>
            <w:tcBorders>
              <w:tl2br w:val="nil"/>
              <w:tr2bl w:val="nil"/>
            </w:tcBorders>
            <w:vAlign w:val="center"/>
          </w:tcPr>
          <w:p w14:paraId="661059EB">
            <w:pPr>
              <w:spacing w:line="240" w:lineRule="auto"/>
              <w:jc w:val="center"/>
              <w:rPr>
                <w:rFonts w:eastAsiaTheme="minorEastAsia"/>
                <w:sz w:val="21"/>
                <w:szCs w:val="21"/>
              </w:rPr>
            </w:pPr>
            <w:r>
              <w:rPr>
                <w:rFonts w:hint="eastAsia" w:eastAsiaTheme="minorEastAsia"/>
                <w:sz w:val="21"/>
                <w:szCs w:val="21"/>
              </w:rPr>
              <w:t>55</w:t>
            </w:r>
          </w:p>
        </w:tc>
        <w:tc>
          <w:tcPr>
            <w:tcW w:w="1037" w:type="dxa"/>
            <w:tcBorders>
              <w:tl2br w:val="nil"/>
              <w:tr2bl w:val="nil"/>
            </w:tcBorders>
            <w:vAlign w:val="center"/>
          </w:tcPr>
          <w:p w14:paraId="076BDD7F">
            <w:pPr>
              <w:spacing w:line="240" w:lineRule="auto"/>
              <w:jc w:val="center"/>
              <w:rPr>
                <w:rFonts w:eastAsiaTheme="minorEastAsia"/>
                <w:sz w:val="21"/>
                <w:szCs w:val="21"/>
              </w:rPr>
            </w:pPr>
            <w:r>
              <w:rPr>
                <w:rFonts w:hint="eastAsia" w:eastAsiaTheme="minorEastAsia"/>
                <w:sz w:val="21"/>
                <w:szCs w:val="21"/>
              </w:rPr>
              <w:t>21</w:t>
            </w:r>
          </w:p>
        </w:tc>
        <w:tc>
          <w:tcPr>
            <w:tcW w:w="1163" w:type="dxa"/>
            <w:tcBorders>
              <w:tl2br w:val="nil"/>
              <w:tr2bl w:val="nil"/>
            </w:tcBorders>
            <w:vAlign w:val="center"/>
          </w:tcPr>
          <w:p w14:paraId="5515A8C9">
            <w:pPr>
              <w:spacing w:line="240" w:lineRule="auto"/>
              <w:jc w:val="center"/>
              <w:rPr>
                <w:rFonts w:eastAsiaTheme="minorEastAsia"/>
                <w:sz w:val="21"/>
                <w:szCs w:val="21"/>
              </w:rPr>
            </w:pPr>
            <w:r>
              <w:rPr>
                <w:rFonts w:hint="eastAsia" w:eastAsiaTheme="minorEastAsia"/>
                <w:sz w:val="21"/>
                <w:szCs w:val="21"/>
              </w:rPr>
              <w:t>2.0</w:t>
            </w:r>
          </w:p>
        </w:tc>
        <w:tc>
          <w:tcPr>
            <w:tcW w:w="962" w:type="dxa"/>
            <w:tcBorders>
              <w:tl2br w:val="nil"/>
              <w:tr2bl w:val="nil"/>
            </w:tcBorders>
            <w:vAlign w:val="center"/>
          </w:tcPr>
          <w:p w14:paraId="25C5314B">
            <w:pPr>
              <w:spacing w:line="240" w:lineRule="auto"/>
              <w:jc w:val="center"/>
              <w:rPr>
                <w:rFonts w:eastAsiaTheme="minorEastAsia"/>
                <w:sz w:val="21"/>
                <w:szCs w:val="21"/>
              </w:rPr>
            </w:pPr>
            <w:r>
              <w:rPr>
                <w:rFonts w:hint="eastAsia" w:eastAsiaTheme="minorEastAsia"/>
                <w:sz w:val="21"/>
                <w:szCs w:val="21"/>
              </w:rPr>
              <w:t>7500</w:t>
            </w:r>
          </w:p>
        </w:tc>
        <w:tc>
          <w:tcPr>
            <w:tcW w:w="875" w:type="dxa"/>
            <w:tcBorders>
              <w:tl2br w:val="nil"/>
              <w:tr2bl w:val="nil"/>
            </w:tcBorders>
            <w:vAlign w:val="center"/>
          </w:tcPr>
          <w:p w14:paraId="5C67DE87">
            <w:pPr>
              <w:spacing w:line="240" w:lineRule="auto"/>
              <w:jc w:val="center"/>
              <w:rPr>
                <w:rFonts w:eastAsiaTheme="minorEastAsia"/>
                <w:sz w:val="21"/>
                <w:szCs w:val="21"/>
              </w:rPr>
            </w:pPr>
            <w:r>
              <w:rPr>
                <w:rFonts w:eastAsiaTheme="minorEastAsia"/>
                <w:sz w:val="21"/>
                <w:szCs w:val="21"/>
              </w:rPr>
              <w:t>38</w:t>
            </w:r>
          </w:p>
        </w:tc>
        <w:tc>
          <w:tcPr>
            <w:tcW w:w="1200" w:type="dxa"/>
            <w:tcBorders>
              <w:tl2br w:val="nil"/>
              <w:tr2bl w:val="nil"/>
            </w:tcBorders>
            <w:vAlign w:val="center"/>
          </w:tcPr>
          <w:p w14:paraId="719254F4">
            <w:pPr>
              <w:spacing w:line="240" w:lineRule="auto"/>
              <w:jc w:val="center"/>
              <w:rPr>
                <w:rFonts w:eastAsiaTheme="minorEastAsia"/>
                <w:sz w:val="21"/>
                <w:szCs w:val="21"/>
              </w:rPr>
            </w:pPr>
            <w:r>
              <w:rPr>
                <w:rFonts w:hint="eastAsia" w:eastAsiaTheme="minorEastAsia"/>
                <w:sz w:val="21"/>
                <w:szCs w:val="21"/>
              </w:rPr>
              <w:t>7200</w:t>
            </w:r>
          </w:p>
        </w:tc>
        <w:tc>
          <w:tcPr>
            <w:tcW w:w="1013" w:type="dxa"/>
            <w:vMerge w:val="continue"/>
            <w:tcBorders>
              <w:tl2br w:val="nil"/>
              <w:tr2bl w:val="nil"/>
            </w:tcBorders>
            <w:vAlign w:val="center"/>
          </w:tcPr>
          <w:p w14:paraId="5946EE74">
            <w:pPr>
              <w:spacing w:line="240" w:lineRule="auto"/>
              <w:jc w:val="center"/>
              <w:rPr>
                <w:rFonts w:eastAsiaTheme="minorEastAsia"/>
                <w:sz w:val="21"/>
                <w:szCs w:val="21"/>
              </w:rPr>
            </w:pPr>
          </w:p>
        </w:tc>
        <w:tc>
          <w:tcPr>
            <w:tcW w:w="912" w:type="dxa"/>
            <w:tcBorders>
              <w:tl2br w:val="nil"/>
              <w:tr2bl w:val="nil"/>
            </w:tcBorders>
            <w:vAlign w:val="center"/>
          </w:tcPr>
          <w:p w14:paraId="3DD35FF0">
            <w:pPr>
              <w:spacing w:line="240" w:lineRule="auto"/>
              <w:jc w:val="center"/>
              <w:rPr>
                <w:rFonts w:eastAsiaTheme="minorEastAsia"/>
                <w:sz w:val="21"/>
                <w:szCs w:val="21"/>
              </w:rPr>
            </w:pPr>
            <w:r>
              <w:rPr>
                <w:rFonts w:hint="eastAsia" w:eastAsiaTheme="minorEastAsia"/>
                <w:sz w:val="21"/>
                <w:szCs w:val="21"/>
              </w:rPr>
              <w:t>1.3</w:t>
            </w:r>
          </w:p>
        </w:tc>
        <w:tc>
          <w:tcPr>
            <w:tcW w:w="763" w:type="dxa"/>
            <w:tcBorders>
              <w:tl2br w:val="nil"/>
              <w:tr2bl w:val="nil"/>
            </w:tcBorders>
            <w:vAlign w:val="center"/>
          </w:tcPr>
          <w:p w14:paraId="4CDDD1B7">
            <w:pPr>
              <w:spacing w:line="240" w:lineRule="auto"/>
              <w:jc w:val="center"/>
              <w:rPr>
                <w:rFonts w:eastAsiaTheme="minorEastAsia"/>
                <w:sz w:val="21"/>
                <w:szCs w:val="21"/>
              </w:rPr>
            </w:pPr>
            <w:r>
              <w:rPr>
                <w:rFonts w:eastAsiaTheme="minorEastAsia"/>
                <w:sz w:val="21"/>
                <w:szCs w:val="21"/>
              </w:rPr>
              <w:t>/</w:t>
            </w:r>
          </w:p>
        </w:tc>
        <w:tc>
          <w:tcPr>
            <w:tcW w:w="762" w:type="dxa"/>
            <w:tcBorders>
              <w:tl2br w:val="nil"/>
              <w:tr2bl w:val="nil"/>
            </w:tcBorders>
            <w:vAlign w:val="center"/>
          </w:tcPr>
          <w:p w14:paraId="38031BC7">
            <w:pPr>
              <w:spacing w:line="240" w:lineRule="auto"/>
              <w:jc w:val="center"/>
              <w:rPr>
                <w:rFonts w:eastAsiaTheme="minorEastAsia"/>
                <w:sz w:val="21"/>
                <w:szCs w:val="21"/>
              </w:rPr>
            </w:pPr>
            <w:r>
              <w:rPr>
                <w:rFonts w:eastAsiaTheme="minorEastAsia"/>
                <w:sz w:val="21"/>
                <w:szCs w:val="21"/>
              </w:rPr>
              <w:t>/</w:t>
            </w:r>
          </w:p>
        </w:tc>
        <w:tc>
          <w:tcPr>
            <w:tcW w:w="792" w:type="dxa"/>
            <w:tcBorders>
              <w:tl2br w:val="nil"/>
              <w:tr2bl w:val="nil"/>
            </w:tcBorders>
            <w:vAlign w:val="center"/>
          </w:tcPr>
          <w:p w14:paraId="344E57A1">
            <w:pPr>
              <w:spacing w:line="240" w:lineRule="auto"/>
              <w:jc w:val="center"/>
              <w:rPr>
                <w:rFonts w:eastAsiaTheme="minorEastAsia"/>
                <w:sz w:val="21"/>
                <w:szCs w:val="21"/>
              </w:rPr>
            </w:pPr>
            <w:r>
              <w:rPr>
                <w:rFonts w:eastAsiaTheme="minorEastAsia"/>
                <w:sz w:val="21"/>
                <w:szCs w:val="21"/>
              </w:rPr>
              <w:t>/</w:t>
            </w:r>
          </w:p>
        </w:tc>
      </w:tr>
      <w:tr w14:paraId="577A13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9" w:hRule="atLeast"/>
          <w:jc w:val="center"/>
        </w:trPr>
        <w:tc>
          <w:tcPr>
            <w:tcW w:w="892" w:type="dxa"/>
            <w:tcBorders>
              <w:tl2br w:val="nil"/>
              <w:tr2bl w:val="nil"/>
            </w:tcBorders>
            <w:vAlign w:val="center"/>
          </w:tcPr>
          <w:p w14:paraId="223889ED">
            <w:pPr>
              <w:spacing w:line="240" w:lineRule="auto"/>
              <w:jc w:val="center"/>
              <w:rPr>
                <w:rFonts w:eastAsiaTheme="minorEastAsia"/>
                <w:sz w:val="21"/>
                <w:szCs w:val="21"/>
              </w:rPr>
            </w:pPr>
            <w:r>
              <w:rPr>
                <w:rFonts w:hint="eastAsia" w:eastAsiaTheme="minorEastAsia"/>
                <w:sz w:val="21"/>
                <w:szCs w:val="21"/>
              </w:rPr>
              <w:t>无组织</w:t>
            </w:r>
          </w:p>
        </w:tc>
        <w:tc>
          <w:tcPr>
            <w:tcW w:w="1527" w:type="dxa"/>
            <w:tcBorders>
              <w:tl2br w:val="nil"/>
              <w:tr2bl w:val="nil"/>
            </w:tcBorders>
            <w:vAlign w:val="center"/>
          </w:tcPr>
          <w:p w14:paraId="1A692069">
            <w:pPr>
              <w:spacing w:line="240" w:lineRule="auto"/>
              <w:jc w:val="center"/>
              <w:rPr>
                <w:rFonts w:eastAsiaTheme="minorEastAsia"/>
                <w:sz w:val="21"/>
                <w:szCs w:val="21"/>
              </w:rPr>
            </w:pPr>
            <w:r>
              <w:rPr>
                <w:rFonts w:eastAsiaTheme="minorEastAsia"/>
                <w:sz w:val="21"/>
                <w:szCs w:val="21"/>
              </w:rPr>
              <w:t>有机废气</w:t>
            </w:r>
          </w:p>
        </w:tc>
        <w:tc>
          <w:tcPr>
            <w:tcW w:w="975" w:type="dxa"/>
            <w:tcBorders>
              <w:tl2br w:val="nil"/>
              <w:tr2bl w:val="nil"/>
            </w:tcBorders>
            <w:vAlign w:val="center"/>
          </w:tcPr>
          <w:p w14:paraId="1958C057">
            <w:pPr>
              <w:spacing w:line="240" w:lineRule="auto"/>
              <w:jc w:val="center"/>
              <w:rPr>
                <w:rFonts w:eastAsiaTheme="minorEastAsia"/>
                <w:sz w:val="21"/>
                <w:szCs w:val="21"/>
              </w:rPr>
            </w:pPr>
            <w:r>
              <w:rPr>
                <w:rFonts w:hint="eastAsia" w:eastAsiaTheme="minorEastAsia"/>
                <w:sz w:val="21"/>
                <w:szCs w:val="21"/>
              </w:rPr>
              <w:t>/</w:t>
            </w:r>
          </w:p>
        </w:tc>
        <w:tc>
          <w:tcPr>
            <w:tcW w:w="1037" w:type="dxa"/>
            <w:tcBorders>
              <w:tl2br w:val="nil"/>
              <w:tr2bl w:val="nil"/>
            </w:tcBorders>
            <w:vAlign w:val="center"/>
          </w:tcPr>
          <w:p w14:paraId="32FD490D">
            <w:pPr>
              <w:spacing w:line="240" w:lineRule="auto"/>
              <w:jc w:val="center"/>
              <w:rPr>
                <w:rFonts w:eastAsiaTheme="minorEastAsia"/>
                <w:sz w:val="21"/>
                <w:szCs w:val="21"/>
              </w:rPr>
            </w:pPr>
            <w:r>
              <w:rPr>
                <w:rFonts w:hint="eastAsia" w:eastAsiaTheme="minorEastAsia"/>
                <w:sz w:val="21"/>
                <w:szCs w:val="21"/>
              </w:rPr>
              <w:t>/</w:t>
            </w:r>
          </w:p>
        </w:tc>
        <w:tc>
          <w:tcPr>
            <w:tcW w:w="1163" w:type="dxa"/>
            <w:tcBorders>
              <w:tl2br w:val="nil"/>
              <w:tr2bl w:val="nil"/>
            </w:tcBorders>
            <w:vAlign w:val="center"/>
          </w:tcPr>
          <w:p w14:paraId="1470F526">
            <w:pPr>
              <w:spacing w:line="240" w:lineRule="auto"/>
              <w:jc w:val="center"/>
              <w:rPr>
                <w:rFonts w:eastAsiaTheme="minorEastAsia"/>
                <w:sz w:val="21"/>
                <w:szCs w:val="21"/>
              </w:rPr>
            </w:pPr>
            <w:r>
              <w:rPr>
                <w:rFonts w:hint="eastAsia" w:eastAsiaTheme="minorEastAsia"/>
                <w:sz w:val="21"/>
                <w:szCs w:val="21"/>
              </w:rPr>
              <w:t>/</w:t>
            </w:r>
          </w:p>
        </w:tc>
        <w:tc>
          <w:tcPr>
            <w:tcW w:w="962" w:type="dxa"/>
            <w:tcBorders>
              <w:tl2br w:val="nil"/>
              <w:tr2bl w:val="nil"/>
            </w:tcBorders>
            <w:vAlign w:val="center"/>
          </w:tcPr>
          <w:p w14:paraId="71C24CA5">
            <w:pPr>
              <w:spacing w:line="240" w:lineRule="auto"/>
              <w:jc w:val="center"/>
              <w:rPr>
                <w:rFonts w:eastAsiaTheme="minorEastAsia"/>
                <w:sz w:val="21"/>
                <w:szCs w:val="21"/>
              </w:rPr>
            </w:pPr>
            <w:r>
              <w:rPr>
                <w:rFonts w:hint="eastAsia" w:eastAsiaTheme="minorEastAsia"/>
                <w:sz w:val="21"/>
                <w:szCs w:val="21"/>
              </w:rPr>
              <w:t>/</w:t>
            </w:r>
          </w:p>
        </w:tc>
        <w:tc>
          <w:tcPr>
            <w:tcW w:w="875" w:type="dxa"/>
            <w:tcBorders>
              <w:tl2br w:val="nil"/>
              <w:tr2bl w:val="nil"/>
            </w:tcBorders>
            <w:vAlign w:val="center"/>
          </w:tcPr>
          <w:p w14:paraId="35B15271">
            <w:pPr>
              <w:spacing w:line="240" w:lineRule="auto"/>
              <w:jc w:val="center"/>
              <w:rPr>
                <w:rFonts w:eastAsiaTheme="minorEastAsia"/>
                <w:sz w:val="21"/>
                <w:szCs w:val="21"/>
              </w:rPr>
            </w:pPr>
            <w:r>
              <w:rPr>
                <w:rFonts w:hint="eastAsia" w:eastAsiaTheme="minorEastAsia"/>
                <w:sz w:val="21"/>
                <w:szCs w:val="21"/>
              </w:rPr>
              <w:t>/</w:t>
            </w:r>
          </w:p>
        </w:tc>
        <w:tc>
          <w:tcPr>
            <w:tcW w:w="1200" w:type="dxa"/>
            <w:tcBorders>
              <w:tl2br w:val="nil"/>
              <w:tr2bl w:val="nil"/>
            </w:tcBorders>
            <w:vAlign w:val="center"/>
          </w:tcPr>
          <w:p w14:paraId="11D9F144">
            <w:pPr>
              <w:spacing w:line="240" w:lineRule="auto"/>
              <w:jc w:val="center"/>
              <w:rPr>
                <w:rFonts w:eastAsiaTheme="minorEastAsia"/>
                <w:sz w:val="21"/>
                <w:szCs w:val="21"/>
              </w:rPr>
            </w:pPr>
            <w:r>
              <w:rPr>
                <w:rFonts w:hint="eastAsia" w:eastAsiaTheme="minorEastAsia"/>
                <w:sz w:val="21"/>
                <w:szCs w:val="21"/>
              </w:rPr>
              <w:t>7200</w:t>
            </w:r>
          </w:p>
        </w:tc>
        <w:tc>
          <w:tcPr>
            <w:tcW w:w="1013" w:type="dxa"/>
            <w:vMerge w:val="continue"/>
            <w:tcBorders>
              <w:tl2br w:val="nil"/>
              <w:tr2bl w:val="nil"/>
            </w:tcBorders>
            <w:vAlign w:val="center"/>
          </w:tcPr>
          <w:p w14:paraId="4CEF1F5C">
            <w:pPr>
              <w:spacing w:line="240" w:lineRule="auto"/>
              <w:jc w:val="center"/>
              <w:rPr>
                <w:rFonts w:eastAsiaTheme="minorEastAsia"/>
                <w:sz w:val="21"/>
                <w:szCs w:val="21"/>
              </w:rPr>
            </w:pPr>
          </w:p>
        </w:tc>
        <w:tc>
          <w:tcPr>
            <w:tcW w:w="912" w:type="dxa"/>
            <w:tcBorders>
              <w:tl2br w:val="nil"/>
              <w:tr2bl w:val="nil"/>
            </w:tcBorders>
            <w:vAlign w:val="center"/>
          </w:tcPr>
          <w:p w14:paraId="7D17C7EA">
            <w:pPr>
              <w:spacing w:line="240" w:lineRule="auto"/>
              <w:jc w:val="center"/>
              <w:rPr>
                <w:rFonts w:eastAsiaTheme="minorEastAsia"/>
                <w:sz w:val="21"/>
                <w:szCs w:val="21"/>
              </w:rPr>
            </w:pPr>
            <w:r>
              <w:rPr>
                <w:rFonts w:hint="eastAsia" w:eastAsiaTheme="minorEastAsia"/>
                <w:sz w:val="21"/>
                <w:szCs w:val="21"/>
              </w:rPr>
              <w:t>0.008</w:t>
            </w:r>
          </w:p>
        </w:tc>
        <w:tc>
          <w:tcPr>
            <w:tcW w:w="763" w:type="dxa"/>
            <w:tcBorders>
              <w:tl2br w:val="nil"/>
              <w:tr2bl w:val="nil"/>
            </w:tcBorders>
            <w:vAlign w:val="center"/>
          </w:tcPr>
          <w:p w14:paraId="0A8280C3">
            <w:pPr>
              <w:spacing w:line="240" w:lineRule="auto"/>
              <w:jc w:val="center"/>
              <w:rPr>
                <w:rFonts w:eastAsiaTheme="minorEastAsia"/>
                <w:sz w:val="21"/>
                <w:szCs w:val="21"/>
              </w:rPr>
            </w:pPr>
            <w:r>
              <w:rPr>
                <w:rFonts w:eastAsiaTheme="minorEastAsia"/>
                <w:sz w:val="21"/>
                <w:szCs w:val="21"/>
              </w:rPr>
              <w:t>/</w:t>
            </w:r>
          </w:p>
        </w:tc>
        <w:tc>
          <w:tcPr>
            <w:tcW w:w="762" w:type="dxa"/>
            <w:tcBorders>
              <w:tl2br w:val="nil"/>
              <w:tr2bl w:val="nil"/>
            </w:tcBorders>
            <w:vAlign w:val="center"/>
          </w:tcPr>
          <w:p w14:paraId="3AB638EA">
            <w:pPr>
              <w:spacing w:line="240" w:lineRule="auto"/>
              <w:jc w:val="center"/>
              <w:rPr>
                <w:rFonts w:eastAsiaTheme="minorEastAsia"/>
                <w:sz w:val="21"/>
                <w:szCs w:val="21"/>
              </w:rPr>
            </w:pPr>
            <w:r>
              <w:rPr>
                <w:rFonts w:eastAsiaTheme="minorEastAsia"/>
                <w:sz w:val="21"/>
                <w:szCs w:val="21"/>
              </w:rPr>
              <w:t>/</w:t>
            </w:r>
          </w:p>
        </w:tc>
        <w:tc>
          <w:tcPr>
            <w:tcW w:w="792" w:type="dxa"/>
            <w:tcBorders>
              <w:tl2br w:val="nil"/>
              <w:tr2bl w:val="nil"/>
            </w:tcBorders>
            <w:vAlign w:val="center"/>
          </w:tcPr>
          <w:p w14:paraId="19AFC91D">
            <w:pPr>
              <w:spacing w:line="240" w:lineRule="auto"/>
              <w:jc w:val="center"/>
              <w:rPr>
                <w:rFonts w:eastAsiaTheme="minorEastAsia"/>
                <w:sz w:val="21"/>
                <w:szCs w:val="21"/>
              </w:rPr>
            </w:pPr>
            <w:r>
              <w:rPr>
                <w:rFonts w:eastAsiaTheme="minorEastAsia"/>
                <w:sz w:val="21"/>
                <w:szCs w:val="21"/>
              </w:rPr>
              <w:t>/</w:t>
            </w:r>
          </w:p>
        </w:tc>
      </w:tr>
    </w:tbl>
    <w:p w14:paraId="5DE1DEE3">
      <w:pPr>
        <w:ind w:firstLine="480"/>
      </w:pPr>
    </w:p>
    <w:p w14:paraId="5CB056C8">
      <w:pPr>
        <w:ind w:firstLine="480"/>
      </w:pPr>
    </w:p>
    <w:p w14:paraId="2EDA7802">
      <w:pPr>
        <w:ind w:firstLine="480"/>
        <w:rPr>
          <w:b/>
        </w:rPr>
      </w:pPr>
      <w:r>
        <w:rPr>
          <w:rFonts w:hint="eastAsia"/>
          <w:b/>
        </w:rPr>
        <w:t>2.本项目新增污染源</w:t>
      </w:r>
    </w:p>
    <w:p w14:paraId="45816385">
      <w:pPr>
        <w:ind w:firstLine="480"/>
      </w:pPr>
      <w:r>
        <w:rPr>
          <w:rFonts w:hint="eastAsia"/>
        </w:rPr>
        <w:t>因此</w:t>
      </w:r>
      <w:r>
        <w:t>本次预测为</w:t>
      </w:r>
      <w:r>
        <w:rPr>
          <w:rFonts w:hint="eastAsia"/>
        </w:rPr>
        <w:t>变更</w:t>
      </w:r>
      <w:r>
        <w:t>后整厂排放量，主要为DA001、DA002，以及各车间无组织废气。相关参数如下表所示：</w:t>
      </w:r>
    </w:p>
    <w:p w14:paraId="70BC4BB7">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表6.2-10 </w:t>
      </w:r>
      <w:r>
        <w:rPr>
          <w:rFonts w:hint="eastAsia"/>
        </w:rPr>
        <w:t>正常排放下点源参数表</w:t>
      </w:r>
    </w:p>
    <w:tbl>
      <w:tblPr>
        <w:tblStyle w:val="6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3"/>
        <w:gridCol w:w="1527"/>
        <w:gridCol w:w="600"/>
        <w:gridCol w:w="700"/>
        <w:gridCol w:w="975"/>
        <w:gridCol w:w="1037"/>
        <w:gridCol w:w="1163"/>
        <w:gridCol w:w="962"/>
        <w:gridCol w:w="875"/>
        <w:gridCol w:w="1200"/>
        <w:gridCol w:w="1013"/>
        <w:gridCol w:w="912"/>
        <w:gridCol w:w="763"/>
        <w:gridCol w:w="762"/>
        <w:gridCol w:w="792"/>
      </w:tblGrid>
      <w:tr w14:paraId="496FCF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3" w:type="dxa"/>
            <w:vMerge w:val="restart"/>
            <w:tcBorders>
              <w:tl2br w:val="nil"/>
              <w:tr2bl w:val="nil"/>
            </w:tcBorders>
            <w:vAlign w:val="center"/>
          </w:tcPr>
          <w:p w14:paraId="4039E0E4">
            <w:pPr>
              <w:spacing w:line="240" w:lineRule="auto"/>
              <w:jc w:val="center"/>
              <w:rPr>
                <w:rFonts w:eastAsiaTheme="minorEastAsia"/>
                <w:sz w:val="21"/>
                <w:szCs w:val="21"/>
              </w:rPr>
            </w:pPr>
            <w:r>
              <w:rPr>
                <w:rFonts w:eastAsiaTheme="minorEastAsia"/>
                <w:sz w:val="21"/>
                <w:szCs w:val="21"/>
              </w:rPr>
              <w:t>编号</w:t>
            </w:r>
          </w:p>
        </w:tc>
        <w:tc>
          <w:tcPr>
            <w:tcW w:w="1527" w:type="dxa"/>
            <w:vMerge w:val="restart"/>
            <w:tcBorders>
              <w:tl2br w:val="nil"/>
              <w:tr2bl w:val="nil"/>
            </w:tcBorders>
            <w:vAlign w:val="center"/>
          </w:tcPr>
          <w:p w14:paraId="543B9E7C">
            <w:pPr>
              <w:spacing w:line="240" w:lineRule="auto"/>
              <w:jc w:val="center"/>
              <w:rPr>
                <w:rFonts w:eastAsiaTheme="minorEastAsia"/>
                <w:sz w:val="21"/>
                <w:szCs w:val="21"/>
              </w:rPr>
            </w:pPr>
            <w:r>
              <w:rPr>
                <w:rFonts w:eastAsiaTheme="minorEastAsia"/>
                <w:sz w:val="21"/>
                <w:szCs w:val="21"/>
              </w:rPr>
              <w:t>名称</w:t>
            </w:r>
          </w:p>
        </w:tc>
        <w:tc>
          <w:tcPr>
            <w:tcW w:w="1300" w:type="dxa"/>
            <w:gridSpan w:val="2"/>
            <w:tcBorders>
              <w:tl2br w:val="nil"/>
              <w:tr2bl w:val="nil"/>
            </w:tcBorders>
            <w:vAlign w:val="center"/>
          </w:tcPr>
          <w:p w14:paraId="2D25F0E9">
            <w:pPr>
              <w:spacing w:line="240" w:lineRule="auto"/>
              <w:jc w:val="center"/>
              <w:rPr>
                <w:rFonts w:eastAsiaTheme="minorEastAsia"/>
                <w:sz w:val="21"/>
                <w:szCs w:val="21"/>
              </w:rPr>
            </w:pPr>
            <w:r>
              <w:rPr>
                <w:rFonts w:eastAsiaTheme="minorEastAsia"/>
                <w:sz w:val="21"/>
                <w:szCs w:val="21"/>
              </w:rPr>
              <w:t>排气筒底部中心坐标m</w:t>
            </w:r>
          </w:p>
        </w:tc>
        <w:tc>
          <w:tcPr>
            <w:tcW w:w="975" w:type="dxa"/>
            <w:vMerge w:val="restart"/>
            <w:tcBorders>
              <w:tl2br w:val="nil"/>
              <w:tr2bl w:val="nil"/>
            </w:tcBorders>
            <w:vAlign w:val="center"/>
          </w:tcPr>
          <w:p w14:paraId="14218B90">
            <w:pPr>
              <w:spacing w:line="240" w:lineRule="auto"/>
              <w:jc w:val="center"/>
              <w:rPr>
                <w:rFonts w:eastAsiaTheme="minorEastAsia"/>
                <w:sz w:val="21"/>
                <w:szCs w:val="21"/>
              </w:rPr>
            </w:pPr>
            <w:r>
              <w:rPr>
                <w:rFonts w:eastAsiaTheme="minorEastAsia"/>
                <w:sz w:val="21"/>
                <w:szCs w:val="21"/>
              </w:rPr>
              <w:t>排气筒底部海拔m</w:t>
            </w:r>
          </w:p>
        </w:tc>
        <w:tc>
          <w:tcPr>
            <w:tcW w:w="1037" w:type="dxa"/>
            <w:vMerge w:val="restart"/>
            <w:tcBorders>
              <w:tl2br w:val="nil"/>
              <w:tr2bl w:val="nil"/>
            </w:tcBorders>
            <w:vAlign w:val="center"/>
          </w:tcPr>
          <w:p w14:paraId="281701BF">
            <w:pPr>
              <w:spacing w:line="240" w:lineRule="auto"/>
              <w:jc w:val="center"/>
              <w:rPr>
                <w:rFonts w:eastAsiaTheme="minorEastAsia"/>
                <w:sz w:val="21"/>
                <w:szCs w:val="21"/>
              </w:rPr>
            </w:pPr>
            <w:r>
              <w:rPr>
                <w:rFonts w:eastAsiaTheme="minorEastAsia"/>
                <w:sz w:val="21"/>
                <w:szCs w:val="21"/>
              </w:rPr>
              <w:t>排气筒高度m</w:t>
            </w:r>
          </w:p>
        </w:tc>
        <w:tc>
          <w:tcPr>
            <w:tcW w:w="1163" w:type="dxa"/>
            <w:vMerge w:val="restart"/>
            <w:tcBorders>
              <w:tl2br w:val="nil"/>
              <w:tr2bl w:val="nil"/>
            </w:tcBorders>
            <w:vAlign w:val="center"/>
          </w:tcPr>
          <w:p w14:paraId="4CD8B8EA">
            <w:pPr>
              <w:spacing w:line="240" w:lineRule="auto"/>
              <w:jc w:val="center"/>
              <w:rPr>
                <w:rFonts w:eastAsiaTheme="minorEastAsia"/>
                <w:sz w:val="21"/>
                <w:szCs w:val="21"/>
              </w:rPr>
            </w:pPr>
            <w:r>
              <w:rPr>
                <w:rFonts w:eastAsiaTheme="minorEastAsia"/>
                <w:sz w:val="21"/>
                <w:szCs w:val="21"/>
              </w:rPr>
              <w:t>排气筒出口内径m</w:t>
            </w:r>
          </w:p>
        </w:tc>
        <w:tc>
          <w:tcPr>
            <w:tcW w:w="962" w:type="dxa"/>
            <w:vMerge w:val="restart"/>
            <w:tcBorders>
              <w:tl2br w:val="nil"/>
              <w:tr2bl w:val="nil"/>
            </w:tcBorders>
            <w:vAlign w:val="center"/>
          </w:tcPr>
          <w:p w14:paraId="7C42296A">
            <w:pPr>
              <w:spacing w:line="240" w:lineRule="auto"/>
              <w:jc w:val="center"/>
              <w:rPr>
                <w:rFonts w:eastAsiaTheme="minorEastAsia"/>
                <w:sz w:val="21"/>
                <w:szCs w:val="21"/>
              </w:rPr>
            </w:pPr>
            <w:r>
              <w:rPr>
                <w:rFonts w:eastAsiaTheme="minorEastAsia"/>
                <w:sz w:val="21"/>
                <w:szCs w:val="21"/>
              </w:rPr>
              <w:t>排气量m</w:t>
            </w:r>
            <w:r>
              <w:rPr>
                <w:rFonts w:eastAsiaTheme="minorEastAsia"/>
                <w:sz w:val="21"/>
                <w:szCs w:val="21"/>
                <w:vertAlign w:val="superscript"/>
              </w:rPr>
              <w:t>3</w:t>
            </w:r>
            <w:r>
              <w:rPr>
                <w:rFonts w:eastAsiaTheme="minorEastAsia"/>
                <w:sz w:val="21"/>
                <w:szCs w:val="21"/>
              </w:rPr>
              <w:t>/h</w:t>
            </w:r>
          </w:p>
        </w:tc>
        <w:tc>
          <w:tcPr>
            <w:tcW w:w="875" w:type="dxa"/>
            <w:vMerge w:val="restart"/>
            <w:tcBorders>
              <w:tl2br w:val="nil"/>
              <w:tr2bl w:val="nil"/>
            </w:tcBorders>
            <w:vAlign w:val="center"/>
          </w:tcPr>
          <w:p w14:paraId="06F2383C">
            <w:pPr>
              <w:spacing w:line="240" w:lineRule="auto"/>
              <w:jc w:val="center"/>
              <w:rPr>
                <w:rFonts w:eastAsiaTheme="minorEastAsia"/>
                <w:sz w:val="21"/>
                <w:szCs w:val="21"/>
              </w:rPr>
            </w:pPr>
            <w:r>
              <w:rPr>
                <w:rFonts w:eastAsiaTheme="minorEastAsia"/>
                <w:sz w:val="21"/>
                <w:szCs w:val="21"/>
              </w:rPr>
              <w:t>烟气</w:t>
            </w:r>
          </w:p>
          <w:p w14:paraId="0B5CE526">
            <w:pPr>
              <w:spacing w:line="240" w:lineRule="auto"/>
              <w:jc w:val="center"/>
              <w:rPr>
                <w:rFonts w:eastAsiaTheme="minorEastAsia"/>
                <w:sz w:val="21"/>
                <w:szCs w:val="21"/>
              </w:rPr>
            </w:pPr>
            <w:r>
              <w:rPr>
                <w:rFonts w:eastAsiaTheme="minorEastAsia"/>
                <w:sz w:val="21"/>
                <w:szCs w:val="21"/>
              </w:rPr>
              <w:t>温度℃</w:t>
            </w:r>
          </w:p>
        </w:tc>
        <w:tc>
          <w:tcPr>
            <w:tcW w:w="1200" w:type="dxa"/>
            <w:vMerge w:val="restart"/>
            <w:tcBorders>
              <w:tl2br w:val="nil"/>
              <w:tr2bl w:val="nil"/>
            </w:tcBorders>
            <w:vAlign w:val="center"/>
          </w:tcPr>
          <w:p w14:paraId="1DDF02B3">
            <w:pPr>
              <w:spacing w:line="240" w:lineRule="auto"/>
              <w:jc w:val="center"/>
              <w:rPr>
                <w:rFonts w:eastAsiaTheme="minorEastAsia"/>
                <w:sz w:val="21"/>
                <w:szCs w:val="21"/>
              </w:rPr>
            </w:pPr>
            <w:r>
              <w:rPr>
                <w:rFonts w:eastAsiaTheme="minorEastAsia"/>
                <w:sz w:val="21"/>
                <w:szCs w:val="21"/>
              </w:rPr>
              <w:t>年排放小时数/h</w:t>
            </w:r>
          </w:p>
        </w:tc>
        <w:tc>
          <w:tcPr>
            <w:tcW w:w="1013" w:type="dxa"/>
            <w:vMerge w:val="restart"/>
            <w:tcBorders>
              <w:tl2br w:val="nil"/>
              <w:tr2bl w:val="nil"/>
            </w:tcBorders>
            <w:vAlign w:val="center"/>
          </w:tcPr>
          <w:p w14:paraId="6B8E1F9E">
            <w:pPr>
              <w:spacing w:line="240" w:lineRule="auto"/>
              <w:jc w:val="center"/>
              <w:rPr>
                <w:rFonts w:eastAsiaTheme="minorEastAsia"/>
                <w:sz w:val="21"/>
                <w:szCs w:val="21"/>
              </w:rPr>
            </w:pPr>
            <w:r>
              <w:rPr>
                <w:rFonts w:eastAsiaTheme="minorEastAsia"/>
                <w:sz w:val="21"/>
                <w:szCs w:val="21"/>
              </w:rPr>
              <w:t>排放</w:t>
            </w:r>
          </w:p>
          <w:p w14:paraId="5F11BFF3">
            <w:pPr>
              <w:spacing w:line="240" w:lineRule="auto"/>
              <w:jc w:val="center"/>
              <w:rPr>
                <w:rFonts w:eastAsiaTheme="minorEastAsia"/>
                <w:sz w:val="21"/>
                <w:szCs w:val="21"/>
              </w:rPr>
            </w:pPr>
            <w:r>
              <w:rPr>
                <w:rFonts w:eastAsiaTheme="minorEastAsia"/>
                <w:sz w:val="21"/>
                <w:szCs w:val="21"/>
              </w:rPr>
              <w:t>工况</w:t>
            </w:r>
          </w:p>
        </w:tc>
        <w:tc>
          <w:tcPr>
            <w:tcW w:w="3229" w:type="dxa"/>
            <w:gridSpan w:val="4"/>
            <w:tcBorders>
              <w:tl2br w:val="nil"/>
              <w:tr2bl w:val="nil"/>
            </w:tcBorders>
            <w:vAlign w:val="center"/>
          </w:tcPr>
          <w:p w14:paraId="2F478CB7">
            <w:pPr>
              <w:spacing w:line="240" w:lineRule="auto"/>
              <w:jc w:val="center"/>
              <w:rPr>
                <w:rFonts w:eastAsiaTheme="minorEastAsia"/>
                <w:sz w:val="21"/>
                <w:szCs w:val="21"/>
              </w:rPr>
            </w:pPr>
            <w:r>
              <w:rPr>
                <w:rFonts w:eastAsiaTheme="minorEastAsia"/>
                <w:sz w:val="21"/>
                <w:szCs w:val="21"/>
              </w:rPr>
              <w:t>污染物排放速率</w:t>
            </w:r>
          </w:p>
          <w:p w14:paraId="79B12091">
            <w:pPr>
              <w:spacing w:line="240" w:lineRule="auto"/>
              <w:jc w:val="center"/>
              <w:rPr>
                <w:rFonts w:eastAsiaTheme="minorEastAsia"/>
                <w:sz w:val="21"/>
                <w:szCs w:val="21"/>
              </w:rPr>
            </w:pPr>
            <w:r>
              <w:rPr>
                <w:rFonts w:eastAsiaTheme="minorEastAsia"/>
                <w:sz w:val="21"/>
                <w:szCs w:val="21"/>
              </w:rPr>
              <w:t>kg/h</w:t>
            </w:r>
          </w:p>
        </w:tc>
      </w:tr>
      <w:tr w14:paraId="5FD26C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3" w:type="dxa"/>
            <w:vMerge w:val="continue"/>
            <w:tcBorders>
              <w:tl2br w:val="nil"/>
              <w:tr2bl w:val="nil"/>
            </w:tcBorders>
            <w:vAlign w:val="center"/>
          </w:tcPr>
          <w:p w14:paraId="2EF18605">
            <w:pPr>
              <w:spacing w:line="240" w:lineRule="auto"/>
              <w:jc w:val="center"/>
              <w:rPr>
                <w:rFonts w:eastAsiaTheme="minorEastAsia"/>
                <w:sz w:val="21"/>
                <w:szCs w:val="21"/>
              </w:rPr>
            </w:pPr>
          </w:p>
        </w:tc>
        <w:tc>
          <w:tcPr>
            <w:tcW w:w="1527" w:type="dxa"/>
            <w:vMerge w:val="continue"/>
            <w:tcBorders>
              <w:tl2br w:val="nil"/>
              <w:tr2bl w:val="nil"/>
            </w:tcBorders>
            <w:vAlign w:val="center"/>
          </w:tcPr>
          <w:p w14:paraId="09B0A994">
            <w:pPr>
              <w:spacing w:line="240" w:lineRule="auto"/>
              <w:jc w:val="center"/>
              <w:rPr>
                <w:rFonts w:eastAsiaTheme="minorEastAsia"/>
                <w:sz w:val="21"/>
                <w:szCs w:val="21"/>
              </w:rPr>
            </w:pPr>
          </w:p>
        </w:tc>
        <w:tc>
          <w:tcPr>
            <w:tcW w:w="600" w:type="dxa"/>
            <w:tcBorders>
              <w:tl2br w:val="nil"/>
              <w:tr2bl w:val="nil"/>
            </w:tcBorders>
            <w:vAlign w:val="center"/>
          </w:tcPr>
          <w:p w14:paraId="4660AB03">
            <w:pPr>
              <w:spacing w:line="240" w:lineRule="auto"/>
              <w:jc w:val="center"/>
              <w:rPr>
                <w:rFonts w:eastAsiaTheme="minorEastAsia"/>
                <w:sz w:val="21"/>
                <w:szCs w:val="21"/>
              </w:rPr>
            </w:pPr>
            <w:r>
              <w:rPr>
                <w:rFonts w:eastAsiaTheme="minorEastAsia"/>
                <w:sz w:val="21"/>
                <w:szCs w:val="21"/>
              </w:rPr>
              <w:t>X</w:t>
            </w:r>
          </w:p>
        </w:tc>
        <w:tc>
          <w:tcPr>
            <w:tcW w:w="700" w:type="dxa"/>
            <w:tcBorders>
              <w:tl2br w:val="nil"/>
              <w:tr2bl w:val="nil"/>
            </w:tcBorders>
            <w:vAlign w:val="center"/>
          </w:tcPr>
          <w:p w14:paraId="15F2587B">
            <w:pPr>
              <w:spacing w:line="240" w:lineRule="auto"/>
              <w:jc w:val="center"/>
              <w:rPr>
                <w:rFonts w:eastAsiaTheme="minorEastAsia"/>
                <w:sz w:val="21"/>
                <w:szCs w:val="21"/>
              </w:rPr>
            </w:pPr>
            <w:r>
              <w:rPr>
                <w:rFonts w:eastAsiaTheme="minorEastAsia"/>
                <w:sz w:val="21"/>
                <w:szCs w:val="21"/>
              </w:rPr>
              <w:t>Y</w:t>
            </w:r>
          </w:p>
        </w:tc>
        <w:tc>
          <w:tcPr>
            <w:tcW w:w="975" w:type="dxa"/>
            <w:vMerge w:val="continue"/>
            <w:tcBorders>
              <w:tl2br w:val="nil"/>
              <w:tr2bl w:val="nil"/>
            </w:tcBorders>
            <w:vAlign w:val="center"/>
          </w:tcPr>
          <w:p w14:paraId="32D5D0CF">
            <w:pPr>
              <w:spacing w:line="240" w:lineRule="auto"/>
              <w:jc w:val="center"/>
              <w:rPr>
                <w:rFonts w:eastAsiaTheme="minorEastAsia"/>
                <w:sz w:val="21"/>
                <w:szCs w:val="21"/>
              </w:rPr>
            </w:pPr>
          </w:p>
        </w:tc>
        <w:tc>
          <w:tcPr>
            <w:tcW w:w="1037" w:type="dxa"/>
            <w:vMerge w:val="continue"/>
            <w:tcBorders>
              <w:tl2br w:val="nil"/>
              <w:tr2bl w:val="nil"/>
            </w:tcBorders>
            <w:vAlign w:val="center"/>
          </w:tcPr>
          <w:p w14:paraId="70396E6D">
            <w:pPr>
              <w:spacing w:line="240" w:lineRule="auto"/>
              <w:jc w:val="center"/>
              <w:rPr>
                <w:rFonts w:eastAsiaTheme="minorEastAsia"/>
                <w:sz w:val="21"/>
                <w:szCs w:val="21"/>
              </w:rPr>
            </w:pPr>
          </w:p>
        </w:tc>
        <w:tc>
          <w:tcPr>
            <w:tcW w:w="1163" w:type="dxa"/>
            <w:vMerge w:val="continue"/>
            <w:tcBorders>
              <w:tl2br w:val="nil"/>
              <w:tr2bl w:val="nil"/>
            </w:tcBorders>
            <w:vAlign w:val="center"/>
          </w:tcPr>
          <w:p w14:paraId="31DEBBC0">
            <w:pPr>
              <w:spacing w:line="240" w:lineRule="auto"/>
              <w:jc w:val="center"/>
              <w:rPr>
                <w:rFonts w:eastAsiaTheme="minorEastAsia"/>
                <w:sz w:val="21"/>
                <w:szCs w:val="21"/>
              </w:rPr>
            </w:pPr>
          </w:p>
        </w:tc>
        <w:tc>
          <w:tcPr>
            <w:tcW w:w="962" w:type="dxa"/>
            <w:vMerge w:val="continue"/>
            <w:tcBorders>
              <w:tl2br w:val="nil"/>
              <w:tr2bl w:val="nil"/>
            </w:tcBorders>
            <w:vAlign w:val="center"/>
          </w:tcPr>
          <w:p w14:paraId="11309519">
            <w:pPr>
              <w:spacing w:line="240" w:lineRule="auto"/>
              <w:jc w:val="center"/>
              <w:rPr>
                <w:rFonts w:eastAsiaTheme="minorEastAsia"/>
                <w:sz w:val="21"/>
                <w:szCs w:val="21"/>
              </w:rPr>
            </w:pPr>
          </w:p>
        </w:tc>
        <w:tc>
          <w:tcPr>
            <w:tcW w:w="875" w:type="dxa"/>
            <w:vMerge w:val="continue"/>
            <w:tcBorders>
              <w:tl2br w:val="nil"/>
              <w:tr2bl w:val="nil"/>
            </w:tcBorders>
            <w:vAlign w:val="center"/>
          </w:tcPr>
          <w:p w14:paraId="6F3DFA43">
            <w:pPr>
              <w:spacing w:line="240" w:lineRule="auto"/>
              <w:jc w:val="center"/>
              <w:rPr>
                <w:rFonts w:eastAsiaTheme="minorEastAsia"/>
                <w:sz w:val="21"/>
                <w:szCs w:val="21"/>
              </w:rPr>
            </w:pPr>
          </w:p>
        </w:tc>
        <w:tc>
          <w:tcPr>
            <w:tcW w:w="1200" w:type="dxa"/>
            <w:vMerge w:val="continue"/>
            <w:tcBorders>
              <w:tl2br w:val="nil"/>
              <w:tr2bl w:val="nil"/>
            </w:tcBorders>
            <w:vAlign w:val="center"/>
          </w:tcPr>
          <w:p w14:paraId="1619621A">
            <w:pPr>
              <w:spacing w:line="240" w:lineRule="auto"/>
              <w:jc w:val="center"/>
              <w:rPr>
                <w:rFonts w:eastAsiaTheme="minorEastAsia"/>
                <w:sz w:val="21"/>
                <w:szCs w:val="21"/>
              </w:rPr>
            </w:pPr>
          </w:p>
        </w:tc>
        <w:tc>
          <w:tcPr>
            <w:tcW w:w="1013" w:type="dxa"/>
            <w:vMerge w:val="continue"/>
            <w:tcBorders>
              <w:tl2br w:val="nil"/>
              <w:tr2bl w:val="nil"/>
            </w:tcBorders>
            <w:vAlign w:val="center"/>
          </w:tcPr>
          <w:p w14:paraId="2AFA4549">
            <w:pPr>
              <w:spacing w:line="240" w:lineRule="auto"/>
              <w:jc w:val="center"/>
              <w:rPr>
                <w:rFonts w:eastAsiaTheme="minorEastAsia"/>
                <w:sz w:val="21"/>
                <w:szCs w:val="21"/>
              </w:rPr>
            </w:pPr>
          </w:p>
        </w:tc>
        <w:tc>
          <w:tcPr>
            <w:tcW w:w="912" w:type="dxa"/>
            <w:tcBorders>
              <w:tl2br w:val="nil"/>
              <w:tr2bl w:val="nil"/>
            </w:tcBorders>
            <w:vAlign w:val="center"/>
          </w:tcPr>
          <w:p w14:paraId="2178230C">
            <w:pPr>
              <w:spacing w:line="240" w:lineRule="auto"/>
              <w:jc w:val="center"/>
              <w:rPr>
                <w:rFonts w:eastAsiaTheme="minorEastAsia"/>
                <w:sz w:val="21"/>
                <w:szCs w:val="21"/>
              </w:rPr>
            </w:pPr>
            <w:r>
              <w:rPr>
                <w:rFonts w:eastAsiaTheme="minorEastAsia"/>
                <w:sz w:val="21"/>
                <w:szCs w:val="21"/>
              </w:rPr>
              <w:t>挥发性有机物</w:t>
            </w:r>
          </w:p>
        </w:tc>
        <w:tc>
          <w:tcPr>
            <w:tcW w:w="763" w:type="dxa"/>
            <w:tcBorders>
              <w:tl2br w:val="nil"/>
              <w:tr2bl w:val="nil"/>
            </w:tcBorders>
            <w:vAlign w:val="center"/>
          </w:tcPr>
          <w:p w14:paraId="46AE30F0">
            <w:pPr>
              <w:spacing w:line="240" w:lineRule="auto"/>
              <w:jc w:val="center"/>
              <w:rPr>
                <w:rFonts w:eastAsiaTheme="minorEastAsia"/>
                <w:sz w:val="21"/>
                <w:szCs w:val="21"/>
              </w:rPr>
            </w:pPr>
            <w:r>
              <w:rPr>
                <w:rFonts w:eastAsiaTheme="minorEastAsia"/>
                <w:sz w:val="21"/>
                <w:szCs w:val="21"/>
              </w:rPr>
              <w:t>TSP</w:t>
            </w:r>
          </w:p>
        </w:tc>
        <w:tc>
          <w:tcPr>
            <w:tcW w:w="762" w:type="dxa"/>
            <w:tcBorders>
              <w:tl2br w:val="nil"/>
              <w:tr2bl w:val="nil"/>
            </w:tcBorders>
            <w:vAlign w:val="center"/>
          </w:tcPr>
          <w:p w14:paraId="5508AF12">
            <w:pPr>
              <w:spacing w:line="240" w:lineRule="auto"/>
              <w:jc w:val="center"/>
              <w:rPr>
                <w:rFonts w:eastAsiaTheme="minorEastAsia"/>
                <w:sz w:val="21"/>
                <w:szCs w:val="21"/>
              </w:rPr>
            </w:pPr>
            <w:r>
              <w:rPr>
                <w:rFonts w:eastAsiaTheme="minorEastAsia"/>
                <w:sz w:val="21"/>
                <w:szCs w:val="21"/>
              </w:rPr>
              <w:t>SO</w:t>
            </w:r>
            <w:r>
              <w:rPr>
                <w:rFonts w:eastAsiaTheme="minorEastAsia"/>
                <w:sz w:val="21"/>
                <w:szCs w:val="21"/>
                <w:vertAlign w:val="subscript"/>
              </w:rPr>
              <w:t>2</w:t>
            </w:r>
          </w:p>
        </w:tc>
        <w:tc>
          <w:tcPr>
            <w:tcW w:w="792" w:type="dxa"/>
            <w:tcBorders>
              <w:tl2br w:val="nil"/>
              <w:tr2bl w:val="nil"/>
            </w:tcBorders>
            <w:vAlign w:val="center"/>
          </w:tcPr>
          <w:p w14:paraId="4B82E7C9">
            <w:pPr>
              <w:spacing w:line="240" w:lineRule="auto"/>
              <w:jc w:val="center"/>
              <w:rPr>
                <w:rFonts w:eastAsiaTheme="minorEastAsia"/>
                <w:sz w:val="21"/>
                <w:szCs w:val="21"/>
              </w:rPr>
            </w:pPr>
            <w:r>
              <w:rPr>
                <w:rFonts w:eastAsiaTheme="minorEastAsia"/>
                <w:sz w:val="21"/>
                <w:szCs w:val="21"/>
              </w:rPr>
              <w:t>NOx</w:t>
            </w:r>
          </w:p>
        </w:tc>
      </w:tr>
      <w:tr w14:paraId="599D7C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0" w:hRule="atLeast"/>
          <w:jc w:val="center"/>
        </w:trPr>
        <w:tc>
          <w:tcPr>
            <w:tcW w:w="893" w:type="dxa"/>
            <w:tcBorders>
              <w:tl2br w:val="nil"/>
              <w:tr2bl w:val="nil"/>
            </w:tcBorders>
            <w:vAlign w:val="center"/>
          </w:tcPr>
          <w:p w14:paraId="3D580F47">
            <w:pPr>
              <w:spacing w:line="240" w:lineRule="auto"/>
              <w:jc w:val="center"/>
              <w:rPr>
                <w:rFonts w:eastAsiaTheme="minorEastAsia"/>
                <w:sz w:val="21"/>
                <w:szCs w:val="21"/>
              </w:rPr>
            </w:pPr>
            <w:r>
              <w:rPr>
                <w:rFonts w:eastAsiaTheme="minorEastAsia"/>
                <w:sz w:val="21"/>
                <w:szCs w:val="21"/>
              </w:rPr>
              <w:t>DA001</w:t>
            </w:r>
          </w:p>
        </w:tc>
        <w:tc>
          <w:tcPr>
            <w:tcW w:w="1527" w:type="dxa"/>
            <w:tcBorders>
              <w:tl2br w:val="nil"/>
              <w:tr2bl w:val="nil"/>
            </w:tcBorders>
            <w:vAlign w:val="center"/>
          </w:tcPr>
          <w:p w14:paraId="1E9AC2D7">
            <w:pPr>
              <w:spacing w:line="240" w:lineRule="auto"/>
              <w:jc w:val="center"/>
              <w:rPr>
                <w:rFonts w:eastAsiaTheme="minorEastAsia"/>
                <w:sz w:val="21"/>
                <w:szCs w:val="21"/>
              </w:rPr>
            </w:pPr>
            <w:r>
              <w:rPr>
                <w:rFonts w:eastAsiaTheme="minorEastAsia"/>
                <w:sz w:val="21"/>
                <w:szCs w:val="21"/>
              </w:rPr>
              <w:t>有机废气</w:t>
            </w:r>
          </w:p>
        </w:tc>
        <w:tc>
          <w:tcPr>
            <w:tcW w:w="600" w:type="dxa"/>
            <w:tcBorders>
              <w:tl2br w:val="nil"/>
              <w:tr2bl w:val="nil"/>
            </w:tcBorders>
            <w:vAlign w:val="center"/>
          </w:tcPr>
          <w:p w14:paraId="1D60B9B0">
            <w:pPr>
              <w:spacing w:line="240" w:lineRule="auto"/>
              <w:jc w:val="center"/>
              <w:rPr>
                <w:rFonts w:eastAsiaTheme="minorEastAsia"/>
                <w:sz w:val="21"/>
                <w:szCs w:val="21"/>
              </w:rPr>
            </w:pPr>
            <w:r>
              <w:rPr>
                <w:rFonts w:eastAsiaTheme="minorEastAsia"/>
                <w:sz w:val="21"/>
                <w:szCs w:val="21"/>
              </w:rPr>
              <w:t>-49</w:t>
            </w:r>
          </w:p>
        </w:tc>
        <w:tc>
          <w:tcPr>
            <w:tcW w:w="700" w:type="dxa"/>
            <w:tcBorders>
              <w:tl2br w:val="nil"/>
              <w:tr2bl w:val="nil"/>
            </w:tcBorders>
            <w:vAlign w:val="center"/>
          </w:tcPr>
          <w:p w14:paraId="4727470A">
            <w:pPr>
              <w:spacing w:line="240" w:lineRule="auto"/>
              <w:jc w:val="center"/>
              <w:rPr>
                <w:rFonts w:eastAsiaTheme="minorEastAsia"/>
                <w:sz w:val="21"/>
                <w:szCs w:val="21"/>
              </w:rPr>
            </w:pPr>
            <w:r>
              <w:rPr>
                <w:rFonts w:eastAsiaTheme="minorEastAsia"/>
                <w:sz w:val="21"/>
                <w:szCs w:val="21"/>
              </w:rPr>
              <w:t>16</w:t>
            </w:r>
          </w:p>
        </w:tc>
        <w:tc>
          <w:tcPr>
            <w:tcW w:w="975" w:type="dxa"/>
            <w:tcBorders>
              <w:tl2br w:val="nil"/>
              <w:tr2bl w:val="nil"/>
            </w:tcBorders>
            <w:vAlign w:val="center"/>
          </w:tcPr>
          <w:p w14:paraId="07F31423">
            <w:pPr>
              <w:spacing w:line="240" w:lineRule="auto"/>
              <w:jc w:val="center"/>
              <w:rPr>
                <w:rFonts w:eastAsiaTheme="minorEastAsia"/>
                <w:sz w:val="21"/>
                <w:szCs w:val="21"/>
              </w:rPr>
            </w:pPr>
            <w:r>
              <w:rPr>
                <w:rFonts w:eastAsiaTheme="minorEastAsia"/>
                <w:sz w:val="21"/>
                <w:szCs w:val="21"/>
              </w:rPr>
              <w:t>55</w:t>
            </w:r>
          </w:p>
        </w:tc>
        <w:tc>
          <w:tcPr>
            <w:tcW w:w="1037" w:type="dxa"/>
            <w:tcBorders>
              <w:tl2br w:val="nil"/>
              <w:tr2bl w:val="nil"/>
            </w:tcBorders>
            <w:vAlign w:val="center"/>
          </w:tcPr>
          <w:p w14:paraId="4662D57C">
            <w:pPr>
              <w:spacing w:line="240" w:lineRule="auto"/>
              <w:jc w:val="center"/>
              <w:rPr>
                <w:rFonts w:eastAsiaTheme="minorEastAsia"/>
                <w:sz w:val="21"/>
                <w:szCs w:val="21"/>
              </w:rPr>
            </w:pPr>
            <w:r>
              <w:rPr>
                <w:rFonts w:eastAsiaTheme="minorEastAsia"/>
                <w:sz w:val="21"/>
                <w:szCs w:val="21"/>
              </w:rPr>
              <w:t>20.5</w:t>
            </w:r>
          </w:p>
        </w:tc>
        <w:tc>
          <w:tcPr>
            <w:tcW w:w="1163" w:type="dxa"/>
            <w:tcBorders>
              <w:tl2br w:val="nil"/>
              <w:tr2bl w:val="nil"/>
            </w:tcBorders>
            <w:vAlign w:val="center"/>
          </w:tcPr>
          <w:p w14:paraId="790FC871">
            <w:pPr>
              <w:spacing w:line="240" w:lineRule="auto"/>
              <w:jc w:val="center"/>
              <w:rPr>
                <w:rFonts w:eastAsiaTheme="minorEastAsia"/>
                <w:sz w:val="21"/>
                <w:szCs w:val="21"/>
              </w:rPr>
            </w:pPr>
            <w:r>
              <w:rPr>
                <w:rFonts w:eastAsiaTheme="minorEastAsia"/>
                <w:sz w:val="21"/>
                <w:szCs w:val="21"/>
              </w:rPr>
              <w:t>2.7</w:t>
            </w:r>
          </w:p>
        </w:tc>
        <w:tc>
          <w:tcPr>
            <w:tcW w:w="962" w:type="dxa"/>
            <w:tcBorders>
              <w:tl2br w:val="nil"/>
              <w:tr2bl w:val="nil"/>
            </w:tcBorders>
            <w:vAlign w:val="center"/>
          </w:tcPr>
          <w:p w14:paraId="4FA9C680">
            <w:pPr>
              <w:spacing w:line="240" w:lineRule="auto"/>
              <w:jc w:val="center"/>
              <w:rPr>
                <w:rFonts w:hint="default" w:eastAsiaTheme="minorEastAsia"/>
                <w:sz w:val="21"/>
                <w:szCs w:val="21"/>
                <w:lang w:val="en-US" w:eastAsia="zh-CN"/>
              </w:rPr>
            </w:pPr>
            <w:r>
              <w:rPr>
                <w:rFonts w:hint="eastAsia" w:eastAsiaTheme="minorEastAsia"/>
                <w:sz w:val="21"/>
                <w:szCs w:val="21"/>
                <w:lang w:val="en-US" w:eastAsia="zh-CN"/>
              </w:rPr>
              <w:t>38000</w:t>
            </w:r>
          </w:p>
        </w:tc>
        <w:tc>
          <w:tcPr>
            <w:tcW w:w="875" w:type="dxa"/>
            <w:tcBorders>
              <w:tl2br w:val="nil"/>
              <w:tr2bl w:val="nil"/>
            </w:tcBorders>
            <w:vAlign w:val="center"/>
          </w:tcPr>
          <w:p w14:paraId="05546557">
            <w:pPr>
              <w:spacing w:line="240" w:lineRule="auto"/>
              <w:jc w:val="center"/>
              <w:rPr>
                <w:rFonts w:eastAsiaTheme="minorEastAsia"/>
                <w:sz w:val="21"/>
                <w:szCs w:val="21"/>
              </w:rPr>
            </w:pPr>
            <w:r>
              <w:rPr>
                <w:rFonts w:eastAsiaTheme="minorEastAsia"/>
                <w:sz w:val="21"/>
                <w:szCs w:val="21"/>
              </w:rPr>
              <w:t>38</w:t>
            </w:r>
          </w:p>
        </w:tc>
        <w:tc>
          <w:tcPr>
            <w:tcW w:w="1200" w:type="dxa"/>
            <w:tcBorders>
              <w:tl2br w:val="nil"/>
              <w:tr2bl w:val="nil"/>
            </w:tcBorders>
            <w:vAlign w:val="center"/>
          </w:tcPr>
          <w:p w14:paraId="4A3C53AA">
            <w:pPr>
              <w:spacing w:line="240" w:lineRule="auto"/>
              <w:jc w:val="center"/>
              <w:rPr>
                <w:rFonts w:eastAsiaTheme="minorEastAsia"/>
                <w:sz w:val="21"/>
                <w:szCs w:val="21"/>
              </w:rPr>
            </w:pPr>
            <w:r>
              <w:rPr>
                <w:rFonts w:eastAsiaTheme="minorEastAsia"/>
                <w:sz w:val="21"/>
                <w:szCs w:val="21"/>
              </w:rPr>
              <w:t>8160</w:t>
            </w:r>
          </w:p>
        </w:tc>
        <w:tc>
          <w:tcPr>
            <w:tcW w:w="1013" w:type="dxa"/>
            <w:vMerge w:val="restart"/>
            <w:tcBorders>
              <w:tl2br w:val="nil"/>
              <w:tr2bl w:val="nil"/>
            </w:tcBorders>
            <w:vAlign w:val="center"/>
          </w:tcPr>
          <w:p w14:paraId="030BC827">
            <w:pPr>
              <w:spacing w:line="240" w:lineRule="auto"/>
              <w:jc w:val="center"/>
              <w:rPr>
                <w:rFonts w:eastAsiaTheme="minorEastAsia"/>
                <w:sz w:val="21"/>
                <w:szCs w:val="21"/>
              </w:rPr>
            </w:pPr>
            <w:r>
              <w:rPr>
                <w:rFonts w:eastAsiaTheme="minorEastAsia"/>
                <w:sz w:val="21"/>
                <w:szCs w:val="21"/>
              </w:rPr>
              <w:t>稳定</w:t>
            </w:r>
          </w:p>
          <w:p w14:paraId="207381A3">
            <w:pPr>
              <w:spacing w:line="240" w:lineRule="auto"/>
              <w:jc w:val="center"/>
              <w:rPr>
                <w:rFonts w:eastAsiaTheme="minorEastAsia"/>
                <w:sz w:val="21"/>
                <w:szCs w:val="21"/>
              </w:rPr>
            </w:pPr>
            <w:r>
              <w:rPr>
                <w:rFonts w:eastAsiaTheme="minorEastAsia"/>
                <w:sz w:val="21"/>
                <w:szCs w:val="21"/>
              </w:rPr>
              <w:t>连续</w:t>
            </w:r>
          </w:p>
        </w:tc>
        <w:tc>
          <w:tcPr>
            <w:tcW w:w="912" w:type="dxa"/>
            <w:tcBorders>
              <w:tl2br w:val="nil"/>
              <w:tr2bl w:val="nil"/>
            </w:tcBorders>
            <w:vAlign w:val="center"/>
          </w:tcPr>
          <w:p w14:paraId="11DE3CA0">
            <w:pPr>
              <w:spacing w:line="240" w:lineRule="auto"/>
              <w:jc w:val="center"/>
              <w:rPr>
                <w:rFonts w:hint="default" w:eastAsiaTheme="minorEastAsia"/>
                <w:sz w:val="21"/>
                <w:szCs w:val="21"/>
                <w:lang w:val="en-US" w:eastAsia="zh-CN"/>
              </w:rPr>
            </w:pPr>
            <w:r>
              <w:rPr>
                <w:rFonts w:hint="eastAsia" w:eastAsiaTheme="minorEastAsia"/>
                <w:sz w:val="21"/>
                <w:szCs w:val="21"/>
                <w:lang w:val="en-US" w:eastAsia="zh-CN"/>
              </w:rPr>
              <w:t>12.5</w:t>
            </w:r>
          </w:p>
        </w:tc>
        <w:tc>
          <w:tcPr>
            <w:tcW w:w="763" w:type="dxa"/>
            <w:tcBorders>
              <w:tl2br w:val="nil"/>
              <w:tr2bl w:val="nil"/>
            </w:tcBorders>
            <w:vAlign w:val="center"/>
          </w:tcPr>
          <w:p w14:paraId="5CF806BA">
            <w:pPr>
              <w:spacing w:line="240" w:lineRule="auto"/>
              <w:jc w:val="center"/>
              <w:rPr>
                <w:rFonts w:eastAsiaTheme="minorEastAsia"/>
                <w:sz w:val="21"/>
                <w:szCs w:val="21"/>
              </w:rPr>
            </w:pPr>
            <w:r>
              <w:rPr>
                <w:rFonts w:eastAsiaTheme="minorEastAsia"/>
                <w:sz w:val="21"/>
                <w:szCs w:val="21"/>
              </w:rPr>
              <w:t>/</w:t>
            </w:r>
          </w:p>
        </w:tc>
        <w:tc>
          <w:tcPr>
            <w:tcW w:w="762" w:type="dxa"/>
            <w:tcBorders>
              <w:tl2br w:val="nil"/>
              <w:tr2bl w:val="nil"/>
            </w:tcBorders>
            <w:vAlign w:val="center"/>
          </w:tcPr>
          <w:p w14:paraId="6A42F41E">
            <w:pPr>
              <w:spacing w:line="240" w:lineRule="auto"/>
              <w:jc w:val="center"/>
              <w:rPr>
                <w:rFonts w:eastAsiaTheme="minorEastAsia"/>
                <w:sz w:val="21"/>
                <w:szCs w:val="21"/>
              </w:rPr>
            </w:pPr>
            <w:r>
              <w:rPr>
                <w:rFonts w:eastAsiaTheme="minorEastAsia"/>
                <w:sz w:val="21"/>
                <w:szCs w:val="21"/>
              </w:rPr>
              <w:t>/</w:t>
            </w:r>
          </w:p>
        </w:tc>
        <w:tc>
          <w:tcPr>
            <w:tcW w:w="792" w:type="dxa"/>
            <w:tcBorders>
              <w:tl2br w:val="nil"/>
              <w:tr2bl w:val="nil"/>
            </w:tcBorders>
            <w:vAlign w:val="center"/>
          </w:tcPr>
          <w:p w14:paraId="59D1CF0F">
            <w:pPr>
              <w:spacing w:line="240" w:lineRule="auto"/>
              <w:jc w:val="center"/>
              <w:rPr>
                <w:rFonts w:eastAsiaTheme="minorEastAsia"/>
                <w:sz w:val="21"/>
                <w:szCs w:val="21"/>
              </w:rPr>
            </w:pPr>
            <w:r>
              <w:rPr>
                <w:rFonts w:eastAsiaTheme="minorEastAsia"/>
                <w:sz w:val="21"/>
                <w:szCs w:val="21"/>
              </w:rPr>
              <w:t>/</w:t>
            </w:r>
          </w:p>
        </w:tc>
      </w:tr>
      <w:tr w14:paraId="5A432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3" w:type="dxa"/>
            <w:tcBorders>
              <w:tl2br w:val="nil"/>
              <w:tr2bl w:val="nil"/>
            </w:tcBorders>
            <w:vAlign w:val="center"/>
          </w:tcPr>
          <w:p w14:paraId="6308BBA8">
            <w:pPr>
              <w:spacing w:line="240" w:lineRule="auto"/>
              <w:jc w:val="center"/>
              <w:rPr>
                <w:rFonts w:eastAsiaTheme="minorEastAsia"/>
                <w:sz w:val="21"/>
                <w:szCs w:val="21"/>
              </w:rPr>
            </w:pPr>
            <w:r>
              <w:rPr>
                <w:rFonts w:eastAsiaTheme="minorEastAsia"/>
                <w:sz w:val="21"/>
                <w:szCs w:val="21"/>
              </w:rPr>
              <w:t>DA002</w:t>
            </w:r>
          </w:p>
        </w:tc>
        <w:tc>
          <w:tcPr>
            <w:tcW w:w="1527" w:type="dxa"/>
            <w:tcBorders>
              <w:tl2br w:val="nil"/>
              <w:tr2bl w:val="nil"/>
            </w:tcBorders>
            <w:vAlign w:val="center"/>
          </w:tcPr>
          <w:p w14:paraId="321E6E96">
            <w:pPr>
              <w:spacing w:line="240" w:lineRule="auto"/>
              <w:jc w:val="center"/>
              <w:rPr>
                <w:rFonts w:eastAsiaTheme="minorEastAsia"/>
                <w:sz w:val="21"/>
                <w:szCs w:val="21"/>
              </w:rPr>
            </w:pPr>
            <w:r>
              <w:rPr>
                <w:rFonts w:eastAsiaTheme="minorEastAsia"/>
                <w:sz w:val="21"/>
                <w:szCs w:val="21"/>
              </w:rPr>
              <w:t>导热油锅炉、热水锅炉天然气燃烧废气</w:t>
            </w:r>
          </w:p>
        </w:tc>
        <w:tc>
          <w:tcPr>
            <w:tcW w:w="600" w:type="dxa"/>
            <w:tcBorders>
              <w:tl2br w:val="nil"/>
              <w:tr2bl w:val="nil"/>
            </w:tcBorders>
            <w:vAlign w:val="center"/>
          </w:tcPr>
          <w:p w14:paraId="3CE55635">
            <w:pPr>
              <w:spacing w:line="240" w:lineRule="auto"/>
              <w:jc w:val="center"/>
              <w:rPr>
                <w:rFonts w:eastAsiaTheme="minorEastAsia"/>
                <w:sz w:val="21"/>
                <w:szCs w:val="21"/>
              </w:rPr>
            </w:pPr>
            <w:r>
              <w:rPr>
                <w:rFonts w:eastAsiaTheme="minorEastAsia"/>
                <w:sz w:val="21"/>
                <w:szCs w:val="21"/>
              </w:rPr>
              <w:t>-90</w:t>
            </w:r>
          </w:p>
        </w:tc>
        <w:tc>
          <w:tcPr>
            <w:tcW w:w="700" w:type="dxa"/>
            <w:tcBorders>
              <w:tl2br w:val="nil"/>
              <w:tr2bl w:val="nil"/>
            </w:tcBorders>
            <w:vAlign w:val="center"/>
          </w:tcPr>
          <w:p w14:paraId="1F7A297C">
            <w:pPr>
              <w:spacing w:line="240" w:lineRule="auto"/>
              <w:jc w:val="center"/>
              <w:rPr>
                <w:rFonts w:eastAsiaTheme="minorEastAsia"/>
                <w:sz w:val="21"/>
                <w:szCs w:val="21"/>
              </w:rPr>
            </w:pPr>
            <w:r>
              <w:rPr>
                <w:rFonts w:eastAsiaTheme="minorEastAsia"/>
                <w:sz w:val="21"/>
                <w:szCs w:val="21"/>
              </w:rPr>
              <w:t>34</w:t>
            </w:r>
          </w:p>
        </w:tc>
        <w:tc>
          <w:tcPr>
            <w:tcW w:w="975" w:type="dxa"/>
            <w:tcBorders>
              <w:tl2br w:val="nil"/>
              <w:tr2bl w:val="nil"/>
            </w:tcBorders>
            <w:vAlign w:val="center"/>
          </w:tcPr>
          <w:p w14:paraId="2F58FA72">
            <w:pPr>
              <w:spacing w:line="240" w:lineRule="auto"/>
              <w:jc w:val="center"/>
              <w:rPr>
                <w:rFonts w:eastAsiaTheme="minorEastAsia"/>
                <w:sz w:val="21"/>
                <w:szCs w:val="21"/>
              </w:rPr>
            </w:pPr>
            <w:r>
              <w:rPr>
                <w:rFonts w:eastAsiaTheme="minorEastAsia"/>
                <w:sz w:val="21"/>
                <w:szCs w:val="21"/>
              </w:rPr>
              <w:t>55</w:t>
            </w:r>
          </w:p>
        </w:tc>
        <w:tc>
          <w:tcPr>
            <w:tcW w:w="1037" w:type="dxa"/>
            <w:tcBorders>
              <w:tl2br w:val="nil"/>
              <w:tr2bl w:val="nil"/>
            </w:tcBorders>
            <w:vAlign w:val="center"/>
          </w:tcPr>
          <w:p w14:paraId="17B414D6">
            <w:pPr>
              <w:spacing w:line="240" w:lineRule="auto"/>
              <w:jc w:val="center"/>
              <w:rPr>
                <w:rFonts w:eastAsiaTheme="minorEastAsia"/>
                <w:sz w:val="21"/>
                <w:szCs w:val="21"/>
              </w:rPr>
            </w:pPr>
            <w:r>
              <w:rPr>
                <w:rFonts w:eastAsiaTheme="minorEastAsia"/>
                <w:sz w:val="21"/>
                <w:szCs w:val="21"/>
              </w:rPr>
              <w:t>16</w:t>
            </w:r>
          </w:p>
        </w:tc>
        <w:tc>
          <w:tcPr>
            <w:tcW w:w="1163" w:type="dxa"/>
            <w:tcBorders>
              <w:tl2br w:val="nil"/>
              <w:tr2bl w:val="nil"/>
            </w:tcBorders>
            <w:vAlign w:val="center"/>
          </w:tcPr>
          <w:p w14:paraId="2B304C36">
            <w:pPr>
              <w:spacing w:line="240" w:lineRule="auto"/>
              <w:jc w:val="center"/>
              <w:rPr>
                <w:rFonts w:eastAsiaTheme="minorEastAsia"/>
                <w:sz w:val="21"/>
                <w:szCs w:val="21"/>
              </w:rPr>
            </w:pPr>
            <w:r>
              <w:rPr>
                <w:rFonts w:eastAsiaTheme="minorEastAsia"/>
                <w:sz w:val="21"/>
                <w:szCs w:val="21"/>
              </w:rPr>
              <w:t>0.35</w:t>
            </w:r>
          </w:p>
        </w:tc>
        <w:tc>
          <w:tcPr>
            <w:tcW w:w="962" w:type="dxa"/>
            <w:tcBorders>
              <w:tl2br w:val="nil"/>
              <w:tr2bl w:val="nil"/>
            </w:tcBorders>
            <w:vAlign w:val="center"/>
          </w:tcPr>
          <w:p w14:paraId="7E821787">
            <w:pPr>
              <w:spacing w:line="240" w:lineRule="auto"/>
              <w:jc w:val="center"/>
              <w:rPr>
                <w:rFonts w:eastAsiaTheme="minorEastAsia"/>
                <w:sz w:val="21"/>
                <w:szCs w:val="21"/>
              </w:rPr>
            </w:pPr>
            <w:r>
              <w:rPr>
                <w:rFonts w:eastAsiaTheme="minorEastAsia"/>
                <w:sz w:val="21"/>
                <w:szCs w:val="21"/>
              </w:rPr>
              <w:t>2000</w:t>
            </w:r>
          </w:p>
        </w:tc>
        <w:tc>
          <w:tcPr>
            <w:tcW w:w="875" w:type="dxa"/>
            <w:tcBorders>
              <w:tl2br w:val="nil"/>
              <w:tr2bl w:val="nil"/>
            </w:tcBorders>
            <w:vAlign w:val="center"/>
          </w:tcPr>
          <w:p w14:paraId="1B6E5326">
            <w:pPr>
              <w:spacing w:line="240" w:lineRule="auto"/>
              <w:jc w:val="center"/>
              <w:rPr>
                <w:rFonts w:eastAsiaTheme="minorEastAsia"/>
                <w:sz w:val="21"/>
                <w:szCs w:val="21"/>
              </w:rPr>
            </w:pPr>
            <w:r>
              <w:rPr>
                <w:rFonts w:eastAsiaTheme="minorEastAsia"/>
                <w:sz w:val="21"/>
                <w:szCs w:val="21"/>
              </w:rPr>
              <w:t>130</w:t>
            </w:r>
          </w:p>
        </w:tc>
        <w:tc>
          <w:tcPr>
            <w:tcW w:w="1200" w:type="dxa"/>
            <w:tcBorders>
              <w:tl2br w:val="nil"/>
              <w:tr2bl w:val="nil"/>
            </w:tcBorders>
            <w:vAlign w:val="center"/>
          </w:tcPr>
          <w:p w14:paraId="50C4C0F4">
            <w:pPr>
              <w:spacing w:line="240" w:lineRule="auto"/>
              <w:jc w:val="center"/>
              <w:rPr>
                <w:rFonts w:eastAsiaTheme="minorEastAsia"/>
                <w:sz w:val="21"/>
                <w:szCs w:val="21"/>
              </w:rPr>
            </w:pPr>
            <w:r>
              <w:rPr>
                <w:rFonts w:eastAsiaTheme="minorEastAsia"/>
                <w:sz w:val="21"/>
                <w:szCs w:val="21"/>
              </w:rPr>
              <w:t>8160</w:t>
            </w:r>
          </w:p>
        </w:tc>
        <w:tc>
          <w:tcPr>
            <w:tcW w:w="1013" w:type="dxa"/>
            <w:vMerge w:val="continue"/>
            <w:tcBorders>
              <w:tl2br w:val="nil"/>
              <w:tr2bl w:val="nil"/>
            </w:tcBorders>
            <w:vAlign w:val="center"/>
          </w:tcPr>
          <w:p w14:paraId="2243E147">
            <w:pPr>
              <w:spacing w:line="240" w:lineRule="auto"/>
              <w:jc w:val="center"/>
              <w:rPr>
                <w:rFonts w:eastAsiaTheme="minorEastAsia"/>
                <w:sz w:val="21"/>
                <w:szCs w:val="21"/>
              </w:rPr>
            </w:pPr>
          </w:p>
        </w:tc>
        <w:tc>
          <w:tcPr>
            <w:tcW w:w="912" w:type="dxa"/>
            <w:tcBorders>
              <w:tl2br w:val="nil"/>
              <w:tr2bl w:val="nil"/>
            </w:tcBorders>
            <w:vAlign w:val="center"/>
          </w:tcPr>
          <w:p w14:paraId="57353BB1">
            <w:pPr>
              <w:spacing w:line="240" w:lineRule="auto"/>
              <w:jc w:val="center"/>
              <w:rPr>
                <w:rFonts w:eastAsiaTheme="minorEastAsia"/>
                <w:sz w:val="21"/>
                <w:szCs w:val="21"/>
              </w:rPr>
            </w:pPr>
            <w:r>
              <w:rPr>
                <w:rFonts w:eastAsiaTheme="minorEastAsia"/>
                <w:sz w:val="21"/>
                <w:szCs w:val="21"/>
              </w:rPr>
              <w:t>/</w:t>
            </w:r>
          </w:p>
        </w:tc>
        <w:tc>
          <w:tcPr>
            <w:tcW w:w="763" w:type="dxa"/>
            <w:tcBorders>
              <w:tl2br w:val="nil"/>
              <w:tr2bl w:val="nil"/>
            </w:tcBorders>
            <w:vAlign w:val="center"/>
          </w:tcPr>
          <w:p w14:paraId="57921A2E">
            <w:pPr>
              <w:spacing w:line="240" w:lineRule="auto"/>
              <w:jc w:val="center"/>
              <w:rPr>
                <w:rFonts w:eastAsiaTheme="minorEastAsia"/>
                <w:sz w:val="21"/>
                <w:szCs w:val="21"/>
              </w:rPr>
            </w:pPr>
            <w:r>
              <w:rPr>
                <w:rFonts w:hint="eastAsia" w:eastAsiaTheme="minorEastAsia"/>
                <w:sz w:val="21"/>
                <w:szCs w:val="21"/>
              </w:rPr>
              <w:t>0.04</w:t>
            </w:r>
          </w:p>
        </w:tc>
        <w:tc>
          <w:tcPr>
            <w:tcW w:w="762" w:type="dxa"/>
            <w:tcBorders>
              <w:tl2br w:val="nil"/>
              <w:tr2bl w:val="nil"/>
            </w:tcBorders>
            <w:vAlign w:val="center"/>
          </w:tcPr>
          <w:p w14:paraId="4960272E">
            <w:pPr>
              <w:spacing w:line="240" w:lineRule="auto"/>
              <w:jc w:val="center"/>
              <w:rPr>
                <w:rFonts w:hint="default" w:eastAsiaTheme="minorEastAsia"/>
                <w:sz w:val="21"/>
                <w:szCs w:val="21"/>
                <w:lang w:val="en-US" w:eastAsia="zh-CN"/>
              </w:rPr>
            </w:pPr>
            <w:r>
              <w:rPr>
                <w:rFonts w:hint="eastAsia" w:eastAsiaTheme="minorEastAsia"/>
                <w:sz w:val="21"/>
                <w:szCs w:val="21"/>
              </w:rPr>
              <w:t>0.0</w:t>
            </w:r>
            <w:r>
              <w:rPr>
                <w:rFonts w:hint="eastAsia" w:eastAsiaTheme="minorEastAsia"/>
                <w:sz w:val="21"/>
                <w:szCs w:val="21"/>
                <w:lang w:val="en-US" w:eastAsia="zh-CN"/>
              </w:rPr>
              <w:t>05</w:t>
            </w:r>
          </w:p>
        </w:tc>
        <w:tc>
          <w:tcPr>
            <w:tcW w:w="792" w:type="dxa"/>
            <w:tcBorders>
              <w:tl2br w:val="nil"/>
              <w:tr2bl w:val="nil"/>
            </w:tcBorders>
            <w:vAlign w:val="center"/>
          </w:tcPr>
          <w:p w14:paraId="7DF91EF3">
            <w:pPr>
              <w:spacing w:line="240" w:lineRule="auto"/>
              <w:jc w:val="center"/>
              <w:rPr>
                <w:rFonts w:eastAsiaTheme="minorEastAsia"/>
                <w:sz w:val="21"/>
                <w:szCs w:val="21"/>
              </w:rPr>
            </w:pPr>
            <w:r>
              <w:rPr>
                <w:rFonts w:hint="eastAsia" w:eastAsiaTheme="minorEastAsia"/>
                <w:sz w:val="21"/>
                <w:szCs w:val="21"/>
              </w:rPr>
              <w:t>0.13</w:t>
            </w:r>
          </w:p>
        </w:tc>
      </w:tr>
    </w:tbl>
    <w:p w14:paraId="790C1858">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表6.2-11 </w:t>
      </w:r>
      <w:r>
        <w:rPr>
          <w:rFonts w:hint="eastAsia"/>
        </w:rPr>
        <w:t>正常排放下面源参数表</w:t>
      </w:r>
    </w:p>
    <w:tbl>
      <w:tblPr>
        <w:tblStyle w:val="6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5"/>
        <w:gridCol w:w="1043"/>
        <w:gridCol w:w="606"/>
        <w:gridCol w:w="549"/>
        <w:gridCol w:w="1054"/>
        <w:gridCol w:w="1054"/>
        <w:gridCol w:w="1054"/>
        <w:gridCol w:w="1067"/>
        <w:gridCol w:w="1043"/>
        <w:gridCol w:w="1067"/>
        <w:gridCol w:w="1580"/>
        <w:gridCol w:w="3492"/>
      </w:tblGrid>
      <w:tr w14:paraId="17627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5" w:type="dxa"/>
            <w:vMerge w:val="restart"/>
            <w:vAlign w:val="center"/>
          </w:tcPr>
          <w:p w14:paraId="76024FE2">
            <w:pPr>
              <w:spacing w:line="240" w:lineRule="auto"/>
              <w:jc w:val="center"/>
              <w:rPr>
                <w:rFonts w:eastAsiaTheme="minorEastAsia"/>
                <w:sz w:val="21"/>
                <w:szCs w:val="21"/>
              </w:rPr>
            </w:pPr>
            <w:r>
              <w:rPr>
                <w:rFonts w:eastAsiaTheme="minorEastAsia"/>
                <w:sz w:val="21"/>
                <w:szCs w:val="21"/>
              </w:rPr>
              <w:t>编号</w:t>
            </w:r>
          </w:p>
        </w:tc>
        <w:tc>
          <w:tcPr>
            <w:tcW w:w="1043" w:type="dxa"/>
            <w:vMerge w:val="restart"/>
            <w:vAlign w:val="center"/>
          </w:tcPr>
          <w:p w14:paraId="173FC631">
            <w:pPr>
              <w:spacing w:line="240" w:lineRule="auto"/>
              <w:jc w:val="center"/>
              <w:rPr>
                <w:rFonts w:eastAsiaTheme="minorEastAsia"/>
                <w:sz w:val="21"/>
                <w:szCs w:val="21"/>
              </w:rPr>
            </w:pPr>
            <w:r>
              <w:rPr>
                <w:rFonts w:eastAsiaTheme="minorEastAsia"/>
                <w:sz w:val="21"/>
                <w:szCs w:val="21"/>
              </w:rPr>
              <w:t>名称</w:t>
            </w:r>
          </w:p>
        </w:tc>
        <w:tc>
          <w:tcPr>
            <w:tcW w:w="1155" w:type="dxa"/>
            <w:gridSpan w:val="2"/>
            <w:vAlign w:val="center"/>
          </w:tcPr>
          <w:p w14:paraId="4E5BB230">
            <w:pPr>
              <w:spacing w:line="240" w:lineRule="auto"/>
              <w:jc w:val="center"/>
              <w:rPr>
                <w:rFonts w:eastAsiaTheme="minorEastAsia"/>
                <w:sz w:val="21"/>
                <w:szCs w:val="21"/>
              </w:rPr>
            </w:pPr>
            <w:r>
              <w:rPr>
                <w:rFonts w:eastAsiaTheme="minorEastAsia"/>
                <w:sz w:val="21"/>
                <w:szCs w:val="21"/>
              </w:rPr>
              <w:t>面源起点坐标m</w:t>
            </w:r>
          </w:p>
        </w:tc>
        <w:tc>
          <w:tcPr>
            <w:tcW w:w="1054" w:type="dxa"/>
            <w:vMerge w:val="restart"/>
            <w:vAlign w:val="center"/>
          </w:tcPr>
          <w:p w14:paraId="72624A14">
            <w:pPr>
              <w:spacing w:line="240" w:lineRule="auto"/>
              <w:jc w:val="center"/>
              <w:rPr>
                <w:rFonts w:eastAsiaTheme="minorEastAsia"/>
                <w:sz w:val="21"/>
                <w:szCs w:val="21"/>
              </w:rPr>
            </w:pPr>
            <w:r>
              <w:rPr>
                <w:rFonts w:eastAsiaTheme="minorEastAsia"/>
                <w:sz w:val="21"/>
                <w:szCs w:val="21"/>
              </w:rPr>
              <w:t>面源海拔m</w:t>
            </w:r>
          </w:p>
        </w:tc>
        <w:tc>
          <w:tcPr>
            <w:tcW w:w="1054" w:type="dxa"/>
            <w:vMerge w:val="restart"/>
            <w:vAlign w:val="center"/>
          </w:tcPr>
          <w:p w14:paraId="2F8E3136">
            <w:pPr>
              <w:spacing w:line="240" w:lineRule="auto"/>
              <w:jc w:val="center"/>
              <w:rPr>
                <w:rFonts w:eastAsiaTheme="minorEastAsia"/>
                <w:sz w:val="21"/>
                <w:szCs w:val="21"/>
              </w:rPr>
            </w:pPr>
            <w:r>
              <w:rPr>
                <w:rFonts w:eastAsiaTheme="minorEastAsia"/>
                <w:sz w:val="21"/>
                <w:szCs w:val="21"/>
              </w:rPr>
              <w:t>面源长度m</w:t>
            </w:r>
          </w:p>
        </w:tc>
        <w:tc>
          <w:tcPr>
            <w:tcW w:w="1054" w:type="dxa"/>
            <w:vMerge w:val="restart"/>
            <w:vAlign w:val="center"/>
          </w:tcPr>
          <w:p w14:paraId="4A2D0526">
            <w:pPr>
              <w:spacing w:line="240" w:lineRule="auto"/>
              <w:jc w:val="center"/>
              <w:rPr>
                <w:rFonts w:eastAsiaTheme="minorEastAsia"/>
                <w:sz w:val="21"/>
                <w:szCs w:val="21"/>
              </w:rPr>
            </w:pPr>
            <w:r>
              <w:rPr>
                <w:rFonts w:eastAsiaTheme="minorEastAsia"/>
                <w:sz w:val="21"/>
                <w:szCs w:val="21"/>
              </w:rPr>
              <w:t>面源宽度m</w:t>
            </w:r>
          </w:p>
        </w:tc>
        <w:tc>
          <w:tcPr>
            <w:tcW w:w="1067" w:type="dxa"/>
            <w:vMerge w:val="restart"/>
            <w:vAlign w:val="center"/>
          </w:tcPr>
          <w:p w14:paraId="474D3C18">
            <w:pPr>
              <w:spacing w:line="240" w:lineRule="auto"/>
              <w:jc w:val="center"/>
              <w:rPr>
                <w:rFonts w:eastAsiaTheme="minorEastAsia"/>
                <w:sz w:val="21"/>
                <w:szCs w:val="21"/>
              </w:rPr>
            </w:pPr>
            <w:r>
              <w:rPr>
                <w:rFonts w:eastAsiaTheme="minorEastAsia"/>
                <w:sz w:val="21"/>
                <w:szCs w:val="21"/>
              </w:rPr>
              <w:t>与正北向夹角°</w:t>
            </w:r>
          </w:p>
        </w:tc>
        <w:tc>
          <w:tcPr>
            <w:tcW w:w="1043" w:type="dxa"/>
            <w:vMerge w:val="restart"/>
            <w:vAlign w:val="center"/>
          </w:tcPr>
          <w:p w14:paraId="65E7E269">
            <w:pPr>
              <w:spacing w:line="240" w:lineRule="auto"/>
              <w:jc w:val="center"/>
              <w:rPr>
                <w:rFonts w:eastAsiaTheme="minorEastAsia"/>
                <w:sz w:val="21"/>
                <w:szCs w:val="21"/>
              </w:rPr>
            </w:pPr>
            <w:r>
              <w:rPr>
                <w:rFonts w:eastAsiaTheme="minorEastAsia"/>
                <w:sz w:val="21"/>
                <w:szCs w:val="21"/>
              </w:rPr>
              <w:t>面源有效排放高度m</w:t>
            </w:r>
          </w:p>
        </w:tc>
        <w:tc>
          <w:tcPr>
            <w:tcW w:w="1067" w:type="dxa"/>
            <w:vMerge w:val="restart"/>
            <w:vAlign w:val="center"/>
          </w:tcPr>
          <w:p w14:paraId="126D167E">
            <w:pPr>
              <w:spacing w:line="240" w:lineRule="auto"/>
              <w:jc w:val="center"/>
              <w:rPr>
                <w:rFonts w:eastAsiaTheme="minorEastAsia"/>
                <w:sz w:val="21"/>
                <w:szCs w:val="21"/>
              </w:rPr>
            </w:pPr>
            <w:r>
              <w:rPr>
                <w:rFonts w:eastAsiaTheme="minorEastAsia"/>
                <w:sz w:val="21"/>
                <w:szCs w:val="21"/>
              </w:rPr>
              <w:t>年排放小时数/h</w:t>
            </w:r>
          </w:p>
        </w:tc>
        <w:tc>
          <w:tcPr>
            <w:tcW w:w="1580" w:type="dxa"/>
            <w:vMerge w:val="restart"/>
            <w:vAlign w:val="center"/>
          </w:tcPr>
          <w:p w14:paraId="5C5F8FFE">
            <w:pPr>
              <w:spacing w:line="240" w:lineRule="auto"/>
              <w:jc w:val="center"/>
              <w:rPr>
                <w:rFonts w:eastAsiaTheme="minorEastAsia"/>
                <w:sz w:val="21"/>
                <w:szCs w:val="21"/>
              </w:rPr>
            </w:pPr>
            <w:r>
              <w:rPr>
                <w:rFonts w:eastAsiaTheme="minorEastAsia"/>
                <w:sz w:val="21"/>
                <w:szCs w:val="21"/>
              </w:rPr>
              <w:t>排放工况</w:t>
            </w:r>
          </w:p>
        </w:tc>
        <w:tc>
          <w:tcPr>
            <w:tcW w:w="3492" w:type="dxa"/>
            <w:vAlign w:val="center"/>
          </w:tcPr>
          <w:p w14:paraId="7173008B">
            <w:pPr>
              <w:spacing w:line="240" w:lineRule="auto"/>
              <w:jc w:val="center"/>
              <w:rPr>
                <w:rFonts w:eastAsiaTheme="minorEastAsia"/>
                <w:sz w:val="21"/>
                <w:szCs w:val="21"/>
              </w:rPr>
            </w:pPr>
            <w:r>
              <w:rPr>
                <w:rFonts w:eastAsiaTheme="minorEastAsia"/>
                <w:sz w:val="21"/>
                <w:szCs w:val="21"/>
              </w:rPr>
              <w:t>污染物排放速率</w:t>
            </w:r>
          </w:p>
          <w:p w14:paraId="6E102682">
            <w:pPr>
              <w:spacing w:line="240" w:lineRule="auto"/>
              <w:jc w:val="center"/>
              <w:rPr>
                <w:rFonts w:eastAsiaTheme="minorEastAsia"/>
                <w:sz w:val="21"/>
                <w:szCs w:val="21"/>
              </w:rPr>
            </w:pPr>
            <w:r>
              <w:rPr>
                <w:rFonts w:eastAsiaTheme="minorEastAsia"/>
                <w:sz w:val="21"/>
                <w:szCs w:val="21"/>
              </w:rPr>
              <w:t>kg/h</w:t>
            </w:r>
          </w:p>
        </w:tc>
      </w:tr>
      <w:tr w14:paraId="00692A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5" w:type="dxa"/>
            <w:vMerge w:val="continue"/>
            <w:vAlign w:val="center"/>
          </w:tcPr>
          <w:p w14:paraId="1CF03C86">
            <w:pPr>
              <w:spacing w:line="240" w:lineRule="auto"/>
              <w:jc w:val="center"/>
              <w:rPr>
                <w:rFonts w:eastAsiaTheme="minorEastAsia"/>
                <w:sz w:val="21"/>
                <w:szCs w:val="21"/>
              </w:rPr>
            </w:pPr>
          </w:p>
        </w:tc>
        <w:tc>
          <w:tcPr>
            <w:tcW w:w="1043" w:type="dxa"/>
            <w:vMerge w:val="continue"/>
            <w:vAlign w:val="center"/>
          </w:tcPr>
          <w:p w14:paraId="2CB04D17">
            <w:pPr>
              <w:spacing w:line="240" w:lineRule="auto"/>
              <w:jc w:val="center"/>
              <w:rPr>
                <w:rFonts w:eastAsiaTheme="minorEastAsia"/>
                <w:sz w:val="21"/>
                <w:szCs w:val="21"/>
              </w:rPr>
            </w:pPr>
          </w:p>
        </w:tc>
        <w:tc>
          <w:tcPr>
            <w:tcW w:w="606" w:type="dxa"/>
            <w:vAlign w:val="center"/>
          </w:tcPr>
          <w:p w14:paraId="60D494C6">
            <w:pPr>
              <w:spacing w:line="240" w:lineRule="auto"/>
              <w:jc w:val="center"/>
              <w:rPr>
                <w:rFonts w:eastAsiaTheme="minorEastAsia"/>
                <w:sz w:val="21"/>
                <w:szCs w:val="21"/>
              </w:rPr>
            </w:pPr>
            <w:r>
              <w:rPr>
                <w:rFonts w:eastAsiaTheme="minorEastAsia"/>
                <w:sz w:val="21"/>
                <w:szCs w:val="21"/>
              </w:rPr>
              <w:t>X</w:t>
            </w:r>
          </w:p>
        </w:tc>
        <w:tc>
          <w:tcPr>
            <w:tcW w:w="549" w:type="dxa"/>
            <w:vAlign w:val="center"/>
          </w:tcPr>
          <w:p w14:paraId="2B3F169D">
            <w:pPr>
              <w:spacing w:line="240" w:lineRule="auto"/>
              <w:jc w:val="center"/>
              <w:rPr>
                <w:rFonts w:eastAsiaTheme="minorEastAsia"/>
                <w:sz w:val="21"/>
                <w:szCs w:val="21"/>
              </w:rPr>
            </w:pPr>
            <w:r>
              <w:rPr>
                <w:rFonts w:eastAsiaTheme="minorEastAsia"/>
                <w:sz w:val="21"/>
                <w:szCs w:val="21"/>
              </w:rPr>
              <w:t>Y</w:t>
            </w:r>
          </w:p>
        </w:tc>
        <w:tc>
          <w:tcPr>
            <w:tcW w:w="1054" w:type="dxa"/>
            <w:vMerge w:val="continue"/>
            <w:vAlign w:val="center"/>
          </w:tcPr>
          <w:p w14:paraId="40337F0F">
            <w:pPr>
              <w:spacing w:line="240" w:lineRule="auto"/>
              <w:jc w:val="center"/>
              <w:rPr>
                <w:rFonts w:eastAsiaTheme="minorEastAsia"/>
                <w:sz w:val="21"/>
                <w:szCs w:val="21"/>
              </w:rPr>
            </w:pPr>
          </w:p>
        </w:tc>
        <w:tc>
          <w:tcPr>
            <w:tcW w:w="1054" w:type="dxa"/>
            <w:vMerge w:val="continue"/>
            <w:vAlign w:val="center"/>
          </w:tcPr>
          <w:p w14:paraId="7146CAD5">
            <w:pPr>
              <w:spacing w:line="240" w:lineRule="auto"/>
              <w:jc w:val="center"/>
              <w:rPr>
                <w:rFonts w:eastAsiaTheme="minorEastAsia"/>
                <w:sz w:val="21"/>
                <w:szCs w:val="21"/>
              </w:rPr>
            </w:pPr>
          </w:p>
        </w:tc>
        <w:tc>
          <w:tcPr>
            <w:tcW w:w="1054" w:type="dxa"/>
            <w:vMerge w:val="continue"/>
            <w:vAlign w:val="center"/>
          </w:tcPr>
          <w:p w14:paraId="5FE5FF19">
            <w:pPr>
              <w:spacing w:line="240" w:lineRule="auto"/>
              <w:jc w:val="center"/>
              <w:rPr>
                <w:rFonts w:eastAsiaTheme="minorEastAsia"/>
                <w:sz w:val="21"/>
                <w:szCs w:val="21"/>
              </w:rPr>
            </w:pPr>
          </w:p>
        </w:tc>
        <w:tc>
          <w:tcPr>
            <w:tcW w:w="1067" w:type="dxa"/>
            <w:vMerge w:val="continue"/>
            <w:vAlign w:val="center"/>
          </w:tcPr>
          <w:p w14:paraId="69E2B12F">
            <w:pPr>
              <w:spacing w:line="240" w:lineRule="auto"/>
              <w:jc w:val="center"/>
              <w:rPr>
                <w:rFonts w:eastAsiaTheme="minorEastAsia"/>
                <w:sz w:val="21"/>
                <w:szCs w:val="21"/>
              </w:rPr>
            </w:pPr>
          </w:p>
        </w:tc>
        <w:tc>
          <w:tcPr>
            <w:tcW w:w="1043" w:type="dxa"/>
            <w:vMerge w:val="continue"/>
            <w:vAlign w:val="center"/>
          </w:tcPr>
          <w:p w14:paraId="4D997736">
            <w:pPr>
              <w:spacing w:line="240" w:lineRule="auto"/>
              <w:jc w:val="center"/>
              <w:rPr>
                <w:rFonts w:eastAsiaTheme="minorEastAsia"/>
                <w:sz w:val="21"/>
                <w:szCs w:val="21"/>
              </w:rPr>
            </w:pPr>
          </w:p>
        </w:tc>
        <w:tc>
          <w:tcPr>
            <w:tcW w:w="1067" w:type="dxa"/>
            <w:vMerge w:val="continue"/>
            <w:vAlign w:val="center"/>
          </w:tcPr>
          <w:p w14:paraId="5921A73F">
            <w:pPr>
              <w:spacing w:line="240" w:lineRule="auto"/>
              <w:jc w:val="center"/>
              <w:rPr>
                <w:rFonts w:eastAsiaTheme="minorEastAsia"/>
                <w:sz w:val="21"/>
                <w:szCs w:val="21"/>
              </w:rPr>
            </w:pPr>
          </w:p>
        </w:tc>
        <w:tc>
          <w:tcPr>
            <w:tcW w:w="1580" w:type="dxa"/>
            <w:vMerge w:val="continue"/>
            <w:vAlign w:val="center"/>
          </w:tcPr>
          <w:p w14:paraId="3F7BFF2A">
            <w:pPr>
              <w:spacing w:line="240" w:lineRule="auto"/>
              <w:jc w:val="center"/>
              <w:rPr>
                <w:rFonts w:eastAsiaTheme="minorEastAsia"/>
                <w:sz w:val="21"/>
                <w:szCs w:val="21"/>
              </w:rPr>
            </w:pPr>
          </w:p>
        </w:tc>
        <w:tc>
          <w:tcPr>
            <w:tcW w:w="3492" w:type="dxa"/>
            <w:vAlign w:val="center"/>
          </w:tcPr>
          <w:p w14:paraId="530B241A">
            <w:pPr>
              <w:spacing w:line="240" w:lineRule="auto"/>
              <w:jc w:val="center"/>
              <w:rPr>
                <w:rFonts w:eastAsiaTheme="minorEastAsia"/>
                <w:sz w:val="21"/>
                <w:szCs w:val="21"/>
              </w:rPr>
            </w:pPr>
            <w:r>
              <w:rPr>
                <w:rFonts w:eastAsiaTheme="minorEastAsia"/>
                <w:sz w:val="21"/>
                <w:szCs w:val="21"/>
              </w:rPr>
              <w:t>挥发性有机物</w:t>
            </w:r>
          </w:p>
        </w:tc>
      </w:tr>
      <w:tr w14:paraId="7B799B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5" w:type="dxa"/>
            <w:vAlign w:val="center"/>
          </w:tcPr>
          <w:p w14:paraId="7212256C">
            <w:pPr>
              <w:spacing w:line="240" w:lineRule="auto"/>
              <w:jc w:val="center"/>
              <w:rPr>
                <w:rFonts w:eastAsiaTheme="minorEastAsia"/>
                <w:sz w:val="21"/>
                <w:szCs w:val="21"/>
              </w:rPr>
            </w:pPr>
            <w:r>
              <w:rPr>
                <w:rFonts w:eastAsiaTheme="minorEastAsia"/>
                <w:sz w:val="21"/>
                <w:szCs w:val="21"/>
              </w:rPr>
              <w:t>A1</w:t>
            </w:r>
          </w:p>
        </w:tc>
        <w:tc>
          <w:tcPr>
            <w:tcW w:w="1043" w:type="dxa"/>
            <w:vAlign w:val="center"/>
          </w:tcPr>
          <w:p w14:paraId="76006FE2">
            <w:pPr>
              <w:spacing w:line="240" w:lineRule="auto"/>
              <w:jc w:val="center"/>
              <w:rPr>
                <w:rFonts w:eastAsiaTheme="minorEastAsia"/>
                <w:sz w:val="21"/>
                <w:szCs w:val="21"/>
              </w:rPr>
            </w:pPr>
            <w:r>
              <w:rPr>
                <w:rFonts w:eastAsiaTheme="minorEastAsia"/>
                <w:sz w:val="21"/>
                <w:szCs w:val="21"/>
              </w:rPr>
              <w:t>3车间</w:t>
            </w:r>
          </w:p>
        </w:tc>
        <w:tc>
          <w:tcPr>
            <w:tcW w:w="606" w:type="dxa"/>
            <w:vAlign w:val="center"/>
          </w:tcPr>
          <w:p w14:paraId="378D169B">
            <w:pPr>
              <w:spacing w:line="240" w:lineRule="auto"/>
              <w:jc w:val="center"/>
              <w:rPr>
                <w:rFonts w:eastAsiaTheme="minorEastAsia"/>
                <w:sz w:val="21"/>
                <w:szCs w:val="21"/>
              </w:rPr>
            </w:pPr>
            <w:r>
              <w:rPr>
                <w:rFonts w:eastAsiaTheme="minorEastAsia"/>
                <w:sz w:val="21"/>
                <w:szCs w:val="21"/>
              </w:rPr>
              <w:t>-162</w:t>
            </w:r>
          </w:p>
        </w:tc>
        <w:tc>
          <w:tcPr>
            <w:tcW w:w="549" w:type="dxa"/>
            <w:vAlign w:val="center"/>
          </w:tcPr>
          <w:p w14:paraId="06535853">
            <w:pPr>
              <w:spacing w:line="240" w:lineRule="auto"/>
              <w:jc w:val="center"/>
              <w:rPr>
                <w:rFonts w:eastAsiaTheme="minorEastAsia"/>
                <w:sz w:val="21"/>
                <w:szCs w:val="21"/>
              </w:rPr>
            </w:pPr>
            <w:r>
              <w:rPr>
                <w:rFonts w:eastAsiaTheme="minorEastAsia"/>
                <w:sz w:val="21"/>
                <w:szCs w:val="21"/>
              </w:rPr>
              <w:t>-3</w:t>
            </w:r>
          </w:p>
        </w:tc>
        <w:tc>
          <w:tcPr>
            <w:tcW w:w="1054" w:type="dxa"/>
            <w:vAlign w:val="center"/>
          </w:tcPr>
          <w:p w14:paraId="4987E590">
            <w:pPr>
              <w:spacing w:line="240" w:lineRule="auto"/>
              <w:jc w:val="center"/>
              <w:rPr>
                <w:rFonts w:eastAsiaTheme="minorEastAsia"/>
                <w:sz w:val="21"/>
                <w:szCs w:val="21"/>
              </w:rPr>
            </w:pPr>
            <w:r>
              <w:rPr>
                <w:rFonts w:eastAsiaTheme="minorEastAsia"/>
                <w:sz w:val="21"/>
                <w:szCs w:val="21"/>
              </w:rPr>
              <w:t>55</w:t>
            </w:r>
          </w:p>
        </w:tc>
        <w:tc>
          <w:tcPr>
            <w:tcW w:w="1054" w:type="dxa"/>
            <w:vAlign w:val="center"/>
          </w:tcPr>
          <w:p w14:paraId="325C52D3">
            <w:pPr>
              <w:spacing w:line="240" w:lineRule="auto"/>
              <w:jc w:val="center"/>
              <w:rPr>
                <w:rFonts w:eastAsiaTheme="minorEastAsia"/>
                <w:sz w:val="21"/>
                <w:szCs w:val="21"/>
              </w:rPr>
            </w:pPr>
            <w:r>
              <w:rPr>
                <w:rFonts w:eastAsiaTheme="minorEastAsia"/>
                <w:sz w:val="21"/>
                <w:szCs w:val="21"/>
              </w:rPr>
              <w:t>144</w:t>
            </w:r>
          </w:p>
        </w:tc>
        <w:tc>
          <w:tcPr>
            <w:tcW w:w="1054" w:type="dxa"/>
            <w:vAlign w:val="center"/>
          </w:tcPr>
          <w:p w14:paraId="63460497">
            <w:pPr>
              <w:spacing w:line="240" w:lineRule="auto"/>
              <w:jc w:val="center"/>
              <w:rPr>
                <w:rFonts w:eastAsiaTheme="minorEastAsia"/>
                <w:sz w:val="21"/>
                <w:szCs w:val="21"/>
              </w:rPr>
            </w:pPr>
            <w:r>
              <w:rPr>
                <w:rFonts w:eastAsiaTheme="minorEastAsia"/>
                <w:sz w:val="21"/>
                <w:szCs w:val="21"/>
              </w:rPr>
              <w:t>33</w:t>
            </w:r>
          </w:p>
        </w:tc>
        <w:tc>
          <w:tcPr>
            <w:tcW w:w="1067" w:type="dxa"/>
            <w:vAlign w:val="center"/>
          </w:tcPr>
          <w:p w14:paraId="2B077A63">
            <w:pPr>
              <w:spacing w:line="240" w:lineRule="auto"/>
              <w:jc w:val="center"/>
              <w:rPr>
                <w:rFonts w:eastAsiaTheme="minorEastAsia"/>
                <w:sz w:val="21"/>
                <w:szCs w:val="21"/>
              </w:rPr>
            </w:pPr>
            <w:r>
              <w:rPr>
                <w:rFonts w:eastAsiaTheme="minorEastAsia"/>
                <w:sz w:val="21"/>
                <w:szCs w:val="21"/>
              </w:rPr>
              <w:t>0</w:t>
            </w:r>
          </w:p>
        </w:tc>
        <w:tc>
          <w:tcPr>
            <w:tcW w:w="1043" w:type="dxa"/>
            <w:vAlign w:val="center"/>
          </w:tcPr>
          <w:p w14:paraId="16A99D1B">
            <w:pPr>
              <w:spacing w:line="240" w:lineRule="auto"/>
              <w:jc w:val="center"/>
              <w:rPr>
                <w:rFonts w:eastAsiaTheme="minorEastAsia"/>
                <w:sz w:val="21"/>
                <w:szCs w:val="21"/>
              </w:rPr>
            </w:pPr>
            <w:r>
              <w:rPr>
                <w:rFonts w:eastAsiaTheme="minorEastAsia"/>
                <w:sz w:val="21"/>
                <w:szCs w:val="21"/>
              </w:rPr>
              <w:t>5.8</w:t>
            </w:r>
          </w:p>
        </w:tc>
        <w:tc>
          <w:tcPr>
            <w:tcW w:w="1067" w:type="dxa"/>
            <w:vAlign w:val="center"/>
          </w:tcPr>
          <w:p w14:paraId="3863827C">
            <w:pPr>
              <w:spacing w:line="240" w:lineRule="auto"/>
              <w:jc w:val="center"/>
              <w:rPr>
                <w:rFonts w:eastAsiaTheme="minorEastAsia"/>
                <w:sz w:val="21"/>
                <w:szCs w:val="21"/>
              </w:rPr>
            </w:pPr>
            <w:r>
              <w:rPr>
                <w:rFonts w:eastAsiaTheme="minorEastAsia"/>
                <w:sz w:val="21"/>
                <w:szCs w:val="21"/>
              </w:rPr>
              <w:t>8160</w:t>
            </w:r>
          </w:p>
        </w:tc>
        <w:tc>
          <w:tcPr>
            <w:tcW w:w="1580" w:type="dxa"/>
            <w:vAlign w:val="center"/>
          </w:tcPr>
          <w:p w14:paraId="161097B3">
            <w:pPr>
              <w:spacing w:line="240" w:lineRule="auto"/>
              <w:jc w:val="center"/>
              <w:rPr>
                <w:rFonts w:eastAsiaTheme="minorEastAsia"/>
                <w:sz w:val="21"/>
                <w:szCs w:val="21"/>
              </w:rPr>
            </w:pPr>
            <w:r>
              <w:rPr>
                <w:rFonts w:eastAsiaTheme="minorEastAsia"/>
                <w:sz w:val="21"/>
                <w:szCs w:val="21"/>
              </w:rPr>
              <w:t>稳定连续</w:t>
            </w:r>
          </w:p>
        </w:tc>
        <w:tc>
          <w:tcPr>
            <w:tcW w:w="3492" w:type="dxa"/>
            <w:vAlign w:val="center"/>
          </w:tcPr>
          <w:p w14:paraId="7172F11F">
            <w:pPr>
              <w:spacing w:line="240" w:lineRule="auto"/>
              <w:jc w:val="center"/>
              <w:rPr>
                <w:rFonts w:hint="default" w:eastAsiaTheme="minorEastAsia"/>
                <w:sz w:val="21"/>
                <w:szCs w:val="21"/>
                <w:lang w:val="en-US" w:eastAsia="zh-CN"/>
              </w:rPr>
            </w:pPr>
            <w:r>
              <w:rPr>
                <w:rFonts w:hint="eastAsia" w:eastAsiaTheme="minorEastAsia"/>
                <w:sz w:val="21"/>
                <w:szCs w:val="21"/>
                <w:lang w:val="en-US" w:eastAsia="zh-CN"/>
              </w:rPr>
              <w:t>4.25</w:t>
            </w:r>
          </w:p>
        </w:tc>
      </w:tr>
      <w:tr w14:paraId="0698C4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565" w:type="dxa"/>
            <w:vAlign w:val="center"/>
          </w:tcPr>
          <w:p w14:paraId="2A5802FD">
            <w:pPr>
              <w:spacing w:line="240" w:lineRule="auto"/>
              <w:jc w:val="center"/>
              <w:rPr>
                <w:rFonts w:eastAsiaTheme="minorEastAsia"/>
                <w:sz w:val="21"/>
                <w:szCs w:val="21"/>
              </w:rPr>
            </w:pPr>
            <w:r>
              <w:rPr>
                <w:rFonts w:eastAsiaTheme="minorEastAsia"/>
                <w:sz w:val="21"/>
                <w:szCs w:val="21"/>
              </w:rPr>
              <w:t>A2</w:t>
            </w:r>
          </w:p>
        </w:tc>
        <w:tc>
          <w:tcPr>
            <w:tcW w:w="1043" w:type="dxa"/>
            <w:vAlign w:val="center"/>
          </w:tcPr>
          <w:p w14:paraId="242A61C8">
            <w:pPr>
              <w:spacing w:line="240" w:lineRule="auto"/>
              <w:jc w:val="center"/>
              <w:rPr>
                <w:rFonts w:eastAsiaTheme="minorEastAsia"/>
                <w:sz w:val="21"/>
                <w:szCs w:val="21"/>
              </w:rPr>
            </w:pPr>
            <w:r>
              <w:rPr>
                <w:rFonts w:eastAsiaTheme="minorEastAsia"/>
                <w:sz w:val="21"/>
                <w:szCs w:val="21"/>
              </w:rPr>
              <w:t>危废间</w:t>
            </w:r>
          </w:p>
        </w:tc>
        <w:tc>
          <w:tcPr>
            <w:tcW w:w="606" w:type="dxa"/>
            <w:vAlign w:val="center"/>
          </w:tcPr>
          <w:p w14:paraId="479ACB8B">
            <w:pPr>
              <w:spacing w:line="240" w:lineRule="auto"/>
              <w:jc w:val="center"/>
              <w:rPr>
                <w:rFonts w:eastAsiaTheme="minorEastAsia"/>
                <w:sz w:val="21"/>
                <w:szCs w:val="21"/>
              </w:rPr>
            </w:pPr>
            <w:r>
              <w:rPr>
                <w:rFonts w:eastAsiaTheme="minorEastAsia"/>
                <w:sz w:val="21"/>
                <w:szCs w:val="21"/>
              </w:rPr>
              <w:t>-191</w:t>
            </w:r>
          </w:p>
        </w:tc>
        <w:tc>
          <w:tcPr>
            <w:tcW w:w="549" w:type="dxa"/>
            <w:vAlign w:val="center"/>
          </w:tcPr>
          <w:p w14:paraId="3A9BE881">
            <w:pPr>
              <w:spacing w:line="240" w:lineRule="auto"/>
              <w:jc w:val="center"/>
              <w:rPr>
                <w:rFonts w:eastAsiaTheme="minorEastAsia"/>
                <w:sz w:val="21"/>
                <w:szCs w:val="21"/>
              </w:rPr>
            </w:pPr>
            <w:r>
              <w:rPr>
                <w:rFonts w:eastAsiaTheme="minorEastAsia"/>
                <w:sz w:val="21"/>
                <w:szCs w:val="21"/>
              </w:rPr>
              <w:t>53</w:t>
            </w:r>
          </w:p>
        </w:tc>
        <w:tc>
          <w:tcPr>
            <w:tcW w:w="1054" w:type="dxa"/>
            <w:vAlign w:val="center"/>
          </w:tcPr>
          <w:p w14:paraId="6C7F2125">
            <w:pPr>
              <w:spacing w:line="240" w:lineRule="auto"/>
              <w:jc w:val="center"/>
              <w:rPr>
                <w:rFonts w:eastAsiaTheme="minorEastAsia"/>
                <w:sz w:val="21"/>
                <w:szCs w:val="21"/>
              </w:rPr>
            </w:pPr>
            <w:r>
              <w:rPr>
                <w:rFonts w:eastAsiaTheme="minorEastAsia"/>
                <w:sz w:val="21"/>
                <w:szCs w:val="21"/>
              </w:rPr>
              <w:t>55</w:t>
            </w:r>
          </w:p>
        </w:tc>
        <w:tc>
          <w:tcPr>
            <w:tcW w:w="1054" w:type="dxa"/>
            <w:vAlign w:val="center"/>
          </w:tcPr>
          <w:p w14:paraId="63F527AA">
            <w:pPr>
              <w:spacing w:line="240" w:lineRule="auto"/>
              <w:jc w:val="center"/>
              <w:rPr>
                <w:rFonts w:eastAsiaTheme="minorEastAsia"/>
                <w:sz w:val="21"/>
                <w:szCs w:val="21"/>
              </w:rPr>
            </w:pPr>
            <w:r>
              <w:rPr>
                <w:rFonts w:eastAsiaTheme="minorEastAsia"/>
                <w:sz w:val="21"/>
                <w:szCs w:val="21"/>
              </w:rPr>
              <w:t>17</w:t>
            </w:r>
          </w:p>
        </w:tc>
        <w:tc>
          <w:tcPr>
            <w:tcW w:w="1054" w:type="dxa"/>
            <w:vAlign w:val="center"/>
          </w:tcPr>
          <w:p w14:paraId="241735AF">
            <w:pPr>
              <w:spacing w:line="240" w:lineRule="auto"/>
              <w:jc w:val="center"/>
              <w:rPr>
                <w:rFonts w:eastAsiaTheme="minorEastAsia"/>
                <w:sz w:val="21"/>
                <w:szCs w:val="21"/>
              </w:rPr>
            </w:pPr>
            <w:r>
              <w:rPr>
                <w:rFonts w:eastAsiaTheme="minorEastAsia"/>
                <w:sz w:val="21"/>
                <w:szCs w:val="21"/>
              </w:rPr>
              <w:t>16</w:t>
            </w:r>
          </w:p>
        </w:tc>
        <w:tc>
          <w:tcPr>
            <w:tcW w:w="1067" w:type="dxa"/>
            <w:vAlign w:val="center"/>
          </w:tcPr>
          <w:p w14:paraId="54820248">
            <w:pPr>
              <w:spacing w:line="240" w:lineRule="auto"/>
              <w:jc w:val="center"/>
              <w:rPr>
                <w:rFonts w:eastAsiaTheme="minorEastAsia"/>
                <w:sz w:val="21"/>
                <w:szCs w:val="21"/>
              </w:rPr>
            </w:pPr>
            <w:r>
              <w:rPr>
                <w:rFonts w:eastAsiaTheme="minorEastAsia"/>
                <w:sz w:val="21"/>
                <w:szCs w:val="21"/>
              </w:rPr>
              <w:t>0</w:t>
            </w:r>
          </w:p>
        </w:tc>
        <w:tc>
          <w:tcPr>
            <w:tcW w:w="1043" w:type="dxa"/>
            <w:vAlign w:val="center"/>
          </w:tcPr>
          <w:p w14:paraId="1F12B631">
            <w:pPr>
              <w:spacing w:line="240" w:lineRule="auto"/>
              <w:jc w:val="center"/>
              <w:rPr>
                <w:rFonts w:eastAsiaTheme="minorEastAsia"/>
                <w:sz w:val="21"/>
                <w:szCs w:val="21"/>
              </w:rPr>
            </w:pPr>
            <w:r>
              <w:rPr>
                <w:rFonts w:eastAsiaTheme="minorEastAsia"/>
                <w:sz w:val="21"/>
                <w:szCs w:val="21"/>
              </w:rPr>
              <w:t>4.5</w:t>
            </w:r>
          </w:p>
        </w:tc>
        <w:tc>
          <w:tcPr>
            <w:tcW w:w="1067" w:type="dxa"/>
            <w:vAlign w:val="center"/>
          </w:tcPr>
          <w:p w14:paraId="0405CB1D">
            <w:pPr>
              <w:spacing w:line="240" w:lineRule="auto"/>
              <w:jc w:val="center"/>
              <w:rPr>
                <w:rFonts w:eastAsiaTheme="minorEastAsia"/>
                <w:sz w:val="21"/>
                <w:szCs w:val="21"/>
              </w:rPr>
            </w:pPr>
            <w:r>
              <w:rPr>
                <w:rFonts w:eastAsiaTheme="minorEastAsia"/>
                <w:sz w:val="21"/>
                <w:szCs w:val="21"/>
              </w:rPr>
              <w:t>8160</w:t>
            </w:r>
          </w:p>
        </w:tc>
        <w:tc>
          <w:tcPr>
            <w:tcW w:w="1580" w:type="dxa"/>
            <w:vAlign w:val="center"/>
          </w:tcPr>
          <w:p w14:paraId="02FCA7C5">
            <w:pPr>
              <w:spacing w:line="240" w:lineRule="auto"/>
              <w:jc w:val="center"/>
              <w:rPr>
                <w:rFonts w:eastAsiaTheme="minorEastAsia"/>
                <w:sz w:val="21"/>
                <w:szCs w:val="21"/>
              </w:rPr>
            </w:pPr>
            <w:r>
              <w:rPr>
                <w:rFonts w:eastAsiaTheme="minorEastAsia"/>
                <w:sz w:val="21"/>
                <w:szCs w:val="21"/>
              </w:rPr>
              <w:t>稳定连续</w:t>
            </w:r>
          </w:p>
        </w:tc>
        <w:tc>
          <w:tcPr>
            <w:tcW w:w="3492" w:type="dxa"/>
            <w:vAlign w:val="center"/>
          </w:tcPr>
          <w:p w14:paraId="1FD269FC">
            <w:pPr>
              <w:spacing w:line="240" w:lineRule="auto"/>
              <w:jc w:val="center"/>
              <w:rPr>
                <w:rFonts w:hint="eastAsia" w:eastAsiaTheme="minorEastAsia"/>
                <w:sz w:val="21"/>
                <w:szCs w:val="21"/>
                <w:lang w:val="en-US" w:eastAsia="zh-CN"/>
              </w:rPr>
            </w:pPr>
            <w:r>
              <w:rPr>
                <w:rFonts w:hint="eastAsia" w:eastAsiaTheme="minorEastAsia"/>
                <w:sz w:val="21"/>
                <w:szCs w:val="21"/>
              </w:rPr>
              <w:t>0.0</w:t>
            </w:r>
            <w:r>
              <w:rPr>
                <w:rFonts w:hint="eastAsia" w:eastAsiaTheme="minorEastAsia"/>
                <w:sz w:val="21"/>
                <w:szCs w:val="21"/>
                <w:lang w:val="en-US" w:eastAsia="zh-CN"/>
              </w:rPr>
              <w:t>5</w:t>
            </w:r>
          </w:p>
        </w:tc>
      </w:tr>
    </w:tbl>
    <w:p w14:paraId="24579DCF">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表6.2-12 </w:t>
      </w:r>
      <w:r>
        <w:rPr>
          <w:rFonts w:hint="eastAsia"/>
        </w:rPr>
        <w:t>非正常排放下点源参数表</w:t>
      </w:r>
    </w:p>
    <w:tbl>
      <w:tblPr>
        <w:tblStyle w:val="61"/>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1561"/>
        <w:gridCol w:w="655"/>
        <w:gridCol w:w="536"/>
        <w:gridCol w:w="866"/>
        <w:gridCol w:w="707"/>
        <w:gridCol w:w="866"/>
        <w:gridCol w:w="899"/>
        <w:gridCol w:w="687"/>
        <w:gridCol w:w="897"/>
        <w:gridCol w:w="3033"/>
        <w:gridCol w:w="1515"/>
        <w:gridCol w:w="1952"/>
      </w:tblGrid>
      <w:tr w14:paraId="76B3EDF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561" w:type="dxa"/>
            <w:vMerge w:val="restart"/>
            <w:tcBorders>
              <w:tl2br w:val="nil"/>
              <w:tr2bl w:val="nil"/>
            </w:tcBorders>
            <w:vAlign w:val="center"/>
          </w:tcPr>
          <w:p w14:paraId="094E77B6">
            <w:pPr>
              <w:spacing w:line="240" w:lineRule="auto"/>
              <w:jc w:val="center"/>
              <w:rPr>
                <w:rFonts w:eastAsiaTheme="minorEastAsia"/>
                <w:sz w:val="21"/>
                <w:szCs w:val="21"/>
              </w:rPr>
            </w:pPr>
            <w:r>
              <w:rPr>
                <w:rFonts w:eastAsiaTheme="minorEastAsia"/>
                <w:sz w:val="21"/>
                <w:szCs w:val="21"/>
              </w:rPr>
              <w:t>编号名称</w:t>
            </w:r>
          </w:p>
        </w:tc>
        <w:tc>
          <w:tcPr>
            <w:tcW w:w="1191" w:type="dxa"/>
            <w:gridSpan w:val="2"/>
            <w:tcBorders>
              <w:tl2br w:val="nil"/>
              <w:tr2bl w:val="nil"/>
            </w:tcBorders>
            <w:vAlign w:val="center"/>
          </w:tcPr>
          <w:p w14:paraId="6A11946B">
            <w:pPr>
              <w:spacing w:line="240" w:lineRule="auto"/>
              <w:jc w:val="center"/>
              <w:rPr>
                <w:rFonts w:eastAsiaTheme="minorEastAsia"/>
                <w:sz w:val="21"/>
                <w:szCs w:val="21"/>
              </w:rPr>
            </w:pPr>
            <w:r>
              <w:rPr>
                <w:rFonts w:eastAsiaTheme="minorEastAsia"/>
                <w:sz w:val="21"/>
                <w:szCs w:val="21"/>
              </w:rPr>
              <w:t>排气筒底部中心坐标m</w:t>
            </w:r>
          </w:p>
        </w:tc>
        <w:tc>
          <w:tcPr>
            <w:tcW w:w="866" w:type="dxa"/>
            <w:vMerge w:val="restart"/>
            <w:tcBorders>
              <w:tl2br w:val="nil"/>
              <w:tr2bl w:val="nil"/>
            </w:tcBorders>
            <w:vAlign w:val="center"/>
          </w:tcPr>
          <w:p w14:paraId="1A7401F8">
            <w:pPr>
              <w:spacing w:line="240" w:lineRule="auto"/>
              <w:jc w:val="center"/>
              <w:rPr>
                <w:rFonts w:eastAsiaTheme="minorEastAsia"/>
                <w:sz w:val="21"/>
                <w:szCs w:val="21"/>
              </w:rPr>
            </w:pPr>
            <w:r>
              <w:rPr>
                <w:rFonts w:eastAsiaTheme="minorEastAsia"/>
                <w:sz w:val="21"/>
                <w:szCs w:val="21"/>
              </w:rPr>
              <w:t>排气筒底部海拔m</w:t>
            </w:r>
          </w:p>
        </w:tc>
        <w:tc>
          <w:tcPr>
            <w:tcW w:w="707" w:type="dxa"/>
            <w:vMerge w:val="restart"/>
            <w:tcBorders>
              <w:tl2br w:val="nil"/>
              <w:tr2bl w:val="nil"/>
            </w:tcBorders>
            <w:vAlign w:val="center"/>
          </w:tcPr>
          <w:p w14:paraId="152247F6">
            <w:pPr>
              <w:spacing w:line="240" w:lineRule="auto"/>
              <w:jc w:val="center"/>
              <w:rPr>
                <w:rFonts w:eastAsiaTheme="minorEastAsia"/>
                <w:sz w:val="21"/>
                <w:szCs w:val="21"/>
              </w:rPr>
            </w:pPr>
            <w:r>
              <w:rPr>
                <w:rFonts w:eastAsiaTheme="minorEastAsia"/>
                <w:sz w:val="21"/>
                <w:szCs w:val="21"/>
              </w:rPr>
              <w:t>排气筒高度m</w:t>
            </w:r>
          </w:p>
        </w:tc>
        <w:tc>
          <w:tcPr>
            <w:tcW w:w="866" w:type="dxa"/>
            <w:vMerge w:val="restart"/>
            <w:tcBorders>
              <w:tl2br w:val="nil"/>
              <w:tr2bl w:val="nil"/>
            </w:tcBorders>
            <w:vAlign w:val="center"/>
          </w:tcPr>
          <w:p w14:paraId="4C0083A1">
            <w:pPr>
              <w:spacing w:line="240" w:lineRule="auto"/>
              <w:jc w:val="center"/>
              <w:rPr>
                <w:rFonts w:eastAsiaTheme="minorEastAsia"/>
                <w:sz w:val="21"/>
                <w:szCs w:val="21"/>
              </w:rPr>
            </w:pPr>
            <w:r>
              <w:rPr>
                <w:rFonts w:eastAsiaTheme="minorEastAsia"/>
                <w:sz w:val="21"/>
                <w:szCs w:val="21"/>
              </w:rPr>
              <w:t>排气筒出口内径m</w:t>
            </w:r>
          </w:p>
        </w:tc>
        <w:tc>
          <w:tcPr>
            <w:tcW w:w="899" w:type="dxa"/>
            <w:vMerge w:val="restart"/>
            <w:tcBorders>
              <w:tl2br w:val="nil"/>
              <w:tr2bl w:val="nil"/>
            </w:tcBorders>
            <w:vAlign w:val="center"/>
          </w:tcPr>
          <w:p w14:paraId="223A2AE1">
            <w:pPr>
              <w:spacing w:line="240" w:lineRule="auto"/>
              <w:jc w:val="center"/>
              <w:rPr>
                <w:rFonts w:eastAsiaTheme="minorEastAsia"/>
                <w:sz w:val="21"/>
                <w:szCs w:val="21"/>
              </w:rPr>
            </w:pPr>
            <w:r>
              <w:rPr>
                <w:rFonts w:eastAsiaTheme="minorEastAsia"/>
                <w:sz w:val="21"/>
                <w:szCs w:val="21"/>
              </w:rPr>
              <w:t>排气量m</w:t>
            </w:r>
            <w:r>
              <w:rPr>
                <w:rFonts w:eastAsiaTheme="minorEastAsia"/>
                <w:sz w:val="21"/>
                <w:szCs w:val="21"/>
                <w:vertAlign w:val="superscript"/>
              </w:rPr>
              <w:t>3</w:t>
            </w:r>
            <w:r>
              <w:rPr>
                <w:rFonts w:eastAsiaTheme="minorEastAsia"/>
                <w:sz w:val="21"/>
                <w:szCs w:val="21"/>
              </w:rPr>
              <w:t>/h</w:t>
            </w:r>
          </w:p>
        </w:tc>
        <w:tc>
          <w:tcPr>
            <w:tcW w:w="687" w:type="dxa"/>
            <w:vMerge w:val="restart"/>
            <w:tcBorders>
              <w:tl2br w:val="nil"/>
              <w:tr2bl w:val="nil"/>
            </w:tcBorders>
            <w:vAlign w:val="center"/>
          </w:tcPr>
          <w:p w14:paraId="39EE9ECE">
            <w:pPr>
              <w:spacing w:line="240" w:lineRule="auto"/>
              <w:jc w:val="center"/>
              <w:rPr>
                <w:rFonts w:eastAsiaTheme="minorEastAsia"/>
                <w:sz w:val="21"/>
                <w:szCs w:val="21"/>
              </w:rPr>
            </w:pPr>
            <w:r>
              <w:rPr>
                <w:rFonts w:eastAsiaTheme="minorEastAsia"/>
                <w:sz w:val="21"/>
                <w:szCs w:val="21"/>
              </w:rPr>
              <w:t>烟气</w:t>
            </w:r>
          </w:p>
          <w:p w14:paraId="6BD30BB5">
            <w:pPr>
              <w:spacing w:line="240" w:lineRule="auto"/>
              <w:jc w:val="center"/>
              <w:rPr>
                <w:rFonts w:eastAsiaTheme="minorEastAsia"/>
                <w:sz w:val="21"/>
                <w:szCs w:val="21"/>
              </w:rPr>
            </w:pPr>
            <w:r>
              <w:rPr>
                <w:rFonts w:eastAsiaTheme="minorEastAsia"/>
                <w:sz w:val="21"/>
                <w:szCs w:val="21"/>
              </w:rPr>
              <w:t>温度</w:t>
            </w:r>
          </w:p>
          <w:p w14:paraId="4B054C51">
            <w:pPr>
              <w:spacing w:line="240" w:lineRule="auto"/>
              <w:jc w:val="center"/>
              <w:rPr>
                <w:rFonts w:eastAsiaTheme="minorEastAsia"/>
                <w:sz w:val="21"/>
                <w:szCs w:val="21"/>
              </w:rPr>
            </w:pPr>
            <w:r>
              <w:rPr>
                <w:rFonts w:eastAsiaTheme="minorEastAsia"/>
                <w:sz w:val="21"/>
                <w:szCs w:val="21"/>
              </w:rPr>
              <w:t>℃</w:t>
            </w:r>
          </w:p>
        </w:tc>
        <w:tc>
          <w:tcPr>
            <w:tcW w:w="897" w:type="dxa"/>
            <w:vMerge w:val="restart"/>
            <w:tcBorders>
              <w:tl2br w:val="nil"/>
              <w:tr2bl w:val="nil"/>
            </w:tcBorders>
            <w:vAlign w:val="center"/>
          </w:tcPr>
          <w:p w14:paraId="2C88EAD1">
            <w:pPr>
              <w:spacing w:line="240" w:lineRule="auto"/>
              <w:jc w:val="center"/>
              <w:rPr>
                <w:rFonts w:eastAsiaTheme="minorEastAsia"/>
                <w:sz w:val="21"/>
                <w:szCs w:val="21"/>
              </w:rPr>
            </w:pPr>
            <w:r>
              <w:rPr>
                <w:rFonts w:eastAsiaTheme="minorEastAsia"/>
                <w:sz w:val="21"/>
                <w:szCs w:val="21"/>
              </w:rPr>
              <w:t>年排放小时数/h</w:t>
            </w:r>
          </w:p>
        </w:tc>
        <w:tc>
          <w:tcPr>
            <w:tcW w:w="3033" w:type="dxa"/>
            <w:vMerge w:val="restart"/>
            <w:tcBorders>
              <w:tl2br w:val="nil"/>
              <w:tr2bl w:val="nil"/>
            </w:tcBorders>
            <w:vAlign w:val="center"/>
          </w:tcPr>
          <w:p w14:paraId="1AFC9E2E">
            <w:pPr>
              <w:spacing w:line="240" w:lineRule="auto"/>
              <w:jc w:val="center"/>
              <w:rPr>
                <w:rFonts w:eastAsiaTheme="minorEastAsia"/>
                <w:sz w:val="21"/>
                <w:szCs w:val="21"/>
              </w:rPr>
            </w:pPr>
            <w:r>
              <w:rPr>
                <w:rFonts w:eastAsiaTheme="minorEastAsia"/>
                <w:sz w:val="21"/>
                <w:szCs w:val="21"/>
              </w:rPr>
              <w:t>排放工况</w:t>
            </w:r>
          </w:p>
        </w:tc>
        <w:tc>
          <w:tcPr>
            <w:tcW w:w="3467" w:type="dxa"/>
            <w:gridSpan w:val="2"/>
            <w:tcBorders>
              <w:tl2br w:val="nil"/>
              <w:tr2bl w:val="nil"/>
            </w:tcBorders>
            <w:vAlign w:val="center"/>
          </w:tcPr>
          <w:p w14:paraId="2629CE17">
            <w:pPr>
              <w:spacing w:line="240" w:lineRule="auto"/>
              <w:jc w:val="center"/>
              <w:rPr>
                <w:rFonts w:eastAsiaTheme="minorEastAsia"/>
                <w:sz w:val="21"/>
                <w:szCs w:val="21"/>
              </w:rPr>
            </w:pPr>
            <w:r>
              <w:rPr>
                <w:rFonts w:eastAsiaTheme="minorEastAsia"/>
                <w:sz w:val="21"/>
                <w:szCs w:val="21"/>
              </w:rPr>
              <w:t>污染物排放速率</w:t>
            </w:r>
          </w:p>
          <w:p w14:paraId="0D65750A">
            <w:pPr>
              <w:spacing w:line="240" w:lineRule="auto"/>
              <w:jc w:val="center"/>
              <w:rPr>
                <w:rFonts w:eastAsiaTheme="minorEastAsia"/>
                <w:sz w:val="21"/>
                <w:szCs w:val="21"/>
              </w:rPr>
            </w:pPr>
            <w:r>
              <w:rPr>
                <w:rFonts w:eastAsiaTheme="minorEastAsia"/>
                <w:sz w:val="21"/>
                <w:szCs w:val="21"/>
              </w:rPr>
              <w:t>kg/h</w:t>
            </w:r>
          </w:p>
        </w:tc>
      </w:tr>
      <w:tr w14:paraId="214DB76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561" w:type="dxa"/>
            <w:vMerge w:val="continue"/>
            <w:tcBorders>
              <w:tl2br w:val="nil"/>
              <w:tr2bl w:val="nil"/>
            </w:tcBorders>
            <w:vAlign w:val="center"/>
          </w:tcPr>
          <w:p w14:paraId="11CC685B">
            <w:pPr>
              <w:spacing w:line="240" w:lineRule="auto"/>
              <w:jc w:val="center"/>
              <w:rPr>
                <w:rFonts w:eastAsiaTheme="minorEastAsia"/>
                <w:sz w:val="21"/>
                <w:szCs w:val="21"/>
              </w:rPr>
            </w:pPr>
          </w:p>
        </w:tc>
        <w:tc>
          <w:tcPr>
            <w:tcW w:w="655" w:type="dxa"/>
            <w:tcBorders>
              <w:tl2br w:val="nil"/>
              <w:tr2bl w:val="nil"/>
            </w:tcBorders>
            <w:vAlign w:val="center"/>
          </w:tcPr>
          <w:p w14:paraId="164EF4EA">
            <w:pPr>
              <w:spacing w:line="240" w:lineRule="auto"/>
              <w:jc w:val="center"/>
              <w:rPr>
                <w:rFonts w:eastAsiaTheme="minorEastAsia"/>
                <w:sz w:val="21"/>
                <w:szCs w:val="21"/>
              </w:rPr>
            </w:pPr>
            <w:r>
              <w:rPr>
                <w:rFonts w:eastAsiaTheme="minorEastAsia"/>
                <w:sz w:val="21"/>
                <w:szCs w:val="21"/>
              </w:rPr>
              <w:t>X</w:t>
            </w:r>
          </w:p>
        </w:tc>
        <w:tc>
          <w:tcPr>
            <w:tcW w:w="536" w:type="dxa"/>
            <w:tcBorders>
              <w:tl2br w:val="nil"/>
              <w:tr2bl w:val="nil"/>
            </w:tcBorders>
            <w:vAlign w:val="center"/>
          </w:tcPr>
          <w:p w14:paraId="1C44BC4A">
            <w:pPr>
              <w:spacing w:line="240" w:lineRule="auto"/>
              <w:jc w:val="center"/>
              <w:rPr>
                <w:rFonts w:eastAsiaTheme="minorEastAsia"/>
                <w:sz w:val="21"/>
                <w:szCs w:val="21"/>
              </w:rPr>
            </w:pPr>
            <w:r>
              <w:rPr>
                <w:rFonts w:eastAsiaTheme="minorEastAsia"/>
                <w:sz w:val="21"/>
                <w:szCs w:val="21"/>
              </w:rPr>
              <w:t>Y</w:t>
            </w:r>
          </w:p>
        </w:tc>
        <w:tc>
          <w:tcPr>
            <w:tcW w:w="866" w:type="dxa"/>
            <w:vMerge w:val="continue"/>
            <w:tcBorders>
              <w:tl2br w:val="nil"/>
              <w:tr2bl w:val="nil"/>
            </w:tcBorders>
            <w:vAlign w:val="center"/>
          </w:tcPr>
          <w:p w14:paraId="6782A711">
            <w:pPr>
              <w:spacing w:line="240" w:lineRule="auto"/>
              <w:jc w:val="center"/>
              <w:rPr>
                <w:rFonts w:eastAsiaTheme="minorEastAsia"/>
                <w:sz w:val="21"/>
                <w:szCs w:val="21"/>
              </w:rPr>
            </w:pPr>
          </w:p>
        </w:tc>
        <w:tc>
          <w:tcPr>
            <w:tcW w:w="707" w:type="dxa"/>
            <w:vMerge w:val="continue"/>
            <w:tcBorders>
              <w:tl2br w:val="nil"/>
              <w:tr2bl w:val="nil"/>
            </w:tcBorders>
            <w:vAlign w:val="center"/>
          </w:tcPr>
          <w:p w14:paraId="489C0394">
            <w:pPr>
              <w:spacing w:line="240" w:lineRule="auto"/>
              <w:jc w:val="center"/>
              <w:rPr>
                <w:rFonts w:eastAsiaTheme="minorEastAsia"/>
                <w:sz w:val="21"/>
                <w:szCs w:val="21"/>
              </w:rPr>
            </w:pPr>
          </w:p>
        </w:tc>
        <w:tc>
          <w:tcPr>
            <w:tcW w:w="866" w:type="dxa"/>
            <w:vMerge w:val="continue"/>
            <w:tcBorders>
              <w:tl2br w:val="nil"/>
              <w:tr2bl w:val="nil"/>
            </w:tcBorders>
            <w:vAlign w:val="center"/>
          </w:tcPr>
          <w:p w14:paraId="2BB5256F">
            <w:pPr>
              <w:spacing w:line="240" w:lineRule="auto"/>
              <w:jc w:val="center"/>
              <w:rPr>
                <w:rFonts w:eastAsiaTheme="minorEastAsia"/>
                <w:sz w:val="21"/>
                <w:szCs w:val="21"/>
              </w:rPr>
            </w:pPr>
          </w:p>
        </w:tc>
        <w:tc>
          <w:tcPr>
            <w:tcW w:w="899" w:type="dxa"/>
            <w:vMerge w:val="continue"/>
            <w:tcBorders>
              <w:tl2br w:val="nil"/>
              <w:tr2bl w:val="nil"/>
            </w:tcBorders>
            <w:vAlign w:val="center"/>
          </w:tcPr>
          <w:p w14:paraId="155FCD9B">
            <w:pPr>
              <w:spacing w:line="240" w:lineRule="auto"/>
              <w:jc w:val="center"/>
              <w:rPr>
                <w:rFonts w:eastAsiaTheme="minorEastAsia"/>
                <w:sz w:val="21"/>
                <w:szCs w:val="21"/>
              </w:rPr>
            </w:pPr>
          </w:p>
        </w:tc>
        <w:tc>
          <w:tcPr>
            <w:tcW w:w="687" w:type="dxa"/>
            <w:vMerge w:val="continue"/>
            <w:tcBorders>
              <w:tl2br w:val="nil"/>
              <w:tr2bl w:val="nil"/>
            </w:tcBorders>
            <w:vAlign w:val="center"/>
          </w:tcPr>
          <w:p w14:paraId="746284B4">
            <w:pPr>
              <w:spacing w:line="240" w:lineRule="auto"/>
              <w:jc w:val="center"/>
              <w:rPr>
                <w:rFonts w:eastAsiaTheme="minorEastAsia"/>
                <w:sz w:val="21"/>
                <w:szCs w:val="21"/>
              </w:rPr>
            </w:pPr>
          </w:p>
        </w:tc>
        <w:tc>
          <w:tcPr>
            <w:tcW w:w="897" w:type="dxa"/>
            <w:vMerge w:val="continue"/>
            <w:tcBorders>
              <w:tl2br w:val="nil"/>
              <w:tr2bl w:val="nil"/>
            </w:tcBorders>
            <w:vAlign w:val="center"/>
          </w:tcPr>
          <w:p w14:paraId="675FAF2F">
            <w:pPr>
              <w:spacing w:line="240" w:lineRule="auto"/>
              <w:jc w:val="center"/>
              <w:rPr>
                <w:rFonts w:eastAsiaTheme="minorEastAsia"/>
                <w:sz w:val="21"/>
                <w:szCs w:val="21"/>
              </w:rPr>
            </w:pPr>
          </w:p>
        </w:tc>
        <w:tc>
          <w:tcPr>
            <w:tcW w:w="3033" w:type="dxa"/>
            <w:vMerge w:val="continue"/>
            <w:tcBorders>
              <w:tl2br w:val="nil"/>
              <w:tr2bl w:val="nil"/>
            </w:tcBorders>
            <w:vAlign w:val="center"/>
          </w:tcPr>
          <w:p w14:paraId="0CD5DCA9">
            <w:pPr>
              <w:spacing w:line="240" w:lineRule="auto"/>
              <w:jc w:val="center"/>
              <w:rPr>
                <w:rFonts w:eastAsiaTheme="minorEastAsia"/>
                <w:sz w:val="21"/>
                <w:szCs w:val="21"/>
              </w:rPr>
            </w:pPr>
          </w:p>
        </w:tc>
        <w:tc>
          <w:tcPr>
            <w:tcW w:w="1515" w:type="dxa"/>
            <w:tcBorders>
              <w:tl2br w:val="nil"/>
              <w:tr2bl w:val="nil"/>
            </w:tcBorders>
            <w:vAlign w:val="center"/>
          </w:tcPr>
          <w:p w14:paraId="58978493">
            <w:pPr>
              <w:spacing w:line="240" w:lineRule="auto"/>
              <w:jc w:val="center"/>
              <w:rPr>
                <w:rFonts w:eastAsiaTheme="minorEastAsia"/>
                <w:sz w:val="21"/>
                <w:szCs w:val="21"/>
              </w:rPr>
            </w:pPr>
            <w:r>
              <w:rPr>
                <w:rFonts w:eastAsiaTheme="minorEastAsia"/>
                <w:sz w:val="21"/>
                <w:szCs w:val="21"/>
              </w:rPr>
              <w:t>挥发性有机物</w:t>
            </w:r>
          </w:p>
        </w:tc>
        <w:tc>
          <w:tcPr>
            <w:tcW w:w="1952" w:type="dxa"/>
            <w:tcBorders>
              <w:tl2br w:val="nil"/>
              <w:tr2bl w:val="nil"/>
            </w:tcBorders>
            <w:vAlign w:val="center"/>
          </w:tcPr>
          <w:p w14:paraId="3F5EFEB0">
            <w:pPr>
              <w:spacing w:line="240" w:lineRule="auto"/>
              <w:jc w:val="center"/>
              <w:rPr>
                <w:rFonts w:eastAsiaTheme="minorEastAsia"/>
                <w:sz w:val="21"/>
                <w:szCs w:val="21"/>
              </w:rPr>
            </w:pPr>
            <w:r>
              <w:rPr>
                <w:rFonts w:eastAsiaTheme="minorEastAsia"/>
                <w:sz w:val="21"/>
                <w:szCs w:val="21"/>
              </w:rPr>
              <w:t>NOx</w:t>
            </w:r>
          </w:p>
        </w:tc>
      </w:tr>
      <w:tr w14:paraId="4DC14BAB">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561" w:type="dxa"/>
            <w:tcBorders>
              <w:tl2br w:val="nil"/>
              <w:tr2bl w:val="nil"/>
            </w:tcBorders>
            <w:vAlign w:val="center"/>
          </w:tcPr>
          <w:p w14:paraId="5537C709">
            <w:pPr>
              <w:spacing w:line="240" w:lineRule="auto"/>
              <w:jc w:val="center"/>
              <w:rPr>
                <w:rFonts w:eastAsiaTheme="minorEastAsia"/>
                <w:sz w:val="21"/>
                <w:szCs w:val="21"/>
              </w:rPr>
            </w:pPr>
            <w:r>
              <w:rPr>
                <w:rFonts w:eastAsiaTheme="minorEastAsia"/>
                <w:sz w:val="21"/>
                <w:szCs w:val="21"/>
              </w:rPr>
              <w:t>排气筒DA001</w:t>
            </w:r>
          </w:p>
        </w:tc>
        <w:tc>
          <w:tcPr>
            <w:tcW w:w="655" w:type="dxa"/>
            <w:tcBorders>
              <w:tl2br w:val="nil"/>
              <w:tr2bl w:val="nil"/>
            </w:tcBorders>
            <w:vAlign w:val="center"/>
          </w:tcPr>
          <w:p w14:paraId="64B77EC1">
            <w:pPr>
              <w:spacing w:line="240" w:lineRule="auto"/>
              <w:jc w:val="center"/>
              <w:rPr>
                <w:rFonts w:eastAsiaTheme="minorEastAsia"/>
                <w:sz w:val="21"/>
                <w:szCs w:val="21"/>
              </w:rPr>
            </w:pPr>
            <w:r>
              <w:rPr>
                <w:rFonts w:eastAsiaTheme="minorEastAsia"/>
                <w:sz w:val="21"/>
                <w:szCs w:val="21"/>
              </w:rPr>
              <w:t>-49</w:t>
            </w:r>
          </w:p>
        </w:tc>
        <w:tc>
          <w:tcPr>
            <w:tcW w:w="536" w:type="dxa"/>
            <w:tcBorders>
              <w:tl2br w:val="nil"/>
              <w:tr2bl w:val="nil"/>
            </w:tcBorders>
            <w:vAlign w:val="center"/>
          </w:tcPr>
          <w:p w14:paraId="49DC1133">
            <w:pPr>
              <w:spacing w:line="240" w:lineRule="auto"/>
              <w:jc w:val="center"/>
              <w:rPr>
                <w:rFonts w:eastAsiaTheme="minorEastAsia"/>
                <w:sz w:val="21"/>
                <w:szCs w:val="21"/>
              </w:rPr>
            </w:pPr>
            <w:r>
              <w:rPr>
                <w:rFonts w:eastAsiaTheme="minorEastAsia"/>
                <w:sz w:val="21"/>
                <w:szCs w:val="21"/>
              </w:rPr>
              <w:t>16</w:t>
            </w:r>
          </w:p>
        </w:tc>
        <w:tc>
          <w:tcPr>
            <w:tcW w:w="866" w:type="dxa"/>
            <w:tcBorders>
              <w:tl2br w:val="nil"/>
              <w:tr2bl w:val="nil"/>
            </w:tcBorders>
            <w:vAlign w:val="center"/>
          </w:tcPr>
          <w:p w14:paraId="73D25488">
            <w:pPr>
              <w:spacing w:line="240" w:lineRule="auto"/>
              <w:jc w:val="center"/>
              <w:rPr>
                <w:rFonts w:eastAsiaTheme="minorEastAsia"/>
                <w:sz w:val="21"/>
                <w:szCs w:val="21"/>
              </w:rPr>
            </w:pPr>
            <w:r>
              <w:rPr>
                <w:rFonts w:eastAsiaTheme="minorEastAsia"/>
                <w:sz w:val="21"/>
                <w:szCs w:val="21"/>
              </w:rPr>
              <w:t>55</w:t>
            </w:r>
          </w:p>
        </w:tc>
        <w:tc>
          <w:tcPr>
            <w:tcW w:w="707" w:type="dxa"/>
            <w:tcBorders>
              <w:tl2br w:val="nil"/>
              <w:tr2bl w:val="nil"/>
            </w:tcBorders>
            <w:vAlign w:val="center"/>
          </w:tcPr>
          <w:p w14:paraId="1DF765E7">
            <w:pPr>
              <w:spacing w:line="240" w:lineRule="auto"/>
              <w:jc w:val="center"/>
              <w:rPr>
                <w:rFonts w:eastAsiaTheme="minorEastAsia"/>
                <w:sz w:val="21"/>
                <w:szCs w:val="21"/>
              </w:rPr>
            </w:pPr>
            <w:r>
              <w:rPr>
                <w:rFonts w:eastAsiaTheme="minorEastAsia"/>
                <w:sz w:val="21"/>
                <w:szCs w:val="21"/>
              </w:rPr>
              <w:t>20.5</w:t>
            </w:r>
          </w:p>
        </w:tc>
        <w:tc>
          <w:tcPr>
            <w:tcW w:w="866" w:type="dxa"/>
            <w:tcBorders>
              <w:tl2br w:val="nil"/>
              <w:tr2bl w:val="nil"/>
            </w:tcBorders>
            <w:vAlign w:val="center"/>
          </w:tcPr>
          <w:p w14:paraId="3FFD54D6">
            <w:pPr>
              <w:spacing w:line="240" w:lineRule="auto"/>
              <w:jc w:val="center"/>
              <w:rPr>
                <w:rFonts w:eastAsiaTheme="minorEastAsia"/>
                <w:sz w:val="21"/>
                <w:szCs w:val="21"/>
              </w:rPr>
            </w:pPr>
            <w:r>
              <w:rPr>
                <w:rFonts w:eastAsiaTheme="minorEastAsia"/>
                <w:sz w:val="21"/>
                <w:szCs w:val="21"/>
              </w:rPr>
              <w:t>2.7</w:t>
            </w:r>
          </w:p>
        </w:tc>
        <w:tc>
          <w:tcPr>
            <w:tcW w:w="899" w:type="dxa"/>
            <w:tcBorders>
              <w:tl2br w:val="nil"/>
              <w:tr2bl w:val="nil"/>
            </w:tcBorders>
            <w:vAlign w:val="center"/>
          </w:tcPr>
          <w:p w14:paraId="17C2C9AC">
            <w:pPr>
              <w:spacing w:line="240" w:lineRule="auto"/>
              <w:jc w:val="center"/>
              <w:rPr>
                <w:rFonts w:eastAsiaTheme="minorEastAsia"/>
                <w:sz w:val="21"/>
                <w:szCs w:val="21"/>
              </w:rPr>
            </w:pPr>
            <w:r>
              <w:rPr>
                <w:rFonts w:eastAsiaTheme="minorEastAsia"/>
                <w:sz w:val="21"/>
                <w:szCs w:val="21"/>
              </w:rPr>
              <w:t>134800</w:t>
            </w:r>
          </w:p>
        </w:tc>
        <w:tc>
          <w:tcPr>
            <w:tcW w:w="687" w:type="dxa"/>
            <w:tcBorders>
              <w:tl2br w:val="nil"/>
              <w:tr2bl w:val="nil"/>
            </w:tcBorders>
            <w:vAlign w:val="center"/>
          </w:tcPr>
          <w:p w14:paraId="549A5518">
            <w:pPr>
              <w:spacing w:line="240" w:lineRule="auto"/>
              <w:jc w:val="center"/>
              <w:rPr>
                <w:rFonts w:eastAsiaTheme="minorEastAsia"/>
                <w:sz w:val="21"/>
                <w:szCs w:val="21"/>
              </w:rPr>
            </w:pPr>
            <w:r>
              <w:rPr>
                <w:rFonts w:eastAsiaTheme="minorEastAsia"/>
                <w:sz w:val="21"/>
                <w:szCs w:val="21"/>
              </w:rPr>
              <w:t>38</w:t>
            </w:r>
          </w:p>
        </w:tc>
        <w:tc>
          <w:tcPr>
            <w:tcW w:w="897" w:type="dxa"/>
            <w:tcBorders>
              <w:tl2br w:val="nil"/>
              <w:tr2bl w:val="nil"/>
            </w:tcBorders>
            <w:vAlign w:val="center"/>
          </w:tcPr>
          <w:p w14:paraId="42FA448D">
            <w:pPr>
              <w:spacing w:line="240" w:lineRule="auto"/>
              <w:jc w:val="center"/>
              <w:rPr>
                <w:rFonts w:eastAsiaTheme="minorEastAsia"/>
                <w:sz w:val="21"/>
                <w:szCs w:val="21"/>
              </w:rPr>
            </w:pPr>
            <w:r>
              <w:rPr>
                <w:rFonts w:eastAsiaTheme="minorEastAsia"/>
                <w:sz w:val="21"/>
                <w:szCs w:val="21"/>
              </w:rPr>
              <w:t>8160</w:t>
            </w:r>
          </w:p>
        </w:tc>
        <w:tc>
          <w:tcPr>
            <w:tcW w:w="3033" w:type="dxa"/>
            <w:vMerge w:val="restart"/>
            <w:tcBorders>
              <w:tl2br w:val="nil"/>
              <w:tr2bl w:val="nil"/>
            </w:tcBorders>
            <w:vAlign w:val="center"/>
          </w:tcPr>
          <w:p w14:paraId="3E68AF47">
            <w:pPr>
              <w:spacing w:line="240" w:lineRule="auto"/>
              <w:jc w:val="center"/>
              <w:rPr>
                <w:rFonts w:eastAsiaTheme="minorEastAsia"/>
                <w:sz w:val="21"/>
                <w:szCs w:val="21"/>
              </w:rPr>
            </w:pPr>
            <w:r>
              <w:rPr>
                <w:rFonts w:eastAsiaTheme="minorEastAsia"/>
                <w:sz w:val="21"/>
                <w:szCs w:val="21"/>
              </w:rPr>
              <w:t>废气处理系统失效，废气未经处理由排气筒直接排放</w:t>
            </w:r>
          </w:p>
        </w:tc>
        <w:tc>
          <w:tcPr>
            <w:tcW w:w="1515" w:type="dxa"/>
            <w:tcBorders>
              <w:tl2br w:val="nil"/>
              <w:tr2bl w:val="nil"/>
            </w:tcBorders>
            <w:vAlign w:val="center"/>
          </w:tcPr>
          <w:p w14:paraId="060A0E38">
            <w:pPr>
              <w:spacing w:line="240" w:lineRule="auto"/>
              <w:jc w:val="center"/>
              <w:rPr>
                <w:rFonts w:hint="default" w:eastAsiaTheme="minorEastAsia"/>
                <w:sz w:val="21"/>
                <w:szCs w:val="21"/>
                <w:lang w:val="en-US" w:eastAsia="zh-CN"/>
              </w:rPr>
            </w:pPr>
            <w:r>
              <w:rPr>
                <w:rFonts w:hint="eastAsia" w:eastAsiaTheme="minorEastAsia"/>
                <w:sz w:val="21"/>
                <w:szCs w:val="21"/>
                <w:lang w:val="en-US" w:eastAsia="zh-CN"/>
              </w:rPr>
              <w:t>249.3</w:t>
            </w:r>
          </w:p>
        </w:tc>
        <w:tc>
          <w:tcPr>
            <w:tcW w:w="1952" w:type="dxa"/>
            <w:tcBorders>
              <w:tl2br w:val="nil"/>
              <w:tr2bl w:val="nil"/>
            </w:tcBorders>
            <w:vAlign w:val="center"/>
          </w:tcPr>
          <w:p w14:paraId="58987723">
            <w:pPr>
              <w:spacing w:line="240" w:lineRule="auto"/>
              <w:jc w:val="center"/>
              <w:rPr>
                <w:rFonts w:eastAsiaTheme="minorEastAsia"/>
                <w:sz w:val="21"/>
                <w:szCs w:val="21"/>
              </w:rPr>
            </w:pPr>
            <w:r>
              <w:rPr>
                <w:rFonts w:eastAsiaTheme="minorEastAsia"/>
                <w:sz w:val="21"/>
                <w:szCs w:val="21"/>
              </w:rPr>
              <w:t>/</w:t>
            </w:r>
          </w:p>
        </w:tc>
      </w:tr>
      <w:tr w14:paraId="0AA394E3">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561" w:type="dxa"/>
            <w:tcBorders>
              <w:tl2br w:val="nil"/>
              <w:tr2bl w:val="nil"/>
            </w:tcBorders>
            <w:vAlign w:val="center"/>
          </w:tcPr>
          <w:p w14:paraId="5A8D5944">
            <w:pPr>
              <w:spacing w:line="240" w:lineRule="auto"/>
              <w:jc w:val="center"/>
              <w:rPr>
                <w:rFonts w:eastAsiaTheme="minorEastAsia"/>
                <w:sz w:val="21"/>
                <w:szCs w:val="21"/>
              </w:rPr>
            </w:pPr>
            <w:r>
              <w:rPr>
                <w:rFonts w:eastAsiaTheme="minorEastAsia"/>
                <w:sz w:val="21"/>
                <w:szCs w:val="21"/>
              </w:rPr>
              <w:t>排气筒DA002</w:t>
            </w:r>
          </w:p>
        </w:tc>
        <w:tc>
          <w:tcPr>
            <w:tcW w:w="655" w:type="dxa"/>
            <w:tcBorders>
              <w:tl2br w:val="nil"/>
              <w:tr2bl w:val="nil"/>
            </w:tcBorders>
            <w:vAlign w:val="center"/>
          </w:tcPr>
          <w:p w14:paraId="2213F011">
            <w:pPr>
              <w:spacing w:line="240" w:lineRule="auto"/>
              <w:jc w:val="center"/>
              <w:rPr>
                <w:rFonts w:eastAsiaTheme="minorEastAsia"/>
                <w:sz w:val="21"/>
                <w:szCs w:val="21"/>
              </w:rPr>
            </w:pPr>
            <w:r>
              <w:rPr>
                <w:rFonts w:eastAsiaTheme="minorEastAsia"/>
                <w:sz w:val="21"/>
                <w:szCs w:val="21"/>
              </w:rPr>
              <w:t>-90</w:t>
            </w:r>
          </w:p>
        </w:tc>
        <w:tc>
          <w:tcPr>
            <w:tcW w:w="536" w:type="dxa"/>
            <w:tcBorders>
              <w:tl2br w:val="nil"/>
              <w:tr2bl w:val="nil"/>
            </w:tcBorders>
            <w:vAlign w:val="center"/>
          </w:tcPr>
          <w:p w14:paraId="769DA8DE">
            <w:pPr>
              <w:spacing w:line="240" w:lineRule="auto"/>
              <w:jc w:val="center"/>
              <w:rPr>
                <w:rFonts w:eastAsiaTheme="minorEastAsia"/>
                <w:sz w:val="21"/>
                <w:szCs w:val="21"/>
              </w:rPr>
            </w:pPr>
            <w:r>
              <w:rPr>
                <w:rFonts w:eastAsiaTheme="minorEastAsia"/>
                <w:sz w:val="21"/>
                <w:szCs w:val="21"/>
              </w:rPr>
              <w:t>34</w:t>
            </w:r>
          </w:p>
        </w:tc>
        <w:tc>
          <w:tcPr>
            <w:tcW w:w="866" w:type="dxa"/>
            <w:tcBorders>
              <w:tl2br w:val="nil"/>
              <w:tr2bl w:val="nil"/>
            </w:tcBorders>
            <w:vAlign w:val="center"/>
          </w:tcPr>
          <w:p w14:paraId="42E8B631">
            <w:pPr>
              <w:spacing w:line="240" w:lineRule="auto"/>
              <w:jc w:val="center"/>
              <w:rPr>
                <w:rFonts w:eastAsiaTheme="minorEastAsia"/>
                <w:sz w:val="21"/>
                <w:szCs w:val="21"/>
              </w:rPr>
            </w:pPr>
            <w:r>
              <w:rPr>
                <w:rFonts w:eastAsiaTheme="minorEastAsia"/>
                <w:sz w:val="21"/>
                <w:szCs w:val="21"/>
              </w:rPr>
              <w:t>55</w:t>
            </w:r>
          </w:p>
        </w:tc>
        <w:tc>
          <w:tcPr>
            <w:tcW w:w="707" w:type="dxa"/>
            <w:tcBorders>
              <w:tl2br w:val="nil"/>
              <w:tr2bl w:val="nil"/>
            </w:tcBorders>
            <w:vAlign w:val="center"/>
          </w:tcPr>
          <w:p w14:paraId="7538D533">
            <w:pPr>
              <w:spacing w:line="240" w:lineRule="auto"/>
              <w:jc w:val="center"/>
              <w:rPr>
                <w:rFonts w:eastAsiaTheme="minorEastAsia"/>
                <w:sz w:val="21"/>
                <w:szCs w:val="21"/>
              </w:rPr>
            </w:pPr>
            <w:r>
              <w:rPr>
                <w:rFonts w:eastAsiaTheme="minorEastAsia"/>
                <w:sz w:val="21"/>
                <w:szCs w:val="21"/>
              </w:rPr>
              <w:t>16</w:t>
            </w:r>
          </w:p>
        </w:tc>
        <w:tc>
          <w:tcPr>
            <w:tcW w:w="866" w:type="dxa"/>
            <w:tcBorders>
              <w:tl2br w:val="nil"/>
              <w:tr2bl w:val="nil"/>
            </w:tcBorders>
            <w:vAlign w:val="center"/>
          </w:tcPr>
          <w:p w14:paraId="22B830A7">
            <w:pPr>
              <w:spacing w:line="240" w:lineRule="auto"/>
              <w:jc w:val="center"/>
              <w:rPr>
                <w:rFonts w:eastAsiaTheme="minorEastAsia"/>
                <w:sz w:val="21"/>
                <w:szCs w:val="21"/>
              </w:rPr>
            </w:pPr>
            <w:r>
              <w:rPr>
                <w:rFonts w:eastAsiaTheme="minorEastAsia"/>
                <w:sz w:val="21"/>
                <w:szCs w:val="21"/>
              </w:rPr>
              <w:t>0.35</w:t>
            </w:r>
          </w:p>
        </w:tc>
        <w:tc>
          <w:tcPr>
            <w:tcW w:w="899" w:type="dxa"/>
            <w:tcBorders>
              <w:tl2br w:val="nil"/>
              <w:tr2bl w:val="nil"/>
            </w:tcBorders>
            <w:vAlign w:val="center"/>
          </w:tcPr>
          <w:p w14:paraId="307BCC60">
            <w:pPr>
              <w:spacing w:line="240" w:lineRule="auto"/>
              <w:jc w:val="center"/>
              <w:rPr>
                <w:rFonts w:eastAsiaTheme="minorEastAsia"/>
                <w:sz w:val="21"/>
                <w:szCs w:val="21"/>
              </w:rPr>
            </w:pPr>
            <w:r>
              <w:rPr>
                <w:rFonts w:eastAsiaTheme="minorEastAsia"/>
                <w:sz w:val="21"/>
                <w:szCs w:val="21"/>
              </w:rPr>
              <w:t>2000</w:t>
            </w:r>
          </w:p>
        </w:tc>
        <w:tc>
          <w:tcPr>
            <w:tcW w:w="687" w:type="dxa"/>
            <w:tcBorders>
              <w:tl2br w:val="nil"/>
              <w:tr2bl w:val="nil"/>
            </w:tcBorders>
            <w:vAlign w:val="center"/>
          </w:tcPr>
          <w:p w14:paraId="490B0CBD">
            <w:pPr>
              <w:spacing w:line="240" w:lineRule="auto"/>
              <w:jc w:val="center"/>
              <w:rPr>
                <w:rFonts w:eastAsiaTheme="minorEastAsia"/>
                <w:sz w:val="21"/>
                <w:szCs w:val="21"/>
              </w:rPr>
            </w:pPr>
            <w:r>
              <w:rPr>
                <w:rFonts w:eastAsiaTheme="minorEastAsia"/>
                <w:sz w:val="21"/>
                <w:szCs w:val="21"/>
              </w:rPr>
              <w:t>130</w:t>
            </w:r>
          </w:p>
        </w:tc>
        <w:tc>
          <w:tcPr>
            <w:tcW w:w="897" w:type="dxa"/>
            <w:tcBorders>
              <w:bottom w:val="single" w:color="000000" w:sz="12" w:space="0"/>
              <w:tl2br w:val="nil"/>
              <w:tr2bl w:val="nil"/>
            </w:tcBorders>
            <w:vAlign w:val="center"/>
          </w:tcPr>
          <w:p w14:paraId="48E4A006">
            <w:pPr>
              <w:spacing w:line="240" w:lineRule="auto"/>
              <w:jc w:val="center"/>
              <w:rPr>
                <w:rFonts w:eastAsiaTheme="minorEastAsia"/>
                <w:sz w:val="21"/>
                <w:szCs w:val="21"/>
              </w:rPr>
            </w:pPr>
            <w:r>
              <w:rPr>
                <w:rFonts w:eastAsiaTheme="minorEastAsia"/>
                <w:sz w:val="21"/>
                <w:szCs w:val="21"/>
              </w:rPr>
              <w:t>8160</w:t>
            </w:r>
          </w:p>
        </w:tc>
        <w:tc>
          <w:tcPr>
            <w:tcW w:w="3033" w:type="dxa"/>
            <w:vMerge w:val="continue"/>
            <w:tcBorders>
              <w:bottom w:val="single" w:color="000000" w:sz="12" w:space="0"/>
              <w:tl2br w:val="nil"/>
              <w:tr2bl w:val="nil"/>
            </w:tcBorders>
            <w:vAlign w:val="center"/>
          </w:tcPr>
          <w:p w14:paraId="3CAB6610">
            <w:pPr>
              <w:spacing w:line="240" w:lineRule="auto"/>
              <w:jc w:val="center"/>
              <w:rPr>
                <w:rFonts w:eastAsiaTheme="minorEastAsia"/>
                <w:sz w:val="21"/>
                <w:szCs w:val="21"/>
              </w:rPr>
            </w:pPr>
          </w:p>
        </w:tc>
        <w:tc>
          <w:tcPr>
            <w:tcW w:w="1515" w:type="dxa"/>
            <w:tcBorders>
              <w:bottom w:val="single" w:color="000000" w:sz="12" w:space="0"/>
              <w:tl2br w:val="nil"/>
              <w:tr2bl w:val="nil"/>
            </w:tcBorders>
            <w:vAlign w:val="center"/>
          </w:tcPr>
          <w:p w14:paraId="77B9A258">
            <w:pPr>
              <w:spacing w:line="240" w:lineRule="auto"/>
              <w:jc w:val="center"/>
              <w:rPr>
                <w:rFonts w:eastAsiaTheme="minorEastAsia"/>
                <w:sz w:val="21"/>
                <w:szCs w:val="21"/>
              </w:rPr>
            </w:pPr>
            <w:r>
              <w:rPr>
                <w:rFonts w:eastAsiaTheme="minorEastAsia"/>
                <w:sz w:val="21"/>
                <w:szCs w:val="21"/>
              </w:rPr>
              <w:t>/</w:t>
            </w:r>
          </w:p>
        </w:tc>
        <w:tc>
          <w:tcPr>
            <w:tcW w:w="1952" w:type="dxa"/>
            <w:tcBorders>
              <w:bottom w:val="single" w:color="000000" w:sz="12" w:space="0"/>
              <w:tl2br w:val="nil"/>
              <w:tr2bl w:val="nil"/>
            </w:tcBorders>
            <w:vAlign w:val="center"/>
          </w:tcPr>
          <w:p w14:paraId="42C1C829">
            <w:pPr>
              <w:spacing w:line="240" w:lineRule="auto"/>
              <w:jc w:val="center"/>
              <w:rPr>
                <w:rFonts w:eastAsiaTheme="minorEastAsia"/>
                <w:sz w:val="21"/>
                <w:szCs w:val="21"/>
              </w:rPr>
            </w:pPr>
            <w:r>
              <w:rPr>
                <w:rFonts w:hint="eastAsia" w:eastAsiaTheme="minorEastAsia"/>
                <w:sz w:val="21"/>
                <w:szCs w:val="21"/>
              </w:rPr>
              <w:t>0.26</w:t>
            </w:r>
          </w:p>
        </w:tc>
      </w:tr>
    </w:tbl>
    <w:p w14:paraId="6A862CCA">
      <w:pPr>
        <w:ind w:firstLine="480"/>
        <w:rPr>
          <w:b/>
          <w:bCs/>
        </w:rPr>
      </w:pPr>
      <w:r>
        <w:rPr>
          <w:rFonts w:hint="eastAsia"/>
          <w:b/>
          <w:bCs/>
        </w:rPr>
        <w:t>3.周边在建工程污染源强</w:t>
      </w:r>
    </w:p>
    <w:p w14:paraId="195BDEDE">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表6.2-13 </w:t>
      </w:r>
      <w:r>
        <w:rPr>
          <w:rFonts w:hint="eastAsia"/>
        </w:rPr>
        <w:t>区域在建、拟建工程面源参数表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54"/>
        <w:gridCol w:w="863"/>
        <w:gridCol w:w="960"/>
        <w:gridCol w:w="863"/>
        <w:gridCol w:w="883"/>
        <w:gridCol w:w="941"/>
        <w:gridCol w:w="805"/>
        <w:gridCol w:w="1058"/>
        <w:gridCol w:w="958"/>
        <w:gridCol w:w="730"/>
        <w:gridCol w:w="825"/>
        <w:gridCol w:w="941"/>
        <w:gridCol w:w="1129"/>
        <w:gridCol w:w="768"/>
        <w:gridCol w:w="896"/>
      </w:tblGrid>
      <w:tr w14:paraId="5BCB6C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vMerge w:val="restart"/>
            <w:tcBorders>
              <w:tl2br w:val="nil"/>
              <w:tr2bl w:val="nil"/>
            </w:tcBorders>
            <w:vAlign w:val="center"/>
          </w:tcPr>
          <w:p w14:paraId="7B92B3D2">
            <w:pPr>
              <w:spacing w:line="240" w:lineRule="auto"/>
              <w:jc w:val="center"/>
              <w:rPr>
                <w:sz w:val="21"/>
                <w:szCs w:val="21"/>
              </w:rPr>
            </w:pPr>
            <w:r>
              <w:rPr>
                <w:sz w:val="21"/>
                <w:szCs w:val="21"/>
              </w:rPr>
              <w:t>名称</w:t>
            </w:r>
          </w:p>
        </w:tc>
        <w:tc>
          <w:tcPr>
            <w:tcW w:w="863" w:type="dxa"/>
            <w:vMerge w:val="restart"/>
            <w:tcBorders>
              <w:tl2br w:val="nil"/>
              <w:tr2bl w:val="nil"/>
            </w:tcBorders>
            <w:vAlign w:val="center"/>
          </w:tcPr>
          <w:p w14:paraId="7BA1D4FD">
            <w:pPr>
              <w:spacing w:line="240" w:lineRule="auto"/>
              <w:jc w:val="center"/>
              <w:rPr>
                <w:sz w:val="21"/>
                <w:szCs w:val="21"/>
              </w:rPr>
            </w:pPr>
            <w:r>
              <w:rPr>
                <w:sz w:val="21"/>
                <w:szCs w:val="21"/>
              </w:rPr>
              <w:t>污染源</w:t>
            </w:r>
          </w:p>
        </w:tc>
        <w:tc>
          <w:tcPr>
            <w:tcW w:w="1823" w:type="dxa"/>
            <w:gridSpan w:val="2"/>
            <w:tcBorders>
              <w:tl2br w:val="nil"/>
              <w:tr2bl w:val="nil"/>
            </w:tcBorders>
            <w:vAlign w:val="center"/>
          </w:tcPr>
          <w:p w14:paraId="00BDFD7E">
            <w:pPr>
              <w:spacing w:line="240" w:lineRule="auto"/>
              <w:jc w:val="center"/>
              <w:rPr>
                <w:sz w:val="21"/>
                <w:szCs w:val="21"/>
              </w:rPr>
            </w:pPr>
            <w:r>
              <w:rPr>
                <w:sz w:val="21"/>
                <w:szCs w:val="21"/>
              </w:rPr>
              <w:t>排气筒基底坐标</w:t>
            </w:r>
          </w:p>
        </w:tc>
        <w:tc>
          <w:tcPr>
            <w:tcW w:w="1824" w:type="dxa"/>
            <w:gridSpan w:val="2"/>
            <w:tcBorders>
              <w:tl2br w:val="nil"/>
              <w:tr2bl w:val="nil"/>
            </w:tcBorders>
            <w:vAlign w:val="center"/>
          </w:tcPr>
          <w:p w14:paraId="015D919C">
            <w:pPr>
              <w:spacing w:line="240" w:lineRule="auto"/>
              <w:jc w:val="center"/>
              <w:rPr>
                <w:sz w:val="21"/>
                <w:szCs w:val="21"/>
              </w:rPr>
            </w:pPr>
            <w:r>
              <w:rPr>
                <w:sz w:val="21"/>
                <w:szCs w:val="21"/>
              </w:rPr>
              <w:t>排气筒（m）</w:t>
            </w:r>
          </w:p>
        </w:tc>
        <w:tc>
          <w:tcPr>
            <w:tcW w:w="805" w:type="dxa"/>
            <w:tcBorders>
              <w:tl2br w:val="nil"/>
              <w:tr2bl w:val="nil"/>
            </w:tcBorders>
            <w:vAlign w:val="center"/>
          </w:tcPr>
          <w:p w14:paraId="64D01275">
            <w:pPr>
              <w:spacing w:line="240" w:lineRule="auto"/>
              <w:jc w:val="center"/>
              <w:rPr>
                <w:sz w:val="21"/>
                <w:szCs w:val="21"/>
              </w:rPr>
            </w:pPr>
            <w:r>
              <w:rPr>
                <w:sz w:val="21"/>
                <w:szCs w:val="21"/>
              </w:rPr>
              <w:t>风量</w:t>
            </w:r>
          </w:p>
        </w:tc>
        <w:tc>
          <w:tcPr>
            <w:tcW w:w="3571" w:type="dxa"/>
            <w:gridSpan w:val="4"/>
            <w:tcBorders>
              <w:tl2br w:val="nil"/>
              <w:tr2bl w:val="nil"/>
            </w:tcBorders>
            <w:vAlign w:val="center"/>
          </w:tcPr>
          <w:p w14:paraId="383B4A0A">
            <w:pPr>
              <w:spacing w:line="240" w:lineRule="auto"/>
              <w:jc w:val="center"/>
              <w:rPr>
                <w:sz w:val="21"/>
                <w:szCs w:val="21"/>
              </w:rPr>
            </w:pPr>
            <w:r>
              <w:rPr>
                <w:rFonts w:hint="eastAsia"/>
                <w:sz w:val="21"/>
                <w:szCs w:val="21"/>
              </w:rPr>
              <w:t>有组织</w:t>
            </w:r>
            <w:r>
              <w:rPr>
                <w:sz w:val="21"/>
                <w:szCs w:val="21"/>
              </w:rPr>
              <w:t>污染物排放速率（kg/h）</w:t>
            </w:r>
          </w:p>
        </w:tc>
        <w:tc>
          <w:tcPr>
            <w:tcW w:w="3734" w:type="dxa"/>
            <w:gridSpan w:val="4"/>
            <w:tcBorders>
              <w:tl2br w:val="nil"/>
              <w:tr2bl w:val="nil"/>
            </w:tcBorders>
            <w:vAlign w:val="center"/>
          </w:tcPr>
          <w:p w14:paraId="5EEA63FF">
            <w:pPr>
              <w:spacing w:line="240" w:lineRule="auto"/>
              <w:jc w:val="center"/>
              <w:rPr>
                <w:sz w:val="21"/>
                <w:szCs w:val="21"/>
              </w:rPr>
            </w:pPr>
            <w:r>
              <w:rPr>
                <w:sz w:val="21"/>
                <w:szCs w:val="21"/>
              </w:rPr>
              <w:t>无组织排放速率（kg/h）</w:t>
            </w:r>
          </w:p>
        </w:tc>
      </w:tr>
      <w:tr w14:paraId="5F4D6E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4" w:type="dxa"/>
            <w:vMerge w:val="continue"/>
            <w:tcBorders>
              <w:tl2br w:val="nil"/>
              <w:tr2bl w:val="nil"/>
            </w:tcBorders>
            <w:vAlign w:val="center"/>
          </w:tcPr>
          <w:p w14:paraId="0870FF5D">
            <w:pPr>
              <w:spacing w:line="240" w:lineRule="auto"/>
              <w:jc w:val="center"/>
              <w:rPr>
                <w:sz w:val="21"/>
                <w:szCs w:val="21"/>
              </w:rPr>
            </w:pPr>
          </w:p>
        </w:tc>
        <w:tc>
          <w:tcPr>
            <w:tcW w:w="863" w:type="dxa"/>
            <w:vMerge w:val="continue"/>
            <w:tcBorders>
              <w:tl2br w:val="nil"/>
              <w:tr2bl w:val="nil"/>
            </w:tcBorders>
            <w:vAlign w:val="center"/>
          </w:tcPr>
          <w:p w14:paraId="0F1F3E85">
            <w:pPr>
              <w:spacing w:line="240" w:lineRule="auto"/>
              <w:jc w:val="center"/>
              <w:rPr>
                <w:sz w:val="21"/>
                <w:szCs w:val="21"/>
              </w:rPr>
            </w:pPr>
          </w:p>
        </w:tc>
        <w:tc>
          <w:tcPr>
            <w:tcW w:w="960" w:type="dxa"/>
            <w:tcBorders>
              <w:tl2br w:val="nil"/>
              <w:tr2bl w:val="nil"/>
            </w:tcBorders>
            <w:vAlign w:val="center"/>
          </w:tcPr>
          <w:p w14:paraId="2267E265">
            <w:pPr>
              <w:spacing w:line="240" w:lineRule="auto"/>
              <w:jc w:val="center"/>
              <w:rPr>
                <w:sz w:val="21"/>
                <w:szCs w:val="21"/>
              </w:rPr>
            </w:pPr>
            <w:r>
              <w:rPr>
                <w:sz w:val="21"/>
                <w:szCs w:val="21"/>
              </w:rPr>
              <w:t>X</w:t>
            </w:r>
          </w:p>
        </w:tc>
        <w:tc>
          <w:tcPr>
            <w:tcW w:w="863" w:type="dxa"/>
            <w:tcBorders>
              <w:tl2br w:val="nil"/>
              <w:tr2bl w:val="nil"/>
            </w:tcBorders>
            <w:vAlign w:val="center"/>
          </w:tcPr>
          <w:p w14:paraId="0465DCEC">
            <w:pPr>
              <w:spacing w:line="240" w:lineRule="auto"/>
              <w:jc w:val="center"/>
              <w:rPr>
                <w:sz w:val="21"/>
                <w:szCs w:val="21"/>
              </w:rPr>
            </w:pPr>
            <w:r>
              <w:rPr>
                <w:sz w:val="21"/>
                <w:szCs w:val="21"/>
              </w:rPr>
              <w:t>Y</w:t>
            </w:r>
          </w:p>
        </w:tc>
        <w:tc>
          <w:tcPr>
            <w:tcW w:w="883" w:type="dxa"/>
            <w:tcBorders>
              <w:tl2br w:val="nil"/>
              <w:tr2bl w:val="nil"/>
            </w:tcBorders>
            <w:vAlign w:val="center"/>
          </w:tcPr>
          <w:p w14:paraId="737CEFB1">
            <w:pPr>
              <w:spacing w:line="240" w:lineRule="auto"/>
              <w:jc w:val="center"/>
              <w:rPr>
                <w:sz w:val="21"/>
                <w:szCs w:val="21"/>
              </w:rPr>
            </w:pPr>
            <w:r>
              <w:rPr>
                <w:sz w:val="21"/>
                <w:szCs w:val="21"/>
              </w:rPr>
              <w:t>高度</w:t>
            </w:r>
          </w:p>
        </w:tc>
        <w:tc>
          <w:tcPr>
            <w:tcW w:w="941" w:type="dxa"/>
            <w:tcBorders>
              <w:tl2br w:val="nil"/>
              <w:tr2bl w:val="nil"/>
            </w:tcBorders>
            <w:vAlign w:val="center"/>
          </w:tcPr>
          <w:p w14:paraId="6B16B4AC">
            <w:pPr>
              <w:spacing w:line="240" w:lineRule="auto"/>
              <w:jc w:val="center"/>
              <w:rPr>
                <w:sz w:val="21"/>
                <w:szCs w:val="21"/>
              </w:rPr>
            </w:pPr>
            <w:r>
              <w:rPr>
                <w:sz w:val="21"/>
                <w:szCs w:val="21"/>
              </w:rPr>
              <w:t>内径</w:t>
            </w:r>
          </w:p>
        </w:tc>
        <w:tc>
          <w:tcPr>
            <w:tcW w:w="805" w:type="dxa"/>
            <w:tcBorders>
              <w:tl2br w:val="nil"/>
              <w:tr2bl w:val="nil"/>
            </w:tcBorders>
            <w:vAlign w:val="center"/>
          </w:tcPr>
          <w:p w14:paraId="2DE907DE">
            <w:pPr>
              <w:spacing w:line="240" w:lineRule="auto"/>
              <w:jc w:val="center"/>
              <w:rPr>
                <w:sz w:val="21"/>
                <w:szCs w:val="21"/>
              </w:rPr>
            </w:pPr>
            <w:r>
              <w:rPr>
                <w:sz w:val="21"/>
                <w:szCs w:val="21"/>
              </w:rPr>
              <w:t>m</w:t>
            </w:r>
            <w:r>
              <w:rPr>
                <w:sz w:val="21"/>
                <w:szCs w:val="21"/>
                <w:vertAlign w:val="superscript"/>
              </w:rPr>
              <w:t>3</w:t>
            </w:r>
            <w:r>
              <w:rPr>
                <w:sz w:val="21"/>
                <w:szCs w:val="21"/>
              </w:rPr>
              <w:t>/h</w:t>
            </w:r>
          </w:p>
        </w:tc>
        <w:tc>
          <w:tcPr>
            <w:tcW w:w="1058" w:type="dxa"/>
            <w:tcBorders>
              <w:tl2br w:val="nil"/>
              <w:tr2bl w:val="nil"/>
            </w:tcBorders>
            <w:vAlign w:val="center"/>
          </w:tcPr>
          <w:p w14:paraId="10B5B9DD">
            <w:pPr>
              <w:spacing w:line="240" w:lineRule="auto"/>
              <w:jc w:val="center"/>
              <w:rPr>
                <w:sz w:val="21"/>
                <w:szCs w:val="21"/>
              </w:rPr>
            </w:pPr>
            <w:r>
              <w:rPr>
                <w:rFonts w:hint="eastAsia"/>
                <w:sz w:val="21"/>
                <w:szCs w:val="21"/>
              </w:rPr>
              <w:t>VOCs</w:t>
            </w:r>
          </w:p>
        </w:tc>
        <w:tc>
          <w:tcPr>
            <w:tcW w:w="958" w:type="dxa"/>
            <w:tcBorders>
              <w:tl2br w:val="nil"/>
              <w:tr2bl w:val="nil"/>
            </w:tcBorders>
            <w:vAlign w:val="center"/>
          </w:tcPr>
          <w:p w14:paraId="5E1CF1CA">
            <w:pPr>
              <w:spacing w:line="240" w:lineRule="auto"/>
              <w:jc w:val="center"/>
              <w:rPr>
                <w:sz w:val="21"/>
                <w:szCs w:val="21"/>
              </w:rPr>
            </w:pPr>
            <w:r>
              <w:rPr>
                <w:rFonts w:hint="eastAsia"/>
                <w:sz w:val="21"/>
                <w:szCs w:val="21"/>
              </w:rPr>
              <w:t>TSP</w:t>
            </w:r>
          </w:p>
        </w:tc>
        <w:tc>
          <w:tcPr>
            <w:tcW w:w="730" w:type="dxa"/>
            <w:tcBorders>
              <w:tl2br w:val="nil"/>
              <w:tr2bl w:val="nil"/>
            </w:tcBorders>
            <w:vAlign w:val="center"/>
          </w:tcPr>
          <w:p w14:paraId="329C09E5">
            <w:pPr>
              <w:spacing w:line="240" w:lineRule="auto"/>
              <w:jc w:val="center"/>
              <w:rPr>
                <w:sz w:val="21"/>
                <w:szCs w:val="21"/>
              </w:rPr>
            </w:pPr>
            <w:r>
              <w:rPr>
                <w:sz w:val="21"/>
                <w:szCs w:val="21"/>
              </w:rPr>
              <w:t>SO</w:t>
            </w:r>
            <w:r>
              <w:rPr>
                <w:sz w:val="21"/>
                <w:szCs w:val="21"/>
                <w:vertAlign w:val="subscript"/>
              </w:rPr>
              <w:t>2</w:t>
            </w:r>
          </w:p>
        </w:tc>
        <w:tc>
          <w:tcPr>
            <w:tcW w:w="825" w:type="dxa"/>
            <w:tcBorders>
              <w:tl2br w:val="nil"/>
              <w:tr2bl w:val="nil"/>
            </w:tcBorders>
            <w:vAlign w:val="center"/>
          </w:tcPr>
          <w:p w14:paraId="226E49FA">
            <w:pPr>
              <w:spacing w:line="240" w:lineRule="auto"/>
              <w:jc w:val="center"/>
              <w:rPr>
                <w:sz w:val="21"/>
                <w:szCs w:val="21"/>
              </w:rPr>
            </w:pPr>
            <w:r>
              <w:rPr>
                <w:sz w:val="21"/>
                <w:szCs w:val="21"/>
              </w:rPr>
              <w:t>NO</w:t>
            </w:r>
            <w:r>
              <w:rPr>
                <w:sz w:val="21"/>
                <w:szCs w:val="21"/>
                <w:vertAlign w:val="subscript"/>
              </w:rPr>
              <w:t>X</w:t>
            </w:r>
          </w:p>
        </w:tc>
        <w:tc>
          <w:tcPr>
            <w:tcW w:w="941" w:type="dxa"/>
            <w:tcBorders>
              <w:tl2br w:val="nil"/>
              <w:tr2bl w:val="nil"/>
            </w:tcBorders>
            <w:vAlign w:val="center"/>
          </w:tcPr>
          <w:p w14:paraId="30E43169">
            <w:pPr>
              <w:spacing w:line="240" w:lineRule="auto"/>
              <w:jc w:val="center"/>
              <w:rPr>
                <w:sz w:val="21"/>
                <w:szCs w:val="21"/>
              </w:rPr>
            </w:pPr>
            <w:r>
              <w:rPr>
                <w:rFonts w:hint="eastAsia"/>
                <w:sz w:val="21"/>
                <w:szCs w:val="21"/>
              </w:rPr>
              <w:t>VOCs</w:t>
            </w:r>
          </w:p>
        </w:tc>
        <w:tc>
          <w:tcPr>
            <w:tcW w:w="1129" w:type="dxa"/>
            <w:tcBorders>
              <w:tl2br w:val="nil"/>
              <w:tr2bl w:val="nil"/>
            </w:tcBorders>
            <w:vAlign w:val="center"/>
          </w:tcPr>
          <w:p w14:paraId="48E277CE">
            <w:pPr>
              <w:spacing w:line="240" w:lineRule="auto"/>
              <w:jc w:val="center"/>
              <w:rPr>
                <w:sz w:val="21"/>
                <w:szCs w:val="21"/>
              </w:rPr>
            </w:pPr>
            <w:r>
              <w:rPr>
                <w:rFonts w:hint="eastAsia"/>
                <w:sz w:val="21"/>
                <w:szCs w:val="21"/>
              </w:rPr>
              <w:t>TSP</w:t>
            </w:r>
          </w:p>
        </w:tc>
        <w:tc>
          <w:tcPr>
            <w:tcW w:w="768" w:type="dxa"/>
            <w:tcBorders>
              <w:tl2br w:val="nil"/>
              <w:tr2bl w:val="nil"/>
            </w:tcBorders>
            <w:vAlign w:val="center"/>
          </w:tcPr>
          <w:p w14:paraId="019AE7A8">
            <w:pPr>
              <w:spacing w:line="240" w:lineRule="auto"/>
              <w:jc w:val="center"/>
              <w:rPr>
                <w:sz w:val="21"/>
                <w:szCs w:val="21"/>
              </w:rPr>
            </w:pPr>
            <w:r>
              <w:rPr>
                <w:sz w:val="21"/>
                <w:szCs w:val="21"/>
              </w:rPr>
              <w:t>SO</w:t>
            </w:r>
            <w:r>
              <w:rPr>
                <w:sz w:val="21"/>
                <w:szCs w:val="21"/>
                <w:vertAlign w:val="subscript"/>
              </w:rPr>
              <w:t>2</w:t>
            </w:r>
          </w:p>
        </w:tc>
        <w:tc>
          <w:tcPr>
            <w:tcW w:w="896" w:type="dxa"/>
            <w:tcBorders>
              <w:tl2br w:val="nil"/>
              <w:tr2bl w:val="nil"/>
            </w:tcBorders>
            <w:vAlign w:val="center"/>
          </w:tcPr>
          <w:p w14:paraId="06149205">
            <w:pPr>
              <w:spacing w:line="240" w:lineRule="auto"/>
              <w:jc w:val="center"/>
              <w:rPr>
                <w:sz w:val="21"/>
                <w:szCs w:val="21"/>
              </w:rPr>
            </w:pPr>
            <w:r>
              <w:rPr>
                <w:sz w:val="21"/>
                <w:szCs w:val="21"/>
              </w:rPr>
              <w:t>NO</w:t>
            </w:r>
            <w:r>
              <w:rPr>
                <w:sz w:val="21"/>
                <w:szCs w:val="21"/>
                <w:vertAlign w:val="subscript"/>
              </w:rPr>
              <w:t>X</w:t>
            </w:r>
          </w:p>
        </w:tc>
      </w:tr>
      <w:tr w14:paraId="76E9AB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7CE85167">
            <w:pPr>
              <w:spacing w:line="240" w:lineRule="auto"/>
              <w:jc w:val="center"/>
              <w:rPr>
                <w:sz w:val="21"/>
                <w:szCs w:val="21"/>
              </w:rPr>
            </w:pPr>
            <w:r>
              <w:rPr>
                <w:sz w:val="21"/>
                <w:szCs w:val="21"/>
              </w:rPr>
              <w:t>湖南绿</w:t>
            </w:r>
            <w:r>
              <w:rPr>
                <w:rFonts w:hint="eastAsia"/>
                <w:sz w:val="21"/>
                <w:szCs w:val="21"/>
              </w:rPr>
              <w:t>尚</w:t>
            </w:r>
            <w:r>
              <w:rPr>
                <w:sz w:val="21"/>
                <w:szCs w:val="21"/>
              </w:rPr>
              <w:t>再生资源有限公司</w:t>
            </w:r>
          </w:p>
        </w:tc>
        <w:tc>
          <w:tcPr>
            <w:tcW w:w="863" w:type="dxa"/>
            <w:tcBorders>
              <w:tl2br w:val="nil"/>
              <w:tr2bl w:val="nil"/>
            </w:tcBorders>
            <w:vAlign w:val="center"/>
          </w:tcPr>
          <w:p w14:paraId="005F9FA7">
            <w:pPr>
              <w:spacing w:line="240" w:lineRule="auto"/>
              <w:jc w:val="center"/>
              <w:rPr>
                <w:sz w:val="21"/>
                <w:szCs w:val="21"/>
              </w:rPr>
            </w:pPr>
            <w:r>
              <w:rPr>
                <w:rFonts w:hint="eastAsia"/>
                <w:sz w:val="21"/>
                <w:szCs w:val="21"/>
              </w:rPr>
              <w:t>P1</w:t>
            </w:r>
          </w:p>
        </w:tc>
        <w:tc>
          <w:tcPr>
            <w:tcW w:w="960" w:type="dxa"/>
            <w:tcBorders>
              <w:tl2br w:val="nil"/>
              <w:tr2bl w:val="nil"/>
            </w:tcBorders>
            <w:vAlign w:val="center"/>
          </w:tcPr>
          <w:p w14:paraId="32B40847">
            <w:pPr>
              <w:spacing w:line="240" w:lineRule="auto"/>
              <w:jc w:val="center"/>
              <w:rPr>
                <w:sz w:val="21"/>
                <w:szCs w:val="21"/>
              </w:rPr>
            </w:pPr>
            <w:r>
              <w:rPr>
                <w:rFonts w:hint="eastAsia"/>
                <w:sz w:val="21"/>
                <w:szCs w:val="21"/>
              </w:rPr>
              <w:t>-1067</w:t>
            </w:r>
          </w:p>
        </w:tc>
        <w:tc>
          <w:tcPr>
            <w:tcW w:w="863" w:type="dxa"/>
            <w:tcBorders>
              <w:tl2br w:val="nil"/>
              <w:tr2bl w:val="nil"/>
            </w:tcBorders>
            <w:vAlign w:val="center"/>
          </w:tcPr>
          <w:p w14:paraId="4DE2157D">
            <w:pPr>
              <w:spacing w:line="240" w:lineRule="auto"/>
              <w:jc w:val="center"/>
              <w:rPr>
                <w:sz w:val="21"/>
                <w:szCs w:val="21"/>
              </w:rPr>
            </w:pPr>
            <w:r>
              <w:rPr>
                <w:rFonts w:hint="eastAsia"/>
                <w:sz w:val="21"/>
                <w:szCs w:val="21"/>
              </w:rPr>
              <w:t>1323</w:t>
            </w:r>
          </w:p>
        </w:tc>
        <w:tc>
          <w:tcPr>
            <w:tcW w:w="883" w:type="dxa"/>
            <w:tcBorders>
              <w:tl2br w:val="nil"/>
              <w:tr2bl w:val="nil"/>
            </w:tcBorders>
            <w:vAlign w:val="center"/>
          </w:tcPr>
          <w:p w14:paraId="108DE2FB">
            <w:pPr>
              <w:spacing w:line="240" w:lineRule="auto"/>
              <w:jc w:val="center"/>
              <w:rPr>
                <w:sz w:val="21"/>
                <w:szCs w:val="21"/>
              </w:rPr>
            </w:pPr>
            <w:r>
              <w:rPr>
                <w:rFonts w:hint="eastAsia"/>
                <w:sz w:val="21"/>
                <w:szCs w:val="21"/>
              </w:rPr>
              <w:t>15</w:t>
            </w:r>
          </w:p>
        </w:tc>
        <w:tc>
          <w:tcPr>
            <w:tcW w:w="941" w:type="dxa"/>
            <w:tcBorders>
              <w:tl2br w:val="nil"/>
              <w:tr2bl w:val="nil"/>
            </w:tcBorders>
            <w:vAlign w:val="center"/>
          </w:tcPr>
          <w:p w14:paraId="3D02EC72">
            <w:pPr>
              <w:spacing w:line="240" w:lineRule="auto"/>
              <w:jc w:val="center"/>
              <w:rPr>
                <w:sz w:val="21"/>
                <w:szCs w:val="21"/>
              </w:rPr>
            </w:pPr>
            <w:r>
              <w:rPr>
                <w:rFonts w:hint="eastAsia"/>
                <w:sz w:val="21"/>
                <w:szCs w:val="21"/>
              </w:rPr>
              <w:t>0.6</w:t>
            </w:r>
          </w:p>
        </w:tc>
        <w:tc>
          <w:tcPr>
            <w:tcW w:w="805" w:type="dxa"/>
            <w:tcBorders>
              <w:tl2br w:val="nil"/>
              <w:tr2bl w:val="nil"/>
            </w:tcBorders>
            <w:vAlign w:val="center"/>
          </w:tcPr>
          <w:p w14:paraId="7FE387D3">
            <w:pPr>
              <w:spacing w:line="240" w:lineRule="auto"/>
              <w:jc w:val="center"/>
              <w:rPr>
                <w:sz w:val="21"/>
                <w:szCs w:val="21"/>
              </w:rPr>
            </w:pPr>
            <w:r>
              <w:rPr>
                <w:rFonts w:hint="eastAsia"/>
                <w:sz w:val="21"/>
                <w:szCs w:val="21"/>
              </w:rPr>
              <w:t>20000</w:t>
            </w:r>
          </w:p>
        </w:tc>
        <w:tc>
          <w:tcPr>
            <w:tcW w:w="1058" w:type="dxa"/>
            <w:tcBorders>
              <w:tl2br w:val="nil"/>
              <w:tr2bl w:val="nil"/>
            </w:tcBorders>
            <w:vAlign w:val="center"/>
          </w:tcPr>
          <w:p w14:paraId="2087415E">
            <w:pPr>
              <w:spacing w:line="240" w:lineRule="auto"/>
              <w:jc w:val="center"/>
              <w:rPr>
                <w:sz w:val="21"/>
                <w:szCs w:val="21"/>
              </w:rPr>
            </w:pPr>
            <w:r>
              <w:rPr>
                <w:rFonts w:hint="eastAsia"/>
                <w:sz w:val="21"/>
                <w:szCs w:val="21"/>
              </w:rPr>
              <w:t>0.033</w:t>
            </w:r>
          </w:p>
        </w:tc>
        <w:tc>
          <w:tcPr>
            <w:tcW w:w="958" w:type="dxa"/>
            <w:tcBorders>
              <w:tl2br w:val="nil"/>
              <w:tr2bl w:val="nil"/>
            </w:tcBorders>
            <w:vAlign w:val="center"/>
          </w:tcPr>
          <w:p w14:paraId="5923C4A7">
            <w:pPr>
              <w:spacing w:line="240" w:lineRule="auto"/>
              <w:jc w:val="center"/>
              <w:rPr>
                <w:sz w:val="21"/>
                <w:szCs w:val="21"/>
              </w:rPr>
            </w:pPr>
            <w:r>
              <w:rPr>
                <w:rFonts w:hint="eastAsia"/>
                <w:sz w:val="21"/>
                <w:szCs w:val="21"/>
              </w:rPr>
              <w:t>/</w:t>
            </w:r>
          </w:p>
        </w:tc>
        <w:tc>
          <w:tcPr>
            <w:tcW w:w="730" w:type="dxa"/>
            <w:tcBorders>
              <w:tl2br w:val="nil"/>
              <w:tr2bl w:val="nil"/>
            </w:tcBorders>
            <w:vAlign w:val="center"/>
          </w:tcPr>
          <w:p w14:paraId="00B53B40">
            <w:pPr>
              <w:spacing w:line="240" w:lineRule="auto"/>
              <w:jc w:val="center"/>
              <w:rPr>
                <w:sz w:val="21"/>
                <w:szCs w:val="21"/>
              </w:rPr>
            </w:pPr>
            <w:r>
              <w:rPr>
                <w:rFonts w:hint="eastAsia"/>
                <w:sz w:val="21"/>
                <w:szCs w:val="21"/>
              </w:rPr>
              <w:t>/</w:t>
            </w:r>
          </w:p>
        </w:tc>
        <w:tc>
          <w:tcPr>
            <w:tcW w:w="825" w:type="dxa"/>
            <w:tcBorders>
              <w:tl2br w:val="nil"/>
              <w:tr2bl w:val="nil"/>
            </w:tcBorders>
            <w:vAlign w:val="center"/>
          </w:tcPr>
          <w:p w14:paraId="0D56D95D">
            <w:pPr>
              <w:spacing w:line="240" w:lineRule="auto"/>
              <w:jc w:val="center"/>
              <w:rPr>
                <w:sz w:val="21"/>
                <w:szCs w:val="21"/>
              </w:rPr>
            </w:pPr>
            <w:r>
              <w:rPr>
                <w:rFonts w:hint="eastAsia"/>
                <w:sz w:val="21"/>
                <w:szCs w:val="21"/>
              </w:rPr>
              <w:t>/</w:t>
            </w:r>
          </w:p>
        </w:tc>
        <w:tc>
          <w:tcPr>
            <w:tcW w:w="941" w:type="dxa"/>
            <w:tcBorders>
              <w:tl2br w:val="nil"/>
              <w:tr2bl w:val="nil"/>
            </w:tcBorders>
            <w:vAlign w:val="center"/>
          </w:tcPr>
          <w:p w14:paraId="6548E8FF">
            <w:pPr>
              <w:spacing w:line="240" w:lineRule="auto"/>
              <w:jc w:val="center"/>
              <w:rPr>
                <w:sz w:val="21"/>
                <w:szCs w:val="21"/>
              </w:rPr>
            </w:pPr>
            <w:r>
              <w:rPr>
                <w:rFonts w:hint="eastAsia"/>
                <w:sz w:val="21"/>
                <w:szCs w:val="21"/>
              </w:rPr>
              <w:t>0.018</w:t>
            </w:r>
          </w:p>
        </w:tc>
        <w:tc>
          <w:tcPr>
            <w:tcW w:w="1129" w:type="dxa"/>
            <w:tcBorders>
              <w:tl2br w:val="nil"/>
              <w:tr2bl w:val="nil"/>
            </w:tcBorders>
            <w:vAlign w:val="center"/>
          </w:tcPr>
          <w:p w14:paraId="30078472">
            <w:pPr>
              <w:spacing w:line="240" w:lineRule="auto"/>
              <w:jc w:val="center"/>
              <w:rPr>
                <w:sz w:val="21"/>
                <w:szCs w:val="21"/>
              </w:rPr>
            </w:pPr>
            <w:r>
              <w:rPr>
                <w:rFonts w:hint="eastAsia"/>
                <w:sz w:val="21"/>
                <w:szCs w:val="21"/>
              </w:rPr>
              <w:t>/</w:t>
            </w:r>
          </w:p>
        </w:tc>
        <w:tc>
          <w:tcPr>
            <w:tcW w:w="768" w:type="dxa"/>
            <w:tcBorders>
              <w:tl2br w:val="nil"/>
              <w:tr2bl w:val="nil"/>
            </w:tcBorders>
            <w:vAlign w:val="center"/>
          </w:tcPr>
          <w:p w14:paraId="354E3C29">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7E40EE93">
            <w:pPr>
              <w:spacing w:line="240" w:lineRule="auto"/>
              <w:jc w:val="center"/>
              <w:rPr>
                <w:sz w:val="21"/>
                <w:szCs w:val="21"/>
              </w:rPr>
            </w:pPr>
            <w:r>
              <w:rPr>
                <w:rFonts w:hint="eastAsia"/>
                <w:sz w:val="21"/>
                <w:szCs w:val="21"/>
              </w:rPr>
              <w:t>/</w:t>
            </w:r>
          </w:p>
        </w:tc>
      </w:tr>
      <w:tr w14:paraId="43EEFB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0478937F">
            <w:pPr>
              <w:spacing w:line="240" w:lineRule="auto"/>
              <w:jc w:val="center"/>
              <w:rPr>
                <w:sz w:val="21"/>
                <w:szCs w:val="21"/>
              </w:rPr>
            </w:pPr>
            <w:r>
              <w:rPr>
                <w:sz w:val="21"/>
                <w:szCs w:val="21"/>
              </w:rPr>
              <w:t>湖南利宇金属科技有限公司</w:t>
            </w:r>
          </w:p>
        </w:tc>
        <w:tc>
          <w:tcPr>
            <w:tcW w:w="863" w:type="dxa"/>
            <w:tcBorders>
              <w:tl2br w:val="nil"/>
              <w:tr2bl w:val="nil"/>
            </w:tcBorders>
            <w:vAlign w:val="center"/>
          </w:tcPr>
          <w:p w14:paraId="026ECFC3">
            <w:pPr>
              <w:spacing w:line="240" w:lineRule="auto"/>
              <w:jc w:val="center"/>
              <w:rPr>
                <w:sz w:val="21"/>
                <w:szCs w:val="21"/>
              </w:rPr>
            </w:pPr>
            <w:r>
              <w:rPr>
                <w:rFonts w:hint="eastAsia"/>
                <w:sz w:val="21"/>
                <w:szCs w:val="21"/>
              </w:rPr>
              <w:t>P2</w:t>
            </w:r>
          </w:p>
        </w:tc>
        <w:tc>
          <w:tcPr>
            <w:tcW w:w="960" w:type="dxa"/>
            <w:tcBorders>
              <w:tl2br w:val="nil"/>
              <w:tr2bl w:val="nil"/>
            </w:tcBorders>
            <w:vAlign w:val="center"/>
          </w:tcPr>
          <w:p w14:paraId="30605933">
            <w:pPr>
              <w:spacing w:line="240" w:lineRule="auto"/>
              <w:jc w:val="center"/>
              <w:rPr>
                <w:sz w:val="21"/>
                <w:szCs w:val="21"/>
              </w:rPr>
            </w:pPr>
            <w:r>
              <w:rPr>
                <w:rFonts w:hint="eastAsia"/>
                <w:sz w:val="21"/>
                <w:szCs w:val="21"/>
              </w:rPr>
              <w:t>-434</w:t>
            </w:r>
          </w:p>
        </w:tc>
        <w:tc>
          <w:tcPr>
            <w:tcW w:w="863" w:type="dxa"/>
            <w:tcBorders>
              <w:tl2br w:val="nil"/>
              <w:tr2bl w:val="nil"/>
            </w:tcBorders>
            <w:vAlign w:val="center"/>
          </w:tcPr>
          <w:p w14:paraId="210415C4">
            <w:pPr>
              <w:spacing w:line="240" w:lineRule="auto"/>
              <w:jc w:val="center"/>
              <w:rPr>
                <w:sz w:val="21"/>
                <w:szCs w:val="21"/>
              </w:rPr>
            </w:pPr>
            <w:r>
              <w:rPr>
                <w:rFonts w:hint="eastAsia"/>
                <w:sz w:val="21"/>
                <w:szCs w:val="21"/>
              </w:rPr>
              <w:t>-230</w:t>
            </w:r>
          </w:p>
        </w:tc>
        <w:tc>
          <w:tcPr>
            <w:tcW w:w="883" w:type="dxa"/>
            <w:tcBorders>
              <w:tl2br w:val="nil"/>
              <w:tr2bl w:val="nil"/>
            </w:tcBorders>
            <w:vAlign w:val="center"/>
          </w:tcPr>
          <w:p w14:paraId="617B5155">
            <w:pPr>
              <w:spacing w:line="240" w:lineRule="auto"/>
              <w:jc w:val="center"/>
              <w:rPr>
                <w:sz w:val="21"/>
                <w:szCs w:val="21"/>
              </w:rPr>
            </w:pPr>
            <w:r>
              <w:rPr>
                <w:rFonts w:hint="eastAsia"/>
                <w:sz w:val="21"/>
                <w:szCs w:val="21"/>
              </w:rPr>
              <w:t>15</w:t>
            </w:r>
          </w:p>
        </w:tc>
        <w:tc>
          <w:tcPr>
            <w:tcW w:w="941" w:type="dxa"/>
            <w:tcBorders>
              <w:tl2br w:val="nil"/>
              <w:tr2bl w:val="nil"/>
            </w:tcBorders>
            <w:vAlign w:val="center"/>
          </w:tcPr>
          <w:p w14:paraId="786D97F9">
            <w:pPr>
              <w:spacing w:line="240" w:lineRule="auto"/>
              <w:jc w:val="center"/>
              <w:rPr>
                <w:sz w:val="21"/>
                <w:szCs w:val="21"/>
              </w:rPr>
            </w:pPr>
            <w:r>
              <w:rPr>
                <w:rFonts w:hint="eastAsia"/>
                <w:sz w:val="21"/>
                <w:szCs w:val="21"/>
              </w:rPr>
              <w:t>0.4</w:t>
            </w:r>
          </w:p>
        </w:tc>
        <w:tc>
          <w:tcPr>
            <w:tcW w:w="805" w:type="dxa"/>
            <w:tcBorders>
              <w:tl2br w:val="nil"/>
              <w:tr2bl w:val="nil"/>
            </w:tcBorders>
            <w:vAlign w:val="center"/>
          </w:tcPr>
          <w:p w14:paraId="4A5536D1">
            <w:pPr>
              <w:spacing w:line="240" w:lineRule="auto"/>
              <w:jc w:val="center"/>
              <w:rPr>
                <w:sz w:val="21"/>
                <w:szCs w:val="21"/>
              </w:rPr>
            </w:pPr>
            <w:r>
              <w:rPr>
                <w:rFonts w:hint="eastAsia"/>
                <w:sz w:val="21"/>
                <w:szCs w:val="21"/>
              </w:rPr>
              <w:t>2000</w:t>
            </w:r>
          </w:p>
        </w:tc>
        <w:tc>
          <w:tcPr>
            <w:tcW w:w="1058" w:type="dxa"/>
            <w:tcBorders>
              <w:tl2br w:val="nil"/>
              <w:tr2bl w:val="nil"/>
            </w:tcBorders>
            <w:vAlign w:val="center"/>
          </w:tcPr>
          <w:p w14:paraId="74C27B97">
            <w:pPr>
              <w:spacing w:line="240" w:lineRule="auto"/>
              <w:jc w:val="center"/>
              <w:rPr>
                <w:sz w:val="21"/>
                <w:szCs w:val="21"/>
              </w:rPr>
            </w:pPr>
            <w:r>
              <w:rPr>
                <w:rFonts w:hint="eastAsia"/>
                <w:sz w:val="21"/>
                <w:szCs w:val="21"/>
              </w:rPr>
              <w:t>/</w:t>
            </w:r>
          </w:p>
        </w:tc>
        <w:tc>
          <w:tcPr>
            <w:tcW w:w="958" w:type="dxa"/>
            <w:tcBorders>
              <w:tl2br w:val="nil"/>
              <w:tr2bl w:val="nil"/>
            </w:tcBorders>
            <w:vAlign w:val="center"/>
          </w:tcPr>
          <w:p w14:paraId="17A13905">
            <w:pPr>
              <w:spacing w:line="240" w:lineRule="auto"/>
              <w:jc w:val="center"/>
              <w:rPr>
                <w:sz w:val="21"/>
                <w:szCs w:val="21"/>
              </w:rPr>
            </w:pPr>
            <w:r>
              <w:rPr>
                <w:rFonts w:hint="eastAsia"/>
                <w:sz w:val="21"/>
                <w:szCs w:val="21"/>
              </w:rPr>
              <w:t>0.019</w:t>
            </w:r>
          </w:p>
        </w:tc>
        <w:tc>
          <w:tcPr>
            <w:tcW w:w="730" w:type="dxa"/>
            <w:tcBorders>
              <w:tl2br w:val="nil"/>
              <w:tr2bl w:val="nil"/>
            </w:tcBorders>
            <w:vAlign w:val="center"/>
          </w:tcPr>
          <w:p w14:paraId="0A54A915">
            <w:pPr>
              <w:spacing w:line="240" w:lineRule="auto"/>
              <w:jc w:val="center"/>
              <w:rPr>
                <w:sz w:val="21"/>
                <w:szCs w:val="21"/>
              </w:rPr>
            </w:pPr>
            <w:r>
              <w:rPr>
                <w:rFonts w:hint="eastAsia"/>
                <w:sz w:val="21"/>
                <w:szCs w:val="21"/>
              </w:rPr>
              <w:t>0.013</w:t>
            </w:r>
          </w:p>
        </w:tc>
        <w:tc>
          <w:tcPr>
            <w:tcW w:w="825" w:type="dxa"/>
            <w:tcBorders>
              <w:tl2br w:val="nil"/>
              <w:tr2bl w:val="nil"/>
            </w:tcBorders>
            <w:vAlign w:val="center"/>
          </w:tcPr>
          <w:p w14:paraId="780941AD">
            <w:pPr>
              <w:spacing w:line="240" w:lineRule="auto"/>
              <w:jc w:val="center"/>
              <w:rPr>
                <w:sz w:val="21"/>
                <w:szCs w:val="21"/>
              </w:rPr>
            </w:pPr>
            <w:r>
              <w:rPr>
                <w:rFonts w:hint="eastAsia"/>
                <w:sz w:val="21"/>
                <w:szCs w:val="21"/>
              </w:rPr>
              <w:t>0.062</w:t>
            </w:r>
          </w:p>
        </w:tc>
        <w:tc>
          <w:tcPr>
            <w:tcW w:w="941" w:type="dxa"/>
            <w:tcBorders>
              <w:tl2br w:val="nil"/>
              <w:tr2bl w:val="nil"/>
            </w:tcBorders>
            <w:vAlign w:val="center"/>
          </w:tcPr>
          <w:p w14:paraId="6A029D1A">
            <w:pPr>
              <w:spacing w:line="240" w:lineRule="auto"/>
              <w:jc w:val="center"/>
              <w:rPr>
                <w:sz w:val="21"/>
                <w:szCs w:val="21"/>
              </w:rPr>
            </w:pPr>
            <w:r>
              <w:rPr>
                <w:rFonts w:hint="eastAsia"/>
                <w:sz w:val="21"/>
                <w:szCs w:val="21"/>
              </w:rPr>
              <w:t>/</w:t>
            </w:r>
          </w:p>
        </w:tc>
        <w:tc>
          <w:tcPr>
            <w:tcW w:w="1129" w:type="dxa"/>
            <w:tcBorders>
              <w:tl2br w:val="nil"/>
              <w:tr2bl w:val="nil"/>
            </w:tcBorders>
            <w:vAlign w:val="center"/>
          </w:tcPr>
          <w:p w14:paraId="78743C9D">
            <w:pPr>
              <w:spacing w:line="240" w:lineRule="auto"/>
              <w:jc w:val="center"/>
              <w:rPr>
                <w:sz w:val="21"/>
                <w:szCs w:val="21"/>
              </w:rPr>
            </w:pPr>
            <w:r>
              <w:rPr>
                <w:rFonts w:hint="eastAsia"/>
                <w:sz w:val="21"/>
                <w:szCs w:val="21"/>
              </w:rPr>
              <w:t>/</w:t>
            </w:r>
          </w:p>
        </w:tc>
        <w:tc>
          <w:tcPr>
            <w:tcW w:w="768" w:type="dxa"/>
            <w:tcBorders>
              <w:tl2br w:val="nil"/>
              <w:tr2bl w:val="nil"/>
            </w:tcBorders>
            <w:vAlign w:val="center"/>
          </w:tcPr>
          <w:p w14:paraId="1E3B47CC">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50FF8259">
            <w:pPr>
              <w:spacing w:line="240" w:lineRule="auto"/>
              <w:jc w:val="center"/>
              <w:rPr>
                <w:sz w:val="21"/>
                <w:szCs w:val="21"/>
              </w:rPr>
            </w:pPr>
            <w:r>
              <w:rPr>
                <w:rFonts w:hint="eastAsia"/>
                <w:sz w:val="21"/>
                <w:szCs w:val="21"/>
              </w:rPr>
              <w:t>/</w:t>
            </w:r>
          </w:p>
        </w:tc>
      </w:tr>
      <w:tr w14:paraId="21FB9A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007443F8">
            <w:pPr>
              <w:spacing w:line="240" w:lineRule="auto"/>
              <w:jc w:val="center"/>
              <w:rPr>
                <w:sz w:val="21"/>
                <w:szCs w:val="21"/>
              </w:rPr>
            </w:pPr>
            <w:r>
              <w:rPr>
                <w:sz w:val="21"/>
                <w:szCs w:val="21"/>
              </w:rPr>
              <w:t>湖南尚银模具有限公司</w:t>
            </w:r>
          </w:p>
        </w:tc>
        <w:tc>
          <w:tcPr>
            <w:tcW w:w="863" w:type="dxa"/>
            <w:tcBorders>
              <w:tl2br w:val="nil"/>
              <w:tr2bl w:val="nil"/>
            </w:tcBorders>
            <w:vAlign w:val="center"/>
          </w:tcPr>
          <w:p w14:paraId="77179132">
            <w:pPr>
              <w:spacing w:line="240" w:lineRule="auto"/>
              <w:jc w:val="center"/>
              <w:rPr>
                <w:sz w:val="21"/>
                <w:szCs w:val="21"/>
              </w:rPr>
            </w:pPr>
            <w:r>
              <w:rPr>
                <w:rFonts w:hint="eastAsia"/>
                <w:sz w:val="21"/>
                <w:szCs w:val="21"/>
              </w:rPr>
              <w:t>P1</w:t>
            </w:r>
          </w:p>
        </w:tc>
        <w:tc>
          <w:tcPr>
            <w:tcW w:w="960" w:type="dxa"/>
            <w:tcBorders>
              <w:tl2br w:val="nil"/>
              <w:tr2bl w:val="nil"/>
            </w:tcBorders>
            <w:vAlign w:val="center"/>
          </w:tcPr>
          <w:p w14:paraId="165DC093">
            <w:pPr>
              <w:spacing w:line="240" w:lineRule="auto"/>
              <w:jc w:val="center"/>
              <w:rPr>
                <w:sz w:val="21"/>
                <w:szCs w:val="21"/>
              </w:rPr>
            </w:pPr>
            <w:r>
              <w:rPr>
                <w:rFonts w:hint="eastAsia"/>
                <w:sz w:val="21"/>
                <w:szCs w:val="21"/>
              </w:rPr>
              <w:t>-1624</w:t>
            </w:r>
          </w:p>
        </w:tc>
        <w:tc>
          <w:tcPr>
            <w:tcW w:w="863" w:type="dxa"/>
            <w:tcBorders>
              <w:tl2br w:val="nil"/>
              <w:tr2bl w:val="nil"/>
            </w:tcBorders>
            <w:vAlign w:val="center"/>
          </w:tcPr>
          <w:p w14:paraId="367B551E">
            <w:pPr>
              <w:spacing w:line="240" w:lineRule="auto"/>
              <w:jc w:val="center"/>
              <w:rPr>
                <w:sz w:val="21"/>
                <w:szCs w:val="21"/>
              </w:rPr>
            </w:pPr>
            <w:r>
              <w:rPr>
                <w:rFonts w:hint="eastAsia"/>
                <w:sz w:val="21"/>
                <w:szCs w:val="21"/>
              </w:rPr>
              <w:t>128</w:t>
            </w:r>
          </w:p>
        </w:tc>
        <w:tc>
          <w:tcPr>
            <w:tcW w:w="883" w:type="dxa"/>
            <w:tcBorders>
              <w:tl2br w:val="nil"/>
              <w:tr2bl w:val="nil"/>
            </w:tcBorders>
            <w:vAlign w:val="center"/>
          </w:tcPr>
          <w:p w14:paraId="0AB54FD0">
            <w:pPr>
              <w:spacing w:line="240" w:lineRule="auto"/>
              <w:jc w:val="center"/>
              <w:rPr>
                <w:sz w:val="21"/>
                <w:szCs w:val="21"/>
              </w:rPr>
            </w:pPr>
            <w:r>
              <w:rPr>
                <w:rFonts w:hint="eastAsia"/>
                <w:sz w:val="21"/>
                <w:szCs w:val="21"/>
              </w:rPr>
              <w:t>15</w:t>
            </w:r>
          </w:p>
        </w:tc>
        <w:tc>
          <w:tcPr>
            <w:tcW w:w="941" w:type="dxa"/>
            <w:tcBorders>
              <w:tl2br w:val="nil"/>
              <w:tr2bl w:val="nil"/>
            </w:tcBorders>
            <w:vAlign w:val="center"/>
          </w:tcPr>
          <w:p w14:paraId="7465F7FF">
            <w:pPr>
              <w:spacing w:line="240" w:lineRule="auto"/>
              <w:jc w:val="center"/>
              <w:rPr>
                <w:sz w:val="21"/>
                <w:szCs w:val="21"/>
              </w:rPr>
            </w:pPr>
            <w:r>
              <w:rPr>
                <w:rFonts w:hint="eastAsia"/>
                <w:sz w:val="21"/>
                <w:szCs w:val="21"/>
              </w:rPr>
              <w:t>0.5</w:t>
            </w:r>
          </w:p>
        </w:tc>
        <w:tc>
          <w:tcPr>
            <w:tcW w:w="805" w:type="dxa"/>
            <w:tcBorders>
              <w:tl2br w:val="nil"/>
              <w:tr2bl w:val="nil"/>
            </w:tcBorders>
            <w:vAlign w:val="center"/>
          </w:tcPr>
          <w:p w14:paraId="6B49E3D9">
            <w:pPr>
              <w:spacing w:line="240" w:lineRule="auto"/>
              <w:jc w:val="center"/>
              <w:rPr>
                <w:sz w:val="21"/>
                <w:szCs w:val="21"/>
              </w:rPr>
            </w:pPr>
            <w:r>
              <w:rPr>
                <w:rFonts w:hint="eastAsia"/>
                <w:sz w:val="21"/>
                <w:szCs w:val="21"/>
              </w:rPr>
              <w:t>8000</w:t>
            </w:r>
          </w:p>
        </w:tc>
        <w:tc>
          <w:tcPr>
            <w:tcW w:w="1058" w:type="dxa"/>
            <w:tcBorders>
              <w:tl2br w:val="nil"/>
              <w:tr2bl w:val="nil"/>
            </w:tcBorders>
            <w:vAlign w:val="center"/>
          </w:tcPr>
          <w:p w14:paraId="4188C775">
            <w:pPr>
              <w:spacing w:line="240" w:lineRule="auto"/>
              <w:jc w:val="center"/>
              <w:rPr>
                <w:sz w:val="21"/>
                <w:szCs w:val="21"/>
              </w:rPr>
            </w:pPr>
            <w:r>
              <w:rPr>
                <w:rFonts w:hint="eastAsia"/>
                <w:sz w:val="21"/>
                <w:szCs w:val="21"/>
              </w:rPr>
              <w:t>0.027</w:t>
            </w:r>
          </w:p>
        </w:tc>
        <w:tc>
          <w:tcPr>
            <w:tcW w:w="958" w:type="dxa"/>
            <w:tcBorders>
              <w:tl2br w:val="nil"/>
              <w:tr2bl w:val="nil"/>
            </w:tcBorders>
            <w:vAlign w:val="center"/>
          </w:tcPr>
          <w:p w14:paraId="2203A945">
            <w:pPr>
              <w:spacing w:line="240" w:lineRule="auto"/>
              <w:jc w:val="center"/>
              <w:rPr>
                <w:sz w:val="21"/>
                <w:szCs w:val="21"/>
              </w:rPr>
            </w:pPr>
            <w:r>
              <w:rPr>
                <w:rFonts w:hint="eastAsia"/>
                <w:sz w:val="21"/>
                <w:szCs w:val="21"/>
              </w:rPr>
              <w:t>0.1</w:t>
            </w:r>
          </w:p>
        </w:tc>
        <w:tc>
          <w:tcPr>
            <w:tcW w:w="730" w:type="dxa"/>
            <w:tcBorders>
              <w:tl2br w:val="nil"/>
              <w:tr2bl w:val="nil"/>
            </w:tcBorders>
            <w:vAlign w:val="center"/>
          </w:tcPr>
          <w:p w14:paraId="06C8CC65">
            <w:pPr>
              <w:spacing w:line="240" w:lineRule="auto"/>
              <w:jc w:val="center"/>
              <w:rPr>
                <w:sz w:val="21"/>
                <w:szCs w:val="21"/>
              </w:rPr>
            </w:pPr>
            <w:r>
              <w:rPr>
                <w:rFonts w:hint="eastAsia"/>
                <w:sz w:val="21"/>
                <w:szCs w:val="21"/>
              </w:rPr>
              <w:t>/</w:t>
            </w:r>
          </w:p>
        </w:tc>
        <w:tc>
          <w:tcPr>
            <w:tcW w:w="825" w:type="dxa"/>
            <w:tcBorders>
              <w:tl2br w:val="nil"/>
              <w:tr2bl w:val="nil"/>
            </w:tcBorders>
            <w:vAlign w:val="center"/>
          </w:tcPr>
          <w:p w14:paraId="12CEED9D">
            <w:pPr>
              <w:spacing w:line="240" w:lineRule="auto"/>
              <w:jc w:val="center"/>
              <w:rPr>
                <w:sz w:val="21"/>
                <w:szCs w:val="21"/>
              </w:rPr>
            </w:pPr>
            <w:r>
              <w:rPr>
                <w:rFonts w:hint="eastAsia"/>
                <w:sz w:val="21"/>
                <w:szCs w:val="21"/>
              </w:rPr>
              <w:t>/</w:t>
            </w:r>
          </w:p>
        </w:tc>
        <w:tc>
          <w:tcPr>
            <w:tcW w:w="941" w:type="dxa"/>
            <w:tcBorders>
              <w:tl2br w:val="nil"/>
              <w:tr2bl w:val="nil"/>
            </w:tcBorders>
            <w:vAlign w:val="center"/>
          </w:tcPr>
          <w:p w14:paraId="3D65D867">
            <w:pPr>
              <w:spacing w:line="240" w:lineRule="auto"/>
              <w:jc w:val="center"/>
              <w:rPr>
                <w:sz w:val="21"/>
                <w:szCs w:val="21"/>
              </w:rPr>
            </w:pPr>
            <w:r>
              <w:rPr>
                <w:rFonts w:hint="eastAsia"/>
                <w:sz w:val="21"/>
                <w:szCs w:val="21"/>
              </w:rPr>
              <w:t>0.007</w:t>
            </w:r>
          </w:p>
        </w:tc>
        <w:tc>
          <w:tcPr>
            <w:tcW w:w="1129" w:type="dxa"/>
            <w:tcBorders>
              <w:tl2br w:val="nil"/>
              <w:tr2bl w:val="nil"/>
            </w:tcBorders>
            <w:vAlign w:val="center"/>
          </w:tcPr>
          <w:p w14:paraId="78FD1091">
            <w:pPr>
              <w:spacing w:line="240" w:lineRule="auto"/>
              <w:jc w:val="center"/>
              <w:rPr>
                <w:sz w:val="21"/>
                <w:szCs w:val="21"/>
              </w:rPr>
            </w:pPr>
            <w:r>
              <w:rPr>
                <w:rFonts w:hint="eastAsia"/>
                <w:sz w:val="21"/>
                <w:szCs w:val="21"/>
              </w:rPr>
              <w:t>0.515</w:t>
            </w:r>
          </w:p>
        </w:tc>
        <w:tc>
          <w:tcPr>
            <w:tcW w:w="768" w:type="dxa"/>
            <w:tcBorders>
              <w:tl2br w:val="nil"/>
              <w:tr2bl w:val="nil"/>
            </w:tcBorders>
            <w:vAlign w:val="center"/>
          </w:tcPr>
          <w:p w14:paraId="3CBEBE1B">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132FCA7F">
            <w:pPr>
              <w:spacing w:line="240" w:lineRule="auto"/>
              <w:jc w:val="center"/>
              <w:rPr>
                <w:sz w:val="21"/>
                <w:szCs w:val="21"/>
              </w:rPr>
            </w:pPr>
            <w:r>
              <w:rPr>
                <w:rFonts w:hint="eastAsia"/>
                <w:sz w:val="21"/>
                <w:szCs w:val="21"/>
              </w:rPr>
              <w:t>/</w:t>
            </w:r>
          </w:p>
        </w:tc>
      </w:tr>
      <w:tr w14:paraId="10C81B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61E1C22B">
            <w:pPr>
              <w:spacing w:line="240" w:lineRule="auto"/>
              <w:jc w:val="center"/>
              <w:rPr>
                <w:sz w:val="21"/>
                <w:szCs w:val="21"/>
              </w:rPr>
            </w:pPr>
            <w:r>
              <w:rPr>
                <w:sz w:val="21"/>
                <w:szCs w:val="21"/>
              </w:rPr>
              <w:t>千里码数据服务有限公司</w:t>
            </w:r>
          </w:p>
        </w:tc>
        <w:tc>
          <w:tcPr>
            <w:tcW w:w="863" w:type="dxa"/>
            <w:tcBorders>
              <w:tl2br w:val="nil"/>
              <w:tr2bl w:val="nil"/>
            </w:tcBorders>
            <w:vAlign w:val="center"/>
          </w:tcPr>
          <w:p w14:paraId="53E442DC">
            <w:pPr>
              <w:spacing w:line="240" w:lineRule="auto"/>
              <w:jc w:val="center"/>
              <w:rPr>
                <w:sz w:val="21"/>
                <w:szCs w:val="21"/>
              </w:rPr>
            </w:pPr>
            <w:r>
              <w:rPr>
                <w:rFonts w:hint="eastAsia"/>
                <w:sz w:val="21"/>
                <w:szCs w:val="21"/>
              </w:rPr>
              <w:t>P1</w:t>
            </w:r>
          </w:p>
        </w:tc>
        <w:tc>
          <w:tcPr>
            <w:tcW w:w="960" w:type="dxa"/>
            <w:tcBorders>
              <w:tl2br w:val="nil"/>
              <w:tr2bl w:val="nil"/>
            </w:tcBorders>
            <w:vAlign w:val="center"/>
          </w:tcPr>
          <w:p w14:paraId="671E5160">
            <w:pPr>
              <w:spacing w:line="240" w:lineRule="auto"/>
              <w:jc w:val="center"/>
              <w:rPr>
                <w:sz w:val="21"/>
                <w:szCs w:val="21"/>
              </w:rPr>
            </w:pPr>
            <w:r>
              <w:rPr>
                <w:rFonts w:hint="eastAsia"/>
                <w:sz w:val="21"/>
                <w:szCs w:val="21"/>
              </w:rPr>
              <w:t>-117</w:t>
            </w:r>
          </w:p>
        </w:tc>
        <w:tc>
          <w:tcPr>
            <w:tcW w:w="863" w:type="dxa"/>
            <w:tcBorders>
              <w:tl2br w:val="nil"/>
              <w:tr2bl w:val="nil"/>
            </w:tcBorders>
            <w:vAlign w:val="center"/>
          </w:tcPr>
          <w:p w14:paraId="5D5FC2A5">
            <w:pPr>
              <w:spacing w:line="240" w:lineRule="auto"/>
              <w:jc w:val="center"/>
              <w:rPr>
                <w:sz w:val="21"/>
                <w:szCs w:val="21"/>
              </w:rPr>
            </w:pPr>
            <w:r>
              <w:rPr>
                <w:rFonts w:hint="eastAsia"/>
                <w:sz w:val="21"/>
                <w:szCs w:val="21"/>
              </w:rPr>
              <w:t>-169</w:t>
            </w:r>
          </w:p>
        </w:tc>
        <w:tc>
          <w:tcPr>
            <w:tcW w:w="883" w:type="dxa"/>
            <w:tcBorders>
              <w:tl2br w:val="nil"/>
              <w:tr2bl w:val="nil"/>
            </w:tcBorders>
            <w:vAlign w:val="center"/>
          </w:tcPr>
          <w:p w14:paraId="1B08A213">
            <w:pPr>
              <w:spacing w:line="240" w:lineRule="auto"/>
              <w:jc w:val="center"/>
              <w:rPr>
                <w:sz w:val="21"/>
                <w:szCs w:val="21"/>
              </w:rPr>
            </w:pPr>
            <w:r>
              <w:rPr>
                <w:rFonts w:hint="eastAsia"/>
                <w:sz w:val="21"/>
                <w:szCs w:val="21"/>
              </w:rPr>
              <w:t>20</w:t>
            </w:r>
          </w:p>
        </w:tc>
        <w:tc>
          <w:tcPr>
            <w:tcW w:w="941" w:type="dxa"/>
            <w:tcBorders>
              <w:tl2br w:val="nil"/>
              <w:tr2bl w:val="nil"/>
            </w:tcBorders>
            <w:vAlign w:val="center"/>
          </w:tcPr>
          <w:p w14:paraId="1FA5B095">
            <w:pPr>
              <w:spacing w:line="240" w:lineRule="auto"/>
              <w:jc w:val="center"/>
              <w:rPr>
                <w:sz w:val="21"/>
                <w:szCs w:val="21"/>
              </w:rPr>
            </w:pPr>
            <w:r>
              <w:rPr>
                <w:rFonts w:hint="eastAsia"/>
                <w:sz w:val="21"/>
                <w:szCs w:val="21"/>
              </w:rPr>
              <w:t>1.2</w:t>
            </w:r>
          </w:p>
        </w:tc>
        <w:tc>
          <w:tcPr>
            <w:tcW w:w="805" w:type="dxa"/>
            <w:tcBorders>
              <w:tl2br w:val="nil"/>
              <w:tr2bl w:val="nil"/>
            </w:tcBorders>
            <w:vAlign w:val="center"/>
          </w:tcPr>
          <w:p w14:paraId="412C8573">
            <w:pPr>
              <w:spacing w:line="240" w:lineRule="auto"/>
              <w:jc w:val="center"/>
              <w:rPr>
                <w:sz w:val="21"/>
                <w:szCs w:val="21"/>
              </w:rPr>
            </w:pPr>
            <w:r>
              <w:rPr>
                <w:rFonts w:hint="eastAsia"/>
                <w:sz w:val="21"/>
                <w:szCs w:val="21"/>
              </w:rPr>
              <w:t>30000</w:t>
            </w:r>
          </w:p>
        </w:tc>
        <w:tc>
          <w:tcPr>
            <w:tcW w:w="1058" w:type="dxa"/>
            <w:tcBorders>
              <w:tl2br w:val="nil"/>
              <w:tr2bl w:val="nil"/>
            </w:tcBorders>
            <w:vAlign w:val="center"/>
          </w:tcPr>
          <w:p w14:paraId="7D50D123">
            <w:pPr>
              <w:spacing w:line="240" w:lineRule="auto"/>
              <w:jc w:val="center"/>
              <w:rPr>
                <w:sz w:val="21"/>
                <w:szCs w:val="21"/>
              </w:rPr>
            </w:pPr>
            <w:r>
              <w:rPr>
                <w:rFonts w:hint="eastAsia"/>
                <w:sz w:val="21"/>
                <w:szCs w:val="21"/>
              </w:rPr>
              <w:t>0.64</w:t>
            </w:r>
          </w:p>
        </w:tc>
        <w:tc>
          <w:tcPr>
            <w:tcW w:w="958" w:type="dxa"/>
            <w:tcBorders>
              <w:tl2br w:val="nil"/>
              <w:tr2bl w:val="nil"/>
            </w:tcBorders>
            <w:vAlign w:val="center"/>
          </w:tcPr>
          <w:p w14:paraId="24579CC1">
            <w:pPr>
              <w:spacing w:line="240" w:lineRule="auto"/>
              <w:jc w:val="center"/>
              <w:rPr>
                <w:sz w:val="21"/>
                <w:szCs w:val="21"/>
              </w:rPr>
            </w:pPr>
            <w:r>
              <w:rPr>
                <w:rFonts w:hint="eastAsia"/>
                <w:sz w:val="21"/>
                <w:szCs w:val="21"/>
              </w:rPr>
              <w:t>/</w:t>
            </w:r>
          </w:p>
        </w:tc>
        <w:tc>
          <w:tcPr>
            <w:tcW w:w="730" w:type="dxa"/>
            <w:tcBorders>
              <w:tl2br w:val="nil"/>
              <w:tr2bl w:val="nil"/>
            </w:tcBorders>
            <w:vAlign w:val="center"/>
          </w:tcPr>
          <w:p w14:paraId="1D93BC37">
            <w:pPr>
              <w:spacing w:line="240" w:lineRule="auto"/>
              <w:jc w:val="center"/>
              <w:rPr>
                <w:sz w:val="21"/>
                <w:szCs w:val="21"/>
              </w:rPr>
            </w:pPr>
            <w:r>
              <w:rPr>
                <w:rFonts w:hint="eastAsia"/>
                <w:sz w:val="21"/>
                <w:szCs w:val="21"/>
              </w:rPr>
              <w:t>/</w:t>
            </w:r>
          </w:p>
        </w:tc>
        <w:tc>
          <w:tcPr>
            <w:tcW w:w="825" w:type="dxa"/>
            <w:tcBorders>
              <w:tl2br w:val="nil"/>
              <w:tr2bl w:val="nil"/>
            </w:tcBorders>
            <w:vAlign w:val="center"/>
          </w:tcPr>
          <w:p w14:paraId="74ADB93F">
            <w:pPr>
              <w:spacing w:line="240" w:lineRule="auto"/>
              <w:jc w:val="center"/>
              <w:rPr>
                <w:sz w:val="21"/>
                <w:szCs w:val="21"/>
              </w:rPr>
            </w:pPr>
            <w:r>
              <w:rPr>
                <w:rFonts w:hint="eastAsia"/>
                <w:sz w:val="21"/>
                <w:szCs w:val="21"/>
              </w:rPr>
              <w:t>/</w:t>
            </w:r>
          </w:p>
        </w:tc>
        <w:tc>
          <w:tcPr>
            <w:tcW w:w="941" w:type="dxa"/>
            <w:tcBorders>
              <w:tl2br w:val="nil"/>
              <w:tr2bl w:val="nil"/>
            </w:tcBorders>
            <w:vAlign w:val="center"/>
          </w:tcPr>
          <w:p w14:paraId="10590194">
            <w:pPr>
              <w:spacing w:line="240" w:lineRule="auto"/>
              <w:jc w:val="center"/>
              <w:rPr>
                <w:sz w:val="21"/>
                <w:szCs w:val="21"/>
              </w:rPr>
            </w:pPr>
            <w:r>
              <w:rPr>
                <w:rFonts w:hint="eastAsia"/>
                <w:sz w:val="21"/>
                <w:szCs w:val="21"/>
              </w:rPr>
              <w:t>0.49</w:t>
            </w:r>
          </w:p>
        </w:tc>
        <w:tc>
          <w:tcPr>
            <w:tcW w:w="1129" w:type="dxa"/>
            <w:tcBorders>
              <w:tl2br w:val="nil"/>
              <w:tr2bl w:val="nil"/>
            </w:tcBorders>
            <w:vAlign w:val="center"/>
          </w:tcPr>
          <w:p w14:paraId="59D7AE89">
            <w:pPr>
              <w:spacing w:line="240" w:lineRule="auto"/>
              <w:jc w:val="center"/>
              <w:rPr>
                <w:sz w:val="21"/>
                <w:szCs w:val="21"/>
              </w:rPr>
            </w:pPr>
            <w:r>
              <w:rPr>
                <w:rFonts w:hint="eastAsia"/>
                <w:sz w:val="21"/>
                <w:szCs w:val="21"/>
              </w:rPr>
              <w:t>/</w:t>
            </w:r>
          </w:p>
        </w:tc>
        <w:tc>
          <w:tcPr>
            <w:tcW w:w="768" w:type="dxa"/>
            <w:tcBorders>
              <w:tl2br w:val="nil"/>
              <w:tr2bl w:val="nil"/>
            </w:tcBorders>
            <w:vAlign w:val="center"/>
          </w:tcPr>
          <w:p w14:paraId="13D93CEF">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50A555DD">
            <w:pPr>
              <w:spacing w:line="240" w:lineRule="auto"/>
              <w:jc w:val="center"/>
              <w:rPr>
                <w:sz w:val="21"/>
                <w:szCs w:val="21"/>
              </w:rPr>
            </w:pPr>
            <w:r>
              <w:rPr>
                <w:rFonts w:hint="eastAsia"/>
                <w:sz w:val="21"/>
                <w:szCs w:val="21"/>
              </w:rPr>
              <w:t>/</w:t>
            </w:r>
          </w:p>
        </w:tc>
      </w:tr>
      <w:tr w14:paraId="1143FE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7175B08E">
            <w:pPr>
              <w:spacing w:line="240" w:lineRule="auto"/>
              <w:jc w:val="center"/>
              <w:rPr>
                <w:sz w:val="21"/>
                <w:szCs w:val="21"/>
              </w:rPr>
            </w:pPr>
            <w:r>
              <w:rPr>
                <w:sz w:val="21"/>
                <w:szCs w:val="21"/>
              </w:rPr>
              <w:t>湘潭双德再生资源有限责任公司</w:t>
            </w:r>
          </w:p>
        </w:tc>
        <w:tc>
          <w:tcPr>
            <w:tcW w:w="863" w:type="dxa"/>
            <w:tcBorders>
              <w:tl2br w:val="nil"/>
              <w:tr2bl w:val="nil"/>
            </w:tcBorders>
            <w:vAlign w:val="center"/>
          </w:tcPr>
          <w:p w14:paraId="4A14197D">
            <w:pPr>
              <w:spacing w:line="240" w:lineRule="auto"/>
              <w:jc w:val="center"/>
              <w:rPr>
                <w:sz w:val="21"/>
                <w:szCs w:val="21"/>
              </w:rPr>
            </w:pPr>
            <w:r>
              <w:rPr>
                <w:rFonts w:hint="eastAsia"/>
                <w:sz w:val="21"/>
                <w:szCs w:val="21"/>
              </w:rPr>
              <w:t>P1</w:t>
            </w:r>
          </w:p>
        </w:tc>
        <w:tc>
          <w:tcPr>
            <w:tcW w:w="960" w:type="dxa"/>
            <w:tcBorders>
              <w:tl2br w:val="nil"/>
              <w:tr2bl w:val="nil"/>
            </w:tcBorders>
            <w:vAlign w:val="center"/>
          </w:tcPr>
          <w:p w14:paraId="0B1D052E">
            <w:pPr>
              <w:spacing w:line="240" w:lineRule="auto"/>
              <w:jc w:val="center"/>
              <w:rPr>
                <w:sz w:val="21"/>
                <w:szCs w:val="21"/>
              </w:rPr>
            </w:pPr>
            <w:r>
              <w:rPr>
                <w:rFonts w:hint="eastAsia"/>
                <w:sz w:val="21"/>
                <w:szCs w:val="21"/>
              </w:rPr>
              <w:t>235</w:t>
            </w:r>
          </w:p>
        </w:tc>
        <w:tc>
          <w:tcPr>
            <w:tcW w:w="863" w:type="dxa"/>
            <w:tcBorders>
              <w:tl2br w:val="nil"/>
              <w:tr2bl w:val="nil"/>
            </w:tcBorders>
            <w:vAlign w:val="center"/>
          </w:tcPr>
          <w:p w14:paraId="49B72D6B">
            <w:pPr>
              <w:spacing w:line="240" w:lineRule="auto"/>
              <w:jc w:val="center"/>
              <w:rPr>
                <w:sz w:val="21"/>
                <w:szCs w:val="21"/>
              </w:rPr>
            </w:pPr>
            <w:r>
              <w:rPr>
                <w:rFonts w:hint="eastAsia"/>
                <w:sz w:val="21"/>
                <w:szCs w:val="21"/>
              </w:rPr>
              <w:t>-1055</w:t>
            </w:r>
          </w:p>
        </w:tc>
        <w:tc>
          <w:tcPr>
            <w:tcW w:w="883" w:type="dxa"/>
            <w:tcBorders>
              <w:tl2br w:val="nil"/>
              <w:tr2bl w:val="nil"/>
            </w:tcBorders>
            <w:vAlign w:val="center"/>
          </w:tcPr>
          <w:p w14:paraId="30A9EB0B">
            <w:pPr>
              <w:spacing w:line="240" w:lineRule="auto"/>
              <w:jc w:val="center"/>
              <w:rPr>
                <w:sz w:val="21"/>
                <w:szCs w:val="21"/>
              </w:rPr>
            </w:pPr>
            <w:r>
              <w:rPr>
                <w:rFonts w:hint="eastAsia"/>
                <w:sz w:val="21"/>
                <w:szCs w:val="21"/>
              </w:rPr>
              <w:t>15</w:t>
            </w:r>
          </w:p>
        </w:tc>
        <w:tc>
          <w:tcPr>
            <w:tcW w:w="941" w:type="dxa"/>
            <w:tcBorders>
              <w:tl2br w:val="nil"/>
              <w:tr2bl w:val="nil"/>
            </w:tcBorders>
            <w:vAlign w:val="center"/>
          </w:tcPr>
          <w:p w14:paraId="28B4AAE9">
            <w:pPr>
              <w:spacing w:line="240" w:lineRule="auto"/>
              <w:jc w:val="center"/>
              <w:rPr>
                <w:sz w:val="21"/>
                <w:szCs w:val="21"/>
              </w:rPr>
            </w:pPr>
            <w:r>
              <w:rPr>
                <w:rFonts w:hint="eastAsia"/>
                <w:sz w:val="21"/>
                <w:szCs w:val="21"/>
              </w:rPr>
              <w:t>0.5</w:t>
            </w:r>
          </w:p>
        </w:tc>
        <w:tc>
          <w:tcPr>
            <w:tcW w:w="805" w:type="dxa"/>
            <w:tcBorders>
              <w:tl2br w:val="nil"/>
              <w:tr2bl w:val="nil"/>
            </w:tcBorders>
            <w:vAlign w:val="center"/>
          </w:tcPr>
          <w:p w14:paraId="634AFFDF">
            <w:pPr>
              <w:spacing w:line="240" w:lineRule="auto"/>
              <w:jc w:val="center"/>
              <w:rPr>
                <w:sz w:val="21"/>
                <w:szCs w:val="21"/>
              </w:rPr>
            </w:pPr>
            <w:r>
              <w:rPr>
                <w:rFonts w:hint="eastAsia"/>
                <w:sz w:val="21"/>
                <w:szCs w:val="21"/>
              </w:rPr>
              <w:t>3000</w:t>
            </w:r>
          </w:p>
        </w:tc>
        <w:tc>
          <w:tcPr>
            <w:tcW w:w="1058" w:type="dxa"/>
            <w:tcBorders>
              <w:tl2br w:val="nil"/>
              <w:tr2bl w:val="nil"/>
            </w:tcBorders>
            <w:vAlign w:val="center"/>
          </w:tcPr>
          <w:p w14:paraId="2B6B322F">
            <w:pPr>
              <w:spacing w:line="240" w:lineRule="auto"/>
              <w:jc w:val="center"/>
              <w:rPr>
                <w:sz w:val="21"/>
                <w:szCs w:val="21"/>
              </w:rPr>
            </w:pPr>
            <w:r>
              <w:rPr>
                <w:rFonts w:hint="eastAsia"/>
                <w:sz w:val="21"/>
                <w:szCs w:val="21"/>
              </w:rPr>
              <w:t>0.03</w:t>
            </w:r>
          </w:p>
        </w:tc>
        <w:tc>
          <w:tcPr>
            <w:tcW w:w="958" w:type="dxa"/>
            <w:tcBorders>
              <w:tl2br w:val="nil"/>
              <w:tr2bl w:val="nil"/>
            </w:tcBorders>
            <w:vAlign w:val="center"/>
          </w:tcPr>
          <w:p w14:paraId="0CF73A34">
            <w:pPr>
              <w:spacing w:line="240" w:lineRule="auto"/>
              <w:jc w:val="center"/>
              <w:rPr>
                <w:sz w:val="21"/>
                <w:szCs w:val="21"/>
              </w:rPr>
            </w:pPr>
            <w:r>
              <w:rPr>
                <w:rFonts w:hint="eastAsia"/>
                <w:sz w:val="21"/>
                <w:szCs w:val="21"/>
              </w:rPr>
              <w:t>/</w:t>
            </w:r>
          </w:p>
        </w:tc>
        <w:tc>
          <w:tcPr>
            <w:tcW w:w="730" w:type="dxa"/>
            <w:tcBorders>
              <w:tl2br w:val="nil"/>
              <w:tr2bl w:val="nil"/>
            </w:tcBorders>
            <w:vAlign w:val="center"/>
          </w:tcPr>
          <w:p w14:paraId="09F3E057">
            <w:pPr>
              <w:spacing w:line="240" w:lineRule="auto"/>
              <w:jc w:val="center"/>
              <w:rPr>
                <w:sz w:val="21"/>
                <w:szCs w:val="21"/>
              </w:rPr>
            </w:pPr>
            <w:r>
              <w:rPr>
                <w:rFonts w:hint="eastAsia"/>
                <w:sz w:val="21"/>
                <w:szCs w:val="21"/>
              </w:rPr>
              <w:t>/</w:t>
            </w:r>
          </w:p>
        </w:tc>
        <w:tc>
          <w:tcPr>
            <w:tcW w:w="825" w:type="dxa"/>
            <w:tcBorders>
              <w:tl2br w:val="nil"/>
              <w:tr2bl w:val="nil"/>
            </w:tcBorders>
            <w:vAlign w:val="center"/>
          </w:tcPr>
          <w:p w14:paraId="6879BC34">
            <w:pPr>
              <w:spacing w:line="240" w:lineRule="auto"/>
              <w:jc w:val="center"/>
              <w:rPr>
                <w:sz w:val="21"/>
                <w:szCs w:val="21"/>
              </w:rPr>
            </w:pPr>
            <w:r>
              <w:rPr>
                <w:rFonts w:hint="eastAsia"/>
                <w:sz w:val="21"/>
                <w:szCs w:val="21"/>
              </w:rPr>
              <w:t>/</w:t>
            </w:r>
          </w:p>
        </w:tc>
        <w:tc>
          <w:tcPr>
            <w:tcW w:w="941" w:type="dxa"/>
            <w:tcBorders>
              <w:tl2br w:val="nil"/>
              <w:tr2bl w:val="nil"/>
            </w:tcBorders>
            <w:vAlign w:val="center"/>
          </w:tcPr>
          <w:p w14:paraId="4AB84760">
            <w:pPr>
              <w:jc w:val="center"/>
            </w:pPr>
            <w:r>
              <w:rPr>
                <w:rFonts w:hint="eastAsia"/>
              </w:rPr>
              <w:t>0.119</w:t>
            </w:r>
          </w:p>
        </w:tc>
        <w:tc>
          <w:tcPr>
            <w:tcW w:w="1129" w:type="dxa"/>
            <w:tcBorders>
              <w:tl2br w:val="nil"/>
              <w:tr2bl w:val="nil"/>
            </w:tcBorders>
            <w:vAlign w:val="center"/>
          </w:tcPr>
          <w:p w14:paraId="7FAD1EFF">
            <w:pPr>
              <w:spacing w:line="240" w:lineRule="auto"/>
              <w:jc w:val="center"/>
              <w:rPr>
                <w:sz w:val="21"/>
                <w:szCs w:val="21"/>
              </w:rPr>
            </w:pPr>
            <w:r>
              <w:rPr>
                <w:rFonts w:hint="eastAsia"/>
                <w:sz w:val="21"/>
                <w:szCs w:val="21"/>
              </w:rPr>
              <w:t>/</w:t>
            </w:r>
          </w:p>
        </w:tc>
        <w:tc>
          <w:tcPr>
            <w:tcW w:w="768" w:type="dxa"/>
            <w:tcBorders>
              <w:tl2br w:val="nil"/>
              <w:tr2bl w:val="nil"/>
            </w:tcBorders>
            <w:vAlign w:val="center"/>
          </w:tcPr>
          <w:p w14:paraId="232CC399">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2CB0337F">
            <w:pPr>
              <w:spacing w:line="240" w:lineRule="auto"/>
              <w:jc w:val="center"/>
              <w:rPr>
                <w:sz w:val="21"/>
                <w:szCs w:val="21"/>
              </w:rPr>
            </w:pPr>
            <w:r>
              <w:rPr>
                <w:rFonts w:hint="eastAsia"/>
                <w:sz w:val="21"/>
                <w:szCs w:val="21"/>
              </w:rPr>
              <w:t>/</w:t>
            </w:r>
          </w:p>
        </w:tc>
      </w:tr>
      <w:tr w14:paraId="449400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37F0B8FC">
            <w:pPr>
              <w:spacing w:line="240" w:lineRule="auto"/>
              <w:jc w:val="center"/>
              <w:rPr>
                <w:sz w:val="21"/>
                <w:szCs w:val="21"/>
              </w:rPr>
            </w:pPr>
            <w:r>
              <w:rPr>
                <w:rFonts w:hint="eastAsia"/>
                <w:sz w:val="21"/>
                <w:szCs w:val="21"/>
              </w:rPr>
              <w:t>湖南佳特泵业制造有限公司</w:t>
            </w:r>
          </w:p>
        </w:tc>
        <w:tc>
          <w:tcPr>
            <w:tcW w:w="863" w:type="dxa"/>
            <w:tcBorders>
              <w:tl2br w:val="nil"/>
              <w:tr2bl w:val="nil"/>
            </w:tcBorders>
            <w:vAlign w:val="center"/>
          </w:tcPr>
          <w:p w14:paraId="19DFC512">
            <w:pPr>
              <w:spacing w:line="240" w:lineRule="auto"/>
              <w:jc w:val="center"/>
              <w:rPr>
                <w:sz w:val="21"/>
                <w:szCs w:val="21"/>
              </w:rPr>
            </w:pPr>
            <w:r>
              <w:rPr>
                <w:rFonts w:hint="eastAsia"/>
                <w:sz w:val="21"/>
                <w:szCs w:val="21"/>
              </w:rPr>
              <w:t>P4</w:t>
            </w:r>
          </w:p>
        </w:tc>
        <w:tc>
          <w:tcPr>
            <w:tcW w:w="960" w:type="dxa"/>
            <w:tcBorders>
              <w:tl2br w:val="nil"/>
              <w:tr2bl w:val="nil"/>
            </w:tcBorders>
            <w:vAlign w:val="center"/>
          </w:tcPr>
          <w:p w14:paraId="5A10F993">
            <w:pPr>
              <w:spacing w:line="240" w:lineRule="auto"/>
              <w:jc w:val="center"/>
              <w:rPr>
                <w:sz w:val="21"/>
                <w:szCs w:val="21"/>
              </w:rPr>
            </w:pPr>
            <w:r>
              <w:rPr>
                <w:rFonts w:hint="eastAsia"/>
                <w:sz w:val="21"/>
                <w:szCs w:val="21"/>
              </w:rPr>
              <w:t>-256</w:t>
            </w:r>
          </w:p>
        </w:tc>
        <w:tc>
          <w:tcPr>
            <w:tcW w:w="863" w:type="dxa"/>
            <w:tcBorders>
              <w:tl2br w:val="nil"/>
              <w:tr2bl w:val="nil"/>
            </w:tcBorders>
            <w:vAlign w:val="center"/>
          </w:tcPr>
          <w:p w14:paraId="2DA37A80">
            <w:pPr>
              <w:spacing w:line="240" w:lineRule="auto"/>
              <w:jc w:val="center"/>
              <w:rPr>
                <w:sz w:val="21"/>
                <w:szCs w:val="21"/>
              </w:rPr>
            </w:pPr>
            <w:r>
              <w:rPr>
                <w:rFonts w:hint="eastAsia"/>
                <w:sz w:val="21"/>
                <w:szCs w:val="21"/>
              </w:rPr>
              <w:t>1306</w:t>
            </w:r>
          </w:p>
        </w:tc>
        <w:tc>
          <w:tcPr>
            <w:tcW w:w="883" w:type="dxa"/>
            <w:tcBorders>
              <w:tl2br w:val="nil"/>
              <w:tr2bl w:val="nil"/>
            </w:tcBorders>
            <w:vAlign w:val="center"/>
          </w:tcPr>
          <w:p w14:paraId="163F6974">
            <w:pPr>
              <w:spacing w:line="240" w:lineRule="auto"/>
              <w:jc w:val="center"/>
              <w:rPr>
                <w:sz w:val="21"/>
                <w:szCs w:val="21"/>
              </w:rPr>
            </w:pPr>
            <w:r>
              <w:rPr>
                <w:rFonts w:hint="eastAsia"/>
                <w:sz w:val="21"/>
                <w:szCs w:val="21"/>
              </w:rPr>
              <w:t>15</w:t>
            </w:r>
          </w:p>
        </w:tc>
        <w:tc>
          <w:tcPr>
            <w:tcW w:w="941" w:type="dxa"/>
            <w:tcBorders>
              <w:tl2br w:val="nil"/>
              <w:tr2bl w:val="nil"/>
            </w:tcBorders>
            <w:vAlign w:val="center"/>
          </w:tcPr>
          <w:p w14:paraId="6348E67A">
            <w:pPr>
              <w:spacing w:line="240" w:lineRule="auto"/>
              <w:jc w:val="center"/>
              <w:rPr>
                <w:sz w:val="21"/>
                <w:szCs w:val="21"/>
              </w:rPr>
            </w:pPr>
            <w:r>
              <w:rPr>
                <w:rFonts w:hint="eastAsia"/>
                <w:sz w:val="21"/>
                <w:szCs w:val="21"/>
              </w:rPr>
              <w:t>0.5</w:t>
            </w:r>
          </w:p>
        </w:tc>
        <w:tc>
          <w:tcPr>
            <w:tcW w:w="805" w:type="dxa"/>
            <w:tcBorders>
              <w:tl2br w:val="nil"/>
              <w:tr2bl w:val="nil"/>
            </w:tcBorders>
            <w:vAlign w:val="center"/>
          </w:tcPr>
          <w:p w14:paraId="2B40EF93">
            <w:pPr>
              <w:spacing w:line="240" w:lineRule="auto"/>
              <w:jc w:val="center"/>
              <w:rPr>
                <w:sz w:val="21"/>
                <w:szCs w:val="21"/>
              </w:rPr>
            </w:pPr>
            <w:r>
              <w:rPr>
                <w:rFonts w:hint="eastAsia"/>
                <w:sz w:val="21"/>
                <w:szCs w:val="21"/>
              </w:rPr>
              <w:t>4000</w:t>
            </w:r>
          </w:p>
        </w:tc>
        <w:tc>
          <w:tcPr>
            <w:tcW w:w="1058" w:type="dxa"/>
            <w:tcBorders>
              <w:tl2br w:val="nil"/>
              <w:tr2bl w:val="nil"/>
            </w:tcBorders>
            <w:vAlign w:val="center"/>
          </w:tcPr>
          <w:p w14:paraId="41562C86">
            <w:pPr>
              <w:spacing w:line="240" w:lineRule="auto"/>
              <w:jc w:val="center"/>
              <w:rPr>
                <w:sz w:val="21"/>
                <w:szCs w:val="21"/>
              </w:rPr>
            </w:pPr>
            <w:r>
              <w:rPr>
                <w:rFonts w:hint="eastAsia"/>
                <w:sz w:val="21"/>
                <w:szCs w:val="21"/>
              </w:rPr>
              <w:t>0.074</w:t>
            </w:r>
          </w:p>
        </w:tc>
        <w:tc>
          <w:tcPr>
            <w:tcW w:w="958" w:type="dxa"/>
            <w:tcBorders>
              <w:tl2br w:val="nil"/>
              <w:tr2bl w:val="nil"/>
            </w:tcBorders>
            <w:vAlign w:val="center"/>
          </w:tcPr>
          <w:p w14:paraId="4FC4047C">
            <w:pPr>
              <w:spacing w:line="240" w:lineRule="auto"/>
              <w:jc w:val="center"/>
              <w:rPr>
                <w:sz w:val="21"/>
                <w:szCs w:val="21"/>
              </w:rPr>
            </w:pPr>
            <w:r>
              <w:rPr>
                <w:rFonts w:hint="eastAsia"/>
                <w:sz w:val="21"/>
                <w:szCs w:val="21"/>
              </w:rPr>
              <w:t>/</w:t>
            </w:r>
          </w:p>
        </w:tc>
        <w:tc>
          <w:tcPr>
            <w:tcW w:w="730" w:type="dxa"/>
            <w:tcBorders>
              <w:tl2br w:val="nil"/>
              <w:tr2bl w:val="nil"/>
            </w:tcBorders>
            <w:vAlign w:val="center"/>
          </w:tcPr>
          <w:p w14:paraId="0EECE27E">
            <w:pPr>
              <w:spacing w:line="240" w:lineRule="auto"/>
              <w:jc w:val="center"/>
              <w:rPr>
                <w:sz w:val="21"/>
                <w:szCs w:val="21"/>
              </w:rPr>
            </w:pPr>
            <w:r>
              <w:rPr>
                <w:rFonts w:hint="eastAsia"/>
                <w:sz w:val="21"/>
                <w:szCs w:val="21"/>
              </w:rPr>
              <w:t>/</w:t>
            </w:r>
          </w:p>
        </w:tc>
        <w:tc>
          <w:tcPr>
            <w:tcW w:w="825" w:type="dxa"/>
            <w:tcBorders>
              <w:tl2br w:val="nil"/>
              <w:tr2bl w:val="nil"/>
            </w:tcBorders>
            <w:vAlign w:val="center"/>
          </w:tcPr>
          <w:p w14:paraId="2CA2FC79">
            <w:pPr>
              <w:spacing w:line="240" w:lineRule="auto"/>
              <w:jc w:val="center"/>
              <w:rPr>
                <w:sz w:val="21"/>
                <w:szCs w:val="21"/>
              </w:rPr>
            </w:pPr>
            <w:r>
              <w:rPr>
                <w:rFonts w:hint="eastAsia"/>
                <w:sz w:val="21"/>
                <w:szCs w:val="21"/>
              </w:rPr>
              <w:t>/</w:t>
            </w:r>
          </w:p>
        </w:tc>
        <w:tc>
          <w:tcPr>
            <w:tcW w:w="941" w:type="dxa"/>
            <w:tcBorders>
              <w:tl2br w:val="nil"/>
              <w:tr2bl w:val="nil"/>
            </w:tcBorders>
            <w:vAlign w:val="center"/>
          </w:tcPr>
          <w:p w14:paraId="21986B6D">
            <w:pPr>
              <w:jc w:val="center"/>
            </w:pPr>
            <w:r>
              <w:rPr>
                <w:rFonts w:hint="eastAsia"/>
              </w:rPr>
              <w:t>0.033</w:t>
            </w:r>
          </w:p>
        </w:tc>
        <w:tc>
          <w:tcPr>
            <w:tcW w:w="1129" w:type="dxa"/>
            <w:tcBorders>
              <w:tl2br w:val="nil"/>
              <w:tr2bl w:val="nil"/>
            </w:tcBorders>
            <w:vAlign w:val="center"/>
          </w:tcPr>
          <w:p w14:paraId="36FE2C64">
            <w:pPr>
              <w:spacing w:line="240" w:lineRule="auto"/>
              <w:jc w:val="center"/>
              <w:rPr>
                <w:sz w:val="21"/>
                <w:szCs w:val="21"/>
              </w:rPr>
            </w:pPr>
            <w:r>
              <w:rPr>
                <w:rFonts w:hint="eastAsia"/>
                <w:sz w:val="21"/>
                <w:szCs w:val="21"/>
              </w:rPr>
              <w:t>/</w:t>
            </w:r>
          </w:p>
        </w:tc>
        <w:tc>
          <w:tcPr>
            <w:tcW w:w="768" w:type="dxa"/>
            <w:tcBorders>
              <w:tl2br w:val="nil"/>
              <w:tr2bl w:val="nil"/>
            </w:tcBorders>
            <w:vAlign w:val="center"/>
          </w:tcPr>
          <w:p w14:paraId="7F1ED0F2">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2A5A9C92">
            <w:pPr>
              <w:spacing w:line="240" w:lineRule="auto"/>
              <w:jc w:val="center"/>
              <w:rPr>
                <w:sz w:val="21"/>
                <w:szCs w:val="21"/>
              </w:rPr>
            </w:pPr>
            <w:r>
              <w:rPr>
                <w:rFonts w:hint="eastAsia"/>
                <w:sz w:val="21"/>
                <w:szCs w:val="21"/>
              </w:rPr>
              <w:t>/</w:t>
            </w:r>
          </w:p>
        </w:tc>
      </w:tr>
      <w:tr w14:paraId="57DC1A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54" w:type="dxa"/>
            <w:tcBorders>
              <w:tl2br w:val="nil"/>
              <w:tr2bl w:val="nil"/>
            </w:tcBorders>
            <w:vAlign w:val="center"/>
          </w:tcPr>
          <w:p w14:paraId="21CBBE50">
            <w:pPr>
              <w:spacing w:line="240" w:lineRule="auto"/>
              <w:jc w:val="center"/>
              <w:rPr>
                <w:sz w:val="21"/>
                <w:szCs w:val="21"/>
              </w:rPr>
            </w:pPr>
            <w:r>
              <w:rPr>
                <w:sz w:val="21"/>
                <w:szCs w:val="21"/>
              </w:rPr>
              <w:t>湖南金钢人防工程设备有限公司湘潭县分公司</w:t>
            </w:r>
          </w:p>
        </w:tc>
        <w:tc>
          <w:tcPr>
            <w:tcW w:w="863" w:type="dxa"/>
            <w:tcBorders>
              <w:tl2br w:val="nil"/>
              <w:tr2bl w:val="nil"/>
            </w:tcBorders>
            <w:vAlign w:val="center"/>
          </w:tcPr>
          <w:p w14:paraId="1044C79E">
            <w:pPr>
              <w:spacing w:line="240" w:lineRule="auto"/>
              <w:jc w:val="center"/>
              <w:rPr>
                <w:sz w:val="21"/>
                <w:szCs w:val="21"/>
              </w:rPr>
            </w:pPr>
            <w:r>
              <w:rPr>
                <w:rFonts w:hint="eastAsia"/>
                <w:sz w:val="21"/>
                <w:szCs w:val="21"/>
              </w:rPr>
              <w:t>P1</w:t>
            </w:r>
          </w:p>
        </w:tc>
        <w:tc>
          <w:tcPr>
            <w:tcW w:w="960" w:type="dxa"/>
            <w:tcBorders>
              <w:tl2br w:val="nil"/>
              <w:tr2bl w:val="nil"/>
            </w:tcBorders>
            <w:vAlign w:val="center"/>
          </w:tcPr>
          <w:p w14:paraId="7B98B7C8">
            <w:pPr>
              <w:spacing w:line="240" w:lineRule="auto"/>
              <w:jc w:val="center"/>
              <w:rPr>
                <w:sz w:val="21"/>
                <w:szCs w:val="21"/>
              </w:rPr>
            </w:pPr>
            <w:r>
              <w:rPr>
                <w:rFonts w:hint="eastAsia"/>
                <w:sz w:val="21"/>
                <w:szCs w:val="21"/>
              </w:rPr>
              <w:t>481</w:t>
            </w:r>
          </w:p>
        </w:tc>
        <w:tc>
          <w:tcPr>
            <w:tcW w:w="863" w:type="dxa"/>
            <w:tcBorders>
              <w:tl2br w:val="nil"/>
              <w:tr2bl w:val="nil"/>
            </w:tcBorders>
            <w:vAlign w:val="center"/>
          </w:tcPr>
          <w:p w14:paraId="70982103">
            <w:pPr>
              <w:spacing w:line="240" w:lineRule="auto"/>
              <w:jc w:val="center"/>
              <w:rPr>
                <w:sz w:val="21"/>
                <w:szCs w:val="21"/>
              </w:rPr>
            </w:pPr>
            <w:r>
              <w:rPr>
                <w:rFonts w:hint="eastAsia"/>
                <w:sz w:val="21"/>
                <w:szCs w:val="21"/>
              </w:rPr>
              <w:t>1306</w:t>
            </w:r>
          </w:p>
        </w:tc>
        <w:tc>
          <w:tcPr>
            <w:tcW w:w="883" w:type="dxa"/>
            <w:tcBorders>
              <w:tl2br w:val="nil"/>
              <w:tr2bl w:val="nil"/>
            </w:tcBorders>
            <w:vAlign w:val="center"/>
          </w:tcPr>
          <w:p w14:paraId="2EF8433E">
            <w:pPr>
              <w:spacing w:line="240" w:lineRule="auto"/>
              <w:jc w:val="center"/>
              <w:rPr>
                <w:sz w:val="21"/>
                <w:szCs w:val="21"/>
              </w:rPr>
            </w:pPr>
            <w:r>
              <w:rPr>
                <w:rFonts w:hint="eastAsia"/>
                <w:sz w:val="21"/>
                <w:szCs w:val="21"/>
              </w:rPr>
              <w:t>15</w:t>
            </w:r>
          </w:p>
        </w:tc>
        <w:tc>
          <w:tcPr>
            <w:tcW w:w="941" w:type="dxa"/>
            <w:tcBorders>
              <w:tl2br w:val="nil"/>
              <w:tr2bl w:val="nil"/>
            </w:tcBorders>
            <w:vAlign w:val="center"/>
          </w:tcPr>
          <w:p w14:paraId="380019A4">
            <w:pPr>
              <w:spacing w:line="240" w:lineRule="auto"/>
              <w:jc w:val="center"/>
              <w:rPr>
                <w:sz w:val="21"/>
                <w:szCs w:val="21"/>
              </w:rPr>
            </w:pPr>
            <w:r>
              <w:rPr>
                <w:rFonts w:hint="eastAsia"/>
                <w:sz w:val="21"/>
                <w:szCs w:val="21"/>
              </w:rPr>
              <w:t>0.5</w:t>
            </w:r>
          </w:p>
        </w:tc>
        <w:tc>
          <w:tcPr>
            <w:tcW w:w="805" w:type="dxa"/>
            <w:tcBorders>
              <w:tl2br w:val="nil"/>
              <w:tr2bl w:val="nil"/>
            </w:tcBorders>
            <w:vAlign w:val="center"/>
          </w:tcPr>
          <w:p w14:paraId="46DF4C54">
            <w:pPr>
              <w:spacing w:line="240" w:lineRule="auto"/>
              <w:jc w:val="center"/>
              <w:rPr>
                <w:sz w:val="21"/>
                <w:szCs w:val="21"/>
              </w:rPr>
            </w:pPr>
            <w:r>
              <w:rPr>
                <w:rFonts w:hint="eastAsia"/>
                <w:sz w:val="21"/>
                <w:szCs w:val="21"/>
              </w:rPr>
              <w:t>2000</w:t>
            </w:r>
          </w:p>
        </w:tc>
        <w:tc>
          <w:tcPr>
            <w:tcW w:w="1058" w:type="dxa"/>
            <w:tcBorders>
              <w:tl2br w:val="nil"/>
              <w:tr2bl w:val="nil"/>
            </w:tcBorders>
            <w:vAlign w:val="center"/>
          </w:tcPr>
          <w:p w14:paraId="0100805B">
            <w:pPr>
              <w:spacing w:line="240" w:lineRule="auto"/>
              <w:jc w:val="center"/>
              <w:rPr>
                <w:sz w:val="21"/>
                <w:szCs w:val="21"/>
              </w:rPr>
            </w:pPr>
            <w:r>
              <w:rPr>
                <w:rFonts w:hint="eastAsia"/>
                <w:sz w:val="21"/>
                <w:szCs w:val="21"/>
              </w:rPr>
              <w:t>0.0679</w:t>
            </w:r>
          </w:p>
        </w:tc>
        <w:tc>
          <w:tcPr>
            <w:tcW w:w="958" w:type="dxa"/>
            <w:tcBorders>
              <w:tl2br w:val="nil"/>
              <w:tr2bl w:val="nil"/>
            </w:tcBorders>
            <w:vAlign w:val="center"/>
          </w:tcPr>
          <w:p w14:paraId="6A41A6E9">
            <w:pPr>
              <w:spacing w:line="240" w:lineRule="auto"/>
              <w:jc w:val="center"/>
              <w:rPr>
                <w:sz w:val="21"/>
                <w:szCs w:val="21"/>
              </w:rPr>
            </w:pPr>
            <w:r>
              <w:rPr>
                <w:rFonts w:hint="eastAsia"/>
                <w:sz w:val="21"/>
                <w:szCs w:val="21"/>
              </w:rPr>
              <w:t>/</w:t>
            </w:r>
          </w:p>
        </w:tc>
        <w:tc>
          <w:tcPr>
            <w:tcW w:w="730" w:type="dxa"/>
            <w:tcBorders>
              <w:tl2br w:val="nil"/>
              <w:tr2bl w:val="nil"/>
            </w:tcBorders>
            <w:vAlign w:val="center"/>
          </w:tcPr>
          <w:p w14:paraId="087089B4">
            <w:pPr>
              <w:spacing w:line="240" w:lineRule="auto"/>
              <w:jc w:val="center"/>
              <w:rPr>
                <w:sz w:val="21"/>
                <w:szCs w:val="21"/>
              </w:rPr>
            </w:pPr>
            <w:r>
              <w:rPr>
                <w:rFonts w:hint="eastAsia"/>
                <w:sz w:val="21"/>
                <w:szCs w:val="21"/>
              </w:rPr>
              <w:t>/</w:t>
            </w:r>
          </w:p>
        </w:tc>
        <w:tc>
          <w:tcPr>
            <w:tcW w:w="825" w:type="dxa"/>
            <w:tcBorders>
              <w:tl2br w:val="nil"/>
              <w:tr2bl w:val="nil"/>
            </w:tcBorders>
            <w:vAlign w:val="center"/>
          </w:tcPr>
          <w:p w14:paraId="4688F9E6">
            <w:pPr>
              <w:spacing w:line="240" w:lineRule="auto"/>
              <w:jc w:val="center"/>
              <w:rPr>
                <w:sz w:val="21"/>
                <w:szCs w:val="21"/>
              </w:rPr>
            </w:pPr>
            <w:r>
              <w:rPr>
                <w:rFonts w:hint="eastAsia"/>
                <w:sz w:val="21"/>
                <w:szCs w:val="21"/>
              </w:rPr>
              <w:t>/</w:t>
            </w:r>
          </w:p>
        </w:tc>
        <w:tc>
          <w:tcPr>
            <w:tcW w:w="941" w:type="dxa"/>
            <w:tcBorders>
              <w:tl2br w:val="nil"/>
              <w:tr2bl w:val="nil"/>
            </w:tcBorders>
            <w:vAlign w:val="center"/>
          </w:tcPr>
          <w:p w14:paraId="4927E924">
            <w:pPr>
              <w:jc w:val="center"/>
            </w:pPr>
            <w:r>
              <w:rPr>
                <w:rFonts w:hint="eastAsia"/>
              </w:rPr>
              <w:t>0.011</w:t>
            </w:r>
          </w:p>
        </w:tc>
        <w:tc>
          <w:tcPr>
            <w:tcW w:w="1129" w:type="dxa"/>
            <w:tcBorders>
              <w:tl2br w:val="nil"/>
              <w:tr2bl w:val="nil"/>
            </w:tcBorders>
            <w:vAlign w:val="center"/>
          </w:tcPr>
          <w:p w14:paraId="5D304AEC">
            <w:pPr>
              <w:spacing w:line="240" w:lineRule="auto"/>
              <w:jc w:val="center"/>
              <w:rPr>
                <w:sz w:val="21"/>
                <w:szCs w:val="21"/>
              </w:rPr>
            </w:pPr>
            <w:r>
              <w:rPr>
                <w:rFonts w:hint="eastAsia"/>
                <w:sz w:val="21"/>
                <w:szCs w:val="21"/>
              </w:rPr>
              <w:t>/</w:t>
            </w:r>
          </w:p>
        </w:tc>
        <w:tc>
          <w:tcPr>
            <w:tcW w:w="768" w:type="dxa"/>
            <w:tcBorders>
              <w:tl2br w:val="nil"/>
              <w:tr2bl w:val="nil"/>
            </w:tcBorders>
            <w:vAlign w:val="center"/>
          </w:tcPr>
          <w:p w14:paraId="7ACBD402">
            <w:pPr>
              <w:spacing w:line="240" w:lineRule="auto"/>
              <w:jc w:val="center"/>
              <w:rPr>
                <w:sz w:val="21"/>
                <w:szCs w:val="21"/>
              </w:rPr>
            </w:pPr>
            <w:r>
              <w:rPr>
                <w:rFonts w:hint="eastAsia"/>
                <w:sz w:val="21"/>
                <w:szCs w:val="21"/>
              </w:rPr>
              <w:t>/</w:t>
            </w:r>
          </w:p>
        </w:tc>
        <w:tc>
          <w:tcPr>
            <w:tcW w:w="896" w:type="dxa"/>
            <w:tcBorders>
              <w:tl2br w:val="nil"/>
              <w:tr2bl w:val="nil"/>
            </w:tcBorders>
            <w:vAlign w:val="center"/>
          </w:tcPr>
          <w:p w14:paraId="6A7E9CAD">
            <w:pPr>
              <w:spacing w:line="240" w:lineRule="auto"/>
              <w:jc w:val="center"/>
              <w:rPr>
                <w:sz w:val="21"/>
                <w:szCs w:val="21"/>
              </w:rPr>
            </w:pPr>
            <w:r>
              <w:rPr>
                <w:rFonts w:hint="eastAsia"/>
                <w:sz w:val="21"/>
                <w:szCs w:val="21"/>
              </w:rPr>
              <w:t>/</w:t>
            </w:r>
          </w:p>
        </w:tc>
      </w:tr>
    </w:tbl>
    <w:p w14:paraId="5B6DC2EA">
      <w:pPr>
        <w:rPr>
          <w:color w:val="FF0000"/>
        </w:rPr>
        <w:sectPr>
          <w:pgSz w:w="16838" w:h="11906" w:orient="landscape"/>
          <w:pgMar w:top="1800" w:right="1440" w:bottom="1800" w:left="144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0732934D">
      <w:pPr>
        <w:pStyle w:val="38"/>
        <w:ind w:firstLine="480"/>
      </w:pPr>
      <w:r>
        <w:rPr>
          <w:rFonts w:hint="eastAsia"/>
        </w:rPr>
        <w:t>4.评价等级计算结果</w:t>
      </w:r>
    </w:p>
    <w:p w14:paraId="7E582604">
      <w:pPr>
        <w:ind w:firstLine="480"/>
      </w:pPr>
      <w:r>
        <w:t>本次采用《环境影响评价技术导则大气环境》（HJ2.2-2018）推荐的估算模式AERSCREEN进行预测。分别计算项目污染源的最大环境影响，然后按评价工作分级判据进行分级，计算公式如下：</w:t>
      </w:r>
    </w:p>
    <w:p w14:paraId="2307C20C">
      <w:pPr>
        <w:ind w:firstLine="480"/>
        <w:jc w:val="center"/>
        <w:rPr>
          <w:color w:val="FF0000"/>
        </w:rPr>
      </w:pPr>
      <w:r>
        <w:rPr>
          <w:position w:val="-30"/>
        </w:rPr>
        <w:object>
          <v:shape id="_x0000_i1031" o:spt="75" type="#_x0000_t75" style="height:33.85pt;width:79.8pt;" o:ole="t" filled="f" o:preferrelative="t" stroked="f" coordsize="21600,21600">
            <v:path/>
            <v:fill on="f" focussize="0,0"/>
            <v:stroke on="f" joinstyle="miter"/>
            <v:imagedata r:id="rId17" o:title=""/>
            <o:lock v:ext="edit" aspectratio="t"/>
            <w10:wrap type="none"/>
            <w10:anchorlock/>
          </v:shape>
          <o:OLEObject Type="Embed" ProgID="Equation.3" ShapeID="_x0000_i1031" DrawAspect="Content" ObjectID="_1468075734" r:id="rId50">
            <o:LockedField>false</o:LockedField>
          </o:OLEObject>
        </w:object>
      </w:r>
    </w:p>
    <w:p w14:paraId="1FC15CEF">
      <w:pPr>
        <w:ind w:firstLine="480"/>
      </w:pPr>
      <w:r>
        <w:t>式中：</w:t>
      </w:r>
    </w:p>
    <w:p w14:paraId="7A873122">
      <w:pPr>
        <w:ind w:firstLine="480"/>
      </w:pPr>
      <w:r>
        <w:t>Pi——第i个污染物的最大地面空气质量浓度占标率，%；</w:t>
      </w:r>
    </w:p>
    <w:p w14:paraId="4A8DC1C5">
      <w:pPr>
        <w:ind w:firstLine="480"/>
      </w:pPr>
      <w:r>
        <w:t>Ci——采用估算模式计算出的第i个污染物的最大1h地面空气质量浓度，μg/m</w:t>
      </w:r>
      <w:r>
        <w:rPr>
          <w:vertAlign w:val="superscript"/>
        </w:rPr>
        <w:t>3</w:t>
      </w:r>
      <w:r>
        <w:t>；</w:t>
      </w:r>
    </w:p>
    <w:p w14:paraId="5D7E7CF3">
      <w:pPr>
        <w:ind w:firstLine="480"/>
      </w:pPr>
      <w:r>
        <w:t>Coi——第i个污染物的环境空气质量浓度标准，μg/m</w:t>
      </w:r>
      <w:r>
        <w:rPr>
          <w:vertAlign w:val="superscript"/>
        </w:rPr>
        <w:t>3</w:t>
      </w:r>
      <w:r>
        <w:t>；</w:t>
      </w:r>
    </w:p>
    <w:p w14:paraId="6131FCCC">
      <w:pPr>
        <w:ind w:firstLine="480"/>
      </w:pPr>
      <w:r>
        <w:t>Coi本项目位于二类区，选用GB3095中1h平均质量浓度的二级浓度限值；对该标准中未包含的污染物，使用5.2确定的各评价因子1h平均质量浓度限值。对仅有8h平均质量浓度限值、日平均质量浓度限值或年平均质量浓度限值的，可分别按2倍、3倍、6倍折算为1h平均质量浓度限值。评价工作等级分级依据见下表。</w:t>
      </w:r>
    </w:p>
    <w:p w14:paraId="3587B2FE">
      <w:pPr>
        <w:pStyle w:val="51"/>
        <w:numPr>
          <w:ilvl w:val="5"/>
          <w:numId w:val="0"/>
        </w:numPr>
        <w:tabs>
          <w:tab w:val="left" w:pos="4395"/>
        </w:tabs>
        <w:spacing w:before="156"/>
        <w:ind w:left="4700" w:leftChars="0" w:hanging="7088"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表6.2-14 </w:t>
      </w:r>
      <w:r>
        <w:rPr>
          <w:rFonts w:hint="eastAsia" w:ascii="宋体" w:hAnsi="宋体" w:cs="宋体"/>
          <w:b/>
          <w:bCs/>
          <w:color w:val="auto"/>
          <w:kern w:val="2"/>
          <w:sz w:val="21"/>
          <w:szCs w:val="21"/>
          <w:lang w:val="en-US" w:eastAsia="zh-CN" w:bidi="ar-SA"/>
        </w:rPr>
        <w:t xml:space="preserve">     </w:t>
      </w:r>
      <w:r>
        <w:rPr>
          <w:rFonts w:hint="eastAsia"/>
        </w:rPr>
        <w:t>评价等级判别表</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692"/>
        <w:gridCol w:w="5830"/>
      </w:tblGrid>
      <w:tr w14:paraId="56BBB7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60" w:type="dxa"/>
            <w:vAlign w:val="center"/>
          </w:tcPr>
          <w:p w14:paraId="352C2400">
            <w:pPr>
              <w:spacing w:line="240" w:lineRule="auto"/>
              <w:jc w:val="center"/>
              <w:rPr>
                <w:b/>
                <w:bCs/>
                <w:sz w:val="21"/>
                <w:szCs w:val="21"/>
              </w:rPr>
            </w:pPr>
            <w:r>
              <w:rPr>
                <w:b/>
                <w:bCs/>
                <w:sz w:val="21"/>
                <w:szCs w:val="21"/>
              </w:rPr>
              <w:t>评价工作等级</w:t>
            </w:r>
          </w:p>
        </w:tc>
        <w:tc>
          <w:tcPr>
            <w:tcW w:w="6211" w:type="dxa"/>
            <w:vAlign w:val="center"/>
          </w:tcPr>
          <w:p w14:paraId="5D5A50F4">
            <w:pPr>
              <w:spacing w:line="240" w:lineRule="auto"/>
              <w:jc w:val="center"/>
              <w:rPr>
                <w:b/>
                <w:bCs/>
                <w:sz w:val="21"/>
                <w:szCs w:val="21"/>
              </w:rPr>
            </w:pPr>
            <w:r>
              <w:rPr>
                <w:b/>
                <w:bCs/>
                <w:sz w:val="21"/>
                <w:szCs w:val="21"/>
              </w:rPr>
              <w:t>评价工作分级判据</w:t>
            </w:r>
          </w:p>
        </w:tc>
      </w:tr>
      <w:tr w14:paraId="05B0E4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60" w:type="dxa"/>
            <w:vAlign w:val="center"/>
          </w:tcPr>
          <w:p w14:paraId="56551ABB">
            <w:pPr>
              <w:spacing w:line="240" w:lineRule="auto"/>
              <w:jc w:val="center"/>
              <w:rPr>
                <w:sz w:val="21"/>
                <w:szCs w:val="21"/>
              </w:rPr>
            </w:pPr>
            <w:r>
              <w:rPr>
                <w:sz w:val="21"/>
                <w:szCs w:val="21"/>
              </w:rPr>
              <w:t>一级评级</w:t>
            </w:r>
          </w:p>
        </w:tc>
        <w:tc>
          <w:tcPr>
            <w:tcW w:w="6211" w:type="dxa"/>
            <w:vAlign w:val="center"/>
          </w:tcPr>
          <w:p w14:paraId="549B5B58">
            <w:pPr>
              <w:spacing w:line="240" w:lineRule="auto"/>
              <w:jc w:val="center"/>
              <w:rPr>
                <w:sz w:val="21"/>
                <w:szCs w:val="21"/>
              </w:rPr>
            </w:pPr>
            <w:r>
              <w:rPr>
                <w:sz w:val="21"/>
                <w:szCs w:val="21"/>
              </w:rPr>
              <w:t>P</w:t>
            </w:r>
            <w:r>
              <w:rPr>
                <w:sz w:val="21"/>
                <w:szCs w:val="21"/>
                <w:vertAlign w:val="subscript"/>
              </w:rPr>
              <w:t>max</w:t>
            </w:r>
            <w:r>
              <w:rPr>
                <w:sz w:val="21"/>
                <w:szCs w:val="21"/>
              </w:rPr>
              <w:t>≥10%</w:t>
            </w:r>
          </w:p>
        </w:tc>
      </w:tr>
      <w:tr w14:paraId="716566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60" w:type="dxa"/>
            <w:vAlign w:val="center"/>
          </w:tcPr>
          <w:p w14:paraId="3D817BF2">
            <w:pPr>
              <w:spacing w:line="240" w:lineRule="auto"/>
              <w:jc w:val="center"/>
              <w:rPr>
                <w:sz w:val="21"/>
                <w:szCs w:val="21"/>
              </w:rPr>
            </w:pPr>
            <w:r>
              <w:rPr>
                <w:sz w:val="21"/>
                <w:szCs w:val="21"/>
              </w:rPr>
              <w:t>二级评价</w:t>
            </w:r>
          </w:p>
        </w:tc>
        <w:tc>
          <w:tcPr>
            <w:tcW w:w="6211" w:type="dxa"/>
            <w:vAlign w:val="center"/>
          </w:tcPr>
          <w:p w14:paraId="3C151442">
            <w:pPr>
              <w:spacing w:line="240" w:lineRule="auto"/>
              <w:jc w:val="center"/>
              <w:rPr>
                <w:sz w:val="21"/>
                <w:szCs w:val="21"/>
              </w:rPr>
            </w:pPr>
            <w:r>
              <w:rPr>
                <w:sz w:val="21"/>
                <w:szCs w:val="21"/>
              </w:rPr>
              <w:t>1%≤P</w:t>
            </w:r>
            <w:r>
              <w:rPr>
                <w:sz w:val="21"/>
                <w:szCs w:val="21"/>
                <w:vertAlign w:val="subscript"/>
              </w:rPr>
              <w:t>max</w:t>
            </w:r>
            <w:r>
              <w:rPr>
                <w:sz w:val="21"/>
                <w:szCs w:val="21"/>
              </w:rPr>
              <w:t>＜10%</w:t>
            </w:r>
          </w:p>
        </w:tc>
      </w:tr>
      <w:tr w14:paraId="2B6BBC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60" w:type="dxa"/>
            <w:vAlign w:val="center"/>
          </w:tcPr>
          <w:p w14:paraId="3450A944">
            <w:pPr>
              <w:spacing w:line="240" w:lineRule="auto"/>
              <w:jc w:val="center"/>
              <w:rPr>
                <w:sz w:val="21"/>
                <w:szCs w:val="21"/>
              </w:rPr>
            </w:pPr>
            <w:r>
              <w:rPr>
                <w:sz w:val="21"/>
                <w:szCs w:val="21"/>
              </w:rPr>
              <w:t>三级评价</w:t>
            </w:r>
          </w:p>
        </w:tc>
        <w:tc>
          <w:tcPr>
            <w:tcW w:w="6211" w:type="dxa"/>
            <w:vAlign w:val="center"/>
          </w:tcPr>
          <w:p w14:paraId="2C60B9B9">
            <w:pPr>
              <w:spacing w:line="240" w:lineRule="auto"/>
              <w:jc w:val="center"/>
              <w:rPr>
                <w:sz w:val="21"/>
                <w:szCs w:val="21"/>
              </w:rPr>
            </w:pPr>
            <w:r>
              <w:rPr>
                <w:sz w:val="21"/>
                <w:szCs w:val="21"/>
              </w:rPr>
              <w:t>P</w:t>
            </w:r>
            <w:r>
              <w:rPr>
                <w:sz w:val="21"/>
                <w:szCs w:val="21"/>
                <w:vertAlign w:val="subscript"/>
              </w:rPr>
              <w:t>max</w:t>
            </w:r>
            <w:r>
              <w:rPr>
                <w:sz w:val="21"/>
                <w:szCs w:val="21"/>
              </w:rPr>
              <w:t>＜1%</w:t>
            </w:r>
          </w:p>
        </w:tc>
      </w:tr>
    </w:tbl>
    <w:p w14:paraId="3B555D2A">
      <w:pPr>
        <w:ind w:firstLine="480"/>
        <w:rPr>
          <w:rFonts w:hint="eastAsia"/>
        </w:rPr>
      </w:pPr>
      <w:r>
        <w:t>经估算模式预测，本项目最大Pmax为</w:t>
      </w:r>
      <w:r>
        <w:rPr>
          <w:rFonts w:hint="eastAsia"/>
        </w:rPr>
        <w:t>3#车间无组织挥发性有机物</w:t>
      </w:r>
      <w:r>
        <w:t>，为</w:t>
      </w:r>
      <w:r>
        <w:rPr>
          <w:rFonts w:hint="eastAsia"/>
        </w:rPr>
        <w:t>559.43</w:t>
      </w:r>
      <w:r>
        <w:t>%，大于1</w:t>
      </w:r>
      <w:r>
        <w:rPr>
          <w:rFonts w:hint="eastAsia"/>
        </w:rPr>
        <w:t>0</w:t>
      </w:r>
      <w:r>
        <w:t>%，根据《环境影响评价技术导则大气环境》（HJ2.2-2018），大气环境评价工作等级为一级，AERSCREEN预测结果截图如下</w:t>
      </w:r>
    </w:p>
    <w:p w14:paraId="39BFF1BE">
      <w:pPr>
        <w:pStyle w:val="38"/>
        <w:ind w:firstLine="1920" w:firstLineChars="800"/>
        <w:rPr>
          <w:color w:val="auto"/>
        </w:rPr>
      </w:pPr>
      <w:r>
        <w:pict>
          <v:shape id="_x0000_s1266" o:spid="_x0000_s1266" o:spt="75" type="#_x0000_t75" style="position:absolute;left:0pt;margin-left:-1.55pt;margin-top:-2.95pt;height:225.4pt;width:415.1pt;mso-wrap-distance-bottom:0pt;mso-wrap-distance-left:9pt;mso-wrap-distance-right:9pt;mso-wrap-distance-top:0pt;z-index:251694080;mso-width-relative:page;mso-height-relative:page;" filled="f" o:preferrelative="t" stroked="f" coordsize="21600,21600">
            <v:path/>
            <v:fill on="f" focussize="0,0"/>
            <v:stroke on="f" joinstyle="miter"/>
            <v:imagedata r:id="rId18" o:title="333333"/>
            <o:lock v:ext="edit" aspectratio="t"/>
            <w10:wrap type="square"/>
          </v:shape>
        </w:pict>
      </w:r>
      <w:r>
        <w:rPr>
          <w:rFonts w:hint="default" w:ascii="宋体" w:hAnsi="宋体" w:eastAsia="宋体" w:cs="宋体"/>
          <w:b/>
          <w:bCs/>
          <w:color w:val="auto"/>
          <w:kern w:val="2"/>
          <w:sz w:val="21"/>
          <w:szCs w:val="21"/>
          <w:lang w:val="en-US" w:eastAsia="zh-CN" w:bidi="ar-SA"/>
        </w:rPr>
        <w:t>图6.2-5</w:t>
      </w:r>
      <w:r>
        <w:rPr>
          <w:rFonts w:hint="eastAsia" w:hAnsi="宋体" w:eastAsia="宋体" w:cs="宋体"/>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cs="Times New Roman"/>
          <w:b/>
          <w:bCs/>
          <w:color w:val="auto"/>
        </w:rPr>
        <w:t>AERSCREEN预测结果截图</w:t>
      </w:r>
    </w:p>
    <w:p w14:paraId="10BED7E2">
      <w:pPr>
        <w:ind w:firstLine="480"/>
      </w:pPr>
      <w:r>
        <w:rPr>
          <w:rFonts w:hint="eastAsia"/>
        </w:rPr>
        <w:t>5.预测情景设定</w:t>
      </w:r>
    </w:p>
    <w:p w14:paraId="7DB41180">
      <w:pPr>
        <w:ind w:firstLine="480"/>
      </w:pPr>
      <w:r>
        <w:rPr>
          <w:rFonts w:hint="eastAsia"/>
        </w:rPr>
        <w:t>根据《环境影响评价技术导则 大气环境》（HJ2.2-2018）要求，一级评价达标区需要预测和评价的内容如下：</w:t>
      </w:r>
    </w:p>
    <w:p w14:paraId="17043EC5">
      <w:pPr>
        <w:ind w:firstLine="480"/>
      </w:pPr>
      <w:r>
        <w:rPr>
          <w:rFonts w:hint="eastAsia" w:ascii="宋体" w:hAnsi="宋体" w:cs="宋体"/>
        </w:rPr>
        <w:t>⑴</w:t>
      </w:r>
      <w:r>
        <w:rPr>
          <w:rFonts w:hint="eastAsia"/>
        </w:rPr>
        <w:t>拟建项目正常排放条件下，预测环境空气保护目标和网格点主要污染物的短期浓度和长期浓度贡献贡献值，评价其最大浓度占标率；</w:t>
      </w:r>
    </w:p>
    <w:p w14:paraId="4CF4A127">
      <w:pPr>
        <w:ind w:firstLine="480"/>
      </w:pPr>
      <w:r>
        <w:rPr>
          <w:rFonts w:hint="eastAsia" w:ascii="宋体" w:hAnsi="宋体" w:cs="宋体"/>
        </w:rPr>
        <w:t>⑵</w:t>
      </w:r>
      <w:r>
        <w:rPr>
          <w:rFonts w:hint="eastAsia"/>
        </w:rPr>
        <w:t>拟建项目正常排放条件下，预测评价叠加环境空气质量现状浓度后，环境空气保护目标和网格点主要污染物的保证率日平均质量浓度和年平均质量浓度的达标情况；</w:t>
      </w:r>
    </w:p>
    <w:p w14:paraId="51CF4F3F">
      <w:pPr>
        <w:ind w:firstLine="480"/>
      </w:pPr>
      <w:r>
        <w:rPr>
          <w:rFonts w:hint="eastAsia" w:ascii="宋体" w:hAnsi="宋体" w:cs="宋体"/>
        </w:rPr>
        <w:t>⑶</w:t>
      </w:r>
      <w:r>
        <w:rPr>
          <w:rFonts w:hint="eastAsia"/>
        </w:rPr>
        <w:t>非正常排放情况，预测环境空气保护目标和网格点主要污染物的1h最大浓度贡献值。</w:t>
      </w:r>
    </w:p>
    <w:p w14:paraId="79EDC816">
      <w:pPr>
        <w:ind w:firstLine="480"/>
      </w:pPr>
      <w:r>
        <w:rPr>
          <w:rFonts w:hint="eastAsia"/>
        </w:rPr>
        <w:t>本次预测情景组合主要见表6.2-14。</w:t>
      </w:r>
    </w:p>
    <w:p w14:paraId="22937F7E">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表6.2-15 </w:t>
      </w:r>
      <w:r>
        <w:rPr>
          <w:rFonts w:hint="eastAsia"/>
        </w:rPr>
        <w:t>拟建项目环境空气主要预测情景组合表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2050"/>
        <w:gridCol w:w="1800"/>
        <w:gridCol w:w="2872"/>
      </w:tblGrid>
      <w:tr w14:paraId="1B2B8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00" w:type="dxa"/>
            <w:tcBorders>
              <w:top w:val="single" w:color="auto" w:sz="12" w:space="0"/>
              <w:left w:val="single" w:color="auto" w:sz="12" w:space="0"/>
            </w:tcBorders>
            <w:vAlign w:val="center"/>
          </w:tcPr>
          <w:p w14:paraId="278AF142">
            <w:pPr>
              <w:spacing w:line="240" w:lineRule="auto"/>
              <w:jc w:val="center"/>
              <w:rPr>
                <w:sz w:val="21"/>
                <w:szCs w:val="21"/>
              </w:rPr>
            </w:pPr>
            <w:r>
              <w:rPr>
                <w:rFonts w:hint="eastAsia"/>
                <w:sz w:val="21"/>
                <w:szCs w:val="21"/>
              </w:rPr>
              <w:t>污染物排放形式</w:t>
            </w:r>
          </w:p>
        </w:tc>
        <w:tc>
          <w:tcPr>
            <w:tcW w:w="2050" w:type="dxa"/>
            <w:tcBorders>
              <w:top w:val="single" w:color="auto" w:sz="12" w:space="0"/>
            </w:tcBorders>
            <w:vAlign w:val="center"/>
          </w:tcPr>
          <w:p w14:paraId="46AAF792">
            <w:pPr>
              <w:spacing w:line="240" w:lineRule="auto"/>
              <w:jc w:val="center"/>
              <w:rPr>
                <w:sz w:val="21"/>
                <w:szCs w:val="21"/>
              </w:rPr>
            </w:pPr>
            <w:r>
              <w:rPr>
                <w:rFonts w:hint="eastAsia"/>
                <w:sz w:val="21"/>
                <w:szCs w:val="21"/>
              </w:rPr>
              <w:t>污染源</w:t>
            </w:r>
          </w:p>
        </w:tc>
        <w:tc>
          <w:tcPr>
            <w:tcW w:w="1800" w:type="dxa"/>
            <w:tcBorders>
              <w:top w:val="single" w:color="auto" w:sz="12" w:space="0"/>
            </w:tcBorders>
            <w:vAlign w:val="center"/>
          </w:tcPr>
          <w:p w14:paraId="74DB752B">
            <w:pPr>
              <w:spacing w:line="240" w:lineRule="auto"/>
              <w:jc w:val="center"/>
              <w:rPr>
                <w:sz w:val="21"/>
                <w:szCs w:val="21"/>
              </w:rPr>
            </w:pPr>
            <w:r>
              <w:rPr>
                <w:rFonts w:hint="eastAsia"/>
                <w:sz w:val="21"/>
                <w:szCs w:val="21"/>
              </w:rPr>
              <w:t>预测内容</w:t>
            </w:r>
          </w:p>
        </w:tc>
        <w:tc>
          <w:tcPr>
            <w:tcW w:w="2872" w:type="dxa"/>
            <w:tcBorders>
              <w:top w:val="single" w:color="auto" w:sz="12" w:space="0"/>
              <w:right w:val="single" w:color="auto" w:sz="12" w:space="0"/>
            </w:tcBorders>
            <w:vAlign w:val="center"/>
          </w:tcPr>
          <w:p w14:paraId="3E4A3756">
            <w:pPr>
              <w:spacing w:line="240" w:lineRule="auto"/>
              <w:jc w:val="center"/>
              <w:rPr>
                <w:sz w:val="21"/>
                <w:szCs w:val="21"/>
              </w:rPr>
            </w:pPr>
            <w:r>
              <w:rPr>
                <w:rFonts w:hint="eastAsia"/>
                <w:sz w:val="21"/>
                <w:szCs w:val="21"/>
              </w:rPr>
              <w:t>评级内容</w:t>
            </w:r>
          </w:p>
        </w:tc>
      </w:tr>
      <w:tr w14:paraId="54973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00" w:type="dxa"/>
            <w:tcBorders>
              <w:left w:val="single" w:color="auto" w:sz="12" w:space="0"/>
            </w:tcBorders>
            <w:vAlign w:val="center"/>
          </w:tcPr>
          <w:p w14:paraId="47014304">
            <w:pPr>
              <w:spacing w:line="240" w:lineRule="auto"/>
              <w:jc w:val="center"/>
              <w:rPr>
                <w:sz w:val="21"/>
                <w:szCs w:val="21"/>
              </w:rPr>
            </w:pPr>
            <w:r>
              <w:rPr>
                <w:rFonts w:hint="eastAsia"/>
                <w:sz w:val="21"/>
                <w:szCs w:val="21"/>
              </w:rPr>
              <w:t>情景1：正常工况</w:t>
            </w:r>
          </w:p>
        </w:tc>
        <w:tc>
          <w:tcPr>
            <w:tcW w:w="2050" w:type="dxa"/>
            <w:vAlign w:val="center"/>
          </w:tcPr>
          <w:p w14:paraId="296FDE7B">
            <w:pPr>
              <w:spacing w:line="240" w:lineRule="auto"/>
              <w:jc w:val="center"/>
              <w:rPr>
                <w:sz w:val="21"/>
                <w:szCs w:val="21"/>
              </w:rPr>
            </w:pPr>
            <w:r>
              <w:rPr>
                <w:rFonts w:hint="eastAsia"/>
                <w:sz w:val="21"/>
                <w:szCs w:val="21"/>
              </w:rPr>
              <w:t>新增污染源</w:t>
            </w:r>
          </w:p>
        </w:tc>
        <w:tc>
          <w:tcPr>
            <w:tcW w:w="1800" w:type="dxa"/>
            <w:vAlign w:val="center"/>
          </w:tcPr>
          <w:p w14:paraId="03166234">
            <w:pPr>
              <w:spacing w:line="240" w:lineRule="auto"/>
              <w:jc w:val="center"/>
              <w:rPr>
                <w:sz w:val="21"/>
                <w:szCs w:val="21"/>
              </w:rPr>
            </w:pPr>
            <w:r>
              <w:rPr>
                <w:rFonts w:hint="eastAsia"/>
                <w:sz w:val="21"/>
                <w:szCs w:val="21"/>
              </w:rPr>
              <w:t>短期浓度</w:t>
            </w:r>
          </w:p>
          <w:p w14:paraId="5620CCED">
            <w:pPr>
              <w:spacing w:line="240" w:lineRule="auto"/>
              <w:jc w:val="center"/>
              <w:rPr>
                <w:sz w:val="21"/>
                <w:szCs w:val="21"/>
              </w:rPr>
            </w:pPr>
            <w:r>
              <w:rPr>
                <w:rFonts w:hint="eastAsia"/>
                <w:sz w:val="21"/>
                <w:szCs w:val="21"/>
              </w:rPr>
              <w:t>长期浓度</w:t>
            </w:r>
          </w:p>
        </w:tc>
        <w:tc>
          <w:tcPr>
            <w:tcW w:w="2872" w:type="dxa"/>
            <w:tcBorders>
              <w:right w:val="single" w:color="auto" w:sz="12" w:space="0"/>
            </w:tcBorders>
            <w:vAlign w:val="center"/>
          </w:tcPr>
          <w:p w14:paraId="0B653D98">
            <w:pPr>
              <w:spacing w:line="240" w:lineRule="auto"/>
              <w:jc w:val="center"/>
              <w:rPr>
                <w:sz w:val="21"/>
                <w:szCs w:val="21"/>
              </w:rPr>
            </w:pPr>
            <w:r>
              <w:rPr>
                <w:rFonts w:hint="eastAsia"/>
                <w:sz w:val="21"/>
                <w:szCs w:val="21"/>
              </w:rPr>
              <w:t>最大浓度占标率</w:t>
            </w:r>
          </w:p>
        </w:tc>
      </w:tr>
      <w:tr w14:paraId="2B856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00" w:type="dxa"/>
            <w:tcBorders>
              <w:left w:val="single" w:color="auto" w:sz="12" w:space="0"/>
            </w:tcBorders>
            <w:vAlign w:val="center"/>
          </w:tcPr>
          <w:p w14:paraId="3C432C6A">
            <w:pPr>
              <w:spacing w:line="240" w:lineRule="auto"/>
              <w:jc w:val="center"/>
              <w:rPr>
                <w:sz w:val="21"/>
                <w:szCs w:val="21"/>
              </w:rPr>
            </w:pPr>
            <w:r>
              <w:rPr>
                <w:rFonts w:hint="eastAsia"/>
                <w:sz w:val="21"/>
                <w:szCs w:val="21"/>
              </w:rPr>
              <w:t>情景2：正常工况</w:t>
            </w:r>
          </w:p>
        </w:tc>
        <w:tc>
          <w:tcPr>
            <w:tcW w:w="2050" w:type="dxa"/>
            <w:vAlign w:val="center"/>
          </w:tcPr>
          <w:p w14:paraId="16379BE0">
            <w:pPr>
              <w:spacing w:line="240" w:lineRule="auto"/>
              <w:jc w:val="center"/>
              <w:rPr>
                <w:sz w:val="21"/>
                <w:szCs w:val="21"/>
              </w:rPr>
            </w:pPr>
            <w:r>
              <w:rPr>
                <w:rFonts w:hint="eastAsia"/>
                <w:sz w:val="21"/>
                <w:szCs w:val="21"/>
              </w:rPr>
              <w:t>新增污染源-淘汰源+其他在建、拟建的污染源</w:t>
            </w:r>
          </w:p>
        </w:tc>
        <w:tc>
          <w:tcPr>
            <w:tcW w:w="1800" w:type="dxa"/>
            <w:vAlign w:val="center"/>
          </w:tcPr>
          <w:p w14:paraId="131F52B6">
            <w:pPr>
              <w:spacing w:line="240" w:lineRule="auto"/>
              <w:jc w:val="center"/>
              <w:rPr>
                <w:sz w:val="21"/>
                <w:szCs w:val="21"/>
              </w:rPr>
            </w:pPr>
            <w:r>
              <w:rPr>
                <w:rFonts w:hint="eastAsia"/>
                <w:sz w:val="21"/>
                <w:szCs w:val="21"/>
              </w:rPr>
              <w:t>短期浓度</w:t>
            </w:r>
          </w:p>
          <w:p w14:paraId="3343B28A">
            <w:pPr>
              <w:spacing w:line="240" w:lineRule="auto"/>
              <w:jc w:val="center"/>
              <w:rPr>
                <w:sz w:val="21"/>
                <w:szCs w:val="21"/>
              </w:rPr>
            </w:pPr>
            <w:r>
              <w:rPr>
                <w:rFonts w:hint="eastAsia"/>
                <w:sz w:val="21"/>
                <w:szCs w:val="21"/>
              </w:rPr>
              <w:t>长期浓度</w:t>
            </w:r>
          </w:p>
        </w:tc>
        <w:tc>
          <w:tcPr>
            <w:tcW w:w="2872" w:type="dxa"/>
            <w:tcBorders>
              <w:right w:val="single" w:color="auto" w:sz="12" w:space="0"/>
            </w:tcBorders>
            <w:vAlign w:val="center"/>
          </w:tcPr>
          <w:p w14:paraId="7349D917">
            <w:pPr>
              <w:spacing w:line="240" w:lineRule="auto"/>
              <w:jc w:val="center"/>
              <w:rPr>
                <w:sz w:val="21"/>
                <w:szCs w:val="21"/>
              </w:rPr>
            </w:pPr>
            <w:r>
              <w:rPr>
                <w:rFonts w:hint="eastAsia"/>
                <w:sz w:val="21"/>
                <w:szCs w:val="21"/>
              </w:rPr>
              <w:t>叠加环境质量现状浓度后的保证率日平均质量浓度和年平均质量浓度的占标率，或短期浓度的达标情况</w:t>
            </w:r>
          </w:p>
        </w:tc>
      </w:tr>
      <w:tr w14:paraId="69C0E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00" w:type="dxa"/>
            <w:tcBorders>
              <w:left w:val="single" w:color="auto" w:sz="12" w:space="0"/>
              <w:bottom w:val="single" w:color="auto" w:sz="12" w:space="0"/>
            </w:tcBorders>
            <w:vAlign w:val="center"/>
          </w:tcPr>
          <w:p w14:paraId="56839487">
            <w:pPr>
              <w:spacing w:line="240" w:lineRule="auto"/>
              <w:jc w:val="center"/>
              <w:rPr>
                <w:sz w:val="21"/>
                <w:szCs w:val="21"/>
              </w:rPr>
            </w:pPr>
            <w:r>
              <w:rPr>
                <w:rFonts w:hint="eastAsia"/>
                <w:sz w:val="21"/>
                <w:szCs w:val="21"/>
              </w:rPr>
              <w:t>情景3：非正常工况</w:t>
            </w:r>
          </w:p>
        </w:tc>
        <w:tc>
          <w:tcPr>
            <w:tcW w:w="2050" w:type="dxa"/>
            <w:tcBorders>
              <w:bottom w:val="single" w:color="auto" w:sz="12" w:space="0"/>
            </w:tcBorders>
            <w:vAlign w:val="center"/>
          </w:tcPr>
          <w:p w14:paraId="2149C2B6">
            <w:pPr>
              <w:spacing w:line="240" w:lineRule="auto"/>
              <w:jc w:val="center"/>
              <w:rPr>
                <w:sz w:val="21"/>
                <w:szCs w:val="21"/>
              </w:rPr>
            </w:pPr>
            <w:r>
              <w:rPr>
                <w:rFonts w:hint="eastAsia"/>
                <w:sz w:val="21"/>
                <w:szCs w:val="21"/>
              </w:rPr>
              <w:t>新增污染源</w:t>
            </w:r>
          </w:p>
        </w:tc>
        <w:tc>
          <w:tcPr>
            <w:tcW w:w="1800" w:type="dxa"/>
            <w:tcBorders>
              <w:bottom w:val="single" w:color="auto" w:sz="12" w:space="0"/>
            </w:tcBorders>
            <w:vAlign w:val="center"/>
          </w:tcPr>
          <w:p w14:paraId="27639166">
            <w:pPr>
              <w:spacing w:line="240" w:lineRule="auto"/>
              <w:jc w:val="center"/>
              <w:rPr>
                <w:sz w:val="21"/>
                <w:szCs w:val="21"/>
              </w:rPr>
            </w:pPr>
            <w:r>
              <w:rPr>
                <w:rFonts w:hint="eastAsia"/>
                <w:sz w:val="21"/>
                <w:szCs w:val="21"/>
              </w:rPr>
              <w:t>1h平均质量浓度</w:t>
            </w:r>
          </w:p>
        </w:tc>
        <w:tc>
          <w:tcPr>
            <w:tcW w:w="2872" w:type="dxa"/>
            <w:tcBorders>
              <w:bottom w:val="single" w:color="auto" w:sz="12" w:space="0"/>
              <w:right w:val="single" w:color="auto" w:sz="12" w:space="0"/>
            </w:tcBorders>
            <w:vAlign w:val="center"/>
          </w:tcPr>
          <w:p w14:paraId="5374502C">
            <w:pPr>
              <w:spacing w:line="240" w:lineRule="auto"/>
              <w:jc w:val="center"/>
              <w:rPr>
                <w:sz w:val="21"/>
                <w:szCs w:val="21"/>
              </w:rPr>
            </w:pPr>
            <w:r>
              <w:rPr>
                <w:rFonts w:hint="eastAsia"/>
                <w:sz w:val="21"/>
                <w:szCs w:val="21"/>
              </w:rPr>
              <w:t>最大浓度贡献值占标率</w:t>
            </w:r>
          </w:p>
        </w:tc>
      </w:tr>
    </w:tbl>
    <w:p w14:paraId="0D70DA82">
      <w:pPr>
        <w:ind w:firstLine="480"/>
      </w:pPr>
      <w:r>
        <w:rPr>
          <w:rFonts w:hint="eastAsia"/>
        </w:rPr>
        <w:t>6.大气环境影响预测结果</w:t>
      </w:r>
    </w:p>
    <w:p w14:paraId="03378BF9">
      <w:pPr>
        <w:ind w:firstLine="482"/>
        <w:rPr>
          <w:rFonts w:ascii="宋体" w:hAnsi="宋体" w:cs="宋体"/>
          <w:b/>
          <w:bCs/>
        </w:rPr>
      </w:pPr>
      <w:r>
        <w:rPr>
          <w:rFonts w:hint="eastAsia" w:ascii="宋体" w:hAnsi="宋体" w:cs="宋体"/>
          <w:b/>
          <w:bCs/>
        </w:rPr>
        <w:t>情景1贡献值预测结果</w:t>
      </w:r>
    </w:p>
    <w:p w14:paraId="45D0E1E1">
      <w:pPr>
        <w:ind w:firstLine="480"/>
      </w:pPr>
      <w:r>
        <w:rPr>
          <w:rFonts w:hint="eastAsia" w:ascii="宋体" w:hAnsi="宋体" w:cs="宋体"/>
        </w:rPr>
        <w:t>⑴</w:t>
      </w:r>
      <w:r>
        <w:rPr>
          <w:rFonts w:hint="eastAsia"/>
        </w:rPr>
        <w:t>变更后全厂污染源正常排放下预测结果</w:t>
      </w:r>
    </w:p>
    <w:p w14:paraId="36DDAF39">
      <w:pPr>
        <w:ind w:firstLine="480"/>
      </w:pPr>
      <w:r>
        <w:t>①</w:t>
      </w:r>
      <w:r>
        <w:rPr>
          <w:rFonts w:hint="eastAsia"/>
        </w:rPr>
        <w:t>SO</w:t>
      </w:r>
      <w:r>
        <w:rPr>
          <w:rFonts w:hint="eastAsia"/>
          <w:vertAlign w:val="subscript"/>
        </w:rPr>
        <w:t>2</w:t>
      </w:r>
      <w:r>
        <w:rPr>
          <w:rFonts w:hint="eastAsia"/>
        </w:rPr>
        <w:t>预测结果</w:t>
      </w:r>
    </w:p>
    <w:p w14:paraId="6CCF0B25">
      <w:pPr>
        <w:ind w:firstLine="480"/>
      </w:pPr>
      <w:r>
        <w:t>经AERMOD模型预测，正常排放情况下，本项目排放的SO</w:t>
      </w:r>
      <w:r>
        <w:rPr>
          <w:vertAlign w:val="subscript"/>
        </w:rPr>
        <w:t>2</w:t>
      </w:r>
      <w:r>
        <w:t>小时、日均、年均浓度贡献值满足《环境空气质量标准》（GB3095-2012）二级标准要求。区域最大落地浓度中，1小时浓度贡献值最大值为</w:t>
      </w:r>
      <w:r>
        <w:rPr>
          <w:sz w:val="21"/>
          <w:szCs w:val="21"/>
        </w:rPr>
        <w:t>0.00</w:t>
      </w:r>
      <w:r>
        <w:rPr>
          <w:rFonts w:hint="eastAsia"/>
          <w:sz w:val="21"/>
          <w:szCs w:val="21"/>
        </w:rPr>
        <w:t>13</w:t>
      </w:r>
      <w:r>
        <w:t>mg/m³、最大占标率为</w:t>
      </w:r>
      <w:r>
        <w:rPr>
          <w:rFonts w:hint="eastAsia"/>
        </w:rPr>
        <w:t>0.25</w:t>
      </w:r>
      <w:r>
        <w:t>%；日均浓度贡献值最大值为0.000</w:t>
      </w:r>
      <w:r>
        <w:rPr>
          <w:rFonts w:hint="eastAsia"/>
        </w:rPr>
        <w:t>1</w:t>
      </w:r>
      <w:r>
        <w:t>mg/m³、最大占标率为</w:t>
      </w:r>
      <w:r>
        <w:rPr>
          <w:rFonts w:hint="eastAsia"/>
        </w:rPr>
        <w:t>0.06</w:t>
      </w:r>
      <w:r>
        <w:t>%；年均浓度贡献值最大值为0.0</w:t>
      </w:r>
      <w:r>
        <w:rPr>
          <w:rFonts w:hint="eastAsia"/>
        </w:rPr>
        <w:t>00</w:t>
      </w:r>
      <w:r>
        <w:t>0</w:t>
      </w:r>
      <w:r>
        <w:rPr>
          <w:rFonts w:hint="eastAsia"/>
        </w:rPr>
        <w:t>59</w:t>
      </w:r>
      <w:r>
        <w:t>mg/m³，最大占标率为</w:t>
      </w:r>
      <w:r>
        <w:rPr>
          <w:rFonts w:hint="eastAsia"/>
        </w:rPr>
        <w:t>0.01</w:t>
      </w:r>
      <w:r>
        <w:t>%。因此项目</w:t>
      </w:r>
      <w:r>
        <w:rPr>
          <w:rFonts w:hint="eastAsia"/>
        </w:rPr>
        <w:t>SO</w:t>
      </w:r>
      <w:r>
        <w:rPr>
          <w:rFonts w:hint="eastAsia"/>
          <w:vertAlign w:val="subscript"/>
        </w:rPr>
        <w:t>2</w:t>
      </w:r>
      <w:r>
        <w:t>短期浓度贡献值的最大浓度占标率≤</w:t>
      </w:r>
      <w:r>
        <w:rPr>
          <w:rFonts w:hint="eastAsia"/>
        </w:rPr>
        <w:t>100</w:t>
      </w:r>
      <w:r>
        <w:t>%</w:t>
      </w:r>
      <w:r>
        <w:rPr>
          <w:rFonts w:hint="eastAsia"/>
        </w:rPr>
        <w:t>，年均</w:t>
      </w:r>
      <w:r>
        <w:t>浓度贡献值的最大浓度占标率≤</w:t>
      </w:r>
      <w:r>
        <w:rPr>
          <w:rFonts w:hint="eastAsia"/>
        </w:rPr>
        <w:t>30</w:t>
      </w:r>
      <w:r>
        <w:t>%</w:t>
      </w:r>
      <w:r>
        <w:rPr>
          <w:rFonts w:hint="eastAsia"/>
        </w:rPr>
        <w:t>。</w:t>
      </w:r>
    </w:p>
    <w:p w14:paraId="70DBB676">
      <w:pPr>
        <w:pStyle w:val="51"/>
        <w:numPr>
          <w:ilvl w:val="5"/>
          <w:numId w:val="0"/>
        </w:numPr>
        <w:tabs>
          <w:tab w:val="left" w:pos="4395"/>
        </w:tabs>
        <w:spacing w:before="156"/>
        <w:ind w:left="4700" w:leftChars="0" w:hanging="3260" w:firstLineChars="0"/>
        <w:jc w:val="both"/>
        <w:rPr>
          <w:color w:val="FF0000"/>
        </w:rPr>
      </w:pPr>
      <w:r>
        <w:rPr>
          <w:rFonts w:hint="default" w:ascii="宋体" w:hAnsi="宋体" w:eastAsia="宋体" w:cs="宋体"/>
          <w:b/>
          <w:bCs/>
          <w:color w:val="auto"/>
          <w:kern w:val="2"/>
          <w:sz w:val="21"/>
          <w:szCs w:val="21"/>
          <w:lang w:val="en-US" w:eastAsia="zh-CN" w:bidi="ar-SA"/>
        </w:rPr>
        <w:t xml:space="preserve">表6.2-16 </w:t>
      </w:r>
      <w:r>
        <w:rPr>
          <w:rFonts w:hint="eastAsia" w:ascii="宋体" w:hAnsi="宋体" w:cs="宋体"/>
          <w:b/>
          <w:bCs/>
          <w:color w:val="auto"/>
          <w:kern w:val="2"/>
          <w:sz w:val="21"/>
          <w:szCs w:val="21"/>
          <w:lang w:val="en-US" w:eastAsia="zh-CN" w:bidi="ar-SA"/>
        </w:rPr>
        <w:t xml:space="preserve">  </w:t>
      </w:r>
      <w:r>
        <w:rPr>
          <w:rFonts w:hint="eastAsia"/>
        </w:rPr>
        <w:t>SO</w:t>
      </w:r>
      <w:r>
        <w:rPr>
          <w:rFonts w:hint="eastAsia"/>
          <w:vertAlign w:val="subscript"/>
        </w:rPr>
        <w:t>2</w:t>
      </w:r>
      <w:r>
        <w:rPr>
          <w:rFonts w:hint="eastAsia"/>
        </w:rPr>
        <w:t>贡献值预测结果   单位：mg/m</w:t>
      </w:r>
      <w:r>
        <w:rPr>
          <w:rFonts w:hint="eastAsia"/>
          <w:vertAlign w:val="superscript"/>
        </w:rPr>
        <w:t>3</w:t>
      </w:r>
    </w:p>
    <w:tbl>
      <w:tblPr>
        <w:tblStyle w:val="66"/>
        <w:tblW w:w="5072"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7"/>
        <w:gridCol w:w="1141"/>
        <w:gridCol w:w="734"/>
        <w:gridCol w:w="645"/>
        <w:gridCol w:w="911"/>
        <w:gridCol w:w="1065"/>
        <w:gridCol w:w="1178"/>
        <w:gridCol w:w="911"/>
        <w:gridCol w:w="781"/>
        <w:gridCol w:w="713"/>
      </w:tblGrid>
      <w:tr w14:paraId="2730F5B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7" w:type="dxa"/>
            <w:tcBorders>
              <w:tl2br w:val="nil"/>
              <w:tr2bl w:val="nil"/>
            </w:tcBorders>
            <w:shd w:val="clear" w:color="auto" w:fill="auto"/>
            <w:textDirection w:val="tbRlV"/>
            <w:vAlign w:val="center"/>
          </w:tcPr>
          <w:p w14:paraId="06977DF1">
            <w:pPr>
              <w:widowControl/>
              <w:spacing w:line="240" w:lineRule="auto"/>
              <w:jc w:val="center"/>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21" name="IM 148"/>
                  <wp:cNvGraphicFramePr/>
                  <a:graphic xmlns:a="http://schemas.openxmlformats.org/drawingml/2006/main">
                    <a:graphicData uri="http://schemas.openxmlformats.org/drawingml/2006/picture">
                      <pic:pic xmlns:pic="http://schemas.openxmlformats.org/drawingml/2006/picture">
                        <pic:nvPicPr>
                          <pic:cNvPr id="21" name="IM 148"/>
                          <pic:cNvPicPr/>
                        </pic:nvPicPr>
                        <pic:blipFill>
                          <a:blip r:embed="rId51"/>
                          <a:stretch>
                            <a:fillRect/>
                          </a:stretch>
                        </pic:blipFill>
                        <pic:spPr>
                          <a:xfrm>
                            <a:off x="0" y="0"/>
                            <a:ext cx="137160" cy="0"/>
                          </a:xfrm>
                          <a:prstGeom prst="rect">
                            <a:avLst/>
                          </a:prstGeom>
                        </pic:spPr>
                      </pic:pic>
                    </a:graphicData>
                  </a:graphic>
                </wp:inline>
              </w:drawing>
            </w:r>
          </w:p>
        </w:tc>
        <w:tc>
          <w:tcPr>
            <w:tcW w:w="1141" w:type="dxa"/>
            <w:tcBorders>
              <w:tl2br w:val="nil"/>
              <w:tr2bl w:val="nil"/>
            </w:tcBorders>
            <w:shd w:val="clear" w:color="auto" w:fill="auto"/>
            <w:vAlign w:val="center"/>
          </w:tcPr>
          <w:p w14:paraId="487D925C">
            <w:pPr>
              <w:widowControl/>
              <w:spacing w:line="240" w:lineRule="auto"/>
              <w:jc w:val="center"/>
              <w:rPr>
                <w:sz w:val="21"/>
                <w:szCs w:val="21"/>
                <w:lang w:eastAsia="en-US"/>
              </w:rPr>
            </w:pPr>
            <w:r>
              <w:rPr>
                <w:sz w:val="21"/>
                <w:szCs w:val="21"/>
                <w:lang w:eastAsia="en-US"/>
              </w:rPr>
              <w:t>离散点</w:t>
            </w:r>
          </w:p>
        </w:tc>
        <w:tc>
          <w:tcPr>
            <w:tcW w:w="734" w:type="dxa"/>
            <w:tcBorders>
              <w:tl2br w:val="nil"/>
              <w:tr2bl w:val="nil"/>
            </w:tcBorders>
            <w:shd w:val="clear" w:color="auto" w:fill="auto"/>
            <w:vAlign w:val="center"/>
          </w:tcPr>
          <w:p w14:paraId="72865AAB">
            <w:pPr>
              <w:widowControl/>
              <w:spacing w:line="240" w:lineRule="auto"/>
              <w:jc w:val="center"/>
              <w:rPr>
                <w:sz w:val="21"/>
                <w:szCs w:val="21"/>
                <w:lang w:eastAsia="en-US"/>
              </w:rPr>
            </w:pPr>
            <w:r>
              <w:rPr>
                <w:sz w:val="21"/>
                <w:szCs w:val="21"/>
                <w:lang w:eastAsia="en-US"/>
              </w:rPr>
              <w:t>点坐标 （X）</w:t>
            </w:r>
          </w:p>
        </w:tc>
        <w:tc>
          <w:tcPr>
            <w:tcW w:w="645" w:type="dxa"/>
            <w:tcBorders>
              <w:tl2br w:val="nil"/>
              <w:tr2bl w:val="nil"/>
            </w:tcBorders>
            <w:shd w:val="clear" w:color="auto" w:fill="auto"/>
            <w:vAlign w:val="center"/>
          </w:tcPr>
          <w:p w14:paraId="4005A4FC">
            <w:pPr>
              <w:widowControl/>
              <w:spacing w:line="240" w:lineRule="auto"/>
              <w:jc w:val="center"/>
              <w:rPr>
                <w:sz w:val="21"/>
                <w:szCs w:val="21"/>
                <w:lang w:eastAsia="en-US"/>
              </w:rPr>
            </w:pPr>
            <w:r>
              <w:rPr>
                <w:sz w:val="21"/>
                <w:szCs w:val="21"/>
                <w:lang w:eastAsia="en-US"/>
              </w:rPr>
              <w:t>点坐标 （Y）</w:t>
            </w:r>
          </w:p>
        </w:tc>
        <w:tc>
          <w:tcPr>
            <w:tcW w:w="911" w:type="dxa"/>
            <w:tcBorders>
              <w:tl2br w:val="nil"/>
              <w:tr2bl w:val="nil"/>
            </w:tcBorders>
            <w:shd w:val="clear" w:color="auto" w:fill="auto"/>
            <w:vAlign w:val="center"/>
          </w:tcPr>
          <w:p w14:paraId="640C9C8D">
            <w:pPr>
              <w:widowControl/>
              <w:spacing w:line="240" w:lineRule="auto"/>
              <w:jc w:val="center"/>
              <w:rPr>
                <w:sz w:val="21"/>
                <w:szCs w:val="21"/>
                <w:lang w:eastAsia="en-US"/>
              </w:rPr>
            </w:pPr>
            <w:r>
              <w:rPr>
                <w:sz w:val="21"/>
                <w:szCs w:val="21"/>
                <w:lang w:eastAsia="en-US"/>
              </w:rPr>
              <w:t>浓度类型</w:t>
            </w:r>
          </w:p>
        </w:tc>
        <w:tc>
          <w:tcPr>
            <w:tcW w:w="1065" w:type="dxa"/>
            <w:tcBorders>
              <w:tl2br w:val="nil"/>
              <w:tr2bl w:val="nil"/>
            </w:tcBorders>
            <w:shd w:val="clear" w:color="auto" w:fill="auto"/>
            <w:vAlign w:val="center"/>
          </w:tcPr>
          <w:p w14:paraId="19B14705">
            <w:pPr>
              <w:widowControl/>
              <w:spacing w:line="240" w:lineRule="auto"/>
              <w:jc w:val="center"/>
              <w:rPr>
                <w:sz w:val="21"/>
                <w:szCs w:val="21"/>
                <w:lang w:eastAsia="en-US"/>
              </w:rPr>
            </w:pPr>
            <w:r>
              <w:rPr>
                <w:sz w:val="21"/>
                <w:szCs w:val="21"/>
                <w:lang w:eastAsia="en-US"/>
              </w:rPr>
              <w:t>出现时间</w:t>
            </w:r>
          </w:p>
        </w:tc>
        <w:tc>
          <w:tcPr>
            <w:tcW w:w="1178" w:type="dxa"/>
            <w:tcBorders>
              <w:tl2br w:val="nil"/>
              <w:tr2bl w:val="nil"/>
            </w:tcBorders>
            <w:shd w:val="clear" w:color="auto" w:fill="auto"/>
            <w:vAlign w:val="center"/>
          </w:tcPr>
          <w:p w14:paraId="01253081">
            <w:pPr>
              <w:widowControl/>
              <w:spacing w:line="240" w:lineRule="auto"/>
              <w:jc w:val="center"/>
              <w:rPr>
                <w:sz w:val="21"/>
                <w:szCs w:val="21"/>
                <w:lang w:eastAsia="en-US"/>
              </w:rPr>
            </w:pPr>
            <w:r>
              <w:rPr>
                <w:sz w:val="21"/>
                <w:szCs w:val="21"/>
                <w:lang w:eastAsia="en-US"/>
              </w:rPr>
              <w:t>预测值</w:t>
            </w:r>
          </w:p>
        </w:tc>
        <w:tc>
          <w:tcPr>
            <w:tcW w:w="911" w:type="dxa"/>
            <w:tcBorders>
              <w:tl2br w:val="nil"/>
              <w:tr2bl w:val="nil"/>
            </w:tcBorders>
            <w:shd w:val="clear" w:color="auto" w:fill="auto"/>
            <w:vAlign w:val="center"/>
          </w:tcPr>
          <w:p w14:paraId="283BEF15">
            <w:pPr>
              <w:widowControl/>
              <w:spacing w:line="240" w:lineRule="auto"/>
              <w:jc w:val="center"/>
              <w:rPr>
                <w:sz w:val="21"/>
                <w:szCs w:val="21"/>
                <w:lang w:eastAsia="en-US"/>
              </w:rPr>
            </w:pPr>
            <w:r>
              <w:rPr>
                <w:sz w:val="21"/>
                <w:szCs w:val="21"/>
                <w:lang w:eastAsia="en-US"/>
              </w:rPr>
              <w:t>评价标准</w:t>
            </w:r>
          </w:p>
        </w:tc>
        <w:tc>
          <w:tcPr>
            <w:tcW w:w="781" w:type="dxa"/>
            <w:tcBorders>
              <w:tl2br w:val="nil"/>
              <w:tr2bl w:val="nil"/>
            </w:tcBorders>
            <w:shd w:val="clear" w:color="auto" w:fill="auto"/>
            <w:vAlign w:val="center"/>
          </w:tcPr>
          <w:p w14:paraId="36D053BD">
            <w:pPr>
              <w:widowControl/>
              <w:spacing w:line="240" w:lineRule="auto"/>
              <w:jc w:val="center"/>
              <w:rPr>
                <w:sz w:val="21"/>
                <w:szCs w:val="21"/>
                <w:lang w:eastAsia="en-US"/>
              </w:rPr>
            </w:pPr>
            <w:r>
              <w:rPr>
                <w:sz w:val="21"/>
                <w:szCs w:val="21"/>
                <w:lang w:eastAsia="en-US"/>
              </w:rPr>
              <w:t>占标</w:t>
            </w:r>
          </w:p>
          <w:p w14:paraId="56D365A4">
            <w:pPr>
              <w:widowControl/>
              <w:spacing w:line="240" w:lineRule="auto"/>
              <w:jc w:val="center"/>
              <w:rPr>
                <w:sz w:val="21"/>
                <w:szCs w:val="21"/>
                <w:lang w:eastAsia="en-US"/>
              </w:rPr>
            </w:pPr>
            <w:r>
              <w:rPr>
                <w:sz w:val="21"/>
                <w:szCs w:val="21"/>
                <w:lang w:eastAsia="en-US"/>
              </w:rPr>
              <w:t>率%</w:t>
            </w:r>
          </w:p>
        </w:tc>
        <w:tc>
          <w:tcPr>
            <w:tcW w:w="713" w:type="dxa"/>
            <w:tcBorders>
              <w:tl2br w:val="nil"/>
              <w:tr2bl w:val="nil"/>
            </w:tcBorders>
            <w:shd w:val="clear" w:color="auto" w:fill="auto"/>
            <w:vAlign w:val="center"/>
          </w:tcPr>
          <w:p w14:paraId="497B4FCA">
            <w:pPr>
              <w:widowControl/>
              <w:spacing w:line="240" w:lineRule="auto"/>
              <w:jc w:val="center"/>
              <w:rPr>
                <w:sz w:val="21"/>
                <w:szCs w:val="21"/>
                <w:lang w:eastAsia="en-US"/>
              </w:rPr>
            </w:pPr>
            <w:r>
              <w:rPr>
                <w:sz w:val="21"/>
                <w:szCs w:val="21"/>
                <w:lang w:eastAsia="en-US"/>
              </w:rPr>
              <w:t>是否达 标</w:t>
            </w:r>
          </w:p>
        </w:tc>
      </w:tr>
      <w:tr w14:paraId="399A6F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560CDDD4">
            <w:pPr>
              <w:widowControl/>
              <w:spacing w:line="240" w:lineRule="auto"/>
              <w:jc w:val="center"/>
              <w:rPr>
                <w:sz w:val="21"/>
                <w:szCs w:val="21"/>
                <w:lang w:eastAsia="en-US"/>
              </w:rPr>
            </w:pPr>
            <w:r>
              <w:rPr>
                <w:sz w:val="21"/>
                <w:szCs w:val="21"/>
                <w:lang w:eastAsia="en-US"/>
              </w:rPr>
              <w:t>1</w:t>
            </w:r>
          </w:p>
        </w:tc>
        <w:tc>
          <w:tcPr>
            <w:tcW w:w="1141" w:type="dxa"/>
            <w:vMerge w:val="restart"/>
            <w:tcBorders>
              <w:tl2br w:val="nil"/>
              <w:tr2bl w:val="nil"/>
            </w:tcBorders>
            <w:shd w:val="clear" w:color="auto" w:fill="auto"/>
            <w:vAlign w:val="center"/>
          </w:tcPr>
          <w:p w14:paraId="08B22CDA">
            <w:pPr>
              <w:widowControl/>
              <w:spacing w:line="240" w:lineRule="auto"/>
              <w:jc w:val="center"/>
              <w:rPr>
                <w:sz w:val="21"/>
                <w:szCs w:val="21"/>
                <w:lang w:eastAsia="en-US"/>
              </w:rPr>
            </w:pPr>
            <w:r>
              <w:rPr>
                <w:sz w:val="21"/>
                <w:szCs w:val="21"/>
                <w:lang w:eastAsia="en-US"/>
              </w:rPr>
              <w:t>涓江香水湾小区</w:t>
            </w:r>
          </w:p>
        </w:tc>
        <w:tc>
          <w:tcPr>
            <w:tcW w:w="734" w:type="dxa"/>
            <w:vMerge w:val="restart"/>
            <w:tcBorders>
              <w:tl2br w:val="nil"/>
              <w:tr2bl w:val="nil"/>
            </w:tcBorders>
            <w:shd w:val="clear" w:color="auto" w:fill="auto"/>
            <w:vAlign w:val="center"/>
          </w:tcPr>
          <w:p w14:paraId="2DBC10C3">
            <w:pPr>
              <w:widowControl/>
              <w:spacing w:line="240" w:lineRule="auto"/>
              <w:jc w:val="center"/>
              <w:rPr>
                <w:sz w:val="21"/>
                <w:szCs w:val="21"/>
                <w:lang w:eastAsia="en-US"/>
              </w:rPr>
            </w:pPr>
            <w:r>
              <w:rPr>
                <w:sz w:val="21"/>
                <w:szCs w:val="21"/>
                <w:lang w:eastAsia="en-US"/>
              </w:rPr>
              <w:t>-</w:t>
            </w:r>
            <w:r>
              <w:rPr>
                <w:rFonts w:hint="eastAsia"/>
                <w:sz w:val="21"/>
                <w:szCs w:val="21"/>
                <w:lang w:eastAsia="en-US"/>
              </w:rPr>
              <w:t>755</w:t>
            </w:r>
          </w:p>
        </w:tc>
        <w:tc>
          <w:tcPr>
            <w:tcW w:w="645" w:type="dxa"/>
            <w:vMerge w:val="restart"/>
            <w:tcBorders>
              <w:tl2br w:val="nil"/>
              <w:tr2bl w:val="nil"/>
            </w:tcBorders>
            <w:shd w:val="clear" w:color="auto" w:fill="auto"/>
            <w:vAlign w:val="center"/>
          </w:tcPr>
          <w:p w14:paraId="3142B328">
            <w:pPr>
              <w:widowControl/>
              <w:spacing w:line="240" w:lineRule="auto"/>
              <w:jc w:val="center"/>
              <w:rPr>
                <w:sz w:val="21"/>
                <w:szCs w:val="21"/>
                <w:lang w:eastAsia="en-US"/>
              </w:rPr>
            </w:pPr>
            <w:r>
              <w:rPr>
                <w:rFonts w:hint="eastAsia"/>
                <w:sz w:val="21"/>
                <w:szCs w:val="21"/>
                <w:lang w:eastAsia="en-US"/>
              </w:rPr>
              <w:t>281</w:t>
            </w:r>
          </w:p>
        </w:tc>
        <w:tc>
          <w:tcPr>
            <w:tcW w:w="911" w:type="dxa"/>
            <w:tcBorders>
              <w:tl2br w:val="nil"/>
              <w:tr2bl w:val="nil"/>
            </w:tcBorders>
            <w:shd w:val="clear" w:color="auto" w:fill="auto"/>
            <w:vAlign w:val="center"/>
          </w:tcPr>
          <w:p w14:paraId="7468F2F8">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AB938F6">
            <w:pPr>
              <w:widowControl w:val="0"/>
              <w:jc w:val="center"/>
              <w:rPr>
                <w:sz w:val="21"/>
                <w:szCs w:val="21"/>
                <w:lang w:eastAsia="en-US"/>
              </w:rPr>
            </w:pPr>
            <w:r>
              <w:rPr>
                <w:sz w:val="21"/>
                <w:szCs w:val="21"/>
                <w:lang w:eastAsia="en-US"/>
              </w:rPr>
              <w:t>2</w:t>
            </w:r>
            <w:r>
              <w:rPr>
                <w:rFonts w:hint="eastAsia"/>
                <w:sz w:val="21"/>
                <w:szCs w:val="21"/>
                <w:lang w:val="en-US" w:eastAsia="zh-CN"/>
              </w:rPr>
              <w:t>4</w:t>
            </w:r>
            <w:r>
              <w:rPr>
                <w:sz w:val="21"/>
                <w:szCs w:val="21"/>
                <w:lang w:eastAsia="en-US"/>
              </w:rPr>
              <w:t>061820</w:t>
            </w:r>
          </w:p>
        </w:tc>
        <w:tc>
          <w:tcPr>
            <w:tcW w:w="1178" w:type="dxa"/>
            <w:tcBorders>
              <w:tl2br w:val="nil"/>
              <w:tr2bl w:val="nil"/>
            </w:tcBorders>
            <w:shd w:val="clear" w:color="auto" w:fill="auto"/>
            <w:vAlign w:val="center"/>
          </w:tcPr>
          <w:p w14:paraId="2800B55A">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5CEFC2C7">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5C3F9884">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68B4AF0C">
            <w:pPr>
              <w:widowControl/>
              <w:spacing w:line="240" w:lineRule="auto"/>
              <w:jc w:val="center"/>
              <w:rPr>
                <w:sz w:val="21"/>
                <w:szCs w:val="21"/>
                <w:lang w:eastAsia="en-US"/>
              </w:rPr>
            </w:pPr>
            <w:r>
              <w:rPr>
                <w:sz w:val="21"/>
                <w:szCs w:val="21"/>
                <w:lang w:eastAsia="en-US"/>
              </w:rPr>
              <w:t>达标</w:t>
            </w:r>
          </w:p>
        </w:tc>
      </w:tr>
      <w:tr w14:paraId="02B6AAC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1CE4F0C">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220325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B11E424">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A3BF803">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58E4238">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A0FF7C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78" w:type="dxa"/>
            <w:tcBorders>
              <w:tl2br w:val="nil"/>
              <w:tr2bl w:val="nil"/>
            </w:tcBorders>
            <w:shd w:val="clear" w:color="auto" w:fill="auto"/>
            <w:vAlign w:val="center"/>
          </w:tcPr>
          <w:p w14:paraId="6E07B58C">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BA14362">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144C3D5">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726CE62E">
            <w:pPr>
              <w:widowControl/>
              <w:spacing w:line="240" w:lineRule="auto"/>
              <w:jc w:val="center"/>
              <w:rPr>
                <w:sz w:val="21"/>
                <w:szCs w:val="21"/>
                <w:lang w:eastAsia="en-US"/>
              </w:rPr>
            </w:pPr>
            <w:r>
              <w:rPr>
                <w:sz w:val="21"/>
                <w:szCs w:val="21"/>
                <w:lang w:eastAsia="en-US"/>
              </w:rPr>
              <w:t>达标</w:t>
            </w:r>
          </w:p>
        </w:tc>
      </w:tr>
      <w:tr w14:paraId="0F4B018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1CF2C50">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0552B2E">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2519494">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EEAA893">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1CE3385">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12703AAF">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7B5694DD">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DC35EE9">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59DDD34">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602C823D">
            <w:pPr>
              <w:widowControl/>
              <w:spacing w:line="240" w:lineRule="auto"/>
              <w:jc w:val="center"/>
              <w:rPr>
                <w:sz w:val="21"/>
                <w:szCs w:val="21"/>
                <w:lang w:eastAsia="en-US"/>
              </w:rPr>
            </w:pPr>
            <w:r>
              <w:rPr>
                <w:sz w:val="21"/>
                <w:szCs w:val="21"/>
                <w:lang w:eastAsia="en-US"/>
              </w:rPr>
              <w:t>达标</w:t>
            </w:r>
          </w:p>
        </w:tc>
      </w:tr>
      <w:tr w14:paraId="428A23E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C65F815">
            <w:pPr>
              <w:widowControl/>
              <w:spacing w:line="240" w:lineRule="auto"/>
              <w:jc w:val="center"/>
              <w:rPr>
                <w:sz w:val="21"/>
                <w:szCs w:val="21"/>
                <w:lang w:eastAsia="en-US"/>
              </w:rPr>
            </w:pPr>
            <w:r>
              <w:rPr>
                <w:sz w:val="21"/>
                <w:szCs w:val="21"/>
                <w:lang w:eastAsia="en-US"/>
              </w:rPr>
              <w:t>2</w:t>
            </w:r>
          </w:p>
        </w:tc>
        <w:tc>
          <w:tcPr>
            <w:tcW w:w="1141" w:type="dxa"/>
            <w:vMerge w:val="restart"/>
            <w:tcBorders>
              <w:tl2br w:val="nil"/>
              <w:tr2bl w:val="nil"/>
            </w:tcBorders>
            <w:shd w:val="clear" w:color="auto" w:fill="auto"/>
            <w:vAlign w:val="center"/>
          </w:tcPr>
          <w:p w14:paraId="33A5D198">
            <w:pPr>
              <w:widowControl/>
              <w:spacing w:line="240" w:lineRule="auto"/>
              <w:jc w:val="center"/>
              <w:rPr>
                <w:sz w:val="21"/>
                <w:szCs w:val="21"/>
                <w:lang w:eastAsia="en-US"/>
              </w:rPr>
            </w:pPr>
            <w:r>
              <w:rPr>
                <w:sz w:val="21"/>
                <w:szCs w:val="21"/>
                <w:lang w:eastAsia="en-US"/>
              </w:rPr>
              <w:t>松香苑小区</w:t>
            </w:r>
          </w:p>
        </w:tc>
        <w:tc>
          <w:tcPr>
            <w:tcW w:w="734" w:type="dxa"/>
            <w:vMerge w:val="restart"/>
            <w:tcBorders>
              <w:tl2br w:val="nil"/>
              <w:tr2bl w:val="nil"/>
            </w:tcBorders>
            <w:shd w:val="clear" w:color="auto" w:fill="auto"/>
            <w:vAlign w:val="center"/>
          </w:tcPr>
          <w:p w14:paraId="2BCF1624">
            <w:pPr>
              <w:widowControl/>
              <w:spacing w:line="240" w:lineRule="auto"/>
              <w:jc w:val="center"/>
              <w:rPr>
                <w:sz w:val="21"/>
                <w:szCs w:val="21"/>
                <w:lang w:eastAsia="en-US"/>
              </w:rPr>
            </w:pPr>
            <w:r>
              <w:rPr>
                <w:sz w:val="21"/>
                <w:szCs w:val="21"/>
                <w:lang w:eastAsia="en-US"/>
              </w:rPr>
              <w:t>-</w:t>
            </w:r>
            <w:r>
              <w:rPr>
                <w:rFonts w:hint="eastAsia"/>
                <w:sz w:val="21"/>
                <w:szCs w:val="21"/>
                <w:lang w:eastAsia="en-US"/>
              </w:rPr>
              <w:t>1080</w:t>
            </w:r>
          </w:p>
        </w:tc>
        <w:tc>
          <w:tcPr>
            <w:tcW w:w="645" w:type="dxa"/>
            <w:vMerge w:val="restart"/>
            <w:tcBorders>
              <w:tl2br w:val="nil"/>
              <w:tr2bl w:val="nil"/>
            </w:tcBorders>
            <w:shd w:val="clear" w:color="auto" w:fill="auto"/>
            <w:vAlign w:val="center"/>
          </w:tcPr>
          <w:p w14:paraId="694C8E0C">
            <w:pPr>
              <w:widowControl/>
              <w:spacing w:line="240" w:lineRule="auto"/>
              <w:jc w:val="center"/>
              <w:rPr>
                <w:sz w:val="21"/>
                <w:szCs w:val="21"/>
                <w:lang w:eastAsia="en-US"/>
              </w:rPr>
            </w:pPr>
            <w:r>
              <w:rPr>
                <w:rFonts w:hint="eastAsia"/>
                <w:sz w:val="21"/>
                <w:szCs w:val="21"/>
                <w:lang w:eastAsia="en-US"/>
              </w:rPr>
              <w:t>762</w:t>
            </w:r>
          </w:p>
        </w:tc>
        <w:tc>
          <w:tcPr>
            <w:tcW w:w="911" w:type="dxa"/>
            <w:tcBorders>
              <w:tl2br w:val="nil"/>
              <w:tr2bl w:val="nil"/>
            </w:tcBorders>
            <w:shd w:val="clear" w:color="auto" w:fill="auto"/>
            <w:vAlign w:val="center"/>
          </w:tcPr>
          <w:p w14:paraId="4F92A8FF">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C4BC74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061904</w:t>
            </w:r>
          </w:p>
        </w:tc>
        <w:tc>
          <w:tcPr>
            <w:tcW w:w="1178" w:type="dxa"/>
            <w:tcBorders>
              <w:tl2br w:val="nil"/>
              <w:tr2bl w:val="nil"/>
            </w:tcBorders>
            <w:shd w:val="clear" w:color="auto" w:fill="auto"/>
            <w:vAlign w:val="center"/>
          </w:tcPr>
          <w:p w14:paraId="31A16B47">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6B798347">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0D75D762">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1D38F876">
            <w:pPr>
              <w:widowControl/>
              <w:spacing w:line="240" w:lineRule="auto"/>
              <w:jc w:val="center"/>
              <w:rPr>
                <w:sz w:val="21"/>
                <w:szCs w:val="21"/>
                <w:lang w:eastAsia="en-US"/>
              </w:rPr>
            </w:pPr>
            <w:r>
              <w:rPr>
                <w:sz w:val="21"/>
                <w:szCs w:val="21"/>
                <w:lang w:eastAsia="en-US"/>
              </w:rPr>
              <w:t>达标</w:t>
            </w:r>
          </w:p>
        </w:tc>
      </w:tr>
      <w:tr w14:paraId="5D6BAAD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F277F9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A960DD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C83FB8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E9EC8E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3FF80C3">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B7BE367">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0619</w:t>
            </w:r>
          </w:p>
        </w:tc>
        <w:tc>
          <w:tcPr>
            <w:tcW w:w="1178" w:type="dxa"/>
            <w:tcBorders>
              <w:tl2br w:val="nil"/>
              <w:tr2bl w:val="nil"/>
            </w:tcBorders>
            <w:shd w:val="clear" w:color="auto" w:fill="auto"/>
            <w:vAlign w:val="center"/>
          </w:tcPr>
          <w:p w14:paraId="75490DD1">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DA20943">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783517CB">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38A29F4B">
            <w:pPr>
              <w:widowControl/>
              <w:spacing w:line="240" w:lineRule="auto"/>
              <w:jc w:val="center"/>
              <w:rPr>
                <w:sz w:val="21"/>
                <w:szCs w:val="21"/>
                <w:lang w:eastAsia="en-US"/>
              </w:rPr>
            </w:pPr>
            <w:r>
              <w:rPr>
                <w:sz w:val="21"/>
                <w:szCs w:val="21"/>
                <w:lang w:eastAsia="en-US"/>
              </w:rPr>
              <w:t>达标</w:t>
            </w:r>
          </w:p>
        </w:tc>
      </w:tr>
      <w:tr w14:paraId="69FE0EB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E4840D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8C45626">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671540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02A09C7">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08DEF82">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17D1D4AF">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3EF1753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F64DA09">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2943FE61">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57F76046">
            <w:pPr>
              <w:widowControl/>
              <w:spacing w:line="240" w:lineRule="auto"/>
              <w:jc w:val="center"/>
              <w:rPr>
                <w:sz w:val="21"/>
                <w:szCs w:val="21"/>
                <w:lang w:eastAsia="en-US"/>
              </w:rPr>
            </w:pPr>
            <w:r>
              <w:rPr>
                <w:sz w:val="21"/>
                <w:szCs w:val="21"/>
                <w:lang w:eastAsia="en-US"/>
              </w:rPr>
              <w:t>达标</w:t>
            </w:r>
          </w:p>
        </w:tc>
      </w:tr>
      <w:tr w14:paraId="1239E39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C1BA957">
            <w:pPr>
              <w:widowControl/>
              <w:spacing w:line="240" w:lineRule="auto"/>
              <w:jc w:val="center"/>
              <w:rPr>
                <w:sz w:val="21"/>
                <w:szCs w:val="21"/>
                <w:lang w:eastAsia="en-US"/>
              </w:rPr>
            </w:pPr>
            <w:r>
              <w:rPr>
                <w:sz w:val="21"/>
                <w:szCs w:val="21"/>
                <w:lang w:eastAsia="en-US"/>
              </w:rPr>
              <w:t>3</w:t>
            </w:r>
          </w:p>
        </w:tc>
        <w:tc>
          <w:tcPr>
            <w:tcW w:w="1141" w:type="dxa"/>
            <w:vMerge w:val="restart"/>
            <w:tcBorders>
              <w:tl2br w:val="nil"/>
              <w:tr2bl w:val="nil"/>
            </w:tcBorders>
            <w:shd w:val="clear" w:color="auto" w:fill="auto"/>
            <w:vAlign w:val="center"/>
          </w:tcPr>
          <w:p w14:paraId="7E061575">
            <w:pPr>
              <w:widowControl/>
              <w:spacing w:line="240" w:lineRule="auto"/>
              <w:jc w:val="center"/>
              <w:rPr>
                <w:sz w:val="21"/>
                <w:szCs w:val="21"/>
                <w:lang w:eastAsia="en-US"/>
              </w:rPr>
            </w:pPr>
            <w:r>
              <w:rPr>
                <w:sz w:val="21"/>
                <w:szCs w:val="21"/>
                <w:lang w:eastAsia="en-US"/>
              </w:rPr>
              <w:t>吴家巷散户居民</w:t>
            </w:r>
          </w:p>
        </w:tc>
        <w:tc>
          <w:tcPr>
            <w:tcW w:w="734" w:type="dxa"/>
            <w:vMerge w:val="restart"/>
            <w:tcBorders>
              <w:tl2br w:val="nil"/>
              <w:tr2bl w:val="nil"/>
            </w:tcBorders>
            <w:shd w:val="clear" w:color="auto" w:fill="auto"/>
            <w:vAlign w:val="center"/>
          </w:tcPr>
          <w:p w14:paraId="3FC4F8D4">
            <w:pPr>
              <w:widowControl/>
              <w:spacing w:line="240" w:lineRule="auto"/>
              <w:jc w:val="center"/>
              <w:rPr>
                <w:sz w:val="21"/>
                <w:szCs w:val="21"/>
                <w:lang w:eastAsia="en-US"/>
              </w:rPr>
            </w:pPr>
            <w:r>
              <w:rPr>
                <w:sz w:val="21"/>
                <w:szCs w:val="21"/>
                <w:lang w:eastAsia="en-US"/>
              </w:rPr>
              <w:t>-</w:t>
            </w:r>
            <w:r>
              <w:rPr>
                <w:rFonts w:hint="eastAsia"/>
                <w:sz w:val="21"/>
                <w:szCs w:val="21"/>
                <w:lang w:eastAsia="en-US"/>
              </w:rPr>
              <w:t>831</w:t>
            </w:r>
          </w:p>
        </w:tc>
        <w:tc>
          <w:tcPr>
            <w:tcW w:w="645" w:type="dxa"/>
            <w:vMerge w:val="restart"/>
            <w:tcBorders>
              <w:tl2br w:val="nil"/>
              <w:tr2bl w:val="nil"/>
            </w:tcBorders>
            <w:shd w:val="clear" w:color="auto" w:fill="auto"/>
            <w:vAlign w:val="center"/>
          </w:tcPr>
          <w:p w14:paraId="4CF38029">
            <w:pPr>
              <w:widowControl/>
              <w:spacing w:line="240" w:lineRule="auto"/>
              <w:jc w:val="center"/>
              <w:rPr>
                <w:sz w:val="21"/>
                <w:szCs w:val="21"/>
                <w:lang w:eastAsia="en-US"/>
              </w:rPr>
            </w:pPr>
            <w:r>
              <w:rPr>
                <w:sz w:val="21"/>
                <w:szCs w:val="21"/>
                <w:lang w:eastAsia="en-US"/>
              </w:rPr>
              <w:t>-</w:t>
            </w:r>
            <w:r>
              <w:rPr>
                <w:rFonts w:hint="eastAsia"/>
                <w:sz w:val="21"/>
                <w:szCs w:val="21"/>
                <w:lang w:eastAsia="en-US"/>
              </w:rPr>
              <w:t>199</w:t>
            </w:r>
          </w:p>
        </w:tc>
        <w:tc>
          <w:tcPr>
            <w:tcW w:w="911" w:type="dxa"/>
            <w:tcBorders>
              <w:tl2br w:val="nil"/>
              <w:tr2bl w:val="nil"/>
            </w:tcBorders>
            <w:shd w:val="clear" w:color="auto" w:fill="auto"/>
            <w:vAlign w:val="center"/>
          </w:tcPr>
          <w:p w14:paraId="594EBE0E">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2E87181">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78" w:type="dxa"/>
            <w:tcBorders>
              <w:tl2br w:val="nil"/>
              <w:tr2bl w:val="nil"/>
            </w:tcBorders>
            <w:shd w:val="clear" w:color="auto" w:fill="auto"/>
            <w:vAlign w:val="center"/>
          </w:tcPr>
          <w:p w14:paraId="5E09A70E">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3DA5062B">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488D0174">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29E3211C">
            <w:pPr>
              <w:widowControl/>
              <w:spacing w:line="240" w:lineRule="auto"/>
              <w:jc w:val="center"/>
              <w:rPr>
                <w:sz w:val="21"/>
                <w:szCs w:val="21"/>
                <w:lang w:eastAsia="en-US"/>
              </w:rPr>
            </w:pPr>
            <w:r>
              <w:rPr>
                <w:sz w:val="21"/>
                <w:szCs w:val="21"/>
                <w:lang w:eastAsia="en-US"/>
              </w:rPr>
              <w:t>达标</w:t>
            </w:r>
          </w:p>
        </w:tc>
      </w:tr>
      <w:tr w14:paraId="71F53F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5AB2E4D">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A5EDC42">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2007D4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4354107">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E147B2F">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4FE03FD2">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78" w:type="dxa"/>
            <w:tcBorders>
              <w:tl2br w:val="nil"/>
              <w:tr2bl w:val="nil"/>
            </w:tcBorders>
            <w:shd w:val="clear" w:color="auto" w:fill="auto"/>
            <w:vAlign w:val="center"/>
          </w:tcPr>
          <w:p w14:paraId="09BF3CE3">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59C885C">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644A05A9">
            <w:pPr>
              <w:widowControl w:val="0"/>
              <w:jc w:val="center"/>
              <w:rPr>
                <w:sz w:val="21"/>
                <w:szCs w:val="21"/>
                <w:lang w:eastAsia="en-US"/>
              </w:rPr>
            </w:pPr>
            <w:r>
              <w:rPr>
                <w:sz w:val="21"/>
                <w:szCs w:val="21"/>
                <w:lang w:eastAsia="en-US"/>
              </w:rPr>
              <w:t>0.02%</w:t>
            </w:r>
          </w:p>
        </w:tc>
        <w:tc>
          <w:tcPr>
            <w:tcW w:w="713" w:type="dxa"/>
            <w:tcBorders>
              <w:tl2br w:val="nil"/>
              <w:tr2bl w:val="nil"/>
            </w:tcBorders>
            <w:shd w:val="clear" w:color="auto" w:fill="auto"/>
            <w:vAlign w:val="center"/>
          </w:tcPr>
          <w:p w14:paraId="74A2F921">
            <w:pPr>
              <w:widowControl/>
              <w:spacing w:line="240" w:lineRule="auto"/>
              <w:jc w:val="center"/>
              <w:rPr>
                <w:sz w:val="21"/>
                <w:szCs w:val="21"/>
                <w:lang w:eastAsia="en-US"/>
              </w:rPr>
            </w:pPr>
            <w:r>
              <w:rPr>
                <w:sz w:val="21"/>
                <w:szCs w:val="21"/>
                <w:lang w:eastAsia="en-US"/>
              </w:rPr>
              <w:t>达标</w:t>
            </w:r>
          </w:p>
        </w:tc>
      </w:tr>
      <w:tr w14:paraId="6741DEC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54C4D1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A750B21">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07504F6">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00C2DE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6214351">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E6F20BC">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7BD7DE38">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BEC5BD1">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3FEED617">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52E53103">
            <w:pPr>
              <w:widowControl/>
              <w:spacing w:line="240" w:lineRule="auto"/>
              <w:jc w:val="center"/>
              <w:rPr>
                <w:sz w:val="21"/>
                <w:szCs w:val="21"/>
                <w:lang w:eastAsia="en-US"/>
              </w:rPr>
            </w:pPr>
            <w:r>
              <w:rPr>
                <w:sz w:val="21"/>
                <w:szCs w:val="21"/>
                <w:lang w:eastAsia="en-US"/>
              </w:rPr>
              <w:t>达标</w:t>
            </w:r>
          </w:p>
        </w:tc>
      </w:tr>
      <w:tr w14:paraId="4F533F8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0759355E">
            <w:pPr>
              <w:widowControl/>
              <w:spacing w:line="240" w:lineRule="auto"/>
              <w:jc w:val="center"/>
              <w:rPr>
                <w:sz w:val="21"/>
                <w:szCs w:val="21"/>
                <w:lang w:eastAsia="en-US"/>
              </w:rPr>
            </w:pPr>
            <w:r>
              <w:rPr>
                <w:sz w:val="21"/>
                <w:szCs w:val="21"/>
                <w:lang w:eastAsia="en-US"/>
              </w:rPr>
              <w:t>4</w:t>
            </w:r>
          </w:p>
        </w:tc>
        <w:tc>
          <w:tcPr>
            <w:tcW w:w="1141" w:type="dxa"/>
            <w:vMerge w:val="restart"/>
            <w:tcBorders>
              <w:tl2br w:val="nil"/>
              <w:tr2bl w:val="nil"/>
            </w:tcBorders>
            <w:shd w:val="clear" w:color="auto" w:fill="auto"/>
            <w:vAlign w:val="center"/>
          </w:tcPr>
          <w:p w14:paraId="598479F0">
            <w:pPr>
              <w:widowControl/>
              <w:spacing w:line="240" w:lineRule="auto"/>
              <w:jc w:val="center"/>
              <w:rPr>
                <w:sz w:val="21"/>
                <w:szCs w:val="21"/>
                <w:lang w:eastAsia="en-US"/>
              </w:rPr>
            </w:pPr>
            <w:r>
              <w:rPr>
                <w:sz w:val="21"/>
                <w:szCs w:val="21"/>
                <w:lang w:eastAsia="en-US"/>
              </w:rPr>
              <w:t>黄莺花苑小区</w:t>
            </w:r>
          </w:p>
        </w:tc>
        <w:tc>
          <w:tcPr>
            <w:tcW w:w="734" w:type="dxa"/>
            <w:vMerge w:val="restart"/>
            <w:tcBorders>
              <w:tl2br w:val="nil"/>
              <w:tr2bl w:val="nil"/>
            </w:tcBorders>
            <w:shd w:val="clear" w:color="auto" w:fill="auto"/>
            <w:vAlign w:val="center"/>
          </w:tcPr>
          <w:p w14:paraId="3371C0AA">
            <w:pPr>
              <w:widowControl/>
              <w:spacing w:line="240" w:lineRule="auto"/>
              <w:jc w:val="center"/>
              <w:rPr>
                <w:sz w:val="21"/>
                <w:szCs w:val="21"/>
                <w:lang w:eastAsia="en-US"/>
              </w:rPr>
            </w:pPr>
            <w:r>
              <w:rPr>
                <w:sz w:val="21"/>
                <w:szCs w:val="21"/>
                <w:lang w:eastAsia="en-US"/>
              </w:rPr>
              <w:t>-</w:t>
            </w:r>
            <w:r>
              <w:rPr>
                <w:rFonts w:hint="eastAsia"/>
                <w:sz w:val="21"/>
                <w:szCs w:val="21"/>
                <w:lang w:eastAsia="en-US"/>
              </w:rPr>
              <w:t>857</w:t>
            </w:r>
          </w:p>
        </w:tc>
        <w:tc>
          <w:tcPr>
            <w:tcW w:w="645" w:type="dxa"/>
            <w:vMerge w:val="restart"/>
            <w:tcBorders>
              <w:tl2br w:val="nil"/>
              <w:tr2bl w:val="nil"/>
            </w:tcBorders>
            <w:shd w:val="clear" w:color="auto" w:fill="auto"/>
            <w:vAlign w:val="center"/>
          </w:tcPr>
          <w:p w14:paraId="0AF0DA26">
            <w:pPr>
              <w:widowControl/>
              <w:spacing w:line="240" w:lineRule="auto"/>
              <w:jc w:val="center"/>
              <w:rPr>
                <w:sz w:val="21"/>
                <w:szCs w:val="21"/>
                <w:lang w:eastAsia="en-US"/>
              </w:rPr>
            </w:pPr>
            <w:r>
              <w:rPr>
                <w:rFonts w:hint="eastAsia"/>
                <w:sz w:val="21"/>
                <w:szCs w:val="21"/>
                <w:lang w:eastAsia="en-US"/>
              </w:rPr>
              <w:t>-507</w:t>
            </w:r>
          </w:p>
        </w:tc>
        <w:tc>
          <w:tcPr>
            <w:tcW w:w="911" w:type="dxa"/>
            <w:tcBorders>
              <w:tl2br w:val="nil"/>
              <w:tr2bl w:val="nil"/>
            </w:tcBorders>
            <w:shd w:val="clear" w:color="auto" w:fill="auto"/>
            <w:vAlign w:val="center"/>
          </w:tcPr>
          <w:p w14:paraId="356E4A19">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3B0F3F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052719</w:t>
            </w:r>
          </w:p>
        </w:tc>
        <w:tc>
          <w:tcPr>
            <w:tcW w:w="1178" w:type="dxa"/>
            <w:tcBorders>
              <w:tl2br w:val="nil"/>
              <w:tr2bl w:val="nil"/>
            </w:tcBorders>
            <w:shd w:val="clear" w:color="auto" w:fill="auto"/>
            <w:vAlign w:val="center"/>
          </w:tcPr>
          <w:p w14:paraId="39AC82A9">
            <w:pPr>
              <w:widowControl w:val="0"/>
              <w:jc w:val="center"/>
              <w:rPr>
                <w:sz w:val="21"/>
                <w:szCs w:val="21"/>
                <w:lang w:eastAsia="en-US"/>
              </w:rPr>
            </w:pPr>
            <w:r>
              <w:rPr>
                <w:sz w:val="21"/>
                <w:szCs w:val="21"/>
                <w:lang w:eastAsia="en-US"/>
              </w:rPr>
              <w:t>0.0003</w:t>
            </w:r>
          </w:p>
        </w:tc>
        <w:tc>
          <w:tcPr>
            <w:tcW w:w="911" w:type="dxa"/>
            <w:tcBorders>
              <w:tl2br w:val="nil"/>
              <w:tr2bl w:val="nil"/>
            </w:tcBorders>
            <w:shd w:val="clear" w:color="auto" w:fill="auto"/>
            <w:vAlign w:val="center"/>
          </w:tcPr>
          <w:p w14:paraId="34E97442">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7BFE9768">
            <w:pPr>
              <w:widowControl w:val="0"/>
              <w:jc w:val="center"/>
              <w:rPr>
                <w:sz w:val="21"/>
                <w:szCs w:val="21"/>
                <w:lang w:eastAsia="en-US"/>
              </w:rPr>
            </w:pPr>
            <w:r>
              <w:rPr>
                <w:sz w:val="21"/>
                <w:szCs w:val="21"/>
                <w:lang w:eastAsia="en-US"/>
              </w:rPr>
              <w:t>0.06%</w:t>
            </w:r>
          </w:p>
        </w:tc>
        <w:tc>
          <w:tcPr>
            <w:tcW w:w="713" w:type="dxa"/>
            <w:tcBorders>
              <w:tl2br w:val="nil"/>
              <w:tr2bl w:val="nil"/>
            </w:tcBorders>
            <w:shd w:val="clear" w:color="auto" w:fill="auto"/>
            <w:vAlign w:val="center"/>
          </w:tcPr>
          <w:p w14:paraId="41E60FE9">
            <w:pPr>
              <w:widowControl/>
              <w:spacing w:line="240" w:lineRule="auto"/>
              <w:jc w:val="center"/>
              <w:rPr>
                <w:sz w:val="21"/>
                <w:szCs w:val="21"/>
                <w:lang w:eastAsia="en-US"/>
              </w:rPr>
            </w:pPr>
            <w:r>
              <w:rPr>
                <w:sz w:val="21"/>
                <w:szCs w:val="21"/>
                <w:lang w:eastAsia="en-US"/>
              </w:rPr>
              <w:t>达标</w:t>
            </w:r>
          </w:p>
        </w:tc>
      </w:tr>
      <w:tr w14:paraId="5FF0AB8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DFFFA9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095ADC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BFE880D">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239B85A">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10C4F65">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C9FBF54">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w:t>
            </w:r>
          </w:p>
        </w:tc>
        <w:tc>
          <w:tcPr>
            <w:tcW w:w="1178" w:type="dxa"/>
            <w:tcBorders>
              <w:tl2br w:val="nil"/>
              <w:tr2bl w:val="nil"/>
            </w:tcBorders>
            <w:shd w:val="clear" w:color="auto" w:fill="auto"/>
            <w:vAlign w:val="center"/>
          </w:tcPr>
          <w:p w14:paraId="6E1794F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4A7D2C7">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14BBD353">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0C98D7CE">
            <w:pPr>
              <w:widowControl/>
              <w:spacing w:line="240" w:lineRule="auto"/>
              <w:jc w:val="center"/>
              <w:rPr>
                <w:sz w:val="21"/>
                <w:szCs w:val="21"/>
                <w:lang w:eastAsia="en-US"/>
              </w:rPr>
            </w:pPr>
            <w:r>
              <w:rPr>
                <w:sz w:val="21"/>
                <w:szCs w:val="21"/>
                <w:lang w:eastAsia="en-US"/>
              </w:rPr>
              <w:t>达标</w:t>
            </w:r>
          </w:p>
        </w:tc>
      </w:tr>
      <w:tr w14:paraId="252A003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B9DF7B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0461D7E">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A0A710C">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A287CA8">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B4CA42F">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753CBD5C">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117E7EEF">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DBDFA9B">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216D701">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3E478E43">
            <w:pPr>
              <w:widowControl/>
              <w:spacing w:line="240" w:lineRule="auto"/>
              <w:jc w:val="center"/>
              <w:rPr>
                <w:sz w:val="21"/>
                <w:szCs w:val="21"/>
                <w:lang w:eastAsia="en-US"/>
              </w:rPr>
            </w:pPr>
            <w:r>
              <w:rPr>
                <w:sz w:val="21"/>
                <w:szCs w:val="21"/>
                <w:lang w:eastAsia="en-US"/>
              </w:rPr>
              <w:t>达标</w:t>
            </w:r>
          </w:p>
        </w:tc>
      </w:tr>
      <w:tr w14:paraId="03DB697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4FBBD5D8">
            <w:pPr>
              <w:widowControl/>
              <w:spacing w:line="240" w:lineRule="auto"/>
              <w:jc w:val="center"/>
              <w:rPr>
                <w:sz w:val="21"/>
                <w:szCs w:val="21"/>
                <w:lang w:eastAsia="en-US"/>
              </w:rPr>
            </w:pPr>
            <w:r>
              <w:rPr>
                <w:sz w:val="21"/>
                <w:szCs w:val="21"/>
                <w:lang w:eastAsia="en-US"/>
              </w:rPr>
              <w:t>5</w:t>
            </w:r>
          </w:p>
        </w:tc>
        <w:tc>
          <w:tcPr>
            <w:tcW w:w="1141" w:type="dxa"/>
            <w:vMerge w:val="restart"/>
            <w:tcBorders>
              <w:tl2br w:val="nil"/>
              <w:tr2bl w:val="nil"/>
            </w:tcBorders>
            <w:shd w:val="clear" w:color="auto" w:fill="auto"/>
            <w:vAlign w:val="center"/>
          </w:tcPr>
          <w:p w14:paraId="5762F4D4">
            <w:pPr>
              <w:widowControl/>
              <w:spacing w:line="240" w:lineRule="auto"/>
              <w:jc w:val="center"/>
              <w:rPr>
                <w:sz w:val="21"/>
                <w:szCs w:val="21"/>
                <w:lang w:eastAsia="en-US"/>
              </w:rPr>
            </w:pPr>
            <w:r>
              <w:rPr>
                <w:sz w:val="21"/>
                <w:szCs w:val="21"/>
                <w:lang w:eastAsia="en-US"/>
              </w:rPr>
              <w:t>城南御花园小区</w:t>
            </w:r>
          </w:p>
        </w:tc>
        <w:tc>
          <w:tcPr>
            <w:tcW w:w="734" w:type="dxa"/>
            <w:vMerge w:val="restart"/>
            <w:tcBorders>
              <w:tl2br w:val="nil"/>
              <w:tr2bl w:val="nil"/>
            </w:tcBorders>
            <w:shd w:val="clear" w:color="auto" w:fill="auto"/>
            <w:vAlign w:val="center"/>
          </w:tcPr>
          <w:p w14:paraId="1856F711">
            <w:pPr>
              <w:widowControl/>
              <w:spacing w:line="240" w:lineRule="auto"/>
              <w:jc w:val="center"/>
              <w:rPr>
                <w:sz w:val="21"/>
                <w:szCs w:val="21"/>
                <w:lang w:eastAsia="en-US"/>
              </w:rPr>
            </w:pPr>
            <w:r>
              <w:rPr>
                <w:rFonts w:hint="eastAsia"/>
                <w:sz w:val="21"/>
                <w:szCs w:val="21"/>
                <w:lang w:eastAsia="en-US"/>
              </w:rPr>
              <w:t>-900</w:t>
            </w:r>
          </w:p>
        </w:tc>
        <w:tc>
          <w:tcPr>
            <w:tcW w:w="645" w:type="dxa"/>
            <w:vMerge w:val="restart"/>
            <w:tcBorders>
              <w:tl2br w:val="nil"/>
              <w:tr2bl w:val="nil"/>
            </w:tcBorders>
            <w:shd w:val="clear" w:color="auto" w:fill="auto"/>
            <w:vAlign w:val="center"/>
          </w:tcPr>
          <w:p w14:paraId="1B37DC65">
            <w:pPr>
              <w:widowControl/>
              <w:spacing w:line="240" w:lineRule="auto"/>
              <w:jc w:val="center"/>
              <w:rPr>
                <w:sz w:val="21"/>
                <w:szCs w:val="21"/>
                <w:lang w:eastAsia="en-US"/>
              </w:rPr>
            </w:pPr>
            <w:r>
              <w:rPr>
                <w:sz w:val="21"/>
                <w:szCs w:val="21"/>
                <w:lang w:eastAsia="en-US"/>
              </w:rPr>
              <w:t>-</w:t>
            </w:r>
            <w:r>
              <w:rPr>
                <w:rFonts w:hint="eastAsia"/>
                <w:sz w:val="21"/>
                <w:szCs w:val="21"/>
                <w:lang w:eastAsia="en-US"/>
              </w:rPr>
              <w:t>684</w:t>
            </w:r>
          </w:p>
        </w:tc>
        <w:tc>
          <w:tcPr>
            <w:tcW w:w="911" w:type="dxa"/>
            <w:tcBorders>
              <w:tl2br w:val="nil"/>
              <w:tr2bl w:val="nil"/>
            </w:tcBorders>
            <w:shd w:val="clear" w:color="auto" w:fill="auto"/>
            <w:vAlign w:val="center"/>
          </w:tcPr>
          <w:p w14:paraId="15E731E7">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3B399CB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78" w:type="dxa"/>
            <w:tcBorders>
              <w:tl2br w:val="nil"/>
              <w:tr2bl w:val="nil"/>
            </w:tcBorders>
            <w:shd w:val="clear" w:color="auto" w:fill="auto"/>
            <w:vAlign w:val="center"/>
          </w:tcPr>
          <w:p w14:paraId="0369C83A">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6DBD76E6">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8AA03C2">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39B1EF8D">
            <w:pPr>
              <w:widowControl/>
              <w:spacing w:line="240" w:lineRule="auto"/>
              <w:jc w:val="center"/>
              <w:rPr>
                <w:sz w:val="21"/>
                <w:szCs w:val="21"/>
                <w:lang w:eastAsia="en-US"/>
              </w:rPr>
            </w:pPr>
            <w:r>
              <w:rPr>
                <w:sz w:val="21"/>
                <w:szCs w:val="21"/>
                <w:lang w:eastAsia="en-US"/>
              </w:rPr>
              <w:t>达标</w:t>
            </w:r>
          </w:p>
        </w:tc>
      </w:tr>
      <w:tr w14:paraId="11ABB53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C64F688">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61E51DD">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DE0C885">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A07AB5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495C2A6">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15F4907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78" w:type="dxa"/>
            <w:tcBorders>
              <w:tl2br w:val="nil"/>
              <w:tr2bl w:val="nil"/>
            </w:tcBorders>
            <w:shd w:val="clear" w:color="auto" w:fill="auto"/>
            <w:vAlign w:val="center"/>
          </w:tcPr>
          <w:p w14:paraId="36CC6247">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81F0130">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7CE2A173">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1090A5FE">
            <w:pPr>
              <w:widowControl/>
              <w:spacing w:line="240" w:lineRule="auto"/>
              <w:jc w:val="center"/>
              <w:rPr>
                <w:sz w:val="21"/>
                <w:szCs w:val="21"/>
                <w:lang w:eastAsia="en-US"/>
              </w:rPr>
            </w:pPr>
            <w:r>
              <w:rPr>
                <w:sz w:val="21"/>
                <w:szCs w:val="21"/>
                <w:lang w:eastAsia="en-US"/>
              </w:rPr>
              <w:t>达标</w:t>
            </w:r>
          </w:p>
        </w:tc>
      </w:tr>
      <w:tr w14:paraId="60690F8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CB3B89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4612132">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79C7B2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59EDD42">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C82A0A5">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53043D2">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58DB9935">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45DDA1B">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292695B0">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1AFD2087">
            <w:pPr>
              <w:widowControl/>
              <w:spacing w:line="240" w:lineRule="auto"/>
              <w:jc w:val="center"/>
              <w:rPr>
                <w:sz w:val="21"/>
                <w:szCs w:val="21"/>
                <w:lang w:eastAsia="en-US"/>
              </w:rPr>
            </w:pPr>
            <w:r>
              <w:rPr>
                <w:sz w:val="21"/>
                <w:szCs w:val="21"/>
                <w:lang w:eastAsia="en-US"/>
              </w:rPr>
              <w:t>达标</w:t>
            </w:r>
          </w:p>
        </w:tc>
      </w:tr>
      <w:tr w14:paraId="7E8664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4F6B10D7">
            <w:pPr>
              <w:widowControl/>
              <w:spacing w:line="240" w:lineRule="auto"/>
              <w:jc w:val="center"/>
              <w:rPr>
                <w:sz w:val="21"/>
                <w:szCs w:val="21"/>
                <w:lang w:eastAsia="en-US"/>
              </w:rPr>
            </w:pPr>
            <w:r>
              <w:rPr>
                <w:sz w:val="21"/>
                <w:szCs w:val="21"/>
                <w:lang w:eastAsia="en-US"/>
              </w:rPr>
              <w:t>6</w:t>
            </w:r>
          </w:p>
        </w:tc>
        <w:tc>
          <w:tcPr>
            <w:tcW w:w="1141" w:type="dxa"/>
            <w:vMerge w:val="restart"/>
            <w:tcBorders>
              <w:tl2br w:val="nil"/>
              <w:tr2bl w:val="nil"/>
            </w:tcBorders>
            <w:shd w:val="clear" w:color="auto" w:fill="auto"/>
            <w:vAlign w:val="center"/>
          </w:tcPr>
          <w:p w14:paraId="6C74BF2C">
            <w:pPr>
              <w:widowControl/>
              <w:spacing w:line="240" w:lineRule="auto"/>
              <w:jc w:val="center"/>
              <w:rPr>
                <w:sz w:val="21"/>
                <w:szCs w:val="21"/>
                <w:lang w:eastAsia="en-US"/>
              </w:rPr>
            </w:pPr>
            <w:r>
              <w:rPr>
                <w:sz w:val="21"/>
                <w:szCs w:val="21"/>
                <w:lang w:eastAsia="en-US"/>
              </w:rPr>
              <w:t>润玉时代城小区</w:t>
            </w:r>
          </w:p>
        </w:tc>
        <w:tc>
          <w:tcPr>
            <w:tcW w:w="734" w:type="dxa"/>
            <w:vMerge w:val="restart"/>
            <w:tcBorders>
              <w:tl2br w:val="nil"/>
              <w:tr2bl w:val="nil"/>
            </w:tcBorders>
            <w:shd w:val="clear" w:color="auto" w:fill="auto"/>
            <w:vAlign w:val="center"/>
          </w:tcPr>
          <w:p w14:paraId="4F74A558">
            <w:pPr>
              <w:widowControl/>
              <w:spacing w:line="240" w:lineRule="auto"/>
              <w:jc w:val="center"/>
              <w:rPr>
                <w:sz w:val="21"/>
                <w:szCs w:val="21"/>
                <w:lang w:eastAsia="en-US"/>
              </w:rPr>
            </w:pPr>
            <w:r>
              <w:rPr>
                <w:rFonts w:hint="eastAsia"/>
                <w:sz w:val="21"/>
                <w:szCs w:val="21"/>
                <w:lang w:eastAsia="en-US"/>
              </w:rPr>
              <w:t>-1306</w:t>
            </w:r>
          </w:p>
        </w:tc>
        <w:tc>
          <w:tcPr>
            <w:tcW w:w="645" w:type="dxa"/>
            <w:vMerge w:val="restart"/>
            <w:tcBorders>
              <w:tl2br w:val="nil"/>
              <w:tr2bl w:val="nil"/>
            </w:tcBorders>
            <w:shd w:val="clear" w:color="auto" w:fill="auto"/>
            <w:vAlign w:val="center"/>
          </w:tcPr>
          <w:p w14:paraId="116EDCEC">
            <w:pPr>
              <w:widowControl/>
              <w:spacing w:line="240" w:lineRule="auto"/>
              <w:jc w:val="center"/>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1" w:type="dxa"/>
            <w:tcBorders>
              <w:tl2br w:val="nil"/>
              <w:tr2bl w:val="nil"/>
            </w:tcBorders>
            <w:shd w:val="clear" w:color="auto" w:fill="auto"/>
            <w:vAlign w:val="center"/>
          </w:tcPr>
          <w:p w14:paraId="5F91C46B">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3DAC8CF2">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78" w:type="dxa"/>
            <w:tcBorders>
              <w:tl2br w:val="nil"/>
              <w:tr2bl w:val="nil"/>
            </w:tcBorders>
            <w:shd w:val="clear" w:color="auto" w:fill="auto"/>
            <w:vAlign w:val="center"/>
          </w:tcPr>
          <w:p w14:paraId="380DE36F">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42F77499">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9642852">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20585036">
            <w:pPr>
              <w:widowControl/>
              <w:spacing w:line="240" w:lineRule="auto"/>
              <w:jc w:val="center"/>
              <w:rPr>
                <w:sz w:val="21"/>
                <w:szCs w:val="21"/>
                <w:lang w:eastAsia="en-US"/>
              </w:rPr>
            </w:pPr>
            <w:r>
              <w:rPr>
                <w:sz w:val="21"/>
                <w:szCs w:val="21"/>
                <w:lang w:eastAsia="en-US"/>
              </w:rPr>
              <w:t>达标</w:t>
            </w:r>
          </w:p>
        </w:tc>
      </w:tr>
      <w:tr w14:paraId="6B9BFFB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C65CEE0">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B6E22E1">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05E7103">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DE3F37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AC10A4C">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49AFE9E4">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78" w:type="dxa"/>
            <w:tcBorders>
              <w:tl2br w:val="nil"/>
              <w:tr2bl w:val="nil"/>
            </w:tcBorders>
            <w:shd w:val="clear" w:color="auto" w:fill="auto"/>
            <w:vAlign w:val="center"/>
          </w:tcPr>
          <w:p w14:paraId="710976C8">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19D48DC">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36F0A0D1">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7FBF2116">
            <w:pPr>
              <w:widowControl/>
              <w:spacing w:line="240" w:lineRule="auto"/>
              <w:jc w:val="center"/>
              <w:rPr>
                <w:sz w:val="21"/>
                <w:szCs w:val="21"/>
                <w:lang w:eastAsia="en-US"/>
              </w:rPr>
            </w:pPr>
            <w:r>
              <w:rPr>
                <w:sz w:val="21"/>
                <w:szCs w:val="21"/>
                <w:lang w:eastAsia="en-US"/>
              </w:rPr>
              <w:t>达标</w:t>
            </w:r>
          </w:p>
        </w:tc>
      </w:tr>
      <w:tr w14:paraId="4E0A17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76F3444">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BB3954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0DF54EC">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4D4B901">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0B94BCA">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584632E5">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44D5DA59">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5D123F9">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BE239E0">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4F6167C8">
            <w:pPr>
              <w:widowControl/>
              <w:spacing w:line="240" w:lineRule="auto"/>
              <w:jc w:val="center"/>
              <w:rPr>
                <w:sz w:val="21"/>
                <w:szCs w:val="21"/>
                <w:lang w:eastAsia="en-US"/>
              </w:rPr>
            </w:pPr>
            <w:r>
              <w:rPr>
                <w:sz w:val="21"/>
                <w:szCs w:val="21"/>
                <w:lang w:eastAsia="en-US"/>
              </w:rPr>
              <w:t>达标</w:t>
            </w:r>
          </w:p>
        </w:tc>
      </w:tr>
      <w:tr w14:paraId="6C042B7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58BA300">
            <w:pPr>
              <w:widowControl/>
              <w:spacing w:line="240" w:lineRule="auto"/>
              <w:jc w:val="center"/>
              <w:rPr>
                <w:sz w:val="21"/>
                <w:szCs w:val="21"/>
                <w:lang w:eastAsia="en-US"/>
              </w:rPr>
            </w:pPr>
            <w:r>
              <w:rPr>
                <w:sz w:val="21"/>
                <w:szCs w:val="21"/>
                <w:lang w:eastAsia="en-US"/>
              </w:rPr>
              <w:t>7</w:t>
            </w:r>
          </w:p>
        </w:tc>
        <w:tc>
          <w:tcPr>
            <w:tcW w:w="1141" w:type="dxa"/>
            <w:vMerge w:val="restart"/>
            <w:tcBorders>
              <w:tl2br w:val="nil"/>
              <w:tr2bl w:val="nil"/>
            </w:tcBorders>
            <w:shd w:val="clear" w:color="auto" w:fill="auto"/>
            <w:vAlign w:val="center"/>
          </w:tcPr>
          <w:p w14:paraId="55CE1D87">
            <w:pPr>
              <w:widowControl/>
              <w:spacing w:line="240" w:lineRule="auto"/>
              <w:jc w:val="center"/>
              <w:rPr>
                <w:sz w:val="21"/>
                <w:szCs w:val="21"/>
                <w:lang w:eastAsia="en-US"/>
              </w:rPr>
            </w:pPr>
            <w:r>
              <w:rPr>
                <w:sz w:val="21"/>
                <w:szCs w:val="21"/>
                <w:lang w:eastAsia="en-US"/>
              </w:rPr>
              <w:t>山塘学校</w:t>
            </w:r>
          </w:p>
        </w:tc>
        <w:tc>
          <w:tcPr>
            <w:tcW w:w="734" w:type="dxa"/>
            <w:vMerge w:val="restart"/>
            <w:tcBorders>
              <w:tl2br w:val="nil"/>
              <w:tr2bl w:val="nil"/>
            </w:tcBorders>
            <w:shd w:val="clear" w:color="auto" w:fill="auto"/>
            <w:vAlign w:val="center"/>
          </w:tcPr>
          <w:p w14:paraId="4F82D1A1">
            <w:pPr>
              <w:widowControl/>
              <w:spacing w:line="240" w:lineRule="auto"/>
              <w:jc w:val="center"/>
              <w:rPr>
                <w:sz w:val="21"/>
                <w:szCs w:val="21"/>
                <w:lang w:eastAsia="en-US"/>
              </w:rPr>
            </w:pPr>
            <w:r>
              <w:rPr>
                <w:sz w:val="21"/>
                <w:szCs w:val="21"/>
                <w:lang w:eastAsia="en-US"/>
              </w:rPr>
              <w:t>-</w:t>
            </w:r>
            <w:r>
              <w:rPr>
                <w:rFonts w:hint="eastAsia"/>
                <w:sz w:val="21"/>
                <w:szCs w:val="21"/>
                <w:lang w:eastAsia="en-US"/>
              </w:rPr>
              <w:t>1230</w:t>
            </w:r>
          </w:p>
        </w:tc>
        <w:tc>
          <w:tcPr>
            <w:tcW w:w="645" w:type="dxa"/>
            <w:vMerge w:val="restart"/>
            <w:tcBorders>
              <w:tl2br w:val="nil"/>
              <w:tr2bl w:val="nil"/>
            </w:tcBorders>
            <w:shd w:val="clear" w:color="auto" w:fill="auto"/>
            <w:vAlign w:val="center"/>
          </w:tcPr>
          <w:p w14:paraId="66CD4BF1">
            <w:pPr>
              <w:widowControl/>
              <w:spacing w:line="240" w:lineRule="auto"/>
              <w:jc w:val="center"/>
              <w:rPr>
                <w:sz w:val="21"/>
                <w:szCs w:val="21"/>
                <w:lang w:eastAsia="en-US"/>
              </w:rPr>
            </w:pPr>
            <w:r>
              <w:rPr>
                <w:sz w:val="21"/>
                <w:szCs w:val="21"/>
                <w:lang w:eastAsia="en-US"/>
              </w:rPr>
              <w:t>-</w:t>
            </w:r>
            <w:r>
              <w:rPr>
                <w:rFonts w:hint="eastAsia"/>
                <w:sz w:val="21"/>
                <w:szCs w:val="21"/>
                <w:lang w:eastAsia="en-US"/>
              </w:rPr>
              <w:t>525</w:t>
            </w:r>
          </w:p>
        </w:tc>
        <w:tc>
          <w:tcPr>
            <w:tcW w:w="911" w:type="dxa"/>
            <w:tcBorders>
              <w:tl2br w:val="nil"/>
              <w:tr2bl w:val="nil"/>
            </w:tcBorders>
            <w:shd w:val="clear" w:color="auto" w:fill="auto"/>
            <w:vAlign w:val="center"/>
          </w:tcPr>
          <w:p w14:paraId="4CD39D77">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9D389D4">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78" w:type="dxa"/>
            <w:tcBorders>
              <w:tl2br w:val="nil"/>
              <w:tr2bl w:val="nil"/>
            </w:tcBorders>
            <w:shd w:val="clear" w:color="auto" w:fill="auto"/>
            <w:vAlign w:val="center"/>
          </w:tcPr>
          <w:p w14:paraId="65CFEE8E">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63643A38">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71BBD33F">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32F5BE10">
            <w:pPr>
              <w:widowControl/>
              <w:spacing w:line="240" w:lineRule="auto"/>
              <w:jc w:val="center"/>
              <w:rPr>
                <w:sz w:val="21"/>
                <w:szCs w:val="21"/>
                <w:lang w:eastAsia="en-US"/>
              </w:rPr>
            </w:pPr>
            <w:r>
              <w:rPr>
                <w:sz w:val="21"/>
                <w:szCs w:val="21"/>
                <w:lang w:eastAsia="en-US"/>
              </w:rPr>
              <w:t>达标</w:t>
            </w:r>
          </w:p>
        </w:tc>
      </w:tr>
      <w:tr w14:paraId="1C219B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F645F07">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4205B8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45027F4">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8F6F031">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2340B85">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41AD68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78" w:type="dxa"/>
            <w:tcBorders>
              <w:tl2br w:val="nil"/>
              <w:tr2bl w:val="nil"/>
            </w:tcBorders>
            <w:shd w:val="clear" w:color="auto" w:fill="auto"/>
            <w:vAlign w:val="center"/>
          </w:tcPr>
          <w:p w14:paraId="7D3E1203">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7A64CCB">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41E95003">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09224394">
            <w:pPr>
              <w:widowControl/>
              <w:spacing w:line="240" w:lineRule="auto"/>
              <w:jc w:val="center"/>
              <w:rPr>
                <w:sz w:val="21"/>
                <w:szCs w:val="21"/>
                <w:lang w:eastAsia="en-US"/>
              </w:rPr>
            </w:pPr>
            <w:r>
              <w:rPr>
                <w:sz w:val="21"/>
                <w:szCs w:val="21"/>
                <w:lang w:eastAsia="en-US"/>
              </w:rPr>
              <w:t>达标</w:t>
            </w:r>
          </w:p>
        </w:tc>
      </w:tr>
      <w:tr w14:paraId="6BA2FA0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89664AC">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0EEE53E">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323F541">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13EAD5F">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745FD7E">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5F0D2E3D">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7F78302D">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CEEA27D">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0C332703">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0A58F35F">
            <w:pPr>
              <w:widowControl/>
              <w:spacing w:line="240" w:lineRule="auto"/>
              <w:jc w:val="center"/>
              <w:rPr>
                <w:sz w:val="21"/>
                <w:szCs w:val="21"/>
                <w:lang w:eastAsia="en-US"/>
              </w:rPr>
            </w:pPr>
            <w:r>
              <w:rPr>
                <w:sz w:val="21"/>
                <w:szCs w:val="21"/>
                <w:lang w:eastAsia="en-US"/>
              </w:rPr>
              <w:t>达标</w:t>
            </w:r>
          </w:p>
        </w:tc>
      </w:tr>
      <w:tr w14:paraId="4A8B1E6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572D592A">
            <w:pPr>
              <w:widowControl/>
              <w:spacing w:line="240" w:lineRule="auto"/>
              <w:jc w:val="center"/>
              <w:rPr>
                <w:sz w:val="21"/>
                <w:szCs w:val="21"/>
                <w:lang w:eastAsia="en-US"/>
              </w:rPr>
            </w:pPr>
            <w:r>
              <w:rPr>
                <w:sz w:val="21"/>
                <w:szCs w:val="21"/>
                <w:lang w:eastAsia="en-US"/>
              </w:rPr>
              <w:t>8</w:t>
            </w:r>
          </w:p>
        </w:tc>
        <w:tc>
          <w:tcPr>
            <w:tcW w:w="1141" w:type="dxa"/>
            <w:vMerge w:val="restart"/>
            <w:tcBorders>
              <w:tl2br w:val="nil"/>
              <w:tr2bl w:val="nil"/>
            </w:tcBorders>
            <w:shd w:val="clear" w:color="auto" w:fill="auto"/>
            <w:vAlign w:val="center"/>
          </w:tcPr>
          <w:p w14:paraId="58451103">
            <w:pPr>
              <w:widowControl/>
              <w:spacing w:line="240" w:lineRule="auto"/>
              <w:jc w:val="center"/>
              <w:rPr>
                <w:sz w:val="21"/>
                <w:szCs w:val="21"/>
                <w:lang w:eastAsia="en-US"/>
              </w:rPr>
            </w:pPr>
            <w:r>
              <w:rPr>
                <w:sz w:val="21"/>
                <w:szCs w:val="21"/>
                <w:lang w:eastAsia="en-US"/>
              </w:rPr>
              <w:t>和园小区</w:t>
            </w:r>
          </w:p>
        </w:tc>
        <w:tc>
          <w:tcPr>
            <w:tcW w:w="734" w:type="dxa"/>
            <w:vMerge w:val="restart"/>
            <w:tcBorders>
              <w:tl2br w:val="nil"/>
              <w:tr2bl w:val="nil"/>
            </w:tcBorders>
            <w:shd w:val="clear" w:color="auto" w:fill="auto"/>
            <w:vAlign w:val="center"/>
          </w:tcPr>
          <w:p w14:paraId="055A2160">
            <w:pPr>
              <w:widowControl/>
              <w:spacing w:line="240" w:lineRule="auto"/>
              <w:jc w:val="center"/>
              <w:rPr>
                <w:sz w:val="21"/>
                <w:szCs w:val="21"/>
                <w:lang w:eastAsia="en-US"/>
              </w:rPr>
            </w:pPr>
            <w:r>
              <w:rPr>
                <w:rFonts w:hint="eastAsia"/>
                <w:sz w:val="21"/>
                <w:szCs w:val="21"/>
                <w:lang w:eastAsia="en-US"/>
              </w:rPr>
              <w:t>-1099</w:t>
            </w:r>
          </w:p>
        </w:tc>
        <w:tc>
          <w:tcPr>
            <w:tcW w:w="645" w:type="dxa"/>
            <w:vMerge w:val="restart"/>
            <w:tcBorders>
              <w:tl2br w:val="nil"/>
              <w:tr2bl w:val="nil"/>
            </w:tcBorders>
            <w:shd w:val="clear" w:color="auto" w:fill="auto"/>
            <w:vAlign w:val="center"/>
          </w:tcPr>
          <w:p w14:paraId="5245E4E2">
            <w:pPr>
              <w:widowControl/>
              <w:spacing w:line="240" w:lineRule="auto"/>
              <w:jc w:val="center"/>
              <w:rPr>
                <w:sz w:val="21"/>
                <w:szCs w:val="21"/>
                <w:lang w:eastAsia="en-US"/>
              </w:rPr>
            </w:pPr>
            <w:r>
              <w:rPr>
                <w:rFonts w:hint="eastAsia"/>
                <w:sz w:val="21"/>
                <w:szCs w:val="21"/>
                <w:lang w:eastAsia="en-US"/>
              </w:rPr>
              <w:t>131</w:t>
            </w:r>
          </w:p>
        </w:tc>
        <w:tc>
          <w:tcPr>
            <w:tcW w:w="911" w:type="dxa"/>
            <w:tcBorders>
              <w:tl2br w:val="nil"/>
              <w:tr2bl w:val="nil"/>
            </w:tcBorders>
            <w:shd w:val="clear" w:color="auto" w:fill="auto"/>
            <w:vAlign w:val="center"/>
          </w:tcPr>
          <w:p w14:paraId="44E849E4">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42334425">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78" w:type="dxa"/>
            <w:tcBorders>
              <w:tl2br w:val="nil"/>
              <w:tr2bl w:val="nil"/>
            </w:tcBorders>
            <w:shd w:val="clear" w:color="auto" w:fill="auto"/>
            <w:vAlign w:val="center"/>
          </w:tcPr>
          <w:p w14:paraId="6D4B955E">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77389022">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82A9645">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50EC5992">
            <w:pPr>
              <w:widowControl/>
              <w:spacing w:line="240" w:lineRule="auto"/>
              <w:jc w:val="center"/>
              <w:rPr>
                <w:sz w:val="21"/>
                <w:szCs w:val="21"/>
                <w:lang w:eastAsia="en-US"/>
              </w:rPr>
            </w:pPr>
            <w:r>
              <w:rPr>
                <w:sz w:val="21"/>
                <w:szCs w:val="21"/>
                <w:lang w:eastAsia="en-US"/>
              </w:rPr>
              <w:t>达标</w:t>
            </w:r>
          </w:p>
        </w:tc>
      </w:tr>
      <w:tr w14:paraId="6CFAC82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2AA8A7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43C4FA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74D8329">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0F4B713">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CE8A24D">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0AD114C3">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78" w:type="dxa"/>
            <w:tcBorders>
              <w:tl2br w:val="nil"/>
              <w:tr2bl w:val="nil"/>
            </w:tcBorders>
            <w:shd w:val="clear" w:color="auto" w:fill="auto"/>
            <w:vAlign w:val="center"/>
          </w:tcPr>
          <w:p w14:paraId="275F1DDA">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2449B85">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1B50BD45">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604861FD">
            <w:pPr>
              <w:widowControl/>
              <w:spacing w:line="240" w:lineRule="auto"/>
              <w:jc w:val="center"/>
              <w:rPr>
                <w:sz w:val="21"/>
                <w:szCs w:val="21"/>
                <w:lang w:eastAsia="en-US"/>
              </w:rPr>
            </w:pPr>
            <w:r>
              <w:rPr>
                <w:sz w:val="21"/>
                <w:szCs w:val="21"/>
                <w:lang w:eastAsia="en-US"/>
              </w:rPr>
              <w:t>达标</w:t>
            </w:r>
          </w:p>
        </w:tc>
      </w:tr>
      <w:tr w14:paraId="195280A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A83ECD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163F96B">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69B3090">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5BC868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0DEE87E">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68EABFC">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6C03CD7B">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CF61882">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580DAB5">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46BE9A88">
            <w:pPr>
              <w:widowControl/>
              <w:spacing w:line="240" w:lineRule="auto"/>
              <w:jc w:val="center"/>
              <w:rPr>
                <w:sz w:val="21"/>
                <w:szCs w:val="21"/>
                <w:lang w:eastAsia="en-US"/>
              </w:rPr>
            </w:pPr>
            <w:r>
              <w:rPr>
                <w:sz w:val="21"/>
                <w:szCs w:val="21"/>
                <w:lang w:eastAsia="en-US"/>
              </w:rPr>
              <w:t>达标</w:t>
            </w:r>
          </w:p>
        </w:tc>
      </w:tr>
      <w:tr w14:paraId="1726111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666B9CE">
            <w:pPr>
              <w:widowControl/>
              <w:spacing w:line="240" w:lineRule="auto"/>
              <w:jc w:val="center"/>
              <w:rPr>
                <w:sz w:val="21"/>
                <w:szCs w:val="21"/>
                <w:lang w:eastAsia="en-US"/>
              </w:rPr>
            </w:pPr>
            <w:r>
              <w:rPr>
                <w:sz w:val="21"/>
                <w:szCs w:val="21"/>
                <w:lang w:eastAsia="en-US"/>
              </w:rPr>
              <w:t>9</w:t>
            </w:r>
          </w:p>
        </w:tc>
        <w:tc>
          <w:tcPr>
            <w:tcW w:w="1141" w:type="dxa"/>
            <w:vMerge w:val="restart"/>
            <w:tcBorders>
              <w:tl2br w:val="nil"/>
              <w:tr2bl w:val="nil"/>
            </w:tcBorders>
            <w:shd w:val="clear" w:color="auto" w:fill="auto"/>
            <w:vAlign w:val="center"/>
          </w:tcPr>
          <w:p w14:paraId="7390AC88">
            <w:pPr>
              <w:widowControl/>
              <w:spacing w:line="240" w:lineRule="auto"/>
              <w:jc w:val="center"/>
              <w:rPr>
                <w:sz w:val="21"/>
                <w:szCs w:val="21"/>
                <w:lang w:eastAsia="en-US"/>
              </w:rPr>
            </w:pPr>
            <w:r>
              <w:rPr>
                <w:sz w:val="21"/>
                <w:szCs w:val="21"/>
                <w:lang w:eastAsia="en-US"/>
              </w:rPr>
              <w:t>子敬学校</w:t>
            </w:r>
          </w:p>
        </w:tc>
        <w:tc>
          <w:tcPr>
            <w:tcW w:w="734" w:type="dxa"/>
            <w:vMerge w:val="restart"/>
            <w:tcBorders>
              <w:tl2br w:val="nil"/>
              <w:tr2bl w:val="nil"/>
            </w:tcBorders>
            <w:shd w:val="clear" w:color="auto" w:fill="auto"/>
            <w:vAlign w:val="center"/>
          </w:tcPr>
          <w:p w14:paraId="1564C506">
            <w:pPr>
              <w:widowControl/>
              <w:spacing w:line="240" w:lineRule="auto"/>
              <w:jc w:val="center"/>
              <w:rPr>
                <w:sz w:val="21"/>
                <w:szCs w:val="21"/>
                <w:lang w:eastAsia="en-US"/>
              </w:rPr>
            </w:pPr>
            <w:r>
              <w:rPr>
                <w:rFonts w:hint="eastAsia"/>
                <w:sz w:val="21"/>
                <w:szCs w:val="21"/>
                <w:lang w:eastAsia="en-US"/>
              </w:rPr>
              <w:t>-2089</w:t>
            </w:r>
          </w:p>
        </w:tc>
        <w:tc>
          <w:tcPr>
            <w:tcW w:w="645" w:type="dxa"/>
            <w:vMerge w:val="restart"/>
            <w:tcBorders>
              <w:tl2br w:val="nil"/>
              <w:tr2bl w:val="nil"/>
            </w:tcBorders>
            <w:shd w:val="clear" w:color="auto" w:fill="auto"/>
            <w:vAlign w:val="center"/>
          </w:tcPr>
          <w:p w14:paraId="64891A50">
            <w:pPr>
              <w:widowControl/>
              <w:spacing w:line="240" w:lineRule="auto"/>
              <w:jc w:val="center"/>
              <w:rPr>
                <w:sz w:val="21"/>
                <w:szCs w:val="21"/>
                <w:lang w:eastAsia="en-US"/>
              </w:rPr>
            </w:pPr>
            <w:r>
              <w:rPr>
                <w:rFonts w:hint="eastAsia"/>
                <w:sz w:val="21"/>
                <w:szCs w:val="21"/>
                <w:lang w:eastAsia="en-US"/>
              </w:rPr>
              <w:t>1019</w:t>
            </w:r>
          </w:p>
        </w:tc>
        <w:tc>
          <w:tcPr>
            <w:tcW w:w="911" w:type="dxa"/>
            <w:tcBorders>
              <w:tl2br w:val="nil"/>
              <w:tr2bl w:val="nil"/>
            </w:tcBorders>
            <w:shd w:val="clear" w:color="auto" w:fill="auto"/>
            <w:vAlign w:val="center"/>
          </w:tcPr>
          <w:p w14:paraId="166B57EA">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B014E8D">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093021</w:t>
            </w:r>
          </w:p>
        </w:tc>
        <w:tc>
          <w:tcPr>
            <w:tcW w:w="1178" w:type="dxa"/>
            <w:tcBorders>
              <w:tl2br w:val="nil"/>
              <w:tr2bl w:val="nil"/>
            </w:tcBorders>
            <w:shd w:val="clear" w:color="auto" w:fill="auto"/>
            <w:vAlign w:val="center"/>
          </w:tcPr>
          <w:p w14:paraId="54D67077">
            <w:pPr>
              <w:widowControl w:val="0"/>
              <w:jc w:val="center"/>
              <w:rPr>
                <w:sz w:val="21"/>
                <w:szCs w:val="21"/>
                <w:lang w:eastAsia="en-US"/>
              </w:rPr>
            </w:pPr>
            <w:r>
              <w:rPr>
                <w:sz w:val="21"/>
                <w:szCs w:val="21"/>
                <w:lang w:eastAsia="en-US"/>
              </w:rPr>
              <w:t>0.0006</w:t>
            </w:r>
          </w:p>
        </w:tc>
        <w:tc>
          <w:tcPr>
            <w:tcW w:w="911" w:type="dxa"/>
            <w:tcBorders>
              <w:tl2br w:val="nil"/>
              <w:tr2bl w:val="nil"/>
            </w:tcBorders>
            <w:shd w:val="clear" w:color="auto" w:fill="auto"/>
            <w:vAlign w:val="center"/>
          </w:tcPr>
          <w:p w14:paraId="739E7EA8">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95DFD47">
            <w:pPr>
              <w:widowControl w:val="0"/>
              <w:jc w:val="center"/>
              <w:rPr>
                <w:sz w:val="21"/>
                <w:szCs w:val="21"/>
                <w:lang w:eastAsia="en-US"/>
              </w:rPr>
            </w:pPr>
            <w:r>
              <w:rPr>
                <w:sz w:val="21"/>
                <w:szCs w:val="21"/>
                <w:lang w:eastAsia="en-US"/>
              </w:rPr>
              <w:t>0.13%</w:t>
            </w:r>
          </w:p>
        </w:tc>
        <w:tc>
          <w:tcPr>
            <w:tcW w:w="713" w:type="dxa"/>
            <w:tcBorders>
              <w:tl2br w:val="nil"/>
              <w:tr2bl w:val="nil"/>
            </w:tcBorders>
            <w:shd w:val="clear" w:color="auto" w:fill="auto"/>
            <w:vAlign w:val="center"/>
          </w:tcPr>
          <w:p w14:paraId="14036BB2">
            <w:pPr>
              <w:widowControl/>
              <w:spacing w:line="240" w:lineRule="auto"/>
              <w:jc w:val="center"/>
              <w:rPr>
                <w:sz w:val="21"/>
                <w:szCs w:val="21"/>
                <w:lang w:eastAsia="en-US"/>
              </w:rPr>
            </w:pPr>
            <w:r>
              <w:rPr>
                <w:sz w:val="21"/>
                <w:szCs w:val="21"/>
                <w:lang w:eastAsia="en-US"/>
              </w:rPr>
              <w:t>达标</w:t>
            </w:r>
          </w:p>
        </w:tc>
      </w:tr>
      <w:tr w14:paraId="1C53212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87096AD">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F9AD63B">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9A4E620">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27F208D">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B5D14E7">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1FDE2F7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0204</w:t>
            </w:r>
          </w:p>
        </w:tc>
        <w:tc>
          <w:tcPr>
            <w:tcW w:w="1178" w:type="dxa"/>
            <w:tcBorders>
              <w:tl2br w:val="nil"/>
              <w:tr2bl w:val="nil"/>
            </w:tcBorders>
            <w:shd w:val="clear" w:color="auto" w:fill="auto"/>
            <w:vAlign w:val="center"/>
          </w:tcPr>
          <w:p w14:paraId="228138B0">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C8B7712">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D4FF081">
            <w:pPr>
              <w:widowControl w:val="0"/>
              <w:jc w:val="center"/>
              <w:rPr>
                <w:sz w:val="21"/>
                <w:szCs w:val="21"/>
                <w:lang w:eastAsia="en-US"/>
              </w:rPr>
            </w:pPr>
            <w:r>
              <w:rPr>
                <w:sz w:val="21"/>
                <w:szCs w:val="21"/>
                <w:lang w:eastAsia="en-US"/>
              </w:rPr>
              <w:t>0.02%</w:t>
            </w:r>
          </w:p>
        </w:tc>
        <w:tc>
          <w:tcPr>
            <w:tcW w:w="713" w:type="dxa"/>
            <w:tcBorders>
              <w:tl2br w:val="nil"/>
              <w:tr2bl w:val="nil"/>
            </w:tcBorders>
            <w:shd w:val="clear" w:color="auto" w:fill="auto"/>
            <w:vAlign w:val="center"/>
          </w:tcPr>
          <w:p w14:paraId="63879188">
            <w:pPr>
              <w:widowControl/>
              <w:spacing w:line="240" w:lineRule="auto"/>
              <w:jc w:val="center"/>
              <w:rPr>
                <w:sz w:val="21"/>
                <w:szCs w:val="21"/>
                <w:lang w:eastAsia="en-US"/>
              </w:rPr>
            </w:pPr>
            <w:r>
              <w:rPr>
                <w:sz w:val="21"/>
                <w:szCs w:val="21"/>
                <w:lang w:eastAsia="en-US"/>
              </w:rPr>
              <w:t>达标</w:t>
            </w:r>
          </w:p>
        </w:tc>
      </w:tr>
      <w:tr w14:paraId="57B9D6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74AE4A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B4EA3D1">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301B1D4">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4828209">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00A3FE7">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37C6553">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69AA1B40">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E3AFC49">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777F9856">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67580B8F">
            <w:pPr>
              <w:widowControl/>
              <w:spacing w:line="240" w:lineRule="auto"/>
              <w:jc w:val="center"/>
              <w:rPr>
                <w:sz w:val="21"/>
                <w:szCs w:val="21"/>
                <w:lang w:eastAsia="en-US"/>
              </w:rPr>
            </w:pPr>
            <w:r>
              <w:rPr>
                <w:sz w:val="21"/>
                <w:szCs w:val="21"/>
                <w:lang w:eastAsia="en-US"/>
              </w:rPr>
              <w:t>达标</w:t>
            </w:r>
          </w:p>
        </w:tc>
      </w:tr>
      <w:tr w14:paraId="6B1A53F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4E4F26EF">
            <w:pPr>
              <w:widowControl/>
              <w:spacing w:line="240" w:lineRule="auto"/>
              <w:jc w:val="center"/>
              <w:rPr>
                <w:sz w:val="21"/>
                <w:szCs w:val="21"/>
                <w:lang w:eastAsia="en-US"/>
              </w:rPr>
            </w:pPr>
            <w:r>
              <w:rPr>
                <w:sz w:val="21"/>
                <w:szCs w:val="21"/>
                <w:lang w:eastAsia="en-US"/>
              </w:rPr>
              <w:t>10</w:t>
            </w:r>
          </w:p>
        </w:tc>
        <w:tc>
          <w:tcPr>
            <w:tcW w:w="1141" w:type="dxa"/>
            <w:vMerge w:val="restart"/>
            <w:tcBorders>
              <w:tl2br w:val="nil"/>
              <w:tr2bl w:val="nil"/>
            </w:tcBorders>
            <w:shd w:val="clear" w:color="auto" w:fill="auto"/>
            <w:vAlign w:val="center"/>
          </w:tcPr>
          <w:p w14:paraId="735050C2">
            <w:pPr>
              <w:widowControl/>
              <w:spacing w:line="240" w:lineRule="auto"/>
              <w:jc w:val="center"/>
              <w:rPr>
                <w:sz w:val="21"/>
                <w:szCs w:val="21"/>
                <w:lang w:eastAsia="en-US"/>
              </w:rPr>
            </w:pPr>
            <w:r>
              <w:rPr>
                <w:sz w:val="21"/>
                <w:szCs w:val="21"/>
                <w:lang w:eastAsia="en-US"/>
              </w:rPr>
              <w:t>芙蓉廉租小区</w:t>
            </w:r>
          </w:p>
        </w:tc>
        <w:tc>
          <w:tcPr>
            <w:tcW w:w="734" w:type="dxa"/>
            <w:vMerge w:val="restart"/>
            <w:tcBorders>
              <w:tl2br w:val="nil"/>
              <w:tr2bl w:val="nil"/>
            </w:tcBorders>
            <w:shd w:val="clear" w:color="auto" w:fill="auto"/>
            <w:vAlign w:val="center"/>
          </w:tcPr>
          <w:p w14:paraId="70671FA4">
            <w:pPr>
              <w:widowControl/>
              <w:spacing w:line="240" w:lineRule="auto"/>
              <w:jc w:val="center"/>
              <w:rPr>
                <w:sz w:val="21"/>
                <w:szCs w:val="21"/>
                <w:lang w:eastAsia="en-US"/>
              </w:rPr>
            </w:pPr>
            <w:r>
              <w:rPr>
                <w:rFonts w:hint="eastAsia"/>
                <w:sz w:val="21"/>
                <w:szCs w:val="21"/>
                <w:lang w:eastAsia="en-US"/>
              </w:rPr>
              <w:t>1013</w:t>
            </w:r>
          </w:p>
        </w:tc>
        <w:tc>
          <w:tcPr>
            <w:tcW w:w="645" w:type="dxa"/>
            <w:vMerge w:val="restart"/>
            <w:tcBorders>
              <w:tl2br w:val="nil"/>
              <w:tr2bl w:val="nil"/>
            </w:tcBorders>
            <w:shd w:val="clear" w:color="auto" w:fill="auto"/>
            <w:vAlign w:val="center"/>
          </w:tcPr>
          <w:p w14:paraId="46CB8EC2">
            <w:pPr>
              <w:widowControl/>
              <w:spacing w:line="240" w:lineRule="auto"/>
              <w:jc w:val="center"/>
              <w:rPr>
                <w:sz w:val="21"/>
                <w:szCs w:val="21"/>
                <w:lang w:eastAsia="en-US"/>
              </w:rPr>
            </w:pPr>
            <w:r>
              <w:rPr>
                <w:rFonts w:hint="eastAsia"/>
                <w:sz w:val="21"/>
                <w:szCs w:val="21"/>
                <w:lang w:eastAsia="en-US"/>
              </w:rPr>
              <w:t>91</w:t>
            </w:r>
          </w:p>
        </w:tc>
        <w:tc>
          <w:tcPr>
            <w:tcW w:w="911" w:type="dxa"/>
            <w:tcBorders>
              <w:tl2br w:val="nil"/>
              <w:tr2bl w:val="nil"/>
            </w:tcBorders>
            <w:shd w:val="clear" w:color="auto" w:fill="auto"/>
            <w:vAlign w:val="center"/>
          </w:tcPr>
          <w:p w14:paraId="65BB883C">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0BD1675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051707</w:t>
            </w:r>
          </w:p>
        </w:tc>
        <w:tc>
          <w:tcPr>
            <w:tcW w:w="1178" w:type="dxa"/>
            <w:tcBorders>
              <w:tl2br w:val="nil"/>
              <w:tr2bl w:val="nil"/>
            </w:tcBorders>
            <w:shd w:val="clear" w:color="auto" w:fill="auto"/>
            <w:vAlign w:val="center"/>
          </w:tcPr>
          <w:p w14:paraId="5E3E218A">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58CD542D">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D70151E">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69428285">
            <w:pPr>
              <w:widowControl/>
              <w:spacing w:line="240" w:lineRule="auto"/>
              <w:jc w:val="center"/>
              <w:rPr>
                <w:sz w:val="21"/>
                <w:szCs w:val="21"/>
                <w:lang w:eastAsia="en-US"/>
              </w:rPr>
            </w:pPr>
            <w:r>
              <w:rPr>
                <w:sz w:val="21"/>
                <w:szCs w:val="21"/>
                <w:lang w:eastAsia="en-US"/>
              </w:rPr>
              <w:t>达标</w:t>
            </w:r>
          </w:p>
        </w:tc>
      </w:tr>
      <w:tr w14:paraId="640D4A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74BB414">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17A9A17">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FB221B3">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8A124B0">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5086406">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1FF6C6F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78" w:type="dxa"/>
            <w:tcBorders>
              <w:tl2br w:val="nil"/>
              <w:tr2bl w:val="nil"/>
            </w:tcBorders>
            <w:shd w:val="clear" w:color="auto" w:fill="auto"/>
            <w:vAlign w:val="center"/>
          </w:tcPr>
          <w:p w14:paraId="553B6433">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6AAC422">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499BA881">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16787088">
            <w:pPr>
              <w:widowControl/>
              <w:spacing w:line="240" w:lineRule="auto"/>
              <w:jc w:val="center"/>
              <w:rPr>
                <w:sz w:val="21"/>
                <w:szCs w:val="21"/>
                <w:lang w:eastAsia="en-US"/>
              </w:rPr>
            </w:pPr>
            <w:r>
              <w:rPr>
                <w:sz w:val="21"/>
                <w:szCs w:val="21"/>
                <w:lang w:eastAsia="en-US"/>
              </w:rPr>
              <w:t>达标</w:t>
            </w:r>
          </w:p>
        </w:tc>
      </w:tr>
      <w:tr w14:paraId="112F3F9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C239FC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D1678DD">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3AD8124">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9DE4C5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D3EE784">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413054BA">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5DDD04A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9C1150E">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3D080814">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6FE588E6">
            <w:pPr>
              <w:widowControl/>
              <w:spacing w:line="240" w:lineRule="auto"/>
              <w:jc w:val="center"/>
              <w:rPr>
                <w:sz w:val="21"/>
                <w:szCs w:val="21"/>
                <w:lang w:eastAsia="en-US"/>
              </w:rPr>
            </w:pPr>
            <w:r>
              <w:rPr>
                <w:sz w:val="21"/>
                <w:szCs w:val="21"/>
                <w:lang w:eastAsia="en-US"/>
              </w:rPr>
              <w:t>达标</w:t>
            </w:r>
          </w:p>
        </w:tc>
      </w:tr>
      <w:tr w14:paraId="3EDB05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885F88C">
            <w:pPr>
              <w:widowControl/>
              <w:spacing w:line="240" w:lineRule="auto"/>
              <w:jc w:val="center"/>
              <w:rPr>
                <w:sz w:val="21"/>
                <w:szCs w:val="21"/>
                <w:lang w:eastAsia="en-US"/>
              </w:rPr>
            </w:pPr>
            <w:r>
              <w:rPr>
                <w:sz w:val="21"/>
                <w:szCs w:val="21"/>
                <w:lang w:eastAsia="en-US"/>
              </w:rPr>
              <w:t>11</w:t>
            </w:r>
          </w:p>
        </w:tc>
        <w:tc>
          <w:tcPr>
            <w:tcW w:w="1141" w:type="dxa"/>
            <w:vMerge w:val="restart"/>
            <w:tcBorders>
              <w:tl2br w:val="nil"/>
              <w:tr2bl w:val="nil"/>
            </w:tcBorders>
            <w:shd w:val="clear" w:color="auto" w:fill="auto"/>
            <w:vAlign w:val="center"/>
          </w:tcPr>
          <w:p w14:paraId="69E1D424">
            <w:pPr>
              <w:widowControl/>
              <w:spacing w:line="240" w:lineRule="auto"/>
              <w:jc w:val="center"/>
              <w:rPr>
                <w:sz w:val="21"/>
                <w:szCs w:val="21"/>
                <w:lang w:eastAsia="en-US"/>
              </w:rPr>
            </w:pPr>
            <w:r>
              <w:rPr>
                <w:sz w:val="21"/>
                <w:szCs w:val="21"/>
                <w:lang w:eastAsia="en-US"/>
              </w:rPr>
              <w:t>易俗河镇第二中学</w:t>
            </w:r>
          </w:p>
        </w:tc>
        <w:tc>
          <w:tcPr>
            <w:tcW w:w="734" w:type="dxa"/>
            <w:vMerge w:val="restart"/>
            <w:tcBorders>
              <w:tl2br w:val="nil"/>
              <w:tr2bl w:val="nil"/>
            </w:tcBorders>
            <w:shd w:val="clear" w:color="auto" w:fill="auto"/>
            <w:vAlign w:val="center"/>
          </w:tcPr>
          <w:p w14:paraId="20753605">
            <w:pPr>
              <w:widowControl/>
              <w:spacing w:line="240" w:lineRule="auto"/>
              <w:jc w:val="center"/>
              <w:rPr>
                <w:sz w:val="21"/>
                <w:szCs w:val="21"/>
                <w:lang w:eastAsia="en-US"/>
              </w:rPr>
            </w:pPr>
            <w:r>
              <w:rPr>
                <w:rFonts w:hint="eastAsia"/>
                <w:sz w:val="21"/>
                <w:szCs w:val="21"/>
                <w:lang w:eastAsia="en-US"/>
              </w:rPr>
              <w:t>734</w:t>
            </w:r>
          </w:p>
        </w:tc>
        <w:tc>
          <w:tcPr>
            <w:tcW w:w="645" w:type="dxa"/>
            <w:vMerge w:val="restart"/>
            <w:tcBorders>
              <w:tl2br w:val="nil"/>
              <w:tr2bl w:val="nil"/>
            </w:tcBorders>
            <w:shd w:val="clear" w:color="auto" w:fill="auto"/>
            <w:vAlign w:val="center"/>
          </w:tcPr>
          <w:p w14:paraId="249EC489">
            <w:pPr>
              <w:widowControl/>
              <w:spacing w:line="240" w:lineRule="auto"/>
              <w:jc w:val="center"/>
              <w:rPr>
                <w:sz w:val="21"/>
                <w:szCs w:val="21"/>
                <w:lang w:eastAsia="en-US"/>
              </w:rPr>
            </w:pPr>
            <w:r>
              <w:rPr>
                <w:rFonts w:hint="eastAsia"/>
                <w:sz w:val="21"/>
                <w:szCs w:val="21"/>
                <w:lang w:eastAsia="en-US"/>
              </w:rPr>
              <w:t>577</w:t>
            </w:r>
          </w:p>
        </w:tc>
        <w:tc>
          <w:tcPr>
            <w:tcW w:w="911" w:type="dxa"/>
            <w:tcBorders>
              <w:tl2br w:val="nil"/>
              <w:tr2bl w:val="nil"/>
            </w:tcBorders>
            <w:shd w:val="clear" w:color="auto" w:fill="auto"/>
            <w:vAlign w:val="center"/>
          </w:tcPr>
          <w:p w14:paraId="4CDB191A">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3D6912E">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78" w:type="dxa"/>
            <w:tcBorders>
              <w:tl2br w:val="nil"/>
              <w:tr2bl w:val="nil"/>
            </w:tcBorders>
            <w:shd w:val="clear" w:color="auto" w:fill="auto"/>
            <w:vAlign w:val="center"/>
          </w:tcPr>
          <w:p w14:paraId="4732A6AC">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1D0CA022">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4D2A0D8F">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087C628B">
            <w:pPr>
              <w:widowControl/>
              <w:spacing w:line="240" w:lineRule="auto"/>
              <w:jc w:val="center"/>
              <w:rPr>
                <w:sz w:val="21"/>
                <w:szCs w:val="21"/>
                <w:lang w:eastAsia="en-US"/>
              </w:rPr>
            </w:pPr>
            <w:r>
              <w:rPr>
                <w:sz w:val="21"/>
                <w:szCs w:val="21"/>
                <w:lang w:eastAsia="en-US"/>
              </w:rPr>
              <w:t>达标</w:t>
            </w:r>
          </w:p>
        </w:tc>
      </w:tr>
      <w:tr w14:paraId="47EB690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742192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4279439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6114AA0">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86F786C">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2A0F0EF">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0239A0F5">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78" w:type="dxa"/>
            <w:tcBorders>
              <w:tl2br w:val="nil"/>
              <w:tr2bl w:val="nil"/>
            </w:tcBorders>
            <w:shd w:val="clear" w:color="auto" w:fill="auto"/>
            <w:vAlign w:val="center"/>
          </w:tcPr>
          <w:p w14:paraId="1A8CAE51">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DDF67B8">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AB31BD0">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3BBC8A89">
            <w:pPr>
              <w:widowControl/>
              <w:spacing w:line="240" w:lineRule="auto"/>
              <w:jc w:val="center"/>
              <w:rPr>
                <w:sz w:val="21"/>
                <w:szCs w:val="21"/>
                <w:lang w:eastAsia="en-US"/>
              </w:rPr>
            </w:pPr>
            <w:r>
              <w:rPr>
                <w:sz w:val="21"/>
                <w:szCs w:val="21"/>
                <w:lang w:eastAsia="en-US"/>
              </w:rPr>
              <w:t>达标</w:t>
            </w:r>
          </w:p>
        </w:tc>
      </w:tr>
      <w:tr w14:paraId="791465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A5EB974">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5E761D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A08E72F">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8338CDC">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4C5ECDF">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60E62BF0">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4D26C39A">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DDE088A">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3DECE06">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32BF0F26">
            <w:pPr>
              <w:widowControl/>
              <w:spacing w:line="240" w:lineRule="auto"/>
              <w:jc w:val="center"/>
              <w:rPr>
                <w:sz w:val="21"/>
                <w:szCs w:val="21"/>
                <w:lang w:eastAsia="en-US"/>
              </w:rPr>
            </w:pPr>
            <w:r>
              <w:rPr>
                <w:sz w:val="21"/>
                <w:szCs w:val="21"/>
                <w:lang w:eastAsia="en-US"/>
              </w:rPr>
              <w:t>达标</w:t>
            </w:r>
          </w:p>
        </w:tc>
      </w:tr>
      <w:tr w14:paraId="13DD383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49BCD237">
            <w:pPr>
              <w:widowControl/>
              <w:spacing w:line="240" w:lineRule="auto"/>
              <w:jc w:val="center"/>
              <w:rPr>
                <w:sz w:val="21"/>
                <w:szCs w:val="21"/>
                <w:lang w:eastAsia="en-US"/>
              </w:rPr>
            </w:pPr>
            <w:r>
              <w:rPr>
                <w:sz w:val="21"/>
                <w:szCs w:val="21"/>
                <w:lang w:eastAsia="en-US"/>
              </w:rPr>
              <w:t>12</w:t>
            </w:r>
          </w:p>
        </w:tc>
        <w:tc>
          <w:tcPr>
            <w:tcW w:w="1141" w:type="dxa"/>
            <w:vMerge w:val="restart"/>
            <w:tcBorders>
              <w:tl2br w:val="nil"/>
              <w:tr2bl w:val="nil"/>
            </w:tcBorders>
            <w:shd w:val="clear" w:color="auto" w:fill="auto"/>
            <w:vAlign w:val="center"/>
          </w:tcPr>
          <w:p w14:paraId="4E1E503A">
            <w:pPr>
              <w:widowControl/>
              <w:spacing w:line="240" w:lineRule="auto"/>
              <w:jc w:val="center"/>
              <w:rPr>
                <w:sz w:val="21"/>
                <w:szCs w:val="21"/>
                <w:lang w:eastAsia="en-US"/>
              </w:rPr>
            </w:pPr>
            <w:r>
              <w:rPr>
                <w:sz w:val="21"/>
                <w:szCs w:val="21"/>
                <w:lang w:eastAsia="en-US"/>
              </w:rPr>
              <w:t>天易水竹学校</w:t>
            </w:r>
          </w:p>
        </w:tc>
        <w:tc>
          <w:tcPr>
            <w:tcW w:w="734" w:type="dxa"/>
            <w:vMerge w:val="restart"/>
            <w:tcBorders>
              <w:tl2br w:val="nil"/>
              <w:tr2bl w:val="nil"/>
            </w:tcBorders>
            <w:shd w:val="clear" w:color="auto" w:fill="auto"/>
            <w:vAlign w:val="center"/>
          </w:tcPr>
          <w:p w14:paraId="7D1DE5D9">
            <w:pPr>
              <w:widowControl/>
              <w:spacing w:line="240" w:lineRule="auto"/>
              <w:jc w:val="center"/>
              <w:rPr>
                <w:sz w:val="21"/>
                <w:szCs w:val="21"/>
                <w:lang w:eastAsia="en-US"/>
              </w:rPr>
            </w:pPr>
            <w:r>
              <w:rPr>
                <w:rFonts w:hint="eastAsia"/>
                <w:sz w:val="21"/>
                <w:szCs w:val="21"/>
                <w:lang w:eastAsia="en-US"/>
              </w:rPr>
              <w:t>1155</w:t>
            </w:r>
          </w:p>
        </w:tc>
        <w:tc>
          <w:tcPr>
            <w:tcW w:w="645" w:type="dxa"/>
            <w:vMerge w:val="restart"/>
            <w:tcBorders>
              <w:tl2br w:val="nil"/>
              <w:tr2bl w:val="nil"/>
            </w:tcBorders>
            <w:shd w:val="clear" w:color="auto" w:fill="auto"/>
            <w:vAlign w:val="center"/>
          </w:tcPr>
          <w:p w14:paraId="4825E391">
            <w:pPr>
              <w:widowControl/>
              <w:spacing w:line="240" w:lineRule="auto"/>
              <w:jc w:val="center"/>
              <w:rPr>
                <w:sz w:val="21"/>
                <w:szCs w:val="21"/>
                <w:lang w:eastAsia="en-US"/>
              </w:rPr>
            </w:pPr>
            <w:r>
              <w:rPr>
                <w:rFonts w:hint="eastAsia"/>
                <w:sz w:val="21"/>
                <w:szCs w:val="21"/>
                <w:lang w:eastAsia="en-US"/>
              </w:rPr>
              <w:t>758</w:t>
            </w:r>
          </w:p>
        </w:tc>
        <w:tc>
          <w:tcPr>
            <w:tcW w:w="911" w:type="dxa"/>
            <w:tcBorders>
              <w:tl2br w:val="nil"/>
              <w:tr2bl w:val="nil"/>
            </w:tcBorders>
            <w:shd w:val="clear" w:color="auto" w:fill="auto"/>
            <w:vAlign w:val="center"/>
          </w:tcPr>
          <w:p w14:paraId="23B7BFD1">
            <w:pPr>
              <w:widowControl/>
              <w:spacing w:line="240" w:lineRule="auto"/>
              <w:jc w:val="center"/>
              <w:rPr>
                <w:sz w:val="21"/>
                <w:szCs w:val="21"/>
                <w:lang w:eastAsia="en-US"/>
              </w:rPr>
            </w:pPr>
            <w:r>
              <w:rPr>
                <w:sz w:val="21"/>
                <w:szCs w:val="21"/>
                <w:lang w:eastAsia="en-US"/>
              </w:rPr>
              <w:t>1 小时</w:t>
            </w:r>
          </w:p>
        </w:tc>
        <w:tc>
          <w:tcPr>
            <w:tcW w:w="1065" w:type="dxa"/>
            <w:tcBorders>
              <w:tl2br w:val="nil"/>
              <w:tr2bl w:val="nil"/>
            </w:tcBorders>
            <w:shd w:val="clear" w:color="auto" w:fill="auto"/>
            <w:vAlign w:val="center"/>
          </w:tcPr>
          <w:p w14:paraId="2CF4FB0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051719</w:t>
            </w:r>
          </w:p>
        </w:tc>
        <w:tc>
          <w:tcPr>
            <w:tcW w:w="1178" w:type="dxa"/>
            <w:tcBorders>
              <w:tl2br w:val="nil"/>
              <w:tr2bl w:val="nil"/>
            </w:tcBorders>
            <w:shd w:val="clear" w:color="auto" w:fill="auto"/>
            <w:vAlign w:val="center"/>
          </w:tcPr>
          <w:p w14:paraId="377C417A">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5CAED2DB">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43FA593D">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4A8586E4">
            <w:pPr>
              <w:widowControl/>
              <w:spacing w:line="240" w:lineRule="auto"/>
              <w:jc w:val="center"/>
              <w:rPr>
                <w:sz w:val="21"/>
                <w:szCs w:val="21"/>
                <w:lang w:eastAsia="en-US"/>
              </w:rPr>
            </w:pPr>
            <w:r>
              <w:rPr>
                <w:sz w:val="21"/>
                <w:szCs w:val="21"/>
                <w:lang w:eastAsia="en-US"/>
              </w:rPr>
              <w:t>达标</w:t>
            </w:r>
          </w:p>
        </w:tc>
      </w:tr>
      <w:tr w14:paraId="2E54B40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5BAF65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C234A32">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AC169EE">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8D45B3A">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3927557">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4422958C">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78" w:type="dxa"/>
            <w:tcBorders>
              <w:tl2br w:val="nil"/>
              <w:tr2bl w:val="nil"/>
            </w:tcBorders>
            <w:shd w:val="clear" w:color="auto" w:fill="auto"/>
            <w:vAlign w:val="center"/>
          </w:tcPr>
          <w:p w14:paraId="6FB22E7B">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DA397C0">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3C121B1E">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6FC9BACD">
            <w:pPr>
              <w:widowControl/>
              <w:spacing w:line="240" w:lineRule="auto"/>
              <w:jc w:val="center"/>
              <w:rPr>
                <w:sz w:val="21"/>
                <w:szCs w:val="21"/>
                <w:lang w:eastAsia="en-US"/>
              </w:rPr>
            </w:pPr>
            <w:r>
              <w:rPr>
                <w:sz w:val="21"/>
                <w:szCs w:val="21"/>
                <w:lang w:eastAsia="en-US"/>
              </w:rPr>
              <w:t>达标</w:t>
            </w:r>
          </w:p>
        </w:tc>
      </w:tr>
      <w:tr w14:paraId="163B203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8F4172F">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423E0E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7152280">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C33EE8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8C6CADE">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16165D82">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2A692B4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69A8042">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2C1E0A9A">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572DEA47">
            <w:pPr>
              <w:widowControl/>
              <w:spacing w:line="240" w:lineRule="auto"/>
              <w:jc w:val="center"/>
              <w:rPr>
                <w:sz w:val="21"/>
                <w:szCs w:val="21"/>
                <w:lang w:eastAsia="en-US"/>
              </w:rPr>
            </w:pPr>
            <w:r>
              <w:rPr>
                <w:sz w:val="21"/>
                <w:szCs w:val="21"/>
                <w:lang w:eastAsia="en-US"/>
              </w:rPr>
              <w:t>达标</w:t>
            </w:r>
          </w:p>
        </w:tc>
      </w:tr>
      <w:tr w14:paraId="3B8D64F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51F4E368">
            <w:pPr>
              <w:widowControl/>
              <w:spacing w:line="240" w:lineRule="auto"/>
              <w:jc w:val="center"/>
              <w:rPr>
                <w:sz w:val="21"/>
                <w:szCs w:val="21"/>
                <w:lang w:eastAsia="en-US"/>
              </w:rPr>
            </w:pPr>
            <w:r>
              <w:rPr>
                <w:sz w:val="21"/>
                <w:szCs w:val="21"/>
                <w:lang w:eastAsia="en-US"/>
              </w:rPr>
              <w:t>13</w:t>
            </w:r>
          </w:p>
        </w:tc>
        <w:tc>
          <w:tcPr>
            <w:tcW w:w="1141" w:type="dxa"/>
            <w:vMerge w:val="restart"/>
            <w:tcBorders>
              <w:tl2br w:val="nil"/>
              <w:tr2bl w:val="nil"/>
            </w:tcBorders>
            <w:shd w:val="clear" w:color="auto" w:fill="auto"/>
            <w:vAlign w:val="center"/>
          </w:tcPr>
          <w:p w14:paraId="3F6228C8">
            <w:pPr>
              <w:widowControl/>
              <w:spacing w:line="240" w:lineRule="auto"/>
              <w:jc w:val="center"/>
              <w:rPr>
                <w:sz w:val="21"/>
                <w:szCs w:val="21"/>
                <w:lang w:eastAsia="en-US"/>
              </w:rPr>
            </w:pPr>
            <w:r>
              <w:rPr>
                <w:sz w:val="21"/>
                <w:szCs w:val="21"/>
                <w:lang w:eastAsia="en-US"/>
              </w:rPr>
              <w:t>水竹安置区</w:t>
            </w:r>
          </w:p>
        </w:tc>
        <w:tc>
          <w:tcPr>
            <w:tcW w:w="734" w:type="dxa"/>
            <w:vMerge w:val="restart"/>
            <w:tcBorders>
              <w:tl2br w:val="nil"/>
              <w:tr2bl w:val="nil"/>
            </w:tcBorders>
            <w:shd w:val="clear" w:color="auto" w:fill="auto"/>
            <w:vAlign w:val="center"/>
          </w:tcPr>
          <w:p w14:paraId="1CDDD34C">
            <w:pPr>
              <w:widowControl/>
              <w:spacing w:line="240" w:lineRule="auto"/>
              <w:jc w:val="center"/>
              <w:rPr>
                <w:sz w:val="21"/>
                <w:szCs w:val="21"/>
                <w:lang w:eastAsia="en-US"/>
              </w:rPr>
            </w:pPr>
            <w:r>
              <w:rPr>
                <w:rFonts w:hint="eastAsia"/>
                <w:sz w:val="21"/>
                <w:szCs w:val="21"/>
                <w:lang w:eastAsia="en-US"/>
              </w:rPr>
              <w:t>752</w:t>
            </w:r>
          </w:p>
        </w:tc>
        <w:tc>
          <w:tcPr>
            <w:tcW w:w="645" w:type="dxa"/>
            <w:vMerge w:val="restart"/>
            <w:tcBorders>
              <w:tl2br w:val="nil"/>
              <w:tr2bl w:val="nil"/>
            </w:tcBorders>
            <w:shd w:val="clear" w:color="auto" w:fill="auto"/>
            <w:vAlign w:val="center"/>
          </w:tcPr>
          <w:p w14:paraId="388C97A6">
            <w:pPr>
              <w:widowControl/>
              <w:spacing w:line="240" w:lineRule="auto"/>
              <w:jc w:val="center"/>
              <w:rPr>
                <w:sz w:val="21"/>
                <w:szCs w:val="21"/>
                <w:lang w:eastAsia="en-US"/>
              </w:rPr>
            </w:pPr>
            <w:r>
              <w:rPr>
                <w:rFonts w:hint="eastAsia"/>
                <w:sz w:val="21"/>
                <w:szCs w:val="21"/>
                <w:lang w:eastAsia="en-US"/>
              </w:rPr>
              <w:t>233</w:t>
            </w:r>
          </w:p>
        </w:tc>
        <w:tc>
          <w:tcPr>
            <w:tcW w:w="911" w:type="dxa"/>
            <w:tcBorders>
              <w:tl2br w:val="nil"/>
              <w:tr2bl w:val="nil"/>
            </w:tcBorders>
            <w:shd w:val="clear" w:color="auto" w:fill="auto"/>
            <w:vAlign w:val="center"/>
          </w:tcPr>
          <w:p w14:paraId="53984D90">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224C13AF">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061819</w:t>
            </w:r>
          </w:p>
        </w:tc>
        <w:tc>
          <w:tcPr>
            <w:tcW w:w="1178" w:type="dxa"/>
            <w:tcBorders>
              <w:tl2br w:val="nil"/>
              <w:tr2bl w:val="nil"/>
            </w:tcBorders>
            <w:shd w:val="clear" w:color="auto" w:fill="auto"/>
            <w:vAlign w:val="center"/>
          </w:tcPr>
          <w:p w14:paraId="2D0E906C">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38C8D29F">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7140717">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7F39705B">
            <w:pPr>
              <w:widowControl/>
              <w:spacing w:line="240" w:lineRule="auto"/>
              <w:jc w:val="center"/>
              <w:rPr>
                <w:sz w:val="21"/>
                <w:szCs w:val="21"/>
                <w:lang w:eastAsia="en-US"/>
              </w:rPr>
            </w:pPr>
            <w:r>
              <w:rPr>
                <w:sz w:val="21"/>
                <w:szCs w:val="21"/>
                <w:lang w:eastAsia="en-US"/>
              </w:rPr>
              <w:t>达标</w:t>
            </w:r>
          </w:p>
        </w:tc>
      </w:tr>
      <w:tr w14:paraId="45CC63F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A3453DE">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1F9BCC2">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77426B7">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257C920">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69A1A72">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6A15EFD">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w:t>
            </w:r>
          </w:p>
        </w:tc>
        <w:tc>
          <w:tcPr>
            <w:tcW w:w="1178" w:type="dxa"/>
            <w:tcBorders>
              <w:tl2br w:val="nil"/>
              <w:tr2bl w:val="nil"/>
            </w:tcBorders>
            <w:shd w:val="clear" w:color="auto" w:fill="auto"/>
            <w:vAlign w:val="center"/>
          </w:tcPr>
          <w:p w14:paraId="347700D1">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9A9E18A">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775178BA">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23C72346">
            <w:pPr>
              <w:widowControl/>
              <w:spacing w:line="240" w:lineRule="auto"/>
              <w:jc w:val="center"/>
              <w:rPr>
                <w:sz w:val="21"/>
                <w:szCs w:val="21"/>
                <w:lang w:eastAsia="en-US"/>
              </w:rPr>
            </w:pPr>
            <w:r>
              <w:rPr>
                <w:sz w:val="21"/>
                <w:szCs w:val="21"/>
                <w:lang w:eastAsia="en-US"/>
              </w:rPr>
              <w:t>达标</w:t>
            </w:r>
          </w:p>
        </w:tc>
      </w:tr>
      <w:tr w14:paraId="5D27B26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1FA3E53">
            <w:pPr>
              <w:widowControl/>
              <w:spacing w:line="240" w:lineRule="auto"/>
              <w:jc w:val="center"/>
              <w:rPr>
                <w:sz w:val="21"/>
                <w:szCs w:val="21"/>
                <w:u w:val="single"/>
                <w:lang w:eastAsia="en-US"/>
              </w:rPr>
            </w:pPr>
          </w:p>
        </w:tc>
        <w:tc>
          <w:tcPr>
            <w:tcW w:w="1141" w:type="dxa"/>
            <w:vMerge w:val="continue"/>
            <w:tcBorders>
              <w:tl2br w:val="nil"/>
              <w:tr2bl w:val="nil"/>
            </w:tcBorders>
            <w:shd w:val="clear" w:color="auto" w:fill="auto"/>
            <w:vAlign w:val="center"/>
          </w:tcPr>
          <w:p w14:paraId="440E60B6">
            <w:pPr>
              <w:widowControl/>
              <w:spacing w:line="240" w:lineRule="auto"/>
              <w:jc w:val="center"/>
              <w:rPr>
                <w:sz w:val="21"/>
                <w:szCs w:val="21"/>
                <w:u w:val="single"/>
                <w:lang w:eastAsia="en-US"/>
              </w:rPr>
            </w:pPr>
          </w:p>
        </w:tc>
        <w:tc>
          <w:tcPr>
            <w:tcW w:w="734" w:type="dxa"/>
            <w:vMerge w:val="continue"/>
            <w:tcBorders>
              <w:tl2br w:val="nil"/>
              <w:tr2bl w:val="nil"/>
            </w:tcBorders>
            <w:shd w:val="clear" w:color="auto" w:fill="auto"/>
            <w:vAlign w:val="center"/>
          </w:tcPr>
          <w:p w14:paraId="2FD7A5FA">
            <w:pPr>
              <w:widowControl/>
              <w:spacing w:line="240" w:lineRule="auto"/>
              <w:jc w:val="center"/>
              <w:rPr>
                <w:sz w:val="21"/>
                <w:szCs w:val="21"/>
                <w:u w:val="single"/>
                <w:lang w:eastAsia="en-US"/>
              </w:rPr>
            </w:pPr>
          </w:p>
        </w:tc>
        <w:tc>
          <w:tcPr>
            <w:tcW w:w="645" w:type="dxa"/>
            <w:vMerge w:val="continue"/>
            <w:tcBorders>
              <w:tl2br w:val="nil"/>
              <w:tr2bl w:val="nil"/>
            </w:tcBorders>
            <w:shd w:val="clear" w:color="auto" w:fill="auto"/>
            <w:vAlign w:val="center"/>
          </w:tcPr>
          <w:p w14:paraId="07BEAAF8">
            <w:pPr>
              <w:widowControl/>
              <w:spacing w:line="240" w:lineRule="auto"/>
              <w:jc w:val="center"/>
              <w:rPr>
                <w:sz w:val="21"/>
                <w:szCs w:val="21"/>
                <w:u w:val="single"/>
                <w:lang w:eastAsia="en-US"/>
              </w:rPr>
            </w:pPr>
          </w:p>
        </w:tc>
        <w:tc>
          <w:tcPr>
            <w:tcW w:w="911" w:type="dxa"/>
            <w:tcBorders>
              <w:tl2br w:val="nil"/>
              <w:tr2bl w:val="nil"/>
            </w:tcBorders>
            <w:shd w:val="clear" w:color="auto" w:fill="auto"/>
            <w:vAlign w:val="center"/>
          </w:tcPr>
          <w:p w14:paraId="48063C58">
            <w:pPr>
              <w:widowControl/>
              <w:spacing w:line="240" w:lineRule="auto"/>
              <w:jc w:val="center"/>
              <w:rPr>
                <w:sz w:val="21"/>
                <w:szCs w:val="21"/>
                <w:u w:val="single"/>
                <w:lang w:eastAsia="en-US"/>
              </w:rPr>
            </w:pPr>
            <w:r>
              <w:rPr>
                <w:sz w:val="21"/>
                <w:szCs w:val="21"/>
                <w:u w:val="single"/>
                <w:lang w:eastAsia="en-US"/>
              </w:rPr>
              <w:t>年平均</w:t>
            </w:r>
          </w:p>
        </w:tc>
        <w:tc>
          <w:tcPr>
            <w:tcW w:w="1065" w:type="dxa"/>
            <w:tcBorders>
              <w:tl2br w:val="nil"/>
              <w:tr2bl w:val="nil"/>
            </w:tcBorders>
            <w:shd w:val="clear" w:color="auto" w:fill="auto"/>
            <w:vAlign w:val="center"/>
          </w:tcPr>
          <w:p w14:paraId="5CF4E081">
            <w:pPr>
              <w:widowControl/>
              <w:spacing w:line="240" w:lineRule="auto"/>
              <w:jc w:val="center"/>
              <w:rPr>
                <w:sz w:val="21"/>
                <w:szCs w:val="21"/>
                <w:u w:val="single"/>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1A6C36A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634756D">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6832C6ED">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19FD2C62">
            <w:pPr>
              <w:widowControl/>
              <w:spacing w:line="240" w:lineRule="auto"/>
              <w:jc w:val="center"/>
              <w:rPr>
                <w:sz w:val="21"/>
                <w:szCs w:val="21"/>
                <w:u w:val="single"/>
                <w:lang w:eastAsia="en-US"/>
              </w:rPr>
            </w:pPr>
            <w:r>
              <w:rPr>
                <w:sz w:val="21"/>
                <w:szCs w:val="21"/>
                <w:u w:val="single"/>
                <w:lang w:eastAsia="en-US"/>
              </w:rPr>
              <w:t>达标</w:t>
            </w:r>
          </w:p>
        </w:tc>
      </w:tr>
      <w:tr w14:paraId="402D723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10BB524A">
            <w:pPr>
              <w:widowControl/>
              <w:spacing w:line="240" w:lineRule="auto"/>
              <w:jc w:val="center"/>
              <w:rPr>
                <w:sz w:val="21"/>
                <w:szCs w:val="21"/>
                <w:lang w:eastAsia="en-US"/>
              </w:rPr>
            </w:pPr>
            <w:r>
              <w:rPr>
                <w:rFonts w:hint="eastAsia"/>
                <w:sz w:val="21"/>
                <w:szCs w:val="21"/>
                <w:lang w:eastAsia="en-US"/>
              </w:rPr>
              <w:t>14</w:t>
            </w:r>
          </w:p>
        </w:tc>
        <w:tc>
          <w:tcPr>
            <w:tcW w:w="1141" w:type="dxa"/>
            <w:vMerge w:val="restart"/>
            <w:tcBorders>
              <w:tl2br w:val="nil"/>
              <w:tr2bl w:val="nil"/>
            </w:tcBorders>
            <w:shd w:val="clear" w:color="auto" w:fill="auto"/>
            <w:vAlign w:val="center"/>
          </w:tcPr>
          <w:p w14:paraId="2DA5D7A2">
            <w:pPr>
              <w:widowControl/>
              <w:spacing w:line="240" w:lineRule="auto"/>
              <w:jc w:val="center"/>
              <w:rPr>
                <w:sz w:val="21"/>
                <w:szCs w:val="21"/>
                <w:lang w:eastAsia="en-US"/>
              </w:rPr>
            </w:pPr>
            <w:r>
              <w:rPr>
                <w:sz w:val="21"/>
                <w:szCs w:val="21"/>
                <w:lang w:eastAsia="en-US"/>
              </w:rPr>
              <w:t>湘潭县行政学校</w:t>
            </w:r>
          </w:p>
        </w:tc>
        <w:tc>
          <w:tcPr>
            <w:tcW w:w="734" w:type="dxa"/>
            <w:vMerge w:val="restart"/>
            <w:tcBorders>
              <w:tl2br w:val="nil"/>
              <w:tr2bl w:val="nil"/>
            </w:tcBorders>
            <w:shd w:val="clear" w:color="auto" w:fill="auto"/>
            <w:vAlign w:val="center"/>
          </w:tcPr>
          <w:p w14:paraId="338C8B4F">
            <w:pPr>
              <w:widowControl/>
              <w:spacing w:line="240" w:lineRule="auto"/>
              <w:jc w:val="center"/>
              <w:rPr>
                <w:sz w:val="21"/>
                <w:szCs w:val="21"/>
                <w:lang w:eastAsia="en-US"/>
              </w:rPr>
            </w:pPr>
            <w:r>
              <w:rPr>
                <w:rFonts w:hint="eastAsia"/>
                <w:sz w:val="21"/>
                <w:szCs w:val="21"/>
                <w:lang w:eastAsia="en-US"/>
              </w:rPr>
              <w:t>705</w:t>
            </w:r>
          </w:p>
        </w:tc>
        <w:tc>
          <w:tcPr>
            <w:tcW w:w="645" w:type="dxa"/>
            <w:vMerge w:val="restart"/>
            <w:tcBorders>
              <w:tl2br w:val="nil"/>
              <w:tr2bl w:val="nil"/>
            </w:tcBorders>
            <w:shd w:val="clear" w:color="auto" w:fill="auto"/>
            <w:vAlign w:val="center"/>
          </w:tcPr>
          <w:p w14:paraId="34152919">
            <w:pPr>
              <w:widowControl/>
              <w:spacing w:line="240" w:lineRule="auto"/>
              <w:jc w:val="center"/>
              <w:rPr>
                <w:sz w:val="21"/>
                <w:szCs w:val="21"/>
                <w:lang w:eastAsia="en-US"/>
              </w:rPr>
            </w:pPr>
            <w:r>
              <w:rPr>
                <w:rFonts w:hint="eastAsia"/>
                <w:sz w:val="21"/>
                <w:szCs w:val="21"/>
                <w:lang w:eastAsia="en-US"/>
              </w:rPr>
              <w:t>758</w:t>
            </w:r>
          </w:p>
        </w:tc>
        <w:tc>
          <w:tcPr>
            <w:tcW w:w="911" w:type="dxa"/>
            <w:tcBorders>
              <w:tl2br w:val="nil"/>
              <w:tr2bl w:val="nil"/>
            </w:tcBorders>
            <w:shd w:val="clear" w:color="auto" w:fill="auto"/>
            <w:vAlign w:val="center"/>
          </w:tcPr>
          <w:p w14:paraId="59266F62">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032D6A8E">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78" w:type="dxa"/>
            <w:tcBorders>
              <w:tl2br w:val="nil"/>
              <w:tr2bl w:val="nil"/>
            </w:tcBorders>
            <w:shd w:val="clear" w:color="auto" w:fill="auto"/>
            <w:vAlign w:val="center"/>
          </w:tcPr>
          <w:p w14:paraId="344E0C60">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7FB0240C">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05CCAAF">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54F50125">
            <w:pPr>
              <w:widowControl/>
              <w:spacing w:line="240" w:lineRule="auto"/>
              <w:jc w:val="center"/>
              <w:rPr>
                <w:sz w:val="21"/>
                <w:szCs w:val="21"/>
                <w:lang w:eastAsia="en-US"/>
              </w:rPr>
            </w:pPr>
            <w:r>
              <w:rPr>
                <w:sz w:val="21"/>
                <w:szCs w:val="21"/>
                <w:lang w:eastAsia="en-US"/>
              </w:rPr>
              <w:t>达标</w:t>
            </w:r>
          </w:p>
        </w:tc>
      </w:tr>
      <w:tr w14:paraId="7D93E39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D456D4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4D6DD7E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4B0934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785EA68">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F4387D1">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42CE231E">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0530</w:t>
            </w:r>
          </w:p>
        </w:tc>
        <w:tc>
          <w:tcPr>
            <w:tcW w:w="1178" w:type="dxa"/>
            <w:tcBorders>
              <w:tl2br w:val="nil"/>
              <w:tr2bl w:val="nil"/>
            </w:tcBorders>
            <w:shd w:val="clear" w:color="auto" w:fill="auto"/>
            <w:vAlign w:val="center"/>
          </w:tcPr>
          <w:p w14:paraId="1F0F7868">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638002B">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420A9C02">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75AB37E7">
            <w:pPr>
              <w:widowControl/>
              <w:spacing w:line="240" w:lineRule="auto"/>
              <w:jc w:val="center"/>
              <w:rPr>
                <w:sz w:val="21"/>
                <w:szCs w:val="21"/>
                <w:lang w:eastAsia="en-US"/>
              </w:rPr>
            </w:pPr>
            <w:r>
              <w:rPr>
                <w:sz w:val="21"/>
                <w:szCs w:val="21"/>
                <w:lang w:eastAsia="en-US"/>
              </w:rPr>
              <w:t>达标</w:t>
            </w:r>
          </w:p>
        </w:tc>
      </w:tr>
      <w:tr w14:paraId="62044D8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AF92BF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66DBDBD">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9ACF54C">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7FD6C89">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77D8552">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F20F292">
            <w:pPr>
              <w:widowControl/>
              <w:spacing w:line="240" w:lineRule="auto"/>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0B54ABF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35A6FAC">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3B05992A">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27CCFC7D">
            <w:pPr>
              <w:widowControl/>
              <w:spacing w:line="240" w:lineRule="auto"/>
              <w:jc w:val="center"/>
              <w:rPr>
                <w:sz w:val="21"/>
                <w:szCs w:val="21"/>
                <w:lang w:eastAsia="en-US"/>
              </w:rPr>
            </w:pPr>
            <w:r>
              <w:rPr>
                <w:sz w:val="21"/>
                <w:szCs w:val="21"/>
                <w:lang w:eastAsia="en-US"/>
              </w:rPr>
              <w:t>达标</w:t>
            </w:r>
          </w:p>
        </w:tc>
      </w:tr>
      <w:tr w14:paraId="1ADAE3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2C3EFB67">
            <w:pPr>
              <w:widowControl/>
              <w:spacing w:line="240" w:lineRule="auto"/>
              <w:jc w:val="center"/>
              <w:rPr>
                <w:sz w:val="21"/>
                <w:szCs w:val="21"/>
                <w:lang w:eastAsia="en-US"/>
              </w:rPr>
            </w:pPr>
            <w:r>
              <w:rPr>
                <w:rFonts w:hint="eastAsia"/>
                <w:sz w:val="21"/>
                <w:szCs w:val="21"/>
                <w:lang w:eastAsia="en-US"/>
              </w:rPr>
              <w:t>15</w:t>
            </w:r>
          </w:p>
        </w:tc>
        <w:tc>
          <w:tcPr>
            <w:tcW w:w="1141" w:type="dxa"/>
            <w:vMerge w:val="restart"/>
            <w:tcBorders>
              <w:tl2br w:val="nil"/>
              <w:tr2bl w:val="nil"/>
            </w:tcBorders>
            <w:shd w:val="clear" w:color="auto" w:fill="auto"/>
            <w:vAlign w:val="center"/>
          </w:tcPr>
          <w:p w14:paraId="0A9AC67B">
            <w:pPr>
              <w:widowControl/>
              <w:spacing w:line="240" w:lineRule="auto"/>
              <w:jc w:val="center"/>
              <w:rPr>
                <w:sz w:val="21"/>
                <w:szCs w:val="21"/>
                <w:lang w:eastAsia="en-US"/>
              </w:rPr>
            </w:pPr>
            <w:r>
              <w:rPr>
                <w:sz w:val="21"/>
                <w:szCs w:val="21"/>
                <w:lang w:eastAsia="en-US"/>
              </w:rPr>
              <w:t>湘潭县公安局</w:t>
            </w:r>
          </w:p>
        </w:tc>
        <w:tc>
          <w:tcPr>
            <w:tcW w:w="734" w:type="dxa"/>
            <w:vMerge w:val="restart"/>
            <w:tcBorders>
              <w:tl2br w:val="nil"/>
              <w:tr2bl w:val="nil"/>
            </w:tcBorders>
            <w:shd w:val="clear" w:color="auto" w:fill="auto"/>
            <w:vAlign w:val="center"/>
          </w:tcPr>
          <w:p w14:paraId="78EBD4E3">
            <w:pPr>
              <w:widowControl/>
              <w:spacing w:line="240" w:lineRule="auto"/>
              <w:jc w:val="center"/>
              <w:rPr>
                <w:sz w:val="21"/>
                <w:szCs w:val="21"/>
                <w:lang w:eastAsia="en-US"/>
              </w:rPr>
            </w:pPr>
            <w:r>
              <w:rPr>
                <w:rFonts w:hint="eastAsia"/>
                <w:sz w:val="21"/>
                <w:szCs w:val="21"/>
                <w:lang w:eastAsia="en-US"/>
              </w:rPr>
              <w:t>1104</w:t>
            </w:r>
          </w:p>
        </w:tc>
        <w:tc>
          <w:tcPr>
            <w:tcW w:w="645" w:type="dxa"/>
            <w:vMerge w:val="restart"/>
            <w:tcBorders>
              <w:tl2br w:val="nil"/>
              <w:tr2bl w:val="nil"/>
            </w:tcBorders>
            <w:shd w:val="clear" w:color="auto" w:fill="auto"/>
            <w:vAlign w:val="center"/>
          </w:tcPr>
          <w:p w14:paraId="128AF4E8">
            <w:pPr>
              <w:widowControl/>
              <w:spacing w:line="240" w:lineRule="auto"/>
              <w:jc w:val="center"/>
              <w:rPr>
                <w:sz w:val="21"/>
                <w:szCs w:val="21"/>
                <w:lang w:eastAsia="en-US"/>
              </w:rPr>
            </w:pPr>
            <w:r>
              <w:rPr>
                <w:rFonts w:hint="eastAsia"/>
                <w:sz w:val="21"/>
                <w:szCs w:val="21"/>
                <w:lang w:eastAsia="en-US"/>
              </w:rPr>
              <w:t>910</w:t>
            </w:r>
          </w:p>
        </w:tc>
        <w:tc>
          <w:tcPr>
            <w:tcW w:w="911" w:type="dxa"/>
            <w:tcBorders>
              <w:tl2br w:val="nil"/>
              <w:tr2bl w:val="nil"/>
            </w:tcBorders>
            <w:shd w:val="clear" w:color="auto" w:fill="auto"/>
            <w:vAlign w:val="center"/>
          </w:tcPr>
          <w:p w14:paraId="2773E507">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345A16D7">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78" w:type="dxa"/>
            <w:tcBorders>
              <w:tl2br w:val="nil"/>
              <w:tr2bl w:val="nil"/>
            </w:tcBorders>
            <w:shd w:val="clear" w:color="auto" w:fill="auto"/>
            <w:vAlign w:val="center"/>
          </w:tcPr>
          <w:p w14:paraId="0906B53E">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7B7FA009">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5FE1F2CE">
            <w:pPr>
              <w:widowControl w:val="0"/>
              <w:jc w:val="center"/>
              <w:rPr>
                <w:sz w:val="21"/>
                <w:szCs w:val="21"/>
                <w:lang w:eastAsia="en-US"/>
              </w:rPr>
            </w:pPr>
            <w:r>
              <w:rPr>
                <w:sz w:val="21"/>
                <w:szCs w:val="21"/>
                <w:lang w:eastAsia="en-US"/>
              </w:rPr>
              <w:t>0.02%</w:t>
            </w:r>
          </w:p>
        </w:tc>
        <w:tc>
          <w:tcPr>
            <w:tcW w:w="713" w:type="dxa"/>
            <w:tcBorders>
              <w:tl2br w:val="nil"/>
              <w:tr2bl w:val="nil"/>
            </w:tcBorders>
            <w:shd w:val="clear" w:color="auto" w:fill="auto"/>
            <w:vAlign w:val="center"/>
          </w:tcPr>
          <w:p w14:paraId="151C7685">
            <w:pPr>
              <w:widowControl/>
              <w:spacing w:line="240" w:lineRule="auto"/>
              <w:jc w:val="center"/>
              <w:rPr>
                <w:sz w:val="21"/>
                <w:szCs w:val="21"/>
                <w:lang w:eastAsia="en-US"/>
              </w:rPr>
            </w:pPr>
            <w:r>
              <w:rPr>
                <w:sz w:val="21"/>
                <w:szCs w:val="21"/>
                <w:lang w:eastAsia="en-US"/>
              </w:rPr>
              <w:t>达标</w:t>
            </w:r>
          </w:p>
        </w:tc>
      </w:tr>
      <w:tr w14:paraId="235E4DA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6CCEF9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7C3808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DCA4941">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DD746C2">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21C4623">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CEB661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w:t>
            </w:r>
          </w:p>
        </w:tc>
        <w:tc>
          <w:tcPr>
            <w:tcW w:w="1178" w:type="dxa"/>
            <w:tcBorders>
              <w:tl2br w:val="nil"/>
              <w:tr2bl w:val="nil"/>
            </w:tcBorders>
            <w:shd w:val="clear" w:color="auto" w:fill="auto"/>
            <w:vAlign w:val="center"/>
          </w:tcPr>
          <w:p w14:paraId="6E0A2073">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F816E29">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75D02574">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0DD08392">
            <w:pPr>
              <w:widowControl/>
              <w:spacing w:line="240" w:lineRule="auto"/>
              <w:jc w:val="center"/>
              <w:rPr>
                <w:sz w:val="21"/>
                <w:szCs w:val="21"/>
                <w:lang w:eastAsia="en-US"/>
              </w:rPr>
            </w:pPr>
            <w:r>
              <w:rPr>
                <w:sz w:val="21"/>
                <w:szCs w:val="21"/>
                <w:lang w:eastAsia="en-US"/>
              </w:rPr>
              <w:t>达标</w:t>
            </w:r>
          </w:p>
        </w:tc>
      </w:tr>
      <w:tr w14:paraId="0861E23A">
        <w:tblPrEx>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7950B9F">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4ED606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AC26043">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35EFE6F">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D3B2BAA">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6A80A22">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0999670D">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23C8DDB">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EB8AB2E">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160CD6C4">
            <w:pPr>
              <w:widowControl/>
              <w:spacing w:line="240" w:lineRule="auto"/>
              <w:jc w:val="center"/>
              <w:rPr>
                <w:sz w:val="21"/>
                <w:szCs w:val="21"/>
                <w:lang w:eastAsia="en-US"/>
              </w:rPr>
            </w:pPr>
            <w:r>
              <w:rPr>
                <w:sz w:val="21"/>
                <w:szCs w:val="21"/>
                <w:lang w:eastAsia="en-US"/>
              </w:rPr>
              <w:t>达标</w:t>
            </w:r>
          </w:p>
        </w:tc>
      </w:tr>
      <w:tr w14:paraId="0C5A562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09CB54B">
            <w:pPr>
              <w:widowControl/>
              <w:spacing w:line="240" w:lineRule="auto"/>
              <w:jc w:val="center"/>
              <w:rPr>
                <w:sz w:val="21"/>
                <w:szCs w:val="21"/>
                <w:lang w:eastAsia="en-US"/>
              </w:rPr>
            </w:pPr>
            <w:r>
              <w:rPr>
                <w:rFonts w:hint="eastAsia"/>
                <w:sz w:val="21"/>
                <w:szCs w:val="21"/>
                <w:lang w:eastAsia="en-US"/>
              </w:rPr>
              <w:t>16</w:t>
            </w:r>
          </w:p>
        </w:tc>
        <w:tc>
          <w:tcPr>
            <w:tcW w:w="1141" w:type="dxa"/>
            <w:vMerge w:val="restart"/>
            <w:tcBorders>
              <w:tl2br w:val="nil"/>
              <w:tr2bl w:val="nil"/>
            </w:tcBorders>
            <w:shd w:val="clear" w:color="auto" w:fill="auto"/>
            <w:vAlign w:val="center"/>
          </w:tcPr>
          <w:p w14:paraId="43137145">
            <w:pPr>
              <w:widowControl/>
              <w:spacing w:line="240" w:lineRule="auto"/>
              <w:jc w:val="center"/>
              <w:rPr>
                <w:sz w:val="21"/>
                <w:szCs w:val="21"/>
                <w:lang w:eastAsia="en-US"/>
              </w:rPr>
            </w:pPr>
            <w:r>
              <w:rPr>
                <w:sz w:val="21"/>
                <w:szCs w:val="21"/>
                <w:lang w:eastAsia="en-US"/>
              </w:rPr>
              <w:t>学府雅苑</w:t>
            </w:r>
          </w:p>
        </w:tc>
        <w:tc>
          <w:tcPr>
            <w:tcW w:w="734" w:type="dxa"/>
            <w:vMerge w:val="restart"/>
            <w:tcBorders>
              <w:tl2br w:val="nil"/>
              <w:tr2bl w:val="nil"/>
            </w:tcBorders>
            <w:shd w:val="clear" w:color="auto" w:fill="auto"/>
            <w:vAlign w:val="center"/>
          </w:tcPr>
          <w:p w14:paraId="291A7C5F">
            <w:pPr>
              <w:widowControl/>
              <w:spacing w:line="240" w:lineRule="auto"/>
              <w:jc w:val="center"/>
              <w:rPr>
                <w:sz w:val="21"/>
                <w:szCs w:val="21"/>
                <w:lang w:eastAsia="en-US"/>
              </w:rPr>
            </w:pPr>
            <w:r>
              <w:rPr>
                <w:rFonts w:hint="eastAsia"/>
                <w:sz w:val="21"/>
                <w:szCs w:val="21"/>
                <w:lang w:eastAsia="en-US"/>
              </w:rPr>
              <w:t>742</w:t>
            </w:r>
          </w:p>
        </w:tc>
        <w:tc>
          <w:tcPr>
            <w:tcW w:w="645" w:type="dxa"/>
            <w:vMerge w:val="restart"/>
            <w:tcBorders>
              <w:tl2br w:val="nil"/>
              <w:tr2bl w:val="nil"/>
            </w:tcBorders>
            <w:shd w:val="clear" w:color="auto" w:fill="auto"/>
            <w:vAlign w:val="center"/>
          </w:tcPr>
          <w:p w14:paraId="3F4B4186">
            <w:pPr>
              <w:widowControl/>
              <w:spacing w:line="240" w:lineRule="auto"/>
              <w:jc w:val="center"/>
              <w:rPr>
                <w:sz w:val="21"/>
                <w:szCs w:val="21"/>
                <w:lang w:eastAsia="en-US"/>
              </w:rPr>
            </w:pPr>
            <w:r>
              <w:rPr>
                <w:rFonts w:hint="eastAsia"/>
                <w:sz w:val="21"/>
                <w:szCs w:val="21"/>
                <w:lang w:eastAsia="en-US"/>
              </w:rPr>
              <w:t>1055</w:t>
            </w:r>
          </w:p>
        </w:tc>
        <w:tc>
          <w:tcPr>
            <w:tcW w:w="911" w:type="dxa"/>
            <w:tcBorders>
              <w:tl2br w:val="nil"/>
              <w:tr2bl w:val="nil"/>
            </w:tcBorders>
            <w:shd w:val="clear" w:color="auto" w:fill="auto"/>
            <w:vAlign w:val="center"/>
          </w:tcPr>
          <w:p w14:paraId="1393D1B8">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611379E">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081619</w:t>
            </w:r>
          </w:p>
        </w:tc>
        <w:tc>
          <w:tcPr>
            <w:tcW w:w="1178" w:type="dxa"/>
            <w:tcBorders>
              <w:tl2br w:val="nil"/>
              <w:tr2bl w:val="nil"/>
            </w:tcBorders>
            <w:shd w:val="clear" w:color="auto" w:fill="auto"/>
            <w:vAlign w:val="center"/>
          </w:tcPr>
          <w:p w14:paraId="33C89CE8">
            <w:pPr>
              <w:widowControl w:val="0"/>
              <w:jc w:val="center"/>
              <w:rPr>
                <w:sz w:val="21"/>
                <w:szCs w:val="21"/>
                <w:lang w:eastAsia="en-US"/>
              </w:rPr>
            </w:pPr>
            <w:r>
              <w:rPr>
                <w:sz w:val="21"/>
                <w:szCs w:val="21"/>
                <w:lang w:eastAsia="en-US"/>
              </w:rPr>
              <w:t>0.0003</w:t>
            </w:r>
          </w:p>
        </w:tc>
        <w:tc>
          <w:tcPr>
            <w:tcW w:w="911" w:type="dxa"/>
            <w:tcBorders>
              <w:tl2br w:val="nil"/>
              <w:tr2bl w:val="nil"/>
            </w:tcBorders>
            <w:shd w:val="clear" w:color="auto" w:fill="auto"/>
            <w:vAlign w:val="center"/>
          </w:tcPr>
          <w:p w14:paraId="13350B35">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350B33C1">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54F5D5B9">
            <w:pPr>
              <w:widowControl/>
              <w:spacing w:line="240" w:lineRule="auto"/>
              <w:jc w:val="center"/>
              <w:rPr>
                <w:sz w:val="21"/>
                <w:szCs w:val="21"/>
                <w:lang w:eastAsia="en-US"/>
              </w:rPr>
            </w:pPr>
            <w:r>
              <w:rPr>
                <w:sz w:val="21"/>
                <w:szCs w:val="21"/>
                <w:lang w:eastAsia="en-US"/>
              </w:rPr>
              <w:t>达标</w:t>
            </w:r>
          </w:p>
        </w:tc>
      </w:tr>
      <w:tr w14:paraId="4A773F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FDB087E">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C326514">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1F4D672">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52FCB4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F7C44CE">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34CF7B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w:t>
            </w:r>
          </w:p>
        </w:tc>
        <w:tc>
          <w:tcPr>
            <w:tcW w:w="1178" w:type="dxa"/>
            <w:tcBorders>
              <w:tl2br w:val="nil"/>
              <w:tr2bl w:val="nil"/>
            </w:tcBorders>
            <w:shd w:val="clear" w:color="auto" w:fill="auto"/>
            <w:vAlign w:val="center"/>
          </w:tcPr>
          <w:p w14:paraId="6552B8E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DCBD5EF">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05D5111E">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2B5C60DF">
            <w:pPr>
              <w:widowControl/>
              <w:spacing w:line="240" w:lineRule="auto"/>
              <w:jc w:val="center"/>
              <w:rPr>
                <w:sz w:val="21"/>
                <w:szCs w:val="21"/>
                <w:lang w:eastAsia="en-US"/>
              </w:rPr>
            </w:pPr>
            <w:r>
              <w:rPr>
                <w:sz w:val="21"/>
                <w:szCs w:val="21"/>
                <w:lang w:eastAsia="en-US"/>
              </w:rPr>
              <w:t>达标</w:t>
            </w:r>
          </w:p>
        </w:tc>
      </w:tr>
      <w:tr w14:paraId="39D2E71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11FC275F">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702BD6B">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4295EF2">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020AE5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15FC091">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142EB3FF">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561307CC">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59B1A1D">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11B7E737">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31F17B3A">
            <w:pPr>
              <w:widowControl/>
              <w:spacing w:line="240" w:lineRule="auto"/>
              <w:jc w:val="center"/>
              <w:rPr>
                <w:sz w:val="21"/>
                <w:szCs w:val="21"/>
                <w:lang w:eastAsia="en-US"/>
              </w:rPr>
            </w:pPr>
            <w:r>
              <w:rPr>
                <w:sz w:val="21"/>
                <w:szCs w:val="21"/>
                <w:lang w:eastAsia="en-US"/>
              </w:rPr>
              <w:t>达标</w:t>
            </w:r>
          </w:p>
        </w:tc>
      </w:tr>
      <w:tr w14:paraId="6DAF59A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7DB5B71">
            <w:pPr>
              <w:widowControl/>
              <w:spacing w:line="240" w:lineRule="auto"/>
              <w:jc w:val="center"/>
              <w:rPr>
                <w:sz w:val="21"/>
                <w:szCs w:val="21"/>
                <w:lang w:eastAsia="en-US"/>
              </w:rPr>
            </w:pPr>
            <w:r>
              <w:rPr>
                <w:rFonts w:hint="eastAsia"/>
                <w:sz w:val="21"/>
                <w:szCs w:val="21"/>
                <w:lang w:eastAsia="en-US"/>
              </w:rPr>
              <w:t>17</w:t>
            </w:r>
          </w:p>
        </w:tc>
        <w:tc>
          <w:tcPr>
            <w:tcW w:w="1141" w:type="dxa"/>
            <w:vMerge w:val="restart"/>
            <w:tcBorders>
              <w:tl2br w:val="nil"/>
              <w:tr2bl w:val="nil"/>
            </w:tcBorders>
            <w:shd w:val="clear" w:color="auto" w:fill="auto"/>
            <w:vAlign w:val="center"/>
          </w:tcPr>
          <w:p w14:paraId="5BA70D8D">
            <w:pPr>
              <w:widowControl/>
              <w:spacing w:line="240" w:lineRule="auto"/>
              <w:jc w:val="center"/>
              <w:rPr>
                <w:sz w:val="21"/>
                <w:szCs w:val="21"/>
                <w:lang w:eastAsia="en-US"/>
              </w:rPr>
            </w:pPr>
            <w:r>
              <w:rPr>
                <w:sz w:val="21"/>
                <w:szCs w:val="21"/>
                <w:lang w:eastAsia="en-US"/>
              </w:rPr>
              <w:t>天一家园</w:t>
            </w:r>
          </w:p>
        </w:tc>
        <w:tc>
          <w:tcPr>
            <w:tcW w:w="734" w:type="dxa"/>
            <w:vMerge w:val="restart"/>
            <w:tcBorders>
              <w:tl2br w:val="nil"/>
              <w:tr2bl w:val="nil"/>
            </w:tcBorders>
            <w:shd w:val="clear" w:color="auto" w:fill="auto"/>
            <w:vAlign w:val="center"/>
          </w:tcPr>
          <w:p w14:paraId="20203911">
            <w:pPr>
              <w:widowControl/>
              <w:spacing w:line="240" w:lineRule="auto"/>
              <w:jc w:val="center"/>
              <w:rPr>
                <w:sz w:val="21"/>
                <w:szCs w:val="21"/>
                <w:lang w:eastAsia="en-US"/>
              </w:rPr>
            </w:pPr>
            <w:r>
              <w:rPr>
                <w:rFonts w:hint="eastAsia"/>
                <w:sz w:val="21"/>
                <w:szCs w:val="21"/>
                <w:lang w:eastAsia="en-US"/>
              </w:rPr>
              <w:t>419</w:t>
            </w:r>
          </w:p>
        </w:tc>
        <w:tc>
          <w:tcPr>
            <w:tcW w:w="645" w:type="dxa"/>
            <w:vMerge w:val="restart"/>
            <w:tcBorders>
              <w:tl2br w:val="nil"/>
              <w:tr2bl w:val="nil"/>
            </w:tcBorders>
            <w:shd w:val="clear" w:color="auto" w:fill="auto"/>
            <w:vAlign w:val="center"/>
          </w:tcPr>
          <w:p w14:paraId="1EBDAF08">
            <w:pPr>
              <w:widowControl/>
              <w:spacing w:line="240" w:lineRule="auto"/>
              <w:jc w:val="center"/>
              <w:rPr>
                <w:sz w:val="21"/>
                <w:szCs w:val="21"/>
                <w:lang w:eastAsia="en-US"/>
              </w:rPr>
            </w:pPr>
            <w:r>
              <w:rPr>
                <w:rFonts w:hint="eastAsia"/>
                <w:sz w:val="21"/>
                <w:szCs w:val="21"/>
                <w:lang w:eastAsia="en-US"/>
              </w:rPr>
              <w:t>1414</w:t>
            </w:r>
          </w:p>
        </w:tc>
        <w:tc>
          <w:tcPr>
            <w:tcW w:w="911" w:type="dxa"/>
            <w:tcBorders>
              <w:tl2br w:val="nil"/>
              <w:tr2bl w:val="nil"/>
            </w:tcBorders>
            <w:shd w:val="clear" w:color="auto" w:fill="auto"/>
            <w:vAlign w:val="center"/>
          </w:tcPr>
          <w:p w14:paraId="7EB9A75A">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EE6A52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080701</w:t>
            </w:r>
          </w:p>
        </w:tc>
        <w:tc>
          <w:tcPr>
            <w:tcW w:w="1178" w:type="dxa"/>
            <w:tcBorders>
              <w:tl2br w:val="nil"/>
              <w:tr2bl w:val="nil"/>
            </w:tcBorders>
            <w:shd w:val="clear" w:color="auto" w:fill="auto"/>
            <w:vAlign w:val="center"/>
          </w:tcPr>
          <w:p w14:paraId="35341A29">
            <w:pPr>
              <w:widowControl w:val="0"/>
              <w:jc w:val="center"/>
              <w:rPr>
                <w:sz w:val="21"/>
                <w:szCs w:val="21"/>
                <w:lang w:eastAsia="en-US"/>
              </w:rPr>
            </w:pPr>
            <w:r>
              <w:rPr>
                <w:sz w:val="21"/>
                <w:szCs w:val="21"/>
                <w:lang w:eastAsia="en-US"/>
              </w:rPr>
              <w:t>0.0005</w:t>
            </w:r>
          </w:p>
        </w:tc>
        <w:tc>
          <w:tcPr>
            <w:tcW w:w="911" w:type="dxa"/>
            <w:tcBorders>
              <w:tl2br w:val="nil"/>
              <w:tr2bl w:val="nil"/>
            </w:tcBorders>
            <w:shd w:val="clear" w:color="auto" w:fill="auto"/>
            <w:vAlign w:val="center"/>
          </w:tcPr>
          <w:p w14:paraId="5E5E16F4">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292FC35">
            <w:pPr>
              <w:widowControl w:val="0"/>
              <w:jc w:val="center"/>
              <w:rPr>
                <w:sz w:val="21"/>
                <w:szCs w:val="21"/>
                <w:lang w:eastAsia="en-US"/>
              </w:rPr>
            </w:pPr>
            <w:r>
              <w:rPr>
                <w:sz w:val="21"/>
                <w:szCs w:val="21"/>
                <w:lang w:eastAsia="en-US"/>
              </w:rPr>
              <w:t>0.10%</w:t>
            </w:r>
          </w:p>
        </w:tc>
        <w:tc>
          <w:tcPr>
            <w:tcW w:w="713" w:type="dxa"/>
            <w:tcBorders>
              <w:tl2br w:val="nil"/>
              <w:tr2bl w:val="nil"/>
            </w:tcBorders>
            <w:shd w:val="clear" w:color="auto" w:fill="auto"/>
            <w:vAlign w:val="center"/>
          </w:tcPr>
          <w:p w14:paraId="2733229C">
            <w:pPr>
              <w:widowControl/>
              <w:spacing w:line="240" w:lineRule="auto"/>
              <w:jc w:val="center"/>
              <w:rPr>
                <w:sz w:val="21"/>
                <w:szCs w:val="21"/>
                <w:lang w:eastAsia="en-US"/>
              </w:rPr>
            </w:pPr>
            <w:r>
              <w:rPr>
                <w:sz w:val="21"/>
                <w:szCs w:val="21"/>
                <w:lang w:eastAsia="en-US"/>
              </w:rPr>
              <w:t>达标</w:t>
            </w:r>
          </w:p>
        </w:tc>
      </w:tr>
      <w:tr w14:paraId="53167BF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0A0D29E">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C05F78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28E1ADA">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55ECD58">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1C79BB0">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613471E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w:t>
            </w:r>
          </w:p>
        </w:tc>
        <w:tc>
          <w:tcPr>
            <w:tcW w:w="1178" w:type="dxa"/>
            <w:tcBorders>
              <w:tl2br w:val="nil"/>
              <w:tr2bl w:val="nil"/>
            </w:tcBorders>
            <w:shd w:val="clear" w:color="auto" w:fill="auto"/>
            <w:vAlign w:val="center"/>
          </w:tcPr>
          <w:p w14:paraId="15007B00">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4B44AC4">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68697681">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4E057E23">
            <w:pPr>
              <w:widowControl/>
              <w:spacing w:line="240" w:lineRule="auto"/>
              <w:jc w:val="center"/>
              <w:rPr>
                <w:sz w:val="21"/>
                <w:szCs w:val="21"/>
                <w:lang w:eastAsia="en-US"/>
              </w:rPr>
            </w:pPr>
            <w:r>
              <w:rPr>
                <w:sz w:val="21"/>
                <w:szCs w:val="21"/>
                <w:lang w:eastAsia="en-US"/>
              </w:rPr>
              <w:t>达标</w:t>
            </w:r>
          </w:p>
        </w:tc>
      </w:tr>
      <w:tr w14:paraId="22C1AED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4C617E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49C27017">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409D69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51AB1D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DC73C7C">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649454ED">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20F99ACC">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711E544">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1F86E606">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24D0A866">
            <w:pPr>
              <w:widowControl/>
              <w:spacing w:line="240" w:lineRule="auto"/>
              <w:jc w:val="center"/>
              <w:rPr>
                <w:sz w:val="21"/>
                <w:szCs w:val="21"/>
                <w:lang w:eastAsia="en-US"/>
              </w:rPr>
            </w:pPr>
            <w:r>
              <w:rPr>
                <w:sz w:val="21"/>
                <w:szCs w:val="21"/>
                <w:lang w:eastAsia="en-US"/>
              </w:rPr>
              <w:t>达标</w:t>
            </w:r>
          </w:p>
        </w:tc>
      </w:tr>
      <w:tr w14:paraId="1D76E2F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266CCF0">
            <w:pPr>
              <w:widowControl/>
              <w:spacing w:line="240" w:lineRule="auto"/>
              <w:jc w:val="center"/>
              <w:rPr>
                <w:sz w:val="21"/>
                <w:szCs w:val="21"/>
                <w:lang w:eastAsia="en-US"/>
              </w:rPr>
            </w:pPr>
            <w:r>
              <w:rPr>
                <w:rFonts w:hint="eastAsia"/>
                <w:sz w:val="21"/>
                <w:szCs w:val="21"/>
                <w:lang w:eastAsia="en-US"/>
              </w:rPr>
              <w:t>18</w:t>
            </w:r>
          </w:p>
        </w:tc>
        <w:tc>
          <w:tcPr>
            <w:tcW w:w="1141" w:type="dxa"/>
            <w:vMerge w:val="restart"/>
            <w:tcBorders>
              <w:tl2br w:val="nil"/>
              <w:tr2bl w:val="nil"/>
            </w:tcBorders>
            <w:shd w:val="clear" w:color="auto" w:fill="auto"/>
            <w:vAlign w:val="center"/>
          </w:tcPr>
          <w:p w14:paraId="6699C7B2">
            <w:pPr>
              <w:widowControl/>
              <w:spacing w:line="240" w:lineRule="auto"/>
              <w:jc w:val="center"/>
              <w:rPr>
                <w:sz w:val="21"/>
                <w:szCs w:val="21"/>
                <w:lang w:eastAsia="en-US"/>
              </w:rPr>
            </w:pPr>
            <w:r>
              <w:rPr>
                <w:sz w:val="21"/>
                <w:szCs w:val="21"/>
                <w:lang w:eastAsia="en-US"/>
              </w:rPr>
              <w:t>长通名城</w:t>
            </w:r>
          </w:p>
        </w:tc>
        <w:tc>
          <w:tcPr>
            <w:tcW w:w="734" w:type="dxa"/>
            <w:vMerge w:val="restart"/>
            <w:tcBorders>
              <w:tl2br w:val="nil"/>
              <w:tr2bl w:val="nil"/>
            </w:tcBorders>
            <w:shd w:val="clear" w:color="auto" w:fill="auto"/>
            <w:vAlign w:val="center"/>
          </w:tcPr>
          <w:p w14:paraId="4892FF4B">
            <w:pPr>
              <w:widowControl/>
              <w:spacing w:line="240" w:lineRule="auto"/>
              <w:jc w:val="center"/>
              <w:rPr>
                <w:sz w:val="21"/>
                <w:szCs w:val="21"/>
                <w:lang w:eastAsia="en-US"/>
              </w:rPr>
            </w:pPr>
            <w:r>
              <w:rPr>
                <w:rFonts w:hint="eastAsia"/>
                <w:sz w:val="21"/>
                <w:szCs w:val="21"/>
                <w:lang w:eastAsia="en-US"/>
              </w:rPr>
              <w:t>419</w:t>
            </w:r>
          </w:p>
        </w:tc>
        <w:tc>
          <w:tcPr>
            <w:tcW w:w="645" w:type="dxa"/>
            <w:vMerge w:val="restart"/>
            <w:tcBorders>
              <w:tl2br w:val="nil"/>
              <w:tr2bl w:val="nil"/>
            </w:tcBorders>
            <w:shd w:val="clear" w:color="auto" w:fill="auto"/>
            <w:vAlign w:val="center"/>
          </w:tcPr>
          <w:p w14:paraId="0E160533">
            <w:pPr>
              <w:widowControl/>
              <w:spacing w:line="240" w:lineRule="auto"/>
              <w:jc w:val="center"/>
              <w:rPr>
                <w:sz w:val="21"/>
                <w:szCs w:val="21"/>
                <w:lang w:eastAsia="en-US"/>
              </w:rPr>
            </w:pPr>
            <w:r>
              <w:rPr>
                <w:rFonts w:hint="eastAsia"/>
                <w:sz w:val="21"/>
                <w:szCs w:val="21"/>
                <w:lang w:eastAsia="en-US"/>
              </w:rPr>
              <w:t>1675</w:t>
            </w:r>
          </w:p>
        </w:tc>
        <w:tc>
          <w:tcPr>
            <w:tcW w:w="911" w:type="dxa"/>
            <w:tcBorders>
              <w:tl2br w:val="nil"/>
              <w:tr2bl w:val="nil"/>
            </w:tcBorders>
            <w:shd w:val="clear" w:color="auto" w:fill="auto"/>
            <w:vAlign w:val="center"/>
          </w:tcPr>
          <w:p w14:paraId="439B5099">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FAE009D">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052419</w:t>
            </w:r>
          </w:p>
        </w:tc>
        <w:tc>
          <w:tcPr>
            <w:tcW w:w="1178" w:type="dxa"/>
            <w:tcBorders>
              <w:tl2br w:val="nil"/>
              <w:tr2bl w:val="nil"/>
            </w:tcBorders>
            <w:shd w:val="clear" w:color="auto" w:fill="auto"/>
            <w:vAlign w:val="center"/>
          </w:tcPr>
          <w:p w14:paraId="352D8A05">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30BA3802">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368630B0">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29CF45A6">
            <w:pPr>
              <w:widowControl/>
              <w:spacing w:line="240" w:lineRule="auto"/>
              <w:jc w:val="center"/>
              <w:rPr>
                <w:sz w:val="21"/>
                <w:szCs w:val="21"/>
                <w:lang w:eastAsia="en-US"/>
              </w:rPr>
            </w:pPr>
            <w:r>
              <w:rPr>
                <w:sz w:val="21"/>
                <w:szCs w:val="21"/>
                <w:lang w:eastAsia="en-US"/>
              </w:rPr>
              <w:t>达标</w:t>
            </w:r>
          </w:p>
        </w:tc>
      </w:tr>
      <w:tr w14:paraId="24C9713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D8CF352">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25E7B0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80973F5">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4E4B4F2">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4B4EA5A">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64E246F">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0531</w:t>
            </w:r>
          </w:p>
        </w:tc>
        <w:tc>
          <w:tcPr>
            <w:tcW w:w="1178" w:type="dxa"/>
            <w:tcBorders>
              <w:tl2br w:val="nil"/>
              <w:tr2bl w:val="nil"/>
            </w:tcBorders>
            <w:shd w:val="clear" w:color="auto" w:fill="auto"/>
            <w:vAlign w:val="center"/>
          </w:tcPr>
          <w:p w14:paraId="4A24654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E49AD8F">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62A4F09C">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07F459C5">
            <w:pPr>
              <w:widowControl/>
              <w:spacing w:line="240" w:lineRule="auto"/>
              <w:jc w:val="center"/>
              <w:rPr>
                <w:sz w:val="21"/>
                <w:szCs w:val="21"/>
                <w:lang w:eastAsia="en-US"/>
              </w:rPr>
            </w:pPr>
            <w:r>
              <w:rPr>
                <w:sz w:val="21"/>
                <w:szCs w:val="21"/>
                <w:lang w:eastAsia="en-US"/>
              </w:rPr>
              <w:t>达标</w:t>
            </w:r>
          </w:p>
        </w:tc>
      </w:tr>
      <w:tr w14:paraId="43B550F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1FB34400">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BCD003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FF75E15">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DE6F621">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F77F92F">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7A7F3C83">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251735EE">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66B3BEC">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899B908">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07EEDB33">
            <w:pPr>
              <w:widowControl/>
              <w:spacing w:line="240" w:lineRule="auto"/>
              <w:jc w:val="center"/>
              <w:rPr>
                <w:sz w:val="21"/>
                <w:szCs w:val="21"/>
                <w:lang w:eastAsia="en-US"/>
              </w:rPr>
            </w:pPr>
            <w:r>
              <w:rPr>
                <w:sz w:val="21"/>
                <w:szCs w:val="21"/>
                <w:lang w:eastAsia="en-US"/>
              </w:rPr>
              <w:t>达标</w:t>
            </w:r>
          </w:p>
        </w:tc>
      </w:tr>
      <w:tr w14:paraId="2EF9A27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295BE63">
            <w:pPr>
              <w:widowControl/>
              <w:spacing w:line="240" w:lineRule="auto"/>
              <w:jc w:val="center"/>
              <w:rPr>
                <w:sz w:val="21"/>
                <w:szCs w:val="21"/>
                <w:lang w:eastAsia="en-US"/>
              </w:rPr>
            </w:pPr>
            <w:r>
              <w:rPr>
                <w:rFonts w:hint="eastAsia"/>
                <w:sz w:val="21"/>
                <w:szCs w:val="21"/>
                <w:lang w:eastAsia="en-US"/>
              </w:rPr>
              <w:t>19</w:t>
            </w:r>
          </w:p>
        </w:tc>
        <w:tc>
          <w:tcPr>
            <w:tcW w:w="1141" w:type="dxa"/>
            <w:vMerge w:val="restart"/>
            <w:tcBorders>
              <w:tl2br w:val="nil"/>
              <w:tr2bl w:val="nil"/>
            </w:tcBorders>
            <w:shd w:val="clear" w:color="auto" w:fill="auto"/>
            <w:vAlign w:val="center"/>
          </w:tcPr>
          <w:p w14:paraId="23D56C8B">
            <w:pPr>
              <w:widowControl/>
              <w:spacing w:line="240" w:lineRule="auto"/>
              <w:jc w:val="center"/>
              <w:rPr>
                <w:sz w:val="21"/>
                <w:szCs w:val="21"/>
                <w:lang w:eastAsia="en-US"/>
              </w:rPr>
            </w:pPr>
            <w:r>
              <w:rPr>
                <w:sz w:val="21"/>
                <w:szCs w:val="21"/>
                <w:lang w:eastAsia="en-US"/>
              </w:rPr>
              <w:t>湘潭碧桂园</w:t>
            </w:r>
          </w:p>
        </w:tc>
        <w:tc>
          <w:tcPr>
            <w:tcW w:w="734" w:type="dxa"/>
            <w:vMerge w:val="restart"/>
            <w:tcBorders>
              <w:tl2br w:val="nil"/>
              <w:tr2bl w:val="nil"/>
            </w:tcBorders>
            <w:shd w:val="clear" w:color="auto" w:fill="auto"/>
            <w:vAlign w:val="center"/>
          </w:tcPr>
          <w:p w14:paraId="41184EAE">
            <w:pPr>
              <w:widowControl/>
              <w:spacing w:line="240" w:lineRule="auto"/>
              <w:jc w:val="center"/>
              <w:rPr>
                <w:sz w:val="21"/>
                <w:szCs w:val="21"/>
                <w:lang w:eastAsia="en-US"/>
              </w:rPr>
            </w:pPr>
            <w:r>
              <w:rPr>
                <w:rFonts w:hint="eastAsia"/>
                <w:sz w:val="21"/>
                <w:szCs w:val="21"/>
                <w:lang w:eastAsia="en-US"/>
              </w:rPr>
              <w:t>1590</w:t>
            </w:r>
          </w:p>
        </w:tc>
        <w:tc>
          <w:tcPr>
            <w:tcW w:w="645" w:type="dxa"/>
            <w:vMerge w:val="restart"/>
            <w:tcBorders>
              <w:tl2br w:val="nil"/>
              <w:tr2bl w:val="nil"/>
            </w:tcBorders>
            <w:shd w:val="clear" w:color="auto" w:fill="auto"/>
            <w:vAlign w:val="center"/>
          </w:tcPr>
          <w:p w14:paraId="1B77AB0A">
            <w:pPr>
              <w:widowControl/>
              <w:spacing w:line="240" w:lineRule="auto"/>
              <w:jc w:val="center"/>
              <w:rPr>
                <w:sz w:val="21"/>
                <w:szCs w:val="21"/>
                <w:lang w:eastAsia="en-US"/>
              </w:rPr>
            </w:pPr>
            <w:r>
              <w:rPr>
                <w:rFonts w:hint="eastAsia"/>
                <w:sz w:val="21"/>
                <w:szCs w:val="21"/>
                <w:lang w:eastAsia="en-US"/>
              </w:rPr>
              <w:t>1772</w:t>
            </w:r>
          </w:p>
        </w:tc>
        <w:tc>
          <w:tcPr>
            <w:tcW w:w="911" w:type="dxa"/>
            <w:tcBorders>
              <w:tl2br w:val="nil"/>
              <w:tr2bl w:val="nil"/>
            </w:tcBorders>
            <w:shd w:val="clear" w:color="auto" w:fill="auto"/>
            <w:vAlign w:val="center"/>
          </w:tcPr>
          <w:p w14:paraId="126B85C5">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9AE4B74">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010209</w:t>
            </w:r>
          </w:p>
        </w:tc>
        <w:tc>
          <w:tcPr>
            <w:tcW w:w="1178" w:type="dxa"/>
            <w:tcBorders>
              <w:tl2br w:val="nil"/>
              <w:tr2bl w:val="nil"/>
            </w:tcBorders>
            <w:shd w:val="clear" w:color="auto" w:fill="auto"/>
            <w:vAlign w:val="center"/>
          </w:tcPr>
          <w:p w14:paraId="3530DB94">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62969A30">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0F5D9128">
            <w:pPr>
              <w:widowControl w:val="0"/>
              <w:jc w:val="center"/>
              <w:rPr>
                <w:sz w:val="21"/>
                <w:szCs w:val="21"/>
                <w:lang w:eastAsia="en-US"/>
              </w:rPr>
            </w:pPr>
            <w:r>
              <w:rPr>
                <w:sz w:val="21"/>
                <w:szCs w:val="21"/>
                <w:lang w:eastAsia="en-US"/>
              </w:rPr>
              <w:t>0.02%</w:t>
            </w:r>
          </w:p>
        </w:tc>
        <w:tc>
          <w:tcPr>
            <w:tcW w:w="713" w:type="dxa"/>
            <w:tcBorders>
              <w:tl2br w:val="nil"/>
              <w:tr2bl w:val="nil"/>
            </w:tcBorders>
            <w:shd w:val="clear" w:color="auto" w:fill="auto"/>
            <w:vAlign w:val="center"/>
          </w:tcPr>
          <w:p w14:paraId="50F467A2">
            <w:pPr>
              <w:widowControl/>
              <w:spacing w:line="240" w:lineRule="auto"/>
              <w:jc w:val="center"/>
              <w:rPr>
                <w:sz w:val="21"/>
                <w:szCs w:val="21"/>
                <w:lang w:eastAsia="en-US"/>
              </w:rPr>
            </w:pPr>
            <w:r>
              <w:rPr>
                <w:sz w:val="21"/>
                <w:szCs w:val="21"/>
                <w:lang w:eastAsia="en-US"/>
              </w:rPr>
              <w:t>达标</w:t>
            </w:r>
          </w:p>
        </w:tc>
      </w:tr>
      <w:tr w14:paraId="2E4DCA2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1F06690">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B76930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CD56693">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C5E3A0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8EB7F80">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2D38F855">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w:t>
            </w:r>
          </w:p>
        </w:tc>
        <w:tc>
          <w:tcPr>
            <w:tcW w:w="1178" w:type="dxa"/>
            <w:tcBorders>
              <w:tl2br w:val="nil"/>
              <w:tr2bl w:val="nil"/>
            </w:tcBorders>
            <w:shd w:val="clear" w:color="auto" w:fill="auto"/>
            <w:vAlign w:val="center"/>
          </w:tcPr>
          <w:p w14:paraId="49D198BF">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A5DEDB2">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4C7C976E">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0E7C1926">
            <w:pPr>
              <w:widowControl/>
              <w:spacing w:line="240" w:lineRule="auto"/>
              <w:jc w:val="center"/>
              <w:rPr>
                <w:sz w:val="21"/>
                <w:szCs w:val="21"/>
                <w:lang w:eastAsia="en-US"/>
              </w:rPr>
            </w:pPr>
            <w:r>
              <w:rPr>
                <w:sz w:val="21"/>
                <w:szCs w:val="21"/>
                <w:lang w:eastAsia="en-US"/>
              </w:rPr>
              <w:t>达标</w:t>
            </w:r>
          </w:p>
        </w:tc>
      </w:tr>
      <w:tr w14:paraId="7218D17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1518927">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22A962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038E270">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17CFF52">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49B4762">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1C5D4C03">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3AB3BFB2">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B31C013">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78BD253D">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1F39F2DF">
            <w:pPr>
              <w:widowControl/>
              <w:spacing w:line="240" w:lineRule="auto"/>
              <w:jc w:val="center"/>
              <w:rPr>
                <w:sz w:val="21"/>
                <w:szCs w:val="21"/>
                <w:lang w:eastAsia="en-US"/>
              </w:rPr>
            </w:pPr>
            <w:r>
              <w:rPr>
                <w:sz w:val="21"/>
                <w:szCs w:val="21"/>
                <w:lang w:eastAsia="en-US"/>
              </w:rPr>
              <w:t>达标</w:t>
            </w:r>
          </w:p>
        </w:tc>
      </w:tr>
      <w:tr w14:paraId="4F86A8B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7CF5D45">
            <w:pPr>
              <w:widowControl/>
              <w:spacing w:line="240" w:lineRule="auto"/>
              <w:jc w:val="center"/>
              <w:rPr>
                <w:sz w:val="21"/>
                <w:szCs w:val="21"/>
                <w:lang w:eastAsia="en-US"/>
              </w:rPr>
            </w:pPr>
            <w:r>
              <w:rPr>
                <w:rFonts w:hint="eastAsia"/>
                <w:sz w:val="21"/>
                <w:szCs w:val="21"/>
                <w:lang w:eastAsia="en-US"/>
              </w:rPr>
              <w:t>20</w:t>
            </w:r>
          </w:p>
        </w:tc>
        <w:tc>
          <w:tcPr>
            <w:tcW w:w="1141" w:type="dxa"/>
            <w:vMerge w:val="restart"/>
            <w:tcBorders>
              <w:tl2br w:val="nil"/>
              <w:tr2bl w:val="nil"/>
            </w:tcBorders>
            <w:shd w:val="clear" w:color="auto" w:fill="auto"/>
            <w:vAlign w:val="center"/>
          </w:tcPr>
          <w:p w14:paraId="1C68420D">
            <w:pPr>
              <w:widowControl/>
              <w:spacing w:line="240" w:lineRule="auto"/>
              <w:jc w:val="center"/>
              <w:rPr>
                <w:sz w:val="21"/>
                <w:szCs w:val="21"/>
                <w:lang w:eastAsia="zh-CN"/>
              </w:rPr>
            </w:pPr>
            <w:r>
              <w:rPr>
                <w:sz w:val="21"/>
                <w:szCs w:val="21"/>
                <w:lang w:eastAsia="zh-CN"/>
              </w:rPr>
              <w:t>东北侧湘潭县居民居住集中区</w:t>
            </w:r>
          </w:p>
        </w:tc>
        <w:tc>
          <w:tcPr>
            <w:tcW w:w="734" w:type="dxa"/>
            <w:vMerge w:val="restart"/>
            <w:tcBorders>
              <w:tl2br w:val="nil"/>
              <w:tr2bl w:val="nil"/>
            </w:tcBorders>
            <w:shd w:val="clear" w:color="auto" w:fill="auto"/>
            <w:vAlign w:val="center"/>
          </w:tcPr>
          <w:p w14:paraId="0B0B4DDC">
            <w:pPr>
              <w:widowControl/>
              <w:spacing w:line="240" w:lineRule="auto"/>
              <w:jc w:val="center"/>
              <w:rPr>
                <w:sz w:val="21"/>
                <w:szCs w:val="21"/>
                <w:lang w:eastAsia="en-US"/>
              </w:rPr>
            </w:pPr>
            <w:r>
              <w:rPr>
                <w:rFonts w:hint="eastAsia"/>
                <w:sz w:val="21"/>
                <w:szCs w:val="21"/>
                <w:lang w:eastAsia="en-US"/>
              </w:rPr>
              <w:t>582</w:t>
            </w:r>
          </w:p>
        </w:tc>
        <w:tc>
          <w:tcPr>
            <w:tcW w:w="645" w:type="dxa"/>
            <w:vMerge w:val="restart"/>
            <w:tcBorders>
              <w:tl2br w:val="nil"/>
              <w:tr2bl w:val="nil"/>
            </w:tcBorders>
            <w:shd w:val="clear" w:color="auto" w:fill="auto"/>
            <w:vAlign w:val="center"/>
          </w:tcPr>
          <w:p w14:paraId="457BAB92">
            <w:pPr>
              <w:widowControl/>
              <w:spacing w:line="240" w:lineRule="auto"/>
              <w:jc w:val="center"/>
              <w:rPr>
                <w:sz w:val="21"/>
                <w:szCs w:val="21"/>
                <w:lang w:eastAsia="en-US"/>
              </w:rPr>
            </w:pPr>
            <w:r>
              <w:rPr>
                <w:rFonts w:hint="eastAsia"/>
                <w:sz w:val="21"/>
                <w:szCs w:val="21"/>
                <w:lang w:eastAsia="en-US"/>
              </w:rPr>
              <w:t>2019</w:t>
            </w:r>
          </w:p>
        </w:tc>
        <w:tc>
          <w:tcPr>
            <w:tcW w:w="911" w:type="dxa"/>
            <w:tcBorders>
              <w:tl2br w:val="nil"/>
              <w:tr2bl w:val="nil"/>
            </w:tcBorders>
            <w:shd w:val="clear" w:color="auto" w:fill="auto"/>
            <w:vAlign w:val="center"/>
          </w:tcPr>
          <w:p w14:paraId="0501DCB2">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3AB32E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100403</w:t>
            </w:r>
          </w:p>
        </w:tc>
        <w:tc>
          <w:tcPr>
            <w:tcW w:w="1178" w:type="dxa"/>
            <w:tcBorders>
              <w:tl2br w:val="nil"/>
              <w:tr2bl w:val="nil"/>
            </w:tcBorders>
            <w:shd w:val="clear" w:color="auto" w:fill="auto"/>
            <w:vAlign w:val="center"/>
          </w:tcPr>
          <w:p w14:paraId="34965F1C">
            <w:pPr>
              <w:widowControl w:val="0"/>
              <w:jc w:val="center"/>
              <w:rPr>
                <w:sz w:val="21"/>
                <w:szCs w:val="21"/>
                <w:lang w:eastAsia="en-US"/>
              </w:rPr>
            </w:pPr>
            <w:r>
              <w:rPr>
                <w:sz w:val="21"/>
                <w:szCs w:val="21"/>
                <w:lang w:eastAsia="en-US"/>
              </w:rPr>
              <w:t>0.0013</w:t>
            </w:r>
          </w:p>
        </w:tc>
        <w:tc>
          <w:tcPr>
            <w:tcW w:w="911" w:type="dxa"/>
            <w:tcBorders>
              <w:tl2br w:val="nil"/>
              <w:tr2bl w:val="nil"/>
            </w:tcBorders>
            <w:shd w:val="clear" w:color="auto" w:fill="auto"/>
            <w:vAlign w:val="center"/>
          </w:tcPr>
          <w:p w14:paraId="0B5B3B9B">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1666CE21">
            <w:pPr>
              <w:widowControl w:val="0"/>
              <w:jc w:val="center"/>
              <w:rPr>
                <w:sz w:val="21"/>
                <w:szCs w:val="21"/>
                <w:lang w:eastAsia="en-US"/>
              </w:rPr>
            </w:pPr>
            <w:r>
              <w:rPr>
                <w:sz w:val="21"/>
                <w:szCs w:val="21"/>
                <w:lang w:eastAsia="en-US"/>
              </w:rPr>
              <w:t>0.25%</w:t>
            </w:r>
          </w:p>
        </w:tc>
        <w:tc>
          <w:tcPr>
            <w:tcW w:w="713" w:type="dxa"/>
            <w:tcBorders>
              <w:tl2br w:val="nil"/>
              <w:tr2bl w:val="nil"/>
            </w:tcBorders>
            <w:shd w:val="clear" w:color="auto" w:fill="auto"/>
            <w:vAlign w:val="center"/>
          </w:tcPr>
          <w:p w14:paraId="06C615B2">
            <w:pPr>
              <w:widowControl/>
              <w:spacing w:line="240" w:lineRule="auto"/>
              <w:jc w:val="center"/>
              <w:rPr>
                <w:sz w:val="21"/>
                <w:szCs w:val="21"/>
                <w:lang w:eastAsia="en-US"/>
              </w:rPr>
            </w:pPr>
            <w:r>
              <w:rPr>
                <w:sz w:val="21"/>
                <w:szCs w:val="21"/>
                <w:lang w:eastAsia="en-US"/>
              </w:rPr>
              <w:t>达标</w:t>
            </w:r>
          </w:p>
        </w:tc>
      </w:tr>
      <w:tr w14:paraId="406042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19C09FF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6C0AA66">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D4ADA68">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2E3EBC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77A23D9">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2AB75845">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0614</w:t>
            </w:r>
          </w:p>
        </w:tc>
        <w:tc>
          <w:tcPr>
            <w:tcW w:w="1178" w:type="dxa"/>
            <w:tcBorders>
              <w:tl2br w:val="nil"/>
              <w:tr2bl w:val="nil"/>
            </w:tcBorders>
            <w:shd w:val="clear" w:color="auto" w:fill="auto"/>
            <w:vAlign w:val="center"/>
          </w:tcPr>
          <w:p w14:paraId="0BDA6924">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7B145B89">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168C7F12">
            <w:pPr>
              <w:widowControl w:val="0"/>
              <w:jc w:val="center"/>
              <w:rPr>
                <w:sz w:val="21"/>
                <w:szCs w:val="21"/>
                <w:lang w:eastAsia="en-US"/>
              </w:rPr>
            </w:pPr>
            <w:r>
              <w:rPr>
                <w:sz w:val="21"/>
                <w:szCs w:val="21"/>
                <w:lang w:eastAsia="en-US"/>
              </w:rPr>
              <w:t>0.06%</w:t>
            </w:r>
          </w:p>
        </w:tc>
        <w:tc>
          <w:tcPr>
            <w:tcW w:w="713" w:type="dxa"/>
            <w:tcBorders>
              <w:tl2br w:val="nil"/>
              <w:tr2bl w:val="nil"/>
            </w:tcBorders>
            <w:shd w:val="clear" w:color="auto" w:fill="auto"/>
            <w:vAlign w:val="center"/>
          </w:tcPr>
          <w:p w14:paraId="3AE48DC4">
            <w:pPr>
              <w:widowControl/>
              <w:spacing w:line="240" w:lineRule="auto"/>
              <w:jc w:val="center"/>
              <w:rPr>
                <w:sz w:val="21"/>
                <w:szCs w:val="21"/>
                <w:lang w:eastAsia="en-US"/>
              </w:rPr>
            </w:pPr>
            <w:r>
              <w:rPr>
                <w:sz w:val="21"/>
                <w:szCs w:val="21"/>
                <w:lang w:eastAsia="en-US"/>
              </w:rPr>
              <w:t>达标</w:t>
            </w:r>
          </w:p>
        </w:tc>
      </w:tr>
      <w:tr w14:paraId="69A90B6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005707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C6162D1">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83B2F3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0461E5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FF98F14">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35F92E2D">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7B05937D">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22D5E39">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13907D56">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798E2BC9">
            <w:pPr>
              <w:widowControl/>
              <w:spacing w:line="240" w:lineRule="auto"/>
              <w:jc w:val="center"/>
              <w:rPr>
                <w:sz w:val="21"/>
                <w:szCs w:val="21"/>
                <w:lang w:eastAsia="en-US"/>
              </w:rPr>
            </w:pPr>
            <w:r>
              <w:rPr>
                <w:sz w:val="21"/>
                <w:szCs w:val="21"/>
                <w:lang w:eastAsia="en-US"/>
              </w:rPr>
              <w:t>达标</w:t>
            </w:r>
          </w:p>
        </w:tc>
      </w:tr>
      <w:tr w14:paraId="6715F8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55398C60">
            <w:pPr>
              <w:widowControl/>
              <w:spacing w:line="240" w:lineRule="auto"/>
              <w:jc w:val="center"/>
              <w:rPr>
                <w:sz w:val="21"/>
                <w:szCs w:val="21"/>
                <w:lang w:eastAsia="en-US"/>
              </w:rPr>
            </w:pPr>
            <w:r>
              <w:rPr>
                <w:rFonts w:hint="eastAsia"/>
                <w:sz w:val="21"/>
                <w:szCs w:val="21"/>
                <w:lang w:eastAsia="en-US"/>
              </w:rPr>
              <w:t>21</w:t>
            </w:r>
          </w:p>
        </w:tc>
        <w:tc>
          <w:tcPr>
            <w:tcW w:w="1141" w:type="dxa"/>
            <w:vMerge w:val="restart"/>
            <w:tcBorders>
              <w:tl2br w:val="nil"/>
              <w:tr2bl w:val="nil"/>
            </w:tcBorders>
            <w:shd w:val="clear" w:color="auto" w:fill="auto"/>
            <w:vAlign w:val="center"/>
          </w:tcPr>
          <w:p w14:paraId="24118042">
            <w:pPr>
              <w:widowControl/>
              <w:spacing w:line="240" w:lineRule="auto"/>
              <w:jc w:val="center"/>
              <w:rPr>
                <w:sz w:val="21"/>
                <w:szCs w:val="21"/>
                <w:lang w:eastAsia="zh-CN"/>
              </w:rPr>
            </w:pPr>
            <w:r>
              <w:rPr>
                <w:sz w:val="21"/>
                <w:szCs w:val="21"/>
                <w:lang w:eastAsia="zh-CN"/>
              </w:rPr>
              <w:t>西北侧湘潭县居民居住集中区</w:t>
            </w:r>
          </w:p>
        </w:tc>
        <w:tc>
          <w:tcPr>
            <w:tcW w:w="734" w:type="dxa"/>
            <w:vMerge w:val="restart"/>
            <w:tcBorders>
              <w:tl2br w:val="nil"/>
              <w:tr2bl w:val="nil"/>
            </w:tcBorders>
            <w:shd w:val="clear" w:color="auto" w:fill="auto"/>
            <w:vAlign w:val="center"/>
          </w:tcPr>
          <w:p w14:paraId="1E28ECC7">
            <w:pPr>
              <w:widowControl/>
              <w:spacing w:line="240" w:lineRule="auto"/>
              <w:jc w:val="center"/>
              <w:rPr>
                <w:sz w:val="21"/>
                <w:szCs w:val="21"/>
                <w:lang w:eastAsia="en-US"/>
              </w:rPr>
            </w:pPr>
            <w:r>
              <w:rPr>
                <w:rFonts w:hint="eastAsia"/>
                <w:sz w:val="21"/>
                <w:szCs w:val="21"/>
                <w:lang w:eastAsia="en-US"/>
              </w:rPr>
              <w:t>-1045</w:t>
            </w:r>
          </w:p>
        </w:tc>
        <w:tc>
          <w:tcPr>
            <w:tcW w:w="645" w:type="dxa"/>
            <w:vMerge w:val="restart"/>
            <w:tcBorders>
              <w:tl2br w:val="nil"/>
              <w:tr2bl w:val="nil"/>
            </w:tcBorders>
            <w:shd w:val="clear" w:color="auto" w:fill="auto"/>
            <w:vAlign w:val="center"/>
          </w:tcPr>
          <w:p w14:paraId="5D31774D">
            <w:pPr>
              <w:widowControl/>
              <w:spacing w:line="240" w:lineRule="auto"/>
              <w:jc w:val="center"/>
              <w:rPr>
                <w:sz w:val="21"/>
                <w:szCs w:val="21"/>
                <w:lang w:eastAsia="en-US"/>
              </w:rPr>
            </w:pPr>
            <w:r>
              <w:rPr>
                <w:rFonts w:hint="eastAsia"/>
                <w:sz w:val="21"/>
                <w:szCs w:val="21"/>
                <w:lang w:eastAsia="en-US"/>
              </w:rPr>
              <w:t>1765</w:t>
            </w:r>
          </w:p>
        </w:tc>
        <w:tc>
          <w:tcPr>
            <w:tcW w:w="911" w:type="dxa"/>
            <w:tcBorders>
              <w:tl2br w:val="nil"/>
              <w:tr2bl w:val="nil"/>
            </w:tcBorders>
            <w:shd w:val="clear" w:color="auto" w:fill="auto"/>
            <w:vAlign w:val="center"/>
          </w:tcPr>
          <w:p w14:paraId="04513F3F">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24A66D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052423</w:t>
            </w:r>
          </w:p>
        </w:tc>
        <w:tc>
          <w:tcPr>
            <w:tcW w:w="1178" w:type="dxa"/>
            <w:tcBorders>
              <w:tl2br w:val="nil"/>
              <w:tr2bl w:val="nil"/>
            </w:tcBorders>
            <w:shd w:val="clear" w:color="auto" w:fill="auto"/>
            <w:vAlign w:val="center"/>
          </w:tcPr>
          <w:p w14:paraId="1AEE7A04">
            <w:pPr>
              <w:widowControl w:val="0"/>
              <w:jc w:val="center"/>
              <w:rPr>
                <w:sz w:val="21"/>
                <w:szCs w:val="21"/>
                <w:lang w:eastAsia="en-US"/>
              </w:rPr>
            </w:pPr>
            <w:r>
              <w:rPr>
                <w:sz w:val="21"/>
                <w:szCs w:val="21"/>
                <w:lang w:eastAsia="en-US"/>
              </w:rPr>
              <w:t>0.0008</w:t>
            </w:r>
          </w:p>
        </w:tc>
        <w:tc>
          <w:tcPr>
            <w:tcW w:w="911" w:type="dxa"/>
            <w:tcBorders>
              <w:tl2br w:val="nil"/>
              <w:tr2bl w:val="nil"/>
            </w:tcBorders>
            <w:shd w:val="clear" w:color="auto" w:fill="auto"/>
            <w:vAlign w:val="center"/>
          </w:tcPr>
          <w:p w14:paraId="1C87C134">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058D2B46">
            <w:pPr>
              <w:widowControl w:val="0"/>
              <w:jc w:val="center"/>
              <w:rPr>
                <w:sz w:val="21"/>
                <w:szCs w:val="21"/>
                <w:lang w:eastAsia="en-US"/>
              </w:rPr>
            </w:pPr>
            <w:r>
              <w:rPr>
                <w:sz w:val="21"/>
                <w:szCs w:val="21"/>
                <w:lang w:eastAsia="en-US"/>
              </w:rPr>
              <w:t>0.16%</w:t>
            </w:r>
          </w:p>
        </w:tc>
        <w:tc>
          <w:tcPr>
            <w:tcW w:w="713" w:type="dxa"/>
            <w:tcBorders>
              <w:tl2br w:val="nil"/>
              <w:tr2bl w:val="nil"/>
            </w:tcBorders>
            <w:shd w:val="clear" w:color="auto" w:fill="auto"/>
            <w:vAlign w:val="center"/>
          </w:tcPr>
          <w:p w14:paraId="5EF21FE3">
            <w:pPr>
              <w:widowControl/>
              <w:spacing w:line="240" w:lineRule="auto"/>
              <w:jc w:val="center"/>
              <w:rPr>
                <w:sz w:val="21"/>
                <w:szCs w:val="21"/>
                <w:lang w:eastAsia="en-US"/>
              </w:rPr>
            </w:pPr>
            <w:r>
              <w:rPr>
                <w:sz w:val="21"/>
                <w:szCs w:val="21"/>
                <w:lang w:eastAsia="en-US"/>
              </w:rPr>
              <w:t>达标</w:t>
            </w:r>
          </w:p>
        </w:tc>
      </w:tr>
      <w:tr w14:paraId="625F7C1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6B487F8">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75EF6D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1673666">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F9DFD3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13FC975">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40C9BAF2">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78" w:type="dxa"/>
            <w:tcBorders>
              <w:tl2br w:val="nil"/>
              <w:tr2bl w:val="nil"/>
            </w:tcBorders>
            <w:shd w:val="clear" w:color="auto" w:fill="auto"/>
            <w:vAlign w:val="center"/>
          </w:tcPr>
          <w:p w14:paraId="3AC9453A">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735A53B4">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51C432C5">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6BDEF3E6">
            <w:pPr>
              <w:widowControl/>
              <w:spacing w:line="240" w:lineRule="auto"/>
              <w:jc w:val="center"/>
              <w:rPr>
                <w:sz w:val="21"/>
                <w:szCs w:val="21"/>
                <w:lang w:eastAsia="en-US"/>
              </w:rPr>
            </w:pPr>
            <w:r>
              <w:rPr>
                <w:sz w:val="21"/>
                <w:szCs w:val="21"/>
                <w:lang w:eastAsia="en-US"/>
              </w:rPr>
              <w:t>达标</w:t>
            </w:r>
          </w:p>
        </w:tc>
      </w:tr>
      <w:tr w14:paraId="7FDBEDE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C67364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708C7E6">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EE2BB95">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A94DF3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42C22AE">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EF2C7EE">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3394351B">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9422908">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2D7E58C">
            <w:pPr>
              <w:widowControl w:val="0"/>
              <w:jc w:val="center"/>
              <w:rPr>
                <w:sz w:val="21"/>
                <w:szCs w:val="21"/>
                <w:lang w:eastAsia="en-US"/>
              </w:rPr>
            </w:pPr>
            <w:r>
              <w:rPr>
                <w:sz w:val="21"/>
                <w:szCs w:val="21"/>
                <w:lang w:eastAsia="en-US"/>
              </w:rPr>
              <w:t>0.01%</w:t>
            </w:r>
          </w:p>
        </w:tc>
        <w:tc>
          <w:tcPr>
            <w:tcW w:w="713" w:type="dxa"/>
            <w:tcBorders>
              <w:tl2br w:val="nil"/>
              <w:tr2bl w:val="nil"/>
            </w:tcBorders>
            <w:shd w:val="clear" w:color="auto" w:fill="auto"/>
            <w:vAlign w:val="center"/>
          </w:tcPr>
          <w:p w14:paraId="5AE25F7A">
            <w:pPr>
              <w:widowControl/>
              <w:spacing w:line="240" w:lineRule="auto"/>
              <w:jc w:val="center"/>
              <w:rPr>
                <w:sz w:val="21"/>
                <w:szCs w:val="21"/>
                <w:lang w:eastAsia="en-US"/>
              </w:rPr>
            </w:pPr>
            <w:r>
              <w:rPr>
                <w:sz w:val="21"/>
                <w:szCs w:val="21"/>
                <w:lang w:eastAsia="en-US"/>
              </w:rPr>
              <w:t>达标</w:t>
            </w:r>
          </w:p>
        </w:tc>
      </w:tr>
      <w:tr w14:paraId="2F15DC3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297BCC40">
            <w:pPr>
              <w:widowControl/>
              <w:spacing w:line="240" w:lineRule="auto"/>
              <w:jc w:val="center"/>
              <w:rPr>
                <w:sz w:val="21"/>
                <w:szCs w:val="21"/>
                <w:lang w:eastAsia="en-US"/>
              </w:rPr>
            </w:pPr>
            <w:r>
              <w:rPr>
                <w:rFonts w:hint="eastAsia"/>
                <w:sz w:val="21"/>
                <w:szCs w:val="21"/>
                <w:lang w:eastAsia="en-US"/>
              </w:rPr>
              <w:t>22</w:t>
            </w:r>
          </w:p>
        </w:tc>
        <w:tc>
          <w:tcPr>
            <w:tcW w:w="1141" w:type="dxa"/>
            <w:vMerge w:val="restart"/>
            <w:tcBorders>
              <w:tl2br w:val="nil"/>
              <w:tr2bl w:val="nil"/>
            </w:tcBorders>
            <w:shd w:val="clear" w:color="auto" w:fill="auto"/>
            <w:vAlign w:val="center"/>
          </w:tcPr>
          <w:p w14:paraId="163FE32C">
            <w:pPr>
              <w:widowControl/>
              <w:spacing w:line="240" w:lineRule="auto"/>
              <w:jc w:val="center"/>
              <w:rPr>
                <w:sz w:val="21"/>
                <w:szCs w:val="21"/>
                <w:lang w:eastAsia="en-US"/>
              </w:rPr>
            </w:pPr>
            <w:r>
              <w:rPr>
                <w:rFonts w:hint="eastAsia"/>
                <w:sz w:val="21"/>
                <w:szCs w:val="21"/>
                <w:lang w:eastAsia="en-US"/>
              </w:rPr>
              <w:t>湘潭县环境监测点</w:t>
            </w:r>
          </w:p>
        </w:tc>
        <w:tc>
          <w:tcPr>
            <w:tcW w:w="734" w:type="dxa"/>
            <w:vMerge w:val="restart"/>
            <w:tcBorders>
              <w:tl2br w:val="nil"/>
              <w:tr2bl w:val="nil"/>
            </w:tcBorders>
            <w:shd w:val="clear" w:color="auto" w:fill="auto"/>
            <w:vAlign w:val="center"/>
          </w:tcPr>
          <w:p w14:paraId="4AB0E168">
            <w:pPr>
              <w:widowControl/>
              <w:spacing w:line="240" w:lineRule="auto"/>
              <w:jc w:val="center"/>
              <w:rPr>
                <w:sz w:val="21"/>
                <w:szCs w:val="21"/>
                <w:lang w:eastAsia="en-US"/>
              </w:rPr>
            </w:pPr>
            <w:r>
              <w:rPr>
                <w:rFonts w:hint="eastAsia"/>
                <w:sz w:val="21"/>
                <w:szCs w:val="21"/>
                <w:lang w:eastAsia="en-US"/>
              </w:rPr>
              <w:t>-1271</w:t>
            </w:r>
          </w:p>
        </w:tc>
        <w:tc>
          <w:tcPr>
            <w:tcW w:w="645" w:type="dxa"/>
            <w:vMerge w:val="restart"/>
            <w:tcBorders>
              <w:tl2br w:val="nil"/>
              <w:tr2bl w:val="nil"/>
            </w:tcBorders>
            <w:shd w:val="clear" w:color="auto" w:fill="auto"/>
            <w:vAlign w:val="center"/>
          </w:tcPr>
          <w:p w14:paraId="55FD61BB">
            <w:pPr>
              <w:widowControl/>
              <w:spacing w:line="240" w:lineRule="auto"/>
              <w:jc w:val="center"/>
              <w:rPr>
                <w:sz w:val="21"/>
                <w:szCs w:val="21"/>
                <w:lang w:eastAsia="en-US"/>
              </w:rPr>
            </w:pPr>
            <w:r>
              <w:rPr>
                <w:rFonts w:hint="eastAsia"/>
                <w:sz w:val="21"/>
                <w:szCs w:val="21"/>
                <w:lang w:eastAsia="en-US"/>
              </w:rPr>
              <w:t>1231</w:t>
            </w:r>
          </w:p>
        </w:tc>
        <w:tc>
          <w:tcPr>
            <w:tcW w:w="911" w:type="dxa"/>
            <w:tcBorders>
              <w:tl2br w:val="nil"/>
              <w:tr2bl w:val="nil"/>
            </w:tcBorders>
            <w:shd w:val="clear" w:color="auto" w:fill="auto"/>
            <w:vAlign w:val="center"/>
          </w:tcPr>
          <w:p w14:paraId="48E02E19">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3EF6007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080701</w:t>
            </w:r>
          </w:p>
        </w:tc>
        <w:tc>
          <w:tcPr>
            <w:tcW w:w="1178" w:type="dxa"/>
            <w:tcBorders>
              <w:tl2br w:val="nil"/>
              <w:tr2bl w:val="nil"/>
            </w:tcBorders>
            <w:shd w:val="clear" w:color="auto" w:fill="auto"/>
            <w:vAlign w:val="center"/>
          </w:tcPr>
          <w:p w14:paraId="04485393">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62B48366">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75B0FE85">
            <w:pPr>
              <w:widowControl w:val="0"/>
              <w:jc w:val="center"/>
              <w:rPr>
                <w:sz w:val="21"/>
                <w:szCs w:val="21"/>
                <w:lang w:eastAsia="en-US"/>
              </w:rPr>
            </w:pPr>
            <w:r>
              <w:rPr>
                <w:sz w:val="21"/>
                <w:szCs w:val="21"/>
                <w:lang w:eastAsia="en-US"/>
              </w:rPr>
              <w:t>0.11%</w:t>
            </w:r>
          </w:p>
        </w:tc>
        <w:tc>
          <w:tcPr>
            <w:tcW w:w="713" w:type="dxa"/>
            <w:tcBorders>
              <w:tl2br w:val="nil"/>
              <w:tr2bl w:val="nil"/>
            </w:tcBorders>
            <w:shd w:val="clear" w:color="auto" w:fill="auto"/>
            <w:vAlign w:val="center"/>
          </w:tcPr>
          <w:p w14:paraId="11620EE0">
            <w:pPr>
              <w:widowControl/>
              <w:spacing w:line="240" w:lineRule="auto"/>
              <w:jc w:val="center"/>
              <w:rPr>
                <w:sz w:val="21"/>
                <w:szCs w:val="21"/>
                <w:lang w:eastAsia="en-US"/>
              </w:rPr>
            </w:pPr>
            <w:r>
              <w:rPr>
                <w:sz w:val="21"/>
                <w:szCs w:val="21"/>
                <w:lang w:eastAsia="en-US"/>
              </w:rPr>
              <w:t>达标</w:t>
            </w:r>
          </w:p>
        </w:tc>
      </w:tr>
      <w:tr w14:paraId="2D4FAA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68756DE">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01A5A2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ED817E9">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09B8720">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11E8694">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4EDB9EDE">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w:t>
            </w:r>
          </w:p>
        </w:tc>
        <w:tc>
          <w:tcPr>
            <w:tcW w:w="1178" w:type="dxa"/>
            <w:tcBorders>
              <w:tl2br w:val="nil"/>
              <w:tr2bl w:val="nil"/>
            </w:tcBorders>
            <w:shd w:val="clear" w:color="auto" w:fill="auto"/>
            <w:vAlign w:val="center"/>
          </w:tcPr>
          <w:p w14:paraId="17B9628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0F94E45">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697BF327">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65AA6323">
            <w:pPr>
              <w:widowControl/>
              <w:spacing w:line="240" w:lineRule="auto"/>
              <w:jc w:val="center"/>
              <w:rPr>
                <w:sz w:val="21"/>
                <w:szCs w:val="21"/>
                <w:lang w:eastAsia="en-US"/>
              </w:rPr>
            </w:pPr>
            <w:r>
              <w:rPr>
                <w:sz w:val="21"/>
                <w:szCs w:val="21"/>
                <w:lang w:eastAsia="en-US"/>
              </w:rPr>
              <w:t>达标</w:t>
            </w:r>
          </w:p>
        </w:tc>
      </w:tr>
      <w:tr w14:paraId="027F71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17E90E5">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5E3EC2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9934F87">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E7E366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8690794">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ED45E82">
            <w:pPr>
              <w:widowControl w:val="0"/>
              <w:jc w:val="center"/>
              <w:rPr>
                <w:sz w:val="21"/>
                <w:szCs w:val="21"/>
                <w:lang w:eastAsia="en-US"/>
              </w:rPr>
            </w:pPr>
            <w:r>
              <w:rPr>
                <w:rFonts w:hint="eastAsia"/>
                <w:sz w:val="21"/>
                <w:szCs w:val="21"/>
                <w:lang w:eastAsia="en-US"/>
              </w:rPr>
              <w:t>/</w:t>
            </w:r>
          </w:p>
        </w:tc>
        <w:tc>
          <w:tcPr>
            <w:tcW w:w="1178" w:type="dxa"/>
            <w:tcBorders>
              <w:tl2br w:val="nil"/>
              <w:tr2bl w:val="nil"/>
            </w:tcBorders>
            <w:shd w:val="clear" w:color="auto" w:fill="auto"/>
            <w:vAlign w:val="center"/>
          </w:tcPr>
          <w:p w14:paraId="565EB53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2C180DB">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9877A2C">
            <w:pPr>
              <w:widowControl w:val="0"/>
              <w:jc w:val="center"/>
              <w:rPr>
                <w:sz w:val="21"/>
                <w:szCs w:val="21"/>
                <w:lang w:eastAsia="en-US"/>
              </w:rPr>
            </w:pPr>
            <w:r>
              <w:rPr>
                <w:sz w:val="21"/>
                <w:szCs w:val="21"/>
                <w:lang w:eastAsia="en-US"/>
              </w:rPr>
              <w:t>0.00%</w:t>
            </w:r>
          </w:p>
        </w:tc>
        <w:tc>
          <w:tcPr>
            <w:tcW w:w="713" w:type="dxa"/>
            <w:tcBorders>
              <w:tl2br w:val="nil"/>
              <w:tr2bl w:val="nil"/>
            </w:tcBorders>
            <w:shd w:val="clear" w:color="auto" w:fill="auto"/>
            <w:vAlign w:val="center"/>
          </w:tcPr>
          <w:p w14:paraId="6614827A">
            <w:pPr>
              <w:widowControl/>
              <w:spacing w:line="240" w:lineRule="auto"/>
              <w:jc w:val="center"/>
              <w:rPr>
                <w:sz w:val="21"/>
                <w:szCs w:val="21"/>
                <w:lang w:eastAsia="en-US"/>
              </w:rPr>
            </w:pPr>
            <w:r>
              <w:rPr>
                <w:sz w:val="21"/>
                <w:szCs w:val="21"/>
                <w:lang w:eastAsia="en-US"/>
              </w:rPr>
              <w:t>达标</w:t>
            </w:r>
          </w:p>
        </w:tc>
      </w:tr>
    </w:tbl>
    <w:p w14:paraId="16A09104">
      <w:pPr>
        <w:ind w:firstLine="480"/>
        <w:jc w:val="center"/>
      </w:pPr>
    </w:p>
    <w:p w14:paraId="18395E71">
      <w:pPr>
        <w:ind w:firstLine="480"/>
        <w:jc w:val="center"/>
      </w:pPr>
    </w:p>
    <w:p w14:paraId="709E140D">
      <w:pPr>
        <w:ind w:firstLine="480"/>
        <w:jc w:val="center"/>
      </w:pPr>
    </w:p>
    <w:p w14:paraId="5757CD47">
      <w:pPr>
        <w:ind w:firstLine="480"/>
        <w:jc w:val="center"/>
      </w:pPr>
    </w:p>
    <w:p w14:paraId="61EE33E2">
      <w:pPr>
        <w:ind w:firstLine="480"/>
        <w:jc w:val="center"/>
      </w:pPr>
    </w:p>
    <w:p w14:paraId="6827A2A5">
      <w:pPr>
        <w:ind w:firstLine="480"/>
        <w:jc w:val="center"/>
      </w:pPr>
    </w:p>
    <w:p w14:paraId="267C1747">
      <w:pPr>
        <w:ind w:firstLine="480"/>
        <w:jc w:val="center"/>
      </w:pPr>
      <w:r>
        <w:drawing>
          <wp:anchor distT="0" distB="0" distL="114300" distR="114300" simplePos="0" relativeHeight="251671552" behindDoc="0" locked="0" layoutInCell="1" allowOverlap="1">
            <wp:simplePos x="0" y="0"/>
            <wp:positionH relativeFrom="margin">
              <wp:posOffset>338455</wp:posOffset>
            </wp:positionH>
            <wp:positionV relativeFrom="margin">
              <wp:posOffset>-205740</wp:posOffset>
            </wp:positionV>
            <wp:extent cx="4650740" cy="3853815"/>
            <wp:effectExtent l="0" t="0" r="0" b="0"/>
            <wp:wrapSquare wrapText="bothSides"/>
            <wp:docPr id="3" name="图片 3" descr="C:\Users\WXY\AppData\Local\Microsoft\Windows\INetCache\Content.Word\SO2小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WXY\AppData\Local\Microsoft\Windows\INetCache\Content.Word\SO2小时.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650740" cy="3853815"/>
                    </a:xfrm>
                    <a:prstGeom prst="rect">
                      <a:avLst/>
                    </a:prstGeom>
                    <a:noFill/>
                    <a:ln>
                      <a:noFill/>
                    </a:ln>
                  </pic:spPr>
                </pic:pic>
              </a:graphicData>
            </a:graphic>
          </wp:anchor>
        </w:drawing>
      </w:r>
      <w:r>
        <w:rPr>
          <w:rFonts w:hint="eastAsia"/>
        </w:rPr>
        <w:t>SO</w:t>
      </w:r>
      <w:r>
        <w:rPr>
          <w:rFonts w:hint="eastAsia"/>
          <w:vertAlign w:val="subscript"/>
        </w:rPr>
        <w:t>2</w:t>
      </w:r>
      <w:r>
        <w:rPr>
          <w:rFonts w:hint="eastAsia"/>
        </w:rPr>
        <w:t>贡献值浓度分布图—1小时  单位：mg/m</w:t>
      </w:r>
      <w:r>
        <w:rPr>
          <w:rFonts w:hint="eastAsia"/>
          <w:vertAlign w:val="superscript"/>
        </w:rPr>
        <w:t>3</w:t>
      </w:r>
    </w:p>
    <w:p w14:paraId="7B6B7E19">
      <w:pPr>
        <w:ind w:firstLine="480"/>
        <w:jc w:val="center"/>
        <w:rPr>
          <w:u w:val="single"/>
        </w:rPr>
      </w:pPr>
      <w:r>
        <w:pict>
          <v:shape id="_x0000_s1159" o:spid="_x0000_s1159" o:spt="75" type="#_x0000_t75" style="position:absolute;left:0pt;margin-left:36.3pt;margin-top:312.85pt;height:289.15pt;width:348.65pt;mso-position-horizontal-relative:margin;mso-position-vertical-relative:margin;mso-wrap-distance-bottom:0pt;mso-wrap-distance-left:9pt;mso-wrap-distance-right:9pt;mso-wrap-distance-top:0pt;z-index:251672576;mso-width-relative:page;mso-height-relative:page;" filled="f" o:preferrelative="t" stroked="f" coordsize="21600,21600">
            <v:path/>
            <v:fill on="f" focussize="0,0"/>
            <v:stroke on="f" joinstyle="miter"/>
            <v:imagedata r:id="rId53" o:title="SO2日均"/>
            <o:lock v:ext="edit" aspectratio="t"/>
            <w10:wrap type="square"/>
          </v:shape>
        </w:pict>
      </w:r>
    </w:p>
    <w:p w14:paraId="05F78D58">
      <w:pPr>
        <w:ind w:firstLine="480"/>
        <w:jc w:val="center"/>
        <w:rPr>
          <w:u w:val="single"/>
        </w:rPr>
      </w:pPr>
    </w:p>
    <w:p w14:paraId="5DEAD78A">
      <w:pPr>
        <w:ind w:firstLine="480"/>
        <w:jc w:val="center"/>
        <w:rPr>
          <w:u w:val="single"/>
        </w:rPr>
      </w:pPr>
    </w:p>
    <w:p w14:paraId="552C8337">
      <w:pPr>
        <w:ind w:firstLine="480"/>
        <w:jc w:val="center"/>
        <w:rPr>
          <w:u w:val="single"/>
        </w:rPr>
      </w:pPr>
    </w:p>
    <w:p w14:paraId="2A0CE0F5">
      <w:pPr>
        <w:ind w:firstLine="480"/>
        <w:jc w:val="center"/>
        <w:rPr>
          <w:u w:val="single"/>
        </w:rPr>
      </w:pPr>
    </w:p>
    <w:p w14:paraId="2FCF77E8">
      <w:pPr>
        <w:ind w:firstLine="480"/>
        <w:jc w:val="center"/>
        <w:rPr>
          <w:u w:val="single"/>
        </w:rPr>
      </w:pPr>
    </w:p>
    <w:p w14:paraId="71A63118">
      <w:pPr>
        <w:ind w:firstLine="480"/>
        <w:jc w:val="center"/>
        <w:rPr>
          <w:u w:val="single"/>
        </w:rPr>
      </w:pPr>
    </w:p>
    <w:p w14:paraId="0C2854A8">
      <w:pPr>
        <w:ind w:firstLine="480"/>
        <w:jc w:val="center"/>
        <w:rPr>
          <w:u w:val="single"/>
        </w:rPr>
      </w:pPr>
    </w:p>
    <w:p w14:paraId="76179F92">
      <w:pPr>
        <w:ind w:firstLine="480"/>
        <w:jc w:val="center"/>
        <w:rPr>
          <w:u w:val="single"/>
        </w:rPr>
      </w:pPr>
    </w:p>
    <w:p w14:paraId="762427E0">
      <w:pPr>
        <w:ind w:firstLine="480"/>
        <w:jc w:val="center"/>
        <w:rPr>
          <w:u w:val="single"/>
        </w:rPr>
      </w:pPr>
    </w:p>
    <w:p w14:paraId="5EE1019A">
      <w:pPr>
        <w:ind w:firstLine="480"/>
        <w:jc w:val="center"/>
        <w:rPr>
          <w:u w:val="single"/>
        </w:rPr>
      </w:pPr>
    </w:p>
    <w:p w14:paraId="5A1F6B2D">
      <w:pPr>
        <w:ind w:firstLine="480"/>
        <w:jc w:val="center"/>
        <w:rPr>
          <w:u w:val="single"/>
        </w:rPr>
      </w:pPr>
    </w:p>
    <w:p w14:paraId="392B25E9">
      <w:pPr>
        <w:ind w:firstLine="480"/>
        <w:jc w:val="center"/>
        <w:rPr>
          <w:u w:val="single"/>
        </w:rPr>
      </w:pPr>
    </w:p>
    <w:p w14:paraId="721B9529">
      <w:pPr>
        <w:pStyle w:val="45"/>
        <w:numPr>
          <w:ilvl w:val="6"/>
          <w:numId w:val="0"/>
        </w:numPr>
        <w:spacing w:before="156"/>
        <w:ind w:firstLine="1265" w:firstLineChars="600"/>
        <w:jc w:val="both"/>
        <w:rPr>
          <w:color w:val="auto"/>
          <w:u w:val="single"/>
        </w:rPr>
      </w:pPr>
      <w:r>
        <w:rPr>
          <w:rFonts w:hint="default" w:ascii="宋体" w:hAnsi="宋体" w:eastAsia="宋体" w:cs="宋体"/>
          <w:b/>
          <w:bCs/>
          <w:color w:val="auto"/>
          <w:kern w:val="2"/>
          <w:sz w:val="21"/>
          <w:szCs w:val="21"/>
          <w:lang w:val="en-US" w:eastAsia="zh-CN" w:bidi="ar-SA"/>
        </w:rPr>
        <w:t xml:space="preserve">图6.2-6 </w:t>
      </w:r>
      <w:r>
        <w:rPr>
          <w:rFonts w:hint="eastAsia"/>
          <w:color w:val="auto"/>
          <w:u w:val="single"/>
        </w:rPr>
        <w:t>SO</w:t>
      </w:r>
      <w:r>
        <w:rPr>
          <w:rFonts w:hint="eastAsia"/>
          <w:color w:val="auto"/>
          <w:u w:val="single"/>
          <w:vertAlign w:val="subscript"/>
        </w:rPr>
        <w:t>2</w:t>
      </w:r>
      <w:r>
        <w:rPr>
          <w:rFonts w:hint="eastAsia"/>
          <w:color w:val="auto"/>
          <w:u w:val="single"/>
        </w:rPr>
        <w:t>贡献值浓度分布图—日均 单位：mg/m</w:t>
      </w:r>
      <w:r>
        <w:rPr>
          <w:rFonts w:hint="eastAsia"/>
          <w:color w:val="auto"/>
          <w:u w:val="single"/>
          <w:vertAlign w:val="superscript"/>
        </w:rPr>
        <w:t>3</w:t>
      </w:r>
    </w:p>
    <w:p w14:paraId="1605D731">
      <w:pPr>
        <w:ind w:firstLine="480"/>
        <w:jc w:val="center"/>
        <w:rPr>
          <w:u w:val="single"/>
        </w:rPr>
      </w:pPr>
    </w:p>
    <w:p w14:paraId="74CCCD84">
      <w:pPr>
        <w:ind w:firstLine="480"/>
        <w:jc w:val="center"/>
        <w:rPr>
          <w:u w:val="single"/>
        </w:rPr>
      </w:pPr>
    </w:p>
    <w:p w14:paraId="7226FFEB">
      <w:pPr>
        <w:ind w:firstLine="480"/>
        <w:jc w:val="center"/>
        <w:rPr>
          <w:u w:val="single"/>
        </w:rPr>
      </w:pPr>
      <w:r>
        <w:pict>
          <v:shape id="_x0000_s1160" o:spid="_x0000_s1160" o:spt="75" type="#_x0000_t75" style="position:absolute;left:0pt;margin-left:36.25pt;margin-top:-13.65pt;height:288.6pt;width:347.95pt;mso-position-horizontal-relative:margin;mso-position-vertical-relative:margin;mso-wrap-distance-bottom:0pt;mso-wrap-distance-left:9pt;mso-wrap-distance-right:9pt;mso-wrap-distance-top:0pt;z-index:251673600;mso-width-relative:page;mso-height-relative:page;" filled="f" o:preferrelative="t" stroked="f" coordsize="21600,21600">
            <v:path/>
            <v:fill on="f" focussize="0,0"/>
            <v:stroke on="f" joinstyle="miter"/>
            <v:imagedata r:id="rId54" o:title="SO2年均"/>
            <o:lock v:ext="edit" aspectratio="t"/>
            <w10:wrap type="square"/>
          </v:shape>
        </w:pict>
      </w:r>
    </w:p>
    <w:p w14:paraId="641BB65B">
      <w:pPr>
        <w:ind w:firstLine="480"/>
        <w:jc w:val="center"/>
        <w:rPr>
          <w:u w:val="single"/>
        </w:rPr>
      </w:pPr>
    </w:p>
    <w:p w14:paraId="05378B58">
      <w:pPr>
        <w:ind w:firstLine="480"/>
        <w:jc w:val="center"/>
        <w:rPr>
          <w:u w:val="single"/>
        </w:rPr>
      </w:pPr>
    </w:p>
    <w:p w14:paraId="0FEB900D">
      <w:pPr>
        <w:ind w:firstLine="480"/>
        <w:jc w:val="center"/>
        <w:rPr>
          <w:u w:val="single"/>
        </w:rPr>
      </w:pPr>
    </w:p>
    <w:p w14:paraId="7497FF7D">
      <w:pPr>
        <w:ind w:firstLine="480"/>
        <w:jc w:val="center"/>
        <w:rPr>
          <w:u w:val="single"/>
        </w:rPr>
      </w:pPr>
    </w:p>
    <w:p w14:paraId="536C3176">
      <w:pPr>
        <w:ind w:firstLine="480"/>
        <w:jc w:val="center"/>
        <w:rPr>
          <w:u w:val="single"/>
        </w:rPr>
      </w:pPr>
    </w:p>
    <w:p w14:paraId="1C1FBCF4">
      <w:pPr>
        <w:ind w:firstLine="480"/>
        <w:jc w:val="center"/>
        <w:rPr>
          <w:u w:val="single"/>
        </w:rPr>
      </w:pPr>
    </w:p>
    <w:p w14:paraId="12CC80D4">
      <w:pPr>
        <w:ind w:firstLine="480"/>
        <w:jc w:val="center"/>
        <w:rPr>
          <w:u w:val="single"/>
        </w:rPr>
      </w:pPr>
    </w:p>
    <w:p w14:paraId="67C51DB9">
      <w:pPr>
        <w:ind w:firstLine="480"/>
        <w:jc w:val="center"/>
        <w:rPr>
          <w:u w:val="single"/>
        </w:rPr>
      </w:pPr>
    </w:p>
    <w:p w14:paraId="10EE0914">
      <w:pPr>
        <w:ind w:firstLine="480"/>
        <w:jc w:val="center"/>
        <w:rPr>
          <w:u w:val="single"/>
        </w:rPr>
      </w:pPr>
    </w:p>
    <w:p w14:paraId="159FC736">
      <w:pPr>
        <w:ind w:firstLine="480"/>
        <w:jc w:val="center"/>
        <w:rPr>
          <w:u w:val="single"/>
        </w:rPr>
      </w:pPr>
    </w:p>
    <w:p w14:paraId="2A9731D4">
      <w:pPr>
        <w:ind w:firstLine="480"/>
        <w:jc w:val="center"/>
        <w:rPr>
          <w:u w:val="single"/>
        </w:rPr>
      </w:pPr>
    </w:p>
    <w:p w14:paraId="41AC7284">
      <w:pPr>
        <w:pStyle w:val="45"/>
        <w:numPr>
          <w:ilvl w:val="6"/>
          <w:numId w:val="0"/>
        </w:numPr>
        <w:spacing w:before="156"/>
        <w:ind w:left="6096" w:leftChars="0" w:hanging="3827" w:firstLineChars="0"/>
        <w:jc w:val="both"/>
        <w:rPr>
          <w:color w:val="auto"/>
          <w:u w:val="single"/>
        </w:rPr>
      </w:pPr>
      <w:r>
        <w:rPr>
          <w:rFonts w:hint="default" w:ascii="宋体" w:hAnsi="宋体" w:eastAsia="宋体" w:cs="宋体"/>
          <w:b/>
          <w:bCs/>
          <w:color w:val="auto"/>
          <w:kern w:val="2"/>
          <w:sz w:val="21"/>
          <w:szCs w:val="21"/>
          <w:lang w:val="en-US" w:eastAsia="zh-CN" w:bidi="ar-SA"/>
        </w:rPr>
        <w:t xml:space="preserve">图6.2-7 </w:t>
      </w:r>
      <w:r>
        <w:rPr>
          <w:rFonts w:hint="eastAsia"/>
          <w:color w:val="auto"/>
          <w:u w:val="single"/>
        </w:rPr>
        <w:t>SO</w:t>
      </w:r>
      <w:r>
        <w:rPr>
          <w:rFonts w:hint="eastAsia"/>
          <w:color w:val="auto"/>
          <w:u w:val="single"/>
          <w:vertAlign w:val="subscript"/>
        </w:rPr>
        <w:t>2</w:t>
      </w:r>
      <w:r>
        <w:rPr>
          <w:rFonts w:hint="eastAsia"/>
          <w:color w:val="auto"/>
          <w:u w:val="single"/>
        </w:rPr>
        <w:t>贡献值浓度分布图—年均 单位：mg/m</w:t>
      </w:r>
      <w:r>
        <w:rPr>
          <w:rFonts w:hint="eastAsia"/>
          <w:color w:val="auto"/>
          <w:u w:val="single"/>
          <w:vertAlign w:val="superscript"/>
        </w:rPr>
        <w:t>3</w:t>
      </w:r>
    </w:p>
    <w:p w14:paraId="04146D23">
      <w:pPr>
        <w:ind w:firstLine="480"/>
      </w:pPr>
      <w:r>
        <w:rPr>
          <w:rFonts w:hint="eastAsia" w:ascii="宋体" w:hAnsi="宋体" w:cs="宋体"/>
        </w:rPr>
        <w:t>②</w:t>
      </w:r>
      <w:r>
        <w:rPr>
          <w:rFonts w:hint="eastAsia"/>
        </w:rPr>
        <w:t>NO</w:t>
      </w:r>
      <w:r>
        <w:rPr>
          <w:rFonts w:hint="eastAsia"/>
          <w:vertAlign w:val="subscript"/>
        </w:rPr>
        <w:t>2</w:t>
      </w:r>
      <w:r>
        <w:rPr>
          <w:rFonts w:hint="eastAsia"/>
        </w:rPr>
        <w:t>预测结果</w:t>
      </w:r>
    </w:p>
    <w:p w14:paraId="028D6CBC">
      <w:pPr>
        <w:ind w:firstLine="480"/>
      </w:pPr>
      <w:r>
        <w:t>正常排放情况下，对于敏感点而言，本项目排放的</w:t>
      </w:r>
      <w:r>
        <w:rPr>
          <w:rFonts w:hint="eastAsia"/>
        </w:rPr>
        <w:t>NO</w:t>
      </w:r>
      <w:r>
        <w:rPr>
          <w:rFonts w:hint="eastAsia"/>
          <w:vertAlign w:val="subscript"/>
        </w:rPr>
        <w:t>2</w:t>
      </w:r>
      <w:r>
        <w:t>小时、日均、年均浓度贡献值满足《环境空气质量标准》（GB3095-2012）二级标准要求。区域最大落地浓度中，1小时浓度贡献值最大值为</w:t>
      </w:r>
      <w:r>
        <w:rPr>
          <w:rFonts w:hint="eastAsia"/>
        </w:rPr>
        <w:t>0.0052</w:t>
      </w:r>
      <w:r>
        <w:t>mg/m³、最大占标率为</w:t>
      </w:r>
      <w:r>
        <w:rPr>
          <w:rFonts w:hint="eastAsia"/>
        </w:rPr>
        <w:t>2.58</w:t>
      </w:r>
      <w:r>
        <w:t>%；日均浓度贡献值最大值为</w:t>
      </w:r>
      <w:r>
        <w:rPr>
          <w:rFonts w:hint="eastAsia"/>
        </w:rPr>
        <w:t>0.0004</w:t>
      </w:r>
      <w:r>
        <w:t>mg/m³、最大占标率为</w:t>
      </w:r>
      <w:r>
        <w:rPr>
          <w:rFonts w:hint="eastAsia"/>
        </w:rPr>
        <w:t>0.45</w:t>
      </w:r>
      <w:r>
        <w:t>%；年均浓度贡献值最大值为</w:t>
      </w:r>
      <w:r>
        <w:rPr>
          <w:rFonts w:hint="eastAsia"/>
        </w:rPr>
        <w:t>0.000225</w:t>
      </w:r>
      <w:r>
        <w:t>mg/m³，最大占标率为</w:t>
      </w:r>
      <w:r>
        <w:rPr>
          <w:rFonts w:hint="eastAsia"/>
        </w:rPr>
        <w:t>0.08</w:t>
      </w:r>
      <w:r>
        <w:t>%。因此项目</w:t>
      </w:r>
      <w:r>
        <w:rPr>
          <w:rFonts w:hint="eastAsia"/>
        </w:rPr>
        <w:t>NO</w:t>
      </w:r>
      <w:r>
        <w:rPr>
          <w:rFonts w:hint="eastAsia"/>
          <w:vertAlign w:val="subscript"/>
        </w:rPr>
        <w:t>2</w:t>
      </w:r>
      <w:r>
        <w:t>短期浓度贡献值的最大浓度占标率≤100%，年均浓度贡献值的最大浓度占标率≤30%。</w:t>
      </w:r>
    </w:p>
    <w:p w14:paraId="0F1B1EE7">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表6.2-17 </w:t>
      </w:r>
      <w:r>
        <w:rPr>
          <w:rFonts w:hint="eastAsia"/>
        </w:rPr>
        <w:t>NO</w:t>
      </w:r>
      <w:r>
        <w:rPr>
          <w:rFonts w:hint="eastAsia"/>
          <w:vertAlign w:val="subscript"/>
        </w:rPr>
        <w:t>2</w:t>
      </w:r>
      <w:r>
        <w:rPr>
          <w:rFonts w:hint="eastAsia"/>
        </w:rPr>
        <w:t>贡献值预测结果   单位：mg/m</w:t>
      </w:r>
      <w:r>
        <w:rPr>
          <w:rFonts w:hint="eastAsia"/>
          <w:vertAlign w:val="superscript"/>
        </w:rPr>
        <w:t>3</w:t>
      </w:r>
    </w:p>
    <w:tbl>
      <w:tblPr>
        <w:tblStyle w:val="66"/>
        <w:tblW w:w="509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8"/>
        <w:gridCol w:w="1145"/>
        <w:gridCol w:w="737"/>
        <w:gridCol w:w="647"/>
        <w:gridCol w:w="914"/>
        <w:gridCol w:w="1069"/>
        <w:gridCol w:w="1182"/>
        <w:gridCol w:w="914"/>
        <w:gridCol w:w="784"/>
        <w:gridCol w:w="716"/>
      </w:tblGrid>
      <w:tr w14:paraId="1DC66BC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8" w:type="dxa"/>
            <w:tcBorders>
              <w:tl2br w:val="nil"/>
              <w:tr2bl w:val="nil"/>
            </w:tcBorders>
            <w:shd w:val="clear" w:color="auto" w:fill="auto"/>
            <w:textDirection w:val="tbRlV"/>
            <w:vAlign w:val="center"/>
          </w:tcPr>
          <w:p w14:paraId="3FEFEE37">
            <w:pPr>
              <w:widowControl/>
              <w:spacing w:line="380" w:lineRule="exact"/>
              <w:jc w:val="center"/>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155" name="IM 148"/>
                  <wp:cNvGraphicFramePr/>
                  <a:graphic xmlns:a="http://schemas.openxmlformats.org/drawingml/2006/main">
                    <a:graphicData uri="http://schemas.openxmlformats.org/drawingml/2006/picture">
                      <pic:pic xmlns:pic="http://schemas.openxmlformats.org/drawingml/2006/picture">
                        <pic:nvPicPr>
                          <pic:cNvPr id="155" name="IM 148"/>
                          <pic:cNvPicPr/>
                        </pic:nvPicPr>
                        <pic:blipFill>
                          <a:blip r:embed="rId51"/>
                          <a:stretch>
                            <a:fillRect/>
                          </a:stretch>
                        </pic:blipFill>
                        <pic:spPr>
                          <a:xfrm>
                            <a:off x="0" y="0"/>
                            <a:ext cx="137160" cy="0"/>
                          </a:xfrm>
                          <a:prstGeom prst="rect">
                            <a:avLst/>
                          </a:prstGeom>
                        </pic:spPr>
                      </pic:pic>
                    </a:graphicData>
                  </a:graphic>
                </wp:inline>
              </w:drawing>
            </w:r>
          </w:p>
        </w:tc>
        <w:tc>
          <w:tcPr>
            <w:tcW w:w="1145" w:type="dxa"/>
            <w:tcBorders>
              <w:tl2br w:val="nil"/>
              <w:tr2bl w:val="nil"/>
            </w:tcBorders>
            <w:shd w:val="clear" w:color="auto" w:fill="auto"/>
            <w:vAlign w:val="center"/>
          </w:tcPr>
          <w:p w14:paraId="61769DFA">
            <w:pPr>
              <w:widowControl/>
              <w:spacing w:line="380" w:lineRule="exact"/>
              <w:jc w:val="center"/>
              <w:rPr>
                <w:sz w:val="21"/>
                <w:szCs w:val="21"/>
                <w:lang w:eastAsia="en-US"/>
              </w:rPr>
            </w:pPr>
            <w:r>
              <w:rPr>
                <w:sz w:val="21"/>
                <w:szCs w:val="21"/>
                <w:lang w:eastAsia="en-US"/>
              </w:rPr>
              <w:t>离散点</w:t>
            </w:r>
          </w:p>
        </w:tc>
        <w:tc>
          <w:tcPr>
            <w:tcW w:w="737" w:type="dxa"/>
            <w:tcBorders>
              <w:tl2br w:val="nil"/>
              <w:tr2bl w:val="nil"/>
            </w:tcBorders>
            <w:shd w:val="clear" w:color="auto" w:fill="auto"/>
            <w:vAlign w:val="center"/>
          </w:tcPr>
          <w:p w14:paraId="6EB851F4">
            <w:pPr>
              <w:widowControl/>
              <w:spacing w:line="380" w:lineRule="exact"/>
              <w:jc w:val="center"/>
              <w:rPr>
                <w:sz w:val="21"/>
                <w:szCs w:val="21"/>
                <w:lang w:eastAsia="en-US"/>
              </w:rPr>
            </w:pPr>
            <w:r>
              <w:rPr>
                <w:sz w:val="21"/>
                <w:szCs w:val="21"/>
                <w:lang w:eastAsia="en-US"/>
              </w:rPr>
              <w:t>点坐标 （X）</w:t>
            </w:r>
          </w:p>
        </w:tc>
        <w:tc>
          <w:tcPr>
            <w:tcW w:w="647" w:type="dxa"/>
            <w:tcBorders>
              <w:tl2br w:val="nil"/>
              <w:tr2bl w:val="nil"/>
            </w:tcBorders>
            <w:shd w:val="clear" w:color="auto" w:fill="auto"/>
            <w:vAlign w:val="center"/>
          </w:tcPr>
          <w:p w14:paraId="79439C42">
            <w:pPr>
              <w:widowControl/>
              <w:spacing w:line="380" w:lineRule="exact"/>
              <w:jc w:val="center"/>
              <w:rPr>
                <w:sz w:val="21"/>
                <w:szCs w:val="21"/>
                <w:lang w:eastAsia="en-US"/>
              </w:rPr>
            </w:pPr>
            <w:r>
              <w:rPr>
                <w:sz w:val="21"/>
                <w:szCs w:val="21"/>
                <w:lang w:eastAsia="en-US"/>
              </w:rPr>
              <w:t>点坐标 （Y）</w:t>
            </w:r>
          </w:p>
        </w:tc>
        <w:tc>
          <w:tcPr>
            <w:tcW w:w="914" w:type="dxa"/>
            <w:tcBorders>
              <w:tl2br w:val="nil"/>
              <w:tr2bl w:val="nil"/>
            </w:tcBorders>
            <w:shd w:val="clear" w:color="auto" w:fill="auto"/>
            <w:vAlign w:val="center"/>
          </w:tcPr>
          <w:p w14:paraId="1C7DE49F">
            <w:pPr>
              <w:widowControl/>
              <w:spacing w:line="380" w:lineRule="exact"/>
              <w:jc w:val="center"/>
              <w:rPr>
                <w:sz w:val="21"/>
                <w:szCs w:val="21"/>
                <w:lang w:eastAsia="en-US"/>
              </w:rPr>
            </w:pPr>
            <w:r>
              <w:rPr>
                <w:sz w:val="21"/>
                <w:szCs w:val="21"/>
                <w:lang w:eastAsia="en-US"/>
              </w:rPr>
              <w:t>浓度类型</w:t>
            </w:r>
          </w:p>
        </w:tc>
        <w:tc>
          <w:tcPr>
            <w:tcW w:w="1069" w:type="dxa"/>
            <w:tcBorders>
              <w:tl2br w:val="nil"/>
              <w:tr2bl w:val="nil"/>
            </w:tcBorders>
            <w:shd w:val="clear" w:color="auto" w:fill="auto"/>
            <w:vAlign w:val="center"/>
          </w:tcPr>
          <w:p w14:paraId="49ECB71B">
            <w:pPr>
              <w:widowControl/>
              <w:spacing w:line="380" w:lineRule="exact"/>
              <w:jc w:val="center"/>
              <w:rPr>
                <w:sz w:val="21"/>
                <w:szCs w:val="21"/>
                <w:lang w:eastAsia="en-US"/>
              </w:rPr>
            </w:pPr>
            <w:r>
              <w:rPr>
                <w:sz w:val="21"/>
                <w:szCs w:val="21"/>
                <w:lang w:eastAsia="en-US"/>
              </w:rPr>
              <w:t>出现时间</w:t>
            </w:r>
          </w:p>
        </w:tc>
        <w:tc>
          <w:tcPr>
            <w:tcW w:w="1182" w:type="dxa"/>
            <w:tcBorders>
              <w:tl2br w:val="nil"/>
              <w:tr2bl w:val="nil"/>
            </w:tcBorders>
            <w:shd w:val="clear" w:color="auto" w:fill="auto"/>
            <w:vAlign w:val="center"/>
          </w:tcPr>
          <w:p w14:paraId="5DCF3B66">
            <w:pPr>
              <w:widowControl/>
              <w:spacing w:line="380" w:lineRule="exact"/>
              <w:jc w:val="center"/>
              <w:rPr>
                <w:sz w:val="21"/>
                <w:szCs w:val="21"/>
                <w:lang w:eastAsia="en-US"/>
              </w:rPr>
            </w:pPr>
            <w:r>
              <w:rPr>
                <w:sz w:val="21"/>
                <w:szCs w:val="21"/>
                <w:lang w:eastAsia="en-US"/>
              </w:rPr>
              <w:t>预测值</w:t>
            </w:r>
          </w:p>
        </w:tc>
        <w:tc>
          <w:tcPr>
            <w:tcW w:w="914" w:type="dxa"/>
            <w:tcBorders>
              <w:tl2br w:val="nil"/>
              <w:tr2bl w:val="nil"/>
            </w:tcBorders>
            <w:shd w:val="clear" w:color="auto" w:fill="auto"/>
            <w:vAlign w:val="center"/>
          </w:tcPr>
          <w:p w14:paraId="479E91D2">
            <w:pPr>
              <w:widowControl/>
              <w:spacing w:line="380" w:lineRule="exact"/>
              <w:jc w:val="center"/>
              <w:rPr>
                <w:sz w:val="21"/>
                <w:szCs w:val="21"/>
                <w:lang w:eastAsia="en-US"/>
              </w:rPr>
            </w:pPr>
            <w:r>
              <w:rPr>
                <w:sz w:val="21"/>
                <w:szCs w:val="21"/>
                <w:lang w:eastAsia="en-US"/>
              </w:rPr>
              <w:t>评价标准</w:t>
            </w:r>
          </w:p>
        </w:tc>
        <w:tc>
          <w:tcPr>
            <w:tcW w:w="784" w:type="dxa"/>
            <w:tcBorders>
              <w:tl2br w:val="nil"/>
              <w:tr2bl w:val="nil"/>
            </w:tcBorders>
            <w:shd w:val="clear" w:color="auto" w:fill="auto"/>
            <w:vAlign w:val="center"/>
          </w:tcPr>
          <w:p w14:paraId="777B7A69">
            <w:pPr>
              <w:widowControl/>
              <w:spacing w:line="380" w:lineRule="exact"/>
              <w:jc w:val="center"/>
              <w:rPr>
                <w:sz w:val="21"/>
                <w:szCs w:val="21"/>
                <w:lang w:eastAsia="en-US"/>
              </w:rPr>
            </w:pPr>
            <w:r>
              <w:rPr>
                <w:sz w:val="21"/>
                <w:szCs w:val="21"/>
                <w:lang w:eastAsia="en-US"/>
              </w:rPr>
              <w:t>占标</w:t>
            </w:r>
          </w:p>
          <w:p w14:paraId="02D02685">
            <w:pPr>
              <w:widowControl/>
              <w:spacing w:line="380" w:lineRule="exact"/>
              <w:jc w:val="center"/>
              <w:rPr>
                <w:sz w:val="21"/>
                <w:szCs w:val="21"/>
                <w:lang w:eastAsia="en-US"/>
              </w:rPr>
            </w:pPr>
            <w:r>
              <w:rPr>
                <w:sz w:val="21"/>
                <w:szCs w:val="21"/>
                <w:lang w:eastAsia="en-US"/>
              </w:rPr>
              <w:t>率%</w:t>
            </w:r>
          </w:p>
        </w:tc>
        <w:tc>
          <w:tcPr>
            <w:tcW w:w="716" w:type="dxa"/>
            <w:tcBorders>
              <w:tl2br w:val="nil"/>
              <w:tr2bl w:val="nil"/>
            </w:tcBorders>
            <w:shd w:val="clear" w:color="auto" w:fill="auto"/>
            <w:vAlign w:val="center"/>
          </w:tcPr>
          <w:p w14:paraId="4B793457">
            <w:pPr>
              <w:widowControl/>
              <w:spacing w:line="380" w:lineRule="exact"/>
              <w:jc w:val="center"/>
              <w:rPr>
                <w:sz w:val="21"/>
                <w:szCs w:val="21"/>
                <w:lang w:eastAsia="en-US"/>
              </w:rPr>
            </w:pPr>
            <w:r>
              <w:rPr>
                <w:sz w:val="21"/>
                <w:szCs w:val="21"/>
                <w:lang w:eastAsia="en-US"/>
              </w:rPr>
              <w:t>是否达 标</w:t>
            </w:r>
          </w:p>
        </w:tc>
      </w:tr>
      <w:tr w14:paraId="39E72A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restart"/>
            <w:tcBorders>
              <w:tl2br w:val="nil"/>
              <w:tr2bl w:val="nil"/>
            </w:tcBorders>
            <w:shd w:val="clear" w:color="auto" w:fill="auto"/>
            <w:vAlign w:val="center"/>
          </w:tcPr>
          <w:p w14:paraId="4AA92622">
            <w:pPr>
              <w:widowControl/>
              <w:spacing w:line="380" w:lineRule="exact"/>
              <w:jc w:val="center"/>
              <w:rPr>
                <w:sz w:val="21"/>
                <w:szCs w:val="21"/>
                <w:lang w:eastAsia="en-US"/>
              </w:rPr>
            </w:pPr>
            <w:r>
              <w:rPr>
                <w:sz w:val="21"/>
                <w:szCs w:val="21"/>
                <w:lang w:eastAsia="en-US"/>
              </w:rPr>
              <w:t>1</w:t>
            </w:r>
          </w:p>
        </w:tc>
        <w:tc>
          <w:tcPr>
            <w:tcW w:w="1145" w:type="dxa"/>
            <w:vMerge w:val="restart"/>
            <w:tcBorders>
              <w:tl2br w:val="nil"/>
              <w:tr2bl w:val="nil"/>
            </w:tcBorders>
            <w:shd w:val="clear" w:color="auto" w:fill="auto"/>
            <w:vAlign w:val="center"/>
          </w:tcPr>
          <w:p w14:paraId="45E07C8C">
            <w:pPr>
              <w:widowControl/>
              <w:spacing w:line="380" w:lineRule="exact"/>
              <w:jc w:val="center"/>
              <w:rPr>
                <w:sz w:val="21"/>
                <w:szCs w:val="21"/>
                <w:lang w:eastAsia="en-US"/>
              </w:rPr>
            </w:pPr>
            <w:r>
              <w:rPr>
                <w:sz w:val="21"/>
                <w:szCs w:val="21"/>
                <w:lang w:eastAsia="en-US"/>
              </w:rPr>
              <w:t>涓江香水湾小区</w:t>
            </w:r>
          </w:p>
        </w:tc>
        <w:tc>
          <w:tcPr>
            <w:tcW w:w="737" w:type="dxa"/>
            <w:vMerge w:val="restart"/>
            <w:tcBorders>
              <w:tl2br w:val="nil"/>
              <w:tr2bl w:val="nil"/>
            </w:tcBorders>
            <w:shd w:val="clear" w:color="auto" w:fill="auto"/>
            <w:vAlign w:val="center"/>
          </w:tcPr>
          <w:p w14:paraId="3787F5E2">
            <w:pPr>
              <w:widowControl/>
              <w:spacing w:line="380" w:lineRule="exact"/>
              <w:jc w:val="center"/>
              <w:rPr>
                <w:sz w:val="21"/>
                <w:szCs w:val="21"/>
                <w:lang w:eastAsia="en-US"/>
              </w:rPr>
            </w:pPr>
            <w:r>
              <w:rPr>
                <w:sz w:val="21"/>
                <w:szCs w:val="21"/>
                <w:lang w:eastAsia="en-US"/>
              </w:rPr>
              <w:t>-</w:t>
            </w:r>
            <w:r>
              <w:rPr>
                <w:rFonts w:hint="eastAsia"/>
                <w:sz w:val="21"/>
                <w:szCs w:val="21"/>
                <w:lang w:eastAsia="en-US"/>
              </w:rPr>
              <w:t>755</w:t>
            </w:r>
          </w:p>
        </w:tc>
        <w:tc>
          <w:tcPr>
            <w:tcW w:w="647" w:type="dxa"/>
            <w:vMerge w:val="restart"/>
            <w:tcBorders>
              <w:tl2br w:val="nil"/>
              <w:tr2bl w:val="nil"/>
            </w:tcBorders>
            <w:shd w:val="clear" w:color="auto" w:fill="auto"/>
            <w:vAlign w:val="center"/>
          </w:tcPr>
          <w:p w14:paraId="023A4CB2">
            <w:pPr>
              <w:widowControl/>
              <w:spacing w:line="380" w:lineRule="exact"/>
              <w:jc w:val="center"/>
              <w:rPr>
                <w:sz w:val="21"/>
                <w:szCs w:val="21"/>
                <w:lang w:eastAsia="en-US"/>
              </w:rPr>
            </w:pPr>
            <w:r>
              <w:rPr>
                <w:rFonts w:hint="eastAsia"/>
                <w:sz w:val="21"/>
                <w:szCs w:val="21"/>
                <w:lang w:eastAsia="en-US"/>
              </w:rPr>
              <w:t>281</w:t>
            </w:r>
          </w:p>
        </w:tc>
        <w:tc>
          <w:tcPr>
            <w:tcW w:w="914" w:type="dxa"/>
            <w:tcBorders>
              <w:tl2br w:val="nil"/>
              <w:tr2bl w:val="nil"/>
            </w:tcBorders>
            <w:shd w:val="clear" w:color="auto" w:fill="auto"/>
            <w:vAlign w:val="center"/>
          </w:tcPr>
          <w:p w14:paraId="3794DC6B">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B4D3598">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82" w:type="dxa"/>
            <w:tcBorders>
              <w:tl2br w:val="nil"/>
              <w:tr2bl w:val="nil"/>
            </w:tcBorders>
            <w:shd w:val="clear" w:color="auto" w:fill="auto"/>
            <w:vAlign w:val="center"/>
          </w:tcPr>
          <w:p w14:paraId="727CB1F1">
            <w:pPr>
              <w:widowControl w:val="0"/>
              <w:spacing w:line="380" w:lineRule="exact"/>
              <w:jc w:val="center"/>
              <w:rPr>
                <w:sz w:val="21"/>
                <w:szCs w:val="21"/>
                <w:lang w:eastAsia="en-US"/>
              </w:rPr>
            </w:pPr>
            <w:r>
              <w:rPr>
                <w:sz w:val="21"/>
                <w:szCs w:val="21"/>
                <w:lang w:eastAsia="en-US"/>
              </w:rPr>
              <w:t>0.0010</w:t>
            </w:r>
          </w:p>
        </w:tc>
        <w:tc>
          <w:tcPr>
            <w:tcW w:w="914" w:type="dxa"/>
            <w:tcBorders>
              <w:tl2br w:val="nil"/>
              <w:tr2bl w:val="nil"/>
            </w:tcBorders>
            <w:shd w:val="clear" w:color="auto" w:fill="auto"/>
            <w:vAlign w:val="center"/>
          </w:tcPr>
          <w:p w14:paraId="258EBC86">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0D08E6F">
            <w:pPr>
              <w:widowControl w:val="0"/>
              <w:spacing w:line="380" w:lineRule="exact"/>
              <w:jc w:val="center"/>
              <w:rPr>
                <w:sz w:val="21"/>
                <w:szCs w:val="21"/>
                <w:lang w:eastAsia="en-US"/>
              </w:rPr>
            </w:pPr>
            <w:r>
              <w:rPr>
                <w:sz w:val="21"/>
                <w:szCs w:val="21"/>
                <w:lang w:eastAsia="en-US"/>
              </w:rPr>
              <w:t>0.49</w:t>
            </w:r>
          </w:p>
        </w:tc>
        <w:tc>
          <w:tcPr>
            <w:tcW w:w="716" w:type="dxa"/>
            <w:tcBorders>
              <w:tl2br w:val="nil"/>
              <w:tr2bl w:val="nil"/>
            </w:tcBorders>
            <w:shd w:val="clear" w:color="auto" w:fill="auto"/>
            <w:vAlign w:val="center"/>
          </w:tcPr>
          <w:p w14:paraId="0358F205">
            <w:pPr>
              <w:widowControl/>
              <w:spacing w:line="380" w:lineRule="exact"/>
              <w:jc w:val="center"/>
              <w:rPr>
                <w:sz w:val="21"/>
                <w:szCs w:val="21"/>
                <w:lang w:eastAsia="en-US"/>
              </w:rPr>
            </w:pPr>
            <w:r>
              <w:rPr>
                <w:sz w:val="21"/>
                <w:szCs w:val="21"/>
                <w:lang w:eastAsia="en-US"/>
              </w:rPr>
              <w:t>达标</w:t>
            </w:r>
          </w:p>
        </w:tc>
      </w:tr>
      <w:tr w14:paraId="4C02159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1AA48C6">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2AEF9E55">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4BF22FDE">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1909B5E">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22D870DC">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D9AA301">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140934D0">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7F483C8A">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61D6C0E0">
            <w:pPr>
              <w:widowControl w:val="0"/>
              <w:spacing w:line="380" w:lineRule="exact"/>
              <w:jc w:val="center"/>
              <w:rPr>
                <w:sz w:val="21"/>
                <w:szCs w:val="21"/>
                <w:lang w:eastAsia="en-US"/>
              </w:rPr>
            </w:pPr>
            <w:r>
              <w:rPr>
                <w:sz w:val="21"/>
                <w:szCs w:val="21"/>
                <w:lang w:eastAsia="en-US"/>
              </w:rPr>
              <w:t>0.10</w:t>
            </w:r>
          </w:p>
        </w:tc>
        <w:tc>
          <w:tcPr>
            <w:tcW w:w="716" w:type="dxa"/>
            <w:tcBorders>
              <w:tl2br w:val="nil"/>
              <w:tr2bl w:val="nil"/>
            </w:tcBorders>
            <w:shd w:val="clear" w:color="auto" w:fill="auto"/>
            <w:vAlign w:val="center"/>
          </w:tcPr>
          <w:p w14:paraId="333FC34A">
            <w:pPr>
              <w:widowControl/>
              <w:spacing w:line="380" w:lineRule="exact"/>
              <w:jc w:val="center"/>
              <w:rPr>
                <w:sz w:val="21"/>
                <w:szCs w:val="21"/>
                <w:lang w:eastAsia="en-US"/>
              </w:rPr>
            </w:pPr>
            <w:r>
              <w:rPr>
                <w:sz w:val="21"/>
                <w:szCs w:val="21"/>
                <w:lang w:eastAsia="en-US"/>
              </w:rPr>
              <w:t>达标</w:t>
            </w:r>
          </w:p>
        </w:tc>
      </w:tr>
      <w:tr w14:paraId="28AF074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F4DCDFC">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24C804F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5323B2DF">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18A75E8E">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2F26E0C">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CF9D6CB">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DDA8731">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ED75174">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5533DDEA">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26E7FE8B">
            <w:pPr>
              <w:widowControl/>
              <w:spacing w:line="380" w:lineRule="exact"/>
              <w:jc w:val="center"/>
              <w:rPr>
                <w:sz w:val="21"/>
                <w:szCs w:val="21"/>
                <w:lang w:eastAsia="en-US"/>
              </w:rPr>
            </w:pPr>
            <w:r>
              <w:rPr>
                <w:sz w:val="21"/>
                <w:szCs w:val="21"/>
                <w:lang w:eastAsia="en-US"/>
              </w:rPr>
              <w:t>达标</w:t>
            </w:r>
          </w:p>
        </w:tc>
      </w:tr>
      <w:tr w14:paraId="7351EAF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A93BB06">
            <w:pPr>
              <w:widowControl/>
              <w:spacing w:line="380" w:lineRule="exact"/>
              <w:jc w:val="center"/>
              <w:rPr>
                <w:sz w:val="21"/>
                <w:szCs w:val="21"/>
                <w:lang w:eastAsia="en-US"/>
              </w:rPr>
            </w:pPr>
            <w:r>
              <w:rPr>
                <w:sz w:val="21"/>
                <w:szCs w:val="21"/>
                <w:lang w:eastAsia="en-US"/>
              </w:rPr>
              <w:t>2</w:t>
            </w:r>
          </w:p>
        </w:tc>
        <w:tc>
          <w:tcPr>
            <w:tcW w:w="1145" w:type="dxa"/>
            <w:vMerge w:val="restart"/>
            <w:tcBorders>
              <w:tl2br w:val="nil"/>
              <w:tr2bl w:val="nil"/>
            </w:tcBorders>
            <w:shd w:val="clear" w:color="auto" w:fill="auto"/>
            <w:vAlign w:val="center"/>
          </w:tcPr>
          <w:p w14:paraId="28EFA913">
            <w:pPr>
              <w:widowControl/>
              <w:spacing w:line="380" w:lineRule="exact"/>
              <w:jc w:val="center"/>
              <w:rPr>
                <w:sz w:val="21"/>
                <w:szCs w:val="21"/>
                <w:lang w:eastAsia="en-US"/>
              </w:rPr>
            </w:pPr>
            <w:r>
              <w:rPr>
                <w:sz w:val="21"/>
                <w:szCs w:val="21"/>
                <w:lang w:eastAsia="en-US"/>
              </w:rPr>
              <w:t>松香苑小区</w:t>
            </w:r>
          </w:p>
        </w:tc>
        <w:tc>
          <w:tcPr>
            <w:tcW w:w="737" w:type="dxa"/>
            <w:vMerge w:val="restart"/>
            <w:tcBorders>
              <w:tl2br w:val="nil"/>
              <w:tr2bl w:val="nil"/>
            </w:tcBorders>
            <w:shd w:val="clear" w:color="auto" w:fill="auto"/>
            <w:vAlign w:val="center"/>
          </w:tcPr>
          <w:p w14:paraId="081F1296">
            <w:pPr>
              <w:widowControl/>
              <w:spacing w:line="380" w:lineRule="exact"/>
              <w:jc w:val="center"/>
              <w:rPr>
                <w:sz w:val="21"/>
                <w:szCs w:val="21"/>
                <w:lang w:eastAsia="en-US"/>
              </w:rPr>
            </w:pPr>
            <w:r>
              <w:rPr>
                <w:sz w:val="21"/>
                <w:szCs w:val="21"/>
                <w:lang w:eastAsia="en-US"/>
              </w:rPr>
              <w:t>-</w:t>
            </w:r>
            <w:r>
              <w:rPr>
                <w:rFonts w:hint="eastAsia"/>
                <w:sz w:val="21"/>
                <w:szCs w:val="21"/>
                <w:lang w:eastAsia="en-US"/>
              </w:rPr>
              <w:t>1080</w:t>
            </w:r>
          </w:p>
        </w:tc>
        <w:tc>
          <w:tcPr>
            <w:tcW w:w="647" w:type="dxa"/>
            <w:vMerge w:val="restart"/>
            <w:tcBorders>
              <w:tl2br w:val="nil"/>
              <w:tr2bl w:val="nil"/>
            </w:tcBorders>
            <w:shd w:val="clear" w:color="auto" w:fill="auto"/>
            <w:vAlign w:val="center"/>
          </w:tcPr>
          <w:p w14:paraId="34582567">
            <w:pPr>
              <w:widowControl/>
              <w:spacing w:line="380" w:lineRule="exact"/>
              <w:jc w:val="center"/>
              <w:rPr>
                <w:sz w:val="21"/>
                <w:szCs w:val="21"/>
                <w:lang w:eastAsia="en-US"/>
              </w:rPr>
            </w:pPr>
            <w:r>
              <w:rPr>
                <w:rFonts w:hint="eastAsia"/>
                <w:sz w:val="21"/>
                <w:szCs w:val="21"/>
                <w:lang w:eastAsia="en-US"/>
              </w:rPr>
              <w:t>762</w:t>
            </w:r>
          </w:p>
        </w:tc>
        <w:tc>
          <w:tcPr>
            <w:tcW w:w="914" w:type="dxa"/>
            <w:tcBorders>
              <w:tl2br w:val="nil"/>
              <w:tr2bl w:val="nil"/>
            </w:tcBorders>
            <w:shd w:val="clear" w:color="auto" w:fill="auto"/>
            <w:vAlign w:val="center"/>
          </w:tcPr>
          <w:p w14:paraId="2DBEA2F9">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1F87252">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062007</w:t>
            </w:r>
          </w:p>
        </w:tc>
        <w:tc>
          <w:tcPr>
            <w:tcW w:w="1182" w:type="dxa"/>
            <w:tcBorders>
              <w:tl2br w:val="nil"/>
              <w:tr2bl w:val="nil"/>
            </w:tcBorders>
            <w:shd w:val="clear" w:color="auto" w:fill="auto"/>
            <w:vAlign w:val="center"/>
          </w:tcPr>
          <w:p w14:paraId="7E8764A4">
            <w:pPr>
              <w:widowControl w:val="0"/>
              <w:spacing w:line="38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4AB2D0AA">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1023454">
            <w:pPr>
              <w:widowControl w:val="0"/>
              <w:spacing w:line="380" w:lineRule="exact"/>
              <w:jc w:val="center"/>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26767F79">
            <w:pPr>
              <w:widowControl/>
              <w:spacing w:line="380" w:lineRule="exact"/>
              <w:jc w:val="center"/>
              <w:rPr>
                <w:sz w:val="21"/>
                <w:szCs w:val="21"/>
                <w:lang w:eastAsia="en-US"/>
              </w:rPr>
            </w:pPr>
            <w:r>
              <w:rPr>
                <w:sz w:val="21"/>
                <w:szCs w:val="21"/>
                <w:lang w:eastAsia="en-US"/>
              </w:rPr>
              <w:t>达标</w:t>
            </w:r>
          </w:p>
        </w:tc>
      </w:tr>
      <w:tr w14:paraId="63E08A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9FC8E82">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177251D3">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A6C3B96">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5A41410B">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639FC55">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DE81313">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0604</w:t>
            </w:r>
          </w:p>
        </w:tc>
        <w:tc>
          <w:tcPr>
            <w:tcW w:w="1182" w:type="dxa"/>
            <w:tcBorders>
              <w:tl2br w:val="nil"/>
              <w:tr2bl w:val="nil"/>
            </w:tcBorders>
            <w:shd w:val="clear" w:color="auto" w:fill="auto"/>
            <w:vAlign w:val="center"/>
          </w:tcPr>
          <w:p w14:paraId="7C612577">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2E8A4D8">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255E43BA">
            <w:pPr>
              <w:widowControl w:val="0"/>
              <w:spacing w:line="380" w:lineRule="exact"/>
              <w:jc w:val="center"/>
              <w:rPr>
                <w:sz w:val="21"/>
                <w:szCs w:val="21"/>
                <w:lang w:eastAsia="en-US"/>
              </w:rPr>
            </w:pPr>
            <w:r>
              <w:rPr>
                <w:sz w:val="21"/>
                <w:szCs w:val="21"/>
                <w:lang w:eastAsia="en-US"/>
              </w:rPr>
              <w:t>0.05</w:t>
            </w:r>
          </w:p>
        </w:tc>
        <w:tc>
          <w:tcPr>
            <w:tcW w:w="716" w:type="dxa"/>
            <w:tcBorders>
              <w:tl2br w:val="nil"/>
              <w:tr2bl w:val="nil"/>
            </w:tcBorders>
            <w:shd w:val="clear" w:color="auto" w:fill="auto"/>
            <w:vAlign w:val="center"/>
          </w:tcPr>
          <w:p w14:paraId="0CE5FE01">
            <w:pPr>
              <w:widowControl/>
              <w:spacing w:line="380" w:lineRule="exact"/>
              <w:jc w:val="center"/>
              <w:rPr>
                <w:sz w:val="21"/>
                <w:szCs w:val="21"/>
                <w:lang w:eastAsia="en-US"/>
              </w:rPr>
            </w:pPr>
            <w:r>
              <w:rPr>
                <w:sz w:val="21"/>
                <w:szCs w:val="21"/>
                <w:lang w:eastAsia="en-US"/>
              </w:rPr>
              <w:t>达标</w:t>
            </w:r>
          </w:p>
        </w:tc>
      </w:tr>
      <w:tr w14:paraId="1C8F1C5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2F864A6">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5D45DB92">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43CEB275">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73E9D5E3">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3F1F4B22">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9DC2D03">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4304FAC">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CA1A9FB">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80D0C11">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2F3852B7">
            <w:pPr>
              <w:widowControl/>
              <w:spacing w:line="380" w:lineRule="exact"/>
              <w:jc w:val="center"/>
              <w:rPr>
                <w:sz w:val="21"/>
                <w:szCs w:val="21"/>
                <w:lang w:eastAsia="en-US"/>
              </w:rPr>
            </w:pPr>
            <w:r>
              <w:rPr>
                <w:sz w:val="21"/>
                <w:szCs w:val="21"/>
                <w:lang w:eastAsia="en-US"/>
              </w:rPr>
              <w:t>达标</w:t>
            </w:r>
          </w:p>
        </w:tc>
      </w:tr>
      <w:tr w14:paraId="6FA0D9D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C9A9706">
            <w:pPr>
              <w:widowControl/>
              <w:spacing w:line="380" w:lineRule="exact"/>
              <w:jc w:val="center"/>
              <w:rPr>
                <w:sz w:val="21"/>
                <w:szCs w:val="21"/>
                <w:lang w:eastAsia="en-US"/>
              </w:rPr>
            </w:pPr>
            <w:r>
              <w:rPr>
                <w:sz w:val="21"/>
                <w:szCs w:val="21"/>
                <w:lang w:eastAsia="en-US"/>
              </w:rPr>
              <w:t>3</w:t>
            </w:r>
          </w:p>
        </w:tc>
        <w:tc>
          <w:tcPr>
            <w:tcW w:w="1145" w:type="dxa"/>
            <w:vMerge w:val="restart"/>
            <w:tcBorders>
              <w:tl2br w:val="nil"/>
              <w:tr2bl w:val="nil"/>
            </w:tcBorders>
            <w:shd w:val="clear" w:color="auto" w:fill="auto"/>
            <w:vAlign w:val="center"/>
          </w:tcPr>
          <w:p w14:paraId="1A9D1F0C">
            <w:pPr>
              <w:widowControl/>
              <w:spacing w:line="380" w:lineRule="exact"/>
              <w:jc w:val="center"/>
              <w:rPr>
                <w:sz w:val="21"/>
                <w:szCs w:val="21"/>
                <w:lang w:eastAsia="en-US"/>
              </w:rPr>
            </w:pPr>
            <w:r>
              <w:rPr>
                <w:sz w:val="21"/>
                <w:szCs w:val="21"/>
                <w:lang w:eastAsia="en-US"/>
              </w:rPr>
              <w:t>吴家巷散户居民</w:t>
            </w:r>
          </w:p>
        </w:tc>
        <w:tc>
          <w:tcPr>
            <w:tcW w:w="737" w:type="dxa"/>
            <w:vMerge w:val="restart"/>
            <w:tcBorders>
              <w:tl2br w:val="nil"/>
              <w:tr2bl w:val="nil"/>
            </w:tcBorders>
            <w:shd w:val="clear" w:color="auto" w:fill="auto"/>
            <w:vAlign w:val="center"/>
          </w:tcPr>
          <w:p w14:paraId="6A9EB91A">
            <w:pPr>
              <w:widowControl/>
              <w:spacing w:line="380" w:lineRule="exact"/>
              <w:jc w:val="center"/>
              <w:rPr>
                <w:sz w:val="21"/>
                <w:szCs w:val="21"/>
                <w:lang w:eastAsia="en-US"/>
              </w:rPr>
            </w:pPr>
            <w:r>
              <w:rPr>
                <w:sz w:val="21"/>
                <w:szCs w:val="21"/>
                <w:lang w:eastAsia="en-US"/>
              </w:rPr>
              <w:t>-</w:t>
            </w:r>
            <w:r>
              <w:rPr>
                <w:rFonts w:hint="eastAsia"/>
                <w:sz w:val="21"/>
                <w:szCs w:val="21"/>
                <w:lang w:eastAsia="en-US"/>
              </w:rPr>
              <w:t>831</w:t>
            </w:r>
          </w:p>
        </w:tc>
        <w:tc>
          <w:tcPr>
            <w:tcW w:w="647" w:type="dxa"/>
            <w:vMerge w:val="restart"/>
            <w:tcBorders>
              <w:tl2br w:val="nil"/>
              <w:tr2bl w:val="nil"/>
            </w:tcBorders>
            <w:shd w:val="clear" w:color="auto" w:fill="auto"/>
            <w:vAlign w:val="center"/>
          </w:tcPr>
          <w:p w14:paraId="706C376E">
            <w:pPr>
              <w:widowControl/>
              <w:spacing w:line="380" w:lineRule="exact"/>
              <w:jc w:val="center"/>
              <w:rPr>
                <w:sz w:val="21"/>
                <w:szCs w:val="21"/>
                <w:lang w:eastAsia="en-US"/>
              </w:rPr>
            </w:pPr>
            <w:r>
              <w:rPr>
                <w:sz w:val="21"/>
                <w:szCs w:val="21"/>
                <w:lang w:eastAsia="en-US"/>
              </w:rPr>
              <w:t>-</w:t>
            </w:r>
            <w:r>
              <w:rPr>
                <w:rFonts w:hint="eastAsia"/>
                <w:sz w:val="21"/>
                <w:szCs w:val="21"/>
                <w:lang w:eastAsia="en-US"/>
              </w:rPr>
              <w:t>199</w:t>
            </w:r>
          </w:p>
        </w:tc>
        <w:tc>
          <w:tcPr>
            <w:tcW w:w="914" w:type="dxa"/>
            <w:tcBorders>
              <w:tl2br w:val="nil"/>
              <w:tr2bl w:val="nil"/>
            </w:tcBorders>
            <w:shd w:val="clear" w:color="auto" w:fill="auto"/>
            <w:vAlign w:val="center"/>
          </w:tcPr>
          <w:p w14:paraId="052D2879">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53EF7D1">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82" w:type="dxa"/>
            <w:tcBorders>
              <w:tl2br w:val="nil"/>
              <w:tr2bl w:val="nil"/>
            </w:tcBorders>
            <w:shd w:val="clear" w:color="auto" w:fill="auto"/>
            <w:vAlign w:val="center"/>
          </w:tcPr>
          <w:p w14:paraId="2DDF71DD">
            <w:pPr>
              <w:widowControl w:val="0"/>
              <w:spacing w:line="380" w:lineRule="exact"/>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4F62CAB9">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0F99B48">
            <w:pPr>
              <w:widowControl w:val="0"/>
              <w:spacing w:line="380" w:lineRule="exact"/>
              <w:jc w:val="center"/>
              <w:rPr>
                <w:sz w:val="21"/>
                <w:szCs w:val="21"/>
                <w:lang w:eastAsia="en-US"/>
              </w:rPr>
            </w:pPr>
            <w:r>
              <w:rPr>
                <w:sz w:val="21"/>
                <w:szCs w:val="21"/>
                <w:lang w:eastAsia="en-US"/>
              </w:rPr>
              <w:t>0.45</w:t>
            </w:r>
          </w:p>
        </w:tc>
        <w:tc>
          <w:tcPr>
            <w:tcW w:w="716" w:type="dxa"/>
            <w:tcBorders>
              <w:tl2br w:val="nil"/>
              <w:tr2bl w:val="nil"/>
            </w:tcBorders>
            <w:shd w:val="clear" w:color="auto" w:fill="auto"/>
            <w:vAlign w:val="center"/>
          </w:tcPr>
          <w:p w14:paraId="5FD6DBF2">
            <w:pPr>
              <w:widowControl/>
              <w:spacing w:line="380" w:lineRule="exact"/>
              <w:jc w:val="center"/>
              <w:rPr>
                <w:sz w:val="21"/>
                <w:szCs w:val="21"/>
                <w:lang w:eastAsia="en-US"/>
              </w:rPr>
            </w:pPr>
            <w:r>
              <w:rPr>
                <w:sz w:val="21"/>
                <w:szCs w:val="21"/>
                <w:lang w:eastAsia="en-US"/>
              </w:rPr>
              <w:t>达标</w:t>
            </w:r>
          </w:p>
        </w:tc>
      </w:tr>
      <w:tr w14:paraId="4259239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664A269">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16755511">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B26093F">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1FCBFED8">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608478F8">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7B89206">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55C1BE42">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67CD4FE4">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727E323">
            <w:pPr>
              <w:widowControl w:val="0"/>
              <w:spacing w:line="380" w:lineRule="exact"/>
              <w:jc w:val="center"/>
              <w:rPr>
                <w:sz w:val="21"/>
                <w:szCs w:val="21"/>
                <w:lang w:eastAsia="en-US"/>
              </w:rPr>
            </w:pPr>
            <w:r>
              <w:rPr>
                <w:sz w:val="21"/>
                <w:szCs w:val="21"/>
                <w:lang w:eastAsia="en-US"/>
              </w:rPr>
              <w:t>0.16</w:t>
            </w:r>
          </w:p>
        </w:tc>
        <w:tc>
          <w:tcPr>
            <w:tcW w:w="716" w:type="dxa"/>
            <w:tcBorders>
              <w:tl2br w:val="nil"/>
              <w:tr2bl w:val="nil"/>
            </w:tcBorders>
            <w:shd w:val="clear" w:color="auto" w:fill="auto"/>
            <w:vAlign w:val="center"/>
          </w:tcPr>
          <w:p w14:paraId="7A09344B">
            <w:pPr>
              <w:widowControl/>
              <w:spacing w:line="380" w:lineRule="exact"/>
              <w:jc w:val="center"/>
              <w:rPr>
                <w:sz w:val="21"/>
                <w:szCs w:val="21"/>
                <w:lang w:eastAsia="en-US"/>
              </w:rPr>
            </w:pPr>
            <w:r>
              <w:rPr>
                <w:sz w:val="21"/>
                <w:szCs w:val="21"/>
                <w:lang w:eastAsia="en-US"/>
              </w:rPr>
              <w:t>达标</w:t>
            </w:r>
          </w:p>
        </w:tc>
      </w:tr>
      <w:tr w14:paraId="45C8123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DAEFF11">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F845B07">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01E3D54">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F9F2075">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7FA3C104">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8082B41">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358BEA5">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30C28BA">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1B90B31">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18EB393E">
            <w:pPr>
              <w:widowControl/>
              <w:spacing w:line="380" w:lineRule="exact"/>
              <w:jc w:val="center"/>
              <w:rPr>
                <w:sz w:val="21"/>
                <w:szCs w:val="21"/>
                <w:lang w:eastAsia="en-US"/>
              </w:rPr>
            </w:pPr>
            <w:r>
              <w:rPr>
                <w:sz w:val="21"/>
                <w:szCs w:val="21"/>
                <w:lang w:eastAsia="en-US"/>
              </w:rPr>
              <w:t>达标</w:t>
            </w:r>
          </w:p>
        </w:tc>
      </w:tr>
      <w:tr w14:paraId="70ADAB5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73DDABB">
            <w:pPr>
              <w:widowControl/>
              <w:spacing w:line="380" w:lineRule="exact"/>
              <w:jc w:val="center"/>
              <w:rPr>
                <w:sz w:val="21"/>
                <w:szCs w:val="21"/>
                <w:lang w:eastAsia="en-US"/>
              </w:rPr>
            </w:pPr>
            <w:r>
              <w:rPr>
                <w:sz w:val="21"/>
                <w:szCs w:val="21"/>
                <w:lang w:eastAsia="en-US"/>
              </w:rPr>
              <w:t>4</w:t>
            </w:r>
          </w:p>
        </w:tc>
        <w:tc>
          <w:tcPr>
            <w:tcW w:w="1145" w:type="dxa"/>
            <w:vMerge w:val="restart"/>
            <w:tcBorders>
              <w:tl2br w:val="nil"/>
              <w:tr2bl w:val="nil"/>
            </w:tcBorders>
            <w:shd w:val="clear" w:color="auto" w:fill="auto"/>
            <w:vAlign w:val="center"/>
          </w:tcPr>
          <w:p w14:paraId="0C1931B3">
            <w:pPr>
              <w:widowControl/>
              <w:spacing w:line="380" w:lineRule="exact"/>
              <w:jc w:val="center"/>
              <w:rPr>
                <w:sz w:val="21"/>
                <w:szCs w:val="21"/>
                <w:lang w:eastAsia="en-US"/>
              </w:rPr>
            </w:pPr>
            <w:r>
              <w:rPr>
                <w:sz w:val="21"/>
                <w:szCs w:val="21"/>
                <w:lang w:eastAsia="en-US"/>
              </w:rPr>
              <w:t>黄莺花苑小区</w:t>
            </w:r>
          </w:p>
        </w:tc>
        <w:tc>
          <w:tcPr>
            <w:tcW w:w="737" w:type="dxa"/>
            <w:vMerge w:val="restart"/>
            <w:tcBorders>
              <w:tl2br w:val="nil"/>
              <w:tr2bl w:val="nil"/>
            </w:tcBorders>
            <w:shd w:val="clear" w:color="auto" w:fill="auto"/>
            <w:vAlign w:val="center"/>
          </w:tcPr>
          <w:p w14:paraId="17ADCCCD">
            <w:pPr>
              <w:widowControl/>
              <w:spacing w:line="380" w:lineRule="exact"/>
              <w:jc w:val="center"/>
              <w:rPr>
                <w:sz w:val="21"/>
                <w:szCs w:val="21"/>
                <w:lang w:eastAsia="en-US"/>
              </w:rPr>
            </w:pPr>
            <w:r>
              <w:rPr>
                <w:sz w:val="21"/>
                <w:szCs w:val="21"/>
                <w:lang w:eastAsia="en-US"/>
              </w:rPr>
              <w:t>-</w:t>
            </w:r>
            <w:r>
              <w:rPr>
                <w:rFonts w:hint="eastAsia"/>
                <w:sz w:val="21"/>
                <w:szCs w:val="21"/>
                <w:lang w:eastAsia="en-US"/>
              </w:rPr>
              <w:t>857</w:t>
            </w:r>
          </w:p>
        </w:tc>
        <w:tc>
          <w:tcPr>
            <w:tcW w:w="647" w:type="dxa"/>
            <w:vMerge w:val="restart"/>
            <w:tcBorders>
              <w:tl2br w:val="nil"/>
              <w:tr2bl w:val="nil"/>
            </w:tcBorders>
            <w:shd w:val="clear" w:color="auto" w:fill="auto"/>
            <w:vAlign w:val="center"/>
          </w:tcPr>
          <w:p w14:paraId="697D8EA6">
            <w:pPr>
              <w:widowControl/>
              <w:spacing w:line="380" w:lineRule="exact"/>
              <w:jc w:val="center"/>
              <w:rPr>
                <w:sz w:val="21"/>
                <w:szCs w:val="21"/>
                <w:lang w:eastAsia="en-US"/>
              </w:rPr>
            </w:pPr>
            <w:r>
              <w:rPr>
                <w:rFonts w:hint="eastAsia"/>
                <w:sz w:val="21"/>
                <w:szCs w:val="21"/>
                <w:lang w:eastAsia="en-US"/>
              </w:rPr>
              <w:t>-507</w:t>
            </w:r>
          </w:p>
        </w:tc>
        <w:tc>
          <w:tcPr>
            <w:tcW w:w="914" w:type="dxa"/>
            <w:tcBorders>
              <w:tl2br w:val="nil"/>
              <w:tr2bl w:val="nil"/>
            </w:tcBorders>
            <w:shd w:val="clear" w:color="auto" w:fill="auto"/>
            <w:vAlign w:val="center"/>
          </w:tcPr>
          <w:p w14:paraId="7639BF64">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A029B2D">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052719</w:t>
            </w:r>
          </w:p>
        </w:tc>
        <w:tc>
          <w:tcPr>
            <w:tcW w:w="1182" w:type="dxa"/>
            <w:tcBorders>
              <w:tl2br w:val="nil"/>
              <w:tr2bl w:val="nil"/>
            </w:tcBorders>
            <w:shd w:val="clear" w:color="auto" w:fill="auto"/>
            <w:vAlign w:val="center"/>
          </w:tcPr>
          <w:p w14:paraId="4074E673">
            <w:pPr>
              <w:widowControl w:val="0"/>
              <w:spacing w:line="380" w:lineRule="exact"/>
              <w:jc w:val="center"/>
              <w:rPr>
                <w:sz w:val="21"/>
                <w:szCs w:val="21"/>
                <w:lang w:eastAsia="en-US"/>
              </w:rPr>
            </w:pPr>
            <w:r>
              <w:rPr>
                <w:sz w:val="21"/>
                <w:szCs w:val="21"/>
                <w:lang w:eastAsia="en-US"/>
              </w:rPr>
              <w:t>0.0012</w:t>
            </w:r>
          </w:p>
        </w:tc>
        <w:tc>
          <w:tcPr>
            <w:tcW w:w="914" w:type="dxa"/>
            <w:tcBorders>
              <w:tl2br w:val="nil"/>
              <w:tr2bl w:val="nil"/>
            </w:tcBorders>
            <w:shd w:val="clear" w:color="auto" w:fill="auto"/>
            <w:vAlign w:val="center"/>
          </w:tcPr>
          <w:p w14:paraId="2ADBF178">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FFCBCC0">
            <w:pPr>
              <w:widowControl w:val="0"/>
              <w:spacing w:line="380" w:lineRule="exact"/>
              <w:jc w:val="center"/>
              <w:rPr>
                <w:sz w:val="21"/>
                <w:szCs w:val="21"/>
                <w:lang w:eastAsia="en-US"/>
              </w:rPr>
            </w:pPr>
            <w:r>
              <w:rPr>
                <w:sz w:val="21"/>
                <w:szCs w:val="21"/>
                <w:lang w:eastAsia="en-US"/>
              </w:rPr>
              <w:t>0.58</w:t>
            </w:r>
          </w:p>
        </w:tc>
        <w:tc>
          <w:tcPr>
            <w:tcW w:w="716" w:type="dxa"/>
            <w:tcBorders>
              <w:tl2br w:val="nil"/>
              <w:tr2bl w:val="nil"/>
            </w:tcBorders>
            <w:shd w:val="clear" w:color="auto" w:fill="auto"/>
            <w:vAlign w:val="center"/>
          </w:tcPr>
          <w:p w14:paraId="6808992F">
            <w:pPr>
              <w:widowControl/>
              <w:spacing w:line="380" w:lineRule="exact"/>
              <w:jc w:val="center"/>
              <w:rPr>
                <w:sz w:val="21"/>
                <w:szCs w:val="21"/>
                <w:lang w:eastAsia="en-US"/>
              </w:rPr>
            </w:pPr>
            <w:r>
              <w:rPr>
                <w:sz w:val="21"/>
                <w:szCs w:val="21"/>
                <w:lang w:eastAsia="en-US"/>
              </w:rPr>
              <w:t>达标</w:t>
            </w:r>
          </w:p>
        </w:tc>
      </w:tr>
      <w:tr w14:paraId="7F530A7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BB85B8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8D0E7C9">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7D7194FB">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4CC1D5C2">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5BD8F9F">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6A5A6F9">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w:t>
            </w:r>
          </w:p>
        </w:tc>
        <w:tc>
          <w:tcPr>
            <w:tcW w:w="1182" w:type="dxa"/>
            <w:tcBorders>
              <w:tl2br w:val="nil"/>
              <w:tr2bl w:val="nil"/>
            </w:tcBorders>
            <w:shd w:val="clear" w:color="auto" w:fill="auto"/>
            <w:vAlign w:val="center"/>
          </w:tcPr>
          <w:p w14:paraId="18FCCA6C">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77F13B87">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03DE4810">
            <w:pPr>
              <w:widowControl w:val="0"/>
              <w:spacing w:line="380" w:lineRule="exact"/>
              <w:jc w:val="center"/>
              <w:rPr>
                <w:sz w:val="21"/>
                <w:szCs w:val="21"/>
                <w:lang w:eastAsia="en-US"/>
              </w:rPr>
            </w:pPr>
            <w:r>
              <w:rPr>
                <w:sz w:val="21"/>
                <w:szCs w:val="21"/>
                <w:lang w:eastAsia="en-US"/>
              </w:rPr>
              <w:t>0.13</w:t>
            </w:r>
          </w:p>
        </w:tc>
        <w:tc>
          <w:tcPr>
            <w:tcW w:w="716" w:type="dxa"/>
            <w:tcBorders>
              <w:tl2br w:val="nil"/>
              <w:tr2bl w:val="nil"/>
            </w:tcBorders>
            <w:shd w:val="clear" w:color="auto" w:fill="auto"/>
            <w:vAlign w:val="center"/>
          </w:tcPr>
          <w:p w14:paraId="409C01B3">
            <w:pPr>
              <w:widowControl/>
              <w:spacing w:line="380" w:lineRule="exact"/>
              <w:jc w:val="center"/>
              <w:rPr>
                <w:sz w:val="21"/>
                <w:szCs w:val="21"/>
                <w:lang w:eastAsia="en-US"/>
              </w:rPr>
            </w:pPr>
            <w:r>
              <w:rPr>
                <w:sz w:val="21"/>
                <w:szCs w:val="21"/>
                <w:lang w:eastAsia="en-US"/>
              </w:rPr>
              <w:t>达标</w:t>
            </w:r>
          </w:p>
        </w:tc>
      </w:tr>
      <w:tr w14:paraId="1CBB288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A18EFA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1728F87E">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0A0A4B81">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000D01FF">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9AD9A8D">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E763275">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82B89A5">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11BB340">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30BC798C">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6496B993">
            <w:pPr>
              <w:widowControl/>
              <w:spacing w:line="380" w:lineRule="exact"/>
              <w:jc w:val="center"/>
              <w:rPr>
                <w:sz w:val="21"/>
                <w:szCs w:val="21"/>
                <w:lang w:eastAsia="en-US"/>
              </w:rPr>
            </w:pPr>
            <w:r>
              <w:rPr>
                <w:sz w:val="21"/>
                <w:szCs w:val="21"/>
                <w:lang w:eastAsia="en-US"/>
              </w:rPr>
              <w:t>达标</w:t>
            </w:r>
          </w:p>
        </w:tc>
      </w:tr>
      <w:tr w14:paraId="69C8AFB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restart"/>
            <w:tcBorders>
              <w:tl2br w:val="nil"/>
              <w:tr2bl w:val="nil"/>
            </w:tcBorders>
            <w:shd w:val="clear" w:color="auto" w:fill="auto"/>
            <w:vAlign w:val="center"/>
          </w:tcPr>
          <w:p w14:paraId="3262F5D9">
            <w:pPr>
              <w:widowControl/>
              <w:spacing w:line="380" w:lineRule="exact"/>
              <w:jc w:val="center"/>
              <w:rPr>
                <w:sz w:val="21"/>
                <w:szCs w:val="21"/>
                <w:lang w:eastAsia="en-US"/>
              </w:rPr>
            </w:pPr>
            <w:r>
              <w:rPr>
                <w:sz w:val="21"/>
                <w:szCs w:val="21"/>
                <w:lang w:eastAsia="en-US"/>
              </w:rPr>
              <w:t>5</w:t>
            </w:r>
          </w:p>
        </w:tc>
        <w:tc>
          <w:tcPr>
            <w:tcW w:w="1145" w:type="dxa"/>
            <w:vMerge w:val="restart"/>
            <w:tcBorders>
              <w:tl2br w:val="nil"/>
              <w:tr2bl w:val="nil"/>
            </w:tcBorders>
            <w:shd w:val="clear" w:color="auto" w:fill="auto"/>
            <w:vAlign w:val="center"/>
          </w:tcPr>
          <w:p w14:paraId="3239CD6A">
            <w:pPr>
              <w:widowControl/>
              <w:spacing w:line="380" w:lineRule="exact"/>
              <w:jc w:val="center"/>
              <w:rPr>
                <w:sz w:val="21"/>
                <w:szCs w:val="21"/>
                <w:lang w:eastAsia="en-US"/>
              </w:rPr>
            </w:pPr>
            <w:r>
              <w:rPr>
                <w:sz w:val="21"/>
                <w:szCs w:val="21"/>
                <w:lang w:eastAsia="en-US"/>
              </w:rPr>
              <w:t>城南御花园小区</w:t>
            </w:r>
          </w:p>
        </w:tc>
        <w:tc>
          <w:tcPr>
            <w:tcW w:w="737" w:type="dxa"/>
            <w:vMerge w:val="restart"/>
            <w:tcBorders>
              <w:tl2br w:val="nil"/>
              <w:tr2bl w:val="nil"/>
            </w:tcBorders>
            <w:shd w:val="clear" w:color="auto" w:fill="auto"/>
            <w:vAlign w:val="center"/>
          </w:tcPr>
          <w:p w14:paraId="73384590">
            <w:pPr>
              <w:widowControl/>
              <w:spacing w:line="380" w:lineRule="exact"/>
              <w:jc w:val="center"/>
              <w:rPr>
                <w:sz w:val="21"/>
                <w:szCs w:val="21"/>
                <w:lang w:eastAsia="en-US"/>
              </w:rPr>
            </w:pPr>
            <w:r>
              <w:rPr>
                <w:rFonts w:hint="eastAsia"/>
                <w:sz w:val="21"/>
                <w:szCs w:val="21"/>
                <w:lang w:eastAsia="en-US"/>
              </w:rPr>
              <w:t>-900</w:t>
            </w:r>
          </w:p>
        </w:tc>
        <w:tc>
          <w:tcPr>
            <w:tcW w:w="647" w:type="dxa"/>
            <w:vMerge w:val="restart"/>
            <w:tcBorders>
              <w:tl2br w:val="nil"/>
              <w:tr2bl w:val="nil"/>
            </w:tcBorders>
            <w:shd w:val="clear" w:color="auto" w:fill="auto"/>
            <w:vAlign w:val="center"/>
          </w:tcPr>
          <w:p w14:paraId="2AF7BE58">
            <w:pPr>
              <w:widowControl/>
              <w:spacing w:line="380" w:lineRule="exact"/>
              <w:jc w:val="center"/>
              <w:rPr>
                <w:sz w:val="21"/>
                <w:szCs w:val="21"/>
                <w:lang w:eastAsia="en-US"/>
              </w:rPr>
            </w:pPr>
            <w:r>
              <w:rPr>
                <w:sz w:val="21"/>
                <w:szCs w:val="21"/>
                <w:lang w:eastAsia="en-US"/>
              </w:rPr>
              <w:t>-</w:t>
            </w:r>
            <w:r>
              <w:rPr>
                <w:rFonts w:hint="eastAsia"/>
                <w:sz w:val="21"/>
                <w:szCs w:val="21"/>
                <w:lang w:eastAsia="en-US"/>
              </w:rPr>
              <w:t>684</w:t>
            </w:r>
          </w:p>
        </w:tc>
        <w:tc>
          <w:tcPr>
            <w:tcW w:w="914" w:type="dxa"/>
            <w:tcBorders>
              <w:tl2br w:val="nil"/>
              <w:tr2bl w:val="nil"/>
            </w:tcBorders>
            <w:shd w:val="clear" w:color="auto" w:fill="auto"/>
            <w:vAlign w:val="center"/>
          </w:tcPr>
          <w:p w14:paraId="78EDE7FA">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6724FE8">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82" w:type="dxa"/>
            <w:tcBorders>
              <w:tl2br w:val="nil"/>
              <w:tr2bl w:val="nil"/>
            </w:tcBorders>
            <w:shd w:val="clear" w:color="auto" w:fill="auto"/>
            <w:vAlign w:val="center"/>
          </w:tcPr>
          <w:p w14:paraId="692E2B4B">
            <w:pPr>
              <w:widowControl w:val="0"/>
              <w:spacing w:line="38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43E86CBE">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ED2094C">
            <w:pPr>
              <w:widowControl w:val="0"/>
              <w:spacing w:line="380" w:lineRule="exact"/>
              <w:jc w:val="center"/>
              <w:rPr>
                <w:sz w:val="21"/>
                <w:szCs w:val="21"/>
                <w:lang w:eastAsia="en-US"/>
              </w:rPr>
            </w:pPr>
            <w:r>
              <w:rPr>
                <w:sz w:val="21"/>
                <w:szCs w:val="21"/>
                <w:lang w:eastAsia="en-US"/>
              </w:rPr>
              <w:t>0.35</w:t>
            </w:r>
          </w:p>
        </w:tc>
        <w:tc>
          <w:tcPr>
            <w:tcW w:w="716" w:type="dxa"/>
            <w:tcBorders>
              <w:tl2br w:val="nil"/>
              <w:tr2bl w:val="nil"/>
            </w:tcBorders>
            <w:shd w:val="clear" w:color="auto" w:fill="auto"/>
            <w:vAlign w:val="center"/>
          </w:tcPr>
          <w:p w14:paraId="315E7902">
            <w:pPr>
              <w:widowControl/>
              <w:spacing w:line="380" w:lineRule="exact"/>
              <w:jc w:val="center"/>
              <w:rPr>
                <w:sz w:val="21"/>
                <w:szCs w:val="21"/>
                <w:lang w:eastAsia="en-US"/>
              </w:rPr>
            </w:pPr>
            <w:r>
              <w:rPr>
                <w:sz w:val="21"/>
                <w:szCs w:val="21"/>
                <w:lang w:eastAsia="en-US"/>
              </w:rPr>
              <w:t>达标</w:t>
            </w:r>
          </w:p>
        </w:tc>
      </w:tr>
      <w:tr w14:paraId="34D9E1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85AF5ED">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DB8224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F6E7286">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775B31A1">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3DBF514">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2B8D93C">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82" w:type="dxa"/>
            <w:tcBorders>
              <w:tl2br w:val="nil"/>
              <w:tr2bl w:val="nil"/>
            </w:tcBorders>
            <w:shd w:val="clear" w:color="auto" w:fill="auto"/>
            <w:vAlign w:val="center"/>
          </w:tcPr>
          <w:p w14:paraId="7BDF2455">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358AB5F4">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2DB01912">
            <w:pPr>
              <w:widowControl w:val="0"/>
              <w:spacing w:line="380" w:lineRule="exact"/>
              <w:jc w:val="center"/>
              <w:rPr>
                <w:sz w:val="21"/>
                <w:szCs w:val="21"/>
                <w:lang w:eastAsia="en-US"/>
              </w:rPr>
            </w:pPr>
            <w:r>
              <w:rPr>
                <w:sz w:val="21"/>
                <w:szCs w:val="21"/>
                <w:lang w:eastAsia="en-US"/>
              </w:rPr>
              <w:t>0.11</w:t>
            </w:r>
          </w:p>
        </w:tc>
        <w:tc>
          <w:tcPr>
            <w:tcW w:w="716" w:type="dxa"/>
            <w:tcBorders>
              <w:tl2br w:val="nil"/>
              <w:tr2bl w:val="nil"/>
            </w:tcBorders>
            <w:shd w:val="clear" w:color="auto" w:fill="auto"/>
            <w:vAlign w:val="center"/>
          </w:tcPr>
          <w:p w14:paraId="038AE65A">
            <w:pPr>
              <w:widowControl/>
              <w:spacing w:line="380" w:lineRule="exact"/>
              <w:jc w:val="center"/>
              <w:rPr>
                <w:sz w:val="21"/>
                <w:szCs w:val="21"/>
                <w:lang w:eastAsia="en-US"/>
              </w:rPr>
            </w:pPr>
            <w:r>
              <w:rPr>
                <w:sz w:val="21"/>
                <w:szCs w:val="21"/>
                <w:lang w:eastAsia="en-US"/>
              </w:rPr>
              <w:t>达标</w:t>
            </w:r>
          </w:p>
        </w:tc>
      </w:tr>
      <w:tr w14:paraId="738653C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5286D4F">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8F49AF7">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9034E78">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0733C4B">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B457E36">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4CD48BE">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2CBACBB">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D40894C">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BACABD8">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721B696F">
            <w:pPr>
              <w:widowControl/>
              <w:spacing w:line="380" w:lineRule="exact"/>
              <w:jc w:val="center"/>
              <w:rPr>
                <w:sz w:val="21"/>
                <w:szCs w:val="21"/>
                <w:lang w:eastAsia="en-US"/>
              </w:rPr>
            </w:pPr>
            <w:r>
              <w:rPr>
                <w:sz w:val="21"/>
                <w:szCs w:val="21"/>
                <w:lang w:eastAsia="en-US"/>
              </w:rPr>
              <w:t>达标</w:t>
            </w:r>
          </w:p>
        </w:tc>
      </w:tr>
      <w:tr w14:paraId="03FBBD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04D6D2B">
            <w:pPr>
              <w:widowControl/>
              <w:spacing w:line="380" w:lineRule="exact"/>
              <w:jc w:val="center"/>
              <w:rPr>
                <w:sz w:val="21"/>
                <w:szCs w:val="21"/>
                <w:lang w:eastAsia="en-US"/>
              </w:rPr>
            </w:pPr>
            <w:r>
              <w:rPr>
                <w:sz w:val="21"/>
                <w:szCs w:val="21"/>
                <w:lang w:eastAsia="en-US"/>
              </w:rPr>
              <w:t>6</w:t>
            </w:r>
          </w:p>
        </w:tc>
        <w:tc>
          <w:tcPr>
            <w:tcW w:w="1145" w:type="dxa"/>
            <w:vMerge w:val="restart"/>
            <w:tcBorders>
              <w:tl2br w:val="nil"/>
              <w:tr2bl w:val="nil"/>
            </w:tcBorders>
            <w:shd w:val="clear" w:color="auto" w:fill="auto"/>
            <w:vAlign w:val="center"/>
          </w:tcPr>
          <w:p w14:paraId="5DC98A6E">
            <w:pPr>
              <w:widowControl/>
              <w:spacing w:line="380" w:lineRule="exact"/>
              <w:jc w:val="center"/>
              <w:rPr>
                <w:sz w:val="21"/>
                <w:szCs w:val="21"/>
                <w:lang w:eastAsia="en-US"/>
              </w:rPr>
            </w:pPr>
            <w:r>
              <w:rPr>
                <w:sz w:val="21"/>
                <w:szCs w:val="21"/>
                <w:lang w:eastAsia="en-US"/>
              </w:rPr>
              <w:t>润玉时代城小区</w:t>
            </w:r>
          </w:p>
        </w:tc>
        <w:tc>
          <w:tcPr>
            <w:tcW w:w="737" w:type="dxa"/>
            <w:vMerge w:val="restart"/>
            <w:tcBorders>
              <w:tl2br w:val="nil"/>
              <w:tr2bl w:val="nil"/>
            </w:tcBorders>
            <w:shd w:val="clear" w:color="auto" w:fill="auto"/>
            <w:vAlign w:val="center"/>
          </w:tcPr>
          <w:p w14:paraId="7E1357BC">
            <w:pPr>
              <w:widowControl/>
              <w:spacing w:line="380" w:lineRule="exact"/>
              <w:jc w:val="center"/>
              <w:rPr>
                <w:sz w:val="21"/>
                <w:szCs w:val="21"/>
                <w:lang w:eastAsia="en-US"/>
              </w:rPr>
            </w:pPr>
            <w:r>
              <w:rPr>
                <w:rFonts w:hint="eastAsia"/>
                <w:sz w:val="21"/>
                <w:szCs w:val="21"/>
                <w:lang w:eastAsia="en-US"/>
              </w:rPr>
              <w:t>-1306</w:t>
            </w:r>
          </w:p>
        </w:tc>
        <w:tc>
          <w:tcPr>
            <w:tcW w:w="647" w:type="dxa"/>
            <w:vMerge w:val="restart"/>
            <w:tcBorders>
              <w:tl2br w:val="nil"/>
              <w:tr2bl w:val="nil"/>
            </w:tcBorders>
            <w:shd w:val="clear" w:color="auto" w:fill="auto"/>
            <w:vAlign w:val="center"/>
          </w:tcPr>
          <w:p w14:paraId="34175C46">
            <w:pPr>
              <w:widowControl/>
              <w:spacing w:line="380" w:lineRule="exact"/>
              <w:jc w:val="center"/>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4" w:type="dxa"/>
            <w:tcBorders>
              <w:tl2br w:val="nil"/>
              <w:tr2bl w:val="nil"/>
            </w:tcBorders>
            <w:shd w:val="clear" w:color="auto" w:fill="auto"/>
            <w:vAlign w:val="center"/>
          </w:tcPr>
          <w:p w14:paraId="696A854A">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7CE0F30">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032508</w:t>
            </w:r>
          </w:p>
        </w:tc>
        <w:tc>
          <w:tcPr>
            <w:tcW w:w="1182" w:type="dxa"/>
            <w:tcBorders>
              <w:tl2br w:val="nil"/>
              <w:tr2bl w:val="nil"/>
            </w:tcBorders>
            <w:shd w:val="clear" w:color="auto" w:fill="auto"/>
            <w:vAlign w:val="center"/>
          </w:tcPr>
          <w:p w14:paraId="6A89C44A">
            <w:pPr>
              <w:widowControl w:val="0"/>
              <w:spacing w:line="38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73ADB211">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13FDC61">
            <w:pPr>
              <w:widowControl w:val="0"/>
              <w:spacing w:line="380" w:lineRule="exact"/>
              <w:jc w:val="center"/>
              <w:rPr>
                <w:sz w:val="21"/>
                <w:szCs w:val="21"/>
                <w:lang w:eastAsia="en-US"/>
              </w:rPr>
            </w:pPr>
            <w:r>
              <w:rPr>
                <w:sz w:val="21"/>
                <w:szCs w:val="21"/>
                <w:lang w:eastAsia="en-US"/>
              </w:rPr>
              <w:t>0.35</w:t>
            </w:r>
          </w:p>
        </w:tc>
        <w:tc>
          <w:tcPr>
            <w:tcW w:w="716" w:type="dxa"/>
            <w:tcBorders>
              <w:tl2br w:val="nil"/>
              <w:tr2bl w:val="nil"/>
            </w:tcBorders>
            <w:shd w:val="clear" w:color="auto" w:fill="auto"/>
            <w:vAlign w:val="center"/>
          </w:tcPr>
          <w:p w14:paraId="33F48A23">
            <w:pPr>
              <w:widowControl/>
              <w:spacing w:line="380" w:lineRule="exact"/>
              <w:jc w:val="center"/>
              <w:rPr>
                <w:sz w:val="21"/>
                <w:szCs w:val="21"/>
                <w:lang w:eastAsia="en-US"/>
              </w:rPr>
            </w:pPr>
            <w:r>
              <w:rPr>
                <w:sz w:val="21"/>
                <w:szCs w:val="21"/>
                <w:lang w:eastAsia="en-US"/>
              </w:rPr>
              <w:t>达标</w:t>
            </w:r>
          </w:p>
        </w:tc>
      </w:tr>
      <w:tr w14:paraId="1FA4362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24BCE95">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8A842C4">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554975E">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8BB88FC">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3448ECA1">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C2C0835">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5D372893">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5D1E810B">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9C0396B">
            <w:pPr>
              <w:widowControl w:val="0"/>
              <w:spacing w:line="380" w:lineRule="exact"/>
              <w:jc w:val="center"/>
              <w:rPr>
                <w:sz w:val="21"/>
                <w:szCs w:val="21"/>
                <w:lang w:eastAsia="en-US"/>
              </w:rPr>
            </w:pPr>
            <w:r>
              <w:rPr>
                <w:sz w:val="21"/>
                <w:szCs w:val="21"/>
                <w:lang w:eastAsia="en-US"/>
              </w:rPr>
              <w:t>0.10</w:t>
            </w:r>
          </w:p>
        </w:tc>
        <w:tc>
          <w:tcPr>
            <w:tcW w:w="716" w:type="dxa"/>
            <w:tcBorders>
              <w:tl2br w:val="nil"/>
              <w:tr2bl w:val="nil"/>
            </w:tcBorders>
            <w:shd w:val="clear" w:color="auto" w:fill="auto"/>
            <w:vAlign w:val="center"/>
          </w:tcPr>
          <w:p w14:paraId="74156D7D">
            <w:pPr>
              <w:widowControl/>
              <w:spacing w:line="380" w:lineRule="exact"/>
              <w:jc w:val="center"/>
              <w:rPr>
                <w:sz w:val="21"/>
                <w:szCs w:val="21"/>
                <w:lang w:eastAsia="en-US"/>
              </w:rPr>
            </w:pPr>
            <w:r>
              <w:rPr>
                <w:sz w:val="21"/>
                <w:szCs w:val="21"/>
                <w:lang w:eastAsia="en-US"/>
              </w:rPr>
              <w:t>达标</w:t>
            </w:r>
          </w:p>
        </w:tc>
      </w:tr>
      <w:tr w14:paraId="758145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DC89965">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6ED1BE38">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837E783">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11DCAFE0">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C474FF7">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FFFD54B">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DD2203D">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EFE251E">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4A28B49">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6754238E">
            <w:pPr>
              <w:widowControl/>
              <w:spacing w:line="380" w:lineRule="exact"/>
              <w:jc w:val="center"/>
              <w:rPr>
                <w:sz w:val="21"/>
                <w:szCs w:val="21"/>
                <w:lang w:eastAsia="en-US"/>
              </w:rPr>
            </w:pPr>
            <w:r>
              <w:rPr>
                <w:sz w:val="21"/>
                <w:szCs w:val="21"/>
                <w:lang w:eastAsia="en-US"/>
              </w:rPr>
              <w:t>达标</w:t>
            </w:r>
          </w:p>
        </w:tc>
      </w:tr>
      <w:tr w14:paraId="486581A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634B807">
            <w:pPr>
              <w:widowControl/>
              <w:spacing w:line="380" w:lineRule="exact"/>
              <w:jc w:val="center"/>
              <w:rPr>
                <w:sz w:val="21"/>
                <w:szCs w:val="21"/>
                <w:lang w:eastAsia="en-US"/>
              </w:rPr>
            </w:pPr>
            <w:r>
              <w:rPr>
                <w:sz w:val="21"/>
                <w:szCs w:val="21"/>
                <w:lang w:eastAsia="en-US"/>
              </w:rPr>
              <w:t>7</w:t>
            </w:r>
          </w:p>
        </w:tc>
        <w:tc>
          <w:tcPr>
            <w:tcW w:w="1145" w:type="dxa"/>
            <w:vMerge w:val="restart"/>
            <w:tcBorders>
              <w:tl2br w:val="nil"/>
              <w:tr2bl w:val="nil"/>
            </w:tcBorders>
            <w:shd w:val="clear" w:color="auto" w:fill="auto"/>
            <w:vAlign w:val="center"/>
          </w:tcPr>
          <w:p w14:paraId="1B4E140C">
            <w:pPr>
              <w:widowControl/>
              <w:spacing w:line="380" w:lineRule="exact"/>
              <w:jc w:val="center"/>
              <w:rPr>
                <w:sz w:val="21"/>
                <w:szCs w:val="21"/>
                <w:lang w:eastAsia="en-US"/>
              </w:rPr>
            </w:pPr>
            <w:r>
              <w:rPr>
                <w:sz w:val="21"/>
                <w:szCs w:val="21"/>
                <w:lang w:eastAsia="en-US"/>
              </w:rPr>
              <w:t>山塘学校</w:t>
            </w:r>
          </w:p>
        </w:tc>
        <w:tc>
          <w:tcPr>
            <w:tcW w:w="737" w:type="dxa"/>
            <w:vMerge w:val="restart"/>
            <w:tcBorders>
              <w:tl2br w:val="nil"/>
              <w:tr2bl w:val="nil"/>
            </w:tcBorders>
            <w:shd w:val="clear" w:color="auto" w:fill="auto"/>
            <w:vAlign w:val="center"/>
          </w:tcPr>
          <w:p w14:paraId="6199E138">
            <w:pPr>
              <w:widowControl/>
              <w:spacing w:line="380" w:lineRule="exact"/>
              <w:jc w:val="center"/>
              <w:rPr>
                <w:sz w:val="21"/>
                <w:szCs w:val="21"/>
                <w:lang w:eastAsia="en-US"/>
              </w:rPr>
            </w:pPr>
            <w:r>
              <w:rPr>
                <w:sz w:val="21"/>
                <w:szCs w:val="21"/>
                <w:lang w:eastAsia="en-US"/>
              </w:rPr>
              <w:t>-</w:t>
            </w:r>
            <w:r>
              <w:rPr>
                <w:rFonts w:hint="eastAsia"/>
                <w:sz w:val="21"/>
                <w:szCs w:val="21"/>
                <w:lang w:eastAsia="en-US"/>
              </w:rPr>
              <w:t>1230</w:t>
            </w:r>
          </w:p>
        </w:tc>
        <w:tc>
          <w:tcPr>
            <w:tcW w:w="647" w:type="dxa"/>
            <w:vMerge w:val="restart"/>
            <w:tcBorders>
              <w:tl2br w:val="nil"/>
              <w:tr2bl w:val="nil"/>
            </w:tcBorders>
            <w:shd w:val="clear" w:color="auto" w:fill="auto"/>
            <w:vAlign w:val="center"/>
          </w:tcPr>
          <w:p w14:paraId="17FB8597">
            <w:pPr>
              <w:widowControl/>
              <w:spacing w:line="380" w:lineRule="exact"/>
              <w:jc w:val="center"/>
              <w:rPr>
                <w:sz w:val="21"/>
                <w:szCs w:val="21"/>
                <w:lang w:eastAsia="en-US"/>
              </w:rPr>
            </w:pPr>
            <w:r>
              <w:rPr>
                <w:sz w:val="21"/>
                <w:szCs w:val="21"/>
                <w:lang w:eastAsia="en-US"/>
              </w:rPr>
              <w:t>-</w:t>
            </w:r>
            <w:r>
              <w:rPr>
                <w:rFonts w:hint="eastAsia"/>
                <w:sz w:val="21"/>
                <w:szCs w:val="21"/>
                <w:lang w:eastAsia="en-US"/>
              </w:rPr>
              <w:t>525</w:t>
            </w:r>
          </w:p>
        </w:tc>
        <w:tc>
          <w:tcPr>
            <w:tcW w:w="914" w:type="dxa"/>
            <w:tcBorders>
              <w:tl2br w:val="nil"/>
              <w:tr2bl w:val="nil"/>
            </w:tcBorders>
            <w:shd w:val="clear" w:color="auto" w:fill="auto"/>
            <w:vAlign w:val="center"/>
          </w:tcPr>
          <w:p w14:paraId="5319F505">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E47D7D8">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82" w:type="dxa"/>
            <w:tcBorders>
              <w:tl2br w:val="nil"/>
              <w:tr2bl w:val="nil"/>
            </w:tcBorders>
            <w:shd w:val="clear" w:color="auto" w:fill="auto"/>
            <w:vAlign w:val="center"/>
          </w:tcPr>
          <w:p w14:paraId="5442E32F">
            <w:pPr>
              <w:widowControl w:val="0"/>
              <w:spacing w:line="380" w:lineRule="exact"/>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090A43C3">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7762EB7">
            <w:pPr>
              <w:widowControl w:val="0"/>
              <w:spacing w:line="380" w:lineRule="exact"/>
              <w:jc w:val="center"/>
              <w:rPr>
                <w:sz w:val="21"/>
                <w:szCs w:val="21"/>
                <w:lang w:eastAsia="en-US"/>
              </w:rPr>
            </w:pPr>
            <w:r>
              <w:rPr>
                <w:sz w:val="21"/>
                <w:szCs w:val="21"/>
                <w:lang w:eastAsia="en-US"/>
              </w:rPr>
              <w:t>0.32</w:t>
            </w:r>
          </w:p>
        </w:tc>
        <w:tc>
          <w:tcPr>
            <w:tcW w:w="716" w:type="dxa"/>
            <w:tcBorders>
              <w:tl2br w:val="nil"/>
              <w:tr2bl w:val="nil"/>
            </w:tcBorders>
            <w:shd w:val="clear" w:color="auto" w:fill="auto"/>
            <w:vAlign w:val="center"/>
          </w:tcPr>
          <w:p w14:paraId="1F211266">
            <w:pPr>
              <w:widowControl/>
              <w:spacing w:line="380" w:lineRule="exact"/>
              <w:jc w:val="center"/>
              <w:rPr>
                <w:sz w:val="21"/>
                <w:szCs w:val="21"/>
                <w:lang w:eastAsia="en-US"/>
              </w:rPr>
            </w:pPr>
            <w:r>
              <w:rPr>
                <w:sz w:val="21"/>
                <w:szCs w:val="21"/>
                <w:lang w:eastAsia="en-US"/>
              </w:rPr>
              <w:t>达标</w:t>
            </w:r>
          </w:p>
        </w:tc>
      </w:tr>
      <w:tr w14:paraId="05CBE31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97165C5">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18DCCA1">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62435C1D">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5997D80">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7E2DF995">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8893249">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82" w:type="dxa"/>
            <w:tcBorders>
              <w:tl2br w:val="nil"/>
              <w:tr2bl w:val="nil"/>
            </w:tcBorders>
            <w:shd w:val="clear" w:color="auto" w:fill="auto"/>
            <w:vAlign w:val="center"/>
          </w:tcPr>
          <w:p w14:paraId="1248BF5B">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6B101550">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0057288C">
            <w:pPr>
              <w:widowControl w:val="0"/>
              <w:spacing w:line="380" w:lineRule="exact"/>
              <w:jc w:val="center"/>
              <w:rPr>
                <w:sz w:val="21"/>
                <w:szCs w:val="21"/>
                <w:lang w:eastAsia="en-US"/>
              </w:rPr>
            </w:pPr>
            <w:r>
              <w:rPr>
                <w:sz w:val="21"/>
                <w:szCs w:val="21"/>
                <w:lang w:eastAsia="en-US"/>
              </w:rPr>
              <w:t>0.09</w:t>
            </w:r>
          </w:p>
        </w:tc>
        <w:tc>
          <w:tcPr>
            <w:tcW w:w="716" w:type="dxa"/>
            <w:tcBorders>
              <w:tl2br w:val="nil"/>
              <w:tr2bl w:val="nil"/>
            </w:tcBorders>
            <w:shd w:val="clear" w:color="auto" w:fill="auto"/>
            <w:vAlign w:val="center"/>
          </w:tcPr>
          <w:p w14:paraId="2830CE7A">
            <w:pPr>
              <w:widowControl/>
              <w:spacing w:line="380" w:lineRule="exact"/>
              <w:jc w:val="center"/>
              <w:rPr>
                <w:sz w:val="21"/>
                <w:szCs w:val="21"/>
                <w:lang w:eastAsia="en-US"/>
              </w:rPr>
            </w:pPr>
            <w:r>
              <w:rPr>
                <w:sz w:val="21"/>
                <w:szCs w:val="21"/>
                <w:lang w:eastAsia="en-US"/>
              </w:rPr>
              <w:t>达标</w:t>
            </w:r>
          </w:p>
        </w:tc>
      </w:tr>
      <w:tr w14:paraId="5ECE521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F195E5C">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1FF54AE3">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DD57530">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7868449">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8728E6E">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14A1A9B">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5AF77CA">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A99146B">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4156ECE5">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0F80E53F">
            <w:pPr>
              <w:widowControl/>
              <w:spacing w:line="380" w:lineRule="exact"/>
              <w:jc w:val="center"/>
              <w:rPr>
                <w:sz w:val="21"/>
                <w:szCs w:val="21"/>
                <w:lang w:eastAsia="en-US"/>
              </w:rPr>
            </w:pPr>
            <w:r>
              <w:rPr>
                <w:sz w:val="21"/>
                <w:szCs w:val="21"/>
                <w:lang w:eastAsia="en-US"/>
              </w:rPr>
              <w:t>达标</w:t>
            </w:r>
          </w:p>
        </w:tc>
      </w:tr>
      <w:tr w14:paraId="1B0C3F5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21E6600">
            <w:pPr>
              <w:widowControl/>
              <w:spacing w:line="380" w:lineRule="exact"/>
              <w:jc w:val="center"/>
              <w:rPr>
                <w:sz w:val="21"/>
                <w:szCs w:val="21"/>
                <w:lang w:eastAsia="en-US"/>
              </w:rPr>
            </w:pPr>
            <w:r>
              <w:rPr>
                <w:sz w:val="21"/>
                <w:szCs w:val="21"/>
                <w:lang w:eastAsia="en-US"/>
              </w:rPr>
              <w:t>8</w:t>
            </w:r>
          </w:p>
        </w:tc>
        <w:tc>
          <w:tcPr>
            <w:tcW w:w="1145" w:type="dxa"/>
            <w:vMerge w:val="restart"/>
            <w:tcBorders>
              <w:tl2br w:val="nil"/>
              <w:tr2bl w:val="nil"/>
            </w:tcBorders>
            <w:shd w:val="clear" w:color="auto" w:fill="auto"/>
            <w:vAlign w:val="center"/>
          </w:tcPr>
          <w:p w14:paraId="09A02E62">
            <w:pPr>
              <w:widowControl/>
              <w:spacing w:line="380" w:lineRule="exact"/>
              <w:jc w:val="center"/>
              <w:rPr>
                <w:sz w:val="21"/>
                <w:szCs w:val="21"/>
                <w:lang w:eastAsia="en-US"/>
              </w:rPr>
            </w:pPr>
            <w:r>
              <w:rPr>
                <w:sz w:val="21"/>
                <w:szCs w:val="21"/>
                <w:lang w:eastAsia="en-US"/>
              </w:rPr>
              <w:t>和园小区</w:t>
            </w:r>
          </w:p>
        </w:tc>
        <w:tc>
          <w:tcPr>
            <w:tcW w:w="737" w:type="dxa"/>
            <w:vMerge w:val="restart"/>
            <w:tcBorders>
              <w:tl2br w:val="nil"/>
              <w:tr2bl w:val="nil"/>
            </w:tcBorders>
            <w:shd w:val="clear" w:color="auto" w:fill="auto"/>
            <w:vAlign w:val="center"/>
          </w:tcPr>
          <w:p w14:paraId="79EADF68">
            <w:pPr>
              <w:widowControl/>
              <w:spacing w:line="380" w:lineRule="exact"/>
              <w:jc w:val="center"/>
              <w:rPr>
                <w:sz w:val="21"/>
                <w:szCs w:val="21"/>
                <w:lang w:eastAsia="en-US"/>
              </w:rPr>
            </w:pPr>
            <w:r>
              <w:rPr>
                <w:rFonts w:hint="eastAsia"/>
                <w:sz w:val="21"/>
                <w:szCs w:val="21"/>
                <w:lang w:eastAsia="en-US"/>
              </w:rPr>
              <w:t>-1099</w:t>
            </w:r>
          </w:p>
        </w:tc>
        <w:tc>
          <w:tcPr>
            <w:tcW w:w="647" w:type="dxa"/>
            <w:vMerge w:val="restart"/>
            <w:tcBorders>
              <w:tl2br w:val="nil"/>
              <w:tr2bl w:val="nil"/>
            </w:tcBorders>
            <w:shd w:val="clear" w:color="auto" w:fill="auto"/>
            <w:vAlign w:val="center"/>
          </w:tcPr>
          <w:p w14:paraId="6616B3A5">
            <w:pPr>
              <w:widowControl/>
              <w:spacing w:line="380" w:lineRule="exact"/>
              <w:jc w:val="center"/>
              <w:rPr>
                <w:sz w:val="21"/>
                <w:szCs w:val="21"/>
                <w:lang w:eastAsia="en-US"/>
              </w:rPr>
            </w:pPr>
            <w:r>
              <w:rPr>
                <w:rFonts w:hint="eastAsia"/>
                <w:sz w:val="21"/>
                <w:szCs w:val="21"/>
                <w:lang w:eastAsia="en-US"/>
              </w:rPr>
              <w:t>131</w:t>
            </w:r>
          </w:p>
        </w:tc>
        <w:tc>
          <w:tcPr>
            <w:tcW w:w="914" w:type="dxa"/>
            <w:tcBorders>
              <w:tl2br w:val="nil"/>
              <w:tr2bl w:val="nil"/>
            </w:tcBorders>
            <w:shd w:val="clear" w:color="auto" w:fill="auto"/>
            <w:vAlign w:val="center"/>
          </w:tcPr>
          <w:p w14:paraId="0605620B">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05F7062">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82" w:type="dxa"/>
            <w:tcBorders>
              <w:tl2br w:val="nil"/>
              <w:tr2bl w:val="nil"/>
            </w:tcBorders>
            <w:shd w:val="clear" w:color="auto" w:fill="auto"/>
            <w:vAlign w:val="center"/>
          </w:tcPr>
          <w:p w14:paraId="29DC4062">
            <w:pPr>
              <w:widowControl w:val="0"/>
              <w:spacing w:line="380" w:lineRule="exact"/>
              <w:jc w:val="center"/>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5E3D0806">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2479D3E">
            <w:pPr>
              <w:widowControl w:val="0"/>
              <w:spacing w:line="380" w:lineRule="exact"/>
              <w:jc w:val="center"/>
              <w:rPr>
                <w:sz w:val="21"/>
                <w:szCs w:val="21"/>
                <w:lang w:eastAsia="en-US"/>
              </w:rPr>
            </w:pPr>
            <w:r>
              <w:rPr>
                <w:sz w:val="21"/>
                <w:szCs w:val="21"/>
                <w:lang w:eastAsia="en-US"/>
              </w:rPr>
              <w:t>0.27</w:t>
            </w:r>
          </w:p>
        </w:tc>
        <w:tc>
          <w:tcPr>
            <w:tcW w:w="716" w:type="dxa"/>
            <w:tcBorders>
              <w:tl2br w:val="nil"/>
              <w:tr2bl w:val="nil"/>
            </w:tcBorders>
            <w:shd w:val="clear" w:color="auto" w:fill="auto"/>
            <w:vAlign w:val="center"/>
          </w:tcPr>
          <w:p w14:paraId="68F45124">
            <w:pPr>
              <w:widowControl/>
              <w:spacing w:line="380" w:lineRule="exact"/>
              <w:jc w:val="center"/>
              <w:rPr>
                <w:sz w:val="21"/>
                <w:szCs w:val="21"/>
                <w:lang w:eastAsia="en-US"/>
              </w:rPr>
            </w:pPr>
            <w:r>
              <w:rPr>
                <w:sz w:val="21"/>
                <w:szCs w:val="21"/>
                <w:lang w:eastAsia="en-US"/>
              </w:rPr>
              <w:t>达标</w:t>
            </w:r>
          </w:p>
        </w:tc>
      </w:tr>
      <w:tr w14:paraId="76FBA29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09B77AC">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58B12755">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25D4B7A">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A93DB79">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781A9653">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AA08FEF">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82" w:type="dxa"/>
            <w:tcBorders>
              <w:tl2br w:val="nil"/>
              <w:tr2bl w:val="nil"/>
            </w:tcBorders>
            <w:shd w:val="clear" w:color="auto" w:fill="auto"/>
            <w:vAlign w:val="center"/>
          </w:tcPr>
          <w:p w14:paraId="0E16B45C">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1AFC6B1C">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5D35B67A">
            <w:pPr>
              <w:widowControl w:val="0"/>
              <w:spacing w:line="380" w:lineRule="exact"/>
              <w:jc w:val="center"/>
              <w:rPr>
                <w:sz w:val="21"/>
                <w:szCs w:val="21"/>
                <w:lang w:eastAsia="en-US"/>
              </w:rPr>
            </w:pPr>
            <w:r>
              <w:rPr>
                <w:sz w:val="21"/>
                <w:szCs w:val="21"/>
                <w:lang w:eastAsia="en-US"/>
              </w:rPr>
              <w:t>0.08</w:t>
            </w:r>
          </w:p>
        </w:tc>
        <w:tc>
          <w:tcPr>
            <w:tcW w:w="716" w:type="dxa"/>
            <w:tcBorders>
              <w:tl2br w:val="nil"/>
              <w:tr2bl w:val="nil"/>
            </w:tcBorders>
            <w:shd w:val="clear" w:color="auto" w:fill="auto"/>
            <w:vAlign w:val="center"/>
          </w:tcPr>
          <w:p w14:paraId="42127EC1">
            <w:pPr>
              <w:widowControl/>
              <w:spacing w:line="380" w:lineRule="exact"/>
              <w:jc w:val="center"/>
              <w:rPr>
                <w:sz w:val="21"/>
                <w:szCs w:val="21"/>
                <w:lang w:eastAsia="en-US"/>
              </w:rPr>
            </w:pPr>
            <w:r>
              <w:rPr>
                <w:sz w:val="21"/>
                <w:szCs w:val="21"/>
                <w:lang w:eastAsia="en-US"/>
              </w:rPr>
              <w:t>达标</w:t>
            </w:r>
          </w:p>
        </w:tc>
      </w:tr>
      <w:tr w14:paraId="3858BE2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45569571">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20F8599">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C3FD8FC">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5D1CD8A0">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7B870011">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90A5C8B">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8CA1157">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462B916">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A6755C9">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62D1BC2C">
            <w:pPr>
              <w:widowControl/>
              <w:spacing w:line="380" w:lineRule="exact"/>
              <w:jc w:val="center"/>
              <w:rPr>
                <w:sz w:val="21"/>
                <w:szCs w:val="21"/>
                <w:lang w:eastAsia="en-US"/>
              </w:rPr>
            </w:pPr>
            <w:r>
              <w:rPr>
                <w:sz w:val="21"/>
                <w:szCs w:val="21"/>
                <w:lang w:eastAsia="en-US"/>
              </w:rPr>
              <w:t>达标</w:t>
            </w:r>
          </w:p>
        </w:tc>
      </w:tr>
      <w:tr w14:paraId="66F5CEE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446565EB">
            <w:pPr>
              <w:widowControl/>
              <w:spacing w:line="380" w:lineRule="exact"/>
              <w:jc w:val="center"/>
              <w:rPr>
                <w:sz w:val="21"/>
                <w:szCs w:val="21"/>
                <w:lang w:eastAsia="en-US"/>
              </w:rPr>
            </w:pPr>
            <w:r>
              <w:rPr>
                <w:sz w:val="21"/>
                <w:szCs w:val="21"/>
                <w:lang w:eastAsia="en-US"/>
              </w:rPr>
              <w:t>9</w:t>
            </w:r>
          </w:p>
        </w:tc>
        <w:tc>
          <w:tcPr>
            <w:tcW w:w="1145" w:type="dxa"/>
            <w:vMerge w:val="restart"/>
            <w:tcBorders>
              <w:tl2br w:val="nil"/>
              <w:tr2bl w:val="nil"/>
            </w:tcBorders>
            <w:shd w:val="clear" w:color="auto" w:fill="auto"/>
            <w:vAlign w:val="center"/>
          </w:tcPr>
          <w:p w14:paraId="6D3B6503">
            <w:pPr>
              <w:widowControl/>
              <w:spacing w:line="380" w:lineRule="exact"/>
              <w:jc w:val="center"/>
              <w:rPr>
                <w:sz w:val="21"/>
                <w:szCs w:val="21"/>
                <w:lang w:eastAsia="en-US"/>
              </w:rPr>
            </w:pPr>
            <w:r>
              <w:rPr>
                <w:sz w:val="21"/>
                <w:szCs w:val="21"/>
                <w:lang w:eastAsia="en-US"/>
              </w:rPr>
              <w:t>子敬学校</w:t>
            </w:r>
          </w:p>
        </w:tc>
        <w:tc>
          <w:tcPr>
            <w:tcW w:w="737" w:type="dxa"/>
            <w:vMerge w:val="restart"/>
            <w:tcBorders>
              <w:tl2br w:val="nil"/>
              <w:tr2bl w:val="nil"/>
            </w:tcBorders>
            <w:shd w:val="clear" w:color="auto" w:fill="auto"/>
            <w:vAlign w:val="center"/>
          </w:tcPr>
          <w:p w14:paraId="369EF49C">
            <w:pPr>
              <w:widowControl/>
              <w:spacing w:line="380" w:lineRule="exact"/>
              <w:jc w:val="center"/>
              <w:rPr>
                <w:sz w:val="21"/>
                <w:szCs w:val="21"/>
                <w:lang w:eastAsia="en-US"/>
              </w:rPr>
            </w:pPr>
            <w:r>
              <w:rPr>
                <w:rFonts w:hint="eastAsia"/>
                <w:sz w:val="21"/>
                <w:szCs w:val="21"/>
                <w:lang w:eastAsia="en-US"/>
              </w:rPr>
              <w:t>-2089</w:t>
            </w:r>
          </w:p>
        </w:tc>
        <w:tc>
          <w:tcPr>
            <w:tcW w:w="647" w:type="dxa"/>
            <w:vMerge w:val="restart"/>
            <w:tcBorders>
              <w:tl2br w:val="nil"/>
              <w:tr2bl w:val="nil"/>
            </w:tcBorders>
            <w:shd w:val="clear" w:color="auto" w:fill="auto"/>
            <w:vAlign w:val="center"/>
          </w:tcPr>
          <w:p w14:paraId="643CAF49">
            <w:pPr>
              <w:widowControl/>
              <w:spacing w:line="380" w:lineRule="exact"/>
              <w:jc w:val="center"/>
              <w:rPr>
                <w:sz w:val="21"/>
                <w:szCs w:val="21"/>
                <w:lang w:eastAsia="en-US"/>
              </w:rPr>
            </w:pPr>
            <w:r>
              <w:rPr>
                <w:rFonts w:hint="eastAsia"/>
                <w:sz w:val="21"/>
                <w:szCs w:val="21"/>
                <w:lang w:eastAsia="en-US"/>
              </w:rPr>
              <w:t>1019</w:t>
            </w:r>
          </w:p>
        </w:tc>
        <w:tc>
          <w:tcPr>
            <w:tcW w:w="914" w:type="dxa"/>
            <w:tcBorders>
              <w:tl2br w:val="nil"/>
              <w:tr2bl w:val="nil"/>
            </w:tcBorders>
            <w:shd w:val="clear" w:color="auto" w:fill="auto"/>
            <w:vAlign w:val="center"/>
          </w:tcPr>
          <w:p w14:paraId="61070A7B">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6E127C1">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093021</w:t>
            </w:r>
          </w:p>
        </w:tc>
        <w:tc>
          <w:tcPr>
            <w:tcW w:w="1182" w:type="dxa"/>
            <w:tcBorders>
              <w:tl2br w:val="nil"/>
              <w:tr2bl w:val="nil"/>
            </w:tcBorders>
            <w:shd w:val="clear" w:color="auto" w:fill="auto"/>
            <w:vAlign w:val="center"/>
          </w:tcPr>
          <w:p w14:paraId="774E41F9">
            <w:pPr>
              <w:widowControl w:val="0"/>
              <w:spacing w:line="380" w:lineRule="exact"/>
              <w:jc w:val="center"/>
              <w:rPr>
                <w:sz w:val="21"/>
                <w:szCs w:val="21"/>
                <w:lang w:eastAsia="en-US"/>
              </w:rPr>
            </w:pPr>
            <w:r>
              <w:rPr>
                <w:sz w:val="21"/>
                <w:szCs w:val="21"/>
                <w:lang w:eastAsia="en-US"/>
              </w:rPr>
              <w:t>0.0026</w:t>
            </w:r>
          </w:p>
        </w:tc>
        <w:tc>
          <w:tcPr>
            <w:tcW w:w="914" w:type="dxa"/>
            <w:tcBorders>
              <w:tl2br w:val="nil"/>
              <w:tr2bl w:val="nil"/>
            </w:tcBorders>
            <w:shd w:val="clear" w:color="auto" w:fill="auto"/>
            <w:vAlign w:val="center"/>
          </w:tcPr>
          <w:p w14:paraId="3A44C12F">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2512737">
            <w:pPr>
              <w:widowControl w:val="0"/>
              <w:spacing w:line="380" w:lineRule="exact"/>
              <w:jc w:val="center"/>
              <w:rPr>
                <w:sz w:val="21"/>
                <w:szCs w:val="21"/>
                <w:lang w:eastAsia="en-US"/>
              </w:rPr>
            </w:pPr>
            <w:r>
              <w:rPr>
                <w:sz w:val="21"/>
                <w:szCs w:val="21"/>
                <w:lang w:eastAsia="en-US"/>
              </w:rPr>
              <w:t>1.31</w:t>
            </w:r>
          </w:p>
        </w:tc>
        <w:tc>
          <w:tcPr>
            <w:tcW w:w="716" w:type="dxa"/>
            <w:tcBorders>
              <w:tl2br w:val="nil"/>
              <w:tr2bl w:val="nil"/>
            </w:tcBorders>
            <w:shd w:val="clear" w:color="auto" w:fill="auto"/>
            <w:vAlign w:val="center"/>
          </w:tcPr>
          <w:p w14:paraId="5AE02B56">
            <w:pPr>
              <w:widowControl/>
              <w:spacing w:line="380" w:lineRule="exact"/>
              <w:jc w:val="center"/>
              <w:rPr>
                <w:sz w:val="21"/>
                <w:szCs w:val="21"/>
                <w:lang w:eastAsia="en-US"/>
              </w:rPr>
            </w:pPr>
            <w:r>
              <w:rPr>
                <w:sz w:val="21"/>
                <w:szCs w:val="21"/>
                <w:lang w:eastAsia="en-US"/>
              </w:rPr>
              <w:t>达标</w:t>
            </w:r>
          </w:p>
        </w:tc>
      </w:tr>
      <w:tr w14:paraId="5132D67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3E4901D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66091618">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7E891079">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F4C79E2">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F3F0018">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1446F64">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0204</w:t>
            </w:r>
          </w:p>
        </w:tc>
        <w:tc>
          <w:tcPr>
            <w:tcW w:w="1182" w:type="dxa"/>
            <w:tcBorders>
              <w:tl2br w:val="nil"/>
              <w:tr2bl w:val="nil"/>
            </w:tcBorders>
            <w:shd w:val="clear" w:color="auto" w:fill="auto"/>
            <w:vAlign w:val="center"/>
          </w:tcPr>
          <w:p w14:paraId="553BD88D">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46D8D975">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265C96FC">
            <w:pPr>
              <w:widowControl w:val="0"/>
              <w:spacing w:line="380" w:lineRule="exact"/>
              <w:jc w:val="center"/>
              <w:rPr>
                <w:sz w:val="21"/>
                <w:szCs w:val="21"/>
                <w:lang w:eastAsia="en-US"/>
              </w:rPr>
            </w:pPr>
            <w:r>
              <w:rPr>
                <w:sz w:val="21"/>
                <w:szCs w:val="21"/>
                <w:lang w:eastAsia="en-US"/>
              </w:rPr>
              <w:t>0.18</w:t>
            </w:r>
          </w:p>
        </w:tc>
        <w:tc>
          <w:tcPr>
            <w:tcW w:w="716" w:type="dxa"/>
            <w:tcBorders>
              <w:tl2br w:val="nil"/>
              <w:tr2bl w:val="nil"/>
            </w:tcBorders>
            <w:shd w:val="clear" w:color="auto" w:fill="auto"/>
            <w:vAlign w:val="center"/>
          </w:tcPr>
          <w:p w14:paraId="3C2B8BE3">
            <w:pPr>
              <w:widowControl/>
              <w:spacing w:line="380" w:lineRule="exact"/>
              <w:jc w:val="center"/>
              <w:rPr>
                <w:sz w:val="21"/>
                <w:szCs w:val="21"/>
                <w:lang w:eastAsia="en-US"/>
              </w:rPr>
            </w:pPr>
            <w:r>
              <w:rPr>
                <w:sz w:val="21"/>
                <w:szCs w:val="21"/>
                <w:lang w:eastAsia="en-US"/>
              </w:rPr>
              <w:t>达标</w:t>
            </w:r>
          </w:p>
        </w:tc>
      </w:tr>
      <w:tr w14:paraId="5881D56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1DEC343">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71CC5B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03FBCC7">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8D4D24A">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22CB40B4">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DCF68D9">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ABA7BC6">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5948250">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5B89DCD">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3E92F684">
            <w:pPr>
              <w:widowControl/>
              <w:spacing w:line="380" w:lineRule="exact"/>
              <w:jc w:val="center"/>
              <w:rPr>
                <w:sz w:val="21"/>
                <w:szCs w:val="21"/>
                <w:lang w:eastAsia="en-US"/>
              </w:rPr>
            </w:pPr>
            <w:r>
              <w:rPr>
                <w:sz w:val="21"/>
                <w:szCs w:val="21"/>
                <w:lang w:eastAsia="en-US"/>
              </w:rPr>
              <w:t>达标</w:t>
            </w:r>
          </w:p>
        </w:tc>
      </w:tr>
      <w:tr w14:paraId="3B0BD1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89CDED8">
            <w:pPr>
              <w:widowControl/>
              <w:spacing w:line="380" w:lineRule="exact"/>
              <w:jc w:val="center"/>
              <w:rPr>
                <w:sz w:val="21"/>
                <w:szCs w:val="21"/>
                <w:lang w:eastAsia="en-US"/>
              </w:rPr>
            </w:pPr>
            <w:r>
              <w:rPr>
                <w:sz w:val="21"/>
                <w:szCs w:val="21"/>
                <w:lang w:eastAsia="en-US"/>
              </w:rPr>
              <w:t>10</w:t>
            </w:r>
          </w:p>
        </w:tc>
        <w:tc>
          <w:tcPr>
            <w:tcW w:w="1145" w:type="dxa"/>
            <w:vMerge w:val="restart"/>
            <w:tcBorders>
              <w:tl2br w:val="nil"/>
              <w:tr2bl w:val="nil"/>
            </w:tcBorders>
            <w:shd w:val="clear" w:color="auto" w:fill="auto"/>
            <w:vAlign w:val="center"/>
          </w:tcPr>
          <w:p w14:paraId="01D0B49E">
            <w:pPr>
              <w:widowControl/>
              <w:spacing w:line="380" w:lineRule="exact"/>
              <w:jc w:val="center"/>
              <w:rPr>
                <w:sz w:val="21"/>
                <w:szCs w:val="21"/>
                <w:lang w:eastAsia="en-US"/>
              </w:rPr>
            </w:pPr>
            <w:r>
              <w:rPr>
                <w:sz w:val="21"/>
                <w:szCs w:val="21"/>
                <w:lang w:eastAsia="en-US"/>
              </w:rPr>
              <w:t>芙蓉廉租小区</w:t>
            </w:r>
          </w:p>
        </w:tc>
        <w:tc>
          <w:tcPr>
            <w:tcW w:w="737" w:type="dxa"/>
            <w:vMerge w:val="restart"/>
            <w:tcBorders>
              <w:tl2br w:val="nil"/>
              <w:tr2bl w:val="nil"/>
            </w:tcBorders>
            <w:shd w:val="clear" w:color="auto" w:fill="auto"/>
            <w:vAlign w:val="center"/>
          </w:tcPr>
          <w:p w14:paraId="0563877C">
            <w:pPr>
              <w:widowControl/>
              <w:spacing w:line="380" w:lineRule="exact"/>
              <w:jc w:val="center"/>
              <w:rPr>
                <w:sz w:val="21"/>
                <w:szCs w:val="21"/>
                <w:lang w:eastAsia="en-US"/>
              </w:rPr>
            </w:pPr>
            <w:r>
              <w:rPr>
                <w:rFonts w:hint="eastAsia"/>
                <w:sz w:val="21"/>
                <w:szCs w:val="21"/>
                <w:lang w:eastAsia="en-US"/>
              </w:rPr>
              <w:t>1013</w:t>
            </w:r>
          </w:p>
        </w:tc>
        <w:tc>
          <w:tcPr>
            <w:tcW w:w="647" w:type="dxa"/>
            <w:vMerge w:val="restart"/>
            <w:tcBorders>
              <w:tl2br w:val="nil"/>
              <w:tr2bl w:val="nil"/>
            </w:tcBorders>
            <w:shd w:val="clear" w:color="auto" w:fill="auto"/>
            <w:vAlign w:val="center"/>
          </w:tcPr>
          <w:p w14:paraId="0A710A5A">
            <w:pPr>
              <w:widowControl/>
              <w:spacing w:line="380" w:lineRule="exact"/>
              <w:jc w:val="center"/>
              <w:rPr>
                <w:sz w:val="21"/>
                <w:szCs w:val="21"/>
                <w:lang w:eastAsia="en-US"/>
              </w:rPr>
            </w:pPr>
            <w:r>
              <w:rPr>
                <w:rFonts w:hint="eastAsia"/>
                <w:sz w:val="21"/>
                <w:szCs w:val="21"/>
                <w:lang w:eastAsia="en-US"/>
              </w:rPr>
              <w:t>91</w:t>
            </w:r>
          </w:p>
        </w:tc>
        <w:tc>
          <w:tcPr>
            <w:tcW w:w="914" w:type="dxa"/>
            <w:tcBorders>
              <w:tl2br w:val="nil"/>
              <w:tr2bl w:val="nil"/>
            </w:tcBorders>
            <w:shd w:val="clear" w:color="auto" w:fill="auto"/>
            <w:vAlign w:val="center"/>
          </w:tcPr>
          <w:p w14:paraId="7EF0ED6D">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7DD5BCE">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051707</w:t>
            </w:r>
          </w:p>
        </w:tc>
        <w:tc>
          <w:tcPr>
            <w:tcW w:w="1182" w:type="dxa"/>
            <w:tcBorders>
              <w:tl2br w:val="nil"/>
              <w:tr2bl w:val="nil"/>
            </w:tcBorders>
            <w:shd w:val="clear" w:color="auto" w:fill="auto"/>
            <w:vAlign w:val="center"/>
          </w:tcPr>
          <w:p w14:paraId="64D203E5">
            <w:pPr>
              <w:widowControl w:val="0"/>
              <w:spacing w:line="38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1878B22F">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EFE6924">
            <w:pPr>
              <w:widowControl w:val="0"/>
              <w:spacing w:line="380" w:lineRule="exact"/>
              <w:jc w:val="center"/>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58E99786">
            <w:pPr>
              <w:widowControl/>
              <w:spacing w:line="380" w:lineRule="exact"/>
              <w:jc w:val="center"/>
              <w:rPr>
                <w:sz w:val="21"/>
                <w:szCs w:val="21"/>
                <w:lang w:eastAsia="en-US"/>
              </w:rPr>
            </w:pPr>
            <w:r>
              <w:rPr>
                <w:sz w:val="21"/>
                <w:szCs w:val="21"/>
                <w:lang w:eastAsia="en-US"/>
              </w:rPr>
              <w:t>达标</w:t>
            </w:r>
          </w:p>
        </w:tc>
      </w:tr>
      <w:tr w14:paraId="4D51F7E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D76C67E">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2E75B66">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079EEFBB">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0C6758A4">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325B6184">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3BF29B7">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82" w:type="dxa"/>
            <w:tcBorders>
              <w:tl2br w:val="nil"/>
              <w:tr2bl w:val="nil"/>
            </w:tcBorders>
            <w:shd w:val="clear" w:color="auto" w:fill="auto"/>
            <w:vAlign w:val="center"/>
          </w:tcPr>
          <w:p w14:paraId="658836FC">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72193AF">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18B669C7">
            <w:pPr>
              <w:widowControl w:val="0"/>
              <w:spacing w:line="380" w:lineRule="exact"/>
              <w:jc w:val="center"/>
              <w:rPr>
                <w:sz w:val="21"/>
                <w:szCs w:val="21"/>
                <w:lang w:eastAsia="en-US"/>
              </w:rPr>
            </w:pPr>
            <w:r>
              <w:rPr>
                <w:sz w:val="21"/>
                <w:szCs w:val="21"/>
                <w:lang w:eastAsia="en-US"/>
              </w:rPr>
              <w:t>0.05</w:t>
            </w:r>
          </w:p>
        </w:tc>
        <w:tc>
          <w:tcPr>
            <w:tcW w:w="716" w:type="dxa"/>
            <w:tcBorders>
              <w:tl2br w:val="nil"/>
              <w:tr2bl w:val="nil"/>
            </w:tcBorders>
            <w:shd w:val="clear" w:color="auto" w:fill="auto"/>
            <w:vAlign w:val="center"/>
          </w:tcPr>
          <w:p w14:paraId="154980F6">
            <w:pPr>
              <w:widowControl/>
              <w:spacing w:line="380" w:lineRule="exact"/>
              <w:jc w:val="center"/>
              <w:rPr>
                <w:sz w:val="21"/>
                <w:szCs w:val="21"/>
                <w:lang w:eastAsia="en-US"/>
              </w:rPr>
            </w:pPr>
            <w:r>
              <w:rPr>
                <w:sz w:val="21"/>
                <w:szCs w:val="21"/>
                <w:lang w:eastAsia="en-US"/>
              </w:rPr>
              <w:t>达标</w:t>
            </w:r>
          </w:p>
        </w:tc>
      </w:tr>
      <w:tr w14:paraId="12BA707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C0F533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28EB4621">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1B6F369">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44CADB5B">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21244495">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F39B32B">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5EEF227">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C9937C8">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08DED350">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385D3368">
            <w:pPr>
              <w:widowControl/>
              <w:spacing w:line="380" w:lineRule="exact"/>
              <w:jc w:val="center"/>
              <w:rPr>
                <w:sz w:val="21"/>
                <w:szCs w:val="21"/>
                <w:lang w:eastAsia="en-US"/>
              </w:rPr>
            </w:pPr>
            <w:r>
              <w:rPr>
                <w:sz w:val="21"/>
                <w:szCs w:val="21"/>
                <w:lang w:eastAsia="en-US"/>
              </w:rPr>
              <w:t>达标</w:t>
            </w:r>
          </w:p>
        </w:tc>
      </w:tr>
      <w:tr w14:paraId="7A8B599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restart"/>
            <w:tcBorders>
              <w:tl2br w:val="nil"/>
              <w:tr2bl w:val="nil"/>
            </w:tcBorders>
            <w:shd w:val="clear" w:color="auto" w:fill="auto"/>
            <w:vAlign w:val="center"/>
          </w:tcPr>
          <w:p w14:paraId="31FE489E">
            <w:pPr>
              <w:widowControl/>
              <w:spacing w:line="380" w:lineRule="exact"/>
              <w:jc w:val="center"/>
              <w:rPr>
                <w:sz w:val="21"/>
                <w:szCs w:val="21"/>
                <w:lang w:eastAsia="en-US"/>
              </w:rPr>
            </w:pPr>
            <w:r>
              <w:rPr>
                <w:sz w:val="21"/>
                <w:szCs w:val="21"/>
                <w:lang w:eastAsia="en-US"/>
              </w:rPr>
              <w:t>11</w:t>
            </w:r>
          </w:p>
        </w:tc>
        <w:tc>
          <w:tcPr>
            <w:tcW w:w="1145" w:type="dxa"/>
            <w:vMerge w:val="restart"/>
            <w:tcBorders>
              <w:tl2br w:val="nil"/>
              <w:tr2bl w:val="nil"/>
            </w:tcBorders>
            <w:shd w:val="clear" w:color="auto" w:fill="auto"/>
            <w:vAlign w:val="center"/>
          </w:tcPr>
          <w:p w14:paraId="2A629481">
            <w:pPr>
              <w:widowControl/>
              <w:spacing w:line="380" w:lineRule="exact"/>
              <w:jc w:val="center"/>
              <w:rPr>
                <w:sz w:val="21"/>
                <w:szCs w:val="21"/>
                <w:lang w:eastAsia="en-US"/>
              </w:rPr>
            </w:pPr>
            <w:r>
              <w:rPr>
                <w:sz w:val="21"/>
                <w:szCs w:val="21"/>
                <w:lang w:eastAsia="en-US"/>
              </w:rPr>
              <w:t>易俗河镇第二中学</w:t>
            </w:r>
          </w:p>
        </w:tc>
        <w:tc>
          <w:tcPr>
            <w:tcW w:w="737" w:type="dxa"/>
            <w:vMerge w:val="restart"/>
            <w:tcBorders>
              <w:tl2br w:val="nil"/>
              <w:tr2bl w:val="nil"/>
            </w:tcBorders>
            <w:shd w:val="clear" w:color="auto" w:fill="auto"/>
            <w:vAlign w:val="center"/>
          </w:tcPr>
          <w:p w14:paraId="58E98264">
            <w:pPr>
              <w:widowControl/>
              <w:spacing w:line="380" w:lineRule="exact"/>
              <w:jc w:val="center"/>
              <w:rPr>
                <w:sz w:val="21"/>
                <w:szCs w:val="21"/>
                <w:lang w:eastAsia="en-US"/>
              </w:rPr>
            </w:pPr>
            <w:r>
              <w:rPr>
                <w:rFonts w:hint="eastAsia"/>
                <w:sz w:val="21"/>
                <w:szCs w:val="21"/>
                <w:lang w:eastAsia="en-US"/>
              </w:rPr>
              <w:t>734</w:t>
            </w:r>
          </w:p>
        </w:tc>
        <w:tc>
          <w:tcPr>
            <w:tcW w:w="647" w:type="dxa"/>
            <w:vMerge w:val="restart"/>
            <w:tcBorders>
              <w:tl2br w:val="nil"/>
              <w:tr2bl w:val="nil"/>
            </w:tcBorders>
            <w:shd w:val="clear" w:color="auto" w:fill="auto"/>
            <w:vAlign w:val="center"/>
          </w:tcPr>
          <w:p w14:paraId="1E7D3F9C">
            <w:pPr>
              <w:widowControl/>
              <w:spacing w:line="380" w:lineRule="exact"/>
              <w:jc w:val="center"/>
              <w:rPr>
                <w:sz w:val="21"/>
                <w:szCs w:val="21"/>
                <w:lang w:eastAsia="en-US"/>
              </w:rPr>
            </w:pPr>
            <w:r>
              <w:rPr>
                <w:rFonts w:hint="eastAsia"/>
                <w:sz w:val="21"/>
                <w:szCs w:val="21"/>
                <w:lang w:eastAsia="en-US"/>
              </w:rPr>
              <w:t>577</w:t>
            </w:r>
          </w:p>
        </w:tc>
        <w:tc>
          <w:tcPr>
            <w:tcW w:w="914" w:type="dxa"/>
            <w:tcBorders>
              <w:tl2br w:val="nil"/>
              <w:tr2bl w:val="nil"/>
            </w:tcBorders>
            <w:shd w:val="clear" w:color="auto" w:fill="auto"/>
            <w:vAlign w:val="center"/>
          </w:tcPr>
          <w:p w14:paraId="4197245D">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FABD8BA">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82" w:type="dxa"/>
            <w:tcBorders>
              <w:tl2br w:val="nil"/>
              <w:tr2bl w:val="nil"/>
            </w:tcBorders>
            <w:shd w:val="clear" w:color="auto" w:fill="auto"/>
            <w:vAlign w:val="center"/>
          </w:tcPr>
          <w:p w14:paraId="1512C970">
            <w:pPr>
              <w:widowControl w:val="0"/>
              <w:spacing w:line="38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680742EE">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7517736">
            <w:pPr>
              <w:widowControl w:val="0"/>
              <w:spacing w:line="380" w:lineRule="exact"/>
              <w:jc w:val="center"/>
              <w:rPr>
                <w:sz w:val="21"/>
                <w:szCs w:val="21"/>
                <w:lang w:eastAsia="en-US"/>
              </w:rPr>
            </w:pPr>
            <w:r>
              <w:rPr>
                <w:sz w:val="21"/>
                <w:szCs w:val="21"/>
                <w:lang w:eastAsia="en-US"/>
              </w:rPr>
              <w:t>0.34</w:t>
            </w:r>
          </w:p>
        </w:tc>
        <w:tc>
          <w:tcPr>
            <w:tcW w:w="716" w:type="dxa"/>
            <w:tcBorders>
              <w:tl2br w:val="nil"/>
              <w:tr2bl w:val="nil"/>
            </w:tcBorders>
            <w:shd w:val="clear" w:color="auto" w:fill="auto"/>
            <w:vAlign w:val="center"/>
          </w:tcPr>
          <w:p w14:paraId="3F695B1B">
            <w:pPr>
              <w:widowControl/>
              <w:spacing w:line="380" w:lineRule="exact"/>
              <w:jc w:val="center"/>
              <w:rPr>
                <w:sz w:val="21"/>
                <w:szCs w:val="21"/>
                <w:lang w:eastAsia="en-US"/>
              </w:rPr>
            </w:pPr>
            <w:r>
              <w:rPr>
                <w:sz w:val="21"/>
                <w:szCs w:val="21"/>
                <w:lang w:eastAsia="en-US"/>
              </w:rPr>
              <w:t>达标</w:t>
            </w:r>
          </w:p>
        </w:tc>
      </w:tr>
      <w:tr w14:paraId="42D7045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4FFEC18">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1EE4FFD0">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A704803">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2D71F61">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2171CB17">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5EAEF7F">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82" w:type="dxa"/>
            <w:tcBorders>
              <w:tl2br w:val="nil"/>
              <w:tr2bl w:val="nil"/>
            </w:tcBorders>
            <w:shd w:val="clear" w:color="auto" w:fill="auto"/>
            <w:vAlign w:val="center"/>
          </w:tcPr>
          <w:p w14:paraId="53CCD1E1">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3A9D458D">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C6688FF">
            <w:pPr>
              <w:widowControl w:val="0"/>
              <w:spacing w:line="380" w:lineRule="exact"/>
              <w:jc w:val="center"/>
              <w:rPr>
                <w:sz w:val="21"/>
                <w:szCs w:val="21"/>
                <w:lang w:eastAsia="en-US"/>
              </w:rPr>
            </w:pPr>
            <w:r>
              <w:rPr>
                <w:sz w:val="21"/>
                <w:szCs w:val="21"/>
                <w:lang w:eastAsia="en-US"/>
              </w:rPr>
              <w:t>0.09</w:t>
            </w:r>
          </w:p>
        </w:tc>
        <w:tc>
          <w:tcPr>
            <w:tcW w:w="716" w:type="dxa"/>
            <w:tcBorders>
              <w:tl2br w:val="nil"/>
              <w:tr2bl w:val="nil"/>
            </w:tcBorders>
            <w:shd w:val="clear" w:color="auto" w:fill="auto"/>
            <w:vAlign w:val="center"/>
          </w:tcPr>
          <w:p w14:paraId="00EA13AD">
            <w:pPr>
              <w:widowControl/>
              <w:spacing w:line="380" w:lineRule="exact"/>
              <w:jc w:val="center"/>
              <w:rPr>
                <w:sz w:val="21"/>
                <w:szCs w:val="21"/>
                <w:lang w:eastAsia="en-US"/>
              </w:rPr>
            </w:pPr>
            <w:r>
              <w:rPr>
                <w:sz w:val="21"/>
                <w:szCs w:val="21"/>
                <w:lang w:eastAsia="en-US"/>
              </w:rPr>
              <w:t>达标</w:t>
            </w:r>
          </w:p>
        </w:tc>
      </w:tr>
      <w:tr w14:paraId="6FBC984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78111AB">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59983709">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7889CF84">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42AC443E">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62230516">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D8E33DB">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E20F9C6">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FE18B2E">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3EF34D69">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1F31CEA7">
            <w:pPr>
              <w:widowControl/>
              <w:spacing w:line="380" w:lineRule="exact"/>
              <w:jc w:val="center"/>
              <w:rPr>
                <w:sz w:val="21"/>
                <w:szCs w:val="21"/>
                <w:lang w:eastAsia="en-US"/>
              </w:rPr>
            </w:pPr>
            <w:r>
              <w:rPr>
                <w:sz w:val="21"/>
                <w:szCs w:val="21"/>
                <w:lang w:eastAsia="en-US"/>
              </w:rPr>
              <w:t>达标</w:t>
            </w:r>
          </w:p>
        </w:tc>
      </w:tr>
      <w:tr w14:paraId="5B3AFE1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7C7F957">
            <w:pPr>
              <w:widowControl/>
              <w:spacing w:line="380" w:lineRule="exact"/>
              <w:jc w:val="center"/>
              <w:rPr>
                <w:sz w:val="21"/>
                <w:szCs w:val="21"/>
                <w:lang w:eastAsia="en-US"/>
              </w:rPr>
            </w:pPr>
            <w:r>
              <w:rPr>
                <w:sz w:val="21"/>
                <w:szCs w:val="21"/>
                <w:lang w:eastAsia="en-US"/>
              </w:rPr>
              <w:t>12</w:t>
            </w:r>
          </w:p>
        </w:tc>
        <w:tc>
          <w:tcPr>
            <w:tcW w:w="1145" w:type="dxa"/>
            <w:vMerge w:val="restart"/>
            <w:tcBorders>
              <w:tl2br w:val="nil"/>
              <w:tr2bl w:val="nil"/>
            </w:tcBorders>
            <w:shd w:val="clear" w:color="auto" w:fill="auto"/>
            <w:vAlign w:val="center"/>
          </w:tcPr>
          <w:p w14:paraId="5C498906">
            <w:pPr>
              <w:widowControl/>
              <w:spacing w:line="380" w:lineRule="exact"/>
              <w:jc w:val="center"/>
              <w:rPr>
                <w:sz w:val="21"/>
                <w:szCs w:val="21"/>
                <w:lang w:eastAsia="en-US"/>
              </w:rPr>
            </w:pPr>
            <w:r>
              <w:rPr>
                <w:sz w:val="21"/>
                <w:szCs w:val="21"/>
                <w:lang w:eastAsia="en-US"/>
              </w:rPr>
              <w:t>天易水竹学校</w:t>
            </w:r>
          </w:p>
        </w:tc>
        <w:tc>
          <w:tcPr>
            <w:tcW w:w="737" w:type="dxa"/>
            <w:vMerge w:val="restart"/>
            <w:tcBorders>
              <w:tl2br w:val="nil"/>
              <w:tr2bl w:val="nil"/>
            </w:tcBorders>
            <w:shd w:val="clear" w:color="auto" w:fill="auto"/>
            <w:vAlign w:val="center"/>
          </w:tcPr>
          <w:p w14:paraId="6C95C586">
            <w:pPr>
              <w:widowControl/>
              <w:spacing w:line="380" w:lineRule="exact"/>
              <w:jc w:val="center"/>
              <w:rPr>
                <w:sz w:val="21"/>
                <w:szCs w:val="21"/>
                <w:lang w:eastAsia="en-US"/>
              </w:rPr>
            </w:pPr>
            <w:r>
              <w:rPr>
                <w:rFonts w:hint="eastAsia"/>
                <w:sz w:val="21"/>
                <w:szCs w:val="21"/>
                <w:lang w:eastAsia="en-US"/>
              </w:rPr>
              <w:t>1155</w:t>
            </w:r>
          </w:p>
        </w:tc>
        <w:tc>
          <w:tcPr>
            <w:tcW w:w="647" w:type="dxa"/>
            <w:vMerge w:val="restart"/>
            <w:tcBorders>
              <w:tl2br w:val="nil"/>
              <w:tr2bl w:val="nil"/>
            </w:tcBorders>
            <w:shd w:val="clear" w:color="auto" w:fill="auto"/>
            <w:vAlign w:val="center"/>
          </w:tcPr>
          <w:p w14:paraId="4E8C6169">
            <w:pPr>
              <w:widowControl/>
              <w:spacing w:line="380" w:lineRule="exact"/>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0F562AE4">
            <w:pPr>
              <w:widowControl/>
              <w:spacing w:line="380" w:lineRule="exact"/>
              <w:jc w:val="center"/>
              <w:rPr>
                <w:sz w:val="21"/>
                <w:szCs w:val="21"/>
                <w:lang w:eastAsia="en-US"/>
              </w:rPr>
            </w:pPr>
            <w:r>
              <w:rPr>
                <w:sz w:val="21"/>
                <w:szCs w:val="21"/>
                <w:lang w:eastAsia="en-US"/>
              </w:rPr>
              <w:t>1 小时</w:t>
            </w:r>
          </w:p>
        </w:tc>
        <w:tc>
          <w:tcPr>
            <w:tcW w:w="1069" w:type="dxa"/>
            <w:tcBorders>
              <w:tl2br w:val="nil"/>
              <w:tr2bl w:val="nil"/>
            </w:tcBorders>
            <w:shd w:val="clear" w:color="auto" w:fill="auto"/>
            <w:vAlign w:val="center"/>
          </w:tcPr>
          <w:p w14:paraId="15BB1BC5">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051719</w:t>
            </w:r>
          </w:p>
        </w:tc>
        <w:tc>
          <w:tcPr>
            <w:tcW w:w="1182" w:type="dxa"/>
            <w:tcBorders>
              <w:tl2br w:val="nil"/>
              <w:tr2bl w:val="nil"/>
            </w:tcBorders>
            <w:shd w:val="clear" w:color="auto" w:fill="auto"/>
            <w:vAlign w:val="center"/>
          </w:tcPr>
          <w:p w14:paraId="384694B7">
            <w:pPr>
              <w:widowControl w:val="0"/>
              <w:spacing w:line="380" w:lineRule="exact"/>
              <w:jc w:val="center"/>
              <w:rPr>
                <w:sz w:val="21"/>
                <w:szCs w:val="21"/>
                <w:lang w:eastAsia="en-US"/>
              </w:rPr>
            </w:pPr>
            <w:r>
              <w:rPr>
                <w:sz w:val="21"/>
                <w:szCs w:val="21"/>
                <w:lang w:eastAsia="en-US"/>
              </w:rPr>
              <w:t>0.0008</w:t>
            </w:r>
          </w:p>
        </w:tc>
        <w:tc>
          <w:tcPr>
            <w:tcW w:w="914" w:type="dxa"/>
            <w:tcBorders>
              <w:tl2br w:val="nil"/>
              <w:tr2bl w:val="nil"/>
            </w:tcBorders>
            <w:shd w:val="clear" w:color="auto" w:fill="auto"/>
            <w:vAlign w:val="center"/>
          </w:tcPr>
          <w:p w14:paraId="05AF36E9">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55255E0">
            <w:pPr>
              <w:widowControl w:val="0"/>
              <w:spacing w:line="380" w:lineRule="exact"/>
              <w:jc w:val="center"/>
              <w:rPr>
                <w:sz w:val="21"/>
                <w:szCs w:val="21"/>
                <w:lang w:eastAsia="en-US"/>
              </w:rPr>
            </w:pPr>
            <w:r>
              <w:rPr>
                <w:sz w:val="21"/>
                <w:szCs w:val="21"/>
                <w:lang w:eastAsia="en-US"/>
              </w:rPr>
              <w:t>0.39</w:t>
            </w:r>
          </w:p>
        </w:tc>
        <w:tc>
          <w:tcPr>
            <w:tcW w:w="716" w:type="dxa"/>
            <w:tcBorders>
              <w:tl2br w:val="nil"/>
              <w:tr2bl w:val="nil"/>
            </w:tcBorders>
            <w:shd w:val="clear" w:color="auto" w:fill="auto"/>
            <w:vAlign w:val="center"/>
          </w:tcPr>
          <w:p w14:paraId="383CF1DB">
            <w:pPr>
              <w:widowControl/>
              <w:spacing w:line="380" w:lineRule="exact"/>
              <w:jc w:val="center"/>
              <w:rPr>
                <w:sz w:val="21"/>
                <w:szCs w:val="21"/>
                <w:lang w:eastAsia="en-US"/>
              </w:rPr>
            </w:pPr>
            <w:r>
              <w:rPr>
                <w:sz w:val="21"/>
                <w:szCs w:val="21"/>
                <w:lang w:eastAsia="en-US"/>
              </w:rPr>
              <w:t>达标</w:t>
            </w:r>
          </w:p>
        </w:tc>
      </w:tr>
      <w:tr w14:paraId="4CD91CE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B5DA679">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3D84AB27">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1BDF205">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5E45140A">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3C11331D">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E52BFBA">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82" w:type="dxa"/>
            <w:tcBorders>
              <w:tl2br w:val="nil"/>
              <w:tr2bl w:val="nil"/>
            </w:tcBorders>
            <w:shd w:val="clear" w:color="auto" w:fill="auto"/>
            <w:vAlign w:val="center"/>
          </w:tcPr>
          <w:p w14:paraId="1C4C8ECA">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47E86949">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055FC5F2">
            <w:pPr>
              <w:widowControl w:val="0"/>
              <w:spacing w:line="380" w:lineRule="exact"/>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53E25285">
            <w:pPr>
              <w:widowControl/>
              <w:spacing w:line="380" w:lineRule="exact"/>
              <w:jc w:val="center"/>
              <w:rPr>
                <w:sz w:val="21"/>
                <w:szCs w:val="21"/>
                <w:lang w:eastAsia="en-US"/>
              </w:rPr>
            </w:pPr>
            <w:r>
              <w:rPr>
                <w:sz w:val="21"/>
                <w:szCs w:val="21"/>
                <w:lang w:eastAsia="en-US"/>
              </w:rPr>
              <w:t>达标</w:t>
            </w:r>
          </w:p>
        </w:tc>
      </w:tr>
      <w:tr w14:paraId="4A2A4AF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C5C7E80">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3DC112E">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E826AF3">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BE1D7B6">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705E4AD">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0004326">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53BD914">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5C7AC1C">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2BE7D2A">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2C31ED01">
            <w:pPr>
              <w:widowControl/>
              <w:spacing w:line="380" w:lineRule="exact"/>
              <w:jc w:val="center"/>
              <w:rPr>
                <w:sz w:val="21"/>
                <w:szCs w:val="21"/>
                <w:lang w:eastAsia="en-US"/>
              </w:rPr>
            </w:pPr>
            <w:r>
              <w:rPr>
                <w:sz w:val="21"/>
                <w:szCs w:val="21"/>
                <w:lang w:eastAsia="en-US"/>
              </w:rPr>
              <w:t>达标</w:t>
            </w:r>
          </w:p>
        </w:tc>
      </w:tr>
      <w:tr w14:paraId="18D2A36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788F0D58">
            <w:pPr>
              <w:widowControl/>
              <w:spacing w:line="380" w:lineRule="exact"/>
              <w:jc w:val="center"/>
              <w:rPr>
                <w:sz w:val="21"/>
                <w:szCs w:val="21"/>
                <w:lang w:eastAsia="en-US"/>
              </w:rPr>
            </w:pPr>
            <w:r>
              <w:rPr>
                <w:sz w:val="21"/>
                <w:szCs w:val="21"/>
                <w:lang w:eastAsia="en-US"/>
              </w:rPr>
              <w:t>13</w:t>
            </w:r>
          </w:p>
        </w:tc>
        <w:tc>
          <w:tcPr>
            <w:tcW w:w="1145" w:type="dxa"/>
            <w:vMerge w:val="restart"/>
            <w:tcBorders>
              <w:tl2br w:val="nil"/>
              <w:tr2bl w:val="nil"/>
            </w:tcBorders>
            <w:shd w:val="clear" w:color="auto" w:fill="auto"/>
            <w:vAlign w:val="center"/>
          </w:tcPr>
          <w:p w14:paraId="3A9ACB26">
            <w:pPr>
              <w:widowControl/>
              <w:spacing w:line="380" w:lineRule="exact"/>
              <w:jc w:val="center"/>
              <w:rPr>
                <w:sz w:val="21"/>
                <w:szCs w:val="21"/>
                <w:lang w:eastAsia="en-US"/>
              </w:rPr>
            </w:pPr>
            <w:r>
              <w:rPr>
                <w:sz w:val="21"/>
                <w:szCs w:val="21"/>
                <w:lang w:eastAsia="en-US"/>
              </w:rPr>
              <w:t>水竹安置区</w:t>
            </w:r>
          </w:p>
        </w:tc>
        <w:tc>
          <w:tcPr>
            <w:tcW w:w="737" w:type="dxa"/>
            <w:vMerge w:val="restart"/>
            <w:tcBorders>
              <w:tl2br w:val="nil"/>
              <w:tr2bl w:val="nil"/>
            </w:tcBorders>
            <w:shd w:val="clear" w:color="auto" w:fill="auto"/>
            <w:vAlign w:val="center"/>
          </w:tcPr>
          <w:p w14:paraId="75933C28">
            <w:pPr>
              <w:widowControl/>
              <w:spacing w:line="380" w:lineRule="exact"/>
              <w:jc w:val="center"/>
              <w:rPr>
                <w:sz w:val="21"/>
                <w:szCs w:val="21"/>
                <w:lang w:eastAsia="en-US"/>
              </w:rPr>
            </w:pPr>
            <w:r>
              <w:rPr>
                <w:rFonts w:hint="eastAsia"/>
                <w:sz w:val="21"/>
                <w:szCs w:val="21"/>
                <w:lang w:eastAsia="en-US"/>
              </w:rPr>
              <w:t>752</w:t>
            </w:r>
          </w:p>
        </w:tc>
        <w:tc>
          <w:tcPr>
            <w:tcW w:w="647" w:type="dxa"/>
            <w:vMerge w:val="restart"/>
            <w:tcBorders>
              <w:tl2br w:val="nil"/>
              <w:tr2bl w:val="nil"/>
            </w:tcBorders>
            <w:shd w:val="clear" w:color="auto" w:fill="auto"/>
            <w:vAlign w:val="center"/>
          </w:tcPr>
          <w:p w14:paraId="47FF1F85">
            <w:pPr>
              <w:widowControl/>
              <w:spacing w:line="380" w:lineRule="exact"/>
              <w:jc w:val="center"/>
              <w:rPr>
                <w:sz w:val="21"/>
                <w:szCs w:val="21"/>
                <w:lang w:eastAsia="en-US"/>
              </w:rPr>
            </w:pPr>
            <w:r>
              <w:rPr>
                <w:rFonts w:hint="eastAsia"/>
                <w:sz w:val="21"/>
                <w:szCs w:val="21"/>
                <w:lang w:eastAsia="en-US"/>
              </w:rPr>
              <w:t>233</w:t>
            </w:r>
          </w:p>
        </w:tc>
        <w:tc>
          <w:tcPr>
            <w:tcW w:w="914" w:type="dxa"/>
            <w:tcBorders>
              <w:tl2br w:val="nil"/>
              <w:tr2bl w:val="nil"/>
            </w:tcBorders>
            <w:shd w:val="clear" w:color="auto" w:fill="auto"/>
            <w:vAlign w:val="center"/>
          </w:tcPr>
          <w:p w14:paraId="5361A0E7">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CF4C817">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061819</w:t>
            </w:r>
          </w:p>
        </w:tc>
        <w:tc>
          <w:tcPr>
            <w:tcW w:w="1182" w:type="dxa"/>
            <w:tcBorders>
              <w:tl2br w:val="nil"/>
              <w:tr2bl w:val="nil"/>
            </w:tcBorders>
            <w:shd w:val="clear" w:color="auto" w:fill="auto"/>
            <w:vAlign w:val="center"/>
          </w:tcPr>
          <w:p w14:paraId="21501F36">
            <w:pPr>
              <w:widowControl w:val="0"/>
              <w:spacing w:line="380" w:lineRule="exact"/>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6D35BD5F">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809EE86">
            <w:pPr>
              <w:widowControl w:val="0"/>
              <w:spacing w:line="380" w:lineRule="exact"/>
              <w:jc w:val="center"/>
              <w:rPr>
                <w:sz w:val="21"/>
                <w:szCs w:val="21"/>
                <w:lang w:eastAsia="en-US"/>
              </w:rPr>
            </w:pPr>
            <w:r>
              <w:rPr>
                <w:sz w:val="21"/>
                <w:szCs w:val="21"/>
                <w:lang w:eastAsia="en-US"/>
              </w:rPr>
              <w:t>0.43</w:t>
            </w:r>
          </w:p>
        </w:tc>
        <w:tc>
          <w:tcPr>
            <w:tcW w:w="716" w:type="dxa"/>
            <w:tcBorders>
              <w:tl2br w:val="nil"/>
              <w:tr2bl w:val="nil"/>
            </w:tcBorders>
            <w:shd w:val="clear" w:color="auto" w:fill="auto"/>
            <w:vAlign w:val="center"/>
          </w:tcPr>
          <w:p w14:paraId="5CA92FD5">
            <w:pPr>
              <w:widowControl/>
              <w:spacing w:line="380" w:lineRule="exact"/>
              <w:jc w:val="center"/>
              <w:rPr>
                <w:sz w:val="21"/>
                <w:szCs w:val="21"/>
                <w:lang w:eastAsia="en-US"/>
              </w:rPr>
            </w:pPr>
            <w:r>
              <w:rPr>
                <w:sz w:val="21"/>
                <w:szCs w:val="21"/>
                <w:lang w:eastAsia="en-US"/>
              </w:rPr>
              <w:t>达标</w:t>
            </w:r>
          </w:p>
        </w:tc>
      </w:tr>
      <w:tr w14:paraId="1C9F5B2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E94E030">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39D7DB6">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B70D681">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B7861ED">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D6A08E5">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E7AFBA2">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82" w:type="dxa"/>
            <w:tcBorders>
              <w:tl2br w:val="nil"/>
              <w:tr2bl w:val="nil"/>
            </w:tcBorders>
            <w:shd w:val="clear" w:color="auto" w:fill="auto"/>
            <w:vAlign w:val="center"/>
          </w:tcPr>
          <w:p w14:paraId="4EAB4072">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1B1CE6CA">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556C355C">
            <w:pPr>
              <w:widowControl w:val="0"/>
              <w:spacing w:line="380" w:lineRule="exact"/>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32103573">
            <w:pPr>
              <w:widowControl/>
              <w:spacing w:line="380" w:lineRule="exact"/>
              <w:jc w:val="center"/>
              <w:rPr>
                <w:sz w:val="21"/>
                <w:szCs w:val="21"/>
                <w:lang w:eastAsia="en-US"/>
              </w:rPr>
            </w:pPr>
            <w:r>
              <w:rPr>
                <w:sz w:val="21"/>
                <w:szCs w:val="21"/>
                <w:lang w:eastAsia="en-US"/>
              </w:rPr>
              <w:t>达标</w:t>
            </w:r>
          </w:p>
        </w:tc>
      </w:tr>
      <w:tr w14:paraId="622BA58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65EAD58">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6EFF94AB">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CF8BAA2">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9D8EBFB">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B047D23">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46CD1A8">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B5F3452">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E079ACC">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4ACEDC1A">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2D24DAC5">
            <w:pPr>
              <w:widowControl/>
              <w:spacing w:line="380" w:lineRule="exact"/>
              <w:jc w:val="center"/>
              <w:rPr>
                <w:sz w:val="21"/>
                <w:szCs w:val="21"/>
                <w:lang w:eastAsia="en-US"/>
              </w:rPr>
            </w:pPr>
            <w:r>
              <w:rPr>
                <w:sz w:val="21"/>
                <w:szCs w:val="21"/>
                <w:lang w:eastAsia="en-US"/>
              </w:rPr>
              <w:t>达标</w:t>
            </w:r>
          </w:p>
        </w:tc>
      </w:tr>
      <w:tr w14:paraId="5D2DF48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385C40A">
            <w:pPr>
              <w:widowControl/>
              <w:spacing w:line="380" w:lineRule="exact"/>
              <w:jc w:val="center"/>
              <w:rPr>
                <w:sz w:val="21"/>
                <w:szCs w:val="21"/>
                <w:lang w:eastAsia="en-US"/>
              </w:rPr>
            </w:pPr>
            <w:r>
              <w:rPr>
                <w:rFonts w:hint="eastAsia"/>
                <w:sz w:val="21"/>
                <w:szCs w:val="21"/>
                <w:lang w:eastAsia="en-US"/>
              </w:rPr>
              <w:t>14</w:t>
            </w:r>
          </w:p>
        </w:tc>
        <w:tc>
          <w:tcPr>
            <w:tcW w:w="1145" w:type="dxa"/>
            <w:vMerge w:val="restart"/>
            <w:tcBorders>
              <w:tl2br w:val="nil"/>
              <w:tr2bl w:val="nil"/>
            </w:tcBorders>
            <w:shd w:val="clear" w:color="auto" w:fill="auto"/>
            <w:vAlign w:val="center"/>
          </w:tcPr>
          <w:p w14:paraId="7B315CF7">
            <w:pPr>
              <w:widowControl/>
              <w:spacing w:line="380" w:lineRule="exact"/>
              <w:jc w:val="center"/>
              <w:rPr>
                <w:sz w:val="21"/>
                <w:szCs w:val="21"/>
                <w:lang w:eastAsia="en-US"/>
              </w:rPr>
            </w:pPr>
            <w:r>
              <w:rPr>
                <w:sz w:val="21"/>
                <w:szCs w:val="21"/>
                <w:lang w:eastAsia="en-US"/>
              </w:rPr>
              <w:t>湘潭县行政学校</w:t>
            </w:r>
          </w:p>
        </w:tc>
        <w:tc>
          <w:tcPr>
            <w:tcW w:w="737" w:type="dxa"/>
            <w:vMerge w:val="restart"/>
            <w:tcBorders>
              <w:tl2br w:val="nil"/>
              <w:tr2bl w:val="nil"/>
            </w:tcBorders>
            <w:shd w:val="clear" w:color="auto" w:fill="auto"/>
            <w:vAlign w:val="center"/>
          </w:tcPr>
          <w:p w14:paraId="6580C372">
            <w:pPr>
              <w:widowControl/>
              <w:spacing w:line="380" w:lineRule="exact"/>
              <w:jc w:val="center"/>
              <w:rPr>
                <w:sz w:val="21"/>
                <w:szCs w:val="21"/>
                <w:lang w:eastAsia="en-US"/>
              </w:rPr>
            </w:pPr>
            <w:r>
              <w:rPr>
                <w:rFonts w:hint="eastAsia"/>
                <w:sz w:val="21"/>
                <w:szCs w:val="21"/>
                <w:lang w:eastAsia="en-US"/>
              </w:rPr>
              <w:t>705</w:t>
            </w:r>
          </w:p>
        </w:tc>
        <w:tc>
          <w:tcPr>
            <w:tcW w:w="647" w:type="dxa"/>
            <w:vMerge w:val="restart"/>
            <w:tcBorders>
              <w:tl2br w:val="nil"/>
              <w:tr2bl w:val="nil"/>
            </w:tcBorders>
            <w:shd w:val="clear" w:color="auto" w:fill="auto"/>
            <w:vAlign w:val="center"/>
          </w:tcPr>
          <w:p w14:paraId="523E01D6">
            <w:pPr>
              <w:widowControl/>
              <w:spacing w:line="380" w:lineRule="exact"/>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46FFF71E">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CF93E43">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82" w:type="dxa"/>
            <w:tcBorders>
              <w:tl2br w:val="nil"/>
              <w:tr2bl w:val="nil"/>
            </w:tcBorders>
            <w:shd w:val="clear" w:color="auto" w:fill="auto"/>
            <w:vAlign w:val="center"/>
          </w:tcPr>
          <w:p w14:paraId="725066E7">
            <w:pPr>
              <w:widowControl w:val="0"/>
              <w:spacing w:line="38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66437D92">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9EA4761">
            <w:pPr>
              <w:widowControl w:val="0"/>
              <w:spacing w:line="380" w:lineRule="exact"/>
              <w:jc w:val="center"/>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225BAA75">
            <w:pPr>
              <w:widowControl/>
              <w:spacing w:line="380" w:lineRule="exact"/>
              <w:jc w:val="center"/>
              <w:rPr>
                <w:sz w:val="21"/>
                <w:szCs w:val="21"/>
                <w:lang w:eastAsia="en-US"/>
              </w:rPr>
            </w:pPr>
            <w:r>
              <w:rPr>
                <w:sz w:val="21"/>
                <w:szCs w:val="21"/>
                <w:lang w:eastAsia="en-US"/>
              </w:rPr>
              <w:t>达标</w:t>
            </w:r>
          </w:p>
        </w:tc>
      </w:tr>
      <w:tr w14:paraId="428B36A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2B368C4">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D9D10F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EC0634E">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475AF043">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0A5E5E2A">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73A4A41">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0530</w:t>
            </w:r>
          </w:p>
        </w:tc>
        <w:tc>
          <w:tcPr>
            <w:tcW w:w="1182" w:type="dxa"/>
            <w:tcBorders>
              <w:tl2br w:val="nil"/>
              <w:tr2bl w:val="nil"/>
            </w:tcBorders>
            <w:shd w:val="clear" w:color="auto" w:fill="auto"/>
            <w:vAlign w:val="center"/>
          </w:tcPr>
          <w:p w14:paraId="3C1702A2">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33396D8C">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7244EB82">
            <w:pPr>
              <w:widowControl w:val="0"/>
              <w:spacing w:line="380" w:lineRule="exact"/>
              <w:jc w:val="center"/>
              <w:rPr>
                <w:sz w:val="21"/>
                <w:szCs w:val="21"/>
                <w:lang w:eastAsia="en-US"/>
              </w:rPr>
            </w:pPr>
            <w:r>
              <w:rPr>
                <w:sz w:val="21"/>
                <w:szCs w:val="21"/>
                <w:lang w:eastAsia="en-US"/>
              </w:rPr>
              <w:t>0.08</w:t>
            </w:r>
          </w:p>
        </w:tc>
        <w:tc>
          <w:tcPr>
            <w:tcW w:w="716" w:type="dxa"/>
            <w:tcBorders>
              <w:tl2br w:val="nil"/>
              <w:tr2bl w:val="nil"/>
            </w:tcBorders>
            <w:shd w:val="clear" w:color="auto" w:fill="auto"/>
            <w:vAlign w:val="center"/>
          </w:tcPr>
          <w:p w14:paraId="68F1CFD3">
            <w:pPr>
              <w:widowControl/>
              <w:spacing w:line="380" w:lineRule="exact"/>
              <w:jc w:val="center"/>
              <w:rPr>
                <w:sz w:val="21"/>
                <w:szCs w:val="21"/>
                <w:lang w:eastAsia="en-US"/>
              </w:rPr>
            </w:pPr>
            <w:r>
              <w:rPr>
                <w:sz w:val="21"/>
                <w:szCs w:val="21"/>
                <w:lang w:eastAsia="en-US"/>
              </w:rPr>
              <w:t>达标</w:t>
            </w:r>
          </w:p>
        </w:tc>
      </w:tr>
      <w:tr w14:paraId="6AD9601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4AF6CDD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5EF0877">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47310466">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79ABB8CF">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D84D538">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2A4963E">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08A4F4A">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3AEE966">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53A5369B">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2BC123E4">
            <w:pPr>
              <w:widowControl/>
              <w:spacing w:line="380" w:lineRule="exact"/>
              <w:jc w:val="center"/>
              <w:rPr>
                <w:sz w:val="21"/>
                <w:szCs w:val="21"/>
                <w:lang w:eastAsia="en-US"/>
              </w:rPr>
            </w:pPr>
            <w:r>
              <w:rPr>
                <w:sz w:val="21"/>
                <w:szCs w:val="21"/>
                <w:lang w:eastAsia="en-US"/>
              </w:rPr>
              <w:t>达标</w:t>
            </w:r>
          </w:p>
        </w:tc>
      </w:tr>
      <w:tr w14:paraId="3C7116F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3AB4164">
            <w:pPr>
              <w:widowControl/>
              <w:spacing w:line="380" w:lineRule="exact"/>
              <w:jc w:val="center"/>
              <w:rPr>
                <w:sz w:val="21"/>
                <w:szCs w:val="21"/>
                <w:lang w:eastAsia="en-US"/>
              </w:rPr>
            </w:pPr>
            <w:r>
              <w:rPr>
                <w:rFonts w:hint="eastAsia"/>
                <w:sz w:val="21"/>
                <w:szCs w:val="21"/>
                <w:lang w:eastAsia="en-US"/>
              </w:rPr>
              <w:t>15</w:t>
            </w:r>
          </w:p>
        </w:tc>
        <w:tc>
          <w:tcPr>
            <w:tcW w:w="1145" w:type="dxa"/>
            <w:vMerge w:val="restart"/>
            <w:tcBorders>
              <w:tl2br w:val="nil"/>
              <w:tr2bl w:val="nil"/>
            </w:tcBorders>
            <w:shd w:val="clear" w:color="auto" w:fill="auto"/>
            <w:vAlign w:val="center"/>
          </w:tcPr>
          <w:p w14:paraId="42CF8EAF">
            <w:pPr>
              <w:widowControl/>
              <w:spacing w:line="380" w:lineRule="exact"/>
              <w:jc w:val="center"/>
              <w:rPr>
                <w:sz w:val="21"/>
                <w:szCs w:val="21"/>
                <w:lang w:eastAsia="en-US"/>
              </w:rPr>
            </w:pPr>
            <w:r>
              <w:rPr>
                <w:sz w:val="21"/>
                <w:szCs w:val="21"/>
                <w:lang w:eastAsia="en-US"/>
              </w:rPr>
              <w:t>湘潭县公安局</w:t>
            </w:r>
          </w:p>
        </w:tc>
        <w:tc>
          <w:tcPr>
            <w:tcW w:w="737" w:type="dxa"/>
            <w:vMerge w:val="restart"/>
            <w:tcBorders>
              <w:tl2br w:val="nil"/>
              <w:tr2bl w:val="nil"/>
            </w:tcBorders>
            <w:shd w:val="clear" w:color="auto" w:fill="auto"/>
            <w:vAlign w:val="center"/>
          </w:tcPr>
          <w:p w14:paraId="1A359439">
            <w:pPr>
              <w:widowControl/>
              <w:spacing w:line="380" w:lineRule="exact"/>
              <w:jc w:val="center"/>
              <w:rPr>
                <w:sz w:val="21"/>
                <w:szCs w:val="21"/>
                <w:lang w:eastAsia="en-US"/>
              </w:rPr>
            </w:pPr>
            <w:r>
              <w:rPr>
                <w:rFonts w:hint="eastAsia"/>
                <w:sz w:val="21"/>
                <w:szCs w:val="21"/>
                <w:lang w:eastAsia="en-US"/>
              </w:rPr>
              <w:t>1104</w:t>
            </w:r>
          </w:p>
        </w:tc>
        <w:tc>
          <w:tcPr>
            <w:tcW w:w="647" w:type="dxa"/>
            <w:vMerge w:val="restart"/>
            <w:tcBorders>
              <w:tl2br w:val="nil"/>
              <w:tr2bl w:val="nil"/>
            </w:tcBorders>
            <w:shd w:val="clear" w:color="auto" w:fill="auto"/>
            <w:vAlign w:val="center"/>
          </w:tcPr>
          <w:p w14:paraId="01FD8CC8">
            <w:pPr>
              <w:widowControl/>
              <w:spacing w:line="380" w:lineRule="exact"/>
              <w:jc w:val="center"/>
              <w:rPr>
                <w:sz w:val="21"/>
                <w:szCs w:val="21"/>
                <w:lang w:eastAsia="en-US"/>
              </w:rPr>
            </w:pPr>
            <w:r>
              <w:rPr>
                <w:rFonts w:hint="eastAsia"/>
                <w:sz w:val="21"/>
                <w:szCs w:val="21"/>
                <w:lang w:eastAsia="en-US"/>
              </w:rPr>
              <w:t>910</w:t>
            </w:r>
          </w:p>
        </w:tc>
        <w:tc>
          <w:tcPr>
            <w:tcW w:w="914" w:type="dxa"/>
            <w:tcBorders>
              <w:tl2br w:val="nil"/>
              <w:tr2bl w:val="nil"/>
            </w:tcBorders>
            <w:shd w:val="clear" w:color="auto" w:fill="auto"/>
            <w:vAlign w:val="center"/>
          </w:tcPr>
          <w:p w14:paraId="3C468A52">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3AFF4B1">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82" w:type="dxa"/>
            <w:tcBorders>
              <w:tl2br w:val="nil"/>
              <w:tr2bl w:val="nil"/>
            </w:tcBorders>
            <w:shd w:val="clear" w:color="auto" w:fill="auto"/>
            <w:vAlign w:val="center"/>
          </w:tcPr>
          <w:p w14:paraId="39132B40">
            <w:pPr>
              <w:widowControl w:val="0"/>
              <w:spacing w:line="380" w:lineRule="exact"/>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2076DB04">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A109901">
            <w:pPr>
              <w:widowControl w:val="0"/>
              <w:spacing w:line="380" w:lineRule="exact"/>
              <w:jc w:val="center"/>
              <w:rPr>
                <w:sz w:val="21"/>
                <w:szCs w:val="21"/>
                <w:lang w:eastAsia="en-US"/>
              </w:rPr>
            </w:pPr>
            <w:r>
              <w:rPr>
                <w:sz w:val="21"/>
                <w:szCs w:val="21"/>
                <w:lang w:eastAsia="en-US"/>
              </w:rPr>
              <w:t>0.29</w:t>
            </w:r>
          </w:p>
        </w:tc>
        <w:tc>
          <w:tcPr>
            <w:tcW w:w="716" w:type="dxa"/>
            <w:tcBorders>
              <w:tl2br w:val="nil"/>
              <w:tr2bl w:val="nil"/>
            </w:tcBorders>
            <w:shd w:val="clear" w:color="auto" w:fill="auto"/>
            <w:vAlign w:val="center"/>
          </w:tcPr>
          <w:p w14:paraId="6F75887A">
            <w:pPr>
              <w:widowControl/>
              <w:spacing w:line="380" w:lineRule="exact"/>
              <w:jc w:val="center"/>
              <w:rPr>
                <w:sz w:val="21"/>
                <w:szCs w:val="21"/>
                <w:lang w:eastAsia="en-US"/>
              </w:rPr>
            </w:pPr>
            <w:r>
              <w:rPr>
                <w:sz w:val="21"/>
                <w:szCs w:val="21"/>
                <w:lang w:eastAsia="en-US"/>
              </w:rPr>
              <w:t>达标</w:t>
            </w:r>
          </w:p>
        </w:tc>
      </w:tr>
      <w:tr w14:paraId="324B745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E8C595B">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2363F127">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79D86D14">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454BF659">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38E6A4B6">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0933CEB">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w:t>
            </w:r>
          </w:p>
        </w:tc>
        <w:tc>
          <w:tcPr>
            <w:tcW w:w="1182" w:type="dxa"/>
            <w:tcBorders>
              <w:tl2br w:val="nil"/>
              <w:tr2bl w:val="nil"/>
            </w:tcBorders>
            <w:shd w:val="clear" w:color="auto" w:fill="auto"/>
            <w:vAlign w:val="center"/>
          </w:tcPr>
          <w:p w14:paraId="493E2BF2">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3A1619D">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2495414">
            <w:pPr>
              <w:widowControl w:val="0"/>
              <w:spacing w:line="380" w:lineRule="exact"/>
              <w:jc w:val="center"/>
              <w:rPr>
                <w:sz w:val="21"/>
                <w:szCs w:val="21"/>
                <w:lang w:eastAsia="en-US"/>
              </w:rPr>
            </w:pPr>
            <w:r>
              <w:rPr>
                <w:sz w:val="21"/>
                <w:szCs w:val="21"/>
                <w:lang w:eastAsia="en-US"/>
              </w:rPr>
              <w:t>0.05</w:t>
            </w:r>
          </w:p>
        </w:tc>
        <w:tc>
          <w:tcPr>
            <w:tcW w:w="716" w:type="dxa"/>
            <w:tcBorders>
              <w:tl2br w:val="nil"/>
              <w:tr2bl w:val="nil"/>
            </w:tcBorders>
            <w:shd w:val="clear" w:color="auto" w:fill="auto"/>
            <w:vAlign w:val="center"/>
          </w:tcPr>
          <w:p w14:paraId="6DD4D617">
            <w:pPr>
              <w:widowControl/>
              <w:spacing w:line="380" w:lineRule="exact"/>
              <w:jc w:val="center"/>
              <w:rPr>
                <w:sz w:val="21"/>
                <w:szCs w:val="21"/>
                <w:lang w:eastAsia="en-US"/>
              </w:rPr>
            </w:pPr>
            <w:r>
              <w:rPr>
                <w:sz w:val="21"/>
                <w:szCs w:val="21"/>
                <w:lang w:eastAsia="en-US"/>
              </w:rPr>
              <w:t>达标</w:t>
            </w:r>
          </w:p>
        </w:tc>
      </w:tr>
      <w:tr w14:paraId="346B734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E69355A">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6496E4D">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64B53BF7">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2AC0E09">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29B7EEFB">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8BEE3C1">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4C776DA">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551F270">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149273E">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0EE451C5">
            <w:pPr>
              <w:widowControl/>
              <w:spacing w:line="380" w:lineRule="exact"/>
              <w:jc w:val="center"/>
              <w:rPr>
                <w:sz w:val="21"/>
                <w:szCs w:val="21"/>
                <w:lang w:eastAsia="en-US"/>
              </w:rPr>
            </w:pPr>
            <w:r>
              <w:rPr>
                <w:sz w:val="21"/>
                <w:szCs w:val="21"/>
                <w:lang w:eastAsia="en-US"/>
              </w:rPr>
              <w:t>达标</w:t>
            </w:r>
          </w:p>
        </w:tc>
      </w:tr>
      <w:tr w14:paraId="02FB388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17C4CB6">
            <w:pPr>
              <w:widowControl/>
              <w:spacing w:line="380" w:lineRule="exact"/>
              <w:jc w:val="center"/>
              <w:rPr>
                <w:sz w:val="21"/>
                <w:szCs w:val="21"/>
                <w:lang w:eastAsia="en-US"/>
              </w:rPr>
            </w:pPr>
            <w:r>
              <w:rPr>
                <w:rFonts w:hint="eastAsia"/>
                <w:sz w:val="21"/>
                <w:szCs w:val="21"/>
                <w:lang w:eastAsia="en-US"/>
              </w:rPr>
              <w:t>16</w:t>
            </w:r>
          </w:p>
        </w:tc>
        <w:tc>
          <w:tcPr>
            <w:tcW w:w="1145" w:type="dxa"/>
            <w:vMerge w:val="restart"/>
            <w:tcBorders>
              <w:tl2br w:val="nil"/>
              <w:tr2bl w:val="nil"/>
            </w:tcBorders>
            <w:shd w:val="clear" w:color="auto" w:fill="auto"/>
            <w:vAlign w:val="center"/>
          </w:tcPr>
          <w:p w14:paraId="19E506D7">
            <w:pPr>
              <w:widowControl/>
              <w:spacing w:line="380" w:lineRule="exact"/>
              <w:jc w:val="center"/>
              <w:rPr>
                <w:sz w:val="21"/>
                <w:szCs w:val="21"/>
                <w:lang w:eastAsia="en-US"/>
              </w:rPr>
            </w:pPr>
            <w:r>
              <w:rPr>
                <w:sz w:val="21"/>
                <w:szCs w:val="21"/>
                <w:lang w:eastAsia="en-US"/>
              </w:rPr>
              <w:t>学府雅苑</w:t>
            </w:r>
          </w:p>
        </w:tc>
        <w:tc>
          <w:tcPr>
            <w:tcW w:w="737" w:type="dxa"/>
            <w:vMerge w:val="restart"/>
            <w:tcBorders>
              <w:tl2br w:val="nil"/>
              <w:tr2bl w:val="nil"/>
            </w:tcBorders>
            <w:shd w:val="clear" w:color="auto" w:fill="auto"/>
            <w:vAlign w:val="center"/>
          </w:tcPr>
          <w:p w14:paraId="2FD12E38">
            <w:pPr>
              <w:widowControl/>
              <w:spacing w:line="380" w:lineRule="exact"/>
              <w:jc w:val="center"/>
              <w:rPr>
                <w:sz w:val="21"/>
                <w:szCs w:val="21"/>
                <w:lang w:eastAsia="en-US"/>
              </w:rPr>
            </w:pPr>
            <w:r>
              <w:rPr>
                <w:rFonts w:hint="eastAsia"/>
                <w:sz w:val="21"/>
                <w:szCs w:val="21"/>
                <w:lang w:eastAsia="en-US"/>
              </w:rPr>
              <w:t>742</w:t>
            </w:r>
          </w:p>
        </w:tc>
        <w:tc>
          <w:tcPr>
            <w:tcW w:w="647" w:type="dxa"/>
            <w:vMerge w:val="restart"/>
            <w:tcBorders>
              <w:tl2br w:val="nil"/>
              <w:tr2bl w:val="nil"/>
            </w:tcBorders>
            <w:shd w:val="clear" w:color="auto" w:fill="auto"/>
            <w:vAlign w:val="center"/>
          </w:tcPr>
          <w:p w14:paraId="3B1B3CCF">
            <w:pPr>
              <w:widowControl/>
              <w:spacing w:line="380" w:lineRule="exact"/>
              <w:jc w:val="center"/>
              <w:rPr>
                <w:sz w:val="21"/>
                <w:szCs w:val="21"/>
                <w:lang w:eastAsia="en-US"/>
              </w:rPr>
            </w:pPr>
            <w:r>
              <w:rPr>
                <w:rFonts w:hint="eastAsia"/>
                <w:sz w:val="21"/>
                <w:szCs w:val="21"/>
                <w:lang w:eastAsia="en-US"/>
              </w:rPr>
              <w:t>1055</w:t>
            </w:r>
          </w:p>
        </w:tc>
        <w:tc>
          <w:tcPr>
            <w:tcW w:w="914" w:type="dxa"/>
            <w:tcBorders>
              <w:tl2br w:val="nil"/>
              <w:tr2bl w:val="nil"/>
            </w:tcBorders>
            <w:shd w:val="clear" w:color="auto" w:fill="auto"/>
            <w:vAlign w:val="center"/>
          </w:tcPr>
          <w:p w14:paraId="5F082C0B">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BD678AF">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081619</w:t>
            </w:r>
          </w:p>
        </w:tc>
        <w:tc>
          <w:tcPr>
            <w:tcW w:w="1182" w:type="dxa"/>
            <w:tcBorders>
              <w:tl2br w:val="nil"/>
              <w:tr2bl w:val="nil"/>
            </w:tcBorders>
            <w:shd w:val="clear" w:color="auto" w:fill="auto"/>
            <w:vAlign w:val="center"/>
          </w:tcPr>
          <w:p w14:paraId="14876A11">
            <w:pPr>
              <w:widowControl w:val="0"/>
              <w:spacing w:line="380" w:lineRule="exact"/>
              <w:jc w:val="center"/>
              <w:rPr>
                <w:sz w:val="21"/>
                <w:szCs w:val="21"/>
                <w:lang w:eastAsia="en-US"/>
              </w:rPr>
            </w:pPr>
            <w:r>
              <w:rPr>
                <w:sz w:val="21"/>
                <w:szCs w:val="21"/>
                <w:lang w:eastAsia="en-US"/>
              </w:rPr>
              <w:t>0.0011</w:t>
            </w:r>
          </w:p>
        </w:tc>
        <w:tc>
          <w:tcPr>
            <w:tcW w:w="914" w:type="dxa"/>
            <w:tcBorders>
              <w:tl2br w:val="nil"/>
              <w:tr2bl w:val="nil"/>
            </w:tcBorders>
            <w:shd w:val="clear" w:color="auto" w:fill="auto"/>
            <w:vAlign w:val="center"/>
          </w:tcPr>
          <w:p w14:paraId="510BB53A">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A3EDA15">
            <w:pPr>
              <w:widowControl w:val="0"/>
              <w:spacing w:line="380" w:lineRule="exact"/>
              <w:jc w:val="center"/>
              <w:rPr>
                <w:sz w:val="21"/>
                <w:szCs w:val="21"/>
                <w:lang w:eastAsia="en-US"/>
              </w:rPr>
            </w:pPr>
            <w:r>
              <w:rPr>
                <w:sz w:val="21"/>
                <w:szCs w:val="21"/>
                <w:lang w:eastAsia="en-US"/>
              </w:rPr>
              <w:t>0.54</w:t>
            </w:r>
          </w:p>
        </w:tc>
        <w:tc>
          <w:tcPr>
            <w:tcW w:w="716" w:type="dxa"/>
            <w:tcBorders>
              <w:tl2br w:val="nil"/>
              <w:tr2bl w:val="nil"/>
            </w:tcBorders>
            <w:shd w:val="clear" w:color="auto" w:fill="auto"/>
            <w:vAlign w:val="center"/>
          </w:tcPr>
          <w:p w14:paraId="0B856F3A">
            <w:pPr>
              <w:widowControl/>
              <w:spacing w:line="380" w:lineRule="exact"/>
              <w:jc w:val="center"/>
              <w:rPr>
                <w:sz w:val="21"/>
                <w:szCs w:val="21"/>
                <w:lang w:eastAsia="en-US"/>
              </w:rPr>
            </w:pPr>
            <w:r>
              <w:rPr>
                <w:sz w:val="21"/>
                <w:szCs w:val="21"/>
                <w:lang w:eastAsia="en-US"/>
              </w:rPr>
              <w:t>达标</w:t>
            </w:r>
          </w:p>
        </w:tc>
      </w:tr>
      <w:tr w14:paraId="1577331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23E31FA">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180C22D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4F94901C">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465A5A1">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2CB9150D">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997F0ED">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w:t>
            </w:r>
          </w:p>
        </w:tc>
        <w:tc>
          <w:tcPr>
            <w:tcW w:w="1182" w:type="dxa"/>
            <w:tcBorders>
              <w:tl2br w:val="nil"/>
              <w:tr2bl w:val="nil"/>
            </w:tcBorders>
            <w:shd w:val="clear" w:color="auto" w:fill="auto"/>
            <w:vAlign w:val="center"/>
          </w:tcPr>
          <w:p w14:paraId="56C772C0">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34E0D8D2">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66C09F27">
            <w:pPr>
              <w:widowControl w:val="0"/>
              <w:spacing w:line="380" w:lineRule="exact"/>
              <w:jc w:val="center"/>
              <w:rPr>
                <w:sz w:val="21"/>
                <w:szCs w:val="21"/>
                <w:lang w:eastAsia="en-US"/>
              </w:rPr>
            </w:pPr>
            <w:r>
              <w:rPr>
                <w:sz w:val="21"/>
                <w:szCs w:val="21"/>
                <w:lang w:eastAsia="en-US"/>
              </w:rPr>
              <w:t>0.08</w:t>
            </w:r>
          </w:p>
        </w:tc>
        <w:tc>
          <w:tcPr>
            <w:tcW w:w="716" w:type="dxa"/>
            <w:tcBorders>
              <w:tl2br w:val="nil"/>
              <w:tr2bl w:val="nil"/>
            </w:tcBorders>
            <w:shd w:val="clear" w:color="auto" w:fill="auto"/>
            <w:vAlign w:val="center"/>
          </w:tcPr>
          <w:p w14:paraId="4F4F622B">
            <w:pPr>
              <w:widowControl/>
              <w:spacing w:line="380" w:lineRule="exact"/>
              <w:jc w:val="center"/>
              <w:rPr>
                <w:sz w:val="21"/>
                <w:szCs w:val="21"/>
                <w:lang w:eastAsia="en-US"/>
              </w:rPr>
            </w:pPr>
            <w:r>
              <w:rPr>
                <w:sz w:val="21"/>
                <w:szCs w:val="21"/>
                <w:lang w:eastAsia="en-US"/>
              </w:rPr>
              <w:t>达标</w:t>
            </w:r>
          </w:p>
        </w:tc>
      </w:tr>
      <w:tr w14:paraId="399451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5AB127E">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37E2261F">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0732DA0">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75BED00">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9CFB290">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0EF241E">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C5F54A3">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7A4FD31">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FB067AC">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10AF2D87">
            <w:pPr>
              <w:widowControl/>
              <w:spacing w:line="380" w:lineRule="exact"/>
              <w:jc w:val="center"/>
              <w:rPr>
                <w:sz w:val="21"/>
                <w:szCs w:val="21"/>
                <w:lang w:eastAsia="en-US"/>
              </w:rPr>
            </w:pPr>
            <w:r>
              <w:rPr>
                <w:sz w:val="21"/>
                <w:szCs w:val="21"/>
                <w:lang w:eastAsia="en-US"/>
              </w:rPr>
              <w:t>达标</w:t>
            </w:r>
          </w:p>
        </w:tc>
      </w:tr>
      <w:tr w14:paraId="392F04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96F44E9">
            <w:pPr>
              <w:widowControl/>
              <w:spacing w:line="380" w:lineRule="exact"/>
              <w:jc w:val="center"/>
              <w:rPr>
                <w:sz w:val="21"/>
                <w:szCs w:val="21"/>
                <w:lang w:eastAsia="en-US"/>
              </w:rPr>
            </w:pPr>
            <w:r>
              <w:rPr>
                <w:rFonts w:hint="eastAsia"/>
                <w:sz w:val="21"/>
                <w:szCs w:val="21"/>
                <w:lang w:eastAsia="en-US"/>
              </w:rPr>
              <w:t>17</w:t>
            </w:r>
          </w:p>
        </w:tc>
        <w:tc>
          <w:tcPr>
            <w:tcW w:w="1145" w:type="dxa"/>
            <w:vMerge w:val="restart"/>
            <w:tcBorders>
              <w:tl2br w:val="nil"/>
              <w:tr2bl w:val="nil"/>
            </w:tcBorders>
            <w:shd w:val="clear" w:color="auto" w:fill="auto"/>
            <w:vAlign w:val="center"/>
          </w:tcPr>
          <w:p w14:paraId="05E9316A">
            <w:pPr>
              <w:widowControl/>
              <w:spacing w:line="380" w:lineRule="exact"/>
              <w:jc w:val="center"/>
              <w:rPr>
                <w:sz w:val="21"/>
                <w:szCs w:val="21"/>
                <w:lang w:eastAsia="en-US"/>
              </w:rPr>
            </w:pPr>
            <w:r>
              <w:rPr>
                <w:sz w:val="21"/>
                <w:szCs w:val="21"/>
                <w:lang w:eastAsia="en-US"/>
              </w:rPr>
              <w:t>天一家园</w:t>
            </w:r>
          </w:p>
        </w:tc>
        <w:tc>
          <w:tcPr>
            <w:tcW w:w="737" w:type="dxa"/>
            <w:vMerge w:val="restart"/>
            <w:tcBorders>
              <w:tl2br w:val="nil"/>
              <w:tr2bl w:val="nil"/>
            </w:tcBorders>
            <w:shd w:val="clear" w:color="auto" w:fill="auto"/>
            <w:vAlign w:val="center"/>
          </w:tcPr>
          <w:p w14:paraId="5FF0E8F8">
            <w:pPr>
              <w:widowControl/>
              <w:spacing w:line="380" w:lineRule="exact"/>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57310EB9">
            <w:pPr>
              <w:widowControl/>
              <w:spacing w:line="380" w:lineRule="exact"/>
              <w:jc w:val="center"/>
              <w:rPr>
                <w:sz w:val="21"/>
                <w:szCs w:val="21"/>
                <w:lang w:eastAsia="en-US"/>
              </w:rPr>
            </w:pPr>
            <w:r>
              <w:rPr>
                <w:rFonts w:hint="eastAsia"/>
                <w:sz w:val="21"/>
                <w:szCs w:val="21"/>
                <w:lang w:eastAsia="en-US"/>
              </w:rPr>
              <w:t>1414</w:t>
            </w:r>
          </w:p>
        </w:tc>
        <w:tc>
          <w:tcPr>
            <w:tcW w:w="914" w:type="dxa"/>
            <w:tcBorders>
              <w:tl2br w:val="nil"/>
              <w:tr2bl w:val="nil"/>
            </w:tcBorders>
            <w:shd w:val="clear" w:color="auto" w:fill="auto"/>
            <w:vAlign w:val="center"/>
          </w:tcPr>
          <w:p w14:paraId="3358C923">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E2AF5BF">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080701</w:t>
            </w:r>
          </w:p>
        </w:tc>
        <w:tc>
          <w:tcPr>
            <w:tcW w:w="1182" w:type="dxa"/>
            <w:tcBorders>
              <w:tl2br w:val="nil"/>
              <w:tr2bl w:val="nil"/>
            </w:tcBorders>
            <w:shd w:val="clear" w:color="auto" w:fill="auto"/>
            <w:vAlign w:val="center"/>
          </w:tcPr>
          <w:p w14:paraId="73374F73">
            <w:pPr>
              <w:widowControl w:val="0"/>
              <w:spacing w:line="380" w:lineRule="exact"/>
              <w:jc w:val="center"/>
              <w:rPr>
                <w:sz w:val="21"/>
                <w:szCs w:val="21"/>
                <w:lang w:eastAsia="en-US"/>
              </w:rPr>
            </w:pPr>
            <w:r>
              <w:rPr>
                <w:sz w:val="21"/>
                <w:szCs w:val="21"/>
                <w:lang w:eastAsia="en-US"/>
              </w:rPr>
              <w:t>0.0020</w:t>
            </w:r>
          </w:p>
        </w:tc>
        <w:tc>
          <w:tcPr>
            <w:tcW w:w="914" w:type="dxa"/>
            <w:tcBorders>
              <w:tl2br w:val="nil"/>
              <w:tr2bl w:val="nil"/>
            </w:tcBorders>
            <w:shd w:val="clear" w:color="auto" w:fill="auto"/>
            <w:vAlign w:val="center"/>
          </w:tcPr>
          <w:p w14:paraId="4E11A494">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DBBEA9E">
            <w:pPr>
              <w:widowControl w:val="0"/>
              <w:spacing w:line="380" w:lineRule="exact"/>
              <w:jc w:val="center"/>
              <w:rPr>
                <w:sz w:val="21"/>
                <w:szCs w:val="21"/>
                <w:lang w:eastAsia="en-US"/>
              </w:rPr>
            </w:pPr>
            <w:r>
              <w:rPr>
                <w:sz w:val="21"/>
                <w:szCs w:val="21"/>
                <w:lang w:eastAsia="en-US"/>
              </w:rPr>
              <w:t>1.01</w:t>
            </w:r>
          </w:p>
        </w:tc>
        <w:tc>
          <w:tcPr>
            <w:tcW w:w="716" w:type="dxa"/>
            <w:tcBorders>
              <w:tl2br w:val="nil"/>
              <w:tr2bl w:val="nil"/>
            </w:tcBorders>
            <w:shd w:val="clear" w:color="auto" w:fill="auto"/>
            <w:vAlign w:val="center"/>
          </w:tcPr>
          <w:p w14:paraId="0ECBAD57">
            <w:pPr>
              <w:widowControl/>
              <w:spacing w:line="380" w:lineRule="exact"/>
              <w:jc w:val="center"/>
              <w:rPr>
                <w:sz w:val="21"/>
                <w:szCs w:val="21"/>
                <w:lang w:eastAsia="en-US"/>
              </w:rPr>
            </w:pPr>
            <w:r>
              <w:rPr>
                <w:sz w:val="21"/>
                <w:szCs w:val="21"/>
                <w:lang w:eastAsia="en-US"/>
              </w:rPr>
              <w:t>达标</w:t>
            </w:r>
          </w:p>
        </w:tc>
      </w:tr>
      <w:tr w14:paraId="7540ED5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9D586C0">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34B8E015">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7E09AFFD">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294D1B3">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56ADE0AA">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9467360">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w:t>
            </w:r>
          </w:p>
        </w:tc>
        <w:tc>
          <w:tcPr>
            <w:tcW w:w="1182" w:type="dxa"/>
            <w:tcBorders>
              <w:tl2br w:val="nil"/>
              <w:tr2bl w:val="nil"/>
            </w:tcBorders>
            <w:shd w:val="clear" w:color="auto" w:fill="auto"/>
            <w:vAlign w:val="center"/>
          </w:tcPr>
          <w:p w14:paraId="2ED89937">
            <w:pPr>
              <w:widowControl w:val="0"/>
              <w:spacing w:line="38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16E0D2A0">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4BC4E1F">
            <w:pPr>
              <w:widowControl w:val="0"/>
              <w:spacing w:line="380" w:lineRule="exact"/>
              <w:jc w:val="center"/>
              <w:rPr>
                <w:sz w:val="21"/>
                <w:szCs w:val="21"/>
                <w:lang w:eastAsia="en-US"/>
              </w:rPr>
            </w:pPr>
            <w:r>
              <w:rPr>
                <w:sz w:val="21"/>
                <w:szCs w:val="21"/>
                <w:lang w:eastAsia="en-US"/>
              </w:rPr>
              <w:t>0.26</w:t>
            </w:r>
          </w:p>
        </w:tc>
        <w:tc>
          <w:tcPr>
            <w:tcW w:w="716" w:type="dxa"/>
            <w:tcBorders>
              <w:tl2br w:val="nil"/>
              <w:tr2bl w:val="nil"/>
            </w:tcBorders>
            <w:shd w:val="clear" w:color="auto" w:fill="auto"/>
            <w:vAlign w:val="center"/>
          </w:tcPr>
          <w:p w14:paraId="158EFA5E">
            <w:pPr>
              <w:widowControl/>
              <w:spacing w:line="380" w:lineRule="exact"/>
              <w:jc w:val="center"/>
              <w:rPr>
                <w:sz w:val="21"/>
                <w:szCs w:val="21"/>
                <w:lang w:eastAsia="en-US"/>
              </w:rPr>
            </w:pPr>
            <w:r>
              <w:rPr>
                <w:sz w:val="21"/>
                <w:szCs w:val="21"/>
                <w:lang w:eastAsia="en-US"/>
              </w:rPr>
              <w:t>达标</w:t>
            </w:r>
          </w:p>
        </w:tc>
      </w:tr>
      <w:tr w14:paraId="3313632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C5A2C73">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2832D652">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738A31E9">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FC319C9">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50C9DBE2">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93BB46E">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3EE2C37">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F8736C5">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0A645CBA">
            <w:pPr>
              <w:widowControl w:val="0"/>
              <w:spacing w:line="380" w:lineRule="exact"/>
              <w:jc w:val="center"/>
              <w:rPr>
                <w:sz w:val="21"/>
                <w:szCs w:val="21"/>
                <w:lang w:eastAsia="en-US"/>
              </w:rPr>
            </w:pPr>
            <w:r>
              <w:rPr>
                <w:sz w:val="21"/>
                <w:szCs w:val="21"/>
                <w:lang w:eastAsia="en-US"/>
              </w:rPr>
              <w:t>0.05</w:t>
            </w:r>
          </w:p>
        </w:tc>
        <w:tc>
          <w:tcPr>
            <w:tcW w:w="716" w:type="dxa"/>
            <w:tcBorders>
              <w:tl2br w:val="nil"/>
              <w:tr2bl w:val="nil"/>
            </w:tcBorders>
            <w:shd w:val="clear" w:color="auto" w:fill="auto"/>
            <w:vAlign w:val="center"/>
          </w:tcPr>
          <w:p w14:paraId="241D8504">
            <w:pPr>
              <w:widowControl/>
              <w:spacing w:line="380" w:lineRule="exact"/>
              <w:jc w:val="center"/>
              <w:rPr>
                <w:sz w:val="21"/>
                <w:szCs w:val="21"/>
                <w:lang w:eastAsia="en-US"/>
              </w:rPr>
            </w:pPr>
            <w:r>
              <w:rPr>
                <w:sz w:val="21"/>
                <w:szCs w:val="21"/>
                <w:lang w:eastAsia="en-US"/>
              </w:rPr>
              <w:t>达标</w:t>
            </w:r>
          </w:p>
        </w:tc>
      </w:tr>
      <w:tr w14:paraId="6D8BAE0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00C2172">
            <w:pPr>
              <w:widowControl/>
              <w:spacing w:line="380" w:lineRule="exact"/>
              <w:jc w:val="center"/>
              <w:rPr>
                <w:sz w:val="21"/>
                <w:szCs w:val="21"/>
                <w:lang w:eastAsia="en-US"/>
              </w:rPr>
            </w:pPr>
            <w:r>
              <w:rPr>
                <w:rFonts w:hint="eastAsia"/>
                <w:sz w:val="21"/>
                <w:szCs w:val="21"/>
                <w:lang w:eastAsia="en-US"/>
              </w:rPr>
              <w:t>18</w:t>
            </w:r>
          </w:p>
        </w:tc>
        <w:tc>
          <w:tcPr>
            <w:tcW w:w="1145" w:type="dxa"/>
            <w:vMerge w:val="restart"/>
            <w:tcBorders>
              <w:tl2br w:val="nil"/>
              <w:tr2bl w:val="nil"/>
            </w:tcBorders>
            <w:shd w:val="clear" w:color="auto" w:fill="auto"/>
            <w:vAlign w:val="center"/>
          </w:tcPr>
          <w:p w14:paraId="05381086">
            <w:pPr>
              <w:widowControl/>
              <w:spacing w:line="380" w:lineRule="exact"/>
              <w:jc w:val="center"/>
              <w:rPr>
                <w:sz w:val="21"/>
                <w:szCs w:val="21"/>
                <w:lang w:eastAsia="en-US"/>
              </w:rPr>
            </w:pPr>
            <w:r>
              <w:rPr>
                <w:sz w:val="21"/>
                <w:szCs w:val="21"/>
                <w:lang w:eastAsia="en-US"/>
              </w:rPr>
              <w:t>长通名城</w:t>
            </w:r>
          </w:p>
        </w:tc>
        <w:tc>
          <w:tcPr>
            <w:tcW w:w="737" w:type="dxa"/>
            <w:vMerge w:val="restart"/>
            <w:tcBorders>
              <w:tl2br w:val="nil"/>
              <w:tr2bl w:val="nil"/>
            </w:tcBorders>
            <w:shd w:val="clear" w:color="auto" w:fill="auto"/>
            <w:vAlign w:val="center"/>
          </w:tcPr>
          <w:p w14:paraId="254A5FC4">
            <w:pPr>
              <w:widowControl/>
              <w:spacing w:line="380" w:lineRule="exact"/>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61CCB547">
            <w:pPr>
              <w:widowControl/>
              <w:spacing w:line="380" w:lineRule="exact"/>
              <w:jc w:val="center"/>
              <w:rPr>
                <w:sz w:val="21"/>
                <w:szCs w:val="21"/>
                <w:lang w:eastAsia="en-US"/>
              </w:rPr>
            </w:pPr>
            <w:r>
              <w:rPr>
                <w:rFonts w:hint="eastAsia"/>
                <w:sz w:val="21"/>
                <w:szCs w:val="21"/>
                <w:lang w:eastAsia="en-US"/>
              </w:rPr>
              <w:t>1675</w:t>
            </w:r>
          </w:p>
        </w:tc>
        <w:tc>
          <w:tcPr>
            <w:tcW w:w="914" w:type="dxa"/>
            <w:tcBorders>
              <w:tl2br w:val="nil"/>
              <w:tr2bl w:val="nil"/>
            </w:tcBorders>
            <w:shd w:val="clear" w:color="auto" w:fill="auto"/>
            <w:vAlign w:val="center"/>
          </w:tcPr>
          <w:p w14:paraId="79328353">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0B1F2D7">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052419</w:t>
            </w:r>
          </w:p>
        </w:tc>
        <w:tc>
          <w:tcPr>
            <w:tcW w:w="1182" w:type="dxa"/>
            <w:tcBorders>
              <w:tl2br w:val="nil"/>
              <w:tr2bl w:val="nil"/>
            </w:tcBorders>
            <w:shd w:val="clear" w:color="auto" w:fill="auto"/>
            <w:vAlign w:val="center"/>
          </w:tcPr>
          <w:p w14:paraId="412FA3EF">
            <w:pPr>
              <w:widowControl w:val="0"/>
              <w:spacing w:line="380" w:lineRule="exact"/>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4E7D627F">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BDDF432">
            <w:pPr>
              <w:widowControl w:val="0"/>
              <w:spacing w:line="380" w:lineRule="exact"/>
              <w:jc w:val="center"/>
              <w:rPr>
                <w:sz w:val="21"/>
                <w:szCs w:val="21"/>
                <w:lang w:eastAsia="en-US"/>
              </w:rPr>
            </w:pPr>
            <w:r>
              <w:rPr>
                <w:sz w:val="21"/>
                <w:szCs w:val="21"/>
                <w:lang w:eastAsia="en-US"/>
              </w:rPr>
              <w:t>0.47</w:t>
            </w:r>
          </w:p>
        </w:tc>
        <w:tc>
          <w:tcPr>
            <w:tcW w:w="716" w:type="dxa"/>
            <w:tcBorders>
              <w:tl2br w:val="nil"/>
              <w:tr2bl w:val="nil"/>
            </w:tcBorders>
            <w:shd w:val="clear" w:color="auto" w:fill="auto"/>
            <w:vAlign w:val="center"/>
          </w:tcPr>
          <w:p w14:paraId="55DBD672">
            <w:pPr>
              <w:widowControl/>
              <w:spacing w:line="380" w:lineRule="exact"/>
              <w:jc w:val="center"/>
              <w:rPr>
                <w:sz w:val="21"/>
                <w:szCs w:val="21"/>
                <w:lang w:eastAsia="en-US"/>
              </w:rPr>
            </w:pPr>
            <w:r>
              <w:rPr>
                <w:sz w:val="21"/>
                <w:szCs w:val="21"/>
                <w:lang w:eastAsia="en-US"/>
              </w:rPr>
              <w:t>达标</w:t>
            </w:r>
          </w:p>
        </w:tc>
      </w:tr>
      <w:tr w14:paraId="5B2C422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CE7F6A5">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6DED7F2">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037F4BB1">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779B7506">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54328EB3">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CB1EAEE">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0531</w:t>
            </w:r>
          </w:p>
        </w:tc>
        <w:tc>
          <w:tcPr>
            <w:tcW w:w="1182" w:type="dxa"/>
            <w:tcBorders>
              <w:tl2br w:val="nil"/>
              <w:tr2bl w:val="nil"/>
            </w:tcBorders>
            <w:shd w:val="clear" w:color="auto" w:fill="auto"/>
            <w:vAlign w:val="center"/>
          </w:tcPr>
          <w:p w14:paraId="795D6D43">
            <w:pPr>
              <w:widowControl w:val="0"/>
              <w:spacing w:line="38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6931D61C">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6523F0A8">
            <w:pPr>
              <w:widowControl w:val="0"/>
              <w:spacing w:line="380" w:lineRule="exact"/>
              <w:jc w:val="center"/>
              <w:rPr>
                <w:sz w:val="21"/>
                <w:szCs w:val="21"/>
                <w:lang w:eastAsia="en-US"/>
              </w:rPr>
            </w:pPr>
            <w:r>
              <w:rPr>
                <w:sz w:val="21"/>
                <w:szCs w:val="21"/>
                <w:lang w:eastAsia="en-US"/>
              </w:rPr>
              <w:t>0.11</w:t>
            </w:r>
          </w:p>
        </w:tc>
        <w:tc>
          <w:tcPr>
            <w:tcW w:w="716" w:type="dxa"/>
            <w:tcBorders>
              <w:tl2br w:val="nil"/>
              <w:tr2bl w:val="nil"/>
            </w:tcBorders>
            <w:shd w:val="clear" w:color="auto" w:fill="auto"/>
            <w:vAlign w:val="center"/>
          </w:tcPr>
          <w:p w14:paraId="07CF0CFF">
            <w:pPr>
              <w:widowControl/>
              <w:spacing w:line="380" w:lineRule="exact"/>
              <w:jc w:val="center"/>
              <w:rPr>
                <w:sz w:val="21"/>
                <w:szCs w:val="21"/>
                <w:lang w:eastAsia="en-US"/>
              </w:rPr>
            </w:pPr>
            <w:r>
              <w:rPr>
                <w:sz w:val="21"/>
                <w:szCs w:val="21"/>
                <w:lang w:eastAsia="en-US"/>
              </w:rPr>
              <w:t>达标</w:t>
            </w:r>
          </w:p>
        </w:tc>
      </w:tr>
      <w:tr w14:paraId="3C729F4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4566651A">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713F1AB9">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B7F13EB">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09DA1221">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71DA1B4B">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3269391">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89DE49F">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6104C6B">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0BB38A4A">
            <w:pPr>
              <w:widowControl w:val="0"/>
              <w:spacing w:line="38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3078EFBF">
            <w:pPr>
              <w:widowControl/>
              <w:spacing w:line="380" w:lineRule="exact"/>
              <w:jc w:val="center"/>
              <w:rPr>
                <w:sz w:val="21"/>
                <w:szCs w:val="21"/>
                <w:lang w:eastAsia="en-US"/>
              </w:rPr>
            </w:pPr>
            <w:r>
              <w:rPr>
                <w:sz w:val="21"/>
                <w:szCs w:val="21"/>
                <w:lang w:eastAsia="en-US"/>
              </w:rPr>
              <w:t>达标</w:t>
            </w:r>
          </w:p>
        </w:tc>
      </w:tr>
      <w:tr w14:paraId="7366492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8DA7E84">
            <w:pPr>
              <w:widowControl/>
              <w:spacing w:line="380" w:lineRule="exact"/>
              <w:jc w:val="center"/>
              <w:rPr>
                <w:sz w:val="21"/>
                <w:szCs w:val="21"/>
                <w:lang w:eastAsia="en-US"/>
              </w:rPr>
            </w:pPr>
            <w:r>
              <w:rPr>
                <w:rFonts w:hint="eastAsia"/>
                <w:sz w:val="21"/>
                <w:szCs w:val="21"/>
                <w:lang w:eastAsia="en-US"/>
              </w:rPr>
              <w:t>19</w:t>
            </w:r>
          </w:p>
        </w:tc>
        <w:tc>
          <w:tcPr>
            <w:tcW w:w="1145" w:type="dxa"/>
            <w:vMerge w:val="restart"/>
            <w:tcBorders>
              <w:tl2br w:val="nil"/>
              <w:tr2bl w:val="nil"/>
            </w:tcBorders>
            <w:shd w:val="clear" w:color="auto" w:fill="auto"/>
            <w:vAlign w:val="center"/>
          </w:tcPr>
          <w:p w14:paraId="7FC49CF2">
            <w:pPr>
              <w:widowControl/>
              <w:spacing w:line="380" w:lineRule="exact"/>
              <w:jc w:val="center"/>
              <w:rPr>
                <w:sz w:val="21"/>
                <w:szCs w:val="21"/>
                <w:lang w:eastAsia="en-US"/>
              </w:rPr>
            </w:pPr>
            <w:r>
              <w:rPr>
                <w:sz w:val="21"/>
                <w:szCs w:val="21"/>
                <w:lang w:eastAsia="en-US"/>
              </w:rPr>
              <w:t>湘潭碧桂园</w:t>
            </w:r>
          </w:p>
        </w:tc>
        <w:tc>
          <w:tcPr>
            <w:tcW w:w="737" w:type="dxa"/>
            <w:vMerge w:val="restart"/>
            <w:tcBorders>
              <w:tl2br w:val="nil"/>
              <w:tr2bl w:val="nil"/>
            </w:tcBorders>
            <w:shd w:val="clear" w:color="auto" w:fill="auto"/>
            <w:vAlign w:val="center"/>
          </w:tcPr>
          <w:p w14:paraId="4F484486">
            <w:pPr>
              <w:widowControl/>
              <w:spacing w:line="380" w:lineRule="exact"/>
              <w:jc w:val="center"/>
              <w:rPr>
                <w:sz w:val="21"/>
                <w:szCs w:val="21"/>
                <w:lang w:eastAsia="en-US"/>
              </w:rPr>
            </w:pPr>
            <w:r>
              <w:rPr>
                <w:rFonts w:hint="eastAsia"/>
                <w:sz w:val="21"/>
                <w:szCs w:val="21"/>
                <w:lang w:eastAsia="en-US"/>
              </w:rPr>
              <w:t>1590</w:t>
            </w:r>
          </w:p>
        </w:tc>
        <w:tc>
          <w:tcPr>
            <w:tcW w:w="647" w:type="dxa"/>
            <w:vMerge w:val="restart"/>
            <w:tcBorders>
              <w:tl2br w:val="nil"/>
              <w:tr2bl w:val="nil"/>
            </w:tcBorders>
            <w:shd w:val="clear" w:color="auto" w:fill="auto"/>
            <w:vAlign w:val="center"/>
          </w:tcPr>
          <w:p w14:paraId="669A8250">
            <w:pPr>
              <w:widowControl/>
              <w:spacing w:line="380" w:lineRule="exact"/>
              <w:jc w:val="center"/>
              <w:rPr>
                <w:sz w:val="21"/>
                <w:szCs w:val="21"/>
                <w:lang w:eastAsia="en-US"/>
              </w:rPr>
            </w:pPr>
            <w:r>
              <w:rPr>
                <w:rFonts w:hint="eastAsia"/>
                <w:sz w:val="21"/>
                <w:szCs w:val="21"/>
                <w:lang w:eastAsia="en-US"/>
              </w:rPr>
              <w:t>1772</w:t>
            </w:r>
          </w:p>
        </w:tc>
        <w:tc>
          <w:tcPr>
            <w:tcW w:w="914" w:type="dxa"/>
            <w:tcBorders>
              <w:tl2br w:val="nil"/>
              <w:tr2bl w:val="nil"/>
            </w:tcBorders>
            <w:shd w:val="clear" w:color="auto" w:fill="auto"/>
            <w:vAlign w:val="center"/>
          </w:tcPr>
          <w:p w14:paraId="27F20ECD">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B4BCD0A">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82" w:type="dxa"/>
            <w:tcBorders>
              <w:tl2br w:val="nil"/>
              <w:tr2bl w:val="nil"/>
            </w:tcBorders>
            <w:shd w:val="clear" w:color="auto" w:fill="auto"/>
            <w:vAlign w:val="center"/>
          </w:tcPr>
          <w:p w14:paraId="610F44D3">
            <w:pPr>
              <w:widowControl w:val="0"/>
              <w:spacing w:line="380" w:lineRule="exact"/>
              <w:jc w:val="center"/>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69AE40B7">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445D9B4">
            <w:pPr>
              <w:widowControl w:val="0"/>
              <w:spacing w:line="380" w:lineRule="exact"/>
              <w:jc w:val="center"/>
              <w:rPr>
                <w:sz w:val="21"/>
                <w:szCs w:val="21"/>
                <w:lang w:eastAsia="en-US"/>
              </w:rPr>
            </w:pPr>
            <w:r>
              <w:rPr>
                <w:sz w:val="21"/>
                <w:szCs w:val="21"/>
                <w:lang w:eastAsia="en-US"/>
              </w:rPr>
              <w:t>0.23</w:t>
            </w:r>
          </w:p>
        </w:tc>
        <w:tc>
          <w:tcPr>
            <w:tcW w:w="716" w:type="dxa"/>
            <w:tcBorders>
              <w:tl2br w:val="nil"/>
              <w:tr2bl w:val="nil"/>
            </w:tcBorders>
            <w:shd w:val="clear" w:color="auto" w:fill="auto"/>
            <w:vAlign w:val="center"/>
          </w:tcPr>
          <w:p w14:paraId="24B195F0">
            <w:pPr>
              <w:widowControl/>
              <w:spacing w:line="380" w:lineRule="exact"/>
              <w:jc w:val="center"/>
              <w:rPr>
                <w:sz w:val="21"/>
                <w:szCs w:val="21"/>
                <w:lang w:eastAsia="en-US"/>
              </w:rPr>
            </w:pPr>
            <w:r>
              <w:rPr>
                <w:sz w:val="21"/>
                <w:szCs w:val="21"/>
                <w:lang w:eastAsia="en-US"/>
              </w:rPr>
              <w:t>达标</w:t>
            </w:r>
          </w:p>
        </w:tc>
      </w:tr>
      <w:tr w14:paraId="7430EEE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78858D6">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002CA50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54E5149E">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0B4B2C17">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01165787">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972A027">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0530</w:t>
            </w:r>
          </w:p>
        </w:tc>
        <w:tc>
          <w:tcPr>
            <w:tcW w:w="1182" w:type="dxa"/>
            <w:tcBorders>
              <w:tl2br w:val="nil"/>
              <w:tr2bl w:val="nil"/>
            </w:tcBorders>
            <w:shd w:val="clear" w:color="auto" w:fill="auto"/>
            <w:vAlign w:val="center"/>
          </w:tcPr>
          <w:p w14:paraId="43B47F3C">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C117B9C">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6C1FEDD">
            <w:pPr>
              <w:widowControl w:val="0"/>
              <w:spacing w:line="380" w:lineRule="exact"/>
              <w:jc w:val="center"/>
              <w:rPr>
                <w:sz w:val="21"/>
                <w:szCs w:val="21"/>
                <w:lang w:eastAsia="en-US"/>
              </w:rPr>
            </w:pPr>
            <w:r>
              <w:rPr>
                <w:sz w:val="21"/>
                <w:szCs w:val="21"/>
                <w:lang w:eastAsia="en-US"/>
              </w:rPr>
              <w:t>0.04</w:t>
            </w:r>
          </w:p>
        </w:tc>
        <w:tc>
          <w:tcPr>
            <w:tcW w:w="716" w:type="dxa"/>
            <w:tcBorders>
              <w:tl2br w:val="nil"/>
              <w:tr2bl w:val="nil"/>
            </w:tcBorders>
            <w:shd w:val="clear" w:color="auto" w:fill="auto"/>
            <w:vAlign w:val="center"/>
          </w:tcPr>
          <w:p w14:paraId="00DC9C3A">
            <w:pPr>
              <w:widowControl/>
              <w:spacing w:line="380" w:lineRule="exact"/>
              <w:jc w:val="center"/>
              <w:rPr>
                <w:sz w:val="21"/>
                <w:szCs w:val="21"/>
                <w:lang w:eastAsia="en-US"/>
              </w:rPr>
            </w:pPr>
            <w:r>
              <w:rPr>
                <w:sz w:val="21"/>
                <w:szCs w:val="21"/>
                <w:lang w:eastAsia="en-US"/>
              </w:rPr>
              <w:t>达标</w:t>
            </w:r>
          </w:p>
        </w:tc>
      </w:tr>
      <w:tr w14:paraId="572EB14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31ECFBDB">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5F91D025">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35B3DB82">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5210311">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5BAE8858">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EEA882A">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004318C">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8954512">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2F3F9E2D">
            <w:pPr>
              <w:widowControl w:val="0"/>
              <w:spacing w:line="38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0B63F764">
            <w:pPr>
              <w:widowControl/>
              <w:spacing w:line="380" w:lineRule="exact"/>
              <w:jc w:val="center"/>
              <w:rPr>
                <w:sz w:val="21"/>
                <w:szCs w:val="21"/>
                <w:lang w:eastAsia="en-US"/>
              </w:rPr>
            </w:pPr>
            <w:r>
              <w:rPr>
                <w:sz w:val="21"/>
                <w:szCs w:val="21"/>
                <w:lang w:eastAsia="en-US"/>
              </w:rPr>
              <w:t>达标</w:t>
            </w:r>
          </w:p>
        </w:tc>
      </w:tr>
      <w:tr w14:paraId="54F797B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780EC32C">
            <w:pPr>
              <w:widowControl/>
              <w:spacing w:line="380" w:lineRule="exact"/>
              <w:jc w:val="center"/>
              <w:rPr>
                <w:sz w:val="21"/>
                <w:szCs w:val="21"/>
                <w:lang w:eastAsia="en-US"/>
              </w:rPr>
            </w:pPr>
            <w:r>
              <w:rPr>
                <w:rFonts w:hint="eastAsia"/>
                <w:sz w:val="21"/>
                <w:szCs w:val="21"/>
                <w:lang w:eastAsia="en-US"/>
              </w:rPr>
              <w:t>20</w:t>
            </w:r>
          </w:p>
        </w:tc>
        <w:tc>
          <w:tcPr>
            <w:tcW w:w="1145" w:type="dxa"/>
            <w:vMerge w:val="restart"/>
            <w:tcBorders>
              <w:tl2br w:val="nil"/>
              <w:tr2bl w:val="nil"/>
            </w:tcBorders>
            <w:shd w:val="clear" w:color="auto" w:fill="auto"/>
            <w:vAlign w:val="center"/>
          </w:tcPr>
          <w:p w14:paraId="4BE4E33E">
            <w:pPr>
              <w:widowControl/>
              <w:spacing w:line="380" w:lineRule="exact"/>
              <w:jc w:val="center"/>
              <w:rPr>
                <w:sz w:val="21"/>
                <w:szCs w:val="21"/>
                <w:lang w:eastAsia="zh-CN"/>
              </w:rPr>
            </w:pPr>
            <w:r>
              <w:rPr>
                <w:sz w:val="21"/>
                <w:szCs w:val="21"/>
                <w:lang w:eastAsia="zh-CN"/>
              </w:rPr>
              <w:t>东北侧湘潭县居民居住集中区</w:t>
            </w:r>
          </w:p>
        </w:tc>
        <w:tc>
          <w:tcPr>
            <w:tcW w:w="737" w:type="dxa"/>
            <w:vMerge w:val="restart"/>
            <w:tcBorders>
              <w:tl2br w:val="nil"/>
              <w:tr2bl w:val="nil"/>
            </w:tcBorders>
            <w:shd w:val="clear" w:color="auto" w:fill="auto"/>
            <w:vAlign w:val="center"/>
          </w:tcPr>
          <w:p w14:paraId="4B52FDC3">
            <w:pPr>
              <w:widowControl/>
              <w:spacing w:line="380" w:lineRule="exact"/>
              <w:jc w:val="center"/>
              <w:rPr>
                <w:sz w:val="21"/>
                <w:szCs w:val="21"/>
                <w:lang w:eastAsia="en-US"/>
              </w:rPr>
            </w:pPr>
            <w:r>
              <w:rPr>
                <w:rFonts w:hint="eastAsia"/>
                <w:sz w:val="21"/>
                <w:szCs w:val="21"/>
                <w:lang w:eastAsia="en-US"/>
              </w:rPr>
              <w:t>582</w:t>
            </w:r>
          </w:p>
        </w:tc>
        <w:tc>
          <w:tcPr>
            <w:tcW w:w="647" w:type="dxa"/>
            <w:vMerge w:val="restart"/>
            <w:tcBorders>
              <w:tl2br w:val="nil"/>
              <w:tr2bl w:val="nil"/>
            </w:tcBorders>
            <w:shd w:val="clear" w:color="auto" w:fill="auto"/>
            <w:vAlign w:val="center"/>
          </w:tcPr>
          <w:p w14:paraId="30B8D08A">
            <w:pPr>
              <w:widowControl/>
              <w:spacing w:line="380" w:lineRule="exact"/>
              <w:jc w:val="center"/>
              <w:rPr>
                <w:sz w:val="21"/>
                <w:szCs w:val="21"/>
                <w:lang w:eastAsia="en-US"/>
              </w:rPr>
            </w:pPr>
            <w:r>
              <w:rPr>
                <w:rFonts w:hint="eastAsia"/>
                <w:sz w:val="21"/>
                <w:szCs w:val="21"/>
                <w:lang w:eastAsia="en-US"/>
              </w:rPr>
              <w:t>2019</w:t>
            </w:r>
          </w:p>
        </w:tc>
        <w:tc>
          <w:tcPr>
            <w:tcW w:w="914" w:type="dxa"/>
            <w:tcBorders>
              <w:tl2br w:val="nil"/>
              <w:tr2bl w:val="nil"/>
            </w:tcBorders>
            <w:shd w:val="clear" w:color="auto" w:fill="auto"/>
            <w:vAlign w:val="center"/>
          </w:tcPr>
          <w:p w14:paraId="137049DC">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F208842">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100403</w:t>
            </w:r>
          </w:p>
        </w:tc>
        <w:tc>
          <w:tcPr>
            <w:tcW w:w="1182" w:type="dxa"/>
            <w:tcBorders>
              <w:tl2br w:val="nil"/>
              <w:tr2bl w:val="nil"/>
            </w:tcBorders>
            <w:shd w:val="clear" w:color="auto" w:fill="auto"/>
            <w:vAlign w:val="center"/>
          </w:tcPr>
          <w:p w14:paraId="7F429B7B">
            <w:pPr>
              <w:widowControl w:val="0"/>
              <w:spacing w:line="380" w:lineRule="exact"/>
              <w:jc w:val="center"/>
              <w:rPr>
                <w:sz w:val="21"/>
                <w:szCs w:val="21"/>
                <w:lang w:eastAsia="en-US"/>
              </w:rPr>
            </w:pPr>
            <w:r>
              <w:rPr>
                <w:sz w:val="21"/>
                <w:szCs w:val="21"/>
                <w:lang w:eastAsia="en-US"/>
              </w:rPr>
              <w:t>0.0052</w:t>
            </w:r>
          </w:p>
        </w:tc>
        <w:tc>
          <w:tcPr>
            <w:tcW w:w="914" w:type="dxa"/>
            <w:tcBorders>
              <w:tl2br w:val="nil"/>
              <w:tr2bl w:val="nil"/>
            </w:tcBorders>
            <w:shd w:val="clear" w:color="auto" w:fill="auto"/>
            <w:vAlign w:val="center"/>
          </w:tcPr>
          <w:p w14:paraId="3AF20458">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A9B93F8">
            <w:pPr>
              <w:widowControl w:val="0"/>
              <w:spacing w:line="380" w:lineRule="exact"/>
              <w:jc w:val="center"/>
              <w:rPr>
                <w:sz w:val="21"/>
                <w:szCs w:val="21"/>
                <w:lang w:eastAsia="en-US"/>
              </w:rPr>
            </w:pPr>
            <w:r>
              <w:rPr>
                <w:sz w:val="21"/>
                <w:szCs w:val="21"/>
                <w:lang w:eastAsia="en-US"/>
              </w:rPr>
              <w:t>2.58</w:t>
            </w:r>
          </w:p>
        </w:tc>
        <w:tc>
          <w:tcPr>
            <w:tcW w:w="716" w:type="dxa"/>
            <w:tcBorders>
              <w:tl2br w:val="nil"/>
              <w:tr2bl w:val="nil"/>
            </w:tcBorders>
            <w:shd w:val="clear" w:color="auto" w:fill="auto"/>
            <w:vAlign w:val="center"/>
          </w:tcPr>
          <w:p w14:paraId="41E499DD">
            <w:pPr>
              <w:widowControl/>
              <w:spacing w:line="380" w:lineRule="exact"/>
              <w:jc w:val="center"/>
              <w:rPr>
                <w:sz w:val="21"/>
                <w:szCs w:val="21"/>
                <w:lang w:eastAsia="en-US"/>
              </w:rPr>
            </w:pPr>
            <w:r>
              <w:rPr>
                <w:sz w:val="21"/>
                <w:szCs w:val="21"/>
                <w:lang w:eastAsia="en-US"/>
              </w:rPr>
              <w:t>达标</w:t>
            </w:r>
          </w:p>
        </w:tc>
      </w:tr>
      <w:tr w14:paraId="4D0E127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E50BE01">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7F1F7089">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5771DDDB">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484F7A8F">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05837C7D">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1888B43">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0614</w:t>
            </w:r>
          </w:p>
        </w:tc>
        <w:tc>
          <w:tcPr>
            <w:tcW w:w="1182" w:type="dxa"/>
            <w:tcBorders>
              <w:tl2br w:val="nil"/>
              <w:tr2bl w:val="nil"/>
            </w:tcBorders>
            <w:shd w:val="clear" w:color="auto" w:fill="auto"/>
            <w:vAlign w:val="center"/>
          </w:tcPr>
          <w:p w14:paraId="006AE4C6">
            <w:pPr>
              <w:widowControl w:val="0"/>
              <w:spacing w:line="380" w:lineRule="exact"/>
              <w:jc w:val="center"/>
              <w:rPr>
                <w:sz w:val="21"/>
                <w:szCs w:val="21"/>
                <w:lang w:eastAsia="en-US"/>
              </w:rPr>
            </w:pPr>
            <w:r>
              <w:rPr>
                <w:sz w:val="21"/>
                <w:szCs w:val="21"/>
                <w:lang w:eastAsia="en-US"/>
              </w:rPr>
              <w:t>0.0004</w:t>
            </w:r>
          </w:p>
        </w:tc>
        <w:tc>
          <w:tcPr>
            <w:tcW w:w="914" w:type="dxa"/>
            <w:tcBorders>
              <w:tl2br w:val="nil"/>
              <w:tr2bl w:val="nil"/>
            </w:tcBorders>
            <w:shd w:val="clear" w:color="auto" w:fill="auto"/>
            <w:vAlign w:val="center"/>
          </w:tcPr>
          <w:p w14:paraId="0FCD12C1">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27F5D35">
            <w:pPr>
              <w:widowControl w:val="0"/>
              <w:spacing w:line="380" w:lineRule="exact"/>
              <w:jc w:val="center"/>
              <w:rPr>
                <w:sz w:val="21"/>
                <w:szCs w:val="21"/>
                <w:lang w:eastAsia="en-US"/>
              </w:rPr>
            </w:pPr>
            <w:r>
              <w:rPr>
                <w:sz w:val="21"/>
                <w:szCs w:val="21"/>
                <w:lang w:eastAsia="en-US"/>
              </w:rPr>
              <w:t>0.45</w:t>
            </w:r>
          </w:p>
        </w:tc>
        <w:tc>
          <w:tcPr>
            <w:tcW w:w="716" w:type="dxa"/>
            <w:tcBorders>
              <w:tl2br w:val="nil"/>
              <w:tr2bl w:val="nil"/>
            </w:tcBorders>
            <w:shd w:val="clear" w:color="auto" w:fill="auto"/>
            <w:vAlign w:val="center"/>
          </w:tcPr>
          <w:p w14:paraId="038D8D20">
            <w:pPr>
              <w:widowControl/>
              <w:spacing w:line="380" w:lineRule="exact"/>
              <w:jc w:val="center"/>
              <w:rPr>
                <w:sz w:val="21"/>
                <w:szCs w:val="21"/>
                <w:lang w:eastAsia="en-US"/>
              </w:rPr>
            </w:pPr>
            <w:r>
              <w:rPr>
                <w:sz w:val="21"/>
                <w:szCs w:val="21"/>
                <w:lang w:eastAsia="en-US"/>
              </w:rPr>
              <w:t>达标</w:t>
            </w:r>
          </w:p>
        </w:tc>
      </w:tr>
      <w:tr w14:paraId="0A2862F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6BF24B8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9D319FD">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09AF3BB7">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712CDF5B">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E33E981">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C6449A7">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FF95FAA">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20B9978">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5AA67F8">
            <w:pPr>
              <w:widowControl w:val="0"/>
              <w:spacing w:line="380" w:lineRule="exact"/>
              <w:jc w:val="center"/>
              <w:rPr>
                <w:sz w:val="21"/>
                <w:szCs w:val="21"/>
                <w:lang w:eastAsia="en-US"/>
              </w:rPr>
            </w:pPr>
            <w:r>
              <w:rPr>
                <w:sz w:val="21"/>
                <w:szCs w:val="21"/>
                <w:lang w:eastAsia="en-US"/>
              </w:rPr>
              <w:t>0.08</w:t>
            </w:r>
          </w:p>
        </w:tc>
        <w:tc>
          <w:tcPr>
            <w:tcW w:w="716" w:type="dxa"/>
            <w:tcBorders>
              <w:tl2br w:val="nil"/>
              <w:tr2bl w:val="nil"/>
            </w:tcBorders>
            <w:shd w:val="clear" w:color="auto" w:fill="auto"/>
            <w:vAlign w:val="center"/>
          </w:tcPr>
          <w:p w14:paraId="77F4CD61">
            <w:pPr>
              <w:widowControl/>
              <w:spacing w:line="380" w:lineRule="exact"/>
              <w:jc w:val="center"/>
              <w:rPr>
                <w:sz w:val="21"/>
                <w:szCs w:val="21"/>
                <w:lang w:eastAsia="en-US"/>
              </w:rPr>
            </w:pPr>
            <w:r>
              <w:rPr>
                <w:sz w:val="21"/>
                <w:szCs w:val="21"/>
                <w:lang w:eastAsia="en-US"/>
              </w:rPr>
              <w:t>达标</w:t>
            </w:r>
          </w:p>
        </w:tc>
      </w:tr>
      <w:tr w14:paraId="3AA1FC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3A9A0B1">
            <w:pPr>
              <w:widowControl/>
              <w:spacing w:line="380" w:lineRule="exact"/>
              <w:jc w:val="center"/>
              <w:rPr>
                <w:sz w:val="21"/>
                <w:szCs w:val="21"/>
                <w:lang w:eastAsia="en-US"/>
              </w:rPr>
            </w:pPr>
            <w:r>
              <w:rPr>
                <w:rFonts w:hint="eastAsia"/>
                <w:sz w:val="21"/>
                <w:szCs w:val="21"/>
                <w:lang w:eastAsia="en-US"/>
              </w:rPr>
              <w:t>21</w:t>
            </w:r>
          </w:p>
        </w:tc>
        <w:tc>
          <w:tcPr>
            <w:tcW w:w="1145" w:type="dxa"/>
            <w:vMerge w:val="restart"/>
            <w:tcBorders>
              <w:tl2br w:val="nil"/>
              <w:tr2bl w:val="nil"/>
            </w:tcBorders>
            <w:shd w:val="clear" w:color="auto" w:fill="auto"/>
            <w:vAlign w:val="center"/>
          </w:tcPr>
          <w:p w14:paraId="04D152E9">
            <w:pPr>
              <w:widowControl/>
              <w:spacing w:line="380" w:lineRule="exact"/>
              <w:jc w:val="center"/>
              <w:rPr>
                <w:sz w:val="21"/>
                <w:szCs w:val="21"/>
                <w:lang w:eastAsia="zh-CN"/>
              </w:rPr>
            </w:pPr>
            <w:r>
              <w:rPr>
                <w:sz w:val="21"/>
                <w:szCs w:val="21"/>
                <w:lang w:eastAsia="zh-CN"/>
              </w:rPr>
              <w:t>西北侧湘潭县居民居住集中区</w:t>
            </w:r>
          </w:p>
        </w:tc>
        <w:tc>
          <w:tcPr>
            <w:tcW w:w="737" w:type="dxa"/>
            <w:vMerge w:val="restart"/>
            <w:tcBorders>
              <w:tl2br w:val="nil"/>
              <w:tr2bl w:val="nil"/>
            </w:tcBorders>
            <w:shd w:val="clear" w:color="auto" w:fill="auto"/>
            <w:vAlign w:val="center"/>
          </w:tcPr>
          <w:p w14:paraId="4A48A653">
            <w:pPr>
              <w:widowControl/>
              <w:spacing w:line="380" w:lineRule="exact"/>
              <w:jc w:val="center"/>
              <w:rPr>
                <w:sz w:val="21"/>
                <w:szCs w:val="21"/>
                <w:lang w:eastAsia="en-US"/>
              </w:rPr>
            </w:pPr>
            <w:r>
              <w:rPr>
                <w:rFonts w:hint="eastAsia"/>
                <w:sz w:val="21"/>
                <w:szCs w:val="21"/>
                <w:lang w:eastAsia="en-US"/>
              </w:rPr>
              <w:t>-1045</w:t>
            </w:r>
          </w:p>
        </w:tc>
        <w:tc>
          <w:tcPr>
            <w:tcW w:w="647" w:type="dxa"/>
            <w:vMerge w:val="restart"/>
            <w:tcBorders>
              <w:tl2br w:val="nil"/>
              <w:tr2bl w:val="nil"/>
            </w:tcBorders>
            <w:shd w:val="clear" w:color="auto" w:fill="auto"/>
            <w:vAlign w:val="center"/>
          </w:tcPr>
          <w:p w14:paraId="59F12442">
            <w:pPr>
              <w:widowControl/>
              <w:spacing w:line="380" w:lineRule="exact"/>
              <w:jc w:val="center"/>
              <w:rPr>
                <w:sz w:val="21"/>
                <w:szCs w:val="21"/>
                <w:lang w:eastAsia="en-US"/>
              </w:rPr>
            </w:pPr>
            <w:r>
              <w:rPr>
                <w:rFonts w:hint="eastAsia"/>
                <w:sz w:val="21"/>
                <w:szCs w:val="21"/>
                <w:lang w:eastAsia="en-US"/>
              </w:rPr>
              <w:t>1765</w:t>
            </w:r>
          </w:p>
        </w:tc>
        <w:tc>
          <w:tcPr>
            <w:tcW w:w="914" w:type="dxa"/>
            <w:tcBorders>
              <w:tl2br w:val="nil"/>
              <w:tr2bl w:val="nil"/>
            </w:tcBorders>
            <w:shd w:val="clear" w:color="auto" w:fill="auto"/>
            <w:vAlign w:val="center"/>
          </w:tcPr>
          <w:p w14:paraId="2748B5D8">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D923C25">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052423</w:t>
            </w:r>
          </w:p>
        </w:tc>
        <w:tc>
          <w:tcPr>
            <w:tcW w:w="1182" w:type="dxa"/>
            <w:tcBorders>
              <w:tl2br w:val="nil"/>
              <w:tr2bl w:val="nil"/>
            </w:tcBorders>
            <w:shd w:val="clear" w:color="auto" w:fill="auto"/>
            <w:vAlign w:val="center"/>
          </w:tcPr>
          <w:p w14:paraId="1D564A4D">
            <w:pPr>
              <w:widowControl w:val="0"/>
              <w:spacing w:line="380" w:lineRule="exact"/>
              <w:jc w:val="center"/>
              <w:rPr>
                <w:sz w:val="21"/>
                <w:szCs w:val="21"/>
                <w:lang w:eastAsia="en-US"/>
              </w:rPr>
            </w:pPr>
            <w:r>
              <w:rPr>
                <w:sz w:val="21"/>
                <w:szCs w:val="21"/>
                <w:lang w:eastAsia="en-US"/>
              </w:rPr>
              <w:t>0.0033</w:t>
            </w:r>
          </w:p>
        </w:tc>
        <w:tc>
          <w:tcPr>
            <w:tcW w:w="914" w:type="dxa"/>
            <w:tcBorders>
              <w:tl2br w:val="nil"/>
              <w:tr2bl w:val="nil"/>
            </w:tcBorders>
            <w:shd w:val="clear" w:color="auto" w:fill="auto"/>
            <w:vAlign w:val="center"/>
          </w:tcPr>
          <w:p w14:paraId="2EB4E110">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C6578B9">
            <w:pPr>
              <w:widowControl w:val="0"/>
              <w:spacing w:line="380" w:lineRule="exact"/>
              <w:jc w:val="center"/>
              <w:rPr>
                <w:sz w:val="21"/>
                <w:szCs w:val="21"/>
                <w:lang w:eastAsia="en-US"/>
              </w:rPr>
            </w:pPr>
            <w:r>
              <w:rPr>
                <w:sz w:val="21"/>
                <w:szCs w:val="21"/>
                <w:lang w:eastAsia="en-US"/>
              </w:rPr>
              <w:t>1.66</w:t>
            </w:r>
          </w:p>
        </w:tc>
        <w:tc>
          <w:tcPr>
            <w:tcW w:w="716" w:type="dxa"/>
            <w:tcBorders>
              <w:tl2br w:val="nil"/>
              <w:tr2bl w:val="nil"/>
            </w:tcBorders>
            <w:shd w:val="clear" w:color="auto" w:fill="auto"/>
            <w:vAlign w:val="center"/>
          </w:tcPr>
          <w:p w14:paraId="478BF3EC">
            <w:pPr>
              <w:widowControl/>
              <w:spacing w:line="380" w:lineRule="exact"/>
              <w:jc w:val="center"/>
              <w:rPr>
                <w:sz w:val="21"/>
                <w:szCs w:val="21"/>
                <w:lang w:eastAsia="en-US"/>
              </w:rPr>
            </w:pPr>
            <w:r>
              <w:rPr>
                <w:sz w:val="21"/>
                <w:szCs w:val="21"/>
                <w:lang w:eastAsia="en-US"/>
              </w:rPr>
              <w:t>达标</w:t>
            </w:r>
          </w:p>
        </w:tc>
      </w:tr>
      <w:tr w14:paraId="549830B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3D84517">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343E0DAB">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4D6F1CA">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173A634">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741BC22">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A934082">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82" w:type="dxa"/>
            <w:tcBorders>
              <w:tl2br w:val="nil"/>
              <w:tr2bl w:val="nil"/>
            </w:tcBorders>
            <w:shd w:val="clear" w:color="auto" w:fill="auto"/>
            <w:vAlign w:val="center"/>
          </w:tcPr>
          <w:p w14:paraId="08FF4B97">
            <w:pPr>
              <w:widowControl w:val="0"/>
              <w:spacing w:line="38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07700AA7">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253E0AC9">
            <w:pPr>
              <w:widowControl w:val="0"/>
              <w:spacing w:line="380" w:lineRule="exact"/>
              <w:jc w:val="center"/>
              <w:rPr>
                <w:sz w:val="21"/>
                <w:szCs w:val="21"/>
                <w:lang w:eastAsia="en-US"/>
              </w:rPr>
            </w:pPr>
            <w:r>
              <w:rPr>
                <w:sz w:val="21"/>
                <w:szCs w:val="21"/>
                <w:lang w:eastAsia="en-US"/>
              </w:rPr>
              <w:t>0.34</w:t>
            </w:r>
          </w:p>
        </w:tc>
        <w:tc>
          <w:tcPr>
            <w:tcW w:w="716" w:type="dxa"/>
            <w:tcBorders>
              <w:tl2br w:val="nil"/>
              <w:tr2bl w:val="nil"/>
            </w:tcBorders>
            <w:shd w:val="clear" w:color="auto" w:fill="auto"/>
            <w:vAlign w:val="center"/>
          </w:tcPr>
          <w:p w14:paraId="12748663">
            <w:pPr>
              <w:widowControl/>
              <w:spacing w:line="380" w:lineRule="exact"/>
              <w:jc w:val="center"/>
              <w:rPr>
                <w:sz w:val="21"/>
                <w:szCs w:val="21"/>
                <w:lang w:eastAsia="en-US"/>
              </w:rPr>
            </w:pPr>
            <w:r>
              <w:rPr>
                <w:sz w:val="21"/>
                <w:szCs w:val="21"/>
                <w:lang w:eastAsia="en-US"/>
              </w:rPr>
              <w:t>达标</w:t>
            </w:r>
          </w:p>
        </w:tc>
      </w:tr>
      <w:tr w14:paraId="77316C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3F7529A">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450DF3B2">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15C1A7CE">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3EF6FFBD">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44AAA78B">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488C31E">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55B4074">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396A782">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4326045A">
            <w:pPr>
              <w:widowControl w:val="0"/>
              <w:spacing w:line="380" w:lineRule="exact"/>
              <w:jc w:val="center"/>
              <w:rPr>
                <w:sz w:val="21"/>
                <w:szCs w:val="21"/>
                <w:lang w:eastAsia="en-US"/>
              </w:rPr>
            </w:pPr>
            <w:r>
              <w:rPr>
                <w:sz w:val="21"/>
                <w:szCs w:val="21"/>
                <w:lang w:eastAsia="en-US"/>
              </w:rPr>
              <w:t>0.05</w:t>
            </w:r>
          </w:p>
        </w:tc>
        <w:tc>
          <w:tcPr>
            <w:tcW w:w="716" w:type="dxa"/>
            <w:tcBorders>
              <w:tl2br w:val="nil"/>
              <w:tr2bl w:val="nil"/>
            </w:tcBorders>
            <w:shd w:val="clear" w:color="auto" w:fill="auto"/>
            <w:vAlign w:val="center"/>
          </w:tcPr>
          <w:p w14:paraId="7D0956F6">
            <w:pPr>
              <w:widowControl/>
              <w:spacing w:line="380" w:lineRule="exact"/>
              <w:jc w:val="center"/>
              <w:rPr>
                <w:sz w:val="21"/>
                <w:szCs w:val="21"/>
                <w:lang w:eastAsia="en-US"/>
              </w:rPr>
            </w:pPr>
            <w:r>
              <w:rPr>
                <w:sz w:val="21"/>
                <w:szCs w:val="21"/>
                <w:lang w:eastAsia="en-US"/>
              </w:rPr>
              <w:t>达标</w:t>
            </w:r>
          </w:p>
        </w:tc>
      </w:tr>
      <w:tr w14:paraId="55E1CAB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7074AC4F">
            <w:pPr>
              <w:widowControl/>
              <w:spacing w:line="380" w:lineRule="exact"/>
              <w:jc w:val="center"/>
              <w:rPr>
                <w:sz w:val="21"/>
                <w:szCs w:val="21"/>
                <w:lang w:eastAsia="en-US"/>
              </w:rPr>
            </w:pPr>
            <w:r>
              <w:rPr>
                <w:rFonts w:hint="eastAsia"/>
                <w:sz w:val="21"/>
                <w:szCs w:val="21"/>
                <w:lang w:eastAsia="en-US"/>
              </w:rPr>
              <w:t>22</w:t>
            </w:r>
          </w:p>
        </w:tc>
        <w:tc>
          <w:tcPr>
            <w:tcW w:w="1145" w:type="dxa"/>
            <w:vMerge w:val="restart"/>
            <w:tcBorders>
              <w:tl2br w:val="nil"/>
              <w:tr2bl w:val="nil"/>
            </w:tcBorders>
            <w:shd w:val="clear" w:color="auto" w:fill="auto"/>
            <w:vAlign w:val="center"/>
          </w:tcPr>
          <w:p w14:paraId="4470F591">
            <w:pPr>
              <w:widowControl/>
              <w:spacing w:line="380" w:lineRule="exact"/>
              <w:jc w:val="center"/>
              <w:rPr>
                <w:sz w:val="21"/>
                <w:szCs w:val="21"/>
                <w:lang w:eastAsia="en-US"/>
              </w:rPr>
            </w:pPr>
            <w:r>
              <w:rPr>
                <w:rFonts w:hint="eastAsia"/>
                <w:sz w:val="21"/>
                <w:szCs w:val="21"/>
                <w:lang w:eastAsia="en-US"/>
              </w:rPr>
              <w:t>湘潭县环境监测点</w:t>
            </w:r>
          </w:p>
        </w:tc>
        <w:tc>
          <w:tcPr>
            <w:tcW w:w="737" w:type="dxa"/>
            <w:vMerge w:val="restart"/>
            <w:tcBorders>
              <w:tl2br w:val="nil"/>
              <w:tr2bl w:val="nil"/>
            </w:tcBorders>
            <w:shd w:val="clear" w:color="auto" w:fill="auto"/>
            <w:vAlign w:val="center"/>
          </w:tcPr>
          <w:p w14:paraId="0211D43B">
            <w:pPr>
              <w:widowControl/>
              <w:spacing w:line="380" w:lineRule="exact"/>
              <w:jc w:val="center"/>
              <w:rPr>
                <w:sz w:val="21"/>
                <w:szCs w:val="21"/>
                <w:lang w:eastAsia="en-US"/>
              </w:rPr>
            </w:pPr>
            <w:r>
              <w:rPr>
                <w:rFonts w:hint="eastAsia"/>
                <w:sz w:val="21"/>
                <w:szCs w:val="21"/>
                <w:lang w:eastAsia="en-US"/>
              </w:rPr>
              <w:t>-1271</w:t>
            </w:r>
          </w:p>
        </w:tc>
        <w:tc>
          <w:tcPr>
            <w:tcW w:w="647" w:type="dxa"/>
            <w:vMerge w:val="restart"/>
            <w:tcBorders>
              <w:tl2br w:val="nil"/>
              <w:tr2bl w:val="nil"/>
            </w:tcBorders>
            <w:shd w:val="clear" w:color="auto" w:fill="auto"/>
            <w:vAlign w:val="center"/>
          </w:tcPr>
          <w:p w14:paraId="1E31FFDF">
            <w:pPr>
              <w:widowControl/>
              <w:spacing w:line="380" w:lineRule="exact"/>
              <w:jc w:val="center"/>
              <w:rPr>
                <w:sz w:val="21"/>
                <w:szCs w:val="21"/>
                <w:lang w:eastAsia="en-US"/>
              </w:rPr>
            </w:pPr>
            <w:r>
              <w:rPr>
                <w:rFonts w:hint="eastAsia"/>
                <w:sz w:val="21"/>
                <w:szCs w:val="21"/>
                <w:lang w:eastAsia="en-US"/>
              </w:rPr>
              <w:t>1231</w:t>
            </w:r>
          </w:p>
        </w:tc>
        <w:tc>
          <w:tcPr>
            <w:tcW w:w="914" w:type="dxa"/>
            <w:tcBorders>
              <w:tl2br w:val="nil"/>
              <w:tr2bl w:val="nil"/>
            </w:tcBorders>
            <w:shd w:val="clear" w:color="auto" w:fill="auto"/>
            <w:vAlign w:val="center"/>
          </w:tcPr>
          <w:p w14:paraId="41824295">
            <w:pPr>
              <w:widowControl/>
              <w:spacing w:line="38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1A40C94">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041901</w:t>
            </w:r>
          </w:p>
        </w:tc>
        <w:tc>
          <w:tcPr>
            <w:tcW w:w="1182" w:type="dxa"/>
            <w:tcBorders>
              <w:tl2br w:val="nil"/>
              <w:tr2bl w:val="nil"/>
            </w:tcBorders>
            <w:shd w:val="clear" w:color="auto" w:fill="auto"/>
            <w:vAlign w:val="center"/>
          </w:tcPr>
          <w:p w14:paraId="3F76AFDC">
            <w:pPr>
              <w:widowControl w:val="0"/>
              <w:spacing w:line="380" w:lineRule="exact"/>
              <w:jc w:val="center"/>
              <w:rPr>
                <w:sz w:val="21"/>
                <w:szCs w:val="21"/>
                <w:lang w:eastAsia="en-US"/>
              </w:rPr>
            </w:pPr>
            <w:r>
              <w:rPr>
                <w:sz w:val="21"/>
                <w:szCs w:val="21"/>
                <w:lang w:eastAsia="en-US"/>
              </w:rPr>
              <w:t>0.0022</w:t>
            </w:r>
          </w:p>
        </w:tc>
        <w:tc>
          <w:tcPr>
            <w:tcW w:w="914" w:type="dxa"/>
            <w:tcBorders>
              <w:tl2br w:val="nil"/>
              <w:tr2bl w:val="nil"/>
            </w:tcBorders>
            <w:shd w:val="clear" w:color="auto" w:fill="auto"/>
            <w:vAlign w:val="center"/>
          </w:tcPr>
          <w:p w14:paraId="7A77C67B">
            <w:pPr>
              <w:widowControl/>
              <w:spacing w:line="38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4C79D99">
            <w:pPr>
              <w:widowControl w:val="0"/>
              <w:spacing w:line="380" w:lineRule="exact"/>
              <w:jc w:val="center"/>
              <w:rPr>
                <w:sz w:val="21"/>
                <w:szCs w:val="21"/>
                <w:lang w:eastAsia="en-US"/>
              </w:rPr>
            </w:pPr>
            <w:r>
              <w:rPr>
                <w:sz w:val="21"/>
                <w:szCs w:val="21"/>
                <w:lang w:eastAsia="en-US"/>
              </w:rPr>
              <w:t>1.09</w:t>
            </w:r>
          </w:p>
        </w:tc>
        <w:tc>
          <w:tcPr>
            <w:tcW w:w="716" w:type="dxa"/>
            <w:tcBorders>
              <w:tl2br w:val="nil"/>
              <w:tr2bl w:val="nil"/>
            </w:tcBorders>
            <w:shd w:val="clear" w:color="auto" w:fill="auto"/>
            <w:vAlign w:val="center"/>
          </w:tcPr>
          <w:p w14:paraId="0F9D9FDF">
            <w:pPr>
              <w:widowControl/>
              <w:spacing w:line="380" w:lineRule="exact"/>
              <w:jc w:val="center"/>
              <w:rPr>
                <w:sz w:val="21"/>
                <w:szCs w:val="21"/>
                <w:lang w:eastAsia="en-US"/>
              </w:rPr>
            </w:pPr>
            <w:r>
              <w:rPr>
                <w:sz w:val="21"/>
                <w:szCs w:val="21"/>
                <w:lang w:eastAsia="en-US"/>
              </w:rPr>
              <w:t>达标</w:t>
            </w:r>
          </w:p>
        </w:tc>
      </w:tr>
      <w:tr w14:paraId="2B2E394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F12BA8F">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21740E2C">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26199F87">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2CC61BAF">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153367DC">
            <w:pPr>
              <w:widowControl/>
              <w:spacing w:line="38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115D3EC">
            <w:pPr>
              <w:widowControl w:val="0"/>
              <w:spacing w:line="38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82" w:type="dxa"/>
            <w:tcBorders>
              <w:tl2br w:val="nil"/>
              <w:tr2bl w:val="nil"/>
            </w:tcBorders>
            <w:shd w:val="clear" w:color="auto" w:fill="auto"/>
            <w:vAlign w:val="center"/>
          </w:tcPr>
          <w:p w14:paraId="661C1508">
            <w:pPr>
              <w:widowControl w:val="0"/>
              <w:spacing w:line="38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655183B9">
            <w:pPr>
              <w:widowControl/>
              <w:spacing w:line="380" w:lineRule="exact"/>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9E63173">
            <w:pPr>
              <w:widowControl w:val="0"/>
              <w:spacing w:line="380" w:lineRule="exact"/>
              <w:jc w:val="center"/>
              <w:rPr>
                <w:sz w:val="21"/>
                <w:szCs w:val="21"/>
                <w:lang w:eastAsia="en-US"/>
              </w:rPr>
            </w:pPr>
            <w:r>
              <w:rPr>
                <w:sz w:val="21"/>
                <w:szCs w:val="21"/>
                <w:lang w:eastAsia="en-US"/>
              </w:rPr>
              <w:t>0.19</w:t>
            </w:r>
          </w:p>
        </w:tc>
        <w:tc>
          <w:tcPr>
            <w:tcW w:w="716" w:type="dxa"/>
            <w:tcBorders>
              <w:tl2br w:val="nil"/>
              <w:tr2bl w:val="nil"/>
            </w:tcBorders>
            <w:shd w:val="clear" w:color="auto" w:fill="auto"/>
            <w:vAlign w:val="center"/>
          </w:tcPr>
          <w:p w14:paraId="3CDDF2EB">
            <w:pPr>
              <w:widowControl/>
              <w:spacing w:line="380" w:lineRule="exact"/>
              <w:jc w:val="center"/>
              <w:rPr>
                <w:sz w:val="21"/>
                <w:szCs w:val="21"/>
                <w:lang w:eastAsia="en-US"/>
              </w:rPr>
            </w:pPr>
            <w:r>
              <w:rPr>
                <w:sz w:val="21"/>
                <w:szCs w:val="21"/>
                <w:lang w:eastAsia="en-US"/>
              </w:rPr>
              <w:t>达标</w:t>
            </w:r>
          </w:p>
        </w:tc>
      </w:tr>
      <w:tr w14:paraId="2C17341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51DD55E">
            <w:pPr>
              <w:widowControl/>
              <w:spacing w:line="380" w:lineRule="exact"/>
              <w:jc w:val="center"/>
              <w:rPr>
                <w:sz w:val="21"/>
                <w:szCs w:val="21"/>
                <w:lang w:eastAsia="en-US"/>
              </w:rPr>
            </w:pPr>
          </w:p>
        </w:tc>
        <w:tc>
          <w:tcPr>
            <w:tcW w:w="1145" w:type="dxa"/>
            <w:vMerge w:val="continue"/>
            <w:tcBorders>
              <w:tl2br w:val="nil"/>
              <w:tr2bl w:val="nil"/>
            </w:tcBorders>
            <w:shd w:val="clear" w:color="auto" w:fill="auto"/>
            <w:vAlign w:val="center"/>
          </w:tcPr>
          <w:p w14:paraId="550C7069">
            <w:pPr>
              <w:widowControl/>
              <w:spacing w:line="380" w:lineRule="exact"/>
              <w:jc w:val="center"/>
              <w:rPr>
                <w:sz w:val="21"/>
                <w:szCs w:val="21"/>
                <w:lang w:eastAsia="en-US"/>
              </w:rPr>
            </w:pPr>
          </w:p>
        </w:tc>
        <w:tc>
          <w:tcPr>
            <w:tcW w:w="737" w:type="dxa"/>
            <w:vMerge w:val="continue"/>
            <w:tcBorders>
              <w:tl2br w:val="nil"/>
              <w:tr2bl w:val="nil"/>
            </w:tcBorders>
            <w:shd w:val="clear" w:color="auto" w:fill="auto"/>
            <w:vAlign w:val="center"/>
          </w:tcPr>
          <w:p w14:paraId="00009D37">
            <w:pPr>
              <w:widowControl/>
              <w:spacing w:line="380" w:lineRule="exact"/>
              <w:jc w:val="center"/>
              <w:rPr>
                <w:sz w:val="21"/>
                <w:szCs w:val="21"/>
                <w:lang w:eastAsia="en-US"/>
              </w:rPr>
            </w:pPr>
          </w:p>
        </w:tc>
        <w:tc>
          <w:tcPr>
            <w:tcW w:w="647" w:type="dxa"/>
            <w:vMerge w:val="continue"/>
            <w:tcBorders>
              <w:tl2br w:val="nil"/>
              <w:tr2bl w:val="nil"/>
            </w:tcBorders>
            <w:shd w:val="clear" w:color="auto" w:fill="auto"/>
            <w:vAlign w:val="center"/>
          </w:tcPr>
          <w:p w14:paraId="60955234">
            <w:pPr>
              <w:widowControl/>
              <w:spacing w:line="380" w:lineRule="exact"/>
              <w:jc w:val="center"/>
              <w:rPr>
                <w:sz w:val="21"/>
                <w:szCs w:val="21"/>
                <w:lang w:eastAsia="en-US"/>
              </w:rPr>
            </w:pPr>
          </w:p>
        </w:tc>
        <w:tc>
          <w:tcPr>
            <w:tcW w:w="914" w:type="dxa"/>
            <w:tcBorders>
              <w:tl2br w:val="nil"/>
              <w:tr2bl w:val="nil"/>
            </w:tcBorders>
            <w:shd w:val="clear" w:color="auto" w:fill="auto"/>
            <w:vAlign w:val="center"/>
          </w:tcPr>
          <w:p w14:paraId="35485E9B">
            <w:pPr>
              <w:widowControl/>
              <w:spacing w:line="38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61B84FD">
            <w:pPr>
              <w:widowControl w:val="0"/>
              <w:spacing w:line="38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78E7B41">
            <w:pPr>
              <w:widowControl w:val="0"/>
              <w:spacing w:line="38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7A6F83F">
            <w:pPr>
              <w:widowControl/>
              <w:spacing w:line="380" w:lineRule="exact"/>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57A0472F">
            <w:pPr>
              <w:widowControl w:val="0"/>
              <w:spacing w:line="380" w:lineRule="exact"/>
              <w:jc w:val="center"/>
              <w:rPr>
                <w:sz w:val="21"/>
                <w:szCs w:val="21"/>
                <w:lang w:eastAsia="en-US"/>
              </w:rPr>
            </w:pPr>
            <w:r>
              <w:rPr>
                <w:sz w:val="21"/>
                <w:szCs w:val="21"/>
                <w:lang w:eastAsia="en-US"/>
              </w:rPr>
              <w:t>0.03</w:t>
            </w:r>
          </w:p>
        </w:tc>
        <w:tc>
          <w:tcPr>
            <w:tcW w:w="716" w:type="dxa"/>
            <w:tcBorders>
              <w:tl2br w:val="nil"/>
              <w:tr2bl w:val="nil"/>
            </w:tcBorders>
            <w:shd w:val="clear" w:color="auto" w:fill="auto"/>
            <w:vAlign w:val="center"/>
          </w:tcPr>
          <w:p w14:paraId="3B187653">
            <w:pPr>
              <w:widowControl/>
              <w:spacing w:line="380" w:lineRule="exact"/>
              <w:jc w:val="center"/>
              <w:rPr>
                <w:sz w:val="21"/>
                <w:szCs w:val="21"/>
                <w:lang w:eastAsia="en-US"/>
              </w:rPr>
            </w:pPr>
            <w:r>
              <w:rPr>
                <w:sz w:val="21"/>
                <w:szCs w:val="21"/>
                <w:lang w:eastAsia="en-US"/>
              </w:rPr>
              <w:t>达标</w:t>
            </w:r>
          </w:p>
        </w:tc>
      </w:tr>
    </w:tbl>
    <w:p w14:paraId="53FDF385">
      <w:pPr>
        <w:ind w:firstLine="480"/>
        <w:jc w:val="center"/>
        <w:rPr>
          <w:u w:val="single"/>
        </w:rPr>
      </w:pPr>
      <w:r>
        <w:pict>
          <v:shape id="_x0000_s1161" o:spid="_x0000_s1161" o:spt="75" type="#_x0000_t75" style="position:absolute;left:0pt;margin-left:31.7pt;margin-top:-17.35pt;height:297.6pt;width:358.85pt;mso-position-horizontal-relative:margin;mso-position-vertical-relative:margin;mso-wrap-distance-bottom:0pt;mso-wrap-distance-left:9pt;mso-wrap-distance-right:9pt;mso-wrap-distance-top:0pt;z-index:251674624;mso-width-relative:page;mso-height-relative:page;" filled="f" o:preferrelative="t" stroked="f" coordsize="21600,21600">
            <v:path/>
            <v:fill on="f" focussize="0,0"/>
            <v:stroke on="f" joinstyle="miter"/>
            <v:imagedata r:id="rId55" o:title="NOX小时"/>
            <o:lock v:ext="edit" aspectratio="t"/>
            <w10:wrap type="square"/>
          </v:shape>
        </w:pict>
      </w:r>
    </w:p>
    <w:p w14:paraId="264E0B6F">
      <w:pPr>
        <w:ind w:firstLine="480"/>
        <w:jc w:val="center"/>
        <w:rPr>
          <w:u w:val="single"/>
        </w:rPr>
      </w:pPr>
    </w:p>
    <w:p w14:paraId="0934769B">
      <w:pPr>
        <w:ind w:firstLine="480"/>
        <w:jc w:val="center"/>
        <w:rPr>
          <w:u w:val="single"/>
        </w:rPr>
      </w:pPr>
    </w:p>
    <w:p w14:paraId="3E53116C">
      <w:pPr>
        <w:ind w:firstLine="480"/>
        <w:jc w:val="center"/>
        <w:rPr>
          <w:u w:val="single"/>
        </w:rPr>
      </w:pPr>
    </w:p>
    <w:p w14:paraId="0D96259D">
      <w:pPr>
        <w:ind w:firstLine="480"/>
        <w:jc w:val="center"/>
        <w:rPr>
          <w:u w:val="single"/>
        </w:rPr>
      </w:pPr>
    </w:p>
    <w:p w14:paraId="781B369C">
      <w:pPr>
        <w:ind w:firstLine="480"/>
        <w:jc w:val="center"/>
        <w:rPr>
          <w:u w:val="single"/>
        </w:rPr>
      </w:pPr>
    </w:p>
    <w:p w14:paraId="69C65483">
      <w:pPr>
        <w:ind w:firstLine="480"/>
        <w:jc w:val="center"/>
        <w:rPr>
          <w:u w:val="single"/>
        </w:rPr>
      </w:pPr>
    </w:p>
    <w:p w14:paraId="4C8901CE">
      <w:pPr>
        <w:ind w:firstLine="480"/>
        <w:jc w:val="center"/>
        <w:rPr>
          <w:u w:val="single"/>
        </w:rPr>
      </w:pPr>
    </w:p>
    <w:p w14:paraId="0744EDEF">
      <w:pPr>
        <w:ind w:firstLine="480"/>
        <w:jc w:val="center"/>
        <w:rPr>
          <w:u w:val="single"/>
        </w:rPr>
      </w:pPr>
    </w:p>
    <w:p w14:paraId="0E4C0678">
      <w:pPr>
        <w:ind w:firstLine="480"/>
        <w:jc w:val="center"/>
        <w:rPr>
          <w:u w:val="single"/>
        </w:rPr>
      </w:pPr>
    </w:p>
    <w:p w14:paraId="7B2E2BC5">
      <w:pPr>
        <w:ind w:firstLine="480"/>
        <w:jc w:val="center"/>
        <w:rPr>
          <w:u w:val="single"/>
        </w:rPr>
      </w:pPr>
    </w:p>
    <w:p w14:paraId="607C0913">
      <w:pPr>
        <w:ind w:firstLine="480"/>
        <w:jc w:val="center"/>
        <w:rPr>
          <w:u w:val="single"/>
        </w:rPr>
      </w:pPr>
    </w:p>
    <w:p w14:paraId="14EF3BA8">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图6.2-8 </w:t>
      </w:r>
      <w:r>
        <w:rPr>
          <w:rFonts w:hint="eastAsia"/>
          <w:color w:val="auto"/>
        </w:rPr>
        <w:t>NO</w:t>
      </w:r>
      <w:r>
        <w:rPr>
          <w:rFonts w:hint="eastAsia"/>
          <w:color w:val="auto"/>
          <w:vertAlign w:val="subscript"/>
        </w:rPr>
        <w:t>2</w:t>
      </w:r>
      <w:r>
        <w:rPr>
          <w:rFonts w:hint="eastAsia"/>
          <w:color w:val="auto"/>
        </w:rPr>
        <w:t>贡献值浓度分布图—1小时  单位：mg/m</w:t>
      </w:r>
      <w:r>
        <w:rPr>
          <w:rFonts w:hint="eastAsia"/>
          <w:color w:val="auto"/>
          <w:vertAlign w:val="superscript"/>
        </w:rPr>
        <w:t>3</w:t>
      </w:r>
    </w:p>
    <w:p w14:paraId="083F6772">
      <w:pPr>
        <w:ind w:firstLine="480"/>
        <w:jc w:val="center"/>
        <w:rPr>
          <w:u w:val="single"/>
        </w:rPr>
      </w:pPr>
      <w:r>
        <w:pict>
          <v:shape id="_x0000_s1162" o:spid="_x0000_s1162" o:spt="75" type="#_x0000_t75" style="position:absolute;left:0pt;margin-left:30pt;margin-top:323.9pt;height:302.8pt;width:365.4pt;mso-position-horizontal-relative:margin;mso-position-vertical-relative:margin;mso-wrap-distance-bottom:0pt;mso-wrap-distance-left:9pt;mso-wrap-distance-right:9pt;mso-wrap-distance-top:0pt;z-index:251675648;mso-width-relative:page;mso-height-relative:page;" filled="f" o:preferrelative="t" stroked="f" coordsize="21600,21600">
            <v:path/>
            <v:fill on="f" focussize="0,0"/>
            <v:stroke on="f" joinstyle="miter"/>
            <v:imagedata r:id="rId56" o:title="NOx日均"/>
            <o:lock v:ext="edit" aspectratio="t"/>
            <w10:wrap type="square"/>
          </v:shape>
        </w:pict>
      </w:r>
    </w:p>
    <w:p w14:paraId="4AF69842">
      <w:pPr>
        <w:ind w:firstLine="480"/>
        <w:jc w:val="center"/>
        <w:rPr>
          <w:u w:val="single"/>
        </w:rPr>
      </w:pPr>
    </w:p>
    <w:p w14:paraId="4A05EAF3">
      <w:pPr>
        <w:ind w:firstLine="480"/>
        <w:jc w:val="center"/>
        <w:rPr>
          <w:u w:val="single"/>
        </w:rPr>
      </w:pPr>
    </w:p>
    <w:p w14:paraId="6EA2C793">
      <w:pPr>
        <w:ind w:firstLine="480"/>
        <w:jc w:val="center"/>
        <w:rPr>
          <w:u w:val="single"/>
        </w:rPr>
      </w:pPr>
    </w:p>
    <w:p w14:paraId="5BF96801">
      <w:pPr>
        <w:ind w:firstLine="480"/>
        <w:jc w:val="center"/>
        <w:rPr>
          <w:u w:val="single"/>
        </w:rPr>
      </w:pPr>
    </w:p>
    <w:p w14:paraId="51C29ABF">
      <w:pPr>
        <w:ind w:firstLine="480"/>
        <w:jc w:val="center"/>
        <w:rPr>
          <w:u w:val="single"/>
        </w:rPr>
      </w:pPr>
    </w:p>
    <w:p w14:paraId="609B729A">
      <w:pPr>
        <w:ind w:firstLine="480"/>
        <w:jc w:val="center"/>
        <w:rPr>
          <w:u w:val="single"/>
        </w:rPr>
      </w:pPr>
    </w:p>
    <w:p w14:paraId="556F9237">
      <w:pPr>
        <w:ind w:firstLine="480"/>
        <w:jc w:val="center"/>
        <w:rPr>
          <w:u w:val="single"/>
        </w:rPr>
      </w:pPr>
    </w:p>
    <w:p w14:paraId="54BAAEA3">
      <w:pPr>
        <w:ind w:firstLine="480"/>
        <w:jc w:val="center"/>
        <w:rPr>
          <w:u w:val="single"/>
        </w:rPr>
      </w:pPr>
    </w:p>
    <w:p w14:paraId="760AA1B9">
      <w:pPr>
        <w:ind w:firstLine="480"/>
        <w:jc w:val="center"/>
        <w:rPr>
          <w:u w:val="single"/>
        </w:rPr>
      </w:pPr>
    </w:p>
    <w:p w14:paraId="050905A3">
      <w:pPr>
        <w:ind w:firstLine="480"/>
        <w:jc w:val="center"/>
        <w:rPr>
          <w:u w:val="single"/>
        </w:rPr>
      </w:pPr>
    </w:p>
    <w:p w14:paraId="68EDDFF6">
      <w:pPr>
        <w:ind w:firstLine="480"/>
        <w:jc w:val="center"/>
        <w:rPr>
          <w:u w:val="single"/>
        </w:rPr>
      </w:pPr>
    </w:p>
    <w:p w14:paraId="49EC7303">
      <w:pPr>
        <w:ind w:firstLine="480"/>
        <w:jc w:val="center"/>
        <w:rPr>
          <w:u w:val="single"/>
        </w:rPr>
      </w:pPr>
    </w:p>
    <w:p w14:paraId="16501CBE">
      <w:pPr>
        <w:ind w:firstLine="480"/>
        <w:jc w:val="center"/>
        <w:rPr>
          <w:u w:val="single"/>
        </w:rPr>
      </w:pPr>
    </w:p>
    <w:p w14:paraId="2744F256">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图6.2-9 </w:t>
      </w:r>
      <w:r>
        <w:rPr>
          <w:rFonts w:hint="eastAsia"/>
          <w:color w:val="auto"/>
        </w:rPr>
        <w:t>NO</w:t>
      </w:r>
      <w:r>
        <w:rPr>
          <w:rFonts w:hint="eastAsia"/>
          <w:color w:val="auto"/>
          <w:vertAlign w:val="subscript"/>
        </w:rPr>
        <w:t>2</w:t>
      </w:r>
      <w:r>
        <w:rPr>
          <w:rFonts w:hint="eastAsia"/>
          <w:color w:val="auto"/>
        </w:rPr>
        <w:t>贡献值浓度分布图—日均 单位：mg/m</w:t>
      </w:r>
      <w:r>
        <w:rPr>
          <w:rFonts w:hint="eastAsia"/>
          <w:color w:val="auto"/>
          <w:vertAlign w:val="superscript"/>
        </w:rPr>
        <w:t>3</w:t>
      </w:r>
    </w:p>
    <w:p w14:paraId="4E25278F">
      <w:pPr>
        <w:ind w:firstLine="480"/>
        <w:jc w:val="center"/>
        <w:rPr>
          <w:u w:val="single"/>
        </w:rPr>
      </w:pPr>
    </w:p>
    <w:p w14:paraId="7CF75BC9">
      <w:pPr>
        <w:ind w:firstLine="480"/>
        <w:jc w:val="center"/>
        <w:rPr>
          <w:u w:val="single"/>
        </w:rPr>
      </w:pPr>
      <w:r>
        <w:pict>
          <v:shape id="_x0000_s1163" o:spid="_x0000_s1163" o:spt="75" type="#_x0000_t75" style="position:absolute;left:0pt;margin-left:31.5pt;margin-top:-13.1pt;height:301.55pt;width:364.8pt;mso-position-horizontal-relative:margin;mso-position-vertical-relative:margin;mso-wrap-distance-bottom:0pt;mso-wrap-distance-left:9pt;mso-wrap-distance-right:9pt;mso-wrap-distance-top:0pt;z-index:251676672;mso-width-relative:page;mso-height-relative:page;" filled="f" o:preferrelative="t" stroked="f" coordsize="21600,21600">
            <v:path/>
            <v:fill on="f" focussize="0,0"/>
            <v:stroke on="f" joinstyle="miter"/>
            <v:imagedata r:id="rId57" o:title="NOx年均"/>
            <o:lock v:ext="edit" aspectratio="t"/>
            <w10:wrap type="square"/>
          </v:shape>
        </w:pict>
      </w:r>
    </w:p>
    <w:p w14:paraId="67964498">
      <w:pPr>
        <w:ind w:firstLine="480"/>
        <w:jc w:val="center"/>
        <w:rPr>
          <w:u w:val="single"/>
        </w:rPr>
      </w:pPr>
    </w:p>
    <w:p w14:paraId="43BA0EBF">
      <w:pPr>
        <w:ind w:firstLine="480"/>
        <w:jc w:val="center"/>
        <w:rPr>
          <w:u w:val="single"/>
        </w:rPr>
      </w:pPr>
    </w:p>
    <w:p w14:paraId="6EF43B91">
      <w:pPr>
        <w:ind w:firstLine="480"/>
        <w:jc w:val="center"/>
        <w:rPr>
          <w:u w:val="single"/>
        </w:rPr>
      </w:pPr>
    </w:p>
    <w:p w14:paraId="326B9350">
      <w:pPr>
        <w:ind w:firstLine="480"/>
        <w:jc w:val="center"/>
        <w:rPr>
          <w:u w:val="single"/>
        </w:rPr>
      </w:pPr>
    </w:p>
    <w:p w14:paraId="624A261D">
      <w:pPr>
        <w:ind w:firstLine="480"/>
        <w:jc w:val="center"/>
        <w:rPr>
          <w:u w:val="single"/>
        </w:rPr>
      </w:pPr>
    </w:p>
    <w:p w14:paraId="3C66EFAE">
      <w:pPr>
        <w:ind w:firstLine="480"/>
        <w:jc w:val="center"/>
        <w:rPr>
          <w:u w:val="single"/>
        </w:rPr>
      </w:pPr>
    </w:p>
    <w:p w14:paraId="46F2918E">
      <w:pPr>
        <w:ind w:firstLine="480"/>
        <w:jc w:val="center"/>
        <w:rPr>
          <w:u w:val="single"/>
        </w:rPr>
      </w:pPr>
    </w:p>
    <w:p w14:paraId="2650798C">
      <w:pPr>
        <w:ind w:firstLine="480"/>
        <w:jc w:val="center"/>
        <w:rPr>
          <w:u w:val="single"/>
        </w:rPr>
      </w:pPr>
    </w:p>
    <w:p w14:paraId="4F8E9397">
      <w:pPr>
        <w:ind w:firstLine="480"/>
        <w:jc w:val="center"/>
        <w:rPr>
          <w:u w:val="single"/>
        </w:rPr>
      </w:pPr>
    </w:p>
    <w:p w14:paraId="1FC5D64B">
      <w:pPr>
        <w:ind w:firstLine="480"/>
        <w:jc w:val="center"/>
        <w:rPr>
          <w:u w:val="single"/>
        </w:rPr>
      </w:pPr>
    </w:p>
    <w:p w14:paraId="043BB9F7">
      <w:pPr>
        <w:ind w:firstLine="480"/>
        <w:jc w:val="center"/>
        <w:rPr>
          <w:u w:val="single"/>
        </w:rPr>
      </w:pPr>
    </w:p>
    <w:p w14:paraId="555F9B91">
      <w:pPr>
        <w:ind w:firstLine="480"/>
        <w:jc w:val="center"/>
        <w:rPr>
          <w:u w:val="single"/>
        </w:rPr>
      </w:pPr>
    </w:p>
    <w:p w14:paraId="71176C4B">
      <w:pPr>
        <w:pStyle w:val="45"/>
        <w:numPr>
          <w:ilvl w:val="6"/>
          <w:numId w:val="0"/>
        </w:numPr>
        <w:spacing w:before="0" w:beforeLines="0"/>
        <w:ind w:left="3363" w:leftChars="0" w:hanging="3363" w:hangingChars="1595"/>
        <w:rPr>
          <w:color w:val="auto"/>
        </w:rPr>
      </w:pPr>
      <w:r>
        <w:rPr>
          <w:rFonts w:hint="default" w:ascii="宋体" w:hAnsi="宋体" w:eastAsia="宋体" w:cs="宋体"/>
          <w:b/>
          <w:bCs/>
          <w:color w:val="auto"/>
          <w:kern w:val="2"/>
          <w:sz w:val="21"/>
          <w:szCs w:val="21"/>
          <w:lang w:val="en-US" w:eastAsia="zh-CN" w:bidi="ar-SA"/>
        </w:rPr>
        <w:t xml:space="preserve">图6.2-10 </w:t>
      </w:r>
      <w:r>
        <w:rPr>
          <w:rFonts w:hint="eastAsia"/>
          <w:color w:val="auto"/>
        </w:rPr>
        <w:t>NO</w:t>
      </w:r>
      <w:r>
        <w:rPr>
          <w:rFonts w:hint="eastAsia"/>
          <w:color w:val="auto"/>
          <w:vertAlign w:val="subscript"/>
        </w:rPr>
        <w:t>2</w:t>
      </w:r>
      <w:r>
        <w:rPr>
          <w:rFonts w:hint="eastAsia"/>
          <w:color w:val="auto"/>
        </w:rPr>
        <w:t>贡献值浓度分布图—年均 单位：mg/m</w:t>
      </w:r>
      <w:r>
        <w:rPr>
          <w:rFonts w:hint="eastAsia"/>
          <w:color w:val="auto"/>
          <w:vertAlign w:val="superscript"/>
        </w:rPr>
        <w:t>3</w:t>
      </w:r>
    </w:p>
    <w:p w14:paraId="4F8582B3">
      <w:pPr>
        <w:ind w:firstLine="480"/>
      </w:pPr>
      <w:r>
        <w:rPr>
          <w:rFonts w:hint="eastAsia" w:ascii="宋体" w:hAnsi="宋体" w:cs="宋体"/>
        </w:rPr>
        <w:t>③</w:t>
      </w:r>
      <w:r>
        <w:rPr>
          <w:rFonts w:hint="eastAsia"/>
        </w:rPr>
        <w:t>TSP预测结果</w:t>
      </w:r>
    </w:p>
    <w:p w14:paraId="06A486A8">
      <w:pPr>
        <w:ind w:firstLine="480"/>
      </w:pPr>
      <w:r>
        <w:t>正常排放情况下，对于敏感点而言，本项目排放的</w:t>
      </w:r>
      <w:r>
        <w:rPr>
          <w:rFonts w:hint="eastAsia"/>
        </w:rPr>
        <w:t>TSP</w:t>
      </w:r>
      <w:r>
        <w:t>小时、日均、年均浓度贡献值满足《环境空气质量标准》（GB3095-2012）二级标准要求。区域最大落地浓度中，1小时浓度贡献值最大值为</w:t>
      </w:r>
      <w:r>
        <w:rPr>
          <w:rFonts w:hint="eastAsia"/>
        </w:rPr>
        <w:t>0.000552</w:t>
      </w:r>
      <w:r>
        <w:t>mg/m³、最大占标率为</w:t>
      </w:r>
      <w:r>
        <w:rPr>
          <w:rFonts w:hint="eastAsia"/>
        </w:rPr>
        <w:t>0.06</w:t>
      </w:r>
      <w:r>
        <w:t>%；日均浓度贡献值最大值为</w:t>
      </w:r>
      <w:r>
        <w:rPr>
          <w:rFonts w:hint="eastAsia"/>
        </w:rPr>
        <w:t>0.000177</w:t>
      </w:r>
      <w:r>
        <w:t>mg/m³、最大占标率为</w:t>
      </w:r>
      <w:r>
        <w:rPr>
          <w:rFonts w:hint="eastAsia"/>
        </w:rPr>
        <w:t>0.06</w:t>
      </w:r>
      <w:r>
        <w:t>%；年均浓度贡献值最大值为</w:t>
      </w:r>
      <w:r>
        <w:rPr>
          <w:rFonts w:hint="eastAsia"/>
        </w:rPr>
        <w:t>0.000079</w:t>
      </w:r>
      <w:r>
        <w:t>mg/m³，最大占标率为</w:t>
      </w:r>
      <w:r>
        <w:rPr>
          <w:rFonts w:hint="eastAsia"/>
        </w:rPr>
        <w:t>0.04</w:t>
      </w:r>
      <w:r>
        <w:t>%。因此项目</w:t>
      </w:r>
      <w:r>
        <w:rPr>
          <w:rFonts w:hint="eastAsia"/>
        </w:rPr>
        <w:t>TSP</w:t>
      </w:r>
      <w:r>
        <w:t>短期浓度贡献值的最大浓度占标率≤100%，年均浓度贡献值的最大浓度占标率≤30%。</w:t>
      </w:r>
    </w:p>
    <w:p w14:paraId="62F5ABAA">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表6.2-18 </w:t>
      </w:r>
      <w:r>
        <w:rPr>
          <w:rFonts w:hint="eastAsia"/>
        </w:rPr>
        <w:t>TSP贡献值预测结果   单位：mg/m</w:t>
      </w:r>
      <w:r>
        <w:rPr>
          <w:rFonts w:hint="eastAsia"/>
          <w:vertAlign w:val="superscript"/>
        </w:rPr>
        <w:t>3</w:t>
      </w:r>
    </w:p>
    <w:tbl>
      <w:tblPr>
        <w:tblStyle w:val="66"/>
        <w:tblW w:w="509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8"/>
        <w:gridCol w:w="1145"/>
        <w:gridCol w:w="737"/>
        <w:gridCol w:w="647"/>
        <w:gridCol w:w="914"/>
        <w:gridCol w:w="1069"/>
        <w:gridCol w:w="1182"/>
        <w:gridCol w:w="914"/>
        <w:gridCol w:w="784"/>
        <w:gridCol w:w="716"/>
      </w:tblGrid>
      <w:tr w14:paraId="2C2D779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8" w:type="dxa"/>
            <w:tcBorders>
              <w:tl2br w:val="nil"/>
              <w:tr2bl w:val="nil"/>
            </w:tcBorders>
            <w:shd w:val="clear" w:color="auto" w:fill="auto"/>
            <w:textDirection w:val="tbRlV"/>
            <w:vAlign w:val="center"/>
          </w:tcPr>
          <w:p w14:paraId="625A2902">
            <w:pPr>
              <w:widowControl/>
              <w:spacing w:line="420" w:lineRule="exact"/>
              <w:jc w:val="center"/>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159" name="IM 148"/>
                  <wp:cNvGraphicFramePr/>
                  <a:graphic xmlns:a="http://schemas.openxmlformats.org/drawingml/2006/main">
                    <a:graphicData uri="http://schemas.openxmlformats.org/drawingml/2006/picture">
                      <pic:pic xmlns:pic="http://schemas.openxmlformats.org/drawingml/2006/picture">
                        <pic:nvPicPr>
                          <pic:cNvPr id="159" name="IM 148"/>
                          <pic:cNvPicPr/>
                        </pic:nvPicPr>
                        <pic:blipFill>
                          <a:blip r:embed="rId51"/>
                          <a:stretch>
                            <a:fillRect/>
                          </a:stretch>
                        </pic:blipFill>
                        <pic:spPr>
                          <a:xfrm>
                            <a:off x="0" y="0"/>
                            <a:ext cx="137160" cy="0"/>
                          </a:xfrm>
                          <a:prstGeom prst="rect">
                            <a:avLst/>
                          </a:prstGeom>
                        </pic:spPr>
                      </pic:pic>
                    </a:graphicData>
                  </a:graphic>
                </wp:inline>
              </w:drawing>
            </w:r>
          </w:p>
        </w:tc>
        <w:tc>
          <w:tcPr>
            <w:tcW w:w="1145" w:type="dxa"/>
            <w:tcBorders>
              <w:tl2br w:val="nil"/>
              <w:tr2bl w:val="nil"/>
            </w:tcBorders>
            <w:shd w:val="clear" w:color="auto" w:fill="auto"/>
            <w:vAlign w:val="center"/>
          </w:tcPr>
          <w:p w14:paraId="2DEC7AF8">
            <w:pPr>
              <w:widowControl/>
              <w:spacing w:line="420" w:lineRule="exact"/>
              <w:jc w:val="center"/>
              <w:rPr>
                <w:sz w:val="21"/>
                <w:szCs w:val="21"/>
                <w:lang w:eastAsia="en-US"/>
              </w:rPr>
            </w:pPr>
            <w:r>
              <w:rPr>
                <w:sz w:val="21"/>
                <w:szCs w:val="21"/>
                <w:lang w:eastAsia="en-US"/>
              </w:rPr>
              <w:t>离散点</w:t>
            </w:r>
          </w:p>
        </w:tc>
        <w:tc>
          <w:tcPr>
            <w:tcW w:w="737" w:type="dxa"/>
            <w:tcBorders>
              <w:tl2br w:val="nil"/>
              <w:tr2bl w:val="nil"/>
            </w:tcBorders>
            <w:shd w:val="clear" w:color="auto" w:fill="auto"/>
            <w:vAlign w:val="center"/>
          </w:tcPr>
          <w:p w14:paraId="0D96ABC2">
            <w:pPr>
              <w:widowControl/>
              <w:spacing w:line="420" w:lineRule="exact"/>
              <w:jc w:val="center"/>
              <w:rPr>
                <w:sz w:val="21"/>
                <w:szCs w:val="21"/>
                <w:lang w:eastAsia="en-US"/>
              </w:rPr>
            </w:pPr>
            <w:r>
              <w:rPr>
                <w:sz w:val="21"/>
                <w:szCs w:val="21"/>
                <w:lang w:eastAsia="en-US"/>
              </w:rPr>
              <w:t>点坐标 （X）</w:t>
            </w:r>
          </w:p>
        </w:tc>
        <w:tc>
          <w:tcPr>
            <w:tcW w:w="647" w:type="dxa"/>
            <w:tcBorders>
              <w:tl2br w:val="nil"/>
              <w:tr2bl w:val="nil"/>
            </w:tcBorders>
            <w:shd w:val="clear" w:color="auto" w:fill="auto"/>
            <w:vAlign w:val="center"/>
          </w:tcPr>
          <w:p w14:paraId="68ECD4AC">
            <w:pPr>
              <w:widowControl/>
              <w:spacing w:line="420" w:lineRule="exact"/>
              <w:jc w:val="center"/>
              <w:rPr>
                <w:sz w:val="21"/>
                <w:szCs w:val="21"/>
                <w:lang w:eastAsia="en-US"/>
              </w:rPr>
            </w:pPr>
            <w:r>
              <w:rPr>
                <w:sz w:val="21"/>
                <w:szCs w:val="21"/>
                <w:lang w:eastAsia="en-US"/>
              </w:rPr>
              <w:t>点坐标 （Y）</w:t>
            </w:r>
          </w:p>
        </w:tc>
        <w:tc>
          <w:tcPr>
            <w:tcW w:w="914" w:type="dxa"/>
            <w:tcBorders>
              <w:tl2br w:val="nil"/>
              <w:tr2bl w:val="nil"/>
            </w:tcBorders>
            <w:shd w:val="clear" w:color="auto" w:fill="auto"/>
            <w:vAlign w:val="center"/>
          </w:tcPr>
          <w:p w14:paraId="6FE65760">
            <w:pPr>
              <w:widowControl/>
              <w:spacing w:line="420" w:lineRule="exact"/>
              <w:jc w:val="center"/>
              <w:rPr>
                <w:sz w:val="21"/>
                <w:szCs w:val="21"/>
                <w:lang w:eastAsia="en-US"/>
              </w:rPr>
            </w:pPr>
            <w:r>
              <w:rPr>
                <w:sz w:val="21"/>
                <w:szCs w:val="21"/>
                <w:lang w:eastAsia="en-US"/>
              </w:rPr>
              <w:t>浓度类型</w:t>
            </w:r>
          </w:p>
        </w:tc>
        <w:tc>
          <w:tcPr>
            <w:tcW w:w="1069" w:type="dxa"/>
            <w:tcBorders>
              <w:tl2br w:val="nil"/>
              <w:tr2bl w:val="nil"/>
            </w:tcBorders>
            <w:shd w:val="clear" w:color="auto" w:fill="auto"/>
            <w:vAlign w:val="center"/>
          </w:tcPr>
          <w:p w14:paraId="6ED47DB7">
            <w:pPr>
              <w:widowControl/>
              <w:spacing w:line="420" w:lineRule="exact"/>
              <w:jc w:val="center"/>
              <w:rPr>
                <w:sz w:val="21"/>
                <w:szCs w:val="21"/>
                <w:lang w:eastAsia="en-US"/>
              </w:rPr>
            </w:pPr>
            <w:r>
              <w:rPr>
                <w:sz w:val="21"/>
                <w:szCs w:val="21"/>
                <w:lang w:eastAsia="en-US"/>
              </w:rPr>
              <w:t>出现时间</w:t>
            </w:r>
          </w:p>
        </w:tc>
        <w:tc>
          <w:tcPr>
            <w:tcW w:w="1182" w:type="dxa"/>
            <w:tcBorders>
              <w:tl2br w:val="nil"/>
              <w:tr2bl w:val="nil"/>
            </w:tcBorders>
            <w:shd w:val="clear" w:color="auto" w:fill="auto"/>
            <w:vAlign w:val="center"/>
          </w:tcPr>
          <w:p w14:paraId="6CF6855E">
            <w:pPr>
              <w:widowControl/>
              <w:spacing w:line="420" w:lineRule="exact"/>
              <w:jc w:val="center"/>
              <w:rPr>
                <w:sz w:val="21"/>
                <w:szCs w:val="21"/>
                <w:lang w:eastAsia="en-US"/>
              </w:rPr>
            </w:pPr>
            <w:r>
              <w:rPr>
                <w:sz w:val="21"/>
                <w:szCs w:val="21"/>
                <w:lang w:eastAsia="en-US"/>
              </w:rPr>
              <w:t>预测值</w:t>
            </w:r>
          </w:p>
        </w:tc>
        <w:tc>
          <w:tcPr>
            <w:tcW w:w="914" w:type="dxa"/>
            <w:tcBorders>
              <w:tl2br w:val="nil"/>
              <w:tr2bl w:val="nil"/>
            </w:tcBorders>
            <w:shd w:val="clear" w:color="auto" w:fill="auto"/>
            <w:vAlign w:val="center"/>
          </w:tcPr>
          <w:p w14:paraId="7A1FC65B">
            <w:pPr>
              <w:widowControl/>
              <w:spacing w:line="420" w:lineRule="exact"/>
              <w:jc w:val="center"/>
              <w:rPr>
                <w:sz w:val="21"/>
                <w:szCs w:val="21"/>
                <w:lang w:eastAsia="en-US"/>
              </w:rPr>
            </w:pPr>
            <w:r>
              <w:rPr>
                <w:sz w:val="21"/>
                <w:szCs w:val="21"/>
                <w:lang w:eastAsia="en-US"/>
              </w:rPr>
              <w:t>评价标准</w:t>
            </w:r>
          </w:p>
        </w:tc>
        <w:tc>
          <w:tcPr>
            <w:tcW w:w="784" w:type="dxa"/>
            <w:tcBorders>
              <w:tl2br w:val="nil"/>
              <w:tr2bl w:val="nil"/>
            </w:tcBorders>
            <w:shd w:val="clear" w:color="auto" w:fill="auto"/>
            <w:vAlign w:val="center"/>
          </w:tcPr>
          <w:p w14:paraId="205301F6">
            <w:pPr>
              <w:widowControl/>
              <w:spacing w:line="420" w:lineRule="exact"/>
              <w:jc w:val="center"/>
              <w:rPr>
                <w:sz w:val="21"/>
                <w:szCs w:val="21"/>
                <w:lang w:eastAsia="en-US"/>
              </w:rPr>
            </w:pPr>
            <w:r>
              <w:rPr>
                <w:sz w:val="21"/>
                <w:szCs w:val="21"/>
                <w:lang w:eastAsia="en-US"/>
              </w:rPr>
              <w:t>占标</w:t>
            </w:r>
          </w:p>
          <w:p w14:paraId="0025D446">
            <w:pPr>
              <w:widowControl/>
              <w:spacing w:line="420" w:lineRule="exact"/>
              <w:jc w:val="center"/>
              <w:rPr>
                <w:sz w:val="21"/>
                <w:szCs w:val="21"/>
                <w:lang w:eastAsia="en-US"/>
              </w:rPr>
            </w:pPr>
            <w:r>
              <w:rPr>
                <w:sz w:val="21"/>
                <w:szCs w:val="21"/>
                <w:lang w:eastAsia="en-US"/>
              </w:rPr>
              <w:t>率%</w:t>
            </w:r>
          </w:p>
        </w:tc>
        <w:tc>
          <w:tcPr>
            <w:tcW w:w="716" w:type="dxa"/>
            <w:tcBorders>
              <w:tl2br w:val="nil"/>
              <w:tr2bl w:val="nil"/>
            </w:tcBorders>
            <w:shd w:val="clear" w:color="auto" w:fill="auto"/>
            <w:vAlign w:val="center"/>
          </w:tcPr>
          <w:p w14:paraId="509E1360">
            <w:pPr>
              <w:widowControl/>
              <w:spacing w:line="420" w:lineRule="exact"/>
              <w:jc w:val="center"/>
              <w:rPr>
                <w:sz w:val="21"/>
                <w:szCs w:val="21"/>
                <w:lang w:eastAsia="en-US"/>
              </w:rPr>
            </w:pPr>
            <w:r>
              <w:rPr>
                <w:sz w:val="21"/>
                <w:szCs w:val="21"/>
                <w:lang w:eastAsia="en-US"/>
              </w:rPr>
              <w:t>是否达 标</w:t>
            </w:r>
          </w:p>
        </w:tc>
      </w:tr>
      <w:tr w14:paraId="3047EAF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E6B974B">
            <w:pPr>
              <w:widowControl/>
              <w:spacing w:line="420" w:lineRule="exact"/>
              <w:jc w:val="center"/>
              <w:rPr>
                <w:sz w:val="21"/>
                <w:szCs w:val="21"/>
                <w:lang w:eastAsia="en-US"/>
              </w:rPr>
            </w:pPr>
            <w:r>
              <w:rPr>
                <w:sz w:val="21"/>
                <w:szCs w:val="21"/>
                <w:lang w:eastAsia="en-US"/>
              </w:rPr>
              <w:t>1</w:t>
            </w:r>
          </w:p>
        </w:tc>
        <w:tc>
          <w:tcPr>
            <w:tcW w:w="1145" w:type="dxa"/>
            <w:vMerge w:val="restart"/>
            <w:tcBorders>
              <w:tl2br w:val="nil"/>
              <w:tr2bl w:val="nil"/>
            </w:tcBorders>
            <w:shd w:val="clear" w:color="auto" w:fill="auto"/>
            <w:vAlign w:val="center"/>
          </w:tcPr>
          <w:p w14:paraId="4D3F9252">
            <w:pPr>
              <w:widowControl/>
              <w:spacing w:line="420" w:lineRule="exact"/>
              <w:jc w:val="center"/>
              <w:rPr>
                <w:sz w:val="21"/>
                <w:szCs w:val="21"/>
                <w:lang w:eastAsia="en-US"/>
              </w:rPr>
            </w:pPr>
            <w:r>
              <w:rPr>
                <w:sz w:val="21"/>
                <w:szCs w:val="21"/>
                <w:lang w:eastAsia="en-US"/>
              </w:rPr>
              <w:t>涓江香水湾小区</w:t>
            </w:r>
          </w:p>
        </w:tc>
        <w:tc>
          <w:tcPr>
            <w:tcW w:w="737" w:type="dxa"/>
            <w:vMerge w:val="restart"/>
            <w:tcBorders>
              <w:tl2br w:val="nil"/>
              <w:tr2bl w:val="nil"/>
            </w:tcBorders>
            <w:shd w:val="clear" w:color="auto" w:fill="auto"/>
            <w:vAlign w:val="center"/>
          </w:tcPr>
          <w:p w14:paraId="3748B96E">
            <w:pPr>
              <w:widowControl/>
              <w:spacing w:line="420" w:lineRule="exact"/>
              <w:jc w:val="center"/>
              <w:rPr>
                <w:sz w:val="21"/>
                <w:szCs w:val="21"/>
                <w:lang w:eastAsia="en-US"/>
              </w:rPr>
            </w:pPr>
            <w:r>
              <w:rPr>
                <w:sz w:val="21"/>
                <w:szCs w:val="21"/>
                <w:lang w:eastAsia="en-US"/>
              </w:rPr>
              <w:t>-</w:t>
            </w:r>
            <w:r>
              <w:rPr>
                <w:rFonts w:hint="eastAsia"/>
                <w:sz w:val="21"/>
                <w:szCs w:val="21"/>
                <w:lang w:eastAsia="en-US"/>
              </w:rPr>
              <w:t>755</w:t>
            </w:r>
          </w:p>
        </w:tc>
        <w:tc>
          <w:tcPr>
            <w:tcW w:w="647" w:type="dxa"/>
            <w:vMerge w:val="restart"/>
            <w:tcBorders>
              <w:tl2br w:val="nil"/>
              <w:tr2bl w:val="nil"/>
            </w:tcBorders>
            <w:shd w:val="clear" w:color="auto" w:fill="auto"/>
            <w:vAlign w:val="center"/>
          </w:tcPr>
          <w:p w14:paraId="48AE7E6A">
            <w:pPr>
              <w:widowControl/>
              <w:spacing w:line="420" w:lineRule="exact"/>
              <w:jc w:val="center"/>
              <w:rPr>
                <w:sz w:val="21"/>
                <w:szCs w:val="21"/>
                <w:lang w:eastAsia="en-US"/>
              </w:rPr>
            </w:pPr>
            <w:r>
              <w:rPr>
                <w:rFonts w:hint="eastAsia"/>
                <w:sz w:val="21"/>
                <w:szCs w:val="21"/>
                <w:lang w:eastAsia="en-US"/>
              </w:rPr>
              <w:t>281</w:t>
            </w:r>
          </w:p>
        </w:tc>
        <w:tc>
          <w:tcPr>
            <w:tcW w:w="914" w:type="dxa"/>
            <w:tcBorders>
              <w:tl2br w:val="nil"/>
              <w:tr2bl w:val="nil"/>
            </w:tcBorders>
            <w:shd w:val="clear" w:color="auto" w:fill="auto"/>
            <w:vAlign w:val="center"/>
          </w:tcPr>
          <w:p w14:paraId="25ED06F2">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A4F6E64">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82" w:type="dxa"/>
            <w:tcBorders>
              <w:tl2br w:val="nil"/>
              <w:tr2bl w:val="nil"/>
            </w:tcBorders>
            <w:shd w:val="clear" w:color="auto" w:fill="auto"/>
            <w:vAlign w:val="center"/>
          </w:tcPr>
          <w:p w14:paraId="0559A4CD">
            <w:pPr>
              <w:widowControl w:val="0"/>
              <w:spacing w:line="42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57C89C7A">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5402E91C">
            <w:pPr>
              <w:widowControl w:val="0"/>
              <w:spacing w:line="420" w:lineRule="exact"/>
              <w:jc w:val="center"/>
              <w:rPr>
                <w:sz w:val="21"/>
                <w:szCs w:val="21"/>
                <w:lang w:eastAsia="en-US"/>
              </w:rPr>
            </w:pPr>
            <w:r>
              <w:rPr>
                <w:sz w:val="21"/>
                <w:szCs w:val="21"/>
                <w:lang w:eastAsia="en-US"/>
              </w:rPr>
              <w:t>0.03</w:t>
            </w:r>
          </w:p>
        </w:tc>
        <w:tc>
          <w:tcPr>
            <w:tcW w:w="716" w:type="dxa"/>
            <w:tcBorders>
              <w:tl2br w:val="nil"/>
              <w:tr2bl w:val="nil"/>
            </w:tcBorders>
            <w:shd w:val="clear" w:color="auto" w:fill="auto"/>
            <w:vAlign w:val="center"/>
          </w:tcPr>
          <w:p w14:paraId="206BFD36">
            <w:pPr>
              <w:widowControl/>
              <w:spacing w:line="420" w:lineRule="exact"/>
              <w:jc w:val="center"/>
              <w:rPr>
                <w:sz w:val="21"/>
                <w:szCs w:val="21"/>
                <w:lang w:eastAsia="en-US"/>
              </w:rPr>
            </w:pPr>
            <w:r>
              <w:rPr>
                <w:sz w:val="21"/>
                <w:szCs w:val="21"/>
                <w:lang w:eastAsia="en-US"/>
              </w:rPr>
              <w:t>达标</w:t>
            </w:r>
          </w:p>
        </w:tc>
      </w:tr>
      <w:tr w14:paraId="35B2346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55B226F">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1F37EB38">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45C0F81E">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4C8AEA5">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4ECE8CFC">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E29FF09">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56EAB695">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5EFD4D9">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CBB2113">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6C25F05C">
            <w:pPr>
              <w:widowControl/>
              <w:spacing w:line="420" w:lineRule="exact"/>
              <w:jc w:val="center"/>
              <w:rPr>
                <w:sz w:val="21"/>
                <w:szCs w:val="21"/>
                <w:lang w:eastAsia="en-US"/>
              </w:rPr>
            </w:pPr>
            <w:r>
              <w:rPr>
                <w:sz w:val="21"/>
                <w:szCs w:val="21"/>
                <w:lang w:eastAsia="en-US"/>
              </w:rPr>
              <w:t>达标</w:t>
            </w:r>
          </w:p>
        </w:tc>
      </w:tr>
      <w:tr w14:paraId="7C09B81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0EC8E98">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6EB6AD21">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ACF2F5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277D1E0">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66A8DE61">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9980C50">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C17413C">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343EAE8">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FE1A1D2">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1CDC5E1B">
            <w:pPr>
              <w:widowControl/>
              <w:spacing w:line="420" w:lineRule="exact"/>
              <w:jc w:val="center"/>
              <w:rPr>
                <w:sz w:val="21"/>
                <w:szCs w:val="21"/>
                <w:lang w:eastAsia="en-US"/>
              </w:rPr>
            </w:pPr>
            <w:r>
              <w:rPr>
                <w:sz w:val="21"/>
                <w:szCs w:val="21"/>
                <w:lang w:eastAsia="en-US"/>
              </w:rPr>
              <w:t>达标</w:t>
            </w:r>
          </w:p>
        </w:tc>
      </w:tr>
      <w:tr w14:paraId="688C5D3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7301626">
            <w:pPr>
              <w:widowControl/>
              <w:spacing w:line="420" w:lineRule="exact"/>
              <w:jc w:val="center"/>
              <w:rPr>
                <w:sz w:val="21"/>
                <w:szCs w:val="21"/>
                <w:lang w:eastAsia="en-US"/>
              </w:rPr>
            </w:pPr>
            <w:r>
              <w:rPr>
                <w:sz w:val="21"/>
                <w:szCs w:val="21"/>
                <w:lang w:eastAsia="en-US"/>
              </w:rPr>
              <w:t>2</w:t>
            </w:r>
          </w:p>
        </w:tc>
        <w:tc>
          <w:tcPr>
            <w:tcW w:w="1145" w:type="dxa"/>
            <w:vMerge w:val="restart"/>
            <w:tcBorders>
              <w:tl2br w:val="nil"/>
              <w:tr2bl w:val="nil"/>
            </w:tcBorders>
            <w:shd w:val="clear" w:color="auto" w:fill="auto"/>
            <w:vAlign w:val="center"/>
          </w:tcPr>
          <w:p w14:paraId="76FB8EEE">
            <w:pPr>
              <w:widowControl/>
              <w:spacing w:line="420" w:lineRule="exact"/>
              <w:jc w:val="center"/>
              <w:rPr>
                <w:sz w:val="21"/>
                <w:szCs w:val="21"/>
                <w:lang w:eastAsia="en-US"/>
              </w:rPr>
            </w:pPr>
            <w:r>
              <w:rPr>
                <w:sz w:val="21"/>
                <w:szCs w:val="21"/>
                <w:lang w:eastAsia="en-US"/>
              </w:rPr>
              <w:t>松香苑小区</w:t>
            </w:r>
          </w:p>
        </w:tc>
        <w:tc>
          <w:tcPr>
            <w:tcW w:w="737" w:type="dxa"/>
            <w:vMerge w:val="restart"/>
            <w:tcBorders>
              <w:tl2br w:val="nil"/>
              <w:tr2bl w:val="nil"/>
            </w:tcBorders>
            <w:shd w:val="clear" w:color="auto" w:fill="auto"/>
            <w:vAlign w:val="center"/>
          </w:tcPr>
          <w:p w14:paraId="44146049">
            <w:pPr>
              <w:widowControl/>
              <w:spacing w:line="420" w:lineRule="exact"/>
              <w:jc w:val="center"/>
              <w:rPr>
                <w:sz w:val="21"/>
                <w:szCs w:val="21"/>
                <w:lang w:eastAsia="en-US"/>
              </w:rPr>
            </w:pPr>
            <w:r>
              <w:rPr>
                <w:sz w:val="21"/>
                <w:szCs w:val="21"/>
                <w:lang w:eastAsia="en-US"/>
              </w:rPr>
              <w:t>-</w:t>
            </w:r>
            <w:r>
              <w:rPr>
                <w:rFonts w:hint="eastAsia"/>
                <w:sz w:val="21"/>
                <w:szCs w:val="21"/>
                <w:lang w:eastAsia="en-US"/>
              </w:rPr>
              <w:t>1080</w:t>
            </w:r>
          </w:p>
        </w:tc>
        <w:tc>
          <w:tcPr>
            <w:tcW w:w="647" w:type="dxa"/>
            <w:vMerge w:val="restart"/>
            <w:tcBorders>
              <w:tl2br w:val="nil"/>
              <w:tr2bl w:val="nil"/>
            </w:tcBorders>
            <w:shd w:val="clear" w:color="auto" w:fill="auto"/>
            <w:vAlign w:val="center"/>
          </w:tcPr>
          <w:p w14:paraId="3AC0A4AA">
            <w:pPr>
              <w:widowControl/>
              <w:spacing w:line="420" w:lineRule="exact"/>
              <w:jc w:val="center"/>
              <w:rPr>
                <w:sz w:val="21"/>
                <w:szCs w:val="21"/>
                <w:lang w:eastAsia="en-US"/>
              </w:rPr>
            </w:pPr>
            <w:r>
              <w:rPr>
                <w:rFonts w:hint="eastAsia"/>
                <w:sz w:val="21"/>
                <w:szCs w:val="21"/>
                <w:lang w:eastAsia="en-US"/>
              </w:rPr>
              <w:t>762</w:t>
            </w:r>
          </w:p>
        </w:tc>
        <w:tc>
          <w:tcPr>
            <w:tcW w:w="914" w:type="dxa"/>
            <w:tcBorders>
              <w:tl2br w:val="nil"/>
              <w:tr2bl w:val="nil"/>
            </w:tcBorders>
            <w:shd w:val="clear" w:color="auto" w:fill="auto"/>
            <w:vAlign w:val="center"/>
          </w:tcPr>
          <w:p w14:paraId="55A5C49F">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BDFE265">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061904</w:t>
            </w:r>
          </w:p>
        </w:tc>
        <w:tc>
          <w:tcPr>
            <w:tcW w:w="1182" w:type="dxa"/>
            <w:tcBorders>
              <w:tl2br w:val="nil"/>
              <w:tr2bl w:val="nil"/>
            </w:tcBorders>
            <w:shd w:val="clear" w:color="auto" w:fill="auto"/>
            <w:vAlign w:val="center"/>
          </w:tcPr>
          <w:p w14:paraId="4D1500AD">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1E93DC38">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88A9E2F">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333B86B9">
            <w:pPr>
              <w:widowControl/>
              <w:spacing w:line="420" w:lineRule="exact"/>
              <w:jc w:val="center"/>
              <w:rPr>
                <w:sz w:val="21"/>
                <w:szCs w:val="21"/>
                <w:lang w:eastAsia="en-US"/>
              </w:rPr>
            </w:pPr>
            <w:r>
              <w:rPr>
                <w:sz w:val="21"/>
                <w:szCs w:val="21"/>
                <w:lang w:eastAsia="en-US"/>
              </w:rPr>
              <w:t>达标</w:t>
            </w:r>
          </w:p>
        </w:tc>
      </w:tr>
      <w:tr w14:paraId="56BEC0E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2046079">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4FD9BF8">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71B85F3">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46C34BC6">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A5CF2B3">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5E76331">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0619</w:t>
            </w:r>
          </w:p>
        </w:tc>
        <w:tc>
          <w:tcPr>
            <w:tcW w:w="1182" w:type="dxa"/>
            <w:tcBorders>
              <w:tl2br w:val="nil"/>
              <w:tr2bl w:val="nil"/>
            </w:tcBorders>
            <w:shd w:val="clear" w:color="auto" w:fill="auto"/>
            <w:vAlign w:val="center"/>
          </w:tcPr>
          <w:p w14:paraId="21F48D04">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9AD2DCF">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632C0AC">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0E2016E4">
            <w:pPr>
              <w:widowControl/>
              <w:spacing w:line="420" w:lineRule="exact"/>
              <w:jc w:val="center"/>
              <w:rPr>
                <w:sz w:val="21"/>
                <w:szCs w:val="21"/>
                <w:lang w:eastAsia="en-US"/>
              </w:rPr>
            </w:pPr>
            <w:r>
              <w:rPr>
                <w:sz w:val="21"/>
                <w:szCs w:val="21"/>
                <w:lang w:eastAsia="en-US"/>
              </w:rPr>
              <w:t>达标</w:t>
            </w:r>
          </w:p>
        </w:tc>
      </w:tr>
      <w:tr w14:paraId="298C1B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56128C3">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8F50C45">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95F385E">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E7796CF">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3D64FCBB">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2433245">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DF2532C">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78F6D46">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3BC6787">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5FDAA5A8">
            <w:pPr>
              <w:widowControl/>
              <w:spacing w:line="420" w:lineRule="exact"/>
              <w:jc w:val="center"/>
              <w:rPr>
                <w:sz w:val="21"/>
                <w:szCs w:val="21"/>
                <w:lang w:eastAsia="en-US"/>
              </w:rPr>
            </w:pPr>
            <w:r>
              <w:rPr>
                <w:sz w:val="21"/>
                <w:szCs w:val="21"/>
                <w:lang w:eastAsia="en-US"/>
              </w:rPr>
              <w:t>达标</w:t>
            </w:r>
          </w:p>
        </w:tc>
      </w:tr>
      <w:tr w14:paraId="6CB9E01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9559EEB">
            <w:pPr>
              <w:widowControl/>
              <w:spacing w:line="420" w:lineRule="exact"/>
              <w:jc w:val="center"/>
              <w:rPr>
                <w:sz w:val="21"/>
                <w:szCs w:val="21"/>
                <w:lang w:eastAsia="en-US"/>
              </w:rPr>
            </w:pPr>
            <w:r>
              <w:rPr>
                <w:sz w:val="21"/>
                <w:szCs w:val="21"/>
                <w:lang w:eastAsia="en-US"/>
              </w:rPr>
              <w:t>3</w:t>
            </w:r>
          </w:p>
        </w:tc>
        <w:tc>
          <w:tcPr>
            <w:tcW w:w="1145" w:type="dxa"/>
            <w:vMerge w:val="restart"/>
            <w:tcBorders>
              <w:tl2br w:val="nil"/>
              <w:tr2bl w:val="nil"/>
            </w:tcBorders>
            <w:shd w:val="clear" w:color="auto" w:fill="auto"/>
            <w:vAlign w:val="center"/>
          </w:tcPr>
          <w:p w14:paraId="2C513408">
            <w:pPr>
              <w:widowControl/>
              <w:spacing w:line="420" w:lineRule="exact"/>
              <w:jc w:val="center"/>
              <w:rPr>
                <w:sz w:val="21"/>
                <w:szCs w:val="21"/>
                <w:lang w:eastAsia="en-US"/>
              </w:rPr>
            </w:pPr>
            <w:r>
              <w:rPr>
                <w:sz w:val="21"/>
                <w:szCs w:val="21"/>
                <w:lang w:eastAsia="en-US"/>
              </w:rPr>
              <w:t>吴家巷散户居民</w:t>
            </w:r>
          </w:p>
        </w:tc>
        <w:tc>
          <w:tcPr>
            <w:tcW w:w="737" w:type="dxa"/>
            <w:vMerge w:val="restart"/>
            <w:tcBorders>
              <w:tl2br w:val="nil"/>
              <w:tr2bl w:val="nil"/>
            </w:tcBorders>
            <w:shd w:val="clear" w:color="auto" w:fill="auto"/>
            <w:vAlign w:val="center"/>
          </w:tcPr>
          <w:p w14:paraId="12F4023D">
            <w:pPr>
              <w:widowControl/>
              <w:spacing w:line="420" w:lineRule="exact"/>
              <w:jc w:val="center"/>
              <w:rPr>
                <w:sz w:val="21"/>
                <w:szCs w:val="21"/>
                <w:lang w:eastAsia="en-US"/>
              </w:rPr>
            </w:pPr>
            <w:r>
              <w:rPr>
                <w:sz w:val="21"/>
                <w:szCs w:val="21"/>
                <w:lang w:eastAsia="en-US"/>
              </w:rPr>
              <w:t>-</w:t>
            </w:r>
            <w:r>
              <w:rPr>
                <w:rFonts w:hint="eastAsia"/>
                <w:sz w:val="21"/>
                <w:szCs w:val="21"/>
                <w:lang w:eastAsia="en-US"/>
              </w:rPr>
              <w:t>831</w:t>
            </w:r>
          </w:p>
        </w:tc>
        <w:tc>
          <w:tcPr>
            <w:tcW w:w="647" w:type="dxa"/>
            <w:vMerge w:val="restart"/>
            <w:tcBorders>
              <w:tl2br w:val="nil"/>
              <w:tr2bl w:val="nil"/>
            </w:tcBorders>
            <w:shd w:val="clear" w:color="auto" w:fill="auto"/>
            <w:vAlign w:val="center"/>
          </w:tcPr>
          <w:p w14:paraId="4150E5AB">
            <w:pPr>
              <w:widowControl/>
              <w:spacing w:line="420" w:lineRule="exact"/>
              <w:jc w:val="center"/>
              <w:rPr>
                <w:sz w:val="21"/>
                <w:szCs w:val="21"/>
                <w:lang w:eastAsia="en-US"/>
              </w:rPr>
            </w:pPr>
            <w:r>
              <w:rPr>
                <w:sz w:val="21"/>
                <w:szCs w:val="21"/>
                <w:lang w:eastAsia="en-US"/>
              </w:rPr>
              <w:t>-</w:t>
            </w:r>
            <w:r>
              <w:rPr>
                <w:rFonts w:hint="eastAsia"/>
                <w:sz w:val="21"/>
                <w:szCs w:val="21"/>
                <w:lang w:eastAsia="en-US"/>
              </w:rPr>
              <w:t>199</w:t>
            </w:r>
          </w:p>
        </w:tc>
        <w:tc>
          <w:tcPr>
            <w:tcW w:w="914" w:type="dxa"/>
            <w:tcBorders>
              <w:tl2br w:val="nil"/>
              <w:tr2bl w:val="nil"/>
            </w:tcBorders>
            <w:shd w:val="clear" w:color="auto" w:fill="auto"/>
            <w:vAlign w:val="center"/>
          </w:tcPr>
          <w:p w14:paraId="67974F9D">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D9DB359">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82" w:type="dxa"/>
            <w:tcBorders>
              <w:tl2br w:val="nil"/>
              <w:tr2bl w:val="nil"/>
            </w:tcBorders>
            <w:shd w:val="clear" w:color="auto" w:fill="auto"/>
            <w:vAlign w:val="center"/>
          </w:tcPr>
          <w:p w14:paraId="3F1BC21A">
            <w:pPr>
              <w:widowControl w:val="0"/>
              <w:spacing w:line="42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07286716">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06B836A">
            <w:pPr>
              <w:widowControl w:val="0"/>
              <w:spacing w:line="420" w:lineRule="exact"/>
              <w:jc w:val="center"/>
              <w:rPr>
                <w:sz w:val="21"/>
                <w:szCs w:val="21"/>
                <w:lang w:eastAsia="en-US"/>
              </w:rPr>
            </w:pPr>
            <w:r>
              <w:rPr>
                <w:sz w:val="21"/>
                <w:szCs w:val="21"/>
                <w:lang w:eastAsia="en-US"/>
              </w:rPr>
              <w:t>0.03</w:t>
            </w:r>
          </w:p>
        </w:tc>
        <w:tc>
          <w:tcPr>
            <w:tcW w:w="716" w:type="dxa"/>
            <w:tcBorders>
              <w:tl2br w:val="nil"/>
              <w:tr2bl w:val="nil"/>
            </w:tcBorders>
            <w:shd w:val="clear" w:color="auto" w:fill="auto"/>
            <w:vAlign w:val="center"/>
          </w:tcPr>
          <w:p w14:paraId="4CD97F4B">
            <w:pPr>
              <w:widowControl/>
              <w:spacing w:line="420" w:lineRule="exact"/>
              <w:jc w:val="center"/>
              <w:rPr>
                <w:sz w:val="21"/>
                <w:szCs w:val="21"/>
                <w:lang w:eastAsia="en-US"/>
              </w:rPr>
            </w:pPr>
            <w:r>
              <w:rPr>
                <w:sz w:val="21"/>
                <w:szCs w:val="21"/>
                <w:lang w:eastAsia="en-US"/>
              </w:rPr>
              <w:t>达标</w:t>
            </w:r>
          </w:p>
        </w:tc>
      </w:tr>
      <w:tr w14:paraId="23C7A7A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6C6FC63">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B0C67C0">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8E2962A">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8C9AC59">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3EC34A37">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12D906E">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257C6CDE">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CFAB1DE">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5E797D9A">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203D7BA6">
            <w:pPr>
              <w:widowControl/>
              <w:spacing w:line="420" w:lineRule="exact"/>
              <w:jc w:val="center"/>
              <w:rPr>
                <w:sz w:val="21"/>
                <w:szCs w:val="21"/>
                <w:lang w:eastAsia="en-US"/>
              </w:rPr>
            </w:pPr>
            <w:r>
              <w:rPr>
                <w:sz w:val="21"/>
                <w:szCs w:val="21"/>
                <w:lang w:eastAsia="en-US"/>
              </w:rPr>
              <w:t>达标</w:t>
            </w:r>
          </w:p>
        </w:tc>
      </w:tr>
      <w:tr w14:paraId="73EBEA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61CCA2D">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17487E6F">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5F094CC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0B306BE7">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46A115B1">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89C7926">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81726DD">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A117D9C">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2849A2D">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3E57EC00">
            <w:pPr>
              <w:widowControl/>
              <w:spacing w:line="420" w:lineRule="exact"/>
              <w:jc w:val="center"/>
              <w:rPr>
                <w:sz w:val="21"/>
                <w:szCs w:val="21"/>
                <w:lang w:eastAsia="en-US"/>
              </w:rPr>
            </w:pPr>
            <w:r>
              <w:rPr>
                <w:sz w:val="21"/>
                <w:szCs w:val="21"/>
                <w:lang w:eastAsia="en-US"/>
              </w:rPr>
              <w:t>达标</w:t>
            </w:r>
          </w:p>
        </w:tc>
      </w:tr>
      <w:tr w14:paraId="61DF109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0A28666">
            <w:pPr>
              <w:widowControl/>
              <w:spacing w:line="420" w:lineRule="exact"/>
              <w:jc w:val="center"/>
              <w:rPr>
                <w:sz w:val="21"/>
                <w:szCs w:val="21"/>
                <w:lang w:eastAsia="en-US"/>
              </w:rPr>
            </w:pPr>
            <w:r>
              <w:rPr>
                <w:sz w:val="21"/>
                <w:szCs w:val="21"/>
                <w:lang w:eastAsia="en-US"/>
              </w:rPr>
              <w:t>4</w:t>
            </w:r>
          </w:p>
        </w:tc>
        <w:tc>
          <w:tcPr>
            <w:tcW w:w="1145" w:type="dxa"/>
            <w:vMerge w:val="restart"/>
            <w:tcBorders>
              <w:tl2br w:val="nil"/>
              <w:tr2bl w:val="nil"/>
            </w:tcBorders>
            <w:shd w:val="clear" w:color="auto" w:fill="auto"/>
            <w:vAlign w:val="center"/>
          </w:tcPr>
          <w:p w14:paraId="51E78A47">
            <w:pPr>
              <w:widowControl/>
              <w:spacing w:line="420" w:lineRule="exact"/>
              <w:jc w:val="center"/>
              <w:rPr>
                <w:sz w:val="21"/>
                <w:szCs w:val="21"/>
                <w:lang w:eastAsia="en-US"/>
              </w:rPr>
            </w:pPr>
            <w:r>
              <w:rPr>
                <w:sz w:val="21"/>
                <w:szCs w:val="21"/>
                <w:lang w:eastAsia="en-US"/>
              </w:rPr>
              <w:t>黄莺花苑小区</w:t>
            </w:r>
          </w:p>
        </w:tc>
        <w:tc>
          <w:tcPr>
            <w:tcW w:w="737" w:type="dxa"/>
            <w:vMerge w:val="restart"/>
            <w:tcBorders>
              <w:tl2br w:val="nil"/>
              <w:tr2bl w:val="nil"/>
            </w:tcBorders>
            <w:shd w:val="clear" w:color="auto" w:fill="auto"/>
            <w:vAlign w:val="center"/>
          </w:tcPr>
          <w:p w14:paraId="0CDFA5D5">
            <w:pPr>
              <w:widowControl/>
              <w:spacing w:line="420" w:lineRule="exact"/>
              <w:jc w:val="center"/>
              <w:rPr>
                <w:sz w:val="21"/>
                <w:szCs w:val="21"/>
                <w:lang w:eastAsia="en-US"/>
              </w:rPr>
            </w:pPr>
            <w:r>
              <w:rPr>
                <w:sz w:val="21"/>
                <w:szCs w:val="21"/>
                <w:lang w:eastAsia="en-US"/>
              </w:rPr>
              <w:t>-</w:t>
            </w:r>
            <w:r>
              <w:rPr>
                <w:rFonts w:hint="eastAsia"/>
                <w:sz w:val="21"/>
                <w:szCs w:val="21"/>
                <w:lang w:eastAsia="en-US"/>
              </w:rPr>
              <w:t>857</w:t>
            </w:r>
          </w:p>
        </w:tc>
        <w:tc>
          <w:tcPr>
            <w:tcW w:w="647" w:type="dxa"/>
            <w:vMerge w:val="restart"/>
            <w:tcBorders>
              <w:tl2br w:val="nil"/>
              <w:tr2bl w:val="nil"/>
            </w:tcBorders>
            <w:shd w:val="clear" w:color="auto" w:fill="auto"/>
            <w:vAlign w:val="center"/>
          </w:tcPr>
          <w:p w14:paraId="42308008">
            <w:pPr>
              <w:widowControl/>
              <w:spacing w:line="420" w:lineRule="exact"/>
              <w:jc w:val="center"/>
              <w:rPr>
                <w:sz w:val="21"/>
                <w:szCs w:val="21"/>
                <w:lang w:eastAsia="en-US"/>
              </w:rPr>
            </w:pPr>
            <w:r>
              <w:rPr>
                <w:rFonts w:hint="eastAsia"/>
                <w:sz w:val="21"/>
                <w:szCs w:val="21"/>
                <w:lang w:eastAsia="en-US"/>
              </w:rPr>
              <w:t>-507</w:t>
            </w:r>
          </w:p>
        </w:tc>
        <w:tc>
          <w:tcPr>
            <w:tcW w:w="914" w:type="dxa"/>
            <w:tcBorders>
              <w:tl2br w:val="nil"/>
              <w:tr2bl w:val="nil"/>
            </w:tcBorders>
            <w:shd w:val="clear" w:color="auto" w:fill="auto"/>
            <w:vAlign w:val="center"/>
          </w:tcPr>
          <w:p w14:paraId="3F061A21">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9AEB0B9">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052719</w:t>
            </w:r>
          </w:p>
        </w:tc>
        <w:tc>
          <w:tcPr>
            <w:tcW w:w="1182" w:type="dxa"/>
            <w:tcBorders>
              <w:tl2br w:val="nil"/>
              <w:tr2bl w:val="nil"/>
            </w:tcBorders>
            <w:shd w:val="clear" w:color="auto" w:fill="auto"/>
            <w:vAlign w:val="center"/>
          </w:tcPr>
          <w:p w14:paraId="2AA4A7A1">
            <w:pPr>
              <w:widowControl w:val="0"/>
              <w:spacing w:line="420" w:lineRule="exact"/>
              <w:jc w:val="center"/>
              <w:rPr>
                <w:sz w:val="21"/>
                <w:szCs w:val="21"/>
                <w:lang w:eastAsia="en-US"/>
              </w:rPr>
            </w:pPr>
            <w:r>
              <w:rPr>
                <w:sz w:val="21"/>
                <w:szCs w:val="21"/>
                <w:lang w:eastAsia="en-US"/>
              </w:rPr>
              <w:t>0.0004</w:t>
            </w:r>
          </w:p>
        </w:tc>
        <w:tc>
          <w:tcPr>
            <w:tcW w:w="914" w:type="dxa"/>
            <w:tcBorders>
              <w:tl2br w:val="nil"/>
              <w:tr2bl w:val="nil"/>
            </w:tcBorders>
            <w:shd w:val="clear" w:color="auto" w:fill="auto"/>
            <w:vAlign w:val="center"/>
          </w:tcPr>
          <w:p w14:paraId="5EB19D2A">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DF5E7E9">
            <w:pPr>
              <w:widowControl w:val="0"/>
              <w:spacing w:line="420" w:lineRule="exact"/>
              <w:jc w:val="center"/>
              <w:rPr>
                <w:sz w:val="21"/>
                <w:szCs w:val="21"/>
                <w:lang w:eastAsia="en-US"/>
              </w:rPr>
            </w:pPr>
            <w:r>
              <w:rPr>
                <w:sz w:val="21"/>
                <w:szCs w:val="21"/>
                <w:lang w:eastAsia="en-US"/>
              </w:rPr>
              <w:t>0.04</w:t>
            </w:r>
          </w:p>
        </w:tc>
        <w:tc>
          <w:tcPr>
            <w:tcW w:w="716" w:type="dxa"/>
            <w:tcBorders>
              <w:tl2br w:val="nil"/>
              <w:tr2bl w:val="nil"/>
            </w:tcBorders>
            <w:shd w:val="clear" w:color="auto" w:fill="auto"/>
            <w:vAlign w:val="center"/>
          </w:tcPr>
          <w:p w14:paraId="7D8F85C2">
            <w:pPr>
              <w:widowControl/>
              <w:spacing w:line="420" w:lineRule="exact"/>
              <w:jc w:val="center"/>
              <w:rPr>
                <w:sz w:val="21"/>
                <w:szCs w:val="21"/>
                <w:lang w:eastAsia="en-US"/>
              </w:rPr>
            </w:pPr>
            <w:r>
              <w:rPr>
                <w:sz w:val="21"/>
                <w:szCs w:val="21"/>
                <w:lang w:eastAsia="en-US"/>
              </w:rPr>
              <w:t>达标</w:t>
            </w:r>
          </w:p>
        </w:tc>
      </w:tr>
      <w:tr w14:paraId="2AE894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BE825E8">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3A3AB7D8">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7F55D4F">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EB4DAF7">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672B3E9E">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A5EBE6E">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w:t>
            </w:r>
          </w:p>
        </w:tc>
        <w:tc>
          <w:tcPr>
            <w:tcW w:w="1182" w:type="dxa"/>
            <w:tcBorders>
              <w:tl2br w:val="nil"/>
              <w:tr2bl w:val="nil"/>
            </w:tcBorders>
            <w:shd w:val="clear" w:color="auto" w:fill="auto"/>
            <w:vAlign w:val="center"/>
          </w:tcPr>
          <w:p w14:paraId="5A0ADDF9">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E7D1E98">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02C72DB8">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7994FA3D">
            <w:pPr>
              <w:widowControl/>
              <w:spacing w:line="420" w:lineRule="exact"/>
              <w:jc w:val="center"/>
              <w:rPr>
                <w:sz w:val="21"/>
                <w:szCs w:val="21"/>
                <w:lang w:eastAsia="en-US"/>
              </w:rPr>
            </w:pPr>
            <w:r>
              <w:rPr>
                <w:sz w:val="21"/>
                <w:szCs w:val="21"/>
                <w:lang w:eastAsia="en-US"/>
              </w:rPr>
              <w:t>达标</w:t>
            </w:r>
          </w:p>
        </w:tc>
      </w:tr>
      <w:tr w14:paraId="14D428C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E701AC2">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44758A1B">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987AB04">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1138BFEB">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08E5796B">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F887430">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C34E96F">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3153908">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8D92EED">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0B4654A0">
            <w:pPr>
              <w:widowControl/>
              <w:spacing w:line="420" w:lineRule="exact"/>
              <w:jc w:val="center"/>
              <w:rPr>
                <w:sz w:val="21"/>
                <w:szCs w:val="21"/>
                <w:lang w:eastAsia="en-US"/>
              </w:rPr>
            </w:pPr>
            <w:r>
              <w:rPr>
                <w:sz w:val="21"/>
                <w:szCs w:val="21"/>
                <w:lang w:eastAsia="en-US"/>
              </w:rPr>
              <w:t>达标</w:t>
            </w:r>
          </w:p>
        </w:tc>
      </w:tr>
      <w:tr w14:paraId="66017AE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43DCE9DA">
            <w:pPr>
              <w:widowControl/>
              <w:spacing w:line="420" w:lineRule="exact"/>
              <w:jc w:val="center"/>
              <w:rPr>
                <w:sz w:val="21"/>
                <w:szCs w:val="21"/>
                <w:lang w:eastAsia="en-US"/>
              </w:rPr>
            </w:pPr>
            <w:r>
              <w:rPr>
                <w:sz w:val="21"/>
                <w:szCs w:val="21"/>
                <w:lang w:eastAsia="en-US"/>
              </w:rPr>
              <w:t>5</w:t>
            </w:r>
          </w:p>
        </w:tc>
        <w:tc>
          <w:tcPr>
            <w:tcW w:w="1145" w:type="dxa"/>
            <w:vMerge w:val="restart"/>
            <w:tcBorders>
              <w:tl2br w:val="nil"/>
              <w:tr2bl w:val="nil"/>
            </w:tcBorders>
            <w:shd w:val="clear" w:color="auto" w:fill="auto"/>
            <w:vAlign w:val="center"/>
          </w:tcPr>
          <w:p w14:paraId="1624EBE4">
            <w:pPr>
              <w:widowControl/>
              <w:spacing w:line="420" w:lineRule="exact"/>
              <w:jc w:val="center"/>
              <w:rPr>
                <w:sz w:val="21"/>
                <w:szCs w:val="21"/>
                <w:lang w:eastAsia="en-US"/>
              </w:rPr>
            </w:pPr>
            <w:r>
              <w:rPr>
                <w:sz w:val="21"/>
                <w:szCs w:val="21"/>
                <w:lang w:eastAsia="en-US"/>
              </w:rPr>
              <w:t>城南御花园小区</w:t>
            </w:r>
          </w:p>
        </w:tc>
        <w:tc>
          <w:tcPr>
            <w:tcW w:w="737" w:type="dxa"/>
            <w:vMerge w:val="restart"/>
            <w:tcBorders>
              <w:tl2br w:val="nil"/>
              <w:tr2bl w:val="nil"/>
            </w:tcBorders>
            <w:shd w:val="clear" w:color="auto" w:fill="auto"/>
            <w:vAlign w:val="center"/>
          </w:tcPr>
          <w:p w14:paraId="3390B3A4">
            <w:pPr>
              <w:widowControl/>
              <w:spacing w:line="420" w:lineRule="exact"/>
              <w:jc w:val="center"/>
              <w:rPr>
                <w:sz w:val="21"/>
                <w:szCs w:val="21"/>
                <w:lang w:eastAsia="en-US"/>
              </w:rPr>
            </w:pPr>
            <w:r>
              <w:rPr>
                <w:rFonts w:hint="eastAsia"/>
                <w:sz w:val="21"/>
                <w:szCs w:val="21"/>
                <w:lang w:eastAsia="en-US"/>
              </w:rPr>
              <w:t>-900</w:t>
            </w:r>
          </w:p>
        </w:tc>
        <w:tc>
          <w:tcPr>
            <w:tcW w:w="647" w:type="dxa"/>
            <w:vMerge w:val="restart"/>
            <w:tcBorders>
              <w:tl2br w:val="nil"/>
              <w:tr2bl w:val="nil"/>
            </w:tcBorders>
            <w:shd w:val="clear" w:color="auto" w:fill="auto"/>
            <w:vAlign w:val="center"/>
          </w:tcPr>
          <w:p w14:paraId="23D94F63">
            <w:pPr>
              <w:widowControl/>
              <w:spacing w:line="420" w:lineRule="exact"/>
              <w:jc w:val="center"/>
              <w:rPr>
                <w:sz w:val="21"/>
                <w:szCs w:val="21"/>
                <w:lang w:eastAsia="en-US"/>
              </w:rPr>
            </w:pPr>
            <w:r>
              <w:rPr>
                <w:sz w:val="21"/>
                <w:szCs w:val="21"/>
                <w:lang w:eastAsia="en-US"/>
              </w:rPr>
              <w:t>-</w:t>
            </w:r>
            <w:r>
              <w:rPr>
                <w:rFonts w:hint="eastAsia"/>
                <w:sz w:val="21"/>
                <w:szCs w:val="21"/>
                <w:lang w:eastAsia="en-US"/>
              </w:rPr>
              <w:t>684</w:t>
            </w:r>
          </w:p>
        </w:tc>
        <w:tc>
          <w:tcPr>
            <w:tcW w:w="914" w:type="dxa"/>
            <w:tcBorders>
              <w:tl2br w:val="nil"/>
              <w:tr2bl w:val="nil"/>
            </w:tcBorders>
            <w:shd w:val="clear" w:color="auto" w:fill="auto"/>
            <w:vAlign w:val="center"/>
          </w:tcPr>
          <w:p w14:paraId="0517F5E5">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E43F73A">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82" w:type="dxa"/>
            <w:tcBorders>
              <w:tl2br w:val="nil"/>
              <w:tr2bl w:val="nil"/>
            </w:tcBorders>
            <w:shd w:val="clear" w:color="auto" w:fill="auto"/>
            <w:vAlign w:val="center"/>
          </w:tcPr>
          <w:p w14:paraId="500DFE2D">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3C4D31ED">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4713B3D">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74F3ADA0">
            <w:pPr>
              <w:widowControl/>
              <w:spacing w:line="420" w:lineRule="exact"/>
              <w:jc w:val="center"/>
              <w:rPr>
                <w:sz w:val="21"/>
                <w:szCs w:val="21"/>
                <w:lang w:eastAsia="en-US"/>
              </w:rPr>
            </w:pPr>
            <w:r>
              <w:rPr>
                <w:sz w:val="21"/>
                <w:szCs w:val="21"/>
                <w:lang w:eastAsia="en-US"/>
              </w:rPr>
              <w:t>达标</w:t>
            </w:r>
          </w:p>
        </w:tc>
      </w:tr>
      <w:tr w14:paraId="0DD8A28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F963C47">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11806B27">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DA08787">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3882E00B">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721C6DE3">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9D22FEA">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82" w:type="dxa"/>
            <w:tcBorders>
              <w:tl2br w:val="nil"/>
              <w:tr2bl w:val="nil"/>
            </w:tcBorders>
            <w:shd w:val="clear" w:color="auto" w:fill="auto"/>
            <w:vAlign w:val="center"/>
          </w:tcPr>
          <w:p w14:paraId="65814334">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B3699A6">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100E4FC5">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2FE85B0F">
            <w:pPr>
              <w:widowControl/>
              <w:spacing w:line="420" w:lineRule="exact"/>
              <w:jc w:val="center"/>
              <w:rPr>
                <w:sz w:val="21"/>
                <w:szCs w:val="21"/>
                <w:lang w:eastAsia="en-US"/>
              </w:rPr>
            </w:pPr>
            <w:r>
              <w:rPr>
                <w:sz w:val="21"/>
                <w:szCs w:val="21"/>
                <w:lang w:eastAsia="en-US"/>
              </w:rPr>
              <w:t>达标</w:t>
            </w:r>
          </w:p>
        </w:tc>
      </w:tr>
      <w:tr w14:paraId="2652872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0A9475A">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DE457E7">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4DE44DCA">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318CCA01">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7FCD161">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D75B617">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C49396C">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66A08A9">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1F03983">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10C3D9C6">
            <w:pPr>
              <w:widowControl/>
              <w:spacing w:line="420" w:lineRule="exact"/>
              <w:jc w:val="center"/>
              <w:rPr>
                <w:sz w:val="21"/>
                <w:szCs w:val="21"/>
                <w:lang w:eastAsia="en-US"/>
              </w:rPr>
            </w:pPr>
            <w:r>
              <w:rPr>
                <w:sz w:val="21"/>
                <w:szCs w:val="21"/>
                <w:lang w:eastAsia="en-US"/>
              </w:rPr>
              <w:t>达标</w:t>
            </w:r>
          </w:p>
        </w:tc>
      </w:tr>
      <w:tr w14:paraId="15F2426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6DC1097">
            <w:pPr>
              <w:widowControl/>
              <w:spacing w:line="420" w:lineRule="exact"/>
              <w:jc w:val="center"/>
              <w:rPr>
                <w:sz w:val="21"/>
                <w:szCs w:val="21"/>
                <w:lang w:eastAsia="en-US"/>
              </w:rPr>
            </w:pPr>
            <w:r>
              <w:rPr>
                <w:sz w:val="21"/>
                <w:szCs w:val="21"/>
                <w:lang w:eastAsia="en-US"/>
              </w:rPr>
              <w:t>6</w:t>
            </w:r>
          </w:p>
        </w:tc>
        <w:tc>
          <w:tcPr>
            <w:tcW w:w="1145" w:type="dxa"/>
            <w:vMerge w:val="restart"/>
            <w:tcBorders>
              <w:tl2br w:val="nil"/>
              <w:tr2bl w:val="nil"/>
            </w:tcBorders>
            <w:shd w:val="clear" w:color="auto" w:fill="auto"/>
            <w:vAlign w:val="center"/>
          </w:tcPr>
          <w:p w14:paraId="02CD3EC1">
            <w:pPr>
              <w:widowControl/>
              <w:spacing w:line="420" w:lineRule="exact"/>
              <w:jc w:val="center"/>
              <w:rPr>
                <w:sz w:val="21"/>
                <w:szCs w:val="21"/>
                <w:lang w:eastAsia="en-US"/>
              </w:rPr>
            </w:pPr>
            <w:r>
              <w:rPr>
                <w:sz w:val="21"/>
                <w:szCs w:val="21"/>
                <w:lang w:eastAsia="en-US"/>
              </w:rPr>
              <w:t>润玉时代城小区</w:t>
            </w:r>
          </w:p>
        </w:tc>
        <w:tc>
          <w:tcPr>
            <w:tcW w:w="737" w:type="dxa"/>
            <w:vMerge w:val="restart"/>
            <w:tcBorders>
              <w:tl2br w:val="nil"/>
              <w:tr2bl w:val="nil"/>
            </w:tcBorders>
            <w:shd w:val="clear" w:color="auto" w:fill="auto"/>
            <w:vAlign w:val="center"/>
          </w:tcPr>
          <w:p w14:paraId="6AFE394F">
            <w:pPr>
              <w:widowControl/>
              <w:spacing w:line="420" w:lineRule="exact"/>
              <w:jc w:val="center"/>
              <w:rPr>
                <w:sz w:val="21"/>
                <w:szCs w:val="21"/>
                <w:lang w:eastAsia="en-US"/>
              </w:rPr>
            </w:pPr>
            <w:r>
              <w:rPr>
                <w:rFonts w:hint="eastAsia"/>
                <w:sz w:val="21"/>
                <w:szCs w:val="21"/>
                <w:lang w:eastAsia="en-US"/>
              </w:rPr>
              <w:t>-1306</w:t>
            </w:r>
          </w:p>
        </w:tc>
        <w:tc>
          <w:tcPr>
            <w:tcW w:w="647" w:type="dxa"/>
            <w:vMerge w:val="restart"/>
            <w:tcBorders>
              <w:tl2br w:val="nil"/>
              <w:tr2bl w:val="nil"/>
            </w:tcBorders>
            <w:shd w:val="clear" w:color="auto" w:fill="auto"/>
            <w:vAlign w:val="center"/>
          </w:tcPr>
          <w:p w14:paraId="3A978E3C">
            <w:pPr>
              <w:widowControl/>
              <w:spacing w:line="420" w:lineRule="exact"/>
              <w:jc w:val="center"/>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4" w:type="dxa"/>
            <w:tcBorders>
              <w:tl2br w:val="nil"/>
              <w:tr2bl w:val="nil"/>
            </w:tcBorders>
            <w:shd w:val="clear" w:color="auto" w:fill="auto"/>
            <w:vAlign w:val="center"/>
          </w:tcPr>
          <w:p w14:paraId="04500191">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AD19996">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82" w:type="dxa"/>
            <w:tcBorders>
              <w:tl2br w:val="nil"/>
              <w:tr2bl w:val="nil"/>
            </w:tcBorders>
            <w:shd w:val="clear" w:color="auto" w:fill="auto"/>
            <w:vAlign w:val="center"/>
          </w:tcPr>
          <w:p w14:paraId="1D9B6372">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63D8257E">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F2D57B8">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6D154CBF">
            <w:pPr>
              <w:widowControl/>
              <w:spacing w:line="420" w:lineRule="exact"/>
              <w:jc w:val="center"/>
              <w:rPr>
                <w:sz w:val="21"/>
                <w:szCs w:val="21"/>
                <w:lang w:eastAsia="en-US"/>
              </w:rPr>
            </w:pPr>
            <w:r>
              <w:rPr>
                <w:sz w:val="21"/>
                <w:szCs w:val="21"/>
                <w:lang w:eastAsia="en-US"/>
              </w:rPr>
              <w:t>达标</w:t>
            </w:r>
          </w:p>
        </w:tc>
      </w:tr>
      <w:tr w14:paraId="5FD9A70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93AEE33">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77BC98F">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38B737F">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462DA029">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77119E53">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39D59F5">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283A209C">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811355C">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02738E97">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68A4602E">
            <w:pPr>
              <w:widowControl/>
              <w:spacing w:line="420" w:lineRule="exact"/>
              <w:jc w:val="center"/>
              <w:rPr>
                <w:sz w:val="21"/>
                <w:szCs w:val="21"/>
                <w:lang w:eastAsia="en-US"/>
              </w:rPr>
            </w:pPr>
            <w:r>
              <w:rPr>
                <w:sz w:val="21"/>
                <w:szCs w:val="21"/>
                <w:lang w:eastAsia="en-US"/>
              </w:rPr>
              <w:t>达标</w:t>
            </w:r>
          </w:p>
        </w:tc>
      </w:tr>
      <w:tr w14:paraId="1B52D6E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9D283A7">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3FEC7893">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7C13ED77">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6F67EBB7">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79235749">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0C06233">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0B65B26">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CAEE678">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E8BEE60">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02A84551">
            <w:pPr>
              <w:widowControl/>
              <w:spacing w:line="420" w:lineRule="exact"/>
              <w:jc w:val="center"/>
              <w:rPr>
                <w:sz w:val="21"/>
                <w:szCs w:val="21"/>
                <w:lang w:eastAsia="en-US"/>
              </w:rPr>
            </w:pPr>
            <w:r>
              <w:rPr>
                <w:sz w:val="21"/>
                <w:szCs w:val="21"/>
                <w:lang w:eastAsia="en-US"/>
              </w:rPr>
              <w:t>达标</w:t>
            </w:r>
          </w:p>
        </w:tc>
      </w:tr>
      <w:tr w14:paraId="5B5CA91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770FA7C5">
            <w:pPr>
              <w:widowControl/>
              <w:spacing w:line="420" w:lineRule="exact"/>
              <w:jc w:val="center"/>
              <w:rPr>
                <w:sz w:val="21"/>
                <w:szCs w:val="21"/>
                <w:lang w:eastAsia="en-US"/>
              </w:rPr>
            </w:pPr>
            <w:r>
              <w:rPr>
                <w:sz w:val="21"/>
                <w:szCs w:val="21"/>
                <w:lang w:eastAsia="en-US"/>
              </w:rPr>
              <w:t>7</w:t>
            </w:r>
          </w:p>
        </w:tc>
        <w:tc>
          <w:tcPr>
            <w:tcW w:w="1145" w:type="dxa"/>
            <w:vMerge w:val="restart"/>
            <w:tcBorders>
              <w:tl2br w:val="nil"/>
              <w:tr2bl w:val="nil"/>
            </w:tcBorders>
            <w:shd w:val="clear" w:color="auto" w:fill="auto"/>
            <w:vAlign w:val="center"/>
          </w:tcPr>
          <w:p w14:paraId="0D566CF7">
            <w:pPr>
              <w:widowControl/>
              <w:spacing w:line="420" w:lineRule="exact"/>
              <w:jc w:val="center"/>
              <w:rPr>
                <w:sz w:val="21"/>
                <w:szCs w:val="21"/>
                <w:lang w:eastAsia="en-US"/>
              </w:rPr>
            </w:pPr>
            <w:r>
              <w:rPr>
                <w:sz w:val="21"/>
                <w:szCs w:val="21"/>
                <w:lang w:eastAsia="en-US"/>
              </w:rPr>
              <w:t>山塘学校</w:t>
            </w:r>
          </w:p>
        </w:tc>
        <w:tc>
          <w:tcPr>
            <w:tcW w:w="737" w:type="dxa"/>
            <w:vMerge w:val="restart"/>
            <w:tcBorders>
              <w:tl2br w:val="nil"/>
              <w:tr2bl w:val="nil"/>
            </w:tcBorders>
            <w:shd w:val="clear" w:color="auto" w:fill="auto"/>
            <w:vAlign w:val="center"/>
          </w:tcPr>
          <w:p w14:paraId="564443DF">
            <w:pPr>
              <w:widowControl/>
              <w:spacing w:line="420" w:lineRule="exact"/>
              <w:jc w:val="center"/>
              <w:rPr>
                <w:sz w:val="21"/>
                <w:szCs w:val="21"/>
                <w:lang w:eastAsia="en-US"/>
              </w:rPr>
            </w:pPr>
            <w:r>
              <w:rPr>
                <w:sz w:val="21"/>
                <w:szCs w:val="21"/>
                <w:lang w:eastAsia="en-US"/>
              </w:rPr>
              <w:t>-</w:t>
            </w:r>
            <w:r>
              <w:rPr>
                <w:rFonts w:hint="eastAsia"/>
                <w:sz w:val="21"/>
                <w:szCs w:val="21"/>
                <w:lang w:eastAsia="en-US"/>
              </w:rPr>
              <w:t>1230</w:t>
            </w:r>
          </w:p>
        </w:tc>
        <w:tc>
          <w:tcPr>
            <w:tcW w:w="647" w:type="dxa"/>
            <w:vMerge w:val="restart"/>
            <w:tcBorders>
              <w:tl2br w:val="nil"/>
              <w:tr2bl w:val="nil"/>
            </w:tcBorders>
            <w:shd w:val="clear" w:color="auto" w:fill="auto"/>
            <w:vAlign w:val="center"/>
          </w:tcPr>
          <w:p w14:paraId="574C44EA">
            <w:pPr>
              <w:widowControl/>
              <w:spacing w:line="420" w:lineRule="exact"/>
              <w:jc w:val="center"/>
              <w:rPr>
                <w:sz w:val="21"/>
                <w:szCs w:val="21"/>
                <w:lang w:eastAsia="en-US"/>
              </w:rPr>
            </w:pPr>
            <w:r>
              <w:rPr>
                <w:sz w:val="21"/>
                <w:szCs w:val="21"/>
                <w:lang w:eastAsia="en-US"/>
              </w:rPr>
              <w:t>-</w:t>
            </w:r>
            <w:r>
              <w:rPr>
                <w:rFonts w:hint="eastAsia"/>
                <w:sz w:val="21"/>
                <w:szCs w:val="21"/>
                <w:lang w:eastAsia="en-US"/>
              </w:rPr>
              <w:t>525</w:t>
            </w:r>
          </w:p>
        </w:tc>
        <w:tc>
          <w:tcPr>
            <w:tcW w:w="914" w:type="dxa"/>
            <w:tcBorders>
              <w:tl2br w:val="nil"/>
              <w:tr2bl w:val="nil"/>
            </w:tcBorders>
            <w:shd w:val="clear" w:color="auto" w:fill="auto"/>
            <w:vAlign w:val="center"/>
          </w:tcPr>
          <w:p w14:paraId="77AF299F">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7C20766">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82" w:type="dxa"/>
            <w:tcBorders>
              <w:tl2br w:val="nil"/>
              <w:tr2bl w:val="nil"/>
            </w:tcBorders>
            <w:shd w:val="clear" w:color="auto" w:fill="auto"/>
            <w:vAlign w:val="center"/>
          </w:tcPr>
          <w:p w14:paraId="6C3D2353">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7B1D97D6">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70D13BA6">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34F8E1FE">
            <w:pPr>
              <w:widowControl/>
              <w:spacing w:line="420" w:lineRule="exact"/>
              <w:jc w:val="center"/>
              <w:rPr>
                <w:sz w:val="21"/>
                <w:szCs w:val="21"/>
                <w:lang w:eastAsia="en-US"/>
              </w:rPr>
            </w:pPr>
            <w:r>
              <w:rPr>
                <w:sz w:val="21"/>
                <w:szCs w:val="21"/>
                <w:lang w:eastAsia="en-US"/>
              </w:rPr>
              <w:t>达标</w:t>
            </w:r>
          </w:p>
        </w:tc>
      </w:tr>
      <w:tr w14:paraId="0B7CE00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A7CEA6E">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ABCE1D3">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23358A9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266487E">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5B302C72">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ABD3648">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20702</w:t>
            </w:r>
          </w:p>
        </w:tc>
        <w:tc>
          <w:tcPr>
            <w:tcW w:w="1182" w:type="dxa"/>
            <w:tcBorders>
              <w:tl2br w:val="nil"/>
              <w:tr2bl w:val="nil"/>
            </w:tcBorders>
            <w:shd w:val="clear" w:color="auto" w:fill="auto"/>
            <w:vAlign w:val="center"/>
          </w:tcPr>
          <w:p w14:paraId="4FD44EC9">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AA22011">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5FCBEFB">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7C873944">
            <w:pPr>
              <w:widowControl/>
              <w:spacing w:line="420" w:lineRule="exact"/>
              <w:jc w:val="center"/>
              <w:rPr>
                <w:sz w:val="21"/>
                <w:szCs w:val="21"/>
                <w:lang w:eastAsia="en-US"/>
              </w:rPr>
            </w:pPr>
            <w:r>
              <w:rPr>
                <w:sz w:val="21"/>
                <w:szCs w:val="21"/>
                <w:lang w:eastAsia="en-US"/>
              </w:rPr>
              <w:t>达标</w:t>
            </w:r>
          </w:p>
        </w:tc>
      </w:tr>
      <w:tr w14:paraId="5B34BEF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E378314">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97A87D8">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EC9862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959899F">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6AA7E677">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5E06A96">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01020FC">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BB10658">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FD781D0">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111BC736">
            <w:pPr>
              <w:widowControl/>
              <w:spacing w:line="420" w:lineRule="exact"/>
              <w:jc w:val="center"/>
              <w:rPr>
                <w:sz w:val="21"/>
                <w:szCs w:val="21"/>
                <w:lang w:eastAsia="en-US"/>
              </w:rPr>
            </w:pPr>
            <w:r>
              <w:rPr>
                <w:sz w:val="21"/>
                <w:szCs w:val="21"/>
                <w:lang w:eastAsia="en-US"/>
              </w:rPr>
              <w:t>达标</w:t>
            </w:r>
          </w:p>
        </w:tc>
      </w:tr>
      <w:tr w14:paraId="04F01BD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1D51A2B">
            <w:pPr>
              <w:widowControl/>
              <w:spacing w:line="420" w:lineRule="exact"/>
              <w:jc w:val="center"/>
              <w:rPr>
                <w:sz w:val="21"/>
                <w:szCs w:val="21"/>
                <w:lang w:eastAsia="en-US"/>
              </w:rPr>
            </w:pPr>
            <w:r>
              <w:rPr>
                <w:sz w:val="21"/>
                <w:szCs w:val="21"/>
                <w:lang w:eastAsia="en-US"/>
              </w:rPr>
              <w:t>8</w:t>
            </w:r>
          </w:p>
        </w:tc>
        <w:tc>
          <w:tcPr>
            <w:tcW w:w="1145" w:type="dxa"/>
            <w:vMerge w:val="restart"/>
            <w:tcBorders>
              <w:tl2br w:val="nil"/>
              <w:tr2bl w:val="nil"/>
            </w:tcBorders>
            <w:shd w:val="clear" w:color="auto" w:fill="auto"/>
            <w:vAlign w:val="center"/>
          </w:tcPr>
          <w:p w14:paraId="5AF52F89">
            <w:pPr>
              <w:widowControl/>
              <w:spacing w:line="420" w:lineRule="exact"/>
              <w:jc w:val="center"/>
              <w:rPr>
                <w:sz w:val="21"/>
                <w:szCs w:val="21"/>
                <w:lang w:eastAsia="en-US"/>
              </w:rPr>
            </w:pPr>
            <w:r>
              <w:rPr>
                <w:sz w:val="21"/>
                <w:szCs w:val="21"/>
                <w:lang w:eastAsia="en-US"/>
              </w:rPr>
              <w:t>和园小区</w:t>
            </w:r>
          </w:p>
        </w:tc>
        <w:tc>
          <w:tcPr>
            <w:tcW w:w="737" w:type="dxa"/>
            <w:vMerge w:val="restart"/>
            <w:tcBorders>
              <w:tl2br w:val="nil"/>
              <w:tr2bl w:val="nil"/>
            </w:tcBorders>
            <w:shd w:val="clear" w:color="auto" w:fill="auto"/>
            <w:vAlign w:val="center"/>
          </w:tcPr>
          <w:p w14:paraId="158FC11C">
            <w:pPr>
              <w:widowControl/>
              <w:spacing w:line="420" w:lineRule="exact"/>
              <w:jc w:val="center"/>
              <w:rPr>
                <w:sz w:val="21"/>
                <w:szCs w:val="21"/>
                <w:lang w:eastAsia="en-US"/>
              </w:rPr>
            </w:pPr>
            <w:r>
              <w:rPr>
                <w:rFonts w:hint="eastAsia"/>
                <w:sz w:val="21"/>
                <w:szCs w:val="21"/>
                <w:lang w:eastAsia="en-US"/>
              </w:rPr>
              <w:t>-1099</w:t>
            </w:r>
          </w:p>
        </w:tc>
        <w:tc>
          <w:tcPr>
            <w:tcW w:w="647" w:type="dxa"/>
            <w:vMerge w:val="restart"/>
            <w:tcBorders>
              <w:tl2br w:val="nil"/>
              <w:tr2bl w:val="nil"/>
            </w:tcBorders>
            <w:shd w:val="clear" w:color="auto" w:fill="auto"/>
            <w:vAlign w:val="center"/>
          </w:tcPr>
          <w:p w14:paraId="2D9241CA">
            <w:pPr>
              <w:widowControl/>
              <w:spacing w:line="420" w:lineRule="exact"/>
              <w:jc w:val="center"/>
              <w:rPr>
                <w:sz w:val="21"/>
                <w:szCs w:val="21"/>
                <w:lang w:eastAsia="en-US"/>
              </w:rPr>
            </w:pPr>
            <w:r>
              <w:rPr>
                <w:rFonts w:hint="eastAsia"/>
                <w:sz w:val="21"/>
                <w:szCs w:val="21"/>
                <w:lang w:eastAsia="en-US"/>
              </w:rPr>
              <w:t>131</w:t>
            </w:r>
          </w:p>
        </w:tc>
        <w:tc>
          <w:tcPr>
            <w:tcW w:w="914" w:type="dxa"/>
            <w:tcBorders>
              <w:tl2br w:val="nil"/>
              <w:tr2bl w:val="nil"/>
            </w:tcBorders>
            <w:shd w:val="clear" w:color="auto" w:fill="auto"/>
            <w:vAlign w:val="center"/>
          </w:tcPr>
          <w:p w14:paraId="332F6C09">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8AB5462">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82" w:type="dxa"/>
            <w:tcBorders>
              <w:tl2br w:val="nil"/>
              <w:tr2bl w:val="nil"/>
            </w:tcBorders>
            <w:shd w:val="clear" w:color="auto" w:fill="auto"/>
            <w:vAlign w:val="center"/>
          </w:tcPr>
          <w:p w14:paraId="17E26AAA">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46501B91">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4634A565">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3797F329">
            <w:pPr>
              <w:widowControl/>
              <w:spacing w:line="420" w:lineRule="exact"/>
              <w:jc w:val="center"/>
              <w:rPr>
                <w:sz w:val="21"/>
                <w:szCs w:val="21"/>
                <w:lang w:eastAsia="en-US"/>
              </w:rPr>
            </w:pPr>
            <w:r>
              <w:rPr>
                <w:sz w:val="21"/>
                <w:szCs w:val="21"/>
                <w:lang w:eastAsia="en-US"/>
              </w:rPr>
              <w:t>达标</w:t>
            </w:r>
          </w:p>
        </w:tc>
      </w:tr>
      <w:tr w14:paraId="0DF2E96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044014E">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32D2F2DC">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40971B51">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74AFA319">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39EDBC8">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033C726">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82" w:type="dxa"/>
            <w:tcBorders>
              <w:tl2br w:val="nil"/>
              <w:tr2bl w:val="nil"/>
            </w:tcBorders>
            <w:shd w:val="clear" w:color="auto" w:fill="auto"/>
            <w:vAlign w:val="center"/>
          </w:tcPr>
          <w:p w14:paraId="743CE614">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EF57B57">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535EABD">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46EA6ED5">
            <w:pPr>
              <w:widowControl/>
              <w:spacing w:line="420" w:lineRule="exact"/>
              <w:jc w:val="center"/>
              <w:rPr>
                <w:sz w:val="21"/>
                <w:szCs w:val="21"/>
                <w:lang w:eastAsia="en-US"/>
              </w:rPr>
            </w:pPr>
            <w:r>
              <w:rPr>
                <w:sz w:val="21"/>
                <w:szCs w:val="21"/>
                <w:lang w:eastAsia="en-US"/>
              </w:rPr>
              <w:t>达标</w:t>
            </w:r>
          </w:p>
        </w:tc>
      </w:tr>
      <w:tr w14:paraId="2274BB2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ED0D3A2">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32D6F387">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D878658">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1391588D">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7D89384F">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68CF161">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2643A96">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82B57E2">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F9286FA">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65E4C89C">
            <w:pPr>
              <w:widowControl/>
              <w:spacing w:line="420" w:lineRule="exact"/>
              <w:jc w:val="center"/>
              <w:rPr>
                <w:sz w:val="21"/>
                <w:szCs w:val="21"/>
                <w:lang w:eastAsia="en-US"/>
              </w:rPr>
            </w:pPr>
            <w:r>
              <w:rPr>
                <w:sz w:val="21"/>
                <w:szCs w:val="21"/>
                <w:lang w:eastAsia="en-US"/>
              </w:rPr>
              <w:t>达标</w:t>
            </w:r>
          </w:p>
        </w:tc>
      </w:tr>
      <w:tr w14:paraId="3ABB12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7DC86194">
            <w:pPr>
              <w:widowControl/>
              <w:spacing w:line="420" w:lineRule="exact"/>
              <w:jc w:val="center"/>
              <w:rPr>
                <w:sz w:val="21"/>
                <w:szCs w:val="21"/>
                <w:lang w:eastAsia="en-US"/>
              </w:rPr>
            </w:pPr>
            <w:r>
              <w:rPr>
                <w:sz w:val="21"/>
                <w:szCs w:val="21"/>
                <w:lang w:eastAsia="en-US"/>
              </w:rPr>
              <w:t>9</w:t>
            </w:r>
          </w:p>
        </w:tc>
        <w:tc>
          <w:tcPr>
            <w:tcW w:w="1145" w:type="dxa"/>
            <w:vMerge w:val="restart"/>
            <w:tcBorders>
              <w:tl2br w:val="nil"/>
              <w:tr2bl w:val="nil"/>
            </w:tcBorders>
            <w:shd w:val="clear" w:color="auto" w:fill="auto"/>
            <w:vAlign w:val="center"/>
          </w:tcPr>
          <w:p w14:paraId="3D6FF311">
            <w:pPr>
              <w:widowControl/>
              <w:spacing w:line="420" w:lineRule="exact"/>
              <w:jc w:val="center"/>
              <w:rPr>
                <w:sz w:val="21"/>
                <w:szCs w:val="21"/>
                <w:lang w:eastAsia="en-US"/>
              </w:rPr>
            </w:pPr>
            <w:r>
              <w:rPr>
                <w:sz w:val="21"/>
                <w:szCs w:val="21"/>
                <w:lang w:eastAsia="en-US"/>
              </w:rPr>
              <w:t>子敬学校</w:t>
            </w:r>
          </w:p>
        </w:tc>
        <w:tc>
          <w:tcPr>
            <w:tcW w:w="737" w:type="dxa"/>
            <w:vMerge w:val="restart"/>
            <w:tcBorders>
              <w:tl2br w:val="nil"/>
              <w:tr2bl w:val="nil"/>
            </w:tcBorders>
            <w:shd w:val="clear" w:color="auto" w:fill="auto"/>
            <w:vAlign w:val="center"/>
          </w:tcPr>
          <w:p w14:paraId="2458F665">
            <w:pPr>
              <w:widowControl/>
              <w:spacing w:line="420" w:lineRule="exact"/>
              <w:jc w:val="center"/>
              <w:rPr>
                <w:sz w:val="21"/>
                <w:szCs w:val="21"/>
                <w:lang w:eastAsia="en-US"/>
              </w:rPr>
            </w:pPr>
            <w:r>
              <w:rPr>
                <w:rFonts w:hint="eastAsia"/>
                <w:sz w:val="21"/>
                <w:szCs w:val="21"/>
                <w:lang w:eastAsia="en-US"/>
              </w:rPr>
              <w:t>-2089</w:t>
            </w:r>
          </w:p>
        </w:tc>
        <w:tc>
          <w:tcPr>
            <w:tcW w:w="647" w:type="dxa"/>
            <w:vMerge w:val="restart"/>
            <w:tcBorders>
              <w:tl2br w:val="nil"/>
              <w:tr2bl w:val="nil"/>
            </w:tcBorders>
            <w:shd w:val="clear" w:color="auto" w:fill="auto"/>
            <w:vAlign w:val="center"/>
          </w:tcPr>
          <w:p w14:paraId="0174A32B">
            <w:pPr>
              <w:widowControl/>
              <w:spacing w:line="420" w:lineRule="exact"/>
              <w:jc w:val="center"/>
              <w:rPr>
                <w:sz w:val="21"/>
                <w:szCs w:val="21"/>
                <w:lang w:eastAsia="en-US"/>
              </w:rPr>
            </w:pPr>
            <w:r>
              <w:rPr>
                <w:rFonts w:hint="eastAsia"/>
                <w:sz w:val="21"/>
                <w:szCs w:val="21"/>
                <w:lang w:eastAsia="en-US"/>
              </w:rPr>
              <w:t>1019</w:t>
            </w:r>
          </w:p>
        </w:tc>
        <w:tc>
          <w:tcPr>
            <w:tcW w:w="914" w:type="dxa"/>
            <w:tcBorders>
              <w:tl2br w:val="nil"/>
              <w:tr2bl w:val="nil"/>
            </w:tcBorders>
            <w:shd w:val="clear" w:color="auto" w:fill="auto"/>
            <w:vAlign w:val="center"/>
          </w:tcPr>
          <w:p w14:paraId="00D8FCD5">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38F6555">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093021</w:t>
            </w:r>
          </w:p>
        </w:tc>
        <w:tc>
          <w:tcPr>
            <w:tcW w:w="1182" w:type="dxa"/>
            <w:tcBorders>
              <w:tl2br w:val="nil"/>
              <w:tr2bl w:val="nil"/>
            </w:tcBorders>
            <w:shd w:val="clear" w:color="auto" w:fill="auto"/>
            <w:vAlign w:val="center"/>
          </w:tcPr>
          <w:p w14:paraId="3375EB8C">
            <w:pPr>
              <w:widowControl w:val="0"/>
              <w:spacing w:line="420" w:lineRule="exact"/>
              <w:jc w:val="center"/>
              <w:rPr>
                <w:sz w:val="21"/>
                <w:szCs w:val="21"/>
                <w:lang w:eastAsia="en-US"/>
              </w:rPr>
            </w:pPr>
            <w:r>
              <w:rPr>
                <w:sz w:val="21"/>
                <w:szCs w:val="21"/>
                <w:lang w:eastAsia="en-US"/>
              </w:rPr>
              <w:t>0.0008</w:t>
            </w:r>
          </w:p>
        </w:tc>
        <w:tc>
          <w:tcPr>
            <w:tcW w:w="914" w:type="dxa"/>
            <w:tcBorders>
              <w:tl2br w:val="nil"/>
              <w:tr2bl w:val="nil"/>
            </w:tcBorders>
            <w:shd w:val="clear" w:color="auto" w:fill="auto"/>
            <w:vAlign w:val="center"/>
          </w:tcPr>
          <w:p w14:paraId="5C1C021B">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615F2D60">
            <w:pPr>
              <w:widowControl w:val="0"/>
              <w:spacing w:line="420" w:lineRule="exact"/>
              <w:jc w:val="center"/>
              <w:rPr>
                <w:sz w:val="21"/>
                <w:szCs w:val="21"/>
                <w:lang w:eastAsia="en-US"/>
              </w:rPr>
            </w:pPr>
            <w:r>
              <w:rPr>
                <w:sz w:val="21"/>
                <w:szCs w:val="21"/>
                <w:lang w:eastAsia="en-US"/>
              </w:rPr>
              <w:t>0.09</w:t>
            </w:r>
          </w:p>
        </w:tc>
        <w:tc>
          <w:tcPr>
            <w:tcW w:w="716" w:type="dxa"/>
            <w:tcBorders>
              <w:tl2br w:val="nil"/>
              <w:tr2bl w:val="nil"/>
            </w:tcBorders>
            <w:shd w:val="clear" w:color="auto" w:fill="auto"/>
            <w:vAlign w:val="center"/>
          </w:tcPr>
          <w:p w14:paraId="01A49DF1">
            <w:pPr>
              <w:widowControl/>
              <w:spacing w:line="420" w:lineRule="exact"/>
              <w:jc w:val="center"/>
              <w:rPr>
                <w:sz w:val="21"/>
                <w:szCs w:val="21"/>
                <w:lang w:eastAsia="en-US"/>
              </w:rPr>
            </w:pPr>
            <w:r>
              <w:rPr>
                <w:sz w:val="21"/>
                <w:szCs w:val="21"/>
                <w:lang w:eastAsia="en-US"/>
              </w:rPr>
              <w:t>达标</w:t>
            </w:r>
          </w:p>
        </w:tc>
      </w:tr>
      <w:tr w14:paraId="3D3740C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F08E546">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5701F9C">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4AB1608E">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0DFF25A7">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66C9C671">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8497BDC">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0204</w:t>
            </w:r>
          </w:p>
        </w:tc>
        <w:tc>
          <w:tcPr>
            <w:tcW w:w="1182" w:type="dxa"/>
            <w:tcBorders>
              <w:tl2br w:val="nil"/>
              <w:tr2bl w:val="nil"/>
            </w:tcBorders>
            <w:shd w:val="clear" w:color="auto" w:fill="auto"/>
            <w:vAlign w:val="center"/>
          </w:tcPr>
          <w:p w14:paraId="091641C5">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393E8A5">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20D2147">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4692EE8B">
            <w:pPr>
              <w:widowControl/>
              <w:spacing w:line="420" w:lineRule="exact"/>
              <w:jc w:val="center"/>
              <w:rPr>
                <w:sz w:val="21"/>
                <w:szCs w:val="21"/>
                <w:lang w:eastAsia="en-US"/>
              </w:rPr>
            </w:pPr>
            <w:r>
              <w:rPr>
                <w:sz w:val="21"/>
                <w:szCs w:val="21"/>
                <w:lang w:eastAsia="en-US"/>
              </w:rPr>
              <w:t>达标</w:t>
            </w:r>
          </w:p>
        </w:tc>
      </w:tr>
      <w:tr w14:paraId="0CD2DB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5F7A3083">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16423800">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2B63D808">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194AB59B">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AFE2201">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2EE0976">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5CC51DB">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98DEB8A">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4AF3935">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52ACB550">
            <w:pPr>
              <w:widowControl/>
              <w:spacing w:line="420" w:lineRule="exact"/>
              <w:jc w:val="center"/>
              <w:rPr>
                <w:sz w:val="21"/>
                <w:szCs w:val="21"/>
                <w:lang w:eastAsia="en-US"/>
              </w:rPr>
            </w:pPr>
            <w:r>
              <w:rPr>
                <w:sz w:val="21"/>
                <w:szCs w:val="21"/>
                <w:lang w:eastAsia="en-US"/>
              </w:rPr>
              <w:t>达标</w:t>
            </w:r>
          </w:p>
        </w:tc>
      </w:tr>
      <w:tr w14:paraId="689D433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C3E142A">
            <w:pPr>
              <w:widowControl/>
              <w:spacing w:line="420" w:lineRule="exact"/>
              <w:jc w:val="center"/>
              <w:rPr>
                <w:sz w:val="21"/>
                <w:szCs w:val="21"/>
                <w:lang w:eastAsia="en-US"/>
              </w:rPr>
            </w:pPr>
            <w:r>
              <w:rPr>
                <w:sz w:val="21"/>
                <w:szCs w:val="21"/>
                <w:lang w:eastAsia="en-US"/>
              </w:rPr>
              <w:t>10</w:t>
            </w:r>
          </w:p>
        </w:tc>
        <w:tc>
          <w:tcPr>
            <w:tcW w:w="1145" w:type="dxa"/>
            <w:vMerge w:val="restart"/>
            <w:tcBorders>
              <w:tl2br w:val="nil"/>
              <w:tr2bl w:val="nil"/>
            </w:tcBorders>
            <w:shd w:val="clear" w:color="auto" w:fill="auto"/>
            <w:vAlign w:val="center"/>
          </w:tcPr>
          <w:p w14:paraId="7F440465">
            <w:pPr>
              <w:widowControl/>
              <w:spacing w:line="420" w:lineRule="exact"/>
              <w:jc w:val="center"/>
              <w:rPr>
                <w:sz w:val="21"/>
                <w:szCs w:val="21"/>
                <w:lang w:eastAsia="en-US"/>
              </w:rPr>
            </w:pPr>
            <w:r>
              <w:rPr>
                <w:sz w:val="21"/>
                <w:szCs w:val="21"/>
                <w:lang w:eastAsia="en-US"/>
              </w:rPr>
              <w:t>芙蓉廉租小区</w:t>
            </w:r>
          </w:p>
        </w:tc>
        <w:tc>
          <w:tcPr>
            <w:tcW w:w="737" w:type="dxa"/>
            <w:vMerge w:val="restart"/>
            <w:tcBorders>
              <w:tl2br w:val="nil"/>
              <w:tr2bl w:val="nil"/>
            </w:tcBorders>
            <w:shd w:val="clear" w:color="auto" w:fill="auto"/>
            <w:vAlign w:val="center"/>
          </w:tcPr>
          <w:p w14:paraId="115835B0">
            <w:pPr>
              <w:widowControl/>
              <w:spacing w:line="420" w:lineRule="exact"/>
              <w:jc w:val="center"/>
              <w:rPr>
                <w:sz w:val="21"/>
                <w:szCs w:val="21"/>
                <w:lang w:eastAsia="en-US"/>
              </w:rPr>
            </w:pPr>
            <w:r>
              <w:rPr>
                <w:rFonts w:hint="eastAsia"/>
                <w:sz w:val="21"/>
                <w:szCs w:val="21"/>
                <w:lang w:eastAsia="en-US"/>
              </w:rPr>
              <w:t>1013</w:t>
            </w:r>
          </w:p>
        </w:tc>
        <w:tc>
          <w:tcPr>
            <w:tcW w:w="647" w:type="dxa"/>
            <w:vMerge w:val="restart"/>
            <w:tcBorders>
              <w:tl2br w:val="nil"/>
              <w:tr2bl w:val="nil"/>
            </w:tcBorders>
            <w:shd w:val="clear" w:color="auto" w:fill="auto"/>
            <w:vAlign w:val="center"/>
          </w:tcPr>
          <w:p w14:paraId="2E5B8918">
            <w:pPr>
              <w:widowControl/>
              <w:spacing w:line="420" w:lineRule="exact"/>
              <w:jc w:val="center"/>
              <w:rPr>
                <w:sz w:val="21"/>
                <w:szCs w:val="21"/>
                <w:lang w:eastAsia="en-US"/>
              </w:rPr>
            </w:pPr>
            <w:r>
              <w:rPr>
                <w:rFonts w:hint="eastAsia"/>
                <w:sz w:val="21"/>
                <w:szCs w:val="21"/>
                <w:lang w:eastAsia="en-US"/>
              </w:rPr>
              <w:t>91</w:t>
            </w:r>
          </w:p>
        </w:tc>
        <w:tc>
          <w:tcPr>
            <w:tcW w:w="914" w:type="dxa"/>
            <w:tcBorders>
              <w:tl2br w:val="nil"/>
              <w:tr2bl w:val="nil"/>
            </w:tcBorders>
            <w:shd w:val="clear" w:color="auto" w:fill="auto"/>
            <w:vAlign w:val="center"/>
          </w:tcPr>
          <w:p w14:paraId="2C6C964F">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881317B">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051707</w:t>
            </w:r>
          </w:p>
        </w:tc>
        <w:tc>
          <w:tcPr>
            <w:tcW w:w="1182" w:type="dxa"/>
            <w:tcBorders>
              <w:tl2br w:val="nil"/>
              <w:tr2bl w:val="nil"/>
            </w:tcBorders>
            <w:shd w:val="clear" w:color="auto" w:fill="auto"/>
            <w:vAlign w:val="center"/>
          </w:tcPr>
          <w:p w14:paraId="54E75C01">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2EF8EADC">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4F73B25C">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7D31A881">
            <w:pPr>
              <w:widowControl/>
              <w:spacing w:line="420" w:lineRule="exact"/>
              <w:jc w:val="center"/>
              <w:rPr>
                <w:sz w:val="21"/>
                <w:szCs w:val="21"/>
                <w:lang w:eastAsia="en-US"/>
              </w:rPr>
            </w:pPr>
            <w:r>
              <w:rPr>
                <w:sz w:val="21"/>
                <w:szCs w:val="21"/>
                <w:lang w:eastAsia="en-US"/>
              </w:rPr>
              <w:t>达标</w:t>
            </w:r>
          </w:p>
        </w:tc>
      </w:tr>
      <w:tr w14:paraId="0D9EED0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A2392B7">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6C8B0E3C">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679CF54">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560A2A8">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520E46F">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A2B17DC">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82" w:type="dxa"/>
            <w:tcBorders>
              <w:tl2br w:val="nil"/>
              <w:tr2bl w:val="nil"/>
            </w:tcBorders>
            <w:shd w:val="clear" w:color="auto" w:fill="auto"/>
            <w:vAlign w:val="center"/>
          </w:tcPr>
          <w:p w14:paraId="3B941DCD">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38CCE25">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6318D41">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491CBB52">
            <w:pPr>
              <w:widowControl/>
              <w:spacing w:line="420" w:lineRule="exact"/>
              <w:jc w:val="center"/>
              <w:rPr>
                <w:sz w:val="21"/>
                <w:szCs w:val="21"/>
                <w:lang w:eastAsia="en-US"/>
              </w:rPr>
            </w:pPr>
            <w:r>
              <w:rPr>
                <w:sz w:val="21"/>
                <w:szCs w:val="21"/>
                <w:lang w:eastAsia="en-US"/>
              </w:rPr>
              <w:t>达标</w:t>
            </w:r>
          </w:p>
        </w:tc>
      </w:tr>
      <w:tr w14:paraId="75A92B3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1A37036F">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683269B4">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5CBA9AA2">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31C7E446">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74438FE">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EFA8D59">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C284EC4">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F472722">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B7CB47A">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4D3FF00D">
            <w:pPr>
              <w:widowControl/>
              <w:spacing w:line="420" w:lineRule="exact"/>
              <w:jc w:val="center"/>
              <w:rPr>
                <w:sz w:val="21"/>
                <w:szCs w:val="21"/>
                <w:lang w:eastAsia="en-US"/>
              </w:rPr>
            </w:pPr>
            <w:r>
              <w:rPr>
                <w:sz w:val="21"/>
                <w:szCs w:val="21"/>
                <w:lang w:eastAsia="en-US"/>
              </w:rPr>
              <w:t>达标</w:t>
            </w:r>
          </w:p>
        </w:tc>
      </w:tr>
      <w:tr w14:paraId="091093D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4BD66BE">
            <w:pPr>
              <w:widowControl/>
              <w:spacing w:line="420" w:lineRule="exact"/>
              <w:jc w:val="center"/>
              <w:rPr>
                <w:sz w:val="21"/>
                <w:szCs w:val="21"/>
                <w:lang w:eastAsia="en-US"/>
              </w:rPr>
            </w:pPr>
            <w:r>
              <w:rPr>
                <w:sz w:val="21"/>
                <w:szCs w:val="21"/>
                <w:lang w:eastAsia="en-US"/>
              </w:rPr>
              <w:t>11</w:t>
            </w:r>
          </w:p>
        </w:tc>
        <w:tc>
          <w:tcPr>
            <w:tcW w:w="1145" w:type="dxa"/>
            <w:vMerge w:val="restart"/>
            <w:tcBorders>
              <w:tl2br w:val="nil"/>
              <w:tr2bl w:val="nil"/>
            </w:tcBorders>
            <w:shd w:val="clear" w:color="auto" w:fill="auto"/>
            <w:vAlign w:val="center"/>
          </w:tcPr>
          <w:p w14:paraId="1D030A6A">
            <w:pPr>
              <w:widowControl/>
              <w:spacing w:line="420" w:lineRule="exact"/>
              <w:jc w:val="center"/>
              <w:rPr>
                <w:sz w:val="21"/>
                <w:szCs w:val="21"/>
                <w:lang w:eastAsia="en-US"/>
              </w:rPr>
            </w:pPr>
            <w:r>
              <w:rPr>
                <w:sz w:val="21"/>
                <w:szCs w:val="21"/>
                <w:lang w:eastAsia="en-US"/>
              </w:rPr>
              <w:t>易俗河镇第二中学</w:t>
            </w:r>
          </w:p>
        </w:tc>
        <w:tc>
          <w:tcPr>
            <w:tcW w:w="737" w:type="dxa"/>
            <w:vMerge w:val="restart"/>
            <w:tcBorders>
              <w:tl2br w:val="nil"/>
              <w:tr2bl w:val="nil"/>
            </w:tcBorders>
            <w:shd w:val="clear" w:color="auto" w:fill="auto"/>
            <w:vAlign w:val="center"/>
          </w:tcPr>
          <w:p w14:paraId="1F71544C">
            <w:pPr>
              <w:widowControl/>
              <w:spacing w:line="420" w:lineRule="exact"/>
              <w:jc w:val="center"/>
              <w:rPr>
                <w:sz w:val="21"/>
                <w:szCs w:val="21"/>
                <w:lang w:eastAsia="en-US"/>
              </w:rPr>
            </w:pPr>
            <w:r>
              <w:rPr>
                <w:rFonts w:hint="eastAsia"/>
                <w:sz w:val="21"/>
                <w:szCs w:val="21"/>
                <w:lang w:eastAsia="en-US"/>
              </w:rPr>
              <w:t>734</w:t>
            </w:r>
          </w:p>
        </w:tc>
        <w:tc>
          <w:tcPr>
            <w:tcW w:w="647" w:type="dxa"/>
            <w:vMerge w:val="restart"/>
            <w:tcBorders>
              <w:tl2br w:val="nil"/>
              <w:tr2bl w:val="nil"/>
            </w:tcBorders>
            <w:shd w:val="clear" w:color="auto" w:fill="auto"/>
            <w:vAlign w:val="center"/>
          </w:tcPr>
          <w:p w14:paraId="25444DC6">
            <w:pPr>
              <w:widowControl/>
              <w:spacing w:line="420" w:lineRule="exact"/>
              <w:jc w:val="center"/>
              <w:rPr>
                <w:sz w:val="21"/>
                <w:szCs w:val="21"/>
                <w:lang w:eastAsia="en-US"/>
              </w:rPr>
            </w:pPr>
            <w:r>
              <w:rPr>
                <w:rFonts w:hint="eastAsia"/>
                <w:sz w:val="21"/>
                <w:szCs w:val="21"/>
                <w:lang w:eastAsia="en-US"/>
              </w:rPr>
              <w:t>577</w:t>
            </w:r>
          </w:p>
        </w:tc>
        <w:tc>
          <w:tcPr>
            <w:tcW w:w="914" w:type="dxa"/>
            <w:tcBorders>
              <w:tl2br w:val="nil"/>
              <w:tr2bl w:val="nil"/>
            </w:tcBorders>
            <w:shd w:val="clear" w:color="auto" w:fill="auto"/>
            <w:vAlign w:val="center"/>
          </w:tcPr>
          <w:p w14:paraId="0255802E">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4868B46">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2052207</w:t>
            </w:r>
          </w:p>
        </w:tc>
        <w:tc>
          <w:tcPr>
            <w:tcW w:w="1182" w:type="dxa"/>
            <w:tcBorders>
              <w:tl2br w:val="nil"/>
              <w:tr2bl w:val="nil"/>
            </w:tcBorders>
            <w:shd w:val="clear" w:color="auto" w:fill="auto"/>
            <w:vAlign w:val="center"/>
          </w:tcPr>
          <w:p w14:paraId="58A7DD88">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58E3B12C">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995D4F2">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061BE1EA">
            <w:pPr>
              <w:widowControl/>
              <w:spacing w:line="420" w:lineRule="exact"/>
              <w:jc w:val="center"/>
              <w:rPr>
                <w:sz w:val="21"/>
                <w:szCs w:val="21"/>
                <w:lang w:eastAsia="en-US"/>
              </w:rPr>
            </w:pPr>
            <w:r>
              <w:rPr>
                <w:sz w:val="21"/>
                <w:szCs w:val="21"/>
                <w:lang w:eastAsia="en-US"/>
              </w:rPr>
              <w:t>达标</w:t>
            </w:r>
          </w:p>
        </w:tc>
      </w:tr>
      <w:tr w14:paraId="6A8C90A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09E9798">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424072A">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2B6DC402">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77B0491F">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3B875933">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5E8A376">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82" w:type="dxa"/>
            <w:tcBorders>
              <w:tl2br w:val="nil"/>
              <w:tr2bl w:val="nil"/>
            </w:tcBorders>
            <w:shd w:val="clear" w:color="auto" w:fill="auto"/>
            <w:vAlign w:val="center"/>
          </w:tcPr>
          <w:p w14:paraId="115A0ABA">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B70034E">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62D3AA02">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7344F61B">
            <w:pPr>
              <w:widowControl/>
              <w:spacing w:line="420" w:lineRule="exact"/>
              <w:jc w:val="center"/>
              <w:rPr>
                <w:sz w:val="21"/>
                <w:szCs w:val="21"/>
                <w:lang w:eastAsia="en-US"/>
              </w:rPr>
            </w:pPr>
            <w:r>
              <w:rPr>
                <w:sz w:val="21"/>
                <w:szCs w:val="21"/>
                <w:lang w:eastAsia="en-US"/>
              </w:rPr>
              <w:t>达标</w:t>
            </w:r>
          </w:p>
        </w:tc>
      </w:tr>
      <w:tr w14:paraId="2E7352E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AFBAAE6">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6346140">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3BA8AFA">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79190F7D">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9524EEA">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17436F6">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F17E088">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47EAE8B">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D538E3C">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721A5E14">
            <w:pPr>
              <w:widowControl/>
              <w:spacing w:line="420" w:lineRule="exact"/>
              <w:jc w:val="center"/>
              <w:rPr>
                <w:sz w:val="21"/>
                <w:szCs w:val="21"/>
                <w:lang w:eastAsia="en-US"/>
              </w:rPr>
            </w:pPr>
            <w:r>
              <w:rPr>
                <w:sz w:val="21"/>
                <w:szCs w:val="21"/>
                <w:lang w:eastAsia="en-US"/>
              </w:rPr>
              <w:t>达标</w:t>
            </w:r>
          </w:p>
        </w:tc>
      </w:tr>
      <w:tr w14:paraId="53BD2A7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3E01F84">
            <w:pPr>
              <w:widowControl/>
              <w:spacing w:line="420" w:lineRule="exact"/>
              <w:jc w:val="center"/>
              <w:rPr>
                <w:sz w:val="21"/>
                <w:szCs w:val="21"/>
                <w:lang w:eastAsia="en-US"/>
              </w:rPr>
            </w:pPr>
            <w:r>
              <w:rPr>
                <w:sz w:val="21"/>
                <w:szCs w:val="21"/>
                <w:lang w:eastAsia="en-US"/>
              </w:rPr>
              <w:t>12</w:t>
            </w:r>
          </w:p>
        </w:tc>
        <w:tc>
          <w:tcPr>
            <w:tcW w:w="1145" w:type="dxa"/>
            <w:vMerge w:val="restart"/>
            <w:tcBorders>
              <w:tl2br w:val="nil"/>
              <w:tr2bl w:val="nil"/>
            </w:tcBorders>
            <w:shd w:val="clear" w:color="auto" w:fill="auto"/>
            <w:vAlign w:val="center"/>
          </w:tcPr>
          <w:p w14:paraId="01A3D281">
            <w:pPr>
              <w:widowControl/>
              <w:spacing w:line="420" w:lineRule="exact"/>
              <w:jc w:val="center"/>
              <w:rPr>
                <w:sz w:val="21"/>
                <w:szCs w:val="21"/>
                <w:lang w:eastAsia="en-US"/>
              </w:rPr>
            </w:pPr>
            <w:r>
              <w:rPr>
                <w:sz w:val="21"/>
                <w:szCs w:val="21"/>
                <w:lang w:eastAsia="en-US"/>
              </w:rPr>
              <w:t>天易水竹学校</w:t>
            </w:r>
          </w:p>
        </w:tc>
        <w:tc>
          <w:tcPr>
            <w:tcW w:w="737" w:type="dxa"/>
            <w:vMerge w:val="restart"/>
            <w:tcBorders>
              <w:tl2br w:val="nil"/>
              <w:tr2bl w:val="nil"/>
            </w:tcBorders>
            <w:shd w:val="clear" w:color="auto" w:fill="auto"/>
            <w:vAlign w:val="center"/>
          </w:tcPr>
          <w:p w14:paraId="37898797">
            <w:pPr>
              <w:widowControl/>
              <w:spacing w:line="420" w:lineRule="exact"/>
              <w:jc w:val="center"/>
              <w:rPr>
                <w:sz w:val="21"/>
                <w:szCs w:val="21"/>
                <w:lang w:eastAsia="en-US"/>
              </w:rPr>
            </w:pPr>
            <w:r>
              <w:rPr>
                <w:rFonts w:hint="eastAsia"/>
                <w:sz w:val="21"/>
                <w:szCs w:val="21"/>
                <w:lang w:eastAsia="en-US"/>
              </w:rPr>
              <w:t>1155</w:t>
            </w:r>
          </w:p>
        </w:tc>
        <w:tc>
          <w:tcPr>
            <w:tcW w:w="647" w:type="dxa"/>
            <w:vMerge w:val="restart"/>
            <w:tcBorders>
              <w:tl2br w:val="nil"/>
              <w:tr2bl w:val="nil"/>
            </w:tcBorders>
            <w:shd w:val="clear" w:color="auto" w:fill="auto"/>
            <w:vAlign w:val="center"/>
          </w:tcPr>
          <w:p w14:paraId="60BC9194">
            <w:pPr>
              <w:widowControl/>
              <w:spacing w:line="420" w:lineRule="exact"/>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5E7242A0">
            <w:pPr>
              <w:widowControl/>
              <w:spacing w:line="420" w:lineRule="exact"/>
              <w:jc w:val="center"/>
              <w:rPr>
                <w:sz w:val="21"/>
                <w:szCs w:val="21"/>
                <w:lang w:eastAsia="en-US"/>
              </w:rPr>
            </w:pPr>
            <w:r>
              <w:rPr>
                <w:sz w:val="21"/>
                <w:szCs w:val="21"/>
                <w:lang w:eastAsia="en-US"/>
              </w:rPr>
              <w:t>1 小时</w:t>
            </w:r>
          </w:p>
        </w:tc>
        <w:tc>
          <w:tcPr>
            <w:tcW w:w="1069" w:type="dxa"/>
            <w:tcBorders>
              <w:tl2br w:val="nil"/>
              <w:tr2bl w:val="nil"/>
            </w:tcBorders>
            <w:shd w:val="clear" w:color="auto" w:fill="auto"/>
            <w:vAlign w:val="center"/>
          </w:tcPr>
          <w:p w14:paraId="45FB679B">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051719</w:t>
            </w:r>
          </w:p>
        </w:tc>
        <w:tc>
          <w:tcPr>
            <w:tcW w:w="1182" w:type="dxa"/>
            <w:tcBorders>
              <w:tl2br w:val="nil"/>
              <w:tr2bl w:val="nil"/>
            </w:tcBorders>
            <w:shd w:val="clear" w:color="auto" w:fill="auto"/>
            <w:vAlign w:val="center"/>
          </w:tcPr>
          <w:p w14:paraId="4752C1F6">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61C398C8">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79CC456E">
            <w:pPr>
              <w:widowControl w:val="0"/>
              <w:spacing w:line="420" w:lineRule="exact"/>
              <w:jc w:val="center"/>
              <w:rPr>
                <w:sz w:val="21"/>
                <w:szCs w:val="21"/>
                <w:lang w:eastAsia="en-US"/>
              </w:rPr>
            </w:pPr>
            <w:r>
              <w:rPr>
                <w:sz w:val="21"/>
                <w:szCs w:val="21"/>
                <w:lang w:eastAsia="en-US"/>
              </w:rPr>
              <w:t>0.03</w:t>
            </w:r>
          </w:p>
        </w:tc>
        <w:tc>
          <w:tcPr>
            <w:tcW w:w="716" w:type="dxa"/>
            <w:tcBorders>
              <w:tl2br w:val="nil"/>
              <w:tr2bl w:val="nil"/>
            </w:tcBorders>
            <w:shd w:val="clear" w:color="auto" w:fill="auto"/>
            <w:vAlign w:val="center"/>
          </w:tcPr>
          <w:p w14:paraId="36639CA1">
            <w:pPr>
              <w:widowControl/>
              <w:spacing w:line="420" w:lineRule="exact"/>
              <w:jc w:val="center"/>
              <w:rPr>
                <w:sz w:val="21"/>
                <w:szCs w:val="21"/>
                <w:lang w:eastAsia="en-US"/>
              </w:rPr>
            </w:pPr>
            <w:r>
              <w:rPr>
                <w:sz w:val="21"/>
                <w:szCs w:val="21"/>
                <w:lang w:eastAsia="en-US"/>
              </w:rPr>
              <w:t>达标</w:t>
            </w:r>
          </w:p>
        </w:tc>
      </w:tr>
      <w:tr w14:paraId="7EBF1AC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B3ACB5C">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93BA335">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57FE9D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41072B44">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778E4C5">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3529081">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82" w:type="dxa"/>
            <w:tcBorders>
              <w:tl2br w:val="nil"/>
              <w:tr2bl w:val="nil"/>
            </w:tcBorders>
            <w:shd w:val="clear" w:color="auto" w:fill="auto"/>
            <w:vAlign w:val="center"/>
          </w:tcPr>
          <w:p w14:paraId="0F0B6F1F">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2291A42">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0F43091B">
            <w:pPr>
              <w:widowControl w:val="0"/>
              <w:spacing w:line="420" w:lineRule="exact"/>
              <w:jc w:val="center"/>
              <w:rPr>
                <w:sz w:val="21"/>
                <w:szCs w:val="21"/>
                <w:lang w:eastAsia="en-US"/>
              </w:rPr>
            </w:pPr>
            <w:r>
              <w:rPr>
                <w:sz w:val="21"/>
                <w:szCs w:val="21"/>
                <w:lang w:eastAsia="en-US"/>
              </w:rPr>
              <w:t>0.03</w:t>
            </w:r>
          </w:p>
        </w:tc>
        <w:tc>
          <w:tcPr>
            <w:tcW w:w="716" w:type="dxa"/>
            <w:tcBorders>
              <w:tl2br w:val="nil"/>
              <w:tr2bl w:val="nil"/>
            </w:tcBorders>
            <w:shd w:val="clear" w:color="auto" w:fill="auto"/>
            <w:vAlign w:val="center"/>
          </w:tcPr>
          <w:p w14:paraId="1140EE56">
            <w:pPr>
              <w:widowControl/>
              <w:spacing w:line="420" w:lineRule="exact"/>
              <w:jc w:val="center"/>
              <w:rPr>
                <w:sz w:val="21"/>
                <w:szCs w:val="21"/>
                <w:lang w:eastAsia="en-US"/>
              </w:rPr>
            </w:pPr>
            <w:r>
              <w:rPr>
                <w:sz w:val="21"/>
                <w:szCs w:val="21"/>
                <w:lang w:eastAsia="en-US"/>
              </w:rPr>
              <w:t>达标</w:t>
            </w:r>
          </w:p>
        </w:tc>
      </w:tr>
      <w:tr w14:paraId="771954D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9C33160">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3B3EA9BF">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C40F26E">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A335DE0">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56C8DB45">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86B7199">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AF94CC2">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C1BA4AB">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5788E25">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610CE844">
            <w:pPr>
              <w:widowControl/>
              <w:spacing w:line="420" w:lineRule="exact"/>
              <w:jc w:val="center"/>
              <w:rPr>
                <w:sz w:val="21"/>
                <w:szCs w:val="21"/>
                <w:lang w:eastAsia="en-US"/>
              </w:rPr>
            </w:pPr>
            <w:r>
              <w:rPr>
                <w:sz w:val="21"/>
                <w:szCs w:val="21"/>
                <w:lang w:eastAsia="en-US"/>
              </w:rPr>
              <w:t>达标</w:t>
            </w:r>
          </w:p>
        </w:tc>
      </w:tr>
      <w:tr w14:paraId="59314E9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A636A43">
            <w:pPr>
              <w:widowControl/>
              <w:spacing w:line="420" w:lineRule="exact"/>
              <w:jc w:val="center"/>
              <w:rPr>
                <w:sz w:val="21"/>
                <w:szCs w:val="21"/>
                <w:lang w:eastAsia="en-US"/>
              </w:rPr>
            </w:pPr>
            <w:r>
              <w:rPr>
                <w:sz w:val="21"/>
                <w:szCs w:val="21"/>
                <w:lang w:eastAsia="en-US"/>
              </w:rPr>
              <w:t>13</w:t>
            </w:r>
          </w:p>
        </w:tc>
        <w:tc>
          <w:tcPr>
            <w:tcW w:w="1145" w:type="dxa"/>
            <w:vMerge w:val="restart"/>
            <w:tcBorders>
              <w:tl2br w:val="nil"/>
              <w:tr2bl w:val="nil"/>
            </w:tcBorders>
            <w:shd w:val="clear" w:color="auto" w:fill="auto"/>
            <w:vAlign w:val="center"/>
          </w:tcPr>
          <w:p w14:paraId="7C02B7E9">
            <w:pPr>
              <w:widowControl/>
              <w:spacing w:line="420" w:lineRule="exact"/>
              <w:jc w:val="center"/>
              <w:rPr>
                <w:sz w:val="21"/>
                <w:szCs w:val="21"/>
                <w:lang w:eastAsia="en-US"/>
              </w:rPr>
            </w:pPr>
            <w:r>
              <w:rPr>
                <w:sz w:val="21"/>
                <w:szCs w:val="21"/>
                <w:lang w:eastAsia="en-US"/>
              </w:rPr>
              <w:t>水竹安置区</w:t>
            </w:r>
          </w:p>
        </w:tc>
        <w:tc>
          <w:tcPr>
            <w:tcW w:w="737" w:type="dxa"/>
            <w:vMerge w:val="restart"/>
            <w:tcBorders>
              <w:tl2br w:val="nil"/>
              <w:tr2bl w:val="nil"/>
            </w:tcBorders>
            <w:shd w:val="clear" w:color="auto" w:fill="auto"/>
            <w:vAlign w:val="center"/>
          </w:tcPr>
          <w:p w14:paraId="0DBF3342">
            <w:pPr>
              <w:widowControl/>
              <w:spacing w:line="420" w:lineRule="exact"/>
              <w:jc w:val="center"/>
              <w:rPr>
                <w:sz w:val="21"/>
                <w:szCs w:val="21"/>
                <w:lang w:eastAsia="en-US"/>
              </w:rPr>
            </w:pPr>
            <w:r>
              <w:rPr>
                <w:rFonts w:hint="eastAsia"/>
                <w:sz w:val="21"/>
                <w:szCs w:val="21"/>
                <w:lang w:eastAsia="en-US"/>
              </w:rPr>
              <w:t>752</w:t>
            </w:r>
          </w:p>
        </w:tc>
        <w:tc>
          <w:tcPr>
            <w:tcW w:w="647" w:type="dxa"/>
            <w:vMerge w:val="restart"/>
            <w:tcBorders>
              <w:tl2br w:val="nil"/>
              <w:tr2bl w:val="nil"/>
            </w:tcBorders>
            <w:shd w:val="clear" w:color="auto" w:fill="auto"/>
            <w:vAlign w:val="center"/>
          </w:tcPr>
          <w:p w14:paraId="41811373">
            <w:pPr>
              <w:widowControl/>
              <w:spacing w:line="420" w:lineRule="exact"/>
              <w:jc w:val="center"/>
              <w:rPr>
                <w:sz w:val="21"/>
                <w:szCs w:val="21"/>
                <w:lang w:eastAsia="en-US"/>
              </w:rPr>
            </w:pPr>
            <w:r>
              <w:rPr>
                <w:rFonts w:hint="eastAsia"/>
                <w:sz w:val="21"/>
                <w:szCs w:val="21"/>
                <w:lang w:eastAsia="en-US"/>
              </w:rPr>
              <w:t>233</w:t>
            </w:r>
          </w:p>
        </w:tc>
        <w:tc>
          <w:tcPr>
            <w:tcW w:w="914" w:type="dxa"/>
            <w:tcBorders>
              <w:tl2br w:val="nil"/>
              <w:tr2bl w:val="nil"/>
            </w:tcBorders>
            <w:shd w:val="clear" w:color="auto" w:fill="auto"/>
            <w:vAlign w:val="center"/>
          </w:tcPr>
          <w:p w14:paraId="1DAE73CE">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3859319">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061819</w:t>
            </w:r>
          </w:p>
        </w:tc>
        <w:tc>
          <w:tcPr>
            <w:tcW w:w="1182" w:type="dxa"/>
            <w:tcBorders>
              <w:tl2br w:val="nil"/>
              <w:tr2bl w:val="nil"/>
            </w:tcBorders>
            <w:shd w:val="clear" w:color="auto" w:fill="auto"/>
            <w:vAlign w:val="center"/>
          </w:tcPr>
          <w:p w14:paraId="6A48AD82">
            <w:pPr>
              <w:widowControl w:val="0"/>
              <w:spacing w:line="42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7500C55D">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7AFEE1C">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533CAF9E">
            <w:pPr>
              <w:widowControl/>
              <w:spacing w:line="420" w:lineRule="exact"/>
              <w:jc w:val="center"/>
              <w:rPr>
                <w:sz w:val="21"/>
                <w:szCs w:val="21"/>
                <w:lang w:eastAsia="en-US"/>
              </w:rPr>
            </w:pPr>
            <w:r>
              <w:rPr>
                <w:sz w:val="21"/>
                <w:szCs w:val="21"/>
                <w:lang w:eastAsia="en-US"/>
              </w:rPr>
              <w:t>达标</w:t>
            </w:r>
          </w:p>
        </w:tc>
      </w:tr>
      <w:tr w14:paraId="4C1471F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B6230E5">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9B6561F">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5EAD0265">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FACECFF">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5EBCFEF3">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4D4211D">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w:t>
            </w:r>
          </w:p>
        </w:tc>
        <w:tc>
          <w:tcPr>
            <w:tcW w:w="1182" w:type="dxa"/>
            <w:tcBorders>
              <w:tl2br w:val="nil"/>
              <w:tr2bl w:val="nil"/>
            </w:tcBorders>
            <w:shd w:val="clear" w:color="auto" w:fill="auto"/>
            <w:vAlign w:val="center"/>
          </w:tcPr>
          <w:p w14:paraId="1DA22C0A">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C3AFC49">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30FAAC1">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2F18188F">
            <w:pPr>
              <w:widowControl/>
              <w:spacing w:line="420" w:lineRule="exact"/>
              <w:jc w:val="center"/>
              <w:rPr>
                <w:sz w:val="21"/>
                <w:szCs w:val="21"/>
                <w:lang w:eastAsia="en-US"/>
              </w:rPr>
            </w:pPr>
            <w:r>
              <w:rPr>
                <w:sz w:val="21"/>
                <w:szCs w:val="21"/>
                <w:lang w:eastAsia="en-US"/>
              </w:rPr>
              <w:t>达标</w:t>
            </w:r>
          </w:p>
        </w:tc>
      </w:tr>
      <w:tr w14:paraId="6C96963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564B31A">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107FD87A">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7CCFC2AB">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0F19D911">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102F7E8">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0FD3E12">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5923F2B">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DDDA892">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418E589">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1539A9AE">
            <w:pPr>
              <w:widowControl/>
              <w:spacing w:line="420" w:lineRule="exact"/>
              <w:jc w:val="center"/>
              <w:rPr>
                <w:sz w:val="21"/>
                <w:szCs w:val="21"/>
                <w:lang w:eastAsia="en-US"/>
              </w:rPr>
            </w:pPr>
            <w:r>
              <w:rPr>
                <w:sz w:val="21"/>
                <w:szCs w:val="21"/>
                <w:lang w:eastAsia="en-US"/>
              </w:rPr>
              <w:t>达标</w:t>
            </w:r>
          </w:p>
        </w:tc>
      </w:tr>
      <w:tr w14:paraId="759C9A6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FF93FC9">
            <w:pPr>
              <w:widowControl/>
              <w:spacing w:line="420" w:lineRule="exact"/>
              <w:jc w:val="center"/>
              <w:rPr>
                <w:sz w:val="21"/>
                <w:szCs w:val="21"/>
                <w:lang w:eastAsia="en-US"/>
              </w:rPr>
            </w:pPr>
            <w:r>
              <w:rPr>
                <w:rFonts w:hint="eastAsia"/>
                <w:sz w:val="21"/>
                <w:szCs w:val="21"/>
                <w:lang w:eastAsia="en-US"/>
              </w:rPr>
              <w:t>14</w:t>
            </w:r>
          </w:p>
        </w:tc>
        <w:tc>
          <w:tcPr>
            <w:tcW w:w="1145" w:type="dxa"/>
            <w:vMerge w:val="restart"/>
            <w:tcBorders>
              <w:tl2br w:val="nil"/>
              <w:tr2bl w:val="nil"/>
            </w:tcBorders>
            <w:shd w:val="clear" w:color="auto" w:fill="auto"/>
            <w:vAlign w:val="center"/>
          </w:tcPr>
          <w:p w14:paraId="1352B734">
            <w:pPr>
              <w:widowControl/>
              <w:spacing w:line="420" w:lineRule="exact"/>
              <w:jc w:val="center"/>
              <w:rPr>
                <w:sz w:val="21"/>
                <w:szCs w:val="21"/>
                <w:lang w:eastAsia="en-US"/>
              </w:rPr>
            </w:pPr>
            <w:r>
              <w:rPr>
                <w:sz w:val="21"/>
                <w:szCs w:val="21"/>
                <w:lang w:eastAsia="en-US"/>
              </w:rPr>
              <w:t>湘潭县行政学校</w:t>
            </w:r>
          </w:p>
        </w:tc>
        <w:tc>
          <w:tcPr>
            <w:tcW w:w="737" w:type="dxa"/>
            <w:vMerge w:val="restart"/>
            <w:tcBorders>
              <w:tl2br w:val="nil"/>
              <w:tr2bl w:val="nil"/>
            </w:tcBorders>
            <w:shd w:val="clear" w:color="auto" w:fill="auto"/>
            <w:vAlign w:val="center"/>
          </w:tcPr>
          <w:p w14:paraId="32D53241">
            <w:pPr>
              <w:widowControl/>
              <w:spacing w:line="420" w:lineRule="exact"/>
              <w:jc w:val="center"/>
              <w:rPr>
                <w:sz w:val="21"/>
                <w:szCs w:val="21"/>
                <w:lang w:eastAsia="en-US"/>
              </w:rPr>
            </w:pPr>
            <w:r>
              <w:rPr>
                <w:rFonts w:hint="eastAsia"/>
                <w:sz w:val="21"/>
                <w:szCs w:val="21"/>
                <w:lang w:eastAsia="en-US"/>
              </w:rPr>
              <w:t>705</w:t>
            </w:r>
          </w:p>
        </w:tc>
        <w:tc>
          <w:tcPr>
            <w:tcW w:w="647" w:type="dxa"/>
            <w:vMerge w:val="restart"/>
            <w:tcBorders>
              <w:tl2br w:val="nil"/>
              <w:tr2bl w:val="nil"/>
            </w:tcBorders>
            <w:shd w:val="clear" w:color="auto" w:fill="auto"/>
            <w:vAlign w:val="center"/>
          </w:tcPr>
          <w:p w14:paraId="676C9721">
            <w:pPr>
              <w:widowControl/>
              <w:spacing w:line="420" w:lineRule="exact"/>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08708B85">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C0F2D81">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82" w:type="dxa"/>
            <w:tcBorders>
              <w:tl2br w:val="nil"/>
              <w:tr2bl w:val="nil"/>
            </w:tcBorders>
            <w:shd w:val="clear" w:color="auto" w:fill="auto"/>
            <w:vAlign w:val="center"/>
          </w:tcPr>
          <w:p w14:paraId="36840512">
            <w:pPr>
              <w:widowControl w:val="0"/>
              <w:spacing w:line="42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3A10F7A8">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77A8D7B">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52176BFB">
            <w:pPr>
              <w:widowControl/>
              <w:spacing w:line="420" w:lineRule="exact"/>
              <w:jc w:val="center"/>
              <w:rPr>
                <w:sz w:val="21"/>
                <w:szCs w:val="21"/>
                <w:lang w:eastAsia="en-US"/>
              </w:rPr>
            </w:pPr>
            <w:r>
              <w:rPr>
                <w:sz w:val="21"/>
                <w:szCs w:val="21"/>
                <w:lang w:eastAsia="en-US"/>
              </w:rPr>
              <w:t>达标</w:t>
            </w:r>
          </w:p>
        </w:tc>
      </w:tr>
      <w:tr w14:paraId="03A8FF48">
        <w:tblPrEx>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27FBFA6">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2EC4F9B5">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EF9FE42">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1DFD0D1">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39E44EB9">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E596C28">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0530</w:t>
            </w:r>
          </w:p>
        </w:tc>
        <w:tc>
          <w:tcPr>
            <w:tcW w:w="1182" w:type="dxa"/>
            <w:tcBorders>
              <w:tl2br w:val="nil"/>
              <w:tr2bl w:val="nil"/>
            </w:tcBorders>
            <w:shd w:val="clear" w:color="auto" w:fill="auto"/>
            <w:vAlign w:val="center"/>
          </w:tcPr>
          <w:p w14:paraId="4A02F13F">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9E67018">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B565C35">
            <w:pPr>
              <w:widowControl w:val="0"/>
              <w:spacing w:line="420" w:lineRule="exact"/>
              <w:jc w:val="center"/>
              <w:rPr>
                <w:sz w:val="21"/>
                <w:szCs w:val="21"/>
                <w:lang w:eastAsia="en-US"/>
              </w:rPr>
            </w:pPr>
            <w:r>
              <w:rPr>
                <w:sz w:val="21"/>
                <w:szCs w:val="21"/>
                <w:lang w:eastAsia="en-US"/>
              </w:rPr>
              <w:t>0.03</w:t>
            </w:r>
          </w:p>
        </w:tc>
        <w:tc>
          <w:tcPr>
            <w:tcW w:w="716" w:type="dxa"/>
            <w:tcBorders>
              <w:tl2br w:val="nil"/>
              <w:tr2bl w:val="nil"/>
            </w:tcBorders>
            <w:shd w:val="clear" w:color="auto" w:fill="auto"/>
            <w:vAlign w:val="center"/>
          </w:tcPr>
          <w:p w14:paraId="7592C577">
            <w:pPr>
              <w:widowControl/>
              <w:spacing w:line="420" w:lineRule="exact"/>
              <w:jc w:val="center"/>
              <w:rPr>
                <w:sz w:val="21"/>
                <w:szCs w:val="21"/>
                <w:lang w:eastAsia="en-US"/>
              </w:rPr>
            </w:pPr>
            <w:r>
              <w:rPr>
                <w:sz w:val="21"/>
                <w:szCs w:val="21"/>
                <w:lang w:eastAsia="en-US"/>
              </w:rPr>
              <w:t>达标</w:t>
            </w:r>
          </w:p>
        </w:tc>
      </w:tr>
      <w:tr w14:paraId="49D5AB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0590B8F">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D065DAC">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CCB19D4">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87E3F38">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064123FE">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C16287A">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6E74CE6">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0DF420F">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ED152B6">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590E4C5E">
            <w:pPr>
              <w:widowControl/>
              <w:spacing w:line="420" w:lineRule="exact"/>
              <w:jc w:val="center"/>
              <w:rPr>
                <w:sz w:val="21"/>
                <w:szCs w:val="21"/>
                <w:lang w:eastAsia="en-US"/>
              </w:rPr>
            </w:pPr>
            <w:r>
              <w:rPr>
                <w:sz w:val="21"/>
                <w:szCs w:val="21"/>
                <w:lang w:eastAsia="en-US"/>
              </w:rPr>
              <w:t>达标</w:t>
            </w:r>
          </w:p>
        </w:tc>
      </w:tr>
      <w:tr w14:paraId="78463C2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6869B18">
            <w:pPr>
              <w:widowControl/>
              <w:spacing w:line="420" w:lineRule="exact"/>
              <w:jc w:val="center"/>
              <w:rPr>
                <w:sz w:val="21"/>
                <w:szCs w:val="21"/>
                <w:lang w:eastAsia="en-US"/>
              </w:rPr>
            </w:pPr>
            <w:r>
              <w:rPr>
                <w:rFonts w:hint="eastAsia"/>
                <w:sz w:val="21"/>
                <w:szCs w:val="21"/>
                <w:lang w:eastAsia="en-US"/>
              </w:rPr>
              <w:t>15</w:t>
            </w:r>
          </w:p>
        </w:tc>
        <w:tc>
          <w:tcPr>
            <w:tcW w:w="1145" w:type="dxa"/>
            <w:vMerge w:val="restart"/>
            <w:tcBorders>
              <w:tl2br w:val="nil"/>
              <w:tr2bl w:val="nil"/>
            </w:tcBorders>
            <w:shd w:val="clear" w:color="auto" w:fill="auto"/>
            <w:vAlign w:val="center"/>
          </w:tcPr>
          <w:p w14:paraId="22F131E0">
            <w:pPr>
              <w:widowControl/>
              <w:spacing w:line="420" w:lineRule="exact"/>
              <w:jc w:val="center"/>
              <w:rPr>
                <w:sz w:val="21"/>
                <w:szCs w:val="21"/>
                <w:lang w:eastAsia="en-US"/>
              </w:rPr>
            </w:pPr>
            <w:r>
              <w:rPr>
                <w:sz w:val="21"/>
                <w:szCs w:val="21"/>
                <w:lang w:eastAsia="en-US"/>
              </w:rPr>
              <w:t>湘潭县公安局</w:t>
            </w:r>
          </w:p>
        </w:tc>
        <w:tc>
          <w:tcPr>
            <w:tcW w:w="737" w:type="dxa"/>
            <w:vMerge w:val="restart"/>
            <w:tcBorders>
              <w:tl2br w:val="nil"/>
              <w:tr2bl w:val="nil"/>
            </w:tcBorders>
            <w:shd w:val="clear" w:color="auto" w:fill="auto"/>
            <w:vAlign w:val="center"/>
          </w:tcPr>
          <w:p w14:paraId="75CB9BA0">
            <w:pPr>
              <w:widowControl/>
              <w:spacing w:line="420" w:lineRule="exact"/>
              <w:jc w:val="center"/>
              <w:rPr>
                <w:sz w:val="21"/>
                <w:szCs w:val="21"/>
                <w:lang w:eastAsia="en-US"/>
              </w:rPr>
            </w:pPr>
            <w:r>
              <w:rPr>
                <w:rFonts w:hint="eastAsia"/>
                <w:sz w:val="21"/>
                <w:szCs w:val="21"/>
                <w:lang w:eastAsia="en-US"/>
              </w:rPr>
              <w:t>1104</w:t>
            </w:r>
          </w:p>
        </w:tc>
        <w:tc>
          <w:tcPr>
            <w:tcW w:w="647" w:type="dxa"/>
            <w:vMerge w:val="restart"/>
            <w:tcBorders>
              <w:tl2br w:val="nil"/>
              <w:tr2bl w:val="nil"/>
            </w:tcBorders>
            <w:shd w:val="clear" w:color="auto" w:fill="auto"/>
            <w:vAlign w:val="center"/>
          </w:tcPr>
          <w:p w14:paraId="31BCD71F">
            <w:pPr>
              <w:widowControl/>
              <w:spacing w:line="420" w:lineRule="exact"/>
              <w:jc w:val="center"/>
              <w:rPr>
                <w:sz w:val="21"/>
                <w:szCs w:val="21"/>
                <w:lang w:eastAsia="en-US"/>
              </w:rPr>
            </w:pPr>
            <w:r>
              <w:rPr>
                <w:rFonts w:hint="eastAsia"/>
                <w:sz w:val="21"/>
                <w:szCs w:val="21"/>
                <w:lang w:eastAsia="en-US"/>
              </w:rPr>
              <w:t>910</w:t>
            </w:r>
          </w:p>
        </w:tc>
        <w:tc>
          <w:tcPr>
            <w:tcW w:w="914" w:type="dxa"/>
            <w:tcBorders>
              <w:tl2br w:val="nil"/>
              <w:tr2bl w:val="nil"/>
            </w:tcBorders>
            <w:shd w:val="clear" w:color="auto" w:fill="auto"/>
            <w:vAlign w:val="center"/>
          </w:tcPr>
          <w:p w14:paraId="0FCDA1A7">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8AA4EAD">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82" w:type="dxa"/>
            <w:tcBorders>
              <w:tl2br w:val="nil"/>
              <w:tr2bl w:val="nil"/>
            </w:tcBorders>
            <w:shd w:val="clear" w:color="auto" w:fill="auto"/>
            <w:vAlign w:val="center"/>
          </w:tcPr>
          <w:p w14:paraId="071FA53B">
            <w:pPr>
              <w:widowControl w:val="0"/>
              <w:spacing w:line="42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0EA1F0D9">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7A52DDC5">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5276CAD6">
            <w:pPr>
              <w:widowControl/>
              <w:spacing w:line="420" w:lineRule="exact"/>
              <w:jc w:val="center"/>
              <w:rPr>
                <w:sz w:val="21"/>
                <w:szCs w:val="21"/>
                <w:lang w:eastAsia="en-US"/>
              </w:rPr>
            </w:pPr>
            <w:r>
              <w:rPr>
                <w:sz w:val="21"/>
                <w:szCs w:val="21"/>
                <w:lang w:eastAsia="en-US"/>
              </w:rPr>
              <w:t>达标</w:t>
            </w:r>
          </w:p>
        </w:tc>
      </w:tr>
      <w:tr w14:paraId="305A5A4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23DDE58">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76ED6FE">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3454F68">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34FE640E">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57596BE">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4085454">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w:t>
            </w:r>
          </w:p>
        </w:tc>
        <w:tc>
          <w:tcPr>
            <w:tcW w:w="1182" w:type="dxa"/>
            <w:tcBorders>
              <w:tl2br w:val="nil"/>
              <w:tr2bl w:val="nil"/>
            </w:tcBorders>
            <w:shd w:val="clear" w:color="auto" w:fill="auto"/>
            <w:vAlign w:val="center"/>
          </w:tcPr>
          <w:p w14:paraId="5D3EC9A3">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78F9B6B">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6A8963E6">
            <w:pPr>
              <w:widowControl w:val="0"/>
              <w:spacing w:line="420" w:lineRule="exact"/>
              <w:jc w:val="center"/>
              <w:rPr>
                <w:sz w:val="21"/>
                <w:szCs w:val="21"/>
                <w:lang w:eastAsia="en-US"/>
              </w:rPr>
            </w:pPr>
            <w:r>
              <w:rPr>
                <w:sz w:val="21"/>
                <w:szCs w:val="21"/>
                <w:lang w:eastAsia="en-US"/>
              </w:rPr>
              <w:t>0.04</w:t>
            </w:r>
          </w:p>
        </w:tc>
        <w:tc>
          <w:tcPr>
            <w:tcW w:w="716" w:type="dxa"/>
            <w:tcBorders>
              <w:tl2br w:val="nil"/>
              <w:tr2bl w:val="nil"/>
            </w:tcBorders>
            <w:shd w:val="clear" w:color="auto" w:fill="auto"/>
            <w:vAlign w:val="center"/>
          </w:tcPr>
          <w:p w14:paraId="59ACE86E">
            <w:pPr>
              <w:widowControl/>
              <w:spacing w:line="420" w:lineRule="exact"/>
              <w:jc w:val="center"/>
              <w:rPr>
                <w:sz w:val="21"/>
                <w:szCs w:val="21"/>
                <w:lang w:eastAsia="en-US"/>
              </w:rPr>
            </w:pPr>
            <w:r>
              <w:rPr>
                <w:sz w:val="21"/>
                <w:szCs w:val="21"/>
                <w:lang w:eastAsia="en-US"/>
              </w:rPr>
              <w:t>达标</w:t>
            </w:r>
          </w:p>
        </w:tc>
      </w:tr>
      <w:tr w14:paraId="0331273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C329619">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470DB59E">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57F60D19">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788F3241">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34A5E436">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069C67F">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607B704">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157DFC9">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5848B5C">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39D38FAE">
            <w:pPr>
              <w:widowControl/>
              <w:spacing w:line="420" w:lineRule="exact"/>
              <w:jc w:val="center"/>
              <w:rPr>
                <w:sz w:val="21"/>
                <w:szCs w:val="21"/>
                <w:lang w:eastAsia="en-US"/>
              </w:rPr>
            </w:pPr>
            <w:r>
              <w:rPr>
                <w:sz w:val="21"/>
                <w:szCs w:val="21"/>
                <w:lang w:eastAsia="en-US"/>
              </w:rPr>
              <w:t>达标</w:t>
            </w:r>
          </w:p>
        </w:tc>
      </w:tr>
      <w:tr w14:paraId="65CE34E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562B611">
            <w:pPr>
              <w:widowControl/>
              <w:spacing w:line="420" w:lineRule="exact"/>
              <w:jc w:val="center"/>
              <w:rPr>
                <w:sz w:val="21"/>
                <w:szCs w:val="21"/>
                <w:lang w:eastAsia="en-US"/>
              </w:rPr>
            </w:pPr>
            <w:r>
              <w:rPr>
                <w:rFonts w:hint="eastAsia"/>
                <w:sz w:val="21"/>
                <w:szCs w:val="21"/>
                <w:lang w:eastAsia="en-US"/>
              </w:rPr>
              <w:t>16</w:t>
            </w:r>
          </w:p>
        </w:tc>
        <w:tc>
          <w:tcPr>
            <w:tcW w:w="1145" w:type="dxa"/>
            <w:vMerge w:val="restart"/>
            <w:tcBorders>
              <w:tl2br w:val="nil"/>
              <w:tr2bl w:val="nil"/>
            </w:tcBorders>
            <w:shd w:val="clear" w:color="auto" w:fill="auto"/>
            <w:vAlign w:val="center"/>
          </w:tcPr>
          <w:p w14:paraId="479346B1">
            <w:pPr>
              <w:widowControl/>
              <w:spacing w:line="420" w:lineRule="exact"/>
              <w:jc w:val="center"/>
              <w:rPr>
                <w:sz w:val="21"/>
                <w:szCs w:val="21"/>
                <w:lang w:eastAsia="en-US"/>
              </w:rPr>
            </w:pPr>
            <w:r>
              <w:rPr>
                <w:sz w:val="21"/>
                <w:szCs w:val="21"/>
                <w:lang w:eastAsia="en-US"/>
              </w:rPr>
              <w:t>学府雅苑</w:t>
            </w:r>
          </w:p>
        </w:tc>
        <w:tc>
          <w:tcPr>
            <w:tcW w:w="737" w:type="dxa"/>
            <w:vMerge w:val="restart"/>
            <w:tcBorders>
              <w:tl2br w:val="nil"/>
              <w:tr2bl w:val="nil"/>
            </w:tcBorders>
            <w:shd w:val="clear" w:color="auto" w:fill="auto"/>
            <w:vAlign w:val="center"/>
          </w:tcPr>
          <w:p w14:paraId="06A98F9D">
            <w:pPr>
              <w:widowControl/>
              <w:spacing w:line="420" w:lineRule="exact"/>
              <w:jc w:val="center"/>
              <w:rPr>
                <w:sz w:val="21"/>
                <w:szCs w:val="21"/>
                <w:lang w:eastAsia="en-US"/>
              </w:rPr>
            </w:pPr>
            <w:r>
              <w:rPr>
                <w:rFonts w:hint="eastAsia"/>
                <w:sz w:val="21"/>
                <w:szCs w:val="21"/>
                <w:lang w:eastAsia="en-US"/>
              </w:rPr>
              <w:t>742</w:t>
            </w:r>
          </w:p>
        </w:tc>
        <w:tc>
          <w:tcPr>
            <w:tcW w:w="647" w:type="dxa"/>
            <w:vMerge w:val="restart"/>
            <w:tcBorders>
              <w:tl2br w:val="nil"/>
              <w:tr2bl w:val="nil"/>
            </w:tcBorders>
            <w:shd w:val="clear" w:color="auto" w:fill="auto"/>
            <w:vAlign w:val="center"/>
          </w:tcPr>
          <w:p w14:paraId="4BBCF17B">
            <w:pPr>
              <w:widowControl/>
              <w:spacing w:line="420" w:lineRule="exact"/>
              <w:jc w:val="center"/>
              <w:rPr>
                <w:sz w:val="21"/>
                <w:szCs w:val="21"/>
                <w:lang w:eastAsia="en-US"/>
              </w:rPr>
            </w:pPr>
            <w:r>
              <w:rPr>
                <w:rFonts w:hint="eastAsia"/>
                <w:sz w:val="21"/>
                <w:szCs w:val="21"/>
                <w:lang w:eastAsia="en-US"/>
              </w:rPr>
              <w:t>1055</w:t>
            </w:r>
          </w:p>
        </w:tc>
        <w:tc>
          <w:tcPr>
            <w:tcW w:w="914" w:type="dxa"/>
            <w:tcBorders>
              <w:tl2br w:val="nil"/>
              <w:tr2bl w:val="nil"/>
            </w:tcBorders>
            <w:shd w:val="clear" w:color="auto" w:fill="auto"/>
            <w:vAlign w:val="center"/>
          </w:tcPr>
          <w:p w14:paraId="7E3223B3">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83618D4">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081619</w:t>
            </w:r>
          </w:p>
        </w:tc>
        <w:tc>
          <w:tcPr>
            <w:tcW w:w="1182" w:type="dxa"/>
            <w:tcBorders>
              <w:tl2br w:val="nil"/>
              <w:tr2bl w:val="nil"/>
            </w:tcBorders>
            <w:shd w:val="clear" w:color="auto" w:fill="auto"/>
            <w:vAlign w:val="center"/>
          </w:tcPr>
          <w:p w14:paraId="6F3FB037">
            <w:pPr>
              <w:widowControl w:val="0"/>
              <w:spacing w:line="42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5C4B19D7">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5C79C847">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249C0440">
            <w:pPr>
              <w:widowControl/>
              <w:spacing w:line="420" w:lineRule="exact"/>
              <w:jc w:val="center"/>
              <w:rPr>
                <w:sz w:val="21"/>
                <w:szCs w:val="21"/>
                <w:lang w:eastAsia="en-US"/>
              </w:rPr>
            </w:pPr>
            <w:r>
              <w:rPr>
                <w:sz w:val="21"/>
                <w:szCs w:val="21"/>
                <w:lang w:eastAsia="en-US"/>
              </w:rPr>
              <w:t>达标</w:t>
            </w:r>
          </w:p>
        </w:tc>
      </w:tr>
      <w:tr w14:paraId="1473878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9A1C742">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D78BBA8">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2955E618">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6859B2D3">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4C40F605">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CFC571B">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20816</w:t>
            </w:r>
          </w:p>
        </w:tc>
        <w:tc>
          <w:tcPr>
            <w:tcW w:w="1182" w:type="dxa"/>
            <w:tcBorders>
              <w:tl2br w:val="nil"/>
              <w:tr2bl w:val="nil"/>
            </w:tcBorders>
            <w:shd w:val="clear" w:color="auto" w:fill="auto"/>
            <w:vAlign w:val="center"/>
          </w:tcPr>
          <w:p w14:paraId="3A2B176E">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8F7894B">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17F1AF9C">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5811D1E7">
            <w:pPr>
              <w:widowControl/>
              <w:spacing w:line="420" w:lineRule="exact"/>
              <w:jc w:val="center"/>
              <w:rPr>
                <w:sz w:val="21"/>
                <w:szCs w:val="21"/>
                <w:lang w:eastAsia="en-US"/>
              </w:rPr>
            </w:pPr>
            <w:r>
              <w:rPr>
                <w:sz w:val="21"/>
                <w:szCs w:val="21"/>
                <w:lang w:eastAsia="en-US"/>
              </w:rPr>
              <w:t>达标</w:t>
            </w:r>
          </w:p>
        </w:tc>
      </w:tr>
      <w:tr w14:paraId="0D8959D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03B0F86">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64ADC97">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48BACC9">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31CB0C80">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056DCA6B">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FE189F2">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672CFA1">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531F459">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6F1DA79">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3D807AC7">
            <w:pPr>
              <w:widowControl/>
              <w:spacing w:line="420" w:lineRule="exact"/>
              <w:jc w:val="center"/>
              <w:rPr>
                <w:sz w:val="21"/>
                <w:szCs w:val="21"/>
                <w:lang w:eastAsia="en-US"/>
              </w:rPr>
            </w:pPr>
            <w:r>
              <w:rPr>
                <w:sz w:val="21"/>
                <w:szCs w:val="21"/>
                <w:lang w:eastAsia="en-US"/>
              </w:rPr>
              <w:t>达标</w:t>
            </w:r>
          </w:p>
        </w:tc>
      </w:tr>
      <w:tr w14:paraId="3249EF2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EDAF4BE">
            <w:pPr>
              <w:widowControl/>
              <w:spacing w:line="420" w:lineRule="exact"/>
              <w:jc w:val="center"/>
              <w:rPr>
                <w:sz w:val="21"/>
                <w:szCs w:val="21"/>
                <w:lang w:eastAsia="en-US"/>
              </w:rPr>
            </w:pPr>
            <w:r>
              <w:rPr>
                <w:rFonts w:hint="eastAsia"/>
                <w:sz w:val="21"/>
                <w:szCs w:val="21"/>
                <w:lang w:eastAsia="en-US"/>
              </w:rPr>
              <w:t>17</w:t>
            </w:r>
          </w:p>
        </w:tc>
        <w:tc>
          <w:tcPr>
            <w:tcW w:w="1145" w:type="dxa"/>
            <w:vMerge w:val="restart"/>
            <w:tcBorders>
              <w:tl2br w:val="nil"/>
              <w:tr2bl w:val="nil"/>
            </w:tcBorders>
            <w:shd w:val="clear" w:color="auto" w:fill="auto"/>
            <w:vAlign w:val="center"/>
          </w:tcPr>
          <w:p w14:paraId="6D8AA0CB">
            <w:pPr>
              <w:widowControl/>
              <w:spacing w:line="420" w:lineRule="exact"/>
              <w:jc w:val="center"/>
              <w:rPr>
                <w:sz w:val="21"/>
                <w:szCs w:val="21"/>
                <w:lang w:eastAsia="en-US"/>
              </w:rPr>
            </w:pPr>
            <w:r>
              <w:rPr>
                <w:sz w:val="21"/>
                <w:szCs w:val="21"/>
                <w:lang w:eastAsia="en-US"/>
              </w:rPr>
              <w:t>天一家园</w:t>
            </w:r>
          </w:p>
        </w:tc>
        <w:tc>
          <w:tcPr>
            <w:tcW w:w="737" w:type="dxa"/>
            <w:vMerge w:val="restart"/>
            <w:tcBorders>
              <w:tl2br w:val="nil"/>
              <w:tr2bl w:val="nil"/>
            </w:tcBorders>
            <w:shd w:val="clear" w:color="auto" w:fill="auto"/>
            <w:vAlign w:val="center"/>
          </w:tcPr>
          <w:p w14:paraId="3A0C1742">
            <w:pPr>
              <w:widowControl/>
              <w:spacing w:line="420" w:lineRule="exact"/>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7B80BEAD">
            <w:pPr>
              <w:widowControl/>
              <w:spacing w:line="420" w:lineRule="exact"/>
              <w:jc w:val="center"/>
              <w:rPr>
                <w:sz w:val="21"/>
                <w:szCs w:val="21"/>
                <w:lang w:eastAsia="en-US"/>
              </w:rPr>
            </w:pPr>
            <w:r>
              <w:rPr>
                <w:rFonts w:hint="eastAsia"/>
                <w:sz w:val="21"/>
                <w:szCs w:val="21"/>
                <w:lang w:eastAsia="en-US"/>
              </w:rPr>
              <w:t>1414</w:t>
            </w:r>
          </w:p>
        </w:tc>
        <w:tc>
          <w:tcPr>
            <w:tcW w:w="914" w:type="dxa"/>
            <w:tcBorders>
              <w:tl2br w:val="nil"/>
              <w:tr2bl w:val="nil"/>
            </w:tcBorders>
            <w:shd w:val="clear" w:color="auto" w:fill="auto"/>
            <w:vAlign w:val="center"/>
          </w:tcPr>
          <w:p w14:paraId="3A1EF61A">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52D1274">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080701</w:t>
            </w:r>
          </w:p>
        </w:tc>
        <w:tc>
          <w:tcPr>
            <w:tcW w:w="1182" w:type="dxa"/>
            <w:tcBorders>
              <w:tl2br w:val="nil"/>
              <w:tr2bl w:val="nil"/>
            </w:tcBorders>
            <w:shd w:val="clear" w:color="auto" w:fill="auto"/>
            <w:vAlign w:val="center"/>
          </w:tcPr>
          <w:p w14:paraId="15BF4AE5">
            <w:pPr>
              <w:widowControl w:val="0"/>
              <w:spacing w:line="420" w:lineRule="exact"/>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69F48DDF">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EC0F863">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60977766">
            <w:pPr>
              <w:widowControl/>
              <w:spacing w:line="420" w:lineRule="exact"/>
              <w:jc w:val="center"/>
              <w:rPr>
                <w:sz w:val="21"/>
                <w:szCs w:val="21"/>
                <w:lang w:eastAsia="en-US"/>
              </w:rPr>
            </w:pPr>
            <w:r>
              <w:rPr>
                <w:sz w:val="21"/>
                <w:szCs w:val="21"/>
                <w:lang w:eastAsia="en-US"/>
              </w:rPr>
              <w:t>达标</w:t>
            </w:r>
          </w:p>
        </w:tc>
      </w:tr>
      <w:tr w14:paraId="5764D46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4A93785">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6F77CBB9">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A916791">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E6A8FF1">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63739DF3">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2A4EC65">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w:t>
            </w:r>
          </w:p>
        </w:tc>
        <w:tc>
          <w:tcPr>
            <w:tcW w:w="1182" w:type="dxa"/>
            <w:tcBorders>
              <w:tl2br w:val="nil"/>
              <w:tr2bl w:val="nil"/>
            </w:tcBorders>
            <w:shd w:val="clear" w:color="auto" w:fill="auto"/>
            <w:vAlign w:val="center"/>
          </w:tcPr>
          <w:p w14:paraId="3AF16452">
            <w:pPr>
              <w:widowControl w:val="0"/>
              <w:spacing w:line="42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2C92FDFC">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25BB6DA6">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5122ACC6">
            <w:pPr>
              <w:widowControl/>
              <w:spacing w:line="420" w:lineRule="exact"/>
              <w:jc w:val="center"/>
              <w:rPr>
                <w:sz w:val="21"/>
                <w:szCs w:val="21"/>
                <w:lang w:eastAsia="en-US"/>
              </w:rPr>
            </w:pPr>
            <w:r>
              <w:rPr>
                <w:sz w:val="21"/>
                <w:szCs w:val="21"/>
                <w:lang w:eastAsia="en-US"/>
              </w:rPr>
              <w:t>达标</w:t>
            </w:r>
          </w:p>
        </w:tc>
      </w:tr>
      <w:tr w14:paraId="79FD270D">
        <w:tblPrEx>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2831234">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35D851F0">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2614E462">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1D706F29">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4FA0AD2">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E2C050E">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18F2565">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F094FC2">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21F92C2">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5C795DAC">
            <w:pPr>
              <w:widowControl/>
              <w:spacing w:line="420" w:lineRule="exact"/>
              <w:jc w:val="center"/>
              <w:rPr>
                <w:sz w:val="21"/>
                <w:szCs w:val="21"/>
                <w:lang w:eastAsia="en-US"/>
              </w:rPr>
            </w:pPr>
            <w:r>
              <w:rPr>
                <w:sz w:val="21"/>
                <w:szCs w:val="21"/>
                <w:lang w:eastAsia="en-US"/>
              </w:rPr>
              <w:t>达标</w:t>
            </w:r>
          </w:p>
        </w:tc>
      </w:tr>
      <w:tr w14:paraId="10A6E7B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40E4FB9">
            <w:pPr>
              <w:widowControl/>
              <w:spacing w:line="420" w:lineRule="exact"/>
              <w:jc w:val="center"/>
              <w:rPr>
                <w:sz w:val="21"/>
                <w:szCs w:val="21"/>
                <w:lang w:eastAsia="en-US"/>
              </w:rPr>
            </w:pPr>
            <w:r>
              <w:rPr>
                <w:rFonts w:hint="eastAsia"/>
                <w:sz w:val="21"/>
                <w:szCs w:val="21"/>
                <w:lang w:eastAsia="en-US"/>
              </w:rPr>
              <w:t>18</w:t>
            </w:r>
          </w:p>
        </w:tc>
        <w:tc>
          <w:tcPr>
            <w:tcW w:w="1145" w:type="dxa"/>
            <w:vMerge w:val="restart"/>
            <w:tcBorders>
              <w:tl2br w:val="nil"/>
              <w:tr2bl w:val="nil"/>
            </w:tcBorders>
            <w:shd w:val="clear" w:color="auto" w:fill="auto"/>
            <w:vAlign w:val="center"/>
          </w:tcPr>
          <w:p w14:paraId="6517CD7F">
            <w:pPr>
              <w:widowControl/>
              <w:spacing w:line="420" w:lineRule="exact"/>
              <w:jc w:val="center"/>
              <w:rPr>
                <w:sz w:val="21"/>
                <w:szCs w:val="21"/>
                <w:lang w:eastAsia="en-US"/>
              </w:rPr>
            </w:pPr>
            <w:r>
              <w:rPr>
                <w:sz w:val="21"/>
                <w:szCs w:val="21"/>
                <w:lang w:eastAsia="en-US"/>
              </w:rPr>
              <w:t>长通名城</w:t>
            </w:r>
          </w:p>
        </w:tc>
        <w:tc>
          <w:tcPr>
            <w:tcW w:w="737" w:type="dxa"/>
            <w:vMerge w:val="restart"/>
            <w:tcBorders>
              <w:tl2br w:val="nil"/>
              <w:tr2bl w:val="nil"/>
            </w:tcBorders>
            <w:shd w:val="clear" w:color="auto" w:fill="auto"/>
            <w:vAlign w:val="center"/>
          </w:tcPr>
          <w:p w14:paraId="0397169A">
            <w:pPr>
              <w:widowControl/>
              <w:spacing w:line="420" w:lineRule="exact"/>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0E2D193B">
            <w:pPr>
              <w:widowControl/>
              <w:spacing w:line="420" w:lineRule="exact"/>
              <w:jc w:val="center"/>
              <w:rPr>
                <w:sz w:val="21"/>
                <w:szCs w:val="21"/>
                <w:lang w:eastAsia="en-US"/>
              </w:rPr>
            </w:pPr>
            <w:r>
              <w:rPr>
                <w:rFonts w:hint="eastAsia"/>
                <w:sz w:val="21"/>
                <w:szCs w:val="21"/>
                <w:lang w:eastAsia="en-US"/>
              </w:rPr>
              <w:t>1675</w:t>
            </w:r>
          </w:p>
        </w:tc>
        <w:tc>
          <w:tcPr>
            <w:tcW w:w="914" w:type="dxa"/>
            <w:tcBorders>
              <w:tl2br w:val="nil"/>
              <w:tr2bl w:val="nil"/>
            </w:tcBorders>
            <w:shd w:val="clear" w:color="auto" w:fill="auto"/>
            <w:vAlign w:val="center"/>
          </w:tcPr>
          <w:p w14:paraId="01847EE7">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1285DD9">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052419</w:t>
            </w:r>
          </w:p>
        </w:tc>
        <w:tc>
          <w:tcPr>
            <w:tcW w:w="1182" w:type="dxa"/>
            <w:tcBorders>
              <w:tl2br w:val="nil"/>
              <w:tr2bl w:val="nil"/>
            </w:tcBorders>
            <w:shd w:val="clear" w:color="auto" w:fill="auto"/>
            <w:vAlign w:val="center"/>
          </w:tcPr>
          <w:p w14:paraId="1192E060">
            <w:pPr>
              <w:widowControl w:val="0"/>
              <w:spacing w:line="42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7F9EF7FD">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6CA9D9E">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029C1F81">
            <w:pPr>
              <w:widowControl/>
              <w:spacing w:line="420" w:lineRule="exact"/>
              <w:jc w:val="center"/>
              <w:rPr>
                <w:sz w:val="21"/>
                <w:szCs w:val="21"/>
                <w:lang w:eastAsia="en-US"/>
              </w:rPr>
            </w:pPr>
            <w:r>
              <w:rPr>
                <w:sz w:val="21"/>
                <w:szCs w:val="21"/>
                <w:lang w:eastAsia="en-US"/>
              </w:rPr>
              <w:t>达标</w:t>
            </w:r>
          </w:p>
        </w:tc>
      </w:tr>
      <w:tr w14:paraId="23D3202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7148B73">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6EE7B50A">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0C3A7FA5">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41340755">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60EB089">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2BA7BB6">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0531</w:t>
            </w:r>
          </w:p>
        </w:tc>
        <w:tc>
          <w:tcPr>
            <w:tcW w:w="1182" w:type="dxa"/>
            <w:tcBorders>
              <w:tl2br w:val="nil"/>
              <w:tr2bl w:val="nil"/>
            </w:tcBorders>
            <w:shd w:val="clear" w:color="auto" w:fill="auto"/>
            <w:vAlign w:val="center"/>
          </w:tcPr>
          <w:p w14:paraId="613DE593">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19B7C1F">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D1AA7B0">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47B1CB33">
            <w:pPr>
              <w:widowControl/>
              <w:spacing w:line="420" w:lineRule="exact"/>
              <w:jc w:val="center"/>
              <w:rPr>
                <w:sz w:val="21"/>
                <w:szCs w:val="21"/>
                <w:lang w:eastAsia="en-US"/>
              </w:rPr>
            </w:pPr>
            <w:r>
              <w:rPr>
                <w:sz w:val="21"/>
                <w:szCs w:val="21"/>
                <w:lang w:eastAsia="en-US"/>
              </w:rPr>
              <w:t>达标</w:t>
            </w:r>
          </w:p>
        </w:tc>
      </w:tr>
      <w:tr w14:paraId="6C6D176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B1B48BA">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44082F6">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5B68FFAD">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671258B6">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44EFAE74">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D196AAC">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6D54319">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1756379">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A355706">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7692156A">
            <w:pPr>
              <w:widowControl/>
              <w:spacing w:line="420" w:lineRule="exact"/>
              <w:jc w:val="center"/>
              <w:rPr>
                <w:sz w:val="21"/>
                <w:szCs w:val="21"/>
                <w:lang w:eastAsia="en-US"/>
              </w:rPr>
            </w:pPr>
            <w:r>
              <w:rPr>
                <w:sz w:val="21"/>
                <w:szCs w:val="21"/>
                <w:lang w:eastAsia="en-US"/>
              </w:rPr>
              <w:t>达标</w:t>
            </w:r>
          </w:p>
        </w:tc>
      </w:tr>
      <w:tr w14:paraId="1AB5AF8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B83ADF2">
            <w:pPr>
              <w:widowControl/>
              <w:spacing w:line="420" w:lineRule="exact"/>
              <w:jc w:val="center"/>
              <w:rPr>
                <w:sz w:val="21"/>
                <w:szCs w:val="21"/>
                <w:lang w:eastAsia="en-US"/>
              </w:rPr>
            </w:pPr>
            <w:r>
              <w:rPr>
                <w:rFonts w:hint="eastAsia"/>
                <w:sz w:val="21"/>
                <w:szCs w:val="21"/>
                <w:lang w:eastAsia="en-US"/>
              </w:rPr>
              <w:t>19</w:t>
            </w:r>
          </w:p>
        </w:tc>
        <w:tc>
          <w:tcPr>
            <w:tcW w:w="1145" w:type="dxa"/>
            <w:vMerge w:val="restart"/>
            <w:tcBorders>
              <w:tl2br w:val="nil"/>
              <w:tr2bl w:val="nil"/>
            </w:tcBorders>
            <w:shd w:val="clear" w:color="auto" w:fill="auto"/>
            <w:vAlign w:val="center"/>
          </w:tcPr>
          <w:p w14:paraId="77703A3A">
            <w:pPr>
              <w:widowControl/>
              <w:spacing w:line="420" w:lineRule="exact"/>
              <w:jc w:val="center"/>
              <w:rPr>
                <w:sz w:val="21"/>
                <w:szCs w:val="21"/>
                <w:lang w:eastAsia="en-US"/>
              </w:rPr>
            </w:pPr>
            <w:r>
              <w:rPr>
                <w:sz w:val="21"/>
                <w:szCs w:val="21"/>
                <w:lang w:eastAsia="en-US"/>
              </w:rPr>
              <w:t>湘潭碧桂园</w:t>
            </w:r>
          </w:p>
        </w:tc>
        <w:tc>
          <w:tcPr>
            <w:tcW w:w="737" w:type="dxa"/>
            <w:vMerge w:val="restart"/>
            <w:tcBorders>
              <w:tl2br w:val="nil"/>
              <w:tr2bl w:val="nil"/>
            </w:tcBorders>
            <w:shd w:val="clear" w:color="auto" w:fill="auto"/>
            <w:vAlign w:val="center"/>
          </w:tcPr>
          <w:p w14:paraId="77453E50">
            <w:pPr>
              <w:widowControl/>
              <w:spacing w:line="420" w:lineRule="exact"/>
              <w:jc w:val="center"/>
              <w:rPr>
                <w:sz w:val="21"/>
                <w:szCs w:val="21"/>
                <w:lang w:eastAsia="en-US"/>
              </w:rPr>
            </w:pPr>
            <w:r>
              <w:rPr>
                <w:rFonts w:hint="eastAsia"/>
                <w:sz w:val="21"/>
                <w:szCs w:val="21"/>
                <w:lang w:eastAsia="en-US"/>
              </w:rPr>
              <w:t>1590</w:t>
            </w:r>
          </w:p>
        </w:tc>
        <w:tc>
          <w:tcPr>
            <w:tcW w:w="647" w:type="dxa"/>
            <w:vMerge w:val="restart"/>
            <w:tcBorders>
              <w:tl2br w:val="nil"/>
              <w:tr2bl w:val="nil"/>
            </w:tcBorders>
            <w:shd w:val="clear" w:color="auto" w:fill="auto"/>
            <w:vAlign w:val="center"/>
          </w:tcPr>
          <w:p w14:paraId="03B7079F">
            <w:pPr>
              <w:widowControl/>
              <w:spacing w:line="420" w:lineRule="exact"/>
              <w:jc w:val="center"/>
              <w:rPr>
                <w:sz w:val="21"/>
                <w:szCs w:val="21"/>
                <w:lang w:eastAsia="en-US"/>
              </w:rPr>
            </w:pPr>
            <w:r>
              <w:rPr>
                <w:rFonts w:hint="eastAsia"/>
                <w:sz w:val="21"/>
                <w:szCs w:val="21"/>
                <w:lang w:eastAsia="en-US"/>
              </w:rPr>
              <w:t>1772</w:t>
            </w:r>
          </w:p>
        </w:tc>
        <w:tc>
          <w:tcPr>
            <w:tcW w:w="914" w:type="dxa"/>
            <w:tcBorders>
              <w:tl2br w:val="nil"/>
              <w:tr2bl w:val="nil"/>
            </w:tcBorders>
            <w:shd w:val="clear" w:color="auto" w:fill="auto"/>
            <w:vAlign w:val="center"/>
          </w:tcPr>
          <w:p w14:paraId="5DF03AD8">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3E9A9F1">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82" w:type="dxa"/>
            <w:tcBorders>
              <w:tl2br w:val="nil"/>
              <w:tr2bl w:val="nil"/>
            </w:tcBorders>
            <w:shd w:val="clear" w:color="auto" w:fill="auto"/>
            <w:vAlign w:val="center"/>
          </w:tcPr>
          <w:p w14:paraId="63F30BB5">
            <w:pPr>
              <w:widowControl w:val="0"/>
              <w:spacing w:line="42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72EE34F7">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7B4A33BF">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76377027">
            <w:pPr>
              <w:widowControl/>
              <w:spacing w:line="420" w:lineRule="exact"/>
              <w:jc w:val="center"/>
              <w:rPr>
                <w:sz w:val="21"/>
                <w:szCs w:val="21"/>
                <w:lang w:eastAsia="en-US"/>
              </w:rPr>
            </w:pPr>
            <w:r>
              <w:rPr>
                <w:sz w:val="21"/>
                <w:szCs w:val="21"/>
                <w:lang w:eastAsia="en-US"/>
              </w:rPr>
              <w:t>达标</w:t>
            </w:r>
          </w:p>
        </w:tc>
      </w:tr>
      <w:tr w14:paraId="11156CC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85E8251">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ABCB850">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55C44D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70C011AC">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07886DEE">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7338280">
            <w:pPr>
              <w:widowControl w:val="0"/>
              <w:spacing w:line="420" w:lineRule="exact"/>
              <w:jc w:val="center"/>
              <w:rPr>
                <w:sz w:val="21"/>
                <w:szCs w:val="21"/>
                <w:lang w:eastAsia="en-US"/>
              </w:rPr>
            </w:pPr>
            <w:r>
              <w:rPr>
                <w:sz w:val="21"/>
                <w:szCs w:val="21"/>
                <w:lang w:eastAsia="en-US"/>
              </w:rPr>
              <w:t>2</w:t>
            </w:r>
            <w:r>
              <w:rPr>
                <w:rFonts w:hint="eastAsia" w:ascii="Times New Roman" w:eastAsia="宋体"/>
                <w:sz w:val="21"/>
                <w:szCs w:val="21"/>
                <w:lang w:val="en-US" w:eastAsia="zh-CN"/>
              </w:rPr>
              <w:t>4</w:t>
            </w:r>
            <w:r>
              <w:rPr>
                <w:sz w:val="21"/>
                <w:szCs w:val="21"/>
                <w:lang w:eastAsia="en-US"/>
              </w:rPr>
              <w:t>0101</w:t>
            </w:r>
          </w:p>
        </w:tc>
        <w:tc>
          <w:tcPr>
            <w:tcW w:w="1182" w:type="dxa"/>
            <w:tcBorders>
              <w:tl2br w:val="nil"/>
              <w:tr2bl w:val="nil"/>
            </w:tcBorders>
            <w:shd w:val="clear" w:color="auto" w:fill="auto"/>
            <w:vAlign w:val="center"/>
          </w:tcPr>
          <w:p w14:paraId="479FF2F8">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2C1455C">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8A625F1">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29E7C9B4">
            <w:pPr>
              <w:widowControl/>
              <w:spacing w:line="420" w:lineRule="exact"/>
              <w:jc w:val="center"/>
              <w:rPr>
                <w:sz w:val="21"/>
                <w:szCs w:val="21"/>
                <w:lang w:eastAsia="en-US"/>
              </w:rPr>
            </w:pPr>
            <w:r>
              <w:rPr>
                <w:sz w:val="21"/>
                <w:szCs w:val="21"/>
                <w:lang w:eastAsia="en-US"/>
              </w:rPr>
              <w:t>达标</w:t>
            </w:r>
          </w:p>
        </w:tc>
      </w:tr>
      <w:tr w14:paraId="2D479DB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336DD49">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53E4C621">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84B4270">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74153850">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38364F90">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EFD4C99">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768EE67">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027FB98">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3ECE1B2">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7A285600">
            <w:pPr>
              <w:widowControl/>
              <w:spacing w:line="420" w:lineRule="exact"/>
              <w:jc w:val="center"/>
              <w:rPr>
                <w:sz w:val="21"/>
                <w:szCs w:val="21"/>
                <w:lang w:eastAsia="en-US"/>
              </w:rPr>
            </w:pPr>
            <w:r>
              <w:rPr>
                <w:sz w:val="21"/>
                <w:szCs w:val="21"/>
                <w:lang w:eastAsia="en-US"/>
              </w:rPr>
              <w:t>达标</w:t>
            </w:r>
          </w:p>
        </w:tc>
      </w:tr>
      <w:tr w14:paraId="0F6BB7F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32D165F">
            <w:pPr>
              <w:widowControl/>
              <w:spacing w:line="420" w:lineRule="exact"/>
              <w:jc w:val="center"/>
              <w:rPr>
                <w:sz w:val="21"/>
                <w:szCs w:val="21"/>
                <w:lang w:eastAsia="en-US"/>
              </w:rPr>
            </w:pPr>
            <w:r>
              <w:rPr>
                <w:rFonts w:hint="eastAsia"/>
                <w:sz w:val="21"/>
                <w:szCs w:val="21"/>
                <w:lang w:eastAsia="en-US"/>
              </w:rPr>
              <w:t>20</w:t>
            </w:r>
          </w:p>
        </w:tc>
        <w:tc>
          <w:tcPr>
            <w:tcW w:w="1145" w:type="dxa"/>
            <w:vMerge w:val="restart"/>
            <w:tcBorders>
              <w:tl2br w:val="nil"/>
              <w:tr2bl w:val="nil"/>
            </w:tcBorders>
            <w:shd w:val="clear" w:color="auto" w:fill="auto"/>
            <w:vAlign w:val="center"/>
          </w:tcPr>
          <w:p w14:paraId="4778810C">
            <w:pPr>
              <w:widowControl/>
              <w:spacing w:line="420" w:lineRule="exact"/>
              <w:jc w:val="center"/>
              <w:rPr>
                <w:sz w:val="21"/>
                <w:szCs w:val="21"/>
                <w:lang w:eastAsia="zh-CN"/>
              </w:rPr>
            </w:pPr>
            <w:r>
              <w:rPr>
                <w:sz w:val="21"/>
                <w:szCs w:val="21"/>
                <w:lang w:eastAsia="zh-CN"/>
              </w:rPr>
              <w:t>东北侧湘潭县居民居住集中区</w:t>
            </w:r>
          </w:p>
        </w:tc>
        <w:tc>
          <w:tcPr>
            <w:tcW w:w="737" w:type="dxa"/>
            <w:vMerge w:val="restart"/>
            <w:tcBorders>
              <w:tl2br w:val="nil"/>
              <w:tr2bl w:val="nil"/>
            </w:tcBorders>
            <w:shd w:val="clear" w:color="auto" w:fill="auto"/>
            <w:vAlign w:val="center"/>
          </w:tcPr>
          <w:p w14:paraId="617BFB47">
            <w:pPr>
              <w:widowControl/>
              <w:spacing w:line="420" w:lineRule="exact"/>
              <w:jc w:val="center"/>
              <w:rPr>
                <w:sz w:val="21"/>
                <w:szCs w:val="21"/>
                <w:lang w:eastAsia="en-US"/>
              </w:rPr>
            </w:pPr>
            <w:r>
              <w:rPr>
                <w:rFonts w:hint="eastAsia"/>
                <w:sz w:val="21"/>
                <w:szCs w:val="21"/>
                <w:lang w:eastAsia="en-US"/>
              </w:rPr>
              <w:t>582</w:t>
            </w:r>
          </w:p>
        </w:tc>
        <w:tc>
          <w:tcPr>
            <w:tcW w:w="647" w:type="dxa"/>
            <w:vMerge w:val="restart"/>
            <w:tcBorders>
              <w:tl2br w:val="nil"/>
              <w:tr2bl w:val="nil"/>
            </w:tcBorders>
            <w:shd w:val="clear" w:color="auto" w:fill="auto"/>
            <w:vAlign w:val="center"/>
          </w:tcPr>
          <w:p w14:paraId="7A3403BB">
            <w:pPr>
              <w:widowControl/>
              <w:spacing w:line="420" w:lineRule="exact"/>
              <w:jc w:val="center"/>
              <w:rPr>
                <w:sz w:val="21"/>
                <w:szCs w:val="21"/>
                <w:lang w:eastAsia="en-US"/>
              </w:rPr>
            </w:pPr>
            <w:r>
              <w:rPr>
                <w:rFonts w:hint="eastAsia"/>
                <w:sz w:val="21"/>
                <w:szCs w:val="21"/>
                <w:lang w:eastAsia="en-US"/>
              </w:rPr>
              <w:t>2019</w:t>
            </w:r>
          </w:p>
        </w:tc>
        <w:tc>
          <w:tcPr>
            <w:tcW w:w="914" w:type="dxa"/>
            <w:tcBorders>
              <w:tl2br w:val="nil"/>
              <w:tr2bl w:val="nil"/>
            </w:tcBorders>
            <w:shd w:val="clear" w:color="auto" w:fill="auto"/>
            <w:vAlign w:val="center"/>
          </w:tcPr>
          <w:p w14:paraId="5A4C3FF0">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BDAB85C">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100403</w:t>
            </w:r>
          </w:p>
        </w:tc>
        <w:tc>
          <w:tcPr>
            <w:tcW w:w="1182" w:type="dxa"/>
            <w:tcBorders>
              <w:tl2br w:val="nil"/>
              <w:tr2bl w:val="nil"/>
            </w:tcBorders>
            <w:shd w:val="clear" w:color="auto" w:fill="auto"/>
            <w:vAlign w:val="center"/>
          </w:tcPr>
          <w:p w14:paraId="17274762">
            <w:pPr>
              <w:widowControl w:val="0"/>
              <w:spacing w:line="420" w:lineRule="exact"/>
              <w:jc w:val="center"/>
              <w:rPr>
                <w:sz w:val="21"/>
                <w:szCs w:val="21"/>
                <w:lang w:eastAsia="en-US"/>
              </w:rPr>
            </w:pPr>
            <w:r>
              <w:rPr>
                <w:sz w:val="21"/>
                <w:szCs w:val="21"/>
                <w:lang w:eastAsia="en-US"/>
              </w:rPr>
              <w:t>0.0016</w:t>
            </w:r>
          </w:p>
        </w:tc>
        <w:tc>
          <w:tcPr>
            <w:tcW w:w="914" w:type="dxa"/>
            <w:tcBorders>
              <w:tl2br w:val="nil"/>
              <w:tr2bl w:val="nil"/>
            </w:tcBorders>
            <w:shd w:val="clear" w:color="auto" w:fill="auto"/>
            <w:vAlign w:val="center"/>
          </w:tcPr>
          <w:p w14:paraId="6D3E8119">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D5B506A">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1633E895">
            <w:pPr>
              <w:widowControl/>
              <w:spacing w:line="420" w:lineRule="exact"/>
              <w:jc w:val="center"/>
              <w:rPr>
                <w:sz w:val="21"/>
                <w:szCs w:val="21"/>
                <w:lang w:eastAsia="en-US"/>
              </w:rPr>
            </w:pPr>
            <w:r>
              <w:rPr>
                <w:sz w:val="21"/>
                <w:szCs w:val="21"/>
                <w:lang w:eastAsia="en-US"/>
              </w:rPr>
              <w:t>达标</w:t>
            </w:r>
          </w:p>
        </w:tc>
      </w:tr>
      <w:tr w14:paraId="7B891E5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0BA30BC">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919D9EF">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1F7E3702">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44F2B426">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410797D">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C48C89B">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0614</w:t>
            </w:r>
          </w:p>
        </w:tc>
        <w:tc>
          <w:tcPr>
            <w:tcW w:w="1182" w:type="dxa"/>
            <w:tcBorders>
              <w:tl2br w:val="nil"/>
              <w:tr2bl w:val="nil"/>
            </w:tcBorders>
            <w:shd w:val="clear" w:color="auto" w:fill="auto"/>
            <w:vAlign w:val="center"/>
          </w:tcPr>
          <w:p w14:paraId="0098A5CE">
            <w:pPr>
              <w:widowControl w:val="0"/>
              <w:spacing w:line="42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7A48FF5B">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0EF36CCE">
            <w:pPr>
              <w:widowControl w:val="0"/>
              <w:spacing w:line="420" w:lineRule="exact"/>
              <w:jc w:val="center"/>
              <w:rPr>
                <w:sz w:val="21"/>
                <w:szCs w:val="21"/>
                <w:lang w:eastAsia="en-US"/>
              </w:rPr>
            </w:pPr>
            <w:r>
              <w:rPr>
                <w:sz w:val="21"/>
                <w:szCs w:val="21"/>
                <w:lang w:eastAsia="en-US"/>
              </w:rPr>
              <w:t>0.09</w:t>
            </w:r>
          </w:p>
        </w:tc>
        <w:tc>
          <w:tcPr>
            <w:tcW w:w="716" w:type="dxa"/>
            <w:tcBorders>
              <w:tl2br w:val="nil"/>
              <w:tr2bl w:val="nil"/>
            </w:tcBorders>
            <w:shd w:val="clear" w:color="auto" w:fill="auto"/>
            <w:vAlign w:val="center"/>
          </w:tcPr>
          <w:p w14:paraId="355DE1DE">
            <w:pPr>
              <w:widowControl/>
              <w:spacing w:line="420" w:lineRule="exact"/>
              <w:jc w:val="center"/>
              <w:rPr>
                <w:sz w:val="21"/>
                <w:szCs w:val="21"/>
                <w:lang w:eastAsia="en-US"/>
              </w:rPr>
            </w:pPr>
            <w:r>
              <w:rPr>
                <w:sz w:val="21"/>
                <w:szCs w:val="21"/>
                <w:lang w:eastAsia="en-US"/>
              </w:rPr>
              <w:t>达标</w:t>
            </w:r>
          </w:p>
        </w:tc>
      </w:tr>
      <w:tr w14:paraId="2093FD3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87DD130">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7EB99BFA">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204AED55">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C8F14DA">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4EA25C00">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3B7C144">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7E38A70">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6DC9AAD">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60A7B73">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543D0409">
            <w:pPr>
              <w:widowControl/>
              <w:spacing w:line="420" w:lineRule="exact"/>
              <w:jc w:val="center"/>
              <w:rPr>
                <w:sz w:val="21"/>
                <w:szCs w:val="21"/>
                <w:lang w:eastAsia="en-US"/>
              </w:rPr>
            </w:pPr>
            <w:r>
              <w:rPr>
                <w:sz w:val="21"/>
                <w:szCs w:val="21"/>
                <w:lang w:eastAsia="en-US"/>
              </w:rPr>
              <w:t>达标</w:t>
            </w:r>
          </w:p>
        </w:tc>
      </w:tr>
      <w:tr w14:paraId="2C2EE4C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957CFEB">
            <w:pPr>
              <w:widowControl/>
              <w:spacing w:line="420" w:lineRule="exact"/>
              <w:jc w:val="center"/>
              <w:rPr>
                <w:sz w:val="21"/>
                <w:szCs w:val="21"/>
                <w:lang w:eastAsia="en-US"/>
              </w:rPr>
            </w:pPr>
            <w:r>
              <w:rPr>
                <w:rFonts w:hint="eastAsia"/>
                <w:sz w:val="21"/>
                <w:szCs w:val="21"/>
                <w:lang w:eastAsia="en-US"/>
              </w:rPr>
              <w:t>21</w:t>
            </w:r>
          </w:p>
        </w:tc>
        <w:tc>
          <w:tcPr>
            <w:tcW w:w="1145" w:type="dxa"/>
            <w:vMerge w:val="restart"/>
            <w:tcBorders>
              <w:tl2br w:val="nil"/>
              <w:tr2bl w:val="nil"/>
            </w:tcBorders>
            <w:shd w:val="clear" w:color="auto" w:fill="auto"/>
            <w:vAlign w:val="center"/>
          </w:tcPr>
          <w:p w14:paraId="2EB44BEC">
            <w:pPr>
              <w:widowControl/>
              <w:spacing w:line="420" w:lineRule="exact"/>
              <w:jc w:val="center"/>
              <w:rPr>
                <w:sz w:val="21"/>
                <w:szCs w:val="21"/>
                <w:lang w:eastAsia="zh-CN"/>
              </w:rPr>
            </w:pPr>
            <w:r>
              <w:rPr>
                <w:sz w:val="21"/>
                <w:szCs w:val="21"/>
                <w:lang w:eastAsia="zh-CN"/>
              </w:rPr>
              <w:t>西北侧湘潭县居民居住集中区</w:t>
            </w:r>
          </w:p>
        </w:tc>
        <w:tc>
          <w:tcPr>
            <w:tcW w:w="737" w:type="dxa"/>
            <w:vMerge w:val="restart"/>
            <w:tcBorders>
              <w:tl2br w:val="nil"/>
              <w:tr2bl w:val="nil"/>
            </w:tcBorders>
            <w:shd w:val="clear" w:color="auto" w:fill="auto"/>
            <w:vAlign w:val="center"/>
          </w:tcPr>
          <w:p w14:paraId="74AC6985">
            <w:pPr>
              <w:widowControl/>
              <w:spacing w:line="420" w:lineRule="exact"/>
              <w:jc w:val="center"/>
              <w:rPr>
                <w:sz w:val="21"/>
                <w:szCs w:val="21"/>
                <w:lang w:eastAsia="en-US"/>
              </w:rPr>
            </w:pPr>
            <w:r>
              <w:rPr>
                <w:rFonts w:hint="eastAsia"/>
                <w:sz w:val="21"/>
                <w:szCs w:val="21"/>
                <w:lang w:eastAsia="en-US"/>
              </w:rPr>
              <w:t>-1045</w:t>
            </w:r>
          </w:p>
        </w:tc>
        <w:tc>
          <w:tcPr>
            <w:tcW w:w="647" w:type="dxa"/>
            <w:vMerge w:val="restart"/>
            <w:tcBorders>
              <w:tl2br w:val="nil"/>
              <w:tr2bl w:val="nil"/>
            </w:tcBorders>
            <w:shd w:val="clear" w:color="auto" w:fill="auto"/>
            <w:vAlign w:val="center"/>
          </w:tcPr>
          <w:p w14:paraId="00FF7037">
            <w:pPr>
              <w:widowControl/>
              <w:spacing w:line="420" w:lineRule="exact"/>
              <w:jc w:val="center"/>
              <w:rPr>
                <w:sz w:val="21"/>
                <w:szCs w:val="21"/>
                <w:lang w:eastAsia="en-US"/>
              </w:rPr>
            </w:pPr>
            <w:r>
              <w:rPr>
                <w:rFonts w:hint="eastAsia"/>
                <w:sz w:val="21"/>
                <w:szCs w:val="21"/>
                <w:lang w:eastAsia="en-US"/>
              </w:rPr>
              <w:t>1765</w:t>
            </w:r>
          </w:p>
        </w:tc>
        <w:tc>
          <w:tcPr>
            <w:tcW w:w="914" w:type="dxa"/>
            <w:tcBorders>
              <w:tl2br w:val="nil"/>
              <w:tr2bl w:val="nil"/>
            </w:tcBorders>
            <w:shd w:val="clear" w:color="auto" w:fill="auto"/>
            <w:vAlign w:val="center"/>
          </w:tcPr>
          <w:p w14:paraId="413C4D6C">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ACD0199">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052423</w:t>
            </w:r>
          </w:p>
        </w:tc>
        <w:tc>
          <w:tcPr>
            <w:tcW w:w="1182" w:type="dxa"/>
            <w:tcBorders>
              <w:tl2br w:val="nil"/>
              <w:tr2bl w:val="nil"/>
            </w:tcBorders>
            <w:shd w:val="clear" w:color="auto" w:fill="auto"/>
            <w:vAlign w:val="center"/>
          </w:tcPr>
          <w:p w14:paraId="393DE045">
            <w:pPr>
              <w:widowControl w:val="0"/>
              <w:spacing w:line="420" w:lineRule="exact"/>
              <w:jc w:val="center"/>
              <w:rPr>
                <w:sz w:val="21"/>
                <w:szCs w:val="21"/>
                <w:lang w:eastAsia="en-US"/>
              </w:rPr>
            </w:pPr>
            <w:r>
              <w:rPr>
                <w:sz w:val="21"/>
                <w:szCs w:val="21"/>
                <w:lang w:eastAsia="en-US"/>
              </w:rPr>
              <w:t>0.0010</w:t>
            </w:r>
          </w:p>
        </w:tc>
        <w:tc>
          <w:tcPr>
            <w:tcW w:w="914" w:type="dxa"/>
            <w:tcBorders>
              <w:tl2br w:val="nil"/>
              <w:tr2bl w:val="nil"/>
            </w:tcBorders>
            <w:shd w:val="clear" w:color="auto" w:fill="auto"/>
            <w:vAlign w:val="center"/>
          </w:tcPr>
          <w:p w14:paraId="4E2AF4B8">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6E21B543">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7650B850">
            <w:pPr>
              <w:widowControl/>
              <w:spacing w:line="420" w:lineRule="exact"/>
              <w:jc w:val="center"/>
              <w:rPr>
                <w:sz w:val="21"/>
                <w:szCs w:val="21"/>
                <w:lang w:eastAsia="en-US"/>
              </w:rPr>
            </w:pPr>
            <w:r>
              <w:rPr>
                <w:sz w:val="21"/>
                <w:szCs w:val="21"/>
                <w:lang w:eastAsia="en-US"/>
              </w:rPr>
              <w:t>达标</w:t>
            </w:r>
          </w:p>
        </w:tc>
      </w:tr>
      <w:tr w14:paraId="667018F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A8ABEDB">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446B46E3">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1819B164">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5582CC0E">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7299E029">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F42DC44">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82" w:type="dxa"/>
            <w:tcBorders>
              <w:tl2br w:val="nil"/>
              <w:tr2bl w:val="nil"/>
            </w:tcBorders>
            <w:shd w:val="clear" w:color="auto" w:fill="auto"/>
            <w:vAlign w:val="center"/>
          </w:tcPr>
          <w:p w14:paraId="5102555E">
            <w:pPr>
              <w:widowControl w:val="0"/>
              <w:spacing w:line="420" w:lineRule="exact"/>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2728ED02">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DE446DE">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3C604067">
            <w:pPr>
              <w:widowControl/>
              <w:spacing w:line="420" w:lineRule="exact"/>
              <w:jc w:val="center"/>
              <w:rPr>
                <w:sz w:val="21"/>
                <w:szCs w:val="21"/>
                <w:lang w:eastAsia="en-US"/>
              </w:rPr>
            </w:pPr>
            <w:r>
              <w:rPr>
                <w:sz w:val="21"/>
                <w:szCs w:val="21"/>
                <w:lang w:eastAsia="en-US"/>
              </w:rPr>
              <w:t>达标</w:t>
            </w:r>
          </w:p>
        </w:tc>
      </w:tr>
      <w:tr w14:paraId="2B87CBC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72FD04A">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4B20BE07">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0603EC4">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2C45DF34">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4AA5A386">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39F1463">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7ACA4E9">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14A8ECF">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D39D033">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47E93C60">
            <w:pPr>
              <w:widowControl/>
              <w:spacing w:line="420" w:lineRule="exact"/>
              <w:jc w:val="center"/>
              <w:rPr>
                <w:sz w:val="21"/>
                <w:szCs w:val="21"/>
                <w:lang w:eastAsia="en-US"/>
              </w:rPr>
            </w:pPr>
            <w:r>
              <w:rPr>
                <w:sz w:val="21"/>
                <w:szCs w:val="21"/>
                <w:lang w:eastAsia="en-US"/>
              </w:rPr>
              <w:t>达标</w:t>
            </w:r>
          </w:p>
        </w:tc>
      </w:tr>
      <w:tr w14:paraId="59A33C3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453F191C">
            <w:pPr>
              <w:widowControl/>
              <w:spacing w:line="420" w:lineRule="exact"/>
              <w:jc w:val="center"/>
              <w:rPr>
                <w:sz w:val="21"/>
                <w:szCs w:val="21"/>
                <w:lang w:eastAsia="en-US"/>
              </w:rPr>
            </w:pPr>
            <w:r>
              <w:rPr>
                <w:rFonts w:hint="eastAsia"/>
                <w:sz w:val="21"/>
                <w:szCs w:val="21"/>
                <w:lang w:eastAsia="en-US"/>
              </w:rPr>
              <w:t>22</w:t>
            </w:r>
          </w:p>
        </w:tc>
        <w:tc>
          <w:tcPr>
            <w:tcW w:w="1145" w:type="dxa"/>
            <w:vMerge w:val="restart"/>
            <w:tcBorders>
              <w:tl2br w:val="nil"/>
              <w:tr2bl w:val="nil"/>
            </w:tcBorders>
            <w:shd w:val="clear" w:color="auto" w:fill="auto"/>
            <w:vAlign w:val="center"/>
          </w:tcPr>
          <w:p w14:paraId="42E342E1">
            <w:pPr>
              <w:widowControl/>
              <w:spacing w:line="420" w:lineRule="exact"/>
              <w:jc w:val="center"/>
              <w:rPr>
                <w:sz w:val="21"/>
                <w:szCs w:val="21"/>
                <w:lang w:eastAsia="en-US"/>
              </w:rPr>
            </w:pPr>
            <w:r>
              <w:rPr>
                <w:rFonts w:hint="eastAsia"/>
                <w:sz w:val="21"/>
                <w:szCs w:val="21"/>
                <w:lang w:eastAsia="en-US"/>
              </w:rPr>
              <w:t>湘潭县环境监测点</w:t>
            </w:r>
          </w:p>
        </w:tc>
        <w:tc>
          <w:tcPr>
            <w:tcW w:w="737" w:type="dxa"/>
            <w:vMerge w:val="restart"/>
            <w:tcBorders>
              <w:tl2br w:val="nil"/>
              <w:tr2bl w:val="nil"/>
            </w:tcBorders>
            <w:shd w:val="clear" w:color="auto" w:fill="auto"/>
            <w:vAlign w:val="center"/>
          </w:tcPr>
          <w:p w14:paraId="4760349D">
            <w:pPr>
              <w:widowControl/>
              <w:spacing w:line="420" w:lineRule="exact"/>
              <w:jc w:val="center"/>
              <w:rPr>
                <w:sz w:val="21"/>
                <w:szCs w:val="21"/>
                <w:lang w:eastAsia="en-US"/>
              </w:rPr>
            </w:pPr>
            <w:r>
              <w:rPr>
                <w:rFonts w:hint="eastAsia"/>
                <w:sz w:val="21"/>
                <w:szCs w:val="21"/>
                <w:lang w:eastAsia="en-US"/>
              </w:rPr>
              <w:t>-1271</w:t>
            </w:r>
          </w:p>
        </w:tc>
        <w:tc>
          <w:tcPr>
            <w:tcW w:w="647" w:type="dxa"/>
            <w:vMerge w:val="restart"/>
            <w:tcBorders>
              <w:tl2br w:val="nil"/>
              <w:tr2bl w:val="nil"/>
            </w:tcBorders>
            <w:shd w:val="clear" w:color="auto" w:fill="auto"/>
            <w:vAlign w:val="center"/>
          </w:tcPr>
          <w:p w14:paraId="6F3859E0">
            <w:pPr>
              <w:widowControl/>
              <w:spacing w:line="420" w:lineRule="exact"/>
              <w:jc w:val="center"/>
              <w:rPr>
                <w:sz w:val="21"/>
                <w:szCs w:val="21"/>
                <w:lang w:eastAsia="en-US"/>
              </w:rPr>
            </w:pPr>
            <w:r>
              <w:rPr>
                <w:rFonts w:hint="eastAsia"/>
                <w:sz w:val="21"/>
                <w:szCs w:val="21"/>
                <w:lang w:eastAsia="en-US"/>
              </w:rPr>
              <w:t>1231</w:t>
            </w:r>
          </w:p>
        </w:tc>
        <w:tc>
          <w:tcPr>
            <w:tcW w:w="914" w:type="dxa"/>
            <w:tcBorders>
              <w:tl2br w:val="nil"/>
              <w:tr2bl w:val="nil"/>
            </w:tcBorders>
            <w:shd w:val="clear" w:color="auto" w:fill="auto"/>
            <w:vAlign w:val="center"/>
          </w:tcPr>
          <w:p w14:paraId="6D8482C0">
            <w:pPr>
              <w:widowControl/>
              <w:spacing w:line="42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E523B0C">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041901</w:t>
            </w:r>
          </w:p>
        </w:tc>
        <w:tc>
          <w:tcPr>
            <w:tcW w:w="1182" w:type="dxa"/>
            <w:tcBorders>
              <w:tl2br w:val="nil"/>
              <w:tr2bl w:val="nil"/>
            </w:tcBorders>
            <w:shd w:val="clear" w:color="auto" w:fill="auto"/>
            <w:vAlign w:val="center"/>
          </w:tcPr>
          <w:p w14:paraId="699608EE">
            <w:pPr>
              <w:widowControl w:val="0"/>
              <w:spacing w:line="42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45DC570C">
            <w:pPr>
              <w:widowControl/>
              <w:spacing w:line="420" w:lineRule="exact"/>
              <w:jc w:val="center"/>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30308C07">
            <w:pPr>
              <w:widowControl w:val="0"/>
              <w:spacing w:line="420" w:lineRule="exact"/>
              <w:jc w:val="center"/>
              <w:rPr>
                <w:sz w:val="21"/>
                <w:szCs w:val="21"/>
                <w:lang w:eastAsia="en-US"/>
              </w:rPr>
            </w:pPr>
            <w:r>
              <w:rPr>
                <w:sz w:val="21"/>
                <w:szCs w:val="21"/>
                <w:lang w:eastAsia="en-US"/>
              </w:rPr>
              <w:t>0.00</w:t>
            </w:r>
          </w:p>
        </w:tc>
        <w:tc>
          <w:tcPr>
            <w:tcW w:w="716" w:type="dxa"/>
            <w:tcBorders>
              <w:tl2br w:val="nil"/>
              <w:tr2bl w:val="nil"/>
            </w:tcBorders>
            <w:shd w:val="clear" w:color="auto" w:fill="auto"/>
            <w:vAlign w:val="center"/>
          </w:tcPr>
          <w:p w14:paraId="775CDCC8">
            <w:pPr>
              <w:widowControl/>
              <w:spacing w:line="420" w:lineRule="exact"/>
              <w:jc w:val="center"/>
              <w:rPr>
                <w:sz w:val="21"/>
                <w:szCs w:val="21"/>
                <w:lang w:eastAsia="en-US"/>
              </w:rPr>
            </w:pPr>
            <w:r>
              <w:rPr>
                <w:sz w:val="21"/>
                <w:szCs w:val="21"/>
                <w:lang w:eastAsia="en-US"/>
              </w:rPr>
              <w:t>达标</w:t>
            </w:r>
          </w:p>
        </w:tc>
      </w:tr>
      <w:tr w14:paraId="3A65FCA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FD0D56E">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441B369B">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695FF895">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087EEB50">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21FB868A">
            <w:pPr>
              <w:widowControl/>
              <w:spacing w:line="42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0EEF3BA">
            <w:pPr>
              <w:widowControl w:val="0"/>
              <w:spacing w:line="42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82" w:type="dxa"/>
            <w:tcBorders>
              <w:tl2br w:val="nil"/>
              <w:tr2bl w:val="nil"/>
            </w:tcBorders>
            <w:shd w:val="clear" w:color="auto" w:fill="auto"/>
            <w:vAlign w:val="center"/>
          </w:tcPr>
          <w:p w14:paraId="6F0233AA">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F011C5A">
            <w:pPr>
              <w:widowControl/>
              <w:spacing w:line="420" w:lineRule="exact"/>
              <w:jc w:val="center"/>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0440DB8">
            <w:pPr>
              <w:widowControl w:val="0"/>
              <w:spacing w:line="420" w:lineRule="exact"/>
              <w:jc w:val="center"/>
              <w:rPr>
                <w:sz w:val="21"/>
                <w:szCs w:val="21"/>
                <w:lang w:eastAsia="en-US"/>
              </w:rPr>
            </w:pPr>
            <w:r>
              <w:rPr>
                <w:sz w:val="21"/>
                <w:szCs w:val="21"/>
                <w:lang w:eastAsia="en-US"/>
              </w:rPr>
              <w:t>0.02</w:t>
            </w:r>
          </w:p>
        </w:tc>
        <w:tc>
          <w:tcPr>
            <w:tcW w:w="716" w:type="dxa"/>
            <w:tcBorders>
              <w:tl2br w:val="nil"/>
              <w:tr2bl w:val="nil"/>
            </w:tcBorders>
            <w:shd w:val="clear" w:color="auto" w:fill="auto"/>
            <w:vAlign w:val="center"/>
          </w:tcPr>
          <w:p w14:paraId="61420393">
            <w:pPr>
              <w:widowControl/>
              <w:spacing w:line="420" w:lineRule="exact"/>
              <w:jc w:val="center"/>
              <w:rPr>
                <w:sz w:val="21"/>
                <w:szCs w:val="21"/>
                <w:lang w:eastAsia="en-US"/>
              </w:rPr>
            </w:pPr>
            <w:r>
              <w:rPr>
                <w:sz w:val="21"/>
                <w:szCs w:val="21"/>
                <w:lang w:eastAsia="en-US"/>
              </w:rPr>
              <w:t>达标</w:t>
            </w:r>
          </w:p>
        </w:tc>
      </w:tr>
      <w:tr w14:paraId="425F848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6990E54">
            <w:pPr>
              <w:widowControl/>
              <w:spacing w:line="420" w:lineRule="exact"/>
              <w:jc w:val="center"/>
              <w:rPr>
                <w:sz w:val="21"/>
                <w:szCs w:val="21"/>
                <w:lang w:eastAsia="en-US"/>
              </w:rPr>
            </w:pPr>
          </w:p>
        </w:tc>
        <w:tc>
          <w:tcPr>
            <w:tcW w:w="1145" w:type="dxa"/>
            <w:vMerge w:val="continue"/>
            <w:tcBorders>
              <w:tl2br w:val="nil"/>
              <w:tr2bl w:val="nil"/>
            </w:tcBorders>
            <w:shd w:val="clear" w:color="auto" w:fill="auto"/>
            <w:vAlign w:val="center"/>
          </w:tcPr>
          <w:p w14:paraId="0FFAF744">
            <w:pPr>
              <w:widowControl/>
              <w:spacing w:line="420" w:lineRule="exact"/>
              <w:jc w:val="center"/>
              <w:rPr>
                <w:sz w:val="21"/>
                <w:szCs w:val="21"/>
                <w:lang w:eastAsia="en-US"/>
              </w:rPr>
            </w:pPr>
          </w:p>
        </w:tc>
        <w:tc>
          <w:tcPr>
            <w:tcW w:w="737" w:type="dxa"/>
            <w:vMerge w:val="continue"/>
            <w:tcBorders>
              <w:tl2br w:val="nil"/>
              <w:tr2bl w:val="nil"/>
            </w:tcBorders>
            <w:shd w:val="clear" w:color="auto" w:fill="auto"/>
            <w:vAlign w:val="center"/>
          </w:tcPr>
          <w:p w14:paraId="3A8B8314">
            <w:pPr>
              <w:widowControl/>
              <w:spacing w:line="420" w:lineRule="exact"/>
              <w:jc w:val="center"/>
              <w:rPr>
                <w:sz w:val="21"/>
                <w:szCs w:val="21"/>
                <w:lang w:eastAsia="en-US"/>
              </w:rPr>
            </w:pPr>
          </w:p>
        </w:tc>
        <w:tc>
          <w:tcPr>
            <w:tcW w:w="647" w:type="dxa"/>
            <w:vMerge w:val="continue"/>
            <w:tcBorders>
              <w:tl2br w:val="nil"/>
              <w:tr2bl w:val="nil"/>
            </w:tcBorders>
            <w:shd w:val="clear" w:color="auto" w:fill="auto"/>
            <w:vAlign w:val="center"/>
          </w:tcPr>
          <w:p w14:paraId="63E47BD7">
            <w:pPr>
              <w:widowControl/>
              <w:spacing w:line="420" w:lineRule="exact"/>
              <w:jc w:val="center"/>
              <w:rPr>
                <w:sz w:val="21"/>
                <w:szCs w:val="21"/>
                <w:lang w:eastAsia="en-US"/>
              </w:rPr>
            </w:pPr>
          </w:p>
        </w:tc>
        <w:tc>
          <w:tcPr>
            <w:tcW w:w="914" w:type="dxa"/>
            <w:tcBorders>
              <w:tl2br w:val="nil"/>
              <w:tr2bl w:val="nil"/>
            </w:tcBorders>
            <w:shd w:val="clear" w:color="auto" w:fill="auto"/>
            <w:vAlign w:val="center"/>
          </w:tcPr>
          <w:p w14:paraId="18C23A5F">
            <w:pPr>
              <w:widowControl/>
              <w:spacing w:line="42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40C7541">
            <w:pPr>
              <w:widowControl w:val="0"/>
              <w:spacing w:line="42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0B8CB2E">
            <w:pPr>
              <w:widowControl w:val="0"/>
              <w:spacing w:line="420" w:lineRule="exact"/>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D2174AE">
            <w:pPr>
              <w:widowControl/>
              <w:spacing w:line="420" w:lineRule="exact"/>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B85A736">
            <w:pPr>
              <w:widowControl w:val="0"/>
              <w:spacing w:line="420" w:lineRule="exact"/>
              <w:jc w:val="center"/>
              <w:rPr>
                <w:sz w:val="21"/>
                <w:szCs w:val="21"/>
                <w:lang w:eastAsia="en-US"/>
              </w:rPr>
            </w:pPr>
            <w:r>
              <w:rPr>
                <w:sz w:val="21"/>
                <w:szCs w:val="21"/>
                <w:lang w:eastAsia="en-US"/>
              </w:rPr>
              <w:t>0.01</w:t>
            </w:r>
          </w:p>
        </w:tc>
        <w:tc>
          <w:tcPr>
            <w:tcW w:w="716" w:type="dxa"/>
            <w:tcBorders>
              <w:tl2br w:val="nil"/>
              <w:tr2bl w:val="nil"/>
            </w:tcBorders>
            <w:shd w:val="clear" w:color="auto" w:fill="auto"/>
            <w:vAlign w:val="center"/>
          </w:tcPr>
          <w:p w14:paraId="26576155">
            <w:pPr>
              <w:widowControl/>
              <w:spacing w:line="420" w:lineRule="exact"/>
              <w:jc w:val="center"/>
              <w:rPr>
                <w:sz w:val="21"/>
                <w:szCs w:val="21"/>
                <w:lang w:eastAsia="en-US"/>
              </w:rPr>
            </w:pPr>
            <w:r>
              <w:rPr>
                <w:sz w:val="21"/>
                <w:szCs w:val="21"/>
                <w:lang w:eastAsia="en-US"/>
              </w:rPr>
              <w:t>达标</w:t>
            </w:r>
          </w:p>
        </w:tc>
      </w:tr>
    </w:tbl>
    <w:p w14:paraId="0DC37760">
      <w:pPr>
        <w:ind w:firstLine="480"/>
        <w:jc w:val="center"/>
        <w:rPr>
          <w:u w:val="single"/>
        </w:rPr>
      </w:pPr>
    </w:p>
    <w:p w14:paraId="6FB8DEE1">
      <w:pPr>
        <w:ind w:firstLine="480"/>
        <w:jc w:val="center"/>
        <w:rPr>
          <w:u w:val="single"/>
        </w:rPr>
      </w:pPr>
    </w:p>
    <w:p w14:paraId="1CC0A97D">
      <w:pPr>
        <w:ind w:firstLine="480"/>
        <w:jc w:val="center"/>
        <w:rPr>
          <w:u w:val="single"/>
        </w:rPr>
      </w:pPr>
      <w:r>
        <w:pict>
          <v:shape id="_x0000_s1164" o:spid="_x0000_s1164" o:spt="75" type="#_x0000_t75" style="position:absolute;left:0pt;margin-left:26.2pt;margin-top:-10.9pt;height:295.5pt;width:357.65pt;mso-position-horizontal-relative:margin;mso-position-vertical-relative:margin;mso-wrap-distance-bottom:0pt;mso-wrap-distance-left:9pt;mso-wrap-distance-right:9pt;mso-wrap-distance-top:0pt;z-index:251677696;mso-width-relative:page;mso-height-relative:page;" filled="f" o:preferrelative="t" stroked="f" coordsize="21600,21600">
            <v:path/>
            <v:fill on="f" focussize="0,0"/>
            <v:stroke on="f" joinstyle="miter"/>
            <v:imagedata r:id="rId58" o:title="TSP小时"/>
            <o:lock v:ext="edit" aspectratio="t"/>
            <w10:wrap type="square"/>
          </v:shape>
        </w:pict>
      </w:r>
    </w:p>
    <w:p w14:paraId="4A40485E">
      <w:pPr>
        <w:ind w:firstLine="480"/>
        <w:jc w:val="center"/>
        <w:rPr>
          <w:u w:val="single"/>
        </w:rPr>
      </w:pPr>
    </w:p>
    <w:p w14:paraId="61D1D4E2">
      <w:pPr>
        <w:ind w:firstLine="480"/>
        <w:jc w:val="center"/>
        <w:rPr>
          <w:u w:val="single"/>
        </w:rPr>
      </w:pPr>
    </w:p>
    <w:p w14:paraId="4D108B08">
      <w:pPr>
        <w:ind w:firstLine="480"/>
        <w:jc w:val="center"/>
        <w:rPr>
          <w:u w:val="single"/>
        </w:rPr>
      </w:pPr>
    </w:p>
    <w:p w14:paraId="095F6F13">
      <w:pPr>
        <w:ind w:firstLine="480"/>
        <w:jc w:val="center"/>
        <w:rPr>
          <w:u w:val="single"/>
        </w:rPr>
      </w:pPr>
    </w:p>
    <w:p w14:paraId="44ED6C47">
      <w:pPr>
        <w:ind w:firstLine="480"/>
        <w:jc w:val="center"/>
        <w:rPr>
          <w:u w:val="single"/>
        </w:rPr>
      </w:pPr>
    </w:p>
    <w:p w14:paraId="61AFB73D">
      <w:pPr>
        <w:ind w:firstLine="480"/>
        <w:jc w:val="center"/>
        <w:rPr>
          <w:u w:val="single"/>
        </w:rPr>
      </w:pPr>
    </w:p>
    <w:p w14:paraId="1DEB934D">
      <w:pPr>
        <w:ind w:firstLine="480"/>
        <w:jc w:val="center"/>
        <w:rPr>
          <w:u w:val="single"/>
        </w:rPr>
      </w:pPr>
    </w:p>
    <w:p w14:paraId="310260D3">
      <w:pPr>
        <w:ind w:firstLine="480"/>
        <w:jc w:val="center"/>
        <w:rPr>
          <w:u w:val="single"/>
        </w:rPr>
      </w:pPr>
    </w:p>
    <w:p w14:paraId="6A233B46">
      <w:pPr>
        <w:ind w:firstLine="480"/>
        <w:jc w:val="center"/>
        <w:rPr>
          <w:u w:val="single"/>
        </w:rPr>
      </w:pPr>
    </w:p>
    <w:p w14:paraId="211833E5">
      <w:pPr>
        <w:ind w:firstLine="480"/>
        <w:jc w:val="center"/>
        <w:rPr>
          <w:u w:val="single"/>
        </w:rPr>
      </w:pPr>
    </w:p>
    <w:p w14:paraId="2838D466">
      <w:pPr>
        <w:ind w:firstLine="480"/>
        <w:jc w:val="center"/>
        <w:rPr>
          <w:u w:val="single"/>
        </w:rPr>
      </w:pPr>
    </w:p>
    <w:p w14:paraId="643FEE92">
      <w:pPr>
        <w:ind w:firstLine="480"/>
        <w:jc w:val="center"/>
        <w:rPr>
          <w:u w:val="single"/>
        </w:rPr>
      </w:pPr>
    </w:p>
    <w:p w14:paraId="48F7FEDB">
      <w:pPr>
        <w:pStyle w:val="45"/>
        <w:numPr>
          <w:ilvl w:val="6"/>
          <w:numId w:val="0"/>
        </w:numPr>
        <w:spacing w:before="0" w:beforeLines="0"/>
        <w:ind w:left="3363" w:leftChars="0" w:hanging="3363" w:hangingChars="1595"/>
        <w:rPr>
          <w:color w:val="auto"/>
        </w:rPr>
      </w:pPr>
      <w:r>
        <w:rPr>
          <w:rFonts w:hint="default" w:ascii="宋体" w:hAnsi="宋体" w:eastAsia="宋体" w:cs="宋体"/>
          <w:b/>
          <w:bCs/>
          <w:color w:val="auto"/>
          <w:kern w:val="2"/>
          <w:sz w:val="21"/>
          <w:szCs w:val="21"/>
          <w:lang w:val="en-US" w:eastAsia="zh-CN" w:bidi="ar-SA"/>
        </w:rPr>
        <w:t xml:space="preserve">图6.2-11 </w:t>
      </w:r>
      <w:r>
        <w:rPr>
          <w:rFonts w:hint="eastAsia"/>
          <w:color w:val="auto"/>
        </w:rPr>
        <w:t>TSP贡献值浓度分布图—1小时  单位：mg/m</w:t>
      </w:r>
      <w:r>
        <w:rPr>
          <w:rFonts w:hint="eastAsia"/>
          <w:color w:val="auto"/>
          <w:vertAlign w:val="superscript"/>
        </w:rPr>
        <w:t>3</w:t>
      </w:r>
    </w:p>
    <w:p w14:paraId="5FEFCD1D">
      <w:pPr>
        <w:ind w:firstLine="480"/>
        <w:jc w:val="center"/>
      </w:pPr>
    </w:p>
    <w:p w14:paraId="06BA9853">
      <w:pPr>
        <w:ind w:firstLine="480"/>
        <w:jc w:val="center"/>
      </w:pPr>
      <w:r>
        <w:pict>
          <v:shape id="_x0000_s1165" o:spid="_x0000_s1165" o:spt="75" type="#_x0000_t75" style="position:absolute;left:0pt;margin-left:29.55pt;margin-top:345.15pt;height:297.6pt;width:359.3pt;mso-position-horizontal-relative:margin;mso-position-vertical-relative:margin;mso-wrap-distance-bottom:0pt;mso-wrap-distance-left:9pt;mso-wrap-distance-right:9pt;mso-wrap-distance-top:0pt;z-index:251678720;mso-width-relative:page;mso-height-relative:page;" filled="f" o:preferrelative="t" stroked="f" coordsize="21600,21600">
            <v:path/>
            <v:fill on="f" focussize="0,0"/>
            <v:stroke on="f" joinstyle="miter"/>
            <v:imagedata r:id="rId59" o:title="TSP日均"/>
            <o:lock v:ext="edit" aspectratio="t"/>
            <w10:wrap type="square"/>
          </v:shape>
        </w:pict>
      </w:r>
    </w:p>
    <w:p w14:paraId="34C420B9">
      <w:pPr>
        <w:ind w:firstLine="480"/>
        <w:jc w:val="center"/>
      </w:pPr>
    </w:p>
    <w:p w14:paraId="0914391B">
      <w:pPr>
        <w:ind w:firstLine="480"/>
        <w:jc w:val="center"/>
      </w:pPr>
    </w:p>
    <w:p w14:paraId="21661C44">
      <w:pPr>
        <w:ind w:firstLine="480"/>
        <w:jc w:val="center"/>
      </w:pPr>
    </w:p>
    <w:p w14:paraId="6B48B8D6">
      <w:pPr>
        <w:ind w:firstLine="480"/>
        <w:jc w:val="center"/>
      </w:pPr>
    </w:p>
    <w:p w14:paraId="05D8F75D">
      <w:pPr>
        <w:ind w:firstLine="480"/>
        <w:jc w:val="center"/>
      </w:pPr>
    </w:p>
    <w:p w14:paraId="730DE444">
      <w:pPr>
        <w:ind w:firstLine="480"/>
        <w:jc w:val="center"/>
      </w:pPr>
    </w:p>
    <w:p w14:paraId="462A08D4">
      <w:pPr>
        <w:ind w:firstLine="480"/>
        <w:jc w:val="center"/>
      </w:pPr>
    </w:p>
    <w:p w14:paraId="591081EF">
      <w:pPr>
        <w:ind w:firstLine="480"/>
        <w:jc w:val="center"/>
      </w:pPr>
    </w:p>
    <w:p w14:paraId="3E77BF22">
      <w:pPr>
        <w:ind w:firstLine="480"/>
        <w:jc w:val="center"/>
      </w:pPr>
    </w:p>
    <w:p w14:paraId="7C018AA8">
      <w:pPr>
        <w:ind w:firstLine="480"/>
        <w:jc w:val="center"/>
      </w:pPr>
    </w:p>
    <w:p w14:paraId="1FB1C1BB">
      <w:pPr>
        <w:ind w:firstLine="480"/>
        <w:jc w:val="center"/>
      </w:pPr>
    </w:p>
    <w:p w14:paraId="613B9050">
      <w:pPr>
        <w:ind w:firstLine="480"/>
        <w:jc w:val="center"/>
      </w:pPr>
    </w:p>
    <w:p w14:paraId="77C41DD3">
      <w:pPr>
        <w:pStyle w:val="45"/>
        <w:numPr>
          <w:ilvl w:val="6"/>
          <w:numId w:val="0"/>
        </w:numPr>
        <w:spacing w:before="156"/>
        <w:ind w:firstLine="1476" w:firstLineChars="700"/>
        <w:jc w:val="both"/>
        <w:rPr>
          <w:color w:val="auto"/>
        </w:rPr>
      </w:pPr>
      <w:r>
        <w:rPr>
          <w:rFonts w:hint="default" w:ascii="宋体" w:hAnsi="宋体" w:eastAsia="宋体" w:cs="宋体"/>
          <w:b/>
          <w:bCs/>
          <w:color w:val="auto"/>
          <w:kern w:val="2"/>
          <w:sz w:val="21"/>
          <w:szCs w:val="21"/>
          <w:lang w:val="en-US" w:eastAsia="zh-CN" w:bidi="ar-SA"/>
        </w:rPr>
        <w:t xml:space="preserve">图6.2-12 </w:t>
      </w:r>
      <w:r>
        <w:rPr>
          <w:rFonts w:hint="eastAsia"/>
          <w:color w:val="auto"/>
        </w:rPr>
        <w:t>TSP贡献值浓度分布图—日均 单位：mg/m</w:t>
      </w:r>
      <w:r>
        <w:rPr>
          <w:rFonts w:hint="eastAsia"/>
          <w:color w:val="auto"/>
          <w:vertAlign w:val="superscript"/>
        </w:rPr>
        <w:t>3</w:t>
      </w:r>
    </w:p>
    <w:p w14:paraId="3F4CE5E1">
      <w:pPr>
        <w:ind w:firstLine="480"/>
        <w:jc w:val="center"/>
        <w:rPr>
          <w:u w:val="single"/>
        </w:rPr>
      </w:pPr>
    </w:p>
    <w:p w14:paraId="4D418AAB">
      <w:pPr>
        <w:ind w:firstLine="480"/>
        <w:jc w:val="center"/>
      </w:pPr>
      <w:r>
        <w:pict>
          <v:shape id="_x0000_s1166" o:spid="_x0000_s1166" o:spt="75" type="#_x0000_t75" style="position:absolute;left:0pt;margin-left:22.85pt;margin-top:-10.8pt;height:307.7pt;width:371.35pt;mso-position-horizontal-relative:margin;mso-position-vertical-relative:margin;mso-wrap-distance-bottom:0pt;mso-wrap-distance-left:9pt;mso-wrap-distance-right:9pt;mso-wrap-distance-top:0pt;z-index:251679744;mso-width-relative:page;mso-height-relative:page;" filled="f" o:preferrelative="t" stroked="f" coordsize="21600,21600">
            <v:path/>
            <v:fill on="f" focussize="0,0"/>
            <v:stroke on="f" joinstyle="miter"/>
            <v:imagedata r:id="rId60" o:title="TSP年均"/>
            <o:lock v:ext="edit" aspectratio="t"/>
            <w10:wrap type="square"/>
          </v:shape>
        </w:pict>
      </w:r>
      <w:r>
        <w:rPr>
          <w:rFonts w:hint="eastAsia"/>
        </w:rPr>
        <w:t>TSP贡献值浓度分布图—日均 单位：mg/m</w:t>
      </w:r>
      <w:r>
        <w:rPr>
          <w:rFonts w:hint="eastAsia"/>
          <w:vertAlign w:val="superscript"/>
        </w:rPr>
        <w:t>3</w:t>
      </w:r>
    </w:p>
    <w:p w14:paraId="2129D79A">
      <w:pPr>
        <w:ind w:firstLine="480"/>
      </w:pPr>
      <w:r>
        <w:t>④</w:t>
      </w:r>
      <w:r>
        <w:rPr>
          <w:rFonts w:hint="eastAsia"/>
        </w:rPr>
        <w:t>挥发性有机物</w:t>
      </w:r>
      <w:r>
        <w:t>预测结果</w:t>
      </w:r>
    </w:p>
    <w:p w14:paraId="7D2FE9B2">
      <w:pPr>
        <w:ind w:firstLine="480"/>
      </w:pPr>
      <w:r>
        <w:t>正常排放情况下，对于敏感点而言，本项目排放的</w:t>
      </w:r>
      <w:r>
        <w:rPr>
          <w:rFonts w:hint="eastAsia"/>
          <w:sz w:val="21"/>
          <w:szCs w:val="21"/>
        </w:rPr>
        <w:t>挥发性有机物</w:t>
      </w:r>
      <w:r>
        <w:t>小时浓度贡献值满足拟建项目</w:t>
      </w:r>
      <w:r>
        <w:rPr>
          <w:rFonts w:hint="eastAsia"/>
          <w:sz w:val="21"/>
          <w:szCs w:val="21"/>
        </w:rPr>
        <w:t>挥发性有机物</w:t>
      </w:r>
      <w:r>
        <w:t>日均浓度的叠加预测值和年均浓度预测值对各敏感点的影响满足《环境影响评价技术导则 大气环境》（HJ2.2-2018）附录D取8h浓度值2倍。区域最大落地浓度中，1小时浓度贡献值最大值为</w:t>
      </w:r>
      <w:r>
        <w:rPr>
          <w:rFonts w:hint="eastAsia"/>
        </w:rPr>
        <w:t>0.8603</w:t>
      </w:r>
      <w:r>
        <w:t>mg/m³、最大占标率为</w:t>
      </w:r>
      <w:r>
        <w:rPr>
          <w:rFonts w:hint="eastAsia"/>
        </w:rPr>
        <w:t>71.69</w:t>
      </w:r>
      <w:r>
        <w:t>%；因此项目</w:t>
      </w:r>
      <w:r>
        <w:rPr>
          <w:rFonts w:hint="eastAsia"/>
          <w:sz w:val="21"/>
          <w:szCs w:val="21"/>
        </w:rPr>
        <w:t>挥发性有机物</w:t>
      </w:r>
      <w:r>
        <w:t>短期浓度贡献值的最大浓度占标率≤100%。</w:t>
      </w:r>
    </w:p>
    <w:p w14:paraId="5A2ACEA6">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表6.2-19 </w:t>
      </w:r>
      <w:r>
        <w:rPr>
          <w:rFonts w:hint="eastAsia"/>
        </w:rPr>
        <w:t>挥发性有机物贡献值预测结果   单位：mg/m</w:t>
      </w:r>
      <w:r>
        <w:rPr>
          <w:rFonts w:hint="eastAsia"/>
          <w:vertAlign w:val="superscript"/>
        </w:rPr>
        <w:t>3</w:t>
      </w:r>
    </w:p>
    <w:tbl>
      <w:tblPr>
        <w:tblStyle w:val="66"/>
        <w:tblW w:w="509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8"/>
        <w:gridCol w:w="1145"/>
        <w:gridCol w:w="737"/>
        <w:gridCol w:w="647"/>
        <w:gridCol w:w="914"/>
        <w:gridCol w:w="1069"/>
        <w:gridCol w:w="1182"/>
        <w:gridCol w:w="914"/>
        <w:gridCol w:w="784"/>
        <w:gridCol w:w="716"/>
      </w:tblGrid>
      <w:tr w14:paraId="048FC96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8" w:type="dxa"/>
            <w:tcBorders>
              <w:tl2br w:val="nil"/>
              <w:tr2bl w:val="nil"/>
            </w:tcBorders>
            <w:shd w:val="clear" w:color="auto" w:fill="auto"/>
            <w:textDirection w:val="tbRlV"/>
            <w:vAlign w:val="center"/>
          </w:tcPr>
          <w:p w14:paraId="2A5E2876">
            <w:pPr>
              <w:widowControl/>
              <w:spacing w:line="400" w:lineRule="exact"/>
              <w:jc w:val="center"/>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163" name="IM 148"/>
                  <wp:cNvGraphicFramePr/>
                  <a:graphic xmlns:a="http://schemas.openxmlformats.org/drawingml/2006/main">
                    <a:graphicData uri="http://schemas.openxmlformats.org/drawingml/2006/picture">
                      <pic:pic xmlns:pic="http://schemas.openxmlformats.org/drawingml/2006/picture">
                        <pic:nvPicPr>
                          <pic:cNvPr id="163" name="IM 148"/>
                          <pic:cNvPicPr/>
                        </pic:nvPicPr>
                        <pic:blipFill>
                          <a:blip r:embed="rId51"/>
                          <a:stretch>
                            <a:fillRect/>
                          </a:stretch>
                        </pic:blipFill>
                        <pic:spPr>
                          <a:xfrm>
                            <a:off x="0" y="0"/>
                            <a:ext cx="137160" cy="0"/>
                          </a:xfrm>
                          <a:prstGeom prst="rect">
                            <a:avLst/>
                          </a:prstGeom>
                        </pic:spPr>
                      </pic:pic>
                    </a:graphicData>
                  </a:graphic>
                </wp:inline>
              </w:drawing>
            </w:r>
          </w:p>
        </w:tc>
        <w:tc>
          <w:tcPr>
            <w:tcW w:w="1145" w:type="dxa"/>
            <w:tcBorders>
              <w:tl2br w:val="nil"/>
              <w:tr2bl w:val="nil"/>
            </w:tcBorders>
            <w:shd w:val="clear" w:color="auto" w:fill="auto"/>
            <w:vAlign w:val="center"/>
          </w:tcPr>
          <w:p w14:paraId="5823E5E0">
            <w:pPr>
              <w:widowControl/>
              <w:spacing w:line="400" w:lineRule="exact"/>
              <w:jc w:val="center"/>
              <w:rPr>
                <w:sz w:val="21"/>
                <w:szCs w:val="21"/>
                <w:lang w:eastAsia="en-US"/>
              </w:rPr>
            </w:pPr>
            <w:r>
              <w:rPr>
                <w:sz w:val="21"/>
                <w:szCs w:val="21"/>
                <w:lang w:eastAsia="en-US"/>
              </w:rPr>
              <w:t>离散点</w:t>
            </w:r>
          </w:p>
        </w:tc>
        <w:tc>
          <w:tcPr>
            <w:tcW w:w="737" w:type="dxa"/>
            <w:tcBorders>
              <w:tl2br w:val="nil"/>
              <w:tr2bl w:val="nil"/>
            </w:tcBorders>
            <w:shd w:val="clear" w:color="auto" w:fill="auto"/>
            <w:vAlign w:val="center"/>
          </w:tcPr>
          <w:p w14:paraId="22EA9111">
            <w:pPr>
              <w:widowControl/>
              <w:spacing w:line="400" w:lineRule="exact"/>
              <w:jc w:val="center"/>
              <w:rPr>
                <w:sz w:val="21"/>
                <w:szCs w:val="21"/>
                <w:lang w:eastAsia="en-US"/>
              </w:rPr>
            </w:pPr>
            <w:r>
              <w:rPr>
                <w:sz w:val="21"/>
                <w:szCs w:val="21"/>
                <w:lang w:eastAsia="en-US"/>
              </w:rPr>
              <w:t>点坐标 （X）</w:t>
            </w:r>
          </w:p>
        </w:tc>
        <w:tc>
          <w:tcPr>
            <w:tcW w:w="647" w:type="dxa"/>
            <w:tcBorders>
              <w:tl2br w:val="nil"/>
              <w:tr2bl w:val="nil"/>
            </w:tcBorders>
            <w:shd w:val="clear" w:color="auto" w:fill="auto"/>
            <w:vAlign w:val="center"/>
          </w:tcPr>
          <w:p w14:paraId="3438AB5E">
            <w:pPr>
              <w:widowControl/>
              <w:spacing w:line="400" w:lineRule="exact"/>
              <w:jc w:val="center"/>
              <w:rPr>
                <w:sz w:val="21"/>
                <w:szCs w:val="21"/>
                <w:lang w:eastAsia="en-US"/>
              </w:rPr>
            </w:pPr>
            <w:r>
              <w:rPr>
                <w:sz w:val="21"/>
                <w:szCs w:val="21"/>
                <w:lang w:eastAsia="en-US"/>
              </w:rPr>
              <w:t>点坐标 （Y）</w:t>
            </w:r>
          </w:p>
        </w:tc>
        <w:tc>
          <w:tcPr>
            <w:tcW w:w="914" w:type="dxa"/>
            <w:tcBorders>
              <w:tl2br w:val="nil"/>
              <w:tr2bl w:val="nil"/>
            </w:tcBorders>
            <w:shd w:val="clear" w:color="auto" w:fill="auto"/>
            <w:vAlign w:val="center"/>
          </w:tcPr>
          <w:p w14:paraId="70AFB54F">
            <w:pPr>
              <w:widowControl/>
              <w:spacing w:line="400" w:lineRule="exact"/>
              <w:jc w:val="center"/>
              <w:rPr>
                <w:sz w:val="21"/>
                <w:szCs w:val="21"/>
                <w:lang w:eastAsia="en-US"/>
              </w:rPr>
            </w:pPr>
            <w:r>
              <w:rPr>
                <w:sz w:val="21"/>
                <w:szCs w:val="21"/>
                <w:lang w:eastAsia="en-US"/>
              </w:rPr>
              <w:t>浓度类型</w:t>
            </w:r>
          </w:p>
        </w:tc>
        <w:tc>
          <w:tcPr>
            <w:tcW w:w="1069" w:type="dxa"/>
            <w:tcBorders>
              <w:tl2br w:val="nil"/>
              <w:tr2bl w:val="nil"/>
            </w:tcBorders>
            <w:shd w:val="clear" w:color="auto" w:fill="auto"/>
            <w:vAlign w:val="center"/>
          </w:tcPr>
          <w:p w14:paraId="24DDD12F">
            <w:pPr>
              <w:widowControl/>
              <w:spacing w:line="400" w:lineRule="exact"/>
              <w:jc w:val="center"/>
              <w:rPr>
                <w:sz w:val="21"/>
                <w:szCs w:val="21"/>
                <w:lang w:eastAsia="en-US"/>
              </w:rPr>
            </w:pPr>
            <w:r>
              <w:rPr>
                <w:sz w:val="21"/>
                <w:szCs w:val="21"/>
                <w:lang w:eastAsia="en-US"/>
              </w:rPr>
              <w:t>出现时间</w:t>
            </w:r>
          </w:p>
        </w:tc>
        <w:tc>
          <w:tcPr>
            <w:tcW w:w="1182" w:type="dxa"/>
            <w:tcBorders>
              <w:tl2br w:val="nil"/>
              <w:tr2bl w:val="nil"/>
            </w:tcBorders>
            <w:shd w:val="clear" w:color="auto" w:fill="auto"/>
            <w:vAlign w:val="center"/>
          </w:tcPr>
          <w:p w14:paraId="32D3349B">
            <w:pPr>
              <w:widowControl/>
              <w:spacing w:line="400" w:lineRule="exact"/>
              <w:jc w:val="center"/>
              <w:rPr>
                <w:sz w:val="21"/>
                <w:szCs w:val="21"/>
                <w:lang w:eastAsia="en-US"/>
              </w:rPr>
            </w:pPr>
            <w:r>
              <w:rPr>
                <w:sz w:val="21"/>
                <w:szCs w:val="21"/>
                <w:lang w:eastAsia="en-US"/>
              </w:rPr>
              <w:t>预测值</w:t>
            </w:r>
          </w:p>
        </w:tc>
        <w:tc>
          <w:tcPr>
            <w:tcW w:w="914" w:type="dxa"/>
            <w:tcBorders>
              <w:tl2br w:val="nil"/>
              <w:tr2bl w:val="nil"/>
            </w:tcBorders>
            <w:shd w:val="clear" w:color="auto" w:fill="auto"/>
            <w:vAlign w:val="center"/>
          </w:tcPr>
          <w:p w14:paraId="61C55B32">
            <w:pPr>
              <w:widowControl/>
              <w:spacing w:line="400" w:lineRule="exact"/>
              <w:jc w:val="center"/>
              <w:rPr>
                <w:sz w:val="21"/>
                <w:szCs w:val="21"/>
                <w:lang w:eastAsia="en-US"/>
              </w:rPr>
            </w:pPr>
            <w:r>
              <w:rPr>
                <w:sz w:val="21"/>
                <w:szCs w:val="21"/>
                <w:lang w:eastAsia="en-US"/>
              </w:rPr>
              <w:t>评价标准</w:t>
            </w:r>
          </w:p>
        </w:tc>
        <w:tc>
          <w:tcPr>
            <w:tcW w:w="784" w:type="dxa"/>
            <w:tcBorders>
              <w:tl2br w:val="nil"/>
              <w:tr2bl w:val="nil"/>
            </w:tcBorders>
            <w:shd w:val="clear" w:color="auto" w:fill="auto"/>
            <w:vAlign w:val="center"/>
          </w:tcPr>
          <w:p w14:paraId="7146B1F5">
            <w:pPr>
              <w:widowControl/>
              <w:spacing w:line="400" w:lineRule="exact"/>
              <w:jc w:val="center"/>
              <w:rPr>
                <w:sz w:val="21"/>
                <w:szCs w:val="21"/>
                <w:lang w:eastAsia="en-US"/>
              </w:rPr>
            </w:pPr>
            <w:r>
              <w:rPr>
                <w:sz w:val="21"/>
                <w:szCs w:val="21"/>
                <w:lang w:eastAsia="en-US"/>
              </w:rPr>
              <w:t>占标</w:t>
            </w:r>
          </w:p>
          <w:p w14:paraId="2B11D989">
            <w:pPr>
              <w:widowControl/>
              <w:spacing w:line="400" w:lineRule="exact"/>
              <w:jc w:val="center"/>
              <w:rPr>
                <w:sz w:val="21"/>
                <w:szCs w:val="21"/>
                <w:lang w:eastAsia="en-US"/>
              </w:rPr>
            </w:pPr>
            <w:r>
              <w:rPr>
                <w:sz w:val="21"/>
                <w:szCs w:val="21"/>
                <w:lang w:eastAsia="en-US"/>
              </w:rPr>
              <w:t>率%</w:t>
            </w:r>
          </w:p>
        </w:tc>
        <w:tc>
          <w:tcPr>
            <w:tcW w:w="716" w:type="dxa"/>
            <w:tcBorders>
              <w:tl2br w:val="nil"/>
              <w:tr2bl w:val="nil"/>
            </w:tcBorders>
            <w:shd w:val="clear" w:color="auto" w:fill="auto"/>
            <w:vAlign w:val="center"/>
          </w:tcPr>
          <w:p w14:paraId="7EE59EE9">
            <w:pPr>
              <w:widowControl/>
              <w:spacing w:line="400" w:lineRule="exact"/>
              <w:jc w:val="center"/>
              <w:rPr>
                <w:sz w:val="21"/>
                <w:szCs w:val="21"/>
                <w:lang w:eastAsia="en-US"/>
              </w:rPr>
            </w:pPr>
            <w:r>
              <w:rPr>
                <w:sz w:val="21"/>
                <w:szCs w:val="21"/>
                <w:lang w:eastAsia="en-US"/>
              </w:rPr>
              <w:t>是否达 标</w:t>
            </w:r>
          </w:p>
        </w:tc>
      </w:tr>
      <w:tr w14:paraId="01804B0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8" w:type="dxa"/>
            <w:vMerge w:val="restart"/>
            <w:tcBorders>
              <w:tl2br w:val="nil"/>
              <w:tr2bl w:val="nil"/>
            </w:tcBorders>
            <w:shd w:val="clear" w:color="auto" w:fill="auto"/>
            <w:vAlign w:val="center"/>
          </w:tcPr>
          <w:p w14:paraId="644F8E3C">
            <w:pPr>
              <w:widowControl/>
              <w:spacing w:line="400" w:lineRule="exact"/>
              <w:jc w:val="center"/>
              <w:rPr>
                <w:sz w:val="21"/>
                <w:szCs w:val="21"/>
                <w:lang w:eastAsia="en-US"/>
              </w:rPr>
            </w:pPr>
            <w:r>
              <w:rPr>
                <w:sz w:val="21"/>
                <w:szCs w:val="21"/>
                <w:lang w:eastAsia="en-US"/>
              </w:rPr>
              <w:t>1</w:t>
            </w:r>
          </w:p>
        </w:tc>
        <w:tc>
          <w:tcPr>
            <w:tcW w:w="1145" w:type="dxa"/>
            <w:vMerge w:val="restart"/>
            <w:tcBorders>
              <w:tl2br w:val="nil"/>
              <w:tr2bl w:val="nil"/>
            </w:tcBorders>
            <w:shd w:val="clear" w:color="auto" w:fill="auto"/>
            <w:vAlign w:val="center"/>
          </w:tcPr>
          <w:p w14:paraId="2EFE780A">
            <w:pPr>
              <w:widowControl/>
              <w:spacing w:line="400" w:lineRule="exact"/>
              <w:jc w:val="center"/>
              <w:rPr>
                <w:sz w:val="21"/>
                <w:szCs w:val="21"/>
                <w:lang w:eastAsia="en-US"/>
              </w:rPr>
            </w:pPr>
            <w:r>
              <w:rPr>
                <w:sz w:val="21"/>
                <w:szCs w:val="21"/>
                <w:lang w:eastAsia="en-US"/>
              </w:rPr>
              <w:t>涓江香水湾小区</w:t>
            </w:r>
          </w:p>
        </w:tc>
        <w:tc>
          <w:tcPr>
            <w:tcW w:w="737" w:type="dxa"/>
            <w:vMerge w:val="restart"/>
            <w:tcBorders>
              <w:tl2br w:val="nil"/>
              <w:tr2bl w:val="nil"/>
            </w:tcBorders>
            <w:shd w:val="clear" w:color="auto" w:fill="auto"/>
            <w:vAlign w:val="center"/>
          </w:tcPr>
          <w:p w14:paraId="5E47A76D">
            <w:pPr>
              <w:widowControl/>
              <w:spacing w:line="400" w:lineRule="exact"/>
              <w:jc w:val="center"/>
              <w:rPr>
                <w:sz w:val="21"/>
                <w:szCs w:val="21"/>
                <w:lang w:eastAsia="en-US"/>
              </w:rPr>
            </w:pPr>
            <w:r>
              <w:rPr>
                <w:sz w:val="21"/>
                <w:szCs w:val="21"/>
                <w:lang w:eastAsia="en-US"/>
              </w:rPr>
              <w:t>-</w:t>
            </w:r>
            <w:r>
              <w:rPr>
                <w:rFonts w:hint="eastAsia"/>
                <w:sz w:val="21"/>
                <w:szCs w:val="21"/>
                <w:lang w:eastAsia="en-US"/>
              </w:rPr>
              <w:t>755</w:t>
            </w:r>
          </w:p>
        </w:tc>
        <w:tc>
          <w:tcPr>
            <w:tcW w:w="647" w:type="dxa"/>
            <w:vMerge w:val="restart"/>
            <w:tcBorders>
              <w:tl2br w:val="nil"/>
              <w:tr2bl w:val="nil"/>
            </w:tcBorders>
            <w:shd w:val="clear" w:color="auto" w:fill="auto"/>
            <w:vAlign w:val="center"/>
          </w:tcPr>
          <w:p w14:paraId="30907EA3">
            <w:pPr>
              <w:widowControl/>
              <w:spacing w:line="400" w:lineRule="exact"/>
              <w:jc w:val="center"/>
              <w:rPr>
                <w:sz w:val="21"/>
                <w:szCs w:val="21"/>
                <w:lang w:eastAsia="en-US"/>
              </w:rPr>
            </w:pPr>
            <w:r>
              <w:rPr>
                <w:rFonts w:hint="eastAsia"/>
                <w:sz w:val="21"/>
                <w:szCs w:val="21"/>
                <w:lang w:eastAsia="en-US"/>
              </w:rPr>
              <w:t>281</w:t>
            </w:r>
          </w:p>
        </w:tc>
        <w:tc>
          <w:tcPr>
            <w:tcW w:w="914" w:type="dxa"/>
            <w:tcBorders>
              <w:tl2br w:val="nil"/>
              <w:tr2bl w:val="nil"/>
            </w:tcBorders>
            <w:shd w:val="clear" w:color="auto" w:fill="auto"/>
            <w:vAlign w:val="center"/>
          </w:tcPr>
          <w:p w14:paraId="03A58476">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5523CFD">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123009</w:t>
            </w:r>
          </w:p>
        </w:tc>
        <w:tc>
          <w:tcPr>
            <w:tcW w:w="1182" w:type="dxa"/>
            <w:tcBorders>
              <w:tl2br w:val="nil"/>
              <w:tr2bl w:val="nil"/>
            </w:tcBorders>
            <w:shd w:val="clear" w:color="auto" w:fill="auto"/>
            <w:vAlign w:val="center"/>
          </w:tcPr>
          <w:p w14:paraId="51C887B2">
            <w:pPr>
              <w:widowControl w:val="0"/>
              <w:spacing w:line="400" w:lineRule="exact"/>
              <w:jc w:val="center"/>
              <w:rPr>
                <w:sz w:val="21"/>
                <w:szCs w:val="21"/>
                <w:lang w:eastAsia="en-US"/>
              </w:rPr>
            </w:pPr>
            <w:r>
              <w:rPr>
                <w:sz w:val="21"/>
                <w:szCs w:val="21"/>
                <w:lang w:eastAsia="en-US"/>
              </w:rPr>
              <w:t>0.1575</w:t>
            </w:r>
          </w:p>
        </w:tc>
        <w:tc>
          <w:tcPr>
            <w:tcW w:w="914" w:type="dxa"/>
            <w:tcBorders>
              <w:tl2br w:val="nil"/>
              <w:tr2bl w:val="nil"/>
            </w:tcBorders>
            <w:shd w:val="clear" w:color="auto" w:fill="auto"/>
            <w:vAlign w:val="center"/>
          </w:tcPr>
          <w:p w14:paraId="56E6B4B5">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0C87D622">
            <w:pPr>
              <w:widowControl w:val="0"/>
              <w:spacing w:line="400" w:lineRule="exact"/>
              <w:jc w:val="center"/>
              <w:rPr>
                <w:sz w:val="21"/>
                <w:szCs w:val="21"/>
                <w:lang w:eastAsia="en-US"/>
              </w:rPr>
            </w:pPr>
            <w:r>
              <w:rPr>
                <w:sz w:val="21"/>
                <w:szCs w:val="21"/>
                <w:lang w:eastAsia="en-US"/>
              </w:rPr>
              <w:t>13.13</w:t>
            </w:r>
          </w:p>
        </w:tc>
        <w:tc>
          <w:tcPr>
            <w:tcW w:w="716" w:type="dxa"/>
            <w:tcBorders>
              <w:tl2br w:val="nil"/>
              <w:tr2bl w:val="nil"/>
            </w:tcBorders>
            <w:shd w:val="clear" w:color="auto" w:fill="auto"/>
            <w:vAlign w:val="center"/>
          </w:tcPr>
          <w:p w14:paraId="75E8F55A">
            <w:pPr>
              <w:widowControl/>
              <w:spacing w:line="400" w:lineRule="exact"/>
              <w:jc w:val="center"/>
              <w:rPr>
                <w:sz w:val="21"/>
                <w:szCs w:val="21"/>
                <w:lang w:eastAsia="en-US"/>
              </w:rPr>
            </w:pPr>
            <w:r>
              <w:rPr>
                <w:sz w:val="21"/>
                <w:szCs w:val="21"/>
                <w:lang w:eastAsia="en-US"/>
              </w:rPr>
              <w:t>达标</w:t>
            </w:r>
          </w:p>
        </w:tc>
      </w:tr>
      <w:tr w14:paraId="63CA8F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17632C0">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EB6E8A8">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EEB0ED8">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CEAAD79">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971BB03">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02F727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82" w:type="dxa"/>
            <w:tcBorders>
              <w:tl2br w:val="nil"/>
              <w:tr2bl w:val="nil"/>
            </w:tcBorders>
            <w:shd w:val="clear" w:color="auto" w:fill="auto"/>
            <w:vAlign w:val="center"/>
          </w:tcPr>
          <w:p w14:paraId="39EB081B">
            <w:pPr>
              <w:widowControl w:val="0"/>
              <w:spacing w:line="400" w:lineRule="exact"/>
              <w:jc w:val="center"/>
              <w:rPr>
                <w:sz w:val="21"/>
                <w:szCs w:val="21"/>
                <w:lang w:eastAsia="en-US"/>
              </w:rPr>
            </w:pPr>
            <w:r>
              <w:rPr>
                <w:sz w:val="21"/>
                <w:szCs w:val="21"/>
                <w:lang w:eastAsia="en-US"/>
              </w:rPr>
              <w:t>0.0118</w:t>
            </w:r>
          </w:p>
        </w:tc>
        <w:tc>
          <w:tcPr>
            <w:tcW w:w="914" w:type="dxa"/>
            <w:tcBorders>
              <w:tl2br w:val="nil"/>
              <w:tr2bl w:val="nil"/>
            </w:tcBorders>
            <w:shd w:val="clear" w:color="auto" w:fill="auto"/>
            <w:vAlign w:val="center"/>
          </w:tcPr>
          <w:p w14:paraId="4733F4F6">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695FBB41">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3253B93">
            <w:pPr>
              <w:widowControl/>
              <w:spacing w:line="400" w:lineRule="exact"/>
              <w:jc w:val="center"/>
              <w:rPr>
                <w:sz w:val="21"/>
                <w:szCs w:val="21"/>
                <w:lang w:eastAsia="en-US"/>
              </w:rPr>
            </w:pPr>
            <w:r>
              <w:rPr>
                <w:rFonts w:hint="eastAsia"/>
                <w:sz w:val="21"/>
                <w:szCs w:val="21"/>
                <w:lang w:eastAsia="en-US"/>
              </w:rPr>
              <w:t>/</w:t>
            </w:r>
          </w:p>
        </w:tc>
      </w:tr>
      <w:tr w14:paraId="101BDBA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71C85DC">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7409B914">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7C87730">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748BDA68">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2F40711C">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B94C792">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24DD1FB">
            <w:pPr>
              <w:widowControl w:val="0"/>
              <w:spacing w:line="400" w:lineRule="exact"/>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6FF4565F">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6D702CDA">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0D9F2EED">
            <w:pPr>
              <w:widowControl/>
              <w:spacing w:line="400" w:lineRule="exact"/>
              <w:jc w:val="center"/>
              <w:rPr>
                <w:sz w:val="21"/>
                <w:szCs w:val="21"/>
                <w:lang w:eastAsia="en-US"/>
              </w:rPr>
            </w:pPr>
            <w:r>
              <w:rPr>
                <w:rFonts w:hint="eastAsia"/>
                <w:sz w:val="21"/>
                <w:szCs w:val="21"/>
                <w:lang w:eastAsia="en-US"/>
              </w:rPr>
              <w:t>/</w:t>
            </w:r>
          </w:p>
        </w:tc>
      </w:tr>
      <w:tr w14:paraId="5B12FA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4C5985C3">
            <w:pPr>
              <w:widowControl/>
              <w:spacing w:line="400" w:lineRule="exact"/>
              <w:jc w:val="center"/>
              <w:rPr>
                <w:sz w:val="21"/>
                <w:szCs w:val="21"/>
                <w:lang w:eastAsia="en-US"/>
              </w:rPr>
            </w:pPr>
            <w:r>
              <w:rPr>
                <w:sz w:val="21"/>
                <w:szCs w:val="21"/>
                <w:lang w:eastAsia="en-US"/>
              </w:rPr>
              <w:t>2</w:t>
            </w:r>
          </w:p>
        </w:tc>
        <w:tc>
          <w:tcPr>
            <w:tcW w:w="1145" w:type="dxa"/>
            <w:vMerge w:val="restart"/>
            <w:tcBorders>
              <w:tl2br w:val="nil"/>
              <w:tr2bl w:val="nil"/>
            </w:tcBorders>
            <w:shd w:val="clear" w:color="auto" w:fill="auto"/>
            <w:vAlign w:val="center"/>
          </w:tcPr>
          <w:p w14:paraId="709050DE">
            <w:pPr>
              <w:widowControl/>
              <w:spacing w:line="400" w:lineRule="exact"/>
              <w:jc w:val="center"/>
              <w:rPr>
                <w:sz w:val="21"/>
                <w:szCs w:val="21"/>
                <w:lang w:eastAsia="en-US"/>
              </w:rPr>
            </w:pPr>
            <w:r>
              <w:rPr>
                <w:sz w:val="21"/>
                <w:szCs w:val="21"/>
                <w:lang w:eastAsia="en-US"/>
              </w:rPr>
              <w:t>松香苑小区</w:t>
            </w:r>
          </w:p>
        </w:tc>
        <w:tc>
          <w:tcPr>
            <w:tcW w:w="737" w:type="dxa"/>
            <w:vMerge w:val="restart"/>
            <w:tcBorders>
              <w:tl2br w:val="nil"/>
              <w:tr2bl w:val="nil"/>
            </w:tcBorders>
            <w:shd w:val="clear" w:color="auto" w:fill="auto"/>
            <w:vAlign w:val="center"/>
          </w:tcPr>
          <w:p w14:paraId="39E52665">
            <w:pPr>
              <w:widowControl/>
              <w:spacing w:line="400" w:lineRule="exact"/>
              <w:jc w:val="center"/>
              <w:rPr>
                <w:sz w:val="21"/>
                <w:szCs w:val="21"/>
                <w:lang w:eastAsia="en-US"/>
              </w:rPr>
            </w:pPr>
            <w:r>
              <w:rPr>
                <w:sz w:val="21"/>
                <w:szCs w:val="21"/>
                <w:lang w:eastAsia="en-US"/>
              </w:rPr>
              <w:t>-</w:t>
            </w:r>
            <w:r>
              <w:rPr>
                <w:rFonts w:hint="eastAsia"/>
                <w:sz w:val="21"/>
                <w:szCs w:val="21"/>
                <w:lang w:eastAsia="en-US"/>
              </w:rPr>
              <w:t>1080</w:t>
            </w:r>
          </w:p>
        </w:tc>
        <w:tc>
          <w:tcPr>
            <w:tcW w:w="647" w:type="dxa"/>
            <w:vMerge w:val="restart"/>
            <w:tcBorders>
              <w:tl2br w:val="nil"/>
              <w:tr2bl w:val="nil"/>
            </w:tcBorders>
            <w:shd w:val="clear" w:color="auto" w:fill="auto"/>
            <w:vAlign w:val="center"/>
          </w:tcPr>
          <w:p w14:paraId="6A8910A4">
            <w:pPr>
              <w:widowControl/>
              <w:spacing w:line="400" w:lineRule="exact"/>
              <w:jc w:val="center"/>
              <w:rPr>
                <w:sz w:val="21"/>
                <w:szCs w:val="21"/>
                <w:lang w:eastAsia="en-US"/>
              </w:rPr>
            </w:pPr>
            <w:r>
              <w:rPr>
                <w:rFonts w:hint="eastAsia"/>
                <w:sz w:val="21"/>
                <w:szCs w:val="21"/>
                <w:lang w:eastAsia="en-US"/>
              </w:rPr>
              <w:t>762</w:t>
            </w:r>
          </w:p>
        </w:tc>
        <w:tc>
          <w:tcPr>
            <w:tcW w:w="914" w:type="dxa"/>
            <w:tcBorders>
              <w:tl2br w:val="nil"/>
              <w:tr2bl w:val="nil"/>
            </w:tcBorders>
            <w:shd w:val="clear" w:color="auto" w:fill="auto"/>
            <w:vAlign w:val="center"/>
          </w:tcPr>
          <w:p w14:paraId="2BD675C1">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87C0D6A">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101106</w:t>
            </w:r>
          </w:p>
        </w:tc>
        <w:tc>
          <w:tcPr>
            <w:tcW w:w="1182" w:type="dxa"/>
            <w:tcBorders>
              <w:tl2br w:val="nil"/>
              <w:tr2bl w:val="nil"/>
            </w:tcBorders>
            <w:shd w:val="clear" w:color="auto" w:fill="auto"/>
            <w:vAlign w:val="center"/>
          </w:tcPr>
          <w:p w14:paraId="7F26B3E7">
            <w:pPr>
              <w:widowControl w:val="0"/>
              <w:spacing w:line="400" w:lineRule="exact"/>
              <w:jc w:val="center"/>
              <w:rPr>
                <w:sz w:val="21"/>
                <w:szCs w:val="21"/>
                <w:lang w:eastAsia="en-US"/>
              </w:rPr>
            </w:pPr>
            <w:r>
              <w:rPr>
                <w:sz w:val="21"/>
                <w:szCs w:val="21"/>
                <w:lang w:eastAsia="en-US"/>
              </w:rPr>
              <w:t>0.2151</w:t>
            </w:r>
          </w:p>
        </w:tc>
        <w:tc>
          <w:tcPr>
            <w:tcW w:w="914" w:type="dxa"/>
            <w:tcBorders>
              <w:tl2br w:val="nil"/>
              <w:tr2bl w:val="nil"/>
            </w:tcBorders>
            <w:shd w:val="clear" w:color="auto" w:fill="auto"/>
            <w:vAlign w:val="center"/>
          </w:tcPr>
          <w:p w14:paraId="597ACB67">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5BB9E41E">
            <w:pPr>
              <w:widowControl w:val="0"/>
              <w:spacing w:line="400" w:lineRule="exact"/>
              <w:jc w:val="center"/>
              <w:rPr>
                <w:sz w:val="21"/>
                <w:szCs w:val="21"/>
                <w:lang w:eastAsia="en-US"/>
              </w:rPr>
            </w:pPr>
            <w:r>
              <w:rPr>
                <w:sz w:val="21"/>
                <w:szCs w:val="21"/>
                <w:lang w:eastAsia="en-US"/>
              </w:rPr>
              <w:t>17.92</w:t>
            </w:r>
          </w:p>
        </w:tc>
        <w:tc>
          <w:tcPr>
            <w:tcW w:w="716" w:type="dxa"/>
            <w:tcBorders>
              <w:tl2br w:val="nil"/>
              <w:tr2bl w:val="nil"/>
            </w:tcBorders>
            <w:shd w:val="clear" w:color="auto" w:fill="auto"/>
            <w:vAlign w:val="center"/>
          </w:tcPr>
          <w:p w14:paraId="45423786">
            <w:pPr>
              <w:widowControl/>
              <w:spacing w:line="400" w:lineRule="exact"/>
              <w:jc w:val="center"/>
              <w:rPr>
                <w:sz w:val="21"/>
                <w:szCs w:val="21"/>
                <w:lang w:eastAsia="en-US"/>
              </w:rPr>
            </w:pPr>
            <w:r>
              <w:rPr>
                <w:sz w:val="21"/>
                <w:szCs w:val="21"/>
                <w:lang w:eastAsia="en-US"/>
              </w:rPr>
              <w:t>达标</w:t>
            </w:r>
          </w:p>
        </w:tc>
      </w:tr>
      <w:tr w14:paraId="6097EE4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BFC7555">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2FA97A5B">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005491D1">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153122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B8ABBEB">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6D7F72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1001</w:t>
            </w:r>
          </w:p>
        </w:tc>
        <w:tc>
          <w:tcPr>
            <w:tcW w:w="1182" w:type="dxa"/>
            <w:tcBorders>
              <w:tl2br w:val="nil"/>
              <w:tr2bl w:val="nil"/>
            </w:tcBorders>
            <w:shd w:val="clear" w:color="auto" w:fill="auto"/>
            <w:vAlign w:val="center"/>
          </w:tcPr>
          <w:p w14:paraId="79AE98F8">
            <w:pPr>
              <w:widowControl w:val="0"/>
              <w:spacing w:line="400" w:lineRule="exact"/>
              <w:jc w:val="center"/>
              <w:rPr>
                <w:sz w:val="21"/>
                <w:szCs w:val="21"/>
                <w:lang w:eastAsia="en-US"/>
              </w:rPr>
            </w:pPr>
            <w:r>
              <w:rPr>
                <w:sz w:val="21"/>
                <w:szCs w:val="21"/>
                <w:lang w:eastAsia="en-US"/>
              </w:rPr>
              <w:t>0.0124</w:t>
            </w:r>
          </w:p>
        </w:tc>
        <w:tc>
          <w:tcPr>
            <w:tcW w:w="914" w:type="dxa"/>
            <w:tcBorders>
              <w:tl2br w:val="nil"/>
              <w:tr2bl w:val="nil"/>
            </w:tcBorders>
            <w:shd w:val="clear" w:color="auto" w:fill="auto"/>
            <w:vAlign w:val="center"/>
          </w:tcPr>
          <w:p w14:paraId="23A33355">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05FDDFBF">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5EA5BF92">
            <w:pPr>
              <w:widowControl/>
              <w:spacing w:line="400" w:lineRule="exact"/>
              <w:jc w:val="center"/>
              <w:rPr>
                <w:sz w:val="21"/>
                <w:szCs w:val="21"/>
                <w:lang w:eastAsia="en-US"/>
              </w:rPr>
            </w:pPr>
            <w:r>
              <w:rPr>
                <w:rFonts w:hint="eastAsia"/>
                <w:sz w:val="21"/>
                <w:szCs w:val="21"/>
                <w:lang w:eastAsia="en-US"/>
              </w:rPr>
              <w:t>/</w:t>
            </w:r>
          </w:p>
        </w:tc>
      </w:tr>
      <w:tr w14:paraId="011B99F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302B72A">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0781648">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7461B57">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46813A77">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5E7D830E">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C50CE40">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C06D9C8">
            <w:pPr>
              <w:widowControl w:val="0"/>
              <w:spacing w:line="40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52A0CC22">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4CC5242D">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0973F148">
            <w:pPr>
              <w:widowControl/>
              <w:spacing w:line="400" w:lineRule="exact"/>
              <w:jc w:val="center"/>
              <w:rPr>
                <w:sz w:val="21"/>
                <w:szCs w:val="21"/>
                <w:lang w:eastAsia="en-US"/>
              </w:rPr>
            </w:pPr>
            <w:r>
              <w:rPr>
                <w:rFonts w:hint="eastAsia"/>
                <w:sz w:val="21"/>
                <w:szCs w:val="21"/>
                <w:lang w:eastAsia="en-US"/>
              </w:rPr>
              <w:t>/</w:t>
            </w:r>
          </w:p>
        </w:tc>
      </w:tr>
      <w:tr w14:paraId="2D7A5A3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EAFB876">
            <w:pPr>
              <w:widowControl/>
              <w:spacing w:line="400" w:lineRule="exact"/>
              <w:jc w:val="center"/>
              <w:rPr>
                <w:sz w:val="21"/>
                <w:szCs w:val="21"/>
                <w:lang w:eastAsia="en-US"/>
              </w:rPr>
            </w:pPr>
            <w:r>
              <w:rPr>
                <w:sz w:val="21"/>
                <w:szCs w:val="21"/>
                <w:lang w:eastAsia="en-US"/>
              </w:rPr>
              <w:t>3</w:t>
            </w:r>
          </w:p>
        </w:tc>
        <w:tc>
          <w:tcPr>
            <w:tcW w:w="1145" w:type="dxa"/>
            <w:vMerge w:val="restart"/>
            <w:tcBorders>
              <w:tl2br w:val="nil"/>
              <w:tr2bl w:val="nil"/>
            </w:tcBorders>
            <w:shd w:val="clear" w:color="auto" w:fill="auto"/>
            <w:vAlign w:val="center"/>
          </w:tcPr>
          <w:p w14:paraId="727479B1">
            <w:pPr>
              <w:widowControl/>
              <w:spacing w:line="400" w:lineRule="exact"/>
              <w:jc w:val="center"/>
              <w:rPr>
                <w:sz w:val="21"/>
                <w:szCs w:val="21"/>
                <w:lang w:eastAsia="en-US"/>
              </w:rPr>
            </w:pPr>
            <w:r>
              <w:rPr>
                <w:sz w:val="21"/>
                <w:szCs w:val="21"/>
                <w:lang w:eastAsia="en-US"/>
              </w:rPr>
              <w:t>吴家巷散户居民</w:t>
            </w:r>
          </w:p>
        </w:tc>
        <w:tc>
          <w:tcPr>
            <w:tcW w:w="737" w:type="dxa"/>
            <w:vMerge w:val="restart"/>
            <w:tcBorders>
              <w:tl2br w:val="nil"/>
              <w:tr2bl w:val="nil"/>
            </w:tcBorders>
            <w:shd w:val="clear" w:color="auto" w:fill="auto"/>
            <w:vAlign w:val="center"/>
          </w:tcPr>
          <w:p w14:paraId="3F582BC4">
            <w:pPr>
              <w:widowControl/>
              <w:spacing w:line="400" w:lineRule="exact"/>
              <w:jc w:val="center"/>
              <w:rPr>
                <w:sz w:val="21"/>
                <w:szCs w:val="21"/>
                <w:lang w:eastAsia="en-US"/>
              </w:rPr>
            </w:pPr>
            <w:r>
              <w:rPr>
                <w:sz w:val="21"/>
                <w:szCs w:val="21"/>
                <w:lang w:eastAsia="en-US"/>
              </w:rPr>
              <w:t>-</w:t>
            </w:r>
            <w:r>
              <w:rPr>
                <w:rFonts w:hint="eastAsia"/>
                <w:sz w:val="21"/>
                <w:szCs w:val="21"/>
                <w:lang w:eastAsia="en-US"/>
              </w:rPr>
              <w:t>831</w:t>
            </w:r>
          </w:p>
        </w:tc>
        <w:tc>
          <w:tcPr>
            <w:tcW w:w="647" w:type="dxa"/>
            <w:vMerge w:val="restart"/>
            <w:tcBorders>
              <w:tl2br w:val="nil"/>
              <w:tr2bl w:val="nil"/>
            </w:tcBorders>
            <w:shd w:val="clear" w:color="auto" w:fill="auto"/>
            <w:vAlign w:val="center"/>
          </w:tcPr>
          <w:p w14:paraId="2025A391">
            <w:pPr>
              <w:widowControl/>
              <w:spacing w:line="400" w:lineRule="exact"/>
              <w:jc w:val="center"/>
              <w:rPr>
                <w:sz w:val="21"/>
                <w:szCs w:val="21"/>
                <w:lang w:eastAsia="en-US"/>
              </w:rPr>
            </w:pPr>
            <w:r>
              <w:rPr>
                <w:sz w:val="21"/>
                <w:szCs w:val="21"/>
                <w:lang w:eastAsia="en-US"/>
              </w:rPr>
              <w:t>-</w:t>
            </w:r>
            <w:r>
              <w:rPr>
                <w:rFonts w:hint="eastAsia"/>
                <w:sz w:val="21"/>
                <w:szCs w:val="21"/>
                <w:lang w:eastAsia="en-US"/>
              </w:rPr>
              <w:t>199</w:t>
            </w:r>
          </w:p>
        </w:tc>
        <w:tc>
          <w:tcPr>
            <w:tcW w:w="914" w:type="dxa"/>
            <w:tcBorders>
              <w:tl2br w:val="nil"/>
              <w:tr2bl w:val="nil"/>
            </w:tcBorders>
            <w:shd w:val="clear" w:color="auto" w:fill="auto"/>
            <w:vAlign w:val="center"/>
          </w:tcPr>
          <w:p w14:paraId="3BEB625B">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814DD88">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061022</w:t>
            </w:r>
          </w:p>
        </w:tc>
        <w:tc>
          <w:tcPr>
            <w:tcW w:w="1182" w:type="dxa"/>
            <w:tcBorders>
              <w:tl2br w:val="nil"/>
              <w:tr2bl w:val="nil"/>
            </w:tcBorders>
            <w:shd w:val="clear" w:color="auto" w:fill="auto"/>
            <w:vAlign w:val="center"/>
          </w:tcPr>
          <w:p w14:paraId="335E2B03">
            <w:pPr>
              <w:widowControl w:val="0"/>
              <w:spacing w:line="400" w:lineRule="exact"/>
              <w:jc w:val="center"/>
              <w:rPr>
                <w:sz w:val="21"/>
                <w:szCs w:val="21"/>
                <w:lang w:eastAsia="en-US"/>
              </w:rPr>
            </w:pPr>
            <w:r>
              <w:rPr>
                <w:sz w:val="21"/>
                <w:szCs w:val="21"/>
                <w:lang w:eastAsia="en-US"/>
              </w:rPr>
              <w:t>0.2268</w:t>
            </w:r>
          </w:p>
        </w:tc>
        <w:tc>
          <w:tcPr>
            <w:tcW w:w="914" w:type="dxa"/>
            <w:tcBorders>
              <w:tl2br w:val="nil"/>
              <w:tr2bl w:val="nil"/>
            </w:tcBorders>
            <w:shd w:val="clear" w:color="auto" w:fill="auto"/>
            <w:vAlign w:val="center"/>
          </w:tcPr>
          <w:p w14:paraId="1962B440">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1A5C256C">
            <w:pPr>
              <w:widowControl w:val="0"/>
              <w:spacing w:line="400" w:lineRule="exact"/>
              <w:jc w:val="center"/>
              <w:rPr>
                <w:sz w:val="21"/>
                <w:szCs w:val="21"/>
                <w:lang w:eastAsia="en-US"/>
              </w:rPr>
            </w:pPr>
            <w:r>
              <w:rPr>
                <w:sz w:val="21"/>
                <w:szCs w:val="21"/>
                <w:lang w:eastAsia="en-US"/>
              </w:rPr>
              <w:t>18.90</w:t>
            </w:r>
          </w:p>
        </w:tc>
        <w:tc>
          <w:tcPr>
            <w:tcW w:w="716" w:type="dxa"/>
            <w:tcBorders>
              <w:tl2br w:val="nil"/>
              <w:tr2bl w:val="nil"/>
            </w:tcBorders>
            <w:shd w:val="clear" w:color="auto" w:fill="auto"/>
            <w:vAlign w:val="center"/>
          </w:tcPr>
          <w:p w14:paraId="76B8B6AF">
            <w:pPr>
              <w:widowControl/>
              <w:spacing w:line="400" w:lineRule="exact"/>
              <w:jc w:val="center"/>
              <w:rPr>
                <w:sz w:val="21"/>
                <w:szCs w:val="21"/>
                <w:lang w:eastAsia="en-US"/>
              </w:rPr>
            </w:pPr>
            <w:r>
              <w:rPr>
                <w:sz w:val="21"/>
                <w:szCs w:val="21"/>
                <w:lang w:eastAsia="en-US"/>
              </w:rPr>
              <w:t>达标</w:t>
            </w:r>
          </w:p>
        </w:tc>
      </w:tr>
      <w:tr w14:paraId="7E7EC85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D4DC2C0">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347175EE">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5B643A64">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6E4A2E9">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320707B">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4A9307B">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82" w:type="dxa"/>
            <w:tcBorders>
              <w:tl2br w:val="nil"/>
              <w:tr2bl w:val="nil"/>
            </w:tcBorders>
            <w:shd w:val="clear" w:color="auto" w:fill="auto"/>
            <w:vAlign w:val="center"/>
          </w:tcPr>
          <w:p w14:paraId="2CCB1815">
            <w:pPr>
              <w:widowControl w:val="0"/>
              <w:spacing w:line="400" w:lineRule="exact"/>
              <w:jc w:val="center"/>
              <w:rPr>
                <w:sz w:val="21"/>
                <w:szCs w:val="21"/>
                <w:lang w:eastAsia="en-US"/>
              </w:rPr>
            </w:pPr>
            <w:r>
              <w:rPr>
                <w:sz w:val="21"/>
                <w:szCs w:val="21"/>
                <w:lang w:eastAsia="en-US"/>
              </w:rPr>
              <w:t>0.0237</w:t>
            </w:r>
          </w:p>
        </w:tc>
        <w:tc>
          <w:tcPr>
            <w:tcW w:w="914" w:type="dxa"/>
            <w:tcBorders>
              <w:tl2br w:val="nil"/>
              <w:tr2bl w:val="nil"/>
            </w:tcBorders>
            <w:shd w:val="clear" w:color="auto" w:fill="auto"/>
            <w:vAlign w:val="center"/>
          </w:tcPr>
          <w:p w14:paraId="265997FE">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AB3762A">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D7A527E">
            <w:pPr>
              <w:widowControl/>
              <w:spacing w:line="400" w:lineRule="exact"/>
              <w:jc w:val="center"/>
              <w:rPr>
                <w:sz w:val="21"/>
                <w:szCs w:val="21"/>
                <w:lang w:eastAsia="en-US"/>
              </w:rPr>
            </w:pPr>
            <w:r>
              <w:rPr>
                <w:rFonts w:hint="eastAsia"/>
                <w:sz w:val="21"/>
                <w:szCs w:val="21"/>
                <w:lang w:eastAsia="en-US"/>
              </w:rPr>
              <w:t>/</w:t>
            </w:r>
          </w:p>
        </w:tc>
      </w:tr>
      <w:tr w14:paraId="343B8E9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4045CE3">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EC5402C">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366D620D">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51D9B7B4">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02E4554E">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72A7A88">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0924DCA">
            <w:pPr>
              <w:widowControl w:val="0"/>
              <w:spacing w:line="400" w:lineRule="exact"/>
              <w:jc w:val="center"/>
              <w:rPr>
                <w:sz w:val="21"/>
                <w:szCs w:val="21"/>
                <w:lang w:eastAsia="en-US"/>
              </w:rPr>
            </w:pPr>
            <w:r>
              <w:rPr>
                <w:sz w:val="21"/>
                <w:szCs w:val="21"/>
                <w:lang w:eastAsia="en-US"/>
              </w:rPr>
              <w:t>0.0010</w:t>
            </w:r>
          </w:p>
        </w:tc>
        <w:tc>
          <w:tcPr>
            <w:tcW w:w="914" w:type="dxa"/>
            <w:tcBorders>
              <w:tl2br w:val="nil"/>
              <w:tr2bl w:val="nil"/>
            </w:tcBorders>
            <w:shd w:val="clear" w:color="auto" w:fill="auto"/>
            <w:vAlign w:val="center"/>
          </w:tcPr>
          <w:p w14:paraId="44F99813">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7B4F2ED">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2B2E0B61">
            <w:pPr>
              <w:widowControl/>
              <w:spacing w:line="400" w:lineRule="exact"/>
              <w:jc w:val="center"/>
              <w:rPr>
                <w:sz w:val="21"/>
                <w:szCs w:val="21"/>
                <w:lang w:eastAsia="en-US"/>
              </w:rPr>
            </w:pPr>
            <w:r>
              <w:rPr>
                <w:rFonts w:hint="eastAsia"/>
                <w:sz w:val="21"/>
                <w:szCs w:val="21"/>
                <w:lang w:eastAsia="en-US"/>
              </w:rPr>
              <w:t>/</w:t>
            </w:r>
          </w:p>
        </w:tc>
      </w:tr>
      <w:tr w14:paraId="5BB6C9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AD5974F">
            <w:pPr>
              <w:widowControl/>
              <w:spacing w:line="400" w:lineRule="exact"/>
              <w:jc w:val="center"/>
              <w:rPr>
                <w:sz w:val="21"/>
                <w:szCs w:val="21"/>
                <w:lang w:eastAsia="en-US"/>
              </w:rPr>
            </w:pPr>
            <w:r>
              <w:rPr>
                <w:sz w:val="21"/>
                <w:szCs w:val="21"/>
                <w:lang w:eastAsia="en-US"/>
              </w:rPr>
              <w:t>4</w:t>
            </w:r>
          </w:p>
        </w:tc>
        <w:tc>
          <w:tcPr>
            <w:tcW w:w="1145" w:type="dxa"/>
            <w:vMerge w:val="restart"/>
            <w:tcBorders>
              <w:tl2br w:val="nil"/>
              <w:tr2bl w:val="nil"/>
            </w:tcBorders>
            <w:shd w:val="clear" w:color="auto" w:fill="auto"/>
            <w:vAlign w:val="center"/>
          </w:tcPr>
          <w:p w14:paraId="70C949A8">
            <w:pPr>
              <w:widowControl/>
              <w:spacing w:line="400" w:lineRule="exact"/>
              <w:jc w:val="center"/>
              <w:rPr>
                <w:sz w:val="21"/>
                <w:szCs w:val="21"/>
                <w:lang w:eastAsia="en-US"/>
              </w:rPr>
            </w:pPr>
            <w:r>
              <w:rPr>
                <w:sz w:val="21"/>
                <w:szCs w:val="21"/>
                <w:lang w:eastAsia="en-US"/>
              </w:rPr>
              <w:t>黄莺花苑小区</w:t>
            </w:r>
          </w:p>
        </w:tc>
        <w:tc>
          <w:tcPr>
            <w:tcW w:w="737" w:type="dxa"/>
            <w:vMerge w:val="restart"/>
            <w:tcBorders>
              <w:tl2br w:val="nil"/>
              <w:tr2bl w:val="nil"/>
            </w:tcBorders>
            <w:shd w:val="clear" w:color="auto" w:fill="auto"/>
            <w:vAlign w:val="center"/>
          </w:tcPr>
          <w:p w14:paraId="7B7431FD">
            <w:pPr>
              <w:widowControl/>
              <w:spacing w:line="400" w:lineRule="exact"/>
              <w:jc w:val="center"/>
              <w:rPr>
                <w:sz w:val="21"/>
                <w:szCs w:val="21"/>
                <w:lang w:eastAsia="en-US"/>
              </w:rPr>
            </w:pPr>
            <w:r>
              <w:rPr>
                <w:sz w:val="21"/>
                <w:szCs w:val="21"/>
                <w:lang w:eastAsia="en-US"/>
              </w:rPr>
              <w:t>-</w:t>
            </w:r>
            <w:r>
              <w:rPr>
                <w:rFonts w:hint="eastAsia"/>
                <w:sz w:val="21"/>
                <w:szCs w:val="21"/>
                <w:lang w:eastAsia="en-US"/>
              </w:rPr>
              <w:t>857</w:t>
            </w:r>
          </w:p>
        </w:tc>
        <w:tc>
          <w:tcPr>
            <w:tcW w:w="647" w:type="dxa"/>
            <w:vMerge w:val="restart"/>
            <w:tcBorders>
              <w:tl2br w:val="nil"/>
              <w:tr2bl w:val="nil"/>
            </w:tcBorders>
            <w:shd w:val="clear" w:color="auto" w:fill="auto"/>
            <w:vAlign w:val="center"/>
          </w:tcPr>
          <w:p w14:paraId="48ADA0BA">
            <w:pPr>
              <w:widowControl/>
              <w:spacing w:line="400" w:lineRule="exact"/>
              <w:jc w:val="center"/>
              <w:rPr>
                <w:sz w:val="21"/>
                <w:szCs w:val="21"/>
                <w:lang w:eastAsia="en-US"/>
              </w:rPr>
            </w:pPr>
            <w:r>
              <w:rPr>
                <w:rFonts w:hint="eastAsia"/>
                <w:sz w:val="21"/>
                <w:szCs w:val="21"/>
                <w:lang w:eastAsia="en-US"/>
              </w:rPr>
              <w:t>-507</w:t>
            </w:r>
          </w:p>
        </w:tc>
        <w:tc>
          <w:tcPr>
            <w:tcW w:w="914" w:type="dxa"/>
            <w:tcBorders>
              <w:tl2br w:val="nil"/>
              <w:tr2bl w:val="nil"/>
            </w:tcBorders>
            <w:shd w:val="clear" w:color="auto" w:fill="auto"/>
            <w:vAlign w:val="center"/>
          </w:tcPr>
          <w:p w14:paraId="02DCDDD5">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524AE15">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031908</w:t>
            </w:r>
          </w:p>
        </w:tc>
        <w:tc>
          <w:tcPr>
            <w:tcW w:w="1182" w:type="dxa"/>
            <w:tcBorders>
              <w:tl2br w:val="nil"/>
              <w:tr2bl w:val="nil"/>
            </w:tcBorders>
            <w:shd w:val="clear" w:color="auto" w:fill="auto"/>
            <w:vAlign w:val="center"/>
          </w:tcPr>
          <w:p w14:paraId="2C7E59DA">
            <w:pPr>
              <w:widowControl w:val="0"/>
              <w:spacing w:line="400" w:lineRule="exact"/>
              <w:jc w:val="center"/>
              <w:rPr>
                <w:sz w:val="21"/>
                <w:szCs w:val="21"/>
                <w:lang w:eastAsia="en-US"/>
              </w:rPr>
            </w:pPr>
            <w:r>
              <w:rPr>
                <w:sz w:val="21"/>
                <w:szCs w:val="21"/>
                <w:lang w:eastAsia="en-US"/>
              </w:rPr>
              <w:t>0.3787</w:t>
            </w:r>
          </w:p>
        </w:tc>
        <w:tc>
          <w:tcPr>
            <w:tcW w:w="914" w:type="dxa"/>
            <w:tcBorders>
              <w:tl2br w:val="nil"/>
              <w:tr2bl w:val="nil"/>
            </w:tcBorders>
            <w:shd w:val="clear" w:color="auto" w:fill="auto"/>
            <w:vAlign w:val="center"/>
          </w:tcPr>
          <w:p w14:paraId="572B2836">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636A4ACD">
            <w:pPr>
              <w:widowControl w:val="0"/>
              <w:spacing w:line="400" w:lineRule="exact"/>
              <w:jc w:val="center"/>
              <w:rPr>
                <w:sz w:val="21"/>
                <w:szCs w:val="21"/>
                <w:lang w:eastAsia="en-US"/>
              </w:rPr>
            </w:pPr>
            <w:r>
              <w:rPr>
                <w:sz w:val="21"/>
                <w:szCs w:val="21"/>
                <w:lang w:eastAsia="en-US"/>
              </w:rPr>
              <w:t>31.56</w:t>
            </w:r>
          </w:p>
        </w:tc>
        <w:tc>
          <w:tcPr>
            <w:tcW w:w="716" w:type="dxa"/>
            <w:tcBorders>
              <w:tl2br w:val="nil"/>
              <w:tr2bl w:val="nil"/>
            </w:tcBorders>
            <w:shd w:val="clear" w:color="auto" w:fill="auto"/>
            <w:vAlign w:val="center"/>
          </w:tcPr>
          <w:p w14:paraId="5FB5713A">
            <w:pPr>
              <w:widowControl/>
              <w:spacing w:line="400" w:lineRule="exact"/>
              <w:jc w:val="center"/>
              <w:rPr>
                <w:sz w:val="21"/>
                <w:szCs w:val="21"/>
                <w:lang w:eastAsia="en-US"/>
              </w:rPr>
            </w:pPr>
            <w:r>
              <w:rPr>
                <w:sz w:val="21"/>
                <w:szCs w:val="21"/>
                <w:lang w:eastAsia="en-US"/>
              </w:rPr>
              <w:t>达标</w:t>
            </w:r>
          </w:p>
        </w:tc>
      </w:tr>
      <w:tr w14:paraId="57E4417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67D498D">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FB5EA3D">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36296A9">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6549B27">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51A845A">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E4BCEC4">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0319</w:t>
            </w:r>
          </w:p>
        </w:tc>
        <w:tc>
          <w:tcPr>
            <w:tcW w:w="1182" w:type="dxa"/>
            <w:tcBorders>
              <w:tl2br w:val="nil"/>
              <w:tr2bl w:val="nil"/>
            </w:tcBorders>
            <w:shd w:val="clear" w:color="auto" w:fill="auto"/>
            <w:vAlign w:val="center"/>
          </w:tcPr>
          <w:p w14:paraId="553638FE">
            <w:pPr>
              <w:widowControl w:val="0"/>
              <w:spacing w:line="400" w:lineRule="exact"/>
              <w:jc w:val="center"/>
              <w:rPr>
                <w:sz w:val="21"/>
                <w:szCs w:val="21"/>
                <w:lang w:eastAsia="en-US"/>
              </w:rPr>
            </w:pPr>
            <w:r>
              <w:rPr>
                <w:sz w:val="21"/>
                <w:szCs w:val="21"/>
                <w:lang w:eastAsia="en-US"/>
              </w:rPr>
              <w:t>0.0165</w:t>
            </w:r>
          </w:p>
        </w:tc>
        <w:tc>
          <w:tcPr>
            <w:tcW w:w="914" w:type="dxa"/>
            <w:tcBorders>
              <w:tl2br w:val="nil"/>
              <w:tr2bl w:val="nil"/>
            </w:tcBorders>
            <w:shd w:val="clear" w:color="auto" w:fill="auto"/>
            <w:vAlign w:val="center"/>
          </w:tcPr>
          <w:p w14:paraId="0269FD84">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6CE3C041">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2D87A674">
            <w:pPr>
              <w:widowControl/>
              <w:spacing w:line="400" w:lineRule="exact"/>
              <w:jc w:val="center"/>
              <w:rPr>
                <w:sz w:val="21"/>
                <w:szCs w:val="21"/>
                <w:lang w:eastAsia="en-US"/>
              </w:rPr>
            </w:pPr>
            <w:r>
              <w:rPr>
                <w:rFonts w:hint="eastAsia"/>
                <w:sz w:val="21"/>
                <w:szCs w:val="21"/>
                <w:lang w:eastAsia="en-US"/>
              </w:rPr>
              <w:t>/</w:t>
            </w:r>
          </w:p>
        </w:tc>
      </w:tr>
      <w:tr w14:paraId="099B288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747425D">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C98A3E0">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69A634E4">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5F18F2CE">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3B3770A">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A79C8AE">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F42A76E">
            <w:pPr>
              <w:widowControl w:val="0"/>
              <w:spacing w:line="400" w:lineRule="exact"/>
              <w:jc w:val="center"/>
              <w:rPr>
                <w:sz w:val="21"/>
                <w:szCs w:val="21"/>
                <w:lang w:eastAsia="en-US"/>
              </w:rPr>
            </w:pPr>
            <w:r>
              <w:rPr>
                <w:sz w:val="21"/>
                <w:szCs w:val="21"/>
                <w:lang w:eastAsia="en-US"/>
              </w:rPr>
              <w:t>0.0012</w:t>
            </w:r>
          </w:p>
        </w:tc>
        <w:tc>
          <w:tcPr>
            <w:tcW w:w="914" w:type="dxa"/>
            <w:tcBorders>
              <w:tl2br w:val="nil"/>
              <w:tr2bl w:val="nil"/>
            </w:tcBorders>
            <w:shd w:val="clear" w:color="auto" w:fill="auto"/>
            <w:vAlign w:val="center"/>
          </w:tcPr>
          <w:p w14:paraId="04D77295">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397D2D83">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DA9AE9F">
            <w:pPr>
              <w:widowControl/>
              <w:spacing w:line="400" w:lineRule="exact"/>
              <w:jc w:val="center"/>
              <w:rPr>
                <w:sz w:val="21"/>
                <w:szCs w:val="21"/>
                <w:lang w:eastAsia="en-US"/>
              </w:rPr>
            </w:pPr>
            <w:r>
              <w:rPr>
                <w:rFonts w:hint="eastAsia"/>
                <w:sz w:val="21"/>
                <w:szCs w:val="21"/>
                <w:lang w:eastAsia="en-US"/>
              </w:rPr>
              <w:t>/</w:t>
            </w:r>
          </w:p>
        </w:tc>
      </w:tr>
      <w:tr w14:paraId="0CAA1A1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7413FCE">
            <w:pPr>
              <w:widowControl/>
              <w:spacing w:line="400" w:lineRule="exact"/>
              <w:jc w:val="center"/>
              <w:rPr>
                <w:sz w:val="21"/>
                <w:szCs w:val="21"/>
                <w:lang w:eastAsia="en-US"/>
              </w:rPr>
            </w:pPr>
            <w:r>
              <w:rPr>
                <w:sz w:val="21"/>
                <w:szCs w:val="21"/>
                <w:lang w:eastAsia="en-US"/>
              </w:rPr>
              <w:t>5</w:t>
            </w:r>
          </w:p>
        </w:tc>
        <w:tc>
          <w:tcPr>
            <w:tcW w:w="1145" w:type="dxa"/>
            <w:vMerge w:val="restart"/>
            <w:tcBorders>
              <w:tl2br w:val="nil"/>
              <w:tr2bl w:val="nil"/>
            </w:tcBorders>
            <w:shd w:val="clear" w:color="auto" w:fill="auto"/>
            <w:vAlign w:val="center"/>
          </w:tcPr>
          <w:p w14:paraId="0883FB01">
            <w:pPr>
              <w:widowControl/>
              <w:spacing w:line="400" w:lineRule="exact"/>
              <w:jc w:val="center"/>
              <w:rPr>
                <w:sz w:val="21"/>
                <w:szCs w:val="21"/>
                <w:lang w:eastAsia="en-US"/>
              </w:rPr>
            </w:pPr>
            <w:r>
              <w:rPr>
                <w:sz w:val="21"/>
                <w:szCs w:val="21"/>
                <w:lang w:eastAsia="en-US"/>
              </w:rPr>
              <w:t>城南御花园小区</w:t>
            </w:r>
          </w:p>
        </w:tc>
        <w:tc>
          <w:tcPr>
            <w:tcW w:w="737" w:type="dxa"/>
            <w:vMerge w:val="restart"/>
            <w:tcBorders>
              <w:tl2br w:val="nil"/>
              <w:tr2bl w:val="nil"/>
            </w:tcBorders>
            <w:shd w:val="clear" w:color="auto" w:fill="auto"/>
            <w:vAlign w:val="center"/>
          </w:tcPr>
          <w:p w14:paraId="1AC3D482">
            <w:pPr>
              <w:widowControl/>
              <w:spacing w:line="400" w:lineRule="exact"/>
              <w:jc w:val="center"/>
              <w:rPr>
                <w:sz w:val="21"/>
                <w:szCs w:val="21"/>
                <w:lang w:eastAsia="en-US"/>
              </w:rPr>
            </w:pPr>
            <w:r>
              <w:rPr>
                <w:rFonts w:hint="eastAsia"/>
                <w:sz w:val="21"/>
                <w:szCs w:val="21"/>
                <w:lang w:eastAsia="en-US"/>
              </w:rPr>
              <w:t>-900</w:t>
            </w:r>
          </w:p>
        </w:tc>
        <w:tc>
          <w:tcPr>
            <w:tcW w:w="647" w:type="dxa"/>
            <w:vMerge w:val="restart"/>
            <w:tcBorders>
              <w:tl2br w:val="nil"/>
              <w:tr2bl w:val="nil"/>
            </w:tcBorders>
            <w:shd w:val="clear" w:color="auto" w:fill="auto"/>
            <w:vAlign w:val="center"/>
          </w:tcPr>
          <w:p w14:paraId="5C02B8B2">
            <w:pPr>
              <w:widowControl/>
              <w:spacing w:line="400" w:lineRule="exact"/>
              <w:jc w:val="center"/>
              <w:rPr>
                <w:sz w:val="21"/>
                <w:szCs w:val="21"/>
                <w:lang w:eastAsia="en-US"/>
              </w:rPr>
            </w:pPr>
            <w:r>
              <w:rPr>
                <w:sz w:val="21"/>
                <w:szCs w:val="21"/>
                <w:lang w:eastAsia="en-US"/>
              </w:rPr>
              <w:t>-</w:t>
            </w:r>
            <w:r>
              <w:rPr>
                <w:rFonts w:hint="eastAsia"/>
                <w:sz w:val="21"/>
                <w:szCs w:val="21"/>
                <w:lang w:eastAsia="en-US"/>
              </w:rPr>
              <w:t>684</w:t>
            </w:r>
          </w:p>
        </w:tc>
        <w:tc>
          <w:tcPr>
            <w:tcW w:w="914" w:type="dxa"/>
            <w:tcBorders>
              <w:tl2br w:val="nil"/>
              <w:tr2bl w:val="nil"/>
            </w:tcBorders>
            <w:shd w:val="clear" w:color="auto" w:fill="auto"/>
            <w:vAlign w:val="center"/>
          </w:tcPr>
          <w:p w14:paraId="0A3D39AB">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737059B">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82" w:type="dxa"/>
            <w:tcBorders>
              <w:tl2br w:val="nil"/>
              <w:tr2bl w:val="nil"/>
            </w:tcBorders>
            <w:shd w:val="clear" w:color="auto" w:fill="auto"/>
            <w:vAlign w:val="center"/>
          </w:tcPr>
          <w:p w14:paraId="7F740AF3">
            <w:pPr>
              <w:widowControl w:val="0"/>
              <w:spacing w:line="400" w:lineRule="exact"/>
              <w:jc w:val="center"/>
              <w:rPr>
                <w:sz w:val="21"/>
                <w:szCs w:val="21"/>
                <w:lang w:eastAsia="en-US"/>
              </w:rPr>
            </w:pPr>
            <w:r>
              <w:rPr>
                <w:sz w:val="21"/>
                <w:szCs w:val="21"/>
                <w:lang w:eastAsia="en-US"/>
              </w:rPr>
              <w:t>0.1904</w:t>
            </w:r>
          </w:p>
        </w:tc>
        <w:tc>
          <w:tcPr>
            <w:tcW w:w="914" w:type="dxa"/>
            <w:tcBorders>
              <w:tl2br w:val="nil"/>
              <w:tr2bl w:val="nil"/>
            </w:tcBorders>
            <w:shd w:val="clear" w:color="auto" w:fill="auto"/>
            <w:vAlign w:val="center"/>
          </w:tcPr>
          <w:p w14:paraId="4DF34952">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779B40AA">
            <w:pPr>
              <w:widowControl w:val="0"/>
              <w:spacing w:line="400" w:lineRule="exact"/>
              <w:jc w:val="center"/>
              <w:rPr>
                <w:sz w:val="21"/>
                <w:szCs w:val="21"/>
                <w:lang w:eastAsia="en-US"/>
              </w:rPr>
            </w:pPr>
            <w:r>
              <w:rPr>
                <w:sz w:val="21"/>
                <w:szCs w:val="21"/>
                <w:lang w:eastAsia="en-US"/>
              </w:rPr>
              <w:t>15.87</w:t>
            </w:r>
          </w:p>
        </w:tc>
        <w:tc>
          <w:tcPr>
            <w:tcW w:w="716" w:type="dxa"/>
            <w:tcBorders>
              <w:tl2br w:val="nil"/>
              <w:tr2bl w:val="nil"/>
            </w:tcBorders>
            <w:shd w:val="clear" w:color="auto" w:fill="auto"/>
            <w:vAlign w:val="center"/>
          </w:tcPr>
          <w:p w14:paraId="0FAC4964">
            <w:pPr>
              <w:widowControl/>
              <w:spacing w:line="400" w:lineRule="exact"/>
              <w:jc w:val="center"/>
              <w:rPr>
                <w:sz w:val="21"/>
                <w:szCs w:val="21"/>
                <w:lang w:eastAsia="en-US"/>
              </w:rPr>
            </w:pPr>
            <w:r>
              <w:rPr>
                <w:sz w:val="21"/>
                <w:szCs w:val="21"/>
                <w:lang w:eastAsia="en-US"/>
              </w:rPr>
              <w:t>达标</w:t>
            </w:r>
          </w:p>
        </w:tc>
      </w:tr>
      <w:tr w14:paraId="65DEF74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CA1E359">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73B9747">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23C03A10">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673B235A">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0D878963">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D57CB05">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0612</w:t>
            </w:r>
          </w:p>
        </w:tc>
        <w:tc>
          <w:tcPr>
            <w:tcW w:w="1182" w:type="dxa"/>
            <w:tcBorders>
              <w:tl2br w:val="nil"/>
              <w:tr2bl w:val="nil"/>
            </w:tcBorders>
            <w:shd w:val="clear" w:color="auto" w:fill="auto"/>
            <w:vAlign w:val="center"/>
          </w:tcPr>
          <w:p w14:paraId="1ECF3147">
            <w:pPr>
              <w:widowControl w:val="0"/>
              <w:spacing w:line="400" w:lineRule="exact"/>
              <w:jc w:val="center"/>
              <w:rPr>
                <w:sz w:val="21"/>
                <w:szCs w:val="21"/>
                <w:lang w:eastAsia="en-US"/>
              </w:rPr>
            </w:pPr>
            <w:r>
              <w:rPr>
                <w:sz w:val="21"/>
                <w:szCs w:val="21"/>
                <w:lang w:eastAsia="en-US"/>
              </w:rPr>
              <w:t>0.0182</w:t>
            </w:r>
          </w:p>
        </w:tc>
        <w:tc>
          <w:tcPr>
            <w:tcW w:w="914" w:type="dxa"/>
            <w:tcBorders>
              <w:tl2br w:val="nil"/>
              <w:tr2bl w:val="nil"/>
            </w:tcBorders>
            <w:shd w:val="clear" w:color="auto" w:fill="auto"/>
            <w:vAlign w:val="center"/>
          </w:tcPr>
          <w:p w14:paraId="102392CB">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6F9D133A">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2DDBDDED">
            <w:pPr>
              <w:widowControl/>
              <w:spacing w:line="400" w:lineRule="exact"/>
              <w:jc w:val="center"/>
              <w:rPr>
                <w:sz w:val="21"/>
                <w:szCs w:val="21"/>
                <w:lang w:eastAsia="en-US"/>
              </w:rPr>
            </w:pPr>
            <w:r>
              <w:rPr>
                <w:rFonts w:hint="eastAsia"/>
                <w:sz w:val="21"/>
                <w:szCs w:val="21"/>
                <w:lang w:eastAsia="en-US"/>
              </w:rPr>
              <w:t>/</w:t>
            </w:r>
          </w:p>
        </w:tc>
      </w:tr>
      <w:tr w14:paraId="375A0D9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81CDDAF">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51F062E4">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0C49518A">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419D25E">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3061490">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3D8357A">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67118FC">
            <w:pPr>
              <w:widowControl w:val="0"/>
              <w:spacing w:line="400" w:lineRule="exact"/>
              <w:jc w:val="center"/>
              <w:rPr>
                <w:sz w:val="21"/>
                <w:szCs w:val="21"/>
                <w:lang w:eastAsia="en-US"/>
              </w:rPr>
            </w:pPr>
            <w:r>
              <w:rPr>
                <w:sz w:val="21"/>
                <w:szCs w:val="21"/>
                <w:lang w:eastAsia="en-US"/>
              </w:rPr>
              <w:t>0.0014</w:t>
            </w:r>
          </w:p>
        </w:tc>
        <w:tc>
          <w:tcPr>
            <w:tcW w:w="914" w:type="dxa"/>
            <w:tcBorders>
              <w:tl2br w:val="nil"/>
              <w:tr2bl w:val="nil"/>
            </w:tcBorders>
            <w:shd w:val="clear" w:color="auto" w:fill="auto"/>
            <w:vAlign w:val="center"/>
          </w:tcPr>
          <w:p w14:paraId="55C70C8E">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E64A91E">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5622D5A7">
            <w:pPr>
              <w:widowControl/>
              <w:spacing w:line="400" w:lineRule="exact"/>
              <w:jc w:val="center"/>
              <w:rPr>
                <w:sz w:val="21"/>
                <w:szCs w:val="21"/>
                <w:lang w:eastAsia="en-US"/>
              </w:rPr>
            </w:pPr>
            <w:r>
              <w:rPr>
                <w:rFonts w:hint="eastAsia"/>
                <w:sz w:val="21"/>
                <w:szCs w:val="21"/>
                <w:lang w:eastAsia="en-US"/>
              </w:rPr>
              <w:t>/</w:t>
            </w:r>
          </w:p>
        </w:tc>
      </w:tr>
      <w:tr w14:paraId="1453984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AFBE4A6">
            <w:pPr>
              <w:widowControl/>
              <w:spacing w:line="400" w:lineRule="exact"/>
              <w:jc w:val="center"/>
              <w:rPr>
                <w:sz w:val="21"/>
                <w:szCs w:val="21"/>
                <w:lang w:eastAsia="en-US"/>
              </w:rPr>
            </w:pPr>
            <w:r>
              <w:rPr>
                <w:sz w:val="21"/>
                <w:szCs w:val="21"/>
                <w:lang w:eastAsia="en-US"/>
              </w:rPr>
              <w:t>6</w:t>
            </w:r>
          </w:p>
        </w:tc>
        <w:tc>
          <w:tcPr>
            <w:tcW w:w="1145" w:type="dxa"/>
            <w:vMerge w:val="restart"/>
            <w:tcBorders>
              <w:tl2br w:val="nil"/>
              <w:tr2bl w:val="nil"/>
            </w:tcBorders>
            <w:shd w:val="clear" w:color="auto" w:fill="auto"/>
            <w:vAlign w:val="center"/>
          </w:tcPr>
          <w:p w14:paraId="625DD1A9">
            <w:pPr>
              <w:widowControl/>
              <w:spacing w:line="400" w:lineRule="exact"/>
              <w:jc w:val="center"/>
              <w:rPr>
                <w:sz w:val="21"/>
                <w:szCs w:val="21"/>
                <w:lang w:eastAsia="en-US"/>
              </w:rPr>
            </w:pPr>
            <w:r>
              <w:rPr>
                <w:sz w:val="21"/>
                <w:szCs w:val="21"/>
                <w:lang w:eastAsia="en-US"/>
              </w:rPr>
              <w:t>润玉时代城小区</w:t>
            </w:r>
          </w:p>
        </w:tc>
        <w:tc>
          <w:tcPr>
            <w:tcW w:w="737" w:type="dxa"/>
            <w:vMerge w:val="restart"/>
            <w:tcBorders>
              <w:tl2br w:val="nil"/>
              <w:tr2bl w:val="nil"/>
            </w:tcBorders>
            <w:shd w:val="clear" w:color="auto" w:fill="auto"/>
            <w:vAlign w:val="center"/>
          </w:tcPr>
          <w:p w14:paraId="21F90550">
            <w:pPr>
              <w:widowControl/>
              <w:spacing w:line="400" w:lineRule="exact"/>
              <w:jc w:val="center"/>
              <w:rPr>
                <w:sz w:val="21"/>
                <w:szCs w:val="21"/>
                <w:lang w:eastAsia="en-US"/>
              </w:rPr>
            </w:pPr>
            <w:r>
              <w:rPr>
                <w:rFonts w:hint="eastAsia"/>
                <w:sz w:val="21"/>
                <w:szCs w:val="21"/>
                <w:lang w:eastAsia="en-US"/>
              </w:rPr>
              <w:t>-1306</w:t>
            </w:r>
          </w:p>
        </w:tc>
        <w:tc>
          <w:tcPr>
            <w:tcW w:w="647" w:type="dxa"/>
            <w:vMerge w:val="restart"/>
            <w:tcBorders>
              <w:tl2br w:val="nil"/>
              <w:tr2bl w:val="nil"/>
            </w:tcBorders>
            <w:shd w:val="clear" w:color="auto" w:fill="auto"/>
            <w:vAlign w:val="center"/>
          </w:tcPr>
          <w:p w14:paraId="7F716530">
            <w:pPr>
              <w:widowControl/>
              <w:spacing w:line="400" w:lineRule="exact"/>
              <w:jc w:val="center"/>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4" w:type="dxa"/>
            <w:tcBorders>
              <w:tl2br w:val="nil"/>
              <w:tr2bl w:val="nil"/>
            </w:tcBorders>
            <w:shd w:val="clear" w:color="auto" w:fill="auto"/>
            <w:vAlign w:val="center"/>
          </w:tcPr>
          <w:p w14:paraId="41BEA708">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E3D5C94">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070406</w:t>
            </w:r>
          </w:p>
        </w:tc>
        <w:tc>
          <w:tcPr>
            <w:tcW w:w="1182" w:type="dxa"/>
            <w:tcBorders>
              <w:tl2br w:val="nil"/>
              <w:tr2bl w:val="nil"/>
            </w:tcBorders>
            <w:shd w:val="clear" w:color="auto" w:fill="auto"/>
            <w:vAlign w:val="center"/>
          </w:tcPr>
          <w:p w14:paraId="58F29769">
            <w:pPr>
              <w:widowControl w:val="0"/>
              <w:spacing w:line="400" w:lineRule="exact"/>
              <w:jc w:val="center"/>
              <w:rPr>
                <w:sz w:val="21"/>
                <w:szCs w:val="21"/>
                <w:lang w:eastAsia="en-US"/>
              </w:rPr>
            </w:pPr>
            <w:r>
              <w:rPr>
                <w:sz w:val="21"/>
                <w:szCs w:val="21"/>
                <w:lang w:eastAsia="en-US"/>
              </w:rPr>
              <w:t>0.2182</w:t>
            </w:r>
          </w:p>
        </w:tc>
        <w:tc>
          <w:tcPr>
            <w:tcW w:w="914" w:type="dxa"/>
            <w:tcBorders>
              <w:tl2br w:val="nil"/>
              <w:tr2bl w:val="nil"/>
            </w:tcBorders>
            <w:shd w:val="clear" w:color="auto" w:fill="auto"/>
            <w:vAlign w:val="center"/>
          </w:tcPr>
          <w:p w14:paraId="40AC6899">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6CDABF91">
            <w:pPr>
              <w:widowControl w:val="0"/>
              <w:spacing w:line="400" w:lineRule="exact"/>
              <w:jc w:val="center"/>
              <w:rPr>
                <w:sz w:val="21"/>
                <w:szCs w:val="21"/>
                <w:lang w:eastAsia="en-US"/>
              </w:rPr>
            </w:pPr>
            <w:r>
              <w:rPr>
                <w:sz w:val="21"/>
                <w:szCs w:val="21"/>
                <w:lang w:eastAsia="en-US"/>
              </w:rPr>
              <w:t>18.19</w:t>
            </w:r>
          </w:p>
        </w:tc>
        <w:tc>
          <w:tcPr>
            <w:tcW w:w="716" w:type="dxa"/>
            <w:tcBorders>
              <w:tl2br w:val="nil"/>
              <w:tr2bl w:val="nil"/>
            </w:tcBorders>
            <w:shd w:val="clear" w:color="auto" w:fill="auto"/>
            <w:vAlign w:val="center"/>
          </w:tcPr>
          <w:p w14:paraId="340DD3FB">
            <w:pPr>
              <w:widowControl/>
              <w:spacing w:line="400" w:lineRule="exact"/>
              <w:jc w:val="center"/>
              <w:rPr>
                <w:sz w:val="21"/>
                <w:szCs w:val="21"/>
                <w:lang w:eastAsia="en-US"/>
              </w:rPr>
            </w:pPr>
            <w:r>
              <w:rPr>
                <w:sz w:val="21"/>
                <w:szCs w:val="21"/>
                <w:lang w:eastAsia="en-US"/>
              </w:rPr>
              <w:t>达标</w:t>
            </w:r>
          </w:p>
        </w:tc>
      </w:tr>
      <w:tr w14:paraId="3F62D3D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ADF966E">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30A76C1A">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8726181">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247FB1E">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7227410E">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5F32C2E">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82" w:type="dxa"/>
            <w:tcBorders>
              <w:tl2br w:val="nil"/>
              <w:tr2bl w:val="nil"/>
            </w:tcBorders>
            <w:shd w:val="clear" w:color="auto" w:fill="auto"/>
            <w:vAlign w:val="center"/>
          </w:tcPr>
          <w:p w14:paraId="25A1E7B8">
            <w:pPr>
              <w:widowControl w:val="0"/>
              <w:spacing w:line="400" w:lineRule="exact"/>
              <w:jc w:val="center"/>
              <w:rPr>
                <w:sz w:val="21"/>
                <w:szCs w:val="21"/>
                <w:lang w:eastAsia="en-US"/>
              </w:rPr>
            </w:pPr>
            <w:r>
              <w:rPr>
                <w:sz w:val="21"/>
                <w:szCs w:val="21"/>
                <w:lang w:eastAsia="en-US"/>
              </w:rPr>
              <w:t>0.0199</w:t>
            </w:r>
          </w:p>
        </w:tc>
        <w:tc>
          <w:tcPr>
            <w:tcW w:w="914" w:type="dxa"/>
            <w:tcBorders>
              <w:tl2br w:val="nil"/>
              <w:tr2bl w:val="nil"/>
            </w:tcBorders>
            <w:shd w:val="clear" w:color="auto" w:fill="auto"/>
            <w:vAlign w:val="center"/>
          </w:tcPr>
          <w:p w14:paraId="7FFFDA32">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5203B801">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71E8690D">
            <w:pPr>
              <w:widowControl/>
              <w:spacing w:line="400" w:lineRule="exact"/>
              <w:jc w:val="center"/>
              <w:rPr>
                <w:sz w:val="21"/>
                <w:szCs w:val="21"/>
                <w:lang w:eastAsia="en-US"/>
              </w:rPr>
            </w:pPr>
            <w:r>
              <w:rPr>
                <w:rFonts w:hint="eastAsia"/>
                <w:sz w:val="21"/>
                <w:szCs w:val="21"/>
                <w:lang w:eastAsia="en-US"/>
              </w:rPr>
              <w:t>/</w:t>
            </w:r>
          </w:p>
        </w:tc>
      </w:tr>
      <w:tr w14:paraId="31E946A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87E3653">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D317477">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27B65E68">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4DB20D85">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A48DBD2">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4CF1BA3">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8348A1D">
            <w:pPr>
              <w:widowControl w:val="0"/>
              <w:spacing w:line="40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71BC8A0E">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15ECD9B">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B58B0CC">
            <w:pPr>
              <w:widowControl/>
              <w:spacing w:line="400" w:lineRule="exact"/>
              <w:jc w:val="center"/>
              <w:rPr>
                <w:sz w:val="21"/>
                <w:szCs w:val="21"/>
                <w:lang w:eastAsia="en-US"/>
              </w:rPr>
            </w:pPr>
            <w:r>
              <w:rPr>
                <w:rFonts w:hint="eastAsia"/>
                <w:sz w:val="21"/>
                <w:szCs w:val="21"/>
                <w:lang w:eastAsia="en-US"/>
              </w:rPr>
              <w:t>/</w:t>
            </w:r>
          </w:p>
        </w:tc>
      </w:tr>
      <w:tr w14:paraId="6CB0715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74E774B">
            <w:pPr>
              <w:widowControl/>
              <w:spacing w:line="400" w:lineRule="exact"/>
              <w:jc w:val="center"/>
              <w:rPr>
                <w:sz w:val="21"/>
                <w:szCs w:val="21"/>
                <w:lang w:eastAsia="en-US"/>
              </w:rPr>
            </w:pPr>
            <w:r>
              <w:rPr>
                <w:sz w:val="21"/>
                <w:szCs w:val="21"/>
                <w:lang w:eastAsia="en-US"/>
              </w:rPr>
              <w:t>7</w:t>
            </w:r>
          </w:p>
        </w:tc>
        <w:tc>
          <w:tcPr>
            <w:tcW w:w="1145" w:type="dxa"/>
            <w:vMerge w:val="restart"/>
            <w:tcBorders>
              <w:tl2br w:val="nil"/>
              <w:tr2bl w:val="nil"/>
            </w:tcBorders>
            <w:shd w:val="clear" w:color="auto" w:fill="auto"/>
            <w:vAlign w:val="center"/>
          </w:tcPr>
          <w:p w14:paraId="54A3D852">
            <w:pPr>
              <w:widowControl/>
              <w:spacing w:line="400" w:lineRule="exact"/>
              <w:jc w:val="center"/>
              <w:rPr>
                <w:sz w:val="21"/>
                <w:szCs w:val="21"/>
                <w:lang w:eastAsia="en-US"/>
              </w:rPr>
            </w:pPr>
            <w:r>
              <w:rPr>
                <w:sz w:val="21"/>
                <w:szCs w:val="21"/>
                <w:lang w:eastAsia="en-US"/>
              </w:rPr>
              <w:t>山塘学校</w:t>
            </w:r>
          </w:p>
        </w:tc>
        <w:tc>
          <w:tcPr>
            <w:tcW w:w="737" w:type="dxa"/>
            <w:vMerge w:val="restart"/>
            <w:tcBorders>
              <w:tl2br w:val="nil"/>
              <w:tr2bl w:val="nil"/>
            </w:tcBorders>
            <w:shd w:val="clear" w:color="auto" w:fill="auto"/>
            <w:vAlign w:val="center"/>
          </w:tcPr>
          <w:p w14:paraId="48CD74F3">
            <w:pPr>
              <w:widowControl/>
              <w:spacing w:line="400" w:lineRule="exact"/>
              <w:jc w:val="center"/>
              <w:rPr>
                <w:sz w:val="21"/>
                <w:szCs w:val="21"/>
                <w:lang w:eastAsia="en-US"/>
              </w:rPr>
            </w:pPr>
            <w:r>
              <w:rPr>
                <w:sz w:val="21"/>
                <w:szCs w:val="21"/>
                <w:lang w:eastAsia="en-US"/>
              </w:rPr>
              <w:t>-</w:t>
            </w:r>
            <w:r>
              <w:rPr>
                <w:rFonts w:hint="eastAsia"/>
                <w:sz w:val="21"/>
                <w:szCs w:val="21"/>
                <w:lang w:eastAsia="en-US"/>
              </w:rPr>
              <w:t>1230</w:t>
            </w:r>
          </w:p>
        </w:tc>
        <w:tc>
          <w:tcPr>
            <w:tcW w:w="647" w:type="dxa"/>
            <w:vMerge w:val="restart"/>
            <w:tcBorders>
              <w:tl2br w:val="nil"/>
              <w:tr2bl w:val="nil"/>
            </w:tcBorders>
            <w:shd w:val="clear" w:color="auto" w:fill="auto"/>
            <w:vAlign w:val="center"/>
          </w:tcPr>
          <w:p w14:paraId="4C636D2E">
            <w:pPr>
              <w:widowControl/>
              <w:spacing w:line="400" w:lineRule="exact"/>
              <w:jc w:val="center"/>
              <w:rPr>
                <w:sz w:val="21"/>
                <w:szCs w:val="21"/>
                <w:lang w:eastAsia="en-US"/>
              </w:rPr>
            </w:pPr>
            <w:r>
              <w:rPr>
                <w:sz w:val="21"/>
                <w:szCs w:val="21"/>
                <w:lang w:eastAsia="en-US"/>
              </w:rPr>
              <w:t>-</w:t>
            </w:r>
            <w:r>
              <w:rPr>
                <w:rFonts w:hint="eastAsia"/>
                <w:sz w:val="21"/>
                <w:szCs w:val="21"/>
                <w:lang w:eastAsia="en-US"/>
              </w:rPr>
              <w:t>525</w:t>
            </w:r>
          </w:p>
        </w:tc>
        <w:tc>
          <w:tcPr>
            <w:tcW w:w="914" w:type="dxa"/>
            <w:tcBorders>
              <w:tl2br w:val="nil"/>
              <w:tr2bl w:val="nil"/>
            </w:tcBorders>
            <w:shd w:val="clear" w:color="auto" w:fill="auto"/>
            <w:vAlign w:val="center"/>
          </w:tcPr>
          <w:p w14:paraId="3E53CB60">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01FF291">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042223</w:t>
            </w:r>
          </w:p>
        </w:tc>
        <w:tc>
          <w:tcPr>
            <w:tcW w:w="1182" w:type="dxa"/>
            <w:tcBorders>
              <w:tl2br w:val="nil"/>
              <w:tr2bl w:val="nil"/>
            </w:tcBorders>
            <w:shd w:val="clear" w:color="auto" w:fill="auto"/>
            <w:vAlign w:val="center"/>
          </w:tcPr>
          <w:p w14:paraId="1D757C6A">
            <w:pPr>
              <w:widowControl w:val="0"/>
              <w:spacing w:line="400" w:lineRule="exact"/>
              <w:jc w:val="center"/>
              <w:rPr>
                <w:sz w:val="21"/>
                <w:szCs w:val="21"/>
                <w:lang w:eastAsia="en-US"/>
              </w:rPr>
            </w:pPr>
            <w:r>
              <w:rPr>
                <w:sz w:val="21"/>
                <w:szCs w:val="21"/>
                <w:lang w:eastAsia="en-US"/>
              </w:rPr>
              <w:t>0.1785</w:t>
            </w:r>
          </w:p>
        </w:tc>
        <w:tc>
          <w:tcPr>
            <w:tcW w:w="914" w:type="dxa"/>
            <w:tcBorders>
              <w:tl2br w:val="nil"/>
              <w:tr2bl w:val="nil"/>
            </w:tcBorders>
            <w:shd w:val="clear" w:color="auto" w:fill="auto"/>
            <w:vAlign w:val="center"/>
          </w:tcPr>
          <w:p w14:paraId="0F0D43A0">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3ABF0A7D">
            <w:pPr>
              <w:widowControl w:val="0"/>
              <w:spacing w:line="400" w:lineRule="exact"/>
              <w:jc w:val="center"/>
              <w:rPr>
                <w:sz w:val="21"/>
                <w:szCs w:val="21"/>
                <w:lang w:eastAsia="en-US"/>
              </w:rPr>
            </w:pPr>
            <w:r>
              <w:rPr>
                <w:sz w:val="21"/>
                <w:szCs w:val="21"/>
                <w:lang w:eastAsia="en-US"/>
              </w:rPr>
              <w:t>14.88</w:t>
            </w:r>
          </w:p>
        </w:tc>
        <w:tc>
          <w:tcPr>
            <w:tcW w:w="716" w:type="dxa"/>
            <w:tcBorders>
              <w:tl2br w:val="nil"/>
              <w:tr2bl w:val="nil"/>
            </w:tcBorders>
            <w:shd w:val="clear" w:color="auto" w:fill="auto"/>
            <w:vAlign w:val="center"/>
          </w:tcPr>
          <w:p w14:paraId="13A92752">
            <w:pPr>
              <w:widowControl/>
              <w:spacing w:line="400" w:lineRule="exact"/>
              <w:jc w:val="center"/>
              <w:rPr>
                <w:sz w:val="21"/>
                <w:szCs w:val="21"/>
                <w:lang w:eastAsia="en-US"/>
              </w:rPr>
            </w:pPr>
            <w:r>
              <w:rPr>
                <w:sz w:val="21"/>
                <w:szCs w:val="21"/>
                <w:lang w:eastAsia="en-US"/>
              </w:rPr>
              <w:t>达标</w:t>
            </w:r>
          </w:p>
        </w:tc>
      </w:tr>
      <w:tr w14:paraId="6B11CE5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A2B99F5">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67A8B0BA">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7236ABC7">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27E3EE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27D4C436">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7902A65">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0612</w:t>
            </w:r>
          </w:p>
        </w:tc>
        <w:tc>
          <w:tcPr>
            <w:tcW w:w="1182" w:type="dxa"/>
            <w:tcBorders>
              <w:tl2br w:val="nil"/>
              <w:tr2bl w:val="nil"/>
            </w:tcBorders>
            <w:shd w:val="clear" w:color="auto" w:fill="auto"/>
            <w:vAlign w:val="center"/>
          </w:tcPr>
          <w:p w14:paraId="262E47BB">
            <w:pPr>
              <w:widowControl w:val="0"/>
              <w:spacing w:line="400" w:lineRule="exact"/>
              <w:jc w:val="center"/>
              <w:rPr>
                <w:sz w:val="21"/>
                <w:szCs w:val="21"/>
                <w:lang w:eastAsia="en-US"/>
              </w:rPr>
            </w:pPr>
            <w:r>
              <w:rPr>
                <w:sz w:val="21"/>
                <w:szCs w:val="21"/>
                <w:lang w:eastAsia="en-US"/>
              </w:rPr>
              <w:t>0.0173</w:t>
            </w:r>
          </w:p>
        </w:tc>
        <w:tc>
          <w:tcPr>
            <w:tcW w:w="914" w:type="dxa"/>
            <w:tcBorders>
              <w:tl2br w:val="nil"/>
              <w:tr2bl w:val="nil"/>
            </w:tcBorders>
            <w:shd w:val="clear" w:color="auto" w:fill="auto"/>
            <w:vAlign w:val="center"/>
          </w:tcPr>
          <w:p w14:paraId="6E8DD363">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2C378F2">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4FFFCB2">
            <w:pPr>
              <w:widowControl/>
              <w:spacing w:line="400" w:lineRule="exact"/>
              <w:jc w:val="center"/>
              <w:rPr>
                <w:sz w:val="21"/>
                <w:szCs w:val="21"/>
                <w:lang w:eastAsia="en-US"/>
              </w:rPr>
            </w:pPr>
            <w:r>
              <w:rPr>
                <w:rFonts w:hint="eastAsia"/>
                <w:sz w:val="21"/>
                <w:szCs w:val="21"/>
                <w:lang w:eastAsia="en-US"/>
              </w:rPr>
              <w:t>/</w:t>
            </w:r>
          </w:p>
        </w:tc>
      </w:tr>
      <w:tr w14:paraId="7E8637B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3B20E22">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354C62F">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23108CD5">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5924BC8">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067860B">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A02060F">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3188D12">
            <w:pPr>
              <w:widowControl w:val="0"/>
              <w:spacing w:line="400" w:lineRule="exact"/>
              <w:jc w:val="center"/>
              <w:rPr>
                <w:sz w:val="21"/>
                <w:szCs w:val="21"/>
                <w:lang w:eastAsia="en-US"/>
              </w:rPr>
            </w:pPr>
            <w:r>
              <w:rPr>
                <w:sz w:val="21"/>
                <w:szCs w:val="21"/>
                <w:lang w:eastAsia="en-US"/>
              </w:rPr>
              <w:t>0.0013</w:t>
            </w:r>
          </w:p>
        </w:tc>
        <w:tc>
          <w:tcPr>
            <w:tcW w:w="914" w:type="dxa"/>
            <w:tcBorders>
              <w:tl2br w:val="nil"/>
              <w:tr2bl w:val="nil"/>
            </w:tcBorders>
            <w:shd w:val="clear" w:color="auto" w:fill="auto"/>
            <w:vAlign w:val="center"/>
          </w:tcPr>
          <w:p w14:paraId="5B5CAC16">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49346E62">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184FF711">
            <w:pPr>
              <w:widowControl/>
              <w:spacing w:line="400" w:lineRule="exact"/>
              <w:jc w:val="center"/>
              <w:rPr>
                <w:sz w:val="21"/>
                <w:szCs w:val="21"/>
                <w:lang w:eastAsia="en-US"/>
              </w:rPr>
            </w:pPr>
            <w:r>
              <w:rPr>
                <w:rFonts w:hint="eastAsia"/>
                <w:sz w:val="21"/>
                <w:szCs w:val="21"/>
                <w:lang w:eastAsia="en-US"/>
              </w:rPr>
              <w:t>/</w:t>
            </w:r>
          </w:p>
        </w:tc>
      </w:tr>
      <w:tr w14:paraId="654ACBF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F440D2F">
            <w:pPr>
              <w:widowControl/>
              <w:spacing w:line="400" w:lineRule="exact"/>
              <w:jc w:val="center"/>
              <w:rPr>
                <w:sz w:val="21"/>
                <w:szCs w:val="21"/>
                <w:lang w:eastAsia="en-US"/>
              </w:rPr>
            </w:pPr>
            <w:r>
              <w:rPr>
                <w:sz w:val="21"/>
                <w:szCs w:val="21"/>
                <w:lang w:eastAsia="en-US"/>
              </w:rPr>
              <w:t>8</w:t>
            </w:r>
          </w:p>
        </w:tc>
        <w:tc>
          <w:tcPr>
            <w:tcW w:w="1145" w:type="dxa"/>
            <w:vMerge w:val="restart"/>
            <w:tcBorders>
              <w:tl2br w:val="nil"/>
              <w:tr2bl w:val="nil"/>
            </w:tcBorders>
            <w:shd w:val="clear" w:color="auto" w:fill="auto"/>
            <w:vAlign w:val="center"/>
          </w:tcPr>
          <w:p w14:paraId="20417C2B">
            <w:pPr>
              <w:widowControl/>
              <w:spacing w:line="400" w:lineRule="exact"/>
              <w:jc w:val="center"/>
              <w:rPr>
                <w:sz w:val="21"/>
                <w:szCs w:val="21"/>
                <w:lang w:eastAsia="en-US"/>
              </w:rPr>
            </w:pPr>
            <w:r>
              <w:rPr>
                <w:sz w:val="21"/>
                <w:szCs w:val="21"/>
                <w:lang w:eastAsia="en-US"/>
              </w:rPr>
              <w:t>和园小区</w:t>
            </w:r>
          </w:p>
        </w:tc>
        <w:tc>
          <w:tcPr>
            <w:tcW w:w="737" w:type="dxa"/>
            <w:vMerge w:val="restart"/>
            <w:tcBorders>
              <w:tl2br w:val="nil"/>
              <w:tr2bl w:val="nil"/>
            </w:tcBorders>
            <w:shd w:val="clear" w:color="auto" w:fill="auto"/>
            <w:vAlign w:val="center"/>
          </w:tcPr>
          <w:p w14:paraId="6D540004">
            <w:pPr>
              <w:widowControl/>
              <w:spacing w:line="400" w:lineRule="exact"/>
              <w:jc w:val="center"/>
              <w:rPr>
                <w:sz w:val="21"/>
                <w:szCs w:val="21"/>
                <w:lang w:eastAsia="en-US"/>
              </w:rPr>
            </w:pPr>
            <w:r>
              <w:rPr>
                <w:rFonts w:hint="eastAsia"/>
                <w:sz w:val="21"/>
                <w:szCs w:val="21"/>
                <w:lang w:eastAsia="en-US"/>
              </w:rPr>
              <w:t>-1099</w:t>
            </w:r>
          </w:p>
        </w:tc>
        <w:tc>
          <w:tcPr>
            <w:tcW w:w="647" w:type="dxa"/>
            <w:vMerge w:val="restart"/>
            <w:tcBorders>
              <w:tl2br w:val="nil"/>
              <w:tr2bl w:val="nil"/>
            </w:tcBorders>
            <w:shd w:val="clear" w:color="auto" w:fill="auto"/>
            <w:vAlign w:val="center"/>
          </w:tcPr>
          <w:p w14:paraId="278C0C39">
            <w:pPr>
              <w:widowControl/>
              <w:spacing w:line="400" w:lineRule="exact"/>
              <w:jc w:val="center"/>
              <w:rPr>
                <w:sz w:val="21"/>
                <w:szCs w:val="21"/>
                <w:lang w:eastAsia="en-US"/>
              </w:rPr>
            </w:pPr>
            <w:r>
              <w:rPr>
                <w:rFonts w:hint="eastAsia"/>
                <w:sz w:val="21"/>
                <w:szCs w:val="21"/>
                <w:lang w:eastAsia="en-US"/>
              </w:rPr>
              <w:t>131</w:t>
            </w:r>
          </w:p>
        </w:tc>
        <w:tc>
          <w:tcPr>
            <w:tcW w:w="914" w:type="dxa"/>
            <w:tcBorders>
              <w:tl2br w:val="nil"/>
              <w:tr2bl w:val="nil"/>
            </w:tcBorders>
            <w:shd w:val="clear" w:color="auto" w:fill="auto"/>
            <w:vAlign w:val="center"/>
          </w:tcPr>
          <w:p w14:paraId="0B9A3430">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CFEAED6">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061124</w:t>
            </w:r>
          </w:p>
        </w:tc>
        <w:tc>
          <w:tcPr>
            <w:tcW w:w="1182" w:type="dxa"/>
            <w:tcBorders>
              <w:tl2br w:val="nil"/>
              <w:tr2bl w:val="nil"/>
            </w:tcBorders>
            <w:shd w:val="clear" w:color="auto" w:fill="auto"/>
            <w:vAlign w:val="center"/>
          </w:tcPr>
          <w:p w14:paraId="266F7DCB">
            <w:pPr>
              <w:widowControl w:val="0"/>
              <w:spacing w:line="400" w:lineRule="exact"/>
              <w:jc w:val="center"/>
              <w:rPr>
                <w:sz w:val="21"/>
                <w:szCs w:val="21"/>
                <w:lang w:eastAsia="en-US"/>
              </w:rPr>
            </w:pPr>
            <w:r>
              <w:rPr>
                <w:sz w:val="21"/>
                <w:szCs w:val="21"/>
                <w:lang w:eastAsia="en-US"/>
              </w:rPr>
              <w:t>0.2749</w:t>
            </w:r>
          </w:p>
        </w:tc>
        <w:tc>
          <w:tcPr>
            <w:tcW w:w="914" w:type="dxa"/>
            <w:tcBorders>
              <w:tl2br w:val="nil"/>
              <w:tr2bl w:val="nil"/>
            </w:tcBorders>
            <w:shd w:val="clear" w:color="auto" w:fill="auto"/>
            <w:vAlign w:val="center"/>
          </w:tcPr>
          <w:p w14:paraId="3D7ADE02">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75237DAA">
            <w:pPr>
              <w:widowControl w:val="0"/>
              <w:spacing w:line="400" w:lineRule="exact"/>
              <w:jc w:val="center"/>
              <w:rPr>
                <w:sz w:val="21"/>
                <w:szCs w:val="21"/>
                <w:lang w:eastAsia="en-US"/>
              </w:rPr>
            </w:pPr>
            <w:r>
              <w:rPr>
                <w:sz w:val="21"/>
                <w:szCs w:val="21"/>
                <w:lang w:eastAsia="en-US"/>
              </w:rPr>
              <w:t>22.91</w:t>
            </w:r>
          </w:p>
        </w:tc>
        <w:tc>
          <w:tcPr>
            <w:tcW w:w="716" w:type="dxa"/>
            <w:tcBorders>
              <w:tl2br w:val="nil"/>
              <w:tr2bl w:val="nil"/>
            </w:tcBorders>
            <w:shd w:val="clear" w:color="auto" w:fill="auto"/>
            <w:vAlign w:val="center"/>
          </w:tcPr>
          <w:p w14:paraId="22646D71">
            <w:pPr>
              <w:widowControl/>
              <w:spacing w:line="400" w:lineRule="exact"/>
              <w:jc w:val="center"/>
              <w:rPr>
                <w:sz w:val="21"/>
                <w:szCs w:val="21"/>
                <w:lang w:eastAsia="en-US"/>
              </w:rPr>
            </w:pPr>
            <w:r>
              <w:rPr>
                <w:sz w:val="21"/>
                <w:szCs w:val="21"/>
                <w:lang w:eastAsia="en-US"/>
              </w:rPr>
              <w:t>达标</w:t>
            </w:r>
          </w:p>
        </w:tc>
      </w:tr>
      <w:tr w14:paraId="55EF881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86C0157">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5CD6ECB5">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69486E5D">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1743FA8">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EC0F894">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2BB0D33">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82" w:type="dxa"/>
            <w:tcBorders>
              <w:tl2br w:val="nil"/>
              <w:tr2bl w:val="nil"/>
            </w:tcBorders>
            <w:shd w:val="clear" w:color="auto" w:fill="auto"/>
            <w:vAlign w:val="center"/>
          </w:tcPr>
          <w:p w14:paraId="3DE81A2F">
            <w:pPr>
              <w:widowControl w:val="0"/>
              <w:spacing w:line="400" w:lineRule="exact"/>
              <w:jc w:val="center"/>
              <w:rPr>
                <w:sz w:val="21"/>
                <w:szCs w:val="21"/>
                <w:lang w:eastAsia="en-US"/>
              </w:rPr>
            </w:pPr>
            <w:r>
              <w:rPr>
                <w:sz w:val="21"/>
                <w:szCs w:val="21"/>
                <w:lang w:eastAsia="en-US"/>
              </w:rPr>
              <w:t>0.0286</w:t>
            </w:r>
          </w:p>
        </w:tc>
        <w:tc>
          <w:tcPr>
            <w:tcW w:w="914" w:type="dxa"/>
            <w:tcBorders>
              <w:tl2br w:val="nil"/>
              <w:tr2bl w:val="nil"/>
            </w:tcBorders>
            <w:shd w:val="clear" w:color="auto" w:fill="auto"/>
            <w:vAlign w:val="center"/>
          </w:tcPr>
          <w:p w14:paraId="15B000B5">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9471A22">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7A49835D">
            <w:pPr>
              <w:widowControl/>
              <w:spacing w:line="400" w:lineRule="exact"/>
              <w:jc w:val="center"/>
              <w:rPr>
                <w:sz w:val="21"/>
                <w:szCs w:val="21"/>
                <w:lang w:eastAsia="en-US"/>
              </w:rPr>
            </w:pPr>
            <w:r>
              <w:rPr>
                <w:rFonts w:hint="eastAsia"/>
                <w:sz w:val="21"/>
                <w:szCs w:val="21"/>
                <w:lang w:eastAsia="en-US"/>
              </w:rPr>
              <w:t>/</w:t>
            </w:r>
          </w:p>
        </w:tc>
      </w:tr>
      <w:tr w14:paraId="3DB1B3F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9D201D3">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BEFE032">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EEF9738">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4263262">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02682677">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DFF34C6">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1A3C616">
            <w:pPr>
              <w:widowControl w:val="0"/>
              <w:spacing w:line="40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682B0C4C">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AB5A176">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CD86B7E">
            <w:pPr>
              <w:widowControl/>
              <w:spacing w:line="400" w:lineRule="exact"/>
              <w:jc w:val="center"/>
              <w:rPr>
                <w:sz w:val="21"/>
                <w:szCs w:val="21"/>
                <w:lang w:eastAsia="en-US"/>
              </w:rPr>
            </w:pPr>
            <w:r>
              <w:rPr>
                <w:rFonts w:hint="eastAsia"/>
                <w:sz w:val="21"/>
                <w:szCs w:val="21"/>
                <w:lang w:eastAsia="en-US"/>
              </w:rPr>
              <w:t>/</w:t>
            </w:r>
          </w:p>
        </w:tc>
      </w:tr>
      <w:tr w14:paraId="1BA30FB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C5675C2">
            <w:pPr>
              <w:widowControl/>
              <w:spacing w:line="400" w:lineRule="exact"/>
              <w:jc w:val="center"/>
              <w:rPr>
                <w:sz w:val="21"/>
                <w:szCs w:val="21"/>
                <w:lang w:eastAsia="en-US"/>
              </w:rPr>
            </w:pPr>
            <w:r>
              <w:rPr>
                <w:sz w:val="21"/>
                <w:szCs w:val="21"/>
                <w:lang w:eastAsia="en-US"/>
              </w:rPr>
              <w:t>9</w:t>
            </w:r>
          </w:p>
        </w:tc>
        <w:tc>
          <w:tcPr>
            <w:tcW w:w="1145" w:type="dxa"/>
            <w:vMerge w:val="restart"/>
            <w:tcBorders>
              <w:tl2br w:val="nil"/>
              <w:tr2bl w:val="nil"/>
            </w:tcBorders>
            <w:shd w:val="clear" w:color="auto" w:fill="auto"/>
            <w:vAlign w:val="center"/>
          </w:tcPr>
          <w:p w14:paraId="63861EA2">
            <w:pPr>
              <w:widowControl/>
              <w:spacing w:line="400" w:lineRule="exact"/>
              <w:jc w:val="center"/>
              <w:rPr>
                <w:sz w:val="21"/>
                <w:szCs w:val="21"/>
                <w:lang w:eastAsia="en-US"/>
              </w:rPr>
            </w:pPr>
            <w:r>
              <w:rPr>
                <w:sz w:val="21"/>
                <w:szCs w:val="21"/>
                <w:lang w:eastAsia="en-US"/>
              </w:rPr>
              <w:t>子敬学校</w:t>
            </w:r>
          </w:p>
        </w:tc>
        <w:tc>
          <w:tcPr>
            <w:tcW w:w="737" w:type="dxa"/>
            <w:vMerge w:val="restart"/>
            <w:tcBorders>
              <w:tl2br w:val="nil"/>
              <w:tr2bl w:val="nil"/>
            </w:tcBorders>
            <w:shd w:val="clear" w:color="auto" w:fill="auto"/>
            <w:vAlign w:val="center"/>
          </w:tcPr>
          <w:p w14:paraId="05D7DDB8">
            <w:pPr>
              <w:widowControl/>
              <w:spacing w:line="400" w:lineRule="exact"/>
              <w:jc w:val="center"/>
              <w:rPr>
                <w:sz w:val="21"/>
                <w:szCs w:val="21"/>
                <w:lang w:eastAsia="en-US"/>
              </w:rPr>
            </w:pPr>
            <w:r>
              <w:rPr>
                <w:rFonts w:hint="eastAsia"/>
                <w:sz w:val="21"/>
                <w:szCs w:val="21"/>
                <w:lang w:eastAsia="en-US"/>
              </w:rPr>
              <w:t>-2089</w:t>
            </w:r>
          </w:p>
        </w:tc>
        <w:tc>
          <w:tcPr>
            <w:tcW w:w="647" w:type="dxa"/>
            <w:vMerge w:val="restart"/>
            <w:tcBorders>
              <w:tl2br w:val="nil"/>
              <w:tr2bl w:val="nil"/>
            </w:tcBorders>
            <w:shd w:val="clear" w:color="auto" w:fill="auto"/>
            <w:vAlign w:val="center"/>
          </w:tcPr>
          <w:p w14:paraId="0C575E35">
            <w:pPr>
              <w:widowControl/>
              <w:spacing w:line="400" w:lineRule="exact"/>
              <w:jc w:val="center"/>
              <w:rPr>
                <w:sz w:val="21"/>
                <w:szCs w:val="21"/>
                <w:lang w:eastAsia="en-US"/>
              </w:rPr>
            </w:pPr>
            <w:r>
              <w:rPr>
                <w:rFonts w:hint="eastAsia"/>
                <w:sz w:val="21"/>
                <w:szCs w:val="21"/>
                <w:lang w:eastAsia="en-US"/>
              </w:rPr>
              <w:t>1019</w:t>
            </w:r>
          </w:p>
        </w:tc>
        <w:tc>
          <w:tcPr>
            <w:tcW w:w="914" w:type="dxa"/>
            <w:tcBorders>
              <w:tl2br w:val="nil"/>
              <w:tr2bl w:val="nil"/>
            </w:tcBorders>
            <w:shd w:val="clear" w:color="auto" w:fill="auto"/>
            <w:vAlign w:val="center"/>
          </w:tcPr>
          <w:p w14:paraId="0DF82FC9">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05A6F30">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123009</w:t>
            </w:r>
          </w:p>
        </w:tc>
        <w:tc>
          <w:tcPr>
            <w:tcW w:w="1182" w:type="dxa"/>
            <w:tcBorders>
              <w:tl2br w:val="nil"/>
              <w:tr2bl w:val="nil"/>
            </w:tcBorders>
            <w:shd w:val="clear" w:color="auto" w:fill="auto"/>
            <w:vAlign w:val="center"/>
          </w:tcPr>
          <w:p w14:paraId="6F700BDE">
            <w:pPr>
              <w:widowControl w:val="0"/>
              <w:spacing w:line="400" w:lineRule="exact"/>
              <w:jc w:val="center"/>
              <w:rPr>
                <w:sz w:val="21"/>
                <w:szCs w:val="21"/>
                <w:lang w:eastAsia="en-US"/>
              </w:rPr>
            </w:pPr>
            <w:r>
              <w:rPr>
                <w:sz w:val="21"/>
                <w:szCs w:val="21"/>
                <w:lang w:eastAsia="en-US"/>
              </w:rPr>
              <w:t>0.0856</w:t>
            </w:r>
          </w:p>
        </w:tc>
        <w:tc>
          <w:tcPr>
            <w:tcW w:w="914" w:type="dxa"/>
            <w:tcBorders>
              <w:tl2br w:val="nil"/>
              <w:tr2bl w:val="nil"/>
            </w:tcBorders>
            <w:shd w:val="clear" w:color="auto" w:fill="auto"/>
            <w:vAlign w:val="center"/>
          </w:tcPr>
          <w:p w14:paraId="697B221D">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4986F8BC">
            <w:pPr>
              <w:widowControl w:val="0"/>
              <w:spacing w:line="400" w:lineRule="exact"/>
              <w:jc w:val="center"/>
              <w:rPr>
                <w:sz w:val="21"/>
                <w:szCs w:val="21"/>
                <w:lang w:eastAsia="en-US"/>
              </w:rPr>
            </w:pPr>
            <w:r>
              <w:rPr>
                <w:sz w:val="21"/>
                <w:szCs w:val="21"/>
                <w:lang w:eastAsia="en-US"/>
              </w:rPr>
              <w:t>7.13</w:t>
            </w:r>
          </w:p>
        </w:tc>
        <w:tc>
          <w:tcPr>
            <w:tcW w:w="716" w:type="dxa"/>
            <w:tcBorders>
              <w:tl2br w:val="nil"/>
              <w:tr2bl w:val="nil"/>
            </w:tcBorders>
            <w:shd w:val="clear" w:color="auto" w:fill="auto"/>
            <w:vAlign w:val="center"/>
          </w:tcPr>
          <w:p w14:paraId="566B1A01">
            <w:pPr>
              <w:widowControl/>
              <w:spacing w:line="400" w:lineRule="exact"/>
              <w:jc w:val="center"/>
              <w:rPr>
                <w:sz w:val="21"/>
                <w:szCs w:val="21"/>
                <w:lang w:eastAsia="en-US"/>
              </w:rPr>
            </w:pPr>
            <w:r>
              <w:rPr>
                <w:sz w:val="21"/>
                <w:szCs w:val="21"/>
                <w:lang w:eastAsia="en-US"/>
              </w:rPr>
              <w:t>达标</w:t>
            </w:r>
          </w:p>
        </w:tc>
      </w:tr>
      <w:tr w14:paraId="4EF5A1A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FF943EC">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7329D51A">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009AEC9A">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62728452">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62D80183">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1645D7F">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0602</w:t>
            </w:r>
          </w:p>
        </w:tc>
        <w:tc>
          <w:tcPr>
            <w:tcW w:w="1182" w:type="dxa"/>
            <w:tcBorders>
              <w:tl2br w:val="nil"/>
              <w:tr2bl w:val="nil"/>
            </w:tcBorders>
            <w:shd w:val="clear" w:color="auto" w:fill="auto"/>
            <w:vAlign w:val="center"/>
          </w:tcPr>
          <w:p w14:paraId="31B220AB">
            <w:pPr>
              <w:widowControl w:val="0"/>
              <w:spacing w:line="400" w:lineRule="exact"/>
              <w:jc w:val="center"/>
              <w:rPr>
                <w:sz w:val="21"/>
                <w:szCs w:val="21"/>
                <w:lang w:eastAsia="en-US"/>
              </w:rPr>
            </w:pPr>
            <w:r>
              <w:rPr>
                <w:sz w:val="21"/>
                <w:szCs w:val="21"/>
                <w:lang w:eastAsia="en-US"/>
              </w:rPr>
              <w:t>0.0042</w:t>
            </w:r>
          </w:p>
        </w:tc>
        <w:tc>
          <w:tcPr>
            <w:tcW w:w="914" w:type="dxa"/>
            <w:tcBorders>
              <w:tl2br w:val="nil"/>
              <w:tr2bl w:val="nil"/>
            </w:tcBorders>
            <w:shd w:val="clear" w:color="auto" w:fill="auto"/>
            <w:vAlign w:val="center"/>
          </w:tcPr>
          <w:p w14:paraId="1E8DE328">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BE7D1DB">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14B20640">
            <w:pPr>
              <w:widowControl/>
              <w:spacing w:line="400" w:lineRule="exact"/>
              <w:jc w:val="center"/>
              <w:rPr>
                <w:sz w:val="21"/>
                <w:szCs w:val="21"/>
                <w:lang w:eastAsia="en-US"/>
              </w:rPr>
            </w:pPr>
            <w:r>
              <w:rPr>
                <w:rFonts w:hint="eastAsia"/>
                <w:sz w:val="21"/>
                <w:szCs w:val="21"/>
                <w:lang w:eastAsia="en-US"/>
              </w:rPr>
              <w:t>/</w:t>
            </w:r>
          </w:p>
        </w:tc>
      </w:tr>
      <w:tr w14:paraId="31F77D6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4370360">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0AB573E">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709DE321">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104B8768">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664067A2">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E1ED205">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FEC5198">
            <w:pPr>
              <w:widowControl w:val="0"/>
              <w:spacing w:line="400" w:lineRule="exact"/>
              <w:jc w:val="center"/>
              <w:rPr>
                <w:sz w:val="21"/>
                <w:szCs w:val="21"/>
                <w:lang w:eastAsia="en-US"/>
              </w:rPr>
            </w:pPr>
            <w:r>
              <w:rPr>
                <w:sz w:val="21"/>
                <w:szCs w:val="21"/>
                <w:lang w:eastAsia="en-US"/>
              </w:rPr>
              <w:t>0.0002</w:t>
            </w:r>
          </w:p>
        </w:tc>
        <w:tc>
          <w:tcPr>
            <w:tcW w:w="914" w:type="dxa"/>
            <w:tcBorders>
              <w:tl2br w:val="nil"/>
              <w:tr2bl w:val="nil"/>
            </w:tcBorders>
            <w:shd w:val="clear" w:color="auto" w:fill="auto"/>
            <w:vAlign w:val="center"/>
          </w:tcPr>
          <w:p w14:paraId="4D4F62C0">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511398E2">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EAEC261">
            <w:pPr>
              <w:widowControl/>
              <w:spacing w:line="400" w:lineRule="exact"/>
              <w:jc w:val="center"/>
              <w:rPr>
                <w:sz w:val="21"/>
                <w:szCs w:val="21"/>
                <w:lang w:eastAsia="en-US"/>
              </w:rPr>
            </w:pPr>
            <w:r>
              <w:rPr>
                <w:rFonts w:hint="eastAsia"/>
                <w:sz w:val="21"/>
                <w:szCs w:val="21"/>
                <w:lang w:eastAsia="en-US"/>
              </w:rPr>
              <w:t>/</w:t>
            </w:r>
          </w:p>
        </w:tc>
      </w:tr>
      <w:tr w14:paraId="1892AA8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47421A1">
            <w:pPr>
              <w:widowControl/>
              <w:spacing w:line="400" w:lineRule="exact"/>
              <w:jc w:val="center"/>
              <w:rPr>
                <w:sz w:val="21"/>
                <w:szCs w:val="21"/>
                <w:lang w:eastAsia="en-US"/>
              </w:rPr>
            </w:pPr>
            <w:r>
              <w:rPr>
                <w:sz w:val="21"/>
                <w:szCs w:val="21"/>
                <w:lang w:eastAsia="en-US"/>
              </w:rPr>
              <w:t>10</w:t>
            </w:r>
          </w:p>
        </w:tc>
        <w:tc>
          <w:tcPr>
            <w:tcW w:w="1145" w:type="dxa"/>
            <w:vMerge w:val="restart"/>
            <w:tcBorders>
              <w:tl2br w:val="nil"/>
              <w:tr2bl w:val="nil"/>
            </w:tcBorders>
            <w:shd w:val="clear" w:color="auto" w:fill="auto"/>
            <w:vAlign w:val="center"/>
          </w:tcPr>
          <w:p w14:paraId="6ED527E1">
            <w:pPr>
              <w:widowControl/>
              <w:spacing w:line="400" w:lineRule="exact"/>
              <w:jc w:val="center"/>
              <w:rPr>
                <w:sz w:val="21"/>
                <w:szCs w:val="21"/>
                <w:lang w:eastAsia="en-US"/>
              </w:rPr>
            </w:pPr>
            <w:r>
              <w:rPr>
                <w:sz w:val="21"/>
                <w:szCs w:val="21"/>
                <w:lang w:eastAsia="en-US"/>
              </w:rPr>
              <w:t>芙蓉廉租小区</w:t>
            </w:r>
          </w:p>
        </w:tc>
        <w:tc>
          <w:tcPr>
            <w:tcW w:w="737" w:type="dxa"/>
            <w:vMerge w:val="restart"/>
            <w:tcBorders>
              <w:tl2br w:val="nil"/>
              <w:tr2bl w:val="nil"/>
            </w:tcBorders>
            <w:shd w:val="clear" w:color="auto" w:fill="auto"/>
            <w:vAlign w:val="center"/>
          </w:tcPr>
          <w:p w14:paraId="6CF29612">
            <w:pPr>
              <w:widowControl/>
              <w:spacing w:line="400" w:lineRule="exact"/>
              <w:jc w:val="center"/>
              <w:rPr>
                <w:sz w:val="21"/>
                <w:szCs w:val="21"/>
                <w:lang w:eastAsia="en-US"/>
              </w:rPr>
            </w:pPr>
            <w:r>
              <w:rPr>
                <w:rFonts w:hint="eastAsia"/>
                <w:sz w:val="21"/>
                <w:szCs w:val="21"/>
                <w:lang w:eastAsia="en-US"/>
              </w:rPr>
              <w:t>1013</w:t>
            </w:r>
          </w:p>
        </w:tc>
        <w:tc>
          <w:tcPr>
            <w:tcW w:w="647" w:type="dxa"/>
            <w:vMerge w:val="restart"/>
            <w:tcBorders>
              <w:tl2br w:val="nil"/>
              <w:tr2bl w:val="nil"/>
            </w:tcBorders>
            <w:shd w:val="clear" w:color="auto" w:fill="auto"/>
            <w:vAlign w:val="center"/>
          </w:tcPr>
          <w:p w14:paraId="63D4A49D">
            <w:pPr>
              <w:widowControl/>
              <w:spacing w:line="400" w:lineRule="exact"/>
              <w:jc w:val="center"/>
              <w:rPr>
                <w:sz w:val="21"/>
                <w:szCs w:val="21"/>
                <w:lang w:eastAsia="en-US"/>
              </w:rPr>
            </w:pPr>
            <w:r>
              <w:rPr>
                <w:rFonts w:hint="eastAsia"/>
                <w:sz w:val="21"/>
                <w:szCs w:val="21"/>
                <w:lang w:eastAsia="en-US"/>
              </w:rPr>
              <w:t>91</w:t>
            </w:r>
          </w:p>
        </w:tc>
        <w:tc>
          <w:tcPr>
            <w:tcW w:w="914" w:type="dxa"/>
            <w:tcBorders>
              <w:tl2br w:val="nil"/>
              <w:tr2bl w:val="nil"/>
            </w:tcBorders>
            <w:shd w:val="clear" w:color="auto" w:fill="auto"/>
            <w:vAlign w:val="center"/>
          </w:tcPr>
          <w:p w14:paraId="443C1236">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96FD71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123117</w:t>
            </w:r>
          </w:p>
        </w:tc>
        <w:tc>
          <w:tcPr>
            <w:tcW w:w="1182" w:type="dxa"/>
            <w:tcBorders>
              <w:tl2br w:val="nil"/>
              <w:tr2bl w:val="nil"/>
            </w:tcBorders>
            <w:shd w:val="clear" w:color="auto" w:fill="auto"/>
            <w:vAlign w:val="center"/>
          </w:tcPr>
          <w:p w14:paraId="0C52247D">
            <w:pPr>
              <w:widowControl w:val="0"/>
              <w:spacing w:line="400" w:lineRule="exact"/>
              <w:jc w:val="center"/>
              <w:rPr>
                <w:sz w:val="21"/>
                <w:szCs w:val="21"/>
                <w:lang w:eastAsia="en-US"/>
              </w:rPr>
            </w:pPr>
            <w:r>
              <w:rPr>
                <w:sz w:val="21"/>
                <w:szCs w:val="21"/>
                <w:lang w:eastAsia="en-US"/>
              </w:rPr>
              <w:t>0.3488</w:t>
            </w:r>
          </w:p>
        </w:tc>
        <w:tc>
          <w:tcPr>
            <w:tcW w:w="914" w:type="dxa"/>
            <w:tcBorders>
              <w:tl2br w:val="nil"/>
              <w:tr2bl w:val="nil"/>
            </w:tcBorders>
            <w:shd w:val="clear" w:color="auto" w:fill="auto"/>
            <w:vAlign w:val="center"/>
          </w:tcPr>
          <w:p w14:paraId="1CEE518E">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53F01B8E">
            <w:pPr>
              <w:widowControl w:val="0"/>
              <w:spacing w:line="400" w:lineRule="exact"/>
              <w:jc w:val="center"/>
              <w:rPr>
                <w:sz w:val="21"/>
                <w:szCs w:val="21"/>
                <w:lang w:eastAsia="en-US"/>
              </w:rPr>
            </w:pPr>
            <w:r>
              <w:rPr>
                <w:sz w:val="21"/>
                <w:szCs w:val="21"/>
                <w:lang w:eastAsia="en-US"/>
              </w:rPr>
              <w:t>29.06</w:t>
            </w:r>
          </w:p>
        </w:tc>
        <w:tc>
          <w:tcPr>
            <w:tcW w:w="716" w:type="dxa"/>
            <w:tcBorders>
              <w:tl2br w:val="nil"/>
              <w:tr2bl w:val="nil"/>
            </w:tcBorders>
            <w:shd w:val="clear" w:color="auto" w:fill="auto"/>
            <w:vAlign w:val="center"/>
          </w:tcPr>
          <w:p w14:paraId="1E7C43B7">
            <w:pPr>
              <w:widowControl/>
              <w:spacing w:line="400" w:lineRule="exact"/>
              <w:jc w:val="center"/>
              <w:rPr>
                <w:sz w:val="21"/>
                <w:szCs w:val="21"/>
                <w:lang w:eastAsia="en-US"/>
              </w:rPr>
            </w:pPr>
            <w:r>
              <w:rPr>
                <w:sz w:val="21"/>
                <w:szCs w:val="21"/>
                <w:lang w:eastAsia="en-US"/>
              </w:rPr>
              <w:t>达标</w:t>
            </w:r>
          </w:p>
        </w:tc>
      </w:tr>
      <w:tr w14:paraId="5242D95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DE01A73">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36A082FE">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F5096E0">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239FDD2">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0205151D">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2AA54B1">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w:t>
            </w:r>
          </w:p>
        </w:tc>
        <w:tc>
          <w:tcPr>
            <w:tcW w:w="1182" w:type="dxa"/>
            <w:tcBorders>
              <w:tl2br w:val="nil"/>
              <w:tr2bl w:val="nil"/>
            </w:tcBorders>
            <w:shd w:val="clear" w:color="auto" w:fill="auto"/>
            <w:vAlign w:val="center"/>
          </w:tcPr>
          <w:p w14:paraId="3D95EB1C">
            <w:pPr>
              <w:widowControl w:val="0"/>
              <w:spacing w:line="400" w:lineRule="exact"/>
              <w:jc w:val="center"/>
              <w:rPr>
                <w:sz w:val="21"/>
                <w:szCs w:val="21"/>
                <w:lang w:eastAsia="en-US"/>
              </w:rPr>
            </w:pPr>
            <w:r>
              <w:rPr>
                <w:sz w:val="21"/>
                <w:szCs w:val="21"/>
                <w:lang w:eastAsia="en-US"/>
              </w:rPr>
              <w:t>0.0283</w:t>
            </w:r>
          </w:p>
        </w:tc>
        <w:tc>
          <w:tcPr>
            <w:tcW w:w="914" w:type="dxa"/>
            <w:tcBorders>
              <w:tl2br w:val="nil"/>
              <w:tr2bl w:val="nil"/>
            </w:tcBorders>
            <w:shd w:val="clear" w:color="auto" w:fill="auto"/>
            <w:vAlign w:val="center"/>
          </w:tcPr>
          <w:p w14:paraId="28760423">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461567E5">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6E6BA94">
            <w:pPr>
              <w:widowControl/>
              <w:spacing w:line="400" w:lineRule="exact"/>
              <w:jc w:val="center"/>
              <w:rPr>
                <w:sz w:val="21"/>
                <w:szCs w:val="21"/>
                <w:lang w:eastAsia="en-US"/>
              </w:rPr>
            </w:pPr>
            <w:r>
              <w:rPr>
                <w:rFonts w:hint="eastAsia"/>
                <w:sz w:val="21"/>
                <w:szCs w:val="21"/>
                <w:lang w:eastAsia="en-US"/>
              </w:rPr>
              <w:t>/</w:t>
            </w:r>
          </w:p>
        </w:tc>
      </w:tr>
      <w:tr w14:paraId="44DB70B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E7DC798">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7C74C8E7">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7D1DF1A1">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1E23827">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6925EE5A">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C0CFAB6">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C95A56A">
            <w:pPr>
              <w:widowControl w:val="0"/>
              <w:spacing w:line="400" w:lineRule="exact"/>
              <w:jc w:val="center"/>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45ACE211">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405BDA09">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7330EA13">
            <w:pPr>
              <w:widowControl/>
              <w:spacing w:line="400" w:lineRule="exact"/>
              <w:jc w:val="center"/>
              <w:rPr>
                <w:sz w:val="21"/>
                <w:szCs w:val="21"/>
                <w:lang w:eastAsia="en-US"/>
              </w:rPr>
            </w:pPr>
            <w:r>
              <w:rPr>
                <w:rFonts w:hint="eastAsia"/>
                <w:sz w:val="21"/>
                <w:szCs w:val="21"/>
                <w:lang w:eastAsia="en-US"/>
              </w:rPr>
              <w:t>/</w:t>
            </w:r>
          </w:p>
        </w:tc>
      </w:tr>
      <w:tr w14:paraId="6115D92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restart"/>
            <w:tcBorders>
              <w:tl2br w:val="nil"/>
              <w:tr2bl w:val="nil"/>
            </w:tcBorders>
            <w:shd w:val="clear" w:color="auto" w:fill="auto"/>
            <w:vAlign w:val="center"/>
          </w:tcPr>
          <w:p w14:paraId="438B6D66">
            <w:pPr>
              <w:widowControl/>
              <w:spacing w:line="400" w:lineRule="exact"/>
              <w:jc w:val="center"/>
              <w:rPr>
                <w:sz w:val="21"/>
                <w:szCs w:val="21"/>
                <w:lang w:eastAsia="en-US"/>
              </w:rPr>
            </w:pPr>
            <w:r>
              <w:rPr>
                <w:sz w:val="21"/>
                <w:szCs w:val="21"/>
                <w:lang w:eastAsia="en-US"/>
              </w:rPr>
              <w:t>11</w:t>
            </w:r>
          </w:p>
        </w:tc>
        <w:tc>
          <w:tcPr>
            <w:tcW w:w="1145" w:type="dxa"/>
            <w:vMerge w:val="restart"/>
            <w:tcBorders>
              <w:tl2br w:val="nil"/>
              <w:tr2bl w:val="nil"/>
            </w:tcBorders>
            <w:shd w:val="clear" w:color="auto" w:fill="auto"/>
            <w:vAlign w:val="center"/>
          </w:tcPr>
          <w:p w14:paraId="256B562A">
            <w:pPr>
              <w:widowControl/>
              <w:spacing w:line="400" w:lineRule="exact"/>
              <w:jc w:val="center"/>
              <w:rPr>
                <w:sz w:val="21"/>
                <w:szCs w:val="21"/>
                <w:lang w:eastAsia="en-US"/>
              </w:rPr>
            </w:pPr>
            <w:r>
              <w:rPr>
                <w:sz w:val="21"/>
                <w:szCs w:val="21"/>
                <w:lang w:eastAsia="en-US"/>
              </w:rPr>
              <w:t>易俗河镇第二中学</w:t>
            </w:r>
          </w:p>
        </w:tc>
        <w:tc>
          <w:tcPr>
            <w:tcW w:w="737" w:type="dxa"/>
            <w:vMerge w:val="restart"/>
            <w:tcBorders>
              <w:tl2br w:val="nil"/>
              <w:tr2bl w:val="nil"/>
            </w:tcBorders>
            <w:shd w:val="clear" w:color="auto" w:fill="auto"/>
            <w:vAlign w:val="center"/>
          </w:tcPr>
          <w:p w14:paraId="1B4F2D26">
            <w:pPr>
              <w:widowControl/>
              <w:spacing w:line="400" w:lineRule="exact"/>
              <w:jc w:val="center"/>
              <w:rPr>
                <w:sz w:val="21"/>
                <w:szCs w:val="21"/>
                <w:lang w:eastAsia="en-US"/>
              </w:rPr>
            </w:pPr>
            <w:r>
              <w:rPr>
                <w:rFonts w:hint="eastAsia"/>
                <w:sz w:val="21"/>
                <w:szCs w:val="21"/>
                <w:lang w:eastAsia="en-US"/>
              </w:rPr>
              <w:t>734</w:t>
            </w:r>
          </w:p>
        </w:tc>
        <w:tc>
          <w:tcPr>
            <w:tcW w:w="647" w:type="dxa"/>
            <w:vMerge w:val="restart"/>
            <w:tcBorders>
              <w:tl2br w:val="nil"/>
              <w:tr2bl w:val="nil"/>
            </w:tcBorders>
            <w:shd w:val="clear" w:color="auto" w:fill="auto"/>
            <w:vAlign w:val="center"/>
          </w:tcPr>
          <w:p w14:paraId="6064F12A">
            <w:pPr>
              <w:widowControl/>
              <w:spacing w:line="400" w:lineRule="exact"/>
              <w:jc w:val="center"/>
              <w:rPr>
                <w:sz w:val="21"/>
                <w:szCs w:val="21"/>
                <w:lang w:eastAsia="en-US"/>
              </w:rPr>
            </w:pPr>
            <w:r>
              <w:rPr>
                <w:rFonts w:hint="eastAsia"/>
                <w:sz w:val="21"/>
                <w:szCs w:val="21"/>
                <w:lang w:eastAsia="en-US"/>
              </w:rPr>
              <w:t>577</w:t>
            </w:r>
          </w:p>
        </w:tc>
        <w:tc>
          <w:tcPr>
            <w:tcW w:w="914" w:type="dxa"/>
            <w:tcBorders>
              <w:tl2br w:val="nil"/>
              <w:tr2bl w:val="nil"/>
            </w:tcBorders>
            <w:shd w:val="clear" w:color="auto" w:fill="auto"/>
            <w:vAlign w:val="center"/>
          </w:tcPr>
          <w:p w14:paraId="2E9DE0B1">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E15A043">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052907</w:t>
            </w:r>
          </w:p>
        </w:tc>
        <w:tc>
          <w:tcPr>
            <w:tcW w:w="1182" w:type="dxa"/>
            <w:tcBorders>
              <w:tl2br w:val="nil"/>
              <w:tr2bl w:val="nil"/>
            </w:tcBorders>
            <w:shd w:val="clear" w:color="auto" w:fill="auto"/>
            <w:vAlign w:val="center"/>
          </w:tcPr>
          <w:p w14:paraId="01774F02">
            <w:pPr>
              <w:widowControl w:val="0"/>
              <w:spacing w:line="400" w:lineRule="exact"/>
              <w:jc w:val="center"/>
              <w:rPr>
                <w:sz w:val="21"/>
                <w:szCs w:val="21"/>
                <w:lang w:eastAsia="en-US"/>
              </w:rPr>
            </w:pPr>
            <w:r>
              <w:rPr>
                <w:sz w:val="21"/>
                <w:szCs w:val="21"/>
                <w:lang w:eastAsia="en-US"/>
              </w:rPr>
              <w:t>0.2182</w:t>
            </w:r>
          </w:p>
        </w:tc>
        <w:tc>
          <w:tcPr>
            <w:tcW w:w="914" w:type="dxa"/>
            <w:tcBorders>
              <w:tl2br w:val="nil"/>
              <w:tr2bl w:val="nil"/>
            </w:tcBorders>
            <w:shd w:val="clear" w:color="auto" w:fill="auto"/>
            <w:vAlign w:val="center"/>
          </w:tcPr>
          <w:p w14:paraId="3FB5807B">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572102EF">
            <w:pPr>
              <w:widowControl w:val="0"/>
              <w:spacing w:line="400" w:lineRule="exact"/>
              <w:jc w:val="center"/>
              <w:rPr>
                <w:sz w:val="21"/>
                <w:szCs w:val="21"/>
                <w:lang w:eastAsia="en-US"/>
              </w:rPr>
            </w:pPr>
            <w:r>
              <w:rPr>
                <w:sz w:val="21"/>
                <w:szCs w:val="21"/>
                <w:lang w:eastAsia="en-US"/>
              </w:rPr>
              <w:t>18.18</w:t>
            </w:r>
          </w:p>
        </w:tc>
        <w:tc>
          <w:tcPr>
            <w:tcW w:w="716" w:type="dxa"/>
            <w:tcBorders>
              <w:tl2br w:val="nil"/>
              <w:tr2bl w:val="nil"/>
            </w:tcBorders>
            <w:shd w:val="clear" w:color="auto" w:fill="auto"/>
            <w:vAlign w:val="center"/>
          </w:tcPr>
          <w:p w14:paraId="5D8B4B4A">
            <w:pPr>
              <w:widowControl/>
              <w:spacing w:line="400" w:lineRule="exact"/>
              <w:jc w:val="center"/>
              <w:rPr>
                <w:sz w:val="21"/>
                <w:szCs w:val="21"/>
                <w:lang w:eastAsia="en-US"/>
              </w:rPr>
            </w:pPr>
            <w:r>
              <w:rPr>
                <w:sz w:val="21"/>
                <w:szCs w:val="21"/>
                <w:lang w:eastAsia="en-US"/>
              </w:rPr>
              <w:t>达标</w:t>
            </w:r>
          </w:p>
        </w:tc>
      </w:tr>
      <w:tr w14:paraId="1893DE8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DC59E6D">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7D13F420">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7763A17B">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19E2E65D">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A65A9D4">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F9CE075">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82" w:type="dxa"/>
            <w:tcBorders>
              <w:tl2br w:val="nil"/>
              <w:tr2bl w:val="nil"/>
            </w:tcBorders>
            <w:shd w:val="clear" w:color="auto" w:fill="auto"/>
            <w:vAlign w:val="center"/>
          </w:tcPr>
          <w:p w14:paraId="74E1CED4">
            <w:pPr>
              <w:widowControl w:val="0"/>
              <w:spacing w:line="400" w:lineRule="exact"/>
              <w:jc w:val="center"/>
              <w:rPr>
                <w:sz w:val="21"/>
                <w:szCs w:val="21"/>
                <w:lang w:eastAsia="en-US"/>
              </w:rPr>
            </w:pPr>
            <w:r>
              <w:rPr>
                <w:sz w:val="21"/>
                <w:szCs w:val="21"/>
                <w:lang w:eastAsia="en-US"/>
              </w:rPr>
              <w:t>0.0207</w:t>
            </w:r>
          </w:p>
        </w:tc>
        <w:tc>
          <w:tcPr>
            <w:tcW w:w="914" w:type="dxa"/>
            <w:tcBorders>
              <w:tl2br w:val="nil"/>
              <w:tr2bl w:val="nil"/>
            </w:tcBorders>
            <w:shd w:val="clear" w:color="auto" w:fill="auto"/>
            <w:vAlign w:val="center"/>
          </w:tcPr>
          <w:p w14:paraId="3EA116CF">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54DAC0DC">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5AAC89F">
            <w:pPr>
              <w:widowControl/>
              <w:spacing w:line="400" w:lineRule="exact"/>
              <w:jc w:val="center"/>
              <w:rPr>
                <w:sz w:val="21"/>
                <w:szCs w:val="21"/>
                <w:lang w:eastAsia="en-US"/>
              </w:rPr>
            </w:pPr>
            <w:r>
              <w:rPr>
                <w:rFonts w:hint="eastAsia"/>
                <w:sz w:val="21"/>
                <w:szCs w:val="21"/>
                <w:lang w:eastAsia="en-US"/>
              </w:rPr>
              <w:t>/</w:t>
            </w:r>
          </w:p>
        </w:tc>
      </w:tr>
      <w:tr w14:paraId="707A249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4F3ED6D">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C28D7B0">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60DA6E43">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375915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97967DE">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F7B7B47">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C3C5C65">
            <w:pPr>
              <w:widowControl w:val="0"/>
              <w:spacing w:line="400" w:lineRule="exact"/>
              <w:jc w:val="center"/>
              <w:rPr>
                <w:sz w:val="21"/>
                <w:szCs w:val="21"/>
                <w:lang w:eastAsia="en-US"/>
              </w:rPr>
            </w:pPr>
            <w:r>
              <w:rPr>
                <w:sz w:val="21"/>
                <w:szCs w:val="21"/>
                <w:lang w:eastAsia="en-US"/>
              </w:rPr>
              <w:t>0.0008</w:t>
            </w:r>
          </w:p>
        </w:tc>
        <w:tc>
          <w:tcPr>
            <w:tcW w:w="914" w:type="dxa"/>
            <w:tcBorders>
              <w:tl2br w:val="nil"/>
              <w:tr2bl w:val="nil"/>
            </w:tcBorders>
            <w:shd w:val="clear" w:color="auto" w:fill="auto"/>
            <w:vAlign w:val="center"/>
          </w:tcPr>
          <w:p w14:paraId="4A54639E">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0E628597">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17298FC4">
            <w:pPr>
              <w:widowControl/>
              <w:spacing w:line="400" w:lineRule="exact"/>
              <w:jc w:val="center"/>
              <w:rPr>
                <w:sz w:val="21"/>
                <w:szCs w:val="21"/>
                <w:lang w:eastAsia="en-US"/>
              </w:rPr>
            </w:pPr>
            <w:r>
              <w:rPr>
                <w:rFonts w:hint="eastAsia"/>
                <w:sz w:val="21"/>
                <w:szCs w:val="21"/>
                <w:lang w:eastAsia="en-US"/>
              </w:rPr>
              <w:t>/</w:t>
            </w:r>
          </w:p>
        </w:tc>
      </w:tr>
      <w:tr w14:paraId="202CB1C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CE1D490">
            <w:pPr>
              <w:widowControl/>
              <w:spacing w:line="400" w:lineRule="exact"/>
              <w:jc w:val="center"/>
              <w:rPr>
                <w:sz w:val="21"/>
                <w:szCs w:val="21"/>
                <w:lang w:eastAsia="en-US"/>
              </w:rPr>
            </w:pPr>
            <w:r>
              <w:rPr>
                <w:sz w:val="21"/>
                <w:szCs w:val="21"/>
                <w:lang w:eastAsia="en-US"/>
              </w:rPr>
              <w:t>12</w:t>
            </w:r>
          </w:p>
        </w:tc>
        <w:tc>
          <w:tcPr>
            <w:tcW w:w="1145" w:type="dxa"/>
            <w:vMerge w:val="restart"/>
            <w:tcBorders>
              <w:tl2br w:val="nil"/>
              <w:tr2bl w:val="nil"/>
            </w:tcBorders>
            <w:shd w:val="clear" w:color="auto" w:fill="auto"/>
            <w:vAlign w:val="center"/>
          </w:tcPr>
          <w:p w14:paraId="6E9A6C97">
            <w:pPr>
              <w:widowControl/>
              <w:spacing w:line="400" w:lineRule="exact"/>
              <w:jc w:val="center"/>
              <w:rPr>
                <w:sz w:val="21"/>
                <w:szCs w:val="21"/>
                <w:lang w:eastAsia="en-US"/>
              </w:rPr>
            </w:pPr>
            <w:r>
              <w:rPr>
                <w:sz w:val="21"/>
                <w:szCs w:val="21"/>
                <w:lang w:eastAsia="en-US"/>
              </w:rPr>
              <w:t>天易水竹学校</w:t>
            </w:r>
          </w:p>
        </w:tc>
        <w:tc>
          <w:tcPr>
            <w:tcW w:w="737" w:type="dxa"/>
            <w:vMerge w:val="restart"/>
            <w:tcBorders>
              <w:tl2br w:val="nil"/>
              <w:tr2bl w:val="nil"/>
            </w:tcBorders>
            <w:shd w:val="clear" w:color="auto" w:fill="auto"/>
            <w:vAlign w:val="center"/>
          </w:tcPr>
          <w:p w14:paraId="513EC8D4">
            <w:pPr>
              <w:widowControl/>
              <w:spacing w:line="400" w:lineRule="exact"/>
              <w:jc w:val="center"/>
              <w:rPr>
                <w:sz w:val="21"/>
                <w:szCs w:val="21"/>
                <w:lang w:eastAsia="en-US"/>
              </w:rPr>
            </w:pPr>
            <w:r>
              <w:rPr>
                <w:rFonts w:hint="eastAsia"/>
                <w:sz w:val="21"/>
                <w:szCs w:val="21"/>
                <w:lang w:eastAsia="en-US"/>
              </w:rPr>
              <w:t>1155</w:t>
            </w:r>
          </w:p>
        </w:tc>
        <w:tc>
          <w:tcPr>
            <w:tcW w:w="647" w:type="dxa"/>
            <w:vMerge w:val="restart"/>
            <w:tcBorders>
              <w:tl2br w:val="nil"/>
              <w:tr2bl w:val="nil"/>
            </w:tcBorders>
            <w:shd w:val="clear" w:color="auto" w:fill="auto"/>
            <w:vAlign w:val="center"/>
          </w:tcPr>
          <w:p w14:paraId="2EC6F85A">
            <w:pPr>
              <w:widowControl/>
              <w:spacing w:line="400" w:lineRule="exact"/>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67FD94AE">
            <w:pPr>
              <w:widowControl/>
              <w:spacing w:line="400" w:lineRule="exact"/>
              <w:jc w:val="center"/>
              <w:rPr>
                <w:sz w:val="21"/>
                <w:szCs w:val="21"/>
                <w:lang w:eastAsia="en-US"/>
              </w:rPr>
            </w:pPr>
            <w:r>
              <w:rPr>
                <w:sz w:val="21"/>
                <w:szCs w:val="21"/>
                <w:lang w:eastAsia="en-US"/>
              </w:rPr>
              <w:t>1 小时</w:t>
            </w:r>
          </w:p>
        </w:tc>
        <w:tc>
          <w:tcPr>
            <w:tcW w:w="1069" w:type="dxa"/>
            <w:tcBorders>
              <w:tl2br w:val="nil"/>
              <w:tr2bl w:val="nil"/>
            </w:tcBorders>
            <w:shd w:val="clear" w:color="auto" w:fill="auto"/>
            <w:vAlign w:val="center"/>
          </w:tcPr>
          <w:p w14:paraId="4E1D0E21">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051719</w:t>
            </w:r>
          </w:p>
        </w:tc>
        <w:tc>
          <w:tcPr>
            <w:tcW w:w="1182" w:type="dxa"/>
            <w:tcBorders>
              <w:tl2br w:val="nil"/>
              <w:tr2bl w:val="nil"/>
            </w:tcBorders>
            <w:shd w:val="clear" w:color="auto" w:fill="auto"/>
            <w:vAlign w:val="center"/>
          </w:tcPr>
          <w:p w14:paraId="263D7675">
            <w:pPr>
              <w:widowControl w:val="0"/>
              <w:spacing w:line="400" w:lineRule="exact"/>
              <w:jc w:val="center"/>
              <w:rPr>
                <w:sz w:val="21"/>
                <w:szCs w:val="21"/>
                <w:lang w:eastAsia="en-US"/>
              </w:rPr>
            </w:pPr>
            <w:r>
              <w:rPr>
                <w:sz w:val="21"/>
                <w:szCs w:val="21"/>
                <w:lang w:eastAsia="en-US"/>
              </w:rPr>
              <w:t>0.1950</w:t>
            </w:r>
          </w:p>
        </w:tc>
        <w:tc>
          <w:tcPr>
            <w:tcW w:w="914" w:type="dxa"/>
            <w:tcBorders>
              <w:tl2br w:val="nil"/>
              <w:tr2bl w:val="nil"/>
            </w:tcBorders>
            <w:shd w:val="clear" w:color="auto" w:fill="auto"/>
            <w:vAlign w:val="center"/>
          </w:tcPr>
          <w:p w14:paraId="24D73820">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293C46F3">
            <w:pPr>
              <w:widowControl w:val="0"/>
              <w:spacing w:line="400" w:lineRule="exact"/>
              <w:jc w:val="center"/>
              <w:rPr>
                <w:sz w:val="21"/>
                <w:szCs w:val="21"/>
                <w:lang w:eastAsia="en-US"/>
              </w:rPr>
            </w:pPr>
            <w:r>
              <w:rPr>
                <w:sz w:val="21"/>
                <w:szCs w:val="21"/>
                <w:lang w:eastAsia="en-US"/>
              </w:rPr>
              <w:t>16.25</w:t>
            </w:r>
          </w:p>
        </w:tc>
        <w:tc>
          <w:tcPr>
            <w:tcW w:w="716" w:type="dxa"/>
            <w:tcBorders>
              <w:tl2br w:val="nil"/>
              <w:tr2bl w:val="nil"/>
            </w:tcBorders>
            <w:shd w:val="clear" w:color="auto" w:fill="auto"/>
            <w:vAlign w:val="center"/>
          </w:tcPr>
          <w:p w14:paraId="69A4F71D">
            <w:pPr>
              <w:widowControl/>
              <w:spacing w:line="400" w:lineRule="exact"/>
              <w:jc w:val="center"/>
              <w:rPr>
                <w:sz w:val="21"/>
                <w:szCs w:val="21"/>
                <w:lang w:eastAsia="en-US"/>
              </w:rPr>
            </w:pPr>
            <w:r>
              <w:rPr>
                <w:sz w:val="21"/>
                <w:szCs w:val="21"/>
                <w:lang w:eastAsia="en-US"/>
              </w:rPr>
              <w:t>达标</w:t>
            </w:r>
          </w:p>
        </w:tc>
      </w:tr>
      <w:tr w14:paraId="26F1C8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709F1A1">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F953D4B">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1356EEC">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FEBCF19">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670B8BF0">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6833590">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82" w:type="dxa"/>
            <w:tcBorders>
              <w:tl2br w:val="nil"/>
              <w:tr2bl w:val="nil"/>
            </w:tcBorders>
            <w:shd w:val="clear" w:color="auto" w:fill="auto"/>
            <w:vAlign w:val="center"/>
          </w:tcPr>
          <w:p w14:paraId="3E2092D6">
            <w:pPr>
              <w:widowControl w:val="0"/>
              <w:spacing w:line="400" w:lineRule="exact"/>
              <w:jc w:val="center"/>
              <w:rPr>
                <w:sz w:val="21"/>
                <w:szCs w:val="21"/>
                <w:lang w:eastAsia="en-US"/>
              </w:rPr>
            </w:pPr>
            <w:r>
              <w:rPr>
                <w:sz w:val="21"/>
                <w:szCs w:val="21"/>
                <w:lang w:eastAsia="en-US"/>
              </w:rPr>
              <w:t>0.0240</w:t>
            </w:r>
          </w:p>
        </w:tc>
        <w:tc>
          <w:tcPr>
            <w:tcW w:w="914" w:type="dxa"/>
            <w:tcBorders>
              <w:tl2br w:val="nil"/>
              <w:tr2bl w:val="nil"/>
            </w:tcBorders>
            <w:shd w:val="clear" w:color="auto" w:fill="auto"/>
            <w:vAlign w:val="center"/>
          </w:tcPr>
          <w:p w14:paraId="3EADAFF0">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55C5C36">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7DE718D2">
            <w:pPr>
              <w:widowControl/>
              <w:spacing w:line="400" w:lineRule="exact"/>
              <w:jc w:val="center"/>
              <w:rPr>
                <w:sz w:val="21"/>
                <w:szCs w:val="21"/>
                <w:lang w:eastAsia="en-US"/>
              </w:rPr>
            </w:pPr>
            <w:r>
              <w:rPr>
                <w:rFonts w:hint="eastAsia"/>
                <w:sz w:val="21"/>
                <w:szCs w:val="21"/>
                <w:lang w:eastAsia="en-US"/>
              </w:rPr>
              <w:t>/</w:t>
            </w:r>
          </w:p>
        </w:tc>
      </w:tr>
      <w:tr w14:paraId="5E1DFC2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357CB05">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28F4023">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790D8FF">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E795CB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57F39F62">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C90571E">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9305026">
            <w:pPr>
              <w:widowControl w:val="0"/>
              <w:spacing w:line="400" w:lineRule="exact"/>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4D1A36D4">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337BFB4">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5E4D181">
            <w:pPr>
              <w:widowControl/>
              <w:spacing w:line="400" w:lineRule="exact"/>
              <w:jc w:val="center"/>
              <w:rPr>
                <w:sz w:val="21"/>
                <w:szCs w:val="21"/>
                <w:lang w:eastAsia="en-US"/>
              </w:rPr>
            </w:pPr>
            <w:r>
              <w:rPr>
                <w:rFonts w:hint="eastAsia"/>
                <w:sz w:val="21"/>
                <w:szCs w:val="21"/>
                <w:lang w:eastAsia="en-US"/>
              </w:rPr>
              <w:t>/</w:t>
            </w:r>
          </w:p>
        </w:tc>
      </w:tr>
      <w:tr w14:paraId="7E3B6F1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742B0D6C">
            <w:pPr>
              <w:widowControl/>
              <w:spacing w:line="400" w:lineRule="exact"/>
              <w:jc w:val="center"/>
              <w:rPr>
                <w:sz w:val="21"/>
                <w:szCs w:val="21"/>
                <w:lang w:eastAsia="en-US"/>
              </w:rPr>
            </w:pPr>
            <w:r>
              <w:rPr>
                <w:sz w:val="21"/>
                <w:szCs w:val="21"/>
                <w:lang w:eastAsia="en-US"/>
              </w:rPr>
              <w:t>13</w:t>
            </w:r>
          </w:p>
        </w:tc>
        <w:tc>
          <w:tcPr>
            <w:tcW w:w="1145" w:type="dxa"/>
            <w:vMerge w:val="restart"/>
            <w:tcBorders>
              <w:tl2br w:val="nil"/>
              <w:tr2bl w:val="nil"/>
            </w:tcBorders>
            <w:shd w:val="clear" w:color="auto" w:fill="auto"/>
            <w:vAlign w:val="center"/>
          </w:tcPr>
          <w:p w14:paraId="146EE249">
            <w:pPr>
              <w:widowControl/>
              <w:spacing w:line="400" w:lineRule="exact"/>
              <w:jc w:val="center"/>
              <w:rPr>
                <w:sz w:val="21"/>
                <w:szCs w:val="21"/>
                <w:lang w:eastAsia="en-US"/>
              </w:rPr>
            </w:pPr>
            <w:r>
              <w:rPr>
                <w:sz w:val="21"/>
                <w:szCs w:val="21"/>
                <w:lang w:eastAsia="en-US"/>
              </w:rPr>
              <w:t>水竹安置区</w:t>
            </w:r>
          </w:p>
        </w:tc>
        <w:tc>
          <w:tcPr>
            <w:tcW w:w="737" w:type="dxa"/>
            <w:vMerge w:val="restart"/>
            <w:tcBorders>
              <w:tl2br w:val="nil"/>
              <w:tr2bl w:val="nil"/>
            </w:tcBorders>
            <w:shd w:val="clear" w:color="auto" w:fill="auto"/>
            <w:vAlign w:val="center"/>
          </w:tcPr>
          <w:p w14:paraId="3528B66A">
            <w:pPr>
              <w:widowControl/>
              <w:spacing w:line="400" w:lineRule="exact"/>
              <w:jc w:val="center"/>
              <w:rPr>
                <w:sz w:val="21"/>
                <w:szCs w:val="21"/>
                <w:lang w:eastAsia="en-US"/>
              </w:rPr>
            </w:pPr>
            <w:r>
              <w:rPr>
                <w:rFonts w:hint="eastAsia"/>
                <w:sz w:val="21"/>
                <w:szCs w:val="21"/>
                <w:lang w:eastAsia="en-US"/>
              </w:rPr>
              <w:t>752</w:t>
            </w:r>
          </w:p>
        </w:tc>
        <w:tc>
          <w:tcPr>
            <w:tcW w:w="647" w:type="dxa"/>
            <w:vMerge w:val="restart"/>
            <w:tcBorders>
              <w:tl2br w:val="nil"/>
              <w:tr2bl w:val="nil"/>
            </w:tcBorders>
            <w:shd w:val="clear" w:color="auto" w:fill="auto"/>
            <w:vAlign w:val="center"/>
          </w:tcPr>
          <w:p w14:paraId="5F97269A">
            <w:pPr>
              <w:widowControl/>
              <w:spacing w:line="400" w:lineRule="exact"/>
              <w:jc w:val="center"/>
              <w:rPr>
                <w:sz w:val="21"/>
                <w:szCs w:val="21"/>
                <w:lang w:eastAsia="en-US"/>
              </w:rPr>
            </w:pPr>
            <w:r>
              <w:rPr>
                <w:rFonts w:hint="eastAsia"/>
                <w:sz w:val="21"/>
                <w:szCs w:val="21"/>
                <w:lang w:eastAsia="en-US"/>
              </w:rPr>
              <w:t>233</w:t>
            </w:r>
          </w:p>
        </w:tc>
        <w:tc>
          <w:tcPr>
            <w:tcW w:w="914" w:type="dxa"/>
            <w:tcBorders>
              <w:tl2br w:val="nil"/>
              <w:tr2bl w:val="nil"/>
            </w:tcBorders>
            <w:shd w:val="clear" w:color="auto" w:fill="auto"/>
            <w:vAlign w:val="center"/>
          </w:tcPr>
          <w:p w14:paraId="68A07B9E">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36220F6">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052219</w:t>
            </w:r>
          </w:p>
        </w:tc>
        <w:tc>
          <w:tcPr>
            <w:tcW w:w="1182" w:type="dxa"/>
            <w:tcBorders>
              <w:tl2br w:val="nil"/>
              <w:tr2bl w:val="nil"/>
            </w:tcBorders>
            <w:shd w:val="clear" w:color="auto" w:fill="auto"/>
            <w:vAlign w:val="center"/>
          </w:tcPr>
          <w:p w14:paraId="4ED68A2F">
            <w:pPr>
              <w:widowControl w:val="0"/>
              <w:spacing w:line="400" w:lineRule="exact"/>
              <w:jc w:val="center"/>
              <w:rPr>
                <w:sz w:val="21"/>
                <w:szCs w:val="21"/>
                <w:lang w:eastAsia="en-US"/>
              </w:rPr>
            </w:pPr>
            <w:r>
              <w:rPr>
                <w:sz w:val="21"/>
                <w:szCs w:val="21"/>
                <w:lang w:eastAsia="en-US"/>
              </w:rPr>
              <w:t>0.4396</w:t>
            </w:r>
          </w:p>
        </w:tc>
        <w:tc>
          <w:tcPr>
            <w:tcW w:w="914" w:type="dxa"/>
            <w:tcBorders>
              <w:tl2br w:val="nil"/>
              <w:tr2bl w:val="nil"/>
            </w:tcBorders>
            <w:shd w:val="clear" w:color="auto" w:fill="auto"/>
            <w:vAlign w:val="center"/>
          </w:tcPr>
          <w:p w14:paraId="0467DBCC">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1C17FCD3">
            <w:pPr>
              <w:widowControl w:val="0"/>
              <w:spacing w:line="400" w:lineRule="exact"/>
              <w:jc w:val="center"/>
              <w:rPr>
                <w:sz w:val="21"/>
                <w:szCs w:val="21"/>
                <w:lang w:eastAsia="en-US"/>
              </w:rPr>
            </w:pPr>
            <w:r>
              <w:rPr>
                <w:sz w:val="21"/>
                <w:szCs w:val="21"/>
                <w:lang w:eastAsia="en-US"/>
              </w:rPr>
              <w:t>36.63</w:t>
            </w:r>
          </w:p>
        </w:tc>
        <w:tc>
          <w:tcPr>
            <w:tcW w:w="716" w:type="dxa"/>
            <w:tcBorders>
              <w:tl2br w:val="nil"/>
              <w:tr2bl w:val="nil"/>
            </w:tcBorders>
            <w:shd w:val="clear" w:color="auto" w:fill="auto"/>
            <w:vAlign w:val="center"/>
          </w:tcPr>
          <w:p w14:paraId="32009650">
            <w:pPr>
              <w:widowControl/>
              <w:spacing w:line="400" w:lineRule="exact"/>
              <w:jc w:val="center"/>
              <w:rPr>
                <w:sz w:val="21"/>
                <w:szCs w:val="21"/>
                <w:lang w:eastAsia="en-US"/>
              </w:rPr>
            </w:pPr>
            <w:r>
              <w:rPr>
                <w:sz w:val="21"/>
                <w:szCs w:val="21"/>
                <w:lang w:eastAsia="en-US"/>
              </w:rPr>
              <w:t>达标</w:t>
            </w:r>
          </w:p>
        </w:tc>
      </w:tr>
      <w:tr w14:paraId="6D3961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CE04048">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523C82AD">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0AA6B91A">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16A3F226">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69CA8CC9">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B51FA29">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20522</w:t>
            </w:r>
          </w:p>
        </w:tc>
        <w:tc>
          <w:tcPr>
            <w:tcW w:w="1182" w:type="dxa"/>
            <w:tcBorders>
              <w:tl2br w:val="nil"/>
              <w:tr2bl w:val="nil"/>
            </w:tcBorders>
            <w:shd w:val="clear" w:color="auto" w:fill="auto"/>
            <w:vAlign w:val="center"/>
          </w:tcPr>
          <w:p w14:paraId="05B85A38">
            <w:pPr>
              <w:widowControl w:val="0"/>
              <w:spacing w:line="400" w:lineRule="exact"/>
              <w:jc w:val="center"/>
              <w:rPr>
                <w:sz w:val="21"/>
                <w:szCs w:val="21"/>
                <w:lang w:eastAsia="en-US"/>
              </w:rPr>
            </w:pPr>
            <w:r>
              <w:rPr>
                <w:sz w:val="21"/>
                <w:szCs w:val="21"/>
                <w:lang w:eastAsia="en-US"/>
              </w:rPr>
              <w:t>0.0311</w:t>
            </w:r>
          </w:p>
        </w:tc>
        <w:tc>
          <w:tcPr>
            <w:tcW w:w="914" w:type="dxa"/>
            <w:tcBorders>
              <w:tl2br w:val="nil"/>
              <w:tr2bl w:val="nil"/>
            </w:tcBorders>
            <w:shd w:val="clear" w:color="auto" w:fill="auto"/>
            <w:vAlign w:val="center"/>
          </w:tcPr>
          <w:p w14:paraId="0AD65377">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9AA4ECE">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0A1DD46F">
            <w:pPr>
              <w:widowControl/>
              <w:spacing w:line="400" w:lineRule="exact"/>
              <w:jc w:val="center"/>
              <w:rPr>
                <w:sz w:val="21"/>
                <w:szCs w:val="21"/>
                <w:lang w:eastAsia="en-US"/>
              </w:rPr>
            </w:pPr>
            <w:r>
              <w:rPr>
                <w:rFonts w:hint="eastAsia"/>
                <w:sz w:val="21"/>
                <w:szCs w:val="21"/>
                <w:lang w:eastAsia="en-US"/>
              </w:rPr>
              <w:t>/</w:t>
            </w:r>
          </w:p>
        </w:tc>
      </w:tr>
      <w:tr w14:paraId="3860DB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6E5DB3B">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1D51502">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5BE85451">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1143F57A">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7B437BA1">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6F1500A">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B016312">
            <w:pPr>
              <w:widowControl w:val="0"/>
              <w:spacing w:line="400" w:lineRule="exact"/>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60ADCA46">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CDE5534">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0EAC080E">
            <w:pPr>
              <w:widowControl/>
              <w:spacing w:line="400" w:lineRule="exact"/>
              <w:jc w:val="center"/>
              <w:rPr>
                <w:sz w:val="21"/>
                <w:szCs w:val="21"/>
                <w:lang w:eastAsia="en-US"/>
              </w:rPr>
            </w:pPr>
            <w:r>
              <w:rPr>
                <w:rFonts w:hint="eastAsia"/>
                <w:sz w:val="21"/>
                <w:szCs w:val="21"/>
                <w:lang w:eastAsia="en-US"/>
              </w:rPr>
              <w:t>/</w:t>
            </w:r>
          </w:p>
        </w:tc>
      </w:tr>
      <w:tr w14:paraId="2EBB921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CCF40DA">
            <w:pPr>
              <w:widowControl/>
              <w:spacing w:line="400" w:lineRule="exact"/>
              <w:jc w:val="center"/>
              <w:rPr>
                <w:sz w:val="21"/>
                <w:szCs w:val="21"/>
                <w:lang w:eastAsia="en-US"/>
              </w:rPr>
            </w:pPr>
            <w:r>
              <w:rPr>
                <w:rFonts w:hint="eastAsia"/>
                <w:sz w:val="21"/>
                <w:szCs w:val="21"/>
                <w:lang w:eastAsia="en-US"/>
              </w:rPr>
              <w:t>14</w:t>
            </w:r>
          </w:p>
        </w:tc>
        <w:tc>
          <w:tcPr>
            <w:tcW w:w="1145" w:type="dxa"/>
            <w:vMerge w:val="restart"/>
            <w:tcBorders>
              <w:tl2br w:val="nil"/>
              <w:tr2bl w:val="nil"/>
            </w:tcBorders>
            <w:shd w:val="clear" w:color="auto" w:fill="auto"/>
            <w:vAlign w:val="center"/>
          </w:tcPr>
          <w:p w14:paraId="12FF7D0A">
            <w:pPr>
              <w:widowControl/>
              <w:spacing w:line="400" w:lineRule="exact"/>
              <w:jc w:val="center"/>
              <w:rPr>
                <w:sz w:val="21"/>
                <w:szCs w:val="21"/>
                <w:lang w:eastAsia="en-US"/>
              </w:rPr>
            </w:pPr>
            <w:r>
              <w:rPr>
                <w:sz w:val="21"/>
                <w:szCs w:val="21"/>
                <w:lang w:eastAsia="en-US"/>
              </w:rPr>
              <w:t>湘潭县行政学校</w:t>
            </w:r>
          </w:p>
        </w:tc>
        <w:tc>
          <w:tcPr>
            <w:tcW w:w="737" w:type="dxa"/>
            <w:vMerge w:val="restart"/>
            <w:tcBorders>
              <w:tl2br w:val="nil"/>
              <w:tr2bl w:val="nil"/>
            </w:tcBorders>
            <w:shd w:val="clear" w:color="auto" w:fill="auto"/>
            <w:vAlign w:val="center"/>
          </w:tcPr>
          <w:p w14:paraId="03D99E17">
            <w:pPr>
              <w:widowControl/>
              <w:spacing w:line="400" w:lineRule="exact"/>
              <w:jc w:val="center"/>
              <w:rPr>
                <w:sz w:val="21"/>
                <w:szCs w:val="21"/>
                <w:lang w:eastAsia="en-US"/>
              </w:rPr>
            </w:pPr>
            <w:r>
              <w:rPr>
                <w:rFonts w:hint="eastAsia"/>
                <w:sz w:val="21"/>
                <w:szCs w:val="21"/>
                <w:lang w:eastAsia="en-US"/>
              </w:rPr>
              <w:t>705</w:t>
            </w:r>
          </w:p>
        </w:tc>
        <w:tc>
          <w:tcPr>
            <w:tcW w:w="647" w:type="dxa"/>
            <w:vMerge w:val="restart"/>
            <w:tcBorders>
              <w:tl2br w:val="nil"/>
              <w:tr2bl w:val="nil"/>
            </w:tcBorders>
            <w:shd w:val="clear" w:color="auto" w:fill="auto"/>
            <w:vAlign w:val="center"/>
          </w:tcPr>
          <w:p w14:paraId="6E0CCEB6">
            <w:pPr>
              <w:widowControl/>
              <w:spacing w:line="400" w:lineRule="exact"/>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20509700">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06DA72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82" w:type="dxa"/>
            <w:tcBorders>
              <w:tl2br w:val="nil"/>
              <w:tr2bl w:val="nil"/>
            </w:tcBorders>
            <w:shd w:val="clear" w:color="auto" w:fill="auto"/>
            <w:vAlign w:val="center"/>
          </w:tcPr>
          <w:p w14:paraId="12CEF526">
            <w:pPr>
              <w:widowControl w:val="0"/>
              <w:spacing w:line="400" w:lineRule="exact"/>
              <w:jc w:val="center"/>
              <w:rPr>
                <w:sz w:val="21"/>
                <w:szCs w:val="21"/>
                <w:lang w:eastAsia="en-US"/>
              </w:rPr>
            </w:pPr>
            <w:r>
              <w:rPr>
                <w:sz w:val="21"/>
                <w:szCs w:val="21"/>
                <w:lang w:eastAsia="en-US"/>
              </w:rPr>
              <w:t>0.1795</w:t>
            </w:r>
          </w:p>
        </w:tc>
        <w:tc>
          <w:tcPr>
            <w:tcW w:w="914" w:type="dxa"/>
            <w:tcBorders>
              <w:tl2br w:val="nil"/>
              <w:tr2bl w:val="nil"/>
            </w:tcBorders>
            <w:shd w:val="clear" w:color="auto" w:fill="auto"/>
            <w:vAlign w:val="center"/>
          </w:tcPr>
          <w:p w14:paraId="61BE24FC">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1471296C">
            <w:pPr>
              <w:widowControl w:val="0"/>
              <w:spacing w:line="400" w:lineRule="exact"/>
              <w:jc w:val="center"/>
              <w:rPr>
                <w:sz w:val="21"/>
                <w:szCs w:val="21"/>
                <w:lang w:eastAsia="en-US"/>
              </w:rPr>
            </w:pPr>
            <w:r>
              <w:rPr>
                <w:sz w:val="21"/>
                <w:szCs w:val="21"/>
                <w:lang w:eastAsia="en-US"/>
              </w:rPr>
              <w:t>14.96</w:t>
            </w:r>
          </w:p>
        </w:tc>
        <w:tc>
          <w:tcPr>
            <w:tcW w:w="716" w:type="dxa"/>
            <w:tcBorders>
              <w:tl2br w:val="nil"/>
              <w:tr2bl w:val="nil"/>
            </w:tcBorders>
            <w:shd w:val="clear" w:color="auto" w:fill="auto"/>
            <w:vAlign w:val="center"/>
          </w:tcPr>
          <w:p w14:paraId="7C87C325">
            <w:pPr>
              <w:widowControl/>
              <w:spacing w:line="400" w:lineRule="exact"/>
              <w:jc w:val="center"/>
              <w:rPr>
                <w:sz w:val="21"/>
                <w:szCs w:val="21"/>
                <w:lang w:eastAsia="en-US"/>
              </w:rPr>
            </w:pPr>
            <w:r>
              <w:rPr>
                <w:sz w:val="21"/>
                <w:szCs w:val="21"/>
                <w:lang w:eastAsia="en-US"/>
              </w:rPr>
              <w:t>达标</w:t>
            </w:r>
          </w:p>
        </w:tc>
      </w:tr>
      <w:tr w14:paraId="78DD4C6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786D25B5">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716F5717">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FBEB716">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7FFA9876">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79748649">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CC00FF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0529</w:t>
            </w:r>
          </w:p>
        </w:tc>
        <w:tc>
          <w:tcPr>
            <w:tcW w:w="1182" w:type="dxa"/>
            <w:tcBorders>
              <w:tl2br w:val="nil"/>
              <w:tr2bl w:val="nil"/>
            </w:tcBorders>
            <w:shd w:val="clear" w:color="auto" w:fill="auto"/>
            <w:vAlign w:val="center"/>
          </w:tcPr>
          <w:p w14:paraId="26ED14E5">
            <w:pPr>
              <w:widowControl w:val="0"/>
              <w:spacing w:line="400" w:lineRule="exact"/>
              <w:jc w:val="center"/>
              <w:rPr>
                <w:sz w:val="21"/>
                <w:szCs w:val="21"/>
                <w:lang w:eastAsia="en-US"/>
              </w:rPr>
            </w:pPr>
            <w:r>
              <w:rPr>
                <w:sz w:val="21"/>
                <w:szCs w:val="21"/>
                <w:lang w:eastAsia="en-US"/>
              </w:rPr>
              <w:t>0.0119</w:t>
            </w:r>
          </w:p>
        </w:tc>
        <w:tc>
          <w:tcPr>
            <w:tcW w:w="914" w:type="dxa"/>
            <w:tcBorders>
              <w:tl2br w:val="nil"/>
              <w:tr2bl w:val="nil"/>
            </w:tcBorders>
            <w:shd w:val="clear" w:color="auto" w:fill="auto"/>
            <w:vAlign w:val="center"/>
          </w:tcPr>
          <w:p w14:paraId="7580EEA5">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3674308D">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30526100">
            <w:pPr>
              <w:widowControl/>
              <w:spacing w:line="400" w:lineRule="exact"/>
              <w:jc w:val="center"/>
              <w:rPr>
                <w:sz w:val="21"/>
                <w:szCs w:val="21"/>
                <w:lang w:eastAsia="en-US"/>
              </w:rPr>
            </w:pPr>
            <w:r>
              <w:rPr>
                <w:rFonts w:hint="eastAsia"/>
                <w:sz w:val="21"/>
                <w:szCs w:val="21"/>
                <w:lang w:eastAsia="en-US"/>
              </w:rPr>
              <w:t>/</w:t>
            </w:r>
          </w:p>
        </w:tc>
      </w:tr>
      <w:tr w14:paraId="419BA07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F22B139">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25AD5821">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3EA73A36">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20E6C4A">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186BCE59">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F0BC142">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1E33322">
            <w:pPr>
              <w:widowControl w:val="0"/>
              <w:spacing w:line="400" w:lineRule="exact"/>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43813089">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6EEA1BC7">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5BDF08AB">
            <w:pPr>
              <w:widowControl/>
              <w:spacing w:line="400" w:lineRule="exact"/>
              <w:jc w:val="center"/>
              <w:rPr>
                <w:sz w:val="21"/>
                <w:szCs w:val="21"/>
                <w:lang w:eastAsia="en-US"/>
              </w:rPr>
            </w:pPr>
            <w:r>
              <w:rPr>
                <w:rFonts w:hint="eastAsia"/>
                <w:sz w:val="21"/>
                <w:szCs w:val="21"/>
                <w:lang w:eastAsia="en-US"/>
              </w:rPr>
              <w:t>/</w:t>
            </w:r>
          </w:p>
        </w:tc>
      </w:tr>
      <w:tr w14:paraId="662ABD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31DA81C">
            <w:pPr>
              <w:widowControl/>
              <w:spacing w:line="400" w:lineRule="exact"/>
              <w:jc w:val="center"/>
              <w:rPr>
                <w:sz w:val="21"/>
                <w:szCs w:val="21"/>
                <w:lang w:eastAsia="en-US"/>
              </w:rPr>
            </w:pPr>
            <w:r>
              <w:rPr>
                <w:rFonts w:hint="eastAsia"/>
                <w:sz w:val="21"/>
                <w:szCs w:val="21"/>
                <w:lang w:eastAsia="en-US"/>
              </w:rPr>
              <w:t>15</w:t>
            </w:r>
          </w:p>
        </w:tc>
        <w:tc>
          <w:tcPr>
            <w:tcW w:w="1145" w:type="dxa"/>
            <w:vMerge w:val="restart"/>
            <w:tcBorders>
              <w:tl2br w:val="nil"/>
              <w:tr2bl w:val="nil"/>
            </w:tcBorders>
            <w:shd w:val="clear" w:color="auto" w:fill="auto"/>
            <w:vAlign w:val="center"/>
          </w:tcPr>
          <w:p w14:paraId="01EF78CA">
            <w:pPr>
              <w:widowControl/>
              <w:spacing w:line="400" w:lineRule="exact"/>
              <w:jc w:val="center"/>
              <w:rPr>
                <w:sz w:val="21"/>
                <w:szCs w:val="21"/>
                <w:lang w:eastAsia="en-US"/>
              </w:rPr>
            </w:pPr>
            <w:r>
              <w:rPr>
                <w:sz w:val="21"/>
                <w:szCs w:val="21"/>
                <w:lang w:eastAsia="en-US"/>
              </w:rPr>
              <w:t>湘潭县公安局</w:t>
            </w:r>
          </w:p>
        </w:tc>
        <w:tc>
          <w:tcPr>
            <w:tcW w:w="737" w:type="dxa"/>
            <w:vMerge w:val="restart"/>
            <w:tcBorders>
              <w:tl2br w:val="nil"/>
              <w:tr2bl w:val="nil"/>
            </w:tcBorders>
            <w:shd w:val="clear" w:color="auto" w:fill="auto"/>
            <w:vAlign w:val="center"/>
          </w:tcPr>
          <w:p w14:paraId="0C406989">
            <w:pPr>
              <w:widowControl/>
              <w:spacing w:line="400" w:lineRule="exact"/>
              <w:jc w:val="center"/>
              <w:rPr>
                <w:sz w:val="21"/>
                <w:szCs w:val="21"/>
                <w:lang w:eastAsia="en-US"/>
              </w:rPr>
            </w:pPr>
            <w:r>
              <w:rPr>
                <w:rFonts w:hint="eastAsia"/>
                <w:sz w:val="21"/>
                <w:szCs w:val="21"/>
                <w:lang w:eastAsia="en-US"/>
              </w:rPr>
              <w:t>1104</w:t>
            </w:r>
          </w:p>
        </w:tc>
        <w:tc>
          <w:tcPr>
            <w:tcW w:w="647" w:type="dxa"/>
            <w:vMerge w:val="restart"/>
            <w:tcBorders>
              <w:tl2br w:val="nil"/>
              <w:tr2bl w:val="nil"/>
            </w:tcBorders>
            <w:shd w:val="clear" w:color="auto" w:fill="auto"/>
            <w:vAlign w:val="center"/>
          </w:tcPr>
          <w:p w14:paraId="1AE456CB">
            <w:pPr>
              <w:widowControl/>
              <w:spacing w:line="400" w:lineRule="exact"/>
              <w:jc w:val="center"/>
              <w:rPr>
                <w:sz w:val="21"/>
                <w:szCs w:val="21"/>
                <w:lang w:eastAsia="en-US"/>
              </w:rPr>
            </w:pPr>
            <w:r>
              <w:rPr>
                <w:rFonts w:hint="eastAsia"/>
                <w:sz w:val="21"/>
                <w:szCs w:val="21"/>
                <w:lang w:eastAsia="en-US"/>
              </w:rPr>
              <w:t>910</w:t>
            </w:r>
          </w:p>
        </w:tc>
        <w:tc>
          <w:tcPr>
            <w:tcW w:w="914" w:type="dxa"/>
            <w:tcBorders>
              <w:tl2br w:val="nil"/>
              <w:tr2bl w:val="nil"/>
            </w:tcBorders>
            <w:shd w:val="clear" w:color="auto" w:fill="auto"/>
            <w:vAlign w:val="center"/>
          </w:tcPr>
          <w:p w14:paraId="012349B6">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A30F99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052907</w:t>
            </w:r>
          </w:p>
        </w:tc>
        <w:tc>
          <w:tcPr>
            <w:tcW w:w="1182" w:type="dxa"/>
            <w:tcBorders>
              <w:tl2br w:val="nil"/>
              <w:tr2bl w:val="nil"/>
            </w:tcBorders>
            <w:shd w:val="clear" w:color="auto" w:fill="auto"/>
            <w:vAlign w:val="center"/>
          </w:tcPr>
          <w:p w14:paraId="3A46164D">
            <w:pPr>
              <w:widowControl w:val="0"/>
              <w:spacing w:line="400" w:lineRule="exact"/>
              <w:jc w:val="center"/>
              <w:rPr>
                <w:sz w:val="21"/>
                <w:szCs w:val="21"/>
                <w:lang w:eastAsia="en-US"/>
              </w:rPr>
            </w:pPr>
            <w:r>
              <w:rPr>
                <w:sz w:val="21"/>
                <w:szCs w:val="21"/>
                <w:lang w:eastAsia="en-US"/>
              </w:rPr>
              <w:t>0.2299</w:t>
            </w:r>
          </w:p>
        </w:tc>
        <w:tc>
          <w:tcPr>
            <w:tcW w:w="914" w:type="dxa"/>
            <w:tcBorders>
              <w:tl2br w:val="nil"/>
              <w:tr2bl w:val="nil"/>
            </w:tcBorders>
            <w:shd w:val="clear" w:color="auto" w:fill="auto"/>
            <w:vAlign w:val="center"/>
          </w:tcPr>
          <w:p w14:paraId="7831EA80">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3DACA59B">
            <w:pPr>
              <w:widowControl w:val="0"/>
              <w:spacing w:line="400" w:lineRule="exact"/>
              <w:jc w:val="center"/>
              <w:rPr>
                <w:sz w:val="21"/>
                <w:szCs w:val="21"/>
                <w:lang w:eastAsia="en-US"/>
              </w:rPr>
            </w:pPr>
            <w:r>
              <w:rPr>
                <w:sz w:val="21"/>
                <w:szCs w:val="21"/>
                <w:lang w:eastAsia="en-US"/>
              </w:rPr>
              <w:t>19.16</w:t>
            </w:r>
          </w:p>
        </w:tc>
        <w:tc>
          <w:tcPr>
            <w:tcW w:w="716" w:type="dxa"/>
            <w:tcBorders>
              <w:tl2br w:val="nil"/>
              <w:tr2bl w:val="nil"/>
            </w:tcBorders>
            <w:shd w:val="clear" w:color="auto" w:fill="auto"/>
            <w:vAlign w:val="center"/>
          </w:tcPr>
          <w:p w14:paraId="684FC4E1">
            <w:pPr>
              <w:widowControl/>
              <w:spacing w:line="400" w:lineRule="exact"/>
              <w:jc w:val="center"/>
              <w:rPr>
                <w:sz w:val="21"/>
                <w:szCs w:val="21"/>
                <w:lang w:eastAsia="en-US"/>
              </w:rPr>
            </w:pPr>
            <w:r>
              <w:rPr>
                <w:sz w:val="21"/>
                <w:szCs w:val="21"/>
                <w:lang w:eastAsia="en-US"/>
              </w:rPr>
              <w:t>达标</w:t>
            </w:r>
          </w:p>
        </w:tc>
      </w:tr>
      <w:tr w14:paraId="1574131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C3FAD9E">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39D03FC2">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214FF1E9">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7749B3C8">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56122E7C">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0A3610D">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0529</w:t>
            </w:r>
          </w:p>
        </w:tc>
        <w:tc>
          <w:tcPr>
            <w:tcW w:w="1182" w:type="dxa"/>
            <w:tcBorders>
              <w:tl2br w:val="nil"/>
              <w:tr2bl w:val="nil"/>
            </w:tcBorders>
            <w:shd w:val="clear" w:color="auto" w:fill="auto"/>
            <w:vAlign w:val="center"/>
          </w:tcPr>
          <w:p w14:paraId="74234FE0">
            <w:pPr>
              <w:widowControl w:val="0"/>
              <w:spacing w:line="400" w:lineRule="exact"/>
              <w:jc w:val="center"/>
              <w:rPr>
                <w:sz w:val="21"/>
                <w:szCs w:val="21"/>
                <w:lang w:eastAsia="en-US"/>
              </w:rPr>
            </w:pPr>
            <w:r>
              <w:rPr>
                <w:sz w:val="21"/>
                <w:szCs w:val="21"/>
                <w:lang w:eastAsia="en-US"/>
              </w:rPr>
              <w:t>0.0108</w:t>
            </w:r>
          </w:p>
        </w:tc>
        <w:tc>
          <w:tcPr>
            <w:tcW w:w="914" w:type="dxa"/>
            <w:tcBorders>
              <w:tl2br w:val="nil"/>
              <w:tr2bl w:val="nil"/>
            </w:tcBorders>
            <w:shd w:val="clear" w:color="auto" w:fill="auto"/>
            <w:vAlign w:val="center"/>
          </w:tcPr>
          <w:p w14:paraId="1490D444">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3F48828B">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26BF428">
            <w:pPr>
              <w:widowControl/>
              <w:spacing w:line="400" w:lineRule="exact"/>
              <w:jc w:val="center"/>
              <w:rPr>
                <w:sz w:val="21"/>
                <w:szCs w:val="21"/>
                <w:lang w:eastAsia="en-US"/>
              </w:rPr>
            </w:pPr>
            <w:r>
              <w:rPr>
                <w:rFonts w:hint="eastAsia"/>
                <w:sz w:val="21"/>
                <w:szCs w:val="21"/>
                <w:lang w:eastAsia="en-US"/>
              </w:rPr>
              <w:t>/</w:t>
            </w:r>
          </w:p>
        </w:tc>
      </w:tr>
      <w:tr w14:paraId="4AB0BF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4C57530">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0F7223F">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DCED550">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5BF3E88">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2D58FFB2">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B11B515">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15A0279">
            <w:pPr>
              <w:widowControl w:val="0"/>
              <w:spacing w:line="400" w:lineRule="exact"/>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2C171A66">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D3E1479">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27857CD">
            <w:pPr>
              <w:widowControl/>
              <w:spacing w:line="400" w:lineRule="exact"/>
              <w:jc w:val="center"/>
              <w:rPr>
                <w:sz w:val="21"/>
                <w:szCs w:val="21"/>
                <w:lang w:eastAsia="en-US"/>
              </w:rPr>
            </w:pPr>
            <w:r>
              <w:rPr>
                <w:rFonts w:hint="eastAsia"/>
                <w:sz w:val="21"/>
                <w:szCs w:val="21"/>
                <w:lang w:eastAsia="en-US"/>
              </w:rPr>
              <w:t>/</w:t>
            </w:r>
          </w:p>
        </w:tc>
      </w:tr>
      <w:tr w14:paraId="48FF51E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110A0D8">
            <w:pPr>
              <w:widowControl/>
              <w:spacing w:line="400" w:lineRule="exact"/>
              <w:jc w:val="center"/>
              <w:rPr>
                <w:sz w:val="21"/>
                <w:szCs w:val="21"/>
                <w:lang w:eastAsia="en-US"/>
              </w:rPr>
            </w:pPr>
            <w:r>
              <w:rPr>
                <w:rFonts w:hint="eastAsia"/>
                <w:sz w:val="21"/>
                <w:szCs w:val="21"/>
                <w:lang w:eastAsia="en-US"/>
              </w:rPr>
              <w:t>16</w:t>
            </w:r>
          </w:p>
        </w:tc>
        <w:tc>
          <w:tcPr>
            <w:tcW w:w="1145" w:type="dxa"/>
            <w:vMerge w:val="restart"/>
            <w:tcBorders>
              <w:tl2br w:val="nil"/>
              <w:tr2bl w:val="nil"/>
            </w:tcBorders>
            <w:shd w:val="clear" w:color="auto" w:fill="auto"/>
            <w:vAlign w:val="center"/>
          </w:tcPr>
          <w:p w14:paraId="7E136951">
            <w:pPr>
              <w:widowControl/>
              <w:spacing w:line="400" w:lineRule="exact"/>
              <w:jc w:val="center"/>
              <w:rPr>
                <w:sz w:val="21"/>
                <w:szCs w:val="21"/>
                <w:lang w:eastAsia="en-US"/>
              </w:rPr>
            </w:pPr>
            <w:r>
              <w:rPr>
                <w:sz w:val="21"/>
                <w:szCs w:val="21"/>
                <w:lang w:eastAsia="en-US"/>
              </w:rPr>
              <w:t>学府雅苑</w:t>
            </w:r>
          </w:p>
        </w:tc>
        <w:tc>
          <w:tcPr>
            <w:tcW w:w="737" w:type="dxa"/>
            <w:vMerge w:val="restart"/>
            <w:tcBorders>
              <w:tl2br w:val="nil"/>
              <w:tr2bl w:val="nil"/>
            </w:tcBorders>
            <w:shd w:val="clear" w:color="auto" w:fill="auto"/>
            <w:vAlign w:val="center"/>
          </w:tcPr>
          <w:p w14:paraId="6C1293E9">
            <w:pPr>
              <w:widowControl/>
              <w:spacing w:line="400" w:lineRule="exact"/>
              <w:jc w:val="center"/>
              <w:rPr>
                <w:sz w:val="21"/>
                <w:szCs w:val="21"/>
                <w:lang w:eastAsia="en-US"/>
              </w:rPr>
            </w:pPr>
            <w:r>
              <w:rPr>
                <w:rFonts w:hint="eastAsia"/>
                <w:sz w:val="21"/>
                <w:szCs w:val="21"/>
                <w:lang w:eastAsia="en-US"/>
              </w:rPr>
              <w:t>742</w:t>
            </w:r>
          </w:p>
        </w:tc>
        <w:tc>
          <w:tcPr>
            <w:tcW w:w="647" w:type="dxa"/>
            <w:vMerge w:val="restart"/>
            <w:tcBorders>
              <w:tl2br w:val="nil"/>
              <w:tr2bl w:val="nil"/>
            </w:tcBorders>
            <w:shd w:val="clear" w:color="auto" w:fill="auto"/>
            <w:vAlign w:val="center"/>
          </w:tcPr>
          <w:p w14:paraId="30BA0B82">
            <w:pPr>
              <w:widowControl/>
              <w:spacing w:line="400" w:lineRule="exact"/>
              <w:jc w:val="center"/>
              <w:rPr>
                <w:sz w:val="21"/>
                <w:szCs w:val="21"/>
                <w:lang w:eastAsia="en-US"/>
              </w:rPr>
            </w:pPr>
            <w:r>
              <w:rPr>
                <w:rFonts w:hint="eastAsia"/>
                <w:sz w:val="21"/>
                <w:szCs w:val="21"/>
                <w:lang w:eastAsia="en-US"/>
              </w:rPr>
              <w:t>1055</w:t>
            </w:r>
          </w:p>
        </w:tc>
        <w:tc>
          <w:tcPr>
            <w:tcW w:w="914" w:type="dxa"/>
            <w:tcBorders>
              <w:tl2br w:val="nil"/>
              <w:tr2bl w:val="nil"/>
            </w:tcBorders>
            <w:shd w:val="clear" w:color="auto" w:fill="auto"/>
            <w:vAlign w:val="center"/>
          </w:tcPr>
          <w:p w14:paraId="26F4BA94">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95B44A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040124</w:t>
            </w:r>
          </w:p>
        </w:tc>
        <w:tc>
          <w:tcPr>
            <w:tcW w:w="1182" w:type="dxa"/>
            <w:tcBorders>
              <w:tl2br w:val="nil"/>
              <w:tr2bl w:val="nil"/>
            </w:tcBorders>
            <w:shd w:val="clear" w:color="auto" w:fill="auto"/>
            <w:vAlign w:val="center"/>
          </w:tcPr>
          <w:p w14:paraId="24A38CAA">
            <w:pPr>
              <w:widowControl w:val="0"/>
              <w:spacing w:line="400" w:lineRule="exact"/>
              <w:jc w:val="center"/>
              <w:rPr>
                <w:sz w:val="21"/>
                <w:szCs w:val="21"/>
                <w:lang w:eastAsia="en-US"/>
              </w:rPr>
            </w:pPr>
            <w:r>
              <w:rPr>
                <w:sz w:val="21"/>
                <w:szCs w:val="21"/>
                <w:lang w:eastAsia="en-US"/>
              </w:rPr>
              <w:t>0.2052</w:t>
            </w:r>
          </w:p>
        </w:tc>
        <w:tc>
          <w:tcPr>
            <w:tcW w:w="914" w:type="dxa"/>
            <w:tcBorders>
              <w:tl2br w:val="nil"/>
              <w:tr2bl w:val="nil"/>
            </w:tcBorders>
            <w:shd w:val="clear" w:color="auto" w:fill="auto"/>
            <w:vAlign w:val="center"/>
          </w:tcPr>
          <w:p w14:paraId="57DF201F">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3D7236AB">
            <w:pPr>
              <w:widowControl w:val="0"/>
              <w:spacing w:line="400" w:lineRule="exact"/>
              <w:jc w:val="center"/>
              <w:rPr>
                <w:sz w:val="21"/>
                <w:szCs w:val="21"/>
                <w:lang w:eastAsia="en-US"/>
              </w:rPr>
            </w:pPr>
            <w:r>
              <w:rPr>
                <w:sz w:val="21"/>
                <w:szCs w:val="21"/>
                <w:lang w:eastAsia="en-US"/>
              </w:rPr>
              <w:t>17.10</w:t>
            </w:r>
          </w:p>
        </w:tc>
        <w:tc>
          <w:tcPr>
            <w:tcW w:w="716" w:type="dxa"/>
            <w:tcBorders>
              <w:tl2br w:val="nil"/>
              <w:tr2bl w:val="nil"/>
            </w:tcBorders>
            <w:shd w:val="clear" w:color="auto" w:fill="auto"/>
            <w:vAlign w:val="center"/>
          </w:tcPr>
          <w:p w14:paraId="3EE940B2">
            <w:pPr>
              <w:widowControl/>
              <w:spacing w:line="400" w:lineRule="exact"/>
              <w:jc w:val="center"/>
              <w:rPr>
                <w:sz w:val="21"/>
                <w:szCs w:val="21"/>
                <w:lang w:eastAsia="en-US"/>
              </w:rPr>
            </w:pPr>
            <w:r>
              <w:rPr>
                <w:sz w:val="21"/>
                <w:szCs w:val="21"/>
                <w:lang w:eastAsia="en-US"/>
              </w:rPr>
              <w:t>达标</w:t>
            </w:r>
          </w:p>
        </w:tc>
      </w:tr>
      <w:tr w14:paraId="59F95C2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80706A4">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3B40BF4">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4D66DFC">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F94ACE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6CBD1F04">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511CCE0">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20523</w:t>
            </w:r>
          </w:p>
        </w:tc>
        <w:tc>
          <w:tcPr>
            <w:tcW w:w="1182" w:type="dxa"/>
            <w:tcBorders>
              <w:tl2br w:val="nil"/>
              <w:tr2bl w:val="nil"/>
            </w:tcBorders>
            <w:shd w:val="clear" w:color="auto" w:fill="auto"/>
            <w:vAlign w:val="center"/>
          </w:tcPr>
          <w:p w14:paraId="78CF41C0">
            <w:pPr>
              <w:widowControl w:val="0"/>
              <w:spacing w:line="400" w:lineRule="exact"/>
              <w:jc w:val="center"/>
              <w:rPr>
                <w:sz w:val="21"/>
                <w:szCs w:val="21"/>
                <w:lang w:eastAsia="en-US"/>
              </w:rPr>
            </w:pPr>
            <w:r>
              <w:rPr>
                <w:sz w:val="21"/>
                <w:szCs w:val="21"/>
                <w:lang w:eastAsia="en-US"/>
              </w:rPr>
              <w:t>0.0148</w:t>
            </w:r>
          </w:p>
        </w:tc>
        <w:tc>
          <w:tcPr>
            <w:tcW w:w="914" w:type="dxa"/>
            <w:tcBorders>
              <w:tl2br w:val="nil"/>
              <w:tr2bl w:val="nil"/>
            </w:tcBorders>
            <w:shd w:val="clear" w:color="auto" w:fill="auto"/>
            <w:vAlign w:val="center"/>
          </w:tcPr>
          <w:p w14:paraId="165CCB72">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30FA9A42">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9DF89B9">
            <w:pPr>
              <w:widowControl/>
              <w:spacing w:line="400" w:lineRule="exact"/>
              <w:jc w:val="center"/>
              <w:rPr>
                <w:sz w:val="21"/>
                <w:szCs w:val="21"/>
                <w:lang w:eastAsia="en-US"/>
              </w:rPr>
            </w:pPr>
            <w:r>
              <w:rPr>
                <w:rFonts w:hint="eastAsia"/>
                <w:sz w:val="21"/>
                <w:szCs w:val="21"/>
                <w:lang w:eastAsia="en-US"/>
              </w:rPr>
              <w:t>/</w:t>
            </w:r>
          </w:p>
        </w:tc>
      </w:tr>
      <w:tr w14:paraId="7B2795B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098D5A39">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2CF2CE1">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7AFD182C">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F37FFF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E6FCEF7">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0E7B128">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638926F">
            <w:pPr>
              <w:widowControl w:val="0"/>
              <w:spacing w:line="400" w:lineRule="exact"/>
              <w:jc w:val="center"/>
              <w:rPr>
                <w:sz w:val="21"/>
                <w:szCs w:val="21"/>
                <w:lang w:eastAsia="en-US"/>
              </w:rPr>
            </w:pPr>
            <w:r>
              <w:rPr>
                <w:sz w:val="21"/>
                <w:szCs w:val="21"/>
                <w:lang w:eastAsia="en-US"/>
              </w:rPr>
              <w:t>0.0013</w:t>
            </w:r>
          </w:p>
        </w:tc>
        <w:tc>
          <w:tcPr>
            <w:tcW w:w="914" w:type="dxa"/>
            <w:tcBorders>
              <w:tl2br w:val="nil"/>
              <w:tr2bl w:val="nil"/>
            </w:tcBorders>
            <w:shd w:val="clear" w:color="auto" w:fill="auto"/>
            <w:vAlign w:val="center"/>
          </w:tcPr>
          <w:p w14:paraId="20DA0367">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D92FACF">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052CA09C">
            <w:pPr>
              <w:widowControl/>
              <w:spacing w:line="400" w:lineRule="exact"/>
              <w:jc w:val="center"/>
              <w:rPr>
                <w:sz w:val="21"/>
                <w:szCs w:val="21"/>
                <w:lang w:eastAsia="en-US"/>
              </w:rPr>
            </w:pPr>
            <w:r>
              <w:rPr>
                <w:rFonts w:hint="eastAsia"/>
                <w:sz w:val="21"/>
                <w:szCs w:val="21"/>
                <w:lang w:eastAsia="en-US"/>
              </w:rPr>
              <w:t>/</w:t>
            </w:r>
          </w:p>
        </w:tc>
      </w:tr>
      <w:tr w14:paraId="023AFA7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C428B04">
            <w:pPr>
              <w:widowControl/>
              <w:spacing w:line="400" w:lineRule="exact"/>
              <w:jc w:val="center"/>
              <w:rPr>
                <w:sz w:val="21"/>
                <w:szCs w:val="21"/>
                <w:lang w:eastAsia="en-US"/>
              </w:rPr>
            </w:pPr>
            <w:r>
              <w:rPr>
                <w:rFonts w:hint="eastAsia"/>
                <w:sz w:val="21"/>
                <w:szCs w:val="21"/>
                <w:lang w:eastAsia="en-US"/>
              </w:rPr>
              <w:t>17</w:t>
            </w:r>
          </w:p>
        </w:tc>
        <w:tc>
          <w:tcPr>
            <w:tcW w:w="1145" w:type="dxa"/>
            <w:vMerge w:val="restart"/>
            <w:tcBorders>
              <w:tl2br w:val="nil"/>
              <w:tr2bl w:val="nil"/>
            </w:tcBorders>
            <w:shd w:val="clear" w:color="auto" w:fill="auto"/>
            <w:vAlign w:val="center"/>
          </w:tcPr>
          <w:p w14:paraId="34878CB3">
            <w:pPr>
              <w:widowControl/>
              <w:spacing w:line="400" w:lineRule="exact"/>
              <w:jc w:val="center"/>
              <w:rPr>
                <w:sz w:val="21"/>
                <w:szCs w:val="21"/>
                <w:lang w:eastAsia="en-US"/>
              </w:rPr>
            </w:pPr>
            <w:r>
              <w:rPr>
                <w:sz w:val="21"/>
                <w:szCs w:val="21"/>
                <w:lang w:eastAsia="en-US"/>
              </w:rPr>
              <w:t>天一家园</w:t>
            </w:r>
          </w:p>
        </w:tc>
        <w:tc>
          <w:tcPr>
            <w:tcW w:w="737" w:type="dxa"/>
            <w:vMerge w:val="restart"/>
            <w:tcBorders>
              <w:tl2br w:val="nil"/>
              <w:tr2bl w:val="nil"/>
            </w:tcBorders>
            <w:shd w:val="clear" w:color="auto" w:fill="auto"/>
            <w:vAlign w:val="center"/>
          </w:tcPr>
          <w:p w14:paraId="1EEF4B2A">
            <w:pPr>
              <w:widowControl/>
              <w:spacing w:line="400" w:lineRule="exact"/>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4674EBF9">
            <w:pPr>
              <w:widowControl/>
              <w:spacing w:line="400" w:lineRule="exact"/>
              <w:jc w:val="center"/>
              <w:rPr>
                <w:sz w:val="21"/>
                <w:szCs w:val="21"/>
                <w:lang w:eastAsia="en-US"/>
              </w:rPr>
            </w:pPr>
            <w:r>
              <w:rPr>
                <w:rFonts w:hint="eastAsia"/>
                <w:sz w:val="21"/>
                <w:szCs w:val="21"/>
                <w:lang w:eastAsia="en-US"/>
              </w:rPr>
              <w:t>1414</w:t>
            </w:r>
          </w:p>
        </w:tc>
        <w:tc>
          <w:tcPr>
            <w:tcW w:w="914" w:type="dxa"/>
            <w:tcBorders>
              <w:tl2br w:val="nil"/>
              <w:tr2bl w:val="nil"/>
            </w:tcBorders>
            <w:shd w:val="clear" w:color="auto" w:fill="auto"/>
            <w:vAlign w:val="center"/>
          </w:tcPr>
          <w:p w14:paraId="3AE3C5BF">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F0A3BF4">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102006</w:t>
            </w:r>
          </w:p>
        </w:tc>
        <w:tc>
          <w:tcPr>
            <w:tcW w:w="1182" w:type="dxa"/>
            <w:tcBorders>
              <w:tl2br w:val="nil"/>
              <w:tr2bl w:val="nil"/>
            </w:tcBorders>
            <w:shd w:val="clear" w:color="auto" w:fill="auto"/>
            <w:vAlign w:val="center"/>
          </w:tcPr>
          <w:p w14:paraId="59A6A428">
            <w:pPr>
              <w:widowControl w:val="0"/>
              <w:spacing w:line="400" w:lineRule="exact"/>
              <w:jc w:val="center"/>
              <w:rPr>
                <w:sz w:val="21"/>
                <w:szCs w:val="21"/>
                <w:lang w:eastAsia="en-US"/>
              </w:rPr>
            </w:pPr>
            <w:r>
              <w:rPr>
                <w:sz w:val="21"/>
                <w:szCs w:val="21"/>
                <w:lang w:eastAsia="en-US"/>
              </w:rPr>
              <w:t>0.8603</w:t>
            </w:r>
          </w:p>
        </w:tc>
        <w:tc>
          <w:tcPr>
            <w:tcW w:w="914" w:type="dxa"/>
            <w:tcBorders>
              <w:tl2br w:val="nil"/>
              <w:tr2bl w:val="nil"/>
            </w:tcBorders>
            <w:shd w:val="clear" w:color="auto" w:fill="auto"/>
            <w:vAlign w:val="center"/>
          </w:tcPr>
          <w:p w14:paraId="08B225F4">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591F4687">
            <w:pPr>
              <w:widowControl w:val="0"/>
              <w:spacing w:line="400" w:lineRule="exact"/>
              <w:jc w:val="center"/>
              <w:rPr>
                <w:sz w:val="21"/>
                <w:szCs w:val="21"/>
                <w:lang w:eastAsia="en-US"/>
              </w:rPr>
            </w:pPr>
            <w:r>
              <w:rPr>
                <w:sz w:val="21"/>
                <w:szCs w:val="21"/>
                <w:lang w:eastAsia="en-US"/>
              </w:rPr>
              <w:t>71.69</w:t>
            </w:r>
          </w:p>
        </w:tc>
        <w:tc>
          <w:tcPr>
            <w:tcW w:w="716" w:type="dxa"/>
            <w:tcBorders>
              <w:tl2br w:val="nil"/>
              <w:tr2bl w:val="nil"/>
            </w:tcBorders>
            <w:shd w:val="clear" w:color="auto" w:fill="auto"/>
            <w:vAlign w:val="center"/>
          </w:tcPr>
          <w:p w14:paraId="02F264BB">
            <w:pPr>
              <w:widowControl/>
              <w:spacing w:line="400" w:lineRule="exact"/>
              <w:jc w:val="center"/>
              <w:rPr>
                <w:sz w:val="21"/>
                <w:szCs w:val="21"/>
                <w:lang w:eastAsia="en-US"/>
              </w:rPr>
            </w:pPr>
            <w:r>
              <w:rPr>
                <w:sz w:val="21"/>
                <w:szCs w:val="21"/>
                <w:lang w:eastAsia="en-US"/>
              </w:rPr>
              <w:t>达标</w:t>
            </w:r>
          </w:p>
        </w:tc>
      </w:tr>
      <w:tr w14:paraId="66C8760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FEB9647">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66633A8A">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54BA1E5B">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217ABDC">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E72FCE5">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C9B4FFE">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0409</w:t>
            </w:r>
          </w:p>
        </w:tc>
        <w:tc>
          <w:tcPr>
            <w:tcW w:w="1182" w:type="dxa"/>
            <w:tcBorders>
              <w:tl2br w:val="nil"/>
              <w:tr2bl w:val="nil"/>
            </w:tcBorders>
            <w:shd w:val="clear" w:color="auto" w:fill="auto"/>
            <w:vAlign w:val="center"/>
          </w:tcPr>
          <w:p w14:paraId="176F30BC">
            <w:pPr>
              <w:widowControl w:val="0"/>
              <w:spacing w:line="400" w:lineRule="exact"/>
              <w:jc w:val="center"/>
              <w:rPr>
                <w:sz w:val="21"/>
                <w:szCs w:val="21"/>
                <w:lang w:eastAsia="en-US"/>
              </w:rPr>
            </w:pPr>
            <w:r>
              <w:rPr>
                <w:sz w:val="21"/>
                <w:szCs w:val="21"/>
                <w:lang w:eastAsia="en-US"/>
              </w:rPr>
              <w:t>0.0386</w:t>
            </w:r>
          </w:p>
        </w:tc>
        <w:tc>
          <w:tcPr>
            <w:tcW w:w="914" w:type="dxa"/>
            <w:tcBorders>
              <w:tl2br w:val="nil"/>
              <w:tr2bl w:val="nil"/>
            </w:tcBorders>
            <w:shd w:val="clear" w:color="auto" w:fill="auto"/>
            <w:vAlign w:val="center"/>
          </w:tcPr>
          <w:p w14:paraId="27271F61">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4011224">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1305D4EC">
            <w:pPr>
              <w:widowControl/>
              <w:spacing w:line="400" w:lineRule="exact"/>
              <w:jc w:val="center"/>
              <w:rPr>
                <w:sz w:val="21"/>
                <w:szCs w:val="21"/>
                <w:lang w:eastAsia="en-US"/>
              </w:rPr>
            </w:pPr>
            <w:r>
              <w:rPr>
                <w:rFonts w:hint="eastAsia"/>
                <w:sz w:val="21"/>
                <w:szCs w:val="21"/>
                <w:lang w:eastAsia="en-US"/>
              </w:rPr>
              <w:t>/</w:t>
            </w:r>
          </w:p>
        </w:tc>
      </w:tr>
      <w:tr w14:paraId="5E7D69D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33F09BF">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5611F18">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54575A21">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1A6E622D">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6158E0C">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33D2A47">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5037359">
            <w:pPr>
              <w:widowControl w:val="0"/>
              <w:spacing w:line="400" w:lineRule="exact"/>
              <w:jc w:val="center"/>
              <w:rPr>
                <w:sz w:val="21"/>
                <w:szCs w:val="21"/>
                <w:lang w:eastAsia="en-US"/>
              </w:rPr>
            </w:pPr>
            <w:r>
              <w:rPr>
                <w:sz w:val="21"/>
                <w:szCs w:val="21"/>
                <w:lang w:eastAsia="en-US"/>
              </w:rPr>
              <w:t>0.0033</w:t>
            </w:r>
          </w:p>
        </w:tc>
        <w:tc>
          <w:tcPr>
            <w:tcW w:w="914" w:type="dxa"/>
            <w:tcBorders>
              <w:tl2br w:val="nil"/>
              <w:tr2bl w:val="nil"/>
            </w:tcBorders>
            <w:shd w:val="clear" w:color="auto" w:fill="auto"/>
            <w:vAlign w:val="center"/>
          </w:tcPr>
          <w:p w14:paraId="07C99224">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0F5806DC">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5E29BD07">
            <w:pPr>
              <w:widowControl/>
              <w:spacing w:line="400" w:lineRule="exact"/>
              <w:jc w:val="center"/>
              <w:rPr>
                <w:sz w:val="21"/>
                <w:szCs w:val="21"/>
                <w:lang w:eastAsia="en-US"/>
              </w:rPr>
            </w:pPr>
            <w:r>
              <w:rPr>
                <w:rFonts w:hint="eastAsia"/>
                <w:sz w:val="21"/>
                <w:szCs w:val="21"/>
                <w:lang w:eastAsia="en-US"/>
              </w:rPr>
              <w:t>/</w:t>
            </w:r>
          </w:p>
        </w:tc>
      </w:tr>
      <w:tr w14:paraId="503DCEB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A071A90">
            <w:pPr>
              <w:widowControl/>
              <w:spacing w:line="400" w:lineRule="exact"/>
              <w:jc w:val="center"/>
              <w:rPr>
                <w:sz w:val="21"/>
                <w:szCs w:val="21"/>
                <w:lang w:eastAsia="en-US"/>
              </w:rPr>
            </w:pPr>
            <w:r>
              <w:rPr>
                <w:rFonts w:hint="eastAsia"/>
                <w:sz w:val="21"/>
                <w:szCs w:val="21"/>
                <w:lang w:eastAsia="en-US"/>
              </w:rPr>
              <w:t>18</w:t>
            </w:r>
          </w:p>
        </w:tc>
        <w:tc>
          <w:tcPr>
            <w:tcW w:w="1145" w:type="dxa"/>
            <w:vMerge w:val="restart"/>
            <w:tcBorders>
              <w:tl2br w:val="nil"/>
              <w:tr2bl w:val="nil"/>
            </w:tcBorders>
            <w:shd w:val="clear" w:color="auto" w:fill="auto"/>
            <w:vAlign w:val="center"/>
          </w:tcPr>
          <w:p w14:paraId="71809DB5">
            <w:pPr>
              <w:widowControl/>
              <w:spacing w:line="400" w:lineRule="exact"/>
              <w:jc w:val="center"/>
              <w:rPr>
                <w:sz w:val="21"/>
                <w:szCs w:val="21"/>
                <w:lang w:eastAsia="en-US"/>
              </w:rPr>
            </w:pPr>
            <w:r>
              <w:rPr>
                <w:sz w:val="21"/>
                <w:szCs w:val="21"/>
                <w:lang w:eastAsia="en-US"/>
              </w:rPr>
              <w:t>长通名城</w:t>
            </w:r>
          </w:p>
        </w:tc>
        <w:tc>
          <w:tcPr>
            <w:tcW w:w="737" w:type="dxa"/>
            <w:vMerge w:val="restart"/>
            <w:tcBorders>
              <w:tl2br w:val="nil"/>
              <w:tr2bl w:val="nil"/>
            </w:tcBorders>
            <w:shd w:val="clear" w:color="auto" w:fill="auto"/>
            <w:vAlign w:val="center"/>
          </w:tcPr>
          <w:p w14:paraId="5D506E3D">
            <w:pPr>
              <w:widowControl/>
              <w:spacing w:line="400" w:lineRule="exact"/>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196F1F7D">
            <w:pPr>
              <w:widowControl/>
              <w:spacing w:line="400" w:lineRule="exact"/>
              <w:jc w:val="center"/>
              <w:rPr>
                <w:sz w:val="21"/>
                <w:szCs w:val="21"/>
                <w:lang w:eastAsia="en-US"/>
              </w:rPr>
            </w:pPr>
            <w:r>
              <w:rPr>
                <w:rFonts w:hint="eastAsia"/>
                <w:sz w:val="21"/>
                <w:szCs w:val="21"/>
                <w:lang w:eastAsia="en-US"/>
              </w:rPr>
              <w:t>1675</w:t>
            </w:r>
          </w:p>
        </w:tc>
        <w:tc>
          <w:tcPr>
            <w:tcW w:w="914" w:type="dxa"/>
            <w:tcBorders>
              <w:tl2br w:val="nil"/>
              <w:tr2bl w:val="nil"/>
            </w:tcBorders>
            <w:shd w:val="clear" w:color="auto" w:fill="auto"/>
            <w:vAlign w:val="center"/>
          </w:tcPr>
          <w:p w14:paraId="22EC14B2">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5DEDDDC">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091606</w:t>
            </w:r>
          </w:p>
        </w:tc>
        <w:tc>
          <w:tcPr>
            <w:tcW w:w="1182" w:type="dxa"/>
            <w:tcBorders>
              <w:tl2br w:val="nil"/>
              <w:tr2bl w:val="nil"/>
            </w:tcBorders>
            <w:shd w:val="clear" w:color="auto" w:fill="auto"/>
            <w:vAlign w:val="center"/>
          </w:tcPr>
          <w:p w14:paraId="140642EB">
            <w:pPr>
              <w:widowControl w:val="0"/>
              <w:spacing w:line="400" w:lineRule="exact"/>
              <w:jc w:val="center"/>
              <w:rPr>
                <w:sz w:val="21"/>
                <w:szCs w:val="21"/>
                <w:lang w:eastAsia="en-US"/>
              </w:rPr>
            </w:pPr>
            <w:r>
              <w:rPr>
                <w:sz w:val="21"/>
                <w:szCs w:val="21"/>
                <w:lang w:eastAsia="en-US"/>
              </w:rPr>
              <w:t>0.3864</w:t>
            </w:r>
          </w:p>
        </w:tc>
        <w:tc>
          <w:tcPr>
            <w:tcW w:w="914" w:type="dxa"/>
            <w:tcBorders>
              <w:tl2br w:val="nil"/>
              <w:tr2bl w:val="nil"/>
            </w:tcBorders>
            <w:shd w:val="clear" w:color="auto" w:fill="auto"/>
            <w:vAlign w:val="center"/>
          </w:tcPr>
          <w:p w14:paraId="220FAACA">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73DDB88F">
            <w:pPr>
              <w:widowControl w:val="0"/>
              <w:spacing w:line="400" w:lineRule="exact"/>
              <w:jc w:val="center"/>
              <w:rPr>
                <w:sz w:val="21"/>
                <w:szCs w:val="21"/>
                <w:lang w:eastAsia="en-US"/>
              </w:rPr>
            </w:pPr>
            <w:r>
              <w:rPr>
                <w:sz w:val="21"/>
                <w:szCs w:val="21"/>
                <w:lang w:eastAsia="en-US"/>
              </w:rPr>
              <w:t>32.20</w:t>
            </w:r>
          </w:p>
        </w:tc>
        <w:tc>
          <w:tcPr>
            <w:tcW w:w="716" w:type="dxa"/>
            <w:tcBorders>
              <w:tl2br w:val="nil"/>
              <w:tr2bl w:val="nil"/>
            </w:tcBorders>
            <w:shd w:val="clear" w:color="auto" w:fill="auto"/>
            <w:vAlign w:val="center"/>
          </w:tcPr>
          <w:p w14:paraId="01A6B20A">
            <w:pPr>
              <w:widowControl/>
              <w:spacing w:line="400" w:lineRule="exact"/>
              <w:jc w:val="center"/>
              <w:rPr>
                <w:sz w:val="21"/>
                <w:szCs w:val="21"/>
                <w:lang w:eastAsia="en-US"/>
              </w:rPr>
            </w:pPr>
            <w:r>
              <w:rPr>
                <w:sz w:val="21"/>
                <w:szCs w:val="21"/>
                <w:lang w:eastAsia="en-US"/>
              </w:rPr>
              <w:t>达标</w:t>
            </w:r>
          </w:p>
        </w:tc>
      </w:tr>
      <w:tr w14:paraId="28BA3D3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8A25A8E">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44FDEC5">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37A7422B">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613C060A">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4C2C27BF">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1B4A023">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0628</w:t>
            </w:r>
          </w:p>
        </w:tc>
        <w:tc>
          <w:tcPr>
            <w:tcW w:w="1182" w:type="dxa"/>
            <w:tcBorders>
              <w:tl2br w:val="nil"/>
              <w:tr2bl w:val="nil"/>
            </w:tcBorders>
            <w:shd w:val="clear" w:color="auto" w:fill="auto"/>
            <w:vAlign w:val="center"/>
          </w:tcPr>
          <w:p w14:paraId="55B60DCA">
            <w:pPr>
              <w:widowControl w:val="0"/>
              <w:spacing w:line="400" w:lineRule="exact"/>
              <w:jc w:val="center"/>
              <w:rPr>
                <w:sz w:val="21"/>
                <w:szCs w:val="21"/>
                <w:lang w:eastAsia="en-US"/>
              </w:rPr>
            </w:pPr>
            <w:r>
              <w:rPr>
                <w:sz w:val="21"/>
                <w:szCs w:val="21"/>
                <w:lang w:eastAsia="en-US"/>
              </w:rPr>
              <w:t>0.0474</w:t>
            </w:r>
          </w:p>
        </w:tc>
        <w:tc>
          <w:tcPr>
            <w:tcW w:w="914" w:type="dxa"/>
            <w:tcBorders>
              <w:tl2br w:val="nil"/>
              <w:tr2bl w:val="nil"/>
            </w:tcBorders>
            <w:shd w:val="clear" w:color="auto" w:fill="auto"/>
            <w:vAlign w:val="center"/>
          </w:tcPr>
          <w:p w14:paraId="06DCD002">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0071419B">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46B3BB82">
            <w:pPr>
              <w:widowControl/>
              <w:spacing w:line="400" w:lineRule="exact"/>
              <w:jc w:val="center"/>
              <w:rPr>
                <w:sz w:val="21"/>
                <w:szCs w:val="21"/>
                <w:lang w:eastAsia="en-US"/>
              </w:rPr>
            </w:pPr>
            <w:r>
              <w:rPr>
                <w:rFonts w:hint="eastAsia"/>
                <w:sz w:val="21"/>
                <w:szCs w:val="21"/>
                <w:lang w:eastAsia="en-US"/>
              </w:rPr>
              <w:t>/</w:t>
            </w:r>
          </w:p>
        </w:tc>
      </w:tr>
      <w:tr w14:paraId="1F14EDC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1741A1D">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64437A4">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3E41117">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141643C9">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77CF3137">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47AA863">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2062AE8">
            <w:pPr>
              <w:widowControl w:val="0"/>
              <w:spacing w:line="400" w:lineRule="exact"/>
              <w:jc w:val="center"/>
              <w:rPr>
                <w:sz w:val="21"/>
                <w:szCs w:val="21"/>
                <w:lang w:eastAsia="en-US"/>
              </w:rPr>
            </w:pPr>
            <w:r>
              <w:rPr>
                <w:sz w:val="21"/>
                <w:szCs w:val="21"/>
                <w:lang w:eastAsia="en-US"/>
              </w:rPr>
              <w:t>0.0035</w:t>
            </w:r>
          </w:p>
        </w:tc>
        <w:tc>
          <w:tcPr>
            <w:tcW w:w="914" w:type="dxa"/>
            <w:tcBorders>
              <w:tl2br w:val="nil"/>
              <w:tr2bl w:val="nil"/>
            </w:tcBorders>
            <w:shd w:val="clear" w:color="auto" w:fill="auto"/>
            <w:vAlign w:val="center"/>
          </w:tcPr>
          <w:p w14:paraId="2EAC473E">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914B557">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026E533B">
            <w:pPr>
              <w:widowControl/>
              <w:spacing w:line="400" w:lineRule="exact"/>
              <w:jc w:val="center"/>
              <w:rPr>
                <w:sz w:val="21"/>
                <w:szCs w:val="21"/>
                <w:lang w:eastAsia="en-US"/>
              </w:rPr>
            </w:pPr>
            <w:r>
              <w:rPr>
                <w:rFonts w:hint="eastAsia"/>
                <w:sz w:val="21"/>
                <w:szCs w:val="21"/>
                <w:lang w:eastAsia="en-US"/>
              </w:rPr>
              <w:t>/</w:t>
            </w:r>
          </w:p>
        </w:tc>
      </w:tr>
      <w:tr w14:paraId="4526442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AE5EF5D">
            <w:pPr>
              <w:widowControl/>
              <w:spacing w:line="400" w:lineRule="exact"/>
              <w:jc w:val="center"/>
              <w:rPr>
                <w:sz w:val="21"/>
                <w:szCs w:val="21"/>
                <w:lang w:eastAsia="en-US"/>
              </w:rPr>
            </w:pPr>
            <w:r>
              <w:rPr>
                <w:rFonts w:hint="eastAsia"/>
                <w:sz w:val="21"/>
                <w:szCs w:val="21"/>
                <w:lang w:eastAsia="en-US"/>
              </w:rPr>
              <w:t>19</w:t>
            </w:r>
          </w:p>
        </w:tc>
        <w:tc>
          <w:tcPr>
            <w:tcW w:w="1145" w:type="dxa"/>
            <w:vMerge w:val="restart"/>
            <w:tcBorders>
              <w:tl2br w:val="nil"/>
              <w:tr2bl w:val="nil"/>
            </w:tcBorders>
            <w:shd w:val="clear" w:color="auto" w:fill="auto"/>
            <w:vAlign w:val="center"/>
          </w:tcPr>
          <w:p w14:paraId="5A66E4AB">
            <w:pPr>
              <w:widowControl/>
              <w:spacing w:line="400" w:lineRule="exact"/>
              <w:jc w:val="center"/>
              <w:rPr>
                <w:sz w:val="21"/>
                <w:szCs w:val="21"/>
                <w:lang w:eastAsia="en-US"/>
              </w:rPr>
            </w:pPr>
            <w:r>
              <w:rPr>
                <w:sz w:val="21"/>
                <w:szCs w:val="21"/>
                <w:lang w:eastAsia="en-US"/>
              </w:rPr>
              <w:t>湘潭碧桂园</w:t>
            </w:r>
          </w:p>
        </w:tc>
        <w:tc>
          <w:tcPr>
            <w:tcW w:w="737" w:type="dxa"/>
            <w:vMerge w:val="restart"/>
            <w:tcBorders>
              <w:tl2br w:val="nil"/>
              <w:tr2bl w:val="nil"/>
            </w:tcBorders>
            <w:shd w:val="clear" w:color="auto" w:fill="auto"/>
            <w:vAlign w:val="center"/>
          </w:tcPr>
          <w:p w14:paraId="65149115">
            <w:pPr>
              <w:widowControl/>
              <w:spacing w:line="400" w:lineRule="exact"/>
              <w:jc w:val="center"/>
              <w:rPr>
                <w:sz w:val="21"/>
                <w:szCs w:val="21"/>
                <w:lang w:eastAsia="en-US"/>
              </w:rPr>
            </w:pPr>
            <w:r>
              <w:rPr>
                <w:rFonts w:hint="eastAsia"/>
                <w:sz w:val="21"/>
                <w:szCs w:val="21"/>
                <w:lang w:eastAsia="en-US"/>
              </w:rPr>
              <w:t>1590</w:t>
            </w:r>
          </w:p>
        </w:tc>
        <w:tc>
          <w:tcPr>
            <w:tcW w:w="647" w:type="dxa"/>
            <w:vMerge w:val="restart"/>
            <w:tcBorders>
              <w:tl2br w:val="nil"/>
              <w:tr2bl w:val="nil"/>
            </w:tcBorders>
            <w:shd w:val="clear" w:color="auto" w:fill="auto"/>
            <w:vAlign w:val="center"/>
          </w:tcPr>
          <w:p w14:paraId="12DC49BD">
            <w:pPr>
              <w:widowControl/>
              <w:spacing w:line="400" w:lineRule="exact"/>
              <w:jc w:val="center"/>
              <w:rPr>
                <w:sz w:val="21"/>
                <w:szCs w:val="21"/>
                <w:lang w:eastAsia="en-US"/>
              </w:rPr>
            </w:pPr>
            <w:r>
              <w:rPr>
                <w:rFonts w:hint="eastAsia"/>
                <w:sz w:val="21"/>
                <w:szCs w:val="21"/>
                <w:lang w:eastAsia="en-US"/>
              </w:rPr>
              <w:t>1772</w:t>
            </w:r>
          </w:p>
        </w:tc>
        <w:tc>
          <w:tcPr>
            <w:tcW w:w="914" w:type="dxa"/>
            <w:tcBorders>
              <w:tl2br w:val="nil"/>
              <w:tr2bl w:val="nil"/>
            </w:tcBorders>
            <w:shd w:val="clear" w:color="auto" w:fill="auto"/>
            <w:vAlign w:val="center"/>
          </w:tcPr>
          <w:p w14:paraId="2595BB2F">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9B72818">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061624</w:t>
            </w:r>
          </w:p>
        </w:tc>
        <w:tc>
          <w:tcPr>
            <w:tcW w:w="1182" w:type="dxa"/>
            <w:tcBorders>
              <w:tl2br w:val="nil"/>
              <w:tr2bl w:val="nil"/>
            </w:tcBorders>
            <w:shd w:val="clear" w:color="auto" w:fill="auto"/>
            <w:vAlign w:val="center"/>
          </w:tcPr>
          <w:p w14:paraId="712C0AEA">
            <w:pPr>
              <w:widowControl w:val="0"/>
              <w:spacing w:line="400" w:lineRule="exact"/>
              <w:jc w:val="center"/>
              <w:rPr>
                <w:sz w:val="21"/>
                <w:szCs w:val="21"/>
                <w:lang w:eastAsia="en-US"/>
              </w:rPr>
            </w:pPr>
            <w:r>
              <w:rPr>
                <w:sz w:val="21"/>
                <w:szCs w:val="21"/>
                <w:lang w:eastAsia="en-US"/>
              </w:rPr>
              <w:t>0.1695</w:t>
            </w:r>
          </w:p>
        </w:tc>
        <w:tc>
          <w:tcPr>
            <w:tcW w:w="914" w:type="dxa"/>
            <w:tcBorders>
              <w:tl2br w:val="nil"/>
              <w:tr2bl w:val="nil"/>
            </w:tcBorders>
            <w:shd w:val="clear" w:color="auto" w:fill="auto"/>
            <w:vAlign w:val="center"/>
          </w:tcPr>
          <w:p w14:paraId="3D756085">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27464461">
            <w:pPr>
              <w:widowControl w:val="0"/>
              <w:spacing w:line="400" w:lineRule="exact"/>
              <w:jc w:val="center"/>
              <w:rPr>
                <w:sz w:val="21"/>
                <w:szCs w:val="21"/>
                <w:lang w:eastAsia="en-US"/>
              </w:rPr>
            </w:pPr>
            <w:r>
              <w:rPr>
                <w:sz w:val="21"/>
                <w:szCs w:val="21"/>
                <w:lang w:eastAsia="en-US"/>
              </w:rPr>
              <w:t>14.12</w:t>
            </w:r>
          </w:p>
        </w:tc>
        <w:tc>
          <w:tcPr>
            <w:tcW w:w="716" w:type="dxa"/>
            <w:tcBorders>
              <w:tl2br w:val="nil"/>
              <w:tr2bl w:val="nil"/>
            </w:tcBorders>
            <w:shd w:val="clear" w:color="auto" w:fill="auto"/>
            <w:vAlign w:val="center"/>
          </w:tcPr>
          <w:p w14:paraId="28F08F72">
            <w:pPr>
              <w:widowControl/>
              <w:spacing w:line="400" w:lineRule="exact"/>
              <w:jc w:val="center"/>
              <w:rPr>
                <w:sz w:val="21"/>
                <w:szCs w:val="21"/>
                <w:lang w:eastAsia="en-US"/>
              </w:rPr>
            </w:pPr>
            <w:r>
              <w:rPr>
                <w:sz w:val="21"/>
                <w:szCs w:val="21"/>
                <w:lang w:eastAsia="en-US"/>
              </w:rPr>
              <w:t>达标</w:t>
            </w:r>
          </w:p>
        </w:tc>
      </w:tr>
      <w:tr w14:paraId="1BA4AE9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86C687E">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21BC8389">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7E9C3049">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13593E1">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2A719209">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4E41584">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0722</w:t>
            </w:r>
          </w:p>
        </w:tc>
        <w:tc>
          <w:tcPr>
            <w:tcW w:w="1182" w:type="dxa"/>
            <w:tcBorders>
              <w:tl2br w:val="nil"/>
              <w:tr2bl w:val="nil"/>
            </w:tcBorders>
            <w:shd w:val="clear" w:color="auto" w:fill="auto"/>
            <w:vAlign w:val="center"/>
          </w:tcPr>
          <w:p w14:paraId="21F05BEB">
            <w:pPr>
              <w:widowControl w:val="0"/>
              <w:spacing w:line="400" w:lineRule="exact"/>
              <w:jc w:val="center"/>
              <w:rPr>
                <w:sz w:val="21"/>
                <w:szCs w:val="21"/>
                <w:lang w:eastAsia="en-US"/>
              </w:rPr>
            </w:pPr>
            <w:r>
              <w:rPr>
                <w:sz w:val="21"/>
                <w:szCs w:val="21"/>
                <w:lang w:eastAsia="en-US"/>
              </w:rPr>
              <w:t>0.0133</w:t>
            </w:r>
          </w:p>
        </w:tc>
        <w:tc>
          <w:tcPr>
            <w:tcW w:w="914" w:type="dxa"/>
            <w:tcBorders>
              <w:tl2br w:val="nil"/>
              <w:tr2bl w:val="nil"/>
            </w:tcBorders>
            <w:shd w:val="clear" w:color="auto" w:fill="auto"/>
            <w:vAlign w:val="center"/>
          </w:tcPr>
          <w:p w14:paraId="1E794EE3">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0D7614C5">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19FE0BA3">
            <w:pPr>
              <w:widowControl/>
              <w:spacing w:line="400" w:lineRule="exact"/>
              <w:jc w:val="center"/>
              <w:rPr>
                <w:sz w:val="21"/>
                <w:szCs w:val="21"/>
                <w:lang w:eastAsia="en-US"/>
              </w:rPr>
            </w:pPr>
            <w:r>
              <w:rPr>
                <w:rFonts w:hint="eastAsia"/>
                <w:sz w:val="21"/>
                <w:szCs w:val="21"/>
                <w:lang w:eastAsia="en-US"/>
              </w:rPr>
              <w:t>/</w:t>
            </w:r>
          </w:p>
        </w:tc>
      </w:tr>
      <w:tr w14:paraId="3745F17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6F774B1">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0A132957">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6ACCD455">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69C682A2">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8F90FBA">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B826AE0">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8A91B1F">
            <w:pPr>
              <w:widowControl w:val="0"/>
              <w:spacing w:line="400" w:lineRule="exact"/>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25D8EB07">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73678ABA">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13C9E2BF">
            <w:pPr>
              <w:widowControl/>
              <w:spacing w:line="400" w:lineRule="exact"/>
              <w:jc w:val="center"/>
              <w:rPr>
                <w:sz w:val="21"/>
                <w:szCs w:val="21"/>
                <w:lang w:eastAsia="en-US"/>
              </w:rPr>
            </w:pPr>
            <w:r>
              <w:rPr>
                <w:rFonts w:hint="eastAsia"/>
                <w:sz w:val="21"/>
                <w:szCs w:val="21"/>
                <w:lang w:eastAsia="en-US"/>
              </w:rPr>
              <w:t>/</w:t>
            </w:r>
          </w:p>
        </w:tc>
      </w:tr>
      <w:tr w14:paraId="061619F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C5F94E2">
            <w:pPr>
              <w:widowControl/>
              <w:spacing w:line="400" w:lineRule="exact"/>
              <w:jc w:val="center"/>
              <w:rPr>
                <w:sz w:val="21"/>
                <w:szCs w:val="21"/>
                <w:lang w:eastAsia="en-US"/>
              </w:rPr>
            </w:pPr>
            <w:r>
              <w:rPr>
                <w:rFonts w:hint="eastAsia"/>
                <w:sz w:val="21"/>
                <w:szCs w:val="21"/>
                <w:lang w:eastAsia="en-US"/>
              </w:rPr>
              <w:t>20</w:t>
            </w:r>
          </w:p>
        </w:tc>
        <w:tc>
          <w:tcPr>
            <w:tcW w:w="1145" w:type="dxa"/>
            <w:vMerge w:val="restart"/>
            <w:tcBorders>
              <w:tl2br w:val="nil"/>
              <w:tr2bl w:val="nil"/>
            </w:tcBorders>
            <w:shd w:val="clear" w:color="auto" w:fill="auto"/>
            <w:vAlign w:val="center"/>
          </w:tcPr>
          <w:p w14:paraId="21EF233B">
            <w:pPr>
              <w:widowControl/>
              <w:spacing w:line="400" w:lineRule="exact"/>
              <w:jc w:val="center"/>
              <w:rPr>
                <w:sz w:val="21"/>
                <w:szCs w:val="21"/>
                <w:lang w:eastAsia="zh-CN"/>
              </w:rPr>
            </w:pPr>
            <w:r>
              <w:rPr>
                <w:sz w:val="21"/>
                <w:szCs w:val="21"/>
                <w:lang w:eastAsia="zh-CN"/>
              </w:rPr>
              <w:t>东北侧湘潭县居民居住集中区</w:t>
            </w:r>
          </w:p>
        </w:tc>
        <w:tc>
          <w:tcPr>
            <w:tcW w:w="737" w:type="dxa"/>
            <w:vMerge w:val="restart"/>
            <w:tcBorders>
              <w:tl2br w:val="nil"/>
              <w:tr2bl w:val="nil"/>
            </w:tcBorders>
            <w:shd w:val="clear" w:color="auto" w:fill="auto"/>
            <w:vAlign w:val="center"/>
          </w:tcPr>
          <w:p w14:paraId="478B6B93">
            <w:pPr>
              <w:widowControl/>
              <w:spacing w:line="400" w:lineRule="exact"/>
              <w:jc w:val="center"/>
              <w:rPr>
                <w:sz w:val="21"/>
                <w:szCs w:val="21"/>
                <w:lang w:eastAsia="en-US"/>
              </w:rPr>
            </w:pPr>
            <w:r>
              <w:rPr>
                <w:rFonts w:hint="eastAsia"/>
                <w:sz w:val="21"/>
                <w:szCs w:val="21"/>
                <w:lang w:eastAsia="en-US"/>
              </w:rPr>
              <w:t>582</w:t>
            </w:r>
          </w:p>
        </w:tc>
        <w:tc>
          <w:tcPr>
            <w:tcW w:w="647" w:type="dxa"/>
            <w:vMerge w:val="restart"/>
            <w:tcBorders>
              <w:tl2br w:val="nil"/>
              <w:tr2bl w:val="nil"/>
            </w:tcBorders>
            <w:shd w:val="clear" w:color="auto" w:fill="auto"/>
            <w:vAlign w:val="center"/>
          </w:tcPr>
          <w:p w14:paraId="4D4334DD">
            <w:pPr>
              <w:widowControl/>
              <w:spacing w:line="400" w:lineRule="exact"/>
              <w:jc w:val="center"/>
              <w:rPr>
                <w:sz w:val="21"/>
                <w:szCs w:val="21"/>
                <w:lang w:eastAsia="en-US"/>
              </w:rPr>
            </w:pPr>
            <w:r>
              <w:rPr>
                <w:rFonts w:hint="eastAsia"/>
                <w:sz w:val="21"/>
                <w:szCs w:val="21"/>
                <w:lang w:eastAsia="en-US"/>
              </w:rPr>
              <w:t>2019</w:t>
            </w:r>
          </w:p>
        </w:tc>
        <w:tc>
          <w:tcPr>
            <w:tcW w:w="914" w:type="dxa"/>
            <w:tcBorders>
              <w:tl2br w:val="nil"/>
              <w:tr2bl w:val="nil"/>
            </w:tcBorders>
            <w:shd w:val="clear" w:color="auto" w:fill="auto"/>
            <w:vAlign w:val="center"/>
          </w:tcPr>
          <w:p w14:paraId="13561942">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161381B">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081121</w:t>
            </w:r>
          </w:p>
        </w:tc>
        <w:tc>
          <w:tcPr>
            <w:tcW w:w="1182" w:type="dxa"/>
            <w:tcBorders>
              <w:tl2br w:val="nil"/>
              <w:tr2bl w:val="nil"/>
            </w:tcBorders>
            <w:shd w:val="clear" w:color="auto" w:fill="auto"/>
            <w:vAlign w:val="center"/>
          </w:tcPr>
          <w:p w14:paraId="446B7698">
            <w:pPr>
              <w:widowControl w:val="0"/>
              <w:spacing w:line="400" w:lineRule="exact"/>
              <w:jc w:val="center"/>
              <w:rPr>
                <w:sz w:val="21"/>
                <w:szCs w:val="21"/>
                <w:lang w:eastAsia="en-US"/>
              </w:rPr>
            </w:pPr>
            <w:r>
              <w:rPr>
                <w:sz w:val="21"/>
                <w:szCs w:val="21"/>
                <w:lang w:eastAsia="en-US"/>
              </w:rPr>
              <w:t>0.1317</w:t>
            </w:r>
          </w:p>
        </w:tc>
        <w:tc>
          <w:tcPr>
            <w:tcW w:w="914" w:type="dxa"/>
            <w:tcBorders>
              <w:tl2br w:val="nil"/>
              <w:tr2bl w:val="nil"/>
            </w:tcBorders>
            <w:shd w:val="clear" w:color="auto" w:fill="auto"/>
            <w:vAlign w:val="center"/>
          </w:tcPr>
          <w:p w14:paraId="7976E8E4">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33EA611D">
            <w:pPr>
              <w:widowControl w:val="0"/>
              <w:spacing w:line="400" w:lineRule="exact"/>
              <w:jc w:val="center"/>
              <w:rPr>
                <w:sz w:val="21"/>
                <w:szCs w:val="21"/>
                <w:lang w:eastAsia="en-US"/>
              </w:rPr>
            </w:pPr>
            <w:r>
              <w:rPr>
                <w:sz w:val="21"/>
                <w:szCs w:val="21"/>
                <w:lang w:eastAsia="en-US"/>
              </w:rPr>
              <w:t>10.98</w:t>
            </w:r>
          </w:p>
        </w:tc>
        <w:tc>
          <w:tcPr>
            <w:tcW w:w="716" w:type="dxa"/>
            <w:tcBorders>
              <w:tl2br w:val="nil"/>
              <w:tr2bl w:val="nil"/>
            </w:tcBorders>
            <w:shd w:val="clear" w:color="auto" w:fill="auto"/>
            <w:vAlign w:val="center"/>
          </w:tcPr>
          <w:p w14:paraId="46F4BF65">
            <w:pPr>
              <w:widowControl/>
              <w:spacing w:line="400" w:lineRule="exact"/>
              <w:jc w:val="center"/>
              <w:rPr>
                <w:sz w:val="21"/>
                <w:szCs w:val="21"/>
                <w:lang w:eastAsia="en-US"/>
              </w:rPr>
            </w:pPr>
            <w:r>
              <w:rPr>
                <w:sz w:val="21"/>
                <w:szCs w:val="21"/>
                <w:lang w:eastAsia="en-US"/>
              </w:rPr>
              <w:t>达标</w:t>
            </w:r>
          </w:p>
        </w:tc>
      </w:tr>
      <w:tr w14:paraId="6C6B66A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C31F8A9">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5D7374AF">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554D4A7E">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6BB69C36">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04658D3">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DBEA7F7">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w:t>
            </w:r>
          </w:p>
        </w:tc>
        <w:tc>
          <w:tcPr>
            <w:tcW w:w="1182" w:type="dxa"/>
            <w:tcBorders>
              <w:tl2br w:val="nil"/>
              <w:tr2bl w:val="nil"/>
            </w:tcBorders>
            <w:shd w:val="clear" w:color="auto" w:fill="auto"/>
            <w:vAlign w:val="center"/>
          </w:tcPr>
          <w:p w14:paraId="7D73F849">
            <w:pPr>
              <w:widowControl w:val="0"/>
              <w:spacing w:line="400" w:lineRule="exact"/>
              <w:jc w:val="center"/>
              <w:rPr>
                <w:sz w:val="21"/>
                <w:szCs w:val="21"/>
                <w:lang w:eastAsia="en-US"/>
              </w:rPr>
            </w:pPr>
            <w:r>
              <w:rPr>
                <w:sz w:val="21"/>
                <w:szCs w:val="21"/>
                <w:lang w:eastAsia="en-US"/>
              </w:rPr>
              <w:t>0.0111</w:t>
            </w:r>
          </w:p>
        </w:tc>
        <w:tc>
          <w:tcPr>
            <w:tcW w:w="914" w:type="dxa"/>
            <w:tcBorders>
              <w:tl2br w:val="nil"/>
              <w:tr2bl w:val="nil"/>
            </w:tcBorders>
            <w:shd w:val="clear" w:color="auto" w:fill="auto"/>
            <w:vAlign w:val="center"/>
          </w:tcPr>
          <w:p w14:paraId="54F12C96">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F30EAFA">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705CD6C5">
            <w:pPr>
              <w:widowControl/>
              <w:spacing w:line="400" w:lineRule="exact"/>
              <w:jc w:val="center"/>
              <w:rPr>
                <w:sz w:val="21"/>
                <w:szCs w:val="21"/>
                <w:lang w:eastAsia="en-US"/>
              </w:rPr>
            </w:pPr>
            <w:r>
              <w:rPr>
                <w:rFonts w:hint="eastAsia"/>
                <w:sz w:val="21"/>
                <w:szCs w:val="21"/>
                <w:lang w:eastAsia="en-US"/>
              </w:rPr>
              <w:t>/</w:t>
            </w:r>
          </w:p>
        </w:tc>
      </w:tr>
      <w:tr w14:paraId="2904575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36D4B1F">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BD30E1E">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39C976FF">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7CF0AF1E">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058217F4">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F6F0636">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03038F7">
            <w:pPr>
              <w:widowControl w:val="0"/>
              <w:spacing w:line="400" w:lineRule="exact"/>
              <w:jc w:val="center"/>
              <w:rPr>
                <w:sz w:val="21"/>
                <w:szCs w:val="21"/>
                <w:lang w:eastAsia="en-US"/>
              </w:rPr>
            </w:pPr>
            <w:r>
              <w:rPr>
                <w:sz w:val="21"/>
                <w:szCs w:val="21"/>
                <w:lang w:eastAsia="en-US"/>
              </w:rPr>
              <w:t>0.0010</w:t>
            </w:r>
          </w:p>
        </w:tc>
        <w:tc>
          <w:tcPr>
            <w:tcW w:w="914" w:type="dxa"/>
            <w:tcBorders>
              <w:tl2br w:val="nil"/>
              <w:tr2bl w:val="nil"/>
            </w:tcBorders>
            <w:shd w:val="clear" w:color="auto" w:fill="auto"/>
            <w:vAlign w:val="center"/>
          </w:tcPr>
          <w:p w14:paraId="77D6EE7C">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8765E39">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55DD5CAA">
            <w:pPr>
              <w:widowControl/>
              <w:spacing w:line="400" w:lineRule="exact"/>
              <w:jc w:val="center"/>
              <w:rPr>
                <w:sz w:val="21"/>
                <w:szCs w:val="21"/>
                <w:lang w:eastAsia="en-US"/>
              </w:rPr>
            </w:pPr>
            <w:r>
              <w:rPr>
                <w:rFonts w:hint="eastAsia"/>
                <w:sz w:val="21"/>
                <w:szCs w:val="21"/>
                <w:lang w:eastAsia="en-US"/>
              </w:rPr>
              <w:t>/</w:t>
            </w:r>
          </w:p>
        </w:tc>
      </w:tr>
      <w:tr w14:paraId="0B73F0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74FB929">
            <w:pPr>
              <w:widowControl/>
              <w:spacing w:line="400" w:lineRule="exact"/>
              <w:jc w:val="center"/>
              <w:rPr>
                <w:sz w:val="21"/>
                <w:szCs w:val="21"/>
                <w:lang w:eastAsia="en-US"/>
              </w:rPr>
            </w:pPr>
            <w:r>
              <w:rPr>
                <w:rFonts w:hint="eastAsia"/>
                <w:sz w:val="21"/>
                <w:szCs w:val="21"/>
                <w:lang w:eastAsia="en-US"/>
              </w:rPr>
              <w:t>21</w:t>
            </w:r>
          </w:p>
        </w:tc>
        <w:tc>
          <w:tcPr>
            <w:tcW w:w="1145" w:type="dxa"/>
            <w:vMerge w:val="restart"/>
            <w:tcBorders>
              <w:tl2br w:val="nil"/>
              <w:tr2bl w:val="nil"/>
            </w:tcBorders>
            <w:shd w:val="clear" w:color="auto" w:fill="auto"/>
            <w:vAlign w:val="center"/>
          </w:tcPr>
          <w:p w14:paraId="5C0A74B9">
            <w:pPr>
              <w:widowControl/>
              <w:spacing w:line="400" w:lineRule="exact"/>
              <w:jc w:val="center"/>
              <w:rPr>
                <w:sz w:val="21"/>
                <w:szCs w:val="21"/>
                <w:lang w:eastAsia="zh-CN"/>
              </w:rPr>
            </w:pPr>
            <w:r>
              <w:rPr>
                <w:sz w:val="21"/>
                <w:szCs w:val="21"/>
                <w:lang w:eastAsia="zh-CN"/>
              </w:rPr>
              <w:t>西北侧湘潭县居民居住集中区</w:t>
            </w:r>
          </w:p>
        </w:tc>
        <w:tc>
          <w:tcPr>
            <w:tcW w:w="737" w:type="dxa"/>
            <w:vMerge w:val="restart"/>
            <w:tcBorders>
              <w:tl2br w:val="nil"/>
              <w:tr2bl w:val="nil"/>
            </w:tcBorders>
            <w:shd w:val="clear" w:color="auto" w:fill="auto"/>
            <w:vAlign w:val="center"/>
          </w:tcPr>
          <w:p w14:paraId="1C621A40">
            <w:pPr>
              <w:widowControl/>
              <w:spacing w:line="400" w:lineRule="exact"/>
              <w:jc w:val="center"/>
              <w:rPr>
                <w:sz w:val="21"/>
                <w:szCs w:val="21"/>
                <w:lang w:eastAsia="en-US"/>
              </w:rPr>
            </w:pPr>
            <w:r>
              <w:rPr>
                <w:rFonts w:hint="eastAsia"/>
                <w:sz w:val="21"/>
                <w:szCs w:val="21"/>
                <w:lang w:eastAsia="en-US"/>
              </w:rPr>
              <w:t>-1045</w:t>
            </w:r>
          </w:p>
        </w:tc>
        <w:tc>
          <w:tcPr>
            <w:tcW w:w="647" w:type="dxa"/>
            <w:vMerge w:val="restart"/>
            <w:tcBorders>
              <w:tl2br w:val="nil"/>
              <w:tr2bl w:val="nil"/>
            </w:tcBorders>
            <w:shd w:val="clear" w:color="auto" w:fill="auto"/>
            <w:vAlign w:val="center"/>
          </w:tcPr>
          <w:p w14:paraId="645624EB">
            <w:pPr>
              <w:widowControl/>
              <w:spacing w:line="400" w:lineRule="exact"/>
              <w:jc w:val="center"/>
              <w:rPr>
                <w:sz w:val="21"/>
                <w:szCs w:val="21"/>
                <w:lang w:eastAsia="en-US"/>
              </w:rPr>
            </w:pPr>
            <w:r>
              <w:rPr>
                <w:rFonts w:hint="eastAsia"/>
                <w:sz w:val="21"/>
                <w:szCs w:val="21"/>
                <w:lang w:eastAsia="en-US"/>
              </w:rPr>
              <w:t>1765</w:t>
            </w:r>
          </w:p>
        </w:tc>
        <w:tc>
          <w:tcPr>
            <w:tcW w:w="914" w:type="dxa"/>
            <w:tcBorders>
              <w:tl2br w:val="nil"/>
              <w:tr2bl w:val="nil"/>
            </w:tcBorders>
            <w:shd w:val="clear" w:color="auto" w:fill="auto"/>
            <w:vAlign w:val="center"/>
          </w:tcPr>
          <w:p w14:paraId="5D65FB87">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3C4362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081603</w:t>
            </w:r>
          </w:p>
        </w:tc>
        <w:tc>
          <w:tcPr>
            <w:tcW w:w="1182" w:type="dxa"/>
            <w:tcBorders>
              <w:tl2br w:val="nil"/>
              <w:tr2bl w:val="nil"/>
            </w:tcBorders>
            <w:shd w:val="clear" w:color="auto" w:fill="auto"/>
            <w:vAlign w:val="center"/>
          </w:tcPr>
          <w:p w14:paraId="278539B1">
            <w:pPr>
              <w:widowControl w:val="0"/>
              <w:spacing w:line="400" w:lineRule="exact"/>
              <w:jc w:val="center"/>
              <w:rPr>
                <w:sz w:val="21"/>
                <w:szCs w:val="21"/>
                <w:lang w:eastAsia="en-US"/>
              </w:rPr>
            </w:pPr>
            <w:r>
              <w:rPr>
                <w:sz w:val="21"/>
                <w:szCs w:val="21"/>
                <w:lang w:eastAsia="en-US"/>
              </w:rPr>
              <w:t>0.1487</w:t>
            </w:r>
          </w:p>
        </w:tc>
        <w:tc>
          <w:tcPr>
            <w:tcW w:w="914" w:type="dxa"/>
            <w:tcBorders>
              <w:tl2br w:val="nil"/>
              <w:tr2bl w:val="nil"/>
            </w:tcBorders>
            <w:shd w:val="clear" w:color="auto" w:fill="auto"/>
            <w:vAlign w:val="center"/>
          </w:tcPr>
          <w:p w14:paraId="2BF8151D">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799A62FF">
            <w:pPr>
              <w:widowControl w:val="0"/>
              <w:spacing w:line="400" w:lineRule="exact"/>
              <w:jc w:val="center"/>
              <w:rPr>
                <w:sz w:val="21"/>
                <w:szCs w:val="21"/>
                <w:lang w:eastAsia="en-US"/>
              </w:rPr>
            </w:pPr>
            <w:r>
              <w:rPr>
                <w:sz w:val="21"/>
                <w:szCs w:val="21"/>
                <w:lang w:eastAsia="en-US"/>
              </w:rPr>
              <w:t>12.39</w:t>
            </w:r>
          </w:p>
        </w:tc>
        <w:tc>
          <w:tcPr>
            <w:tcW w:w="716" w:type="dxa"/>
            <w:tcBorders>
              <w:tl2br w:val="nil"/>
              <w:tr2bl w:val="nil"/>
            </w:tcBorders>
            <w:shd w:val="clear" w:color="auto" w:fill="auto"/>
            <w:vAlign w:val="center"/>
          </w:tcPr>
          <w:p w14:paraId="19351A7B">
            <w:pPr>
              <w:widowControl/>
              <w:spacing w:line="400" w:lineRule="exact"/>
              <w:jc w:val="center"/>
              <w:rPr>
                <w:sz w:val="21"/>
                <w:szCs w:val="21"/>
                <w:lang w:eastAsia="en-US"/>
              </w:rPr>
            </w:pPr>
            <w:r>
              <w:rPr>
                <w:sz w:val="21"/>
                <w:szCs w:val="21"/>
                <w:lang w:eastAsia="en-US"/>
              </w:rPr>
              <w:t>达标</w:t>
            </w:r>
          </w:p>
        </w:tc>
      </w:tr>
      <w:tr w14:paraId="4CA9D9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7A475C2">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FF103A5">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2804EE8C">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0313C049">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20448D54">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05697B2">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1127</w:t>
            </w:r>
          </w:p>
        </w:tc>
        <w:tc>
          <w:tcPr>
            <w:tcW w:w="1182" w:type="dxa"/>
            <w:tcBorders>
              <w:tl2br w:val="nil"/>
              <w:tr2bl w:val="nil"/>
            </w:tcBorders>
            <w:shd w:val="clear" w:color="auto" w:fill="auto"/>
            <w:vAlign w:val="center"/>
          </w:tcPr>
          <w:p w14:paraId="2935F105">
            <w:pPr>
              <w:widowControl w:val="0"/>
              <w:spacing w:line="400" w:lineRule="exact"/>
              <w:jc w:val="center"/>
              <w:rPr>
                <w:sz w:val="21"/>
                <w:szCs w:val="21"/>
                <w:lang w:eastAsia="en-US"/>
              </w:rPr>
            </w:pPr>
            <w:r>
              <w:rPr>
                <w:sz w:val="21"/>
                <w:szCs w:val="21"/>
                <w:lang w:eastAsia="en-US"/>
              </w:rPr>
              <w:t>0.0092</w:t>
            </w:r>
          </w:p>
        </w:tc>
        <w:tc>
          <w:tcPr>
            <w:tcW w:w="914" w:type="dxa"/>
            <w:tcBorders>
              <w:tl2br w:val="nil"/>
              <w:tr2bl w:val="nil"/>
            </w:tcBorders>
            <w:shd w:val="clear" w:color="auto" w:fill="auto"/>
            <w:vAlign w:val="center"/>
          </w:tcPr>
          <w:p w14:paraId="3DD76555">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22DF817B">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542EC908">
            <w:pPr>
              <w:widowControl/>
              <w:spacing w:line="400" w:lineRule="exact"/>
              <w:jc w:val="center"/>
              <w:rPr>
                <w:sz w:val="21"/>
                <w:szCs w:val="21"/>
                <w:lang w:eastAsia="en-US"/>
              </w:rPr>
            </w:pPr>
            <w:r>
              <w:rPr>
                <w:rFonts w:hint="eastAsia"/>
                <w:sz w:val="21"/>
                <w:szCs w:val="21"/>
                <w:lang w:eastAsia="en-US"/>
              </w:rPr>
              <w:t>/</w:t>
            </w:r>
          </w:p>
        </w:tc>
      </w:tr>
      <w:tr w14:paraId="11FFE45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6C30003">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7B4644A2">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9C91288">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3BB6F6EE">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5699781B">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C8B14E6">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A83FD31">
            <w:pPr>
              <w:widowControl w:val="0"/>
              <w:spacing w:line="400" w:lineRule="exact"/>
              <w:jc w:val="center"/>
              <w:rPr>
                <w:sz w:val="21"/>
                <w:szCs w:val="21"/>
                <w:lang w:eastAsia="en-US"/>
              </w:rPr>
            </w:pPr>
            <w:r>
              <w:rPr>
                <w:sz w:val="21"/>
                <w:szCs w:val="21"/>
                <w:lang w:eastAsia="en-US"/>
              </w:rPr>
              <w:t>0.0004</w:t>
            </w:r>
          </w:p>
        </w:tc>
        <w:tc>
          <w:tcPr>
            <w:tcW w:w="914" w:type="dxa"/>
            <w:tcBorders>
              <w:tl2br w:val="nil"/>
              <w:tr2bl w:val="nil"/>
            </w:tcBorders>
            <w:shd w:val="clear" w:color="auto" w:fill="auto"/>
            <w:vAlign w:val="center"/>
          </w:tcPr>
          <w:p w14:paraId="14850B41">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542846F0">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65D7DCC9">
            <w:pPr>
              <w:widowControl/>
              <w:spacing w:line="400" w:lineRule="exact"/>
              <w:jc w:val="center"/>
              <w:rPr>
                <w:sz w:val="21"/>
                <w:szCs w:val="21"/>
                <w:lang w:eastAsia="en-US"/>
              </w:rPr>
            </w:pPr>
            <w:r>
              <w:rPr>
                <w:rFonts w:hint="eastAsia"/>
                <w:sz w:val="21"/>
                <w:szCs w:val="21"/>
                <w:lang w:eastAsia="en-US"/>
              </w:rPr>
              <w:t>/</w:t>
            </w:r>
          </w:p>
        </w:tc>
      </w:tr>
      <w:tr w14:paraId="5914BCE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34D9D8A">
            <w:pPr>
              <w:widowControl/>
              <w:spacing w:line="400" w:lineRule="exact"/>
              <w:jc w:val="center"/>
              <w:rPr>
                <w:sz w:val="21"/>
                <w:szCs w:val="21"/>
                <w:lang w:eastAsia="en-US"/>
              </w:rPr>
            </w:pPr>
            <w:r>
              <w:rPr>
                <w:rFonts w:hint="eastAsia"/>
                <w:sz w:val="21"/>
                <w:szCs w:val="21"/>
                <w:lang w:eastAsia="en-US"/>
              </w:rPr>
              <w:t>22</w:t>
            </w:r>
          </w:p>
        </w:tc>
        <w:tc>
          <w:tcPr>
            <w:tcW w:w="1145" w:type="dxa"/>
            <w:vMerge w:val="restart"/>
            <w:tcBorders>
              <w:tl2br w:val="nil"/>
              <w:tr2bl w:val="nil"/>
            </w:tcBorders>
            <w:shd w:val="clear" w:color="auto" w:fill="auto"/>
            <w:vAlign w:val="center"/>
          </w:tcPr>
          <w:p w14:paraId="2DE7B4DA">
            <w:pPr>
              <w:widowControl/>
              <w:spacing w:line="400" w:lineRule="exact"/>
              <w:jc w:val="center"/>
              <w:rPr>
                <w:sz w:val="21"/>
                <w:szCs w:val="21"/>
                <w:lang w:eastAsia="en-US"/>
              </w:rPr>
            </w:pPr>
            <w:r>
              <w:rPr>
                <w:rFonts w:hint="eastAsia"/>
                <w:sz w:val="21"/>
                <w:szCs w:val="21"/>
                <w:lang w:eastAsia="en-US"/>
              </w:rPr>
              <w:t>湘潭县环境监测点</w:t>
            </w:r>
          </w:p>
        </w:tc>
        <w:tc>
          <w:tcPr>
            <w:tcW w:w="737" w:type="dxa"/>
            <w:vMerge w:val="restart"/>
            <w:tcBorders>
              <w:tl2br w:val="nil"/>
              <w:tr2bl w:val="nil"/>
            </w:tcBorders>
            <w:shd w:val="clear" w:color="auto" w:fill="auto"/>
            <w:vAlign w:val="center"/>
          </w:tcPr>
          <w:p w14:paraId="169986E4">
            <w:pPr>
              <w:widowControl/>
              <w:spacing w:line="400" w:lineRule="exact"/>
              <w:jc w:val="center"/>
              <w:rPr>
                <w:sz w:val="21"/>
                <w:szCs w:val="21"/>
                <w:lang w:eastAsia="en-US"/>
              </w:rPr>
            </w:pPr>
            <w:r>
              <w:rPr>
                <w:rFonts w:hint="eastAsia"/>
                <w:sz w:val="21"/>
                <w:szCs w:val="21"/>
                <w:lang w:eastAsia="en-US"/>
              </w:rPr>
              <w:t>-1271</w:t>
            </w:r>
          </w:p>
        </w:tc>
        <w:tc>
          <w:tcPr>
            <w:tcW w:w="647" w:type="dxa"/>
            <w:vMerge w:val="restart"/>
            <w:tcBorders>
              <w:tl2br w:val="nil"/>
              <w:tr2bl w:val="nil"/>
            </w:tcBorders>
            <w:shd w:val="clear" w:color="auto" w:fill="auto"/>
            <w:vAlign w:val="center"/>
          </w:tcPr>
          <w:p w14:paraId="6334C9BA">
            <w:pPr>
              <w:widowControl/>
              <w:spacing w:line="400" w:lineRule="exact"/>
              <w:jc w:val="center"/>
              <w:rPr>
                <w:sz w:val="21"/>
                <w:szCs w:val="21"/>
                <w:lang w:eastAsia="en-US"/>
              </w:rPr>
            </w:pPr>
            <w:r>
              <w:rPr>
                <w:rFonts w:hint="eastAsia"/>
                <w:sz w:val="21"/>
                <w:szCs w:val="21"/>
                <w:lang w:eastAsia="en-US"/>
              </w:rPr>
              <w:t>1231</w:t>
            </w:r>
          </w:p>
        </w:tc>
        <w:tc>
          <w:tcPr>
            <w:tcW w:w="914" w:type="dxa"/>
            <w:tcBorders>
              <w:tl2br w:val="nil"/>
              <w:tr2bl w:val="nil"/>
            </w:tcBorders>
            <w:shd w:val="clear" w:color="auto" w:fill="auto"/>
            <w:vAlign w:val="center"/>
          </w:tcPr>
          <w:p w14:paraId="62514C82">
            <w:pPr>
              <w:widowControl/>
              <w:spacing w:line="400" w:lineRule="exact"/>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E081898">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082003</w:t>
            </w:r>
          </w:p>
        </w:tc>
        <w:tc>
          <w:tcPr>
            <w:tcW w:w="1182" w:type="dxa"/>
            <w:tcBorders>
              <w:tl2br w:val="nil"/>
              <w:tr2bl w:val="nil"/>
            </w:tcBorders>
            <w:shd w:val="clear" w:color="auto" w:fill="auto"/>
            <w:vAlign w:val="center"/>
          </w:tcPr>
          <w:p w14:paraId="75388E0F">
            <w:pPr>
              <w:widowControl w:val="0"/>
              <w:spacing w:line="400" w:lineRule="exact"/>
              <w:jc w:val="center"/>
              <w:rPr>
                <w:sz w:val="21"/>
                <w:szCs w:val="21"/>
                <w:lang w:eastAsia="en-US"/>
              </w:rPr>
            </w:pPr>
            <w:r>
              <w:rPr>
                <w:sz w:val="21"/>
                <w:szCs w:val="21"/>
                <w:lang w:eastAsia="en-US"/>
              </w:rPr>
              <w:t>0.0871</w:t>
            </w:r>
          </w:p>
        </w:tc>
        <w:tc>
          <w:tcPr>
            <w:tcW w:w="914" w:type="dxa"/>
            <w:tcBorders>
              <w:tl2br w:val="nil"/>
              <w:tr2bl w:val="nil"/>
            </w:tcBorders>
            <w:shd w:val="clear" w:color="auto" w:fill="auto"/>
            <w:vAlign w:val="center"/>
          </w:tcPr>
          <w:p w14:paraId="723A29BE">
            <w:pPr>
              <w:widowControl/>
              <w:spacing w:line="400" w:lineRule="exact"/>
              <w:jc w:val="center"/>
              <w:rPr>
                <w:sz w:val="21"/>
                <w:szCs w:val="21"/>
                <w:lang w:eastAsia="en-US"/>
              </w:rPr>
            </w:pPr>
            <w:r>
              <w:rPr>
                <w:rFonts w:hint="eastAsia"/>
                <w:sz w:val="21"/>
                <w:szCs w:val="21"/>
                <w:lang w:eastAsia="en-US"/>
              </w:rPr>
              <w:t>1.2</w:t>
            </w:r>
          </w:p>
        </w:tc>
        <w:tc>
          <w:tcPr>
            <w:tcW w:w="784" w:type="dxa"/>
            <w:tcBorders>
              <w:tl2br w:val="nil"/>
              <w:tr2bl w:val="nil"/>
            </w:tcBorders>
            <w:shd w:val="clear" w:color="auto" w:fill="auto"/>
            <w:vAlign w:val="center"/>
          </w:tcPr>
          <w:p w14:paraId="2A659591">
            <w:pPr>
              <w:widowControl w:val="0"/>
              <w:spacing w:line="400" w:lineRule="exact"/>
              <w:jc w:val="center"/>
              <w:rPr>
                <w:sz w:val="21"/>
                <w:szCs w:val="21"/>
                <w:lang w:eastAsia="en-US"/>
              </w:rPr>
            </w:pPr>
            <w:r>
              <w:rPr>
                <w:sz w:val="21"/>
                <w:szCs w:val="21"/>
                <w:lang w:eastAsia="en-US"/>
              </w:rPr>
              <w:t>7.26</w:t>
            </w:r>
          </w:p>
        </w:tc>
        <w:tc>
          <w:tcPr>
            <w:tcW w:w="716" w:type="dxa"/>
            <w:tcBorders>
              <w:tl2br w:val="nil"/>
              <w:tr2bl w:val="nil"/>
            </w:tcBorders>
            <w:shd w:val="clear" w:color="auto" w:fill="auto"/>
            <w:vAlign w:val="center"/>
          </w:tcPr>
          <w:p w14:paraId="1317CED9">
            <w:pPr>
              <w:widowControl/>
              <w:spacing w:line="400" w:lineRule="exact"/>
              <w:jc w:val="center"/>
              <w:rPr>
                <w:sz w:val="21"/>
                <w:szCs w:val="21"/>
                <w:lang w:eastAsia="en-US"/>
              </w:rPr>
            </w:pPr>
            <w:r>
              <w:rPr>
                <w:sz w:val="21"/>
                <w:szCs w:val="21"/>
                <w:lang w:eastAsia="en-US"/>
              </w:rPr>
              <w:t>达标</w:t>
            </w:r>
          </w:p>
        </w:tc>
      </w:tr>
      <w:tr w14:paraId="026A64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3077EA7">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1B6710D1">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4BFAC2F9">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22C62C30">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1A16E8E8">
            <w:pPr>
              <w:widowControl/>
              <w:spacing w:line="400" w:lineRule="exact"/>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403AB76">
            <w:pPr>
              <w:widowControl w:val="0"/>
              <w:spacing w:line="400" w:lineRule="exact"/>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1127</w:t>
            </w:r>
          </w:p>
        </w:tc>
        <w:tc>
          <w:tcPr>
            <w:tcW w:w="1182" w:type="dxa"/>
            <w:tcBorders>
              <w:tl2br w:val="nil"/>
              <w:tr2bl w:val="nil"/>
            </w:tcBorders>
            <w:shd w:val="clear" w:color="auto" w:fill="auto"/>
            <w:vAlign w:val="center"/>
          </w:tcPr>
          <w:p w14:paraId="382B755C">
            <w:pPr>
              <w:widowControl w:val="0"/>
              <w:spacing w:line="400" w:lineRule="exact"/>
              <w:jc w:val="center"/>
              <w:rPr>
                <w:sz w:val="21"/>
                <w:szCs w:val="21"/>
                <w:lang w:eastAsia="en-US"/>
              </w:rPr>
            </w:pPr>
            <w:r>
              <w:rPr>
                <w:sz w:val="21"/>
                <w:szCs w:val="21"/>
                <w:lang w:eastAsia="en-US"/>
              </w:rPr>
              <w:t>0.0070</w:t>
            </w:r>
          </w:p>
        </w:tc>
        <w:tc>
          <w:tcPr>
            <w:tcW w:w="914" w:type="dxa"/>
            <w:tcBorders>
              <w:tl2br w:val="nil"/>
              <w:tr2bl w:val="nil"/>
            </w:tcBorders>
            <w:shd w:val="clear" w:color="auto" w:fill="auto"/>
            <w:vAlign w:val="center"/>
          </w:tcPr>
          <w:p w14:paraId="5C2741C6">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C0B0998">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292436AE">
            <w:pPr>
              <w:widowControl/>
              <w:spacing w:line="400" w:lineRule="exact"/>
              <w:jc w:val="center"/>
              <w:rPr>
                <w:sz w:val="21"/>
                <w:szCs w:val="21"/>
                <w:lang w:eastAsia="en-US"/>
              </w:rPr>
            </w:pPr>
            <w:r>
              <w:rPr>
                <w:rFonts w:hint="eastAsia"/>
                <w:sz w:val="21"/>
                <w:szCs w:val="21"/>
                <w:lang w:eastAsia="en-US"/>
              </w:rPr>
              <w:t>/</w:t>
            </w:r>
          </w:p>
        </w:tc>
      </w:tr>
      <w:tr w14:paraId="7AA2AF8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98FB11B">
            <w:pPr>
              <w:widowControl/>
              <w:spacing w:line="400" w:lineRule="exact"/>
              <w:jc w:val="center"/>
              <w:rPr>
                <w:sz w:val="21"/>
                <w:szCs w:val="21"/>
                <w:lang w:eastAsia="en-US"/>
              </w:rPr>
            </w:pPr>
          </w:p>
        </w:tc>
        <w:tc>
          <w:tcPr>
            <w:tcW w:w="1145" w:type="dxa"/>
            <w:vMerge w:val="continue"/>
            <w:tcBorders>
              <w:tl2br w:val="nil"/>
              <w:tr2bl w:val="nil"/>
            </w:tcBorders>
            <w:shd w:val="clear" w:color="auto" w:fill="auto"/>
            <w:vAlign w:val="center"/>
          </w:tcPr>
          <w:p w14:paraId="4A2EC010">
            <w:pPr>
              <w:widowControl/>
              <w:spacing w:line="400" w:lineRule="exact"/>
              <w:jc w:val="center"/>
              <w:rPr>
                <w:sz w:val="21"/>
                <w:szCs w:val="21"/>
                <w:lang w:eastAsia="en-US"/>
              </w:rPr>
            </w:pPr>
          </w:p>
        </w:tc>
        <w:tc>
          <w:tcPr>
            <w:tcW w:w="737" w:type="dxa"/>
            <w:vMerge w:val="continue"/>
            <w:tcBorders>
              <w:tl2br w:val="nil"/>
              <w:tr2bl w:val="nil"/>
            </w:tcBorders>
            <w:shd w:val="clear" w:color="auto" w:fill="auto"/>
            <w:vAlign w:val="center"/>
          </w:tcPr>
          <w:p w14:paraId="124A1490">
            <w:pPr>
              <w:widowControl/>
              <w:spacing w:line="400" w:lineRule="exact"/>
              <w:jc w:val="center"/>
              <w:rPr>
                <w:sz w:val="21"/>
                <w:szCs w:val="21"/>
                <w:lang w:eastAsia="en-US"/>
              </w:rPr>
            </w:pPr>
          </w:p>
        </w:tc>
        <w:tc>
          <w:tcPr>
            <w:tcW w:w="647" w:type="dxa"/>
            <w:vMerge w:val="continue"/>
            <w:tcBorders>
              <w:tl2br w:val="nil"/>
              <w:tr2bl w:val="nil"/>
            </w:tcBorders>
            <w:shd w:val="clear" w:color="auto" w:fill="auto"/>
            <w:vAlign w:val="center"/>
          </w:tcPr>
          <w:p w14:paraId="622CE76D">
            <w:pPr>
              <w:widowControl/>
              <w:spacing w:line="400" w:lineRule="exact"/>
              <w:jc w:val="center"/>
              <w:rPr>
                <w:sz w:val="21"/>
                <w:szCs w:val="21"/>
                <w:lang w:eastAsia="en-US"/>
              </w:rPr>
            </w:pPr>
          </w:p>
        </w:tc>
        <w:tc>
          <w:tcPr>
            <w:tcW w:w="914" w:type="dxa"/>
            <w:tcBorders>
              <w:tl2br w:val="nil"/>
              <w:tr2bl w:val="nil"/>
            </w:tcBorders>
            <w:shd w:val="clear" w:color="auto" w:fill="auto"/>
            <w:vAlign w:val="center"/>
          </w:tcPr>
          <w:p w14:paraId="3895E4D8">
            <w:pPr>
              <w:widowControl/>
              <w:spacing w:line="400" w:lineRule="exact"/>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0A8F4F8">
            <w:pPr>
              <w:widowControl w:val="0"/>
              <w:spacing w:line="400" w:lineRule="exact"/>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88DFA62">
            <w:pPr>
              <w:widowControl w:val="0"/>
              <w:spacing w:line="400" w:lineRule="exact"/>
              <w:jc w:val="center"/>
              <w:rPr>
                <w:sz w:val="21"/>
                <w:szCs w:val="21"/>
                <w:lang w:eastAsia="en-US"/>
              </w:rPr>
            </w:pPr>
            <w:r>
              <w:rPr>
                <w:sz w:val="21"/>
                <w:szCs w:val="21"/>
                <w:lang w:eastAsia="en-US"/>
              </w:rPr>
              <w:t>0.0003</w:t>
            </w:r>
          </w:p>
        </w:tc>
        <w:tc>
          <w:tcPr>
            <w:tcW w:w="914" w:type="dxa"/>
            <w:tcBorders>
              <w:tl2br w:val="nil"/>
              <w:tr2bl w:val="nil"/>
            </w:tcBorders>
            <w:shd w:val="clear" w:color="auto" w:fill="auto"/>
            <w:vAlign w:val="center"/>
          </w:tcPr>
          <w:p w14:paraId="081FCB4E">
            <w:pPr>
              <w:widowControl/>
              <w:spacing w:line="400" w:lineRule="exact"/>
              <w:jc w:val="center"/>
              <w:rPr>
                <w:sz w:val="21"/>
                <w:szCs w:val="21"/>
                <w:lang w:eastAsia="en-US"/>
              </w:rPr>
            </w:pPr>
            <w:r>
              <w:rPr>
                <w:rFonts w:hint="eastAsia"/>
                <w:sz w:val="21"/>
                <w:szCs w:val="21"/>
                <w:lang w:eastAsia="en-US"/>
              </w:rPr>
              <w:t>0.0</w:t>
            </w:r>
          </w:p>
        </w:tc>
        <w:tc>
          <w:tcPr>
            <w:tcW w:w="784" w:type="dxa"/>
            <w:tcBorders>
              <w:tl2br w:val="nil"/>
              <w:tr2bl w:val="nil"/>
            </w:tcBorders>
            <w:shd w:val="clear" w:color="auto" w:fill="auto"/>
            <w:vAlign w:val="center"/>
          </w:tcPr>
          <w:p w14:paraId="125EA44D">
            <w:pPr>
              <w:widowControl w:val="0"/>
              <w:spacing w:line="400" w:lineRule="exact"/>
              <w:jc w:val="center"/>
              <w:rPr>
                <w:sz w:val="21"/>
                <w:szCs w:val="21"/>
                <w:lang w:eastAsia="en-US"/>
              </w:rPr>
            </w:pPr>
            <w:r>
              <w:rPr>
                <w:rFonts w:hint="eastAsia"/>
                <w:sz w:val="21"/>
                <w:szCs w:val="21"/>
                <w:lang w:eastAsia="en-US"/>
              </w:rPr>
              <w:t>无标准</w:t>
            </w:r>
          </w:p>
        </w:tc>
        <w:tc>
          <w:tcPr>
            <w:tcW w:w="716" w:type="dxa"/>
            <w:tcBorders>
              <w:tl2br w:val="nil"/>
              <w:tr2bl w:val="nil"/>
            </w:tcBorders>
            <w:shd w:val="clear" w:color="auto" w:fill="auto"/>
            <w:vAlign w:val="center"/>
          </w:tcPr>
          <w:p w14:paraId="7EBF4928">
            <w:pPr>
              <w:widowControl/>
              <w:spacing w:line="400" w:lineRule="exact"/>
              <w:jc w:val="center"/>
              <w:rPr>
                <w:sz w:val="21"/>
                <w:szCs w:val="21"/>
                <w:lang w:eastAsia="en-US"/>
              </w:rPr>
            </w:pPr>
            <w:r>
              <w:rPr>
                <w:rFonts w:hint="eastAsia"/>
                <w:sz w:val="21"/>
                <w:szCs w:val="21"/>
                <w:lang w:eastAsia="en-US"/>
              </w:rPr>
              <w:t>/</w:t>
            </w:r>
          </w:p>
        </w:tc>
      </w:tr>
    </w:tbl>
    <w:p w14:paraId="41B525DC">
      <w:pPr>
        <w:ind w:firstLine="480"/>
        <w:jc w:val="center"/>
        <w:rPr>
          <w:u w:val="single"/>
        </w:rPr>
      </w:pPr>
    </w:p>
    <w:p w14:paraId="1FCBF17B">
      <w:pPr>
        <w:ind w:firstLine="480"/>
        <w:jc w:val="center"/>
        <w:rPr>
          <w:u w:val="single"/>
        </w:rPr>
      </w:pPr>
    </w:p>
    <w:p w14:paraId="6114CF33">
      <w:pPr>
        <w:ind w:firstLine="480"/>
        <w:jc w:val="center"/>
        <w:rPr>
          <w:u w:val="single"/>
        </w:rPr>
      </w:pPr>
    </w:p>
    <w:p w14:paraId="7CDD1E3B">
      <w:pPr>
        <w:ind w:firstLine="480"/>
        <w:jc w:val="center"/>
        <w:rPr>
          <w:u w:val="single"/>
        </w:rPr>
      </w:pPr>
    </w:p>
    <w:p w14:paraId="4515DE2D">
      <w:pPr>
        <w:ind w:firstLine="480"/>
        <w:jc w:val="center"/>
        <w:rPr>
          <w:u w:val="single"/>
        </w:rPr>
      </w:pPr>
      <w:r>
        <w:pict>
          <v:shape id="_x0000_s1167" o:spid="_x0000_s1167" o:spt="75" type="#_x0000_t75" style="position:absolute;left:0pt;margin-left:17.65pt;margin-top:-8.4pt;height:301.85pt;width:365.35pt;mso-position-horizontal-relative:margin;mso-position-vertical-relative:margin;mso-wrap-distance-bottom:0pt;mso-wrap-distance-left:9pt;mso-wrap-distance-right:9pt;mso-wrap-distance-top:0pt;z-index:251680768;mso-width-relative:page;mso-height-relative:page;" filled="f" o:preferrelative="t" stroked="f" coordsize="21600,21600">
            <v:path/>
            <v:fill on="f" focussize="0,0"/>
            <v:stroke on="f" joinstyle="miter"/>
            <v:imagedata r:id="rId61" o:title="TVOCs小时"/>
            <o:lock v:ext="edit" aspectratio="t"/>
            <w10:wrap type="square"/>
          </v:shape>
        </w:pict>
      </w:r>
    </w:p>
    <w:p w14:paraId="04186C71">
      <w:pPr>
        <w:ind w:firstLine="480"/>
        <w:jc w:val="center"/>
        <w:rPr>
          <w:u w:val="single"/>
        </w:rPr>
      </w:pPr>
    </w:p>
    <w:p w14:paraId="5E037D79">
      <w:pPr>
        <w:ind w:firstLine="480"/>
        <w:jc w:val="center"/>
        <w:rPr>
          <w:u w:val="single"/>
        </w:rPr>
      </w:pPr>
    </w:p>
    <w:p w14:paraId="4727B3CD">
      <w:pPr>
        <w:ind w:firstLine="480"/>
        <w:jc w:val="center"/>
        <w:rPr>
          <w:u w:val="single"/>
        </w:rPr>
      </w:pPr>
    </w:p>
    <w:p w14:paraId="52F6E4C5">
      <w:pPr>
        <w:ind w:firstLine="480"/>
        <w:jc w:val="center"/>
        <w:rPr>
          <w:u w:val="single"/>
        </w:rPr>
      </w:pPr>
    </w:p>
    <w:p w14:paraId="0BC97F28">
      <w:pPr>
        <w:ind w:firstLine="480"/>
        <w:jc w:val="center"/>
        <w:rPr>
          <w:u w:val="single"/>
        </w:rPr>
      </w:pPr>
    </w:p>
    <w:p w14:paraId="4BBDEDDD">
      <w:pPr>
        <w:ind w:firstLine="480"/>
        <w:jc w:val="center"/>
        <w:rPr>
          <w:u w:val="single"/>
        </w:rPr>
      </w:pPr>
    </w:p>
    <w:p w14:paraId="441830B8">
      <w:pPr>
        <w:ind w:firstLine="480"/>
        <w:jc w:val="center"/>
        <w:rPr>
          <w:u w:val="single"/>
        </w:rPr>
      </w:pPr>
    </w:p>
    <w:p w14:paraId="795086C5">
      <w:pPr>
        <w:ind w:firstLine="480"/>
        <w:jc w:val="center"/>
        <w:rPr>
          <w:u w:val="single"/>
        </w:rPr>
      </w:pPr>
    </w:p>
    <w:p w14:paraId="7CB053D7">
      <w:pPr>
        <w:ind w:firstLine="480"/>
        <w:jc w:val="center"/>
        <w:rPr>
          <w:u w:val="single"/>
        </w:rPr>
      </w:pPr>
    </w:p>
    <w:p w14:paraId="296D119E">
      <w:pPr>
        <w:ind w:firstLine="480"/>
        <w:jc w:val="center"/>
        <w:rPr>
          <w:u w:val="single"/>
        </w:rPr>
      </w:pPr>
    </w:p>
    <w:p w14:paraId="59BCD5E9">
      <w:pPr>
        <w:ind w:firstLine="480"/>
        <w:jc w:val="center"/>
        <w:rPr>
          <w:u w:val="single"/>
        </w:rPr>
      </w:pPr>
    </w:p>
    <w:p w14:paraId="5296BD8C">
      <w:pPr>
        <w:ind w:firstLine="480"/>
        <w:jc w:val="center"/>
        <w:rPr>
          <w:u w:val="single"/>
        </w:rPr>
      </w:pPr>
    </w:p>
    <w:p w14:paraId="5C6EC4BD">
      <w:pPr>
        <w:pStyle w:val="45"/>
        <w:numPr>
          <w:ilvl w:val="6"/>
          <w:numId w:val="0"/>
        </w:numPr>
        <w:spacing w:before="0" w:beforeLines="0"/>
        <w:ind w:left="3363" w:leftChars="0" w:hanging="3363" w:hangingChars="1595"/>
        <w:rPr>
          <w:color w:val="auto"/>
        </w:rPr>
      </w:pPr>
      <w:r>
        <w:rPr>
          <w:rFonts w:hint="default" w:ascii="宋体" w:hAnsi="宋体" w:eastAsia="宋体" w:cs="宋体"/>
          <w:b/>
          <w:bCs/>
          <w:color w:val="auto"/>
          <w:kern w:val="2"/>
          <w:sz w:val="21"/>
          <w:szCs w:val="21"/>
          <w:lang w:val="en-US" w:eastAsia="zh-CN" w:bidi="ar-SA"/>
        </w:rPr>
        <w:t xml:space="preserve">图6.2-13 </w:t>
      </w:r>
      <w:r>
        <w:rPr>
          <w:rFonts w:hint="eastAsia"/>
          <w:color w:val="auto"/>
        </w:rPr>
        <w:t>挥发性有机物贡献值浓度分布图—1小时  单位：mg/m</w:t>
      </w:r>
      <w:r>
        <w:rPr>
          <w:rFonts w:hint="eastAsia"/>
          <w:color w:val="auto"/>
          <w:vertAlign w:val="superscript"/>
        </w:rPr>
        <w:t>3</w:t>
      </w:r>
    </w:p>
    <w:p w14:paraId="41B2C60B">
      <w:pPr>
        <w:ind w:firstLine="482"/>
        <w:rPr>
          <w:rFonts w:ascii="宋体" w:hAnsi="宋体" w:cs="宋体"/>
          <w:b/>
          <w:bCs/>
          <w:u w:val="single"/>
        </w:rPr>
      </w:pPr>
      <w:r>
        <w:pict>
          <v:shape id="_x0000_s1168" o:spid="_x0000_s1168" o:spt="75" type="#_x0000_t75" style="position:absolute;left:0pt;margin-left:17.65pt;margin-top:329pt;height:302.6pt;width:365.35pt;mso-position-horizontal-relative:margin;mso-position-vertical-relative:margin;mso-wrap-distance-bottom:0pt;mso-wrap-distance-left:9pt;mso-wrap-distance-right:9pt;mso-wrap-distance-top:0pt;z-index:251681792;mso-width-relative:page;mso-height-relative:page;" filled="f" o:preferrelative="t" stroked="f" coordsize="21600,21600">
            <v:path/>
            <v:fill on="f" focussize="0,0"/>
            <v:stroke on="f" joinstyle="miter"/>
            <v:imagedata r:id="rId62" o:title="TVOCs日均"/>
            <o:lock v:ext="edit" aspectratio="t"/>
            <w10:wrap type="square"/>
          </v:shape>
        </w:pict>
      </w:r>
    </w:p>
    <w:p w14:paraId="4DD7D488">
      <w:pPr>
        <w:ind w:firstLine="482"/>
        <w:rPr>
          <w:rFonts w:ascii="宋体" w:hAnsi="宋体" w:cs="宋体"/>
          <w:b/>
          <w:bCs/>
          <w:u w:val="single"/>
        </w:rPr>
      </w:pPr>
    </w:p>
    <w:p w14:paraId="37CD0FEA">
      <w:pPr>
        <w:ind w:firstLine="482"/>
        <w:rPr>
          <w:rFonts w:ascii="宋体" w:hAnsi="宋体" w:cs="宋体"/>
          <w:b/>
          <w:bCs/>
          <w:u w:val="single"/>
        </w:rPr>
      </w:pPr>
    </w:p>
    <w:p w14:paraId="463C90C9">
      <w:pPr>
        <w:ind w:firstLine="482"/>
        <w:rPr>
          <w:rFonts w:ascii="宋体" w:hAnsi="宋体" w:cs="宋体"/>
          <w:b/>
          <w:bCs/>
          <w:u w:val="single"/>
        </w:rPr>
      </w:pPr>
    </w:p>
    <w:p w14:paraId="7A39B435">
      <w:pPr>
        <w:ind w:firstLine="482"/>
        <w:rPr>
          <w:rFonts w:ascii="宋体" w:hAnsi="宋体" w:cs="宋体"/>
          <w:b/>
          <w:bCs/>
          <w:u w:val="single"/>
        </w:rPr>
      </w:pPr>
    </w:p>
    <w:p w14:paraId="19AB0D8B">
      <w:pPr>
        <w:ind w:firstLine="482"/>
        <w:rPr>
          <w:rFonts w:ascii="宋体" w:hAnsi="宋体" w:cs="宋体"/>
          <w:b/>
          <w:bCs/>
          <w:u w:val="single"/>
        </w:rPr>
      </w:pPr>
    </w:p>
    <w:p w14:paraId="69CBF21E">
      <w:pPr>
        <w:ind w:firstLine="482"/>
        <w:rPr>
          <w:rFonts w:ascii="宋体" w:hAnsi="宋体" w:cs="宋体"/>
          <w:b/>
          <w:bCs/>
          <w:u w:val="single"/>
        </w:rPr>
      </w:pPr>
    </w:p>
    <w:p w14:paraId="3534E7E1">
      <w:pPr>
        <w:ind w:firstLine="482"/>
        <w:rPr>
          <w:rFonts w:ascii="宋体" w:hAnsi="宋体" w:cs="宋体"/>
          <w:b/>
          <w:bCs/>
          <w:u w:val="single"/>
        </w:rPr>
      </w:pPr>
    </w:p>
    <w:p w14:paraId="1A8B13DE">
      <w:pPr>
        <w:ind w:firstLine="482"/>
        <w:rPr>
          <w:rFonts w:ascii="宋体" w:hAnsi="宋体" w:cs="宋体"/>
          <w:b/>
          <w:bCs/>
          <w:u w:val="single"/>
        </w:rPr>
      </w:pPr>
    </w:p>
    <w:p w14:paraId="2AB1F945">
      <w:pPr>
        <w:ind w:firstLine="482"/>
        <w:rPr>
          <w:rFonts w:ascii="宋体" w:hAnsi="宋体" w:cs="宋体"/>
          <w:b/>
          <w:bCs/>
          <w:u w:val="single"/>
        </w:rPr>
      </w:pPr>
    </w:p>
    <w:p w14:paraId="038FF29A">
      <w:pPr>
        <w:ind w:firstLine="482"/>
        <w:rPr>
          <w:rFonts w:ascii="宋体" w:hAnsi="宋体" w:cs="宋体"/>
          <w:b/>
          <w:bCs/>
          <w:u w:val="single"/>
        </w:rPr>
      </w:pPr>
    </w:p>
    <w:p w14:paraId="7BF741C4">
      <w:pPr>
        <w:ind w:firstLine="482"/>
        <w:rPr>
          <w:rFonts w:ascii="宋体" w:hAnsi="宋体" w:cs="宋体"/>
          <w:b/>
          <w:bCs/>
          <w:u w:val="single"/>
        </w:rPr>
      </w:pPr>
    </w:p>
    <w:p w14:paraId="6BD6FAA0">
      <w:pPr>
        <w:ind w:firstLine="482"/>
        <w:rPr>
          <w:rFonts w:ascii="宋体" w:hAnsi="宋体" w:cs="宋体"/>
          <w:b/>
          <w:bCs/>
          <w:u w:val="single"/>
        </w:rPr>
      </w:pPr>
    </w:p>
    <w:p w14:paraId="43C00521">
      <w:pPr>
        <w:ind w:firstLine="482"/>
        <w:rPr>
          <w:rFonts w:ascii="宋体" w:hAnsi="宋体" w:cs="宋体"/>
          <w:b/>
          <w:bCs/>
          <w:u w:val="single"/>
        </w:rPr>
      </w:pPr>
    </w:p>
    <w:p w14:paraId="04A94239">
      <w:pPr>
        <w:pStyle w:val="45"/>
        <w:numPr>
          <w:ilvl w:val="6"/>
          <w:numId w:val="0"/>
        </w:numPr>
        <w:spacing w:before="0" w:beforeLines="0"/>
        <w:ind w:left="3363" w:leftChars="0" w:hanging="3363" w:hangingChars="1595"/>
        <w:rPr>
          <w:color w:val="auto"/>
        </w:rPr>
      </w:pPr>
      <w:r>
        <w:rPr>
          <w:rFonts w:hint="default" w:ascii="宋体" w:hAnsi="宋体" w:eastAsia="宋体" w:cs="宋体"/>
          <w:b/>
          <w:bCs/>
          <w:color w:val="auto"/>
          <w:kern w:val="2"/>
          <w:sz w:val="21"/>
          <w:szCs w:val="21"/>
          <w:lang w:val="en-US" w:eastAsia="zh-CN" w:bidi="ar-SA"/>
        </w:rPr>
        <w:t xml:space="preserve">图6.2-14 </w:t>
      </w:r>
      <w:r>
        <w:rPr>
          <w:rFonts w:hint="eastAsia"/>
          <w:color w:val="auto"/>
        </w:rPr>
        <w:t>挥发性有机物贡献值浓度分布图—日均值  单位：mg/m</w:t>
      </w:r>
      <w:r>
        <w:rPr>
          <w:rFonts w:hint="eastAsia"/>
          <w:color w:val="auto"/>
          <w:vertAlign w:val="superscript"/>
        </w:rPr>
        <w:t>3</w:t>
      </w:r>
    </w:p>
    <w:p w14:paraId="2F6DA82A">
      <w:pPr>
        <w:ind w:firstLine="482"/>
        <w:rPr>
          <w:rFonts w:ascii="宋体" w:hAnsi="宋体" w:cs="宋体"/>
          <w:b/>
          <w:bCs/>
        </w:rPr>
      </w:pPr>
    </w:p>
    <w:p w14:paraId="26B16231">
      <w:pPr>
        <w:ind w:firstLine="482"/>
        <w:rPr>
          <w:rFonts w:ascii="宋体" w:hAnsi="宋体" w:cs="宋体"/>
          <w:b/>
          <w:bCs/>
        </w:rPr>
      </w:pPr>
      <w:r>
        <w:pict>
          <v:shape id="_x0000_s1212" o:spid="_x0000_s1212" o:spt="75" type="#_x0000_t75" style="position:absolute;left:0pt;margin-left:58.65pt;margin-top:-11.25pt;height:259.55pt;width:313.35pt;mso-position-horizontal-relative:margin;mso-position-vertical-relative:margin;mso-wrap-distance-bottom:0pt;mso-wrap-distance-left:9pt;mso-wrap-distance-right:9pt;mso-wrap-distance-top:0pt;z-index:251682816;mso-width-relative:page;mso-height-relative:page;" filled="f" o:preferrelative="t" stroked="f" coordsize="21600,21600">
            <v:path/>
            <v:fill on="f" focussize="0,0"/>
            <v:stroke on="f" joinstyle="miter"/>
            <v:imagedata r:id="rId63" o:title="TVOCs年均"/>
            <o:lock v:ext="edit" aspectratio="t"/>
            <w10:wrap type="square"/>
          </v:shape>
        </w:pict>
      </w:r>
    </w:p>
    <w:p w14:paraId="1F657A48">
      <w:pPr>
        <w:ind w:firstLine="482"/>
        <w:rPr>
          <w:rFonts w:ascii="宋体" w:hAnsi="宋体" w:cs="宋体"/>
          <w:b/>
          <w:bCs/>
        </w:rPr>
      </w:pPr>
    </w:p>
    <w:p w14:paraId="38BEB23E">
      <w:pPr>
        <w:ind w:firstLine="482"/>
        <w:rPr>
          <w:rFonts w:ascii="宋体" w:hAnsi="宋体" w:cs="宋体"/>
          <w:b/>
          <w:bCs/>
        </w:rPr>
      </w:pPr>
    </w:p>
    <w:p w14:paraId="6FBA7F54">
      <w:pPr>
        <w:ind w:firstLine="482"/>
        <w:rPr>
          <w:rFonts w:ascii="宋体" w:hAnsi="宋体" w:cs="宋体"/>
          <w:b/>
          <w:bCs/>
        </w:rPr>
      </w:pPr>
    </w:p>
    <w:p w14:paraId="0A4234EB">
      <w:pPr>
        <w:ind w:firstLine="482"/>
        <w:rPr>
          <w:rFonts w:ascii="宋体" w:hAnsi="宋体" w:cs="宋体"/>
          <w:b/>
          <w:bCs/>
        </w:rPr>
      </w:pPr>
    </w:p>
    <w:p w14:paraId="5046F3A8">
      <w:pPr>
        <w:ind w:firstLine="482"/>
        <w:rPr>
          <w:rFonts w:ascii="宋体" w:hAnsi="宋体" w:cs="宋体"/>
          <w:b/>
          <w:bCs/>
        </w:rPr>
      </w:pPr>
    </w:p>
    <w:p w14:paraId="31C8C063">
      <w:pPr>
        <w:ind w:firstLine="482"/>
        <w:rPr>
          <w:rFonts w:ascii="宋体" w:hAnsi="宋体" w:cs="宋体"/>
          <w:b/>
          <w:bCs/>
        </w:rPr>
      </w:pPr>
    </w:p>
    <w:p w14:paraId="321C600D">
      <w:pPr>
        <w:ind w:firstLine="482"/>
        <w:rPr>
          <w:rFonts w:ascii="宋体" w:hAnsi="宋体" w:cs="宋体"/>
          <w:b/>
          <w:bCs/>
        </w:rPr>
      </w:pPr>
    </w:p>
    <w:p w14:paraId="23675824">
      <w:pPr>
        <w:ind w:firstLine="482"/>
        <w:rPr>
          <w:rFonts w:ascii="宋体" w:hAnsi="宋体" w:cs="宋体"/>
          <w:b/>
          <w:bCs/>
        </w:rPr>
      </w:pPr>
    </w:p>
    <w:p w14:paraId="7C3FCB63">
      <w:pPr>
        <w:ind w:firstLine="482"/>
        <w:rPr>
          <w:rFonts w:ascii="宋体" w:hAnsi="宋体" w:cs="宋体"/>
          <w:b/>
          <w:bCs/>
        </w:rPr>
      </w:pPr>
    </w:p>
    <w:p w14:paraId="10F12DF8">
      <w:pPr>
        <w:ind w:firstLine="482"/>
        <w:rPr>
          <w:rFonts w:ascii="宋体" w:hAnsi="宋体" w:cs="宋体"/>
          <w:b/>
          <w:bCs/>
        </w:rPr>
      </w:pPr>
    </w:p>
    <w:p w14:paraId="0935C6BD">
      <w:pPr>
        <w:pStyle w:val="45"/>
        <w:numPr>
          <w:ilvl w:val="6"/>
          <w:numId w:val="0"/>
        </w:numPr>
        <w:spacing w:before="0" w:beforeLines="0"/>
        <w:ind w:left="3363" w:leftChars="0" w:hanging="3363" w:hangingChars="1595"/>
        <w:rPr>
          <w:color w:val="auto"/>
        </w:rPr>
      </w:pPr>
      <w:r>
        <w:rPr>
          <w:rFonts w:hint="default" w:ascii="宋体" w:hAnsi="宋体" w:eastAsia="宋体" w:cs="宋体"/>
          <w:b/>
          <w:bCs/>
          <w:color w:val="auto"/>
          <w:kern w:val="2"/>
          <w:sz w:val="21"/>
          <w:szCs w:val="21"/>
          <w:lang w:val="en-US" w:eastAsia="zh-CN" w:bidi="ar-SA"/>
        </w:rPr>
        <w:t xml:space="preserve">图6.2-15 </w:t>
      </w:r>
      <w:r>
        <w:rPr>
          <w:rFonts w:hint="eastAsia"/>
          <w:color w:val="auto"/>
        </w:rPr>
        <w:t>挥发性有机物贡献值浓度分布图—年均值  单位：mg/m</w:t>
      </w:r>
      <w:r>
        <w:rPr>
          <w:rFonts w:hint="eastAsia"/>
          <w:color w:val="auto"/>
          <w:vertAlign w:val="superscript"/>
        </w:rPr>
        <w:t>3</w:t>
      </w:r>
    </w:p>
    <w:p w14:paraId="5AD9BE1B">
      <w:pPr>
        <w:rPr>
          <w:rFonts w:ascii="宋体" w:hAnsi="宋体" w:cs="宋体"/>
          <w:b/>
          <w:bCs/>
        </w:rPr>
      </w:pPr>
    </w:p>
    <w:p w14:paraId="4D1545B0">
      <w:pPr>
        <w:rPr>
          <w:rFonts w:ascii="宋体" w:hAnsi="宋体" w:cs="宋体"/>
          <w:b/>
          <w:bCs/>
        </w:rPr>
      </w:pPr>
      <w:r>
        <w:rPr>
          <w:rFonts w:hint="eastAsia" w:ascii="宋体" w:hAnsi="宋体" w:cs="宋体"/>
          <w:b/>
          <w:bCs/>
        </w:rPr>
        <w:t>情景2叠加预测结果</w:t>
      </w:r>
    </w:p>
    <w:p w14:paraId="1050D1DF">
      <w:pPr>
        <w:ind w:firstLine="480"/>
      </w:pPr>
      <w:r>
        <w:t>按照《环境影响评价技术导则 大气环境》（HJ2.2-2018）中第8.7.1.2条，</w:t>
      </w:r>
    </w:p>
    <w:p w14:paraId="58476F50">
      <w:pPr>
        <w:ind w:firstLine="480"/>
      </w:pPr>
      <w:r>
        <w:t>项目正常排放条件下，预测叠加区域污染源和环境空气质量现状浓度后，环境空气保护目标和网格点主要污染物日平均质量浓度和年平均质量浓度的达标情况。因</w:t>
      </w:r>
      <w:r>
        <w:rPr>
          <w:rFonts w:hint="eastAsia"/>
        </w:rPr>
        <w:t>挥发性有机物</w:t>
      </w:r>
      <w:r>
        <w:t>的环境质量标准只有小时浓度，故以小时浓度预测结果作为其评价结果。</w:t>
      </w:r>
    </w:p>
    <w:p w14:paraId="69258E4D">
      <w:pPr>
        <w:ind w:firstLine="480"/>
      </w:pPr>
      <w:r>
        <w:rPr>
          <w:rFonts w:hint="eastAsia" w:ascii="宋体" w:hAnsi="宋体" w:cs="宋体"/>
        </w:rPr>
        <w:t>⑴</w:t>
      </w:r>
      <w:r>
        <w:rPr>
          <w:rFonts w:hint="eastAsia"/>
        </w:rPr>
        <w:t>新增污染源+其他在建、拟建的污染源+环境空气质量现状叠加后正常排放下预测结果</w:t>
      </w:r>
    </w:p>
    <w:p w14:paraId="14049980">
      <w:pPr>
        <w:ind w:firstLine="480"/>
      </w:pPr>
      <w:r>
        <w:t>①</w:t>
      </w:r>
      <w:r>
        <w:rPr>
          <w:rFonts w:hint="eastAsia"/>
        </w:rPr>
        <w:t>SO</w:t>
      </w:r>
      <w:r>
        <w:rPr>
          <w:rFonts w:hint="eastAsia"/>
          <w:vertAlign w:val="subscript"/>
        </w:rPr>
        <w:t>2</w:t>
      </w:r>
      <w:r>
        <w:rPr>
          <w:rFonts w:hint="eastAsia"/>
        </w:rPr>
        <w:t>叠加预测结果</w:t>
      </w:r>
    </w:p>
    <w:p w14:paraId="2D395AA1">
      <w:pPr>
        <w:ind w:firstLine="480"/>
      </w:pPr>
      <w:r>
        <w:t>正常排放情况下，拟建项目SO</w:t>
      </w:r>
      <w:r>
        <w:rPr>
          <w:vertAlign w:val="subscript"/>
        </w:rPr>
        <w:t>2</w:t>
      </w:r>
      <w:r>
        <w:t>日均浓度的叠加预测值和年均浓度预测值对各</w:t>
      </w:r>
      <w:r>
        <w:rPr>
          <w:rFonts w:hint="eastAsia"/>
        </w:rPr>
        <w:t>敏感</w:t>
      </w:r>
      <w:r>
        <w:t>点的影响满足《环境空气质量标准》（GB3095-2012）相应标准要求。区域最大落地浓度中，日均</w:t>
      </w:r>
      <w:r>
        <w:rPr>
          <w:rFonts w:hint="eastAsia"/>
        </w:rPr>
        <w:t>叠加</w:t>
      </w:r>
      <w:r>
        <w:t>浓度贡献值最大值为</w:t>
      </w:r>
      <w:r>
        <w:rPr>
          <w:rFonts w:hint="eastAsia"/>
        </w:rPr>
        <w:t>0.009</w:t>
      </w:r>
      <w:r>
        <w:t>mg/m³、最大占标率为</w:t>
      </w:r>
      <w:r>
        <w:rPr>
          <w:rFonts w:hint="eastAsia"/>
        </w:rPr>
        <w:t>6.01</w:t>
      </w:r>
      <w:r>
        <w:t>%；年均浓度贡献值最大值为</w:t>
      </w:r>
      <w:r>
        <w:rPr>
          <w:rFonts w:hint="eastAsia"/>
        </w:rPr>
        <w:t>0.00003</w:t>
      </w:r>
      <w:r>
        <w:t>mg/m³，最大占标率为</w:t>
      </w:r>
      <w:r>
        <w:rPr>
          <w:rFonts w:hint="eastAsia"/>
        </w:rPr>
        <w:t>0.06</w:t>
      </w:r>
      <w:r>
        <w:t>%。</w:t>
      </w:r>
    </w:p>
    <w:p w14:paraId="571E1EEB">
      <w:pPr>
        <w:ind w:firstLine="480"/>
      </w:pPr>
    </w:p>
    <w:p w14:paraId="6CB436C5">
      <w:pPr>
        <w:ind w:firstLine="480"/>
      </w:pPr>
    </w:p>
    <w:p w14:paraId="7B68A81D">
      <w:pPr>
        <w:ind w:firstLine="480"/>
      </w:pPr>
    </w:p>
    <w:p w14:paraId="5B8E7AC0">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表6.2-20 </w:t>
      </w:r>
      <w:r>
        <w:rPr>
          <w:rFonts w:hint="eastAsia"/>
        </w:rPr>
        <w:t xml:space="preserve">  SO</w:t>
      </w:r>
      <w:r>
        <w:rPr>
          <w:rFonts w:hint="eastAsia"/>
          <w:vertAlign w:val="subscript"/>
        </w:rPr>
        <w:t>2</w:t>
      </w:r>
      <w:r>
        <w:rPr>
          <w:rFonts w:hint="eastAsia"/>
        </w:rPr>
        <w:t>的叠加结果计算   单位：mg/m</w:t>
      </w:r>
      <w:r>
        <w:rPr>
          <w:rFonts w:hint="eastAsia"/>
          <w:vertAlign w:val="superscript"/>
        </w:rPr>
        <w:t>3</w:t>
      </w:r>
    </w:p>
    <w:tbl>
      <w:tblPr>
        <w:tblStyle w:val="66"/>
        <w:tblW w:w="5072"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7"/>
        <w:gridCol w:w="1141"/>
        <w:gridCol w:w="734"/>
        <w:gridCol w:w="645"/>
        <w:gridCol w:w="911"/>
        <w:gridCol w:w="1065"/>
        <w:gridCol w:w="1178"/>
        <w:gridCol w:w="911"/>
        <w:gridCol w:w="781"/>
        <w:gridCol w:w="713"/>
      </w:tblGrid>
      <w:tr w14:paraId="5A641F5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7" w:type="dxa"/>
            <w:tcBorders>
              <w:tl2br w:val="nil"/>
              <w:tr2bl w:val="nil"/>
            </w:tcBorders>
            <w:shd w:val="clear" w:color="auto" w:fill="auto"/>
            <w:textDirection w:val="tbRlV"/>
            <w:vAlign w:val="center"/>
          </w:tcPr>
          <w:p w14:paraId="6077FB35">
            <w:pPr>
              <w:widowControl/>
              <w:spacing w:line="240" w:lineRule="auto"/>
              <w:jc w:val="center"/>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29" name="IM 148"/>
                  <wp:cNvGraphicFramePr/>
                  <a:graphic xmlns:a="http://schemas.openxmlformats.org/drawingml/2006/main">
                    <a:graphicData uri="http://schemas.openxmlformats.org/drawingml/2006/picture">
                      <pic:pic xmlns:pic="http://schemas.openxmlformats.org/drawingml/2006/picture">
                        <pic:nvPicPr>
                          <pic:cNvPr id="29" name="IM 148"/>
                          <pic:cNvPicPr/>
                        </pic:nvPicPr>
                        <pic:blipFill>
                          <a:blip r:embed="rId51"/>
                          <a:stretch>
                            <a:fillRect/>
                          </a:stretch>
                        </pic:blipFill>
                        <pic:spPr>
                          <a:xfrm>
                            <a:off x="0" y="0"/>
                            <a:ext cx="137160" cy="0"/>
                          </a:xfrm>
                          <a:prstGeom prst="rect">
                            <a:avLst/>
                          </a:prstGeom>
                        </pic:spPr>
                      </pic:pic>
                    </a:graphicData>
                  </a:graphic>
                </wp:inline>
              </w:drawing>
            </w:r>
          </w:p>
        </w:tc>
        <w:tc>
          <w:tcPr>
            <w:tcW w:w="1141" w:type="dxa"/>
            <w:tcBorders>
              <w:tl2br w:val="nil"/>
              <w:tr2bl w:val="nil"/>
            </w:tcBorders>
            <w:shd w:val="clear" w:color="auto" w:fill="auto"/>
            <w:vAlign w:val="center"/>
          </w:tcPr>
          <w:p w14:paraId="174CBE04">
            <w:pPr>
              <w:widowControl/>
              <w:spacing w:line="240" w:lineRule="auto"/>
              <w:jc w:val="center"/>
              <w:rPr>
                <w:sz w:val="21"/>
                <w:szCs w:val="21"/>
                <w:lang w:eastAsia="en-US"/>
              </w:rPr>
            </w:pPr>
            <w:r>
              <w:rPr>
                <w:sz w:val="21"/>
                <w:szCs w:val="21"/>
                <w:lang w:eastAsia="en-US"/>
              </w:rPr>
              <w:t>离散点</w:t>
            </w:r>
          </w:p>
        </w:tc>
        <w:tc>
          <w:tcPr>
            <w:tcW w:w="734" w:type="dxa"/>
            <w:tcBorders>
              <w:tl2br w:val="nil"/>
              <w:tr2bl w:val="nil"/>
            </w:tcBorders>
            <w:shd w:val="clear" w:color="auto" w:fill="auto"/>
            <w:vAlign w:val="center"/>
          </w:tcPr>
          <w:p w14:paraId="7EDBD3DB">
            <w:pPr>
              <w:widowControl/>
              <w:spacing w:line="240" w:lineRule="auto"/>
              <w:jc w:val="center"/>
              <w:rPr>
                <w:sz w:val="21"/>
                <w:szCs w:val="21"/>
                <w:lang w:eastAsia="en-US"/>
              </w:rPr>
            </w:pPr>
            <w:r>
              <w:rPr>
                <w:sz w:val="21"/>
                <w:szCs w:val="21"/>
                <w:lang w:eastAsia="en-US"/>
              </w:rPr>
              <w:t>点坐标 （X）</w:t>
            </w:r>
          </w:p>
        </w:tc>
        <w:tc>
          <w:tcPr>
            <w:tcW w:w="645" w:type="dxa"/>
            <w:tcBorders>
              <w:tl2br w:val="nil"/>
              <w:tr2bl w:val="nil"/>
            </w:tcBorders>
            <w:shd w:val="clear" w:color="auto" w:fill="auto"/>
            <w:vAlign w:val="center"/>
          </w:tcPr>
          <w:p w14:paraId="286F8672">
            <w:pPr>
              <w:widowControl/>
              <w:spacing w:line="240" w:lineRule="auto"/>
              <w:jc w:val="center"/>
              <w:rPr>
                <w:sz w:val="21"/>
                <w:szCs w:val="21"/>
                <w:lang w:eastAsia="en-US"/>
              </w:rPr>
            </w:pPr>
            <w:r>
              <w:rPr>
                <w:sz w:val="21"/>
                <w:szCs w:val="21"/>
                <w:lang w:eastAsia="en-US"/>
              </w:rPr>
              <w:t>点坐标 （Y）</w:t>
            </w:r>
          </w:p>
        </w:tc>
        <w:tc>
          <w:tcPr>
            <w:tcW w:w="911" w:type="dxa"/>
            <w:tcBorders>
              <w:tl2br w:val="nil"/>
              <w:tr2bl w:val="nil"/>
            </w:tcBorders>
            <w:shd w:val="clear" w:color="auto" w:fill="auto"/>
            <w:vAlign w:val="center"/>
          </w:tcPr>
          <w:p w14:paraId="023A9C0F">
            <w:pPr>
              <w:widowControl/>
              <w:spacing w:line="240" w:lineRule="auto"/>
              <w:jc w:val="center"/>
              <w:rPr>
                <w:sz w:val="21"/>
                <w:szCs w:val="21"/>
                <w:lang w:eastAsia="en-US"/>
              </w:rPr>
            </w:pPr>
            <w:r>
              <w:rPr>
                <w:sz w:val="21"/>
                <w:szCs w:val="21"/>
                <w:lang w:eastAsia="en-US"/>
              </w:rPr>
              <w:t>浓度类型</w:t>
            </w:r>
          </w:p>
        </w:tc>
        <w:tc>
          <w:tcPr>
            <w:tcW w:w="1065" w:type="dxa"/>
            <w:tcBorders>
              <w:tl2br w:val="nil"/>
              <w:tr2bl w:val="nil"/>
            </w:tcBorders>
            <w:shd w:val="clear" w:color="auto" w:fill="auto"/>
            <w:vAlign w:val="center"/>
          </w:tcPr>
          <w:p w14:paraId="3FCA2063">
            <w:pPr>
              <w:widowControl/>
              <w:spacing w:line="240" w:lineRule="auto"/>
              <w:jc w:val="center"/>
              <w:rPr>
                <w:sz w:val="21"/>
                <w:szCs w:val="21"/>
                <w:lang w:eastAsia="en-US"/>
              </w:rPr>
            </w:pPr>
            <w:r>
              <w:rPr>
                <w:sz w:val="21"/>
                <w:szCs w:val="21"/>
                <w:lang w:eastAsia="en-US"/>
              </w:rPr>
              <w:t>出现时间</w:t>
            </w:r>
          </w:p>
        </w:tc>
        <w:tc>
          <w:tcPr>
            <w:tcW w:w="1178" w:type="dxa"/>
            <w:tcBorders>
              <w:tl2br w:val="nil"/>
              <w:tr2bl w:val="nil"/>
            </w:tcBorders>
            <w:shd w:val="clear" w:color="auto" w:fill="auto"/>
            <w:vAlign w:val="center"/>
          </w:tcPr>
          <w:p w14:paraId="6810430E">
            <w:pPr>
              <w:widowControl/>
              <w:spacing w:line="240" w:lineRule="auto"/>
              <w:jc w:val="center"/>
              <w:rPr>
                <w:sz w:val="21"/>
                <w:szCs w:val="21"/>
                <w:lang w:eastAsia="en-US"/>
              </w:rPr>
            </w:pPr>
            <w:r>
              <w:rPr>
                <w:rFonts w:hint="eastAsia"/>
                <w:sz w:val="21"/>
                <w:szCs w:val="21"/>
                <w:lang w:eastAsia="en-US"/>
              </w:rPr>
              <w:t>叠加</w:t>
            </w:r>
            <w:r>
              <w:rPr>
                <w:sz w:val="21"/>
                <w:szCs w:val="21"/>
                <w:lang w:eastAsia="en-US"/>
              </w:rPr>
              <w:t>值</w:t>
            </w:r>
          </w:p>
        </w:tc>
        <w:tc>
          <w:tcPr>
            <w:tcW w:w="911" w:type="dxa"/>
            <w:tcBorders>
              <w:tl2br w:val="nil"/>
              <w:tr2bl w:val="nil"/>
            </w:tcBorders>
            <w:shd w:val="clear" w:color="auto" w:fill="auto"/>
            <w:vAlign w:val="center"/>
          </w:tcPr>
          <w:p w14:paraId="54C432E6">
            <w:pPr>
              <w:widowControl/>
              <w:spacing w:line="240" w:lineRule="auto"/>
              <w:jc w:val="center"/>
              <w:rPr>
                <w:sz w:val="21"/>
                <w:szCs w:val="21"/>
                <w:lang w:eastAsia="en-US"/>
              </w:rPr>
            </w:pPr>
            <w:r>
              <w:rPr>
                <w:sz w:val="21"/>
                <w:szCs w:val="21"/>
                <w:lang w:eastAsia="en-US"/>
              </w:rPr>
              <w:t>评价标准</w:t>
            </w:r>
          </w:p>
        </w:tc>
        <w:tc>
          <w:tcPr>
            <w:tcW w:w="781" w:type="dxa"/>
            <w:tcBorders>
              <w:tl2br w:val="nil"/>
              <w:tr2bl w:val="nil"/>
            </w:tcBorders>
            <w:shd w:val="clear" w:color="auto" w:fill="auto"/>
            <w:vAlign w:val="center"/>
          </w:tcPr>
          <w:p w14:paraId="2A85F5C4">
            <w:pPr>
              <w:widowControl/>
              <w:spacing w:line="240" w:lineRule="auto"/>
              <w:jc w:val="center"/>
              <w:rPr>
                <w:sz w:val="21"/>
                <w:szCs w:val="21"/>
                <w:lang w:eastAsia="en-US"/>
              </w:rPr>
            </w:pPr>
            <w:r>
              <w:rPr>
                <w:sz w:val="21"/>
                <w:szCs w:val="21"/>
                <w:lang w:eastAsia="en-US"/>
              </w:rPr>
              <w:t>占标</w:t>
            </w:r>
          </w:p>
          <w:p w14:paraId="32690DF9">
            <w:pPr>
              <w:widowControl/>
              <w:spacing w:line="240" w:lineRule="auto"/>
              <w:jc w:val="center"/>
              <w:rPr>
                <w:sz w:val="21"/>
                <w:szCs w:val="21"/>
                <w:lang w:eastAsia="en-US"/>
              </w:rPr>
            </w:pPr>
            <w:r>
              <w:rPr>
                <w:sz w:val="21"/>
                <w:szCs w:val="21"/>
                <w:lang w:eastAsia="en-US"/>
              </w:rPr>
              <w:t>率%</w:t>
            </w:r>
          </w:p>
        </w:tc>
        <w:tc>
          <w:tcPr>
            <w:tcW w:w="713" w:type="dxa"/>
            <w:tcBorders>
              <w:tl2br w:val="nil"/>
              <w:tr2bl w:val="nil"/>
            </w:tcBorders>
            <w:shd w:val="clear" w:color="auto" w:fill="auto"/>
            <w:vAlign w:val="center"/>
          </w:tcPr>
          <w:p w14:paraId="5E0965FE">
            <w:pPr>
              <w:widowControl/>
              <w:spacing w:line="240" w:lineRule="auto"/>
              <w:jc w:val="center"/>
              <w:rPr>
                <w:sz w:val="21"/>
                <w:szCs w:val="21"/>
                <w:lang w:eastAsia="en-US"/>
              </w:rPr>
            </w:pPr>
            <w:r>
              <w:rPr>
                <w:sz w:val="21"/>
                <w:szCs w:val="21"/>
                <w:lang w:eastAsia="en-US"/>
              </w:rPr>
              <w:t>是否达 标</w:t>
            </w:r>
          </w:p>
        </w:tc>
      </w:tr>
      <w:tr w14:paraId="5E52D44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38670B3C">
            <w:pPr>
              <w:widowControl/>
              <w:spacing w:line="240" w:lineRule="auto"/>
              <w:jc w:val="center"/>
              <w:rPr>
                <w:sz w:val="21"/>
                <w:szCs w:val="21"/>
                <w:lang w:eastAsia="en-US"/>
              </w:rPr>
            </w:pPr>
            <w:r>
              <w:rPr>
                <w:sz w:val="21"/>
                <w:szCs w:val="21"/>
                <w:lang w:eastAsia="en-US"/>
              </w:rPr>
              <w:t>1</w:t>
            </w:r>
          </w:p>
        </w:tc>
        <w:tc>
          <w:tcPr>
            <w:tcW w:w="1141" w:type="dxa"/>
            <w:vMerge w:val="restart"/>
            <w:tcBorders>
              <w:tl2br w:val="nil"/>
              <w:tr2bl w:val="nil"/>
            </w:tcBorders>
            <w:shd w:val="clear" w:color="auto" w:fill="auto"/>
            <w:vAlign w:val="center"/>
          </w:tcPr>
          <w:p w14:paraId="6DE5B593">
            <w:pPr>
              <w:widowControl/>
              <w:spacing w:line="240" w:lineRule="auto"/>
              <w:jc w:val="center"/>
              <w:rPr>
                <w:sz w:val="21"/>
                <w:szCs w:val="21"/>
                <w:lang w:eastAsia="en-US"/>
              </w:rPr>
            </w:pPr>
            <w:r>
              <w:rPr>
                <w:sz w:val="21"/>
                <w:szCs w:val="21"/>
                <w:lang w:eastAsia="en-US"/>
              </w:rPr>
              <w:t>涓江香水湾小区</w:t>
            </w:r>
          </w:p>
        </w:tc>
        <w:tc>
          <w:tcPr>
            <w:tcW w:w="734" w:type="dxa"/>
            <w:vMerge w:val="restart"/>
            <w:tcBorders>
              <w:tl2br w:val="nil"/>
              <w:tr2bl w:val="nil"/>
            </w:tcBorders>
            <w:shd w:val="clear" w:color="auto" w:fill="auto"/>
            <w:vAlign w:val="center"/>
          </w:tcPr>
          <w:p w14:paraId="3D42B063">
            <w:pPr>
              <w:widowControl/>
              <w:spacing w:line="240" w:lineRule="auto"/>
              <w:jc w:val="center"/>
              <w:rPr>
                <w:sz w:val="21"/>
                <w:szCs w:val="21"/>
                <w:lang w:eastAsia="en-US"/>
              </w:rPr>
            </w:pPr>
            <w:r>
              <w:rPr>
                <w:sz w:val="21"/>
                <w:szCs w:val="21"/>
                <w:lang w:eastAsia="en-US"/>
              </w:rPr>
              <w:t>-</w:t>
            </w:r>
            <w:r>
              <w:rPr>
                <w:rFonts w:hint="eastAsia"/>
                <w:sz w:val="21"/>
                <w:szCs w:val="21"/>
                <w:lang w:eastAsia="en-US"/>
              </w:rPr>
              <w:t>755</w:t>
            </w:r>
          </w:p>
        </w:tc>
        <w:tc>
          <w:tcPr>
            <w:tcW w:w="645" w:type="dxa"/>
            <w:vMerge w:val="restart"/>
            <w:tcBorders>
              <w:tl2br w:val="nil"/>
              <w:tr2bl w:val="nil"/>
            </w:tcBorders>
            <w:shd w:val="clear" w:color="auto" w:fill="auto"/>
            <w:vAlign w:val="center"/>
          </w:tcPr>
          <w:p w14:paraId="1E2B3F63">
            <w:pPr>
              <w:widowControl/>
              <w:spacing w:line="240" w:lineRule="auto"/>
              <w:jc w:val="center"/>
              <w:rPr>
                <w:sz w:val="21"/>
                <w:szCs w:val="21"/>
                <w:lang w:eastAsia="en-US"/>
              </w:rPr>
            </w:pPr>
            <w:r>
              <w:rPr>
                <w:rFonts w:hint="eastAsia"/>
                <w:sz w:val="21"/>
                <w:szCs w:val="21"/>
                <w:lang w:eastAsia="en-US"/>
              </w:rPr>
              <w:t>281</w:t>
            </w:r>
          </w:p>
        </w:tc>
        <w:tc>
          <w:tcPr>
            <w:tcW w:w="911" w:type="dxa"/>
            <w:tcBorders>
              <w:tl2br w:val="nil"/>
              <w:tr2bl w:val="nil"/>
            </w:tcBorders>
            <w:shd w:val="clear" w:color="auto" w:fill="auto"/>
            <w:vAlign w:val="center"/>
          </w:tcPr>
          <w:p w14:paraId="71FB5E36">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ED470A1">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78" w:type="dxa"/>
            <w:tcBorders>
              <w:tl2br w:val="nil"/>
              <w:tr2bl w:val="nil"/>
            </w:tcBorders>
            <w:shd w:val="clear" w:color="auto" w:fill="auto"/>
            <w:vAlign w:val="center"/>
          </w:tcPr>
          <w:p w14:paraId="5A277CAC">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510DC843">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B8C3EE2">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78CFA76E">
            <w:pPr>
              <w:widowControl/>
              <w:spacing w:line="240" w:lineRule="auto"/>
              <w:jc w:val="center"/>
              <w:rPr>
                <w:sz w:val="21"/>
                <w:szCs w:val="21"/>
                <w:lang w:eastAsia="en-US"/>
              </w:rPr>
            </w:pPr>
            <w:r>
              <w:rPr>
                <w:sz w:val="21"/>
                <w:szCs w:val="21"/>
                <w:lang w:eastAsia="en-US"/>
              </w:rPr>
              <w:t>达标</w:t>
            </w:r>
          </w:p>
        </w:tc>
      </w:tr>
      <w:tr w14:paraId="24210B9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E7EC9E4">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A630E07">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E5D2539">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A0627BF">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5D032C1">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5464338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78" w:type="dxa"/>
            <w:tcBorders>
              <w:tl2br w:val="nil"/>
              <w:tr2bl w:val="nil"/>
            </w:tcBorders>
            <w:shd w:val="clear" w:color="auto" w:fill="auto"/>
            <w:vAlign w:val="center"/>
          </w:tcPr>
          <w:p w14:paraId="0DC1C709">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1BB50B3A">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17CEB60A">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7B4B5CC9">
            <w:pPr>
              <w:widowControl/>
              <w:spacing w:line="240" w:lineRule="auto"/>
              <w:jc w:val="center"/>
              <w:rPr>
                <w:sz w:val="21"/>
                <w:szCs w:val="21"/>
                <w:lang w:eastAsia="en-US"/>
              </w:rPr>
            </w:pPr>
            <w:r>
              <w:rPr>
                <w:sz w:val="21"/>
                <w:szCs w:val="21"/>
                <w:lang w:eastAsia="en-US"/>
              </w:rPr>
              <w:t>达标</w:t>
            </w:r>
          </w:p>
        </w:tc>
      </w:tr>
      <w:tr w14:paraId="34E5488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096AF58">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2890A1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0AD4BBF">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4702B6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B2809E2">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668BA615">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7E2DA61C">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8083C1E">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A151136">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357FE184">
            <w:pPr>
              <w:widowControl/>
              <w:spacing w:line="240" w:lineRule="auto"/>
              <w:jc w:val="center"/>
              <w:rPr>
                <w:sz w:val="21"/>
                <w:szCs w:val="21"/>
                <w:lang w:eastAsia="en-US"/>
              </w:rPr>
            </w:pPr>
            <w:r>
              <w:rPr>
                <w:sz w:val="21"/>
                <w:szCs w:val="21"/>
                <w:lang w:eastAsia="en-US"/>
              </w:rPr>
              <w:t>达标</w:t>
            </w:r>
          </w:p>
        </w:tc>
      </w:tr>
      <w:tr w14:paraId="2D4C176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203B28D2">
            <w:pPr>
              <w:widowControl/>
              <w:spacing w:line="240" w:lineRule="auto"/>
              <w:jc w:val="center"/>
              <w:rPr>
                <w:sz w:val="21"/>
                <w:szCs w:val="21"/>
                <w:lang w:eastAsia="en-US"/>
              </w:rPr>
            </w:pPr>
            <w:r>
              <w:rPr>
                <w:sz w:val="21"/>
                <w:szCs w:val="21"/>
                <w:lang w:eastAsia="en-US"/>
              </w:rPr>
              <w:t>2</w:t>
            </w:r>
          </w:p>
        </w:tc>
        <w:tc>
          <w:tcPr>
            <w:tcW w:w="1141" w:type="dxa"/>
            <w:vMerge w:val="restart"/>
            <w:tcBorders>
              <w:tl2br w:val="nil"/>
              <w:tr2bl w:val="nil"/>
            </w:tcBorders>
            <w:shd w:val="clear" w:color="auto" w:fill="auto"/>
            <w:vAlign w:val="center"/>
          </w:tcPr>
          <w:p w14:paraId="5B0CC70F">
            <w:pPr>
              <w:widowControl/>
              <w:spacing w:line="240" w:lineRule="auto"/>
              <w:jc w:val="center"/>
              <w:rPr>
                <w:sz w:val="21"/>
                <w:szCs w:val="21"/>
                <w:lang w:eastAsia="en-US"/>
              </w:rPr>
            </w:pPr>
            <w:r>
              <w:rPr>
                <w:sz w:val="21"/>
                <w:szCs w:val="21"/>
                <w:lang w:eastAsia="en-US"/>
              </w:rPr>
              <w:t>松香苑小区</w:t>
            </w:r>
          </w:p>
        </w:tc>
        <w:tc>
          <w:tcPr>
            <w:tcW w:w="734" w:type="dxa"/>
            <w:vMerge w:val="restart"/>
            <w:tcBorders>
              <w:tl2br w:val="nil"/>
              <w:tr2bl w:val="nil"/>
            </w:tcBorders>
            <w:shd w:val="clear" w:color="auto" w:fill="auto"/>
            <w:vAlign w:val="center"/>
          </w:tcPr>
          <w:p w14:paraId="1750E0BE">
            <w:pPr>
              <w:widowControl/>
              <w:spacing w:line="240" w:lineRule="auto"/>
              <w:jc w:val="center"/>
              <w:rPr>
                <w:sz w:val="21"/>
                <w:szCs w:val="21"/>
                <w:lang w:eastAsia="en-US"/>
              </w:rPr>
            </w:pPr>
            <w:r>
              <w:rPr>
                <w:sz w:val="21"/>
                <w:szCs w:val="21"/>
                <w:lang w:eastAsia="en-US"/>
              </w:rPr>
              <w:t>-</w:t>
            </w:r>
            <w:r>
              <w:rPr>
                <w:rFonts w:hint="eastAsia"/>
                <w:sz w:val="21"/>
                <w:szCs w:val="21"/>
                <w:lang w:eastAsia="en-US"/>
              </w:rPr>
              <w:t>1080</w:t>
            </w:r>
          </w:p>
        </w:tc>
        <w:tc>
          <w:tcPr>
            <w:tcW w:w="645" w:type="dxa"/>
            <w:vMerge w:val="restart"/>
            <w:tcBorders>
              <w:tl2br w:val="nil"/>
              <w:tr2bl w:val="nil"/>
            </w:tcBorders>
            <w:shd w:val="clear" w:color="auto" w:fill="auto"/>
            <w:vAlign w:val="center"/>
          </w:tcPr>
          <w:p w14:paraId="206C60F4">
            <w:pPr>
              <w:widowControl/>
              <w:spacing w:line="240" w:lineRule="auto"/>
              <w:jc w:val="center"/>
              <w:rPr>
                <w:sz w:val="21"/>
                <w:szCs w:val="21"/>
                <w:lang w:eastAsia="en-US"/>
              </w:rPr>
            </w:pPr>
            <w:r>
              <w:rPr>
                <w:rFonts w:hint="eastAsia"/>
                <w:sz w:val="21"/>
                <w:szCs w:val="21"/>
                <w:lang w:eastAsia="en-US"/>
              </w:rPr>
              <w:t>762</w:t>
            </w:r>
          </w:p>
        </w:tc>
        <w:tc>
          <w:tcPr>
            <w:tcW w:w="911" w:type="dxa"/>
            <w:tcBorders>
              <w:tl2br w:val="nil"/>
              <w:tr2bl w:val="nil"/>
            </w:tcBorders>
            <w:shd w:val="clear" w:color="auto" w:fill="auto"/>
            <w:vAlign w:val="center"/>
          </w:tcPr>
          <w:p w14:paraId="10E0EFBD">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03D525E5">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061904</w:t>
            </w:r>
          </w:p>
        </w:tc>
        <w:tc>
          <w:tcPr>
            <w:tcW w:w="1178" w:type="dxa"/>
            <w:tcBorders>
              <w:tl2br w:val="nil"/>
              <w:tr2bl w:val="nil"/>
            </w:tcBorders>
            <w:shd w:val="clear" w:color="auto" w:fill="auto"/>
            <w:vAlign w:val="center"/>
          </w:tcPr>
          <w:p w14:paraId="0D0740D7">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6493B306">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5C4093CA">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491BA8B8">
            <w:pPr>
              <w:widowControl/>
              <w:spacing w:line="240" w:lineRule="auto"/>
              <w:jc w:val="center"/>
              <w:rPr>
                <w:sz w:val="21"/>
                <w:szCs w:val="21"/>
                <w:lang w:eastAsia="en-US"/>
              </w:rPr>
            </w:pPr>
            <w:r>
              <w:rPr>
                <w:sz w:val="21"/>
                <w:szCs w:val="21"/>
                <w:lang w:eastAsia="en-US"/>
              </w:rPr>
              <w:t>达标</w:t>
            </w:r>
          </w:p>
        </w:tc>
      </w:tr>
      <w:tr w14:paraId="5857402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2B1E782">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34A37D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0807763">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F954BC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CF6D4DA">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1109F9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0619</w:t>
            </w:r>
          </w:p>
        </w:tc>
        <w:tc>
          <w:tcPr>
            <w:tcW w:w="1178" w:type="dxa"/>
            <w:tcBorders>
              <w:tl2br w:val="nil"/>
              <w:tr2bl w:val="nil"/>
            </w:tcBorders>
            <w:shd w:val="clear" w:color="auto" w:fill="auto"/>
            <w:vAlign w:val="center"/>
          </w:tcPr>
          <w:p w14:paraId="7040CE95">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32E2048D">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315B3B17">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1AEEBBD2">
            <w:pPr>
              <w:widowControl/>
              <w:spacing w:line="240" w:lineRule="auto"/>
              <w:jc w:val="center"/>
              <w:rPr>
                <w:sz w:val="21"/>
                <w:szCs w:val="21"/>
                <w:lang w:eastAsia="en-US"/>
              </w:rPr>
            </w:pPr>
            <w:r>
              <w:rPr>
                <w:sz w:val="21"/>
                <w:szCs w:val="21"/>
                <w:lang w:eastAsia="en-US"/>
              </w:rPr>
              <w:t>达标</w:t>
            </w:r>
          </w:p>
        </w:tc>
      </w:tr>
      <w:tr w14:paraId="233F3FD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83E2BF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C98714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23C438E">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BDA606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C8168DD">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6E8521F5">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2D557D1C">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11F36D8">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D7411B0">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2F4CF121">
            <w:pPr>
              <w:widowControl/>
              <w:spacing w:line="240" w:lineRule="auto"/>
              <w:jc w:val="center"/>
              <w:rPr>
                <w:sz w:val="21"/>
                <w:szCs w:val="21"/>
                <w:lang w:eastAsia="en-US"/>
              </w:rPr>
            </w:pPr>
            <w:r>
              <w:rPr>
                <w:sz w:val="21"/>
                <w:szCs w:val="21"/>
                <w:lang w:eastAsia="en-US"/>
              </w:rPr>
              <w:t>达标</w:t>
            </w:r>
          </w:p>
        </w:tc>
      </w:tr>
      <w:tr w14:paraId="06752E8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2264FA06">
            <w:pPr>
              <w:widowControl/>
              <w:spacing w:line="240" w:lineRule="auto"/>
              <w:jc w:val="center"/>
              <w:rPr>
                <w:sz w:val="21"/>
                <w:szCs w:val="21"/>
                <w:lang w:eastAsia="en-US"/>
              </w:rPr>
            </w:pPr>
            <w:r>
              <w:rPr>
                <w:sz w:val="21"/>
                <w:szCs w:val="21"/>
                <w:lang w:eastAsia="en-US"/>
              </w:rPr>
              <w:t>3</w:t>
            </w:r>
          </w:p>
        </w:tc>
        <w:tc>
          <w:tcPr>
            <w:tcW w:w="1141" w:type="dxa"/>
            <w:vMerge w:val="restart"/>
            <w:tcBorders>
              <w:tl2br w:val="nil"/>
              <w:tr2bl w:val="nil"/>
            </w:tcBorders>
            <w:shd w:val="clear" w:color="auto" w:fill="auto"/>
            <w:vAlign w:val="center"/>
          </w:tcPr>
          <w:p w14:paraId="646EC488">
            <w:pPr>
              <w:widowControl/>
              <w:spacing w:line="240" w:lineRule="auto"/>
              <w:jc w:val="center"/>
              <w:rPr>
                <w:sz w:val="21"/>
                <w:szCs w:val="21"/>
                <w:lang w:eastAsia="en-US"/>
              </w:rPr>
            </w:pPr>
            <w:r>
              <w:rPr>
                <w:sz w:val="21"/>
                <w:szCs w:val="21"/>
                <w:lang w:eastAsia="en-US"/>
              </w:rPr>
              <w:t>吴家巷散户居民</w:t>
            </w:r>
          </w:p>
        </w:tc>
        <w:tc>
          <w:tcPr>
            <w:tcW w:w="734" w:type="dxa"/>
            <w:vMerge w:val="restart"/>
            <w:tcBorders>
              <w:tl2br w:val="nil"/>
              <w:tr2bl w:val="nil"/>
            </w:tcBorders>
            <w:shd w:val="clear" w:color="auto" w:fill="auto"/>
            <w:vAlign w:val="center"/>
          </w:tcPr>
          <w:p w14:paraId="25A086D7">
            <w:pPr>
              <w:widowControl/>
              <w:spacing w:line="240" w:lineRule="auto"/>
              <w:jc w:val="center"/>
              <w:rPr>
                <w:sz w:val="21"/>
                <w:szCs w:val="21"/>
                <w:lang w:eastAsia="en-US"/>
              </w:rPr>
            </w:pPr>
            <w:r>
              <w:rPr>
                <w:sz w:val="21"/>
                <w:szCs w:val="21"/>
                <w:lang w:eastAsia="en-US"/>
              </w:rPr>
              <w:t>-</w:t>
            </w:r>
            <w:r>
              <w:rPr>
                <w:rFonts w:hint="eastAsia"/>
                <w:sz w:val="21"/>
                <w:szCs w:val="21"/>
                <w:lang w:eastAsia="en-US"/>
              </w:rPr>
              <w:t>831</w:t>
            </w:r>
          </w:p>
        </w:tc>
        <w:tc>
          <w:tcPr>
            <w:tcW w:w="645" w:type="dxa"/>
            <w:vMerge w:val="restart"/>
            <w:tcBorders>
              <w:tl2br w:val="nil"/>
              <w:tr2bl w:val="nil"/>
            </w:tcBorders>
            <w:shd w:val="clear" w:color="auto" w:fill="auto"/>
            <w:vAlign w:val="center"/>
          </w:tcPr>
          <w:p w14:paraId="32BEAA6B">
            <w:pPr>
              <w:widowControl/>
              <w:spacing w:line="240" w:lineRule="auto"/>
              <w:jc w:val="center"/>
              <w:rPr>
                <w:sz w:val="21"/>
                <w:szCs w:val="21"/>
                <w:lang w:eastAsia="en-US"/>
              </w:rPr>
            </w:pPr>
            <w:r>
              <w:rPr>
                <w:sz w:val="21"/>
                <w:szCs w:val="21"/>
                <w:lang w:eastAsia="en-US"/>
              </w:rPr>
              <w:t>-</w:t>
            </w:r>
            <w:r>
              <w:rPr>
                <w:rFonts w:hint="eastAsia"/>
                <w:sz w:val="21"/>
                <w:szCs w:val="21"/>
                <w:lang w:eastAsia="en-US"/>
              </w:rPr>
              <w:t>199</w:t>
            </w:r>
          </w:p>
        </w:tc>
        <w:tc>
          <w:tcPr>
            <w:tcW w:w="911" w:type="dxa"/>
            <w:tcBorders>
              <w:tl2br w:val="nil"/>
              <w:tr2bl w:val="nil"/>
            </w:tcBorders>
            <w:shd w:val="clear" w:color="auto" w:fill="auto"/>
            <w:vAlign w:val="center"/>
          </w:tcPr>
          <w:p w14:paraId="29BF3239">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695F3D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78" w:type="dxa"/>
            <w:tcBorders>
              <w:tl2br w:val="nil"/>
              <w:tr2bl w:val="nil"/>
            </w:tcBorders>
            <w:shd w:val="clear" w:color="auto" w:fill="auto"/>
            <w:vAlign w:val="center"/>
          </w:tcPr>
          <w:p w14:paraId="4DAC88FA">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349C4D9A">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1B081BE1">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67A81D46">
            <w:pPr>
              <w:widowControl/>
              <w:spacing w:line="240" w:lineRule="auto"/>
              <w:jc w:val="center"/>
              <w:rPr>
                <w:sz w:val="21"/>
                <w:szCs w:val="21"/>
                <w:lang w:eastAsia="en-US"/>
              </w:rPr>
            </w:pPr>
            <w:r>
              <w:rPr>
                <w:sz w:val="21"/>
                <w:szCs w:val="21"/>
                <w:lang w:eastAsia="en-US"/>
              </w:rPr>
              <w:t>达标</w:t>
            </w:r>
          </w:p>
        </w:tc>
      </w:tr>
      <w:tr w14:paraId="5C74D9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09B27F7">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92D35C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30F906D">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14EC008">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9C2FFC2">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035B7B8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78" w:type="dxa"/>
            <w:tcBorders>
              <w:tl2br w:val="nil"/>
              <w:tr2bl w:val="nil"/>
            </w:tcBorders>
            <w:shd w:val="clear" w:color="auto" w:fill="auto"/>
            <w:vAlign w:val="center"/>
          </w:tcPr>
          <w:p w14:paraId="24B2FBF0">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1969B38C">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040A1E76">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107FF851">
            <w:pPr>
              <w:widowControl/>
              <w:spacing w:line="240" w:lineRule="auto"/>
              <w:jc w:val="center"/>
              <w:rPr>
                <w:sz w:val="21"/>
                <w:szCs w:val="21"/>
                <w:lang w:eastAsia="en-US"/>
              </w:rPr>
            </w:pPr>
            <w:r>
              <w:rPr>
                <w:sz w:val="21"/>
                <w:szCs w:val="21"/>
                <w:lang w:eastAsia="en-US"/>
              </w:rPr>
              <w:t>达标</w:t>
            </w:r>
          </w:p>
        </w:tc>
      </w:tr>
      <w:tr w14:paraId="31A6B1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C03081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DE81477">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59FABB2">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81B63E2">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9FD951A">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7711AC18">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347633B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9D7FF2F">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714438CD">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399BE824">
            <w:pPr>
              <w:widowControl/>
              <w:spacing w:line="240" w:lineRule="auto"/>
              <w:jc w:val="center"/>
              <w:rPr>
                <w:sz w:val="21"/>
                <w:szCs w:val="21"/>
                <w:lang w:eastAsia="en-US"/>
              </w:rPr>
            </w:pPr>
            <w:r>
              <w:rPr>
                <w:sz w:val="21"/>
                <w:szCs w:val="21"/>
                <w:lang w:eastAsia="en-US"/>
              </w:rPr>
              <w:t>达标</w:t>
            </w:r>
          </w:p>
        </w:tc>
      </w:tr>
      <w:tr w14:paraId="3668A0C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05714ADC">
            <w:pPr>
              <w:widowControl/>
              <w:spacing w:line="240" w:lineRule="auto"/>
              <w:jc w:val="center"/>
              <w:rPr>
                <w:sz w:val="21"/>
                <w:szCs w:val="21"/>
                <w:lang w:eastAsia="en-US"/>
              </w:rPr>
            </w:pPr>
            <w:r>
              <w:rPr>
                <w:sz w:val="21"/>
                <w:szCs w:val="21"/>
                <w:lang w:eastAsia="en-US"/>
              </w:rPr>
              <w:t>4</w:t>
            </w:r>
          </w:p>
        </w:tc>
        <w:tc>
          <w:tcPr>
            <w:tcW w:w="1141" w:type="dxa"/>
            <w:vMerge w:val="restart"/>
            <w:tcBorders>
              <w:tl2br w:val="nil"/>
              <w:tr2bl w:val="nil"/>
            </w:tcBorders>
            <w:shd w:val="clear" w:color="auto" w:fill="auto"/>
            <w:vAlign w:val="center"/>
          </w:tcPr>
          <w:p w14:paraId="0DD7D142">
            <w:pPr>
              <w:widowControl/>
              <w:spacing w:line="240" w:lineRule="auto"/>
              <w:jc w:val="center"/>
              <w:rPr>
                <w:sz w:val="21"/>
                <w:szCs w:val="21"/>
                <w:lang w:eastAsia="en-US"/>
              </w:rPr>
            </w:pPr>
            <w:r>
              <w:rPr>
                <w:sz w:val="21"/>
                <w:szCs w:val="21"/>
                <w:lang w:eastAsia="en-US"/>
              </w:rPr>
              <w:t>黄莺花苑小区</w:t>
            </w:r>
          </w:p>
        </w:tc>
        <w:tc>
          <w:tcPr>
            <w:tcW w:w="734" w:type="dxa"/>
            <w:vMerge w:val="restart"/>
            <w:tcBorders>
              <w:tl2br w:val="nil"/>
              <w:tr2bl w:val="nil"/>
            </w:tcBorders>
            <w:shd w:val="clear" w:color="auto" w:fill="auto"/>
            <w:vAlign w:val="center"/>
          </w:tcPr>
          <w:p w14:paraId="7CEAD6B8">
            <w:pPr>
              <w:widowControl/>
              <w:spacing w:line="240" w:lineRule="auto"/>
              <w:jc w:val="center"/>
              <w:rPr>
                <w:sz w:val="21"/>
                <w:szCs w:val="21"/>
                <w:lang w:eastAsia="en-US"/>
              </w:rPr>
            </w:pPr>
            <w:r>
              <w:rPr>
                <w:sz w:val="21"/>
                <w:szCs w:val="21"/>
                <w:lang w:eastAsia="en-US"/>
              </w:rPr>
              <w:t>-</w:t>
            </w:r>
            <w:r>
              <w:rPr>
                <w:rFonts w:hint="eastAsia"/>
                <w:sz w:val="21"/>
                <w:szCs w:val="21"/>
                <w:lang w:eastAsia="en-US"/>
              </w:rPr>
              <w:t>857</w:t>
            </w:r>
          </w:p>
        </w:tc>
        <w:tc>
          <w:tcPr>
            <w:tcW w:w="645" w:type="dxa"/>
            <w:vMerge w:val="restart"/>
            <w:tcBorders>
              <w:tl2br w:val="nil"/>
              <w:tr2bl w:val="nil"/>
            </w:tcBorders>
            <w:shd w:val="clear" w:color="auto" w:fill="auto"/>
            <w:vAlign w:val="center"/>
          </w:tcPr>
          <w:p w14:paraId="38924199">
            <w:pPr>
              <w:widowControl/>
              <w:spacing w:line="240" w:lineRule="auto"/>
              <w:jc w:val="center"/>
              <w:rPr>
                <w:sz w:val="21"/>
                <w:szCs w:val="21"/>
                <w:lang w:eastAsia="en-US"/>
              </w:rPr>
            </w:pPr>
            <w:r>
              <w:rPr>
                <w:rFonts w:hint="eastAsia"/>
                <w:sz w:val="21"/>
                <w:szCs w:val="21"/>
                <w:lang w:eastAsia="en-US"/>
              </w:rPr>
              <w:t>-507</w:t>
            </w:r>
          </w:p>
        </w:tc>
        <w:tc>
          <w:tcPr>
            <w:tcW w:w="911" w:type="dxa"/>
            <w:tcBorders>
              <w:tl2br w:val="nil"/>
              <w:tr2bl w:val="nil"/>
            </w:tcBorders>
            <w:shd w:val="clear" w:color="auto" w:fill="auto"/>
            <w:vAlign w:val="center"/>
          </w:tcPr>
          <w:p w14:paraId="764F374B">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5E66F24">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052719</w:t>
            </w:r>
          </w:p>
        </w:tc>
        <w:tc>
          <w:tcPr>
            <w:tcW w:w="1178" w:type="dxa"/>
            <w:tcBorders>
              <w:tl2br w:val="nil"/>
              <w:tr2bl w:val="nil"/>
            </w:tcBorders>
            <w:shd w:val="clear" w:color="auto" w:fill="auto"/>
            <w:vAlign w:val="center"/>
          </w:tcPr>
          <w:p w14:paraId="2600488B">
            <w:pPr>
              <w:widowControl w:val="0"/>
              <w:jc w:val="center"/>
              <w:rPr>
                <w:sz w:val="21"/>
                <w:szCs w:val="21"/>
                <w:lang w:eastAsia="en-US"/>
              </w:rPr>
            </w:pPr>
            <w:r>
              <w:rPr>
                <w:sz w:val="21"/>
                <w:szCs w:val="21"/>
                <w:lang w:eastAsia="en-US"/>
              </w:rPr>
              <w:t>0.0003</w:t>
            </w:r>
          </w:p>
        </w:tc>
        <w:tc>
          <w:tcPr>
            <w:tcW w:w="911" w:type="dxa"/>
            <w:tcBorders>
              <w:tl2br w:val="nil"/>
              <w:tr2bl w:val="nil"/>
            </w:tcBorders>
            <w:shd w:val="clear" w:color="auto" w:fill="auto"/>
            <w:vAlign w:val="center"/>
          </w:tcPr>
          <w:p w14:paraId="7314DA0D">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333DB0DF">
            <w:pPr>
              <w:widowControl w:val="0"/>
              <w:jc w:val="center"/>
              <w:rPr>
                <w:sz w:val="21"/>
                <w:szCs w:val="21"/>
                <w:lang w:eastAsia="en-US"/>
              </w:rPr>
            </w:pPr>
            <w:r>
              <w:rPr>
                <w:sz w:val="21"/>
                <w:szCs w:val="21"/>
                <w:lang w:eastAsia="en-US"/>
              </w:rPr>
              <w:t>0.06</w:t>
            </w:r>
          </w:p>
        </w:tc>
        <w:tc>
          <w:tcPr>
            <w:tcW w:w="713" w:type="dxa"/>
            <w:tcBorders>
              <w:tl2br w:val="nil"/>
              <w:tr2bl w:val="nil"/>
            </w:tcBorders>
            <w:shd w:val="clear" w:color="auto" w:fill="auto"/>
            <w:vAlign w:val="center"/>
          </w:tcPr>
          <w:p w14:paraId="43589831">
            <w:pPr>
              <w:widowControl/>
              <w:spacing w:line="240" w:lineRule="auto"/>
              <w:jc w:val="center"/>
              <w:rPr>
                <w:sz w:val="21"/>
                <w:szCs w:val="21"/>
                <w:lang w:eastAsia="en-US"/>
              </w:rPr>
            </w:pPr>
            <w:r>
              <w:rPr>
                <w:sz w:val="21"/>
                <w:szCs w:val="21"/>
                <w:lang w:eastAsia="en-US"/>
              </w:rPr>
              <w:t>达标</w:t>
            </w:r>
          </w:p>
        </w:tc>
      </w:tr>
      <w:tr w14:paraId="5FD6C83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7ED6ED8">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8FB69C8">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B973FDD">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D51339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3CAEA1F">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2369CDCB">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0527</w:t>
            </w:r>
          </w:p>
        </w:tc>
        <w:tc>
          <w:tcPr>
            <w:tcW w:w="1178" w:type="dxa"/>
            <w:tcBorders>
              <w:tl2br w:val="nil"/>
              <w:tr2bl w:val="nil"/>
            </w:tcBorders>
            <w:shd w:val="clear" w:color="auto" w:fill="auto"/>
            <w:vAlign w:val="center"/>
          </w:tcPr>
          <w:p w14:paraId="7DA1DE76">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2A9F7D3D">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83F5F31">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64C4514F">
            <w:pPr>
              <w:widowControl/>
              <w:spacing w:line="240" w:lineRule="auto"/>
              <w:jc w:val="center"/>
              <w:rPr>
                <w:sz w:val="21"/>
                <w:szCs w:val="21"/>
                <w:lang w:eastAsia="en-US"/>
              </w:rPr>
            </w:pPr>
            <w:r>
              <w:rPr>
                <w:sz w:val="21"/>
                <w:szCs w:val="21"/>
                <w:lang w:eastAsia="en-US"/>
              </w:rPr>
              <w:t>达标</w:t>
            </w:r>
          </w:p>
        </w:tc>
      </w:tr>
      <w:tr w14:paraId="1532C8C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28BF142">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923043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52F2708">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973A3C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1BDDC31">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4C107DEA">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3FA488F3">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07425DC">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20088DC2">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19073083">
            <w:pPr>
              <w:widowControl/>
              <w:spacing w:line="240" w:lineRule="auto"/>
              <w:jc w:val="center"/>
              <w:rPr>
                <w:sz w:val="21"/>
                <w:szCs w:val="21"/>
                <w:lang w:eastAsia="en-US"/>
              </w:rPr>
            </w:pPr>
            <w:r>
              <w:rPr>
                <w:sz w:val="21"/>
                <w:szCs w:val="21"/>
                <w:lang w:eastAsia="en-US"/>
              </w:rPr>
              <w:t>达标</w:t>
            </w:r>
          </w:p>
        </w:tc>
      </w:tr>
      <w:tr w14:paraId="76E3166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176EFB1A">
            <w:pPr>
              <w:widowControl/>
              <w:spacing w:line="240" w:lineRule="auto"/>
              <w:jc w:val="center"/>
              <w:rPr>
                <w:sz w:val="21"/>
                <w:szCs w:val="21"/>
                <w:lang w:eastAsia="en-US"/>
              </w:rPr>
            </w:pPr>
            <w:r>
              <w:rPr>
                <w:sz w:val="21"/>
                <w:szCs w:val="21"/>
                <w:lang w:eastAsia="en-US"/>
              </w:rPr>
              <w:t>5</w:t>
            </w:r>
          </w:p>
        </w:tc>
        <w:tc>
          <w:tcPr>
            <w:tcW w:w="1141" w:type="dxa"/>
            <w:vMerge w:val="restart"/>
            <w:tcBorders>
              <w:tl2br w:val="nil"/>
              <w:tr2bl w:val="nil"/>
            </w:tcBorders>
            <w:shd w:val="clear" w:color="auto" w:fill="auto"/>
            <w:vAlign w:val="center"/>
          </w:tcPr>
          <w:p w14:paraId="28A84682">
            <w:pPr>
              <w:widowControl/>
              <w:spacing w:line="240" w:lineRule="auto"/>
              <w:jc w:val="center"/>
              <w:rPr>
                <w:sz w:val="21"/>
                <w:szCs w:val="21"/>
                <w:lang w:eastAsia="en-US"/>
              </w:rPr>
            </w:pPr>
            <w:r>
              <w:rPr>
                <w:sz w:val="21"/>
                <w:szCs w:val="21"/>
                <w:lang w:eastAsia="en-US"/>
              </w:rPr>
              <w:t>城南御花园小区</w:t>
            </w:r>
          </w:p>
        </w:tc>
        <w:tc>
          <w:tcPr>
            <w:tcW w:w="734" w:type="dxa"/>
            <w:vMerge w:val="restart"/>
            <w:tcBorders>
              <w:tl2br w:val="nil"/>
              <w:tr2bl w:val="nil"/>
            </w:tcBorders>
            <w:shd w:val="clear" w:color="auto" w:fill="auto"/>
            <w:vAlign w:val="center"/>
          </w:tcPr>
          <w:p w14:paraId="7A507A53">
            <w:pPr>
              <w:widowControl/>
              <w:spacing w:line="240" w:lineRule="auto"/>
              <w:jc w:val="center"/>
              <w:rPr>
                <w:sz w:val="21"/>
                <w:szCs w:val="21"/>
                <w:lang w:eastAsia="en-US"/>
              </w:rPr>
            </w:pPr>
            <w:r>
              <w:rPr>
                <w:rFonts w:hint="eastAsia"/>
                <w:sz w:val="21"/>
                <w:szCs w:val="21"/>
                <w:lang w:eastAsia="en-US"/>
              </w:rPr>
              <w:t>-900</w:t>
            </w:r>
          </w:p>
        </w:tc>
        <w:tc>
          <w:tcPr>
            <w:tcW w:w="645" w:type="dxa"/>
            <w:vMerge w:val="restart"/>
            <w:tcBorders>
              <w:tl2br w:val="nil"/>
              <w:tr2bl w:val="nil"/>
            </w:tcBorders>
            <w:shd w:val="clear" w:color="auto" w:fill="auto"/>
            <w:vAlign w:val="center"/>
          </w:tcPr>
          <w:p w14:paraId="26468031">
            <w:pPr>
              <w:widowControl/>
              <w:spacing w:line="240" w:lineRule="auto"/>
              <w:jc w:val="center"/>
              <w:rPr>
                <w:sz w:val="21"/>
                <w:szCs w:val="21"/>
                <w:lang w:eastAsia="en-US"/>
              </w:rPr>
            </w:pPr>
            <w:r>
              <w:rPr>
                <w:sz w:val="21"/>
                <w:szCs w:val="21"/>
                <w:lang w:eastAsia="en-US"/>
              </w:rPr>
              <w:t>-</w:t>
            </w:r>
            <w:r>
              <w:rPr>
                <w:rFonts w:hint="eastAsia"/>
                <w:sz w:val="21"/>
                <w:szCs w:val="21"/>
                <w:lang w:eastAsia="en-US"/>
              </w:rPr>
              <w:t>684</w:t>
            </w:r>
          </w:p>
        </w:tc>
        <w:tc>
          <w:tcPr>
            <w:tcW w:w="911" w:type="dxa"/>
            <w:tcBorders>
              <w:tl2br w:val="nil"/>
              <w:tr2bl w:val="nil"/>
            </w:tcBorders>
            <w:shd w:val="clear" w:color="auto" w:fill="auto"/>
            <w:vAlign w:val="center"/>
          </w:tcPr>
          <w:p w14:paraId="46F22734">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2535B2C7">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78" w:type="dxa"/>
            <w:tcBorders>
              <w:tl2br w:val="nil"/>
              <w:tr2bl w:val="nil"/>
            </w:tcBorders>
            <w:shd w:val="clear" w:color="auto" w:fill="auto"/>
            <w:vAlign w:val="center"/>
          </w:tcPr>
          <w:p w14:paraId="7E17A486">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34607B9D">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5421E987">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48D30CCF">
            <w:pPr>
              <w:widowControl/>
              <w:spacing w:line="240" w:lineRule="auto"/>
              <w:jc w:val="center"/>
              <w:rPr>
                <w:sz w:val="21"/>
                <w:szCs w:val="21"/>
                <w:lang w:eastAsia="en-US"/>
              </w:rPr>
            </w:pPr>
            <w:r>
              <w:rPr>
                <w:sz w:val="21"/>
                <w:szCs w:val="21"/>
                <w:lang w:eastAsia="en-US"/>
              </w:rPr>
              <w:t>达标</w:t>
            </w:r>
          </w:p>
        </w:tc>
      </w:tr>
      <w:tr w14:paraId="4DFF537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8B416AE">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8B7FF7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F6D89FE">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8DDD63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485A635">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FEC7583">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78" w:type="dxa"/>
            <w:tcBorders>
              <w:tl2br w:val="nil"/>
              <w:tr2bl w:val="nil"/>
            </w:tcBorders>
            <w:shd w:val="clear" w:color="auto" w:fill="auto"/>
            <w:vAlign w:val="center"/>
          </w:tcPr>
          <w:p w14:paraId="225C8BFC">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7424C2C9">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7F834A13">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2D0C2EDA">
            <w:pPr>
              <w:widowControl/>
              <w:spacing w:line="240" w:lineRule="auto"/>
              <w:jc w:val="center"/>
              <w:rPr>
                <w:sz w:val="21"/>
                <w:szCs w:val="21"/>
                <w:lang w:eastAsia="en-US"/>
              </w:rPr>
            </w:pPr>
            <w:r>
              <w:rPr>
                <w:sz w:val="21"/>
                <w:szCs w:val="21"/>
                <w:lang w:eastAsia="en-US"/>
              </w:rPr>
              <w:t>达标</w:t>
            </w:r>
          </w:p>
        </w:tc>
      </w:tr>
      <w:tr w14:paraId="534FCB4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D0F0B2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3898AF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F2459A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8C8B9EC">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8C3D751">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6DC62673">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791B321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9C32E48">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138F950">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6BE302FE">
            <w:pPr>
              <w:widowControl/>
              <w:spacing w:line="240" w:lineRule="auto"/>
              <w:jc w:val="center"/>
              <w:rPr>
                <w:sz w:val="21"/>
                <w:szCs w:val="21"/>
                <w:lang w:eastAsia="en-US"/>
              </w:rPr>
            </w:pPr>
            <w:r>
              <w:rPr>
                <w:sz w:val="21"/>
                <w:szCs w:val="21"/>
                <w:lang w:eastAsia="en-US"/>
              </w:rPr>
              <w:t>达标</w:t>
            </w:r>
          </w:p>
        </w:tc>
      </w:tr>
      <w:tr w14:paraId="6EAB25E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A47A932">
            <w:pPr>
              <w:widowControl/>
              <w:spacing w:line="240" w:lineRule="auto"/>
              <w:jc w:val="center"/>
              <w:rPr>
                <w:sz w:val="21"/>
                <w:szCs w:val="21"/>
                <w:lang w:eastAsia="en-US"/>
              </w:rPr>
            </w:pPr>
            <w:r>
              <w:rPr>
                <w:sz w:val="21"/>
                <w:szCs w:val="21"/>
                <w:lang w:eastAsia="en-US"/>
              </w:rPr>
              <w:t>6</w:t>
            </w:r>
          </w:p>
        </w:tc>
        <w:tc>
          <w:tcPr>
            <w:tcW w:w="1141" w:type="dxa"/>
            <w:vMerge w:val="restart"/>
            <w:tcBorders>
              <w:tl2br w:val="nil"/>
              <w:tr2bl w:val="nil"/>
            </w:tcBorders>
            <w:shd w:val="clear" w:color="auto" w:fill="auto"/>
            <w:vAlign w:val="center"/>
          </w:tcPr>
          <w:p w14:paraId="06D59B25">
            <w:pPr>
              <w:widowControl/>
              <w:spacing w:line="240" w:lineRule="auto"/>
              <w:jc w:val="center"/>
              <w:rPr>
                <w:sz w:val="21"/>
                <w:szCs w:val="21"/>
                <w:lang w:eastAsia="en-US"/>
              </w:rPr>
            </w:pPr>
            <w:r>
              <w:rPr>
                <w:sz w:val="21"/>
                <w:szCs w:val="21"/>
                <w:lang w:eastAsia="en-US"/>
              </w:rPr>
              <w:t>润玉时代城小区</w:t>
            </w:r>
          </w:p>
        </w:tc>
        <w:tc>
          <w:tcPr>
            <w:tcW w:w="734" w:type="dxa"/>
            <w:vMerge w:val="restart"/>
            <w:tcBorders>
              <w:tl2br w:val="nil"/>
              <w:tr2bl w:val="nil"/>
            </w:tcBorders>
            <w:shd w:val="clear" w:color="auto" w:fill="auto"/>
            <w:vAlign w:val="center"/>
          </w:tcPr>
          <w:p w14:paraId="14A5F9F1">
            <w:pPr>
              <w:widowControl/>
              <w:spacing w:line="240" w:lineRule="auto"/>
              <w:jc w:val="center"/>
              <w:rPr>
                <w:sz w:val="21"/>
                <w:szCs w:val="21"/>
                <w:lang w:eastAsia="en-US"/>
              </w:rPr>
            </w:pPr>
            <w:r>
              <w:rPr>
                <w:rFonts w:hint="eastAsia"/>
                <w:sz w:val="21"/>
                <w:szCs w:val="21"/>
                <w:lang w:eastAsia="en-US"/>
              </w:rPr>
              <w:t>-1306</w:t>
            </w:r>
          </w:p>
        </w:tc>
        <w:tc>
          <w:tcPr>
            <w:tcW w:w="645" w:type="dxa"/>
            <w:vMerge w:val="restart"/>
            <w:tcBorders>
              <w:tl2br w:val="nil"/>
              <w:tr2bl w:val="nil"/>
            </w:tcBorders>
            <w:shd w:val="clear" w:color="auto" w:fill="auto"/>
            <w:vAlign w:val="center"/>
          </w:tcPr>
          <w:p w14:paraId="501E9B57">
            <w:pPr>
              <w:widowControl/>
              <w:spacing w:line="240" w:lineRule="auto"/>
              <w:jc w:val="center"/>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1" w:type="dxa"/>
            <w:tcBorders>
              <w:tl2br w:val="nil"/>
              <w:tr2bl w:val="nil"/>
            </w:tcBorders>
            <w:shd w:val="clear" w:color="auto" w:fill="auto"/>
            <w:vAlign w:val="center"/>
          </w:tcPr>
          <w:p w14:paraId="477B9A53">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109E52B">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070421</w:t>
            </w:r>
          </w:p>
        </w:tc>
        <w:tc>
          <w:tcPr>
            <w:tcW w:w="1178" w:type="dxa"/>
            <w:tcBorders>
              <w:tl2br w:val="nil"/>
              <w:tr2bl w:val="nil"/>
            </w:tcBorders>
            <w:shd w:val="clear" w:color="auto" w:fill="auto"/>
            <w:vAlign w:val="center"/>
          </w:tcPr>
          <w:p w14:paraId="3F2A8FD4">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1168D548">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35B54B7">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43EDFB5B">
            <w:pPr>
              <w:widowControl/>
              <w:spacing w:line="240" w:lineRule="auto"/>
              <w:jc w:val="center"/>
              <w:rPr>
                <w:sz w:val="21"/>
                <w:szCs w:val="21"/>
                <w:lang w:eastAsia="en-US"/>
              </w:rPr>
            </w:pPr>
            <w:r>
              <w:rPr>
                <w:sz w:val="21"/>
                <w:szCs w:val="21"/>
                <w:lang w:eastAsia="en-US"/>
              </w:rPr>
              <w:t>达标</w:t>
            </w:r>
          </w:p>
        </w:tc>
      </w:tr>
      <w:tr w14:paraId="4564DD7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D5FB00F">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682D151">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CA9D797">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401AAD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D267E22">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14AC4653">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0704</w:t>
            </w:r>
          </w:p>
        </w:tc>
        <w:tc>
          <w:tcPr>
            <w:tcW w:w="1178" w:type="dxa"/>
            <w:tcBorders>
              <w:tl2br w:val="nil"/>
              <w:tr2bl w:val="nil"/>
            </w:tcBorders>
            <w:shd w:val="clear" w:color="auto" w:fill="auto"/>
            <w:vAlign w:val="center"/>
          </w:tcPr>
          <w:p w14:paraId="0F8F3F9B">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363260EB">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583B2FD4">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578B0C58">
            <w:pPr>
              <w:widowControl/>
              <w:spacing w:line="240" w:lineRule="auto"/>
              <w:jc w:val="center"/>
              <w:rPr>
                <w:sz w:val="21"/>
                <w:szCs w:val="21"/>
                <w:lang w:eastAsia="en-US"/>
              </w:rPr>
            </w:pPr>
            <w:r>
              <w:rPr>
                <w:sz w:val="21"/>
                <w:szCs w:val="21"/>
                <w:lang w:eastAsia="en-US"/>
              </w:rPr>
              <w:t>达标</w:t>
            </w:r>
          </w:p>
        </w:tc>
      </w:tr>
      <w:tr w14:paraId="086DD12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182B62C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8431AC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3A7F716">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32B221C">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8364BB7">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D8257FB">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33ACCBB8">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C91ED76">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1027C5DB">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3DEBD0AD">
            <w:pPr>
              <w:widowControl/>
              <w:spacing w:line="240" w:lineRule="auto"/>
              <w:jc w:val="center"/>
              <w:rPr>
                <w:sz w:val="21"/>
                <w:szCs w:val="21"/>
                <w:lang w:eastAsia="en-US"/>
              </w:rPr>
            </w:pPr>
            <w:r>
              <w:rPr>
                <w:sz w:val="21"/>
                <w:szCs w:val="21"/>
                <w:lang w:eastAsia="en-US"/>
              </w:rPr>
              <w:t>达标</w:t>
            </w:r>
          </w:p>
        </w:tc>
      </w:tr>
      <w:tr w14:paraId="03B4D5C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931407D">
            <w:pPr>
              <w:widowControl/>
              <w:spacing w:line="240" w:lineRule="auto"/>
              <w:jc w:val="center"/>
              <w:rPr>
                <w:sz w:val="21"/>
                <w:szCs w:val="21"/>
                <w:lang w:eastAsia="en-US"/>
              </w:rPr>
            </w:pPr>
            <w:r>
              <w:rPr>
                <w:sz w:val="21"/>
                <w:szCs w:val="21"/>
                <w:lang w:eastAsia="en-US"/>
              </w:rPr>
              <w:t>7</w:t>
            </w:r>
          </w:p>
        </w:tc>
        <w:tc>
          <w:tcPr>
            <w:tcW w:w="1141" w:type="dxa"/>
            <w:vMerge w:val="restart"/>
            <w:tcBorders>
              <w:tl2br w:val="nil"/>
              <w:tr2bl w:val="nil"/>
            </w:tcBorders>
            <w:shd w:val="clear" w:color="auto" w:fill="auto"/>
            <w:vAlign w:val="center"/>
          </w:tcPr>
          <w:p w14:paraId="409698AA">
            <w:pPr>
              <w:widowControl/>
              <w:spacing w:line="240" w:lineRule="auto"/>
              <w:jc w:val="center"/>
              <w:rPr>
                <w:sz w:val="21"/>
                <w:szCs w:val="21"/>
                <w:lang w:eastAsia="en-US"/>
              </w:rPr>
            </w:pPr>
            <w:r>
              <w:rPr>
                <w:sz w:val="21"/>
                <w:szCs w:val="21"/>
                <w:lang w:eastAsia="en-US"/>
              </w:rPr>
              <w:t>山塘学校</w:t>
            </w:r>
          </w:p>
        </w:tc>
        <w:tc>
          <w:tcPr>
            <w:tcW w:w="734" w:type="dxa"/>
            <w:vMerge w:val="restart"/>
            <w:tcBorders>
              <w:tl2br w:val="nil"/>
              <w:tr2bl w:val="nil"/>
            </w:tcBorders>
            <w:shd w:val="clear" w:color="auto" w:fill="auto"/>
            <w:vAlign w:val="center"/>
          </w:tcPr>
          <w:p w14:paraId="0E58A529">
            <w:pPr>
              <w:widowControl/>
              <w:spacing w:line="240" w:lineRule="auto"/>
              <w:jc w:val="center"/>
              <w:rPr>
                <w:sz w:val="21"/>
                <w:szCs w:val="21"/>
                <w:lang w:eastAsia="en-US"/>
              </w:rPr>
            </w:pPr>
            <w:r>
              <w:rPr>
                <w:sz w:val="21"/>
                <w:szCs w:val="21"/>
                <w:lang w:eastAsia="en-US"/>
              </w:rPr>
              <w:t>-</w:t>
            </w:r>
            <w:r>
              <w:rPr>
                <w:rFonts w:hint="eastAsia"/>
                <w:sz w:val="21"/>
                <w:szCs w:val="21"/>
                <w:lang w:eastAsia="en-US"/>
              </w:rPr>
              <w:t>1230</w:t>
            </w:r>
          </w:p>
        </w:tc>
        <w:tc>
          <w:tcPr>
            <w:tcW w:w="645" w:type="dxa"/>
            <w:vMerge w:val="restart"/>
            <w:tcBorders>
              <w:tl2br w:val="nil"/>
              <w:tr2bl w:val="nil"/>
            </w:tcBorders>
            <w:shd w:val="clear" w:color="auto" w:fill="auto"/>
            <w:vAlign w:val="center"/>
          </w:tcPr>
          <w:p w14:paraId="01753069">
            <w:pPr>
              <w:widowControl/>
              <w:spacing w:line="240" w:lineRule="auto"/>
              <w:jc w:val="center"/>
              <w:rPr>
                <w:sz w:val="21"/>
                <w:szCs w:val="21"/>
                <w:lang w:eastAsia="en-US"/>
              </w:rPr>
            </w:pPr>
            <w:r>
              <w:rPr>
                <w:sz w:val="21"/>
                <w:szCs w:val="21"/>
                <w:lang w:eastAsia="en-US"/>
              </w:rPr>
              <w:t>-</w:t>
            </w:r>
            <w:r>
              <w:rPr>
                <w:rFonts w:hint="eastAsia"/>
                <w:sz w:val="21"/>
                <w:szCs w:val="21"/>
                <w:lang w:eastAsia="en-US"/>
              </w:rPr>
              <w:t>525</w:t>
            </w:r>
          </w:p>
        </w:tc>
        <w:tc>
          <w:tcPr>
            <w:tcW w:w="911" w:type="dxa"/>
            <w:tcBorders>
              <w:tl2br w:val="nil"/>
              <w:tr2bl w:val="nil"/>
            </w:tcBorders>
            <w:shd w:val="clear" w:color="auto" w:fill="auto"/>
            <w:vAlign w:val="center"/>
          </w:tcPr>
          <w:p w14:paraId="7D9B2517">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EFDF751">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070322</w:t>
            </w:r>
          </w:p>
        </w:tc>
        <w:tc>
          <w:tcPr>
            <w:tcW w:w="1178" w:type="dxa"/>
            <w:tcBorders>
              <w:tl2br w:val="nil"/>
              <w:tr2bl w:val="nil"/>
            </w:tcBorders>
            <w:shd w:val="clear" w:color="auto" w:fill="auto"/>
            <w:vAlign w:val="center"/>
          </w:tcPr>
          <w:p w14:paraId="49883FDF">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3EF981E9">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65C0CB9">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729991AD">
            <w:pPr>
              <w:widowControl/>
              <w:spacing w:line="240" w:lineRule="auto"/>
              <w:jc w:val="center"/>
              <w:rPr>
                <w:sz w:val="21"/>
                <w:szCs w:val="21"/>
                <w:lang w:eastAsia="en-US"/>
              </w:rPr>
            </w:pPr>
            <w:r>
              <w:rPr>
                <w:sz w:val="21"/>
                <w:szCs w:val="21"/>
                <w:lang w:eastAsia="en-US"/>
              </w:rPr>
              <w:t>达标</w:t>
            </w:r>
          </w:p>
        </w:tc>
      </w:tr>
      <w:tr w14:paraId="3A216F9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803C3C8">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660DE4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BC25FC8">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F63C00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3B34EDA">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583ABC0F">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0702</w:t>
            </w:r>
          </w:p>
        </w:tc>
        <w:tc>
          <w:tcPr>
            <w:tcW w:w="1178" w:type="dxa"/>
            <w:tcBorders>
              <w:tl2br w:val="nil"/>
              <w:tr2bl w:val="nil"/>
            </w:tcBorders>
            <w:shd w:val="clear" w:color="auto" w:fill="auto"/>
            <w:vAlign w:val="center"/>
          </w:tcPr>
          <w:p w14:paraId="7B588B0A">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508A50E9">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3562775E">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303233D1">
            <w:pPr>
              <w:widowControl/>
              <w:spacing w:line="240" w:lineRule="auto"/>
              <w:jc w:val="center"/>
              <w:rPr>
                <w:sz w:val="21"/>
                <w:szCs w:val="21"/>
                <w:lang w:eastAsia="en-US"/>
              </w:rPr>
            </w:pPr>
            <w:r>
              <w:rPr>
                <w:sz w:val="21"/>
                <w:szCs w:val="21"/>
                <w:lang w:eastAsia="en-US"/>
              </w:rPr>
              <w:t>达标</w:t>
            </w:r>
          </w:p>
        </w:tc>
      </w:tr>
      <w:tr w14:paraId="75CC11D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483CB0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0CA7AA4">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9F7D752">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6FAEEB7">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B0AB53B">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7F866D2">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02D68CF3">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AB9BD99">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61D613D3">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7D18B93B">
            <w:pPr>
              <w:widowControl/>
              <w:spacing w:line="240" w:lineRule="auto"/>
              <w:jc w:val="center"/>
              <w:rPr>
                <w:sz w:val="21"/>
                <w:szCs w:val="21"/>
                <w:lang w:eastAsia="en-US"/>
              </w:rPr>
            </w:pPr>
            <w:r>
              <w:rPr>
                <w:sz w:val="21"/>
                <w:szCs w:val="21"/>
                <w:lang w:eastAsia="en-US"/>
              </w:rPr>
              <w:t>达标</w:t>
            </w:r>
          </w:p>
        </w:tc>
      </w:tr>
      <w:tr w14:paraId="586CD3F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848B0FF">
            <w:pPr>
              <w:widowControl/>
              <w:spacing w:line="240" w:lineRule="auto"/>
              <w:jc w:val="center"/>
              <w:rPr>
                <w:sz w:val="21"/>
                <w:szCs w:val="21"/>
                <w:lang w:eastAsia="en-US"/>
              </w:rPr>
            </w:pPr>
            <w:r>
              <w:rPr>
                <w:sz w:val="21"/>
                <w:szCs w:val="21"/>
                <w:lang w:eastAsia="en-US"/>
              </w:rPr>
              <w:t>8</w:t>
            </w:r>
          </w:p>
        </w:tc>
        <w:tc>
          <w:tcPr>
            <w:tcW w:w="1141" w:type="dxa"/>
            <w:vMerge w:val="restart"/>
            <w:tcBorders>
              <w:tl2br w:val="nil"/>
              <w:tr2bl w:val="nil"/>
            </w:tcBorders>
            <w:shd w:val="clear" w:color="auto" w:fill="auto"/>
            <w:vAlign w:val="center"/>
          </w:tcPr>
          <w:p w14:paraId="6BDC049E">
            <w:pPr>
              <w:widowControl/>
              <w:spacing w:line="240" w:lineRule="auto"/>
              <w:jc w:val="center"/>
              <w:rPr>
                <w:sz w:val="21"/>
                <w:szCs w:val="21"/>
                <w:lang w:eastAsia="en-US"/>
              </w:rPr>
            </w:pPr>
            <w:r>
              <w:rPr>
                <w:sz w:val="21"/>
                <w:szCs w:val="21"/>
                <w:lang w:eastAsia="en-US"/>
              </w:rPr>
              <w:t>和园小区</w:t>
            </w:r>
          </w:p>
        </w:tc>
        <w:tc>
          <w:tcPr>
            <w:tcW w:w="734" w:type="dxa"/>
            <w:vMerge w:val="restart"/>
            <w:tcBorders>
              <w:tl2br w:val="nil"/>
              <w:tr2bl w:val="nil"/>
            </w:tcBorders>
            <w:shd w:val="clear" w:color="auto" w:fill="auto"/>
            <w:vAlign w:val="center"/>
          </w:tcPr>
          <w:p w14:paraId="6463A21C">
            <w:pPr>
              <w:widowControl/>
              <w:spacing w:line="240" w:lineRule="auto"/>
              <w:jc w:val="center"/>
              <w:rPr>
                <w:sz w:val="21"/>
                <w:szCs w:val="21"/>
                <w:lang w:eastAsia="en-US"/>
              </w:rPr>
            </w:pPr>
            <w:r>
              <w:rPr>
                <w:rFonts w:hint="eastAsia"/>
                <w:sz w:val="21"/>
                <w:szCs w:val="21"/>
                <w:lang w:eastAsia="en-US"/>
              </w:rPr>
              <w:t>-1099</w:t>
            </w:r>
          </w:p>
        </w:tc>
        <w:tc>
          <w:tcPr>
            <w:tcW w:w="645" w:type="dxa"/>
            <w:vMerge w:val="restart"/>
            <w:tcBorders>
              <w:tl2br w:val="nil"/>
              <w:tr2bl w:val="nil"/>
            </w:tcBorders>
            <w:shd w:val="clear" w:color="auto" w:fill="auto"/>
            <w:vAlign w:val="center"/>
          </w:tcPr>
          <w:p w14:paraId="41B93BF9">
            <w:pPr>
              <w:widowControl/>
              <w:spacing w:line="240" w:lineRule="auto"/>
              <w:jc w:val="center"/>
              <w:rPr>
                <w:sz w:val="21"/>
                <w:szCs w:val="21"/>
                <w:lang w:eastAsia="en-US"/>
              </w:rPr>
            </w:pPr>
            <w:r>
              <w:rPr>
                <w:rFonts w:hint="eastAsia"/>
                <w:sz w:val="21"/>
                <w:szCs w:val="21"/>
                <w:lang w:eastAsia="en-US"/>
              </w:rPr>
              <w:t>131</w:t>
            </w:r>
          </w:p>
        </w:tc>
        <w:tc>
          <w:tcPr>
            <w:tcW w:w="911" w:type="dxa"/>
            <w:tcBorders>
              <w:tl2br w:val="nil"/>
              <w:tr2bl w:val="nil"/>
            </w:tcBorders>
            <w:shd w:val="clear" w:color="auto" w:fill="auto"/>
            <w:vAlign w:val="center"/>
          </w:tcPr>
          <w:p w14:paraId="2B5C577D">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5B5EE8E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061820</w:t>
            </w:r>
          </w:p>
        </w:tc>
        <w:tc>
          <w:tcPr>
            <w:tcW w:w="1178" w:type="dxa"/>
            <w:tcBorders>
              <w:tl2br w:val="nil"/>
              <w:tr2bl w:val="nil"/>
            </w:tcBorders>
            <w:shd w:val="clear" w:color="auto" w:fill="auto"/>
            <w:vAlign w:val="center"/>
          </w:tcPr>
          <w:p w14:paraId="1BA547BA">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3C808546">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4DA894A3">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569A7B13">
            <w:pPr>
              <w:widowControl/>
              <w:spacing w:line="240" w:lineRule="auto"/>
              <w:jc w:val="center"/>
              <w:rPr>
                <w:sz w:val="21"/>
                <w:szCs w:val="21"/>
                <w:lang w:eastAsia="en-US"/>
              </w:rPr>
            </w:pPr>
            <w:r>
              <w:rPr>
                <w:sz w:val="21"/>
                <w:szCs w:val="21"/>
                <w:lang w:eastAsia="en-US"/>
              </w:rPr>
              <w:t>达标</w:t>
            </w:r>
          </w:p>
        </w:tc>
      </w:tr>
      <w:tr w14:paraId="11F7E36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DB0CF22">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022075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918037C">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79D644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E333024">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53B2020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0611</w:t>
            </w:r>
          </w:p>
        </w:tc>
        <w:tc>
          <w:tcPr>
            <w:tcW w:w="1178" w:type="dxa"/>
            <w:tcBorders>
              <w:tl2br w:val="nil"/>
              <w:tr2bl w:val="nil"/>
            </w:tcBorders>
            <w:shd w:val="clear" w:color="auto" w:fill="auto"/>
            <w:vAlign w:val="center"/>
          </w:tcPr>
          <w:p w14:paraId="30900C25">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1C52C983">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5CFBA2B">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391DBA25">
            <w:pPr>
              <w:widowControl/>
              <w:spacing w:line="240" w:lineRule="auto"/>
              <w:jc w:val="center"/>
              <w:rPr>
                <w:sz w:val="21"/>
                <w:szCs w:val="21"/>
                <w:lang w:eastAsia="en-US"/>
              </w:rPr>
            </w:pPr>
            <w:r>
              <w:rPr>
                <w:sz w:val="21"/>
                <w:szCs w:val="21"/>
                <w:lang w:eastAsia="en-US"/>
              </w:rPr>
              <w:t>达标</w:t>
            </w:r>
          </w:p>
        </w:tc>
      </w:tr>
      <w:tr w14:paraId="0F7CBD0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1523E41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4022162B">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18D0E5A">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9EA9CCA">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E0883DF">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7BCFDBFA">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7ADDCBB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4733CCB">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E4D1DB1">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7CEA1AA7">
            <w:pPr>
              <w:widowControl/>
              <w:spacing w:line="240" w:lineRule="auto"/>
              <w:jc w:val="center"/>
              <w:rPr>
                <w:sz w:val="21"/>
                <w:szCs w:val="21"/>
                <w:lang w:eastAsia="en-US"/>
              </w:rPr>
            </w:pPr>
            <w:r>
              <w:rPr>
                <w:sz w:val="21"/>
                <w:szCs w:val="21"/>
                <w:lang w:eastAsia="en-US"/>
              </w:rPr>
              <w:t>达标</w:t>
            </w:r>
          </w:p>
        </w:tc>
      </w:tr>
      <w:tr w14:paraId="085DDC5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183C8086">
            <w:pPr>
              <w:widowControl/>
              <w:spacing w:line="240" w:lineRule="auto"/>
              <w:jc w:val="center"/>
              <w:rPr>
                <w:sz w:val="21"/>
                <w:szCs w:val="21"/>
                <w:lang w:eastAsia="en-US"/>
              </w:rPr>
            </w:pPr>
            <w:r>
              <w:rPr>
                <w:sz w:val="21"/>
                <w:szCs w:val="21"/>
                <w:lang w:eastAsia="en-US"/>
              </w:rPr>
              <w:t>9</w:t>
            </w:r>
          </w:p>
        </w:tc>
        <w:tc>
          <w:tcPr>
            <w:tcW w:w="1141" w:type="dxa"/>
            <w:vMerge w:val="restart"/>
            <w:tcBorders>
              <w:tl2br w:val="nil"/>
              <w:tr2bl w:val="nil"/>
            </w:tcBorders>
            <w:shd w:val="clear" w:color="auto" w:fill="auto"/>
            <w:vAlign w:val="center"/>
          </w:tcPr>
          <w:p w14:paraId="44DD79C0">
            <w:pPr>
              <w:widowControl/>
              <w:spacing w:line="240" w:lineRule="auto"/>
              <w:jc w:val="center"/>
              <w:rPr>
                <w:sz w:val="21"/>
                <w:szCs w:val="21"/>
                <w:lang w:eastAsia="en-US"/>
              </w:rPr>
            </w:pPr>
            <w:r>
              <w:rPr>
                <w:sz w:val="21"/>
                <w:szCs w:val="21"/>
                <w:lang w:eastAsia="en-US"/>
              </w:rPr>
              <w:t>子敬学校</w:t>
            </w:r>
          </w:p>
        </w:tc>
        <w:tc>
          <w:tcPr>
            <w:tcW w:w="734" w:type="dxa"/>
            <w:vMerge w:val="restart"/>
            <w:tcBorders>
              <w:tl2br w:val="nil"/>
              <w:tr2bl w:val="nil"/>
            </w:tcBorders>
            <w:shd w:val="clear" w:color="auto" w:fill="auto"/>
            <w:vAlign w:val="center"/>
          </w:tcPr>
          <w:p w14:paraId="3FE11917">
            <w:pPr>
              <w:widowControl/>
              <w:spacing w:line="240" w:lineRule="auto"/>
              <w:jc w:val="center"/>
              <w:rPr>
                <w:sz w:val="21"/>
                <w:szCs w:val="21"/>
                <w:lang w:eastAsia="en-US"/>
              </w:rPr>
            </w:pPr>
            <w:r>
              <w:rPr>
                <w:rFonts w:hint="eastAsia"/>
                <w:sz w:val="21"/>
                <w:szCs w:val="21"/>
                <w:lang w:eastAsia="en-US"/>
              </w:rPr>
              <w:t>-2089</w:t>
            </w:r>
          </w:p>
        </w:tc>
        <w:tc>
          <w:tcPr>
            <w:tcW w:w="645" w:type="dxa"/>
            <w:vMerge w:val="restart"/>
            <w:tcBorders>
              <w:tl2br w:val="nil"/>
              <w:tr2bl w:val="nil"/>
            </w:tcBorders>
            <w:shd w:val="clear" w:color="auto" w:fill="auto"/>
            <w:vAlign w:val="center"/>
          </w:tcPr>
          <w:p w14:paraId="695F1983">
            <w:pPr>
              <w:widowControl/>
              <w:spacing w:line="240" w:lineRule="auto"/>
              <w:jc w:val="center"/>
              <w:rPr>
                <w:sz w:val="21"/>
                <w:szCs w:val="21"/>
                <w:lang w:eastAsia="en-US"/>
              </w:rPr>
            </w:pPr>
            <w:r>
              <w:rPr>
                <w:rFonts w:hint="eastAsia"/>
                <w:sz w:val="21"/>
                <w:szCs w:val="21"/>
                <w:lang w:eastAsia="en-US"/>
              </w:rPr>
              <w:t>1019</w:t>
            </w:r>
          </w:p>
        </w:tc>
        <w:tc>
          <w:tcPr>
            <w:tcW w:w="911" w:type="dxa"/>
            <w:tcBorders>
              <w:tl2br w:val="nil"/>
              <w:tr2bl w:val="nil"/>
            </w:tcBorders>
            <w:shd w:val="clear" w:color="auto" w:fill="auto"/>
            <w:vAlign w:val="center"/>
          </w:tcPr>
          <w:p w14:paraId="17C1AF2A">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E4CFF92">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093021</w:t>
            </w:r>
          </w:p>
        </w:tc>
        <w:tc>
          <w:tcPr>
            <w:tcW w:w="1178" w:type="dxa"/>
            <w:tcBorders>
              <w:tl2br w:val="nil"/>
              <w:tr2bl w:val="nil"/>
            </w:tcBorders>
            <w:shd w:val="clear" w:color="auto" w:fill="auto"/>
            <w:vAlign w:val="center"/>
          </w:tcPr>
          <w:p w14:paraId="4330E188">
            <w:pPr>
              <w:widowControl w:val="0"/>
              <w:jc w:val="center"/>
              <w:rPr>
                <w:sz w:val="21"/>
                <w:szCs w:val="21"/>
                <w:lang w:eastAsia="en-US"/>
              </w:rPr>
            </w:pPr>
            <w:r>
              <w:rPr>
                <w:sz w:val="21"/>
                <w:szCs w:val="21"/>
                <w:lang w:eastAsia="en-US"/>
              </w:rPr>
              <w:t>0.0006</w:t>
            </w:r>
          </w:p>
        </w:tc>
        <w:tc>
          <w:tcPr>
            <w:tcW w:w="911" w:type="dxa"/>
            <w:tcBorders>
              <w:tl2br w:val="nil"/>
              <w:tr2bl w:val="nil"/>
            </w:tcBorders>
            <w:shd w:val="clear" w:color="auto" w:fill="auto"/>
            <w:vAlign w:val="center"/>
          </w:tcPr>
          <w:p w14:paraId="42000C22">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C3ECF8E">
            <w:pPr>
              <w:widowControl w:val="0"/>
              <w:jc w:val="center"/>
              <w:rPr>
                <w:sz w:val="21"/>
                <w:szCs w:val="21"/>
                <w:lang w:eastAsia="en-US"/>
              </w:rPr>
            </w:pPr>
            <w:r>
              <w:rPr>
                <w:sz w:val="21"/>
                <w:szCs w:val="21"/>
                <w:lang w:eastAsia="en-US"/>
              </w:rPr>
              <w:t>0.13</w:t>
            </w:r>
          </w:p>
        </w:tc>
        <w:tc>
          <w:tcPr>
            <w:tcW w:w="713" w:type="dxa"/>
            <w:tcBorders>
              <w:tl2br w:val="nil"/>
              <w:tr2bl w:val="nil"/>
            </w:tcBorders>
            <w:shd w:val="clear" w:color="auto" w:fill="auto"/>
            <w:vAlign w:val="center"/>
          </w:tcPr>
          <w:p w14:paraId="378F41CC">
            <w:pPr>
              <w:widowControl/>
              <w:spacing w:line="240" w:lineRule="auto"/>
              <w:jc w:val="center"/>
              <w:rPr>
                <w:sz w:val="21"/>
                <w:szCs w:val="21"/>
                <w:lang w:eastAsia="en-US"/>
              </w:rPr>
            </w:pPr>
            <w:r>
              <w:rPr>
                <w:sz w:val="21"/>
                <w:szCs w:val="21"/>
                <w:lang w:eastAsia="en-US"/>
              </w:rPr>
              <w:t>达标</w:t>
            </w:r>
          </w:p>
        </w:tc>
      </w:tr>
      <w:tr w14:paraId="62ACDD8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B022401">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A71B2C7">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55D5AC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8E2243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811FFD9">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6553B1A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0204</w:t>
            </w:r>
          </w:p>
        </w:tc>
        <w:tc>
          <w:tcPr>
            <w:tcW w:w="1178" w:type="dxa"/>
            <w:tcBorders>
              <w:tl2br w:val="nil"/>
              <w:tr2bl w:val="nil"/>
            </w:tcBorders>
            <w:shd w:val="clear" w:color="auto" w:fill="auto"/>
            <w:vAlign w:val="center"/>
          </w:tcPr>
          <w:p w14:paraId="4B9C915F">
            <w:pPr>
              <w:widowControl w:val="0"/>
              <w:jc w:val="center"/>
              <w:rPr>
                <w:sz w:val="21"/>
                <w:szCs w:val="21"/>
                <w:lang w:eastAsia="en-US"/>
              </w:rPr>
            </w:pPr>
            <w:r>
              <w:rPr>
                <w:sz w:val="21"/>
                <w:szCs w:val="21"/>
                <w:lang w:eastAsia="en-US"/>
              </w:rPr>
              <w:t>0.0090</w:t>
            </w:r>
          </w:p>
        </w:tc>
        <w:tc>
          <w:tcPr>
            <w:tcW w:w="911" w:type="dxa"/>
            <w:tcBorders>
              <w:tl2br w:val="nil"/>
              <w:tr2bl w:val="nil"/>
            </w:tcBorders>
            <w:shd w:val="clear" w:color="auto" w:fill="auto"/>
            <w:vAlign w:val="center"/>
          </w:tcPr>
          <w:p w14:paraId="7A7F55AD">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3FBC4833">
            <w:pPr>
              <w:widowControl w:val="0"/>
              <w:jc w:val="center"/>
              <w:rPr>
                <w:sz w:val="21"/>
                <w:szCs w:val="21"/>
                <w:lang w:eastAsia="en-US"/>
              </w:rPr>
            </w:pPr>
            <w:r>
              <w:rPr>
                <w:sz w:val="21"/>
                <w:szCs w:val="21"/>
                <w:lang w:eastAsia="en-US"/>
              </w:rPr>
              <w:t>5.97</w:t>
            </w:r>
          </w:p>
        </w:tc>
        <w:tc>
          <w:tcPr>
            <w:tcW w:w="713" w:type="dxa"/>
            <w:tcBorders>
              <w:tl2br w:val="nil"/>
              <w:tr2bl w:val="nil"/>
            </w:tcBorders>
            <w:shd w:val="clear" w:color="auto" w:fill="auto"/>
            <w:vAlign w:val="center"/>
          </w:tcPr>
          <w:p w14:paraId="7A81D032">
            <w:pPr>
              <w:widowControl/>
              <w:spacing w:line="240" w:lineRule="auto"/>
              <w:jc w:val="center"/>
              <w:rPr>
                <w:sz w:val="21"/>
                <w:szCs w:val="21"/>
                <w:lang w:eastAsia="en-US"/>
              </w:rPr>
            </w:pPr>
            <w:r>
              <w:rPr>
                <w:sz w:val="21"/>
                <w:szCs w:val="21"/>
                <w:lang w:eastAsia="en-US"/>
              </w:rPr>
              <w:t>达标</w:t>
            </w:r>
          </w:p>
        </w:tc>
      </w:tr>
      <w:tr w14:paraId="064EF0E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D0B987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A918E40">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CD37AD7">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A1C3A7F">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23456CB">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6EC38ACB">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2B56A4E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6F8E4E3">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6AA830AE">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2C1312A7">
            <w:pPr>
              <w:widowControl/>
              <w:spacing w:line="240" w:lineRule="auto"/>
              <w:jc w:val="center"/>
              <w:rPr>
                <w:sz w:val="21"/>
                <w:szCs w:val="21"/>
                <w:lang w:eastAsia="en-US"/>
              </w:rPr>
            </w:pPr>
            <w:r>
              <w:rPr>
                <w:sz w:val="21"/>
                <w:szCs w:val="21"/>
                <w:lang w:eastAsia="en-US"/>
              </w:rPr>
              <w:t>达标</w:t>
            </w:r>
          </w:p>
        </w:tc>
      </w:tr>
      <w:tr w14:paraId="396AB49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63B78A9">
            <w:pPr>
              <w:widowControl/>
              <w:spacing w:line="240" w:lineRule="auto"/>
              <w:jc w:val="center"/>
              <w:rPr>
                <w:sz w:val="21"/>
                <w:szCs w:val="21"/>
                <w:lang w:eastAsia="en-US"/>
              </w:rPr>
            </w:pPr>
            <w:r>
              <w:rPr>
                <w:sz w:val="21"/>
                <w:szCs w:val="21"/>
                <w:lang w:eastAsia="en-US"/>
              </w:rPr>
              <w:t>10</w:t>
            </w:r>
          </w:p>
        </w:tc>
        <w:tc>
          <w:tcPr>
            <w:tcW w:w="1141" w:type="dxa"/>
            <w:vMerge w:val="restart"/>
            <w:tcBorders>
              <w:tl2br w:val="nil"/>
              <w:tr2bl w:val="nil"/>
            </w:tcBorders>
            <w:shd w:val="clear" w:color="auto" w:fill="auto"/>
            <w:vAlign w:val="center"/>
          </w:tcPr>
          <w:p w14:paraId="741BE1A6">
            <w:pPr>
              <w:widowControl/>
              <w:spacing w:line="240" w:lineRule="auto"/>
              <w:jc w:val="center"/>
              <w:rPr>
                <w:sz w:val="21"/>
                <w:szCs w:val="21"/>
                <w:lang w:eastAsia="en-US"/>
              </w:rPr>
            </w:pPr>
            <w:r>
              <w:rPr>
                <w:sz w:val="21"/>
                <w:szCs w:val="21"/>
                <w:lang w:eastAsia="en-US"/>
              </w:rPr>
              <w:t>芙蓉廉租小区</w:t>
            </w:r>
          </w:p>
        </w:tc>
        <w:tc>
          <w:tcPr>
            <w:tcW w:w="734" w:type="dxa"/>
            <w:vMerge w:val="restart"/>
            <w:tcBorders>
              <w:tl2br w:val="nil"/>
              <w:tr2bl w:val="nil"/>
            </w:tcBorders>
            <w:shd w:val="clear" w:color="auto" w:fill="auto"/>
            <w:vAlign w:val="center"/>
          </w:tcPr>
          <w:p w14:paraId="1338B12C">
            <w:pPr>
              <w:widowControl/>
              <w:spacing w:line="240" w:lineRule="auto"/>
              <w:jc w:val="center"/>
              <w:rPr>
                <w:sz w:val="21"/>
                <w:szCs w:val="21"/>
                <w:lang w:eastAsia="en-US"/>
              </w:rPr>
            </w:pPr>
            <w:r>
              <w:rPr>
                <w:rFonts w:hint="eastAsia"/>
                <w:sz w:val="21"/>
                <w:szCs w:val="21"/>
                <w:lang w:eastAsia="en-US"/>
              </w:rPr>
              <w:t>1013</w:t>
            </w:r>
          </w:p>
        </w:tc>
        <w:tc>
          <w:tcPr>
            <w:tcW w:w="645" w:type="dxa"/>
            <w:vMerge w:val="restart"/>
            <w:tcBorders>
              <w:tl2br w:val="nil"/>
              <w:tr2bl w:val="nil"/>
            </w:tcBorders>
            <w:shd w:val="clear" w:color="auto" w:fill="auto"/>
            <w:vAlign w:val="center"/>
          </w:tcPr>
          <w:p w14:paraId="6BDD5632">
            <w:pPr>
              <w:widowControl/>
              <w:spacing w:line="240" w:lineRule="auto"/>
              <w:jc w:val="center"/>
              <w:rPr>
                <w:sz w:val="21"/>
                <w:szCs w:val="21"/>
                <w:lang w:eastAsia="en-US"/>
              </w:rPr>
            </w:pPr>
            <w:r>
              <w:rPr>
                <w:rFonts w:hint="eastAsia"/>
                <w:sz w:val="21"/>
                <w:szCs w:val="21"/>
                <w:lang w:eastAsia="en-US"/>
              </w:rPr>
              <w:t>91</w:t>
            </w:r>
          </w:p>
        </w:tc>
        <w:tc>
          <w:tcPr>
            <w:tcW w:w="911" w:type="dxa"/>
            <w:tcBorders>
              <w:tl2br w:val="nil"/>
              <w:tr2bl w:val="nil"/>
            </w:tcBorders>
            <w:shd w:val="clear" w:color="auto" w:fill="auto"/>
            <w:vAlign w:val="center"/>
          </w:tcPr>
          <w:p w14:paraId="4208B5C2">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5D45E33F">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051707</w:t>
            </w:r>
          </w:p>
        </w:tc>
        <w:tc>
          <w:tcPr>
            <w:tcW w:w="1178" w:type="dxa"/>
            <w:tcBorders>
              <w:tl2br w:val="nil"/>
              <w:tr2bl w:val="nil"/>
            </w:tcBorders>
            <w:shd w:val="clear" w:color="auto" w:fill="auto"/>
            <w:vAlign w:val="center"/>
          </w:tcPr>
          <w:p w14:paraId="63B96172">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5265C078">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48031F69">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30E9818B">
            <w:pPr>
              <w:widowControl/>
              <w:spacing w:line="240" w:lineRule="auto"/>
              <w:jc w:val="center"/>
              <w:rPr>
                <w:sz w:val="21"/>
                <w:szCs w:val="21"/>
                <w:lang w:eastAsia="en-US"/>
              </w:rPr>
            </w:pPr>
            <w:r>
              <w:rPr>
                <w:sz w:val="21"/>
                <w:szCs w:val="21"/>
                <w:lang w:eastAsia="en-US"/>
              </w:rPr>
              <w:t>达标</w:t>
            </w:r>
          </w:p>
        </w:tc>
      </w:tr>
      <w:tr w14:paraId="42D6BAC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5FB6C5C">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8C30552">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B095CED">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89DE221">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EF522EB">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290C8A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78" w:type="dxa"/>
            <w:tcBorders>
              <w:tl2br w:val="nil"/>
              <w:tr2bl w:val="nil"/>
            </w:tcBorders>
            <w:shd w:val="clear" w:color="auto" w:fill="auto"/>
            <w:vAlign w:val="center"/>
          </w:tcPr>
          <w:p w14:paraId="7BB5923C">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3CE19D56">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BAC9D33">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63C8C2E3">
            <w:pPr>
              <w:widowControl/>
              <w:spacing w:line="240" w:lineRule="auto"/>
              <w:jc w:val="center"/>
              <w:rPr>
                <w:sz w:val="21"/>
                <w:szCs w:val="21"/>
                <w:lang w:eastAsia="en-US"/>
              </w:rPr>
            </w:pPr>
            <w:r>
              <w:rPr>
                <w:sz w:val="21"/>
                <w:szCs w:val="21"/>
                <w:lang w:eastAsia="en-US"/>
              </w:rPr>
              <w:t>达标</w:t>
            </w:r>
          </w:p>
        </w:tc>
      </w:tr>
      <w:tr w14:paraId="026546C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3ACD7C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065E43D">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92475A5">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D4268C8">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D8AA8B7">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FF8B67C">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21CB8FED">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B856655">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2879D14">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3F8C20B0">
            <w:pPr>
              <w:widowControl/>
              <w:spacing w:line="240" w:lineRule="auto"/>
              <w:jc w:val="center"/>
              <w:rPr>
                <w:sz w:val="21"/>
                <w:szCs w:val="21"/>
                <w:lang w:eastAsia="en-US"/>
              </w:rPr>
            </w:pPr>
            <w:r>
              <w:rPr>
                <w:sz w:val="21"/>
                <w:szCs w:val="21"/>
                <w:lang w:eastAsia="en-US"/>
              </w:rPr>
              <w:t>达标</w:t>
            </w:r>
          </w:p>
        </w:tc>
      </w:tr>
      <w:tr w14:paraId="1B19A8F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2F0570F8">
            <w:pPr>
              <w:widowControl/>
              <w:spacing w:line="240" w:lineRule="auto"/>
              <w:jc w:val="center"/>
              <w:rPr>
                <w:sz w:val="21"/>
                <w:szCs w:val="21"/>
                <w:lang w:eastAsia="en-US"/>
              </w:rPr>
            </w:pPr>
            <w:r>
              <w:rPr>
                <w:sz w:val="21"/>
                <w:szCs w:val="21"/>
                <w:lang w:eastAsia="en-US"/>
              </w:rPr>
              <w:t>11</w:t>
            </w:r>
          </w:p>
        </w:tc>
        <w:tc>
          <w:tcPr>
            <w:tcW w:w="1141" w:type="dxa"/>
            <w:vMerge w:val="restart"/>
            <w:tcBorders>
              <w:tl2br w:val="nil"/>
              <w:tr2bl w:val="nil"/>
            </w:tcBorders>
            <w:shd w:val="clear" w:color="auto" w:fill="auto"/>
            <w:vAlign w:val="center"/>
          </w:tcPr>
          <w:p w14:paraId="5D662DB8">
            <w:pPr>
              <w:widowControl/>
              <w:spacing w:line="240" w:lineRule="auto"/>
              <w:jc w:val="center"/>
              <w:rPr>
                <w:sz w:val="21"/>
                <w:szCs w:val="21"/>
                <w:lang w:eastAsia="en-US"/>
              </w:rPr>
            </w:pPr>
            <w:r>
              <w:rPr>
                <w:sz w:val="21"/>
                <w:szCs w:val="21"/>
                <w:lang w:eastAsia="en-US"/>
              </w:rPr>
              <w:t>易俗河镇第二中学</w:t>
            </w:r>
          </w:p>
        </w:tc>
        <w:tc>
          <w:tcPr>
            <w:tcW w:w="734" w:type="dxa"/>
            <w:vMerge w:val="restart"/>
            <w:tcBorders>
              <w:tl2br w:val="nil"/>
              <w:tr2bl w:val="nil"/>
            </w:tcBorders>
            <w:shd w:val="clear" w:color="auto" w:fill="auto"/>
            <w:vAlign w:val="center"/>
          </w:tcPr>
          <w:p w14:paraId="410B9BC4">
            <w:pPr>
              <w:widowControl/>
              <w:spacing w:line="240" w:lineRule="auto"/>
              <w:jc w:val="center"/>
              <w:rPr>
                <w:sz w:val="21"/>
                <w:szCs w:val="21"/>
                <w:lang w:eastAsia="en-US"/>
              </w:rPr>
            </w:pPr>
            <w:r>
              <w:rPr>
                <w:rFonts w:hint="eastAsia"/>
                <w:sz w:val="21"/>
                <w:szCs w:val="21"/>
                <w:lang w:eastAsia="en-US"/>
              </w:rPr>
              <w:t>734</w:t>
            </w:r>
          </w:p>
        </w:tc>
        <w:tc>
          <w:tcPr>
            <w:tcW w:w="645" w:type="dxa"/>
            <w:vMerge w:val="restart"/>
            <w:tcBorders>
              <w:tl2br w:val="nil"/>
              <w:tr2bl w:val="nil"/>
            </w:tcBorders>
            <w:shd w:val="clear" w:color="auto" w:fill="auto"/>
            <w:vAlign w:val="center"/>
          </w:tcPr>
          <w:p w14:paraId="2AFF69CF">
            <w:pPr>
              <w:widowControl/>
              <w:spacing w:line="240" w:lineRule="auto"/>
              <w:jc w:val="center"/>
              <w:rPr>
                <w:sz w:val="21"/>
                <w:szCs w:val="21"/>
                <w:lang w:eastAsia="en-US"/>
              </w:rPr>
            </w:pPr>
            <w:r>
              <w:rPr>
                <w:rFonts w:hint="eastAsia"/>
                <w:sz w:val="21"/>
                <w:szCs w:val="21"/>
                <w:lang w:eastAsia="en-US"/>
              </w:rPr>
              <w:t>577</w:t>
            </w:r>
          </w:p>
        </w:tc>
        <w:tc>
          <w:tcPr>
            <w:tcW w:w="911" w:type="dxa"/>
            <w:tcBorders>
              <w:tl2br w:val="nil"/>
              <w:tr2bl w:val="nil"/>
            </w:tcBorders>
            <w:shd w:val="clear" w:color="auto" w:fill="auto"/>
            <w:vAlign w:val="center"/>
          </w:tcPr>
          <w:p w14:paraId="1FF9C38E">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0AD7CCC">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78" w:type="dxa"/>
            <w:tcBorders>
              <w:tl2br w:val="nil"/>
              <w:tr2bl w:val="nil"/>
            </w:tcBorders>
            <w:shd w:val="clear" w:color="auto" w:fill="auto"/>
            <w:vAlign w:val="center"/>
          </w:tcPr>
          <w:p w14:paraId="3A9F635B">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419CFB47">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41621C58">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0BA00DBF">
            <w:pPr>
              <w:widowControl/>
              <w:spacing w:line="240" w:lineRule="auto"/>
              <w:jc w:val="center"/>
              <w:rPr>
                <w:sz w:val="21"/>
                <w:szCs w:val="21"/>
                <w:lang w:eastAsia="en-US"/>
              </w:rPr>
            </w:pPr>
            <w:r>
              <w:rPr>
                <w:sz w:val="21"/>
                <w:szCs w:val="21"/>
                <w:lang w:eastAsia="en-US"/>
              </w:rPr>
              <w:t>达标</w:t>
            </w:r>
          </w:p>
        </w:tc>
      </w:tr>
      <w:tr w14:paraId="6A2DC90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4883F8D">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E7D11E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756B88F">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84C2C3F">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71EEFCC">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CBB8EE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0705</w:t>
            </w:r>
          </w:p>
        </w:tc>
        <w:tc>
          <w:tcPr>
            <w:tcW w:w="1178" w:type="dxa"/>
            <w:tcBorders>
              <w:tl2br w:val="nil"/>
              <w:tr2bl w:val="nil"/>
            </w:tcBorders>
            <w:shd w:val="clear" w:color="auto" w:fill="auto"/>
            <w:vAlign w:val="center"/>
          </w:tcPr>
          <w:p w14:paraId="49F6E70D">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488A445E">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49BDCDAA">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42B24B3F">
            <w:pPr>
              <w:widowControl/>
              <w:spacing w:line="240" w:lineRule="auto"/>
              <w:jc w:val="center"/>
              <w:rPr>
                <w:sz w:val="21"/>
                <w:szCs w:val="21"/>
                <w:lang w:eastAsia="en-US"/>
              </w:rPr>
            </w:pPr>
            <w:r>
              <w:rPr>
                <w:sz w:val="21"/>
                <w:szCs w:val="21"/>
                <w:lang w:eastAsia="en-US"/>
              </w:rPr>
              <w:t>达标</w:t>
            </w:r>
          </w:p>
        </w:tc>
      </w:tr>
      <w:tr w14:paraId="25ECF3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FCBB5BB">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31A8E55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638618E">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DDCCADC">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D0B86B3">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59D97319">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1F53409B">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5EF41DE">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3E48B388">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07EA0674">
            <w:pPr>
              <w:widowControl/>
              <w:spacing w:line="240" w:lineRule="auto"/>
              <w:jc w:val="center"/>
              <w:rPr>
                <w:sz w:val="21"/>
                <w:szCs w:val="21"/>
                <w:lang w:eastAsia="en-US"/>
              </w:rPr>
            </w:pPr>
            <w:r>
              <w:rPr>
                <w:sz w:val="21"/>
                <w:szCs w:val="21"/>
                <w:lang w:eastAsia="en-US"/>
              </w:rPr>
              <w:t>达标</w:t>
            </w:r>
          </w:p>
        </w:tc>
      </w:tr>
      <w:tr w14:paraId="465D953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AFA8A13">
            <w:pPr>
              <w:widowControl/>
              <w:spacing w:line="240" w:lineRule="auto"/>
              <w:jc w:val="center"/>
              <w:rPr>
                <w:sz w:val="21"/>
                <w:szCs w:val="21"/>
                <w:lang w:eastAsia="en-US"/>
              </w:rPr>
            </w:pPr>
            <w:r>
              <w:rPr>
                <w:sz w:val="21"/>
                <w:szCs w:val="21"/>
                <w:lang w:eastAsia="en-US"/>
              </w:rPr>
              <w:t>12</w:t>
            </w:r>
          </w:p>
        </w:tc>
        <w:tc>
          <w:tcPr>
            <w:tcW w:w="1141" w:type="dxa"/>
            <w:vMerge w:val="restart"/>
            <w:tcBorders>
              <w:tl2br w:val="nil"/>
              <w:tr2bl w:val="nil"/>
            </w:tcBorders>
            <w:shd w:val="clear" w:color="auto" w:fill="auto"/>
            <w:vAlign w:val="center"/>
          </w:tcPr>
          <w:p w14:paraId="2BE82902">
            <w:pPr>
              <w:widowControl/>
              <w:spacing w:line="240" w:lineRule="auto"/>
              <w:jc w:val="center"/>
              <w:rPr>
                <w:sz w:val="21"/>
                <w:szCs w:val="21"/>
                <w:lang w:eastAsia="en-US"/>
              </w:rPr>
            </w:pPr>
            <w:r>
              <w:rPr>
                <w:sz w:val="21"/>
                <w:szCs w:val="21"/>
                <w:lang w:eastAsia="en-US"/>
              </w:rPr>
              <w:t>天易水竹学校</w:t>
            </w:r>
          </w:p>
        </w:tc>
        <w:tc>
          <w:tcPr>
            <w:tcW w:w="734" w:type="dxa"/>
            <w:vMerge w:val="restart"/>
            <w:tcBorders>
              <w:tl2br w:val="nil"/>
              <w:tr2bl w:val="nil"/>
            </w:tcBorders>
            <w:shd w:val="clear" w:color="auto" w:fill="auto"/>
            <w:vAlign w:val="center"/>
          </w:tcPr>
          <w:p w14:paraId="474280DA">
            <w:pPr>
              <w:widowControl/>
              <w:spacing w:line="240" w:lineRule="auto"/>
              <w:jc w:val="center"/>
              <w:rPr>
                <w:sz w:val="21"/>
                <w:szCs w:val="21"/>
                <w:lang w:eastAsia="en-US"/>
              </w:rPr>
            </w:pPr>
            <w:r>
              <w:rPr>
                <w:rFonts w:hint="eastAsia"/>
                <w:sz w:val="21"/>
                <w:szCs w:val="21"/>
                <w:lang w:eastAsia="en-US"/>
              </w:rPr>
              <w:t>1155</w:t>
            </w:r>
          </w:p>
        </w:tc>
        <w:tc>
          <w:tcPr>
            <w:tcW w:w="645" w:type="dxa"/>
            <w:vMerge w:val="restart"/>
            <w:tcBorders>
              <w:tl2br w:val="nil"/>
              <w:tr2bl w:val="nil"/>
            </w:tcBorders>
            <w:shd w:val="clear" w:color="auto" w:fill="auto"/>
            <w:vAlign w:val="center"/>
          </w:tcPr>
          <w:p w14:paraId="542F2508">
            <w:pPr>
              <w:widowControl/>
              <w:spacing w:line="240" w:lineRule="auto"/>
              <w:jc w:val="center"/>
              <w:rPr>
                <w:sz w:val="21"/>
                <w:szCs w:val="21"/>
                <w:lang w:eastAsia="en-US"/>
              </w:rPr>
            </w:pPr>
            <w:r>
              <w:rPr>
                <w:rFonts w:hint="eastAsia"/>
                <w:sz w:val="21"/>
                <w:szCs w:val="21"/>
                <w:lang w:eastAsia="en-US"/>
              </w:rPr>
              <w:t>758</w:t>
            </w:r>
          </w:p>
        </w:tc>
        <w:tc>
          <w:tcPr>
            <w:tcW w:w="911" w:type="dxa"/>
            <w:tcBorders>
              <w:tl2br w:val="nil"/>
              <w:tr2bl w:val="nil"/>
            </w:tcBorders>
            <w:shd w:val="clear" w:color="auto" w:fill="auto"/>
            <w:vAlign w:val="center"/>
          </w:tcPr>
          <w:p w14:paraId="085005B9">
            <w:pPr>
              <w:widowControl/>
              <w:spacing w:line="240" w:lineRule="auto"/>
              <w:jc w:val="center"/>
              <w:rPr>
                <w:sz w:val="21"/>
                <w:szCs w:val="21"/>
                <w:lang w:eastAsia="en-US"/>
              </w:rPr>
            </w:pPr>
            <w:r>
              <w:rPr>
                <w:sz w:val="21"/>
                <w:szCs w:val="21"/>
                <w:lang w:eastAsia="en-US"/>
              </w:rPr>
              <w:t>1 小时</w:t>
            </w:r>
          </w:p>
        </w:tc>
        <w:tc>
          <w:tcPr>
            <w:tcW w:w="1065" w:type="dxa"/>
            <w:tcBorders>
              <w:tl2br w:val="nil"/>
              <w:tr2bl w:val="nil"/>
            </w:tcBorders>
            <w:shd w:val="clear" w:color="auto" w:fill="auto"/>
            <w:vAlign w:val="center"/>
          </w:tcPr>
          <w:p w14:paraId="31876CB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051719</w:t>
            </w:r>
          </w:p>
        </w:tc>
        <w:tc>
          <w:tcPr>
            <w:tcW w:w="1178" w:type="dxa"/>
            <w:tcBorders>
              <w:tl2br w:val="nil"/>
              <w:tr2bl w:val="nil"/>
            </w:tcBorders>
            <w:shd w:val="clear" w:color="auto" w:fill="auto"/>
            <w:vAlign w:val="center"/>
          </w:tcPr>
          <w:p w14:paraId="0AEFD06B">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62AA423B">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189F5E0B">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0D21148D">
            <w:pPr>
              <w:widowControl/>
              <w:spacing w:line="240" w:lineRule="auto"/>
              <w:jc w:val="center"/>
              <w:rPr>
                <w:sz w:val="21"/>
                <w:szCs w:val="21"/>
                <w:lang w:eastAsia="en-US"/>
              </w:rPr>
            </w:pPr>
            <w:r>
              <w:rPr>
                <w:sz w:val="21"/>
                <w:szCs w:val="21"/>
                <w:lang w:eastAsia="en-US"/>
              </w:rPr>
              <w:t>达标</w:t>
            </w:r>
          </w:p>
        </w:tc>
      </w:tr>
      <w:tr w14:paraId="417EEF5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132E8C2">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2A554F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69AF400">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645F50F">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6B6AC79">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026B00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0517</w:t>
            </w:r>
          </w:p>
        </w:tc>
        <w:tc>
          <w:tcPr>
            <w:tcW w:w="1178" w:type="dxa"/>
            <w:tcBorders>
              <w:tl2br w:val="nil"/>
              <w:tr2bl w:val="nil"/>
            </w:tcBorders>
            <w:shd w:val="clear" w:color="auto" w:fill="auto"/>
            <w:vAlign w:val="center"/>
          </w:tcPr>
          <w:p w14:paraId="360E452E">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2AB0FC0A">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5525C254">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5FCF7912">
            <w:pPr>
              <w:widowControl/>
              <w:spacing w:line="240" w:lineRule="auto"/>
              <w:jc w:val="center"/>
              <w:rPr>
                <w:sz w:val="21"/>
                <w:szCs w:val="21"/>
                <w:lang w:eastAsia="en-US"/>
              </w:rPr>
            </w:pPr>
            <w:r>
              <w:rPr>
                <w:sz w:val="21"/>
                <w:szCs w:val="21"/>
                <w:lang w:eastAsia="en-US"/>
              </w:rPr>
              <w:t>达标</w:t>
            </w:r>
          </w:p>
        </w:tc>
      </w:tr>
      <w:tr w14:paraId="0657270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CCA80D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3EF9EB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7E11498">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BF30761">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8B3ECBF">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599108F7">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3C271F78">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C117B46">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C0CF506">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7DD0908E">
            <w:pPr>
              <w:widowControl/>
              <w:spacing w:line="240" w:lineRule="auto"/>
              <w:jc w:val="center"/>
              <w:rPr>
                <w:sz w:val="21"/>
                <w:szCs w:val="21"/>
                <w:lang w:eastAsia="en-US"/>
              </w:rPr>
            </w:pPr>
            <w:r>
              <w:rPr>
                <w:sz w:val="21"/>
                <w:szCs w:val="21"/>
                <w:lang w:eastAsia="en-US"/>
              </w:rPr>
              <w:t>达标</w:t>
            </w:r>
          </w:p>
        </w:tc>
      </w:tr>
      <w:tr w14:paraId="5F0E8F7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518C438F">
            <w:pPr>
              <w:widowControl/>
              <w:spacing w:line="240" w:lineRule="auto"/>
              <w:jc w:val="center"/>
              <w:rPr>
                <w:sz w:val="21"/>
                <w:szCs w:val="21"/>
                <w:lang w:eastAsia="en-US"/>
              </w:rPr>
            </w:pPr>
            <w:r>
              <w:rPr>
                <w:sz w:val="21"/>
                <w:szCs w:val="21"/>
                <w:lang w:eastAsia="en-US"/>
              </w:rPr>
              <w:t>13</w:t>
            </w:r>
          </w:p>
        </w:tc>
        <w:tc>
          <w:tcPr>
            <w:tcW w:w="1141" w:type="dxa"/>
            <w:vMerge w:val="restart"/>
            <w:tcBorders>
              <w:tl2br w:val="nil"/>
              <w:tr2bl w:val="nil"/>
            </w:tcBorders>
            <w:shd w:val="clear" w:color="auto" w:fill="auto"/>
            <w:vAlign w:val="center"/>
          </w:tcPr>
          <w:p w14:paraId="67B48226">
            <w:pPr>
              <w:widowControl/>
              <w:spacing w:line="240" w:lineRule="auto"/>
              <w:jc w:val="center"/>
              <w:rPr>
                <w:sz w:val="21"/>
                <w:szCs w:val="21"/>
                <w:lang w:eastAsia="en-US"/>
              </w:rPr>
            </w:pPr>
            <w:r>
              <w:rPr>
                <w:sz w:val="21"/>
                <w:szCs w:val="21"/>
                <w:lang w:eastAsia="en-US"/>
              </w:rPr>
              <w:t>水竹安置区</w:t>
            </w:r>
          </w:p>
        </w:tc>
        <w:tc>
          <w:tcPr>
            <w:tcW w:w="734" w:type="dxa"/>
            <w:vMerge w:val="restart"/>
            <w:tcBorders>
              <w:tl2br w:val="nil"/>
              <w:tr2bl w:val="nil"/>
            </w:tcBorders>
            <w:shd w:val="clear" w:color="auto" w:fill="auto"/>
            <w:vAlign w:val="center"/>
          </w:tcPr>
          <w:p w14:paraId="5B96CA7F">
            <w:pPr>
              <w:widowControl/>
              <w:spacing w:line="240" w:lineRule="auto"/>
              <w:jc w:val="center"/>
              <w:rPr>
                <w:sz w:val="21"/>
                <w:szCs w:val="21"/>
                <w:lang w:eastAsia="en-US"/>
              </w:rPr>
            </w:pPr>
            <w:r>
              <w:rPr>
                <w:rFonts w:hint="eastAsia"/>
                <w:sz w:val="21"/>
                <w:szCs w:val="21"/>
                <w:lang w:eastAsia="en-US"/>
              </w:rPr>
              <w:t>752</w:t>
            </w:r>
          </w:p>
        </w:tc>
        <w:tc>
          <w:tcPr>
            <w:tcW w:w="645" w:type="dxa"/>
            <w:vMerge w:val="restart"/>
            <w:tcBorders>
              <w:tl2br w:val="nil"/>
              <w:tr2bl w:val="nil"/>
            </w:tcBorders>
            <w:shd w:val="clear" w:color="auto" w:fill="auto"/>
            <w:vAlign w:val="center"/>
          </w:tcPr>
          <w:p w14:paraId="0ABC2B9B">
            <w:pPr>
              <w:widowControl/>
              <w:spacing w:line="240" w:lineRule="auto"/>
              <w:jc w:val="center"/>
              <w:rPr>
                <w:sz w:val="21"/>
                <w:szCs w:val="21"/>
                <w:lang w:eastAsia="en-US"/>
              </w:rPr>
            </w:pPr>
            <w:r>
              <w:rPr>
                <w:rFonts w:hint="eastAsia"/>
                <w:sz w:val="21"/>
                <w:szCs w:val="21"/>
                <w:lang w:eastAsia="en-US"/>
              </w:rPr>
              <w:t>233</w:t>
            </w:r>
          </w:p>
        </w:tc>
        <w:tc>
          <w:tcPr>
            <w:tcW w:w="911" w:type="dxa"/>
            <w:tcBorders>
              <w:tl2br w:val="nil"/>
              <w:tr2bl w:val="nil"/>
            </w:tcBorders>
            <w:shd w:val="clear" w:color="auto" w:fill="auto"/>
            <w:vAlign w:val="center"/>
          </w:tcPr>
          <w:p w14:paraId="0ACBB1CD">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57EF2352">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061819</w:t>
            </w:r>
          </w:p>
        </w:tc>
        <w:tc>
          <w:tcPr>
            <w:tcW w:w="1178" w:type="dxa"/>
            <w:tcBorders>
              <w:tl2br w:val="nil"/>
              <w:tr2bl w:val="nil"/>
            </w:tcBorders>
            <w:shd w:val="clear" w:color="auto" w:fill="auto"/>
            <w:vAlign w:val="center"/>
          </w:tcPr>
          <w:p w14:paraId="612A313D">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75F624B7">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75CD8862">
            <w:pPr>
              <w:widowControl w:val="0"/>
              <w:jc w:val="center"/>
              <w:rPr>
                <w:sz w:val="21"/>
                <w:szCs w:val="21"/>
                <w:lang w:eastAsia="en-US"/>
              </w:rPr>
            </w:pPr>
            <w:r>
              <w:rPr>
                <w:sz w:val="21"/>
                <w:szCs w:val="21"/>
                <w:lang w:eastAsia="en-US"/>
              </w:rPr>
              <w:t>0.04</w:t>
            </w:r>
          </w:p>
        </w:tc>
        <w:tc>
          <w:tcPr>
            <w:tcW w:w="713" w:type="dxa"/>
            <w:tcBorders>
              <w:tl2br w:val="nil"/>
              <w:tr2bl w:val="nil"/>
            </w:tcBorders>
            <w:shd w:val="clear" w:color="auto" w:fill="auto"/>
            <w:vAlign w:val="center"/>
          </w:tcPr>
          <w:p w14:paraId="507486B8">
            <w:pPr>
              <w:widowControl/>
              <w:spacing w:line="240" w:lineRule="auto"/>
              <w:jc w:val="center"/>
              <w:rPr>
                <w:sz w:val="21"/>
                <w:szCs w:val="21"/>
                <w:lang w:eastAsia="en-US"/>
              </w:rPr>
            </w:pPr>
            <w:r>
              <w:rPr>
                <w:sz w:val="21"/>
                <w:szCs w:val="21"/>
                <w:lang w:eastAsia="en-US"/>
              </w:rPr>
              <w:t>达标</w:t>
            </w:r>
          </w:p>
        </w:tc>
      </w:tr>
      <w:tr w14:paraId="716249A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FB17904">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E4E725B">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85EA4D9">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515E99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B9DAFD4">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3738DA5F">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0618</w:t>
            </w:r>
          </w:p>
        </w:tc>
        <w:tc>
          <w:tcPr>
            <w:tcW w:w="1178" w:type="dxa"/>
            <w:tcBorders>
              <w:tl2br w:val="nil"/>
              <w:tr2bl w:val="nil"/>
            </w:tcBorders>
            <w:shd w:val="clear" w:color="auto" w:fill="auto"/>
            <w:vAlign w:val="center"/>
          </w:tcPr>
          <w:p w14:paraId="3EF7433E">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356E1A9B">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0411446E">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0354591F">
            <w:pPr>
              <w:widowControl/>
              <w:spacing w:line="240" w:lineRule="auto"/>
              <w:jc w:val="center"/>
              <w:rPr>
                <w:sz w:val="21"/>
                <w:szCs w:val="21"/>
                <w:lang w:eastAsia="en-US"/>
              </w:rPr>
            </w:pPr>
            <w:r>
              <w:rPr>
                <w:sz w:val="21"/>
                <w:szCs w:val="21"/>
                <w:lang w:eastAsia="en-US"/>
              </w:rPr>
              <w:t>达标</w:t>
            </w:r>
          </w:p>
        </w:tc>
      </w:tr>
      <w:tr w14:paraId="1B96530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6E32E77">
            <w:pPr>
              <w:widowControl/>
              <w:spacing w:line="240" w:lineRule="auto"/>
              <w:jc w:val="center"/>
              <w:rPr>
                <w:sz w:val="21"/>
                <w:szCs w:val="21"/>
                <w:u w:val="single"/>
                <w:lang w:eastAsia="en-US"/>
              </w:rPr>
            </w:pPr>
          </w:p>
        </w:tc>
        <w:tc>
          <w:tcPr>
            <w:tcW w:w="1141" w:type="dxa"/>
            <w:vMerge w:val="continue"/>
            <w:tcBorders>
              <w:tl2br w:val="nil"/>
              <w:tr2bl w:val="nil"/>
            </w:tcBorders>
            <w:shd w:val="clear" w:color="auto" w:fill="auto"/>
            <w:vAlign w:val="center"/>
          </w:tcPr>
          <w:p w14:paraId="5C93044D">
            <w:pPr>
              <w:widowControl/>
              <w:spacing w:line="240" w:lineRule="auto"/>
              <w:jc w:val="center"/>
              <w:rPr>
                <w:sz w:val="21"/>
                <w:szCs w:val="21"/>
                <w:u w:val="single"/>
                <w:lang w:eastAsia="en-US"/>
              </w:rPr>
            </w:pPr>
          </w:p>
        </w:tc>
        <w:tc>
          <w:tcPr>
            <w:tcW w:w="734" w:type="dxa"/>
            <w:vMerge w:val="continue"/>
            <w:tcBorders>
              <w:tl2br w:val="nil"/>
              <w:tr2bl w:val="nil"/>
            </w:tcBorders>
            <w:shd w:val="clear" w:color="auto" w:fill="auto"/>
            <w:vAlign w:val="center"/>
          </w:tcPr>
          <w:p w14:paraId="3E533863">
            <w:pPr>
              <w:widowControl/>
              <w:spacing w:line="240" w:lineRule="auto"/>
              <w:jc w:val="center"/>
              <w:rPr>
                <w:sz w:val="21"/>
                <w:szCs w:val="21"/>
                <w:u w:val="single"/>
                <w:lang w:eastAsia="en-US"/>
              </w:rPr>
            </w:pPr>
          </w:p>
        </w:tc>
        <w:tc>
          <w:tcPr>
            <w:tcW w:w="645" w:type="dxa"/>
            <w:vMerge w:val="continue"/>
            <w:tcBorders>
              <w:tl2br w:val="nil"/>
              <w:tr2bl w:val="nil"/>
            </w:tcBorders>
            <w:shd w:val="clear" w:color="auto" w:fill="auto"/>
            <w:vAlign w:val="center"/>
          </w:tcPr>
          <w:p w14:paraId="61E3222C">
            <w:pPr>
              <w:widowControl/>
              <w:spacing w:line="240" w:lineRule="auto"/>
              <w:jc w:val="center"/>
              <w:rPr>
                <w:sz w:val="21"/>
                <w:szCs w:val="21"/>
                <w:u w:val="single"/>
                <w:lang w:eastAsia="en-US"/>
              </w:rPr>
            </w:pPr>
          </w:p>
        </w:tc>
        <w:tc>
          <w:tcPr>
            <w:tcW w:w="911" w:type="dxa"/>
            <w:tcBorders>
              <w:tl2br w:val="nil"/>
              <w:tr2bl w:val="nil"/>
            </w:tcBorders>
            <w:shd w:val="clear" w:color="auto" w:fill="auto"/>
            <w:vAlign w:val="center"/>
          </w:tcPr>
          <w:p w14:paraId="795D43D4">
            <w:pPr>
              <w:widowControl/>
              <w:spacing w:line="240" w:lineRule="auto"/>
              <w:jc w:val="center"/>
              <w:rPr>
                <w:sz w:val="21"/>
                <w:szCs w:val="21"/>
                <w:u w:val="single"/>
                <w:lang w:eastAsia="en-US"/>
              </w:rPr>
            </w:pPr>
            <w:r>
              <w:rPr>
                <w:sz w:val="21"/>
                <w:szCs w:val="21"/>
                <w:u w:val="single"/>
                <w:lang w:eastAsia="en-US"/>
              </w:rPr>
              <w:t>年平均</w:t>
            </w:r>
          </w:p>
        </w:tc>
        <w:tc>
          <w:tcPr>
            <w:tcW w:w="1065" w:type="dxa"/>
            <w:tcBorders>
              <w:tl2br w:val="nil"/>
              <w:tr2bl w:val="nil"/>
            </w:tcBorders>
            <w:shd w:val="clear" w:color="auto" w:fill="auto"/>
            <w:vAlign w:val="center"/>
          </w:tcPr>
          <w:p w14:paraId="5AA5BEC4">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15AB5DE5">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431BD78B">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622A786B">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4C777E2E">
            <w:pPr>
              <w:widowControl/>
              <w:spacing w:line="240" w:lineRule="auto"/>
              <w:jc w:val="center"/>
              <w:rPr>
                <w:sz w:val="21"/>
                <w:szCs w:val="21"/>
                <w:u w:val="single"/>
                <w:lang w:eastAsia="en-US"/>
              </w:rPr>
            </w:pPr>
            <w:r>
              <w:rPr>
                <w:sz w:val="21"/>
                <w:szCs w:val="21"/>
                <w:u w:val="single"/>
                <w:lang w:eastAsia="en-US"/>
              </w:rPr>
              <w:t>达标</w:t>
            </w:r>
          </w:p>
        </w:tc>
      </w:tr>
      <w:tr w14:paraId="5953A5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0811BBF">
            <w:pPr>
              <w:widowControl/>
              <w:spacing w:line="240" w:lineRule="auto"/>
              <w:jc w:val="center"/>
              <w:rPr>
                <w:sz w:val="21"/>
                <w:szCs w:val="21"/>
                <w:lang w:eastAsia="en-US"/>
              </w:rPr>
            </w:pPr>
            <w:r>
              <w:rPr>
                <w:rFonts w:hint="eastAsia"/>
                <w:sz w:val="21"/>
                <w:szCs w:val="21"/>
                <w:lang w:eastAsia="en-US"/>
              </w:rPr>
              <w:t>14</w:t>
            </w:r>
          </w:p>
        </w:tc>
        <w:tc>
          <w:tcPr>
            <w:tcW w:w="1141" w:type="dxa"/>
            <w:vMerge w:val="restart"/>
            <w:tcBorders>
              <w:tl2br w:val="nil"/>
              <w:tr2bl w:val="nil"/>
            </w:tcBorders>
            <w:shd w:val="clear" w:color="auto" w:fill="auto"/>
            <w:vAlign w:val="center"/>
          </w:tcPr>
          <w:p w14:paraId="023A5CCA">
            <w:pPr>
              <w:widowControl/>
              <w:spacing w:line="240" w:lineRule="auto"/>
              <w:jc w:val="center"/>
              <w:rPr>
                <w:sz w:val="21"/>
                <w:szCs w:val="21"/>
                <w:lang w:eastAsia="en-US"/>
              </w:rPr>
            </w:pPr>
            <w:r>
              <w:rPr>
                <w:sz w:val="21"/>
                <w:szCs w:val="21"/>
                <w:lang w:eastAsia="en-US"/>
              </w:rPr>
              <w:t>湘潭县行政学校</w:t>
            </w:r>
          </w:p>
        </w:tc>
        <w:tc>
          <w:tcPr>
            <w:tcW w:w="734" w:type="dxa"/>
            <w:vMerge w:val="restart"/>
            <w:tcBorders>
              <w:tl2br w:val="nil"/>
              <w:tr2bl w:val="nil"/>
            </w:tcBorders>
            <w:shd w:val="clear" w:color="auto" w:fill="auto"/>
            <w:vAlign w:val="center"/>
          </w:tcPr>
          <w:p w14:paraId="73AF2014">
            <w:pPr>
              <w:widowControl/>
              <w:spacing w:line="240" w:lineRule="auto"/>
              <w:jc w:val="center"/>
              <w:rPr>
                <w:sz w:val="21"/>
                <w:szCs w:val="21"/>
                <w:lang w:eastAsia="en-US"/>
              </w:rPr>
            </w:pPr>
            <w:r>
              <w:rPr>
                <w:rFonts w:hint="eastAsia"/>
                <w:sz w:val="21"/>
                <w:szCs w:val="21"/>
                <w:lang w:eastAsia="en-US"/>
              </w:rPr>
              <w:t>705</w:t>
            </w:r>
          </w:p>
        </w:tc>
        <w:tc>
          <w:tcPr>
            <w:tcW w:w="645" w:type="dxa"/>
            <w:vMerge w:val="restart"/>
            <w:tcBorders>
              <w:tl2br w:val="nil"/>
              <w:tr2bl w:val="nil"/>
            </w:tcBorders>
            <w:shd w:val="clear" w:color="auto" w:fill="auto"/>
            <w:vAlign w:val="center"/>
          </w:tcPr>
          <w:p w14:paraId="7181D30A">
            <w:pPr>
              <w:widowControl/>
              <w:spacing w:line="240" w:lineRule="auto"/>
              <w:jc w:val="center"/>
              <w:rPr>
                <w:sz w:val="21"/>
                <w:szCs w:val="21"/>
                <w:lang w:eastAsia="en-US"/>
              </w:rPr>
            </w:pPr>
            <w:r>
              <w:rPr>
                <w:rFonts w:hint="eastAsia"/>
                <w:sz w:val="21"/>
                <w:szCs w:val="21"/>
                <w:lang w:eastAsia="en-US"/>
              </w:rPr>
              <w:t>758</w:t>
            </w:r>
          </w:p>
        </w:tc>
        <w:tc>
          <w:tcPr>
            <w:tcW w:w="911" w:type="dxa"/>
            <w:tcBorders>
              <w:tl2br w:val="nil"/>
              <w:tr2bl w:val="nil"/>
            </w:tcBorders>
            <w:shd w:val="clear" w:color="auto" w:fill="auto"/>
            <w:vAlign w:val="center"/>
          </w:tcPr>
          <w:p w14:paraId="28C58AB1">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7644C4C">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010109</w:t>
            </w:r>
          </w:p>
        </w:tc>
        <w:tc>
          <w:tcPr>
            <w:tcW w:w="1178" w:type="dxa"/>
            <w:tcBorders>
              <w:tl2br w:val="nil"/>
              <w:tr2bl w:val="nil"/>
            </w:tcBorders>
            <w:shd w:val="clear" w:color="auto" w:fill="auto"/>
            <w:vAlign w:val="center"/>
          </w:tcPr>
          <w:p w14:paraId="09F5DBCD">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4215E120">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34E5B02A">
            <w:pPr>
              <w:widowControl w:val="0"/>
              <w:jc w:val="center"/>
              <w:rPr>
                <w:sz w:val="21"/>
                <w:szCs w:val="21"/>
                <w:lang w:eastAsia="en-US"/>
              </w:rPr>
            </w:pPr>
            <w:r>
              <w:rPr>
                <w:sz w:val="21"/>
                <w:szCs w:val="21"/>
                <w:lang w:eastAsia="en-US"/>
              </w:rPr>
              <w:t>0.03</w:t>
            </w:r>
          </w:p>
        </w:tc>
        <w:tc>
          <w:tcPr>
            <w:tcW w:w="713" w:type="dxa"/>
            <w:tcBorders>
              <w:tl2br w:val="nil"/>
              <w:tr2bl w:val="nil"/>
            </w:tcBorders>
            <w:shd w:val="clear" w:color="auto" w:fill="auto"/>
            <w:vAlign w:val="center"/>
          </w:tcPr>
          <w:p w14:paraId="26A762DB">
            <w:pPr>
              <w:widowControl/>
              <w:spacing w:line="240" w:lineRule="auto"/>
              <w:jc w:val="center"/>
              <w:rPr>
                <w:sz w:val="21"/>
                <w:szCs w:val="21"/>
                <w:lang w:eastAsia="en-US"/>
              </w:rPr>
            </w:pPr>
            <w:r>
              <w:rPr>
                <w:sz w:val="21"/>
                <w:szCs w:val="21"/>
                <w:lang w:eastAsia="en-US"/>
              </w:rPr>
              <w:t>达标</w:t>
            </w:r>
          </w:p>
        </w:tc>
      </w:tr>
      <w:tr w14:paraId="1FFE60F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28B0F5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73D955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2782236">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0D7F97AC">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D0DE618">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23A34CA9">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0530</w:t>
            </w:r>
          </w:p>
        </w:tc>
        <w:tc>
          <w:tcPr>
            <w:tcW w:w="1178" w:type="dxa"/>
            <w:tcBorders>
              <w:tl2br w:val="nil"/>
              <w:tr2bl w:val="nil"/>
            </w:tcBorders>
            <w:shd w:val="clear" w:color="auto" w:fill="auto"/>
            <w:vAlign w:val="center"/>
          </w:tcPr>
          <w:p w14:paraId="5DC07CD5">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439E8FFC">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58CE6DDD">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39A1887D">
            <w:pPr>
              <w:widowControl/>
              <w:spacing w:line="240" w:lineRule="auto"/>
              <w:jc w:val="center"/>
              <w:rPr>
                <w:sz w:val="21"/>
                <w:szCs w:val="21"/>
                <w:lang w:eastAsia="en-US"/>
              </w:rPr>
            </w:pPr>
            <w:r>
              <w:rPr>
                <w:sz w:val="21"/>
                <w:szCs w:val="21"/>
                <w:lang w:eastAsia="en-US"/>
              </w:rPr>
              <w:t>达标</w:t>
            </w:r>
          </w:p>
        </w:tc>
      </w:tr>
      <w:tr w14:paraId="1F34A8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D9A1CC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2A32661">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9CC1C82">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0BB29D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1428AB3">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40E5561B">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0474FE97">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327E43F5">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6446395C">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14D78E7D">
            <w:pPr>
              <w:widowControl/>
              <w:spacing w:line="240" w:lineRule="auto"/>
              <w:jc w:val="center"/>
              <w:rPr>
                <w:sz w:val="21"/>
                <w:szCs w:val="21"/>
                <w:lang w:eastAsia="en-US"/>
              </w:rPr>
            </w:pPr>
            <w:r>
              <w:rPr>
                <w:sz w:val="21"/>
                <w:szCs w:val="21"/>
                <w:lang w:eastAsia="en-US"/>
              </w:rPr>
              <w:t>达标</w:t>
            </w:r>
          </w:p>
        </w:tc>
      </w:tr>
      <w:tr w14:paraId="6034126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CF45467">
            <w:pPr>
              <w:widowControl/>
              <w:spacing w:line="240" w:lineRule="auto"/>
              <w:jc w:val="center"/>
              <w:rPr>
                <w:sz w:val="21"/>
                <w:szCs w:val="21"/>
                <w:lang w:eastAsia="en-US"/>
              </w:rPr>
            </w:pPr>
            <w:r>
              <w:rPr>
                <w:rFonts w:hint="eastAsia"/>
                <w:sz w:val="21"/>
                <w:szCs w:val="21"/>
                <w:lang w:eastAsia="en-US"/>
              </w:rPr>
              <w:t>15</w:t>
            </w:r>
          </w:p>
        </w:tc>
        <w:tc>
          <w:tcPr>
            <w:tcW w:w="1141" w:type="dxa"/>
            <w:vMerge w:val="restart"/>
            <w:tcBorders>
              <w:tl2br w:val="nil"/>
              <w:tr2bl w:val="nil"/>
            </w:tcBorders>
            <w:shd w:val="clear" w:color="auto" w:fill="auto"/>
            <w:vAlign w:val="center"/>
          </w:tcPr>
          <w:p w14:paraId="21FB60DE">
            <w:pPr>
              <w:widowControl/>
              <w:spacing w:line="240" w:lineRule="auto"/>
              <w:jc w:val="center"/>
              <w:rPr>
                <w:sz w:val="21"/>
                <w:szCs w:val="21"/>
                <w:lang w:eastAsia="en-US"/>
              </w:rPr>
            </w:pPr>
            <w:r>
              <w:rPr>
                <w:sz w:val="21"/>
                <w:szCs w:val="21"/>
                <w:lang w:eastAsia="en-US"/>
              </w:rPr>
              <w:t>湘潭县公安局</w:t>
            </w:r>
          </w:p>
        </w:tc>
        <w:tc>
          <w:tcPr>
            <w:tcW w:w="734" w:type="dxa"/>
            <w:vMerge w:val="restart"/>
            <w:tcBorders>
              <w:tl2br w:val="nil"/>
              <w:tr2bl w:val="nil"/>
            </w:tcBorders>
            <w:shd w:val="clear" w:color="auto" w:fill="auto"/>
            <w:vAlign w:val="center"/>
          </w:tcPr>
          <w:p w14:paraId="55B93A20">
            <w:pPr>
              <w:widowControl/>
              <w:spacing w:line="240" w:lineRule="auto"/>
              <w:jc w:val="center"/>
              <w:rPr>
                <w:sz w:val="21"/>
                <w:szCs w:val="21"/>
                <w:lang w:eastAsia="en-US"/>
              </w:rPr>
            </w:pPr>
            <w:r>
              <w:rPr>
                <w:rFonts w:hint="eastAsia"/>
                <w:sz w:val="21"/>
                <w:szCs w:val="21"/>
                <w:lang w:eastAsia="en-US"/>
              </w:rPr>
              <w:t>1104</w:t>
            </w:r>
          </w:p>
        </w:tc>
        <w:tc>
          <w:tcPr>
            <w:tcW w:w="645" w:type="dxa"/>
            <w:vMerge w:val="restart"/>
            <w:tcBorders>
              <w:tl2br w:val="nil"/>
              <w:tr2bl w:val="nil"/>
            </w:tcBorders>
            <w:shd w:val="clear" w:color="auto" w:fill="auto"/>
            <w:vAlign w:val="center"/>
          </w:tcPr>
          <w:p w14:paraId="7F3A5B14">
            <w:pPr>
              <w:widowControl/>
              <w:spacing w:line="240" w:lineRule="auto"/>
              <w:jc w:val="center"/>
              <w:rPr>
                <w:sz w:val="21"/>
                <w:szCs w:val="21"/>
                <w:lang w:eastAsia="en-US"/>
              </w:rPr>
            </w:pPr>
            <w:r>
              <w:rPr>
                <w:rFonts w:hint="eastAsia"/>
                <w:sz w:val="21"/>
                <w:szCs w:val="21"/>
                <w:lang w:eastAsia="en-US"/>
              </w:rPr>
              <w:t>910</w:t>
            </w:r>
          </w:p>
        </w:tc>
        <w:tc>
          <w:tcPr>
            <w:tcW w:w="911" w:type="dxa"/>
            <w:tcBorders>
              <w:tl2br w:val="nil"/>
              <w:tr2bl w:val="nil"/>
            </w:tcBorders>
            <w:shd w:val="clear" w:color="auto" w:fill="auto"/>
            <w:vAlign w:val="center"/>
          </w:tcPr>
          <w:p w14:paraId="0F40EB77">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458CFA44">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052207</w:t>
            </w:r>
          </w:p>
        </w:tc>
        <w:tc>
          <w:tcPr>
            <w:tcW w:w="1178" w:type="dxa"/>
            <w:tcBorders>
              <w:tl2br w:val="nil"/>
              <w:tr2bl w:val="nil"/>
            </w:tcBorders>
            <w:shd w:val="clear" w:color="auto" w:fill="auto"/>
            <w:vAlign w:val="center"/>
          </w:tcPr>
          <w:p w14:paraId="4ABDD73F">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6A83598E">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0667118">
            <w:pPr>
              <w:widowControl w:val="0"/>
              <w:jc w:val="center"/>
              <w:rPr>
                <w:sz w:val="21"/>
                <w:szCs w:val="21"/>
                <w:lang w:eastAsia="en-US"/>
              </w:rPr>
            </w:pPr>
            <w:r>
              <w:rPr>
                <w:sz w:val="21"/>
                <w:szCs w:val="21"/>
                <w:lang w:eastAsia="en-US"/>
              </w:rPr>
              <w:t>0.02</w:t>
            </w:r>
          </w:p>
        </w:tc>
        <w:tc>
          <w:tcPr>
            <w:tcW w:w="713" w:type="dxa"/>
            <w:tcBorders>
              <w:tl2br w:val="nil"/>
              <w:tr2bl w:val="nil"/>
            </w:tcBorders>
            <w:shd w:val="clear" w:color="auto" w:fill="auto"/>
            <w:vAlign w:val="center"/>
          </w:tcPr>
          <w:p w14:paraId="3734A877">
            <w:pPr>
              <w:widowControl/>
              <w:spacing w:line="240" w:lineRule="auto"/>
              <w:jc w:val="center"/>
              <w:rPr>
                <w:sz w:val="21"/>
                <w:szCs w:val="21"/>
                <w:lang w:eastAsia="en-US"/>
              </w:rPr>
            </w:pPr>
            <w:r>
              <w:rPr>
                <w:sz w:val="21"/>
                <w:szCs w:val="21"/>
                <w:lang w:eastAsia="en-US"/>
              </w:rPr>
              <w:t>达标</w:t>
            </w:r>
          </w:p>
        </w:tc>
      </w:tr>
      <w:tr w14:paraId="35335D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7577ACA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AFF8D8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FC2C1C1">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1BDB272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9FBB7F5">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5CDE0738">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w:t>
            </w:r>
          </w:p>
        </w:tc>
        <w:tc>
          <w:tcPr>
            <w:tcW w:w="1178" w:type="dxa"/>
            <w:tcBorders>
              <w:tl2br w:val="nil"/>
              <w:tr2bl w:val="nil"/>
            </w:tcBorders>
            <w:shd w:val="clear" w:color="auto" w:fill="auto"/>
            <w:vAlign w:val="center"/>
          </w:tcPr>
          <w:p w14:paraId="1BCE04B9">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17FFF9EF">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017D001E">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092AFDF0">
            <w:pPr>
              <w:widowControl/>
              <w:spacing w:line="240" w:lineRule="auto"/>
              <w:jc w:val="center"/>
              <w:rPr>
                <w:sz w:val="21"/>
                <w:szCs w:val="21"/>
                <w:lang w:eastAsia="en-US"/>
              </w:rPr>
            </w:pPr>
            <w:r>
              <w:rPr>
                <w:sz w:val="21"/>
                <w:szCs w:val="21"/>
                <w:lang w:eastAsia="en-US"/>
              </w:rPr>
              <w:t>达标</w:t>
            </w:r>
          </w:p>
        </w:tc>
      </w:tr>
      <w:tr w14:paraId="19048AF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F7F7F55">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9C43CE5">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CC47C06">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B4E8E89">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B0696A3">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1FC32A97">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6F138A6E">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F914426">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6252521">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48A0ED13">
            <w:pPr>
              <w:widowControl/>
              <w:spacing w:line="240" w:lineRule="auto"/>
              <w:jc w:val="center"/>
              <w:rPr>
                <w:sz w:val="21"/>
                <w:szCs w:val="21"/>
                <w:lang w:eastAsia="en-US"/>
              </w:rPr>
            </w:pPr>
            <w:r>
              <w:rPr>
                <w:sz w:val="21"/>
                <w:szCs w:val="21"/>
                <w:lang w:eastAsia="en-US"/>
              </w:rPr>
              <w:t>达标</w:t>
            </w:r>
          </w:p>
        </w:tc>
      </w:tr>
      <w:tr w14:paraId="1E0B19C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9BB2682">
            <w:pPr>
              <w:widowControl/>
              <w:spacing w:line="240" w:lineRule="auto"/>
              <w:jc w:val="center"/>
              <w:rPr>
                <w:sz w:val="21"/>
                <w:szCs w:val="21"/>
                <w:lang w:eastAsia="en-US"/>
              </w:rPr>
            </w:pPr>
            <w:r>
              <w:rPr>
                <w:rFonts w:hint="eastAsia"/>
                <w:sz w:val="21"/>
                <w:szCs w:val="21"/>
                <w:lang w:eastAsia="en-US"/>
              </w:rPr>
              <w:t>16</w:t>
            </w:r>
          </w:p>
        </w:tc>
        <w:tc>
          <w:tcPr>
            <w:tcW w:w="1141" w:type="dxa"/>
            <w:vMerge w:val="restart"/>
            <w:tcBorders>
              <w:tl2br w:val="nil"/>
              <w:tr2bl w:val="nil"/>
            </w:tcBorders>
            <w:shd w:val="clear" w:color="auto" w:fill="auto"/>
            <w:vAlign w:val="center"/>
          </w:tcPr>
          <w:p w14:paraId="10C08ADB">
            <w:pPr>
              <w:widowControl/>
              <w:spacing w:line="240" w:lineRule="auto"/>
              <w:jc w:val="center"/>
              <w:rPr>
                <w:sz w:val="21"/>
                <w:szCs w:val="21"/>
                <w:lang w:eastAsia="en-US"/>
              </w:rPr>
            </w:pPr>
            <w:r>
              <w:rPr>
                <w:sz w:val="21"/>
                <w:szCs w:val="21"/>
                <w:lang w:eastAsia="en-US"/>
              </w:rPr>
              <w:t>学府雅苑</w:t>
            </w:r>
          </w:p>
        </w:tc>
        <w:tc>
          <w:tcPr>
            <w:tcW w:w="734" w:type="dxa"/>
            <w:vMerge w:val="restart"/>
            <w:tcBorders>
              <w:tl2br w:val="nil"/>
              <w:tr2bl w:val="nil"/>
            </w:tcBorders>
            <w:shd w:val="clear" w:color="auto" w:fill="auto"/>
            <w:vAlign w:val="center"/>
          </w:tcPr>
          <w:p w14:paraId="49E9B8C8">
            <w:pPr>
              <w:widowControl/>
              <w:spacing w:line="240" w:lineRule="auto"/>
              <w:jc w:val="center"/>
              <w:rPr>
                <w:sz w:val="21"/>
                <w:szCs w:val="21"/>
                <w:lang w:eastAsia="en-US"/>
              </w:rPr>
            </w:pPr>
            <w:r>
              <w:rPr>
                <w:rFonts w:hint="eastAsia"/>
                <w:sz w:val="21"/>
                <w:szCs w:val="21"/>
                <w:lang w:eastAsia="en-US"/>
              </w:rPr>
              <w:t>742</w:t>
            </w:r>
          </w:p>
        </w:tc>
        <w:tc>
          <w:tcPr>
            <w:tcW w:w="645" w:type="dxa"/>
            <w:vMerge w:val="restart"/>
            <w:tcBorders>
              <w:tl2br w:val="nil"/>
              <w:tr2bl w:val="nil"/>
            </w:tcBorders>
            <w:shd w:val="clear" w:color="auto" w:fill="auto"/>
            <w:vAlign w:val="center"/>
          </w:tcPr>
          <w:p w14:paraId="6C891B45">
            <w:pPr>
              <w:widowControl/>
              <w:spacing w:line="240" w:lineRule="auto"/>
              <w:jc w:val="center"/>
              <w:rPr>
                <w:sz w:val="21"/>
                <w:szCs w:val="21"/>
                <w:lang w:eastAsia="en-US"/>
              </w:rPr>
            </w:pPr>
            <w:r>
              <w:rPr>
                <w:rFonts w:hint="eastAsia"/>
                <w:sz w:val="21"/>
                <w:szCs w:val="21"/>
                <w:lang w:eastAsia="en-US"/>
              </w:rPr>
              <w:t>1055</w:t>
            </w:r>
          </w:p>
        </w:tc>
        <w:tc>
          <w:tcPr>
            <w:tcW w:w="911" w:type="dxa"/>
            <w:tcBorders>
              <w:tl2br w:val="nil"/>
              <w:tr2bl w:val="nil"/>
            </w:tcBorders>
            <w:shd w:val="clear" w:color="auto" w:fill="auto"/>
            <w:vAlign w:val="center"/>
          </w:tcPr>
          <w:p w14:paraId="09F7F710">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16C69E97">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081619</w:t>
            </w:r>
          </w:p>
        </w:tc>
        <w:tc>
          <w:tcPr>
            <w:tcW w:w="1178" w:type="dxa"/>
            <w:tcBorders>
              <w:tl2br w:val="nil"/>
              <w:tr2bl w:val="nil"/>
            </w:tcBorders>
            <w:shd w:val="clear" w:color="auto" w:fill="auto"/>
            <w:vAlign w:val="center"/>
          </w:tcPr>
          <w:p w14:paraId="02EA87EB">
            <w:pPr>
              <w:widowControl w:val="0"/>
              <w:jc w:val="center"/>
              <w:rPr>
                <w:sz w:val="21"/>
                <w:szCs w:val="21"/>
                <w:lang w:eastAsia="en-US"/>
              </w:rPr>
            </w:pPr>
            <w:r>
              <w:rPr>
                <w:sz w:val="21"/>
                <w:szCs w:val="21"/>
                <w:lang w:eastAsia="en-US"/>
              </w:rPr>
              <w:t>0.0003</w:t>
            </w:r>
          </w:p>
        </w:tc>
        <w:tc>
          <w:tcPr>
            <w:tcW w:w="911" w:type="dxa"/>
            <w:tcBorders>
              <w:tl2br w:val="nil"/>
              <w:tr2bl w:val="nil"/>
            </w:tcBorders>
            <w:shd w:val="clear" w:color="auto" w:fill="auto"/>
            <w:vAlign w:val="center"/>
          </w:tcPr>
          <w:p w14:paraId="71F8C482">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0721DE20">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291251C6">
            <w:pPr>
              <w:widowControl/>
              <w:spacing w:line="240" w:lineRule="auto"/>
              <w:jc w:val="center"/>
              <w:rPr>
                <w:sz w:val="21"/>
                <w:szCs w:val="21"/>
                <w:lang w:eastAsia="en-US"/>
              </w:rPr>
            </w:pPr>
            <w:r>
              <w:rPr>
                <w:sz w:val="21"/>
                <w:szCs w:val="21"/>
                <w:lang w:eastAsia="en-US"/>
              </w:rPr>
              <w:t>达标</w:t>
            </w:r>
          </w:p>
        </w:tc>
      </w:tr>
      <w:tr w14:paraId="323DBB7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6079150">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89245C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118AF39">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408DD5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6A107A8">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500F522A">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0816</w:t>
            </w:r>
          </w:p>
        </w:tc>
        <w:tc>
          <w:tcPr>
            <w:tcW w:w="1178" w:type="dxa"/>
            <w:tcBorders>
              <w:tl2br w:val="nil"/>
              <w:tr2bl w:val="nil"/>
            </w:tcBorders>
            <w:shd w:val="clear" w:color="auto" w:fill="auto"/>
            <w:vAlign w:val="center"/>
          </w:tcPr>
          <w:p w14:paraId="380C1BBE">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3E9DF854">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6AB00AA5">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41F3C99E">
            <w:pPr>
              <w:widowControl/>
              <w:spacing w:line="240" w:lineRule="auto"/>
              <w:jc w:val="center"/>
              <w:rPr>
                <w:sz w:val="21"/>
                <w:szCs w:val="21"/>
                <w:lang w:eastAsia="en-US"/>
              </w:rPr>
            </w:pPr>
            <w:r>
              <w:rPr>
                <w:sz w:val="21"/>
                <w:szCs w:val="21"/>
                <w:lang w:eastAsia="en-US"/>
              </w:rPr>
              <w:t>达标</w:t>
            </w:r>
          </w:p>
        </w:tc>
      </w:tr>
      <w:tr w14:paraId="51255F1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3F9E3DB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06D4AF4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F7AAB76">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7A863BF8">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6CA66746">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144DD6E">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7EA5776F">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71818D31">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84B43B9">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7BE69FEE">
            <w:pPr>
              <w:widowControl/>
              <w:spacing w:line="240" w:lineRule="auto"/>
              <w:jc w:val="center"/>
              <w:rPr>
                <w:sz w:val="21"/>
                <w:szCs w:val="21"/>
                <w:lang w:eastAsia="en-US"/>
              </w:rPr>
            </w:pPr>
            <w:r>
              <w:rPr>
                <w:sz w:val="21"/>
                <w:szCs w:val="21"/>
                <w:lang w:eastAsia="en-US"/>
              </w:rPr>
              <w:t>达标</w:t>
            </w:r>
          </w:p>
        </w:tc>
      </w:tr>
      <w:tr w14:paraId="14DEE2C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2B9C001">
            <w:pPr>
              <w:widowControl/>
              <w:spacing w:line="240" w:lineRule="auto"/>
              <w:jc w:val="center"/>
              <w:rPr>
                <w:sz w:val="21"/>
                <w:szCs w:val="21"/>
                <w:lang w:eastAsia="en-US"/>
              </w:rPr>
            </w:pPr>
            <w:r>
              <w:rPr>
                <w:rFonts w:hint="eastAsia"/>
                <w:sz w:val="21"/>
                <w:szCs w:val="21"/>
                <w:lang w:eastAsia="en-US"/>
              </w:rPr>
              <w:t>17</w:t>
            </w:r>
          </w:p>
        </w:tc>
        <w:tc>
          <w:tcPr>
            <w:tcW w:w="1141" w:type="dxa"/>
            <w:vMerge w:val="restart"/>
            <w:tcBorders>
              <w:tl2br w:val="nil"/>
              <w:tr2bl w:val="nil"/>
            </w:tcBorders>
            <w:shd w:val="clear" w:color="auto" w:fill="auto"/>
            <w:vAlign w:val="center"/>
          </w:tcPr>
          <w:p w14:paraId="0465F1F1">
            <w:pPr>
              <w:widowControl/>
              <w:spacing w:line="240" w:lineRule="auto"/>
              <w:jc w:val="center"/>
              <w:rPr>
                <w:sz w:val="21"/>
                <w:szCs w:val="21"/>
                <w:lang w:eastAsia="en-US"/>
              </w:rPr>
            </w:pPr>
            <w:r>
              <w:rPr>
                <w:sz w:val="21"/>
                <w:szCs w:val="21"/>
                <w:lang w:eastAsia="en-US"/>
              </w:rPr>
              <w:t>天一家园</w:t>
            </w:r>
          </w:p>
        </w:tc>
        <w:tc>
          <w:tcPr>
            <w:tcW w:w="734" w:type="dxa"/>
            <w:vMerge w:val="restart"/>
            <w:tcBorders>
              <w:tl2br w:val="nil"/>
              <w:tr2bl w:val="nil"/>
            </w:tcBorders>
            <w:shd w:val="clear" w:color="auto" w:fill="auto"/>
            <w:vAlign w:val="center"/>
          </w:tcPr>
          <w:p w14:paraId="0FBB985C">
            <w:pPr>
              <w:widowControl/>
              <w:spacing w:line="240" w:lineRule="auto"/>
              <w:jc w:val="center"/>
              <w:rPr>
                <w:sz w:val="21"/>
                <w:szCs w:val="21"/>
                <w:lang w:eastAsia="en-US"/>
              </w:rPr>
            </w:pPr>
            <w:r>
              <w:rPr>
                <w:rFonts w:hint="eastAsia"/>
                <w:sz w:val="21"/>
                <w:szCs w:val="21"/>
                <w:lang w:eastAsia="en-US"/>
              </w:rPr>
              <w:t>419</w:t>
            </w:r>
          </w:p>
        </w:tc>
        <w:tc>
          <w:tcPr>
            <w:tcW w:w="645" w:type="dxa"/>
            <w:vMerge w:val="restart"/>
            <w:tcBorders>
              <w:tl2br w:val="nil"/>
              <w:tr2bl w:val="nil"/>
            </w:tcBorders>
            <w:shd w:val="clear" w:color="auto" w:fill="auto"/>
            <w:vAlign w:val="center"/>
          </w:tcPr>
          <w:p w14:paraId="1B558D88">
            <w:pPr>
              <w:widowControl/>
              <w:spacing w:line="240" w:lineRule="auto"/>
              <w:jc w:val="center"/>
              <w:rPr>
                <w:sz w:val="21"/>
                <w:szCs w:val="21"/>
                <w:lang w:eastAsia="en-US"/>
              </w:rPr>
            </w:pPr>
            <w:r>
              <w:rPr>
                <w:rFonts w:hint="eastAsia"/>
                <w:sz w:val="21"/>
                <w:szCs w:val="21"/>
                <w:lang w:eastAsia="en-US"/>
              </w:rPr>
              <w:t>1414</w:t>
            </w:r>
          </w:p>
        </w:tc>
        <w:tc>
          <w:tcPr>
            <w:tcW w:w="911" w:type="dxa"/>
            <w:tcBorders>
              <w:tl2br w:val="nil"/>
              <w:tr2bl w:val="nil"/>
            </w:tcBorders>
            <w:shd w:val="clear" w:color="auto" w:fill="auto"/>
            <w:vAlign w:val="center"/>
          </w:tcPr>
          <w:p w14:paraId="2FCDC1BD">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4AD5A6D">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080701</w:t>
            </w:r>
          </w:p>
        </w:tc>
        <w:tc>
          <w:tcPr>
            <w:tcW w:w="1178" w:type="dxa"/>
            <w:tcBorders>
              <w:tl2br w:val="nil"/>
              <w:tr2bl w:val="nil"/>
            </w:tcBorders>
            <w:shd w:val="clear" w:color="auto" w:fill="auto"/>
            <w:vAlign w:val="center"/>
          </w:tcPr>
          <w:p w14:paraId="780517F0">
            <w:pPr>
              <w:widowControl w:val="0"/>
              <w:jc w:val="center"/>
              <w:rPr>
                <w:sz w:val="21"/>
                <w:szCs w:val="21"/>
                <w:lang w:eastAsia="en-US"/>
              </w:rPr>
            </w:pPr>
            <w:r>
              <w:rPr>
                <w:sz w:val="21"/>
                <w:szCs w:val="21"/>
                <w:lang w:eastAsia="en-US"/>
              </w:rPr>
              <w:t>0.0005</w:t>
            </w:r>
          </w:p>
        </w:tc>
        <w:tc>
          <w:tcPr>
            <w:tcW w:w="911" w:type="dxa"/>
            <w:tcBorders>
              <w:tl2br w:val="nil"/>
              <w:tr2bl w:val="nil"/>
            </w:tcBorders>
            <w:shd w:val="clear" w:color="auto" w:fill="auto"/>
            <w:vAlign w:val="center"/>
          </w:tcPr>
          <w:p w14:paraId="07024E73">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5670826">
            <w:pPr>
              <w:widowControl w:val="0"/>
              <w:jc w:val="center"/>
              <w:rPr>
                <w:sz w:val="21"/>
                <w:szCs w:val="21"/>
                <w:lang w:eastAsia="en-US"/>
              </w:rPr>
            </w:pPr>
            <w:r>
              <w:rPr>
                <w:sz w:val="21"/>
                <w:szCs w:val="21"/>
                <w:lang w:eastAsia="en-US"/>
              </w:rPr>
              <w:t>0.10</w:t>
            </w:r>
          </w:p>
        </w:tc>
        <w:tc>
          <w:tcPr>
            <w:tcW w:w="713" w:type="dxa"/>
            <w:tcBorders>
              <w:tl2br w:val="nil"/>
              <w:tr2bl w:val="nil"/>
            </w:tcBorders>
            <w:shd w:val="clear" w:color="auto" w:fill="auto"/>
            <w:vAlign w:val="center"/>
          </w:tcPr>
          <w:p w14:paraId="23DD0C4F">
            <w:pPr>
              <w:widowControl/>
              <w:spacing w:line="240" w:lineRule="auto"/>
              <w:jc w:val="center"/>
              <w:rPr>
                <w:sz w:val="21"/>
                <w:szCs w:val="21"/>
                <w:lang w:eastAsia="en-US"/>
              </w:rPr>
            </w:pPr>
            <w:r>
              <w:rPr>
                <w:sz w:val="21"/>
                <w:szCs w:val="21"/>
                <w:lang w:eastAsia="en-US"/>
              </w:rPr>
              <w:t>达标</w:t>
            </w:r>
          </w:p>
        </w:tc>
      </w:tr>
      <w:tr w14:paraId="55702EF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250511A6">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1A79E9C">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72908471">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B66122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1E29CFB5">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65F2D943">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0811</w:t>
            </w:r>
          </w:p>
        </w:tc>
        <w:tc>
          <w:tcPr>
            <w:tcW w:w="1178" w:type="dxa"/>
            <w:tcBorders>
              <w:tl2br w:val="nil"/>
              <w:tr2bl w:val="nil"/>
            </w:tcBorders>
            <w:shd w:val="clear" w:color="auto" w:fill="auto"/>
            <w:vAlign w:val="center"/>
          </w:tcPr>
          <w:p w14:paraId="7E7F44B9">
            <w:pPr>
              <w:widowControl w:val="0"/>
              <w:jc w:val="center"/>
              <w:rPr>
                <w:sz w:val="21"/>
                <w:szCs w:val="21"/>
                <w:lang w:eastAsia="en-US"/>
              </w:rPr>
            </w:pPr>
            <w:r>
              <w:rPr>
                <w:sz w:val="21"/>
                <w:szCs w:val="21"/>
                <w:lang w:eastAsia="en-US"/>
              </w:rPr>
              <w:t>0.0090</w:t>
            </w:r>
          </w:p>
        </w:tc>
        <w:tc>
          <w:tcPr>
            <w:tcW w:w="911" w:type="dxa"/>
            <w:tcBorders>
              <w:tl2br w:val="nil"/>
              <w:tr2bl w:val="nil"/>
            </w:tcBorders>
            <w:shd w:val="clear" w:color="auto" w:fill="auto"/>
            <w:vAlign w:val="center"/>
          </w:tcPr>
          <w:p w14:paraId="391D309F">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354F777F">
            <w:pPr>
              <w:widowControl w:val="0"/>
              <w:jc w:val="center"/>
              <w:rPr>
                <w:sz w:val="21"/>
                <w:szCs w:val="21"/>
                <w:lang w:eastAsia="en-US"/>
              </w:rPr>
            </w:pPr>
            <w:r>
              <w:rPr>
                <w:sz w:val="21"/>
                <w:szCs w:val="21"/>
                <w:lang w:eastAsia="en-US"/>
              </w:rPr>
              <w:t>5.98</w:t>
            </w:r>
          </w:p>
        </w:tc>
        <w:tc>
          <w:tcPr>
            <w:tcW w:w="713" w:type="dxa"/>
            <w:tcBorders>
              <w:tl2br w:val="nil"/>
              <w:tr2bl w:val="nil"/>
            </w:tcBorders>
            <w:shd w:val="clear" w:color="auto" w:fill="auto"/>
            <w:vAlign w:val="center"/>
          </w:tcPr>
          <w:p w14:paraId="09311E8C">
            <w:pPr>
              <w:widowControl/>
              <w:spacing w:line="240" w:lineRule="auto"/>
              <w:jc w:val="center"/>
              <w:rPr>
                <w:sz w:val="21"/>
                <w:szCs w:val="21"/>
                <w:lang w:eastAsia="en-US"/>
              </w:rPr>
            </w:pPr>
            <w:r>
              <w:rPr>
                <w:sz w:val="21"/>
                <w:szCs w:val="21"/>
                <w:lang w:eastAsia="en-US"/>
              </w:rPr>
              <w:t>达标</w:t>
            </w:r>
          </w:p>
        </w:tc>
      </w:tr>
      <w:tr w14:paraId="1285DA5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DB775D7">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FE8AAB2">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65A6CA8">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48F282B">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715F59A3">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3D50BAB2">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50AB9E82">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0569732">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3D1E1C39">
            <w:pPr>
              <w:widowControl w:val="0"/>
              <w:jc w:val="center"/>
              <w:rPr>
                <w:sz w:val="21"/>
                <w:szCs w:val="21"/>
                <w:lang w:eastAsia="en-US"/>
              </w:rPr>
            </w:pPr>
            <w:r>
              <w:rPr>
                <w:sz w:val="21"/>
                <w:szCs w:val="21"/>
                <w:lang w:eastAsia="en-US"/>
              </w:rPr>
              <w:t>0.06</w:t>
            </w:r>
          </w:p>
        </w:tc>
        <w:tc>
          <w:tcPr>
            <w:tcW w:w="713" w:type="dxa"/>
            <w:tcBorders>
              <w:tl2br w:val="nil"/>
              <w:tr2bl w:val="nil"/>
            </w:tcBorders>
            <w:shd w:val="clear" w:color="auto" w:fill="auto"/>
            <w:vAlign w:val="center"/>
          </w:tcPr>
          <w:p w14:paraId="74DCEBE6">
            <w:pPr>
              <w:widowControl/>
              <w:spacing w:line="240" w:lineRule="auto"/>
              <w:jc w:val="center"/>
              <w:rPr>
                <w:sz w:val="21"/>
                <w:szCs w:val="21"/>
                <w:lang w:eastAsia="en-US"/>
              </w:rPr>
            </w:pPr>
            <w:r>
              <w:rPr>
                <w:sz w:val="21"/>
                <w:szCs w:val="21"/>
                <w:lang w:eastAsia="en-US"/>
              </w:rPr>
              <w:t>达标</w:t>
            </w:r>
          </w:p>
        </w:tc>
      </w:tr>
      <w:tr w14:paraId="780EA63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3812EC9">
            <w:pPr>
              <w:widowControl/>
              <w:spacing w:line="240" w:lineRule="auto"/>
              <w:jc w:val="center"/>
              <w:rPr>
                <w:sz w:val="21"/>
                <w:szCs w:val="21"/>
                <w:lang w:eastAsia="en-US"/>
              </w:rPr>
            </w:pPr>
            <w:r>
              <w:rPr>
                <w:rFonts w:hint="eastAsia"/>
                <w:sz w:val="21"/>
                <w:szCs w:val="21"/>
                <w:lang w:eastAsia="en-US"/>
              </w:rPr>
              <w:t>18</w:t>
            </w:r>
          </w:p>
        </w:tc>
        <w:tc>
          <w:tcPr>
            <w:tcW w:w="1141" w:type="dxa"/>
            <w:vMerge w:val="restart"/>
            <w:tcBorders>
              <w:tl2br w:val="nil"/>
              <w:tr2bl w:val="nil"/>
            </w:tcBorders>
            <w:shd w:val="clear" w:color="auto" w:fill="auto"/>
            <w:vAlign w:val="center"/>
          </w:tcPr>
          <w:p w14:paraId="722B457D">
            <w:pPr>
              <w:widowControl/>
              <w:spacing w:line="240" w:lineRule="auto"/>
              <w:jc w:val="center"/>
              <w:rPr>
                <w:sz w:val="21"/>
                <w:szCs w:val="21"/>
                <w:lang w:eastAsia="en-US"/>
              </w:rPr>
            </w:pPr>
            <w:r>
              <w:rPr>
                <w:sz w:val="21"/>
                <w:szCs w:val="21"/>
                <w:lang w:eastAsia="en-US"/>
              </w:rPr>
              <w:t>长通名城</w:t>
            </w:r>
          </w:p>
        </w:tc>
        <w:tc>
          <w:tcPr>
            <w:tcW w:w="734" w:type="dxa"/>
            <w:vMerge w:val="restart"/>
            <w:tcBorders>
              <w:tl2br w:val="nil"/>
              <w:tr2bl w:val="nil"/>
            </w:tcBorders>
            <w:shd w:val="clear" w:color="auto" w:fill="auto"/>
            <w:vAlign w:val="center"/>
          </w:tcPr>
          <w:p w14:paraId="0586E0B7">
            <w:pPr>
              <w:widowControl/>
              <w:spacing w:line="240" w:lineRule="auto"/>
              <w:jc w:val="center"/>
              <w:rPr>
                <w:sz w:val="21"/>
                <w:szCs w:val="21"/>
                <w:lang w:eastAsia="en-US"/>
              </w:rPr>
            </w:pPr>
            <w:r>
              <w:rPr>
                <w:rFonts w:hint="eastAsia"/>
                <w:sz w:val="21"/>
                <w:szCs w:val="21"/>
                <w:lang w:eastAsia="en-US"/>
              </w:rPr>
              <w:t>419</w:t>
            </w:r>
          </w:p>
        </w:tc>
        <w:tc>
          <w:tcPr>
            <w:tcW w:w="645" w:type="dxa"/>
            <w:vMerge w:val="restart"/>
            <w:tcBorders>
              <w:tl2br w:val="nil"/>
              <w:tr2bl w:val="nil"/>
            </w:tcBorders>
            <w:shd w:val="clear" w:color="auto" w:fill="auto"/>
            <w:vAlign w:val="center"/>
          </w:tcPr>
          <w:p w14:paraId="6B09D1BA">
            <w:pPr>
              <w:widowControl/>
              <w:spacing w:line="240" w:lineRule="auto"/>
              <w:jc w:val="center"/>
              <w:rPr>
                <w:sz w:val="21"/>
                <w:szCs w:val="21"/>
                <w:lang w:eastAsia="en-US"/>
              </w:rPr>
            </w:pPr>
            <w:r>
              <w:rPr>
                <w:rFonts w:hint="eastAsia"/>
                <w:sz w:val="21"/>
                <w:szCs w:val="21"/>
                <w:lang w:eastAsia="en-US"/>
              </w:rPr>
              <w:t>1675</w:t>
            </w:r>
          </w:p>
        </w:tc>
        <w:tc>
          <w:tcPr>
            <w:tcW w:w="911" w:type="dxa"/>
            <w:tcBorders>
              <w:tl2br w:val="nil"/>
              <w:tr2bl w:val="nil"/>
            </w:tcBorders>
            <w:shd w:val="clear" w:color="auto" w:fill="auto"/>
            <w:vAlign w:val="center"/>
          </w:tcPr>
          <w:p w14:paraId="04033D72">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5903091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052419</w:t>
            </w:r>
          </w:p>
        </w:tc>
        <w:tc>
          <w:tcPr>
            <w:tcW w:w="1178" w:type="dxa"/>
            <w:tcBorders>
              <w:tl2br w:val="nil"/>
              <w:tr2bl w:val="nil"/>
            </w:tcBorders>
            <w:shd w:val="clear" w:color="auto" w:fill="auto"/>
            <w:vAlign w:val="center"/>
          </w:tcPr>
          <w:p w14:paraId="31686A84">
            <w:pPr>
              <w:widowControl w:val="0"/>
              <w:jc w:val="center"/>
              <w:rPr>
                <w:sz w:val="21"/>
                <w:szCs w:val="21"/>
                <w:lang w:eastAsia="en-US"/>
              </w:rPr>
            </w:pPr>
            <w:r>
              <w:rPr>
                <w:sz w:val="21"/>
                <w:szCs w:val="21"/>
                <w:lang w:eastAsia="en-US"/>
              </w:rPr>
              <w:t>0.0002</w:t>
            </w:r>
          </w:p>
        </w:tc>
        <w:tc>
          <w:tcPr>
            <w:tcW w:w="911" w:type="dxa"/>
            <w:tcBorders>
              <w:tl2br w:val="nil"/>
              <w:tr2bl w:val="nil"/>
            </w:tcBorders>
            <w:shd w:val="clear" w:color="auto" w:fill="auto"/>
            <w:vAlign w:val="center"/>
          </w:tcPr>
          <w:p w14:paraId="7BDD6EBA">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6BC83EE9">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6E7398A6">
            <w:pPr>
              <w:widowControl/>
              <w:spacing w:line="240" w:lineRule="auto"/>
              <w:jc w:val="center"/>
              <w:rPr>
                <w:sz w:val="21"/>
                <w:szCs w:val="21"/>
                <w:lang w:eastAsia="en-US"/>
              </w:rPr>
            </w:pPr>
            <w:r>
              <w:rPr>
                <w:sz w:val="21"/>
                <w:szCs w:val="21"/>
                <w:lang w:eastAsia="en-US"/>
              </w:rPr>
              <w:t>达标</w:t>
            </w:r>
          </w:p>
        </w:tc>
      </w:tr>
      <w:tr w14:paraId="58A6C77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11E2631">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A0E747E">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8DBEFE9">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6854D633">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76CB684">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1D1FB3D1">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0531</w:t>
            </w:r>
          </w:p>
        </w:tc>
        <w:tc>
          <w:tcPr>
            <w:tcW w:w="1178" w:type="dxa"/>
            <w:tcBorders>
              <w:tl2br w:val="nil"/>
              <w:tr2bl w:val="nil"/>
            </w:tcBorders>
            <w:shd w:val="clear" w:color="auto" w:fill="auto"/>
            <w:vAlign w:val="center"/>
          </w:tcPr>
          <w:p w14:paraId="4CC5BC86">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67033FE9">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DBC8C1E">
            <w:pPr>
              <w:widowControl w:val="0"/>
              <w:jc w:val="center"/>
              <w:rPr>
                <w:sz w:val="21"/>
                <w:szCs w:val="21"/>
                <w:lang w:eastAsia="en-US"/>
              </w:rPr>
            </w:pPr>
            <w:r>
              <w:rPr>
                <w:sz w:val="21"/>
                <w:szCs w:val="21"/>
                <w:lang w:eastAsia="en-US"/>
              </w:rPr>
              <w:t>5.96</w:t>
            </w:r>
          </w:p>
        </w:tc>
        <w:tc>
          <w:tcPr>
            <w:tcW w:w="713" w:type="dxa"/>
            <w:tcBorders>
              <w:tl2br w:val="nil"/>
              <w:tr2bl w:val="nil"/>
            </w:tcBorders>
            <w:shd w:val="clear" w:color="auto" w:fill="auto"/>
            <w:vAlign w:val="center"/>
          </w:tcPr>
          <w:p w14:paraId="032102D6">
            <w:pPr>
              <w:widowControl/>
              <w:spacing w:line="240" w:lineRule="auto"/>
              <w:jc w:val="center"/>
              <w:rPr>
                <w:sz w:val="21"/>
                <w:szCs w:val="21"/>
                <w:lang w:eastAsia="en-US"/>
              </w:rPr>
            </w:pPr>
            <w:r>
              <w:rPr>
                <w:sz w:val="21"/>
                <w:szCs w:val="21"/>
                <w:lang w:eastAsia="en-US"/>
              </w:rPr>
              <w:t>达标</w:t>
            </w:r>
          </w:p>
        </w:tc>
      </w:tr>
      <w:tr w14:paraId="1C03CAB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4A777A3">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F6A5B28">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5C1BF4BF">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95661F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537F5510">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9C1F46C">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7C2F7E2E">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60937E0D">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71398BA7">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0ECB766A">
            <w:pPr>
              <w:widowControl/>
              <w:spacing w:line="240" w:lineRule="auto"/>
              <w:jc w:val="center"/>
              <w:rPr>
                <w:sz w:val="21"/>
                <w:szCs w:val="21"/>
                <w:lang w:eastAsia="en-US"/>
              </w:rPr>
            </w:pPr>
            <w:r>
              <w:rPr>
                <w:sz w:val="21"/>
                <w:szCs w:val="21"/>
                <w:lang w:eastAsia="en-US"/>
              </w:rPr>
              <w:t>达标</w:t>
            </w:r>
          </w:p>
        </w:tc>
      </w:tr>
      <w:tr w14:paraId="1BBC2B5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D6726D1">
            <w:pPr>
              <w:widowControl/>
              <w:spacing w:line="240" w:lineRule="auto"/>
              <w:jc w:val="center"/>
              <w:rPr>
                <w:sz w:val="21"/>
                <w:szCs w:val="21"/>
                <w:lang w:eastAsia="en-US"/>
              </w:rPr>
            </w:pPr>
            <w:r>
              <w:rPr>
                <w:rFonts w:hint="eastAsia"/>
                <w:sz w:val="21"/>
                <w:szCs w:val="21"/>
                <w:lang w:eastAsia="en-US"/>
              </w:rPr>
              <w:t>19</w:t>
            </w:r>
          </w:p>
        </w:tc>
        <w:tc>
          <w:tcPr>
            <w:tcW w:w="1141" w:type="dxa"/>
            <w:vMerge w:val="restart"/>
            <w:tcBorders>
              <w:tl2br w:val="nil"/>
              <w:tr2bl w:val="nil"/>
            </w:tcBorders>
            <w:shd w:val="clear" w:color="auto" w:fill="auto"/>
            <w:vAlign w:val="center"/>
          </w:tcPr>
          <w:p w14:paraId="0ED5C3BD">
            <w:pPr>
              <w:widowControl/>
              <w:spacing w:line="240" w:lineRule="auto"/>
              <w:jc w:val="center"/>
              <w:rPr>
                <w:sz w:val="21"/>
                <w:szCs w:val="21"/>
                <w:lang w:eastAsia="en-US"/>
              </w:rPr>
            </w:pPr>
            <w:r>
              <w:rPr>
                <w:sz w:val="21"/>
                <w:szCs w:val="21"/>
                <w:lang w:eastAsia="en-US"/>
              </w:rPr>
              <w:t>湘潭碧桂园</w:t>
            </w:r>
          </w:p>
        </w:tc>
        <w:tc>
          <w:tcPr>
            <w:tcW w:w="734" w:type="dxa"/>
            <w:vMerge w:val="restart"/>
            <w:tcBorders>
              <w:tl2br w:val="nil"/>
              <w:tr2bl w:val="nil"/>
            </w:tcBorders>
            <w:shd w:val="clear" w:color="auto" w:fill="auto"/>
            <w:vAlign w:val="center"/>
          </w:tcPr>
          <w:p w14:paraId="1BBEE45C">
            <w:pPr>
              <w:widowControl/>
              <w:spacing w:line="240" w:lineRule="auto"/>
              <w:jc w:val="center"/>
              <w:rPr>
                <w:sz w:val="21"/>
                <w:szCs w:val="21"/>
                <w:lang w:eastAsia="en-US"/>
              </w:rPr>
            </w:pPr>
            <w:r>
              <w:rPr>
                <w:rFonts w:hint="eastAsia"/>
                <w:sz w:val="21"/>
                <w:szCs w:val="21"/>
                <w:lang w:eastAsia="en-US"/>
              </w:rPr>
              <w:t>1590</w:t>
            </w:r>
          </w:p>
        </w:tc>
        <w:tc>
          <w:tcPr>
            <w:tcW w:w="645" w:type="dxa"/>
            <w:vMerge w:val="restart"/>
            <w:tcBorders>
              <w:tl2br w:val="nil"/>
              <w:tr2bl w:val="nil"/>
            </w:tcBorders>
            <w:shd w:val="clear" w:color="auto" w:fill="auto"/>
            <w:vAlign w:val="center"/>
          </w:tcPr>
          <w:p w14:paraId="4EB3A1B1">
            <w:pPr>
              <w:widowControl/>
              <w:spacing w:line="240" w:lineRule="auto"/>
              <w:jc w:val="center"/>
              <w:rPr>
                <w:sz w:val="21"/>
                <w:szCs w:val="21"/>
                <w:lang w:eastAsia="en-US"/>
              </w:rPr>
            </w:pPr>
            <w:r>
              <w:rPr>
                <w:rFonts w:hint="eastAsia"/>
                <w:sz w:val="21"/>
                <w:szCs w:val="21"/>
                <w:lang w:eastAsia="en-US"/>
              </w:rPr>
              <w:t>1772</w:t>
            </w:r>
          </w:p>
        </w:tc>
        <w:tc>
          <w:tcPr>
            <w:tcW w:w="911" w:type="dxa"/>
            <w:tcBorders>
              <w:tl2br w:val="nil"/>
              <w:tr2bl w:val="nil"/>
            </w:tcBorders>
            <w:shd w:val="clear" w:color="auto" w:fill="auto"/>
            <w:vAlign w:val="center"/>
          </w:tcPr>
          <w:p w14:paraId="191AA6B4">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E185E8E">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010209</w:t>
            </w:r>
          </w:p>
        </w:tc>
        <w:tc>
          <w:tcPr>
            <w:tcW w:w="1178" w:type="dxa"/>
            <w:tcBorders>
              <w:tl2br w:val="nil"/>
              <w:tr2bl w:val="nil"/>
            </w:tcBorders>
            <w:shd w:val="clear" w:color="auto" w:fill="auto"/>
            <w:vAlign w:val="center"/>
          </w:tcPr>
          <w:p w14:paraId="1C074447">
            <w:pPr>
              <w:widowControl w:val="0"/>
              <w:jc w:val="center"/>
              <w:rPr>
                <w:sz w:val="21"/>
                <w:szCs w:val="21"/>
                <w:lang w:eastAsia="en-US"/>
              </w:rPr>
            </w:pPr>
            <w:r>
              <w:rPr>
                <w:sz w:val="21"/>
                <w:szCs w:val="21"/>
                <w:lang w:eastAsia="en-US"/>
              </w:rPr>
              <w:t>0.0001</w:t>
            </w:r>
          </w:p>
        </w:tc>
        <w:tc>
          <w:tcPr>
            <w:tcW w:w="911" w:type="dxa"/>
            <w:tcBorders>
              <w:tl2br w:val="nil"/>
              <w:tr2bl w:val="nil"/>
            </w:tcBorders>
            <w:shd w:val="clear" w:color="auto" w:fill="auto"/>
            <w:vAlign w:val="center"/>
          </w:tcPr>
          <w:p w14:paraId="014DEB07">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2B682C50">
            <w:pPr>
              <w:widowControl w:val="0"/>
              <w:jc w:val="center"/>
              <w:rPr>
                <w:sz w:val="21"/>
                <w:szCs w:val="21"/>
                <w:lang w:eastAsia="en-US"/>
              </w:rPr>
            </w:pPr>
            <w:r>
              <w:rPr>
                <w:sz w:val="21"/>
                <w:szCs w:val="21"/>
                <w:lang w:eastAsia="en-US"/>
              </w:rPr>
              <w:t>0.02</w:t>
            </w:r>
          </w:p>
        </w:tc>
        <w:tc>
          <w:tcPr>
            <w:tcW w:w="713" w:type="dxa"/>
            <w:tcBorders>
              <w:tl2br w:val="nil"/>
              <w:tr2bl w:val="nil"/>
            </w:tcBorders>
            <w:shd w:val="clear" w:color="auto" w:fill="auto"/>
            <w:vAlign w:val="center"/>
          </w:tcPr>
          <w:p w14:paraId="4FCBB666">
            <w:pPr>
              <w:widowControl/>
              <w:spacing w:line="240" w:lineRule="auto"/>
              <w:jc w:val="center"/>
              <w:rPr>
                <w:sz w:val="21"/>
                <w:szCs w:val="21"/>
                <w:lang w:eastAsia="en-US"/>
              </w:rPr>
            </w:pPr>
            <w:r>
              <w:rPr>
                <w:sz w:val="21"/>
                <w:szCs w:val="21"/>
                <w:lang w:eastAsia="en-US"/>
              </w:rPr>
              <w:t>达标</w:t>
            </w:r>
          </w:p>
        </w:tc>
      </w:tr>
      <w:tr w14:paraId="196C14F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B68E578">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1683179F">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342B754C">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3A629D07">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FD54B84">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6A16D6CF">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0101</w:t>
            </w:r>
          </w:p>
        </w:tc>
        <w:tc>
          <w:tcPr>
            <w:tcW w:w="1178" w:type="dxa"/>
            <w:tcBorders>
              <w:tl2br w:val="nil"/>
              <w:tr2bl w:val="nil"/>
            </w:tcBorders>
            <w:shd w:val="clear" w:color="auto" w:fill="auto"/>
            <w:vAlign w:val="center"/>
          </w:tcPr>
          <w:p w14:paraId="514E7E92">
            <w:pPr>
              <w:widowControl w:val="0"/>
              <w:jc w:val="center"/>
              <w:rPr>
                <w:sz w:val="21"/>
                <w:szCs w:val="21"/>
                <w:lang w:eastAsia="en-US"/>
              </w:rPr>
            </w:pPr>
            <w:r>
              <w:rPr>
                <w:sz w:val="21"/>
                <w:szCs w:val="21"/>
                <w:lang w:eastAsia="en-US"/>
              </w:rPr>
              <w:t>0.0089</w:t>
            </w:r>
          </w:p>
        </w:tc>
        <w:tc>
          <w:tcPr>
            <w:tcW w:w="911" w:type="dxa"/>
            <w:tcBorders>
              <w:tl2br w:val="nil"/>
              <w:tr2bl w:val="nil"/>
            </w:tcBorders>
            <w:shd w:val="clear" w:color="auto" w:fill="auto"/>
            <w:vAlign w:val="center"/>
          </w:tcPr>
          <w:p w14:paraId="53BD5F24">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07DAE890">
            <w:pPr>
              <w:widowControl w:val="0"/>
              <w:jc w:val="center"/>
              <w:rPr>
                <w:sz w:val="21"/>
                <w:szCs w:val="21"/>
                <w:lang w:eastAsia="en-US"/>
              </w:rPr>
            </w:pPr>
            <w:r>
              <w:rPr>
                <w:sz w:val="21"/>
                <w:szCs w:val="21"/>
                <w:lang w:eastAsia="en-US"/>
              </w:rPr>
              <w:t>5.95</w:t>
            </w:r>
          </w:p>
        </w:tc>
        <w:tc>
          <w:tcPr>
            <w:tcW w:w="713" w:type="dxa"/>
            <w:tcBorders>
              <w:tl2br w:val="nil"/>
              <w:tr2bl w:val="nil"/>
            </w:tcBorders>
            <w:shd w:val="clear" w:color="auto" w:fill="auto"/>
            <w:vAlign w:val="center"/>
          </w:tcPr>
          <w:p w14:paraId="05680D70">
            <w:pPr>
              <w:widowControl/>
              <w:spacing w:line="240" w:lineRule="auto"/>
              <w:jc w:val="center"/>
              <w:rPr>
                <w:sz w:val="21"/>
                <w:szCs w:val="21"/>
                <w:lang w:eastAsia="en-US"/>
              </w:rPr>
            </w:pPr>
            <w:r>
              <w:rPr>
                <w:sz w:val="21"/>
                <w:szCs w:val="21"/>
                <w:lang w:eastAsia="en-US"/>
              </w:rPr>
              <w:t>达标</w:t>
            </w:r>
          </w:p>
        </w:tc>
      </w:tr>
      <w:tr w14:paraId="0EE6BCD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EE01F4C">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71B579EB">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885886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2CE3FF4">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9B096C9">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3398CBF3">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134248AF">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56C4573F">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47AB548">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50A832B0">
            <w:pPr>
              <w:widowControl/>
              <w:spacing w:line="240" w:lineRule="auto"/>
              <w:jc w:val="center"/>
              <w:rPr>
                <w:sz w:val="21"/>
                <w:szCs w:val="21"/>
                <w:lang w:eastAsia="en-US"/>
              </w:rPr>
            </w:pPr>
            <w:r>
              <w:rPr>
                <w:sz w:val="21"/>
                <w:szCs w:val="21"/>
                <w:lang w:eastAsia="en-US"/>
              </w:rPr>
              <w:t>达标</w:t>
            </w:r>
          </w:p>
        </w:tc>
      </w:tr>
      <w:tr w14:paraId="02A99AE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641872FF">
            <w:pPr>
              <w:widowControl/>
              <w:spacing w:line="240" w:lineRule="auto"/>
              <w:jc w:val="center"/>
              <w:rPr>
                <w:sz w:val="21"/>
                <w:szCs w:val="21"/>
                <w:lang w:eastAsia="en-US"/>
              </w:rPr>
            </w:pPr>
            <w:r>
              <w:rPr>
                <w:rFonts w:hint="eastAsia"/>
                <w:sz w:val="21"/>
                <w:szCs w:val="21"/>
                <w:lang w:eastAsia="en-US"/>
              </w:rPr>
              <w:t>20</w:t>
            </w:r>
          </w:p>
        </w:tc>
        <w:tc>
          <w:tcPr>
            <w:tcW w:w="1141" w:type="dxa"/>
            <w:vMerge w:val="restart"/>
            <w:tcBorders>
              <w:tl2br w:val="nil"/>
              <w:tr2bl w:val="nil"/>
            </w:tcBorders>
            <w:shd w:val="clear" w:color="auto" w:fill="auto"/>
            <w:vAlign w:val="center"/>
          </w:tcPr>
          <w:p w14:paraId="7490A990">
            <w:pPr>
              <w:widowControl/>
              <w:spacing w:line="240" w:lineRule="auto"/>
              <w:jc w:val="center"/>
              <w:rPr>
                <w:sz w:val="21"/>
                <w:szCs w:val="21"/>
                <w:lang w:eastAsia="zh-CN"/>
              </w:rPr>
            </w:pPr>
            <w:r>
              <w:rPr>
                <w:sz w:val="21"/>
                <w:szCs w:val="21"/>
                <w:lang w:eastAsia="zh-CN"/>
              </w:rPr>
              <w:t>东北侧湘潭县居民居住集中区</w:t>
            </w:r>
          </w:p>
        </w:tc>
        <w:tc>
          <w:tcPr>
            <w:tcW w:w="734" w:type="dxa"/>
            <w:vMerge w:val="restart"/>
            <w:tcBorders>
              <w:tl2br w:val="nil"/>
              <w:tr2bl w:val="nil"/>
            </w:tcBorders>
            <w:shd w:val="clear" w:color="auto" w:fill="auto"/>
            <w:vAlign w:val="center"/>
          </w:tcPr>
          <w:p w14:paraId="63BF6753">
            <w:pPr>
              <w:widowControl/>
              <w:spacing w:line="240" w:lineRule="auto"/>
              <w:jc w:val="center"/>
              <w:rPr>
                <w:sz w:val="21"/>
                <w:szCs w:val="21"/>
                <w:lang w:eastAsia="en-US"/>
              </w:rPr>
            </w:pPr>
            <w:r>
              <w:rPr>
                <w:rFonts w:hint="eastAsia"/>
                <w:sz w:val="21"/>
                <w:szCs w:val="21"/>
                <w:lang w:eastAsia="en-US"/>
              </w:rPr>
              <w:t>582</w:t>
            </w:r>
          </w:p>
        </w:tc>
        <w:tc>
          <w:tcPr>
            <w:tcW w:w="645" w:type="dxa"/>
            <w:vMerge w:val="restart"/>
            <w:tcBorders>
              <w:tl2br w:val="nil"/>
              <w:tr2bl w:val="nil"/>
            </w:tcBorders>
            <w:shd w:val="clear" w:color="auto" w:fill="auto"/>
            <w:vAlign w:val="center"/>
          </w:tcPr>
          <w:p w14:paraId="44663529">
            <w:pPr>
              <w:widowControl/>
              <w:spacing w:line="240" w:lineRule="auto"/>
              <w:jc w:val="center"/>
              <w:rPr>
                <w:sz w:val="21"/>
                <w:szCs w:val="21"/>
                <w:lang w:eastAsia="en-US"/>
              </w:rPr>
            </w:pPr>
            <w:r>
              <w:rPr>
                <w:rFonts w:hint="eastAsia"/>
                <w:sz w:val="21"/>
                <w:szCs w:val="21"/>
                <w:lang w:eastAsia="en-US"/>
              </w:rPr>
              <w:t>2019</w:t>
            </w:r>
          </w:p>
        </w:tc>
        <w:tc>
          <w:tcPr>
            <w:tcW w:w="911" w:type="dxa"/>
            <w:tcBorders>
              <w:tl2br w:val="nil"/>
              <w:tr2bl w:val="nil"/>
            </w:tcBorders>
            <w:shd w:val="clear" w:color="auto" w:fill="auto"/>
            <w:vAlign w:val="center"/>
          </w:tcPr>
          <w:p w14:paraId="29B49439">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7ADFB88B">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100403</w:t>
            </w:r>
          </w:p>
        </w:tc>
        <w:tc>
          <w:tcPr>
            <w:tcW w:w="1178" w:type="dxa"/>
            <w:tcBorders>
              <w:tl2br w:val="nil"/>
              <w:tr2bl w:val="nil"/>
            </w:tcBorders>
            <w:shd w:val="clear" w:color="auto" w:fill="auto"/>
            <w:vAlign w:val="center"/>
          </w:tcPr>
          <w:p w14:paraId="7859B391">
            <w:pPr>
              <w:widowControl w:val="0"/>
              <w:jc w:val="center"/>
              <w:rPr>
                <w:sz w:val="21"/>
                <w:szCs w:val="21"/>
                <w:lang w:eastAsia="en-US"/>
              </w:rPr>
            </w:pPr>
            <w:r>
              <w:rPr>
                <w:sz w:val="21"/>
                <w:szCs w:val="21"/>
                <w:lang w:eastAsia="en-US"/>
              </w:rPr>
              <w:t>0.0013</w:t>
            </w:r>
          </w:p>
        </w:tc>
        <w:tc>
          <w:tcPr>
            <w:tcW w:w="911" w:type="dxa"/>
            <w:tcBorders>
              <w:tl2br w:val="nil"/>
              <w:tr2bl w:val="nil"/>
            </w:tcBorders>
            <w:shd w:val="clear" w:color="auto" w:fill="auto"/>
            <w:vAlign w:val="center"/>
          </w:tcPr>
          <w:p w14:paraId="31B50FFD">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11E56D73">
            <w:pPr>
              <w:widowControl w:val="0"/>
              <w:jc w:val="center"/>
              <w:rPr>
                <w:sz w:val="21"/>
                <w:szCs w:val="21"/>
                <w:lang w:eastAsia="en-US"/>
              </w:rPr>
            </w:pPr>
            <w:r>
              <w:rPr>
                <w:sz w:val="21"/>
                <w:szCs w:val="21"/>
                <w:lang w:eastAsia="en-US"/>
              </w:rPr>
              <w:t>0.25</w:t>
            </w:r>
          </w:p>
        </w:tc>
        <w:tc>
          <w:tcPr>
            <w:tcW w:w="713" w:type="dxa"/>
            <w:tcBorders>
              <w:tl2br w:val="nil"/>
              <w:tr2bl w:val="nil"/>
            </w:tcBorders>
            <w:shd w:val="clear" w:color="auto" w:fill="auto"/>
            <w:vAlign w:val="center"/>
          </w:tcPr>
          <w:p w14:paraId="5D96D8BF">
            <w:pPr>
              <w:widowControl/>
              <w:spacing w:line="240" w:lineRule="auto"/>
              <w:jc w:val="center"/>
              <w:rPr>
                <w:sz w:val="21"/>
                <w:szCs w:val="21"/>
                <w:lang w:eastAsia="en-US"/>
              </w:rPr>
            </w:pPr>
            <w:r>
              <w:rPr>
                <w:sz w:val="21"/>
                <w:szCs w:val="21"/>
                <w:lang w:eastAsia="en-US"/>
              </w:rPr>
              <w:t>达标</w:t>
            </w:r>
          </w:p>
        </w:tc>
      </w:tr>
      <w:tr w14:paraId="6C950BF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77B0AA4">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DB80EE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42787DED">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3D15D7E">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81E38A3">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15636112">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0614</w:t>
            </w:r>
          </w:p>
        </w:tc>
        <w:tc>
          <w:tcPr>
            <w:tcW w:w="1178" w:type="dxa"/>
            <w:tcBorders>
              <w:tl2br w:val="nil"/>
              <w:tr2bl w:val="nil"/>
            </w:tcBorders>
            <w:shd w:val="clear" w:color="auto" w:fill="auto"/>
            <w:vAlign w:val="center"/>
          </w:tcPr>
          <w:p w14:paraId="024FDAC1">
            <w:pPr>
              <w:widowControl w:val="0"/>
              <w:jc w:val="center"/>
              <w:rPr>
                <w:sz w:val="21"/>
                <w:szCs w:val="21"/>
                <w:lang w:eastAsia="en-US"/>
              </w:rPr>
            </w:pPr>
            <w:r>
              <w:rPr>
                <w:sz w:val="21"/>
                <w:szCs w:val="21"/>
                <w:lang w:eastAsia="en-US"/>
              </w:rPr>
              <w:t>0.0090</w:t>
            </w:r>
          </w:p>
        </w:tc>
        <w:tc>
          <w:tcPr>
            <w:tcW w:w="911" w:type="dxa"/>
            <w:tcBorders>
              <w:tl2br w:val="nil"/>
              <w:tr2bl w:val="nil"/>
            </w:tcBorders>
            <w:shd w:val="clear" w:color="auto" w:fill="auto"/>
            <w:vAlign w:val="center"/>
          </w:tcPr>
          <w:p w14:paraId="5A829CE5">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0066B10B">
            <w:pPr>
              <w:widowControl w:val="0"/>
              <w:jc w:val="center"/>
              <w:rPr>
                <w:sz w:val="21"/>
                <w:szCs w:val="21"/>
                <w:lang w:eastAsia="en-US"/>
              </w:rPr>
            </w:pPr>
            <w:r>
              <w:rPr>
                <w:sz w:val="21"/>
                <w:szCs w:val="21"/>
                <w:lang w:eastAsia="en-US"/>
              </w:rPr>
              <w:t>6.01</w:t>
            </w:r>
          </w:p>
        </w:tc>
        <w:tc>
          <w:tcPr>
            <w:tcW w:w="713" w:type="dxa"/>
            <w:tcBorders>
              <w:tl2br w:val="nil"/>
              <w:tr2bl w:val="nil"/>
            </w:tcBorders>
            <w:shd w:val="clear" w:color="auto" w:fill="auto"/>
            <w:vAlign w:val="center"/>
          </w:tcPr>
          <w:p w14:paraId="435C3921">
            <w:pPr>
              <w:widowControl/>
              <w:spacing w:line="240" w:lineRule="auto"/>
              <w:jc w:val="center"/>
              <w:rPr>
                <w:sz w:val="21"/>
                <w:szCs w:val="21"/>
                <w:lang w:eastAsia="en-US"/>
              </w:rPr>
            </w:pPr>
            <w:r>
              <w:rPr>
                <w:sz w:val="21"/>
                <w:szCs w:val="21"/>
                <w:lang w:eastAsia="en-US"/>
              </w:rPr>
              <w:t>达标</w:t>
            </w:r>
          </w:p>
        </w:tc>
      </w:tr>
      <w:tr w14:paraId="79EB12D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6B323EB2">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C1359B9">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019006CC">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592B3B4A">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3E7318F8">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482FF8A9">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5972FDB2">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169227EE">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55183105">
            <w:pPr>
              <w:widowControl w:val="0"/>
              <w:jc w:val="center"/>
              <w:rPr>
                <w:sz w:val="21"/>
                <w:szCs w:val="21"/>
                <w:lang w:eastAsia="en-US"/>
              </w:rPr>
            </w:pPr>
            <w:r>
              <w:rPr>
                <w:sz w:val="21"/>
                <w:szCs w:val="21"/>
                <w:lang w:eastAsia="en-US"/>
              </w:rPr>
              <w:t>0.06</w:t>
            </w:r>
          </w:p>
        </w:tc>
        <w:tc>
          <w:tcPr>
            <w:tcW w:w="713" w:type="dxa"/>
            <w:tcBorders>
              <w:tl2br w:val="nil"/>
              <w:tr2bl w:val="nil"/>
            </w:tcBorders>
            <w:shd w:val="clear" w:color="auto" w:fill="auto"/>
            <w:vAlign w:val="center"/>
          </w:tcPr>
          <w:p w14:paraId="5B5F13FD">
            <w:pPr>
              <w:widowControl/>
              <w:spacing w:line="240" w:lineRule="auto"/>
              <w:jc w:val="center"/>
              <w:rPr>
                <w:sz w:val="21"/>
                <w:szCs w:val="21"/>
                <w:lang w:eastAsia="en-US"/>
              </w:rPr>
            </w:pPr>
            <w:r>
              <w:rPr>
                <w:sz w:val="21"/>
                <w:szCs w:val="21"/>
                <w:lang w:eastAsia="en-US"/>
              </w:rPr>
              <w:t>达标</w:t>
            </w:r>
          </w:p>
        </w:tc>
      </w:tr>
      <w:tr w14:paraId="651458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04BFD85F">
            <w:pPr>
              <w:widowControl/>
              <w:spacing w:line="240" w:lineRule="auto"/>
              <w:jc w:val="center"/>
              <w:rPr>
                <w:sz w:val="21"/>
                <w:szCs w:val="21"/>
                <w:lang w:eastAsia="en-US"/>
              </w:rPr>
            </w:pPr>
            <w:r>
              <w:rPr>
                <w:rFonts w:hint="eastAsia"/>
                <w:sz w:val="21"/>
                <w:szCs w:val="21"/>
                <w:lang w:eastAsia="en-US"/>
              </w:rPr>
              <w:t>21</w:t>
            </w:r>
          </w:p>
        </w:tc>
        <w:tc>
          <w:tcPr>
            <w:tcW w:w="1141" w:type="dxa"/>
            <w:vMerge w:val="restart"/>
            <w:tcBorders>
              <w:tl2br w:val="nil"/>
              <w:tr2bl w:val="nil"/>
            </w:tcBorders>
            <w:shd w:val="clear" w:color="auto" w:fill="auto"/>
            <w:vAlign w:val="center"/>
          </w:tcPr>
          <w:p w14:paraId="48CA9BD0">
            <w:pPr>
              <w:widowControl/>
              <w:spacing w:line="240" w:lineRule="auto"/>
              <w:jc w:val="center"/>
              <w:rPr>
                <w:sz w:val="21"/>
                <w:szCs w:val="21"/>
                <w:lang w:eastAsia="zh-CN"/>
              </w:rPr>
            </w:pPr>
            <w:r>
              <w:rPr>
                <w:sz w:val="21"/>
                <w:szCs w:val="21"/>
                <w:lang w:eastAsia="zh-CN"/>
              </w:rPr>
              <w:t>西北侧湘潭县居民居住集中区</w:t>
            </w:r>
          </w:p>
        </w:tc>
        <w:tc>
          <w:tcPr>
            <w:tcW w:w="734" w:type="dxa"/>
            <w:vMerge w:val="restart"/>
            <w:tcBorders>
              <w:tl2br w:val="nil"/>
              <w:tr2bl w:val="nil"/>
            </w:tcBorders>
            <w:shd w:val="clear" w:color="auto" w:fill="auto"/>
            <w:vAlign w:val="center"/>
          </w:tcPr>
          <w:p w14:paraId="3DF76F20">
            <w:pPr>
              <w:widowControl/>
              <w:spacing w:line="240" w:lineRule="auto"/>
              <w:jc w:val="center"/>
              <w:rPr>
                <w:sz w:val="21"/>
                <w:szCs w:val="21"/>
                <w:lang w:eastAsia="en-US"/>
              </w:rPr>
            </w:pPr>
            <w:r>
              <w:rPr>
                <w:rFonts w:hint="eastAsia"/>
                <w:sz w:val="21"/>
                <w:szCs w:val="21"/>
                <w:lang w:eastAsia="en-US"/>
              </w:rPr>
              <w:t>-1045</w:t>
            </w:r>
          </w:p>
        </w:tc>
        <w:tc>
          <w:tcPr>
            <w:tcW w:w="645" w:type="dxa"/>
            <w:vMerge w:val="restart"/>
            <w:tcBorders>
              <w:tl2br w:val="nil"/>
              <w:tr2bl w:val="nil"/>
            </w:tcBorders>
            <w:shd w:val="clear" w:color="auto" w:fill="auto"/>
            <w:vAlign w:val="center"/>
          </w:tcPr>
          <w:p w14:paraId="7530B218">
            <w:pPr>
              <w:widowControl/>
              <w:spacing w:line="240" w:lineRule="auto"/>
              <w:jc w:val="center"/>
              <w:rPr>
                <w:sz w:val="21"/>
                <w:szCs w:val="21"/>
                <w:lang w:eastAsia="en-US"/>
              </w:rPr>
            </w:pPr>
            <w:r>
              <w:rPr>
                <w:rFonts w:hint="eastAsia"/>
                <w:sz w:val="21"/>
                <w:szCs w:val="21"/>
                <w:lang w:eastAsia="en-US"/>
              </w:rPr>
              <w:t>1765</w:t>
            </w:r>
          </w:p>
        </w:tc>
        <w:tc>
          <w:tcPr>
            <w:tcW w:w="911" w:type="dxa"/>
            <w:tcBorders>
              <w:tl2br w:val="nil"/>
              <w:tr2bl w:val="nil"/>
            </w:tcBorders>
            <w:shd w:val="clear" w:color="auto" w:fill="auto"/>
            <w:vAlign w:val="center"/>
          </w:tcPr>
          <w:p w14:paraId="33220E7A">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681B0171">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052423</w:t>
            </w:r>
          </w:p>
        </w:tc>
        <w:tc>
          <w:tcPr>
            <w:tcW w:w="1178" w:type="dxa"/>
            <w:tcBorders>
              <w:tl2br w:val="nil"/>
              <w:tr2bl w:val="nil"/>
            </w:tcBorders>
            <w:shd w:val="clear" w:color="auto" w:fill="auto"/>
            <w:vAlign w:val="center"/>
          </w:tcPr>
          <w:p w14:paraId="649E16EA">
            <w:pPr>
              <w:widowControl w:val="0"/>
              <w:jc w:val="center"/>
              <w:rPr>
                <w:sz w:val="21"/>
                <w:szCs w:val="21"/>
                <w:lang w:eastAsia="en-US"/>
              </w:rPr>
            </w:pPr>
            <w:r>
              <w:rPr>
                <w:sz w:val="21"/>
                <w:szCs w:val="21"/>
                <w:lang w:eastAsia="en-US"/>
              </w:rPr>
              <w:t>0.0008</w:t>
            </w:r>
          </w:p>
        </w:tc>
        <w:tc>
          <w:tcPr>
            <w:tcW w:w="911" w:type="dxa"/>
            <w:tcBorders>
              <w:tl2br w:val="nil"/>
              <w:tr2bl w:val="nil"/>
            </w:tcBorders>
            <w:shd w:val="clear" w:color="auto" w:fill="auto"/>
            <w:vAlign w:val="center"/>
          </w:tcPr>
          <w:p w14:paraId="02BBB73C">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38DC2DDD">
            <w:pPr>
              <w:widowControl w:val="0"/>
              <w:jc w:val="center"/>
              <w:rPr>
                <w:sz w:val="21"/>
                <w:szCs w:val="21"/>
                <w:lang w:eastAsia="en-US"/>
              </w:rPr>
            </w:pPr>
            <w:r>
              <w:rPr>
                <w:sz w:val="21"/>
                <w:szCs w:val="21"/>
                <w:lang w:eastAsia="en-US"/>
              </w:rPr>
              <w:t>0.16</w:t>
            </w:r>
          </w:p>
        </w:tc>
        <w:tc>
          <w:tcPr>
            <w:tcW w:w="713" w:type="dxa"/>
            <w:tcBorders>
              <w:tl2br w:val="nil"/>
              <w:tr2bl w:val="nil"/>
            </w:tcBorders>
            <w:shd w:val="clear" w:color="auto" w:fill="auto"/>
            <w:vAlign w:val="center"/>
          </w:tcPr>
          <w:p w14:paraId="5C64EA44">
            <w:pPr>
              <w:widowControl/>
              <w:spacing w:line="240" w:lineRule="auto"/>
              <w:jc w:val="center"/>
              <w:rPr>
                <w:sz w:val="21"/>
                <w:szCs w:val="21"/>
                <w:lang w:eastAsia="en-US"/>
              </w:rPr>
            </w:pPr>
            <w:r>
              <w:rPr>
                <w:sz w:val="21"/>
                <w:szCs w:val="21"/>
                <w:lang w:eastAsia="en-US"/>
              </w:rPr>
              <w:t>达标</w:t>
            </w:r>
          </w:p>
        </w:tc>
      </w:tr>
      <w:tr w14:paraId="2753994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01E4BBBA">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2F82247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23397C2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3EE96B5">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2E4A1FF0">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5A8E26C3">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78" w:type="dxa"/>
            <w:tcBorders>
              <w:tl2br w:val="nil"/>
              <w:tr2bl w:val="nil"/>
            </w:tcBorders>
            <w:shd w:val="clear" w:color="auto" w:fill="auto"/>
            <w:vAlign w:val="center"/>
          </w:tcPr>
          <w:p w14:paraId="77B9EF2E">
            <w:pPr>
              <w:widowControl w:val="0"/>
              <w:jc w:val="center"/>
              <w:rPr>
                <w:sz w:val="21"/>
                <w:szCs w:val="21"/>
                <w:lang w:eastAsia="en-US"/>
              </w:rPr>
            </w:pPr>
            <w:r>
              <w:rPr>
                <w:sz w:val="21"/>
                <w:szCs w:val="21"/>
                <w:lang w:eastAsia="en-US"/>
              </w:rPr>
              <w:t>0.0090</w:t>
            </w:r>
          </w:p>
        </w:tc>
        <w:tc>
          <w:tcPr>
            <w:tcW w:w="911" w:type="dxa"/>
            <w:tcBorders>
              <w:tl2br w:val="nil"/>
              <w:tr2bl w:val="nil"/>
            </w:tcBorders>
            <w:shd w:val="clear" w:color="auto" w:fill="auto"/>
            <w:vAlign w:val="center"/>
          </w:tcPr>
          <w:p w14:paraId="245AB60A">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5B054A8C">
            <w:pPr>
              <w:widowControl w:val="0"/>
              <w:jc w:val="center"/>
              <w:rPr>
                <w:sz w:val="21"/>
                <w:szCs w:val="21"/>
                <w:lang w:eastAsia="en-US"/>
              </w:rPr>
            </w:pPr>
            <w:r>
              <w:rPr>
                <w:sz w:val="21"/>
                <w:szCs w:val="21"/>
                <w:lang w:eastAsia="en-US"/>
              </w:rPr>
              <w:t>5.99</w:t>
            </w:r>
          </w:p>
        </w:tc>
        <w:tc>
          <w:tcPr>
            <w:tcW w:w="713" w:type="dxa"/>
            <w:tcBorders>
              <w:tl2br w:val="nil"/>
              <w:tr2bl w:val="nil"/>
            </w:tcBorders>
            <w:shd w:val="clear" w:color="auto" w:fill="auto"/>
            <w:vAlign w:val="center"/>
          </w:tcPr>
          <w:p w14:paraId="68D25919">
            <w:pPr>
              <w:widowControl/>
              <w:spacing w:line="240" w:lineRule="auto"/>
              <w:jc w:val="center"/>
              <w:rPr>
                <w:sz w:val="21"/>
                <w:szCs w:val="21"/>
                <w:lang w:eastAsia="en-US"/>
              </w:rPr>
            </w:pPr>
            <w:r>
              <w:rPr>
                <w:sz w:val="21"/>
                <w:szCs w:val="21"/>
                <w:lang w:eastAsia="en-US"/>
              </w:rPr>
              <w:t>达标</w:t>
            </w:r>
          </w:p>
        </w:tc>
      </w:tr>
      <w:tr w14:paraId="1BB6B45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5B6203C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2CCDBF8">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3648828">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BB99C76">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0048BA1F">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2D9813AC">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2E8EBA34">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03AB3CF7">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46236F80">
            <w:pPr>
              <w:widowControl w:val="0"/>
              <w:jc w:val="center"/>
              <w:rPr>
                <w:sz w:val="21"/>
                <w:szCs w:val="21"/>
                <w:lang w:eastAsia="en-US"/>
              </w:rPr>
            </w:pPr>
            <w:r>
              <w:rPr>
                <w:sz w:val="21"/>
                <w:szCs w:val="21"/>
                <w:lang w:eastAsia="en-US"/>
              </w:rPr>
              <w:t>0.06</w:t>
            </w:r>
          </w:p>
        </w:tc>
        <w:tc>
          <w:tcPr>
            <w:tcW w:w="713" w:type="dxa"/>
            <w:tcBorders>
              <w:tl2br w:val="nil"/>
              <w:tr2bl w:val="nil"/>
            </w:tcBorders>
            <w:shd w:val="clear" w:color="auto" w:fill="auto"/>
            <w:vAlign w:val="center"/>
          </w:tcPr>
          <w:p w14:paraId="17A447C5">
            <w:pPr>
              <w:widowControl/>
              <w:spacing w:line="240" w:lineRule="auto"/>
              <w:jc w:val="center"/>
              <w:rPr>
                <w:sz w:val="21"/>
                <w:szCs w:val="21"/>
                <w:lang w:eastAsia="en-US"/>
              </w:rPr>
            </w:pPr>
            <w:r>
              <w:rPr>
                <w:sz w:val="21"/>
                <w:szCs w:val="21"/>
                <w:lang w:eastAsia="en-US"/>
              </w:rPr>
              <w:t>达标</w:t>
            </w:r>
          </w:p>
        </w:tc>
      </w:tr>
      <w:tr w14:paraId="44B8ABB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restart"/>
            <w:tcBorders>
              <w:tl2br w:val="nil"/>
              <w:tr2bl w:val="nil"/>
            </w:tcBorders>
            <w:shd w:val="clear" w:color="auto" w:fill="auto"/>
            <w:vAlign w:val="center"/>
          </w:tcPr>
          <w:p w14:paraId="7EF24DBF">
            <w:pPr>
              <w:widowControl/>
              <w:spacing w:line="240" w:lineRule="auto"/>
              <w:jc w:val="center"/>
              <w:rPr>
                <w:sz w:val="21"/>
                <w:szCs w:val="21"/>
                <w:lang w:eastAsia="en-US"/>
              </w:rPr>
            </w:pPr>
            <w:r>
              <w:rPr>
                <w:rFonts w:hint="eastAsia"/>
                <w:sz w:val="21"/>
                <w:szCs w:val="21"/>
                <w:lang w:eastAsia="en-US"/>
              </w:rPr>
              <w:t>22</w:t>
            </w:r>
          </w:p>
        </w:tc>
        <w:tc>
          <w:tcPr>
            <w:tcW w:w="1141" w:type="dxa"/>
            <w:vMerge w:val="restart"/>
            <w:tcBorders>
              <w:tl2br w:val="nil"/>
              <w:tr2bl w:val="nil"/>
            </w:tcBorders>
            <w:shd w:val="clear" w:color="auto" w:fill="auto"/>
            <w:vAlign w:val="center"/>
          </w:tcPr>
          <w:p w14:paraId="4B352771">
            <w:pPr>
              <w:widowControl/>
              <w:spacing w:line="240" w:lineRule="auto"/>
              <w:jc w:val="center"/>
              <w:rPr>
                <w:sz w:val="21"/>
                <w:szCs w:val="21"/>
                <w:lang w:eastAsia="en-US"/>
              </w:rPr>
            </w:pPr>
            <w:r>
              <w:rPr>
                <w:rFonts w:hint="eastAsia"/>
                <w:sz w:val="21"/>
                <w:szCs w:val="21"/>
                <w:lang w:eastAsia="en-US"/>
              </w:rPr>
              <w:t>湘潭县环境监测点</w:t>
            </w:r>
          </w:p>
        </w:tc>
        <w:tc>
          <w:tcPr>
            <w:tcW w:w="734" w:type="dxa"/>
            <w:vMerge w:val="restart"/>
            <w:tcBorders>
              <w:tl2br w:val="nil"/>
              <w:tr2bl w:val="nil"/>
            </w:tcBorders>
            <w:shd w:val="clear" w:color="auto" w:fill="auto"/>
            <w:vAlign w:val="center"/>
          </w:tcPr>
          <w:p w14:paraId="6D47D73B">
            <w:pPr>
              <w:widowControl/>
              <w:spacing w:line="240" w:lineRule="auto"/>
              <w:jc w:val="center"/>
              <w:rPr>
                <w:sz w:val="21"/>
                <w:szCs w:val="21"/>
                <w:lang w:eastAsia="en-US"/>
              </w:rPr>
            </w:pPr>
            <w:r>
              <w:rPr>
                <w:rFonts w:hint="eastAsia"/>
                <w:sz w:val="21"/>
                <w:szCs w:val="21"/>
                <w:lang w:eastAsia="en-US"/>
              </w:rPr>
              <w:t>-1271</w:t>
            </w:r>
          </w:p>
        </w:tc>
        <w:tc>
          <w:tcPr>
            <w:tcW w:w="645" w:type="dxa"/>
            <w:vMerge w:val="restart"/>
            <w:tcBorders>
              <w:tl2br w:val="nil"/>
              <w:tr2bl w:val="nil"/>
            </w:tcBorders>
            <w:shd w:val="clear" w:color="auto" w:fill="auto"/>
            <w:vAlign w:val="center"/>
          </w:tcPr>
          <w:p w14:paraId="3ACCDBCC">
            <w:pPr>
              <w:widowControl/>
              <w:spacing w:line="240" w:lineRule="auto"/>
              <w:jc w:val="center"/>
              <w:rPr>
                <w:sz w:val="21"/>
                <w:szCs w:val="21"/>
                <w:lang w:eastAsia="en-US"/>
              </w:rPr>
            </w:pPr>
            <w:r>
              <w:rPr>
                <w:rFonts w:hint="eastAsia"/>
                <w:sz w:val="21"/>
                <w:szCs w:val="21"/>
                <w:lang w:eastAsia="en-US"/>
              </w:rPr>
              <w:t>1231</w:t>
            </w:r>
          </w:p>
        </w:tc>
        <w:tc>
          <w:tcPr>
            <w:tcW w:w="911" w:type="dxa"/>
            <w:tcBorders>
              <w:tl2br w:val="nil"/>
              <w:tr2bl w:val="nil"/>
            </w:tcBorders>
            <w:shd w:val="clear" w:color="auto" w:fill="auto"/>
            <w:vAlign w:val="center"/>
          </w:tcPr>
          <w:p w14:paraId="6E49122D">
            <w:pPr>
              <w:widowControl/>
              <w:spacing w:line="240" w:lineRule="auto"/>
              <w:jc w:val="center"/>
              <w:rPr>
                <w:sz w:val="21"/>
                <w:szCs w:val="21"/>
                <w:lang w:eastAsia="en-US"/>
              </w:rPr>
            </w:pPr>
            <w:r>
              <w:rPr>
                <w:sz w:val="21"/>
                <w:szCs w:val="21"/>
                <w:lang w:eastAsia="en-US"/>
              </w:rPr>
              <w:t>1小时</w:t>
            </w:r>
          </w:p>
        </w:tc>
        <w:tc>
          <w:tcPr>
            <w:tcW w:w="1065" w:type="dxa"/>
            <w:tcBorders>
              <w:tl2br w:val="nil"/>
              <w:tr2bl w:val="nil"/>
            </w:tcBorders>
            <w:shd w:val="clear" w:color="auto" w:fill="auto"/>
            <w:vAlign w:val="center"/>
          </w:tcPr>
          <w:p w14:paraId="3152E0E5">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041901</w:t>
            </w:r>
          </w:p>
        </w:tc>
        <w:tc>
          <w:tcPr>
            <w:tcW w:w="1178" w:type="dxa"/>
            <w:tcBorders>
              <w:tl2br w:val="nil"/>
              <w:tr2bl w:val="nil"/>
            </w:tcBorders>
            <w:shd w:val="clear" w:color="auto" w:fill="auto"/>
            <w:vAlign w:val="center"/>
          </w:tcPr>
          <w:p w14:paraId="1ABF94DF">
            <w:pPr>
              <w:widowControl w:val="0"/>
              <w:jc w:val="center"/>
              <w:rPr>
                <w:sz w:val="21"/>
                <w:szCs w:val="21"/>
                <w:lang w:eastAsia="en-US"/>
              </w:rPr>
            </w:pPr>
            <w:r>
              <w:rPr>
                <w:sz w:val="21"/>
                <w:szCs w:val="21"/>
                <w:lang w:eastAsia="en-US"/>
              </w:rPr>
              <w:t>0.0005</w:t>
            </w:r>
          </w:p>
        </w:tc>
        <w:tc>
          <w:tcPr>
            <w:tcW w:w="911" w:type="dxa"/>
            <w:tcBorders>
              <w:tl2br w:val="nil"/>
              <w:tr2bl w:val="nil"/>
            </w:tcBorders>
            <w:shd w:val="clear" w:color="auto" w:fill="auto"/>
            <w:vAlign w:val="center"/>
          </w:tcPr>
          <w:p w14:paraId="70F255C3">
            <w:pPr>
              <w:widowControl w:val="0"/>
              <w:jc w:val="center"/>
              <w:rPr>
                <w:sz w:val="21"/>
                <w:szCs w:val="21"/>
                <w:lang w:eastAsia="en-US"/>
              </w:rPr>
            </w:pPr>
            <w:r>
              <w:rPr>
                <w:sz w:val="21"/>
                <w:szCs w:val="21"/>
                <w:lang w:eastAsia="en-US"/>
              </w:rPr>
              <w:t>0.5000</w:t>
            </w:r>
          </w:p>
        </w:tc>
        <w:tc>
          <w:tcPr>
            <w:tcW w:w="781" w:type="dxa"/>
            <w:tcBorders>
              <w:tl2br w:val="nil"/>
              <w:tr2bl w:val="nil"/>
            </w:tcBorders>
            <w:shd w:val="clear" w:color="auto" w:fill="auto"/>
            <w:vAlign w:val="center"/>
          </w:tcPr>
          <w:p w14:paraId="32A058EE">
            <w:pPr>
              <w:widowControl w:val="0"/>
              <w:jc w:val="center"/>
              <w:rPr>
                <w:sz w:val="21"/>
                <w:szCs w:val="21"/>
                <w:lang w:eastAsia="en-US"/>
              </w:rPr>
            </w:pPr>
            <w:r>
              <w:rPr>
                <w:sz w:val="21"/>
                <w:szCs w:val="21"/>
                <w:lang w:eastAsia="en-US"/>
              </w:rPr>
              <w:t>0.11</w:t>
            </w:r>
          </w:p>
        </w:tc>
        <w:tc>
          <w:tcPr>
            <w:tcW w:w="713" w:type="dxa"/>
            <w:tcBorders>
              <w:tl2br w:val="nil"/>
              <w:tr2bl w:val="nil"/>
            </w:tcBorders>
            <w:shd w:val="clear" w:color="auto" w:fill="auto"/>
            <w:vAlign w:val="center"/>
          </w:tcPr>
          <w:p w14:paraId="3B5251BB">
            <w:pPr>
              <w:widowControl/>
              <w:spacing w:line="240" w:lineRule="auto"/>
              <w:jc w:val="center"/>
              <w:rPr>
                <w:sz w:val="21"/>
                <w:szCs w:val="21"/>
                <w:lang w:eastAsia="en-US"/>
              </w:rPr>
            </w:pPr>
            <w:r>
              <w:rPr>
                <w:sz w:val="21"/>
                <w:szCs w:val="21"/>
                <w:lang w:eastAsia="en-US"/>
              </w:rPr>
              <w:t>达标</w:t>
            </w:r>
          </w:p>
        </w:tc>
      </w:tr>
      <w:tr w14:paraId="410B48F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4D72F48F">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67B2512A">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656C4795">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2460EC2D">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79B1B04">
            <w:pPr>
              <w:widowControl/>
              <w:spacing w:line="240" w:lineRule="auto"/>
              <w:jc w:val="center"/>
              <w:rPr>
                <w:sz w:val="21"/>
                <w:szCs w:val="21"/>
                <w:lang w:eastAsia="en-US"/>
              </w:rPr>
            </w:pPr>
            <w:r>
              <w:rPr>
                <w:sz w:val="21"/>
                <w:szCs w:val="21"/>
                <w:lang w:eastAsia="en-US"/>
              </w:rPr>
              <w:t>日平均</w:t>
            </w:r>
          </w:p>
        </w:tc>
        <w:tc>
          <w:tcPr>
            <w:tcW w:w="1065" w:type="dxa"/>
            <w:tcBorders>
              <w:tl2br w:val="nil"/>
              <w:tr2bl w:val="nil"/>
            </w:tcBorders>
            <w:shd w:val="clear" w:color="auto" w:fill="auto"/>
            <w:vAlign w:val="center"/>
          </w:tcPr>
          <w:p w14:paraId="7D884626">
            <w:pPr>
              <w:widowControl w:val="0"/>
              <w:jc w:val="center"/>
              <w:rPr>
                <w:sz w:val="21"/>
                <w:szCs w:val="21"/>
                <w:lang w:eastAsia="en-US"/>
              </w:rPr>
            </w:pPr>
            <w:r>
              <w:rPr>
                <w:sz w:val="21"/>
                <w:szCs w:val="21"/>
                <w:lang w:eastAsia="en-US"/>
              </w:rPr>
              <w:t>2</w:t>
            </w:r>
            <w:r>
              <w:rPr>
                <w:rFonts w:hint="eastAsia"/>
                <w:sz w:val="21"/>
                <w:szCs w:val="21"/>
                <w:lang w:val="en-US" w:eastAsia="en-US"/>
              </w:rPr>
              <w:t>4</w:t>
            </w:r>
            <w:r>
              <w:rPr>
                <w:sz w:val="21"/>
                <w:szCs w:val="21"/>
                <w:lang w:eastAsia="en-US"/>
              </w:rPr>
              <w:t>0226</w:t>
            </w:r>
          </w:p>
        </w:tc>
        <w:tc>
          <w:tcPr>
            <w:tcW w:w="1178" w:type="dxa"/>
            <w:tcBorders>
              <w:tl2br w:val="nil"/>
              <w:tr2bl w:val="nil"/>
            </w:tcBorders>
            <w:shd w:val="clear" w:color="auto" w:fill="auto"/>
            <w:vAlign w:val="center"/>
          </w:tcPr>
          <w:p w14:paraId="72E661B7">
            <w:pPr>
              <w:widowControl w:val="0"/>
              <w:jc w:val="center"/>
              <w:rPr>
                <w:sz w:val="21"/>
                <w:szCs w:val="21"/>
                <w:lang w:eastAsia="en-US"/>
              </w:rPr>
            </w:pPr>
            <w:r>
              <w:rPr>
                <w:sz w:val="21"/>
                <w:szCs w:val="21"/>
                <w:lang w:eastAsia="en-US"/>
              </w:rPr>
              <w:t>0.0090</w:t>
            </w:r>
          </w:p>
        </w:tc>
        <w:tc>
          <w:tcPr>
            <w:tcW w:w="911" w:type="dxa"/>
            <w:tcBorders>
              <w:tl2br w:val="nil"/>
              <w:tr2bl w:val="nil"/>
            </w:tcBorders>
            <w:shd w:val="clear" w:color="auto" w:fill="auto"/>
            <w:vAlign w:val="center"/>
          </w:tcPr>
          <w:p w14:paraId="6F8A54E4">
            <w:pPr>
              <w:widowControl w:val="0"/>
              <w:jc w:val="center"/>
              <w:rPr>
                <w:sz w:val="21"/>
                <w:szCs w:val="21"/>
                <w:lang w:eastAsia="en-US"/>
              </w:rPr>
            </w:pPr>
            <w:r>
              <w:rPr>
                <w:sz w:val="21"/>
                <w:szCs w:val="21"/>
                <w:lang w:eastAsia="en-US"/>
              </w:rPr>
              <w:t>0.1500</w:t>
            </w:r>
          </w:p>
        </w:tc>
        <w:tc>
          <w:tcPr>
            <w:tcW w:w="781" w:type="dxa"/>
            <w:tcBorders>
              <w:tl2br w:val="nil"/>
              <w:tr2bl w:val="nil"/>
            </w:tcBorders>
            <w:shd w:val="clear" w:color="auto" w:fill="auto"/>
            <w:vAlign w:val="center"/>
          </w:tcPr>
          <w:p w14:paraId="2155F156">
            <w:pPr>
              <w:widowControl w:val="0"/>
              <w:jc w:val="center"/>
              <w:rPr>
                <w:sz w:val="21"/>
                <w:szCs w:val="21"/>
                <w:lang w:eastAsia="en-US"/>
              </w:rPr>
            </w:pPr>
            <w:r>
              <w:rPr>
                <w:sz w:val="21"/>
                <w:szCs w:val="21"/>
                <w:lang w:eastAsia="en-US"/>
              </w:rPr>
              <w:t>5.97</w:t>
            </w:r>
          </w:p>
        </w:tc>
        <w:tc>
          <w:tcPr>
            <w:tcW w:w="713" w:type="dxa"/>
            <w:tcBorders>
              <w:tl2br w:val="nil"/>
              <w:tr2bl w:val="nil"/>
            </w:tcBorders>
            <w:shd w:val="clear" w:color="auto" w:fill="auto"/>
            <w:vAlign w:val="center"/>
          </w:tcPr>
          <w:p w14:paraId="745C1B95">
            <w:pPr>
              <w:widowControl/>
              <w:spacing w:line="240" w:lineRule="auto"/>
              <w:jc w:val="center"/>
              <w:rPr>
                <w:sz w:val="21"/>
                <w:szCs w:val="21"/>
                <w:lang w:eastAsia="en-US"/>
              </w:rPr>
            </w:pPr>
            <w:r>
              <w:rPr>
                <w:sz w:val="21"/>
                <w:szCs w:val="21"/>
                <w:lang w:eastAsia="en-US"/>
              </w:rPr>
              <w:t>达标</w:t>
            </w:r>
          </w:p>
        </w:tc>
      </w:tr>
      <w:tr w14:paraId="1A1117F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7" w:type="dxa"/>
            <w:vMerge w:val="continue"/>
            <w:tcBorders>
              <w:tl2br w:val="nil"/>
              <w:tr2bl w:val="nil"/>
            </w:tcBorders>
            <w:shd w:val="clear" w:color="auto" w:fill="auto"/>
            <w:vAlign w:val="center"/>
          </w:tcPr>
          <w:p w14:paraId="1C133359">
            <w:pPr>
              <w:widowControl/>
              <w:spacing w:line="240" w:lineRule="auto"/>
              <w:jc w:val="center"/>
              <w:rPr>
                <w:sz w:val="21"/>
                <w:szCs w:val="21"/>
                <w:lang w:eastAsia="en-US"/>
              </w:rPr>
            </w:pPr>
          </w:p>
        </w:tc>
        <w:tc>
          <w:tcPr>
            <w:tcW w:w="1141" w:type="dxa"/>
            <w:vMerge w:val="continue"/>
            <w:tcBorders>
              <w:tl2br w:val="nil"/>
              <w:tr2bl w:val="nil"/>
            </w:tcBorders>
            <w:shd w:val="clear" w:color="auto" w:fill="auto"/>
            <w:vAlign w:val="center"/>
          </w:tcPr>
          <w:p w14:paraId="5C9C1913">
            <w:pPr>
              <w:widowControl/>
              <w:spacing w:line="240" w:lineRule="auto"/>
              <w:jc w:val="center"/>
              <w:rPr>
                <w:sz w:val="21"/>
                <w:szCs w:val="21"/>
                <w:lang w:eastAsia="en-US"/>
              </w:rPr>
            </w:pPr>
          </w:p>
        </w:tc>
        <w:tc>
          <w:tcPr>
            <w:tcW w:w="734" w:type="dxa"/>
            <w:vMerge w:val="continue"/>
            <w:tcBorders>
              <w:tl2br w:val="nil"/>
              <w:tr2bl w:val="nil"/>
            </w:tcBorders>
            <w:shd w:val="clear" w:color="auto" w:fill="auto"/>
            <w:vAlign w:val="center"/>
          </w:tcPr>
          <w:p w14:paraId="1BE92F5B">
            <w:pPr>
              <w:widowControl/>
              <w:spacing w:line="240" w:lineRule="auto"/>
              <w:jc w:val="center"/>
              <w:rPr>
                <w:sz w:val="21"/>
                <w:szCs w:val="21"/>
                <w:lang w:eastAsia="en-US"/>
              </w:rPr>
            </w:pPr>
          </w:p>
        </w:tc>
        <w:tc>
          <w:tcPr>
            <w:tcW w:w="645" w:type="dxa"/>
            <w:vMerge w:val="continue"/>
            <w:tcBorders>
              <w:tl2br w:val="nil"/>
              <w:tr2bl w:val="nil"/>
            </w:tcBorders>
            <w:shd w:val="clear" w:color="auto" w:fill="auto"/>
            <w:vAlign w:val="center"/>
          </w:tcPr>
          <w:p w14:paraId="4CE20DB1">
            <w:pPr>
              <w:widowControl/>
              <w:spacing w:line="240" w:lineRule="auto"/>
              <w:jc w:val="center"/>
              <w:rPr>
                <w:sz w:val="21"/>
                <w:szCs w:val="21"/>
                <w:lang w:eastAsia="en-US"/>
              </w:rPr>
            </w:pPr>
          </w:p>
        </w:tc>
        <w:tc>
          <w:tcPr>
            <w:tcW w:w="911" w:type="dxa"/>
            <w:tcBorders>
              <w:tl2br w:val="nil"/>
              <w:tr2bl w:val="nil"/>
            </w:tcBorders>
            <w:shd w:val="clear" w:color="auto" w:fill="auto"/>
            <w:vAlign w:val="center"/>
          </w:tcPr>
          <w:p w14:paraId="431F39A2">
            <w:pPr>
              <w:widowControl/>
              <w:spacing w:line="240" w:lineRule="auto"/>
              <w:jc w:val="center"/>
              <w:rPr>
                <w:sz w:val="21"/>
                <w:szCs w:val="21"/>
                <w:lang w:eastAsia="en-US"/>
              </w:rPr>
            </w:pPr>
            <w:r>
              <w:rPr>
                <w:sz w:val="21"/>
                <w:szCs w:val="21"/>
                <w:lang w:eastAsia="en-US"/>
              </w:rPr>
              <w:t>年平均</w:t>
            </w:r>
          </w:p>
        </w:tc>
        <w:tc>
          <w:tcPr>
            <w:tcW w:w="1065" w:type="dxa"/>
            <w:tcBorders>
              <w:tl2br w:val="nil"/>
              <w:tr2bl w:val="nil"/>
            </w:tcBorders>
            <w:shd w:val="clear" w:color="auto" w:fill="auto"/>
            <w:vAlign w:val="center"/>
          </w:tcPr>
          <w:p w14:paraId="0BF5DCD9">
            <w:pPr>
              <w:widowControl w:val="0"/>
              <w:jc w:val="center"/>
              <w:rPr>
                <w:sz w:val="21"/>
                <w:szCs w:val="21"/>
                <w:lang w:eastAsia="en-US"/>
              </w:rPr>
            </w:pPr>
            <w:r>
              <w:rPr>
                <w:rFonts w:hint="eastAsia"/>
                <w:sz w:val="21"/>
                <w:szCs w:val="21"/>
                <w:lang w:eastAsia="en-US"/>
              </w:rPr>
              <w:t>平均值</w:t>
            </w:r>
          </w:p>
        </w:tc>
        <w:tc>
          <w:tcPr>
            <w:tcW w:w="1178" w:type="dxa"/>
            <w:tcBorders>
              <w:tl2br w:val="nil"/>
              <w:tr2bl w:val="nil"/>
            </w:tcBorders>
            <w:shd w:val="clear" w:color="auto" w:fill="auto"/>
            <w:vAlign w:val="center"/>
          </w:tcPr>
          <w:p w14:paraId="5D46DCD6">
            <w:pPr>
              <w:widowControl w:val="0"/>
              <w:jc w:val="center"/>
              <w:rPr>
                <w:sz w:val="21"/>
                <w:szCs w:val="21"/>
                <w:lang w:eastAsia="en-US"/>
              </w:rPr>
            </w:pPr>
            <w:r>
              <w:rPr>
                <w:sz w:val="21"/>
                <w:szCs w:val="21"/>
                <w:lang w:eastAsia="en-US"/>
              </w:rPr>
              <w:t>0.0000</w:t>
            </w:r>
          </w:p>
        </w:tc>
        <w:tc>
          <w:tcPr>
            <w:tcW w:w="911" w:type="dxa"/>
            <w:tcBorders>
              <w:tl2br w:val="nil"/>
              <w:tr2bl w:val="nil"/>
            </w:tcBorders>
            <w:shd w:val="clear" w:color="auto" w:fill="auto"/>
            <w:vAlign w:val="center"/>
          </w:tcPr>
          <w:p w14:paraId="29CD7902">
            <w:pPr>
              <w:widowControl w:val="0"/>
              <w:jc w:val="center"/>
              <w:rPr>
                <w:sz w:val="21"/>
                <w:szCs w:val="21"/>
                <w:lang w:eastAsia="en-US"/>
              </w:rPr>
            </w:pPr>
            <w:r>
              <w:rPr>
                <w:sz w:val="21"/>
                <w:szCs w:val="21"/>
                <w:lang w:eastAsia="en-US"/>
              </w:rPr>
              <w:t>0.0600</w:t>
            </w:r>
          </w:p>
        </w:tc>
        <w:tc>
          <w:tcPr>
            <w:tcW w:w="781" w:type="dxa"/>
            <w:tcBorders>
              <w:tl2br w:val="nil"/>
              <w:tr2bl w:val="nil"/>
            </w:tcBorders>
            <w:shd w:val="clear" w:color="auto" w:fill="auto"/>
            <w:vAlign w:val="center"/>
          </w:tcPr>
          <w:p w14:paraId="162345BB">
            <w:pPr>
              <w:widowControl w:val="0"/>
              <w:jc w:val="center"/>
              <w:rPr>
                <w:sz w:val="21"/>
                <w:szCs w:val="21"/>
                <w:lang w:eastAsia="en-US"/>
              </w:rPr>
            </w:pPr>
            <w:r>
              <w:rPr>
                <w:sz w:val="21"/>
                <w:szCs w:val="21"/>
                <w:lang w:eastAsia="en-US"/>
              </w:rPr>
              <w:t>0.05</w:t>
            </w:r>
          </w:p>
        </w:tc>
        <w:tc>
          <w:tcPr>
            <w:tcW w:w="713" w:type="dxa"/>
            <w:tcBorders>
              <w:tl2br w:val="nil"/>
              <w:tr2bl w:val="nil"/>
            </w:tcBorders>
            <w:shd w:val="clear" w:color="auto" w:fill="auto"/>
            <w:vAlign w:val="center"/>
          </w:tcPr>
          <w:p w14:paraId="6C238B6C">
            <w:pPr>
              <w:widowControl/>
              <w:spacing w:line="240" w:lineRule="auto"/>
              <w:jc w:val="center"/>
              <w:rPr>
                <w:sz w:val="21"/>
                <w:szCs w:val="21"/>
                <w:lang w:eastAsia="en-US"/>
              </w:rPr>
            </w:pPr>
            <w:r>
              <w:rPr>
                <w:sz w:val="21"/>
                <w:szCs w:val="21"/>
                <w:lang w:eastAsia="en-US"/>
              </w:rPr>
              <w:t>达标</w:t>
            </w:r>
          </w:p>
        </w:tc>
      </w:tr>
    </w:tbl>
    <w:p w14:paraId="1CC4B578">
      <w:pPr>
        <w:ind w:firstLine="480"/>
        <w:jc w:val="center"/>
        <w:rPr>
          <w:u w:val="single"/>
        </w:rPr>
      </w:pPr>
      <w:r>
        <w:pict>
          <v:shape id="_x0000_s1213" o:spid="_x0000_s1213" o:spt="75" type="#_x0000_t75" style="position:absolute;left:0pt;margin-left:30.9pt;margin-top:301.75pt;height:290.5pt;width:350.75pt;mso-position-horizontal-relative:margin;mso-position-vertical-relative:margin;mso-wrap-distance-bottom:0pt;mso-wrap-distance-left:9pt;mso-wrap-distance-right:9pt;mso-wrap-distance-top:0pt;z-index:251683840;mso-width-relative:page;mso-height-relative:page;" filled="f" o:preferrelative="t" stroked="f" coordsize="21600,21600">
            <v:path/>
            <v:fill on="f" focussize="0,0"/>
            <v:stroke on="f" joinstyle="miter"/>
            <v:imagedata r:id="rId64" o:title="SO2叠加日均"/>
            <o:lock v:ext="edit" aspectratio="t"/>
            <w10:wrap type="square"/>
          </v:shape>
        </w:pict>
      </w:r>
    </w:p>
    <w:p w14:paraId="3D2BCC39">
      <w:pPr>
        <w:ind w:firstLine="480"/>
        <w:jc w:val="center"/>
        <w:rPr>
          <w:u w:val="single"/>
        </w:rPr>
      </w:pPr>
    </w:p>
    <w:p w14:paraId="242A5D95">
      <w:pPr>
        <w:ind w:firstLine="480"/>
        <w:jc w:val="center"/>
        <w:rPr>
          <w:u w:val="single"/>
        </w:rPr>
      </w:pPr>
    </w:p>
    <w:p w14:paraId="4C202108">
      <w:pPr>
        <w:ind w:firstLine="480"/>
        <w:jc w:val="center"/>
        <w:rPr>
          <w:u w:val="single"/>
        </w:rPr>
      </w:pPr>
    </w:p>
    <w:p w14:paraId="687AF73D">
      <w:pPr>
        <w:ind w:firstLine="480"/>
        <w:jc w:val="center"/>
        <w:rPr>
          <w:u w:val="single"/>
        </w:rPr>
      </w:pPr>
    </w:p>
    <w:p w14:paraId="76253993">
      <w:pPr>
        <w:ind w:firstLine="480"/>
        <w:jc w:val="center"/>
        <w:rPr>
          <w:u w:val="single"/>
        </w:rPr>
      </w:pPr>
    </w:p>
    <w:p w14:paraId="44E8C601">
      <w:pPr>
        <w:ind w:firstLine="480"/>
        <w:jc w:val="center"/>
        <w:rPr>
          <w:u w:val="single"/>
        </w:rPr>
      </w:pPr>
    </w:p>
    <w:p w14:paraId="0972FB2E">
      <w:pPr>
        <w:ind w:firstLine="480"/>
        <w:jc w:val="center"/>
        <w:rPr>
          <w:u w:val="single"/>
        </w:rPr>
      </w:pPr>
    </w:p>
    <w:p w14:paraId="3686FB19">
      <w:pPr>
        <w:ind w:firstLine="480"/>
        <w:jc w:val="center"/>
        <w:rPr>
          <w:u w:val="single"/>
        </w:rPr>
      </w:pPr>
    </w:p>
    <w:p w14:paraId="18F92ECF">
      <w:pPr>
        <w:ind w:firstLine="480"/>
        <w:jc w:val="center"/>
        <w:rPr>
          <w:u w:val="single"/>
        </w:rPr>
      </w:pPr>
    </w:p>
    <w:p w14:paraId="2E812DFA">
      <w:pPr>
        <w:ind w:firstLine="480"/>
        <w:jc w:val="center"/>
        <w:rPr>
          <w:u w:val="single"/>
        </w:rPr>
      </w:pPr>
    </w:p>
    <w:p w14:paraId="69E3903F">
      <w:pPr>
        <w:ind w:firstLine="480"/>
        <w:jc w:val="center"/>
        <w:rPr>
          <w:u w:val="single"/>
        </w:rPr>
      </w:pPr>
    </w:p>
    <w:p w14:paraId="62FF9CF5">
      <w:pPr>
        <w:ind w:firstLine="480"/>
        <w:jc w:val="center"/>
        <w:rPr>
          <w:u w:val="single"/>
        </w:rPr>
      </w:pPr>
    </w:p>
    <w:p w14:paraId="42C22995">
      <w:pPr>
        <w:pStyle w:val="45"/>
        <w:numPr>
          <w:ilvl w:val="6"/>
          <w:numId w:val="0"/>
        </w:numPr>
        <w:spacing w:before="156"/>
        <w:ind w:firstLine="1265" w:firstLineChars="600"/>
        <w:jc w:val="both"/>
        <w:rPr>
          <w:color w:val="auto"/>
          <w:u w:val="single"/>
        </w:rPr>
      </w:pPr>
      <w:r>
        <w:rPr>
          <w:rFonts w:hint="default" w:ascii="宋体" w:hAnsi="宋体" w:eastAsia="宋体" w:cs="宋体"/>
          <w:b/>
          <w:bCs/>
          <w:color w:val="auto"/>
          <w:kern w:val="2"/>
          <w:sz w:val="21"/>
          <w:szCs w:val="21"/>
          <w:lang w:val="en-US" w:eastAsia="zh-CN" w:bidi="ar-SA"/>
        </w:rPr>
        <w:t xml:space="preserve">图6.2-16 </w:t>
      </w:r>
      <w:r>
        <w:rPr>
          <w:rFonts w:hint="eastAsia"/>
          <w:color w:val="auto"/>
          <w:u w:val="single"/>
        </w:rPr>
        <w:t>SO</w:t>
      </w:r>
      <w:r>
        <w:rPr>
          <w:rFonts w:hint="eastAsia"/>
          <w:color w:val="auto"/>
          <w:u w:val="single"/>
          <w:vertAlign w:val="subscript"/>
        </w:rPr>
        <w:t>2</w:t>
      </w:r>
      <w:r>
        <w:rPr>
          <w:rFonts w:hint="eastAsia"/>
          <w:color w:val="auto"/>
          <w:u w:val="single"/>
        </w:rPr>
        <w:t>叠加浓度分布图—日均 单位：mg/m</w:t>
      </w:r>
      <w:r>
        <w:rPr>
          <w:rFonts w:hint="eastAsia"/>
          <w:color w:val="auto"/>
          <w:u w:val="single"/>
          <w:vertAlign w:val="superscript"/>
        </w:rPr>
        <w:t>3</w:t>
      </w:r>
    </w:p>
    <w:p w14:paraId="0C9E5D4D">
      <w:pPr>
        <w:ind w:firstLine="480"/>
        <w:jc w:val="center"/>
        <w:rPr>
          <w:u w:val="single"/>
        </w:rPr>
      </w:pPr>
    </w:p>
    <w:p w14:paraId="5D82FC26">
      <w:pPr>
        <w:ind w:firstLine="480"/>
        <w:jc w:val="center"/>
        <w:rPr>
          <w:u w:val="single"/>
        </w:rPr>
      </w:pPr>
    </w:p>
    <w:p w14:paraId="5D3D1ADE">
      <w:pPr>
        <w:ind w:firstLine="480"/>
        <w:jc w:val="center"/>
        <w:rPr>
          <w:u w:val="single"/>
        </w:rPr>
      </w:pPr>
    </w:p>
    <w:p w14:paraId="15E19FAE">
      <w:pPr>
        <w:ind w:firstLine="480"/>
        <w:jc w:val="center"/>
        <w:rPr>
          <w:u w:val="single"/>
        </w:rPr>
      </w:pPr>
      <w:r>
        <w:pict>
          <v:shape id="_x0000_s1214" o:spid="_x0000_s1214" o:spt="75" type="#_x0000_t75" style="position:absolute;left:0pt;margin-left:27.05pt;margin-top:0.75pt;height:297.95pt;width:359.75pt;mso-position-horizontal-relative:margin;mso-position-vertical-relative:margin;mso-wrap-distance-bottom:0pt;mso-wrap-distance-left:9pt;mso-wrap-distance-right:9pt;mso-wrap-distance-top:0pt;z-index:251684864;mso-width-relative:page;mso-height-relative:page;" filled="f" o:preferrelative="t" stroked="f" coordsize="21600,21600">
            <v:path/>
            <v:fill on="f" focussize="0,0"/>
            <v:stroke on="f" joinstyle="miter"/>
            <v:imagedata r:id="rId65" o:title="SO2叠加年均"/>
            <o:lock v:ext="edit" aspectratio="t"/>
            <w10:wrap type="square"/>
          </v:shape>
        </w:pict>
      </w:r>
    </w:p>
    <w:p w14:paraId="08B8A576">
      <w:pPr>
        <w:ind w:firstLine="480"/>
        <w:jc w:val="center"/>
        <w:rPr>
          <w:u w:val="single"/>
        </w:rPr>
      </w:pPr>
    </w:p>
    <w:p w14:paraId="522F0AD5">
      <w:pPr>
        <w:ind w:firstLine="480"/>
        <w:jc w:val="center"/>
        <w:rPr>
          <w:u w:val="single"/>
        </w:rPr>
      </w:pPr>
    </w:p>
    <w:p w14:paraId="0834C731">
      <w:pPr>
        <w:pStyle w:val="45"/>
        <w:keepNext w:val="0"/>
        <w:keepLines w:val="0"/>
        <w:pageBreakBefore w:val="0"/>
        <w:widowControl/>
        <w:numPr>
          <w:ilvl w:val="6"/>
          <w:numId w:val="0"/>
        </w:numPr>
        <w:kinsoku/>
        <w:wordWrap/>
        <w:overflowPunct/>
        <w:topLinePunct w:val="0"/>
        <w:autoSpaceDE w:val="0"/>
        <w:autoSpaceDN w:val="0"/>
        <w:bidi w:val="0"/>
        <w:adjustRightInd w:val="0"/>
        <w:snapToGrid/>
        <w:spacing w:before="0" w:beforeLines="0"/>
        <w:ind w:firstLine="1687" w:firstLineChars="800"/>
        <w:jc w:val="both"/>
        <w:textAlignment w:val="auto"/>
        <w:rPr>
          <w:color w:val="auto"/>
        </w:rPr>
      </w:pPr>
      <w:r>
        <w:rPr>
          <w:rFonts w:hint="default" w:ascii="宋体" w:hAnsi="宋体" w:eastAsia="宋体" w:cs="宋体"/>
          <w:b/>
          <w:bCs/>
          <w:color w:val="auto"/>
          <w:kern w:val="2"/>
          <w:sz w:val="21"/>
          <w:szCs w:val="21"/>
          <w:lang w:val="en-US" w:eastAsia="zh-CN" w:bidi="ar-SA"/>
        </w:rPr>
        <w:t xml:space="preserve">6.2-17 </w:t>
      </w:r>
      <w:r>
        <w:rPr>
          <w:rFonts w:hint="eastAsia"/>
          <w:color w:val="auto"/>
        </w:rPr>
        <w:t>SO</w:t>
      </w:r>
      <w:r>
        <w:rPr>
          <w:rFonts w:hint="eastAsia"/>
          <w:color w:val="auto"/>
          <w:vertAlign w:val="subscript"/>
        </w:rPr>
        <w:t>2</w:t>
      </w:r>
      <w:r>
        <w:rPr>
          <w:rFonts w:hint="eastAsia"/>
          <w:color w:val="auto"/>
        </w:rPr>
        <w:t>叠加浓度分布图—年均 单位：mg/m</w:t>
      </w:r>
      <w:r>
        <w:rPr>
          <w:rFonts w:hint="eastAsia"/>
          <w:color w:val="auto"/>
          <w:vertAlign w:val="superscript"/>
        </w:rPr>
        <w:t>3</w:t>
      </w:r>
    </w:p>
    <w:p w14:paraId="4A7C8A80">
      <w:pPr>
        <w:ind w:firstLine="480"/>
      </w:pPr>
      <w:r>
        <w:rPr>
          <w:rFonts w:hint="eastAsia" w:ascii="宋体" w:hAnsi="宋体" w:cs="宋体"/>
        </w:rPr>
        <w:t>②</w:t>
      </w:r>
      <w:r>
        <w:rPr>
          <w:rFonts w:hint="eastAsia"/>
        </w:rPr>
        <w:t>NO</w:t>
      </w:r>
      <w:r>
        <w:rPr>
          <w:vertAlign w:val="subscript"/>
        </w:rPr>
        <w:t>2</w:t>
      </w:r>
      <w:r>
        <w:t>叠加结果如下：</w:t>
      </w:r>
    </w:p>
    <w:p w14:paraId="4A7C5F07">
      <w:pPr>
        <w:ind w:firstLine="480"/>
      </w:pPr>
      <w:r>
        <w:t>正常排放情况下，拟建项目</w:t>
      </w:r>
      <w:r>
        <w:rPr>
          <w:rFonts w:hint="eastAsia"/>
        </w:rPr>
        <w:t>NO</w:t>
      </w:r>
      <w:r>
        <w:rPr>
          <w:vertAlign w:val="subscript"/>
        </w:rPr>
        <w:t>2</w:t>
      </w:r>
      <w:r>
        <w:t>日均浓度的叠加预测值和年均浓度预测值对各</w:t>
      </w:r>
      <w:r>
        <w:rPr>
          <w:rFonts w:hint="eastAsia"/>
        </w:rPr>
        <w:t>敏感</w:t>
      </w:r>
      <w:r>
        <w:t>点的影响满足《环境空气质量标准》（GB3095-2012）相应标准要求。区域最大落地浓度中，日均</w:t>
      </w:r>
      <w:r>
        <w:rPr>
          <w:rFonts w:hint="eastAsia"/>
        </w:rPr>
        <w:t>叠加</w:t>
      </w:r>
      <w:r>
        <w:t>浓度贡献值最大值为</w:t>
      </w:r>
      <w:r>
        <w:rPr>
          <w:rFonts w:hint="eastAsia"/>
        </w:rPr>
        <w:t>0.0215</w:t>
      </w:r>
      <w:r>
        <w:t>mg/m³、最大占标率为</w:t>
      </w:r>
      <w:r>
        <w:rPr>
          <w:rFonts w:hint="eastAsia"/>
        </w:rPr>
        <w:t>26.91</w:t>
      </w:r>
      <w:r>
        <w:t>%；年均浓度贡献值最大值为</w:t>
      </w:r>
      <w:r>
        <w:rPr>
          <w:rFonts w:hint="eastAsia"/>
        </w:rPr>
        <w:t>0.00004</w:t>
      </w:r>
      <w:r>
        <w:t>mg/m³，最大占标率为</w:t>
      </w:r>
      <w:r>
        <w:rPr>
          <w:rFonts w:hint="eastAsia"/>
        </w:rPr>
        <w:t>0.1</w:t>
      </w:r>
      <w:r>
        <w:t>%。</w:t>
      </w:r>
    </w:p>
    <w:p w14:paraId="77937795">
      <w:pPr>
        <w:pStyle w:val="51"/>
        <w:numPr>
          <w:ilvl w:val="5"/>
          <w:numId w:val="0"/>
        </w:numPr>
        <w:tabs>
          <w:tab w:val="left" w:pos="4395"/>
        </w:tabs>
        <w:spacing w:before="156"/>
        <w:ind w:left="4700" w:leftChars="0" w:hanging="3260" w:firstLineChars="0"/>
        <w:rPr>
          <w:rFonts w:hint="eastAsia"/>
          <w:vertAlign w:val="superscript"/>
        </w:rPr>
      </w:pPr>
      <w:r>
        <w:rPr>
          <w:rFonts w:hint="default" w:ascii="宋体" w:hAnsi="宋体" w:eastAsia="宋体" w:cs="宋体"/>
          <w:b/>
          <w:bCs/>
          <w:color w:val="auto"/>
          <w:kern w:val="2"/>
          <w:sz w:val="21"/>
          <w:szCs w:val="21"/>
          <w:lang w:val="en-US" w:eastAsia="zh-CN" w:bidi="ar-SA"/>
        </w:rPr>
        <w:t xml:space="preserve">表6.2-21 </w:t>
      </w:r>
      <w:r>
        <w:rPr>
          <w:rFonts w:hint="eastAsia"/>
        </w:rPr>
        <w:t>NO</w:t>
      </w:r>
      <w:r>
        <w:rPr>
          <w:rFonts w:hint="eastAsia"/>
          <w:vertAlign w:val="subscript"/>
        </w:rPr>
        <w:t>2</w:t>
      </w:r>
      <w:r>
        <w:rPr>
          <w:rFonts w:hint="eastAsia"/>
        </w:rPr>
        <w:t>的叠加结果计算   单位：mg/m</w:t>
      </w:r>
      <w:r>
        <w:rPr>
          <w:rFonts w:hint="eastAsia"/>
          <w:vertAlign w:val="superscript"/>
        </w:rPr>
        <w:t>3</w:t>
      </w:r>
    </w:p>
    <w:tbl>
      <w:tblPr>
        <w:tblStyle w:val="66"/>
        <w:tblW w:w="509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8"/>
        <w:gridCol w:w="1145"/>
        <w:gridCol w:w="737"/>
        <w:gridCol w:w="647"/>
        <w:gridCol w:w="914"/>
        <w:gridCol w:w="1069"/>
        <w:gridCol w:w="1182"/>
        <w:gridCol w:w="914"/>
        <w:gridCol w:w="784"/>
        <w:gridCol w:w="716"/>
      </w:tblGrid>
      <w:tr w14:paraId="50B53E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tcBorders>
              <w:tl2br w:val="nil"/>
              <w:tr2bl w:val="nil"/>
            </w:tcBorders>
            <w:shd w:val="clear" w:color="auto" w:fill="auto"/>
            <w:textDirection w:val="tbRlV"/>
            <w:vAlign w:val="center"/>
          </w:tcPr>
          <w:p w14:paraId="7282A323">
            <w:pPr>
              <w:widowControl w:val="0"/>
              <w:jc w:val="center"/>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55" name="IM 148"/>
                  <wp:cNvGraphicFramePr/>
                  <a:graphic xmlns:a="http://schemas.openxmlformats.org/drawingml/2006/main">
                    <a:graphicData uri="http://schemas.openxmlformats.org/drawingml/2006/picture">
                      <pic:pic xmlns:pic="http://schemas.openxmlformats.org/drawingml/2006/picture">
                        <pic:nvPicPr>
                          <pic:cNvPr id="55" name="IM 148"/>
                          <pic:cNvPicPr/>
                        </pic:nvPicPr>
                        <pic:blipFill>
                          <a:blip r:embed="rId51"/>
                          <a:stretch>
                            <a:fillRect/>
                          </a:stretch>
                        </pic:blipFill>
                        <pic:spPr>
                          <a:xfrm>
                            <a:off x="0" y="0"/>
                            <a:ext cx="137160" cy="0"/>
                          </a:xfrm>
                          <a:prstGeom prst="rect">
                            <a:avLst/>
                          </a:prstGeom>
                        </pic:spPr>
                      </pic:pic>
                    </a:graphicData>
                  </a:graphic>
                </wp:inline>
              </w:drawing>
            </w:r>
          </w:p>
        </w:tc>
        <w:tc>
          <w:tcPr>
            <w:tcW w:w="1145" w:type="dxa"/>
            <w:tcBorders>
              <w:tl2br w:val="nil"/>
              <w:tr2bl w:val="nil"/>
            </w:tcBorders>
            <w:shd w:val="clear" w:color="auto" w:fill="auto"/>
            <w:vAlign w:val="center"/>
          </w:tcPr>
          <w:p w14:paraId="00DE0344">
            <w:pPr>
              <w:widowControl w:val="0"/>
              <w:jc w:val="center"/>
              <w:rPr>
                <w:sz w:val="21"/>
                <w:szCs w:val="21"/>
                <w:lang w:eastAsia="en-US"/>
              </w:rPr>
            </w:pPr>
            <w:r>
              <w:rPr>
                <w:sz w:val="21"/>
                <w:szCs w:val="21"/>
                <w:lang w:eastAsia="en-US"/>
              </w:rPr>
              <w:t>离散点</w:t>
            </w:r>
          </w:p>
        </w:tc>
        <w:tc>
          <w:tcPr>
            <w:tcW w:w="737" w:type="dxa"/>
            <w:tcBorders>
              <w:tl2br w:val="nil"/>
              <w:tr2bl w:val="nil"/>
            </w:tcBorders>
            <w:shd w:val="clear" w:color="auto" w:fill="auto"/>
            <w:vAlign w:val="center"/>
          </w:tcPr>
          <w:p w14:paraId="40EFE017">
            <w:pPr>
              <w:widowControl w:val="0"/>
              <w:jc w:val="center"/>
              <w:rPr>
                <w:sz w:val="21"/>
                <w:szCs w:val="21"/>
                <w:lang w:eastAsia="en-US"/>
              </w:rPr>
            </w:pPr>
            <w:r>
              <w:rPr>
                <w:sz w:val="21"/>
                <w:szCs w:val="21"/>
                <w:lang w:eastAsia="en-US"/>
              </w:rPr>
              <w:t>点坐标 （X）</w:t>
            </w:r>
          </w:p>
        </w:tc>
        <w:tc>
          <w:tcPr>
            <w:tcW w:w="647" w:type="dxa"/>
            <w:tcBorders>
              <w:tl2br w:val="nil"/>
              <w:tr2bl w:val="nil"/>
            </w:tcBorders>
            <w:shd w:val="clear" w:color="auto" w:fill="auto"/>
            <w:vAlign w:val="center"/>
          </w:tcPr>
          <w:p w14:paraId="5CBD9261">
            <w:pPr>
              <w:widowControl w:val="0"/>
              <w:jc w:val="center"/>
              <w:rPr>
                <w:sz w:val="21"/>
                <w:szCs w:val="21"/>
                <w:lang w:eastAsia="en-US"/>
              </w:rPr>
            </w:pPr>
            <w:r>
              <w:rPr>
                <w:sz w:val="21"/>
                <w:szCs w:val="21"/>
                <w:lang w:eastAsia="en-US"/>
              </w:rPr>
              <w:t>点坐标 （Y）</w:t>
            </w:r>
          </w:p>
        </w:tc>
        <w:tc>
          <w:tcPr>
            <w:tcW w:w="914" w:type="dxa"/>
            <w:tcBorders>
              <w:tl2br w:val="nil"/>
              <w:tr2bl w:val="nil"/>
            </w:tcBorders>
            <w:shd w:val="clear" w:color="auto" w:fill="auto"/>
            <w:vAlign w:val="center"/>
          </w:tcPr>
          <w:p w14:paraId="4C25CFDC">
            <w:pPr>
              <w:widowControl w:val="0"/>
              <w:jc w:val="center"/>
              <w:rPr>
                <w:sz w:val="21"/>
                <w:szCs w:val="21"/>
                <w:lang w:eastAsia="en-US"/>
              </w:rPr>
            </w:pPr>
            <w:r>
              <w:rPr>
                <w:sz w:val="21"/>
                <w:szCs w:val="21"/>
                <w:lang w:eastAsia="en-US"/>
              </w:rPr>
              <w:t>浓度类型</w:t>
            </w:r>
          </w:p>
        </w:tc>
        <w:tc>
          <w:tcPr>
            <w:tcW w:w="1069" w:type="dxa"/>
            <w:tcBorders>
              <w:tl2br w:val="nil"/>
              <w:tr2bl w:val="nil"/>
            </w:tcBorders>
            <w:shd w:val="clear" w:color="auto" w:fill="auto"/>
            <w:vAlign w:val="center"/>
          </w:tcPr>
          <w:p w14:paraId="6D064B4C">
            <w:pPr>
              <w:widowControl w:val="0"/>
              <w:jc w:val="center"/>
              <w:rPr>
                <w:sz w:val="21"/>
                <w:szCs w:val="21"/>
                <w:lang w:eastAsia="en-US"/>
              </w:rPr>
            </w:pPr>
            <w:r>
              <w:rPr>
                <w:sz w:val="21"/>
                <w:szCs w:val="21"/>
                <w:lang w:eastAsia="en-US"/>
              </w:rPr>
              <w:t>出现时间</w:t>
            </w:r>
          </w:p>
        </w:tc>
        <w:tc>
          <w:tcPr>
            <w:tcW w:w="1182" w:type="dxa"/>
            <w:tcBorders>
              <w:tl2br w:val="nil"/>
              <w:tr2bl w:val="nil"/>
            </w:tcBorders>
            <w:shd w:val="clear" w:color="auto" w:fill="auto"/>
            <w:vAlign w:val="center"/>
          </w:tcPr>
          <w:p w14:paraId="097FA794">
            <w:pPr>
              <w:widowControl w:val="0"/>
              <w:jc w:val="center"/>
              <w:rPr>
                <w:sz w:val="21"/>
                <w:szCs w:val="21"/>
                <w:lang w:eastAsia="en-US"/>
              </w:rPr>
            </w:pPr>
            <w:r>
              <w:rPr>
                <w:rFonts w:hint="eastAsia"/>
                <w:sz w:val="21"/>
                <w:szCs w:val="21"/>
                <w:lang w:eastAsia="en-US"/>
              </w:rPr>
              <w:t>叠加</w:t>
            </w:r>
            <w:r>
              <w:rPr>
                <w:sz w:val="21"/>
                <w:szCs w:val="21"/>
                <w:lang w:eastAsia="en-US"/>
              </w:rPr>
              <w:t>值</w:t>
            </w:r>
          </w:p>
        </w:tc>
        <w:tc>
          <w:tcPr>
            <w:tcW w:w="914" w:type="dxa"/>
            <w:tcBorders>
              <w:tl2br w:val="nil"/>
              <w:tr2bl w:val="nil"/>
            </w:tcBorders>
            <w:shd w:val="clear" w:color="auto" w:fill="auto"/>
            <w:vAlign w:val="center"/>
          </w:tcPr>
          <w:p w14:paraId="0751CC20">
            <w:pPr>
              <w:widowControl w:val="0"/>
              <w:jc w:val="center"/>
              <w:rPr>
                <w:sz w:val="21"/>
                <w:szCs w:val="21"/>
                <w:lang w:eastAsia="en-US"/>
              </w:rPr>
            </w:pPr>
            <w:r>
              <w:rPr>
                <w:sz w:val="21"/>
                <w:szCs w:val="21"/>
                <w:lang w:eastAsia="en-US"/>
              </w:rPr>
              <w:t>评价标准</w:t>
            </w:r>
          </w:p>
        </w:tc>
        <w:tc>
          <w:tcPr>
            <w:tcW w:w="784" w:type="dxa"/>
            <w:tcBorders>
              <w:tl2br w:val="nil"/>
              <w:tr2bl w:val="nil"/>
            </w:tcBorders>
            <w:shd w:val="clear" w:color="auto" w:fill="auto"/>
            <w:vAlign w:val="center"/>
          </w:tcPr>
          <w:p w14:paraId="258FF1E8">
            <w:pPr>
              <w:widowControl w:val="0"/>
              <w:jc w:val="center"/>
              <w:rPr>
                <w:sz w:val="21"/>
                <w:szCs w:val="21"/>
                <w:lang w:eastAsia="en-US"/>
              </w:rPr>
            </w:pPr>
            <w:r>
              <w:rPr>
                <w:sz w:val="21"/>
                <w:szCs w:val="21"/>
                <w:lang w:eastAsia="en-US"/>
              </w:rPr>
              <w:t>占标</w:t>
            </w:r>
          </w:p>
          <w:p w14:paraId="06860699">
            <w:pPr>
              <w:widowControl w:val="0"/>
              <w:jc w:val="center"/>
              <w:rPr>
                <w:sz w:val="21"/>
                <w:szCs w:val="21"/>
                <w:lang w:eastAsia="en-US"/>
              </w:rPr>
            </w:pPr>
            <w:r>
              <w:rPr>
                <w:sz w:val="21"/>
                <w:szCs w:val="21"/>
                <w:lang w:eastAsia="en-US"/>
              </w:rPr>
              <w:t>率%</w:t>
            </w:r>
          </w:p>
        </w:tc>
        <w:tc>
          <w:tcPr>
            <w:tcW w:w="716" w:type="dxa"/>
            <w:tcBorders>
              <w:tl2br w:val="nil"/>
              <w:tr2bl w:val="nil"/>
            </w:tcBorders>
            <w:shd w:val="clear" w:color="auto" w:fill="auto"/>
            <w:vAlign w:val="center"/>
          </w:tcPr>
          <w:p w14:paraId="5CF80957">
            <w:pPr>
              <w:widowControl w:val="0"/>
              <w:jc w:val="center"/>
              <w:rPr>
                <w:sz w:val="21"/>
                <w:szCs w:val="21"/>
                <w:lang w:eastAsia="en-US"/>
              </w:rPr>
            </w:pPr>
            <w:r>
              <w:rPr>
                <w:sz w:val="21"/>
                <w:szCs w:val="21"/>
                <w:lang w:eastAsia="en-US"/>
              </w:rPr>
              <w:t>是否达 标</w:t>
            </w:r>
          </w:p>
        </w:tc>
      </w:tr>
      <w:tr w14:paraId="322EDCB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79FB58FF">
            <w:pPr>
              <w:widowControl w:val="0"/>
              <w:jc w:val="center"/>
              <w:rPr>
                <w:sz w:val="21"/>
                <w:szCs w:val="21"/>
                <w:lang w:eastAsia="en-US"/>
              </w:rPr>
            </w:pPr>
            <w:r>
              <w:rPr>
                <w:sz w:val="21"/>
                <w:szCs w:val="21"/>
                <w:lang w:eastAsia="en-US"/>
              </w:rPr>
              <w:t>1</w:t>
            </w:r>
          </w:p>
        </w:tc>
        <w:tc>
          <w:tcPr>
            <w:tcW w:w="1145" w:type="dxa"/>
            <w:vMerge w:val="restart"/>
            <w:tcBorders>
              <w:tl2br w:val="nil"/>
              <w:tr2bl w:val="nil"/>
            </w:tcBorders>
            <w:shd w:val="clear" w:color="auto" w:fill="auto"/>
            <w:vAlign w:val="center"/>
          </w:tcPr>
          <w:p w14:paraId="0083B04B">
            <w:pPr>
              <w:widowControl w:val="0"/>
              <w:jc w:val="center"/>
              <w:rPr>
                <w:sz w:val="21"/>
                <w:szCs w:val="21"/>
                <w:lang w:eastAsia="en-US"/>
              </w:rPr>
            </w:pPr>
            <w:r>
              <w:rPr>
                <w:sz w:val="21"/>
                <w:szCs w:val="21"/>
                <w:lang w:eastAsia="en-US"/>
              </w:rPr>
              <w:t>涓江香水湾小区</w:t>
            </w:r>
          </w:p>
        </w:tc>
        <w:tc>
          <w:tcPr>
            <w:tcW w:w="737" w:type="dxa"/>
            <w:vMerge w:val="restart"/>
            <w:tcBorders>
              <w:tl2br w:val="nil"/>
              <w:tr2bl w:val="nil"/>
            </w:tcBorders>
            <w:shd w:val="clear" w:color="auto" w:fill="auto"/>
            <w:vAlign w:val="center"/>
          </w:tcPr>
          <w:p w14:paraId="4CEC1380">
            <w:pPr>
              <w:widowControl w:val="0"/>
              <w:jc w:val="center"/>
              <w:rPr>
                <w:sz w:val="21"/>
                <w:szCs w:val="21"/>
                <w:lang w:eastAsia="en-US"/>
              </w:rPr>
            </w:pPr>
            <w:r>
              <w:rPr>
                <w:sz w:val="21"/>
                <w:szCs w:val="21"/>
                <w:lang w:eastAsia="en-US"/>
              </w:rPr>
              <w:t>-</w:t>
            </w:r>
            <w:r>
              <w:rPr>
                <w:rFonts w:hint="eastAsia"/>
                <w:sz w:val="21"/>
                <w:szCs w:val="21"/>
                <w:lang w:eastAsia="en-US"/>
              </w:rPr>
              <w:t>755</w:t>
            </w:r>
          </w:p>
        </w:tc>
        <w:tc>
          <w:tcPr>
            <w:tcW w:w="647" w:type="dxa"/>
            <w:vMerge w:val="restart"/>
            <w:tcBorders>
              <w:tl2br w:val="nil"/>
              <w:tr2bl w:val="nil"/>
            </w:tcBorders>
            <w:shd w:val="clear" w:color="auto" w:fill="auto"/>
            <w:vAlign w:val="center"/>
          </w:tcPr>
          <w:p w14:paraId="70FF6BDE">
            <w:pPr>
              <w:widowControl w:val="0"/>
              <w:jc w:val="center"/>
              <w:rPr>
                <w:sz w:val="21"/>
                <w:szCs w:val="21"/>
                <w:lang w:eastAsia="en-US"/>
              </w:rPr>
            </w:pPr>
            <w:r>
              <w:rPr>
                <w:rFonts w:hint="eastAsia"/>
                <w:sz w:val="21"/>
                <w:szCs w:val="21"/>
                <w:lang w:eastAsia="en-US"/>
              </w:rPr>
              <w:t>281</w:t>
            </w:r>
          </w:p>
        </w:tc>
        <w:tc>
          <w:tcPr>
            <w:tcW w:w="914" w:type="dxa"/>
            <w:tcBorders>
              <w:tl2br w:val="nil"/>
              <w:tr2bl w:val="nil"/>
            </w:tcBorders>
            <w:shd w:val="clear" w:color="auto" w:fill="auto"/>
            <w:vAlign w:val="center"/>
          </w:tcPr>
          <w:p w14:paraId="2F47344D">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8F7EF96">
            <w:pPr>
              <w:widowControl w:val="0"/>
              <w:jc w:val="center"/>
              <w:rPr>
                <w:sz w:val="21"/>
                <w:szCs w:val="21"/>
                <w:lang w:eastAsia="en-US"/>
              </w:rPr>
            </w:pPr>
            <w:r>
              <w:rPr>
                <w:rFonts w:hint="eastAsia"/>
                <w:sz w:val="21"/>
                <w:szCs w:val="21"/>
                <w:lang w:eastAsia="zh-CN"/>
              </w:rPr>
              <w:t>24</w:t>
            </w:r>
            <w:r>
              <w:rPr>
                <w:sz w:val="21"/>
                <w:szCs w:val="21"/>
                <w:lang w:eastAsia="en-US"/>
              </w:rPr>
              <w:t>061820</w:t>
            </w:r>
          </w:p>
        </w:tc>
        <w:tc>
          <w:tcPr>
            <w:tcW w:w="1182" w:type="dxa"/>
            <w:tcBorders>
              <w:tl2br w:val="nil"/>
              <w:tr2bl w:val="nil"/>
            </w:tcBorders>
            <w:shd w:val="clear" w:color="auto" w:fill="auto"/>
            <w:vAlign w:val="center"/>
          </w:tcPr>
          <w:p w14:paraId="02DBE09C">
            <w:pPr>
              <w:widowControl w:val="0"/>
              <w:jc w:val="center"/>
              <w:rPr>
                <w:sz w:val="21"/>
                <w:szCs w:val="21"/>
                <w:lang w:eastAsia="en-US"/>
              </w:rPr>
            </w:pPr>
            <w:r>
              <w:rPr>
                <w:sz w:val="21"/>
                <w:szCs w:val="21"/>
                <w:lang w:eastAsia="en-US"/>
              </w:rPr>
              <w:t>0.0010</w:t>
            </w:r>
          </w:p>
        </w:tc>
        <w:tc>
          <w:tcPr>
            <w:tcW w:w="914" w:type="dxa"/>
            <w:tcBorders>
              <w:tl2br w:val="nil"/>
              <w:tr2bl w:val="nil"/>
            </w:tcBorders>
            <w:shd w:val="clear" w:color="auto" w:fill="auto"/>
            <w:vAlign w:val="center"/>
          </w:tcPr>
          <w:p w14:paraId="457A9501">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D02A155">
            <w:pPr>
              <w:widowControl w:val="0"/>
              <w:jc w:val="center"/>
              <w:rPr>
                <w:sz w:val="21"/>
                <w:szCs w:val="21"/>
                <w:lang w:eastAsia="en-US"/>
              </w:rPr>
            </w:pPr>
            <w:r>
              <w:rPr>
                <w:sz w:val="21"/>
                <w:szCs w:val="21"/>
                <w:lang w:eastAsia="en-US"/>
              </w:rPr>
              <w:t>0.49</w:t>
            </w:r>
          </w:p>
        </w:tc>
        <w:tc>
          <w:tcPr>
            <w:tcW w:w="716" w:type="dxa"/>
            <w:tcBorders>
              <w:tl2br w:val="nil"/>
              <w:tr2bl w:val="nil"/>
            </w:tcBorders>
            <w:shd w:val="clear" w:color="auto" w:fill="auto"/>
            <w:vAlign w:val="center"/>
          </w:tcPr>
          <w:p w14:paraId="3F18A7A5">
            <w:pPr>
              <w:widowControl w:val="0"/>
              <w:jc w:val="center"/>
              <w:rPr>
                <w:sz w:val="21"/>
                <w:szCs w:val="21"/>
                <w:lang w:eastAsia="en-US"/>
              </w:rPr>
            </w:pPr>
            <w:r>
              <w:rPr>
                <w:sz w:val="21"/>
                <w:szCs w:val="21"/>
                <w:lang w:eastAsia="en-US"/>
              </w:rPr>
              <w:t>达标</w:t>
            </w:r>
          </w:p>
        </w:tc>
      </w:tr>
      <w:tr w14:paraId="0227DA2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305F71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410BFC0">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06613185">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AA28531">
            <w:pPr>
              <w:widowControl w:val="0"/>
              <w:jc w:val="center"/>
              <w:rPr>
                <w:sz w:val="21"/>
                <w:szCs w:val="21"/>
                <w:lang w:eastAsia="en-US"/>
              </w:rPr>
            </w:pPr>
          </w:p>
        </w:tc>
        <w:tc>
          <w:tcPr>
            <w:tcW w:w="914" w:type="dxa"/>
            <w:tcBorders>
              <w:tl2br w:val="nil"/>
              <w:tr2bl w:val="nil"/>
            </w:tcBorders>
            <w:shd w:val="clear" w:color="auto" w:fill="auto"/>
            <w:vAlign w:val="center"/>
          </w:tcPr>
          <w:p w14:paraId="4C9D5FEA">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9D92502">
            <w:pPr>
              <w:widowControl w:val="0"/>
              <w:jc w:val="center"/>
              <w:rPr>
                <w:sz w:val="21"/>
                <w:szCs w:val="21"/>
                <w:lang w:eastAsia="en-US"/>
              </w:rPr>
            </w:pPr>
            <w:r>
              <w:rPr>
                <w:rFonts w:hint="eastAsia"/>
                <w:sz w:val="21"/>
                <w:szCs w:val="21"/>
                <w:lang w:eastAsia="zh-CN"/>
              </w:rPr>
              <w:t>24</w:t>
            </w:r>
            <w:r>
              <w:rPr>
                <w:sz w:val="21"/>
                <w:szCs w:val="21"/>
                <w:lang w:eastAsia="en-US"/>
              </w:rPr>
              <w:t>0704</w:t>
            </w:r>
          </w:p>
        </w:tc>
        <w:tc>
          <w:tcPr>
            <w:tcW w:w="1182" w:type="dxa"/>
            <w:tcBorders>
              <w:tl2br w:val="nil"/>
              <w:tr2bl w:val="nil"/>
            </w:tcBorders>
            <w:shd w:val="clear" w:color="auto" w:fill="auto"/>
            <w:vAlign w:val="center"/>
          </w:tcPr>
          <w:p w14:paraId="21697B2F">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5762074F">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FAA9F40">
            <w:pPr>
              <w:widowControl w:val="0"/>
              <w:jc w:val="center"/>
              <w:rPr>
                <w:sz w:val="21"/>
                <w:szCs w:val="21"/>
                <w:lang w:eastAsia="en-US"/>
              </w:rPr>
            </w:pPr>
            <w:r>
              <w:rPr>
                <w:sz w:val="21"/>
                <w:szCs w:val="21"/>
                <w:lang w:eastAsia="en-US"/>
              </w:rPr>
              <w:t>26.57</w:t>
            </w:r>
          </w:p>
        </w:tc>
        <w:tc>
          <w:tcPr>
            <w:tcW w:w="716" w:type="dxa"/>
            <w:tcBorders>
              <w:tl2br w:val="nil"/>
              <w:tr2bl w:val="nil"/>
            </w:tcBorders>
            <w:shd w:val="clear" w:color="auto" w:fill="auto"/>
            <w:vAlign w:val="center"/>
          </w:tcPr>
          <w:p w14:paraId="5F212A2B">
            <w:pPr>
              <w:widowControl w:val="0"/>
              <w:jc w:val="center"/>
              <w:rPr>
                <w:sz w:val="21"/>
                <w:szCs w:val="21"/>
                <w:lang w:eastAsia="en-US"/>
              </w:rPr>
            </w:pPr>
            <w:r>
              <w:rPr>
                <w:sz w:val="21"/>
                <w:szCs w:val="21"/>
                <w:lang w:eastAsia="en-US"/>
              </w:rPr>
              <w:t>达标</w:t>
            </w:r>
          </w:p>
        </w:tc>
      </w:tr>
      <w:tr w14:paraId="43F72FA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023E898">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433BF91F">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8BF9FBD">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1875093">
            <w:pPr>
              <w:widowControl w:val="0"/>
              <w:jc w:val="center"/>
              <w:rPr>
                <w:sz w:val="21"/>
                <w:szCs w:val="21"/>
                <w:lang w:eastAsia="en-US"/>
              </w:rPr>
            </w:pPr>
          </w:p>
        </w:tc>
        <w:tc>
          <w:tcPr>
            <w:tcW w:w="914" w:type="dxa"/>
            <w:tcBorders>
              <w:tl2br w:val="nil"/>
              <w:tr2bl w:val="nil"/>
            </w:tcBorders>
            <w:shd w:val="clear" w:color="auto" w:fill="auto"/>
            <w:vAlign w:val="center"/>
          </w:tcPr>
          <w:p w14:paraId="44BC5C02">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9BFB960">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FF8538B">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744F184">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428CD13E">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04CDBD83">
            <w:pPr>
              <w:widowControl w:val="0"/>
              <w:jc w:val="center"/>
              <w:rPr>
                <w:sz w:val="21"/>
                <w:szCs w:val="21"/>
                <w:lang w:eastAsia="en-US"/>
              </w:rPr>
            </w:pPr>
            <w:r>
              <w:rPr>
                <w:sz w:val="21"/>
                <w:szCs w:val="21"/>
                <w:lang w:eastAsia="en-US"/>
              </w:rPr>
              <w:t>达标</w:t>
            </w:r>
          </w:p>
        </w:tc>
      </w:tr>
      <w:tr w14:paraId="7C0E393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76D06AE2">
            <w:pPr>
              <w:widowControl w:val="0"/>
              <w:jc w:val="center"/>
              <w:rPr>
                <w:sz w:val="21"/>
                <w:szCs w:val="21"/>
                <w:lang w:eastAsia="en-US"/>
              </w:rPr>
            </w:pPr>
            <w:r>
              <w:rPr>
                <w:sz w:val="21"/>
                <w:szCs w:val="21"/>
                <w:lang w:eastAsia="en-US"/>
              </w:rPr>
              <w:t>2</w:t>
            </w:r>
          </w:p>
        </w:tc>
        <w:tc>
          <w:tcPr>
            <w:tcW w:w="1145" w:type="dxa"/>
            <w:vMerge w:val="restart"/>
            <w:tcBorders>
              <w:tl2br w:val="nil"/>
              <w:tr2bl w:val="nil"/>
            </w:tcBorders>
            <w:shd w:val="clear" w:color="auto" w:fill="auto"/>
            <w:vAlign w:val="center"/>
          </w:tcPr>
          <w:p w14:paraId="584A1D50">
            <w:pPr>
              <w:widowControl w:val="0"/>
              <w:jc w:val="center"/>
              <w:rPr>
                <w:sz w:val="21"/>
                <w:szCs w:val="21"/>
                <w:lang w:eastAsia="en-US"/>
              </w:rPr>
            </w:pPr>
            <w:r>
              <w:rPr>
                <w:sz w:val="21"/>
                <w:szCs w:val="21"/>
                <w:lang w:eastAsia="en-US"/>
              </w:rPr>
              <w:t>松香苑小区</w:t>
            </w:r>
          </w:p>
        </w:tc>
        <w:tc>
          <w:tcPr>
            <w:tcW w:w="737" w:type="dxa"/>
            <w:vMerge w:val="restart"/>
            <w:tcBorders>
              <w:tl2br w:val="nil"/>
              <w:tr2bl w:val="nil"/>
            </w:tcBorders>
            <w:shd w:val="clear" w:color="auto" w:fill="auto"/>
            <w:vAlign w:val="center"/>
          </w:tcPr>
          <w:p w14:paraId="3FBF140F">
            <w:pPr>
              <w:widowControl w:val="0"/>
              <w:jc w:val="center"/>
              <w:rPr>
                <w:sz w:val="21"/>
                <w:szCs w:val="21"/>
                <w:lang w:eastAsia="en-US"/>
              </w:rPr>
            </w:pPr>
            <w:r>
              <w:rPr>
                <w:sz w:val="21"/>
                <w:szCs w:val="21"/>
                <w:lang w:eastAsia="en-US"/>
              </w:rPr>
              <w:t>-</w:t>
            </w:r>
            <w:r>
              <w:rPr>
                <w:rFonts w:hint="eastAsia"/>
                <w:sz w:val="21"/>
                <w:szCs w:val="21"/>
                <w:lang w:eastAsia="en-US"/>
              </w:rPr>
              <w:t>1080</w:t>
            </w:r>
          </w:p>
        </w:tc>
        <w:tc>
          <w:tcPr>
            <w:tcW w:w="647" w:type="dxa"/>
            <w:vMerge w:val="restart"/>
            <w:tcBorders>
              <w:tl2br w:val="nil"/>
              <w:tr2bl w:val="nil"/>
            </w:tcBorders>
            <w:shd w:val="clear" w:color="auto" w:fill="auto"/>
            <w:vAlign w:val="center"/>
          </w:tcPr>
          <w:p w14:paraId="03A772B8">
            <w:pPr>
              <w:widowControl w:val="0"/>
              <w:jc w:val="center"/>
              <w:rPr>
                <w:sz w:val="21"/>
                <w:szCs w:val="21"/>
                <w:lang w:eastAsia="en-US"/>
              </w:rPr>
            </w:pPr>
            <w:r>
              <w:rPr>
                <w:rFonts w:hint="eastAsia"/>
                <w:sz w:val="21"/>
                <w:szCs w:val="21"/>
                <w:lang w:eastAsia="en-US"/>
              </w:rPr>
              <w:t>762</w:t>
            </w:r>
          </w:p>
        </w:tc>
        <w:tc>
          <w:tcPr>
            <w:tcW w:w="914" w:type="dxa"/>
            <w:tcBorders>
              <w:tl2br w:val="nil"/>
              <w:tr2bl w:val="nil"/>
            </w:tcBorders>
            <w:shd w:val="clear" w:color="auto" w:fill="auto"/>
            <w:vAlign w:val="center"/>
          </w:tcPr>
          <w:p w14:paraId="71E6B824">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689CB96">
            <w:pPr>
              <w:widowControl w:val="0"/>
              <w:jc w:val="center"/>
              <w:rPr>
                <w:sz w:val="21"/>
                <w:szCs w:val="21"/>
                <w:lang w:eastAsia="en-US"/>
              </w:rPr>
            </w:pPr>
            <w:r>
              <w:rPr>
                <w:rFonts w:hint="eastAsia"/>
                <w:sz w:val="21"/>
                <w:szCs w:val="21"/>
                <w:lang w:eastAsia="zh-CN"/>
              </w:rPr>
              <w:t>24</w:t>
            </w:r>
            <w:r>
              <w:rPr>
                <w:sz w:val="21"/>
                <w:szCs w:val="21"/>
                <w:lang w:eastAsia="en-US"/>
              </w:rPr>
              <w:t>062007</w:t>
            </w:r>
          </w:p>
        </w:tc>
        <w:tc>
          <w:tcPr>
            <w:tcW w:w="1182" w:type="dxa"/>
            <w:tcBorders>
              <w:tl2br w:val="nil"/>
              <w:tr2bl w:val="nil"/>
            </w:tcBorders>
            <w:shd w:val="clear" w:color="auto" w:fill="auto"/>
            <w:vAlign w:val="center"/>
          </w:tcPr>
          <w:p w14:paraId="5CF49B21">
            <w:pPr>
              <w:widowControl w:val="0"/>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423AC845">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D68B5EB">
            <w:pPr>
              <w:widowControl w:val="0"/>
              <w:jc w:val="center"/>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5F76DDCF">
            <w:pPr>
              <w:widowControl w:val="0"/>
              <w:jc w:val="center"/>
              <w:rPr>
                <w:sz w:val="21"/>
                <w:szCs w:val="21"/>
                <w:lang w:eastAsia="en-US"/>
              </w:rPr>
            </w:pPr>
            <w:r>
              <w:rPr>
                <w:sz w:val="21"/>
                <w:szCs w:val="21"/>
                <w:lang w:eastAsia="en-US"/>
              </w:rPr>
              <w:t>达标</w:t>
            </w:r>
          </w:p>
        </w:tc>
      </w:tr>
      <w:tr w14:paraId="584D595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750B476A">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2A1A3FE">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4EC4FE3E">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66503EC">
            <w:pPr>
              <w:widowControl w:val="0"/>
              <w:jc w:val="center"/>
              <w:rPr>
                <w:sz w:val="21"/>
                <w:szCs w:val="21"/>
                <w:lang w:eastAsia="en-US"/>
              </w:rPr>
            </w:pPr>
          </w:p>
        </w:tc>
        <w:tc>
          <w:tcPr>
            <w:tcW w:w="914" w:type="dxa"/>
            <w:tcBorders>
              <w:tl2br w:val="nil"/>
              <w:tr2bl w:val="nil"/>
            </w:tcBorders>
            <w:shd w:val="clear" w:color="auto" w:fill="auto"/>
            <w:vAlign w:val="center"/>
          </w:tcPr>
          <w:p w14:paraId="724DB485">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8CBDC95">
            <w:pPr>
              <w:widowControl w:val="0"/>
              <w:jc w:val="center"/>
              <w:rPr>
                <w:sz w:val="21"/>
                <w:szCs w:val="21"/>
                <w:lang w:eastAsia="en-US"/>
              </w:rPr>
            </w:pPr>
            <w:r>
              <w:rPr>
                <w:rFonts w:hint="eastAsia"/>
                <w:sz w:val="21"/>
                <w:szCs w:val="21"/>
                <w:lang w:eastAsia="zh-CN"/>
              </w:rPr>
              <w:t>24</w:t>
            </w:r>
            <w:r>
              <w:rPr>
                <w:sz w:val="21"/>
                <w:szCs w:val="21"/>
                <w:lang w:eastAsia="en-US"/>
              </w:rPr>
              <w:t>0604</w:t>
            </w:r>
          </w:p>
        </w:tc>
        <w:tc>
          <w:tcPr>
            <w:tcW w:w="1182" w:type="dxa"/>
            <w:tcBorders>
              <w:tl2br w:val="nil"/>
              <w:tr2bl w:val="nil"/>
            </w:tcBorders>
            <w:shd w:val="clear" w:color="auto" w:fill="auto"/>
            <w:vAlign w:val="center"/>
          </w:tcPr>
          <w:p w14:paraId="6936BA84">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3D2E1990">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14BDA252">
            <w:pPr>
              <w:widowControl w:val="0"/>
              <w:jc w:val="center"/>
              <w:rPr>
                <w:sz w:val="21"/>
                <w:szCs w:val="21"/>
                <w:lang w:eastAsia="en-US"/>
              </w:rPr>
            </w:pPr>
            <w:r>
              <w:rPr>
                <w:sz w:val="21"/>
                <w:szCs w:val="21"/>
                <w:lang w:eastAsia="en-US"/>
              </w:rPr>
              <w:t>26.51</w:t>
            </w:r>
          </w:p>
        </w:tc>
        <w:tc>
          <w:tcPr>
            <w:tcW w:w="716" w:type="dxa"/>
            <w:tcBorders>
              <w:tl2br w:val="nil"/>
              <w:tr2bl w:val="nil"/>
            </w:tcBorders>
            <w:shd w:val="clear" w:color="auto" w:fill="auto"/>
            <w:vAlign w:val="center"/>
          </w:tcPr>
          <w:p w14:paraId="669BA58E">
            <w:pPr>
              <w:widowControl w:val="0"/>
              <w:jc w:val="center"/>
              <w:rPr>
                <w:sz w:val="21"/>
                <w:szCs w:val="21"/>
                <w:lang w:eastAsia="en-US"/>
              </w:rPr>
            </w:pPr>
            <w:r>
              <w:rPr>
                <w:sz w:val="21"/>
                <w:szCs w:val="21"/>
                <w:lang w:eastAsia="en-US"/>
              </w:rPr>
              <w:t>达标</w:t>
            </w:r>
          </w:p>
        </w:tc>
      </w:tr>
      <w:tr w14:paraId="7EF862A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24EBF4C3">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0DF6A25">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58F33E4">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A1548EE">
            <w:pPr>
              <w:widowControl w:val="0"/>
              <w:jc w:val="center"/>
              <w:rPr>
                <w:sz w:val="21"/>
                <w:szCs w:val="21"/>
                <w:lang w:eastAsia="en-US"/>
              </w:rPr>
            </w:pPr>
          </w:p>
        </w:tc>
        <w:tc>
          <w:tcPr>
            <w:tcW w:w="914" w:type="dxa"/>
            <w:tcBorders>
              <w:tl2br w:val="nil"/>
              <w:tr2bl w:val="nil"/>
            </w:tcBorders>
            <w:shd w:val="clear" w:color="auto" w:fill="auto"/>
            <w:vAlign w:val="center"/>
          </w:tcPr>
          <w:p w14:paraId="006C4F1E">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2DA61DD">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5DAE897">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144F785">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0E1FFA0">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7D506E5F">
            <w:pPr>
              <w:widowControl w:val="0"/>
              <w:jc w:val="center"/>
              <w:rPr>
                <w:sz w:val="21"/>
                <w:szCs w:val="21"/>
                <w:lang w:eastAsia="en-US"/>
              </w:rPr>
            </w:pPr>
            <w:r>
              <w:rPr>
                <w:sz w:val="21"/>
                <w:szCs w:val="21"/>
                <w:lang w:eastAsia="en-US"/>
              </w:rPr>
              <w:t>达标</w:t>
            </w:r>
          </w:p>
        </w:tc>
      </w:tr>
      <w:tr w14:paraId="2ADCCD6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50AD3F67">
            <w:pPr>
              <w:widowControl w:val="0"/>
              <w:jc w:val="center"/>
              <w:rPr>
                <w:sz w:val="21"/>
                <w:szCs w:val="21"/>
                <w:lang w:eastAsia="en-US"/>
              </w:rPr>
            </w:pPr>
            <w:r>
              <w:rPr>
                <w:sz w:val="21"/>
                <w:szCs w:val="21"/>
                <w:lang w:eastAsia="en-US"/>
              </w:rPr>
              <w:t>3</w:t>
            </w:r>
          </w:p>
        </w:tc>
        <w:tc>
          <w:tcPr>
            <w:tcW w:w="1145" w:type="dxa"/>
            <w:vMerge w:val="restart"/>
            <w:tcBorders>
              <w:tl2br w:val="nil"/>
              <w:tr2bl w:val="nil"/>
            </w:tcBorders>
            <w:shd w:val="clear" w:color="auto" w:fill="auto"/>
            <w:vAlign w:val="center"/>
          </w:tcPr>
          <w:p w14:paraId="0C45CD16">
            <w:pPr>
              <w:widowControl w:val="0"/>
              <w:jc w:val="center"/>
              <w:rPr>
                <w:sz w:val="21"/>
                <w:szCs w:val="21"/>
                <w:lang w:eastAsia="en-US"/>
              </w:rPr>
            </w:pPr>
            <w:r>
              <w:rPr>
                <w:sz w:val="21"/>
                <w:szCs w:val="21"/>
                <w:lang w:eastAsia="en-US"/>
              </w:rPr>
              <w:t>吴家巷散户居民</w:t>
            </w:r>
          </w:p>
        </w:tc>
        <w:tc>
          <w:tcPr>
            <w:tcW w:w="737" w:type="dxa"/>
            <w:vMerge w:val="restart"/>
            <w:tcBorders>
              <w:tl2br w:val="nil"/>
              <w:tr2bl w:val="nil"/>
            </w:tcBorders>
            <w:shd w:val="clear" w:color="auto" w:fill="auto"/>
            <w:vAlign w:val="center"/>
          </w:tcPr>
          <w:p w14:paraId="284ED690">
            <w:pPr>
              <w:widowControl w:val="0"/>
              <w:jc w:val="center"/>
              <w:rPr>
                <w:sz w:val="21"/>
                <w:szCs w:val="21"/>
                <w:lang w:eastAsia="en-US"/>
              </w:rPr>
            </w:pPr>
            <w:r>
              <w:rPr>
                <w:sz w:val="21"/>
                <w:szCs w:val="21"/>
                <w:lang w:eastAsia="en-US"/>
              </w:rPr>
              <w:t>-</w:t>
            </w:r>
            <w:r>
              <w:rPr>
                <w:rFonts w:hint="eastAsia"/>
                <w:sz w:val="21"/>
                <w:szCs w:val="21"/>
                <w:lang w:eastAsia="en-US"/>
              </w:rPr>
              <w:t>831</w:t>
            </w:r>
          </w:p>
        </w:tc>
        <w:tc>
          <w:tcPr>
            <w:tcW w:w="647" w:type="dxa"/>
            <w:vMerge w:val="restart"/>
            <w:tcBorders>
              <w:tl2br w:val="nil"/>
              <w:tr2bl w:val="nil"/>
            </w:tcBorders>
            <w:shd w:val="clear" w:color="auto" w:fill="auto"/>
            <w:vAlign w:val="center"/>
          </w:tcPr>
          <w:p w14:paraId="5442C09D">
            <w:pPr>
              <w:widowControl w:val="0"/>
              <w:jc w:val="center"/>
              <w:rPr>
                <w:sz w:val="21"/>
                <w:szCs w:val="21"/>
                <w:lang w:eastAsia="en-US"/>
              </w:rPr>
            </w:pPr>
            <w:r>
              <w:rPr>
                <w:sz w:val="21"/>
                <w:szCs w:val="21"/>
                <w:lang w:eastAsia="en-US"/>
              </w:rPr>
              <w:t>-</w:t>
            </w:r>
            <w:r>
              <w:rPr>
                <w:rFonts w:hint="eastAsia"/>
                <w:sz w:val="21"/>
                <w:szCs w:val="21"/>
                <w:lang w:eastAsia="en-US"/>
              </w:rPr>
              <w:t>199</w:t>
            </w:r>
          </w:p>
        </w:tc>
        <w:tc>
          <w:tcPr>
            <w:tcW w:w="914" w:type="dxa"/>
            <w:tcBorders>
              <w:tl2br w:val="nil"/>
              <w:tr2bl w:val="nil"/>
            </w:tcBorders>
            <w:shd w:val="clear" w:color="auto" w:fill="auto"/>
            <w:vAlign w:val="center"/>
          </w:tcPr>
          <w:p w14:paraId="7FB9922E">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047F1CC">
            <w:pPr>
              <w:widowControl w:val="0"/>
              <w:jc w:val="center"/>
              <w:rPr>
                <w:sz w:val="21"/>
                <w:szCs w:val="21"/>
                <w:lang w:eastAsia="en-US"/>
              </w:rPr>
            </w:pPr>
            <w:r>
              <w:rPr>
                <w:rFonts w:hint="eastAsia"/>
                <w:sz w:val="21"/>
                <w:szCs w:val="21"/>
                <w:lang w:eastAsia="zh-CN"/>
              </w:rPr>
              <w:t>24</w:t>
            </w:r>
            <w:r>
              <w:rPr>
                <w:sz w:val="21"/>
                <w:szCs w:val="21"/>
                <w:lang w:eastAsia="en-US"/>
              </w:rPr>
              <w:t>070421</w:t>
            </w:r>
          </w:p>
        </w:tc>
        <w:tc>
          <w:tcPr>
            <w:tcW w:w="1182" w:type="dxa"/>
            <w:tcBorders>
              <w:tl2br w:val="nil"/>
              <w:tr2bl w:val="nil"/>
            </w:tcBorders>
            <w:shd w:val="clear" w:color="auto" w:fill="auto"/>
            <w:vAlign w:val="center"/>
          </w:tcPr>
          <w:p w14:paraId="7713C4B0">
            <w:pPr>
              <w:widowControl w:val="0"/>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26E93C91">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0BDAF56">
            <w:pPr>
              <w:widowControl w:val="0"/>
              <w:jc w:val="center"/>
              <w:rPr>
                <w:sz w:val="21"/>
                <w:szCs w:val="21"/>
                <w:lang w:eastAsia="en-US"/>
              </w:rPr>
            </w:pPr>
            <w:r>
              <w:rPr>
                <w:sz w:val="21"/>
                <w:szCs w:val="21"/>
                <w:lang w:eastAsia="en-US"/>
              </w:rPr>
              <w:t>0.45</w:t>
            </w:r>
          </w:p>
        </w:tc>
        <w:tc>
          <w:tcPr>
            <w:tcW w:w="716" w:type="dxa"/>
            <w:tcBorders>
              <w:tl2br w:val="nil"/>
              <w:tr2bl w:val="nil"/>
            </w:tcBorders>
            <w:shd w:val="clear" w:color="auto" w:fill="auto"/>
            <w:vAlign w:val="center"/>
          </w:tcPr>
          <w:p w14:paraId="061B2E7D">
            <w:pPr>
              <w:widowControl w:val="0"/>
              <w:jc w:val="center"/>
              <w:rPr>
                <w:sz w:val="21"/>
                <w:szCs w:val="21"/>
                <w:lang w:eastAsia="en-US"/>
              </w:rPr>
            </w:pPr>
            <w:r>
              <w:rPr>
                <w:sz w:val="21"/>
                <w:szCs w:val="21"/>
                <w:lang w:eastAsia="en-US"/>
              </w:rPr>
              <w:t>达标</w:t>
            </w:r>
          </w:p>
        </w:tc>
      </w:tr>
      <w:tr w14:paraId="4ED33C3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1FD7738">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7A1D0B35">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9AED543">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B864997">
            <w:pPr>
              <w:widowControl w:val="0"/>
              <w:jc w:val="center"/>
              <w:rPr>
                <w:sz w:val="21"/>
                <w:szCs w:val="21"/>
                <w:lang w:eastAsia="en-US"/>
              </w:rPr>
            </w:pPr>
          </w:p>
        </w:tc>
        <w:tc>
          <w:tcPr>
            <w:tcW w:w="914" w:type="dxa"/>
            <w:tcBorders>
              <w:tl2br w:val="nil"/>
              <w:tr2bl w:val="nil"/>
            </w:tcBorders>
            <w:shd w:val="clear" w:color="auto" w:fill="auto"/>
            <w:vAlign w:val="center"/>
          </w:tcPr>
          <w:p w14:paraId="3B668BE2">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530D6D3">
            <w:pPr>
              <w:widowControl w:val="0"/>
              <w:jc w:val="center"/>
              <w:rPr>
                <w:sz w:val="21"/>
                <w:szCs w:val="21"/>
                <w:lang w:eastAsia="en-US"/>
              </w:rPr>
            </w:pPr>
            <w:r>
              <w:rPr>
                <w:rFonts w:hint="eastAsia"/>
                <w:sz w:val="21"/>
                <w:szCs w:val="21"/>
                <w:lang w:eastAsia="zh-CN"/>
              </w:rPr>
              <w:t>24</w:t>
            </w:r>
            <w:r>
              <w:rPr>
                <w:sz w:val="21"/>
                <w:szCs w:val="21"/>
                <w:lang w:eastAsia="en-US"/>
              </w:rPr>
              <w:t>0704</w:t>
            </w:r>
          </w:p>
        </w:tc>
        <w:tc>
          <w:tcPr>
            <w:tcW w:w="1182" w:type="dxa"/>
            <w:tcBorders>
              <w:tl2br w:val="nil"/>
              <w:tr2bl w:val="nil"/>
            </w:tcBorders>
            <w:shd w:val="clear" w:color="auto" w:fill="auto"/>
            <w:vAlign w:val="center"/>
          </w:tcPr>
          <w:p w14:paraId="262B3AC7">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65983B66">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3006C25">
            <w:pPr>
              <w:widowControl w:val="0"/>
              <w:jc w:val="center"/>
              <w:rPr>
                <w:sz w:val="21"/>
                <w:szCs w:val="21"/>
                <w:lang w:eastAsia="en-US"/>
              </w:rPr>
            </w:pPr>
            <w:r>
              <w:rPr>
                <w:sz w:val="21"/>
                <w:szCs w:val="21"/>
                <w:lang w:eastAsia="en-US"/>
              </w:rPr>
              <w:t>26.62</w:t>
            </w:r>
          </w:p>
        </w:tc>
        <w:tc>
          <w:tcPr>
            <w:tcW w:w="716" w:type="dxa"/>
            <w:tcBorders>
              <w:tl2br w:val="nil"/>
              <w:tr2bl w:val="nil"/>
            </w:tcBorders>
            <w:shd w:val="clear" w:color="auto" w:fill="auto"/>
            <w:vAlign w:val="center"/>
          </w:tcPr>
          <w:p w14:paraId="7243E2C2">
            <w:pPr>
              <w:widowControl w:val="0"/>
              <w:jc w:val="center"/>
              <w:rPr>
                <w:sz w:val="21"/>
                <w:szCs w:val="21"/>
                <w:lang w:eastAsia="en-US"/>
              </w:rPr>
            </w:pPr>
            <w:r>
              <w:rPr>
                <w:sz w:val="21"/>
                <w:szCs w:val="21"/>
                <w:lang w:eastAsia="en-US"/>
              </w:rPr>
              <w:t>达标</w:t>
            </w:r>
          </w:p>
        </w:tc>
      </w:tr>
      <w:tr w14:paraId="2C856865">
        <w:tblPrEx>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974E8E6">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4DAD6CEF">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1D9654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04C166E8">
            <w:pPr>
              <w:widowControl w:val="0"/>
              <w:jc w:val="center"/>
              <w:rPr>
                <w:sz w:val="21"/>
                <w:szCs w:val="21"/>
                <w:lang w:eastAsia="en-US"/>
              </w:rPr>
            </w:pPr>
          </w:p>
        </w:tc>
        <w:tc>
          <w:tcPr>
            <w:tcW w:w="914" w:type="dxa"/>
            <w:tcBorders>
              <w:tl2br w:val="nil"/>
              <w:tr2bl w:val="nil"/>
            </w:tcBorders>
            <w:shd w:val="clear" w:color="auto" w:fill="auto"/>
            <w:vAlign w:val="center"/>
          </w:tcPr>
          <w:p w14:paraId="6E4B9096">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882F97C">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BD31383">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446DF27">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00AE61E">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4CB2AEB3">
            <w:pPr>
              <w:widowControl w:val="0"/>
              <w:jc w:val="center"/>
              <w:rPr>
                <w:sz w:val="21"/>
                <w:szCs w:val="21"/>
                <w:lang w:eastAsia="en-US"/>
              </w:rPr>
            </w:pPr>
            <w:r>
              <w:rPr>
                <w:sz w:val="21"/>
                <w:szCs w:val="21"/>
                <w:lang w:eastAsia="en-US"/>
              </w:rPr>
              <w:t>达标</w:t>
            </w:r>
          </w:p>
        </w:tc>
      </w:tr>
      <w:tr w14:paraId="40934C4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3F4455B8">
            <w:pPr>
              <w:widowControl w:val="0"/>
              <w:jc w:val="center"/>
              <w:rPr>
                <w:sz w:val="21"/>
                <w:szCs w:val="21"/>
                <w:lang w:eastAsia="en-US"/>
              </w:rPr>
            </w:pPr>
            <w:r>
              <w:rPr>
                <w:sz w:val="21"/>
                <w:szCs w:val="21"/>
                <w:lang w:eastAsia="en-US"/>
              </w:rPr>
              <w:t>4</w:t>
            </w:r>
          </w:p>
        </w:tc>
        <w:tc>
          <w:tcPr>
            <w:tcW w:w="1145" w:type="dxa"/>
            <w:vMerge w:val="restart"/>
            <w:tcBorders>
              <w:tl2br w:val="nil"/>
              <w:tr2bl w:val="nil"/>
            </w:tcBorders>
            <w:shd w:val="clear" w:color="auto" w:fill="auto"/>
            <w:vAlign w:val="center"/>
          </w:tcPr>
          <w:p w14:paraId="1BC0CD72">
            <w:pPr>
              <w:widowControl w:val="0"/>
              <w:jc w:val="center"/>
              <w:rPr>
                <w:sz w:val="21"/>
                <w:szCs w:val="21"/>
                <w:lang w:eastAsia="en-US"/>
              </w:rPr>
            </w:pPr>
            <w:r>
              <w:rPr>
                <w:sz w:val="21"/>
                <w:szCs w:val="21"/>
                <w:lang w:eastAsia="en-US"/>
              </w:rPr>
              <w:t>黄莺花苑小区</w:t>
            </w:r>
          </w:p>
        </w:tc>
        <w:tc>
          <w:tcPr>
            <w:tcW w:w="737" w:type="dxa"/>
            <w:vMerge w:val="restart"/>
            <w:tcBorders>
              <w:tl2br w:val="nil"/>
              <w:tr2bl w:val="nil"/>
            </w:tcBorders>
            <w:shd w:val="clear" w:color="auto" w:fill="auto"/>
            <w:vAlign w:val="center"/>
          </w:tcPr>
          <w:p w14:paraId="4F5EFAA7">
            <w:pPr>
              <w:widowControl w:val="0"/>
              <w:jc w:val="center"/>
              <w:rPr>
                <w:sz w:val="21"/>
                <w:szCs w:val="21"/>
                <w:lang w:eastAsia="en-US"/>
              </w:rPr>
            </w:pPr>
            <w:r>
              <w:rPr>
                <w:sz w:val="21"/>
                <w:szCs w:val="21"/>
                <w:lang w:eastAsia="en-US"/>
              </w:rPr>
              <w:t>-</w:t>
            </w:r>
            <w:r>
              <w:rPr>
                <w:rFonts w:hint="eastAsia"/>
                <w:sz w:val="21"/>
                <w:szCs w:val="21"/>
                <w:lang w:eastAsia="en-US"/>
              </w:rPr>
              <w:t>857</w:t>
            </w:r>
          </w:p>
        </w:tc>
        <w:tc>
          <w:tcPr>
            <w:tcW w:w="647" w:type="dxa"/>
            <w:vMerge w:val="restart"/>
            <w:tcBorders>
              <w:tl2br w:val="nil"/>
              <w:tr2bl w:val="nil"/>
            </w:tcBorders>
            <w:shd w:val="clear" w:color="auto" w:fill="auto"/>
            <w:vAlign w:val="center"/>
          </w:tcPr>
          <w:p w14:paraId="0508CBF8">
            <w:pPr>
              <w:widowControl w:val="0"/>
              <w:jc w:val="center"/>
              <w:rPr>
                <w:sz w:val="21"/>
                <w:szCs w:val="21"/>
                <w:lang w:eastAsia="en-US"/>
              </w:rPr>
            </w:pPr>
            <w:r>
              <w:rPr>
                <w:rFonts w:hint="eastAsia"/>
                <w:sz w:val="21"/>
                <w:szCs w:val="21"/>
                <w:lang w:eastAsia="en-US"/>
              </w:rPr>
              <w:t>-507</w:t>
            </w:r>
          </w:p>
        </w:tc>
        <w:tc>
          <w:tcPr>
            <w:tcW w:w="914" w:type="dxa"/>
            <w:tcBorders>
              <w:tl2br w:val="nil"/>
              <w:tr2bl w:val="nil"/>
            </w:tcBorders>
            <w:shd w:val="clear" w:color="auto" w:fill="auto"/>
            <w:vAlign w:val="center"/>
          </w:tcPr>
          <w:p w14:paraId="4C6E927D">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CB56DB5">
            <w:pPr>
              <w:widowControl w:val="0"/>
              <w:jc w:val="center"/>
              <w:rPr>
                <w:sz w:val="21"/>
                <w:szCs w:val="21"/>
                <w:lang w:eastAsia="en-US"/>
              </w:rPr>
            </w:pPr>
            <w:r>
              <w:rPr>
                <w:rFonts w:hint="eastAsia"/>
                <w:sz w:val="21"/>
                <w:szCs w:val="21"/>
                <w:lang w:eastAsia="zh-CN"/>
              </w:rPr>
              <w:t>24</w:t>
            </w:r>
            <w:r>
              <w:rPr>
                <w:sz w:val="21"/>
                <w:szCs w:val="21"/>
                <w:lang w:eastAsia="en-US"/>
              </w:rPr>
              <w:t>052719</w:t>
            </w:r>
          </w:p>
        </w:tc>
        <w:tc>
          <w:tcPr>
            <w:tcW w:w="1182" w:type="dxa"/>
            <w:tcBorders>
              <w:tl2br w:val="nil"/>
              <w:tr2bl w:val="nil"/>
            </w:tcBorders>
            <w:shd w:val="clear" w:color="auto" w:fill="auto"/>
            <w:vAlign w:val="center"/>
          </w:tcPr>
          <w:p w14:paraId="530DC018">
            <w:pPr>
              <w:widowControl w:val="0"/>
              <w:jc w:val="center"/>
              <w:rPr>
                <w:sz w:val="21"/>
                <w:szCs w:val="21"/>
                <w:lang w:eastAsia="en-US"/>
              </w:rPr>
            </w:pPr>
            <w:r>
              <w:rPr>
                <w:sz w:val="21"/>
                <w:szCs w:val="21"/>
                <w:lang w:eastAsia="en-US"/>
              </w:rPr>
              <w:t>0.0012</w:t>
            </w:r>
          </w:p>
        </w:tc>
        <w:tc>
          <w:tcPr>
            <w:tcW w:w="914" w:type="dxa"/>
            <w:tcBorders>
              <w:tl2br w:val="nil"/>
              <w:tr2bl w:val="nil"/>
            </w:tcBorders>
            <w:shd w:val="clear" w:color="auto" w:fill="auto"/>
            <w:vAlign w:val="center"/>
          </w:tcPr>
          <w:p w14:paraId="02F89DAE">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1E348A2">
            <w:pPr>
              <w:widowControl w:val="0"/>
              <w:jc w:val="center"/>
              <w:rPr>
                <w:sz w:val="21"/>
                <w:szCs w:val="21"/>
                <w:lang w:eastAsia="en-US"/>
              </w:rPr>
            </w:pPr>
            <w:r>
              <w:rPr>
                <w:sz w:val="21"/>
                <w:szCs w:val="21"/>
                <w:lang w:eastAsia="en-US"/>
              </w:rPr>
              <w:t>0.58</w:t>
            </w:r>
          </w:p>
        </w:tc>
        <w:tc>
          <w:tcPr>
            <w:tcW w:w="716" w:type="dxa"/>
            <w:tcBorders>
              <w:tl2br w:val="nil"/>
              <w:tr2bl w:val="nil"/>
            </w:tcBorders>
            <w:shd w:val="clear" w:color="auto" w:fill="auto"/>
            <w:vAlign w:val="center"/>
          </w:tcPr>
          <w:p w14:paraId="73A98634">
            <w:pPr>
              <w:widowControl w:val="0"/>
              <w:jc w:val="center"/>
              <w:rPr>
                <w:sz w:val="21"/>
                <w:szCs w:val="21"/>
                <w:lang w:eastAsia="en-US"/>
              </w:rPr>
            </w:pPr>
            <w:r>
              <w:rPr>
                <w:sz w:val="21"/>
                <w:szCs w:val="21"/>
                <w:lang w:eastAsia="en-US"/>
              </w:rPr>
              <w:t>达标</w:t>
            </w:r>
          </w:p>
        </w:tc>
      </w:tr>
      <w:tr w14:paraId="1FA3AC5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766B2F4">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359190A4">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5632E67">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60BCC92E">
            <w:pPr>
              <w:widowControl w:val="0"/>
              <w:jc w:val="center"/>
              <w:rPr>
                <w:sz w:val="21"/>
                <w:szCs w:val="21"/>
                <w:lang w:eastAsia="en-US"/>
              </w:rPr>
            </w:pPr>
          </w:p>
        </w:tc>
        <w:tc>
          <w:tcPr>
            <w:tcW w:w="914" w:type="dxa"/>
            <w:tcBorders>
              <w:tl2br w:val="nil"/>
              <w:tr2bl w:val="nil"/>
            </w:tcBorders>
            <w:shd w:val="clear" w:color="auto" w:fill="auto"/>
            <w:vAlign w:val="center"/>
          </w:tcPr>
          <w:p w14:paraId="37A731FB">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C0A371C">
            <w:pPr>
              <w:widowControl w:val="0"/>
              <w:jc w:val="center"/>
              <w:rPr>
                <w:sz w:val="21"/>
                <w:szCs w:val="21"/>
                <w:lang w:eastAsia="en-US"/>
              </w:rPr>
            </w:pPr>
            <w:r>
              <w:rPr>
                <w:rFonts w:hint="eastAsia"/>
                <w:sz w:val="21"/>
                <w:szCs w:val="21"/>
                <w:lang w:eastAsia="zh-CN"/>
              </w:rPr>
              <w:t>24</w:t>
            </w:r>
            <w:r>
              <w:rPr>
                <w:sz w:val="21"/>
                <w:szCs w:val="21"/>
                <w:lang w:eastAsia="en-US"/>
              </w:rPr>
              <w:t>0527</w:t>
            </w:r>
          </w:p>
        </w:tc>
        <w:tc>
          <w:tcPr>
            <w:tcW w:w="1182" w:type="dxa"/>
            <w:tcBorders>
              <w:tl2br w:val="nil"/>
              <w:tr2bl w:val="nil"/>
            </w:tcBorders>
            <w:shd w:val="clear" w:color="auto" w:fill="auto"/>
            <w:vAlign w:val="center"/>
          </w:tcPr>
          <w:p w14:paraId="1D750689">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174A14CB">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F9AD5E8">
            <w:pPr>
              <w:widowControl w:val="0"/>
              <w:jc w:val="center"/>
              <w:rPr>
                <w:sz w:val="21"/>
                <w:szCs w:val="21"/>
                <w:lang w:eastAsia="en-US"/>
              </w:rPr>
            </w:pPr>
            <w:r>
              <w:rPr>
                <w:sz w:val="21"/>
                <w:szCs w:val="21"/>
                <w:lang w:eastAsia="en-US"/>
              </w:rPr>
              <w:t>26.59</w:t>
            </w:r>
          </w:p>
        </w:tc>
        <w:tc>
          <w:tcPr>
            <w:tcW w:w="716" w:type="dxa"/>
            <w:tcBorders>
              <w:tl2br w:val="nil"/>
              <w:tr2bl w:val="nil"/>
            </w:tcBorders>
            <w:shd w:val="clear" w:color="auto" w:fill="auto"/>
            <w:vAlign w:val="center"/>
          </w:tcPr>
          <w:p w14:paraId="679A18D8">
            <w:pPr>
              <w:widowControl w:val="0"/>
              <w:jc w:val="center"/>
              <w:rPr>
                <w:sz w:val="21"/>
                <w:szCs w:val="21"/>
                <w:lang w:eastAsia="en-US"/>
              </w:rPr>
            </w:pPr>
            <w:r>
              <w:rPr>
                <w:sz w:val="21"/>
                <w:szCs w:val="21"/>
                <w:lang w:eastAsia="en-US"/>
              </w:rPr>
              <w:t>达标</w:t>
            </w:r>
          </w:p>
        </w:tc>
      </w:tr>
      <w:tr w14:paraId="0032009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206352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0BAE7A12">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01785C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1EE9E4D7">
            <w:pPr>
              <w:widowControl w:val="0"/>
              <w:jc w:val="center"/>
              <w:rPr>
                <w:sz w:val="21"/>
                <w:szCs w:val="21"/>
                <w:lang w:eastAsia="en-US"/>
              </w:rPr>
            </w:pPr>
          </w:p>
        </w:tc>
        <w:tc>
          <w:tcPr>
            <w:tcW w:w="914" w:type="dxa"/>
            <w:tcBorders>
              <w:tl2br w:val="nil"/>
              <w:tr2bl w:val="nil"/>
            </w:tcBorders>
            <w:shd w:val="clear" w:color="auto" w:fill="auto"/>
            <w:vAlign w:val="center"/>
          </w:tcPr>
          <w:p w14:paraId="5CB6CE8D">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26ABD77">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B61D32B">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A58E6CC">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42D5199">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25EF6410">
            <w:pPr>
              <w:widowControl w:val="0"/>
              <w:jc w:val="center"/>
              <w:rPr>
                <w:sz w:val="21"/>
                <w:szCs w:val="21"/>
                <w:lang w:eastAsia="en-US"/>
              </w:rPr>
            </w:pPr>
            <w:r>
              <w:rPr>
                <w:sz w:val="21"/>
                <w:szCs w:val="21"/>
                <w:lang w:eastAsia="en-US"/>
              </w:rPr>
              <w:t>达标</w:t>
            </w:r>
          </w:p>
        </w:tc>
      </w:tr>
      <w:tr w14:paraId="4F5271F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0EF5495D">
            <w:pPr>
              <w:widowControl w:val="0"/>
              <w:jc w:val="center"/>
              <w:rPr>
                <w:sz w:val="21"/>
                <w:szCs w:val="21"/>
                <w:lang w:eastAsia="en-US"/>
              </w:rPr>
            </w:pPr>
            <w:r>
              <w:rPr>
                <w:sz w:val="21"/>
                <w:szCs w:val="21"/>
                <w:lang w:eastAsia="en-US"/>
              </w:rPr>
              <w:t>5</w:t>
            </w:r>
          </w:p>
        </w:tc>
        <w:tc>
          <w:tcPr>
            <w:tcW w:w="1145" w:type="dxa"/>
            <w:vMerge w:val="restart"/>
            <w:tcBorders>
              <w:tl2br w:val="nil"/>
              <w:tr2bl w:val="nil"/>
            </w:tcBorders>
            <w:shd w:val="clear" w:color="auto" w:fill="auto"/>
            <w:vAlign w:val="center"/>
          </w:tcPr>
          <w:p w14:paraId="269FC5DE">
            <w:pPr>
              <w:widowControl w:val="0"/>
              <w:jc w:val="center"/>
              <w:rPr>
                <w:sz w:val="21"/>
                <w:szCs w:val="21"/>
                <w:lang w:eastAsia="en-US"/>
              </w:rPr>
            </w:pPr>
            <w:r>
              <w:rPr>
                <w:sz w:val="21"/>
                <w:szCs w:val="21"/>
                <w:lang w:eastAsia="en-US"/>
              </w:rPr>
              <w:t>城南御花园小区</w:t>
            </w:r>
          </w:p>
        </w:tc>
        <w:tc>
          <w:tcPr>
            <w:tcW w:w="737" w:type="dxa"/>
            <w:vMerge w:val="restart"/>
            <w:tcBorders>
              <w:tl2br w:val="nil"/>
              <w:tr2bl w:val="nil"/>
            </w:tcBorders>
            <w:shd w:val="clear" w:color="auto" w:fill="auto"/>
            <w:vAlign w:val="center"/>
          </w:tcPr>
          <w:p w14:paraId="4C32C3CC">
            <w:pPr>
              <w:widowControl w:val="0"/>
              <w:jc w:val="center"/>
              <w:rPr>
                <w:sz w:val="21"/>
                <w:szCs w:val="21"/>
                <w:lang w:eastAsia="en-US"/>
              </w:rPr>
            </w:pPr>
            <w:r>
              <w:rPr>
                <w:rFonts w:hint="eastAsia"/>
                <w:sz w:val="21"/>
                <w:szCs w:val="21"/>
                <w:lang w:eastAsia="en-US"/>
              </w:rPr>
              <w:t>-900</w:t>
            </w:r>
          </w:p>
        </w:tc>
        <w:tc>
          <w:tcPr>
            <w:tcW w:w="647" w:type="dxa"/>
            <w:vMerge w:val="restart"/>
            <w:tcBorders>
              <w:tl2br w:val="nil"/>
              <w:tr2bl w:val="nil"/>
            </w:tcBorders>
            <w:shd w:val="clear" w:color="auto" w:fill="auto"/>
            <w:vAlign w:val="center"/>
          </w:tcPr>
          <w:p w14:paraId="051C34E4">
            <w:pPr>
              <w:widowControl w:val="0"/>
              <w:jc w:val="center"/>
              <w:rPr>
                <w:sz w:val="21"/>
                <w:szCs w:val="21"/>
                <w:lang w:eastAsia="en-US"/>
              </w:rPr>
            </w:pPr>
            <w:r>
              <w:rPr>
                <w:sz w:val="21"/>
                <w:szCs w:val="21"/>
                <w:lang w:eastAsia="en-US"/>
              </w:rPr>
              <w:t>-</w:t>
            </w:r>
            <w:r>
              <w:rPr>
                <w:rFonts w:hint="eastAsia"/>
                <w:sz w:val="21"/>
                <w:szCs w:val="21"/>
                <w:lang w:eastAsia="en-US"/>
              </w:rPr>
              <w:t>684</w:t>
            </w:r>
          </w:p>
        </w:tc>
        <w:tc>
          <w:tcPr>
            <w:tcW w:w="914" w:type="dxa"/>
            <w:tcBorders>
              <w:tl2br w:val="nil"/>
              <w:tr2bl w:val="nil"/>
            </w:tcBorders>
            <w:shd w:val="clear" w:color="auto" w:fill="auto"/>
            <w:vAlign w:val="center"/>
          </w:tcPr>
          <w:p w14:paraId="03B0F3DE">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8FD5017">
            <w:pPr>
              <w:widowControl w:val="0"/>
              <w:jc w:val="center"/>
              <w:rPr>
                <w:rFonts w:hint="eastAsia"/>
                <w:sz w:val="21"/>
                <w:szCs w:val="21"/>
                <w:lang w:eastAsia="zh-CN"/>
              </w:rPr>
            </w:pPr>
            <w:r>
              <w:rPr>
                <w:rFonts w:hint="eastAsia"/>
                <w:sz w:val="21"/>
                <w:szCs w:val="21"/>
                <w:lang w:eastAsia="zh-CN"/>
              </w:rPr>
              <w:t>24</w:t>
            </w:r>
            <w:r>
              <w:rPr>
                <w:sz w:val="21"/>
                <w:szCs w:val="21"/>
                <w:lang w:eastAsia="en-US"/>
              </w:rPr>
              <w:t>0703</w:t>
            </w:r>
            <w:r>
              <w:rPr>
                <w:rFonts w:hint="eastAsia"/>
                <w:sz w:val="21"/>
                <w:szCs w:val="21"/>
                <w:lang w:eastAsia="zh-CN"/>
              </w:rPr>
              <w:t>24</w:t>
            </w:r>
          </w:p>
        </w:tc>
        <w:tc>
          <w:tcPr>
            <w:tcW w:w="1182" w:type="dxa"/>
            <w:tcBorders>
              <w:tl2br w:val="nil"/>
              <w:tr2bl w:val="nil"/>
            </w:tcBorders>
            <w:shd w:val="clear" w:color="auto" w:fill="auto"/>
            <w:vAlign w:val="center"/>
          </w:tcPr>
          <w:p w14:paraId="3DB631FD">
            <w:pPr>
              <w:widowControl w:val="0"/>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6C16A009">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B5D83A8">
            <w:pPr>
              <w:widowControl w:val="0"/>
              <w:jc w:val="center"/>
              <w:rPr>
                <w:sz w:val="21"/>
                <w:szCs w:val="21"/>
                <w:lang w:eastAsia="en-US"/>
              </w:rPr>
            </w:pPr>
            <w:r>
              <w:rPr>
                <w:sz w:val="21"/>
                <w:szCs w:val="21"/>
                <w:lang w:eastAsia="en-US"/>
              </w:rPr>
              <w:t>0.35</w:t>
            </w:r>
          </w:p>
        </w:tc>
        <w:tc>
          <w:tcPr>
            <w:tcW w:w="716" w:type="dxa"/>
            <w:tcBorders>
              <w:tl2br w:val="nil"/>
              <w:tr2bl w:val="nil"/>
            </w:tcBorders>
            <w:shd w:val="clear" w:color="auto" w:fill="auto"/>
            <w:vAlign w:val="center"/>
          </w:tcPr>
          <w:p w14:paraId="40534769">
            <w:pPr>
              <w:widowControl w:val="0"/>
              <w:jc w:val="center"/>
              <w:rPr>
                <w:sz w:val="21"/>
                <w:szCs w:val="21"/>
                <w:lang w:eastAsia="en-US"/>
              </w:rPr>
            </w:pPr>
            <w:r>
              <w:rPr>
                <w:sz w:val="21"/>
                <w:szCs w:val="21"/>
                <w:lang w:eastAsia="en-US"/>
              </w:rPr>
              <w:t>达标</w:t>
            </w:r>
          </w:p>
        </w:tc>
      </w:tr>
      <w:tr w14:paraId="2302A0A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0009DAD">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1437F9B0">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5CB49409">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6EC8FD9C">
            <w:pPr>
              <w:widowControl w:val="0"/>
              <w:jc w:val="center"/>
              <w:rPr>
                <w:sz w:val="21"/>
                <w:szCs w:val="21"/>
                <w:lang w:eastAsia="en-US"/>
              </w:rPr>
            </w:pPr>
          </w:p>
        </w:tc>
        <w:tc>
          <w:tcPr>
            <w:tcW w:w="914" w:type="dxa"/>
            <w:tcBorders>
              <w:tl2br w:val="nil"/>
              <w:tr2bl w:val="nil"/>
            </w:tcBorders>
            <w:shd w:val="clear" w:color="auto" w:fill="auto"/>
            <w:vAlign w:val="center"/>
          </w:tcPr>
          <w:p w14:paraId="2F8A0890">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17FC091">
            <w:pPr>
              <w:widowControl w:val="0"/>
              <w:jc w:val="center"/>
              <w:rPr>
                <w:sz w:val="21"/>
                <w:szCs w:val="21"/>
                <w:lang w:eastAsia="en-US"/>
              </w:rPr>
            </w:pPr>
            <w:r>
              <w:rPr>
                <w:rFonts w:hint="eastAsia"/>
                <w:sz w:val="21"/>
                <w:szCs w:val="21"/>
                <w:lang w:eastAsia="zh-CN"/>
              </w:rPr>
              <w:t>24</w:t>
            </w:r>
            <w:r>
              <w:rPr>
                <w:sz w:val="21"/>
                <w:szCs w:val="21"/>
                <w:lang w:eastAsia="en-US"/>
              </w:rPr>
              <w:t>0702</w:t>
            </w:r>
          </w:p>
        </w:tc>
        <w:tc>
          <w:tcPr>
            <w:tcW w:w="1182" w:type="dxa"/>
            <w:tcBorders>
              <w:tl2br w:val="nil"/>
              <w:tr2bl w:val="nil"/>
            </w:tcBorders>
            <w:shd w:val="clear" w:color="auto" w:fill="auto"/>
            <w:vAlign w:val="center"/>
          </w:tcPr>
          <w:p w14:paraId="68315DD6">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194F7447">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288BDD3B">
            <w:pPr>
              <w:widowControl w:val="0"/>
              <w:jc w:val="center"/>
              <w:rPr>
                <w:sz w:val="21"/>
                <w:szCs w:val="21"/>
                <w:lang w:eastAsia="en-US"/>
              </w:rPr>
            </w:pPr>
            <w:r>
              <w:rPr>
                <w:sz w:val="21"/>
                <w:szCs w:val="21"/>
                <w:lang w:eastAsia="en-US"/>
              </w:rPr>
              <w:t>26.57</w:t>
            </w:r>
          </w:p>
        </w:tc>
        <w:tc>
          <w:tcPr>
            <w:tcW w:w="716" w:type="dxa"/>
            <w:tcBorders>
              <w:tl2br w:val="nil"/>
              <w:tr2bl w:val="nil"/>
            </w:tcBorders>
            <w:shd w:val="clear" w:color="auto" w:fill="auto"/>
            <w:vAlign w:val="center"/>
          </w:tcPr>
          <w:p w14:paraId="1B4B0155">
            <w:pPr>
              <w:widowControl w:val="0"/>
              <w:jc w:val="center"/>
              <w:rPr>
                <w:sz w:val="21"/>
                <w:szCs w:val="21"/>
                <w:lang w:eastAsia="en-US"/>
              </w:rPr>
            </w:pPr>
            <w:r>
              <w:rPr>
                <w:sz w:val="21"/>
                <w:szCs w:val="21"/>
                <w:lang w:eastAsia="en-US"/>
              </w:rPr>
              <w:t>达标</w:t>
            </w:r>
          </w:p>
        </w:tc>
      </w:tr>
      <w:tr w14:paraId="6095FF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59B6BD61">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38E0B6E3">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C5928CC">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716EF25">
            <w:pPr>
              <w:widowControl w:val="0"/>
              <w:jc w:val="center"/>
              <w:rPr>
                <w:sz w:val="21"/>
                <w:szCs w:val="21"/>
                <w:lang w:eastAsia="en-US"/>
              </w:rPr>
            </w:pPr>
          </w:p>
        </w:tc>
        <w:tc>
          <w:tcPr>
            <w:tcW w:w="914" w:type="dxa"/>
            <w:tcBorders>
              <w:tl2br w:val="nil"/>
              <w:tr2bl w:val="nil"/>
            </w:tcBorders>
            <w:shd w:val="clear" w:color="auto" w:fill="auto"/>
            <w:vAlign w:val="center"/>
          </w:tcPr>
          <w:p w14:paraId="379BCFDD">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4AB70C3">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796F209">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B65592B">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EBFB401">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52D0BAC4">
            <w:pPr>
              <w:widowControl w:val="0"/>
              <w:jc w:val="center"/>
              <w:rPr>
                <w:sz w:val="21"/>
                <w:szCs w:val="21"/>
                <w:lang w:eastAsia="en-US"/>
              </w:rPr>
            </w:pPr>
            <w:r>
              <w:rPr>
                <w:sz w:val="21"/>
                <w:szCs w:val="21"/>
                <w:lang w:eastAsia="en-US"/>
              </w:rPr>
              <w:t>达标</w:t>
            </w:r>
          </w:p>
        </w:tc>
      </w:tr>
      <w:tr w14:paraId="22F2E96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432E138C">
            <w:pPr>
              <w:widowControl w:val="0"/>
              <w:jc w:val="center"/>
              <w:rPr>
                <w:sz w:val="21"/>
                <w:szCs w:val="21"/>
                <w:lang w:eastAsia="en-US"/>
              </w:rPr>
            </w:pPr>
            <w:r>
              <w:rPr>
                <w:sz w:val="21"/>
                <w:szCs w:val="21"/>
                <w:lang w:eastAsia="en-US"/>
              </w:rPr>
              <w:t>6</w:t>
            </w:r>
          </w:p>
        </w:tc>
        <w:tc>
          <w:tcPr>
            <w:tcW w:w="1145" w:type="dxa"/>
            <w:vMerge w:val="restart"/>
            <w:tcBorders>
              <w:tl2br w:val="nil"/>
              <w:tr2bl w:val="nil"/>
            </w:tcBorders>
            <w:shd w:val="clear" w:color="auto" w:fill="auto"/>
            <w:vAlign w:val="center"/>
          </w:tcPr>
          <w:p w14:paraId="7877A42A">
            <w:pPr>
              <w:widowControl w:val="0"/>
              <w:jc w:val="center"/>
              <w:rPr>
                <w:sz w:val="21"/>
                <w:szCs w:val="21"/>
                <w:lang w:eastAsia="en-US"/>
              </w:rPr>
            </w:pPr>
            <w:r>
              <w:rPr>
                <w:sz w:val="21"/>
                <w:szCs w:val="21"/>
                <w:lang w:eastAsia="en-US"/>
              </w:rPr>
              <w:t>润玉时代城小区</w:t>
            </w:r>
          </w:p>
        </w:tc>
        <w:tc>
          <w:tcPr>
            <w:tcW w:w="737" w:type="dxa"/>
            <w:vMerge w:val="restart"/>
            <w:tcBorders>
              <w:tl2br w:val="nil"/>
              <w:tr2bl w:val="nil"/>
            </w:tcBorders>
            <w:shd w:val="clear" w:color="auto" w:fill="auto"/>
            <w:vAlign w:val="center"/>
          </w:tcPr>
          <w:p w14:paraId="67B03F09">
            <w:pPr>
              <w:widowControl w:val="0"/>
              <w:jc w:val="center"/>
              <w:rPr>
                <w:sz w:val="21"/>
                <w:szCs w:val="21"/>
                <w:lang w:eastAsia="en-US"/>
              </w:rPr>
            </w:pPr>
            <w:r>
              <w:rPr>
                <w:rFonts w:hint="eastAsia"/>
                <w:sz w:val="21"/>
                <w:szCs w:val="21"/>
                <w:lang w:eastAsia="en-US"/>
              </w:rPr>
              <w:t>-1306</w:t>
            </w:r>
          </w:p>
        </w:tc>
        <w:tc>
          <w:tcPr>
            <w:tcW w:w="647" w:type="dxa"/>
            <w:vMerge w:val="restart"/>
            <w:tcBorders>
              <w:tl2br w:val="nil"/>
              <w:tr2bl w:val="nil"/>
            </w:tcBorders>
            <w:shd w:val="clear" w:color="auto" w:fill="auto"/>
            <w:vAlign w:val="center"/>
          </w:tcPr>
          <w:p w14:paraId="583AC3D4">
            <w:pPr>
              <w:widowControl w:val="0"/>
              <w:jc w:val="center"/>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4" w:type="dxa"/>
            <w:tcBorders>
              <w:tl2br w:val="nil"/>
              <w:tr2bl w:val="nil"/>
            </w:tcBorders>
            <w:shd w:val="clear" w:color="auto" w:fill="auto"/>
            <w:vAlign w:val="center"/>
          </w:tcPr>
          <w:p w14:paraId="7D224438">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97D9DF3">
            <w:pPr>
              <w:widowControl w:val="0"/>
              <w:jc w:val="center"/>
              <w:rPr>
                <w:sz w:val="21"/>
                <w:szCs w:val="21"/>
                <w:lang w:eastAsia="en-US"/>
              </w:rPr>
            </w:pPr>
            <w:r>
              <w:rPr>
                <w:rFonts w:hint="eastAsia"/>
                <w:sz w:val="21"/>
                <w:szCs w:val="21"/>
                <w:lang w:eastAsia="zh-CN"/>
              </w:rPr>
              <w:t>24</w:t>
            </w:r>
            <w:r>
              <w:rPr>
                <w:sz w:val="21"/>
                <w:szCs w:val="21"/>
                <w:lang w:eastAsia="en-US"/>
              </w:rPr>
              <w:t>032508</w:t>
            </w:r>
          </w:p>
        </w:tc>
        <w:tc>
          <w:tcPr>
            <w:tcW w:w="1182" w:type="dxa"/>
            <w:tcBorders>
              <w:tl2br w:val="nil"/>
              <w:tr2bl w:val="nil"/>
            </w:tcBorders>
            <w:shd w:val="clear" w:color="auto" w:fill="auto"/>
            <w:vAlign w:val="center"/>
          </w:tcPr>
          <w:p w14:paraId="34D3DCBC">
            <w:pPr>
              <w:widowControl w:val="0"/>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293704EF">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BB14BC0">
            <w:pPr>
              <w:widowControl w:val="0"/>
              <w:jc w:val="center"/>
              <w:rPr>
                <w:sz w:val="21"/>
                <w:szCs w:val="21"/>
                <w:lang w:eastAsia="en-US"/>
              </w:rPr>
            </w:pPr>
            <w:r>
              <w:rPr>
                <w:sz w:val="21"/>
                <w:szCs w:val="21"/>
                <w:lang w:eastAsia="en-US"/>
              </w:rPr>
              <w:t>0.35</w:t>
            </w:r>
          </w:p>
        </w:tc>
        <w:tc>
          <w:tcPr>
            <w:tcW w:w="716" w:type="dxa"/>
            <w:tcBorders>
              <w:tl2br w:val="nil"/>
              <w:tr2bl w:val="nil"/>
            </w:tcBorders>
            <w:shd w:val="clear" w:color="auto" w:fill="auto"/>
            <w:vAlign w:val="center"/>
          </w:tcPr>
          <w:p w14:paraId="08D39C4E">
            <w:pPr>
              <w:widowControl w:val="0"/>
              <w:jc w:val="center"/>
              <w:rPr>
                <w:sz w:val="21"/>
                <w:szCs w:val="21"/>
                <w:lang w:eastAsia="en-US"/>
              </w:rPr>
            </w:pPr>
            <w:r>
              <w:rPr>
                <w:sz w:val="21"/>
                <w:szCs w:val="21"/>
                <w:lang w:eastAsia="en-US"/>
              </w:rPr>
              <w:t>达标</w:t>
            </w:r>
          </w:p>
        </w:tc>
      </w:tr>
      <w:tr w14:paraId="5392BC7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557804DE">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4008EE69">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287F02A">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D821300">
            <w:pPr>
              <w:widowControl w:val="0"/>
              <w:jc w:val="center"/>
              <w:rPr>
                <w:sz w:val="21"/>
                <w:szCs w:val="21"/>
                <w:lang w:eastAsia="en-US"/>
              </w:rPr>
            </w:pPr>
          </w:p>
        </w:tc>
        <w:tc>
          <w:tcPr>
            <w:tcW w:w="914" w:type="dxa"/>
            <w:tcBorders>
              <w:tl2br w:val="nil"/>
              <w:tr2bl w:val="nil"/>
            </w:tcBorders>
            <w:shd w:val="clear" w:color="auto" w:fill="auto"/>
            <w:vAlign w:val="center"/>
          </w:tcPr>
          <w:p w14:paraId="06337E6E">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D0A58AB">
            <w:pPr>
              <w:widowControl w:val="0"/>
              <w:jc w:val="center"/>
              <w:rPr>
                <w:sz w:val="21"/>
                <w:szCs w:val="21"/>
                <w:lang w:eastAsia="en-US"/>
              </w:rPr>
            </w:pPr>
            <w:r>
              <w:rPr>
                <w:rFonts w:hint="eastAsia"/>
                <w:sz w:val="21"/>
                <w:szCs w:val="21"/>
                <w:lang w:eastAsia="zh-CN"/>
              </w:rPr>
              <w:t>24</w:t>
            </w:r>
            <w:r>
              <w:rPr>
                <w:sz w:val="21"/>
                <w:szCs w:val="21"/>
                <w:lang w:eastAsia="en-US"/>
              </w:rPr>
              <w:t>0704</w:t>
            </w:r>
          </w:p>
        </w:tc>
        <w:tc>
          <w:tcPr>
            <w:tcW w:w="1182" w:type="dxa"/>
            <w:tcBorders>
              <w:tl2br w:val="nil"/>
              <w:tr2bl w:val="nil"/>
            </w:tcBorders>
            <w:shd w:val="clear" w:color="auto" w:fill="auto"/>
            <w:vAlign w:val="center"/>
          </w:tcPr>
          <w:p w14:paraId="129C3243">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52C8C811">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0D1A0F5F">
            <w:pPr>
              <w:widowControl w:val="0"/>
              <w:jc w:val="center"/>
              <w:rPr>
                <w:sz w:val="21"/>
                <w:szCs w:val="21"/>
                <w:lang w:eastAsia="en-US"/>
              </w:rPr>
            </w:pPr>
            <w:r>
              <w:rPr>
                <w:sz w:val="21"/>
                <w:szCs w:val="21"/>
                <w:lang w:eastAsia="en-US"/>
              </w:rPr>
              <w:t>26.56</w:t>
            </w:r>
          </w:p>
        </w:tc>
        <w:tc>
          <w:tcPr>
            <w:tcW w:w="716" w:type="dxa"/>
            <w:tcBorders>
              <w:tl2br w:val="nil"/>
              <w:tr2bl w:val="nil"/>
            </w:tcBorders>
            <w:shd w:val="clear" w:color="auto" w:fill="auto"/>
            <w:vAlign w:val="center"/>
          </w:tcPr>
          <w:p w14:paraId="481E59B4">
            <w:pPr>
              <w:widowControl w:val="0"/>
              <w:jc w:val="center"/>
              <w:rPr>
                <w:sz w:val="21"/>
                <w:szCs w:val="21"/>
                <w:lang w:eastAsia="en-US"/>
              </w:rPr>
            </w:pPr>
            <w:r>
              <w:rPr>
                <w:sz w:val="21"/>
                <w:szCs w:val="21"/>
                <w:lang w:eastAsia="en-US"/>
              </w:rPr>
              <w:t>达标</w:t>
            </w:r>
          </w:p>
        </w:tc>
      </w:tr>
      <w:tr w14:paraId="72B6326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263CF7D">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0A45219D">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E069EC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44A01997">
            <w:pPr>
              <w:widowControl w:val="0"/>
              <w:jc w:val="center"/>
              <w:rPr>
                <w:sz w:val="21"/>
                <w:szCs w:val="21"/>
                <w:lang w:eastAsia="en-US"/>
              </w:rPr>
            </w:pPr>
          </w:p>
        </w:tc>
        <w:tc>
          <w:tcPr>
            <w:tcW w:w="914" w:type="dxa"/>
            <w:tcBorders>
              <w:tl2br w:val="nil"/>
              <w:tr2bl w:val="nil"/>
            </w:tcBorders>
            <w:shd w:val="clear" w:color="auto" w:fill="auto"/>
            <w:vAlign w:val="center"/>
          </w:tcPr>
          <w:p w14:paraId="4B9EBBE6">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2BCBADD">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E4E4A5A">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D230945">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0C605555">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038C5F5B">
            <w:pPr>
              <w:widowControl w:val="0"/>
              <w:jc w:val="center"/>
              <w:rPr>
                <w:sz w:val="21"/>
                <w:szCs w:val="21"/>
                <w:lang w:eastAsia="en-US"/>
              </w:rPr>
            </w:pPr>
            <w:r>
              <w:rPr>
                <w:sz w:val="21"/>
                <w:szCs w:val="21"/>
                <w:lang w:eastAsia="en-US"/>
              </w:rPr>
              <w:t>达标</w:t>
            </w:r>
          </w:p>
        </w:tc>
      </w:tr>
      <w:tr w14:paraId="5DEBDE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1FEDED32">
            <w:pPr>
              <w:widowControl w:val="0"/>
              <w:jc w:val="center"/>
              <w:rPr>
                <w:sz w:val="21"/>
                <w:szCs w:val="21"/>
                <w:lang w:eastAsia="en-US"/>
              </w:rPr>
            </w:pPr>
            <w:r>
              <w:rPr>
                <w:sz w:val="21"/>
                <w:szCs w:val="21"/>
                <w:lang w:eastAsia="en-US"/>
              </w:rPr>
              <w:t>7</w:t>
            </w:r>
          </w:p>
        </w:tc>
        <w:tc>
          <w:tcPr>
            <w:tcW w:w="1145" w:type="dxa"/>
            <w:vMerge w:val="restart"/>
            <w:tcBorders>
              <w:tl2br w:val="nil"/>
              <w:tr2bl w:val="nil"/>
            </w:tcBorders>
            <w:shd w:val="clear" w:color="auto" w:fill="auto"/>
            <w:vAlign w:val="center"/>
          </w:tcPr>
          <w:p w14:paraId="185B0E19">
            <w:pPr>
              <w:widowControl w:val="0"/>
              <w:jc w:val="center"/>
              <w:rPr>
                <w:sz w:val="21"/>
                <w:szCs w:val="21"/>
                <w:lang w:eastAsia="en-US"/>
              </w:rPr>
            </w:pPr>
            <w:r>
              <w:rPr>
                <w:sz w:val="21"/>
                <w:szCs w:val="21"/>
                <w:lang w:eastAsia="en-US"/>
              </w:rPr>
              <w:t>山塘学校</w:t>
            </w:r>
          </w:p>
        </w:tc>
        <w:tc>
          <w:tcPr>
            <w:tcW w:w="737" w:type="dxa"/>
            <w:vMerge w:val="restart"/>
            <w:tcBorders>
              <w:tl2br w:val="nil"/>
              <w:tr2bl w:val="nil"/>
            </w:tcBorders>
            <w:shd w:val="clear" w:color="auto" w:fill="auto"/>
            <w:vAlign w:val="center"/>
          </w:tcPr>
          <w:p w14:paraId="0619F160">
            <w:pPr>
              <w:widowControl w:val="0"/>
              <w:jc w:val="center"/>
              <w:rPr>
                <w:sz w:val="21"/>
                <w:szCs w:val="21"/>
                <w:lang w:eastAsia="en-US"/>
              </w:rPr>
            </w:pPr>
            <w:r>
              <w:rPr>
                <w:sz w:val="21"/>
                <w:szCs w:val="21"/>
                <w:lang w:eastAsia="en-US"/>
              </w:rPr>
              <w:t>-</w:t>
            </w:r>
            <w:r>
              <w:rPr>
                <w:rFonts w:hint="eastAsia"/>
                <w:sz w:val="21"/>
                <w:szCs w:val="21"/>
                <w:lang w:eastAsia="en-US"/>
              </w:rPr>
              <w:t>1230</w:t>
            </w:r>
          </w:p>
        </w:tc>
        <w:tc>
          <w:tcPr>
            <w:tcW w:w="647" w:type="dxa"/>
            <w:vMerge w:val="restart"/>
            <w:tcBorders>
              <w:tl2br w:val="nil"/>
              <w:tr2bl w:val="nil"/>
            </w:tcBorders>
            <w:shd w:val="clear" w:color="auto" w:fill="auto"/>
            <w:vAlign w:val="center"/>
          </w:tcPr>
          <w:p w14:paraId="0A8EC1F1">
            <w:pPr>
              <w:widowControl w:val="0"/>
              <w:jc w:val="center"/>
              <w:rPr>
                <w:sz w:val="21"/>
                <w:szCs w:val="21"/>
                <w:lang w:eastAsia="en-US"/>
              </w:rPr>
            </w:pPr>
            <w:r>
              <w:rPr>
                <w:sz w:val="21"/>
                <w:szCs w:val="21"/>
                <w:lang w:eastAsia="en-US"/>
              </w:rPr>
              <w:t>-</w:t>
            </w:r>
            <w:r>
              <w:rPr>
                <w:rFonts w:hint="eastAsia"/>
                <w:sz w:val="21"/>
                <w:szCs w:val="21"/>
                <w:lang w:eastAsia="en-US"/>
              </w:rPr>
              <w:t>525</w:t>
            </w:r>
          </w:p>
        </w:tc>
        <w:tc>
          <w:tcPr>
            <w:tcW w:w="914" w:type="dxa"/>
            <w:tcBorders>
              <w:tl2br w:val="nil"/>
              <w:tr2bl w:val="nil"/>
            </w:tcBorders>
            <w:shd w:val="clear" w:color="auto" w:fill="auto"/>
            <w:vAlign w:val="center"/>
          </w:tcPr>
          <w:p w14:paraId="5EE5CC27">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2005529">
            <w:pPr>
              <w:widowControl w:val="0"/>
              <w:jc w:val="center"/>
              <w:rPr>
                <w:rFonts w:hint="eastAsia"/>
                <w:sz w:val="21"/>
                <w:szCs w:val="21"/>
                <w:lang w:eastAsia="zh-CN"/>
              </w:rPr>
            </w:pPr>
            <w:r>
              <w:rPr>
                <w:rFonts w:hint="eastAsia"/>
                <w:sz w:val="21"/>
                <w:szCs w:val="21"/>
                <w:lang w:eastAsia="zh-CN"/>
              </w:rPr>
              <w:t>24</w:t>
            </w:r>
            <w:r>
              <w:rPr>
                <w:sz w:val="21"/>
                <w:szCs w:val="21"/>
                <w:lang w:eastAsia="en-US"/>
              </w:rPr>
              <w:t>0703</w:t>
            </w:r>
            <w:r>
              <w:rPr>
                <w:rFonts w:hint="eastAsia"/>
                <w:sz w:val="21"/>
                <w:szCs w:val="21"/>
                <w:lang w:eastAsia="zh-CN"/>
              </w:rPr>
              <w:t>24</w:t>
            </w:r>
          </w:p>
        </w:tc>
        <w:tc>
          <w:tcPr>
            <w:tcW w:w="1182" w:type="dxa"/>
            <w:tcBorders>
              <w:tl2br w:val="nil"/>
              <w:tr2bl w:val="nil"/>
            </w:tcBorders>
            <w:shd w:val="clear" w:color="auto" w:fill="auto"/>
            <w:vAlign w:val="center"/>
          </w:tcPr>
          <w:p w14:paraId="561AA535">
            <w:pPr>
              <w:widowControl w:val="0"/>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647CFB5C">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1E170C6">
            <w:pPr>
              <w:widowControl w:val="0"/>
              <w:jc w:val="center"/>
              <w:rPr>
                <w:sz w:val="21"/>
                <w:szCs w:val="21"/>
                <w:lang w:eastAsia="en-US"/>
              </w:rPr>
            </w:pPr>
            <w:r>
              <w:rPr>
                <w:sz w:val="21"/>
                <w:szCs w:val="21"/>
                <w:lang w:eastAsia="en-US"/>
              </w:rPr>
              <w:t>0.32</w:t>
            </w:r>
          </w:p>
        </w:tc>
        <w:tc>
          <w:tcPr>
            <w:tcW w:w="716" w:type="dxa"/>
            <w:tcBorders>
              <w:tl2br w:val="nil"/>
              <w:tr2bl w:val="nil"/>
            </w:tcBorders>
            <w:shd w:val="clear" w:color="auto" w:fill="auto"/>
            <w:vAlign w:val="center"/>
          </w:tcPr>
          <w:p w14:paraId="3DB4CAAC">
            <w:pPr>
              <w:widowControl w:val="0"/>
              <w:jc w:val="center"/>
              <w:rPr>
                <w:sz w:val="21"/>
                <w:szCs w:val="21"/>
                <w:lang w:eastAsia="en-US"/>
              </w:rPr>
            </w:pPr>
            <w:r>
              <w:rPr>
                <w:sz w:val="21"/>
                <w:szCs w:val="21"/>
                <w:lang w:eastAsia="en-US"/>
              </w:rPr>
              <w:t>达标</w:t>
            </w:r>
          </w:p>
        </w:tc>
      </w:tr>
      <w:tr w14:paraId="34F6DC6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251617F">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6186DAAA">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5C4E5CA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D696B95">
            <w:pPr>
              <w:widowControl w:val="0"/>
              <w:jc w:val="center"/>
              <w:rPr>
                <w:sz w:val="21"/>
                <w:szCs w:val="21"/>
                <w:lang w:eastAsia="en-US"/>
              </w:rPr>
            </w:pPr>
          </w:p>
        </w:tc>
        <w:tc>
          <w:tcPr>
            <w:tcW w:w="914" w:type="dxa"/>
            <w:tcBorders>
              <w:tl2br w:val="nil"/>
              <w:tr2bl w:val="nil"/>
            </w:tcBorders>
            <w:shd w:val="clear" w:color="auto" w:fill="auto"/>
            <w:vAlign w:val="center"/>
          </w:tcPr>
          <w:p w14:paraId="791A1B99">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7A406BC">
            <w:pPr>
              <w:widowControl w:val="0"/>
              <w:jc w:val="center"/>
              <w:rPr>
                <w:sz w:val="21"/>
                <w:szCs w:val="21"/>
                <w:lang w:eastAsia="en-US"/>
              </w:rPr>
            </w:pPr>
            <w:r>
              <w:rPr>
                <w:rFonts w:hint="eastAsia"/>
                <w:sz w:val="21"/>
                <w:szCs w:val="21"/>
                <w:lang w:eastAsia="zh-CN"/>
              </w:rPr>
              <w:t>24</w:t>
            </w:r>
            <w:r>
              <w:rPr>
                <w:sz w:val="21"/>
                <w:szCs w:val="21"/>
                <w:lang w:eastAsia="en-US"/>
              </w:rPr>
              <w:t>0702</w:t>
            </w:r>
          </w:p>
        </w:tc>
        <w:tc>
          <w:tcPr>
            <w:tcW w:w="1182" w:type="dxa"/>
            <w:tcBorders>
              <w:tl2br w:val="nil"/>
              <w:tr2bl w:val="nil"/>
            </w:tcBorders>
            <w:shd w:val="clear" w:color="auto" w:fill="auto"/>
            <w:vAlign w:val="center"/>
          </w:tcPr>
          <w:p w14:paraId="405D1B2B">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2EC1E2B3">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18423A43">
            <w:pPr>
              <w:widowControl w:val="0"/>
              <w:jc w:val="center"/>
              <w:rPr>
                <w:sz w:val="21"/>
                <w:szCs w:val="21"/>
                <w:lang w:eastAsia="en-US"/>
              </w:rPr>
            </w:pPr>
            <w:r>
              <w:rPr>
                <w:sz w:val="21"/>
                <w:szCs w:val="21"/>
                <w:lang w:eastAsia="en-US"/>
              </w:rPr>
              <w:t>26.55</w:t>
            </w:r>
          </w:p>
        </w:tc>
        <w:tc>
          <w:tcPr>
            <w:tcW w:w="716" w:type="dxa"/>
            <w:tcBorders>
              <w:tl2br w:val="nil"/>
              <w:tr2bl w:val="nil"/>
            </w:tcBorders>
            <w:shd w:val="clear" w:color="auto" w:fill="auto"/>
            <w:vAlign w:val="center"/>
          </w:tcPr>
          <w:p w14:paraId="1AF10127">
            <w:pPr>
              <w:widowControl w:val="0"/>
              <w:jc w:val="center"/>
              <w:rPr>
                <w:sz w:val="21"/>
                <w:szCs w:val="21"/>
                <w:lang w:eastAsia="en-US"/>
              </w:rPr>
            </w:pPr>
            <w:r>
              <w:rPr>
                <w:sz w:val="21"/>
                <w:szCs w:val="21"/>
                <w:lang w:eastAsia="en-US"/>
              </w:rPr>
              <w:t>达标</w:t>
            </w:r>
          </w:p>
        </w:tc>
      </w:tr>
      <w:tr w14:paraId="4FB8998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50EADFF3">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7128749B">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0BA1A74">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03C44F6E">
            <w:pPr>
              <w:widowControl w:val="0"/>
              <w:jc w:val="center"/>
              <w:rPr>
                <w:sz w:val="21"/>
                <w:szCs w:val="21"/>
                <w:lang w:eastAsia="en-US"/>
              </w:rPr>
            </w:pPr>
          </w:p>
        </w:tc>
        <w:tc>
          <w:tcPr>
            <w:tcW w:w="914" w:type="dxa"/>
            <w:tcBorders>
              <w:tl2br w:val="nil"/>
              <w:tr2bl w:val="nil"/>
            </w:tcBorders>
            <w:shd w:val="clear" w:color="auto" w:fill="auto"/>
            <w:vAlign w:val="center"/>
          </w:tcPr>
          <w:p w14:paraId="0D9D81B2">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B83770C">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C4E5D8A">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FF253DE">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37C711FE">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1409E34E">
            <w:pPr>
              <w:widowControl w:val="0"/>
              <w:jc w:val="center"/>
              <w:rPr>
                <w:sz w:val="21"/>
                <w:szCs w:val="21"/>
                <w:lang w:eastAsia="en-US"/>
              </w:rPr>
            </w:pPr>
            <w:r>
              <w:rPr>
                <w:sz w:val="21"/>
                <w:szCs w:val="21"/>
                <w:lang w:eastAsia="en-US"/>
              </w:rPr>
              <w:t>达标</w:t>
            </w:r>
          </w:p>
        </w:tc>
      </w:tr>
      <w:tr w14:paraId="3C66E6A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5CAA15E5">
            <w:pPr>
              <w:widowControl w:val="0"/>
              <w:jc w:val="center"/>
              <w:rPr>
                <w:sz w:val="21"/>
                <w:szCs w:val="21"/>
                <w:lang w:eastAsia="en-US"/>
              </w:rPr>
            </w:pPr>
            <w:r>
              <w:rPr>
                <w:sz w:val="21"/>
                <w:szCs w:val="21"/>
                <w:lang w:eastAsia="en-US"/>
              </w:rPr>
              <w:t>8</w:t>
            </w:r>
          </w:p>
        </w:tc>
        <w:tc>
          <w:tcPr>
            <w:tcW w:w="1145" w:type="dxa"/>
            <w:vMerge w:val="restart"/>
            <w:tcBorders>
              <w:tl2br w:val="nil"/>
              <w:tr2bl w:val="nil"/>
            </w:tcBorders>
            <w:shd w:val="clear" w:color="auto" w:fill="auto"/>
            <w:vAlign w:val="center"/>
          </w:tcPr>
          <w:p w14:paraId="1AB3FAE2">
            <w:pPr>
              <w:widowControl w:val="0"/>
              <w:jc w:val="center"/>
              <w:rPr>
                <w:sz w:val="21"/>
                <w:szCs w:val="21"/>
                <w:lang w:eastAsia="en-US"/>
              </w:rPr>
            </w:pPr>
            <w:r>
              <w:rPr>
                <w:sz w:val="21"/>
                <w:szCs w:val="21"/>
                <w:lang w:eastAsia="en-US"/>
              </w:rPr>
              <w:t>和园小区</w:t>
            </w:r>
          </w:p>
        </w:tc>
        <w:tc>
          <w:tcPr>
            <w:tcW w:w="737" w:type="dxa"/>
            <w:vMerge w:val="restart"/>
            <w:tcBorders>
              <w:tl2br w:val="nil"/>
              <w:tr2bl w:val="nil"/>
            </w:tcBorders>
            <w:shd w:val="clear" w:color="auto" w:fill="auto"/>
            <w:vAlign w:val="center"/>
          </w:tcPr>
          <w:p w14:paraId="5E9712D4">
            <w:pPr>
              <w:widowControl w:val="0"/>
              <w:jc w:val="center"/>
              <w:rPr>
                <w:sz w:val="21"/>
                <w:szCs w:val="21"/>
                <w:lang w:eastAsia="en-US"/>
              </w:rPr>
            </w:pPr>
            <w:r>
              <w:rPr>
                <w:rFonts w:hint="eastAsia"/>
                <w:sz w:val="21"/>
                <w:szCs w:val="21"/>
                <w:lang w:eastAsia="en-US"/>
              </w:rPr>
              <w:t>-1099</w:t>
            </w:r>
          </w:p>
        </w:tc>
        <w:tc>
          <w:tcPr>
            <w:tcW w:w="647" w:type="dxa"/>
            <w:vMerge w:val="restart"/>
            <w:tcBorders>
              <w:tl2br w:val="nil"/>
              <w:tr2bl w:val="nil"/>
            </w:tcBorders>
            <w:shd w:val="clear" w:color="auto" w:fill="auto"/>
            <w:vAlign w:val="center"/>
          </w:tcPr>
          <w:p w14:paraId="285F3A0A">
            <w:pPr>
              <w:widowControl w:val="0"/>
              <w:jc w:val="center"/>
              <w:rPr>
                <w:sz w:val="21"/>
                <w:szCs w:val="21"/>
                <w:lang w:eastAsia="en-US"/>
              </w:rPr>
            </w:pPr>
            <w:r>
              <w:rPr>
                <w:rFonts w:hint="eastAsia"/>
                <w:sz w:val="21"/>
                <w:szCs w:val="21"/>
                <w:lang w:eastAsia="en-US"/>
              </w:rPr>
              <w:t>131</w:t>
            </w:r>
          </w:p>
        </w:tc>
        <w:tc>
          <w:tcPr>
            <w:tcW w:w="914" w:type="dxa"/>
            <w:tcBorders>
              <w:tl2br w:val="nil"/>
              <w:tr2bl w:val="nil"/>
            </w:tcBorders>
            <w:shd w:val="clear" w:color="auto" w:fill="auto"/>
            <w:vAlign w:val="center"/>
          </w:tcPr>
          <w:p w14:paraId="69CCE31F">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232DB57">
            <w:pPr>
              <w:widowControl w:val="0"/>
              <w:jc w:val="center"/>
              <w:rPr>
                <w:sz w:val="21"/>
                <w:szCs w:val="21"/>
                <w:lang w:eastAsia="en-US"/>
              </w:rPr>
            </w:pPr>
            <w:r>
              <w:rPr>
                <w:rFonts w:hint="eastAsia"/>
                <w:sz w:val="21"/>
                <w:szCs w:val="21"/>
                <w:lang w:eastAsia="zh-CN"/>
              </w:rPr>
              <w:t>24</w:t>
            </w:r>
            <w:r>
              <w:rPr>
                <w:sz w:val="21"/>
                <w:szCs w:val="21"/>
                <w:lang w:eastAsia="en-US"/>
              </w:rPr>
              <w:t>061820</w:t>
            </w:r>
          </w:p>
        </w:tc>
        <w:tc>
          <w:tcPr>
            <w:tcW w:w="1182" w:type="dxa"/>
            <w:tcBorders>
              <w:tl2br w:val="nil"/>
              <w:tr2bl w:val="nil"/>
            </w:tcBorders>
            <w:shd w:val="clear" w:color="auto" w:fill="auto"/>
            <w:vAlign w:val="center"/>
          </w:tcPr>
          <w:p w14:paraId="61A85898">
            <w:pPr>
              <w:widowControl w:val="0"/>
              <w:jc w:val="center"/>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5AE7ADD5">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AE7DED3">
            <w:pPr>
              <w:widowControl w:val="0"/>
              <w:jc w:val="center"/>
              <w:rPr>
                <w:sz w:val="21"/>
                <w:szCs w:val="21"/>
                <w:lang w:eastAsia="en-US"/>
              </w:rPr>
            </w:pPr>
            <w:r>
              <w:rPr>
                <w:sz w:val="21"/>
                <w:szCs w:val="21"/>
                <w:lang w:eastAsia="en-US"/>
              </w:rPr>
              <w:t>0.27</w:t>
            </w:r>
          </w:p>
        </w:tc>
        <w:tc>
          <w:tcPr>
            <w:tcW w:w="716" w:type="dxa"/>
            <w:tcBorders>
              <w:tl2br w:val="nil"/>
              <w:tr2bl w:val="nil"/>
            </w:tcBorders>
            <w:shd w:val="clear" w:color="auto" w:fill="auto"/>
            <w:vAlign w:val="center"/>
          </w:tcPr>
          <w:p w14:paraId="419709F2">
            <w:pPr>
              <w:widowControl w:val="0"/>
              <w:jc w:val="center"/>
              <w:rPr>
                <w:sz w:val="21"/>
                <w:szCs w:val="21"/>
                <w:lang w:eastAsia="en-US"/>
              </w:rPr>
            </w:pPr>
            <w:r>
              <w:rPr>
                <w:sz w:val="21"/>
                <w:szCs w:val="21"/>
                <w:lang w:eastAsia="en-US"/>
              </w:rPr>
              <w:t>达标</w:t>
            </w:r>
          </w:p>
        </w:tc>
      </w:tr>
      <w:tr w14:paraId="4261E10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D0BDEB7">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2905B9C">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57156E27">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4259670F">
            <w:pPr>
              <w:widowControl w:val="0"/>
              <w:jc w:val="center"/>
              <w:rPr>
                <w:sz w:val="21"/>
                <w:szCs w:val="21"/>
                <w:lang w:eastAsia="en-US"/>
              </w:rPr>
            </w:pPr>
          </w:p>
        </w:tc>
        <w:tc>
          <w:tcPr>
            <w:tcW w:w="914" w:type="dxa"/>
            <w:tcBorders>
              <w:tl2br w:val="nil"/>
              <w:tr2bl w:val="nil"/>
            </w:tcBorders>
            <w:shd w:val="clear" w:color="auto" w:fill="auto"/>
            <w:vAlign w:val="center"/>
          </w:tcPr>
          <w:p w14:paraId="321F126C">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3276F09">
            <w:pPr>
              <w:widowControl w:val="0"/>
              <w:jc w:val="center"/>
              <w:rPr>
                <w:sz w:val="21"/>
                <w:szCs w:val="21"/>
                <w:lang w:eastAsia="en-US"/>
              </w:rPr>
            </w:pPr>
            <w:r>
              <w:rPr>
                <w:rFonts w:hint="eastAsia"/>
                <w:sz w:val="21"/>
                <w:szCs w:val="21"/>
                <w:lang w:eastAsia="zh-CN"/>
              </w:rPr>
              <w:t>24</w:t>
            </w:r>
            <w:r>
              <w:rPr>
                <w:sz w:val="21"/>
                <w:szCs w:val="21"/>
                <w:lang w:eastAsia="en-US"/>
              </w:rPr>
              <w:t>0611</w:t>
            </w:r>
          </w:p>
        </w:tc>
        <w:tc>
          <w:tcPr>
            <w:tcW w:w="1182" w:type="dxa"/>
            <w:tcBorders>
              <w:tl2br w:val="nil"/>
              <w:tr2bl w:val="nil"/>
            </w:tcBorders>
            <w:shd w:val="clear" w:color="auto" w:fill="auto"/>
            <w:vAlign w:val="center"/>
          </w:tcPr>
          <w:p w14:paraId="3D15C623">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6F40004D">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5FE1A9C3">
            <w:pPr>
              <w:widowControl w:val="0"/>
              <w:jc w:val="center"/>
              <w:rPr>
                <w:sz w:val="21"/>
                <w:szCs w:val="21"/>
                <w:lang w:eastAsia="en-US"/>
              </w:rPr>
            </w:pPr>
            <w:r>
              <w:rPr>
                <w:sz w:val="21"/>
                <w:szCs w:val="21"/>
                <w:lang w:eastAsia="en-US"/>
              </w:rPr>
              <w:t>26.55</w:t>
            </w:r>
          </w:p>
        </w:tc>
        <w:tc>
          <w:tcPr>
            <w:tcW w:w="716" w:type="dxa"/>
            <w:tcBorders>
              <w:tl2br w:val="nil"/>
              <w:tr2bl w:val="nil"/>
            </w:tcBorders>
            <w:shd w:val="clear" w:color="auto" w:fill="auto"/>
            <w:vAlign w:val="center"/>
          </w:tcPr>
          <w:p w14:paraId="17DE3DDB">
            <w:pPr>
              <w:widowControl w:val="0"/>
              <w:jc w:val="center"/>
              <w:rPr>
                <w:sz w:val="21"/>
                <w:szCs w:val="21"/>
                <w:lang w:eastAsia="en-US"/>
              </w:rPr>
            </w:pPr>
            <w:r>
              <w:rPr>
                <w:sz w:val="21"/>
                <w:szCs w:val="21"/>
                <w:lang w:eastAsia="en-US"/>
              </w:rPr>
              <w:t>达标</w:t>
            </w:r>
          </w:p>
        </w:tc>
      </w:tr>
      <w:tr w14:paraId="05B8F79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CADFC5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77820A5">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625E97C1">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59F97A99">
            <w:pPr>
              <w:widowControl w:val="0"/>
              <w:jc w:val="center"/>
              <w:rPr>
                <w:sz w:val="21"/>
                <w:szCs w:val="21"/>
                <w:lang w:eastAsia="en-US"/>
              </w:rPr>
            </w:pPr>
          </w:p>
        </w:tc>
        <w:tc>
          <w:tcPr>
            <w:tcW w:w="914" w:type="dxa"/>
            <w:tcBorders>
              <w:tl2br w:val="nil"/>
              <w:tr2bl w:val="nil"/>
            </w:tcBorders>
            <w:shd w:val="clear" w:color="auto" w:fill="auto"/>
            <w:vAlign w:val="center"/>
          </w:tcPr>
          <w:p w14:paraId="2F528C3D">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2502EF8">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CA872BB">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3AAE010">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372D501E">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6F1A3E60">
            <w:pPr>
              <w:widowControl w:val="0"/>
              <w:jc w:val="center"/>
              <w:rPr>
                <w:sz w:val="21"/>
                <w:szCs w:val="21"/>
                <w:lang w:eastAsia="en-US"/>
              </w:rPr>
            </w:pPr>
            <w:r>
              <w:rPr>
                <w:sz w:val="21"/>
                <w:szCs w:val="21"/>
                <w:lang w:eastAsia="en-US"/>
              </w:rPr>
              <w:t>达标</w:t>
            </w:r>
          </w:p>
        </w:tc>
      </w:tr>
      <w:tr w14:paraId="141CA23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7F791693">
            <w:pPr>
              <w:widowControl w:val="0"/>
              <w:jc w:val="center"/>
              <w:rPr>
                <w:sz w:val="21"/>
                <w:szCs w:val="21"/>
                <w:lang w:eastAsia="en-US"/>
              </w:rPr>
            </w:pPr>
            <w:r>
              <w:rPr>
                <w:sz w:val="21"/>
                <w:szCs w:val="21"/>
                <w:lang w:eastAsia="en-US"/>
              </w:rPr>
              <w:t>9</w:t>
            </w:r>
          </w:p>
        </w:tc>
        <w:tc>
          <w:tcPr>
            <w:tcW w:w="1145" w:type="dxa"/>
            <w:vMerge w:val="restart"/>
            <w:tcBorders>
              <w:tl2br w:val="nil"/>
              <w:tr2bl w:val="nil"/>
            </w:tcBorders>
            <w:shd w:val="clear" w:color="auto" w:fill="auto"/>
            <w:vAlign w:val="center"/>
          </w:tcPr>
          <w:p w14:paraId="25E8EF19">
            <w:pPr>
              <w:widowControl w:val="0"/>
              <w:jc w:val="center"/>
              <w:rPr>
                <w:sz w:val="21"/>
                <w:szCs w:val="21"/>
                <w:lang w:eastAsia="en-US"/>
              </w:rPr>
            </w:pPr>
            <w:r>
              <w:rPr>
                <w:sz w:val="21"/>
                <w:szCs w:val="21"/>
                <w:lang w:eastAsia="en-US"/>
              </w:rPr>
              <w:t>子敬学校</w:t>
            </w:r>
          </w:p>
        </w:tc>
        <w:tc>
          <w:tcPr>
            <w:tcW w:w="737" w:type="dxa"/>
            <w:vMerge w:val="restart"/>
            <w:tcBorders>
              <w:tl2br w:val="nil"/>
              <w:tr2bl w:val="nil"/>
            </w:tcBorders>
            <w:shd w:val="clear" w:color="auto" w:fill="auto"/>
            <w:vAlign w:val="center"/>
          </w:tcPr>
          <w:p w14:paraId="6937BF80">
            <w:pPr>
              <w:widowControl w:val="0"/>
              <w:jc w:val="center"/>
              <w:rPr>
                <w:sz w:val="21"/>
                <w:szCs w:val="21"/>
                <w:lang w:eastAsia="en-US"/>
              </w:rPr>
            </w:pPr>
            <w:r>
              <w:rPr>
                <w:rFonts w:hint="eastAsia"/>
                <w:sz w:val="21"/>
                <w:szCs w:val="21"/>
                <w:lang w:eastAsia="en-US"/>
              </w:rPr>
              <w:t>-2089</w:t>
            </w:r>
          </w:p>
        </w:tc>
        <w:tc>
          <w:tcPr>
            <w:tcW w:w="647" w:type="dxa"/>
            <w:vMerge w:val="restart"/>
            <w:tcBorders>
              <w:tl2br w:val="nil"/>
              <w:tr2bl w:val="nil"/>
            </w:tcBorders>
            <w:shd w:val="clear" w:color="auto" w:fill="auto"/>
            <w:vAlign w:val="center"/>
          </w:tcPr>
          <w:p w14:paraId="7CFC7502">
            <w:pPr>
              <w:widowControl w:val="0"/>
              <w:jc w:val="center"/>
              <w:rPr>
                <w:sz w:val="21"/>
                <w:szCs w:val="21"/>
                <w:lang w:eastAsia="en-US"/>
              </w:rPr>
            </w:pPr>
            <w:r>
              <w:rPr>
                <w:rFonts w:hint="eastAsia"/>
                <w:sz w:val="21"/>
                <w:szCs w:val="21"/>
                <w:lang w:eastAsia="en-US"/>
              </w:rPr>
              <w:t>1019</w:t>
            </w:r>
          </w:p>
        </w:tc>
        <w:tc>
          <w:tcPr>
            <w:tcW w:w="914" w:type="dxa"/>
            <w:tcBorders>
              <w:tl2br w:val="nil"/>
              <w:tr2bl w:val="nil"/>
            </w:tcBorders>
            <w:shd w:val="clear" w:color="auto" w:fill="auto"/>
            <w:vAlign w:val="center"/>
          </w:tcPr>
          <w:p w14:paraId="6818262C">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91E310C">
            <w:pPr>
              <w:widowControl w:val="0"/>
              <w:jc w:val="center"/>
              <w:rPr>
                <w:sz w:val="21"/>
                <w:szCs w:val="21"/>
                <w:lang w:eastAsia="en-US"/>
              </w:rPr>
            </w:pPr>
            <w:r>
              <w:rPr>
                <w:rFonts w:hint="eastAsia"/>
                <w:sz w:val="21"/>
                <w:szCs w:val="21"/>
                <w:lang w:eastAsia="zh-CN"/>
              </w:rPr>
              <w:t>24</w:t>
            </w:r>
            <w:r>
              <w:rPr>
                <w:sz w:val="21"/>
                <w:szCs w:val="21"/>
                <w:lang w:eastAsia="en-US"/>
              </w:rPr>
              <w:t>093021</w:t>
            </w:r>
          </w:p>
        </w:tc>
        <w:tc>
          <w:tcPr>
            <w:tcW w:w="1182" w:type="dxa"/>
            <w:tcBorders>
              <w:tl2br w:val="nil"/>
              <w:tr2bl w:val="nil"/>
            </w:tcBorders>
            <w:shd w:val="clear" w:color="auto" w:fill="auto"/>
            <w:vAlign w:val="center"/>
          </w:tcPr>
          <w:p w14:paraId="3EA795B8">
            <w:pPr>
              <w:widowControl w:val="0"/>
              <w:jc w:val="center"/>
              <w:rPr>
                <w:sz w:val="21"/>
                <w:szCs w:val="21"/>
                <w:lang w:eastAsia="en-US"/>
              </w:rPr>
            </w:pPr>
            <w:r>
              <w:rPr>
                <w:sz w:val="21"/>
                <w:szCs w:val="21"/>
                <w:lang w:eastAsia="en-US"/>
              </w:rPr>
              <w:t>0.0026</w:t>
            </w:r>
          </w:p>
        </w:tc>
        <w:tc>
          <w:tcPr>
            <w:tcW w:w="914" w:type="dxa"/>
            <w:tcBorders>
              <w:tl2br w:val="nil"/>
              <w:tr2bl w:val="nil"/>
            </w:tcBorders>
            <w:shd w:val="clear" w:color="auto" w:fill="auto"/>
            <w:vAlign w:val="center"/>
          </w:tcPr>
          <w:p w14:paraId="159F17D4">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1838064">
            <w:pPr>
              <w:widowControl w:val="0"/>
              <w:jc w:val="center"/>
              <w:rPr>
                <w:sz w:val="21"/>
                <w:szCs w:val="21"/>
                <w:lang w:eastAsia="en-US"/>
              </w:rPr>
            </w:pPr>
            <w:r>
              <w:rPr>
                <w:sz w:val="21"/>
                <w:szCs w:val="21"/>
                <w:lang w:eastAsia="en-US"/>
              </w:rPr>
              <w:t>1.31</w:t>
            </w:r>
          </w:p>
        </w:tc>
        <w:tc>
          <w:tcPr>
            <w:tcW w:w="716" w:type="dxa"/>
            <w:tcBorders>
              <w:tl2br w:val="nil"/>
              <w:tr2bl w:val="nil"/>
            </w:tcBorders>
            <w:shd w:val="clear" w:color="auto" w:fill="auto"/>
            <w:vAlign w:val="center"/>
          </w:tcPr>
          <w:p w14:paraId="6F9E2918">
            <w:pPr>
              <w:widowControl w:val="0"/>
              <w:jc w:val="center"/>
              <w:rPr>
                <w:sz w:val="21"/>
                <w:szCs w:val="21"/>
                <w:lang w:eastAsia="en-US"/>
              </w:rPr>
            </w:pPr>
            <w:r>
              <w:rPr>
                <w:sz w:val="21"/>
                <w:szCs w:val="21"/>
                <w:lang w:eastAsia="en-US"/>
              </w:rPr>
              <w:t>达标</w:t>
            </w:r>
          </w:p>
        </w:tc>
      </w:tr>
      <w:tr w14:paraId="381485B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1E287F3">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42BB998">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65BAD6D6">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754CCFA">
            <w:pPr>
              <w:widowControl w:val="0"/>
              <w:jc w:val="center"/>
              <w:rPr>
                <w:sz w:val="21"/>
                <w:szCs w:val="21"/>
                <w:lang w:eastAsia="en-US"/>
              </w:rPr>
            </w:pPr>
          </w:p>
        </w:tc>
        <w:tc>
          <w:tcPr>
            <w:tcW w:w="914" w:type="dxa"/>
            <w:tcBorders>
              <w:tl2br w:val="nil"/>
              <w:tr2bl w:val="nil"/>
            </w:tcBorders>
            <w:shd w:val="clear" w:color="auto" w:fill="auto"/>
            <w:vAlign w:val="center"/>
          </w:tcPr>
          <w:p w14:paraId="505BCD1C">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3216611">
            <w:pPr>
              <w:widowControl w:val="0"/>
              <w:jc w:val="center"/>
              <w:rPr>
                <w:sz w:val="21"/>
                <w:szCs w:val="21"/>
                <w:lang w:eastAsia="en-US"/>
              </w:rPr>
            </w:pPr>
            <w:r>
              <w:rPr>
                <w:rFonts w:hint="eastAsia"/>
                <w:sz w:val="21"/>
                <w:szCs w:val="21"/>
                <w:lang w:eastAsia="zh-CN"/>
              </w:rPr>
              <w:t>24</w:t>
            </w:r>
            <w:r>
              <w:rPr>
                <w:sz w:val="21"/>
                <w:szCs w:val="21"/>
                <w:lang w:eastAsia="en-US"/>
              </w:rPr>
              <w:t>0204</w:t>
            </w:r>
          </w:p>
        </w:tc>
        <w:tc>
          <w:tcPr>
            <w:tcW w:w="1182" w:type="dxa"/>
            <w:tcBorders>
              <w:tl2br w:val="nil"/>
              <w:tr2bl w:val="nil"/>
            </w:tcBorders>
            <w:shd w:val="clear" w:color="auto" w:fill="auto"/>
            <w:vAlign w:val="center"/>
          </w:tcPr>
          <w:p w14:paraId="6C0CD4EB">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55B1E6A4">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04196ECD">
            <w:pPr>
              <w:widowControl w:val="0"/>
              <w:jc w:val="center"/>
              <w:rPr>
                <w:sz w:val="21"/>
                <w:szCs w:val="21"/>
                <w:lang w:eastAsia="en-US"/>
              </w:rPr>
            </w:pPr>
            <w:r>
              <w:rPr>
                <w:sz w:val="21"/>
                <w:szCs w:val="21"/>
                <w:lang w:eastAsia="en-US"/>
              </w:rPr>
              <w:t>26.64</w:t>
            </w:r>
          </w:p>
        </w:tc>
        <w:tc>
          <w:tcPr>
            <w:tcW w:w="716" w:type="dxa"/>
            <w:tcBorders>
              <w:tl2br w:val="nil"/>
              <w:tr2bl w:val="nil"/>
            </w:tcBorders>
            <w:shd w:val="clear" w:color="auto" w:fill="auto"/>
            <w:vAlign w:val="center"/>
          </w:tcPr>
          <w:p w14:paraId="2FA4C419">
            <w:pPr>
              <w:widowControl w:val="0"/>
              <w:jc w:val="center"/>
              <w:rPr>
                <w:sz w:val="21"/>
                <w:szCs w:val="21"/>
                <w:lang w:eastAsia="en-US"/>
              </w:rPr>
            </w:pPr>
            <w:r>
              <w:rPr>
                <w:sz w:val="21"/>
                <w:szCs w:val="21"/>
                <w:lang w:eastAsia="en-US"/>
              </w:rPr>
              <w:t>达标</w:t>
            </w:r>
          </w:p>
        </w:tc>
      </w:tr>
      <w:tr w14:paraId="54E7867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4B56CEA">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F2CDAD8">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0C19C10D">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5FE3C24">
            <w:pPr>
              <w:widowControl w:val="0"/>
              <w:jc w:val="center"/>
              <w:rPr>
                <w:sz w:val="21"/>
                <w:szCs w:val="21"/>
                <w:lang w:eastAsia="en-US"/>
              </w:rPr>
            </w:pPr>
          </w:p>
        </w:tc>
        <w:tc>
          <w:tcPr>
            <w:tcW w:w="914" w:type="dxa"/>
            <w:tcBorders>
              <w:tl2br w:val="nil"/>
              <w:tr2bl w:val="nil"/>
            </w:tcBorders>
            <w:shd w:val="clear" w:color="auto" w:fill="auto"/>
            <w:vAlign w:val="center"/>
          </w:tcPr>
          <w:p w14:paraId="3A215B8A">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57B47ED">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30B38D6">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2D3F4D9">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D149590">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28007840">
            <w:pPr>
              <w:widowControl w:val="0"/>
              <w:jc w:val="center"/>
              <w:rPr>
                <w:sz w:val="21"/>
                <w:szCs w:val="21"/>
                <w:lang w:eastAsia="en-US"/>
              </w:rPr>
            </w:pPr>
            <w:r>
              <w:rPr>
                <w:sz w:val="21"/>
                <w:szCs w:val="21"/>
                <w:lang w:eastAsia="en-US"/>
              </w:rPr>
              <w:t>达标</w:t>
            </w:r>
          </w:p>
        </w:tc>
      </w:tr>
      <w:tr w14:paraId="4E9E6D3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6959E11B">
            <w:pPr>
              <w:widowControl w:val="0"/>
              <w:jc w:val="center"/>
              <w:rPr>
                <w:sz w:val="21"/>
                <w:szCs w:val="21"/>
                <w:lang w:eastAsia="en-US"/>
              </w:rPr>
            </w:pPr>
            <w:r>
              <w:rPr>
                <w:sz w:val="21"/>
                <w:szCs w:val="21"/>
                <w:lang w:eastAsia="en-US"/>
              </w:rPr>
              <w:t>10</w:t>
            </w:r>
          </w:p>
        </w:tc>
        <w:tc>
          <w:tcPr>
            <w:tcW w:w="1145" w:type="dxa"/>
            <w:vMerge w:val="restart"/>
            <w:tcBorders>
              <w:tl2br w:val="nil"/>
              <w:tr2bl w:val="nil"/>
            </w:tcBorders>
            <w:shd w:val="clear" w:color="auto" w:fill="auto"/>
            <w:vAlign w:val="center"/>
          </w:tcPr>
          <w:p w14:paraId="13AE89AE">
            <w:pPr>
              <w:widowControl w:val="0"/>
              <w:jc w:val="center"/>
              <w:rPr>
                <w:sz w:val="21"/>
                <w:szCs w:val="21"/>
                <w:lang w:eastAsia="en-US"/>
              </w:rPr>
            </w:pPr>
            <w:r>
              <w:rPr>
                <w:sz w:val="21"/>
                <w:szCs w:val="21"/>
                <w:lang w:eastAsia="en-US"/>
              </w:rPr>
              <w:t>芙蓉廉租小区</w:t>
            </w:r>
          </w:p>
        </w:tc>
        <w:tc>
          <w:tcPr>
            <w:tcW w:w="737" w:type="dxa"/>
            <w:vMerge w:val="restart"/>
            <w:tcBorders>
              <w:tl2br w:val="nil"/>
              <w:tr2bl w:val="nil"/>
            </w:tcBorders>
            <w:shd w:val="clear" w:color="auto" w:fill="auto"/>
            <w:vAlign w:val="center"/>
          </w:tcPr>
          <w:p w14:paraId="56C70C3F">
            <w:pPr>
              <w:widowControl w:val="0"/>
              <w:jc w:val="center"/>
              <w:rPr>
                <w:sz w:val="21"/>
                <w:szCs w:val="21"/>
                <w:lang w:eastAsia="en-US"/>
              </w:rPr>
            </w:pPr>
            <w:r>
              <w:rPr>
                <w:rFonts w:hint="eastAsia"/>
                <w:sz w:val="21"/>
                <w:szCs w:val="21"/>
                <w:lang w:eastAsia="en-US"/>
              </w:rPr>
              <w:t>1013</w:t>
            </w:r>
          </w:p>
        </w:tc>
        <w:tc>
          <w:tcPr>
            <w:tcW w:w="647" w:type="dxa"/>
            <w:vMerge w:val="restart"/>
            <w:tcBorders>
              <w:tl2br w:val="nil"/>
              <w:tr2bl w:val="nil"/>
            </w:tcBorders>
            <w:shd w:val="clear" w:color="auto" w:fill="auto"/>
            <w:vAlign w:val="center"/>
          </w:tcPr>
          <w:p w14:paraId="38559E29">
            <w:pPr>
              <w:widowControl w:val="0"/>
              <w:jc w:val="center"/>
              <w:rPr>
                <w:sz w:val="21"/>
                <w:szCs w:val="21"/>
                <w:lang w:eastAsia="en-US"/>
              </w:rPr>
            </w:pPr>
            <w:r>
              <w:rPr>
                <w:rFonts w:hint="eastAsia"/>
                <w:sz w:val="21"/>
                <w:szCs w:val="21"/>
                <w:lang w:eastAsia="en-US"/>
              </w:rPr>
              <w:t>91</w:t>
            </w:r>
          </w:p>
        </w:tc>
        <w:tc>
          <w:tcPr>
            <w:tcW w:w="914" w:type="dxa"/>
            <w:tcBorders>
              <w:tl2br w:val="nil"/>
              <w:tr2bl w:val="nil"/>
            </w:tcBorders>
            <w:shd w:val="clear" w:color="auto" w:fill="auto"/>
            <w:vAlign w:val="center"/>
          </w:tcPr>
          <w:p w14:paraId="23386114">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CD7E937">
            <w:pPr>
              <w:widowControl w:val="0"/>
              <w:jc w:val="center"/>
              <w:rPr>
                <w:sz w:val="21"/>
                <w:szCs w:val="21"/>
                <w:lang w:eastAsia="en-US"/>
              </w:rPr>
            </w:pPr>
            <w:r>
              <w:rPr>
                <w:rFonts w:hint="eastAsia"/>
                <w:sz w:val="21"/>
                <w:szCs w:val="21"/>
                <w:lang w:eastAsia="zh-CN"/>
              </w:rPr>
              <w:t>24</w:t>
            </w:r>
            <w:r>
              <w:rPr>
                <w:sz w:val="21"/>
                <w:szCs w:val="21"/>
                <w:lang w:eastAsia="en-US"/>
              </w:rPr>
              <w:t>051707</w:t>
            </w:r>
          </w:p>
        </w:tc>
        <w:tc>
          <w:tcPr>
            <w:tcW w:w="1182" w:type="dxa"/>
            <w:tcBorders>
              <w:tl2br w:val="nil"/>
              <w:tr2bl w:val="nil"/>
            </w:tcBorders>
            <w:shd w:val="clear" w:color="auto" w:fill="auto"/>
            <w:vAlign w:val="center"/>
          </w:tcPr>
          <w:p w14:paraId="102ADA59">
            <w:pPr>
              <w:widowControl w:val="0"/>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74F66E99">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78AF20B">
            <w:pPr>
              <w:widowControl w:val="0"/>
              <w:jc w:val="center"/>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089B500D">
            <w:pPr>
              <w:widowControl w:val="0"/>
              <w:jc w:val="center"/>
              <w:rPr>
                <w:sz w:val="21"/>
                <w:szCs w:val="21"/>
                <w:lang w:eastAsia="en-US"/>
              </w:rPr>
            </w:pPr>
            <w:r>
              <w:rPr>
                <w:sz w:val="21"/>
                <w:szCs w:val="21"/>
                <w:lang w:eastAsia="en-US"/>
              </w:rPr>
              <w:t>达标</w:t>
            </w:r>
          </w:p>
        </w:tc>
      </w:tr>
      <w:tr w14:paraId="284DDC0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5F3ED3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14F65B0E">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6A0BB43F">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55AF813A">
            <w:pPr>
              <w:widowControl w:val="0"/>
              <w:jc w:val="center"/>
              <w:rPr>
                <w:sz w:val="21"/>
                <w:szCs w:val="21"/>
                <w:lang w:eastAsia="en-US"/>
              </w:rPr>
            </w:pPr>
          </w:p>
        </w:tc>
        <w:tc>
          <w:tcPr>
            <w:tcW w:w="914" w:type="dxa"/>
            <w:tcBorders>
              <w:tl2br w:val="nil"/>
              <w:tr2bl w:val="nil"/>
            </w:tcBorders>
            <w:shd w:val="clear" w:color="auto" w:fill="auto"/>
            <w:vAlign w:val="center"/>
          </w:tcPr>
          <w:p w14:paraId="529E753C">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1D491FB">
            <w:pPr>
              <w:widowControl w:val="0"/>
              <w:jc w:val="center"/>
              <w:rPr>
                <w:sz w:val="21"/>
                <w:szCs w:val="21"/>
                <w:lang w:eastAsia="en-US"/>
              </w:rPr>
            </w:pPr>
            <w:r>
              <w:rPr>
                <w:rFonts w:hint="eastAsia"/>
                <w:sz w:val="21"/>
                <w:szCs w:val="21"/>
                <w:lang w:eastAsia="zh-CN"/>
              </w:rPr>
              <w:t>24</w:t>
            </w:r>
            <w:r>
              <w:rPr>
                <w:sz w:val="21"/>
                <w:szCs w:val="21"/>
                <w:lang w:eastAsia="en-US"/>
              </w:rPr>
              <w:t>0517</w:t>
            </w:r>
          </w:p>
        </w:tc>
        <w:tc>
          <w:tcPr>
            <w:tcW w:w="1182" w:type="dxa"/>
            <w:tcBorders>
              <w:tl2br w:val="nil"/>
              <w:tr2bl w:val="nil"/>
            </w:tcBorders>
            <w:shd w:val="clear" w:color="auto" w:fill="auto"/>
            <w:vAlign w:val="center"/>
          </w:tcPr>
          <w:p w14:paraId="2A12721E">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6179CEBA">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34711845">
            <w:pPr>
              <w:widowControl w:val="0"/>
              <w:jc w:val="center"/>
              <w:rPr>
                <w:sz w:val="21"/>
                <w:szCs w:val="21"/>
                <w:lang w:eastAsia="en-US"/>
              </w:rPr>
            </w:pPr>
            <w:r>
              <w:rPr>
                <w:sz w:val="21"/>
                <w:szCs w:val="21"/>
                <w:lang w:eastAsia="en-US"/>
              </w:rPr>
              <w:t>26.51</w:t>
            </w:r>
          </w:p>
        </w:tc>
        <w:tc>
          <w:tcPr>
            <w:tcW w:w="716" w:type="dxa"/>
            <w:tcBorders>
              <w:tl2br w:val="nil"/>
              <w:tr2bl w:val="nil"/>
            </w:tcBorders>
            <w:shd w:val="clear" w:color="auto" w:fill="auto"/>
            <w:vAlign w:val="center"/>
          </w:tcPr>
          <w:p w14:paraId="4DCDB291">
            <w:pPr>
              <w:widowControl w:val="0"/>
              <w:jc w:val="center"/>
              <w:rPr>
                <w:sz w:val="21"/>
                <w:szCs w:val="21"/>
                <w:lang w:eastAsia="en-US"/>
              </w:rPr>
            </w:pPr>
            <w:r>
              <w:rPr>
                <w:sz w:val="21"/>
                <w:szCs w:val="21"/>
                <w:lang w:eastAsia="en-US"/>
              </w:rPr>
              <w:t>达标</w:t>
            </w:r>
          </w:p>
        </w:tc>
      </w:tr>
      <w:tr w14:paraId="586D184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62E40175">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9AA350E">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5B1C6715">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D12DCF4">
            <w:pPr>
              <w:widowControl w:val="0"/>
              <w:jc w:val="center"/>
              <w:rPr>
                <w:sz w:val="21"/>
                <w:szCs w:val="21"/>
                <w:lang w:eastAsia="en-US"/>
              </w:rPr>
            </w:pPr>
          </w:p>
        </w:tc>
        <w:tc>
          <w:tcPr>
            <w:tcW w:w="914" w:type="dxa"/>
            <w:tcBorders>
              <w:tl2br w:val="nil"/>
              <w:tr2bl w:val="nil"/>
            </w:tcBorders>
            <w:shd w:val="clear" w:color="auto" w:fill="auto"/>
            <w:vAlign w:val="center"/>
          </w:tcPr>
          <w:p w14:paraId="6DF94D09">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6F96DFC">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8FEE414">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B16109A">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4E83461">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1E0A93E8">
            <w:pPr>
              <w:widowControl w:val="0"/>
              <w:jc w:val="center"/>
              <w:rPr>
                <w:sz w:val="21"/>
                <w:szCs w:val="21"/>
                <w:lang w:eastAsia="en-US"/>
              </w:rPr>
            </w:pPr>
            <w:r>
              <w:rPr>
                <w:sz w:val="21"/>
                <w:szCs w:val="21"/>
                <w:lang w:eastAsia="en-US"/>
              </w:rPr>
              <w:t>达标</w:t>
            </w:r>
          </w:p>
        </w:tc>
      </w:tr>
      <w:tr w14:paraId="5C246F2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20" w:hRule="atLeast"/>
          <w:jc w:val="center"/>
        </w:trPr>
        <w:tc>
          <w:tcPr>
            <w:tcW w:w="378" w:type="dxa"/>
            <w:vMerge w:val="restart"/>
            <w:tcBorders>
              <w:tl2br w:val="nil"/>
              <w:tr2bl w:val="nil"/>
            </w:tcBorders>
            <w:shd w:val="clear" w:color="auto" w:fill="auto"/>
            <w:vAlign w:val="center"/>
          </w:tcPr>
          <w:p w14:paraId="7AF78C84">
            <w:pPr>
              <w:widowControl w:val="0"/>
              <w:jc w:val="center"/>
              <w:rPr>
                <w:sz w:val="21"/>
                <w:szCs w:val="21"/>
                <w:lang w:eastAsia="en-US"/>
              </w:rPr>
            </w:pPr>
            <w:r>
              <w:rPr>
                <w:sz w:val="21"/>
                <w:szCs w:val="21"/>
                <w:lang w:eastAsia="en-US"/>
              </w:rPr>
              <w:t>11</w:t>
            </w:r>
          </w:p>
        </w:tc>
        <w:tc>
          <w:tcPr>
            <w:tcW w:w="1145" w:type="dxa"/>
            <w:vMerge w:val="restart"/>
            <w:tcBorders>
              <w:tl2br w:val="nil"/>
              <w:tr2bl w:val="nil"/>
            </w:tcBorders>
            <w:shd w:val="clear" w:color="auto" w:fill="auto"/>
            <w:vAlign w:val="center"/>
          </w:tcPr>
          <w:p w14:paraId="0895D13E">
            <w:pPr>
              <w:widowControl w:val="0"/>
              <w:jc w:val="center"/>
              <w:rPr>
                <w:sz w:val="21"/>
                <w:szCs w:val="21"/>
                <w:lang w:eastAsia="en-US"/>
              </w:rPr>
            </w:pPr>
            <w:r>
              <w:rPr>
                <w:sz w:val="21"/>
                <w:szCs w:val="21"/>
                <w:lang w:eastAsia="en-US"/>
              </w:rPr>
              <w:t>易俗河镇第二中学</w:t>
            </w:r>
          </w:p>
        </w:tc>
        <w:tc>
          <w:tcPr>
            <w:tcW w:w="737" w:type="dxa"/>
            <w:vMerge w:val="restart"/>
            <w:tcBorders>
              <w:tl2br w:val="nil"/>
              <w:tr2bl w:val="nil"/>
            </w:tcBorders>
            <w:shd w:val="clear" w:color="auto" w:fill="auto"/>
            <w:vAlign w:val="center"/>
          </w:tcPr>
          <w:p w14:paraId="0B089E7D">
            <w:pPr>
              <w:widowControl w:val="0"/>
              <w:jc w:val="center"/>
              <w:rPr>
                <w:sz w:val="21"/>
                <w:szCs w:val="21"/>
                <w:lang w:eastAsia="en-US"/>
              </w:rPr>
            </w:pPr>
            <w:r>
              <w:rPr>
                <w:rFonts w:hint="eastAsia"/>
                <w:sz w:val="21"/>
                <w:szCs w:val="21"/>
                <w:lang w:eastAsia="en-US"/>
              </w:rPr>
              <w:t>734</w:t>
            </w:r>
          </w:p>
        </w:tc>
        <w:tc>
          <w:tcPr>
            <w:tcW w:w="647" w:type="dxa"/>
            <w:vMerge w:val="restart"/>
            <w:tcBorders>
              <w:tl2br w:val="nil"/>
              <w:tr2bl w:val="nil"/>
            </w:tcBorders>
            <w:shd w:val="clear" w:color="auto" w:fill="auto"/>
            <w:vAlign w:val="center"/>
          </w:tcPr>
          <w:p w14:paraId="4CA58251">
            <w:pPr>
              <w:widowControl w:val="0"/>
              <w:jc w:val="center"/>
              <w:rPr>
                <w:sz w:val="21"/>
                <w:szCs w:val="21"/>
                <w:lang w:eastAsia="en-US"/>
              </w:rPr>
            </w:pPr>
            <w:r>
              <w:rPr>
                <w:rFonts w:hint="eastAsia"/>
                <w:sz w:val="21"/>
                <w:szCs w:val="21"/>
                <w:lang w:eastAsia="en-US"/>
              </w:rPr>
              <w:t>577</w:t>
            </w:r>
          </w:p>
        </w:tc>
        <w:tc>
          <w:tcPr>
            <w:tcW w:w="914" w:type="dxa"/>
            <w:tcBorders>
              <w:tl2br w:val="nil"/>
              <w:tr2bl w:val="nil"/>
            </w:tcBorders>
            <w:shd w:val="clear" w:color="auto" w:fill="auto"/>
            <w:vAlign w:val="center"/>
          </w:tcPr>
          <w:p w14:paraId="40528A8D">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0F304C1">
            <w:pPr>
              <w:widowControl w:val="0"/>
              <w:jc w:val="center"/>
              <w:rPr>
                <w:sz w:val="21"/>
                <w:szCs w:val="21"/>
                <w:lang w:eastAsia="en-US"/>
              </w:rPr>
            </w:pPr>
            <w:r>
              <w:rPr>
                <w:rFonts w:hint="eastAsia"/>
                <w:sz w:val="21"/>
                <w:szCs w:val="21"/>
                <w:lang w:eastAsia="zh-CN"/>
              </w:rPr>
              <w:t>24</w:t>
            </w:r>
            <w:r>
              <w:rPr>
                <w:sz w:val="21"/>
                <w:szCs w:val="21"/>
                <w:lang w:eastAsia="en-US"/>
              </w:rPr>
              <w:t>05</w:t>
            </w:r>
            <w:r>
              <w:rPr>
                <w:rFonts w:hint="eastAsia"/>
                <w:sz w:val="21"/>
                <w:szCs w:val="21"/>
                <w:lang w:eastAsia="zh-CN"/>
              </w:rPr>
              <w:t>24</w:t>
            </w:r>
            <w:r>
              <w:rPr>
                <w:sz w:val="21"/>
                <w:szCs w:val="21"/>
                <w:lang w:eastAsia="en-US"/>
              </w:rPr>
              <w:t>07</w:t>
            </w:r>
          </w:p>
        </w:tc>
        <w:tc>
          <w:tcPr>
            <w:tcW w:w="1182" w:type="dxa"/>
            <w:tcBorders>
              <w:tl2br w:val="nil"/>
              <w:tr2bl w:val="nil"/>
            </w:tcBorders>
            <w:shd w:val="clear" w:color="auto" w:fill="auto"/>
            <w:vAlign w:val="center"/>
          </w:tcPr>
          <w:p w14:paraId="6598FB1E">
            <w:pPr>
              <w:widowControl w:val="0"/>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1CDE4FCF">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3D02F7E">
            <w:pPr>
              <w:widowControl w:val="0"/>
              <w:jc w:val="center"/>
              <w:rPr>
                <w:sz w:val="21"/>
                <w:szCs w:val="21"/>
                <w:lang w:eastAsia="en-US"/>
              </w:rPr>
            </w:pPr>
            <w:r>
              <w:rPr>
                <w:sz w:val="21"/>
                <w:szCs w:val="21"/>
                <w:lang w:eastAsia="en-US"/>
              </w:rPr>
              <w:t>0.34</w:t>
            </w:r>
          </w:p>
        </w:tc>
        <w:tc>
          <w:tcPr>
            <w:tcW w:w="716" w:type="dxa"/>
            <w:tcBorders>
              <w:tl2br w:val="nil"/>
              <w:tr2bl w:val="nil"/>
            </w:tcBorders>
            <w:shd w:val="clear" w:color="auto" w:fill="auto"/>
            <w:vAlign w:val="center"/>
          </w:tcPr>
          <w:p w14:paraId="6CCA30C1">
            <w:pPr>
              <w:widowControl w:val="0"/>
              <w:jc w:val="center"/>
              <w:rPr>
                <w:sz w:val="21"/>
                <w:szCs w:val="21"/>
                <w:lang w:eastAsia="en-US"/>
              </w:rPr>
            </w:pPr>
            <w:r>
              <w:rPr>
                <w:sz w:val="21"/>
                <w:szCs w:val="21"/>
                <w:lang w:eastAsia="en-US"/>
              </w:rPr>
              <w:t>达标</w:t>
            </w:r>
          </w:p>
        </w:tc>
      </w:tr>
      <w:tr w14:paraId="56246E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27F8ECE3">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0BE1D9B4">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1C2BACBF">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03357CA9">
            <w:pPr>
              <w:widowControl w:val="0"/>
              <w:jc w:val="center"/>
              <w:rPr>
                <w:sz w:val="21"/>
                <w:szCs w:val="21"/>
                <w:lang w:eastAsia="en-US"/>
              </w:rPr>
            </w:pPr>
          </w:p>
        </w:tc>
        <w:tc>
          <w:tcPr>
            <w:tcW w:w="914" w:type="dxa"/>
            <w:tcBorders>
              <w:tl2br w:val="nil"/>
              <w:tr2bl w:val="nil"/>
            </w:tcBorders>
            <w:shd w:val="clear" w:color="auto" w:fill="auto"/>
            <w:vAlign w:val="center"/>
          </w:tcPr>
          <w:p w14:paraId="6EC647FD">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FFE700F">
            <w:pPr>
              <w:widowControl w:val="0"/>
              <w:jc w:val="center"/>
              <w:rPr>
                <w:sz w:val="21"/>
                <w:szCs w:val="21"/>
                <w:lang w:eastAsia="en-US"/>
              </w:rPr>
            </w:pPr>
            <w:r>
              <w:rPr>
                <w:rFonts w:hint="eastAsia"/>
                <w:sz w:val="21"/>
                <w:szCs w:val="21"/>
                <w:lang w:eastAsia="zh-CN"/>
              </w:rPr>
              <w:t>24</w:t>
            </w:r>
            <w:r>
              <w:rPr>
                <w:sz w:val="21"/>
                <w:szCs w:val="21"/>
                <w:lang w:eastAsia="en-US"/>
              </w:rPr>
              <w:t>0705</w:t>
            </w:r>
          </w:p>
        </w:tc>
        <w:tc>
          <w:tcPr>
            <w:tcW w:w="1182" w:type="dxa"/>
            <w:tcBorders>
              <w:tl2br w:val="nil"/>
              <w:tr2bl w:val="nil"/>
            </w:tcBorders>
            <w:shd w:val="clear" w:color="auto" w:fill="auto"/>
            <w:vAlign w:val="center"/>
          </w:tcPr>
          <w:p w14:paraId="2CB95954">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36249063">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69EEBDFB">
            <w:pPr>
              <w:widowControl w:val="0"/>
              <w:jc w:val="center"/>
              <w:rPr>
                <w:sz w:val="21"/>
                <w:szCs w:val="21"/>
                <w:lang w:eastAsia="en-US"/>
              </w:rPr>
            </w:pPr>
            <w:r>
              <w:rPr>
                <w:sz w:val="21"/>
                <w:szCs w:val="21"/>
                <w:lang w:eastAsia="en-US"/>
              </w:rPr>
              <w:t>26.55</w:t>
            </w:r>
          </w:p>
        </w:tc>
        <w:tc>
          <w:tcPr>
            <w:tcW w:w="716" w:type="dxa"/>
            <w:tcBorders>
              <w:tl2br w:val="nil"/>
              <w:tr2bl w:val="nil"/>
            </w:tcBorders>
            <w:shd w:val="clear" w:color="auto" w:fill="auto"/>
            <w:vAlign w:val="center"/>
          </w:tcPr>
          <w:p w14:paraId="72989C62">
            <w:pPr>
              <w:widowControl w:val="0"/>
              <w:jc w:val="center"/>
              <w:rPr>
                <w:sz w:val="21"/>
                <w:szCs w:val="21"/>
                <w:lang w:eastAsia="en-US"/>
              </w:rPr>
            </w:pPr>
            <w:r>
              <w:rPr>
                <w:sz w:val="21"/>
                <w:szCs w:val="21"/>
                <w:lang w:eastAsia="en-US"/>
              </w:rPr>
              <w:t>达标</w:t>
            </w:r>
          </w:p>
        </w:tc>
      </w:tr>
      <w:tr w14:paraId="65E5CD5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36A249D">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5151422">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A3E5EEF">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138C5694">
            <w:pPr>
              <w:widowControl w:val="0"/>
              <w:jc w:val="center"/>
              <w:rPr>
                <w:sz w:val="21"/>
                <w:szCs w:val="21"/>
                <w:lang w:eastAsia="en-US"/>
              </w:rPr>
            </w:pPr>
          </w:p>
        </w:tc>
        <w:tc>
          <w:tcPr>
            <w:tcW w:w="914" w:type="dxa"/>
            <w:tcBorders>
              <w:tl2br w:val="nil"/>
              <w:tr2bl w:val="nil"/>
            </w:tcBorders>
            <w:shd w:val="clear" w:color="auto" w:fill="auto"/>
            <w:vAlign w:val="center"/>
          </w:tcPr>
          <w:p w14:paraId="28327AD5">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5EC9EAB">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A362504">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F061C97">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FCB8B10">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05C2E809">
            <w:pPr>
              <w:widowControl w:val="0"/>
              <w:jc w:val="center"/>
              <w:rPr>
                <w:sz w:val="21"/>
                <w:szCs w:val="21"/>
                <w:lang w:eastAsia="en-US"/>
              </w:rPr>
            </w:pPr>
            <w:r>
              <w:rPr>
                <w:sz w:val="21"/>
                <w:szCs w:val="21"/>
                <w:lang w:eastAsia="en-US"/>
              </w:rPr>
              <w:t>达标</w:t>
            </w:r>
          </w:p>
        </w:tc>
      </w:tr>
      <w:tr w14:paraId="3394B20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5AAC8B90">
            <w:pPr>
              <w:widowControl w:val="0"/>
              <w:jc w:val="center"/>
              <w:rPr>
                <w:sz w:val="21"/>
                <w:szCs w:val="21"/>
                <w:lang w:eastAsia="en-US"/>
              </w:rPr>
            </w:pPr>
            <w:r>
              <w:rPr>
                <w:sz w:val="21"/>
                <w:szCs w:val="21"/>
                <w:lang w:eastAsia="en-US"/>
              </w:rPr>
              <w:t>12</w:t>
            </w:r>
          </w:p>
        </w:tc>
        <w:tc>
          <w:tcPr>
            <w:tcW w:w="1145" w:type="dxa"/>
            <w:vMerge w:val="restart"/>
            <w:tcBorders>
              <w:tl2br w:val="nil"/>
              <w:tr2bl w:val="nil"/>
            </w:tcBorders>
            <w:shd w:val="clear" w:color="auto" w:fill="auto"/>
            <w:vAlign w:val="center"/>
          </w:tcPr>
          <w:p w14:paraId="16015689">
            <w:pPr>
              <w:widowControl w:val="0"/>
              <w:jc w:val="center"/>
              <w:rPr>
                <w:sz w:val="21"/>
                <w:szCs w:val="21"/>
                <w:lang w:eastAsia="en-US"/>
              </w:rPr>
            </w:pPr>
            <w:r>
              <w:rPr>
                <w:sz w:val="21"/>
                <w:szCs w:val="21"/>
                <w:lang w:eastAsia="en-US"/>
              </w:rPr>
              <w:t>天易水竹学校</w:t>
            </w:r>
          </w:p>
        </w:tc>
        <w:tc>
          <w:tcPr>
            <w:tcW w:w="737" w:type="dxa"/>
            <w:vMerge w:val="restart"/>
            <w:tcBorders>
              <w:tl2br w:val="nil"/>
              <w:tr2bl w:val="nil"/>
            </w:tcBorders>
            <w:shd w:val="clear" w:color="auto" w:fill="auto"/>
            <w:vAlign w:val="center"/>
          </w:tcPr>
          <w:p w14:paraId="2952A346">
            <w:pPr>
              <w:widowControl w:val="0"/>
              <w:jc w:val="center"/>
              <w:rPr>
                <w:sz w:val="21"/>
                <w:szCs w:val="21"/>
                <w:lang w:eastAsia="en-US"/>
              </w:rPr>
            </w:pPr>
            <w:r>
              <w:rPr>
                <w:rFonts w:hint="eastAsia"/>
                <w:sz w:val="21"/>
                <w:szCs w:val="21"/>
                <w:lang w:eastAsia="en-US"/>
              </w:rPr>
              <w:t>1155</w:t>
            </w:r>
          </w:p>
        </w:tc>
        <w:tc>
          <w:tcPr>
            <w:tcW w:w="647" w:type="dxa"/>
            <w:vMerge w:val="restart"/>
            <w:tcBorders>
              <w:tl2br w:val="nil"/>
              <w:tr2bl w:val="nil"/>
            </w:tcBorders>
            <w:shd w:val="clear" w:color="auto" w:fill="auto"/>
            <w:vAlign w:val="center"/>
          </w:tcPr>
          <w:p w14:paraId="5532D5F4">
            <w:pPr>
              <w:widowControl w:val="0"/>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5180CA40">
            <w:pPr>
              <w:widowControl w:val="0"/>
              <w:jc w:val="center"/>
              <w:rPr>
                <w:sz w:val="21"/>
                <w:szCs w:val="21"/>
                <w:lang w:eastAsia="en-US"/>
              </w:rPr>
            </w:pPr>
            <w:r>
              <w:rPr>
                <w:sz w:val="21"/>
                <w:szCs w:val="21"/>
                <w:lang w:eastAsia="en-US"/>
              </w:rPr>
              <w:t>1 小时</w:t>
            </w:r>
          </w:p>
        </w:tc>
        <w:tc>
          <w:tcPr>
            <w:tcW w:w="1069" w:type="dxa"/>
            <w:tcBorders>
              <w:tl2br w:val="nil"/>
              <w:tr2bl w:val="nil"/>
            </w:tcBorders>
            <w:shd w:val="clear" w:color="auto" w:fill="auto"/>
            <w:vAlign w:val="center"/>
          </w:tcPr>
          <w:p w14:paraId="1C822568">
            <w:pPr>
              <w:widowControl w:val="0"/>
              <w:jc w:val="center"/>
              <w:rPr>
                <w:sz w:val="21"/>
                <w:szCs w:val="21"/>
                <w:lang w:eastAsia="en-US"/>
              </w:rPr>
            </w:pPr>
            <w:r>
              <w:rPr>
                <w:rFonts w:hint="eastAsia"/>
                <w:sz w:val="21"/>
                <w:szCs w:val="21"/>
                <w:lang w:eastAsia="zh-CN"/>
              </w:rPr>
              <w:t>24</w:t>
            </w:r>
            <w:r>
              <w:rPr>
                <w:sz w:val="21"/>
                <w:szCs w:val="21"/>
                <w:lang w:eastAsia="en-US"/>
              </w:rPr>
              <w:t>051719</w:t>
            </w:r>
          </w:p>
        </w:tc>
        <w:tc>
          <w:tcPr>
            <w:tcW w:w="1182" w:type="dxa"/>
            <w:tcBorders>
              <w:tl2br w:val="nil"/>
              <w:tr2bl w:val="nil"/>
            </w:tcBorders>
            <w:shd w:val="clear" w:color="auto" w:fill="auto"/>
            <w:vAlign w:val="center"/>
          </w:tcPr>
          <w:p w14:paraId="7C19C453">
            <w:pPr>
              <w:widowControl w:val="0"/>
              <w:jc w:val="center"/>
              <w:rPr>
                <w:sz w:val="21"/>
                <w:szCs w:val="21"/>
                <w:lang w:eastAsia="en-US"/>
              </w:rPr>
            </w:pPr>
            <w:r>
              <w:rPr>
                <w:sz w:val="21"/>
                <w:szCs w:val="21"/>
                <w:lang w:eastAsia="en-US"/>
              </w:rPr>
              <w:t>0.0008</w:t>
            </w:r>
          </w:p>
        </w:tc>
        <w:tc>
          <w:tcPr>
            <w:tcW w:w="914" w:type="dxa"/>
            <w:tcBorders>
              <w:tl2br w:val="nil"/>
              <w:tr2bl w:val="nil"/>
            </w:tcBorders>
            <w:shd w:val="clear" w:color="auto" w:fill="auto"/>
            <w:vAlign w:val="center"/>
          </w:tcPr>
          <w:p w14:paraId="40C0440F">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D9E5475">
            <w:pPr>
              <w:widowControl w:val="0"/>
              <w:jc w:val="center"/>
              <w:rPr>
                <w:sz w:val="21"/>
                <w:szCs w:val="21"/>
                <w:lang w:eastAsia="en-US"/>
              </w:rPr>
            </w:pPr>
            <w:r>
              <w:rPr>
                <w:sz w:val="21"/>
                <w:szCs w:val="21"/>
                <w:lang w:eastAsia="en-US"/>
              </w:rPr>
              <w:t>0.39</w:t>
            </w:r>
          </w:p>
        </w:tc>
        <w:tc>
          <w:tcPr>
            <w:tcW w:w="716" w:type="dxa"/>
            <w:tcBorders>
              <w:tl2br w:val="nil"/>
              <w:tr2bl w:val="nil"/>
            </w:tcBorders>
            <w:shd w:val="clear" w:color="auto" w:fill="auto"/>
            <w:vAlign w:val="center"/>
          </w:tcPr>
          <w:p w14:paraId="222D3A7F">
            <w:pPr>
              <w:widowControl w:val="0"/>
              <w:jc w:val="center"/>
              <w:rPr>
                <w:sz w:val="21"/>
                <w:szCs w:val="21"/>
                <w:lang w:eastAsia="en-US"/>
              </w:rPr>
            </w:pPr>
            <w:r>
              <w:rPr>
                <w:sz w:val="21"/>
                <w:szCs w:val="21"/>
                <w:lang w:eastAsia="en-US"/>
              </w:rPr>
              <w:t>达标</w:t>
            </w:r>
          </w:p>
        </w:tc>
      </w:tr>
      <w:tr w14:paraId="0447EBB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7592165">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34D228FB">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0B36D59A">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402B2872">
            <w:pPr>
              <w:widowControl w:val="0"/>
              <w:jc w:val="center"/>
              <w:rPr>
                <w:sz w:val="21"/>
                <w:szCs w:val="21"/>
                <w:lang w:eastAsia="en-US"/>
              </w:rPr>
            </w:pPr>
          </w:p>
        </w:tc>
        <w:tc>
          <w:tcPr>
            <w:tcW w:w="914" w:type="dxa"/>
            <w:tcBorders>
              <w:tl2br w:val="nil"/>
              <w:tr2bl w:val="nil"/>
            </w:tcBorders>
            <w:shd w:val="clear" w:color="auto" w:fill="auto"/>
            <w:vAlign w:val="center"/>
          </w:tcPr>
          <w:p w14:paraId="4BA0AEF3">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01A39066">
            <w:pPr>
              <w:widowControl w:val="0"/>
              <w:jc w:val="center"/>
              <w:rPr>
                <w:sz w:val="21"/>
                <w:szCs w:val="21"/>
                <w:lang w:eastAsia="en-US"/>
              </w:rPr>
            </w:pPr>
            <w:r>
              <w:rPr>
                <w:rFonts w:hint="eastAsia"/>
                <w:sz w:val="21"/>
                <w:szCs w:val="21"/>
                <w:lang w:eastAsia="zh-CN"/>
              </w:rPr>
              <w:t>24</w:t>
            </w:r>
            <w:r>
              <w:rPr>
                <w:sz w:val="21"/>
                <w:szCs w:val="21"/>
                <w:lang w:eastAsia="en-US"/>
              </w:rPr>
              <w:t>0705</w:t>
            </w:r>
          </w:p>
        </w:tc>
        <w:tc>
          <w:tcPr>
            <w:tcW w:w="1182" w:type="dxa"/>
            <w:tcBorders>
              <w:tl2br w:val="nil"/>
              <w:tr2bl w:val="nil"/>
            </w:tcBorders>
            <w:shd w:val="clear" w:color="auto" w:fill="auto"/>
            <w:vAlign w:val="center"/>
          </w:tcPr>
          <w:p w14:paraId="71CBE5A6">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0FBF2161">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5616005">
            <w:pPr>
              <w:widowControl w:val="0"/>
              <w:jc w:val="center"/>
              <w:rPr>
                <w:sz w:val="21"/>
                <w:szCs w:val="21"/>
                <w:lang w:eastAsia="en-US"/>
              </w:rPr>
            </w:pPr>
            <w:r>
              <w:rPr>
                <w:sz w:val="21"/>
                <w:szCs w:val="21"/>
                <w:lang w:eastAsia="en-US"/>
              </w:rPr>
              <w:t>26.54</w:t>
            </w:r>
          </w:p>
        </w:tc>
        <w:tc>
          <w:tcPr>
            <w:tcW w:w="716" w:type="dxa"/>
            <w:tcBorders>
              <w:tl2br w:val="nil"/>
              <w:tr2bl w:val="nil"/>
            </w:tcBorders>
            <w:shd w:val="clear" w:color="auto" w:fill="auto"/>
            <w:vAlign w:val="center"/>
          </w:tcPr>
          <w:p w14:paraId="67D46AAF">
            <w:pPr>
              <w:widowControl w:val="0"/>
              <w:jc w:val="center"/>
              <w:rPr>
                <w:sz w:val="21"/>
                <w:szCs w:val="21"/>
                <w:lang w:eastAsia="en-US"/>
              </w:rPr>
            </w:pPr>
            <w:r>
              <w:rPr>
                <w:sz w:val="21"/>
                <w:szCs w:val="21"/>
                <w:lang w:eastAsia="en-US"/>
              </w:rPr>
              <w:t>达标</w:t>
            </w:r>
          </w:p>
        </w:tc>
      </w:tr>
      <w:tr w14:paraId="5A08FDF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7B776828">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37BC113">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6EE9994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8670DFC">
            <w:pPr>
              <w:widowControl w:val="0"/>
              <w:jc w:val="center"/>
              <w:rPr>
                <w:sz w:val="21"/>
                <w:szCs w:val="21"/>
                <w:lang w:eastAsia="en-US"/>
              </w:rPr>
            </w:pPr>
          </w:p>
        </w:tc>
        <w:tc>
          <w:tcPr>
            <w:tcW w:w="914" w:type="dxa"/>
            <w:tcBorders>
              <w:tl2br w:val="nil"/>
              <w:tr2bl w:val="nil"/>
            </w:tcBorders>
            <w:shd w:val="clear" w:color="auto" w:fill="auto"/>
            <w:vAlign w:val="center"/>
          </w:tcPr>
          <w:p w14:paraId="27E81D10">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3028446">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FE02B99">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0A1E879">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5AA807CA">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4EDCDA78">
            <w:pPr>
              <w:widowControl w:val="0"/>
              <w:jc w:val="center"/>
              <w:rPr>
                <w:sz w:val="21"/>
                <w:szCs w:val="21"/>
                <w:lang w:eastAsia="en-US"/>
              </w:rPr>
            </w:pPr>
            <w:r>
              <w:rPr>
                <w:sz w:val="21"/>
                <w:szCs w:val="21"/>
                <w:lang w:eastAsia="en-US"/>
              </w:rPr>
              <w:t>达标</w:t>
            </w:r>
          </w:p>
        </w:tc>
      </w:tr>
      <w:tr w14:paraId="68EFC2C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23B2B9F0">
            <w:pPr>
              <w:widowControl w:val="0"/>
              <w:jc w:val="center"/>
              <w:rPr>
                <w:sz w:val="21"/>
                <w:szCs w:val="21"/>
                <w:lang w:eastAsia="en-US"/>
              </w:rPr>
            </w:pPr>
            <w:r>
              <w:rPr>
                <w:sz w:val="21"/>
                <w:szCs w:val="21"/>
                <w:lang w:eastAsia="en-US"/>
              </w:rPr>
              <w:t>13</w:t>
            </w:r>
          </w:p>
        </w:tc>
        <w:tc>
          <w:tcPr>
            <w:tcW w:w="1145" w:type="dxa"/>
            <w:vMerge w:val="restart"/>
            <w:tcBorders>
              <w:tl2br w:val="nil"/>
              <w:tr2bl w:val="nil"/>
            </w:tcBorders>
            <w:shd w:val="clear" w:color="auto" w:fill="auto"/>
            <w:vAlign w:val="center"/>
          </w:tcPr>
          <w:p w14:paraId="1FAB208A">
            <w:pPr>
              <w:widowControl w:val="0"/>
              <w:jc w:val="center"/>
              <w:rPr>
                <w:sz w:val="21"/>
                <w:szCs w:val="21"/>
                <w:lang w:eastAsia="en-US"/>
              </w:rPr>
            </w:pPr>
            <w:r>
              <w:rPr>
                <w:sz w:val="21"/>
                <w:szCs w:val="21"/>
                <w:lang w:eastAsia="en-US"/>
              </w:rPr>
              <w:t>水竹安置区</w:t>
            </w:r>
          </w:p>
        </w:tc>
        <w:tc>
          <w:tcPr>
            <w:tcW w:w="737" w:type="dxa"/>
            <w:vMerge w:val="restart"/>
            <w:tcBorders>
              <w:tl2br w:val="nil"/>
              <w:tr2bl w:val="nil"/>
            </w:tcBorders>
            <w:shd w:val="clear" w:color="auto" w:fill="auto"/>
            <w:vAlign w:val="center"/>
          </w:tcPr>
          <w:p w14:paraId="5FB8A8EE">
            <w:pPr>
              <w:widowControl w:val="0"/>
              <w:jc w:val="center"/>
              <w:rPr>
                <w:sz w:val="21"/>
                <w:szCs w:val="21"/>
                <w:lang w:eastAsia="en-US"/>
              </w:rPr>
            </w:pPr>
            <w:r>
              <w:rPr>
                <w:rFonts w:hint="eastAsia"/>
                <w:sz w:val="21"/>
                <w:szCs w:val="21"/>
                <w:lang w:eastAsia="en-US"/>
              </w:rPr>
              <w:t>752</w:t>
            </w:r>
          </w:p>
        </w:tc>
        <w:tc>
          <w:tcPr>
            <w:tcW w:w="647" w:type="dxa"/>
            <w:vMerge w:val="restart"/>
            <w:tcBorders>
              <w:tl2br w:val="nil"/>
              <w:tr2bl w:val="nil"/>
            </w:tcBorders>
            <w:shd w:val="clear" w:color="auto" w:fill="auto"/>
            <w:vAlign w:val="center"/>
          </w:tcPr>
          <w:p w14:paraId="7DA0EE81">
            <w:pPr>
              <w:widowControl w:val="0"/>
              <w:jc w:val="center"/>
              <w:rPr>
                <w:sz w:val="21"/>
                <w:szCs w:val="21"/>
                <w:lang w:eastAsia="en-US"/>
              </w:rPr>
            </w:pPr>
            <w:r>
              <w:rPr>
                <w:rFonts w:hint="eastAsia"/>
                <w:sz w:val="21"/>
                <w:szCs w:val="21"/>
                <w:lang w:eastAsia="en-US"/>
              </w:rPr>
              <w:t>233</w:t>
            </w:r>
          </w:p>
        </w:tc>
        <w:tc>
          <w:tcPr>
            <w:tcW w:w="914" w:type="dxa"/>
            <w:tcBorders>
              <w:tl2br w:val="nil"/>
              <w:tr2bl w:val="nil"/>
            </w:tcBorders>
            <w:shd w:val="clear" w:color="auto" w:fill="auto"/>
            <w:vAlign w:val="center"/>
          </w:tcPr>
          <w:p w14:paraId="1E8434BD">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979D888">
            <w:pPr>
              <w:widowControl w:val="0"/>
              <w:jc w:val="center"/>
              <w:rPr>
                <w:sz w:val="21"/>
                <w:szCs w:val="21"/>
                <w:lang w:eastAsia="en-US"/>
              </w:rPr>
            </w:pPr>
            <w:r>
              <w:rPr>
                <w:rFonts w:hint="eastAsia"/>
                <w:sz w:val="21"/>
                <w:szCs w:val="21"/>
                <w:lang w:eastAsia="zh-CN"/>
              </w:rPr>
              <w:t>24</w:t>
            </w:r>
            <w:r>
              <w:rPr>
                <w:sz w:val="21"/>
                <w:szCs w:val="21"/>
                <w:lang w:eastAsia="en-US"/>
              </w:rPr>
              <w:t>061819</w:t>
            </w:r>
          </w:p>
        </w:tc>
        <w:tc>
          <w:tcPr>
            <w:tcW w:w="1182" w:type="dxa"/>
            <w:tcBorders>
              <w:tl2br w:val="nil"/>
              <w:tr2bl w:val="nil"/>
            </w:tcBorders>
            <w:shd w:val="clear" w:color="auto" w:fill="auto"/>
            <w:vAlign w:val="center"/>
          </w:tcPr>
          <w:p w14:paraId="526481CD">
            <w:pPr>
              <w:widowControl w:val="0"/>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74F48C68">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FA1EEE0">
            <w:pPr>
              <w:widowControl w:val="0"/>
              <w:jc w:val="center"/>
              <w:rPr>
                <w:sz w:val="21"/>
                <w:szCs w:val="21"/>
                <w:lang w:eastAsia="en-US"/>
              </w:rPr>
            </w:pPr>
            <w:r>
              <w:rPr>
                <w:sz w:val="21"/>
                <w:szCs w:val="21"/>
                <w:lang w:eastAsia="en-US"/>
              </w:rPr>
              <w:t>0.43</w:t>
            </w:r>
          </w:p>
        </w:tc>
        <w:tc>
          <w:tcPr>
            <w:tcW w:w="716" w:type="dxa"/>
            <w:tcBorders>
              <w:tl2br w:val="nil"/>
              <w:tr2bl w:val="nil"/>
            </w:tcBorders>
            <w:shd w:val="clear" w:color="auto" w:fill="auto"/>
            <w:vAlign w:val="center"/>
          </w:tcPr>
          <w:p w14:paraId="635040D7">
            <w:pPr>
              <w:widowControl w:val="0"/>
              <w:jc w:val="center"/>
              <w:rPr>
                <w:sz w:val="21"/>
                <w:szCs w:val="21"/>
                <w:lang w:eastAsia="en-US"/>
              </w:rPr>
            </w:pPr>
            <w:r>
              <w:rPr>
                <w:sz w:val="21"/>
                <w:szCs w:val="21"/>
                <w:lang w:eastAsia="en-US"/>
              </w:rPr>
              <w:t>达标</w:t>
            </w:r>
          </w:p>
        </w:tc>
      </w:tr>
      <w:tr w14:paraId="0BF0583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0893FEA">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610BC5B">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B9A1EF1">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0F8B3B2D">
            <w:pPr>
              <w:widowControl w:val="0"/>
              <w:jc w:val="center"/>
              <w:rPr>
                <w:sz w:val="21"/>
                <w:szCs w:val="21"/>
                <w:lang w:eastAsia="en-US"/>
              </w:rPr>
            </w:pPr>
          </w:p>
        </w:tc>
        <w:tc>
          <w:tcPr>
            <w:tcW w:w="914" w:type="dxa"/>
            <w:tcBorders>
              <w:tl2br w:val="nil"/>
              <w:tr2bl w:val="nil"/>
            </w:tcBorders>
            <w:shd w:val="clear" w:color="auto" w:fill="auto"/>
            <w:vAlign w:val="center"/>
          </w:tcPr>
          <w:p w14:paraId="23CC14CC">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3AB37DE">
            <w:pPr>
              <w:widowControl w:val="0"/>
              <w:jc w:val="center"/>
              <w:rPr>
                <w:sz w:val="21"/>
                <w:szCs w:val="21"/>
                <w:lang w:eastAsia="en-US"/>
              </w:rPr>
            </w:pPr>
            <w:r>
              <w:rPr>
                <w:rFonts w:hint="eastAsia"/>
                <w:sz w:val="21"/>
                <w:szCs w:val="21"/>
                <w:lang w:eastAsia="zh-CN"/>
              </w:rPr>
              <w:t>24</w:t>
            </w:r>
            <w:r>
              <w:rPr>
                <w:sz w:val="21"/>
                <w:szCs w:val="21"/>
                <w:lang w:eastAsia="en-US"/>
              </w:rPr>
              <w:t>0705</w:t>
            </w:r>
          </w:p>
        </w:tc>
        <w:tc>
          <w:tcPr>
            <w:tcW w:w="1182" w:type="dxa"/>
            <w:tcBorders>
              <w:tl2br w:val="nil"/>
              <w:tr2bl w:val="nil"/>
            </w:tcBorders>
            <w:shd w:val="clear" w:color="auto" w:fill="auto"/>
            <w:vAlign w:val="center"/>
          </w:tcPr>
          <w:p w14:paraId="18EE8641">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7459D2C4">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7E77C522">
            <w:pPr>
              <w:widowControl w:val="0"/>
              <w:jc w:val="center"/>
              <w:rPr>
                <w:sz w:val="21"/>
                <w:szCs w:val="21"/>
                <w:lang w:eastAsia="en-US"/>
              </w:rPr>
            </w:pPr>
            <w:r>
              <w:rPr>
                <w:sz w:val="21"/>
                <w:szCs w:val="21"/>
                <w:lang w:eastAsia="en-US"/>
              </w:rPr>
              <w:t>26.53</w:t>
            </w:r>
          </w:p>
        </w:tc>
        <w:tc>
          <w:tcPr>
            <w:tcW w:w="716" w:type="dxa"/>
            <w:tcBorders>
              <w:tl2br w:val="nil"/>
              <w:tr2bl w:val="nil"/>
            </w:tcBorders>
            <w:shd w:val="clear" w:color="auto" w:fill="auto"/>
            <w:vAlign w:val="center"/>
          </w:tcPr>
          <w:p w14:paraId="1F0789E4">
            <w:pPr>
              <w:widowControl w:val="0"/>
              <w:jc w:val="center"/>
              <w:rPr>
                <w:sz w:val="21"/>
                <w:szCs w:val="21"/>
                <w:lang w:eastAsia="en-US"/>
              </w:rPr>
            </w:pPr>
            <w:r>
              <w:rPr>
                <w:sz w:val="21"/>
                <w:szCs w:val="21"/>
                <w:lang w:eastAsia="en-US"/>
              </w:rPr>
              <w:t>达标</w:t>
            </w:r>
          </w:p>
        </w:tc>
      </w:tr>
      <w:tr w14:paraId="43736BB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790CF38">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490CC63">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4CB874BB">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9E486E3">
            <w:pPr>
              <w:widowControl w:val="0"/>
              <w:jc w:val="center"/>
              <w:rPr>
                <w:sz w:val="21"/>
                <w:szCs w:val="21"/>
                <w:lang w:eastAsia="en-US"/>
              </w:rPr>
            </w:pPr>
          </w:p>
        </w:tc>
        <w:tc>
          <w:tcPr>
            <w:tcW w:w="914" w:type="dxa"/>
            <w:tcBorders>
              <w:tl2br w:val="nil"/>
              <w:tr2bl w:val="nil"/>
            </w:tcBorders>
            <w:shd w:val="clear" w:color="auto" w:fill="auto"/>
            <w:vAlign w:val="center"/>
          </w:tcPr>
          <w:p w14:paraId="3984C8B2">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D544FDA">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BE6106C">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0D5A88F">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3F531DD3">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29CEF05C">
            <w:pPr>
              <w:widowControl w:val="0"/>
              <w:jc w:val="center"/>
              <w:rPr>
                <w:sz w:val="21"/>
                <w:szCs w:val="21"/>
                <w:lang w:eastAsia="en-US"/>
              </w:rPr>
            </w:pPr>
            <w:r>
              <w:rPr>
                <w:sz w:val="21"/>
                <w:szCs w:val="21"/>
                <w:lang w:eastAsia="en-US"/>
              </w:rPr>
              <w:t>达标</w:t>
            </w:r>
          </w:p>
        </w:tc>
      </w:tr>
      <w:tr w14:paraId="07CCF45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1B619E68">
            <w:pPr>
              <w:widowControl w:val="0"/>
              <w:jc w:val="center"/>
              <w:rPr>
                <w:sz w:val="21"/>
                <w:szCs w:val="21"/>
                <w:lang w:eastAsia="en-US"/>
              </w:rPr>
            </w:pPr>
            <w:r>
              <w:rPr>
                <w:rFonts w:hint="eastAsia"/>
                <w:sz w:val="21"/>
                <w:szCs w:val="21"/>
                <w:lang w:eastAsia="en-US"/>
              </w:rPr>
              <w:t>14</w:t>
            </w:r>
          </w:p>
        </w:tc>
        <w:tc>
          <w:tcPr>
            <w:tcW w:w="1145" w:type="dxa"/>
            <w:vMerge w:val="restart"/>
            <w:tcBorders>
              <w:tl2br w:val="nil"/>
              <w:tr2bl w:val="nil"/>
            </w:tcBorders>
            <w:shd w:val="clear" w:color="auto" w:fill="auto"/>
            <w:vAlign w:val="center"/>
          </w:tcPr>
          <w:p w14:paraId="1961A254">
            <w:pPr>
              <w:widowControl w:val="0"/>
              <w:jc w:val="center"/>
              <w:rPr>
                <w:sz w:val="21"/>
                <w:szCs w:val="21"/>
                <w:lang w:eastAsia="en-US"/>
              </w:rPr>
            </w:pPr>
            <w:r>
              <w:rPr>
                <w:sz w:val="21"/>
                <w:szCs w:val="21"/>
                <w:lang w:eastAsia="en-US"/>
              </w:rPr>
              <w:t>湘潭县行政学校</w:t>
            </w:r>
          </w:p>
        </w:tc>
        <w:tc>
          <w:tcPr>
            <w:tcW w:w="737" w:type="dxa"/>
            <w:vMerge w:val="restart"/>
            <w:tcBorders>
              <w:tl2br w:val="nil"/>
              <w:tr2bl w:val="nil"/>
            </w:tcBorders>
            <w:shd w:val="clear" w:color="auto" w:fill="auto"/>
            <w:vAlign w:val="center"/>
          </w:tcPr>
          <w:p w14:paraId="6875F792">
            <w:pPr>
              <w:widowControl w:val="0"/>
              <w:jc w:val="center"/>
              <w:rPr>
                <w:sz w:val="21"/>
                <w:szCs w:val="21"/>
                <w:lang w:eastAsia="en-US"/>
              </w:rPr>
            </w:pPr>
            <w:r>
              <w:rPr>
                <w:rFonts w:hint="eastAsia"/>
                <w:sz w:val="21"/>
                <w:szCs w:val="21"/>
                <w:lang w:eastAsia="en-US"/>
              </w:rPr>
              <w:t>705</w:t>
            </w:r>
          </w:p>
        </w:tc>
        <w:tc>
          <w:tcPr>
            <w:tcW w:w="647" w:type="dxa"/>
            <w:vMerge w:val="restart"/>
            <w:tcBorders>
              <w:tl2br w:val="nil"/>
              <w:tr2bl w:val="nil"/>
            </w:tcBorders>
            <w:shd w:val="clear" w:color="auto" w:fill="auto"/>
            <w:vAlign w:val="center"/>
          </w:tcPr>
          <w:p w14:paraId="65C19524">
            <w:pPr>
              <w:widowControl w:val="0"/>
              <w:jc w:val="center"/>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5A099526">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B3B6EC3">
            <w:pPr>
              <w:widowControl w:val="0"/>
              <w:jc w:val="center"/>
              <w:rPr>
                <w:sz w:val="21"/>
                <w:szCs w:val="21"/>
                <w:lang w:eastAsia="en-US"/>
              </w:rPr>
            </w:pPr>
            <w:r>
              <w:rPr>
                <w:rFonts w:hint="eastAsia"/>
                <w:sz w:val="21"/>
                <w:szCs w:val="21"/>
                <w:lang w:eastAsia="zh-CN"/>
              </w:rPr>
              <w:t>24</w:t>
            </w:r>
            <w:r>
              <w:rPr>
                <w:sz w:val="21"/>
                <w:szCs w:val="21"/>
                <w:lang w:eastAsia="en-US"/>
              </w:rPr>
              <w:t>010109</w:t>
            </w:r>
          </w:p>
        </w:tc>
        <w:tc>
          <w:tcPr>
            <w:tcW w:w="1182" w:type="dxa"/>
            <w:tcBorders>
              <w:tl2br w:val="nil"/>
              <w:tr2bl w:val="nil"/>
            </w:tcBorders>
            <w:shd w:val="clear" w:color="auto" w:fill="auto"/>
            <w:vAlign w:val="center"/>
          </w:tcPr>
          <w:p w14:paraId="6223E431">
            <w:pPr>
              <w:widowControl w:val="0"/>
              <w:jc w:val="center"/>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770A087B">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61595D3">
            <w:pPr>
              <w:widowControl w:val="0"/>
              <w:jc w:val="center"/>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0AAEEC86">
            <w:pPr>
              <w:widowControl w:val="0"/>
              <w:jc w:val="center"/>
              <w:rPr>
                <w:sz w:val="21"/>
                <w:szCs w:val="21"/>
                <w:lang w:eastAsia="en-US"/>
              </w:rPr>
            </w:pPr>
            <w:r>
              <w:rPr>
                <w:sz w:val="21"/>
                <w:szCs w:val="21"/>
                <w:lang w:eastAsia="en-US"/>
              </w:rPr>
              <w:t>达标</w:t>
            </w:r>
          </w:p>
        </w:tc>
      </w:tr>
      <w:tr w14:paraId="48C79D9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3FFF253">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49A4DDFF">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955DEE4">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9026C0A">
            <w:pPr>
              <w:widowControl w:val="0"/>
              <w:jc w:val="center"/>
              <w:rPr>
                <w:sz w:val="21"/>
                <w:szCs w:val="21"/>
                <w:lang w:eastAsia="en-US"/>
              </w:rPr>
            </w:pPr>
          </w:p>
        </w:tc>
        <w:tc>
          <w:tcPr>
            <w:tcW w:w="914" w:type="dxa"/>
            <w:tcBorders>
              <w:tl2br w:val="nil"/>
              <w:tr2bl w:val="nil"/>
            </w:tcBorders>
            <w:shd w:val="clear" w:color="auto" w:fill="auto"/>
            <w:vAlign w:val="center"/>
          </w:tcPr>
          <w:p w14:paraId="105EB8FD">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50C714E">
            <w:pPr>
              <w:widowControl w:val="0"/>
              <w:jc w:val="center"/>
              <w:rPr>
                <w:sz w:val="21"/>
                <w:szCs w:val="21"/>
                <w:lang w:eastAsia="en-US"/>
              </w:rPr>
            </w:pPr>
            <w:r>
              <w:rPr>
                <w:rFonts w:hint="eastAsia"/>
                <w:sz w:val="21"/>
                <w:szCs w:val="21"/>
                <w:lang w:eastAsia="zh-CN"/>
              </w:rPr>
              <w:t>24</w:t>
            </w:r>
            <w:r>
              <w:rPr>
                <w:sz w:val="21"/>
                <w:szCs w:val="21"/>
                <w:lang w:eastAsia="en-US"/>
              </w:rPr>
              <w:t>0530</w:t>
            </w:r>
          </w:p>
        </w:tc>
        <w:tc>
          <w:tcPr>
            <w:tcW w:w="1182" w:type="dxa"/>
            <w:tcBorders>
              <w:tl2br w:val="nil"/>
              <w:tr2bl w:val="nil"/>
            </w:tcBorders>
            <w:shd w:val="clear" w:color="auto" w:fill="auto"/>
            <w:vAlign w:val="center"/>
          </w:tcPr>
          <w:p w14:paraId="69282C6B">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3FB83D79">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1499A04F">
            <w:pPr>
              <w:widowControl w:val="0"/>
              <w:jc w:val="center"/>
              <w:rPr>
                <w:sz w:val="21"/>
                <w:szCs w:val="21"/>
                <w:lang w:eastAsia="en-US"/>
              </w:rPr>
            </w:pPr>
            <w:r>
              <w:rPr>
                <w:sz w:val="21"/>
                <w:szCs w:val="21"/>
                <w:lang w:eastAsia="en-US"/>
              </w:rPr>
              <w:t>26.54</w:t>
            </w:r>
          </w:p>
        </w:tc>
        <w:tc>
          <w:tcPr>
            <w:tcW w:w="716" w:type="dxa"/>
            <w:tcBorders>
              <w:tl2br w:val="nil"/>
              <w:tr2bl w:val="nil"/>
            </w:tcBorders>
            <w:shd w:val="clear" w:color="auto" w:fill="auto"/>
            <w:vAlign w:val="center"/>
          </w:tcPr>
          <w:p w14:paraId="00F6854C">
            <w:pPr>
              <w:widowControl w:val="0"/>
              <w:jc w:val="center"/>
              <w:rPr>
                <w:sz w:val="21"/>
                <w:szCs w:val="21"/>
                <w:lang w:eastAsia="en-US"/>
              </w:rPr>
            </w:pPr>
            <w:r>
              <w:rPr>
                <w:sz w:val="21"/>
                <w:szCs w:val="21"/>
                <w:lang w:eastAsia="en-US"/>
              </w:rPr>
              <w:t>达标</w:t>
            </w:r>
          </w:p>
        </w:tc>
      </w:tr>
      <w:tr w14:paraId="389CAC0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60CE79B2">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52D2CB1">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1775928A">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1F5BAD45">
            <w:pPr>
              <w:widowControl w:val="0"/>
              <w:jc w:val="center"/>
              <w:rPr>
                <w:sz w:val="21"/>
                <w:szCs w:val="21"/>
                <w:lang w:eastAsia="en-US"/>
              </w:rPr>
            </w:pPr>
          </w:p>
        </w:tc>
        <w:tc>
          <w:tcPr>
            <w:tcW w:w="914" w:type="dxa"/>
            <w:tcBorders>
              <w:tl2br w:val="nil"/>
              <w:tr2bl w:val="nil"/>
            </w:tcBorders>
            <w:shd w:val="clear" w:color="auto" w:fill="auto"/>
            <w:vAlign w:val="center"/>
          </w:tcPr>
          <w:p w14:paraId="34434DBC">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6A8C084">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E280546">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55F1668">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9D8121D">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2357EAFF">
            <w:pPr>
              <w:widowControl w:val="0"/>
              <w:jc w:val="center"/>
              <w:rPr>
                <w:sz w:val="21"/>
                <w:szCs w:val="21"/>
                <w:lang w:eastAsia="en-US"/>
              </w:rPr>
            </w:pPr>
            <w:r>
              <w:rPr>
                <w:sz w:val="21"/>
                <w:szCs w:val="21"/>
                <w:lang w:eastAsia="en-US"/>
              </w:rPr>
              <w:t>达标</w:t>
            </w:r>
          </w:p>
        </w:tc>
      </w:tr>
      <w:tr w14:paraId="7E12F09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533B6644">
            <w:pPr>
              <w:widowControl w:val="0"/>
              <w:jc w:val="center"/>
              <w:rPr>
                <w:sz w:val="21"/>
                <w:szCs w:val="21"/>
                <w:lang w:eastAsia="en-US"/>
              </w:rPr>
            </w:pPr>
            <w:r>
              <w:rPr>
                <w:rFonts w:hint="eastAsia"/>
                <w:sz w:val="21"/>
                <w:szCs w:val="21"/>
                <w:lang w:eastAsia="en-US"/>
              </w:rPr>
              <w:t>15</w:t>
            </w:r>
          </w:p>
        </w:tc>
        <w:tc>
          <w:tcPr>
            <w:tcW w:w="1145" w:type="dxa"/>
            <w:vMerge w:val="restart"/>
            <w:tcBorders>
              <w:tl2br w:val="nil"/>
              <w:tr2bl w:val="nil"/>
            </w:tcBorders>
            <w:shd w:val="clear" w:color="auto" w:fill="auto"/>
            <w:vAlign w:val="center"/>
          </w:tcPr>
          <w:p w14:paraId="047C034D">
            <w:pPr>
              <w:widowControl w:val="0"/>
              <w:jc w:val="center"/>
              <w:rPr>
                <w:sz w:val="21"/>
                <w:szCs w:val="21"/>
                <w:lang w:eastAsia="en-US"/>
              </w:rPr>
            </w:pPr>
            <w:r>
              <w:rPr>
                <w:sz w:val="21"/>
                <w:szCs w:val="21"/>
                <w:lang w:eastAsia="en-US"/>
              </w:rPr>
              <w:t>湘潭县公安局</w:t>
            </w:r>
          </w:p>
        </w:tc>
        <w:tc>
          <w:tcPr>
            <w:tcW w:w="737" w:type="dxa"/>
            <w:vMerge w:val="restart"/>
            <w:tcBorders>
              <w:tl2br w:val="nil"/>
              <w:tr2bl w:val="nil"/>
            </w:tcBorders>
            <w:shd w:val="clear" w:color="auto" w:fill="auto"/>
            <w:vAlign w:val="center"/>
          </w:tcPr>
          <w:p w14:paraId="265E8391">
            <w:pPr>
              <w:widowControl w:val="0"/>
              <w:jc w:val="center"/>
              <w:rPr>
                <w:sz w:val="21"/>
                <w:szCs w:val="21"/>
                <w:lang w:eastAsia="en-US"/>
              </w:rPr>
            </w:pPr>
            <w:r>
              <w:rPr>
                <w:rFonts w:hint="eastAsia"/>
                <w:sz w:val="21"/>
                <w:szCs w:val="21"/>
                <w:lang w:eastAsia="en-US"/>
              </w:rPr>
              <w:t>1104</w:t>
            </w:r>
          </w:p>
        </w:tc>
        <w:tc>
          <w:tcPr>
            <w:tcW w:w="647" w:type="dxa"/>
            <w:vMerge w:val="restart"/>
            <w:tcBorders>
              <w:tl2br w:val="nil"/>
              <w:tr2bl w:val="nil"/>
            </w:tcBorders>
            <w:shd w:val="clear" w:color="auto" w:fill="auto"/>
            <w:vAlign w:val="center"/>
          </w:tcPr>
          <w:p w14:paraId="34E09C01">
            <w:pPr>
              <w:widowControl w:val="0"/>
              <w:jc w:val="center"/>
              <w:rPr>
                <w:sz w:val="21"/>
                <w:szCs w:val="21"/>
                <w:lang w:eastAsia="en-US"/>
              </w:rPr>
            </w:pPr>
            <w:r>
              <w:rPr>
                <w:rFonts w:hint="eastAsia"/>
                <w:sz w:val="21"/>
                <w:szCs w:val="21"/>
                <w:lang w:eastAsia="en-US"/>
              </w:rPr>
              <w:t>910</w:t>
            </w:r>
          </w:p>
        </w:tc>
        <w:tc>
          <w:tcPr>
            <w:tcW w:w="914" w:type="dxa"/>
            <w:tcBorders>
              <w:tl2br w:val="nil"/>
              <w:tr2bl w:val="nil"/>
            </w:tcBorders>
            <w:shd w:val="clear" w:color="auto" w:fill="auto"/>
            <w:vAlign w:val="center"/>
          </w:tcPr>
          <w:p w14:paraId="2C04986D">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74024F4">
            <w:pPr>
              <w:widowControl w:val="0"/>
              <w:jc w:val="center"/>
              <w:rPr>
                <w:sz w:val="21"/>
                <w:szCs w:val="21"/>
                <w:lang w:eastAsia="en-US"/>
              </w:rPr>
            </w:pPr>
            <w:r>
              <w:rPr>
                <w:rFonts w:hint="eastAsia"/>
                <w:sz w:val="21"/>
                <w:szCs w:val="21"/>
                <w:lang w:eastAsia="zh-CN"/>
              </w:rPr>
              <w:t>24</w:t>
            </w:r>
            <w:r>
              <w:rPr>
                <w:sz w:val="21"/>
                <w:szCs w:val="21"/>
                <w:lang w:eastAsia="en-US"/>
              </w:rPr>
              <w:t>05</w:t>
            </w:r>
            <w:r>
              <w:rPr>
                <w:rFonts w:hint="eastAsia"/>
                <w:sz w:val="21"/>
                <w:szCs w:val="21"/>
                <w:lang w:eastAsia="zh-CN"/>
              </w:rPr>
              <w:t>24</w:t>
            </w:r>
            <w:r>
              <w:rPr>
                <w:sz w:val="21"/>
                <w:szCs w:val="21"/>
                <w:lang w:eastAsia="en-US"/>
              </w:rPr>
              <w:t>07</w:t>
            </w:r>
          </w:p>
        </w:tc>
        <w:tc>
          <w:tcPr>
            <w:tcW w:w="1182" w:type="dxa"/>
            <w:tcBorders>
              <w:tl2br w:val="nil"/>
              <w:tr2bl w:val="nil"/>
            </w:tcBorders>
            <w:shd w:val="clear" w:color="auto" w:fill="auto"/>
            <w:vAlign w:val="center"/>
          </w:tcPr>
          <w:p w14:paraId="66073818">
            <w:pPr>
              <w:widowControl w:val="0"/>
              <w:jc w:val="center"/>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2984586E">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AB4A3FD">
            <w:pPr>
              <w:widowControl w:val="0"/>
              <w:jc w:val="center"/>
              <w:rPr>
                <w:sz w:val="21"/>
                <w:szCs w:val="21"/>
                <w:lang w:eastAsia="en-US"/>
              </w:rPr>
            </w:pPr>
            <w:r>
              <w:rPr>
                <w:sz w:val="21"/>
                <w:szCs w:val="21"/>
                <w:lang w:eastAsia="en-US"/>
              </w:rPr>
              <w:t>0.29</w:t>
            </w:r>
          </w:p>
        </w:tc>
        <w:tc>
          <w:tcPr>
            <w:tcW w:w="716" w:type="dxa"/>
            <w:tcBorders>
              <w:tl2br w:val="nil"/>
              <w:tr2bl w:val="nil"/>
            </w:tcBorders>
            <w:shd w:val="clear" w:color="auto" w:fill="auto"/>
            <w:vAlign w:val="center"/>
          </w:tcPr>
          <w:p w14:paraId="064996D3">
            <w:pPr>
              <w:widowControl w:val="0"/>
              <w:jc w:val="center"/>
              <w:rPr>
                <w:sz w:val="21"/>
                <w:szCs w:val="21"/>
                <w:lang w:eastAsia="en-US"/>
              </w:rPr>
            </w:pPr>
            <w:r>
              <w:rPr>
                <w:sz w:val="21"/>
                <w:szCs w:val="21"/>
                <w:lang w:eastAsia="en-US"/>
              </w:rPr>
              <w:t>达标</w:t>
            </w:r>
          </w:p>
        </w:tc>
      </w:tr>
      <w:tr w14:paraId="68B150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3C48EB05">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361D308">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43405AB5">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56FFBF5C">
            <w:pPr>
              <w:widowControl w:val="0"/>
              <w:jc w:val="center"/>
              <w:rPr>
                <w:sz w:val="21"/>
                <w:szCs w:val="21"/>
                <w:lang w:eastAsia="en-US"/>
              </w:rPr>
            </w:pPr>
          </w:p>
        </w:tc>
        <w:tc>
          <w:tcPr>
            <w:tcW w:w="914" w:type="dxa"/>
            <w:tcBorders>
              <w:tl2br w:val="nil"/>
              <w:tr2bl w:val="nil"/>
            </w:tcBorders>
            <w:shd w:val="clear" w:color="auto" w:fill="auto"/>
            <w:vAlign w:val="center"/>
          </w:tcPr>
          <w:p w14:paraId="52D49CE3">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086C483">
            <w:pPr>
              <w:widowControl w:val="0"/>
              <w:jc w:val="center"/>
              <w:rPr>
                <w:sz w:val="21"/>
                <w:szCs w:val="21"/>
                <w:lang w:eastAsia="en-US"/>
              </w:rPr>
            </w:pPr>
            <w:r>
              <w:rPr>
                <w:rFonts w:hint="eastAsia"/>
                <w:sz w:val="21"/>
                <w:szCs w:val="21"/>
                <w:lang w:eastAsia="zh-CN"/>
              </w:rPr>
              <w:t>24</w:t>
            </w:r>
            <w:r>
              <w:rPr>
                <w:sz w:val="21"/>
                <w:szCs w:val="21"/>
                <w:lang w:eastAsia="en-US"/>
              </w:rPr>
              <w:t>0101</w:t>
            </w:r>
          </w:p>
        </w:tc>
        <w:tc>
          <w:tcPr>
            <w:tcW w:w="1182" w:type="dxa"/>
            <w:tcBorders>
              <w:tl2br w:val="nil"/>
              <w:tr2bl w:val="nil"/>
            </w:tcBorders>
            <w:shd w:val="clear" w:color="auto" w:fill="auto"/>
            <w:vAlign w:val="center"/>
          </w:tcPr>
          <w:p w14:paraId="0E1D19BB">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552D4F1C">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1B892FF0">
            <w:pPr>
              <w:widowControl w:val="0"/>
              <w:jc w:val="center"/>
              <w:rPr>
                <w:sz w:val="21"/>
                <w:szCs w:val="21"/>
                <w:lang w:eastAsia="en-US"/>
              </w:rPr>
            </w:pPr>
            <w:r>
              <w:rPr>
                <w:sz w:val="21"/>
                <w:szCs w:val="21"/>
                <w:lang w:eastAsia="en-US"/>
              </w:rPr>
              <w:t>26.51</w:t>
            </w:r>
          </w:p>
        </w:tc>
        <w:tc>
          <w:tcPr>
            <w:tcW w:w="716" w:type="dxa"/>
            <w:tcBorders>
              <w:tl2br w:val="nil"/>
              <w:tr2bl w:val="nil"/>
            </w:tcBorders>
            <w:shd w:val="clear" w:color="auto" w:fill="auto"/>
            <w:vAlign w:val="center"/>
          </w:tcPr>
          <w:p w14:paraId="5EEDEDFF">
            <w:pPr>
              <w:widowControl w:val="0"/>
              <w:jc w:val="center"/>
              <w:rPr>
                <w:sz w:val="21"/>
                <w:szCs w:val="21"/>
                <w:lang w:eastAsia="en-US"/>
              </w:rPr>
            </w:pPr>
            <w:r>
              <w:rPr>
                <w:sz w:val="21"/>
                <w:szCs w:val="21"/>
                <w:lang w:eastAsia="en-US"/>
              </w:rPr>
              <w:t>达标</w:t>
            </w:r>
          </w:p>
        </w:tc>
      </w:tr>
      <w:tr w14:paraId="7D9D2C5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788EAE7">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3F0581A5">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D357B03">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0C8F8149">
            <w:pPr>
              <w:widowControl w:val="0"/>
              <w:jc w:val="center"/>
              <w:rPr>
                <w:sz w:val="21"/>
                <w:szCs w:val="21"/>
                <w:lang w:eastAsia="en-US"/>
              </w:rPr>
            </w:pPr>
          </w:p>
        </w:tc>
        <w:tc>
          <w:tcPr>
            <w:tcW w:w="914" w:type="dxa"/>
            <w:tcBorders>
              <w:tl2br w:val="nil"/>
              <w:tr2bl w:val="nil"/>
            </w:tcBorders>
            <w:shd w:val="clear" w:color="auto" w:fill="auto"/>
            <w:vAlign w:val="center"/>
          </w:tcPr>
          <w:p w14:paraId="30DF3E50">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32B95FE">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B27E318">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E0A6973">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3A61DF8D">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3B45845E">
            <w:pPr>
              <w:widowControl w:val="0"/>
              <w:jc w:val="center"/>
              <w:rPr>
                <w:sz w:val="21"/>
                <w:szCs w:val="21"/>
                <w:lang w:eastAsia="en-US"/>
              </w:rPr>
            </w:pPr>
            <w:r>
              <w:rPr>
                <w:sz w:val="21"/>
                <w:szCs w:val="21"/>
                <w:lang w:eastAsia="en-US"/>
              </w:rPr>
              <w:t>达标</w:t>
            </w:r>
          </w:p>
        </w:tc>
      </w:tr>
      <w:tr w14:paraId="3BAF5DD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259D6779">
            <w:pPr>
              <w:widowControl w:val="0"/>
              <w:jc w:val="center"/>
              <w:rPr>
                <w:sz w:val="21"/>
                <w:szCs w:val="21"/>
                <w:lang w:eastAsia="en-US"/>
              </w:rPr>
            </w:pPr>
            <w:r>
              <w:rPr>
                <w:rFonts w:hint="eastAsia"/>
                <w:sz w:val="21"/>
                <w:szCs w:val="21"/>
                <w:lang w:eastAsia="en-US"/>
              </w:rPr>
              <w:t>16</w:t>
            </w:r>
          </w:p>
        </w:tc>
        <w:tc>
          <w:tcPr>
            <w:tcW w:w="1145" w:type="dxa"/>
            <w:vMerge w:val="restart"/>
            <w:tcBorders>
              <w:tl2br w:val="nil"/>
              <w:tr2bl w:val="nil"/>
            </w:tcBorders>
            <w:shd w:val="clear" w:color="auto" w:fill="auto"/>
            <w:vAlign w:val="center"/>
          </w:tcPr>
          <w:p w14:paraId="2C222D0C">
            <w:pPr>
              <w:widowControl w:val="0"/>
              <w:jc w:val="center"/>
              <w:rPr>
                <w:sz w:val="21"/>
                <w:szCs w:val="21"/>
                <w:lang w:eastAsia="en-US"/>
              </w:rPr>
            </w:pPr>
            <w:r>
              <w:rPr>
                <w:sz w:val="21"/>
                <w:szCs w:val="21"/>
                <w:lang w:eastAsia="en-US"/>
              </w:rPr>
              <w:t>学府雅苑</w:t>
            </w:r>
          </w:p>
        </w:tc>
        <w:tc>
          <w:tcPr>
            <w:tcW w:w="737" w:type="dxa"/>
            <w:vMerge w:val="restart"/>
            <w:tcBorders>
              <w:tl2br w:val="nil"/>
              <w:tr2bl w:val="nil"/>
            </w:tcBorders>
            <w:shd w:val="clear" w:color="auto" w:fill="auto"/>
            <w:vAlign w:val="center"/>
          </w:tcPr>
          <w:p w14:paraId="7F135313">
            <w:pPr>
              <w:widowControl w:val="0"/>
              <w:jc w:val="center"/>
              <w:rPr>
                <w:sz w:val="21"/>
                <w:szCs w:val="21"/>
                <w:lang w:eastAsia="en-US"/>
              </w:rPr>
            </w:pPr>
            <w:r>
              <w:rPr>
                <w:rFonts w:hint="eastAsia"/>
                <w:sz w:val="21"/>
                <w:szCs w:val="21"/>
                <w:lang w:eastAsia="en-US"/>
              </w:rPr>
              <w:t>742</w:t>
            </w:r>
          </w:p>
        </w:tc>
        <w:tc>
          <w:tcPr>
            <w:tcW w:w="647" w:type="dxa"/>
            <w:vMerge w:val="restart"/>
            <w:tcBorders>
              <w:tl2br w:val="nil"/>
              <w:tr2bl w:val="nil"/>
            </w:tcBorders>
            <w:shd w:val="clear" w:color="auto" w:fill="auto"/>
            <w:vAlign w:val="center"/>
          </w:tcPr>
          <w:p w14:paraId="11090790">
            <w:pPr>
              <w:widowControl w:val="0"/>
              <w:jc w:val="center"/>
              <w:rPr>
                <w:sz w:val="21"/>
                <w:szCs w:val="21"/>
                <w:lang w:eastAsia="en-US"/>
              </w:rPr>
            </w:pPr>
            <w:r>
              <w:rPr>
                <w:rFonts w:hint="eastAsia"/>
                <w:sz w:val="21"/>
                <w:szCs w:val="21"/>
                <w:lang w:eastAsia="en-US"/>
              </w:rPr>
              <w:t>1055</w:t>
            </w:r>
          </w:p>
        </w:tc>
        <w:tc>
          <w:tcPr>
            <w:tcW w:w="914" w:type="dxa"/>
            <w:tcBorders>
              <w:tl2br w:val="nil"/>
              <w:tr2bl w:val="nil"/>
            </w:tcBorders>
            <w:shd w:val="clear" w:color="auto" w:fill="auto"/>
            <w:vAlign w:val="center"/>
          </w:tcPr>
          <w:p w14:paraId="2495CD53">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F97619A">
            <w:pPr>
              <w:widowControl w:val="0"/>
              <w:jc w:val="center"/>
              <w:rPr>
                <w:sz w:val="21"/>
                <w:szCs w:val="21"/>
                <w:lang w:eastAsia="en-US"/>
              </w:rPr>
            </w:pPr>
            <w:r>
              <w:rPr>
                <w:rFonts w:hint="eastAsia"/>
                <w:sz w:val="21"/>
                <w:szCs w:val="21"/>
                <w:lang w:eastAsia="zh-CN"/>
              </w:rPr>
              <w:t>24</w:t>
            </w:r>
            <w:r>
              <w:rPr>
                <w:sz w:val="21"/>
                <w:szCs w:val="21"/>
                <w:lang w:eastAsia="en-US"/>
              </w:rPr>
              <w:t>081619</w:t>
            </w:r>
          </w:p>
        </w:tc>
        <w:tc>
          <w:tcPr>
            <w:tcW w:w="1182" w:type="dxa"/>
            <w:tcBorders>
              <w:tl2br w:val="nil"/>
              <w:tr2bl w:val="nil"/>
            </w:tcBorders>
            <w:shd w:val="clear" w:color="auto" w:fill="auto"/>
            <w:vAlign w:val="center"/>
          </w:tcPr>
          <w:p w14:paraId="409EF1F6">
            <w:pPr>
              <w:widowControl w:val="0"/>
              <w:jc w:val="center"/>
              <w:rPr>
                <w:sz w:val="21"/>
                <w:szCs w:val="21"/>
                <w:lang w:eastAsia="en-US"/>
              </w:rPr>
            </w:pPr>
            <w:r>
              <w:rPr>
                <w:sz w:val="21"/>
                <w:szCs w:val="21"/>
                <w:lang w:eastAsia="en-US"/>
              </w:rPr>
              <w:t>0.0011</w:t>
            </w:r>
          </w:p>
        </w:tc>
        <w:tc>
          <w:tcPr>
            <w:tcW w:w="914" w:type="dxa"/>
            <w:tcBorders>
              <w:tl2br w:val="nil"/>
              <w:tr2bl w:val="nil"/>
            </w:tcBorders>
            <w:shd w:val="clear" w:color="auto" w:fill="auto"/>
            <w:vAlign w:val="center"/>
          </w:tcPr>
          <w:p w14:paraId="4EEE0178">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4C2AA3A">
            <w:pPr>
              <w:widowControl w:val="0"/>
              <w:jc w:val="center"/>
              <w:rPr>
                <w:sz w:val="21"/>
                <w:szCs w:val="21"/>
                <w:lang w:eastAsia="en-US"/>
              </w:rPr>
            </w:pPr>
            <w:r>
              <w:rPr>
                <w:sz w:val="21"/>
                <w:szCs w:val="21"/>
                <w:lang w:eastAsia="en-US"/>
              </w:rPr>
              <w:t>0.54</w:t>
            </w:r>
          </w:p>
        </w:tc>
        <w:tc>
          <w:tcPr>
            <w:tcW w:w="716" w:type="dxa"/>
            <w:tcBorders>
              <w:tl2br w:val="nil"/>
              <w:tr2bl w:val="nil"/>
            </w:tcBorders>
            <w:shd w:val="clear" w:color="auto" w:fill="auto"/>
            <w:vAlign w:val="center"/>
          </w:tcPr>
          <w:p w14:paraId="4BD76C2C">
            <w:pPr>
              <w:widowControl w:val="0"/>
              <w:jc w:val="center"/>
              <w:rPr>
                <w:sz w:val="21"/>
                <w:szCs w:val="21"/>
                <w:lang w:eastAsia="en-US"/>
              </w:rPr>
            </w:pPr>
            <w:r>
              <w:rPr>
                <w:sz w:val="21"/>
                <w:szCs w:val="21"/>
                <w:lang w:eastAsia="en-US"/>
              </w:rPr>
              <w:t>达标</w:t>
            </w:r>
          </w:p>
        </w:tc>
      </w:tr>
      <w:tr w14:paraId="0ADFC92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6F359FF5">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0C169C8E">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091F3BCB">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34027623">
            <w:pPr>
              <w:widowControl w:val="0"/>
              <w:jc w:val="center"/>
              <w:rPr>
                <w:sz w:val="21"/>
                <w:szCs w:val="21"/>
                <w:lang w:eastAsia="en-US"/>
              </w:rPr>
            </w:pPr>
          </w:p>
        </w:tc>
        <w:tc>
          <w:tcPr>
            <w:tcW w:w="914" w:type="dxa"/>
            <w:tcBorders>
              <w:tl2br w:val="nil"/>
              <w:tr2bl w:val="nil"/>
            </w:tcBorders>
            <w:shd w:val="clear" w:color="auto" w:fill="auto"/>
            <w:vAlign w:val="center"/>
          </w:tcPr>
          <w:p w14:paraId="38636F46">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348CB8D">
            <w:pPr>
              <w:widowControl w:val="0"/>
              <w:jc w:val="center"/>
              <w:rPr>
                <w:sz w:val="21"/>
                <w:szCs w:val="21"/>
                <w:lang w:eastAsia="en-US"/>
              </w:rPr>
            </w:pPr>
            <w:r>
              <w:rPr>
                <w:rFonts w:hint="eastAsia"/>
                <w:sz w:val="21"/>
                <w:szCs w:val="21"/>
                <w:lang w:eastAsia="zh-CN"/>
              </w:rPr>
              <w:t>24</w:t>
            </w:r>
            <w:r>
              <w:rPr>
                <w:sz w:val="21"/>
                <w:szCs w:val="21"/>
                <w:lang w:eastAsia="en-US"/>
              </w:rPr>
              <w:t>0816</w:t>
            </w:r>
          </w:p>
        </w:tc>
        <w:tc>
          <w:tcPr>
            <w:tcW w:w="1182" w:type="dxa"/>
            <w:tcBorders>
              <w:tl2br w:val="nil"/>
              <w:tr2bl w:val="nil"/>
            </w:tcBorders>
            <w:shd w:val="clear" w:color="auto" w:fill="auto"/>
            <w:vAlign w:val="center"/>
          </w:tcPr>
          <w:p w14:paraId="73009033">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65E9C451">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77AFF66">
            <w:pPr>
              <w:widowControl w:val="0"/>
              <w:jc w:val="center"/>
              <w:rPr>
                <w:sz w:val="21"/>
                <w:szCs w:val="21"/>
                <w:lang w:eastAsia="en-US"/>
              </w:rPr>
            </w:pPr>
            <w:r>
              <w:rPr>
                <w:sz w:val="21"/>
                <w:szCs w:val="21"/>
                <w:lang w:eastAsia="en-US"/>
              </w:rPr>
              <w:t>26.54</w:t>
            </w:r>
          </w:p>
        </w:tc>
        <w:tc>
          <w:tcPr>
            <w:tcW w:w="716" w:type="dxa"/>
            <w:tcBorders>
              <w:tl2br w:val="nil"/>
              <w:tr2bl w:val="nil"/>
            </w:tcBorders>
            <w:shd w:val="clear" w:color="auto" w:fill="auto"/>
            <w:vAlign w:val="center"/>
          </w:tcPr>
          <w:p w14:paraId="27121259">
            <w:pPr>
              <w:widowControl w:val="0"/>
              <w:jc w:val="center"/>
              <w:rPr>
                <w:sz w:val="21"/>
                <w:szCs w:val="21"/>
                <w:lang w:eastAsia="en-US"/>
              </w:rPr>
            </w:pPr>
            <w:r>
              <w:rPr>
                <w:sz w:val="21"/>
                <w:szCs w:val="21"/>
                <w:lang w:eastAsia="en-US"/>
              </w:rPr>
              <w:t>达标</w:t>
            </w:r>
          </w:p>
        </w:tc>
      </w:tr>
      <w:tr w14:paraId="4FFE8D0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ED83473">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7B14481">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65B8C7DC">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68FAA32B">
            <w:pPr>
              <w:widowControl w:val="0"/>
              <w:jc w:val="center"/>
              <w:rPr>
                <w:sz w:val="21"/>
                <w:szCs w:val="21"/>
                <w:lang w:eastAsia="en-US"/>
              </w:rPr>
            </w:pPr>
          </w:p>
        </w:tc>
        <w:tc>
          <w:tcPr>
            <w:tcW w:w="914" w:type="dxa"/>
            <w:tcBorders>
              <w:tl2br w:val="nil"/>
              <w:tr2bl w:val="nil"/>
            </w:tcBorders>
            <w:shd w:val="clear" w:color="auto" w:fill="auto"/>
            <w:vAlign w:val="center"/>
          </w:tcPr>
          <w:p w14:paraId="16F37631">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C7F505E">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D983FC1">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7914271">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5DEA9109">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4D4FAD8C">
            <w:pPr>
              <w:widowControl w:val="0"/>
              <w:jc w:val="center"/>
              <w:rPr>
                <w:sz w:val="21"/>
                <w:szCs w:val="21"/>
                <w:lang w:eastAsia="en-US"/>
              </w:rPr>
            </w:pPr>
            <w:r>
              <w:rPr>
                <w:sz w:val="21"/>
                <w:szCs w:val="21"/>
                <w:lang w:eastAsia="en-US"/>
              </w:rPr>
              <w:t>达标</w:t>
            </w:r>
          </w:p>
        </w:tc>
      </w:tr>
      <w:tr w14:paraId="4DD3876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7C723FE5">
            <w:pPr>
              <w:widowControl w:val="0"/>
              <w:jc w:val="center"/>
              <w:rPr>
                <w:sz w:val="21"/>
                <w:szCs w:val="21"/>
                <w:lang w:eastAsia="en-US"/>
              </w:rPr>
            </w:pPr>
            <w:r>
              <w:rPr>
                <w:rFonts w:hint="eastAsia"/>
                <w:sz w:val="21"/>
                <w:szCs w:val="21"/>
                <w:lang w:eastAsia="en-US"/>
              </w:rPr>
              <w:t>17</w:t>
            </w:r>
          </w:p>
        </w:tc>
        <w:tc>
          <w:tcPr>
            <w:tcW w:w="1145" w:type="dxa"/>
            <w:vMerge w:val="restart"/>
            <w:tcBorders>
              <w:tl2br w:val="nil"/>
              <w:tr2bl w:val="nil"/>
            </w:tcBorders>
            <w:shd w:val="clear" w:color="auto" w:fill="auto"/>
            <w:vAlign w:val="center"/>
          </w:tcPr>
          <w:p w14:paraId="21C4AFDF">
            <w:pPr>
              <w:widowControl w:val="0"/>
              <w:jc w:val="center"/>
              <w:rPr>
                <w:sz w:val="21"/>
                <w:szCs w:val="21"/>
                <w:lang w:eastAsia="en-US"/>
              </w:rPr>
            </w:pPr>
            <w:r>
              <w:rPr>
                <w:sz w:val="21"/>
                <w:szCs w:val="21"/>
                <w:lang w:eastAsia="en-US"/>
              </w:rPr>
              <w:t>天一家园</w:t>
            </w:r>
          </w:p>
        </w:tc>
        <w:tc>
          <w:tcPr>
            <w:tcW w:w="737" w:type="dxa"/>
            <w:vMerge w:val="restart"/>
            <w:tcBorders>
              <w:tl2br w:val="nil"/>
              <w:tr2bl w:val="nil"/>
            </w:tcBorders>
            <w:shd w:val="clear" w:color="auto" w:fill="auto"/>
            <w:vAlign w:val="center"/>
          </w:tcPr>
          <w:p w14:paraId="03743862">
            <w:pPr>
              <w:widowControl w:val="0"/>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742DAAD1">
            <w:pPr>
              <w:widowControl w:val="0"/>
              <w:jc w:val="center"/>
              <w:rPr>
                <w:sz w:val="21"/>
                <w:szCs w:val="21"/>
                <w:lang w:eastAsia="en-US"/>
              </w:rPr>
            </w:pPr>
            <w:r>
              <w:rPr>
                <w:rFonts w:hint="eastAsia"/>
                <w:sz w:val="21"/>
                <w:szCs w:val="21"/>
                <w:lang w:eastAsia="en-US"/>
              </w:rPr>
              <w:t>1414</w:t>
            </w:r>
          </w:p>
        </w:tc>
        <w:tc>
          <w:tcPr>
            <w:tcW w:w="914" w:type="dxa"/>
            <w:tcBorders>
              <w:tl2br w:val="nil"/>
              <w:tr2bl w:val="nil"/>
            </w:tcBorders>
            <w:shd w:val="clear" w:color="auto" w:fill="auto"/>
            <w:vAlign w:val="center"/>
          </w:tcPr>
          <w:p w14:paraId="7D8D0BFE">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4324402">
            <w:pPr>
              <w:widowControl w:val="0"/>
              <w:jc w:val="center"/>
              <w:rPr>
                <w:sz w:val="21"/>
                <w:szCs w:val="21"/>
                <w:lang w:eastAsia="en-US"/>
              </w:rPr>
            </w:pPr>
            <w:r>
              <w:rPr>
                <w:rFonts w:hint="eastAsia"/>
                <w:sz w:val="21"/>
                <w:szCs w:val="21"/>
                <w:lang w:eastAsia="zh-CN"/>
              </w:rPr>
              <w:t>24</w:t>
            </w:r>
            <w:r>
              <w:rPr>
                <w:sz w:val="21"/>
                <w:szCs w:val="21"/>
                <w:lang w:eastAsia="en-US"/>
              </w:rPr>
              <w:t>080701</w:t>
            </w:r>
          </w:p>
        </w:tc>
        <w:tc>
          <w:tcPr>
            <w:tcW w:w="1182" w:type="dxa"/>
            <w:tcBorders>
              <w:tl2br w:val="nil"/>
              <w:tr2bl w:val="nil"/>
            </w:tcBorders>
            <w:shd w:val="clear" w:color="auto" w:fill="auto"/>
            <w:vAlign w:val="center"/>
          </w:tcPr>
          <w:p w14:paraId="040C5964">
            <w:pPr>
              <w:widowControl w:val="0"/>
              <w:jc w:val="center"/>
              <w:rPr>
                <w:sz w:val="21"/>
                <w:szCs w:val="21"/>
                <w:lang w:eastAsia="en-US"/>
              </w:rPr>
            </w:pPr>
            <w:r>
              <w:rPr>
                <w:sz w:val="21"/>
                <w:szCs w:val="21"/>
                <w:lang w:eastAsia="en-US"/>
              </w:rPr>
              <w:t>0.0020</w:t>
            </w:r>
          </w:p>
        </w:tc>
        <w:tc>
          <w:tcPr>
            <w:tcW w:w="914" w:type="dxa"/>
            <w:tcBorders>
              <w:tl2br w:val="nil"/>
              <w:tr2bl w:val="nil"/>
            </w:tcBorders>
            <w:shd w:val="clear" w:color="auto" w:fill="auto"/>
            <w:vAlign w:val="center"/>
          </w:tcPr>
          <w:p w14:paraId="08953265">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5A51A7A">
            <w:pPr>
              <w:widowControl w:val="0"/>
              <w:jc w:val="center"/>
              <w:rPr>
                <w:sz w:val="21"/>
                <w:szCs w:val="21"/>
                <w:lang w:eastAsia="en-US"/>
              </w:rPr>
            </w:pPr>
            <w:r>
              <w:rPr>
                <w:sz w:val="21"/>
                <w:szCs w:val="21"/>
                <w:lang w:eastAsia="en-US"/>
              </w:rPr>
              <w:t>1.01</w:t>
            </w:r>
          </w:p>
        </w:tc>
        <w:tc>
          <w:tcPr>
            <w:tcW w:w="716" w:type="dxa"/>
            <w:tcBorders>
              <w:tl2br w:val="nil"/>
              <w:tr2bl w:val="nil"/>
            </w:tcBorders>
            <w:shd w:val="clear" w:color="auto" w:fill="auto"/>
            <w:vAlign w:val="center"/>
          </w:tcPr>
          <w:p w14:paraId="2231EEC0">
            <w:pPr>
              <w:widowControl w:val="0"/>
              <w:jc w:val="center"/>
              <w:rPr>
                <w:sz w:val="21"/>
                <w:szCs w:val="21"/>
                <w:lang w:eastAsia="en-US"/>
              </w:rPr>
            </w:pPr>
            <w:r>
              <w:rPr>
                <w:sz w:val="21"/>
                <w:szCs w:val="21"/>
                <w:lang w:eastAsia="en-US"/>
              </w:rPr>
              <w:t>达标</w:t>
            </w:r>
          </w:p>
        </w:tc>
      </w:tr>
      <w:tr w14:paraId="781CEE8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00373114">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E9A0026">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038AA1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5A550572">
            <w:pPr>
              <w:widowControl w:val="0"/>
              <w:jc w:val="center"/>
              <w:rPr>
                <w:sz w:val="21"/>
                <w:szCs w:val="21"/>
                <w:lang w:eastAsia="en-US"/>
              </w:rPr>
            </w:pPr>
          </w:p>
        </w:tc>
        <w:tc>
          <w:tcPr>
            <w:tcW w:w="914" w:type="dxa"/>
            <w:tcBorders>
              <w:tl2br w:val="nil"/>
              <w:tr2bl w:val="nil"/>
            </w:tcBorders>
            <w:shd w:val="clear" w:color="auto" w:fill="auto"/>
            <w:vAlign w:val="center"/>
          </w:tcPr>
          <w:p w14:paraId="5028F012">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386EEB9">
            <w:pPr>
              <w:widowControl w:val="0"/>
              <w:jc w:val="center"/>
              <w:rPr>
                <w:sz w:val="21"/>
                <w:szCs w:val="21"/>
                <w:lang w:eastAsia="en-US"/>
              </w:rPr>
            </w:pPr>
            <w:r>
              <w:rPr>
                <w:rFonts w:hint="eastAsia"/>
                <w:sz w:val="21"/>
                <w:szCs w:val="21"/>
                <w:lang w:eastAsia="zh-CN"/>
              </w:rPr>
              <w:t>24</w:t>
            </w:r>
            <w:r>
              <w:rPr>
                <w:sz w:val="21"/>
                <w:szCs w:val="21"/>
                <w:lang w:eastAsia="en-US"/>
              </w:rPr>
              <w:t>0811</w:t>
            </w:r>
          </w:p>
        </w:tc>
        <w:tc>
          <w:tcPr>
            <w:tcW w:w="1182" w:type="dxa"/>
            <w:tcBorders>
              <w:tl2br w:val="nil"/>
              <w:tr2bl w:val="nil"/>
            </w:tcBorders>
            <w:shd w:val="clear" w:color="auto" w:fill="auto"/>
            <w:vAlign w:val="center"/>
          </w:tcPr>
          <w:p w14:paraId="22238041">
            <w:pPr>
              <w:widowControl w:val="0"/>
              <w:jc w:val="center"/>
              <w:rPr>
                <w:sz w:val="21"/>
                <w:szCs w:val="21"/>
                <w:lang w:eastAsia="en-US"/>
              </w:rPr>
            </w:pPr>
            <w:r>
              <w:rPr>
                <w:sz w:val="21"/>
                <w:szCs w:val="21"/>
                <w:lang w:eastAsia="en-US"/>
              </w:rPr>
              <w:t>0.0214</w:t>
            </w:r>
          </w:p>
        </w:tc>
        <w:tc>
          <w:tcPr>
            <w:tcW w:w="914" w:type="dxa"/>
            <w:tcBorders>
              <w:tl2br w:val="nil"/>
              <w:tr2bl w:val="nil"/>
            </w:tcBorders>
            <w:shd w:val="clear" w:color="auto" w:fill="auto"/>
            <w:vAlign w:val="center"/>
          </w:tcPr>
          <w:p w14:paraId="46C49400">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78FC6313">
            <w:pPr>
              <w:widowControl w:val="0"/>
              <w:jc w:val="center"/>
              <w:rPr>
                <w:sz w:val="21"/>
                <w:szCs w:val="21"/>
                <w:lang w:eastAsia="en-US"/>
              </w:rPr>
            </w:pPr>
            <w:r>
              <w:rPr>
                <w:sz w:val="21"/>
                <w:szCs w:val="21"/>
                <w:lang w:eastAsia="en-US"/>
              </w:rPr>
              <w:t>26.72</w:t>
            </w:r>
          </w:p>
        </w:tc>
        <w:tc>
          <w:tcPr>
            <w:tcW w:w="716" w:type="dxa"/>
            <w:tcBorders>
              <w:tl2br w:val="nil"/>
              <w:tr2bl w:val="nil"/>
            </w:tcBorders>
            <w:shd w:val="clear" w:color="auto" w:fill="auto"/>
            <w:vAlign w:val="center"/>
          </w:tcPr>
          <w:p w14:paraId="29B450FC">
            <w:pPr>
              <w:widowControl w:val="0"/>
              <w:jc w:val="center"/>
              <w:rPr>
                <w:sz w:val="21"/>
                <w:szCs w:val="21"/>
                <w:lang w:eastAsia="en-US"/>
              </w:rPr>
            </w:pPr>
            <w:r>
              <w:rPr>
                <w:sz w:val="21"/>
                <w:szCs w:val="21"/>
                <w:lang w:eastAsia="en-US"/>
              </w:rPr>
              <w:t>达标</w:t>
            </w:r>
          </w:p>
        </w:tc>
      </w:tr>
      <w:tr w14:paraId="260875B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D07017D">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4190A908">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B834C9D">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6B3E2F14">
            <w:pPr>
              <w:widowControl w:val="0"/>
              <w:jc w:val="center"/>
              <w:rPr>
                <w:sz w:val="21"/>
                <w:szCs w:val="21"/>
                <w:lang w:eastAsia="en-US"/>
              </w:rPr>
            </w:pPr>
          </w:p>
        </w:tc>
        <w:tc>
          <w:tcPr>
            <w:tcW w:w="914" w:type="dxa"/>
            <w:tcBorders>
              <w:tl2br w:val="nil"/>
              <w:tr2bl w:val="nil"/>
            </w:tcBorders>
            <w:shd w:val="clear" w:color="auto" w:fill="auto"/>
            <w:vAlign w:val="center"/>
          </w:tcPr>
          <w:p w14:paraId="0F6E4DDC">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582CA42">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2498EC1">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4BE1BBE">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FAFA760">
            <w:pPr>
              <w:widowControl w:val="0"/>
              <w:jc w:val="center"/>
              <w:rPr>
                <w:sz w:val="21"/>
                <w:szCs w:val="21"/>
                <w:lang w:eastAsia="en-US"/>
              </w:rPr>
            </w:pPr>
            <w:r>
              <w:rPr>
                <w:sz w:val="21"/>
                <w:szCs w:val="21"/>
                <w:lang w:eastAsia="en-US"/>
              </w:rPr>
              <w:t>0.10</w:t>
            </w:r>
          </w:p>
        </w:tc>
        <w:tc>
          <w:tcPr>
            <w:tcW w:w="716" w:type="dxa"/>
            <w:tcBorders>
              <w:tl2br w:val="nil"/>
              <w:tr2bl w:val="nil"/>
            </w:tcBorders>
            <w:shd w:val="clear" w:color="auto" w:fill="auto"/>
            <w:vAlign w:val="center"/>
          </w:tcPr>
          <w:p w14:paraId="158A0937">
            <w:pPr>
              <w:widowControl w:val="0"/>
              <w:jc w:val="center"/>
              <w:rPr>
                <w:sz w:val="21"/>
                <w:szCs w:val="21"/>
                <w:lang w:eastAsia="en-US"/>
              </w:rPr>
            </w:pPr>
            <w:r>
              <w:rPr>
                <w:sz w:val="21"/>
                <w:szCs w:val="21"/>
                <w:lang w:eastAsia="en-US"/>
              </w:rPr>
              <w:t>达标</w:t>
            </w:r>
          </w:p>
        </w:tc>
      </w:tr>
      <w:tr w14:paraId="6FBAFB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52C4BD9A">
            <w:pPr>
              <w:widowControl w:val="0"/>
              <w:jc w:val="center"/>
              <w:rPr>
                <w:sz w:val="21"/>
                <w:szCs w:val="21"/>
                <w:lang w:eastAsia="en-US"/>
              </w:rPr>
            </w:pPr>
            <w:r>
              <w:rPr>
                <w:rFonts w:hint="eastAsia"/>
                <w:sz w:val="21"/>
                <w:szCs w:val="21"/>
                <w:lang w:eastAsia="en-US"/>
              </w:rPr>
              <w:t>18</w:t>
            </w:r>
          </w:p>
        </w:tc>
        <w:tc>
          <w:tcPr>
            <w:tcW w:w="1145" w:type="dxa"/>
            <w:vMerge w:val="restart"/>
            <w:tcBorders>
              <w:tl2br w:val="nil"/>
              <w:tr2bl w:val="nil"/>
            </w:tcBorders>
            <w:shd w:val="clear" w:color="auto" w:fill="auto"/>
            <w:vAlign w:val="center"/>
          </w:tcPr>
          <w:p w14:paraId="6A8C6568">
            <w:pPr>
              <w:widowControl w:val="0"/>
              <w:jc w:val="center"/>
              <w:rPr>
                <w:sz w:val="21"/>
                <w:szCs w:val="21"/>
                <w:lang w:eastAsia="en-US"/>
              </w:rPr>
            </w:pPr>
            <w:r>
              <w:rPr>
                <w:sz w:val="21"/>
                <w:szCs w:val="21"/>
                <w:lang w:eastAsia="en-US"/>
              </w:rPr>
              <w:t>长通名城</w:t>
            </w:r>
          </w:p>
        </w:tc>
        <w:tc>
          <w:tcPr>
            <w:tcW w:w="737" w:type="dxa"/>
            <w:vMerge w:val="restart"/>
            <w:tcBorders>
              <w:tl2br w:val="nil"/>
              <w:tr2bl w:val="nil"/>
            </w:tcBorders>
            <w:shd w:val="clear" w:color="auto" w:fill="auto"/>
            <w:vAlign w:val="center"/>
          </w:tcPr>
          <w:p w14:paraId="2B07ED4D">
            <w:pPr>
              <w:widowControl w:val="0"/>
              <w:jc w:val="center"/>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62FAF273">
            <w:pPr>
              <w:widowControl w:val="0"/>
              <w:jc w:val="center"/>
              <w:rPr>
                <w:sz w:val="21"/>
                <w:szCs w:val="21"/>
                <w:lang w:eastAsia="en-US"/>
              </w:rPr>
            </w:pPr>
            <w:r>
              <w:rPr>
                <w:rFonts w:hint="eastAsia"/>
                <w:sz w:val="21"/>
                <w:szCs w:val="21"/>
                <w:lang w:eastAsia="en-US"/>
              </w:rPr>
              <w:t>1675</w:t>
            </w:r>
          </w:p>
        </w:tc>
        <w:tc>
          <w:tcPr>
            <w:tcW w:w="914" w:type="dxa"/>
            <w:tcBorders>
              <w:tl2br w:val="nil"/>
              <w:tr2bl w:val="nil"/>
            </w:tcBorders>
            <w:shd w:val="clear" w:color="auto" w:fill="auto"/>
            <w:vAlign w:val="center"/>
          </w:tcPr>
          <w:p w14:paraId="05C51EDE">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BC1C336">
            <w:pPr>
              <w:widowControl w:val="0"/>
              <w:jc w:val="center"/>
              <w:rPr>
                <w:sz w:val="21"/>
                <w:szCs w:val="21"/>
                <w:lang w:eastAsia="en-US"/>
              </w:rPr>
            </w:pPr>
            <w:r>
              <w:rPr>
                <w:rFonts w:hint="eastAsia"/>
                <w:sz w:val="21"/>
                <w:szCs w:val="21"/>
                <w:lang w:eastAsia="zh-CN"/>
              </w:rPr>
              <w:t>24</w:t>
            </w:r>
            <w:r>
              <w:rPr>
                <w:sz w:val="21"/>
                <w:szCs w:val="21"/>
                <w:lang w:eastAsia="en-US"/>
              </w:rPr>
              <w:t>052419</w:t>
            </w:r>
          </w:p>
        </w:tc>
        <w:tc>
          <w:tcPr>
            <w:tcW w:w="1182" w:type="dxa"/>
            <w:tcBorders>
              <w:tl2br w:val="nil"/>
              <w:tr2bl w:val="nil"/>
            </w:tcBorders>
            <w:shd w:val="clear" w:color="auto" w:fill="auto"/>
            <w:vAlign w:val="center"/>
          </w:tcPr>
          <w:p w14:paraId="783A8269">
            <w:pPr>
              <w:widowControl w:val="0"/>
              <w:jc w:val="center"/>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2777AB52">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54F37D5">
            <w:pPr>
              <w:widowControl w:val="0"/>
              <w:jc w:val="center"/>
              <w:rPr>
                <w:sz w:val="21"/>
                <w:szCs w:val="21"/>
                <w:lang w:eastAsia="en-US"/>
              </w:rPr>
            </w:pPr>
            <w:r>
              <w:rPr>
                <w:sz w:val="21"/>
                <w:szCs w:val="21"/>
                <w:lang w:eastAsia="en-US"/>
              </w:rPr>
              <w:t>0.47</w:t>
            </w:r>
          </w:p>
        </w:tc>
        <w:tc>
          <w:tcPr>
            <w:tcW w:w="716" w:type="dxa"/>
            <w:tcBorders>
              <w:tl2br w:val="nil"/>
              <w:tr2bl w:val="nil"/>
            </w:tcBorders>
            <w:shd w:val="clear" w:color="auto" w:fill="auto"/>
            <w:vAlign w:val="center"/>
          </w:tcPr>
          <w:p w14:paraId="1B0A03B0">
            <w:pPr>
              <w:widowControl w:val="0"/>
              <w:jc w:val="center"/>
              <w:rPr>
                <w:sz w:val="21"/>
                <w:szCs w:val="21"/>
                <w:lang w:eastAsia="en-US"/>
              </w:rPr>
            </w:pPr>
            <w:r>
              <w:rPr>
                <w:sz w:val="21"/>
                <w:szCs w:val="21"/>
                <w:lang w:eastAsia="en-US"/>
              </w:rPr>
              <w:t>达标</w:t>
            </w:r>
          </w:p>
        </w:tc>
      </w:tr>
      <w:tr w14:paraId="59B035B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64E029B1">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20E216DC">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4107636B">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D60F197">
            <w:pPr>
              <w:widowControl w:val="0"/>
              <w:jc w:val="center"/>
              <w:rPr>
                <w:sz w:val="21"/>
                <w:szCs w:val="21"/>
                <w:lang w:eastAsia="en-US"/>
              </w:rPr>
            </w:pPr>
          </w:p>
        </w:tc>
        <w:tc>
          <w:tcPr>
            <w:tcW w:w="914" w:type="dxa"/>
            <w:tcBorders>
              <w:tl2br w:val="nil"/>
              <w:tr2bl w:val="nil"/>
            </w:tcBorders>
            <w:shd w:val="clear" w:color="auto" w:fill="auto"/>
            <w:vAlign w:val="center"/>
          </w:tcPr>
          <w:p w14:paraId="0BD47F4C">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1E259A2">
            <w:pPr>
              <w:widowControl w:val="0"/>
              <w:jc w:val="center"/>
              <w:rPr>
                <w:sz w:val="21"/>
                <w:szCs w:val="21"/>
                <w:lang w:eastAsia="en-US"/>
              </w:rPr>
            </w:pPr>
            <w:r>
              <w:rPr>
                <w:rFonts w:hint="eastAsia"/>
                <w:sz w:val="21"/>
                <w:szCs w:val="21"/>
                <w:lang w:eastAsia="zh-CN"/>
              </w:rPr>
              <w:t>24</w:t>
            </w:r>
            <w:r>
              <w:rPr>
                <w:sz w:val="21"/>
                <w:szCs w:val="21"/>
                <w:lang w:eastAsia="en-US"/>
              </w:rPr>
              <w:t>0531</w:t>
            </w:r>
          </w:p>
        </w:tc>
        <w:tc>
          <w:tcPr>
            <w:tcW w:w="1182" w:type="dxa"/>
            <w:tcBorders>
              <w:tl2br w:val="nil"/>
              <w:tr2bl w:val="nil"/>
            </w:tcBorders>
            <w:shd w:val="clear" w:color="auto" w:fill="auto"/>
            <w:vAlign w:val="center"/>
          </w:tcPr>
          <w:p w14:paraId="5248DF84">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1FAC6C75">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2D7FCF39">
            <w:pPr>
              <w:widowControl w:val="0"/>
              <w:jc w:val="center"/>
              <w:rPr>
                <w:sz w:val="21"/>
                <w:szCs w:val="21"/>
                <w:lang w:eastAsia="en-US"/>
              </w:rPr>
            </w:pPr>
            <w:r>
              <w:rPr>
                <w:sz w:val="21"/>
                <w:szCs w:val="21"/>
                <w:lang w:eastAsia="en-US"/>
              </w:rPr>
              <w:t>26.57</w:t>
            </w:r>
          </w:p>
        </w:tc>
        <w:tc>
          <w:tcPr>
            <w:tcW w:w="716" w:type="dxa"/>
            <w:tcBorders>
              <w:tl2br w:val="nil"/>
              <w:tr2bl w:val="nil"/>
            </w:tcBorders>
            <w:shd w:val="clear" w:color="auto" w:fill="auto"/>
            <w:vAlign w:val="center"/>
          </w:tcPr>
          <w:p w14:paraId="1732E3FE">
            <w:pPr>
              <w:widowControl w:val="0"/>
              <w:jc w:val="center"/>
              <w:rPr>
                <w:sz w:val="21"/>
                <w:szCs w:val="21"/>
                <w:lang w:eastAsia="en-US"/>
              </w:rPr>
            </w:pPr>
            <w:r>
              <w:rPr>
                <w:sz w:val="21"/>
                <w:szCs w:val="21"/>
                <w:lang w:eastAsia="en-US"/>
              </w:rPr>
              <w:t>达标</w:t>
            </w:r>
          </w:p>
        </w:tc>
      </w:tr>
      <w:tr w14:paraId="1AAE6DE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43ABEE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198DBF4A">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9C8FE11">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6918E40F">
            <w:pPr>
              <w:widowControl w:val="0"/>
              <w:jc w:val="center"/>
              <w:rPr>
                <w:sz w:val="21"/>
                <w:szCs w:val="21"/>
                <w:lang w:eastAsia="en-US"/>
              </w:rPr>
            </w:pPr>
          </w:p>
        </w:tc>
        <w:tc>
          <w:tcPr>
            <w:tcW w:w="914" w:type="dxa"/>
            <w:tcBorders>
              <w:tl2br w:val="nil"/>
              <w:tr2bl w:val="nil"/>
            </w:tcBorders>
            <w:shd w:val="clear" w:color="auto" w:fill="auto"/>
            <w:vAlign w:val="center"/>
          </w:tcPr>
          <w:p w14:paraId="2E885590">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CB1F48E">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C51206D">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2F25707">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1568954">
            <w:pPr>
              <w:widowControl w:val="0"/>
              <w:jc w:val="center"/>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6B6674D1">
            <w:pPr>
              <w:widowControl w:val="0"/>
              <w:jc w:val="center"/>
              <w:rPr>
                <w:sz w:val="21"/>
                <w:szCs w:val="21"/>
                <w:lang w:eastAsia="en-US"/>
              </w:rPr>
            </w:pPr>
            <w:r>
              <w:rPr>
                <w:sz w:val="21"/>
                <w:szCs w:val="21"/>
                <w:lang w:eastAsia="en-US"/>
              </w:rPr>
              <w:t>达标</w:t>
            </w:r>
          </w:p>
        </w:tc>
      </w:tr>
      <w:tr w14:paraId="76CD946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5E6DF8DB">
            <w:pPr>
              <w:widowControl w:val="0"/>
              <w:jc w:val="center"/>
              <w:rPr>
                <w:sz w:val="21"/>
                <w:szCs w:val="21"/>
                <w:lang w:eastAsia="en-US"/>
              </w:rPr>
            </w:pPr>
            <w:r>
              <w:rPr>
                <w:rFonts w:hint="eastAsia"/>
                <w:sz w:val="21"/>
                <w:szCs w:val="21"/>
                <w:lang w:eastAsia="en-US"/>
              </w:rPr>
              <w:t>19</w:t>
            </w:r>
          </w:p>
        </w:tc>
        <w:tc>
          <w:tcPr>
            <w:tcW w:w="1145" w:type="dxa"/>
            <w:vMerge w:val="restart"/>
            <w:tcBorders>
              <w:tl2br w:val="nil"/>
              <w:tr2bl w:val="nil"/>
            </w:tcBorders>
            <w:shd w:val="clear" w:color="auto" w:fill="auto"/>
            <w:vAlign w:val="center"/>
          </w:tcPr>
          <w:p w14:paraId="1B02D087">
            <w:pPr>
              <w:widowControl w:val="0"/>
              <w:jc w:val="center"/>
              <w:rPr>
                <w:sz w:val="21"/>
                <w:szCs w:val="21"/>
                <w:lang w:eastAsia="en-US"/>
              </w:rPr>
            </w:pPr>
            <w:r>
              <w:rPr>
                <w:sz w:val="21"/>
                <w:szCs w:val="21"/>
                <w:lang w:eastAsia="en-US"/>
              </w:rPr>
              <w:t>湘潭碧桂园</w:t>
            </w:r>
          </w:p>
        </w:tc>
        <w:tc>
          <w:tcPr>
            <w:tcW w:w="737" w:type="dxa"/>
            <w:vMerge w:val="restart"/>
            <w:tcBorders>
              <w:tl2br w:val="nil"/>
              <w:tr2bl w:val="nil"/>
            </w:tcBorders>
            <w:shd w:val="clear" w:color="auto" w:fill="auto"/>
            <w:vAlign w:val="center"/>
          </w:tcPr>
          <w:p w14:paraId="2791530A">
            <w:pPr>
              <w:widowControl w:val="0"/>
              <w:jc w:val="center"/>
              <w:rPr>
                <w:sz w:val="21"/>
                <w:szCs w:val="21"/>
                <w:lang w:eastAsia="en-US"/>
              </w:rPr>
            </w:pPr>
            <w:r>
              <w:rPr>
                <w:rFonts w:hint="eastAsia"/>
                <w:sz w:val="21"/>
                <w:szCs w:val="21"/>
                <w:lang w:eastAsia="en-US"/>
              </w:rPr>
              <w:t>1590</w:t>
            </w:r>
          </w:p>
        </w:tc>
        <w:tc>
          <w:tcPr>
            <w:tcW w:w="647" w:type="dxa"/>
            <w:vMerge w:val="restart"/>
            <w:tcBorders>
              <w:tl2br w:val="nil"/>
              <w:tr2bl w:val="nil"/>
            </w:tcBorders>
            <w:shd w:val="clear" w:color="auto" w:fill="auto"/>
            <w:vAlign w:val="center"/>
          </w:tcPr>
          <w:p w14:paraId="2F88CCD4">
            <w:pPr>
              <w:widowControl w:val="0"/>
              <w:jc w:val="center"/>
              <w:rPr>
                <w:sz w:val="21"/>
                <w:szCs w:val="21"/>
                <w:lang w:eastAsia="en-US"/>
              </w:rPr>
            </w:pPr>
            <w:r>
              <w:rPr>
                <w:rFonts w:hint="eastAsia"/>
                <w:sz w:val="21"/>
                <w:szCs w:val="21"/>
                <w:lang w:eastAsia="en-US"/>
              </w:rPr>
              <w:t>1772</w:t>
            </w:r>
          </w:p>
        </w:tc>
        <w:tc>
          <w:tcPr>
            <w:tcW w:w="914" w:type="dxa"/>
            <w:tcBorders>
              <w:tl2br w:val="nil"/>
              <w:tr2bl w:val="nil"/>
            </w:tcBorders>
            <w:shd w:val="clear" w:color="auto" w:fill="auto"/>
            <w:vAlign w:val="center"/>
          </w:tcPr>
          <w:p w14:paraId="09DD0F9A">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2536431">
            <w:pPr>
              <w:widowControl w:val="0"/>
              <w:jc w:val="center"/>
              <w:rPr>
                <w:sz w:val="21"/>
                <w:szCs w:val="21"/>
                <w:lang w:eastAsia="en-US"/>
              </w:rPr>
            </w:pPr>
            <w:r>
              <w:rPr>
                <w:rFonts w:hint="eastAsia"/>
                <w:sz w:val="21"/>
                <w:szCs w:val="21"/>
                <w:lang w:eastAsia="zh-CN"/>
              </w:rPr>
              <w:t>24</w:t>
            </w:r>
            <w:r>
              <w:rPr>
                <w:sz w:val="21"/>
                <w:szCs w:val="21"/>
                <w:lang w:eastAsia="en-US"/>
              </w:rPr>
              <w:t>010109</w:t>
            </w:r>
          </w:p>
        </w:tc>
        <w:tc>
          <w:tcPr>
            <w:tcW w:w="1182" w:type="dxa"/>
            <w:tcBorders>
              <w:tl2br w:val="nil"/>
              <w:tr2bl w:val="nil"/>
            </w:tcBorders>
            <w:shd w:val="clear" w:color="auto" w:fill="auto"/>
            <w:vAlign w:val="center"/>
          </w:tcPr>
          <w:p w14:paraId="49365E88">
            <w:pPr>
              <w:widowControl w:val="0"/>
              <w:jc w:val="center"/>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7E3903E0">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45D38BB">
            <w:pPr>
              <w:widowControl w:val="0"/>
              <w:jc w:val="center"/>
              <w:rPr>
                <w:sz w:val="21"/>
                <w:szCs w:val="21"/>
                <w:lang w:eastAsia="en-US"/>
              </w:rPr>
            </w:pPr>
            <w:r>
              <w:rPr>
                <w:sz w:val="21"/>
                <w:szCs w:val="21"/>
                <w:lang w:eastAsia="en-US"/>
              </w:rPr>
              <w:t>0.23</w:t>
            </w:r>
          </w:p>
        </w:tc>
        <w:tc>
          <w:tcPr>
            <w:tcW w:w="716" w:type="dxa"/>
            <w:tcBorders>
              <w:tl2br w:val="nil"/>
              <w:tr2bl w:val="nil"/>
            </w:tcBorders>
            <w:shd w:val="clear" w:color="auto" w:fill="auto"/>
            <w:vAlign w:val="center"/>
          </w:tcPr>
          <w:p w14:paraId="72F96E6F">
            <w:pPr>
              <w:widowControl w:val="0"/>
              <w:jc w:val="center"/>
              <w:rPr>
                <w:sz w:val="21"/>
                <w:szCs w:val="21"/>
                <w:lang w:eastAsia="en-US"/>
              </w:rPr>
            </w:pPr>
            <w:r>
              <w:rPr>
                <w:sz w:val="21"/>
                <w:szCs w:val="21"/>
                <w:lang w:eastAsia="en-US"/>
              </w:rPr>
              <w:t>达标</w:t>
            </w:r>
          </w:p>
        </w:tc>
      </w:tr>
      <w:tr w14:paraId="4B2E59E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8313EBC">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48D2FF7B">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3A3A4B0C">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18D3245D">
            <w:pPr>
              <w:widowControl w:val="0"/>
              <w:jc w:val="center"/>
              <w:rPr>
                <w:sz w:val="21"/>
                <w:szCs w:val="21"/>
                <w:lang w:eastAsia="en-US"/>
              </w:rPr>
            </w:pPr>
          </w:p>
        </w:tc>
        <w:tc>
          <w:tcPr>
            <w:tcW w:w="914" w:type="dxa"/>
            <w:tcBorders>
              <w:tl2br w:val="nil"/>
              <w:tr2bl w:val="nil"/>
            </w:tcBorders>
            <w:shd w:val="clear" w:color="auto" w:fill="auto"/>
            <w:vAlign w:val="center"/>
          </w:tcPr>
          <w:p w14:paraId="37F6E06C">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63C0318">
            <w:pPr>
              <w:widowControl w:val="0"/>
              <w:jc w:val="center"/>
              <w:rPr>
                <w:sz w:val="21"/>
                <w:szCs w:val="21"/>
                <w:lang w:eastAsia="en-US"/>
              </w:rPr>
            </w:pPr>
            <w:r>
              <w:rPr>
                <w:rFonts w:hint="eastAsia"/>
                <w:sz w:val="21"/>
                <w:szCs w:val="21"/>
                <w:lang w:eastAsia="zh-CN"/>
              </w:rPr>
              <w:t>24</w:t>
            </w:r>
            <w:r>
              <w:rPr>
                <w:sz w:val="21"/>
                <w:szCs w:val="21"/>
                <w:lang w:eastAsia="en-US"/>
              </w:rPr>
              <w:t>0530</w:t>
            </w:r>
          </w:p>
        </w:tc>
        <w:tc>
          <w:tcPr>
            <w:tcW w:w="1182" w:type="dxa"/>
            <w:tcBorders>
              <w:tl2br w:val="nil"/>
              <w:tr2bl w:val="nil"/>
            </w:tcBorders>
            <w:shd w:val="clear" w:color="auto" w:fill="auto"/>
            <w:vAlign w:val="center"/>
          </w:tcPr>
          <w:p w14:paraId="42BA0C23">
            <w:pPr>
              <w:widowControl w:val="0"/>
              <w:jc w:val="center"/>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7087B43C">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4FF2A5E6">
            <w:pPr>
              <w:widowControl w:val="0"/>
              <w:jc w:val="center"/>
              <w:rPr>
                <w:sz w:val="21"/>
                <w:szCs w:val="21"/>
                <w:lang w:eastAsia="en-US"/>
              </w:rPr>
            </w:pPr>
            <w:r>
              <w:rPr>
                <w:sz w:val="21"/>
                <w:szCs w:val="21"/>
                <w:lang w:eastAsia="en-US"/>
              </w:rPr>
              <w:t>26.50</w:t>
            </w:r>
          </w:p>
        </w:tc>
        <w:tc>
          <w:tcPr>
            <w:tcW w:w="716" w:type="dxa"/>
            <w:tcBorders>
              <w:tl2br w:val="nil"/>
              <w:tr2bl w:val="nil"/>
            </w:tcBorders>
            <w:shd w:val="clear" w:color="auto" w:fill="auto"/>
            <w:vAlign w:val="center"/>
          </w:tcPr>
          <w:p w14:paraId="5AC7C313">
            <w:pPr>
              <w:widowControl w:val="0"/>
              <w:jc w:val="center"/>
              <w:rPr>
                <w:sz w:val="21"/>
                <w:szCs w:val="21"/>
                <w:lang w:eastAsia="en-US"/>
              </w:rPr>
            </w:pPr>
            <w:r>
              <w:rPr>
                <w:sz w:val="21"/>
                <w:szCs w:val="21"/>
                <w:lang w:eastAsia="en-US"/>
              </w:rPr>
              <w:t>达标</w:t>
            </w:r>
          </w:p>
        </w:tc>
      </w:tr>
      <w:tr w14:paraId="61FF44B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5BA0E59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043754B3">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5322D7CB">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6ECB0AFF">
            <w:pPr>
              <w:widowControl w:val="0"/>
              <w:jc w:val="center"/>
              <w:rPr>
                <w:sz w:val="21"/>
                <w:szCs w:val="21"/>
                <w:lang w:eastAsia="en-US"/>
              </w:rPr>
            </w:pPr>
          </w:p>
        </w:tc>
        <w:tc>
          <w:tcPr>
            <w:tcW w:w="914" w:type="dxa"/>
            <w:tcBorders>
              <w:tl2br w:val="nil"/>
              <w:tr2bl w:val="nil"/>
            </w:tcBorders>
            <w:shd w:val="clear" w:color="auto" w:fill="auto"/>
            <w:vAlign w:val="center"/>
          </w:tcPr>
          <w:p w14:paraId="26A2B4C1">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F51E59F">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1B472B4">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94ECB18">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90B7454">
            <w:pPr>
              <w:widowControl w:val="0"/>
              <w:jc w:val="center"/>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1D625BB9">
            <w:pPr>
              <w:widowControl w:val="0"/>
              <w:jc w:val="center"/>
              <w:rPr>
                <w:sz w:val="21"/>
                <w:szCs w:val="21"/>
                <w:lang w:eastAsia="en-US"/>
              </w:rPr>
            </w:pPr>
            <w:r>
              <w:rPr>
                <w:sz w:val="21"/>
                <w:szCs w:val="21"/>
                <w:lang w:eastAsia="en-US"/>
              </w:rPr>
              <w:t>达标</w:t>
            </w:r>
          </w:p>
        </w:tc>
      </w:tr>
      <w:tr w14:paraId="498CEB0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298D7BD3">
            <w:pPr>
              <w:widowControl w:val="0"/>
              <w:jc w:val="center"/>
              <w:rPr>
                <w:sz w:val="21"/>
                <w:szCs w:val="21"/>
                <w:lang w:eastAsia="en-US"/>
              </w:rPr>
            </w:pPr>
            <w:r>
              <w:rPr>
                <w:rFonts w:hint="eastAsia"/>
                <w:sz w:val="21"/>
                <w:szCs w:val="21"/>
                <w:lang w:eastAsia="en-US"/>
              </w:rPr>
              <w:t>20</w:t>
            </w:r>
          </w:p>
        </w:tc>
        <w:tc>
          <w:tcPr>
            <w:tcW w:w="1145" w:type="dxa"/>
            <w:vMerge w:val="restart"/>
            <w:tcBorders>
              <w:tl2br w:val="nil"/>
              <w:tr2bl w:val="nil"/>
            </w:tcBorders>
            <w:shd w:val="clear" w:color="auto" w:fill="auto"/>
            <w:vAlign w:val="center"/>
          </w:tcPr>
          <w:p w14:paraId="3B80BAC9">
            <w:pPr>
              <w:widowControl w:val="0"/>
              <w:jc w:val="center"/>
              <w:rPr>
                <w:sz w:val="21"/>
                <w:szCs w:val="21"/>
                <w:lang w:eastAsia="zh-CN"/>
              </w:rPr>
            </w:pPr>
            <w:r>
              <w:rPr>
                <w:sz w:val="21"/>
                <w:szCs w:val="21"/>
                <w:lang w:eastAsia="zh-CN"/>
              </w:rPr>
              <w:t>东北侧湘潭县居民居住集中区</w:t>
            </w:r>
          </w:p>
        </w:tc>
        <w:tc>
          <w:tcPr>
            <w:tcW w:w="737" w:type="dxa"/>
            <w:vMerge w:val="restart"/>
            <w:tcBorders>
              <w:tl2br w:val="nil"/>
              <w:tr2bl w:val="nil"/>
            </w:tcBorders>
            <w:shd w:val="clear" w:color="auto" w:fill="auto"/>
            <w:vAlign w:val="center"/>
          </w:tcPr>
          <w:p w14:paraId="0FC520F2">
            <w:pPr>
              <w:widowControl w:val="0"/>
              <w:jc w:val="center"/>
              <w:rPr>
                <w:sz w:val="21"/>
                <w:szCs w:val="21"/>
                <w:lang w:eastAsia="en-US"/>
              </w:rPr>
            </w:pPr>
            <w:r>
              <w:rPr>
                <w:rFonts w:hint="eastAsia"/>
                <w:sz w:val="21"/>
                <w:szCs w:val="21"/>
                <w:lang w:eastAsia="en-US"/>
              </w:rPr>
              <w:t>582</w:t>
            </w:r>
          </w:p>
        </w:tc>
        <w:tc>
          <w:tcPr>
            <w:tcW w:w="647" w:type="dxa"/>
            <w:vMerge w:val="restart"/>
            <w:tcBorders>
              <w:tl2br w:val="nil"/>
              <w:tr2bl w:val="nil"/>
            </w:tcBorders>
            <w:shd w:val="clear" w:color="auto" w:fill="auto"/>
            <w:vAlign w:val="center"/>
          </w:tcPr>
          <w:p w14:paraId="5E3C36D4">
            <w:pPr>
              <w:widowControl w:val="0"/>
              <w:jc w:val="center"/>
              <w:rPr>
                <w:sz w:val="21"/>
                <w:szCs w:val="21"/>
                <w:lang w:eastAsia="en-US"/>
              </w:rPr>
            </w:pPr>
            <w:r>
              <w:rPr>
                <w:rFonts w:hint="eastAsia"/>
                <w:sz w:val="21"/>
                <w:szCs w:val="21"/>
                <w:lang w:eastAsia="en-US"/>
              </w:rPr>
              <w:t>2019</w:t>
            </w:r>
          </w:p>
        </w:tc>
        <w:tc>
          <w:tcPr>
            <w:tcW w:w="914" w:type="dxa"/>
            <w:tcBorders>
              <w:tl2br w:val="nil"/>
              <w:tr2bl w:val="nil"/>
            </w:tcBorders>
            <w:shd w:val="clear" w:color="auto" w:fill="auto"/>
            <w:vAlign w:val="center"/>
          </w:tcPr>
          <w:p w14:paraId="49D1CF27">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A41D03B">
            <w:pPr>
              <w:widowControl w:val="0"/>
              <w:jc w:val="center"/>
              <w:rPr>
                <w:sz w:val="21"/>
                <w:szCs w:val="21"/>
                <w:lang w:eastAsia="en-US"/>
              </w:rPr>
            </w:pPr>
            <w:r>
              <w:rPr>
                <w:rFonts w:hint="eastAsia"/>
                <w:sz w:val="21"/>
                <w:szCs w:val="21"/>
                <w:lang w:eastAsia="zh-CN"/>
              </w:rPr>
              <w:t>24</w:t>
            </w:r>
            <w:r>
              <w:rPr>
                <w:sz w:val="21"/>
                <w:szCs w:val="21"/>
                <w:lang w:eastAsia="en-US"/>
              </w:rPr>
              <w:t>100403</w:t>
            </w:r>
          </w:p>
        </w:tc>
        <w:tc>
          <w:tcPr>
            <w:tcW w:w="1182" w:type="dxa"/>
            <w:tcBorders>
              <w:tl2br w:val="nil"/>
              <w:tr2bl w:val="nil"/>
            </w:tcBorders>
            <w:shd w:val="clear" w:color="auto" w:fill="auto"/>
            <w:vAlign w:val="center"/>
          </w:tcPr>
          <w:p w14:paraId="1162DB56">
            <w:pPr>
              <w:widowControl w:val="0"/>
              <w:jc w:val="center"/>
              <w:rPr>
                <w:sz w:val="21"/>
                <w:szCs w:val="21"/>
                <w:lang w:eastAsia="en-US"/>
              </w:rPr>
            </w:pPr>
            <w:r>
              <w:rPr>
                <w:sz w:val="21"/>
                <w:szCs w:val="21"/>
                <w:lang w:eastAsia="en-US"/>
              </w:rPr>
              <w:t>0.0052</w:t>
            </w:r>
          </w:p>
        </w:tc>
        <w:tc>
          <w:tcPr>
            <w:tcW w:w="914" w:type="dxa"/>
            <w:tcBorders>
              <w:tl2br w:val="nil"/>
              <w:tr2bl w:val="nil"/>
            </w:tcBorders>
            <w:shd w:val="clear" w:color="auto" w:fill="auto"/>
            <w:vAlign w:val="center"/>
          </w:tcPr>
          <w:p w14:paraId="47C2421E">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7AE7B83A">
            <w:pPr>
              <w:widowControl w:val="0"/>
              <w:jc w:val="center"/>
              <w:rPr>
                <w:sz w:val="21"/>
                <w:szCs w:val="21"/>
                <w:lang w:eastAsia="en-US"/>
              </w:rPr>
            </w:pPr>
            <w:r>
              <w:rPr>
                <w:sz w:val="21"/>
                <w:szCs w:val="21"/>
                <w:lang w:eastAsia="en-US"/>
              </w:rPr>
              <w:t>2.58</w:t>
            </w:r>
          </w:p>
        </w:tc>
        <w:tc>
          <w:tcPr>
            <w:tcW w:w="716" w:type="dxa"/>
            <w:tcBorders>
              <w:tl2br w:val="nil"/>
              <w:tr2bl w:val="nil"/>
            </w:tcBorders>
            <w:shd w:val="clear" w:color="auto" w:fill="auto"/>
            <w:vAlign w:val="center"/>
          </w:tcPr>
          <w:p w14:paraId="24348DD5">
            <w:pPr>
              <w:widowControl w:val="0"/>
              <w:jc w:val="center"/>
              <w:rPr>
                <w:sz w:val="21"/>
                <w:szCs w:val="21"/>
                <w:lang w:eastAsia="en-US"/>
              </w:rPr>
            </w:pPr>
            <w:r>
              <w:rPr>
                <w:sz w:val="21"/>
                <w:szCs w:val="21"/>
                <w:lang w:eastAsia="en-US"/>
              </w:rPr>
              <w:t>达标</w:t>
            </w:r>
          </w:p>
        </w:tc>
      </w:tr>
      <w:tr w14:paraId="3EDDF35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0556F5C">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1F8015B">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273D836A">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A050371">
            <w:pPr>
              <w:widowControl w:val="0"/>
              <w:jc w:val="center"/>
              <w:rPr>
                <w:sz w:val="21"/>
                <w:szCs w:val="21"/>
                <w:lang w:eastAsia="en-US"/>
              </w:rPr>
            </w:pPr>
          </w:p>
        </w:tc>
        <w:tc>
          <w:tcPr>
            <w:tcW w:w="914" w:type="dxa"/>
            <w:tcBorders>
              <w:tl2br w:val="nil"/>
              <w:tr2bl w:val="nil"/>
            </w:tcBorders>
            <w:shd w:val="clear" w:color="auto" w:fill="auto"/>
            <w:vAlign w:val="center"/>
          </w:tcPr>
          <w:p w14:paraId="024F6724">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29096CCA">
            <w:pPr>
              <w:widowControl w:val="0"/>
              <w:jc w:val="center"/>
              <w:rPr>
                <w:sz w:val="21"/>
                <w:szCs w:val="21"/>
                <w:lang w:eastAsia="en-US"/>
              </w:rPr>
            </w:pPr>
            <w:r>
              <w:rPr>
                <w:rFonts w:hint="eastAsia"/>
                <w:sz w:val="21"/>
                <w:szCs w:val="21"/>
                <w:lang w:eastAsia="zh-CN"/>
              </w:rPr>
              <w:t>24</w:t>
            </w:r>
            <w:r>
              <w:rPr>
                <w:sz w:val="21"/>
                <w:szCs w:val="21"/>
                <w:lang w:eastAsia="en-US"/>
              </w:rPr>
              <w:t>0614</w:t>
            </w:r>
          </w:p>
        </w:tc>
        <w:tc>
          <w:tcPr>
            <w:tcW w:w="1182" w:type="dxa"/>
            <w:tcBorders>
              <w:tl2br w:val="nil"/>
              <w:tr2bl w:val="nil"/>
            </w:tcBorders>
            <w:shd w:val="clear" w:color="auto" w:fill="auto"/>
            <w:vAlign w:val="center"/>
          </w:tcPr>
          <w:p w14:paraId="08C37187">
            <w:pPr>
              <w:widowControl w:val="0"/>
              <w:jc w:val="center"/>
              <w:rPr>
                <w:sz w:val="21"/>
                <w:szCs w:val="21"/>
                <w:lang w:eastAsia="en-US"/>
              </w:rPr>
            </w:pPr>
            <w:r>
              <w:rPr>
                <w:sz w:val="21"/>
                <w:szCs w:val="21"/>
                <w:lang w:eastAsia="en-US"/>
              </w:rPr>
              <w:t>0.0215</w:t>
            </w:r>
          </w:p>
        </w:tc>
        <w:tc>
          <w:tcPr>
            <w:tcW w:w="914" w:type="dxa"/>
            <w:tcBorders>
              <w:tl2br w:val="nil"/>
              <w:tr2bl w:val="nil"/>
            </w:tcBorders>
            <w:shd w:val="clear" w:color="auto" w:fill="auto"/>
            <w:vAlign w:val="center"/>
          </w:tcPr>
          <w:p w14:paraId="19221A3D">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526AB888">
            <w:pPr>
              <w:widowControl w:val="0"/>
              <w:jc w:val="center"/>
              <w:rPr>
                <w:sz w:val="21"/>
                <w:szCs w:val="21"/>
                <w:lang w:eastAsia="en-US"/>
              </w:rPr>
            </w:pPr>
            <w:r>
              <w:rPr>
                <w:sz w:val="21"/>
                <w:szCs w:val="21"/>
                <w:lang w:eastAsia="en-US"/>
              </w:rPr>
              <w:t>26.91</w:t>
            </w:r>
          </w:p>
        </w:tc>
        <w:tc>
          <w:tcPr>
            <w:tcW w:w="716" w:type="dxa"/>
            <w:tcBorders>
              <w:tl2br w:val="nil"/>
              <w:tr2bl w:val="nil"/>
            </w:tcBorders>
            <w:shd w:val="clear" w:color="auto" w:fill="auto"/>
            <w:vAlign w:val="center"/>
          </w:tcPr>
          <w:p w14:paraId="066E53EF">
            <w:pPr>
              <w:widowControl w:val="0"/>
              <w:jc w:val="center"/>
              <w:rPr>
                <w:sz w:val="21"/>
                <w:szCs w:val="21"/>
                <w:lang w:eastAsia="en-US"/>
              </w:rPr>
            </w:pPr>
            <w:r>
              <w:rPr>
                <w:sz w:val="21"/>
                <w:szCs w:val="21"/>
                <w:lang w:eastAsia="en-US"/>
              </w:rPr>
              <w:t>达标</w:t>
            </w:r>
          </w:p>
        </w:tc>
      </w:tr>
      <w:tr w14:paraId="20B11E5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4611C979">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863E6A7">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AD39895">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11EA98FD">
            <w:pPr>
              <w:widowControl w:val="0"/>
              <w:jc w:val="center"/>
              <w:rPr>
                <w:sz w:val="21"/>
                <w:szCs w:val="21"/>
                <w:lang w:eastAsia="en-US"/>
              </w:rPr>
            </w:pPr>
          </w:p>
        </w:tc>
        <w:tc>
          <w:tcPr>
            <w:tcW w:w="914" w:type="dxa"/>
            <w:tcBorders>
              <w:tl2br w:val="nil"/>
              <w:tr2bl w:val="nil"/>
            </w:tcBorders>
            <w:shd w:val="clear" w:color="auto" w:fill="auto"/>
            <w:vAlign w:val="center"/>
          </w:tcPr>
          <w:p w14:paraId="4B0AA7DB">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94728C4">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F11744F">
            <w:pPr>
              <w:widowControl w:val="0"/>
              <w:jc w:val="center"/>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39364825">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7CF57689">
            <w:pPr>
              <w:widowControl w:val="0"/>
              <w:jc w:val="center"/>
              <w:rPr>
                <w:sz w:val="21"/>
                <w:szCs w:val="21"/>
                <w:lang w:eastAsia="en-US"/>
              </w:rPr>
            </w:pPr>
            <w:r>
              <w:rPr>
                <w:sz w:val="21"/>
                <w:szCs w:val="21"/>
                <w:lang w:eastAsia="en-US"/>
              </w:rPr>
              <w:t>0.13</w:t>
            </w:r>
          </w:p>
        </w:tc>
        <w:tc>
          <w:tcPr>
            <w:tcW w:w="716" w:type="dxa"/>
            <w:tcBorders>
              <w:tl2br w:val="nil"/>
              <w:tr2bl w:val="nil"/>
            </w:tcBorders>
            <w:shd w:val="clear" w:color="auto" w:fill="auto"/>
            <w:vAlign w:val="center"/>
          </w:tcPr>
          <w:p w14:paraId="6B88BD59">
            <w:pPr>
              <w:widowControl w:val="0"/>
              <w:jc w:val="center"/>
              <w:rPr>
                <w:sz w:val="21"/>
                <w:szCs w:val="21"/>
                <w:lang w:eastAsia="en-US"/>
              </w:rPr>
            </w:pPr>
            <w:r>
              <w:rPr>
                <w:sz w:val="21"/>
                <w:szCs w:val="21"/>
                <w:lang w:eastAsia="en-US"/>
              </w:rPr>
              <w:t>达标</w:t>
            </w:r>
          </w:p>
        </w:tc>
      </w:tr>
      <w:tr w14:paraId="00BAEFC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44EF16F8">
            <w:pPr>
              <w:widowControl w:val="0"/>
              <w:jc w:val="center"/>
              <w:rPr>
                <w:sz w:val="21"/>
                <w:szCs w:val="21"/>
                <w:lang w:eastAsia="en-US"/>
              </w:rPr>
            </w:pPr>
            <w:r>
              <w:rPr>
                <w:rFonts w:hint="eastAsia"/>
                <w:sz w:val="21"/>
                <w:szCs w:val="21"/>
                <w:lang w:eastAsia="en-US"/>
              </w:rPr>
              <w:t>21</w:t>
            </w:r>
          </w:p>
        </w:tc>
        <w:tc>
          <w:tcPr>
            <w:tcW w:w="1145" w:type="dxa"/>
            <w:vMerge w:val="restart"/>
            <w:tcBorders>
              <w:tl2br w:val="nil"/>
              <w:tr2bl w:val="nil"/>
            </w:tcBorders>
            <w:shd w:val="clear" w:color="auto" w:fill="auto"/>
            <w:vAlign w:val="center"/>
          </w:tcPr>
          <w:p w14:paraId="6B64691C">
            <w:pPr>
              <w:widowControl w:val="0"/>
              <w:jc w:val="center"/>
              <w:rPr>
                <w:sz w:val="21"/>
                <w:szCs w:val="21"/>
                <w:lang w:eastAsia="zh-CN"/>
              </w:rPr>
            </w:pPr>
            <w:r>
              <w:rPr>
                <w:sz w:val="21"/>
                <w:szCs w:val="21"/>
                <w:lang w:eastAsia="zh-CN"/>
              </w:rPr>
              <w:t>西北侧湘潭县居民居住集中区</w:t>
            </w:r>
          </w:p>
        </w:tc>
        <w:tc>
          <w:tcPr>
            <w:tcW w:w="737" w:type="dxa"/>
            <w:vMerge w:val="restart"/>
            <w:tcBorders>
              <w:tl2br w:val="nil"/>
              <w:tr2bl w:val="nil"/>
            </w:tcBorders>
            <w:shd w:val="clear" w:color="auto" w:fill="auto"/>
            <w:vAlign w:val="center"/>
          </w:tcPr>
          <w:p w14:paraId="6962B64E">
            <w:pPr>
              <w:widowControl w:val="0"/>
              <w:jc w:val="center"/>
              <w:rPr>
                <w:sz w:val="21"/>
                <w:szCs w:val="21"/>
                <w:lang w:eastAsia="en-US"/>
              </w:rPr>
            </w:pPr>
            <w:r>
              <w:rPr>
                <w:rFonts w:hint="eastAsia"/>
                <w:sz w:val="21"/>
                <w:szCs w:val="21"/>
                <w:lang w:eastAsia="en-US"/>
              </w:rPr>
              <w:t>-1045</w:t>
            </w:r>
          </w:p>
        </w:tc>
        <w:tc>
          <w:tcPr>
            <w:tcW w:w="647" w:type="dxa"/>
            <w:vMerge w:val="restart"/>
            <w:tcBorders>
              <w:tl2br w:val="nil"/>
              <w:tr2bl w:val="nil"/>
            </w:tcBorders>
            <w:shd w:val="clear" w:color="auto" w:fill="auto"/>
            <w:vAlign w:val="center"/>
          </w:tcPr>
          <w:p w14:paraId="57540998">
            <w:pPr>
              <w:widowControl w:val="0"/>
              <w:jc w:val="center"/>
              <w:rPr>
                <w:sz w:val="21"/>
                <w:szCs w:val="21"/>
                <w:lang w:eastAsia="en-US"/>
              </w:rPr>
            </w:pPr>
            <w:r>
              <w:rPr>
                <w:rFonts w:hint="eastAsia"/>
                <w:sz w:val="21"/>
                <w:szCs w:val="21"/>
                <w:lang w:eastAsia="en-US"/>
              </w:rPr>
              <w:t>1765</w:t>
            </w:r>
          </w:p>
        </w:tc>
        <w:tc>
          <w:tcPr>
            <w:tcW w:w="914" w:type="dxa"/>
            <w:tcBorders>
              <w:tl2br w:val="nil"/>
              <w:tr2bl w:val="nil"/>
            </w:tcBorders>
            <w:shd w:val="clear" w:color="auto" w:fill="auto"/>
            <w:vAlign w:val="center"/>
          </w:tcPr>
          <w:p w14:paraId="52F4F309">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1003DE4">
            <w:pPr>
              <w:widowControl w:val="0"/>
              <w:jc w:val="center"/>
              <w:rPr>
                <w:sz w:val="21"/>
                <w:szCs w:val="21"/>
                <w:lang w:eastAsia="en-US"/>
              </w:rPr>
            </w:pPr>
            <w:r>
              <w:rPr>
                <w:rFonts w:hint="eastAsia"/>
                <w:sz w:val="21"/>
                <w:szCs w:val="21"/>
                <w:lang w:eastAsia="zh-CN"/>
              </w:rPr>
              <w:t>24</w:t>
            </w:r>
            <w:r>
              <w:rPr>
                <w:sz w:val="21"/>
                <w:szCs w:val="21"/>
                <w:lang w:eastAsia="en-US"/>
              </w:rPr>
              <w:t>052423</w:t>
            </w:r>
          </w:p>
        </w:tc>
        <w:tc>
          <w:tcPr>
            <w:tcW w:w="1182" w:type="dxa"/>
            <w:tcBorders>
              <w:tl2br w:val="nil"/>
              <w:tr2bl w:val="nil"/>
            </w:tcBorders>
            <w:shd w:val="clear" w:color="auto" w:fill="auto"/>
            <w:vAlign w:val="center"/>
          </w:tcPr>
          <w:p w14:paraId="345BDE56">
            <w:pPr>
              <w:widowControl w:val="0"/>
              <w:jc w:val="center"/>
              <w:rPr>
                <w:sz w:val="21"/>
                <w:szCs w:val="21"/>
                <w:lang w:eastAsia="en-US"/>
              </w:rPr>
            </w:pPr>
            <w:r>
              <w:rPr>
                <w:sz w:val="21"/>
                <w:szCs w:val="21"/>
                <w:lang w:eastAsia="en-US"/>
              </w:rPr>
              <w:t>0.0033</w:t>
            </w:r>
          </w:p>
        </w:tc>
        <w:tc>
          <w:tcPr>
            <w:tcW w:w="914" w:type="dxa"/>
            <w:tcBorders>
              <w:tl2br w:val="nil"/>
              <w:tr2bl w:val="nil"/>
            </w:tcBorders>
            <w:shd w:val="clear" w:color="auto" w:fill="auto"/>
            <w:vAlign w:val="center"/>
          </w:tcPr>
          <w:p w14:paraId="7595FFDB">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5218271">
            <w:pPr>
              <w:widowControl w:val="0"/>
              <w:jc w:val="center"/>
              <w:rPr>
                <w:sz w:val="21"/>
                <w:szCs w:val="21"/>
                <w:lang w:eastAsia="en-US"/>
              </w:rPr>
            </w:pPr>
            <w:r>
              <w:rPr>
                <w:sz w:val="21"/>
                <w:szCs w:val="21"/>
                <w:lang w:eastAsia="en-US"/>
              </w:rPr>
              <w:t>1.66</w:t>
            </w:r>
          </w:p>
        </w:tc>
        <w:tc>
          <w:tcPr>
            <w:tcW w:w="716" w:type="dxa"/>
            <w:tcBorders>
              <w:tl2br w:val="nil"/>
              <w:tr2bl w:val="nil"/>
            </w:tcBorders>
            <w:shd w:val="clear" w:color="auto" w:fill="auto"/>
            <w:vAlign w:val="center"/>
          </w:tcPr>
          <w:p w14:paraId="37E62482">
            <w:pPr>
              <w:widowControl w:val="0"/>
              <w:jc w:val="center"/>
              <w:rPr>
                <w:sz w:val="21"/>
                <w:szCs w:val="21"/>
                <w:lang w:eastAsia="en-US"/>
              </w:rPr>
            </w:pPr>
            <w:r>
              <w:rPr>
                <w:sz w:val="21"/>
                <w:szCs w:val="21"/>
                <w:lang w:eastAsia="en-US"/>
              </w:rPr>
              <w:t>达标</w:t>
            </w:r>
          </w:p>
        </w:tc>
      </w:tr>
      <w:tr w14:paraId="02C4D0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333F243B">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38DB6FC6">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5F7C9132">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1A0DCC88">
            <w:pPr>
              <w:widowControl w:val="0"/>
              <w:jc w:val="center"/>
              <w:rPr>
                <w:sz w:val="21"/>
                <w:szCs w:val="21"/>
                <w:lang w:eastAsia="en-US"/>
              </w:rPr>
            </w:pPr>
          </w:p>
        </w:tc>
        <w:tc>
          <w:tcPr>
            <w:tcW w:w="914" w:type="dxa"/>
            <w:tcBorders>
              <w:tl2br w:val="nil"/>
              <w:tr2bl w:val="nil"/>
            </w:tcBorders>
            <w:shd w:val="clear" w:color="auto" w:fill="auto"/>
            <w:vAlign w:val="center"/>
          </w:tcPr>
          <w:p w14:paraId="6A947115">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75677EB">
            <w:pPr>
              <w:widowControl w:val="0"/>
              <w:jc w:val="center"/>
              <w:rPr>
                <w:sz w:val="21"/>
                <w:szCs w:val="21"/>
                <w:lang w:eastAsia="en-US"/>
              </w:rPr>
            </w:pPr>
            <w:r>
              <w:rPr>
                <w:rFonts w:hint="eastAsia"/>
                <w:sz w:val="21"/>
                <w:szCs w:val="21"/>
                <w:lang w:eastAsia="zh-CN"/>
              </w:rPr>
              <w:t>24</w:t>
            </w:r>
            <w:r>
              <w:rPr>
                <w:sz w:val="21"/>
                <w:szCs w:val="21"/>
                <w:lang w:eastAsia="en-US"/>
              </w:rPr>
              <w:t>0</w:t>
            </w:r>
            <w:r>
              <w:rPr>
                <w:rFonts w:hint="eastAsia"/>
                <w:sz w:val="21"/>
                <w:szCs w:val="21"/>
                <w:lang w:eastAsia="zh-CN"/>
              </w:rPr>
              <w:t>24</w:t>
            </w:r>
            <w:r>
              <w:rPr>
                <w:sz w:val="21"/>
                <w:szCs w:val="21"/>
                <w:lang w:eastAsia="en-US"/>
              </w:rPr>
              <w:t>6</w:t>
            </w:r>
          </w:p>
        </w:tc>
        <w:tc>
          <w:tcPr>
            <w:tcW w:w="1182" w:type="dxa"/>
            <w:tcBorders>
              <w:tl2br w:val="nil"/>
              <w:tr2bl w:val="nil"/>
            </w:tcBorders>
            <w:shd w:val="clear" w:color="auto" w:fill="auto"/>
            <w:vAlign w:val="center"/>
          </w:tcPr>
          <w:p w14:paraId="457A989C">
            <w:pPr>
              <w:widowControl w:val="0"/>
              <w:jc w:val="center"/>
              <w:rPr>
                <w:sz w:val="21"/>
                <w:szCs w:val="21"/>
                <w:lang w:eastAsia="en-US"/>
              </w:rPr>
            </w:pPr>
            <w:r>
              <w:rPr>
                <w:sz w:val="21"/>
                <w:szCs w:val="21"/>
                <w:lang w:eastAsia="en-US"/>
              </w:rPr>
              <w:t>0.0214</w:t>
            </w:r>
          </w:p>
        </w:tc>
        <w:tc>
          <w:tcPr>
            <w:tcW w:w="914" w:type="dxa"/>
            <w:tcBorders>
              <w:tl2br w:val="nil"/>
              <w:tr2bl w:val="nil"/>
            </w:tcBorders>
            <w:shd w:val="clear" w:color="auto" w:fill="auto"/>
            <w:vAlign w:val="center"/>
          </w:tcPr>
          <w:p w14:paraId="2A2B34A3">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6164C466">
            <w:pPr>
              <w:widowControl w:val="0"/>
              <w:jc w:val="center"/>
              <w:rPr>
                <w:sz w:val="21"/>
                <w:szCs w:val="21"/>
                <w:lang w:eastAsia="en-US"/>
              </w:rPr>
            </w:pPr>
            <w:r>
              <w:rPr>
                <w:sz w:val="21"/>
                <w:szCs w:val="21"/>
                <w:lang w:eastAsia="en-US"/>
              </w:rPr>
              <w:t>26.80</w:t>
            </w:r>
          </w:p>
        </w:tc>
        <w:tc>
          <w:tcPr>
            <w:tcW w:w="716" w:type="dxa"/>
            <w:tcBorders>
              <w:tl2br w:val="nil"/>
              <w:tr2bl w:val="nil"/>
            </w:tcBorders>
            <w:shd w:val="clear" w:color="auto" w:fill="auto"/>
            <w:vAlign w:val="center"/>
          </w:tcPr>
          <w:p w14:paraId="3E867243">
            <w:pPr>
              <w:widowControl w:val="0"/>
              <w:jc w:val="center"/>
              <w:rPr>
                <w:sz w:val="21"/>
                <w:szCs w:val="21"/>
                <w:lang w:eastAsia="en-US"/>
              </w:rPr>
            </w:pPr>
            <w:r>
              <w:rPr>
                <w:sz w:val="21"/>
                <w:szCs w:val="21"/>
                <w:lang w:eastAsia="en-US"/>
              </w:rPr>
              <w:t>达标</w:t>
            </w:r>
          </w:p>
        </w:tc>
      </w:tr>
      <w:tr w14:paraId="150606E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2F676DBD">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0AAF66F9">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06B294A">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7D34EA39">
            <w:pPr>
              <w:widowControl w:val="0"/>
              <w:jc w:val="center"/>
              <w:rPr>
                <w:sz w:val="21"/>
                <w:szCs w:val="21"/>
                <w:lang w:eastAsia="en-US"/>
              </w:rPr>
            </w:pPr>
          </w:p>
        </w:tc>
        <w:tc>
          <w:tcPr>
            <w:tcW w:w="914" w:type="dxa"/>
            <w:tcBorders>
              <w:tl2br w:val="nil"/>
              <w:tr2bl w:val="nil"/>
            </w:tcBorders>
            <w:shd w:val="clear" w:color="auto" w:fill="auto"/>
            <w:vAlign w:val="center"/>
          </w:tcPr>
          <w:p w14:paraId="490D8F80">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3256A52">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6FB99E4">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537CADD">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6A91FAEF">
            <w:pPr>
              <w:widowControl w:val="0"/>
              <w:jc w:val="center"/>
              <w:rPr>
                <w:sz w:val="21"/>
                <w:szCs w:val="21"/>
                <w:lang w:eastAsia="en-US"/>
              </w:rPr>
            </w:pPr>
            <w:r>
              <w:rPr>
                <w:sz w:val="21"/>
                <w:szCs w:val="21"/>
                <w:lang w:eastAsia="en-US"/>
              </w:rPr>
              <w:t>0.10</w:t>
            </w:r>
          </w:p>
        </w:tc>
        <w:tc>
          <w:tcPr>
            <w:tcW w:w="716" w:type="dxa"/>
            <w:tcBorders>
              <w:tl2br w:val="nil"/>
              <w:tr2bl w:val="nil"/>
            </w:tcBorders>
            <w:shd w:val="clear" w:color="auto" w:fill="auto"/>
            <w:vAlign w:val="center"/>
          </w:tcPr>
          <w:p w14:paraId="471E3B44">
            <w:pPr>
              <w:widowControl w:val="0"/>
              <w:jc w:val="center"/>
              <w:rPr>
                <w:sz w:val="21"/>
                <w:szCs w:val="21"/>
                <w:lang w:eastAsia="en-US"/>
              </w:rPr>
            </w:pPr>
            <w:r>
              <w:rPr>
                <w:sz w:val="21"/>
                <w:szCs w:val="21"/>
                <w:lang w:eastAsia="en-US"/>
              </w:rPr>
              <w:t>达标</w:t>
            </w:r>
          </w:p>
        </w:tc>
      </w:tr>
      <w:tr w14:paraId="4EB278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restart"/>
            <w:tcBorders>
              <w:tl2br w:val="nil"/>
              <w:tr2bl w:val="nil"/>
            </w:tcBorders>
            <w:shd w:val="clear" w:color="auto" w:fill="auto"/>
            <w:vAlign w:val="center"/>
          </w:tcPr>
          <w:p w14:paraId="050E1188">
            <w:pPr>
              <w:widowControl w:val="0"/>
              <w:jc w:val="center"/>
              <w:rPr>
                <w:rFonts w:hint="eastAsia"/>
                <w:sz w:val="21"/>
                <w:szCs w:val="21"/>
                <w:lang w:eastAsia="zh-CN"/>
              </w:rPr>
            </w:pPr>
            <w:r>
              <w:rPr>
                <w:rFonts w:hint="eastAsia"/>
                <w:sz w:val="21"/>
                <w:szCs w:val="21"/>
                <w:lang w:eastAsia="zh-CN"/>
              </w:rPr>
              <w:t>24</w:t>
            </w:r>
          </w:p>
        </w:tc>
        <w:tc>
          <w:tcPr>
            <w:tcW w:w="1145" w:type="dxa"/>
            <w:vMerge w:val="restart"/>
            <w:tcBorders>
              <w:tl2br w:val="nil"/>
              <w:tr2bl w:val="nil"/>
            </w:tcBorders>
            <w:shd w:val="clear" w:color="auto" w:fill="auto"/>
            <w:vAlign w:val="center"/>
          </w:tcPr>
          <w:p w14:paraId="30EC65C2">
            <w:pPr>
              <w:widowControl w:val="0"/>
              <w:jc w:val="center"/>
              <w:rPr>
                <w:sz w:val="21"/>
                <w:szCs w:val="21"/>
                <w:lang w:eastAsia="en-US"/>
              </w:rPr>
            </w:pPr>
            <w:r>
              <w:rPr>
                <w:rFonts w:hint="eastAsia"/>
                <w:sz w:val="21"/>
                <w:szCs w:val="21"/>
                <w:lang w:eastAsia="en-US"/>
              </w:rPr>
              <w:t>湘潭县环境监测点</w:t>
            </w:r>
          </w:p>
        </w:tc>
        <w:tc>
          <w:tcPr>
            <w:tcW w:w="737" w:type="dxa"/>
            <w:vMerge w:val="restart"/>
            <w:tcBorders>
              <w:tl2br w:val="nil"/>
              <w:tr2bl w:val="nil"/>
            </w:tcBorders>
            <w:shd w:val="clear" w:color="auto" w:fill="auto"/>
            <w:vAlign w:val="center"/>
          </w:tcPr>
          <w:p w14:paraId="02337063">
            <w:pPr>
              <w:widowControl w:val="0"/>
              <w:jc w:val="center"/>
              <w:rPr>
                <w:sz w:val="21"/>
                <w:szCs w:val="21"/>
                <w:lang w:eastAsia="en-US"/>
              </w:rPr>
            </w:pPr>
            <w:r>
              <w:rPr>
                <w:rFonts w:hint="eastAsia"/>
                <w:sz w:val="21"/>
                <w:szCs w:val="21"/>
                <w:lang w:eastAsia="en-US"/>
              </w:rPr>
              <w:t>-1271</w:t>
            </w:r>
          </w:p>
        </w:tc>
        <w:tc>
          <w:tcPr>
            <w:tcW w:w="647" w:type="dxa"/>
            <w:vMerge w:val="restart"/>
            <w:tcBorders>
              <w:tl2br w:val="nil"/>
              <w:tr2bl w:val="nil"/>
            </w:tcBorders>
            <w:shd w:val="clear" w:color="auto" w:fill="auto"/>
            <w:vAlign w:val="center"/>
          </w:tcPr>
          <w:p w14:paraId="02FD1782">
            <w:pPr>
              <w:widowControl w:val="0"/>
              <w:jc w:val="center"/>
              <w:rPr>
                <w:sz w:val="21"/>
                <w:szCs w:val="21"/>
                <w:lang w:eastAsia="en-US"/>
              </w:rPr>
            </w:pPr>
            <w:r>
              <w:rPr>
                <w:rFonts w:hint="eastAsia"/>
                <w:sz w:val="21"/>
                <w:szCs w:val="21"/>
                <w:lang w:eastAsia="en-US"/>
              </w:rPr>
              <w:t>1231</w:t>
            </w:r>
          </w:p>
        </w:tc>
        <w:tc>
          <w:tcPr>
            <w:tcW w:w="914" w:type="dxa"/>
            <w:tcBorders>
              <w:tl2br w:val="nil"/>
              <w:tr2bl w:val="nil"/>
            </w:tcBorders>
            <w:shd w:val="clear" w:color="auto" w:fill="auto"/>
            <w:vAlign w:val="center"/>
          </w:tcPr>
          <w:p w14:paraId="139C2ACA">
            <w:pPr>
              <w:widowControl w:val="0"/>
              <w:jc w:val="center"/>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B3F4BDF">
            <w:pPr>
              <w:widowControl w:val="0"/>
              <w:jc w:val="center"/>
              <w:rPr>
                <w:sz w:val="21"/>
                <w:szCs w:val="21"/>
                <w:lang w:eastAsia="en-US"/>
              </w:rPr>
            </w:pPr>
            <w:r>
              <w:rPr>
                <w:rFonts w:hint="eastAsia"/>
                <w:sz w:val="21"/>
                <w:szCs w:val="21"/>
                <w:lang w:eastAsia="zh-CN"/>
              </w:rPr>
              <w:t>24</w:t>
            </w:r>
            <w:r>
              <w:rPr>
                <w:sz w:val="21"/>
                <w:szCs w:val="21"/>
                <w:lang w:eastAsia="en-US"/>
              </w:rPr>
              <w:t>041901</w:t>
            </w:r>
          </w:p>
        </w:tc>
        <w:tc>
          <w:tcPr>
            <w:tcW w:w="1182" w:type="dxa"/>
            <w:tcBorders>
              <w:tl2br w:val="nil"/>
              <w:tr2bl w:val="nil"/>
            </w:tcBorders>
            <w:shd w:val="clear" w:color="auto" w:fill="auto"/>
            <w:vAlign w:val="center"/>
          </w:tcPr>
          <w:p w14:paraId="049FD9F2">
            <w:pPr>
              <w:widowControl w:val="0"/>
              <w:jc w:val="center"/>
              <w:rPr>
                <w:rFonts w:hint="eastAsia"/>
                <w:sz w:val="21"/>
                <w:szCs w:val="21"/>
                <w:lang w:eastAsia="zh-CN"/>
              </w:rPr>
            </w:pPr>
            <w:r>
              <w:rPr>
                <w:sz w:val="21"/>
                <w:szCs w:val="21"/>
                <w:lang w:eastAsia="en-US"/>
              </w:rPr>
              <w:t>0.00</w:t>
            </w:r>
            <w:r>
              <w:rPr>
                <w:rFonts w:hint="eastAsia"/>
                <w:sz w:val="21"/>
                <w:szCs w:val="21"/>
                <w:lang w:eastAsia="zh-CN"/>
              </w:rPr>
              <w:t>24</w:t>
            </w:r>
          </w:p>
        </w:tc>
        <w:tc>
          <w:tcPr>
            <w:tcW w:w="914" w:type="dxa"/>
            <w:tcBorders>
              <w:tl2br w:val="nil"/>
              <w:tr2bl w:val="nil"/>
            </w:tcBorders>
            <w:shd w:val="clear" w:color="auto" w:fill="auto"/>
            <w:vAlign w:val="center"/>
          </w:tcPr>
          <w:p w14:paraId="0498B6E3">
            <w:pPr>
              <w:widowControl w:val="0"/>
              <w:jc w:val="center"/>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7A0EC692">
            <w:pPr>
              <w:widowControl w:val="0"/>
              <w:jc w:val="center"/>
              <w:rPr>
                <w:sz w:val="21"/>
                <w:szCs w:val="21"/>
                <w:lang w:eastAsia="en-US"/>
              </w:rPr>
            </w:pPr>
            <w:r>
              <w:rPr>
                <w:sz w:val="21"/>
                <w:szCs w:val="21"/>
                <w:lang w:eastAsia="en-US"/>
              </w:rPr>
              <w:t>1.09</w:t>
            </w:r>
          </w:p>
        </w:tc>
        <w:tc>
          <w:tcPr>
            <w:tcW w:w="716" w:type="dxa"/>
            <w:tcBorders>
              <w:tl2br w:val="nil"/>
              <w:tr2bl w:val="nil"/>
            </w:tcBorders>
            <w:shd w:val="clear" w:color="auto" w:fill="auto"/>
            <w:vAlign w:val="center"/>
          </w:tcPr>
          <w:p w14:paraId="28C7B07F">
            <w:pPr>
              <w:widowControl w:val="0"/>
              <w:jc w:val="center"/>
              <w:rPr>
                <w:sz w:val="21"/>
                <w:szCs w:val="21"/>
                <w:lang w:eastAsia="en-US"/>
              </w:rPr>
            </w:pPr>
            <w:r>
              <w:rPr>
                <w:sz w:val="21"/>
                <w:szCs w:val="21"/>
                <w:lang w:eastAsia="en-US"/>
              </w:rPr>
              <w:t>达标</w:t>
            </w:r>
          </w:p>
        </w:tc>
      </w:tr>
      <w:tr w14:paraId="2B3FCC6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385B61BB">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10883A0E">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B17E50D">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4375B05">
            <w:pPr>
              <w:widowControl w:val="0"/>
              <w:jc w:val="center"/>
              <w:rPr>
                <w:sz w:val="21"/>
                <w:szCs w:val="21"/>
                <w:lang w:eastAsia="en-US"/>
              </w:rPr>
            </w:pPr>
          </w:p>
        </w:tc>
        <w:tc>
          <w:tcPr>
            <w:tcW w:w="914" w:type="dxa"/>
            <w:tcBorders>
              <w:tl2br w:val="nil"/>
              <w:tr2bl w:val="nil"/>
            </w:tcBorders>
            <w:shd w:val="clear" w:color="auto" w:fill="auto"/>
            <w:vAlign w:val="center"/>
          </w:tcPr>
          <w:p w14:paraId="34B26886">
            <w:pPr>
              <w:widowControl w:val="0"/>
              <w:jc w:val="center"/>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4128D41">
            <w:pPr>
              <w:widowControl w:val="0"/>
              <w:jc w:val="center"/>
              <w:rPr>
                <w:sz w:val="21"/>
                <w:szCs w:val="21"/>
                <w:lang w:eastAsia="en-US"/>
              </w:rPr>
            </w:pPr>
            <w:r>
              <w:rPr>
                <w:rFonts w:hint="eastAsia"/>
                <w:sz w:val="21"/>
                <w:szCs w:val="21"/>
                <w:lang w:eastAsia="zh-CN"/>
              </w:rPr>
              <w:t>24</w:t>
            </w:r>
            <w:r>
              <w:rPr>
                <w:sz w:val="21"/>
                <w:szCs w:val="21"/>
                <w:lang w:eastAsia="en-US"/>
              </w:rPr>
              <w:t>0</w:t>
            </w:r>
            <w:r>
              <w:rPr>
                <w:rFonts w:hint="eastAsia"/>
                <w:sz w:val="21"/>
                <w:szCs w:val="21"/>
                <w:lang w:eastAsia="zh-CN"/>
              </w:rPr>
              <w:t>24</w:t>
            </w:r>
            <w:r>
              <w:rPr>
                <w:sz w:val="21"/>
                <w:szCs w:val="21"/>
                <w:lang w:eastAsia="en-US"/>
              </w:rPr>
              <w:t>6</w:t>
            </w:r>
          </w:p>
        </w:tc>
        <w:tc>
          <w:tcPr>
            <w:tcW w:w="1182" w:type="dxa"/>
            <w:tcBorders>
              <w:tl2br w:val="nil"/>
              <w:tr2bl w:val="nil"/>
            </w:tcBorders>
            <w:shd w:val="clear" w:color="auto" w:fill="auto"/>
            <w:vAlign w:val="center"/>
          </w:tcPr>
          <w:p w14:paraId="2DBAD502">
            <w:pPr>
              <w:widowControl w:val="0"/>
              <w:jc w:val="center"/>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5EA59583">
            <w:pPr>
              <w:widowControl w:val="0"/>
              <w:jc w:val="center"/>
              <w:rPr>
                <w:sz w:val="21"/>
                <w:szCs w:val="21"/>
                <w:lang w:eastAsia="en-US"/>
              </w:rPr>
            </w:pPr>
            <w:r>
              <w:rPr>
                <w:rFonts w:hint="eastAsia"/>
                <w:sz w:val="21"/>
                <w:szCs w:val="21"/>
                <w:lang w:eastAsia="en-US"/>
              </w:rPr>
              <w:t>0.08</w:t>
            </w:r>
          </w:p>
        </w:tc>
        <w:tc>
          <w:tcPr>
            <w:tcW w:w="784" w:type="dxa"/>
            <w:tcBorders>
              <w:tl2br w:val="nil"/>
              <w:tr2bl w:val="nil"/>
            </w:tcBorders>
            <w:shd w:val="clear" w:color="auto" w:fill="auto"/>
            <w:vAlign w:val="center"/>
          </w:tcPr>
          <w:p w14:paraId="53ABDCE5">
            <w:pPr>
              <w:widowControl w:val="0"/>
              <w:jc w:val="center"/>
              <w:rPr>
                <w:sz w:val="21"/>
                <w:szCs w:val="21"/>
                <w:lang w:eastAsia="en-US"/>
              </w:rPr>
            </w:pPr>
            <w:r>
              <w:rPr>
                <w:sz w:val="21"/>
                <w:szCs w:val="21"/>
                <w:lang w:eastAsia="en-US"/>
              </w:rPr>
              <w:t>26.66</w:t>
            </w:r>
          </w:p>
        </w:tc>
        <w:tc>
          <w:tcPr>
            <w:tcW w:w="716" w:type="dxa"/>
            <w:tcBorders>
              <w:tl2br w:val="nil"/>
              <w:tr2bl w:val="nil"/>
            </w:tcBorders>
            <w:shd w:val="clear" w:color="auto" w:fill="auto"/>
            <w:vAlign w:val="center"/>
          </w:tcPr>
          <w:p w14:paraId="63F9590B">
            <w:pPr>
              <w:widowControl w:val="0"/>
              <w:jc w:val="center"/>
              <w:rPr>
                <w:sz w:val="21"/>
                <w:szCs w:val="21"/>
                <w:lang w:eastAsia="en-US"/>
              </w:rPr>
            </w:pPr>
            <w:r>
              <w:rPr>
                <w:sz w:val="21"/>
                <w:szCs w:val="21"/>
                <w:lang w:eastAsia="en-US"/>
              </w:rPr>
              <w:t>达标</w:t>
            </w:r>
          </w:p>
        </w:tc>
      </w:tr>
      <w:tr w14:paraId="66D15C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20" w:hRule="atLeast"/>
          <w:jc w:val="center"/>
        </w:trPr>
        <w:tc>
          <w:tcPr>
            <w:tcW w:w="378" w:type="dxa"/>
            <w:vMerge w:val="continue"/>
            <w:tcBorders>
              <w:tl2br w:val="nil"/>
              <w:tr2bl w:val="nil"/>
            </w:tcBorders>
            <w:shd w:val="clear" w:color="auto" w:fill="auto"/>
            <w:vAlign w:val="center"/>
          </w:tcPr>
          <w:p w14:paraId="19E4BA48">
            <w:pPr>
              <w:widowControl w:val="0"/>
              <w:jc w:val="center"/>
              <w:rPr>
                <w:sz w:val="21"/>
                <w:szCs w:val="21"/>
                <w:lang w:eastAsia="en-US"/>
              </w:rPr>
            </w:pPr>
          </w:p>
        </w:tc>
        <w:tc>
          <w:tcPr>
            <w:tcW w:w="1145" w:type="dxa"/>
            <w:vMerge w:val="continue"/>
            <w:tcBorders>
              <w:tl2br w:val="nil"/>
              <w:tr2bl w:val="nil"/>
            </w:tcBorders>
            <w:shd w:val="clear" w:color="auto" w:fill="auto"/>
            <w:vAlign w:val="center"/>
          </w:tcPr>
          <w:p w14:paraId="5133B542">
            <w:pPr>
              <w:widowControl w:val="0"/>
              <w:jc w:val="center"/>
              <w:rPr>
                <w:sz w:val="21"/>
                <w:szCs w:val="21"/>
                <w:lang w:eastAsia="en-US"/>
              </w:rPr>
            </w:pPr>
          </w:p>
        </w:tc>
        <w:tc>
          <w:tcPr>
            <w:tcW w:w="737" w:type="dxa"/>
            <w:vMerge w:val="continue"/>
            <w:tcBorders>
              <w:tl2br w:val="nil"/>
              <w:tr2bl w:val="nil"/>
            </w:tcBorders>
            <w:shd w:val="clear" w:color="auto" w:fill="auto"/>
            <w:vAlign w:val="center"/>
          </w:tcPr>
          <w:p w14:paraId="76021F83">
            <w:pPr>
              <w:widowControl w:val="0"/>
              <w:jc w:val="center"/>
              <w:rPr>
                <w:sz w:val="21"/>
                <w:szCs w:val="21"/>
                <w:lang w:eastAsia="en-US"/>
              </w:rPr>
            </w:pPr>
          </w:p>
        </w:tc>
        <w:tc>
          <w:tcPr>
            <w:tcW w:w="647" w:type="dxa"/>
            <w:vMerge w:val="continue"/>
            <w:tcBorders>
              <w:tl2br w:val="nil"/>
              <w:tr2bl w:val="nil"/>
            </w:tcBorders>
            <w:shd w:val="clear" w:color="auto" w:fill="auto"/>
            <w:vAlign w:val="center"/>
          </w:tcPr>
          <w:p w14:paraId="268681FC">
            <w:pPr>
              <w:widowControl w:val="0"/>
              <w:jc w:val="center"/>
              <w:rPr>
                <w:sz w:val="21"/>
                <w:szCs w:val="21"/>
                <w:lang w:eastAsia="en-US"/>
              </w:rPr>
            </w:pPr>
          </w:p>
        </w:tc>
        <w:tc>
          <w:tcPr>
            <w:tcW w:w="914" w:type="dxa"/>
            <w:tcBorders>
              <w:tl2br w:val="nil"/>
              <w:tr2bl w:val="nil"/>
            </w:tcBorders>
            <w:shd w:val="clear" w:color="auto" w:fill="auto"/>
            <w:vAlign w:val="center"/>
          </w:tcPr>
          <w:p w14:paraId="4DCA4CF6">
            <w:pPr>
              <w:widowControl w:val="0"/>
              <w:jc w:val="center"/>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70428F6">
            <w:pPr>
              <w:widowControl w:val="0"/>
              <w:jc w:val="center"/>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8547AA9">
            <w:pPr>
              <w:widowControl w:val="0"/>
              <w:jc w:val="center"/>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10E93AA">
            <w:pPr>
              <w:widowControl w:val="0"/>
              <w:jc w:val="center"/>
              <w:rPr>
                <w:sz w:val="21"/>
                <w:szCs w:val="21"/>
                <w:lang w:eastAsia="en-US"/>
              </w:rPr>
            </w:pPr>
            <w:r>
              <w:rPr>
                <w:rFonts w:hint="eastAsia"/>
                <w:sz w:val="21"/>
                <w:szCs w:val="21"/>
                <w:lang w:eastAsia="en-US"/>
              </w:rPr>
              <w:t>0.04</w:t>
            </w:r>
          </w:p>
        </w:tc>
        <w:tc>
          <w:tcPr>
            <w:tcW w:w="784" w:type="dxa"/>
            <w:tcBorders>
              <w:tl2br w:val="nil"/>
              <w:tr2bl w:val="nil"/>
            </w:tcBorders>
            <w:shd w:val="clear" w:color="auto" w:fill="auto"/>
            <w:vAlign w:val="center"/>
          </w:tcPr>
          <w:p w14:paraId="16053A2D">
            <w:pPr>
              <w:widowControl w:val="0"/>
              <w:jc w:val="center"/>
              <w:rPr>
                <w:sz w:val="21"/>
                <w:szCs w:val="21"/>
                <w:lang w:eastAsia="en-US"/>
              </w:rPr>
            </w:pPr>
            <w:r>
              <w:rPr>
                <w:sz w:val="21"/>
                <w:szCs w:val="21"/>
                <w:lang w:eastAsia="en-US"/>
              </w:rPr>
              <w:t>0.08</w:t>
            </w:r>
          </w:p>
        </w:tc>
        <w:tc>
          <w:tcPr>
            <w:tcW w:w="716" w:type="dxa"/>
            <w:tcBorders>
              <w:tl2br w:val="nil"/>
              <w:tr2bl w:val="nil"/>
            </w:tcBorders>
            <w:shd w:val="clear" w:color="auto" w:fill="auto"/>
            <w:vAlign w:val="center"/>
          </w:tcPr>
          <w:p w14:paraId="657C138F">
            <w:pPr>
              <w:widowControl w:val="0"/>
              <w:jc w:val="center"/>
              <w:rPr>
                <w:sz w:val="21"/>
                <w:szCs w:val="21"/>
                <w:lang w:eastAsia="en-US"/>
              </w:rPr>
            </w:pPr>
            <w:r>
              <w:rPr>
                <w:sz w:val="21"/>
                <w:szCs w:val="21"/>
                <w:lang w:eastAsia="en-US"/>
              </w:rPr>
              <w:t>达标</w:t>
            </w:r>
          </w:p>
        </w:tc>
      </w:tr>
    </w:tbl>
    <w:p w14:paraId="1F9CD794">
      <w:r>
        <w:pict>
          <v:shape id="_x0000_s1215" o:spid="_x0000_s1215" o:spt="75" alt="NOX叠加日均" type="#_x0000_t75" style="position:absolute;left:0pt;margin-left:58pt;margin-top:88.1pt;height:264.2pt;width:319.6pt;mso-position-horizontal-relative:margin;mso-position-vertical-relative:margin;mso-wrap-distance-bottom:0pt;mso-wrap-distance-left:9pt;mso-wrap-distance-right:9pt;mso-wrap-distance-top:0pt;z-index:251685888;mso-width-relative:page;mso-height-relative:page;" filled="f" o:preferrelative="t" stroked="f" coordsize="21600,21600">
            <v:path/>
            <v:fill on="f" focussize="0,0"/>
            <v:stroke on="f"/>
            <v:imagedata r:id="rId66" o:title="NOX叠加日均"/>
            <o:lock v:ext="edit" aspectratio="t"/>
            <w10:wrap type="square"/>
          </v:shape>
        </w:pict>
      </w:r>
    </w:p>
    <w:p w14:paraId="5A4EE013">
      <w:pPr>
        <w:pStyle w:val="51"/>
        <w:numPr>
          <w:ilvl w:val="0"/>
          <w:numId w:val="0"/>
        </w:numPr>
        <w:spacing w:before="156"/>
        <w:ind w:left="3260"/>
        <w:jc w:val="both"/>
      </w:pPr>
    </w:p>
    <w:p w14:paraId="036F9140">
      <w:pPr>
        <w:ind w:firstLine="480"/>
        <w:jc w:val="center"/>
        <w:rPr>
          <w:u w:val="single"/>
        </w:rPr>
      </w:pPr>
    </w:p>
    <w:p w14:paraId="485DF95F">
      <w:pPr>
        <w:ind w:firstLine="480"/>
        <w:jc w:val="center"/>
        <w:rPr>
          <w:u w:val="single"/>
        </w:rPr>
      </w:pPr>
    </w:p>
    <w:p w14:paraId="50C9067F">
      <w:pPr>
        <w:ind w:firstLine="480"/>
        <w:jc w:val="center"/>
        <w:rPr>
          <w:u w:val="single"/>
        </w:rPr>
      </w:pPr>
    </w:p>
    <w:p w14:paraId="560E316A">
      <w:pPr>
        <w:ind w:firstLine="480"/>
        <w:jc w:val="center"/>
        <w:rPr>
          <w:u w:val="single"/>
        </w:rPr>
      </w:pPr>
    </w:p>
    <w:p w14:paraId="3A667890">
      <w:pPr>
        <w:ind w:firstLine="480"/>
        <w:jc w:val="center"/>
        <w:rPr>
          <w:u w:val="single"/>
        </w:rPr>
      </w:pPr>
    </w:p>
    <w:p w14:paraId="0DCD2CCE">
      <w:pPr>
        <w:ind w:firstLine="480"/>
        <w:jc w:val="center"/>
        <w:rPr>
          <w:u w:val="single"/>
        </w:rPr>
      </w:pPr>
    </w:p>
    <w:p w14:paraId="15C1EF58">
      <w:pPr>
        <w:ind w:firstLine="480"/>
        <w:jc w:val="center"/>
        <w:rPr>
          <w:u w:val="single"/>
        </w:rPr>
      </w:pPr>
    </w:p>
    <w:p w14:paraId="7C35DF2C">
      <w:pPr>
        <w:ind w:firstLine="480"/>
        <w:jc w:val="center"/>
        <w:rPr>
          <w:u w:val="single"/>
        </w:rPr>
      </w:pPr>
    </w:p>
    <w:p w14:paraId="7856AFF7">
      <w:pPr>
        <w:ind w:firstLine="480"/>
        <w:jc w:val="center"/>
        <w:rPr>
          <w:u w:val="single"/>
        </w:rPr>
      </w:pPr>
    </w:p>
    <w:p w14:paraId="6CFC2F60">
      <w:pPr>
        <w:ind w:firstLine="480"/>
        <w:jc w:val="center"/>
        <w:rPr>
          <w:u w:val="single"/>
        </w:rPr>
      </w:pPr>
    </w:p>
    <w:p w14:paraId="3AAB5EFC">
      <w:pPr>
        <w:pStyle w:val="45"/>
        <w:numPr>
          <w:ilvl w:val="6"/>
          <w:numId w:val="0"/>
        </w:numPr>
        <w:spacing w:before="156"/>
        <w:ind w:firstLine="1897" w:firstLineChars="900"/>
        <w:jc w:val="both"/>
        <w:rPr>
          <w:color w:val="auto"/>
          <w:u w:val="single"/>
        </w:rPr>
      </w:pPr>
      <w:r>
        <w:rPr>
          <w:rFonts w:hint="default" w:ascii="宋体" w:hAnsi="宋体" w:eastAsia="宋体" w:cs="宋体"/>
          <w:b/>
          <w:bCs/>
          <w:color w:val="auto"/>
          <w:kern w:val="2"/>
          <w:sz w:val="21"/>
          <w:szCs w:val="21"/>
          <w:lang w:val="en-US" w:eastAsia="zh-CN" w:bidi="ar-SA"/>
        </w:rPr>
        <w:t xml:space="preserve">图6.2-18 </w:t>
      </w:r>
      <w:r>
        <w:rPr>
          <w:rFonts w:hint="eastAsia"/>
          <w:color w:val="auto"/>
          <w:u w:val="single"/>
        </w:rPr>
        <w:t>NO</w:t>
      </w:r>
      <w:r>
        <w:rPr>
          <w:rFonts w:hint="eastAsia"/>
          <w:color w:val="auto"/>
          <w:u w:val="single"/>
          <w:vertAlign w:val="subscript"/>
        </w:rPr>
        <w:t>2</w:t>
      </w:r>
      <w:r>
        <w:rPr>
          <w:rFonts w:hint="eastAsia"/>
          <w:color w:val="auto"/>
          <w:u w:val="single"/>
        </w:rPr>
        <w:t>叠加浓度分布图—日均 单位：mg/m</w:t>
      </w:r>
      <w:r>
        <w:rPr>
          <w:rFonts w:hint="eastAsia"/>
          <w:color w:val="auto"/>
          <w:u w:val="single"/>
          <w:vertAlign w:val="superscript"/>
        </w:rPr>
        <w:t>3</w:t>
      </w:r>
    </w:p>
    <w:p w14:paraId="47A8A844">
      <w:pPr>
        <w:ind w:firstLine="480"/>
        <w:jc w:val="center"/>
        <w:rPr>
          <w:u w:val="single"/>
        </w:rPr>
      </w:pPr>
      <w:r>
        <w:pict>
          <v:shape id="_x0000_s1216" o:spid="_x0000_s1216" o:spt="75" alt="NOX叠加年均" type="#_x0000_t75" style="position:absolute;left:0pt;margin-left:54.7pt;margin-top:384.65pt;height:270.25pt;width:326.75pt;mso-position-horizontal-relative:margin;mso-position-vertical-relative:margin;mso-wrap-distance-bottom:0pt;mso-wrap-distance-left:9pt;mso-wrap-distance-right:9pt;mso-wrap-distance-top:0pt;z-index:251686912;mso-width-relative:page;mso-height-relative:page;" filled="f" o:preferrelative="t" stroked="f" coordsize="21600,21600">
            <v:path/>
            <v:fill on="f" focussize="0,0"/>
            <v:stroke on="f"/>
            <v:imagedata r:id="rId67" o:title="NOX叠加年均"/>
            <o:lock v:ext="edit" aspectratio="t"/>
            <w10:wrap type="square"/>
          </v:shape>
        </w:pict>
      </w:r>
    </w:p>
    <w:p w14:paraId="66F26ED2">
      <w:pPr>
        <w:ind w:firstLine="480"/>
        <w:jc w:val="center"/>
        <w:rPr>
          <w:u w:val="single"/>
        </w:rPr>
      </w:pPr>
    </w:p>
    <w:p w14:paraId="3D6B9A9F">
      <w:pPr>
        <w:ind w:firstLine="480"/>
        <w:jc w:val="center"/>
        <w:rPr>
          <w:u w:val="single"/>
        </w:rPr>
      </w:pPr>
    </w:p>
    <w:p w14:paraId="12A60751">
      <w:pPr>
        <w:ind w:firstLine="480"/>
        <w:jc w:val="center"/>
        <w:rPr>
          <w:u w:val="single"/>
        </w:rPr>
      </w:pPr>
    </w:p>
    <w:p w14:paraId="40A6E941">
      <w:pPr>
        <w:ind w:firstLine="480"/>
        <w:jc w:val="center"/>
        <w:rPr>
          <w:u w:val="single"/>
        </w:rPr>
      </w:pPr>
    </w:p>
    <w:p w14:paraId="0E89160F">
      <w:pPr>
        <w:ind w:firstLine="480"/>
        <w:jc w:val="center"/>
        <w:rPr>
          <w:u w:val="single"/>
        </w:rPr>
      </w:pPr>
    </w:p>
    <w:p w14:paraId="4997BE16">
      <w:pPr>
        <w:ind w:firstLine="480"/>
        <w:jc w:val="center"/>
        <w:rPr>
          <w:u w:val="single"/>
        </w:rPr>
      </w:pPr>
    </w:p>
    <w:p w14:paraId="278B2D45">
      <w:pPr>
        <w:ind w:firstLine="480"/>
        <w:jc w:val="center"/>
        <w:rPr>
          <w:u w:val="single"/>
        </w:rPr>
      </w:pPr>
    </w:p>
    <w:p w14:paraId="4AA2B9A0">
      <w:pPr>
        <w:ind w:firstLine="480"/>
        <w:jc w:val="center"/>
        <w:rPr>
          <w:u w:val="single"/>
        </w:rPr>
      </w:pPr>
    </w:p>
    <w:p w14:paraId="1F9579FE">
      <w:pPr>
        <w:ind w:firstLine="480"/>
        <w:jc w:val="center"/>
        <w:rPr>
          <w:u w:val="single"/>
        </w:rPr>
      </w:pPr>
    </w:p>
    <w:p w14:paraId="7C55AF67">
      <w:pPr>
        <w:pStyle w:val="45"/>
        <w:numPr>
          <w:ilvl w:val="6"/>
          <w:numId w:val="0"/>
        </w:numPr>
        <w:spacing w:before="156"/>
        <w:ind w:left="6096" w:leftChars="0" w:hanging="3827" w:firstLineChars="0"/>
        <w:rPr>
          <w:rFonts w:hint="default" w:ascii="宋体" w:hAnsi="宋体" w:eastAsia="宋体" w:cs="宋体"/>
          <w:b/>
          <w:bCs/>
          <w:color w:val="auto"/>
          <w:kern w:val="2"/>
          <w:sz w:val="21"/>
          <w:szCs w:val="21"/>
          <w:lang w:val="en-US" w:eastAsia="zh-CN" w:bidi="ar-SA"/>
        </w:rPr>
      </w:pPr>
    </w:p>
    <w:p w14:paraId="3B6DE477">
      <w:pPr>
        <w:pStyle w:val="45"/>
        <w:numPr>
          <w:ilvl w:val="6"/>
          <w:numId w:val="0"/>
        </w:numPr>
        <w:spacing w:before="156"/>
        <w:ind w:left="6096" w:leftChars="0" w:hanging="3827" w:firstLineChars="0"/>
        <w:rPr>
          <w:rFonts w:hint="default" w:ascii="宋体" w:hAnsi="宋体" w:eastAsia="宋体" w:cs="宋体"/>
          <w:b/>
          <w:bCs/>
          <w:color w:val="auto"/>
          <w:kern w:val="2"/>
          <w:sz w:val="21"/>
          <w:szCs w:val="21"/>
          <w:lang w:val="en-US" w:eastAsia="zh-CN" w:bidi="ar-SA"/>
        </w:rPr>
      </w:pPr>
    </w:p>
    <w:p w14:paraId="47A4ED8C">
      <w:pPr>
        <w:pStyle w:val="45"/>
        <w:numPr>
          <w:ilvl w:val="6"/>
          <w:numId w:val="0"/>
        </w:numPr>
        <w:spacing w:before="156"/>
        <w:ind w:firstLine="1897" w:firstLineChars="900"/>
        <w:jc w:val="both"/>
        <w:rPr>
          <w:color w:val="auto"/>
        </w:rPr>
      </w:pPr>
      <w:r>
        <w:rPr>
          <w:rFonts w:hint="default" w:ascii="宋体" w:hAnsi="宋体" w:eastAsia="宋体" w:cs="宋体"/>
          <w:b/>
          <w:bCs/>
          <w:color w:val="auto"/>
          <w:kern w:val="2"/>
          <w:sz w:val="21"/>
          <w:szCs w:val="21"/>
          <w:lang w:val="en-US" w:eastAsia="zh-CN" w:bidi="ar-SA"/>
        </w:rPr>
        <w:t xml:space="preserve">图6.2-19 </w:t>
      </w:r>
      <w:r>
        <w:rPr>
          <w:rFonts w:hint="eastAsia"/>
          <w:color w:val="auto"/>
        </w:rPr>
        <w:t>NO</w:t>
      </w:r>
      <w:r>
        <w:rPr>
          <w:rFonts w:hint="eastAsia"/>
          <w:color w:val="auto"/>
          <w:vertAlign w:val="subscript"/>
        </w:rPr>
        <w:t>2</w:t>
      </w:r>
      <w:r>
        <w:rPr>
          <w:rFonts w:hint="eastAsia"/>
          <w:color w:val="auto"/>
        </w:rPr>
        <w:t>叠加浓度分布图—年均 单位：mg/m</w:t>
      </w:r>
      <w:r>
        <w:rPr>
          <w:rFonts w:hint="eastAsia"/>
          <w:color w:val="auto"/>
          <w:vertAlign w:val="superscript"/>
        </w:rPr>
        <w:t>3</w:t>
      </w:r>
    </w:p>
    <w:p w14:paraId="3F0B65EA">
      <w:pPr>
        <w:ind w:firstLine="480"/>
      </w:pPr>
      <w:r>
        <w:rPr>
          <w:rFonts w:hint="eastAsia" w:ascii="宋体" w:hAnsi="宋体" w:cs="宋体"/>
        </w:rPr>
        <w:t>③TSP</w:t>
      </w:r>
      <w:r>
        <w:t>叠加结果如下：</w:t>
      </w:r>
    </w:p>
    <w:p w14:paraId="5B258D86">
      <w:pPr>
        <w:ind w:firstLine="480"/>
        <w:rPr>
          <w:color w:val="FF0000"/>
        </w:rPr>
      </w:pPr>
      <w:r>
        <w:t>正常排放情况下，拟建项目</w:t>
      </w:r>
      <w:r>
        <w:rPr>
          <w:rFonts w:hint="eastAsia"/>
        </w:rPr>
        <w:t>TSP</w:t>
      </w:r>
      <w:r>
        <w:t>日均浓度的叠加预测值和年均浓度预测值对各</w:t>
      </w:r>
      <w:r>
        <w:rPr>
          <w:rFonts w:hint="eastAsia"/>
        </w:rPr>
        <w:t>敏感</w:t>
      </w:r>
      <w:r>
        <w:t>点的影响满足《环境空气质量标准》（GB3095-2012）相应标准要求。区域最大落地浓度中，日均</w:t>
      </w:r>
      <w:r>
        <w:rPr>
          <w:rFonts w:hint="eastAsia"/>
        </w:rPr>
        <w:t>叠加</w:t>
      </w:r>
      <w:r>
        <w:t>浓度贡献值最大值为</w:t>
      </w:r>
      <w:r>
        <w:rPr>
          <w:rFonts w:hint="eastAsia"/>
        </w:rPr>
        <w:t>0.0215</w:t>
      </w:r>
      <w:r>
        <w:t>mg/m³、最大占标率为</w:t>
      </w:r>
      <w:r>
        <w:rPr>
          <w:rFonts w:hint="eastAsia"/>
        </w:rPr>
        <w:t>26.91</w:t>
      </w:r>
      <w:r>
        <w:t>%。</w:t>
      </w:r>
    </w:p>
    <w:p w14:paraId="08B2EE2F">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表6.2-22 </w:t>
      </w:r>
      <w:r>
        <w:rPr>
          <w:rFonts w:hint="eastAsia"/>
        </w:rPr>
        <w:t>TSP的叠加结果计算   单位：mg/m</w:t>
      </w:r>
      <w:r>
        <w:rPr>
          <w:rFonts w:hint="eastAsia"/>
          <w:vertAlign w:val="superscript"/>
        </w:rPr>
        <w:t>3</w:t>
      </w:r>
    </w:p>
    <w:tbl>
      <w:tblPr>
        <w:tblStyle w:val="66"/>
        <w:tblW w:w="509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8"/>
        <w:gridCol w:w="1145"/>
        <w:gridCol w:w="737"/>
        <w:gridCol w:w="647"/>
        <w:gridCol w:w="914"/>
        <w:gridCol w:w="1069"/>
        <w:gridCol w:w="1182"/>
        <w:gridCol w:w="914"/>
        <w:gridCol w:w="784"/>
        <w:gridCol w:w="716"/>
      </w:tblGrid>
      <w:tr w14:paraId="2A09DB1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637" w:hRule="exact"/>
          <w:jc w:val="center"/>
        </w:trPr>
        <w:tc>
          <w:tcPr>
            <w:tcW w:w="378" w:type="dxa"/>
            <w:tcBorders>
              <w:tl2br w:val="nil"/>
              <w:tr2bl w:val="nil"/>
            </w:tcBorders>
            <w:shd w:val="clear" w:color="auto" w:fill="auto"/>
            <w:textDirection w:val="tbRlV"/>
            <w:vAlign w:val="center"/>
          </w:tcPr>
          <w:p w14:paraId="009BB7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序 号</w:t>
            </w:r>
            <w:r>
              <w:rPr>
                <w:sz w:val="21"/>
                <w:szCs w:val="21"/>
                <w:lang w:eastAsia="en-US"/>
              </w:rPr>
              <w:drawing>
                <wp:inline distT="0" distB="0" distL="0" distR="0">
                  <wp:extent cx="137160" cy="0"/>
                  <wp:effectExtent l="0" t="0" r="0" b="0"/>
                  <wp:docPr id="57" name="IM 148"/>
                  <wp:cNvGraphicFramePr/>
                  <a:graphic xmlns:a="http://schemas.openxmlformats.org/drawingml/2006/main">
                    <a:graphicData uri="http://schemas.openxmlformats.org/drawingml/2006/picture">
                      <pic:pic xmlns:pic="http://schemas.openxmlformats.org/drawingml/2006/picture">
                        <pic:nvPicPr>
                          <pic:cNvPr id="57" name="IM 148"/>
                          <pic:cNvPicPr/>
                        </pic:nvPicPr>
                        <pic:blipFill>
                          <a:blip r:embed="rId51"/>
                          <a:stretch>
                            <a:fillRect/>
                          </a:stretch>
                        </pic:blipFill>
                        <pic:spPr>
                          <a:xfrm>
                            <a:off x="0" y="0"/>
                            <a:ext cx="137160" cy="0"/>
                          </a:xfrm>
                          <a:prstGeom prst="rect">
                            <a:avLst/>
                          </a:prstGeom>
                        </pic:spPr>
                      </pic:pic>
                    </a:graphicData>
                  </a:graphic>
                </wp:inline>
              </w:drawing>
            </w:r>
          </w:p>
        </w:tc>
        <w:tc>
          <w:tcPr>
            <w:tcW w:w="1145" w:type="dxa"/>
            <w:tcBorders>
              <w:tl2br w:val="nil"/>
              <w:tr2bl w:val="nil"/>
            </w:tcBorders>
            <w:shd w:val="clear" w:color="auto" w:fill="auto"/>
            <w:vAlign w:val="center"/>
          </w:tcPr>
          <w:p w14:paraId="2CD437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离散点</w:t>
            </w:r>
          </w:p>
        </w:tc>
        <w:tc>
          <w:tcPr>
            <w:tcW w:w="737" w:type="dxa"/>
            <w:tcBorders>
              <w:tl2br w:val="nil"/>
              <w:tr2bl w:val="nil"/>
            </w:tcBorders>
            <w:shd w:val="clear" w:color="auto" w:fill="auto"/>
            <w:vAlign w:val="center"/>
          </w:tcPr>
          <w:p w14:paraId="6F3286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点坐标 （X）</w:t>
            </w:r>
          </w:p>
        </w:tc>
        <w:tc>
          <w:tcPr>
            <w:tcW w:w="647" w:type="dxa"/>
            <w:tcBorders>
              <w:tl2br w:val="nil"/>
              <w:tr2bl w:val="nil"/>
            </w:tcBorders>
            <w:shd w:val="clear" w:color="auto" w:fill="auto"/>
            <w:vAlign w:val="center"/>
          </w:tcPr>
          <w:p w14:paraId="65D51A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点坐标 （Y）</w:t>
            </w:r>
          </w:p>
        </w:tc>
        <w:tc>
          <w:tcPr>
            <w:tcW w:w="914" w:type="dxa"/>
            <w:tcBorders>
              <w:tl2br w:val="nil"/>
              <w:tr2bl w:val="nil"/>
            </w:tcBorders>
            <w:shd w:val="clear" w:color="auto" w:fill="auto"/>
            <w:vAlign w:val="center"/>
          </w:tcPr>
          <w:p w14:paraId="760C0BB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浓度类型</w:t>
            </w:r>
          </w:p>
        </w:tc>
        <w:tc>
          <w:tcPr>
            <w:tcW w:w="1069" w:type="dxa"/>
            <w:tcBorders>
              <w:tl2br w:val="nil"/>
              <w:tr2bl w:val="nil"/>
            </w:tcBorders>
            <w:shd w:val="clear" w:color="auto" w:fill="auto"/>
            <w:vAlign w:val="center"/>
          </w:tcPr>
          <w:p w14:paraId="2A18CE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出现时间</w:t>
            </w:r>
          </w:p>
        </w:tc>
        <w:tc>
          <w:tcPr>
            <w:tcW w:w="1182" w:type="dxa"/>
            <w:tcBorders>
              <w:tl2br w:val="nil"/>
              <w:tr2bl w:val="nil"/>
            </w:tcBorders>
            <w:shd w:val="clear" w:color="auto" w:fill="auto"/>
            <w:vAlign w:val="center"/>
          </w:tcPr>
          <w:p w14:paraId="63EA3B3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叠加</w:t>
            </w:r>
            <w:r>
              <w:rPr>
                <w:sz w:val="21"/>
                <w:szCs w:val="21"/>
                <w:lang w:eastAsia="en-US"/>
              </w:rPr>
              <w:t>值</w:t>
            </w:r>
          </w:p>
        </w:tc>
        <w:tc>
          <w:tcPr>
            <w:tcW w:w="914" w:type="dxa"/>
            <w:tcBorders>
              <w:tl2br w:val="nil"/>
              <w:tr2bl w:val="nil"/>
            </w:tcBorders>
            <w:shd w:val="clear" w:color="auto" w:fill="auto"/>
            <w:vAlign w:val="center"/>
          </w:tcPr>
          <w:p w14:paraId="035299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评价标准</w:t>
            </w:r>
          </w:p>
        </w:tc>
        <w:tc>
          <w:tcPr>
            <w:tcW w:w="784" w:type="dxa"/>
            <w:tcBorders>
              <w:tl2br w:val="nil"/>
              <w:tr2bl w:val="nil"/>
            </w:tcBorders>
            <w:shd w:val="clear" w:color="auto" w:fill="auto"/>
            <w:vAlign w:val="center"/>
          </w:tcPr>
          <w:p w14:paraId="461AA77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占标</w:t>
            </w:r>
          </w:p>
          <w:p w14:paraId="441C080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率%</w:t>
            </w:r>
          </w:p>
        </w:tc>
        <w:tc>
          <w:tcPr>
            <w:tcW w:w="716" w:type="dxa"/>
            <w:tcBorders>
              <w:tl2br w:val="nil"/>
              <w:tr2bl w:val="nil"/>
            </w:tcBorders>
            <w:shd w:val="clear" w:color="auto" w:fill="auto"/>
            <w:vAlign w:val="center"/>
          </w:tcPr>
          <w:p w14:paraId="24C5605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是否达 标</w:t>
            </w:r>
          </w:p>
        </w:tc>
      </w:tr>
      <w:tr w14:paraId="51A0C66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23109E4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w:t>
            </w:r>
          </w:p>
        </w:tc>
        <w:tc>
          <w:tcPr>
            <w:tcW w:w="1145" w:type="dxa"/>
            <w:vMerge w:val="restart"/>
            <w:tcBorders>
              <w:tl2br w:val="nil"/>
              <w:tr2bl w:val="nil"/>
            </w:tcBorders>
            <w:shd w:val="clear" w:color="auto" w:fill="auto"/>
            <w:vAlign w:val="center"/>
          </w:tcPr>
          <w:p w14:paraId="5484A39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涓江香水湾小区</w:t>
            </w:r>
          </w:p>
        </w:tc>
        <w:tc>
          <w:tcPr>
            <w:tcW w:w="737" w:type="dxa"/>
            <w:vMerge w:val="restart"/>
            <w:tcBorders>
              <w:tl2br w:val="nil"/>
              <w:tr2bl w:val="nil"/>
            </w:tcBorders>
            <w:shd w:val="clear" w:color="auto" w:fill="auto"/>
            <w:vAlign w:val="center"/>
          </w:tcPr>
          <w:p w14:paraId="624A95F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755</w:t>
            </w:r>
          </w:p>
        </w:tc>
        <w:tc>
          <w:tcPr>
            <w:tcW w:w="647" w:type="dxa"/>
            <w:vMerge w:val="restart"/>
            <w:tcBorders>
              <w:tl2br w:val="nil"/>
              <w:tr2bl w:val="nil"/>
            </w:tcBorders>
            <w:shd w:val="clear" w:color="auto" w:fill="auto"/>
            <w:vAlign w:val="center"/>
          </w:tcPr>
          <w:p w14:paraId="0042D89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281</w:t>
            </w:r>
          </w:p>
        </w:tc>
        <w:tc>
          <w:tcPr>
            <w:tcW w:w="914" w:type="dxa"/>
            <w:tcBorders>
              <w:tl2br w:val="nil"/>
              <w:tr2bl w:val="nil"/>
            </w:tcBorders>
            <w:shd w:val="clear" w:color="auto" w:fill="auto"/>
            <w:vAlign w:val="center"/>
          </w:tcPr>
          <w:p w14:paraId="3D6CD94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A7F5A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061820</w:t>
            </w:r>
          </w:p>
        </w:tc>
        <w:tc>
          <w:tcPr>
            <w:tcW w:w="1182" w:type="dxa"/>
            <w:tcBorders>
              <w:tl2br w:val="nil"/>
              <w:tr2bl w:val="nil"/>
            </w:tcBorders>
            <w:shd w:val="clear" w:color="auto" w:fill="auto"/>
            <w:vAlign w:val="center"/>
          </w:tcPr>
          <w:p w14:paraId="5F4CC0D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0.0010</w:t>
            </w:r>
          </w:p>
        </w:tc>
        <w:tc>
          <w:tcPr>
            <w:tcW w:w="914" w:type="dxa"/>
            <w:tcBorders>
              <w:tl2br w:val="nil"/>
              <w:tr2bl w:val="nil"/>
            </w:tcBorders>
            <w:shd w:val="clear" w:color="auto" w:fill="auto"/>
            <w:vAlign w:val="center"/>
          </w:tcPr>
          <w:p w14:paraId="2514A5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709A96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0.49</w:t>
            </w:r>
          </w:p>
        </w:tc>
        <w:tc>
          <w:tcPr>
            <w:tcW w:w="716" w:type="dxa"/>
            <w:tcBorders>
              <w:tl2br w:val="nil"/>
              <w:tr2bl w:val="nil"/>
            </w:tcBorders>
            <w:shd w:val="clear" w:color="auto" w:fill="auto"/>
            <w:vAlign w:val="center"/>
          </w:tcPr>
          <w:p w14:paraId="0B967F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50BA2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799A1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25780C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446B1C0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1A7A11C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348A0B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0E6060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0704</w:t>
            </w:r>
          </w:p>
        </w:tc>
        <w:tc>
          <w:tcPr>
            <w:tcW w:w="1182" w:type="dxa"/>
            <w:tcBorders>
              <w:tl2br w:val="nil"/>
              <w:tr2bl w:val="nil"/>
            </w:tcBorders>
            <w:shd w:val="clear" w:color="auto" w:fill="auto"/>
            <w:vAlign w:val="center"/>
          </w:tcPr>
          <w:p w14:paraId="1AAD54D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314F6CA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2300CC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26.57</w:t>
            </w:r>
          </w:p>
        </w:tc>
        <w:tc>
          <w:tcPr>
            <w:tcW w:w="716" w:type="dxa"/>
            <w:tcBorders>
              <w:tl2br w:val="nil"/>
              <w:tr2bl w:val="nil"/>
            </w:tcBorders>
            <w:shd w:val="clear" w:color="auto" w:fill="auto"/>
            <w:vAlign w:val="center"/>
          </w:tcPr>
          <w:p w14:paraId="794B01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7C96E28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17B0B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FAA227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1FD6E2A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14C32B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667118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4508E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568D5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BF16A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B081BA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386CE1E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240CE15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41FE9E9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w:t>
            </w:r>
          </w:p>
        </w:tc>
        <w:tc>
          <w:tcPr>
            <w:tcW w:w="1145" w:type="dxa"/>
            <w:vMerge w:val="restart"/>
            <w:tcBorders>
              <w:tl2br w:val="nil"/>
              <w:tr2bl w:val="nil"/>
            </w:tcBorders>
            <w:shd w:val="clear" w:color="auto" w:fill="auto"/>
            <w:vAlign w:val="center"/>
          </w:tcPr>
          <w:p w14:paraId="0997A99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松香苑小区</w:t>
            </w:r>
          </w:p>
        </w:tc>
        <w:tc>
          <w:tcPr>
            <w:tcW w:w="737" w:type="dxa"/>
            <w:vMerge w:val="restart"/>
            <w:tcBorders>
              <w:tl2br w:val="nil"/>
              <w:tr2bl w:val="nil"/>
            </w:tcBorders>
            <w:shd w:val="clear" w:color="auto" w:fill="auto"/>
            <w:vAlign w:val="center"/>
          </w:tcPr>
          <w:p w14:paraId="0FFFB9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1080</w:t>
            </w:r>
          </w:p>
        </w:tc>
        <w:tc>
          <w:tcPr>
            <w:tcW w:w="647" w:type="dxa"/>
            <w:vMerge w:val="restart"/>
            <w:tcBorders>
              <w:tl2br w:val="nil"/>
              <w:tr2bl w:val="nil"/>
            </w:tcBorders>
            <w:shd w:val="clear" w:color="auto" w:fill="auto"/>
            <w:vAlign w:val="center"/>
          </w:tcPr>
          <w:p w14:paraId="343D1C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762</w:t>
            </w:r>
          </w:p>
        </w:tc>
        <w:tc>
          <w:tcPr>
            <w:tcW w:w="914" w:type="dxa"/>
            <w:tcBorders>
              <w:tl2br w:val="nil"/>
              <w:tr2bl w:val="nil"/>
            </w:tcBorders>
            <w:shd w:val="clear" w:color="auto" w:fill="auto"/>
            <w:vAlign w:val="center"/>
          </w:tcPr>
          <w:p w14:paraId="12574C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AF9510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062007</w:t>
            </w:r>
          </w:p>
        </w:tc>
        <w:tc>
          <w:tcPr>
            <w:tcW w:w="1182" w:type="dxa"/>
            <w:tcBorders>
              <w:tl2br w:val="nil"/>
              <w:tr2bl w:val="nil"/>
            </w:tcBorders>
            <w:shd w:val="clear" w:color="auto" w:fill="auto"/>
            <w:vAlign w:val="center"/>
          </w:tcPr>
          <w:p w14:paraId="366CED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143EC8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57638D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0747023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C8B3FC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69B21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7D25A2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7BFCC7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69D05A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C3341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BE8C8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0604</w:t>
            </w:r>
          </w:p>
        </w:tc>
        <w:tc>
          <w:tcPr>
            <w:tcW w:w="1182" w:type="dxa"/>
            <w:tcBorders>
              <w:tl2br w:val="nil"/>
              <w:tr2bl w:val="nil"/>
            </w:tcBorders>
            <w:shd w:val="clear" w:color="auto" w:fill="auto"/>
            <w:vAlign w:val="center"/>
          </w:tcPr>
          <w:p w14:paraId="701DAC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340C6E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E1598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26.51</w:t>
            </w:r>
          </w:p>
        </w:tc>
        <w:tc>
          <w:tcPr>
            <w:tcW w:w="716" w:type="dxa"/>
            <w:tcBorders>
              <w:tl2br w:val="nil"/>
              <w:tr2bl w:val="nil"/>
            </w:tcBorders>
            <w:shd w:val="clear" w:color="auto" w:fill="auto"/>
            <w:vAlign w:val="center"/>
          </w:tcPr>
          <w:p w14:paraId="1AC1B8A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C7078B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D5F037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56F7A7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25E01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669F686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3354A53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0F271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2C16C1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0EAE4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499E5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5889D76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4E0D69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16A2C16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3</w:t>
            </w:r>
          </w:p>
        </w:tc>
        <w:tc>
          <w:tcPr>
            <w:tcW w:w="1145" w:type="dxa"/>
            <w:vMerge w:val="restart"/>
            <w:tcBorders>
              <w:tl2br w:val="nil"/>
              <w:tr2bl w:val="nil"/>
            </w:tcBorders>
            <w:shd w:val="clear" w:color="auto" w:fill="auto"/>
            <w:vAlign w:val="center"/>
          </w:tcPr>
          <w:p w14:paraId="5AB625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吴家巷散户居民</w:t>
            </w:r>
          </w:p>
        </w:tc>
        <w:tc>
          <w:tcPr>
            <w:tcW w:w="737" w:type="dxa"/>
            <w:vMerge w:val="restart"/>
            <w:tcBorders>
              <w:tl2br w:val="nil"/>
              <w:tr2bl w:val="nil"/>
            </w:tcBorders>
            <w:shd w:val="clear" w:color="auto" w:fill="auto"/>
            <w:vAlign w:val="center"/>
          </w:tcPr>
          <w:p w14:paraId="1B10F0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831</w:t>
            </w:r>
          </w:p>
        </w:tc>
        <w:tc>
          <w:tcPr>
            <w:tcW w:w="647" w:type="dxa"/>
            <w:vMerge w:val="restart"/>
            <w:tcBorders>
              <w:tl2br w:val="nil"/>
              <w:tr2bl w:val="nil"/>
            </w:tcBorders>
            <w:shd w:val="clear" w:color="auto" w:fill="auto"/>
            <w:vAlign w:val="center"/>
          </w:tcPr>
          <w:p w14:paraId="2DA4D7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199</w:t>
            </w:r>
          </w:p>
        </w:tc>
        <w:tc>
          <w:tcPr>
            <w:tcW w:w="914" w:type="dxa"/>
            <w:tcBorders>
              <w:tl2br w:val="nil"/>
              <w:tr2bl w:val="nil"/>
            </w:tcBorders>
            <w:shd w:val="clear" w:color="auto" w:fill="auto"/>
            <w:vAlign w:val="center"/>
          </w:tcPr>
          <w:p w14:paraId="3C128BB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E005A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070421</w:t>
            </w:r>
          </w:p>
        </w:tc>
        <w:tc>
          <w:tcPr>
            <w:tcW w:w="1182" w:type="dxa"/>
            <w:tcBorders>
              <w:tl2br w:val="nil"/>
              <w:tr2bl w:val="nil"/>
            </w:tcBorders>
            <w:shd w:val="clear" w:color="auto" w:fill="auto"/>
            <w:vAlign w:val="center"/>
          </w:tcPr>
          <w:p w14:paraId="569548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39FBB4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6376C3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0.45</w:t>
            </w:r>
          </w:p>
        </w:tc>
        <w:tc>
          <w:tcPr>
            <w:tcW w:w="716" w:type="dxa"/>
            <w:tcBorders>
              <w:tl2br w:val="nil"/>
              <w:tr2bl w:val="nil"/>
            </w:tcBorders>
            <w:shd w:val="clear" w:color="auto" w:fill="auto"/>
            <w:vAlign w:val="center"/>
          </w:tcPr>
          <w:p w14:paraId="3C1F28D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22C68A3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60CF2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60F1E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68CE9B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694877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B4856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AC6EEE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0704</w:t>
            </w:r>
          </w:p>
        </w:tc>
        <w:tc>
          <w:tcPr>
            <w:tcW w:w="1182" w:type="dxa"/>
            <w:tcBorders>
              <w:tl2br w:val="nil"/>
              <w:tr2bl w:val="nil"/>
            </w:tcBorders>
            <w:shd w:val="clear" w:color="auto" w:fill="auto"/>
            <w:vAlign w:val="center"/>
          </w:tcPr>
          <w:p w14:paraId="486019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561A21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F80F2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26.62</w:t>
            </w:r>
          </w:p>
        </w:tc>
        <w:tc>
          <w:tcPr>
            <w:tcW w:w="716" w:type="dxa"/>
            <w:tcBorders>
              <w:tl2br w:val="nil"/>
              <w:tr2bl w:val="nil"/>
            </w:tcBorders>
            <w:shd w:val="clear" w:color="auto" w:fill="auto"/>
            <w:vAlign w:val="center"/>
          </w:tcPr>
          <w:p w14:paraId="6E1E00B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5024E50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23C1974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7C3B968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A4473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3A72F5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383AEE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B6505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B7A5A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E911D5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4DA606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49F7D39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47DA7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640807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4</w:t>
            </w:r>
          </w:p>
        </w:tc>
        <w:tc>
          <w:tcPr>
            <w:tcW w:w="1145" w:type="dxa"/>
            <w:vMerge w:val="restart"/>
            <w:tcBorders>
              <w:tl2br w:val="nil"/>
              <w:tr2bl w:val="nil"/>
            </w:tcBorders>
            <w:shd w:val="clear" w:color="auto" w:fill="auto"/>
            <w:vAlign w:val="center"/>
          </w:tcPr>
          <w:p w14:paraId="07E382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黄莺花苑小区</w:t>
            </w:r>
          </w:p>
        </w:tc>
        <w:tc>
          <w:tcPr>
            <w:tcW w:w="737" w:type="dxa"/>
            <w:vMerge w:val="restart"/>
            <w:tcBorders>
              <w:tl2br w:val="nil"/>
              <w:tr2bl w:val="nil"/>
            </w:tcBorders>
            <w:shd w:val="clear" w:color="auto" w:fill="auto"/>
            <w:vAlign w:val="center"/>
          </w:tcPr>
          <w:p w14:paraId="65380F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857</w:t>
            </w:r>
          </w:p>
        </w:tc>
        <w:tc>
          <w:tcPr>
            <w:tcW w:w="647" w:type="dxa"/>
            <w:vMerge w:val="restart"/>
            <w:tcBorders>
              <w:tl2br w:val="nil"/>
              <w:tr2bl w:val="nil"/>
            </w:tcBorders>
            <w:shd w:val="clear" w:color="auto" w:fill="auto"/>
            <w:vAlign w:val="center"/>
          </w:tcPr>
          <w:p w14:paraId="74C3FAF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-507</w:t>
            </w:r>
          </w:p>
        </w:tc>
        <w:tc>
          <w:tcPr>
            <w:tcW w:w="914" w:type="dxa"/>
            <w:tcBorders>
              <w:tl2br w:val="nil"/>
              <w:tr2bl w:val="nil"/>
            </w:tcBorders>
            <w:shd w:val="clear" w:color="auto" w:fill="auto"/>
            <w:vAlign w:val="center"/>
          </w:tcPr>
          <w:p w14:paraId="44B6831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9C65E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052719</w:t>
            </w:r>
          </w:p>
        </w:tc>
        <w:tc>
          <w:tcPr>
            <w:tcW w:w="1182" w:type="dxa"/>
            <w:tcBorders>
              <w:tl2br w:val="nil"/>
              <w:tr2bl w:val="nil"/>
            </w:tcBorders>
            <w:shd w:val="clear" w:color="auto" w:fill="auto"/>
            <w:vAlign w:val="center"/>
          </w:tcPr>
          <w:p w14:paraId="1C9684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0.0012</w:t>
            </w:r>
          </w:p>
        </w:tc>
        <w:tc>
          <w:tcPr>
            <w:tcW w:w="914" w:type="dxa"/>
            <w:tcBorders>
              <w:tl2br w:val="nil"/>
              <w:tr2bl w:val="nil"/>
            </w:tcBorders>
            <w:shd w:val="clear" w:color="auto" w:fill="auto"/>
            <w:vAlign w:val="center"/>
          </w:tcPr>
          <w:p w14:paraId="2B5D6B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46F2604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0.58</w:t>
            </w:r>
          </w:p>
        </w:tc>
        <w:tc>
          <w:tcPr>
            <w:tcW w:w="716" w:type="dxa"/>
            <w:tcBorders>
              <w:tl2br w:val="nil"/>
              <w:tr2bl w:val="nil"/>
            </w:tcBorders>
            <w:shd w:val="clear" w:color="auto" w:fill="auto"/>
            <w:vAlign w:val="center"/>
          </w:tcPr>
          <w:p w14:paraId="5A0898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69F6A7C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2DDE72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3D14974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06C10C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5DE2C6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53C496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5D5DD3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0527</w:t>
            </w:r>
          </w:p>
        </w:tc>
        <w:tc>
          <w:tcPr>
            <w:tcW w:w="1182" w:type="dxa"/>
            <w:tcBorders>
              <w:tl2br w:val="nil"/>
              <w:tr2bl w:val="nil"/>
            </w:tcBorders>
            <w:shd w:val="clear" w:color="auto" w:fill="auto"/>
            <w:vAlign w:val="center"/>
          </w:tcPr>
          <w:p w14:paraId="6AB95EC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12B6BCA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FC798B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26.59</w:t>
            </w:r>
          </w:p>
        </w:tc>
        <w:tc>
          <w:tcPr>
            <w:tcW w:w="716" w:type="dxa"/>
            <w:tcBorders>
              <w:tl2br w:val="nil"/>
              <w:tr2bl w:val="nil"/>
            </w:tcBorders>
            <w:shd w:val="clear" w:color="auto" w:fill="auto"/>
            <w:vAlign w:val="center"/>
          </w:tcPr>
          <w:p w14:paraId="78DFF1D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320550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00DD505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17F7D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58DE25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C1C46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918278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498CD1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80DA3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6FE762F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86F36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6B3B79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202CA3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1B60260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5</w:t>
            </w:r>
          </w:p>
        </w:tc>
        <w:tc>
          <w:tcPr>
            <w:tcW w:w="1145" w:type="dxa"/>
            <w:vMerge w:val="restart"/>
            <w:tcBorders>
              <w:tl2br w:val="nil"/>
              <w:tr2bl w:val="nil"/>
            </w:tcBorders>
            <w:shd w:val="clear" w:color="auto" w:fill="auto"/>
            <w:vAlign w:val="center"/>
          </w:tcPr>
          <w:p w14:paraId="127BA8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城南御花园小区</w:t>
            </w:r>
          </w:p>
        </w:tc>
        <w:tc>
          <w:tcPr>
            <w:tcW w:w="737" w:type="dxa"/>
            <w:vMerge w:val="restart"/>
            <w:tcBorders>
              <w:tl2br w:val="nil"/>
              <w:tr2bl w:val="nil"/>
            </w:tcBorders>
            <w:shd w:val="clear" w:color="auto" w:fill="auto"/>
            <w:vAlign w:val="center"/>
          </w:tcPr>
          <w:p w14:paraId="4EF9104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-900</w:t>
            </w:r>
          </w:p>
        </w:tc>
        <w:tc>
          <w:tcPr>
            <w:tcW w:w="647" w:type="dxa"/>
            <w:vMerge w:val="restart"/>
            <w:tcBorders>
              <w:tl2br w:val="nil"/>
              <w:tr2bl w:val="nil"/>
            </w:tcBorders>
            <w:shd w:val="clear" w:color="auto" w:fill="auto"/>
            <w:vAlign w:val="center"/>
          </w:tcPr>
          <w:p w14:paraId="12E7D94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684</w:t>
            </w:r>
          </w:p>
        </w:tc>
        <w:tc>
          <w:tcPr>
            <w:tcW w:w="914" w:type="dxa"/>
            <w:tcBorders>
              <w:tl2br w:val="nil"/>
              <w:tr2bl w:val="nil"/>
            </w:tcBorders>
            <w:shd w:val="clear" w:color="auto" w:fill="auto"/>
            <w:vAlign w:val="center"/>
          </w:tcPr>
          <w:p w14:paraId="62D0C19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C23B9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rFonts w:hint="eastAsia"/>
                <w:sz w:val="21"/>
                <w:szCs w:val="21"/>
                <w:lang w:eastAsia="zh-CN"/>
              </w:rPr>
              <w:t>24</w:t>
            </w:r>
            <w:r>
              <w:rPr>
                <w:sz w:val="21"/>
                <w:szCs w:val="21"/>
                <w:lang w:eastAsia="en-US"/>
              </w:rPr>
              <w:t>0703</w:t>
            </w:r>
            <w:r>
              <w:rPr>
                <w:rFonts w:hint="eastAsia"/>
                <w:sz w:val="21"/>
                <w:szCs w:val="21"/>
                <w:lang w:eastAsia="zh-CN"/>
              </w:rPr>
              <w:t>24</w:t>
            </w:r>
          </w:p>
        </w:tc>
        <w:tc>
          <w:tcPr>
            <w:tcW w:w="1182" w:type="dxa"/>
            <w:tcBorders>
              <w:tl2br w:val="nil"/>
              <w:tr2bl w:val="nil"/>
            </w:tcBorders>
            <w:shd w:val="clear" w:color="auto" w:fill="auto"/>
            <w:vAlign w:val="center"/>
          </w:tcPr>
          <w:p w14:paraId="30120B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013DE91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41FFC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0.35</w:t>
            </w:r>
          </w:p>
        </w:tc>
        <w:tc>
          <w:tcPr>
            <w:tcW w:w="716" w:type="dxa"/>
            <w:tcBorders>
              <w:tl2br w:val="nil"/>
              <w:tr2bl w:val="nil"/>
            </w:tcBorders>
            <w:shd w:val="clear" w:color="auto" w:fill="auto"/>
            <w:vAlign w:val="center"/>
          </w:tcPr>
          <w:p w14:paraId="4E45C0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77FA077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268BCE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EC4D4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7F80D5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EEE53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14FEA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D57F7B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0702</w:t>
            </w:r>
          </w:p>
        </w:tc>
        <w:tc>
          <w:tcPr>
            <w:tcW w:w="1182" w:type="dxa"/>
            <w:tcBorders>
              <w:tl2br w:val="nil"/>
              <w:tr2bl w:val="nil"/>
            </w:tcBorders>
            <w:shd w:val="clear" w:color="auto" w:fill="auto"/>
            <w:vAlign w:val="center"/>
          </w:tcPr>
          <w:p w14:paraId="7619C68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468397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113B912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26.57</w:t>
            </w:r>
          </w:p>
        </w:tc>
        <w:tc>
          <w:tcPr>
            <w:tcW w:w="716" w:type="dxa"/>
            <w:tcBorders>
              <w:tl2br w:val="nil"/>
              <w:tr2bl w:val="nil"/>
            </w:tcBorders>
            <w:shd w:val="clear" w:color="auto" w:fill="auto"/>
            <w:vAlign w:val="center"/>
          </w:tcPr>
          <w:p w14:paraId="5ABFD7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596566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7B5034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13928A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272A3F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39A4E94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95C21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46EE5E8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128794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914D02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53CDDAD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3F97C6A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8D571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7318CF6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6</w:t>
            </w:r>
          </w:p>
        </w:tc>
        <w:tc>
          <w:tcPr>
            <w:tcW w:w="1145" w:type="dxa"/>
            <w:vMerge w:val="restart"/>
            <w:tcBorders>
              <w:tl2br w:val="nil"/>
              <w:tr2bl w:val="nil"/>
            </w:tcBorders>
            <w:shd w:val="clear" w:color="auto" w:fill="auto"/>
            <w:vAlign w:val="center"/>
          </w:tcPr>
          <w:p w14:paraId="3FAFFD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润玉时代城小区</w:t>
            </w:r>
          </w:p>
        </w:tc>
        <w:tc>
          <w:tcPr>
            <w:tcW w:w="737" w:type="dxa"/>
            <w:vMerge w:val="restart"/>
            <w:tcBorders>
              <w:tl2br w:val="nil"/>
              <w:tr2bl w:val="nil"/>
            </w:tcBorders>
            <w:shd w:val="clear" w:color="auto" w:fill="auto"/>
            <w:vAlign w:val="center"/>
          </w:tcPr>
          <w:p w14:paraId="09CE4FA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-1306</w:t>
            </w:r>
          </w:p>
        </w:tc>
        <w:tc>
          <w:tcPr>
            <w:tcW w:w="647" w:type="dxa"/>
            <w:vMerge w:val="restart"/>
            <w:tcBorders>
              <w:tl2br w:val="nil"/>
              <w:tr2bl w:val="nil"/>
            </w:tcBorders>
            <w:shd w:val="clear" w:color="auto" w:fill="auto"/>
            <w:vAlign w:val="center"/>
          </w:tcPr>
          <w:p w14:paraId="4E29DC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w:t>
            </w:r>
            <w:r>
              <w:rPr>
                <w:rFonts w:hint="eastAsia"/>
                <w:sz w:val="21"/>
                <w:szCs w:val="21"/>
                <w:lang w:eastAsia="en-US"/>
              </w:rPr>
              <w:t>1</w:t>
            </w:r>
            <w:r>
              <w:rPr>
                <w:sz w:val="21"/>
                <w:szCs w:val="21"/>
                <w:lang w:eastAsia="en-US"/>
              </w:rPr>
              <w:t>9</w:t>
            </w:r>
          </w:p>
        </w:tc>
        <w:tc>
          <w:tcPr>
            <w:tcW w:w="914" w:type="dxa"/>
            <w:tcBorders>
              <w:tl2br w:val="nil"/>
              <w:tr2bl w:val="nil"/>
            </w:tcBorders>
            <w:shd w:val="clear" w:color="auto" w:fill="auto"/>
            <w:vAlign w:val="center"/>
          </w:tcPr>
          <w:p w14:paraId="0E85C8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A4733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032508</w:t>
            </w:r>
          </w:p>
        </w:tc>
        <w:tc>
          <w:tcPr>
            <w:tcW w:w="1182" w:type="dxa"/>
            <w:tcBorders>
              <w:tl2br w:val="nil"/>
              <w:tr2bl w:val="nil"/>
            </w:tcBorders>
            <w:shd w:val="clear" w:color="auto" w:fill="auto"/>
            <w:vAlign w:val="center"/>
          </w:tcPr>
          <w:p w14:paraId="396AEE5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49AF17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465CD63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0.35</w:t>
            </w:r>
          </w:p>
        </w:tc>
        <w:tc>
          <w:tcPr>
            <w:tcW w:w="716" w:type="dxa"/>
            <w:tcBorders>
              <w:tl2br w:val="nil"/>
              <w:tr2bl w:val="nil"/>
            </w:tcBorders>
            <w:shd w:val="clear" w:color="auto" w:fill="auto"/>
            <w:vAlign w:val="center"/>
          </w:tcPr>
          <w:p w14:paraId="5093827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2A81CF5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6B6D63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3724010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74C82B3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0482430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97475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EF76E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0704</w:t>
            </w:r>
          </w:p>
        </w:tc>
        <w:tc>
          <w:tcPr>
            <w:tcW w:w="1182" w:type="dxa"/>
            <w:tcBorders>
              <w:tl2br w:val="nil"/>
              <w:tr2bl w:val="nil"/>
            </w:tcBorders>
            <w:shd w:val="clear" w:color="auto" w:fill="auto"/>
            <w:vAlign w:val="center"/>
          </w:tcPr>
          <w:p w14:paraId="1A55D9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4A016E0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51ED4C0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26.56</w:t>
            </w:r>
          </w:p>
        </w:tc>
        <w:tc>
          <w:tcPr>
            <w:tcW w:w="716" w:type="dxa"/>
            <w:tcBorders>
              <w:tl2br w:val="nil"/>
              <w:tr2bl w:val="nil"/>
            </w:tcBorders>
            <w:shd w:val="clear" w:color="auto" w:fill="auto"/>
            <w:vAlign w:val="center"/>
          </w:tcPr>
          <w:p w14:paraId="0D8576A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740198F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0A2CB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7B7C3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5514599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680ECE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5715D49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F83F0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2FA29B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91967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7F2F1C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3ACE25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6B09BDA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7E2E4FA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7</w:t>
            </w:r>
          </w:p>
        </w:tc>
        <w:tc>
          <w:tcPr>
            <w:tcW w:w="1145" w:type="dxa"/>
            <w:vMerge w:val="restart"/>
            <w:tcBorders>
              <w:tl2br w:val="nil"/>
              <w:tr2bl w:val="nil"/>
            </w:tcBorders>
            <w:shd w:val="clear" w:color="auto" w:fill="auto"/>
            <w:vAlign w:val="center"/>
          </w:tcPr>
          <w:p w14:paraId="78F226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山塘学校</w:t>
            </w:r>
          </w:p>
        </w:tc>
        <w:tc>
          <w:tcPr>
            <w:tcW w:w="737" w:type="dxa"/>
            <w:vMerge w:val="restart"/>
            <w:tcBorders>
              <w:tl2br w:val="nil"/>
              <w:tr2bl w:val="nil"/>
            </w:tcBorders>
            <w:shd w:val="clear" w:color="auto" w:fill="auto"/>
            <w:vAlign w:val="center"/>
          </w:tcPr>
          <w:p w14:paraId="530FC3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1230</w:t>
            </w:r>
          </w:p>
        </w:tc>
        <w:tc>
          <w:tcPr>
            <w:tcW w:w="647" w:type="dxa"/>
            <w:vMerge w:val="restart"/>
            <w:tcBorders>
              <w:tl2br w:val="nil"/>
              <w:tr2bl w:val="nil"/>
            </w:tcBorders>
            <w:shd w:val="clear" w:color="auto" w:fill="auto"/>
            <w:vAlign w:val="center"/>
          </w:tcPr>
          <w:p w14:paraId="0F2F12C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w:t>
            </w:r>
            <w:r>
              <w:rPr>
                <w:rFonts w:hint="eastAsia"/>
                <w:sz w:val="21"/>
                <w:szCs w:val="21"/>
                <w:lang w:eastAsia="en-US"/>
              </w:rPr>
              <w:t>525</w:t>
            </w:r>
          </w:p>
        </w:tc>
        <w:tc>
          <w:tcPr>
            <w:tcW w:w="914" w:type="dxa"/>
            <w:tcBorders>
              <w:tl2br w:val="nil"/>
              <w:tr2bl w:val="nil"/>
            </w:tcBorders>
            <w:shd w:val="clear" w:color="auto" w:fill="auto"/>
            <w:vAlign w:val="center"/>
          </w:tcPr>
          <w:p w14:paraId="6EC0E8C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70314B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rFonts w:hint="eastAsia"/>
                <w:sz w:val="21"/>
                <w:szCs w:val="21"/>
                <w:lang w:eastAsia="zh-CN"/>
              </w:rPr>
              <w:t>24</w:t>
            </w:r>
            <w:r>
              <w:rPr>
                <w:sz w:val="21"/>
                <w:szCs w:val="21"/>
                <w:lang w:eastAsia="en-US"/>
              </w:rPr>
              <w:t>0703</w:t>
            </w:r>
            <w:r>
              <w:rPr>
                <w:rFonts w:hint="eastAsia"/>
                <w:sz w:val="21"/>
                <w:szCs w:val="21"/>
                <w:lang w:eastAsia="zh-CN"/>
              </w:rPr>
              <w:t>24</w:t>
            </w:r>
          </w:p>
        </w:tc>
        <w:tc>
          <w:tcPr>
            <w:tcW w:w="1182" w:type="dxa"/>
            <w:tcBorders>
              <w:tl2br w:val="nil"/>
              <w:tr2bl w:val="nil"/>
            </w:tcBorders>
            <w:shd w:val="clear" w:color="auto" w:fill="auto"/>
            <w:vAlign w:val="center"/>
          </w:tcPr>
          <w:p w14:paraId="47DBD0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052C5B6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2984DF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0.32</w:t>
            </w:r>
          </w:p>
        </w:tc>
        <w:tc>
          <w:tcPr>
            <w:tcW w:w="716" w:type="dxa"/>
            <w:tcBorders>
              <w:tl2br w:val="nil"/>
              <w:tr2bl w:val="nil"/>
            </w:tcBorders>
            <w:shd w:val="clear" w:color="auto" w:fill="auto"/>
            <w:vAlign w:val="center"/>
          </w:tcPr>
          <w:p w14:paraId="5F9B42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F25F3D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53094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41F50DA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472A57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7688C5E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3986A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42E78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0702</w:t>
            </w:r>
          </w:p>
        </w:tc>
        <w:tc>
          <w:tcPr>
            <w:tcW w:w="1182" w:type="dxa"/>
            <w:tcBorders>
              <w:tl2br w:val="nil"/>
              <w:tr2bl w:val="nil"/>
            </w:tcBorders>
            <w:shd w:val="clear" w:color="auto" w:fill="auto"/>
            <w:vAlign w:val="center"/>
          </w:tcPr>
          <w:p w14:paraId="3DBB57A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039F49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DD63D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26.55</w:t>
            </w:r>
          </w:p>
        </w:tc>
        <w:tc>
          <w:tcPr>
            <w:tcW w:w="716" w:type="dxa"/>
            <w:tcBorders>
              <w:tl2br w:val="nil"/>
              <w:tr2bl w:val="nil"/>
            </w:tcBorders>
            <w:shd w:val="clear" w:color="auto" w:fill="auto"/>
            <w:vAlign w:val="center"/>
          </w:tcPr>
          <w:p w14:paraId="7BDD85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6109C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55E9C6B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245BEF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5A17F7D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3D439A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2CA0CC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7BA437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73BEF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60B75C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79DE1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5B1AD9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3F8C3B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444B7F4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8</w:t>
            </w:r>
          </w:p>
        </w:tc>
        <w:tc>
          <w:tcPr>
            <w:tcW w:w="1145" w:type="dxa"/>
            <w:vMerge w:val="restart"/>
            <w:tcBorders>
              <w:tl2br w:val="nil"/>
              <w:tr2bl w:val="nil"/>
            </w:tcBorders>
            <w:shd w:val="clear" w:color="auto" w:fill="auto"/>
            <w:vAlign w:val="center"/>
          </w:tcPr>
          <w:p w14:paraId="4694A9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和园小区</w:t>
            </w:r>
          </w:p>
        </w:tc>
        <w:tc>
          <w:tcPr>
            <w:tcW w:w="737" w:type="dxa"/>
            <w:vMerge w:val="restart"/>
            <w:tcBorders>
              <w:tl2br w:val="nil"/>
              <w:tr2bl w:val="nil"/>
            </w:tcBorders>
            <w:shd w:val="clear" w:color="auto" w:fill="auto"/>
            <w:vAlign w:val="center"/>
          </w:tcPr>
          <w:p w14:paraId="5A5E4E0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-1099</w:t>
            </w:r>
          </w:p>
        </w:tc>
        <w:tc>
          <w:tcPr>
            <w:tcW w:w="647" w:type="dxa"/>
            <w:vMerge w:val="restart"/>
            <w:tcBorders>
              <w:tl2br w:val="nil"/>
              <w:tr2bl w:val="nil"/>
            </w:tcBorders>
            <w:shd w:val="clear" w:color="auto" w:fill="auto"/>
            <w:vAlign w:val="center"/>
          </w:tcPr>
          <w:p w14:paraId="0757794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131</w:t>
            </w:r>
          </w:p>
        </w:tc>
        <w:tc>
          <w:tcPr>
            <w:tcW w:w="914" w:type="dxa"/>
            <w:tcBorders>
              <w:tl2br w:val="nil"/>
              <w:tr2bl w:val="nil"/>
            </w:tcBorders>
            <w:shd w:val="clear" w:color="auto" w:fill="auto"/>
            <w:vAlign w:val="center"/>
          </w:tcPr>
          <w:p w14:paraId="7E25E5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D5B471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061820</w:t>
            </w:r>
          </w:p>
        </w:tc>
        <w:tc>
          <w:tcPr>
            <w:tcW w:w="1182" w:type="dxa"/>
            <w:tcBorders>
              <w:tl2br w:val="nil"/>
              <w:tr2bl w:val="nil"/>
            </w:tcBorders>
            <w:shd w:val="clear" w:color="auto" w:fill="auto"/>
            <w:vAlign w:val="center"/>
          </w:tcPr>
          <w:p w14:paraId="6A2F3B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46C487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63B6EE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0.27</w:t>
            </w:r>
          </w:p>
        </w:tc>
        <w:tc>
          <w:tcPr>
            <w:tcW w:w="716" w:type="dxa"/>
            <w:tcBorders>
              <w:tl2br w:val="nil"/>
              <w:tr2bl w:val="nil"/>
            </w:tcBorders>
            <w:shd w:val="clear" w:color="auto" w:fill="auto"/>
            <w:vAlign w:val="center"/>
          </w:tcPr>
          <w:p w14:paraId="690E7E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F10CF2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496E5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9191A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7D161B4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208AE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515E9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51D4F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0611</w:t>
            </w:r>
          </w:p>
        </w:tc>
        <w:tc>
          <w:tcPr>
            <w:tcW w:w="1182" w:type="dxa"/>
            <w:tcBorders>
              <w:tl2br w:val="nil"/>
              <w:tr2bl w:val="nil"/>
            </w:tcBorders>
            <w:shd w:val="clear" w:color="auto" w:fill="auto"/>
            <w:vAlign w:val="center"/>
          </w:tcPr>
          <w:p w14:paraId="760CADB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5FD4FFC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66852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26.55</w:t>
            </w:r>
          </w:p>
        </w:tc>
        <w:tc>
          <w:tcPr>
            <w:tcW w:w="716" w:type="dxa"/>
            <w:tcBorders>
              <w:tl2br w:val="nil"/>
              <w:tr2bl w:val="nil"/>
            </w:tcBorders>
            <w:shd w:val="clear" w:color="auto" w:fill="auto"/>
            <w:vAlign w:val="center"/>
          </w:tcPr>
          <w:p w14:paraId="461CA23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CFCF89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76EB693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A933CA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7B60158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710C10E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D14B1A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94206F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0DAF44E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98E557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57EE0E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5710FC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524FE8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587859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9</w:t>
            </w:r>
          </w:p>
        </w:tc>
        <w:tc>
          <w:tcPr>
            <w:tcW w:w="1145" w:type="dxa"/>
            <w:vMerge w:val="restart"/>
            <w:tcBorders>
              <w:tl2br w:val="nil"/>
              <w:tr2bl w:val="nil"/>
            </w:tcBorders>
            <w:shd w:val="clear" w:color="auto" w:fill="auto"/>
            <w:vAlign w:val="center"/>
          </w:tcPr>
          <w:p w14:paraId="634B26A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子敬学校</w:t>
            </w:r>
          </w:p>
        </w:tc>
        <w:tc>
          <w:tcPr>
            <w:tcW w:w="737" w:type="dxa"/>
            <w:vMerge w:val="restart"/>
            <w:tcBorders>
              <w:tl2br w:val="nil"/>
              <w:tr2bl w:val="nil"/>
            </w:tcBorders>
            <w:shd w:val="clear" w:color="auto" w:fill="auto"/>
            <w:vAlign w:val="center"/>
          </w:tcPr>
          <w:p w14:paraId="5BD3484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-2089</w:t>
            </w:r>
          </w:p>
        </w:tc>
        <w:tc>
          <w:tcPr>
            <w:tcW w:w="647" w:type="dxa"/>
            <w:vMerge w:val="restart"/>
            <w:tcBorders>
              <w:tl2br w:val="nil"/>
              <w:tr2bl w:val="nil"/>
            </w:tcBorders>
            <w:shd w:val="clear" w:color="auto" w:fill="auto"/>
            <w:vAlign w:val="center"/>
          </w:tcPr>
          <w:p w14:paraId="7CAE95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1019</w:t>
            </w:r>
          </w:p>
        </w:tc>
        <w:tc>
          <w:tcPr>
            <w:tcW w:w="914" w:type="dxa"/>
            <w:tcBorders>
              <w:tl2br w:val="nil"/>
              <w:tr2bl w:val="nil"/>
            </w:tcBorders>
            <w:shd w:val="clear" w:color="auto" w:fill="auto"/>
            <w:vAlign w:val="center"/>
          </w:tcPr>
          <w:p w14:paraId="0A80234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B5087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093021</w:t>
            </w:r>
          </w:p>
        </w:tc>
        <w:tc>
          <w:tcPr>
            <w:tcW w:w="1182" w:type="dxa"/>
            <w:tcBorders>
              <w:tl2br w:val="nil"/>
              <w:tr2bl w:val="nil"/>
            </w:tcBorders>
            <w:shd w:val="clear" w:color="auto" w:fill="auto"/>
            <w:vAlign w:val="center"/>
          </w:tcPr>
          <w:p w14:paraId="08DC83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0.0026</w:t>
            </w:r>
          </w:p>
        </w:tc>
        <w:tc>
          <w:tcPr>
            <w:tcW w:w="914" w:type="dxa"/>
            <w:tcBorders>
              <w:tl2br w:val="nil"/>
              <w:tr2bl w:val="nil"/>
            </w:tcBorders>
            <w:shd w:val="clear" w:color="auto" w:fill="auto"/>
            <w:vAlign w:val="center"/>
          </w:tcPr>
          <w:p w14:paraId="3FC0F3B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730E5FF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1.31</w:t>
            </w:r>
          </w:p>
        </w:tc>
        <w:tc>
          <w:tcPr>
            <w:tcW w:w="716" w:type="dxa"/>
            <w:tcBorders>
              <w:tl2br w:val="nil"/>
              <w:tr2bl w:val="nil"/>
            </w:tcBorders>
            <w:shd w:val="clear" w:color="auto" w:fill="auto"/>
            <w:vAlign w:val="center"/>
          </w:tcPr>
          <w:p w14:paraId="54F90C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499E8E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D72A0A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61A7D0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1C04BA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7B92036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6CD720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49FD2B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0204</w:t>
            </w:r>
          </w:p>
        </w:tc>
        <w:tc>
          <w:tcPr>
            <w:tcW w:w="1182" w:type="dxa"/>
            <w:tcBorders>
              <w:tl2br w:val="nil"/>
              <w:tr2bl w:val="nil"/>
            </w:tcBorders>
            <w:shd w:val="clear" w:color="auto" w:fill="auto"/>
            <w:vAlign w:val="center"/>
          </w:tcPr>
          <w:p w14:paraId="2EFF1A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6BAD367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15FE7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26.64</w:t>
            </w:r>
          </w:p>
        </w:tc>
        <w:tc>
          <w:tcPr>
            <w:tcW w:w="716" w:type="dxa"/>
            <w:tcBorders>
              <w:tl2br w:val="nil"/>
              <w:tr2bl w:val="nil"/>
            </w:tcBorders>
            <w:shd w:val="clear" w:color="auto" w:fill="auto"/>
            <w:vAlign w:val="center"/>
          </w:tcPr>
          <w:p w14:paraId="2EA41F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08409B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50984D9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2F108D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6B8459B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CA9A4E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668D77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7348C96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0EE938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216D6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2D7140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7542F08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6BEB4AB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205F31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10</w:t>
            </w:r>
          </w:p>
        </w:tc>
        <w:tc>
          <w:tcPr>
            <w:tcW w:w="1145" w:type="dxa"/>
            <w:vMerge w:val="restart"/>
            <w:tcBorders>
              <w:tl2br w:val="nil"/>
              <w:tr2bl w:val="nil"/>
            </w:tcBorders>
            <w:shd w:val="clear" w:color="auto" w:fill="auto"/>
            <w:vAlign w:val="center"/>
          </w:tcPr>
          <w:p w14:paraId="70145F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芙蓉廉租小区</w:t>
            </w:r>
          </w:p>
        </w:tc>
        <w:tc>
          <w:tcPr>
            <w:tcW w:w="737" w:type="dxa"/>
            <w:vMerge w:val="restart"/>
            <w:tcBorders>
              <w:tl2br w:val="nil"/>
              <w:tr2bl w:val="nil"/>
            </w:tcBorders>
            <w:shd w:val="clear" w:color="auto" w:fill="auto"/>
            <w:vAlign w:val="center"/>
          </w:tcPr>
          <w:p w14:paraId="6F2EA0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1013</w:t>
            </w:r>
          </w:p>
        </w:tc>
        <w:tc>
          <w:tcPr>
            <w:tcW w:w="647" w:type="dxa"/>
            <w:vMerge w:val="restart"/>
            <w:tcBorders>
              <w:tl2br w:val="nil"/>
              <w:tr2bl w:val="nil"/>
            </w:tcBorders>
            <w:shd w:val="clear" w:color="auto" w:fill="auto"/>
            <w:vAlign w:val="center"/>
          </w:tcPr>
          <w:p w14:paraId="0D6D9E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91</w:t>
            </w:r>
          </w:p>
        </w:tc>
        <w:tc>
          <w:tcPr>
            <w:tcW w:w="914" w:type="dxa"/>
            <w:tcBorders>
              <w:tl2br w:val="nil"/>
              <w:tr2bl w:val="nil"/>
            </w:tcBorders>
            <w:shd w:val="clear" w:color="auto" w:fill="auto"/>
            <w:vAlign w:val="center"/>
          </w:tcPr>
          <w:p w14:paraId="6E6DD1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4CAC65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051707</w:t>
            </w:r>
          </w:p>
        </w:tc>
        <w:tc>
          <w:tcPr>
            <w:tcW w:w="1182" w:type="dxa"/>
            <w:tcBorders>
              <w:tl2br w:val="nil"/>
              <w:tr2bl w:val="nil"/>
            </w:tcBorders>
            <w:shd w:val="clear" w:color="auto" w:fill="auto"/>
            <w:vAlign w:val="center"/>
          </w:tcPr>
          <w:p w14:paraId="1C74BD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4F0872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66AE8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4C406A4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6261E3D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66C2E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756D8AF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5F488C6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BE41C0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BE3BBD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33F5CC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0517</w:t>
            </w:r>
          </w:p>
        </w:tc>
        <w:tc>
          <w:tcPr>
            <w:tcW w:w="1182" w:type="dxa"/>
            <w:tcBorders>
              <w:tl2br w:val="nil"/>
              <w:tr2bl w:val="nil"/>
            </w:tcBorders>
            <w:shd w:val="clear" w:color="auto" w:fill="auto"/>
            <w:vAlign w:val="center"/>
          </w:tcPr>
          <w:p w14:paraId="164AA5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13BE730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1A3B31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26.51</w:t>
            </w:r>
          </w:p>
        </w:tc>
        <w:tc>
          <w:tcPr>
            <w:tcW w:w="716" w:type="dxa"/>
            <w:tcBorders>
              <w:tl2br w:val="nil"/>
              <w:tr2bl w:val="nil"/>
            </w:tcBorders>
            <w:shd w:val="clear" w:color="auto" w:fill="auto"/>
            <w:vAlign w:val="center"/>
          </w:tcPr>
          <w:p w14:paraId="514FE3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C48136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4C8B75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C90103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6C77F0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9759D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6EE48F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40CB6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88E6D5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2E1F74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7D5188A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7D2593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5D1628E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39346F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11</w:t>
            </w:r>
          </w:p>
        </w:tc>
        <w:tc>
          <w:tcPr>
            <w:tcW w:w="1145" w:type="dxa"/>
            <w:vMerge w:val="restart"/>
            <w:tcBorders>
              <w:tl2br w:val="nil"/>
              <w:tr2bl w:val="nil"/>
            </w:tcBorders>
            <w:shd w:val="clear" w:color="auto" w:fill="auto"/>
            <w:vAlign w:val="center"/>
          </w:tcPr>
          <w:p w14:paraId="7C66B1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易俗河镇第二中学</w:t>
            </w:r>
          </w:p>
        </w:tc>
        <w:tc>
          <w:tcPr>
            <w:tcW w:w="737" w:type="dxa"/>
            <w:vMerge w:val="restart"/>
            <w:tcBorders>
              <w:tl2br w:val="nil"/>
              <w:tr2bl w:val="nil"/>
            </w:tcBorders>
            <w:shd w:val="clear" w:color="auto" w:fill="auto"/>
            <w:vAlign w:val="center"/>
          </w:tcPr>
          <w:p w14:paraId="23DFCD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734</w:t>
            </w:r>
          </w:p>
        </w:tc>
        <w:tc>
          <w:tcPr>
            <w:tcW w:w="647" w:type="dxa"/>
            <w:vMerge w:val="restart"/>
            <w:tcBorders>
              <w:tl2br w:val="nil"/>
              <w:tr2bl w:val="nil"/>
            </w:tcBorders>
            <w:shd w:val="clear" w:color="auto" w:fill="auto"/>
            <w:vAlign w:val="center"/>
          </w:tcPr>
          <w:p w14:paraId="061150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577</w:t>
            </w:r>
          </w:p>
        </w:tc>
        <w:tc>
          <w:tcPr>
            <w:tcW w:w="914" w:type="dxa"/>
            <w:tcBorders>
              <w:tl2br w:val="nil"/>
              <w:tr2bl w:val="nil"/>
            </w:tcBorders>
            <w:shd w:val="clear" w:color="auto" w:fill="auto"/>
            <w:vAlign w:val="center"/>
          </w:tcPr>
          <w:p w14:paraId="3AD3D3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72559F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w:t>
            </w:r>
            <w:r>
              <w:rPr>
                <w:rFonts w:hint="eastAsia"/>
                <w:sz w:val="21"/>
                <w:szCs w:val="21"/>
                <w:lang w:eastAsia="zh-CN"/>
              </w:rPr>
              <w:t>24</w:t>
            </w:r>
            <w:r>
              <w:rPr>
                <w:sz w:val="21"/>
                <w:szCs w:val="21"/>
                <w:lang w:eastAsia="en-US"/>
              </w:rPr>
              <w:t>07</w:t>
            </w:r>
          </w:p>
        </w:tc>
        <w:tc>
          <w:tcPr>
            <w:tcW w:w="1182" w:type="dxa"/>
            <w:tcBorders>
              <w:tl2br w:val="nil"/>
              <w:tr2bl w:val="nil"/>
            </w:tcBorders>
            <w:shd w:val="clear" w:color="auto" w:fill="auto"/>
            <w:vAlign w:val="center"/>
          </w:tcPr>
          <w:p w14:paraId="7B720B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21B091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6F6077A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0.34</w:t>
            </w:r>
          </w:p>
        </w:tc>
        <w:tc>
          <w:tcPr>
            <w:tcW w:w="716" w:type="dxa"/>
            <w:tcBorders>
              <w:tl2br w:val="nil"/>
              <w:tr2bl w:val="nil"/>
            </w:tcBorders>
            <w:shd w:val="clear" w:color="auto" w:fill="auto"/>
            <w:vAlign w:val="center"/>
          </w:tcPr>
          <w:p w14:paraId="5B4C22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6FD3A18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0112C8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435571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02F776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0B58F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365A0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792B96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0705</w:t>
            </w:r>
          </w:p>
        </w:tc>
        <w:tc>
          <w:tcPr>
            <w:tcW w:w="1182" w:type="dxa"/>
            <w:tcBorders>
              <w:tl2br w:val="nil"/>
              <w:tr2bl w:val="nil"/>
            </w:tcBorders>
            <w:shd w:val="clear" w:color="auto" w:fill="auto"/>
            <w:vAlign w:val="center"/>
          </w:tcPr>
          <w:p w14:paraId="6D95A28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1DCE75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0F5A2A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26.55</w:t>
            </w:r>
          </w:p>
        </w:tc>
        <w:tc>
          <w:tcPr>
            <w:tcW w:w="716" w:type="dxa"/>
            <w:tcBorders>
              <w:tl2br w:val="nil"/>
              <w:tr2bl w:val="nil"/>
            </w:tcBorders>
            <w:shd w:val="clear" w:color="auto" w:fill="auto"/>
            <w:vAlign w:val="center"/>
          </w:tcPr>
          <w:p w14:paraId="10E4B8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5980CB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8F3993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D6EFA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914FF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02021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DE5D76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27B383C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4B4D5A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2F73B6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7F564D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175B8B9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810760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1FD1FFA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12</w:t>
            </w:r>
          </w:p>
        </w:tc>
        <w:tc>
          <w:tcPr>
            <w:tcW w:w="1145" w:type="dxa"/>
            <w:vMerge w:val="restart"/>
            <w:tcBorders>
              <w:tl2br w:val="nil"/>
              <w:tr2bl w:val="nil"/>
            </w:tcBorders>
            <w:shd w:val="clear" w:color="auto" w:fill="auto"/>
            <w:vAlign w:val="center"/>
          </w:tcPr>
          <w:p w14:paraId="2B2D308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天易水竹学校</w:t>
            </w:r>
          </w:p>
        </w:tc>
        <w:tc>
          <w:tcPr>
            <w:tcW w:w="737" w:type="dxa"/>
            <w:vMerge w:val="restart"/>
            <w:tcBorders>
              <w:tl2br w:val="nil"/>
              <w:tr2bl w:val="nil"/>
            </w:tcBorders>
            <w:shd w:val="clear" w:color="auto" w:fill="auto"/>
            <w:vAlign w:val="center"/>
          </w:tcPr>
          <w:p w14:paraId="761964E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1155</w:t>
            </w:r>
          </w:p>
        </w:tc>
        <w:tc>
          <w:tcPr>
            <w:tcW w:w="647" w:type="dxa"/>
            <w:vMerge w:val="restart"/>
            <w:tcBorders>
              <w:tl2br w:val="nil"/>
              <w:tr2bl w:val="nil"/>
            </w:tcBorders>
            <w:shd w:val="clear" w:color="auto" w:fill="auto"/>
            <w:vAlign w:val="center"/>
          </w:tcPr>
          <w:p w14:paraId="5A3392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75ED704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 小时</w:t>
            </w:r>
          </w:p>
        </w:tc>
        <w:tc>
          <w:tcPr>
            <w:tcW w:w="1069" w:type="dxa"/>
            <w:tcBorders>
              <w:tl2br w:val="nil"/>
              <w:tr2bl w:val="nil"/>
            </w:tcBorders>
            <w:shd w:val="clear" w:color="auto" w:fill="auto"/>
            <w:vAlign w:val="center"/>
          </w:tcPr>
          <w:p w14:paraId="594A4E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051719</w:t>
            </w:r>
          </w:p>
        </w:tc>
        <w:tc>
          <w:tcPr>
            <w:tcW w:w="1182" w:type="dxa"/>
            <w:tcBorders>
              <w:tl2br w:val="nil"/>
              <w:tr2bl w:val="nil"/>
            </w:tcBorders>
            <w:shd w:val="clear" w:color="auto" w:fill="auto"/>
            <w:vAlign w:val="center"/>
          </w:tcPr>
          <w:p w14:paraId="4FBC1C4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0.0008</w:t>
            </w:r>
          </w:p>
        </w:tc>
        <w:tc>
          <w:tcPr>
            <w:tcW w:w="914" w:type="dxa"/>
            <w:tcBorders>
              <w:tl2br w:val="nil"/>
              <w:tr2bl w:val="nil"/>
            </w:tcBorders>
            <w:shd w:val="clear" w:color="auto" w:fill="auto"/>
            <w:vAlign w:val="center"/>
          </w:tcPr>
          <w:p w14:paraId="1A9147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3289746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0.39</w:t>
            </w:r>
          </w:p>
        </w:tc>
        <w:tc>
          <w:tcPr>
            <w:tcW w:w="716" w:type="dxa"/>
            <w:tcBorders>
              <w:tl2br w:val="nil"/>
              <w:tr2bl w:val="nil"/>
            </w:tcBorders>
            <w:shd w:val="clear" w:color="auto" w:fill="auto"/>
            <w:vAlign w:val="center"/>
          </w:tcPr>
          <w:p w14:paraId="3501ECF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4ED709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445FD6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55329C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CF9F0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68E2D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6690CD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FD392E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0705</w:t>
            </w:r>
          </w:p>
        </w:tc>
        <w:tc>
          <w:tcPr>
            <w:tcW w:w="1182" w:type="dxa"/>
            <w:tcBorders>
              <w:tl2br w:val="nil"/>
              <w:tr2bl w:val="nil"/>
            </w:tcBorders>
            <w:shd w:val="clear" w:color="auto" w:fill="auto"/>
            <w:vAlign w:val="center"/>
          </w:tcPr>
          <w:p w14:paraId="521ED7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160C2F5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1E300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26.54</w:t>
            </w:r>
          </w:p>
        </w:tc>
        <w:tc>
          <w:tcPr>
            <w:tcW w:w="716" w:type="dxa"/>
            <w:tcBorders>
              <w:tl2br w:val="nil"/>
              <w:tr2bl w:val="nil"/>
            </w:tcBorders>
            <w:shd w:val="clear" w:color="auto" w:fill="auto"/>
            <w:vAlign w:val="center"/>
          </w:tcPr>
          <w:p w14:paraId="43C0DF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D25CF0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5553318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3BC29C5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47157FC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5143C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56347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F407F2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D183F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159BD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2A32A6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502F5AE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1B7709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27E717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13</w:t>
            </w:r>
          </w:p>
        </w:tc>
        <w:tc>
          <w:tcPr>
            <w:tcW w:w="1145" w:type="dxa"/>
            <w:vMerge w:val="restart"/>
            <w:tcBorders>
              <w:tl2br w:val="nil"/>
              <w:tr2bl w:val="nil"/>
            </w:tcBorders>
            <w:shd w:val="clear" w:color="auto" w:fill="auto"/>
            <w:vAlign w:val="center"/>
          </w:tcPr>
          <w:p w14:paraId="04F98B1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水竹安置区</w:t>
            </w:r>
          </w:p>
        </w:tc>
        <w:tc>
          <w:tcPr>
            <w:tcW w:w="737" w:type="dxa"/>
            <w:vMerge w:val="restart"/>
            <w:tcBorders>
              <w:tl2br w:val="nil"/>
              <w:tr2bl w:val="nil"/>
            </w:tcBorders>
            <w:shd w:val="clear" w:color="auto" w:fill="auto"/>
            <w:vAlign w:val="center"/>
          </w:tcPr>
          <w:p w14:paraId="0C4CEF2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752</w:t>
            </w:r>
          </w:p>
        </w:tc>
        <w:tc>
          <w:tcPr>
            <w:tcW w:w="647" w:type="dxa"/>
            <w:vMerge w:val="restart"/>
            <w:tcBorders>
              <w:tl2br w:val="nil"/>
              <w:tr2bl w:val="nil"/>
            </w:tcBorders>
            <w:shd w:val="clear" w:color="auto" w:fill="auto"/>
            <w:vAlign w:val="center"/>
          </w:tcPr>
          <w:p w14:paraId="54AFAA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233</w:t>
            </w:r>
          </w:p>
        </w:tc>
        <w:tc>
          <w:tcPr>
            <w:tcW w:w="914" w:type="dxa"/>
            <w:tcBorders>
              <w:tl2br w:val="nil"/>
              <w:tr2bl w:val="nil"/>
            </w:tcBorders>
            <w:shd w:val="clear" w:color="auto" w:fill="auto"/>
            <w:vAlign w:val="center"/>
          </w:tcPr>
          <w:p w14:paraId="2DE39A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456D31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061819</w:t>
            </w:r>
          </w:p>
        </w:tc>
        <w:tc>
          <w:tcPr>
            <w:tcW w:w="1182" w:type="dxa"/>
            <w:tcBorders>
              <w:tl2br w:val="nil"/>
              <w:tr2bl w:val="nil"/>
            </w:tcBorders>
            <w:shd w:val="clear" w:color="auto" w:fill="auto"/>
            <w:vAlign w:val="center"/>
          </w:tcPr>
          <w:p w14:paraId="0AB3261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3B7267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535B9D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0.43</w:t>
            </w:r>
          </w:p>
        </w:tc>
        <w:tc>
          <w:tcPr>
            <w:tcW w:w="716" w:type="dxa"/>
            <w:tcBorders>
              <w:tl2br w:val="nil"/>
              <w:tr2bl w:val="nil"/>
            </w:tcBorders>
            <w:shd w:val="clear" w:color="auto" w:fill="auto"/>
            <w:vAlign w:val="center"/>
          </w:tcPr>
          <w:p w14:paraId="4633E36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559098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C99A8E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428B7A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37BC7FC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1506D26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3BABFE5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BB246D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0705</w:t>
            </w:r>
          </w:p>
        </w:tc>
        <w:tc>
          <w:tcPr>
            <w:tcW w:w="1182" w:type="dxa"/>
            <w:tcBorders>
              <w:tl2br w:val="nil"/>
              <w:tr2bl w:val="nil"/>
            </w:tcBorders>
            <w:shd w:val="clear" w:color="auto" w:fill="auto"/>
            <w:vAlign w:val="center"/>
          </w:tcPr>
          <w:p w14:paraId="5B6471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01391B3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47D9E32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26.53</w:t>
            </w:r>
          </w:p>
        </w:tc>
        <w:tc>
          <w:tcPr>
            <w:tcW w:w="716" w:type="dxa"/>
            <w:tcBorders>
              <w:tl2br w:val="nil"/>
              <w:tr2bl w:val="nil"/>
            </w:tcBorders>
            <w:shd w:val="clear" w:color="auto" w:fill="auto"/>
            <w:vAlign w:val="center"/>
          </w:tcPr>
          <w:p w14:paraId="371A462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851481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5B7EF02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5A63E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5246CE2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3B6AD3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A99CE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F4277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283CC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4B6927B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B5C1F9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1AB44B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00CF3C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29D6DB6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14</w:t>
            </w:r>
          </w:p>
        </w:tc>
        <w:tc>
          <w:tcPr>
            <w:tcW w:w="1145" w:type="dxa"/>
            <w:vMerge w:val="restart"/>
            <w:tcBorders>
              <w:tl2br w:val="nil"/>
              <w:tr2bl w:val="nil"/>
            </w:tcBorders>
            <w:shd w:val="clear" w:color="auto" w:fill="auto"/>
            <w:vAlign w:val="center"/>
          </w:tcPr>
          <w:p w14:paraId="090F20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湘潭县行政学校</w:t>
            </w:r>
          </w:p>
        </w:tc>
        <w:tc>
          <w:tcPr>
            <w:tcW w:w="737" w:type="dxa"/>
            <w:vMerge w:val="restart"/>
            <w:tcBorders>
              <w:tl2br w:val="nil"/>
              <w:tr2bl w:val="nil"/>
            </w:tcBorders>
            <w:shd w:val="clear" w:color="auto" w:fill="auto"/>
            <w:vAlign w:val="center"/>
          </w:tcPr>
          <w:p w14:paraId="6FD3A6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705</w:t>
            </w:r>
          </w:p>
        </w:tc>
        <w:tc>
          <w:tcPr>
            <w:tcW w:w="647" w:type="dxa"/>
            <w:vMerge w:val="restart"/>
            <w:tcBorders>
              <w:tl2br w:val="nil"/>
              <w:tr2bl w:val="nil"/>
            </w:tcBorders>
            <w:shd w:val="clear" w:color="auto" w:fill="auto"/>
            <w:vAlign w:val="center"/>
          </w:tcPr>
          <w:p w14:paraId="7666C5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758</w:t>
            </w:r>
          </w:p>
        </w:tc>
        <w:tc>
          <w:tcPr>
            <w:tcW w:w="914" w:type="dxa"/>
            <w:tcBorders>
              <w:tl2br w:val="nil"/>
              <w:tr2bl w:val="nil"/>
            </w:tcBorders>
            <w:shd w:val="clear" w:color="auto" w:fill="auto"/>
            <w:vAlign w:val="center"/>
          </w:tcPr>
          <w:p w14:paraId="0F0BD7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0994E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010109</w:t>
            </w:r>
          </w:p>
        </w:tc>
        <w:tc>
          <w:tcPr>
            <w:tcW w:w="1182" w:type="dxa"/>
            <w:tcBorders>
              <w:tl2br w:val="nil"/>
              <w:tr2bl w:val="nil"/>
            </w:tcBorders>
            <w:shd w:val="clear" w:color="auto" w:fill="auto"/>
            <w:vAlign w:val="center"/>
          </w:tcPr>
          <w:p w14:paraId="3F2C2B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0.0007</w:t>
            </w:r>
          </w:p>
        </w:tc>
        <w:tc>
          <w:tcPr>
            <w:tcW w:w="914" w:type="dxa"/>
            <w:tcBorders>
              <w:tl2br w:val="nil"/>
              <w:tr2bl w:val="nil"/>
            </w:tcBorders>
            <w:shd w:val="clear" w:color="auto" w:fill="auto"/>
            <w:vAlign w:val="center"/>
          </w:tcPr>
          <w:p w14:paraId="3A81BCA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30891E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0.33</w:t>
            </w:r>
          </w:p>
        </w:tc>
        <w:tc>
          <w:tcPr>
            <w:tcW w:w="716" w:type="dxa"/>
            <w:tcBorders>
              <w:tl2br w:val="nil"/>
              <w:tr2bl w:val="nil"/>
            </w:tcBorders>
            <w:shd w:val="clear" w:color="auto" w:fill="auto"/>
            <w:vAlign w:val="center"/>
          </w:tcPr>
          <w:p w14:paraId="14633A3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44065B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0D3724D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3CD9A5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0177EF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DAFDAA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76508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3B25635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0530</w:t>
            </w:r>
          </w:p>
        </w:tc>
        <w:tc>
          <w:tcPr>
            <w:tcW w:w="1182" w:type="dxa"/>
            <w:tcBorders>
              <w:tl2br w:val="nil"/>
              <w:tr2bl w:val="nil"/>
            </w:tcBorders>
            <w:shd w:val="clear" w:color="auto" w:fill="auto"/>
            <w:vAlign w:val="center"/>
          </w:tcPr>
          <w:p w14:paraId="31682FA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319FBC8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06DD0A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26.54</w:t>
            </w:r>
          </w:p>
        </w:tc>
        <w:tc>
          <w:tcPr>
            <w:tcW w:w="716" w:type="dxa"/>
            <w:tcBorders>
              <w:tl2br w:val="nil"/>
              <w:tr2bl w:val="nil"/>
            </w:tcBorders>
            <w:shd w:val="clear" w:color="auto" w:fill="auto"/>
            <w:vAlign w:val="center"/>
          </w:tcPr>
          <w:p w14:paraId="7BFADC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8507CA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67C52D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B452B7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1F86AE6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DB751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86D16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46D4B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CEF89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0E440B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2315F1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6A0B17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1EC117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23BFE2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15</w:t>
            </w:r>
          </w:p>
        </w:tc>
        <w:tc>
          <w:tcPr>
            <w:tcW w:w="1145" w:type="dxa"/>
            <w:vMerge w:val="restart"/>
            <w:tcBorders>
              <w:tl2br w:val="nil"/>
              <w:tr2bl w:val="nil"/>
            </w:tcBorders>
            <w:shd w:val="clear" w:color="auto" w:fill="auto"/>
            <w:vAlign w:val="center"/>
          </w:tcPr>
          <w:p w14:paraId="4CFB83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湘潭县公安局</w:t>
            </w:r>
          </w:p>
        </w:tc>
        <w:tc>
          <w:tcPr>
            <w:tcW w:w="737" w:type="dxa"/>
            <w:vMerge w:val="restart"/>
            <w:tcBorders>
              <w:tl2br w:val="nil"/>
              <w:tr2bl w:val="nil"/>
            </w:tcBorders>
            <w:shd w:val="clear" w:color="auto" w:fill="auto"/>
            <w:vAlign w:val="center"/>
          </w:tcPr>
          <w:p w14:paraId="187144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1104</w:t>
            </w:r>
          </w:p>
        </w:tc>
        <w:tc>
          <w:tcPr>
            <w:tcW w:w="647" w:type="dxa"/>
            <w:vMerge w:val="restart"/>
            <w:tcBorders>
              <w:tl2br w:val="nil"/>
              <w:tr2bl w:val="nil"/>
            </w:tcBorders>
            <w:shd w:val="clear" w:color="auto" w:fill="auto"/>
            <w:vAlign w:val="center"/>
          </w:tcPr>
          <w:p w14:paraId="0FA060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910</w:t>
            </w:r>
          </w:p>
        </w:tc>
        <w:tc>
          <w:tcPr>
            <w:tcW w:w="914" w:type="dxa"/>
            <w:tcBorders>
              <w:tl2br w:val="nil"/>
              <w:tr2bl w:val="nil"/>
            </w:tcBorders>
            <w:shd w:val="clear" w:color="auto" w:fill="auto"/>
            <w:vAlign w:val="center"/>
          </w:tcPr>
          <w:p w14:paraId="072EFE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11D40D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w:t>
            </w:r>
            <w:r>
              <w:rPr>
                <w:rFonts w:hint="eastAsia"/>
                <w:sz w:val="21"/>
                <w:szCs w:val="21"/>
                <w:lang w:eastAsia="zh-CN"/>
              </w:rPr>
              <w:t>24</w:t>
            </w:r>
            <w:r>
              <w:rPr>
                <w:sz w:val="21"/>
                <w:szCs w:val="21"/>
                <w:lang w:eastAsia="en-US"/>
              </w:rPr>
              <w:t>07</w:t>
            </w:r>
          </w:p>
        </w:tc>
        <w:tc>
          <w:tcPr>
            <w:tcW w:w="1182" w:type="dxa"/>
            <w:tcBorders>
              <w:tl2br w:val="nil"/>
              <w:tr2bl w:val="nil"/>
            </w:tcBorders>
            <w:shd w:val="clear" w:color="auto" w:fill="auto"/>
            <w:vAlign w:val="center"/>
          </w:tcPr>
          <w:p w14:paraId="1499AE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0.0006</w:t>
            </w:r>
          </w:p>
        </w:tc>
        <w:tc>
          <w:tcPr>
            <w:tcW w:w="914" w:type="dxa"/>
            <w:tcBorders>
              <w:tl2br w:val="nil"/>
              <w:tr2bl w:val="nil"/>
            </w:tcBorders>
            <w:shd w:val="clear" w:color="auto" w:fill="auto"/>
            <w:vAlign w:val="center"/>
          </w:tcPr>
          <w:p w14:paraId="323CE9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5D6CDE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0.29</w:t>
            </w:r>
          </w:p>
        </w:tc>
        <w:tc>
          <w:tcPr>
            <w:tcW w:w="716" w:type="dxa"/>
            <w:tcBorders>
              <w:tl2br w:val="nil"/>
              <w:tr2bl w:val="nil"/>
            </w:tcBorders>
            <w:shd w:val="clear" w:color="auto" w:fill="auto"/>
            <w:vAlign w:val="center"/>
          </w:tcPr>
          <w:p w14:paraId="0CF31F3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217C9B0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03711D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48B9536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68951E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ABC54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CCFA5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79518E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0101</w:t>
            </w:r>
          </w:p>
        </w:tc>
        <w:tc>
          <w:tcPr>
            <w:tcW w:w="1182" w:type="dxa"/>
            <w:tcBorders>
              <w:tl2br w:val="nil"/>
              <w:tr2bl w:val="nil"/>
            </w:tcBorders>
            <w:shd w:val="clear" w:color="auto" w:fill="auto"/>
            <w:vAlign w:val="center"/>
          </w:tcPr>
          <w:p w14:paraId="5DE828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0067B46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36326EF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26.51</w:t>
            </w:r>
          </w:p>
        </w:tc>
        <w:tc>
          <w:tcPr>
            <w:tcW w:w="716" w:type="dxa"/>
            <w:tcBorders>
              <w:tl2br w:val="nil"/>
              <w:tr2bl w:val="nil"/>
            </w:tcBorders>
            <w:shd w:val="clear" w:color="auto" w:fill="auto"/>
            <w:vAlign w:val="center"/>
          </w:tcPr>
          <w:p w14:paraId="0FB13F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12C5B5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483E53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968B5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786406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03D8B1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37AEB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D11A9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54F3EA6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5AD7624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57076A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2FCFE7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4CE5EF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36A800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16</w:t>
            </w:r>
          </w:p>
        </w:tc>
        <w:tc>
          <w:tcPr>
            <w:tcW w:w="1145" w:type="dxa"/>
            <w:vMerge w:val="restart"/>
            <w:tcBorders>
              <w:tl2br w:val="nil"/>
              <w:tr2bl w:val="nil"/>
            </w:tcBorders>
            <w:shd w:val="clear" w:color="auto" w:fill="auto"/>
            <w:vAlign w:val="center"/>
          </w:tcPr>
          <w:p w14:paraId="0E6DD1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学府雅苑</w:t>
            </w:r>
          </w:p>
        </w:tc>
        <w:tc>
          <w:tcPr>
            <w:tcW w:w="737" w:type="dxa"/>
            <w:vMerge w:val="restart"/>
            <w:tcBorders>
              <w:tl2br w:val="nil"/>
              <w:tr2bl w:val="nil"/>
            </w:tcBorders>
            <w:shd w:val="clear" w:color="auto" w:fill="auto"/>
            <w:vAlign w:val="center"/>
          </w:tcPr>
          <w:p w14:paraId="7E1686C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742</w:t>
            </w:r>
          </w:p>
        </w:tc>
        <w:tc>
          <w:tcPr>
            <w:tcW w:w="647" w:type="dxa"/>
            <w:vMerge w:val="restart"/>
            <w:tcBorders>
              <w:tl2br w:val="nil"/>
              <w:tr2bl w:val="nil"/>
            </w:tcBorders>
            <w:shd w:val="clear" w:color="auto" w:fill="auto"/>
            <w:vAlign w:val="center"/>
          </w:tcPr>
          <w:p w14:paraId="251263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1055</w:t>
            </w:r>
          </w:p>
        </w:tc>
        <w:tc>
          <w:tcPr>
            <w:tcW w:w="914" w:type="dxa"/>
            <w:tcBorders>
              <w:tl2br w:val="nil"/>
              <w:tr2bl w:val="nil"/>
            </w:tcBorders>
            <w:shd w:val="clear" w:color="auto" w:fill="auto"/>
            <w:vAlign w:val="center"/>
          </w:tcPr>
          <w:p w14:paraId="148428A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567304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081619</w:t>
            </w:r>
          </w:p>
        </w:tc>
        <w:tc>
          <w:tcPr>
            <w:tcW w:w="1182" w:type="dxa"/>
            <w:tcBorders>
              <w:tl2br w:val="nil"/>
              <w:tr2bl w:val="nil"/>
            </w:tcBorders>
            <w:shd w:val="clear" w:color="auto" w:fill="auto"/>
            <w:vAlign w:val="center"/>
          </w:tcPr>
          <w:p w14:paraId="3AFE516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0.0011</w:t>
            </w:r>
          </w:p>
        </w:tc>
        <w:tc>
          <w:tcPr>
            <w:tcW w:w="914" w:type="dxa"/>
            <w:tcBorders>
              <w:tl2br w:val="nil"/>
              <w:tr2bl w:val="nil"/>
            </w:tcBorders>
            <w:shd w:val="clear" w:color="auto" w:fill="auto"/>
            <w:vAlign w:val="center"/>
          </w:tcPr>
          <w:p w14:paraId="3CDBD16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6A643E2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0.54</w:t>
            </w:r>
          </w:p>
        </w:tc>
        <w:tc>
          <w:tcPr>
            <w:tcW w:w="716" w:type="dxa"/>
            <w:tcBorders>
              <w:tl2br w:val="nil"/>
              <w:tr2bl w:val="nil"/>
            </w:tcBorders>
            <w:shd w:val="clear" w:color="auto" w:fill="auto"/>
            <w:vAlign w:val="center"/>
          </w:tcPr>
          <w:p w14:paraId="43AFBB9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761301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2CBED8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3BC2C0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148EBDD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1C595C3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E910B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460CEC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0816</w:t>
            </w:r>
          </w:p>
        </w:tc>
        <w:tc>
          <w:tcPr>
            <w:tcW w:w="1182" w:type="dxa"/>
            <w:tcBorders>
              <w:tl2br w:val="nil"/>
              <w:tr2bl w:val="nil"/>
            </w:tcBorders>
            <w:shd w:val="clear" w:color="auto" w:fill="auto"/>
            <w:vAlign w:val="center"/>
          </w:tcPr>
          <w:p w14:paraId="0458DF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205531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52939F7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26.54</w:t>
            </w:r>
          </w:p>
        </w:tc>
        <w:tc>
          <w:tcPr>
            <w:tcW w:w="716" w:type="dxa"/>
            <w:tcBorders>
              <w:tl2br w:val="nil"/>
              <w:tr2bl w:val="nil"/>
            </w:tcBorders>
            <w:shd w:val="clear" w:color="auto" w:fill="auto"/>
            <w:vAlign w:val="center"/>
          </w:tcPr>
          <w:p w14:paraId="16F752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605CC3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1DC4F8E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407BBD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C216E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6F42DA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AF8503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57A62B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4F22D2C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3C8D47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1114B52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04683AF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83CACF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55CEC2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17</w:t>
            </w:r>
          </w:p>
        </w:tc>
        <w:tc>
          <w:tcPr>
            <w:tcW w:w="1145" w:type="dxa"/>
            <w:vMerge w:val="restart"/>
            <w:tcBorders>
              <w:tl2br w:val="nil"/>
              <w:tr2bl w:val="nil"/>
            </w:tcBorders>
            <w:shd w:val="clear" w:color="auto" w:fill="auto"/>
            <w:vAlign w:val="center"/>
          </w:tcPr>
          <w:p w14:paraId="65CE73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天一家园</w:t>
            </w:r>
          </w:p>
        </w:tc>
        <w:tc>
          <w:tcPr>
            <w:tcW w:w="737" w:type="dxa"/>
            <w:vMerge w:val="restart"/>
            <w:tcBorders>
              <w:tl2br w:val="nil"/>
              <w:tr2bl w:val="nil"/>
            </w:tcBorders>
            <w:shd w:val="clear" w:color="auto" w:fill="auto"/>
            <w:vAlign w:val="center"/>
          </w:tcPr>
          <w:p w14:paraId="740DC48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325C68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1414</w:t>
            </w:r>
          </w:p>
        </w:tc>
        <w:tc>
          <w:tcPr>
            <w:tcW w:w="914" w:type="dxa"/>
            <w:tcBorders>
              <w:tl2br w:val="nil"/>
              <w:tr2bl w:val="nil"/>
            </w:tcBorders>
            <w:shd w:val="clear" w:color="auto" w:fill="auto"/>
            <w:vAlign w:val="center"/>
          </w:tcPr>
          <w:p w14:paraId="6A6E6E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2C7D10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080701</w:t>
            </w:r>
          </w:p>
        </w:tc>
        <w:tc>
          <w:tcPr>
            <w:tcW w:w="1182" w:type="dxa"/>
            <w:tcBorders>
              <w:tl2br w:val="nil"/>
              <w:tr2bl w:val="nil"/>
            </w:tcBorders>
            <w:shd w:val="clear" w:color="auto" w:fill="auto"/>
            <w:vAlign w:val="center"/>
          </w:tcPr>
          <w:p w14:paraId="75F503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0.0020</w:t>
            </w:r>
          </w:p>
        </w:tc>
        <w:tc>
          <w:tcPr>
            <w:tcW w:w="914" w:type="dxa"/>
            <w:tcBorders>
              <w:tl2br w:val="nil"/>
              <w:tr2bl w:val="nil"/>
            </w:tcBorders>
            <w:shd w:val="clear" w:color="auto" w:fill="auto"/>
            <w:vAlign w:val="center"/>
          </w:tcPr>
          <w:p w14:paraId="256C937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43B4767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1.01</w:t>
            </w:r>
          </w:p>
        </w:tc>
        <w:tc>
          <w:tcPr>
            <w:tcW w:w="716" w:type="dxa"/>
            <w:tcBorders>
              <w:tl2br w:val="nil"/>
              <w:tr2bl w:val="nil"/>
            </w:tcBorders>
            <w:shd w:val="clear" w:color="auto" w:fill="auto"/>
            <w:vAlign w:val="center"/>
          </w:tcPr>
          <w:p w14:paraId="3CA71B2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732B6A3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21F122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5C096E9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3C44B0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041E499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6A47333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DF5539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0811</w:t>
            </w:r>
          </w:p>
        </w:tc>
        <w:tc>
          <w:tcPr>
            <w:tcW w:w="1182" w:type="dxa"/>
            <w:tcBorders>
              <w:tl2br w:val="nil"/>
              <w:tr2bl w:val="nil"/>
            </w:tcBorders>
            <w:shd w:val="clear" w:color="auto" w:fill="auto"/>
            <w:vAlign w:val="center"/>
          </w:tcPr>
          <w:p w14:paraId="03F938B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0.0214</w:t>
            </w:r>
          </w:p>
        </w:tc>
        <w:tc>
          <w:tcPr>
            <w:tcW w:w="914" w:type="dxa"/>
            <w:tcBorders>
              <w:tl2br w:val="nil"/>
              <w:tr2bl w:val="nil"/>
            </w:tcBorders>
            <w:shd w:val="clear" w:color="auto" w:fill="auto"/>
            <w:vAlign w:val="center"/>
          </w:tcPr>
          <w:p w14:paraId="560BED8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672479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26.72</w:t>
            </w:r>
          </w:p>
        </w:tc>
        <w:tc>
          <w:tcPr>
            <w:tcW w:w="716" w:type="dxa"/>
            <w:tcBorders>
              <w:tl2br w:val="nil"/>
              <w:tr2bl w:val="nil"/>
            </w:tcBorders>
            <w:shd w:val="clear" w:color="auto" w:fill="auto"/>
            <w:vAlign w:val="center"/>
          </w:tcPr>
          <w:p w14:paraId="1E95FC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55DF71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4AEF17B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95DD5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60A898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0AD459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212AA13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6FCB12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2A14AC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2BCBD2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7E0530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0.10</w:t>
            </w:r>
          </w:p>
        </w:tc>
        <w:tc>
          <w:tcPr>
            <w:tcW w:w="716" w:type="dxa"/>
            <w:tcBorders>
              <w:tl2br w:val="nil"/>
              <w:tr2bl w:val="nil"/>
            </w:tcBorders>
            <w:shd w:val="clear" w:color="auto" w:fill="auto"/>
            <w:vAlign w:val="center"/>
          </w:tcPr>
          <w:p w14:paraId="5D5347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D20AB2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188E1F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18</w:t>
            </w:r>
          </w:p>
        </w:tc>
        <w:tc>
          <w:tcPr>
            <w:tcW w:w="1145" w:type="dxa"/>
            <w:vMerge w:val="restart"/>
            <w:tcBorders>
              <w:tl2br w:val="nil"/>
              <w:tr2bl w:val="nil"/>
            </w:tcBorders>
            <w:shd w:val="clear" w:color="auto" w:fill="auto"/>
            <w:vAlign w:val="center"/>
          </w:tcPr>
          <w:p w14:paraId="1173D09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长通名城</w:t>
            </w:r>
          </w:p>
        </w:tc>
        <w:tc>
          <w:tcPr>
            <w:tcW w:w="737" w:type="dxa"/>
            <w:vMerge w:val="restart"/>
            <w:tcBorders>
              <w:tl2br w:val="nil"/>
              <w:tr2bl w:val="nil"/>
            </w:tcBorders>
            <w:shd w:val="clear" w:color="auto" w:fill="auto"/>
            <w:vAlign w:val="center"/>
          </w:tcPr>
          <w:p w14:paraId="44E8219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419</w:t>
            </w:r>
          </w:p>
        </w:tc>
        <w:tc>
          <w:tcPr>
            <w:tcW w:w="647" w:type="dxa"/>
            <w:vMerge w:val="restart"/>
            <w:tcBorders>
              <w:tl2br w:val="nil"/>
              <w:tr2bl w:val="nil"/>
            </w:tcBorders>
            <w:shd w:val="clear" w:color="auto" w:fill="auto"/>
            <w:vAlign w:val="center"/>
          </w:tcPr>
          <w:p w14:paraId="3F91C2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1675</w:t>
            </w:r>
          </w:p>
        </w:tc>
        <w:tc>
          <w:tcPr>
            <w:tcW w:w="914" w:type="dxa"/>
            <w:tcBorders>
              <w:tl2br w:val="nil"/>
              <w:tr2bl w:val="nil"/>
            </w:tcBorders>
            <w:shd w:val="clear" w:color="auto" w:fill="auto"/>
            <w:vAlign w:val="center"/>
          </w:tcPr>
          <w:p w14:paraId="09E8E7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621E12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052419</w:t>
            </w:r>
          </w:p>
        </w:tc>
        <w:tc>
          <w:tcPr>
            <w:tcW w:w="1182" w:type="dxa"/>
            <w:tcBorders>
              <w:tl2br w:val="nil"/>
              <w:tr2bl w:val="nil"/>
            </w:tcBorders>
            <w:shd w:val="clear" w:color="auto" w:fill="auto"/>
            <w:vAlign w:val="center"/>
          </w:tcPr>
          <w:p w14:paraId="30B475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0.0009</w:t>
            </w:r>
          </w:p>
        </w:tc>
        <w:tc>
          <w:tcPr>
            <w:tcW w:w="914" w:type="dxa"/>
            <w:tcBorders>
              <w:tl2br w:val="nil"/>
              <w:tr2bl w:val="nil"/>
            </w:tcBorders>
            <w:shd w:val="clear" w:color="auto" w:fill="auto"/>
            <w:vAlign w:val="center"/>
          </w:tcPr>
          <w:p w14:paraId="361DB8A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17FA13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0.47</w:t>
            </w:r>
          </w:p>
        </w:tc>
        <w:tc>
          <w:tcPr>
            <w:tcW w:w="716" w:type="dxa"/>
            <w:tcBorders>
              <w:tl2br w:val="nil"/>
              <w:tr2bl w:val="nil"/>
            </w:tcBorders>
            <w:shd w:val="clear" w:color="auto" w:fill="auto"/>
            <w:vAlign w:val="center"/>
          </w:tcPr>
          <w:p w14:paraId="1B6ED7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1CAD52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6B8E2BC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739FEB9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0AA0F2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354D2B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1770735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3390E7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0531</w:t>
            </w:r>
          </w:p>
        </w:tc>
        <w:tc>
          <w:tcPr>
            <w:tcW w:w="1182" w:type="dxa"/>
            <w:tcBorders>
              <w:tl2br w:val="nil"/>
              <w:tr2bl w:val="nil"/>
            </w:tcBorders>
            <w:shd w:val="clear" w:color="auto" w:fill="auto"/>
            <w:vAlign w:val="center"/>
          </w:tcPr>
          <w:p w14:paraId="6B7E74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2B3945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67AE85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26.57</w:t>
            </w:r>
          </w:p>
        </w:tc>
        <w:tc>
          <w:tcPr>
            <w:tcW w:w="716" w:type="dxa"/>
            <w:tcBorders>
              <w:tl2br w:val="nil"/>
              <w:tr2bl w:val="nil"/>
            </w:tcBorders>
            <w:shd w:val="clear" w:color="auto" w:fill="auto"/>
            <w:vAlign w:val="center"/>
          </w:tcPr>
          <w:p w14:paraId="5204CA6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5199174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61A333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7ACE55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39E9A8D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5DDCE0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066EC02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15EBC9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65FE71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C1B9A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3BD9BE2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0.07</w:t>
            </w:r>
          </w:p>
        </w:tc>
        <w:tc>
          <w:tcPr>
            <w:tcW w:w="716" w:type="dxa"/>
            <w:tcBorders>
              <w:tl2br w:val="nil"/>
              <w:tr2bl w:val="nil"/>
            </w:tcBorders>
            <w:shd w:val="clear" w:color="auto" w:fill="auto"/>
            <w:vAlign w:val="center"/>
          </w:tcPr>
          <w:p w14:paraId="7A9B3F9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E64313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71C5A8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19</w:t>
            </w:r>
          </w:p>
        </w:tc>
        <w:tc>
          <w:tcPr>
            <w:tcW w:w="1145" w:type="dxa"/>
            <w:vMerge w:val="restart"/>
            <w:tcBorders>
              <w:tl2br w:val="nil"/>
              <w:tr2bl w:val="nil"/>
            </w:tcBorders>
            <w:shd w:val="clear" w:color="auto" w:fill="auto"/>
            <w:vAlign w:val="center"/>
          </w:tcPr>
          <w:p w14:paraId="740E75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湘潭碧桂园</w:t>
            </w:r>
          </w:p>
        </w:tc>
        <w:tc>
          <w:tcPr>
            <w:tcW w:w="737" w:type="dxa"/>
            <w:vMerge w:val="restart"/>
            <w:tcBorders>
              <w:tl2br w:val="nil"/>
              <w:tr2bl w:val="nil"/>
            </w:tcBorders>
            <w:shd w:val="clear" w:color="auto" w:fill="auto"/>
            <w:vAlign w:val="center"/>
          </w:tcPr>
          <w:p w14:paraId="2B3E6A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1590</w:t>
            </w:r>
          </w:p>
        </w:tc>
        <w:tc>
          <w:tcPr>
            <w:tcW w:w="647" w:type="dxa"/>
            <w:vMerge w:val="restart"/>
            <w:tcBorders>
              <w:tl2br w:val="nil"/>
              <w:tr2bl w:val="nil"/>
            </w:tcBorders>
            <w:shd w:val="clear" w:color="auto" w:fill="auto"/>
            <w:vAlign w:val="center"/>
          </w:tcPr>
          <w:p w14:paraId="7A01939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1772</w:t>
            </w:r>
          </w:p>
        </w:tc>
        <w:tc>
          <w:tcPr>
            <w:tcW w:w="914" w:type="dxa"/>
            <w:tcBorders>
              <w:tl2br w:val="nil"/>
              <w:tr2bl w:val="nil"/>
            </w:tcBorders>
            <w:shd w:val="clear" w:color="auto" w:fill="auto"/>
            <w:vAlign w:val="center"/>
          </w:tcPr>
          <w:p w14:paraId="0FC4B37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930F5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010109</w:t>
            </w:r>
          </w:p>
        </w:tc>
        <w:tc>
          <w:tcPr>
            <w:tcW w:w="1182" w:type="dxa"/>
            <w:tcBorders>
              <w:tl2br w:val="nil"/>
              <w:tr2bl w:val="nil"/>
            </w:tcBorders>
            <w:shd w:val="clear" w:color="auto" w:fill="auto"/>
            <w:vAlign w:val="center"/>
          </w:tcPr>
          <w:p w14:paraId="631211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0.0005</w:t>
            </w:r>
          </w:p>
        </w:tc>
        <w:tc>
          <w:tcPr>
            <w:tcW w:w="914" w:type="dxa"/>
            <w:tcBorders>
              <w:tl2br w:val="nil"/>
              <w:tr2bl w:val="nil"/>
            </w:tcBorders>
            <w:shd w:val="clear" w:color="auto" w:fill="auto"/>
            <w:vAlign w:val="center"/>
          </w:tcPr>
          <w:p w14:paraId="2CEFF5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559995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0.23</w:t>
            </w:r>
          </w:p>
        </w:tc>
        <w:tc>
          <w:tcPr>
            <w:tcW w:w="716" w:type="dxa"/>
            <w:tcBorders>
              <w:tl2br w:val="nil"/>
              <w:tr2bl w:val="nil"/>
            </w:tcBorders>
            <w:shd w:val="clear" w:color="auto" w:fill="auto"/>
            <w:vAlign w:val="center"/>
          </w:tcPr>
          <w:p w14:paraId="2B533C8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2A3B90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523A13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C2CEA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6D5EAD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BE0DBC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5BA87C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82325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0530</w:t>
            </w:r>
          </w:p>
        </w:tc>
        <w:tc>
          <w:tcPr>
            <w:tcW w:w="1182" w:type="dxa"/>
            <w:tcBorders>
              <w:tl2br w:val="nil"/>
              <w:tr2bl w:val="nil"/>
            </w:tcBorders>
            <w:shd w:val="clear" w:color="auto" w:fill="auto"/>
            <w:vAlign w:val="center"/>
          </w:tcPr>
          <w:p w14:paraId="2B8CB4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0.0212</w:t>
            </w:r>
          </w:p>
        </w:tc>
        <w:tc>
          <w:tcPr>
            <w:tcW w:w="914" w:type="dxa"/>
            <w:tcBorders>
              <w:tl2br w:val="nil"/>
              <w:tr2bl w:val="nil"/>
            </w:tcBorders>
            <w:shd w:val="clear" w:color="auto" w:fill="auto"/>
            <w:vAlign w:val="center"/>
          </w:tcPr>
          <w:p w14:paraId="0606F3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260ED11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26.50</w:t>
            </w:r>
          </w:p>
        </w:tc>
        <w:tc>
          <w:tcPr>
            <w:tcW w:w="716" w:type="dxa"/>
            <w:tcBorders>
              <w:tl2br w:val="nil"/>
              <w:tr2bl w:val="nil"/>
            </w:tcBorders>
            <w:shd w:val="clear" w:color="auto" w:fill="auto"/>
            <w:vAlign w:val="center"/>
          </w:tcPr>
          <w:p w14:paraId="42F8FA0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584B529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2B53B30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C3055A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29C86C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567A2D5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2C0942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34B4047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5DDE2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7E106B6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23653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0.06</w:t>
            </w:r>
          </w:p>
        </w:tc>
        <w:tc>
          <w:tcPr>
            <w:tcW w:w="716" w:type="dxa"/>
            <w:tcBorders>
              <w:tl2br w:val="nil"/>
              <w:tr2bl w:val="nil"/>
            </w:tcBorders>
            <w:shd w:val="clear" w:color="auto" w:fill="auto"/>
            <w:vAlign w:val="center"/>
          </w:tcPr>
          <w:p w14:paraId="08102A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3883C16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1DCDBA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20</w:t>
            </w:r>
          </w:p>
        </w:tc>
        <w:tc>
          <w:tcPr>
            <w:tcW w:w="1145" w:type="dxa"/>
            <w:vMerge w:val="restart"/>
            <w:tcBorders>
              <w:tl2br w:val="nil"/>
              <w:tr2bl w:val="nil"/>
            </w:tcBorders>
            <w:shd w:val="clear" w:color="auto" w:fill="auto"/>
            <w:vAlign w:val="center"/>
          </w:tcPr>
          <w:p w14:paraId="099239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zh-CN"/>
              </w:rPr>
            </w:pPr>
            <w:r>
              <w:rPr>
                <w:sz w:val="21"/>
                <w:szCs w:val="21"/>
                <w:lang w:eastAsia="zh-CN"/>
              </w:rPr>
              <w:t>东北侧湘潭县居民居住集中区</w:t>
            </w:r>
          </w:p>
        </w:tc>
        <w:tc>
          <w:tcPr>
            <w:tcW w:w="737" w:type="dxa"/>
            <w:vMerge w:val="restart"/>
            <w:tcBorders>
              <w:tl2br w:val="nil"/>
              <w:tr2bl w:val="nil"/>
            </w:tcBorders>
            <w:shd w:val="clear" w:color="auto" w:fill="auto"/>
            <w:vAlign w:val="center"/>
          </w:tcPr>
          <w:p w14:paraId="37556C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582</w:t>
            </w:r>
          </w:p>
        </w:tc>
        <w:tc>
          <w:tcPr>
            <w:tcW w:w="647" w:type="dxa"/>
            <w:vMerge w:val="restart"/>
            <w:tcBorders>
              <w:tl2br w:val="nil"/>
              <w:tr2bl w:val="nil"/>
            </w:tcBorders>
            <w:shd w:val="clear" w:color="auto" w:fill="auto"/>
            <w:vAlign w:val="center"/>
          </w:tcPr>
          <w:p w14:paraId="5836818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2019</w:t>
            </w:r>
          </w:p>
        </w:tc>
        <w:tc>
          <w:tcPr>
            <w:tcW w:w="914" w:type="dxa"/>
            <w:tcBorders>
              <w:tl2br w:val="nil"/>
              <w:tr2bl w:val="nil"/>
            </w:tcBorders>
            <w:shd w:val="clear" w:color="auto" w:fill="auto"/>
            <w:vAlign w:val="center"/>
          </w:tcPr>
          <w:p w14:paraId="5F0442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09F52B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100403</w:t>
            </w:r>
          </w:p>
        </w:tc>
        <w:tc>
          <w:tcPr>
            <w:tcW w:w="1182" w:type="dxa"/>
            <w:tcBorders>
              <w:tl2br w:val="nil"/>
              <w:tr2bl w:val="nil"/>
            </w:tcBorders>
            <w:shd w:val="clear" w:color="auto" w:fill="auto"/>
            <w:vAlign w:val="center"/>
          </w:tcPr>
          <w:p w14:paraId="0A3F1F2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0.0052</w:t>
            </w:r>
          </w:p>
        </w:tc>
        <w:tc>
          <w:tcPr>
            <w:tcW w:w="914" w:type="dxa"/>
            <w:tcBorders>
              <w:tl2br w:val="nil"/>
              <w:tr2bl w:val="nil"/>
            </w:tcBorders>
            <w:shd w:val="clear" w:color="auto" w:fill="auto"/>
            <w:vAlign w:val="center"/>
          </w:tcPr>
          <w:p w14:paraId="31AB1C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53A6B64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2.58</w:t>
            </w:r>
          </w:p>
        </w:tc>
        <w:tc>
          <w:tcPr>
            <w:tcW w:w="716" w:type="dxa"/>
            <w:tcBorders>
              <w:tl2br w:val="nil"/>
              <w:tr2bl w:val="nil"/>
            </w:tcBorders>
            <w:shd w:val="clear" w:color="auto" w:fill="auto"/>
            <w:vAlign w:val="center"/>
          </w:tcPr>
          <w:p w14:paraId="7856DF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0CF56C1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4D069B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45F38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0ADC74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1EDD2B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738B746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6FC3D6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0614</w:t>
            </w:r>
          </w:p>
        </w:tc>
        <w:tc>
          <w:tcPr>
            <w:tcW w:w="1182" w:type="dxa"/>
            <w:tcBorders>
              <w:tl2br w:val="nil"/>
              <w:tr2bl w:val="nil"/>
            </w:tcBorders>
            <w:shd w:val="clear" w:color="auto" w:fill="auto"/>
            <w:vAlign w:val="center"/>
          </w:tcPr>
          <w:p w14:paraId="143DF19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0.0215</w:t>
            </w:r>
          </w:p>
        </w:tc>
        <w:tc>
          <w:tcPr>
            <w:tcW w:w="914" w:type="dxa"/>
            <w:tcBorders>
              <w:tl2br w:val="nil"/>
              <w:tr2bl w:val="nil"/>
            </w:tcBorders>
            <w:shd w:val="clear" w:color="auto" w:fill="auto"/>
            <w:vAlign w:val="center"/>
          </w:tcPr>
          <w:p w14:paraId="3C58A15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7CA8F8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26.91</w:t>
            </w:r>
          </w:p>
        </w:tc>
        <w:tc>
          <w:tcPr>
            <w:tcW w:w="716" w:type="dxa"/>
            <w:tcBorders>
              <w:tl2br w:val="nil"/>
              <w:tr2bl w:val="nil"/>
            </w:tcBorders>
            <w:shd w:val="clear" w:color="auto" w:fill="auto"/>
            <w:vAlign w:val="center"/>
          </w:tcPr>
          <w:p w14:paraId="1EA4422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C11B58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56EA87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11EBD4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34C93F4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5265B8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4CB2A24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5ACA26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3D958D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0.0001</w:t>
            </w:r>
          </w:p>
        </w:tc>
        <w:tc>
          <w:tcPr>
            <w:tcW w:w="914" w:type="dxa"/>
            <w:tcBorders>
              <w:tl2br w:val="nil"/>
              <w:tr2bl w:val="nil"/>
            </w:tcBorders>
            <w:shd w:val="clear" w:color="auto" w:fill="auto"/>
            <w:vAlign w:val="center"/>
          </w:tcPr>
          <w:p w14:paraId="2D5F260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0F30638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0.13</w:t>
            </w:r>
          </w:p>
        </w:tc>
        <w:tc>
          <w:tcPr>
            <w:tcW w:w="716" w:type="dxa"/>
            <w:tcBorders>
              <w:tl2br w:val="nil"/>
              <w:tr2bl w:val="nil"/>
            </w:tcBorders>
            <w:shd w:val="clear" w:color="auto" w:fill="auto"/>
            <w:vAlign w:val="center"/>
          </w:tcPr>
          <w:p w14:paraId="7D2575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0FEEC7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3C0F02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21</w:t>
            </w:r>
          </w:p>
        </w:tc>
        <w:tc>
          <w:tcPr>
            <w:tcW w:w="1145" w:type="dxa"/>
            <w:vMerge w:val="restart"/>
            <w:tcBorders>
              <w:tl2br w:val="nil"/>
              <w:tr2bl w:val="nil"/>
            </w:tcBorders>
            <w:shd w:val="clear" w:color="auto" w:fill="auto"/>
            <w:vAlign w:val="center"/>
          </w:tcPr>
          <w:p w14:paraId="7A02D9A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zh-CN"/>
              </w:rPr>
            </w:pPr>
            <w:r>
              <w:rPr>
                <w:sz w:val="21"/>
                <w:szCs w:val="21"/>
                <w:lang w:eastAsia="zh-CN"/>
              </w:rPr>
              <w:t>西北侧湘潭县居民居住集中区</w:t>
            </w:r>
          </w:p>
        </w:tc>
        <w:tc>
          <w:tcPr>
            <w:tcW w:w="737" w:type="dxa"/>
            <w:vMerge w:val="restart"/>
            <w:tcBorders>
              <w:tl2br w:val="nil"/>
              <w:tr2bl w:val="nil"/>
            </w:tcBorders>
            <w:shd w:val="clear" w:color="auto" w:fill="auto"/>
            <w:vAlign w:val="center"/>
          </w:tcPr>
          <w:p w14:paraId="64CCB6C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-1045</w:t>
            </w:r>
          </w:p>
        </w:tc>
        <w:tc>
          <w:tcPr>
            <w:tcW w:w="647" w:type="dxa"/>
            <w:vMerge w:val="restart"/>
            <w:tcBorders>
              <w:tl2br w:val="nil"/>
              <w:tr2bl w:val="nil"/>
            </w:tcBorders>
            <w:shd w:val="clear" w:color="auto" w:fill="auto"/>
            <w:vAlign w:val="center"/>
          </w:tcPr>
          <w:p w14:paraId="42D6FF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1765</w:t>
            </w:r>
          </w:p>
        </w:tc>
        <w:tc>
          <w:tcPr>
            <w:tcW w:w="914" w:type="dxa"/>
            <w:tcBorders>
              <w:tl2br w:val="nil"/>
              <w:tr2bl w:val="nil"/>
            </w:tcBorders>
            <w:shd w:val="clear" w:color="auto" w:fill="auto"/>
            <w:vAlign w:val="center"/>
          </w:tcPr>
          <w:p w14:paraId="405F87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636A1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052423</w:t>
            </w:r>
          </w:p>
        </w:tc>
        <w:tc>
          <w:tcPr>
            <w:tcW w:w="1182" w:type="dxa"/>
            <w:tcBorders>
              <w:tl2br w:val="nil"/>
              <w:tr2bl w:val="nil"/>
            </w:tcBorders>
            <w:shd w:val="clear" w:color="auto" w:fill="auto"/>
            <w:vAlign w:val="center"/>
          </w:tcPr>
          <w:p w14:paraId="760C5C0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0.0033</w:t>
            </w:r>
          </w:p>
        </w:tc>
        <w:tc>
          <w:tcPr>
            <w:tcW w:w="914" w:type="dxa"/>
            <w:tcBorders>
              <w:tl2br w:val="nil"/>
              <w:tr2bl w:val="nil"/>
            </w:tcBorders>
            <w:shd w:val="clear" w:color="auto" w:fill="auto"/>
            <w:vAlign w:val="center"/>
          </w:tcPr>
          <w:p w14:paraId="00901B6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059BE5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1.66</w:t>
            </w:r>
          </w:p>
        </w:tc>
        <w:tc>
          <w:tcPr>
            <w:tcW w:w="716" w:type="dxa"/>
            <w:tcBorders>
              <w:tl2br w:val="nil"/>
              <w:tr2bl w:val="nil"/>
            </w:tcBorders>
            <w:shd w:val="clear" w:color="auto" w:fill="auto"/>
            <w:vAlign w:val="center"/>
          </w:tcPr>
          <w:p w14:paraId="37FFAF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5C0234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3215CF9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4760B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1316E7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0E13DE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696DA16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1388FD6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w:t>
            </w:r>
            <w:r>
              <w:rPr>
                <w:rFonts w:hint="eastAsia"/>
                <w:sz w:val="21"/>
                <w:szCs w:val="21"/>
                <w:lang w:eastAsia="zh-CN"/>
              </w:rPr>
              <w:t>24</w:t>
            </w:r>
            <w:r>
              <w:rPr>
                <w:sz w:val="21"/>
                <w:szCs w:val="21"/>
                <w:lang w:eastAsia="en-US"/>
              </w:rPr>
              <w:t>6</w:t>
            </w:r>
          </w:p>
        </w:tc>
        <w:tc>
          <w:tcPr>
            <w:tcW w:w="1182" w:type="dxa"/>
            <w:tcBorders>
              <w:tl2br w:val="nil"/>
              <w:tr2bl w:val="nil"/>
            </w:tcBorders>
            <w:shd w:val="clear" w:color="auto" w:fill="auto"/>
            <w:vAlign w:val="center"/>
          </w:tcPr>
          <w:p w14:paraId="5D33ABA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0.0214</w:t>
            </w:r>
          </w:p>
        </w:tc>
        <w:tc>
          <w:tcPr>
            <w:tcW w:w="914" w:type="dxa"/>
            <w:tcBorders>
              <w:tl2br w:val="nil"/>
              <w:tr2bl w:val="nil"/>
            </w:tcBorders>
            <w:shd w:val="clear" w:color="auto" w:fill="auto"/>
            <w:vAlign w:val="center"/>
          </w:tcPr>
          <w:p w14:paraId="20EAFB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5F2EE3E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26.80</w:t>
            </w:r>
          </w:p>
        </w:tc>
        <w:tc>
          <w:tcPr>
            <w:tcW w:w="716" w:type="dxa"/>
            <w:tcBorders>
              <w:tl2br w:val="nil"/>
              <w:tr2bl w:val="nil"/>
            </w:tcBorders>
            <w:shd w:val="clear" w:color="auto" w:fill="auto"/>
            <w:vAlign w:val="center"/>
          </w:tcPr>
          <w:p w14:paraId="398BAB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D3BD18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0AEC9AD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013A759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6677EE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2B8C20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2FAA66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A3C45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7F9DE3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09D0F0B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6AC4B9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0.10</w:t>
            </w:r>
          </w:p>
        </w:tc>
        <w:tc>
          <w:tcPr>
            <w:tcW w:w="716" w:type="dxa"/>
            <w:tcBorders>
              <w:tl2br w:val="nil"/>
              <w:tr2bl w:val="nil"/>
            </w:tcBorders>
            <w:shd w:val="clear" w:color="auto" w:fill="auto"/>
            <w:vAlign w:val="center"/>
          </w:tcPr>
          <w:p w14:paraId="7D050F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29F50A3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restart"/>
            <w:tcBorders>
              <w:tl2br w:val="nil"/>
              <w:tr2bl w:val="nil"/>
            </w:tcBorders>
            <w:shd w:val="clear" w:color="auto" w:fill="auto"/>
            <w:vAlign w:val="center"/>
          </w:tcPr>
          <w:p w14:paraId="52779F7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rFonts w:hint="eastAsia"/>
                <w:sz w:val="21"/>
                <w:szCs w:val="21"/>
                <w:lang w:eastAsia="zh-CN"/>
              </w:rPr>
              <w:t>24</w:t>
            </w:r>
          </w:p>
        </w:tc>
        <w:tc>
          <w:tcPr>
            <w:tcW w:w="1145" w:type="dxa"/>
            <w:vMerge w:val="restart"/>
            <w:tcBorders>
              <w:tl2br w:val="nil"/>
              <w:tr2bl w:val="nil"/>
            </w:tcBorders>
            <w:shd w:val="clear" w:color="auto" w:fill="auto"/>
            <w:vAlign w:val="center"/>
          </w:tcPr>
          <w:p w14:paraId="4CB556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湘潭县环境监测点</w:t>
            </w:r>
          </w:p>
        </w:tc>
        <w:tc>
          <w:tcPr>
            <w:tcW w:w="737" w:type="dxa"/>
            <w:vMerge w:val="restart"/>
            <w:tcBorders>
              <w:tl2br w:val="nil"/>
              <w:tr2bl w:val="nil"/>
            </w:tcBorders>
            <w:shd w:val="clear" w:color="auto" w:fill="auto"/>
            <w:vAlign w:val="center"/>
          </w:tcPr>
          <w:p w14:paraId="585B192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-1271</w:t>
            </w:r>
          </w:p>
        </w:tc>
        <w:tc>
          <w:tcPr>
            <w:tcW w:w="647" w:type="dxa"/>
            <w:vMerge w:val="restart"/>
            <w:tcBorders>
              <w:tl2br w:val="nil"/>
              <w:tr2bl w:val="nil"/>
            </w:tcBorders>
            <w:shd w:val="clear" w:color="auto" w:fill="auto"/>
            <w:vAlign w:val="center"/>
          </w:tcPr>
          <w:p w14:paraId="1C0A67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1231</w:t>
            </w:r>
          </w:p>
        </w:tc>
        <w:tc>
          <w:tcPr>
            <w:tcW w:w="914" w:type="dxa"/>
            <w:tcBorders>
              <w:tl2br w:val="nil"/>
              <w:tr2bl w:val="nil"/>
            </w:tcBorders>
            <w:shd w:val="clear" w:color="auto" w:fill="auto"/>
            <w:vAlign w:val="center"/>
          </w:tcPr>
          <w:p w14:paraId="536B577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1小时</w:t>
            </w:r>
          </w:p>
        </w:tc>
        <w:tc>
          <w:tcPr>
            <w:tcW w:w="1069" w:type="dxa"/>
            <w:tcBorders>
              <w:tl2br w:val="nil"/>
              <w:tr2bl w:val="nil"/>
            </w:tcBorders>
            <w:shd w:val="clear" w:color="auto" w:fill="auto"/>
            <w:vAlign w:val="center"/>
          </w:tcPr>
          <w:p w14:paraId="35B993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041901</w:t>
            </w:r>
          </w:p>
        </w:tc>
        <w:tc>
          <w:tcPr>
            <w:tcW w:w="1182" w:type="dxa"/>
            <w:tcBorders>
              <w:tl2br w:val="nil"/>
              <w:tr2bl w:val="nil"/>
            </w:tcBorders>
            <w:shd w:val="clear" w:color="auto" w:fill="auto"/>
            <w:vAlign w:val="center"/>
          </w:tcPr>
          <w:p w14:paraId="1A672AA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sz w:val="21"/>
                <w:szCs w:val="21"/>
                <w:lang w:eastAsia="en-US"/>
              </w:rPr>
              <w:t>0.00</w:t>
            </w:r>
            <w:r>
              <w:rPr>
                <w:rFonts w:hint="eastAsia"/>
                <w:sz w:val="21"/>
                <w:szCs w:val="21"/>
                <w:lang w:eastAsia="zh-CN"/>
              </w:rPr>
              <w:t>24</w:t>
            </w:r>
          </w:p>
        </w:tc>
        <w:tc>
          <w:tcPr>
            <w:tcW w:w="914" w:type="dxa"/>
            <w:tcBorders>
              <w:tl2br w:val="nil"/>
              <w:tr2bl w:val="nil"/>
            </w:tcBorders>
            <w:shd w:val="clear" w:color="auto" w:fill="auto"/>
            <w:vAlign w:val="center"/>
          </w:tcPr>
          <w:p w14:paraId="29AA2B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0.9</w:t>
            </w:r>
          </w:p>
        </w:tc>
        <w:tc>
          <w:tcPr>
            <w:tcW w:w="784" w:type="dxa"/>
            <w:tcBorders>
              <w:tl2br w:val="nil"/>
              <w:tr2bl w:val="nil"/>
            </w:tcBorders>
            <w:shd w:val="clear" w:color="auto" w:fill="auto"/>
            <w:vAlign w:val="center"/>
          </w:tcPr>
          <w:p w14:paraId="366C96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1.09</w:t>
            </w:r>
          </w:p>
        </w:tc>
        <w:tc>
          <w:tcPr>
            <w:tcW w:w="716" w:type="dxa"/>
            <w:tcBorders>
              <w:tl2br w:val="nil"/>
              <w:tr2bl w:val="nil"/>
            </w:tcBorders>
            <w:shd w:val="clear" w:color="auto" w:fill="auto"/>
            <w:vAlign w:val="center"/>
          </w:tcPr>
          <w:p w14:paraId="278EB6E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48990B7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054CB1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6EB2E1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0433F44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0AD86A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24C69A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日平均</w:t>
            </w:r>
          </w:p>
        </w:tc>
        <w:tc>
          <w:tcPr>
            <w:tcW w:w="1069" w:type="dxa"/>
            <w:tcBorders>
              <w:tl2br w:val="nil"/>
              <w:tr2bl w:val="nil"/>
            </w:tcBorders>
            <w:shd w:val="clear" w:color="auto" w:fill="auto"/>
            <w:vAlign w:val="center"/>
          </w:tcPr>
          <w:p w14:paraId="55B3358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zh-CN"/>
              </w:rPr>
              <w:t>24</w:t>
            </w:r>
            <w:r>
              <w:rPr>
                <w:sz w:val="21"/>
                <w:szCs w:val="21"/>
                <w:lang w:eastAsia="en-US"/>
              </w:rPr>
              <w:t>0</w:t>
            </w:r>
            <w:r>
              <w:rPr>
                <w:rFonts w:hint="eastAsia"/>
                <w:sz w:val="21"/>
                <w:szCs w:val="21"/>
                <w:lang w:eastAsia="zh-CN"/>
              </w:rPr>
              <w:t>24</w:t>
            </w:r>
            <w:r>
              <w:rPr>
                <w:sz w:val="21"/>
                <w:szCs w:val="21"/>
                <w:lang w:eastAsia="en-US"/>
              </w:rPr>
              <w:t>6</w:t>
            </w:r>
          </w:p>
        </w:tc>
        <w:tc>
          <w:tcPr>
            <w:tcW w:w="1182" w:type="dxa"/>
            <w:tcBorders>
              <w:tl2br w:val="nil"/>
              <w:tr2bl w:val="nil"/>
            </w:tcBorders>
            <w:shd w:val="clear" w:color="auto" w:fill="auto"/>
            <w:vAlign w:val="center"/>
          </w:tcPr>
          <w:p w14:paraId="44BFB9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0.0213</w:t>
            </w:r>
          </w:p>
        </w:tc>
        <w:tc>
          <w:tcPr>
            <w:tcW w:w="914" w:type="dxa"/>
            <w:tcBorders>
              <w:tl2br w:val="nil"/>
              <w:tr2bl w:val="nil"/>
            </w:tcBorders>
            <w:shd w:val="clear" w:color="auto" w:fill="auto"/>
            <w:vAlign w:val="center"/>
          </w:tcPr>
          <w:p w14:paraId="62A1C7C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0.3</w:t>
            </w:r>
          </w:p>
        </w:tc>
        <w:tc>
          <w:tcPr>
            <w:tcW w:w="784" w:type="dxa"/>
            <w:tcBorders>
              <w:tl2br w:val="nil"/>
              <w:tr2bl w:val="nil"/>
            </w:tcBorders>
            <w:shd w:val="clear" w:color="auto" w:fill="auto"/>
            <w:vAlign w:val="center"/>
          </w:tcPr>
          <w:p w14:paraId="53555A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26.66</w:t>
            </w:r>
          </w:p>
        </w:tc>
        <w:tc>
          <w:tcPr>
            <w:tcW w:w="716" w:type="dxa"/>
            <w:tcBorders>
              <w:tl2br w:val="nil"/>
              <w:tr2bl w:val="nil"/>
            </w:tcBorders>
            <w:shd w:val="clear" w:color="auto" w:fill="auto"/>
            <w:vAlign w:val="center"/>
          </w:tcPr>
          <w:p w14:paraId="11DB5F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r w14:paraId="16B5CFA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454" w:hRule="exact"/>
          <w:jc w:val="center"/>
        </w:trPr>
        <w:tc>
          <w:tcPr>
            <w:tcW w:w="378" w:type="dxa"/>
            <w:vMerge w:val="continue"/>
            <w:tcBorders>
              <w:tl2br w:val="nil"/>
              <w:tr2bl w:val="nil"/>
            </w:tcBorders>
            <w:shd w:val="clear" w:color="auto" w:fill="auto"/>
            <w:vAlign w:val="center"/>
          </w:tcPr>
          <w:p w14:paraId="4514C7B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1145" w:type="dxa"/>
            <w:vMerge w:val="continue"/>
            <w:tcBorders>
              <w:tl2br w:val="nil"/>
              <w:tr2bl w:val="nil"/>
            </w:tcBorders>
            <w:shd w:val="clear" w:color="auto" w:fill="auto"/>
            <w:vAlign w:val="center"/>
          </w:tcPr>
          <w:p w14:paraId="4527A9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737" w:type="dxa"/>
            <w:vMerge w:val="continue"/>
            <w:tcBorders>
              <w:tl2br w:val="nil"/>
              <w:tr2bl w:val="nil"/>
            </w:tcBorders>
            <w:shd w:val="clear" w:color="auto" w:fill="auto"/>
            <w:vAlign w:val="center"/>
          </w:tcPr>
          <w:p w14:paraId="00AD610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647" w:type="dxa"/>
            <w:vMerge w:val="continue"/>
            <w:tcBorders>
              <w:tl2br w:val="nil"/>
              <w:tr2bl w:val="nil"/>
            </w:tcBorders>
            <w:shd w:val="clear" w:color="auto" w:fill="auto"/>
            <w:vAlign w:val="center"/>
          </w:tcPr>
          <w:p w14:paraId="45DDF1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p>
        </w:tc>
        <w:tc>
          <w:tcPr>
            <w:tcW w:w="914" w:type="dxa"/>
            <w:tcBorders>
              <w:tl2br w:val="nil"/>
              <w:tr2bl w:val="nil"/>
            </w:tcBorders>
            <w:shd w:val="clear" w:color="auto" w:fill="auto"/>
            <w:vAlign w:val="center"/>
          </w:tcPr>
          <w:p w14:paraId="391D4D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年平均</w:t>
            </w:r>
          </w:p>
        </w:tc>
        <w:tc>
          <w:tcPr>
            <w:tcW w:w="1069" w:type="dxa"/>
            <w:tcBorders>
              <w:tl2br w:val="nil"/>
              <w:tr2bl w:val="nil"/>
            </w:tcBorders>
            <w:shd w:val="clear" w:color="auto" w:fill="auto"/>
            <w:vAlign w:val="center"/>
          </w:tcPr>
          <w:p w14:paraId="096E74E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平均值</w:t>
            </w:r>
          </w:p>
        </w:tc>
        <w:tc>
          <w:tcPr>
            <w:tcW w:w="1182" w:type="dxa"/>
            <w:tcBorders>
              <w:tl2br w:val="nil"/>
              <w:tr2bl w:val="nil"/>
            </w:tcBorders>
            <w:shd w:val="clear" w:color="auto" w:fill="auto"/>
            <w:vAlign w:val="center"/>
          </w:tcPr>
          <w:p w14:paraId="112156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0.0000</w:t>
            </w:r>
          </w:p>
        </w:tc>
        <w:tc>
          <w:tcPr>
            <w:tcW w:w="914" w:type="dxa"/>
            <w:tcBorders>
              <w:tl2br w:val="nil"/>
              <w:tr2bl w:val="nil"/>
            </w:tcBorders>
            <w:shd w:val="clear" w:color="auto" w:fill="auto"/>
            <w:vAlign w:val="center"/>
          </w:tcPr>
          <w:p w14:paraId="130EB1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rFonts w:hint="eastAsia"/>
                <w:sz w:val="21"/>
                <w:szCs w:val="21"/>
                <w:lang w:eastAsia="en-US"/>
              </w:rPr>
              <w:t>0.2</w:t>
            </w:r>
          </w:p>
        </w:tc>
        <w:tc>
          <w:tcPr>
            <w:tcW w:w="784" w:type="dxa"/>
            <w:tcBorders>
              <w:tl2br w:val="nil"/>
              <w:tr2bl w:val="nil"/>
            </w:tcBorders>
            <w:shd w:val="clear" w:color="auto" w:fill="auto"/>
            <w:vAlign w:val="center"/>
          </w:tcPr>
          <w:p w14:paraId="4AD3082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0.08</w:t>
            </w:r>
          </w:p>
        </w:tc>
        <w:tc>
          <w:tcPr>
            <w:tcW w:w="716" w:type="dxa"/>
            <w:tcBorders>
              <w:tl2br w:val="nil"/>
              <w:tr2bl w:val="nil"/>
            </w:tcBorders>
            <w:shd w:val="clear" w:color="auto" w:fill="auto"/>
            <w:vAlign w:val="center"/>
          </w:tcPr>
          <w:p w14:paraId="690287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lang w:eastAsia="en-US"/>
              </w:rPr>
            </w:pPr>
            <w:r>
              <w:rPr>
                <w:sz w:val="21"/>
                <w:szCs w:val="21"/>
                <w:lang w:eastAsia="en-US"/>
              </w:rPr>
              <w:t>达标</w:t>
            </w:r>
          </w:p>
        </w:tc>
      </w:tr>
    </w:tbl>
    <w:p w14:paraId="0CEC235D">
      <w:pPr>
        <w:ind w:firstLine="480"/>
        <w:jc w:val="center"/>
      </w:pPr>
      <w:r>
        <w:pict>
          <v:shape id="_x0000_s1217" o:spid="_x0000_s1217" o:spt="75" type="#_x0000_t75" style="position:absolute;left:0pt;margin-left:25.9pt;margin-top:340.05pt;height:287.4pt;width:346.95pt;mso-position-horizontal-relative:margin;mso-position-vertical-relative:margin;mso-wrap-distance-bottom:0pt;mso-wrap-distance-left:9pt;mso-wrap-distance-right:9pt;mso-wrap-distance-top:0pt;z-index:251687936;mso-width-relative:page;mso-height-relative:page;" filled="f" o:preferrelative="t" stroked="f" coordsize="21600,21600">
            <v:path/>
            <v:fill on="f" focussize="0,0"/>
            <v:stroke on="f" joinstyle="miter"/>
            <v:imagedata r:id="rId68" o:title="TSP叠加日均"/>
            <o:lock v:ext="edit" aspectratio="t"/>
            <w10:wrap type="square"/>
          </v:shape>
        </w:pict>
      </w:r>
    </w:p>
    <w:p w14:paraId="7A234C42">
      <w:pPr>
        <w:ind w:firstLine="480"/>
        <w:jc w:val="center"/>
      </w:pPr>
    </w:p>
    <w:p w14:paraId="12DBDEB4">
      <w:pPr>
        <w:ind w:firstLine="480"/>
        <w:jc w:val="center"/>
      </w:pPr>
    </w:p>
    <w:p w14:paraId="059E7B73">
      <w:pPr>
        <w:ind w:firstLine="480"/>
        <w:jc w:val="center"/>
      </w:pPr>
    </w:p>
    <w:p w14:paraId="4A330968">
      <w:pPr>
        <w:ind w:firstLine="480"/>
        <w:jc w:val="center"/>
      </w:pPr>
    </w:p>
    <w:p w14:paraId="66FD876A">
      <w:pPr>
        <w:ind w:firstLine="480"/>
        <w:jc w:val="center"/>
      </w:pPr>
    </w:p>
    <w:p w14:paraId="0DA86139">
      <w:pPr>
        <w:ind w:firstLine="480"/>
        <w:jc w:val="center"/>
      </w:pPr>
    </w:p>
    <w:p w14:paraId="070CBA1C">
      <w:pPr>
        <w:ind w:firstLine="480"/>
        <w:jc w:val="center"/>
      </w:pPr>
    </w:p>
    <w:p w14:paraId="112657AA">
      <w:pPr>
        <w:ind w:firstLine="480"/>
        <w:jc w:val="center"/>
      </w:pPr>
    </w:p>
    <w:p w14:paraId="702B4676">
      <w:pPr>
        <w:ind w:firstLine="480"/>
        <w:jc w:val="center"/>
      </w:pPr>
    </w:p>
    <w:p w14:paraId="7C1F71DB">
      <w:pPr>
        <w:ind w:firstLine="480"/>
        <w:jc w:val="center"/>
      </w:pPr>
    </w:p>
    <w:p w14:paraId="2AD05D1D">
      <w:pPr>
        <w:ind w:firstLine="480"/>
        <w:jc w:val="center"/>
      </w:pPr>
    </w:p>
    <w:p w14:paraId="7C52EA7E">
      <w:pPr>
        <w:pStyle w:val="45"/>
        <w:numPr>
          <w:ilvl w:val="6"/>
          <w:numId w:val="0"/>
        </w:numPr>
        <w:spacing w:before="0" w:beforeLines="0"/>
        <w:ind w:left="3363" w:leftChars="0" w:hanging="3363" w:hangingChars="1595"/>
        <w:rPr>
          <w:rFonts w:hint="default" w:ascii="宋体" w:hAnsi="宋体" w:eastAsia="宋体" w:cs="宋体"/>
          <w:b/>
          <w:bCs/>
          <w:color w:val="auto"/>
          <w:kern w:val="2"/>
          <w:sz w:val="21"/>
          <w:szCs w:val="21"/>
          <w:lang w:val="en-US" w:eastAsia="zh-CN" w:bidi="ar-SA"/>
        </w:rPr>
      </w:pPr>
    </w:p>
    <w:p w14:paraId="686CE6AC">
      <w:pPr>
        <w:pStyle w:val="45"/>
        <w:numPr>
          <w:ilvl w:val="6"/>
          <w:numId w:val="0"/>
        </w:numPr>
        <w:spacing w:before="0" w:beforeLines="0"/>
        <w:ind w:left="3363" w:leftChars="0" w:hanging="3363" w:hangingChars="1595"/>
        <w:rPr>
          <w:rFonts w:hint="default" w:ascii="宋体" w:hAnsi="宋体" w:eastAsia="宋体" w:cs="宋体"/>
          <w:b/>
          <w:bCs/>
          <w:color w:val="auto"/>
          <w:kern w:val="2"/>
          <w:sz w:val="21"/>
          <w:szCs w:val="21"/>
          <w:lang w:val="en-US" w:eastAsia="zh-CN" w:bidi="ar-SA"/>
        </w:rPr>
      </w:pPr>
    </w:p>
    <w:p w14:paraId="6B74F39E">
      <w:pPr>
        <w:pStyle w:val="45"/>
        <w:numPr>
          <w:ilvl w:val="6"/>
          <w:numId w:val="0"/>
        </w:numPr>
        <w:spacing w:before="0" w:beforeLines="0"/>
        <w:ind w:left="3363" w:leftChars="0" w:hanging="3363" w:hangingChars="1595"/>
        <w:rPr>
          <w:color w:val="auto"/>
          <w:u w:val="single"/>
        </w:rPr>
      </w:pPr>
      <w:r>
        <w:rPr>
          <w:rFonts w:hint="default" w:ascii="宋体" w:hAnsi="宋体" w:eastAsia="宋体" w:cs="宋体"/>
          <w:b/>
          <w:bCs/>
          <w:color w:val="auto"/>
          <w:kern w:val="2"/>
          <w:sz w:val="21"/>
          <w:szCs w:val="21"/>
          <w:lang w:val="en-US" w:eastAsia="zh-CN" w:bidi="ar-SA"/>
        </w:rPr>
        <w:t xml:space="preserve">图6.2-20 </w:t>
      </w:r>
      <w:r>
        <w:rPr>
          <w:rFonts w:hint="eastAsia"/>
          <w:color w:val="auto"/>
          <w:u w:val="single"/>
        </w:rPr>
        <w:t>TSP叠加浓度分布图—日均 单位：mg/m</w:t>
      </w:r>
      <w:r>
        <w:rPr>
          <w:rFonts w:hint="eastAsia"/>
          <w:color w:val="auto"/>
          <w:u w:val="single"/>
          <w:vertAlign w:val="superscript"/>
        </w:rPr>
        <w:t>3</w:t>
      </w:r>
    </w:p>
    <w:p w14:paraId="799AE4A7">
      <w:pPr>
        <w:ind w:firstLine="480"/>
        <w:rPr>
          <w:u w:val="single"/>
        </w:rPr>
      </w:pPr>
    </w:p>
    <w:p w14:paraId="429FBDDB">
      <w:pPr>
        <w:ind w:firstLine="480"/>
        <w:rPr>
          <w:u w:val="single"/>
        </w:rPr>
      </w:pPr>
      <w:r>
        <w:pict>
          <v:shape id="_x0000_s1218" o:spid="_x0000_s1218" o:spt="75" type="#_x0000_t75" style="position:absolute;left:0pt;margin-left:24.65pt;margin-top:3.5pt;height:287.6pt;width:346.95pt;mso-position-horizontal-relative:margin;mso-position-vertical-relative:margin;mso-wrap-distance-bottom:0pt;mso-wrap-distance-left:9pt;mso-wrap-distance-right:9pt;mso-wrap-distance-top:0pt;z-index:251688960;mso-width-relative:page;mso-height-relative:page;" filled="f" o:preferrelative="t" stroked="f" coordsize="21600,21600">
            <v:path/>
            <v:fill on="f" focussize="0,0"/>
            <v:stroke on="f" joinstyle="miter"/>
            <v:imagedata r:id="rId69" o:title="TSP叠加年均"/>
            <o:lock v:ext="edit" aspectratio="t"/>
            <w10:wrap type="square"/>
          </v:shape>
        </w:pict>
      </w:r>
    </w:p>
    <w:p w14:paraId="72893F74">
      <w:pPr>
        <w:ind w:firstLine="480"/>
        <w:rPr>
          <w:u w:val="single"/>
        </w:rPr>
      </w:pPr>
    </w:p>
    <w:p w14:paraId="7584F16B">
      <w:pPr>
        <w:ind w:firstLine="480"/>
        <w:rPr>
          <w:u w:val="single"/>
        </w:rPr>
      </w:pPr>
    </w:p>
    <w:p w14:paraId="52029A64">
      <w:pPr>
        <w:ind w:firstLine="480"/>
        <w:rPr>
          <w:u w:val="single"/>
        </w:rPr>
      </w:pPr>
    </w:p>
    <w:p w14:paraId="21E7153E">
      <w:pPr>
        <w:ind w:firstLine="480"/>
        <w:rPr>
          <w:u w:val="single"/>
        </w:rPr>
      </w:pPr>
    </w:p>
    <w:p w14:paraId="5B680A0E">
      <w:pPr>
        <w:ind w:firstLine="480"/>
        <w:rPr>
          <w:u w:val="single"/>
        </w:rPr>
      </w:pPr>
    </w:p>
    <w:p w14:paraId="43A4E806">
      <w:pPr>
        <w:ind w:firstLine="480"/>
        <w:rPr>
          <w:u w:val="single"/>
        </w:rPr>
      </w:pPr>
    </w:p>
    <w:p w14:paraId="260347C7">
      <w:pPr>
        <w:ind w:firstLine="480"/>
        <w:rPr>
          <w:u w:val="single"/>
        </w:rPr>
      </w:pPr>
    </w:p>
    <w:p w14:paraId="3B0955BA">
      <w:pPr>
        <w:ind w:firstLine="480"/>
        <w:rPr>
          <w:u w:val="single"/>
        </w:rPr>
      </w:pPr>
    </w:p>
    <w:p w14:paraId="3344793B">
      <w:pPr>
        <w:ind w:firstLine="480"/>
        <w:rPr>
          <w:u w:val="single"/>
        </w:rPr>
      </w:pPr>
    </w:p>
    <w:p w14:paraId="099C9682">
      <w:pPr>
        <w:ind w:firstLine="480"/>
        <w:rPr>
          <w:u w:val="single"/>
        </w:rPr>
      </w:pPr>
    </w:p>
    <w:p w14:paraId="27C27D80">
      <w:pPr>
        <w:ind w:firstLine="480"/>
        <w:rPr>
          <w:u w:val="single"/>
        </w:rPr>
      </w:pPr>
    </w:p>
    <w:p w14:paraId="5C3DFB76">
      <w:pPr>
        <w:ind w:firstLine="480"/>
        <w:rPr>
          <w:u w:val="single"/>
        </w:rPr>
      </w:pPr>
    </w:p>
    <w:p w14:paraId="14CCD623">
      <w:pPr>
        <w:pStyle w:val="45"/>
        <w:numPr>
          <w:ilvl w:val="6"/>
          <w:numId w:val="0"/>
        </w:numPr>
        <w:tabs>
          <w:tab w:val="clear" w:pos="2269"/>
        </w:tabs>
        <w:spacing w:before="0" w:beforeLines="0"/>
        <w:ind w:left="3363" w:leftChars="0" w:hanging="3363" w:hangingChars="1595"/>
      </w:pPr>
      <w:r>
        <w:rPr>
          <w:rFonts w:hint="default" w:ascii="宋体" w:hAnsi="宋体" w:eastAsia="宋体" w:cs="宋体"/>
          <w:b/>
          <w:bCs/>
          <w:color w:val="000000"/>
          <w:kern w:val="2"/>
          <w:sz w:val="21"/>
          <w:szCs w:val="21"/>
          <w:lang w:val="en-US" w:eastAsia="zh-CN" w:bidi="ar-SA"/>
        </w:rPr>
        <w:t xml:space="preserve">图6.2-21 </w:t>
      </w:r>
      <w:r>
        <w:rPr>
          <w:rFonts w:hint="eastAsia"/>
          <w:color w:val="auto"/>
        </w:rPr>
        <w:t>TSP叠加浓度分布图—日均 单位：mg/m</w:t>
      </w:r>
      <w:r>
        <w:rPr>
          <w:rFonts w:hint="eastAsia"/>
          <w:color w:val="auto"/>
          <w:vertAlign w:val="superscript"/>
        </w:rPr>
        <w:t>3</w:t>
      </w:r>
    </w:p>
    <w:p w14:paraId="5244183D">
      <w:pPr>
        <w:ind w:firstLine="480"/>
      </w:pPr>
      <w:r>
        <w:t>④</w:t>
      </w:r>
      <w:r>
        <w:rPr>
          <w:rFonts w:hint="eastAsia"/>
        </w:rPr>
        <w:t>挥发性有机物</w:t>
      </w:r>
      <w:r>
        <w:t>叠加结果如下：</w:t>
      </w:r>
    </w:p>
    <w:p w14:paraId="3CEF311F">
      <w:pPr>
        <w:ind w:firstLine="480"/>
      </w:pPr>
      <w:r>
        <w:t>正常排放情况下，项目</w:t>
      </w:r>
      <w:r>
        <w:rPr>
          <w:rFonts w:hint="eastAsia"/>
        </w:rPr>
        <w:t>挥发性有机物</w:t>
      </w:r>
      <w:r>
        <w:t>日均浓度的叠加预测值和年均浓度预测值对各敏感点的影响满足《环境影响评价技术导则 大气环境》（HJ2.2-2018）附录D取8h浓度值2倍中对应的限值要求。区域最大落地浓度中，小时叠加浓度贡献值最大值为</w:t>
      </w:r>
      <w:r>
        <w:rPr>
          <w:rFonts w:hint="eastAsia"/>
        </w:rPr>
        <w:t>0.8745</w:t>
      </w:r>
      <w:r>
        <w:t>mg/m³、最大占标率为</w:t>
      </w:r>
      <w:r>
        <w:rPr>
          <w:rFonts w:hint="eastAsia"/>
        </w:rPr>
        <w:t>72.88</w:t>
      </w:r>
      <w:r>
        <w:t>%。</w:t>
      </w:r>
    </w:p>
    <w:p w14:paraId="657999D3">
      <w:pPr>
        <w:pStyle w:val="51"/>
        <w:numPr>
          <w:ilvl w:val="5"/>
          <w:numId w:val="0"/>
        </w:numPr>
        <w:tabs>
          <w:tab w:val="left" w:pos="4395"/>
        </w:tabs>
        <w:spacing w:before="156"/>
        <w:ind w:left="4700" w:leftChars="0" w:hanging="3260" w:firstLineChars="0"/>
      </w:pPr>
      <w:r>
        <w:rPr>
          <w:rFonts w:hint="default" w:ascii="Times New Roman" w:hAnsi="Times New Roman" w:eastAsia="宋体" w:cs="Times New Roman"/>
          <w:b/>
          <w:bCs/>
          <w:color w:val="auto"/>
          <w:kern w:val="2"/>
          <w:sz w:val="21"/>
          <w:szCs w:val="21"/>
          <w:lang w:val="en-US" w:eastAsia="zh-CN" w:bidi="ar-SA"/>
        </w:rPr>
        <w:t xml:space="preserve">表6.2-23 </w:t>
      </w:r>
      <w:r>
        <w:rPr>
          <w:rFonts w:hint="default" w:ascii="Times New Roman" w:hAnsi="Times New Roman" w:cs="Times New Roman"/>
        </w:rPr>
        <w:t>挥发性有机物叠加值预测结</w:t>
      </w:r>
      <w:r>
        <w:rPr>
          <w:rFonts w:hint="eastAsia"/>
        </w:rPr>
        <w:t>果   单位：mg/m</w:t>
      </w:r>
      <w:r>
        <w:rPr>
          <w:rFonts w:hint="eastAsia"/>
          <w:vertAlign w:val="superscript"/>
        </w:rPr>
        <w:t>3</w:t>
      </w:r>
    </w:p>
    <w:tbl>
      <w:tblPr>
        <w:tblStyle w:val="66"/>
        <w:tblW w:w="509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Layout w:type="fixed"/>
        <w:tblCellMar>
          <w:top w:w="0" w:type="dxa"/>
          <w:left w:w="0" w:type="dxa"/>
          <w:bottom w:w="0" w:type="dxa"/>
          <w:right w:w="0" w:type="dxa"/>
        </w:tblCellMar>
      </w:tblPr>
      <w:tblGrid>
        <w:gridCol w:w="378"/>
        <w:gridCol w:w="1145"/>
        <w:gridCol w:w="737"/>
        <w:gridCol w:w="647"/>
        <w:gridCol w:w="914"/>
        <w:gridCol w:w="1069"/>
        <w:gridCol w:w="1182"/>
        <w:gridCol w:w="914"/>
        <w:gridCol w:w="784"/>
        <w:gridCol w:w="716"/>
      </w:tblGrid>
      <w:tr w14:paraId="5506EA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90" w:hRule="atLeast"/>
          <w:jc w:val="center"/>
        </w:trPr>
        <w:tc>
          <w:tcPr>
            <w:tcW w:w="378" w:type="dxa"/>
            <w:tcBorders>
              <w:tl2br w:val="nil"/>
              <w:tr2bl w:val="nil"/>
            </w:tcBorders>
            <w:shd w:val="clear" w:color="auto" w:fill="auto"/>
            <w:textDirection w:val="tbRlV"/>
            <w:vAlign w:val="center"/>
          </w:tcPr>
          <w:p w14:paraId="46EDBE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序 号</w:t>
            </w:r>
            <w:r>
              <w:rPr>
                <w:sz w:val="21"/>
                <w:szCs w:val="21"/>
                <w:u w:val="none"/>
                <w:lang w:eastAsia="en-US"/>
              </w:rPr>
              <w:drawing>
                <wp:inline distT="0" distB="0" distL="0" distR="0">
                  <wp:extent cx="137160" cy="0"/>
                  <wp:effectExtent l="0" t="0" r="0" b="0"/>
                  <wp:docPr id="189" name="IM 148"/>
                  <wp:cNvGraphicFramePr/>
                  <a:graphic xmlns:a="http://schemas.openxmlformats.org/drawingml/2006/main">
                    <a:graphicData uri="http://schemas.openxmlformats.org/drawingml/2006/picture">
                      <pic:pic xmlns:pic="http://schemas.openxmlformats.org/drawingml/2006/picture">
                        <pic:nvPicPr>
                          <pic:cNvPr id="189" name="IM 148"/>
                          <pic:cNvPicPr/>
                        </pic:nvPicPr>
                        <pic:blipFill>
                          <a:blip r:embed="rId51"/>
                          <a:stretch>
                            <a:fillRect/>
                          </a:stretch>
                        </pic:blipFill>
                        <pic:spPr>
                          <a:xfrm>
                            <a:off x="0" y="0"/>
                            <a:ext cx="137160" cy="0"/>
                          </a:xfrm>
                          <a:prstGeom prst="rect">
                            <a:avLst/>
                          </a:prstGeom>
                        </pic:spPr>
                      </pic:pic>
                    </a:graphicData>
                  </a:graphic>
                </wp:inline>
              </w:drawing>
            </w:r>
          </w:p>
        </w:tc>
        <w:tc>
          <w:tcPr>
            <w:tcW w:w="1145" w:type="dxa"/>
            <w:tcBorders>
              <w:tl2br w:val="nil"/>
              <w:tr2bl w:val="nil"/>
            </w:tcBorders>
            <w:shd w:val="clear" w:color="auto" w:fill="auto"/>
            <w:vAlign w:val="center"/>
          </w:tcPr>
          <w:p w14:paraId="29E289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离散点</w:t>
            </w:r>
          </w:p>
        </w:tc>
        <w:tc>
          <w:tcPr>
            <w:tcW w:w="737" w:type="dxa"/>
            <w:tcBorders>
              <w:tl2br w:val="nil"/>
              <w:tr2bl w:val="nil"/>
            </w:tcBorders>
            <w:shd w:val="clear" w:color="auto" w:fill="auto"/>
            <w:vAlign w:val="center"/>
          </w:tcPr>
          <w:p w14:paraId="371F04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点坐标 （X）</w:t>
            </w:r>
          </w:p>
        </w:tc>
        <w:tc>
          <w:tcPr>
            <w:tcW w:w="647" w:type="dxa"/>
            <w:tcBorders>
              <w:tl2br w:val="nil"/>
              <w:tr2bl w:val="nil"/>
            </w:tcBorders>
            <w:shd w:val="clear" w:color="auto" w:fill="auto"/>
            <w:vAlign w:val="center"/>
          </w:tcPr>
          <w:p w14:paraId="21F0A6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点坐标 （Y）</w:t>
            </w:r>
          </w:p>
        </w:tc>
        <w:tc>
          <w:tcPr>
            <w:tcW w:w="914" w:type="dxa"/>
            <w:tcBorders>
              <w:tl2br w:val="nil"/>
              <w:tr2bl w:val="nil"/>
            </w:tcBorders>
            <w:shd w:val="clear" w:color="auto" w:fill="auto"/>
            <w:vAlign w:val="center"/>
          </w:tcPr>
          <w:p w14:paraId="2973DAC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浓度类型</w:t>
            </w:r>
          </w:p>
        </w:tc>
        <w:tc>
          <w:tcPr>
            <w:tcW w:w="1069" w:type="dxa"/>
            <w:tcBorders>
              <w:tl2br w:val="nil"/>
              <w:tr2bl w:val="nil"/>
            </w:tcBorders>
            <w:shd w:val="clear" w:color="auto" w:fill="auto"/>
            <w:vAlign w:val="center"/>
          </w:tcPr>
          <w:p w14:paraId="5B40D6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出现时间</w:t>
            </w:r>
          </w:p>
        </w:tc>
        <w:tc>
          <w:tcPr>
            <w:tcW w:w="1182" w:type="dxa"/>
            <w:tcBorders>
              <w:tl2br w:val="nil"/>
              <w:tr2bl w:val="nil"/>
            </w:tcBorders>
            <w:shd w:val="clear" w:color="auto" w:fill="auto"/>
            <w:vAlign w:val="center"/>
          </w:tcPr>
          <w:p w14:paraId="66A2683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叠加值</w:t>
            </w:r>
          </w:p>
        </w:tc>
        <w:tc>
          <w:tcPr>
            <w:tcW w:w="914" w:type="dxa"/>
            <w:tcBorders>
              <w:tl2br w:val="nil"/>
              <w:tr2bl w:val="nil"/>
            </w:tcBorders>
            <w:shd w:val="clear" w:color="auto" w:fill="auto"/>
            <w:vAlign w:val="center"/>
          </w:tcPr>
          <w:p w14:paraId="5C280F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评价标准</w:t>
            </w:r>
          </w:p>
        </w:tc>
        <w:tc>
          <w:tcPr>
            <w:tcW w:w="784" w:type="dxa"/>
            <w:tcBorders>
              <w:tl2br w:val="nil"/>
              <w:tr2bl w:val="nil"/>
            </w:tcBorders>
            <w:shd w:val="clear" w:color="auto" w:fill="auto"/>
            <w:vAlign w:val="center"/>
          </w:tcPr>
          <w:p w14:paraId="78DB293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占标</w:t>
            </w:r>
          </w:p>
          <w:p w14:paraId="7B2058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率%</w:t>
            </w:r>
          </w:p>
        </w:tc>
        <w:tc>
          <w:tcPr>
            <w:tcW w:w="716" w:type="dxa"/>
            <w:tcBorders>
              <w:tl2br w:val="nil"/>
              <w:tr2bl w:val="nil"/>
            </w:tcBorders>
            <w:shd w:val="clear" w:color="auto" w:fill="auto"/>
            <w:vAlign w:val="center"/>
          </w:tcPr>
          <w:p w14:paraId="018278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是否达 标</w:t>
            </w:r>
          </w:p>
        </w:tc>
      </w:tr>
      <w:tr w14:paraId="3315C50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3A7AED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w:t>
            </w:r>
          </w:p>
        </w:tc>
        <w:tc>
          <w:tcPr>
            <w:tcW w:w="1145" w:type="dxa"/>
            <w:vMerge w:val="restart"/>
            <w:tcBorders>
              <w:tl2br w:val="nil"/>
              <w:tr2bl w:val="nil"/>
            </w:tcBorders>
            <w:shd w:val="clear" w:color="auto" w:fill="auto"/>
            <w:vAlign w:val="center"/>
          </w:tcPr>
          <w:p w14:paraId="5CF3B5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涓江香水湾小区</w:t>
            </w:r>
          </w:p>
        </w:tc>
        <w:tc>
          <w:tcPr>
            <w:tcW w:w="737" w:type="dxa"/>
            <w:vMerge w:val="restart"/>
            <w:tcBorders>
              <w:tl2br w:val="nil"/>
              <w:tr2bl w:val="nil"/>
            </w:tcBorders>
            <w:shd w:val="clear" w:color="auto" w:fill="auto"/>
            <w:vAlign w:val="center"/>
          </w:tcPr>
          <w:p w14:paraId="60BE33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755</w:t>
            </w:r>
          </w:p>
        </w:tc>
        <w:tc>
          <w:tcPr>
            <w:tcW w:w="647" w:type="dxa"/>
            <w:vMerge w:val="restart"/>
            <w:tcBorders>
              <w:tl2br w:val="nil"/>
              <w:tr2bl w:val="nil"/>
            </w:tcBorders>
            <w:shd w:val="clear" w:color="auto" w:fill="auto"/>
            <w:vAlign w:val="center"/>
          </w:tcPr>
          <w:p w14:paraId="15848FE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281</w:t>
            </w:r>
          </w:p>
        </w:tc>
        <w:tc>
          <w:tcPr>
            <w:tcW w:w="914" w:type="dxa"/>
            <w:tcBorders>
              <w:tl2br w:val="nil"/>
              <w:tr2bl w:val="nil"/>
            </w:tcBorders>
            <w:shd w:val="clear" w:color="auto" w:fill="auto"/>
            <w:vAlign w:val="center"/>
          </w:tcPr>
          <w:p w14:paraId="7B52C97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6E141B2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123009</w:t>
            </w:r>
          </w:p>
        </w:tc>
        <w:tc>
          <w:tcPr>
            <w:tcW w:w="1182" w:type="dxa"/>
            <w:tcBorders>
              <w:tl2br w:val="nil"/>
              <w:tr2bl w:val="nil"/>
            </w:tcBorders>
            <w:shd w:val="clear" w:color="auto" w:fill="auto"/>
            <w:vAlign w:val="center"/>
          </w:tcPr>
          <w:p w14:paraId="25FA4E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0.1717</w:t>
            </w:r>
          </w:p>
        </w:tc>
        <w:tc>
          <w:tcPr>
            <w:tcW w:w="914" w:type="dxa"/>
            <w:tcBorders>
              <w:tl2br w:val="nil"/>
              <w:tr2bl w:val="nil"/>
            </w:tcBorders>
            <w:shd w:val="clear" w:color="auto" w:fill="auto"/>
            <w:vAlign w:val="center"/>
          </w:tcPr>
          <w:p w14:paraId="5EBF18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3755C49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14.31</w:t>
            </w:r>
          </w:p>
        </w:tc>
        <w:tc>
          <w:tcPr>
            <w:tcW w:w="716" w:type="dxa"/>
            <w:tcBorders>
              <w:tl2br w:val="nil"/>
              <w:tr2bl w:val="nil"/>
            </w:tcBorders>
            <w:shd w:val="clear" w:color="auto" w:fill="auto"/>
            <w:vAlign w:val="center"/>
          </w:tcPr>
          <w:p w14:paraId="2A4B20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4F546F1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E29FA8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C7B13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D5C5D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BE0C21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3E58C1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55613C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0611</w:t>
            </w:r>
          </w:p>
        </w:tc>
        <w:tc>
          <w:tcPr>
            <w:tcW w:w="1182" w:type="dxa"/>
            <w:tcBorders>
              <w:tl2br w:val="nil"/>
              <w:tr2bl w:val="nil"/>
            </w:tcBorders>
            <w:shd w:val="clear" w:color="auto" w:fill="auto"/>
            <w:vAlign w:val="center"/>
          </w:tcPr>
          <w:p w14:paraId="6A501A5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0.0260</w:t>
            </w:r>
          </w:p>
        </w:tc>
        <w:tc>
          <w:tcPr>
            <w:tcW w:w="914" w:type="dxa"/>
            <w:tcBorders>
              <w:tl2br w:val="nil"/>
              <w:tr2bl w:val="nil"/>
            </w:tcBorders>
            <w:shd w:val="clear" w:color="auto" w:fill="auto"/>
            <w:vAlign w:val="center"/>
          </w:tcPr>
          <w:p w14:paraId="700C69E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6948FC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B300C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7F59705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E21E7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DB8986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88364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FCEAA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4DB9F0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7530671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471A92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0.0087</w:t>
            </w:r>
          </w:p>
        </w:tc>
        <w:tc>
          <w:tcPr>
            <w:tcW w:w="914" w:type="dxa"/>
            <w:tcBorders>
              <w:tl2br w:val="nil"/>
              <w:tr2bl w:val="nil"/>
            </w:tcBorders>
            <w:shd w:val="clear" w:color="auto" w:fill="auto"/>
            <w:vAlign w:val="center"/>
          </w:tcPr>
          <w:p w14:paraId="741722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2F50BA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4FC353C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0B48D3F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8CD87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2</w:t>
            </w:r>
          </w:p>
        </w:tc>
        <w:tc>
          <w:tcPr>
            <w:tcW w:w="1145" w:type="dxa"/>
            <w:vMerge w:val="restart"/>
            <w:tcBorders>
              <w:tl2br w:val="nil"/>
              <w:tr2bl w:val="nil"/>
            </w:tcBorders>
            <w:shd w:val="clear" w:color="auto" w:fill="auto"/>
            <w:vAlign w:val="center"/>
          </w:tcPr>
          <w:p w14:paraId="05955B2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松香苑小区</w:t>
            </w:r>
          </w:p>
        </w:tc>
        <w:tc>
          <w:tcPr>
            <w:tcW w:w="737" w:type="dxa"/>
            <w:vMerge w:val="restart"/>
            <w:tcBorders>
              <w:tl2br w:val="nil"/>
              <w:tr2bl w:val="nil"/>
            </w:tcBorders>
            <w:shd w:val="clear" w:color="auto" w:fill="auto"/>
            <w:vAlign w:val="center"/>
          </w:tcPr>
          <w:p w14:paraId="56DD5E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1080</w:t>
            </w:r>
          </w:p>
        </w:tc>
        <w:tc>
          <w:tcPr>
            <w:tcW w:w="647" w:type="dxa"/>
            <w:vMerge w:val="restart"/>
            <w:tcBorders>
              <w:tl2br w:val="nil"/>
              <w:tr2bl w:val="nil"/>
            </w:tcBorders>
            <w:shd w:val="clear" w:color="auto" w:fill="auto"/>
            <w:vAlign w:val="center"/>
          </w:tcPr>
          <w:p w14:paraId="74A583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762</w:t>
            </w:r>
          </w:p>
        </w:tc>
        <w:tc>
          <w:tcPr>
            <w:tcW w:w="914" w:type="dxa"/>
            <w:tcBorders>
              <w:tl2br w:val="nil"/>
              <w:tr2bl w:val="nil"/>
            </w:tcBorders>
            <w:shd w:val="clear" w:color="auto" w:fill="auto"/>
            <w:vAlign w:val="center"/>
          </w:tcPr>
          <w:p w14:paraId="1C8A616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68DA95B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101106</w:t>
            </w:r>
          </w:p>
        </w:tc>
        <w:tc>
          <w:tcPr>
            <w:tcW w:w="1182" w:type="dxa"/>
            <w:tcBorders>
              <w:tl2br w:val="nil"/>
              <w:tr2bl w:val="nil"/>
            </w:tcBorders>
            <w:shd w:val="clear" w:color="auto" w:fill="auto"/>
            <w:vAlign w:val="center"/>
          </w:tcPr>
          <w:p w14:paraId="7AC567E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w:t>
            </w:r>
            <w:r>
              <w:rPr>
                <w:rFonts w:hint="eastAsia"/>
                <w:sz w:val="21"/>
                <w:szCs w:val="21"/>
                <w:u w:val="none"/>
                <w:lang w:eastAsia="zh-CN"/>
              </w:rPr>
              <w:t>24</w:t>
            </w:r>
            <w:r>
              <w:rPr>
                <w:sz w:val="21"/>
                <w:szCs w:val="21"/>
                <w:u w:val="none"/>
                <w:lang w:eastAsia="en-US"/>
              </w:rPr>
              <w:t>93</w:t>
            </w:r>
          </w:p>
        </w:tc>
        <w:tc>
          <w:tcPr>
            <w:tcW w:w="914" w:type="dxa"/>
            <w:tcBorders>
              <w:tl2br w:val="nil"/>
              <w:tr2bl w:val="nil"/>
            </w:tcBorders>
            <w:shd w:val="clear" w:color="auto" w:fill="auto"/>
            <w:vAlign w:val="center"/>
          </w:tcPr>
          <w:p w14:paraId="17B20DD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5D98108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19.10</w:t>
            </w:r>
          </w:p>
        </w:tc>
        <w:tc>
          <w:tcPr>
            <w:tcW w:w="716" w:type="dxa"/>
            <w:tcBorders>
              <w:tl2br w:val="nil"/>
              <w:tr2bl w:val="nil"/>
            </w:tcBorders>
            <w:shd w:val="clear" w:color="auto" w:fill="auto"/>
            <w:vAlign w:val="center"/>
          </w:tcPr>
          <w:p w14:paraId="5FDFE5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05C3965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0C6157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CC64E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4E35F3A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CF48A5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BFF24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345F9D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1001</w:t>
            </w:r>
          </w:p>
        </w:tc>
        <w:tc>
          <w:tcPr>
            <w:tcW w:w="1182" w:type="dxa"/>
            <w:tcBorders>
              <w:tl2br w:val="nil"/>
              <w:tr2bl w:val="nil"/>
            </w:tcBorders>
            <w:shd w:val="clear" w:color="auto" w:fill="auto"/>
            <w:vAlign w:val="center"/>
          </w:tcPr>
          <w:p w14:paraId="2A3A1BA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0.0266</w:t>
            </w:r>
          </w:p>
        </w:tc>
        <w:tc>
          <w:tcPr>
            <w:tcW w:w="914" w:type="dxa"/>
            <w:tcBorders>
              <w:tl2br w:val="nil"/>
              <w:tr2bl w:val="nil"/>
            </w:tcBorders>
            <w:shd w:val="clear" w:color="auto" w:fill="auto"/>
            <w:vAlign w:val="center"/>
          </w:tcPr>
          <w:p w14:paraId="2D7A0E7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44B4D2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00102A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0953F8E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2335B8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1858D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34B1C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682131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376553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1F6A96E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63AC232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0.0085</w:t>
            </w:r>
          </w:p>
        </w:tc>
        <w:tc>
          <w:tcPr>
            <w:tcW w:w="914" w:type="dxa"/>
            <w:tcBorders>
              <w:tl2br w:val="nil"/>
              <w:tr2bl w:val="nil"/>
            </w:tcBorders>
            <w:shd w:val="clear" w:color="auto" w:fill="auto"/>
            <w:vAlign w:val="center"/>
          </w:tcPr>
          <w:p w14:paraId="0BCF2F7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0E365B7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706B802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48412E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1215BA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3</w:t>
            </w:r>
          </w:p>
        </w:tc>
        <w:tc>
          <w:tcPr>
            <w:tcW w:w="1145" w:type="dxa"/>
            <w:vMerge w:val="restart"/>
            <w:tcBorders>
              <w:tl2br w:val="nil"/>
              <w:tr2bl w:val="nil"/>
            </w:tcBorders>
            <w:shd w:val="clear" w:color="auto" w:fill="auto"/>
            <w:vAlign w:val="center"/>
          </w:tcPr>
          <w:p w14:paraId="00E474F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吴家巷散户居民</w:t>
            </w:r>
          </w:p>
        </w:tc>
        <w:tc>
          <w:tcPr>
            <w:tcW w:w="737" w:type="dxa"/>
            <w:vMerge w:val="restart"/>
            <w:tcBorders>
              <w:tl2br w:val="nil"/>
              <w:tr2bl w:val="nil"/>
            </w:tcBorders>
            <w:shd w:val="clear" w:color="auto" w:fill="auto"/>
            <w:vAlign w:val="center"/>
          </w:tcPr>
          <w:p w14:paraId="56A638C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831</w:t>
            </w:r>
          </w:p>
        </w:tc>
        <w:tc>
          <w:tcPr>
            <w:tcW w:w="647" w:type="dxa"/>
            <w:vMerge w:val="restart"/>
            <w:tcBorders>
              <w:tl2br w:val="nil"/>
              <w:tr2bl w:val="nil"/>
            </w:tcBorders>
            <w:shd w:val="clear" w:color="auto" w:fill="auto"/>
            <w:vAlign w:val="center"/>
          </w:tcPr>
          <w:p w14:paraId="538F277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199</w:t>
            </w:r>
          </w:p>
        </w:tc>
        <w:tc>
          <w:tcPr>
            <w:tcW w:w="914" w:type="dxa"/>
            <w:tcBorders>
              <w:tl2br w:val="nil"/>
              <w:tr2bl w:val="nil"/>
            </w:tcBorders>
            <w:shd w:val="clear" w:color="auto" w:fill="auto"/>
            <w:vAlign w:val="center"/>
          </w:tcPr>
          <w:p w14:paraId="647524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5EC229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none"/>
                <w:lang w:eastAsia="zh-CN"/>
              </w:rPr>
            </w:pPr>
            <w:r>
              <w:rPr>
                <w:rFonts w:hint="eastAsia"/>
                <w:sz w:val="21"/>
                <w:szCs w:val="21"/>
                <w:u w:val="none"/>
                <w:lang w:eastAsia="zh-CN"/>
              </w:rPr>
              <w:t>24</w:t>
            </w:r>
            <w:r>
              <w:rPr>
                <w:sz w:val="21"/>
                <w:szCs w:val="21"/>
                <w:u w:val="none"/>
                <w:lang w:eastAsia="en-US"/>
              </w:rPr>
              <w:t>0610</w:t>
            </w:r>
            <w:r>
              <w:rPr>
                <w:rFonts w:hint="eastAsia"/>
                <w:sz w:val="21"/>
                <w:szCs w:val="21"/>
                <w:u w:val="none"/>
                <w:lang w:eastAsia="zh-CN"/>
              </w:rPr>
              <w:t>24</w:t>
            </w:r>
          </w:p>
        </w:tc>
        <w:tc>
          <w:tcPr>
            <w:tcW w:w="1182" w:type="dxa"/>
            <w:tcBorders>
              <w:tl2br w:val="nil"/>
              <w:tr2bl w:val="nil"/>
            </w:tcBorders>
            <w:shd w:val="clear" w:color="auto" w:fill="auto"/>
            <w:vAlign w:val="center"/>
          </w:tcPr>
          <w:p w14:paraId="7FDD347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0.2410</w:t>
            </w:r>
          </w:p>
        </w:tc>
        <w:tc>
          <w:tcPr>
            <w:tcW w:w="914" w:type="dxa"/>
            <w:tcBorders>
              <w:tl2br w:val="nil"/>
              <w:tr2bl w:val="nil"/>
            </w:tcBorders>
            <w:shd w:val="clear" w:color="auto" w:fill="auto"/>
            <w:vAlign w:val="center"/>
          </w:tcPr>
          <w:p w14:paraId="29C65ED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6285C1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20.08</w:t>
            </w:r>
          </w:p>
        </w:tc>
        <w:tc>
          <w:tcPr>
            <w:tcW w:w="716" w:type="dxa"/>
            <w:tcBorders>
              <w:tl2br w:val="nil"/>
              <w:tr2bl w:val="nil"/>
            </w:tcBorders>
            <w:shd w:val="clear" w:color="auto" w:fill="auto"/>
            <w:vAlign w:val="center"/>
          </w:tcPr>
          <w:p w14:paraId="1736634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22264F4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7312A2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82C26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15955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F9559F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BC883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53900B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0611</w:t>
            </w:r>
          </w:p>
        </w:tc>
        <w:tc>
          <w:tcPr>
            <w:tcW w:w="1182" w:type="dxa"/>
            <w:tcBorders>
              <w:tl2br w:val="nil"/>
              <w:tr2bl w:val="nil"/>
            </w:tcBorders>
            <w:shd w:val="clear" w:color="auto" w:fill="auto"/>
            <w:vAlign w:val="center"/>
          </w:tcPr>
          <w:p w14:paraId="09536CC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0.0379</w:t>
            </w:r>
          </w:p>
        </w:tc>
        <w:tc>
          <w:tcPr>
            <w:tcW w:w="914" w:type="dxa"/>
            <w:tcBorders>
              <w:tl2br w:val="nil"/>
              <w:tr2bl w:val="nil"/>
            </w:tcBorders>
            <w:shd w:val="clear" w:color="auto" w:fill="auto"/>
            <w:vAlign w:val="center"/>
          </w:tcPr>
          <w:p w14:paraId="120E4BC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187535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BDC348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861319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0FF86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103F4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2EA7FD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758A80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472264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64AF58E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1A5948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0.0088</w:t>
            </w:r>
          </w:p>
        </w:tc>
        <w:tc>
          <w:tcPr>
            <w:tcW w:w="914" w:type="dxa"/>
            <w:tcBorders>
              <w:tl2br w:val="nil"/>
              <w:tr2bl w:val="nil"/>
            </w:tcBorders>
            <w:shd w:val="clear" w:color="auto" w:fill="auto"/>
            <w:vAlign w:val="center"/>
          </w:tcPr>
          <w:p w14:paraId="0D8E000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4A8C359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ED3B1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01BD1B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9E569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4</w:t>
            </w:r>
          </w:p>
        </w:tc>
        <w:tc>
          <w:tcPr>
            <w:tcW w:w="1145" w:type="dxa"/>
            <w:vMerge w:val="restart"/>
            <w:tcBorders>
              <w:tl2br w:val="nil"/>
              <w:tr2bl w:val="nil"/>
            </w:tcBorders>
            <w:shd w:val="clear" w:color="auto" w:fill="auto"/>
            <w:vAlign w:val="center"/>
          </w:tcPr>
          <w:p w14:paraId="1919708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黄莺花苑小区</w:t>
            </w:r>
          </w:p>
        </w:tc>
        <w:tc>
          <w:tcPr>
            <w:tcW w:w="737" w:type="dxa"/>
            <w:vMerge w:val="restart"/>
            <w:tcBorders>
              <w:tl2br w:val="nil"/>
              <w:tr2bl w:val="nil"/>
            </w:tcBorders>
            <w:shd w:val="clear" w:color="auto" w:fill="auto"/>
            <w:vAlign w:val="center"/>
          </w:tcPr>
          <w:p w14:paraId="3697DF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857</w:t>
            </w:r>
          </w:p>
        </w:tc>
        <w:tc>
          <w:tcPr>
            <w:tcW w:w="647" w:type="dxa"/>
            <w:vMerge w:val="restart"/>
            <w:tcBorders>
              <w:tl2br w:val="nil"/>
              <w:tr2bl w:val="nil"/>
            </w:tcBorders>
            <w:shd w:val="clear" w:color="auto" w:fill="auto"/>
            <w:vAlign w:val="center"/>
          </w:tcPr>
          <w:p w14:paraId="451D3AD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-507</w:t>
            </w:r>
          </w:p>
        </w:tc>
        <w:tc>
          <w:tcPr>
            <w:tcW w:w="914" w:type="dxa"/>
            <w:tcBorders>
              <w:tl2br w:val="nil"/>
              <w:tr2bl w:val="nil"/>
            </w:tcBorders>
            <w:shd w:val="clear" w:color="auto" w:fill="auto"/>
            <w:vAlign w:val="center"/>
          </w:tcPr>
          <w:p w14:paraId="497CDE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6B98EB6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031908</w:t>
            </w:r>
          </w:p>
        </w:tc>
        <w:tc>
          <w:tcPr>
            <w:tcW w:w="1182" w:type="dxa"/>
            <w:tcBorders>
              <w:tl2br w:val="nil"/>
              <w:tr2bl w:val="nil"/>
            </w:tcBorders>
            <w:shd w:val="clear" w:color="auto" w:fill="auto"/>
            <w:vAlign w:val="center"/>
          </w:tcPr>
          <w:p w14:paraId="020E363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0.3929</w:t>
            </w:r>
          </w:p>
        </w:tc>
        <w:tc>
          <w:tcPr>
            <w:tcW w:w="914" w:type="dxa"/>
            <w:tcBorders>
              <w:tl2br w:val="nil"/>
              <w:tr2bl w:val="nil"/>
            </w:tcBorders>
            <w:shd w:val="clear" w:color="auto" w:fill="auto"/>
            <w:vAlign w:val="center"/>
          </w:tcPr>
          <w:p w14:paraId="6705A80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4BB877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32.74</w:t>
            </w:r>
          </w:p>
        </w:tc>
        <w:tc>
          <w:tcPr>
            <w:tcW w:w="716" w:type="dxa"/>
            <w:tcBorders>
              <w:tl2br w:val="nil"/>
              <w:tr2bl w:val="nil"/>
            </w:tcBorders>
            <w:shd w:val="clear" w:color="auto" w:fill="auto"/>
            <w:vAlign w:val="center"/>
          </w:tcPr>
          <w:p w14:paraId="284869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23A1F53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FB383A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316CF0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9AD2A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2E9CA5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4A375B4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319131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0319</w:t>
            </w:r>
          </w:p>
        </w:tc>
        <w:tc>
          <w:tcPr>
            <w:tcW w:w="1182" w:type="dxa"/>
            <w:tcBorders>
              <w:tl2br w:val="nil"/>
              <w:tr2bl w:val="nil"/>
            </w:tcBorders>
            <w:shd w:val="clear" w:color="auto" w:fill="auto"/>
            <w:vAlign w:val="center"/>
          </w:tcPr>
          <w:p w14:paraId="334DB7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0.0307</w:t>
            </w:r>
          </w:p>
        </w:tc>
        <w:tc>
          <w:tcPr>
            <w:tcW w:w="914" w:type="dxa"/>
            <w:tcBorders>
              <w:tl2br w:val="nil"/>
              <w:tr2bl w:val="nil"/>
            </w:tcBorders>
            <w:shd w:val="clear" w:color="auto" w:fill="auto"/>
            <w:vAlign w:val="center"/>
          </w:tcPr>
          <w:p w14:paraId="7B0520B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63E9C76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4D986F6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7C967AD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FB154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1FD3D2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132AE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369E63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3AF462E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07DB3A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297186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0.0090</w:t>
            </w:r>
          </w:p>
        </w:tc>
        <w:tc>
          <w:tcPr>
            <w:tcW w:w="914" w:type="dxa"/>
            <w:tcBorders>
              <w:tl2br w:val="nil"/>
              <w:tr2bl w:val="nil"/>
            </w:tcBorders>
            <w:shd w:val="clear" w:color="auto" w:fill="auto"/>
            <w:vAlign w:val="center"/>
          </w:tcPr>
          <w:p w14:paraId="3F0749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7C4D655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1F824E9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404918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47F421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5</w:t>
            </w:r>
          </w:p>
        </w:tc>
        <w:tc>
          <w:tcPr>
            <w:tcW w:w="1145" w:type="dxa"/>
            <w:vMerge w:val="restart"/>
            <w:tcBorders>
              <w:tl2br w:val="nil"/>
              <w:tr2bl w:val="nil"/>
            </w:tcBorders>
            <w:shd w:val="clear" w:color="auto" w:fill="auto"/>
            <w:vAlign w:val="center"/>
          </w:tcPr>
          <w:p w14:paraId="132F724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城南御花园小区</w:t>
            </w:r>
          </w:p>
        </w:tc>
        <w:tc>
          <w:tcPr>
            <w:tcW w:w="737" w:type="dxa"/>
            <w:vMerge w:val="restart"/>
            <w:tcBorders>
              <w:tl2br w:val="nil"/>
              <w:tr2bl w:val="nil"/>
            </w:tcBorders>
            <w:shd w:val="clear" w:color="auto" w:fill="auto"/>
            <w:vAlign w:val="center"/>
          </w:tcPr>
          <w:p w14:paraId="2B53B9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-900</w:t>
            </w:r>
          </w:p>
        </w:tc>
        <w:tc>
          <w:tcPr>
            <w:tcW w:w="647" w:type="dxa"/>
            <w:vMerge w:val="restart"/>
            <w:tcBorders>
              <w:tl2br w:val="nil"/>
              <w:tr2bl w:val="nil"/>
            </w:tcBorders>
            <w:shd w:val="clear" w:color="auto" w:fill="auto"/>
            <w:vAlign w:val="center"/>
          </w:tcPr>
          <w:p w14:paraId="0AD010D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684</w:t>
            </w:r>
          </w:p>
        </w:tc>
        <w:tc>
          <w:tcPr>
            <w:tcW w:w="914" w:type="dxa"/>
            <w:tcBorders>
              <w:tl2br w:val="nil"/>
              <w:tr2bl w:val="nil"/>
            </w:tcBorders>
            <w:shd w:val="clear" w:color="auto" w:fill="auto"/>
            <w:vAlign w:val="center"/>
          </w:tcPr>
          <w:p w14:paraId="42DC2F5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0F288E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none"/>
                <w:lang w:eastAsia="zh-CN"/>
              </w:rPr>
            </w:pPr>
            <w:r>
              <w:rPr>
                <w:rFonts w:hint="eastAsia"/>
                <w:sz w:val="21"/>
                <w:szCs w:val="21"/>
                <w:u w:val="none"/>
                <w:lang w:eastAsia="zh-CN"/>
              </w:rPr>
              <w:t>24</w:t>
            </w:r>
            <w:r>
              <w:rPr>
                <w:sz w:val="21"/>
                <w:szCs w:val="21"/>
                <w:u w:val="none"/>
                <w:lang w:eastAsia="en-US"/>
              </w:rPr>
              <w:t>0703</w:t>
            </w:r>
            <w:r>
              <w:rPr>
                <w:rFonts w:hint="eastAsia"/>
                <w:sz w:val="21"/>
                <w:szCs w:val="21"/>
                <w:u w:val="none"/>
                <w:lang w:eastAsia="zh-CN"/>
              </w:rPr>
              <w:t>24</w:t>
            </w:r>
          </w:p>
        </w:tc>
        <w:tc>
          <w:tcPr>
            <w:tcW w:w="1182" w:type="dxa"/>
            <w:tcBorders>
              <w:tl2br w:val="nil"/>
              <w:tr2bl w:val="nil"/>
            </w:tcBorders>
            <w:shd w:val="clear" w:color="auto" w:fill="auto"/>
            <w:vAlign w:val="center"/>
          </w:tcPr>
          <w:p w14:paraId="348EE15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0.2046</w:t>
            </w:r>
          </w:p>
        </w:tc>
        <w:tc>
          <w:tcPr>
            <w:tcW w:w="914" w:type="dxa"/>
            <w:tcBorders>
              <w:tl2br w:val="nil"/>
              <w:tr2bl w:val="nil"/>
            </w:tcBorders>
            <w:shd w:val="clear" w:color="auto" w:fill="auto"/>
            <w:vAlign w:val="center"/>
          </w:tcPr>
          <w:p w14:paraId="70CC67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09EEC5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17.05</w:t>
            </w:r>
          </w:p>
        </w:tc>
        <w:tc>
          <w:tcPr>
            <w:tcW w:w="716" w:type="dxa"/>
            <w:tcBorders>
              <w:tl2br w:val="nil"/>
              <w:tr2bl w:val="nil"/>
            </w:tcBorders>
            <w:shd w:val="clear" w:color="auto" w:fill="auto"/>
            <w:vAlign w:val="center"/>
          </w:tcPr>
          <w:p w14:paraId="430C45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1867F94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8C610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AF729F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F24A0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1D8229B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199CFE5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1E6F5F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0612</w:t>
            </w:r>
          </w:p>
        </w:tc>
        <w:tc>
          <w:tcPr>
            <w:tcW w:w="1182" w:type="dxa"/>
            <w:tcBorders>
              <w:tl2br w:val="nil"/>
              <w:tr2bl w:val="nil"/>
            </w:tcBorders>
            <w:shd w:val="clear" w:color="auto" w:fill="auto"/>
            <w:vAlign w:val="center"/>
          </w:tcPr>
          <w:p w14:paraId="484B75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0.0324</w:t>
            </w:r>
          </w:p>
        </w:tc>
        <w:tc>
          <w:tcPr>
            <w:tcW w:w="914" w:type="dxa"/>
            <w:tcBorders>
              <w:tl2br w:val="nil"/>
              <w:tr2bl w:val="nil"/>
            </w:tcBorders>
            <w:shd w:val="clear" w:color="auto" w:fill="auto"/>
            <w:vAlign w:val="center"/>
          </w:tcPr>
          <w:p w14:paraId="54C404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B7CFF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004796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E40129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81FAA6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6911A68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9F2294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56AAC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38B75A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328EA7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7006CC6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0.0092</w:t>
            </w:r>
          </w:p>
        </w:tc>
        <w:tc>
          <w:tcPr>
            <w:tcW w:w="914" w:type="dxa"/>
            <w:tcBorders>
              <w:tl2br w:val="nil"/>
              <w:tr2bl w:val="nil"/>
            </w:tcBorders>
            <w:shd w:val="clear" w:color="auto" w:fill="auto"/>
            <w:vAlign w:val="center"/>
          </w:tcPr>
          <w:p w14:paraId="01CA259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A31F0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7753EA7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B30B4A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restart"/>
            <w:tcBorders>
              <w:tl2br w:val="nil"/>
              <w:tr2bl w:val="nil"/>
            </w:tcBorders>
            <w:shd w:val="clear" w:color="auto" w:fill="auto"/>
            <w:vAlign w:val="center"/>
          </w:tcPr>
          <w:p w14:paraId="0BAD95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6</w:t>
            </w:r>
          </w:p>
        </w:tc>
        <w:tc>
          <w:tcPr>
            <w:tcW w:w="1145" w:type="dxa"/>
            <w:vMerge w:val="restart"/>
            <w:tcBorders>
              <w:tl2br w:val="nil"/>
              <w:tr2bl w:val="nil"/>
            </w:tcBorders>
            <w:shd w:val="clear" w:color="auto" w:fill="auto"/>
            <w:vAlign w:val="center"/>
          </w:tcPr>
          <w:p w14:paraId="3789C77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润玉时代城小区</w:t>
            </w:r>
          </w:p>
        </w:tc>
        <w:tc>
          <w:tcPr>
            <w:tcW w:w="737" w:type="dxa"/>
            <w:vMerge w:val="restart"/>
            <w:tcBorders>
              <w:tl2br w:val="nil"/>
              <w:tr2bl w:val="nil"/>
            </w:tcBorders>
            <w:shd w:val="clear" w:color="auto" w:fill="auto"/>
            <w:vAlign w:val="center"/>
          </w:tcPr>
          <w:p w14:paraId="65B73BD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-1306</w:t>
            </w:r>
          </w:p>
        </w:tc>
        <w:tc>
          <w:tcPr>
            <w:tcW w:w="647" w:type="dxa"/>
            <w:vMerge w:val="restart"/>
            <w:tcBorders>
              <w:tl2br w:val="nil"/>
              <w:tr2bl w:val="nil"/>
            </w:tcBorders>
            <w:shd w:val="clear" w:color="auto" w:fill="auto"/>
            <w:vAlign w:val="center"/>
          </w:tcPr>
          <w:p w14:paraId="47693C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w:t>
            </w:r>
            <w:r>
              <w:rPr>
                <w:rFonts w:hint="eastAsia"/>
                <w:sz w:val="21"/>
                <w:szCs w:val="21"/>
                <w:u w:val="none"/>
                <w:lang w:eastAsia="en-US"/>
              </w:rPr>
              <w:t>1</w:t>
            </w:r>
            <w:r>
              <w:rPr>
                <w:sz w:val="21"/>
                <w:szCs w:val="21"/>
                <w:u w:val="none"/>
                <w:lang w:eastAsia="en-US"/>
              </w:rPr>
              <w:t>9</w:t>
            </w:r>
          </w:p>
        </w:tc>
        <w:tc>
          <w:tcPr>
            <w:tcW w:w="914" w:type="dxa"/>
            <w:tcBorders>
              <w:tl2br w:val="nil"/>
              <w:tr2bl w:val="nil"/>
            </w:tcBorders>
            <w:shd w:val="clear" w:color="auto" w:fill="auto"/>
            <w:vAlign w:val="center"/>
          </w:tcPr>
          <w:p w14:paraId="038329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4A7DEAD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070406</w:t>
            </w:r>
          </w:p>
        </w:tc>
        <w:tc>
          <w:tcPr>
            <w:tcW w:w="1182" w:type="dxa"/>
            <w:tcBorders>
              <w:tl2br w:val="nil"/>
              <w:tr2bl w:val="nil"/>
            </w:tcBorders>
            <w:shd w:val="clear" w:color="auto" w:fill="auto"/>
            <w:vAlign w:val="center"/>
          </w:tcPr>
          <w:p w14:paraId="2FAE683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0.2324</w:t>
            </w:r>
          </w:p>
        </w:tc>
        <w:tc>
          <w:tcPr>
            <w:tcW w:w="914" w:type="dxa"/>
            <w:tcBorders>
              <w:tl2br w:val="nil"/>
              <w:tr2bl w:val="nil"/>
            </w:tcBorders>
            <w:shd w:val="clear" w:color="auto" w:fill="auto"/>
            <w:vAlign w:val="center"/>
          </w:tcPr>
          <w:p w14:paraId="298163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3099ADB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19.37</w:t>
            </w:r>
          </w:p>
        </w:tc>
        <w:tc>
          <w:tcPr>
            <w:tcW w:w="716" w:type="dxa"/>
            <w:tcBorders>
              <w:tl2br w:val="nil"/>
              <w:tr2bl w:val="nil"/>
            </w:tcBorders>
            <w:shd w:val="clear" w:color="auto" w:fill="auto"/>
            <w:vAlign w:val="center"/>
          </w:tcPr>
          <w:p w14:paraId="4D31AC6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44F87FC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41659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16CCAFB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42CAF7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3730A3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17B107B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2397610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0704</w:t>
            </w:r>
          </w:p>
        </w:tc>
        <w:tc>
          <w:tcPr>
            <w:tcW w:w="1182" w:type="dxa"/>
            <w:tcBorders>
              <w:tl2br w:val="nil"/>
              <w:tr2bl w:val="nil"/>
            </w:tcBorders>
            <w:shd w:val="clear" w:color="auto" w:fill="auto"/>
            <w:vAlign w:val="center"/>
          </w:tcPr>
          <w:p w14:paraId="195A87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0.0341</w:t>
            </w:r>
          </w:p>
        </w:tc>
        <w:tc>
          <w:tcPr>
            <w:tcW w:w="914" w:type="dxa"/>
            <w:tcBorders>
              <w:tl2br w:val="nil"/>
              <w:tr2bl w:val="nil"/>
            </w:tcBorders>
            <w:shd w:val="clear" w:color="auto" w:fill="auto"/>
            <w:vAlign w:val="center"/>
          </w:tcPr>
          <w:p w14:paraId="5589E0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2722B06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47C71F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4889C14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60A1AD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6644C49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00860A6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18308E1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03666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407FC7A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2DF52AC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0.0086</w:t>
            </w:r>
          </w:p>
        </w:tc>
        <w:tc>
          <w:tcPr>
            <w:tcW w:w="914" w:type="dxa"/>
            <w:tcBorders>
              <w:tl2br w:val="nil"/>
              <w:tr2bl w:val="nil"/>
            </w:tcBorders>
            <w:shd w:val="clear" w:color="auto" w:fill="auto"/>
            <w:vAlign w:val="center"/>
          </w:tcPr>
          <w:p w14:paraId="27FB87D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E3B13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DCD896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0C1763A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4FE7AE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7</w:t>
            </w:r>
          </w:p>
        </w:tc>
        <w:tc>
          <w:tcPr>
            <w:tcW w:w="1145" w:type="dxa"/>
            <w:vMerge w:val="restart"/>
            <w:tcBorders>
              <w:tl2br w:val="nil"/>
              <w:tr2bl w:val="nil"/>
            </w:tcBorders>
            <w:shd w:val="clear" w:color="auto" w:fill="auto"/>
            <w:vAlign w:val="center"/>
          </w:tcPr>
          <w:p w14:paraId="404F59E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山塘学校</w:t>
            </w:r>
          </w:p>
        </w:tc>
        <w:tc>
          <w:tcPr>
            <w:tcW w:w="737" w:type="dxa"/>
            <w:vMerge w:val="restart"/>
            <w:tcBorders>
              <w:tl2br w:val="nil"/>
              <w:tr2bl w:val="nil"/>
            </w:tcBorders>
            <w:shd w:val="clear" w:color="auto" w:fill="auto"/>
            <w:vAlign w:val="center"/>
          </w:tcPr>
          <w:p w14:paraId="3E7582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1230</w:t>
            </w:r>
          </w:p>
        </w:tc>
        <w:tc>
          <w:tcPr>
            <w:tcW w:w="647" w:type="dxa"/>
            <w:vMerge w:val="restart"/>
            <w:tcBorders>
              <w:tl2br w:val="nil"/>
              <w:tr2bl w:val="nil"/>
            </w:tcBorders>
            <w:shd w:val="clear" w:color="auto" w:fill="auto"/>
            <w:vAlign w:val="center"/>
          </w:tcPr>
          <w:p w14:paraId="7B6F55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w:t>
            </w:r>
            <w:r>
              <w:rPr>
                <w:rFonts w:hint="eastAsia"/>
                <w:sz w:val="21"/>
                <w:szCs w:val="21"/>
                <w:u w:val="none"/>
                <w:lang w:eastAsia="en-US"/>
              </w:rPr>
              <w:t>525</w:t>
            </w:r>
          </w:p>
        </w:tc>
        <w:tc>
          <w:tcPr>
            <w:tcW w:w="914" w:type="dxa"/>
            <w:tcBorders>
              <w:tl2br w:val="nil"/>
              <w:tr2bl w:val="nil"/>
            </w:tcBorders>
            <w:shd w:val="clear" w:color="auto" w:fill="auto"/>
            <w:vAlign w:val="center"/>
          </w:tcPr>
          <w:p w14:paraId="055D8D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2AD6FFB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04</w:t>
            </w:r>
            <w:r>
              <w:rPr>
                <w:rFonts w:hint="eastAsia"/>
                <w:sz w:val="21"/>
                <w:szCs w:val="21"/>
                <w:u w:val="none"/>
                <w:lang w:eastAsia="zh-CN"/>
              </w:rPr>
              <w:t>24</w:t>
            </w:r>
            <w:r>
              <w:rPr>
                <w:sz w:val="21"/>
                <w:szCs w:val="21"/>
                <w:u w:val="none"/>
                <w:lang w:eastAsia="en-US"/>
              </w:rPr>
              <w:t>23</w:t>
            </w:r>
          </w:p>
        </w:tc>
        <w:tc>
          <w:tcPr>
            <w:tcW w:w="1182" w:type="dxa"/>
            <w:tcBorders>
              <w:tl2br w:val="nil"/>
              <w:tr2bl w:val="nil"/>
            </w:tcBorders>
            <w:shd w:val="clear" w:color="auto" w:fill="auto"/>
            <w:vAlign w:val="center"/>
          </w:tcPr>
          <w:p w14:paraId="5DF89C0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0.1927</w:t>
            </w:r>
          </w:p>
        </w:tc>
        <w:tc>
          <w:tcPr>
            <w:tcW w:w="914" w:type="dxa"/>
            <w:tcBorders>
              <w:tl2br w:val="nil"/>
              <w:tr2bl w:val="nil"/>
            </w:tcBorders>
            <w:shd w:val="clear" w:color="auto" w:fill="auto"/>
            <w:vAlign w:val="center"/>
          </w:tcPr>
          <w:p w14:paraId="165DEE8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21317C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16.06</w:t>
            </w:r>
          </w:p>
        </w:tc>
        <w:tc>
          <w:tcPr>
            <w:tcW w:w="716" w:type="dxa"/>
            <w:tcBorders>
              <w:tl2br w:val="nil"/>
              <w:tr2bl w:val="nil"/>
            </w:tcBorders>
            <w:shd w:val="clear" w:color="auto" w:fill="auto"/>
            <w:vAlign w:val="center"/>
          </w:tcPr>
          <w:p w14:paraId="53849CA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5DF25C2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CB9276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842D29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507AEE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7239C6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5BF861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69AD78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0612</w:t>
            </w:r>
          </w:p>
        </w:tc>
        <w:tc>
          <w:tcPr>
            <w:tcW w:w="1182" w:type="dxa"/>
            <w:tcBorders>
              <w:tl2br w:val="nil"/>
              <w:tr2bl w:val="nil"/>
            </w:tcBorders>
            <w:shd w:val="clear" w:color="auto" w:fill="auto"/>
            <w:vAlign w:val="center"/>
          </w:tcPr>
          <w:p w14:paraId="3CE7AAA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0.0315</w:t>
            </w:r>
          </w:p>
        </w:tc>
        <w:tc>
          <w:tcPr>
            <w:tcW w:w="914" w:type="dxa"/>
            <w:tcBorders>
              <w:tl2br w:val="nil"/>
              <w:tr2bl w:val="nil"/>
            </w:tcBorders>
            <w:shd w:val="clear" w:color="auto" w:fill="auto"/>
            <w:vAlign w:val="center"/>
          </w:tcPr>
          <w:p w14:paraId="0404381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E231E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2433D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7645921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4B71F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39179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B0A92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3CAD6F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18B6A0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62F2F16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0F6CBC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0.0091</w:t>
            </w:r>
          </w:p>
        </w:tc>
        <w:tc>
          <w:tcPr>
            <w:tcW w:w="914" w:type="dxa"/>
            <w:tcBorders>
              <w:tl2br w:val="nil"/>
              <w:tr2bl w:val="nil"/>
            </w:tcBorders>
            <w:shd w:val="clear" w:color="auto" w:fill="auto"/>
            <w:vAlign w:val="center"/>
          </w:tcPr>
          <w:p w14:paraId="69826E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16FEEF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9ACA0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F30EEA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552C8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8</w:t>
            </w:r>
          </w:p>
        </w:tc>
        <w:tc>
          <w:tcPr>
            <w:tcW w:w="1145" w:type="dxa"/>
            <w:vMerge w:val="restart"/>
            <w:tcBorders>
              <w:tl2br w:val="nil"/>
              <w:tr2bl w:val="nil"/>
            </w:tcBorders>
            <w:shd w:val="clear" w:color="auto" w:fill="auto"/>
            <w:vAlign w:val="center"/>
          </w:tcPr>
          <w:p w14:paraId="32661B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和园小区</w:t>
            </w:r>
          </w:p>
        </w:tc>
        <w:tc>
          <w:tcPr>
            <w:tcW w:w="737" w:type="dxa"/>
            <w:vMerge w:val="restart"/>
            <w:tcBorders>
              <w:tl2br w:val="nil"/>
              <w:tr2bl w:val="nil"/>
            </w:tcBorders>
            <w:shd w:val="clear" w:color="auto" w:fill="auto"/>
            <w:vAlign w:val="center"/>
          </w:tcPr>
          <w:p w14:paraId="30EA07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-1099</w:t>
            </w:r>
          </w:p>
        </w:tc>
        <w:tc>
          <w:tcPr>
            <w:tcW w:w="647" w:type="dxa"/>
            <w:vMerge w:val="restart"/>
            <w:tcBorders>
              <w:tl2br w:val="nil"/>
              <w:tr2bl w:val="nil"/>
            </w:tcBorders>
            <w:shd w:val="clear" w:color="auto" w:fill="auto"/>
            <w:vAlign w:val="center"/>
          </w:tcPr>
          <w:p w14:paraId="618BED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131</w:t>
            </w:r>
          </w:p>
        </w:tc>
        <w:tc>
          <w:tcPr>
            <w:tcW w:w="914" w:type="dxa"/>
            <w:tcBorders>
              <w:tl2br w:val="nil"/>
              <w:tr2bl w:val="nil"/>
            </w:tcBorders>
            <w:shd w:val="clear" w:color="auto" w:fill="auto"/>
            <w:vAlign w:val="center"/>
          </w:tcPr>
          <w:p w14:paraId="4ADB318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1370EC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061124</w:t>
            </w:r>
          </w:p>
        </w:tc>
        <w:tc>
          <w:tcPr>
            <w:tcW w:w="1182" w:type="dxa"/>
            <w:tcBorders>
              <w:tl2br w:val="nil"/>
              <w:tr2bl w:val="nil"/>
            </w:tcBorders>
            <w:shd w:val="clear" w:color="auto" w:fill="auto"/>
            <w:vAlign w:val="center"/>
          </w:tcPr>
          <w:p w14:paraId="22CEBB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0.2891</w:t>
            </w:r>
          </w:p>
        </w:tc>
        <w:tc>
          <w:tcPr>
            <w:tcW w:w="914" w:type="dxa"/>
            <w:tcBorders>
              <w:tl2br w:val="nil"/>
              <w:tr2bl w:val="nil"/>
            </w:tcBorders>
            <w:shd w:val="clear" w:color="auto" w:fill="auto"/>
            <w:vAlign w:val="center"/>
          </w:tcPr>
          <w:p w14:paraId="4C103F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47187DD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24.09</w:t>
            </w:r>
          </w:p>
        </w:tc>
        <w:tc>
          <w:tcPr>
            <w:tcW w:w="716" w:type="dxa"/>
            <w:tcBorders>
              <w:tl2br w:val="nil"/>
              <w:tr2bl w:val="nil"/>
            </w:tcBorders>
            <w:shd w:val="clear" w:color="auto" w:fill="auto"/>
            <w:vAlign w:val="center"/>
          </w:tcPr>
          <w:p w14:paraId="5A3AB6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1B3471F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BDC23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5A002D7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24DAEB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754B27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0911CD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50FBC3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0611</w:t>
            </w:r>
          </w:p>
        </w:tc>
        <w:tc>
          <w:tcPr>
            <w:tcW w:w="1182" w:type="dxa"/>
            <w:tcBorders>
              <w:tl2br w:val="nil"/>
              <w:tr2bl w:val="nil"/>
            </w:tcBorders>
            <w:shd w:val="clear" w:color="auto" w:fill="auto"/>
            <w:vAlign w:val="center"/>
          </w:tcPr>
          <w:p w14:paraId="02022A3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0.0428</w:t>
            </w:r>
          </w:p>
        </w:tc>
        <w:tc>
          <w:tcPr>
            <w:tcW w:w="914" w:type="dxa"/>
            <w:tcBorders>
              <w:tl2br w:val="nil"/>
              <w:tr2bl w:val="nil"/>
            </w:tcBorders>
            <w:shd w:val="clear" w:color="auto" w:fill="auto"/>
            <w:vAlign w:val="center"/>
          </w:tcPr>
          <w:p w14:paraId="368FF6A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672DBD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4A6FEC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19689E4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28F03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4B729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321BDFD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3561894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619654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203EBC6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6FF797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0.0085</w:t>
            </w:r>
          </w:p>
        </w:tc>
        <w:tc>
          <w:tcPr>
            <w:tcW w:w="914" w:type="dxa"/>
            <w:tcBorders>
              <w:tl2br w:val="nil"/>
              <w:tr2bl w:val="nil"/>
            </w:tcBorders>
            <w:shd w:val="clear" w:color="auto" w:fill="auto"/>
            <w:vAlign w:val="center"/>
          </w:tcPr>
          <w:p w14:paraId="11FEEAC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0671FBC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2952007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0599521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2A8655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9</w:t>
            </w:r>
          </w:p>
        </w:tc>
        <w:tc>
          <w:tcPr>
            <w:tcW w:w="1145" w:type="dxa"/>
            <w:vMerge w:val="restart"/>
            <w:tcBorders>
              <w:tl2br w:val="nil"/>
              <w:tr2bl w:val="nil"/>
            </w:tcBorders>
            <w:shd w:val="clear" w:color="auto" w:fill="auto"/>
            <w:vAlign w:val="center"/>
          </w:tcPr>
          <w:p w14:paraId="4074A5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子敬学校</w:t>
            </w:r>
          </w:p>
        </w:tc>
        <w:tc>
          <w:tcPr>
            <w:tcW w:w="737" w:type="dxa"/>
            <w:vMerge w:val="restart"/>
            <w:tcBorders>
              <w:tl2br w:val="nil"/>
              <w:tr2bl w:val="nil"/>
            </w:tcBorders>
            <w:shd w:val="clear" w:color="auto" w:fill="auto"/>
            <w:vAlign w:val="center"/>
          </w:tcPr>
          <w:p w14:paraId="29BE73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-2089</w:t>
            </w:r>
          </w:p>
        </w:tc>
        <w:tc>
          <w:tcPr>
            <w:tcW w:w="647" w:type="dxa"/>
            <w:vMerge w:val="restart"/>
            <w:tcBorders>
              <w:tl2br w:val="nil"/>
              <w:tr2bl w:val="nil"/>
            </w:tcBorders>
            <w:shd w:val="clear" w:color="auto" w:fill="auto"/>
            <w:vAlign w:val="center"/>
          </w:tcPr>
          <w:p w14:paraId="22E2F34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1019</w:t>
            </w:r>
          </w:p>
        </w:tc>
        <w:tc>
          <w:tcPr>
            <w:tcW w:w="914" w:type="dxa"/>
            <w:tcBorders>
              <w:tl2br w:val="nil"/>
              <w:tr2bl w:val="nil"/>
            </w:tcBorders>
            <w:shd w:val="clear" w:color="auto" w:fill="auto"/>
            <w:vAlign w:val="center"/>
          </w:tcPr>
          <w:p w14:paraId="1AA947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2103AD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123009</w:t>
            </w:r>
          </w:p>
        </w:tc>
        <w:tc>
          <w:tcPr>
            <w:tcW w:w="1182" w:type="dxa"/>
            <w:tcBorders>
              <w:tl2br w:val="nil"/>
              <w:tr2bl w:val="nil"/>
            </w:tcBorders>
            <w:shd w:val="clear" w:color="auto" w:fill="auto"/>
            <w:vAlign w:val="center"/>
          </w:tcPr>
          <w:p w14:paraId="4AEAFA2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0.0998</w:t>
            </w:r>
          </w:p>
        </w:tc>
        <w:tc>
          <w:tcPr>
            <w:tcW w:w="914" w:type="dxa"/>
            <w:tcBorders>
              <w:tl2br w:val="nil"/>
              <w:tr2bl w:val="nil"/>
            </w:tcBorders>
            <w:shd w:val="clear" w:color="auto" w:fill="auto"/>
            <w:vAlign w:val="center"/>
          </w:tcPr>
          <w:p w14:paraId="5A81B20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2DBC9B9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8.32</w:t>
            </w:r>
          </w:p>
        </w:tc>
        <w:tc>
          <w:tcPr>
            <w:tcW w:w="716" w:type="dxa"/>
            <w:tcBorders>
              <w:tl2br w:val="nil"/>
              <w:tr2bl w:val="nil"/>
            </w:tcBorders>
            <w:shd w:val="clear" w:color="auto" w:fill="auto"/>
            <w:vAlign w:val="center"/>
          </w:tcPr>
          <w:p w14:paraId="5DEC41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5CF9224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40CCDA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51E544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F0333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415508E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4058D5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61D0CC0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0602</w:t>
            </w:r>
          </w:p>
        </w:tc>
        <w:tc>
          <w:tcPr>
            <w:tcW w:w="1182" w:type="dxa"/>
            <w:tcBorders>
              <w:tl2br w:val="nil"/>
              <w:tr2bl w:val="nil"/>
            </w:tcBorders>
            <w:shd w:val="clear" w:color="auto" w:fill="auto"/>
            <w:vAlign w:val="center"/>
          </w:tcPr>
          <w:p w14:paraId="561193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0.0184</w:t>
            </w:r>
          </w:p>
        </w:tc>
        <w:tc>
          <w:tcPr>
            <w:tcW w:w="914" w:type="dxa"/>
            <w:tcBorders>
              <w:tl2br w:val="nil"/>
              <w:tr2bl w:val="nil"/>
            </w:tcBorders>
            <w:shd w:val="clear" w:color="auto" w:fill="auto"/>
            <w:vAlign w:val="center"/>
          </w:tcPr>
          <w:p w14:paraId="6783552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54DF4D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1EB10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9CCC95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34F5EB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7F91CF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93AEA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1A7DF9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016E2CF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2D5FCD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038D8C9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0.0080</w:t>
            </w:r>
          </w:p>
        </w:tc>
        <w:tc>
          <w:tcPr>
            <w:tcW w:w="914" w:type="dxa"/>
            <w:tcBorders>
              <w:tl2br w:val="nil"/>
              <w:tr2bl w:val="nil"/>
            </w:tcBorders>
            <w:shd w:val="clear" w:color="auto" w:fill="auto"/>
            <w:vAlign w:val="center"/>
          </w:tcPr>
          <w:p w14:paraId="57CA717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AE31F5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D6A2D5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1E4A88A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17F263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10</w:t>
            </w:r>
          </w:p>
        </w:tc>
        <w:tc>
          <w:tcPr>
            <w:tcW w:w="1145" w:type="dxa"/>
            <w:vMerge w:val="restart"/>
            <w:tcBorders>
              <w:tl2br w:val="nil"/>
              <w:tr2bl w:val="nil"/>
            </w:tcBorders>
            <w:shd w:val="clear" w:color="auto" w:fill="auto"/>
            <w:vAlign w:val="center"/>
          </w:tcPr>
          <w:p w14:paraId="478CA8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芙蓉廉租小区</w:t>
            </w:r>
          </w:p>
        </w:tc>
        <w:tc>
          <w:tcPr>
            <w:tcW w:w="737" w:type="dxa"/>
            <w:vMerge w:val="restart"/>
            <w:tcBorders>
              <w:tl2br w:val="nil"/>
              <w:tr2bl w:val="nil"/>
            </w:tcBorders>
            <w:shd w:val="clear" w:color="auto" w:fill="auto"/>
            <w:vAlign w:val="center"/>
          </w:tcPr>
          <w:p w14:paraId="296BE0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1013</w:t>
            </w:r>
          </w:p>
        </w:tc>
        <w:tc>
          <w:tcPr>
            <w:tcW w:w="647" w:type="dxa"/>
            <w:vMerge w:val="restart"/>
            <w:tcBorders>
              <w:tl2br w:val="nil"/>
              <w:tr2bl w:val="nil"/>
            </w:tcBorders>
            <w:shd w:val="clear" w:color="auto" w:fill="auto"/>
            <w:vAlign w:val="center"/>
          </w:tcPr>
          <w:p w14:paraId="54CD2F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91</w:t>
            </w:r>
          </w:p>
        </w:tc>
        <w:tc>
          <w:tcPr>
            <w:tcW w:w="914" w:type="dxa"/>
            <w:tcBorders>
              <w:tl2br w:val="nil"/>
              <w:tr2bl w:val="nil"/>
            </w:tcBorders>
            <w:shd w:val="clear" w:color="auto" w:fill="auto"/>
            <w:vAlign w:val="center"/>
          </w:tcPr>
          <w:p w14:paraId="0B7398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19E296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123117</w:t>
            </w:r>
          </w:p>
        </w:tc>
        <w:tc>
          <w:tcPr>
            <w:tcW w:w="1182" w:type="dxa"/>
            <w:tcBorders>
              <w:tl2br w:val="nil"/>
              <w:tr2bl w:val="nil"/>
            </w:tcBorders>
            <w:shd w:val="clear" w:color="auto" w:fill="auto"/>
            <w:vAlign w:val="center"/>
          </w:tcPr>
          <w:p w14:paraId="38EB8E2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0.3630</w:t>
            </w:r>
          </w:p>
        </w:tc>
        <w:tc>
          <w:tcPr>
            <w:tcW w:w="914" w:type="dxa"/>
            <w:tcBorders>
              <w:tl2br w:val="nil"/>
              <w:tr2bl w:val="nil"/>
            </w:tcBorders>
            <w:shd w:val="clear" w:color="auto" w:fill="auto"/>
            <w:vAlign w:val="center"/>
          </w:tcPr>
          <w:p w14:paraId="5045F2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154335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30.25</w:t>
            </w:r>
          </w:p>
        </w:tc>
        <w:tc>
          <w:tcPr>
            <w:tcW w:w="716" w:type="dxa"/>
            <w:tcBorders>
              <w:tl2br w:val="nil"/>
              <w:tr2bl w:val="nil"/>
            </w:tcBorders>
            <w:shd w:val="clear" w:color="auto" w:fill="auto"/>
            <w:vAlign w:val="center"/>
          </w:tcPr>
          <w:p w14:paraId="671278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2B9774B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1BD10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59FCE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002AF0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E50E40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38EE7F6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1FD071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none"/>
                <w:lang w:eastAsia="zh-CN"/>
              </w:rPr>
            </w:pPr>
            <w:r>
              <w:rPr>
                <w:rFonts w:hint="eastAsia"/>
                <w:sz w:val="21"/>
                <w:szCs w:val="21"/>
                <w:u w:val="none"/>
                <w:lang w:eastAsia="zh-CN"/>
              </w:rPr>
              <w:t>24</w:t>
            </w:r>
            <w:r>
              <w:rPr>
                <w:sz w:val="21"/>
                <w:szCs w:val="21"/>
                <w:u w:val="none"/>
                <w:lang w:eastAsia="en-US"/>
              </w:rPr>
              <w:t>05</w:t>
            </w:r>
            <w:r>
              <w:rPr>
                <w:rFonts w:hint="eastAsia"/>
                <w:sz w:val="21"/>
                <w:szCs w:val="21"/>
                <w:u w:val="none"/>
                <w:lang w:eastAsia="zh-CN"/>
              </w:rPr>
              <w:t>24</w:t>
            </w:r>
          </w:p>
        </w:tc>
        <w:tc>
          <w:tcPr>
            <w:tcW w:w="1182" w:type="dxa"/>
            <w:tcBorders>
              <w:tl2br w:val="nil"/>
              <w:tr2bl w:val="nil"/>
            </w:tcBorders>
            <w:shd w:val="clear" w:color="auto" w:fill="auto"/>
            <w:vAlign w:val="center"/>
          </w:tcPr>
          <w:p w14:paraId="34A583E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0.0425</w:t>
            </w:r>
          </w:p>
        </w:tc>
        <w:tc>
          <w:tcPr>
            <w:tcW w:w="914" w:type="dxa"/>
            <w:tcBorders>
              <w:tl2br w:val="nil"/>
              <w:tr2bl w:val="nil"/>
            </w:tcBorders>
            <w:shd w:val="clear" w:color="auto" w:fill="auto"/>
            <w:vAlign w:val="center"/>
          </w:tcPr>
          <w:p w14:paraId="2DCDC20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71F6CC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C54AEC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137A38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49893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28EED9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465F54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75A15D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0DE694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5DE31D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50FEA26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0.0083</w:t>
            </w:r>
          </w:p>
        </w:tc>
        <w:tc>
          <w:tcPr>
            <w:tcW w:w="914" w:type="dxa"/>
            <w:tcBorders>
              <w:tl2br w:val="nil"/>
              <w:tr2bl w:val="nil"/>
            </w:tcBorders>
            <w:shd w:val="clear" w:color="auto" w:fill="auto"/>
            <w:vAlign w:val="center"/>
          </w:tcPr>
          <w:p w14:paraId="08D4F1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4C1709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CBC2BC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6288CC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41FA48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11</w:t>
            </w:r>
          </w:p>
        </w:tc>
        <w:tc>
          <w:tcPr>
            <w:tcW w:w="1145" w:type="dxa"/>
            <w:vMerge w:val="restart"/>
            <w:tcBorders>
              <w:tl2br w:val="nil"/>
              <w:tr2bl w:val="nil"/>
            </w:tcBorders>
            <w:shd w:val="clear" w:color="auto" w:fill="auto"/>
            <w:vAlign w:val="center"/>
          </w:tcPr>
          <w:p w14:paraId="476898A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易俗河镇第二中学</w:t>
            </w:r>
          </w:p>
        </w:tc>
        <w:tc>
          <w:tcPr>
            <w:tcW w:w="737" w:type="dxa"/>
            <w:vMerge w:val="restart"/>
            <w:tcBorders>
              <w:tl2br w:val="nil"/>
              <w:tr2bl w:val="nil"/>
            </w:tcBorders>
            <w:shd w:val="clear" w:color="auto" w:fill="auto"/>
            <w:vAlign w:val="center"/>
          </w:tcPr>
          <w:p w14:paraId="16B4415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734</w:t>
            </w:r>
          </w:p>
        </w:tc>
        <w:tc>
          <w:tcPr>
            <w:tcW w:w="647" w:type="dxa"/>
            <w:vMerge w:val="restart"/>
            <w:tcBorders>
              <w:tl2br w:val="nil"/>
              <w:tr2bl w:val="nil"/>
            </w:tcBorders>
            <w:shd w:val="clear" w:color="auto" w:fill="auto"/>
            <w:vAlign w:val="center"/>
          </w:tcPr>
          <w:p w14:paraId="378E11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577</w:t>
            </w:r>
          </w:p>
        </w:tc>
        <w:tc>
          <w:tcPr>
            <w:tcW w:w="914" w:type="dxa"/>
            <w:tcBorders>
              <w:tl2br w:val="nil"/>
              <w:tr2bl w:val="nil"/>
            </w:tcBorders>
            <w:shd w:val="clear" w:color="auto" w:fill="auto"/>
            <w:vAlign w:val="center"/>
          </w:tcPr>
          <w:p w14:paraId="05F8BA1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23872B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052907</w:t>
            </w:r>
          </w:p>
        </w:tc>
        <w:tc>
          <w:tcPr>
            <w:tcW w:w="1182" w:type="dxa"/>
            <w:tcBorders>
              <w:tl2br w:val="nil"/>
              <w:tr2bl w:val="nil"/>
            </w:tcBorders>
            <w:shd w:val="clear" w:color="auto" w:fill="auto"/>
            <w:vAlign w:val="center"/>
          </w:tcPr>
          <w:p w14:paraId="1ACFC4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0.2324</w:t>
            </w:r>
          </w:p>
        </w:tc>
        <w:tc>
          <w:tcPr>
            <w:tcW w:w="914" w:type="dxa"/>
            <w:tcBorders>
              <w:tl2br w:val="nil"/>
              <w:tr2bl w:val="nil"/>
            </w:tcBorders>
            <w:shd w:val="clear" w:color="auto" w:fill="auto"/>
            <w:vAlign w:val="center"/>
          </w:tcPr>
          <w:p w14:paraId="589680E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252555F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19.36</w:t>
            </w:r>
          </w:p>
        </w:tc>
        <w:tc>
          <w:tcPr>
            <w:tcW w:w="716" w:type="dxa"/>
            <w:tcBorders>
              <w:tl2br w:val="nil"/>
              <w:tr2bl w:val="nil"/>
            </w:tcBorders>
            <w:shd w:val="clear" w:color="auto" w:fill="auto"/>
            <w:vAlign w:val="center"/>
          </w:tcPr>
          <w:p w14:paraId="745644E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5FD6507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C60264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13606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9045D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62D8E6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B3E85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6FA0736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0705</w:t>
            </w:r>
          </w:p>
        </w:tc>
        <w:tc>
          <w:tcPr>
            <w:tcW w:w="1182" w:type="dxa"/>
            <w:tcBorders>
              <w:tl2br w:val="nil"/>
              <w:tr2bl w:val="nil"/>
            </w:tcBorders>
            <w:shd w:val="clear" w:color="auto" w:fill="auto"/>
            <w:vAlign w:val="center"/>
          </w:tcPr>
          <w:p w14:paraId="30A51C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0.0349</w:t>
            </w:r>
          </w:p>
        </w:tc>
        <w:tc>
          <w:tcPr>
            <w:tcW w:w="914" w:type="dxa"/>
            <w:tcBorders>
              <w:tl2br w:val="nil"/>
              <w:tr2bl w:val="nil"/>
            </w:tcBorders>
            <w:shd w:val="clear" w:color="auto" w:fill="auto"/>
            <w:vAlign w:val="center"/>
          </w:tcPr>
          <w:p w14:paraId="2334E52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6E438D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1E0BE5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5E7B99B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D30DC7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449806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75ACF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12AAF0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5B752FA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30C245A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735513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0.0086</w:t>
            </w:r>
          </w:p>
        </w:tc>
        <w:tc>
          <w:tcPr>
            <w:tcW w:w="914" w:type="dxa"/>
            <w:tcBorders>
              <w:tl2br w:val="nil"/>
              <w:tr2bl w:val="nil"/>
            </w:tcBorders>
            <w:shd w:val="clear" w:color="auto" w:fill="auto"/>
            <w:vAlign w:val="center"/>
          </w:tcPr>
          <w:p w14:paraId="274C9C3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2114B4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719AD9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1EB5FE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6C79C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12</w:t>
            </w:r>
          </w:p>
        </w:tc>
        <w:tc>
          <w:tcPr>
            <w:tcW w:w="1145" w:type="dxa"/>
            <w:vMerge w:val="restart"/>
            <w:tcBorders>
              <w:tl2br w:val="nil"/>
              <w:tr2bl w:val="nil"/>
            </w:tcBorders>
            <w:shd w:val="clear" w:color="auto" w:fill="auto"/>
            <w:vAlign w:val="center"/>
          </w:tcPr>
          <w:p w14:paraId="222CD17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天易水竹学校</w:t>
            </w:r>
          </w:p>
        </w:tc>
        <w:tc>
          <w:tcPr>
            <w:tcW w:w="737" w:type="dxa"/>
            <w:vMerge w:val="restart"/>
            <w:tcBorders>
              <w:tl2br w:val="nil"/>
              <w:tr2bl w:val="nil"/>
            </w:tcBorders>
            <w:shd w:val="clear" w:color="auto" w:fill="auto"/>
            <w:vAlign w:val="center"/>
          </w:tcPr>
          <w:p w14:paraId="5DF1B02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1155</w:t>
            </w:r>
          </w:p>
        </w:tc>
        <w:tc>
          <w:tcPr>
            <w:tcW w:w="647" w:type="dxa"/>
            <w:vMerge w:val="restart"/>
            <w:tcBorders>
              <w:tl2br w:val="nil"/>
              <w:tr2bl w:val="nil"/>
            </w:tcBorders>
            <w:shd w:val="clear" w:color="auto" w:fill="auto"/>
            <w:vAlign w:val="center"/>
          </w:tcPr>
          <w:p w14:paraId="244028D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758</w:t>
            </w:r>
          </w:p>
        </w:tc>
        <w:tc>
          <w:tcPr>
            <w:tcW w:w="914" w:type="dxa"/>
            <w:tcBorders>
              <w:tl2br w:val="nil"/>
              <w:tr2bl w:val="nil"/>
            </w:tcBorders>
            <w:shd w:val="clear" w:color="auto" w:fill="auto"/>
            <w:vAlign w:val="center"/>
          </w:tcPr>
          <w:p w14:paraId="77769B2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 小时</w:t>
            </w:r>
          </w:p>
        </w:tc>
        <w:tc>
          <w:tcPr>
            <w:tcW w:w="1069" w:type="dxa"/>
            <w:tcBorders>
              <w:tl2br w:val="nil"/>
              <w:tr2bl w:val="nil"/>
            </w:tcBorders>
            <w:shd w:val="clear" w:color="auto" w:fill="auto"/>
            <w:vAlign w:val="center"/>
          </w:tcPr>
          <w:p w14:paraId="258184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051719</w:t>
            </w:r>
          </w:p>
        </w:tc>
        <w:tc>
          <w:tcPr>
            <w:tcW w:w="1182" w:type="dxa"/>
            <w:tcBorders>
              <w:tl2br w:val="nil"/>
              <w:tr2bl w:val="nil"/>
            </w:tcBorders>
            <w:shd w:val="clear" w:color="auto" w:fill="auto"/>
            <w:vAlign w:val="center"/>
          </w:tcPr>
          <w:p w14:paraId="7A85F1E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0.2092</w:t>
            </w:r>
          </w:p>
        </w:tc>
        <w:tc>
          <w:tcPr>
            <w:tcW w:w="914" w:type="dxa"/>
            <w:tcBorders>
              <w:tl2br w:val="nil"/>
              <w:tr2bl w:val="nil"/>
            </w:tcBorders>
            <w:shd w:val="clear" w:color="auto" w:fill="auto"/>
            <w:vAlign w:val="center"/>
          </w:tcPr>
          <w:p w14:paraId="7D7AAA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2829A9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17.43</w:t>
            </w:r>
          </w:p>
        </w:tc>
        <w:tc>
          <w:tcPr>
            <w:tcW w:w="716" w:type="dxa"/>
            <w:tcBorders>
              <w:tl2br w:val="nil"/>
              <w:tr2bl w:val="nil"/>
            </w:tcBorders>
            <w:shd w:val="clear" w:color="auto" w:fill="auto"/>
            <w:vAlign w:val="center"/>
          </w:tcPr>
          <w:p w14:paraId="25C180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2B30FB1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16F15E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E2418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241A6A0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362437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0C44AD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751F9A4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0705</w:t>
            </w:r>
          </w:p>
        </w:tc>
        <w:tc>
          <w:tcPr>
            <w:tcW w:w="1182" w:type="dxa"/>
            <w:tcBorders>
              <w:tl2br w:val="nil"/>
              <w:tr2bl w:val="nil"/>
            </w:tcBorders>
            <w:shd w:val="clear" w:color="auto" w:fill="auto"/>
            <w:vAlign w:val="center"/>
          </w:tcPr>
          <w:p w14:paraId="6414DA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0.0382</w:t>
            </w:r>
          </w:p>
        </w:tc>
        <w:tc>
          <w:tcPr>
            <w:tcW w:w="914" w:type="dxa"/>
            <w:tcBorders>
              <w:tl2br w:val="nil"/>
              <w:tr2bl w:val="nil"/>
            </w:tcBorders>
            <w:shd w:val="clear" w:color="auto" w:fill="auto"/>
            <w:vAlign w:val="center"/>
          </w:tcPr>
          <w:p w14:paraId="15FFE78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266ADAF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40E1F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BD000E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9E5A76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782C530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1C3322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2ACB75E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5A4A2E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4EE624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6F69BEF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0.0084</w:t>
            </w:r>
          </w:p>
        </w:tc>
        <w:tc>
          <w:tcPr>
            <w:tcW w:w="914" w:type="dxa"/>
            <w:tcBorders>
              <w:tl2br w:val="nil"/>
              <w:tr2bl w:val="nil"/>
            </w:tcBorders>
            <w:shd w:val="clear" w:color="auto" w:fill="auto"/>
            <w:vAlign w:val="center"/>
          </w:tcPr>
          <w:p w14:paraId="4E9C0C2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45E302B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5CDC2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EA3E0F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8B4AE7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13</w:t>
            </w:r>
          </w:p>
        </w:tc>
        <w:tc>
          <w:tcPr>
            <w:tcW w:w="1145" w:type="dxa"/>
            <w:vMerge w:val="restart"/>
            <w:tcBorders>
              <w:tl2br w:val="nil"/>
              <w:tr2bl w:val="nil"/>
            </w:tcBorders>
            <w:shd w:val="clear" w:color="auto" w:fill="auto"/>
            <w:vAlign w:val="center"/>
          </w:tcPr>
          <w:p w14:paraId="663715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水竹安置区</w:t>
            </w:r>
          </w:p>
        </w:tc>
        <w:tc>
          <w:tcPr>
            <w:tcW w:w="737" w:type="dxa"/>
            <w:vMerge w:val="restart"/>
            <w:tcBorders>
              <w:tl2br w:val="nil"/>
              <w:tr2bl w:val="nil"/>
            </w:tcBorders>
            <w:shd w:val="clear" w:color="auto" w:fill="auto"/>
            <w:vAlign w:val="center"/>
          </w:tcPr>
          <w:p w14:paraId="66E9E0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752</w:t>
            </w:r>
          </w:p>
        </w:tc>
        <w:tc>
          <w:tcPr>
            <w:tcW w:w="647" w:type="dxa"/>
            <w:vMerge w:val="restart"/>
            <w:tcBorders>
              <w:tl2br w:val="nil"/>
              <w:tr2bl w:val="nil"/>
            </w:tcBorders>
            <w:shd w:val="clear" w:color="auto" w:fill="auto"/>
            <w:vAlign w:val="center"/>
          </w:tcPr>
          <w:p w14:paraId="72ACA95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233</w:t>
            </w:r>
          </w:p>
        </w:tc>
        <w:tc>
          <w:tcPr>
            <w:tcW w:w="914" w:type="dxa"/>
            <w:tcBorders>
              <w:tl2br w:val="nil"/>
              <w:tr2bl w:val="nil"/>
            </w:tcBorders>
            <w:shd w:val="clear" w:color="auto" w:fill="auto"/>
            <w:vAlign w:val="center"/>
          </w:tcPr>
          <w:p w14:paraId="4982E0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3B6A4B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w:t>
            </w:r>
            <w:r>
              <w:rPr>
                <w:rFonts w:hint="eastAsia"/>
                <w:sz w:val="21"/>
                <w:szCs w:val="21"/>
                <w:u w:val="none"/>
                <w:lang w:eastAsia="zh-CN"/>
              </w:rPr>
              <w:t>24</w:t>
            </w:r>
            <w:r>
              <w:rPr>
                <w:sz w:val="21"/>
                <w:szCs w:val="21"/>
                <w:u w:val="none"/>
                <w:lang w:eastAsia="en-US"/>
              </w:rPr>
              <w:t>19</w:t>
            </w:r>
          </w:p>
        </w:tc>
        <w:tc>
          <w:tcPr>
            <w:tcW w:w="1182" w:type="dxa"/>
            <w:tcBorders>
              <w:tl2br w:val="nil"/>
              <w:tr2bl w:val="nil"/>
            </w:tcBorders>
            <w:shd w:val="clear" w:color="auto" w:fill="auto"/>
            <w:vAlign w:val="center"/>
          </w:tcPr>
          <w:p w14:paraId="09AC320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0.4538</w:t>
            </w:r>
          </w:p>
        </w:tc>
        <w:tc>
          <w:tcPr>
            <w:tcW w:w="914" w:type="dxa"/>
            <w:tcBorders>
              <w:tl2br w:val="nil"/>
              <w:tr2bl w:val="nil"/>
            </w:tcBorders>
            <w:shd w:val="clear" w:color="auto" w:fill="auto"/>
            <w:vAlign w:val="center"/>
          </w:tcPr>
          <w:p w14:paraId="2D6AFE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0DCE2C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37.82</w:t>
            </w:r>
          </w:p>
        </w:tc>
        <w:tc>
          <w:tcPr>
            <w:tcW w:w="716" w:type="dxa"/>
            <w:tcBorders>
              <w:tl2br w:val="nil"/>
              <w:tr2bl w:val="nil"/>
            </w:tcBorders>
            <w:shd w:val="clear" w:color="auto" w:fill="auto"/>
            <w:vAlign w:val="center"/>
          </w:tcPr>
          <w:p w14:paraId="35FC6EE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5586A7E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8F5128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77C43ED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D510C0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67F8429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6B094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49700E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none"/>
                <w:lang w:eastAsia="zh-CN"/>
              </w:rPr>
            </w:pPr>
            <w:r>
              <w:rPr>
                <w:rFonts w:hint="eastAsia"/>
                <w:sz w:val="21"/>
                <w:szCs w:val="21"/>
                <w:u w:val="none"/>
                <w:lang w:eastAsia="zh-CN"/>
              </w:rPr>
              <w:t>24</w:t>
            </w:r>
            <w:r>
              <w:rPr>
                <w:sz w:val="21"/>
                <w:szCs w:val="21"/>
                <w:u w:val="none"/>
                <w:lang w:eastAsia="en-US"/>
              </w:rPr>
              <w:t>05</w:t>
            </w:r>
            <w:r>
              <w:rPr>
                <w:rFonts w:hint="eastAsia"/>
                <w:sz w:val="21"/>
                <w:szCs w:val="21"/>
                <w:u w:val="none"/>
                <w:lang w:eastAsia="zh-CN"/>
              </w:rPr>
              <w:t>24</w:t>
            </w:r>
          </w:p>
        </w:tc>
        <w:tc>
          <w:tcPr>
            <w:tcW w:w="1182" w:type="dxa"/>
            <w:tcBorders>
              <w:tl2br w:val="nil"/>
              <w:tr2bl w:val="nil"/>
            </w:tcBorders>
            <w:shd w:val="clear" w:color="auto" w:fill="auto"/>
            <w:vAlign w:val="center"/>
          </w:tcPr>
          <w:p w14:paraId="2562E84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0.0453</w:t>
            </w:r>
          </w:p>
        </w:tc>
        <w:tc>
          <w:tcPr>
            <w:tcW w:w="914" w:type="dxa"/>
            <w:tcBorders>
              <w:tl2br w:val="nil"/>
              <w:tr2bl w:val="nil"/>
            </w:tcBorders>
            <w:shd w:val="clear" w:color="auto" w:fill="auto"/>
            <w:vAlign w:val="center"/>
          </w:tcPr>
          <w:p w14:paraId="4BD4A9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E231E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21F7FC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03DA5CD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62A557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5A6A74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4182C4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767DC5A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0944C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1AE378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490A1F7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0.0084</w:t>
            </w:r>
          </w:p>
        </w:tc>
        <w:tc>
          <w:tcPr>
            <w:tcW w:w="914" w:type="dxa"/>
            <w:tcBorders>
              <w:tl2br w:val="nil"/>
              <w:tr2bl w:val="nil"/>
            </w:tcBorders>
            <w:shd w:val="clear" w:color="auto" w:fill="auto"/>
            <w:vAlign w:val="center"/>
          </w:tcPr>
          <w:p w14:paraId="12D5506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757E22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5C2764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4674BC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4CCD89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14</w:t>
            </w:r>
          </w:p>
        </w:tc>
        <w:tc>
          <w:tcPr>
            <w:tcW w:w="1145" w:type="dxa"/>
            <w:vMerge w:val="restart"/>
            <w:tcBorders>
              <w:tl2br w:val="nil"/>
              <w:tr2bl w:val="nil"/>
            </w:tcBorders>
            <w:shd w:val="clear" w:color="auto" w:fill="auto"/>
            <w:vAlign w:val="center"/>
          </w:tcPr>
          <w:p w14:paraId="6E15DE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湘潭县行政学校</w:t>
            </w:r>
          </w:p>
        </w:tc>
        <w:tc>
          <w:tcPr>
            <w:tcW w:w="737" w:type="dxa"/>
            <w:vMerge w:val="restart"/>
            <w:tcBorders>
              <w:tl2br w:val="nil"/>
              <w:tr2bl w:val="nil"/>
            </w:tcBorders>
            <w:shd w:val="clear" w:color="auto" w:fill="auto"/>
            <w:vAlign w:val="center"/>
          </w:tcPr>
          <w:p w14:paraId="78493ED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705</w:t>
            </w:r>
          </w:p>
        </w:tc>
        <w:tc>
          <w:tcPr>
            <w:tcW w:w="647" w:type="dxa"/>
            <w:vMerge w:val="restart"/>
            <w:tcBorders>
              <w:tl2br w:val="nil"/>
              <w:tr2bl w:val="nil"/>
            </w:tcBorders>
            <w:shd w:val="clear" w:color="auto" w:fill="auto"/>
            <w:vAlign w:val="center"/>
          </w:tcPr>
          <w:p w14:paraId="0F607B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758</w:t>
            </w:r>
          </w:p>
        </w:tc>
        <w:tc>
          <w:tcPr>
            <w:tcW w:w="914" w:type="dxa"/>
            <w:tcBorders>
              <w:tl2br w:val="nil"/>
              <w:tr2bl w:val="nil"/>
            </w:tcBorders>
            <w:shd w:val="clear" w:color="auto" w:fill="auto"/>
            <w:vAlign w:val="center"/>
          </w:tcPr>
          <w:p w14:paraId="7B417A0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4941CE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010109</w:t>
            </w:r>
          </w:p>
        </w:tc>
        <w:tc>
          <w:tcPr>
            <w:tcW w:w="1182" w:type="dxa"/>
            <w:tcBorders>
              <w:tl2br w:val="nil"/>
              <w:tr2bl w:val="nil"/>
            </w:tcBorders>
            <w:shd w:val="clear" w:color="auto" w:fill="auto"/>
            <w:vAlign w:val="center"/>
          </w:tcPr>
          <w:p w14:paraId="08BAAEE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0.1937</w:t>
            </w:r>
          </w:p>
        </w:tc>
        <w:tc>
          <w:tcPr>
            <w:tcW w:w="914" w:type="dxa"/>
            <w:tcBorders>
              <w:tl2br w:val="nil"/>
              <w:tr2bl w:val="nil"/>
            </w:tcBorders>
            <w:shd w:val="clear" w:color="auto" w:fill="auto"/>
            <w:vAlign w:val="center"/>
          </w:tcPr>
          <w:p w14:paraId="496C6F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7DE0A0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16.14</w:t>
            </w:r>
          </w:p>
        </w:tc>
        <w:tc>
          <w:tcPr>
            <w:tcW w:w="716" w:type="dxa"/>
            <w:tcBorders>
              <w:tl2br w:val="nil"/>
              <w:tr2bl w:val="nil"/>
            </w:tcBorders>
            <w:shd w:val="clear" w:color="auto" w:fill="auto"/>
            <w:vAlign w:val="center"/>
          </w:tcPr>
          <w:p w14:paraId="5F9DB22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4DA139C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331EB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37D8E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25345E5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FD703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BD608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11522C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0529</w:t>
            </w:r>
          </w:p>
        </w:tc>
        <w:tc>
          <w:tcPr>
            <w:tcW w:w="1182" w:type="dxa"/>
            <w:tcBorders>
              <w:tl2br w:val="nil"/>
              <w:tr2bl w:val="nil"/>
            </w:tcBorders>
            <w:shd w:val="clear" w:color="auto" w:fill="auto"/>
            <w:vAlign w:val="center"/>
          </w:tcPr>
          <w:p w14:paraId="31B95F8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0.0261</w:t>
            </w:r>
          </w:p>
        </w:tc>
        <w:tc>
          <w:tcPr>
            <w:tcW w:w="914" w:type="dxa"/>
            <w:tcBorders>
              <w:tl2br w:val="nil"/>
              <w:tr2bl w:val="nil"/>
            </w:tcBorders>
            <w:shd w:val="clear" w:color="auto" w:fill="auto"/>
            <w:vAlign w:val="center"/>
          </w:tcPr>
          <w:p w14:paraId="24F4B7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62BBD48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07831A3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479B7F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1BCE553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E0835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2AFB63E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C77581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488E9D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6A1D4C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11CFBB7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0.0088</w:t>
            </w:r>
          </w:p>
        </w:tc>
        <w:tc>
          <w:tcPr>
            <w:tcW w:w="914" w:type="dxa"/>
            <w:tcBorders>
              <w:tl2br w:val="nil"/>
              <w:tr2bl w:val="nil"/>
            </w:tcBorders>
            <w:shd w:val="clear" w:color="auto" w:fill="auto"/>
            <w:vAlign w:val="center"/>
          </w:tcPr>
          <w:p w14:paraId="2C7A428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0E9192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21FFA0A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6CE45F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FAE0D8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15</w:t>
            </w:r>
          </w:p>
        </w:tc>
        <w:tc>
          <w:tcPr>
            <w:tcW w:w="1145" w:type="dxa"/>
            <w:vMerge w:val="restart"/>
            <w:tcBorders>
              <w:tl2br w:val="nil"/>
              <w:tr2bl w:val="nil"/>
            </w:tcBorders>
            <w:shd w:val="clear" w:color="auto" w:fill="auto"/>
            <w:vAlign w:val="center"/>
          </w:tcPr>
          <w:p w14:paraId="23D584B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湘潭县公安局</w:t>
            </w:r>
          </w:p>
        </w:tc>
        <w:tc>
          <w:tcPr>
            <w:tcW w:w="737" w:type="dxa"/>
            <w:vMerge w:val="restart"/>
            <w:tcBorders>
              <w:tl2br w:val="nil"/>
              <w:tr2bl w:val="nil"/>
            </w:tcBorders>
            <w:shd w:val="clear" w:color="auto" w:fill="auto"/>
            <w:vAlign w:val="center"/>
          </w:tcPr>
          <w:p w14:paraId="06C283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1104</w:t>
            </w:r>
          </w:p>
        </w:tc>
        <w:tc>
          <w:tcPr>
            <w:tcW w:w="647" w:type="dxa"/>
            <w:vMerge w:val="restart"/>
            <w:tcBorders>
              <w:tl2br w:val="nil"/>
              <w:tr2bl w:val="nil"/>
            </w:tcBorders>
            <w:shd w:val="clear" w:color="auto" w:fill="auto"/>
            <w:vAlign w:val="center"/>
          </w:tcPr>
          <w:p w14:paraId="5872265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910</w:t>
            </w:r>
          </w:p>
        </w:tc>
        <w:tc>
          <w:tcPr>
            <w:tcW w:w="914" w:type="dxa"/>
            <w:tcBorders>
              <w:tl2br w:val="nil"/>
              <w:tr2bl w:val="nil"/>
            </w:tcBorders>
            <w:shd w:val="clear" w:color="auto" w:fill="auto"/>
            <w:vAlign w:val="center"/>
          </w:tcPr>
          <w:p w14:paraId="7BE02A9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2488FE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052907</w:t>
            </w:r>
          </w:p>
        </w:tc>
        <w:tc>
          <w:tcPr>
            <w:tcW w:w="1182" w:type="dxa"/>
            <w:tcBorders>
              <w:tl2br w:val="nil"/>
              <w:tr2bl w:val="nil"/>
            </w:tcBorders>
            <w:shd w:val="clear" w:color="auto" w:fill="auto"/>
            <w:vAlign w:val="center"/>
          </w:tcPr>
          <w:p w14:paraId="389047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0.2441</w:t>
            </w:r>
          </w:p>
        </w:tc>
        <w:tc>
          <w:tcPr>
            <w:tcW w:w="914" w:type="dxa"/>
            <w:tcBorders>
              <w:tl2br w:val="nil"/>
              <w:tr2bl w:val="nil"/>
            </w:tcBorders>
            <w:shd w:val="clear" w:color="auto" w:fill="auto"/>
            <w:vAlign w:val="center"/>
          </w:tcPr>
          <w:p w14:paraId="2A4EF92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7E5B1B5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20.34</w:t>
            </w:r>
          </w:p>
        </w:tc>
        <w:tc>
          <w:tcPr>
            <w:tcW w:w="716" w:type="dxa"/>
            <w:tcBorders>
              <w:tl2br w:val="nil"/>
              <w:tr2bl w:val="nil"/>
            </w:tcBorders>
            <w:shd w:val="clear" w:color="auto" w:fill="auto"/>
            <w:vAlign w:val="center"/>
          </w:tcPr>
          <w:p w14:paraId="7C5D752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19E25D5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742C04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2172685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21EB5BB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6559110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31DB86F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304476B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0529</w:t>
            </w:r>
          </w:p>
        </w:tc>
        <w:tc>
          <w:tcPr>
            <w:tcW w:w="1182" w:type="dxa"/>
            <w:tcBorders>
              <w:tl2br w:val="nil"/>
              <w:tr2bl w:val="nil"/>
            </w:tcBorders>
            <w:shd w:val="clear" w:color="auto" w:fill="auto"/>
            <w:vAlign w:val="center"/>
          </w:tcPr>
          <w:p w14:paraId="03FB116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0.0250</w:t>
            </w:r>
          </w:p>
        </w:tc>
        <w:tc>
          <w:tcPr>
            <w:tcW w:w="914" w:type="dxa"/>
            <w:tcBorders>
              <w:tl2br w:val="nil"/>
              <w:tr2bl w:val="nil"/>
            </w:tcBorders>
            <w:shd w:val="clear" w:color="auto" w:fill="auto"/>
            <w:vAlign w:val="center"/>
          </w:tcPr>
          <w:p w14:paraId="03684DE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5E41BA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B2BE4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780446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172C4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94D26D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3BCE75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157B48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3127A0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004507B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65C1F1B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0.0084</w:t>
            </w:r>
          </w:p>
        </w:tc>
        <w:tc>
          <w:tcPr>
            <w:tcW w:w="914" w:type="dxa"/>
            <w:tcBorders>
              <w:tl2br w:val="nil"/>
              <w:tr2bl w:val="nil"/>
            </w:tcBorders>
            <w:shd w:val="clear" w:color="auto" w:fill="auto"/>
            <w:vAlign w:val="center"/>
          </w:tcPr>
          <w:p w14:paraId="3A310A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0A4912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9803D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208445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0E681C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16</w:t>
            </w:r>
          </w:p>
        </w:tc>
        <w:tc>
          <w:tcPr>
            <w:tcW w:w="1145" w:type="dxa"/>
            <w:vMerge w:val="restart"/>
            <w:tcBorders>
              <w:tl2br w:val="nil"/>
              <w:tr2bl w:val="nil"/>
            </w:tcBorders>
            <w:shd w:val="clear" w:color="auto" w:fill="auto"/>
            <w:vAlign w:val="center"/>
          </w:tcPr>
          <w:p w14:paraId="08A02D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学府雅苑</w:t>
            </w:r>
          </w:p>
        </w:tc>
        <w:tc>
          <w:tcPr>
            <w:tcW w:w="737" w:type="dxa"/>
            <w:vMerge w:val="restart"/>
            <w:tcBorders>
              <w:tl2br w:val="nil"/>
              <w:tr2bl w:val="nil"/>
            </w:tcBorders>
            <w:shd w:val="clear" w:color="auto" w:fill="auto"/>
            <w:vAlign w:val="center"/>
          </w:tcPr>
          <w:p w14:paraId="2FCADA5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742</w:t>
            </w:r>
          </w:p>
        </w:tc>
        <w:tc>
          <w:tcPr>
            <w:tcW w:w="647" w:type="dxa"/>
            <w:vMerge w:val="restart"/>
            <w:tcBorders>
              <w:tl2br w:val="nil"/>
              <w:tr2bl w:val="nil"/>
            </w:tcBorders>
            <w:shd w:val="clear" w:color="auto" w:fill="auto"/>
            <w:vAlign w:val="center"/>
          </w:tcPr>
          <w:p w14:paraId="7661FE1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1055</w:t>
            </w:r>
          </w:p>
        </w:tc>
        <w:tc>
          <w:tcPr>
            <w:tcW w:w="914" w:type="dxa"/>
            <w:tcBorders>
              <w:tl2br w:val="nil"/>
              <w:tr2bl w:val="nil"/>
            </w:tcBorders>
            <w:shd w:val="clear" w:color="auto" w:fill="auto"/>
            <w:vAlign w:val="center"/>
          </w:tcPr>
          <w:p w14:paraId="01402A8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1145ABA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040124</w:t>
            </w:r>
          </w:p>
        </w:tc>
        <w:tc>
          <w:tcPr>
            <w:tcW w:w="1182" w:type="dxa"/>
            <w:tcBorders>
              <w:tl2br w:val="nil"/>
              <w:tr2bl w:val="nil"/>
            </w:tcBorders>
            <w:shd w:val="clear" w:color="auto" w:fill="auto"/>
            <w:vAlign w:val="center"/>
          </w:tcPr>
          <w:p w14:paraId="6393822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0.2194</w:t>
            </w:r>
          </w:p>
        </w:tc>
        <w:tc>
          <w:tcPr>
            <w:tcW w:w="914" w:type="dxa"/>
            <w:tcBorders>
              <w:tl2br w:val="nil"/>
              <w:tr2bl w:val="nil"/>
            </w:tcBorders>
            <w:shd w:val="clear" w:color="auto" w:fill="auto"/>
            <w:vAlign w:val="center"/>
          </w:tcPr>
          <w:p w14:paraId="0EAD46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6811EAC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18.28</w:t>
            </w:r>
          </w:p>
        </w:tc>
        <w:tc>
          <w:tcPr>
            <w:tcW w:w="716" w:type="dxa"/>
            <w:tcBorders>
              <w:tl2br w:val="nil"/>
              <w:tr2bl w:val="nil"/>
            </w:tcBorders>
            <w:shd w:val="clear" w:color="auto" w:fill="auto"/>
            <w:vAlign w:val="center"/>
          </w:tcPr>
          <w:p w14:paraId="0041B8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05004BA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4CF82D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876E5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11C64DF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120B17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93852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78516D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0523</w:t>
            </w:r>
          </w:p>
        </w:tc>
        <w:tc>
          <w:tcPr>
            <w:tcW w:w="1182" w:type="dxa"/>
            <w:tcBorders>
              <w:tl2br w:val="nil"/>
              <w:tr2bl w:val="nil"/>
            </w:tcBorders>
            <w:shd w:val="clear" w:color="auto" w:fill="auto"/>
            <w:vAlign w:val="center"/>
          </w:tcPr>
          <w:p w14:paraId="7C5D28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0.0290</w:t>
            </w:r>
          </w:p>
        </w:tc>
        <w:tc>
          <w:tcPr>
            <w:tcW w:w="914" w:type="dxa"/>
            <w:tcBorders>
              <w:tl2br w:val="nil"/>
              <w:tr2bl w:val="nil"/>
            </w:tcBorders>
            <w:shd w:val="clear" w:color="auto" w:fill="auto"/>
            <w:vAlign w:val="center"/>
          </w:tcPr>
          <w:p w14:paraId="4A1A0CF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428196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CB135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16A55DE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D67B0E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65C8B6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12F0550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422105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D987EA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34DBE1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220138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0.0091</w:t>
            </w:r>
          </w:p>
        </w:tc>
        <w:tc>
          <w:tcPr>
            <w:tcW w:w="914" w:type="dxa"/>
            <w:tcBorders>
              <w:tl2br w:val="nil"/>
              <w:tr2bl w:val="nil"/>
            </w:tcBorders>
            <w:shd w:val="clear" w:color="auto" w:fill="auto"/>
            <w:vAlign w:val="center"/>
          </w:tcPr>
          <w:p w14:paraId="0D114B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73F6F9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B5FAE8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1E7CD87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54140E3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17</w:t>
            </w:r>
          </w:p>
        </w:tc>
        <w:tc>
          <w:tcPr>
            <w:tcW w:w="1145" w:type="dxa"/>
            <w:vMerge w:val="restart"/>
            <w:tcBorders>
              <w:tl2br w:val="nil"/>
              <w:tr2bl w:val="nil"/>
            </w:tcBorders>
            <w:shd w:val="clear" w:color="auto" w:fill="auto"/>
            <w:vAlign w:val="center"/>
          </w:tcPr>
          <w:p w14:paraId="4AF0F4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天一家园</w:t>
            </w:r>
          </w:p>
        </w:tc>
        <w:tc>
          <w:tcPr>
            <w:tcW w:w="737" w:type="dxa"/>
            <w:vMerge w:val="restart"/>
            <w:tcBorders>
              <w:tl2br w:val="nil"/>
              <w:tr2bl w:val="nil"/>
            </w:tcBorders>
            <w:shd w:val="clear" w:color="auto" w:fill="auto"/>
            <w:vAlign w:val="center"/>
          </w:tcPr>
          <w:p w14:paraId="6A5EBC3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419</w:t>
            </w:r>
          </w:p>
        </w:tc>
        <w:tc>
          <w:tcPr>
            <w:tcW w:w="647" w:type="dxa"/>
            <w:vMerge w:val="restart"/>
            <w:tcBorders>
              <w:tl2br w:val="nil"/>
              <w:tr2bl w:val="nil"/>
            </w:tcBorders>
            <w:shd w:val="clear" w:color="auto" w:fill="auto"/>
            <w:vAlign w:val="center"/>
          </w:tcPr>
          <w:p w14:paraId="2A731D5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1414</w:t>
            </w:r>
          </w:p>
        </w:tc>
        <w:tc>
          <w:tcPr>
            <w:tcW w:w="914" w:type="dxa"/>
            <w:tcBorders>
              <w:tl2br w:val="nil"/>
              <w:tr2bl w:val="nil"/>
            </w:tcBorders>
            <w:shd w:val="clear" w:color="auto" w:fill="auto"/>
            <w:vAlign w:val="center"/>
          </w:tcPr>
          <w:p w14:paraId="27B4773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48752F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102006</w:t>
            </w:r>
          </w:p>
        </w:tc>
        <w:tc>
          <w:tcPr>
            <w:tcW w:w="1182" w:type="dxa"/>
            <w:tcBorders>
              <w:tl2br w:val="nil"/>
              <w:tr2bl w:val="nil"/>
            </w:tcBorders>
            <w:shd w:val="clear" w:color="auto" w:fill="auto"/>
            <w:vAlign w:val="center"/>
          </w:tcPr>
          <w:p w14:paraId="69A7551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0.8745</w:t>
            </w:r>
          </w:p>
        </w:tc>
        <w:tc>
          <w:tcPr>
            <w:tcW w:w="914" w:type="dxa"/>
            <w:tcBorders>
              <w:tl2br w:val="nil"/>
              <w:tr2bl w:val="nil"/>
            </w:tcBorders>
            <w:shd w:val="clear" w:color="auto" w:fill="auto"/>
            <w:vAlign w:val="center"/>
          </w:tcPr>
          <w:p w14:paraId="3DA1D36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582072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72.88</w:t>
            </w:r>
          </w:p>
        </w:tc>
        <w:tc>
          <w:tcPr>
            <w:tcW w:w="716" w:type="dxa"/>
            <w:tcBorders>
              <w:tl2br w:val="nil"/>
              <w:tr2bl w:val="nil"/>
            </w:tcBorders>
            <w:shd w:val="clear" w:color="auto" w:fill="auto"/>
            <w:vAlign w:val="center"/>
          </w:tcPr>
          <w:p w14:paraId="09B779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288C154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28993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5FEDCA9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EEFFC9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61D1D39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88ED3A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397AF5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0409</w:t>
            </w:r>
          </w:p>
        </w:tc>
        <w:tc>
          <w:tcPr>
            <w:tcW w:w="1182" w:type="dxa"/>
            <w:tcBorders>
              <w:tl2br w:val="nil"/>
              <w:tr2bl w:val="nil"/>
            </w:tcBorders>
            <w:shd w:val="clear" w:color="auto" w:fill="auto"/>
            <w:vAlign w:val="center"/>
          </w:tcPr>
          <w:p w14:paraId="2161892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0.0528</w:t>
            </w:r>
          </w:p>
        </w:tc>
        <w:tc>
          <w:tcPr>
            <w:tcW w:w="914" w:type="dxa"/>
            <w:tcBorders>
              <w:tl2br w:val="nil"/>
              <w:tr2bl w:val="nil"/>
            </w:tcBorders>
            <w:shd w:val="clear" w:color="auto" w:fill="auto"/>
            <w:vAlign w:val="center"/>
          </w:tcPr>
          <w:p w14:paraId="4544343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7B6485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4B37E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2917155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F7245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6FA344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4EE624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4C106E5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75D6B5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0BA74B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0179CA4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0.0111</w:t>
            </w:r>
          </w:p>
        </w:tc>
        <w:tc>
          <w:tcPr>
            <w:tcW w:w="914" w:type="dxa"/>
            <w:tcBorders>
              <w:tl2br w:val="nil"/>
              <w:tr2bl w:val="nil"/>
            </w:tcBorders>
            <w:shd w:val="clear" w:color="auto" w:fill="auto"/>
            <w:vAlign w:val="center"/>
          </w:tcPr>
          <w:p w14:paraId="400A07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66E952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577792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71E356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717A8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18</w:t>
            </w:r>
          </w:p>
        </w:tc>
        <w:tc>
          <w:tcPr>
            <w:tcW w:w="1145" w:type="dxa"/>
            <w:vMerge w:val="restart"/>
            <w:tcBorders>
              <w:tl2br w:val="nil"/>
              <w:tr2bl w:val="nil"/>
            </w:tcBorders>
            <w:shd w:val="clear" w:color="auto" w:fill="auto"/>
            <w:vAlign w:val="center"/>
          </w:tcPr>
          <w:p w14:paraId="427E3D5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长通名城</w:t>
            </w:r>
          </w:p>
        </w:tc>
        <w:tc>
          <w:tcPr>
            <w:tcW w:w="737" w:type="dxa"/>
            <w:vMerge w:val="restart"/>
            <w:tcBorders>
              <w:tl2br w:val="nil"/>
              <w:tr2bl w:val="nil"/>
            </w:tcBorders>
            <w:shd w:val="clear" w:color="auto" w:fill="auto"/>
            <w:vAlign w:val="center"/>
          </w:tcPr>
          <w:p w14:paraId="3D13ACF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419</w:t>
            </w:r>
          </w:p>
        </w:tc>
        <w:tc>
          <w:tcPr>
            <w:tcW w:w="647" w:type="dxa"/>
            <w:vMerge w:val="restart"/>
            <w:tcBorders>
              <w:tl2br w:val="nil"/>
              <w:tr2bl w:val="nil"/>
            </w:tcBorders>
            <w:shd w:val="clear" w:color="auto" w:fill="auto"/>
            <w:vAlign w:val="center"/>
          </w:tcPr>
          <w:p w14:paraId="7026C0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1675</w:t>
            </w:r>
          </w:p>
        </w:tc>
        <w:tc>
          <w:tcPr>
            <w:tcW w:w="914" w:type="dxa"/>
            <w:tcBorders>
              <w:tl2br w:val="nil"/>
              <w:tr2bl w:val="nil"/>
            </w:tcBorders>
            <w:shd w:val="clear" w:color="auto" w:fill="auto"/>
            <w:vAlign w:val="center"/>
          </w:tcPr>
          <w:p w14:paraId="6109149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757996F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091606</w:t>
            </w:r>
          </w:p>
        </w:tc>
        <w:tc>
          <w:tcPr>
            <w:tcW w:w="1182" w:type="dxa"/>
            <w:tcBorders>
              <w:tl2br w:val="nil"/>
              <w:tr2bl w:val="nil"/>
            </w:tcBorders>
            <w:shd w:val="clear" w:color="auto" w:fill="auto"/>
            <w:vAlign w:val="center"/>
          </w:tcPr>
          <w:p w14:paraId="58E64D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0.4006</w:t>
            </w:r>
          </w:p>
        </w:tc>
        <w:tc>
          <w:tcPr>
            <w:tcW w:w="914" w:type="dxa"/>
            <w:tcBorders>
              <w:tl2br w:val="nil"/>
              <w:tr2bl w:val="nil"/>
            </w:tcBorders>
            <w:shd w:val="clear" w:color="auto" w:fill="auto"/>
            <w:vAlign w:val="center"/>
          </w:tcPr>
          <w:p w14:paraId="011E3B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1A9BA44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33.38</w:t>
            </w:r>
          </w:p>
        </w:tc>
        <w:tc>
          <w:tcPr>
            <w:tcW w:w="716" w:type="dxa"/>
            <w:tcBorders>
              <w:tl2br w:val="nil"/>
              <w:tr2bl w:val="nil"/>
            </w:tcBorders>
            <w:shd w:val="clear" w:color="auto" w:fill="auto"/>
            <w:vAlign w:val="center"/>
          </w:tcPr>
          <w:p w14:paraId="7C0EB57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1DF7E4A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523F002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4A0B2E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63F425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0E3AF7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053D09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1ED184A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0628</w:t>
            </w:r>
          </w:p>
        </w:tc>
        <w:tc>
          <w:tcPr>
            <w:tcW w:w="1182" w:type="dxa"/>
            <w:tcBorders>
              <w:tl2br w:val="nil"/>
              <w:tr2bl w:val="nil"/>
            </w:tcBorders>
            <w:shd w:val="clear" w:color="auto" w:fill="auto"/>
            <w:vAlign w:val="center"/>
          </w:tcPr>
          <w:p w14:paraId="6DBFC18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0.0616</w:t>
            </w:r>
          </w:p>
        </w:tc>
        <w:tc>
          <w:tcPr>
            <w:tcW w:w="914" w:type="dxa"/>
            <w:tcBorders>
              <w:tl2br w:val="nil"/>
              <w:tr2bl w:val="nil"/>
            </w:tcBorders>
            <w:shd w:val="clear" w:color="auto" w:fill="auto"/>
            <w:vAlign w:val="center"/>
          </w:tcPr>
          <w:p w14:paraId="005728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41F289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57BD9E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72AD55D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0DAD37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6A1DC6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FD9C8A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166D35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64AB37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411462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63193E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0.0113</w:t>
            </w:r>
          </w:p>
        </w:tc>
        <w:tc>
          <w:tcPr>
            <w:tcW w:w="914" w:type="dxa"/>
            <w:tcBorders>
              <w:tl2br w:val="nil"/>
              <w:tr2bl w:val="nil"/>
            </w:tcBorders>
            <w:shd w:val="clear" w:color="auto" w:fill="auto"/>
            <w:vAlign w:val="center"/>
          </w:tcPr>
          <w:p w14:paraId="66ADA3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280411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168768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A125EB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F70CF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19</w:t>
            </w:r>
          </w:p>
        </w:tc>
        <w:tc>
          <w:tcPr>
            <w:tcW w:w="1145" w:type="dxa"/>
            <w:vMerge w:val="restart"/>
            <w:tcBorders>
              <w:tl2br w:val="nil"/>
              <w:tr2bl w:val="nil"/>
            </w:tcBorders>
            <w:shd w:val="clear" w:color="auto" w:fill="auto"/>
            <w:vAlign w:val="center"/>
          </w:tcPr>
          <w:p w14:paraId="5A6B06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湘潭碧桂园</w:t>
            </w:r>
          </w:p>
        </w:tc>
        <w:tc>
          <w:tcPr>
            <w:tcW w:w="737" w:type="dxa"/>
            <w:vMerge w:val="restart"/>
            <w:tcBorders>
              <w:tl2br w:val="nil"/>
              <w:tr2bl w:val="nil"/>
            </w:tcBorders>
            <w:shd w:val="clear" w:color="auto" w:fill="auto"/>
            <w:vAlign w:val="center"/>
          </w:tcPr>
          <w:p w14:paraId="61B24B4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1590</w:t>
            </w:r>
          </w:p>
        </w:tc>
        <w:tc>
          <w:tcPr>
            <w:tcW w:w="647" w:type="dxa"/>
            <w:vMerge w:val="restart"/>
            <w:tcBorders>
              <w:tl2br w:val="nil"/>
              <w:tr2bl w:val="nil"/>
            </w:tcBorders>
            <w:shd w:val="clear" w:color="auto" w:fill="auto"/>
            <w:vAlign w:val="center"/>
          </w:tcPr>
          <w:p w14:paraId="66E4AA6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1772</w:t>
            </w:r>
          </w:p>
        </w:tc>
        <w:tc>
          <w:tcPr>
            <w:tcW w:w="914" w:type="dxa"/>
            <w:tcBorders>
              <w:tl2br w:val="nil"/>
              <w:tr2bl w:val="nil"/>
            </w:tcBorders>
            <w:shd w:val="clear" w:color="auto" w:fill="auto"/>
            <w:vAlign w:val="center"/>
          </w:tcPr>
          <w:p w14:paraId="48D70B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64032C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061624</w:t>
            </w:r>
          </w:p>
        </w:tc>
        <w:tc>
          <w:tcPr>
            <w:tcW w:w="1182" w:type="dxa"/>
            <w:tcBorders>
              <w:tl2br w:val="nil"/>
              <w:tr2bl w:val="nil"/>
            </w:tcBorders>
            <w:shd w:val="clear" w:color="auto" w:fill="auto"/>
            <w:vAlign w:val="center"/>
          </w:tcPr>
          <w:p w14:paraId="371001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0.1837</w:t>
            </w:r>
          </w:p>
        </w:tc>
        <w:tc>
          <w:tcPr>
            <w:tcW w:w="914" w:type="dxa"/>
            <w:tcBorders>
              <w:tl2br w:val="nil"/>
              <w:tr2bl w:val="nil"/>
            </w:tcBorders>
            <w:shd w:val="clear" w:color="auto" w:fill="auto"/>
            <w:vAlign w:val="center"/>
          </w:tcPr>
          <w:p w14:paraId="4A31B60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1CD4F1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15.31</w:t>
            </w:r>
          </w:p>
        </w:tc>
        <w:tc>
          <w:tcPr>
            <w:tcW w:w="716" w:type="dxa"/>
            <w:tcBorders>
              <w:tl2br w:val="nil"/>
              <w:tr2bl w:val="nil"/>
            </w:tcBorders>
            <w:shd w:val="clear" w:color="auto" w:fill="auto"/>
            <w:vAlign w:val="center"/>
          </w:tcPr>
          <w:p w14:paraId="06A19E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0DB9066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678AF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E8D962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B01458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76E8DFF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54B3AA6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15CA5D4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none"/>
                <w:lang w:eastAsia="zh-CN"/>
              </w:rPr>
            </w:pPr>
            <w:r>
              <w:rPr>
                <w:rFonts w:hint="eastAsia"/>
                <w:sz w:val="21"/>
                <w:szCs w:val="21"/>
                <w:u w:val="none"/>
                <w:lang w:eastAsia="zh-CN"/>
              </w:rPr>
              <w:t>24</w:t>
            </w:r>
            <w:r>
              <w:rPr>
                <w:sz w:val="21"/>
                <w:szCs w:val="21"/>
                <w:u w:val="none"/>
                <w:lang w:eastAsia="en-US"/>
              </w:rPr>
              <w:t>07</w:t>
            </w:r>
            <w:r>
              <w:rPr>
                <w:rFonts w:hint="eastAsia"/>
                <w:sz w:val="21"/>
                <w:szCs w:val="21"/>
                <w:u w:val="none"/>
                <w:lang w:eastAsia="zh-CN"/>
              </w:rPr>
              <w:t>24</w:t>
            </w:r>
          </w:p>
        </w:tc>
        <w:tc>
          <w:tcPr>
            <w:tcW w:w="1182" w:type="dxa"/>
            <w:tcBorders>
              <w:tl2br w:val="nil"/>
              <w:tr2bl w:val="nil"/>
            </w:tcBorders>
            <w:shd w:val="clear" w:color="auto" w:fill="auto"/>
            <w:vAlign w:val="center"/>
          </w:tcPr>
          <w:p w14:paraId="7D1F78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0.0275</w:t>
            </w:r>
          </w:p>
        </w:tc>
        <w:tc>
          <w:tcPr>
            <w:tcW w:w="914" w:type="dxa"/>
            <w:tcBorders>
              <w:tl2br w:val="nil"/>
              <w:tr2bl w:val="nil"/>
            </w:tcBorders>
            <w:shd w:val="clear" w:color="auto" w:fill="auto"/>
            <w:vAlign w:val="center"/>
          </w:tcPr>
          <w:p w14:paraId="7A40E93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FD6582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88D6E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AEDD68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continue"/>
            <w:tcBorders>
              <w:tl2br w:val="nil"/>
              <w:tr2bl w:val="nil"/>
            </w:tcBorders>
            <w:shd w:val="clear" w:color="auto" w:fill="auto"/>
            <w:vAlign w:val="center"/>
          </w:tcPr>
          <w:p w14:paraId="72B2475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7069EE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19BE741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16C6A5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6046582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4289B3F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30A617A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0.0085</w:t>
            </w:r>
          </w:p>
        </w:tc>
        <w:tc>
          <w:tcPr>
            <w:tcW w:w="914" w:type="dxa"/>
            <w:tcBorders>
              <w:tl2br w:val="nil"/>
              <w:tr2bl w:val="nil"/>
            </w:tcBorders>
            <w:shd w:val="clear" w:color="auto" w:fill="auto"/>
            <w:vAlign w:val="center"/>
          </w:tcPr>
          <w:p w14:paraId="24B2436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DF688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01BBFD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63AB90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PrEx>
        <w:trPr>
          <w:trHeight w:val="340" w:hRule="atLeast"/>
          <w:jc w:val="center"/>
        </w:trPr>
        <w:tc>
          <w:tcPr>
            <w:tcW w:w="378" w:type="dxa"/>
            <w:vMerge w:val="restart"/>
            <w:tcBorders>
              <w:tl2br w:val="nil"/>
              <w:tr2bl w:val="nil"/>
            </w:tcBorders>
            <w:shd w:val="clear" w:color="auto" w:fill="auto"/>
            <w:vAlign w:val="center"/>
          </w:tcPr>
          <w:p w14:paraId="075ACA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20</w:t>
            </w:r>
          </w:p>
        </w:tc>
        <w:tc>
          <w:tcPr>
            <w:tcW w:w="1145" w:type="dxa"/>
            <w:vMerge w:val="restart"/>
            <w:tcBorders>
              <w:tl2br w:val="nil"/>
              <w:tr2bl w:val="nil"/>
            </w:tcBorders>
            <w:shd w:val="clear" w:color="auto" w:fill="auto"/>
            <w:vAlign w:val="center"/>
          </w:tcPr>
          <w:p w14:paraId="32BC55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zh-CN"/>
              </w:rPr>
            </w:pPr>
            <w:r>
              <w:rPr>
                <w:sz w:val="21"/>
                <w:szCs w:val="21"/>
                <w:u w:val="none"/>
                <w:lang w:eastAsia="zh-CN"/>
              </w:rPr>
              <w:t>东北侧湘潭县居民居住集中区</w:t>
            </w:r>
          </w:p>
        </w:tc>
        <w:tc>
          <w:tcPr>
            <w:tcW w:w="737" w:type="dxa"/>
            <w:vMerge w:val="restart"/>
            <w:tcBorders>
              <w:tl2br w:val="nil"/>
              <w:tr2bl w:val="nil"/>
            </w:tcBorders>
            <w:shd w:val="clear" w:color="auto" w:fill="auto"/>
            <w:vAlign w:val="center"/>
          </w:tcPr>
          <w:p w14:paraId="1D60A5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582</w:t>
            </w:r>
          </w:p>
        </w:tc>
        <w:tc>
          <w:tcPr>
            <w:tcW w:w="647" w:type="dxa"/>
            <w:vMerge w:val="restart"/>
            <w:tcBorders>
              <w:tl2br w:val="nil"/>
              <w:tr2bl w:val="nil"/>
            </w:tcBorders>
            <w:shd w:val="clear" w:color="auto" w:fill="auto"/>
            <w:vAlign w:val="center"/>
          </w:tcPr>
          <w:p w14:paraId="65EBA74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2019</w:t>
            </w:r>
          </w:p>
        </w:tc>
        <w:tc>
          <w:tcPr>
            <w:tcW w:w="914" w:type="dxa"/>
            <w:tcBorders>
              <w:tl2br w:val="nil"/>
              <w:tr2bl w:val="nil"/>
            </w:tcBorders>
            <w:shd w:val="clear" w:color="auto" w:fill="auto"/>
            <w:vAlign w:val="center"/>
          </w:tcPr>
          <w:p w14:paraId="562D1E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46AB54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081121</w:t>
            </w:r>
          </w:p>
        </w:tc>
        <w:tc>
          <w:tcPr>
            <w:tcW w:w="1182" w:type="dxa"/>
            <w:tcBorders>
              <w:tl2br w:val="nil"/>
              <w:tr2bl w:val="nil"/>
            </w:tcBorders>
            <w:shd w:val="clear" w:color="auto" w:fill="auto"/>
            <w:vAlign w:val="center"/>
          </w:tcPr>
          <w:p w14:paraId="0BE3A2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0.1459</w:t>
            </w:r>
          </w:p>
        </w:tc>
        <w:tc>
          <w:tcPr>
            <w:tcW w:w="914" w:type="dxa"/>
            <w:tcBorders>
              <w:tl2br w:val="nil"/>
              <w:tr2bl w:val="nil"/>
            </w:tcBorders>
            <w:shd w:val="clear" w:color="auto" w:fill="auto"/>
            <w:vAlign w:val="center"/>
          </w:tcPr>
          <w:p w14:paraId="5C2EA52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022669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12.16</w:t>
            </w:r>
          </w:p>
        </w:tc>
        <w:tc>
          <w:tcPr>
            <w:tcW w:w="716" w:type="dxa"/>
            <w:tcBorders>
              <w:tl2br w:val="nil"/>
              <w:tr2bl w:val="nil"/>
            </w:tcBorders>
            <w:shd w:val="clear" w:color="auto" w:fill="auto"/>
            <w:vAlign w:val="center"/>
          </w:tcPr>
          <w:p w14:paraId="5AAF3E0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648E328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4211FF5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8C9B41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66FC1A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B4C81F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66B9C9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13A3DE1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0811</w:t>
            </w:r>
          </w:p>
        </w:tc>
        <w:tc>
          <w:tcPr>
            <w:tcW w:w="1182" w:type="dxa"/>
            <w:tcBorders>
              <w:tl2br w:val="nil"/>
              <w:tr2bl w:val="nil"/>
            </w:tcBorders>
            <w:shd w:val="clear" w:color="auto" w:fill="auto"/>
            <w:vAlign w:val="center"/>
          </w:tcPr>
          <w:p w14:paraId="41CD668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0.0253</w:t>
            </w:r>
          </w:p>
        </w:tc>
        <w:tc>
          <w:tcPr>
            <w:tcW w:w="914" w:type="dxa"/>
            <w:tcBorders>
              <w:tl2br w:val="nil"/>
              <w:tr2bl w:val="nil"/>
            </w:tcBorders>
            <w:shd w:val="clear" w:color="auto" w:fill="auto"/>
            <w:vAlign w:val="center"/>
          </w:tcPr>
          <w:p w14:paraId="1B3A3B2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3594B45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055C965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3C93B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A2F3A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30FF90A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3C4BE1A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6E9B10A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5CFA5B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6371F5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2D7B04A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0.0088</w:t>
            </w:r>
          </w:p>
        </w:tc>
        <w:tc>
          <w:tcPr>
            <w:tcW w:w="914" w:type="dxa"/>
            <w:tcBorders>
              <w:tl2br w:val="nil"/>
              <w:tr2bl w:val="nil"/>
            </w:tcBorders>
            <w:shd w:val="clear" w:color="auto" w:fill="auto"/>
            <w:vAlign w:val="center"/>
          </w:tcPr>
          <w:p w14:paraId="42F3A06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02145D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6FE158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6DDA0B4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3B5DBA8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21</w:t>
            </w:r>
          </w:p>
        </w:tc>
        <w:tc>
          <w:tcPr>
            <w:tcW w:w="1145" w:type="dxa"/>
            <w:vMerge w:val="restart"/>
            <w:tcBorders>
              <w:tl2br w:val="nil"/>
              <w:tr2bl w:val="nil"/>
            </w:tcBorders>
            <w:shd w:val="clear" w:color="auto" w:fill="auto"/>
            <w:vAlign w:val="center"/>
          </w:tcPr>
          <w:p w14:paraId="5EF836C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zh-CN"/>
              </w:rPr>
            </w:pPr>
            <w:r>
              <w:rPr>
                <w:sz w:val="21"/>
                <w:szCs w:val="21"/>
                <w:u w:val="none"/>
                <w:lang w:eastAsia="zh-CN"/>
              </w:rPr>
              <w:t>西北侧湘潭县居民居住集中区</w:t>
            </w:r>
          </w:p>
        </w:tc>
        <w:tc>
          <w:tcPr>
            <w:tcW w:w="737" w:type="dxa"/>
            <w:vMerge w:val="restart"/>
            <w:tcBorders>
              <w:tl2br w:val="nil"/>
              <w:tr2bl w:val="nil"/>
            </w:tcBorders>
            <w:shd w:val="clear" w:color="auto" w:fill="auto"/>
            <w:vAlign w:val="center"/>
          </w:tcPr>
          <w:p w14:paraId="4CE6C02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-1045</w:t>
            </w:r>
          </w:p>
        </w:tc>
        <w:tc>
          <w:tcPr>
            <w:tcW w:w="647" w:type="dxa"/>
            <w:vMerge w:val="restart"/>
            <w:tcBorders>
              <w:tl2br w:val="nil"/>
              <w:tr2bl w:val="nil"/>
            </w:tcBorders>
            <w:shd w:val="clear" w:color="auto" w:fill="auto"/>
            <w:vAlign w:val="center"/>
          </w:tcPr>
          <w:p w14:paraId="7DD8EF1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1765</w:t>
            </w:r>
          </w:p>
        </w:tc>
        <w:tc>
          <w:tcPr>
            <w:tcW w:w="914" w:type="dxa"/>
            <w:tcBorders>
              <w:tl2br w:val="nil"/>
              <w:tr2bl w:val="nil"/>
            </w:tcBorders>
            <w:shd w:val="clear" w:color="auto" w:fill="auto"/>
            <w:vAlign w:val="center"/>
          </w:tcPr>
          <w:p w14:paraId="559605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6E437BD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081603</w:t>
            </w:r>
          </w:p>
        </w:tc>
        <w:tc>
          <w:tcPr>
            <w:tcW w:w="1182" w:type="dxa"/>
            <w:tcBorders>
              <w:tl2br w:val="nil"/>
              <w:tr2bl w:val="nil"/>
            </w:tcBorders>
            <w:shd w:val="clear" w:color="auto" w:fill="auto"/>
            <w:vAlign w:val="center"/>
          </w:tcPr>
          <w:p w14:paraId="18A0B02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0.1629</w:t>
            </w:r>
          </w:p>
        </w:tc>
        <w:tc>
          <w:tcPr>
            <w:tcW w:w="914" w:type="dxa"/>
            <w:tcBorders>
              <w:tl2br w:val="nil"/>
              <w:tr2bl w:val="nil"/>
            </w:tcBorders>
            <w:shd w:val="clear" w:color="auto" w:fill="auto"/>
            <w:vAlign w:val="center"/>
          </w:tcPr>
          <w:p w14:paraId="7C68A6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6850410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13.58</w:t>
            </w:r>
          </w:p>
        </w:tc>
        <w:tc>
          <w:tcPr>
            <w:tcW w:w="716" w:type="dxa"/>
            <w:tcBorders>
              <w:tl2br w:val="nil"/>
              <w:tr2bl w:val="nil"/>
            </w:tcBorders>
            <w:shd w:val="clear" w:color="auto" w:fill="auto"/>
            <w:vAlign w:val="center"/>
          </w:tcPr>
          <w:p w14:paraId="1EB711F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735CDDC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70D5684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67A1A7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7ACD1CE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21FAAEB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CE4C9E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25A2A4A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1127</w:t>
            </w:r>
          </w:p>
        </w:tc>
        <w:tc>
          <w:tcPr>
            <w:tcW w:w="1182" w:type="dxa"/>
            <w:tcBorders>
              <w:tl2br w:val="nil"/>
              <w:tr2bl w:val="nil"/>
            </w:tcBorders>
            <w:shd w:val="clear" w:color="auto" w:fill="auto"/>
            <w:vAlign w:val="center"/>
          </w:tcPr>
          <w:p w14:paraId="7E2FAE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0.0234</w:t>
            </w:r>
          </w:p>
        </w:tc>
        <w:tc>
          <w:tcPr>
            <w:tcW w:w="914" w:type="dxa"/>
            <w:tcBorders>
              <w:tl2br w:val="nil"/>
              <w:tr2bl w:val="nil"/>
            </w:tcBorders>
            <w:shd w:val="clear" w:color="auto" w:fill="auto"/>
            <w:vAlign w:val="center"/>
          </w:tcPr>
          <w:p w14:paraId="439EACA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B6050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6C3964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1D94472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16B38F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0F92032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4D0A4E5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0F3A980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55136B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1C06382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404535E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0.0082</w:t>
            </w:r>
          </w:p>
        </w:tc>
        <w:tc>
          <w:tcPr>
            <w:tcW w:w="914" w:type="dxa"/>
            <w:tcBorders>
              <w:tl2br w:val="nil"/>
              <w:tr2bl w:val="nil"/>
            </w:tcBorders>
            <w:shd w:val="clear" w:color="auto" w:fill="auto"/>
            <w:vAlign w:val="center"/>
          </w:tcPr>
          <w:p w14:paraId="14EF2BF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501DB85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5C4524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3E9812E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restart"/>
            <w:tcBorders>
              <w:tl2br w:val="nil"/>
              <w:tr2bl w:val="nil"/>
            </w:tcBorders>
            <w:shd w:val="clear" w:color="auto" w:fill="auto"/>
            <w:vAlign w:val="center"/>
          </w:tcPr>
          <w:p w14:paraId="6B49ED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u w:val="none"/>
                <w:lang w:eastAsia="zh-CN"/>
              </w:rPr>
            </w:pPr>
            <w:r>
              <w:rPr>
                <w:rFonts w:hint="eastAsia"/>
                <w:sz w:val="21"/>
                <w:szCs w:val="21"/>
                <w:u w:val="none"/>
                <w:lang w:eastAsia="zh-CN"/>
              </w:rPr>
              <w:t>24</w:t>
            </w:r>
          </w:p>
        </w:tc>
        <w:tc>
          <w:tcPr>
            <w:tcW w:w="1145" w:type="dxa"/>
            <w:vMerge w:val="restart"/>
            <w:tcBorders>
              <w:tl2br w:val="nil"/>
              <w:tr2bl w:val="nil"/>
            </w:tcBorders>
            <w:shd w:val="clear" w:color="auto" w:fill="auto"/>
            <w:vAlign w:val="center"/>
          </w:tcPr>
          <w:p w14:paraId="7C253FE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湘潭县环境监测点</w:t>
            </w:r>
          </w:p>
        </w:tc>
        <w:tc>
          <w:tcPr>
            <w:tcW w:w="737" w:type="dxa"/>
            <w:vMerge w:val="restart"/>
            <w:tcBorders>
              <w:tl2br w:val="nil"/>
              <w:tr2bl w:val="nil"/>
            </w:tcBorders>
            <w:shd w:val="clear" w:color="auto" w:fill="auto"/>
            <w:vAlign w:val="center"/>
          </w:tcPr>
          <w:p w14:paraId="47CD7F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-1271</w:t>
            </w:r>
          </w:p>
        </w:tc>
        <w:tc>
          <w:tcPr>
            <w:tcW w:w="647" w:type="dxa"/>
            <w:vMerge w:val="restart"/>
            <w:tcBorders>
              <w:tl2br w:val="nil"/>
              <w:tr2bl w:val="nil"/>
            </w:tcBorders>
            <w:shd w:val="clear" w:color="auto" w:fill="auto"/>
            <w:vAlign w:val="center"/>
          </w:tcPr>
          <w:p w14:paraId="2276D5D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1231</w:t>
            </w:r>
          </w:p>
        </w:tc>
        <w:tc>
          <w:tcPr>
            <w:tcW w:w="914" w:type="dxa"/>
            <w:tcBorders>
              <w:tl2br w:val="nil"/>
              <w:tr2bl w:val="nil"/>
            </w:tcBorders>
            <w:shd w:val="clear" w:color="auto" w:fill="auto"/>
            <w:vAlign w:val="center"/>
          </w:tcPr>
          <w:p w14:paraId="405112F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1小时</w:t>
            </w:r>
          </w:p>
        </w:tc>
        <w:tc>
          <w:tcPr>
            <w:tcW w:w="1069" w:type="dxa"/>
            <w:tcBorders>
              <w:tl2br w:val="nil"/>
              <w:tr2bl w:val="nil"/>
            </w:tcBorders>
            <w:shd w:val="clear" w:color="auto" w:fill="auto"/>
            <w:vAlign w:val="center"/>
          </w:tcPr>
          <w:p w14:paraId="0549FB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082003</w:t>
            </w:r>
          </w:p>
        </w:tc>
        <w:tc>
          <w:tcPr>
            <w:tcW w:w="1182" w:type="dxa"/>
            <w:tcBorders>
              <w:tl2br w:val="nil"/>
              <w:tr2bl w:val="nil"/>
            </w:tcBorders>
            <w:shd w:val="clear" w:color="auto" w:fill="auto"/>
            <w:vAlign w:val="center"/>
          </w:tcPr>
          <w:p w14:paraId="5B3BFEF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0.1013</w:t>
            </w:r>
          </w:p>
        </w:tc>
        <w:tc>
          <w:tcPr>
            <w:tcW w:w="914" w:type="dxa"/>
            <w:tcBorders>
              <w:tl2br w:val="nil"/>
              <w:tr2bl w:val="nil"/>
            </w:tcBorders>
            <w:shd w:val="clear" w:color="auto" w:fill="auto"/>
            <w:vAlign w:val="center"/>
          </w:tcPr>
          <w:p w14:paraId="58E7414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1.2</w:t>
            </w:r>
          </w:p>
        </w:tc>
        <w:tc>
          <w:tcPr>
            <w:tcW w:w="784" w:type="dxa"/>
            <w:tcBorders>
              <w:tl2br w:val="nil"/>
              <w:tr2bl w:val="nil"/>
            </w:tcBorders>
            <w:shd w:val="clear" w:color="auto" w:fill="auto"/>
            <w:vAlign w:val="center"/>
          </w:tcPr>
          <w:p w14:paraId="1CC9E3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8.44</w:t>
            </w:r>
          </w:p>
        </w:tc>
        <w:tc>
          <w:tcPr>
            <w:tcW w:w="716" w:type="dxa"/>
            <w:tcBorders>
              <w:tl2br w:val="nil"/>
              <w:tr2bl w:val="nil"/>
            </w:tcBorders>
            <w:shd w:val="clear" w:color="auto" w:fill="auto"/>
            <w:vAlign w:val="center"/>
          </w:tcPr>
          <w:p w14:paraId="06411D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达标</w:t>
            </w:r>
          </w:p>
        </w:tc>
      </w:tr>
      <w:tr w14:paraId="31DB76C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250FDEE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23D1776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52ABD31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5EE05CA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16EABC4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日平均</w:t>
            </w:r>
          </w:p>
        </w:tc>
        <w:tc>
          <w:tcPr>
            <w:tcW w:w="1069" w:type="dxa"/>
            <w:tcBorders>
              <w:tl2br w:val="nil"/>
              <w:tr2bl w:val="nil"/>
            </w:tcBorders>
            <w:shd w:val="clear" w:color="auto" w:fill="auto"/>
            <w:vAlign w:val="center"/>
          </w:tcPr>
          <w:p w14:paraId="4EA2E9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zh-CN"/>
              </w:rPr>
              <w:t>24</w:t>
            </w:r>
            <w:r>
              <w:rPr>
                <w:sz w:val="21"/>
                <w:szCs w:val="21"/>
                <w:u w:val="none"/>
                <w:lang w:eastAsia="en-US"/>
              </w:rPr>
              <w:t>1127</w:t>
            </w:r>
          </w:p>
        </w:tc>
        <w:tc>
          <w:tcPr>
            <w:tcW w:w="1182" w:type="dxa"/>
            <w:tcBorders>
              <w:tl2br w:val="nil"/>
              <w:tr2bl w:val="nil"/>
            </w:tcBorders>
            <w:shd w:val="clear" w:color="auto" w:fill="auto"/>
            <w:vAlign w:val="center"/>
          </w:tcPr>
          <w:p w14:paraId="12B199A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0.0212</w:t>
            </w:r>
          </w:p>
        </w:tc>
        <w:tc>
          <w:tcPr>
            <w:tcW w:w="914" w:type="dxa"/>
            <w:tcBorders>
              <w:tl2br w:val="nil"/>
              <w:tr2bl w:val="nil"/>
            </w:tcBorders>
            <w:shd w:val="clear" w:color="auto" w:fill="auto"/>
            <w:vAlign w:val="center"/>
          </w:tcPr>
          <w:p w14:paraId="7E6208A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173A71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28FEFB9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r w14:paraId="71A00C6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2" w:space="0"/>
          </w:tblBorders>
          <w:tblCellMar>
            <w:top w:w="0" w:type="dxa"/>
            <w:left w:w="0" w:type="dxa"/>
            <w:bottom w:w="0" w:type="dxa"/>
            <w:right w:w="0" w:type="dxa"/>
          </w:tblCellMar>
        </w:tblPrEx>
        <w:trPr>
          <w:trHeight w:val="340" w:hRule="atLeast"/>
          <w:jc w:val="center"/>
        </w:trPr>
        <w:tc>
          <w:tcPr>
            <w:tcW w:w="378" w:type="dxa"/>
            <w:vMerge w:val="continue"/>
            <w:tcBorders>
              <w:tl2br w:val="nil"/>
              <w:tr2bl w:val="nil"/>
            </w:tcBorders>
            <w:shd w:val="clear" w:color="auto" w:fill="auto"/>
            <w:vAlign w:val="center"/>
          </w:tcPr>
          <w:p w14:paraId="3F07CB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1145" w:type="dxa"/>
            <w:vMerge w:val="continue"/>
            <w:tcBorders>
              <w:tl2br w:val="nil"/>
              <w:tr2bl w:val="nil"/>
            </w:tcBorders>
            <w:shd w:val="clear" w:color="auto" w:fill="auto"/>
            <w:vAlign w:val="center"/>
          </w:tcPr>
          <w:p w14:paraId="56F5697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737" w:type="dxa"/>
            <w:vMerge w:val="continue"/>
            <w:tcBorders>
              <w:tl2br w:val="nil"/>
              <w:tr2bl w:val="nil"/>
            </w:tcBorders>
            <w:shd w:val="clear" w:color="auto" w:fill="auto"/>
            <w:vAlign w:val="center"/>
          </w:tcPr>
          <w:p w14:paraId="64EC08C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647" w:type="dxa"/>
            <w:vMerge w:val="continue"/>
            <w:tcBorders>
              <w:tl2br w:val="nil"/>
              <w:tr2bl w:val="nil"/>
            </w:tcBorders>
            <w:shd w:val="clear" w:color="auto" w:fill="auto"/>
            <w:vAlign w:val="center"/>
          </w:tcPr>
          <w:p w14:paraId="457531D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p>
        </w:tc>
        <w:tc>
          <w:tcPr>
            <w:tcW w:w="914" w:type="dxa"/>
            <w:tcBorders>
              <w:tl2br w:val="nil"/>
              <w:tr2bl w:val="nil"/>
            </w:tcBorders>
            <w:shd w:val="clear" w:color="auto" w:fill="auto"/>
            <w:vAlign w:val="center"/>
          </w:tcPr>
          <w:p w14:paraId="26F176C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年平均</w:t>
            </w:r>
          </w:p>
        </w:tc>
        <w:tc>
          <w:tcPr>
            <w:tcW w:w="1069" w:type="dxa"/>
            <w:tcBorders>
              <w:tl2br w:val="nil"/>
              <w:tr2bl w:val="nil"/>
            </w:tcBorders>
            <w:shd w:val="clear" w:color="auto" w:fill="auto"/>
            <w:vAlign w:val="center"/>
          </w:tcPr>
          <w:p w14:paraId="7132981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平均值</w:t>
            </w:r>
          </w:p>
        </w:tc>
        <w:tc>
          <w:tcPr>
            <w:tcW w:w="1182" w:type="dxa"/>
            <w:tcBorders>
              <w:tl2br w:val="nil"/>
              <w:tr2bl w:val="nil"/>
            </w:tcBorders>
            <w:shd w:val="clear" w:color="auto" w:fill="auto"/>
            <w:vAlign w:val="center"/>
          </w:tcPr>
          <w:p w14:paraId="6819A7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sz w:val="21"/>
                <w:szCs w:val="21"/>
                <w:u w:val="none"/>
                <w:lang w:eastAsia="en-US"/>
              </w:rPr>
              <w:t>0.0082</w:t>
            </w:r>
          </w:p>
        </w:tc>
        <w:tc>
          <w:tcPr>
            <w:tcW w:w="914" w:type="dxa"/>
            <w:tcBorders>
              <w:tl2br w:val="nil"/>
              <w:tr2bl w:val="nil"/>
            </w:tcBorders>
            <w:shd w:val="clear" w:color="auto" w:fill="auto"/>
            <w:vAlign w:val="center"/>
          </w:tcPr>
          <w:p w14:paraId="0CC15B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0.0</w:t>
            </w:r>
          </w:p>
        </w:tc>
        <w:tc>
          <w:tcPr>
            <w:tcW w:w="784" w:type="dxa"/>
            <w:tcBorders>
              <w:tl2br w:val="nil"/>
              <w:tr2bl w:val="nil"/>
            </w:tcBorders>
            <w:shd w:val="clear" w:color="auto" w:fill="auto"/>
            <w:vAlign w:val="center"/>
          </w:tcPr>
          <w:p w14:paraId="542FF2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无标准</w:t>
            </w:r>
          </w:p>
        </w:tc>
        <w:tc>
          <w:tcPr>
            <w:tcW w:w="716" w:type="dxa"/>
            <w:tcBorders>
              <w:tl2br w:val="nil"/>
              <w:tr2bl w:val="nil"/>
            </w:tcBorders>
            <w:shd w:val="clear" w:color="auto" w:fill="auto"/>
            <w:vAlign w:val="center"/>
          </w:tcPr>
          <w:p w14:paraId="3B84BC0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sz w:val="21"/>
                <w:szCs w:val="21"/>
                <w:u w:val="none"/>
                <w:lang w:eastAsia="en-US"/>
              </w:rPr>
            </w:pPr>
            <w:r>
              <w:rPr>
                <w:rFonts w:hint="eastAsia"/>
                <w:sz w:val="21"/>
                <w:szCs w:val="21"/>
                <w:u w:val="none"/>
                <w:lang w:eastAsia="en-US"/>
              </w:rPr>
              <w:t>/</w:t>
            </w:r>
          </w:p>
        </w:tc>
      </w:tr>
    </w:tbl>
    <w:p w14:paraId="2E641D13">
      <w:pPr>
        <w:ind w:firstLine="480"/>
        <w:jc w:val="center"/>
        <w:rPr>
          <w:u w:val="single"/>
        </w:rPr>
      </w:pPr>
    </w:p>
    <w:p w14:paraId="27243001">
      <w:pPr>
        <w:ind w:firstLine="480"/>
        <w:jc w:val="center"/>
        <w:rPr>
          <w:u w:val="single"/>
        </w:rPr>
      </w:pPr>
      <w:r>
        <w:pict>
          <v:shape id="_x0000_s1219" o:spid="_x0000_s1219" o:spt="75" type="#_x0000_t75" style="position:absolute;left:0pt;margin-left:40.4pt;margin-top:349.65pt;height:279.95pt;width:338pt;mso-position-horizontal-relative:margin;mso-position-vertical-relative:margin;mso-wrap-distance-bottom:0pt;mso-wrap-distance-left:9pt;mso-wrap-distance-right:9pt;mso-wrap-distance-top:0pt;z-index:251689984;mso-width-relative:page;mso-height-relative:page;" filled="f" o:preferrelative="t" stroked="f" coordsize="21600,21600">
            <v:path/>
            <v:fill on="f" focussize="0,0"/>
            <v:stroke on="f" joinstyle="miter"/>
            <v:imagedata r:id="rId70" o:title="TVOC叠加小时"/>
            <o:lock v:ext="edit" aspectratio="t"/>
            <w10:wrap type="square"/>
          </v:shape>
        </w:pict>
      </w:r>
    </w:p>
    <w:p w14:paraId="2B6AE1BF">
      <w:pPr>
        <w:ind w:firstLine="480"/>
        <w:jc w:val="center"/>
        <w:rPr>
          <w:u w:val="single"/>
        </w:rPr>
      </w:pPr>
    </w:p>
    <w:p w14:paraId="2FE25C59">
      <w:pPr>
        <w:ind w:firstLine="480"/>
        <w:jc w:val="center"/>
        <w:rPr>
          <w:u w:val="single"/>
        </w:rPr>
      </w:pPr>
    </w:p>
    <w:p w14:paraId="4469CC3D">
      <w:pPr>
        <w:ind w:firstLine="480"/>
        <w:jc w:val="center"/>
        <w:rPr>
          <w:u w:val="single"/>
        </w:rPr>
      </w:pPr>
    </w:p>
    <w:p w14:paraId="7B3238FB">
      <w:pPr>
        <w:ind w:firstLine="480"/>
        <w:jc w:val="center"/>
        <w:rPr>
          <w:u w:val="single"/>
        </w:rPr>
      </w:pPr>
    </w:p>
    <w:p w14:paraId="78C9B0E2">
      <w:pPr>
        <w:ind w:firstLine="480"/>
        <w:jc w:val="center"/>
        <w:rPr>
          <w:u w:val="single"/>
        </w:rPr>
      </w:pPr>
    </w:p>
    <w:p w14:paraId="7027BAB6">
      <w:pPr>
        <w:ind w:firstLine="480"/>
        <w:jc w:val="center"/>
        <w:rPr>
          <w:u w:val="single"/>
        </w:rPr>
      </w:pPr>
    </w:p>
    <w:p w14:paraId="227E4919">
      <w:pPr>
        <w:ind w:firstLine="480"/>
        <w:jc w:val="center"/>
        <w:rPr>
          <w:u w:val="single"/>
        </w:rPr>
      </w:pPr>
    </w:p>
    <w:p w14:paraId="62B260CA">
      <w:pPr>
        <w:ind w:firstLine="480"/>
        <w:jc w:val="center"/>
        <w:rPr>
          <w:u w:val="single"/>
        </w:rPr>
      </w:pPr>
    </w:p>
    <w:p w14:paraId="37C858B0">
      <w:pPr>
        <w:ind w:firstLine="480"/>
        <w:jc w:val="center"/>
        <w:rPr>
          <w:u w:val="single"/>
        </w:rPr>
      </w:pPr>
    </w:p>
    <w:p w14:paraId="146DF82E">
      <w:pPr>
        <w:ind w:firstLine="480"/>
        <w:jc w:val="center"/>
        <w:rPr>
          <w:u w:val="single"/>
        </w:rPr>
      </w:pPr>
    </w:p>
    <w:p w14:paraId="7FB7194E">
      <w:pPr>
        <w:ind w:firstLine="1440" w:firstLineChars="600"/>
        <w:rPr>
          <w:rFonts w:ascii="宋体" w:hAnsi="宋体" w:cs="宋体"/>
          <w:b/>
          <w:bCs/>
          <w:u w:val="single"/>
        </w:rPr>
      </w:pPr>
      <w:r>
        <w:rPr>
          <w:rFonts w:hint="eastAsia"/>
        </w:rPr>
        <w:t>挥发性有机物叠加浓度分布图—小时 单位：mg/m</w:t>
      </w:r>
      <w:r>
        <w:rPr>
          <w:rFonts w:hint="eastAsia"/>
          <w:vertAlign w:val="superscript"/>
        </w:rPr>
        <w:t>3</w:t>
      </w:r>
    </w:p>
    <w:p w14:paraId="7654CE3D">
      <w:pPr>
        <w:ind w:firstLine="482"/>
        <w:rPr>
          <w:rFonts w:ascii="宋体" w:hAnsi="宋体" w:cs="宋体"/>
          <w:b/>
          <w:bCs/>
          <w:u w:val="single"/>
        </w:rPr>
      </w:pPr>
      <w:r>
        <w:pict>
          <v:shape id="_x0000_s1220" o:spid="_x0000_s1220" o:spt="75" type="#_x0000_t75" style="position:absolute;left:0pt;margin-left:35.5pt;margin-top:320.75pt;height:282.55pt;width:341.9pt;mso-position-horizontal-relative:margin;mso-position-vertical-relative:margin;mso-wrap-distance-bottom:0pt;mso-wrap-distance-left:9pt;mso-wrap-distance-right:9pt;mso-wrap-distance-top:0pt;z-index:251691008;mso-width-relative:page;mso-height-relative:page;" filled="f" o:preferrelative="t" stroked="f" coordsize="21600,21600">
            <v:path/>
            <v:fill on="f" focussize="0,0"/>
            <v:stroke on="f" joinstyle="miter"/>
            <v:imagedata r:id="rId71" o:title="TVOC叠加日均"/>
            <o:lock v:ext="edit" aspectratio="t"/>
            <w10:wrap type="square"/>
          </v:shape>
        </w:pict>
      </w:r>
    </w:p>
    <w:p w14:paraId="639C0BFC">
      <w:pPr>
        <w:ind w:firstLine="482"/>
        <w:rPr>
          <w:rFonts w:ascii="宋体" w:hAnsi="宋体" w:cs="宋体"/>
          <w:b/>
          <w:bCs/>
          <w:u w:val="single"/>
        </w:rPr>
      </w:pPr>
    </w:p>
    <w:p w14:paraId="6D18A974">
      <w:pPr>
        <w:ind w:firstLine="482"/>
        <w:rPr>
          <w:rFonts w:ascii="宋体" w:hAnsi="宋体" w:cs="宋体"/>
          <w:b/>
          <w:bCs/>
          <w:u w:val="single"/>
        </w:rPr>
      </w:pPr>
    </w:p>
    <w:p w14:paraId="08722CBF">
      <w:pPr>
        <w:ind w:firstLine="482"/>
        <w:rPr>
          <w:rFonts w:ascii="宋体" w:hAnsi="宋体" w:cs="宋体"/>
          <w:b/>
          <w:bCs/>
          <w:u w:val="single"/>
        </w:rPr>
      </w:pPr>
    </w:p>
    <w:p w14:paraId="77DE3E5D">
      <w:pPr>
        <w:ind w:firstLine="1680" w:firstLineChars="700"/>
        <w:rPr>
          <w:rFonts w:ascii="宋体" w:hAnsi="宋体" w:cs="宋体"/>
          <w:b/>
          <w:bCs/>
          <w:u w:val="single"/>
        </w:rPr>
      </w:pPr>
      <w:r>
        <w:rPr>
          <w:rFonts w:hint="eastAsia"/>
        </w:rPr>
        <w:t>挥发性有机物叠加浓度分布图—日均 单位：mg/m</w:t>
      </w:r>
      <w:r>
        <w:rPr>
          <w:rFonts w:hint="eastAsia"/>
          <w:vertAlign w:val="superscript"/>
        </w:rPr>
        <w:t>3</w:t>
      </w:r>
    </w:p>
    <w:p w14:paraId="6682DFD9">
      <w:pPr>
        <w:ind w:firstLine="482"/>
        <w:rPr>
          <w:rFonts w:ascii="宋体" w:hAnsi="宋体" w:cs="宋体"/>
          <w:b/>
          <w:bCs/>
          <w:u w:val="single"/>
        </w:rPr>
      </w:pPr>
    </w:p>
    <w:p w14:paraId="338CEE7C">
      <w:pPr>
        <w:ind w:firstLine="482"/>
        <w:rPr>
          <w:rFonts w:ascii="宋体" w:hAnsi="宋体" w:cs="宋体"/>
          <w:b/>
          <w:bCs/>
          <w:u w:val="single"/>
        </w:rPr>
      </w:pPr>
    </w:p>
    <w:p w14:paraId="6A6F9674">
      <w:pPr>
        <w:ind w:firstLine="482"/>
        <w:rPr>
          <w:rFonts w:ascii="宋体" w:hAnsi="宋体" w:cs="宋体"/>
          <w:b/>
          <w:bCs/>
          <w:u w:val="single"/>
        </w:rPr>
      </w:pPr>
      <w:r>
        <w:pict>
          <v:shape id="_x0000_s1221" o:spid="_x0000_s1221" o:spt="75" type="#_x0000_t75" style="position:absolute;left:0pt;height:277.1pt;width:334.25pt;mso-position-horizontal:center;mso-position-horizontal-relative:margin;mso-position-vertical:top;mso-position-vertical-relative:margin;mso-wrap-distance-bottom:0pt;mso-wrap-distance-left:9pt;mso-wrap-distance-right:9pt;mso-wrap-distance-top:0pt;z-index:251692032;mso-width-relative:page;mso-height-relative:page;" filled="f" o:preferrelative="t" stroked="f" coordsize="21600,21600">
            <v:path/>
            <v:fill on="f" focussize="0,0"/>
            <v:stroke on="f" joinstyle="miter"/>
            <v:imagedata r:id="rId72" o:title="TVOC叠加年均"/>
            <o:lock v:ext="edit" aspectratio="t"/>
            <w10:wrap type="square"/>
          </v:shape>
        </w:pict>
      </w:r>
    </w:p>
    <w:p w14:paraId="314CF210">
      <w:pPr>
        <w:ind w:firstLine="482"/>
        <w:rPr>
          <w:rFonts w:ascii="宋体" w:hAnsi="宋体" w:cs="宋体"/>
          <w:b/>
          <w:bCs/>
          <w:u w:val="single"/>
        </w:rPr>
      </w:pPr>
    </w:p>
    <w:p w14:paraId="686C7538">
      <w:pPr>
        <w:ind w:firstLine="482"/>
        <w:rPr>
          <w:rFonts w:ascii="宋体" w:hAnsi="宋体" w:cs="宋体"/>
          <w:b/>
          <w:bCs/>
          <w:u w:val="single"/>
        </w:rPr>
      </w:pPr>
    </w:p>
    <w:p w14:paraId="0DFB7A13">
      <w:pPr>
        <w:ind w:firstLine="482"/>
        <w:rPr>
          <w:rFonts w:ascii="宋体" w:hAnsi="宋体" w:cs="宋体"/>
          <w:b/>
          <w:bCs/>
          <w:u w:val="single"/>
        </w:rPr>
      </w:pPr>
    </w:p>
    <w:p w14:paraId="5360F9AF">
      <w:pPr>
        <w:ind w:firstLine="482"/>
        <w:rPr>
          <w:rFonts w:ascii="宋体" w:hAnsi="宋体" w:cs="宋体"/>
          <w:b/>
          <w:bCs/>
          <w:u w:val="single"/>
        </w:rPr>
      </w:pPr>
    </w:p>
    <w:p w14:paraId="481E3456">
      <w:pPr>
        <w:ind w:firstLine="482"/>
        <w:rPr>
          <w:rFonts w:ascii="宋体" w:hAnsi="宋体" w:cs="宋体"/>
          <w:b/>
          <w:bCs/>
          <w:u w:val="single"/>
        </w:rPr>
      </w:pPr>
    </w:p>
    <w:p w14:paraId="77C1F674">
      <w:pPr>
        <w:ind w:firstLine="482"/>
        <w:rPr>
          <w:rFonts w:ascii="宋体" w:hAnsi="宋体" w:cs="宋体"/>
          <w:b/>
          <w:bCs/>
          <w:u w:val="single"/>
        </w:rPr>
      </w:pPr>
    </w:p>
    <w:p w14:paraId="51F890D6">
      <w:pPr>
        <w:ind w:firstLine="482"/>
        <w:rPr>
          <w:rFonts w:ascii="宋体" w:hAnsi="宋体" w:cs="宋体"/>
          <w:b/>
          <w:bCs/>
          <w:u w:val="single"/>
        </w:rPr>
      </w:pPr>
    </w:p>
    <w:p w14:paraId="58EFD168">
      <w:pPr>
        <w:ind w:firstLine="482"/>
        <w:rPr>
          <w:rFonts w:ascii="宋体" w:hAnsi="宋体" w:cs="宋体"/>
          <w:b/>
          <w:bCs/>
          <w:u w:val="single"/>
        </w:rPr>
      </w:pPr>
    </w:p>
    <w:p w14:paraId="4E3BFB22">
      <w:pPr>
        <w:ind w:firstLine="482"/>
        <w:rPr>
          <w:rFonts w:ascii="宋体" w:hAnsi="宋体" w:cs="宋体"/>
          <w:b/>
          <w:bCs/>
          <w:u w:val="single"/>
        </w:rPr>
      </w:pPr>
    </w:p>
    <w:p w14:paraId="03A9317D">
      <w:pPr>
        <w:ind w:firstLine="482"/>
        <w:rPr>
          <w:rFonts w:ascii="宋体" w:hAnsi="宋体" w:cs="宋体"/>
          <w:b/>
          <w:bCs/>
          <w:u w:val="single"/>
        </w:rPr>
      </w:pPr>
    </w:p>
    <w:p w14:paraId="36398861">
      <w:pPr>
        <w:ind w:firstLine="1446" w:firstLineChars="600"/>
        <w:rPr>
          <w:rFonts w:ascii="宋体" w:hAnsi="宋体" w:cs="宋体"/>
          <w:b/>
          <w:bCs/>
          <w:u w:val="single"/>
        </w:rPr>
      </w:pPr>
      <w:r>
        <w:rPr>
          <w:rFonts w:hint="eastAsia"/>
          <w:b/>
          <w:bCs/>
        </w:rPr>
        <w:t>挥发性有机物叠加浓度分布图—年均 单位：mg/m</w:t>
      </w:r>
      <w:r>
        <w:rPr>
          <w:rFonts w:hint="eastAsia"/>
          <w:b/>
          <w:bCs/>
          <w:vertAlign w:val="superscript"/>
        </w:rPr>
        <w:t>3</w:t>
      </w:r>
    </w:p>
    <w:p w14:paraId="168910C3">
      <w:pPr>
        <w:ind w:firstLine="482"/>
        <w:rPr>
          <w:rFonts w:ascii="宋体" w:hAnsi="宋体" w:cs="宋体"/>
          <w:b/>
          <w:bCs/>
        </w:rPr>
      </w:pPr>
      <w:r>
        <w:rPr>
          <w:rFonts w:hint="eastAsia" w:ascii="宋体" w:hAnsi="宋体" w:cs="宋体"/>
          <w:b/>
          <w:bCs/>
        </w:rPr>
        <w:t>情景3预测结果</w:t>
      </w:r>
    </w:p>
    <w:p w14:paraId="4E592739">
      <w:pPr>
        <w:ind w:firstLine="480"/>
      </w:pPr>
      <w:r>
        <w:rPr>
          <w:rFonts w:hint="eastAsia" w:ascii="宋体" w:hAnsi="宋体" w:cs="宋体"/>
        </w:rPr>
        <w:t>⑴</w:t>
      </w:r>
      <w:r>
        <w:t>非正常排放下，污染物排放情况预测</w:t>
      </w:r>
    </w:p>
    <w:p w14:paraId="1BAEAD68">
      <w:pPr>
        <w:ind w:firstLine="480"/>
      </w:pPr>
      <w:r>
        <w:t>事故状态下，有机废气处理设施</w:t>
      </w:r>
      <w:r>
        <w:rPr>
          <w:rFonts w:hint="eastAsia"/>
        </w:rPr>
        <w:t>溶剂回收系统</w:t>
      </w:r>
      <w:r>
        <w:t>系统发生故障，单次持续</w:t>
      </w:r>
      <w:r>
        <w:rPr>
          <w:rFonts w:hint="eastAsia"/>
        </w:rPr>
        <w:t>0</w:t>
      </w:r>
      <w:r>
        <w:t>分钟；此时排放的</w:t>
      </w:r>
      <w:r>
        <w:rPr>
          <w:rFonts w:hint="eastAsia"/>
        </w:rPr>
        <w:t>挥发性有机物</w:t>
      </w:r>
      <w:r>
        <w:t>浓度增大。本项目事故状态下，</w:t>
      </w:r>
      <w:r>
        <w:rPr>
          <w:rFonts w:hint="eastAsia"/>
        </w:rPr>
        <w:t>挥发性有机物</w:t>
      </w:r>
      <w:r>
        <w:t>预测结果如下：</w:t>
      </w:r>
    </w:p>
    <w:p w14:paraId="22448F09">
      <w:pPr>
        <w:pStyle w:val="51"/>
        <w:numPr>
          <w:ilvl w:val="5"/>
          <w:numId w:val="0"/>
        </w:numPr>
        <w:tabs>
          <w:tab w:val="left" w:pos="4395"/>
        </w:tabs>
        <w:spacing w:before="156"/>
        <w:ind w:firstLine="211" w:firstLineChars="100"/>
        <w:jc w:val="both"/>
      </w:pPr>
      <w:r>
        <w:rPr>
          <w:rFonts w:hint="default" w:ascii="宋体" w:hAnsi="宋体" w:eastAsia="宋体" w:cs="宋体"/>
          <w:b/>
          <w:bCs/>
          <w:color w:val="auto"/>
          <w:kern w:val="2"/>
          <w:sz w:val="21"/>
          <w:szCs w:val="21"/>
          <w:lang w:val="en-US" w:eastAsia="zh-CN" w:bidi="ar-SA"/>
        </w:rPr>
        <w:t xml:space="preserve">表6.2-24 </w:t>
      </w:r>
      <w:r>
        <w:rPr>
          <w:rFonts w:hint="eastAsia"/>
        </w:rPr>
        <w:t>非正常工况下，挥发性有机物叠加环境质量浓度预测结果表  单位：mg/m</w:t>
      </w:r>
      <w:r>
        <w:rPr>
          <w:rFonts w:hint="eastAsia"/>
          <w:vertAlign w:val="superscript"/>
        </w:rPr>
        <w:t>3</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5"/>
        <w:gridCol w:w="2239"/>
        <w:gridCol w:w="957"/>
        <w:gridCol w:w="1360"/>
        <w:gridCol w:w="1242"/>
        <w:gridCol w:w="852"/>
        <w:gridCol w:w="1217"/>
      </w:tblGrid>
      <w:tr w14:paraId="0E5D1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3584B0B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序号</w:t>
            </w:r>
          </w:p>
        </w:tc>
        <w:tc>
          <w:tcPr>
            <w:tcW w:w="2239" w:type="dxa"/>
            <w:tcBorders>
              <w:tl2br w:val="nil"/>
              <w:tr2bl w:val="nil"/>
            </w:tcBorders>
            <w:shd w:val="clear" w:color="auto" w:fill="auto"/>
            <w:noWrap/>
            <w:vAlign w:val="center"/>
          </w:tcPr>
          <w:p w14:paraId="0282940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点名称</w:t>
            </w:r>
          </w:p>
        </w:tc>
        <w:tc>
          <w:tcPr>
            <w:tcW w:w="957" w:type="dxa"/>
            <w:tcBorders>
              <w:tl2br w:val="nil"/>
              <w:tr2bl w:val="nil"/>
            </w:tcBorders>
            <w:shd w:val="clear" w:color="auto" w:fill="auto"/>
            <w:noWrap/>
            <w:vAlign w:val="center"/>
          </w:tcPr>
          <w:p w14:paraId="2696E7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平均</w:t>
            </w:r>
          </w:p>
          <w:p w14:paraId="0321984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时段</w:t>
            </w:r>
          </w:p>
        </w:tc>
        <w:tc>
          <w:tcPr>
            <w:tcW w:w="1360" w:type="dxa"/>
            <w:tcBorders>
              <w:tl2br w:val="nil"/>
              <w:tr2bl w:val="nil"/>
            </w:tcBorders>
            <w:shd w:val="clear" w:color="auto" w:fill="auto"/>
            <w:noWrap/>
            <w:vAlign w:val="center"/>
          </w:tcPr>
          <w:p w14:paraId="356A6C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出现时刻</w:t>
            </w:r>
          </w:p>
        </w:tc>
        <w:tc>
          <w:tcPr>
            <w:tcW w:w="1242" w:type="dxa"/>
            <w:tcBorders>
              <w:tl2br w:val="nil"/>
              <w:tr2bl w:val="nil"/>
            </w:tcBorders>
            <w:shd w:val="clear" w:color="auto" w:fill="auto"/>
            <w:noWrap/>
            <w:vAlign w:val="center"/>
          </w:tcPr>
          <w:p w14:paraId="115AFA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预测值</w:t>
            </w:r>
          </w:p>
        </w:tc>
        <w:tc>
          <w:tcPr>
            <w:tcW w:w="852" w:type="dxa"/>
            <w:tcBorders>
              <w:tl2br w:val="nil"/>
              <w:tr2bl w:val="nil"/>
            </w:tcBorders>
            <w:shd w:val="clear" w:color="auto" w:fill="auto"/>
            <w:noWrap/>
            <w:vAlign w:val="center"/>
          </w:tcPr>
          <w:p w14:paraId="30B459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标准值</w:t>
            </w:r>
          </w:p>
        </w:tc>
        <w:tc>
          <w:tcPr>
            <w:tcW w:w="1217" w:type="dxa"/>
            <w:tcBorders>
              <w:tl2br w:val="nil"/>
              <w:tr2bl w:val="nil"/>
            </w:tcBorders>
            <w:shd w:val="clear" w:color="auto" w:fill="auto"/>
            <w:noWrap/>
            <w:vAlign w:val="center"/>
          </w:tcPr>
          <w:p w14:paraId="7FB688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占标率%</w:t>
            </w:r>
          </w:p>
        </w:tc>
      </w:tr>
      <w:tr w14:paraId="4AB67B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6C58E3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w:t>
            </w:r>
          </w:p>
        </w:tc>
        <w:tc>
          <w:tcPr>
            <w:tcW w:w="2239" w:type="dxa"/>
            <w:tcBorders>
              <w:tl2br w:val="nil"/>
              <w:tr2bl w:val="nil"/>
            </w:tcBorders>
            <w:shd w:val="clear" w:color="auto" w:fill="auto"/>
            <w:noWrap/>
            <w:vAlign w:val="center"/>
          </w:tcPr>
          <w:p w14:paraId="689A09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涓江香水湾小区</w:t>
            </w:r>
          </w:p>
        </w:tc>
        <w:tc>
          <w:tcPr>
            <w:tcW w:w="957" w:type="dxa"/>
            <w:vMerge w:val="restart"/>
            <w:tcBorders>
              <w:tl2br w:val="nil"/>
              <w:tr2bl w:val="nil"/>
            </w:tcBorders>
            <w:shd w:val="clear" w:color="auto" w:fill="auto"/>
            <w:noWrap/>
            <w:vAlign w:val="center"/>
          </w:tcPr>
          <w:p w14:paraId="786161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1h</w:t>
            </w:r>
          </w:p>
        </w:tc>
        <w:tc>
          <w:tcPr>
            <w:tcW w:w="1360" w:type="dxa"/>
            <w:tcBorders>
              <w:tl2br w:val="nil"/>
              <w:tr2bl w:val="nil"/>
            </w:tcBorders>
            <w:shd w:val="clear" w:color="auto" w:fill="auto"/>
            <w:noWrap/>
            <w:vAlign w:val="center"/>
          </w:tcPr>
          <w:p w14:paraId="1E6621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123009</w:t>
            </w:r>
          </w:p>
        </w:tc>
        <w:tc>
          <w:tcPr>
            <w:tcW w:w="1242" w:type="dxa"/>
            <w:tcBorders>
              <w:tl2br w:val="nil"/>
              <w:tr2bl w:val="nil"/>
            </w:tcBorders>
            <w:shd w:val="clear" w:color="auto" w:fill="auto"/>
            <w:noWrap/>
            <w:vAlign w:val="center"/>
          </w:tcPr>
          <w:p w14:paraId="0844F4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4.6063</w:t>
            </w:r>
          </w:p>
        </w:tc>
        <w:tc>
          <w:tcPr>
            <w:tcW w:w="852" w:type="dxa"/>
            <w:tcBorders>
              <w:tl2br w:val="nil"/>
              <w:tr2bl w:val="nil"/>
            </w:tcBorders>
            <w:shd w:val="clear" w:color="auto" w:fill="auto"/>
            <w:noWrap/>
            <w:vAlign w:val="center"/>
          </w:tcPr>
          <w:p w14:paraId="7BF91AD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08D1504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383.86</w:t>
            </w:r>
          </w:p>
        </w:tc>
      </w:tr>
      <w:tr w14:paraId="504EBD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508140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w:t>
            </w:r>
          </w:p>
        </w:tc>
        <w:tc>
          <w:tcPr>
            <w:tcW w:w="2239" w:type="dxa"/>
            <w:tcBorders>
              <w:tl2br w:val="nil"/>
              <w:tr2bl w:val="nil"/>
            </w:tcBorders>
            <w:shd w:val="clear" w:color="auto" w:fill="auto"/>
            <w:noWrap/>
            <w:vAlign w:val="center"/>
          </w:tcPr>
          <w:p w14:paraId="51E80D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松香苑小区</w:t>
            </w:r>
          </w:p>
        </w:tc>
        <w:tc>
          <w:tcPr>
            <w:tcW w:w="957" w:type="dxa"/>
            <w:vMerge w:val="continue"/>
            <w:tcBorders>
              <w:tl2br w:val="nil"/>
              <w:tr2bl w:val="nil"/>
            </w:tcBorders>
            <w:shd w:val="clear" w:color="auto" w:fill="auto"/>
            <w:noWrap/>
            <w:vAlign w:val="center"/>
          </w:tcPr>
          <w:p w14:paraId="06A5D4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0B5A82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062007</w:t>
            </w:r>
          </w:p>
        </w:tc>
        <w:tc>
          <w:tcPr>
            <w:tcW w:w="1242" w:type="dxa"/>
            <w:tcBorders>
              <w:tl2br w:val="nil"/>
              <w:tr2bl w:val="nil"/>
            </w:tcBorders>
            <w:shd w:val="clear" w:color="auto" w:fill="auto"/>
            <w:noWrap/>
            <w:vAlign w:val="center"/>
          </w:tcPr>
          <w:p w14:paraId="33EFEA0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2.7001</w:t>
            </w:r>
          </w:p>
        </w:tc>
        <w:tc>
          <w:tcPr>
            <w:tcW w:w="852" w:type="dxa"/>
            <w:tcBorders>
              <w:tl2br w:val="nil"/>
              <w:tr2bl w:val="nil"/>
            </w:tcBorders>
            <w:shd w:val="clear" w:color="auto" w:fill="auto"/>
            <w:noWrap/>
            <w:vAlign w:val="center"/>
          </w:tcPr>
          <w:p w14:paraId="0F86C37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4700314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5.00</w:t>
            </w:r>
          </w:p>
        </w:tc>
      </w:tr>
      <w:tr w14:paraId="485C4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56A1A4C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w:t>
            </w:r>
          </w:p>
        </w:tc>
        <w:tc>
          <w:tcPr>
            <w:tcW w:w="2239" w:type="dxa"/>
            <w:tcBorders>
              <w:tl2br w:val="nil"/>
              <w:tr2bl w:val="nil"/>
            </w:tcBorders>
            <w:shd w:val="clear" w:color="auto" w:fill="auto"/>
            <w:noWrap/>
            <w:vAlign w:val="center"/>
          </w:tcPr>
          <w:p w14:paraId="5DC7193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吴家巷散户居民</w:t>
            </w:r>
          </w:p>
        </w:tc>
        <w:tc>
          <w:tcPr>
            <w:tcW w:w="957" w:type="dxa"/>
            <w:vMerge w:val="continue"/>
            <w:tcBorders>
              <w:tl2br w:val="nil"/>
              <w:tr2bl w:val="nil"/>
            </w:tcBorders>
            <w:shd w:val="clear" w:color="auto" w:fill="auto"/>
            <w:noWrap/>
            <w:vAlign w:val="center"/>
          </w:tcPr>
          <w:p w14:paraId="0BC7102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0C6F219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1</w:t>
            </w:r>
            <w:r>
              <w:rPr>
                <w:rFonts w:hint="eastAsia"/>
                <w:sz w:val="21"/>
                <w:szCs w:val="21"/>
                <w:lang w:eastAsia="zh-CN"/>
              </w:rPr>
              <w:t>24</w:t>
            </w:r>
            <w:r>
              <w:rPr>
                <w:rFonts w:hint="eastAsia"/>
                <w:sz w:val="21"/>
                <w:szCs w:val="21"/>
              </w:rPr>
              <w:t>509</w:t>
            </w:r>
          </w:p>
        </w:tc>
        <w:tc>
          <w:tcPr>
            <w:tcW w:w="1242" w:type="dxa"/>
            <w:tcBorders>
              <w:tl2br w:val="nil"/>
              <w:tr2bl w:val="nil"/>
            </w:tcBorders>
            <w:shd w:val="clear" w:color="auto" w:fill="auto"/>
            <w:noWrap/>
            <w:vAlign w:val="center"/>
          </w:tcPr>
          <w:p w14:paraId="0A1E07E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3.4979</w:t>
            </w:r>
          </w:p>
        </w:tc>
        <w:tc>
          <w:tcPr>
            <w:tcW w:w="852" w:type="dxa"/>
            <w:tcBorders>
              <w:tl2br w:val="nil"/>
              <w:tr2bl w:val="nil"/>
            </w:tcBorders>
            <w:shd w:val="clear" w:color="auto" w:fill="auto"/>
            <w:noWrap/>
            <w:vAlign w:val="center"/>
          </w:tcPr>
          <w:p w14:paraId="365B417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719C800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291.49</w:t>
            </w:r>
          </w:p>
        </w:tc>
      </w:tr>
      <w:tr w14:paraId="711BA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3EF4CF8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w:t>
            </w:r>
          </w:p>
        </w:tc>
        <w:tc>
          <w:tcPr>
            <w:tcW w:w="2239" w:type="dxa"/>
            <w:tcBorders>
              <w:tl2br w:val="nil"/>
              <w:tr2bl w:val="nil"/>
            </w:tcBorders>
            <w:shd w:val="clear" w:color="auto" w:fill="auto"/>
            <w:noWrap/>
            <w:vAlign w:val="center"/>
          </w:tcPr>
          <w:p w14:paraId="398A909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黄莺花苑小区</w:t>
            </w:r>
          </w:p>
        </w:tc>
        <w:tc>
          <w:tcPr>
            <w:tcW w:w="957" w:type="dxa"/>
            <w:vMerge w:val="continue"/>
            <w:tcBorders>
              <w:tl2br w:val="nil"/>
              <w:tr2bl w:val="nil"/>
            </w:tcBorders>
            <w:shd w:val="clear" w:color="auto" w:fill="auto"/>
            <w:noWrap/>
            <w:vAlign w:val="center"/>
          </w:tcPr>
          <w:p w14:paraId="0C0DB63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61BF64A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032508</w:t>
            </w:r>
          </w:p>
        </w:tc>
        <w:tc>
          <w:tcPr>
            <w:tcW w:w="1242" w:type="dxa"/>
            <w:tcBorders>
              <w:tl2br w:val="nil"/>
              <w:tr2bl w:val="nil"/>
            </w:tcBorders>
            <w:shd w:val="clear" w:color="auto" w:fill="auto"/>
            <w:noWrap/>
            <w:vAlign w:val="center"/>
          </w:tcPr>
          <w:p w14:paraId="71E1CE5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4.0145</w:t>
            </w:r>
          </w:p>
        </w:tc>
        <w:tc>
          <w:tcPr>
            <w:tcW w:w="852" w:type="dxa"/>
            <w:tcBorders>
              <w:tl2br w:val="nil"/>
              <w:tr2bl w:val="nil"/>
            </w:tcBorders>
            <w:shd w:val="clear" w:color="auto" w:fill="auto"/>
            <w:noWrap/>
            <w:vAlign w:val="center"/>
          </w:tcPr>
          <w:p w14:paraId="2C8406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5E01C7E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334.54</w:t>
            </w:r>
          </w:p>
        </w:tc>
      </w:tr>
      <w:tr w14:paraId="0ADF4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36BE593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w:t>
            </w:r>
          </w:p>
        </w:tc>
        <w:tc>
          <w:tcPr>
            <w:tcW w:w="2239" w:type="dxa"/>
            <w:tcBorders>
              <w:tl2br w:val="nil"/>
              <w:tr2bl w:val="nil"/>
            </w:tcBorders>
            <w:shd w:val="clear" w:color="auto" w:fill="auto"/>
            <w:noWrap/>
            <w:vAlign w:val="center"/>
          </w:tcPr>
          <w:p w14:paraId="5AB5C60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城南御花园小区</w:t>
            </w:r>
          </w:p>
        </w:tc>
        <w:tc>
          <w:tcPr>
            <w:tcW w:w="957" w:type="dxa"/>
            <w:vMerge w:val="continue"/>
            <w:tcBorders>
              <w:tl2br w:val="nil"/>
              <w:tr2bl w:val="nil"/>
            </w:tcBorders>
            <w:shd w:val="clear" w:color="auto" w:fill="auto"/>
            <w:noWrap/>
            <w:vAlign w:val="center"/>
          </w:tcPr>
          <w:p w14:paraId="1FA068F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30F8B4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rFonts w:hint="eastAsia"/>
                <w:sz w:val="21"/>
                <w:szCs w:val="21"/>
                <w:lang w:eastAsia="zh-CN"/>
              </w:rPr>
              <w:t>24</w:t>
            </w:r>
            <w:r>
              <w:rPr>
                <w:rFonts w:hint="eastAsia"/>
                <w:sz w:val="21"/>
                <w:szCs w:val="21"/>
              </w:rPr>
              <w:t>0703</w:t>
            </w:r>
            <w:r>
              <w:rPr>
                <w:rFonts w:hint="eastAsia"/>
                <w:sz w:val="21"/>
                <w:szCs w:val="21"/>
                <w:lang w:eastAsia="zh-CN"/>
              </w:rPr>
              <w:t>24</w:t>
            </w:r>
          </w:p>
        </w:tc>
        <w:tc>
          <w:tcPr>
            <w:tcW w:w="1242" w:type="dxa"/>
            <w:tcBorders>
              <w:tl2br w:val="nil"/>
              <w:tr2bl w:val="nil"/>
            </w:tcBorders>
            <w:shd w:val="clear" w:color="auto" w:fill="auto"/>
            <w:noWrap/>
            <w:vAlign w:val="center"/>
          </w:tcPr>
          <w:p w14:paraId="18CDD5C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3.7040</w:t>
            </w:r>
          </w:p>
        </w:tc>
        <w:tc>
          <w:tcPr>
            <w:tcW w:w="852" w:type="dxa"/>
            <w:tcBorders>
              <w:tl2br w:val="nil"/>
              <w:tr2bl w:val="nil"/>
            </w:tcBorders>
            <w:shd w:val="clear" w:color="auto" w:fill="auto"/>
            <w:noWrap/>
            <w:vAlign w:val="center"/>
          </w:tcPr>
          <w:p w14:paraId="28A0A90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22C8569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308.67</w:t>
            </w:r>
          </w:p>
        </w:tc>
      </w:tr>
      <w:tr w14:paraId="520E9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47F2A78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6</w:t>
            </w:r>
          </w:p>
        </w:tc>
        <w:tc>
          <w:tcPr>
            <w:tcW w:w="2239" w:type="dxa"/>
            <w:tcBorders>
              <w:tl2br w:val="nil"/>
              <w:tr2bl w:val="nil"/>
            </w:tcBorders>
            <w:shd w:val="clear" w:color="auto" w:fill="auto"/>
            <w:noWrap/>
            <w:vAlign w:val="center"/>
          </w:tcPr>
          <w:p w14:paraId="70A7227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润玉时代城小区</w:t>
            </w:r>
          </w:p>
        </w:tc>
        <w:tc>
          <w:tcPr>
            <w:tcW w:w="957" w:type="dxa"/>
            <w:vMerge w:val="continue"/>
            <w:tcBorders>
              <w:tl2br w:val="nil"/>
              <w:tr2bl w:val="nil"/>
            </w:tcBorders>
            <w:shd w:val="clear" w:color="auto" w:fill="auto"/>
            <w:noWrap/>
            <w:vAlign w:val="center"/>
          </w:tcPr>
          <w:p w14:paraId="2C2328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4A1CEFF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1</w:t>
            </w:r>
            <w:r>
              <w:rPr>
                <w:rFonts w:hint="eastAsia"/>
                <w:sz w:val="21"/>
                <w:szCs w:val="21"/>
                <w:lang w:eastAsia="zh-CN"/>
              </w:rPr>
              <w:t>24</w:t>
            </w:r>
            <w:r>
              <w:rPr>
                <w:rFonts w:hint="eastAsia"/>
                <w:sz w:val="21"/>
                <w:szCs w:val="21"/>
              </w:rPr>
              <w:t>509</w:t>
            </w:r>
          </w:p>
        </w:tc>
        <w:tc>
          <w:tcPr>
            <w:tcW w:w="1242" w:type="dxa"/>
            <w:tcBorders>
              <w:tl2br w:val="nil"/>
              <w:tr2bl w:val="nil"/>
            </w:tcBorders>
            <w:shd w:val="clear" w:color="auto" w:fill="auto"/>
            <w:noWrap/>
            <w:vAlign w:val="center"/>
          </w:tcPr>
          <w:p w14:paraId="07BC71A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2.5833</w:t>
            </w:r>
          </w:p>
        </w:tc>
        <w:tc>
          <w:tcPr>
            <w:tcW w:w="852" w:type="dxa"/>
            <w:tcBorders>
              <w:tl2br w:val="nil"/>
              <w:tr2bl w:val="nil"/>
            </w:tcBorders>
            <w:shd w:val="clear" w:color="auto" w:fill="auto"/>
            <w:noWrap/>
            <w:vAlign w:val="center"/>
          </w:tcPr>
          <w:p w14:paraId="76558B3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1263EBC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215.28</w:t>
            </w:r>
          </w:p>
        </w:tc>
      </w:tr>
      <w:tr w14:paraId="41215D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69AF05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7</w:t>
            </w:r>
          </w:p>
        </w:tc>
        <w:tc>
          <w:tcPr>
            <w:tcW w:w="2239" w:type="dxa"/>
            <w:tcBorders>
              <w:tl2br w:val="nil"/>
              <w:tr2bl w:val="nil"/>
            </w:tcBorders>
            <w:shd w:val="clear" w:color="auto" w:fill="auto"/>
            <w:noWrap/>
            <w:vAlign w:val="center"/>
          </w:tcPr>
          <w:p w14:paraId="5A586A0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山塘学校</w:t>
            </w:r>
          </w:p>
        </w:tc>
        <w:tc>
          <w:tcPr>
            <w:tcW w:w="957" w:type="dxa"/>
            <w:vMerge w:val="continue"/>
            <w:tcBorders>
              <w:tl2br w:val="nil"/>
              <w:tr2bl w:val="nil"/>
            </w:tcBorders>
            <w:shd w:val="clear" w:color="auto" w:fill="auto"/>
            <w:noWrap/>
            <w:vAlign w:val="center"/>
          </w:tcPr>
          <w:p w14:paraId="3E9BDC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2D999FA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rFonts w:hint="eastAsia"/>
                <w:sz w:val="21"/>
                <w:szCs w:val="21"/>
                <w:lang w:eastAsia="zh-CN"/>
              </w:rPr>
              <w:t>24</w:t>
            </w:r>
            <w:r>
              <w:rPr>
                <w:rFonts w:hint="eastAsia"/>
                <w:sz w:val="21"/>
                <w:szCs w:val="21"/>
              </w:rPr>
              <w:t>0703</w:t>
            </w:r>
            <w:r>
              <w:rPr>
                <w:rFonts w:hint="eastAsia"/>
                <w:sz w:val="21"/>
                <w:szCs w:val="21"/>
                <w:lang w:eastAsia="zh-CN"/>
              </w:rPr>
              <w:t>24</w:t>
            </w:r>
          </w:p>
        </w:tc>
        <w:tc>
          <w:tcPr>
            <w:tcW w:w="1242" w:type="dxa"/>
            <w:tcBorders>
              <w:tl2br w:val="nil"/>
              <w:tr2bl w:val="nil"/>
            </w:tcBorders>
            <w:shd w:val="clear" w:color="auto" w:fill="auto"/>
            <w:noWrap/>
            <w:vAlign w:val="center"/>
          </w:tcPr>
          <w:p w14:paraId="14C7D0C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3.8674</w:t>
            </w:r>
          </w:p>
        </w:tc>
        <w:tc>
          <w:tcPr>
            <w:tcW w:w="852" w:type="dxa"/>
            <w:tcBorders>
              <w:tl2br w:val="nil"/>
              <w:tr2bl w:val="nil"/>
            </w:tcBorders>
            <w:shd w:val="clear" w:color="auto" w:fill="auto"/>
            <w:noWrap/>
            <w:vAlign w:val="center"/>
          </w:tcPr>
          <w:p w14:paraId="5A30E78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0F405BC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w:t>
            </w:r>
            <w:r>
              <w:rPr>
                <w:rFonts w:hint="eastAsia"/>
                <w:sz w:val="21"/>
                <w:szCs w:val="21"/>
                <w:lang w:eastAsia="zh-CN"/>
              </w:rPr>
              <w:t>24</w:t>
            </w:r>
            <w:r>
              <w:rPr>
                <w:rFonts w:hint="eastAsia"/>
                <w:sz w:val="21"/>
                <w:szCs w:val="21"/>
              </w:rPr>
              <w:t>.28</w:t>
            </w:r>
          </w:p>
        </w:tc>
      </w:tr>
      <w:tr w14:paraId="5029FA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1FA5D31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8</w:t>
            </w:r>
          </w:p>
        </w:tc>
        <w:tc>
          <w:tcPr>
            <w:tcW w:w="2239" w:type="dxa"/>
            <w:tcBorders>
              <w:tl2br w:val="nil"/>
              <w:tr2bl w:val="nil"/>
            </w:tcBorders>
            <w:shd w:val="clear" w:color="auto" w:fill="auto"/>
            <w:noWrap/>
            <w:vAlign w:val="center"/>
          </w:tcPr>
          <w:p w14:paraId="770B8E2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和园小区</w:t>
            </w:r>
          </w:p>
        </w:tc>
        <w:tc>
          <w:tcPr>
            <w:tcW w:w="957" w:type="dxa"/>
            <w:vMerge w:val="continue"/>
            <w:tcBorders>
              <w:tl2br w:val="nil"/>
              <w:tr2bl w:val="nil"/>
            </w:tcBorders>
            <w:shd w:val="clear" w:color="auto" w:fill="auto"/>
            <w:noWrap/>
            <w:vAlign w:val="center"/>
          </w:tcPr>
          <w:p w14:paraId="7F91D37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60B6968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061820</w:t>
            </w:r>
          </w:p>
        </w:tc>
        <w:tc>
          <w:tcPr>
            <w:tcW w:w="1242" w:type="dxa"/>
            <w:tcBorders>
              <w:tl2br w:val="nil"/>
              <w:tr2bl w:val="nil"/>
            </w:tcBorders>
            <w:shd w:val="clear" w:color="auto" w:fill="auto"/>
            <w:noWrap/>
            <w:vAlign w:val="center"/>
          </w:tcPr>
          <w:p w14:paraId="78229B8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2.8925</w:t>
            </w:r>
          </w:p>
        </w:tc>
        <w:tc>
          <w:tcPr>
            <w:tcW w:w="852" w:type="dxa"/>
            <w:tcBorders>
              <w:tl2br w:val="nil"/>
              <w:tr2bl w:val="nil"/>
            </w:tcBorders>
            <w:shd w:val="clear" w:color="auto" w:fill="auto"/>
            <w:noWrap/>
            <w:vAlign w:val="center"/>
          </w:tcPr>
          <w:p w14:paraId="00D71F4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57D1B5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241.04</w:t>
            </w:r>
          </w:p>
        </w:tc>
      </w:tr>
      <w:tr w14:paraId="129854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64C1B71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9</w:t>
            </w:r>
          </w:p>
        </w:tc>
        <w:tc>
          <w:tcPr>
            <w:tcW w:w="2239" w:type="dxa"/>
            <w:tcBorders>
              <w:tl2br w:val="nil"/>
              <w:tr2bl w:val="nil"/>
            </w:tcBorders>
            <w:shd w:val="clear" w:color="auto" w:fill="auto"/>
            <w:noWrap/>
            <w:vAlign w:val="center"/>
          </w:tcPr>
          <w:p w14:paraId="19546BE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子敬学校</w:t>
            </w:r>
          </w:p>
        </w:tc>
        <w:tc>
          <w:tcPr>
            <w:tcW w:w="957" w:type="dxa"/>
            <w:vMerge w:val="continue"/>
            <w:tcBorders>
              <w:tl2br w:val="nil"/>
              <w:tr2bl w:val="nil"/>
            </w:tcBorders>
            <w:shd w:val="clear" w:color="auto" w:fill="auto"/>
            <w:noWrap/>
            <w:vAlign w:val="center"/>
          </w:tcPr>
          <w:p w14:paraId="0EB3AC9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5207E4A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123009</w:t>
            </w:r>
          </w:p>
        </w:tc>
        <w:tc>
          <w:tcPr>
            <w:tcW w:w="1242" w:type="dxa"/>
            <w:tcBorders>
              <w:tl2br w:val="nil"/>
              <w:tr2bl w:val="nil"/>
            </w:tcBorders>
            <w:shd w:val="clear" w:color="auto" w:fill="auto"/>
            <w:noWrap/>
            <w:vAlign w:val="center"/>
          </w:tcPr>
          <w:p w14:paraId="2F37A4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2.6201</w:t>
            </w:r>
          </w:p>
        </w:tc>
        <w:tc>
          <w:tcPr>
            <w:tcW w:w="852" w:type="dxa"/>
            <w:tcBorders>
              <w:tl2br w:val="nil"/>
              <w:tr2bl w:val="nil"/>
            </w:tcBorders>
            <w:shd w:val="clear" w:color="auto" w:fill="auto"/>
            <w:noWrap/>
            <w:vAlign w:val="center"/>
          </w:tcPr>
          <w:p w14:paraId="258CD81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06F3189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218.34</w:t>
            </w:r>
          </w:p>
        </w:tc>
      </w:tr>
      <w:tr w14:paraId="5253D1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2D7B24F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10</w:t>
            </w:r>
          </w:p>
        </w:tc>
        <w:tc>
          <w:tcPr>
            <w:tcW w:w="2239" w:type="dxa"/>
            <w:tcBorders>
              <w:tl2br w:val="nil"/>
              <w:tr2bl w:val="nil"/>
            </w:tcBorders>
            <w:shd w:val="clear" w:color="auto" w:fill="auto"/>
            <w:noWrap/>
            <w:vAlign w:val="center"/>
          </w:tcPr>
          <w:p w14:paraId="14581B3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芙蓉廉租小区</w:t>
            </w:r>
          </w:p>
        </w:tc>
        <w:tc>
          <w:tcPr>
            <w:tcW w:w="957" w:type="dxa"/>
            <w:vMerge w:val="continue"/>
            <w:tcBorders>
              <w:tl2br w:val="nil"/>
              <w:tr2bl w:val="nil"/>
            </w:tcBorders>
            <w:shd w:val="clear" w:color="auto" w:fill="auto"/>
            <w:noWrap/>
            <w:vAlign w:val="center"/>
          </w:tcPr>
          <w:p w14:paraId="2C67526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29EB9F3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05</w:t>
            </w:r>
            <w:r>
              <w:rPr>
                <w:rFonts w:hint="eastAsia"/>
                <w:sz w:val="21"/>
                <w:szCs w:val="21"/>
                <w:lang w:eastAsia="zh-CN"/>
              </w:rPr>
              <w:t>24</w:t>
            </w:r>
            <w:r>
              <w:rPr>
                <w:rFonts w:hint="eastAsia"/>
                <w:sz w:val="21"/>
                <w:szCs w:val="21"/>
              </w:rPr>
              <w:t>19</w:t>
            </w:r>
          </w:p>
        </w:tc>
        <w:tc>
          <w:tcPr>
            <w:tcW w:w="1242" w:type="dxa"/>
            <w:tcBorders>
              <w:tl2br w:val="nil"/>
              <w:tr2bl w:val="nil"/>
            </w:tcBorders>
            <w:shd w:val="clear" w:color="auto" w:fill="auto"/>
            <w:noWrap/>
            <w:vAlign w:val="center"/>
          </w:tcPr>
          <w:p w14:paraId="34CC9EF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5.8819</w:t>
            </w:r>
          </w:p>
        </w:tc>
        <w:tc>
          <w:tcPr>
            <w:tcW w:w="852" w:type="dxa"/>
            <w:tcBorders>
              <w:tl2br w:val="nil"/>
              <w:tr2bl w:val="nil"/>
            </w:tcBorders>
            <w:shd w:val="clear" w:color="auto" w:fill="auto"/>
            <w:noWrap/>
            <w:vAlign w:val="center"/>
          </w:tcPr>
          <w:p w14:paraId="2DAE3BE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6578954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490.16</w:t>
            </w:r>
          </w:p>
        </w:tc>
      </w:tr>
      <w:tr w14:paraId="285E7E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72C3910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11</w:t>
            </w:r>
          </w:p>
        </w:tc>
        <w:tc>
          <w:tcPr>
            <w:tcW w:w="2239" w:type="dxa"/>
            <w:tcBorders>
              <w:tl2br w:val="nil"/>
              <w:tr2bl w:val="nil"/>
            </w:tcBorders>
            <w:shd w:val="clear" w:color="auto" w:fill="auto"/>
            <w:noWrap/>
            <w:vAlign w:val="center"/>
          </w:tcPr>
          <w:p w14:paraId="58CA604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易俗河镇第二中学</w:t>
            </w:r>
          </w:p>
        </w:tc>
        <w:tc>
          <w:tcPr>
            <w:tcW w:w="957" w:type="dxa"/>
            <w:vMerge w:val="continue"/>
            <w:tcBorders>
              <w:tl2br w:val="nil"/>
              <w:tr2bl w:val="nil"/>
            </w:tcBorders>
            <w:shd w:val="clear" w:color="auto" w:fill="auto"/>
            <w:noWrap/>
            <w:vAlign w:val="center"/>
          </w:tcPr>
          <w:p w14:paraId="306101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74889A0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052907</w:t>
            </w:r>
          </w:p>
        </w:tc>
        <w:tc>
          <w:tcPr>
            <w:tcW w:w="1242" w:type="dxa"/>
            <w:tcBorders>
              <w:tl2br w:val="nil"/>
              <w:tr2bl w:val="nil"/>
            </w:tcBorders>
            <w:shd w:val="clear" w:color="auto" w:fill="auto"/>
            <w:noWrap/>
            <w:vAlign w:val="center"/>
          </w:tcPr>
          <w:p w14:paraId="0305DF0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7.0655</w:t>
            </w:r>
          </w:p>
        </w:tc>
        <w:tc>
          <w:tcPr>
            <w:tcW w:w="852" w:type="dxa"/>
            <w:tcBorders>
              <w:tl2br w:val="nil"/>
              <w:tr2bl w:val="nil"/>
            </w:tcBorders>
            <w:shd w:val="clear" w:color="auto" w:fill="auto"/>
            <w:noWrap/>
            <w:vAlign w:val="center"/>
          </w:tcPr>
          <w:p w14:paraId="1497BD6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09E0373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588.79</w:t>
            </w:r>
          </w:p>
        </w:tc>
      </w:tr>
      <w:tr w14:paraId="7EA582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11DD0C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2239" w:type="dxa"/>
            <w:tcBorders>
              <w:tl2br w:val="nil"/>
              <w:tr2bl w:val="nil"/>
            </w:tcBorders>
            <w:shd w:val="clear" w:color="auto" w:fill="auto"/>
            <w:noWrap/>
            <w:vAlign w:val="center"/>
          </w:tcPr>
          <w:p w14:paraId="47ADC1B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天易水竹学校</w:t>
            </w:r>
          </w:p>
        </w:tc>
        <w:tc>
          <w:tcPr>
            <w:tcW w:w="957" w:type="dxa"/>
            <w:vMerge w:val="continue"/>
            <w:tcBorders>
              <w:tl2br w:val="nil"/>
              <w:tr2bl w:val="nil"/>
            </w:tcBorders>
            <w:shd w:val="clear" w:color="auto" w:fill="auto"/>
            <w:noWrap/>
            <w:vAlign w:val="center"/>
          </w:tcPr>
          <w:p w14:paraId="7CADC11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591F381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05</w:t>
            </w:r>
            <w:r>
              <w:rPr>
                <w:rFonts w:hint="eastAsia"/>
                <w:sz w:val="21"/>
                <w:szCs w:val="21"/>
                <w:lang w:eastAsia="zh-CN"/>
              </w:rPr>
              <w:t>24</w:t>
            </w:r>
            <w:r>
              <w:rPr>
                <w:rFonts w:hint="eastAsia"/>
                <w:sz w:val="21"/>
                <w:szCs w:val="21"/>
              </w:rPr>
              <w:t>07</w:t>
            </w:r>
          </w:p>
        </w:tc>
        <w:tc>
          <w:tcPr>
            <w:tcW w:w="1242" w:type="dxa"/>
            <w:tcBorders>
              <w:tl2br w:val="nil"/>
              <w:tr2bl w:val="nil"/>
            </w:tcBorders>
            <w:shd w:val="clear" w:color="auto" w:fill="auto"/>
            <w:noWrap/>
            <w:vAlign w:val="center"/>
          </w:tcPr>
          <w:p w14:paraId="21DED45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4.9405</w:t>
            </w:r>
          </w:p>
        </w:tc>
        <w:tc>
          <w:tcPr>
            <w:tcW w:w="852" w:type="dxa"/>
            <w:tcBorders>
              <w:tl2br w:val="nil"/>
              <w:tr2bl w:val="nil"/>
            </w:tcBorders>
            <w:shd w:val="clear" w:color="auto" w:fill="auto"/>
            <w:noWrap/>
            <w:vAlign w:val="center"/>
          </w:tcPr>
          <w:p w14:paraId="1BD4EFB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42BAAEE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411.70</w:t>
            </w:r>
          </w:p>
        </w:tc>
      </w:tr>
      <w:tr w14:paraId="6E2561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7C38396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13</w:t>
            </w:r>
          </w:p>
        </w:tc>
        <w:tc>
          <w:tcPr>
            <w:tcW w:w="2239" w:type="dxa"/>
            <w:tcBorders>
              <w:tl2br w:val="nil"/>
              <w:tr2bl w:val="nil"/>
            </w:tcBorders>
            <w:shd w:val="clear" w:color="auto" w:fill="auto"/>
            <w:noWrap/>
            <w:vAlign w:val="center"/>
          </w:tcPr>
          <w:p w14:paraId="595844C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水竹安置区</w:t>
            </w:r>
          </w:p>
        </w:tc>
        <w:tc>
          <w:tcPr>
            <w:tcW w:w="957" w:type="dxa"/>
            <w:vMerge w:val="continue"/>
            <w:tcBorders>
              <w:tl2br w:val="nil"/>
              <w:tr2bl w:val="nil"/>
            </w:tcBorders>
            <w:shd w:val="clear" w:color="auto" w:fill="auto"/>
            <w:noWrap/>
            <w:vAlign w:val="center"/>
          </w:tcPr>
          <w:p w14:paraId="17084F4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5B0DA21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05</w:t>
            </w:r>
            <w:r>
              <w:rPr>
                <w:rFonts w:hint="eastAsia"/>
                <w:sz w:val="21"/>
                <w:szCs w:val="21"/>
                <w:lang w:eastAsia="zh-CN"/>
              </w:rPr>
              <w:t>24</w:t>
            </w:r>
            <w:r>
              <w:rPr>
                <w:rFonts w:hint="eastAsia"/>
                <w:sz w:val="21"/>
                <w:szCs w:val="21"/>
              </w:rPr>
              <w:t>19</w:t>
            </w:r>
          </w:p>
        </w:tc>
        <w:tc>
          <w:tcPr>
            <w:tcW w:w="1242" w:type="dxa"/>
            <w:tcBorders>
              <w:tl2br w:val="nil"/>
              <w:tr2bl w:val="nil"/>
            </w:tcBorders>
            <w:shd w:val="clear" w:color="auto" w:fill="auto"/>
            <w:noWrap/>
            <w:vAlign w:val="center"/>
          </w:tcPr>
          <w:p w14:paraId="37488EB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6.7276</w:t>
            </w:r>
          </w:p>
        </w:tc>
        <w:tc>
          <w:tcPr>
            <w:tcW w:w="852" w:type="dxa"/>
            <w:tcBorders>
              <w:tl2br w:val="nil"/>
              <w:tr2bl w:val="nil"/>
            </w:tcBorders>
            <w:shd w:val="clear" w:color="auto" w:fill="auto"/>
            <w:noWrap/>
            <w:vAlign w:val="center"/>
          </w:tcPr>
          <w:p w14:paraId="1468FB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1EADED9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560.63</w:t>
            </w:r>
          </w:p>
        </w:tc>
      </w:tr>
      <w:tr w14:paraId="566040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73FA00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14</w:t>
            </w:r>
          </w:p>
        </w:tc>
        <w:tc>
          <w:tcPr>
            <w:tcW w:w="2239" w:type="dxa"/>
            <w:tcBorders>
              <w:tl2br w:val="nil"/>
              <w:tr2bl w:val="nil"/>
            </w:tcBorders>
            <w:shd w:val="clear" w:color="auto" w:fill="auto"/>
            <w:noWrap/>
            <w:vAlign w:val="center"/>
          </w:tcPr>
          <w:p w14:paraId="05488A0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湘潭县行政学校</w:t>
            </w:r>
          </w:p>
        </w:tc>
        <w:tc>
          <w:tcPr>
            <w:tcW w:w="957" w:type="dxa"/>
            <w:vMerge w:val="continue"/>
            <w:tcBorders>
              <w:tl2br w:val="nil"/>
              <w:tr2bl w:val="nil"/>
            </w:tcBorders>
            <w:shd w:val="clear" w:color="auto" w:fill="auto"/>
            <w:noWrap/>
            <w:vAlign w:val="center"/>
          </w:tcPr>
          <w:p w14:paraId="295C33C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5881E0F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010109</w:t>
            </w:r>
          </w:p>
        </w:tc>
        <w:tc>
          <w:tcPr>
            <w:tcW w:w="1242" w:type="dxa"/>
            <w:tcBorders>
              <w:tl2br w:val="nil"/>
              <w:tr2bl w:val="nil"/>
            </w:tcBorders>
            <w:shd w:val="clear" w:color="auto" w:fill="auto"/>
            <w:noWrap/>
            <w:vAlign w:val="center"/>
          </w:tcPr>
          <w:p w14:paraId="66937F0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5.7559</w:t>
            </w:r>
          </w:p>
        </w:tc>
        <w:tc>
          <w:tcPr>
            <w:tcW w:w="852" w:type="dxa"/>
            <w:tcBorders>
              <w:tl2br w:val="nil"/>
              <w:tr2bl w:val="nil"/>
            </w:tcBorders>
            <w:shd w:val="clear" w:color="auto" w:fill="auto"/>
            <w:noWrap/>
            <w:vAlign w:val="center"/>
          </w:tcPr>
          <w:p w14:paraId="72A16A8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491C26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479.66</w:t>
            </w:r>
          </w:p>
        </w:tc>
      </w:tr>
      <w:tr w14:paraId="2DAC99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181B9BD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15</w:t>
            </w:r>
          </w:p>
        </w:tc>
        <w:tc>
          <w:tcPr>
            <w:tcW w:w="2239" w:type="dxa"/>
            <w:tcBorders>
              <w:tl2br w:val="nil"/>
              <w:tr2bl w:val="nil"/>
            </w:tcBorders>
            <w:shd w:val="clear" w:color="auto" w:fill="auto"/>
            <w:noWrap/>
            <w:vAlign w:val="center"/>
          </w:tcPr>
          <w:p w14:paraId="205811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湘潭县公安局</w:t>
            </w:r>
          </w:p>
        </w:tc>
        <w:tc>
          <w:tcPr>
            <w:tcW w:w="957" w:type="dxa"/>
            <w:vMerge w:val="continue"/>
            <w:tcBorders>
              <w:tl2br w:val="nil"/>
              <w:tr2bl w:val="nil"/>
            </w:tcBorders>
            <w:shd w:val="clear" w:color="auto" w:fill="auto"/>
            <w:noWrap/>
            <w:vAlign w:val="center"/>
          </w:tcPr>
          <w:p w14:paraId="400F6C3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2E3F21F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052907</w:t>
            </w:r>
          </w:p>
        </w:tc>
        <w:tc>
          <w:tcPr>
            <w:tcW w:w="1242" w:type="dxa"/>
            <w:tcBorders>
              <w:tl2br w:val="nil"/>
              <w:tr2bl w:val="nil"/>
            </w:tcBorders>
            <w:shd w:val="clear" w:color="auto" w:fill="auto"/>
            <w:noWrap/>
            <w:vAlign w:val="center"/>
          </w:tcPr>
          <w:p w14:paraId="7179E6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8.3693</w:t>
            </w:r>
          </w:p>
        </w:tc>
        <w:tc>
          <w:tcPr>
            <w:tcW w:w="852" w:type="dxa"/>
            <w:tcBorders>
              <w:tl2br w:val="nil"/>
              <w:tr2bl w:val="nil"/>
            </w:tcBorders>
            <w:shd w:val="clear" w:color="auto" w:fill="auto"/>
            <w:noWrap/>
            <w:vAlign w:val="center"/>
          </w:tcPr>
          <w:p w14:paraId="20827D7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17084D8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697.44</w:t>
            </w:r>
          </w:p>
        </w:tc>
      </w:tr>
      <w:tr w14:paraId="61B6C6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7E8EE6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16</w:t>
            </w:r>
          </w:p>
        </w:tc>
        <w:tc>
          <w:tcPr>
            <w:tcW w:w="2239" w:type="dxa"/>
            <w:tcBorders>
              <w:tl2br w:val="nil"/>
              <w:tr2bl w:val="nil"/>
            </w:tcBorders>
            <w:shd w:val="clear" w:color="auto" w:fill="auto"/>
            <w:noWrap/>
            <w:vAlign w:val="center"/>
          </w:tcPr>
          <w:p w14:paraId="05F10E2C">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学府雅苑</w:t>
            </w:r>
          </w:p>
        </w:tc>
        <w:tc>
          <w:tcPr>
            <w:tcW w:w="957" w:type="dxa"/>
            <w:vMerge w:val="continue"/>
            <w:tcBorders>
              <w:tl2br w:val="nil"/>
              <w:tr2bl w:val="nil"/>
            </w:tcBorders>
            <w:shd w:val="clear" w:color="auto" w:fill="auto"/>
            <w:noWrap/>
            <w:vAlign w:val="center"/>
          </w:tcPr>
          <w:p w14:paraId="28D8C2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599065A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010209</w:t>
            </w:r>
          </w:p>
        </w:tc>
        <w:tc>
          <w:tcPr>
            <w:tcW w:w="1242" w:type="dxa"/>
            <w:tcBorders>
              <w:tl2br w:val="nil"/>
              <w:tr2bl w:val="nil"/>
            </w:tcBorders>
            <w:shd w:val="clear" w:color="auto" w:fill="auto"/>
            <w:noWrap/>
            <w:vAlign w:val="center"/>
          </w:tcPr>
          <w:p w14:paraId="32F1FA3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6.1320</w:t>
            </w:r>
          </w:p>
        </w:tc>
        <w:tc>
          <w:tcPr>
            <w:tcW w:w="852" w:type="dxa"/>
            <w:tcBorders>
              <w:tl2br w:val="nil"/>
              <w:tr2bl w:val="nil"/>
            </w:tcBorders>
            <w:shd w:val="clear" w:color="auto" w:fill="auto"/>
            <w:noWrap/>
            <w:vAlign w:val="center"/>
          </w:tcPr>
          <w:p w14:paraId="7DE1A3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2A92E11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511.00</w:t>
            </w:r>
          </w:p>
        </w:tc>
      </w:tr>
      <w:tr w14:paraId="66B3B1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5E9264E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17</w:t>
            </w:r>
          </w:p>
        </w:tc>
        <w:tc>
          <w:tcPr>
            <w:tcW w:w="2239" w:type="dxa"/>
            <w:tcBorders>
              <w:tl2br w:val="nil"/>
              <w:tr2bl w:val="nil"/>
            </w:tcBorders>
            <w:shd w:val="clear" w:color="auto" w:fill="auto"/>
            <w:noWrap/>
            <w:vAlign w:val="center"/>
          </w:tcPr>
          <w:p w14:paraId="799B702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天一家园</w:t>
            </w:r>
          </w:p>
        </w:tc>
        <w:tc>
          <w:tcPr>
            <w:tcW w:w="957" w:type="dxa"/>
            <w:vMerge w:val="continue"/>
            <w:tcBorders>
              <w:tl2br w:val="nil"/>
              <w:tr2bl w:val="nil"/>
            </w:tcBorders>
            <w:shd w:val="clear" w:color="auto" w:fill="auto"/>
            <w:noWrap/>
            <w:vAlign w:val="center"/>
          </w:tcPr>
          <w:p w14:paraId="280856D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24C1CCD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031208</w:t>
            </w:r>
          </w:p>
        </w:tc>
        <w:tc>
          <w:tcPr>
            <w:tcW w:w="1242" w:type="dxa"/>
            <w:tcBorders>
              <w:tl2br w:val="nil"/>
              <w:tr2bl w:val="nil"/>
            </w:tcBorders>
            <w:shd w:val="clear" w:color="auto" w:fill="auto"/>
            <w:noWrap/>
            <w:vAlign w:val="center"/>
          </w:tcPr>
          <w:p w14:paraId="45C96374">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3.4603</w:t>
            </w:r>
          </w:p>
        </w:tc>
        <w:tc>
          <w:tcPr>
            <w:tcW w:w="852" w:type="dxa"/>
            <w:tcBorders>
              <w:tl2br w:val="nil"/>
              <w:tr2bl w:val="nil"/>
            </w:tcBorders>
            <w:shd w:val="clear" w:color="auto" w:fill="auto"/>
            <w:noWrap/>
            <w:vAlign w:val="center"/>
          </w:tcPr>
          <w:p w14:paraId="27B4625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30D4E84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288.36</w:t>
            </w:r>
          </w:p>
        </w:tc>
      </w:tr>
      <w:tr w14:paraId="02C790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2C8FC3C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18</w:t>
            </w:r>
          </w:p>
        </w:tc>
        <w:tc>
          <w:tcPr>
            <w:tcW w:w="2239" w:type="dxa"/>
            <w:tcBorders>
              <w:tl2br w:val="nil"/>
              <w:tr2bl w:val="nil"/>
            </w:tcBorders>
            <w:shd w:val="clear" w:color="auto" w:fill="auto"/>
            <w:noWrap/>
            <w:vAlign w:val="center"/>
          </w:tcPr>
          <w:p w14:paraId="56C62F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长通名城</w:t>
            </w:r>
          </w:p>
        </w:tc>
        <w:tc>
          <w:tcPr>
            <w:tcW w:w="957" w:type="dxa"/>
            <w:vMerge w:val="continue"/>
            <w:tcBorders>
              <w:tl2br w:val="nil"/>
              <w:tr2bl w:val="nil"/>
            </w:tcBorders>
            <w:shd w:val="clear" w:color="auto" w:fill="auto"/>
            <w:noWrap/>
            <w:vAlign w:val="center"/>
          </w:tcPr>
          <w:p w14:paraId="28475A6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7E54F9B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031208</w:t>
            </w:r>
          </w:p>
        </w:tc>
        <w:tc>
          <w:tcPr>
            <w:tcW w:w="1242" w:type="dxa"/>
            <w:tcBorders>
              <w:tl2br w:val="nil"/>
              <w:tr2bl w:val="nil"/>
            </w:tcBorders>
            <w:shd w:val="clear" w:color="auto" w:fill="auto"/>
            <w:noWrap/>
            <w:vAlign w:val="center"/>
          </w:tcPr>
          <w:p w14:paraId="05D6FB7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3.3883</w:t>
            </w:r>
          </w:p>
        </w:tc>
        <w:tc>
          <w:tcPr>
            <w:tcW w:w="852" w:type="dxa"/>
            <w:tcBorders>
              <w:tl2br w:val="nil"/>
              <w:tr2bl w:val="nil"/>
            </w:tcBorders>
            <w:shd w:val="clear" w:color="auto" w:fill="auto"/>
            <w:noWrap/>
            <w:vAlign w:val="center"/>
          </w:tcPr>
          <w:p w14:paraId="43CE480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2C2AEFA0">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282.36</w:t>
            </w:r>
          </w:p>
        </w:tc>
      </w:tr>
      <w:tr w14:paraId="1EDFEA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55763FF7">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19</w:t>
            </w:r>
          </w:p>
        </w:tc>
        <w:tc>
          <w:tcPr>
            <w:tcW w:w="2239" w:type="dxa"/>
            <w:tcBorders>
              <w:tl2br w:val="nil"/>
              <w:tr2bl w:val="nil"/>
            </w:tcBorders>
            <w:shd w:val="clear" w:color="auto" w:fill="auto"/>
            <w:noWrap/>
            <w:vAlign w:val="center"/>
          </w:tcPr>
          <w:p w14:paraId="4F924A6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湘潭碧桂园</w:t>
            </w:r>
          </w:p>
        </w:tc>
        <w:tc>
          <w:tcPr>
            <w:tcW w:w="957" w:type="dxa"/>
            <w:vMerge w:val="continue"/>
            <w:tcBorders>
              <w:tl2br w:val="nil"/>
              <w:tr2bl w:val="nil"/>
            </w:tcBorders>
            <w:shd w:val="clear" w:color="auto" w:fill="auto"/>
            <w:noWrap/>
            <w:vAlign w:val="center"/>
          </w:tcPr>
          <w:p w14:paraId="75EE50B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44C040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010209</w:t>
            </w:r>
          </w:p>
        </w:tc>
        <w:tc>
          <w:tcPr>
            <w:tcW w:w="1242" w:type="dxa"/>
            <w:tcBorders>
              <w:tl2br w:val="nil"/>
              <w:tr2bl w:val="nil"/>
            </w:tcBorders>
            <w:shd w:val="clear" w:color="auto" w:fill="auto"/>
            <w:noWrap/>
            <w:vAlign w:val="center"/>
          </w:tcPr>
          <w:p w14:paraId="3F370A5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2.5575</w:t>
            </w:r>
          </w:p>
        </w:tc>
        <w:tc>
          <w:tcPr>
            <w:tcW w:w="852" w:type="dxa"/>
            <w:tcBorders>
              <w:tl2br w:val="nil"/>
              <w:tr2bl w:val="nil"/>
            </w:tcBorders>
            <w:shd w:val="clear" w:color="auto" w:fill="auto"/>
            <w:noWrap/>
            <w:vAlign w:val="center"/>
          </w:tcPr>
          <w:p w14:paraId="04E1407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62792259">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213.13</w:t>
            </w:r>
          </w:p>
        </w:tc>
      </w:tr>
      <w:tr w14:paraId="7479F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6E2F354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20</w:t>
            </w:r>
          </w:p>
        </w:tc>
        <w:tc>
          <w:tcPr>
            <w:tcW w:w="2239" w:type="dxa"/>
            <w:tcBorders>
              <w:tl2br w:val="nil"/>
              <w:tr2bl w:val="nil"/>
            </w:tcBorders>
            <w:shd w:val="clear" w:color="auto" w:fill="auto"/>
            <w:noWrap/>
            <w:vAlign w:val="center"/>
          </w:tcPr>
          <w:p w14:paraId="28BA090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东北侧湘潭县居民居住集中区</w:t>
            </w:r>
          </w:p>
        </w:tc>
        <w:tc>
          <w:tcPr>
            <w:tcW w:w="957" w:type="dxa"/>
            <w:vMerge w:val="continue"/>
            <w:tcBorders>
              <w:tl2br w:val="nil"/>
              <w:tr2bl w:val="nil"/>
            </w:tcBorders>
            <w:shd w:val="clear" w:color="auto" w:fill="auto"/>
            <w:noWrap/>
            <w:vAlign w:val="center"/>
          </w:tcPr>
          <w:p w14:paraId="2CDE814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4F913BF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031208</w:t>
            </w:r>
          </w:p>
        </w:tc>
        <w:tc>
          <w:tcPr>
            <w:tcW w:w="1242" w:type="dxa"/>
            <w:tcBorders>
              <w:tl2br w:val="nil"/>
              <w:tr2bl w:val="nil"/>
            </w:tcBorders>
            <w:shd w:val="clear" w:color="auto" w:fill="auto"/>
            <w:noWrap/>
            <w:vAlign w:val="center"/>
          </w:tcPr>
          <w:p w14:paraId="157FE45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2.5218</w:t>
            </w:r>
          </w:p>
        </w:tc>
        <w:tc>
          <w:tcPr>
            <w:tcW w:w="852" w:type="dxa"/>
            <w:tcBorders>
              <w:tl2br w:val="nil"/>
              <w:tr2bl w:val="nil"/>
            </w:tcBorders>
            <w:shd w:val="clear" w:color="auto" w:fill="auto"/>
            <w:noWrap/>
            <w:vAlign w:val="center"/>
          </w:tcPr>
          <w:p w14:paraId="376D5B5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2B32D4D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210.15</w:t>
            </w:r>
          </w:p>
        </w:tc>
      </w:tr>
      <w:tr w14:paraId="66510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4832B75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21</w:t>
            </w:r>
          </w:p>
        </w:tc>
        <w:tc>
          <w:tcPr>
            <w:tcW w:w="2239" w:type="dxa"/>
            <w:tcBorders>
              <w:tl2br w:val="nil"/>
              <w:tr2bl w:val="nil"/>
            </w:tcBorders>
            <w:shd w:val="clear" w:color="auto" w:fill="auto"/>
            <w:noWrap/>
            <w:vAlign w:val="center"/>
          </w:tcPr>
          <w:p w14:paraId="54FF7F5D">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西北侧湘潭县居民居住集中区</w:t>
            </w:r>
          </w:p>
        </w:tc>
        <w:tc>
          <w:tcPr>
            <w:tcW w:w="957" w:type="dxa"/>
            <w:vMerge w:val="continue"/>
            <w:tcBorders>
              <w:tl2br w:val="nil"/>
              <w:tr2bl w:val="nil"/>
            </w:tcBorders>
            <w:shd w:val="clear" w:color="auto" w:fill="auto"/>
            <w:noWrap/>
            <w:vAlign w:val="center"/>
          </w:tcPr>
          <w:p w14:paraId="0136A373">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640578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081603</w:t>
            </w:r>
          </w:p>
        </w:tc>
        <w:tc>
          <w:tcPr>
            <w:tcW w:w="1242" w:type="dxa"/>
            <w:tcBorders>
              <w:tl2br w:val="nil"/>
              <w:tr2bl w:val="nil"/>
            </w:tcBorders>
            <w:shd w:val="clear" w:color="auto" w:fill="auto"/>
            <w:noWrap/>
            <w:vAlign w:val="center"/>
          </w:tcPr>
          <w:p w14:paraId="07C61372">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2.3528</w:t>
            </w:r>
          </w:p>
        </w:tc>
        <w:tc>
          <w:tcPr>
            <w:tcW w:w="852" w:type="dxa"/>
            <w:tcBorders>
              <w:tl2br w:val="nil"/>
              <w:tr2bl w:val="nil"/>
            </w:tcBorders>
            <w:shd w:val="clear" w:color="auto" w:fill="auto"/>
            <w:noWrap/>
            <w:vAlign w:val="center"/>
          </w:tcPr>
          <w:p w14:paraId="012C278B">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177F571E">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196.06</w:t>
            </w:r>
          </w:p>
        </w:tc>
      </w:tr>
      <w:tr w14:paraId="68F5B8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tcBorders>
              <w:tl2br w:val="nil"/>
              <w:tr2bl w:val="nil"/>
            </w:tcBorders>
            <w:shd w:val="clear" w:color="auto" w:fill="auto"/>
            <w:noWrap/>
            <w:vAlign w:val="center"/>
          </w:tcPr>
          <w:p w14:paraId="75F4D5F6">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lang w:eastAsia="zh-CN"/>
              </w:rPr>
            </w:pPr>
            <w:r>
              <w:rPr>
                <w:rFonts w:hint="eastAsia"/>
                <w:sz w:val="21"/>
                <w:szCs w:val="21"/>
                <w:lang w:eastAsia="zh-CN"/>
              </w:rPr>
              <w:t>24</w:t>
            </w:r>
          </w:p>
        </w:tc>
        <w:tc>
          <w:tcPr>
            <w:tcW w:w="2239" w:type="dxa"/>
            <w:tcBorders>
              <w:tl2br w:val="nil"/>
              <w:tr2bl w:val="nil"/>
            </w:tcBorders>
            <w:shd w:val="clear" w:color="auto" w:fill="auto"/>
            <w:noWrap/>
            <w:vAlign w:val="center"/>
          </w:tcPr>
          <w:p w14:paraId="0C8A18F8">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湘潭县环境监测点</w:t>
            </w:r>
          </w:p>
        </w:tc>
        <w:tc>
          <w:tcPr>
            <w:tcW w:w="957" w:type="dxa"/>
            <w:vMerge w:val="continue"/>
            <w:tcBorders>
              <w:tl2br w:val="nil"/>
              <w:tr2bl w:val="nil"/>
            </w:tcBorders>
            <w:shd w:val="clear" w:color="auto" w:fill="auto"/>
            <w:noWrap/>
            <w:vAlign w:val="center"/>
          </w:tcPr>
          <w:p w14:paraId="7E46D07A">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1360" w:type="dxa"/>
            <w:tcBorders>
              <w:tl2br w:val="nil"/>
              <w:tr2bl w:val="nil"/>
            </w:tcBorders>
            <w:shd w:val="clear" w:color="auto" w:fill="auto"/>
            <w:noWrap/>
            <w:vAlign w:val="center"/>
          </w:tcPr>
          <w:p w14:paraId="79B43A1F">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eastAsia="zh-CN"/>
              </w:rPr>
              <w:t>24</w:t>
            </w:r>
            <w:r>
              <w:rPr>
                <w:rFonts w:hint="eastAsia"/>
                <w:sz w:val="21"/>
                <w:szCs w:val="21"/>
              </w:rPr>
              <w:t>081603</w:t>
            </w:r>
          </w:p>
        </w:tc>
        <w:tc>
          <w:tcPr>
            <w:tcW w:w="1242" w:type="dxa"/>
            <w:tcBorders>
              <w:tl2br w:val="nil"/>
              <w:tr2bl w:val="nil"/>
            </w:tcBorders>
            <w:shd w:val="clear" w:color="auto" w:fill="auto"/>
            <w:noWrap/>
            <w:vAlign w:val="center"/>
          </w:tcPr>
          <w:p w14:paraId="4696F435">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1.2170</w:t>
            </w:r>
          </w:p>
        </w:tc>
        <w:tc>
          <w:tcPr>
            <w:tcW w:w="852" w:type="dxa"/>
            <w:tcBorders>
              <w:tl2br w:val="nil"/>
              <w:tr2bl w:val="nil"/>
            </w:tcBorders>
            <w:shd w:val="clear" w:color="auto" w:fill="auto"/>
            <w:noWrap/>
            <w:vAlign w:val="center"/>
          </w:tcPr>
          <w:p w14:paraId="6F59CCD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1.2</w:t>
            </w:r>
          </w:p>
        </w:tc>
        <w:tc>
          <w:tcPr>
            <w:tcW w:w="1217" w:type="dxa"/>
            <w:tcBorders>
              <w:tl2br w:val="nil"/>
              <w:tr2bl w:val="nil"/>
            </w:tcBorders>
            <w:shd w:val="clear" w:color="auto" w:fill="auto"/>
            <w:noWrap/>
            <w:vAlign w:val="center"/>
          </w:tcPr>
          <w:p w14:paraId="7FFD5091">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101.42</w:t>
            </w:r>
          </w:p>
        </w:tc>
      </w:tr>
    </w:tbl>
    <w:p w14:paraId="1E2AB392">
      <w:pPr>
        <w:ind w:firstLine="480"/>
        <w:jc w:val="center"/>
        <w:rPr>
          <w:rFonts w:hint="eastAsia"/>
        </w:rPr>
      </w:pPr>
    </w:p>
    <w:p w14:paraId="52266021">
      <w:pPr>
        <w:ind w:firstLine="480"/>
        <w:jc w:val="center"/>
        <w:rPr>
          <w:rFonts w:hint="eastAsia"/>
        </w:rPr>
      </w:pPr>
    </w:p>
    <w:p w14:paraId="2241026C">
      <w:pPr>
        <w:ind w:firstLine="480"/>
        <w:jc w:val="center"/>
        <w:rPr>
          <w:b/>
          <w:bCs/>
        </w:rPr>
      </w:pPr>
      <w:r>
        <w:rPr>
          <w:b/>
          <w:bCs/>
        </w:rPr>
        <w:pict>
          <v:shape id="_x0000_s1222" o:spid="_x0000_s1222" o:spt="75" alt="TVOC非正常" type="#_x0000_t75" style="position:absolute;left:0pt;margin-left:16.8pt;margin-top:0.85pt;height:311.5pt;width:376.85pt;mso-position-horizontal-relative:margin;mso-position-vertical-relative:margin;mso-wrap-distance-bottom:0pt;mso-wrap-distance-left:9pt;mso-wrap-distance-right:9pt;mso-wrap-distance-top:0pt;z-index:251693056;mso-width-relative:page;mso-height-relative:page;" filled="f" o:preferrelative="t" stroked="f" coordsize="21600,21600">
            <v:path/>
            <v:fill on="f" focussize="0,0"/>
            <v:stroke on="f"/>
            <v:imagedata r:id="rId73" o:title="TVOC非正常"/>
            <o:lock v:ext="edit" aspectratio="t"/>
            <w10:wrap type="square"/>
          </v:shape>
        </w:pict>
      </w:r>
      <w:r>
        <w:rPr>
          <w:rFonts w:hint="eastAsia"/>
          <w:b/>
          <w:bCs/>
        </w:rPr>
        <w:t>事故状况下挥发性有机物预测结果  单位：mg/m</w:t>
      </w:r>
      <w:r>
        <w:rPr>
          <w:rFonts w:hint="eastAsia"/>
          <w:b/>
          <w:bCs/>
          <w:vertAlign w:val="superscript"/>
        </w:rPr>
        <w:t>3</w:t>
      </w:r>
    </w:p>
    <w:p w14:paraId="1FB15F37">
      <w:pPr>
        <w:ind w:firstLine="480"/>
      </w:pPr>
      <w:r>
        <w:rPr>
          <w:rFonts w:hint="eastAsia"/>
        </w:rPr>
        <w:t>由事故预测结果可知，当有机废气处理设施溶剂回收系统发生故障，废气治理设施效率下降至</w:t>
      </w:r>
      <w:r>
        <w:t>85%</w:t>
      </w:r>
      <w:r>
        <w:rPr>
          <w:rFonts w:hint="eastAsia"/>
        </w:rPr>
        <w:t>或完全失效时，项目排放的挥发性有机物增大；当低氮燃烧装置完全失效时，项目排放量的颗粒物增大，厂界区域和临近居民点环境空气质量下降。建设方在运营时应该注意做好环保设施的维护工作，杜绝事故排放。</w:t>
      </w:r>
    </w:p>
    <w:p w14:paraId="7B51DAC9">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6.2.5.2</w:t>
      </w:r>
      <w:r>
        <w:rPr>
          <w:rFonts w:hint="eastAsia"/>
        </w:rPr>
        <w:t>大气环境防护距离计算分析</w:t>
      </w:r>
    </w:p>
    <w:p w14:paraId="5F37E25F">
      <w:pPr>
        <w:ind w:firstLine="480"/>
      </w:pPr>
      <w:r>
        <w:t>根据《环境影响评价技术导则大气环境》（HJ 2.2-2018）要求：</w:t>
      </w:r>
      <w:r>
        <w:rPr>
          <w:rFonts w:hint="eastAsia"/>
        </w:rPr>
        <w:t>“</w:t>
      </w:r>
      <w: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r>
        <w:rPr>
          <w:rFonts w:hint="eastAsia"/>
        </w:rPr>
        <w:t>”</w:t>
      </w:r>
      <w:r>
        <w:t>。根据前述分析，正常工况，本项目</w:t>
      </w:r>
      <w:r>
        <w:rPr>
          <w:rFonts w:hint="eastAsia"/>
        </w:rPr>
        <w:t>3</w:t>
      </w:r>
      <w:r>
        <w:t>车间、</w:t>
      </w:r>
      <w:r>
        <w:rPr>
          <w:rFonts w:hint="eastAsia"/>
        </w:rPr>
        <w:t>危废间</w:t>
      </w:r>
      <w:r>
        <w:t>无组织排放的各类污染物在厂界处未出现超标点，在各敏感点、网格点地占标率均小于100%，因此本项目无需设置大气环境防护距离。</w:t>
      </w:r>
    </w:p>
    <w:p w14:paraId="5F744963">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6.2.5.3</w:t>
      </w:r>
      <w:r>
        <w:rPr>
          <w:rFonts w:hint="eastAsia"/>
        </w:rPr>
        <w:t>污染物排放量核算</w:t>
      </w:r>
    </w:p>
    <w:p w14:paraId="60A61B43">
      <w:pPr>
        <w:ind w:firstLine="480"/>
      </w:pPr>
      <w:r>
        <w:rPr>
          <w:rFonts w:hint="eastAsia" w:ascii="宋体" w:hAnsi="宋体" w:cs="宋体"/>
        </w:rPr>
        <w:t>1.</w:t>
      </w:r>
      <w:r>
        <w:rPr>
          <w:rFonts w:hint="eastAsia"/>
        </w:rPr>
        <w:t>有组织排放量核算</w:t>
      </w:r>
    </w:p>
    <w:p w14:paraId="7D7C1756">
      <w:pPr>
        <w:pStyle w:val="51"/>
        <w:numPr>
          <w:ilvl w:val="5"/>
          <w:numId w:val="0"/>
        </w:numPr>
        <w:tabs>
          <w:tab w:val="left" w:pos="4395"/>
        </w:tabs>
        <w:spacing w:before="156"/>
        <w:ind w:firstLine="1476" w:firstLineChars="700"/>
        <w:jc w:val="both"/>
        <w:rPr>
          <w:rFonts w:hint="default" w:ascii="宋体" w:hAnsi="宋体" w:eastAsia="宋体" w:cs="宋体"/>
          <w:b/>
          <w:bCs/>
          <w:color w:val="auto"/>
          <w:kern w:val="2"/>
          <w:sz w:val="21"/>
          <w:szCs w:val="21"/>
          <w:lang w:val="en-US" w:eastAsia="zh-CN" w:bidi="ar-SA"/>
        </w:rPr>
      </w:pPr>
    </w:p>
    <w:p w14:paraId="1E9BF917">
      <w:pPr>
        <w:pStyle w:val="51"/>
        <w:numPr>
          <w:ilvl w:val="5"/>
          <w:numId w:val="0"/>
        </w:numPr>
        <w:tabs>
          <w:tab w:val="left" w:pos="4395"/>
        </w:tabs>
        <w:spacing w:before="156"/>
        <w:ind w:firstLine="1476" w:firstLineChars="700"/>
        <w:jc w:val="both"/>
        <w:rPr>
          <w:sz w:val="18"/>
          <w:szCs w:val="18"/>
        </w:rPr>
      </w:pPr>
      <w:r>
        <w:rPr>
          <w:rFonts w:hint="default" w:ascii="宋体" w:hAnsi="宋体" w:eastAsia="宋体" w:cs="宋体"/>
          <w:b/>
          <w:bCs/>
          <w:color w:val="auto"/>
          <w:kern w:val="2"/>
          <w:sz w:val="21"/>
          <w:szCs w:val="21"/>
          <w:lang w:val="en-US" w:eastAsia="zh-CN" w:bidi="ar-SA"/>
        </w:rPr>
        <w:t xml:space="preserve">表6.2-25 </w:t>
      </w:r>
      <w:r>
        <w:rPr>
          <w:rFonts w:hint="eastAsia" w:ascii="宋体" w:hAnsi="宋体" w:cs="宋体"/>
          <w:b/>
          <w:bCs/>
          <w:color w:val="auto"/>
          <w:kern w:val="2"/>
          <w:sz w:val="21"/>
          <w:szCs w:val="21"/>
          <w:lang w:val="en-US" w:eastAsia="zh-CN" w:bidi="ar-SA"/>
        </w:rPr>
        <w:t xml:space="preserve">  </w:t>
      </w:r>
      <w:r>
        <w:rPr>
          <w:rFonts w:hint="eastAsia"/>
        </w:rPr>
        <w:t>大气污染物有组织排放量核算表</w:t>
      </w:r>
    </w:p>
    <w:tbl>
      <w:tblPr>
        <w:tblStyle w:val="31"/>
        <w:tblW w:w="492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18"/>
        <w:gridCol w:w="978"/>
        <w:gridCol w:w="1862"/>
        <w:gridCol w:w="1743"/>
        <w:gridCol w:w="1630"/>
        <w:gridCol w:w="1655"/>
      </w:tblGrid>
      <w:tr w14:paraId="0390C7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9" w:type="pct"/>
            <w:vAlign w:val="center"/>
          </w:tcPr>
          <w:p w14:paraId="6E81B4AD">
            <w:pPr>
              <w:tabs>
                <w:tab w:val="left" w:pos="1021"/>
              </w:tabs>
              <w:spacing w:line="240" w:lineRule="auto"/>
              <w:jc w:val="center"/>
              <w:rPr>
                <w:sz w:val="21"/>
                <w:szCs w:val="21"/>
              </w:rPr>
            </w:pPr>
            <w:r>
              <w:rPr>
                <w:rFonts w:hint="eastAsia"/>
                <w:sz w:val="21"/>
                <w:szCs w:val="21"/>
              </w:rPr>
              <w:t>序号</w:t>
            </w:r>
          </w:p>
        </w:tc>
        <w:tc>
          <w:tcPr>
            <w:tcW w:w="583" w:type="pct"/>
            <w:vAlign w:val="center"/>
          </w:tcPr>
          <w:p w14:paraId="41BF84A7">
            <w:pPr>
              <w:tabs>
                <w:tab w:val="left" w:pos="1021"/>
              </w:tabs>
              <w:spacing w:line="240" w:lineRule="auto"/>
              <w:jc w:val="center"/>
              <w:rPr>
                <w:sz w:val="21"/>
                <w:szCs w:val="21"/>
              </w:rPr>
            </w:pPr>
            <w:r>
              <w:rPr>
                <w:rFonts w:hint="eastAsia"/>
                <w:sz w:val="21"/>
                <w:szCs w:val="21"/>
              </w:rPr>
              <w:t>排放</w:t>
            </w:r>
          </w:p>
          <w:p w14:paraId="1A9C0A8D">
            <w:pPr>
              <w:tabs>
                <w:tab w:val="left" w:pos="1021"/>
              </w:tabs>
              <w:spacing w:line="240" w:lineRule="auto"/>
              <w:jc w:val="center"/>
              <w:rPr>
                <w:sz w:val="21"/>
                <w:szCs w:val="21"/>
              </w:rPr>
            </w:pPr>
            <w:r>
              <w:rPr>
                <w:rFonts w:hint="eastAsia"/>
                <w:sz w:val="21"/>
                <w:szCs w:val="21"/>
              </w:rPr>
              <w:t>口编号</w:t>
            </w:r>
          </w:p>
        </w:tc>
        <w:tc>
          <w:tcPr>
            <w:tcW w:w="1110" w:type="pct"/>
            <w:vAlign w:val="center"/>
          </w:tcPr>
          <w:p w14:paraId="48B517A6">
            <w:pPr>
              <w:tabs>
                <w:tab w:val="left" w:pos="1021"/>
              </w:tabs>
              <w:spacing w:line="240" w:lineRule="auto"/>
              <w:jc w:val="center"/>
              <w:rPr>
                <w:sz w:val="21"/>
                <w:szCs w:val="21"/>
              </w:rPr>
            </w:pPr>
            <w:r>
              <w:rPr>
                <w:rFonts w:hint="eastAsia"/>
                <w:sz w:val="21"/>
                <w:szCs w:val="21"/>
              </w:rPr>
              <w:t>污染物</w:t>
            </w:r>
          </w:p>
        </w:tc>
        <w:tc>
          <w:tcPr>
            <w:tcW w:w="1039" w:type="pct"/>
            <w:vAlign w:val="center"/>
          </w:tcPr>
          <w:p w14:paraId="1CB30545">
            <w:pPr>
              <w:tabs>
                <w:tab w:val="left" w:pos="1021"/>
              </w:tabs>
              <w:spacing w:line="240" w:lineRule="auto"/>
              <w:jc w:val="center"/>
              <w:rPr>
                <w:sz w:val="21"/>
                <w:szCs w:val="21"/>
              </w:rPr>
            </w:pPr>
            <w:r>
              <w:rPr>
                <w:rFonts w:hint="eastAsia"/>
                <w:sz w:val="21"/>
                <w:szCs w:val="21"/>
              </w:rPr>
              <w:t>核算排放浓度（mg/m</w:t>
            </w:r>
            <w:r>
              <w:rPr>
                <w:rFonts w:hint="eastAsia"/>
                <w:sz w:val="21"/>
                <w:szCs w:val="21"/>
                <w:vertAlign w:val="superscript"/>
              </w:rPr>
              <w:t>3</w:t>
            </w:r>
            <w:r>
              <w:rPr>
                <w:rFonts w:hint="eastAsia"/>
                <w:sz w:val="21"/>
                <w:szCs w:val="21"/>
              </w:rPr>
              <w:t>）</w:t>
            </w:r>
          </w:p>
        </w:tc>
        <w:tc>
          <w:tcPr>
            <w:tcW w:w="972" w:type="pct"/>
            <w:vAlign w:val="center"/>
          </w:tcPr>
          <w:p w14:paraId="50C05EA9">
            <w:pPr>
              <w:tabs>
                <w:tab w:val="left" w:pos="1021"/>
              </w:tabs>
              <w:spacing w:line="240" w:lineRule="auto"/>
              <w:jc w:val="center"/>
              <w:rPr>
                <w:sz w:val="21"/>
                <w:szCs w:val="21"/>
              </w:rPr>
            </w:pPr>
            <w:r>
              <w:rPr>
                <w:rFonts w:hint="eastAsia"/>
                <w:sz w:val="21"/>
                <w:szCs w:val="21"/>
              </w:rPr>
              <w:t>核算排放速率（kg/h）</w:t>
            </w:r>
          </w:p>
        </w:tc>
        <w:tc>
          <w:tcPr>
            <w:tcW w:w="987" w:type="pct"/>
            <w:vAlign w:val="center"/>
          </w:tcPr>
          <w:p w14:paraId="1130C8CD">
            <w:pPr>
              <w:tabs>
                <w:tab w:val="left" w:pos="1021"/>
              </w:tabs>
              <w:spacing w:line="240" w:lineRule="auto"/>
              <w:jc w:val="center"/>
              <w:rPr>
                <w:sz w:val="21"/>
                <w:szCs w:val="21"/>
              </w:rPr>
            </w:pPr>
            <w:r>
              <w:rPr>
                <w:rFonts w:hint="eastAsia"/>
                <w:sz w:val="21"/>
                <w:szCs w:val="21"/>
              </w:rPr>
              <w:t>核算年排放量（t/a）</w:t>
            </w:r>
          </w:p>
        </w:tc>
      </w:tr>
      <w:tr w14:paraId="7A9F1F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9" w:type="pct"/>
            <w:vAlign w:val="center"/>
          </w:tcPr>
          <w:p w14:paraId="33176185">
            <w:pPr>
              <w:tabs>
                <w:tab w:val="left" w:pos="1021"/>
              </w:tabs>
              <w:spacing w:line="240" w:lineRule="auto"/>
              <w:jc w:val="center"/>
              <w:rPr>
                <w:sz w:val="21"/>
                <w:szCs w:val="21"/>
              </w:rPr>
            </w:pPr>
            <w:r>
              <w:rPr>
                <w:rFonts w:hint="eastAsia"/>
                <w:sz w:val="21"/>
                <w:szCs w:val="21"/>
              </w:rPr>
              <w:t>1</w:t>
            </w:r>
          </w:p>
        </w:tc>
        <w:tc>
          <w:tcPr>
            <w:tcW w:w="583" w:type="pct"/>
            <w:vAlign w:val="center"/>
          </w:tcPr>
          <w:p w14:paraId="2A220DB8">
            <w:pPr>
              <w:tabs>
                <w:tab w:val="left" w:pos="1021"/>
              </w:tabs>
              <w:spacing w:line="240" w:lineRule="auto"/>
              <w:jc w:val="center"/>
              <w:rPr>
                <w:sz w:val="21"/>
                <w:szCs w:val="21"/>
              </w:rPr>
            </w:pPr>
            <w:r>
              <w:rPr>
                <w:rFonts w:hint="eastAsia"/>
                <w:sz w:val="21"/>
                <w:szCs w:val="21"/>
              </w:rPr>
              <w:t>DA001</w:t>
            </w:r>
          </w:p>
          <w:p w14:paraId="41D39D54">
            <w:pPr>
              <w:tabs>
                <w:tab w:val="left" w:pos="1021"/>
              </w:tabs>
              <w:spacing w:line="240" w:lineRule="auto"/>
              <w:jc w:val="center"/>
              <w:rPr>
                <w:sz w:val="21"/>
                <w:szCs w:val="21"/>
              </w:rPr>
            </w:pPr>
            <w:r>
              <w:rPr>
                <w:rFonts w:hint="eastAsia"/>
                <w:sz w:val="21"/>
                <w:szCs w:val="21"/>
              </w:rPr>
              <w:t>排气筒</w:t>
            </w:r>
          </w:p>
        </w:tc>
        <w:tc>
          <w:tcPr>
            <w:tcW w:w="1110" w:type="pct"/>
            <w:vAlign w:val="center"/>
          </w:tcPr>
          <w:p w14:paraId="26AB43E4">
            <w:pPr>
              <w:tabs>
                <w:tab w:val="left" w:pos="1021"/>
              </w:tabs>
              <w:spacing w:line="240" w:lineRule="auto"/>
              <w:jc w:val="center"/>
              <w:rPr>
                <w:sz w:val="21"/>
                <w:szCs w:val="21"/>
              </w:rPr>
            </w:pPr>
            <w:r>
              <w:rPr>
                <w:rFonts w:hint="eastAsia"/>
                <w:sz w:val="21"/>
                <w:szCs w:val="21"/>
              </w:rPr>
              <w:t>挥发性有机物</w:t>
            </w:r>
          </w:p>
        </w:tc>
        <w:tc>
          <w:tcPr>
            <w:tcW w:w="1039" w:type="pct"/>
            <w:vAlign w:val="center"/>
          </w:tcPr>
          <w:p w14:paraId="73AD7E0A">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32.8</w:t>
            </w:r>
          </w:p>
        </w:tc>
        <w:tc>
          <w:tcPr>
            <w:tcW w:w="972" w:type="pct"/>
            <w:vAlign w:val="center"/>
          </w:tcPr>
          <w:p w14:paraId="3F3ACB1E">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12.5</w:t>
            </w:r>
          </w:p>
        </w:tc>
        <w:tc>
          <w:tcPr>
            <w:tcW w:w="987" w:type="pct"/>
            <w:vAlign w:val="center"/>
          </w:tcPr>
          <w:p w14:paraId="55EF8373">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101.72</w:t>
            </w:r>
          </w:p>
        </w:tc>
      </w:tr>
      <w:tr w14:paraId="4015FC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9" w:type="pct"/>
            <w:vMerge w:val="restart"/>
            <w:vAlign w:val="center"/>
          </w:tcPr>
          <w:p w14:paraId="00B49DD4">
            <w:pPr>
              <w:tabs>
                <w:tab w:val="left" w:pos="1021"/>
              </w:tabs>
              <w:spacing w:line="240" w:lineRule="auto"/>
              <w:jc w:val="center"/>
              <w:rPr>
                <w:sz w:val="21"/>
                <w:szCs w:val="21"/>
              </w:rPr>
            </w:pPr>
            <w:r>
              <w:rPr>
                <w:rFonts w:hint="eastAsia"/>
                <w:sz w:val="21"/>
                <w:szCs w:val="21"/>
              </w:rPr>
              <w:t>2</w:t>
            </w:r>
          </w:p>
        </w:tc>
        <w:tc>
          <w:tcPr>
            <w:tcW w:w="583" w:type="pct"/>
            <w:vMerge w:val="restart"/>
            <w:vAlign w:val="center"/>
          </w:tcPr>
          <w:p w14:paraId="6F21DD31">
            <w:pPr>
              <w:tabs>
                <w:tab w:val="left" w:pos="1021"/>
              </w:tabs>
              <w:spacing w:line="240" w:lineRule="auto"/>
              <w:jc w:val="center"/>
              <w:rPr>
                <w:sz w:val="21"/>
                <w:szCs w:val="21"/>
              </w:rPr>
            </w:pPr>
            <w:r>
              <w:rPr>
                <w:rFonts w:hint="eastAsia"/>
                <w:sz w:val="21"/>
                <w:szCs w:val="21"/>
              </w:rPr>
              <w:t>DA002</w:t>
            </w:r>
          </w:p>
          <w:p w14:paraId="34F77355">
            <w:pPr>
              <w:tabs>
                <w:tab w:val="left" w:pos="1021"/>
              </w:tabs>
              <w:spacing w:line="240" w:lineRule="auto"/>
              <w:jc w:val="center"/>
              <w:rPr>
                <w:sz w:val="21"/>
                <w:szCs w:val="21"/>
              </w:rPr>
            </w:pPr>
            <w:r>
              <w:rPr>
                <w:rFonts w:hint="eastAsia"/>
                <w:sz w:val="21"/>
                <w:szCs w:val="21"/>
              </w:rPr>
              <w:t>排气筒</w:t>
            </w:r>
          </w:p>
        </w:tc>
        <w:tc>
          <w:tcPr>
            <w:tcW w:w="1110" w:type="pct"/>
            <w:vAlign w:val="center"/>
          </w:tcPr>
          <w:p w14:paraId="02D7CBAE">
            <w:pPr>
              <w:tabs>
                <w:tab w:val="left" w:pos="1021"/>
              </w:tabs>
              <w:spacing w:line="240" w:lineRule="auto"/>
              <w:jc w:val="center"/>
              <w:rPr>
                <w:sz w:val="21"/>
                <w:szCs w:val="21"/>
              </w:rPr>
            </w:pPr>
            <w:r>
              <w:rPr>
                <w:rFonts w:hint="eastAsia"/>
                <w:sz w:val="21"/>
                <w:szCs w:val="21"/>
              </w:rPr>
              <w:t>颗粒物</w:t>
            </w:r>
          </w:p>
        </w:tc>
        <w:tc>
          <w:tcPr>
            <w:tcW w:w="1039" w:type="pct"/>
            <w:vAlign w:val="center"/>
          </w:tcPr>
          <w:p w14:paraId="09DDC822">
            <w:pPr>
              <w:tabs>
                <w:tab w:val="left" w:pos="1021"/>
              </w:tabs>
              <w:spacing w:line="240" w:lineRule="auto"/>
              <w:jc w:val="center"/>
              <w:rPr>
                <w:sz w:val="21"/>
                <w:szCs w:val="21"/>
              </w:rPr>
            </w:pPr>
            <w:r>
              <w:rPr>
                <w:rFonts w:hint="eastAsia"/>
                <w:sz w:val="21"/>
                <w:szCs w:val="21"/>
              </w:rPr>
              <w:t>18.7</w:t>
            </w:r>
          </w:p>
        </w:tc>
        <w:tc>
          <w:tcPr>
            <w:tcW w:w="972" w:type="pct"/>
            <w:vAlign w:val="center"/>
          </w:tcPr>
          <w:p w14:paraId="4DBB375A">
            <w:pPr>
              <w:tabs>
                <w:tab w:val="left" w:pos="1021"/>
              </w:tabs>
              <w:spacing w:line="240" w:lineRule="auto"/>
              <w:jc w:val="center"/>
              <w:rPr>
                <w:sz w:val="21"/>
                <w:szCs w:val="21"/>
              </w:rPr>
            </w:pPr>
            <w:r>
              <w:rPr>
                <w:rFonts w:hint="eastAsia"/>
                <w:sz w:val="21"/>
                <w:szCs w:val="21"/>
              </w:rPr>
              <w:t>0.04</w:t>
            </w:r>
          </w:p>
        </w:tc>
        <w:tc>
          <w:tcPr>
            <w:tcW w:w="987" w:type="pct"/>
            <w:vAlign w:val="center"/>
          </w:tcPr>
          <w:p w14:paraId="0A4B644D">
            <w:pPr>
              <w:tabs>
                <w:tab w:val="left" w:pos="1021"/>
              </w:tabs>
              <w:spacing w:line="240" w:lineRule="auto"/>
              <w:jc w:val="center"/>
              <w:rPr>
                <w:sz w:val="21"/>
                <w:szCs w:val="21"/>
              </w:rPr>
            </w:pPr>
            <w:r>
              <w:rPr>
                <w:rFonts w:hint="eastAsia"/>
                <w:sz w:val="21"/>
                <w:szCs w:val="21"/>
              </w:rPr>
              <w:t>0.315</w:t>
            </w:r>
          </w:p>
        </w:tc>
      </w:tr>
      <w:tr w14:paraId="29F116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9" w:type="pct"/>
            <w:vMerge w:val="continue"/>
            <w:vAlign w:val="center"/>
          </w:tcPr>
          <w:p w14:paraId="024F223E">
            <w:pPr>
              <w:tabs>
                <w:tab w:val="left" w:pos="1021"/>
              </w:tabs>
              <w:spacing w:line="240" w:lineRule="auto"/>
              <w:jc w:val="center"/>
              <w:rPr>
                <w:color w:val="FF0000"/>
                <w:sz w:val="21"/>
                <w:szCs w:val="21"/>
              </w:rPr>
            </w:pPr>
          </w:p>
        </w:tc>
        <w:tc>
          <w:tcPr>
            <w:tcW w:w="583" w:type="pct"/>
            <w:vMerge w:val="continue"/>
            <w:vAlign w:val="center"/>
          </w:tcPr>
          <w:p w14:paraId="2D912CAD">
            <w:pPr>
              <w:tabs>
                <w:tab w:val="left" w:pos="1021"/>
              </w:tabs>
              <w:spacing w:line="240" w:lineRule="auto"/>
              <w:jc w:val="center"/>
              <w:rPr>
                <w:color w:val="FF0000"/>
                <w:sz w:val="21"/>
                <w:szCs w:val="21"/>
              </w:rPr>
            </w:pPr>
          </w:p>
        </w:tc>
        <w:tc>
          <w:tcPr>
            <w:tcW w:w="1110" w:type="pct"/>
            <w:vAlign w:val="center"/>
          </w:tcPr>
          <w:p w14:paraId="4D74FFAA">
            <w:pPr>
              <w:tabs>
                <w:tab w:val="left" w:pos="1021"/>
              </w:tabs>
              <w:spacing w:line="240" w:lineRule="auto"/>
              <w:jc w:val="center"/>
              <w:rPr>
                <w:sz w:val="21"/>
                <w:szCs w:val="21"/>
              </w:rPr>
            </w:pPr>
            <w:r>
              <w:rPr>
                <w:rFonts w:hint="eastAsia"/>
                <w:sz w:val="21"/>
                <w:szCs w:val="21"/>
              </w:rPr>
              <w:t>SO</w:t>
            </w:r>
            <w:r>
              <w:rPr>
                <w:rFonts w:hint="eastAsia"/>
                <w:sz w:val="21"/>
                <w:szCs w:val="21"/>
                <w:vertAlign w:val="subscript"/>
              </w:rPr>
              <w:t>2</w:t>
            </w:r>
          </w:p>
        </w:tc>
        <w:tc>
          <w:tcPr>
            <w:tcW w:w="1039" w:type="pct"/>
            <w:vAlign w:val="center"/>
          </w:tcPr>
          <w:p w14:paraId="6F75942E">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2.69</w:t>
            </w:r>
          </w:p>
        </w:tc>
        <w:tc>
          <w:tcPr>
            <w:tcW w:w="972" w:type="pct"/>
            <w:vAlign w:val="center"/>
          </w:tcPr>
          <w:p w14:paraId="2A5A0BD6">
            <w:pPr>
              <w:tabs>
                <w:tab w:val="left" w:pos="1021"/>
              </w:tabs>
              <w:spacing w:line="240" w:lineRule="auto"/>
              <w:jc w:val="center"/>
              <w:rPr>
                <w:rFonts w:hint="default" w:eastAsia="宋体"/>
                <w:sz w:val="21"/>
                <w:szCs w:val="21"/>
                <w:lang w:val="en-US" w:eastAsia="zh-CN"/>
              </w:rPr>
            </w:pPr>
            <w:r>
              <w:rPr>
                <w:rFonts w:hint="eastAsia"/>
                <w:sz w:val="21"/>
                <w:szCs w:val="21"/>
              </w:rPr>
              <w:t>0.0</w:t>
            </w:r>
            <w:r>
              <w:rPr>
                <w:rFonts w:hint="eastAsia"/>
                <w:sz w:val="21"/>
                <w:szCs w:val="21"/>
                <w:lang w:val="en-US" w:eastAsia="zh-CN"/>
              </w:rPr>
              <w:t>05</w:t>
            </w:r>
          </w:p>
        </w:tc>
        <w:tc>
          <w:tcPr>
            <w:tcW w:w="987" w:type="pct"/>
            <w:vAlign w:val="center"/>
          </w:tcPr>
          <w:p w14:paraId="28A81E60">
            <w:pPr>
              <w:tabs>
                <w:tab w:val="left" w:pos="1021"/>
              </w:tabs>
              <w:spacing w:line="240" w:lineRule="auto"/>
              <w:jc w:val="center"/>
              <w:rPr>
                <w:sz w:val="21"/>
                <w:szCs w:val="21"/>
              </w:rPr>
            </w:pPr>
            <w:r>
              <w:rPr>
                <w:rFonts w:hint="eastAsia"/>
                <w:sz w:val="21"/>
                <w:szCs w:val="21"/>
              </w:rPr>
              <w:t>0.</w:t>
            </w:r>
            <w:r>
              <w:rPr>
                <w:rFonts w:hint="eastAsia"/>
                <w:sz w:val="21"/>
                <w:szCs w:val="21"/>
                <w:lang w:val="en-US" w:eastAsia="zh-CN"/>
              </w:rPr>
              <w:t>044</w:t>
            </w:r>
          </w:p>
        </w:tc>
      </w:tr>
      <w:tr w14:paraId="2B45C5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9" w:type="pct"/>
            <w:vMerge w:val="continue"/>
            <w:vAlign w:val="center"/>
          </w:tcPr>
          <w:p w14:paraId="348C1184">
            <w:pPr>
              <w:tabs>
                <w:tab w:val="left" w:pos="1021"/>
              </w:tabs>
              <w:spacing w:line="240" w:lineRule="auto"/>
              <w:jc w:val="center"/>
              <w:rPr>
                <w:color w:val="FF0000"/>
                <w:sz w:val="21"/>
                <w:szCs w:val="21"/>
              </w:rPr>
            </w:pPr>
          </w:p>
        </w:tc>
        <w:tc>
          <w:tcPr>
            <w:tcW w:w="583" w:type="pct"/>
            <w:vMerge w:val="continue"/>
            <w:vAlign w:val="center"/>
          </w:tcPr>
          <w:p w14:paraId="21495587">
            <w:pPr>
              <w:tabs>
                <w:tab w:val="left" w:pos="1021"/>
              </w:tabs>
              <w:spacing w:line="240" w:lineRule="auto"/>
              <w:jc w:val="center"/>
              <w:rPr>
                <w:color w:val="FF0000"/>
                <w:sz w:val="21"/>
                <w:szCs w:val="21"/>
              </w:rPr>
            </w:pPr>
          </w:p>
        </w:tc>
        <w:tc>
          <w:tcPr>
            <w:tcW w:w="1110" w:type="pct"/>
            <w:vAlign w:val="center"/>
          </w:tcPr>
          <w:p w14:paraId="53F7B358">
            <w:pPr>
              <w:tabs>
                <w:tab w:val="left" w:pos="1021"/>
              </w:tabs>
              <w:spacing w:line="240" w:lineRule="auto"/>
              <w:jc w:val="center"/>
              <w:rPr>
                <w:sz w:val="21"/>
                <w:szCs w:val="21"/>
              </w:rPr>
            </w:pPr>
            <w:r>
              <w:rPr>
                <w:rFonts w:hint="eastAsia"/>
                <w:sz w:val="21"/>
                <w:szCs w:val="21"/>
              </w:rPr>
              <w:t>NOx</w:t>
            </w:r>
          </w:p>
        </w:tc>
        <w:tc>
          <w:tcPr>
            <w:tcW w:w="1039" w:type="pct"/>
            <w:vAlign w:val="center"/>
          </w:tcPr>
          <w:p w14:paraId="4AF8FC2C">
            <w:pPr>
              <w:tabs>
                <w:tab w:val="left" w:pos="1021"/>
              </w:tabs>
              <w:spacing w:line="240" w:lineRule="auto"/>
              <w:jc w:val="center"/>
              <w:rPr>
                <w:sz w:val="21"/>
                <w:szCs w:val="21"/>
              </w:rPr>
            </w:pPr>
            <w:r>
              <w:rPr>
                <w:rFonts w:hint="eastAsia"/>
                <w:sz w:val="21"/>
                <w:szCs w:val="21"/>
              </w:rPr>
              <w:t>62.2</w:t>
            </w:r>
          </w:p>
        </w:tc>
        <w:tc>
          <w:tcPr>
            <w:tcW w:w="972" w:type="pct"/>
            <w:vAlign w:val="center"/>
          </w:tcPr>
          <w:p w14:paraId="0BD0FADA">
            <w:pPr>
              <w:tabs>
                <w:tab w:val="left" w:pos="1021"/>
              </w:tabs>
              <w:spacing w:line="240" w:lineRule="auto"/>
              <w:jc w:val="center"/>
              <w:rPr>
                <w:sz w:val="21"/>
                <w:szCs w:val="21"/>
              </w:rPr>
            </w:pPr>
            <w:r>
              <w:rPr>
                <w:rFonts w:hint="eastAsia"/>
                <w:sz w:val="21"/>
                <w:szCs w:val="21"/>
              </w:rPr>
              <w:t>0.13</w:t>
            </w:r>
          </w:p>
        </w:tc>
        <w:tc>
          <w:tcPr>
            <w:tcW w:w="987" w:type="pct"/>
            <w:vAlign w:val="center"/>
          </w:tcPr>
          <w:p w14:paraId="48550479">
            <w:pPr>
              <w:tabs>
                <w:tab w:val="left" w:pos="1021"/>
              </w:tabs>
              <w:spacing w:line="240" w:lineRule="auto"/>
              <w:jc w:val="center"/>
              <w:rPr>
                <w:sz w:val="21"/>
                <w:szCs w:val="21"/>
              </w:rPr>
            </w:pPr>
            <w:r>
              <w:rPr>
                <w:rFonts w:hint="eastAsia"/>
                <w:sz w:val="21"/>
                <w:szCs w:val="21"/>
              </w:rPr>
              <w:t>1.03</w:t>
            </w:r>
          </w:p>
        </w:tc>
      </w:tr>
      <w:tr w14:paraId="64148A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6"/>
            <w:vAlign w:val="center"/>
          </w:tcPr>
          <w:p w14:paraId="2E587D5D">
            <w:pPr>
              <w:tabs>
                <w:tab w:val="left" w:pos="1021"/>
              </w:tabs>
              <w:spacing w:line="240" w:lineRule="auto"/>
              <w:jc w:val="center"/>
              <w:rPr>
                <w:color w:val="FF0000"/>
                <w:sz w:val="21"/>
                <w:szCs w:val="21"/>
              </w:rPr>
            </w:pPr>
            <w:r>
              <w:rPr>
                <w:rFonts w:hint="eastAsia"/>
                <w:sz w:val="21"/>
                <w:szCs w:val="21"/>
              </w:rPr>
              <w:t>有组织排放总计</w:t>
            </w:r>
          </w:p>
        </w:tc>
      </w:tr>
      <w:tr w14:paraId="534DB5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92" w:type="pct"/>
            <w:gridSpan w:val="2"/>
            <w:vMerge w:val="restart"/>
            <w:vAlign w:val="center"/>
          </w:tcPr>
          <w:p w14:paraId="68A316F1">
            <w:pPr>
              <w:tabs>
                <w:tab w:val="left" w:pos="1021"/>
              </w:tabs>
              <w:spacing w:line="240" w:lineRule="auto"/>
              <w:jc w:val="center"/>
              <w:rPr>
                <w:color w:val="FF0000"/>
                <w:sz w:val="21"/>
                <w:szCs w:val="21"/>
              </w:rPr>
            </w:pPr>
            <w:r>
              <w:rPr>
                <w:rFonts w:hint="eastAsia"/>
                <w:sz w:val="21"/>
                <w:szCs w:val="21"/>
              </w:rPr>
              <w:t>有组织排放总计</w:t>
            </w:r>
          </w:p>
        </w:tc>
        <w:tc>
          <w:tcPr>
            <w:tcW w:w="3121" w:type="pct"/>
            <w:gridSpan w:val="3"/>
            <w:vAlign w:val="center"/>
          </w:tcPr>
          <w:p w14:paraId="5819FF30">
            <w:pPr>
              <w:tabs>
                <w:tab w:val="left" w:pos="1021"/>
              </w:tabs>
              <w:spacing w:line="240" w:lineRule="auto"/>
              <w:jc w:val="center"/>
              <w:rPr>
                <w:sz w:val="21"/>
                <w:szCs w:val="21"/>
              </w:rPr>
            </w:pPr>
            <w:r>
              <w:rPr>
                <w:rFonts w:hint="eastAsia"/>
                <w:sz w:val="21"/>
                <w:szCs w:val="21"/>
              </w:rPr>
              <w:t>颗粒物</w:t>
            </w:r>
          </w:p>
        </w:tc>
        <w:tc>
          <w:tcPr>
            <w:tcW w:w="987" w:type="pct"/>
            <w:vAlign w:val="center"/>
          </w:tcPr>
          <w:p w14:paraId="331C7D3A">
            <w:pPr>
              <w:tabs>
                <w:tab w:val="left" w:pos="1021"/>
              </w:tabs>
              <w:spacing w:line="240" w:lineRule="auto"/>
              <w:jc w:val="center"/>
              <w:rPr>
                <w:sz w:val="21"/>
                <w:szCs w:val="21"/>
              </w:rPr>
            </w:pPr>
            <w:r>
              <w:rPr>
                <w:rFonts w:hint="eastAsia"/>
                <w:sz w:val="21"/>
                <w:szCs w:val="21"/>
              </w:rPr>
              <w:t>0.315</w:t>
            </w:r>
          </w:p>
        </w:tc>
      </w:tr>
      <w:tr w14:paraId="291E76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92" w:type="pct"/>
            <w:gridSpan w:val="2"/>
            <w:vMerge w:val="continue"/>
            <w:vAlign w:val="center"/>
          </w:tcPr>
          <w:p w14:paraId="14AC16AB">
            <w:pPr>
              <w:tabs>
                <w:tab w:val="left" w:pos="1021"/>
              </w:tabs>
              <w:spacing w:line="240" w:lineRule="auto"/>
              <w:jc w:val="center"/>
              <w:rPr>
                <w:color w:val="FF0000"/>
                <w:sz w:val="21"/>
                <w:szCs w:val="21"/>
              </w:rPr>
            </w:pPr>
          </w:p>
        </w:tc>
        <w:tc>
          <w:tcPr>
            <w:tcW w:w="3121" w:type="pct"/>
            <w:gridSpan w:val="3"/>
            <w:vAlign w:val="center"/>
          </w:tcPr>
          <w:p w14:paraId="57578CC8">
            <w:pPr>
              <w:tabs>
                <w:tab w:val="left" w:pos="1021"/>
              </w:tabs>
              <w:spacing w:line="240" w:lineRule="auto"/>
              <w:jc w:val="center"/>
              <w:rPr>
                <w:sz w:val="21"/>
                <w:szCs w:val="21"/>
              </w:rPr>
            </w:pPr>
            <w:r>
              <w:rPr>
                <w:rFonts w:hint="eastAsia"/>
                <w:sz w:val="21"/>
                <w:szCs w:val="21"/>
              </w:rPr>
              <w:t>SO</w:t>
            </w:r>
            <w:r>
              <w:rPr>
                <w:rFonts w:hint="eastAsia"/>
                <w:sz w:val="21"/>
                <w:szCs w:val="21"/>
                <w:vertAlign w:val="subscript"/>
              </w:rPr>
              <w:t>2</w:t>
            </w:r>
          </w:p>
        </w:tc>
        <w:tc>
          <w:tcPr>
            <w:tcW w:w="987" w:type="pct"/>
            <w:vAlign w:val="center"/>
          </w:tcPr>
          <w:p w14:paraId="44978039">
            <w:pPr>
              <w:tabs>
                <w:tab w:val="left" w:pos="1021"/>
              </w:tabs>
              <w:spacing w:line="240" w:lineRule="auto"/>
              <w:jc w:val="center"/>
              <w:rPr>
                <w:rFonts w:hint="default" w:eastAsia="宋体"/>
                <w:sz w:val="21"/>
                <w:szCs w:val="21"/>
                <w:lang w:val="en-US" w:eastAsia="zh-CN"/>
              </w:rPr>
            </w:pPr>
            <w:r>
              <w:rPr>
                <w:rFonts w:hint="eastAsia"/>
                <w:sz w:val="21"/>
                <w:szCs w:val="21"/>
              </w:rPr>
              <w:t>0.</w:t>
            </w:r>
            <w:r>
              <w:rPr>
                <w:rFonts w:hint="eastAsia"/>
                <w:sz w:val="21"/>
                <w:szCs w:val="21"/>
                <w:lang w:val="en-US" w:eastAsia="zh-CN"/>
              </w:rPr>
              <w:t>044</w:t>
            </w:r>
          </w:p>
        </w:tc>
      </w:tr>
      <w:tr w14:paraId="60DA9B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92" w:type="pct"/>
            <w:gridSpan w:val="2"/>
            <w:vMerge w:val="continue"/>
            <w:vAlign w:val="center"/>
          </w:tcPr>
          <w:p w14:paraId="1E14A568">
            <w:pPr>
              <w:tabs>
                <w:tab w:val="left" w:pos="1021"/>
              </w:tabs>
              <w:spacing w:line="240" w:lineRule="auto"/>
              <w:jc w:val="center"/>
              <w:rPr>
                <w:color w:val="FF0000"/>
                <w:sz w:val="21"/>
                <w:szCs w:val="21"/>
              </w:rPr>
            </w:pPr>
          </w:p>
        </w:tc>
        <w:tc>
          <w:tcPr>
            <w:tcW w:w="3121" w:type="pct"/>
            <w:gridSpan w:val="3"/>
            <w:vAlign w:val="center"/>
          </w:tcPr>
          <w:p w14:paraId="6F51E193">
            <w:pPr>
              <w:tabs>
                <w:tab w:val="left" w:pos="1021"/>
              </w:tabs>
              <w:spacing w:line="240" w:lineRule="auto"/>
              <w:jc w:val="center"/>
              <w:rPr>
                <w:sz w:val="21"/>
                <w:szCs w:val="21"/>
              </w:rPr>
            </w:pPr>
            <w:r>
              <w:rPr>
                <w:rFonts w:hint="eastAsia"/>
                <w:sz w:val="21"/>
                <w:szCs w:val="21"/>
              </w:rPr>
              <w:t>NOx</w:t>
            </w:r>
          </w:p>
        </w:tc>
        <w:tc>
          <w:tcPr>
            <w:tcW w:w="987" w:type="pct"/>
            <w:vAlign w:val="center"/>
          </w:tcPr>
          <w:p w14:paraId="528988A1">
            <w:pPr>
              <w:tabs>
                <w:tab w:val="left" w:pos="1021"/>
              </w:tabs>
              <w:spacing w:line="240" w:lineRule="auto"/>
              <w:jc w:val="center"/>
              <w:rPr>
                <w:sz w:val="21"/>
                <w:szCs w:val="21"/>
              </w:rPr>
            </w:pPr>
            <w:r>
              <w:rPr>
                <w:rFonts w:hint="eastAsia"/>
                <w:sz w:val="21"/>
                <w:szCs w:val="21"/>
              </w:rPr>
              <w:t>1.03</w:t>
            </w:r>
          </w:p>
        </w:tc>
      </w:tr>
      <w:tr w14:paraId="6D465A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92" w:type="pct"/>
            <w:gridSpan w:val="2"/>
            <w:vMerge w:val="continue"/>
            <w:vAlign w:val="center"/>
          </w:tcPr>
          <w:p w14:paraId="02D83F47">
            <w:pPr>
              <w:tabs>
                <w:tab w:val="left" w:pos="1021"/>
              </w:tabs>
              <w:spacing w:line="240" w:lineRule="auto"/>
              <w:jc w:val="center"/>
              <w:rPr>
                <w:color w:val="FF0000"/>
                <w:sz w:val="21"/>
                <w:szCs w:val="21"/>
              </w:rPr>
            </w:pPr>
          </w:p>
        </w:tc>
        <w:tc>
          <w:tcPr>
            <w:tcW w:w="3121" w:type="pct"/>
            <w:gridSpan w:val="3"/>
            <w:vAlign w:val="center"/>
          </w:tcPr>
          <w:p w14:paraId="32331841">
            <w:pPr>
              <w:tabs>
                <w:tab w:val="left" w:pos="1021"/>
              </w:tabs>
              <w:spacing w:line="240" w:lineRule="auto"/>
              <w:jc w:val="center"/>
              <w:rPr>
                <w:sz w:val="21"/>
                <w:szCs w:val="21"/>
              </w:rPr>
            </w:pPr>
            <w:r>
              <w:rPr>
                <w:rFonts w:hint="eastAsia"/>
                <w:sz w:val="21"/>
                <w:szCs w:val="21"/>
              </w:rPr>
              <w:t>挥发性有机物</w:t>
            </w:r>
          </w:p>
        </w:tc>
        <w:tc>
          <w:tcPr>
            <w:tcW w:w="987" w:type="pct"/>
            <w:vAlign w:val="center"/>
          </w:tcPr>
          <w:p w14:paraId="258A4963">
            <w:pPr>
              <w:tabs>
                <w:tab w:val="left" w:pos="1021"/>
              </w:tabs>
              <w:spacing w:line="240" w:lineRule="auto"/>
              <w:jc w:val="center"/>
              <w:rPr>
                <w:sz w:val="21"/>
                <w:szCs w:val="21"/>
              </w:rPr>
            </w:pPr>
            <w:r>
              <w:rPr>
                <w:rFonts w:hint="eastAsia"/>
                <w:sz w:val="21"/>
                <w:szCs w:val="21"/>
                <w:lang w:val="en-US" w:eastAsia="zh-CN"/>
              </w:rPr>
              <w:t>101.720</w:t>
            </w:r>
          </w:p>
        </w:tc>
      </w:tr>
    </w:tbl>
    <w:p w14:paraId="4B376965">
      <w:pPr>
        <w:numPr>
          <w:ilvl w:val="0"/>
          <w:numId w:val="3"/>
        </w:numPr>
        <w:ind w:firstLine="480"/>
      </w:pPr>
      <w:r>
        <w:rPr>
          <w:rFonts w:hint="eastAsia" w:ascii="宋体" w:hAnsi="宋体" w:cs="宋体"/>
        </w:rPr>
        <w:t>无</w:t>
      </w:r>
      <w:r>
        <w:rPr>
          <w:rFonts w:hint="eastAsia"/>
        </w:rPr>
        <w:t>组织排放量核算</w:t>
      </w:r>
    </w:p>
    <w:p w14:paraId="1CAC3C53">
      <w:pPr>
        <w:pStyle w:val="51"/>
        <w:numPr>
          <w:ilvl w:val="5"/>
          <w:numId w:val="0"/>
        </w:numPr>
        <w:tabs>
          <w:tab w:val="left" w:pos="4395"/>
        </w:tabs>
        <w:spacing w:before="156"/>
        <w:ind w:left="4969" w:leftChars="1054" w:hanging="2439" w:hangingChars="1157"/>
        <w:jc w:val="both"/>
        <w:rPr>
          <w:sz w:val="18"/>
          <w:szCs w:val="18"/>
        </w:rPr>
      </w:pPr>
      <w:r>
        <w:rPr>
          <w:rFonts w:hint="default" w:ascii="宋体" w:hAnsi="宋体" w:eastAsia="宋体" w:cs="宋体"/>
          <w:b/>
          <w:bCs/>
          <w:color w:val="auto"/>
          <w:kern w:val="2"/>
          <w:sz w:val="21"/>
          <w:szCs w:val="21"/>
          <w:lang w:val="en-US" w:eastAsia="zh-CN" w:bidi="ar-SA"/>
        </w:rPr>
        <w:t xml:space="preserve">表6.2-26 </w:t>
      </w:r>
      <w:r>
        <w:rPr>
          <w:rFonts w:hint="eastAsia" w:ascii="宋体" w:hAnsi="宋体" w:cs="宋体"/>
          <w:b/>
          <w:bCs/>
          <w:color w:val="auto"/>
          <w:kern w:val="2"/>
          <w:sz w:val="21"/>
          <w:szCs w:val="21"/>
          <w:lang w:val="en-US" w:eastAsia="zh-CN" w:bidi="ar-SA"/>
        </w:rPr>
        <w:t xml:space="preserve"> </w:t>
      </w:r>
      <w:r>
        <w:rPr>
          <w:rFonts w:hint="eastAsia"/>
        </w:rPr>
        <w:t xml:space="preserve">大气污染物无组织排放量核算表  </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583"/>
        <w:gridCol w:w="720"/>
        <w:gridCol w:w="893"/>
        <w:gridCol w:w="600"/>
        <w:gridCol w:w="865"/>
        <w:gridCol w:w="1523"/>
        <w:gridCol w:w="614"/>
        <w:gridCol w:w="595"/>
        <w:gridCol w:w="939"/>
        <w:gridCol w:w="1030"/>
      </w:tblGrid>
      <w:tr w14:paraId="698E56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583" w:type="dxa"/>
            <w:vMerge w:val="restart"/>
            <w:vAlign w:val="center"/>
          </w:tcPr>
          <w:p w14:paraId="0EAED9AA">
            <w:pPr>
              <w:pStyle w:val="72"/>
              <w:rPr>
                <w:szCs w:val="21"/>
              </w:rPr>
            </w:pPr>
            <w:r>
              <w:rPr>
                <w:szCs w:val="21"/>
              </w:rPr>
              <w:t>序号</w:t>
            </w:r>
          </w:p>
        </w:tc>
        <w:tc>
          <w:tcPr>
            <w:tcW w:w="720" w:type="dxa"/>
            <w:vMerge w:val="restart"/>
            <w:vAlign w:val="center"/>
          </w:tcPr>
          <w:p w14:paraId="24EFF033">
            <w:pPr>
              <w:pStyle w:val="72"/>
              <w:rPr>
                <w:szCs w:val="21"/>
              </w:rPr>
            </w:pPr>
            <w:r>
              <w:rPr>
                <w:szCs w:val="21"/>
              </w:rPr>
              <w:t>排放口编号</w:t>
            </w:r>
          </w:p>
        </w:tc>
        <w:tc>
          <w:tcPr>
            <w:tcW w:w="893" w:type="dxa"/>
            <w:vMerge w:val="restart"/>
            <w:vAlign w:val="center"/>
          </w:tcPr>
          <w:p w14:paraId="7A5EEC54">
            <w:pPr>
              <w:pStyle w:val="72"/>
              <w:rPr>
                <w:szCs w:val="21"/>
              </w:rPr>
            </w:pPr>
            <w:r>
              <w:rPr>
                <w:szCs w:val="21"/>
              </w:rPr>
              <w:t>产污环节</w:t>
            </w:r>
          </w:p>
        </w:tc>
        <w:tc>
          <w:tcPr>
            <w:tcW w:w="600" w:type="dxa"/>
            <w:vMerge w:val="restart"/>
            <w:vAlign w:val="center"/>
          </w:tcPr>
          <w:p w14:paraId="24AA52C4">
            <w:pPr>
              <w:pStyle w:val="72"/>
              <w:rPr>
                <w:szCs w:val="21"/>
              </w:rPr>
            </w:pPr>
            <w:r>
              <w:rPr>
                <w:szCs w:val="21"/>
              </w:rPr>
              <w:t>污染物</w:t>
            </w:r>
          </w:p>
        </w:tc>
        <w:tc>
          <w:tcPr>
            <w:tcW w:w="865" w:type="dxa"/>
            <w:vMerge w:val="restart"/>
            <w:vAlign w:val="center"/>
          </w:tcPr>
          <w:p w14:paraId="2D9B8F40">
            <w:pPr>
              <w:pStyle w:val="72"/>
              <w:rPr>
                <w:szCs w:val="21"/>
              </w:rPr>
            </w:pPr>
            <w:r>
              <w:rPr>
                <w:szCs w:val="21"/>
              </w:rPr>
              <w:t>主要污染防治措施</w:t>
            </w:r>
          </w:p>
        </w:tc>
        <w:tc>
          <w:tcPr>
            <w:tcW w:w="3671" w:type="dxa"/>
            <w:gridSpan w:val="4"/>
            <w:vAlign w:val="center"/>
          </w:tcPr>
          <w:p w14:paraId="0DF241C3">
            <w:pPr>
              <w:pStyle w:val="72"/>
              <w:rPr>
                <w:szCs w:val="21"/>
              </w:rPr>
            </w:pPr>
            <w:r>
              <w:rPr>
                <w:szCs w:val="21"/>
              </w:rPr>
              <w:t>国家或地方污染物排放标准</w:t>
            </w:r>
          </w:p>
        </w:tc>
        <w:tc>
          <w:tcPr>
            <w:tcW w:w="1030" w:type="dxa"/>
            <w:vMerge w:val="restart"/>
            <w:vAlign w:val="center"/>
          </w:tcPr>
          <w:p w14:paraId="4E71A5BF">
            <w:pPr>
              <w:pStyle w:val="72"/>
              <w:rPr>
                <w:szCs w:val="21"/>
              </w:rPr>
            </w:pPr>
            <w:r>
              <w:rPr>
                <w:szCs w:val="21"/>
              </w:rPr>
              <w:t>年排放量</w:t>
            </w:r>
          </w:p>
          <w:p w14:paraId="1CA92477">
            <w:pPr>
              <w:pStyle w:val="72"/>
              <w:rPr>
                <w:szCs w:val="21"/>
              </w:rPr>
            </w:pPr>
            <w:r>
              <w:rPr>
                <w:szCs w:val="21"/>
              </w:rPr>
              <w:t>/（t/a）</w:t>
            </w:r>
          </w:p>
        </w:tc>
      </w:tr>
      <w:tr w14:paraId="6068B4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583" w:type="dxa"/>
            <w:vMerge w:val="continue"/>
            <w:vAlign w:val="center"/>
          </w:tcPr>
          <w:p w14:paraId="666C7BE5">
            <w:pPr>
              <w:pStyle w:val="72"/>
              <w:rPr>
                <w:szCs w:val="21"/>
              </w:rPr>
            </w:pPr>
          </w:p>
        </w:tc>
        <w:tc>
          <w:tcPr>
            <w:tcW w:w="720" w:type="dxa"/>
            <w:vMerge w:val="continue"/>
            <w:vAlign w:val="center"/>
          </w:tcPr>
          <w:p w14:paraId="6F0E45BE">
            <w:pPr>
              <w:pStyle w:val="72"/>
              <w:rPr>
                <w:szCs w:val="21"/>
              </w:rPr>
            </w:pPr>
          </w:p>
        </w:tc>
        <w:tc>
          <w:tcPr>
            <w:tcW w:w="893" w:type="dxa"/>
            <w:vMerge w:val="continue"/>
            <w:vAlign w:val="center"/>
          </w:tcPr>
          <w:p w14:paraId="0DB8667D">
            <w:pPr>
              <w:pStyle w:val="72"/>
              <w:rPr>
                <w:szCs w:val="21"/>
              </w:rPr>
            </w:pPr>
          </w:p>
        </w:tc>
        <w:tc>
          <w:tcPr>
            <w:tcW w:w="600" w:type="dxa"/>
            <w:vMerge w:val="continue"/>
            <w:vAlign w:val="center"/>
          </w:tcPr>
          <w:p w14:paraId="1F32F8A9">
            <w:pPr>
              <w:pStyle w:val="72"/>
              <w:rPr>
                <w:szCs w:val="21"/>
              </w:rPr>
            </w:pPr>
          </w:p>
        </w:tc>
        <w:tc>
          <w:tcPr>
            <w:tcW w:w="865" w:type="dxa"/>
            <w:vMerge w:val="continue"/>
            <w:vAlign w:val="center"/>
          </w:tcPr>
          <w:p w14:paraId="1D7A58B3">
            <w:pPr>
              <w:pStyle w:val="72"/>
              <w:rPr>
                <w:szCs w:val="21"/>
              </w:rPr>
            </w:pPr>
          </w:p>
        </w:tc>
        <w:tc>
          <w:tcPr>
            <w:tcW w:w="1523" w:type="dxa"/>
            <w:vAlign w:val="center"/>
          </w:tcPr>
          <w:p w14:paraId="538DC950">
            <w:pPr>
              <w:pStyle w:val="72"/>
              <w:rPr>
                <w:szCs w:val="21"/>
              </w:rPr>
            </w:pPr>
            <w:r>
              <w:rPr>
                <w:szCs w:val="21"/>
              </w:rPr>
              <w:t>标准名称</w:t>
            </w:r>
          </w:p>
        </w:tc>
        <w:tc>
          <w:tcPr>
            <w:tcW w:w="2148" w:type="dxa"/>
            <w:gridSpan w:val="3"/>
            <w:vAlign w:val="center"/>
          </w:tcPr>
          <w:p w14:paraId="18807181">
            <w:pPr>
              <w:pStyle w:val="72"/>
              <w:rPr>
                <w:szCs w:val="21"/>
              </w:rPr>
            </w:pPr>
            <w:r>
              <w:rPr>
                <w:szCs w:val="21"/>
              </w:rPr>
              <w:t>浓度限值/（mg/m</w:t>
            </w:r>
            <w:r>
              <w:rPr>
                <w:szCs w:val="21"/>
                <w:vertAlign w:val="superscript"/>
              </w:rPr>
              <w:t>3</w:t>
            </w:r>
            <w:r>
              <w:rPr>
                <w:szCs w:val="21"/>
              </w:rPr>
              <w:t>）</w:t>
            </w:r>
          </w:p>
        </w:tc>
        <w:tc>
          <w:tcPr>
            <w:tcW w:w="1030" w:type="dxa"/>
            <w:vMerge w:val="continue"/>
            <w:vAlign w:val="center"/>
          </w:tcPr>
          <w:p w14:paraId="2E46D600">
            <w:pPr>
              <w:pStyle w:val="72"/>
              <w:rPr>
                <w:color w:val="FF0000"/>
                <w:szCs w:val="21"/>
              </w:rPr>
            </w:pPr>
          </w:p>
        </w:tc>
      </w:tr>
      <w:tr w14:paraId="680639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817" w:hRule="atLeast"/>
          <w:tblHeader/>
          <w:jc w:val="center"/>
        </w:trPr>
        <w:tc>
          <w:tcPr>
            <w:tcW w:w="583" w:type="dxa"/>
            <w:vAlign w:val="center"/>
          </w:tcPr>
          <w:p w14:paraId="5F10125E">
            <w:pPr>
              <w:pStyle w:val="72"/>
              <w:rPr>
                <w:szCs w:val="21"/>
              </w:rPr>
            </w:pPr>
            <w:r>
              <w:rPr>
                <w:szCs w:val="21"/>
              </w:rPr>
              <w:t>1</w:t>
            </w:r>
          </w:p>
        </w:tc>
        <w:tc>
          <w:tcPr>
            <w:tcW w:w="720" w:type="dxa"/>
            <w:vAlign w:val="center"/>
          </w:tcPr>
          <w:p w14:paraId="39593BAB">
            <w:pPr>
              <w:pStyle w:val="72"/>
              <w:rPr>
                <w:szCs w:val="21"/>
              </w:rPr>
            </w:pPr>
            <w:r>
              <w:rPr>
                <w:szCs w:val="21"/>
              </w:rPr>
              <w:t>车间</w:t>
            </w:r>
            <w:r>
              <w:rPr>
                <w:rFonts w:hint="eastAsia"/>
                <w:szCs w:val="21"/>
              </w:rPr>
              <w:t>三、车间四</w:t>
            </w:r>
          </w:p>
        </w:tc>
        <w:tc>
          <w:tcPr>
            <w:tcW w:w="893" w:type="dxa"/>
            <w:vAlign w:val="center"/>
          </w:tcPr>
          <w:p w14:paraId="3362A38E">
            <w:pPr>
              <w:pStyle w:val="72"/>
              <w:rPr>
                <w:szCs w:val="21"/>
              </w:rPr>
            </w:pPr>
            <w:r>
              <w:rPr>
                <w:szCs w:val="21"/>
              </w:rPr>
              <w:t>印刷、复合、</w:t>
            </w:r>
            <w:r>
              <w:rPr>
                <w:rFonts w:hint="eastAsia"/>
                <w:szCs w:val="21"/>
              </w:rPr>
              <w:t>擦洗</w:t>
            </w:r>
            <w:r>
              <w:rPr>
                <w:szCs w:val="21"/>
              </w:rPr>
              <w:t>等工序、</w:t>
            </w:r>
            <w:r>
              <w:rPr>
                <w:rFonts w:hint="eastAsia"/>
                <w:szCs w:val="21"/>
              </w:rPr>
              <w:t>危废间</w:t>
            </w:r>
          </w:p>
        </w:tc>
        <w:tc>
          <w:tcPr>
            <w:tcW w:w="600" w:type="dxa"/>
            <w:vAlign w:val="center"/>
          </w:tcPr>
          <w:p w14:paraId="6C2AAB4F">
            <w:pPr>
              <w:pStyle w:val="72"/>
              <w:rPr>
                <w:szCs w:val="21"/>
              </w:rPr>
            </w:pPr>
            <w:r>
              <w:rPr>
                <w:rFonts w:hint="eastAsia"/>
                <w:szCs w:val="21"/>
              </w:rPr>
              <w:t>挥发性有机物</w:t>
            </w:r>
          </w:p>
        </w:tc>
        <w:tc>
          <w:tcPr>
            <w:tcW w:w="865" w:type="dxa"/>
            <w:vAlign w:val="center"/>
          </w:tcPr>
          <w:p w14:paraId="6062C4A8">
            <w:pPr>
              <w:pStyle w:val="72"/>
              <w:rPr>
                <w:szCs w:val="21"/>
              </w:rPr>
            </w:pPr>
            <w:r>
              <w:rPr>
                <w:szCs w:val="21"/>
              </w:rPr>
              <w:t>加强设备维护、减少无组织逸散</w:t>
            </w:r>
          </w:p>
        </w:tc>
        <w:tc>
          <w:tcPr>
            <w:tcW w:w="1523" w:type="dxa"/>
            <w:vAlign w:val="center"/>
          </w:tcPr>
          <w:p w14:paraId="1C38765C">
            <w:pPr>
              <w:pStyle w:val="72"/>
              <w:rPr>
                <w:szCs w:val="21"/>
              </w:rPr>
            </w:pPr>
            <w:r>
              <w:rPr>
                <w:rFonts w:hint="eastAsia"/>
              </w:rPr>
              <w:t>《工业企业挥发性有机物排放标准》（</w:t>
            </w:r>
            <w:r>
              <w:rPr>
                <w:rFonts w:hint="eastAsia"/>
                <w:lang w:val="en-US" w:eastAsia="zh-CN"/>
              </w:rPr>
              <w:t>DB43/3550-2026</w:t>
            </w:r>
            <w:r>
              <w:rPr>
                <w:rFonts w:hint="eastAsia"/>
              </w:rPr>
              <w:t>）表</w:t>
            </w:r>
            <w:r>
              <w:rPr>
                <w:rFonts w:hint="eastAsia"/>
                <w:lang w:val="en-US" w:eastAsia="zh-CN"/>
              </w:rPr>
              <w:t>2</w:t>
            </w:r>
            <w:r>
              <w:rPr>
                <w:rFonts w:hint="eastAsia"/>
              </w:rPr>
              <w:t>限值</w:t>
            </w:r>
          </w:p>
        </w:tc>
        <w:tc>
          <w:tcPr>
            <w:tcW w:w="614" w:type="dxa"/>
            <w:tcBorders>
              <w:right w:val="single" w:color="auto" w:sz="4" w:space="0"/>
            </w:tcBorders>
            <w:vAlign w:val="center"/>
          </w:tcPr>
          <w:p w14:paraId="2BB1FA5F">
            <w:pPr>
              <w:pStyle w:val="72"/>
              <w:rPr>
                <w:szCs w:val="21"/>
              </w:rPr>
            </w:pPr>
            <w:r>
              <w:rPr>
                <w:rFonts w:hint="eastAsia"/>
                <w:szCs w:val="21"/>
              </w:rPr>
              <w:t>厂界</w:t>
            </w:r>
          </w:p>
        </w:tc>
        <w:tc>
          <w:tcPr>
            <w:tcW w:w="595" w:type="dxa"/>
            <w:tcBorders>
              <w:left w:val="single" w:color="auto" w:sz="4" w:space="0"/>
              <w:right w:val="single" w:color="auto" w:sz="4" w:space="0"/>
            </w:tcBorders>
            <w:vAlign w:val="center"/>
          </w:tcPr>
          <w:p w14:paraId="378EAB30">
            <w:pPr>
              <w:pStyle w:val="72"/>
              <w:rPr>
                <w:szCs w:val="21"/>
              </w:rPr>
            </w:pPr>
            <w:r>
              <w:rPr>
                <w:rFonts w:hint="eastAsia"/>
                <w:szCs w:val="21"/>
              </w:rPr>
              <w:t>4.0</w:t>
            </w:r>
          </w:p>
        </w:tc>
        <w:tc>
          <w:tcPr>
            <w:tcW w:w="939" w:type="dxa"/>
            <w:tcBorders>
              <w:left w:val="single" w:color="auto" w:sz="4" w:space="0"/>
            </w:tcBorders>
            <w:vAlign w:val="center"/>
          </w:tcPr>
          <w:p w14:paraId="3AE436FC">
            <w:pPr>
              <w:pStyle w:val="72"/>
              <w:rPr>
                <w:szCs w:val="21"/>
              </w:rPr>
            </w:pPr>
            <w:r>
              <w:rPr>
                <w:rFonts w:hint="eastAsia"/>
                <w:szCs w:val="21"/>
              </w:rPr>
              <w:t>监控点处1h平均浓度值</w:t>
            </w:r>
          </w:p>
        </w:tc>
        <w:tc>
          <w:tcPr>
            <w:tcW w:w="1030" w:type="dxa"/>
            <w:vAlign w:val="center"/>
          </w:tcPr>
          <w:p w14:paraId="6218F97D">
            <w:pPr>
              <w:pStyle w:val="72"/>
              <w:rPr>
                <w:szCs w:val="21"/>
              </w:rPr>
            </w:pPr>
            <w:r>
              <w:rPr>
                <w:rFonts w:hint="eastAsia"/>
                <w:szCs w:val="21"/>
                <w:lang w:val="en-US" w:eastAsia="zh-CN"/>
              </w:rPr>
              <w:t>35.102</w:t>
            </w:r>
          </w:p>
        </w:tc>
      </w:tr>
      <w:tr w14:paraId="476C91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8362" w:type="dxa"/>
            <w:gridSpan w:val="10"/>
            <w:vAlign w:val="center"/>
          </w:tcPr>
          <w:p w14:paraId="4E205E1B">
            <w:pPr>
              <w:pStyle w:val="72"/>
              <w:rPr>
                <w:szCs w:val="21"/>
              </w:rPr>
            </w:pPr>
            <w:r>
              <w:rPr>
                <w:szCs w:val="21"/>
              </w:rPr>
              <w:t>无组织排放总计</w:t>
            </w:r>
          </w:p>
        </w:tc>
      </w:tr>
      <w:tr w14:paraId="0A4EA8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2796" w:type="dxa"/>
            <w:gridSpan w:val="4"/>
            <w:vAlign w:val="center"/>
          </w:tcPr>
          <w:p w14:paraId="1DAD5127">
            <w:pPr>
              <w:pStyle w:val="72"/>
              <w:rPr>
                <w:szCs w:val="21"/>
              </w:rPr>
            </w:pPr>
            <w:r>
              <w:rPr>
                <w:szCs w:val="21"/>
              </w:rPr>
              <w:t>无组织排放总计</w:t>
            </w:r>
          </w:p>
        </w:tc>
        <w:tc>
          <w:tcPr>
            <w:tcW w:w="2388" w:type="dxa"/>
            <w:gridSpan w:val="2"/>
            <w:vAlign w:val="center"/>
          </w:tcPr>
          <w:p w14:paraId="6598160D">
            <w:pPr>
              <w:pStyle w:val="72"/>
              <w:rPr>
                <w:szCs w:val="21"/>
              </w:rPr>
            </w:pPr>
            <w:r>
              <w:rPr>
                <w:rFonts w:hint="eastAsia"/>
                <w:szCs w:val="21"/>
              </w:rPr>
              <w:t>挥发性有机物</w:t>
            </w:r>
          </w:p>
        </w:tc>
        <w:tc>
          <w:tcPr>
            <w:tcW w:w="3178" w:type="dxa"/>
            <w:gridSpan w:val="4"/>
            <w:vAlign w:val="center"/>
          </w:tcPr>
          <w:p w14:paraId="292767FF">
            <w:pPr>
              <w:pStyle w:val="72"/>
              <w:rPr>
                <w:szCs w:val="21"/>
              </w:rPr>
            </w:pPr>
            <w:r>
              <w:rPr>
                <w:rFonts w:hint="eastAsia"/>
                <w:szCs w:val="21"/>
                <w:lang w:val="en-US" w:eastAsia="zh-CN"/>
              </w:rPr>
              <w:t>35.102</w:t>
            </w:r>
          </w:p>
        </w:tc>
      </w:tr>
    </w:tbl>
    <w:p w14:paraId="395985F7">
      <w:pPr>
        <w:ind w:firstLine="480"/>
      </w:pPr>
      <w:r>
        <w:rPr>
          <w:rFonts w:hint="eastAsia" w:ascii="宋体" w:hAnsi="宋体" w:cs="宋体"/>
        </w:rPr>
        <w:t>3.项目大气污染物年排放量核算</w:t>
      </w:r>
    </w:p>
    <w:p w14:paraId="5B0F013D">
      <w:pPr>
        <w:pStyle w:val="51"/>
        <w:numPr>
          <w:ilvl w:val="5"/>
          <w:numId w:val="0"/>
        </w:numPr>
        <w:tabs>
          <w:tab w:val="left" w:pos="4395"/>
        </w:tabs>
        <w:spacing w:before="156"/>
        <w:ind w:firstLine="2108" w:firstLineChars="1000"/>
        <w:jc w:val="both"/>
        <w:rPr>
          <w:color w:val="FF0000"/>
          <w:sz w:val="18"/>
          <w:szCs w:val="18"/>
        </w:rPr>
      </w:pPr>
      <w:r>
        <w:rPr>
          <w:rFonts w:hint="default" w:ascii="宋体" w:hAnsi="宋体" w:eastAsia="宋体" w:cs="宋体"/>
          <w:b/>
          <w:bCs/>
          <w:color w:val="auto"/>
          <w:kern w:val="2"/>
          <w:sz w:val="21"/>
          <w:szCs w:val="21"/>
          <w:lang w:val="en-US" w:eastAsia="zh-CN" w:bidi="ar-SA"/>
        </w:rPr>
        <w:t xml:space="preserve">表6.2-27 </w:t>
      </w:r>
      <w:r>
        <w:rPr>
          <w:rFonts w:hint="eastAsia" w:ascii="宋体" w:hAnsi="宋体" w:cs="宋体"/>
          <w:b/>
          <w:bCs/>
          <w:color w:val="auto"/>
          <w:kern w:val="2"/>
          <w:sz w:val="21"/>
          <w:szCs w:val="21"/>
          <w:lang w:val="en-US" w:eastAsia="zh-CN" w:bidi="ar-SA"/>
        </w:rPr>
        <w:t xml:space="preserve">  </w:t>
      </w:r>
      <w:r>
        <w:rPr>
          <w:rFonts w:hint="eastAsia"/>
        </w:rPr>
        <w:t>大气污染物年排放量核算表</w:t>
      </w:r>
      <w:r>
        <w:rPr>
          <w:rFonts w:hint="eastAsia"/>
          <w:color w:val="FF0000"/>
        </w:rPr>
        <w:t xml:space="preserve">    </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2786"/>
        <w:gridCol w:w="2787"/>
        <w:gridCol w:w="2789"/>
      </w:tblGrid>
      <w:tr w14:paraId="052F7C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2786" w:type="dxa"/>
            <w:vAlign w:val="center"/>
          </w:tcPr>
          <w:p w14:paraId="6A51AFE5">
            <w:pPr>
              <w:tabs>
                <w:tab w:val="left" w:pos="1021"/>
              </w:tabs>
              <w:spacing w:line="240" w:lineRule="auto"/>
              <w:jc w:val="center"/>
              <w:rPr>
                <w:sz w:val="21"/>
                <w:szCs w:val="21"/>
              </w:rPr>
            </w:pPr>
            <w:r>
              <w:rPr>
                <w:sz w:val="21"/>
                <w:szCs w:val="21"/>
              </w:rPr>
              <w:t>序号</w:t>
            </w:r>
          </w:p>
        </w:tc>
        <w:tc>
          <w:tcPr>
            <w:tcW w:w="2787" w:type="dxa"/>
            <w:vAlign w:val="center"/>
          </w:tcPr>
          <w:p w14:paraId="4F08FA52">
            <w:pPr>
              <w:tabs>
                <w:tab w:val="left" w:pos="1021"/>
              </w:tabs>
              <w:spacing w:line="240" w:lineRule="auto"/>
              <w:jc w:val="center"/>
              <w:textAlignment w:val="top"/>
              <w:rPr>
                <w:sz w:val="21"/>
                <w:szCs w:val="21"/>
              </w:rPr>
            </w:pPr>
            <w:r>
              <w:rPr>
                <w:sz w:val="21"/>
                <w:szCs w:val="21"/>
              </w:rPr>
              <w:t>污染物</w:t>
            </w:r>
          </w:p>
        </w:tc>
        <w:tc>
          <w:tcPr>
            <w:tcW w:w="2789" w:type="dxa"/>
            <w:vAlign w:val="center"/>
          </w:tcPr>
          <w:p w14:paraId="6307E313">
            <w:pPr>
              <w:tabs>
                <w:tab w:val="left" w:pos="1021"/>
              </w:tabs>
              <w:spacing w:line="240" w:lineRule="auto"/>
              <w:jc w:val="center"/>
              <w:rPr>
                <w:sz w:val="21"/>
                <w:szCs w:val="21"/>
              </w:rPr>
            </w:pPr>
            <w:r>
              <w:rPr>
                <w:sz w:val="21"/>
                <w:szCs w:val="21"/>
              </w:rPr>
              <w:t>年排放量/（t/a）</w:t>
            </w:r>
          </w:p>
        </w:tc>
      </w:tr>
      <w:tr w14:paraId="76220C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88" w:hRule="atLeast"/>
          <w:tblHeader/>
          <w:jc w:val="center"/>
        </w:trPr>
        <w:tc>
          <w:tcPr>
            <w:tcW w:w="2786" w:type="dxa"/>
            <w:vAlign w:val="center"/>
          </w:tcPr>
          <w:p w14:paraId="50B7044E">
            <w:pPr>
              <w:tabs>
                <w:tab w:val="left" w:pos="1021"/>
              </w:tabs>
              <w:spacing w:line="240" w:lineRule="auto"/>
              <w:jc w:val="center"/>
              <w:textAlignment w:val="top"/>
              <w:rPr>
                <w:sz w:val="21"/>
                <w:szCs w:val="21"/>
              </w:rPr>
            </w:pPr>
            <w:r>
              <w:rPr>
                <w:sz w:val="21"/>
                <w:szCs w:val="21"/>
              </w:rPr>
              <w:t>1</w:t>
            </w:r>
          </w:p>
        </w:tc>
        <w:tc>
          <w:tcPr>
            <w:tcW w:w="2787" w:type="dxa"/>
            <w:vAlign w:val="center"/>
          </w:tcPr>
          <w:p w14:paraId="73BEB4C5">
            <w:pPr>
              <w:tabs>
                <w:tab w:val="left" w:pos="1021"/>
              </w:tabs>
              <w:spacing w:line="240" w:lineRule="auto"/>
              <w:jc w:val="center"/>
              <w:rPr>
                <w:sz w:val="21"/>
                <w:szCs w:val="21"/>
              </w:rPr>
            </w:pPr>
            <w:r>
              <w:rPr>
                <w:rFonts w:hint="eastAsia"/>
                <w:sz w:val="21"/>
                <w:szCs w:val="21"/>
              </w:rPr>
              <w:t>挥发性有机物</w:t>
            </w:r>
          </w:p>
        </w:tc>
        <w:tc>
          <w:tcPr>
            <w:tcW w:w="2789" w:type="dxa"/>
            <w:vAlign w:val="center"/>
          </w:tcPr>
          <w:p w14:paraId="02D2D554">
            <w:pPr>
              <w:tabs>
                <w:tab w:val="left" w:pos="1021"/>
              </w:tabs>
              <w:spacing w:line="240" w:lineRule="auto"/>
              <w:jc w:val="center"/>
              <w:textAlignment w:val="top"/>
              <w:rPr>
                <w:sz w:val="21"/>
                <w:szCs w:val="21"/>
              </w:rPr>
            </w:pPr>
            <w:r>
              <w:rPr>
                <w:rFonts w:hint="eastAsia"/>
                <w:sz w:val="21"/>
                <w:szCs w:val="21"/>
              </w:rPr>
              <w:t>136.822</w:t>
            </w:r>
          </w:p>
        </w:tc>
      </w:tr>
      <w:tr w14:paraId="0EE117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2786" w:type="dxa"/>
            <w:vAlign w:val="center"/>
          </w:tcPr>
          <w:p w14:paraId="47A11B77">
            <w:pPr>
              <w:tabs>
                <w:tab w:val="left" w:pos="1021"/>
              </w:tabs>
              <w:spacing w:line="240" w:lineRule="auto"/>
              <w:jc w:val="center"/>
              <w:textAlignment w:val="top"/>
              <w:rPr>
                <w:sz w:val="21"/>
                <w:szCs w:val="21"/>
              </w:rPr>
            </w:pPr>
            <w:r>
              <w:rPr>
                <w:rFonts w:hint="eastAsia"/>
                <w:sz w:val="21"/>
                <w:szCs w:val="21"/>
              </w:rPr>
              <w:t>2</w:t>
            </w:r>
          </w:p>
        </w:tc>
        <w:tc>
          <w:tcPr>
            <w:tcW w:w="2787" w:type="dxa"/>
            <w:vAlign w:val="center"/>
          </w:tcPr>
          <w:p w14:paraId="2FE73329">
            <w:pPr>
              <w:tabs>
                <w:tab w:val="left" w:pos="1021"/>
              </w:tabs>
              <w:spacing w:line="240" w:lineRule="auto"/>
              <w:jc w:val="center"/>
              <w:rPr>
                <w:sz w:val="21"/>
                <w:szCs w:val="21"/>
              </w:rPr>
            </w:pPr>
            <w:r>
              <w:rPr>
                <w:rFonts w:hint="eastAsia"/>
                <w:sz w:val="21"/>
                <w:szCs w:val="21"/>
              </w:rPr>
              <w:t>颗粒物</w:t>
            </w:r>
          </w:p>
        </w:tc>
        <w:tc>
          <w:tcPr>
            <w:tcW w:w="2789" w:type="dxa"/>
            <w:vAlign w:val="center"/>
          </w:tcPr>
          <w:p w14:paraId="668D8007">
            <w:pPr>
              <w:tabs>
                <w:tab w:val="left" w:pos="1021"/>
              </w:tabs>
              <w:spacing w:line="240" w:lineRule="auto"/>
              <w:jc w:val="center"/>
              <w:rPr>
                <w:sz w:val="21"/>
                <w:szCs w:val="21"/>
              </w:rPr>
            </w:pPr>
            <w:r>
              <w:rPr>
                <w:rFonts w:hint="eastAsia"/>
                <w:sz w:val="21"/>
                <w:szCs w:val="21"/>
              </w:rPr>
              <w:t>0.315</w:t>
            </w:r>
          </w:p>
        </w:tc>
      </w:tr>
      <w:tr w14:paraId="2B75DF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2786" w:type="dxa"/>
            <w:vAlign w:val="center"/>
          </w:tcPr>
          <w:p w14:paraId="75D3693F">
            <w:pPr>
              <w:tabs>
                <w:tab w:val="left" w:pos="1021"/>
              </w:tabs>
              <w:spacing w:line="240" w:lineRule="auto"/>
              <w:jc w:val="center"/>
              <w:textAlignment w:val="top"/>
              <w:rPr>
                <w:sz w:val="21"/>
                <w:szCs w:val="21"/>
              </w:rPr>
            </w:pPr>
            <w:r>
              <w:rPr>
                <w:rFonts w:hint="eastAsia"/>
                <w:sz w:val="21"/>
                <w:szCs w:val="21"/>
              </w:rPr>
              <w:t>3</w:t>
            </w:r>
          </w:p>
        </w:tc>
        <w:tc>
          <w:tcPr>
            <w:tcW w:w="2787" w:type="dxa"/>
            <w:vAlign w:val="center"/>
          </w:tcPr>
          <w:p w14:paraId="5C89FF6A">
            <w:pPr>
              <w:tabs>
                <w:tab w:val="left" w:pos="1021"/>
              </w:tabs>
              <w:spacing w:line="240" w:lineRule="auto"/>
              <w:jc w:val="center"/>
              <w:rPr>
                <w:sz w:val="21"/>
                <w:szCs w:val="21"/>
              </w:rPr>
            </w:pPr>
            <w:r>
              <w:rPr>
                <w:sz w:val="21"/>
                <w:szCs w:val="21"/>
              </w:rPr>
              <w:t>SO</w:t>
            </w:r>
            <w:r>
              <w:rPr>
                <w:sz w:val="21"/>
                <w:szCs w:val="21"/>
                <w:vertAlign w:val="subscript"/>
              </w:rPr>
              <w:t>2</w:t>
            </w:r>
          </w:p>
        </w:tc>
        <w:tc>
          <w:tcPr>
            <w:tcW w:w="2789" w:type="dxa"/>
            <w:vAlign w:val="center"/>
          </w:tcPr>
          <w:p w14:paraId="63F4F3DB">
            <w:pPr>
              <w:tabs>
                <w:tab w:val="left" w:pos="1021"/>
              </w:tabs>
              <w:spacing w:line="240" w:lineRule="auto"/>
              <w:jc w:val="center"/>
              <w:rPr>
                <w:rFonts w:hint="default" w:eastAsia="宋体"/>
                <w:sz w:val="21"/>
                <w:szCs w:val="21"/>
                <w:lang w:val="en-US" w:eastAsia="zh-CN"/>
              </w:rPr>
            </w:pPr>
            <w:r>
              <w:rPr>
                <w:rFonts w:hint="eastAsia"/>
                <w:sz w:val="21"/>
                <w:szCs w:val="21"/>
                <w:lang w:val="en-US" w:eastAsia="zh-CN"/>
              </w:rPr>
              <w:t>0.044</w:t>
            </w:r>
          </w:p>
        </w:tc>
      </w:tr>
      <w:tr w14:paraId="7DEF97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2786" w:type="dxa"/>
            <w:vAlign w:val="center"/>
          </w:tcPr>
          <w:p w14:paraId="43BCDDBD">
            <w:pPr>
              <w:tabs>
                <w:tab w:val="left" w:pos="1021"/>
              </w:tabs>
              <w:spacing w:line="240" w:lineRule="auto"/>
              <w:jc w:val="center"/>
              <w:textAlignment w:val="top"/>
              <w:rPr>
                <w:sz w:val="21"/>
                <w:szCs w:val="21"/>
              </w:rPr>
            </w:pPr>
            <w:r>
              <w:rPr>
                <w:rFonts w:hint="eastAsia"/>
                <w:sz w:val="21"/>
                <w:szCs w:val="21"/>
              </w:rPr>
              <w:t>4</w:t>
            </w:r>
          </w:p>
        </w:tc>
        <w:tc>
          <w:tcPr>
            <w:tcW w:w="2787" w:type="dxa"/>
            <w:vAlign w:val="center"/>
          </w:tcPr>
          <w:p w14:paraId="45D68EAF">
            <w:pPr>
              <w:tabs>
                <w:tab w:val="left" w:pos="1021"/>
              </w:tabs>
              <w:spacing w:line="240" w:lineRule="auto"/>
              <w:jc w:val="center"/>
              <w:rPr>
                <w:sz w:val="21"/>
                <w:szCs w:val="21"/>
              </w:rPr>
            </w:pPr>
            <w:r>
              <w:rPr>
                <w:sz w:val="21"/>
                <w:szCs w:val="21"/>
              </w:rPr>
              <w:t>NO</w:t>
            </w:r>
            <w:r>
              <w:rPr>
                <w:rFonts w:hint="eastAsia"/>
                <w:sz w:val="21"/>
                <w:szCs w:val="21"/>
                <w:vertAlign w:val="subscript"/>
              </w:rPr>
              <w:t>X</w:t>
            </w:r>
          </w:p>
        </w:tc>
        <w:tc>
          <w:tcPr>
            <w:tcW w:w="2789" w:type="dxa"/>
            <w:vAlign w:val="center"/>
          </w:tcPr>
          <w:p w14:paraId="13F9AD5E">
            <w:pPr>
              <w:tabs>
                <w:tab w:val="left" w:pos="1021"/>
              </w:tabs>
              <w:spacing w:line="240" w:lineRule="auto"/>
              <w:jc w:val="center"/>
              <w:rPr>
                <w:sz w:val="21"/>
                <w:szCs w:val="21"/>
              </w:rPr>
            </w:pPr>
            <w:r>
              <w:rPr>
                <w:rFonts w:hint="eastAsia"/>
                <w:sz w:val="21"/>
                <w:szCs w:val="21"/>
              </w:rPr>
              <w:t>1.03</w:t>
            </w:r>
          </w:p>
        </w:tc>
      </w:tr>
    </w:tbl>
    <w:p w14:paraId="4B0C19E2">
      <w:pPr>
        <w:ind w:firstLine="480"/>
      </w:pPr>
      <w:r>
        <w:rPr>
          <w:rFonts w:hint="eastAsia" w:ascii="宋体" w:hAnsi="宋体" w:cs="宋体"/>
        </w:rPr>
        <w:t>4.非正常</w:t>
      </w:r>
      <w:r>
        <w:rPr>
          <w:rFonts w:hint="eastAsia"/>
        </w:rPr>
        <w:t>排放量核算</w:t>
      </w:r>
    </w:p>
    <w:p w14:paraId="57FC118A">
      <w:pPr>
        <w:pStyle w:val="51"/>
        <w:numPr>
          <w:ilvl w:val="5"/>
          <w:numId w:val="0"/>
        </w:numPr>
        <w:tabs>
          <w:tab w:val="left" w:pos="4395"/>
        </w:tabs>
        <w:spacing w:before="156"/>
        <w:ind w:left="4973" w:leftChars="967" w:hanging="2652" w:hangingChars="1258"/>
        <w:jc w:val="both"/>
        <w:rPr>
          <w:sz w:val="18"/>
          <w:szCs w:val="18"/>
        </w:rPr>
      </w:pPr>
      <w:r>
        <w:rPr>
          <w:rFonts w:hint="default" w:ascii="宋体" w:hAnsi="宋体" w:eastAsia="宋体" w:cs="宋体"/>
          <w:b/>
          <w:bCs/>
          <w:color w:val="auto"/>
          <w:kern w:val="2"/>
          <w:sz w:val="21"/>
          <w:szCs w:val="21"/>
          <w:lang w:val="en-US" w:eastAsia="zh-CN" w:bidi="ar-SA"/>
        </w:rPr>
        <w:t xml:space="preserve">表6.2-28 </w:t>
      </w:r>
      <w:r>
        <w:rPr>
          <w:rFonts w:hint="eastAsia" w:ascii="宋体" w:hAnsi="宋体" w:cs="宋体"/>
          <w:b/>
          <w:bCs/>
          <w:color w:val="auto"/>
          <w:kern w:val="2"/>
          <w:sz w:val="21"/>
          <w:szCs w:val="21"/>
          <w:lang w:val="en-US" w:eastAsia="zh-CN" w:bidi="ar-SA"/>
        </w:rPr>
        <w:t xml:space="preserve">   </w:t>
      </w:r>
      <w:r>
        <w:rPr>
          <w:rFonts w:hint="eastAsia"/>
        </w:rPr>
        <w:t>污染源非正常排放量核算表</w:t>
      </w:r>
    </w:p>
    <w:tbl>
      <w:tblPr>
        <w:tblStyle w:val="31"/>
        <w:tblW w:w="501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94"/>
        <w:gridCol w:w="1247"/>
        <w:gridCol w:w="1133"/>
        <w:gridCol w:w="846"/>
        <w:gridCol w:w="929"/>
        <w:gridCol w:w="862"/>
        <w:gridCol w:w="864"/>
        <w:gridCol w:w="631"/>
        <w:gridCol w:w="1460"/>
      </w:tblGrid>
      <w:tr w14:paraId="26E302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4" w:type="dxa"/>
            <w:tcBorders>
              <w:tl2br w:val="nil"/>
              <w:tr2bl w:val="nil"/>
            </w:tcBorders>
            <w:vAlign w:val="center"/>
          </w:tcPr>
          <w:p w14:paraId="181312FB">
            <w:pPr>
              <w:tabs>
                <w:tab w:val="left" w:pos="1021"/>
              </w:tabs>
              <w:spacing w:line="240" w:lineRule="auto"/>
              <w:jc w:val="center"/>
              <w:textAlignment w:val="top"/>
              <w:rPr>
                <w:sz w:val="21"/>
                <w:szCs w:val="21"/>
              </w:rPr>
            </w:pPr>
            <w:r>
              <w:rPr>
                <w:sz w:val="21"/>
                <w:szCs w:val="21"/>
              </w:rPr>
              <w:t>序号</w:t>
            </w:r>
          </w:p>
        </w:tc>
        <w:tc>
          <w:tcPr>
            <w:tcW w:w="1247" w:type="dxa"/>
            <w:tcBorders>
              <w:tl2br w:val="nil"/>
              <w:tr2bl w:val="nil"/>
            </w:tcBorders>
            <w:vAlign w:val="center"/>
          </w:tcPr>
          <w:p w14:paraId="46B4ADE7">
            <w:pPr>
              <w:tabs>
                <w:tab w:val="left" w:pos="1021"/>
              </w:tabs>
              <w:spacing w:line="240" w:lineRule="auto"/>
              <w:jc w:val="center"/>
              <w:textAlignment w:val="top"/>
              <w:rPr>
                <w:sz w:val="21"/>
                <w:szCs w:val="21"/>
              </w:rPr>
            </w:pPr>
            <w:r>
              <w:rPr>
                <w:sz w:val="21"/>
                <w:szCs w:val="21"/>
              </w:rPr>
              <w:t>污染源</w:t>
            </w:r>
          </w:p>
        </w:tc>
        <w:tc>
          <w:tcPr>
            <w:tcW w:w="1133" w:type="dxa"/>
            <w:tcBorders>
              <w:tl2br w:val="nil"/>
              <w:tr2bl w:val="nil"/>
            </w:tcBorders>
            <w:vAlign w:val="center"/>
          </w:tcPr>
          <w:p w14:paraId="0EFB4605">
            <w:pPr>
              <w:tabs>
                <w:tab w:val="left" w:pos="1021"/>
              </w:tabs>
              <w:spacing w:line="240" w:lineRule="auto"/>
              <w:jc w:val="center"/>
              <w:textAlignment w:val="top"/>
              <w:rPr>
                <w:sz w:val="21"/>
                <w:szCs w:val="21"/>
              </w:rPr>
            </w:pPr>
            <w:r>
              <w:rPr>
                <w:sz w:val="21"/>
                <w:szCs w:val="21"/>
              </w:rPr>
              <w:t>非正常排放原因</w:t>
            </w:r>
          </w:p>
        </w:tc>
        <w:tc>
          <w:tcPr>
            <w:tcW w:w="846" w:type="dxa"/>
            <w:tcBorders>
              <w:tl2br w:val="nil"/>
              <w:tr2bl w:val="nil"/>
            </w:tcBorders>
            <w:vAlign w:val="center"/>
          </w:tcPr>
          <w:p w14:paraId="5399373C">
            <w:pPr>
              <w:tabs>
                <w:tab w:val="left" w:pos="1021"/>
              </w:tabs>
              <w:spacing w:line="240" w:lineRule="auto"/>
              <w:jc w:val="center"/>
              <w:textAlignment w:val="top"/>
              <w:rPr>
                <w:sz w:val="21"/>
                <w:szCs w:val="21"/>
              </w:rPr>
            </w:pPr>
            <w:r>
              <w:rPr>
                <w:sz w:val="21"/>
                <w:szCs w:val="21"/>
              </w:rPr>
              <w:t>污染物</w:t>
            </w:r>
          </w:p>
        </w:tc>
        <w:tc>
          <w:tcPr>
            <w:tcW w:w="929" w:type="dxa"/>
            <w:tcBorders>
              <w:tl2br w:val="nil"/>
              <w:tr2bl w:val="nil"/>
            </w:tcBorders>
            <w:vAlign w:val="center"/>
          </w:tcPr>
          <w:p w14:paraId="735558B6">
            <w:pPr>
              <w:tabs>
                <w:tab w:val="left" w:pos="1021"/>
              </w:tabs>
              <w:spacing w:line="240" w:lineRule="auto"/>
              <w:jc w:val="center"/>
              <w:textAlignment w:val="top"/>
              <w:rPr>
                <w:sz w:val="21"/>
                <w:szCs w:val="21"/>
              </w:rPr>
            </w:pPr>
            <w:r>
              <w:rPr>
                <w:sz w:val="21"/>
                <w:szCs w:val="21"/>
              </w:rPr>
              <w:t>排放量</w:t>
            </w:r>
          </w:p>
          <w:p w14:paraId="5460C047">
            <w:pPr>
              <w:tabs>
                <w:tab w:val="left" w:pos="1021"/>
              </w:tabs>
              <w:spacing w:line="240" w:lineRule="auto"/>
              <w:jc w:val="center"/>
              <w:textAlignment w:val="top"/>
              <w:rPr>
                <w:sz w:val="21"/>
                <w:szCs w:val="21"/>
              </w:rPr>
            </w:pPr>
            <w:r>
              <w:rPr>
                <w:sz w:val="21"/>
                <w:szCs w:val="21"/>
              </w:rPr>
              <w:t>t/a</w:t>
            </w:r>
          </w:p>
        </w:tc>
        <w:tc>
          <w:tcPr>
            <w:tcW w:w="862" w:type="dxa"/>
            <w:tcBorders>
              <w:tl2br w:val="nil"/>
              <w:tr2bl w:val="nil"/>
            </w:tcBorders>
            <w:vAlign w:val="center"/>
          </w:tcPr>
          <w:p w14:paraId="72D8B839">
            <w:pPr>
              <w:tabs>
                <w:tab w:val="left" w:pos="1021"/>
              </w:tabs>
              <w:spacing w:line="240" w:lineRule="auto"/>
              <w:jc w:val="center"/>
              <w:textAlignment w:val="top"/>
              <w:rPr>
                <w:sz w:val="21"/>
                <w:szCs w:val="21"/>
              </w:rPr>
            </w:pPr>
            <w:r>
              <w:rPr>
                <w:sz w:val="21"/>
                <w:szCs w:val="21"/>
              </w:rPr>
              <w:t>排放速率 kg/h</w:t>
            </w:r>
          </w:p>
        </w:tc>
        <w:tc>
          <w:tcPr>
            <w:tcW w:w="864" w:type="dxa"/>
            <w:tcBorders>
              <w:tl2br w:val="nil"/>
              <w:tr2bl w:val="nil"/>
            </w:tcBorders>
            <w:vAlign w:val="center"/>
          </w:tcPr>
          <w:p w14:paraId="33CB485C">
            <w:pPr>
              <w:tabs>
                <w:tab w:val="left" w:pos="1021"/>
              </w:tabs>
              <w:spacing w:line="240" w:lineRule="auto"/>
              <w:jc w:val="center"/>
              <w:textAlignment w:val="top"/>
              <w:rPr>
                <w:sz w:val="21"/>
                <w:szCs w:val="21"/>
              </w:rPr>
            </w:pPr>
            <w:r>
              <w:rPr>
                <w:sz w:val="21"/>
                <w:szCs w:val="21"/>
              </w:rPr>
              <w:t>单次持续时间</w:t>
            </w:r>
          </w:p>
        </w:tc>
        <w:tc>
          <w:tcPr>
            <w:tcW w:w="631" w:type="dxa"/>
            <w:tcBorders>
              <w:tl2br w:val="nil"/>
              <w:tr2bl w:val="nil"/>
            </w:tcBorders>
            <w:vAlign w:val="center"/>
          </w:tcPr>
          <w:p w14:paraId="48C0C77E">
            <w:pPr>
              <w:tabs>
                <w:tab w:val="left" w:pos="1021"/>
              </w:tabs>
              <w:spacing w:line="240" w:lineRule="auto"/>
              <w:jc w:val="center"/>
              <w:textAlignment w:val="top"/>
              <w:rPr>
                <w:sz w:val="21"/>
                <w:szCs w:val="21"/>
              </w:rPr>
            </w:pPr>
            <w:r>
              <w:rPr>
                <w:sz w:val="21"/>
                <w:szCs w:val="21"/>
              </w:rPr>
              <w:t>年发</w:t>
            </w:r>
          </w:p>
          <w:p w14:paraId="319E9D56">
            <w:pPr>
              <w:tabs>
                <w:tab w:val="left" w:pos="1021"/>
              </w:tabs>
              <w:spacing w:line="240" w:lineRule="auto"/>
              <w:jc w:val="center"/>
              <w:textAlignment w:val="top"/>
              <w:rPr>
                <w:sz w:val="21"/>
                <w:szCs w:val="21"/>
              </w:rPr>
            </w:pPr>
            <w:r>
              <w:rPr>
                <w:sz w:val="21"/>
                <w:szCs w:val="21"/>
              </w:rPr>
              <w:t>生频次</w:t>
            </w:r>
          </w:p>
        </w:tc>
        <w:tc>
          <w:tcPr>
            <w:tcW w:w="1460" w:type="dxa"/>
            <w:tcBorders>
              <w:tl2br w:val="nil"/>
              <w:tr2bl w:val="nil"/>
            </w:tcBorders>
            <w:vAlign w:val="center"/>
          </w:tcPr>
          <w:p w14:paraId="1990E71C">
            <w:pPr>
              <w:tabs>
                <w:tab w:val="left" w:pos="1021"/>
              </w:tabs>
              <w:spacing w:line="240" w:lineRule="auto"/>
              <w:jc w:val="center"/>
              <w:textAlignment w:val="top"/>
              <w:rPr>
                <w:sz w:val="21"/>
                <w:szCs w:val="21"/>
              </w:rPr>
            </w:pPr>
            <w:r>
              <w:rPr>
                <w:sz w:val="21"/>
                <w:szCs w:val="21"/>
              </w:rPr>
              <w:t>应对措施</w:t>
            </w:r>
          </w:p>
        </w:tc>
      </w:tr>
      <w:tr w14:paraId="679690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4" w:type="dxa"/>
            <w:tcBorders>
              <w:tl2br w:val="nil"/>
              <w:tr2bl w:val="nil"/>
            </w:tcBorders>
            <w:vAlign w:val="center"/>
          </w:tcPr>
          <w:p w14:paraId="060DF66B">
            <w:pPr>
              <w:tabs>
                <w:tab w:val="left" w:pos="1021"/>
              </w:tabs>
              <w:spacing w:line="240" w:lineRule="auto"/>
              <w:jc w:val="center"/>
              <w:textAlignment w:val="top"/>
              <w:rPr>
                <w:sz w:val="21"/>
                <w:szCs w:val="21"/>
              </w:rPr>
            </w:pPr>
            <w:r>
              <w:rPr>
                <w:sz w:val="21"/>
                <w:szCs w:val="21"/>
              </w:rPr>
              <w:t>1</w:t>
            </w:r>
          </w:p>
        </w:tc>
        <w:tc>
          <w:tcPr>
            <w:tcW w:w="1247" w:type="dxa"/>
            <w:tcBorders>
              <w:tl2br w:val="nil"/>
              <w:tr2bl w:val="nil"/>
            </w:tcBorders>
            <w:vAlign w:val="center"/>
          </w:tcPr>
          <w:p w14:paraId="5502E11D">
            <w:pPr>
              <w:tabs>
                <w:tab w:val="left" w:pos="1021"/>
              </w:tabs>
              <w:spacing w:line="240" w:lineRule="auto"/>
              <w:jc w:val="center"/>
              <w:textAlignment w:val="top"/>
              <w:rPr>
                <w:sz w:val="21"/>
                <w:szCs w:val="21"/>
              </w:rPr>
            </w:pPr>
            <w:r>
              <w:rPr>
                <w:sz w:val="21"/>
                <w:szCs w:val="21"/>
              </w:rPr>
              <w:t>印刷、复合</w:t>
            </w:r>
          </w:p>
          <w:p w14:paraId="78ABAFA6">
            <w:pPr>
              <w:tabs>
                <w:tab w:val="left" w:pos="1021"/>
              </w:tabs>
              <w:spacing w:line="240" w:lineRule="auto"/>
              <w:jc w:val="center"/>
              <w:textAlignment w:val="top"/>
              <w:rPr>
                <w:sz w:val="21"/>
                <w:szCs w:val="21"/>
              </w:rPr>
            </w:pPr>
            <w:r>
              <w:rPr>
                <w:sz w:val="21"/>
                <w:szCs w:val="21"/>
              </w:rPr>
              <w:t>工序</w:t>
            </w:r>
          </w:p>
        </w:tc>
        <w:tc>
          <w:tcPr>
            <w:tcW w:w="1133" w:type="dxa"/>
            <w:vMerge w:val="restart"/>
            <w:tcBorders>
              <w:tl2br w:val="nil"/>
              <w:tr2bl w:val="nil"/>
            </w:tcBorders>
            <w:vAlign w:val="center"/>
          </w:tcPr>
          <w:p w14:paraId="7AF190C2">
            <w:pPr>
              <w:tabs>
                <w:tab w:val="left" w:pos="1021"/>
              </w:tabs>
              <w:spacing w:line="240" w:lineRule="auto"/>
              <w:jc w:val="center"/>
              <w:textAlignment w:val="top"/>
              <w:rPr>
                <w:sz w:val="21"/>
                <w:szCs w:val="21"/>
              </w:rPr>
            </w:pPr>
            <w:r>
              <w:rPr>
                <w:sz w:val="21"/>
                <w:szCs w:val="21"/>
              </w:rPr>
              <w:t>检修或事故 状态</w:t>
            </w:r>
          </w:p>
        </w:tc>
        <w:tc>
          <w:tcPr>
            <w:tcW w:w="846" w:type="dxa"/>
            <w:tcBorders>
              <w:tl2br w:val="nil"/>
              <w:tr2bl w:val="nil"/>
            </w:tcBorders>
            <w:vAlign w:val="center"/>
          </w:tcPr>
          <w:p w14:paraId="1ED54ECC">
            <w:pPr>
              <w:tabs>
                <w:tab w:val="left" w:pos="1021"/>
              </w:tabs>
              <w:spacing w:line="240" w:lineRule="auto"/>
              <w:jc w:val="center"/>
              <w:textAlignment w:val="top"/>
              <w:rPr>
                <w:sz w:val="21"/>
                <w:szCs w:val="21"/>
              </w:rPr>
            </w:pPr>
            <w:r>
              <w:rPr>
                <w:rFonts w:hint="eastAsia"/>
                <w:sz w:val="21"/>
                <w:szCs w:val="21"/>
              </w:rPr>
              <w:t>挥发性有机物</w:t>
            </w:r>
          </w:p>
        </w:tc>
        <w:tc>
          <w:tcPr>
            <w:tcW w:w="929" w:type="dxa"/>
            <w:tcBorders>
              <w:tl2br w:val="nil"/>
              <w:tr2bl w:val="nil"/>
            </w:tcBorders>
            <w:vAlign w:val="center"/>
          </w:tcPr>
          <w:p w14:paraId="38471868">
            <w:pPr>
              <w:pStyle w:val="64"/>
              <w:spacing w:line="240" w:lineRule="auto"/>
              <w:ind w:firstLine="0"/>
              <w:rPr>
                <w:rFonts w:hint="default" w:eastAsia="宋体"/>
                <w:sz w:val="21"/>
                <w:szCs w:val="21"/>
                <w:lang w:val="en-US" w:eastAsia="zh-CN"/>
              </w:rPr>
            </w:pPr>
            <w:r>
              <w:rPr>
                <w:rFonts w:hint="eastAsia"/>
                <w:bCs/>
                <w:sz w:val="21"/>
                <w:szCs w:val="21"/>
                <w:lang w:val="en-US" w:eastAsia="zh-CN"/>
              </w:rPr>
              <w:t>2034.399</w:t>
            </w:r>
          </w:p>
        </w:tc>
        <w:tc>
          <w:tcPr>
            <w:tcW w:w="862" w:type="dxa"/>
            <w:tcBorders>
              <w:tl2br w:val="nil"/>
              <w:tr2bl w:val="nil"/>
            </w:tcBorders>
            <w:vAlign w:val="center"/>
          </w:tcPr>
          <w:p w14:paraId="17E7213A">
            <w:pPr>
              <w:pStyle w:val="64"/>
              <w:spacing w:line="240" w:lineRule="auto"/>
              <w:ind w:firstLine="0"/>
              <w:rPr>
                <w:rFonts w:hint="default" w:eastAsia="宋体"/>
                <w:sz w:val="21"/>
                <w:szCs w:val="21"/>
                <w:lang w:val="en-US" w:eastAsia="zh-CN"/>
              </w:rPr>
            </w:pPr>
            <w:r>
              <w:rPr>
                <w:rFonts w:hint="eastAsia"/>
                <w:sz w:val="21"/>
                <w:szCs w:val="21"/>
                <w:lang w:val="en-US" w:eastAsia="zh-CN"/>
              </w:rPr>
              <w:t>249.3</w:t>
            </w:r>
          </w:p>
        </w:tc>
        <w:tc>
          <w:tcPr>
            <w:tcW w:w="864" w:type="dxa"/>
            <w:tcBorders>
              <w:tl2br w:val="nil"/>
              <w:tr2bl w:val="nil"/>
            </w:tcBorders>
            <w:vAlign w:val="center"/>
          </w:tcPr>
          <w:p w14:paraId="57FD404C">
            <w:pPr>
              <w:tabs>
                <w:tab w:val="left" w:pos="1021"/>
              </w:tabs>
              <w:spacing w:line="240" w:lineRule="auto"/>
              <w:jc w:val="center"/>
              <w:textAlignment w:val="top"/>
              <w:rPr>
                <w:sz w:val="21"/>
                <w:szCs w:val="21"/>
              </w:rPr>
            </w:pPr>
            <w:r>
              <w:rPr>
                <w:sz w:val="21"/>
                <w:szCs w:val="21"/>
              </w:rPr>
              <w:t>&lt;30min</w:t>
            </w:r>
          </w:p>
        </w:tc>
        <w:tc>
          <w:tcPr>
            <w:tcW w:w="631" w:type="dxa"/>
            <w:tcBorders>
              <w:tl2br w:val="nil"/>
              <w:tr2bl w:val="nil"/>
            </w:tcBorders>
            <w:vAlign w:val="center"/>
          </w:tcPr>
          <w:p w14:paraId="2A1C83C4">
            <w:pPr>
              <w:tabs>
                <w:tab w:val="left" w:pos="1021"/>
              </w:tabs>
              <w:spacing w:line="240" w:lineRule="auto"/>
              <w:jc w:val="center"/>
              <w:textAlignment w:val="top"/>
              <w:rPr>
                <w:sz w:val="21"/>
                <w:szCs w:val="21"/>
              </w:rPr>
            </w:pPr>
            <w:r>
              <w:rPr>
                <w:sz w:val="21"/>
                <w:szCs w:val="21"/>
              </w:rPr>
              <w:t>偶发</w:t>
            </w:r>
          </w:p>
        </w:tc>
        <w:tc>
          <w:tcPr>
            <w:tcW w:w="1460" w:type="dxa"/>
            <w:tcBorders>
              <w:tl2br w:val="nil"/>
              <w:tr2bl w:val="nil"/>
            </w:tcBorders>
            <w:vAlign w:val="center"/>
          </w:tcPr>
          <w:p w14:paraId="13AF1309">
            <w:pPr>
              <w:tabs>
                <w:tab w:val="left" w:pos="1021"/>
              </w:tabs>
              <w:spacing w:line="240" w:lineRule="auto"/>
              <w:jc w:val="center"/>
              <w:textAlignment w:val="top"/>
              <w:rPr>
                <w:sz w:val="21"/>
                <w:szCs w:val="21"/>
              </w:rPr>
            </w:pPr>
            <w:r>
              <w:rPr>
                <w:sz w:val="21"/>
                <w:szCs w:val="21"/>
              </w:rPr>
              <w:t>立即停产检修</w:t>
            </w:r>
          </w:p>
        </w:tc>
      </w:tr>
      <w:tr w14:paraId="09E6C2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94" w:type="dxa"/>
            <w:tcBorders>
              <w:tl2br w:val="nil"/>
              <w:tr2bl w:val="nil"/>
            </w:tcBorders>
            <w:vAlign w:val="center"/>
          </w:tcPr>
          <w:p w14:paraId="6CC3CC9D">
            <w:pPr>
              <w:tabs>
                <w:tab w:val="left" w:pos="1021"/>
              </w:tabs>
              <w:spacing w:line="240" w:lineRule="auto"/>
              <w:jc w:val="center"/>
              <w:textAlignment w:val="top"/>
              <w:rPr>
                <w:sz w:val="21"/>
                <w:szCs w:val="21"/>
              </w:rPr>
            </w:pPr>
            <w:r>
              <w:rPr>
                <w:rFonts w:hint="eastAsia"/>
                <w:sz w:val="21"/>
                <w:szCs w:val="21"/>
              </w:rPr>
              <w:t>2</w:t>
            </w:r>
          </w:p>
        </w:tc>
        <w:tc>
          <w:tcPr>
            <w:tcW w:w="1247" w:type="dxa"/>
            <w:tcBorders>
              <w:tl2br w:val="nil"/>
              <w:tr2bl w:val="nil"/>
            </w:tcBorders>
            <w:vAlign w:val="center"/>
          </w:tcPr>
          <w:p w14:paraId="6B579A45">
            <w:pPr>
              <w:tabs>
                <w:tab w:val="left" w:pos="1021"/>
              </w:tabs>
              <w:spacing w:line="240" w:lineRule="auto"/>
              <w:jc w:val="center"/>
              <w:textAlignment w:val="top"/>
              <w:rPr>
                <w:sz w:val="21"/>
                <w:szCs w:val="21"/>
              </w:rPr>
            </w:pPr>
            <w:r>
              <w:rPr>
                <w:rFonts w:hint="eastAsia"/>
                <w:sz w:val="21"/>
                <w:szCs w:val="21"/>
              </w:rPr>
              <w:t>锅炉</w:t>
            </w:r>
          </w:p>
        </w:tc>
        <w:tc>
          <w:tcPr>
            <w:tcW w:w="1133" w:type="dxa"/>
            <w:vMerge w:val="continue"/>
            <w:tcBorders>
              <w:tl2br w:val="nil"/>
              <w:tr2bl w:val="nil"/>
            </w:tcBorders>
            <w:vAlign w:val="center"/>
          </w:tcPr>
          <w:p w14:paraId="0D60C817">
            <w:pPr>
              <w:tabs>
                <w:tab w:val="left" w:pos="1021"/>
              </w:tabs>
              <w:spacing w:line="240" w:lineRule="auto"/>
              <w:jc w:val="center"/>
              <w:textAlignment w:val="top"/>
              <w:rPr>
                <w:color w:val="FF0000"/>
                <w:sz w:val="21"/>
                <w:szCs w:val="21"/>
              </w:rPr>
            </w:pPr>
          </w:p>
        </w:tc>
        <w:tc>
          <w:tcPr>
            <w:tcW w:w="846" w:type="dxa"/>
            <w:tcBorders>
              <w:tl2br w:val="nil"/>
              <w:tr2bl w:val="nil"/>
            </w:tcBorders>
            <w:vAlign w:val="center"/>
          </w:tcPr>
          <w:p w14:paraId="6936F49F">
            <w:pPr>
              <w:tabs>
                <w:tab w:val="left" w:pos="1021"/>
              </w:tabs>
              <w:spacing w:line="240" w:lineRule="auto"/>
              <w:jc w:val="center"/>
              <w:textAlignment w:val="top"/>
              <w:rPr>
                <w:sz w:val="21"/>
                <w:szCs w:val="21"/>
              </w:rPr>
            </w:pPr>
            <w:r>
              <w:rPr>
                <w:sz w:val="21"/>
                <w:szCs w:val="21"/>
              </w:rPr>
              <w:t>NO</w:t>
            </w:r>
            <w:r>
              <w:rPr>
                <w:rFonts w:hint="eastAsia"/>
                <w:sz w:val="21"/>
                <w:szCs w:val="21"/>
                <w:vertAlign w:val="subscript"/>
              </w:rPr>
              <w:t>X</w:t>
            </w:r>
          </w:p>
        </w:tc>
        <w:tc>
          <w:tcPr>
            <w:tcW w:w="929" w:type="dxa"/>
            <w:tcBorders>
              <w:tl2br w:val="nil"/>
              <w:tr2bl w:val="nil"/>
            </w:tcBorders>
            <w:vAlign w:val="center"/>
          </w:tcPr>
          <w:p w14:paraId="05AE68FE">
            <w:pPr>
              <w:pStyle w:val="64"/>
              <w:spacing w:line="240" w:lineRule="auto"/>
              <w:ind w:firstLine="0"/>
              <w:rPr>
                <w:sz w:val="21"/>
                <w:szCs w:val="21"/>
              </w:rPr>
            </w:pPr>
            <w:r>
              <w:rPr>
                <w:rFonts w:hint="eastAsia"/>
                <w:sz w:val="21"/>
                <w:szCs w:val="21"/>
              </w:rPr>
              <w:t>1.32</w:t>
            </w:r>
          </w:p>
        </w:tc>
        <w:tc>
          <w:tcPr>
            <w:tcW w:w="862" w:type="dxa"/>
            <w:tcBorders>
              <w:tl2br w:val="nil"/>
              <w:tr2bl w:val="nil"/>
            </w:tcBorders>
            <w:vAlign w:val="center"/>
          </w:tcPr>
          <w:p w14:paraId="558BA04E">
            <w:pPr>
              <w:pStyle w:val="64"/>
              <w:spacing w:line="240" w:lineRule="auto"/>
              <w:ind w:firstLine="0"/>
              <w:rPr>
                <w:sz w:val="21"/>
                <w:szCs w:val="21"/>
              </w:rPr>
            </w:pPr>
            <w:r>
              <w:rPr>
                <w:rFonts w:hint="eastAsia"/>
                <w:sz w:val="21"/>
                <w:szCs w:val="21"/>
              </w:rPr>
              <w:t>0.26</w:t>
            </w:r>
          </w:p>
        </w:tc>
        <w:tc>
          <w:tcPr>
            <w:tcW w:w="864" w:type="dxa"/>
            <w:tcBorders>
              <w:tl2br w:val="nil"/>
              <w:tr2bl w:val="nil"/>
            </w:tcBorders>
            <w:vAlign w:val="center"/>
          </w:tcPr>
          <w:p w14:paraId="19BB6DFD">
            <w:pPr>
              <w:tabs>
                <w:tab w:val="left" w:pos="1021"/>
              </w:tabs>
              <w:spacing w:line="240" w:lineRule="auto"/>
              <w:jc w:val="center"/>
              <w:textAlignment w:val="top"/>
              <w:rPr>
                <w:sz w:val="21"/>
                <w:szCs w:val="21"/>
              </w:rPr>
            </w:pPr>
            <w:r>
              <w:rPr>
                <w:sz w:val="21"/>
                <w:szCs w:val="21"/>
              </w:rPr>
              <w:t>&lt;30min</w:t>
            </w:r>
          </w:p>
        </w:tc>
        <w:tc>
          <w:tcPr>
            <w:tcW w:w="631" w:type="dxa"/>
            <w:tcBorders>
              <w:tl2br w:val="nil"/>
              <w:tr2bl w:val="nil"/>
            </w:tcBorders>
            <w:vAlign w:val="center"/>
          </w:tcPr>
          <w:p w14:paraId="28B14722">
            <w:pPr>
              <w:tabs>
                <w:tab w:val="left" w:pos="1021"/>
              </w:tabs>
              <w:spacing w:line="240" w:lineRule="auto"/>
              <w:jc w:val="center"/>
              <w:textAlignment w:val="top"/>
              <w:rPr>
                <w:sz w:val="21"/>
                <w:szCs w:val="21"/>
              </w:rPr>
            </w:pPr>
            <w:r>
              <w:rPr>
                <w:sz w:val="21"/>
                <w:szCs w:val="21"/>
              </w:rPr>
              <w:t>偶发</w:t>
            </w:r>
          </w:p>
        </w:tc>
        <w:tc>
          <w:tcPr>
            <w:tcW w:w="1460" w:type="dxa"/>
            <w:tcBorders>
              <w:tl2br w:val="nil"/>
              <w:tr2bl w:val="nil"/>
            </w:tcBorders>
            <w:vAlign w:val="center"/>
          </w:tcPr>
          <w:p w14:paraId="4385C4CD">
            <w:pPr>
              <w:tabs>
                <w:tab w:val="left" w:pos="1021"/>
              </w:tabs>
              <w:spacing w:line="240" w:lineRule="auto"/>
              <w:jc w:val="center"/>
              <w:textAlignment w:val="top"/>
              <w:rPr>
                <w:sz w:val="21"/>
                <w:szCs w:val="21"/>
              </w:rPr>
            </w:pPr>
            <w:r>
              <w:rPr>
                <w:sz w:val="21"/>
                <w:szCs w:val="21"/>
              </w:rPr>
              <w:t>立即停产检修</w:t>
            </w:r>
          </w:p>
        </w:tc>
      </w:tr>
    </w:tbl>
    <w:p w14:paraId="39957D9E">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6.2.5.4</w:t>
      </w:r>
      <w:r>
        <w:rPr>
          <w:rFonts w:hint="eastAsia"/>
        </w:rPr>
        <w:t>自行监测计划</w:t>
      </w:r>
    </w:p>
    <w:p w14:paraId="077F6DE6">
      <w:pPr>
        <w:ind w:firstLine="480"/>
      </w:pPr>
      <w:r>
        <w:rPr>
          <w:rFonts w:hint="eastAsia"/>
        </w:rPr>
        <w:t>根据《排污许可证申请与核发技术规范 印刷工业》（HJ1066-2019）、《排污单位自行监测技术指南印刷工业》（HJ1246-2022）《排污许可证申请与核发技术规范总则》（HJ942-2018）、《排污单位自行监测技术指南总则》（HJ 819-2017）、《排污单位自行监测技术指南火力发电及锅炉》（HJ820-2017）等规范的要求，本评价对项目提出如下监测计划建议：</w:t>
      </w:r>
    </w:p>
    <w:p w14:paraId="62D92E46">
      <w:pPr>
        <w:pStyle w:val="51"/>
        <w:numPr>
          <w:ilvl w:val="5"/>
          <w:numId w:val="0"/>
        </w:numPr>
        <w:tabs>
          <w:tab w:val="left" w:pos="4395"/>
        </w:tabs>
        <w:spacing w:before="156"/>
        <w:ind w:left="4969" w:leftChars="1054" w:hanging="2439" w:hangingChars="1157"/>
        <w:jc w:val="both"/>
        <w:rPr>
          <w:sz w:val="18"/>
          <w:szCs w:val="18"/>
        </w:rPr>
      </w:pPr>
      <w:r>
        <w:rPr>
          <w:rFonts w:hint="default" w:ascii="宋体" w:hAnsi="宋体" w:eastAsia="宋体" w:cs="宋体"/>
          <w:b/>
          <w:bCs/>
          <w:color w:val="auto"/>
          <w:kern w:val="2"/>
          <w:sz w:val="21"/>
          <w:szCs w:val="21"/>
          <w:lang w:val="en-US" w:eastAsia="zh-CN" w:bidi="ar-SA"/>
        </w:rPr>
        <w:t xml:space="preserve">表6.2-29 </w:t>
      </w:r>
      <w:r>
        <w:rPr>
          <w:rFonts w:hint="eastAsia"/>
        </w:rPr>
        <w:t xml:space="preserve">有组织废气监测方案    </w:t>
      </w:r>
    </w:p>
    <w:tbl>
      <w:tblPr>
        <w:tblStyle w:val="31"/>
        <w:tblW w:w="514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0"/>
        <w:gridCol w:w="1297"/>
        <w:gridCol w:w="1077"/>
        <w:gridCol w:w="5252"/>
      </w:tblGrid>
      <w:tr w14:paraId="2BF513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tcMar>
              <w:left w:w="0" w:type="dxa"/>
              <w:right w:w="0" w:type="dxa"/>
            </w:tcMar>
            <w:vAlign w:val="center"/>
          </w:tcPr>
          <w:p w14:paraId="5091F306">
            <w:pPr>
              <w:pStyle w:val="72"/>
              <w:rPr>
                <w:szCs w:val="21"/>
              </w:rPr>
            </w:pPr>
            <w:r>
              <w:rPr>
                <w:szCs w:val="21"/>
              </w:rPr>
              <w:t>监测点位</w:t>
            </w:r>
          </w:p>
        </w:tc>
        <w:tc>
          <w:tcPr>
            <w:tcW w:w="1297" w:type="dxa"/>
            <w:tcBorders>
              <w:tl2br w:val="nil"/>
              <w:tr2bl w:val="nil"/>
            </w:tcBorders>
            <w:tcMar>
              <w:left w:w="0" w:type="dxa"/>
              <w:right w:w="0" w:type="dxa"/>
            </w:tcMar>
            <w:vAlign w:val="center"/>
          </w:tcPr>
          <w:p w14:paraId="05CA1EF4">
            <w:pPr>
              <w:pStyle w:val="72"/>
              <w:rPr>
                <w:szCs w:val="21"/>
              </w:rPr>
            </w:pPr>
            <w:r>
              <w:rPr>
                <w:szCs w:val="21"/>
              </w:rPr>
              <w:t>监测指标</w:t>
            </w:r>
          </w:p>
        </w:tc>
        <w:tc>
          <w:tcPr>
            <w:tcW w:w="1077" w:type="dxa"/>
            <w:tcBorders>
              <w:tl2br w:val="nil"/>
              <w:tr2bl w:val="nil"/>
            </w:tcBorders>
            <w:tcMar>
              <w:left w:w="0" w:type="dxa"/>
              <w:right w:w="0" w:type="dxa"/>
            </w:tcMar>
            <w:vAlign w:val="center"/>
          </w:tcPr>
          <w:p w14:paraId="33222451">
            <w:pPr>
              <w:pStyle w:val="72"/>
              <w:rPr>
                <w:szCs w:val="21"/>
              </w:rPr>
            </w:pPr>
            <w:r>
              <w:rPr>
                <w:szCs w:val="21"/>
              </w:rPr>
              <w:t>监测频次</w:t>
            </w:r>
          </w:p>
        </w:tc>
        <w:tc>
          <w:tcPr>
            <w:tcW w:w="5252" w:type="dxa"/>
            <w:tcBorders>
              <w:tl2br w:val="nil"/>
              <w:tr2bl w:val="nil"/>
            </w:tcBorders>
            <w:tcMar>
              <w:left w:w="0" w:type="dxa"/>
              <w:right w:w="0" w:type="dxa"/>
            </w:tcMar>
            <w:vAlign w:val="center"/>
          </w:tcPr>
          <w:p w14:paraId="2C939C4B">
            <w:pPr>
              <w:pStyle w:val="72"/>
              <w:rPr>
                <w:szCs w:val="21"/>
              </w:rPr>
            </w:pPr>
            <w:r>
              <w:rPr>
                <w:szCs w:val="21"/>
              </w:rPr>
              <w:t>执行排放标准</w:t>
            </w:r>
          </w:p>
        </w:tc>
      </w:tr>
      <w:tr w14:paraId="0071E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50" w:type="dxa"/>
            <w:vMerge w:val="restart"/>
            <w:tcBorders>
              <w:tl2br w:val="nil"/>
              <w:tr2bl w:val="nil"/>
            </w:tcBorders>
            <w:tcMar>
              <w:left w:w="0" w:type="dxa"/>
              <w:right w:w="0" w:type="dxa"/>
            </w:tcMar>
            <w:vAlign w:val="center"/>
          </w:tcPr>
          <w:p w14:paraId="3507C513">
            <w:pPr>
              <w:pStyle w:val="72"/>
              <w:rPr>
                <w:szCs w:val="21"/>
              </w:rPr>
            </w:pPr>
            <w:r>
              <w:rPr>
                <w:rFonts w:hint="eastAsia"/>
                <w:szCs w:val="21"/>
              </w:rPr>
              <w:t>DA001</w:t>
            </w:r>
          </w:p>
          <w:p w14:paraId="15F773E0">
            <w:pPr>
              <w:pStyle w:val="72"/>
              <w:rPr>
                <w:szCs w:val="21"/>
              </w:rPr>
            </w:pPr>
            <w:r>
              <w:rPr>
                <w:rFonts w:hint="eastAsia"/>
                <w:szCs w:val="21"/>
              </w:rPr>
              <w:t>排气筒</w:t>
            </w:r>
          </w:p>
        </w:tc>
        <w:tc>
          <w:tcPr>
            <w:tcW w:w="1297" w:type="dxa"/>
            <w:tcBorders>
              <w:bottom w:val="single" w:color="000000" w:sz="8" w:space="0"/>
              <w:tl2br w:val="nil"/>
              <w:tr2bl w:val="nil"/>
            </w:tcBorders>
            <w:tcMar>
              <w:left w:w="0" w:type="dxa"/>
              <w:right w:w="0" w:type="dxa"/>
            </w:tcMar>
            <w:vAlign w:val="center"/>
          </w:tcPr>
          <w:p w14:paraId="138C5B11">
            <w:pPr>
              <w:pStyle w:val="72"/>
              <w:rPr>
                <w:szCs w:val="21"/>
              </w:rPr>
            </w:pPr>
            <w:r>
              <w:rPr>
                <w:rFonts w:hint="eastAsia"/>
                <w:szCs w:val="21"/>
              </w:rPr>
              <w:t>VOCs</w:t>
            </w:r>
          </w:p>
        </w:tc>
        <w:tc>
          <w:tcPr>
            <w:tcW w:w="1077" w:type="dxa"/>
            <w:tcBorders>
              <w:bottom w:val="single" w:color="000000" w:sz="8" w:space="0"/>
              <w:tl2br w:val="nil"/>
              <w:tr2bl w:val="nil"/>
            </w:tcBorders>
            <w:tcMar>
              <w:left w:w="0" w:type="dxa"/>
              <w:right w:w="0" w:type="dxa"/>
            </w:tcMar>
            <w:vAlign w:val="center"/>
          </w:tcPr>
          <w:p w14:paraId="1A2AB153">
            <w:pPr>
              <w:pStyle w:val="72"/>
              <w:rPr>
                <w:szCs w:val="21"/>
              </w:rPr>
            </w:pPr>
            <w:r>
              <w:rPr>
                <w:rFonts w:hint="eastAsia"/>
                <w:szCs w:val="21"/>
              </w:rPr>
              <w:t>重点管理自动监测</w:t>
            </w:r>
          </w:p>
        </w:tc>
        <w:tc>
          <w:tcPr>
            <w:tcW w:w="5252" w:type="dxa"/>
            <w:tcBorders>
              <w:tl2br w:val="nil"/>
              <w:tr2bl w:val="nil"/>
            </w:tcBorders>
            <w:tcMar>
              <w:left w:w="0" w:type="dxa"/>
              <w:right w:w="0" w:type="dxa"/>
            </w:tcMar>
            <w:vAlign w:val="center"/>
          </w:tcPr>
          <w:p w14:paraId="6639BCA0">
            <w:pPr>
              <w:pStyle w:val="72"/>
              <w:rPr>
                <w:rFonts w:hint="default" w:eastAsia="宋体"/>
                <w:szCs w:val="21"/>
                <w:lang w:val="en-US" w:eastAsia="zh-CN"/>
              </w:rPr>
            </w:pPr>
            <w:r>
              <w:rPr>
                <w:rFonts w:hint="eastAsia"/>
                <w:szCs w:val="21"/>
              </w:rPr>
              <w:t>《工业企业挥发性有机物排放标准》（</w:t>
            </w:r>
            <w:r>
              <w:rPr>
                <w:rFonts w:hint="eastAsia"/>
                <w:szCs w:val="21"/>
                <w:lang w:val="en-US" w:eastAsia="zh-CN"/>
              </w:rPr>
              <w:t>DB43/3550-2026</w:t>
            </w:r>
            <w:r>
              <w:rPr>
                <w:rFonts w:hint="eastAsia"/>
                <w:szCs w:val="21"/>
              </w:rPr>
              <w:t>）</w:t>
            </w:r>
            <w:r>
              <w:rPr>
                <w:rFonts w:hint="eastAsia"/>
                <w:szCs w:val="21"/>
                <w:lang w:val="en-US" w:eastAsia="zh-CN"/>
              </w:rPr>
              <w:t>表1标准（以NMHC表征）</w:t>
            </w:r>
          </w:p>
        </w:tc>
      </w:tr>
      <w:tr w14:paraId="785F8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continue"/>
            <w:tcBorders>
              <w:tl2br w:val="nil"/>
              <w:tr2bl w:val="nil"/>
            </w:tcBorders>
            <w:tcMar>
              <w:left w:w="0" w:type="dxa"/>
              <w:right w:w="0" w:type="dxa"/>
            </w:tcMar>
            <w:vAlign w:val="center"/>
          </w:tcPr>
          <w:p w14:paraId="2E5C0A20">
            <w:pPr>
              <w:pStyle w:val="72"/>
              <w:rPr>
                <w:color w:val="FF0000"/>
                <w:szCs w:val="21"/>
              </w:rPr>
            </w:pPr>
          </w:p>
        </w:tc>
        <w:tc>
          <w:tcPr>
            <w:tcW w:w="1297" w:type="dxa"/>
            <w:tcBorders>
              <w:tl2br w:val="nil"/>
              <w:tr2bl w:val="nil"/>
            </w:tcBorders>
            <w:tcMar>
              <w:left w:w="0" w:type="dxa"/>
              <w:right w:w="0" w:type="dxa"/>
            </w:tcMar>
            <w:vAlign w:val="center"/>
          </w:tcPr>
          <w:p w14:paraId="71B9FBF7">
            <w:pPr>
              <w:pStyle w:val="72"/>
              <w:rPr>
                <w:szCs w:val="21"/>
              </w:rPr>
            </w:pPr>
            <w:r>
              <w:rPr>
                <w:rFonts w:hint="eastAsia"/>
                <w:szCs w:val="21"/>
              </w:rPr>
              <w:t>臭气浓度</w:t>
            </w:r>
          </w:p>
        </w:tc>
        <w:tc>
          <w:tcPr>
            <w:tcW w:w="1077" w:type="dxa"/>
            <w:tcBorders>
              <w:tl2br w:val="nil"/>
              <w:tr2bl w:val="nil"/>
            </w:tcBorders>
            <w:tcMar>
              <w:left w:w="0" w:type="dxa"/>
              <w:right w:w="0" w:type="dxa"/>
            </w:tcMar>
            <w:vAlign w:val="center"/>
          </w:tcPr>
          <w:p w14:paraId="16526935">
            <w:pPr>
              <w:pStyle w:val="72"/>
              <w:rPr>
                <w:color w:val="FF0000"/>
                <w:szCs w:val="21"/>
              </w:rPr>
            </w:pPr>
            <w:r>
              <w:rPr>
                <w:rFonts w:hint="eastAsia"/>
                <w:szCs w:val="21"/>
              </w:rPr>
              <w:t>1次/半年</w:t>
            </w:r>
          </w:p>
        </w:tc>
        <w:tc>
          <w:tcPr>
            <w:tcW w:w="5252" w:type="dxa"/>
            <w:tcBorders>
              <w:tl2br w:val="nil"/>
              <w:tr2bl w:val="nil"/>
            </w:tcBorders>
            <w:tcMar>
              <w:left w:w="0" w:type="dxa"/>
              <w:right w:w="0" w:type="dxa"/>
            </w:tcMar>
            <w:vAlign w:val="center"/>
          </w:tcPr>
          <w:p w14:paraId="5B749459">
            <w:pPr>
              <w:pStyle w:val="72"/>
              <w:rPr>
                <w:color w:val="FF0000"/>
                <w:szCs w:val="21"/>
              </w:rPr>
            </w:pPr>
            <w:r>
              <w:rPr>
                <w:rFonts w:hint="eastAsia"/>
                <w:szCs w:val="21"/>
              </w:rPr>
              <w:t>《恶臭污染物排放标准》（GB14554—93）表2中标准</w:t>
            </w:r>
          </w:p>
        </w:tc>
      </w:tr>
      <w:tr w14:paraId="4686C7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restart"/>
            <w:tcBorders>
              <w:tl2br w:val="nil"/>
              <w:tr2bl w:val="nil"/>
            </w:tcBorders>
            <w:tcMar>
              <w:left w:w="0" w:type="dxa"/>
              <w:right w:w="0" w:type="dxa"/>
            </w:tcMar>
            <w:vAlign w:val="center"/>
          </w:tcPr>
          <w:p w14:paraId="364879CA">
            <w:pPr>
              <w:pStyle w:val="72"/>
              <w:rPr>
                <w:szCs w:val="21"/>
              </w:rPr>
            </w:pPr>
            <w:r>
              <w:rPr>
                <w:rFonts w:hint="eastAsia"/>
                <w:szCs w:val="21"/>
              </w:rPr>
              <w:t>DA002</w:t>
            </w:r>
          </w:p>
          <w:p w14:paraId="0E03A646">
            <w:pPr>
              <w:pStyle w:val="72"/>
              <w:rPr>
                <w:szCs w:val="21"/>
              </w:rPr>
            </w:pPr>
            <w:r>
              <w:rPr>
                <w:rFonts w:hint="eastAsia"/>
                <w:szCs w:val="21"/>
              </w:rPr>
              <w:t>排气筒</w:t>
            </w:r>
          </w:p>
        </w:tc>
        <w:tc>
          <w:tcPr>
            <w:tcW w:w="1297" w:type="dxa"/>
            <w:tcBorders>
              <w:tl2br w:val="nil"/>
              <w:tr2bl w:val="nil"/>
            </w:tcBorders>
            <w:tcMar>
              <w:left w:w="0" w:type="dxa"/>
              <w:right w:w="0" w:type="dxa"/>
            </w:tcMar>
            <w:vAlign w:val="center"/>
          </w:tcPr>
          <w:p w14:paraId="0E82CE9C">
            <w:pPr>
              <w:pStyle w:val="72"/>
              <w:rPr>
                <w:szCs w:val="21"/>
              </w:rPr>
            </w:pPr>
            <w:r>
              <w:rPr>
                <w:rFonts w:hint="eastAsia"/>
                <w:szCs w:val="21"/>
              </w:rPr>
              <w:t>颗粒物</w:t>
            </w:r>
          </w:p>
        </w:tc>
        <w:tc>
          <w:tcPr>
            <w:tcW w:w="1077" w:type="dxa"/>
            <w:vMerge w:val="restart"/>
            <w:tcBorders>
              <w:tl2br w:val="nil"/>
              <w:tr2bl w:val="nil"/>
            </w:tcBorders>
            <w:tcMar>
              <w:left w:w="0" w:type="dxa"/>
              <w:right w:w="0" w:type="dxa"/>
            </w:tcMar>
            <w:vAlign w:val="center"/>
          </w:tcPr>
          <w:p w14:paraId="49AA8486">
            <w:pPr>
              <w:pStyle w:val="72"/>
              <w:rPr>
                <w:szCs w:val="21"/>
              </w:rPr>
            </w:pPr>
            <w:r>
              <w:rPr>
                <w:rFonts w:hint="eastAsia"/>
                <w:szCs w:val="21"/>
              </w:rPr>
              <w:t>1次/年</w:t>
            </w:r>
          </w:p>
        </w:tc>
        <w:tc>
          <w:tcPr>
            <w:tcW w:w="5252" w:type="dxa"/>
            <w:vMerge w:val="restart"/>
            <w:tcBorders>
              <w:tl2br w:val="nil"/>
              <w:tr2bl w:val="nil"/>
            </w:tcBorders>
            <w:tcMar>
              <w:left w:w="0" w:type="dxa"/>
              <w:right w:w="0" w:type="dxa"/>
            </w:tcMar>
            <w:vAlign w:val="center"/>
          </w:tcPr>
          <w:p w14:paraId="1AF0C734">
            <w:pPr>
              <w:pStyle w:val="72"/>
              <w:rPr>
                <w:color w:val="FF0000"/>
                <w:szCs w:val="21"/>
              </w:rPr>
            </w:pPr>
            <w:r>
              <w:rPr>
                <w:rFonts w:hint="eastAsia"/>
                <w:szCs w:val="21"/>
              </w:rPr>
              <w:t>《锅炉大气污染物排放标准》（GB13271-2014）表3中特别排放限值燃气锅炉标准</w:t>
            </w:r>
          </w:p>
        </w:tc>
      </w:tr>
      <w:tr w14:paraId="0CEFB3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continue"/>
            <w:tcBorders>
              <w:tl2br w:val="nil"/>
              <w:tr2bl w:val="nil"/>
            </w:tcBorders>
            <w:tcMar>
              <w:left w:w="0" w:type="dxa"/>
              <w:right w:w="0" w:type="dxa"/>
            </w:tcMar>
            <w:vAlign w:val="center"/>
          </w:tcPr>
          <w:p w14:paraId="02A52497">
            <w:pPr>
              <w:pStyle w:val="72"/>
              <w:rPr>
                <w:szCs w:val="21"/>
              </w:rPr>
            </w:pPr>
          </w:p>
        </w:tc>
        <w:tc>
          <w:tcPr>
            <w:tcW w:w="1297" w:type="dxa"/>
            <w:tcBorders>
              <w:tl2br w:val="nil"/>
              <w:tr2bl w:val="nil"/>
            </w:tcBorders>
            <w:tcMar>
              <w:left w:w="0" w:type="dxa"/>
              <w:right w:w="0" w:type="dxa"/>
            </w:tcMar>
            <w:vAlign w:val="center"/>
          </w:tcPr>
          <w:p w14:paraId="1D39001C">
            <w:pPr>
              <w:pStyle w:val="72"/>
              <w:rPr>
                <w:szCs w:val="21"/>
              </w:rPr>
            </w:pPr>
            <w:r>
              <w:rPr>
                <w:rFonts w:hint="eastAsia"/>
                <w:szCs w:val="21"/>
              </w:rPr>
              <w:t>SO</w:t>
            </w:r>
            <w:r>
              <w:rPr>
                <w:rFonts w:hint="eastAsia"/>
                <w:szCs w:val="21"/>
                <w:vertAlign w:val="subscript"/>
              </w:rPr>
              <w:t>2</w:t>
            </w:r>
          </w:p>
        </w:tc>
        <w:tc>
          <w:tcPr>
            <w:tcW w:w="1077" w:type="dxa"/>
            <w:vMerge w:val="continue"/>
            <w:tcBorders>
              <w:tl2br w:val="nil"/>
              <w:tr2bl w:val="nil"/>
            </w:tcBorders>
            <w:tcMar>
              <w:left w:w="0" w:type="dxa"/>
              <w:right w:w="0" w:type="dxa"/>
            </w:tcMar>
            <w:vAlign w:val="center"/>
          </w:tcPr>
          <w:p w14:paraId="605B426C">
            <w:pPr>
              <w:pStyle w:val="72"/>
              <w:rPr>
                <w:szCs w:val="21"/>
              </w:rPr>
            </w:pPr>
          </w:p>
        </w:tc>
        <w:tc>
          <w:tcPr>
            <w:tcW w:w="5252" w:type="dxa"/>
            <w:vMerge w:val="continue"/>
            <w:tcBorders>
              <w:tl2br w:val="nil"/>
              <w:tr2bl w:val="nil"/>
            </w:tcBorders>
            <w:tcMar>
              <w:left w:w="0" w:type="dxa"/>
              <w:right w:w="0" w:type="dxa"/>
            </w:tcMar>
            <w:vAlign w:val="center"/>
          </w:tcPr>
          <w:p w14:paraId="7E9847D1">
            <w:pPr>
              <w:pStyle w:val="72"/>
              <w:rPr>
                <w:color w:val="FF0000"/>
                <w:szCs w:val="21"/>
              </w:rPr>
            </w:pPr>
          </w:p>
        </w:tc>
      </w:tr>
      <w:tr w14:paraId="4A23A9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continue"/>
            <w:tcBorders>
              <w:tl2br w:val="nil"/>
              <w:tr2bl w:val="nil"/>
            </w:tcBorders>
            <w:tcMar>
              <w:left w:w="0" w:type="dxa"/>
              <w:right w:w="0" w:type="dxa"/>
            </w:tcMar>
            <w:vAlign w:val="center"/>
          </w:tcPr>
          <w:p w14:paraId="623E97EE">
            <w:pPr>
              <w:pStyle w:val="72"/>
              <w:rPr>
                <w:szCs w:val="21"/>
              </w:rPr>
            </w:pPr>
          </w:p>
        </w:tc>
        <w:tc>
          <w:tcPr>
            <w:tcW w:w="1297" w:type="dxa"/>
            <w:tcBorders>
              <w:tl2br w:val="nil"/>
              <w:tr2bl w:val="nil"/>
            </w:tcBorders>
            <w:tcMar>
              <w:left w:w="0" w:type="dxa"/>
              <w:right w:w="0" w:type="dxa"/>
            </w:tcMar>
            <w:vAlign w:val="center"/>
          </w:tcPr>
          <w:p w14:paraId="26E11F3F">
            <w:pPr>
              <w:pStyle w:val="72"/>
              <w:rPr>
                <w:szCs w:val="21"/>
              </w:rPr>
            </w:pPr>
            <w:r>
              <w:rPr>
                <w:rFonts w:hint="eastAsia"/>
                <w:szCs w:val="21"/>
              </w:rPr>
              <w:t>NO</w:t>
            </w:r>
            <w:r>
              <w:rPr>
                <w:rFonts w:hint="eastAsia"/>
                <w:szCs w:val="21"/>
                <w:vertAlign w:val="subscript"/>
              </w:rPr>
              <w:t>X</w:t>
            </w:r>
          </w:p>
        </w:tc>
        <w:tc>
          <w:tcPr>
            <w:tcW w:w="1077" w:type="dxa"/>
            <w:tcBorders>
              <w:tl2br w:val="nil"/>
              <w:tr2bl w:val="nil"/>
            </w:tcBorders>
            <w:tcMar>
              <w:left w:w="0" w:type="dxa"/>
              <w:right w:w="0" w:type="dxa"/>
            </w:tcMar>
            <w:vAlign w:val="center"/>
          </w:tcPr>
          <w:p w14:paraId="3E9F8CA1">
            <w:pPr>
              <w:pStyle w:val="72"/>
              <w:rPr>
                <w:szCs w:val="21"/>
              </w:rPr>
            </w:pPr>
            <w:r>
              <w:rPr>
                <w:rFonts w:hint="eastAsia"/>
                <w:szCs w:val="21"/>
              </w:rPr>
              <w:t>1次/月</w:t>
            </w:r>
          </w:p>
        </w:tc>
        <w:tc>
          <w:tcPr>
            <w:tcW w:w="5252" w:type="dxa"/>
            <w:vMerge w:val="continue"/>
            <w:tcBorders>
              <w:tl2br w:val="nil"/>
              <w:tr2bl w:val="nil"/>
            </w:tcBorders>
            <w:tcMar>
              <w:left w:w="0" w:type="dxa"/>
              <w:right w:w="0" w:type="dxa"/>
            </w:tcMar>
            <w:vAlign w:val="center"/>
          </w:tcPr>
          <w:p w14:paraId="54DA948C">
            <w:pPr>
              <w:pStyle w:val="72"/>
              <w:rPr>
                <w:color w:val="FF0000"/>
                <w:szCs w:val="21"/>
              </w:rPr>
            </w:pPr>
          </w:p>
        </w:tc>
      </w:tr>
    </w:tbl>
    <w:p w14:paraId="346EF649">
      <w:pPr>
        <w:pStyle w:val="51"/>
        <w:numPr>
          <w:ilvl w:val="5"/>
          <w:numId w:val="0"/>
        </w:numPr>
        <w:tabs>
          <w:tab w:val="left" w:pos="4395"/>
        </w:tabs>
        <w:spacing w:before="156"/>
        <w:ind w:left="4969" w:leftChars="1054" w:hanging="2439" w:hangingChars="1157"/>
        <w:jc w:val="both"/>
        <w:rPr>
          <w:sz w:val="18"/>
          <w:szCs w:val="18"/>
        </w:rPr>
      </w:pPr>
      <w:r>
        <w:rPr>
          <w:rFonts w:hint="default" w:ascii="宋体" w:hAnsi="宋体" w:eastAsia="宋体" w:cs="宋体"/>
          <w:b/>
          <w:bCs/>
          <w:color w:val="auto"/>
          <w:kern w:val="2"/>
          <w:sz w:val="21"/>
          <w:szCs w:val="21"/>
          <w:lang w:val="en-US" w:eastAsia="zh-CN" w:bidi="ar-SA"/>
        </w:rPr>
        <w:t xml:space="preserve">表6.2-30 </w:t>
      </w:r>
      <w:r>
        <w:rPr>
          <w:rFonts w:hint="eastAsia"/>
        </w:rPr>
        <w:t xml:space="preserve">无组织废气监测方案    </w:t>
      </w:r>
    </w:p>
    <w:tbl>
      <w:tblPr>
        <w:tblStyle w:val="31"/>
        <w:tblW w:w="510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944"/>
        <w:gridCol w:w="1287"/>
        <w:gridCol w:w="1069"/>
        <w:gridCol w:w="5216"/>
      </w:tblGrid>
      <w:tr w14:paraId="1B35753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41" w:type="dxa"/>
            <w:tcBorders>
              <w:tl2br w:val="nil"/>
              <w:tr2bl w:val="nil"/>
            </w:tcBorders>
            <w:tcMar>
              <w:left w:w="0" w:type="dxa"/>
              <w:right w:w="0" w:type="dxa"/>
            </w:tcMar>
            <w:vAlign w:val="center"/>
          </w:tcPr>
          <w:p w14:paraId="082FD397">
            <w:pPr>
              <w:pStyle w:val="72"/>
              <w:rPr>
                <w:szCs w:val="21"/>
              </w:rPr>
            </w:pPr>
            <w:r>
              <w:rPr>
                <w:szCs w:val="21"/>
              </w:rPr>
              <w:t>监测点位</w:t>
            </w:r>
          </w:p>
        </w:tc>
        <w:tc>
          <w:tcPr>
            <w:tcW w:w="1282" w:type="dxa"/>
            <w:tcBorders>
              <w:tl2br w:val="nil"/>
              <w:tr2bl w:val="nil"/>
            </w:tcBorders>
            <w:tcMar>
              <w:left w:w="0" w:type="dxa"/>
              <w:right w:w="0" w:type="dxa"/>
            </w:tcMar>
            <w:vAlign w:val="center"/>
          </w:tcPr>
          <w:p w14:paraId="057D5333">
            <w:pPr>
              <w:pStyle w:val="72"/>
              <w:rPr>
                <w:szCs w:val="21"/>
              </w:rPr>
            </w:pPr>
            <w:r>
              <w:rPr>
                <w:szCs w:val="21"/>
              </w:rPr>
              <w:t>监测指标</w:t>
            </w:r>
          </w:p>
        </w:tc>
        <w:tc>
          <w:tcPr>
            <w:tcW w:w="1065" w:type="dxa"/>
            <w:tcBorders>
              <w:tl2br w:val="nil"/>
              <w:tr2bl w:val="nil"/>
            </w:tcBorders>
            <w:tcMar>
              <w:left w:w="0" w:type="dxa"/>
              <w:right w:w="0" w:type="dxa"/>
            </w:tcMar>
            <w:vAlign w:val="center"/>
          </w:tcPr>
          <w:p w14:paraId="31C41181">
            <w:pPr>
              <w:pStyle w:val="72"/>
              <w:rPr>
                <w:szCs w:val="21"/>
              </w:rPr>
            </w:pPr>
            <w:r>
              <w:rPr>
                <w:szCs w:val="21"/>
              </w:rPr>
              <w:t>监测频次</w:t>
            </w:r>
          </w:p>
        </w:tc>
        <w:tc>
          <w:tcPr>
            <w:tcW w:w="5198" w:type="dxa"/>
            <w:tcBorders>
              <w:tl2br w:val="nil"/>
              <w:tr2bl w:val="nil"/>
            </w:tcBorders>
            <w:tcMar>
              <w:left w:w="0" w:type="dxa"/>
              <w:right w:w="0" w:type="dxa"/>
            </w:tcMar>
            <w:vAlign w:val="center"/>
          </w:tcPr>
          <w:p w14:paraId="42F08DA1">
            <w:pPr>
              <w:pStyle w:val="72"/>
              <w:rPr>
                <w:szCs w:val="21"/>
              </w:rPr>
            </w:pPr>
            <w:r>
              <w:rPr>
                <w:szCs w:val="21"/>
              </w:rPr>
              <w:t>执行排放标准</w:t>
            </w:r>
          </w:p>
        </w:tc>
      </w:tr>
      <w:tr w14:paraId="28C9F70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41" w:type="dxa"/>
            <w:tcBorders>
              <w:tl2br w:val="nil"/>
              <w:tr2bl w:val="nil"/>
            </w:tcBorders>
            <w:tcMar>
              <w:left w:w="0" w:type="dxa"/>
              <w:right w:w="0" w:type="dxa"/>
            </w:tcMar>
            <w:vAlign w:val="center"/>
          </w:tcPr>
          <w:p w14:paraId="59B23218">
            <w:pPr>
              <w:pStyle w:val="72"/>
              <w:rPr>
                <w:szCs w:val="21"/>
              </w:rPr>
            </w:pPr>
            <w:r>
              <w:rPr>
                <w:szCs w:val="21"/>
              </w:rPr>
              <w:t>厂内</w:t>
            </w:r>
          </w:p>
        </w:tc>
        <w:tc>
          <w:tcPr>
            <w:tcW w:w="1282" w:type="dxa"/>
            <w:tcBorders>
              <w:tl2br w:val="nil"/>
              <w:tr2bl w:val="nil"/>
            </w:tcBorders>
            <w:tcMar>
              <w:left w:w="0" w:type="dxa"/>
              <w:right w:w="0" w:type="dxa"/>
            </w:tcMar>
            <w:vAlign w:val="center"/>
          </w:tcPr>
          <w:p w14:paraId="48F2E633">
            <w:pPr>
              <w:pStyle w:val="72"/>
              <w:rPr>
                <w:szCs w:val="21"/>
              </w:rPr>
            </w:pPr>
            <w:r>
              <w:rPr>
                <w:rFonts w:hint="eastAsia"/>
                <w:szCs w:val="21"/>
              </w:rPr>
              <w:t>NMHC</w:t>
            </w:r>
          </w:p>
        </w:tc>
        <w:tc>
          <w:tcPr>
            <w:tcW w:w="1065" w:type="dxa"/>
            <w:tcBorders>
              <w:tl2br w:val="nil"/>
              <w:tr2bl w:val="nil"/>
            </w:tcBorders>
            <w:tcMar>
              <w:left w:w="0" w:type="dxa"/>
              <w:right w:w="0" w:type="dxa"/>
            </w:tcMar>
            <w:vAlign w:val="center"/>
          </w:tcPr>
          <w:p w14:paraId="3255A61D">
            <w:pPr>
              <w:pStyle w:val="72"/>
              <w:rPr>
                <w:szCs w:val="21"/>
              </w:rPr>
            </w:pPr>
            <w:r>
              <w:rPr>
                <w:rFonts w:hint="eastAsia"/>
                <w:szCs w:val="21"/>
              </w:rPr>
              <w:t>1次/年</w:t>
            </w:r>
          </w:p>
        </w:tc>
        <w:tc>
          <w:tcPr>
            <w:tcW w:w="5198" w:type="dxa"/>
            <w:tcBorders>
              <w:tl2br w:val="nil"/>
              <w:tr2bl w:val="nil"/>
            </w:tcBorders>
            <w:tcMar>
              <w:left w:w="0" w:type="dxa"/>
              <w:right w:w="0" w:type="dxa"/>
            </w:tcMar>
            <w:vAlign w:val="center"/>
          </w:tcPr>
          <w:p w14:paraId="57513D1B">
            <w:pPr>
              <w:pStyle w:val="72"/>
              <w:rPr>
                <w:rFonts w:hint="default" w:eastAsia="宋体"/>
                <w:szCs w:val="21"/>
                <w:lang w:val="en-US" w:eastAsia="zh-CN"/>
              </w:rPr>
            </w:pPr>
            <w:r>
              <w:rPr>
                <w:rFonts w:hint="eastAsia"/>
                <w:szCs w:val="21"/>
              </w:rPr>
              <w:t>《工业企业挥发性有机物排放标准》（</w:t>
            </w:r>
            <w:r>
              <w:rPr>
                <w:rFonts w:hint="eastAsia"/>
                <w:szCs w:val="21"/>
                <w:lang w:val="en-US" w:eastAsia="zh-CN"/>
              </w:rPr>
              <w:t>DB43/3550-2026</w:t>
            </w:r>
            <w:r>
              <w:rPr>
                <w:rFonts w:hint="eastAsia"/>
                <w:szCs w:val="21"/>
              </w:rPr>
              <w:t>）</w:t>
            </w:r>
            <w:r>
              <w:rPr>
                <w:rFonts w:hint="eastAsia"/>
                <w:szCs w:val="21"/>
                <w:lang w:val="en-US" w:eastAsia="zh-CN"/>
              </w:rPr>
              <w:t>表2</w:t>
            </w:r>
          </w:p>
        </w:tc>
      </w:tr>
      <w:tr w14:paraId="783F14D0">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41" w:type="dxa"/>
            <w:vMerge w:val="restart"/>
            <w:tcBorders>
              <w:tl2br w:val="nil"/>
              <w:tr2bl w:val="nil"/>
            </w:tcBorders>
            <w:tcMar>
              <w:left w:w="0" w:type="dxa"/>
              <w:right w:w="0" w:type="dxa"/>
            </w:tcMar>
            <w:vAlign w:val="center"/>
          </w:tcPr>
          <w:p w14:paraId="4B2EB1A1">
            <w:pPr>
              <w:pStyle w:val="72"/>
              <w:rPr>
                <w:szCs w:val="21"/>
              </w:rPr>
            </w:pPr>
            <w:r>
              <w:rPr>
                <w:rFonts w:hint="eastAsia"/>
                <w:szCs w:val="21"/>
              </w:rPr>
              <w:t>厂界</w:t>
            </w:r>
          </w:p>
        </w:tc>
        <w:tc>
          <w:tcPr>
            <w:tcW w:w="1282" w:type="dxa"/>
            <w:tcBorders>
              <w:tl2br w:val="nil"/>
              <w:tr2bl w:val="nil"/>
            </w:tcBorders>
            <w:tcMar>
              <w:left w:w="0" w:type="dxa"/>
              <w:right w:w="0" w:type="dxa"/>
            </w:tcMar>
            <w:vAlign w:val="center"/>
          </w:tcPr>
          <w:p w14:paraId="11FB2D99">
            <w:pPr>
              <w:jc w:val="center"/>
            </w:pPr>
            <w:r>
              <w:rPr>
                <w:rFonts w:hint="eastAsia"/>
                <w:sz w:val="21"/>
                <w:szCs w:val="21"/>
              </w:rPr>
              <w:t>NMHC</w:t>
            </w:r>
          </w:p>
        </w:tc>
        <w:tc>
          <w:tcPr>
            <w:tcW w:w="1065" w:type="dxa"/>
            <w:tcBorders>
              <w:tl2br w:val="nil"/>
              <w:tr2bl w:val="nil"/>
            </w:tcBorders>
            <w:tcMar>
              <w:left w:w="0" w:type="dxa"/>
              <w:right w:w="0" w:type="dxa"/>
            </w:tcMar>
            <w:vAlign w:val="center"/>
          </w:tcPr>
          <w:p w14:paraId="1FE6D133">
            <w:pPr>
              <w:pStyle w:val="72"/>
              <w:rPr>
                <w:szCs w:val="21"/>
              </w:rPr>
            </w:pPr>
            <w:r>
              <w:rPr>
                <w:rFonts w:hint="eastAsia"/>
                <w:szCs w:val="21"/>
              </w:rPr>
              <w:t>1次/年</w:t>
            </w:r>
          </w:p>
        </w:tc>
        <w:tc>
          <w:tcPr>
            <w:tcW w:w="5198" w:type="dxa"/>
            <w:tcBorders>
              <w:tl2br w:val="nil"/>
              <w:tr2bl w:val="nil"/>
            </w:tcBorders>
            <w:tcMar>
              <w:left w:w="0" w:type="dxa"/>
              <w:right w:w="0" w:type="dxa"/>
            </w:tcMar>
            <w:vAlign w:val="center"/>
          </w:tcPr>
          <w:p w14:paraId="5B30753A">
            <w:pPr>
              <w:pStyle w:val="72"/>
              <w:rPr>
                <w:szCs w:val="21"/>
              </w:rPr>
            </w:pPr>
            <w:r>
              <w:rPr>
                <w:rFonts w:hint="eastAsia"/>
                <w:szCs w:val="21"/>
              </w:rPr>
              <w:t>《大气污染物综合排放标准》（GB16297-1996）表2</w:t>
            </w:r>
          </w:p>
        </w:tc>
      </w:tr>
      <w:tr w14:paraId="5FCA30C2">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41" w:type="dxa"/>
            <w:vMerge w:val="continue"/>
            <w:tcBorders>
              <w:tl2br w:val="nil"/>
              <w:tr2bl w:val="nil"/>
            </w:tcBorders>
            <w:tcMar>
              <w:left w:w="0" w:type="dxa"/>
              <w:right w:w="0" w:type="dxa"/>
            </w:tcMar>
            <w:vAlign w:val="center"/>
          </w:tcPr>
          <w:p w14:paraId="4FAC0434">
            <w:pPr>
              <w:pStyle w:val="72"/>
              <w:rPr>
                <w:szCs w:val="21"/>
              </w:rPr>
            </w:pPr>
          </w:p>
        </w:tc>
        <w:tc>
          <w:tcPr>
            <w:tcW w:w="1282" w:type="dxa"/>
            <w:tcBorders>
              <w:tl2br w:val="nil"/>
              <w:tr2bl w:val="nil"/>
            </w:tcBorders>
            <w:tcMar>
              <w:left w:w="0" w:type="dxa"/>
              <w:right w:w="0" w:type="dxa"/>
            </w:tcMar>
            <w:vAlign w:val="center"/>
          </w:tcPr>
          <w:p w14:paraId="64063384">
            <w:pPr>
              <w:jc w:val="center"/>
            </w:pPr>
            <w:r>
              <w:rPr>
                <w:rFonts w:hint="eastAsia"/>
                <w:sz w:val="21"/>
                <w:szCs w:val="21"/>
              </w:rPr>
              <w:t>臭气浓度</w:t>
            </w:r>
          </w:p>
        </w:tc>
        <w:tc>
          <w:tcPr>
            <w:tcW w:w="1065" w:type="dxa"/>
            <w:tcBorders>
              <w:tl2br w:val="nil"/>
              <w:tr2bl w:val="nil"/>
            </w:tcBorders>
            <w:tcMar>
              <w:left w:w="0" w:type="dxa"/>
              <w:right w:w="0" w:type="dxa"/>
            </w:tcMar>
            <w:vAlign w:val="center"/>
          </w:tcPr>
          <w:p w14:paraId="13CB14FB">
            <w:pPr>
              <w:pStyle w:val="72"/>
              <w:rPr>
                <w:szCs w:val="21"/>
              </w:rPr>
            </w:pPr>
            <w:r>
              <w:rPr>
                <w:rFonts w:hint="eastAsia"/>
                <w:szCs w:val="21"/>
              </w:rPr>
              <w:t>1次/年</w:t>
            </w:r>
          </w:p>
        </w:tc>
        <w:tc>
          <w:tcPr>
            <w:tcW w:w="5198" w:type="dxa"/>
            <w:tcBorders>
              <w:tl2br w:val="nil"/>
              <w:tr2bl w:val="nil"/>
            </w:tcBorders>
            <w:tcMar>
              <w:left w:w="0" w:type="dxa"/>
              <w:right w:w="0" w:type="dxa"/>
            </w:tcMar>
            <w:vAlign w:val="center"/>
          </w:tcPr>
          <w:p w14:paraId="19AA9DF7">
            <w:pPr>
              <w:pStyle w:val="72"/>
              <w:rPr>
                <w:szCs w:val="21"/>
              </w:rPr>
            </w:pPr>
            <w:r>
              <w:rPr>
                <w:rFonts w:hint="eastAsia"/>
                <w:szCs w:val="21"/>
              </w:rPr>
              <w:t>《恶臭污染物排放标准》（GB14554—93）表1中二级标准</w:t>
            </w:r>
          </w:p>
        </w:tc>
      </w:tr>
    </w:tbl>
    <w:p w14:paraId="3DDF09A2">
      <w:pPr>
        <w:ind w:firstLine="480"/>
      </w:pPr>
      <w:r>
        <w:rPr>
          <w:rFonts w:hint="eastAsia"/>
        </w:rPr>
        <w:t>建设项目大气环境影响评价自查表见附表。</w:t>
      </w:r>
    </w:p>
    <w:p w14:paraId="308278F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6.2.5.5</w:t>
      </w:r>
      <w:r>
        <w:rPr>
          <w:rFonts w:hint="eastAsia"/>
        </w:rPr>
        <w:t>大气环境影响结论和建议</w:t>
      </w:r>
    </w:p>
    <w:p w14:paraId="5591AC21">
      <w:pPr>
        <w:ind w:firstLine="480"/>
      </w:pPr>
      <w:r>
        <w:t>根据AERMOD预测模式结果，项目新增污染源短期浓度贡献值的最大浓度占标率≤100%，新增污染源年平均浓度贡献值≤30%，项目新增污染源不涉及超标因子，符合功能区划要求，总体而言，项目大气环境影响是可以接受的。</w:t>
      </w:r>
    </w:p>
    <w:p w14:paraId="7D1E7D02">
      <w:pPr>
        <w:ind w:firstLine="480"/>
      </w:pPr>
      <w:r>
        <w:t>但是建设单位仍需重视环保设施的养护和维修，确保其处于正常稳定的状态。一旦发生非正常排放或者出现在线监控浓度异常报警，企业须第一时间停产检修，以避免废气非正常排放对周边环境造成的不利影响。</w:t>
      </w:r>
    </w:p>
    <w:p w14:paraId="6647D2B5">
      <w:pPr>
        <w:pStyle w:val="4"/>
        <w:numPr>
          <w:ilvl w:val="2"/>
          <w:numId w:val="0"/>
        </w:numPr>
        <w:ind w:left="992" w:leftChars="0" w:hanging="992" w:firstLineChars="0"/>
        <w:rPr>
          <w:sz w:val="28"/>
          <w:szCs w:val="28"/>
        </w:rPr>
      </w:pPr>
      <w:r>
        <w:rPr>
          <w:rFonts w:hint="default" w:ascii="宋体" w:hAnsi="宋体" w:eastAsia="宋体" w:cs="宋体"/>
          <w:b/>
          <w:bCs/>
          <w:kern w:val="2"/>
          <w:sz w:val="24"/>
          <w:szCs w:val="24"/>
          <w:lang w:val="en-US" w:eastAsia="zh-CN" w:bidi="ar-SA"/>
        </w:rPr>
        <w:t>6.2.6</w:t>
      </w:r>
      <w:r>
        <w:rPr>
          <w:rFonts w:hint="eastAsia"/>
          <w:sz w:val="28"/>
          <w:szCs w:val="28"/>
        </w:rPr>
        <w:t>地表水环境</w:t>
      </w:r>
    </w:p>
    <w:p w14:paraId="26016288">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6.2.6.1</w:t>
      </w:r>
      <w:r>
        <w:rPr>
          <w:rFonts w:hint="eastAsia"/>
        </w:rPr>
        <w:t>地表水环境影响评价等级</w:t>
      </w:r>
    </w:p>
    <w:p w14:paraId="71113164">
      <w:pPr>
        <w:ind w:firstLine="480"/>
      </w:pPr>
      <w:r>
        <w:t>根据工程分析可知，本次变更未改变现有废水产排放情况。运营期外排水主要为员工生活污水</w:t>
      </w:r>
      <w:r>
        <w:rPr>
          <w:rFonts w:hint="eastAsia"/>
        </w:rPr>
        <w:t>，无生产废水外排，生产用水主要为生产设备和环保措施冷却循环用水</w:t>
      </w:r>
      <w:r>
        <w:t>。</w:t>
      </w:r>
    </w:p>
    <w:p w14:paraId="02424FDF">
      <w:pPr>
        <w:ind w:firstLine="480"/>
      </w:pPr>
      <w:r>
        <w:rPr>
          <w:rFonts w:hint="eastAsia" w:ascii="宋体" w:hAnsi="宋体" w:cs="宋体"/>
        </w:rPr>
        <w:t>⑴</w:t>
      </w:r>
      <w:r>
        <w:rPr>
          <w:rFonts w:hint="eastAsia"/>
        </w:rPr>
        <w:t>生产设备和环保措施冷却循环用水：</w:t>
      </w:r>
      <w:r>
        <w:t>生产设备和环保措施冷却循环用水</w:t>
      </w:r>
      <w:r>
        <w:rPr>
          <w:rFonts w:hint="eastAsia"/>
        </w:rPr>
        <w:t>需定期补充新鲜用水</w:t>
      </w:r>
      <w:r>
        <w:t>，</w:t>
      </w:r>
      <w:r>
        <w:rPr>
          <w:rFonts w:hint="eastAsia"/>
        </w:rPr>
        <w:t>污废水</w:t>
      </w:r>
      <w:r>
        <w:t>外排。</w:t>
      </w:r>
    </w:p>
    <w:p w14:paraId="397010CC">
      <w:pPr>
        <w:ind w:firstLine="480"/>
      </w:pPr>
      <w:r>
        <w:rPr>
          <w:rFonts w:hint="eastAsia" w:ascii="宋体" w:hAnsi="宋体" w:cs="宋体"/>
        </w:rPr>
        <w:t>⑵</w:t>
      </w:r>
      <w:r>
        <w:rPr>
          <w:rFonts w:hint="eastAsia"/>
        </w:rPr>
        <w:t>生活污水：</w:t>
      </w:r>
      <w:r>
        <w:t>生活污水（食堂含油废水经隔油池处理后）经化粪池处理达到《污水综合排放标准》（GB8978-1996）表4中的三级标准后，经市政污水管网排入</w:t>
      </w:r>
      <w:r>
        <w:rPr>
          <w:rFonts w:hint="eastAsia"/>
        </w:rPr>
        <w:t>湘潭县顺业污水处理有限公司污水处理厂</w:t>
      </w:r>
      <w:r>
        <w:t>处理，处理达《城镇污水处理厂污染物排放标准》（GB18918-2002）及修改单要求的一级A标准后排入湘江。</w:t>
      </w:r>
    </w:p>
    <w:p w14:paraId="4EF77581">
      <w:pPr>
        <w:ind w:firstLine="480"/>
      </w:pPr>
      <w:r>
        <w:t>根据《环境影响评价技术导则地表水环境》（HJ2.3-2018）中5.2节中</w:t>
      </w:r>
      <w:r>
        <w:rPr>
          <w:rFonts w:asciiTheme="minorEastAsia" w:hAnsiTheme="minorEastAsia" w:eastAsiaTheme="minorEastAsia"/>
        </w:rPr>
        <w:t>“</w:t>
      </w:r>
      <w:r>
        <w:t>5.2.2.2间接排放建设项目评价等级为三级B。</w:t>
      </w:r>
      <w:r>
        <w:rPr>
          <w:rFonts w:asciiTheme="minorEastAsia" w:hAnsiTheme="minorEastAsia" w:eastAsiaTheme="minorEastAsia"/>
        </w:rPr>
        <w:t>”</w:t>
      </w:r>
      <w:r>
        <w:t>根据项目排水情况分析，本次变更后，评价等级仍然为</w:t>
      </w:r>
      <w:r>
        <w:rPr>
          <w:rFonts w:asciiTheme="minorEastAsia" w:hAnsiTheme="minorEastAsia" w:eastAsiaTheme="minorEastAsia"/>
        </w:rPr>
        <w:t>“</w:t>
      </w:r>
      <w:r>
        <w:t>三级B</w:t>
      </w:r>
      <w:r>
        <w:rPr>
          <w:rFonts w:asciiTheme="minorEastAsia" w:hAnsiTheme="minorEastAsia" w:eastAsiaTheme="minorEastAsia"/>
        </w:rPr>
        <w:t>”</w:t>
      </w:r>
      <w:r>
        <w:t>。</w:t>
      </w:r>
    </w:p>
    <w:p w14:paraId="384B03A8">
      <w:pPr>
        <w:ind w:firstLine="480"/>
      </w:pPr>
      <w:r>
        <w:t>根据6.6.2.1中d）水污染影响型三级B评价，可不开展区域污染源调查，主要调查依托污水处理设施的日处理能力、处理工艺、设计进水水质、处理后的废水稳定达标排放情况，同时应调查依托污水处理设施执行的排放标准是否涵盖建设项目排放的有毒有害的特征水污染物。根据7.1.2水污染影响型三级B评价可不进行水环境影响预测。</w:t>
      </w:r>
    </w:p>
    <w:p w14:paraId="0E48C73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6.2.6.2</w:t>
      </w:r>
      <w:r>
        <w:rPr>
          <w:rFonts w:hint="eastAsia"/>
        </w:rPr>
        <w:t>依托污水处理设施的环境可行性评价</w:t>
      </w:r>
    </w:p>
    <w:p w14:paraId="76A5F674">
      <w:pPr>
        <w:ind w:firstLine="480"/>
      </w:pPr>
      <w:r>
        <w:rPr>
          <w:bCs/>
          <w:lang w:val="zh-CN"/>
        </w:rPr>
        <w:t>经现场勘察，项目所在地区域已建成完善的雨、污水管网，管网已接通污水处理厂，项目污水均经化粪池处理后，排入城市污水管网（项目</w:t>
      </w:r>
      <w:r>
        <w:rPr>
          <w:rFonts w:hint="eastAsia"/>
          <w:bCs/>
          <w:lang w:val="zh-CN"/>
        </w:rPr>
        <w:t>南</w:t>
      </w:r>
      <w:r>
        <w:rPr>
          <w:bCs/>
          <w:lang w:val="zh-CN"/>
        </w:rPr>
        <w:t>侧</w:t>
      </w:r>
      <w:r>
        <w:rPr>
          <w:rFonts w:hint="eastAsia"/>
        </w:rPr>
        <w:t>海鸥路</w:t>
      </w:r>
      <w:r>
        <w:rPr>
          <w:bCs/>
          <w:lang w:val="zh-CN"/>
        </w:rPr>
        <w:t>市政管网），随后进入</w:t>
      </w:r>
      <w:r>
        <w:rPr>
          <w:rFonts w:hint="eastAsia"/>
        </w:rPr>
        <w:t>湘潭县顺业污水处理有限公司污水处理厂</w:t>
      </w:r>
      <w:r>
        <w:rPr>
          <w:bCs/>
          <w:lang w:val="zh-CN"/>
        </w:rPr>
        <w:t>，经污水处理厂深度处理后排入湘江。</w:t>
      </w:r>
    </w:p>
    <w:p w14:paraId="24C19D57">
      <w:pPr>
        <w:ind w:firstLine="480"/>
      </w:pPr>
      <w:r>
        <w:t>（</w:t>
      </w:r>
      <w:r>
        <w:rPr>
          <w:rFonts w:hint="eastAsia"/>
        </w:rPr>
        <w:t>1</w:t>
      </w:r>
      <w:r>
        <w:t>）水污染控制和水环境影响减缓措施有效性评价</w:t>
      </w:r>
    </w:p>
    <w:p w14:paraId="7D2589C4">
      <w:pPr>
        <w:ind w:firstLine="480"/>
      </w:pPr>
      <w:r>
        <w:t>本项目厂区设有30m</w:t>
      </w:r>
      <w:r>
        <w:rPr>
          <w:vertAlign w:val="superscript"/>
        </w:rPr>
        <w:t>3</w:t>
      </w:r>
      <w:r>
        <w:t>隔油池化粪池处理生活污水</w:t>
      </w:r>
      <w:r>
        <w:rPr>
          <w:rFonts w:hint="eastAsia"/>
        </w:rPr>
        <w:t>，本次变更未调整劳动定员，</w:t>
      </w:r>
      <w:r>
        <w:t>全厂生活污水产生量</w:t>
      </w:r>
      <w:r>
        <w:rPr>
          <w:rFonts w:hint="eastAsia"/>
        </w:rPr>
        <w:t>不变，7342.4</w:t>
      </w:r>
      <w:r>
        <w:t>m</w:t>
      </w:r>
      <w:r>
        <w:rPr>
          <w:vertAlign w:val="superscript"/>
        </w:rPr>
        <w:t>3</w:t>
      </w:r>
      <w:r>
        <w:t>/a，</w:t>
      </w:r>
      <w:r>
        <w:rPr>
          <w:rFonts w:hint="eastAsia"/>
        </w:rPr>
        <w:t>23.63</w:t>
      </w:r>
      <w:r>
        <w:t>m</w:t>
      </w:r>
      <w:r>
        <w:rPr>
          <w:vertAlign w:val="superscript"/>
        </w:rPr>
        <w:t>3</w:t>
      </w:r>
      <w:r>
        <w:t>/d，</w:t>
      </w:r>
      <w:r>
        <w:rPr>
          <w:rFonts w:hint="eastAsia"/>
        </w:rPr>
        <w:t>现有</w:t>
      </w:r>
      <w:r>
        <w:t>化粪池有效容积满足《建筑给水排水设计标准》（GB50015-2019）化粪池生活污水停留时间为12～24小时的要求。</w:t>
      </w:r>
    </w:p>
    <w:p w14:paraId="11507FFC">
      <w:pPr>
        <w:ind w:firstLine="480"/>
      </w:pPr>
      <w:r>
        <w:t>（</w:t>
      </w:r>
      <w:r>
        <w:rPr>
          <w:rFonts w:hint="eastAsia"/>
        </w:rPr>
        <w:t>2</w:t>
      </w:r>
      <w:r>
        <w:t>）从水质上分析</w:t>
      </w:r>
    </w:p>
    <w:p w14:paraId="4526FA55">
      <w:pPr>
        <w:ind w:firstLine="480"/>
      </w:pPr>
      <w:r>
        <w:t>生活污水水质简单，可生化性较好，水中的污染物主要为pH、COD、SS、BOD</w:t>
      </w:r>
      <w:r>
        <w:rPr>
          <w:vertAlign w:val="subscript"/>
        </w:rPr>
        <w:t>5</w:t>
      </w:r>
      <w:r>
        <w:t>、NH</w:t>
      </w:r>
      <w:r>
        <w:rPr>
          <w:vertAlign w:val="subscript"/>
        </w:rPr>
        <w:t>3</w:t>
      </w:r>
      <w:r>
        <w:t>-N等，均为常见的污染物。化粪池是对生活污水进行预处理的常见措施，根据多年的实践经验，生活污水通过化粪池处理后，污水能达到《污水综合排放标准》（GB8978—1996）中的三级标准。因此从水质上说，变更后本项目废水接入</w:t>
      </w:r>
      <w:r>
        <w:rPr>
          <w:rFonts w:hint="eastAsia"/>
        </w:rPr>
        <w:t>湘潭县顺业污水处理有限公司污水处理厂</w:t>
      </w:r>
      <w:r>
        <w:t>进行处理仍然是可行的。</w:t>
      </w:r>
    </w:p>
    <w:p w14:paraId="1B4EAE67">
      <w:pPr>
        <w:ind w:firstLine="480"/>
      </w:pPr>
      <w:r>
        <w:t>（</w:t>
      </w:r>
      <w:r>
        <w:rPr>
          <w:rFonts w:hint="eastAsia"/>
        </w:rPr>
        <w:t>3</w:t>
      </w:r>
      <w:r>
        <w:t>）从水量上分析</w:t>
      </w:r>
    </w:p>
    <w:p w14:paraId="40B4CD7F">
      <w:pPr>
        <w:ind w:firstLine="480"/>
      </w:pPr>
      <w:r>
        <w:rPr>
          <w:rFonts w:hint="eastAsia"/>
        </w:rPr>
        <w:t>湘潭县顺业污水处理有限公司污水处理厂</w:t>
      </w:r>
      <w:r>
        <w:t>（湘潭县顺业污水处理有限公司）位于湖南省湘潭县易俗河镇金桂北路，设计处理能力为日处理污水2.5万立方米。</w:t>
      </w:r>
      <w:r>
        <w:rPr>
          <w:rFonts w:hint="eastAsia"/>
        </w:rPr>
        <w:t>湘潭县顺业污水处理有限公司污水处理厂</w:t>
      </w:r>
      <w:r>
        <w:t>（湘潭县顺业污水处理有限公司）自2009年10月正式投入运行以来，污水处理设备运转良好，厂区主体工艺采用氧化沟处理工艺，经处理后的污水水质排放标准为《城镇污水处理厂污染物排放标准》（GB18918-2002）一级A标准。</w:t>
      </w:r>
    </w:p>
    <w:p w14:paraId="5CAB2EFE">
      <w:pPr>
        <w:ind w:firstLine="480"/>
      </w:pPr>
      <w:r>
        <w:t>企业位于</w:t>
      </w:r>
      <w:r>
        <w:rPr>
          <w:rFonts w:hint="eastAsia"/>
        </w:rPr>
        <w:t>湘潭县顺业污水处理有限公司污水处理厂</w:t>
      </w:r>
      <w:r>
        <w:t>服务范围内，且企业至</w:t>
      </w:r>
      <w:r>
        <w:rPr>
          <w:rFonts w:hint="eastAsia"/>
        </w:rPr>
        <w:t>湘潭县顺业污水处理有限公司污水处理厂</w:t>
      </w:r>
      <w:r>
        <w:t>之间的污水管网已建成，因此本项目废水进入</w:t>
      </w:r>
      <w:r>
        <w:rPr>
          <w:rFonts w:hint="eastAsia"/>
        </w:rPr>
        <w:t>湘潭县顺业污水处理有限公司污水处理厂</w:t>
      </w:r>
      <w:r>
        <w:t>处理不存在管网制约因素。本项目废水水质较简单，项目废水经处理后，主要污染物排放浓度均能够满足</w:t>
      </w:r>
      <w:r>
        <w:rPr>
          <w:rFonts w:hint="eastAsia"/>
        </w:rPr>
        <w:t>湘潭县顺业污水处理有限公司污水处理厂</w:t>
      </w:r>
      <w:r>
        <w:t>进水水质要求和《污水综合排放标准》（GB8978-1996）表4三级标准限值要求，</w:t>
      </w:r>
      <w:r>
        <w:rPr>
          <w:rFonts w:hint="eastAsia"/>
        </w:rPr>
        <w:t>扩建后</w:t>
      </w:r>
      <w:r>
        <w:t>企业废水日均水量约</w:t>
      </w:r>
      <w:r>
        <w:rPr>
          <w:rFonts w:hint="eastAsia"/>
        </w:rPr>
        <w:t>23.63</w:t>
      </w:r>
      <w:r>
        <w:t>t/d，占</w:t>
      </w:r>
      <w:r>
        <w:rPr>
          <w:rFonts w:hint="eastAsia"/>
        </w:rPr>
        <w:t>湘潭县顺业污水处理有限公司污水处理厂</w:t>
      </w:r>
      <w:r>
        <w:t>现有日处理规模的</w:t>
      </w:r>
      <w:r>
        <w:rPr>
          <w:rFonts w:hint="eastAsia"/>
        </w:rPr>
        <w:t>0.095</w:t>
      </w:r>
      <w:r>
        <w:t>%，项目废水经预处理后排入</w:t>
      </w:r>
      <w:r>
        <w:rPr>
          <w:rFonts w:hint="eastAsia"/>
        </w:rPr>
        <w:t>湘潭县顺业污水处理有限公司污水处理厂</w:t>
      </w:r>
      <w:r>
        <w:t>处理可行。</w:t>
      </w:r>
    </w:p>
    <w:p w14:paraId="71533097">
      <w:pPr>
        <w:ind w:firstLine="480"/>
      </w:pPr>
      <w:r>
        <w:t>综上可知，只要企业做好废水的收集、纳管工作，粪池做好防渗处理，项目废水对收纳水体的水环境质量影响较小。</w:t>
      </w:r>
    </w:p>
    <w:p w14:paraId="08F5FA3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6.2.6.3</w:t>
      </w:r>
      <w:r>
        <w:rPr>
          <w:rFonts w:hint="eastAsia"/>
        </w:rPr>
        <w:t>项目废水污染物排放情况</w:t>
      </w:r>
    </w:p>
    <w:p w14:paraId="22D20060">
      <w:pPr>
        <w:pStyle w:val="40"/>
        <w:spacing w:line="360" w:lineRule="auto"/>
        <w:ind w:firstLine="480"/>
        <w:rPr>
          <w:rFonts w:ascii="Times New Roman"/>
        </w:rPr>
      </w:pPr>
      <w:r>
        <w:rPr>
          <w:rFonts w:ascii="Times New Roman"/>
        </w:rPr>
        <w:t>项目废水类别、污染物及污染治理设施信息见表</w:t>
      </w:r>
      <w:r>
        <w:rPr>
          <w:rFonts w:hint="eastAsia" w:ascii="Times New Roman"/>
        </w:rPr>
        <w:t>6</w:t>
      </w:r>
      <w:r>
        <w:rPr>
          <w:rFonts w:ascii="Times New Roman"/>
        </w:rPr>
        <w:t>.2-</w:t>
      </w:r>
      <w:r>
        <w:rPr>
          <w:rFonts w:hint="eastAsia" w:ascii="Times New Roman"/>
        </w:rPr>
        <w:t>31</w:t>
      </w:r>
      <w:r>
        <w:rPr>
          <w:rFonts w:ascii="Times New Roman"/>
        </w:rPr>
        <w:t>，废水间接排放口基本情况见表</w:t>
      </w:r>
      <w:r>
        <w:rPr>
          <w:rFonts w:hint="eastAsia" w:ascii="Times New Roman"/>
        </w:rPr>
        <w:t>6</w:t>
      </w:r>
      <w:r>
        <w:rPr>
          <w:rFonts w:ascii="Times New Roman"/>
        </w:rPr>
        <w:t>.2-</w:t>
      </w:r>
      <w:r>
        <w:rPr>
          <w:rFonts w:hint="eastAsia" w:ascii="Times New Roman"/>
        </w:rPr>
        <w:t>32</w:t>
      </w:r>
      <w:r>
        <w:rPr>
          <w:rFonts w:ascii="Times New Roman"/>
        </w:rPr>
        <w:t>，废水污染物排放执行标准见表</w:t>
      </w:r>
      <w:r>
        <w:rPr>
          <w:rFonts w:hint="eastAsia" w:ascii="Times New Roman"/>
        </w:rPr>
        <w:t>6</w:t>
      </w:r>
      <w:r>
        <w:rPr>
          <w:rFonts w:ascii="Times New Roman"/>
        </w:rPr>
        <w:t>.2-</w:t>
      </w:r>
      <w:r>
        <w:rPr>
          <w:rFonts w:hint="eastAsia" w:ascii="Times New Roman"/>
        </w:rPr>
        <w:t>33</w:t>
      </w:r>
      <w:r>
        <w:rPr>
          <w:rFonts w:ascii="Times New Roman"/>
        </w:rPr>
        <w:t>，废水污染物排放信息表（</w:t>
      </w:r>
      <w:r>
        <w:rPr>
          <w:rFonts w:hint="eastAsia" w:ascii="Times New Roman"/>
        </w:rPr>
        <w:t>改扩建</w:t>
      </w:r>
      <w:r>
        <w:rPr>
          <w:rFonts w:ascii="Times New Roman"/>
        </w:rPr>
        <w:t>项目）见表</w:t>
      </w:r>
      <w:r>
        <w:rPr>
          <w:rFonts w:hint="eastAsia" w:ascii="Times New Roman"/>
        </w:rPr>
        <w:t>6</w:t>
      </w:r>
      <w:r>
        <w:rPr>
          <w:rFonts w:ascii="Times New Roman"/>
        </w:rPr>
        <w:t>.2-</w:t>
      </w:r>
      <w:r>
        <w:rPr>
          <w:rFonts w:hint="eastAsia" w:ascii="Times New Roman"/>
        </w:rPr>
        <w:t>34</w:t>
      </w:r>
      <w:r>
        <w:rPr>
          <w:rFonts w:ascii="Times New Roman"/>
        </w:rPr>
        <w:t>，环境监测计划及记录信息见表</w:t>
      </w:r>
      <w:r>
        <w:rPr>
          <w:rFonts w:hint="eastAsia" w:ascii="Times New Roman"/>
        </w:rPr>
        <w:t>6</w:t>
      </w:r>
      <w:r>
        <w:rPr>
          <w:rFonts w:ascii="Times New Roman"/>
        </w:rPr>
        <w:t>.2-</w:t>
      </w:r>
      <w:r>
        <w:rPr>
          <w:rFonts w:hint="eastAsia" w:ascii="Times New Roman"/>
        </w:rPr>
        <w:t>35</w:t>
      </w:r>
      <w:r>
        <w:rPr>
          <w:rFonts w:ascii="Times New Roman"/>
        </w:rPr>
        <w:t>。</w:t>
      </w:r>
    </w:p>
    <w:p w14:paraId="2592E819">
      <w:pPr>
        <w:pStyle w:val="51"/>
        <w:numPr>
          <w:ilvl w:val="5"/>
          <w:numId w:val="0"/>
        </w:numPr>
        <w:tabs>
          <w:tab w:val="left" w:pos="4395"/>
        </w:tabs>
        <w:spacing w:before="156"/>
        <w:ind w:left="4700" w:leftChars="0" w:hanging="3260" w:firstLineChars="0"/>
        <w:rPr>
          <w:rFonts w:hint="default" w:ascii="宋体" w:hAnsi="宋体" w:eastAsia="宋体" w:cs="宋体"/>
          <w:b/>
          <w:bCs/>
          <w:color w:val="auto"/>
          <w:kern w:val="2"/>
          <w:sz w:val="21"/>
          <w:szCs w:val="21"/>
          <w:lang w:val="en-US" w:eastAsia="zh-CN" w:bidi="ar-SA"/>
        </w:rPr>
      </w:pPr>
    </w:p>
    <w:p w14:paraId="68AB3F14">
      <w:pPr>
        <w:pStyle w:val="51"/>
        <w:numPr>
          <w:ilvl w:val="5"/>
          <w:numId w:val="0"/>
        </w:numPr>
        <w:tabs>
          <w:tab w:val="left" w:pos="4395"/>
        </w:tabs>
        <w:spacing w:before="156"/>
        <w:ind w:left="4700" w:leftChars="0" w:hanging="3260" w:firstLineChars="0"/>
        <w:rPr>
          <w:rFonts w:hint="default" w:ascii="宋体" w:hAnsi="宋体" w:eastAsia="宋体" w:cs="宋体"/>
          <w:b/>
          <w:bCs/>
          <w:color w:val="auto"/>
          <w:kern w:val="2"/>
          <w:sz w:val="21"/>
          <w:szCs w:val="21"/>
          <w:lang w:val="en-US" w:eastAsia="zh-CN" w:bidi="ar-SA"/>
        </w:rPr>
      </w:pPr>
    </w:p>
    <w:p w14:paraId="1DF19115">
      <w:pPr>
        <w:pStyle w:val="51"/>
        <w:numPr>
          <w:ilvl w:val="5"/>
          <w:numId w:val="0"/>
        </w:numPr>
        <w:tabs>
          <w:tab w:val="left" w:pos="4395"/>
        </w:tabs>
        <w:spacing w:before="156"/>
        <w:ind w:left="4700" w:leftChars="0" w:hanging="3260" w:firstLineChars="0"/>
        <w:jc w:val="both"/>
        <w:rPr>
          <w:sz w:val="18"/>
          <w:szCs w:val="18"/>
        </w:rPr>
      </w:pPr>
      <w:r>
        <w:rPr>
          <w:rFonts w:hint="default" w:ascii="宋体" w:hAnsi="宋体" w:eastAsia="宋体" w:cs="宋体"/>
          <w:b/>
          <w:bCs/>
          <w:color w:val="auto"/>
          <w:kern w:val="2"/>
          <w:sz w:val="21"/>
          <w:szCs w:val="21"/>
          <w:lang w:val="en-US" w:eastAsia="zh-CN" w:bidi="ar-SA"/>
        </w:rPr>
        <w:t xml:space="preserve">表6.2-31 </w:t>
      </w:r>
      <w:r>
        <w:rPr>
          <w:rFonts w:hint="eastAsia"/>
        </w:rPr>
        <w:t>废水类别、污染物及污染治理设施信息表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355"/>
        <w:gridCol w:w="708"/>
        <w:gridCol w:w="836"/>
        <w:gridCol w:w="616"/>
        <w:gridCol w:w="887"/>
        <w:gridCol w:w="875"/>
        <w:gridCol w:w="800"/>
        <w:gridCol w:w="1028"/>
        <w:gridCol w:w="779"/>
        <w:gridCol w:w="768"/>
        <w:gridCol w:w="768"/>
      </w:tblGrid>
      <w:tr w14:paraId="17BA1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54" w:type="dxa"/>
            <w:vMerge w:val="restart"/>
            <w:tcBorders>
              <w:tl2br w:val="nil"/>
              <w:tr2bl w:val="nil"/>
            </w:tcBorders>
            <w:vAlign w:val="center"/>
          </w:tcPr>
          <w:p w14:paraId="1BAF1606">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序号</w:t>
            </w:r>
          </w:p>
        </w:tc>
        <w:tc>
          <w:tcPr>
            <w:tcW w:w="707" w:type="dxa"/>
            <w:vMerge w:val="restart"/>
            <w:tcBorders>
              <w:tl2br w:val="nil"/>
              <w:tr2bl w:val="nil"/>
            </w:tcBorders>
            <w:vAlign w:val="center"/>
          </w:tcPr>
          <w:p w14:paraId="6E240176">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废水类别</w:t>
            </w:r>
            <w:r>
              <w:rPr>
                <w:rFonts w:ascii="Times New Roman" w:hAnsi="Times New Roman" w:cs="Times New Roman"/>
                <w:sz w:val="21"/>
                <w:szCs w:val="21"/>
                <w:lang w:val="en-US"/>
              </w:rPr>
              <w:t>(a)</w:t>
            </w:r>
          </w:p>
        </w:tc>
        <w:tc>
          <w:tcPr>
            <w:tcW w:w="836" w:type="dxa"/>
            <w:vMerge w:val="restart"/>
            <w:tcBorders>
              <w:tl2br w:val="nil"/>
              <w:tr2bl w:val="nil"/>
            </w:tcBorders>
            <w:vAlign w:val="center"/>
          </w:tcPr>
          <w:p w14:paraId="176478AE">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污染物</w:t>
            </w:r>
          </w:p>
          <w:p w14:paraId="6DA5CBBE">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种类</w:t>
            </w:r>
            <w:r>
              <w:rPr>
                <w:rFonts w:ascii="Times New Roman" w:hAnsi="Times New Roman" w:cs="Times New Roman"/>
                <w:sz w:val="21"/>
                <w:szCs w:val="21"/>
                <w:lang w:val="en-US"/>
              </w:rPr>
              <w:t>(b)</w:t>
            </w:r>
          </w:p>
        </w:tc>
        <w:tc>
          <w:tcPr>
            <w:tcW w:w="616" w:type="dxa"/>
            <w:vMerge w:val="restart"/>
            <w:tcBorders>
              <w:tl2br w:val="nil"/>
              <w:tr2bl w:val="nil"/>
            </w:tcBorders>
            <w:vAlign w:val="center"/>
          </w:tcPr>
          <w:p w14:paraId="2877482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排放去向</w:t>
            </w:r>
            <w:r>
              <w:rPr>
                <w:rFonts w:ascii="Times New Roman" w:hAnsi="Times New Roman" w:cs="Times New Roman"/>
                <w:sz w:val="21"/>
                <w:szCs w:val="21"/>
                <w:lang w:val="en-US"/>
              </w:rPr>
              <w:t>(c)</w:t>
            </w:r>
          </w:p>
        </w:tc>
        <w:tc>
          <w:tcPr>
            <w:tcW w:w="886" w:type="dxa"/>
            <w:vMerge w:val="restart"/>
            <w:tcBorders>
              <w:tl2br w:val="nil"/>
              <w:tr2bl w:val="nil"/>
            </w:tcBorders>
            <w:vAlign w:val="center"/>
          </w:tcPr>
          <w:p w14:paraId="19590F35">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排放规律</w:t>
            </w:r>
            <w:r>
              <w:rPr>
                <w:rFonts w:ascii="Times New Roman" w:hAnsi="Times New Roman" w:cs="Times New Roman"/>
                <w:sz w:val="21"/>
                <w:szCs w:val="21"/>
                <w:lang w:val="en-US"/>
              </w:rPr>
              <w:t>(d)</w:t>
            </w:r>
          </w:p>
        </w:tc>
        <w:tc>
          <w:tcPr>
            <w:tcW w:w="2701" w:type="dxa"/>
            <w:gridSpan w:val="3"/>
            <w:tcBorders>
              <w:tl2br w:val="nil"/>
              <w:tr2bl w:val="nil"/>
            </w:tcBorders>
            <w:vAlign w:val="center"/>
          </w:tcPr>
          <w:p w14:paraId="22BA0734">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污染治理设施</w:t>
            </w:r>
          </w:p>
        </w:tc>
        <w:tc>
          <w:tcPr>
            <w:tcW w:w="779" w:type="dxa"/>
            <w:vMerge w:val="restart"/>
            <w:tcBorders>
              <w:tl2br w:val="nil"/>
              <w:tr2bl w:val="nil"/>
            </w:tcBorders>
            <w:vAlign w:val="center"/>
          </w:tcPr>
          <w:p w14:paraId="4C7319EE">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排放口编号</w:t>
            </w:r>
            <w:r>
              <w:rPr>
                <w:rFonts w:ascii="Times New Roman" w:hAnsi="Times New Roman" w:cs="Times New Roman"/>
                <w:sz w:val="21"/>
                <w:szCs w:val="21"/>
                <w:lang w:val="en-US"/>
              </w:rPr>
              <w:t>(f)</w:t>
            </w:r>
          </w:p>
        </w:tc>
        <w:tc>
          <w:tcPr>
            <w:tcW w:w="768" w:type="dxa"/>
            <w:vMerge w:val="restart"/>
            <w:tcBorders>
              <w:tl2br w:val="nil"/>
              <w:tr2bl w:val="nil"/>
            </w:tcBorders>
            <w:vAlign w:val="center"/>
          </w:tcPr>
          <w:p w14:paraId="4C120F5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排放口设置是否符合要求</w:t>
            </w:r>
            <w:r>
              <w:rPr>
                <w:rFonts w:ascii="Times New Roman" w:hAnsi="Times New Roman" w:cs="Times New Roman"/>
                <w:sz w:val="21"/>
                <w:szCs w:val="21"/>
                <w:lang w:val="en-US"/>
              </w:rPr>
              <w:t>(g)</w:t>
            </w:r>
          </w:p>
        </w:tc>
        <w:tc>
          <w:tcPr>
            <w:tcW w:w="768" w:type="dxa"/>
            <w:vMerge w:val="restart"/>
            <w:tcBorders>
              <w:tl2br w:val="nil"/>
              <w:tr2bl w:val="nil"/>
            </w:tcBorders>
            <w:vAlign w:val="center"/>
          </w:tcPr>
          <w:p w14:paraId="53995EE8">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排放口</w:t>
            </w:r>
          </w:p>
          <w:p w14:paraId="168E82F3">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类型</w:t>
            </w:r>
          </w:p>
        </w:tc>
      </w:tr>
      <w:tr w14:paraId="10809D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4" w:type="dxa"/>
            <w:vMerge w:val="continue"/>
            <w:tcBorders>
              <w:tl2br w:val="nil"/>
              <w:tr2bl w:val="nil"/>
            </w:tcBorders>
            <w:vAlign w:val="center"/>
          </w:tcPr>
          <w:p w14:paraId="5E3F9E05">
            <w:pPr>
              <w:spacing w:line="240" w:lineRule="auto"/>
              <w:jc w:val="center"/>
              <w:rPr>
                <w:sz w:val="21"/>
                <w:szCs w:val="21"/>
              </w:rPr>
            </w:pPr>
          </w:p>
        </w:tc>
        <w:tc>
          <w:tcPr>
            <w:tcW w:w="707" w:type="dxa"/>
            <w:vMerge w:val="continue"/>
            <w:tcBorders>
              <w:tl2br w:val="nil"/>
              <w:tr2bl w:val="nil"/>
            </w:tcBorders>
            <w:vAlign w:val="center"/>
          </w:tcPr>
          <w:p w14:paraId="50166828">
            <w:pPr>
              <w:spacing w:line="240" w:lineRule="auto"/>
              <w:jc w:val="center"/>
              <w:rPr>
                <w:sz w:val="21"/>
                <w:szCs w:val="21"/>
              </w:rPr>
            </w:pPr>
          </w:p>
        </w:tc>
        <w:tc>
          <w:tcPr>
            <w:tcW w:w="836" w:type="dxa"/>
            <w:vMerge w:val="continue"/>
            <w:tcBorders>
              <w:tl2br w:val="nil"/>
              <w:tr2bl w:val="nil"/>
            </w:tcBorders>
            <w:vAlign w:val="center"/>
          </w:tcPr>
          <w:p w14:paraId="11596E90">
            <w:pPr>
              <w:spacing w:line="240" w:lineRule="auto"/>
              <w:jc w:val="center"/>
              <w:rPr>
                <w:sz w:val="21"/>
                <w:szCs w:val="21"/>
              </w:rPr>
            </w:pPr>
          </w:p>
        </w:tc>
        <w:tc>
          <w:tcPr>
            <w:tcW w:w="616" w:type="dxa"/>
            <w:vMerge w:val="continue"/>
            <w:tcBorders>
              <w:tl2br w:val="nil"/>
              <w:tr2bl w:val="nil"/>
            </w:tcBorders>
            <w:vAlign w:val="center"/>
          </w:tcPr>
          <w:p w14:paraId="494165B9">
            <w:pPr>
              <w:spacing w:line="240" w:lineRule="auto"/>
              <w:jc w:val="center"/>
              <w:rPr>
                <w:sz w:val="21"/>
                <w:szCs w:val="21"/>
              </w:rPr>
            </w:pPr>
          </w:p>
        </w:tc>
        <w:tc>
          <w:tcPr>
            <w:tcW w:w="886" w:type="dxa"/>
            <w:vMerge w:val="continue"/>
            <w:tcBorders>
              <w:tl2br w:val="nil"/>
              <w:tr2bl w:val="nil"/>
            </w:tcBorders>
            <w:vAlign w:val="center"/>
          </w:tcPr>
          <w:p w14:paraId="31FA2789">
            <w:pPr>
              <w:spacing w:line="240" w:lineRule="auto"/>
              <w:jc w:val="center"/>
              <w:rPr>
                <w:sz w:val="21"/>
                <w:szCs w:val="21"/>
              </w:rPr>
            </w:pPr>
          </w:p>
        </w:tc>
        <w:tc>
          <w:tcPr>
            <w:tcW w:w="874" w:type="dxa"/>
            <w:tcBorders>
              <w:tl2br w:val="nil"/>
              <w:tr2bl w:val="nil"/>
            </w:tcBorders>
            <w:vAlign w:val="center"/>
          </w:tcPr>
          <w:p w14:paraId="56D6BA7C">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污染治理设施编号</w:t>
            </w:r>
          </w:p>
        </w:tc>
        <w:tc>
          <w:tcPr>
            <w:tcW w:w="800" w:type="dxa"/>
            <w:tcBorders>
              <w:tl2br w:val="nil"/>
              <w:tr2bl w:val="nil"/>
            </w:tcBorders>
            <w:vAlign w:val="center"/>
          </w:tcPr>
          <w:p w14:paraId="4F4E212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污染治理设施名称</w:t>
            </w:r>
            <w:r>
              <w:rPr>
                <w:rFonts w:ascii="Times New Roman" w:hAnsi="Times New Roman" w:cs="Times New Roman"/>
                <w:sz w:val="21"/>
                <w:szCs w:val="21"/>
                <w:lang w:val="en-US"/>
              </w:rPr>
              <w:t>(e)</w:t>
            </w:r>
          </w:p>
        </w:tc>
        <w:tc>
          <w:tcPr>
            <w:tcW w:w="1027" w:type="dxa"/>
            <w:tcBorders>
              <w:tl2br w:val="nil"/>
              <w:tr2bl w:val="nil"/>
            </w:tcBorders>
            <w:vAlign w:val="center"/>
          </w:tcPr>
          <w:p w14:paraId="20E0B465">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污染治理设施工艺</w:t>
            </w:r>
          </w:p>
        </w:tc>
        <w:tc>
          <w:tcPr>
            <w:tcW w:w="779" w:type="dxa"/>
            <w:vMerge w:val="continue"/>
            <w:tcBorders>
              <w:tl2br w:val="nil"/>
              <w:tr2bl w:val="nil"/>
            </w:tcBorders>
            <w:vAlign w:val="center"/>
          </w:tcPr>
          <w:p w14:paraId="5420D5E2">
            <w:pPr>
              <w:spacing w:line="240" w:lineRule="auto"/>
              <w:jc w:val="center"/>
              <w:rPr>
                <w:sz w:val="21"/>
                <w:szCs w:val="21"/>
              </w:rPr>
            </w:pPr>
          </w:p>
        </w:tc>
        <w:tc>
          <w:tcPr>
            <w:tcW w:w="768" w:type="dxa"/>
            <w:vMerge w:val="continue"/>
            <w:tcBorders>
              <w:tl2br w:val="nil"/>
              <w:tr2bl w:val="nil"/>
            </w:tcBorders>
            <w:vAlign w:val="center"/>
          </w:tcPr>
          <w:p w14:paraId="0F9B7724">
            <w:pPr>
              <w:spacing w:line="240" w:lineRule="auto"/>
              <w:jc w:val="center"/>
              <w:rPr>
                <w:sz w:val="21"/>
                <w:szCs w:val="21"/>
              </w:rPr>
            </w:pPr>
          </w:p>
        </w:tc>
        <w:tc>
          <w:tcPr>
            <w:tcW w:w="768" w:type="dxa"/>
            <w:vMerge w:val="continue"/>
            <w:tcBorders>
              <w:tl2br w:val="nil"/>
              <w:tr2bl w:val="nil"/>
            </w:tcBorders>
            <w:vAlign w:val="center"/>
          </w:tcPr>
          <w:p w14:paraId="75C7B181">
            <w:pPr>
              <w:spacing w:line="240" w:lineRule="auto"/>
              <w:jc w:val="center"/>
              <w:rPr>
                <w:sz w:val="21"/>
                <w:szCs w:val="21"/>
              </w:rPr>
            </w:pPr>
          </w:p>
        </w:tc>
      </w:tr>
      <w:tr w14:paraId="56E58A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4" w:type="dxa"/>
            <w:tcBorders>
              <w:tl2br w:val="nil"/>
              <w:tr2bl w:val="nil"/>
            </w:tcBorders>
            <w:vAlign w:val="center"/>
          </w:tcPr>
          <w:p w14:paraId="3B91BD55">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707" w:type="dxa"/>
            <w:tcBorders>
              <w:tl2br w:val="nil"/>
              <w:tr2bl w:val="nil"/>
            </w:tcBorders>
            <w:vAlign w:val="center"/>
          </w:tcPr>
          <w:p w14:paraId="400BE92F">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生活污水</w:t>
            </w:r>
          </w:p>
        </w:tc>
        <w:tc>
          <w:tcPr>
            <w:tcW w:w="836" w:type="dxa"/>
            <w:tcBorders>
              <w:tl2br w:val="nil"/>
              <w:tr2bl w:val="nil"/>
            </w:tcBorders>
            <w:vAlign w:val="center"/>
          </w:tcPr>
          <w:p w14:paraId="4BF8C85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COD、氨氮、SS、BOD</w:t>
            </w:r>
            <w:r>
              <w:rPr>
                <w:rFonts w:ascii="Times New Roman" w:hAnsi="Times New Roman" w:cs="Times New Roman"/>
                <w:sz w:val="21"/>
                <w:szCs w:val="21"/>
                <w:vertAlign w:val="subscript"/>
                <w:lang w:val="en-US"/>
              </w:rPr>
              <w:t>5</w:t>
            </w:r>
            <w:r>
              <w:rPr>
                <w:rFonts w:ascii="Times New Roman" w:hAnsi="Times New Roman" w:cs="Times New Roman"/>
                <w:sz w:val="21"/>
                <w:szCs w:val="21"/>
                <w:lang w:val="en-US"/>
              </w:rPr>
              <w:t>、</w:t>
            </w:r>
            <w:r>
              <w:rPr>
                <w:rFonts w:ascii="Times New Roman" w:hAnsi="Times New Roman" w:cs="Times New Roman"/>
                <w:position w:val="2"/>
                <w:sz w:val="21"/>
              </w:rPr>
              <w:t>动植物油</w:t>
            </w:r>
          </w:p>
        </w:tc>
        <w:tc>
          <w:tcPr>
            <w:tcW w:w="616" w:type="dxa"/>
            <w:tcBorders>
              <w:tl2br w:val="nil"/>
              <w:tr2bl w:val="nil"/>
            </w:tcBorders>
            <w:vAlign w:val="center"/>
          </w:tcPr>
          <w:p w14:paraId="01FBB38A">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进入城市污水处理厂</w:t>
            </w:r>
          </w:p>
        </w:tc>
        <w:tc>
          <w:tcPr>
            <w:tcW w:w="886" w:type="dxa"/>
            <w:tcBorders>
              <w:tl2br w:val="nil"/>
              <w:tr2bl w:val="nil"/>
            </w:tcBorders>
            <w:vAlign w:val="center"/>
          </w:tcPr>
          <w:p w14:paraId="2B232300">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间断排放，排放期间流量不稳定且无规律，但不属于冲击型排放</w:t>
            </w:r>
          </w:p>
        </w:tc>
        <w:tc>
          <w:tcPr>
            <w:tcW w:w="874" w:type="dxa"/>
            <w:tcBorders>
              <w:tl2br w:val="nil"/>
              <w:tr2bl w:val="nil"/>
            </w:tcBorders>
            <w:vAlign w:val="center"/>
          </w:tcPr>
          <w:p w14:paraId="605F8E25">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TW001</w:t>
            </w:r>
          </w:p>
        </w:tc>
        <w:tc>
          <w:tcPr>
            <w:tcW w:w="800" w:type="dxa"/>
            <w:tcBorders>
              <w:tl2br w:val="nil"/>
              <w:tr2bl w:val="nil"/>
            </w:tcBorders>
            <w:vAlign w:val="center"/>
          </w:tcPr>
          <w:p w14:paraId="7E4F64BD">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隔油池化粪池</w:t>
            </w:r>
          </w:p>
        </w:tc>
        <w:tc>
          <w:tcPr>
            <w:tcW w:w="1027" w:type="dxa"/>
            <w:tcBorders>
              <w:tl2br w:val="nil"/>
              <w:tr2bl w:val="nil"/>
            </w:tcBorders>
            <w:vAlign w:val="center"/>
          </w:tcPr>
          <w:p w14:paraId="7ED03303">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厌氧消化</w:t>
            </w:r>
          </w:p>
        </w:tc>
        <w:tc>
          <w:tcPr>
            <w:tcW w:w="779" w:type="dxa"/>
            <w:tcBorders>
              <w:tl2br w:val="nil"/>
              <w:tr2bl w:val="nil"/>
            </w:tcBorders>
            <w:vAlign w:val="center"/>
          </w:tcPr>
          <w:p w14:paraId="0815A99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DW001</w:t>
            </w:r>
          </w:p>
        </w:tc>
        <w:tc>
          <w:tcPr>
            <w:tcW w:w="768" w:type="dxa"/>
            <w:tcBorders>
              <w:tl2br w:val="nil"/>
              <w:tr2bl w:val="nil"/>
            </w:tcBorders>
            <w:vAlign w:val="center"/>
          </w:tcPr>
          <w:p w14:paraId="1538A19E">
            <w:pPr>
              <w:pStyle w:val="56"/>
              <w:spacing w:after="156" w:afterLines="50" w:line="240" w:lineRule="auto"/>
              <w:jc w:val="center"/>
              <w:rPr>
                <w:rFonts w:ascii="Times New Roman" w:hAnsi="Times New Roman" w:cs="Times New Roman"/>
                <w:sz w:val="21"/>
                <w:szCs w:val="21"/>
              </w:rPr>
            </w:pPr>
            <w:r>
              <w:rPr>
                <w:rFonts w:ascii="Times New Roman" w:hAnsi="Times New Roman" w:cs="Times New Roman"/>
                <w:sz w:val="21"/>
                <w:szCs w:val="21"/>
              </w:rPr>
              <w:sym w:font="Wingdings 2" w:char="0052"/>
            </w:r>
            <w:r>
              <w:rPr>
                <w:rFonts w:ascii="Times New Roman" w:hAnsi="Times New Roman" w:cs="Times New Roman"/>
                <w:sz w:val="21"/>
                <w:szCs w:val="21"/>
              </w:rPr>
              <w:t>是</w:t>
            </w:r>
          </w:p>
          <w:p w14:paraId="6E9ECC59">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sym w:font="Wingdings 2" w:char="00A3"/>
            </w:r>
            <w:r>
              <w:rPr>
                <w:rFonts w:ascii="Times New Roman" w:hAnsi="Times New Roman" w:cs="Times New Roman"/>
                <w:sz w:val="21"/>
                <w:szCs w:val="21"/>
              </w:rPr>
              <w:t>否</w:t>
            </w:r>
          </w:p>
        </w:tc>
        <w:tc>
          <w:tcPr>
            <w:tcW w:w="768" w:type="dxa"/>
            <w:tcBorders>
              <w:tl2br w:val="nil"/>
              <w:tr2bl w:val="nil"/>
            </w:tcBorders>
            <w:vAlign w:val="center"/>
          </w:tcPr>
          <w:p w14:paraId="1B137418">
            <w:pPr>
              <w:pStyle w:val="56"/>
              <w:spacing w:line="240" w:lineRule="auto"/>
              <w:jc w:val="left"/>
              <w:rPr>
                <w:rFonts w:ascii="Times New Roman" w:hAnsi="Times New Roman" w:cs="Times New Roman"/>
                <w:sz w:val="21"/>
                <w:szCs w:val="21"/>
              </w:rPr>
            </w:pPr>
            <w:r>
              <w:rPr>
                <w:rFonts w:ascii="Times New Roman" w:hAnsi="Times New Roman" w:cs="Times New Roman"/>
                <w:sz w:val="21"/>
                <w:szCs w:val="21"/>
              </w:rPr>
              <w:sym w:font="Wingdings 2" w:char="0052"/>
            </w:r>
            <w:r>
              <w:rPr>
                <w:rFonts w:ascii="Times New Roman" w:hAnsi="Times New Roman" w:cs="Times New Roman"/>
                <w:sz w:val="21"/>
                <w:szCs w:val="21"/>
              </w:rPr>
              <w:t>企业总排</w:t>
            </w:r>
          </w:p>
          <w:p w14:paraId="1B10C982">
            <w:pPr>
              <w:pStyle w:val="56"/>
              <w:spacing w:line="240" w:lineRule="auto"/>
              <w:jc w:val="left"/>
              <w:rPr>
                <w:rFonts w:ascii="Times New Roman" w:hAnsi="Times New Roman" w:cs="Times New Roman"/>
                <w:sz w:val="21"/>
                <w:szCs w:val="21"/>
              </w:rPr>
            </w:pPr>
            <w:r>
              <w:rPr>
                <w:rFonts w:ascii="Times New Roman" w:hAnsi="Times New Roman" w:cs="Times New Roman"/>
                <w:sz w:val="21"/>
                <w:szCs w:val="21"/>
              </w:rPr>
              <w:sym w:font="Wingdings 2" w:char="00A3"/>
            </w:r>
            <w:r>
              <w:rPr>
                <w:rFonts w:ascii="Times New Roman" w:hAnsi="Times New Roman" w:cs="Times New Roman"/>
                <w:sz w:val="21"/>
                <w:szCs w:val="21"/>
              </w:rPr>
              <w:t>雨水排放</w:t>
            </w:r>
          </w:p>
          <w:p w14:paraId="0F8065B2">
            <w:pPr>
              <w:pStyle w:val="56"/>
              <w:spacing w:line="240" w:lineRule="auto"/>
              <w:rPr>
                <w:rFonts w:ascii="Times New Roman" w:hAnsi="Times New Roman" w:cs="Times New Roman"/>
                <w:sz w:val="21"/>
                <w:szCs w:val="21"/>
              </w:rPr>
            </w:pPr>
            <w:r>
              <w:rPr>
                <w:rFonts w:ascii="Times New Roman" w:hAnsi="Times New Roman" w:cs="Times New Roman"/>
                <w:sz w:val="21"/>
                <w:szCs w:val="21"/>
              </w:rPr>
              <w:sym w:font="Wingdings 2" w:char="00A3"/>
            </w:r>
            <w:r>
              <w:rPr>
                <w:rFonts w:ascii="Times New Roman" w:hAnsi="Times New Roman" w:cs="Times New Roman"/>
                <w:sz w:val="21"/>
                <w:szCs w:val="21"/>
              </w:rPr>
              <w:t>清净下水排放</w:t>
            </w:r>
          </w:p>
          <w:p w14:paraId="5E4867F0">
            <w:pPr>
              <w:pStyle w:val="56"/>
              <w:spacing w:line="240" w:lineRule="auto"/>
              <w:jc w:val="left"/>
              <w:rPr>
                <w:rFonts w:ascii="Times New Roman" w:hAnsi="Times New Roman" w:cs="Times New Roman"/>
                <w:sz w:val="21"/>
                <w:szCs w:val="21"/>
              </w:rPr>
            </w:pPr>
            <w:r>
              <w:rPr>
                <w:rFonts w:ascii="Times New Roman" w:hAnsi="Times New Roman" w:cs="Times New Roman"/>
                <w:sz w:val="21"/>
                <w:szCs w:val="21"/>
              </w:rPr>
              <w:sym w:font="Wingdings 2" w:char="00A3"/>
            </w:r>
            <w:r>
              <w:rPr>
                <w:rFonts w:ascii="Times New Roman" w:hAnsi="Times New Roman" w:cs="Times New Roman"/>
                <w:sz w:val="21"/>
                <w:szCs w:val="21"/>
              </w:rPr>
              <w:t>温排水排放</w:t>
            </w:r>
          </w:p>
          <w:p w14:paraId="11F45C4E">
            <w:pPr>
              <w:pStyle w:val="56"/>
              <w:spacing w:line="240" w:lineRule="auto"/>
              <w:jc w:val="left"/>
              <w:rPr>
                <w:rFonts w:ascii="Times New Roman" w:hAnsi="Times New Roman" w:cs="Times New Roman"/>
                <w:sz w:val="21"/>
                <w:szCs w:val="21"/>
              </w:rPr>
            </w:pPr>
            <w:r>
              <w:rPr>
                <w:rFonts w:ascii="Times New Roman" w:hAnsi="Times New Roman" w:cs="Times New Roman"/>
                <w:sz w:val="21"/>
                <w:szCs w:val="21"/>
              </w:rPr>
              <w:sym w:font="Wingdings 2" w:char="00A3"/>
            </w:r>
            <w:r>
              <w:rPr>
                <w:rFonts w:ascii="Times New Roman" w:hAnsi="Times New Roman" w:cs="Times New Roman"/>
                <w:sz w:val="21"/>
                <w:szCs w:val="21"/>
              </w:rPr>
              <w:t>车间或车间处理设施排放口</w:t>
            </w:r>
          </w:p>
        </w:tc>
      </w:tr>
    </w:tbl>
    <w:p w14:paraId="114D40DB">
      <w:pPr>
        <w:pStyle w:val="51"/>
        <w:numPr>
          <w:ilvl w:val="5"/>
          <w:numId w:val="0"/>
        </w:numPr>
        <w:tabs>
          <w:tab w:val="left" w:pos="4395"/>
        </w:tabs>
        <w:spacing w:before="156"/>
        <w:ind w:left="4973" w:leftChars="967" w:hanging="2652" w:hangingChars="1258"/>
        <w:jc w:val="both"/>
        <w:rPr>
          <w:sz w:val="18"/>
          <w:szCs w:val="18"/>
        </w:rPr>
      </w:pPr>
      <w:r>
        <w:rPr>
          <w:rFonts w:hint="default" w:ascii="宋体" w:hAnsi="宋体" w:eastAsia="宋体" w:cs="宋体"/>
          <w:b/>
          <w:bCs/>
          <w:color w:val="auto"/>
          <w:kern w:val="2"/>
          <w:sz w:val="21"/>
          <w:szCs w:val="21"/>
          <w:lang w:val="en-US" w:eastAsia="zh-CN" w:bidi="ar-SA"/>
        </w:rPr>
        <w:t xml:space="preserve">表6.2-32 </w:t>
      </w:r>
      <w:r>
        <w:rPr>
          <w:rFonts w:hint="eastAsia"/>
        </w:rPr>
        <w:t>废水间接排放口基本情况表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7"/>
        <w:gridCol w:w="882"/>
        <w:gridCol w:w="1299"/>
        <w:gridCol w:w="1193"/>
        <w:gridCol w:w="689"/>
        <w:gridCol w:w="480"/>
        <w:gridCol w:w="654"/>
        <w:gridCol w:w="426"/>
        <w:gridCol w:w="572"/>
        <w:gridCol w:w="809"/>
        <w:gridCol w:w="1091"/>
      </w:tblGrid>
      <w:tr w14:paraId="5927A8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restart"/>
            <w:tcBorders>
              <w:tl2br w:val="nil"/>
              <w:tr2bl w:val="nil"/>
            </w:tcBorders>
            <w:vAlign w:val="center"/>
          </w:tcPr>
          <w:p w14:paraId="06A798A5">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序号</w:t>
            </w:r>
          </w:p>
        </w:tc>
        <w:tc>
          <w:tcPr>
            <w:tcW w:w="881" w:type="dxa"/>
            <w:vMerge w:val="restart"/>
            <w:tcBorders>
              <w:tl2br w:val="nil"/>
              <w:tr2bl w:val="nil"/>
            </w:tcBorders>
            <w:vAlign w:val="center"/>
          </w:tcPr>
          <w:p w14:paraId="76D7467C">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排放口编号</w:t>
            </w:r>
          </w:p>
        </w:tc>
        <w:tc>
          <w:tcPr>
            <w:tcW w:w="2491" w:type="dxa"/>
            <w:gridSpan w:val="2"/>
            <w:tcBorders>
              <w:tl2br w:val="nil"/>
              <w:tr2bl w:val="nil"/>
            </w:tcBorders>
            <w:vAlign w:val="center"/>
          </w:tcPr>
          <w:p w14:paraId="1CD03A0F">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排放口地理坐标</w:t>
            </w:r>
          </w:p>
        </w:tc>
        <w:tc>
          <w:tcPr>
            <w:tcW w:w="689" w:type="dxa"/>
            <w:vMerge w:val="restart"/>
            <w:tcBorders>
              <w:tl2br w:val="nil"/>
              <w:tr2bl w:val="nil"/>
            </w:tcBorders>
            <w:vAlign w:val="center"/>
          </w:tcPr>
          <w:p w14:paraId="1CAE1389">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废水排放量（t/a）</w:t>
            </w:r>
          </w:p>
        </w:tc>
        <w:tc>
          <w:tcPr>
            <w:tcW w:w="480" w:type="dxa"/>
            <w:vMerge w:val="restart"/>
            <w:tcBorders>
              <w:tl2br w:val="nil"/>
              <w:tr2bl w:val="nil"/>
            </w:tcBorders>
            <w:vAlign w:val="center"/>
          </w:tcPr>
          <w:p w14:paraId="4B1CE9F5">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排放去向</w:t>
            </w:r>
          </w:p>
        </w:tc>
        <w:tc>
          <w:tcPr>
            <w:tcW w:w="654" w:type="dxa"/>
            <w:vMerge w:val="restart"/>
            <w:tcBorders>
              <w:tl2br w:val="nil"/>
              <w:tr2bl w:val="nil"/>
            </w:tcBorders>
            <w:vAlign w:val="center"/>
          </w:tcPr>
          <w:p w14:paraId="567452E0">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排放规律</w:t>
            </w:r>
          </w:p>
        </w:tc>
        <w:tc>
          <w:tcPr>
            <w:tcW w:w="426" w:type="dxa"/>
            <w:vMerge w:val="restart"/>
            <w:tcBorders>
              <w:tl2br w:val="nil"/>
              <w:tr2bl w:val="nil"/>
            </w:tcBorders>
            <w:vAlign w:val="center"/>
          </w:tcPr>
          <w:p w14:paraId="70012B59">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间歇排放规律</w:t>
            </w:r>
          </w:p>
        </w:tc>
        <w:tc>
          <w:tcPr>
            <w:tcW w:w="2472" w:type="dxa"/>
            <w:gridSpan w:val="3"/>
            <w:tcBorders>
              <w:tl2br w:val="nil"/>
              <w:tr2bl w:val="nil"/>
            </w:tcBorders>
            <w:vAlign w:val="center"/>
          </w:tcPr>
          <w:p w14:paraId="0B2C65E6">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受纳污水处理厂信息</w:t>
            </w:r>
          </w:p>
        </w:tc>
      </w:tr>
      <w:tr w14:paraId="213B9A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continue"/>
            <w:tcBorders>
              <w:tl2br w:val="nil"/>
              <w:tr2bl w:val="nil"/>
            </w:tcBorders>
            <w:vAlign w:val="center"/>
          </w:tcPr>
          <w:p w14:paraId="77F9F895">
            <w:pPr>
              <w:pStyle w:val="56"/>
              <w:spacing w:line="240" w:lineRule="auto"/>
              <w:jc w:val="center"/>
              <w:rPr>
                <w:rFonts w:ascii="Times New Roman" w:hAnsi="Times New Roman" w:cs="Times New Roman"/>
                <w:sz w:val="21"/>
                <w:szCs w:val="21"/>
              </w:rPr>
            </w:pPr>
          </w:p>
        </w:tc>
        <w:tc>
          <w:tcPr>
            <w:tcW w:w="881" w:type="dxa"/>
            <w:vMerge w:val="continue"/>
            <w:tcBorders>
              <w:tl2br w:val="nil"/>
              <w:tr2bl w:val="nil"/>
            </w:tcBorders>
            <w:vAlign w:val="center"/>
          </w:tcPr>
          <w:p w14:paraId="059B233A">
            <w:pPr>
              <w:pStyle w:val="56"/>
              <w:spacing w:line="240" w:lineRule="auto"/>
              <w:jc w:val="center"/>
              <w:rPr>
                <w:rFonts w:ascii="Times New Roman" w:hAnsi="Times New Roman" w:cs="Times New Roman"/>
                <w:sz w:val="21"/>
                <w:szCs w:val="21"/>
              </w:rPr>
            </w:pPr>
          </w:p>
        </w:tc>
        <w:tc>
          <w:tcPr>
            <w:tcW w:w="1298" w:type="dxa"/>
            <w:tcBorders>
              <w:tl2br w:val="nil"/>
              <w:tr2bl w:val="nil"/>
            </w:tcBorders>
            <w:vAlign w:val="center"/>
          </w:tcPr>
          <w:p w14:paraId="6BAA9EB1">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经度</w:t>
            </w:r>
          </w:p>
        </w:tc>
        <w:tc>
          <w:tcPr>
            <w:tcW w:w="1193" w:type="dxa"/>
            <w:tcBorders>
              <w:tl2br w:val="nil"/>
              <w:tr2bl w:val="nil"/>
            </w:tcBorders>
            <w:vAlign w:val="center"/>
          </w:tcPr>
          <w:p w14:paraId="1D947938">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纬度</w:t>
            </w:r>
          </w:p>
        </w:tc>
        <w:tc>
          <w:tcPr>
            <w:tcW w:w="689" w:type="dxa"/>
            <w:vMerge w:val="continue"/>
            <w:tcBorders>
              <w:tl2br w:val="nil"/>
              <w:tr2bl w:val="nil"/>
            </w:tcBorders>
            <w:vAlign w:val="center"/>
          </w:tcPr>
          <w:p w14:paraId="2608366B">
            <w:pPr>
              <w:pStyle w:val="56"/>
              <w:spacing w:line="240" w:lineRule="auto"/>
              <w:jc w:val="center"/>
              <w:rPr>
                <w:rFonts w:ascii="Times New Roman" w:hAnsi="Times New Roman" w:cs="Times New Roman"/>
                <w:sz w:val="21"/>
                <w:szCs w:val="21"/>
              </w:rPr>
            </w:pPr>
          </w:p>
        </w:tc>
        <w:tc>
          <w:tcPr>
            <w:tcW w:w="480" w:type="dxa"/>
            <w:vMerge w:val="continue"/>
            <w:tcBorders>
              <w:tl2br w:val="nil"/>
              <w:tr2bl w:val="nil"/>
            </w:tcBorders>
            <w:vAlign w:val="center"/>
          </w:tcPr>
          <w:p w14:paraId="08705948">
            <w:pPr>
              <w:pStyle w:val="56"/>
              <w:spacing w:line="240" w:lineRule="auto"/>
              <w:jc w:val="center"/>
              <w:rPr>
                <w:rFonts w:ascii="Times New Roman" w:hAnsi="Times New Roman" w:cs="Times New Roman"/>
                <w:sz w:val="21"/>
                <w:szCs w:val="21"/>
              </w:rPr>
            </w:pPr>
          </w:p>
        </w:tc>
        <w:tc>
          <w:tcPr>
            <w:tcW w:w="654" w:type="dxa"/>
            <w:vMerge w:val="continue"/>
            <w:tcBorders>
              <w:tl2br w:val="nil"/>
              <w:tr2bl w:val="nil"/>
            </w:tcBorders>
            <w:vAlign w:val="center"/>
          </w:tcPr>
          <w:p w14:paraId="12E6EF40">
            <w:pPr>
              <w:pStyle w:val="56"/>
              <w:spacing w:line="240" w:lineRule="auto"/>
              <w:jc w:val="center"/>
              <w:rPr>
                <w:rFonts w:ascii="Times New Roman" w:hAnsi="Times New Roman" w:cs="Times New Roman"/>
                <w:sz w:val="21"/>
                <w:szCs w:val="21"/>
              </w:rPr>
            </w:pPr>
          </w:p>
        </w:tc>
        <w:tc>
          <w:tcPr>
            <w:tcW w:w="426" w:type="dxa"/>
            <w:vMerge w:val="continue"/>
            <w:tcBorders>
              <w:tl2br w:val="nil"/>
              <w:tr2bl w:val="nil"/>
            </w:tcBorders>
            <w:vAlign w:val="center"/>
          </w:tcPr>
          <w:p w14:paraId="5E439521">
            <w:pPr>
              <w:pStyle w:val="56"/>
              <w:spacing w:line="240" w:lineRule="auto"/>
              <w:jc w:val="center"/>
              <w:rPr>
                <w:rFonts w:ascii="Times New Roman" w:hAnsi="Times New Roman" w:cs="Times New Roman"/>
                <w:sz w:val="21"/>
                <w:szCs w:val="21"/>
              </w:rPr>
            </w:pPr>
          </w:p>
        </w:tc>
        <w:tc>
          <w:tcPr>
            <w:tcW w:w="572" w:type="dxa"/>
            <w:tcBorders>
              <w:tl2br w:val="nil"/>
              <w:tr2bl w:val="nil"/>
            </w:tcBorders>
            <w:vAlign w:val="center"/>
          </w:tcPr>
          <w:p w14:paraId="682AC59B">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名称</w:t>
            </w:r>
          </w:p>
        </w:tc>
        <w:tc>
          <w:tcPr>
            <w:tcW w:w="809" w:type="dxa"/>
            <w:tcBorders>
              <w:tl2br w:val="nil"/>
              <w:tr2bl w:val="nil"/>
            </w:tcBorders>
            <w:vAlign w:val="center"/>
          </w:tcPr>
          <w:p w14:paraId="4226A771">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污染物种类</w:t>
            </w:r>
          </w:p>
        </w:tc>
        <w:tc>
          <w:tcPr>
            <w:tcW w:w="1091" w:type="dxa"/>
            <w:tcBorders>
              <w:tl2br w:val="nil"/>
              <w:tr2bl w:val="nil"/>
            </w:tcBorders>
            <w:vAlign w:val="center"/>
          </w:tcPr>
          <w:p w14:paraId="51DD22AD">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国家或地方污染物排放浓度标准限值/（mg/L）</w:t>
            </w:r>
          </w:p>
        </w:tc>
      </w:tr>
      <w:tr w14:paraId="5AC5BE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restart"/>
            <w:tcBorders>
              <w:tl2br w:val="nil"/>
              <w:tr2bl w:val="nil"/>
            </w:tcBorders>
            <w:vAlign w:val="center"/>
          </w:tcPr>
          <w:p w14:paraId="345B55A3">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1</w:t>
            </w:r>
          </w:p>
        </w:tc>
        <w:tc>
          <w:tcPr>
            <w:tcW w:w="881" w:type="dxa"/>
            <w:vMerge w:val="restart"/>
            <w:tcBorders>
              <w:tl2br w:val="nil"/>
              <w:tr2bl w:val="nil"/>
            </w:tcBorders>
            <w:vAlign w:val="center"/>
          </w:tcPr>
          <w:p w14:paraId="549AAC42">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DW001</w:t>
            </w:r>
          </w:p>
        </w:tc>
        <w:tc>
          <w:tcPr>
            <w:tcW w:w="1298" w:type="dxa"/>
            <w:vMerge w:val="restart"/>
            <w:tcBorders>
              <w:tl2br w:val="nil"/>
              <w:tr2bl w:val="nil"/>
            </w:tcBorders>
            <w:vAlign w:val="center"/>
          </w:tcPr>
          <w:p w14:paraId="6708C91D">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112.</w:t>
            </w:r>
            <w:r>
              <w:rPr>
                <w:rFonts w:ascii="Times New Roman" w:hAnsi="Times New Roman" w:cs="Times New Roman"/>
                <w:sz w:val="21"/>
                <w:szCs w:val="21"/>
                <w:lang w:val="en-US"/>
              </w:rPr>
              <w:t>573003</w:t>
            </w:r>
            <w:r>
              <w:rPr>
                <w:rFonts w:ascii="Times New Roman" w:hAnsi="Times New Roman" w:cs="Times New Roman"/>
                <w:sz w:val="21"/>
                <w:szCs w:val="21"/>
              </w:rPr>
              <w:t>°</w:t>
            </w:r>
          </w:p>
        </w:tc>
        <w:tc>
          <w:tcPr>
            <w:tcW w:w="1193" w:type="dxa"/>
            <w:vMerge w:val="restart"/>
            <w:tcBorders>
              <w:tl2br w:val="nil"/>
              <w:tr2bl w:val="nil"/>
            </w:tcBorders>
            <w:vAlign w:val="center"/>
          </w:tcPr>
          <w:p w14:paraId="297D6121">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27.</w:t>
            </w:r>
            <w:r>
              <w:rPr>
                <w:rFonts w:ascii="Times New Roman" w:hAnsi="Times New Roman" w:cs="Times New Roman"/>
                <w:sz w:val="21"/>
                <w:szCs w:val="21"/>
                <w:lang w:val="en-US"/>
              </w:rPr>
              <w:t>455974</w:t>
            </w:r>
            <w:r>
              <w:rPr>
                <w:rFonts w:ascii="Times New Roman" w:hAnsi="Times New Roman" w:cs="Times New Roman"/>
                <w:sz w:val="21"/>
                <w:szCs w:val="21"/>
              </w:rPr>
              <w:t>°</w:t>
            </w:r>
          </w:p>
        </w:tc>
        <w:tc>
          <w:tcPr>
            <w:tcW w:w="689" w:type="dxa"/>
            <w:vMerge w:val="restart"/>
            <w:tcBorders>
              <w:tl2br w:val="nil"/>
              <w:tr2bl w:val="nil"/>
            </w:tcBorders>
            <w:vAlign w:val="center"/>
          </w:tcPr>
          <w:p w14:paraId="4FAE758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10366.4</w:t>
            </w:r>
          </w:p>
        </w:tc>
        <w:tc>
          <w:tcPr>
            <w:tcW w:w="480" w:type="dxa"/>
            <w:vMerge w:val="restart"/>
            <w:tcBorders>
              <w:tl2br w:val="nil"/>
              <w:tr2bl w:val="nil"/>
            </w:tcBorders>
            <w:vAlign w:val="center"/>
          </w:tcPr>
          <w:p w14:paraId="7AADF782">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进入城市污水厂</w:t>
            </w:r>
          </w:p>
        </w:tc>
        <w:tc>
          <w:tcPr>
            <w:tcW w:w="654" w:type="dxa"/>
            <w:vMerge w:val="restart"/>
            <w:tcBorders>
              <w:tl2br w:val="nil"/>
              <w:tr2bl w:val="nil"/>
            </w:tcBorders>
            <w:vAlign w:val="center"/>
          </w:tcPr>
          <w:p w14:paraId="67A50F5E">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连续排放，流量稳定</w:t>
            </w:r>
          </w:p>
        </w:tc>
        <w:tc>
          <w:tcPr>
            <w:tcW w:w="426" w:type="dxa"/>
            <w:vMerge w:val="restart"/>
            <w:tcBorders>
              <w:tl2br w:val="nil"/>
              <w:tr2bl w:val="nil"/>
            </w:tcBorders>
            <w:vAlign w:val="center"/>
          </w:tcPr>
          <w:p w14:paraId="385814F9">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w:t>
            </w:r>
          </w:p>
        </w:tc>
        <w:tc>
          <w:tcPr>
            <w:tcW w:w="572" w:type="dxa"/>
            <w:vMerge w:val="restart"/>
            <w:tcBorders>
              <w:tl2br w:val="nil"/>
              <w:tr2bl w:val="nil"/>
            </w:tcBorders>
            <w:vAlign w:val="center"/>
          </w:tcPr>
          <w:p w14:paraId="211EA267">
            <w:pPr>
              <w:pStyle w:val="56"/>
              <w:spacing w:line="240" w:lineRule="auto"/>
              <w:jc w:val="center"/>
              <w:rPr>
                <w:rFonts w:ascii="Times New Roman" w:hAnsi="Times New Roman" w:cs="Times New Roman"/>
                <w:sz w:val="21"/>
                <w:szCs w:val="21"/>
              </w:rPr>
            </w:pPr>
            <w:r>
              <w:rPr>
                <w:rFonts w:hint="eastAsia" w:ascii="Times New Roman" w:hAnsi="Times New Roman" w:cs="Times New Roman"/>
                <w:sz w:val="21"/>
                <w:szCs w:val="21"/>
              </w:rPr>
              <w:t>湘潭县顺业</w:t>
            </w:r>
            <w:r>
              <w:rPr>
                <w:rFonts w:ascii="Times New Roman" w:hAnsi="Times New Roman" w:cs="Times New Roman"/>
                <w:sz w:val="21"/>
                <w:szCs w:val="21"/>
              </w:rPr>
              <w:t>污水处理厂</w:t>
            </w:r>
          </w:p>
        </w:tc>
        <w:tc>
          <w:tcPr>
            <w:tcW w:w="809" w:type="dxa"/>
            <w:tcBorders>
              <w:tl2br w:val="nil"/>
              <w:tr2bl w:val="nil"/>
            </w:tcBorders>
            <w:vAlign w:val="center"/>
          </w:tcPr>
          <w:p w14:paraId="24F9C8F5">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COD</w:t>
            </w:r>
          </w:p>
        </w:tc>
        <w:tc>
          <w:tcPr>
            <w:tcW w:w="1091" w:type="dxa"/>
            <w:tcBorders>
              <w:tl2br w:val="nil"/>
              <w:tr2bl w:val="nil"/>
            </w:tcBorders>
            <w:vAlign w:val="center"/>
          </w:tcPr>
          <w:p w14:paraId="73078DAC">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50</w:t>
            </w:r>
          </w:p>
        </w:tc>
      </w:tr>
      <w:tr w14:paraId="489183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continue"/>
            <w:tcBorders>
              <w:tl2br w:val="nil"/>
              <w:tr2bl w:val="nil"/>
            </w:tcBorders>
            <w:vAlign w:val="center"/>
          </w:tcPr>
          <w:p w14:paraId="663BAB89">
            <w:pPr>
              <w:pStyle w:val="56"/>
              <w:spacing w:line="240" w:lineRule="auto"/>
              <w:jc w:val="center"/>
              <w:rPr>
                <w:rFonts w:ascii="Times New Roman" w:hAnsi="Times New Roman" w:cs="Times New Roman"/>
                <w:sz w:val="21"/>
                <w:szCs w:val="21"/>
              </w:rPr>
            </w:pPr>
          </w:p>
        </w:tc>
        <w:tc>
          <w:tcPr>
            <w:tcW w:w="881" w:type="dxa"/>
            <w:vMerge w:val="continue"/>
            <w:tcBorders>
              <w:tl2br w:val="nil"/>
              <w:tr2bl w:val="nil"/>
            </w:tcBorders>
            <w:vAlign w:val="center"/>
          </w:tcPr>
          <w:p w14:paraId="10729A8B">
            <w:pPr>
              <w:pStyle w:val="56"/>
              <w:spacing w:line="240" w:lineRule="auto"/>
              <w:jc w:val="center"/>
              <w:rPr>
                <w:rFonts w:ascii="Times New Roman" w:hAnsi="Times New Roman" w:cs="Times New Roman"/>
                <w:sz w:val="21"/>
                <w:szCs w:val="21"/>
              </w:rPr>
            </w:pPr>
          </w:p>
        </w:tc>
        <w:tc>
          <w:tcPr>
            <w:tcW w:w="1298" w:type="dxa"/>
            <w:vMerge w:val="continue"/>
            <w:tcBorders>
              <w:tl2br w:val="nil"/>
              <w:tr2bl w:val="nil"/>
            </w:tcBorders>
            <w:vAlign w:val="center"/>
          </w:tcPr>
          <w:p w14:paraId="4F123FE9">
            <w:pPr>
              <w:pStyle w:val="56"/>
              <w:spacing w:line="240" w:lineRule="auto"/>
              <w:jc w:val="center"/>
              <w:rPr>
                <w:rFonts w:ascii="Times New Roman" w:hAnsi="Times New Roman" w:cs="Times New Roman"/>
                <w:sz w:val="21"/>
                <w:szCs w:val="21"/>
              </w:rPr>
            </w:pPr>
          </w:p>
        </w:tc>
        <w:tc>
          <w:tcPr>
            <w:tcW w:w="1193" w:type="dxa"/>
            <w:vMerge w:val="continue"/>
            <w:tcBorders>
              <w:tl2br w:val="nil"/>
              <w:tr2bl w:val="nil"/>
            </w:tcBorders>
            <w:vAlign w:val="center"/>
          </w:tcPr>
          <w:p w14:paraId="22F26A7A">
            <w:pPr>
              <w:pStyle w:val="56"/>
              <w:spacing w:line="240" w:lineRule="auto"/>
              <w:jc w:val="center"/>
              <w:rPr>
                <w:rFonts w:ascii="Times New Roman" w:hAnsi="Times New Roman" w:cs="Times New Roman"/>
                <w:sz w:val="21"/>
                <w:szCs w:val="21"/>
              </w:rPr>
            </w:pPr>
          </w:p>
        </w:tc>
        <w:tc>
          <w:tcPr>
            <w:tcW w:w="689" w:type="dxa"/>
            <w:vMerge w:val="continue"/>
            <w:tcBorders>
              <w:tl2br w:val="nil"/>
              <w:tr2bl w:val="nil"/>
            </w:tcBorders>
            <w:vAlign w:val="center"/>
          </w:tcPr>
          <w:p w14:paraId="3C5228D5">
            <w:pPr>
              <w:pStyle w:val="56"/>
              <w:spacing w:line="240" w:lineRule="auto"/>
              <w:jc w:val="center"/>
              <w:rPr>
                <w:rFonts w:ascii="Times New Roman" w:hAnsi="Times New Roman" w:cs="Times New Roman"/>
                <w:sz w:val="21"/>
                <w:szCs w:val="21"/>
              </w:rPr>
            </w:pPr>
          </w:p>
        </w:tc>
        <w:tc>
          <w:tcPr>
            <w:tcW w:w="480" w:type="dxa"/>
            <w:vMerge w:val="continue"/>
            <w:tcBorders>
              <w:tl2br w:val="nil"/>
              <w:tr2bl w:val="nil"/>
            </w:tcBorders>
            <w:vAlign w:val="center"/>
          </w:tcPr>
          <w:p w14:paraId="1D71BC50">
            <w:pPr>
              <w:pStyle w:val="56"/>
              <w:spacing w:line="240" w:lineRule="auto"/>
              <w:jc w:val="center"/>
              <w:rPr>
                <w:rFonts w:ascii="Times New Roman" w:hAnsi="Times New Roman" w:cs="Times New Roman"/>
                <w:sz w:val="21"/>
                <w:szCs w:val="21"/>
              </w:rPr>
            </w:pPr>
          </w:p>
        </w:tc>
        <w:tc>
          <w:tcPr>
            <w:tcW w:w="654" w:type="dxa"/>
            <w:vMerge w:val="continue"/>
            <w:tcBorders>
              <w:tl2br w:val="nil"/>
              <w:tr2bl w:val="nil"/>
            </w:tcBorders>
            <w:vAlign w:val="center"/>
          </w:tcPr>
          <w:p w14:paraId="1AB9F229">
            <w:pPr>
              <w:pStyle w:val="56"/>
              <w:spacing w:line="240" w:lineRule="auto"/>
              <w:jc w:val="center"/>
              <w:rPr>
                <w:rFonts w:ascii="Times New Roman" w:hAnsi="Times New Roman" w:cs="Times New Roman"/>
                <w:sz w:val="21"/>
                <w:szCs w:val="21"/>
              </w:rPr>
            </w:pPr>
          </w:p>
        </w:tc>
        <w:tc>
          <w:tcPr>
            <w:tcW w:w="426" w:type="dxa"/>
            <w:vMerge w:val="continue"/>
            <w:tcBorders>
              <w:tl2br w:val="nil"/>
              <w:tr2bl w:val="nil"/>
            </w:tcBorders>
            <w:vAlign w:val="center"/>
          </w:tcPr>
          <w:p w14:paraId="5D1A1E77">
            <w:pPr>
              <w:pStyle w:val="56"/>
              <w:spacing w:line="240" w:lineRule="auto"/>
              <w:jc w:val="center"/>
              <w:rPr>
                <w:rFonts w:ascii="Times New Roman" w:hAnsi="Times New Roman" w:cs="Times New Roman"/>
                <w:sz w:val="21"/>
                <w:szCs w:val="21"/>
              </w:rPr>
            </w:pPr>
          </w:p>
        </w:tc>
        <w:tc>
          <w:tcPr>
            <w:tcW w:w="572" w:type="dxa"/>
            <w:vMerge w:val="continue"/>
            <w:tcBorders>
              <w:tl2br w:val="nil"/>
              <w:tr2bl w:val="nil"/>
            </w:tcBorders>
            <w:vAlign w:val="center"/>
          </w:tcPr>
          <w:p w14:paraId="7E073A22">
            <w:pPr>
              <w:pStyle w:val="56"/>
              <w:spacing w:line="240" w:lineRule="auto"/>
              <w:jc w:val="center"/>
              <w:rPr>
                <w:rFonts w:ascii="Times New Roman" w:hAnsi="Times New Roman" w:cs="Times New Roman"/>
                <w:sz w:val="21"/>
                <w:szCs w:val="21"/>
              </w:rPr>
            </w:pPr>
          </w:p>
        </w:tc>
        <w:tc>
          <w:tcPr>
            <w:tcW w:w="809" w:type="dxa"/>
            <w:tcBorders>
              <w:tl2br w:val="nil"/>
              <w:tr2bl w:val="nil"/>
            </w:tcBorders>
            <w:vAlign w:val="center"/>
          </w:tcPr>
          <w:p w14:paraId="15045FF4">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1091" w:type="dxa"/>
            <w:tcBorders>
              <w:tl2br w:val="nil"/>
              <w:tr2bl w:val="nil"/>
            </w:tcBorders>
            <w:vAlign w:val="center"/>
          </w:tcPr>
          <w:p w14:paraId="07F46785">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10</w:t>
            </w:r>
          </w:p>
        </w:tc>
      </w:tr>
      <w:tr w14:paraId="414B24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continue"/>
            <w:tcBorders>
              <w:tl2br w:val="nil"/>
              <w:tr2bl w:val="nil"/>
            </w:tcBorders>
            <w:vAlign w:val="center"/>
          </w:tcPr>
          <w:p w14:paraId="1512AF9F">
            <w:pPr>
              <w:pStyle w:val="56"/>
              <w:spacing w:line="240" w:lineRule="auto"/>
              <w:jc w:val="center"/>
              <w:rPr>
                <w:rFonts w:ascii="Times New Roman" w:hAnsi="Times New Roman" w:cs="Times New Roman"/>
                <w:sz w:val="21"/>
                <w:szCs w:val="21"/>
              </w:rPr>
            </w:pPr>
          </w:p>
        </w:tc>
        <w:tc>
          <w:tcPr>
            <w:tcW w:w="881" w:type="dxa"/>
            <w:vMerge w:val="continue"/>
            <w:tcBorders>
              <w:tl2br w:val="nil"/>
              <w:tr2bl w:val="nil"/>
            </w:tcBorders>
            <w:vAlign w:val="center"/>
          </w:tcPr>
          <w:p w14:paraId="40C571B1">
            <w:pPr>
              <w:pStyle w:val="56"/>
              <w:spacing w:line="240" w:lineRule="auto"/>
              <w:jc w:val="center"/>
              <w:rPr>
                <w:rFonts w:ascii="Times New Roman" w:hAnsi="Times New Roman" w:cs="Times New Roman"/>
                <w:sz w:val="21"/>
                <w:szCs w:val="21"/>
              </w:rPr>
            </w:pPr>
          </w:p>
        </w:tc>
        <w:tc>
          <w:tcPr>
            <w:tcW w:w="1298" w:type="dxa"/>
            <w:vMerge w:val="continue"/>
            <w:tcBorders>
              <w:tl2br w:val="nil"/>
              <w:tr2bl w:val="nil"/>
            </w:tcBorders>
            <w:vAlign w:val="center"/>
          </w:tcPr>
          <w:p w14:paraId="104340D1">
            <w:pPr>
              <w:pStyle w:val="56"/>
              <w:spacing w:line="240" w:lineRule="auto"/>
              <w:jc w:val="center"/>
              <w:rPr>
                <w:rFonts w:ascii="Times New Roman" w:hAnsi="Times New Roman" w:cs="Times New Roman"/>
                <w:sz w:val="21"/>
                <w:szCs w:val="21"/>
              </w:rPr>
            </w:pPr>
          </w:p>
        </w:tc>
        <w:tc>
          <w:tcPr>
            <w:tcW w:w="1193" w:type="dxa"/>
            <w:vMerge w:val="continue"/>
            <w:tcBorders>
              <w:tl2br w:val="nil"/>
              <w:tr2bl w:val="nil"/>
            </w:tcBorders>
            <w:vAlign w:val="center"/>
          </w:tcPr>
          <w:p w14:paraId="711D69F1">
            <w:pPr>
              <w:pStyle w:val="56"/>
              <w:spacing w:line="240" w:lineRule="auto"/>
              <w:jc w:val="center"/>
              <w:rPr>
                <w:rFonts w:ascii="Times New Roman" w:hAnsi="Times New Roman" w:cs="Times New Roman"/>
                <w:sz w:val="21"/>
                <w:szCs w:val="21"/>
              </w:rPr>
            </w:pPr>
          </w:p>
        </w:tc>
        <w:tc>
          <w:tcPr>
            <w:tcW w:w="689" w:type="dxa"/>
            <w:vMerge w:val="continue"/>
            <w:tcBorders>
              <w:tl2br w:val="nil"/>
              <w:tr2bl w:val="nil"/>
            </w:tcBorders>
            <w:vAlign w:val="center"/>
          </w:tcPr>
          <w:p w14:paraId="0B496B6F">
            <w:pPr>
              <w:pStyle w:val="56"/>
              <w:spacing w:line="240" w:lineRule="auto"/>
              <w:jc w:val="center"/>
              <w:rPr>
                <w:rFonts w:ascii="Times New Roman" w:hAnsi="Times New Roman" w:cs="Times New Roman"/>
                <w:sz w:val="21"/>
                <w:szCs w:val="21"/>
              </w:rPr>
            </w:pPr>
          </w:p>
        </w:tc>
        <w:tc>
          <w:tcPr>
            <w:tcW w:w="480" w:type="dxa"/>
            <w:vMerge w:val="continue"/>
            <w:tcBorders>
              <w:tl2br w:val="nil"/>
              <w:tr2bl w:val="nil"/>
            </w:tcBorders>
            <w:vAlign w:val="center"/>
          </w:tcPr>
          <w:p w14:paraId="7A69800A">
            <w:pPr>
              <w:pStyle w:val="56"/>
              <w:spacing w:line="240" w:lineRule="auto"/>
              <w:jc w:val="center"/>
              <w:rPr>
                <w:rFonts w:ascii="Times New Roman" w:hAnsi="Times New Roman" w:cs="Times New Roman"/>
                <w:sz w:val="21"/>
                <w:szCs w:val="21"/>
              </w:rPr>
            </w:pPr>
          </w:p>
        </w:tc>
        <w:tc>
          <w:tcPr>
            <w:tcW w:w="654" w:type="dxa"/>
            <w:vMerge w:val="continue"/>
            <w:tcBorders>
              <w:tl2br w:val="nil"/>
              <w:tr2bl w:val="nil"/>
            </w:tcBorders>
            <w:vAlign w:val="center"/>
          </w:tcPr>
          <w:p w14:paraId="11B6BDC2">
            <w:pPr>
              <w:pStyle w:val="56"/>
              <w:spacing w:line="240" w:lineRule="auto"/>
              <w:jc w:val="center"/>
              <w:rPr>
                <w:rFonts w:ascii="Times New Roman" w:hAnsi="Times New Roman" w:cs="Times New Roman"/>
                <w:sz w:val="21"/>
                <w:szCs w:val="21"/>
              </w:rPr>
            </w:pPr>
          </w:p>
        </w:tc>
        <w:tc>
          <w:tcPr>
            <w:tcW w:w="426" w:type="dxa"/>
            <w:vMerge w:val="continue"/>
            <w:tcBorders>
              <w:tl2br w:val="nil"/>
              <w:tr2bl w:val="nil"/>
            </w:tcBorders>
            <w:vAlign w:val="center"/>
          </w:tcPr>
          <w:p w14:paraId="3A8C015D">
            <w:pPr>
              <w:pStyle w:val="56"/>
              <w:spacing w:line="240" w:lineRule="auto"/>
              <w:jc w:val="center"/>
              <w:rPr>
                <w:rFonts w:ascii="Times New Roman" w:hAnsi="Times New Roman" w:cs="Times New Roman"/>
                <w:sz w:val="21"/>
                <w:szCs w:val="21"/>
              </w:rPr>
            </w:pPr>
          </w:p>
        </w:tc>
        <w:tc>
          <w:tcPr>
            <w:tcW w:w="572" w:type="dxa"/>
            <w:vMerge w:val="continue"/>
            <w:tcBorders>
              <w:tl2br w:val="nil"/>
              <w:tr2bl w:val="nil"/>
            </w:tcBorders>
            <w:vAlign w:val="center"/>
          </w:tcPr>
          <w:p w14:paraId="6C9E90E6">
            <w:pPr>
              <w:pStyle w:val="56"/>
              <w:spacing w:line="240" w:lineRule="auto"/>
              <w:jc w:val="center"/>
              <w:rPr>
                <w:rFonts w:ascii="Times New Roman" w:hAnsi="Times New Roman" w:cs="Times New Roman"/>
                <w:sz w:val="21"/>
                <w:szCs w:val="21"/>
              </w:rPr>
            </w:pPr>
          </w:p>
        </w:tc>
        <w:tc>
          <w:tcPr>
            <w:tcW w:w="809" w:type="dxa"/>
            <w:tcBorders>
              <w:tl2br w:val="nil"/>
              <w:tr2bl w:val="nil"/>
            </w:tcBorders>
            <w:vAlign w:val="center"/>
          </w:tcPr>
          <w:p w14:paraId="114046E6">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SS</w:t>
            </w:r>
          </w:p>
        </w:tc>
        <w:tc>
          <w:tcPr>
            <w:tcW w:w="1091" w:type="dxa"/>
            <w:tcBorders>
              <w:tl2br w:val="nil"/>
              <w:tr2bl w:val="nil"/>
            </w:tcBorders>
            <w:vAlign w:val="center"/>
          </w:tcPr>
          <w:p w14:paraId="240D1713">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10</w:t>
            </w:r>
          </w:p>
        </w:tc>
      </w:tr>
      <w:tr w14:paraId="59EC8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continue"/>
            <w:tcBorders>
              <w:tl2br w:val="nil"/>
              <w:tr2bl w:val="nil"/>
            </w:tcBorders>
            <w:vAlign w:val="center"/>
          </w:tcPr>
          <w:p w14:paraId="3FDBE54E">
            <w:pPr>
              <w:pStyle w:val="56"/>
              <w:spacing w:line="240" w:lineRule="auto"/>
              <w:jc w:val="center"/>
              <w:rPr>
                <w:rFonts w:ascii="Times New Roman" w:hAnsi="Times New Roman" w:cs="Times New Roman"/>
                <w:sz w:val="21"/>
                <w:szCs w:val="21"/>
              </w:rPr>
            </w:pPr>
          </w:p>
        </w:tc>
        <w:tc>
          <w:tcPr>
            <w:tcW w:w="881" w:type="dxa"/>
            <w:vMerge w:val="continue"/>
            <w:tcBorders>
              <w:tl2br w:val="nil"/>
              <w:tr2bl w:val="nil"/>
            </w:tcBorders>
            <w:vAlign w:val="center"/>
          </w:tcPr>
          <w:p w14:paraId="0E4471A0">
            <w:pPr>
              <w:pStyle w:val="56"/>
              <w:spacing w:line="240" w:lineRule="auto"/>
              <w:jc w:val="center"/>
              <w:rPr>
                <w:rFonts w:ascii="Times New Roman" w:hAnsi="Times New Roman" w:cs="Times New Roman"/>
                <w:sz w:val="21"/>
                <w:szCs w:val="21"/>
              </w:rPr>
            </w:pPr>
          </w:p>
        </w:tc>
        <w:tc>
          <w:tcPr>
            <w:tcW w:w="1298" w:type="dxa"/>
            <w:vMerge w:val="continue"/>
            <w:tcBorders>
              <w:tl2br w:val="nil"/>
              <w:tr2bl w:val="nil"/>
            </w:tcBorders>
            <w:vAlign w:val="center"/>
          </w:tcPr>
          <w:p w14:paraId="14F4E41D">
            <w:pPr>
              <w:pStyle w:val="56"/>
              <w:spacing w:line="240" w:lineRule="auto"/>
              <w:jc w:val="center"/>
              <w:rPr>
                <w:rFonts w:ascii="Times New Roman" w:hAnsi="Times New Roman" w:cs="Times New Roman"/>
                <w:sz w:val="21"/>
                <w:szCs w:val="21"/>
              </w:rPr>
            </w:pPr>
          </w:p>
        </w:tc>
        <w:tc>
          <w:tcPr>
            <w:tcW w:w="1193" w:type="dxa"/>
            <w:vMerge w:val="continue"/>
            <w:tcBorders>
              <w:tl2br w:val="nil"/>
              <w:tr2bl w:val="nil"/>
            </w:tcBorders>
            <w:vAlign w:val="center"/>
          </w:tcPr>
          <w:p w14:paraId="08C0D164">
            <w:pPr>
              <w:pStyle w:val="56"/>
              <w:spacing w:line="240" w:lineRule="auto"/>
              <w:jc w:val="center"/>
              <w:rPr>
                <w:rFonts w:ascii="Times New Roman" w:hAnsi="Times New Roman" w:cs="Times New Roman"/>
                <w:sz w:val="21"/>
                <w:szCs w:val="21"/>
              </w:rPr>
            </w:pPr>
          </w:p>
        </w:tc>
        <w:tc>
          <w:tcPr>
            <w:tcW w:w="689" w:type="dxa"/>
            <w:vMerge w:val="continue"/>
            <w:tcBorders>
              <w:tl2br w:val="nil"/>
              <w:tr2bl w:val="nil"/>
            </w:tcBorders>
            <w:vAlign w:val="center"/>
          </w:tcPr>
          <w:p w14:paraId="1BA1D634">
            <w:pPr>
              <w:pStyle w:val="56"/>
              <w:spacing w:line="240" w:lineRule="auto"/>
              <w:jc w:val="center"/>
              <w:rPr>
                <w:rFonts w:ascii="Times New Roman" w:hAnsi="Times New Roman" w:cs="Times New Roman"/>
                <w:sz w:val="21"/>
                <w:szCs w:val="21"/>
              </w:rPr>
            </w:pPr>
          </w:p>
        </w:tc>
        <w:tc>
          <w:tcPr>
            <w:tcW w:w="480" w:type="dxa"/>
            <w:vMerge w:val="continue"/>
            <w:tcBorders>
              <w:tl2br w:val="nil"/>
              <w:tr2bl w:val="nil"/>
            </w:tcBorders>
            <w:vAlign w:val="center"/>
          </w:tcPr>
          <w:p w14:paraId="174752BD">
            <w:pPr>
              <w:pStyle w:val="56"/>
              <w:spacing w:line="240" w:lineRule="auto"/>
              <w:jc w:val="center"/>
              <w:rPr>
                <w:rFonts w:ascii="Times New Roman" w:hAnsi="Times New Roman" w:cs="Times New Roman"/>
                <w:sz w:val="21"/>
                <w:szCs w:val="21"/>
              </w:rPr>
            </w:pPr>
          </w:p>
        </w:tc>
        <w:tc>
          <w:tcPr>
            <w:tcW w:w="654" w:type="dxa"/>
            <w:vMerge w:val="continue"/>
            <w:tcBorders>
              <w:tl2br w:val="nil"/>
              <w:tr2bl w:val="nil"/>
            </w:tcBorders>
            <w:vAlign w:val="center"/>
          </w:tcPr>
          <w:p w14:paraId="1782ADC6">
            <w:pPr>
              <w:pStyle w:val="56"/>
              <w:spacing w:line="240" w:lineRule="auto"/>
              <w:jc w:val="center"/>
              <w:rPr>
                <w:rFonts w:ascii="Times New Roman" w:hAnsi="Times New Roman" w:cs="Times New Roman"/>
                <w:sz w:val="21"/>
                <w:szCs w:val="21"/>
              </w:rPr>
            </w:pPr>
          </w:p>
        </w:tc>
        <w:tc>
          <w:tcPr>
            <w:tcW w:w="426" w:type="dxa"/>
            <w:vMerge w:val="continue"/>
            <w:tcBorders>
              <w:tl2br w:val="nil"/>
              <w:tr2bl w:val="nil"/>
            </w:tcBorders>
            <w:vAlign w:val="center"/>
          </w:tcPr>
          <w:p w14:paraId="306BEECB">
            <w:pPr>
              <w:pStyle w:val="56"/>
              <w:spacing w:line="240" w:lineRule="auto"/>
              <w:jc w:val="center"/>
              <w:rPr>
                <w:rFonts w:ascii="Times New Roman" w:hAnsi="Times New Roman" w:cs="Times New Roman"/>
                <w:sz w:val="21"/>
                <w:szCs w:val="21"/>
              </w:rPr>
            </w:pPr>
          </w:p>
        </w:tc>
        <w:tc>
          <w:tcPr>
            <w:tcW w:w="572" w:type="dxa"/>
            <w:vMerge w:val="continue"/>
            <w:tcBorders>
              <w:tl2br w:val="nil"/>
              <w:tr2bl w:val="nil"/>
            </w:tcBorders>
            <w:vAlign w:val="center"/>
          </w:tcPr>
          <w:p w14:paraId="4BC503FE">
            <w:pPr>
              <w:pStyle w:val="56"/>
              <w:spacing w:line="240" w:lineRule="auto"/>
              <w:jc w:val="center"/>
              <w:rPr>
                <w:rFonts w:ascii="Times New Roman" w:hAnsi="Times New Roman" w:cs="Times New Roman"/>
                <w:sz w:val="21"/>
                <w:szCs w:val="21"/>
              </w:rPr>
            </w:pPr>
          </w:p>
        </w:tc>
        <w:tc>
          <w:tcPr>
            <w:tcW w:w="809" w:type="dxa"/>
            <w:tcBorders>
              <w:tl2br w:val="nil"/>
              <w:tr2bl w:val="nil"/>
            </w:tcBorders>
            <w:vAlign w:val="center"/>
          </w:tcPr>
          <w:p w14:paraId="487870B3">
            <w:pPr>
              <w:pStyle w:val="56"/>
              <w:spacing w:line="240" w:lineRule="auto"/>
              <w:jc w:val="center"/>
              <w:rPr>
                <w:rFonts w:ascii="Times New Roman" w:hAnsi="Times New Roman" w:cs="Times New Roman"/>
                <w:sz w:val="21"/>
                <w:szCs w:val="21"/>
              </w:rPr>
            </w:pPr>
            <w:r>
              <w:rPr>
                <w:rFonts w:hint="eastAsia" w:ascii="Times New Roman" w:hAnsi="Times New Roman" w:cs="Times New Roman"/>
                <w:sz w:val="21"/>
                <w:szCs w:val="21"/>
              </w:rPr>
              <w:t>动植物油</w:t>
            </w:r>
          </w:p>
        </w:tc>
        <w:tc>
          <w:tcPr>
            <w:tcW w:w="1091" w:type="dxa"/>
            <w:tcBorders>
              <w:tl2br w:val="nil"/>
              <w:tr2bl w:val="nil"/>
            </w:tcBorders>
            <w:vAlign w:val="center"/>
          </w:tcPr>
          <w:p w14:paraId="7A771C94">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64C5D1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 w:type="dxa"/>
            <w:vMerge w:val="continue"/>
            <w:tcBorders>
              <w:tl2br w:val="nil"/>
              <w:tr2bl w:val="nil"/>
            </w:tcBorders>
            <w:vAlign w:val="center"/>
          </w:tcPr>
          <w:p w14:paraId="3E900790">
            <w:pPr>
              <w:pStyle w:val="56"/>
              <w:spacing w:line="240" w:lineRule="auto"/>
              <w:jc w:val="center"/>
              <w:rPr>
                <w:rFonts w:ascii="Times New Roman" w:hAnsi="Times New Roman" w:cs="Times New Roman"/>
                <w:sz w:val="21"/>
                <w:szCs w:val="21"/>
              </w:rPr>
            </w:pPr>
          </w:p>
        </w:tc>
        <w:tc>
          <w:tcPr>
            <w:tcW w:w="881" w:type="dxa"/>
            <w:vMerge w:val="continue"/>
            <w:tcBorders>
              <w:tl2br w:val="nil"/>
              <w:tr2bl w:val="nil"/>
            </w:tcBorders>
            <w:vAlign w:val="center"/>
          </w:tcPr>
          <w:p w14:paraId="0AE8E2C7">
            <w:pPr>
              <w:pStyle w:val="56"/>
              <w:spacing w:line="240" w:lineRule="auto"/>
              <w:jc w:val="center"/>
              <w:rPr>
                <w:rFonts w:ascii="Times New Roman" w:hAnsi="Times New Roman" w:cs="Times New Roman"/>
                <w:sz w:val="21"/>
                <w:szCs w:val="21"/>
              </w:rPr>
            </w:pPr>
          </w:p>
        </w:tc>
        <w:tc>
          <w:tcPr>
            <w:tcW w:w="1298" w:type="dxa"/>
            <w:vMerge w:val="continue"/>
            <w:tcBorders>
              <w:tl2br w:val="nil"/>
              <w:tr2bl w:val="nil"/>
            </w:tcBorders>
            <w:vAlign w:val="center"/>
          </w:tcPr>
          <w:p w14:paraId="11F18BD1">
            <w:pPr>
              <w:pStyle w:val="56"/>
              <w:spacing w:line="240" w:lineRule="auto"/>
              <w:jc w:val="center"/>
              <w:rPr>
                <w:rFonts w:ascii="Times New Roman" w:hAnsi="Times New Roman" w:cs="Times New Roman"/>
                <w:sz w:val="21"/>
                <w:szCs w:val="21"/>
              </w:rPr>
            </w:pPr>
          </w:p>
        </w:tc>
        <w:tc>
          <w:tcPr>
            <w:tcW w:w="1193" w:type="dxa"/>
            <w:vMerge w:val="continue"/>
            <w:tcBorders>
              <w:tl2br w:val="nil"/>
              <w:tr2bl w:val="nil"/>
            </w:tcBorders>
            <w:vAlign w:val="center"/>
          </w:tcPr>
          <w:p w14:paraId="28F2D0C2">
            <w:pPr>
              <w:pStyle w:val="56"/>
              <w:spacing w:line="240" w:lineRule="auto"/>
              <w:jc w:val="center"/>
              <w:rPr>
                <w:rFonts w:ascii="Times New Roman" w:hAnsi="Times New Roman" w:cs="Times New Roman"/>
                <w:sz w:val="21"/>
                <w:szCs w:val="21"/>
              </w:rPr>
            </w:pPr>
          </w:p>
        </w:tc>
        <w:tc>
          <w:tcPr>
            <w:tcW w:w="689" w:type="dxa"/>
            <w:vMerge w:val="continue"/>
            <w:tcBorders>
              <w:tl2br w:val="nil"/>
              <w:tr2bl w:val="nil"/>
            </w:tcBorders>
            <w:vAlign w:val="center"/>
          </w:tcPr>
          <w:p w14:paraId="413F97F0">
            <w:pPr>
              <w:pStyle w:val="56"/>
              <w:spacing w:line="240" w:lineRule="auto"/>
              <w:jc w:val="center"/>
              <w:rPr>
                <w:rFonts w:ascii="Times New Roman" w:hAnsi="Times New Roman" w:cs="Times New Roman"/>
                <w:sz w:val="21"/>
                <w:szCs w:val="21"/>
              </w:rPr>
            </w:pPr>
          </w:p>
        </w:tc>
        <w:tc>
          <w:tcPr>
            <w:tcW w:w="480" w:type="dxa"/>
            <w:vMerge w:val="continue"/>
            <w:tcBorders>
              <w:tl2br w:val="nil"/>
              <w:tr2bl w:val="nil"/>
            </w:tcBorders>
            <w:vAlign w:val="center"/>
          </w:tcPr>
          <w:p w14:paraId="68C29452">
            <w:pPr>
              <w:pStyle w:val="56"/>
              <w:spacing w:line="240" w:lineRule="auto"/>
              <w:jc w:val="center"/>
              <w:rPr>
                <w:rFonts w:ascii="Times New Roman" w:hAnsi="Times New Roman" w:cs="Times New Roman"/>
                <w:sz w:val="21"/>
                <w:szCs w:val="21"/>
              </w:rPr>
            </w:pPr>
          </w:p>
        </w:tc>
        <w:tc>
          <w:tcPr>
            <w:tcW w:w="654" w:type="dxa"/>
            <w:vMerge w:val="continue"/>
            <w:tcBorders>
              <w:tl2br w:val="nil"/>
              <w:tr2bl w:val="nil"/>
            </w:tcBorders>
            <w:vAlign w:val="center"/>
          </w:tcPr>
          <w:p w14:paraId="5EE56E75">
            <w:pPr>
              <w:pStyle w:val="56"/>
              <w:spacing w:line="240" w:lineRule="auto"/>
              <w:jc w:val="center"/>
              <w:rPr>
                <w:rFonts w:ascii="Times New Roman" w:hAnsi="Times New Roman" w:cs="Times New Roman"/>
                <w:sz w:val="21"/>
                <w:szCs w:val="21"/>
              </w:rPr>
            </w:pPr>
          </w:p>
        </w:tc>
        <w:tc>
          <w:tcPr>
            <w:tcW w:w="426" w:type="dxa"/>
            <w:vMerge w:val="continue"/>
            <w:tcBorders>
              <w:tl2br w:val="nil"/>
              <w:tr2bl w:val="nil"/>
            </w:tcBorders>
            <w:vAlign w:val="center"/>
          </w:tcPr>
          <w:p w14:paraId="79ABE473">
            <w:pPr>
              <w:pStyle w:val="56"/>
              <w:spacing w:line="240" w:lineRule="auto"/>
              <w:jc w:val="center"/>
              <w:rPr>
                <w:rFonts w:ascii="Times New Roman" w:hAnsi="Times New Roman" w:cs="Times New Roman"/>
                <w:sz w:val="21"/>
                <w:szCs w:val="21"/>
              </w:rPr>
            </w:pPr>
          </w:p>
        </w:tc>
        <w:tc>
          <w:tcPr>
            <w:tcW w:w="572" w:type="dxa"/>
            <w:vMerge w:val="continue"/>
            <w:tcBorders>
              <w:tl2br w:val="nil"/>
              <w:tr2bl w:val="nil"/>
            </w:tcBorders>
            <w:vAlign w:val="center"/>
          </w:tcPr>
          <w:p w14:paraId="63D3437A">
            <w:pPr>
              <w:pStyle w:val="56"/>
              <w:spacing w:line="240" w:lineRule="auto"/>
              <w:jc w:val="center"/>
              <w:rPr>
                <w:rFonts w:ascii="Times New Roman" w:hAnsi="Times New Roman" w:cs="Times New Roman"/>
                <w:sz w:val="21"/>
                <w:szCs w:val="21"/>
              </w:rPr>
            </w:pPr>
          </w:p>
        </w:tc>
        <w:tc>
          <w:tcPr>
            <w:tcW w:w="809" w:type="dxa"/>
            <w:tcBorders>
              <w:tl2br w:val="nil"/>
              <w:tr2bl w:val="nil"/>
            </w:tcBorders>
            <w:vAlign w:val="center"/>
          </w:tcPr>
          <w:p w14:paraId="0ED5F83B">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NH</w:t>
            </w:r>
            <w:r>
              <w:rPr>
                <w:rFonts w:ascii="Times New Roman" w:hAnsi="Times New Roman" w:cs="Times New Roman"/>
                <w:sz w:val="21"/>
                <w:szCs w:val="21"/>
                <w:vertAlign w:val="subscript"/>
              </w:rPr>
              <w:t>3</w:t>
            </w:r>
            <w:r>
              <w:rPr>
                <w:rFonts w:ascii="Times New Roman" w:hAnsi="Times New Roman" w:cs="Times New Roman"/>
                <w:sz w:val="21"/>
                <w:szCs w:val="21"/>
              </w:rPr>
              <w:t>-N</w:t>
            </w:r>
          </w:p>
        </w:tc>
        <w:tc>
          <w:tcPr>
            <w:tcW w:w="1091" w:type="dxa"/>
            <w:tcBorders>
              <w:tl2br w:val="nil"/>
              <w:tr2bl w:val="nil"/>
            </w:tcBorders>
            <w:vAlign w:val="center"/>
          </w:tcPr>
          <w:p w14:paraId="16DF69BB">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5</w:t>
            </w:r>
          </w:p>
        </w:tc>
      </w:tr>
    </w:tbl>
    <w:p w14:paraId="009EC571">
      <w:pPr>
        <w:pStyle w:val="51"/>
        <w:numPr>
          <w:ilvl w:val="5"/>
          <w:numId w:val="0"/>
        </w:numPr>
        <w:tabs>
          <w:tab w:val="left" w:pos="4395"/>
        </w:tabs>
        <w:spacing w:before="156"/>
        <w:ind w:left="4973" w:leftChars="967" w:hanging="2652" w:hangingChars="1258"/>
        <w:jc w:val="both"/>
        <w:rPr>
          <w:sz w:val="18"/>
          <w:szCs w:val="18"/>
        </w:rPr>
      </w:pPr>
      <w:r>
        <w:rPr>
          <w:rFonts w:hint="default" w:ascii="宋体" w:hAnsi="宋体" w:eastAsia="宋体" w:cs="宋体"/>
          <w:b/>
          <w:bCs/>
          <w:color w:val="auto"/>
          <w:kern w:val="2"/>
          <w:sz w:val="21"/>
          <w:szCs w:val="21"/>
          <w:lang w:val="en-US" w:eastAsia="zh-CN" w:bidi="ar-SA"/>
        </w:rPr>
        <w:t>表6.2-33</w:t>
      </w: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 </w:t>
      </w:r>
      <w:r>
        <w:rPr>
          <w:rFonts w:hint="eastAsia"/>
        </w:rPr>
        <w:t>废水污染物排放执行标准表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859"/>
        <w:gridCol w:w="970"/>
        <w:gridCol w:w="1663"/>
        <w:gridCol w:w="2430"/>
        <w:gridCol w:w="2414"/>
      </w:tblGrid>
      <w:tr w14:paraId="429B72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9" w:type="dxa"/>
            <w:vMerge w:val="restart"/>
            <w:tcBorders>
              <w:tl2br w:val="nil"/>
              <w:tr2bl w:val="nil"/>
            </w:tcBorders>
            <w:vAlign w:val="center"/>
          </w:tcPr>
          <w:p w14:paraId="4ABC8C56">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序号</w:t>
            </w:r>
          </w:p>
        </w:tc>
        <w:tc>
          <w:tcPr>
            <w:tcW w:w="970" w:type="dxa"/>
            <w:vMerge w:val="restart"/>
            <w:tcBorders>
              <w:tl2br w:val="nil"/>
              <w:tr2bl w:val="nil"/>
            </w:tcBorders>
            <w:vAlign w:val="center"/>
          </w:tcPr>
          <w:p w14:paraId="256371BD">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排放口</w:t>
            </w:r>
          </w:p>
          <w:p w14:paraId="5F8E667B">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编号</w:t>
            </w:r>
          </w:p>
        </w:tc>
        <w:tc>
          <w:tcPr>
            <w:tcW w:w="1662" w:type="dxa"/>
            <w:vMerge w:val="restart"/>
            <w:tcBorders>
              <w:tl2br w:val="nil"/>
              <w:tr2bl w:val="nil"/>
            </w:tcBorders>
            <w:vAlign w:val="center"/>
          </w:tcPr>
          <w:p w14:paraId="6877C006">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污染物种类</w:t>
            </w:r>
          </w:p>
        </w:tc>
        <w:tc>
          <w:tcPr>
            <w:tcW w:w="4842" w:type="dxa"/>
            <w:gridSpan w:val="2"/>
            <w:tcBorders>
              <w:tl2br w:val="nil"/>
              <w:tr2bl w:val="nil"/>
            </w:tcBorders>
            <w:vAlign w:val="center"/>
          </w:tcPr>
          <w:p w14:paraId="1133292C">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rPr>
              <w:t>国家或地方污染物排放标准及其他按规定商定的排放协议</w:t>
            </w:r>
          </w:p>
        </w:tc>
      </w:tr>
      <w:tr w14:paraId="0DF01D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9" w:type="dxa"/>
            <w:vMerge w:val="continue"/>
            <w:tcBorders>
              <w:tl2br w:val="nil"/>
              <w:tr2bl w:val="nil"/>
            </w:tcBorders>
            <w:vAlign w:val="center"/>
          </w:tcPr>
          <w:p w14:paraId="7334881B">
            <w:pPr>
              <w:spacing w:line="240" w:lineRule="auto"/>
              <w:jc w:val="center"/>
              <w:rPr>
                <w:sz w:val="21"/>
                <w:szCs w:val="21"/>
              </w:rPr>
            </w:pPr>
          </w:p>
        </w:tc>
        <w:tc>
          <w:tcPr>
            <w:tcW w:w="970" w:type="dxa"/>
            <w:vMerge w:val="continue"/>
            <w:tcBorders>
              <w:tl2br w:val="nil"/>
              <w:tr2bl w:val="nil"/>
            </w:tcBorders>
            <w:vAlign w:val="center"/>
          </w:tcPr>
          <w:p w14:paraId="48A8EF9C">
            <w:pPr>
              <w:spacing w:line="240" w:lineRule="auto"/>
              <w:jc w:val="center"/>
              <w:rPr>
                <w:sz w:val="21"/>
                <w:szCs w:val="21"/>
              </w:rPr>
            </w:pPr>
          </w:p>
        </w:tc>
        <w:tc>
          <w:tcPr>
            <w:tcW w:w="1662" w:type="dxa"/>
            <w:vMerge w:val="continue"/>
            <w:tcBorders>
              <w:tl2br w:val="nil"/>
              <w:tr2bl w:val="nil"/>
            </w:tcBorders>
            <w:vAlign w:val="center"/>
          </w:tcPr>
          <w:p w14:paraId="62169730">
            <w:pPr>
              <w:spacing w:line="240" w:lineRule="auto"/>
              <w:jc w:val="center"/>
              <w:rPr>
                <w:sz w:val="21"/>
                <w:szCs w:val="21"/>
              </w:rPr>
            </w:pPr>
          </w:p>
        </w:tc>
        <w:tc>
          <w:tcPr>
            <w:tcW w:w="2429" w:type="dxa"/>
            <w:tcBorders>
              <w:tl2br w:val="nil"/>
              <w:tr2bl w:val="nil"/>
            </w:tcBorders>
            <w:vAlign w:val="center"/>
          </w:tcPr>
          <w:p w14:paraId="65D933E1">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厂区排放口</w:t>
            </w:r>
          </w:p>
        </w:tc>
        <w:tc>
          <w:tcPr>
            <w:tcW w:w="2413" w:type="dxa"/>
            <w:tcBorders>
              <w:tl2br w:val="nil"/>
              <w:tr2bl w:val="nil"/>
            </w:tcBorders>
            <w:vAlign w:val="center"/>
          </w:tcPr>
          <w:p w14:paraId="37BD8DEC">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公共污水处理系统的排放口</w:t>
            </w:r>
          </w:p>
        </w:tc>
      </w:tr>
      <w:tr w14:paraId="50A780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9" w:type="dxa"/>
            <w:tcBorders>
              <w:tl2br w:val="nil"/>
              <w:tr2bl w:val="nil"/>
            </w:tcBorders>
            <w:vAlign w:val="center"/>
          </w:tcPr>
          <w:p w14:paraId="366031CD">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970" w:type="dxa"/>
            <w:tcBorders>
              <w:tl2br w:val="nil"/>
              <w:tr2bl w:val="nil"/>
            </w:tcBorders>
            <w:vAlign w:val="center"/>
          </w:tcPr>
          <w:p w14:paraId="3EB543A1">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DW001</w:t>
            </w:r>
          </w:p>
        </w:tc>
        <w:tc>
          <w:tcPr>
            <w:tcW w:w="1662" w:type="dxa"/>
            <w:tcBorders>
              <w:tl2br w:val="nil"/>
              <w:tr2bl w:val="nil"/>
            </w:tcBorders>
            <w:vAlign w:val="center"/>
          </w:tcPr>
          <w:p w14:paraId="480902B9">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lang w:val="en-US"/>
              </w:rPr>
              <w:t>COD、氨氮、SS、</w:t>
            </w:r>
            <w:r>
              <w:rPr>
                <w:rFonts w:hint="eastAsia" w:cs="Times New Roman"/>
                <w:sz w:val="21"/>
                <w:szCs w:val="21"/>
                <w:lang w:val="en-US"/>
              </w:rPr>
              <w:t>动植物油、</w:t>
            </w:r>
            <w:r>
              <w:rPr>
                <w:rFonts w:ascii="Times New Roman" w:hAnsi="Times New Roman" w:cs="Times New Roman"/>
                <w:sz w:val="21"/>
                <w:szCs w:val="21"/>
                <w:lang w:val="en-US"/>
              </w:rPr>
              <w:t>BOD</w:t>
            </w:r>
            <w:r>
              <w:rPr>
                <w:rFonts w:ascii="Times New Roman" w:hAnsi="Times New Roman" w:cs="Times New Roman"/>
                <w:sz w:val="21"/>
                <w:szCs w:val="21"/>
                <w:vertAlign w:val="subscript"/>
                <w:lang w:val="en-US"/>
              </w:rPr>
              <w:t>5</w:t>
            </w:r>
          </w:p>
        </w:tc>
        <w:tc>
          <w:tcPr>
            <w:tcW w:w="2429" w:type="dxa"/>
            <w:tcBorders>
              <w:tl2br w:val="nil"/>
              <w:tr2bl w:val="nil"/>
            </w:tcBorders>
            <w:vAlign w:val="center"/>
          </w:tcPr>
          <w:p w14:paraId="146C99A3">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《污水综合排放标准》（GB8978-1996）表</w:t>
            </w:r>
            <w:r>
              <w:rPr>
                <w:rFonts w:ascii="Times New Roman" w:hAnsi="Times New Roman" w:cs="Times New Roman"/>
                <w:sz w:val="21"/>
                <w:szCs w:val="21"/>
                <w:lang w:val="en-US"/>
              </w:rPr>
              <w:t>4</w:t>
            </w:r>
            <w:r>
              <w:rPr>
                <w:rFonts w:ascii="Times New Roman" w:hAnsi="Times New Roman" w:cs="Times New Roman"/>
                <w:sz w:val="21"/>
                <w:szCs w:val="21"/>
              </w:rPr>
              <w:t>三级标准</w:t>
            </w:r>
          </w:p>
        </w:tc>
        <w:tc>
          <w:tcPr>
            <w:tcW w:w="2413" w:type="dxa"/>
            <w:tcBorders>
              <w:tl2br w:val="nil"/>
              <w:tr2bl w:val="nil"/>
            </w:tcBorders>
            <w:vAlign w:val="center"/>
          </w:tcPr>
          <w:p w14:paraId="14E2D2DE">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《城镇污水处理厂污染物排放标准》（GB18918-2002）一级A标准</w:t>
            </w:r>
          </w:p>
        </w:tc>
      </w:tr>
    </w:tbl>
    <w:p w14:paraId="58A41E05">
      <w:pPr>
        <w:pStyle w:val="51"/>
        <w:numPr>
          <w:ilvl w:val="5"/>
          <w:numId w:val="0"/>
        </w:numPr>
        <w:tabs>
          <w:tab w:val="left" w:pos="4395"/>
        </w:tabs>
        <w:spacing w:before="156"/>
        <w:ind w:left="4700" w:leftChars="0" w:hanging="3260" w:firstLineChars="0"/>
        <w:rPr>
          <w:sz w:val="18"/>
          <w:szCs w:val="18"/>
        </w:rPr>
      </w:pPr>
      <w:r>
        <w:rPr>
          <w:rFonts w:hint="default" w:ascii="宋体" w:hAnsi="宋体" w:eastAsia="宋体" w:cs="宋体"/>
          <w:b/>
          <w:bCs/>
          <w:color w:val="auto"/>
          <w:kern w:val="2"/>
          <w:sz w:val="21"/>
          <w:szCs w:val="21"/>
          <w:lang w:val="en-US" w:eastAsia="zh-CN" w:bidi="ar-SA"/>
        </w:rPr>
        <w:t xml:space="preserve">表6.2-34 </w:t>
      </w:r>
      <w:r>
        <w:rPr>
          <w:rFonts w:hint="eastAsia" w:ascii="宋体" w:hAnsi="宋体" w:cs="宋体"/>
          <w:b/>
          <w:bCs/>
          <w:color w:val="auto"/>
          <w:kern w:val="2"/>
          <w:sz w:val="21"/>
          <w:szCs w:val="21"/>
          <w:lang w:val="en-US" w:eastAsia="zh-CN" w:bidi="ar-SA"/>
        </w:rPr>
        <w:t xml:space="preserve"> </w:t>
      </w:r>
      <w:r>
        <w:rPr>
          <w:rFonts w:hint="eastAsia"/>
        </w:rPr>
        <w:t>废水污染物排放信息表（变更后全厂情况）</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73"/>
        <w:gridCol w:w="871"/>
        <w:gridCol w:w="1020"/>
        <w:gridCol w:w="1054"/>
        <w:gridCol w:w="1700"/>
        <w:gridCol w:w="1560"/>
        <w:gridCol w:w="1658"/>
      </w:tblGrid>
      <w:tr w14:paraId="5E08BA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3" w:type="dxa"/>
            <w:tcBorders>
              <w:tl2br w:val="nil"/>
              <w:tr2bl w:val="nil"/>
            </w:tcBorders>
            <w:vAlign w:val="center"/>
          </w:tcPr>
          <w:p w14:paraId="73B6CEBD">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序号</w:t>
            </w:r>
          </w:p>
        </w:tc>
        <w:tc>
          <w:tcPr>
            <w:tcW w:w="871" w:type="dxa"/>
            <w:tcBorders>
              <w:tl2br w:val="nil"/>
              <w:tr2bl w:val="nil"/>
            </w:tcBorders>
            <w:vAlign w:val="center"/>
          </w:tcPr>
          <w:p w14:paraId="5EFE1E75">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排放口编号</w:t>
            </w:r>
          </w:p>
        </w:tc>
        <w:tc>
          <w:tcPr>
            <w:tcW w:w="1020" w:type="dxa"/>
            <w:tcBorders>
              <w:tl2br w:val="nil"/>
              <w:tr2bl w:val="nil"/>
            </w:tcBorders>
            <w:vAlign w:val="center"/>
          </w:tcPr>
          <w:p w14:paraId="4C70862A">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污染物</w:t>
            </w:r>
          </w:p>
          <w:p w14:paraId="584252F2">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种类</w:t>
            </w:r>
          </w:p>
        </w:tc>
        <w:tc>
          <w:tcPr>
            <w:tcW w:w="1054" w:type="dxa"/>
            <w:tcBorders>
              <w:tl2br w:val="nil"/>
              <w:tr2bl w:val="nil"/>
            </w:tcBorders>
            <w:vAlign w:val="center"/>
          </w:tcPr>
          <w:p w14:paraId="66BFD75E">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排放浓度/（mg/L）</w:t>
            </w:r>
          </w:p>
        </w:tc>
        <w:tc>
          <w:tcPr>
            <w:tcW w:w="1700" w:type="dxa"/>
            <w:tcBorders>
              <w:tl2br w:val="nil"/>
              <w:tr2bl w:val="nil"/>
            </w:tcBorders>
            <w:vAlign w:val="center"/>
          </w:tcPr>
          <w:p w14:paraId="56FD39D9">
            <w:pPr>
              <w:pStyle w:val="56"/>
              <w:spacing w:line="240" w:lineRule="auto"/>
              <w:jc w:val="center"/>
              <w:rPr>
                <w:rFonts w:ascii="Times New Roman" w:hAnsi="Times New Roman" w:cs="Times New Roman"/>
                <w:color w:val="FF0000"/>
                <w:sz w:val="21"/>
                <w:szCs w:val="21"/>
              </w:rPr>
            </w:pPr>
            <w:r>
              <w:rPr>
                <w:rFonts w:hint="eastAsia" w:ascii="Times New Roman" w:hAnsi="Times New Roman" w:cs="Times New Roman"/>
                <w:sz w:val="21"/>
                <w:szCs w:val="21"/>
              </w:rPr>
              <w:t>现有全厂日排放量</w:t>
            </w:r>
            <w:r>
              <w:rPr>
                <w:rFonts w:ascii="Times New Roman" w:hAnsi="Times New Roman" w:cs="Times New Roman"/>
                <w:sz w:val="21"/>
                <w:szCs w:val="21"/>
              </w:rPr>
              <w:t>/</w:t>
            </w:r>
            <w:r>
              <w:rPr>
                <w:rFonts w:hint="eastAsia" w:ascii="Times New Roman" w:hAnsi="Times New Roman" w:cs="Times New Roman"/>
                <w:sz w:val="21"/>
                <w:szCs w:val="21"/>
              </w:rPr>
              <w:t>（</w:t>
            </w:r>
            <w:r>
              <w:rPr>
                <w:rFonts w:ascii="Times New Roman" w:hAnsi="Times New Roman" w:cs="Times New Roman"/>
                <w:sz w:val="21"/>
                <w:szCs w:val="21"/>
              </w:rPr>
              <w:t>t/d</w:t>
            </w:r>
            <w:r>
              <w:rPr>
                <w:rFonts w:hint="eastAsia" w:ascii="Times New Roman" w:hAnsi="Times New Roman" w:cs="Times New Roman"/>
                <w:sz w:val="21"/>
                <w:szCs w:val="21"/>
              </w:rPr>
              <w:t>）</w:t>
            </w:r>
          </w:p>
        </w:tc>
        <w:tc>
          <w:tcPr>
            <w:tcW w:w="1560" w:type="dxa"/>
            <w:tcBorders>
              <w:tl2br w:val="nil"/>
              <w:tr2bl w:val="nil"/>
            </w:tcBorders>
            <w:vAlign w:val="center"/>
          </w:tcPr>
          <w:p w14:paraId="511E49C8">
            <w:pPr>
              <w:pStyle w:val="56"/>
              <w:spacing w:line="240" w:lineRule="auto"/>
              <w:jc w:val="center"/>
              <w:rPr>
                <w:rFonts w:ascii="Times New Roman" w:hAnsi="Times New Roman" w:cs="Times New Roman"/>
                <w:color w:val="FF0000"/>
                <w:sz w:val="21"/>
                <w:szCs w:val="21"/>
              </w:rPr>
            </w:pPr>
            <w:r>
              <w:rPr>
                <w:rFonts w:hint="eastAsia" w:ascii="Times New Roman" w:hAnsi="Times New Roman" w:cs="Times New Roman"/>
                <w:sz w:val="21"/>
                <w:szCs w:val="21"/>
              </w:rPr>
              <w:t>变更后全厂</w:t>
            </w:r>
            <w:r>
              <w:rPr>
                <w:rFonts w:ascii="Times New Roman" w:hAnsi="Times New Roman" w:cs="Times New Roman"/>
                <w:sz w:val="21"/>
                <w:szCs w:val="21"/>
              </w:rPr>
              <w:t>日排放量/（t/d）</w:t>
            </w:r>
          </w:p>
        </w:tc>
        <w:tc>
          <w:tcPr>
            <w:tcW w:w="1658" w:type="dxa"/>
            <w:tcBorders>
              <w:tl2br w:val="nil"/>
              <w:tr2bl w:val="nil"/>
            </w:tcBorders>
            <w:vAlign w:val="center"/>
          </w:tcPr>
          <w:p w14:paraId="211F94C6">
            <w:pPr>
              <w:pStyle w:val="56"/>
              <w:spacing w:line="240" w:lineRule="auto"/>
              <w:jc w:val="center"/>
              <w:rPr>
                <w:rFonts w:ascii="Times New Roman" w:hAnsi="Times New Roman" w:cs="Times New Roman"/>
                <w:sz w:val="21"/>
                <w:szCs w:val="21"/>
              </w:rPr>
            </w:pPr>
            <w:r>
              <w:rPr>
                <w:rFonts w:hint="eastAsia" w:ascii="Times New Roman" w:hAnsi="Times New Roman" w:cs="Times New Roman"/>
                <w:sz w:val="21"/>
                <w:szCs w:val="21"/>
              </w:rPr>
              <w:t>变更后全厂</w:t>
            </w:r>
            <w:r>
              <w:rPr>
                <w:rFonts w:ascii="Times New Roman" w:hAnsi="Times New Roman" w:cs="Times New Roman"/>
                <w:sz w:val="21"/>
                <w:szCs w:val="21"/>
              </w:rPr>
              <w:t>年排放量/（t/a）</w:t>
            </w:r>
          </w:p>
        </w:tc>
      </w:tr>
      <w:tr w14:paraId="7AE0A1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3" w:type="dxa"/>
            <w:vMerge w:val="restart"/>
            <w:tcBorders>
              <w:tl2br w:val="nil"/>
              <w:tr2bl w:val="nil"/>
            </w:tcBorders>
            <w:vAlign w:val="center"/>
          </w:tcPr>
          <w:p w14:paraId="596870A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871" w:type="dxa"/>
            <w:vMerge w:val="restart"/>
            <w:tcBorders>
              <w:tl2br w:val="nil"/>
              <w:tr2bl w:val="nil"/>
            </w:tcBorders>
            <w:vAlign w:val="center"/>
          </w:tcPr>
          <w:p w14:paraId="0FA1F9F9">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DW001</w:t>
            </w:r>
          </w:p>
        </w:tc>
        <w:tc>
          <w:tcPr>
            <w:tcW w:w="1020" w:type="dxa"/>
            <w:tcBorders>
              <w:tl2br w:val="nil"/>
              <w:tr2bl w:val="nil"/>
            </w:tcBorders>
            <w:vAlign w:val="center"/>
          </w:tcPr>
          <w:p w14:paraId="1F1EBB2B">
            <w:pPr>
              <w:pStyle w:val="64"/>
              <w:spacing w:line="240" w:lineRule="auto"/>
              <w:ind w:firstLine="0"/>
              <w:rPr>
                <w:sz w:val="21"/>
                <w:szCs w:val="21"/>
              </w:rPr>
            </w:pPr>
            <w:r>
              <w:rPr>
                <w:sz w:val="21"/>
                <w:szCs w:val="21"/>
              </w:rPr>
              <w:t>COD</w:t>
            </w:r>
          </w:p>
        </w:tc>
        <w:tc>
          <w:tcPr>
            <w:tcW w:w="1054" w:type="dxa"/>
            <w:tcBorders>
              <w:tl2br w:val="nil"/>
              <w:tr2bl w:val="nil"/>
            </w:tcBorders>
            <w:vAlign w:val="center"/>
          </w:tcPr>
          <w:p w14:paraId="261B0576">
            <w:pPr>
              <w:adjustRightInd w:val="0"/>
              <w:snapToGrid w:val="0"/>
              <w:spacing w:line="240" w:lineRule="auto"/>
              <w:jc w:val="center"/>
              <w:rPr>
                <w:sz w:val="21"/>
                <w:szCs w:val="21"/>
              </w:rPr>
            </w:pPr>
            <w:r>
              <w:rPr>
                <w:rFonts w:hint="eastAsia"/>
                <w:sz w:val="21"/>
                <w:szCs w:val="21"/>
              </w:rPr>
              <w:t>263</w:t>
            </w:r>
          </w:p>
        </w:tc>
        <w:tc>
          <w:tcPr>
            <w:tcW w:w="1700" w:type="dxa"/>
            <w:tcBorders>
              <w:tl2br w:val="nil"/>
              <w:tr2bl w:val="nil"/>
            </w:tcBorders>
            <w:vAlign w:val="center"/>
          </w:tcPr>
          <w:p w14:paraId="2FC422A5">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8.029</w:t>
            </w:r>
          </w:p>
        </w:tc>
        <w:tc>
          <w:tcPr>
            <w:tcW w:w="1560" w:type="dxa"/>
            <w:tcBorders>
              <w:tl2br w:val="nil"/>
              <w:tr2bl w:val="nil"/>
            </w:tcBorders>
            <w:vAlign w:val="center"/>
          </w:tcPr>
          <w:p w14:paraId="79B4DCB3">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8.029</w:t>
            </w:r>
          </w:p>
        </w:tc>
        <w:tc>
          <w:tcPr>
            <w:tcW w:w="1658" w:type="dxa"/>
            <w:tcBorders>
              <w:tl2br w:val="nil"/>
              <w:tr2bl w:val="nil"/>
            </w:tcBorders>
            <w:vAlign w:val="center"/>
          </w:tcPr>
          <w:p w14:paraId="1B0434BD">
            <w:pPr>
              <w:spacing w:line="240" w:lineRule="auto"/>
              <w:jc w:val="center"/>
              <w:rPr>
                <w:sz w:val="21"/>
                <w:szCs w:val="21"/>
              </w:rPr>
            </w:pPr>
            <w:r>
              <w:rPr>
                <w:rFonts w:hint="eastAsia"/>
                <w:sz w:val="21"/>
                <w:szCs w:val="21"/>
              </w:rPr>
              <w:t>2.73</w:t>
            </w:r>
          </w:p>
        </w:tc>
      </w:tr>
      <w:tr w14:paraId="4E5452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3" w:type="dxa"/>
            <w:vMerge w:val="continue"/>
            <w:tcBorders>
              <w:tl2br w:val="nil"/>
              <w:tr2bl w:val="nil"/>
            </w:tcBorders>
            <w:vAlign w:val="center"/>
          </w:tcPr>
          <w:p w14:paraId="5D0F2BD5">
            <w:pPr>
              <w:pStyle w:val="56"/>
              <w:spacing w:line="240" w:lineRule="auto"/>
              <w:jc w:val="center"/>
              <w:rPr>
                <w:rFonts w:ascii="Times New Roman" w:hAnsi="Times New Roman" w:cs="Times New Roman"/>
                <w:sz w:val="21"/>
                <w:szCs w:val="21"/>
                <w:lang w:val="en-US"/>
              </w:rPr>
            </w:pPr>
          </w:p>
        </w:tc>
        <w:tc>
          <w:tcPr>
            <w:tcW w:w="871" w:type="dxa"/>
            <w:vMerge w:val="continue"/>
            <w:tcBorders>
              <w:tl2br w:val="nil"/>
              <w:tr2bl w:val="nil"/>
            </w:tcBorders>
            <w:vAlign w:val="center"/>
          </w:tcPr>
          <w:p w14:paraId="6962504E">
            <w:pPr>
              <w:pStyle w:val="56"/>
              <w:spacing w:line="240" w:lineRule="auto"/>
              <w:jc w:val="center"/>
              <w:rPr>
                <w:rFonts w:ascii="Times New Roman" w:hAnsi="Times New Roman" w:cs="Times New Roman"/>
                <w:sz w:val="21"/>
                <w:szCs w:val="21"/>
                <w:lang w:val="en-US"/>
              </w:rPr>
            </w:pPr>
          </w:p>
        </w:tc>
        <w:tc>
          <w:tcPr>
            <w:tcW w:w="1020" w:type="dxa"/>
            <w:tcBorders>
              <w:tl2br w:val="nil"/>
              <w:tr2bl w:val="nil"/>
            </w:tcBorders>
            <w:vAlign w:val="center"/>
          </w:tcPr>
          <w:p w14:paraId="50CAD601">
            <w:pPr>
              <w:pStyle w:val="64"/>
              <w:spacing w:line="240" w:lineRule="auto"/>
              <w:ind w:firstLine="0"/>
              <w:rPr>
                <w:sz w:val="21"/>
                <w:szCs w:val="21"/>
              </w:rPr>
            </w:pPr>
            <w:r>
              <w:rPr>
                <w:sz w:val="21"/>
                <w:szCs w:val="21"/>
              </w:rPr>
              <w:t>BOD</w:t>
            </w:r>
            <w:r>
              <w:rPr>
                <w:sz w:val="21"/>
                <w:szCs w:val="21"/>
                <w:vertAlign w:val="subscript"/>
              </w:rPr>
              <w:t>5</w:t>
            </w:r>
          </w:p>
        </w:tc>
        <w:tc>
          <w:tcPr>
            <w:tcW w:w="1054" w:type="dxa"/>
            <w:tcBorders>
              <w:tl2br w:val="nil"/>
              <w:tr2bl w:val="nil"/>
            </w:tcBorders>
            <w:vAlign w:val="center"/>
          </w:tcPr>
          <w:p w14:paraId="3043DAF1">
            <w:pPr>
              <w:adjustRightInd w:val="0"/>
              <w:snapToGrid w:val="0"/>
              <w:spacing w:line="240" w:lineRule="auto"/>
              <w:jc w:val="center"/>
              <w:rPr>
                <w:sz w:val="21"/>
                <w:szCs w:val="21"/>
              </w:rPr>
            </w:pPr>
            <w:r>
              <w:rPr>
                <w:rFonts w:hint="eastAsia"/>
                <w:sz w:val="21"/>
                <w:szCs w:val="21"/>
              </w:rPr>
              <w:t>100</w:t>
            </w:r>
          </w:p>
        </w:tc>
        <w:tc>
          <w:tcPr>
            <w:tcW w:w="1700" w:type="dxa"/>
            <w:tcBorders>
              <w:tl2br w:val="nil"/>
              <w:tr2bl w:val="nil"/>
            </w:tcBorders>
            <w:vAlign w:val="center"/>
          </w:tcPr>
          <w:p w14:paraId="4B0BB11C">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3.059</w:t>
            </w:r>
          </w:p>
        </w:tc>
        <w:tc>
          <w:tcPr>
            <w:tcW w:w="1560" w:type="dxa"/>
            <w:tcBorders>
              <w:tl2br w:val="nil"/>
              <w:tr2bl w:val="nil"/>
            </w:tcBorders>
            <w:vAlign w:val="center"/>
          </w:tcPr>
          <w:p w14:paraId="2651EFF3">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3.059</w:t>
            </w:r>
          </w:p>
        </w:tc>
        <w:tc>
          <w:tcPr>
            <w:tcW w:w="1658" w:type="dxa"/>
            <w:tcBorders>
              <w:tl2br w:val="nil"/>
              <w:tr2bl w:val="nil"/>
            </w:tcBorders>
            <w:vAlign w:val="center"/>
          </w:tcPr>
          <w:p w14:paraId="4C73AB71">
            <w:pPr>
              <w:spacing w:line="240" w:lineRule="auto"/>
              <w:jc w:val="center"/>
              <w:rPr>
                <w:sz w:val="21"/>
                <w:szCs w:val="21"/>
              </w:rPr>
            </w:pPr>
            <w:r>
              <w:rPr>
                <w:rFonts w:hint="eastAsia"/>
                <w:sz w:val="21"/>
                <w:szCs w:val="21"/>
              </w:rPr>
              <w:t>1.04</w:t>
            </w:r>
          </w:p>
        </w:tc>
      </w:tr>
      <w:tr w14:paraId="3EFBA6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3" w:type="dxa"/>
            <w:vMerge w:val="continue"/>
            <w:tcBorders>
              <w:tl2br w:val="nil"/>
              <w:tr2bl w:val="nil"/>
            </w:tcBorders>
            <w:vAlign w:val="center"/>
          </w:tcPr>
          <w:p w14:paraId="2CA66E64">
            <w:pPr>
              <w:pStyle w:val="56"/>
              <w:spacing w:line="240" w:lineRule="auto"/>
              <w:jc w:val="center"/>
              <w:rPr>
                <w:rFonts w:ascii="Times New Roman" w:hAnsi="Times New Roman" w:cs="Times New Roman"/>
                <w:sz w:val="21"/>
                <w:szCs w:val="21"/>
                <w:lang w:val="en-US"/>
              </w:rPr>
            </w:pPr>
          </w:p>
        </w:tc>
        <w:tc>
          <w:tcPr>
            <w:tcW w:w="871" w:type="dxa"/>
            <w:vMerge w:val="continue"/>
            <w:tcBorders>
              <w:tl2br w:val="nil"/>
              <w:tr2bl w:val="nil"/>
            </w:tcBorders>
            <w:vAlign w:val="center"/>
          </w:tcPr>
          <w:p w14:paraId="7E64F9DF">
            <w:pPr>
              <w:pStyle w:val="56"/>
              <w:spacing w:line="240" w:lineRule="auto"/>
              <w:jc w:val="center"/>
              <w:rPr>
                <w:rFonts w:ascii="Times New Roman" w:hAnsi="Times New Roman" w:cs="Times New Roman"/>
                <w:sz w:val="21"/>
                <w:szCs w:val="21"/>
                <w:lang w:val="en-US"/>
              </w:rPr>
            </w:pPr>
          </w:p>
        </w:tc>
        <w:tc>
          <w:tcPr>
            <w:tcW w:w="1020" w:type="dxa"/>
            <w:tcBorders>
              <w:tl2br w:val="nil"/>
              <w:tr2bl w:val="nil"/>
            </w:tcBorders>
            <w:vAlign w:val="center"/>
          </w:tcPr>
          <w:p w14:paraId="0A2E5F11">
            <w:pPr>
              <w:pStyle w:val="64"/>
              <w:spacing w:line="240" w:lineRule="auto"/>
              <w:ind w:firstLine="0"/>
              <w:rPr>
                <w:position w:val="1"/>
                <w:sz w:val="21"/>
                <w:szCs w:val="21"/>
              </w:rPr>
            </w:pPr>
            <w:r>
              <w:rPr>
                <w:sz w:val="21"/>
                <w:szCs w:val="21"/>
              </w:rPr>
              <w:t>SS</w:t>
            </w:r>
          </w:p>
        </w:tc>
        <w:tc>
          <w:tcPr>
            <w:tcW w:w="1054" w:type="dxa"/>
            <w:tcBorders>
              <w:tl2br w:val="nil"/>
              <w:tr2bl w:val="nil"/>
            </w:tcBorders>
            <w:vAlign w:val="center"/>
          </w:tcPr>
          <w:p w14:paraId="39607618">
            <w:pPr>
              <w:adjustRightInd w:val="0"/>
              <w:snapToGrid w:val="0"/>
              <w:spacing w:line="240" w:lineRule="auto"/>
              <w:jc w:val="center"/>
              <w:rPr>
                <w:sz w:val="21"/>
                <w:szCs w:val="21"/>
              </w:rPr>
            </w:pPr>
            <w:r>
              <w:rPr>
                <w:rFonts w:hint="eastAsia"/>
                <w:sz w:val="21"/>
                <w:szCs w:val="21"/>
              </w:rPr>
              <w:t>140</w:t>
            </w:r>
          </w:p>
        </w:tc>
        <w:tc>
          <w:tcPr>
            <w:tcW w:w="1700" w:type="dxa"/>
            <w:tcBorders>
              <w:tl2br w:val="nil"/>
              <w:tr2bl w:val="nil"/>
            </w:tcBorders>
            <w:vAlign w:val="center"/>
          </w:tcPr>
          <w:p w14:paraId="3929E710">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4.265</w:t>
            </w:r>
          </w:p>
        </w:tc>
        <w:tc>
          <w:tcPr>
            <w:tcW w:w="1560" w:type="dxa"/>
            <w:tcBorders>
              <w:tl2br w:val="nil"/>
              <w:tr2bl w:val="nil"/>
            </w:tcBorders>
            <w:vAlign w:val="center"/>
          </w:tcPr>
          <w:p w14:paraId="5FA6BE1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4.265</w:t>
            </w:r>
          </w:p>
        </w:tc>
        <w:tc>
          <w:tcPr>
            <w:tcW w:w="1658" w:type="dxa"/>
            <w:tcBorders>
              <w:tl2br w:val="nil"/>
              <w:tr2bl w:val="nil"/>
            </w:tcBorders>
            <w:vAlign w:val="center"/>
          </w:tcPr>
          <w:p w14:paraId="62F17E84">
            <w:pPr>
              <w:spacing w:line="240" w:lineRule="auto"/>
              <w:jc w:val="center"/>
              <w:rPr>
                <w:sz w:val="21"/>
                <w:szCs w:val="21"/>
              </w:rPr>
            </w:pPr>
            <w:r>
              <w:rPr>
                <w:rFonts w:hint="eastAsia"/>
                <w:sz w:val="21"/>
                <w:szCs w:val="21"/>
              </w:rPr>
              <w:t>1.45</w:t>
            </w:r>
          </w:p>
        </w:tc>
      </w:tr>
      <w:tr w14:paraId="2D753B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3" w:type="dxa"/>
            <w:vMerge w:val="continue"/>
            <w:tcBorders>
              <w:tl2br w:val="nil"/>
              <w:tr2bl w:val="nil"/>
            </w:tcBorders>
            <w:vAlign w:val="center"/>
          </w:tcPr>
          <w:p w14:paraId="0F1B0AFF">
            <w:pPr>
              <w:pStyle w:val="56"/>
              <w:spacing w:line="240" w:lineRule="auto"/>
              <w:jc w:val="center"/>
              <w:rPr>
                <w:rFonts w:ascii="Times New Roman" w:hAnsi="Times New Roman" w:cs="Times New Roman"/>
                <w:sz w:val="21"/>
                <w:szCs w:val="21"/>
                <w:lang w:val="en-US"/>
              </w:rPr>
            </w:pPr>
          </w:p>
        </w:tc>
        <w:tc>
          <w:tcPr>
            <w:tcW w:w="871" w:type="dxa"/>
            <w:vMerge w:val="continue"/>
            <w:tcBorders>
              <w:tl2br w:val="nil"/>
              <w:tr2bl w:val="nil"/>
            </w:tcBorders>
            <w:vAlign w:val="center"/>
          </w:tcPr>
          <w:p w14:paraId="3AE57CD7">
            <w:pPr>
              <w:pStyle w:val="56"/>
              <w:spacing w:line="240" w:lineRule="auto"/>
              <w:jc w:val="center"/>
              <w:rPr>
                <w:rFonts w:ascii="Times New Roman" w:hAnsi="Times New Roman" w:cs="Times New Roman"/>
                <w:sz w:val="21"/>
                <w:szCs w:val="21"/>
                <w:lang w:val="en-US"/>
              </w:rPr>
            </w:pPr>
          </w:p>
        </w:tc>
        <w:tc>
          <w:tcPr>
            <w:tcW w:w="1020" w:type="dxa"/>
            <w:tcBorders>
              <w:tl2br w:val="nil"/>
              <w:tr2bl w:val="nil"/>
            </w:tcBorders>
            <w:vAlign w:val="center"/>
          </w:tcPr>
          <w:p w14:paraId="0FD6E6AD">
            <w:pPr>
              <w:pStyle w:val="64"/>
              <w:spacing w:line="240" w:lineRule="auto"/>
              <w:ind w:firstLine="0"/>
              <w:rPr>
                <w:sz w:val="21"/>
                <w:szCs w:val="21"/>
              </w:rPr>
            </w:pPr>
            <w:r>
              <w:rPr>
                <w:sz w:val="21"/>
                <w:szCs w:val="21"/>
              </w:rPr>
              <w:t>NH</w:t>
            </w:r>
            <w:r>
              <w:rPr>
                <w:sz w:val="21"/>
                <w:szCs w:val="21"/>
                <w:vertAlign w:val="subscript"/>
              </w:rPr>
              <w:t>3</w:t>
            </w:r>
            <w:r>
              <w:rPr>
                <w:sz w:val="21"/>
                <w:szCs w:val="21"/>
              </w:rPr>
              <w:t>-N</w:t>
            </w:r>
          </w:p>
        </w:tc>
        <w:tc>
          <w:tcPr>
            <w:tcW w:w="1054" w:type="dxa"/>
            <w:tcBorders>
              <w:tl2br w:val="nil"/>
              <w:tr2bl w:val="nil"/>
            </w:tcBorders>
            <w:vAlign w:val="center"/>
          </w:tcPr>
          <w:p w14:paraId="73F8217C">
            <w:pPr>
              <w:adjustRightInd w:val="0"/>
              <w:snapToGrid w:val="0"/>
              <w:spacing w:line="240" w:lineRule="auto"/>
              <w:jc w:val="center"/>
              <w:rPr>
                <w:sz w:val="21"/>
                <w:szCs w:val="21"/>
              </w:rPr>
            </w:pPr>
            <w:r>
              <w:rPr>
                <w:rFonts w:hint="eastAsia"/>
                <w:sz w:val="21"/>
                <w:szCs w:val="21"/>
              </w:rPr>
              <w:t>22</w:t>
            </w:r>
          </w:p>
        </w:tc>
        <w:tc>
          <w:tcPr>
            <w:tcW w:w="1700" w:type="dxa"/>
            <w:tcBorders>
              <w:tl2br w:val="nil"/>
              <w:tr2bl w:val="nil"/>
            </w:tcBorders>
            <w:vAlign w:val="center"/>
          </w:tcPr>
          <w:p w14:paraId="4722F725">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0.676</w:t>
            </w:r>
          </w:p>
        </w:tc>
        <w:tc>
          <w:tcPr>
            <w:tcW w:w="1560" w:type="dxa"/>
            <w:tcBorders>
              <w:tl2br w:val="nil"/>
              <w:tr2bl w:val="nil"/>
            </w:tcBorders>
            <w:vAlign w:val="center"/>
          </w:tcPr>
          <w:p w14:paraId="287A1B3A">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0.676</w:t>
            </w:r>
          </w:p>
        </w:tc>
        <w:tc>
          <w:tcPr>
            <w:tcW w:w="1658" w:type="dxa"/>
            <w:tcBorders>
              <w:tl2br w:val="nil"/>
              <w:tr2bl w:val="nil"/>
            </w:tcBorders>
            <w:vAlign w:val="center"/>
          </w:tcPr>
          <w:p w14:paraId="6F5462A4">
            <w:pPr>
              <w:spacing w:line="240" w:lineRule="auto"/>
              <w:jc w:val="center"/>
              <w:rPr>
                <w:sz w:val="21"/>
                <w:szCs w:val="21"/>
              </w:rPr>
            </w:pPr>
            <w:r>
              <w:rPr>
                <w:rFonts w:hint="eastAsia"/>
                <w:sz w:val="21"/>
                <w:szCs w:val="21"/>
              </w:rPr>
              <w:t>0.23</w:t>
            </w:r>
          </w:p>
        </w:tc>
      </w:tr>
      <w:tr w14:paraId="7AF8E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3" w:type="dxa"/>
            <w:vMerge w:val="continue"/>
            <w:tcBorders>
              <w:tl2br w:val="nil"/>
              <w:tr2bl w:val="nil"/>
            </w:tcBorders>
            <w:vAlign w:val="center"/>
          </w:tcPr>
          <w:p w14:paraId="2F8119AF">
            <w:pPr>
              <w:pStyle w:val="56"/>
              <w:spacing w:line="240" w:lineRule="auto"/>
              <w:jc w:val="center"/>
              <w:rPr>
                <w:rFonts w:ascii="Times New Roman" w:hAnsi="Times New Roman" w:cs="Times New Roman"/>
                <w:sz w:val="21"/>
                <w:szCs w:val="21"/>
                <w:lang w:val="en-US"/>
              </w:rPr>
            </w:pPr>
          </w:p>
        </w:tc>
        <w:tc>
          <w:tcPr>
            <w:tcW w:w="871" w:type="dxa"/>
            <w:vMerge w:val="continue"/>
            <w:tcBorders>
              <w:tl2br w:val="nil"/>
              <w:tr2bl w:val="nil"/>
            </w:tcBorders>
            <w:vAlign w:val="center"/>
          </w:tcPr>
          <w:p w14:paraId="741ABDE6">
            <w:pPr>
              <w:pStyle w:val="56"/>
              <w:spacing w:line="240" w:lineRule="auto"/>
              <w:jc w:val="center"/>
              <w:rPr>
                <w:rFonts w:ascii="Times New Roman" w:hAnsi="Times New Roman" w:cs="Times New Roman"/>
                <w:sz w:val="21"/>
                <w:szCs w:val="21"/>
                <w:lang w:val="en-US"/>
              </w:rPr>
            </w:pPr>
          </w:p>
        </w:tc>
        <w:tc>
          <w:tcPr>
            <w:tcW w:w="1020" w:type="dxa"/>
            <w:tcBorders>
              <w:tl2br w:val="nil"/>
              <w:tr2bl w:val="nil"/>
            </w:tcBorders>
            <w:vAlign w:val="center"/>
          </w:tcPr>
          <w:p w14:paraId="3E59784A">
            <w:pPr>
              <w:pStyle w:val="64"/>
              <w:spacing w:line="240" w:lineRule="auto"/>
              <w:ind w:firstLine="0"/>
              <w:rPr>
                <w:sz w:val="21"/>
                <w:szCs w:val="21"/>
              </w:rPr>
            </w:pPr>
            <w:r>
              <w:rPr>
                <w:rFonts w:hint="eastAsia"/>
                <w:sz w:val="21"/>
                <w:szCs w:val="21"/>
              </w:rPr>
              <w:t>动植物油</w:t>
            </w:r>
          </w:p>
        </w:tc>
        <w:tc>
          <w:tcPr>
            <w:tcW w:w="1054" w:type="dxa"/>
            <w:tcBorders>
              <w:tl2br w:val="nil"/>
              <w:tr2bl w:val="nil"/>
            </w:tcBorders>
            <w:vAlign w:val="center"/>
          </w:tcPr>
          <w:p w14:paraId="2D8A0ECA">
            <w:pPr>
              <w:adjustRightInd w:val="0"/>
              <w:snapToGrid w:val="0"/>
              <w:spacing w:line="240" w:lineRule="auto"/>
              <w:jc w:val="center"/>
              <w:rPr>
                <w:sz w:val="21"/>
                <w:szCs w:val="21"/>
              </w:rPr>
            </w:pPr>
            <w:r>
              <w:rPr>
                <w:rFonts w:hint="eastAsia"/>
                <w:sz w:val="21"/>
                <w:szCs w:val="21"/>
              </w:rPr>
              <w:t>40</w:t>
            </w:r>
          </w:p>
        </w:tc>
        <w:tc>
          <w:tcPr>
            <w:tcW w:w="1700" w:type="dxa"/>
            <w:tcBorders>
              <w:tl2br w:val="nil"/>
              <w:tr2bl w:val="nil"/>
            </w:tcBorders>
            <w:vAlign w:val="center"/>
          </w:tcPr>
          <w:p w14:paraId="5D85101A">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1.206</w:t>
            </w:r>
          </w:p>
        </w:tc>
        <w:tc>
          <w:tcPr>
            <w:tcW w:w="1560" w:type="dxa"/>
            <w:tcBorders>
              <w:tl2br w:val="nil"/>
              <w:tr2bl w:val="nil"/>
            </w:tcBorders>
            <w:vAlign w:val="center"/>
          </w:tcPr>
          <w:p w14:paraId="23D9F64F">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1.206</w:t>
            </w:r>
          </w:p>
        </w:tc>
        <w:tc>
          <w:tcPr>
            <w:tcW w:w="1658" w:type="dxa"/>
            <w:tcBorders>
              <w:tl2br w:val="nil"/>
              <w:tr2bl w:val="nil"/>
            </w:tcBorders>
            <w:vAlign w:val="center"/>
          </w:tcPr>
          <w:p w14:paraId="3B21B0D1">
            <w:pPr>
              <w:spacing w:line="240" w:lineRule="auto"/>
              <w:jc w:val="center"/>
              <w:rPr>
                <w:sz w:val="21"/>
                <w:szCs w:val="21"/>
              </w:rPr>
            </w:pPr>
            <w:r>
              <w:rPr>
                <w:rFonts w:hint="eastAsia"/>
                <w:sz w:val="21"/>
                <w:szCs w:val="21"/>
              </w:rPr>
              <w:t>0.41</w:t>
            </w:r>
          </w:p>
        </w:tc>
      </w:tr>
      <w:tr w14:paraId="6622A2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4" w:type="dxa"/>
            <w:gridSpan w:val="2"/>
            <w:vMerge w:val="restart"/>
            <w:tcBorders>
              <w:tl2br w:val="nil"/>
              <w:tr2bl w:val="nil"/>
            </w:tcBorders>
            <w:vAlign w:val="center"/>
          </w:tcPr>
          <w:p w14:paraId="03E0608D">
            <w:pPr>
              <w:pStyle w:val="56"/>
              <w:spacing w:line="240" w:lineRule="auto"/>
              <w:jc w:val="center"/>
              <w:rPr>
                <w:rFonts w:ascii="Times New Roman" w:hAnsi="Times New Roman" w:cs="Times New Roman"/>
                <w:sz w:val="21"/>
                <w:szCs w:val="21"/>
              </w:rPr>
            </w:pPr>
            <w:r>
              <w:rPr>
                <w:rFonts w:ascii="Times New Roman" w:hAnsi="Times New Roman" w:cs="Times New Roman"/>
                <w:sz w:val="21"/>
                <w:szCs w:val="21"/>
              </w:rPr>
              <w:t>全厂排放口合计</w:t>
            </w:r>
          </w:p>
        </w:tc>
        <w:tc>
          <w:tcPr>
            <w:tcW w:w="5334" w:type="dxa"/>
            <w:gridSpan w:val="4"/>
            <w:tcBorders>
              <w:tl2br w:val="nil"/>
              <w:tr2bl w:val="nil"/>
            </w:tcBorders>
            <w:vAlign w:val="center"/>
          </w:tcPr>
          <w:p w14:paraId="0E1B5128">
            <w:pPr>
              <w:pStyle w:val="64"/>
              <w:spacing w:line="240" w:lineRule="auto"/>
              <w:ind w:firstLine="0"/>
              <w:rPr>
                <w:sz w:val="21"/>
                <w:szCs w:val="21"/>
              </w:rPr>
            </w:pPr>
            <w:r>
              <w:rPr>
                <w:sz w:val="21"/>
                <w:szCs w:val="21"/>
              </w:rPr>
              <w:t>COD</w:t>
            </w:r>
          </w:p>
        </w:tc>
        <w:tc>
          <w:tcPr>
            <w:tcW w:w="1658" w:type="dxa"/>
            <w:tcBorders>
              <w:tl2br w:val="nil"/>
              <w:tr2bl w:val="nil"/>
            </w:tcBorders>
            <w:vAlign w:val="center"/>
          </w:tcPr>
          <w:p w14:paraId="2D6F7B58">
            <w:pPr>
              <w:spacing w:line="240" w:lineRule="auto"/>
              <w:jc w:val="center"/>
              <w:rPr>
                <w:sz w:val="21"/>
                <w:szCs w:val="21"/>
              </w:rPr>
            </w:pPr>
            <w:r>
              <w:rPr>
                <w:rFonts w:hint="eastAsia"/>
                <w:sz w:val="21"/>
                <w:szCs w:val="21"/>
              </w:rPr>
              <w:t>2.73</w:t>
            </w:r>
          </w:p>
        </w:tc>
      </w:tr>
      <w:tr w14:paraId="26B0C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4" w:type="dxa"/>
            <w:gridSpan w:val="2"/>
            <w:vMerge w:val="continue"/>
            <w:tcBorders>
              <w:tl2br w:val="nil"/>
              <w:tr2bl w:val="nil"/>
            </w:tcBorders>
            <w:vAlign w:val="center"/>
          </w:tcPr>
          <w:p w14:paraId="4257A7C0">
            <w:pPr>
              <w:pStyle w:val="56"/>
              <w:spacing w:line="240" w:lineRule="auto"/>
              <w:jc w:val="center"/>
              <w:rPr>
                <w:rFonts w:ascii="Times New Roman" w:hAnsi="Times New Roman" w:cs="Times New Roman"/>
                <w:sz w:val="21"/>
                <w:szCs w:val="21"/>
              </w:rPr>
            </w:pPr>
          </w:p>
        </w:tc>
        <w:tc>
          <w:tcPr>
            <w:tcW w:w="5334" w:type="dxa"/>
            <w:gridSpan w:val="4"/>
            <w:tcBorders>
              <w:tl2br w:val="nil"/>
              <w:tr2bl w:val="nil"/>
            </w:tcBorders>
            <w:vAlign w:val="center"/>
          </w:tcPr>
          <w:p w14:paraId="235306B1">
            <w:pPr>
              <w:pStyle w:val="64"/>
              <w:spacing w:line="240" w:lineRule="auto"/>
              <w:ind w:firstLine="0"/>
              <w:rPr>
                <w:sz w:val="21"/>
                <w:szCs w:val="21"/>
              </w:rPr>
            </w:pPr>
            <w:r>
              <w:rPr>
                <w:sz w:val="21"/>
                <w:szCs w:val="21"/>
              </w:rPr>
              <w:t>BOD</w:t>
            </w:r>
            <w:r>
              <w:rPr>
                <w:sz w:val="21"/>
                <w:szCs w:val="21"/>
                <w:vertAlign w:val="subscript"/>
              </w:rPr>
              <w:t>5</w:t>
            </w:r>
          </w:p>
        </w:tc>
        <w:tc>
          <w:tcPr>
            <w:tcW w:w="1658" w:type="dxa"/>
            <w:tcBorders>
              <w:tl2br w:val="nil"/>
              <w:tr2bl w:val="nil"/>
            </w:tcBorders>
            <w:vAlign w:val="center"/>
          </w:tcPr>
          <w:p w14:paraId="35B70FB2">
            <w:pPr>
              <w:spacing w:line="240" w:lineRule="auto"/>
              <w:jc w:val="center"/>
              <w:rPr>
                <w:sz w:val="21"/>
                <w:szCs w:val="21"/>
              </w:rPr>
            </w:pPr>
            <w:r>
              <w:rPr>
                <w:rFonts w:hint="eastAsia"/>
                <w:sz w:val="21"/>
                <w:szCs w:val="21"/>
              </w:rPr>
              <w:t>1.04</w:t>
            </w:r>
          </w:p>
        </w:tc>
      </w:tr>
      <w:tr w14:paraId="670D6D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4" w:type="dxa"/>
            <w:gridSpan w:val="2"/>
            <w:vMerge w:val="continue"/>
            <w:tcBorders>
              <w:tl2br w:val="nil"/>
              <w:tr2bl w:val="nil"/>
            </w:tcBorders>
            <w:vAlign w:val="center"/>
          </w:tcPr>
          <w:p w14:paraId="17B81D05">
            <w:pPr>
              <w:pStyle w:val="56"/>
              <w:spacing w:line="240" w:lineRule="auto"/>
              <w:jc w:val="center"/>
              <w:rPr>
                <w:rFonts w:ascii="Times New Roman" w:hAnsi="Times New Roman" w:cs="Times New Roman"/>
                <w:sz w:val="21"/>
                <w:szCs w:val="21"/>
              </w:rPr>
            </w:pPr>
          </w:p>
        </w:tc>
        <w:tc>
          <w:tcPr>
            <w:tcW w:w="5334" w:type="dxa"/>
            <w:gridSpan w:val="4"/>
            <w:tcBorders>
              <w:tl2br w:val="nil"/>
              <w:tr2bl w:val="nil"/>
            </w:tcBorders>
            <w:vAlign w:val="center"/>
          </w:tcPr>
          <w:p w14:paraId="5E1FCE6D">
            <w:pPr>
              <w:pStyle w:val="64"/>
              <w:spacing w:line="240" w:lineRule="auto"/>
              <w:ind w:firstLine="0"/>
              <w:rPr>
                <w:sz w:val="21"/>
                <w:szCs w:val="21"/>
              </w:rPr>
            </w:pPr>
            <w:r>
              <w:rPr>
                <w:sz w:val="21"/>
                <w:szCs w:val="21"/>
              </w:rPr>
              <w:t>SS</w:t>
            </w:r>
          </w:p>
        </w:tc>
        <w:tc>
          <w:tcPr>
            <w:tcW w:w="1658" w:type="dxa"/>
            <w:tcBorders>
              <w:tl2br w:val="nil"/>
              <w:tr2bl w:val="nil"/>
            </w:tcBorders>
            <w:vAlign w:val="center"/>
          </w:tcPr>
          <w:p w14:paraId="5030E750">
            <w:pPr>
              <w:spacing w:line="240" w:lineRule="auto"/>
              <w:jc w:val="center"/>
              <w:rPr>
                <w:sz w:val="21"/>
                <w:szCs w:val="21"/>
              </w:rPr>
            </w:pPr>
            <w:r>
              <w:rPr>
                <w:rFonts w:hint="eastAsia"/>
                <w:sz w:val="21"/>
                <w:szCs w:val="21"/>
              </w:rPr>
              <w:t>1.45</w:t>
            </w:r>
          </w:p>
        </w:tc>
      </w:tr>
      <w:tr w14:paraId="7CE41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4" w:type="dxa"/>
            <w:gridSpan w:val="2"/>
            <w:vMerge w:val="continue"/>
            <w:tcBorders>
              <w:tl2br w:val="nil"/>
              <w:tr2bl w:val="nil"/>
            </w:tcBorders>
            <w:vAlign w:val="center"/>
          </w:tcPr>
          <w:p w14:paraId="158B8767">
            <w:pPr>
              <w:pStyle w:val="56"/>
              <w:spacing w:line="240" w:lineRule="auto"/>
              <w:jc w:val="center"/>
              <w:rPr>
                <w:rFonts w:ascii="Times New Roman" w:hAnsi="Times New Roman" w:cs="Times New Roman"/>
                <w:sz w:val="21"/>
                <w:szCs w:val="21"/>
              </w:rPr>
            </w:pPr>
          </w:p>
        </w:tc>
        <w:tc>
          <w:tcPr>
            <w:tcW w:w="5334" w:type="dxa"/>
            <w:gridSpan w:val="4"/>
            <w:tcBorders>
              <w:tl2br w:val="nil"/>
              <w:tr2bl w:val="nil"/>
            </w:tcBorders>
            <w:vAlign w:val="center"/>
          </w:tcPr>
          <w:p w14:paraId="380AEC83">
            <w:pPr>
              <w:pStyle w:val="64"/>
              <w:spacing w:line="240" w:lineRule="auto"/>
              <w:ind w:firstLine="0"/>
              <w:rPr>
                <w:sz w:val="21"/>
                <w:szCs w:val="21"/>
              </w:rPr>
            </w:pPr>
            <w:r>
              <w:rPr>
                <w:sz w:val="21"/>
                <w:szCs w:val="21"/>
              </w:rPr>
              <w:t>NH</w:t>
            </w:r>
            <w:r>
              <w:rPr>
                <w:sz w:val="21"/>
                <w:szCs w:val="21"/>
                <w:vertAlign w:val="subscript"/>
              </w:rPr>
              <w:t>3</w:t>
            </w:r>
            <w:r>
              <w:rPr>
                <w:sz w:val="21"/>
                <w:szCs w:val="21"/>
              </w:rPr>
              <w:t>-N</w:t>
            </w:r>
          </w:p>
        </w:tc>
        <w:tc>
          <w:tcPr>
            <w:tcW w:w="1658" w:type="dxa"/>
            <w:tcBorders>
              <w:tl2br w:val="nil"/>
              <w:tr2bl w:val="nil"/>
            </w:tcBorders>
            <w:vAlign w:val="center"/>
          </w:tcPr>
          <w:p w14:paraId="3AE6551A">
            <w:pPr>
              <w:spacing w:line="240" w:lineRule="auto"/>
              <w:jc w:val="center"/>
              <w:rPr>
                <w:sz w:val="21"/>
                <w:szCs w:val="21"/>
              </w:rPr>
            </w:pPr>
            <w:r>
              <w:rPr>
                <w:rFonts w:hint="eastAsia"/>
                <w:sz w:val="21"/>
                <w:szCs w:val="21"/>
              </w:rPr>
              <w:t>0.23</w:t>
            </w:r>
          </w:p>
        </w:tc>
      </w:tr>
      <w:tr w14:paraId="66042F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4" w:type="dxa"/>
            <w:gridSpan w:val="2"/>
            <w:vMerge w:val="continue"/>
            <w:tcBorders>
              <w:tl2br w:val="nil"/>
              <w:tr2bl w:val="nil"/>
            </w:tcBorders>
            <w:vAlign w:val="center"/>
          </w:tcPr>
          <w:p w14:paraId="44E41413">
            <w:pPr>
              <w:spacing w:line="240" w:lineRule="auto"/>
              <w:jc w:val="center"/>
              <w:rPr>
                <w:sz w:val="21"/>
                <w:szCs w:val="21"/>
              </w:rPr>
            </w:pPr>
          </w:p>
        </w:tc>
        <w:tc>
          <w:tcPr>
            <w:tcW w:w="5334" w:type="dxa"/>
            <w:gridSpan w:val="4"/>
            <w:tcBorders>
              <w:tl2br w:val="nil"/>
              <w:tr2bl w:val="nil"/>
            </w:tcBorders>
            <w:vAlign w:val="center"/>
          </w:tcPr>
          <w:p w14:paraId="68E442BC">
            <w:pPr>
              <w:pStyle w:val="64"/>
              <w:spacing w:line="240" w:lineRule="auto"/>
              <w:ind w:firstLine="0"/>
              <w:rPr>
                <w:sz w:val="21"/>
                <w:szCs w:val="21"/>
              </w:rPr>
            </w:pPr>
            <w:r>
              <w:rPr>
                <w:rFonts w:hint="eastAsia"/>
                <w:sz w:val="21"/>
                <w:szCs w:val="21"/>
              </w:rPr>
              <w:t>动植物油</w:t>
            </w:r>
          </w:p>
        </w:tc>
        <w:tc>
          <w:tcPr>
            <w:tcW w:w="1658" w:type="dxa"/>
            <w:tcBorders>
              <w:tl2br w:val="nil"/>
              <w:tr2bl w:val="nil"/>
            </w:tcBorders>
            <w:vAlign w:val="center"/>
          </w:tcPr>
          <w:p w14:paraId="19991483">
            <w:pPr>
              <w:spacing w:line="240" w:lineRule="auto"/>
              <w:jc w:val="center"/>
              <w:rPr>
                <w:sz w:val="21"/>
                <w:szCs w:val="21"/>
              </w:rPr>
            </w:pPr>
            <w:r>
              <w:rPr>
                <w:rFonts w:hint="eastAsia"/>
                <w:sz w:val="21"/>
                <w:szCs w:val="21"/>
              </w:rPr>
              <w:t>0.41</w:t>
            </w:r>
          </w:p>
        </w:tc>
      </w:tr>
    </w:tbl>
    <w:p w14:paraId="4C9469F9">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表6.2-35 </w:t>
      </w:r>
      <w:r>
        <w:rPr>
          <w:rFonts w:hint="eastAsia" w:ascii="宋体" w:hAnsi="宋体" w:cs="宋体"/>
          <w:b/>
          <w:bCs/>
          <w:color w:val="auto"/>
          <w:kern w:val="2"/>
          <w:sz w:val="21"/>
          <w:szCs w:val="21"/>
          <w:lang w:val="en-US" w:eastAsia="zh-CN" w:bidi="ar-SA"/>
        </w:rPr>
        <w:t xml:space="preserve"> </w:t>
      </w:r>
      <w:r>
        <w:rPr>
          <w:rFonts w:hint="eastAsia"/>
        </w:rPr>
        <w:t>项目废水监测计划</w:t>
      </w:r>
    </w:p>
    <w:tbl>
      <w:tblPr>
        <w:tblStyle w:val="31"/>
        <w:tblW w:w="8366" w:type="dxa"/>
        <w:tblInd w:w="-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28"/>
        <w:gridCol w:w="1088"/>
        <w:gridCol w:w="2993"/>
        <w:gridCol w:w="3657"/>
      </w:tblGrid>
      <w:tr w14:paraId="6B6A1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8" w:type="dxa"/>
            <w:tcBorders>
              <w:tl2br w:val="nil"/>
              <w:tr2bl w:val="nil"/>
            </w:tcBorders>
            <w:vAlign w:val="center"/>
          </w:tcPr>
          <w:p w14:paraId="3C26970A">
            <w:pPr>
              <w:pStyle w:val="64"/>
              <w:spacing w:line="240" w:lineRule="auto"/>
              <w:ind w:firstLine="0"/>
              <w:rPr>
                <w:sz w:val="21"/>
                <w:szCs w:val="21"/>
              </w:rPr>
            </w:pPr>
            <w:r>
              <w:rPr>
                <w:sz w:val="21"/>
                <w:szCs w:val="21"/>
              </w:rPr>
              <w:t>要素</w:t>
            </w:r>
          </w:p>
        </w:tc>
        <w:tc>
          <w:tcPr>
            <w:tcW w:w="1088" w:type="dxa"/>
            <w:tcBorders>
              <w:tl2br w:val="nil"/>
              <w:tr2bl w:val="nil"/>
            </w:tcBorders>
            <w:vAlign w:val="center"/>
          </w:tcPr>
          <w:p w14:paraId="08263AA7">
            <w:pPr>
              <w:pStyle w:val="64"/>
              <w:spacing w:line="240" w:lineRule="auto"/>
              <w:ind w:firstLine="0"/>
              <w:rPr>
                <w:sz w:val="21"/>
                <w:szCs w:val="21"/>
              </w:rPr>
            </w:pPr>
            <w:r>
              <w:rPr>
                <w:sz w:val="21"/>
                <w:szCs w:val="21"/>
              </w:rPr>
              <w:t>监测点位</w:t>
            </w:r>
          </w:p>
        </w:tc>
        <w:tc>
          <w:tcPr>
            <w:tcW w:w="2993" w:type="dxa"/>
            <w:tcBorders>
              <w:tl2br w:val="nil"/>
              <w:tr2bl w:val="nil"/>
            </w:tcBorders>
            <w:vAlign w:val="center"/>
          </w:tcPr>
          <w:p w14:paraId="62B24C67">
            <w:pPr>
              <w:pStyle w:val="64"/>
              <w:spacing w:line="240" w:lineRule="auto"/>
              <w:ind w:firstLine="0"/>
              <w:rPr>
                <w:sz w:val="21"/>
                <w:szCs w:val="21"/>
              </w:rPr>
            </w:pPr>
            <w:r>
              <w:rPr>
                <w:sz w:val="21"/>
                <w:szCs w:val="21"/>
              </w:rPr>
              <w:t>监测因子</w:t>
            </w:r>
          </w:p>
        </w:tc>
        <w:tc>
          <w:tcPr>
            <w:tcW w:w="3657" w:type="dxa"/>
            <w:tcBorders>
              <w:tl2br w:val="nil"/>
              <w:tr2bl w:val="nil"/>
            </w:tcBorders>
            <w:vAlign w:val="center"/>
          </w:tcPr>
          <w:p w14:paraId="14F12DD8">
            <w:pPr>
              <w:pStyle w:val="64"/>
              <w:spacing w:line="240" w:lineRule="auto"/>
              <w:ind w:firstLine="0"/>
              <w:rPr>
                <w:sz w:val="21"/>
                <w:szCs w:val="21"/>
              </w:rPr>
            </w:pPr>
            <w:r>
              <w:rPr>
                <w:sz w:val="21"/>
                <w:szCs w:val="21"/>
              </w:rPr>
              <w:t>监测频次</w:t>
            </w:r>
          </w:p>
        </w:tc>
      </w:tr>
      <w:tr w14:paraId="7D2A92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28" w:type="dxa"/>
            <w:tcBorders>
              <w:tl2br w:val="nil"/>
              <w:tr2bl w:val="nil"/>
            </w:tcBorders>
            <w:vAlign w:val="center"/>
          </w:tcPr>
          <w:p w14:paraId="69770274">
            <w:pPr>
              <w:pStyle w:val="64"/>
              <w:spacing w:line="240" w:lineRule="auto"/>
              <w:ind w:firstLine="0"/>
              <w:rPr>
                <w:sz w:val="21"/>
                <w:szCs w:val="21"/>
              </w:rPr>
            </w:pPr>
            <w:r>
              <w:rPr>
                <w:sz w:val="21"/>
                <w:szCs w:val="21"/>
              </w:rPr>
              <w:t>废水</w:t>
            </w:r>
          </w:p>
        </w:tc>
        <w:tc>
          <w:tcPr>
            <w:tcW w:w="1088" w:type="dxa"/>
            <w:tcBorders>
              <w:tl2br w:val="nil"/>
              <w:tr2bl w:val="nil"/>
            </w:tcBorders>
            <w:vAlign w:val="center"/>
          </w:tcPr>
          <w:p w14:paraId="5BE7CD8E">
            <w:pPr>
              <w:pStyle w:val="64"/>
              <w:spacing w:line="240" w:lineRule="auto"/>
              <w:ind w:firstLine="0"/>
              <w:rPr>
                <w:sz w:val="21"/>
                <w:szCs w:val="21"/>
              </w:rPr>
            </w:pPr>
            <w:r>
              <w:rPr>
                <w:sz w:val="21"/>
                <w:szCs w:val="21"/>
              </w:rPr>
              <w:t>污水总排口（DW001）</w:t>
            </w:r>
          </w:p>
        </w:tc>
        <w:tc>
          <w:tcPr>
            <w:tcW w:w="2993" w:type="dxa"/>
            <w:tcBorders>
              <w:tl2br w:val="nil"/>
              <w:tr2bl w:val="nil"/>
            </w:tcBorders>
            <w:vAlign w:val="center"/>
          </w:tcPr>
          <w:p w14:paraId="5B22F127">
            <w:pPr>
              <w:pStyle w:val="64"/>
              <w:spacing w:line="240" w:lineRule="auto"/>
              <w:ind w:firstLine="0"/>
              <w:rPr>
                <w:sz w:val="21"/>
                <w:szCs w:val="21"/>
              </w:rPr>
            </w:pPr>
            <w:r>
              <w:rPr>
                <w:sz w:val="21"/>
                <w:szCs w:val="21"/>
              </w:rPr>
              <w:t>COD、氨氮、SS、动植物油、BOD</w:t>
            </w:r>
            <w:r>
              <w:rPr>
                <w:sz w:val="21"/>
                <w:szCs w:val="21"/>
                <w:vertAlign w:val="subscript"/>
              </w:rPr>
              <w:t>5</w:t>
            </w:r>
          </w:p>
        </w:tc>
        <w:tc>
          <w:tcPr>
            <w:tcW w:w="3657" w:type="dxa"/>
            <w:tcBorders>
              <w:tl2br w:val="nil"/>
              <w:tr2bl w:val="nil"/>
            </w:tcBorders>
            <w:vAlign w:val="center"/>
          </w:tcPr>
          <w:p w14:paraId="69214C54">
            <w:pPr>
              <w:pStyle w:val="64"/>
              <w:spacing w:line="240" w:lineRule="auto"/>
              <w:ind w:firstLine="0"/>
              <w:rPr>
                <w:sz w:val="21"/>
                <w:szCs w:val="21"/>
              </w:rPr>
            </w:pPr>
            <w:r>
              <w:rPr>
                <w:sz w:val="21"/>
                <w:szCs w:val="21"/>
              </w:rPr>
              <w:t>根据排污许可证申请与核发技术规范，单独排向城镇集中污水处理设施的生活污水不需监测</w:t>
            </w:r>
          </w:p>
        </w:tc>
      </w:tr>
    </w:tbl>
    <w:p w14:paraId="496F0253">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6.2.6.4</w:t>
      </w:r>
      <w:r>
        <w:rPr>
          <w:rFonts w:hint="eastAsia"/>
        </w:rPr>
        <w:t>地表水环境影响评级结论</w:t>
      </w:r>
    </w:p>
    <w:p w14:paraId="2D7C317A">
      <w:pPr>
        <w:pStyle w:val="41"/>
        <w:spacing w:before="0" w:beforeAutospacing="0" w:after="0" w:afterAutospacing="0"/>
        <w:ind w:firstLine="480"/>
        <w:rPr>
          <w:rFonts w:ascii="Times New Roman" w:hAnsi="Times New Roman" w:cs="Times New Roman"/>
          <w:kern w:val="2"/>
          <w:sz w:val="24"/>
        </w:rPr>
      </w:pPr>
      <w:r>
        <w:rPr>
          <w:rFonts w:hint="eastAsia"/>
          <w:kern w:val="2"/>
          <w:sz w:val="24"/>
        </w:rPr>
        <w:t>⑴</w:t>
      </w:r>
      <w:r>
        <w:rPr>
          <w:rFonts w:ascii="Times New Roman" w:hAnsi="Times New Roman" w:cs="Times New Roman"/>
          <w:kern w:val="2"/>
          <w:sz w:val="24"/>
        </w:rPr>
        <w:t>水环境影响评价结论</w:t>
      </w:r>
    </w:p>
    <w:p w14:paraId="721BDB1A">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生活污水经化粪池预处理后的生活污水经市政管网汇入</w:t>
      </w:r>
      <w:r>
        <w:rPr>
          <w:rFonts w:hint="eastAsia" w:ascii="Times New Roman" w:hAnsi="Times New Roman" w:cs="Times New Roman"/>
          <w:kern w:val="2"/>
          <w:sz w:val="24"/>
        </w:rPr>
        <w:t>湘潭县顺业污水处理有限公司污水处理厂</w:t>
      </w:r>
      <w:r>
        <w:rPr>
          <w:rFonts w:ascii="Times New Roman" w:hAnsi="Times New Roman" w:cs="Times New Roman"/>
          <w:kern w:val="2"/>
          <w:sz w:val="24"/>
        </w:rPr>
        <w:t>处理。经</w:t>
      </w:r>
      <w:r>
        <w:rPr>
          <w:rFonts w:hint="eastAsia" w:ascii="Times New Roman" w:hAnsi="Times New Roman" w:cs="Times New Roman"/>
          <w:kern w:val="2"/>
          <w:sz w:val="24"/>
        </w:rPr>
        <w:t>湘潭县顺业污水处理有限公司污水处理厂</w:t>
      </w:r>
      <w:r>
        <w:rPr>
          <w:rFonts w:ascii="Times New Roman" w:hAnsi="Times New Roman" w:cs="Times New Roman"/>
          <w:kern w:val="2"/>
          <w:sz w:val="24"/>
        </w:rPr>
        <w:t>处理达到《城镇污水处理厂污染物排放标准》（GB18918-2002）及修改单要求的一级A标准后排入湘江。</w:t>
      </w:r>
    </w:p>
    <w:p w14:paraId="5193405A">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本项目废水不直接外排，对地表水环境影响较小，影响可接受。</w:t>
      </w:r>
    </w:p>
    <w:p w14:paraId="7A8BC42C">
      <w:pPr>
        <w:pStyle w:val="41"/>
        <w:spacing w:before="0" w:beforeAutospacing="0" w:after="0" w:afterAutospacing="0"/>
        <w:ind w:firstLine="480"/>
        <w:rPr>
          <w:rFonts w:ascii="Times New Roman" w:hAnsi="Times New Roman" w:cs="Times New Roman"/>
          <w:kern w:val="2"/>
          <w:sz w:val="24"/>
        </w:rPr>
      </w:pPr>
      <w:r>
        <w:rPr>
          <w:rFonts w:hint="eastAsia"/>
          <w:kern w:val="2"/>
          <w:sz w:val="24"/>
        </w:rPr>
        <w:t>⑵</w:t>
      </w:r>
      <w:r>
        <w:rPr>
          <w:rFonts w:ascii="Times New Roman" w:hAnsi="Times New Roman" w:cs="Times New Roman"/>
          <w:kern w:val="2"/>
          <w:sz w:val="24"/>
        </w:rPr>
        <w:t>污染源排放量</w:t>
      </w:r>
    </w:p>
    <w:p w14:paraId="3F39B503">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本次变更后，经污水处理厂处理后最终年排放COD为</w:t>
      </w:r>
      <w:r>
        <w:rPr>
          <w:rFonts w:hint="eastAsia" w:ascii="Times New Roman" w:hAnsi="Times New Roman" w:cs="Times New Roman"/>
          <w:kern w:val="2"/>
          <w:sz w:val="24"/>
        </w:rPr>
        <w:t>0.52</w:t>
      </w:r>
      <w:r>
        <w:rPr>
          <w:rFonts w:ascii="Times New Roman" w:hAnsi="Times New Roman" w:cs="Times New Roman"/>
          <w:kern w:val="2"/>
          <w:sz w:val="24"/>
        </w:rPr>
        <w:t>t/a，BOD</w:t>
      </w:r>
      <w:r>
        <w:rPr>
          <w:rFonts w:ascii="Times New Roman" w:hAnsi="Times New Roman" w:cs="Times New Roman"/>
          <w:kern w:val="2"/>
          <w:sz w:val="24"/>
          <w:vertAlign w:val="subscript"/>
        </w:rPr>
        <w:t>5</w:t>
      </w:r>
      <w:r>
        <w:rPr>
          <w:rFonts w:ascii="Times New Roman" w:hAnsi="Times New Roman" w:cs="Times New Roman"/>
          <w:kern w:val="2"/>
          <w:sz w:val="24"/>
        </w:rPr>
        <w:t>为</w:t>
      </w:r>
      <w:r>
        <w:rPr>
          <w:rFonts w:hint="eastAsia" w:ascii="Times New Roman" w:hAnsi="Times New Roman" w:cs="Times New Roman"/>
          <w:kern w:val="2"/>
          <w:sz w:val="24"/>
        </w:rPr>
        <w:t>0.10</w:t>
      </w:r>
      <w:r>
        <w:rPr>
          <w:rFonts w:ascii="Times New Roman" w:hAnsi="Times New Roman" w:cs="Times New Roman"/>
          <w:kern w:val="2"/>
          <w:sz w:val="24"/>
        </w:rPr>
        <w:t>t/a，SS为</w:t>
      </w:r>
      <w:r>
        <w:rPr>
          <w:rFonts w:hint="eastAsia" w:ascii="Times New Roman" w:hAnsi="Times New Roman" w:cs="Times New Roman"/>
          <w:kern w:val="2"/>
          <w:sz w:val="24"/>
        </w:rPr>
        <w:t>0.10</w:t>
      </w:r>
      <w:r>
        <w:rPr>
          <w:rFonts w:ascii="Times New Roman" w:hAnsi="Times New Roman" w:cs="Times New Roman"/>
          <w:kern w:val="2"/>
          <w:sz w:val="24"/>
        </w:rPr>
        <w:t>t/a，NH</w:t>
      </w:r>
      <w:r>
        <w:rPr>
          <w:rFonts w:ascii="Times New Roman" w:hAnsi="Times New Roman" w:cs="Times New Roman"/>
          <w:kern w:val="2"/>
          <w:sz w:val="24"/>
          <w:vertAlign w:val="subscript"/>
        </w:rPr>
        <w:t>3</w:t>
      </w:r>
      <w:r>
        <w:rPr>
          <w:rFonts w:ascii="Times New Roman" w:hAnsi="Times New Roman" w:cs="Times New Roman"/>
          <w:kern w:val="2"/>
          <w:sz w:val="24"/>
        </w:rPr>
        <w:t>-N为</w:t>
      </w:r>
      <w:r>
        <w:rPr>
          <w:rFonts w:hint="eastAsia" w:ascii="Times New Roman" w:hAnsi="Times New Roman" w:cs="Times New Roman"/>
          <w:kern w:val="2"/>
          <w:sz w:val="24"/>
        </w:rPr>
        <w:t>0.05t</w:t>
      </w:r>
      <w:r>
        <w:rPr>
          <w:rFonts w:ascii="Times New Roman" w:hAnsi="Times New Roman" w:cs="Times New Roman"/>
          <w:kern w:val="2"/>
          <w:sz w:val="24"/>
        </w:rPr>
        <w:t>/a、动植物油为0.0</w:t>
      </w:r>
      <w:r>
        <w:rPr>
          <w:rFonts w:hint="eastAsia" w:ascii="Times New Roman" w:hAnsi="Times New Roman" w:cs="Times New Roman"/>
          <w:kern w:val="2"/>
          <w:sz w:val="24"/>
        </w:rPr>
        <w:t>1</w:t>
      </w:r>
      <w:r>
        <w:rPr>
          <w:rFonts w:ascii="Times New Roman" w:hAnsi="Times New Roman" w:cs="Times New Roman"/>
          <w:kern w:val="2"/>
          <w:sz w:val="24"/>
        </w:rPr>
        <w:t>t/a。</w:t>
      </w:r>
    </w:p>
    <w:p w14:paraId="6BBFCA1F">
      <w:pPr>
        <w:pStyle w:val="41"/>
        <w:spacing w:before="0" w:beforeAutospacing="0" w:after="0" w:afterAutospacing="0"/>
        <w:ind w:firstLine="480"/>
        <w:rPr>
          <w:rFonts w:ascii="Times New Roman" w:hAnsi="Times New Roman" w:cs="Times New Roman"/>
          <w:kern w:val="2"/>
          <w:sz w:val="24"/>
        </w:rPr>
      </w:pPr>
      <w:r>
        <w:rPr>
          <w:rFonts w:hint="eastAsia"/>
          <w:kern w:val="2"/>
          <w:sz w:val="24"/>
        </w:rPr>
        <w:t>⑶</w:t>
      </w:r>
      <w:r>
        <w:rPr>
          <w:rFonts w:ascii="Times New Roman" w:hAnsi="Times New Roman" w:cs="Times New Roman"/>
          <w:kern w:val="2"/>
          <w:sz w:val="24"/>
        </w:rPr>
        <w:t>地表水环境影响评价自查表</w:t>
      </w:r>
    </w:p>
    <w:p w14:paraId="32924A38">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本项目的地表水环境影响评价自查表详见附表。</w:t>
      </w:r>
    </w:p>
    <w:p w14:paraId="5D4908D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6.2.7</w:t>
      </w:r>
      <w:r>
        <w:rPr>
          <w:rFonts w:hint="eastAsia"/>
        </w:rPr>
        <w:t>地下水环境影响分析</w:t>
      </w:r>
    </w:p>
    <w:p w14:paraId="13954A4C">
      <w:pPr>
        <w:pStyle w:val="25"/>
        <w:ind w:left="0" w:leftChars="0" w:firstLine="480"/>
        <w:jc w:val="left"/>
      </w:pPr>
      <w:r>
        <w:t>本次变更不改变现有工艺及产品，项目类型</w:t>
      </w:r>
      <w:r>
        <w:rPr>
          <w:rFonts w:hint="eastAsia"/>
        </w:rPr>
        <w:t>仍为</w:t>
      </w:r>
      <w:r>
        <w:t>塑料软包装生产，属于《</w:t>
      </w:r>
      <w:r>
        <w:rPr>
          <w:rFonts w:hint="eastAsia"/>
        </w:rPr>
        <w:t>环境影响评价技术导则 地下水环境</w:t>
      </w:r>
      <w:r>
        <w:t>》（HJ610-2016）中“N轻工114印刷”类，因此本项目为IV类项目。可不开展地下水环境影响评价。且本项目不涉及地下水的抽取，项目重点污染区（有机物原料库及危废库）已全部完成硬化并进行了树脂防渗处理，在建设方严格控制各含有机物原料及危险废物贮存和转运过程，避免露天堆存和沿途撒落，同时加强有机物原料库及危险废物暂存间的日常管理与维护的前提下，本项目生产运营过程对地下水环境造成不利影响的可能性很小。</w:t>
      </w:r>
    </w:p>
    <w:p w14:paraId="55E5694D">
      <w:pPr>
        <w:pStyle w:val="25"/>
        <w:ind w:left="0" w:leftChars="0" w:firstLine="480"/>
        <w:jc w:val="left"/>
      </w:pPr>
      <w:r>
        <w:t>因此，本环评不对其地下水影响进行详细分析，仅简要提出工程建设的地下水的污染防治措施（详见第</w:t>
      </w:r>
      <w:r>
        <w:rPr>
          <w:rFonts w:hint="eastAsia"/>
        </w:rPr>
        <w:t>八</w:t>
      </w:r>
      <w:r>
        <w:t>章）。</w:t>
      </w:r>
    </w:p>
    <w:bookmarkEnd w:id="132"/>
    <w:bookmarkEnd w:id="133"/>
    <w:bookmarkEnd w:id="134"/>
    <w:bookmarkEnd w:id="135"/>
    <w:bookmarkEnd w:id="136"/>
    <w:p w14:paraId="2D9FD0A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6.2.8</w:t>
      </w:r>
      <w:r>
        <w:rPr>
          <w:rFonts w:hint="eastAsia"/>
        </w:rPr>
        <w:t>声环境预测影响评价</w:t>
      </w:r>
    </w:p>
    <w:p w14:paraId="41C402BE">
      <w:pPr>
        <w:ind w:firstLine="480" w:firstLineChars="200"/>
      </w:pPr>
      <w:r>
        <w:rPr>
          <w:rFonts w:hint="eastAsia"/>
        </w:rPr>
        <w:t>本次变更未新增生产设备和环保设施，与现有项目对比，无新增噪声源强，变更前后，噪声影响无变化。预测情况如下：</w:t>
      </w:r>
    </w:p>
    <w:p w14:paraId="4E2DDEA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6.2.8.1</w:t>
      </w:r>
      <w:r>
        <w:rPr>
          <w:rFonts w:hint="eastAsia"/>
        </w:rPr>
        <w:t>预测因子和预测内容</w:t>
      </w:r>
    </w:p>
    <w:p w14:paraId="274BA102">
      <w:pPr>
        <w:ind w:firstLine="480"/>
      </w:pPr>
      <w:r>
        <w:rPr>
          <w:rFonts w:hint="eastAsia"/>
        </w:rPr>
        <w:t>预测因子：Leq(A)</w:t>
      </w:r>
    </w:p>
    <w:p w14:paraId="1445FB02">
      <w:pPr>
        <w:ind w:firstLine="480"/>
      </w:pPr>
      <w:r>
        <w:rPr>
          <w:rFonts w:hint="eastAsia"/>
        </w:rPr>
        <w:t>预测内容：预测项目营运期噪声对厂界噪声影响情况。</w:t>
      </w:r>
    </w:p>
    <w:p w14:paraId="1FE3C02A">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6.2.8.2</w:t>
      </w:r>
      <w:r>
        <w:rPr>
          <w:rFonts w:hint="eastAsia"/>
        </w:rPr>
        <w:t>预测方法</w:t>
      </w:r>
    </w:p>
    <w:p w14:paraId="5D4CD04F">
      <w:pPr>
        <w:ind w:firstLine="480"/>
      </w:pPr>
      <w:r>
        <w:t>预测计算选用《环境影响评价技术导则声环境》（HJ2.4-2021）中推荐的工业噪声预测计算模式，模式如下：</w:t>
      </w:r>
    </w:p>
    <w:p w14:paraId="16915E04">
      <w:pPr>
        <w:ind w:firstLine="480"/>
      </w:pPr>
      <w:r>
        <w:t>1.室内声源等效室外声源声功率级计算方法</w:t>
      </w:r>
    </w:p>
    <w:p w14:paraId="7A7ED760">
      <w:pPr>
        <w:ind w:firstLine="480"/>
      </w:pPr>
      <w:r>
        <w:t>如图所示，声源位于室内，室内声源可采用等效室外声源声功率级法进行计算。设靠近开口处（或窗户）室内、室外某倍频带的声压级或A声级分别为Lp1和Lp2。若声源所在室内声场为近似扩散声场，则室外的倍频带声压级可按5.2-1式近似求出：</w:t>
      </w:r>
    </w:p>
    <w:p w14:paraId="25B90CD1">
      <w:pPr>
        <w:ind w:firstLine="480"/>
        <w:jc w:val="center"/>
      </w:pPr>
      <w:r>
        <w:rPr>
          <w:rFonts w:ascii="Cambria Math" w:hAnsi="Cambria Math" w:cs="黑体"/>
          <w:i/>
          <w:position w:val="-14"/>
          <w:szCs w:val="22"/>
        </w:rPr>
        <w:object>
          <v:shape id="_x0000_i1032" o:spt="75" type="#_x0000_t75" style="height:19.1pt;width:95.4pt;" o:ole="t" filled="f" o:preferrelative="t" stroked="f" coordsize="21600,21600">
            <v:path/>
            <v:fill on="f" focussize="0,0"/>
            <v:stroke on="f" joinstyle="miter"/>
            <v:imagedata r:id="rId75" o:title=""/>
            <o:lock v:ext="edit" aspectratio="t"/>
            <w10:wrap type="none"/>
            <w10:anchorlock/>
          </v:shape>
          <o:OLEObject Type="Embed" ProgID="Equation.3" ShapeID="_x0000_i1032" DrawAspect="Content" ObjectID="_1468075735" r:id="rId74">
            <o:LockedField>false</o:LockedField>
          </o:OLEObject>
        </w:object>
      </w:r>
      <w:r>
        <w:rPr>
          <w:rFonts w:hint="eastAsia" w:hAnsi="Cambria Math"/>
        </w:rPr>
        <w:t xml:space="preserve">  （公式5.2-1）</w:t>
      </w:r>
    </w:p>
    <w:p w14:paraId="185C2854">
      <w:pPr>
        <w:ind w:firstLine="480"/>
      </w:pPr>
      <w:r>
        <w:rPr>
          <w:rFonts w:hint="eastAsia"/>
        </w:rPr>
        <w:t>式中：</w:t>
      </w:r>
      <w:r>
        <w:rPr>
          <w:position w:val="-14"/>
          <w:szCs w:val="22"/>
        </w:rPr>
        <w:object>
          <v:shape id="_x0000_i1033" o:spt="75" type="#_x0000_t75" style="height:19.1pt;width:18.2pt;" o:ole="t" filled="f" o:preferrelative="t" stroked="f" coordsize="21600,21600">
            <v:path/>
            <v:fill on="f" focussize="0,0"/>
            <v:stroke on="f" joinstyle="miter"/>
            <v:imagedata r:id="rId77" o:title=""/>
            <o:lock v:ext="edit" aspectratio="t"/>
            <w10:wrap type="none"/>
            <w10:anchorlock/>
          </v:shape>
          <o:OLEObject Type="Embed" ProgID="Equation.3" ShapeID="_x0000_i1033" DrawAspect="Content" ObjectID="_1468075736" r:id="rId76">
            <o:LockedField>false</o:LockedField>
          </o:OLEObject>
        </w:object>
      </w:r>
      <w:r>
        <w:t>——靠近开口处 (或窗户)室内某倍频带的声压级或A声级，dB；</w:t>
      </w:r>
    </w:p>
    <w:p w14:paraId="25DE88AC">
      <w:pPr>
        <w:ind w:firstLine="1200" w:firstLineChars="500"/>
      </w:pPr>
      <w:r>
        <w:rPr>
          <w:position w:val="-14"/>
          <w:szCs w:val="22"/>
        </w:rPr>
        <w:object>
          <v:shape id="_x0000_i1034" o:spt="75" type="#_x0000_t75" style="height:19.1pt;width:19.1pt;" o:ole="t" filled="f" o:preferrelative="t" stroked="f" coordsize="21600,21600">
            <v:path/>
            <v:fill on="f" focussize="0,0"/>
            <v:stroke on="f" joinstyle="miter"/>
            <v:imagedata r:id="rId79" o:title=""/>
            <o:lock v:ext="edit" aspectratio="t"/>
            <w10:wrap type="none"/>
            <w10:anchorlock/>
          </v:shape>
          <o:OLEObject Type="Embed" ProgID="Equation.3" ShapeID="_x0000_i1034" DrawAspect="Content" ObjectID="_1468075737" r:id="rId78">
            <o:LockedField>false</o:LockedField>
          </o:OLEObject>
        </w:object>
      </w:r>
      <w:r>
        <w:t>——靠近开口处(或窗户)室外某倍频带的声压级或A声级，dB；</w:t>
      </w:r>
    </w:p>
    <w:p w14:paraId="5B7D4549">
      <w:pPr>
        <w:ind w:firstLine="1200" w:firstLineChars="500"/>
      </w:pPr>
      <w:r>
        <w:t>TL——隔墙(或窗户)倍频带或A声级的隔声量，dB。</w:t>
      </w:r>
    </w:p>
    <w:p w14:paraId="230295ED">
      <w:pPr>
        <w:ind w:firstLine="480"/>
        <w:jc w:val="center"/>
      </w:pPr>
      <w:r>
        <w:rPr>
          <w:rFonts w:cs="黑体"/>
          <w:szCs w:val="22"/>
        </w:rPr>
        <w:drawing>
          <wp:inline distT="0" distB="0" distL="114300" distR="114300">
            <wp:extent cx="3392170" cy="1529715"/>
            <wp:effectExtent l="0" t="0" r="17780" b="1333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80">
                      <a:lum/>
                    </a:blip>
                    <a:stretch>
                      <a:fillRect/>
                    </a:stretch>
                  </pic:blipFill>
                  <pic:spPr>
                    <a:xfrm>
                      <a:off x="0" y="0"/>
                      <a:ext cx="3392170" cy="1529715"/>
                    </a:xfrm>
                    <a:prstGeom prst="rect">
                      <a:avLst/>
                    </a:prstGeom>
                    <a:noFill/>
                    <a:ln>
                      <a:noFill/>
                    </a:ln>
                  </pic:spPr>
                </pic:pic>
              </a:graphicData>
            </a:graphic>
          </wp:inline>
        </w:drawing>
      </w:r>
    </w:p>
    <w:p w14:paraId="416137E6">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图6.2-22 </w:t>
      </w:r>
      <w:r>
        <w:rPr>
          <w:rFonts w:hint="eastAsia"/>
          <w:color w:val="auto"/>
        </w:rPr>
        <w:t>室内声源等效为室外声源图例</w:t>
      </w:r>
    </w:p>
    <w:p w14:paraId="02DA5CE9">
      <w:pPr>
        <w:ind w:firstLine="480"/>
      </w:pPr>
      <w:r>
        <w:rPr>
          <w:rFonts w:hint="eastAsia"/>
        </w:rPr>
        <w:t>也可按5.2-2式</w:t>
      </w:r>
      <w:r>
        <w:t>计算某一室内声源靠近围护结构处产生的倍频带声压级</w:t>
      </w:r>
      <w:r>
        <w:rPr>
          <w:rFonts w:hint="eastAsia"/>
        </w:rPr>
        <w:t>或A声级：</w:t>
      </w:r>
    </w:p>
    <w:p w14:paraId="0B25B31B">
      <w:pPr>
        <w:ind w:firstLine="460"/>
        <w:jc w:val="center"/>
      </w:pPr>
      <w:r>
        <w:rPr>
          <w:rFonts w:hint="eastAsia"/>
          <w:i/>
          <w:iCs/>
          <w:position w:val="-28"/>
          <w:sz w:val="23"/>
          <w:szCs w:val="23"/>
        </w:rPr>
        <w:object>
          <v:shape id="_x0000_i1035" o:spt="75" type="#_x0000_t75" style="height:33.85pt;width:132.7pt;" o:ole="t" filled="f" o:preferrelative="t" stroked="f" coordsize="21600,21600">
            <v:path/>
            <v:fill on="f" focussize="0,0"/>
            <v:stroke on="f" joinstyle="miter"/>
            <v:imagedata r:id="rId82" o:title=""/>
            <o:lock v:ext="edit" aspectratio="t"/>
            <w10:wrap type="none"/>
            <w10:anchorlock/>
          </v:shape>
          <o:OLEObject Type="Embed" ProgID="Equation.3" ShapeID="_x0000_i1035" DrawAspect="Content" ObjectID="_1468075738" r:id="rId81">
            <o:LockedField>false</o:LockedField>
          </o:OLEObject>
        </w:object>
      </w:r>
      <w:r>
        <w:rPr>
          <w:rFonts w:hint="eastAsia"/>
          <w:i/>
          <w:iCs/>
          <w:position w:val="12"/>
          <w:sz w:val="23"/>
          <w:szCs w:val="23"/>
        </w:rPr>
        <w:t xml:space="preserve"> </w:t>
      </w:r>
      <w:r>
        <w:rPr>
          <w:rFonts w:hint="eastAsia"/>
          <w:position w:val="12"/>
        </w:rPr>
        <w:t xml:space="preserve">   （公式5.2-2）</w:t>
      </w:r>
    </w:p>
    <w:p w14:paraId="4A01D96C">
      <w:r>
        <w:rPr>
          <w:rFonts w:hint="eastAsia"/>
        </w:rPr>
        <w:t>式中：</w:t>
      </w:r>
      <w:r>
        <w:rPr>
          <w:rFonts w:hint="eastAsia" w:cs="黑体"/>
          <w:position w:val="-14"/>
          <w:szCs w:val="22"/>
        </w:rPr>
        <w:object>
          <v:shape id="_x0000_i1036" o:spt="75" type="#_x0000_t75" style="height:19.1pt;width:18.2pt;" o:ole="t" filled="f" o:preferrelative="t" stroked="f" coordsize="21600,21600">
            <v:path/>
            <v:fill on="f" focussize="0,0"/>
            <v:stroke on="f" joinstyle="miter"/>
            <v:imagedata r:id="rId84" o:title=""/>
            <o:lock v:ext="edit" aspectratio="t"/>
            <w10:wrap type="none"/>
            <w10:anchorlock/>
          </v:shape>
          <o:OLEObject Type="Embed" ProgID="Equation.3" ShapeID="_x0000_i1036" DrawAspect="Content" ObjectID="_1468075739" r:id="rId83">
            <o:LockedField>false</o:LockedField>
          </o:OLEObject>
        </w:object>
      </w:r>
      <w:r>
        <w:rPr>
          <w:rFonts w:hint="eastAsia"/>
        </w:rPr>
        <w:t>——靠近开口处(或窗户)室内某倍频带的声压级或A声级，dB；</w:t>
      </w:r>
    </w:p>
    <w:p w14:paraId="19BD5985">
      <w:pPr>
        <w:ind w:firstLine="720" w:firstLineChars="300"/>
      </w:pPr>
      <w:r>
        <w:rPr>
          <w:rFonts w:hint="eastAsia"/>
        </w:rPr>
        <w:t>Lw——点声源声功率级(A计权或倍频带)，dB；</w:t>
      </w:r>
    </w:p>
    <w:p w14:paraId="637ABE72">
      <w:pPr>
        <w:ind w:firstLine="720" w:firstLineChars="300"/>
      </w:pPr>
      <w:r>
        <w:rPr>
          <w:rFonts w:hint="eastAsia"/>
          <w:position w:val="-10"/>
        </w:rPr>
        <w:object>
          <v:shape id="_x0000_i1037" o:spt="75" type="#_x0000_t75" style="height:16.5pt;width:12.15pt;" o:ole="t" filled="f" o:preferrelative="t" stroked="f" coordsize="21600,21600">
            <v:path/>
            <v:fill on="f" focussize="0,0"/>
            <v:stroke on="f" joinstyle="miter"/>
            <v:imagedata r:id="rId86" o:title=""/>
            <o:lock v:ext="edit" aspectratio="t"/>
            <w10:wrap type="none"/>
            <w10:anchorlock/>
          </v:shape>
          <o:OLEObject Type="Embed" ProgID="Equation.3" ShapeID="_x0000_i1037" DrawAspect="Content" ObjectID="_1468075740" r:id="rId85">
            <o:LockedField>false</o:LockedField>
          </o:OLEObject>
        </w:object>
      </w:r>
      <w:r>
        <w:rPr>
          <w:rFonts w:hint="eastAsia"/>
        </w:rPr>
        <w:t>——指向性因数；通常对无指向性声源，当声源放在房间中心时，Q=1；当放在一面墙的中心时，Q=2；当放在两面墙夹角处时，Q=4；当放在三面墙夹角处时，Q=8；</w:t>
      </w:r>
    </w:p>
    <w:p w14:paraId="00AE7AD1">
      <w:pPr>
        <w:ind w:firstLine="720" w:firstLineChars="300"/>
      </w:pPr>
      <w:r>
        <w:rPr>
          <w:rFonts w:hint="eastAsia"/>
        </w:rPr>
        <w:t>R——房间常数；</w:t>
      </w:r>
      <w:r>
        <w:rPr>
          <w:rFonts w:hint="eastAsia"/>
          <w:position w:val="-6"/>
        </w:rPr>
        <w:object>
          <v:shape id="_x0000_i1038" o:spt="75" type="#_x0000_t75" style="height:13.9pt;width:77.2pt;" o:ole="t" filled="f" o:preferrelative="t" stroked="f" coordsize="21600,21600">
            <v:path/>
            <v:fill on="f" focussize="0,0"/>
            <v:stroke on="f" joinstyle="miter"/>
            <v:imagedata r:id="rId88" o:title=""/>
            <o:lock v:ext="edit" aspectratio="t"/>
            <w10:wrap type="none"/>
            <w10:anchorlock/>
          </v:shape>
          <o:OLEObject Type="Embed" ProgID="Equation.3" ShapeID="_x0000_i1038" DrawAspect="Content" ObjectID="_1468075741" r:id="rId87">
            <o:LockedField>false</o:LockedField>
          </o:OLEObject>
        </w:object>
      </w:r>
      <w:r>
        <w:rPr>
          <w:rFonts w:hint="eastAsia"/>
        </w:rPr>
        <w:t>，S为房间内表面面积，m</w:t>
      </w:r>
      <w:r>
        <w:rPr>
          <w:rFonts w:hint="eastAsia"/>
          <w:vertAlign w:val="superscript"/>
        </w:rPr>
        <w:t>2</w:t>
      </w:r>
      <w:r>
        <w:rPr>
          <w:rFonts w:hint="eastAsia"/>
        </w:rPr>
        <w:t>；</w:t>
      </w:r>
      <w:r>
        <w:rPr>
          <w:rFonts w:hint="eastAsia"/>
          <w:position w:val="-6"/>
        </w:rPr>
        <w:object>
          <v:shape id="_x0000_i1039" o:spt="75" type="#_x0000_t75" style="height:11.3pt;width:12.15pt;" o:ole="t" filled="f" o:preferrelative="t" stroked="f" coordsize="21600,21600">
            <v:path/>
            <v:fill on="f" focussize="0,0"/>
            <v:stroke on="f" joinstyle="miter"/>
            <v:imagedata r:id="rId90" o:title=""/>
            <o:lock v:ext="edit" aspectratio="t"/>
            <w10:wrap type="none"/>
            <w10:anchorlock/>
          </v:shape>
          <o:OLEObject Type="Embed" ProgID="Equation.3" ShapeID="_x0000_i1039" DrawAspect="Content" ObjectID="_1468075742" r:id="rId89">
            <o:LockedField>false</o:LockedField>
          </o:OLEObject>
        </w:object>
      </w:r>
      <w:r>
        <w:rPr>
          <w:rFonts w:hint="eastAsia"/>
        </w:rPr>
        <w:t>为平均吸声系数；</w:t>
      </w:r>
    </w:p>
    <w:p w14:paraId="0AF24506">
      <w:pPr>
        <w:ind w:firstLine="720" w:firstLineChars="300"/>
      </w:pPr>
      <w:r>
        <w:rPr>
          <w:rFonts w:hint="eastAsia"/>
        </w:rPr>
        <w:t>r——声源到靠近围护结构某点处的距离，m。</w:t>
      </w:r>
    </w:p>
    <w:p w14:paraId="39BED533">
      <w:pPr>
        <w:ind w:firstLine="480"/>
      </w:pPr>
      <w:r>
        <w:rPr>
          <w:rFonts w:hint="eastAsia"/>
        </w:rPr>
        <w:t>然后按式5.2-3计算出所有室内声源在围护结构处产生的i倍频带叠加声压级：</w:t>
      </w:r>
    </w:p>
    <w:p w14:paraId="2AB43D9A">
      <w:pPr>
        <w:ind w:firstLine="480"/>
        <w:jc w:val="center"/>
      </w:pPr>
      <w:r>
        <w:rPr>
          <w:rFonts w:hint="eastAsia"/>
          <w:position w:val="-32"/>
        </w:rPr>
        <w:object>
          <v:shape id="_x0000_i1040" o:spt="75" type="#_x0000_t75" style="height:38.15pt;width:130.1pt;" o:ole="t" filled="f" o:preferrelative="t" stroked="f" coordsize="21600,21600">
            <v:path/>
            <v:fill on="f" focussize="0,0"/>
            <v:stroke on="f" joinstyle="miter"/>
            <v:imagedata r:id="rId92" o:title=""/>
            <o:lock v:ext="edit" aspectratio="t"/>
            <w10:wrap type="none"/>
            <w10:anchorlock/>
          </v:shape>
          <o:OLEObject Type="Embed" ProgID="Equation.3" ShapeID="_x0000_i1040" DrawAspect="Content" ObjectID="_1468075743" r:id="rId91">
            <o:LockedField>false</o:LockedField>
          </o:OLEObject>
        </w:object>
      </w:r>
      <w:r>
        <w:rPr>
          <w:rFonts w:hint="eastAsia"/>
        </w:rPr>
        <w:t xml:space="preserve">    （公式5.2-3）</w:t>
      </w:r>
    </w:p>
    <w:p w14:paraId="7634A398">
      <w:pPr>
        <w:ind w:firstLine="480"/>
      </w:pPr>
      <w:r>
        <w:rPr>
          <w:rFonts w:hint="eastAsia"/>
        </w:rPr>
        <w:t>式中：</w:t>
      </w:r>
      <w:r>
        <w:rPr>
          <w:rFonts w:hint="eastAsia"/>
          <w:position w:val="-14"/>
        </w:rPr>
        <w:object>
          <v:shape id="_x0000_i1041" o:spt="75" type="#_x0000_t75" style="height:19.1pt;width:36.45pt;" o:ole="t" filled="f" o:preferrelative="t" stroked="f" coordsize="21600,21600">
            <v:path/>
            <v:fill on="f" focussize="0,0"/>
            <v:stroke on="f" joinstyle="miter"/>
            <v:imagedata r:id="rId94" o:title=""/>
            <o:lock v:ext="edit" aspectratio="t"/>
            <w10:wrap type="none"/>
            <w10:anchorlock/>
          </v:shape>
          <o:OLEObject Type="Embed" ProgID="Equation.3" ShapeID="_x0000_i1041" DrawAspect="Content" ObjectID="_1468075744" r:id="rId93">
            <o:LockedField>false</o:LockedField>
          </o:OLEObject>
        </w:object>
      </w:r>
      <w:r>
        <w:rPr>
          <w:rFonts w:hint="eastAsia"/>
        </w:rPr>
        <w:t>——靠近围护结构处室内N个声源i倍频带的叠加声压级，dB；</w:t>
      </w:r>
    </w:p>
    <w:p w14:paraId="29B0764F">
      <w:pPr>
        <w:ind w:firstLine="480"/>
      </w:pPr>
      <w:r>
        <w:rPr>
          <w:rFonts w:hint="eastAsia"/>
          <w:position w:val="-14"/>
        </w:rPr>
        <w:object>
          <v:shape id="_x0000_i1042" o:spt="75" type="#_x0000_t75" style="height:19.1pt;width:23.4pt;" o:ole="t" filled="f" o:preferrelative="t" stroked="f" coordsize="21600,21600">
            <v:path/>
            <v:fill on="f" focussize="0,0"/>
            <v:stroke on="f" joinstyle="miter"/>
            <v:imagedata r:id="rId96" o:title=""/>
            <o:lock v:ext="edit" aspectratio="t"/>
            <w10:wrap type="none"/>
            <w10:anchorlock/>
          </v:shape>
          <o:OLEObject Type="Embed" ProgID="Equation.3" ShapeID="_x0000_i1042" DrawAspect="Content" ObjectID="_1468075745" r:id="rId95">
            <o:LockedField>false</o:LockedField>
          </o:OLEObject>
        </w:object>
      </w:r>
      <w:r>
        <w:rPr>
          <w:rFonts w:hint="eastAsia"/>
        </w:rPr>
        <w:t>——室内j声源i倍频带的声压级，dB；</w:t>
      </w:r>
    </w:p>
    <w:p w14:paraId="2FA01878">
      <w:pPr>
        <w:ind w:firstLine="480"/>
      </w:pPr>
      <w:r>
        <w:rPr>
          <w:rFonts w:hint="eastAsia"/>
        </w:rPr>
        <w:t>N——室内声源总数。</w:t>
      </w:r>
    </w:p>
    <w:p w14:paraId="2040353E">
      <w:pPr>
        <w:ind w:firstLine="480"/>
      </w:pPr>
      <w:r>
        <w:rPr>
          <w:rFonts w:hint="eastAsia"/>
        </w:rPr>
        <w:t>在室内近似为扩散声场时，按5.2-4式计算出靠近室外围护结构处的声压级：</w:t>
      </w:r>
    </w:p>
    <w:p w14:paraId="1DCDDB2F">
      <w:pPr>
        <w:ind w:firstLine="480"/>
        <w:jc w:val="center"/>
      </w:pPr>
      <w:r>
        <w:rPr>
          <w:rFonts w:hint="eastAsia"/>
          <w:position w:val="-14"/>
        </w:rPr>
        <w:object>
          <v:shape id="_x0000_i1043" o:spt="75" type="#_x0000_t75" style="height:19.1pt;width:129.25pt;" o:ole="t" filled="f" o:preferrelative="t" stroked="f" coordsize="21600,21600">
            <v:path/>
            <v:fill on="f" focussize="0,0"/>
            <v:stroke on="f" joinstyle="miter"/>
            <v:imagedata r:id="rId98" o:title=""/>
            <o:lock v:ext="edit" aspectratio="t"/>
            <w10:wrap type="none"/>
            <w10:anchorlock/>
          </v:shape>
          <o:OLEObject Type="Embed" ProgID="Equation.3" ShapeID="_x0000_i1043" DrawAspect="Content" ObjectID="_1468075746" r:id="rId97">
            <o:LockedField>false</o:LockedField>
          </o:OLEObject>
        </w:object>
      </w:r>
      <w:r>
        <w:rPr>
          <w:rFonts w:hint="eastAsia"/>
        </w:rPr>
        <w:t xml:space="preserve">   （公式5.2-4）</w:t>
      </w:r>
    </w:p>
    <w:p w14:paraId="78371229">
      <w:pPr>
        <w:ind w:firstLine="480"/>
      </w:pPr>
      <w:r>
        <w:rPr>
          <w:rFonts w:hint="eastAsia"/>
        </w:rPr>
        <w:t>式中：</w:t>
      </w:r>
      <w:r>
        <w:rPr>
          <w:rFonts w:hint="eastAsia"/>
          <w:position w:val="-14"/>
        </w:rPr>
        <w:object>
          <v:shape id="_x0000_i1044" o:spt="75" type="#_x0000_t75" style="height:19.1pt;width:39.05pt;" o:ole="t" filled="f" o:preferrelative="t" stroked="f" coordsize="21600,21600">
            <v:path/>
            <v:fill on="f" focussize="0,0"/>
            <v:stroke on="f" joinstyle="miter"/>
            <v:imagedata r:id="rId100" o:title=""/>
            <o:lock v:ext="edit" aspectratio="t"/>
            <w10:wrap type="none"/>
            <w10:anchorlock/>
          </v:shape>
          <o:OLEObject Type="Embed" ProgID="Equation.3" ShapeID="_x0000_i1044" DrawAspect="Content" ObjectID="_1468075747" r:id="rId99">
            <o:LockedField>false</o:LockedField>
          </o:OLEObject>
        </w:object>
      </w:r>
      <w:r>
        <w:rPr>
          <w:rFonts w:hint="eastAsia"/>
        </w:rPr>
        <w:t>——靠近围护结构处室外N个声源i倍频带的叠加声压级，dB；</w:t>
      </w:r>
    </w:p>
    <w:p w14:paraId="1E85ED17">
      <w:pPr>
        <w:ind w:firstLine="480"/>
      </w:pPr>
      <w:r>
        <w:rPr>
          <w:rFonts w:hint="eastAsia"/>
          <w:position w:val="-14"/>
        </w:rPr>
        <w:object>
          <v:shape id="_x0000_i1045" o:spt="75" type="#_x0000_t75" style="height:19.1pt;width:36.45pt;" o:ole="t" filled="f" o:preferrelative="t" stroked="f" coordsize="21600,21600">
            <v:path/>
            <v:fill on="f" focussize="0,0"/>
            <v:stroke on="f" joinstyle="miter"/>
            <v:imagedata r:id="rId102" o:title=""/>
            <o:lock v:ext="edit" aspectratio="t"/>
            <w10:wrap type="none"/>
            <w10:anchorlock/>
          </v:shape>
          <o:OLEObject Type="Embed" ProgID="Equation.3" ShapeID="_x0000_i1045" DrawAspect="Content" ObjectID="_1468075748" r:id="rId101">
            <o:LockedField>false</o:LockedField>
          </o:OLEObject>
        </w:object>
      </w:r>
      <w:r>
        <w:rPr>
          <w:rFonts w:hint="eastAsia"/>
        </w:rPr>
        <w:t>——靠近围护结构处室内N个声源i倍频带的叠加声压级，dB；</w:t>
      </w:r>
    </w:p>
    <w:p w14:paraId="5338F9F1">
      <w:pPr>
        <w:ind w:firstLine="480"/>
      </w:pPr>
      <w:r>
        <w:rPr>
          <w:rFonts w:hint="eastAsia"/>
          <w:position w:val="-12"/>
        </w:rPr>
        <w:object>
          <v:shape id="_x0000_i1046" o:spt="75" type="#_x0000_t75" style="height:18.2pt;width:18.2pt;" o:ole="t" filled="f" o:preferrelative="t" stroked="f" coordsize="21600,21600">
            <v:path/>
            <v:fill on="f" focussize="0,0"/>
            <v:stroke on="f" joinstyle="miter"/>
            <v:imagedata r:id="rId104" o:title=""/>
            <o:lock v:ext="edit" aspectratio="t"/>
            <w10:wrap type="none"/>
            <w10:anchorlock/>
          </v:shape>
          <o:OLEObject Type="Embed" ProgID="Equation.3" ShapeID="_x0000_i1046" DrawAspect="Content" ObjectID="_1468075749" r:id="rId103">
            <o:LockedField>false</o:LockedField>
          </o:OLEObject>
        </w:object>
      </w:r>
      <w:r>
        <w:rPr>
          <w:rFonts w:hint="eastAsia"/>
        </w:rPr>
        <w:t>——围护结构i倍频带的隔声量，dB。</w:t>
      </w:r>
    </w:p>
    <w:p w14:paraId="42B5526D">
      <w:pPr>
        <w:ind w:firstLine="480"/>
      </w:pPr>
      <w:r>
        <w:rPr>
          <w:rFonts w:hint="eastAsia"/>
        </w:rPr>
        <w:t>然后按5.2-5式将室外声源的声压级和透过面积换算成等效的室外声源，计算出中心位置位于透声面积(S) 处的等效声源的倍频带声功率级。</w:t>
      </w:r>
    </w:p>
    <w:p w14:paraId="5F0EDA39">
      <w:pPr>
        <w:ind w:firstLine="480"/>
        <w:jc w:val="center"/>
      </w:pPr>
      <w:r>
        <w:rPr>
          <w:rFonts w:hint="eastAsia"/>
          <w:position w:val="-14"/>
        </w:rPr>
        <w:object>
          <v:shape id="_x0000_i1047" o:spt="75" type="#_x0000_t75" style="height:19.1pt;width:100.65pt;" o:ole="t" filled="f" o:preferrelative="t" stroked="f" coordsize="21600,21600">
            <v:path/>
            <v:fill on="f" focussize="0,0"/>
            <v:stroke on="f" joinstyle="miter"/>
            <v:imagedata r:id="rId106" o:title=""/>
            <o:lock v:ext="edit" aspectratio="t"/>
            <w10:wrap type="none"/>
            <w10:anchorlock/>
          </v:shape>
          <o:OLEObject Type="Embed" ProgID="Equation.3" ShapeID="_x0000_i1047" DrawAspect="Content" ObjectID="_1468075750" r:id="rId105">
            <o:LockedField>false</o:LockedField>
          </o:OLEObject>
        </w:object>
      </w:r>
      <w:r>
        <w:rPr>
          <w:rFonts w:hint="eastAsia"/>
        </w:rPr>
        <w:t xml:space="preserve">   （公式5.2-5）</w:t>
      </w:r>
    </w:p>
    <w:p w14:paraId="4034356B">
      <w:pPr>
        <w:ind w:firstLine="480"/>
      </w:pPr>
      <w:r>
        <w:rPr>
          <w:rFonts w:hint="eastAsia"/>
        </w:rPr>
        <w:t>式中：Lw——中心位置位于透声面积(S)处的等效声源的倍频带声功率级，dB；</w:t>
      </w:r>
    </w:p>
    <w:p w14:paraId="3D30F43E">
      <w:pPr>
        <w:ind w:firstLine="480"/>
      </w:pPr>
      <w:r>
        <w:rPr>
          <w:rFonts w:hint="eastAsia"/>
          <w:position w:val="-14"/>
        </w:rPr>
        <w:object>
          <v:shape id="_x0000_i1048" o:spt="75" type="#_x0000_t75" style="height:19.1pt;width:35.55pt;" o:ole="t" filled="f" o:preferrelative="t" stroked="f" coordsize="21600,21600">
            <v:path/>
            <v:fill on="f" focussize="0,0"/>
            <v:stroke on="f" joinstyle="miter"/>
            <v:imagedata r:id="rId108" o:title=""/>
            <o:lock v:ext="edit" aspectratio="t"/>
            <w10:wrap type="none"/>
            <w10:anchorlock/>
          </v:shape>
          <o:OLEObject Type="Embed" ProgID="Equation.3" ShapeID="_x0000_i1048" DrawAspect="Content" ObjectID="_1468075751" r:id="rId107">
            <o:LockedField>false</o:LockedField>
          </o:OLEObject>
        </w:object>
      </w:r>
      <w:r>
        <w:rPr>
          <w:rFonts w:hint="eastAsia"/>
        </w:rPr>
        <w:t>——靠近围护结构处室外声源的声压级，dB；</w:t>
      </w:r>
    </w:p>
    <w:p w14:paraId="1AC5E1B0">
      <w:pPr>
        <w:ind w:firstLine="480"/>
      </w:pPr>
      <w:r>
        <w:rPr>
          <w:rFonts w:hint="eastAsia"/>
        </w:rPr>
        <w:t>S——透声面积，m</w:t>
      </w:r>
      <w:r>
        <w:rPr>
          <w:rFonts w:hint="eastAsia"/>
          <w:vertAlign w:val="superscript"/>
        </w:rPr>
        <w:t>2</w:t>
      </w:r>
      <w:r>
        <w:rPr>
          <w:rFonts w:hint="eastAsia"/>
        </w:rPr>
        <w:t>。</w:t>
      </w:r>
    </w:p>
    <w:p w14:paraId="64EA5E12">
      <w:pPr>
        <w:ind w:firstLine="480"/>
      </w:pPr>
      <w:r>
        <w:rPr>
          <w:rFonts w:hint="eastAsia"/>
        </w:rPr>
        <w:t>然后按室外声源预测方法计算预测点处的A声级。</w:t>
      </w:r>
    </w:p>
    <w:p w14:paraId="7FB38F7E">
      <w:pPr>
        <w:ind w:firstLine="480"/>
      </w:pPr>
      <w:r>
        <w:rPr>
          <w:rFonts w:hint="eastAsia"/>
        </w:rPr>
        <w:t>2.</w:t>
      </w:r>
      <w:r>
        <w:t>室外的点声源在预测点产生的声级计算基本公</w:t>
      </w:r>
      <w:r>
        <w:rPr>
          <w:rFonts w:hint="eastAsia"/>
        </w:rPr>
        <w:t>式5.2-6：</w:t>
      </w:r>
    </w:p>
    <w:p w14:paraId="64213866">
      <w:pPr>
        <w:ind w:firstLine="480"/>
      </w:pPr>
      <w:r>
        <w:rPr>
          <w:rFonts w:hint="eastAsia"/>
        </w:rPr>
        <w:t>户外声传播衰减包括几何发散(Adv)、大气吸收(Aam)、地面效应(Ag)、障碍物屏蔽(Abar)、其他多方面效应(Amisc)引起的衰减。</w:t>
      </w:r>
    </w:p>
    <w:p w14:paraId="5754143C">
      <w:pPr>
        <w:ind w:firstLine="480"/>
        <w:jc w:val="center"/>
      </w:pPr>
      <w:r>
        <w:rPr>
          <w:rFonts w:hint="eastAsia"/>
          <w:position w:val="-14"/>
        </w:rPr>
        <w:object>
          <v:shape id="_x0000_i1049" o:spt="75" type="#_x0000_t75" style="height:19.1pt;width:233.35pt;" o:ole="t" filled="f" o:preferrelative="t" stroked="f" coordsize="21600,21600">
            <v:path/>
            <v:fill on="f" focussize="0,0"/>
            <v:stroke on="f" joinstyle="miter"/>
            <v:imagedata r:id="rId110" o:title=""/>
            <o:lock v:ext="edit" aspectratio="t"/>
            <w10:wrap type="none"/>
            <w10:anchorlock/>
          </v:shape>
          <o:OLEObject Type="Embed" ProgID="Equation.3" ShapeID="_x0000_i1049" DrawAspect="Content" ObjectID="_1468075752" r:id="rId109">
            <o:LockedField>false</o:LockedField>
          </o:OLEObject>
        </w:object>
      </w:r>
      <w:r>
        <w:rPr>
          <w:rFonts w:hint="eastAsia"/>
        </w:rPr>
        <w:t xml:space="preserve">  （公式5.2-6）</w:t>
      </w:r>
    </w:p>
    <w:p w14:paraId="1E833271">
      <w:pPr>
        <w:ind w:firstLine="480"/>
      </w:pPr>
      <w:r>
        <w:t>式中：</w:t>
      </w:r>
      <w:r>
        <w:rPr>
          <w:position w:val="-14"/>
        </w:rPr>
        <w:object>
          <v:shape id="_x0000_i1050" o:spt="75" type="#_x0000_t75" style="height:19.1pt;width:30.35pt;" o:ole="t" filled="f" o:preferrelative="t" stroked="f" coordsize="21600,21600">
            <v:path/>
            <v:fill on="f" focussize="0,0"/>
            <v:stroke on="f" joinstyle="miter"/>
            <v:imagedata r:id="rId112" o:title=""/>
            <o:lock v:ext="edit" aspectratio="t"/>
            <w10:wrap type="none"/>
            <w10:anchorlock/>
          </v:shape>
          <o:OLEObject Type="Embed" ProgID="Equation.3" ShapeID="_x0000_i1050" DrawAspect="Content" ObjectID="_1468075753" r:id="rId111">
            <o:LockedField>false</o:LockedField>
          </o:OLEObject>
        </w:object>
      </w:r>
      <w:r>
        <w:t>——预测点处声压级，dB；</w:t>
      </w:r>
    </w:p>
    <w:p w14:paraId="143EE94F">
      <w:pPr>
        <w:ind w:firstLine="480"/>
      </w:pPr>
      <w:r>
        <w:rPr>
          <w:position w:val="-12"/>
        </w:rPr>
        <w:object>
          <v:shape id="_x0000_i1051" o:spt="75" type="#_x0000_t75" style="height:18.2pt;width:14.75pt;" o:ole="t" filled="f" o:preferrelative="t" stroked="f" coordsize="21600,21600">
            <v:path/>
            <v:fill on="f" focussize="0,0"/>
            <v:stroke on="f" joinstyle="miter"/>
            <v:imagedata r:id="rId114" o:title=""/>
            <o:lock v:ext="edit" aspectratio="t"/>
            <w10:wrap type="none"/>
            <w10:anchorlock/>
          </v:shape>
          <o:OLEObject Type="Embed" ProgID="Equation.3" ShapeID="_x0000_i1051" DrawAspect="Content" ObjectID="_1468075754" r:id="rId113">
            <o:LockedField>false</o:LockedField>
          </o:OLEObject>
        </w:object>
      </w:r>
      <w:r>
        <w:t>——由点声源产生的声功率级(A计权或倍频带)，dB；</w:t>
      </w:r>
    </w:p>
    <w:p w14:paraId="3D81FF7F">
      <w:pPr>
        <w:ind w:firstLine="480"/>
      </w:pPr>
      <w:r>
        <w:t>Dc——指向性校正，它描述点声源的等效连续声压级与产生声功率级</w:t>
      </w:r>
      <w:r>
        <w:rPr>
          <w:position w:val="-12"/>
        </w:rPr>
        <w:object>
          <v:shape id="_x0000_i1052" o:spt="75" type="#_x0000_t75" style="height:18.2pt;width:14.75pt;" o:ole="t" filled="f" o:preferrelative="t" stroked="f" coordsize="21600,21600">
            <v:path/>
            <v:fill on="f" focussize="0,0"/>
            <v:stroke on="f" joinstyle="miter"/>
            <v:imagedata r:id="rId114" o:title=""/>
            <o:lock v:ext="edit" aspectratio="t"/>
            <w10:wrap type="none"/>
            <w10:anchorlock/>
          </v:shape>
          <o:OLEObject Type="Embed" ProgID="Equation.3" ShapeID="_x0000_i1052" DrawAspect="Content" ObjectID="_1468075755" r:id="rId115">
            <o:LockedField>false</o:LockedField>
          </o:OLEObject>
        </w:object>
      </w:r>
      <w:r>
        <w:t>的全向点声源在规定方向的声级的偏差程度，dB；</w:t>
      </w:r>
    </w:p>
    <w:p w14:paraId="509C31CC">
      <w:pPr>
        <w:ind w:firstLine="480"/>
      </w:pPr>
      <w:r>
        <w:rPr>
          <w:position w:val="-12"/>
        </w:rPr>
        <w:object>
          <v:shape id="_x0000_i1053" o:spt="75" type="#_x0000_t75" style="height:18.2pt;width:20.8pt;" o:ole="t" filled="f" o:preferrelative="t" stroked="f" coordsize="21600,21600">
            <v:path/>
            <v:fill on="f" focussize="0,0"/>
            <v:stroke on="f" joinstyle="miter"/>
            <v:imagedata r:id="rId117" o:title=""/>
            <o:lock v:ext="edit" aspectratio="t"/>
            <w10:wrap type="none"/>
            <w10:anchorlock/>
          </v:shape>
          <o:OLEObject Type="Embed" ProgID="Equation.3" ShapeID="_x0000_i1053" DrawAspect="Content" ObjectID="_1468075756" r:id="rId116">
            <o:LockedField>false</o:LockedField>
          </o:OLEObject>
        </w:object>
      </w:r>
      <w:r>
        <w:t>——几何发散引起的衰减，dB；</w:t>
      </w:r>
    </w:p>
    <w:p w14:paraId="16F277B4">
      <w:pPr>
        <w:ind w:firstLine="480"/>
      </w:pPr>
      <w:r>
        <w:rPr>
          <w:position w:val="-12"/>
        </w:rPr>
        <w:object>
          <v:shape id="_x0000_i1054" o:spt="75" type="#_x0000_t75" style="height:18.2pt;width:21.7pt;" o:ole="t" filled="f" o:preferrelative="t" stroked="f" coordsize="21600,21600">
            <v:path/>
            <v:fill on="f" focussize="0,0"/>
            <v:stroke on="f" joinstyle="miter"/>
            <v:imagedata r:id="rId119" o:title=""/>
            <o:lock v:ext="edit" aspectratio="t"/>
            <w10:wrap type="none"/>
            <w10:anchorlock/>
          </v:shape>
          <o:OLEObject Type="Embed" ProgID="Equation.3" ShapeID="_x0000_i1054" DrawAspect="Content" ObjectID="_1468075757" r:id="rId118">
            <o:LockedField>false</o:LockedField>
          </o:OLEObject>
        </w:object>
      </w:r>
      <w:r>
        <w:t>——大气吸收引起的衰减，dB；</w:t>
      </w:r>
    </w:p>
    <w:p w14:paraId="02DDBEAC">
      <w:pPr>
        <w:ind w:firstLine="480"/>
      </w:pPr>
      <w:r>
        <w:rPr>
          <w:position w:val="-14"/>
        </w:rPr>
        <w:object>
          <v:shape id="_x0000_i1055" o:spt="75" type="#_x0000_t75" style="height:19.1pt;width:18.2pt;" o:ole="t" filled="f" o:preferrelative="t" stroked="f" coordsize="21600,21600">
            <v:path/>
            <v:fill on="f" focussize="0,0"/>
            <v:stroke on="f" joinstyle="miter"/>
            <v:imagedata r:id="rId121" o:title=""/>
            <o:lock v:ext="edit" aspectratio="t"/>
            <w10:wrap type="none"/>
            <w10:anchorlock/>
          </v:shape>
          <o:OLEObject Type="Embed" ProgID="Equation.3" ShapeID="_x0000_i1055" DrawAspect="Content" ObjectID="_1468075758" r:id="rId120">
            <o:LockedField>false</o:LockedField>
          </o:OLEObject>
        </w:object>
      </w:r>
      <w:r>
        <w:t>——地面效应引起的衰减，dB；</w:t>
      </w:r>
    </w:p>
    <w:p w14:paraId="7ACEF138">
      <w:pPr>
        <w:ind w:firstLine="480"/>
      </w:pPr>
      <w:r>
        <w:rPr>
          <w:position w:val="-12"/>
        </w:rPr>
        <w:object>
          <v:shape id="_x0000_i1056" o:spt="75" type="#_x0000_t75" style="height:18.2pt;width:20.8pt;" o:ole="t" filled="f" o:preferrelative="t" stroked="f" coordsize="21600,21600">
            <v:path/>
            <v:fill on="f" focussize="0,0"/>
            <v:stroke on="f" joinstyle="miter"/>
            <v:imagedata r:id="rId123" o:title=""/>
            <o:lock v:ext="edit" aspectratio="t"/>
            <w10:wrap type="none"/>
            <w10:anchorlock/>
          </v:shape>
          <o:OLEObject Type="Embed" ProgID="Equation.3" ShapeID="_x0000_i1056" DrawAspect="Content" ObjectID="_1468075759" r:id="rId122">
            <o:LockedField>false</o:LockedField>
          </o:OLEObject>
        </w:object>
      </w:r>
      <w:r>
        <w:t>——障碍物屏蔽引起的衰减，dB；</w:t>
      </w:r>
    </w:p>
    <w:p w14:paraId="51365AC2">
      <w:pPr>
        <w:ind w:firstLine="480"/>
      </w:pPr>
      <w:r>
        <w:rPr>
          <w:position w:val="-12"/>
        </w:rPr>
        <w:object>
          <v:shape id="_x0000_i1057" o:spt="75" type="#_x0000_t75" style="height:18.2pt;width:24.3pt;" o:ole="t" filled="f" o:preferrelative="t" stroked="f" coordsize="21600,21600">
            <v:path/>
            <v:fill on="f" focussize="0,0"/>
            <v:stroke on="f" joinstyle="miter"/>
            <v:imagedata r:id="rId125" o:title=""/>
            <o:lock v:ext="edit" aspectratio="t"/>
            <w10:wrap type="none"/>
            <w10:anchorlock/>
          </v:shape>
          <o:OLEObject Type="Embed" ProgID="Equation.3" ShapeID="_x0000_i1057" DrawAspect="Content" ObjectID="_1468075760" r:id="rId124">
            <o:LockedField>false</o:LockedField>
          </o:OLEObject>
        </w:object>
      </w:r>
      <w:r>
        <w:t>——其他多方面效应引起的衰减，dB。</w:t>
      </w:r>
    </w:p>
    <w:p w14:paraId="1D527E33">
      <w:pPr>
        <w:ind w:firstLine="480"/>
      </w:pPr>
      <w:r>
        <w:t>根据上述公式，对主要生产设备噪声值进行叠加计算，预测项目实施后对厂界声环境的影响。</w:t>
      </w:r>
    </w:p>
    <w:p w14:paraId="1382A5B7">
      <w:pPr>
        <w:ind w:firstLine="480"/>
      </w:pPr>
      <w:r>
        <w:t>预测参数确定：</w:t>
      </w:r>
    </w:p>
    <w:p w14:paraId="32F84CDC">
      <w:pPr>
        <w:ind w:firstLine="480"/>
      </w:pPr>
      <w:r>
        <w:t>⑴几何发散衰减量</w:t>
      </w:r>
      <w:r>
        <w:rPr>
          <w:position w:val="-12"/>
        </w:rPr>
        <w:object>
          <v:shape id="_x0000_i1058" o:spt="75" type="#_x0000_t75" style="height:18.2pt;width:20.8pt;" o:ole="t" filled="f" o:preferrelative="t" stroked="f" coordsize="21600,21600">
            <v:path/>
            <v:fill on="f" focussize="0,0"/>
            <v:stroke on="f" joinstyle="miter"/>
            <v:imagedata r:id="rId117" o:title=""/>
            <o:lock v:ext="edit" aspectratio="t"/>
            <w10:wrap type="none"/>
            <w10:anchorlock/>
          </v:shape>
          <o:OLEObject Type="Embed" ProgID="Equation.3" ShapeID="_x0000_i1058" DrawAspect="Content" ObjectID="_1468075761" r:id="rId126">
            <o:LockedField>false</o:LockedField>
          </o:OLEObject>
        </w:object>
      </w:r>
      <w:r>
        <w:rPr>
          <w:position w:val="-12"/>
        </w:rPr>
        <w:t>：</w:t>
      </w:r>
    </w:p>
    <w:p w14:paraId="64937F20">
      <w:pPr>
        <w:ind w:firstLine="480"/>
      </w:pPr>
      <w:r>
        <w:t>选用半自由声场无指向性点声源几何发散衰减基本模式计算：</w:t>
      </w:r>
    </w:p>
    <w:p w14:paraId="231E7290">
      <w:pPr>
        <w:ind w:firstLine="480"/>
        <w:jc w:val="center"/>
      </w:pPr>
      <w:r>
        <w:rPr>
          <w:rFonts w:hint="eastAsia"/>
          <w:position w:val="-12"/>
        </w:rPr>
        <w:object>
          <v:shape id="_x0000_i1059" o:spt="75" type="#_x0000_t75" style="height:18.2pt;width:102.35pt;" o:ole="t" filled="f" o:preferrelative="t" stroked="f" coordsize="21600,21600">
            <v:path/>
            <v:fill on="f" focussize="0,0"/>
            <v:stroke on="f" joinstyle="miter"/>
            <v:imagedata r:id="rId128" o:title=""/>
            <o:lock v:ext="edit" aspectratio="t"/>
            <w10:wrap type="none"/>
            <w10:anchorlock/>
          </v:shape>
          <o:OLEObject Type="Embed" ProgID="Equation.3" ShapeID="_x0000_i1059" DrawAspect="Content" ObjectID="_1468075762" r:id="rId127">
            <o:LockedField>false</o:LockedField>
          </o:OLEObject>
        </w:object>
      </w:r>
      <w:r>
        <w:rPr>
          <w:rFonts w:hint="eastAsia"/>
        </w:rPr>
        <w:t xml:space="preserve">   （公式5.2-7）</w:t>
      </w:r>
    </w:p>
    <w:p w14:paraId="5594BC86">
      <w:pPr>
        <w:ind w:firstLine="516"/>
      </w:pPr>
      <w:r>
        <w:rPr>
          <w:spacing w:val="9"/>
          <w:position w:val="1"/>
        </w:rPr>
        <w:t>⑵遮</w:t>
      </w:r>
      <w:r>
        <w:rPr>
          <w:spacing w:val="8"/>
          <w:position w:val="1"/>
        </w:rPr>
        <w:t>挡物衰减量</w:t>
      </w:r>
      <w:r>
        <w:rPr>
          <w:position w:val="-12"/>
        </w:rPr>
        <w:object>
          <v:shape id="_x0000_i1060" o:spt="75" type="#_x0000_t75" style="height:18.2pt;width:20.8pt;" o:ole="t" filled="f" o:preferrelative="t" stroked="f" coordsize="21600,21600">
            <v:path/>
            <v:fill on="f" focussize="0,0"/>
            <v:stroke on="f" joinstyle="miter"/>
            <v:imagedata r:id="rId123" o:title=""/>
            <o:lock v:ext="edit" aspectratio="t"/>
            <w10:wrap type="none"/>
            <w10:anchorlock/>
          </v:shape>
          <o:OLEObject Type="Embed" ProgID="Equation.3" ShapeID="_x0000_i1060" DrawAspect="Content" ObjectID="_1468075763" r:id="rId129">
            <o:LockedField>false</o:LockedField>
          </o:OLEObject>
        </w:object>
      </w:r>
      <w:r>
        <w:t>：</w:t>
      </w:r>
    </w:p>
    <w:p w14:paraId="240E9E0D">
      <w:pPr>
        <w:ind w:firstLine="480"/>
      </w:pPr>
      <w:r>
        <w:t>噪声源辐射的噪声由室内传播至室外遇到围墙或建筑物等障碍物时引起的能量衰减。对于安装在厂房内的设备，预测时主要考虑厂房墙壁等围栏结构产生的衰减，其最大衰减量可达20dB。</w:t>
      </w:r>
    </w:p>
    <w:p w14:paraId="744BCC6D">
      <w:pPr>
        <w:ind w:firstLine="480"/>
      </w:pPr>
      <w:r>
        <w:t>⑶空气吸收衰减量</w:t>
      </w:r>
      <w:r>
        <w:rPr>
          <w:position w:val="-12"/>
        </w:rPr>
        <w:object>
          <v:shape id="_x0000_i1061" o:spt="75" type="#_x0000_t75" style="height:18.2pt;width:21.7pt;" o:ole="t" filled="f" o:preferrelative="t" stroked="f" coordsize="21600,21600">
            <v:path/>
            <v:fill on="f" focussize="0,0"/>
            <v:stroke on="f" joinstyle="miter"/>
            <v:imagedata r:id="rId119" o:title=""/>
            <o:lock v:ext="edit" aspectratio="t"/>
            <w10:wrap type="none"/>
            <w10:anchorlock/>
          </v:shape>
          <o:OLEObject Type="Embed" ProgID="Equation.3" ShapeID="_x0000_i1061" DrawAspect="Content" ObjectID="_1468075764" r:id="rId130">
            <o:LockedField>false</o:LockedField>
          </o:OLEObject>
        </w:object>
      </w:r>
      <w:r>
        <w:t>：</w:t>
      </w:r>
    </w:p>
    <w:p w14:paraId="0F6DB6AA">
      <w:pPr>
        <w:ind w:left="480" w:leftChars="200" w:firstLine="480"/>
        <w:jc w:val="center"/>
      </w:pPr>
      <w:r>
        <w:rPr>
          <w:rFonts w:hint="eastAsia"/>
          <w:position w:val="-24"/>
        </w:rPr>
        <w:object>
          <v:shape id="_x0000_i1062" o:spt="75" type="#_x0000_t75" style="height:31.25pt;width:77.2pt;" o:ole="t" filled="f" o:preferrelative="t" stroked="f" coordsize="21600,21600">
            <v:path/>
            <v:fill on="f" focussize="0,0"/>
            <v:stroke on="f" joinstyle="miter"/>
            <v:imagedata r:id="rId132" o:title=""/>
            <o:lock v:ext="edit" aspectratio="t"/>
            <w10:wrap type="none"/>
            <w10:anchorlock/>
          </v:shape>
          <o:OLEObject Type="Embed" ProgID="Equation.3" ShapeID="_x0000_i1062" DrawAspect="Content" ObjectID="_1468075765" r:id="rId131">
            <o:LockedField>false</o:LockedField>
          </o:OLEObject>
        </w:object>
      </w:r>
      <w:r>
        <w:rPr>
          <w:rFonts w:hint="eastAsia"/>
        </w:rPr>
        <w:t xml:space="preserve">   （公式5.2-8）</w:t>
      </w:r>
    </w:p>
    <w:p w14:paraId="52387E3E">
      <w:pPr>
        <w:ind w:firstLine="480"/>
      </w:pPr>
      <w:r>
        <w:t>式中：</w:t>
      </w:r>
      <w:r>
        <w:rPr>
          <w:position w:val="-6"/>
        </w:rPr>
        <w:object>
          <v:shape id="_x0000_i1063" o:spt="75" type="#_x0000_t75" style="height:11.3pt;width:12.15pt;" o:ole="t" filled="f" o:preferrelative="t" stroked="f" coordsize="21600,21600">
            <v:path/>
            <v:fill on="f" focussize="0,0"/>
            <v:stroke on="f" joinstyle="miter"/>
            <v:imagedata r:id="rId134" o:title=""/>
            <o:lock v:ext="edit" aspectratio="t"/>
            <w10:wrap type="none"/>
            <w10:anchorlock/>
          </v:shape>
          <o:OLEObject Type="Embed" ProgID="Equation.3" ShapeID="_x0000_i1063" DrawAspect="Content" ObjectID="_1468075766" r:id="rId133">
            <o:LockedField>false</o:LockedField>
          </o:OLEObject>
        </w:object>
      </w:r>
      <w:r>
        <w:t>——与温度、湿度和声波频率有关的大气吸收衰减系数，预测计算中一般根据建设项目所处区域常年平均气温和湿度选址相应的大气吸收衰减系数。空气吸收衰减量与几何发散衰减量相比很小，本次预测计算中忽略空气吸收衰减量。</w:t>
      </w:r>
    </w:p>
    <w:p w14:paraId="79862C6E">
      <w:pPr>
        <w:ind w:firstLine="480"/>
      </w:pPr>
      <w:r>
        <w:t>⑷地面衰减量</w:t>
      </w:r>
      <w:r>
        <w:rPr>
          <w:position w:val="-14"/>
        </w:rPr>
        <w:object>
          <v:shape id="_x0000_i1064" o:spt="75" type="#_x0000_t75" style="height:19.1pt;width:18.2pt;" o:ole="t" filled="f" o:preferrelative="t" stroked="f" coordsize="21600,21600">
            <v:path/>
            <v:fill on="f" focussize="0,0"/>
            <v:stroke on="f" joinstyle="miter"/>
            <v:imagedata r:id="rId121" o:title=""/>
            <o:lock v:ext="edit" aspectratio="t"/>
            <w10:wrap type="none"/>
            <w10:anchorlock/>
          </v:shape>
          <o:OLEObject Type="Embed" ProgID="Equation.3" ShapeID="_x0000_i1064" DrawAspect="Content" ObjectID="_1468075767" r:id="rId135">
            <o:LockedField>false</o:LockedField>
          </o:OLEObject>
        </w:object>
      </w:r>
      <w:r>
        <w:t>：本次评价忽略。</w:t>
      </w:r>
    </w:p>
    <w:p w14:paraId="4B34AE7C">
      <w:pPr>
        <w:ind w:firstLine="480"/>
      </w:pPr>
      <w:r>
        <w:t>⑸其它方面衰减量</w:t>
      </w:r>
      <w:r>
        <w:rPr>
          <w:position w:val="-12"/>
        </w:rPr>
        <w:object>
          <v:shape id="_x0000_i1065" o:spt="75" type="#_x0000_t75" style="height:18.2pt;width:24.3pt;" o:ole="t" filled="f" o:preferrelative="t" stroked="f" coordsize="21600,21600">
            <v:path/>
            <v:fill on="f" focussize="0,0"/>
            <v:stroke on="f" joinstyle="miter"/>
            <v:imagedata r:id="rId125" o:title=""/>
            <o:lock v:ext="edit" aspectratio="t"/>
            <w10:wrap type="none"/>
            <w10:anchorlock/>
          </v:shape>
          <o:OLEObject Type="Embed" ProgID="Equation.3" ShapeID="_x0000_i1065" DrawAspect="Content" ObjectID="_1468075768" r:id="rId136">
            <o:LockedField>false</o:LockedField>
          </o:OLEObject>
        </w:object>
      </w:r>
      <w:r>
        <w:t>：本次评价忽略。</w:t>
      </w:r>
    </w:p>
    <w:p w14:paraId="0FA3E024">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6.2.8.3</w:t>
      </w:r>
      <w:r>
        <w:rPr>
          <w:rFonts w:hint="eastAsia"/>
        </w:rPr>
        <w:t>预测结果与评价</w:t>
      </w:r>
    </w:p>
    <w:p w14:paraId="50A9F990">
      <w:pPr>
        <w:pStyle w:val="38"/>
        <w:ind w:firstLine="480"/>
        <w:rPr>
          <w:rFonts w:ascii="Times New Roman" w:hAnsi="Times New Roman" w:eastAsia="宋体" w:cs="Times New Roman"/>
          <w:color w:val="auto"/>
        </w:rPr>
      </w:pPr>
      <w:r>
        <w:rPr>
          <w:rFonts w:ascii="Times New Roman" w:hAnsi="Times New Roman" w:eastAsia="宋体" w:cs="Times New Roman"/>
          <w:color w:val="auto"/>
        </w:rPr>
        <w:t>变更前后厂内噪声源有印刷机、</w:t>
      </w:r>
      <w:r>
        <w:rPr>
          <w:rFonts w:hint="eastAsia" w:ascii="Times New Roman" w:hAnsi="Times New Roman" w:eastAsia="宋体" w:cs="Times New Roman"/>
          <w:color w:val="auto"/>
        </w:rPr>
        <w:t>复合</w:t>
      </w:r>
      <w:r>
        <w:rPr>
          <w:rFonts w:ascii="Times New Roman" w:hAnsi="Times New Roman" w:eastAsia="宋体" w:cs="Times New Roman"/>
          <w:color w:val="auto"/>
        </w:rPr>
        <w:t>机、分切机和风机等机械设备，声源强度在</w:t>
      </w:r>
      <w:r>
        <w:rPr>
          <w:rFonts w:hint="eastAsia" w:ascii="Times New Roman" w:hAnsi="Times New Roman" w:eastAsia="宋体" w:cs="Times New Roman"/>
          <w:color w:val="auto"/>
        </w:rPr>
        <w:t>70</w:t>
      </w:r>
      <w:r>
        <w:rPr>
          <w:rFonts w:ascii="Times New Roman" w:hAnsi="Times New Roman" w:eastAsia="宋体" w:cs="Times New Roman"/>
          <w:color w:val="auto"/>
        </w:rPr>
        <w:t>~95dB(A)左右。在采取建筑隔声、消声、减振等降噪措施后，声源噪声情况列于表</w:t>
      </w:r>
      <w:r>
        <w:rPr>
          <w:rFonts w:hint="eastAsia" w:ascii="Times New Roman" w:hAnsi="Times New Roman" w:eastAsia="宋体" w:cs="Times New Roman"/>
          <w:color w:val="auto"/>
        </w:rPr>
        <w:t>4.3</w:t>
      </w:r>
      <w:r>
        <w:rPr>
          <w:rFonts w:ascii="Times New Roman" w:hAnsi="Times New Roman" w:eastAsia="宋体" w:cs="Times New Roman"/>
          <w:color w:val="auto"/>
        </w:rPr>
        <w:t>-</w:t>
      </w:r>
      <w:r>
        <w:rPr>
          <w:rFonts w:hint="eastAsia" w:ascii="Times New Roman" w:hAnsi="Times New Roman" w:eastAsia="宋体" w:cs="Times New Roman"/>
          <w:color w:val="auto"/>
        </w:rPr>
        <w:t>11</w:t>
      </w:r>
      <w:r>
        <w:rPr>
          <w:rFonts w:ascii="Times New Roman" w:hAnsi="Times New Roman" w:eastAsia="宋体" w:cs="Times New Roman"/>
          <w:color w:val="auto"/>
        </w:rPr>
        <w:t>。声源对厂界噪声的影响预测情况列于表</w:t>
      </w:r>
      <w:r>
        <w:rPr>
          <w:rFonts w:hint="eastAsia" w:ascii="Times New Roman" w:hAnsi="Times New Roman" w:eastAsia="宋体" w:cs="Times New Roman"/>
          <w:color w:val="auto"/>
        </w:rPr>
        <w:t>6</w:t>
      </w:r>
      <w:r>
        <w:rPr>
          <w:rFonts w:ascii="Times New Roman" w:hAnsi="Times New Roman" w:eastAsia="宋体" w:cs="Times New Roman"/>
          <w:color w:val="auto"/>
        </w:rPr>
        <w:t>.2-</w:t>
      </w:r>
      <w:r>
        <w:rPr>
          <w:rFonts w:hint="eastAsia" w:ascii="Times New Roman" w:hAnsi="Times New Roman" w:eastAsia="宋体" w:cs="Times New Roman"/>
          <w:color w:val="auto"/>
        </w:rPr>
        <w:t>36</w:t>
      </w:r>
      <w:r>
        <w:rPr>
          <w:rFonts w:ascii="Times New Roman" w:hAnsi="Times New Roman" w:eastAsia="宋体" w:cs="Times New Roman"/>
          <w:color w:val="auto"/>
        </w:rPr>
        <w:t>。</w:t>
      </w:r>
    </w:p>
    <w:p w14:paraId="7C40A7DF">
      <w:pPr>
        <w:pStyle w:val="51"/>
        <w:numPr>
          <w:ilvl w:val="5"/>
          <w:numId w:val="0"/>
        </w:numPr>
        <w:tabs>
          <w:tab w:val="left" w:pos="4395"/>
        </w:tabs>
        <w:spacing w:before="156"/>
        <w:ind w:left="4700" w:leftChars="0" w:hanging="3260" w:firstLineChars="0"/>
        <w:jc w:val="both"/>
      </w:pPr>
      <w:r>
        <w:rPr>
          <w:rFonts w:hint="default" w:ascii="宋体" w:hAnsi="宋体" w:eastAsia="宋体" w:cs="宋体"/>
          <w:b/>
          <w:bCs/>
          <w:color w:val="auto"/>
          <w:kern w:val="2"/>
          <w:sz w:val="21"/>
          <w:szCs w:val="21"/>
          <w:lang w:val="en-US" w:eastAsia="zh-CN" w:bidi="ar-SA"/>
        </w:rPr>
        <w:t xml:space="preserve">表6.2-36 </w:t>
      </w:r>
      <w:r>
        <w:t>厂界噪声预测结果与达标分析表</w:t>
      </w:r>
      <w:r>
        <w:rPr>
          <w:rFonts w:hint="eastAsia"/>
        </w:rPr>
        <w:t xml:space="preserve">  单位：</w:t>
      </w:r>
      <w:r>
        <w:t>（dB(A)）</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4"/>
        <w:gridCol w:w="852"/>
        <w:gridCol w:w="850"/>
        <w:gridCol w:w="745"/>
        <w:gridCol w:w="714"/>
        <w:gridCol w:w="750"/>
        <w:gridCol w:w="738"/>
        <w:gridCol w:w="668"/>
        <w:gridCol w:w="762"/>
        <w:gridCol w:w="919"/>
      </w:tblGrid>
      <w:tr w14:paraId="37171A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restart"/>
            <w:vAlign w:val="center"/>
          </w:tcPr>
          <w:p w14:paraId="0BD3A0A1">
            <w:pPr>
              <w:pStyle w:val="51"/>
              <w:numPr>
                <w:ilvl w:val="5"/>
                <w:numId w:val="0"/>
              </w:numPr>
              <w:spacing w:before="156"/>
              <w:rPr>
                <w:b w:val="0"/>
                <w:bCs w:val="0"/>
                <w:lang w:bidi="zh-CN"/>
              </w:rPr>
            </w:pPr>
            <w:bookmarkStart w:id="139" w:name="PT_7"/>
            <w:r>
              <w:rPr>
                <w:b w:val="0"/>
                <w:bCs w:val="0"/>
                <w:lang w:bidi="zh-CN"/>
              </w:rPr>
              <w:t>预测方位</w:t>
            </w:r>
          </w:p>
        </w:tc>
        <w:tc>
          <w:tcPr>
            <w:tcW w:w="1436" w:type="pct"/>
            <w:gridSpan w:val="3"/>
            <w:vAlign w:val="center"/>
          </w:tcPr>
          <w:p w14:paraId="78A5E539">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空间相对位置/m</w:t>
            </w:r>
          </w:p>
        </w:tc>
        <w:tc>
          <w:tcPr>
            <w:tcW w:w="419" w:type="pct"/>
            <w:vMerge w:val="restart"/>
            <w:vAlign w:val="center"/>
          </w:tcPr>
          <w:p w14:paraId="7BC70114">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时段</w:t>
            </w:r>
          </w:p>
        </w:tc>
        <w:tc>
          <w:tcPr>
            <w:tcW w:w="440" w:type="pct"/>
            <w:vMerge w:val="restart"/>
            <w:vAlign w:val="center"/>
          </w:tcPr>
          <w:p w14:paraId="16984A89">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贡献值</w:t>
            </w:r>
          </w:p>
        </w:tc>
        <w:tc>
          <w:tcPr>
            <w:tcW w:w="433" w:type="pct"/>
            <w:vMerge w:val="restart"/>
            <w:vAlign w:val="center"/>
          </w:tcPr>
          <w:p w14:paraId="3139653E">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背景值</w:t>
            </w:r>
          </w:p>
        </w:tc>
        <w:tc>
          <w:tcPr>
            <w:tcW w:w="392" w:type="pct"/>
            <w:vMerge w:val="restart"/>
            <w:vAlign w:val="center"/>
          </w:tcPr>
          <w:p w14:paraId="339D4A47">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预测值</w:t>
            </w:r>
          </w:p>
        </w:tc>
        <w:tc>
          <w:tcPr>
            <w:tcW w:w="447" w:type="pct"/>
            <w:vMerge w:val="restart"/>
            <w:vAlign w:val="center"/>
          </w:tcPr>
          <w:p w14:paraId="5914DE5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标准限值</w:t>
            </w:r>
          </w:p>
        </w:tc>
        <w:tc>
          <w:tcPr>
            <w:tcW w:w="539" w:type="pct"/>
            <w:vMerge w:val="restart"/>
            <w:vAlign w:val="center"/>
          </w:tcPr>
          <w:p w14:paraId="3BF7D90A">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p w14:paraId="3C92EB05">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情况</w:t>
            </w:r>
          </w:p>
        </w:tc>
      </w:tr>
      <w:tr w14:paraId="780A30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continue"/>
            <w:vAlign w:val="center"/>
          </w:tcPr>
          <w:p w14:paraId="09813ED4">
            <w:pPr>
              <w:pStyle w:val="56"/>
              <w:spacing w:line="240" w:lineRule="auto"/>
              <w:jc w:val="center"/>
              <w:rPr>
                <w:rFonts w:ascii="Times New Roman" w:hAnsi="Times New Roman" w:cs="Times New Roman"/>
                <w:sz w:val="21"/>
                <w:szCs w:val="21"/>
                <w:lang w:val="en-US"/>
              </w:rPr>
            </w:pPr>
          </w:p>
        </w:tc>
        <w:tc>
          <w:tcPr>
            <w:tcW w:w="500" w:type="pct"/>
            <w:vAlign w:val="center"/>
          </w:tcPr>
          <w:p w14:paraId="5CA3AEA1">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X</w:t>
            </w:r>
          </w:p>
        </w:tc>
        <w:tc>
          <w:tcPr>
            <w:tcW w:w="499" w:type="pct"/>
            <w:vAlign w:val="center"/>
          </w:tcPr>
          <w:p w14:paraId="6BDD7803">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Y</w:t>
            </w:r>
          </w:p>
        </w:tc>
        <w:tc>
          <w:tcPr>
            <w:tcW w:w="437" w:type="pct"/>
            <w:vAlign w:val="center"/>
          </w:tcPr>
          <w:p w14:paraId="0FE8C8F3">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Z</w:t>
            </w:r>
          </w:p>
        </w:tc>
        <w:tc>
          <w:tcPr>
            <w:tcW w:w="419" w:type="pct"/>
            <w:vMerge w:val="continue"/>
            <w:vAlign w:val="center"/>
          </w:tcPr>
          <w:p w14:paraId="7A77BCCB">
            <w:pPr>
              <w:pStyle w:val="56"/>
              <w:spacing w:line="240" w:lineRule="auto"/>
              <w:jc w:val="center"/>
              <w:rPr>
                <w:rFonts w:ascii="Times New Roman" w:hAnsi="Times New Roman" w:cs="Times New Roman"/>
                <w:sz w:val="21"/>
                <w:szCs w:val="21"/>
                <w:lang w:val="en-US"/>
              </w:rPr>
            </w:pPr>
          </w:p>
        </w:tc>
        <w:tc>
          <w:tcPr>
            <w:tcW w:w="440" w:type="pct"/>
            <w:vMerge w:val="continue"/>
            <w:vAlign w:val="center"/>
          </w:tcPr>
          <w:p w14:paraId="70E68582">
            <w:pPr>
              <w:pStyle w:val="56"/>
              <w:spacing w:line="240" w:lineRule="auto"/>
              <w:jc w:val="center"/>
              <w:rPr>
                <w:rFonts w:ascii="Times New Roman" w:hAnsi="Times New Roman" w:cs="Times New Roman"/>
                <w:sz w:val="21"/>
                <w:szCs w:val="21"/>
                <w:lang w:val="en-US"/>
              </w:rPr>
            </w:pPr>
          </w:p>
        </w:tc>
        <w:tc>
          <w:tcPr>
            <w:tcW w:w="433" w:type="pct"/>
            <w:vMerge w:val="continue"/>
            <w:vAlign w:val="center"/>
          </w:tcPr>
          <w:p w14:paraId="19F36E88">
            <w:pPr>
              <w:pStyle w:val="56"/>
              <w:spacing w:line="240" w:lineRule="auto"/>
              <w:jc w:val="center"/>
              <w:rPr>
                <w:rFonts w:ascii="Times New Roman" w:hAnsi="Times New Roman" w:cs="Times New Roman"/>
                <w:sz w:val="21"/>
                <w:szCs w:val="21"/>
                <w:lang w:val="en-US"/>
              </w:rPr>
            </w:pPr>
          </w:p>
        </w:tc>
        <w:tc>
          <w:tcPr>
            <w:tcW w:w="392" w:type="pct"/>
            <w:vMerge w:val="continue"/>
            <w:vAlign w:val="center"/>
          </w:tcPr>
          <w:p w14:paraId="52055A3B">
            <w:pPr>
              <w:pStyle w:val="56"/>
              <w:spacing w:line="240" w:lineRule="auto"/>
              <w:jc w:val="center"/>
              <w:rPr>
                <w:rFonts w:ascii="Times New Roman" w:hAnsi="Times New Roman" w:cs="Times New Roman"/>
                <w:sz w:val="21"/>
                <w:szCs w:val="21"/>
                <w:lang w:val="en-US"/>
              </w:rPr>
            </w:pPr>
          </w:p>
        </w:tc>
        <w:tc>
          <w:tcPr>
            <w:tcW w:w="447" w:type="pct"/>
            <w:vMerge w:val="continue"/>
            <w:vAlign w:val="center"/>
          </w:tcPr>
          <w:p w14:paraId="15762E81">
            <w:pPr>
              <w:pStyle w:val="56"/>
              <w:spacing w:line="240" w:lineRule="auto"/>
              <w:jc w:val="center"/>
              <w:rPr>
                <w:rFonts w:ascii="Times New Roman" w:hAnsi="Times New Roman" w:cs="Times New Roman"/>
                <w:sz w:val="21"/>
                <w:szCs w:val="21"/>
                <w:lang w:val="en-US"/>
              </w:rPr>
            </w:pPr>
          </w:p>
        </w:tc>
        <w:tc>
          <w:tcPr>
            <w:tcW w:w="539" w:type="pct"/>
            <w:vMerge w:val="continue"/>
            <w:vAlign w:val="center"/>
          </w:tcPr>
          <w:p w14:paraId="04C76742">
            <w:pPr>
              <w:pStyle w:val="56"/>
              <w:spacing w:line="240" w:lineRule="auto"/>
              <w:jc w:val="center"/>
              <w:rPr>
                <w:rFonts w:ascii="Times New Roman" w:hAnsi="Times New Roman" w:cs="Times New Roman"/>
                <w:sz w:val="21"/>
                <w:szCs w:val="21"/>
                <w:lang w:val="en-US"/>
              </w:rPr>
            </w:pPr>
          </w:p>
        </w:tc>
      </w:tr>
      <w:tr w14:paraId="71DDA6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restart"/>
            <w:vAlign w:val="center"/>
          </w:tcPr>
          <w:p w14:paraId="36B1F569">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N1东厂界外</w:t>
            </w:r>
          </w:p>
        </w:tc>
        <w:tc>
          <w:tcPr>
            <w:tcW w:w="500" w:type="pct"/>
            <w:vAlign w:val="center"/>
          </w:tcPr>
          <w:p w14:paraId="563E0D7C">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77.6</w:t>
            </w:r>
          </w:p>
        </w:tc>
        <w:tc>
          <w:tcPr>
            <w:tcW w:w="499" w:type="pct"/>
            <w:vAlign w:val="center"/>
          </w:tcPr>
          <w:p w14:paraId="67DB47A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437" w:type="pct"/>
            <w:vAlign w:val="center"/>
          </w:tcPr>
          <w:p w14:paraId="4B85C04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712B103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440" w:type="pct"/>
            <w:vAlign w:val="center"/>
          </w:tcPr>
          <w:p w14:paraId="0DCB431D">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36.4</w:t>
            </w:r>
          </w:p>
        </w:tc>
        <w:tc>
          <w:tcPr>
            <w:tcW w:w="433" w:type="pct"/>
            <w:vAlign w:val="center"/>
          </w:tcPr>
          <w:p w14:paraId="35941D6D">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58.8</w:t>
            </w:r>
          </w:p>
        </w:tc>
        <w:tc>
          <w:tcPr>
            <w:tcW w:w="392" w:type="pct"/>
            <w:vAlign w:val="center"/>
          </w:tcPr>
          <w:p w14:paraId="0F048BDE">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60</w:t>
            </w:r>
          </w:p>
        </w:tc>
        <w:tc>
          <w:tcPr>
            <w:tcW w:w="447" w:type="pct"/>
            <w:vAlign w:val="center"/>
          </w:tcPr>
          <w:p w14:paraId="587CC2C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65</w:t>
            </w:r>
          </w:p>
        </w:tc>
        <w:tc>
          <w:tcPr>
            <w:tcW w:w="539" w:type="pct"/>
            <w:vAlign w:val="center"/>
          </w:tcPr>
          <w:p w14:paraId="09C4425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1D42DC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continue"/>
            <w:vAlign w:val="center"/>
          </w:tcPr>
          <w:p w14:paraId="02D0050E">
            <w:pPr>
              <w:pStyle w:val="56"/>
              <w:spacing w:line="240" w:lineRule="auto"/>
              <w:jc w:val="center"/>
              <w:rPr>
                <w:rFonts w:ascii="Times New Roman" w:hAnsi="Times New Roman" w:cs="Times New Roman"/>
                <w:sz w:val="21"/>
                <w:szCs w:val="21"/>
                <w:lang w:val="en-US"/>
              </w:rPr>
            </w:pPr>
          </w:p>
        </w:tc>
        <w:tc>
          <w:tcPr>
            <w:tcW w:w="500" w:type="pct"/>
            <w:vAlign w:val="center"/>
          </w:tcPr>
          <w:p w14:paraId="5D32ED19">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77.6</w:t>
            </w:r>
          </w:p>
        </w:tc>
        <w:tc>
          <w:tcPr>
            <w:tcW w:w="499" w:type="pct"/>
            <w:vAlign w:val="center"/>
          </w:tcPr>
          <w:p w14:paraId="62F3FF34">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437" w:type="pct"/>
            <w:vAlign w:val="center"/>
          </w:tcPr>
          <w:p w14:paraId="006CE171">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00C180E8">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夜间</w:t>
            </w:r>
          </w:p>
        </w:tc>
        <w:tc>
          <w:tcPr>
            <w:tcW w:w="440" w:type="pct"/>
            <w:vAlign w:val="center"/>
          </w:tcPr>
          <w:p w14:paraId="13D18F75">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36.4</w:t>
            </w:r>
          </w:p>
        </w:tc>
        <w:tc>
          <w:tcPr>
            <w:tcW w:w="433" w:type="pct"/>
            <w:vAlign w:val="center"/>
          </w:tcPr>
          <w:p w14:paraId="410F4429">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50.9</w:t>
            </w:r>
          </w:p>
        </w:tc>
        <w:tc>
          <w:tcPr>
            <w:tcW w:w="392" w:type="pct"/>
            <w:vAlign w:val="center"/>
          </w:tcPr>
          <w:p w14:paraId="6294C927">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52.5</w:t>
            </w:r>
          </w:p>
        </w:tc>
        <w:tc>
          <w:tcPr>
            <w:tcW w:w="447" w:type="pct"/>
            <w:vAlign w:val="center"/>
          </w:tcPr>
          <w:p w14:paraId="4365478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539" w:type="pct"/>
            <w:vAlign w:val="center"/>
          </w:tcPr>
          <w:p w14:paraId="4023D1FB">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18E216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restart"/>
            <w:vAlign w:val="center"/>
          </w:tcPr>
          <w:p w14:paraId="6724724A">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N2南厂界外</w:t>
            </w:r>
          </w:p>
        </w:tc>
        <w:tc>
          <w:tcPr>
            <w:tcW w:w="500" w:type="pct"/>
            <w:vAlign w:val="center"/>
          </w:tcPr>
          <w:p w14:paraId="52FB3E77">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-45.4</w:t>
            </w:r>
          </w:p>
        </w:tc>
        <w:tc>
          <w:tcPr>
            <w:tcW w:w="499" w:type="pct"/>
            <w:vAlign w:val="center"/>
          </w:tcPr>
          <w:p w14:paraId="048B5C1C">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437" w:type="pct"/>
            <w:vAlign w:val="center"/>
          </w:tcPr>
          <w:p w14:paraId="58FA6413">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2FC0AFB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440" w:type="pct"/>
            <w:vAlign w:val="center"/>
          </w:tcPr>
          <w:p w14:paraId="0540D91D">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47.4</w:t>
            </w:r>
          </w:p>
        </w:tc>
        <w:tc>
          <w:tcPr>
            <w:tcW w:w="433" w:type="pct"/>
            <w:vAlign w:val="center"/>
          </w:tcPr>
          <w:p w14:paraId="0B96A692">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62.3</w:t>
            </w:r>
          </w:p>
        </w:tc>
        <w:tc>
          <w:tcPr>
            <w:tcW w:w="392" w:type="pct"/>
            <w:vAlign w:val="center"/>
          </w:tcPr>
          <w:p w14:paraId="4C01D592">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58.7</w:t>
            </w:r>
          </w:p>
        </w:tc>
        <w:tc>
          <w:tcPr>
            <w:tcW w:w="447" w:type="pct"/>
            <w:vAlign w:val="center"/>
          </w:tcPr>
          <w:p w14:paraId="60C61F7C">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70</w:t>
            </w:r>
          </w:p>
        </w:tc>
        <w:tc>
          <w:tcPr>
            <w:tcW w:w="539" w:type="pct"/>
            <w:vAlign w:val="center"/>
          </w:tcPr>
          <w:p w14:paraId="0B2C88FB">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2D68A8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continue"/>
            <w:vAlign w:val="center"/>
          </w:tcPr>
          <w:p w14:paraId="526A987D">
            <w:pPr>
              <w:pStyle w:val="56"/>
              <w:spacing w:line="240" w:lineRule="auto"/>
              <w:jc w:val="center"/>
              <w:rPr>
                <w:rFonts w:ascii="Times New Roman" w:hAnsi="Times New Roman" w:cs="Times New Roman"/>
                <w:sz w:val="21"/>
                <w:szCs w:val="21"/>
                <w:lang w:val="en-US"/>
              </w:rPr>
            </w:pPr>
          </w:p>
        </w:tc>
        <w:tc>
          <w:tcPr>
            <w:tcW w:w="500" w:type="pct"/>
            <w:vAlign w:val="center"/>
          </w:tcPr>
          <w:p w14:paraId="66D131C9">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-45.4</w:t>
            </w:r>
          </w:p>
        </w:tc>
        <w:tc>
          <w:tcPr>
            <w:tcW w:w="499" w:type="pct"/>
            <w:vAlign w:val="center"/>
          </w:tcPr>
          <w:p w14:paraId="333E536D">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437" w:type="pct"/>
            <w:vAlign w:val="center"/>
          </w:tcPr>
          <w:p w14:paraId="2D01DA25">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7629A71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夜间</w:t>
            </w:r>
          </w:p>
        </w:tc>
        <w:tc>
          <w:tcPr>
            <w:tcW w:w="440" w:type="pct"/>
            <w:vAlign w:val="center"/>
          </w:tcPr>
          <w:p w14:paraId="2E5B1357">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47.4</w:t>
            </w:r>
          </w:p>
        </w:tc>
        <w:tc>
          <w:tcPr>
            <w:tcW w:w="433" w:type="pct"/>
            <w:vAlign w:val="center"/>
          </w:tcPr>
          <w:p w14:paraId="668080AA">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51.4</w:t>
            </w:r>
          </w:p>
        </w:tc>
        <w:tc>
          <w:tcPr>
            <w:tcW w:w="392" w:type="pct"/>
            <w:vAlign w:val="center"/>
          </w:tcPr>
          <w:p w14:paraId="5E34A709">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52.2</w:t>
            </w:r>
          </w:p>
        </w:tc>
        <w:tc>
          <w:tcPr>
            <w:tcW w:w="447" w:type="pct"/>
            <w:vAlign w:val="center"/>
          </w:tcPr>
          <w:p w14:paraId="37733AE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539" w:type="pct"/>
            <w:vAlign w:val="center"/>
          </w:tcPr>
          <w:p w14:paraId="7A0B72CC">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25CFBF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restart"/>
            <w:vAlign w:val="center"/>
          </w:tcPr>
          <w:p w14:paraId="78E0857B">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N3西厂界外</w:t>
            </w:r>
          </w:p>
        </w:tc>
        <w:tc>
          <w:tcPr>
            <w:tcW w:w="500" w:type="pct"/>
            <w:vAlign w:val="center"/>
          </w:tcPr>
          <w:p w14:paraId="4AF3351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-140.6</w:t>
            </w:r>
          </w:p>
        </w:tc>
        <w:tc>
          <w:tcPr>
            <w:tcW w:w="499" w:type="pct"/>
            <w:vAlign w:val="center"/>
          </w:tcPr>
          <w:p w14:paraId="582BCE68">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-28.8</w:t>
            </w:r>
          </w:p>
        </w:tc>
        <w:tc>
          <w:tcPr>
            <w:tcW w:w="437" w:type="pct"/>
            <w:vAlign w:val="center"/>
          </w:tcPr>
          <w:p w14:paraId="195670FD">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6B3D206D">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440" w:type="pct"/>
            <w:vAlign w:val="center"/>
          </w:tcPr>
          <w:p w14:paraId="4587207E">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55</w:t>
            </w:r>
          </w:p>
        </w:tc>
        <w:tc>
          <w:tcPr>
            <w:tcW w:w="433" w:type="pct"/>
            <w:vAlign w:val="center"/>
          </w:tcPr>
          <w:p w14:paraId="0F07E67D">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58.4</w:t>
            </w:r>
          </w:p>
        </w:tc>
        <w:tc>
          <w:tcPr>
            <w:tcW w:w="392" w:type="pct"/>
            <w:vAlign w:val="center"/>
          </w:tcPr>
          <w:p w14:paraId="4D7CD097">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62.4</w:t>
            </w:r>
          </w:p>
        </w:tc>
        <w:tc>
          <w:tcPr>
            <w:tcW w:w="447" w:type="pct"/>
            <w:vAlign w:val="center"/>
          </w:tcPr>
          <w:p w14:paraId="5F917F31">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65</w:t>
            </w:r>
          </w:p>
        </w:tc>
        <w:tc>
          <w:tcPr>
            <w:tcW w:w="539" w:type="pct"/>
            <w:vAlign w:val="center"/>
          </w:tcPr>
          <w:p w14:paraId="3C84A8F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6267A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continue"/>
            <w:vAlign w:val="center"/>
          </w:tcPr>
          <w:p w14:paraId="2A547E4A">
            <w:pPr>
              <w:pStyle w:val="56"/>
              <w:spacing w:line="240" w:lineRule="auto"/>
              <w:jc w:val="center"/>
              <w:rPr>
                <w:rFonts w:ascii="Times New Roman" w:hAnsi="Times New Roman" w:cs="Times New Roman"/>
                <w:sz w:val="21"/>
                <w:szCs w:val="21"/>
                <w:lang w:val="en-US"/>
              </w:rPr>
            </w:pPr>
          </w:p>
        </w:tc>
        <w:tc>
          <w:tcPr>
            <w:tcW w:w="500" w:type="pct"/>
            <w:vAlign w:val="center"/>
          </w:tcPr>
          <w:p w14:paraId="5B6FE860">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-140.6</w:t>
            </w:r>
          </w:p>
        </w:tc>
        <w:tc>
          <w:tcPr>
            <w:tcW w:w="499" w:type="pct"/>
            <w:vAlign w:val="center"/>
          </w:tcPr>
          <w:p w14:paraId="5C7051A9">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-28.8</w:t>
            </w:r>
          </w:p>
        </w:tc>
        <w:tc>
          <w:tcPr>
            <w:tcW w:w="437" w:type="pct"/>
            <w:vAlign w:val="center"/>
          </w:tcPr>
          <w:p w14:paraId="49E6A1AB">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0F484334">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夜间</w:t>
            </w:r>
          </w:p>
        </w:tc>
        <w:tc>
          <w:tcPr>
            <w:tcW w:w="440" w:type="pct"/>
            <w:vAlign w:val="center"/>
          </w:tcPr>
          <w:p w14:paraId="4017C3EE">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55</w:t>
            </w:r>
          </w:p>
        </w:tc>
        <w:tc>
          <w:tcPr>
            <w:tcW w:w="433" w:type="pct"/>
            <w:vAlign w:val="center"/>
          </w:tcPr>
          <w:p w14:paraId="7A2B0407">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50.8</w:t>
            </w:r>
          </w:p>
        </w:tc>
        <w:tc>
          <w:tcPr>
            <w:tcW w:w="392" w:type="pct"/>
            <w:vAlign w:val="center"/>
          </w:tcPr>
          <w:p w14:paraId="72E48058">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52.3</w:t>
            </w:r>
          </w:p>
        </w:tc>
        <w:tc>
          <w:tcPr>
            <w:tcW w:w="447" w:type="pct"/>
            <w:vAlign w:val="center"/>
          </w:tcPr>
          <w:p w14:paraId="03C78280">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539" w:type="pct"/>
            <w:vAlign w:val="center"/>
          </w:tcPr>
          <w:p w14:paraId="2FF8CEAF">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0E3A01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restart"/>
            <w:vAlign w:val="center"/>
          </w:tcPr>
          <w:p w14:paraId="3EE7833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N4北厂界外</w:t>
            </w:r>
          </w:p>
        </w:tc>
        <w:tc>
          <w:tcPr>
            <w:tcW w:w="500" w:type="pct"/>
            <w:vAlign w:val="center"/>
          </w:tcPr>
          <w:p w14:paraId="62653A28">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-29.6</w:t>
            </w:r>
          </w:p>
        </w:tc>
        <w:tc>
          <w:tcPr>
            <w:tcW w:w="499" w:type="pct"/>
            <w:vAlign w:val="center"/>
          </w:tcPr>
          <w:p w14:paraId="4EA436FE">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437" w:type="pct"/>
            <w:vAlign w:val="center"/>
          </w:tcPr>
          <w:p w14:paraId="7BA02FCF">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6A2AB544">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440" w:type="pct"/>
            <w:vAlign w:val="center"/>
          </w:tcPr>
          <w:p w14:paraId="672B0BB3">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49.2</w:t>
            </w:r>
          </w:p>
        </w:tc>
        <w:tc>
          <w:tcPr>
            <w:tcW w:w="433" w:type="pct"/>
            <w:vAlign w:val="center"/>
          </w:tcPr>
          <w:p w14:paraId="30E427F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59.9</w:t>
            </w:r>
          </w:p>
        </w:tc>
        <w:tc>
          <w:tcPr>
            <w:tcW w:w="392" w:type="pct"/>
            <w:vAlign w:val="center"/>
          </w:tcPr>
          <w:p w14:paraId="241A5BC4">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58.8</w:t>
            </w:r>
          </w:p>
        </w:tc>
        <w:tc>
          <w:tcPr>
            <w:tcW w:w="447" w:type="pct"/>
            <w:vAlign w:val="center"/>
          </w:tcPr>
          <w:p w14:paraId="28FE7E19">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65</w:t>
            </w:r>
          </w:p>
        </w:tc>
        <w:tc>
          <w:tcPr>
            <w:tcW w:w="539" w:type="pct"/>
            <w:vAlign w:val="center"/>
          </w:tcPr>
          <w:p w14:paraId="111A78DC">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32DE0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4" w:type="pct"/>
            <w:vMerge w:val="continue"/>
            <w:vAlign w:val="center"/>
          </w:tcPr>
          <w:p w14:paraId="49551627">
            <w:pPr>
              <w:pStyle w:val="56"/>
              <w:spacing w:line="240" w:lineRule="auto"/>
              <w:jc w:val="center"/>
              <w:rPr>
                <w:rFonts w:ascii="Times New Roman" w:hAnsi="Times New Roman" w:cs="Times New Roman"/>
                <w:sz w:val="21"/>
                <w:szCs w:val="21"/>
                <w:lang w:val="en-US"/>
              </w:rPr>
            </w:pPr>
          </w:p>
        </w:tc>
        <w:tc>
          <w:tcPr>
            <w:tcW w:w="500" w:type="pct"/>
            <w:vAlign w:val="center"/>
          </w:tcPr>
          <w:p w14:paraId="65C04AFC">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-29.6</w:t>
            </w:r>
          </w:p>
        </w:tc>
        <w:tc>
          <w:tcPr>
            <w:tcW w:w="499" w:type="pct"/>
            <w:vAlign w:val="center"/>
          </w:tcPr>
          <w:p w14:paraId="2AC24B51">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76.8</w:t>
            </w:r>
          </w:p>
        </w:tc>
        <w:tc>
          <w:tcPr>
            <w:tcW w:w="437" w:type="pct"/>
            <w:vAlign w:val="center"/>
          </w:tcPr>
          <w:p w14:paraId="1B7BE65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1.2</w:t>
            </w:r>
          </w:p>
        </w:tc>
        <w:tc>
          <w:tcPr>
            <w:tcW w:w="419" w:type="pct"/>
            <w:vAlign w:val="center"/>
          </w:tcPr>
          <w:p w14:paraId="5678DE9E">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夜间</w:t>
            </w:r>
          </w:p>
        </w:tc>
        <w:tc>
          <w:tcPr>
            <w:tcW w:w="440" w:type="pct"/>
            <w:vAlign w:val="center"/>
          </w:tcPr>
          <w:p w14:paraId="5B90723D">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49.2</w:t>
            </w:r>
          </w:p>
        </w:tc>
        <w:tc>
          <w:tcPr>
            <w:tcW w:w="433" w:type="pct"/>
            <w:vAlign w:val="center"/>
          </w:tcPr>
          <w:p w14:paraId="04881203">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51.6</w:t>
            </w:r>
          </w:p>
        </w:tc>
        <w:tc>
          <w:tcPr>
            <w:tcW w:w="392" w:type="pct"/>
            <w:vAlign w:val="center"/>
          </w:tcPr>
          <w:p w14:paraId="04659C5B">
            <w:pPr>
              <w:pStyle w:val="56"/>
              <w:spacing w:line="24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50.9</w:t>
            </w:r>
          </w:p>
        </w:tc>
        <w:tc>
          <w:tcPr>
            <w:tcW w:w="447" w:type="pct"/>
            <w:vAlign w:val="center"/>
          </w:tcPr>
          <w:p w14:paraId="5061BBEF">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539" w:type="pct"/>
            <w:vAlign w:val="center"/>
          </w:tcPr>
          <w:p w14:paraId="7D0B4E0A">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bookmarkEnd w:id="139"/>
    </w:tbl>
    <w:p w14:paraId="59849243">
      <w:pPr>
        <w:ind w:firstLine="480"/>
      </w:pPr>
      <w:r>
        <w:rPr>
          <w:rFonts w:hint="eastAsia"/>
        </w:rPr>
        <w:t>从上表可知：项目投产后，厂界噪声预测值均可达到《工业企业厂界环境噪声排放标准》（GB12348－2008）3类、4类标准限值。因此项目设备噪声不会对周围环境产生超标影响。根据本次变更现场踏勘，建设单位已落实如下措施：</w:t>
      </w:r>
    </w:p>
    <w:p w14:paraId="7488EA7D">
      <w:pPr>
        <w:ind w:firstLine="480"/>
      </w:pPr>
      <w:r>
        <w:rPr>
          <w:rFonts w:hint="eastAsia"/>
        </w:rPr>
        <w:t>①从声源上：在噪声较大的设备基础上安装了橡胶隔振垫或减振器，并加装隔声罩或设于隔音间内；空压机采取加设减振基础、吸声板、管道与设备之间软联接等措施并在送、回风总管内设置消声器等措施；在风机的进、出口处安装了阻性消声器。</w:t>
      </w:r>
    </w:p>
    <w:p w14:paraId="46162714">
      <w:pPr>
        <w:ind w:firstLine="480"/>
      </w:pPr>
      <w:r>
        <w:rPr>
          <w:rFonts w:hint="eastAsia"/>
        </w:rPr>
        <w:t>②从设备布局及围护结构方面：高噪声设备布置合理，噪声大的设备均在车间内，远离保护目标的位置。</w:t>
      </w:r>
    </w:p>
    <w:p w14:paraId="22DB8A1C">
      <w:pPr>
        <w:ind w:firstLine="480"/>
      </w:pPr>
      <w:r>
        <w:rPr>
          <w:rFonts w:hint="eastAsia"/>
        </w:rPr>
        <w:t>③定期维护：定期对生产设备进行检修，确保设备正常运转，避免设备故障导致的事故排放对周边敏感目标产生影响。</w:t>
      </w:r>
    </w:p>
    <w:p w14:paraId="233BF0F5">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6.2.8.4</w:t>
      </w:r>
      <w:r>
        <w:rPr>
          <w:rFonts w:hint="eastAsia"/>
        </w:rPr>
        <w:t>项目噪声监测计划</w:t>
      </w:r>
    </w:p>
    <w:p w14:paraId="611F15F4">
      <w:pPr>
        <w:ind w:firstLine="480"/>
      </w:pPr>
      <w:r>
        <w:rPr>
          <w:rFonts w:hint="eastAsia"/>
        </w:rPr>
        <w:t>根据《排污许可证申请与核发技术规范总则》（HJ942-2018）、《排污单位自行监测技术指南总则》（HJ 819-2017）等规范的要求，本评价对项目提出如下监测计划建议：</w:t>
      </w:r>
    </w:p>
    <w:p w14:paraId="26DFC064">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表6.2-37 </w:t>
      </w:r>
      <w:r>
        <w:t>厂界噪声预测结果与达标分析表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323"/>
        <w:gridCol w:w="1228"/>
        <w:gridCol w:w="1625"/>
        <w:gridCol w:w="1265"/>
        <w:gridCol w:w="2265"/>
      </w:tblGrid>
      <w:tr w14:paraId="02CC93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dxa"/>
            <w:vAlign w:val="center"/>
          </w:tcPr>
          <w:p w14:paraId="2619D8EE">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项目</w:t>
            </w:r>
          </w:p>
        </w:tc>
        <w:tc>
          <w:tcPr>
            <w:tcW w:w="1323" w:type="dxa"/>
            <w:vAlign w:val="center"/>
          </w:tcPr>
          <w:p w14:paraId="0AA1B758">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监测项目</w:t>
            </w:r>
          </w:p>
        </w:tc>
        <w:tc>
          <w:tcPr>
            <w:tcW w:w="1228" w:type="dxa"/>
            <w:vAlign w:val="center"/>
          </w:tcPr>
          <w:p w14:paraId="0E53C2F7">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监测因子</w:t>
            </w:r>
          </w:p>
        </w:tc>
        <w:tc>
          <w:tcPr>
            <w:tcW w:w="1624" w:type="dxa"/>
            <w:vAlign w:val="center"/>
          </w:tcPr>
          <w:p w14:paraId="3D6C054C">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取样位置</w:t>
            </w:r>
          </w:p>
        </w:tc>
        <w:tc>
          <w:tcPr>
            <w:tcW w:w="1265" w:type="dxa"/>
            <w:vAlign w:val="center"/>
          </w:tcPr>
          <w:p w14:paraId="126E554F">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监测频次</w:t>
            </w:r>
          </w:p>
        </w:tc>
        <w:tc>
          <w:tcPr>
            <w:tcW w:w="2264" w:type="dxa"/>
            <w:vAlign w:val="center"/>
          </w:tcPr>
          <w:p w14:paraId="6F867CAC">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执行标准</w:t>
            </w:r>
          </w:p>
        </w:tc>
      </w:tr>
      <w:tr w14:paraId="340EE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dxa"/>
            <w:vAlign w:val="center"/>
          </w:tcPr>
          <w:p w14:paraId="5016DF53">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噪声</w:t>
            </w:r>
          </w:p>
        </w:tc>
        <w:tc>
          <w:tcPr>
            <w:tcW w:w="1323" w:type="dxa"/>
            <w:vAlign w:val="center"/>
          </w:tcPr>
          <w:p w14:paraId="70BB5B96">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设备运行噪声</w:t>
            </w:r>
          </w:p>
        </w:tc>
        <w:tc>
          <w:tcPr>
            <w:tcW w:w="1228" w:type="dxa"/>
            <w:vAlign w:val="center"/>
          </w:tcPr>
          <w:p w14:paraId="0E23A3B4">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Leq</w:t>
            </w:r>
          </w:p>
        </w:tc>
        <w:tc>
          <w:tcPr>
            <w:tcW w:w="1624" w:type="dxa"/>
            <w:vAlign w:val="center"/>
          </w:tcPr>
          <w:p w14:paraId="7C079AD2">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东西南北厂界外1m处</w:t>
            </w:r>
          </w:p>
        </w:tc>
        <w:tc>
          <w:tcPr>
            <w:tcW w:w="1265" w:type="dxa"/>
            <w:vAlign w:val="center"/>
          </w:tcPr>
          <w:p w14:paraId="041BCF66">
            <w:pPr>
              <w:pStyle w:val="56"/>
              <w:spacing w:line="24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一次/每季</w:t>
            </w:r>
          </w:p>
        </w:tc>
        <w:tc>
          <w:tcPr>
            <w:tcW w:w="2264" w:type="dxa"/>
            <w:vAlign w:val="center"/>
          </w:tcPr>
          <w:p w14:paraId="2A9D5917">
            <w:pPr>
              <w:pStyle w:val="56"/>
              <w:spacing w:line="240" w:lineRule="auto"/>
              <w:rPr>
                <w:rFonts w:ascii="Times New Roman" w:hAnsi="Times New Roman" w:cs="Times New Roman"/>
                <w:sz w:val="21"/>
                <w:szCs w:val="21"/>
                <w:lang w:val="en-US"/>
              </w:rPr>
            </w:pPr>
            <w:r>
              <w:rPr>
                <w:rFonts w:hint="eastAsia" w:ascii="Times New Roman" w:hAnsi="Times New Roman" w:cs="Times New Roman"/>
                <w:sz w:val="21"/>
                <w:szCs w:val="21"/>
                <w:lang w:val="en-US"/>
              </w:rPr>
              <w:t>东、西、北厂界执行</w:t>
            </w:r>
            <w:r>
              <w:rPr>
                <w:rFonts w:ascii="Times New Roman" w:hAnsi="Times New Roman" w:cs="Times New Roman"/>
                <w:sz w:val="21"/>
                <w:szCs w:val="21"/>
                <w:lang w:val="en-US"/>
              </w:rPr>
              <w:t>《工业企业厂界环境噪声排放标准》（GB12348-2008）中的3类标</w:t>
            </w:r>
            <w:r>
              <w:rPr>
                <w:rFonts w:hint="eastAsia" w:ascii="Times New Roman" w:hAnsi="Times New Roman" w:cs="Times New Roman"/>
                <w:sz w:val="21"/>
                <w:szCs w:val="21"/>
                <w:lang w:val="en-US"/>
              </w:rPr>
              <w:t>准；南厂界执行</w:t>
            </w:r>
            <w:r>
              <w:rPr>
                <w:rFonts w:ascii="Times New Roman" w:hAnsi="Times New Roman" w:cs="Times New Roman"/>
                <w:sz w:val="21"/>
                <w:szCs w:val="21"/>
                <w:lang w:val="en-US"/>
              </w:rPr>
              <w:t>《工业企业厂界环境噪声排放标准》（GB12348-2008）中的</w:t>
            </w:r>
            <w:r>
              <w:rPr>
                <w:rFonts w:hint="eastAsia" w:ascii="Times New Roman" w:hAnsi="Times New Roman" w:cs="Times New Roman"/>
                <w:sz w:val="21"/>
                <w:szCs w:val="21"/>
                <w:lang w:val="en-US"/>
              </w:rPr>
              <w:t>4</w:t>
            </w:r>
            <w:r>
              <w:rPr>
                <w:rFonts w:ascii="Times New Roman" w:hAnsi="Times New Roman" w:cs="Times New Roman"/>
                <w:sz w:val="21"/>
                <w:szCs w:val="21"/>
                <w:lang w:val="en-US"/>
              </w:rPr>
              <w:t>类标</w:t>
            </w:r>
            <w:r>
              <w:rPr>
                <w:rFonts w:hint="eastAsia" w:ascii="Times New Roman" w:hAnsi="Times New Roman" w:cs="Times New Roman"/>
                <w:sz w:val="21"/>
                <w:szCs w:val="21"/>
                <w:lang w:val="en-US"/>
              </w:rPr>
              <w:t>准</w:t>
            </w:r>
          </w:p>
        </w:tc>
      </w:tr>
    </w:tbl>
    <w:p w14:paraId="79F940C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6.2.9</w:t>
      </w:r>
      <w:r>
        <w:rPr>
          <w:rFonts w:hint="eastAsia"/>
        </w:rPr>
        <w:t>固体废物环境影响分析</w:t>
      </w:r>
    </w:p>
    <w:p w14:paraId="5A95FF24">
      <w:pPr>
        <w:ind w:firstLine="480"/>
      </w:pPr>
      <w:r>
        <w:rPr>
          <w:rFonts w:hint="eastAsia"/>
        </w:rPr>
        <w:t>本项目运营过程中产生的固废主要为废印刷版、废边角料、废烫金膜、不合格品、废弃包装材料、废油墨、废溶剂、废胶水、废弃包装桶（沾有废油墨桶、废胶水桶、溶剂等）、含油抹布手套、废过滤棉、废活性炭、废沸石、精馏残液、废润滑油及其包装桶及员工生活垃圾。本次变更增加了产能及原辅材料用量，因此各部分固废都有相应增加，但是未新增固废种类。</w:t>
      </w:r>
    </w:p>
    <w:p w14:paraId="56DED2BC">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6.2.9.1</w:t>
      </w:r>
      <w:r>
        <w:rPr>
          <w:rFonts w:hint="eastAsia"/>
        </w:rPr>
        <w:t>一般固废环境影响分析</w:t>
      </w:r>
    </w:p>
    <w:p w14:paraId="59671D00">
      <w:pPr>
        <w:ind w:firstLine="480"/>
      </w:pPr>
      <w:r>
        <w:rPr>
          <w:rFonts w:hint="eastAsia"/>
        </w:rPr>
        <w:t>评价项目运行过程中产生的一般固废主要有：废印刷版、废边角料、废烫金膜、不合格品、废弃包装材料、废溶剂桶等。废印刷版擦洗过后的废印刷版属于一般固废，交由原厂商进行回收、再利用；废弃包装材料收集后外售处置、废边角料、不合格产品经专门的单位收集后回收利用；废烫金膜经收集打捆后由废塑料收购企业定期回收再利用。项目在4#车间1楼西侧，设置了304m</w:t>
      </w:r>
      <w:r>
        <w:rPr>
          <w:rFonts w:hint="eastAsia"/>
          <w:vertAlign w:val="superscript"/>
        </w:rPr>
        <w:t>2</w:t>
      </w:r>
      <w:r>
        <w:rPr>
          <w:rFonts w:hint="eastAsia"/>
        </w:rPr>
        <w:t>的一般工业固废暂存间，本次环评要求一般工业固废暂存间严格按《一般工业固体废物贮存和填埋污染控制标准》（GB18599-2020）的要求进行建设，具备防风、防雨、防晒、防渗漏等要求。采取以上处理处置措施后，几乎不会对环境造成不良影响。</w:t>
      </w:r>
    </w:p>
    <w:p w14:paraId="5205FF09">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6.2.9.2</w:t>
      </w:r>
      <w:r>
        <w:rPr>
          <w:rFonts w:hint="eastAsia"/>
        </w:rPr>
        <w:t>危险废物环境影响分析</w:t>
      </w:r>
    </w:p>
    <w:p w14:paraId="677CCFC3">
      <w:pPr>
        <w:pStyle w:val="38"/>
        <w:ind w:firstLine="480"/>
        <w:rPr>
          <w:rFonts w:ascii="Times New Roman" w:hAnsi="Times New Roman" w:eastAsia="宋体" w:cs="Times New Roman"/>
          <w:color w:val="auto"/>
        </w:rPr>
      </w:pPr>
      <w:r>
        <w:rPr>
          <w:rFonts w:ascii="Times New Roman" w:hAnsi="Times New Roman" w:eastAsia="宋体" w:cs="Times New Roman"/>
          <w:color w:val="auto"/>
        </w:rPr>
        <w:t>评价项目涉及的危险废物主要包括：</w:t>
      </w:r>
      <w:r>
        <w:rPr>
          <w:rFonts w:hint="eastAsia"/>
          <w:color w:val="auto"/>
        </w:rPr>
        <w:t>废油墨、废溶剂、废胶水、废弃包装桶（沾有废油墨桶、废胶水桶等）及沾染内衬、含油抹布手套、废过滤棉、废活性炭、废沸石、精馏残液、废矿物油及其包装桶</w:t>
      </w:r>
      <w:r>
        <w:rPr>
          <w:rFonts w:ascii="Times New Roman" w:hAnsi="Times New Roman" w:eastAsia="宋体" w:cs="Times New Roman"/>
          <w:color w:val="auto"/>
        </w:rPr>
        <w:t>等。</w:t>
      </w:r>
    </w:p>
    <w:p w14:paraId="7BEDEB6C">
      <w:pPr>
        <w:pStyle w:val="40"/>
        <w:spacing w:line="360" w:lineRule="auto"/>
        <w:ind w:firstLine="480"/>
        <w:rPr>
          <w:rFonts w:ascii="Times New Roman"/>
        </w:rPr>
      </w:pPr>
      <w:r>
        <w:rPr>
          <w:rFonts w:ascii="Times New Roman"/>
        </w:rPr>
        <w:t>（</w:t>
      </w:r>
      <w:r>
        <w:rPr>
          <w:rFonts w:hint="eastAsia" w:ascii="Times New Roman"/>
        </w:rPr>
        <w:t>1</w:t>
      </w:r>
      <w:r>
        <w:rPr>
          <w:rFonts w:ascii="Times New Roman"/>
        </w:rPr>
        <w:t>）选址可行性分析</w:t>
      </w:r>
    </w:p>
    <w:p w14:paraId="00005EA6">
      <w:pPr>
        <w:pStyle w:val="40"/>
        <w:spacing w:line="360" w:lineRule="auto"/>
        <w:ind w:firstLine="480"/>
        <w:rPr>
          <w:rFonts w:ascii="Times New Roman"/>
        </w:rPr>
      </w:pPr>
      <w:r>
        <w:rPr>
          <w:rFonts w:hint="eastAsia" w:hAnsi="宋体" w:cs="宋体"/>
        </w:rPr>
        <w:t>①</w:t>
      </w:r>
      <w:r>
        <w:rPr>
          <w:rFonts w:ascii="Times New Roman"/>
        </w:rPr>
        <w:t>根据《建筑抗震设计规范》（</w:t>
      </w:r>
      <w:r>
        <w:rPr>
          <w:rFonts w:hint="eastAsia" w:ascii="Times New Roman"/>
        </w:rPr>
        <w:t>GB50011-2010[2016年版]</w:t>
      </w:r>
      <w:r>
        <w:rPr>
          <w:rFonts w:ascii="Times New Roman"/>
        </w:rPr>
        <w:t>）和《中国地震动参数区划图》（</w:t>
      </w:r>
      <w:r>
        <w:rPr>
          <w:rFonts w:hint="eastAsia" w:ascii="Times New Roman"/>
        </w:rPr>
        <w:t>GB18306-2015</w:t>
      </w:r>
      <w:r>
        <w:rPr>
          <w:rFonts w:ascii="Times New Roman"/>
        </w:rPr>
        <w:t>），本区地震基本烈度为Ⅶ度。总体而言，区域地质条件相对较稳定，地震危险性较小。</w:t>
      </w:r>
    </w:p>
    <w:p w14:paraId="6741F6BA">
      <w:pPr>
        <w:pStyle w:val="40"/>
        <w:spacing w:line="360" w:lineRule="auto"/>
        <w:ind w:firstLine="480"/>
        <w:rPr>
          <w:rFonts w:ascii="Times New Roman"/>
        </w:rPr>
      </w:pPr>
      <w:r>
        <w:rPr>
          <w:rFonts w:hint="eastAsia" w:hAnsi="宋体" w:cs="宋体"/>
        </w:rPr>
        <w:t>②</w:t>
      </w:r>
      <w:r>
        <w:rPr>
          <w:rFonts w:ascii="Times New Roman"/>
        </w:rPr>
        <w:t>项目危险废物暂存间依托厂区现有，危废暂存间按“防风、防雨、防晒”标准建设，已采取了防渗措施。</w:t>
      </w:r>
    </w:p>
    <w:p w14:paraId="4E1EC977">
      <w:pPr>
        <w:pStyle w:val="40"/>
        <w:spacing w:line="360" w:lineRule="auto"/>
        <w:ind w:firstLine="480"/>
        <w:rPr>
          <w:rFonts w:ascii="Times New Roman"/>
        </w:rPr>
      </w:pPr>
      <w:r>
        <w:rPr>
          <w:rFonts w:hint="eastAsia" w:hAnsi="宋体" w:cs="宋体"/>
        </w:rPr>
        <w:t>③</w:t>
      </w:r>
      <w:r>
        <w:rPr>
          <w:rFonts w:ascii="Times New Roman"/>
        </w:rPr>
        <w:t>项目离湘江约</w:t>
      </w:r>
      <w:r>
        <w:rPr>
          <w:rFonts w:hint="eastAsia" w:ascii="Times New Roman"/>
        </w:rPr>
        <w:t>3200</w:t>
      </w:r>
      <w:r>
        <w:rPr>
          <w:rFonts w:ascii="Times New Roman"/>
        </w:rPr>
        <w:t>m，选址距离敏感目标较远。危险废物贮存过程均加盖，释放的挥发性有机物对周边居民影响小。废物贮存区域已采取防渗防漏措施，一般不会发生</w:t>
      </w:r>
      <w:r>
        <w:rPr>
          <w:rFonts w:hint="eastAsia" w:ascii="Times New Roman"/>
        </w:rPr>
        <w:t>泄漏</w:t>
      </w:r>
      <w:r>
        <w:rPr>
          <w:rFonts w:ascii="Times New Roman"/>
        </w:rPr>
        <w:t>事故，对湘江水质影响小。</w:t>
      </w:r>
    </w:p>
    <w:p w14:paraId="4440BE6D">
      <w:pPr>
        <w:pStyle w:val="40"/>
        <w:spacing w:line="360" w:lineRule="auto"/>
        <w:ind w:firstLine="480"/>
      </w:pPr>
      <w:r>
        <w:rPr>
          <w:rFonts w:ascii="Times New Roman"/>
        </w:rPr>
        <w:t>因此，危险废物贮存场所选址基本合理，且建设基本符合《危险废物贮存污染控制标准》（GB18597-20</w:t>
      </w:r>
      <w:r>
        <w:rPr>
          <w:rFonts w:hint="eastAsia" w:ascii="Times New Roman"/>
        </w:rPr>
        <w:t>23</w:t>
      </w:r>
      <w:r>
        <w:rPr>
          <w:rFonts w:ascii="Times New Roman"/>
        </w:rPr>
        <w:t>）及其修改单的相关规定。</w:t>
      </w:r>
    </w:p>
    <w:p w14:paraId="3D56B82A">
      <w:pPr>
        <w:pStyle w:val="40"/>
        <w:spacing w:line="360" w:lineRule="auto"/>
        <w:ind w:firstLine="480"/>
        <w:rPr>
          <w:rFonts w:ascii="Times New Roman"/>
        </w:rPr>
      </w:pPr>
      <w:r>
        <w:rPr>
          <w:rFonts w:hint="eastAsia" w:hAnsi="宋体" w:cs="宋体"/>
        </w:rPr>
        <w:t>（</w:t>
      </w:r>
      <w:r>
        <w:rPr>
          <w:rFonts w:ascii="Times New Roman"/>
        </w:rPr>
        <w:t>2</w:t>
      </w:r>
      <w:r>
        <w:rPr>
          <w:rFonts w:hint="eastAsia" w:hAnsi="宋体" w:cs="宋体"/>
        </w:rPr>
        <w:t>）</w:t>
      </w:r>
      <w:r>
        <w:rPr>
          <w:rFonts w:ascii="Times New Roman"/>
        </w:rPr>
        <w:t>危险废物的收集、贮存、处置及影响分析</w:t>
      </w:r>
    </w:p>
    <w:p w14:paraId="48EFEBB0">
      <w:pPr>
        <w:pStyle w:val="40"/>
        <w:spacing w:line="360" w:lineRule="auto"/>
        <w:ind w:firstLine="480"/>
        <w:rPr>
          <w:rFonts w:ascii="Times New Roman"/>
        </w:rPr>
      </w:pPr>
      <w:r>
        <w:rPr>
          <w:rFonts w:ascii="Times New Roman"/>
        </w:rPr>
        <w:t>项目危险废物暂存于危废暂存间，暂存间面积</w:t>
      </w:r>
      <w:r>
        <w:rPr>
          <w:rFonts w:hint="eastAsia" w:ascii="Times New Roman"/>
        </w:rPr>
        <w:t>272</w:t>
      </w:r>
      <w:r>
        <w:rPr>
          <w:rFonts w:ascii="Times New Roman"/>
        </w:rPr>
        <w:t>m</w:t>
      </w:r>
      <w:r>
        <w:rPr>
          <w:rFonts w:ascii="Times New Roman"/>
          <w:vertAlign w:val="superscript"/>
        </w:rPr>
        <w:t>2</w:t>
      </w:r>
      <w:r>
        <w:rPr>
          <w:rFonts w:ascii="Times New Roman"/>
        </w:rPr>
        <w:t>，</w:t>
      </w:r>
      <w:r>
        <w:rPr>
          <w:rFonts w:hint="eastAsia" w:ascii="Times New Roman"/>
        </w:rPr>
        <w:t>贮存能力40t/a，废过滤棉、废活性炭、沸石转轮使用时间比较长，更换时立即转运，</w:t>
      </w:r>
      <w:r>
        <w:rPr>
          <w:rFonts w:ascii="Times New Roman"/>
        </w:rPr>
        <w:t>废包装桶及</w:t>
      </w:r>
      <w:r>
        <w:rPr>
          <w:rFonts w:hint="eastAsia" w:ascii="Times New Roman"/>
        </w:rPr>
        <w:t>含油抹布</w:t>
      </w:r>
      <w:r>
        <w:rPr>
          <w:rFonts w:ascii="Times New Roman"/>
        </w:rPr>
        <w:t>每季度转运一次，精馏残液收集方式采用吨桶（共5个吨桶），存放于危废暂存间，装满</w:t>
      </w:r>
      <w:r>
        <w:rPr>
          <w:rFonts w:hint="eastAsia" w:ascii="Times New Roman"/>
        </w:rPr>
        <w:t>5吨</w:t>
      </w:r>
      <w:r>
        <w:rPr>
          <w:rFonts w:ascii="Times New Roman"/>
        </w:rPr>
        <w:t>后定期转移，</w:t>
      </w:r>
      <w:r>
        <w:rPr>
          <w:rFonts w:hint="eastAsia" w:ascii="Times New Roman"/>
        </w:rPr>
        <w:t>废油墨、废溶剂、废胶水、废弃包装桶及内衬、含油抹布、手套、废润滑油及其包装桶、废导热油及其包装桶，定期转移，由此可见，危废不会一次性全都堆存在危废间，因此</w:t>
      </w:r>
      <w:r>
        <w:rPr>
          <w:rFonts w:ascii="Times New Roman"/>
        </w:rPr>
        <w:t>贮存规模可满足危险废物的贮存能力要求。本次环评根据《危险废物贮存污染控制标准》的要求给出收集、暂存规定，企业需要建设危废暂存间，危废暂存间的建设须符合《危险废物贮存污染控制标准》(GB18597-20</w:t>
      </w:r>
      <w:r>
        <w:rPr>
          <w:rFonts w:hint="eastAsia" w:ascii="Times New Roman"/>
        </w:rPr>
        <w:t>23</w:t>
      </w:r>
      <w:r>
        <w:rPr>
          <w:rFonts w:ascii="Times New Roman"/>
        </w:rPr>
        <w:t>)的要求，采取防渗、防淋、设置危险废物堆放点的标志牌</w:t>
      </w:r>
      <w:r>
        <w:rPr>
          <w:rFonts w:hint="eastAsia" w:ascii="Times New Roman"/>
        </w:rPr>
        <w:t>等措施，收集的危险废物置于专用的密闭容器内，暂存于危废暂存间。</w:t>
      </w:r>
    </w:p>
    <w:p w14:paraId="73D1E546">
      <w:pPr>
        <w:pStyle w:val="41"/>
        <w:spacing w:before="0" w:beforeAutospacing="0" w:after="0" w:afterAutospacing="0"/>
        <w:ind w:firstLine="480"/>
        <w:rPr>
          <w:rFonts w:ascii="Times New Roman" w:hAnsi="Times New Roman" w:cs="Times New Roman"/>
          <w:sz w:val="24"/>
        </w:rPr>
      </w:pPr>
      <w:r>
        <w:rPr>
          <w:rFonts w:hint="eastAsia"/>
          <w:sz w:val="24"/>
        </w:rPr>
        <w:t>⑶</w:t>
      </w:r>
      <w:r>
        <w:rPr>
          <w:rFonts w:ascii="Times New Roman" w:hAnsi="Times New Roman" w:cs="Times New Roman"/>
          <w:sz w:val="24"/>
        </w:rPr>
        <w:t>危险废物的运输及环境影响分析</w:t>
      </w:r>
    </w:p>
    <w:p w14:paraId="4E957A93">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本项目危险废物运输采用公路运输方式，须由持有危险废物经营许可证的单位按照其许可证的经营范围组织实施，承担危险废物运输的单位须获得交通运输部门颁布的危险货物运输资质。本项目危险废物的转移运输，在危险废物的运输中执行《危险废物转移联单管理办法》中有关的规定和要求。</w:t>
      </w:r>
    </w:p>
    <w:p w14:paraId="7AE7FF15">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危险废物转移联单制度，是指在危险废物转移运输过程中跟踪记录从危险废物离开产生源地直至到达最终处理处置单位的全过程管理。危险废物转移联单是跟踪危险废物转移和处理处置的基本方法，也是实施危险废物全过程管理的有效工具。每份联单含有多联内容相同的单据，在危险废物转移运输过程中分别由危废产生单位、运输单位和最终处置单位填写、盖章确认，并在这些单位和行政主管单位保存。</w:t>
      </w:r>
    </w:p>
    <w:p w14:paraId="77063A44">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本项目生产过程中产生部分危险废物，运输过程中一日出现事故将会对周围环境产生危害，因此危险废物外运过程中必须采取如下措施</w:t>
      </w:r>
      <w:r>
        <w:rPr>
          <w:rFonts w:hint="eastAsia" w:ascii="Times New Roman" w:hAnsi="Times New Roman" w:cs="Times New Roman"/>
          <w:sz w:val="24"/>
        </w:rPr>
        <w:t>：</w:t>
      </w:r>
    </w:p>
    <w:p w14:paraId="691B5CF4">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①危险废物的转移和运输按《危险废物转移联单管理办法》的规定报批危险废物转移计划，填写好转运联单，并必须交由有资质的单位承运。做好每次外运处置废弃物的运输登记，认真填写危险废物转移联单。</w:t>
      </w:r>
    </w:p>
    <w:p w14:paraId="7EDD07EE">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②废弃物处置单位的运输人员必须掌握危险废物运输的安全知识，了解所运载的危险废物的性质、危害特性、包装容器的使用特性和发生意外时的应急措施。运输车辆必须具有车辆危险货物运输许可证。驾驶人员必须取得驾驶执照的熟练人员担任。</w:t>
      </w:r>
    </w:p>
    <w:p w14:paraId="47B33998">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③处置单位在运输危险废物</w:t>
      </w:r>
      <w:r>
        <w:rPr>
          <w:rFonts w:hint="eastAsia" w:ascii="Times New Roman" w:hAnsi="Times New Roman" w:cs="Times New Roman"/>
          <w:sz w:val="24"/>
        </w:rPr>
        <w:t>时</w:t>
      </w:r>
      <w:r>
        <w:rPr>
          <w:rFonts w:ascii="Times New Roman" w:hAnsi="Times New Roman" w:cs="Times New Roman"/>
          <w:sz w:val="24"/>
        </w:rPr>
        <w:t>必须配备押运人员，并随时处于押运人员的监管之下，不得超装、超载，严格按照所在城市规定的行车时间和行车路线行驶，不得进入危险废物运输车辆禁止通行的区域。</w:t>
      </w:r>
    </w:p>
    <w:p w14:paraId="1108AC86">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④危险废物在运输途中若发生被盗、丢失、流散、泄漏等情况时，公司及押运人员必须立即向当地公安部门报告，并采取一切可能的警示措施。</w:t>
      </w:r>
    </w:p>
    <w:p w14:paraId="395E6169">
      <w:pPr>
        <w:pStyle w:val="25"/>
        <w:ind w:left="0" w:leftChars="0" w:firstLine="480"/>
      </w:pPr>
      <w:r>
        <w:t>⑤一旦发生废弃物泄漏事故，公司和废弃物处置单位都应积极协助有关部门采取必要的安全措施，减少事故损失，防治事故蔓延、扩大，针对事故对人体、动植物、土壤、水源、空气造成的现实危害和可能产生的危害，应迅速采取封闭、隔离、洗消等措施，并对事故造成的危害进行监测、处置，直至负荷国家环境保护标准。</w:t>
      </w:r>
    </w:p>
    <w:p w14:paraId="1E46BB2C">
      <w:pPr>
        <w:pStyle w:val="25"/>
        <w:ind w:left="0" w:leftChars="0" w:firstLine="480"/>
      </w:pPr>
      <w:r>
        <w:t>因此，在加强管理，并在落实好各项污染防治措施和固体废物安全处置措施的前提下，本项目产生的固体废物运输过程对周围环境的影响较小。</w:t>
      </w:r>
    </w:p>
    <w:p w14:paraId="0843E708">
      <w:pPr>
        <w:pStyle w:val="9"/>
        <w:spacing w:line="360" w:lineRule="auto"/>
        <w:ind w:firstLine="480"/>
      </w:pPr>
      <w:r>
        <w:t>通过以上分析，本项目产生的危险废物只要采取相应的措施对其处置，建设单位在厂内储存、转运等环节严格按</w:t>
      </w:r>
      <w:r>
        <w:rPr>
          <w:rFonts w:hint="eastAsia"/>
        </w:rPr>
        <w:t>《</w:t>
      </w:r>
      <w:r>
        <w:t>危险废物贮存污染控制标准</w:t>
      </w:r>
      <w:r>
        <w:rPr>
          <w:rFonts w:hint="eastAsia"/>
        </w:rPr>
        <w:t>》（</w:t>
      </w:r>
      <w:r>
        <w:t>GB18597-20</w:t>
      </w:r>
      <w:r>
        <w:rPr>
          <w:rFonts w:hint="eastAsia"/>
        </w:rPr>
        <w:t>23）</w:t>
      </w:r>
      <w:r>
        <w:t>及其修改单进行规范处置，杜绝二次污染的发生。落实好上述的措施和建议，本项目产生的危险废物可以得到妥善的处置，不会对环境造成较大的影响。</w:t>
      </w:r>
    </w:p>
    <w:p w14:paraId="4EF73A69">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6.2.9.3</w:t>
      </w:r>
      <w:r>
        <w:rPr>
          <w:rFonts w:hint="eastAsia"/>
        </w:rPr>
        <w:t>生活垃圾环境影响分析</w:t>
      </w:r>
    </w:p>
    <w:p w14:paraId="53D721D6">
      <w:pPr>
        <w:pStyle w:val="40"/>
        <w:spacing w:line="360" w:lineRule="auto"/>
        <w:ind w:firstLine="480"/>
        <w:rPr>
          <w:rFonts w:ascii="Times New Roman"/>
        </w:rPr>
      </w:pPr>
      <w:r>
        <w:rPr>
          <w:rFonts w:hint="eastAsia" w:ascii="Times New Roman"/>
        </w:rPr>
        <w:t>项目生活垃圾主要是职工产生的垃圾，变更后全厂产生量为92.8t/a。项目在厂区设置适量垃圾桶，配备专职的清洁员和必要的工具，负责清扫厂区，维持清洁卫生，每日定时把各点垃圾桶的垃圾收集到垃圾暂存点，每日清运一次。垃圾桶及堆场应经常维护，保证门盖齐全完好，并应定期消毒。评价项目产生的生活垃圾收集后由环卫部门统一收集处理。生活垃圾在得到妥善处理，并且暂存和收集应符合卫生要求，日产日清的情况下，对环境影响不大。</w:t>
      </w:r>
    </w:p>
    <w:p w14:paraId="136ECB0F">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6.2.9.4</w:t>
      </w:r>
      <w:r>
        <w:rPr>
          <w:rFonts w:hint="eastAsia"/>
        </w:rPr>
        <w:t>小结</w:t>
      </w:r>
    </w:p>
    <w:p w14:paraId="50581951">
      <w:pPr>
        <w:pStyle w:val="41"/>
        <w:spacing w:before="0" w:beforeAutospacing="0" w:after="0" w:afterAutospacing="0"/>
        <w:ind w:firstLine="480"/>
        <w:rPr>
          <w:rFonts w:ascii="Times New Roman" w:hAnsi="Times New Roman" w:cs="Times New Roman"/>
          <w:kern w:val="2"/>
          <w:sz w:val="24"/>
        </w:rPr>
      </w:pPr>
      <w:r>
        <w:rPr>
          <w:rFonts w:hint="eastAsia" w:ascii="Times New Roman" w:hAnsi="Times New Roman" w:cs="Times New Roman"/>
          <w:kern w:val="2"/>
          <w:sz w:val="24"/>
        </w:rPr>
        <w:t>综上所述，通过综合利用或外售、交协作单位收集处置等措施，各类固废均可得到回收利用或妥善处置，评价项目运营期产生的固体废物不会对周围环境产生不良影响。</w:t>
      </w:r>
    </w:p>
    <w:p w14:paraId="69CED80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6.2.10</w:t>
      </w:r>
      <w:r>
        <w:rPr>
          <w:rFonts w:hint="eastAsia"/>
        </w:rPr>
        <w:t>土壤环境影响分析</w:t>
      </w:r>
    </w:p>
    <w:p w14:paraId="6460D9DB">
      <w:pPr>
        <w:pStyle w:val="38"/>
        <w:ind w:firstLine="480"/>
        <w:rPr>
          <w:rFonts w:ascii="Times New Roman" w:hAnsi="Times New Roman" w:eastAsia="宋体" w:cs="Times New Roman"/>
          <w:color w:val="auto"/>
        </w:rPr>
      </w:pPr>
      <w:r>
        <w:rPr>
          <w:rFonts w:ascii="Times New Roman" w:hAnsi="Times New Roman" w:eastAsia="宋体" w:cs="Times New Roman"/>
          <w:color w:val="auto"/>
        </w:rPr>
        <w:t>对照《环境影响评价技术导则土壤环境（试行）》（HJ964-2018）附录A表A1，项目类别为III类，对照表3污染影响型敏感程度分级表，项目属于：不敏感；对照表4污染影响型评价工作等级划分表，项目属于小规模中的“-”，综上，项目可不开展土壤环境影响评价工作。且本项目重点污染区（有机物原料库及危废库）已全部硬化并进行树脂防渗处理，在建设方严格控制各含有机物原料及危险废物贮存和转运过程，避免露天堆存和沿途撒落，同时加强有机物原料库及危险废物暂存间的日常管理与维护的前提下，本项目生产运营过程中基本不存在垂直入渗及地表漫流现象，对土壤环境造成不利影响的可能性很小。</w:t>
      </w:r>
    </w:p>
    <w:p w14:paraId="40AC907C">
      <w:pPr>
        <w:pStyle w:val="38"/>
        <w:ind w:firstLine="480"/>
        <w:rPr>
          <w:rFonts w:ascii="Times New Roman" w:hAnsi="Times New Roman" w:eastAsia="宋体" w:cs="Times New Roman"/>
          <w:color w:val="auto"/>
        </w:rPr>
      </w:pPr>
      <w:r>
        <w:rPr>
          <w:rFonts w:ascii="Times New Roman" w:hAnsi="Times New Roman" w:eastAsia="宋体" w:cs="Times New Roman"/>
          <w:color w:val="auto"/>
        </w:rPr>
        <w:t>因此，本环评不对其土壤环境影响进行详细分析，仅简要提出工程建设的土壤污染防治措施（详见第</w:t>
      </w:r>
      <w:r>
        <w:rPr>
          <w:rFonts w:hint="eastAsia" w:ascii="Times New Roman" w:hAnsi="Times New Roman" w:eastAsia="宋体" w:cs="Times New Roman"/>
          <w:color w:val="auto"/>
        </w:rPr>
        <w:t>八</w:t>
      </w:r>
      <w:r>
        <w:rPr>
          <w:rFonts w:ascii="Times New Roman" w:hAnsi="Times New Roman" w:eastAsia="宋体" w:cs="Times New Roman"/>
          <w:color w:val="auto"/>
        </w:rPr>
        <w:t>章）。</w:t>
      </w:r>
    </w:p>
    <w:p w14:paraId="61FF2D9E">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6.2.11</w:t>
      </w:r>
      <w:r>
        <w:rPr>
          <w:rFonts w:hint="eastAsia"/>
        </w:rPr>
        <w:t>生态环境影响分析</w:t>
      </w:r>
    </w:p>
    <w:p w14:paraId="7FD5C275">
      <w:pPr>
        <w:pStyle w:val="40"/>
        <w:spacing w:line="360" w:lineRule="auto"/>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t>根据环评单位现场勘查，本项目位于湘潭县天易示范区，为园区工业用地，不占用耕地，项目的建设对区域生态环境影响较小。</w:t>
      </w:r>
      <w:r>
        <w:rPr>
          <w:rFonts w:hint="eastAsia"/>
        </w:rPr>
        <w:t>本次变更</w:t>
      </w:r>
      <w:r>
        <w:t>后，土地利用格局不改变。因此，本项目的实施不会对区域生态环境造成明显影响。</w:t>
      </w:r>
    </w:p>
    <w:p w14:paraId="223B378E">
      <w:pPr>
        <w:pStyle w:val="2"/>
        <w:numPr>
          <w:ilvl w:val="0"/>
          <w:numId w:val="0"/>
        </w:numPr>
        <w:ind w:left="425" w:leftChars="0" w:hanging="425" w:firstLineChars="0"/>
        <w:rPr>
          <w:color w:val="auto"/>
        </w:rPr>
      </w:pPr>
      <w:bookmarkStart w:id="140" w:name="_Toc18177"/>
      <w:r>
        <w:rPr>
          <w:rFonts w:hint="default" w:ascii="宋体" w:hAnsi="宋体" w:eastAsia="宋体" w:cs="宋体"/>
          <w:b/>
          <w:bCs/>
          <w:color w:val="auto"/>
          <w:kern w:val="44"/>
          <w:sz w:val="32"/>
          <w:szCs w:val="32"/>
          <w:lang w:val="en-US" w:eastAsia="zh-CN" w:bidi="ar-SA"/>
        </w:rPr>
        <w:t>第7章</w:t>
      </w:r>
      <w:r>
        <w:rPr>
          <w:rFonts w:hint="eastAsia"/>
          <w:color w:val="auto"/>
        </w:rPr>
        <w:t>环境风险评价</w:t>
      </w:r>
      <w:bookmarkEnd w:id="140"/>
    </w:p>
    <w:p w14:paraId="11DAF154">
      <w:pPr>
        <w:pStyle w:val="3"/>
        <w:numPr>
          <w:ilvl w:val="1"/>
          <w:numId w:val="0"/>
        </w:numPr>
        <w:ind w:left="567" w:leftChars="0" w:hanging="567" w:firstLineChars="0"/>
        <w:rPr>
          <w:sz w:val="28"/>
          <w:szCs w:val="28"/>
        </w:rPr>
      </w:pPr>
      <w:bookmarkStart w:id="141" w:name="_Toc16134"/>
      <w:bookmarkStart w:id="142" w:name="_Toc2171"/>
      <w:bookmarkStart w:id="143" w:name="_Toc467841754"/>
      <w:bookmarkStart w:id="144" w:name="_Toc21137"/>
      <w:r>
        <w:rPr>
          <w:rFonts w:hint="default" w:ascii="宋体" w:hAnsi="宋体" w:eastAsia="宋体" w:cs="宋体"/>
          <w:b/>
          <w:bCs/>
          <w:kern w:val="2"/>
          <w:sz w:val="28"/>
          <w:szCs w:val="28"/>
          <w:lang w:val="en-US" w:eastAsia="zh-CN" w:bidi="ar-SA"/>
        </w:rPr>
        <w:t>7.1</w:t>
      </w:r>
      <w:r>
        <w:rPr>
          <w:rFonts w:hint="eastAsia"/>
          <w:sz w:val="28"/>
          <w:szCs w:val="28"/>
        </w:rPr>
        <w:t>评价目的及重点</w:t>
      </w:r>
      <w:bookmarkEnd w:id="141"/>
    </w:p>
    <w:p w14:paraId="36530868">
      <w:pPr>
        <w:ind w:firstLine="480"/>
      </w:pPr>
      <w:r>
        <w:rPr>
          <w:rFonts w:hint="eastAsia"/>
        </w:rPr>
        <w:t>依据《关于进一步加强环境影响评价管理防范环境风险的通知》（环发〔2012〕77号）、《关于切实加强风险防范严格环境影响评价管理的通知》（环发〔2012〕98号）及有《建设项目环境风险评价技术导则》（HJ169-2018）等有关文件的精神和要求，确定本次进行环境风险评价和管理的主要目的和评价重点。</w:t>
      </w:r>
    </w:p>
    <w:p w14:paraId="776B020B">
      <w:pPr>
        <w:ind w:firstLine="480"/>
      </w:pPr>
      <w:r>
        <w:rPr>
          <w:rFonts w:hint="eastAsia"/>
        </w:rPr>
        <w:t>评价目的：从环境风险评价的角度进一步论证拟选厂址的环境可行性；根据项目工程特点，对生产、物料储存及运输等过程中存在的各种事故风险因素进行识别；针对可能发生的主要事故分析，预测有毒、易燃、易爆物质泄漏到环境中所导致的后果（包括自然环境和社会环境），以及应采取的缓解措施；有针对性地提出切实可行的事故应急处理计划和应急预案，完善安全设计，以此指导设计和生产，减少或控制建设项目的事故发生频率，减轻事故风险对环境和社会的危害，以合理的成本实现安全生产；制定适合建设项目特点的事故应急预案。</w:t>
      </w:r>
    </w:p>
    <w:p w14:paraId="0DEF9AD0">
      <w:pPr>
        <w:ind w:firstLine="480"/>
        <w:rPr>
          <w:color w:val="FF0000"/>
        </w:rPr>
      </w:pPr>
      <w:r>
        <w:rPr>
          <w:rFonts w:hint="eastAsia"/>
        </w:rPr>
        <w:t>评价重点：事故分析。环境风险评价是对建设项目在失控状态下产生的突发性、不确定性和随机性灾害事故进行评价。以及对建设项目在运营期间发生的可预测突发性事件或事故（一般不包括人为破坏及自然灾害）引起有毒、有害、易燃易爆等物质泄漏，或突发事件产生的新的有毒有害物质，所造成的对人身安全与环境的影响和损害进行评估，提出防范、应急与减缓措施。</w:t>
      </w:r>
    </w:p>
    <w:p w14:paraId="16AD9C6D">
      <w:pPr>
        <w:pStyle w:val="3"/>
        <w:numPr>
          <w:ilvl w:val="1"/>
          <w:numId w:val="0"/>
        </w:numPr>
        <w:ind w:left="567" w:leftChars="0" w:hanging="567" w:firstLineChars="0"/>
        <w:rPr>
          <w:sz w:val="28"/>
          <w:szCs w:val="28"/>
        </w:rPr>
      </w:pPr>
      <w:bookmarkStart w:id="145" w:name="_Toc23147"/>
      <w:r>
        <w:rPr>
          <w:rFonts w:hint="default" w:ascii="宋体" w:hAnsi="宋体" w:eastAsia="宋体" w:cs="宋体"/>
          <w:b/>
          <w:bCs/>
          <w:kern w:val="2"/>
          <w:sz w:val="28"/>
          <w:szCs w:val="28"/>
          <w:lang w:val="en-US" w:eastAsia="zh-CN" w:bidi="ar-SA"/>
        </w:rPr>
        <w:t>7.2</w:t>
      </w:r>
      <w:r>
        <w:rPr>
          <w:rFonts w:hint="eastAsia"/>
          <w:sz w:val="28"/>
          <w:szCs w:val="28"/>
        </w:rPr>
        <w:t>风险调查</w:t>
      </w:r>
      <w:bookmarkEnd w:id="145"/>
    </w:p>
    <w:p w14:paraId="07B3501C">
      <w:pPr>
        <w:ind w:firstLine="480"/>
      </w:pPr>
      <w:r>
        <w:rPr>
          <w:rFonts w:hint="eastAsia"/>
        </w:rPr>
        <w:t>根据建设单位提供的MSDS和工程其他设计资料，结合平面布置和现场踏勘情况，项目主要风险源来自油墨、粘合剂、稀释剂、润滑油、导热油、天然气中的有毒有害组分，主要有乙酸乙酯、异丙醇、甲烷和矿物油。溶剂主要为乙酸乙酯和异丙醇，他们分别来自溶剂回收储罐、原料仓库。本次变更虽增加了原辅材料的使用量，但种类不变，同时仓库面积、运输管道和回收罐等装置也未变更，最大储存量不变，通过提高物料转运频率以满足生产要求，因此厂内风险源未增加，与原环评一致。查阅《危险化学品重大危险源辨识》（GB 18218-2018）及《建设项目环境风险评价技术导则》（HJ169-2018），厂内风险源调查见下表：</w:t>
      </w:r>
    </w:p>
    <w:p w14:paraId="59E9AF1F">
      <w:pPr>
        <w:ind w:firstLine="480"/>
      </w:pPr>
    </w:p>
    <w:p w14:paraId="1E34E6A8">
      <w:pPr>
        <w:pStyle w:val="51"/>
        <w:numPr>
          <w:ilvl w:val="5"/>
          <w:numId w:val="0"/>
        </w:numPr>
        <w:tabs>
          <w:tab w:val="left" w:pos="4395"/>
        </w:tabs>
        <w:spacing w:before="156"/>
        <w:ind w:left="4700" w:leftChars="0" w:hanging="7088"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表7.2-1 </w:t>
      </w:r>
      <w:r>
        <w:rPr>
          <w:rFonts w:hint="eastAsia" w:ascii="宋体" w:hAnsi="宋体" w:cs="宋体"/>
          <w:b/>
          <w:bCs/>
          <w:color w:val="auto"/>
          <w:kern w:val="2"/>
          <w:sz w:val="21"/>
          <w:szCs w:val="21"/>
          <w:lang w:val="en-US" w:eastAsia="zh-CN" w:bidi="ar-SA"/>
        </w:rPr>
        <w:t xml:space="preserve">  </w:t>
      </w:r>
      <w:r>
        <w:rPr>
          <w:rFonts w:hint="eastAsia"/>
        </w:rPr>
        <w:t>天然气在线量计算表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8" w:space="0"/>
        </w:tblBorders>
        <w:tblLayout w:type="fixed"/>
        <w:tblCellMar>
          <w:top w:w="0" w:type="dxa"/>
          <w:left w:w="108" w:type="dxa"/>
          <w:bottom w:w="0" w:type="dxa"/>
          <w:right w:w="108" w:type="dxa"/>
        </w:tblCellMar>
      </w:tblPr>
      <w:tblGrid>
        <w:gridCol w:w="712"/>
        <w:gridCol w:w="1638"/>
        <w:gridCol w:w="683"/>
        <w:gridCol w:w="1023"/>
        <w:gridCol w:w="1580"/>
        <w:gridCol w:w="953"/>
        <w:gridCol w:w="830"/>
        <w:gridCol w:w="1103"/>
      </w:tblGrid>
      <w:tr w14:paraId="181861DF">
        <w:tblPrEx>
          <w:tblBorders>
            <w:top w:val="single" w:color="auto" w:sz="12" w:space="0"/>
            <w:left w:val="single" w:color="auto" w:sz="12" w:space="0"/>
            <w:bottom w:val="single" w:color="auto" w:sz="12" w:space="0"/>
            <w:right w:val="single" w:color="auto" w:sz="12" w:space="0"/>
            <w:insideH w:val="single" w:color="auto" w:sz="6" w:space="0"/>
            <w:insideV w:val="single" w:color="auto" w:sz="8" w:space="0"/>
          </w:tblBorders>
          <w:tblCellMar>
            <w:top w:w="0" w:type="dxa"/>
            <w:left w:w="108" w:type="dxa"/>
            <w:bottom w:w="0" w:type="dxa"/>
            <w:right w:w="108" w:type="dxa"/>
          </w:tblCellMar>
        </w:tblPrEx>
        <w:trPr>
          <w:trHeight w:val="340" w:hRule="atLeast"/>
          <w:jc w:val="center"/>
        </w:trPr>
        <w:tc>
          <w:tcPr>
            <w:tcW w:w="417" w:type="pct"/>
            <w:vAlign w:val="center"/>
          </w:tcPr>
          <w:p w14:paraId="18CF72D5">
            <w:pPr>
              <w:spacing w:line="240" w:lineRule="auto"/>
              <w:jc w:val="center"/>
              <w:rPr>
                <w:sz w:val="21"/>
                <w:szCs w:val="21"/>
              </w:rPr>
            </w:pPr>
            <w:r>
              <w:rPr>
                <w:rFonts w:hint="eastAsia"/>
                <w:sz w:val="21"/>
                <w:szCs w:val="21"/>
              </w:rPr>
              <w:t>序号</w:t>
            </w:r>
          </w:p>
        </w:tc>
        <w:tc>
          <w:tcPr>
            <w:tcW w:w="960" w:type="pct"/>
            <w:vAlign w:val="center"/>
          </w:tcPr>
          <w:p w14:paraId="193F2B72">
            <w:pPr>
              <w:spacing w:line="240" w:lineRule="auto"/>
              <w:jc w:val="center"/>
              <w:rPr>
                <w:sz w:val="21"/>
                <w:szCs w:val="21"/>
              </w:rPr>
            </w:pPr>
            <w:r>
              <w:rPr>
                <w:rFonts w:hint="eastAsia"/>
                <w:sz w:val="21"/>
                <w:szCs w:val="21"/>
              </w:rPr>
              <w:t>危险物质</w:t>
            </w:r>
          </w:p>
        </w:tc>
        <w:tc>
          <w:tcPr>
            <w:tcW w:w="401" w:type="pct"/>
            <w:vAlign w:val="center"/>
          </w:tcPr>
          <w:p w14:paraId="3C8420BA">
            <w:pPr>
              <w:spacing w:line="240" w:lineRule="auto"/>
              <w:jc w:val="center"/>
              <w:rPr>
                <w:sz w:val="21"/>
                <w:szCs w:val="21"/>
              </w:rPr>
            </w:pPr>
            <w:r>
              <w:rPr>
                <w:rFonts w:hint="eastAsia"/>
                <w:sz w:val="21"/>
                <w:szCs w:val="21"/>
              </w:rPr>
              <w:t>温度</w:t>
            </w:r>
          </w:p>
        </w:tc>
        <w:tc>
          <w:tcPr>
            <w:tcW w:w="600" w:type="pct"/>
            <w:vAlign w:val="center"/>
          </w:tcPr>
          <w:p w14:paraId="58D27784">
            <w:pPr>
              <w:spacing w:line="240" w:lineRule="auto"/>
              <w:jc w:val="center"/>
              <w:rPr>
                <w:sz w:val="21"/>
                <w:szCs w:val="21"/>
              </w:rPr>
            </w:pPr>
            <w:r>
              <w:rPr>
                <w:rFonts w:hint="eastAsia"/>
                <w:sz w:val="21"/>
                <w:szCs w:val="21"/>
              </w:rPr>
              <w:t>压力</w:t>
            </w:r>
          </w:p>
        </w:tc>
        <w:tc>
          <w:tcPr>
            <w:tcW w:w="926" w:type="pct"/>
            <w:vAlign w:val="center"/>
          </w:tcPr>
          <w:p w14:paraId="1B323BA7">
            <w:pPr>
              <w:spacing w:line="240" w:lineRule="auto"/>
              <w:jc w:val="center"/>
              <w:rPr>
                <w:sz w:val="21"/>
                <w:szCs w:val="21"/>
              </w:rPr>
            </w:pPr>
            <w:r>
              <w:rPr>
                <w:rFonts w:hint="eastAsia"/>
                <w:sz w:val="21"/>
                <w:szCs w:val="21"/>
              </w:rPr>
              <w:t>密度</w:t>
            </w:r>
          </w:p>
        </w:tc>
        <w:tc>
          <w:tcPr>
            <w:tcW w:w="559" w:type="pct"/>
            <w:vAlign w:val="center"/>
          </w:tcPr>
          <w:p w14:paraId="15E3978E">
            <w:pPr>
              <w:spacing w:line="240" w:lineRule="auto"/>
              <w:jc w:val="center"/>
              <w:rPr>
                <w:sz w:val="21"/>
                <w:szCs w:val="21"/>
              </w:rPr>
            </w:pPr>
            <w:r>
              <w:rPr>
                <w:rFonts w:hint="eastAsia"/>
                <w:sz w:val="21"/>
                <w:szCs w:val="21"/>
              </w:rPr>
              <w:t>管径</w:t>
            </w:r>
          </w:p>
        </w:tc>
        <w:tc>
          <w:tcPr>
            <w:tcW w:w="487" w:type="pct"/>
            <w:vAlign w:val="center"/>
          </w:tcPr>
          <w:p w14:paraId="0D594F10">
            <w:pPr>
              <w:spacing w:line="240" w:lineRule="auto"/>
              <w:jc w:val="center"/>
              <w:rPr>
                <w:sz w:val="21"/>
                <w:szCs w:val="21"/>
              </w:rPr>
            </w:pPr>
            <w:r>
              <w:rPr>
                <w:rFonts w:hint="eastAsia"/>
                <w:sz w:val="21"/>
                <w:szCs w:val="21"/>
              </w:rPr>
              <w:t>管长</w:t>
            </w:r>
          </w:p>
        </w:tc>
        <w:tc>
          <w:tcPr>
            <w:tcW w:w="646" w:type="pct"/>
            <w:vAlign w:val="center"/>
          </w:tcPr>
          <w:p w14:paraId="4BE6BBC8">
            <w:pPr>
              <w:spacing w:line="240" w:lineRule="auto"/>
              <w:jc w:val="center"/>
              <w:rPr>
                <w:sz w:val="21"/>
                <w:szCs w:val="21"/>
              </w:rPr>
            </w:pPr>
            <w:r>
              <w:rPr>
                <w:rFonts w:hint="eastAsia"/>
                <w:sz w:val="21"/>
                <w:szCs w:val="21"/>
              </w:rPr>
              <w:t>在线量</w:t>
            </w:r>
          </w:p>
        </w:tc>
      </w:tr>
      <w:tr w14:paraId="2379CF00">
        <w:tblPrEx>
          <w:tblBorders>
            <w:top w:val="single" w:color="auto" w:sz="12" w:space="0"/>
            <w:left w:val="single" w:color="auto" w:sz="12" w:space="0"/>
            <w:bottom w:val="single" w:color="auto" w:sz="12" w:space="0"/>
            <w:right w:val="single" w:color="auto" w:sz="12" w:space="0"/>
            <w:insideH w:val="single" w:color="auto" w:sz="6" w:space="0"/>
            <w:insideV w:val="single" w:color="auto" w:sz="8" w:space="0"/>
          </w:tblBorders>
          <w:tblCellMar>
            <w:top w:w="0" w:type="dxa"/>
            <w:left w:w="108" w:type="dxa"/>
            <w:bottom w:w="0" w:type="dxa"/>
            <w:right w:w="108" w:type="dxa"/>
          </w:tblCellMar>
        </w:tblPrEx>
        <w:trPr>
          <w:trHeight w:val="340" w:hRule="atLeast"/>
          <w:jc w:val="center"/>
        </w:trPr>
        <w:tc>
          <w:tcPr>
            <w:tcW w:w="417" w:type="pct"/>
            <w:vAlign w:val="center"/>
          </w:tcPr>
          <w:p w14:paraId="1AABEA86">
            <w:pPr>
              <w:spacing w:line="240" w:lineRule="auto"/>
              <w:jc w:val="center"/>
              <w:rPr>
                <w:sz w:val="21"/>
                <w:szCs w:val="21"/>
              </w:rPr>
            </w:pPr>
            <w:r>
              <w:rPr>
                <w:rFonts w:hint="eastAsia"/>
                <w:sz w:val="21"/>
                <w:szCs w:val="21"/>
              </w:rPr>
              <w:t>1</w:t>
            </w:r>
          </w:p>
        </w:tc>
        <w:tc>
          <w:tcPr>
            <w:tcW w:w="960" w:type="pct"/>
            <w:vAlign w:val="center"/>
          </w:tcPr>
          <w:p w14:paraId="09180C48">
            <w:pPr>
              <w:spacing w:line="240" w:lineRule="auto"/>
              <w:jc w:val="center"/>
              <w:rPr>
                <w:sz w:val="21"/>
                <w:szCs w:val="21"/>
              </w:rPr>
            </w:pPr>
            <w:r>
              <w:rPr>
                <w:rFonts w:hint="eastAsia"/>
                <w:sz w:val="21"/>
                <w:szCs w:val="21"/>
              </w:rPr>
              <w:t>导热油锅炉天然气（甲烷）</w:t>
            </w:r>
          </w:p>
        </w:tc>
        <w:tc>
          <w:tcPr>
            <w:tcW w:w="401" w:type="pct"/>
            <w:vAlign w:val="center"/>
          </w:tcPr>
          <w:p w14:paraId="093D9135">
            <w:pPr>
              <w:spacing w:line="240" w:lineRule="auto"/>
              <w:jc w:val="center"/>
              <w:rPr>
                <w:sz w:val="21"/>
                <w:szCs w:val="21"/>
              </w:rPr>
            </w:pPr>
            <w:r>
              <w:rPr>
                <w:rFonts w:hint="eastAsia"/>
                <w:sz w:val="21"/>
                <w:szCs w:val="21"/>
              </w:rPr>
              <w:t>25℃</w:t>
            </w:r>
          </w:p>
        </w:tc>
        <w:tc>
          <w:tcPr>
            <w:tcW w:w="600" w:type="pct"/>
            <w:vAlign w:val="center"/>
          </w:tcPr>
          <w:p w14:paraId="70AD92D6">
            <w:pPr>
              <w:spacing w:line="240" w:lineRule="auto"/>
              <w:jc w:val="center"/>
              <w:rPr>
                <w:sz w:val="21"/>
                <w:szCs w:val="21"/>
              </w:rPr>
            </w:pPr>
            <w:r>
              <w:rPr>
                <w:rFonts w:hint="eastAsia"/>
                <w:sz w:val="21"/>
                <w:szCs w:val="21"/>
              </w:rPr>
              <w:t>0.1MPa</w:t>
            </w:r>
          </w:p>
        </w:tc>
        <w:tc>
          <w:tcPr>
            <w:tcW w:w="926" w:type="pct"/>
            <w:vAlign w:val="center"/>
          </w:tcPr>
          <w:p w14:paraId="0DE48B9E">
            <w:pPr>
              <w:spacing w:line="240" w:lineRule="auto"/>
              <w:jc w:val="center"/>
              <w:rPr>
                <w:sz w:val="21"/>
                <w:szCs w:val="21"/>
              </w:rPr>
            </w:pPr>
            <w:r>
              <w:rPr>
                <w:rFonts w:hint="eastAsia"/>
                <w:sz w:val="21"/>
                <w:szCs w:val="21"/>
              </w:rPr>
              <w:t>0.7174kg/m</w:t>
            </w:r>
            <w:r>
              <w:rPr>
                <w:rFonts w:hint="eastAsia"/>
                <w:sz w:val="21"/>
                <w:szCs w:val="21"/>
                <w:vertAlign w:val="superscript"/>
              </w:rPr>
              <w:t>3</w:t>
            </w:r>
          </w:p>
        </w:tc>
        <w:tc>
          <w:tcPr>
            <w:tcW w:w="559" w:type="pct"/>
            <w:vAlign w:val="center"/>
          </w:tcPr>
          <w:p w14:paraId="365481ED">
            <w:pPr>
              <w:spacing w:line="240" w:lineRule="auto"/>
              <w:jc w:val="center"/>
              <w:rPr>
                <w:sz w:val="21"/>
                <w:szCs w:val="21"/>
              </w:rPr>
            </w:pPr>
            <w:r>
              <w:rPr>
                <w:rFonts w:hint="eastAsia"/>
                <w:sz w:val="21"/>
                <w:szCs w:val="21"/>
              </w:rPr>
              <w:t>DN80</w:t>
            </w:r>
          </w:p>
        </w:tc>
        <w:tc>
          <w:tcPr>
            <w:tcW w:w="487" w:type="pct"/>
            <w:vAlign w:val="center"/>
          </w:tcPr>
          <w:p w14:paraId="316D78A7">
            <w:pPr>
              <w:spacing w:line="240" w:lineRule="auto"/>
              <w:jc w:val="center"/>
              <w:rPr>
                <w:sz w:val="21"/>
                <w:szCs w:val="21"/>
              </w:rPr>
            </w:pPr>
            <w:r>
              <w:rPr>
                <w:rFonts w:hint="eastAsia"/>
                <w:sz w:val="21"/>
                <w:szCs w:val="21"/>
              </w:rPr>
              <w:t>130m</w:t>
            </w:r>
          </w:p>
        </w:tc>
        <w:tc>
          <w:tcPr>
            <w:tcW w:w="646" w:type="pct"/>
            <w:vAlign w:val="center"/>
          </w:tcPr>
          <w:p w14:paraId="7B11044B">
            <w:pPr>
              <w:spacing w:line="240" w:lineRule="auto"/>
              <w:jc w:val="center"/>
              <w:rPr>
                <w:sz w:val="21"/>
                <w:szCs w:val="21"/>
              </w:rPr>
            </w:pPr>
            <w:r>
              <w:rPr>
                <w:rFonts w:hint="eastAsia"/>
                <w:sz w:val="21"/>
                <w:szCs w:val="21"/>
              </w:rPr>
              <w:t>0.0005t</w:t>
            </w:r>
          </w:p>
        </w:tc>
      </w:tr>
      <w:tr w14:paraId="756BEBB6">
        <w:tblPrEx>
          <w:tblBorders>
            <w:top w:val="single" w:color="auto" w:sz="12" w:space="0"/>
            <w:left w:val="single" w:color="auto" w:sz="12" w:space="0"/>
            <w:bottom w:val="single" w:color="auto" w:sz="12" w:space="0"/>
            <w:right w:val="single" w:color="auto" w:sz="12" w:space="0"/>
            <w:insideH w:val="single" w:color="auto" w:sz="6" w:space="0"/>
            <w:insideV w:val="single" w:color="auto" w:sz="8" w:space="0"/>
          </w:tblBorders>
          <w:tblCellMar>
            <w:top w:w="0" w:type="dxa"/>
            <w:left w:w="108" w:type="dxa"/>
            <w:bottom w:w="0" w:type="dxa"/>
            <w:right w:w="108" w:type="dxa"/>
          </w:tblCellMar>
        </w:tblPrEx>
        <w:trPr>
          <w:trHeight w:val="340" w:hRule="atLeast"/>
          <w:jc w:val="center"/>
        </w:trPr>
        <w:tc>
          <w:tcPr>
            <w:tcW w:w="417" w:type="pct"/>
            <w:vAlign w:val="center"/>
          </w:tcPr>
          <w:p w14:paraId="0B0D6E16">
            <w:pPr>
              <w:spacing w:line="240" w:lineRule="auto"/>
              <w:jc w:val="center"/>
              <w:rPr>
                <w:sz w:val="21"/>
                <w:szCs w:val="21"/>
              </w:rPr>
            </w:pPr>
            <w:r>
              <w:rPr>
                <w:rFonts w:hint="eastAsia"/>
                <w:sz w:val="21"/>
                <w:szCs w:val="21"/>
              </w:rPr>
              <w:t>2</w:t>
            </w:r>
          </w:p>
        </w:tc>
        <w:tc>
          <w:tcPr>
            <w:tcW w:w="960" w:type="pct"/>
            <w:vAlign w:val="center"/>
          </w:tcPr>
          <w:p w14:paraId="3D0759C6">
            <w:pPr>
              <w:spacing w:line="240" w:lineRule="auto"/>
              <w:jc w:val="center"/>
              <w:rPr>
                <w:sz w:val="21"/>
                <w:szCs w:val="21"/>
              </w:rPr>
            </w:pPr>
            <w:r>
              <w:rPr>
                <w:rFonts w:hint="eastAsia"/>
                <w:sz w:val="21"/>
                <w:szCs w:val="21"/>
              </w:rPr>
              <w:t>烘干锅炉天然气（甲烷）</w:t>
            </w:r>
          </w:p>
        </w:tc>
        <w:tc>
          <w:tcPr>
            <w:tcW w:w="684" w:type="dxa"/>
            <w:vAlign w:val="center"/>
          </w:tcPr>
          <w:p w14:paraId="4D73AD1A">
            <w:pPr>
              <w:spacing w:line="240" w:lineRule="auto"/>
              <w:jc w:val="center"/>
              <w:rPr>
                <w:sz w:val="21"/>
                <w:szCs w:val="21"/>
              </w:rPr>
            </w:pPr>
            <w:r>
              <w:rPr>
                <w:rFonts w:hint="eastAsia"/>
                <w:sz w:val="21"/>
                <w:szCs w:val="21"/>
              </w:rPr>
              <w:t>25℃</w:t>
            </w:r>
          </w:p>
        </w:tc>
        <w:tc>
          <w:tcPr>
            <w:tcW w:w="1023" w:type="dxa"/>
            <w:vAlign w:val="center"/>
          </w:tcPr>
          <w:p w14:paraId="2810122E">
            <w:pPr>
              <w:spacing w:line="240" w:lineRule="auto"/>
              <w:jc w:val="center"/>
              <w:rPr>
                <w:sz w:val="21"/>
                <w:szCs w:val="21"/>
              </w:rPr>
            </w:pPr>
            <w:r>
              <w:rPr>
                <w:rFonts w:hint="eastAsia"/>
                <w:sz w:val="21"/>
                <w:szCs w:val="21"/>
              </w:rPr>
              <w:t>0.1MPa</w:t>
            </w:r>
          </w:p>
        </w:tc>
        <w:tc>
          <w:tcPr>
            <w:tcW w:w="1580" w:type="dxa"/>
            <w:vAlign w:val="center"/>
          </w:tcPr>
          <w:p w14:paraId="3AF8CD7B">
            <w:pPr>
              <w:spacing w:line="240" w:lineRule="auto"/>
              <w:jc w:val="center"/>
              <w:rPr>
                <w:sz w:val="21"/>
                <w:szCs w:val="21"/>
              </w:rPr>
            </w:pPr>
            <w:r>
              <w:rPr>
                <w:rFonts w:hint="eastAsia"/>
                <w:sz w:val="21"/>
                <w:szCs w:val="21"/>
              </w:rPr>
              <w:t>0.7174kg/m</w:t>
            </w:r>
            <w:r>
              <w:rPr>
                <w:rFonts w:hint="eastAsia"/>
                <w:sz w:val="21"/>
                <w:szCs w:val="21"/>
                <w:vertAlign w:val="superscript"/>
              </w:rPr>
              <w:t>3</w:t>
            </w:r>
          </w:p>
        </w:tc>
        <w:tc>
          <w:tcPr>
            <w:tcW w:w="559" w:type="pct"/>
            <w:vAlign w:val="center"/>
          </w:tcPr>
          <w:p w14:paraId="733A8856">
            <w:pPr>
              <w:spacing w:line="240" w:lineRule="auto"/>
              <w:jc w:val="center"/>
              <w:rPr>
                <w:sz w:val="21"/>
                <w:szCs w:val="21"/>
              </w:rPr>
            </w:pPr>
            <w:r>
              <w:rPr>
                <w:rFonts w:hint="eastAsia"/>
                <w:sz w:val="21"/>
                <w:szCs w:val="21"/>
              </w:rPr>
              <w:t>DN80</w:t>
            </w:r>
          </w:p>
        </w:tc>
        <w:tc>
          <w:tcPr>
            <w:tcW w:w="487" w:type="pct"/>
            <w:vAlign w:val="center"/>
          </w:tcPr>
          <w:p w14:paraId="49A68FB4">
            <w:pPr>
              <w:spacing w:line="240" w:lineRule="auto"/>
              <w:jc w:val="center"/>
              <w:rPr>
                <w:sz w:val="21"/>
                <w:szCs w:val="21"/>
              </w:rPr>
            </w:pPr>
            <w:r>
              <w:rPr>
                <w:rFonts w:hint="eastAsia"/>
                <w:sz w:val="21"/>
                <w:szCs w:val="21"/>
              </w:rPr>
              <w:t>60m</w:t>
            </w:r>
          </w:p>
        </w:tc>
        <w:tc>
          <w:tcPr>
            <w:tcW w:w="646" w:type="pct"/>
            <w:vAlign w:val="center"/>
          </w:tcPr>
          <w:p w14:paraId="0679145C">
            <w:pPr>
              <w:spacing w:line="240" w:lineRule="auto"/>
              <w:jc w:val="center"/>
              <w:rPr>
                <w:sz w:val="21"/>
                <w:szCs w:val="21"/>
              </w:rPr>
            </w:pPr>
            <w:r>
              <w:rPr>
                <w:rFonts w:hint="eastAsia"/>
                <w:sz w:val="21"/>
                <w:szCs w:val="21"/>
              </w:rPr>
              <w:t>0.0002t</w:t>
            </w:r>
          </w:p>
        </w:tc>
      </w:tr>
    </w:tbl>
    <w:p w14:paraId="64119E8C">
      <w:pPr>
        <w:pStyle w:val="51"/>
        <w:numPr>
          <w:ilvl w:val="5"/>
          <w:numId w:val="0"/>
        </w:numPr>
        <w:tabs>
          <w:tab w:val="left" w:pos="4395"/>
        </w:tabs>
        <w:spacing w:before="156"/>
        <w:ind w:left="4700" w:leftChars="0" w:hanging="7513"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表7.2-2 </w:t>
      </w:r>
      <w:r>
        <w:rPr>
          <w:rFonts w:hint="eastAsia" w:ascii="宋体" w:hAnsi="宋体" w:cs="宋体"/>
          <w:b/>
          <w:bCs/>
          <w:color w:val="auto"/>
          <w:kern w:val="2"/>
          <w:sz w:val="21"/>
          <w:szCs w:val="21"/>
          <w:lang w:val="en-US" w:eastAsia="zh-CN" w:bidi="ar-SA"/>
        </w:rPr>
        <w:t xml:space="preserve"> </w:t>
      </w:r>
      <w:r>
        <w:rPr>
          <w:rFonts w:hint="eastAsia"/>
        </w:rPr>
        <w:t>风险源调查情况</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52"/>
        <w:gridCol w:w="1118"/>
        <w:gridCol w:w="1571"/>
        <w:gridCol w:w="1014"/>
        <w:gridCol w:w="1513"/>
        <w:gridCol w:w="1039"/>
        <w:gridCol w:w="818"/>
        <w:gridCol w:w="997"/>
      </w:tblGrid>
      <w:tr w14:paraId="1DA7EE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0" w:type="dxa"/>
            <w:gridSpan w:val="2"/>
            <w:vAlign w:val="center"/>
          </w:tcPr>
          <w:p w14:paraId="68EE1FED">
            <w:pPr>
              <w:spacing w:line="240" w:lineRule="auto"/>
              <w:jc w:val="center"/>
              <w:rPr>
                <w:sz w:val="21"/>
                <w:szCs w:val="21"/>
              </w:rPr>
            </w:pPr>
            <w:r>
              <w:rPr>
                <w:rFonts w:hint="eastAsia"/>
                <w:sz w:val="21"/>
                <w:szCs w:val="21"/>
              </w:rPr>
              <w:t>涉及危险物质的物料名称</w:t>
            </w:r>
          </w:p>
        </w:tc>
        <w:tc>
          <w:tcPr>
            <w:tcW w:w="1571" w:type="dxa"/>
            <w:vAlign w:val="center"/>
          </w:tcPr>
          <w:p w14:paraId="20D6E118">
            <w:pPr>
              <w:spacing w:line="240" w:lineRule="auto"/>
              <w:jc w:val="center"/>
              <w:rPr>
                <w:sz w:val="21"/>
                <w:szCs w:val="21"/>
              </w:rPr>
            </w:pPr>
            <w:r>
              <w:rPr>
                <w:rFonts w:hint="eastAsia"/>
                <w:sz w:val="21"/>
                <w:szCs w:val="21"/>
              </w:rPr>
              <w:t>涉及风险组分</w:t>
            </w:r>
          </w:p>
        </w:tc>
        <w:tc>
          <w:tcPr>
            <w:tcW w:w="1014" w:type="dxa"/>
            <w:vAlign w:val="center"/>
          </w:tcPr>
          <w:p w14:paraId="569AA432">
            <w:pPr>
              <w:spacing w:line="240" w:lineRule="auto"/>
              <w:jc w:val="center"/>
              <w:rPr>
                <w:sz w:val="21"/>
                <w:szCs w:val="21"/>
              </w:rPr>
            </w:pPr>
            <w:r>
              <w:rPr>
                <w:rFonts w:hint="eastAsia"/>
                <w:sz w:val="21"/>
                <w:szCs w:val="21"/>
              </w:rPr>
              <w:t>CAS号</w:t>
            </w:r>
          </w:p>
        </w:tc>
        <w:tc>
          <w:tcPr>
            <w:tcW w:w="1513" w:type="dxa"/>
            <w:vAlign w:val="center"/>
          </w:tcPr>
          <w:p w14:paraId="75C31720">
            <w:pPr>
              <w:spacing w:line="240" w:lineRule="auto"/>
              <w:jc w:val="center"/>
              <w:rPr>
                <w:color w:val="FF0000"/>
                <w:sz w:val="21"/>
                <w:szCs w:val="21"/>
              </w:rPr>
            </w:pPr>
            <w:r>
              <w:rPr>
                <w:rFonts w:hint="eastAsia"/>
                <w:sz w:val="21"/>
                <w:szCs w:val="21"/>
              </w:rPr>
              <w:t>总用量</w:t>
            </w:r>
          </w:p>
        </w:tc>
        <w:tc>
          <w:tcPr>
            <w:tcW w:w="1039" w:type="dxa"/>
            <w:vAlign w:val="center"/>
          </w:tcPr>
          <w:p w14:paraId="4B673835">
            <w:pPr>
              <w:spacing w:line="240" w:lineRule="auto"/>
              <w:jc w:val="center"/>
              <w:rPr>
                <w:sz w:val="21"/>
                <w:szCs w:val="21"/>
              </w:rPr>
            </w:pPr>
            <w:r>
              <w:rPr>
                <w:rFonts w:hint="eastAsia"/>
                <w:sz w:val="21"/>
                <w:szCs w:val="21"/>
              </w:rPr>
              <w:t>最大贮存量</w:t>
            </w:r>
          </w:p>
        </w:tc>
        <w:tc>
          <w:tcPr>
            <w:tcW w:w="818" w:type="dxa"/>
            <w:vAlign w:val="center"/>
          </w:tcPr>
          <w:p w14:paraId="73E5E44A">
            <w:pPr>
              <w:spacing w:line="240" w:lineRule="auto"/>
              <w:jc w:val="center"/>
              <w:rPr>
                <w:sz w:val="21"/>
                <w:szCs w:val="21"/>
              </w:rPr>
            </w:pPr>
            <w:r>
              <w:rPr>
                <w:rFonts w:hint="eastAsia"/>
                <w:sz w:val="21"/>
                <w:szCs w:val="21"/>
              </w:rPr>
              <w:t>临界量</w:t>
            </w:r>
          </w:p>
        </w:tc>
        <w:tc>
          <w:tcPr>
            <w:tcW w:w="997" w:type="dxa"/>
            <w:vAlign w:val="center"/>
          </w:tcPr>
          <w:p w14:paraId="03F8E929">
            <w:pPr>
              <w:spacing w:line="240" w:lineRule="auto"/>
              <w:jc w:val="center"/>
              <w:rPr>
                <w:sz w:val="21"/>
                <w:szCs w:val="21"/>
              </w:rPr>
            </w:pPr>
            <w:r>
              <w:rPr>
                <w:rFonts w:hint="eastAsia"/>
                <w:sz w:val="21"/>
                <w:szCs w:val="21"/>
              </w:rPr>
              <w:t>Q</w:t>
            </w:r>
          </w:p>
        </w:tc>
      </w:tr>
      <w:tr w14:paraId="5E31A8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2" w:type="dxa"/>
            <w:vMerge w:val="restart"/>
            <w:tcBorders>
              <w:right w:val="single" w:color="auto" w:sz="4" w:space="0"/>
            </w:tcBorders>
            <w:vAlign w:val="center"/>
          </w:tcPr>
          <w:p w14:paraId="29AC2E2E">
            <w:pPr>
              <w:spacing w:line="240" w:lineRule="auto"/>
              <w:jc w:val="center"/>
              <w:rPr>
                <w:sz w:val="21"/>
                <w:szCs w:val="21"/>
              </w:rPr>
            </w:pPr>
            <w:r>
              <w:rPr>
                <w:rFonts w:hint="eastAsia"/>
                <w:sz w:val="21"/>
                <w:szCs w:val="21"/>
              </w:rPr>
              <w:t>仓库</w:t>
            </w:r>
          </w:p>
        </w:tc>
        <w:tc>
          <w:tcPr>
            <w:tcW w:w="1118" w:type="dxa"/>
            <w:tcBorders>
              <w:left w:val="single" w:color="auto" w:sz="4" w:space="0"/>
            </w:tcBorders>
            <w:vAlign w:val="center"/>
          </w:tcPr>
          <w:p w14:paraId="2804A355">
            <w:pPr>
              <w:spacing w:line="240" w:lineRule="auto"/>
              <w:jc w:val="center"/>
              <w:rPr>
                <w:sz w:val="21"/>
                <w:szCs w:val="21"/>
              </w:rPr>
            </w:pPr>
            <w:r>
              <w:rPr>
                <w:rFonts w:hint="eastAsia"/>
                <w:sz w:val="21"/>
                <w:szCs w:val="21"/>
              </w:rPr>
              <w:t>溶剂型聚氨酯胶水</w:t>
            </w:r>
          </w:p>
        </w:tc>
        <w:tc>
          <w:tcPr>
            <w:tcW w:w="1571" w:type="dxa"/>
            <w:vAlign w:val="center"/>
          </w:tcPr>
          <w:p w14:paraId="66EB86CD">
            <w:pPr>
              <w:spacing w:line="240" w:lineRule="auto"/>
              <w:jc w:val="center"/>
              <w:rPr>
                <w:sz w:val="21"/>
                <w:szCs w:val="21"/>
              </w:rPr>
            </w:pPr>
            <w:r>
              <w:rPr>
                <w:rFonts w:hint="eastAsia"/>
                <w:sz w:val="21"/>
                <w:szCs w:val="21"/>
              </w:rPr>
              <w:t>乙酸乙酯</w:t>
            </w:r>
          </w:p>
        </w:tc>
        <w:tc>
          <w:tcPr>
            <w:tcW w:w="1014" w:type="dxa"/>
            <w:vAlign w:val="center"/>
          </w:tcPr>
          <w:p w14:paraId="23CAAE1C">
            <w:pPr>
              <w:spacing w:line="240" w:lineRule="auto"/>
              <w:jc w:val="center"/>
              <w:rPr>
                <w:sz w:val="21"/>
                <w:szCs w:val="21"/>
              </w:rPr>
            </w:pPr>
            <w:r>
              <w:rPr>
                <w:rFonts w:hint="eastAsia"/>
                <w:sz w:val="21"/>
                <w:szCs w:val="21"/>
              </w:rPr>
              <w:t>141-78-6</w:t>
            </w:r>
          </w:p>
        </w:tc>
        <w:tc>
          <w:tcPr>
            <w:tcW w:w="1513" w:type="dxa"/>
            <w:vAlign w:val="center"/>
          </w:tcPr>
          <w:p w14:paraId="2210487B">
            <w:pPr>
              <w:spacing w:line="240" w:lineRule="auto"/>
              <w:jc w:val="center"/>
              <w:rPr>
                <w:sz w:val="21"/>
                <w:szCs w:val="21"/>
              </w:rPr>
            </w:pPr>
            <w:r>
              <w:rPr>
                <w:rFonts w:hint="eastAsia"/>
                <w:sz w:val="21"/>
                <w:szCs w:val="21"/>
              </w:rPr>
              <w:t>25%</w:t>
            </w:r>
          </w:p>
        </w:tc>
        <w:tc>
          <w:tcPr>
            <w:tcW w:w="1039" w:type="dxa"/>
            <w:vAlign w:val="center"/>
          </w:tcPr>
          <w:p w14:paraId="17CD4B71">
            <w:pPr>
              <w:spacing w:line="240" w:lineRule="auto"/>
              <w:jc w:val="center"/>
              <w:rPr>
                <w:sz w:val="21"/>
                <w:szCs w:val="21"/>
              </w:rPr>
            </w:pPr>
            <w:r>
              <w:rPr>
                <w:rFonts w:hint="eastAsia"/>
                <w:sz w:val="21"/>
                <w:szCs w:val="21"/>
              </w:rPr>
              <w:t>2.5</w:t>
            </w:r>
            <w:r>
              <w:rPr>
                <w:sz w:val="21"/>
                <w:szCs w:val="21"/>
              </w:rPr>
              <w:t>t</w:t>
            </w:r>
          </w:p>
        </w:tc>
        <w:tc>
          <w:tcPr>
            <w:tcW w:w="818" w:type="dxa"/>
            <w:vAlign w:val="center"/>
          </w:tcPr>
          <w:p w14:paraId="216624B2">
            <w:pPr>
              <w:spacing w:line="240" w:lineRule="auto"/>
              <w:jc w:val="center"/>
              <w:rPr>
                <w:sz w:val="21"/>
                <w:szCs w:val="21"/>
              </w:rPr>
            </w:pPr>
            <w:r>
              <w:rPr>
                <w:sz w:val="21"/>
                <w:szCs w:val="21"/>
              </w:rPr>
              <w:t>10t</w:t>
            </w:r>
          </w:p>
        </w:tc>
        <w:tc>
          <w:tcPr>
            <w:tcW w:w="997" w:type="dxa"/>
            <w:vAlign w:val="center"/>
          </w:tcPr>
          <w:p w14:paraId="5883A465">
            <w:pPr>
              <w:spacing w:line="240" w:lineRule="auto"/>
              <w:jc w:val="center"/>
              <w:rPr>
                <w:sz w:val="21"/>
                <w:szCs w:val="21"/>
              </w:rPr>
            </w:pPr>
            <w:r>
              <w:rPr>
                <w:rFonts w:hint="eastAsia"/>
                <w:sz w:val="21"/>
                <w:szCs w:val="21"/>
              </w:rPr>
              <w:t>0.25</w:t>
            </w:r>
          </w:p>
        </w:tc>
      </w:tr>
      <w:tr w14:paraId="5BFCC4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2" w:type="dxa"/>
            <w:vMerge w:val="continue"/>
            <w:tcBorders>
              <w:right w:val="single" w:color="auto" w:sz="4" w:space="0"/>
            </w:tcBorders>
            <w:vAlign w:val="center"/>
          </w:tcPr>
          <w:p w14:paraId="3D06CD21">
            <w:pPr>
              <w:spacing w:line="240" w:lineRule="auto"/>
              <w:jc w:val="center"/>
              <w:rPr>
                <w:sz w:val="21"/>
                <w:szCs w:val="21"/>
              </w:rPr>
            </w:pPr>
          </w:p>
        </w:tc>
        <w:tc>
          <w:tcPr>
            <w:tcW w:w="1118" w:type="dxa"/>
            <w:vMerge w:val="restart"/>
            <w:tcBorders>
              <w:left w:val="single" w:color="auto" w:sz="4" w:space="0"/>
            </w:tcBorders>
            <w:vAlign w:val="center"/>
          </w:tcPr>
          <w:p w14:paraId="404E68D4">
            <w:pPr>
              <w:spacing w:line="240" w:lineRule="auto"/>
              <w:jc w:val="center"/>
              <w:rPr>
                <w:sz w:val="21"/>
                <w:szCs w:val="21"/>
              </w:rPr>
            </w:pPr>
            <w:r>
              <w:rPr>
                <w:rFonts w:hint="eastAsia"/>
                <w:sz w:val="21"/>
                <w:szCs w:val="21"/>
              </w:rPr>
              <w:t>油墨</w:t>
            </w:r>
          </w:p>
        </w:tc>
        <w:tc>
          <w:tcPr>
            <w:tcW w:w="1571" w:type="dxa"/>
            <w:vAlign w:val="center"/>
          </w:tcPr>
          <w:p w14:paraId="353C66DB">
            <w:pPr>
              <w:spacing w:line="240" w:lineRule="auto"/>
              <w:jc w:val="center"/>
              <w:rPr>
                <w:sz w:val="21"/>
                <w:szCs w:val="21"/>
              </w:rPr>
            </w:pPr>
            <w:r>
              <w:rPr>
                <w:rFonts w:hint="eastAsia"/>
                <w:sz w:val="21"/>
                <w:szCs w:val="21"/>
              </w:rPr>
              <w:t>乙酸乙酯</w:t>
            </w:r>
          </w:p>
        </w:tc>
        <w:tc>
          <w:tcPr>
            <w:tcW w:w="1014" w:type="dxa"/>
            <w:vAlign w:val="center"/>
          </w:tcPr>
          <w:p w14:paraId="4FEFAC9C">
            <w:pPr>
              <w:spacing w:line="240" w:lineRule="auto"/>
              <w:jc w:val="center"/>
              <w:rPr>
                <w:sz w:val="21"/>
                <w:szCs w:val="21"/>
              </w:rPr>
            </w:pPr>
            <w:r>
              <w:rPr>
                <w:rFonts w:hint="eastAsia"/>
                <w:sz w:val="21"/>
                <w:szCs w:val="21"/>
              </w:rPr>
              <w:t>141-78-6</w:t>
            </w:r>
          </w:p>
        </w:tc>
        <w:tc>
          <w:tcPr>
            <w:tcW w:w="1513" w:type="dxa"/>
            <w:vAlign w:val="center"/>
          </w:tcPr>
          <w:p w14:paraId="6BCF1A40">
            <w:pPr>
              <w:spacing w:line="240" w:lineRule="auto"/>
              <w:jc w:val="center"/>
              <w:rPr>
                <w:sz w:val="21"/>
                <w:szCs w:val="21"/>
              </w:rPr>
            </w:pPr>
            <w:r>
              <w:rPr>
                <w:rFonts w:hint="eastAsia"/>
                <w:sz w:val="21"/>
                <w:szCs w:val="21"/>
              </w:rPr>
              <w:t>11.6%</w:t>
            </w:r>
          </w:p>
        </w:tc>
        <w:tc>
          <w:tcPr>
            <w:tcW w:w="1039" w:type="dxa"/>
            <w:vAlign w:val="center"/>
          </w:tcPr>
          <w:p w14:paraId="2AA94FF6">
            <w:pPr>
              <w:spacing w:line="240" w:lineRule="auto"/>
              <w:jc w:val="center"/>
              <w:rPr>
                <w:sz w:val="21"/>
                <w:szCs w:val="21"/>
              </w:rPr>
            </w:pPr>
            <w:r>
              <w:rPr>
                <w:rFonts w:hint="eastAsia"/>
                <w:sz w:val="21"/>
                <w:szCs w:val="21"/>
              </w:rPr>
              <w:t>2.32</w:t>
            </w:r>
            <w:r>
              <w:rPr>
                <w:sz w:val="21"/>
                <w:szCs w:val="21"/>
              </w:rPr>
              <w:t>t</w:t>
            </w:r>
          </w:p>
        </w:tc>
        <w:tc>
          <w:tcPr>
            <w:tcW w:w="818" w:type="dxa"/>
            <w:vAlign w:val="center"/>
          </w:tcPr>
          <w:p w14:paraId="67784CC7">
            <w:pPr>
              <w:spacing w:line="240" w:lineRule="auto"/>
              <w:jc w:val="center"/>
              <w:rPr>
                <w:sz w:val="21"/>
                <w:szCs w:val="21"/>
              </w:rPr>
            </w:pPr>
            <w:r>
              <w:rPr>
                <w:rFonts w:hint="eastAsia"/>
                <w:sz w:val="21"/>
                <w:szCs w:val="21"/>
              </w:rPr>
              <w:t>10t</w:t>
            </w:r>
          </w:p>
        </w:tc>
        <w:tc>
          <w:tcPr>
            <w:tcW w:w="997" w:type="dxa"/>
            <w:vAlign w:val="center"/>
          </w:tcPr>
          <w:p w14:paraId="065D4E42">
            <w:pPr>
              <w:spacing w:line="240" w:lineRule="auto"/>
              <w:jc w:val="center"/>
              <w:rPr>
                <w:sz w:val="21"/>
                <w:szCs w:val="21"/>
              </w:rPr>
            </w:pPr>
            <w:r>
              <w:rPr>
                <w:rFonts w:hint="eastAsia"/>
                <w:sz w:val="21"/>
                <w:szCs w:val="21"/>
              </w:rPr>
              <w:t>0.23</w:t>
            </w:r>
          </w:p>
        </w:tc>
      </w:tr>
      <w:tr w14:paraId="52BA6D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2" w:type="dxa"/>
            <w:vMerge w:val="continue"/>
            <w:tcBorders>
              <w:right w:val="single" w:color="auto" w:sz="4" w:space="0"/>
            </w:tcBorders>
            <w:vAlign w:val="center"/>
          </w:tcPr>
          <w:p w14:paraId="05743F3D">
            <w:pPr>
              <w:spacing w:line="240" w:lineRule="auto"/>
              <w:jc w:val="center"/>
              <w:rPr>
                <w:sz w:val="21"/>
                <w:szCs w:val="21"/>
              </w:rPr>
            </w:pPr>
          </w:p>
        </w:tc>
        <w:tc>
          <w:tcPr>
            <w:tcW w:w="1118" w:type="dxa"/>
            <w:vMerge w:val="continue"/>
            <w:tcBorders>
              <w:left w:val="single" w:color="auto" w:sz="4" w:space="0"/>
            </w:tcBorders>
            <w:vAlign w:val="center"/>
          </w:tcPr>
          <w:p w14:paraId="3B60A28C">
            <w:pPr>
              <w:spacing w:line="240" w:lineRule="auto"/>
              <w:jc w:val="center"/>
              <w:rPr>
                <w:sz w:val="21"/>
                <w:szCs w:val="21"/>
              </w:rPr>
            </w:pPr>
          </w:p>
        </w:tc>
        <w:tc>
          <w:tcPr>
            <w:tcW w:w="1571" w:type="dxa"/>
            <w:vAlign w:val="center"/>
          </w:tcPr>
          <w:p w14:paraId="38D92CD0">
            <w:pPr>
              <w:spacing w:line="240" w:lineRule="auto"/>
              <w:jc w:val="center"/>
              <w:rPr>
                <w:sz w:val="21"/>
                <w:szCs w:val="21"/>
              </w:rPr>
            </w:pPr>
            <w:r>
              <w:rPr>
                <w:rFonts w:hint="eastAsia"/>
                <w:sz w:val="21"/>
                <w:szCs w:val="21"/>
              </w:rPr>
              <w:t>异丙醇</w:t>
            </w:r>
          </w:p>
        </w:tc>
        <w:tc>
          <w:tcPr>
            <w:tcW w:w="1014" w:type="dxa"/>
            <w:vAlign w:val="center"/>
          </w:tcPr>
          <w:p w14:paraId="6AACD657">
            <w:pPr>
              <w:spacing w:line="240" w:lineRule="auto"/>
              <w:jc w:val="center"/>
              <w:rPr>
                <w:sz w:val="21"/>
                <w:szCs w:val="21"/>
              </w:rPr>
            </w:pPr>
            <w:r>
              <w:rPr>
                <w:rFonts w:hint="eastAsia"/>
                <w:sz w:val="21"/>
                <w:szCs w:val="21"/>
              </w:rPr>
              <w:t>67-63-0</w:t>
            </w:r>
          </w:p>
        </w:tc>
        <w:tc>
          <w:tcPr>
            <w:tcW w:w="1513" w:type="dxa"/>
            <w:vAlign w:val="center"/>
          </w:tcPr>
          <w:p w14:paraId="2CEB0E75">
            <w:pPr>
              <w:spacing w:line="240" w:lineRule="auto"/>
              <w:jc w:val="center"/>
              <w:rPr>
                <w:sz w:val="21"/>
                <w:szCs w:val="21"/>
              </w:rPr>
            </w:pPr>
            <w:r>
              <w:rPr>
                <w:rFonts w:hint="eastAsia"/>
                <w:sz w:val="21"/>
                <w:szCs w:val="21"/>
              </w:rPr>
              <w:t>7.5%</w:t>
            </w:r>
          </w:p>
        </w:tc>
        <w:tc>
          <w:tcPr>
            <w:tcW w:w="1039" w:type="dxa"/>
            <w:vAlign w:val="center"/>
          </w:tcPr>
          <w:p w14:paraId="034B6F3C">
            <w:pPr>
              <w:spacing w:line="240" w:lineRule="auto"/>
              <w:jc w:val="center"/>
              <w:rPr>
                <w:sz w:val="21"/>
                <w:szCs w:val="21"/>
              </w:rPr>
            </w:pPr>
            <w:r>
              <w:rPr>
                <w:rFonts w:hint="eastAsia"/>
                <w:sz w:val="21"/>
                <w:szCs w:val="21"/>
              </w:rPr>
              <w:t>1.5</w:t>
            </w:r>
          </w:p>
        </w:tc>
        <w:tc>
          <w:tcPr>
            <w:tcW w:w="818" w:type="dxa"/>
            <w:vAlign w:val="center"/>
          </w:tcPr>
          <w:p w14:paraId="5C775053">
            <w:pPr>
              <w:spacing w:line="240" w:lineRule="auto"/>
              <w:jc w:val="center"/>
              <w:rPr>
                <w:sz w:val="21"/>
                <w:szCs w:val="21"/>
              </w:rPr>
            </w:pPr>
            <w:r>
              <w:rPr>
                <w:rFonts w:hint="eastAsia"/>
                <w:sz w:val="21"/>
                <w:szCs w:val="21"/>
              </w:rPr>
              <w:t>10t</w:t>
            </w:r>
          </w:p>
        </w:tc>
        <w:tc>
          <w:tcPr>
            <w:tcW w:w="997" w:type="dxa"/>
            <w:vAlign w:val="center"/>
          </w:tcPr>
          <w:p w14:paraId="12F9B64A">
            <w:pPr>
              <w:spacing w:line="240" w:lineRule="auto"/>
              <w:jc w:val="center"/>
              <w:rPr>
                <w:sz w:val="21"/>
                <w:szCs w:val="21"/>
              </w:rPr>
            </w:pPr>
            <w:r>
              <w:rPr>
                <w:rFonts w:hint="eastAsia"/>
                <w:sz w:val="21"/>
                <w:szCs w:val="21"/>
              </w:rPr>
              <w:t>0.15</w:t>
            </w:r>
          </w:p>
        </w:tc>
      </w:tr>
      <w:tr w14:paraId="7E89F4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2" w:type="dxa"/>
            <w:vMerge w:val="continue"/>
            <w:tcBorders>
              <w:right w:val="single" w:color="auto" w:sz="4" w:space="0"/>
            </w:tcBorders>
            <w:vAlign w:val="center"/>
          </w:tcPr>
          <w:p w14:paraId="771C0F6E">
            <w:pPr>
              <w:spacing w:line="240" w:lineRule="auto"/>
              <w:jc w:val="center"/>
              <w:rPr>
                <w:sz w:val="21"/>
                <w:szCs w:val="21"/>
              </w:rPr>
            </w:pPr>
          </w:p>
        </w:tc>
        <w:tc>
          <w:tcPr>
            <w:tcW w:w="1118" w:type="dxa"/>
            <w:vMerge w:val="restart"/>
            <w:tcBorders>
              <w:left w:val="single" w:color="auto" w:sz="4" w:space="0"/>
            </w:tcBorders>
            <w:vAlign w:val="center"/>
          </w:tcPr>
          <w:p w14:paraId="4485A09C">
            <w:pPr>
              <w:spacing w:line="240" w:lineRule="auto"/>
              <w:jc w:val="center"/>
              <w:rPr>
                <w:sz w:val="21"/>
                <w:szCs w:val="21"/>
              </w:rPr>
            </w:pPr>
            <w:r>
              <w:rPr>
                <w:rFonts w:hint="eastAsia"/>
                <w:sz w:val="21"/>
                <w:szCs w:val="21"/>
              </w:rPr>
              <w:t>稀释剂</w:t>
            </w:r>
          </w:p>
        </w:tc>
        <w:tc>
          <w:tcPr>
            <w:tcW w:w="1571" w:type="dxa"/>
            <w:vAlign w:val="center"/>
          </w:tcPr>
          <w:p w14:paraId="05AFD510">
            <w:pPr>
              <w:spacing w:line="240" w:lineRule="auto"/>
              <w:jc w:val="center"/>
              <w:rPr>
                <w:sz w:val="21"/>
                <w:szCs w:val="21"/>
              </w:rPr>
            </w:pPr>
            <w:r>
              <w:rPr>
                <w:rFonts w:hint="eastAsia"/>
                <w:sz w:val="21"/>
                <w:szCs w:val="21"/>
              </w:rPr>
              <w:t>乙酸乙酯</w:t>
            </w:r>
          </w:p>
        </w:tc>
        <w:tc>
          <w:tcPr>
            <w:tcW w:w="1014" w:type="dxa"/>
            <w:vAlign w:val="center"/>
          </w:tcPr>
          <w:p w14:paraId="5F1307A9">
            <w:pPr>
              <w:spacing w:line="240" w:lineRule="auto"/>
              <w:jc w:val="center"/>
              <w:rPr>
                <w:sz w:val="21"/>
                <w:szCs w:val="21"/>
              </w:rPr>
            </w:pPr>
            <w:r>
              <w:rPr>
                <w:rFonts w:hint="eastAsia"/>
                <w:sz w:val="21"/>
                <w:szCs w:val="21"/>
              </w:rPr>
              <w:t>141-78-6</w:t>
            </w:r>
          </w:p>
        </w:tc>
        <w:tc>
          <w:tcPr>
            <w:tcW w:w="1513" w:type="dxa"/>
            <w:vAlign w:val="center"/>
          </w:tcPr>
          <w:p w14:paraId="73316AE4">
            <w:pPr>
              <w:spacing w:line="240" w:lineRule="auto"/>
              <w:jc w:val="center"/>
              <w:rPr>
                <w:sz w:val="21"/>
                <w:szCs w:val="21"/>
              </w:rPr>
            </w:pPr>
            <w:r>
              <w:rPr>
                <w:rFonts w:hint="eastAsia"/>
                <w:sz w:val="21"/>
                <w:szCs w:val="21"/>
              </w:rPr>
              <w:t>100%</w:t>
            </w:r>
          </w:p>
        </w:tc>
        <w:tc>
          <w:tcPr>
            <w:tcW w:w="1039" w:type="dxa"/>
            <w:vAlign w:val="center"/>
          </w:tcPr>
          <w:p w14:paraId="1DDD4017">
            <w:pPr>
              <w:spacing w:line="240" w:lineRule="auto"/>
              <w:jc w:val="center"/>
              <w:rPr>
                <w:sz w:val="21"/>
                <w:szCs w:val="21"/>
              </w:rPr>
            </w:pPr>
            <w:r>
              <w:rPr>
                <w:rFonts w:hint="eastAsia"/>
                <w:sz w:val="21"/>
                <w:szCs w:val="21"/>
              </w:rPr>
              <w:t>20</w:t>
            </w:r>
            <w:r>
              <w:rPr>
                <w:sz w:val="21"/>
                <w:szCs w:val="21"/>
              </w:rPr>
              <w:t>t</w:t>
            </w:r>
          </w:p>
        </w:tc>
        <w:tc>
          <w:tcPr>
            <w:tcW w:w="818" w:type="dxa"/>
            <w:vAlign w:val="center"/>
          </w:tcPr>
          <w:p w14:paraId="2DB9BC86">
            <w:pPr>
              <w:spacing w:line="240" w:lineRule="auto"/>
              <w:jc w:val="center"/>
              <w:rPr>
                <w:sz w:val="21"/>
                <w:szCs w:val="21"/>
              </w:rPr>
            </w:pPr>
            <w:r>
              <w:rPr>
                <w:sz w:val="21"/>
                <w:szCs w:val="21"/>
              </w:rPr>
              <w:t>10t</w:t>
            </w:r>
          </w:p>
        </w:tc>
        <w:tc>
          <w:tcPr>
            <w:tcW w:w="997" w:type="dxa"/>
            <w:vAlign w:val="center"/>
          </w:tcPr>
          <w:p w14:paraId="5114808D">
            <w:pPr>
              <w:spacing w:line="240" w:lineRule="auto"/>
              <w:jc w:val="center"/>
              <w:rPr>
                <w:sz w:val="21"/>
                <w:szCs w:val="21"/>
              </w:rPr>
            </w:pPr>
            <w:r>
              <w:rPr>
                <w:rFonts w:hint="eastAsia"/>
                <w:sz w:val="21"/>
                <w:szCs w:val="21"/>
              </w:rPr>
              <w:t>2</w:t>
            </w:r>
          </w:p>
        </w:tc>
      </w:tr>
      <w:tr w14:paraId="3C3170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2" w:type="dxa"/>
            <w:vMerge w:val="continue"/>
            <w:tcBorders>
              <w:right w:val="single" w:color="auto" w:sz="4" w:space="0"/>
            </w:tcBorders>
            <w:vAlign w:val="center"/>
          </w:tcPr>
          <w:p w14:paraId="7E2E2BE9">
            <w:pPr>
              <w:spacing w:line="240" w:lineRule="auto"/>
              <w:jc w:val="center"/>
              <w:rPr>
                <w:sz w:val="21"/>
                <w:szCs w:val="21"/>
              </w:rPr>
            </w:pPr>
          </w:p>
        </w:tc>
        <w:tc>
          <w:tcPr>
            <w:tcW w:w="1118" w:type="dxa"/>
            <w:vMerge w:val="continue"/>
            <w:tcBorders>
              <w:left w:val="single" w:color="auto" w:sz="4" w:space="0"/>
            </w:tcBorders>
            <w:vAlign w:val="center"/>
          </w:tcPr>
          <w:p w14:paraId="25BEADFE">
            <w:pPr>
              <w:spacing w:line="240" w:lineRule="auto"/>
              <w:jc w:val="center"/>
              <w:rPr>
                <w:sz w:val="21"/>
                <w:szCs w:val="21"/>
              </w:rPr>
            </w:pPr>
          </w:p>
        </w:tc>
        <w:tc>
          <w:tcPr>
            <w:tcW w:w="1571" w:type="dxa"/>
            <w:vAlign w:val="center"/>
          </w:tcPr>
          <w:p w14:paraId="669A80CF">
            <w:pPr>
              <w:spacing w:line="240" w:lineRule="auto"/>
              <w:jc w:val="center"/>
              <w:rPr>
                <w:sz w:val="21"/>
                <w:szCs w:val="21"/>
              </w:rPr>
            </w:pPr>
            <w:r>
              <w:rPr>
                <w:rFonts w:hint="eastAsia"/>
                <w:sz w:val="21"/>
                <w:szCs w:val="21"/>
              </w:rPr>
              <w:t>异丙醇</w:t>
            </w:r>
          </w:p>
        </w:tc>
        <w:tc>
          <w:tcPr>
            <w:tcW w:w="1014" w:type="dxa"/>
            <w:vAlign w:val="center"/>
          </w:tcPr>
          <w:p w14:paraId="04B529AC">
            <w:pPr>
              <w:spacing w:line="240" w:lineRule="auto"/>
              <w:jc w:val="center"/>
              <w:rPr>
                <w:sz w:val="21"/>
                <w:szCs w:val="21"/>
              </w:rPr>
            </w:pPr>
            <w:r>
              <w:rPr>
                <w:sz w:val="21"/>
                <w:szCs w:val="21"/>
              </w:rPr>
              <w:t>67-63-0</w:t>
            </w:r>
          </w:p>
        </w:tc>
        <w:tc>
          <w:tcPr>
            <w:tcW w:w="1513" w:type="dxa"/>
            <w:vAlign w:val="center"/>
          </w:tcPr>
          <w:p w14:paraId="21530E4E">
            <w:pPr>
              <w:spacing w:line="240" w:lineRule="auto"/>
              <w:jc w:val="center"/>
              <w:rPr>
                <w:sz w:val="21"/>
                <w:szCs w:val="21"/>
              </w:rPr>
            </w:pPr>
            <w:r>
              <w:rPr>
                <w:rFonts w:hint="eastAsia"/>
                <w:sz w:val="21"/>
                <w:szCs w:val="21"/>
              </w:rPr>
              <w:t>100%</w:t>
            </w:r>
          </w:p>
        </w:tc>
        <w:tc>
          <w:tcPr>
            <w:tcW w:w="1039" w:type="dxa"/>
            <w:vAlign w:val="center"/>
          </w:tcPr>
          <w:p w14:paraId="73FA87A9">
            <w:pPr>
              <w:spacing w:line="240" w:lineRule="auto"/>
              <w:jc w:val="center"/>
              <w:rPr>
                <w:sz w:val="21"/>
                <w:szCs w:val="21"/>
              </w:rPr>
            </w:pPr>
            <w:r>
              <w:rPr>
                <w:rFonts w:hint="eastAsia"/>
                <w:sz w:val="21"/>
                <w:szCs w:val="21"/>
              </w:rPr>
              <w:t>3</w:t>
            </w:r>
            <w:r>
              <w:rPr>
                <w:sz w:val="21"/>
                <w:szCs w:val="21"/>
              </w:rPr>
              <w:t>t</w:t>
            </w:r>
          </w:p>
        </w:tc>
        <w:tc>
          <w:tcPr>
            <w:tcW w:w="818" w:type="dxa"/>
            <w:vAlign w:val="center"/>
          </w:tcPr>
          <w:p w14:paraId="4B1EC5B4">
            <w:pPr>
              <w:spacing w:line="240" w:lineRule="auto"/>
              <w:jc w:val="center"/>
              <w:rPr>
                <w:sz w:val="21"/>
                <w:szCs w:val="21"/>
              </w:rPr>
            </w:pPr>
            <w:r>
              <w:rPr>
                <w:rFonts w:hint="eastAsia"/>
                <w:sz w:val="21"/>
                <w:szCs w:val="21"/>
              </w:rPr>
              <w:t>10</w:t>
            </w:r>
            <w:r>
              <w:rPr>
                <w:sz w:val="21"/>
                <w:szCs w:val="21"/>
              </w:rPr>
              <w:t>t</w:t>
            </w:r>
          </w:p>
        </w:tc>
        <w:tc>
          <w:tcPr>
            <w:tcW w:w="997" w:type="dxa"/>
            <w:vAlign w:val="center"/>
          </w:tcPr>
          <w:p w14:paraId="0EB8A07A">
            <w:pPr>
              <w:spacing w:line="240" w:lineRule="auto"/>
              <w:jc w:val="center"/>
              <w:rPr>
                <w:sz w:val="21"/>
                <w:szCs w:val="21"/>
              </w:rPr>
            </w:pPr>
            <w:r>
              <w:rPr>
                <w:rFonts w:hint="eastAsia"/>
                <w:sz w:val="21"/>
                <w:szCs w:val="21"/>
              </w:rPr>
              <w:t>0.3</w:t>
            </w:r>
          </w:p>
        </w:tc>
      </w:tr>
      <w:tr w14:paraId="1B12A8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0" w:type="dxa"/>
            <w:gridSpan w:val="2"/>
            <w:vMerge w:val="restart"/>
            <w:vAlign w:val="center"/>
          </w:tcPr>
          <w:p w14:paraId="427EFE01">
            <w:pPr>
              <w:spacing w:line="240" w:lineRule="auto"/>
              <w:jc w:val="center"/>
              <w:rPr>
                <w:sz w:val="21"/>
                <w:szCs w:val="21"/>
              </w:rPr>
            </w:pPr>
            <w:r>
              <w:rPr>
                <w:rFonts w:hint="eastAsia"/>
                <w:sz w:val="21"/>
                <w:szCs w:val="21"/>
              </w:rPr>
              <w:t>溶剂回收罐</w:t>
            </w:r>
          </w:p>
        </w:tc>
        <w:tc>
          <w:tcPr>
            <w:tcW w:w="1571" w:type="dxa"/>
            <w:vAlign w:val="center"/>
          </w:tcPr>
          <w:p w14:paraId="6899C18E">
            <w:pPr>
              <w:spacing w:line="240" w:lineRule="auto"/>
              <w:jc w:val="center"/>
              <w:rPr>
                <w:sz w:val="21"/>
                <w:szCs w:val="21"/>
              </w:rPr>
            </w:pPr>
            <w:r>
              <w:rPr>
                <w:rFonts w:hint="eastAsia"/>
                <w:sz w:val="21"/>
                <w:szCs w:val="21"/>
              </w:rPr>
              <w:t>乙酸乙酯</w:t>
            </w:r>
          </w:p>
        </w:tc>
        <w:tc>
          <w:tcPr>
            <w:tcW w:w="1014" w:type="dxa"/>
            <w:vAlign w:val="center"/>
          </w:tcPr>
          <w:p w14:paraId="4B44A102">
            <w:pPr>
              <w:spacing w:line="240" w:lineRule="auto"/>
              <w:jc w:val="center"/>
              <w:rPr>
                <w:sz w:val="21"/>
                <w:szCs w:val="21"/>
              </w:rPr>
            </w:pPr>
            <w:r>
              <w:rPr>
                <w:rFonts w:hint="eastAsia"/>
                <w:sz w:val="21"/>
                <w:szCs w:val="21"/>
              </w:rPr>
              <w:t>141-78-6</w:t>
            </w:r>
          </w:p>
        </w:tc>
        <w:tc>
          <w:tcPr>
            <w:tcW w:w="1513" w:type="dxa"/>
            <w:vAlign w:val="center"/>
          </w:tcPr>
          <w:p w14:paraId="6175B489">
            <w:pPr>
              <w:spacing w:line="240" w:lineRule="auto"/>
              <w:jc w:val="center"/>
              <w:rPr>
                <w:sz w:val="21"/>
                <w:szCs w:val="21"/>
              </w:rPr>
            </w:pPr>
            <w:r>
              <w:rPr>
                <w:rFonts w:hint="eastAsia"/>
                <w:sz w:val="21"/>
                <w:szCs w:val="21"/>
              </w:rPr>
              <w:t>61%</w:t>
            </w:r>
          </w:p>
        </w:tc>
        <w:tc>
          <w:tcPr>
            <w:tcW w:w="1039" w:type="dxa"/>
            <w:vAlign w:val="center"/>
          </w:tcPr>
          <w:p w14:paraId="78F41098">
            <w:pPr>
              <w:spacing w:line="240" w:lineRule="auto"/>
              <w:jc w:val="center"/>
              <w:rPr>
                <w:sz w:val="21"/>
                <w:szCs w:val="21"/>
              </w:rPr>
            </w:pPr>
            <w:r>
              <w:rPr>
                <w:rFonts w:hint="eastAsia"/>
                <w:sz w:val="21"/>
                <w:szCs w:val="21"/>
              </w:rPr>
              <w:t>11t</w:t>
            </w:r>
          </w:p>
        </w:tc>
        <w:tc>
          <w:tcPr>
            <w:tcW w:w="818" w:type="dxa"/>
            <w:vAlign w:val="center"/>
          </w:tcPr>
          <w:p w14:paraId="6909C183">
            <w:pPr>
              <w:spacing w:line="240" w:lineRule="auto"/>
              <w:jc w:val="center"/>
              <w:rPr>
                <w:sz w:val="21"/>
                <w:szCs w:val="21"/>
              </w:rPr>
            </w:pPr>
            <w:r>
              <w:rPr>
                <w:rFonts w:hint="eastAsia"/>
                <w:sz w:val="21"/>
                <w:szCs w:val="21"/>
              </w:rPr>
              <w:t>10t</w:t>
            </w:r>
          </w:p>
        </w:tc>
        <w:tc>
          <w:tcPr>
            <w:tcW w:w="997" w:type="dxa"/>
            <w:vAlign w:val="center"/>
          </w:tcPr>
          <w:p w14:paraId="49F9922B">
            <w:pPr>
              <w:spacing w:line="240" w:lineRule="auto"/>
              <w:jc w:val="center"/>
              <w:rPr>
                <w:sz w:val="21"/>
                <w:szCs w:val="21"/>
              </w:rPr>
            </w:pPr>
            <w:r>
              <w:rPr>
                <w:rFonts w:hint="eastAsia"/>
                <w:sz w:val="21"/>
                <w:szCs w:val="21"/>
              </w:rPr>
              <w:t>1.1</w:t>
            </w:r>
          </w:p>
        </w:tc>
      </w:tr>
      <w:tr w14:paraId="33ACA5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0" w:type="dxa"/>
            <w:gridSpan w:val="2"/>
            <w:vMerge w:val="continue"/>
            <w:vAlign w:val="center"/>
          </w:tcPr>
          <w:p w14:paraId="03598B45">
            <w:pPr>
              <w:spacing w:line="240" w:lineRule="auto"/>
              <w:jc w:val="center"/>
              <w:rPr>
                <w:sz w:val="21"/>
                <w:szCs w:val="21"/>
              </w:rPr>
            </w:pPr>
          </w:p>
        </w:tc>
        <w:tc>
          <w:tcPr>
            <w:tcW w:w="1571" w:type="dxa"/>
            <w:vAlign w:val="center"/>
          </w:tcPr>
          <w:p w14:paraId="706615CF">
            <w:pPr>
              <w:spacing w:line="240" w:lineRule="auto"/>
              <w:jc w:val="center"/>
              <w:rPr>
                <w:sz w:val="21"/>
                <w:szCs w:val="21"/>
              </w:rPr>
            </w:pPr>
            <w:r>
              <w:rPr>
                <w:rFonts w:hint="eastAsia"/>
                <w:sz w:val="21"/>
                <w:szCs w:val="21"/>
              </w:rPr>
              <w:t>异丙醇</w:t>
            </w:r>
          </w:p>
        </w:tc>
        <w:tc>
          <w:tcPr>
            <w:tcW w:w="1014" w:type="dxa"/>
            <w:vAlign w:val="center"/>
          </w:tcPr>
          <w:p w14:paraId="51FD500C">
            <w:pPr>
              <w:spacing w:line="240" w:lineRule="auto"/>
              <w:jc w:val="center"/>
              <w:rPr>
                <w:sz w:val="21"/>
                <w:szCs w:val="21"/>
              </w:rPr>
            </w:pPr>
            <w:r>
              <w:rPr>
                <w:rFonts w:hint="eastAsia"/>
                <w:sz w:val="21"/>
                <w:szCs w:val="21"/>
              </w:rPr>
              <w:t>67-63-0</w:t>
            </w:r>
          </w:p>
        </w:tc>
        <w:tc>
          <w:tcPr>
            <w:tcW w:w="1513" w:type="dxa"/>
            <w:vAlign w:val="center"/>
          </w:tcPr>
          <w:p w14:paraId="7B9FF166">
            <w:pPr>
              <w:spacing w:line="240" w:lineRule="auto"/>
              <w:jc w:val="center"/>
              <w:rPr>
                <w:sz w:val="21"/>
                <w:szCs w:val="21"/>
              </w:rPr>
            </w:pPr>
            <w:r>
              <w:rPr>
                <w:rFonts w:hint="eastAsia"/>
                <w:sz w:val="21"/>
                <w:szCs w:val="21"/>
              </w:rPr>
              <w:t>2.4%</w:t>
            </w:r>
          </w:p>
        </w:tc>
        <w:tc>
          <w:tcPr>
            <w:tcW w:w="1039" w:type="dxa"/>
            <w:vAlign w:val="center"/>
          </w:tcPr>
          <w:p w14:paraId="7EF00D0B">
            <w:pPr>
              <w:spacing w:line="240" w:lineRule="auto"/>
              <w:jc w:val="center"/>
              <w:rPr>
                <w:sz w:val="21"/>
                <w:szCs w:val="21"/>
              </w:rPr>
            </w:pPr>
            <w:r>
              <w:rPr>
                <w:rFonts w:hint="eastAsia"/>
                <w:sz w:val="21"/>
                <w:szCs w:val="21"/>
              </w:rPr>
              <w:t>0.38t</w:t>
            </w:r>
          </w:p>
        </w:tc>
        <w:tc>
          <w:tcPr>
            <w:tcW w:w="818" w:type="dxa"/>
            <w:vAlign w:val="center"/>
          </w:tcPr>
          <w:p w14:paraId="37452075">
            <w:pPr>
              <w:spacing w:line="240" w:lineRule="auto"/>
              <w:jc w:val="center"/>
              <w:rPr>
                <w:sz w:val="21"/>
                <w:szCs w:val="21"/>
              </w:rPr>
            </w:pPr>
            <w:r>
              <w:rPr>
                <w:rFonts w:hint="eastAsia"/>
                <w:sz w:val="21"/>
                <w:szCs w:val="21"/>
              </w:rPr>
              <w:t>10t</w:t>
            </w:r>
          </w:p>
        </w:tc>
        <w:tc>
          <w:tcPr>
            <w:tcW w:w="997" w:type="dxa"/>
            <w:vAlign w:val="center"/>
          </w:tcPr>
          <w:p w14:paraId="2EDA96D2">
            <w:pPr>
              <w:spacing w:line="240" w:lineRule="auto"/>
              <w:jc w:val="center"/>
              <w:rPr>
                <w:sz w:val="21"/>
                <w:szCs w:val="21"/>
              </w:rPr>
            </w:pPr>
            <w:r>
              <w:rPr>
                <w:rFonts w:hint="eastAsia"/>
                <w:sz w:val="21"/>
                <w:szCs w:val="21"/>
              </w:rPr>
              <w:t>0.038</w:t>
            </w:r>
          </w:p>
        </w:tc>
      </w:tr>
      <w:tr w14:paraId="4BB6FB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0" w:type="dxa"/>
            <w:gridSpan w:val="2"/>
            <w:vAlign w:val="center"/>
          </w:tcPr>
          <w:p w14:paraId="46AA5A88">
            <w:pPr>
              <w:spacing w:line="240" w:lineRule="auto"/>
              <w:jc w:val="center"/>
              <w:rPr>
                <w:sz w:val="21"/>
                <w:szCs w:val="21"/>
              </w:rPr>
            </w:pPr>
            <w:r>
              <w:rPr>
                <w:rFonts w:hint="eastAsia"/>
                <w:sz w:val="21"/>
                <w:szCs w:val="21"/>
              </w:rPr>
              <w:t>天然气</w:t>
            </w:r>
          </w:p>
        </w:tc>
        <w:tc>
          <w:tcPr>
            <w:tcW w:w="1571" w:type="dxa"/>
            <w:vAlign w:val="center"/>
          </w:tcPr>
          <w:p w14:paraId="1C3ED4FB">
            <w:pPr>
              <w:spacing w:line="240" w:lineRule="auto"/>
              <w:jc w:val="center"/>
              <w:rPr>
                <w:sz w:val="21"/>
                <w:szCs w:val="21"/>
              </w:rPr>
            </w:pPr>
            <w:r>
              <w:rPr>
                <w:rFonts w:hint="eastAsia"/>
                <w:sz w:val="21"/>
                <w:szCs w:val="21"/>
              </w:rPr>
              <w:t>甲烷</w:t>
            </w:r>
          </w:p>
        </w:tc>
        <w:tc>
          <w:tcPr>
            <w:tcW w:w="1014" w:type="dxa"/>
            <w:vAlign w:val="center"/>
          </w:tcPr>
          <w:p w14:paraId="2E57C84D">
            <w:pPr>
              <w:spacing w:line="240" w:lineRule="auto"/>
              <w:jc w:val="center"/>
              <w:rPr>
                <w:sz w:val="21"/>
                <w:szCs w:val="21"/>
              </w:rPr>
            </w:pPr>
            <w:r>
              <w:rPr>
                <w:rFonts w:hint="eastAsia"/>
                <w:sz w:val="21"/>
                <w:szCs w:val="21"/>
              </w:rPr>
              <w:t>74-82-8</w:t>
            </w:r>
          </w:p>
        </w:tc>
        <w:tc>
          <w:tcPr>
            <w:tcW w:w="1513" w:type="dxa"/>
            <w:vAlign w:val="center"/>
          </w:tcPr>
          <w:p w14:paraId="53D981A6">
            <w:pPr>
              <w:spacing w:line="240" w:lineRule="auto"/>
              <w:jc w:val="center"/>
              <w:rPr>
                <w:sz w:val="21"/>
                <w:szCs w:val="21"/>
              </w:rPr>
            </w:pPr>
            <w:r>
              <w:rPr>
                <w:rFonts w:hint="eastAsia"/>
                <w:sz w:val="21"/>
                <w:szCs w:val="21"/>
              </w:rPr>
              <w:t>0.0007t</w:t>
            </w:r>
          </w:p>
          <w:p w14:paraId="17613E48">
            <w:pPr>
              <w:spacing w:line="240" w:lineRule="auto"/>
              <w:jc w:val="center"/>
              <w:rPr>
                <w:sz w:val="21"/>
                <w:szCs w:val="21"/>
              </w:rPr>
            </w:pPr>
            <w:r>
              <w:rPr>
                <w:rFonts w:hint="eastAsia"/>
                <w:sz w:val="21"/>
                <w:szCs w:val="21"/>
              </w:rPr>
              <w:t>（在线量）</w:t>
            </w:r>
          </w:p>
        </w:tc>
        <w:tc>
          <w:tcPr>
            <w:tcW w:w="1039" w:type="dxa"/>
            <w:vAlign w:val="center"/>
          </w:tcPr>
          <w:p w14:paraId="0CA722BE">
            <w:pPr>
              <w:spacing w:line="240" w:lineRule="auto"/>
              <w:jc w:val="center"/>
              <w:rPr>
                <w:sz w:val="21"/>
                <w:szCs w:val="21"/>
              </w:rPr>
            </w:pPr>
            <w:r>
              <w:rPr>
                <w:rFonts w:hint="eastAsia"/>
                <w:sz w:val="21"/>
                <w:szCs w:val="21"/>
              </w:rPr>
              <w:t>0.0007t</w:t>
            </w:r>
          </w:p>
        </w:tc>
        <w:tc>
          <w:tcPr>
            <w:tcW w:w="818" w:type="dxa"/>
            <w:vAlign w:val="center"/>
          </w:tcPr>
          <w:p w14:paraId="58DBAB28">
            <w:pPr>
              <w:spacing w:line="240" w:lineRule="auto"/>
              <w:jc w:val="center"/>
              <w:rPr>
                <w:sz w:val="21"/>
                <w:szCs w:val="21"/>
              </w:rPr>
            </w:pPr>
            <w:r>
              <w:rPr>
                <w:rFonts w:hint="eastAsia"/>
                <w:sz w:val="21"/>
                <w:szCs w:val="21"/>
              </w:rPr>
              <w:t>10t</w:t>
            </w:r>
          </w:p>
        </w:tc>
        <w:tc>
          <w:tcPr>
            <w:tcW w:w="997" w:type="dxa"/>
            <w:vAlign w:val="center"/>
          </w:tcPr>
          <w:p w14:paraId="238CA788">
            <w:pPr>
              <w:spacing w:line="240" w:lineRule="auto"/>
              <w:jc w:val="center"/>
              <w:rPr>
                <w:sz w:val="21"/>
                <w:szCs w:val="21"/>
              </w:rPr>
            </w:pPr>
            <w:r>
              <w:rPr>
                <w:rFonts w:hint="eastAsia"/>
                <w:sz w:val="21"/>
                <w:szCs w:val="21"/>
              </w:rPr>
              <w:t>0.00007</w:t>
            </w:r>
          </w:p>
        </w:tc>
      </w:tr>
      <w:tr w14:paraId="79D7F4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0" w:type="dxa"/>
            <w:gridSpan w:val="2"/>
            <w:vAlign w:val="center"/>
          </w:tcPr>
          <w:p w14:paraId="06799BED">
            <w:pPr>
              <w:spacing w:line="240" w:lineRule="auto"/>
              <w:jc w:val="center"/>
              <w:rPr>
                <w:sz w:val="21"/>
                <w:szCs w:val="21"/>
              </w:rPr>
            </w:pPr>
            <w:r>
              <w:rPr>
                <w:rFonts w:hint="eastAsia"/>
                <w:sz w:val="21"/>
                <w:szCs w:val="21"/>
              </w:rPr>
              <w:t>润滑油</w:t>
            </w:r>
          </w:p>
        </w:tc>
        <w:tc>
          <w:tcPr>
            <w:tcW w:w="1571" w:type="dxa"/>
            <w:vAlign w:val="center"/>
          </w:tcPr>
          <w:p w14:paraId="1EBC28E9">
            <w:pPr>
              <w:spacing w:line="240" w:lineRule="auto"/>
              <w:jc w:val="center"/>
              <w:rPr>
                <w:sz w:val="21"/>
                <w:szCs w:val="21"/>
              </w:rPr>
            </w:pPr>
            <w:r>
              <w:rPr>
                <w:rFonts w:hint="eastAsia"/>
                <w:sz w:val="21"/>
                <w:szCs w:val="21"/>
              </w:rPr>
              <w:t>油类物质（矿物油类）</w:t>
            </w:r>
          </w:p>
        </w:tc>
        <w:tc>
          <w:tcPr>
            <w:tcW w:w="1014" w:type="dxa"/>
            <w:vAlign w:val="center"/>
          </w:tcPr>
          <w:p w14:paraId="275940F8">
            <w:pPr>
              <w:spacing w:line="240" w:lineRule="auto"/>
              <w:jc w:val="center"/>
              <w:rPr>
                <w:sz w:val="21"/>
                <w:szCs w:val="21"/>
              </w:rPr>
            </w:pPr>
            <w:r>
              <w:rPr>
                <w:rFonts w:hint="eastAsia"/>
                <w:sz w:val="21"/>
                <w:szCs w:val="21"/>
              </w:rPr>
              <w:t>/</w:t>
            </w:r>
          </w:p>
        </w:tc>
        <w:tc>
          <w:tcPr>
            <w:tcW w:w="1513" w:type="dxa"/>
            <w:vAlign w:val="center"/>
          </w:tcPr>
          <w:p w14:paraId="74184CD4">
            <w:pPr>
              <w:spacing w:line="240" w:lineRule="auto"/>
              <w:jc w:val="center"/>
              <w:rPr>
                <w:sz w:val="21"/>
                <w:szCs w:val="21"/>
              </w:rPr>
            </w:pPr>
            <w:r>
              <w:rPr>
                <w:rFonts w:hint="eastAsia"/>
                <w:sz w:val="21"/>
                <w:szCs w:val="21"/>
              </w:rPr>
              <w:t>0.8t/a</w:t>
            </w:r>
          </w:p>
        </w:tc>
        <w:tc>
          <w:tcPr>
            <w:tcW w:w="1039" w:type="dxa"/>
            <w:vAlign w:val="center"/>
          </w:tcPr>
          <w:p w14:paraId="1B7C3329">
            <w:pPr>
              <w:spacing w:line="240" w:lineRule="auto"/>
              <w:jc w:val="center"/>
              <w:rPr>
                <w:sz w:val="21"/>
                <w:szCs w:val="21"/>
              </w:rPr>
            </w:pPr>
            <w:r>
              <w:rPr>
                <w:rFonts w:hint="eastAsia"/>
                <w:sz w:val="21"/>
                <w:szCs w:val="21"/>
              </w:rPr>
              <w:t>0.8t/a</w:t>
            </w:r>
          </w:p>
        </w:tc>
        <w:tc>
          <w:tcPr>
            <w:tcW w:w="818" w:type="dxa"/>
            <w:vAlign w:val="center"/>
          </w:tcPr>
          <w:p w14:paraId="41BBC059">
            <w:pPr>
              <w:spacing w:line="240" w:lineRule="auto"/>
              <w:jc w:val="center"/>
              <w:rPr>
                <w:sz w:val="21"/>
                <w:szCs w:val="21"/>
              </w:rPr>
            </w:pPr>
            <w:r>
              <w:rPr>
                <w:rFonts w:hint="eastAsia"/>
                <w:sz w:val="21"/>
                <w:szCs w:val="21"/>
              </w:rPr>
              <w:t>2500t</w:t>
            </w:r>
          </w:p>
        </w:tc>
        <w:tc>
          <w:tcPr>
            <w:tcW w:w="997" w:type="dxa"/>
            <w:vAlign w:val="center"/>
          </w:tcPr>
          <w:p w14:paraId="11DACAEE">
            <w:pPr>
              <w:spacing w:line="240" w:lineRule="auto"/>
              <w:jc w:val="center"/>
              <w:rPr>
                <w:sz w:val="21"/>
                <w:szCs w:val="21"/>
              </w:rPr>
            </w:pPr>
            <w:r>
              <w:rPr>
                <w:rFonts w:hint="eastAsia"/>
                <w:sz w:val="21"/>
                <w:szCs w:val="21"/>
              </w:rPr>
              <w:t>0.0003</w:t>
            </w:r>
          </w:p>
        </w:tc>
      </w:tr>
      <w:tr w14:paraId="0FBED0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0" w:type="dxa"/>
            <w:gridSpan w:val="2"/>
            <w:vAlign w:val="center"/>
          </w:tcPr>
          <w:p w14:paraId="5EAA28DD">
            <w:pPr>
              <w:spacing w:line="240" w:lineRule="auto"/>
              <w:jc w:val="center"/>
              <w:rPr>
                <w:sz w:val="21"/>
                <w:szCs w:val="21"/>
              </w:rPr>
            </w:pPr>
            <w:r>
              <w:rPr>
                <w:rFonts w:hint="eastAsia"/>
                <w:sz w:val="21"/>
                <w:szCs w:val="21"/>
              </w:rPr>
              <w:t>导热油</w:t>
            </w:r>
          </w:p>
        </w:tc>
        <w:tc>
          <w:tcPr>
            <w:tcW w:w="1571" w:type="dxa"/>
            <w:vAlign w:val="center"/>
          </w:tcPr>
          <w:p w14:paraId="4D2E4B88">
            <w:pPr>
              <w:spacing w:line="240" w:lineRule="auto"/>
              <w:jc w:val="center"/>
              <w:rPr>
                <w:sz w:val="21"/>
                <w:szCs w:val="21"/>
              </w:rPr>
            </w:pPr>
            <w:r>
              <w:rPr>
                <w:rFonts w:hint="eastAsia"/>
                <w:sz w:val="21"/>
                <w:szCs w:val="21"/>
              </w:rPr>
              <w:t>油类物质（矿物油类）</w:t>
            </w:r>
          </w:p>
        </w:tc>
        <w:tc>
          <w:tcPr>
            <w:tcW w:w="1014" w:type="dxa"/>
            <w:vAlign w:val="center"/>
          </w:tcPr>
          <w:p w14:paraId="6C2EC1B3">
            <w:pPr>
              <w:spacing w:line="240" w:lineRule="auto"/>
              <w:jc w:val="center"/>
              <w:rPr>
                <w:sz w:val="21"/>
                <w:szCs w:val="21"/>
              </w:rPr>
            </w:pPr>
            <w:r>
              <w:rPr>
                <w:rFonts w:hint="eastAsia"/>
                <w:sz w:val="21"/>
                <w:szCs w:val="21"/>
              </w:rPr>
              <w:t>/</w:t>
            </w:r>
          </w:p>
        </w:tc>
        <w:tc>
          <w:tcPr>
            <w:tcW w:w="1513" w:type="dxa"/>
            <w:vAlign w:val="center"/>
          </w:tcPr>
          <w:p w14:paraId="7FD76E45">
            <w:pPr>
              <w:spacing w:line="240" w:lineRule="auto"/>
              <w:jc w:val="center"/>
              <w:rPr>
                <w:sz w:val="21"/>
                <w:szCs w:val="21"/>
              </w:rPr>
            </w:pPr>
            <w:r>
              <w:rPr>
                <w:rFonts w:hint="eastAsia"/>
                <w:sz w:val="21"/>
                <w:szCs w:val="21"/>
              </w:rPr>
              <w:t>2t/a</w:t>
            </w:r>
          </w:p>
        </w:tc>
        <w:tc>
          <w:tcPr>
            <w:tcW w:w="1039" w:type="dxa"/>
            <w:vAlign w:val="center"/>
          </w:tcPr>
          <w:p w14:paraId="258D85CC">
            <w:pPr>
              <w:spacing w:line="240" w:lineRule="auto"/>
              <w:jc w:val="center"/>
              <w:rPr>
                <w:sz w:val="21"/>
                <w:szCs w:val="21"/>
              </w:rPr>
            </w:pPr>
            <w:r>
              <w:rPr>
                <w:rFonts w:hint="eastAsia"/>
                <w:sz w:val="21"/>
                <w:szCs w:val="21"/>
              </w:rPr>
              <w:t>2t/a</w:t>
            </w:r>
          </w:p>
        </w:tc>
        <w:tc>
          <w:tcPr>
            <w:tcW w:w="818" w:type="dxa"/>
            <w:vAlign w:val="center"/>
          </w:tcPr>
          <w:p w14:paraId="03CB9E4B">
            <w:pPr>
              <w:spacing w:line="240" w:lineRule="auto"/>
              <w:jc w:val="center"/>
              <w:rPr>
                <w:sz w:val="21"/>
                <w:szCs w:val="21"/>
              </w:rPr>
            </w:pPr>
            <w:r>
              <w:rPr>
                <w:rFonts w:hint="eastAsia"/>
                <w:sz w:val="21"/>
                <w:szCs w:val="21"/>
              </w:rPr>
              <w:t>2500t</w:t>
            </w:r>
          </w:p>
        </w:tc>
        <w:tc>
          <w:tcPr>
            <w:tcW w:w="997" w:type="dxa"/>
            <w:vAlign w:val="center"/>
          </w:tcPr>
          <w:p w14:paraId="5FF9FE41">
            <w:pPr>
              <w:spacing w:line="240" w:lineRule="auto"/>
              <w:jc w:val="center"/>
              <w:rPr>
                <w:sz w:val="21"/>
                <w:szCs w:val="21"/>
              </w:rPr>
            </w:pPr>
            <w:r>
              <w:rPr>
                <w:rFonts w:hint="eastAsia"/>
                <w:sz w:val="21"/>
                <w:szCs w:val="21"/>
              </w:rPr>
              <w:t>0.0008</w:t>
            </w:r>
          </w:p>
        </w:tc>
      </w:tr>
      <w:tr w14:paraId="0ADE2C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25" w:type="dxa"/>
            <w:gridSpan w:val="7"/>
            <w:vAlign w:val="center"/>
          </w:tcPr>
          <w:p w14:paraId="63F9C9B1">
            <w:pPr>
              <w:spacing w:line="240" w:lineRule="auto"/>
              <w:jc w:val="center"/>
              <w:rPr>
                <w:sz w:val="21"/>
                <w:szCs w:val="21"/>
              </w:rPr>
            </w:pPr>
            <w:r>
              <w:rPr>
                <w:sz w:val="21"/>
                <w:szCs w:val="21"/>
              </w:rPr>
              <w:t>合计</w:t>
            </w:r>
          </w:p>
        </w:tc>
        <w:tc>
          <w:tcPr>
            <w:tcW w:w="997" w:type="dxa"/>
            <w:vAlign w:val="center"/>
          </w:tcPr>
          <w:p w14:paraId="2EDFA12E">
            <w:pPr>
              <w:spacing w:line="240" w:lineRule="auto"/>
              <w:jc w:val="center"/>
              <w:rPr>
                <w:sz w:val="21"/>
                <w:szCs w:val="21"/>
              </w:rPr>
            </w:pPr>
            <w:r>
              <w:rPr>
                <w:rFonts w:hint="eastAsia"/>
                <w:sz w:val="21"/>
                <w:szCs w:val="21"/>
              </w:rPr>
              <w:t>4.1</w:t>
            </w:r>
          </w:p>
        </w:tc>
      </w:tr>
    </w:tbl>
    <w:p w14:paraId="3B5E1BF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7.2.2</w:t>
      </w:r>
      <w:r>
        <w:rPr>
          <w:rFonts w:hint="eastAsia"/>
        </w:rPr>
        <w:t>风险潜势初判</w:t>
      </w:r>
    </w:p>
    <w:p w14:paraId="47174277">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7.2.2.1</w:t>
      </w:r>
      <w:r>
        <w:rPr>
          <w:rFonts w:hint="eastAsia"/>
        </w:rPr>
        <w:t>危险物质及工艺系统危险性（P）的分级确定</w:t>
      </w:r>
    </w:p>
    <w:p w14:paraId="5F267F94">
      <w:pPr>
        <w:ind w:firstLine="480"/>
        <w:rPr>
          <w:rFonts w:eastAsiaTheme="minorEastAsia"/>
        </w:rPr>
      </w:pPr>
      <w:r>
        <w:rPr>
          <w:rFonts w:eastAsiaTheme="minorEastAsia"/>
        </w:rPr>
        <w:t>⑴危险物质数量与临界量的比值</w:t>
      </w:r>
      <w:r>
        <w:rPr>
          <w:rFonts w:hint="eastAsia" w:eastAsiaTheme="minorEastAsia"/>
        </w:rPr>
        <w:t>（Q）</w:t>
      </w:r>
    </w:p>
    <w:p w14:paraId="15329257">
      <w:pPr>
        <w:overflowPunct w:val="0"/>
        <w:autoSpaceDE w:val="0"/>
        <w:autoSpaceDN w:val="0"/>
        <w:adjustRightInd w:val="0"/>
        <w:ind w:firstLine="480"/>
      </w:pPr>
      <w:r>
        <w:t>根据《建设项目环境风险评价技术导则》（HJ169-2018）附录C，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14:paraId="16D956D5">
      <w:pPr>
        <w:overflowPunct w:val="0"/>
        <w:autoSpaceDE w:val="0"/>
        <w:autoSpaceDN w:val="0"/>
        <w:adjustRightInd w:val="0"/>
        <w:ind w:firstLine="480"/>
      </w:pPr>
      <w:r>
        <w:t>当只涉及一种危险物质时，计算该物质的总量与其临界量比值，即为Q；当存在多种危险物质时，则按下式计算物质总量与其临界量比值（Q）：</w:t>
      </w:r>
    </w:p>
    <w:p w14:paraId="665EE9A4">
      <w:pPr>
        <w:overflowPunct w:val="0"/>
        <w:autoSpaceDE w:val="0"/>
        <w:autoSpaceDN w:val="0"/>
        <w:adjustRightInd w:val="0"/>
        <w:ind w:firstLine="480"/>
        <w:jc w:val="center"/>
      </w:pPr>
      <w:r>
        <w:drawing>
          <wp:inline distT="0" distB="0" distL="114300" distR="114300">
            <wp:extent cx="2228850" cy="561975"/>
            <wp:effectExtent l="0" t="0" r="0" b="9525"/>
            <wp:docPr id="1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4"/>
                    <pic:cNvPicPr>
                      <a:picLocks noChangeAspect="1"/>
                    </pic:cNvPicPr>
                  </pic:nvPicPr>
                  <pic:blipFill>
                    <a:blip r:embed="rId137">
                      <a:lum/>
                    </a:blip>
                    <a:stretch>
                      <a:fillRect/>
                    </a:stretch>
                  </pic:blipFill>
                  <pic:spPr>
                    <a:xfrm>
                      <a:off x="0" y="0"/>
                      <a:ext cx="2228850" cy="561975"/>
                    </a:xfrm>
                    <a:prstGeom prst="rect">
                      <a:avLst/>
                    </a:prstGeom>
                    <a:noFill/>
                    <a:ln>
                      <a:noFill/>
                    </a:ln>
                  </pic:spPr>
                </pic:pic>
              </a:graphicData>
            </a:graphic>
          </wp:inline>
        </w:drawing>
      </w:r>
    </w:p>
    <w:p w14:paraId="46A2FF65">
      <w:pPr>
        <w:overflowPunct w:val="0"/>
        <w:autoSpaceDE w:val="0"/>
        <w:autoSpaceDN w:val="0"/>
        <w:adjustRightInd w:val="0"/>
        <w:ind w:firstLine="480"/>
      </w:pPr>
      <w:r>
        <w:t>式中，q1，q2，....，qn—每种危险物质的最大存在总量，t；</w:t>
      </w:r>
    </w:p>
    <w:p w14:paraId="00D196FD">
      <w:pPr>
        <w:overflowPunct w:val="0"/>
        <w:autoSpaceDE w:val="0"/>
        <w:autoSpaceDN w:val="0"/>
        <w:adjustRightInd w:val="0"/>
        <w:ind w:firstLine="480"/>
      </w:pPr>
      <w:r>
        <w:t>Q1，Q2，....，Qn—每种危险物质的临界量，t。</w:t>
      </w:r>
    </w:p>
    <w:p w14:paraId="21F928BE">
      <w:pPr>
        <w:overflowPunct w:val="0"/>
        <w:autoSpaceDE w:val="0"/>
        <w:autoSpaceDN w:val="0"/>
        <w:adjustRightInd w:val="0"/>
        <w:ind w:firstLine="480"/>
      </w:pPr>
      <w:r>
        <w:t>当Q＜1时，该项目环境风险潜势为Ⅰ。</w:t>
      </w:r>
    </w:p>
    <w:p w14:paraId="77DFE1DA">
      <w:pPr>
        <w:ind w:firstLine="480"/>
      </w:pPr>
      <w:r>
        <w:t>当Q≥1时，将Q值划分为：（1）1≤Q＜10；（2）10≤Q＜100；（3）Q≥100。</w:t>
      </w:r>
    </w:p>
    <w:p w14:paraId="3FF90148">
      <w:pPr>
        <w:ind w:firstLine="480"/>
      </w:pPr>
      <w:r>
        <w:t>项目</w:t>
      </w:r>
      <w:r>
        <w:rPr>
          <w:rFonts w:hint="eastAsia"/>
        </w:rPr>
        <w:t>涉及主要风险源来自粘合剂、稀释剂、润滑油、天然气中的有毒有害组分，主要有乙酸乙酯、异丙醇、甲烷、矿物油，由表6.2-2可知，本项目Q值=4.1，属于</w:t>
      </w:r>
      <w:r>
        <w:t>1≤Q＜10</w:t>
      </w:r>
      <w:r>
        <w:rPr>
          <w:rFonts w:hint="eastAsia"/>
        </w:rPr>
        <w:t>范围。</w:t>
      </w:r>
    </w:p>
    <w:p w14:paraId="3D797AC4">
      <w:pPr>
        <w:pStyle w:val="38"/>
        <w:ind w:firstLine="480"/>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2</w:t>
      </w:r>
      <w:r>
        <w:rPr>
          <w:rFonts w:ascii="Times New Roman" w:hAnsi="Times New Roman" w:eastAsia="宋体" w:cs="Times New Roman"/>
          <w:color w:val="auto"/>
        </w:rPr>
        <w:t>）行业及生产工艺特点（M）</w:t>
      </w:r>
    </w:p>
    <w:p w14:paraId="425D23E7">
      <w:pPr>
        <w:pStyle w:val="40"/>
        <w:spacing w:line="360" w:lineRule="auto"/>
        <w:ind w:firstLine="480"/>
        <w:rPr>
          <w:rFonts w:ascii="Times New Roman"/>
        </w:rPr>
      </w:pPr>
      <w:r>
        <w:rPr>
          <w:rFonts w:hint="eastAsia" w:ascii="Times New Roman"/>
        </w:rPr>
        <w:t>本项目生产工艺较为简单，属于涉及危险物质使用、贮存的项目，同时本项目生产工艺过程中反应温度均低于300℃，容器压力均小于10.0MPa，不涉及高温或高压工艺过程。分析项目所属行业及生产工艺特点，按照下表评估生产工艺情况。将M划分为（1）M＞20；（2）10＜M≤20；（3）5＜M≤10；（4）Q=5，分别以M1、M2、M3、M4表示。由下表可知，</w:t>
      </w:r>
      <w:r>
        <w:rPr>
          <w:rFonts w:hint="eastAsia" w:ascii="Times New Roman"/>
          <w:b/>
          <w:bCs/>
        </w:rPr>
        <w:t>项目M值=10，属于M3类。</w:t>
      </w:r>
    </w:p>
    <w:p w14:paraId="0F71E524">
      <w:pPr>
        <w:pStyle w:val="51"/>
        <w:numPr>
          <w:ilvl w:val="5"/>
          <w:numId w:val="0"/>
        </w:numPr>
        <w:tabs>
          <w:tab w:val="left" w:pos="4395"/>
        </w:tabs>
        <w:spacing w:before="156"/>
        <w:ind w:left="4969" w:leftChars="1054" w:hanging="2439" w:hangingChars="1157"/>
        <w:jc w:val="both"/>
      </w:pPr>
      <w:r>
        <w:rPr>
          <w:rFonts w:hint="default" w:ascii="宋体" w:hAnsi="宋体" w:eastAsia="宋体" w:cs="宋体"/>
          <w:b/>
          <w:bCs/>
          <w:color w:val="auto"/>
          <w:kern w:val="2"/>
          <w:sz w:val="21"/>
          <w:szCs w:val="21"/>
          <w:lang w:val="en-US" w:eastAsia="zh-CN" w:bidi="ar-SA"/>
        </w:rPr>
        <w:t xml:space="preserve">表7.2-3 </w:t>
      </w:r>
      <w:r>
        <w:rPr>
          <w:rFonts w:hint="eastAsia" w:ascii="宋体" w:hAnsi="宋体" w:cs="宋体"/>
          <w:b/>
          <w:bCs/>
          <w:color w:val="auto"/>
          <w:kern w:val="2"/>
          <w:sz w:val="21"/>
          <w:szCs w:val="21"/>
          <w:lang w:val="en-US" w:eastAsia="zh-CN" w:bidi="ar-SA"/>
        </w:rPr>
        <w:t xml:space="preserve"> </w:t>
      </w:r>
      <w:r>
        <w:rPr>
          <w:rFonts w:hint="eastAsia"/>
        </w:rPr>
        <w:t>行业及生产工艺</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3282"/>
        <w:gridCol w:w="1910"/>
        <w:gridCol w:w="1200"/>
      </w:tblGrid>
      <w:tr w14:paraId="2D93D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tcBorders>
              <w:top w:val="single" w:color="auto" w:sz="12" w:space="0"/>
              <w:left w:val="single" w:color="auto" w:sz="12" w:space="0"/>
            </w:tcBorders>
            <w:vAlign w:val="center"/>
          </w:tcPr>
          <w:p w14:paraId="572AC287">
            <w:pPr>
              <w:spacing w:line="240" w:lineRule="auto"/>
              <w:jc w:val="center"/>
              <w:rPr>
                <w:sz w:val="21"/>
                <w:szCs w:val="21"/>
              </w:rPr>
            </w:pPr>
            <w:r>
              <w:rPr>
                <w:sz w:val="21"/>
                <w:szCs w:val="21"/>
              </w:rPr>
              <w:t>行业</w:t>
            </w:r>
          </w:p>
        </w:tc>
        <w:tc>
          <w:tcPr>
            <w:tcW w:w="3282" w:type="dxa"/>
            <w:tcBorders>
              <w:top w:val="single" w:color="auto" w:sz="12" w:space="0"/>
            </w:tcBorders>
            <w:vAlign w:val="center"/>
          </w:tcPr>
          <w:p w14:paraId="6C8BAEEF">
            <w:pPr>
              <w:spacing w:line="240" w:lineRule="auto"/>
              <w:jc w:val="center"/>
              <w:rPr>
                <w:sz w:val="21"/>
                <w:szCs w:val="21"/>
              </w:rPr>
            </w:pPr>
            <w:r>
              <w:rPr>
                <w:sz w:val="21"/>
                <w:szCs w:val="21"/>
              </w:rPr>
              <w:t>评估依据</w:t>
            </w:r>
          </w:p>
        </w:tc>
        <w:tc>
          <w:tcPr>
            <w:tcW w:w="1910" w:type="dxa"/>
            <w:tcBorders>
              <w:top w:val="single" w:color="auto" w:sz="12" w:space="0"/>
            </w:tcBorders>
            <w:vAlign w:val="center"/>
          </w:tcPr>
          <w:p w14:paraId="2CF8088C">
            <w:pPr>
              <w:spacing w:line="240" w:lineRule="auto"/>
              <w:jc w:val="center"/>
              <w:rPr>
                <w:sz w:val="21"/>
                <w:szCs w:val="21"/>
              </w:rPr>
            </w:pPr>
            <w:r>
              <w:rPr>
                <w:sz w:val="21"/>
                <w:szCs w:val="21"/>
              </w:rPr>
              <w:t>分值</w:t>
            </w:r>
          </w:p>
        </w:tc>
        <w:tc>
          <w:tcPr>
            <w:tcW w:w="1200" w:type="dxa"/>
            <w:tcBorders>
              <w:top w:val="single" w:color="auto" w:sz="12" w:space="0"/>
              <w:right w:val="single" w:color="auto" w:sz="12" w:space="0"/>
            </w:tcBorders>
            <w:vAlign w:val="center"/>
          </w:tcPr>
          <w:p w14:paraId="136EAD0A">
            <w:pPr>
              <w:spacing w:line="240" w:lineRule="auto"/>
              <w:jc w:val="center"/>
              <w:rPr>
                <w:sz w:val="21"/>
                <w:szCs w:val="21"/>
              </w:rPr>
            </w:pPr>
            <w:r>
              <w:rPr>
                <w:sz w:val="21"/>
                <w:szCs w:val="21"/>
              </w:rPr>
              <w:t>分数</w:t>
            </w:r>
          </w:p>
        </w:tc>
      </w:tr>
      <w:tr w14:paraId="1318D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vMerge w:val="restart"/>
            <w:tcBorders>
              <w:left w:val="single" w:color="auto" w:sz="12" w:space="0"/>
            </w:tcBorders>
            <w:vAlign w:val="center"/>
          </w:tcPr>
          <w:p w14:paraId="652C5775">
            <w:pPr>
              <w:spacing w:line="240" w:lineRule="auto"/>
              <w:jc w:val="center"/>
              <w:rPr>
                <w:sz w:val="21"/>
                <w:szCs w:val="21"/>
              </w:rPr>
            </w:pPr>
            <w:r>
              <w:rPr>
                <w:sz w:val="21"/>
                <w:szCs w:val="21"/>
              </w:rPr>
              <w:t>石化、化工、医药、轻工、化纤、有色冶炼等</w:t>
            </w:r>
          </w:p>
        </w:tc>
        <w:tc>
          <w:tcPr>
            <w:tcW w:w="3282" w:type="dxa"/>
            <w:vAlign w:val="center"/>
          </w:tcPr>
          <w:p w14:paraId="7C58AD20">
            <w:pPr>
              <w:spacing w:line="240" w:lineRule="auto"/>
              <w:jc w:val="left"/>
              <w:rPr>
                <w:sz w:val="21"/>
                <w:szCs w:val="21"/>
              </w:rPr>
            </w:pPr>
            <w:r>
              <w:rPr>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910" w:type="dxa"/>
            <w:vAlign w:val="center"/>
          </w:tcPr>
          <w:p w14:paraId="69F74015">
            <w:pPr>
              <w:spacing w:line="240" w:lineRule="auto"/>
              <w:jc w:val="center"/>
              <w:rPr>
                <w:sz w:val="21"/>
                <w:szCs w:val="21"/>
              </w:rPr>
            </w:pPr>
            <w:r>
              <w:rPr>
                <w:rFonts w:hint="eastAsia"/>
                <w:sz w:val="21"/>
                <w:szCs w:val="21"/>
              </w:rPr>
              <w:t>10/套</w:t>
            </w:r>
          </w:p>
        </w:tc>
        <w:tc>
          <w:tcPr>
            <w:tcW w:w="1200" w:type="dxa"/>
            <w:tcBorders>
              <w:right w:val="single" w:color="auto" w:sz="12" w:space="0"/>
            </w:tcBorders>
            <w:vAlign w:val="center"/>
          </w:tcPr>
          <w:p w14:paraId="2E8FEE4F">
            <w:pPr>
              <w:spacing w:line="240" w:lineRule="auto"/>
              <w:jc w:val="center"/>
              <w:rPr>
                <w:sz w:val="21"/>
                <w:szCs w:val="21"/>
              </w:rPr>
            </w:pPr>
            <w:r>
              <w:rPr>
                <w:rFonts w:hint="eastAsia"/>
                <w:sz w:val="21"/>
                <w:szCs w:val="21"/>
              </w:rPr>
              <w:t>0</w:t>
            </w:r>
          </w:p>
        </w:tc>
      </w:tr>
      <w:tr w14:paraId="7BE5A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vMerge w:val="continue"/>
            <w:tcBorders>
              <w:left w:val="single" w:color="auto" w:sz="12" w:space="0"/>
            </w:tcBorders>
            <w:vAlign w:val="center"/>
          </w:tcPr>
          <w:p w14:paraId="5D9B52F6">
            <w:pPr>
              <w:spacing w:line="240" w:lineRule="auto"/>
              <w:jc w:val="center"/>
              <w:rPr>
                <w:sz w:val="21"/>
                <w:szCs w:val="21"/>
              </w:rPr>
            </w:pPr>
            <w:r>
              <w:rPr>
                <w:rFonts w:hint="eastAsia"/>
                <w:sz w:val="21"/>
                <w:szCs w:val="21"/>
              </w:rPr>
              <w:t xml:space="preserve"> </w:t>
            </w:r>
          </w:p>
        </w:tc>
        <w:tc>
          <w:tcPr>
            <w:tcW w:w="3282" w:type="dxa"/>
            <w:vAlign w:val="center"/>
          </w:tcPr>
          <w:p w14:paraId="3D9F8605">
            <w:pPr>
              <w:spacing w:line="240" w:lineRule="auto"/>
              <w:jc w:val="left"/>
              <w:rPr>
                <w:sz w:val="21"/>
                <w:szCs w:val="21"/>
              </w:rPr>
            </w:pPr>
            <w:r>
              <w:rPr>
                <w:sz w:val="21"/>
                <w:szCs w:val="21"/>
              </w:rPr>
              <w:t>无机酸制酸工艺、焦化工艺</w:t>
            </w:r>
          </w:p>
        </w:tc>
        <w:tc>
          <w:tcPr>
            <w:tcW w:w="1910" w:type="dxa"/>
            <w:vAlign w:val="center"/>
          </w:tcPr>
          <w:p w14:paraId="0A3C52A7">
            <w:pPr>
              <w:spacing w:line="240" w:lineRule="auto"/>
              <w:jc w:val="center"/>
              <w:rPr>
                <w:sz w:val="21"/>
                <w:szCs w:val="21"/>
              </w:rPr>
            </w:pPr>
            <w:r>
              <w:rPr>
                <w:rFonts w:hint="eastAsia"/>
                <w:sz w:val="21"/>
                <w:szCs w:val="21"/>
              </w:rPr>
              <w:t>5/套</w:t>
            </w:r>
          </w:p>
        </w:tc>
        <w:tc>
          <w:tcPr>
            <w:tcW w:w="1200" w:type="dxa"/>
            <w:tcBorders>
              <w:right w:val="single" w:color="auto" w:sz="12" w:space="0"/>
            </w:tcBorders>
            <w:vAlign w:val="center"/>
          </w:tcPr>
          <w:p w14:paraId="78544846">
            <w:pPr>
              <w:spacing w:line="240" w:lineRule="auto"/>
              <w:jc w:val="center"/>
              <w:rPr>
                <w:sz w:val="21"/>
                <w:szCs w:val="21"/>
              </w:rPr>
            </w:pPr>
            <w:r>
              <w:rPr>
                <w:rFonts w:hint="eastAsia"/>
                <w:sz w:val="21"/>
                <w:szCs w:val="21"/>
              </w:rPr>
              <w:t>0</w:t>
            </w:r>
          </w:p>
        </w:tc>
      </w:tr>
      <w:tr w14:paraId="6623F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vMerge w:val="continue"/>
            <w:tcBorders>
              <w:left w:val="single" w:color="auto" w:sz="12" w:space="0"/>
            </w:tcBorders>
            <w:vAlign w:val="center"/>
          </w:tcPr>
          <w:p w14:paraId="4002CD07">
            <w:pPr>
              <w:spacing w:line="240" w:lineRule="auto"/>
              <w:jc w:val="center"/>
              <w:rPr>
                <w:sz w:val="21"/>
                <w:szCs w:val="21"/>
              </w:rPr>
            </w:pPr>
          </w:p>
        </w:tc>
        <w:tc>
          <w:tcPr>
            <w:tcW w:w="3282" w:type="dxa"/>
            <w:vAlign w:val="center"/>
          </w:tcPr>
          <w:p w14:paraId="61E5D6F8">
            <w:pPr>
              <w:spacing w:line="240" w:lineRule="auto"/>
              <w:jc w:val="left"/>
              <w:rPr>
                <w:sz w:val="21"/>
                <w:szCs w:val="21"/>
              </w:rPr>
            </w:pPr>
            <w:r>
              <w:rPr>
                <w:sz w:val="21"/>
                <w:szCs w:val="21"/>
              </w:rPr>
              <w:t>其他高温或高压、且涉及危险物质工艺过程a、危险物质储存罐区</w:t>
            </w:r>
          </w:p>
        </w:tc>
        <w:tc>
          <w:tcPr>
            <w:tcW w:w="1910" w:type="dxa"/>
            <w:vAlign w:val="center"/>
          </w:tcPr>
          <w:p w14:paraId="2647632B">
            <w:pPr>
              <w:spacing w:line="240" w:lineRule="auto"/>
              <w:jc w:val="center"/>
              <w:rPr>
                <w:sz w:val="21"/>
                <w:szCs w:val="21"/>
              </w:rPr>
            </w:pPr>
            <w:r>
              <w:rPr>
                <w:rFonts w:hint="eastAsia"/>
                <w:sz w:val="21"/>
                <w:szCs w:val="21"/>
              </w:rPr>
              <w:t>5/套（罐区）</w:t>
            </w:r>
          </w:p>
        </w:tc>
        <w:tc>
          <w:tcPr>
            <w:tcW w:w="1200" w:type="dxa"/>
            <w:tcBorders>
              <w:right w:val="single" w:color="auto" w:sz="12" w:space="0"/>
            </w:tcBorders>
            <w:vAlign w:val="center"/>
          </w:tcPr>
          <w:p w14:paraId="456E10B1">
            <w:pPr>
              <w:spacing w:line="240" w:lineRule="auto"/>
              <w:jc w:val="center"/>
              <w:rPr>
                <w:sz w:val="21"/>
                <w:szCs w:val="21"/>
              </w:rPr>
            </w:pPr>
            <w:r>
              <w:rPr>
                <w:rFonts w:hint="eastAsia"/>
                <w:sz w:val="21"/>
                <w:szCs w:val="21"/>
              </w:rPr>
              <w:t>5</w:t>
            </w:r>
          </w:p>
        </w:tc>
      </w:tr>
      <w:tr w14:paraId="56E2A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tcBorders>
              <w:left w:val="single" w:color="auto" w:sz="12" w:space="0"/>
            </w:tcBorders>
            <w:vAlign w:val="center"/>
          </w:tcPr>
          <w:p w14:paraId="1D07AA63">
            <w:pPr>
              <w:spacing w:line="240" w:lineRule="auto"/>
              <w:jc w:val="center"/>
              <w:rPr>
                <w:sz w:val="21"/>
                <w:szCs w:val="21"/>
              </w:rPr>
            </w:pPr>
            <w:r>
              <w:rPr>
                <w:sz w:val="21"/>
                <w:szCs w:val="21"/>
              </w:rPr>
              <w:t>管道、港口/码头等</w:t>
            </w:r>
          </w:p>
        </w:tc>
        <w:tc>
          <w:tcPr>
            <w:tcW w:w="3282" w:type="dxa"/>
            <w:vAlign w:val="center"/>
          </w:tcPr>
          <w:p w14:paraId="31A9F81E">
            <w:pPr>
              <w:spacing w:line="240" w:lineRule="auto"/>
              <w:jc w:val="left"/>
              <w:rPr>
                <w:sz w:val="21"/>
                <w:szCs w:val="21"/>
              </w:rPr>
            </w:pPr>
            <w:r>
              <w:rPr>
                <w:sz w:val="21"/>
                <w:szCs w:val="21"/>
              </w:rPr>
              <w:t>涉及危险物质管道运输项目、港口/码头等</w:t>
            </w:r>
          </w:p>
        </w:tc>
        <w:tc>
          <w:tcPr>
            <w:tcW w:w="1910" w:type="dxa"/>
            <w:vAlign w:val="center"/>
          </w:tcPr>
          <w:p w14:paraId="18093FD7">
            <w:pPr>
              <w:spacing w:line="240" w:lineRule="auto"/>
              <w:jc w:val="center"/>
              <w:rPr>
                <w:sz w:val="21"/>
                <w:szCs w:val="21"/>
              </w:rPr>
            </w:pPr>
            <w:r>
              <w:rPr>
                <w:rFonts w:hint="eastAsia"/>
                <w:sz w:val="21"/>
                <w:szCs w:val="21"/>
              </w:rPr>
              <w:t>10</w:t>
            </w:r>
          </w:p>
        </w:tc>
        <w:tc>
          <w:tcPr>
            <w:tcW w:w="1200" w:type="dxa"/>
            <w:tcBorders>
              <w:right w:val="single" w:color="auto" w:sz="12" w:space="0"/>
            </w:tcBorders>
            <w:vAlign w:val="center"/>
          </w:tcPr>
          <w:p w14:paraId="1624740C">
            <w:pPr>
              <w:spacing w:line="240" w:lineRule="auto"/>
              <w:jc w:val="center"/>
              <w:rPr>
                <w:sz w:val="21"/>
                <w:szCs w:val="21"/>
              </w:rPr>
            </w:pPr>
            <w:r>
              <w:rPr>
                <w:rFonts w:hint="eastAsia"/>
                <w:sz w:val="21"/>
                <w:szCs w:val="21"/>
              </w:rPr>
              <w:t>0</w:t>
            </w:r>
          </w:p>
        </w:tc>
      </w:tr>
      <w:tr w14:paraId="5FAC6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tcBorders>
              <w:left w:val="single" w:color="auto" w:sz="12" w:space="0"/>
            </w:tcBorders>
            <w:vAlign w:val="center"/>
          </w:tcPr>
          <w:p w14:paraId="5C14AC4C">
            <w:pPr>
              <w:spacing w:line="240" w:lineRule="auto"/>
              <w:jc w:val="center"/>
              <w:rPr>
                <w:sz w:val="21"/>
                <w:szCs w:val="21"/>
              </w:rPr>
            </w:pPr>
            <w:r>
              <w:rPr>
                <w:sz w:val="21"/>
                <w:szCs w:val="21"/>
              </w:rPr>
              <w:t>石油天然气</w:t>
            </w:r>
          </w:p>
        </w:tc>
        <w:tc>
          <w:tcPr>
            <w:tcW w:w="3282" w:type="dxa"/>
            <w:vAlign w:val="center"/>
          </w:tcPr>
          <w:p w14:paraId="0AE7276D">
            <w:pPr>
              <w:spacing w:line="240" w:lineRule="auto"/>
              <w:jc w:val="left"/>
              <w:rPr>
                <w:sz w:val="21"/>
                <w:szCs w:val="21"/>
              </w:rPr>
            </w:pPr>
            <w:r>
              <w:rPr>
                <w:sz w:val="21"/>
                <w:szCs w:val="21"/>
              </w:rPr>
              <w:t>石油、天然气、页岩气开采（含净化），气库（不含加气站的气库）， 油库（不含加气站的油库）、油气管线b（不含城镇燃气管线）</w:t>
            </w:r>
          </w:p>
        </w:tc>
        <w:tc>
          <w:tcPr>
            <w:tcW w:w="1910" w:type="dxa"/>
            <w:vAlign w:val="center"/>
          </w:tcPr>
          <w:p w14:paraId="17879E49">
            <w:pPr>
              <w:spacing w:line="240" w:lineRule="auto"/>
              <w:jc w:val="center"/>
              <w:rPr>
                <w:sz w:val="21"/>
                <w:szCs w:val="21"/>
              </w:rPr>
            </w:pPr>
            <w:r>
              <w:rPr>
                <w:rFonts w:hint="eastAsia"/>
                <w:sz w:val="21"/>
                <w:szCs w:val="21"/>
              </w:rPr>
              <w:t>10</w:t>
            </w:r>
          </w:p>
        </w:tc>
        <w:tc>
          <w:tcPr>
            <w:tcW w:w="1200" w:type="dxa"/>
            <w:tcBorders>
              <w:right w:val="single" w:color="auto" w:sz="12" w:space="0"/>
            </w:tcBorders>
            <w:vAlign w:val="center"/>
          </w:tcPr>
          <w:p w14:paraId="7367F855">
            <w:pPr>
              <w:spacing w:line="240" w:lineRule="auto"/>
              <w:jc w:val="center"/>
              <w:rPr>
                <w:sz w:val="21"/>
                <w:szCs w:val="21"/>
              </w:rPr>
            </w:pPr>
            <w:r>
              <w:rPr>
                <w:rFonts w:hint="eastAsia"/>
                <w:sz w:val="21"/>
                <w:szCs w:val="21"/>
              </w:rPr>
              <w:t>0</w:t>
            </w:r>
          </w:p>
        </w:tc>
      </w:tr>
      <w:tr w14:paraId="636E9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0" w:type="dxa"/>
            <w:tcBorders>
              <w:left w:val="single" w:color="auto" w:sz="12" w:space="0"/>
            </w:tcBorders>
            <w:vAlign w:val="center"/>
          </w:tcPr>
          <w:p w14:paraId="15BB93AD">
            <w:pPr>
              <w:spacing w:line="240" w:lineRule="auto"/>
              <w:jc w:val="center"/>
              <w:rPr>
                <w:sz w:val="21"/>
                <w:szCs w:val="21"/>
              </w:rPr>
            </w:pPr>
            <w:r>
              <w:rPr>
                <w:sz w:val="21"/>
                <w:szCs w:val="21"/>
              </w:rPr>
              <w:t>其他</w:t>
            </w:r>
          </w:p>
        </w:tc>
        <w:tc>
          <w:tcPr>
            <w:tcW w:w="3282" w:type="dxa"/>
            <w:vAlign w:val="center"/>
          </w:tcPr>
          <w:p w14:paraId="5414F82E">
            <w:pPr>
              <w:spacing w:line="240" w:lineRule="auto"/>
              <w:jc w:val="left"/>
              <w:rPr>
                <w:sz w:val="21"/>
                <w:szCs w:val="21"/>
              </w:rPr>
            </w:pPr>
            <w:r>
              <w:rPr>
                <w:sz w:val="21"/>
                <w:szCs w:val="21"/>
              </w:rPr>
              <w:t>涉及危险物质使用、贮存的项目</w:t>
            </w:r>
          </w:p>
        </w:tc>
        <w:tc>
          <w:tcPr>
            <w:tcW w:w="1910" w:type="dxa"/>
            <w:vAlign w:val="center"/>
          </w:tcPr>
          <w:p w14:paraId="7689CCC1">
            <w:pPr>
              <w:spacing w:line="240" w:lineRule="auto"/>
              <w:jc w:val="center"/>
              <w:rPr>
                <w:sz w:val="21"/>
                <w:szCs w:val="21"/>
              </w:rPr>
            </w:pPr>
            <w:r>
              <w:rPr>
                <w:rFonts w:hint="eastAsia"/>
                <w:sz w:val="21"/>
                <w:szCs w:val="21"/>
              </w:rPr>
              <w:t>5</w:t>
            </w:r>
          </w:p>
        </w:tc>
        <w:tc>
          <w:tcPr>
            <w:tcW w:w="1200" w:type="dxa"/>
            <w:tcBorders>
              <w:right w:val="single" w:color="auto" w:sz="12" w:space="0"/>
            </w:tcBorders>
            <w:vAlign w:val="center"/>
          </w:tcPr>
          <w:p w14:paraId="6F4308F1">
            <w:pPr>
              <w:spacing w:line="240" w:lineRule="auto"/>
              <w:jc w:val="center"/>
              <w:rPr>
                <w:sz w:val="21"/>
                <w:szCs w:val="21"/>
              </w:rPr>
            </w:pPr>
            <w:r>
              <w:rPr>
                <w:rFonts w:hint="eastAsia"/>
                <w:sz w:val="21"/>
                <w:szCs w:val="21"/>
              </w:rPr>
              <w:t>5</w:t>
            </w:r>
          </w:p>
        </w:tc>
      </w:tr>
      <w:tr w14:paraId="5B73E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22" w:type="dxa"/>
            <w:gridSpan w:val="3"/>
            <w:tcBorders>
              <w:left w:val="single" w:color="auto" w:sz="12" w:space="0"/>
            </w:tcBorders>
            <w:vAlign w:val="center"/>
          </w:tcPr>
          <w:p w14:paraId="77AC3B07">
            <w:pPr>
              <w:spacing w:line="240" w:lineRule="auto"/>
              <w:jc w:val="center"/>
              <w:rPr>
                <w:sz w:val="21"/>
                <w:szCs w:val="21"/>
              </w:rPr>
            </w:pPr>
            <w:r>
              <w:rPr>
                <w:rFonts w:hint="eastAsia"/>
                <w:sz w:val="21"/>
                <w:szCs w:val="21"/>
              </w:rPr>
              <w:t>总计</w:t>
            </w:r>
          </w:p>
        </w:tc>
        <w:tc>
          <w:tcPr>
            <w:tcW w:w="1200" w:type="dxa"/>
            <w:tcBorders>
              <w:right w:val="single" w:color="auto" w:sz="12" w:space="0"/>
            </w:tcBorders>
            <w:vAlign w:val="center"/>
          </w:tcPr>
          <w:p w14:paraId="2278E0B9">
            <w:pPr>
              <w:spacing w:line="240" w:lineRule="auto"/>
              <w:jc w:val="center"/>
              <w:rPr>
                <w:sz w:val="21"/>
                <w:szCs w:val="21"/>
              </w:rPr>
            </w:pPr>
          </w:p>
        </w:tc>
      </w:tr>
      <w:tr w14:paraId="69CA7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2" w:type="dxa"/>
            <w:gridSpan w:val="4"/>
            <w:tcBorders>
              <w:left w:val="single" w:color="auto" w:sz="12" w:space="0"/>
              <w:bottom w:val="single" w:color="auto" w:sz="12" w:space="0"/>
              <w:right w:val="single" w:color="auto" w:sz="12" w:space="0"/>
            </w:tcBorders>
            <w:vAlign w:val="center"/>
          </w:tcPr>
          <w:p w14:paraId="532AF99D">
            <w:pPr>
              <w:spacing w:line="240" w:lineRule="auto"/>
              <w:rPr>
                <w:sz w:val="21"/>
                <w:szCs w:val="21"/>
              </w:rPr>
            </w:pPr>
            <w:r>
              <w:rPr>
                <w:sz w:val="21"/>
                <w:szCs w:val="21"/>
              </w:rPr>
              <w:t>注：a高温指工艺温度≥300℃，高压指压力容器的设计压力（p）≥10.0MPa；B长输管道运输项目应按战场、管线分段进行评价。</w:t>
            </w:r>
          </w:p>
        </w:tc>
      </w:tr>
    </w:tbl>
    <w:p w14:paraId="2ABF3B0A">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⑶</w:t>
      </w:r>
      <w:r>
        <w:rPr>
          <w:rFonts w:hint="eastAsia" w:ascii="Times New Roman" w:hAnsi="Times New Roman" w:cs="Times New Roman"/>
          <w:kern w:val="2"/>
          <w:sz w:val="24"/>
        </w:rPr>
        <w:t>危险物质及工艺系统危险性（P）</w:t>
      </w:r>
    </w:p>
    <w:p w14:paraId="4557057E">
      <w:pPr>
        <w:pStyle w:val="25"/>
        <w:ind w:left="0" w:leftChars="0" w:firstLine="480"/>
      </w:pPr>
      <w:r>
        <w:t>根据危险物质数量与临界量比值（Q）和行业及生产工艺（M），按照下表确定危险物质及工艺系统危险性等级（P），分别以P1、P2、P3、P4表示。</w:t>
      </w:r>
    </w:p>
    <w:p w14:paraId="7D5EC4F5">
      <w:pPr>
        <w:pStyle w:val="51"/>
        <w:numPr>
          <w:ilvl w:val="5"/>
          <w:numId w:val="0"/>
        </w:numPr>
        <w:tabs>
          <w:tab w:val="left" w:pos="4395"/>
        </w:tabs>
        <w:spacing w:before="156"/>
        <w:ind w:left="4700" w:leftChars="0" w:hanging="3260" w:firstLineChars="0"/>
        <w:jc w:val="both"/>
      </w:pPr>
      <w:r>
        <w:rPr>
          <w:rFonts w:hint="default" w:ascii="宋体" w:hAnsi="宋体" w:eastAsia="宋体" w:cs="宋体"/>
          <w:b/>
          <w:bCs/>
          <w:color w:val="auto"/>
          <w:kern w:val="2"/>
          <w:sz w:val="21"/>
          <w:szCs w:val="21"/>
          <w:lang w:val="en-US" w:eastAsia="zh-CN" w:bidi="ar-SA"/>
        </w:rPr>
        <w:t xml:space="preserve">表7.2-4 </w:t>
      </w:r>
      <w:r>
        <w:rPr>
          <w:rFonts w:hint="eastAsia" w:ascii="宋体" w:hAnsi="宋体" w:cs="宋体"/>
          <w:b/>
          <w:bCs/>
          <w:color w:val="auto"/>
          <w:kern w:val="2"/>
          <w:sz w:val="21"/>
          <w:szCs w:val="21"/>
          <w:lang w:val="en-US" w:eastAsia="zh-CN" w:bidi="ar-SA"/>
        </w:rPr>
        <w:t xml:space="preserve">  </w:t>
      </w:r>
      <w:r>
        <w:rPr>
          <w:rFonts w:hint="eastAsia"/>
        </w:rPr>
        <w:t>危险物质及工艺系统危险性（P）等级判断</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549"/>
        <w:gridCol w:w="1384"/>
        <w:gridCol w:w="1269"/>
        <w:gridCol w:w="1149"/>
        <w:gridCol w:w="985"/>
      </w:tblGrid>
      <w:tr w14:paraId="10D8612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3549" w:type="dxa"/>
            <w:vMerge w:val="restart"/>
            <w:tcBorders>
              <w:bottom w:val="single" w:color="000000" w:sz="6" w:space="0"/>
              <w:right w:val="single" w:color="000000" w:sz="6" w:space="0"/>
            </w:tcBorders>
            <w:vAlign w:val="center"/>
          </w:tcPr>
          <w:p w14:paraId="4BAA2DC8">
            <w:pPr>
              <w:spacing w:line="240" w:lineRule="auto"/>
              <w:jc w:val="center"/>
              <w:rPr>
                <w:sz w:val="21"/>
                <w:szCs w:val="21"/>
              </w:rPr>
            </w:pPr>
            <w:r>
              <w:rPr>
                <w:sz w:val="21"/>
                <w:szCs w:val="21"/>
              </w:rPr>
              <w:t>危险物质数量与临界量比值（Q）</w:t>
            </w:r>
          </w:p>
        </w:tc>
        <w:tc>
          <w:tcPr>
            <w:tcW w:w="4787" w:type="dxa"/>
            <w:gridSpan w:val="4"/>
            <w:tcBorders>
              <w:left w:val="single" w:color="000000" w:sz="6" w:space="0"/>
              <w:bottom w:val="single" w:color="000000" w:sz="6" w:space="0"/>
            </w:tcBorders>
            <w:vAlign w:val="center"/>
          </w:tcPr>
          <w:p w14:paraId="6F0B38F1">
            <w:pPr>
              <w:spacing w:line="240" w:lineRule="auto"/>
              <w:jc w:val="center"/>
              <w:rPr>
                <w:sz w:val="21"/>
                <w:szCs w:val="21"/>
              </w:rPr>
            </w:pPr>
            <w:r>
              <w:rPr>
                <w:sz w:val="21"/>
                <w:szCs w:val="21"/>
              </w:rPr>
              <w:t>行业及生产工艺（M）</w:t>
            </w:r>
          </w:p>
        </w:tc>
      </w:tr>
      <w:tr w14:paraId="268A17C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3549" w:type="dxa"/>
            <w:vMerge w:val="continue"/>
            <w:tcBorders>
              <w:top w:val="nil"/>
              <w:bottom w:val="single" w:color="000000" w:sz="6" w:space="0"/>
              <w:right w:val="single" w:color="000000" w:sz="6" w:space="0"/>
            </w:tcBorders>
            <w:vAlign w:val="center"/>
          </w:tcPr>
          <w:p w14:paraId="1C8174F1">
            <w:pPr>
              <w:spacing w:line="240" w:lineRule="auto"/>
              <w:jc w:val="center"/>
              <w:rPr>
                <w:sz w:val="21"/>
                <w:szCs w:val="21"/>
              </w:rPr>
            </w:pPr>
          </w:p>
        </w:tc>
        <w:tc>
          <w:tcPr>
            <w:tcW w:w="1384" w:type="dxa"/>
            <w:tcBorders>
              <w:top w:val="single" w:color="000000" w:sz="6" w:space="0"/>
              <w:left w:val="single" w:color="000000" w:sz="6" w:space="0"/>
              <w:bottom w:val="single" w:color="000000" w:sz="6" w:space="0"/>
              <w:right w:val="single" w:color="000000" w:sz="6" w:space="0"/>
            </w:tcBorders>
            <w:vAlign w:val="center"/>
          </w:tcPr>
          <w:p w14:paraId="71846FE9">
            <w:pPr>
              <w:spacing w:line="240" w:lineRule="auto"/>
              <w:jc w:val="center"/>
              <w:rPr>
                <w:sz w:val="21"/>
                <w:szCs w:val="21"/>
              </w:rPr>
            </w:pPr>
            <w:r>
              <w:rPr>
                <w:sz w:val="21"/>
                <w:szCs w:val="21"/>
              </w:rPr>
              <w:t>M1</w:t>
            </w:r>
          </w:p>
        </w:tc>
        <w:tc>
          <w:tcPr>
            <w:tcW w:w="1269" w:type="dxa"/>
            <w:tcBorders>
              <w:top w:val="single" w:color="000000" w:sz="6" w:space="0"/>
              <w:left w:val="single" w:color="000000" w:sz="6" w:space="0"/>
              <w:bottom w:val="single" w:color="000000" w:sz="6" w:space="0"/>
              <w:right w:val="single" w:color="000000" w:sz="6" w:space="0"/>
            </w:tcBorders>
            <w:vAlign w:val="center"/>
          </w:tcPr>
          <w:p w14:paraId="28724D22">
            <w:pPr>
              <w:spacing w:line="240" w:lineRule="auto"/>
              <w:jc w:val="center"/>
              <w:rPr>
                <w:sz w:val="21"/>
                <w:szCs w:val="21"/>
              </w:rPr>
            </w:pPr>
            <w:r>
              <w:rPr>
                <w:sz w:val="21"/>
                <w:szCs w:val="21"/>
              </w:rPr>
              <w:t>M2</w:t>
            </w:r>
          </w:p>
        </w:tc>
        <w:tc>
          <w:tcPr>
            <w:tcW w:w="1149" w:type="dxa"/>
            <w:tcBorders>
              <w:top w:val="single" w:color="000000" w:sz="6" w:space="0"/>
              <w:left w:val="single" w:color="000000" w:sz="6" w:space="0"/>
              <w:bottom w:val="single" w:color="000000" w:sz="6" w:space="0"/>
              <w:right w:val="single" w:color="000000" w:sz="6" w:space="0"/>
            </w:tcBorders>
            <w:vAlign w:val="center"/>
          </w:tcPr>
          <w:p w14:paraId="76417AAA">
            <w:pPr>
              <w:spacing w:line="240" w:lineRule="auto"/>
              <w:jc w:val="center"/>
              <w:rPr>
                <w:sz w:val="21"/>
                <w:szCs w:val="21"/>
              </w:rPr>
            </w:pPr>
            <w:r>
              <w:rPr>
                <w:sz w:val="21"/>
                <w:szCs w:val="21"/>
              </w:rPr>
              <w:t>M3</w:t>
            </w:r>
          </w:p>
        </w:tc>
        <w:tc>
          <w:tcPr>
            <w:tcW w:w="985" w:type="dxa"/>
            <w:tcBorders>
              <w:top w:val="single" w:color="000000" w:sz="6" w:space="0"/>
              <w:left w:val="single" w:color="000000" w:sz="6" w:space="0"/>
              <w:bottom w:val="single" w:color="000000" w:sz="6" w:space="0"/>
            </w:tcBorders>
            <w:vAlign w:val="center"/>
          </w:tcPr>
          <w:p w14:paraId="632C12C3">
            <w:pPr>
              <w:spacing w:line="240" w:lineRule="auto"/>
              <w:jc w:val="center"/>
              <w:rPr>
                <w:sz w:val="21"/>
                <w:szCs w:val="21"/>
              </w:rPr>
            </w:pPr>
            <w:r>
              <w:rPr>
                <w:sz w:val="21"/>
                <w:szCs w:val="21"/>
              </w:rPr>
              <w:t>M4</w:t>
            </w:r>
          </w:p>
        </w:tc>
      </w:tr>
      <w:tr w14:paraId="67DD728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3549" w:type="dxa"/>
            <w:tcBorders>
              <w:top w:val="single" w:color="000000" w:sz="6" w:space="0"/>
              <w:bottom w:val="single" w:color="000000" w:sz="6" w:space="0"/>
              <w:right w:val="single" w:color="000000" w:sz="6" w:space="0"/>
            </w:tcBorders>
            <w:vAlign w:val="center"/>
          </w:tcPr>
          <w:p w14:paraId="674C8C2E">
            <w:pPr>
              <w:spacing w:line="240" w:lineRule="auto"/>
              <w:jc w:val="center"/>
              <w:rPr>
                <w:sz w:val="21"/>
                <w:szCs w:val="21"/>
              </w:rPr>
            </w:pPr>
            <w:r>
              <w:rPr>
                <w:sz w:val="21"/>
                <w:szCs w:val="21"/>
              </w:rPr>
              <w:t>Q≥100</w:t>
            </w:r>
          </w:p>
        </w:tc>
        <w:tc>
          <w:tcPr>
            <w:tcW w:w="1384" w:type="dxa"/>
            <w:tcBorders>
              <w:top w:val="single" w:color="000000" w:sz="6" w:space="0"/>
              <w:left w:val="single" w:color="000000" w:sz="6" w:space="0"/>
              <w:bottom w:val="single" w:color="000000" w:sz="6" w:space="0"/>
              <w:right w:val="single" w:color="000000" w:sz="6" w:space="0"/>
            </w:tcBorders>
            <w:vAlign w:val="center"/>
          </w:tcPr>
          <w:p w14:paraId="2C8171EB">
            <w:pPr>
              <w:spacing w:line="240" w:lineRule="auto"/>
              <w:jc w:val="center"/>
              <w:rPr>
                <w:sz w:val="21"/>
                <w:szCs w:val="21"/>
              </w:rPr>
            </w:pPr>
            <w:r>
              <w:rPr>
                <w:sz w:val="21"/>
                <w:szCs w:val="21"/>
              </w:rPr>
              <w:t>P1</w:t>
            </w:r>
          </w:p>
        </w:tc>
        <w:tc>
          <w:tcPr>
            <w:tcW w:w="1269" w:type="dxa"/>
            <w:tcBorders>
              <w:top w:val="single" w:color="000000" w:sz="6" w:space="0"/>
              <w:left w:val="single" w:color="000000" w:sz="6" w:space="0"/>
              <w:bottom w:val="single" w:color="000000" w:sz="6" w:space="0"/>
              <w:right w:val="single" w:color="000000" w:sz="6" w:space="0"/>
            </w:tcBorders>
            <w:vAlign w:val="center"/>
          </w:tcPr>
          <w:p w14:paraId="58CE36EF">
            <w:pPr>
              <w:spacing w:line="240" w:lineRule="auto"/>
              <w:jc w:val="center"/>
              <w:rPr>
                <w:sz w:val="21"/>
                <w:szCs w:val="21"/>
              </w:rPr>
            </w:pPr>
            <w:r>
              <w:rPr>
                <w:sz w:val="21"/>
                <w:szCs w:val="21"/>
              </w:rPr>
              <w:t>P1</w:t>
            </w:r>
          </w:p>
        </w:tc>
        <w:tc>
          <w:tcPr>
            <w:tcW w:w="1149" w:type="dxa"/>
            <w:tcBorders>
              <w:top w:val="single" w:color="000000" w:sz="6" w:space="0"/>
              <w:left w:val="single" w:color="000000" w:sz="6" w:space="0"/>
              <w:bottom w:val="single" w:color="000000" w:sz="6" w:space="0"/>
              <w:right w:val="single" w:color="000000" w:sz="6" w:space="0"/>
            </w:tcBorders>
            <w:vAlign w:val="center"/>
          </w:tcPr>
          <w:p w14:paraId="049943CA">
            <w:pPr>
              <w:spacing w:line="240" w:lineRule="auto"/>
              <w:jc w:val="center"/>
              <w:rPr>
                <w:sz w:val="21"/>
                <w:szCs w:val="21"/>
              </w:rPr>
            </w:pPr>
            <w:r>
              <w:rPr>
                <w:sz w:val="21"/>
                <w:szCs w:val="21"/>
              </w:rPr>
              <w:t>P2</w:t>
            </w:r>
          </w:p>
        </w:tc>
        <w:tc>
          <w:tcPr>
            <w:tcW w:w="985" w:type="dxa"/>
            <w:tcBorders>
              <w:top w:val="single" w:color="000000" w:sz="6" w:space="0"/>
              <w:left w:val="single" w:color="000000" w:sz="6" w:space="0"/>
              <w:bottom w:val="single" w:color="000000" w:sz="6" w:space="0"/>
            </w:tcBorders>
            <w:vAlign w:val="center"/>
          </w:tcPr>
          <w:p w14:paraId="441A0B74">
            <w:pPr>
              <w:spacing w:line="240" w:lineRule="auto"/>
              <w:jc w:val="center"/>
              <w:rPr>
                <w:sz w:val="21"/>
                <w:szCs w:val="21"/>
              </w:rPr>
            </w:pPr>
            <w:r>
              <w:rPr>
                <w:sz w:val="21"/>
                <w:szCs w:val="21"/>
              </w:rPr>
              <w:t>P3</w:t>
            </w:r>
          </w:p>
        </w:tc>
      </w:tr>
      <w:tr w14:paraId="4E96758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3549" w:type="dxa"/>
            <w:tcBorders>
              <w:top w:val="single" w:color="000000" w:sz="6" w:space="0"/>
              <w:bottom w:val="single" w:color="000000" w:sz="6" w:space="0"/>
              <w:right w:val="single" w:color="000000" w:sz="6" w:space="0"/>
            </w:tcBorders>
            <w:vAlign w:val="center"/>
          </w:tcPr>
          <w:p w14:paraId="04A49961">
            <w:pPr>
              <w:spacing w:line="240" w:lineRule="auto"/>
              <w:jc w:val="center"/>
              <w:rPr>
                <w:sz w:val="21"/>
                <w:szCs w:val="21"/>
              </w:rPr>
            </w:pPr>
            <w:r>
              <w:rPr>
                <w:sz w:val="21"/>
                <w:szCs w:val="21"/>
              </w:rPr>
              <w:t>10≤Q＜100</w:t>
            </w:r>
          </w:p>
        </w:tc>
        <w:tc>
          <w:tcPr>
            <w:tcW w:w="1384" w:type="dxa"/>
            <w:tcBorders>
              <w:top w:val="single" w:color="000000" w:sz="6" w:space="0"/>
              <w:left w:val="single" w:color="000000" w:sz="6" w:space="0"/>
              <w:bottom w:val="single" w:color="000000" w:sz="6" w:space="0"/>
              <w:right w:val="single" w:color="000000" w:sz="6" w:space="0"/>
            </w:tcBorders>
            <w:vAlign w:val="center"/>
          </w:tcPr>
          <w:p w14:paraId="123C64EA">
            <w:pPr>
              <w:spacing w:line="240" w:lineRule="auto"/>
              <w:jc w:val="center"/>
              <w:rPr>
                <w:sz w:val="21"/>
                <w:szCs w:val="21"/>
              </w:rPr>
            </w:pPr>
            <w:r>
              <w:rPr>
                <w:sz w:val="21"/>
                <w:szCs w:val="21"/>
              </w:rPr>
              <w:t>P1</w:t>
            </w:r>
          </w:p>
        </w:tc>
        <w:tc>
          <w:tcPr>
            <w:tcW w:w="1269" w:type="dxa"/>
            <w:tcBorders>
              <w:top w:val="single" w:color="000000" w:sz="6" w:space="0"/>
              <w:left w:val="single" w:color="000000" w:sz="6" w:space="0"/>
              <w:bottom w:val="single" w:color="000000" w:sz="6" w:space="0"/>
              <w:right w:val="single" w:color="000000" w:sz="6" w:space="0"/>
            </w:tcBorders>
            <w:vAlign w:val="center"/>
          </w:tcPr>
          <w:p w14:paraId="7C1A3954">
            <w:pPr>
              <w:spacing w:line="240" w:lineRule="auto"/>
              <w:jc w:val="center"/>
              <w:rPr>
                <w:sz w:val="21"/>
                <w:szCs w:val="21"/>
              </w:rPr>
            </w:pPr>
            <w:r>
              <w:rPr>
                <w:sz w:val="21"/>
                <w:szCs w:val="21"/>
              </w:rPr>
              <w:t>P2</w:t>
            </w:r>
          </w:p>
        </w:tc>
        <w:tc>
          <w:tcPr>
            <w:tcW w:w="1149" w:type="dxa"/>
            <w:tcBorders>
              <w:top w:val="single" w:color="000000" w:sz="6" w:space="0"/>
              <w:left w:val="single" w:color="000000" w:sz="6" w:space="0"/>
              <w:bottom w:val="single" w:color="000000" w:sz="6" w:space="0"/>
              <w:right w:val="single" w:color="000000" w:sz="6" w:space="0"/>
            </w:tcBorders>
            <w:vAlign w:val="center"/>
          </w:tcPr>
          <w:p w14:paraId="5320005D">
            <w:pPr>
              <w:spacing w:line="240" w:lineRule="auto"/>
              <w:jc w:val="center"/>
              <w:rPr>
                <w:sz w:val="21"/>
                <w:szCs w:val="21"/>
              </w:rPr>
            </w:pPr>
            <w:r>
              <w:rPr>
                <w:sz w:val="21"/>
                <w:szCs w:val="21"/>
              </w:rPr>
              <w:t>P3</w:t>
            </w:r>
          </w:p>
        </w:tc>
        <w:tc>
          <w:tcPr>
            <w:tcW w:w="985" w:type="dxa"/>
            <w:tcBorders>
              <w:top w:val="single" w:color="000000" w:sz="6" w:space="0"/>
              <w:left w:val="single" w:color="000000" w:sz="6" w:space="0"/>
              <w:bottom w:val="single" w:color="000000" w:sz="6" w:space="0"/>
            </w:tcBorders>
            <w:vAlign w:val="center"/>
          </w:tcPr>
          <w:p w14:paraId="562E8C59">
            <w:pPr>
              <w:spacing w:line="240" w:lineRule="auto"/>
              <w:jc w:val="center"/>
              <w:rPr>
                <w:sz w:val="21"/>
                <w:szCs w:val="21"/>
              </w:rPr>
            </w:pPr>
            <w:r>
              <w:rPr>
                <w:sz w:val="21"/>
                <w:szCs w:val="21"/>
              </w:rPr>
              <w:t>P4</w:t>
            </w:r>
          </w:p>
        </w:tc>
      </w:tr>
      <w:tr w14:paraId="1C84D9D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3549" w:type="dxa"/>
            <w:tcBorders>
              <w:top w:val="single" w:color="000000" w:sz="6" w:space="0"/>
              <w:right w:val="single" w:color="000000" w:sz="6" w:space="0"/>
            </w:tcBorders>
            <w:vAlign w:val="center"/>
          </w:tcPr>
          <w:p w14:paraId="76FB7646">
            <w:pPr>
              <w:spacing w:line="240" w:lineRule="auto"/>
              <w:jc w:val="center"/>
              <w:rPr>
                <w:sz w:val="21"/>
                <w:szCs w:val="21"/>
              </w:rPr>
            </w:pPr>
            <w:r>
              <w:rPr>
                <w:sz w:val="21"/>
                <w:szCs w:val="21"/>
              </w:rPr>
              <w:t>1≤Q＜10</w:t>
            </w:r>
          </w:p>
        </w:tc>
        <w:tc>
          <w:tcPr>
            <w:tcW w:w="1384" w:type="dxa"/>
            <w:tcBorders>
              <w:top w:val="single" w:color="000000" w:sz="6" w:space="0"/>
              <w:left w:val="single" w:color="000000" w:sz="6" w:space="0"/>
              <w:right w:val="single" w:color="000000" w:sz="6" w:space="0"/>
            </w:tcBorders>
            <w:vAlign w:val="center"/>
          </w:tcPr>
          <w:p w14:paraId="4063EA31">
            <w:pPr>
              <w:spacing w:line="240" w:lineRule="auto"/>
              <w:jc w:val="center"/>
              <w:rPr>
                <w:sz w:val="21"/>
                <w:szCs w:val="21"/>
              </w:rPr>
            </w:pPr>
            <w:r>
              <w:rPr>
                <w:sz w:val="21"/>
                <w:szCs w:val="21"/>
              </w:rPr>
              <w:t>P1</w:t>
            </w:r>
          </w:p>
        </w:tc>
        <w:tc>
          <w:tcPr>
            <w:tcW w:w="1269" w:type="dxa"/>
            <w:tcBorders>
              <w:top w:val="single" w:color="000000" w:sz="6" w:space="0"/>
              <w:left w:val="single" w:color="000000" w:sz="6" w:space="0"/>
              <w:right w:val="single" w:color="000000" w:sz="6" w:space="0"/>
            </w:tcBorders>
            <w:vAlign w:val="center"/>
          </w:tcPr>
          <w:p w14:paraId="39C227A8">
            <w:pPr>
              <w:spacing w:line="240" w:lineRule="auto"/>
              <w:jc w:val="center"/>
              <w:rPr>
                <w:sz w:val="21"/>
                <w:szCs w:val="21"/>
              </w:rPr>
            </w:pPr>
            <w:r>
              <w:rPr>
                <w:sz w:val="21"/>
                <w:szCs w:val="21"/>
              </w:rPr>
              <w:t>P3</w:t>
            </w:r>
          </w:p>
        </w:tc>
        <w:tc>
          <w:tcPr>
            <w:tcW w:w="1149" w:type="dxa"/>
            <w:tcBorders>
              <w:top w:val="single" w:color="000000" w:sz="6" w:space="0"/>
              <w:left w:val="single" w:color="000000" w:sz="6" w:space="0"/>
              <w:right w:val="single" w:color="000000" w:sz="6" w:space="0"/>
            </w:tcBorders>
            <w:vAlign w:val="center"/>
          </w:tcPr>
          <w:p w14:paraId="1AA264FE">
            <w:pPr>
              <w:spacing w:line="240" w:lineRule="auto"/>
              <w:jc w:val="center"/>
              <w:rPr>
                <w:sz w:val="21"/>
                <w:szCs w:val="21"/>
              </w:rPr>
            </w:pPr>
            <w:r>
              <w:rPr>
                <w:sz w:val="21"/>
                <w:szCs w:val="21"/>
              </w:rPr>
              <w:t>P4</w:t>
            </w:r>
          </w:p>
        </w:tc>
        <w:tc>
          <w:tcPr>
            <w:tcW w:w="985" w:type="dxa"/>
            <w:tcBorders>
              <w:top w:val="single" w:color="000000" w:sz="6" w:space="0"/>
              <w:left w:val="single" w:color="000000" w:sz="6" w:space="0"/>
            </w:tcBorders>
            <w:vAlign w:val="center"/>
          </w:tcPr>
          <w:p w14:paraId="07E9132E">
            <w:pPr>
              <w:spacing w:line="240" w:lineRule="auto"/>
              <w:jc w:val="center"/>
              <w:rPr>
                <w:sz w:val="21"/>
                <w:szCs w:val="21"/>
              </w:rPr>
            </w:pPr>
            <w:r>
              <w:rPr>
                <w:sz w:val="21"/>
                <w:szCs w:val="21"/>
              </w:rPr>
              <w:t>P4</w:t>
            </w:r>
          </w:p>
        </w:tc>
      </w:tr>
    </w:tbl>
    <w:p w14:paraId="0CB3C59F">
      <w:pPr>
        <w:pStyle w:val="9"/>
        <w:spacing w:line="360" w:lineRule="auto"/>
        <w:ind w:firstLine="480"/>
      </w:pPr>
      <w:r>
        <w:t>本项Q值=</w:t>
      </w:r>
      <w:r>
        <w:rPr>
          <w:rFonts w:hint="eastAsia"/>
        </w:rPr>
        <w:t>4.1</w:t>
      </w:r>
      <w:r>
        <w:t>，属于1≤Q＜10范围；M值=</w:t>
      </w:r>
      <w:r>
        <w:rPr>
          <w:rFonts w:hint="eastAsia"/>
        </w:rPr>
        <w:t>10</w:t>
      </w:r>
      <w:r>
        <w:t>，属于M类，由上表可知，本项目危险物质及工艺系统危险性为</w:t>
      </w:r>
      <w:r>
        <w:rPr>
          <w:b/>
          <w:bCs/>
        </w:rPr>
        <w:t>P</w:t>
      </w:r>
      <w:r>
        <w:rPr>
          <w:rFonts w:hint="eastAsia"/>
          <w:b/>
          <w:bCs/>
        </w:rPr>
        <w:t>4</w:t>
      </w:r>
      <w:r>
        <w:t>。</w:t>
      </w:r>
    </w:p>
    <w:p w14:paraId="59FE310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7.2.3</w:t>
      </w:r>
      <w:r>
        <w:rPr>
          <w:rFonts w:hint="eastAsia"/>
        </w:rPr>
        <w:t>环境敏感程度（E）的分级确定</w:t>
      </w:r>
    </w:p>
    <w:p w14:paraId="2C2CD536">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7.2.3.1</w:t>
      </w:r>
      <w:r>
        <w:rPr>
          <w:rFonts w:hint="eastAsia"/>
        </w:rPr>
        <w:t>大气环境敏感程度分级</w:t>
      </w:r>
    </w:p>
    <w:p w14:paraId="5B7D4697">
      <w:pPr>
        <w:ind w:firstLine="480"/>
      </w:pPr>
      <w:r>
        <w:t>依据环境敏感目标环境敏感性及人口密度划分环境风险受体的敏感性，分级原则见下表。项目周边5km范围内居住区、医疗卫生、文化教育、科研、行政办公等机构人口总数小于5万人；周边500m范围内人口总数小于500人，故项目大气环境敏感程度为</w:t>
      </w:r>
      <w:r>
        <w:rPr>
          <w:b/>
          <w:bCs/>
        </w:rPr>
        <w:t>E2。</w:t>
      </w:r>
    </w:p>
    <w:p w14:paraId="0A008194">
      <w:pPr>
        <w:pStyle w:val="51"/>
        <w:numPr>
          <w:ilvl w:val="5"/>
          <w:numId w:val="0"/>
        </w:numPr>
        <w:tabs>
          <w:tab w:val="left" w:pos="4395"/>
        </w:tabs>
        <w:spacing w:before="156"/>
        <w:ind w:firstLine="1897" w:firstLineChars="900"/>
        <w:jc w:val="both"/>
      </w:pPr>
      <w:r>
        <w:rPr>
          <w:rFonts w:hint="default" w:ascii="宋体" w:hAnsi="宋体" w:eastAsia="宋体" w:cs="宋体"/>
          <w:b/>
          <w:bCs/>
          <w:color w:val="auto"/>
          <w:kern w:val="2"/>
          <w:sz w:val="21"/>
          <w:szCs w:val="21"/>
          <w:lang w:val="en-US" w:eastAsia="zh-CN" w:bidi="ar-SA"/>
        </w:rPr>
        <w:t xml:space="preserve">表7.2-5 </w:t>
      </w:r>
      <w:r>
        <w:rPr>
          <w:rFonts w:hint="eastAsia" w:ascii="宋体" w:hAnsi="宋体" w:cs="宋体"/>
          <w:b/>
          <w:bCs/>
          <w:color w:val="auto"/>
          <w:kern w:val="2"/>
          <w:sz w:val="21"/>
          <w:szCs w:val="21"/>
          <w:lang w:val="en-US" w:eastAsia="zh-CN" w:bidi="ar-SA"/>
        </w:rPr>
        <w:t xml:space="preserve">   </w:t>
      </w:r>
      <w:r>
        <w:rPr>
          <w:rFonts w:hint="eastAsia"/>
        </w:rPr>
        <w:t>大气环境敏感程度分级</w:t>
      </w:r>
    </w:p>
    <w:tbl>
      <w:tblPr>
        <w:tblStyle w:val="31"/>
        <w:tblW w:w="501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14"/>
        <w:gridCol w:w="5998"/>
        <w:gridCol w:w="1754"/>
      </w:tblGrid>
      <w:tr w14:paraId="5E500AE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bottom w:val="single" w:color="000000" w:sz="6" w:space="0"/>
              <w:right w:val="single" w:color="000000" w:sz="6" w:space="0"/>
            </w:tcBorders>
          </w:tcPr>
          <w:p w14:paraId="4EC3173A">
            <w:pPr>
              <w:spacing w:line="240" w:lineRule="auto"/>
              <w:jc w:val="center"/>
              <w:rPr>
                <w:sz w:val="21"/>
                <w:szCs w:val="21"/>
              </w:rPr>
            </w:pPr>
            <w:r>
              <w:rPr>
                <w:sz w:val="21"/>
                <w:szCs w:val="21"/>
              </w:rPr>
              <w:t>分级</w:t>
            </w:r>
          </w:p>
        </w:tc>
        <w:tc>
          <w:tcPr>
            <w:tcW w:w="5976" w:type="dxa"/>
            <w:tcBorders>
              <w:left w:val="single" w:color="000000" w:sz="6" w:space="0"/>
              <w:bottom w:val="single" w:color="000000" w:sz="6" w:space="0"/>
              <w:right w:val="single" w:color="000000" w:sz="6" w:space="0"/>
            </w:tcBorders>
          </w:tcPr>
          <w:p w14:paraId="5B6F12B7">
            <w:pPr>
              <w:spacing w:line="240" w:lineRule="auto"/>
              <w:jc w:val="center"/>
              <w:rPr>
                <w:sz w:val="21"/>
                <w:szCs w:val="21"/>
              </w:rPr>
            </w:pPr>
            <w:r>
              <w:rPr>
                <w:sz w:val="21"/>
                <w:szCs w:val="21"/>
              </w:rPr>
              <w:t>大气环境敏感性</w:t>
            </w:r>
          </w:p>
        </w:tc>
        <w:tc>
          <w:tcPr>
            <w:tcW w:w="1748" w:type="dxa"/>
            <w:tcBorders>
              <w:left w:val="single" w:color="000000" w:sz="6" w:space="0"/>
              <w:bottom w:val="single" w:color="000000" w:sz="6" w:space="0"/>
            </w:tcBorders>
          </w:tcPr>
          <w:p w14:paraId="02249865">
            <w:pPr>
              <w:spacing w:line="240" w:lineRule="auto"/>
              <w:jc w:val="center"/>
              <w:rPr>
                <w:sz w:val="21"/>
                <w:szCs w:val="21"/>
              </w:rPr>
            </w:pPr>
            <w:r>
              <w:rPr>
                <w:sz w:val="21"/>
                <w:szCs w:val="21"/>
              </w:rPr>
              <w:t>类型</w:t>
            </w:r>
          </w:p>
        </w:tc>
      </w:tr>
      <w:tr w14:paraId="5927A9E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top w:val="single" w:color="000000" w:sz="6" w:space="0"/>
              <w:bottom w:val="single" w:color="000000" w:sz="6" w:space="0"/>
              <w:right w:val="single" w:color="000000" w:sz="6" w:space="0"/>
            </w:tcBorders>
            <w:vAlign w:val="center"/>
          </w:tcPr>
          <w:p w14:paraId="72C1B409">
            <w:pPr>
              <w:spacing w:line="240" w:lineRule="auto"/>
              <w:jc w:val="center"/>
              <w:rPr>
                <w:sz w:val="21"/>
                <w:szCs w:val="21"/>
              </w:rPr>
            </w:pPr>
            <w:r>
              <w:rPr>
                <w:sz w:val="21"/>
                <w:szCs w:val="21"/>
              </w:rPr>
              <w:t>E1</w:t>
            </w:r>
          </w:p>
        </w:tc>
        <w:tc>
          <w:tcPr>
            <w:tcW w:w="5976" w:type="dxa"/>
            <w:tcBorders>
              <w:top w:val="single" w:color="000000" w:sz="6" w:space="0"/>
              <w:left w:val="single" w:color="000000" w:sz="6" w:space="0"/>
              <w:bottom w:val="single" w:color="000000" w:sz="6" w:space="0"/>
              <w:right w:val="single" w:color="000000" w:sz="6" w:space="0"/>
            </w:tcBorders>
          </w:tcPr>
          <w:p w14:paraId="073B8204">
            <w:pPr>
              <w:spacing w:line="240" w:lineRule="auto"/>
              <w:jc w:val="center"/>
              <w:rPr>
                <w:sz w:val="21"/>
                <w:szCs w:val="21"/>
              </w:rPr>
            </w:pPr>
            <w:r>
              <w:rPr>
                <w:sz w:val="21"/>
                <w:szCs w:val="21"/>
              </w:rPr>
              <w:t>周边5km范围内居住区、医疗卫生、文化教育、科研、行政办公等机构人口总数大于5万人；或其他需要特殊保护区域；或周边 500m范围内人口总数大于1000人；油气、化学品输送管线管段周边200m范围内，每千米管段人口数大于200人</w:t>
            </w:r>
          </w:p>
        </w:tc>
        <w:tc>
          <w:tcPr>
            <w:tcW w:w="1748" w:type="dxa"/>
            <w:vMerge w:val="restart"/>
            <w:tcBorders>
              <w:top w:val="single" w:color="000000" w:sz="6" w:space="0"/>
              <w:left w:val="single" w:color="000000" w:sz="6" w:space="0"/>
            </w:tcBorders>
          </w:tcPr>
          <w:p w14:paraId="1267C67E">
            <w:pPr>
              <w:spacing w:line="240" w:lineRule="auto"/>
              <w:jc w:val="center"/>
              <w:rPr>
                <w:sz w:val="21"/>
                <w:szCs w:val="21"/>
              </w:rPr>
            </w:pPr>
            <w:r>
              <w:rPr>
                <w:sz w:val="21"/>
                <w:szCs w:val="21"/>
              </w:rPr>
              <w:t>项目周边5km内居住区、医疗卫生、文化教育、科研、行政办公等机构总人数</w:t>
            </w:r>
            <w:r>
              <w:rPr>
                <w:rFonts w:hint="eastAsia"/>
                <w:sz w:val="21"/>
                <w:szCs w:val="21"/>
              </w:rPr>
              <w:t>约</w:t>
            </w:r>
            <w:r>
              <w:rPr>
                <w:sz w:val="21"/>
                <w:szCs w:val="21"/>
              </w:rPr>
              <w:t>为</w:t>
            </w:r>
            <w:r>
              <w:rPr>
                <w:rFonts w:hint="eastAsia"/>
                <w:sz w:val="21"/>
                <w:szCs w:val="21"/>
              </w:rPr>
              <w:t>3</w:t>
            </w:r>
            <w:r>
              <w:rPr>
                <w:sz w:val="21"/>
                <w:szCs w:val="21"/>
              </w:rPr>
              <w:t>万人，周边500m无敏感点</w:t>
            </w:r>
            <w:r>
              <w:rPr>
                <w:rFonts w:hint="eastAsia"/>
                <w:sz w:val="21"/>
                <w:szCs w:val="21"/>
              </w:rPr>
              <w:t>无居住区、医疗卫生、文化教育、科研、行政办公等机构</w:t>
            </w:r>
            <w:r>
              <w:rPr>
                <w:sz w:val="21"/>
                <w:szCs w:val="21"/>
              </w:rPr>
              <w:t>，不涉及其他需要特殊保护区域。判定本项目大气环境敏感分级为E2级。</w:t>
            </w:r>
          </w:p>
        </w:tc>
      </w:tr>
      <w:tr w14:paraId="4140C57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top w:val="single" w:color="000000" w:sz="6" w:space="0"/>
              <w:bottom w:val="single" w:color="000000" w:sz="6" w:space="0"/>
              <w:right w:val="single" w:color="000000" w:sz="6" w:space="0"/>
            </w:tcBorders>
            <w:vAlign w:val="center"/>
          </w:tcPr>
          <w:p w14:paraId="4A0397D1">
            <w:pPr>
              <w:spacing w:line="240" w:lineRule="auto"/>
              <w:jc w:val="center"/>
              <w:rPr>
                <w:sz w:val="21"/>
                <w:szCs w:val="21"/>
              </w:rPr>
            </w:pPr>
            <w:r>
              <w:rPr>
                <w:sz w:val="21"/>
                <w:szCs w:val="21"/>
              </w:rPr>
              <w:t>E2</w:t>
            </w:r>
          </w:p>
        </w:tc>
        <w:tc>
          <w:tcPr>
            <w:tcW w:w="5976" w:type="dxa"/>
            <w:tcBorders>
              <w:top w:val="single" w:color="000000" w:sz="6" w:space="0"/>
              <w:left w:val="single" w:color="000000" w:sz="6" w:space="0"/>
              <w:bottom w:val="single" w:color="000000" w:sz="6" w:space="0"/>
              <w:right w:val="single" w:color="000000" w:sz="6" w:space="0"/>
            </w:tcBorders>
          </w:tcPr>
          <w:p w14:paraId="29B7AB0C">
            <w:pPr>
              <w:spacing w:line="240" w:lineRule="auto"/>
              <w:jc w:val="center"/>
              <w:rPr>
                <w:sz w:val="21"/>
                <w:szCs w:val="21"/>
              </w:rPr>
            </w:pPr>
            <w:r>
              <w:rPr>
                <w:sz w:val="21"/>
                <w:szCs w:val="21"/>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c>
          <w:tcPr>
            <w:tcW w:w="1748" w:type="dxa"/>
            <w:vMerge w:val="continue"/>
            <w:tcBorders>
              <w:top w:val="nil"/>
              <w:left w:val="single" w:color="000000" w:sz="6" w:space="0"/>
            </w:tcBorders>
          </w:tcPr>
          <w:p w14:paraId="6C068066">
            <w:pPr>
              <w:ind w:firstLine="40"/>
              <w:rPr>
                <w:sz w:val="2"/>
                <w:szCs w:val="2"/>
              </w:rPr>
            </w:pPr>
          </w:p>
        </w:tc>
      </w:tr>
      <w:tr w14:paraId="38BB5A9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top w:val="single" w:color="000000" w:sz="6" w:space="0"/>
              <w:right w:val="single" w:color="000000" w:sz="6" w:space="0"/>
            </w:tcBorders>
            <w:vAlign w:val="center"/>
          </w:tcPr>
          <w:p w14:paraId="0785E438">
            <w:pPr>
              <w:spacing w:line="240" w:lineRule="auto"/>
              <w:jc w:val="center"/>
              <w:rPr>
                <w:sz w:val="21"/>
                <w:szCs w:val="21"/>
              </w:rPr>
            </w:pPr>
            <w:r>
              <w:rPr>
                <w:sz w:val="21"/>
                <w:szCs w:val="21"/>
              </w:rPr>
              <w:t>E3</w:t>
            </w:r>
          </w:p>
        </w:tc>
        <w:tc>
          <w:tcPr>
            <w:tcW w:w="5976" w:type="dxa"/>
            <w:tcBorders>
              <w:top w:val="single" w:color="000000" w:sz="6" w:space="0"/>
              <w:left w:val="single" w:color="000000" w:sz="6" w:space="0"/>
              <w:right w:val="single" w:color="000000" w:sz="6" w:space="0"/>
            </w:tcBorders>
          </w:tcPr>
          <w:p w14:paraId="003DAF55">
            <w:pPr>
              <w:spacing w:line="240" w:lineRule="auto"/>
              <w:jc w:val="center"/>
              <w:rPr>
                <w:sz w:val="21"/>
                <w:szCs w:val="21"/>
              </w:rPr>
            </w:pPr>
            <w:r>
              <w:rPr>
                <w:sz w:val="21"/>
                <w:szCs w:val="21"/>
              </w:rPr>
              <w:t>周边5km范围内居住区、医疗卫生、文化教育、科研、行政办公等机构人口总数小于1万人；或周边500m范围内人口总数小于500人；油气、化学品输送管线管段周边200m范围内，每千米管段人口数小于100人</w:t>
            </w:r>
          </w:p>
        </w:tc>
        <w:tc>
          <w:tcPr>
            <w:tcW w:w="1748" w:type="dxa"/>
            <w:vMerge w:val="continue"/>
            <w:tcBorders>
              <w:top w:val="nil"/>
              <w:left w:val="single" w:color="000000" w:sz="6" w:space="0"/>
            </w:tcBorders>
          </w:tcPr>
          <w:p w14:paraId="52EF31A3">
            <w:pPr>
              <w:ind w:firstLine="40"/>
              <w:rPr>
                <w:sz w:val="2"/>
                <w:szCs w:val="2"/>
              </w:rPr>
            </w:pPr>
          </w:p>
        </w:tc>
      </w:tr>
    </w:tbl>
    <w:p w14:paraId="30337DDB">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7.2.3.2</w:t>
      </w:r>
      <w:r>
        <w:rPr>
          <w:rFonts w:hint="eastAsia"/>
        </w:rPr>
        <w:t>地表水环境敏感程度分级</w:t>
      </w:r>
    </w:p>
    <w:p w14:paraId="25D1C02F">
      <w:pPr>
        <w:ind w:firstLine="480"/>
      </w:pPr>
      <w:r>
        <w:rPr>
          <w:rFonts w:eastAsiaTheme="minorEastAsia"/>
        </w:rPr>
        <w:t>⑴</w:t>
      </w:r>
      <w:r>
        <w:rPr>
          <w:rFonts w:hint="eastAsia" w:eastAsiaTheme="minorEastAsia"/>
        </w:rPr>
        <w:t>地表水功能敏感程度（F）分级</w:t>
      </w:r>
    </w:p>
    <w:p w14:paraId="5D4B5F6E">
      <w:pPr>
        <w:ind w:firstLine="480"/>
      </w:pPr>
      <w:r>
        <w:t>根据HJ169-2018，地表水功能敏感程度可分为三种类型。本项目废水处理达标后经市政管网排入湘潭县顺业污水处理有限公司污水处理厂</w:t>
      </w:r>
      <w:r>
        <w:rPr>
          <w:rFonts w:hint="eastAsia"/>
        </w:rPr>
        <w:t>处理</w:t>
      </w:r>
      <w:r>
        <w:t>，处理达标后排入湘江。本项目废水间接排放，未直接排入地表水水域。因此，地表水功能敏感性分级为</w:t>
      </w:r>
      <w:r>
        <w:rPr>
          <w:b/>
          <w:bCs/>
        </w:rPr>
        <w:t>F3</w:t>
      </w:r>
      <w:r>
        <w:t>。</w:t>
      </w:r>
    </w:p>
    <w:p w14:paraId="2ADDED32">
      <w:pPr>
        <w:pStyle w:val="51"/>
        <w:numPr>
          <w:ilvl w:val="5"/>
          <w:numId w:val="0"/>
        </w:numPr>
        <w:tabs>
          <w:tab w:val="left" w:pos="4395"/>
        </w:tabs>
        <w:spacing w:before="156"/>
        <w:ind w:left="4969" w:leftChars="1054" w:hanging="2439" w:hangingChars="1157"/>
        <w:jc w:val="both"/>
      </w:pPr>
      <w:r>
        <w:rPr>
          <w:rFonts w:hint="default" w:ascii="宋体" w:hAnsi="宋体" w:eastAsia="宋体" w:cs="宋体"/>
          <w:b/>
          <w:bCs/>
          <w:color w:val="auto"/>
          <w:kern w:val="2"/>
          <w:sz w:val="21"/>
          <w:szCs w:val="21"/>
          <w:lang w:val="en-US" w:eastAsia="zh-CN" w:bidi="ar-SA"/>
        </w:rPr>
        <w:t xml:space="preserve">表7.2-6 </w:t>
      </w:r>
      <w:r>
        <w:rPr>
          <w:rFonts w:hint="eastAsia" w:ascii="宋体" w:hAnsi="宋体" w:cs="宋体"/>
          <w:b/>
          <w:bCs/>
          <w:color w:val="auto"/>
          <w:kern w:val="2"/>
          <w:sz w:val="21"/>
          <w:szCs w:val="21"/>
          <w:lang w:val="en-US" w:eastAsia="zh-CN" w:bidi="ar-SA"/>
        </w:rPr>
        <w:t xml:space="preserve">  </w:t>
      </w:r>
      <w:r>
        <w:rPr>
          <w:rFonts w:hint="eastAsia"/>
        </w:rPr>
        <w:t>地表水功能敏感性分区</w:t>
      </w:r>
    </w:p>
    <w:tbl>
      <w:tblPr>
        <w:tblStyle w:val="31"/>
        <w:tblW w:w="501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26"/>
        <w:gridCol w:w="7240"/>
      </w:tblGrid>
      <w:tr w14:paraId="20560EB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1122" w:type="dxa"/>
            <w:tcBorders>
              <w:bottom w:val="single" w:color="000000" w:sz="6" w:space="0"/>
              <w:right w:val="single" w:color="000000" w:sz="6" w:space="0"/>
            </w:tcBorders>
            <w:vAlign w:val="center"/>
          </w:tcPr>
          <w:p w14:paraId="75ED026A">
            <w:pPr>
              <w:spacing w:line="240" w:lineRule="auto"/>
              <w:jc w:val="center"/>
              <w:rPr>
                <w:sz w:val="21"/>
                <w:szCs w:val="21"/>
              </w:rPr>
            </w:pPr>
            <w:r>
              <w:rPr>
                <w:sz w:val="21"/>
                <w:szCs w:val="21"/>
              </w:rPr>
              <w:t>分级</w:t>
            </w:r>
          </w:p>
        </w:tc>
        <w:tc>
          <w:tcPr>
            <w:tcW w:w="7214" w:type="dxa"/>
            <w:tcBorders>
              <w:left w:val="single" w:color="000000" w:sz="6" w:space="0"/>
              <w:bottom w:val="single" w:color="000000" w:sz="6" w:space="0"/>
            </w:tcBorders>
            <w:vAlign w:val="center"/>
          </w:tcPr>
          <w:p w14:paraId="6D94A012">
            <w:pPr>
              <w:spacing w:line="240" w:lineRule="auto"/>
              <w:jc w:val="center"/>
              <w:rPr>
                <w:sz w:val="21"/>
                <w:szCs w:val="21"/>
              </w:rPr>
            </w:pPr>
            <w:r>
              <w:rPr>
                <w:sz w:val="21"/>
                <w:szCs w:val="21"/>
              </w:rPr>
              <w:t>大气环境敏感性</w:t>
            </w:r>
          </w:p>
        </w:tc>
      </w:tr>
      <w:tr w14:paraId="6B7F151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1122" w:type="dxa"/>
            <w:tcBorders>
              <w:top w:val="single" w:color="000000" w:sz="6" w:space="0"/>
              <w:bottom w:val="single" w:color="000000" w:sz="6" w:space="0"/>
              <w:right w:val="single" w:color="000000" w:sz="6" w:space="0"/>
            </w:tcBorders>
            <w:vAlign w:val="center"/>
          </w:tcPr>
          <w:p w14:paraId="50DC6A1F">
            <w:pPr>
              <w:spacing w:line="240" w:lineRule="auto"/>
              <w:jc w:val="center"/>
              <w:rPr>
                <w:sz w:val="21"/>
                <w:szCs w:val="21"/>
              </w:rPr>
            </w:pPr>
            <w:r>
              <w:rPr>
                <w:sz w:val="21"/>
                <w:szCs w:val="21"/>
              </w:rPr>
              <w:t>敏感F1</w:t>
            </w:r>
          </w:p>
        </w:tc>
        <w:tc>
          <w:tcPr>
            <w:tcW w:w="7214" w:type="dxa"/>
            <w:tcBorders>
              <w:top w:val="single" w:color="000000" w:sz="6" w:space="0"/>
              <w:left w:val="single" w:color="000000" w:sz="6" w:space="0"/>
              <w:bottom w:val="single" w:color="000000" w:sz="6" w:space="0"/>
            </w:tcBorders>
            <w:vAlign w:val="center"/>
          </w:tcPr>
          <w:p w14:paraId="20F238DF">
            <w:pPr>
              <w:spacing w:line="240" w:lineRule="auto"/>
              <w:jc w:val="center"/>
              <w:rPr>
                <w:sz w:val="21"/>
                <w:szCs w:val="21"/>
              </w:rPr>
            </w:pPr>
            <w:r>
              <w:rPr>
                <w:sz w:val="21"/>
                <w:szCs w:val="21"/>
              </w:rPr>
              <w:t>排放点进入地表水水域环境功能为II类及以上，或海水水质分类第一类；或以发生事故时，危险物质泄露到水体的排放点算起，排放进入受纳河流最大流速时，24h流经范围内涉跨国界的</w:t>
            </w:r>
          </w:p>
        </w:tc>
      </w:tr>
      <w:tr w14:paraId="0E497C0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1122" w:type="dxa"/>
            <w:tcBorders>
              <w:top w:val="single" w:color="000000" w:sz="6" w:space="0"/>
              <w:bottom w:val="single" w:color="000000" w:sz="6" w:space="0"/>
              <w:right w:val="single" w:color="000000" w:sz="6" w:space="0"/>
            </w:tcBorders>
            <w:vAlign w:val="center"/>
          </w:tcPr>
          <w:p w14:paraId="02EE2E6F">
            <w:pPr>
              <w:spacing w:line="240" w:lineRule="auto"/>
              <w:jc w:val="center"/>
              <w:rPr>
                <w:sz w:val="21"/>
                <w:szCs w:val="21"/>
              </w:rPr>
            </w:pPr>
            <w:r>
              <w:rPr>
                <w:sz w:val="21"/>
                <w:szCs w:val="21"/>
              </w:rPr>
              <w:t>较敏感F2</w:t>
            </w:r>
          </w:p>
        </w:tc>
        <w:tc>
          <w:tcPr>
            <w:tcW w:w="7214" w:type="dxa"/>
            <w:tcBorders>
              <w:top w:val="single" w:color="000000" w:sz="6" w:space="0"/>
              <w:left w:val="single" w:color="000000" w:sz="6" w:space="0"/>
              <w:bottom w:val="single" w:color="000000" w:sz="6" w:space="0"/>
            </w:tcBorders>
            <w:vAlign w:val="center"/>
          </w:tcPr>
          <w:p w14:paraId="75FFC8AF">
            <w:pPr>
              <w:spacing w:line="240" w:lineRule="auto"/>
              <w:jc w:val="center"/>
              <w:rPr>
                <w:sz w:val="21"/>
                <w:szCs w:val="21"/>
              </w:rPr>
            </w:pPr>
            <w:r>
              <w:rPr>
                <w:sz w:val="21"/>
                <w:szCs w:val="21"/>
              </w:rPr>
              <w:t>排放点进入地表水水域环境功能为III类，或海水水质分类第二类；或以发生事故时，危险物质泄露到水体的排放点算起，排放进入受纳河流最大流速时，24h流经范围内涉跨省界的</w:t>
            </w:r>
          </w:p>
        </w:tc>
      </w:tr>
      <w:tr w14:paraId="7615C84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1122" w:type="dxa"/>
            <w:tcBorders>
              <w:top w:val="single" w:color="000000" w:sz="6" w:space="0"/>
              <w:bottom w:val="single" w:color="000000" w:sz="6" w:space="0"/>
              <w:right w:val="single" w:color="000000" w:sz="6" w:space="0"/>
            </w:tcBorders>
            <w:vAlign w:val="center"/>
          </w:tcPr>
          <w:p w14:paraId="0CB9E832">
            <w:pPr>
              <w:spacing w:line="240" w:lineRule="auto"/>
              <w:jc w:val="center"/>
              <w:rPr>
                <w:sz w:val="21"/>
                <w:szCs w:val="21"/>
              </w:rPr>
            </w:pPr>
            <w:r>
              <w:rPr>
                <w:sz w:val="21"/>
                <w:szCs w:val="21"/>
              </w:rPr>
              <w:t>低敏感F3</w:t>
            </w:r>
          </w:p>
        </w:tc>
        <w:tc>
          <w:tcPr>
            <w:tcW w:w="7214" w:type="dxa"/>
            <w:tcBorders>
              <w:top w:val="single" w:color="000000" w:sz="6" w:space="0"/>
              <w:left w:val="single" w:color="000000" w:sz="6" w:space="0"/>
              <w:bottom w:val="single" w:color="000000" w:sz="6" w:space="0"/>
            </w:tcBorders>
            <w:vAlign w:val="center"/>
          </w:tcPr>
          <w:p w14:paraId="6F557261">
            <w:pPr>
              <w:spacing w:line="240" w:lineRule="auto"/>
              <w:jc w:val="center"/>
              <w:rPr>
                <w:sz w:val="21"/>
                <w:szCs w:val="21"/>
              </w:rPr>
            </w:pPr>
            <w:r>
              <w:rPr>
                <w:sz w:val="21"/>
                <w:szCs w:val="21"/>
              </w:rPr>
              <w:t>上述地区之外的其他地区</w:t>
            </w:r>
          </w:p>
        </w:tc>
      </w:tr>
      <w:tr w14:paraId="66F0640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336" w:type="dxa"/>
            <w:gridSpan w:val="2"/>
            <w:tcBorders>
              <w:top w:val="single" w:color="000000" w:sz="6" w:space="0"/>
            </w:tcBorders>
            <w:vAlign w:val="center"/>
          </w:tcPr>
          <w:p w14:paraId="4DCB89AD">
            <w:pPr>
              <w:spacing w:line="240" w:lineRule="auto"/>
              <w:jc w:val="center"/>
              <w:rPr>
                <w:sz w:val="21"/>
                <w:szCs w:val="21"/>
              </w:rPr>
            </w:pPr>
            <w:r>
              <w:rPr>
                <w:sz w:val="21"/>
                <w:szCs w:val="21"/>
              </w:rPr>
              <w:t>项目周边纳污水体为厂区西侧争光渠以及东侧的湘江。24h流经范围内未涉省界。判定本项目地表水环境敏感性为F3级</w:t>
            </w:r>
          </w:p>
        </w:tc>
      </w:tr>
    </w:tbl>
    <w:p w14:paraId="7C626F92">
      <w:pPr>
        <w:ind w:firstLine="480"/>
      </w:pPr>
      <w:r>
        <w:rPr>
          <w:rFonts w:hint="eastAsia" w:ascii="宋体" w:hAnsi="宋体" w:cs="宋体"/>
        </w:rPr>
        <w:t>⑵环境敏感目标</w:t>
      </w:r>
      <w:r>
        <w:rPr>
          <w:rFonts w:hint="eastAsia" w:eastAsiaTheme="minorEastAsia"/>
        </w:rPr>
        <w:t>（S）分级</w:t>
      </w:r>
    </w:p>
    <w:p w14:paraId="140B06C1">
      <w:pPr>
        <w:ind w:firstLine="480"/>
      </w:pPr>
      <w:r>
        <w:t>根据HJ169-2018，地表水功能敏感程度可分为三种类型</w:t>
      </w:r>
      <w:r>
        <w:rPr>
          <w:rFonts w:hint="eastAsia"/>
        </w:rPr>
        <w:t>，具体见下表。项目地表水功能敏感目标分级为</w:t>
      </w:r>
      <w:r>
        <w:rPr>
          <w:rFonts w:hint="eastAsia"/>
          <w:b/>
          <w:bCs/>
        </w:rPr>
        <w:t>S2</w:t>
      </w:r>
      <w:r>
        <w:rPr>
          <w:rFonts w:hint="eastAsia"/>
        </w:rPr>
        <w:t>。</w:t>
      </w:r>
    </w:p>
    <w:p w14:paraId="5C171B62">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表7.2-7 </w:t>
      </w:r>
      <w:r>
        <w:rPr>
          <w:rFonts w:hint="eastAsia" w:ascii="宋体" w:hAnsi="宋体" w:cs="宋体"/>
          <w:b/>
          <w:bCs/>
          <w:color w:val="auto"/>
          <w:kern w:val="2"/>
          <w:sz w:val="21"/>
          <w:szCs w:val="21"/>
          <w:lang w:val="en-US" w:eastAsia="zh-CN" w:bidi="ar-SA"/>
        </w:rPr>
        <w:t xml:space="preserve">  </w:t>
      </w:r>
      <w:r>
        <w:rPr>
          <w:rFonts w:hint="eastAsia"/>
        </w:rPr>
        <w:t>环境敏感目标分级</w:t>
      </w:r>
    </w:p>
    <w:tbl>
      <w:tblPr>
        <w:tblStyle w:val="31"/>
        <w:tblW w:w="501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14"/>
        <w:gridCol w:w="7752"/>
      </w:tblGrid>
      <w:tr w14:paraId="723BA9A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bottom w:val="single" w:color="000000" w:sz="6" w:space="0"/>
              <w:right w:val="single" w:color="000000" w:sz="6" w:space="0"/>
            </w:tcBorders>
            <w:vAlign w:val="center"/>
          </w:tcPr>
          <w:p w14:paraId="483C6A9A">
            <w:pPr>
              <w:spacing w:line="240" w:lineRule="auto"/>
              <w:jc w:val="center"/>
              <w:rPr>
                <w:sz w:val="21"/>
                <w:szCs w:val="21"/>
              </w:rPr>
            </w:pPr>
            <w:r>
              <w:rPr>
                <w:sz w:val="21"/>
                <w:szCs w:val="21"/>
              </w:rPr>
              <w:t>分级</w:t>
            </w:r>
          </w:p>
        </w:tc>
        <w:tc>
          <w:tcPr>
            <w:tcW w:w="7724" w:type="dxa"/>
            <w:tcBorders>
              <w:left w:val="single" w:color="000000" w:sz="6" w:space="0"/>
              <w:bottom w:val="single" w:color="000000" w:sz="6" w:space="0"/>
            </w:tcBorders>
            <w:vAlign w:val="center"/>
          </w:tcPr>
          <w:p w14:paraId="169EDDD9">
            <w:pPr>
              <w:spacing w:line="240" w:lineRule="auto"/>
              <w:jc w:val="center"/>
              <w:rPr>
                <w:sz w:val="21"/>
                <w:szCs w:val="21"/>
              </w:rPr>
            </w:pPr>
            <w:r>
              <w:rPr>
                <w:sz w:val="21"/>
                <w:szCs w:val="21"/>
              </w:rPr>
              <w:t>环境敏感目标</w:t>
            </w:r>
          </w:p>
        </w:tc>
      </w:tr>
      <w:tr w14:paraId="5F920DA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top w:val="single" w:color="000000" w:sz="6" w:space="0"/>
              <w:bottom w:val="single" w:color="000000" w:sz="6" w:space="0"/>
              <w:right w:val="single" w:color="000000" w:sz="6" w:space="0"/>
            </w:tcBorders>
            <w:vAlign w:val="center"/>
          </w:tcPr>
          <w:p w14:paraId="1FBC621A">
            <w:pPr>
              <w:spacing w:line="240" w:lineRule="auto"/>
              <w:jc w:val="center"/>
              <w:rPr>
                <w:sz w:val="21"/>
                <w:szCs w:val="21"/>
              </w:rPr>
            </w:pPr>
            <w:r>
              <w:rPr>
                <w:sz w:val="21"/>
                <w:szCs w:val="21"/>
              </w:rPr>
              <w:t>S1</w:t>
            </w:r>
          </w:p>
        </w:tc>
        <w:tc>
          <w:tcPr>
            <w:tcW w:w="7724" w:type="dxa"/>
            <w:tcBorders>
              <w:top w:val="single" w:color="000000" w:sz="6" w:space="0"/>
              <w:left w:val="single" w:color="000000" w:sz="6" w:space="0"/>
              <w:bottom w:val="single" w:color="000000" w:sz="6" w:space="0"/>
            </w:tcBorders>
            <w:vAlign w:val="center"/>
          </w:tcPr>
          <w:p w14:paraId="0D91EB5F">
            <w:pPr>
              <w:spacing w:line="240" w:lineRule="auto"/>
              <w:rPr>
                <w:sz w:val="21"/>
                <w:szCs w:val="21"/>
              </w:rPr>
            </w:pPr>
            <w:r>
              <w:rPr>
                <w:sz w:val="21"/>
                <w:szCs w:val="21"/>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 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6362CC0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top w:val="single" w:color="000000" w:sz="6" w:space="0"/>
              <w:bottom w:val="single" w:color="000000" w:sz="6" w:space="0"/>
              <w:right w:val="single" w:color="000000" w:sz="6" w:space="0"/>
            </w:tcBorders>
            <w:vAlign w:val="center"/>
          </w:tcPr>
          <w:p w14:paraId="7B9AB912">
            <w:pPr>
              <w:spacing w:line="240" w:lineRule="auto"/>
              <w:jc w:val="center"/>
              <w:rPr>
                <w:sz w:val="21"/>
                <w:szCs w:val="21"/>
              </w:rPr>
            </w:pPr>
            <w:r>
              <w:rPr>
                <w:sz w:val="21"/>
                <w:szCs w:val="21"/>
              </w:rPr>
              <w:t>S2</w:t>
            </w:r>
          </w:p>
        </w:tc>
        <w:tc>
          <w:tcPr>
            <w:tcW w:w="7724" w:type="dxa"/>
            <w:tcBorders>
              <w:top w:val="single" w:color="000000" w:sz="6" w:space="0"/>
              <w:left w:val="single" w:color="000000" w:sz="6" w:space="0"/>
              <w:bottom w:val="single" w:color="000000" w:sz="6" w:space="0"/>
            </w:tcBorders>
            <w:vAlign w:val="center"/>
          </w:tcPr>
          <w:p w14:paraId="43289F0B">
            <w:pPr>
              <w:spacing w:line="240" w:lineRule="auto"/>
              <w:rPr>
                <w:sz w:val="21"/>
                <w:szCs w:val="21"/>
              </w:rPr>
            </w:pPr>
            <w:r>
              <w:rPr>
                <w:sz w:val="21"/>
                <w:szCs w:val="21"/>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1D77F4E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12" w:type="dxa"/>
            <w:tcBorders>
              <w:top w:val="single" w:color="000000" w:sz="6" w:space="0"/>
              <w:bottom w:val="single" w:color="000000" w:sz="6" w:space="0"/>
              <w:right w:val="single" w:color="000000" w:sz="6" w:space="0"/>
            </w:tcBorders>
            <w:vAlign w:val="center"/>
          </w:tcPr>
          <w:p w14:paraId="3D36572D">
            <w:pPr>
              <w:spacing w:line="240" w:lineRule="auto"/>
              <w:jc w:val="center"/>
              <w:rPr>
                <w:sz w:val="21"/>
                <w:szCs w:val="21"/>
              </w:rPr>
            </w:pPr>
            <w:r>
              <w:rPr>
                <w:sz w:val="21"/>
                <w:szCs w:val="21"/>
              </w:rPr>
              <w:t>S3</w:t>
            </w:r>
          </w:p>
        </w:tc>
        <w:tc>
          <w:tcPr>
            <w:tcW w:w="7724" w:type="dxa"/>
            <w:tcBorders>
              <w:top w:val="single" w:color="000000" w:sz="6" w:space="0"/>
              <w:left w:val="single" w:color="000000" w:sz="6" w:space="0"/>
              <w:bottom w:val="single" w:color="000000" w:sz="6" w:space="0"/>
            </w:tcBorders>
            <w:vAlign w:val="center"/>
          </w:tcPr>
          <w:p w14:paraId="3B51A82C">
            <w:pPr>
              <w:spacing w:line="240" w:lineRule="auto"/>
              <w:rPr>
                <w:sz w:val="21"/>
                <w:szCs w:val="21"/>
              </w:rPr>
            </w:pPr>
            <w:r>
              <w:rPr>
                <w:sz w:val="21"/>
                <w:szCs w:val="21"/>
              </w:rPr>
              <w:t>排放点下游（顺水流向）10km范围</w:t>
            </w:r>
            <w:r>
              <w:rPr>
                <w:rFonts w:hint="eastAsia"/>
                <w:sz w:val="21"/>
                <w:szCs w:val="21"/>
              </w:rPr>
              <w:t>内有野鲤保护区</w:t>
            </w:r>
          </w:p>
        </w:tc>
      </w:tr>
      <w:tr w14:paraId="7B53EBC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336" w:type="dxa"/>
            <w:gridSpan w:val="2"/>
            <w:tcBorders>
              <w:top w:val="single" w:color="000000" w:sz="6" w:space="0"/>
            </w:tcBorders>
            <w:vAlign w:val="center"/>
          </w:tcPr>
          <w:p w14:paraId="42A05B57">
            <w:pPr>
              <w:spacing w:line="240" w:lineRule="auto"/>
              <w:rPr>
                <w:sz w:val="21"/>
                <w:szCs w:val="21"/>
              </w:rPr>
            </w:pPr>
            <w:r>
              <w:rPr>
                <w:sz w:val="21"/>
                <w:szCs w:val="21"/>
              </w:rPr>
              <w:t>本项目危险物质泄漏主要通过市政雨水管网排入周边水体内，危险排放点下游（顺水流向）10km范围</w:t>
            </w:r>
            <w:r>
              <w:rPr>
                <w:rFonts w:hint="eastAsia"/>
                <w:sz w:val="21"/>
                <w:szCs w:val="21"/>
              </w:rPr>
              <w:t>内有野鲤保护区</w:t>
            </w:r>
            <w:r>
              <w:rPr>
                <w:sz w:val="21"/>
                <w:szCs w:val="21"/>
              </w:rPr>
              <w:t>，判定本项目环境敏感目标敏感性为</w:t>
            </w:r>
            <w:r>
              <w:rPr>
                <w:b/>
                <w:bCs/>
                <w:sz w:val="21"/>
                <w:szCs w:val="21"/>
              </w:rPr>
              <w:t>S</w:t>
            </w:r>
            <w:r>
              <w:rPr>
                <w:rFonts w:hint="eastAsia"/>
                <w:b/>
                <w:bCs/>
                <w:sz w:val="21"/>
                <w:szCs w:val="21"/>
              </w:rPr>
              <w:t>2</w:t>
            </w:r>
            <w:r>
              <w:rPr>
                <w:b/>
                <w:bCs/>
                <w:sz w:val="21"/>
                <w:szCs w:val="21"/>
              </w:rPr>
              <w:t>级</w:t>
            </w:r>
          </w:p>
        </w:tc>
      </w:tr>
    </w:tbl>
    <w:p w14:paraId="29A6D9BA">
      <w:pPr>
        <w:ind w:firstLine="480"/>
      </w:pPr>
      <w:r>
        <w:rPr>
          <w:rFonts w:hint="eastAsia" w:ascii="宋体" w:hAnsi="宋体" w:cs="宋体"/>
        </w:rPr>
        <w:t>⑶</w:t>
      </w:r>
      <w:r>
        <w:rPr>
          <w:rFonts w:hint="eastAsia"/>
        </w:rPr>
        <w:t>地表水环境敏感程度（E）分级</w:t>
      </w:r>
    </w:p>
    <w:p w14:paraId="22F7BCF0">
      <w:pPr>
        <w:ind w:firstLine="480"/>
      </w:pPr>
      <w:r>
        <w:t>地表水环境敏感程度共分为三种类型，E1为环境高度敏感区，E2为环境中度敏感区，E3为环境低度敏感区，分级原则见下表。由上述分级情况，本项目地表水功能敏感性分级为低敏感F3，敏感目标分级为S3，则地表水环境敏感程度为</w:t>
      </w:r>
      <w:r>
        <w:rPr>
          <w:b/>
          <w:bCs/>
        </w:rPr>
        <w:t>E3</w:t>
      </w:r>
      <w:r>
        <w:t>。</w:t>
      </w:r>
    </w:p>
    <w:p w14:paraId="751C8D59">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表7.2-8 </w:t>
      </w:r>
      <w:r>
        <w:rPr>
          <w:rFonts w:hint="eastAsia" w:ascii="宋体" w:hAnsi="宋体" w:cs="宋体"/>
          <w:b/>
          <w:bCs/>
          <w:color w:val="auto"/>
          <w:kern w:val="2"/>
          <w:sz w:val="21"/>
          <w:szCs w:val="21"/>
          <w:lang w:val="en-US" w:eastAsia="zh-CN" w:bidi="ar-SA"/>
        </w:rPr>
        <w:t xml:space="preserve">  </w:t>
      </w:r>
      <w:r>
        <w:rPr>
          <w:rFonts w:hint="eastAsia"/>
        </w:rPr>
        <w:t>地表水环境敏感程度分级</w:t>
      </w:r>
    </w:p>
    <w:tbl>
      <w:tblPr>
        <w:tblStyle w:val="31"/>
        <w:tblW w:w="5000" w:type="pct"/>
        <w:tblInd w:w="14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542"/>
        <w:gridCol w:w="2266"/>
        <w:gridCol w:w="2264"/>
        <w:gridCol w:w="2264"/>
      </w:tblGrid>
      <w:tr w14:paraId="5ECC98D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vMerge w:val="restart"/>
            <w:tcBorders>
              <w:bottom w:val="single" w:color="000000" w:sz="6" w:space="0"/>
              <w:right w:val="single" w:color="000000" w:sz="6" w:space="0"/>
            </w:tcBorders>
            <w:vAlign w:val="center"/>
          </w:tcPr>
          <w:p w14:paraId="53EF2C0B">
            <w:pPr>
              <w:spacing w:line="240" w:lineRule="auto"/>
              <w:jc w:val="center"/>
              <w:rPr>
                <w:sz w:val="21"/>
                <w:szCs w:val="21"/>
              </w:rPr>
            </w:pPr>
            <w:r>
              <w:rPr>
                <w:sz w:val="21"/>
                <w:szCs w:val="21"/>
              </w:rPr>
              <w:t>环境敏感目标</w:t>
            </w:r>
          </w:p>
        </w:tc>
        <w:tc>
          <w:tcPr>
            <w:tcW w:w="6794" w:type="dxa"/>
            <w:gridSpan w:val="3"/>
            <w:tcBorders>
              <w:left w:val="single" w:color="000000" w:sz="6" w:space="0"/>
              <w:bottom w:val="single" w:color="000000" w:sz="6" w:space="0"/>
            </w:tcBorders>
            <w:vAlign w:val="center"/>
          </w:tcPr>
          <w:p w14:paraId="2BFEF01A">
            <w:pPr>
              <w:spacing w:line="240" w:lineRule="auto"/>
              <w:jc w:val="center"/>
              <w:rPr>
                <w:sz w:val="21"/>
                <w:szCs w:val="21"/>
              </w:rPr>
            </w:pPr>
            <w:r>
              <w:rPr>
                <w:sz w:val="21"/>
                <w:szCs w:val="21"/>
              </w:rPr>
              <w:t>地表水功能敏感性</w:t>
            </w:r>
          </w:p>
        </w:tc>
      </w:tr>
      <w:tr w14:paraId="755A188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vMerge w:val="continue"/>
            <w:tcBorders>
              <w:top w:val="nil"/>
              <w:bottom w:val="single" w:color="000000" w:sz="6" w:space="0"/>
              <w:right w:val="single" w:color="000000" w:sz="6" w:space="0"/>
            </w:tcBorders>
            <w:vAlign w:val="center"/>
          </w:tcPr>
          <w:p w14:paraId="09BA36FA">
            <w:pPr>
              <w:spacing w:line="240" w:lineRule="auto"/>
              <w:jc w:val="center"/>
              <w:rPr>
                <w:sz w:val="21"/>
                <w:szCs w:val="21"/>
              </w:rPr>
            </w:pPr>
          </w:p>
        </w:tc>
        <w:tc>
          <w:tcPr>
            <w:tcW w:w="2266" w:type="dxa"/>
            <w:tcBorders>
              <w:top w:val="single" w:color="000000" w:sz="6" w:space="0"/>
              <w:left w:val="single" w:color="000000" w:sz="6" w:space="0"/>
              <w:bottom w:val="single" w:color="000000" w:sz="6" w:space="0"/>
              <w:right w:val="single" w:color="000000" w:sz="6" w:space="0"/>
            </w:tcBorders>
            <w:vAlign w:val="center"/>
          </w:tcPr>
          <w:p w14:paraId="4E809D43">
            <w:pPr>
              <w:spacing w:line="240" w:lineRule="auto"/>
              <w:jc w:val="center"/>
              <w:rPr>
                <w:sz w:val="21"/>
                <w:szCs w:val="21"/>
              </w:rPr>
            </w:pPr>
            <w:r>
              <w:rPr>
                <w:sz w:val="21"/>
                <w:szCs w:val="21"/>
              </w:rPr>
              <w:t>F1</w:t>
            </w:r>
          </w:p>
        </w:tc>
        <w:tc>
          <w:tcPr>
            <w:tcW w:w="2264" w:type="dxa"/>
            <w:tcBorders>
              <w:top w:val="single" w:color="000000" w:sz="6" w:space="0"/>
              <w:left w:val="single" w:color="000000" w:sz="6" w:space="0"/>
              <w:bottom w:val="single" w:color="000000" w:sz="6" w:space="0"/>
              <w:right w:val="single" w:color="000000" w:sz="6" w:space="0"/>
            </w:tcBorders>
            <w:vAlign w:val="center"/>
          </w:tcPr>
          <w:p w14:paraId="0A111BFC">
            <w:pPr>
              <w:spacing w:line="240" w:lineRule="auto"/>
              <w:jc w:val="center"/>
              <w:rPr>
                <w:sz w:val="21"/>
                <w:szCs w:val="21"/>
              </w:rPr>
            </w:pPr>
            <w:r>
              <w:rPr>
                <w:sz w:val="21"/>
                <w:szCs w:val="21"/>
              </w:rPr>
              <w:t>F2</w:t>
            </w:r>
          </w:p>
        </w:tc>
        <w:tc>
          <w:tcPr>
            <w:tcW w:w="2264" w:type="dxa"/>
            <w:tcBorders>
              <w:top w:val="single" w:color="000000" w:sz="6" w:space="0"/>
              <w:left w:val="single" w:color="000000" w:sz="6" w:space="0"/>
              <w:bottom w:val="single" w:color="000000" w:sz="6" w:space="0"/>
            </w:tcBorders>
            <w:vAlign w:val="center"/>
          </w:tcPr>
          <w:p w14:paraId="228EDC2A">
            <w:pPr>
              <w:spacing w:line="240" w:lineRule="auto"/>
              <w:jc w:val="center"/>
              <w:rPr>
                <w:sz w:val="21"/>
                <w:szCs w:val="21"/>
              </w:rPr>
            </w:pPr>
            <w:r>
              <w:rPr>
                <w:sz w:val="21"/>
                <w:szCs w:val="21"/>
              </w:rPr>
              <w:t>F3</w:t>
            </w:r>
          </w:p>
        </w:tc>
      </w:tr>
      <w:tr w14:paraId="67C6810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tcBorders>
              <w:top w:val="single" w:color="000000" w:sz="6" w:space="0"/>
              <w:bottom w:val="single" w:color="000000" w:sz="6" w:space="0"/>
              <w:right w:val="single" w:color="000000" w:sz="6" w:space="0"/>
            </w:tcBorders>
            <w:vAlign w:val="center"/>
          </w:tcPr>
          <w:p w14:paraId="33A3191F">
            <w:pPr>
              <w:spacing w:line="240" w:lineRule="auto"/>
              <w:jc w:val="center"/>
              <w:rPr>
                <w:sz w:val="21"/>
                <w:szCs w:val="21"/>
              </w:rPr>
            </w:pPr>
            <w:r>
              <w:rPr>
                <w:sz w:val="21"/>
                <w:szCs w:val="21"/>
              </w:rPr>
              <w:t>S1</w:t>
            </w:r>
          </w:p>
        </w:tc>
        <w:tc>
          <w:tcPr>
            <w:tcW w:w="2266" w:type="dxa"/>
            <w:tcBorders>
              <w:top w:val="single" w:color="000000" w:sz="6" w:space="0"/>
              <w:left w:val="single" w:color="000000" w:sz="6" w:space="0"/>
              <w:bottom w:val="single" w:color="000000" w:sz="6" w:space="0"/>
              <w:right w:val="single" w:color="000000" w:sz="6" w:space="0"/>
            </w:tcBorders>
            <w:vAlign w:val="center"/>
          </w:tcPr>
          <w:p w14:paraId="26BE7248">
            <w:pPr>
              <w:spacing w:line="240" w:lineRule="auto"/>
              <w:jc w:val="center"/>
              <w:rPr>
                <w:sz w:val="21"/>
                <w:szCs w:val="21"/>
              </w:rPr>
            </w:pPr>
            <w:r>
              <w:rPr>
                <w:sz w:val="21"/>
                <w:szCs w:val="21"/>
              </w:rPr>
              <w:t>E1</w:t>
            </w:r>
          </w:p>
        </w:tc>
        <w:tc>
          <w:tcPr>
            <w:tcW w:w="2264" w:type="dxa"/>
            <w:tcBorders>
              <w:top w:val="single" w:color="000000" w:sz="6" w:space="0"/>
              <w:left w:val="single" w:color="000000" w:sz="6" w:space="0"/>
              <w:bottom w:val="single" w:color="000000" w:sz="6" w:space="0"/>
              <w:right w:val="single" w:color="000000" w:sz="6" w:space="0"/>
            </w:tcBorders>
            <w:vAlign w:val="center"/>
          </w:tcPr>
          <w:p w14:paraId="3123810D">
            <w:pPr>
              <w:spacing w:line="240" w:lineRule="auto"/>
              <w:jc w:val="center"/>
              <w:rPr>
                <w:sz w:val="21"/>
                <w:szCs w:val="21"/>
              </w:rPr>
            </w:pPr>
            <w:r>
              <w:rPr>
                <w:sz w:val="21"/>
                <w:szCs w:val="21"/>
              </w:rPr>
              <w:t>E1</w:t>
            </w:r>
          </w:p>
        </w:tc>
        <w:tc>
          <w:tcPr>
            <w:tcW w:w="2264" w:type="dxa"/>
            <w:tcBorders>
              <w:top w:val="single" w:color="000000" w:sz="6" w:space="0"/>
              <w:left w:val="single" w:color="000000" w:sz="6" w:space="0"/>
              <w:bottom w:val="single" w:color="000000" w:sz="6" w:space="0"/>
            </w:tcBorders>
            <w:vAlign w:val="center"/>
          </w:tcPr>
          <w:p w14:paraId="4812A5D0">
            <w:pPr>
              <w:spacing w:line="240" w:lineRule="auto"/>
              <w:jc w:val="center"/>
              <w:rPr>
                <w:sz w:val="21"/>
                <w:szCs w:val="21"/>
              </w:rPr>
            </w:pPr>
            <w:r>
              <w:rPr>
                <w:sz w:val="21"/>
                <w:szCs w:val="21"/>
              </w:rPr>
              <w:t>E2</w:t>
            </w:r>
          </w:p>
        </w:tc>
      </w:tr>
      <w:tr w14:paraId="3AEAE78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tcBorders>
              <w:top w:val="single" w:color="000000" w:sz="6" w:space="0"/>
              <w:bottom w:val="single" w:color="000000" w:sz="6" w:space="0"/>
              <w:right w:val="single" w:color="000000" w:sz="6" w:space="0"/>
            </w:tcBorders>
            <w:vAlign w:val="center"/>
          </w:tcPr>
          <w:p w14:paraId="26F0056F">
            <w:pPr>
              <w:spacing w:line="240" w:lineRule="auto"/>
              <w:jc w:val="center"/>
              <w:rPr>
                <w:sz w:val="21"/>
                <w:szCs w:val="21"/>
              </w:rPr>
            </w:pPr>
            <w:r>
              <w:rPr>
                <w:sz w:val="21"/>
                <w:szCs w:val="21"/>
              </w:rPr>
              <w:t>S2</w:t>
            </w:r>
          </w:p>
        </w:tc>
        <w:tc>
          <w:tcPr>
            <w:tcW w:w="2266" w:type="dxa"/>
            <w:tcBorders>
              <w:top w:val="single" w:color="000000" w:sz="6" w:space="0"/>
              <w:left w:val="single" w:color="000000" w:sz="6" w:space="0"/>
              <w:bottom w:val="single" w:color="000000" w:sz="6" w:space="0"/>
              <w:right w:val="single" w:color="000000" w:sz="6" w:space="0"/>
            </w:tcBorders>
            <w:vAlign w:val="center"/>
          </w:tcPr>
          <w:p w14:paraId="73825FD5">
            <w:pPr>
              <w:spacing w:line="240" w:lineRule="auto"/>
              <w:jc w:val="center"/>
              <w:rPr>
                <w:sz w:val="21"/>
                <w:szCs w:val="21"/>
              </w:rPr>
            </w:pPr>
            <w:r>
              <w:rPr>
                <w:sz w:val="21"/>
                <w:szCs w:val="21"/>
              </w:rPr>
              <w:t>E1</w:t>
            </w:r>
          </w:p>
        </w:tc>
        <w:tc>
          <w:tcPr>
            <w:tcW w:w="2264" w:type="dxa"/>
            <w:tcBorders>
              <w:top w:val="single" w:color="000000" w:sz="6" w:space="0"/>
              <w:left w:val="single" w:color="000000" w:sz="6" w:space="0"/>
              <w:bottom w:val="single" w:color="000000" w:sz="6" w:space="0"/>
              <w:right w:val="single" w:color="000000" w:sz="6" w:space="0"/>
            </w:tcBorders>
            <w:vAlign w:val="center"/>
          </w:tcPr>
          <w:p w14:paraId="08304AAD">
            <w:pPr>
              <w:spacing w:line="240" w:lineRule="auto"/>
              <w:jc w:val="center"/>
              <w:rPr>
                <w:sz w:val="21"/>
                <w:szCs w:val="21"/>
              </w:rPr>
            </w:pPr>
            <w:r>
              <w:rPr>
                <w:sz w:val="21"/>
                <w:szCs w:val="21"/>
              </w:rPr>
              <w:t>E2</w:t>
            </w:r>
          </w:p>
        </w:tc>
        <w:tc>
          <w:tcPr>
            <w:tcW w:w="2264" w:type="dxa"/>
            <w:tcBorders>
              <w:top w:val="single" w:color="000000" w:sz="6" w:space="0"/>
              <w:left w:val="single" w:color="000000" w:sz="6" w:space="0"/>
              <w:bottom w:val="single" w:color="000000" w:sz="6" w:space="0"/>
            </w:tcBorders>
            <w:vAlign w:val="center"/>
          </w:tcPr>
          <w:p w14:paraId="78EB7D9E">
            <w:pPr>
              <w:spacing w:line="240" w:lineRule="auto"/>
              <w:jc w:val="center"/>
              <w:rPr>
                <w:sz w:val="21"/>
                <w:szCs w:val="21"/>
              </w:rPr>
            </w:pPr>
            <w:r>
              <w:rPr>
                <w:sz w:val="21"/>
                <w:szCs w:val="21"/>
              </w:rPr>
              <w:t>E3</w:t>
            </w:r>
          </w:p>
        </w:tc>
      </w:tr>
      <w:tr w14:paraId="50E0A45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tcBorders>
              <w:top w:val="single" w:color="000000" w:sz="6" w:space="0"/>
              <w:right w:val="single" w:color="000000" w:sz="6" w:space="0"/>
            </w:tcBorders>
            <w:vAlign w:val="center"/>
          </w:tcPr>
          <w:p w14:paraId="076D5C3E">
            <w:pPr>
              <w:spacing w:line="240" w:lineRule="auto"/>
              <w:jc w:val="center"/>
              <w:rPr>
                <w:sz w:val="21"/>
                <w:szCs w:val="21"/>
              </w:rPr>
            </w:pPr>
            <w:r>
              <w:rPr>
                <w:sz w:val="21"/>
                <w:szCs w:val="21"/>
              </w:rPr>
              <w:t>S3</w:t>
            </w:r>
          </w:p>
        </w:tc>
        <w:tc>
          <w:tcPr>
            <w:tcW w:w="2266" w:type="dxa"/>
            <w:tcBorders>
              <w:top w:val="single" w:color="000000" w:sz="6" w:space="0"/>
              <w:left w:val="single" w:color="000000" w:sz="6" w:space="0"/>
              <w:right w:val="single" w:color="000000" w:sz="6" w:space="0"/>
            </w:tcBorders>
            <w:vAlign w:val="center"/>
          </w:tcPr>
          <w:p w14:paraId="5E36B3A4">
            <w:pPr>
              <w:spacing w:line="240" w:lineRule="auto"/>
              <w:jc w:val="center"/>
              <w:rPr>
                <w:sz w:val="21"/>
                <w:szCs w:val="21"/>
              </w:rPr>
            </w:pPr>
            <w:r>
              <w:rPr>
                <w:sz w:val="21"/>
                <w:szCs w:val="21"/>
              </w:rPr>
              <w:t>E1</w:t>
            </w:r>
          </w:p>
        </w:tc>
        <w:tc>
          <w:tcPr>
            <w:tcW w:w="2264" w:type="dxa"/>
            <w:tcBorders>
              <w:top w:val="single" w:color="000000" w:sz="6" w:space="0"/>
              <w:left w:val="single" w:color="000000" w:sz="6" w:space="0"/>
              <w:right w:val="single" w:color="000000" w:sz="6" w:space="0"/>
            </w:tcBorders>
            <w:vAlign w:val="center"/>
          </w:tcPr>
          <w:p w14:paraId="74DCA27D">
            <w:pPr>
              <w:spacing w:line="240" w:lineRule="auto"/>
              <w:jc w:val="center"/>
              <w:rPr>
                <w:sz w:val="21"/>
                <w:szCs w:val="21"/>
              </w:rPr>
            </w:pPr>
            <w:r>
              <w:rPr>
                <w:sz w:val="21"/>
                <w:szCs w:val="21"/>
              </w:rPr>
              <w:t>E2</w:t>
            </w:r>
          </w:p>
        </w:tc>
        <w:tc>
          <w:tcPr>
            <w:tcW w:w="2264" w:type="dxa"/>
            <w:tcBorders>
              <w:top w:val="single" w:color="000000" w:sz="6" w:space="0"/>
              <w:left w:val="single" w:color="000000" w:sz="6" w:space="0"/>
            </w:tcBorders>
            <w:vAlign w:val="center"/>
          </w:tcPr>
          <w:p w14:paraId="7F44DD5E">
            <w:pPr>
              <w:spacing w:line="240" w:lineRule="auto"/>
              <w:jc w:val="center"/>
              <w:rPr>
                <w:sz w:val="21"/>
                <w:szCs w:val="21"/>
              </w:rPr>
            </w:pPr>
            <w:r>
              <w:rPr>
                <w:sz w:val="21"/>
                <w:szCs w:val="21"/>
              </w:rPr>
              <w:t>E3</w:t>
            </w:r>
          </w:p>
        </w:tc>
      </w:tr>
    </w:tbl>
    <w:p w14:paraId="79771725">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7.2.3.3</w:t>
      </w:r>
      <w:r>
        <w:rPr>
          <w:rFonts w:hint="eastAsia"/>
        </w:rPr>
        <w:t>地下水环境敏感程度分级</w:t>
      </w:r>
    </w:p>
    <w:p w14:paraId="11E49A2A">
      <w:pPr>
        <w:ind w:firstLine="480"/>
      </w:pPr>
      <w:r>
        <w:rPr>
          <w:rFonts w:eastAsiaTheme="minorEastAsia"/>
        </w:rPr>
        <w:t>⑴</w:t>
      </w:r>
      <w:r>
        <w:rPr>
          <w:rFonts w:hint="eastAsia" w:eastAsiaTheme="minorEastAsia"/>
        </w:rPr>
        <w:t>包气带防污性能（D）分级</w:t>
      </w:r>
    </w:p>
    <w:p w14:paraId="72C7C2BE">
      <w:pPr>
        <w:ind w:firstLine="480"/>
      </w:pPr>
      <w:r>
        <w:t>根据HJ169-2018，地下水包气带防污性能可分为三种类型，具体见下表。</w:t>
      </w:r>
    </w:p>
    <w:p w14:paraId="612EF07C">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表7.2-9 </w:t>
      </w:r>
      <w:r>
        <w:rPr>
          <w:rFonts w:hint="eastAsia" w:ascii="宋体" w:hAnsi="宋体" w:cs="宋体"/>
          <w:b/>
          <w:bCs/>
          <w:color w:val="auto"/>
          <w:kern w:val="2"/>
          <w:sz w:val="21"/>
          <w:szCs w:val="21"/>
          <w:lang w:val="en-US" w:eastAsia="zh-CN" w:bidi="ar-SA"/>
        </w:rPr>
        <w:t xml:space="preserve"> </w:t>
      </w:r>
      <w:r>
        <w:rPr>
          <w:rFonts w:hint="eastAsia"/>
        </w:rPr>
        <w:t>地下水包气带防污性能分区</w:t>
      </w:r>
    </w:p>
    <w:tbl>
      <w:tblPr>
        <w:tblStyle w:val="31"/>
        <w:tblW w:w="5018" w:type="pct"/>
        <w:tblInd w:w="14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26"/>
        <w:gridCol w:w="7240"/>
      </w:tblGrid>
      <w:tr w14:paraId="0610B99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122" w:type="dxa"/>
            <w:tcBorders>
              <w:bottom w:val="single" w:color="000000" w:sz="6" w:space="0"/>
              <w:right w:val="single" w:color="000000" w:sz="6" w:space="0"/>
            </w:tcBorders>
            <w:vAlign w:val="center"/>
          </w:tcPr>
          <w:p w14:paraId="34B6E9BD">
            <w:pPr>
              <w:spacing w:line="240" w:lineRule="auto"/>
              <w:jc w:val="center"/>
              <w:rPr>
                <w:sz w:val="21"/>
                <w:szCs w:val="21"/>
              </w:rPr>
            </w:pPr>
            <w:r>
              <w:rPr>
                <w:sz w:val="21"/>
                <w:szCs w:val="21"/>
              </w:rPr>
              <w:t>分级</w:t>
            </w:r>
          </w:p>
        </w:tc>
        <w:tc>
          <w:tcPr>
            <w:tcW w:w="7214" w:type="dxa"/>
            <w:tcBorders>
              <w:left w:val="single" w:color="000000" w:sz="6" w:space="0"/>
              <w:bottom w:val="single" w:color="000000" w:sz="6" w:space="0"/>
            </w:tcBorders>
            <w:vAlign w:val="center"/>
          </w:tcPr>
          <w:p w14:paraId="65AE990A">
            <w:pPr>
              <w:spacing w:line="240" w:lineRule="auto"/>
              <w:jc w:val="center"/>
              <w:rPr>
                <w:sz w:val="21"/>
                <w:szCs w:val="21"/>
              </w:rPr>
            </w:pPr>
            <w:r>
              <w:rPr>
                <w:sz w:val="21"/>
                <w:szCs w:val="21"/>
              </w:rPr>
              <w:t>包气带岩土的渗透性能</w:t>
            </w:r>
          </w:p>
        </w:tc>
      </w:tr>
      <w:tr w14:paraId="27C2047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122" w:type="dxa"/>
            <w:tcBorders>
              <w:top w:val="single" w:color="000000" w:sz="6" w:space="0"/>
              <w:bottom w:val="single" w:color="000000" w:sz="6" w:space="0"/>
              <w:right w:val="single" w:color="000000" w:sz="6" w:space="0"/>
            </w:tcBorders>
            <w:vAlign w:val="center"/>
          </w:tcPr>
          <w:p w14:paraId="541D8111">
            <w:pPr>
              <w:spacing w:line="240" w:lineRule="auto"/>
              <w:jc w:val="center"/>
              <w:rPr>
                <w:sz w:val="21"/>
                <w:szCs w:val="21"/>
              </w:rPr>
            </w:pPr>
            <w:r>
              <w:rPr>
                <w:sz w:val="21"/>
                <w:szCs w:val="21"/>
              </w:rPr>
              <w:t>D3</w:t>
            </w:r>
          </w:p>
        </w:tc>
        <w:tc>
          <w:tcPr>
            <w:tcW w:w="7214" w:type="dxa"/>
            <w:tcBorders>
              <w:top w:val="single" w:color="000000" w:sz="6" w:space="0"/>
              <w:left w:val="single" w:color="000000" w:sz="6" w:space="0"/>
              <w:bottom w:val="single" w:color="000000" w:sz="6" w:space="0"/>
            </w:tcBorders>
            <w:vAlign w:val="center"/>
          </w:tcPr>
          <w:p w14:paraId="18A02A27">
            <w:pPr>
              <w:spacing w:line="240" w:lineRule="auto"/>
              <w:jc w:val="center"/>
              <w:rPr>
                <w:sz w:val="21"/>
                <w:szCs w:val="21"/>
              </w:rPr>
            </w:pPr>
            <w:r>
              <w:rPr>
                <w:sz w:val="21"/>
                <w:szCs w:val="21"/>
              </w:rPr>
              <w:t>岩（土）层单层厚度Mb≥1.0m，渗透系数K≤10</w:t>
            </w:r>
            <w:r>
              <w:rPr>
                <w:sz w:val="21"/>
                <w:szCs w:val="21"/>
                <w:vertAlign w:val="superscript"/>
              </w:rPr>
              <w:t>-6</w:t>
            </w:r>
            <w:r>
              <w:rPr>
                <w:sz w:val="21"/>
                <w:szCs w:val="21"/>
              </w:rPr>
              <w:t>cm/s，且连续分布，稳定。</w:t>
            </w:r>
          </w:p>
        </w:tc>
      </w:tr>
      <w:tr w14:paraId="174C4A3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122" w:type="dxa"/>
            <w:tcBorders>
              <w:top w:val="single" w:color="000000" w:sz="6" w:space="0"/>
              <w:bottom w:val="single" w:color="000000" w:sz="6" w:space="0"/>
              <w:right w:val="single" w:color="000000" w:sz="6" w:space="0"/>
            </w:tcBorders>
            <w:vAlign w:val="center"/>
          </w:tcPr>
          <w:p w14:paraId="224BAAE4">
            <w:pPr>
              <w:spacing w:line="240" w:lineRule="auto"/>
              <w:jc w:val="center"/>
              <w:rPr>
                <w:sz w:val="21"/>
                <w:szCs w:val="21"/>
              </w:rPr>
            </w:pPr>
            <w:r>
              <w:rPr>
                <w:sz w:val="21"/>
                <w:szCs w:val="21"/>
              </w:rPr>
              <w:t>D2</w:t>
            </w:r>
          </w:p>
        </w:tc>
        <w:tc>
          <w:tcPr>
            <w:tcW w:w="7214" w:type="dxa"/>
            <w:tcBorders>
              <w:top w:val="single" w:color="000000" w:sz="6" w:space="0"/>
              <w:left w:val="single" w:color="000000" w:sz="6" w:space="0"/>
              <w:bottom w:val="single" w:color="000000" w:sz="6" w:space="0"/>
            </w:tcBorders>
            <w:vAlign w:val="center"/>
          </w:tcPr>
          <w:p w14:paraId="66091BFD">
            <w:pPr>
              <w:spacing w:line="240" w:lineRule="auto"/>
              <w:rPr>
                <w:sz w:val="21"/>
                <w:szCs w:val="21"/>
              </w:rPr>
            </w:pPr>
            <w:r>
              <w:rPr>
                <w:sz w:val="21"/>
                <w:szCs w:val="21"/>
              </w:rPr>
              <w:t>岩（土）层单层厚度0.5m≤Mb&lt;1.0m，渗透系数K≤10</w:t>
            </w:r>
            <w:r>
              <w:rPr>
                <w:sz w:val="21"/>
                <w:szCs w:val="21"/>
                <w:vertAlign w:val="superscript"/>
              </w:rPr>
              <w:t>-6</w:t>
            </w:r>
            <w:r>
              <w:rPr>
                <w:sz w:val="21"/>
                <w:szCs w:val="21"/>
              </w:rPr>
              <w:t>cm/s，且连续分布，稳定。岩（土）层单层厚度Mb≥1.0m，渗透系数10-6cm/s &lt;K≤10</w:t>
            </w:r>
            <w:r>
              <w:rPr>
                <w:sz w:val="21"/>
                <w:szCs w:val="21"/>
                <w:vertAlign w:val="superscript"/>
              </w:rPr>
              <w:t>-4</w:t>
            </w:r>
            <w:r>
              <w:rPr>
                <w:sz w:val="21"/>
                <w:szCs w:val="21"/>
              </w:rPr>
              <w:t>cm/s，且连续分布，稳定。</w:t>
            </w:r>
          </w:p>
        </w:tc>
      </w:tr>
      <w:tr w14:paraId="498963A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122" w:type="dxa"/>
            <w:tcBorders>
              <w:top w:val="single" w:color="000000" w:sz="6" w:space="0"/>
              <w:bottom w:val="single" w:color="000000" w:sz="6" w:space="0"/>
              <w:right w:val="single" w:color="000000" w:sz="6" w:space="0"/>
            </w:tcBorders>
            <w:vAlign w:val="center"/>
          </w:tcPr>
          <w:p w14:paraId="6DFFD1BF">
            <w:pPr>
              <w:spacing w:line="240" w:lineRule="auto"/>
              <w:jc w:val="center"/>
              <w:rPr>
                <w:sz w:val="21"/>
                <w:szCs w:val="21"/>
              </w:rPr>
            </w:pPr>
            <w:r>
              <w:rPr>
                <w:sz w:val="21"/>
                <w:szCs w:val="21"/>
              </w:rPr>
              <w:t>D1</w:t>
            </w:r>
          </w:p>
        </w:tc>
        <w:tc>
          <w:tcPr>
            <w:tcW w:w="7214" w:type="dxa"/>
            <w:tcBorders>
              <w:top w:val="single" w:color="000000" w:sz="6" w:space="0"/>
              <w:left w:val="single" w:color="000000" w:sz="6" w:space="0"/>
              <w:bottom w:val="single" w:color="000000" w:sz="6" w:space="0"/>
            </w:tcBorders>
            <w:vAlign w:val="center"/>
          </w:tcPr>
          <w:p w14:paraId="7680FC8F">
            <w:pPr>
              <w:spacing w:line="240" w:lineRule="auto"/>
              <w:jc w:val="center"/>
              <w:rPr>
                <w:sz w:val="21"/>
                <w:szCs w:val="21"/>
              </w:rPr>
            </w:pPr>
            <w:r>
              <w:rPr>
                <w:sz w:val="21"/>
                <w:szCs w:val="21"/>
              </w:rPr>
              <w:t>岩（土）层不满足上述“D2”和“D3”条件。</w:t>
            </w:r>
          </w:p>
        </w:tc>
      </w:tr>
      <w:tr w14:paraId="48E0CEB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8336" w:type="dxa"/>
            <w:gridSpan w:val="2"/>
            <w:tcBorders>
              <w:top w:val="single" w:color="000000" w:sz="6" w:space="0"/>
            </w:tcBorders>
            <w:vAlign w:val="center"/>
          </w:tcPr>
          <w:p w14:paraId="6FAA8643">
            <w:pPr>
              <w:spacing w:line="240" w:lineRule="auto"/>
              <w:jc w:val="left"/>
              <w:rPr>
                <w:sz w:val="21"/>
                <w:szCs w:val="21"/>
              </w:rPr>
            </w:pPr>
            <w:r>
              <w:rPr>
                <w:sz w:val="21"/>
                <w:szCs w:val="21"/>
              </w:rPr>
              <w:t>项目厂区均已硬化Mb≥1.0m，K≤1.0×10</w:t>
            </w:r>
            <w:r>
              <w:rPr>
                <w:sz w:val="21"/>
                <w:szCs w:val="21"/>
                <w:vertAlign w:val="superscript"/>
              </w:rPr>
              <w:t>-6</w:t>
            </w:r>
            <w:r>
              <w:rPr>
                <w:sz w:val="21"/>
                <w:szCs w:val="21"/>
              </w:rPr>
              <w:t>cm/s，且分布连续、稳定。判定本项目包气带防污性能分级为</w:t>
            </w:r>
            <w:r>
              <w:rPr>
                <w:b/>
                <w:bCs/>
                <w:sz w:val="21"/>
                <w:szCs w:val="21"/>
              </w:rPr>
              <w:t>D3</w:t>
            </w:r>
            <w:r>
              <w:rPr>
                <w:sz w:val="21"/>
                <w:szCs w:val="21"/>
              </w:rPr>
              <w:t>。</w:t>
            </w:r>
          </w:p>
        </w:tc>
      </w:tr>
    </w:tbl>
    <w:p w14:paraId="10555A23">
      <w:pPr>
        <w:ind w:firstLine="480"/>
      </w:pPr>
      <w:r>
        <w:rPr>
          <w:rFonts w:hint="eastAsia" w:ascii="宋体" w:hAnsi="宋体" w:cs="宋体"/>
        </w:rPr>
        <w:t>⑵</w:t>
      </w:r>
      <w:r>
        <w:rPr>
          <w:rFonts w:hint="eastAsia"/>
        </w:rPr>
        <w:t>地下水功能敏感性（G）分区</w:t>
      </w:r>
    </w:p>
    <w:p w14:paraId="27D2D172">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表7.2-10 </w:t>
      </w:r>
      <w:r>
        <w:rPr>
          <w:rFonts w:hint="eastAsia" w:ascii="宋体" w:hAnsi="宋体" w:cs="宋体"/>
          <w:b/>
          <w:bCs/>
          <w:color w:val="auto"/>
          <w:kern w:val="2"/>
          <w:sz w:val="21"/>
          <w:szCs w:val="21"/>
          <w:lang w:val="en-US" w:eastAsia="zh-CN" w:bidi="ar-SA"/>
        </w:rPr>
        <w:t xml:space="preserve"> </w:t>
      </w:r>
      <w:r>
        <w:rPr>
          <w:rFonts w:hint="eastAsia"/>
        </w:rPr>
        <w:t>地下水功能敏感性分区</w:t>
      </w:r>
    </w:p>
    <w:tbl>
      <w:tblPr>
        <w:tblStyle w:val="31"/>
        <w:tblW w:w="5018" w:type="pct"/>
        <w:tblInd w:w="14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257"/>
        <w:gridCol w:w="7109"/>
      </w:tblGrid>
      <w:tr w14:paraId="6C8AEDC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252" w:type="dxa"/>
            <w:tcBorders>
              <w:bottom w:val="single" w:color="000000" w:sz="6" w:space="0"/>
              <w:right w:val="single" w:color="000000" w:sz="6" w:space="0"/>
            </w:tcBorders>
            <w:vAlign w:val="center"/>
          </w:tcPr>
          <w:p w14:paraId="7BF72742">
            <w:pPr>
              <w:spacing w:line="240" w:lineRule="auto"/>
              <w:jc w:val="center"/>
              <w:rPr>
                <w:sz w:val="21"/>
                <w:szCs w:val="21"/>
              </w:rPr>
            </w:pPr>
            <w:r>
              <w:rPr>
                <w:sz w:val="21"/>
                <w:szCs w:val="21"/>
              </w:rPr>
              <w:t>敏感性</w:t>
            </w:r>
          </w:p>
        </w:tc>
        <w:tc>
          <w:tcPr>
            <w:tcW w:w="7084" w:type="dxa"/>
            <w:tcBorders>
              <w:left w:val="single" w:color="000000" w:sz="6" w:space="0"/>
              <w:bottom w:val="single" w:color="000000" w:sz="6" w:space="0"/>
            </w:tcBorders>
            <w:vAlign w:val="center"/>
          </w:tcPr>
          <w:p w14:paraId="2F66A0F7">
            <w:pPr>
              <w:spacing w:line="240" w:lineRule="auto"/>
              <w:jc w:val="center"/>
              <w:rPr>
                <w:sz w:val="21"/>
                <w:szCs w:val="21"/>
              </w:rPr>
            </w:pPr>
            <w:r>
              <w:rPr>
                <w:sz w:val="21"/>
                <w:szCs w:val="21"/>
              </w:rPr>
              <w:t>地下水环境敏感特征</w:t>
            </w:r>
          </w:p>
        </w:tc>
      </w:tr>
      <w:tr w14:paraId="214B396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252" w:type="dxa"/>
            <w:tcBorders>
              <w:top w:val="single" w:color="000000" w:sz="6" w:space="0"/>
              <w:bottom w:val="single" w:color="000000" w:sz="6" w:space="0"/>
              <w:right w:val="single" w:color="000000" w:sz="6" w:space="0"/>
            </w:tcBorders>
            <w:vAlign w:val="center"/>
          </w:tcPr>
          <w:p w14:paraId="0348B049">
            <w:pPr>
              <w:spacing w:line="240" w:lineRule="auto"/>
              <w:jc w:val="center"/>
              <w:rPr>
                <w:sz w:val="21"/>
                <w:szCs w:val="21"/>
              </w:rPr>
            </w:pPr>
            <w:r>
              <w:rPr>
                <w:sz w:val="21"/>
                <w:szCs w:val="21"/>
              </w:rPr>
              <w:t>敏感G1</w:t>
            </w:r>
          </w:p>
        </w:tc>
        <w:tc>
          <w:tcPr>
            <w:tcW w:w="7084" w:type="dxa"/>
            <w:tcBorders>
              <w:top w:val="single" w:color="000000" w:sz="6" w:space="0"/>
              <w:left w:val="single" w:color="000000" w:sz="6" w:space="0"/>
              <w:bottom w:val="single" w:color="000000" w:sz="6" w:space="0"/>
            </w:tcBorders>
            <w:vAlign w:val="center"/>
          </w:tcPr>
          <w:p w14:paraId="36326C6C">
            <w:pPr>
              <w:spacing w:line="240" w:lineRule="auto"/>
              <w:rPr>
                <w:sz w:val="21"/>
                <w:szCs w:val="21"/>
              </w:rPr>
            </w:pPr>
            <w:r>
              <w:rPr>
                <w:sz w:val="21"/>
                <w:szCs w:val="21"/>
              </w:rPr>
              <w:t>集中式饮用水源（包括已建成的在用、备用、应急水源，在建和规划的饮用水水源）准保护区；除集中式饮用水水源以外的国家或地方政府设定的与地下水有关的其他保护区，如热水、矿泉水、温泉水等特殊地下水资源保护区</w:t>
            </w:r>
          </w:p>
        </w:tc>
      </w:tr>
      <w:tr w14:paraId="3E024C4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252" w:type="dxa"/>
            <w:tcBorders>
              <w:top w:val="single" w:color="000000" w:sz="6" w:space="0"/>
              <w:bottom w:val="single" w:color="000000" w:sz="6" w:space="0"/>
              <w:right w:val="single" w:color="000000" w:sz="6" w:space="0"/>
            </w:tcBorders>
            <w:vAlign w:val="center"/>
          </w:tcPr>
          <w:p w14:paraId="2DC9EC76">
            <w:pPr>
              <w:spacing w:line="240" w:lineRule="auto"/>
              <w:jc w:val="center"/>
              <w:rPr>
                <w:sz w:val="21"/>
                <w:szCs w:val="21"/>
              </w:rPr>
            </w:pPr>
            <w:r>
              <w:rPr>
                <w:sz w:val="21"/>
                <w:szCs w:val="21"/>
              </w:rPr>
              <w:t>较敏感 G2</w:t>
            </w:r>
          </w:p>
        </w:tc>
        <w:tc>
          <w:tcPr>
            <w:tcW w:w="7084" w:type="dxa"/>
            <w:tcBorders>
              <w:top w:val="single" w:color="000000" w:sz="6" w:space="0"/>
              <w:left w:val="single" w:color="000000" w:sz="6" w:space="0"/>
              <w:bottom w:val="single" w:color="000000" w:sz="6" w:space="0"/>
            </w:tcBorders>
            <w:vAlign w:val="center"/>
          </w:tcPr>
          <w:p w14:paraId="223754E3">
            <w:pPr>
              <w:spacing w:line="240" w:lineRule="auto"/>
              <w:jc w:val="left"/>
              <w:rPr>
                <w:sz w:val="21"/>
                <w:szCs w:val="21"/>
              </w:rPr>
            </w:pPr>
            <w:r>
              <w:rPr>
                <w:sz w:val="21"/>
                <w:szCs w:val="21"/>
              </w:rPr>
              <w:t>集中式饮用水源（包括已建成的在用、备用、应急水源，在建和规划的饮用水水源） 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2651F1E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252" w:type="dxa"/>
            <w:tcBorders>
              <w:top w:val="single" w:color="000000" w:sz="6" w:space="0"/>
              <w:bottom w:val="single" w:color="000000" w:sz="6" w:space="0"/>
              <w:right w:val="single" w:color="000000" w:sz="6" w:space="0"/>
            </w:tcBorders>
            <w:vAlign w:val="center"/>
          </w:tcPr>
          <w:p w14:paraId="26252506">
            <w:pPr>
              <w:spacing w:line="240" w:lineRule="auto"/>
              <w:jc w:val="center"/>
              <w:rPr>
                <w:sz w:val="21"/>
                <w:szCs w:val="21"/>
              </w:rPr>
            </w:pPr>
            <w:r>
              <w:rPr>
                <w:sz w:val="21"/>
                <w:szCs w:val="21"/>
              </w:rPr>
              <w:t>不敏感G3</w:t>
            </w:r>
          </w:p>
        </w:tc>
        <w:tc>
          <w:tcPr>
            <w:tcW w:w="7084" w:type="dxa"/>
            <w:tcBorders>
              <w:top w:val="single" w:color="000000" w:sz="6" w:space="0"/>
              <w:left w:val="single" w:color="000000" w:sz="6" w:space="0"/>
              <w:bottom w:val="single" w:color="000000" w:sz="6" w:space="0"/>
            </w:tcBorders>
            <w:vAlign w:val="center"/>
          </w:tcPr>
          <w:p w14:paraId="53E3EEEC">
            <w:pPr>
              <w:spacing w:line="240" w:lineRule="auto"/>
              <w:jc w:val="center"/>
              <w:rPr>
                <w:sz w:val="21"/>
                <w:szCs w:val="21"/>
              </w:rPr>
            </w:pPr>
            <w:r>
              <w:rPr>
                <w:sz w:val="21"/>
                <w:szCs w:val="21"/>
              </w:rPr>
              <w:t>上述地区之外的其他地区</w:t>
            </w:r>
          </w:p>
        </w:tc>
      </w:tr>
      <w:tr w14:paraId="0F19342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8336" w:type="dxa"/>
            <w:gridSpan w:val="2"/>
            <w:tcBorders>
              <w:top w:val="single" w:color="000000" w:sz="6" w:space="0"/>
            </w:tcBorders>
            <w:vAlign w:val="center"/>
          </w:tcPr>
          <w:p w14:paraId="33D5F42B">
            <w:pPr>
              <w:spacing w:line="240" w:lineRule="auto"/>
              <w:jc w:val="left"/>
              <w:rPr>
                <w:sz w:val="21"/>
                <w:szCs w:val="21"/>
              </w:rPr>
            </w:pPr>
            <w:r>
              <w:rPr>
                <w:sz w:val="21"/>
                <w:szCs w:val="21"/>
              </w:rPr>
              <w:t>a“环境敏感区”是指《建设项目环境影响评价分类管理名录》中所界定的设计地下水的环境敏感区</w:t>
            </w:r>
          </w:p>
        </w:tc>
      </w:tr>
    </w:tbl>
    <w:p w14:paraId="572DDAD5">
      <w:pPr>
        <w:ind w:firstLine="480"/>
      </w:pPr>
      <w:r>
        <w:rPr>
          <w:rFonts w:hint="eastAsia" w:ascii="宋体" w:hAnsi="宋体" w:cs="宋体"/>
        </w:rPr>
        <w:t>⑶地下水环境敏感程度（E）分级</w:t>
      </w:r>
    </w:p>
    <w:p w14:paraId="5CEBF01F">
      <w:pPr>
        <w:ind w:firstLine="480"/>
      </w:pPr>
      <w:r>
        <w:t>地下水环境敏感程度共分为三种类型，E1为环境高度敏感区，E2为环境中度敏感区，E3为环境低度敏感区，由上述分级情况，本项目地下水包气带防污性能定级为D3，地下水功能敏感性分级为低敏感G3，则地下水环境敏感程度为</w:t>
      </w:r>
      <w:r>
        <w:rPr>
          <w:b/>
          <w:bCs/>
        </w:rPr>
        <w:t>E3</w:t>
      </w:r>
      <w:r>
        <w:t>。</w:t>
      </w:r>
    </w:p>
    <w:p w14:paraId="4072BA11">
      <w:pPr>
        <w:pStyle w:val="51"/>
        <w:numPr>
          <w:ilvl w:val="5"/>
          <w:numId w:val="0"/>
        </w:numPr>
        <w:tabs>
          <w:tab w:val="left" w:pos="4395"/>
        </w:tabs>
        <w:spacing w:before="156"/>
        <w:ind w:left="4973" w:leftChars="967" w:hanging="2652" w:hangingChars="1258"/>
        <w:jc w:val="both"/>
      </w:pPr>
      <w:r>
        <w:rPr>
          <w:rFonts w:hint="default" w:ascii="宋体" w:hAnsi="宋体" w:eastAsia="宋体" w:cs="宋体"/>
          <w:b/>
          <w:bCs/>
          <w:color w:val="auto"/>
          <w:kern w:val="2"/>
          <w:sz w:val="21"/>
          <w:szCs w:val="21"/>
          <w:lang w:val="en-US" w:eastAsia="zh-CN" w:bidi="ar-SA"/>
        </w:rPr>
        <w:t xml:space="preserve">表7.2-11 </w:t>
      </w:r>
      <w:r>
        <w:rPr>
          <w:rFonts w:hint="eastAsia"/>
        </w:rPr>
        <w:t>地下水环境敏感程度分级</w:t>
      </w:r>
    </w:p>
    <w:tbl>
      <w:tblPr>
        <w:tblStyle w:val="31"/>
        <w:tblW w:w="5000" w:type="pct"/>
        <w:tblInd w:w="147"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0" w:type="dxa"/>
          <w:bottom w:w="0" w:type="dxa"/>
          <w:right w:w="0" w:type="dxa"/>
        </w:tblCellMar>
      </w:tblPr>
      <w:tblGrid>
        <w:gridCol w:w="1542"/>
        <w:gridCol w:w="2266"/>
        <w:gridCol w:w="2264"/>
        <w:gridCol w:w="2264"/>
      </w:tblGrid>
      <w:tr w14:paraId="445B860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trPr>
        <w:tc>
          <w:tcPr>
            <w:tcW w:w="1542" w:type="dxa"/>
            <w:vMerge w:val="restart"/>
            <w:tcBorders>
              <w:tl2br w:val="nil"/>
              <w:tr2bl w:val="nil"/>
            </w:tcBorders>
            <w:vAlign w:val="center"/>
          </w:tcPr>
          <w:p w14:paraId="287B4364">
            <w:pPr>
              <w:spacing w:line="240" w:lineRule="auto"/>
              <w:jc w:val="center"/>
              <w:rPr>
                <w:sz w:val="21"/>
                <w:szCs w:val="21"/>
              </w:rPr>
            </w:pPr>
            <w:r>
              <w:rPr>
                <w:sz w:val="21"/>
                <w:szCs w:val="21"/>
              </w:rPr>
              <w:t>环境敏感目标</w:t>
            </w:r>
          </w:p>
        </w:tc>
        <w:tc>
          <w:tcPr>
            <w:tcW w:w="6794" w:type="dxa"/>
            <w:gridSpan w:val="3"/>
            <w:tcBorders>
              <w:tl2br w:val="nil"/>
              <w:tr2bl w:val="nil"/>
            </w:tcBorders>
            <w:vAlign w:val="center"/>
          </w:tcPr>
          <w:p w14:paraId="6E4D14CF">
            <w:pPr>
              <w:spacing w:line="240" w:lineRule="auto"/>
              <w:jc w:val="center"/>
              <w:rPr>
                <w:sz w:val="21"/>
                <w:szCs w:val="21"/>
              </w:rPr>
            </w:pPr>
            <w:r>
              <w:rPr>
                <w:sz w:val="21"/>
                <w:szCs w:val="21"/>
              </w:rPr>
              <w:t>地下水功能敏感性</w:t>
            </w:r>
          </w:p>
        </w:tc>
      </w:tr>
      <w:tr w14:paraId="1BE32C5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trPr>
        <w:tc>
          <w:tcPr>
            <w:tcW w:w="1542" w:type="dxa"/>
            <w:vMerge w:val="continue"/>
            <w:tcBorders>
              <w:tl2br w:val="nil"/>
              <w:tr2bl w:val="nil"/>
            </w:tcBorders>
            <w:vAlign w:val="center"/>
          </w:tcPr>
          <w:p w14:paraId="777B53D9">
            <w:pPr>
              <w:spacing w:line="240" w:lineRule="auto"/>
              <w:jc w:val="center"/>
              <w:rPr>
                <w:sz w:val="21"/>
                <w:szCs w:val="21"/>
              </w:rPr>
            </w:pPr>
          </w:p>
        </w:tc>
        <w:tc>
          <w:tcPr>
            <w:tcW w:w="2266" w:type="dxa"/>
            <w:tcBorders>
              <w:tl2br w:val="nil"/>
              <w:tr2bl w:val="nil"/>
            </w:tcBorders>
            <w:vAlign w:val="center"/>
          </w:tcPr>
          <w:p w14:paraId="5CE7B13B">
            <w:pPr>
              <w:spacing w:line="240" w:lineRule="auto"/>
              <w:jc w:val="center"/>
              <w:rPr>
                <w:sz w:val="21"/>
                <w:szCs w:val="21"/>
              </w:rPr>
            </w:pPr>
            <w:r>
              <w:rPr>
                <w:sz w:val="21"/>
                <w:szCs w:val="21"/>
              </w:rPr>
              <w:t>G1</w:t>
            </w:r>
          </w:p>
        </w:tc>
        <w:tc>
          <w:tcPr>
            <w:tcW w:w="2264" w:type="dxa"/>
            <w:tcBorders>
              <w:tl2br w:val="nil"/>
              <w:tr2bl w:val="nil"/>
            </w:tcBorders>
            <w:vAlign w:val="center"/>
          </w:tcPr>
          <w:p w14:paraId="7CDB9A4A">
            <w:pPr>
              <w:spacing w:line="240" w:lineRule="auto"/>
              <w:jc w:val="center"/>
              <w:rPr>
                <w:sz w:val="21"/>
                <w:szCs w:val="21"/>
              </w:rPr>
            </w:pPr>
            <w:r>
              <w:rPr>
                <w:sz w:val="21"/>
                <w:szCs w:val="21"/>
              </w:rPr>
              <w:t>G2</w:t>
            </w:r>
          </w:p>
        </w:tc>
        <w:tc>
          <w:tcPr>
            <w:tcW w:w="2264" w:type="dxa"/>
            <w:tcBorders>
              <w:tl2br w:val="nil"/>
              <w:tr2bl w:val="nil"/>
            </w:tcBorders>
            <w:vAlign w:val="center"/>
          </w:tcPr>
          <w:p w14:paraId="6C81CFA2">
            <w:pPr>
              <w:spacing w:line="240" w:lineRule="auto"/>
              <w:jc w:val="center"/>
              <w:rPr>
                <w:sz w:val="21"/>
                <w:szCs w:val="21"/>
              </w:rPr>
            </w:pPr>
            <w:r>
              <w:rPr>
                <w:sz w:val="21"/>
                <w:szCs w:val="21"/>
              </w:rPr>
              <w:t>G3</w:t>
            </w:r>
          </w:p>
        </w:tc>
      </w:tr>
      <w:tr w14:paraId="1D92EE9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trPr>
        <w:tc>
          <w:tcPr>
            <w:tcW w:w="1542" w:type="dxa"/>
            <w:tcBorders>
              <w:tl2br w:val="nil"/>
              <w:tr2bl w:val="nil"/>
            </w:tcBorders>
            <w:vAlign w:val="center"/>
          </w:tcPr>
          <w:p w14:paraId="14811B9D">
            <w:pPr>
              <w:spacing w:line="240" w:lineRule="auto"/>
              <w:jc w:val="center"/>
              <w:rPr>
                <w:sz w:val="21"/>
                <w:szCs w:val="21"/>
              </w:rPr>
            </w:pPr>
            <w:r>
              <w:rPr>
                <w:rFonts w:hint="eastAsia"/>
                <w:sz w:val="21"/>
                <w:szCs w:val="21"/>
              </w:rPr>
              <w:t>D1</w:t>
            </w:r>
          </w:p>
        </w:tc>
        <w:tc>
          <w:tcPr>
            <w:tcW w:w="2266" w:type="dxa"/>
            <w:tcBorders>
              <w:tl2br w:val="nil"/>
              <w:tr2bl w:val="nil"/>
            </w:tcBorders>
            <w:vAlign w:val="center"/>
          </w:tcPr>
          <w:p w14:paraId="27E96DAC">
            <w:pPr>
              <w:spacing w:line="240" w:lineRule="auto"/>
              <w:jc w:val="center"/>
              <w:rPr>
                <w:sz w:val="21"/>
                <w:szCs w:val="21"/>
              </w:rPr>
            </w:pPr>
            <w:r>
              <w:rPr>
                <w:rFonts w:hint="eastAsia"/>
                <w:sz w:val="21"/>
                <w:szCs w:val="21"/>
              </w:rPr>
              <w:t>E1</w:t>
            </w:r>
          </w:p>
        </w:tc>
        <w:tc>
          <w:tcPr>
            <w:tcW w:w="2264" w:type="dxa"/>
            <w:tcBorders>
              <w:tl2br w:val="nil"/>
              <w:tr2bl w:val="nil"/>
            </w:tcBorders>
            <w:vAlign w:val="center"/>
          </w:tcPr>
          <w:p w14:paraId="1E96EA9C">
            <w:pPr>
              <w:spacing w:line="240" w:lineRule="auto"/>
              <w:jc w:val="center"/>
              <w:rPr>
                <w:sz w:val="21"/>
                <w:szCs w:val="21"/>
              </w:rPr>
            </w:pPr>
            <w:r>
              <w:rPr>
                <w:rFonts w:hint="eastAsia"/>
                <w:sz w:val="21"/>
                <w:szCs w:val="21"/>
              </w:rPr>
              <w:t>E1</w:t>
            </w:r>
          </w:p>
        </w:tc>
        <w:tc>
          <w:tcPr>
            <w:tcW w:w="2264" w:type="dxa"/>
            <w:tcBorders>
              <w:tl2br w:val="nil"/>
              <w:tr2bl w:val="nil"/>
            </w:tcBorders>
            <w:vAlign w:val="center"/>
          </w:tcPr>
          <w:p w14:paraId="351DF7E5">
            <w:pPr>
              <w:spacing w:line="240" w:lineRule="auto"/>
              <w:jc w:val="center"/>
              <w:rPr>
                <w:sz w:val="21"/>
                <w:szCs w:val="21"/>
              </w:rPr>
            </w:pPr>
            <w:r>
              <w:rPr>
                <w:rFonts w:hint="eastAsia"/>
                <w:sz w:val="21"/>
                <w:szCs w:val="21"/>
              </w:rPr>
              <w:t>E2</w:t>
            </w:r>
          </w:p>
        </w:tc>
      </w:tr>
      <w:tr w14:paraId="0D250B2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trPr>
        <w:tc>
          <w:tcPr>
            <w:tcW w:w="1542" w:type="dxa"/>
            <w:tcBorders>
              <w:tl2br w:val="nil"/>
              <w:tr2bl w:val="nil"/>
            </w:tcBorders>
            <w:vAlign w:val="center"/>
          </w:tcPr>
          <w:p w14:paraId="561F4B15">
            <w:pPr>
              <w:spacing w:line="240" w:lineRule="auto"/>
              <w:jc w:val="center"/>
              <w:rPr>
                <w:sz w:val="21"/>
                <w:szCs w:val="21"/>
              </w:rPr>
            </w:pPr>
            <w:r>
              <w:rPr>
                <w:rFonts w:hint="eastAsia"/>
                <w:sz w:val="21"/>
                <w:szCs w:val="21"/>
              </w:rPr>
              <w:t>D2</w:t>
            </w:r>
          </w:p>
        </w:tc>
        <w:tc>
          <w:tcPr>
            <w:tcW w:w="2266" w:type="dxa"/>
            <w:tcBorders>
              <w:tl2br w:val="nil"/>
              <w:tr2bl w:val="nil"/>
            </w:tcBorders>
            <w:vAlign w:val="center"/>
          </w:tcPr>
          <w:p w14:paraId="076B4190">
            <w:pPr>
              <w:spacing w:line="240" w:lineRule="auto"/>
              <w:jc w:val="center"/>
              <w:rPr>
                <w:sz w:val="21"/>
                <w:szCs w:val="21"/>
              </w:rPr>
            </w:pPr>
            <w:r>
              <w:rPr>
                <w:rFonts w:hint="eastAsia"/>
                <w:sz w:val="21"/>
                <w:szCs w:val="21"/>
              </w:rPr>
              <w:t>E1</w:t>
            </w:r>
          </w:p>
        </w:tc>
        <w:tc>
          <w:tcPr>
            <w:tcW w:w="2264" w:type="dxa"/>
            <w:tcBorders>
              <w:tl2br w:val="nil"/>
              <w:tr2bl w:val="nil"/>
            </w:tcBorders>
            <w:vAlign w:val="center"/>
          </w:tcPr>
          <w:p w14:paraId="100F454E">
            <w:pPr>
              <w:spacing w:line="240" w:lineRule="auto"/>
              <w:jc w:val="center"/>
              <w:rPr>
                <w:sz w:val="21"/>
                <w:szCs w:val="21"/>
              </w:rPr>
            </w:pPr>
            <w:r>
              <w:rPr>
                <w:rFonts w:hint="eastAsia"/>
                <w:sz w:val="21"/>
                <w:szCs w:val="21"/>
              </w:rPr>
              <w:t>E2</w:t>
            </w:r>
          </w:p>
        </w:tc>
        <w:tc>
          <w:tcPr>
            <w:tcW w:w="2264" w:type="dxa"/>
            <w:tcBorders>
              <w:tl2br w:val="nil"/>
              <w:tr2bl w:val="nil"/>
            </w:tcBorders>
            <w:vAlign w:val="center"/>
          </w:tcPr>
          <w:p w14:paraId="2E53DB5C">
            <w:pPr>
              <w:spacing w:line="240" w:lineRule="auto"/>
              <w:jc w:val="center"/>
              <w:rPr>
                <w:sz w:val="21"/>
                <w:szCs w:val="21"/>
              </w:rPr>
            </w:pPr>
            <w:r>
              <w:rPr>
                <w:rFonts w:hint="eastAsia"/>
                <w:sz w:val="21"/>
                <w:szCs w:val="21"/>
              </w:rPr>
              <w:t>E3</w:t>
            </w:r>
          </w:p>
        </w:tc>
      </w:tr>
      <w:tr w14:paraId="60CA94D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0" w:type="dxa"/>
            <w:bottom w:w="0" w:type="dxa"/>
            <w:right w:w="0" w:type="dxa"/>
          </w:tblCellMar>
        </w:tblPrEx>
        <w:trPr>
          <w:trHeight w:val="340" w:hRule="atLeast"/>
        </w:trPr>
        <w:tc>
          <w:tcPr>
            <w:tcW w:w="1542" w:type="dxa"/>
            <w:tcBorders>
              <w:tl2br w:val="nil"/>
              <w:tr2bl w:val="nil"/>
            </w:tcBorders>
            <w:vAlign w:val="center"/>
          </w:tcPr>
          <w:p w14:paraId="6421B883">
            <w:pPr>
              <w:spacing w:line="240" w:lineRule="auto"/>
              <w:jc w:val="center"/>
              <w:rPr>
                <w:sz w:val="21"/>
                <w:szCs w:val="21"/>
              </w:rPr>
            </w:pPr>
            <w:r>
              <w:rPr>
                <w:rFonts w:hint="eastAsia"/>
                <w:sz w:val="21"/>
                <w:szCs w:val="21"/>
              </w:rPr>
              <w:t>D3</w:t>
            </w:r>
          </w:p>
        </w:tc>
        <w:tc>
          <w:tcPr>
            <w:tcW w:w="2266" w:type="dxa"/>
            <w:tcBorders>
              <w:tl2br w:val="nil"/>
              <w:tr2bl w:val="nil"/>
            </w:tcBorders>
            <w:vAlign w:val="center"/>
          </w:tcPr>
          <w:p w14:paraId="466335CC">
            <w:pPr>
              <w:spacing w:line="240" w:lineRule="auto"/>
              <w:jc w:val="center"/>
              <w:rPr>
                <w:sz w:val="21"/>
                <w:szCs w:val="21"/>
              </w:rPr>
            </w:pPr>
            <w:r>
              <w:rPr>
                <w:rFonts w:hint="eastAsia"/>
                <w:sz w:val="21"/>
                <w:szCs w:val="21"/>
              </w:rPr>
              <w:t>E2</w:t>
            </w:r>
          </w:p>
        </w:tc>
        <w:tc>
          <w:tcPr>
            <w:tcW w:w="2264" w:type="dxa"/>
            <w:tcBorders>
              <w:tl2br w:val="nil"/>
              <w:tr2bl w:val="nil"/>
            </w:tcBorders>
            <w:vAlign w:val="center"/>
          </w:tcPr>
          <w:p w14:paraId="163C5588">
            <w:pPr>
              <w:spacing w:line="240" w:lineRule="auto"/>
              <w:jc w:val="center"/>
              <w:rPr>
                <w:sz w:val="21"/>
                <w:szCs w:val="21"/>
              </w:rPr>
            </w:pPr>
            <w:r>
              <w:rPr>
                <w:rFonts w:hint="eastAsia"/>
                <w:sz w:val="21"/>
                <w:szCs w:val="21"/>
              </w:rPr>
              <w:t>E3</w:t>
            </w:r>
          </w:p>
        </w:tc>
        <w:tc>
          <w:tcPr>
            <w:tcW w:w="2264" w:type="dxa"/>
            <w:tcBorders>
              <w:tl2br w:val="nil"/>
              <w:tr2bl w:val="nil"/>
            </w:tcBorders>
            <w:vAlign w:val="center"/>
          </w:tcPr>
          <w:p w14:paraId="60FF4A21">
            <w:pPr>
              <w:spacing w:line="240" w:lineRule="auto"/>
              <w:jc w:val="center"/>
              <w:rPr>
                <w:sz w:val="21"/>
                <w:szCs w:val="21"/>
              </w:rPr>
            </w:pPr>
            <w:r>
              <w:rPr>
                <w:rFonts w:hint="eastAsia"/>
                <w:sz w:val="21"/>
                <w:szCs w:val="21"/>
              </w:rPr>
              <w:t>E3</w:t>
            </w:r>
          </w:p>
        </w:tc>
      </w:tr>
    </w:tbl>
    <w:p w14:paraId="4A51BFEB">
      <w:pPr>
        <w:ind w:firstLine="480"/>
      </w:pPr>
      <w:r>
        <w:t>综上，本项目各环境要素环境敏感程度汇总如下：</w:t>
      </w:r>
    </w:p>
    <w:p w14:paraId="49156CFA">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表7.2-12 </w:t>
      </w:r>
      <w:r>
        <w:rPr>
          <w:rFonts w:hint="eastAsia"/>
        </w:rPr>
        <w:t>本项目各环境要素敏感程度汇总</w:t>
      </w:r>
    </w:p>
    <w:tbl>
      <w:tblPr>
        <w:tblStyle w:val="31"/>
        <w:tblW w:w="5018" w:type="pct"/>
        <w:tblInd w:w="14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548"/>
        <w:gridCol w:w="2274"/>
        <w:gridCol w:w="2272"/>
        <w:gridCol w:w="2272"/>
      </w:tblGrid>
      <w:tr w14:paraId="0009614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tcBorders>
              <w:bottom w:val="single" w:color="000000" w:sz="6" w:space="0"/>
              <w:right w:val="single" w:color="000000" w:sz="6" w:space="0"/>
            </w:tcBorders>
          </w:tcPr>
          <w:p w14:paraId="2D94CCE1">
            <w:pPr>
              <w:spacing w:line="240" w:lineRule="auto"/>
              <w:jc w:val="center"/>
              <w:rPr>
                <w:sz w:val="21"/>
                <w:szCs w:val="21"/>
              </w:rPr>
            </w:pPr>
            <w:r>
              <w:rPr>
                <w:rFonts w:hint="eastAsia"/>
                <w:sz w:val="21"/>
                <w:szCs w:val="21"/>
              </w:rPr>
              <w:t>环境要素</w:t>
            </w:r>
          </w:p>
        </w:tc>
        <w:tc>
          <w:tcPr>
            <w:tcW w:w="2266" w:type="dxa"/>
            <w:tcBorders>
              <w:left w:val="single" w:color="000000" w:sz="6" w:space="0"/>
              <w:bottom w:val="single" w:color="000000" w:sz="6" w:space="0"/>
              <w:right w:val="single" w:color="000000" w:sz="6" w:space="0"/>
            </w:tcBorders>
          </w:tcPr>
          <w:p w14:paraId="4713739B">
            <w:pPr>
              <w:spacing w:line="240" w:lineRule="auto"/>
              <w:jc w:val="center"/>
              <w:rPr>
                <w:sz w:val="21"/>
                <w:szCs w:val="21"/>
              </w:rPr>
            </w:pPr>
            <w:r>
              <w:rPr>
                <w:rFonts w:hint="eastAsia"/>
                <w:sz w:val="21"/>
                <w:szCs w:val="21"/>
              </w:rPr>
              <w:t>大气</w:t>
            </w:r>
          </w:p>
        </w:tc>
        <w:tc>
          <w:tcPr>
            <w:tcW w:w="2264" w:type="dxa"/>
            <w:tcBorders>
              <w:left w:val="single" w:color="000000" w:sz="6" w:space="0"/>
              <w:bottom w:val="single" w:color="000000" w:sz="6" w:space="0"/>
              <w:right w:val="single" w:color="000000" w:sz="6" w:space="0"/>
            </w:tcBorders>
          </w:tcPr>
          <w:p w14:paraId="05D05E1E">
            <w:pPr>
              <w:spacing w:line="240" w:lineRule="auto"/>
              <w:jc w:val="center"/>
              <w:rPr>
                <w:sz w:val="21"/>
                <w:szCs w:val="21"/>
              </w:rPr>
            </w:pPr>
            <w:r>
              <w:rPr>
                <w:rFonts w:hint="eastAsia"/>
                <w:sz w:val="21"/>
                <w:szCs w:val="21"/>
              </w:rPr>
              <w:t>地表水</w:t>
            </w:r>
          </w:p>
        </w:tc>
        <w:tc>
          <w:tcPr>
            <w:tcW w:w="2264" w:type="dxa"/>
            <w:tcBorders>
              <w:left w:val="single" w:color="000000" w:sz="6" w:space="0"/>
              <w:bottom w:val="single" w:color="000000" w:sz="6" w:space="0"/>
            </w:tcBorders>
          </w:tcPr>
          <w:p w14:paraId="64252BC8">
            <w:pPr>
              <w:spacing w:line="240" w:lineRule="auto"/>
              <w:jc w:val="center"/>
              <w:rPr>
                <w:sz w:val="21"/>
                <w:szCs w:val="21"/>
              </w:rPr>
            </w:pPr>
            <w:r>
              <w:rPr>
                <w:rFonts w:hint="eastAsia"/>
                <w:sz w:val="21"/>
                <w:szCs w:val="21"/>
              </w:rPr>
              <w:t>地下水</w:t>
            </w:r>
          </w:p>
        </w:tc>
      </w:tr>
      <w:tr w14:paraId="4B080A4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1542" w:type="dxa"/>
            <w:tcBorders>
              <w:top w:val="single" w:color="000000" w:sz="6" w:space="0"/>
              <w:right w:val="single" w:color="000000" w:sz="6" w:space="0"/>
            </w:tcBorders>
          </w:tcPr>
          <w:p w14:paraId="0D5E2D11">
            <w:pPr>
              <w:spacing w:line="240" w:lineRule="auto"/>
              <w:jc w:val="center"/>
              <w:rPr>
                <w:sz w:val="21"/>
                <w:szCs w:val="21"/>
              </w:rPr>
            </w:pPr>
            <w:r>
              <w:rPr>
                <w:rFonts w:hint="eastAsia"/>
                <w:sz w:val="21"/>
                <w:szCs w:val="21"/>
              </w:rPr>
              <w:t>敏感程度</w:t>
            </w:r>
          </w:p>
        </w:tc>
        <w:tc>
          <w:tcPr>
            <w:tcW w:w="2266" w:type="dxa"/>
            <w:tcBorders>
              <w:top w:val="single" w:color="000000" w:sz="6" w:space="0"/>
              <w:left w:val="single" w:color="000000" w:sz="6" w:space="0"/>
              <w:right w:val="single" w:color="000000" w:sz="6" w:space="0"/>
            </w:tcBorders>
          </w:tcPr>
          <w:p w14:paraId="21295100">
            <w:pPr>
              <w:spacing w:line="240" w:lineRule="auto"/>
              <w:jc w:val="center"/>
              <w:rPr>
                <w:sz w:val="21"/>
                <w:szCs w:val="21"/>
              </w:rPr>
            </w:pPr>
            <w:r>
              <w:rPr>
                <w:rFonts w:hint="eastAsia"/>
                <w:sz w:val="21"/>
                <w:szCs w:val="21"/>
              </w:rPr>
              <w:t>E2</w:t>
            </w:r>
          </w:p>
        </w:tc>
        <w:tc>
          <w:tcPr>
            <w:tcW w:w="2264" w:type="dxa"/>
            <w:tcBorders>
              <w:top w:val="single" w:color="000000" w:sz="6" w:space="0"/>
              <w:left w:val="single" w:color="000000" w:sz="6" w:space="0"/>
              <w:right w:val="single" w:color="000000" w:sz="6" w:space="0"/>
            </w:tcBorders>
          </w:tcPr>
          <w:p w14:paraId="117FFAB4">
            <w:pPr>
              <w:spacing w:line="240" w:lineRule="auto"/>
              <w:jc w:val="center"/>
              <w:rPr>
                <w:sz w:val="21"/>
                <w:szCs w:val="21"/>
              </w:rPr>
            </w:pPr>
            <w:r>
              <w:rPr>
                <w:rFonts w:hint="eastAsia"/>
                <w:sz w:val="21"/>
                <w:szCs w:val="21"/>
              </w:rPr>
              <w:t>E3</w:t>
            </w:r>
          </w:p>
        </w:tc>
        <w:tc>
          <w:tcPr>
            <w:tcW w:w="2264" w:type="dxa"/>
            <w:tcBorders>
              <w:top w:val="single" w:color="000000" w:sz="6" w:space="0"/>
              <w:left w:val="single" w:color="000000" w:sz="6" w:space="0"/>
            </w:tcBorders>
          </w:tcPr>
          <w:p w14:paraId="100009FB">
            <w:pPr>
              <w:spacing w:line="240" w:lineRule="auto"/>
              <w:jc w:val="center"/>
              <w:rPr>
                <w:sz w:val="21"/>
                <w:szCs w:val="21"/>
              </w:rPr>
            </w:pPr>
            <w:r>
              <w:rPr>
                <w:rFonts w:hint="eastAsia"/>
                <w:sz w:val="21"/>
                <w:szCs w:val="21"/>
              </w:rPr>
              <w:t>E3</w:t>
            </w:r>
          </w:p>
        </w:tc>
      </w:tr>
    </w:tbl>
    <w:p w14:paraId="55A19FB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7.2.4</w:t>
      </w:r>
      <w:r>
        <w:rPr>
          <w:rFonts w:hint="eastAsia"/>
        </w:rPr>
        <w:t>环境风险潜势判断</w:t>
      </w:r>
    </w:p>
    <w:p w14:paraId="6B2C2C80">
      <w:pPr>
        <w:ind w:firstLine="480"/>
      </w:pPr>
      <w:r>
        <w:t>设项目环境风险潜势划分为Ⅰ、Ⅱ、Ⅲ、Ⅳ、Ⅳ+级。根据建设项目涉及的物质和工艺系统的危险性及其所在地的环境敏感程度，结合事故情形下环境影响途径，对建设项目潜在环境危害程度进行概化分析，按下表确定环境风险潜势，建设项目环境风险潜势综合等级取各要素等级的相对高值。本项目危险物质和工艺系统的危险性（P）为P4，大气环境、地表水环境、地下水环境敏感程度分别为E2、E3、E3，根据上表可知，本项目大气环境、地表水环境、地下水环境风险潜势分别为Ⅱ、Ⅰ、Ⅰ级。</w:t>
      </w:r>
    </w:p>
    <w:p w14:paraId="2FACAC01">
      <w:pPr>
        <w:ind w:firstLine="480"/>
      </w:pPr>
      <w:r>
        <w:rPr>
          <w:rFonts w:hint="eastAsia"/>
        </w:rPr>
        <w:t>根据建设项目涉及的物质和工艺系统的危险性及其所在地的环境敏感程度，结合事故情形下环境影响途径，对建设项目潜在环境危害程度进行概化分析，建设项目环境风险潜势划分见下表。</w:t>
      </w:r>
    </w:p>
    <w:p w14:paraId="2E3979DF">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表7.2-13 </w:t>
      </w:r>
      <w:r>
        <w:rPr>
          <w:rFonts w:hint="eastAsia"/>
        </w:rPr>
        <w:t>建设项目环境风险潜势划分</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01"/>
        <w:gridCol w:w="1530"/>
        <w:gridCol w:w="1606"/>
        <w:gridCol w:w="1667"/>
        <w:gridCol w:w="1518"/>
      </w:tblGrid>
      <w:tr w14:paraId="06098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9" w:type="dxa"/>
            <w:vMerge w:val="restart"/>
            <w:tcBorders>
              <w:tl2br w:val="nil"/>
              <w:tr2bl w:val="nil"/>
            </w:tcBorders>
            <w:vAlign w:val="center"/>
          </w:tcPr>
          <w:p w14:paraId="42969BBC">
            <w:pPr>
              <w:spacing w:line="240" w:lineRule="auto"/>
              <w:jc w:val="center"/>
              <w:rPr>
                <w:sz w:val="21"/>
                <w:szCs w:val="21"/>
              </w:rPr>
            </w:pPr>
            <w:r>
              <w:rPr>
                <w:sz w:val="21"/>
                <w:szCs w:val="21"/>
              </w:rPr>
              <w:t>环境敏感程度</w:t>
            </w:r>
            <w:r>
              <w:rPr>
                <w:rFonts w:hint="eastAsia"/>
                <w:sz w:val="21"/>
                <w:szCs w:val="21"/>
              </w:rPr>
              <w:t>（E）</w:t>
            </w:r>
          </w:p>
        </w:tc>
        <w:tc>
          <w:tcPr>
            <w:tcW w:w="6258" w:type="dxa"/>
            <w:gridSpan w:val="4"/>
            <w:tcBorders>
              <w:tl2br w:val="nil"/>
              <w:tr2bl w:val="nil"/>
            </w:tcBorders>
            <w:vAlign w:val="center"/>
          </w:tcPr>
          <w:p w14:paraId="77A1B75A">
            <w:pPr>
              <w:spacing w:line="240" w:lineRule="auto"/>
              <w:jc w:val="center"/>
              <w:rPr>
                <w:sz w:val="21"/>
                <w:szCs w:val="21"/>
              </w:rPr>
            </w:pPr>
            <w:r>
              <w:rPr>
                <w:sz w:val="21"/>
                <w:szCs w:val="21"/>
              </w:rPr>
              <w:t>危险物质及工艺系统危险性（P）</w:t>
            </w:r>
          </w:p>
        </w:tc>
      </w:tr>
      <w:tr w14:paraId="6DFA2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9" w:type="dxa"/>
            <w:vMerge w:val="continue"/>
            <w:tcBorders>
              <w:tl2br w:val="nil"/>
              <w:tr2bl w:val="nil"/>
            </w:tcBorders>
            <w:vAlign w:val="center"/>
          </w:tcPr>
          <w:p w14:paraId="4A65483C">
            <w:pPr>
              <w:spacing w:line="240" w:lineRule="auto"/>
              <w:jc w:val="center"/>
              <w:rPr>
                <w:sz w:val="21"/>
                <w:szCs w:val="21"/>
              </w:rPr>
            </w:pPr>
          </w:p>
        </w:tc>
        <w:tc>
          <w:tcPr>
            <w:tcW w:w="1515" w:type="dxa"/>
            <w:tcBorders>
              <w:tl2br w:val="nil"/>
              <w:tr2bl w:val="nil"/>
            </w:tcBorders>
            <w:vAlign w:val="center"/>
          </w:tcPr>
          <w:p w14:paraId="289927D1">
            <w:pPr>
              <w:spacing w:line="240" w:lineRule="auto"/>
              <w:jc w:val="center"/>
              <w:rPr>
                <w:sz w:val="21"/>
                <w:szCs w:val="21"/>
              </w:rPr>
            </w:pPr>
            <w:r>
              <w:rPr>
                <w:sz w:val="21"/>
                <w:szCs w:val="21"/>
              </w:rPr>
              <w:t>极</w:t>
            </w:r>
            <w:r>
              <w:rPr>
                <w:rFonts w:hint="eastAsia"/>
                <w:sz w:val="21"/>
                <w:szCs w:val="21"/>
              </w:rPr>
              <w:t>高危害</w:t>
            </w:r>
            <w:r>
              <w:rPr>
                <w:sz w:val="21"/>
                <w:szCs w:val="21"/>
              </w:rPr>
              <w:t>（P1）</w:t>
            </w:r>
          </w:p>
        </w:tc>
        <w:tc>
          <w:tcPr>
            <w:tcW w:w="1590" w:type="dxa"/>
            <w:tcBorders>
              <w:tl2br w:val="nil"/>
              <w:tr2bl w:val="nil"/>
            </w:tcBorders>
            <w:vAlign w:val="center"/>
          </w:tcPr>
          <w:p w14:paraId="2E9F7C40">
            <w:pPr>
              <w:spacing w:line="240" w:lineRule="auto"/>
              <w:jc w:val="center"/>
              <w:rPr>
                <w:sz w:val="21"/>
                <w:szCs w:val="21"/>
              </w:rPr>
            </w:pPr>
            <w:r>
              <w:rPr>
                <w:sz w:val="21"/>
                <w:szCs w:val="21"/>
              </w:rPr>
              <w:t>高度危害（P2）</w:t>
            </w:r>
          </w:p>
        </w:tc>
        <w:tc>
          <w:tcPr>
            <w:tcW w:w="1650" w:type="dxa"/>
            <w:tcBorders>
              <w:tl2br w:val="nil"/>
              <w:tr2bl w:val="nil"/>
            </w:tcBorders>
            <w:vAlign w:val="center"/>
          </w:tcPr>
          <w:p w14:paraId="5B1246DC">
            <w:pPr>
              <w:spacing w:line="240" w:lineRule="auto"/>
              <w:jc w:val="center"/>
              <w:rPr>
                <w:sz w:val="21"/>
                <w:szCs w:val="21"/>
              </w:rPr>
            </w:pPr>
            <w:r>
              <w:rPr>
                <w:sz w:val="21"/>
                <w:szCs w:val="21"/>
              </w:rPr>
              <w:t>中度危害（P3）</w:t>
            </w:r>
          </w:p>
        </w:tc>
        <w:tc>
          <w:tcPr>
            <w:tcW w:w="1503" w:type="dxa"/>
            <w:tcBorders>
              <w:tl2br w:val="nil"/>
              <w:tr2bl w:val="nil"/>
            </w:tcBorders>
            <w:vAlign w:val="center"/>
          </w:tcPr>
          <w:p w14:paraId="1E7CFE66">
            <w:pPr>
              <w:spacing w:line="240" w:lineRule="auto"/>
              <w:jc w:val="center"/>
              <w:rPr>
                <w:sz w:val="21"/>
                <w:szCs w:val="21"/>
              </w:rPr>
            </w:pPr>
            <w:r>
              <w:rPr>
                <w:sz w:val="21"/>
                <w:szCs w:val="21"/>
              </w:rPr>
              <w:t>轻度危害（P4）</w:t>
            </w:r>
          </w:p>
        </w:tc>
      </w:tr>
      <w:tr w14:paraId="416B22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9" w:type="dxa"/>
            <w:tcBorders>
              <w:tl2br w:val="nil"/>
              <w:tr2bl w:val="nil"/>
            </w:tcBorders>
            <w:vAlign w:val="center"/>
          </w:tcPr>
          <w:p w14:paraId="0DABC03A">
            <w:pPr>
              <w:spacing w:line="240" w:lineRule="auto"/>
              <w:jc w:val="center"/>
              <w:rPr>
                <w:sz w:val="21"/>
                <w:szCs w:val="21"/>
              </w:rPr>
            </w:pPr>
            <w:r>
              <w:rPr>
                <w:sz w:val="21"/>
                <w:szCs w:val="21"/>
              </w:rPr>
              <w:t>环境高度敏感区（E1）</w:t>
            </w:r>
          </w:p>
        </w:tc>
        <w:tc>
          <w:tcPr>
            <w:tcW w:w="1515" w:type="dxa"/>
            <w:tcBorders>
              <w:tl2br w:val="nil"/>
              <w:tr2bl w:val="nil"/>
            </w:tcBorders>
            <w:vAlign w:val="center"/>
          </w:tcPr>
          <w:p w14:paraId="15CBD1E3">
            <w:pPr>
              <w:spacing w:line="240" w:lineRule="auto"/>
              <w:jc w:val="center"/>
              <w:rPr>
                <w:sz w:val="21"/>
                <w:szCs w:val="21"/>
              </w:rPr>
            </w:pPr>
            <w:r>
              <w:rPr>
                <w:sz w:val="21"/>
                <w:szCs w:val="21"/>
              </w:rPr>
              <w:t>Ⅳ+</w:t>
            </w:r>
          </w:p>
        </w:tc>
        <w:tc>
          <w:tcPr>
            <w:tcW w:w="1590" w:type="dxa"/>
            <w:tcBorders>
              <w:tl2br w:val="nil"/>
              <w:tr2bl w:val="nil"/>
            </w:tcBorders>
            <w:vAlign w:val="center"/>
          </w:tcPr>
          <w:p w14:paraId="50BCA739">
            <w:pPr>
              <w:spacing w:line="240" w:lineRule="auto"/>
              <w:jc w:val="center"/>
              <w:rPr>
                <w:sz w:val="21"/>
                <w:szCs w:val="21"/>
              </w:rPr>
            </w:pPr>
            <w:r>
              <w:rPr>
                <w:sz w:val="21"/>
                <w:szCs w:val="21"/>
              </w:rPr>
              <w:t>Ⅳ</w:t>
            </w:r>
          </w:p>
        </w:tc>
        <w:tc>
          <w:tcPr>
            <w:tcW w:w="1650" w:type="dxa"/>
            <w:tcBorders>
              <w:tl2br w:val="nil"/>
              <w:tr2bl w:val="nil"/>
            </w:tcBorders>
            <w:vAlign w:val="center"/>
          </w:tcPr>
          <w:p w14:paraId="0CC8FF6A">
            <w:pPr>
              <w:spacing w:line="240" w:lineRule="auto"/>
              <w:jc w:val="center"/>
              <w:rPr>
                <w:sz w:val="21"/>
                <w:szCs w:val="21"/>
              </w:rPr>
            </w:pPr>
            <w:r>
              <w:rPr>
                <w:sz w:val="21"/>
                <w:szCs w:val="21"/>
              </w:rPr>
              <w:t>Ⅲ</w:t>
            </w:r>
          </w:p>
        </w:tc>
        <w:tc>
          <w:tcPr>
            <w:tcW w:w="1503" w:type="dxa"/>
            <w:tcBorders>
              <w:tl2br w:val="nil"/>
              <w:tr2bl w:val="nil"/>
            </w:tcBorders>
            <w:vAlign w:val="center"/>
          </w:tcPr>
          <w:p w14:paraId="74D940B1">
            <w:pPr>
              <w:spacing w:line="240" w:lineRule="auto"/>
              <w:jc w:val="center"/>
              <w:rPr>
                <w:sz w:val="21"/>
                <w:szCs w:val="21"/>
              </w:rPr>
            </w:pPr>
            <w:r>
              <w:rPr>
                <w:sz w:val="21"/>
                <w:szCs w:val="21"/>
              </w:rPr>
              <w:t>Ⅲ</w:t>
            </w:r>
          </w:p>
        </w:tc>
      </w:tr>
      <w:tr w14:paraId="5CDF0F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9" w:type="dxa"/>
            <w:tcBorders>
              <w:tl2br w:val="nil"/>
              <w:tr2bl w:val="nil"/>
            </w:tcBorders>
            <w:vAlign w:val="center"/>
          </w:tcPr>
          <w:p w14:paraId="51C90273">
            <w:pPr>
              <w:spacing w:line="240" w:lineRule="auto"/>
              <w:jc w:val="center"/>
              <w:rPr>
                <w:sz w:val="21"/>
                <w:szCs w:val="21"/>
              </w:rPr>
            </w:pPr>
            <w:r>
              <w:rPr>
                <w:sz w:val="21"/>
                <w:szCs w:val="21"/>
              </w:rPr>
              <w:t>环境中度敏感区（E2）</w:t>
            </w:r>
          </w:p>
        </w:tc>
        <w:tc>
          <w:tcPr>
            <w:tcW w:w="1515" w:type="dxa"/>
            <w:tcBorders>
              <w:tl2br w:val="nil"/>
              <w:tr2bl w:val="nil"/>
            </w:tcBorders>
            <w:vAlign w:val="center"/>
          </w:tcPr>
          <w:p w14:paraId="24941941">
            <w:pPr>
              <w:spacing w:line="240" w:lineRule="auto"/>
              <w:jc w:val="center"/>
              <w:rPr>
                <w:sz w:val="21"/>
                <w:szCs w:val="21"/>
              </w:rPr>
            </w:pPr>
            <w:r>
              <w:rPr>
                <w:sz w:val="21"/>
                <w:szCs w:val="21"/>
              </w:rPr>
              <w:t>Ⅳ</w:t>
            </w:r>
          </w:p>
        </w:tc>
        <w:tc>
          <w:tcPr>
            <w:tcW w:w="1590" w:type="dxa"/>
            <w:tcBorders>
              <w:tl2br w:val="nil"/>
              <w:tr2bl w:val="nil"/>
            </w:tcBorders>
            <w:vAlign w:val="center"/>
          </w:tcPr>
          <w:p w14:paraId="12DF6CD5">
            <w:pPr>
              <w:spacing w:line="240" w:lineRule="auto"/>
              <w:jc w:val="center"/>
              <w:rPr>
                <w:sz w:val="21"/>
                <w:szCs w:val="21"/>
              </w:rPr>
            </w:pPr>
            <w:r>
              <w:rPr>
                <w:sz w:val="21"/>
                <w:szCs w:val="21"/>
              </w:rPr>
              <w:t>Ⅲ</w:t>
            </w:r>
          </w:p>
        </w:tc>
        <w:tc>
          <w:tcPr>
            <w:tcW w:w="1650" w:type="dxa"/>
            <w:tcBorders>
              <w:tl2br w:val="nil"/>
              <w:tr2bl w:val="nil"/>
            </w:tcBorders>
            <w:vAlign w:val="center"/>
          </w:tcPr>
          <w:p w14:paraId="65438844">
            <w:pPr>
              <w:spacing w:line="240" w:lineRule="auto"/>
              <w:jc w:val="center"/>
              <w:rPr>
                <w:sz w:val="21"/>
                <w:szCs w:val="21"/>
              </w:rPr>
            </w:pPr>
            <w:r>
              <w:rPr>
                <w:sz w:val="21"/>
                <w:szCs w:val="21"/>
              </w:rPr>
              <w:t>Ⅲ</w:t>
            </w:r>
          </w:p>
        </w:tc>
        <w:tc>
          <w:tcPr>
            <w:tcW w:w="1503" w:type="dxa"/>
            <w:tcBorders>
              <w:tl2br w:val="nil"/>
              <w:tr2bl w:val="nil"/>
            </w:tcBorders>
            <w:vAlign w:val="center"/>
          </w:tcPr>
          <w:p w14:paraId="3020FFA4">
            <w:pPr>
              <w:spacing w:line="240" w:lineRule="auto"/>
              <w:jc w:val="center"/>
              <w:rPr>
                <w:sz w:val="21"/>
                <w:szCs w:val="21"/>
              </w:rPr>
            </w:pPr>
            <w:r>
              <w:rPr>
                <w:sz w:val="21"/>
                <w:szCs w:val="21"/>
              </w:rPr>
              <w:t>Ⅱ</w:t>
            </w:r>
          </w:p>
        </w:tc>
      </w:tr>
      <w:tr w14:paraId="05B84C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9" w:type="dxa"/>
            <w:tcBorders>
              <w:tl2br w:val="nil"/>
              <w:tr2bl w:val="nil"/>
            </w:tcBorders>
            <w:vAlign w:val="center"/>
          </w:tcPr>
          <w:p w14:paraId="66EE116A">
            <w:pPr>
              <w:spacing w:line="240" w:lineRule="auto"/>
              <w:jc w:val="center"/>
              <w:rPr>
                <w:sz w:val="21"/>
                <w:szCs w:val="21"/>
              </w:rPr>
            </w:pPr>
            <w:r>
              <w:rPr>
                <w:sz w:val="21"/>
                <w:szCs w:val="21"/>
              </w:rPr>
              <w:t>环境低度敏感区（E3）</w:t>
            </w:r>
          </w:p>
        </w:tc>
        <w:tc>
          <w:tcPr>
            <w:tcW w:w="1515" w:type="dxa"/>
            <w:tcBorders>
              <w:tl2br w:val="nil"/>
              <w:tr2bl w:val="nil"/>
            </w:tcBorders>
            <w:vAlign w:val="center"/>
          </w:tcPr>
          <w:p w14:paraId="6E6E11A4">
            <w:pPr>
              <w:spacing w:line="240" w:lineRule="auto"/>
              <w:jc w:val="center"/>
              <w:rPr>
                <w:sz w:val="21"/>
                <w:szCs w:val="21"/>
              </w:rPr>
            </w:pPr>
            <w:r>
              <w:rPr>
                <w:sz w:val="21"/>
                <w:szCs w:val="21"/>
              </w:rPr>
              <w:t>Ⅲ</w:t>
            </w:r>
          </w:p>
        </w:tc>
        <w:tc>
          <w:tcPr>
            <w:tcW w:w="1590" w:type="dxa"/>
            <w:tcBorders>
              <w:tl2br w:val="nil"/>
              <w:tr2bl w:val="nil"/>
            </w:tcBorders>
            <w:vAlign w:val="center"/>
          </w:tcPr>
          <w:p w14:paraId="0AACA355">
            <w:pPr>
              <w:spacing w:line="240" w:lineRule="auto"/>
              <w:jc w:val="center"/>
              <w:rPr>
                <w:sz w:val="21"/>
                <w:szCs w:val="21"/>
              </w:rPr>
            </w:pPr>
            <w:r>
              <w:rPr>
                <w:sz w:val="21"/>
                <w:szCs w:val="21"/>
              </w:rPr>
              <w:t>Ⅲ</w:t>
            </w:r>
          </w:p>
        </w:tc>
        <w:tc>
          <w:tcPr>
            <w:tcW w:w="1650" w:type="dxa"/>
            <w:tcBorders>
              <w:tl2br w:val="nil"/>
              <w:tr2bl w:val="nil"/>
            </w:tcBorders>
            <w:vAlign w:val="center"/>
          </w:tcPr>
          <w:p w14:paraId="31FDC770">
            <w:pPr>
              <w:spacing w:line="240" w:lineRule="auto"/>
              <w:jc w:val="center"/>
              <w:rPr>
                <w:sz w:val="21"/>
                <w:szCs w:val="21"/>
              </w:rPr>
            </w:pPr>
            <w:r>
              <w:rPr>
                <w:sz w:val="21"/>
                <w:szCs w:val="21"/>
              </w:rPr>
              <w:t>Ⅱ</w:t>
            </w:r>
          </w:p>
        </w:tc>
        <w:tc>
          <w:tcPr>
            <w:tcW w:w="1503" w:type="dxa"/>
            <w:tcBorders>
              <w:tl2br w:val="nil"/>
              <w:tr2bl w:val="nil"/>
            </w:tcBorders>
            <w:vAlign w:val="center"/>
          </w:tcPr>
          <w:p w14:paraId="524F2D3A">
            <w:pPr>
              <w:spacing w:line="240" w:lineRule="auto"/>
              <w:jc w:val="center"/>
              <w:rPr>
                <w:sz w:val="21"/>
                <w:szCs w:val="21"/>
              </w:rPr>
            </w:pPr>
            <w:r>
              <w:rPr>
                <w:sz w:val="21"/>
                <w:szCs w:val="21"/>
              </w:rPr>
              <w:t>Ⅰ</w:t>
            </w:r>
          </w:p>
        </w:tc>
      </w:tr>
      <w:tr w14:paraId="20985F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37" w:type="dxa"/>
            <w:gridSpan w:val="5"/>
            <w:tcBorders>
              <w:tl2br w:val="nil"/>
              <w:tr2bl w:val="nil"/>
            </w:tcBorders>
            <w:vAlign w:val="center"/>
          </w:tcPr>
          <w:p w14:paraId="1469296B">
            <w:pPr>
              <w:spacing w:line="240" w:lineRule="auto"/>
              <w:jc w:val="center"/>
              <w:rPr>
                <w:sz w:val="21"/>
                <w:szCs w:val="21"/>
              </w:rPr>
            </w:pPr>
            <w:r>
              <w:rPr>
                <w:sz w:val="21"/>
                <w:szCs w:val="21"/>
              </w:rPr>
              <w:t>注：Ⅳ+为极高环境风险</w:t>
            </w:r>
            <w:r>
              <w:rPr>
                <w:rFonts w:hint="eastAsia"/>
                <w:sz w:val="21"/>
                <w:szCs w:val="21"/>
              </w:rPr>
              <w:t>。</w:t>
            </w:r>
          </w:p>
        </w:tc>
      </w:tr>
    </w:tbl>
    <w:p w14:paraId="5DFBBF6F">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7.2.5</w:t>
      </w:r>
      <w:r>
        <w:rPr>
          <w:rFonts w:hint="eastAsia"/>
        </w:rPr>
        <w:t>评价等级及范围</w:t>
      </w:r>
    </w:p>
    <w:p w14:paraId="6CE87915">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根据《建设项目环境风险评价技术导则》（</w:t>
      </w:r>
      <w:r>
        <w:rPr>
          <w:rFonts w:hint="eastAsia" w:ascii="Times New Roman" w:hAnsi="Times New Roman" w:eastAsia="宋体" w:cs="Times New Roman"/>
          <w:color w:val="auto"/>
        </w:rPr>
        <w:t>HJ 169-2018</w:t>
      </w:r>
      <w:r>
        <w:rPr>
          <w:rFonts w:ascii="Times New Roman" w:hAnsi="Times New Roman" w:eastAsia="宋体" w:cs="Times New Roman"/>
          <w:color w:val="auto"/>
        </w:rPr>
        <w:t>），环境风险评价工作等级根据建设项目涉及的物质及工艺系统危险性和所在地的环境敏感性确定环境风险潜势；本项目大气环境、地表水环境、地下水环境风险潜势分别为Ⅱ、Ⅰ、Ⅰ级。根据风险潜势判定环境风险评价工作等级，由下表可知，本项目大气环境风险潜势为Ⅱ级，评价工作等级划分为三级；地表水环境风险潜势为Ⅰ级，评价工作等级划分为简单分析；地下水环境风险潜势为Ⅰ级，评价工作等级划分为简单分析，风险评价等级取各要素等级高值，故本项目风险评价等级为三级。</w:t>
      </w:r>
    </w:p>
    <w:p w14:paraId="36D9F97E">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表7.2-14 </w:t>
      </w:r>
      <w:r>
        <w:rPr>
          <w:rFonts w:hint="eastAsia"/>
        </w:rPr>
        <w:t>环境风险评价工作级别划分表</w:t>
      </w:r>
    </w:p>
    <w:tbl>
      <w:tblPr>
        <w:tblStyle w:val="31"/>
        <w:tblW w:w="501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399"/>
        <w:gridCol w:w="1068"/>
        <w:gridCol w:w="2036"/>
        <w:gridCol w:w="1430"/>
        <w:gridCol w:w="1433"/>
      </w:tblGrid>
      <w:tr w14:paraId="3FDC426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2390" w:type="dxa"/>
            <w:tcBorders>
              <w:bottom w:val="single" w:color="000000" w:sz="6" w:space="0"/>
              <w:right w:val="single" w:color="000000" w:sz="6" w:space="0"/>
            </w:tcBorders>
          </w:tcPr>
          <w:p w14:paraId="1FBE0992">
            <w:pPr>
              <w:adjustRightInd w:val="0"/>
              <w:snapToGrid w:val="0"/>
              <w:spacing w:line="240" w:lineRule="auto"/>
              <w:jc w:val="center"/>
              <w:rPr>
                <w:sz w:val="21"/>
                <w:szCs w:val="21"/>
              </w:rPr>
            </w:pPr>
            <w:r>
              <w:rPr>
                <w:rFonts w:hint="eastAsia"/>
                <w:sz w:val="21"/>
                <w:szCs w:val="21"/>
              </w:rPr>
              <w:t>环境风险潜势</w:t>
            </w:r>
          </w:p>
        </w:tc>
        <w:tc>
          <w:tcPr>
            <w:tcW w:w="1064" w:type="dxa"/>
            <w:tcBorders>
              <w:left w:val="single" w:color="000000" w:sz="6" w:space="0"/>
              <w:bottom w:val="single" w:color="000000" w:sz="6" w:space="0"/>
              <w:right w:val="single" w:color="000000" w:sz="6" w:space="0"/>
            </w:tcBorders>
          </w:tcPr>
          <w:p w14:paraId="3086A6B8">
            <w:pPr>
              <w:adjustRightInd w:val="0"/>
              <w:snapToGrid w:val="0"/>
              <w:spacing w:line="240" w:lineRule="auto"/>
              <w:jc w:val="center"/>
              <w:rPr>
                <w:sz w:val="21"/>
                <w:szCs w:val="21"/>
              </w:rPr>
            </w:pPr>
            <w:r>
              <w:rPr>
                <w:rFonts w:hint="eastAsia"/>
                <w:sz w:val="21"/>
                <w:szCs w:val="21"/>
              </w:rPr>
              <w:t>Ⅳ、Ⅳ+</w:t>
            </w:r>
          </w:p>
        </w:tc>
        <w:tc>
          <w:tcPr>
            <w:tcW w:w="2029" w:type="dxa"/>
            <w:tcBorders>
              <w:left w:val="single" w:color="000000" w:sz="6" w:space="0"/>
              <w:bottom w:val="single" w:color="000000" w:sz="6" w:space="0"/>
              <w:right w:val="single" w:color="000000" w:sz="6" w:space="0"/>
            </w:tcBorders>
          </w:tcPr>
          <w:p w14:paraId="3C12D33F">
            <w:pPr>
              <w:adjustRightInd w:val="0"/>
              <w:snapToGrid w:val="0"/>
              <w:spacing w:line="240" w:lineRule="auto"/>
              <w:jc w:val="center"/>
              <w:rPr>
                <w:sz w:val="21"/>
                <w:szCs w:val="21"/>
              </w:rPr>
            </w:pPr>
            <w:r>
              <w:rPr>
                <w:rFonts w:hint="eastAsia"/>
                <w:sz w:val="21"/>
                <w:szCs w:val="21"/>
              </w:rPr>
              <w:t>Ⅲ</w:t>
            </w:r>
          </w:p>
        </w:tc>
        <w:tc>
          <w:tcPr>
            <w:tcW w:w="1425" w:type="dxa"/>
            <w:tcBorders>
              <w:left w:val="single" w:color="000000" w:sz="6" w:space="0"/>
              <w:bottom w:val="single" w:color="000000" w:sz="6" w:space="0"/>
              <w:right w:val="single" w:color="000000" w:sz="6" w:space="0"/>
            </w:tcBorders>
          </w:tcPr>
          <w:p w14:paraId="19DC7752">
            <w:pPr>
              <w:adjustRightInd w:val="0"/>
              <w:snapToGrid w:val="0"/>
              <w:spacing w:line="240" w:lineRule="auto"/>
              <w:jc w:val="center"/>
              <w:rPr>
                <w:sz w:val="21"/>
                <w:szCs w:val="21"/>
              </w:rPr>
            </w:pPr>
            <w:r>
              <w:rPr>
                <w:rFonts w:hint="eastAsia"/>
                <w:sz w:val="21"/>
                <w:szCs w:val="21"/>
              </w:rPr>
              <w:t>Ⅱ</w:t>
            </w:r>
          </w:p>
        </w:tc>
        <w:tc>
          <w:tcPr>
            <w:tcW w:w="1428" w:type="dxa"/>
            <w:tcBorders>
              <w:left w:val="single" w:color="000000" w:sz="6" w:space="0"/>
              <w:bottom w:val="single" w:color="000000" w:sz="6" w:space="0"/>
            </w:tcBorders>
          </w:tcPr>
          <w:p w14:paraId="37117F93">
            <w:pPr>
              <w:adjustRightInd w:val="0"/>
              <w:snapToGrid w:val="0"/>
              <w:spacing w:line="240" w:lineRule="auto"/>
              <w:jc w:val="center"/>
              <w:rPr>
                <w:sz w:val="21"/>
                <w:szCs w:val="21"/>
              </w:rPr>
            </w:pPr>
            <w:r>
              <w:rPr>
                <w:rFonts w:hint="eastAsia"/>
                <w:sz w:val="21"/>
                <w:szCs w:val="21"/>
              </w:rPr>
              <w:t>I</w:t>
            </w:r>
          </w:p>
        </w:tc>
      </w:tr>
      <w:tr w14:paraId="5B6A4DF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2390" w:type="dxa"/>
            <w:tcBorders>
              <w:top w:val="single" w:color="000000" w:sz="6" w:space="0"/>
              <w:bottom w:val="single" w:color="000000" w:sz="6" w:space="0"/>
              <w:right w:val="single" w:color="000000" w:sz="6" w:space="0"/>
            </w:tcBorders>
          </w:tcPr>
          <w:p w14:paraId="55B2A503">
            <w:pPr>
              <w:adjustRightInd w:val="0"/>
              <w:snapToGrid w:val="0"/>
              <w:spacing w:line="240" w:lineRule="auto"/>
              <w:jc w:val="center"/>
              <w:rPr>
                <w:sz w:val="21"/>
                <w:szCs w:val="21"/>
              </w:rPr>
            </w:pPr>
            <w:r>
              <w:rPr>
                <w:rFonts w:hint="eastAsia"/>
                <w:sz w:val="21"/>
                <w:szCs w:val="21"/>
              </w:rPr>
              <w:t>评价工作等级</w:t>
            </w:r>
          </w:p>
        </w:tc>
        <w:tc>
          <w:tcPr>
            <w:tcW w:w="1064" w:type="dxa"/>
            <w:tcBorders>
              <w:top w:val="single" w:color="000000" w:sz="6" w:space="0"/>
              <w:left w:val="single" w:color="000000" w:sz="6" w:space="0"/>
              <w:bottom w:val="single" w:color="000000" w:sz="6" w:space="0"/>
              <w:right w:val="single" w:color="000000" w:sz="6" w:space="0"/>
            </w:tcBorders>
          </w:tcPr>
          <w:p w14:paraId="1EB7E633">
            <w:pPr>
              <w:adjustRightInd w:val="0"/>
              <w:snapToGrid w:val="0"/>
              <w:spacing w:line="240" w:lineRule="auto"/>
              <w:jc w:val="center"/>
              <w:rPr>
                <w:sz w:val="21"/>
                <w:szCs w:val="21"/>
              </w:rPr>
            </w:pPr>
            <w:r>
              <w:rPr>
                <w:rFonts w:hint="eastAsia"/>
                <w:sz w:val="21"/>
                <w:szCs w:val="21"/>
              </w:rPr>
              <w:t>一</w:t>
            </w:r>
          </w:p>
        </w:tc>
        <w:tc>
          <w:tcPr>
            <w:tcW w:w="2029" w:type="dxa"/>
            <w:tcBorders>
              <w:top w:val="single" w:color="000000" w:sz="6" w:space="0"/>
              <w:left w:val="single" w:color="000000" w:sz="6" w:space="0"/>
              <w:bottom w:val="single" w:color="000000" w:sz="6" w:space="0"/>
              <w:right w:val="single" w:color="000000" w:sz="6" w:space="0"/>
            </w:tcBorders>
          </w:tcPr>
          <w:p w14:paraId="1B09CD3C">
            <w:pPr>
              <w:adjustRightInd w:val="0"/>
              <w:snapToGrid w:val="0"/>
              <w:spacing w:line="240" w:lineRule="auto"/>
              <w:jc w:val="center"/>
              <w:rPr>
                <w:sz w:val="21"/>
                <w:szCs w:val="21"/>
              </w:rPr>
            </w:pPr>
            <w:r>
              <w:rPr>
                <w:rFonts w:hint="eastAsia"/>
                <w:sz w:val="21"/>
                <w:szCs w:val="21"/>
              </w:rPr>
              <w:t>二</w:t>
            </w:r>
          </w:p>
        </w:tc>
        <w:tc>
          <w:tcPr>
            <w:tcW w:w="1425" w:type="dxa"/>
            <w:tcBorders>
              <w:top w:val="single" w:color="000000" w:sz="6" w:space="0"/>
              <w:left w:val="single" w:color="000000" w:sz="6" w:space="0"/>
              <w:bottom w:val="single" w:color="000000" w:sz="6" w:space="0"/>
              <w:right w:val="single" w:color="000000" w:sz="6" w:space="0"/>
            </w:tcBorders>
          </w:tcPr>
          <w:p w14:paraId="24D65E05">
            <w:pPr>
              <w:adjustRightInd w:val="0"/>
              <w:snapToGrid w:val="0"/>
              <w:spacing w:line="240" w:lineRule="auto"/>
              <w:jc w:val="center"/>
              <w:rPr>
                <w:sz w:val="21"/>
                <w:szCs w:val="21"/>
              </w:rPr>
            </w:pPr>
            <w:r>
              <w:rPr>
                <w:rFonts w:hint="eastAsia"/>
                <w:sz w:val="21"/>
                <w:szCs w:val="21"/>
              </w:rPr>
              <w:t>三</w:t>
            </w:r>
          </w:p>
        </w:tc>
        <w:tc>
          <w:tcPr>
            <w:tcW w:w="1428" w:type="dxa"/>
            <w:tcBorders>
              <w:top w:val="single" w:color="000000" w:sz="6" w:space="0"/>
              <w:left w:val="single" w:color="000000" w:sz="6" w:space="0"/>
              <w:bottom w:val="single" w:color="000000" w:sz="6" w:space="0"/>
            </w:tcBorders>
          </w:tcPr>
          <w:p w14:paraId="2048B6AA">
            <w:pPr>
              <w:adjustRightInd w:val="0"/>
              <w:snapToGrid w:val="0"/>
              <w:spacing w:line="240" w:lineRule="auto"/>
              <w:jc w:val="center"/>
              <w:rPr>
                <w:sz w:val="21"/>
                <w:szCs w:val="21"/>
              </w:rPr>
            </w:pPr>
            <w:r>
              <w:rPr>
                <w:rFonts w:hint="eastAsia"/>
                <w:sz w:val="21"/>
                <w:szCs w:val="21"/>
              </w:rPr>
              <w:t>简单分析a</w:t>
            </w:r>
          </w:p>
        </w:tc>
      </w:tr>
      <w:tr w14:paraId="11F7C8E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8336" w:type="dxa"/>
            <w:gridSpan w:val="5"/>
            <w:tcBorders>
              <w:top w:val="single" w:color="000000" w:sz="6" w:space="0"/>
            </w:tcBorders>
          </w:tcPr>
          <w:p w14:paraId="2B44C45A">
            <w:pPr>
              <w:adjustRightInd w:val="0"/>
              <w:snapToGrid w:val="0"/>
              <w:spacing w:line="240" w:lineRule="auto"/>
              <w:jc w:val="left"/>
              <w:rPr>
                <w:sz w:val="21"/>
                <w:szCs w:val="21"/>
              </w:rPr>
            </w:pPr>
            <w:r>
              <w:rPr>
                <w:rFonts w:hint="eastAsia"/>
                <w:sz w:val="21"/>
                <w:szCs w:val="21"/>
              </w:rPr>
              <w:t>a是相对于详细评价工作内容而言，在描述危险物质、环境影响途径、环境危害后果、风险防范措施等方面给出定性的说明。</w:t>
            </w:r>
          </w:p>
        </w:tc>
      </w:tr>
    </w:tbl>
    <w:p w14:paraId="671023F5">
      <w:pPr>
        <w:pStyle w:val="40"/>
        <w:spacing w:line="360" w:lineRule="auto"/>
        <w:ind w:firstLine="480"/>
        <w:rPr>
          <w:rFonts w:ascii="Times New Roman"/>
        </w:rPr>
      </w:pPr>
      <w:r>
        <w:rPr>
          <w:rFonts w:ascii="Times New Roman"/>
        </w:rPr>
        <w:t>根据《建设项目环境风险评价技术导则》（HJ169-2018）评价等级确定评价范围，本项目环境风险评价范围为自项目边界外延5km的区域；项目废水经处理后进入潭县顺业污水处理有限公司污水处理厂，不直接排入地表水体，地表水环境风险评价范围确定为厂区废水总排口达标排放，事故废水不外排；地下水无需设置评价范围，建设方需按照要求做好防渗措施，杜绝危险物质下渗。</w:t>
      </w:r>
    </w:p>
    <w:p w14:paraId="0F13181E">
      <w:pPr>
        <w:pStyle w:val="3"/>
        <w:numPr>
          <w:ilvl w:val="1"/>
          <w:numId w:val="0"/>
        </w:numPr>
        <w:ind w:left="567" w:leftChars="0" w:hanging="567" w:firstLineChars="0"/>
        <w:rPr>
          <w:sz w:val="28"/>
          <w:szCs w:val="28"/>
        </w:rPr>
      </w:pPr>
      <w:bookmarkStart w:id="146" w:name="_Toc21965"/>
      <w:r>
        <w:rPr>
          <w:rFonts w:hint="default" w:ascii="宋体" w:hAnsi="宋体" w:eastAsia="宋体" w:cs="宋体"/>
          <w:b/>
          <w:bCs/>
          <w:kern w:val="2"/>
          <w:sz w:val="28"/>
          <w:szCs w:val="28"/>
          <w:lang w:val="en-US" w:eastAsia="zh-CN" w:bidi="ar-SA"/>
        </w:rPr>
        <w:t>7.3</w:t>
      </w:r>
      <w:r>
        <w:rPr>
          <w:rFonts w:hint="eastAsia"/>
          <w:sz w:val="28"/>
          <w:szCs w:val="28"/>
        </w:rPr>
        <w:t>环境敏感目标</w:t>
      </w:r>
      <w:bookmarkEnd w:id="146"/>
    </w:p>
    <w:p w14:paraId="13D50A46">
      <w:pPr>
        <w:ind w:firstLine="480"/>
      </w:pPr>
      <w:r>
        <w:t>根据调查结果，项目主要环境</w:t>
      </w:r>
      <w:r>
        <w:rPr>
          <w:rFonts w:hint="eastAsia"/>
        </w:rPr>
        <w:t>风险保护</w:t>
      </w:r>
      <w:r>
        <w:t>目标详见表</w:t>
      </w:r>
      <w:r>
        <w:rPr>
          <w:rFonts w:hint="eastAsia"/>
        </w:rPr>
        <w:t>7.3-1、7.3-2</w:t>
      </w:r>
      <w:r>
        <w:t>。</w:t>
      </w:r>
    </w:p>
    <w:p w14:paraId="2B9497B9">
      <w:pPr>
        <w:pStyle w:val="51"/>
        <w:numPr>
          <w:ilvl w:val="5"/>
          <w:numId w:val="0"/>
        </w:numPr>
        <w:spacing w:before="0" w:beforeLines="0" w:line="360" w:lineRule="auto"/>
        <w:ind w:left="305" w:leftChars="0" w:hanging="3260" w:firstLineChars="0"/>
      </w:pPr>
      <w:r>
        <w:rPr>
          <w:rFonts w:hint="default" w:ascii="宋体" w:hAnsi="宋体" w:eastAsia="宋体" w:cs="宋体"/>
          <w:b/>
          <w:bCs/>
          <w:color w:val="auto"/>
          <w:kern w:val="2"/>
          <w:sz w:val="21"/>
          <w:szCs w:val="21"/>
          <w:lang w:val="en-US" w:eastAsia="zh-CN" w:bidi="ar-SA"/>
        </w:rPr>
        <w:t xml:space="preserve">表7.3-1 </w:t>
      </w:r>
      <w:r>
        <w:rPr>
          <w:rFonts w:hint="eastAsia"/>
        </w:rPr>
        <w:t xml:space="preserve"> 环境风险保护目标</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1383"/>
        <w:gridCol w:w="1181"/>
        <w:gridCol w:w="984"/>
        <w:gridCol w:w="950"/>
        <w:gridCol w:w="951"/>
        <w:gridCol w:w="950"/>
        <w:gridCol w:w="1172"/>
      </w:tblGrid>
      <w:tr w14:paraId="3B5E4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restart"/>
            <w:tcBorders>
              <w:tl2br w:val="nil"/>
              <w:tr2bl w:val="nil"/>
            </w:tcBorders>
            <w:vAlign w:val="center"/>
          </w:tcPr>
          <w:p w14:paraId="621A5CFD">
            <w:pPr>
              <w:adjustRightInd w:val="0"/>
              <w:snapToGrid w:val="0"/>
              <w:spacing w:line="240" w:lineRule="auto"/>
              <w:jc w:val="center"/>
              <w:rPr>
                <w:sz w:val="21"/>
                <w:szCs w:val="21"/>
              </w:rPr>
            </w:pPr>
            <w:r>
              <w:rPr>
                <w:rFonts w:hint="eastAsia"/>
                <w:sz w:val="21"/>
                <w:szCs w:val="21"/>
              </w:rPr>
              <w:t>名称</w:t>
            </w:r>
          </w:p>
        </w:tc>
        <w:tc>
          <w:tcPr>
            <w:tcW w:w="2518" w:type="dxa"/>
            <w:gridSpan w:val="2"/>
            <w:tcBorders>
              <w:tl2br w:val="nil"/>
              <w:tr2bl w:val="nil"/>
            </w:tcBorders>
            <w:vAlign w:val="center"/>
          </w:tcPr>
          <w:p w14:paraId="5258831B">
            <w:pPr>
              <w:adjustRightInd w:val="0"/>
              <w:snapToGrid w:val="0"/>
              <w:spacing w:line="240" w:lineRule="auto"/>
              <w:jc w:val="center"/>
              <w:rPr>
                <w:sz w:val="21"/>
                <w:szCs w:val="21"/>
              </w:rPr>
            </w:pPr>
            <w:r>
              <w:rPr>
                <w:rFonts w:hint="eastAsia"/>
                <w:sz w:val="21"/>
                <w:szCs w:val="21"/>
              </w:rPr>
              <w:t>坐标</w:t>
            </w:r>
          </w:p>
        </w:tc>
        <w:tc>
          <w:tcPr>
            <w:tcW w:w="982" w:type="dxa"/>
            <w:vMerge w:val="restart"/>
            <w:tcBorders>
              <w:tl2br w:val="nil"/>
              <w:tr2bl w:val="nil"/>
            </w:tcBorders>
            <w:vAlign w:val="center"/>
          </w:tcPr>
          <w:p w14:paraId="156724B3">
            <w:pPr>
              <w:adjustRightInd w:val="0"/>
              <w:snapToGrid w:val="0"/>
              <w:spacing w:line="240" w:lineRule="auto"/>
              <w:jc w:val="center"/>
              <w:rPr>
                <w:sz w:val="21"/>
                <w:szCs w:val="21"/>
              </w:rPr>
            </w:pPr>
            <w:r>
              <w:rPr>
                <w:rFonts w:hint="eastAsia"/>
                <w:sz w:val="21"/>
                <w:szCs w:val="21"/>
              </w:rPr>
              <w:t>保护对象</w:t>
            </w:r>
          </w:p>
        </w:tc>
        <w:tc>
          <w:tcPr>
            <w:tcW w:w="948" w:type="dxa"/>
            <w:vMerge w:val="restart"/>
            <w:tcBorders>
              <w:tl2br w:val="nil"/>
              <w:tr2bl w:val="nil"/>
            </w:tcBorders>
            <w:vAlign w:val="center"/>
          </w:tcPr>
          <w:p w14:paraId="7FF04AFD">
            <w:pPr>
              <w:adjustRightInd w:val="0"/>
              <w:snapToGrid w:val="0"/>
              <w:spacing w:line="240" w:lineRule="auto"/>
              <w:jc w:val="center"/>
              <w:rPr>
                <w:sz w:val="21"/>
                <w:szCs w:val="21"/>
              </w:rPr>
            </w:pPr>
            <w:r>
              <w:rPr>
                <w:rFonts w:hint="eastAsia"/>
                <w:sz w:val="21"/>
                <w:szCs w:val="21"/>
              </w:rPr>
              <w:t>保护内容</w:t>
            </w:r>
          </w:p>
        </w:tc>
        <w:tc>
          <w:tcPr>
            <w:tcW w:w="949" w:type="dxa"/>
            <w:vMerge w:val="restart"/>
            <w:tcBorders>
              <w:tl2br w:val="nil"/>
              <w:tr2bl w:val="nil"/>
            </w:tcBorders>
            <w:vAlign w:val="center"/>
          </w:tcPr>
          <w:p w14:paraId="6434D130">
            <w:pPr>
              <w:adjustRightInd w:val="0"/>
              <w:snapToGrid w:val="0"/>
              <w:spacing w:line="240" w:lineRule="auto"/>
              <w:jc w:val="center"/>
              <w:rPr>
                <w:sz w:val="21"/>
                <w:szCs w:val="21"/>
              </w:rPr>
            </w:pPr>
            <w:r>
              <w:rPr>
                <w:rFonts w:hint="eastAsia"/>
                <w:sz w:val="21"/>
                <w:szCs w:val="21"/>
              </w:rPr>
              <w:t>环境功能区</w:t>
            </w:r>
          </w:p>
        </w:tc>
        <w:tc>
          <w:tcPr>
            <w:tcW w:w="948" w:type="dxa"/>
            <w:vMerge w:val="restart"/>
            <w:tcBorders>
              <w:tl2br w:val="nil"/>
              <w:tr2bl w:val="nil"/>
            </w:tcBorders>
            <w:vAlign w:val="center"/>
          </w:tcPr>
          <w:p w14:paraId="37D43B94">
            <w:pPr>
              <w:adjustRightInd w:val="0"/>
              <w:snapToGrid w:val="0"/>
              <w:spacing w:line="240" w:lineRule="auto"/>
              <w:jc w:val="center"/>
              <w:rPr>
                <w:sz w:val="21"/>
                <w:szCs w:val="21"/>
              </w:rPr>
            </w:pPr>
            <w:r>
              <w:rPr>
                <w:rFonts w:hint="eastAsia"/>
                <w:sz w:val="21"/>
                <w:szCs w:val="21"/>
              </w:rPr>
              <w:t>相对方位</w:t>
            </w:r>
          </w:p>
        </w:tc>
        <w:tc>
          <w:tcPr>
            <w:tcW w:w="1095" w:type="dxa"/>
            <w:vMerge w:val="restart"/>
            <w:tcBorders>
              <w:tl2br w:val="nil"/>
              <w:tr2bl w:val="nil"/>
            </w:tcBorders>
            <w:vAlign w:val="center"/>
          </w:tcPr>
          <w:p w14:paraId="7600A7F0">
            <w:pPr>
              <w:adjustRightInd w:val="0"/>
              <w:snapToGrid w:val="0"/>
              <w:spacing w:line="240" w:lineRule="auto"/>
              <w:jc w:val="center"/>
              <w:rPr>
                <w:sz w:val="21"/>
                <w:szCs w:val="21"/>
              </w:rPr>
            </w:pPr>
            <w:r>
              <w:rPr>
                <w:rFonts w:hint="eastAsia"/>
                <w:sz w:val="21"/>
                <w:szCs w:val="21"/>
              </w:rPr>
              <w:t>相对厂界最近距离（m）</w:t>
            </w:r>
          </w:p>
        </w:tc>
      </w:tr>
      <w:tr w14:paraId="6861E1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vMerge w:val="continue"/>
            <w:tcBorders>
              <w:tl2br w:val="nil"/>
              <w:tr2bl w:val="nil"/>
            </w:tcBorders>
            <w:vAlign w:val="center"/>
          </w:tcPr>
          <w:p w14:paraId="4473E4C9">
            <w:pPr>
              <w:adjustRightInd w:val="0"/>
              <w:snapToGrid w:val="0"/>
              <w:spacing w:line="240" w:lineRule="auto"/>
              <w:jc w:val="center"/>
              <w:rPr>
                <w:sz w:val="21"/>
                <w:szCs w:val="21"/>
              </w:rPr>
            </w:pPr>
          </w:p>
        </w:tc>
        <w:tc>
          <w:tcPr>
            <w:tcW w:w="1360" w:type="dxa"/>
            <w:tcBorders>
              <w:tl2br w:val="nil"/>
              <w:tr2bl w:val="nil"/>
            </w:tcBorders>
            <w:vAlign w:val="center"/>
          </w:tcPr>
          <w:p w14:paraId="44F2553A">
            <w:pPr>
              <w:adjustRightInd w:val="0"/>
              <w:snapToGrid w:val="0"/>
              <w:spacing w:line="240" w:lineRule="auto"/>
              <w:jc w:val="center"/>
              <w:rPr>
                <w:sz w:val="21"/>
                <w:szCs w:val="21"/>
              </w:rPr>
            </w:pPr>
            <w:r>
              <w:rPr>
                <w:rFonts w:hint="eastAsia"/>
                <w:sz w:val="21"/>
                <w:szCs w:val="21"/>
              </w:rPr>
              <w:t>经度</w:t>
            </w:r>
          </w:p>
        </w:tc>
        <w:tc>
          <w:tcPr>
            <w:tcW w:w="1158" w:type="dxa"/>
            <w:tcBorders>
              <w:tl2br w:val="nil"/>
              <w:tr2bl w:val="nil"/>
            </w:tcBorders>
            <w:vAlign w:val="center"/>
          </w:tcPr>
          <w:p w14:paraId="24D3B978">
            <w:pPr>
              <w:adjustRightInd w:val="0"/>
              <w:snapToGrid w:val="0"/>
              <w:spacing w:line="240" w:lineRule="auto"/>
              <w:jc w:val="center"/>
              <w:rPr>
                <w:sz w:val="21"/>
                <w:szCs w:val="21"/>
              </w:rPr>
            </w:pPr>
            <w:r>
              <w:rPr>
                <w:rFonts w:hint="eastAsia"/>
                <w:sz w:val="21"/>
                <w:szCs w:val="21"/>
              </w:rPr>
              <w:t>纬度</w:t>
            </w:r>
          </w:p>
        </w:tc>
        <w:tc>
          <w:tcPr>
            <w:tcW w:w="982" w:type="dxa"/>
            <w:vMerge w:val="continue"/>
            <w:tcBorders>
              <w:tl2br w:val="nil"/>
              <w:tr2bl w:val="nil"/>
            </w:tcBorders>
            <w:vAlign w:val="center"/>
          </w:tcPr>
          <w:p w14:paraId="1132B903">
            <w:pPr>
              <w:adjustRightInd w:val="0"/>
              <w:snapToGrid w:val="0"/>
              <w:spacing w:line="240" w:lineRule="auto"/>
              <w:jc w:val="center"/>
              <w:rPr>
                <w:sz w:val="21"/>
                <w:szCs w:val="21"/>
              </w:rPr>
            </w:pPr>
          </w:p>
        </w:tc>
        <w:tc>
          <w:tcPr>
            <w:tcW w:w="948" w:type="dxa"/>
            <w:vMerge w:val="continue"/>
            <w:tcBorders>
              <w:tl2br w:val="nil"/>
              <w:tr2bl w:val="nil"/>
            </w:tcBorders>
            <w:vAlign w:val="center"/>
          </w:tcPr>
          <w:p w14:paraId="4506B3C1">
            <w:pPr>
              <w:adjustRightInd w:val="0"/>
              <w:snapToGrid w:val="0"/>
              <w:spacing w:line="240" w:lineRule="auto"/>
              <w:jc w:val="center"/>
              <w:rPr>
                <w:sz w:val="21"/>
                <w:szCs w:val="21"/>
              </w:rPr>
            </w:pPr>
          </w:p>
        </w:tc>
        <w:tc>
          <w:tcPr>
            <w:tcW w:w="949" w:type="dxa"/>
            <w:vMerge w:val="continue"/>
            <w:tcBorders>
              <w:tl2br w:val="nil"/>
              <w:tr2bl w:val="nil"/>
            </w:tcBorders>
            <w:vAlign w:val="center"/>
          </w:tcPr>
          <w:p w14:paraId="58E8C498">
            <w:pPr>
              <w:adjustRightInd w:val="0"/>
              <w:snapToGrid w:val="0"/>
              <w:spacing w:line="240" w:lineRule="auto"/>
              <w:jc w:val="center"/>
              <w:rPr>
                <w:sz w:val="21"/>
                <w:szCs w:val="21"/>
              </w:rPr>
            </w:pPr>
          </w:p>
        </w:tc>
        <w:tc>
          <w:tcPr>
            <w:tcW w:w="948" w:type="dxa"/>
            <w:vMerge w:val="continue"/>
            <w:tcBorders>
              <w:tl2br w:val="nil"/>
              <w:tr2bl w:val="nil"/>
            </w:tcBorders>
            <w:vAlign w:val="center"/>
          </w:tcPr>
          <w:p w14:paraId="56A35334">
            <w:pPr>
              <w:adjustRightInd w:val="0"/>
              <w:snapToGrid w:val="0"/>
              <w:spacing w:line="240" w:lineRule="auto"/>
              <w:jc w:val="center"/>
              <w:rPr>
                <w:sz w:val="21"/>
                <w:szCs w:val="21"/>
              </w:rPr>
            </w:pPr>
          </w:p>
        </w:tc>
        <w:tc>
          <w:tcPr>
            <w:tcW w:w="1095" w:type="dxa"/>
            <w:vMerge w:val="continue"/>
            <w:tcBorders>
              <w:tl2br w:val="nil"/>
              <w:tr2bl w:val="nil"/>
            </w:tcBorders>
            <w:vAlign w:val="center"/>
          </w:tcPr>
          <w:p w14:paraId="61518F3C">
            <w:pPr>
              <w:adjustRightInd w:val="0"/>
              <w:snapToGrid w:val="0"/>
              <w:spacing w:line="240" w:lineRule="auto"/>
              <w:jc w:val="center"/>
              <w:rPr>
                <w:sz w:val="21"/>
                <w:szCs w:val="21"/>
              </w:rPr>
            </w:pPr>
          </w:p>
        </w:tc>
      </w:tr>
      <w:tr w14:paraId="0BBF51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6D61E513">
            <w:pPr>
              <w:adjustRightInd w:val="0"/>
              <w:snapToGrid w:val="0"/>
              <w:spacing w:line="240" w:lineRule="auto"/>
              <w:jc w:val="center"/>
              <w:rPr>
                <w:sz w:val="21"/>
                <w:szCs w:val="21"/>
              </w:rPr>
            </w:pPr>
            <w:r>
              <w:rPr>
                <w:rFonts w:hint="eastAsia"/>
                <w:sz w:val="21"/>
                <w:szCs w:val="21"/>
              </w:rPr>
              <w:t>涓江香水湾小区</w:t>
            </w:r>
          </w:p>
        </w:tc>
        <w:tc>
          <w:tcPr>
            <w:tcW w:w="1360" w:type="dxa"/>
            <w:tcBorders>
              <w:tl2br w:val="nil"/>
              <w:tr2bl w:val="nil"/>
            </w:tcBorders>
            <w:vAlign w:val="center"/>
          </w:tcPr>
          <w:p w14:paraId="3AA6215B">
            <w:pPr>
              <w:adjustRightInd w:val="0"/>
              <w:snapToGrid w:val="0"/>
              <w:spacing w:line="240" w:lineRule="auto"/>
              <w:jc w:val="center"/>
              <w:rPr>
                <w:sz w:val="21"/>
                <w:szCs w:val="21"/>
              </w:rPr>
            </w:pPr>
            <w:r>
              <w:rPr>
                <w:sz w:val="21"/>
                <w:szCs w:val="21"/>
              </w:rPr>
              <w:t>112.5</w:t>
            </w:r>
            <w:r>
              <w:rPr>
                <w:rFonts w:hint="eastAsia"/>
                <w:sz w:val="21"/>
                <w:szCs w:val="21"/>
              </w:rPr>
              <w:t>70442</w:t>
            </w:r>
            <w:r>
              <w:rPr>
                <w:sz w:val="21"/>
                <w:szCs w:val="21"/>
              </w:rPr>
              <w:t>˚</w:t>
            </w:r>
          </w:p>
        </w:tc>
        <w:tc>
          <w:tcPr>
            <w:tcW w:w="1158" w:type="dxa"/>
            <w:tcBorders>
              <w:tl2br w:val="nil"/>
              <w:tr2bl w:val="nil"/>
            </w:tcBorders>
            <w:vAlign w:val="center"/>
          </w:tcPr>
          <w:p w14:paraId="668D13EA">
            <w:pPr>
              <w:adjustRightInd w:val="0"/>
              <w:snapToGrid w:val="0"/>
              <w:spacing w:line="240" w:lineRule="auto"/>
              <w:jc w:val="center"/>
              <w:rPr>
                <w:sz w:val="21"/>
                <w:szCs w:val="21"/>
              </w:rPr>
            </w:pPr>
            <w:r>
              <w:rPr>
                <w:sz w:val="21"/>
                <w:szCs w:val="21"/>
              </w:rPr>
              <w:t>27.460</w:t>
            </w:r>
            <w:r>
              <w:rPr>
                <w:rFonts w:hint="eastAsia"/>
                <w:sz w:val="21"/>
                <w:szCs w:val="21"/>
              </w:rPr>
              <w:t>166</w:t>
            </w:r>
            <w:r>
              <w:rPr>
                <w:sz w:val="21"/>
                <w:szCs w:val="21"/>
              </w:rPr>
              <w:t>˚</w:t>
            </w:r>
          </w:p>
        </w:tc>
        <w:tc>
          <w:tcPr>
            <w:tcW w:w="982" w:type="dxa"/>
            <w:tcBorders>
              <w:tl2br w:val="nil"/>
              <w:tr2bl w:val="nil"/>
            </w:tcBorders>
            <w:vAlign w:val="center"/>
          </w:tcPr>
          <w:p w14:paraId="22EEECDC">
            <w:pPr>
              <w:adjustRightInd w:val="0"/>
              <w:snapToGrid w:val="0"/>
              <w:spacing w:line="240" w:lineRule="auto"/>
              <w:jc w:val="center"/>
              <w:rPr>
                <w:sz w:val="21"/>
                <w:szCs w:val="21"/>
              </w:rPr>
            </w:pPr>
            <w:r>
              <w:rPr>
                <w:rFonts w:hint="eastAsia"/>
                <w:sz w:val="21"/>
                <w:szCs w:val="21"/>
              </w:rPr>
              <w:t>约95户，380人</w:t>
            </w:r>
          </w:p>
        </w:tc>
        <w:tc>
          <w:tcPr>
            <w:tcW w:w="948" w:type="dxa"/>
            <w:vMerge w:val="restart"/>
            <w:tcBorders>
              <w:tl2br w:val="nil"/>
              <w:tr2bl w:val="nil"/>
            </w:tcBorders>
            <w:vAlign w:val="center"/>
          </w:tcPr>
          <w:p w14:paraId="3CFB129C">
            <w:pPr>
              <w:adjustRightInd w:val="0"/>
              <w:snapToGrid w:val="0"/>
              <w:spacing w:line="240" w:lineRule="auto"/>
              <w:jc w:val="center"/>
              <w:rPr>
                <w:sz w:val="21"/>
                <w:szCs w:val="21"/>
              </w:rPr>
            </w:pPr>
            <w:r>
              <w:rPr>
                <w:sz w:val="21"/>
                <w:szCs w:val="21"/>
              </w:rPr>
              <w:t>保护人体健康</w:t>
            </w:r>
          </w:p>
        </w:tc>
        <w:tc>
          <w:tcPr>
            <w:tcW w:w="949" w:type="dxa"/>
            <w:vMerge w:val="restart"/>
            <w:tcBorders>
              <w:tl2br w:val="nil"/>
              <w:tr2bl w:val="nil"/>
            </w:tcBorders>
            <w:vAlign w:val="center"/>
          </w:tcPr>
          <w:p w14:paraId="08A26FC9">
            <w:pPr>
              <w:adjustRightInd w:val="0"/>
              <w:snapToGrid w:val="0"/>
              <w:spacing w:line="240" w:lineRule="auto"/>
              <w:jc w:val="center"/>
              <w:rPr>
                <w:sz w:val="21"/>
                <w:szCs w:val="21"/>
              </w:rPr>
            </w:pPr>
            <w:r>
              <w:rPr>
                <w:sz w:val="21"/>
                <w:szCs w:val="21"/>
              </w:rPr>
              <w:t>环境空气二类功能区</w:t>
            </w:r>
          </w:p>
        </w:tc>
        <w:tc>
          <w:tcPr>
            <w:tcW w:w="948" w:type="dxa"/>
            <w:tcBorders>
              <w:tl2br w:val="nil"/>
              <w:tr2bl w:val="nil"/>
            </w:tcBorders>
            <w:vAlign w:val="center"/>
          </w:tcPr>
          <w:p w14:paraId="30A4714A">
            <w:pPr>
              <w:adjustRightInd w:val="0"/>
              <w:snapToGrid w:val="0"/>
              <w:spacing w:line="240" w:lineRule="auto"/>
              <w:jc w:val="center"/>
              <w:rPr>
                <w:sz w:val="21"/>
                <w:szCs w:val="21"/>
              </w:rPr>
            </w:pPr>
            <w:r>
              <w:rPr>
                <w:rFonts w:hint="eastAsia"/>
                <w:sz w:val="21"/>
                <w:szCs w:val="21"/>
              </w:rPr>
              <w:t>西侧</w:t>
            </w:r>
          </w:p>
        </w:tc>
        <w:tc>
          <w:tcPr>
            <w:tcW w:w="1095" w:type="dxa"/>
            <w:tcBorders>
              <w:tl2br w:val="nil"/>
              <w:tr2bl w:val="nil"/>
            </w:tcBorders>
            <w:vAlign w:val="center"/>
          </w:tcPr>
          <w:p w14:paraId="70EFC762">
            <w:pPr>
              <w:adjustRightInd w:val="0"/>
              <w:snapToGrid w:val="0"/>
              <w:spacing w:line="240" w:lineRule="auto"/>
              <w:jc w:val="center"/>
              <w:rPr>
                <w:sz w:val="21"/>
                <w:szCs w:val="21"/>
              </w:rPr>
            </w:pPr>
            <w:r>
              <w:rPr>
                <w:rFonts w:hint="eastAsia"/>
                <w:sz w:val="21"/>
                <w:szCs w:val="21"/>
              </w:rPr>
              <w:t>520</w:t>
            </w:r>
            <w:r>
              <w:rPr>
                <w:sz w:val="21"/>
                <w:szCs w:val="21"/>
              </w:rPr>
              <w:t>~</w:t>
            </w:r>
            <w:r>
              <w:rPr>
                <w:rFonts w:hint="eastAsia"/>
                <w:sz w:val="21"/>
                <w:szCs w:val="21"/>
              </w:rPr>
              <w:t>680</w:t>
            </w:r>
          </w:p>
        </w:tc>
      </w:tr>
      <w:tr w14:paraId="05864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0908AC8C">
            <w:pPr>
              <w:adjustRightInd w:val="0"/>
              <w:snapToGrid w:val="0"/>
              <w:spacing w:line="240" w:lineRule="auto"/>
              <w:jc w:val="center"/>
              <w:rPr>
                <w:sz w:val="21"/>
                <w:szCs w:val="21"/>
              </w:rPr>
            </w:pPr>
            <w:r>
              <w:rPr>
                <w:rFonts w:hint="eastAsia"/>
                <w:sz w:val="21"/>
                <w:szCs w:val="21"/>
              </w:rPr>
              <w:t>松香苑小区</w:t>
            </w:r>
          </w:p>
        </w:tc>
        <w:tc>
          <w:tcPr>
            <w:tcW w:w="1360" w:type="dxa"/>
            <w:tcBorders>
              <w:tl2br w:val="nil"/>
              <w:tr2bl w:val="nil"/>
            </w:tcBorders>
            <w:vAlign w:val="center"/>
          </w:tcPr>
          <w:p w14:paraId="112BB35E">
            <w:pPr>
              <w:adjustRightInd w:val="0"/>
              <w:snapToGrid w:val="0"/>
              <w:spacing w:line="240" w:lineRule="auto"/>
              <w:jc w:val="center"/>
              <w:rPr>
                <w:sz w:val="21"/>
                <w:szCs w:val="21"/>
              </w:rPr>
            </w:pPr>
            <w:r>
              <w:rPr>
                <w:sz w:val="21"/>
                <w:szCs w:val="21"/>
              </w:rPr>
              <w:t>112.</w:t>
            </w:r>
            <w:r>
              <w:rPr>
                <w:rFonts w:hint="eastAsia"/>
                <w:sz w:val="21"/>
                <w:szCs w:val="21"/>
              </w:rPr>
              <w:t>565264</w:t>
            </w:r>
            <w:r>
              <w:rPr>
                <w:sz w:val="21"/>
                <w:szCs w:val="21"/>
              </w:rPr>
              <w:t>˚</w:t>
            </w:r>
          </w:p>
        </w:tc>
        <w:tc>
          <w:tcPr>
            <w:tcW w:w="1158" w:type="dxa"/>
            <w:tcBorders>
              <w:tl2br w:val="nil"/>
              <w:tr2bl w:val="nil"/>
            </w:tcBorders>
            <w:vAlign w:val="center"/>
          </w:tcPr>
          <w:p w14:paraId="2D9BC36E">
            <w:pPr>
              <w:adjustRightInd w:val="0"/>
              <w:snapToGrid w:val="0"/>
              <w:spacing w:line="240" w:lineRule="auto"/>
              <w:jc w:val="center"/>
              <w:rPr>
                <w:sz w:val="21"/>
                <w:szCs w:val="21"/>
              </w:rPr>
            </w:pPr>
            <w:r>
              <w:rPr>
                <w:sz w:val="21"/>
                <w:szCs w:val="21"/>
              </w:rPr>
              <w:t>27.4</w:t>
            </w:r>
            <w:r>
              <w:rPr>
                <w:rFonts w:hint="eastAsia"/>
                <w:sz w:val="21"/>
                <w:szCs w:val="21"/>
              </w:rPr>
              <w:t>61866</w:t>
            </w:r>
            <w:r>
              <w:rPr>
                <w:sz w:val="21"/>
                <w:szCs w:val="21"/>
              </w:rPr>
              <w:t>˚</w:t>
            </w:r>
          </w:p>
        </w:tc>
        <w:tc>
          <w:tcPr>
            <w:tcW w:w="982" w:type="dxa"/>
            <w:tcBorders>
              <w:tl2br w:val="nil"/>
              <w:tr2bl w:val="nil"/>
            </w:tcBorders>
            <w:vAlign w:val="center"/>
          </w:tcPr>
          <w:p w14:paraId="6C8129B9">
            <w:pPr>
              <w:adjustRightInd w:val="0"/>
              <w:snapToGrid w:val="0"/>
              <w:spacing w:line="240" w:lineRule="auto"/>
              <w:jc w:val="center"/>
              <w:rPr>
                <w:sz w:val="21"/>
                <w:szCs w:val="21"/>
              </w:rPr>
            </w:pPr>
            <w:r>
              <w:rPr>
                <w:rFonts w:hint="eastAsia"/>
                <w:sz w:val="21"/>
                <w:szCs w:val="21"/>
              </w:rPr>
              <w:t>约70户，280</w:t>
            </w:r>
          </w:p>
          <w:p w14:paraId="217794C6">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754FEF72">
            <w:pPr>
              <w:adjustRightInd w:val="0"/>
              <w:snapToGrid w:val="0"/>
              <w:spacing w:line="240" w:lineRule="auto"/>
              <w:jc w:val="center"/>
              <w:rPr>
                <w:sz w:val="21"/>
                <w:szCs w:val="21"/>
              </w:rPr>
            </w:pPr>
          </w:p>
        </w:tc>
        <w:tc>
          <w:tcPr>
            <w:tcW w:w="949" w:type="dxa"/>
            <w:vMerge w:val="continue"/>
            <w:tcBorders>
              <w:tl2br w:val="nil"/>
              <w:tr2bl w:val="nil"/>
            </w:tcBorders>
            <w:vAlign w:val="center"/>
          </w:tcPr>
          <w:p w14:paraId="49DD2C6E">
            <w:pPr>
              <w:adjustRightInd w:val="0"/>
              <w:snapToGrid w:val="0"/>
              <w:spacing w:line="240" w:lineRule="auto"/>
              <w:jc w:val="center"/>
              <w:rPr>
                <w:sz w:val="21"/>
                <w:szCs w:val="21"/>
              </w:rPr>
            </w:pPr>
          </w:p>
        </w:tc>
        <w:tc>
          <w:tcPr>
            <w:tcW w:w="948" w:type="dxa"/>
            <w:tcBorders>
              <w:tl2br w:val="nil"/>
              <w:tr2bl w:val="nil"/>
            </w:tcBorders>
            <w:vAlign w:val="center"/>
          </w:tcPr>
          <w:p w14:paraId="5EF8A7BE">
            <w:pPr>
              <w:adjustRightInd w:val="0"/>
              <w:snapToGrid w:val="0"/>
              <w:spacing w:line="240" w:lineRule="auto"/>
              <w:jc w:val="center"/>
              <w:rPr>
                <w:sz w:val="21"/>
                <w:szCs w:val="21"/>
              </w:rPr>
            </w:pPr>
            <w:r>
              <w:rPr>
                <w:rFonts w:hint="eastAsia"/>
                <w:sz w:val="21"/>
                <w:szCs w:val="21"/>
              </w:rPr>
              <w:t>西北</w:t>
            </w:r>
          </w:p>
        </w:tc>
        <w:tc>
          <w:tcPr>
            <w:tcW w:w="1095" w:type="dxa"/>
            <w:tcBorders>
              <w:tl2br w:val="nil"/>
              <w:tr2bl w:val="nil"/>
            </w:tcBorders>
            <w:vAlign w:val="center"/>
          </w:tcPr>
          <w:p w14:paraId="3995868E">
            <w:pPr>
              <w:adjustRightInd w:val="0"/>
              <w:snapToGrid w:val="0"/>
              <w:spacing w:line="240" w:lineRule="auto"/>
              <w:jc w:val="center"/>
              <w:rPr>
                <w:sz w:val="21"/>
                <w:szCs w:val="21"/>
              </w:rPr>
            </w:pPr>
            <w:r>
              <w:rPr>
                <w:rFonts w:hint="eastAsia"/>
                <w:sz w:val="21"/>
                <w:szCs w:val="21"/>
              </w:rPr>
              <w:t>980</w:t>
            </w:r>
            <w:r>
              <w:rPr>
                <w:sz w:val="21"/>
                <w:szCs w:val="21"/>
              </w:rPr>
              <w:t>~</w:t>
            </w:r>
            <w:r>
              <w:rPr>
                <w:rFonts w:hint="eastAsia"/>
                <w:sz w:val="21"/>
                <w:szCs w:val="21"/>
              </w:rPr>
              <w:t>1200</w:t>
            </w:r>
          </w:p>
        </w:tc>
      </w:tr>
      <w:tr w14:paraId="5E9778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97680F1">
            <w:pPr>
              <w:adjustRightInd w:val="0"/>
              <w:snapToGrid w:val="0"/>
              <w:spacing w:line="240" w:lineRule="auto"/>
              <w:jc w:val="center"/>
              <w:rPr>
                <w:sz w:val="21"/>
                <w:szCs w:val="21"/>
              </w:rPr>
            </w:pPr>
            <w:r>
              <w:rPr>
                <w:rFonts w:hint="eastAsia"/>
                <w:sz w:val="21"/>
                <w:szCs w:val="21"/>
              </w:rPr>
              <w:t>吴家巷散户居民</w:t>
            </w:r>
          </w:p>
        </w:tc>
        <w:tc>
          <w:tcPr>
            <w:tcW w:w="1360" w:type="dxa"/>
            <w:tcBorders>
              <w:tl2br w:val="nil"/>
              <w:tr2bl w:val="nil"/>
            </w:tcBorders>
            <w:vAlign w:val="center"/>
          </w:tcPr>
          <w:p w14:paraId="3214D047">
            <w:pPr>
              <w:adjustRightInd w:val="0"/>
              <w:snapToGrid w:val="0"/>
              <w:spacing w:line="240" w:lineRule="auto"/>
              <w:jc w:val="center"/>
              <w:rPr>
                <w:sz w:val="21"/>
                <w:szCs w:val="21"/>
              </w:rPr>
            </w:pPr>
            <w:r>
              <w:rPr>
                <w:sz w:val="21"/>
                <w:szCs w:val="21"/>
              </w:rPr>
              <w:t>112.5</w:t>
            </w:r>
            <w:r>
              <w:rPr>
                <w:rFonts w:hint="eastAsia"/>
                <w:sz w:val="21"/>
                <w:szCs w:val="21"/>
              </w:rPr>
              <w:t>70283</w:t>
            </w:r>
            <w:r>
              <w:rPr>
                <w:sz w:val="21"/>
                <w:szCs w:val="21"/>
              </w:rPr>
              <w:t>˚</w:t>
            </w:r>
          </w:p>
        </w:tc>
        <w:tc>
          <w:tcPr>
            <w:tcW w:w="1158" w:type="dxa"/>
            <w:tcBorders>
              <w:tl2br w:val="nil"/>
              <w:tr2bl w:val="nil"/>
            </w:tcBorders>
            <w:vAlign w:val="center"/>
          </w:tcPr>
          <w:p w14:paraId="60109713">
            <w:pPr>
              <w:adjustRightInd w:val="0"/>
              <w:snapToGrid w:val="0"/>
              <w:spacing w:line="240" w:lineRule="auto"/>
              <w:jc w:val="center"/>
              <w:rPr>
                <w:sz w:val="21"/>
                <w:szCs w:val="21"/>
              </w:rPr>
            </w:pPr>
            <w:r>
              <w:rPr>
                <w:sz w:val="21"/>
                <w:szCs w:val="21"/>
              </w:rPr>
              <w:t>27.4</w:t>
            </w:r>
            <w:r>
              <w:rPr>
                <w:rFonts w:hint="eastAsia"/>
                <w:sz w:val="21"/>
                <w:szCs w:val="21"/>
              </w:rPr>
              <w:t>55467</w:t>
            </w:r>
            <w:r>
              <w:rPr>
                <w:sz w:val="21"/>
                <w:szCs w:val="21"/>
              </w:rPr>
              <w:t>˚</w:t>
            </w:r>
          </w:p>
        </w:tc>
        <w:tc>
          <w:tcPr>
            <w:tcW w:w="982" w:type="dxa"/>
            <w:tcBorders>
              <w:tl2br w:val="nil"/>
              <w:tr2bl w:val="nil"/>
            </w:tcBorders>
            <w:vAlign w:val="center"/>
          </w:tcPr>
          <w:p w14:paraId="6A1B3528">
            <w:pPr>
              <w:adjustRightInd w:val="0"/>
              <w:snapToGrid w:val="0"/>
              <w:spacing w:line="240" w:lineRule="auto"/>
              <w:jc w:val="center"/>
              <w:rPr>
                <w:sz w:val="21"/>
                <w:szCs w:val="21"/>
              </w:rPr>
            </w:pPr>
            <w:r>
              <w:rPr>
                <w:rFonts w:hint="eastAsia"/>
                <w:sz w:val="21"/>
                <w:szCs w:val="21"/>
              </w:rPr>
              <w:t>约45户，180</w:t>
            </w:r>
          </w:p>
          <w:p w14:paraId="6CEA8D7F">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4B51CAE4">
            <w:pPr>
              <w:adjustRightInd w:val="0"/>
              <w:snapToGrid w:val="0"/>
              <w:spacing w:line="240" w:lineRule="auto"/>
              <w:jc w:val="center"/>
              <w:rPr>
                <w:sz w:val="21"/>
                <w:szCs w:val="21"/>
              </w:rPr>
            </w:pPr>
          </w:p>
        </w:tc>
        <w:tc>
          <w:tcPr>
            <w:tcW w:w="949" w:type="dxa"/>
            <w:vMerge w:val="continue"/>
            <w:tcBorders>
              <w:tl2br w:val="nil"/>
              <w:tr2bl w:val="nil"/>
            </w:tcBorders>
            <w:vAlign w:val="center"/>
          </w:tcPr>
          <w:p w14:paraId="344C9A97">
            <w:pPr>
              <w:adjustRightInd w:val="0"/>
              <w:snapToGrid w:val="0"/>
              <w:spacing w:line="240" w:lineRule="auto"/>
              <w:jc w:val="center"/>
              <w:rPr>
                <w:sz w:val="21"/>
                <w:szCs w:val="21"/>
              </w:rPr>
            </w:pPr>
          </w:p>
        </w:tc>
        <w:tc>
          <w:tcPr>
            <w:tcW w:w="948" w:type="dxa"/>
            <w:tcBorders>
              <w:tl2br w:val="nil"/>
              <w:tr2bl w:val="nil"/>
            </w:tcBorders>
            <w:vAlign w:val="center"/>
          </w:tcPr>
          <w:p w14:paraId="7298B421">
            <w:pPr>
              <w:adjustRightInd w:val="0"/>
              <w:snapToGrid w:val="0"/>
              <w:spacing w:line="240" w:lineRule="auto"/>
              <w:jc w:val="center"/>
              <w:rPr>
                <w:sz w:val="21"/>
                <w:szCs w:val="21"/>
              </w:rPr>
            </w:pPr>
            <w:r>
              <w:rPr>
                <w:rFonts w:hint="eastAsia"/>
                <w:sz w:val="21"/>
                <w:szCs w:val="21"/>
              </w:rPr>
              <w:t>西南</w:t>
            </w:r>
          </w:p>
        </w:tc>
        <w:tc>
          <w:tcPr>
            <w:tcW w:w="1095" w:type="dxa"/>
            <w:tcBorders>
              <w:tl2br w:val="nil"/>
              <w:tr2bl w:val="nil"/>
            </w:tcBorders>
            <w:vAlign w:val="center"/>
          </w:tcPr>
          <w:p w14:paraId="0942759F">
            <w:pPr>
              <w:adjustRightInd w:val="0"/>
              <w:snapToGrid w:val="0"/>
              <w:spacing w:line="240" w:lineRule="auto"/>
              <w:jc w:val="center"/>
              <w:rPr>
                <w:sz w:val="21"/>
                <w:szCs w:val="21"/>
              </w:rPr>
            </w:pPr>
            <w:r>
              <w:rPr>
                <w:rFonts w:hint="eastAsia"/>
                <w:sz w:val="21"/>
                <w:szCs w:val="21"/>
              </w:rPr>
              <w:t>600</w:t>
            </w:r>
            <w:r>
              <w:rPr>
                <w:sz w:val="21"/>
                <w:szCs w:val="21"/>
              </w:rPr>
              <w:t>~</w:t>
            </w:r>
            <w:r>
              <w:rPr>
                <w:rFonts w:hint="eastAsia"/>
                <w:sz w:val="21"/>
                <w:szCs w:val="21"/>
              </w:rPr>
              <w:t>760</w:t>
            </w:r>
          </w:p>
        </w:tc>
      </w:tr>
      <w:tr w14:paraId="5A92FF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061C807">
            <w:pPr>
              <w:adjustRightInd w:val="0"/>
              <w:snapToGrid w:val="0"/>
              <w:spacing w:line="240" w:lineRule="auto"/>
              <w:jc w:val="center"/>
              <w:rPr>
                <w:sz w:val="21"/>
                <w:szCs w:val="21"/>
              </w:rPr>
            </w:pPr>
            <w:r>
              <w:rPr>
                <w:rFonts w:hint="eastAsia"/>
                <w:sz w:val="21"/>
                <w:szCs w:val="21"/>
              </w:rPr>
              <w:t>黄莺花苑小区</w:t>
            </w:r>
          </w:p>
        </w:tc>
        <w:tc>
          <w:tcPr>
            <w:tcW w:w="1360" w:type="dxa"/>
            <w:tcBorders>
              <w:tl2br w:val="nil"/>
              <w:tr2bl w:val="nil"/>
            </w:tcBorders>
            <w:vAlign w:val="center"/>
          </w:tcPr>
          <w:p w14:paraId="5A38246B">
            <w:pPr>
              <w:adjustRightInd w:val="0"/>
              <w:snapToGrid w:val="0"/>
              <w:spacing w:line="240" w:lineRule="auto"/>
              <w:jc w:val="center"/>
              <w:rPr>
                <w:sz w:val="21"/>
                <w:szCs w:val="21"/>
              </w:rPr>
            </w:pPr>
            <w:r>
              <w:rPr>
                <w:sz w:val="21"/>
                <w:szCs w:val="21"/>
              </w:rPr>
              <w:t>112.</w:t>
            </w:r>
            <w:r>
              <w:rPr>
                <w:rFonts w:hint="eastAsia"/>
                <w:sz w:val="21"/>
                <w:szCs w:val="21"/>
              </w:rPr>
              <w:t>270094</w:t>
            </w:r>
            <w:r>
              <w:rPr>
                <w:sz w:val="21"/>
                <w:szCs w:val="21"/>
              </w:rPr>
              <w:t>6˚</w:t>
            </w:r>
          </w:p>
        </w:tc>
        <w:tc>
          <w:tcPr>
            <w:tcW w:w="1158" w:type="dxa"/>
            <w:tcBorders>
              <w:tl2br w:val="nil"/>
              <w:tr2bl w:val="nil"/>
            </w:tcBorders>
            <w:vAlign w:val="center"/>
          </w:tcPr>
          <w:p w14:paraId="0FC7DF29">
            <w:pPr>
              <w:adjustRightInd w:val="0"/>
              <w:snapToGrid w:val="0"/>
              <w:spacing w:line="240" w:lineRule="auto"/>
              <w:jc w:val="center"/>
              <w:rPr>
                <w:sz w:val="21"/>
                <w:szCs w:val="21"/>
              </w:rPr>
            </w:pPr>
            <w:r>
              <w:rPr>
                <w:sz w:val="21"/>
                <w:szCs w:val="21"/>
              </w:rPr>
              <w:t>27.</w:t>
            </w:r>
            <w:r>
              <w:rPr>
                <w:rFonts w:hint="eastAsia"/>
                <w:sz w:val="21"/>
                <w:szCs w:val="21"/>
              </w:rPr>
              <w:t>454394</w:t>
            </w:r>
            <w:r>
              <w:rPr>
                <w:sz w:val="21"/>
                <w:szCs w:val="21"/>
              </w:rPr>
              <w:t>˚</w:t>
            </w:r>
          </w:p>
        </w:tc>
        <w:tc>
          <w:tcPr>
            <w:tcW w:w="982" w:type="dxa"/>
            <w:tcBorders>
              <w:tl2br w:val="nil"/>
              <w:tr2bl w:val="nil"/>
            </w:tcBorders>
            <w:vAlign w:val="center"/>
          </w:tcPr>
          <w:p w14:paraId="62FBD5A9">
            <w:pPr>
              <w:adjustRightInd w:val="0"/>
              <w:snapToGrid w:val="0"/>
              <w:spacing w:line="240" w:lineRule="auto"/>
              <w:jc w:val="center"/>
              <w:rPr>
                <w:sz w:val="21"/>
                <w:szCs w:val="21"/>
              </w:rPr>
            </w:pPr>
            <w:r>
              <w:rPr>
                <w:rFonts w:hint="eastAsia"/>
                <w:sz w:val="21"/>
                <w:szCs w:val="21"/>
              </w:rPr>
              <w:t>约110户，440人</w:t>
            </w:r>
          </w:p>
        </w:tc>
        <w:tc>
          <w:tcPr>
            <w:tcW w:w="948" w:type="dxa"/>
            <w:vMerge w:val="continue"/>
            <w:tcBorders>
              <w:tl2br w:val="nil"/>
              <w:tr2bl w:val="nil"/>
            </w:tcBorders>
            <w:vAlign w:val="center"/>
          </w:tcPr>
          <w:p w14:paraId="5B968A44">
            <w:pPr>
              <w:adjustRightInd w:val="0"/>
              <w:snapToGrid w:val="0"/>
              <w:spacing w:line="240" w:lineRule="auto"/>
              <w:jc w:val="center"/>
              <w:rPr>
                <w:sz w:val="21"/>
                <w:szCs w:val="21"/>
              </w:rPr>
            </w:pPr>
          </w:p>
        </w:tc>
        <w:tc>
          <w:tcPr>
            <w:tcW w:w="949" w:type="dxa"/>
            <w:vMerge w:val="continue"/>
            <w:tcBorders>
              <w:tl2br w:val="nil"/>
              <w:tr2bl w:val="nil"/>
            </w:tcBorders>
            <w:vAlign w:val="center"/>
          </w:tcPr>
          <w:p w14:paraId="75F4C4E4">
            <w:pPr>
              <w:adjustRightInd w:val="0"/>
              <w:snapToGrid w:val="0"/>
              <w:spacing w:line="240" w:lineRule="auto"/>
              <w:jc w:val="center"/>
              <w:rPr>
                <w:sz w:val="21"/>
                <w:szCs w:val="21"/>
              </w:rPr>
            </w:pPr>
          </w:p>
        </w:tc>
        <w:tc>
          <w:tcPr>
            <w:tcW w:w="948" w:type="dxa"/>
            <w:tcBorders>
              <w:tl2br w:val="nil"/>
              <w:tr2bl w:val="nil"/>
            </w:tcBorders>
            <w:vAlign w:val="center"/>
          </w:tcPr>
          <w:p w14:paraId="72CBCC58">
            <w:pPr>
              <w:adjustRightInd w:val="0"/>
              <w:snapToGrid w:val="0"/>
              <w:spacing w:line="240" w:lineRule="auto"/>
              <w:jc w:val="center"/>
              <w:rPr>
                <w:sz w:val="21"/>
                <w:szCs w:val="21"/>
              </w:rPr>
            </w:pPr>
            <w:r>
              <w:rPr>
                <w:rFonts w:hint="eastAsia"/>
                <w:sz w:val="21"/>
                <w:szCs w:val="21"/>
              </w:rPr>
              <w:t>西南</w:t>
            </w:r>
          </w:p>
        </w:tc>
        <w:tc>
          <w:tcPr>
            <w:tcW w:w="1095" w:type="dxa"/>
            <w:tcBorders>
              <w:tl2br w:val="nil"/>
              <w:tr2bl w:val="nil"/>
            </w:tcBorders>
            <w:vAlign w:val="center"/>
          </w:tcPr>
          <w:p w14:paraId="43B3B89C">
            <w:pPr>
              <w:adjustRightInd w:val="0"/>
              <w:snapToGrid w:val="0"/>
              <w:spacing w:line="240" w:lineRule="auto"/>
              <w:jc w:val="center"/>
              <w:rPr>
                <w:sz w:val="21"/>
                <w:szCs w:val="21"/>
              </w:rPr>
            </w:pPr>
            <w:r>
              <w:rPr>
                <w:rFonts w:hint="eastAsia"/>
                <w:sz w:val="21"/>
                <w:szCs w:val="21"/>
              </w:rPr>
              <w:t>730</w:t>
            </w:r>
            <w:r>
              <w:rPr>
                <w:sz w:val="21"/>
                <w:szCs w:val="21"/>
              </w:rPr>
              <w:t>~</w:t>
            </w:r>
            <w:r>
              <w:rPr>
                <w:rFonts w:hint="eastAsia"/>
                <w:sz w:val="21"/>
                <w:szCs w:val="21"/>
              </w:rPr>
              <w:t>1000</w:t>
            </w:r>
          </w:p>
        </w:tc>
      </w:tr>
      <w:tr w14:paraId="4EA879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359DB0BD">
            <w:pPr>
              <w:adjustRightInd w:val="0"/>
              <w:snapToGrid w:val="0"/>
              <w:spacing w:line="240" w:lineRule="auto"/>
              <w:jc w:val="center"/>
              <w:rPr>
                <w:sz w:val="21"/>
                <w:szCs w:val="21"/>
              </w:rPr>
            </w:pPr>
            <w:r>
              <w:rPr>
                <w:rFonts w:hint="eastAsia"/>
                <w:sz w:val="21"/>
                <w:szCs w:val="21"/>
              </w:rPr>
              <w:t>城南御花园小区</w:t>
            </w:r>
          </w:p>
        </w:tc>
        <w:tc>
          <w:tcPr>
            <w:tcW w:w="1360" w:type="dxa"/>
            <w:tcBorders>
              <w:tl2br w:val="nil"/>
              <w:tr2bl w:val="nil"/>
            </w:tcBorders>
            <w:vAlign w:val="center"/>
          </w:tcPr>
          <w:p w14:paraId="234890C5">
            <w:pPr>
              <w:adjustRightInd w:val="0"/>
              <w:snapToGrid w:val="0"/>
              <w:spacing w:line="240" w:lineRule="auto"/>
              <w:jc w:val="center"/>
              <w:rPr>
                <w:sz w:val="21"/>
                <w:szCs w:val="21"/>
              </w:rPr>
            </w:pPr>
            <w:r>
              <w:rPr>
                <w:sz w:val="21"/>
                <w:szCs w:val="21"/>
              </w:rPr>
              <w:t>112.5</w:t>
            </w:r>
            <w:r>
              <w:rPr>
                <w:rFonts w:hint="eastAsia"/>
                <w:sz w:val="21"/>
                <w:szCs w:val="21"/>
              </w:rPr>
              <w:t>70117</w:t>
            </w:r>
            <w:r>
              <w:rPr>
                <w:sz w:val="21"/>
                <w:szCs w:val="21"/>
              </w:rPr>
              <w:t>˚</w:t>
            </w:r>
          </w:p>
        </w:tc>
        <w:tc>
          <w:tcPr>
            <w:tcW w:w="1158" w:type="dxa"/>
            <w:tcBorders>
              <w:tl2br w:val="nil"/>
              <w:tr2bl w:val="nil"/>
            </w:tcBorders>
            <w:vAlign w:val="center"/>
          </w:tcPr>
          <w:p w14:paraId="134436EA">
            <w:pPr>
              <w:adjustRightInd w:val="0"/>
              <w:snapToGrid w:val="0"/>
              <w:spacing w:line="240" w:lineRule="auto"/>
              <w:jc w:val="center"/>
              <w:rPr>
                <w:sz w:val="21"/>
                <w:szCs w:val="21"/>
              </w:rPr>
            </w:pPr>
            <w:r>
              <w:rPr>
                <w:sz w:val="21"/>
                <w:szCs w:val="21"/>
              </w:rPr>
              <w:t>27.4</w:t>
            </w:r>
            <w:r>
              <w:rPr>
                <w:rFonts w:hint="eastAsia"/>
                <w:sz w:val="21"/>
                <w:szCs w:val="21"/>
              </w:rPr>
              <w:t>54077</w:t>
            </w:r>
            <w:r>
              <w:rPr>
                <w:sz w:val="21"/>
                <w:szCs w:val="21"/>
              </w:rPr>
              <w:t>˚</w:t>
            </w:r>
          </w:p>
        </w:tc>
        <w:tc>
          <w:tcPr>
            <w:tcW w:w="982" w:type="dxa"/>
            <w:tcBorders>
              <w:tl2br w:val="nil"/>
              <w:tr2bl w:val="nil"/>
            </w:tcBorders>
            <w:vAlign w:val="center"/>
          </w:tcPr>
          <w:p w14:paraId="0C60A25C">
            <w:pPr>
              <w:adjustRightInd w:val="0"/>
              <w:snapToGrid w:val="0"/>
              <w:spacing w:line="240" w:lineRule="auto"/>
              <w:jc w:val="center"/>
              <w:rPr>
                <w:sz w:val="21"/>
                <w:szCs w:val="21"/>
              </w:rPr>
            </w:pPr>
            <w:r>
              <w:rPr>
                <w:rFonts w:hint="eastAsia"/>
                <w:sz w:val="21"/>
                <w:szCs w:val="21"/>
              </w:rPr>
              <w:t>约120户，480</w:t>
            </w:r>
          </w:p>
          <w:p w14:paraId="291741EA">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02194FF1">
            <w:pPr>
              <w:adjustRightInd w:val="0"/>
              <w:snapToGrid w:val="0"/>
              <w:spacing w:line="240" w:lineRule="auto"/>
              <w:jc w:val="center"/>
              <w:rPr>
                <w:sz w:val="21"/>
                <w:szCs w:val="21"/>
              </w:rPr>
            </w:pPr>
          </w:p>
        </w:tc>
        <w:tc>
          <w:tcPr>
            <w:tcW w:w="949" w:type="dxa"/>
            <w:vMerge w:val="continue"/>
            <w:tcBorders>
              <w:tl2br w:val="nil"/>
              <w:tr2bl w:val="nil"/>
            </w:tcBorders>
            <w:vAlign w:val="center"/>
          </w:tcPr>
          <w:p w14:paraId="5783A544">
            <w:pPr>
              <w:adjustRightInd w:val="0"/>
              <w:snapToGrid w:val="0"/>
              <w:spacing w:line="240" w:lineRule="auto"/>
              <w:jc w:val="center"/>
              <w:rPr>
                <w:sz w:val="21"/>
                <w:szCs w:val="21"/>
              </w:rPr>
            </w:pPr>
          </w:p>
        </w:tc>
        <w:tc>
          <w:tcPr>
            <w:tcW w:w="948" w:type="dxa"/>
            <w:tcBorders>
              <w:tl2br w:val="nil"/>
              <w:tr2bl w:val="nil"/>
            </w:tcBorders>
            <w:vAlign w:val="center"/>
          </w:tcPr>
          <w:p w14:paraId="58A1F8A7">
            <w:pPr>
              <w:adjustRightInd w:val="0"/>
              <w:snapToGrid w:val="0"/>
              <w:spacing w:line="240" w:lineRule="auto"/>
              <w:jc w:val="center"/>
              <w:rPr>
                <w:sz w:val="21"/>
                <w:szCs w:val="21"/>
              </w:rPr>
            </w:pPr>
            <w:r>
              <w:rPr>
                <w:rFonts w:hint="eastAsia"/>
                <w:sz w:val="21"/>
                <w:szCs w:val="21"/>
              </w:rPr>
              <w:t>西南</w:t>
            </w:r>
          </w:p>
        </w:tc>
        <w:tc>
          <w:tcPr>
            <w:tcW w:w="1095" w:type="dxa"/>
            <w:tcBorders>
              <w:tl2br w:val="nil"/>
              <w:tr2bl w:val="nil"/>
            </w:tcBorders>
            <w:vAlign w:val="center"/>
          </w:tcPr>
          <w:p w14:paraId="74D4B767">
            <w:pPr>
              <w:adjustRightInd w:val="0"/>
              <w:snapToGrid w:val="0"/>
              <w:spacing w:line="240" w:lineRule="auto"/>
              <w:jc w:val="center"/>
              <w:rPr>
                <w:sz w:val="21"/>
                <w:szCs w:val="21"/>
              </w:rPr>
            </w:pPr>
            <w:r>
              <w:rPr>
                <w:rFonts w:hint="eastAsia"/>
                <w:sz w:val="21"/>
                <w:szCs w:val="21"/>
              </w:rPr>
              <w:t>790</w:t>
            </w:r>
            <w:r>
              <w:rPr>
                <w:sz w:val="21"/>
                <w:szCs w:val="21"/>
              </w:rPr>
              <w:t>~</w:t>
            </w:r>
            <w:r>
              <w:rPr>
                <w:rFonts w:hint="eastAsia"/>
                <w:sz w:val="21"/>
                <w:szCs w:val="21"/>
              </w:rPr>
              <w:t>1100</w:t>
            </w:r>
          </w:p>
        </w:tc>
      </w:tr>
      <w:tr w14:paraId="0FEF11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48D6E4A2">
            <w:pPr>
              <w:adjustRightInd w:val="0"/>
              <w:snapToGrid w:val="0"/>
              <w:spacing w:line="240" w:lineRule="auto"/>
              <w:jc w:val="center"/>
              <w:rPr>
                <w:sz w:val="21"/>
                <w:szCs w:val="21"/>
              </w:rPr>
            </w:pPr>
            <w:r>
              <w:rPr>
                <w:rFonts w:hint="eastAsia"/>
                <w:sz w:val="21"/>
                <w:szCs w:val="21"/>
              </w:rPr>
              <w:t>润玉时代城小区</w:t>
            </w:r>
          </w:p>
        </w:tc>
        <w:tc>
          <w:tcPr>
            <w:tcW w:w="1360" w:type="dxa"/>
            <w:tcBorders>
              <w:tl2br w:val="nil"/>
              <w:tr2bl w:val="nil"/>
            </w:tcBorders>
            <w:vAlign w:val="center"/>
          </w:tcPr>
          <w:p w14:paraId="7A12E26A">
            <w:pPr>
              <w:adjustRightInd w:val="0"/>
              <w:snapToGrid w:val="0"/>
              <w:spacing w:line="240" w:lineRule="auto"/>
              <w:jc w:val="center"/>
              <w:rPr>
                <w:sz w:val="21"/>
                <w:szCs w:val="21"/>
              </w:rPr>
            </w:pPr>
            <w:r>
              <w:rPr>
                <w:sz w:val="21"/>
                <w:szCs w:val="21"/>
              </w:rPr>
              <w:t>112.</w:t>
            </w:r>
            <w:r>
              <w:rPr>
                <w:rFonts w:hint="eastAsia"/>
                <w:sz w:val="21"/>
                <w:szCs w:val="21"/>
              </w:rPr>
              <w:t>564497</w:t>
            </w:r>
            <w:r>
              <w:rPr>
                <w:sz w:val="21"/>
                <w:szCs w:val="21"/>
              </w:rPr>
              <w:t>˚</w:t>
            </w:r>
          </w:p>
        </w:tc>
        <w:tc>
          <w:tcPr>
            <w:tcW w:w="1158" w:type="dxa"/>
            <w:tcBorders>
              <w:tl2br w:val="nil"/>
              <w:tr2bl w:val="nil"/>
            </w:tcBorders>
            <w:vAlign w:val="center"/>
          </w:tcPr>
          <w:p w14:paraId="1546BD93">
            <w:pPr>
              <w:adjustRightInd w:val="0"/>
              <w:snapToGrid w:val="0"/>
              <w:spacing w:line="240" w:lineRule="auto"/>
              <w:jc w:val="center"/>
              <w:rPr>
                <w:sz w:val="21"/>
                <w:szCs w:val="21"/>
              </w:rPr>
            </w:pPr>
            <w:r>
              <w:rPr>
                <w:sz w:val="21"/>
                <w:szCs w:val="21"/>
              </w:rPr>
              <w:t>27.4</w:t>
            </w:r>
            <w:r>
              <w:rPr>
                <w:rFonts w:hint="eastAsia"/>
                <w:sz w:val="21"/>
                <w:szCs w:val="21"/>
              </w:rPr>
              <w:t>54077</w:t>
            </w:r>
            <w:r>
              <w:rPr>
                <w:sz w:val="21"/>
                <w:szCs w:val="21"/>
              </w:rPr>
              <w:t>˚</w:t>
            </w:r>
          </w:p>
        </w:tc>
        <w:tc>
          <w:tcPr>
            <w:tcW w:w="982" w:type="dxa"/>
            <w:tcBorders>
              <w:tl2br w:val="nil"/>
              <w:tr2bl w:val="nil"/>
            </w:tcBorders>
            <w:vAlign w:val="center"/>
          </w:tcPr>
          <w:p w14:paraId="0586FFC1">
            <w:pPr>
              <w:adjustRightInd w:val="0"/>
              <w:snapToGrid w:val="0"/>
              <w:spacing w:line="240" w:lineRule="auto"/>
              <w:jc w:val="center"/>
              <w:rPr>
                <w:sz w:val="21"/>
                <w:szCs w:val="21"/>
              </w:rPr>
            </w:pPr>
            <w:r>
              <w:rPr>
                <w:rFonts w:hint="eastAsia"/>
                <w:sz w:val="21"/>
                <w:szCs w:val="21"/>
              </w:rPr>
              <w:t>约250户，1000人</w:t>
            </w:r>
          </w:p>
        </w:tc>
        <w:tc>
          <w:tcPr>
            <w:tcW w:w="948" w:type="dxa"/>
            <w:vMerge w:val="continue"/>
            <w:tcBorders>
              <w:tl2br w:val="nil"/>
              <w:tr2bl w:val="nil"/>
            </w:tcBorders>
            <w:vAlign w:val="center"/>
          </w:tcPr>
          <w:p w14:paraId="4FD8E190">
            <w:pPr>
              <w:adjustRightInd w:val="0"/>
              <w:snapToGrid w:val="0"/>
              <w:spacing w:line="240" w:lineRule="auto"/>
              <w:jc w:val="center"/>
              <w:rPr>
                <w:sz w:val="21"/>
                <w:szCs w:val="21"/>
              </w:rPr>
            </w:pPr>
          </w:p>
        </w:tc>
        <w:tc>
          <w:tcPr>
            <w:tcW w:w="949" w:type="dxa"/>
            <w:vMerge w:val="continue"/>
            <w:tcBorders>
              <w:tl2br w:val="nil"/>
              <w:tr2bl w:val="nil"/>
            </w:tcBorders>
            <w:vAlign w:val="center"/>
          </w:tcPr>
          <w:p w14:paraId="7EA5F331">
            <w:pPr>
              <w:adjustRightInd w:val="0"/>
              <w:snapToGrid w:val="0"/>
              <w:spacing w:line="240" w:lineRule="auto"/>
              <w:jc w:val="center"/>
              <w:rPr>
                <w:sz w:val="21"/>
                <w:szCs w:val="21"/>
              </w:rPr>
            </w:pPr>
          </w:p>
        </w:tc>
        <w:tc>
          <w:tcPr>
            <w:tcW w:w="948" w:type="dxa"/>
            <w:tcBorders>
              <w:tl2br w:val="nil"/>
              <w:tr2bl w:val="nil"/>
            </w:tcBorders>
            <w:vAlign w:val="center"/>
          </w:tcPr>
          <w:p w14:paraId="01D559AD">
            <w:pPr>
              <w:adjustRightInd w:val="0"/>
              <w:snapToGrid w:val="0"/>
              <w:spacing w:line="240" w:lineRule="auto"/>
              <w:jc w:val="center"/>
              <w:rPr>
                <w:sz w:val="21"/>
                <w:szCs w:val="21"/>
              </w:rPr>
            </w:pPr>
            <w:r>
              <w:rPr>
                <w:rFonts w:hint="eastAsia"/>
                <w:sz w:val="21"/>
                <w:szCs w:val="21"/>
              </w:rPr>
              <w:t>西南</w:t>
            </w:r>
          </w:p>
        </w:tc>
        <w:tc>
          <w:tcPr>
            <w:tcW w:w="1095" w:type="dxa"/>
            <w:tcBorders>
              <w:tl2br w:val="nil"/>
              <w:tr2bl w:val="nil"/>
            </w:tcBorders>
            <w:vAlign w:val="center"/>
          </w:tcPr>
          <w:p w14:paraId="701AB794">
            <w:pPr>
              <w:adjustRightInd w:val="0"/>
              <w:snapToGrid w:val="0"/>
              <w:spacing w:line="240" w:lineRule="auto"/>
              <w:jc w:val="center"/>
              <w:rPr>
                <w:sz w:val="21"/>
                <w:szCs w:val="21"/>
              </w:rPr>
            </w:pPr>
            <w:r>
              <w:rPr>
                <w:rFonts w:hint="eastAsia"/>
                <w:sz w:val="21"/>
                <w:szCs w:val="21"/>
              </w:rPr>
              <w:t>1070</w:t>
            </w:r>
            <w:r>
              <w:rPr>
                <w:sz w:val="21"/>
                <w:szCs w:val="21"/>
              </w:rPr>
              <w:t>~</w:t>
            </w:r>
            <w:r>
              <w:rPr>
                <w:rFonts w:hint="eastAsia"/>
                <w:sz w:val="21"/>
                <w:szCs w:val="21"/>
              </w:rPr>
              <w:t>1340</w:t>
            </w:r>
          </w:p>
        </w:tc>
      </w:tr>
      <w:tr w14:paraId="12FAD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1738FBA">
            <w:pPr>
              <w:adjustRightInd w:val="0"/>
              <w:snapToGrid w:val="0"/>
              <w:spacing w:line="240" w:lineRule="auto"/>
              <w:jc w:val="center"/>
              <w:rPr>
                <w:sz w:val="21"/>
                <w:szCs w:val="21"/>
              </w:rPr>
            </w:pPr>
            <w:r>
              <w:rPr>
                <w:rFonts w:hint="eastAsia"/>
                <w:sz w:val="21"/>
                <w:szCs w:val="21"/>
              </w:rPr>
              <w:t>山塘学校</w:t>
            </w:r>
          </w:p>
        </w:tc>
        <w:tc>
          <w:tcPr>
            <w:tcW w:w="1360" w:type="dxa"/>
            <w:tcBorders>
              <w:tl2br w:val="nil"/>
              <w:tr2bl w:val="nil"/>
            </w:tcBorders>
            <w:vAlign w:val="center"/>
          </w:tcPr>
          <w:p w14:paraId="54D2AE94">
            <w:pPr>
              <w:adjustRightInd w:val="0"/>
              <w:snapToGrid w:val="0"/>
              <w:spacing w:line="240" w:lineRule="auto"/>
              <w:jc w:val="center"/>
              <w:rPr>
                <w:sz w:val="21"/>
                <w:szCs w:val="21"/>
              </w:rPr>
            </w:pPr>
            <w:r>
              <w:rPr>
                <w:sz w:val="21"/>
                <w:szCs w:val="21"/>
              </w:rPr>
              <w:t>112.</w:t>
            </w:r>
            <w:r>
              <w:rPr>
                <w:rFonts w:hint="eastAsia"/>
                <w:sz w:val="21"/>
                <w:szCs w:val="21"/>
              </w:rPr>
              <w:t>565231</w:t>
            </w:r>
            <w:r>
              <w:rPr>
                <w:sz w:val="21"/>
                <w:szCs w:val="21"/>
              </w:rPr>
              <w:t>˚</w:t>
            </w:r>
          </w:p>
        </w:tc>
        <w:tc>
          <w:tcPr>
            <w:tcW w:w="1158" w:type="dxa"/>
            <w:tcBorders>
              <w:tl2br w:val="nil"/>
              <w:tr2bl w:val="nil"/>
            </w:tcBorders>
            <w:vAlign w:val="center"/>
          </w:tcPr>
          <w:p w14:paraId="599736A1">
            <w:pPr>
              <w:adjustRightInd w:val="0"/>
              <w:snapToGrid w:val="0"/>
              <w:spacing w:line="240" w:lineRule="auto"/>
              <w:jc w:val="center"/>
              <w:rPr>
                <w:sz w:val="21"/>
                <w:szCs w:val="21"/>
              </w:rPr>
            </w:pPr>
            <w:r>
              <w:rPr>
                <w:sz w:val="21"/>
                <w:szCs w:val="21"/>
              </w:rPr>
              <w:t>27.4</w:t>
            </w:r>
            <w:r>
              <w:rPr>
                <w:rFonts w:hint="eastAsia"/>
                <w:sz w:val="21"/>
                <w:szCs w:val="21"/>
              </w:rPr>
              <w:t>54007</w:t>
            </w:r>
            <w:r>
              <w:rPr>
                <w:sz w:val="21"/>
                <w:szCs w:val="21"/>
              </w:rPr>
              <w:t>˚</w:t>
            </w:r>
          </w:p>
        </w:tc>
        <w:tc>
          <w:tcPr>
            <w:tcW w:w="982" w:type="dxa"/>
            <w:tcBorders>
              <w:tl2br w:val="nil"/>
              <w:tr2bl w:val="nil"/>
            </w:tcBorders>
            <w:vAlign w:val="center"/>
          </w:tcPr>
          <w:p w14:paraId="1A29F699">
            <w:pPr>
              <w:adjustRightInd w:val="0"/>
              <w:snapToGrid w:val="0"/>
              <w:spacing w:line="240" w:lineRule="auto"/>
              <w:jc w:val="center"/>
              <w:rPr>
                <w:sz w:val="21"/>
                <w:szCs w:val="21"/>
              </w:rPr>
            </w:pPr>
            <w:r>
              <w:rPr>
                <w:rFonts w:hint="eastAsia"/>
                <w:sz w:val="21"/>
                <w:szCs w:val="21"/>
              </w:rPr>
              <w:t>师生约500人</w:t>
            </w:r>
          </w:p>
        </w:tc>
        <w:tc>
          <w:tcPr>
            <w:tcW w:w="948" w:type="dxa"/>
            <w:vMerge w:val="continue"/>
            <w:tcBorders>
              <w:tl2br w:val="nil"/>
              <w:tr2bl w:val="nil"/>
            </w:tcBorders>
            <w:vAlign w:val="center"/>
          </w:tcPr>
          <w:p w14:paraId="12C57A70">
            <w:pPr>
              <w:adjustRightInd w:val="0"/>
              <w:snapToGrid w:val="0"/>
              <w:spacing w:line="240" w:lineRule="auto"/>
              <w:jc w:val="center"/>
              <w:rPr>
                <w:sz w:val="21"/>
                <w:szCs w:val="21"/>
              </w:rPr>
            </w:pPr>
          </w:p>
        </w:tc>
        <w:tc>
          <w:tcPr>
            <w:tcW w:w="949" w:type="dxa"/>
            <w:vMerge w:val="continue"/>
            <w:tcBorders>
              <w:tl2br w:val="nil"/>
              <w:tr2bl w:val="nil"/>
            </w:tcBorders>
            <w:vAlign w:val="center"/>
          </w:tcPr>
          <w:p w14:paraId="4D9117A2">
            <w:pPr>
              <w:adjustRightInd w:val="0"/>
              <w:snapToGrid w:val="0"/>
              <w:spacing w:line="240" w:lineRule="auto"/>
              <w:jc w:val="center"/>
              <w:rPr>
                <w:sz w:val="21"/>
                <w:szCs w:val="21"/>
              </w:rPr>
            </w:pPr>
          </w:p>
        </w:tc>
        <w:tc>
          <w:tcPr>
            <w:tcW w:w="948" w:type="dxa"/>
            <w:tcBorders>
              <w:tl2br w:val="nil"/>
              <w:tr2bl w:val="nil"/>
            </w:tcBorders>
            <w:vAlign w:val="center"/>
          </w:tcPr>
          <w:p w14:paraId="0B8CE954">
            <w:pPr>
              <w:adjustRightInd w:val="0"/>
              <w:snapToGrid w:val="0"/>
              <w:spacing w:line="240" w:lineRule="auto"/>
              <w:jc w:val="center"/>
              <w:rPr>
                <w:sz w:val="21"/>
                <w:szCs w:val="21"/>
              </w:rPr>
            </w:pPr>
            <w:r>
              <w:rPr>
                <w:rFonts w:hint="eastAsia"/>
                <w:sz w:val="21"/>
                <w:szCs w:val="21"/>
              </w:rPr>
              <w:t>西南</w:t>
            </w:r>
          </w:p>
        </w:tc>
        <w:tc>
          <w:tcPr>
            <w:tcW w:w="1095" w:type="dxa"/>
            <w:tcBorders>
              <w:tl2br w:val="nil"/>
              <w:tr2bl w:val="nil"/>
            </w:tcBorders>
            <w:vAlign w:val="center"/>
          </w:tcPr>
          <w:p w14:paraId="3368BE59">
            <w:pPr>
              <w:adjustRightInd w:val="0"/>
              <w:snapToGrid w:val="0"/>
              <w:spacing w:line="240" w:lineRule="auto"/>
              <w:jc w:val="center"/>
              <w:rPr>
                <w:sz w:val="21"/>
                <w:szCs w:val="21"/>
              </w:rPr>
            </w:pPr>
            <w:r>
              <w:rPr>
                <w:rFonts w:hint="eastAsia"/>
                <w:sz w:val="21"/>
                <w:szCs w:val="21"/>
              </w:rPr>
              <w:t>1060</w:t>
            </w:r>
            <w:r>
              <w:rPr>
                <w:sz w:val="21"/>
                <w:szCs w:val="21"/>
              </w:rPr>
              <w:t>~</w:t>
            </w:r>
            <w:r>
              <w:rPr>
                <w:rFonts w:hint="eastAsia"/>
                <w:sz w:val="21"/>
                <w:szCs w:val="21"/>
              </w:rPr>
              <w:t>1230</w:t>
            </w:r>
          </w:p>
        </w:tc>
      </w:tr>
      <w:tr w14:paraId="165BB6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5FEF613">
            <w:pPr>
              <w:adjustRightInd w:val="0"/>
              <w:snapToGrid w:val="0"/>
              <w:spacing w:line="240" w:lineRule="auto"/>
              <w:jc w:val="center"/>
              <w:rPr>
                <w:sz w:val="21"/>
                <w:szCs w:val="21"/>
              </w:rPr>
            </w:pPr>
            <w:r>
              <w:rPr>
                <w:rFonts w:hint="eastAsia"/>
                <w:sz w:val="21"/>
                <w:szCs w:val="21"/>
              </w:rPr>
              <w:t>和园小区</w:t>
            </w:r>
          </w:p>
        </w:tc>
        <w:tc>
          <w:tcPr>
            <w:tcW w:w="1360" w:type="dxa"/>
            <w:tcBorders>
              <w:tl2br w:val="nil"/>
              <w:tr2bl w:val="nil"/>
            </w:tcBorders>
            <w:vAlign w:val="center"/>
          </w:tcPr>
          <w:p w14:paraId="331F32CA">
            <w:pPr>
              <w:adjustRightInd w:val="0"/>
              <w:snapToGrid w:val="0"/>
              <w:spacing w:line="240" w:lineRule="auto"/>
              <w:jc w:val="center"/>
              <w:rPr>
                <w:sz w:val="21"/>
                <w:szCs w:val="21"/>
              </w:rPr>
            </w:pPr>
            <w:r>
              <w:rPr>
                <w:sz w:val="21"/>
                <w:szCs w:val="21"/>
              </w:rPr>
              <w:t>112.5</w:t>
            </w:r>
            <w:r>
              <w:rPr>
                <w:rFonts w:hint="eastAsia"/>
                <w:sz w:val="21"/>
                <w:szCs w:val="21"/>
              </w:rPr>
              <w:t>65524</w:t>
            </w:r>
            <w:r>
              <w:rPr>
                <w:sz w:val="21"/>
                <w:szCs w:val="21"/>
              </w:rPr>
              <w:t>˚</w:t>
            </w:r>
          </w:p>
        </w:tc>
        <w:tc>
          <w:tcPr>
            <w:tcW w:w="1158" w:type="dxa"/>
            <w:tcBorders>
              <w:tl2br w:val="nil"/>
              <w:tr2bl w:val="nil"/>
            </w:tcBorders>
            <w:vAlign w:val="center"/>
          </w:tcPr>
          <w:p w14:paraId="28BD6D27">
            <w:pPr>
              <w:adjustRightInd w:val="0"/>
              <w:snapToGrid w:val="0"/>
              <w:spacing w:line="240" w:lineRule="auto"/>
              <w:jc w:val="center"/>
              <w:rPr>
                <w:sz w:val="21"/>
                <w:szCs w:val="21"/>
              </w:rPr>
            </w:pPr>
            <w:r>
              <w:rPr>
                <w:sz w:val="21"/>
                <w:szCs w:val="21"/>
              </w:rPr>
              <w:t>27.</w:t>
            </w:r>
            <w:r>
              <w:rPr>
                <w:rFonts w:hint="eastAsia"/>
                <w:sz w:val="21"/>
                <w:szCs w:val="21"/>
              </w:rPr>
              <w:t>455597</w:t>
            </w:r>
            <w:r>
              <w:rPr>
                <w:sz w:val="21"/>
                <w:szCs w:val="21"/>
              </w:rPr>
              <w:t>˚</w:t>
            </w:r>
          </w:p>
        </w:tc>
        <w:tc>
          <w:tcPr>
            <w:tcW w:w="982" w:type="dxa"/>
            <w:tcBorders>
              <w:tl2br w:val="nil"/>
              <w:tr2bl w:val="nil"/>
            </w:tcBorders>
            <w:vAlign w:val="center"/>
          </w:tcPr>
          <w:p w14:paraId="5202B4E5">
            <w:pPr>
              <w:adjustRightInd w:val="0"/>
              <w:snapToGrid w:val="0"/>
              <w:spacing w:line="240" w:lineRule="auto"/>
              <w:jc w:val="center"/>
              <w:rPr>
                <w:sz w:val="21"/>
                <w:szCs w:val="21"/>
              </w:rPr>
            </w:pPr>
            <w:r>
              <w:rPr>
                <w:rFonts w:hint="eastAsia"/>
                <w:sz w:val="21"/>
                <w:szCs w:val="21"/>
              </w:rPr>
              <w:t>约160户，480</w:t>
            </w:r>
          </w:p>
          <w:p w14:paraId="6655BCD8">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488129EC">
            <w:pPr>
              <w:adjustRightInd w:val="0"/>
              <w:snapToGrid w:val="0"/>
              <w:spacing w:line="240" w:lineRule="auto"/>
              <w:jc w:val="center"/>
              <w:rPr>
                <w:sz w:val="21"/>
                <w:szCs w:val="21"/>
              </w:rPr>
            </w:pPr>
          </w:p>
        </w:tc>
        <w:tc>
          <w:tcPr>
            <w:tcW w:w="949" w:type="dxa"/>
            <w:vMerge w:val="continue"/>
            <w:tcBorders>
              <w:tl2br w:val="nil"/>
              <w:tr2bl w:val="nil"/>
            </w:tcBorders>
            <w:vAlign w:val="center"/>
          </w:tcPr>
          <w:p w14:paraId="5EC35A96">
            <w:pPr>
              <w:adjustRightInd w:val="0"/>
              <w:snapToGrid w:val="0"/>
              <w:spacing w:line="240" w:lineRule="auto"/>
              <w:jc w:val="center"/>
              <w:rPr>
                <w:sz w:val="21"/>
                <w:szCs w:val="21"/>
              </w:rPr>
            </w:pPr>
          </w:p>
        </w:tc>
        <w:tc>
          <w:tcPr>
            <w:tcW w:w="948" w:type="dxa"/>
            <w:tcBorders>
              <w:tl2br w:val="nil"/>
              <w:tr2bl w:val="nil"/>
            </w:tcBorders>
            <w:vAlign w:val="center"/>
          </w:tcPr>
          <w:p w14:paraId="7F520E5E">
            <w:pPr>
              <w:adjustRightInd w:val="0"/>
              <w:snapToGrid w:val="0"/>
              <w:spacing w:line="240" w:lineRule="auto"/>
              <w:jc w:val="center"/>
              <w:rPr>
                <w:sz w:val="21"/>
                <w:szCs w:val="21"/>
              </w:rPr>
            </w:pPr>
            <w:r>
              <w:rPr>
                <w:rFonts w:hint="eastAsia"/>
                <w:sz w:val="21"/>
                <w:szCs w:val="21"/>
              </w:rPr>
              <w:t>西南</w:t>
            </w:r>
          </w:p>
        </w:tc>
        <w:tc>
          <w:tcPr>
            <w:tcW w:w="1095" w:type="dxa"/>
            <w:tcBorders>
              <w:tl2br w:val="nil"/>
              <w:tr2bl w:val="nil"/>
            </w:tcBorders>
            <w:vAlign w:val="center"/>
          </w:tcPr>
          <w:p w14:paraId="4589CFE4">
            <w:pPr>
              <w:adjustRightInd w:val="0"/>
              <w:snapToGrid w:val="0"/>
              <w:spacing w:line="240" w:lineRule="auto"/>
              <w:jc w:val="center"/>
              <w:rPr>
                <w:sz w:val="21"/>
                <w:szCs w:val="21"/>
              </w:rPr>
            </w:pPr>
            <w:r>
              <w:rPr>
                <w:rFonts w:hint="eastAsia"/>
                <w:sz w:val="21"/>
                <w:szCs w:val="21"/>
              </w:rPr>
              <w:t>780</w:t>
            </w:r>
            <w:r>
              <w:rPr>
                <w:sz w:val="21"/>
                <w:szCs w:val="21"/>
              </w:rPr>
              <w:t>~</w:t>
            </w:r>
            <w:r>
              <w:rPr>
                <w:rFonts w:hint="eastAsia"/>
                <w:sz w:val="21"/>
                <w:szCs w:val="21"/>
              </w:rPr>
              <w:t>920</w:t>
            </w:r>
          </w:p>
        </w:tc>
      </w:tr>
      <w:tr w14:paraId="590AD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2312A618">
            <w:pPr>
              <w:adjustRightInd w:val="0"/>
              <w:snapToGrid w:val="0"/>
              <w:spacing w:line="240" w:lineRule="auto"/>
              <w:jc w:val="center"/>
              <w:rPr>
                <w:sz w:val="21"/>
                <w:szCs w:val="21"/>
              </w:rPr>
            </w:pPr>
            <w:r>
              <w:rPr>
                <w:rFonts w:hint="eastAsia"/>
                <w:sz w:val="21"/>
                <w:szCs w:val="21"/>
              </w:rPr>
              <w:t>子敬学校</w:t>
            </w:r>
          </w:p>
        </w:tc>
        <w:tc>
          <w:tcPr>
            <w:tcW w:w="1360" w:type="dxa"/>
            <w:tcBorders>
              <w:tl2br w:val="nil"/>
              <w:tr2bl w:val="nil"/>
            </w:tcBorders>
            <w:vAlign w:val="center"/>
          </w:tcPr>
          <w:p w14:paraId="67F6A821">
            <w:pPr>
              <w:adjustRightInd w:val="0"/>
              <w:snapToGrid w:val="0"/>
              <w:spacing w:line="240" w:lineRule="auto"/>
              <w:jc w:val="center"/>
              <w:rPr>
                <w:sz w:val="21"/>
                <w:szCs w:val="21"/>
              </w:rPr>
            </w:pPr>
            <w:r>
              <w:rPr>
                <w:sz w:val="21"/>
                <w:szCs w:val="21"/>
              </w:rPr>
              <w:t>112.561585˚</w:t>
            </w:r>
          </w:p>
        </w:tc>
        <w:tc>
          <w:tcPr>
            <w:tcW w:w="1158" w:type="dxa"/>
            <w:tcBorders>
              <w:tl2br w:val="nil"/>
              <w:tr2bl w:val="nil"/>
            </w:tcBorders>
            <w:vAlign w:val="center"/>
          </w:tcPr>
          <w:p w14:paraId="2880C447">
            <w:pPr>
              <w:adjustRightInd w:val="0"/>
              <w:snapToGrid w:val="0"/>
              <w:spacing w:line="240" w:lineRule="auto"/>
              <w:jc w:val="center"/>
              <w:rPr>
                <w:sz w:val="21"/>
                <w:szCs w:val="21"/>
              </w:rPr>
            </w:pPr>
            <w:r>
              <w:rPr>
                <w:sz w:val="21"/>
                <w:szCs w:val="21"/>
              </w:rPr>
              <w:t>27.462795˚</w:t>
            </w:r>
          </w:p>
        </w:tc>
        <w:tc>
          <w:tcPr>
            <w:tcW w:w="982" w:type="dxa"/>
            <w:tcBorders>
              <w:tl2br w:val="nil"/>
              <w:tr2bl w:val="nil"/>
            </w:tcBorders>
            <w:vAlign w:val="center"/>
          </w:tcPr>
          <w:p w14:paraId="64AC74E9">
            <w:pPr>
              <w:adjustRightInd w:val="0"/>
              <w:snapToGrid w:val="0"/>
              <w:spacing w:line="240" w:lineRule="auto"/>
              <w:jc w:val="center"/>
              <w:rPr>
                <w:sz w:val="21"/>
                <w:szCs w:val="21"/>
              </w:rPr>
            </w:pPr>
            <w:r>
              <w:rPr>
                <w:rFonts w:hint="eastAsia"/>
                <w:sz w:val="21"/>
                <w:szCs w:val="21"/>
              </w:rPr>
              <w:t>师生约2700人</w:t>
            </w:r>
          </w:p>
        </w:tc>
        <w:tc>
          <w:tcPr>
            <w:tcW w:w="948" w:type="dxa"/>
            <w:vMerge w:val="continue"/>
            <w:tcBorders>
              <w:tl2br w:val="nil"/>
              <w:tr2bl w:val="nil"/>
            </w:tcBorders>
            <w:vAlign w:val="center"/>
          </w:tcPr>
          <w:p w14:paraId="1B0A7DF7">
            <w:pPr>
              <w:adjustRightInd w:val="0"/>
              <w:snapToGrid w:val="0"/>
              <w:spacing w:line="240" w:lineRule="auto"/>
              <w:jc w:val="center"/>
              <w:rPr>
                <w:sz w:val="21"/>
                <w:szCs w:val="21"/>
              </w:rPr>
            </w:pPr>
          </w:p>
        </w:tc>
        <w:tc>
          <w:tcPr>
            <w:tcW w:w="949" w:type="dxa"/>
            <w:vMerge w:val="continue"/>
            <w:tcBorders>
              <w:tl2br w:val="nil"/>
              <w:tr2bl w:val="nil"/>
            </w:tcBorders>
            <w:vAlign w:val="center"/>
          </w:tcPr>
          <w:p w14:paraId="568A3BA9">
            <w:pPr>
              <w:adjustRightInd w:val="0"/>
              <w:snapToGrid w:val="0"/>
              <w:spacing w:line="240" w:lineRule="auto"/>
              <w:jc w:val="center"/>
              <w:rPr>
                <w:sz w:val="21"/>
                <w:szCs w:val="21"/>
              </w:rPr>
            </w:pPr>
          </w:p>
        </w:tc>
        <w:tc>
          <w:tcPr>
            <w:tcW w:w="948" w:type="dxa"/>
            <w:tcBorders>
              <w:tl2br w:val="nil"/>
              <w:tr2bl w:val="nil"/>
            </w:tcBorders>
            <w:vAlign w:val="center"/>
          </w:tcPr>
          <w:p w14:paraId="49986891">
            <w:pPr>
              <w:adjustRightInd w:val="0"/>
              <w:snapToGrid w:val="0"/>
              <w:spacing w:line="240" w:lineRule="auto"/>
              <w:jc w:val="center"/>
              <w:rPr>
                <w:sz w:val="21"/>
                <w:szCs w:val="21"/>
              </w:rPr>
            </w:pPr>
            <w:r>
              <w:rPr>
                <w:rFonts w:hint="eastAsia"/>
                <w:sz w:val="21"/>
                <w:szCs w:val="21"/>
              </w:rPr>
              <w:t>西北</w:t>
            </w:r>
          </w:p>
        </w:tc>
        <w:tc>
          <w:tcPr>
            <w:tcW w:w="1095" w:type="dxa"/>
            <w:tcBorders>
              <w:tl2br w:val="nil"/>
              <w:tr2bl w:val="nil"/>
            </w:tcBorders>
            <w:vAlign w:val="center"/>
          </w:tcPr>
          <w:p w14:paraId="786CD04F">
            <w:pPr>
              <w:adjustRightInd w:val="0"/>
              <w:snapToGrid w:val="0"/>
              <w:spacing w:line="240" w:lineRule="auto"/>
              <w:jc w:val="center"/>
              <w:rPr>
                <w:sz w:val="21"/>
                <w:szCs w:val="21"/>
              </w:rPr>
            </w:pPr>
            <w:r>
              <w:rPr>
                <w:rFonts w:hint="eastAsia"/>
                <w:sz w:val="21"/>
                <w:szCs w:val="21"/>
              </w:rPr>
              <w:t>1940</w:t>
            </w:r>
            <w:r>
              <w:rPr>
                <w:sz w:val="21"/>
                <w:szCs w:val="21"/>
              </w:rPr>
              <w:t>~</w:t>
            </w:r>
            <w:r>
              <w:rPr>
                <w:rFonts w:hint="eastAsia"/>
                <w:sz w:val="21"/>
                <w:szCs w:val="21"/>
              </w:rPr>
              <w:t>2200</w:t>
            </w:r>
          </w:p>
        </w:tc>
      </w:tr>
      <w:tr w14:paraId="196906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7D67A45">
            <w:pPr>
              <w:adjustRightInd w:val="0"/>
              <w:snapToGrid w:val="0"/>
              <w:spacing w:line="240" w:lineRule="auto"/>
              <w:jc w:val="center"/>
              <w:rPr>
                <w:sz w:val="21"/>
                <w:szCs w:val="21"/>
              </w:rPr>
            </w:pPr>
            <w:r>
              <w:rPr>
                <w:sz w:val="21"/>
                <w:szCs w:val="21"/>
              </w:rPr>
              <w:t>芙蓉廉租小区</w:t>
            </w:r>
          </w:p>
        </w:tc>
        <w:tc>
          <w:tcPr>
            <w:tcW w:w="1360" w:type="dxa"/>
            <w:tcBorders>
              <w:tl2br w:val="nil"/>
              <w:tr2bl w:val="nil"/>
            </w:tcBorders>
            <w:vAlign w:val="center"/>
          </w:tcPr>
          <w:p w14:paraId="2399C5C6">
            <w:pPr>
              <w:adjustRightInd w:val="0"/>
              <w:snapToGrid w:val="0"/>
              <w:spacing w:line="240" w:lineRule="auto"/>
              <w:jc w:val="center"/>
              <w:rPr>
                <w:sz w:val="21"/>
                <w:szCs w:val="21"/>
              </w:rPr>
            </w:pPr>
            <w:r>
              <w:rPr>
                <w:sz w:val="21"/>
                <w:szCs w:val="21"/>
              </w:rPr>
              <w:t>112.580481˚</w:t>
            </w:r>
          </w:p>
        </w:tc>
        <w:tc>
          <w:tcPr>
            <w:tcW w:w="1158" w:type="dxa"/>
            <w:tcBorders>
              <w:tl2br w:val="nil"/>
              <w:tr2bl w:val="nil"/>
            </w:tcBorders>
            <w:vAlign w:val="center"/>
          </w:tcPr>
          <w:p w14:paraId="25763E36">
            <w:pPr>
              <w:adjustRightInd w:val="0"/>
              <w:snapToGrid w:val="0"/>
              <w:spacing w:line="240" w:lineRule="auto"/>
              <w:jc w:val="center"/>
              <w:rPr>
                <w:sz w:val="21"/>
                <w:szCs w:val="21"/>
              </w:rPr>
            </w:pPr>
            <w:r>
              <w:rPr>
                <w:sz w:val="21"/>
                <w:szCs w:val="21"/>
              </w:rPr>
              <w:t>27.460203˚</w:t>
            </w:r>
          </w:p>
        </w:tc>
        <w:tc>
          <w:tcPr>
            <w:tcW w:w="982" w:type="dxa"/>
            <w:tcBorders>
              <w:tl2br w:val="nil"/>
              <w:tr2bl w:val="nil"/>
            </w:tcBorders>
            <w:vAlign w:val="center"/>
          </w:tcPr>
          <w:p w14:paraId="6858EF0D">
            <w:pPr>
              <w:adjustRightInd w:val="0"/>
              <w:snapToGrid w:val="0"/>
              <w:spacing w:line="240" w:lineRule="auto"/>
              <w:jc w:val="center"/>
              <w:rPr>
                <w:sz w:val="21"/>
                <w:szCs w:val="21"/>
              </w:rPr>
            </w:pPr>
            <w:r>
              <w:rPr>
                <w:rFonts w:hint="eastAsia"/>
                <w:sz w:val="21"/>
                <w:szCs w:val="21"/>
              </w:rPr>
              <w:t>约396户，1200人</w:t>
            </w:r>
          </w:p>
        </w:tc>
        <w:tc>
          <w:tcPr>
            <w:tcW w:w="948" w:type="dxa"/>
            <w:vMerge w:val="continue"/>
            <w:tcBorders>
              <w:tl2br w:val="nil"/>
              <w:tr2bl w:val="nil"/>
            </w:tcBorders>
            <w:vAlign w:val="center"/>
          </w:tcPr>
          <w:p w14:paraId="0E6B693E">
            <w:pPr>
              <w:adjustRightInd w:val="0"/>
              <w:snapToGrid w:val="0"/>
              <w:spacing w:line="240" w:lineRule="auto"/>
              <w:jc w:val="center"/>
              <w:rPr>
                <w:sz w:val="21"/>
                <w:szCs w:val="21"/>
              </w:rPr>
            </w:pPr>
          </w:p>
        </w:tc>
        <w:tc>
          <w:tcPr>
            <w:tcW w:w="949" w:type="dxa"/>
            <w:vMerge w:val="continue"/>
            <w:tcBorders>
              <w:tl2br w:val="nil"/>
              <w:tr2bl w:val="nil"/>
            </w:tcBorders>
            <w:vAlign w:val="center"/>
          </w:tcPr>
          <w:p w14:paraId="4D0071A1">
            <w:pPr>
              <w:adjustRightInd w:val="0"/>
              <w:snapToGrid w:val="0"/>
              <w:spacing w:line="240" w:lineRule="auto"/>
              <w:jc w:val="center"/>
              <w:rPr>
                <w:sz w:val="21"/>
                <w:szCs w:val="21"/>
              </w:rPr>
            </w:pPr>
          </w:p>
        </w:tc>
        <w:tc>
          <w:tcPr>
            <w:tcW w:w="948" w:type="dxa"/>
            <w:tcBorders>
              <w:tl2br w:val="nil"/>
              <w:tr2bl w:val="nil"/>
            </w:tcBorders>
            <w:vAlign w:val="center"/>
          </w:tcPr>
          <w:p w14:paraId="3C33C0E4">
            <w:pPr>
              <w:adjustRightInd w:val="0"/>
              <w:snapToGrid w:val="0"/>
              <w:spacing w:line="240" w:lineRule="auto"/>
              <w:jc w:val="center"/>
              <w:rPr>
                <w:sz w:val="21"/>
                <w:szCs w:val="21"/>
              </w:rPr>
            </w:pPr>
            <w:r>
              <w:rPr>
                <w:rFonts w:hint="eastAsia"/>
                <w:sz w:val="21"/>
                <w:szCs w:val="21"/>
              </w:rPr>
              <w:t>东侧</w:t>
            </w:r>
          </w:p>
        </w:tc>
        <w:tc>
          <w:tcPr>
            <w:tcW w:w="1095" w:type="dxa"/>
            <w:tcBorders>
              <w:tl2br w:val="nil"/>
              <w:tr2bl w:val="nil"/>
            </w:tcBorders>
            <w:vAlign w:val="center"/>
          </w:tcPr>
          <w:p w14:paraId="21CF5BAD">
            <w:pPr>
              <w:adjustRightInd w:val="0"/>
              <w:snapToGrid w:val="0"/>
              <w:spacing w:line="240" w:lineRule="auto"/>
              <w:jc w:val="center"/>
              <w:rPr>
                <w:sz w:val="21"/>
                <w:szCs w:val="21"/>
              </w:rPr>
            </w:pPr>
            <w:r>
              <w:rPr>
                <w:rFonts w:hint="eastAsia"/>
                <w:sz w:val="21"/>
                <w:szCs w:val="21"/>
              </w:rPr>
              <w:t>760</w:t>
            </w:r>
            <w:r>
              <w:rPr>
                <w:sz w:val="21"/>
                <w:szCs w:val="21"/>
              </w:rPr>
              <w:t>~</w:t>
            </w:r>
            <w:r>
              <w:rPr>
                <w:rFonts w:hint="eastAsia"/>
                <w:sz w:val="21"/>
                <w:szCs w:val="21"/>
              </w:rPr>
              <w:t>870</w:t>
            </w:r>
          </w:p>
        </w:tc>
      </w:tr>
      <w:tr w14:paraId="102B7B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09DFFB1E">
            <w:pPr>
              <w:adjustRightInd w:val="0"/>
              <w:snapToGrid w:val="0"/>
              <w:spacing w:line="240" w:lineRule="auto"/>
              <w:jc w:val="center"/>
              <w:rPr>
                <w:sz w:val="21"/>
                <w:szCs w:val="21"/>
              </w:rPr>
            </w:pPr>
            <w:r>
              <w:rPr>
                <w:sz w:val="21"/>
                <w:szCs w:val="21"/>
              </w:rPr>
              <w:t>易俗河镇第二中学</w:t>
            </w:r>
          </w:p>
        </w:tc>
        <w:tc>
          <w:tcPr>
            <w:tcW w:w="1360" w:type="dxa"/>
            <w:tcBorders>
              <w:tl2br w:val="nil"/>
              <w:tr2bl w:val="nil"/>
            </w:tcBorders>
            <w:vAlign w:val="center"/>
          </w:tcPr>
          <w:p w14:paraId="073FC418">
            <w:pPr>
              <w:adjustRightInd w:val="0"/>
              <w:snapToGrid w:val="0"/>
              <w:spacing w:line="240" w:lineRule="auto"/>
              <w:jc w:val="center"/>
              <w:rPr>
                <w:sz w:val="21"/>
                <w:szCs w:val="21"/>
              </w:rPr>
            </w:pPr>
            <w:r>
              <w:rPr>
                <w:sz w:val="21"/>
                <w:szCs w:val="21"/>
              </w:rPr>
              <w:t>112.575957˚</w:t>
            </w:r>
          </w:p>
        </w:tc>
        <w:tc>
          <w:tcPr>
            <w:tcW w:w="1158" w:type="dxa"/>
            <w:tcBorders>
              <w:tl2br w:val="nil"/>
              <w:tr2bl w:val="nil"/>
            </w:tcBorders>
            <w:vAlign w:val="center"/>
          </w:tcPr>
          <w:p w14:paraId="77676DFB">
            <w:pPr>
              <w:adjustRightInd w:val="0"/>
              <w:snapToGrid w:val="0"/>
              <w:spacing w:line="240" w:lineRule="auto"/>
              <w:jc w:val="center"/>
              <w:rPr>
                <w:sz w:val="21"/>
                <w:szCs w:val="21"/>
              </w:rPr>
            </w:pPr>
            <w:r>
              <w:rPr>
                <w:sz w:val="21"/>
                <w:szCs w:val="21"/>
              </w:rPr>
              <w:t>27.461182˚</w:t>
            </w:r>
          </w:p>
        </w:tc>
        <w:tc>
          <w:tcPr>
            <w:tcW w:w="982" w:type="dxa"/>
            <w:tcBorders>
              <w:tl2br w:val="nil"/>
              <w:tr2bl w:val="nil"/>
            </w:tcBorders>
            <w:vAlign w:val="center"/>
          </w:tcPr>
          <w:p w14:paraId="2C76BBA5">
            <w:pPr>
              <w:adjustRightInd w:val="0"/>
              <w:snapToGrid w:val="0"/>
              <w:spacing w:line="240" w:lineRule="auto"/>
              <w:jc w:val="center"/>
              <w:rPr>
                <w:sz w:val="21"/>
                <w:szCs w:val="21"/>
              </w:rPr>
            </w:pPr>
            <w:r>
              <w:rPr>
                <w:rFonts w:hint="eastAsia"/>
                <w:sz w:val="21"/>
                <w:szCs w:val="21"/>
              </w:rPr>
              <w:t>师生约1800人</w:t>
            </w:r>
          </w:p>
        </w:tc>
        <w:tc>
          <w:tcPr>
            <w:tcW w:w="948" w:type="dxa"/>
            <w:vMerge w:val="continue"/>
            <w:tcBorders>
              <w:tl2br w:val="nil"/>
              <w:tr2bl w:val="nil"/>
            </w:tcBorders>
            <w:vAlign w:val="center"/>
          </w:tcPr>
          <w:p w14:paraId="6E31798B">
            <w:pPr>
              <w:adjustRightInd w:val="0"/>
              <w:snapToGrid w:val="0"/>
              <w:spacing w:line="240" w:lineRule="auto"/>
              <w:jc w:val="center"/>
              <w:rPr>
                <w:sz w:val="21"/>
                <w:szCs w:val="21"/>
              </w:rPr>
            </w:pPr>
          </w:p>
        </w:tc>
        <w:tc>
          <w:tcPr>
            <w:tcW w:w="949" w:type="dxa"/>
            <w:vMerge w:val="continue"/>
            <w:tcBorders>
              <w:tl2br w:val="nil"/>
              <w:tr2bl w:val="nil"/>
            </w:tcBorders>
            <w:vAlign w:val="center"/>
          </w:tcPr>
          <w:p w14:paraId="0BCE4863">
            <w:pPr>
              <w:adjustRightInd w:val="0"/>
              <w:snapToGrid w:val="0"/>
              <w:spacing w:line="240" w:lineRule="auto"/>
              <w:jc w:val="center"/>
              <w:rPr>
                <w:sz w:val="21"/>
                <w:szCs w:val="21"/>
              </w:rPr>
            </w:pPr>
          </w:p>
        </w:tc>
        <w:tc>
          <w:tcPr>
            <w:tcW w:w="948" w:type="dxa"/>
            <w:tcBorders>
              <w:tl2br w:val="nil"/>
              <w:tr2bl w:val="nil"/>
            </w:tcBorders>
            <w:vAlign w:val="center"/>
          </w:tcPr>
          <w:p w14:paraId="26076F10">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6EB6860D">
            <w:pPr>
              <w:adjustRightInd w:val="0"/>
              <w:snapToGrid w:val="0"/>
              <w:spacing w:line="240" w:lineRule="auto"/>
              <w:jc w:val="center"/>
              <w:rPr>
                <w:sz w:val="21"/>
                <w:szCs w:val="21"/>
              </w:rPr>
            </w:pPr>
            <w:r>
              <w:rPr>
                <w:rFonts w:hint="eastAsia"/>
                <w:sz w:val="21"/>
                <w:szCs w:val="21"/>
              </w:rPr>
              <w:t>640</w:t>
            </w:r>
            <w:r>
              <w:rPr>
                <w:sz w:val="21"/>
                <w:szCs w:val="21"/>
              </w:rPr>
              <w:t>~</w:t>
            </w:r>
            <w:r>
              <w:rPr>
                <w:rFonts w:hint="eastAsia"/>
                <w:sz w:val="21"/>
                <w:szCs w:val="21"/>
              </w:rPr>
              <w:t>760</w:t>
            </w:r>
          </w:p>
        </w:tc>
      </w:tr>
      <w:tr w14:paraId="1F5CE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746C258C">
            <w:pPr>
              <w:adjustRightInd w:val="0"/>
              <w:snapToGrid w:val="0"/>
              <w:spacing w:line="240" w:lineRule="auto"/>
              <w:jc w:val="center"/>
              <w:rPr>
                <w:sz w:val="21"/>
                <w:szCs w:val="21"/>
              </w:rPr>
            </w:pPr>
            <w:r>
              <w:rPr>
                <w:sz w:val="21"/>
                <w:szCs w:val="21"/>
              </w:rPr>
              <w:t>天易水竹学校</w:t>
            </w:r>
          </w:p>
        </w:tc>
        <w:tc>
          <w:tcPr>
            <w:tcW w:w="1360" w:type="dxa"/>
            <w:tcBorders>
              <w:tl2br w:val="nil"/>
              <w:tr2bl w:val="nil"/>
            </w:tcBorders>
            <w:vAlign w:val="center"/>
          </w:tcPr>
          <w:p w14:paraId="08ED2F37">
            <w:pPr>
              <w:adjustRightInd w:val="0"/>
              <w:snapToGrid w:val="0"/>
              <w:spacing w:line="240" w:lineRule="auto"/>
              <w:jc w:val="center"/>
              <w:rPr>
                <w:sz w:val="21"/>
                <w:szCs w:val="21"/>
              </w:rPr>
            </w:pPr>
            <w:r>
              <w:rPr>
                <w:sz w:val="21"/>
                <w:szCs w:val="21"/>
              </w:rPr>
              <w:t>112.580292˚</w:t>
            </w:r>
          </w:p>
        </w:tc>
        <w:tc>
          <w:tcPr>
            <w:tcW w:w="1158" w:type="dxa"/>
            <w:tcBorders>
              <w:tl2br w:val="nil"/>
              <w:tr2bl w:val="nil"/>
            </w:tcBorders>
            <w:vAlign w:val="center"/>
          </w:tcPr>
          <w:p w14:paraId="494DFCA9">
            <w:pPr>
              <w:adjustRightInd w:val="0"/>
              <w:snapToGrid w:val="0"/>
              <w:spacing w:line="240" w:lineRule="auto"/>
              <w:jc w:val="center"/>
              <w:rPr>
                <w:sz w:val="21"/>
                <w:szCs w:val="21"/>
              </w:rPr>
            </w:pPr>
            <w:r>
              <w:rPr>
                <w:sz w:val="21"/>
                <w:szCs w:val="21"/>
              </w:rPr>
              <w:t>27.461305˚</w:t>
            </w:r>
          </w:p>
        </w:tc>
        <w:tc>
          <w:tcPr>
            <w:tcW w:w="982" w:type="dxa"/>
            <w:tcBorders>
              <w:tl2br w:val="nil"/>
              <w:tr2bl w:val="nil"/>
            </w:tcBorders>
            <w:vAlign w:val="center"/>
          </w:tcPr>
          <w:p w14:paraId="7999AB93">
            <w:pPr>
              <w:adjustRightInd w:val="0"/>
              <w:snapToGrid w:val="0"/>
              <w:spacing w:line="240" w:lineRule="auto"/>
              <w:jc w:val="center"/>
              <w:rPr>
                <w:sz w:val="21"/>
                <w:szCs w:val="21"/>
              </w:rPr>
            </w:pPr>
            <w:r>
              <w:rPr>
                <w:rFonts w:hint="eastAsia"/>
                <w:sz w:val="21"/>
                <w:szCs w:val="21"/>
              </w:rPr>
              <w:t>师生约800人</w:t>
            </w:r>
          </w:p>
        </w:tc>
        <w:tc>
          <w:tcPr>
            <w:tcW w:w="948" w:type="dxa"/>
            <w:vMerge w:val="continue"/>
            <w:tcBorders>
              <w:tl2br w:val="nil"/>
              <w:tr2bl w:val="nil"/>
            </w:tcBorders>
            <w:vAlign w:val="center"/>
          </w:tcPr>
          <w:p w14:paraId="76A46C45">
            <w:pPr>
              <w:adjustRightInd w:val="0"/>
              <w:snapToGrid w:val="0"/>
              <w:spacing w:line="240" w:lineRule="auto"/>
              <w:jc w:val="center"/>
              <w:rPr>
                <w:sz w:val="21"/>
                <w:szCs w:val="21"/>
              </w:rPr>
            </w:pPr>
          </w:p>
        </w:tc>
        <w:tc>
          <w:tcPr>
            <w:tcW w:w="949" w:type="dxa"/>
            <w:vMerge w:val="continue"/>
            <w:tcBorders>
              <w:tl2br w:val="nil"/>
              <w:tr2bl w:val="nil"/>
            </w:tcBorders>
            <w:vAlign w:val="center"/>
          </w:tcPr>
          <w:p w14:paraId="295ECB13">
            <w:pPr>
              <w:adjustRightInd w:val="0"/>
              <w:snapToGrid w:val="0"/>
              <w:spacing w:line="240" w:lineRule="auto"/>
              <w:jc w:val="center"/>
              <w:rPr>
                <w:sz w:val="21"/>
                <w:szCs w:val="21"/>
              </w:rPr>
            </w:pPr>
          </w:p>
        </w:tc>
        <w:tc>
          <w:tcPr>
            <w:tcW w:w="948" w:type="dxa"/>
            <w:tcBorders>
              <w:tl2br w:val="nil"/>
              <w:tr2bl w:val="nil"/>
            </w:tcBorders>
            <w:vAlign w:val="center"/>
          </w:tcPr>
          <w:p w14:paraId="3CACB8AF">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40BEB2BF">
            <w:pPr>
              <w:adjustRightInd w:val="0"/>
              <w:snapToGrid w:val="0"/>
              <w:spacing w:line="240" w:lineRule="auto"/>
              <w:jc w:val="center"/>
              <w:rPr>
                <w:sz w:val="21"/>
                <w:szCs w:val="21"/>
              </w:rPr>
            </w:pPr>
            <w:r>
              <w:rPr>
                <w:rFonts w:hint="eastAsia"/>
                <w:sz w:val="21"/>
                <w:szCs w:val="21"/>
              </w:rPr>
              <w:t>750</w:t>
            </w:r>
            <w:r>
              <w:rPr>
                <w:sz w:val="21"/>
                <w:szCs w:val="21"/>
              </w:rPr>
              <w:t>~</w:t>
            </w:r>
            <w:r>
              <w:rPr>
                <w:rFonts w:hint="eastAsia"/>
                <w:sz w:val="21"/>
                <w:szCs w:val="21"/>
              </w:rPr>
              <w:t>840</w:t>
            </w:r>
          </w:p>
        </w:tc>
      </w:tr>
      <w:tr w14:paraId="6AAD63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0CE23898">
            <w:pPr>
              <w:adjustRightInd w:val="0"/>
              <w:snapToGrid w:val="0"/>
              <w:spacing w:line="240" w:lineRule="auto"/>
              <w:jc w:val="center"/>
              <w:rPr>
                <w:sz w:val="21"/>
                <w:szCs w:val="21"/>
              </w:rPr>
            </w:pPr>
            <w:r>
              <w:rPr>
                <w:sz w:val="21"/>
                <w:szCs w:val="21"/>
              </w:rPr>
              <w:t>水竹安置区</w:t>
            </w:r>
          </w:p>
        </w:tc>
        <w:tc>
          <w:tcPr>
            <w:tcW w:w="1360" w:type="dxa"/>
            <w:tcBorders>
              <w:tl2br w:val="nil"/>
              <w:tr2bl w:val="nil"/>
            </w:tcBorders>
            <w:vAlign w:val="center"/>
          </w:tcPr>
          <w:p w14:paraId="0BECE513">
            <w:pPr>
              <w:adjustRightInd w:val="0"/>
              <w:snapToGrid w:val="0"/>
              <w:spacing w:line="240" w:lineRule="auto"/>
              <w:jc w:val="center"/>
              <w:rPr>
                <w:sz w:val="21"/>
                <w:szCs w:val="21"/>
              </w:rPr>
            </w:pPr>
            <w:r>
              <w:rPr>
                <w:sz w:val="21"/>
                <w:szCs w:val="21"/>
              </w:rPr>
              <w:t>112.575855˚</w:t>
            </w:r>
          </w:p>
        </w:tc>
        <w:tc>
          <w:tcPr>
            <w:tcW w:w="1158" w:type="dxa"/>
            <w:tcBorders>
              <w:tl2br w:val="nil"/>
              <w:tr2bl w:val="nil"/>
            </w:tcBorders>
            <w:vAlign w:val="center"/>
          </w:tcPr>
          <w:p w14:paraId="60E673C5">
            <w:pPr>
              <w:adjustRightInd w:val="0"/>
              <w:snapToGrid w:val="0"/>
              <w:spacing w:line="240" w:lineRule="auto"/>
              <w:jc w:val="center"/>
              <w:rPr>
                <w:sz w:val="21"/>
                <w:szCs w:val="21"/>
              </w:rPr>
            </w:pPr>
            <w:r>
              <w:rPr>
                <w:sz w:val="21"/>
                <w:szCs w:val="21"/>
              </w:rPr>
              <w:t>27.460288˚</w:t>
            </w:r>
          </w:p>
        </w:tc>
        <w:tc>
          <w:tcPr>
            <w:tcW w:w="982" w:type="dxa"/>
            <w:tcBorders>
              <w:tl2br w:val="nil"/>
              <w:tr2bl w:val="nil"/>
            </w:tcBorders>
            <w:vAlign w:val="center"/>
          </w:tcPr>
          <w:p w14:paraId="40342464">
            <w:pPr>
              <w:adjustRightInd w:val="0"/>
              <w:snapToGrid w:val="0"/>
              <w:spacing w:line="240" w:lineRule="auto"/>
              <w:jc w:val="center"/>
              <w:rPr>
                <w:sz w:val="21"/>
                <w:szCs w:val="21"/>
              </w:rPr>
            </w:pPr>
            <w:r>
              <w:rPr>
                <w:sz w:val="21"/>
                <w:szCs w:val="21"/>
              </w:rPr>
              <w:t>约</w:t>
            </w:r>
            <w:r>
              <w:rPr>
                <w:rFonts w:hint="eastAsia"/>
                <w:sz w:val="21"/>
                <w:szCs w:val="21"/>
              </w:rPr>
              <w:t>500</w:t>
            </w:r>
            <w:r>
              <w:rPr>
                <w:sz w:val="21"/>
                <w:szCs w:val="21"/>
              </w:rPr>
              <w:t>户</w:t>
            </w:r>
            <w:r>
              <w:rPr>
                <w:rFonts w:hint="eastAsia"/>
                <w:sz w:val="21"/>
                <w:szCs w:val="21"/>
              </w:rPr>
              <w:t>，1500人</w:t>
            </w:r>
          </w:p>
        </w:tc>
        <w:tc>
          <w:tcPr>
            <w:tcW w:w="948" w:type="dxa"/>
            <w:vMerge w:val="continue"/>
            <w:tcBorders>
              <w:tl2br w:val="nil"/>
              <w:tr2bl w:val="nil"/>
            </w:tcBorders>
            <w:vAlign w:val="center"/>
          </w:tcPr>
          <w:p w14:paraId="4B853730">
            <w:pPr>
              <w:adjustRightInd w:val="0"/>
              <w:snapToGrid w:val="0"/>
              <w:spacing w:line="240" w:lineRule="auto"/>
              <w:jc w:val="center"/>
              <w:rPr>
                <w:sz w:val="21"/>
                <w:szCs w:val="21"/>
              </w:rPr>
            </w:pPr>
          </w:p>
        </w:tc>
        <w:tc>
          <w:tcPr>
            <w:tcW w:w="949" w:type="dxa"/>
            <w:vMerge w:val="continue"/>
            <w:tcBorders>
              <w:tl2br w:val="nil"/>
              <w:tr2bl w:val="nil"/>
            </w:tcBorders>
            <w:vAlign w:val="center"/>
          </w:tcPr>
          <w:p w14:paraId="570E1C84">
            <w:pPr>
              <w:adjustRightInd w:val="0"/>
              <w:snapToGrid w:val="0"/>
              <w:spacing w:line="240" w:lineRule="auto"/>
              <w:jc w:val="center"/>
              <w:rPr>
                <w:sz w:val="21"/>
                <w:szCs w:val="21"/>
              </w:rPr>
            </w:pPr>
          </w:p>
        </w:tc>
        <w:tc>
          <w:tcPr>
            <w:tcW w:w="948" w:type="dxa"/>
            <w:tcBorders>
              <w:tl2br w:val="nil"/>
              <w:tr2bl w:val="nil"/>
            </w:tcBorders>
            <w:vAlign w:val="center"/>
          </w:tcPr>
          <w:p w14:paraId="6CB65F9A">
            <w:pPr>
              <w:adjustRightInd w:val="0"/>
              <w:snapToGrid w:val="0"/>
              <w:spacing w:line="240" w:lineRule="auto"/>
              <w:jc w:val="center"/>
              <w:rPr>
                <w:sz w:val="21"/>
                <w:szCs w:val="21"/>
              </w:rPr>
            </w:pPr>
            <w:r>
              <w:rPr>
                <w:rFonts w:hint="eastAsia"/>
                <w:sz w:val="21"/>
                <w:szCs w:val="21"/>
              </w:rPr>
              <w:t>东侧</w:t>
            </w:r>
          </w:p>
        </w:tc>
        <w:tc>
          <w:tcPr>
            <w:tcW w:w="1095" w:type="dxa"/>
            <w:tcBorders>
              <w:tl2br w:val="nil"/>
              <w:tr2bl w:val="nil"/>
            </w:tcBorders>
            <w:vAlign w:val="center"/>
          </w:tcPr>
          <w:p w14:paraId="3AF4BEC3">
            <w:pPr>
              <w:adjustRightInd w:val="0"/>
              <w:snapToGrid w:val="0"/>
              <w:spacing w:line="240" w:lineRule="auto"/>
              <w:jc w:val="center"/>
              <w:rPr>
                <w:sz w:val="21"/>
                <w:szCs w:val="21"/>
              </w:rPr>
            </w:pPr>
            <w:r>
              <w:rPr>
                <w:rFonts w:hint="eastAsia"/>
                <w:sz w:val="21"/>
                <w:szCs w:val="21"/>
              </w:rPr>
              <w:t>550</w:t>
            </w:r>
            <w:r>
              <w:rPr>
                <w:sz w:val="21"/>
                <w:szCs w:val="21"/>
              </w:rPr>
              <w:t>~</w:t>
            </w:r>
            <w:r>
              <w:rPr>
                <w:rFonts w:hint="eastAsia"/>
                <w:sz w:val="21"/>
                <w:szCs w:val="21"/>
              </w:rPr>
              <w:t>750</w:t>
            </w:r>
          </w:p>
        </w:tc>
      </w:tr>
      <w:tr w14:paraId="37D3C5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42053B79">
            <w:pPr>
              <w:adjustRightInd w:val="0"/>
              <w:snapToGrid w:val="0"/>
              <w:spacing w:line="240" w:lineRule="auto"/>
              <w:jc w:val="center"/>
              <w:rPr>
                <w:sz w:val="21"/>
                <w:szCs w:val="21"/>
              </w:rPr>
            </w:pPr>
            <w:r>
              <w:rPr>
                <w:rFonts w:hint="eastAsia"/>
                <w:sz w:val="21"/>
                <w:szCs w:val="21"/>
              </w:rPr>
              <w:t>湘潭县行政学校</w:t>
            </w:r>
          </w:p>
        </w:tc>
        <w:tc>
          <w:tcPr>
            <w:tcW w:w="1360" w:type="dxa"/>
            <w:tcBorders>
              <w:tl2br w:val="nil"/>
              <w:tr2bl w:val="nil"/>
            </w:tcBorders>
            <w:vAlign w:val="center"/>
          </w:tcPr>
          <w:p w14:paraId="110C2C9B">
            <w:pPr>
              <w:adjustRightInd w:val="0"/>
              <w:snapToGrid w:val="0"/>
              <w:spacing w:line="240" w:lineRule="auto"/>
              <w:jc w:val="center"/>
              <w:rPr>
                <w:sz w:val="21"/>
                <w:szCs w:val="21"/>
              </w:rPr>
            </w:pPr>
            <w:r>
              <w:rPr>
                <w:sz w:val="21"/>
                <w:szCs w:val="21"/>
              </w:rPr>
              <w:t>112.575925˚</w:t>
            </w:r>
          </w:p>
        </w:tc>
        <w:tc>
          <w:tcPr>
            <w:tcW w:w="1158" w:type="dxa"/>
            <w:tcBorders>
              <w:tl2br w:val="nil"/>
              <w:tr2bl w:val="nil"/>
            </w:tcBorders>
            <w:vAlign w:val="center"/>
          </w:tcPr>
          <w:p w14:paraId="4F382046">
            <w:pPr>
              <w:adjustRightInd w:val="0"/>
              <w:snapToGrid w:val="0"/>
              <w:spacing w:line="240" w:lineRule="auto"/>
              <w:jc w:val="center"/>
              <w:rPr>
                <w:sz w:val="21"/>
                <w:szCs w:val="21"/>
              </w:rPr>
            </w:pPr>
            <w:r>
              <w:rPr>
                <w:sz w:val="21"/>
                <w:szCs w:val="21"/>
              </w:rPr>
              <w:t>27.461852˚</w:t>
            </w:r>
          </w:p>
        </w:tc>
        <w:tc>
          <w:tcPr>
            <w:tcW w:w="982" w:type="dxa"/>
            <w:tcBorders>
              <w:tl2br w:val="nil"/>
              <w:tr2bl w:val="nil"/>
            </w:tcBorders>
            <w:vAlign w:val="center"/>
          </w:tcPr>
          <w:p w14:paraId="7B47D033">
            <w:pPr>
              <w:adjustRightInd w:val="0"/>
              <w:snapToGrid w:val="0"/>
              <w:spacing w:line="240" w:lineRule="auto"/>
              <w:jc w:val="center"/>
              <w:rPr>
                <w:sz w:val="21"/>
                <w:szCs w:val="21"/>
              </w:rPr>
            </w:pPr>
            <w:r>
              <w:rPr>
                <w:rFonts w:hint="eastAsia"/>
                <w:sz w:val="21"/>
                <w:szCs w:val="21"/>
              </w:rPr>
              <w:t>师生约750人</w:t>
            </w:r>
          </w:p>
        </w:tc>
        <w:tc>
          <w:tcPr>
            <w:tcW w:w="948" w:type="dxa"/>
            <w:vMerge w:val="continue"/>
            <w:tcBorders>
              <w:tl2br w:val="nil"/>
              <w:tr2bl w:val="nil"/>
            </w:tcBorders>
            <w:vAlign w:val="center"/>
          </w:tcPr>
          <w:p w14:paraId="0D38611F">
            <w:pPr>
              <w:adjustRightInd w:val="0"/>
              <w:snapToGrid w:val="0"/>
              <w:spacing w:line="240" w:lineRule="auto"/>
              <w:jc w:val="center"/>
              <w:rPr>
                <w:sz w:val="21"/>
                <w:szCs w:val="21"/>
              </w:rPr>
            </w:pPr>
          </w:p>
        </w:tc>
        <w:tc>
          <w:tcPr>
            <w:tcW w:w="949" w:type="dxa"/>
            <w:vMerge w:val="continue"/>
            <w:tcBorders>
              <w:tl2br w:val="nil"/>
              <w:tr2bl w:val="nil"/>
            </w:tcBorders>
            <w:vAlign w:val="center"/>
          </w:tcPr>
          <w:p w14:paraId="04E2F00D">
            <w:pPr>
              <w:adjustRightInd w:val="0"/>
              <w:snapToGrid w:val="0"/>
              <w:spacing w:line="240" w:lineRule="auto"/>
              <w:jc w:val="center"/>
              <w:rPr>
                <w:sz w:val="21"/>
                <w:szCs w:val="21"/>
              </w:rPr>
            </w:pPr>
          </w:p>
        </w:tc>
        <w:tc>
          <w:tcPr>
            <w:tcW w:w="948" w:type="dxa"/>
            <w:tcBorders>
              <w:tl2br w:val="nil"/>
              <w:tr2bl w:val="nil"/>
            </w:tcBorders>
            <w:vAlign w:val="center"/>
          </w:tcPr>
          <w:p w14:paraId="5732726C">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4CC2D445">
            <w:pPr>
              <w:adjustRightInd w:val="0"/>
              <w:snapToGrid w:val="0"/>
              <w:spacing w:line="240" w:lineRule="auto"/>
              <w:jc w:val="center"/>
              <w:rPr>
                <w:sz w:val="21"/>
                <w:szCs w:val="21"/>
              </w:rPr>
            </w:pPr>
            <w:r>
              <w:rPr>
                <w:rFonts w:hint="eastAsia"/>
                <w:sz w:val="21"/>
                <w:szCs w:val="21"/>
              </w:rPr>
              <w:t>760</w:t>
            </w:r>
          </w:p>
        </w:tc>
      </w:tr>
      <w:tr w14:paraId="52562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7DF3EDC">
            <w:pPr>
              <w:adjustRightInd w:val="0"/>
              <w:snapToGrid w:val="0"/>
              <w:spacing w:line="240" w:lineRule="auto"/>
              <w:jc w:val="center"/>
              <w:rPr>
                <w:sz w:val="21"/>
                <w:szCs w:val="21"/>
              </w:rPr>
            </w:pPr>
            <w:r>
              <w:rPr>
                <w:rFonts w:hint="eastAsia"/>
                <w:sz w:val="21"/>
                <w:szCs w:val="21"/>
              </w:rPr>
              <w:t>湘潭县公安局</w:t>
            </w:r>
          </w:p>
        </w:tc>
        <w:tc>
          <w:tcPr>
            <w:tcW w:w="1360" w:type="dxa"/>
            <w:tcBorders>
              <w:tl2br w:val="nil"/>
              <w:tr2bl w:val="nil"/>
            </w:tcBorders>
            <w:vAlign w:val="center"/>
          </w:tcPr>
          <w:p w14:paraId="6574B1B7">
            <w:pPr>
              <w:adjustRightInd w:val="0"/>
              <w:snapToGrid w:val="0"/>
              <w:spacing w:line="240" w:lineRule="auto"/>
              <w:jc w:val="center"/>
              <w:rPr>
                <w:sz w:val="21"/>
                <w:szCs w:val="21"/>
              </w:rPr>
            </w:pPr>
            <w:r>
              <w:rPr>
                <w:sz w:val="21"/>
                <w:szCs w:val="21"/>
              </w:rPr>
              <w:t>112.580482˚</w:t>
            </w:r>
          </w:p>
        </w:tc>
        <w:tc>
          <w:tcPr>
            <w:tcW w:w="1158" w:type="dxa"/>
            <w:tcBorders>
              <w:tl2br w:val="nil"/>
              <w:tr2bl w:val="nil"/>
            </w:tcBorders>
            <w:vAlign w:val="center"/>
          </w:tcPr>
          <w:p w14:paraId="11CB2397">
            <w:pPr>
              <w:adjustRightInd w:val="0"/>
              <w:snapToGrid w:val="0"/>
              <w:spacing w:line="240" w:lineRule="auto"/>
              <w:jc w:val="center"/>
              <w:rPr>
                <w:sz w:val="21"/>
                <w:szCs w:val="21"/>
              </w:rPr>
            </w:pPr>
            <w:r>
              <w:rPr>
                <w:sz w:val="21"/>
                <w:szCs w:val="21"/>
              </w:rPr>
              <w:t>27.461796˚</w:t>
            </w:r>
          </w:p>
        </w:tc>
        <w:tc>
          <w:tcPr>
            <w:tcW w:w="982" w:type="dxa"/>
            <w:tcBorders>
              <w:tl2br w:val="nil"/>
              <w:tr2bl w:val="nil"/>
            </w:tcBorders>
            <w:vAlign w:val="center"/>
          </w:tcPr>
          <w:p w14:paraId="031CFC71">
            <w:pPr>
              <w:adjustRightInd w:val="0"/>
              <w:snapToGrid w:val="0"/>
              <w:spacing w:line="240" w:lineRule="auto"/>
              <w:jc w:val="center"/>
              <w:rPr>
                <w:sz w:val="21"/>
                <w:szCs w:val="21"/>
              </w:rPr>
            </w:pPr>
            <w:r>
              <w:rPr>
                <w:rFonts w:hint="eastAsia"/>
                <w:sz w:val="21"/>
                <w:szCs w:val="21"/>
              </w:rPr>
              <w:t>约200人</w:t>
            </w:r>
          </w:p>
        </w:tc>
        <w:tc>
          <w:tcPr>
            <w:tcW w:w="948" w:type="dxa"/>
            <w:vMerge w:val="continue"/>
            <w:tcBorders>
              <w:tl2br w:val="nil"/>
              <w:tr2bl w:val="nil"/>
            </w:tcBorders>
            <w:vAlign w:val="center"/>
          </w:tcPr>
          <w:p w14:paraId="2D4B759D">
            <w:pPr>
              <w:adjustRightInd w:val="0"/>
              <w:snapToGrid w:val="0"/>
              <w:spacing w:line="240" w:lineRule="auto"/>
              <w:jc w:val="center"/>
              <w:rPr>
                <w:sz w:val="21"/>
                <w:szCs w:val="21"/>
              </w:rPr>
            </w:pPr>
          </w:p>
        </w:tc>
        <w:tc>
          <w:tcPr>
            <w:tcW w:w="949" w:type="dxa"/>
            <w:vMerge w:val="continue"/>
            <w:tcBorders>
              <w:tl2br w:val="nil"/>
              <w:tr2bl w:val="nil"/>
            </w:tcBorders>
            <w:vAlign w:val="center"/>
          </w:tcPr>
          <w:p w14:paraId="7F613A4E">
            <w:pPr>
              <w:adjustRightInd w:val="0"/>
              <w:snapToGrid w:val="0"/>
              <w:spacing w:line="240" w:lineRule="auto"/>
              <w:jc w:val="center"/>
              <w:rPr>
                <w:sz w:val="21"/>
                <w:szCs w:val="21"/>
              </w:rPr>
            </w:pPr>
          </w:p>
        </w:tc>
        <w:tc>
          <w:tcPr>
            <w:tcW w:w="948" w:type="dxa"/>
            <w:tcBorders>
              <w:tl2br w:val="nil"/>
              <w:tr2bl w:val="nil"/>
            </w:tcBorders>
            <w:vAlign w:val="center"/>
          </w:tcPr>
          <w:p w14:paraId="752C3B9E">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49806E04">
            <w:pPr>
              <w:adjustRightInd w:val="0"/>
              <w:snapToGrid w:val="0"/>
              <w:spacing w:line="240" w:lineRule="auto"/>
              <w:jc w:val="center"/>
              <w:rPr>
                <w:sz w:val="21"/>
                <w:szCs w:val="21"/>
              </w:rPr>
            </w:pPr>
            <w:r>
              <w:rPr>
                <w:rFonts w:hint="eastAsia"/>
                <w:sz w:val="21"/>
                <w:szCs w:val="21"/>
              </w:rPr>
              <w:t>890</w:t>
            </w:r>
          </w:p>
        </w:tc>
      </w:tr>
      <w:tr w14:paraId="359E9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1052E7C">
            <w:pPr>
              <w:adjustRightInd w:val="0"/>
              <w:snapToGrid w:val="0"/>
              <w:spacing w:line="240" w:lineRule="auto"/>
              <w:jc w:val="center"/>
              <w:rPr>
                <w:sz w:val="21"/>
                <w:szCs w:val="21"/>
              </w:rPr>
            </w:pPr>
            <w:r>
              <w:rPr>
                <w:rFonts w:hint="eastAsia"/>
                <w:sz w:val="21"/>
                <w:szCs w:val="21"/>
              </w:rPr>
              <w:t>学府雅苑</w:t>
            </w:r>
          </w:p>
        </w:tc>
        <w:tc>
          <w:tcPr>
            <w:tcW w:w="1360" w:type="dxa"/>
            <w:tcBorders>
              <w:tl2br w:val="nil"/>
              <w:tr2bl w:val="nil"/>
            </w:tcBorders>
            <w:vAlign w:val="center"/>
          </w:tcPr>
          <w:p w14:paraId="655ED3FB">
            <w:pPr>
              <w:adjustRightInd w:val="0"/>
              <w:snapToGrid w:val="0"/>
              <w:spacing w:line="240" w:lineRule="auto"/>
              <w:jc w:val="center"/>
              <w:rPr>
                <w:sz w:val="21"/>
                <w:szCs w:val="21"/>
              </w:rPr>
            </w:pPr>
            <w:r>
              <w:rPr>
                <w:sz w:val="21"/>
                <w:szCs w:val="21"/>
              </w:rPr>
              <w:t>112.580107˚</w:t>
            </w:r>
          </w:p>
        </w:tc>
        <w:tc>
          <w:tcPr>
            <w:tcW w:w="1158" w:type="dxa"/>
            <w:tcBorders>
              <w:tl2br w:val="nil"/>
              <w:tr2bl w:val="nil"/>
            </w:tcBorders>
            <w:vAlign w:val="center"/>
          </w:tcPr>
          <w:p w14:paraId="48DDAFC8">
            <w:pPr>
              <w:adjustRightInd w:val="0"/>
              <w:snapToGrid w:val="0"/>
              <w:spacing w:line="240" w:lineRule="auto"/>
              <w:jc w:val="center"/>
              <w:rPr>
                <w:sz w:val="21"/>
                <w:szCs w:val="21"/>
              </w:rPr>
            </w:pPr>
            <w:r>
              <w:rPr>
                <w:sz w:val="21"/>
                <w:szCs w:val="21"/>
              </w:rPr>
              <w:t>27.462866˚</w:t>
            </w:r>
          </w:p>
        </w:tc>
        <w:tc>
          <w:tcPr>
            <w:tcW w:w="982" w:type="dxa"/>
            <w:tcBorders>
              <w:tl2br w:val="nil"/>
              <w:tr2bl w:val="nil"/>
            </w:tcBorders>
            <w:vAlign w:val="center"/>
          </w:tcPr>
          <w:p w14:paraId="03296F2A">
            <w:pPr>
              <w:adjustRightInd w:val="0"/>
              <w:snapToGrid w:val="0"/>
              <w:spacing w:line="240" w:lineRule="auto"/>
              <w:jc w:val="center"/>
              <w:rPr>
                <w:sz w:val="21"/>
                <w:szCs w:val="21"/>
              </w:rPr>
            </w:pPr>
            <w:r>
              <w:rPr>
                <w:rFonts w:hint="eastAsia"/>
                <w:sz w:val="21"/>
                <w:szCs w:val="21"/>
              </w:rPr>
              <w:t>约250户，1000</w:t>
            </w:r>
          </w:p>
          <w:p w14:paraId="60FACCC5">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623AEDAF">
            <w:pPr>
              <w:adjustRightInd w:val="0"/>
              <w:snapToGrid w:val="0"/>
              <w:spacing w:line="240" w:lineRule="auto"/>
              <w:jc w:val="center"/>
              <w:rPr>
                <w:sz w:val="21"/>
                <w:szCs w:val="21"/>
              </w:rPr>
            </w:pPr>
          </w:p>
        </w:tc>
        <w:tc>
          <w:tcPr>
            <w:tcW w:w="949" w:type="dxa"/>
            <w:vMerge w:val="continue"/>
            <w:tcBorders>
              <w:tl2br w:val="nil"/>
              <w:tr2bl w:val="nil"/>
            </w:tcBorders>
            <w:vAlign w:val="center"/>
          </w:tcPr>
          <w:p w14:paraId="501C8F7C">
            <w:pPr>
              <w:adjustRightInd w:val="0"/>
              <w:snapToGrid w:val="0"/>
              <w:spacing w:line="240" w:lineRule="auto"/>
              <w:jc w:val="center"/>
              <w:rPr>
                <w:sz w:val="21"/>
                <w:szCs w:val="21"/>
              </w:rPr>
            </w:pPr>
          </w:p>
        </w:tc>
        <w:tc>
          <w:tcPr>
            <w:tcW w:w="948" w:type="dxa"/>
            <w:tcBorders>
              <w:tl2br w:val="nil"/>
              <w:tr2bl w:val="nil"/>
            </w:tcBorders>
            <w:vAlign w:val="center"/>
          </w:tcPr>
          <w:p w14:paraId="3297BE30">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41C23F99">
            <w:pPr>
              <w:adjustRightInd w:val="0"/>
              <w:snapToGrid w:val="0"/>
              <w:spacing w:line="240" w:lineRule="auto"/>
              <w:jc w:val="center"/>
              <w:rPr>
                <w:sz w:val="21"/>
                <w:szCs w:val="21"/>
              </w:rPr>
            </w:pPr>
            <w:r>
              <w:rPr>
                <w:rFonts w:hint="eastAsia"/>
                <w:sz w:val="21"/>
                <w:szCs w:val="21"/>
              </w:rPr>
              <w:t>800</w:t>
            </w:r>
            <w:r>
              <w:rPr>
                <w:sz w:val="21"/>
                <w:szCs w:val="21"/>
              </w:rPr>
              <w:t>~</w:t>
            </w:r>
            <w:r>
              <w:rPr>
                <w:rFonts w:hint="eastAsia"/>
                <w:sz w:val="21"/>
                <w:szCs w:val="21"/>
              </w:rPr>
              <w:t>1200</w:t>
            </w:r>
          </w:p>
        </w:tc>
      </w:tr>
      <w:tr w14:paraId="19F29D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329FC4B5">
            <w:pPr>
              <w:adjustRightInd w:val="0"/>
              <w:snapToGrid w:val="0"/>
              <w:spacing w:line="240" w:lineRule="auto"/>
              <w:jc w:val="center"/>
              <w:rPr>
                <w:sz w:val="21"/>
                <w:szCs w:val="21"/>
              </w:rPr>
            </w:pPr>
            <w:r>
              <w:rPr>
                <w:rFonts w:hint="eastAsia"/>
                <w:sz w:val="21"/>
                <w:szCs w:val="21"/>
              </w:rPr>
              <w:t>天一家园</w:t>
            </w:r>
          </w:p>
        </w:tc>
        <w:tc>
          <w:tcPr>
            <w:tcW w:w="1360" w:type="dxa"/>
            <w:tcBorders>
              <w:tl2br w:val="nil"/>
              <w:tr2bl w:val="nil"/>
            </w:tcBorders>
            <w:vAlign w:val="center"/>
          </w:tcPr>
          <w:p w14:paraId="4CE101B6">
            <w:pPr>
              <w:adjustRightInd w:val="0"/>
              <w:snapToGrid w:val="0"/>
              <w:spacing w:line="240" w:lineRule="auto"/>
              <w:jc w:val="center"/>
              <w:rPr>
                <w:sz w:val="21"/>
                <w:szCs w:val="21"/>
              </w:rPr>
            </w:pPr>
            <w:r>
              <w:rPr>
                <w:sz w:val="21"/>
                <w:szCs w:val="21"/>
              </w:rPr>
              <w:t>112.574871˚</w:t>
            </w:r>
          </w:p>
        </w:tc>
        <w:tc>
          <w:tcPr>
            <w:tcW w:w="1158" w:type="dxa"/>
            <w:tcBorders>
              <w:tl2br w:val="nil"/>
              <w:tr2bl w:val="nil"/>
            </w:tcBorders>
            <w:vAlign w:val="center"/>
          </w:tcPr>
          <w:p w14:paraId="63EAC210">
            <w:pPr>
              <w:adjustRightInd w:val="0"/>
              <w:snapToGrid w:val="0"/>
              <w:spacing w:line="240" w:lineRule="auto"/>
              <w:jc w:val="center"/>
              <w:rPr>
                <w:sz w:val="21"/>
                <w:szCs w:val="21"/>
              </w:rPr>
            </w:pPr>
            <w:r>
              <w:rPr>
                <w:sz w:val="21"/>
                <w:szCs w:val="21"/>
              </w:rPr>
              <w:t>27.463728˚</w:t>
            </w:r>
          </w:p>
        </w:tc>
        <w:tc>
          <w:tcPr>
            <w:tcW w:w="982" w:type="dxa"/>
            <w:tcBorders>
              <w:tl2br w:val="nil"/>
              <w:tr2bl w:val="nil"/>
            </w:tcBorders>
            <w:vAlign w:val="center"/>
          </w:tcPr>
          <w:p w14:paraId="317B60BD">
            <w:pPr>
              <w:adjustRightInd w:val="0"/>
              <w:snapToGrid w:val="0"/>
              <w:spacing w:line="240" w:lineRule="auto"/>
              <w:jc w:val="center"/>
              <w:rPr>
                <w:sz w:val="21"/>
                <w:szCs w:val="21"/>
              </w:rPr>
            </w:pPr>
            <w:r>
              <w:rPr>
                <w:rFonts w:hint="eastAsia"/>
                <w:sz w:val="21"/>
                <w:szCs w:val="21"/>
              </w:rPr>
              <w:t>约160户，640</w:t>
            </w:r>
          </w:p>
          <w:p w14:paraId="65364CE4">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1A944C0D">
            <w:pPr>
              <w:adjustRightInd w:val="0"/>
              <w:snapToGrid w:val="0"/>
              <w:spacing w:line="240" w:lineRule="auto"/>
              <w:jc w:val="center"/>
              <w:rPr>
                <w:sz w:val="21"/>
                <w:szCs w:val="21"/>
              </w:rPr>
            </w:pPr>
          </w:p>
        </w:tc>
        <w:tc>
          <w:tcPr>
            <w:tcW w:w="949" w:type="dxa"/>
            <w:vMerge w:val="continue"/>
            <w:tcBorders>
              <w:tl2br w:val="nil"/>
              <w:tr2bl w:val="nil"/>
            </w:tcBorders>
            <w:vAlign w:val="center"/>
          </w:tcPr>
          <w:p w14:paraId="46A5B168">
            <w:pPr>
              <w:adjustRightInd w:val="0"/>
              <w:snapToGrid w:val="0"/>
              <w:spacing w:line="240" w:lineRule="auto"/>
              <w:jc w:val="center"/>
              <w:rPr>
                <w:sz w:val="21"/>
                <w:szCs w:val="21"/>
              </w:rPr>
            </w:pPr>
          </w:p>
        </w:tc>
        <w:tc>
          <w:tcPr>
            <w:tcW w:w="948" w:type="dxa"/>
            <w:tcBorders>
              <w:tl2br w:val="nil"/>
              <w:tr2bl w:val="nil"/>
            </w:tcBorders>
            <w:vAlign w:val="center"/>
          </w:tcPr>
          <w:p w14:paraId="4A84DC2B">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1AB9BC2F">
            <w:pPr>
              <w:adjustRightInd w:val="0"/>
              <w:snapToGrid w:val="0"/>
              <w:spacing w:line="240" w:lineRule="auto"/>
              <w:jc w:val="center"/>
              <w:rPr>
                <w:sz w:val="21"/>
                <w:szCs w:val="21"/>
              </w:rPr>
            </w:pPr>
            <w:r>
              <w:rPr>
                <w:rFonts w:hint="eastAsia"/>
                <w:sz w:val="21"/>
                <w:szCs w:val="21"/>
              </w:rPr>
              <w:t>1000</w:t>
            </w:r>
            <w:r>
              <w:rPr>
                <w:sz w:val="21"/>
                <w:szCs w:val="21"/>
              </w:rPr>
              <w:t>~</w:t>
            </w:r>
            <w:r>
              <w:rPr>
                <w:rFonts w:hint="eastAsia"/>
                <w:sz w:val="21"/>
                <w:szCs w:val="21"/>
              </w:rPr>
              <w:t>1200</w:t>
            </w:r>
          </w:p>
        </w:tc>
      </w:tr>
      <w:tr w14:paraId="165F8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84E5619">
            <w:pPr>
              <w:adjustRightInd w:val="0"/>
              <w:snapToGrid w:val="0"/>
              <w:spacing w:line="240" w:lineRule="auto"/>
              <w:jc w:val="center"/>
              <w:rPr>
                <w:sz w:val="21"/>
                <w:szCs w:val="21"/>
              </w:rPr>
            </w:pPr>
            <w:r>
              <w:rPr>
                <w:rFonts w:hint="eastAsia"/>
                <w:sz w:val="21"/>
                <w:szCs w:val="21"/>
              </w:rPr>
              <w:t>长通名城</w:t>
            </w:r>
          </w:p>
        </w:tc>
        <w:tc>
          <w:tcPr>
            <w:tcW w:w="1360" w:type="dxa"/>
            <w:tcBorders>
              <w:tl2br w:val="nil"/>
              <w:tr2bl w:val="nil"/>
            </w:tcBorders>
            <w:vAlign w:val="center"/>
          </w:tcPr>
          <w:p w14:paraId="70298974">
            <w:pPr>
              <w:adjustRightInd w:val="0"/>
              <w:snapToGrid w:val="0"/>
              <w:spacing w:line="240" w:lineRule="auto"/>
              <w:jc w:val="center"/>
              <w:rPr>
                <w:sz w:val="21"/>
                <w:szCs w:val="21"/>
              </w:rPr>
            </w:pPr>
            <w:r>
              <w:rPr>
                <w:sz w:val="21"/>
                <w:szCs w:val="21"/>
              </w:rPr>
              <w:t>112.574871˚</w:t>
            </w:r>
          </w:p>
        </w:tc>
        <w:tc>
          <w:tcPr>
            <w:tcW w:w="1158" w:type="dxa"/>
            <w:tcBorders>
              <w:tl2br w:val="nil"/>
              <w:tr2bl w:val="nil"/>
            </w:tcBorders>
            <w:vAlign w:val="center"/>
          </w:tcPr>
          <w:p w14:paraId="0FDE2E78">
            <w:pPr>
              <w:adjustRightInd w:val="0"/>
              <w:snapToGrid w:val="0"/>
              <w:spacing w:line="240" w:lineRule="auto"/>
              <w:jc w:val="center"/>
              <w:rPr>
                <w:sz w:val="21"/>
                <w:szCs w:val="21"/>
              </w:rPr>
            </w:pPr>
            <w:r>
              <w:rPr>
                <w:sz w:val="21"/>
                <w:szCs w:val="21"/>
              </w:rPr>
              <w:t>27.464492˚</w:t>
            </w:r>
          </w:p>
        </w:tc>
        <w:tc>
          <w:tcPr>
            <w:tcW w:w="982" w:type="dxa"/>
            <w:tcBorders>
              <w:tl2br w:val="nil"/>
              <w:tr2bl w:val="nil"/>
            </w:tcBorders>
            <w:vAlign w:val="center"/>
          </w:tcPr>
          <w:p w14:paraId="6B011685">
            <w:pPr>
              <w:adjustRightInd w:val="0"/>
              <w:snapToGrid w:val="0"/>
              <w:spacing w:line="240" w:lineRule="auto"/>
              <w:jc w:val="center"/>
              <w:rPr>
                <w:sz w:val="21"/>
                <w:szCs w:val="21"/>
              </w:rPr>
            </w:pPr>
            <w:r>
              <w:rPr>
                <w:rFonts w:hint="eastAsia"/>
                <w:sz w:val="21"/>
                <w:szCs w:val="21"/>
              </w:rPr>
              <w:t>约180户，720</w:t>
            </w:r>
          </w:p>
          <w:p w14:paraId="08C90ABA">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6FD35037">
            <w:pPr>
              <w:adjustRightInd w:val="0"/>
              <w:snapToGrid w:val="0"/>
              <w:spacing w:line="240" w:lineRule="auto"/>
              <w:jc w:val="center"/>
              <w:rPr>
                <w:sz w:val="21"/>
                <w:szCs w:val="21"/>
              </w:rPr>
            </w:pPr>
          </w:p>
        </w:tc>
        <w:tc>
          <w:tcPr>
            <w:tcW w:w="949" w:type="dxa"/>
            <w:vMerge w:val="continue"/>
            <w:tcBorders>
              <w:tl2br w:val="nil"/>
              <w:tr2bl w:val="nil"/>
            </w:tcBorders>
            <w:vAlign w:val="center"/>
          </w:tcPr>
          <w:p w14:paraId="39430050">
            <w:pPr>
              <w:adjustRightInd w:val="0"/>
              <w:snapToGrid w:val="0"/>
              <w:spacing w:line="240" w:lineRule="auto"/>
              <w:jc w:val="center"/>
              <w:rPr>
                <w:sz w:val="21"/>
                <w:szCs w:val="21"/>
              </w:rPr>
            </w:pPr>
          </w:p>
        </w:tc>
        <w:tc>
          <w:tcPr>
            <w:tcW w:w="948" w:type="dxa"/>
            <w:tcBorders>
              <w:tl2br w:val="nil"/>
              <w:tr2bl w:val="nil"/>
            </w:tcBorders>
            <w:vAlign w:val="center"/>
          </w:tcPr>
          <w:p w14:paraId="7F5E0EDA">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5541C93D">
            <w:pPr>
              <w:adjustRightInd w:val="0"/>
              <w:snapToGrid w:val="0"/>
              <w:spacing w:line="240" w:lineRule="auto"/>
              <w:jc w:val="center"/>
              <w:rPr>
                <w:sz w:val="21"/>
                <w:szCs w:val="21"/>
              </w:rPr>
            </w:pPr>
            <w:r>
              <w:rPr>
                <w:rFonts w:hint="eastAsia"/>
                <w:sz w:val="21"/>
                <w:szCs w:val="21"/>
              </w:rPr>
              <w:t>1200</w:t>
            </w:r>
            <w:r>
              <w:rPr>
                <w:sz w:val="21"/>
                <w:szCs w:val="21"/>
              </w:rPr>
              <w:t>~</w:t>
            </w:r>
            <w:r>
              <w:rPr>
                <w:rFonts w:hint="eastAsia"/>
                <w:sz w:val="21"/>
                <w:szCs w:val="21"/>
              </w:rPr>
              <w:t>1400</w:t>
            </w:r>
          </w:p>
        </w:tc>
      </w:tr>
      <w:tr w14:paraId="41D2F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148B2917">
            <w:pPr>
              <w:adjustRightInd w:val="0"/>
              <w:snapToGrid w:val="0"/>
              <w:spacing w:line="240" w:lineRule="auto"/>
              <w:jc w:val="center"/>
              <w:rPr>
                <w:sz w:val="21"/>
                <w:szCs w:val="21"/>
              </w:rPr>
            </w:pPr>
            <w:r>
              <w:rPr>
                <w:rFonts w:hint="eastAsia"/>
                <w:sz w:val="21"/>
                <w:szCs w:val="21"/>
              </w:rPr>
              <w:t>湘潭碧桂园</w:t>
            </w:r>
          </w:p>
        </w:tc>
        <w:tc>
          <w:tcPr>
            <w:tcW w:w="1360" w:type="dxa"/>
            <w:tcBorders>
              <w:tl2br w:val="nil"/>
              <w:tr2bl w:val="nil"/>
            </w:tcBorders>
            <w:vAlign w:val="center"/>
          </w:tcPr>
          <w:p w14:paraId="4945990F">
            <w:pPr>
              <w:adjustRightInd w:val="0"/>
              <w:snapToGrid w:val="0"/>
              <w:spacing w:line="240" w:lineRule="auto"/>
              <w:jc w:val="center"/>
              <w:rPr>
                <w:sz w:val="21"/>
                <w:szCs w:val="21"/>
              </w:rPr>
            </w:pPr>
            <w:r>
              <w:rPr>
                <w:sz w:val="21"/>
                <w:szCs w:val="21"/>
              </w:rPr>
              <w:t>112.583429˚</w:t>
            </w:r>
          </w:p>
        </w:tc>
        <w:tc>
          <w:tcPr>
            <w:tcW w:w="1158" w:type="dxa"/>
            <w:tcBorders>
              <w:tl2br w:val="nil"/>
              <w:tr2bl w:val="nil"/>
            </w:tcBorders>
            <w:vAlign w:val="center"/>
          </w:tcPr>
          <w:p w14:paraId="017FFC75">
            <w:pPr>
              <w:adjustRightInd w:val="0"/>
              <w:snapToGrid w:val="0"/>
              <w:spacing w:line="240" w:lineRule="auto"/>
              <w:jc w:val="center"/>
              <w:rPr>
                <w:sz w:val="21"/>
                <w:szCs w:val="21"/>
              </w:rPr>
            </w:pPr>
            <w:r>
              <w:rPr>
                <w:sz w:val="21"/>
                <w:szCs w:val="21"/>
              </w:rPr>
              <w:t>27.465010˚</w:t>
            </w:r>
          </w:p>
        </w:tc>
        <w:tc>
          <w:tcPr>
            <w:tcW w:w="982" w:type="dxa"/>
            <w:tcBorders>
              <w:tl2br w:val="nil"/>
              <w:tr2bl w:val="nil"/>
            </w:tcBorders>
            <w:vAlign w:val="center"/>
          </w:tcPr>
          <w:p w14:paraId="319FC529">
            <w:pPr>
              <w:adjustRightInd w:val="0"/>
              <w:snapToGrid w:val="0"/>
              <w:spacing w:line="240" w:lineRule="auto"/>
              <w:jc w:val="center"/>
              <w:rPr>
                <w:sz w:val="21"/>
                <w:szCs w:val="21"/>
              </w:rPr>
            </w:pPr>
            <w:r>
              <w:rPr>
                <w:rFonts w:hint="eastAsia"/>
                <w:sz w:val="21"/>
                <w:szCs w:val="21"/>
              </w:rPr>
              <w:t>约1200户，3600</w:t>
            </w:r>
          </w:p>
          <w:p w14:paraId="33FCE2EF">
            <w:pPr>
              <w:adjustRightInd w:val="0"/>
              <w:snapToGrid w:val="0"/>
              <w:spacing w:line="240" w:lineRule="auto"/>
              <w:jc w:val="center"/>
              <w:rPr>
                <w:sz w:val="21"/>
                <w:szCs w:val="21"/>
              </w:rPr>
            </w:pPr>
            <w:r>
              <w:rPr>
                <w:rFonts w:hint="eastAsia"/>
                <w:sz w:val="21"/>
                <w:szCs w:val="21"/>
              </w:rPr>
              <w:t>人</w:t>
            </w:r>
          </w:p>
        </w:tc>
        <w:tc>
          <w:tcPr>
            <w:tcW w:w="948" w:type="dxa"/>
            <w:vMerge w:val="continue"/>
            <w:tcBorders>
              <w:tl2br w:val="nil"/>
              <w:tr2bl w:val="nil"/>
            </w:tcBorders>
            <w:vAlign w:val="center"/>
          </w:tcPr>
          <w:p w14:paraId="0D5B017E">
            <w:pPr>
              <w:adjustRightInd w:val="0"/>
              <w:snapToGrid w:val="0"/>
              <w:spacing w:line="240" w:lineRule="auto"/>
              <w:jc w:val="center"/>
              <w:rPr>
                <w:sz w:val="21"/>
                <w:szCs w:val="21"/>
              </w:rPr>
            </w:pPr>
          </w:p>
        </w:tc>
        <w:tc>
          <w:tcPr>
            <w:tcW w:w="949" w:type="dxa"/>
            <w:vMerge w:val="continue"/>
            <w:tcBorders>
              <w:tl2br w:val="nil"/>
              <w:tr2bl w:val="nil"/>
            </w:tcBorders>
            <w:vAlign w:val="center"/>
          </w:tcPr>
          <w:p w14:paraId="2C0BBF24">
            <w:pPr>
              <w:adjustRightInd w:val="0"/>
              <w:snapToGrid w:val="0"/>
              <w:spacing w:line="240" w:lineRule="auto"/>
              <w:jc w:val="center"/>
              <w:rPr>
                <w:sz w:val="21"/>
                <w:szCs w:val="21"/>
              </w:rPr>
            </w:pPr>
          </w:p>
        </w:tc>
        <w:tc>
          <w:tcPr>
            <w:tcW w:w="948" w:type="dxa"/>
            <w:tcBorders>
              <w:tl2br w:val="nil"/>
              <w:tr2bl w:val="nil"/>
            </w:tcBorders>
            <w:vAlign w:val="center"/>
          </w:tcPr>
          <w:p w14:paraId="2AC11AA7">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41EBB875">
            <w:pPr>
              <w:adjustRightInd w:val="0"/>
              <w:snapToGrid w:val="0"/>
              <w:spacing w:line="240" w:lineRule="auto"/>
              <w:jc w:val="center"/>
              <w:rPr>
                <w:sz w:val="21"/>
                <w:szCs w:val="21"/>
              </w:rPr>
            </w:pPr>
            <w:r>
              <w:rPr>
                <w:rFonts w:hint="eastAsia"/>
                <w:sz w:val="21"/>
                <w:szCs w:val="21"/>
              </w:rPr>
              <w:t>1600</w:t>
            </w:r>
            <w:r>
              <w:rPr>
                <w:sz w:val="21"/>
                <w:szCs w:val="21"/>
              </w:rPr>
              <w:t>~</w:t>
            </w:r>
            <w:r>
              <w:rPr>
                <w:rFonts w:hint="eastAsia"/>
                <w:sz w:val="21"/>
                <w:szCs w:val="21"/>
              </w:rPr>
              <w:t>2600</w:t>
            </w:r>
          </w:p>
        </w:tc>
      </w:tr>
      <w:tr w14:paraId="3A7712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6D5BC470">
            <w:pPr>
              <w:adjustRightInd w:val="0"/>
              <w:snapToGrid w:val="0"/>
              <w:spacing w:line="240" w:lineRule="auto"/>
              <w:jc w:val="center"/>
              <w:rPr>
                <w:sz w:val="21"/>
                <w:szCs w:val="21"/>
              </w:rPr>
            </w:pPr>
            <w:r>
              <w:rPr>
                <w:rFonts w:hint="eastAsia"/>
                <w:sz w:val="21"/>
                <w:szCs w:val="21"/>
              </w:rPr>
              <w:t>东北侧湘潭县居民居住集中区</w:t>
            </w:r>
          </w:p>
        </w:tc>
        <w:tc>
          <w:tcPr>
            <w:tcW w:w="1360" w:type="dxa"/>
            <w:tcBorders>
              <w:tl2br w:val="nil"/>
              <w:tr2bl w:val="nil"/>
            </w:tcBorders>
            <w:vAlign w:val="center"/>
          </w:tcPr>
          <w:p w14:paraId="31066D5F">
            <w:pPr>
              <w:adjustRightInd w:val="0"/>
              <w:snapToGrid w:val="0"/>
              <w:spacing w:line="240" w:lineRule="auto"/>
              <w:jc w:val="center"/>
              <w:rPr>
                <w:sz w:val="21"/>
                <w:szCs w:val="21"/>
              </w:rPr>
            </w:pPr>
            <w:r>
              <w:rPr>
                <w:sz w:val="21"/>
                <w:szCs w:val="21"/>
              </w:rPr>
              <w:t>112.580478˚</w:t>
            </w:r>
          </w:p>
        </w:tc>
        <w:tc>
          <w:tcPr>
            <w:tcW w:w="1158" w:type="dxa"/>
            <w:tcBorders>
              <w:tl2br w:val="nil"/>
              <w:tr2bl w:val="nil"/>
            </w:tcBorders>
            <w:vAlign w:val="center"/>
          </w:tcPr>
          <w:p w14:paraId="0B704061">
            <w:pPr>
              <w:adjustRightInd w:val="0"/>
              <w:snapToGrid w:val="0"/>
              <w:spacing w:line="240" w:lineRule="auto"/>
              <w:jc w:val="center"/>
              <w:rPr>
                <w:sz w:val="21"/>
                <w:szCs w:val="21"/>
              </w:rPr>
            </w:pPr>
            <w:r>
              <w:rPr>
                <w:sz w:val="21"/>
                <w:szCs w:val="21"/>
              </w:rPr>
              <w:t>27.470408˚</w:t>
            </w:r>
          </w:p>
        </w:tc>
        <w:tc>
          <w:tcPr>
            <w:tcW w:w="982" w:type="dxa"/>
            <w:tcBorders>
              <w:tl2br w:val="nil"/>
              <w:tr2bl w:val="nil"/>
            </w:tcBorders>
            <w:vAlign w:val="center"/>
          </w:tcPr>
          <w:p w14:paraId="2CD8D33F">
            <w:pPr>
              <w:adjustRightInd w:val="0"/>
              <w:snapToGrid w:val="0"/>
              <w:spacing w:line="240" w:lineRule="auto"/>
              <w:jc w:val="center"/>
              <w:rPr>
                <w:sz w:val="21"/>
                <w:szCs w:val="21"/>
              </w:rPr>
            </w:pPr>
            <w:r>
              <w:rPr>
                <w:rFonts w:hint="eastAsia"/>
                <w:sz w:val="21"/>
                <w:szCs w:val="21"/>
              </w:rPr>
              <w:t>约5000人</w:t>
            </w:r>
          </w:p>
        </w:tc>
        <w:tc>
          <w:tcPr>
            <w:tcW w:w="948" w:type="dxa"/>
            <w:vMerge w:val="continue"/>
            <w:tcBorders>
              <w:tl2br w:val="nil"/>
              <w:tr2bl w:val="nil"/>
            </w:tcBorders>
            <w:vAlign w:val="center"/>
          </w:tcPr>
          <w:p w14:paraId="479A6B06">
            <w:pPr>
              <w:adjustRightInd w:val="0"/>
              <w:snapToGrid w:val="0"/>
              <w:spacing w:line="240" w:lineRule="auto"/>
              <w:jc w:val="center"/>
              <w:rPr>
                <w:sz w:val="21"/>
                <w:szCs w:val="21"/>
              </w:rPr>
            </w:pPr>
          </w:p>
        </w:tc>
        <w:tc>
          <w:tcPr>
            <w:tcW w:w="949" w:type="dxa"/>
            <w:vMerge w:val="continue"/>
            <w:tcBorders>
              <w:tl2br w:val="nil"/>
              <w:tr2bl w:val="nil"/>
            </w:tcBorders>
            <w:vAlign w:val="center"/>
          </w:tcPr>
          <w:p w14:paraId="34E75F03">
            <w:pPr>
              <w:adjustRightInd w:val="0"/>
              <w:snapToGrid w:val="0"/>
              <w:spacing w:line="240" w:lineRule="auto"/>
              <w:jc w:val="center"/>
              <w:rPr>
                <w:sz w:val="21"/>
                <w:szCs w:val="21"/>
              </w:rPr>
            </w:pPr>
          </w:p>
        </w:tc>
        <w:tc>
          <w:tcPr>
            <w:tcW w:w="948" w:type="dxa"/>
            <w:tcBorders>
              <w:tl2br w:val="nil"/>
              <w:tr2bl w:val="nil"/>
            </w:tcBorders>
            <w:vAlign w:val="center"/>
          </w:tcPr>
          <w:p w14:paraId="3E6D5155">
            <w:pPr>
              <w:adjustRightInd w:val="0"/>
              <w:snapToGrid w:val="0"/>
              <w:spacing w:line="240" w:lineRule="auto"/>
              <w:jc w:val="center"/>
              <w:rPr>
                <w:sz w:val="21"/>
                <w:szCs w:val="21"/>
              </w:rPr>
            </w:pPr>
            <w:r>
              <w:rPr>
                <w:rFonts w:hint="eastAsia"/>
                <w:sz w:val="21"/>
                <w:szCs w:val="21"/>
              </w:rPr>
              <w:t>东北侧</w:t>
            </w:r>
          </w:p>
        </w:tc>
        <w:tc>
          <w:tcPr>
            <w:tcW w:w="1095" w:type="dxa"/>
            <w:tcBorders>
              <w:tl2br w:val="nil"/>
              <w:tr2bl w:val="nil"/>
            </w:tcBorders>
            <w:vAlign w:val="center"/>
          </w:tcPr>
          <w:p w14:paraId="7F6E6FB2">
            <w:pPr>
              <w:adjustRightInd w:val="0"/>
              <w:snapToGrid w:val="0"/>
              <w:spacing w:line="240" w:lineRule="auto"/>
              <w:jc w:val="center"/>
              <w:rPr>
                <w:sz w:val="21"/>
                <w:szCs w:val="21"/>
              </w:rPr>
            </w:pPr>
            <w:r>
              <w:rPr>
                <w:rFonts w:hint="eastAsia"/>
                <w:sz w:val="21"/>
                <w:szCs w:val="21"/>
              </w:rPr>
              <w:t>1700</w:t>
            </w:r>
            <w:r>
              <w:rPr>
                <w:sz w:val="21"/>
                <w:szCs w:val="21"/>
              </w:rPr>
              <w:t>~</w:t>
            </w:r>
            <w:r>
              <w:rPr>
                <w:rFonts w:hint="eastAsia"/>
                <w:sz w:val="21"/>
                <w:szCs w:val="21"/>
              </w:rPr>
              <w:t>2600</w:t>
            </w:r>
          </w:p>
        </w:tc>
      </w:tr>
      <w:tr w14:paraId="47370F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0" w:type="dxa"/>
            <w:tcBorders>
              <w:tl2br w:val="nil"/>
              <w:tr2bl w:val="nil"/>
            </w:tcBorders>
            <w:vAlign w:val="center"/>
          </w:tcPr>
          <w:p w14:paraId="634F8F5C">
            <w:pPr>
              <w:adjustRightInd w:val="0"/>
              <w:snapToGrid w:val="0"/>
              <w:spacing w:line="240" w:lineRule="auto"/>
              <w:jc w:val="center"/>
              <w:rPr>
                <w:sz w:val="21"/>
                <w:szCs w:val="21"/>
              </w:rPr>
            </w:pPr>
            <w:r>
              <w:rPr>
                <w:rFonts w:hint="eastAsia"/>
                <w:sz w:val="21"/>
                <w:szCs w:val="21"/>
              </w:rPr>
              <w:t>西北侧湘潭县居民居住集中区</w:t>
            </w:r>
          </w:p>
        </w:tc>
        <w:tc>
          <w:tcPr>
            <w:tcW w:w="1360" w:type="dxa"/>
            <w:tcBorders>
              <w:tl2br w:val="nil"/>
              <w:tr2bl w:val="nil"/>
            </w:tcBorders>
            <w:vAlign w:val="center"/>
          </w:tcPr>
          <w:p w14:paraId="25C6F8BD">
            <w:pPr>
              <w:adjustRightInd w:val="0"/>
              <w:snapToGrid w:val="0"/>
              <w:spacing w:line="240" w:lineRule="auto"/>
              <w:jc w:val="center"/>
              <w:rPr>
                <w:sz w:val="21"/>
                <w:szCs w:val="21"/>
              </w:rPr>
            </w:pPr>
            <w:r>
              <w:rPr>
                <w:sz w:val="21"/>
                <w:szCs w:val="21"/>
              </w:rPr>
              <w:t>112.563378˚</w:t>
            </w:r>
          </w:p>
        </w:tc>
        <w:tc>
          <w:tcPr>
            <w:tcW w:w="1158" w:type="dxa"/>
            <w:tcBorders>
              <w:tl2br w:val="nil"/>
              <w:tr2bl w:val="nil"/>
            </w:tcBorders>
            <w:vAlign w:val="center"/>
          </w:tcPr>
          <w:p w14:paraId="27D06611">
            <w:pPr>
              <w:adjustRightInd w:val="0"/>
              <w:snapToGrid w:val="0"/>
              <w:spacing w:line="240" w:lineRule="auto"/>
              <w:jc w:val="center"/>
              <w:rPr>
                <w:sz w:val="21"/>
                <w:szCs w:val="21"/>
              </w:rPr>
            </w:pPr>
            <w:r>
              <w:rPr>
                <w:sz w:val="21"/>
                <w:szCs w:val="21"/>
              </w:rPr>
              <w:t>27.470068˚</w:t>
            </w:r>
          </w:p>
        </w:tc>
        <w:tc>
          <w:tcPr>
            <w:tcW w:w="982" w:type="dxa"/>
            <w:tcBorders>
              <w:tl2br w:val="nil"/>
              <w:tr2bl w:val="nil"/>
            </w:tcBorders>
            <w:vAlign w:val="center"/>
          </w:tcPr>
          <w:p w14:paraId="5ABACBEE">
            <w:pPr>
              <w:adjustRightInd w:val="0"/>
              <w:snapToGrid w:val="0"/>
              <w:spacing w:line="240" w:lineRule="auto"/>
              <w:jc w:val="center"/>
              <w:rPr>
                <w:sz w:val="21"/>
                <w:szCs w:val="21"/>
              </w:rPr>
            </w:pPr>
            <w:r>
              <w:rPr>
                <w:rFonts w:hint="eastAsia"/>
                <w:sz w:val="21"/>
                <w:szCs w:val="21"/>
              </w:rPr>
              <w:t>约7000人</w:t>
            </w:r>
          </w:p>
        </w:tc>
        <w:tc>
          <w:tcPr>
            <w:tcW w:w="948" w:type="dxa"/>
            <w:vMerge w:val="continue"/>
            <w:tcBorders>
              <w:tl2br w:val="nil"/>
              <w:tr2bl w:val="nil"/>
            </w:tcBorders>
            <w:vAlign w:val="center"/>
          </w:tcPr>
          <w:p w14:paraId="10955242">
            <w:pPr>
              <w:adjustRightInd w:val="0"/>
              <w:snapToGrid w:val="0"/>
              <w:spacing w:line="240" w:lineRule="auto"/>
              <w:jc w:val="center"/>
              <w:rPr>
                <w:sz w:val="21"/>
                <w:szCs w:val="21"/>
              </w:rPr>
            </w:pPr>
          </w:p>
        </w:tc>
        <w:tc>
          <w:tcPr>
            <w:tcW w:w="949" w:type="dxa"/>
            <w:vMerge w:val="continue"/>
            <w:tcBorders>
              <w:tl2br w:val="nil"/>
              <w:tr2bl w:val="nil"/>
            </w:tcBorders>
            <w:vAlign w:val="center"/>
          </w:tcPr>
          <w:p w14:paraId="37E137C6">
            <w:pPr>
              <w:adjustRightInd w:val="0"/>
              <w:snapToGrid w:val="0"/>
              <w:spacing w:line="240" w:lineRule="auto"/>
              <w:jc w:val="center"/>
              <w:rPr>
                <w:sz w:val="21"/>
                <w:szCs w:val="21"/>
              </w:rPr>
            </w:pPr>
          </w:p>
        </w:tc>
        <w:tc>
          <w:tcPr>
            <w:tcW w:w="948" w:type="dxa"/>
            <w:tcBorders>
              <w:tl2br w:val="nil"/>
              <w:tr2bl w:val="nil"/>
            </w:tcBorders>
            <w:vAlign w:val="center"/>
          </w:tcPr>
          <w:p w14:paraId="5C755846">
            <w:pPr>
              <w:adjustRightInd w:val="0"/>
              <w:snapToGrid w:val="0"/>
              <w:spacing w:line="240" w:lineRule="auto"/>
              <w:jc w:val="center"/>
              <w:rPr>
                <w:sz w:val="21"/>
                <w:szCs w:val="21"/>
              </w:rPr>
            </w:pPr>
            <w:r>
              <w:rPr>
                <w:rFonts w:hint="eastAsia"/>
                <w:sz w:val="21"/>
                <w:szCs w:val="21"/>
              </w:rPr>
              <w:t>西北侧</w:t>
            </w:r>
          </w:p>
        </w:tc>
        <w:tc>
          <w:tcPr>
            <w:tcW w:w="1095" w:type="dxa"/>
            <w:tcBorders>
              <w:tl2br w:val="nil"/>
              <w:tr2bl w:val="nil"/>
            </w:tcBorders>
            <w:vAlign w:val="center"/>
          </w:tcPr>
          <w:p w14:paraId="2C25CE03">
            <w:pPr>
              <w:adjustRightInd w:val="0"/>
              <w:snapToGrid w:val="0"/>
              <w:spacing w:line="240" w:lineRule="auto"/>
              <w:jc w:val="center"/>
              <w:rPr>
                <w:sz w:val="21"/>
                <w:szCs w:val="21"/>
              </w:rPr>
            </w:pPr>
            <w:r>
              <w:rPr>
                <w:rFonts w:hint="eastAsia"/>
                <w:sz w:val="21"/>
                <w:szCs w:val="21"/>
              </w:rPr>
              <w:t>1900</w:t>
            </w:r>
            <w:r>
              <w:rPr>
                <w:sz w:val="21"/>
                <w:szCs w:val="21"/>
              </w:rPr>
              <w:t>~</w:t>
            </w:r>
            <w:r>
              <w:rPr>
                <w:rFonts w:hint="eastAsia"/>
                <w:sz w:val="21"/>
                <w:szCs w:val="21"/>
              </w:rPr>
              <w:t>3000</w:t>
            </w:r>
          </w:p>
        </w:tc>
      </w:tr>
    </w:tbl>
    <w:p w14:paraId="5E99DD6E">
      <w:pPr>
        <w:pStyle w:val="51"/>
        <w:numPr>
          <w:ilvl w:val="5"/>
          <w:numId w:val="0"/>
        </w:numPr>
        <w:spacing w:before="0" w:beforeLines="0" w:line="360" w:lineRule="auto"/>
        <w:ind w:left="305" w:leftChars="0" w:hanging="3260" w:firstLineChars="0"/>
      </w:pPr>
      <w:r>
        <w:rPr>
          <w:rFonts w:hint="default" w:ascii="宋体" w:hAnsi="宋体" w:eastAsia="宋体" w:cs="宋体"/>
          <w:b/>
          <w:bCs/>
          <w:color w:val="auto"/>
          <w:kern w:val="2"/>
          <w:sz w:val="21"/>
          <w:szCs w:val="21"/>
          <w:lang w:val="en-US" w:eastAsia="zh-CN" w:bidi="ar-SA"/>
        </w:rPr>
        <w:t xml:space="preserve">表7.3-2 </w:t>
      </w:r>
      <w:r>
        <w:rPr>
          <w:rFonts w:hint="eastAsia"/>
        </w:rPr>
        <w:t>地表水、生态环境风险保护目标一览表</w:t>
      </w:r>
    </w:p>
    <w:tbl>
      <w:tblPr>
        <w:tblStyle w:val="66"/>
        <w:tblW w:w="503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932"/>
        <w:gridCol w:w="1014"/>
        <w:gridCol w:w="909"/>
        <w:gridCol w:w="576"/>
        <w:gridCol w:w="663"/>
        <w:gridCol w:w="878"/>
        <w:gridCol w:w="796"/>
        <w:gridCol w:w="1403"/>
        <w:gridCol w:w="1225"/>
      </w:tblGrid>
      <w:tr w14:paraId="04EDB3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0" w:type="auto"/>
            <w:vMerge w:val="restart"/>
            <w:vAlign w:val="center"/>
          </w:tcPr>
          <w:p w14:paraId="4B3EED12">
            <w:pPr>
              <w:widowControl w:val="0"/>
              <w:adjustRightInd w:val="0"/>
              <w:snapToGrid w:val="0"/>
              <w:spacing w:line="240" w:lineRule="auto"/>
              <w:jc w:val="center"/>
              <w:rPr>
                <w:sz w:val="21"/>
                <w:szCs w:val="21"/>
                <w:lang w:eastAsia="en-US"/>
              </w:rPr>
            </w:pPr>
            <w:r>
              <w:rPr>
                <w:sz w:val="21"/>
                <w:szCs w:val="21"/>
                <w:lang w:eastAsia="en-US"/>
              </w:rPr>
              <w:t>保护</w:t>
            </w:r>
          </w:p>
          <w:p w14:paraId="41030C97">
            <w:pPr>
              <w:widowControl w:val="0"/>
              <w:adjustRightInd w:val="0"/>
              <w:snapToGrid w:val="0"/>
              <w:spacing w:line="240" w:lineRule="auto"/>
              <w:jc w:val="center"/>
              <w:rPr>
                <w:sz w:val="21"/>
                <w:szCs w:val="21"/>
                <w:lang w:eastAsia="en-US"/>
              </w:rPr>
            </w:pPr>
            <w:r>
              <w:rPr>
                <w:sz w:val="21"/>
                <w:szCs w:val="21"/>
                <w:lang w:eastAsia="en-US"/>
              </w:rPr>
              <w:t>对象</w:t>
            </w:r>
          </w:p>
        </w:tc>
        <w:tc>
          <w:tcPr>
            <w:tcW w:w="0" w:type="auto"/>
            <w:gridSpan w:val="2"/>
            <w:vAlign w:val="center"/>
          </w:tcPr>
          <w:p w14:paraId="0E6B0B0E">
            <w:pPr>
              <w:widowControl w:val="0"/>
              <w:adjustRightInd w:val="0"/>
              <w:snapToGrid w:val="0"/>
              <w:spacing w:line="240" w:lineRule="auto"/>
              <w:jc w:val="center"/>
              <w:rPr>
                <w:sz w:val="21"/>
                <w:szCs w:val="21"/>
                <w:lang w:eastAsia="en-US"/>
              </w:rPr>
            </w:pPr>
            <w:r>
              <w:rPr>
                <w:sz w:val="21"/>
                <w:szCs w:val="21"/>
                <w:lang w:eastAsia="en-US"/>
              </w:rPr>
              <w:t>坐标/m</w:t>
            </w:r>
          </w:p>
        </w:tc>
        <w:tc>
          <w:tcPr>
            <w:tcW w:w="0" w:type="auto"/>
            <w:vMerge w:val="restart"/>
            <w:vAlign w:val="center"/>
          </w:tcPr>
          <w:p w14:paraId="461F77B8">
            <w:pPr>
              <w:widowControl w:val="0"/>
              <w:adjustRightInd w:val="0"/>
              <w:snapToGrid w:val="0"/>
              <w:spacing w:line="240" w:lineRule="auto"/>
              <w:jc w:val="center"/>
              <w:rPr>
                <w:sz w:val="21"/>
                <w:szCs w:val="21"/>
                <w:lang w:eastAsia="en-US"/>
              </w:rPr>
            </w:pPr>
            <w:r>
              <w:rPr>
                <w:sz w:val="21"/>
                <w:szCs w:val="21"/>
                <w:lang w:eastAsia="en-US"/>
              </w:rPr>
              <w:t>保护要求</w:t>
            </w:r>
          </w:p>
        </w:tc>
        <w:tc>
          <w:tcPr>
            <w:tcW w:w="0" w:type="auto"/>
            <w:vMerge w:val="restart"/>
            <w:vAlign w:val="center"/>
          </w:tcPr>
          <w:p w14:paraId="496309F8">
            <w:pPr>
              <w:widowControl w:val="0"/>
              <w:adjustRightInd w:val="0"/>
              <w:snapToGrid w:val="0"/>
              <w:spacing w:line="240" w:lineRule="auto"/>
              <w:jc w:val="center"/>
              <w:rPr>
                <w:sz w:val="21"/>
                <w:szCs w:val="21"/>
                <w:lang w:eastAsia="en-US"/>
              </w:rPr>
            </w:pPr>
            <w:r>
              <w:rPr>
                <w:sz w:val="21"/>
                <w:szCs w:val="21"/>
                <w:lang w:eastAsia="en-US"/>
              </w:rPr>
              <w:t>相对厂区方位</w:t>
            </w:r>
          </w:p>
        </w:tc>
        <w:tc>
          <w:tcPr>
            <w:tcW w:w="0" w:type="auto"/>
            <w:vMerge w:val="restart"/>
            <w:vAlign w:val="center"/>
          </w:tcPr>
          <w:p w14:paraId="06B9E803">
            <w:pPr>
              <w:widowControl w:val="0"/>
              <w:adjustRightInd w:val="0"/>
              <w:snapToGrid w:val="0"/>
              <w:spacing w:line="240" w:lineRule="auto"/>
              <w:jc w:val="center"/>
              <w:rPr>
                <w:sz w:val="21"/>
                <w:szCs w:val="21"/>
                <w:lang w:eastAsia="en-US"/>
              </w:rPr>
            </w:pPr>
            <w:r>
              <w:rPr>
                <w:sz w:val="21"/>
                <w:szCs w:val="21"/>
                <w:lang w:eastAsia="en-US"/>
              </w:rPr>
              <w:t>相对厂址距离/m</w:t>
            </w:r>
          </w:p>
        </w:tc>
        <w:tc>
          <w:tcPr>
            <w:tcW w:w="0" w:type="auto"/>
            <w:vMerge w:val="restart"/>
            <w:vAlign w:val="center"/>
          </w:tcPr>
          <w:p w14:paraId="23A4CE55">
            <w:pPr>
              <w:widowControl w:val="0"/>
              <w:adjustRightInd w:val="0"/>
              <w:snapToGrid w:val="0"/>
              <w:spacing w:line="240" w:lineRule="auto"/>
              <w:jc w:val="center"/>
              <w:rPr>
                <w:sz w:val="21"/>
                <w:szCs w:val="21"/>
                <w:lang w:eastAsia="en-US"/>
              </w:rPr>
            </w:pPr>
            <w:r>
              <w:rPr>
                <w:sz w:val="21"/>
                <w:szCs w:val="21"/>
                <w:lang w:eastAsia="en-US"/>
              </w:rPr>
              <w:t>相对厂址高差/m</w:t>
            </w:r>
          </w:p>
        </w:tc>
        <w:tc>
          <w:tcPr>
            <w:tcW w:w="0" w:type="auto"/>
            <w:vMerge w:val="restart"/>
            <w:vAlign w:val="center"/>
          </w:tcPr>
          <w:p w14:paraId="295C41BB">
            <w:pPr>
              <w:widowControl w:val="0"/>
              <w:adjustRightInd w:val="0"/>
              <w:snapToGrid w:val="0"/>
              <w:spacing w:line="240" w:lineRule="auto"/>
              <w:jc w:val="center"/>
              <w:rPr>
                <w:sz w:val="21"/>
                <w:szCs w:val="21"/>
                <w:lang w:eastAsia="zh-CN"/>
              </w:rPr>
            </w:pPr>
            <w:r>
              <w:rPr>
                <w:sz w:val="21"/>
                <w:szCs w:val="21"/>
                <w:lang w:eastAsia="zh-CN"/>
              </w:rPr>
              <w:t>与项目废水排放口相对距离/m</w:t>
            </w:r>
          </w:p>
        </w:tc>
        <w:tc>
          <w:tcPr>
            <w:tcW w:w="0" w:type="auto"/>
            <w:vMerge w:val="restart"/>
            <w:vAlign w:val="center"/>
          </w:tcPr>
          <w:p w14:paraId="20F106C1">
            <w:pPr>
              <w:widowControl w:val="0"/>
              <w:adjustRightInd w:val="0"/>
              <w:snapToGrid w:val="0"/>
              <w:spacing w:line="240" w:lineRule="auto"/>
              <w:jc w:val="center"/>
              <w:rPr>
                <w:sz w:val="21"/>
                <w:szCs w:val="21"/>
                <w:lang w:eastAsia="en-US"/>
              </w:rPr>
            </w:pPr>
            <w:r>
              <w:rPr>
                <w:rFonts w:hint="eastAsia"/>
                <w:sz w:val="21"/>
                <w:szCs w:val="21"/>
                <w:lang w:eastAsia="en-US"/>
              </w:rPr>
              <w:t>保护级别</w:t>
            </w:r>
          </w:p>
        </w:tc>
      </w:tr>
      <w:tr w14:paraId="3252E4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0" w:type="auto"/>
            <w:vMerge w:val="continue"/>
            <w:vAlign w:val="center"/>
          </w:tcPr>
          <w:p w14:paraId="3EEA3076">
            <w:pPr>
              <w:widowControl w:val="0"/>
              <w:adjustRightInd w:val="0"/>
              <w:snapToGrid w:val="0"/>
              <w:spacing w:line="240" w:lineRule="auto"/>
              <w:jc w:val="center"/>
              <w:rPr>
                <w:sz w:val="21"/>
                <w:szCs w:val="21"/>
                <w:lang w:eastAsia="en-US"/>
              </w:rPr>
            </w:pPr>
          </w:p>
        </w:tc>
        <w:tc>
          <w:tcPr>
            <w:tcW w:w="0" w:type="auto"/>
            <w:vAlign w:val="center"/>
          </w:tcPr>
          <w:p w14:paraId="3536C40D">
            <w:pPr>
              <w:widowControl w:val="0"/>
              <w:adjustRightInd w:val="0"/>
              <w:snapToGrid w:val="0"/>
              <w:spacing w:line="240" w:lineRule="auto"/>
              <w:jc w:val="center"/>
              <w:rPr>
                <w:sz w:val="21"/>
                <w:szCs w:val="21"/>
                <w:lang w:eastAsia="en-US"/>
              </w:rPr>
            </w:pPr>
            <w:r>
              <w:rPr>
                <w:sz w:val="21"/>
                <w:szCs w:val="21"/>
                <w:lang w:eastAsia="en-US"/>
              </w:rPr>
              <w:t>X</w:t>
            </w:r>
          </w:p>
        </w:tc>
        <w:tc>
          <w:tcPr>
            <w:tcW w:w="0" w:type="auto"/>
            <w:vAlign w:val="center"/>
          </w:tcPr>
          <w:p w14:paraId="07415224">
            <w:pPr>
              <w:widowControl w:val="0"/>
              <w:adjustRightInd w:val="0"/>
              <w:snapToGrid w:val="0"/>
              <w:spacing w:line="240" w:lineRule="auto"/>
              <w:jc w:val="center"/>
              <w:rPr>
                <w:sz w:val="21"/>
                <w:szCs w:val="21"/>
                <w:lang w:eastAsia="en-US"/>
              </w:rPr>
            </w:pPr>
            <w:r>
              <w:rPr>
                <w:sz w:val="21"/>
                <w:szCs w:val="21"/>
                <w:lang w:eastAsia="en-US"/>
              </w:rPr>
              <w:t>Y</w:t>
            </w:r>
          </w:p>
        </w:tc>
        <w:tc>
          <w:tcPr>
            <w:tcW w:w="0" w:type="auto"/>
            <w:vMerge w:val="continue"/>
            <w:vAlign w:val="center"/>
          </w:tcPr>
          <w:p w14:paraId="3C12E4C2">
            <w:pPr>
              <w:widowControl w:val="0"/>
              <w:adjustRightInd w:val="0"/>
              <w:snapToGrid w:val="0"/>
              <w:spacing w:line="240" w:lineRule="auto"/>
              <w:jc w:val="center"/>
              <w:rPr>
                <w:sz w:val="21"/>
                <w:szCs w:val="21"/>
                <w:lang w:eastAsia="en-US"/>
              </w:rPr>
            </w:pPr>
          </w:p>
        </w:tc>
        <w:tc>
          <w:tcPr>
            <w:tcW w:w="0" w:type="auto"/>
            <w:vMerge w:val="continue"/>
            <w:vAlign w:val="center"/>
          </w:tcPr>
          <w:p w14:paraId="76731788">
            <w:pPr>
              <w:widowControl w:val="0"/>
              <w:adjustRightInd w:val="0"/>
              <w:snapToGrid w:val="0"/>
              <w:spacing w:line="240" w:lineRule="auto"/>
              <w:jc w:val="center"/>
              <w:rPr>
                <w:sz w:val="21"/>
                <w:szCs w:val="21"/>
                <w:lang w:eastAsia="en-US"/>
              </w:rPr>
            </w:pPr>
          </w:p>
        </w:tc>
        <w:tc>
          <w:tcPr>
            <w:tcW w:w="0" w:type="auto"/>
            <w:vMerge w:val="continue"/>
            <w:vAlign w:val="center"/>
          </w:tcPr>
          <w:p w14:paraId="20C68E69">
            <w:pPr>
              <w:widowControl w:val="0"/>
              <w:adjustRightInd w:val="0"/>
              <w:snapToGrid w:val="0"/>
              <w:spacing w:line="240" w:lineRule="auto"/>
              <w:jc w:val="center"/>
              <w:rPr>
                <w:sz w:val="21"/>
                <w:szCs w:val="21"/>
                <w:lang w:eastAsia="en-US"/>
              </w:rPr>
            </w:pPr>
          </w:p>
        </w:tc>
        <w:tc>
          <w:tcPr>
            <w:tcW w:w="0" w:type="auto"/>
            <w:vMerge w:val="continue"/>
            <w:vAlign w:val="center"/>
          </w:tcPr>
          <w:p w14:paraId="6B8878AC">
            <w:pPr>
              <w:widowControl w:val="0"/>
              <w:adjustRightInd w:val="0"/>
              <w:snapToGrid w:val="0"/>
              <w:spacing w:line="240" w:lineRule="auto"/>
              <w:jc w:val="center"/>
              <w:rPr>
                <w:sz w:val="21"/>
                <w:szCs w:val="21"/>
                <w:lang w:eastAsia="en-US"/>
              </w:rPr>
            </w:pPr>
          </w:p>
        </w:tc>
        <w:tc>
          <w:tcPr>
            <w:tcW w:w="0" w:type="auto"/>
            <w:vMerge w:val="continue"/>
            <w:vAlign w:val="center"/>
          </w:tcPr>
          <w:p w14:paraId="3B938E3C">
            <w:pPr>
              <w:widowControl w:val="0"/>
              <w:adjustRightInd w:val="0"/>
              <w:snapToGrid w:val="0"/>
              <w:spacing w:line="240" w:lineRule="auto"/>
              <w:jc w:val="center"/>
              <w:rPr>
                <w:sz w:val="21"/>
                <w:szCs w:val="21"/>
                <w:lang w:eastAsia="en-US"/>
              </w:rPr>
            </w:pPr>
          </w:p>
        </w:tc>
        <w:tc>
          <w:tcPr>
            <w:tcW w:w="0" w:type="auto"/>
            <w:vMerge w:val="continue"/>
            <w:vAlign w:val="center"/>
          </w:tcPr>
          <w:p w14:paraId="20DD7212">
            <w:pPr>
              <w:widowControl w:val="0"/>
              <w:adjustRightInd w:val="0"/>
              <w:snapToGrid w:val="0"/>
              <w:spacing w:line="240" w:lineRule="auto"/>
              <w:jc w:val="center"/>
              <w:rPr>
                <w:sz w:val="21"/>
                <w:szCs w:val="21"/>
                <w:lang w:eastAsia="en-US"/>
              </w:rPr>
            </w:pPr>
          </w:p>
        </w:tc>
      </w:tr>
      <w:tr w14:paraId="436FC0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0" w:type="auto"/>
            <w:vAlign w:val="center"/>
          </w:tcPr>
          <w:p w14:paraId="35A66021">
            <w:pPr>
              <w:widowControl w:val="0"/>
              <w:adjustRightInd w:val="0"/>
              <w:snapToGrid w:val="0"/>
              <w:spacing w:line="240" w:lineRule="auto"/>
              <w:jc w:val="center"/>
              <w:rPr>
                <w:sz w:val="21"/>
                <w:szCs w:val="21"/>
                <w:lang w:eastAsia="en-US"/>
              </w:rPr>
            </w:pPr>
            <w:r>
              <w:rPr>
                <w:sz w:val="21"/>
                <w:szCs w:val="21"/>
                <w:lang w:eastAsia="en-US"/>
              </w:rPr>
              <w:t>评价范围内湘江水域</w:t>
            </w:r>
          </w:p>
        </w:tc>
        <w:tc>
          <w:tcPr>
            <w:tcW w:w="0" w:type="auto"/>
            <w:vAlign w:val="center"/>
          </w:tcPr>
          <w:p w14:paraId="7C9D1A7B">
            <w:pPr>
              <w:widowControl w:val="0"/>
              <w:adjustRightInd w:val="0"/>
              <w:snapToGrid w:val="0"/>
              <w:spacing w:line="240" w:lineRule="auto"/>
              <w:jc w:val="center"/>
              <w:rPr>
                <w:sz w:val="21"/>
                <w:szCs w:val="21"/>
                <w:lang w:eastAsia="en-US"/>
              </w:rPr>
            </w:pPr>
            <w:r>
              <w:rPr>
                <w:sz w:val="21"/>
                <w:szCs w:val="21"/>
                <w:lang w:eastAsia="en-US"/>
              </w:rPr>
              <w:t>3075945.84</w:t>
            </w:r>
          </w:p>
        </w:tc>
        <w:tc>
          <w:tcPr>
            <w:tcW w:w="0" w:type="auto"/>
            <w:vAlign w:val="center"/>
          </w:tcPr>
          <w:p w14:paraId="2761C104">
            <w:pPr>
              <w:widowControl w:val="0"/>
              <w:adjustRightInd w:val="0"/>
              <w:snapToGrid w:val="0"/>
              <w:spacing w:line="240" w:lineRule="auto"/>
              <w:jc w:val="center"/>
              <w:rPr>
                <w:sz w:val="21"/>
                <w:szCs w:val="21"/>
                <w:lang w:eastAsia="en-US"/>
              </w:rPr>
            </w:pPr>
            <w:r>
              <w:rPr>
                <w:sz w:val="21"/>
                <w:szCs w:val="21"/>
                <w:lang w:eastAsia="en-US"/>
              </w:rPr>
              <w:t>691350.02</w:t>
            </w:r>
          </w:p>
        </w:tc>
        <w:tc>
          <w:tcPr>
            <w:tcW w:w="0" w:type="auto"/>
            <w:vAlign w:val="center"/>
          </w:tcPr>
          <w:p w14:paraId="40B545B9">
            <w:pPr>
              <w:widowControl w:val="0"/>
              <w:adjustRightInd w:val="0"/>
              <w:snapToGrid w:val="0"/>
              <w:spacing w:line="240" w:lineRule="auto"/>
              <w:jc w:val="center"/>
              <w:rPr>
                <w:sz w:val="21"/>
                <w:szCs w:val="21"/>
                <w:lang w:eastAsia="en-US"/>
              </w:rPr>
            </w:pPr>
            <w:r>
              <w:rPr>
                <w:sz w:val="21"/>
                <w:szCs w:val="21"/>
                <w:lang w:eastAsia="en-US"/>
              </w:rPr>
              <w:t>景观娱乐用</w:t>
            </w:r>
          </w:p>
          <w:p w14:paraId="627AD35D">
            <w:pPr>
              <w:widowControl w:val="0"/>
              <w:adjustRightInd w:val="0"/>
              <w:snapToGrid w:val="0"/>
              <w:spacing w:line="240" w:lineRule="auto"/>
              <w:jc w:val="center"/>
              <w:rPr>
                <w:sz w:val="21"/>
                <w:szCs w:val="21"/>
                <w:lang w:eastAsia="en-US"/>
              </w:rPr>
            </w:pPr>
            <w:r>
              <w:rPr>
                <w:sz w:val="21"/>
                <w:szCs w:val="21"/>
                <w:lang w:eastAsia="en-US"/>
              </w:rPr>
              <w:t>水区</w:t>
            </w:r>
          </w:p>
        </w:tc>
        <w:tc>
          <w:tcPr>
            <w:tcW w:w="0" w:type="auto"/>
            <w:vAlign w:val="center"/>
          </w:tcPr>
          <w:p w14:paraId="45D2FF90">
            <w:pPr>
              <w:widowControl w:val="0"/>
              <w:adjustRightInd w:val="0"/>
              <w:snapToGrid w:val="0"/>
              <w:spacing w:line="240" w:lineRule="auto"/>
              <w:jc w:val="center"/>
              <w:rPr>
                <w:sz w:val="21"/>
                <w:szCs w:val="21"/>
                <w:lang w:eastAsia="en-US"/>
              </w:rPr>
            </w:pPr>
            <w:r>
              <w:rPr>
                <w:sz w:val="21"/>
                <w:szCs w:val="21"/>
                <w:lang w:eastAsia="en-US"/>
              </w:rPr>
              <w:t>北</w:t>
            </w:r>
          </w:p>
        </w:tc>
        <w:tc>
          <w:tcPr>
            <w:tcW w:w="0" w:type="auto"/>
            <w:vAlign w:val="center"/>
          </w:tcPr>
          <w:p w14:paraId="7FF46BE4">
            <w:pPr>
              <w:widowControl w:val="0"/>
              <w:adjustRightInd w:val="0"/>
              <w:snapToGrid w:val="0"/>
              <w:spacing w:line="240" w:lineRule="auto"/>
              <w:jc w:val="center"/>
              <w:rPr>
                <w:sz w:val="21"/>
                <w:szCs w:val="21"/>
                <w:lang w:eastAsia="en-US"/>
              </w:rPr>
            </w:pPr>
            <w:r>
              <w:rPr>
                <w:sz w:val="21"/>
                <w:szCs w:val="21"/>
                <w:lang w:eastAsia="en-US"/>
              </w:rPr>
              <w:t>3500</w:t>
            </w:r>
          </w:p>
        </w:tc>
        <w:tc>
          <w:tcPr>
            <w:tcW w:w="0" w:type="auto"/>
            <w:vAlign w:val="center"/>
          </w:tcPr>
          <w:p w14:paraId="3426778A">
            <w:pPr>
              <w:widowControl w:val="0"/>
              <w:adjustRightInd w:val="0"/>
              <w:snapToGrid w:val="0"/>
              <w:spacing w:line="240" w:lineRule="auto"/>
              <w:jc w:val="center"/>
              <w:rPr>
                <w:sz w:val="21"/>
                <w:szCs w:val="21"/>
                <w:lang w:eastAsia="en-US"/>
              </w:rPr>
            </w:pPr>
            <w:r>
              <w:rPr>
                <w:sz w:val="21"/>
                <w:szCs w:val="21"/>
                <w:lang w:eastAsia="en-US"/>
              </w:rPr>
              <w:t>-10</w:t>
            </w:r>
          </w:p>
        </w:tc>
        <w:tc>
          <w:tcPr>
            <w:tcW w:w="0" w:type="auto"/>
            <w:vAlign w:val="center"/>
          </w:tcPr>
          <w:p w14:paraId="502A97AD">
            <w:pPr>
              <w:widowControl w:val="0"/>
              <w:adjustRightInd w:val="0"/>
              <w:snapToGrid w:val="0"/>
              <w:spacing w:line="240" w:lineRule="auto"/>
              <w:jc w:val="center"/>
              <w:rPr>
                <w:sz w:val="21"/>
                <w:szCs w:val="21"/>
                <w:lang w:eastAsia="en-US"/>
              </w:rPr>
            </w:pPr>
            <w:r>
              <w:rPr>
                <w:sz w:val="21"/>
                <w:szCs w:val="21"/>
                <w:lang w:eastAsia="en-US"/>
              </w:rPr>
              <w:t>3500</w:t>
            </w:r>
          </w:p>
        </w:tc>
        <w:tc>
          <w:tcPr>
            <w:tcW w:w="0" w:type="auto"/>
            <w:vAlign w:val="center"/>
          </w:tcPr>
          <w:p w14:paraId="7DBAEC6B">
            <w:pPr>
              <w:widowControl w:val="0"/>
              <w:adjustRightInd w:val="0"/>
              <w:snapToGrid w:val="0"/>
              <w:spacing w:line="240" w:lineRule="auto"/>
              <w:jc w:val="center"/>
              <w:rPr>
                <w:sz w:val="21"/>
                <w:szCs w:val="21"/>
                <w:lang w:eastAsia="en-US"/>
              </w:rPr>
            </w:pPr>
            <w:r>
              <w:rPr>
                <w:sz w:val="21"/>
                <w:szCs w:val="21"/>
                <w:lang w:eastAsia="en-US"/>
              </w:rPr>
              <w:t>GB3838-2002</w:t>
            </w:r>
          </w:p>
          <w:p w14:paraId="760D5255">
            <w:pPr>
              <w:widowControl w:val="0"/>
              <w:adjustRightInd w:val="0"/>
              <w:snapToGrid w:val="0"/>
              <w:spacing w:line="240" w:lineRule="auto"/>
              <w:jc w:val="center"/>
              <w:rPr>
                <w:sz w:val="21"/>
                <w:szCs w:val="21"/>
                <w:lang w:eastAsia="en-US"/>
              </w:rPr>
            </w:pPr>
            <w:r>
              <w:rPr>
                <w:sz w:val="21"/>
                <w:szCs w:val="21"/>
                <w:lang w:eastAsia="en-US"/>
              </w:rPr>
              <w:t>Ⅲ类</w:t>
            </w:r>
          </w:p>
        </w:tc>
      </w:tr>
    </w:tbl>
    <w:p w14:paraId="0DC57A76">
      <w:pPr>
        <w:pStyle w:val="3"/>
        <w:numPr>
          <w:ilvl w:val="1"/>
          <w:numId w:val="0"/>
        </w:numPr>
        <w:ind w:left="567" w:leftChars="0" w:hanging="567" w:firstLineChars="0"/>
        <w:rPr>
          <w:sz w:val="28"/>
          <w:szCs w:val="28"/>
        </w:rPr>
      </w:pPr>
      <w:bookmarkStart w:id="147" w:name="_Toc13094"/>
      <w:r>
        <w:rPr>
          <w:rFonts w:hint="default" w:ascii="宋体" w:hAnsi="宋体" w:eastAsia="宋体" w:cs="宋体"/>
          <w:b/>
          <w:bCs/>
          <w:kern w:val="2"/>
          <w:sz w:val="28"/>
          <w:szCs w:val="28"/>
          <w:lang w:val="en-US" w:eastAsia="zh-CN" w:bidi="ar-SA"/>
        </w:rPr>
        <w:t>7.4</w:t>
      </w:r>
      <w:r>
        <w:rPr>
          <w:rFonts w:hint="eastAsia"/>
          <w:sz w:val="28"/>
          <w:szCs w:val="28"/>
        </w:rPr>
        <w:t>环境风险识别</w:t>
      </w:r>
      <w:bookmarkEnd w:id="147"/>
    </w:p>
    <w:p w14:paraId="168A169A">
      <w:pPr>
        <w:ind w:firstLine="492"/>
      </w:pPr>
      <w:r>
        <w:rPr>
          <w:spacing w:val="3"/>
        </w:rPr>
        <w:t>根据《建</w:t>
      </w:r>
      <w:r>
        <w:rPr>
          <w:spacing w:val="2"/>
        </w:rPr>
        <w:t>设项目环境风险评价技术导则》（</w:t>
      </w:r>
      <w:r>
        <w:rPr>
          <w:spacing w:val="1"/>
        </w:rPr>
        <w:t>HJ</w:t>
      </w:r>
      <w:r>
        <w:rPr>
          <w:spacing w:val="2"/>
        </w:rPr>
        <w:t xml:space="preserve"> </w:t>
      </w:r>
      <w:r>
        <w:rPr>
          <w:spacing w:val="1"/>
        </w:rPr>
        <w:t>169-2018</w:t>
      </w:r>
      <w:r>
        <w:rPr>
          <w:spacing w:val="3"/>
        </w:rPr>
        <w:t>）</w:t>
      </w:r>
      <w:r>
        <w:rPr>
          <w:spacing w:val="2"/>
        </w:rPr>
        <w:t>规定</w:t>
      </w:r>
      <w:r>
        <w:rPr>
          <w:spacing w:val="3"/>
        </w:rPr>
        <w:t>，</w:t>
      </w:r>
      <w:r>
        <w:rPr>
          <w:spacing w:val="2"/>
        </w:rPr>
        <w:t>风险识别包括</w:t>
      </w:r>
      <w:r>
        <w:rPr>
          <w:spacing w:val="3"/>
        </w:rPr>
        <w:t>：</w:t>
      </w:r>
      <w:r>
        <w:rPr>
          <w:spacing w:val="2"/>
        </w:rPr>
        <w:t>物</w:t>
      </w:r>
      <w:r>
        <w:rPr>
          <w:spacing w:val="10"/>
        </w:rPr>
        <w:t>质危险性识别</w:t>
      </w:r>
      <w:r>
        <w:rPr>
          <w:spacing w:val="11"/>
        </w:rPr>
        <w:t>、</w:t>
      </w:r>
      <w:r>
        <w:rPr>
          <w:spacing w:val="10"/>
        </w:rPr>
        <w:t>生产</w:t>
      </w:r>
      <w:r>
        <w:rPr>
          <w:spacing w:val="9"/>
        </w:rPr>
        <w:t>系统危险性识别</w:t>
      </w:r>
      <w:r>
        <w:rPr>
          <w:spacing w:val="11"/>
        </w:rPr>
        <w:t>、</w:t>
      </w:r>
      <w:r>
        <w:rPr>
          <w:spacing w:val="9"/>
        </w:rPr>
        <w:t>危险物质向环境转移的途径识别等。</w:t>
      </w:r>
    </w:p>
    <w:p w14:paraId="28AE1BE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7.4.1</w:t>
      </w:r>
      <w:r>
        <w:rPr>
          <w:rFonts w:hint="eastAsia"/>
        </w:rPr>
        <w:t>物质风险性识别</w:t>
      </w:r>
    </w:p>
    <w:p w14:paraId="2DF0E3F3">
      <w:pPr>
        <w:ind w:firstLine="480"/>
      </w:pPr>
      <w:r>
        <w:rPr>
          <w:rFonts w:hint="eastAsia"/>
        </w:rPr>
        <w:t>包括主要原辅材料、燃料、中间产品、副产品、最终产品、污染物、火灾和爆炸伴生/次生物等。根据上述风险源调查可知，本项目涉及的主要风险物质是乙酸乙酯、异丙醇、甲烷、矿物油，其危险特性判定见下列各表。</w:t>
      </w:r>
    </w:p>
    <w:bookmarkEnd w:id="142"/>
    <w:bookmarkEnd w:id="143"/>
    <w:bookmarkEnd w:id="144"/>
    <w:p w14:paraId="7B8D0DFD">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表7.4-1 </w:t>
      </w:r>
      <w:r>
        <w:rPr>
          <w:rFonts w:hint="eastAsia" w:ascii="宋体" w:hAnsi="宋体" w:cs="宋体"/>
          <w:b/>
          <w:bCs/>
          <w:color w:val="auto"/>
          <w:kern w:val="2"/>
          <w:sz w:val="21"/>
          <w:szCs w:val="21"/>
          <w:lang w:val="en-US" w:eastAsia="zh-CN" w:bidi="ar-SA"/>
        </w:rPr>
        <w:t xml:space="preserve">   </w:t>
      </w:r>
      <w:r>
        <w:t>乙酸乙酯的理化性质及危险特性</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1993"/>
        <w:gridCol w:w="5059"/>
      </w:tblGrid>
      <w:tr w14:paraId="056F6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Align w:val="center"/>
          </w:tcPr>
          <w:p w14:paraId="1E07B5D3">
            <w:pPr>
              <w:adjustRightInd w:val="0"/>
              <w:snapToGrid w:val="0"/>
              <w:spacing w:line="240" w:lineRule="auto"/>
              <w:jc w:val="center"/>
              <w:rPr>
                <w:sz w:val="21"/>
                <w:szCs w:val="21"/>
              </w:rPr>
            </w:pPr>
            <w:r>
              <w:rPr>
                <w:sz w:val="21"/>
                <w:szCs w:val="21"/>
              </w:rPr>
              <w:t>化学品名称</w:t>
            </w:r>
          </w:p>
        </w:tc>
        <w:tc>
          <w:tcPr>
            <w:tcW w:w="1962" w:type="dxa"/>
            <w:vAlign w:val="center"/>
          </w:tcPr>
          <w:p w14:paraId="074A9999">
            <w:pPr>
              <w:adjustRightInd w:val="0"/>
              <w:snapToGrid w:val="0"/>
              <w:spacing w:line="240" w:lineRule="auto"/>
              <w:jc w:val="center"/>
              <w:rPr>
                <w:sz w:val="21"/>
                <w:szCs w:val="21"/>
              </w:rPr>
            </w:pPr>
            <w:r>
              <w:rPr>
                <w:sz w:val="21"/>
                <w:szCs w:val="21"/>
              </w:rPr>
              <w:t>化学品中文名称</w:t>
            </w:r>
          </w:p>
        </w:tc>
        <w:tc>
          <w:tcPr>
            <w:tcW w:w="4981" w:type="dxa"/>
            <w:vAlign w:val="center"/>
          </w:tcPr>
          <w:p w14:paraId="1788AAF6">
            <w:pPr>
              <w:adjustRightInd w:val="0"/>
              <w:snapToGrid w:val="0"/>
              <w:spacing w:line="240" w:lineRule="auto"/>
              <w:jc w:val="center"/>
              <w:rPr>
                <w:sz w:val="21"/>
                <w:szCs w:val="21"/>
              </w:rPr>
            </w:pPr>
            <w:r>
              <w:rPr>
                <w:sz w:val="21"/>
                <w:szCs w:val="21"/>
              </w:rPr>
              <w:t>乙酸乙酯</w:t>
            </w:r>
          </w:p>
        </w:tc>
      </w:tr>
      <w:tr w14:paraId="1258F3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restart"/>
            <w:vAlign w:val="center"/>
          </w:tcPr>
          <w:p w14:paraId="00EAEED0">
            <w:pPr>
              <w:adjustRightInd w:val="0"/>
              <w:snapToGrid w:val="0"/>
              <w:spacing w:line="240" w:lineRule="auto"/>
              <w:jc w:val="center"/>
              <w:rPr>
                <w:sz w:val="21"/>
                <w:szCs w:val="21"/>
              </w:rPr>
            </w:pPr>
            <w:r>
              <w:rPr>
                <w:sz w:val="21"/>
                <w:szCs w:val="21"/>
              </w:rPr>
              <w:t>理化特性</w:t>
            </w:r>
          </w:p>
        </w:tc>
        <w:tc>
          <w:tcPr>
            <w:tcW w:w="1962" w:type="dxa"/>
            <w:vAlign w:val="center"/>
          </w:tcPr>
          <w:p w14:paraId="64D74397">
            <w:pPr>
              <w:adjustRightInd w:val="0"/>
              <w:snapToGrid w:val="0"/>
              <w:spacing w:line="240" w:lineRule="auto"/>
              <w:jc w:val="center"/>
              <w:rPr>
                <w:sz w:val="21"/>
                <w:szCs w:val="21"/>
              </w:rPr>
            </w:pPr>
            <w:r>
              <w:rPr>
                <w:sz w:val="21"/>
                <w:szCs w:val="21"/>
              </w:rPr>
              <w:t>外观与性状</w:t>
            </w:r>
          </w:p>
        </w:tc>
        <w:tc>
          <w:tcPr>
            <w:tcW w:w="4981" w:type="dxa"/>
            <w:vAlign w:val="center"/>
          </w:tcPr>
          <w:p w14:paraId="35FEFB86">
            <w:pPr>
              <w:adjustRightInd w:val="0"/>
              <w:snapToGrid w:val="0"/>
              <w:spacing w:line="240" w:lineRule="auto"/>
              <w:jc w:val="center"/>
              <w:rPr>
                <w:sz w:val="21"/>
                <w:szCs w:val="21"/>
              </w:rPr>
            </w:pPr>
            <w:r>
              <w:rPr>
                <w:sz w:val="21"/>
                <w:szCs w:val="21"/>
              </w:rPr>
              <w:t>无色澄清</w:t>
            </w:r>
            <w:r>
              <w:rPr>
                <w:rFonts w:hint="eastAsia"/>
                <w:sz w:val="21"/>
                <w:szCs w:val="21"/>
              </w:rPr>
              <w:t>黏稠</w:t>
            </w:r>
            <w:r>
              <w:rPr>
                <w:sz w:val="21"/>
                <w:szCs w:val="21"/>
              </w:rPr>
              <w:t>状液体</w:t>
            </w:r>
          </w:p>
        </w:tc>
      </w:tr>
      <w:tr w14:paraId="41EC91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3B871F5A">
            <w:pPr>
              <w:adjustRightInd w:val="0"/>
              <w:snapToGrid w:val="0"/>
              <w:spacing w:line="240" w:lineRule="auto"/>
              <w:jc w:val="center"/>
              <w:rPr>
                <w:sz w:val="21"/>
                <w:szCs w:val="21"/>
              </w:rPr>
            </w:pPr>
          </w:p>
        </w:tc>
        <w:tc>
          <w:tcPr>
            <w:tcW w:w="1962" w:type="dxa"/>
            <w:vAlign w:val="center"/>
          </w:tcPr>
          <w:p w14:paraId="571516D1">
            <w:pPr>
              <w:adjustRightInd w:val="0"/>
              <w:snapToGrid w:val="0"/>
              <w:spacing w:line="240" w:lineRule="auto"/>
              <w:jc w:val="center"/>
              <w:rPr>
                <w:sz w:val="21"/>
                <w:szCs w:val="21"/>
              </w:rPr>
            </w:pPr>
            <w:r>
              <w:rPr>
                <w:sz w:val="21"/>
                <w:szCs w:val="21"/>
              </w:rPr>
              <w:t>相对密度（空气=1）</w:t>
            </w:r>
          </w:p>
        </w:tc>
        <w:tc>
          <w:tcPr>
            <w:tcW w:w="4981" w:type="dxa"/>
            <w:vAlign w:val="center"/>
          </w:tcPr>
          <w:p w14:paraId="61A9BC9F">
            <w:pPr>
              <w:adjustRightInd w:val="0"/>
              <w:snapToGrid w:val="0"/>
              <w:spacing w:line="240" w:lineRule="auto"/>
              <w:jc w:val="center"/>
              <w:rPr>
                <w:sz w:val="21"/>
                <w:szCs w:val="21"/>
              </w:rPr>
            </w:pPr>
            <w:r>
              <w:rPr>
                <w:sz w:val="21"/>
                <w:szCs w:val="21"/>
              </w:rPr>
              <w:t>3.04</w:t>
            </w:r>
          </w:p>
        </w:tc>
      </w:tr>
      <w:tr w14:paraId="00E7E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6A66B7B7">
            <w:pPr>
              <w:adjustRightInd w:val="0"/>
              <w:snapToGrid w:val="0"/>
              <w:spacing w:line="240" w:lineRule="auto"/>
              <w:jc w:val="center"/>
              <w:rPr>
                <w:sz w:val="21"/>
                <w:szCs w:val="21"/>
              </w:rPr>
            </w:pPr>
          </w:p>
        </w:tc>
        <w:tc>
          <w:tcPr>
            <w:tcW w:w="1962" w:type="dxa"/>
            <w:vAlign w:val="center"/>
          </w:tcPr>
          <w:p w14:paraId="03E4A550">
            <w:pPr>
              <w:adjustRightInd w:val="0"/>
              <w:snapToGrid w:val="0"/>
              <w:spacing w:line="240" w:lineRule="auto"/>
              <w:jc w:val="center"/>
              <w:rPr>
                <w:sz w:val="21"/>
                <w:szCs w:val="21"/>
              </w:rPr>
            </w:pPr>
            <w:r>
              <w:rPr>
                <w:sz w:val="21"/>
                <w:szCs w:val="21"/>
              </w:rPr>
              <w:t>相对密度（水=1）</w:t>
            </w:r>
          </w:p>
        </w:tc>
        <w:tc>
          <w:tcPr>
            <w:tcW w:w="4981" w:type="dxa"/>
            <w:vAlign w:val="center"/>
          </w:tcPr>
          <w:p w14:paraId="2FE0722A">
            <w:pPr>
              <w:adjustRightInd w:val="0"/>
              <w:snapToGrid w:val="0"/>
              <w:spacing w:line="240" w:lineRule="auto"/>
              <w:jc w:val="center"/>
              <w:rPr>
                <w:sz w:val="21"/>
                <w:szCs w:val="21"/>
              </w:rPr>
            </w:pPr>
            <w:r>
              <w:rPr>
                <w:sz w:val="21"/>
                <w:szCs w:val="21"/>
              </w:rPr>
              <w:t>0.90</w:t>
            </w:r>
          </w:p>
        </w:tc>
      </w:tr>
      <w:tr w14:paraId="14E9BB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37196E4D">
            <w:pPr>
              <w:adjustRightInd w:val="0"/>
              <w:snapToGrid w:val="0"/>
              <w:spacing w:line="240" w:lineRule="auto"/>
              <w:jc w:val="center"/>
              <w:rPr>
                <w:sz w:val="21"/>
                <w:szCs w:val="21"/>
              </w:rPr>
            </w:pPr>
          </w:p>
        </w:tc>
        <w:tc>
          <w:tcPr>
            <w:tcW w:w="1962" w:type="dxa"/>
            <w:vAlign w:val="center"/>
          </w:tcPr>
          <w:p w14:paraId="45BF3445">
            <w:pPr>
              <w:adjustRightInd w:val="0"/>
              <w:snapToGrid w:val="0"/>
              <w:spacing w:line="240" w:lineRule="auto"/>
              <w:jc w:val="center"/>
              <w:rPr>
                <w:sz w:val="21"/>
                <w:szCs w:val="21"/>
              </w:rPr>
            </w:pPr>
            <w:r>
              <w:rPr>
                <w:sz w:val="21"/>
                <w:szCs w:val="21"/>
              </w:rPr>
              <w:t>熔点（℃）</w:t>
            </w:r>
          </w:p>
        </w:tc>
        <w:tc>
          <w:tcPr>
            <w:tcW w:w="4981" w:type="dxa"/>
            <w:vAlign w:val="center"/>
          </w:tcPr>
          <w:p w14:paraId="7EC678D9">
            <w:pPr>
              <w:adjustRightInd w:val="0"/>
              <w:snapToGrid w:val="0"/>
              <w:spacing w:line="240" w:lineRule="auto"/>
              <w:jc w:val="center"/>
              <w:rPr>
                <w:sz w:val="21"/>
                <w:szCs w:val="21"/>
              </w:rPr>
            </w:pPr>
            <w:r>
              <w:rPr>
                <w:sz w:val="21"/>
                <w:szCs w:val="21"/>
              </w:rPr>
              <w:t>—83.6</w:t>
            </w:r>
          </w:p>
        </w:tc>
      </w:tr>
      <w:tr w14:paraId="0DF4B6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36E34070">
            <w:pPr>
              <w:adjustRightInd w:val="0"/>
              <w:snapToGrid w:val="0"/>
              <w:spacing w:line="240" w:lineRule="auto"/>
              <w:jc w:val="center"/>
              <w:rPr>
                <w:sz w:val="21"/>
                <w:szCs w:val="21"/>
              </w:rPr>
            </w:pPr>
          </w:p>
        </w:tc>
        <w:tc>
          <w:tcPr>
            <w:tcW w:w="1962" w:type="dxa"/>
            <w:vAlign w:val="center"/>
          </w:tcPr>
          <w:p w14:paraId="4DC0FAB2">
            <w:pPr>
              <w:adjustRightInd w:val="0"/>
              <w:snapToGrid w:val="0"/>
              <w:spacing w:line="240" w:lineRule="auto"/>
              <w:jc w:val="center"/>
              <w:rPr>
                <w:sz w:val="21"/>
                <w:szCs w:val="21"/>
              </w:rPr>
            </w:pPr>
            <w:r>
              <w:rPr>
                <w:sz w:val="21"/>
                <w:szCs w:val="21"/>
              </w:rPr>
              <w:t>溶解性</w:t>
            </w:r>
          </w:p>
        </w:tc>
        <w:tc>
          <w:tcPr>
            <w:tcW w:w="4981" w:type="dxa"/>
            <w:vAlign w:val="center"/>
          </w:tcPr>
          <w:p w14:paraId="582C183D">
            <w:pPr>
              <w:adjustRightInd w:val="0"/>
              <w:snapToGrid w:val="0"/>
              <w:spacing w:line="240" w:lineRule="auto"/>
              <w:jc w:val="left"/>
              <w:rPr>
                <w:sz w:val="21"/>
                <w:szCs w:val="21"/>
              </w:rPr>
            </w:pPr>
            <w:r>
              <w:rPr>
                <w:sz w:val="21"/>
                <w:szCs w:val="21"/>
              </w:rPr>
              <w:t>微溶于水，溶于醇、酮、醚、氯仿等多数有机溶剂。</w:t>
            </w:r>
          </w:p>
        </w:tc>
      </w:tr>
      <w:tr w14:paraId="1994BB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restart"/>
            <w:vAlign w:val="center"/>
          </w:tcPr>
          <w:p w14:paraId="11939538">
            <w:pPr>
              <w:adjustRightInd w:val="0"/>
              <w:snapToGrid w:val="0"/>
              <w:spacing w:line="240" w:lineRule="auto"/>
              <w:jc w:val="center"/>
              <w:rPr>
                <w:sz w:val="21"/>
                <w:szCs w:val="21"/>
              </w:rPr>
            </w:pPr>
            <w:r>
              <w:rPr>
                <w:sz w:val="21"/>
                <w:szCs w:val="21"/>
              </w:rPr>
              <w:t>急救措施</w:t>
            </w:r>
          </w:p>
        </w:tc>
        <w:tc>
          <w:tcPr>
            <w:tcW w:w="1962" w:type="dxa"/>
            <w:vAlign w:val="center"/>
          </w:tcPr>
          <w:p w14:paraId="7979B5BC">
            <w:pPr>
              <w:adjustRightInd w:val="0"/>
              <w:snapToGrid w:val="0"/>
              <w:spacing w:line="240" w:lineRule="auto"/>
              <w:jc w:val="center"/>
              <w:rPr>
                <w:sz w:val="21"/>
                <w:szCs w:val="21"/>
              </w:rPr>
            </w:pPr>
            <w:r>
              <w:rPr>
                <w:sz w:val="21"/>
                <w:szCs w:val="21"/>
              </w:rPr>
              <w:t>皮肤接触</w:t>
            </w:r>
          </w:p>
        </w:tc>
        <w:tc>
          <w:tcPr>
            <w:tcW w:w="4981" w:type="dxa"/>
            <w:vAlign w:val="center"/>
          </w:tcPr>
          <w:p w14:paraId="11502F48">
            <w:pPr>
              <w:adjustRightInd w:val="0"/>
              <w:snapToGrid w:val="0"/>
              <w:spacing w:line="240" w:lineRule="auto"/>
              <w:jc w:val="left"/>
              <w:rPr>
                <w:sz w:val="21"/>
                <w:szCs w:val="21"/>
              </w:rPr>
            </w:pPr>
            <w:r>
              <w:rPr>
                <w:sz w:val="21"/>
                <w:szCs w:val="21"/>
              </w:rPr>
              <w:t>立即脱去污染的衣着，用大量流动清水冲洗至少15分钟。就医。</w:t>
            </w:r>
          </w:p>
        </w:tc>
      </w:tr>
      <w:tr w14:paraId="362CEC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61273CA7">
            <w:pPr>
              <w:adjustRightInd w:val="0"/>
              <w:snapToGrid w:val="0"/>
              <w:spacing w:line="240" w:lineRule="auto"/>
              <w:jc w:val="center"/>
              <w:rPr>
                <w:sz w:val="21"/>
                <w:szCs w:val="21"/>
              </w:rPr>
            </w:pPr>
          </w:p>
        </w:tc>
        <w:tc>
          <w:tcPr>
            <w:tcW w:w="1962" w:type="dxa"/>
            <w:vAlign w:val="center"/>
          </w:tcPr>
          <w:p w14:paraId="53E9A3E1">
            <w:pPr>
              <w:adjustRightInd w:val="0"/>
              <w:snapToGrid w:val="0"/>
              <w:spacing w:line="240" w:lineRule="auto"/>
              <w:jc w:val="center"/>
              <w:rPr>
                <w:sz w:val="21"/>
                <w:szCs w:val="21"/>
              </w:rPr>
            </w:pPr>
            <w:r>
              <w:rPr>
                <w:sz w:val="21"/>
                <w:szCs w:val="21"/>
              </w:rPr>
              <w:t>眼睛接触</w:t>
            </w:r>
          </w:p>
        </w:tc>
        <w:tc>
          <w:tcPr>
            <w:tcW w:w="4981" w:type="dxa"/>
            <w:vAlign w:val="center"/>
          </w:tcPr>
          <w:p w14:paraId="319DEFDA">
            <w:pPr>
              <w:adjustRightInd w:val="0"/>
              <w:snapToGrid w:val="0"/>
              <w:spacing w:line="240" w:lineRule="auto"/>
              <w:jc w:val="left"/>
              <w:rPr>
                <w:sz w:val="21"/>
                <w:szCs w:val="21"/>
              </w:rPr>
            </w:pPr>
            <w:r>
              <w:rPr>
                <w:sz w:val="21"/>
                <w:szCs w:val="21"/>
              </w:rPr>
              <w:t>立即提起眼睑，用大量流动清水或生理盐水彻底冲洗至少15分钟。就医。</w:t>
            </w:r>
          </w:p>
        </w:tc>
      </w:tr>
      <w:tr w14:paraId="1F1EF9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2B40EDCB">
            <w:pPr>
              <w:adjustRightInd w:val="0"/>
              <w:snapToGrid w:val="0"/>
              <w:spacing w:line="240" w:lineRule="auto"/>
              <w:jc w:val="center"/>
              <w:rPr>
                <w:sz w:val="21"/>
                <w:szCs w:val="21"/>
              </w:rPr>
            </w:pPr>
          </w:p>
        </w:tc>
        <w:tc>
          <w:tcPr>
            <w:tcW w:w="1962" w:type="dxa"/>
            <w:vAlign w:val="center"/>
          </w:tcPr>
          <w:p w14:paraId="3DEDE1FF">
            <w:pPr>
              <w:adjustRightInd w:val="0"/>
              <w:snapToGrid w:val="0"/>
              <w:spacing w:line="240" w:lineRule="auto"/>
              <w:jc w:val="center"/>
              <w:rPr>
                <w:sz w:val="21"/>
                <w:szCs w:val="21"/>
              </w:rPr>
            </w:pPr>
            <w:r>
              <w:rPr>
                <w:sz w:val="21"/>
                <w:szCs w:val="21"/>
              </w:rPr>
              <w:t>吸入</w:t>
            </w:r>
          </w:p>
        </w:tc>
        <w:tc>
          <w:tcPr>
            <w:tcW w:w="4981" w:type="dxa"/>
            <w:vAlign w:val="center"/>
          </w:tcPr>
          <w:p w14:paraId="5E876B28">
            <w:pPr>
              <w:adjustRightInd w:val="0"/>
              <w:snapToGrid w:val="0"/>
              <w:spacing w:line="240" w:lineRule="auto"/>
              <w:jc w:val="left"/>
              <w:rPr>
                <w:sz w:val="21"/>
                <w:szCs w:val="21"/>
              </w:rPr>
            </w:pPr>
            <w:r>
              <w:rPr>
                <w:sz w:val="21"/>
                <w:szCs w:val="21"/>
              </w:rPr>
              <w:t>迅速脱离现场至空气新鲜处。保持呼吸道通畅。如呼吸困难，给输氧。如呼吸停止，立即进行人工呼吸。就医。</w:t>
            </w:r>
          </w:p>
        </w:tc>
      </w:tr>
      <w:tr w14:paraId="768F66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Merge w:val="continue"/>
            <w:vAlign w:val="center"/>
          </w:tcPr>
          <w:p w14:paraId="0492AF78">
            <w:pPr>
              <w:adjustRightInd w:val="0"/>
              <w:snapToGrid w:val="0"/>
              <w:spacing w:line="240" w:lineRule="auto"/>
              <w:jc w:val="center"/>
              <w:rPr>
                <w:sz w:val="21"/>
                <w:szCs w:val="21"/>
              </w:rPr>
            </w:pPr>
          </w:p>
        </w:tc>
        <w:tc>
          <w:tcPr>
            <w:tcW w:w="1962" w:type="dxa"/>
            <w:vAlign w:val="center"/>
          </w:tcPr>
          <w:p w14:paraId="7D497207">
            <w:pPr>
              <w:adjustRightInd w:val="0"/>
              <w:snapToGrid w:val="0"/>
              <w:spacing w:line="240" w:lineRule="auto"/>
              <w:jc w:val="center"/>
              <w:rPr>
                <w:sz w:val="21"/>
                <w:szCs w:val="21"/>
              </w:rPr>
            </w:pPr>
            <w:r>
              <w:rPr>
                <w:sz w:val="21"/>
                <w:szCs w:val="21"/>
              </w:rPr>
              <w:t>食入</w:t>
            </w:r>
          </w:p>
        </w:tc>
        <w:tc>
          <w:tcPr>
            <w:tcW w:w="4981" w:type="dxa"/>
            <w:vAlign w:val="center"/>
          </w:tcPr>
          <w:p w14:paraId="5392FE8D">
            <w:pPr>
              <w:adjustRightInd w:val="0"/>
              <w:snapToGrid w:val="0"/>
              <w:spacing w:line="240" w:lineRule="auto"/>
              <w:jc w:val="left"/>
              <w:rPr>
                <w:sz w:val="21"/>
                <w:szCs w:val="21"/>
              </w:rPr>
            </w:pPr>
            <w:r>
              <w:rPr>
                <w:sz w:val="21"/>
                <w:szCs w:val="21"/>
              </w:rPr>
              <w:t>用水漱口，给饮牛奶或蛋清。就医。</w:t>
            </w:r>
          </w:p>
        </w:tc>
      </w:tr>
      <w:tr w14:paraId="49F6DE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Align w:val="center"/>
          </w:tcPr>
          <w:p w14:paraId="79BCB4A0">
            <w:pPr>
              <w:adjustRightInd w:val="0"/>
              <w:snapToGrid w:val="0"/>
              <w:spacing w:line="240" w:lineRule="auto"/>
              <w:jc w:val="center"/>
              <w:rPr>
                <w:sz w:val="21"/>
                <w:szCs w:val="21"/>
              </w:rPr>
            </w:pPr>
            <w:r>
              <w:rPr>
                <w:sz w:val="21"/>
                <w:szCs w:val="21"/>
              </w:rPr>
              <w:t>危害</w:t>
            </w:r>
          </w:p>
        </w:tc>
        <w:tc>
          <w:tcPr>
            <w:tcW w:w="6943" w:type="dxa"/>
            <w:gridSpan w:val="2"/>
            <w:vAlign w:val="center"/>
          </w:tcPr>
          <w:p w14:paraId="50547221">
            <w:pPr>
              <w:adjustRightInd w:val="0"/>
              <w:snapToGrid w:val="0"/>
              <w:spacing w:line="240" w:lineRule="auto"/>
              <w:jc w:val="left"/>
              <w:rPr>
                <w:sz w:val="21"/>
                <w:szCs w:val="21"/>
              </w:rPr>
            </w:pPr>
            <w:r>
              <w:rPr>
                <w:sz w:val="21"/>
                <w:szCs w:val="21"/>
              </w:rPr>
              <w:t>①健康危害：对眼、鼻、咽喉有刺激作用。高浓度吸入可引进行性麻醉作用，急性肺水肿，肝、肾损害。持续大量吸入，可致呼吸麻痹。误服者可产生恶心、呕吐、腹痛、腹泻等。有致敏作用，因血管神经障碍而致牙龈出血；可致湿疹样皮炎。慢性影响：长期接触本品有时可致角膜混浊、继发性贫血、白细胞增多等。</w:t>
            </w:r>
          </w:p>
          <w:p w14:paraId="36078044">
            <w:pPr>
              <w:adjustRightInd w:val="0"/>
              <w:snapToGrid w:val="0"/>
              <w:spacing w:line="240" w:lineRule="auto"/>
              <w:jc w:val="left"/>
              <w:rPr>
                <w:sz w:val="21"/>
                <w:szCs w:val="21"/>
              </w:rPr>
            </w:pPr>
            <w:r>
              <w:rPr>
                <w:sz w:val="21"/>
                <w:szCs w:val="21"/>
              </w:rPr>
              <w:t>②燃爆危险：本品易燃，具刺激性，具致敏性。</w:t>
            </w:r>
          </w:p>
          <w:p w14:paraId="07D57F08">
            <w:pPr>
              <w:adjustRightInd w:val="0"/>
              <w:snapToGrid w:val="0"/>
              <w:spacing w:line="240" w:lineRule="auto"/>
              <w:jc w:val="left"/>
              <w:rPr>
                <w:sz w:val="21"/>
                <w:szCs w:val="21"/>
              </w:rPr>
            </w:pPr>
            <w:r>
              <w:rPr>
                <w:sz w:val="21"/>
                <w:szCs w:val="21"/>
              </w:rPr>
              <w:t>③危险特性：易燃，其蒸气与空气可形成爆炸性混合物，遇明火、高热能引起燃烧爆炸。与氧化剂接触猛烈反应。其蒸气比空气重，能在较低处扩散到相当远的地方，遇火源会着火回燃。</w:t>
            </w:r>
          </w:p>
        </w:tc>
      </w:tr>
      <w:tr w14:paraId="2E456C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Align w:val="center"/>
          </w:tcPr>
          <w:p w14:paraId="242CD29E">
            <w:pPr>
              <w:adjustRightInd w:val="0"/>
              <w:snapToGrid w:val="0"/>
              <w:spacing w:line="240" w:lineRule="auto"/>
              <w:jc w:val="center"/>
              <w:rPr>
                <w:sz w:val="21"/>
                <w:szCs w:val="21"/>
              </w:rPr>
            </w:pPr>
            <w:r>
              <w:rPr>
                <w:sz w:val="21"/>
                <w:szCs w:val="21"/>
              </w:rPr>
              <w:t>急救</w:t>
            </w:r>
          </w:p>
        </w:tc>
        <w:tc>
          <w:tcPr>
            <w:tcW w:w="6943" w:type="dxa"/>
            <w:gridSpan w:val="2"/>
            <w:vAlign w:val="center"/>
          </w:tcPr>
          <w:p w14:paraId="3842898C">
            <w:pPr>
              <w:adjustRightInd w:val="0"/>
              <w:snapToGrid w:val="0"/>
              <w:spacing w:line="240" w:lineRule="auto"/>
              <w:jc w:val="left"/>
              <w:rPr>
                <w:sz w:val="21"/>
                <w:szCs w:val="21"/>
              </w:rPr>
            </w:pPr>
            <w:r>
              <w:rPr>
                <w:sz w:val="21"/>
                <w:szCs w:val="21"/>
              </w:rPr>
              <w:t>吸入：迅速脱离现场至新鲜空气处</w:t>
            </w:r>
            <w:r>
              <w:rPr>
                <w:rFonts w:hint="eastAsia"/>
                <w:sz w:val="21"/>
                <w:szCs w:val="21"/>
              </w:rPr>
              <w:t>，</w:t>
            </w:r>
            <w:r>
              <w:rPr>
                <w:sz w:val="21"/>
                <w:szCs w:val="21"/>
              </w:rPr>
              <w:t>就医。</w:t>
            </w:r>
          </w:p>
          <w:p w14:paraId="285375F9">
            <w:pPr>
              <w:adjustRightInd w:val="0"/>
              <w:snapToGrid w:val="0"/>
              <w:spacing w:line="240" w:lineRule="auto"/>
              <w:jc w:val="left"/>
              <w:rPr>
                <w:sz w:val="21"/>
                <w:szCs w:val="21"/>
              </w:rPr>
            </w:pPr>
            <w:r>
              <w:rPr>
                <w:sz w:val="21"/>
                <w:szCs w:val="21"/>
              </w:rPr>
              <w:t>误食：饮足量温水，催吐，就医。</w:t>
            </w:r>
          </w:p>
          <w:p w14:paraId="29D12A49">
            <w:pPr>
              <w:adjustRightInd w:val="0"/>
              <w:snapToGrid w:val="0"/>
              <w:spacing w:line="240" w:lineRule="auto"/>
              <w:jc w:val="left"/>
              <w:rPr>
                <w:sz w:val="21"/>
                <w:szCs w:val="21"/>
              </w:rPr>
            </w:pPr>
            <w:r>
              <w:rPr>
                <w:sz w:val="21"/>
                <w:szCs w:val="21"/>
              </w:rPr>
              <w:t>皮肤接触：脱去被污染衣着，用流动清水冲洗。</w:t>
            </w:r>
          </w:p>
          <w:p w14:paraId="4DA6A6E6">
            <w:pPr>
              <w:adjustRightInd w:val="0"/>
              <w:snapToGrid w:val="0"/>
              <w:spacing w:line="240" w:lineRule="auto"/>
              <w:jc w:val="left"/>
              <w:rPr>
                <w:sz w:val="21"/>
                <w:szCs w:val="21"/>
              </w:rPr>
            </w:pPr>
            <w:r>
              <w:rPr>
                <w:sz w:val="21"/>
                <w:szCs w:val="21"/>
              </w:rPr>
              <w:t>眼睛接触：提起眼睑，用流动清水或生理盐水冲洗。就医。</w:t>
            </w:r>
          </w:p>
        </w:tc>
      </w:tr>
      <w:tr w14:paraId="401860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Align w:val="center"/>
          </w:tcPr>
          <w:p w14:paraId="025E7A60">
            <w:pPr>
              <w:adjustRightInd w:val="0"/>
              <w:snapToGrid w:val="0"/>
              <w:spacing w:line="240" w:lineRule="auto"/>
              <w:jc w:val="center"/>
              <w:rPr>
                <w:sz w:val="21"/>
                <w:szCs w:val="21"/>
              </w:rPr>
            </w:pPr>
            <w:r>
              <w:rPr>
                <w:sz w:val="21"/>
                <w:szCs w:val="21"/>
              </w:rPr>
              <w:t>防护</w:t>
            </w:r>
          </w:p>
        </w:tc>
        <w:tc>
          <w:tcPr>
            <w:tcW w:w="6943" w:type="dxa"/>
            <w:gridSpan w:val="2"/>
            <w:vAlign w:val="center"/>
          </w:tcPr>
          <w:p w14:paraId="0616C0BF">
            <w:pPr>
              <w:adjustRightInd w:val="0"/>
              <w:snapToGrid w:val="0"/>
              <w:spacing w:line="240" w:lineRule="auto"/>
              <w:jc w:val="left"/>
              <w:rPr>
                <w:sz w:val="21"/>
                <w:szCs w:val="21"/>
              </w:rPr>
            </w:pPr>
            <w:r>
              <w:rPr>
                <w:sz w:val="21"/>
                <w:szCs w:val="21"/>
              </w:rPr>
              <w:t>眼睛接触：脱去污染的衣服，用流动清水冲洗</w:t>
            </w:r>
          </w:p>
          <w:p w14:paraId="25F67AC6">
            <w:pPr>
              <w:adjustRightInd w:val="0"/>
              <w:snapToGrid w:val="0"/>
              <w:spacing w:line="240" w:lineRule="auto"/>
              <w:jc w:val="left"/>
              <w:rPr>
                <w:sz w:val="21"/>
                <w:szCs w:val="21"/>
              </w:rPr>
            </w:pPr>
            <w:r>
              <w:rPr>
                <w:sz w:val="21"/>
                <w:szCs w:val="21"/>
              </w:rPr>
              <w:t>皮肤接触：抬起</w:t>
            </w:r>
            <w:r>
              <w:rPr>
                <w:rFonts w:hint="eastAsia"/>
                <w:sz w:val="21"/>
                <w:szCs w:val="21"/>
              </w:rPr>
              <w:t>眼睑</w:t>
            </w:r>
            <w:r>
              <w:rPr>
                <w:sz w:val="21"/>
                <w:szCs w:val="21"/>
              </w:rPr>
              <w:t>，用流动清水或生理盐水冲洗。就医。</w:t>
            </w:r>
          </w:p>
          <w:p w14:paraId="61F07A3B">
            <w:pPr>
              <w:adjustRightInd w:val="0"/>
              <w:snapToGrid w:val="0"/>
              <w:spacing w:line="240" w:lineRule="auto"/>
              <w:jc w:val="left"/>
              <w:rPr>
                <w:sz w:val="21"/>
                <w:szCs w:val="21"/>
              </w:rPr>
            </w:pPr>
            <w:r>
              <w:rPr>
                <w:sz w:val="21"/>
                <w:szCs w:val="21"/>
              </w:rPr>
              <w:t>吸入：迅速脱离现场至空气新鲜处，就医。</w:t>
            </w:r>
          </w:p>
          <w:p w14:paraId="2F20D40B">
            <w:pPr>
              <w:adjustRightInd w:val="0"/>
              <w:snapToGrid w:val="0"/>
              <w:spacing w:line="240" w:lineRule="auto"/>
              <w:jc w:val="left"/>
              <w:rPr>
                <w:sz w:val="21"/>
                <w:szCs w:val="21"/>
              </w:rPr>
            </w:pPr>
            <w:r>
              <w:rPr>
                <w:sz w:val="21"/>
                <w:szCs w:val="21"/>
              </w:rPr>
              <w:t>误服：饮足量温水，催吐，就医</w:t>
            </w:r>
          </w:p>
        </w:tc>
      </w:tr>
      <w:tr w14:paraId="69E4F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Align w:val="center"/>
          </w:tcPr>
          <w:p w14:paraId="3A1C3C25">
            <w:pPr>
              <w:adjustRightInd w:val="0"/>
              <w:snapToGrid w:val="0"/>
              <w:spacing w:line="240" w:lineRule="auto"/>
              <w:jc w:val="center"/>
              <w:rPr>
                <w:sz w:val="21"/>
                <w:szCs w:val="21"/>
              </w:rPr>
            </w:pPr>
            <w:r>
              <w:rPr>
                <w:sz w:val="21"/>
                <w:szCs w:val="21"/>
              </w:rPr>
              <w:t>泄漏</w:t>
            </w:r>
          </w:p>
        </w:tc>
        <w:tc>
          <w:tcPr>
            <w:tcW w:w="6943" w:type="dxa"/>
            <w:gridSpan w:val="2"/>
            <w:vAlign w:val="center"/>
          </w:tcPr>
          <w:p w14:paraId="6E4865FA">
            <w:pPr>
              <w:adjustRightInd w:val="0"/>
              <w:snapToGrid w:val="0"/>
              <w:spacing w:line="240" w:lineRule="auto"/>
              <w:jc w:val="left"/>
              <w:rPr>
                <w:sz w:val="21"/>
                <w:szCs w:val="21"/>
              </w:rPr>
            </w:pPr>
            <w:r>
              <w:rPr>
                <w:sz w:val="21"/>
                <w:szCs w:val="21"/>
              </w:rPr>
              <w:t>容器发生泄漏后，应采取措施修补和堵塞裂口，制止化学品的进一步泄漏，能否成功地进行堵漏取决于几个因素：接近泄漏点的危险程度，泄漏孔的尺寸、泄漏点处实际的或潜在的压力，泄漏物质的特性</w:t>
            </w:r>
          </w:p>
        </w:tc>
      </w:tr>
      <w:tr w14:paraId="386C4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7" w:type="dxa"/>
            <w:vAlign w:val="center"/>
          </w:tcPr>
          <w:p w14:paraId="15E5CE35">
            <w:pPr>
              <w:adjustRightInd w:val="0"/>
              <w:snapToGrid w:val="0"/>
              <w:spacing w:line="240" w:lineRule="auto"/>
              <w:jc w:val="center"/>
              <w:rPr>
                <w:sz w:val="21"/>
                <w:szCs w:val="21"/>
              </w:rPr>
            </w:pPr>
            <w:r>
              <w:rPr>
                <w:sz w:val="21"/>
                <w:szCs w:val="21"/>
              </w:rPr>
              <w:t>储存运输</w:t>
            </w:r>
          </w:p>
        </w:tc>
        <w:tc>
          <w:tcPr>
            <w:tcW w:w="6943" w:type="dxa"/>
            <w:gridSpan w:val="2"/>
            <w:vAlign w:val="center"/>
          </w:tcPr>
          <w:p w14:paraId="4B929A89">
            <w:pPr>
              <w:adjustRightInd w:val="0"/>
              <w:snapToGrid w:val="0"/>
              <w:spacing w:line="240" w:lineRule="auto"/>
              <w:jc w:val="left"/>
              <w:rPr>
                <w:sz w:val="21"/>
                <w:szCs w:val="21"/>
              </w:rPr>
            </w:pPr>
            <w:r>
              <w:rPr>
                <w:sz w:val="21"/>
                <w:szCs w:val="21"/>
              </w:rPr>
              <w:t>存储于阴凉、通风的库房。远离火种、热源。库温不宜超过30℃。保持容器密封。应与氧化剂、酸类、碱金属、胺类等分开存放，切忌混储。采用防爆型照明、通风设施。禁止使用易产生火花的机械设备和工具。储区应备有泄漏应急处理设备和合适的收容材料。包装方法：小开口钢桶；小开口铝桶；螺纹口玻璃瓶、铁盖压口玻璃瓶、塑料瓶或金属桶（罐）外木板箱。螺纹口玻璃瓶、塑料瓶或镀锡薄钢板桶（罐）外满底板花格箱、纤维板箱或胶合板箱。铁路运输时应严格按照铁道部《危险货物运输规则》中的危险货物配装表进行配装。本品运输时限使用钢制企业自备罐车装运，运装前需报有关部门批准。运输时运输车辆应配备相应品种和数量的消防器材及泄漏应急处理设备。夏天最好早晚运输。运输时所使用</w:t>
            </w:r>
            <w:r>
              <w:rPr>
                <w:rFonts w:hint="eastAsia"/>
                <w:sz w:val="21"/>
                <w:szCs w:val="21"/>
              </w:rPr>
              <w:t>的</w:t>
            </w:r>
            <w:r>
              <w:rPr>
                <w:sz w:val="21"/>
                <w:szCs w:val="21"/>
              </w:rPr>
              <w:t>槽（罐）车应有接地链，槽内可设孔隔板以减少震荡产生静电。应单独运输，严禁与酸类、易燃物、有机物、氧化剂、自燃物品、遇湿易燃物品等并车混运。运输途中应防暴晒、雨淋、防高温。中途停留时应远离火种、热源、高温区。装运该物品的车辆排气管必须配备阻火装置，禁止使用易产生火花的机械设备和工具装卸。公路运输时要按照规定路线行驶，勿在居民区和人口稠密区停留。铁路运输时要禁止溜放。严禁用木船、水泥船散装运输。</w:t>
            </w:r>
          </w:p>
        </w:tc>
      </w:tr>
    </w:tbl>
    <w:p w14:paraId="6A91D64C">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表7.4-2 </w:t>
      </w:r>
      <w:r>
        <w:t xml:space="preserve"> </w:t>
      </w:r>
      <w:r>
        <w:rPr>
          <w:rFonts w:hint="eastAsia"/>
        </w:rPr>
        <w:t xml:space="preserve"> </w:t>
      </w:r>
      <w:r>
        <w:t>异丙醇的理化性质及危险特性</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4"/>
        <w:gridCol w:w="1722"/>
        <w:gridCol w:w="5476"/>
      </w:tblGrid>
      <w:tr w14:paraId="029E4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Align w:val="center"/>
          </w:tcPr>
          <w:p w14:paraId="2C182EA6">
            <w:pPr>
              <w:adjustRightInd w:val="0"/>
              <w:snapToGrid w:val="0"/>
              <w:spacing w:line="240" w:lineRule="auto"/>
              <w:jc w:val="center"/>
              <w:rPr>
                <w:sz w:val="21"/>
                <w:szCs w:val="21"/>
              </w:rPr>
            </w:pPr>
            <w:r>
              <w:rPr>
                <w:sz w:val="21"/>
                <w:szCs w:val="21"/>
              </w:rPr>
              <w:t>化学品名称</w:t>
            </w:r>
          </w:p>
        </w:tc>
        <w:tc>
          <w:tcPr>
            <w:tcW w:w="1796" w:type="dxa"/>
            <w:vAlign w:val="center"/>
          </w:tcPr>
          <w:p w14:paraId="31EDB405">
            <w:pPr>
              <w:adjustRightInd w:val="0"/>
              <w:snapToGrid w:val="0"/>
              <w:spacing w:line="240" w:lineRule="auto"/>
              <w:jc w:val="center"/>
              <w:rPr>
                <w:sz w:val="21"/>
                <w:szCs w:val="21"/>
              </w:rPr>
            </w:pPr>
            <w:r>
              <w:rPr>
                <w:sz w:val="21"/>
                <w:szCs w:val="21"/>
              </w:rPr>
              <w:t>化学品中文名称</w:t>
            </w:r>
          </w:p>
        </w:tc>
        <w:tc>
          <w:tcPr>
            <w:tcW w:w="5865" w:type="dxa"/>
            <w:vAlign w:val="center"/>
          </w:tcPr>
          <w:p w14:paraId="3EEC2286">
            <w:pPr>
              <w:adjustRightInd w:val="0"/>
              <w:snapToGrid w:val="0"/>
              <w:spacing w:line="240" w:lineRule="auto"/>
              <w:jc w:val="center"/>
              <w:rPr>
                <w:sz w:val="21"/>
                <w:szCs w:val="21"/>
              </w:rPr>
            </w:pPr>
            <w:r>
              <w:rPr>
                <w:sz w:val="21"/>
                <w:szCs w:val="21"/>
              </w:rPr>
              <w:t>异丙醇</w:t>
            </w:r>
          </w:p>
        </w:tc>
      </w:tr>
      <w:tr w14:paraId="539D3A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restart"/>
            <w:vAlign w:val="center"/>
          </w:tcPr>
          <w:p w14:paraId="7BB074F4">
            <w:pPr>
              <w:adjustRightInd w:val="0"/>
              <w:snapToGrid w:val="0"/>
              <w:spacing w:line="240" w:lineRule="auto"/>
              <w:jc w:val="center"/>
              <w:rPr>
                <w:sz w:val="21"/>
                <w:szCs w:val="21"/>
              </w:rPr>
            </w:pPr>
            <w:r>
              <w:rPr>
                <w:sz w:val="21"/>
                <w:szCs w:val="21"/>
              </w:rPr>
              <w:t>理化特性</w:t>
            </w:r>
          </w:p>
        </w:tc>
        <w:tc>
          <w:tcPr>
            <w:tcW w:w="1796" w:type="dxa"/>
            <w:vAlign w:val="center"/>
          </w:tcPr>
          <w:p w14:paraId="59A8A0A3">
            <w:pPr>
              <w:adjustRightInd w:val="0"/>
              <w:snapToGrid w:val="0"/>
              <w:spacing w:line="240" w:lineRule="auto"/>
              <w:jc w:val="center"/>
              <w:rPr>
                <w:sz w:val="21"/>
                <w:szCs w:val="21"/>
              </w:rPr>
            </w:pPr>
            <w:r>
              <w:rPr>
                <w:sz w:val="21"/>
                <w:szCs w:val="21"/>
              </w:rPr>
              <w:t>外观与性状</w:t>
            </w:r>
          </w:p>
        </w:tc>
        <w:tc>
          <w:tcPr>
            <w:tcW w:w="5865" w:type="dxa"/>
            <w:vAlign w:val="center"/>
          </w:tcPr>
          <w:p w14:paraId="631C4C75">
            <w:pPr>
              <w:adjustRightInd w:val="0"/>
              <w:snapToGrid w:val="0"/>
              <w:spacing w:line="240" w:lineRule="auto"/>
              <w:jc w:val="center"/>
              <w:rPr>
                <w:sz w:val="21"/>
                <w:szCs w:val="21"/>
              </w:rPr>
            </w:pPr>
            <w:r>
              <w:rPr>
                <w:sz w:val="21"/>
                <w:szCs w:val="21"/>
              </w:rPr>
              <w:t>无色透明具有乙醇气味的易燃性液体</w:t>
            </w:r>
          </w:p>
        </w:tc>
      </w:tr>
      <w:tr w14:paraId="7D4A13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7B4A529B">
            <w:pPr>
              <w:adjustRightInd w:val="0"/>
              <w:snapToGrid w:val="0"/>
              <w:spacing w:line="240" w:lineRule="auto"/>
              <w:jc w:val="center"/>
              <w:rPr>
                <w:sz w:val="21"/>
                <w:szCs w:val="21"/>
              </w:rPr>
            </w:pPr>
          </w:p>
        </w:tc>
        <w:tc>
          <w:tcPr>
            <w:tcW w:w="1796" w:type="dxa"/>
            <w:vAlign w:val="center"/>
          </w:tcPr>
          <w:p w14:paraId="0764913C">
            <w:pPr>
              <w:adjustRightInd w:val="0"/>
              <w:snapToGrid w:val="0"/>
              <w:spacing w:line="240" w:lineRule="auto"/>
              <w:jc w:val="center"/>
              <w:rPr>
                <w:sz w:val="21"/>
                <w:szCs w:val="21"/>
              </w:rPr>
            </w:pPr>
            <w:r>
              <w:rPr>
                <w:sz w:val="21"/>
                <w:szCs w:val="21"/>
              </w:rPr>
              <w:t>密度</w:t>
            </w:r>
          </w:p>
        </w:tc>
        <w:tc>
          <w:tcPr>
            <w:tcW w:w="5865" w:type="dxa"/>
            <w:vAlign w:val="center"/>
          </w:tcPr>
          <w:p w14:paraId="67137208">
            <w:pPr>
              <w:adjustRightInd w:val="0"/>
              <w:snapToGrid w:val="0"/>
              <w:spacing w:line="240" w:lineRule="auto"/>
              <w:jc w:val="center"/>
              <w:rPr>
                <w:sz w:val="21"/>
                <w:szCs w:val="21"/>
              </w:rPr>
            </w:pPr>
            <w:r>
              <w:rPr>
                <w:sz w:val="21"/>
                <w:szCs w:val="21"/>
              </w:rPr>
              <w:t>0.79</w:t>
            </w:r>
          </w:p>
        </w:tc>
      </w:tr>
      <w:tr w14:paraId="33D7CB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50AE7B3B">
            <w:pPr>
              <w:adjustRightInd w:val="0"/>
              <w:snapToGrid w:val="0"/>
              <w:spacing w:line="240" w:lineRule="auto"/>
              <w:jc w:val="center"/>
              <w:rPr>
                <w:sz w:val="21"/>
                <w:szCs w:val="21"/>
              </w:rPr>
            </w:pPr>
          </w:p>
        </w:tc>
        <w:tc>
          <w:tcPr>
            <w:tcW w:w="1796" w:type="dxa"/>
            <w:vAlign w:val="center"/>
          </w:tcPr>
          <w:p w14:paraId="0B496520">
            <w:pPr>
              <w:adjustRightInd w:val="0"/>
              <w:snapToGrid w:val="0"/>
              <w:spacing w:line="240" w:lineRule="auto"/>
              <w:jc w:val="center"/>
              <w:rPr>
                <w:sz w:val="21"/>
                <w:szCs w:val="21"/>
              </w:rPr>
            </w:pPr>
            <w:r>
              <w:rPr>
                <w:sz w:val="21"/>
                <w:szCs w:val="21"/>
              </w:rPr>
              <w:t>饱和蒸汽压</w:t>
            </w:r>
            <w:r>
              <w:rPr>
                <w:rFonts w:hint="eastAsia"/>
                <w:sz w:val="21"/>
                <w:szCs w:val="21"/>
              </w:rPr>
              <w:t>（</w:t>
            </w:r>
            <w:r>
              <w:rPr>
                <w:sz w:val="21"/>
                <w:szCs w:val="21"/>
              </w:rPr>
              <w:t>kPa</w:t>
            </w:r>
            <w:r>
              <w:rPr>
                <w:rFonts w:hint="eastAsia"/>
                <w:sz w:val="21"/>
                <w:szCs w:val="21"/>
              </w:rPr>
              <w:t>）</w:t>
            </w:r>
          </w:p>
        </w:tc>
        <w:tc>
          <w:tcPr>
            <w:tcW w:w="5865" w:type="dxa"/>
            <w:vAlign w:val="center"/>
          </w:tcPr>
          <w:p w14:paraId="32F02903">
            <w:pPr>
              <w:adjustRightInd w:val="0"/>
              <w:snapToGrid w:val="0"/>
              <w:spacing w:line="240" w:lineRule="auto"/>
              <w:jc w:val="center"/>
              <w:rPr>
                <w:sz w:val="21"/>
                <w:szCs w:val="21"/>
              </w:rPr>
            </w:pPr>
            <w:r>
              <w:rPr>
                <w:sz w:val="21"/>
                <w:szCs w:val="21"/>
              </w:rPr>
              <w:t>4.32</w:t>
            </w:r>
          </w:p>
        </w:tc>
      </w:tr>
      <w:tr w14:paraId="57BA6D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67F210ED">
            <w:pPr>
              <w:adjustRightInd w:val="0"/>
              <w:snapToGrid w:val="0"/>
              <w:spacing w:line="240" w:lineRule="auto"/>
              <w:jc w:val="center"/>
              <w:rPr>
                <w:sz w:val="21"/>
                <w:szCs w:val="21"/>
              </w:rPr>
            </w:pPr>
          </w:p>
        </w:tc>
        <w:tc>
          <w:tcPr>
            <w:tcW w:w="1796" w:type="dxa"/>
            <w:vAlign w:val="center"/>
          </w:tcPr>
          <w:p w14:paraId="7E17BA41">
            <w:pPr>
              <w:adjustRightInd w:val="0"/>
              <w:snapToGrid w:val="0"/>
              <w:spacing w:line="240" w:lineRule="auto"/>
              <w:jc w:val="center"/>
              <w:rPr>
                <w:sz w:val="21"/>
                <w:szCs w:val="21"/>
              </w:rPr>
            </w:pPr>
            <w:r>
              <w:rPr>
                <w:sz w:val="21"/>
                <w:szCs w:val="21"/>
              </w:rPr>
              <w:t>熔点（℃）</w:t>
            </w:r>
          </w:p>
        </w:tc>
        <w:tc>
          <w:tcPr>
            <w:tcW w:w="5865" w:type="dxa"/>
            <w:vAlign w:val="center"/>
          </w:tcPr>
          <w:p w14:paraId="0456DD37">
            <w:pPr>
              <w:adjustRightInd w:val="0"/>
              <w:snapToGrid w:val="0"/>
              <w:spacing w:line="240" w:lineRule="auto"/>
              <w:jc w:val="center"/>
              <w:rPr>
                <w:sz w:val="21"/>
                <w:szCs w:val="21"/>
              </w:rPr>
            </w:pPr>
            <w:r>
              <w:rPr>
                <w:sz w:val="21"/>
                <w:szCs w:val="21"/>
              </w:rPr>
              <w:t>—88.5</w:t>
            </w:r>
          </w:p>
        </w:tc>
      </w:tr>
      <w:tr w14:paraId="152ED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4D274339">
            <w:pPr>
              <w:adjustRightInd w:val="0"/>
              <w:snapToGrid w:val="0"/>
              <w:spacing w:line="240" w:lineRule="auto"/>
              <w:jc w:val="center"/>
              <w:rPr>
                <w:sz w:val="21"/>
                <w:szCs w:val="21"/>
              </w:rPr>
            </w:pPr>
          </w:p>
        </w:tc>
        <w:tc>
          <w:tcPr>
            <w:tcW w:w="1796" w:type="dxa"/>
            <w:vAlign w:val="center"/>
          </w:tcPr>
          <w:p w14:paraId="2D4B25E5">
            <w:pPr>
              <w:adjustRightInd w:val="0"/>
              <w:snapToGrid w:val="0"/>
              <w:spacing w:line="240" w:lineRule="auto"/>
              <w:jc w:val="center"/>
              <w:rPr>
                <w:sz w:val="21"/>
                <w:szCs w:val="21"/>
              </w:rPr>
            </w:pPr>
            <w:r>
              <w:rPr>
                <w:sz w:val="21"/>
                <w:szCs w:val="21"/>
              </w:rPr>
              <w:t>溶解性</w:t>
            </w:r>
          </w:p>
        </w:tc>
        <w:tc>
          <w:tcPr>
            <w:tcW w:w="5865" w:type="dxa"/>
            <w:vAlign w:val="center"/>
          </w:tcPr>
          <w:p w14:paraId="1C54EC43">
            <w:pPr>
              <w:adjustRightInd w:val="0"/>
              <w:snapToGrid w:val="0"/>
              <w:spacing w:line="240" w:lineRule="auto"/>
              <w:jc w:val="center"/>
              <w:rPr>
                <w:sz w:val="21"/>
                <w:szCs w:val="21"/>
              </w:rPr>
            </w:pPr>
            <w:r>
              <w:rPr>
                <w:sz w:val="21"/>
                <w:szCs w:val="21"/>
              </w:rPr>
              <w:t>溶于水，也溶于醇、醚、苯、氯仿等多数有机溶剂</w:t>
            </w:r>
          </w:p>
        </w:tc>
      </w:tr>
      <w:tr w14:paraId="243996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restart"/>
            <w:vAlign w:val="center"/>
          </w:tcPr>
          <w:p w14:paraId="3517EFD3">
            <w:pPr>
              <w:adjustRightInd w:val="0"/>
              <w:snapToGrid w:val="0"/>
              <w:spacing w:line="240" w:lineRule="auto"/>
              <w:jc w:val="center"/>
              <w:rPr>
                <w:sz w:val="21"/>
                <w:szCs w:val="21"/>
              </w:rPr>
            </w:pPr>
            <w:r>
              <w:rPr>
                <w:sz w:val="21"/>
                <w:szCs w:val="21"/>
              </w:rPr>
              <w:t>爆炸特性与消防</w:t>
            </w:r>
          </w:p>
        </w:tc>
        <w:tc>
          <w:tcPr>
            <w:tcW w:w="1796" w:type="dxa"/>
            <w:vAlign w:val="center"/>
          </w:tcPr>
          <w:p w14:paraId="5607B498">
            <w:pPr>
              <w:adjustRightInd w:val="0"/>
              <w:snapToGrid w:val="0"/>
              <w:spacing w:line="240" w:lineRule="auto"/>
              <w:jc w:val="center"/>
              <w:rPr>
                <w:sz w:val="21"/>
                <w:szCs w:val="21"/>
              </w:rPr>
            </w:pPr>
            <w:r>
              <w:rPr>
                <w:sz w:val="21"/>
                <w:szCs w:val="21"/>
              </w:rPr>
              <w:t>燃烧性</w:t>
            </w:r>
          </w:p>
        </w:tc>
        <w:tc>
          <w:tcPr>
            <w:tcW w:w="5865" w:type="dxa"/>
            <w:vAlign w:val="center"/>
          </w:tcPr>
          <w:p w14:paraId="0D574DDD">
            <w:pPr>
              <w:adjustRightInd w:val="0"/>
              <w:snapToGrid w:val="0"/>
              <w:spacing w:line="240" w:lineRule="auto"/>
              <w:jc w:val="center"/>
              <w:rPr>
                <w:sz w:val="21"/>
                <w:szCs w:val="21"/>
              </w:rPr>
            </w:pPr>
            <w:r>
              <w:rPr>
                <w:sz w:val="21"/>
                <w:szCs w:val="21"/>
              </w:rPr>
              <w:t>可燃。</w:t>
            </w:r>
          </w:p>
        </w:tc>
      </w:tr>
      <w:tr w14:paraId="07A605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385C4366">
            <w:pPr>
              <w:adjustRightInd w:val="0"/>
              <w:snapToGrid w:val="0"/>
              <w:spacing w:line="240" w:lineRule="auto"/>
              <w:jc w:val="center"/>
              <w:rPr>
                <w:sz w:val="21"/>
                <w:szCs w:val="21"/>
              </w:rPr>
            </w:pPr>
          </w:p>
        </w:tc>
        <w:tc>
          <w:tcPr>
            <w:tcW w:w="1796" w:type="dxa"/>
            <w:vAlign w:val="center"/>
          </w:tcPr>
          <w:p w14:paraId="0F6801CD">
            <w:pPr>
              <w:adjustRightInd w:val="0"/>
              <w:snapToGrid w:val="0"/>
              <w:spacing w:line="240" w:lineRule="auto"/>
              <w:jc w:val="center"/>
              <w:rPr>
                <w:sz w:val="21"/>
                <w:szCs w:val="21"/>
              </w:rPr>
            </w:pPr>
            <w:r>
              <w:rPr>
                <w:sz w:val="21"/>
                <w:szCs w:val="21"/>
              </w:rPr>
              <w:t>爆炸极限</w:t>
            </w:r>
          </w:p>
        </w:tc>
        <w:tc>
          <w:tcPr>
            <w:tcW w:w="5865" w:type="dxa"/>
            <w:vAlign w:val="center"/>
          </w:tcPr>
          <w:p w14:paraId="1EF78FBB">
            <w:pPr>
              <w:adjustRightInd w:val="0"/>
              <w:snapToGrid w:val="0"/>
              <w:spacing w:line="240" w:lineRule="auto"/>
              <w:jc w:val="center"/>
              <w:rPr>
                <w:sz w:val="21"/>
                <w:szCs w:val="21"/>
              </w:rPr>
            </w:pPr>
            <w:r>
              <w:rPr>
                <w:sz w:val="21"/>
                <w:szCs w:val="21"/>
              </w:rPr>
              <w:t>爆炸下限（%,V/V）：2爆炸上限（%,V/V）：12</w:t>
            </w:r>
          </w:p>
        </w:tc>
      </w:tr>
      <w:tr w14:paraId="58E2A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5F978EE0">
            <w:pPr>
              <w:adjustRightInd w:val="0"/>
              <w:snapToGrid w:val="0"/>
              <w:spacing w:line="240" w:lineRule="auto"/>
              <w:jc w:val="center"/>
              <w:rPr>
                <w:sz w:val="21"/>
                <w:szCs w:val="21"/>
              </w:rPr>
            </w:pPr>
          </w:p>
        </w:tc>
        <w:tc>
          <w:tcPr>
            <w:tcW w:w="1796" w:type="dxa"/>
            <w:vAlign w:val="center"/>
          </w:tcPr>
          <w:p w14:paraId="7A8D8926">
            <w:pPr>
              <w:adjustRightInd w:val="0"/>
              <w:snapToGrid w:val="0"/>
              <w:spacing w:line="240" w:lineRule="auto"/>
              <w:jc w:val="center"/>
              <w:rPr>
                <w:sz w:val="21"/>
                <w:szCs w:val="21"/>
              </w:rPr>
            </w:pPr>
            <w:r>
              <w:rPr>
                <w:sz w:val="21"/>
                <w:szCs w:val="21"/>
              </w:rPr>
              <w:t>危险特性</w:t>
            </w:r>
          </w:p>
        </w:tc>
        <w:tc>
          <w:tcPr>
            <w:tcW w:w="5865" w:type="dxa"/>
            <w:vAlign w:val="center"/>
          </w:tcPr>
          <w:p w14:paraId="2A1DADAC">
            <w:pPr>
              <w:adjustRightInd w:val="0"/>
              <w:snapToGrid w:val="0"/>
              <w:spacing w:line="240" w:lineRule="auto"/>
              <w:jc w:val="center"/>
              <w:rPr>
                <w:sz w:val="21"/>
                <w:szCs w:val="21"/>
              </w:rPr>
            </w:pPr>
            <w:r>
              <w:rPr>
                <w:sz w:val="21"/>
                <w:szCs w:val="21"/>
              </w:rPr>
              <w:t>易燃性液体</w:t>
            </w:r>
          </w:p>
        </w:tc>
      </w:tr>
      <w:tr w14:paraId="28CA65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410" w:type="dxa"/>
            <w:vMerge w:val="continue"/>
            <w:vAlign w:val="center"/>
          </w:tcPr>
          <w:p w14:paraId="54F393E2">
            <w:pPr>
              <w:adjustRightInd w:val="0"/>
              <w:snapToGrid w:val="0"/>
              <w:spacing w:line="240" w:lineRule="auto"/>
              <w:jc w:val="center"/>
              <w:rPr>
                <w:sz w:val="21"/>
                <w:szCs w:val="21"/>
              </w:rPr>
            </w:pPr>
          </w:p>
        </w:tc>
        <w:tc>
          <w:tcPr>
            <w:tcW w:w="1796" w:type="dxa"/>
            <w:vAlign w:val="center"/>
          </w:tcPr>
          <w:p w14:paraId="281CE371">
            <w:pPr>
              <w:adjustRightInd w:val="0"/>
              <w:snapToGrid w:val="0"/>
              <w:spacing w:line="240" w:lineRule="auto"/>
              <w:jc w:val="center"/>
              <w:rPr>
                <w:sz w:val="21"/>
                <w:szCs w:val="21"/>
              </w:rPr>
            </w:pPr>
            <w:r>
              <w:rPr>
                <w:sz w:val="21"/>
                <w:szCs w:val="21"/>
              </w:rPr>
              <w:t>灭火方法</w:t>
            </w:r>
          </w:p>
        </w:tc>
        <w:tc>
          <w:tcPr>
            <w:tcW w:w="5865" w:type="dxa"/>
            <w:vAlign w:val="center"/>
          </w:tcPr>
          <w:p w14:paraId="5D4FAAF1">
            <w:pPr>
              <w:adjustRightInd w:val="0"/>
              <w:snapToGrid w:val="0"/>
              <w:spacing w:line="240" w:lineRule="auto"/>
              <w:jc w:val="left"/>
              <w:rPr>
                <w:sz w:val="21"/>
                <w:szCs w:val="21"/>
              </w:rPr>
            </w:pPr>
            <w:r>
              <w:rPr>
                <w:sz w:val="21"/>
                <w:szCs w:val="21"/>
              </w:rPr>
              <w:t>消防人员必须穿全身消防服，佩戴空气呼吸器，在上风向灭火。喷水冷却燃烧罐和邻近罐，直至灭火结束。处在火场中的火罐发生异常变化或发出异常声音，须马上撤离。</w:t>
            </w:r>
          </w:p>
        </w:tc>
      </w:tr>
      <w:tr w14:paraId="0745F2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117F42CC">
            <w:pPr>
              <w:adjustRightInd w:val="0"/>
              <w:snapToGrid w:val="0"/>
              <w:spacing w:line="240" w:lineRule="auto"/>
              <w:jc w:val="center"/>
              <w:rPr>
                <w:sz w:val="21"/>
                <w:szCs w:val="21"/>
              </w:rPr>
            </w:pPr>
          </w:p>
        </w:tc>
        <w:tc>
          <w:tcPr>
            <w:tcW w:w="1796" w:type="dxa"/>
            <w:vAlign w:val="center"/>
          </w:tcPr>
          <w:p w14:paraId="56EF3BF1">
            <w:pPr>
              <w:adjustRightInd w:val="0"/>
              <w:snapToGrid w:val="0"/>
              <w:spacing w:line="240" w:lineRule="auto"/>
              <w:jc w:val="center"/>
              <w:rPr>
                <w:sz w:val="21"/>
                <w:szCs w:val="21"/>
              </w:rPr>
            </w:pPr>
            <w:r>
              <w:rPr>
                <w:sz w:val="21"/>
                <w:szCs w:val="21"/>
              </w:rPr>
              <w:t>灭火剂</w:t>
            </w:r>
          </w:p>
        </w:tc>
        <w:tc>
          <w:tcPr>
            <w:tcW w:w="5865" w:type="dxa"/>
            <w:vAlign w:val="center"/>
          </w:tcPr>
          <w:p w14:paraId="3BDAA5FD">
            <w:pPr>
              <w:adjustRightInd w:val="0"/>
              <w:snapToGrid w:val="0"/>
              <w:spacing w:line="240" w:lineRule="auto"/>
              <w:jc w:val="left"/>
              <w:rPr>
                <w:sz w:val="21"/>
                <w:szCs w:val="21"/>
              </w:rPr>
            </w:pPr>
            <w:r>
              <w:rPr>
                <w:sz w:val="21"/>
                <w:szCs w:val="21"/>
              </w:rPr>
              <w:t>泡沫、干粉、二氧化碳。</w:t>
            </w:r>
          </w:p>
        </w:tc>
      </w:tr>
      <w:tr w14:paraId="5A5EB5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restart"/>
            <w:vAlign w:val="center"/>
          </w:tcPr>
          <w:p w14:paraId="262D5D75">
            <w:pPr>
              <w:adjustRightInd w:val="0"/>
              <w:snapToGrid w:val="0"/>
              <w:spacing w:line="240" w:lineRule="auto"/>
              <w:jc w:val="center"/>
              <w:rPr>
                <w:sz w:val="21"/>
                <w:szCs w:val="21"/>
              </w:rPr>
            </w:pPr>
            <w:r>
              <w:rPr>
                <w:sz w:val="21"/>
                <w:szCs w:val="21"/>
              </w:rPr>
              <w:t>急救措施</w:t>
            </w:r>
          </w:p>
        </w:tc>
        <w:tc>
          <w:tcPr>
            <w:tcW w:w="1796" w:type="dxa"/>
            <w:vAlign w:val="center"/>
          </w:tcPr>
          <w:p w14:paraId="3FDC9FFC">
            <w:pPr>
              <w:adjustRightInd w:val="0"/>
              <w:snapToGrid w:val="0"/>
              <w:spacing w:line="240" w:lineRule="auto"/>
              <w:jc w:val="center"/>
              <w:rPr>
                <w:sz w:val="21"/>
                <w:szCs w:val="21"/>
              </w:rPr>
            </w:pPr>
            <w:r>
              <w:rPr>
                <w:sz w:val="21"/>
                <w:szCs w:val="21"/>
              </w:rPr>
              <w:t>皮肤接触</w:t>
            </w:r>
          </w:p>
        </w:tc>
        <w:tc>
          <w:tcPr>
            <w:tcW w:w="5865" w:type="dxa"/>
            <w:vAlign w:val="center"/>
          </w:tcPr>
          <w:p w14:paraId="7E957BB0">
            <w:pPr>
              <w:adjustRightInd w:val="0"/>
              <w:snapToGrid w:val="0"/>
              <w:spacing w:line="240" w:lineRule="auto"/>
              <w:jc w:val="left"/>
              <w:rPr>
                <w:sz w:val="21"/>
                <w:szCs w:val="21"/>
              </w:rPr>
            </w:pPr>
            <w:r>
              <w:rPr>
                <w:sz w:val="21"/>
                <w:szCs w:val="21"/>
              </w:rPr>
              <w:t>立即脱去污染的衣着，用大量流动清水冲洗至少15分钟。就医。</w:t>
            </w:r>
          </w:p>
        </w:tc>
      </w:tr>
      <w:tr w14:paraId="45A285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49A65950">
            <w:pPr>
              <w:adjustRightInd w:val="0"/>
              <w:snapToGrid w:val="0"/>
              <w:spacing w:line="240" w:lineRule="auto"/>
              <w:jc w:val="center"/>
              <w:rPr>
                <w:sz w:val="21"/>
                <w:szCs w:val="21"/>
              </w:rPr>
            </w:pPr>
          </w:p>
        </w:tc>
        <w:tc>
          <w:tcPr>
            <w:tcW w:w="1796" w:type="dxa"/>
            <w:vAlign w:val="center"/>
          </w:tcPr>
          <w:p w14:paraId="5A06C483">
            <w:pPr>
              <w:adjustRightInd w:val="0"/>
              <w:snapToGrid w:val="0"/>
              <w:spacing w:line="240" w:lineRule="auto"/>
              <w:jc w:val="center"/>
              <w:rPr>
                <w:sz w:val="21"/>
                <w:szCs w:val="21"/>
              </w:rPr>
            </w:pPr>
            <w:r>
              <w:rPr>
                <w:sz w:val="21"/>
                <w:szCs w:val="21"/>
              </w:rPr>
              <w:t>眼睛接触</w:t>
            </w:r>
          </w:p>
        </w:tc>
        <w:tc>
          <w:tcPr>
            <w:tcW w:w="5865" w:type="dxa"/>
            <w:vAlign w:val="center"/>
          </w:tcPr>
          <w:p w14:paraId="0443F7EC">
            <w:pPr>
              <w:adjustRightInd w:val="0"/>
              <w:snapToGrid w:val="0"/>
              <w:spacing w:line="240" w:lineRule="auto"/>
              <w:jc w:val="left"/>
              <w:rPr>
                <w:sz w:val="21"/>
                <w:szCs w:val="21"/>
              </w:rPr>
            </w:pPr>
            <w:r>
              <w:rPr>
                <w:sz w:val="21"/>
                <w:szCs w:val="21"/>
              </w:rPr>
              <w:t>立即提起眼睑，用大量流动清水或生理盐水彻底冲洗至少15分钟。就医。</w:t>
            </w:r>
          </w:p>
        </w:tc>
      </w:tr>
      <w:tr w14:paraId="7A087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674B7FBB">
            <w:pPr>
              <w:adjustRightInd w:val="0"/>
              <w:snapToGrid w:val="0"/>
              <w:spacing w:line="240" w:lineRule="auto"/>
              <w:jc w:val="center"/>
              <w:rPr>
                <w:sz w:val="21"/>
                <w:szCs w:val="21"/>
              </w:rPr>
            </w:pPr>
          </w:p>
        </w:tc>
        <w:tc>
          <w:tcPr>
            <w:tcW w:w="1796" w:type="dxa"/>
            <w:vAlign w:val="center"/>
          </w:tcPr>
          <w:p w14:paraId="417483D4">
            <w:pPr>
              <w:adjustRightInd w:val="0"/>
              <w:snapToGrid w:val="0"/>
              <w:spacing w:line="240" w:lineRule="auto"/>
              <w:jc w:val="center"/>
              <w:rPr>
                <w:sz w:val="21"/>
                <w:szCs w:val="21"/>
              </w:rPr>
            </w:pPr>
            <w:r>
              <w:rPr>
                <w:sz w:val="21"/>
                <w:szCs w:val="21"/>
              </w:rPr>
              <w:t>吸入</w:t>
            </w:r>
          </w:p>
        </w:tc>
        <w:tc>
          <w:tcPr>
            <w:tcW w:w="5865" w:type="dxa"/>
            <w:vAlign w:val="center"/>
          </w:tcPr>
          <w:p w14:paraId="7042D9D4">
            <w:pPr>
              <w:adjustRightInd w:val="0"/>
              <w:snapToGrid w:val="0"/>
              <w:spacing w:line="240" w:lineRule="auto"/>
              <w:jc w:val="left"/>
              <w:rPr>
                <w:sz w:val="21"/>
                <w:szCs w:val="21"/>
              </w:rPr>
            </w:pPr>
            <w:r>
              <w:rPr>
                <w:sz w:val="21"/>
                <w:szCs w:val="21"/>
              </w:rPr>
              <w:t>迅速脱离现场至空气新鲜处。保持呼吸道通畅。如呼吸困难，给输氧。如呼吸停止，立即进行人工呼吸。就医。</w:t>
            </w:r>
          </w:p>
        </w:tc>
      </w:tr>
      <w:tr w14:paraId="075AF8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Merge w:val="continue"/>
            <w:vAlign w:val="center"/>
          </w:tcPr>
          <w:p w14:paraId="00AD7C32">
            <w:pPr>
              <w:adjustRightInd w:val="0"/>
              <w:snapToGrid w:val="0"/>
              <w:spacing w:line="240" w:lineRule="auto"/>
              <w:jc w:val="center"/>
              <w:rPr>
                <w:sz w:val="21"/>
                <w:szCs w:val="21"/>
              </w:rPr>
            </w:pPr>
          </w:p>
        </w:tc>
        <w:tc>
          <w:tcPr>
            <w:tcW w:w="1796" w:type="dxa"/>
            <w:vAlign w:val="center"/>
          </w:tcPr>
          <w:p w14:paraId="79433CB5">
            <w:pPr>
              <w:adjustRightInd w:val="0"/>
              <w:snapToGrid w:val="0"/>
              <w:spacing w:line="240" w:lineRule="auto"/>
              <w:jc w:val="center"/>
              <w:rPr>
                <w:sz w:val="21"/>
                <w:szCs w:val="21"/>
              </w:rPr>
            </w:pPr>
            <w:r>
              <w:rPr>
                <w:sz w:val="21"/>
                <w:szCs w:val="21"/>
              </w:rPr>
              <w:t>食入</w:t>
            </w:r>
          </w:p>
        </w:tc>
        <w:tc>
          <w:tcPr>
            <w:tcW w:w="5865" w:type="dxa"/>
            <w:vAlign w:val="center"/>
          </w:tcPr>
          <w:p w14:paraId="4771FC64">
            <w:pPr>
              <w:adjustRightInd w:val="0"/>
              <w:snapToGrid w:val="0"/>
              <w:spacing w:line="240" w:lineRule="auto"/>
              <w:jc w:val="left"/>
              <w:rPr>
                <w:sz w:val="21"/>
                <w:szCs w:val="21"/>
              </w:rPr>
            </w:pPr>
            <w:r>
              <w:rPr>
                <w:sz w:val="21"/>
                <w:szCs w:val="21"/>
              </w:rPr>
              <w:t>用水漱口，给饮牛奶或蛋清。就医。</w:t>
            </w:r>
          </w:p>
        </w:tc>
      </w:tr>
      <w:tr w14:paraId="64DBC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Align w:val="center"/>
          </w:tcPr>
          <w:p w14:paraId="2A8A2E17">
            <w:pPr>
              <w:adjustRightInd w:val="0"/>
              <w:snapToGrid w:val="0"/>
              <w:spacing w:line="240" w:lineRule="auto"/>
              <w:jc w:val="center"/>
              <w:rPr>
                <w:sz w:val="21"/>
                <w:szCs w:val="21"/>
              </w:rPr>
            </w:pPr>
            <w:r>
              <w:rPr>
                <w:sz w:val="21"/>
                <w:szCs w:val="21"/>
              </w:rPr>
              <w:t>危害</w:t>
            </w:r>
          </w:p>
        </w:tc>
        <w:tc>
          <w:tcPr>
            <w:tcW w:w="7661" w:type="dxa"/>
            <w:gridSpan w:val="2"/>
            <w:vAlign w:val="center"/>
          </w:tcPr>
          <w:p w14:paraId="64DB96E8">
            <w:pPr>
              <w:adjustRightInd w:val="0"/>
              <w:snapToGrid w:val="0"/>
              <w:spacing w:line="240" w:lineRule="auto"/>
              <w:jc w:val="left"/>
              <w:rPr>
                <w:sz w:val="21"/>
                <w:szCs w:val="21"/>
              </w:rPr>
            </w:pPr>
            <w:r>
              <w:rPr>
                <w:sz w:val="21"/>
                <w:szCs w:val="21"/>
              </w:rPr>
              <w:t>毒性分级：微毒类。急性毒性：口服－大鼠LD50：5045mg/kg；口服－小鼠LC50：3600mg/kg，家兔经皮LD50为16.4ml/kg。刺激数据：眼睛－兔子：12800mg/kg。</w:t>
            </w:r>
          </w:p>
          <w:p w14:paraId="5CE46843">
            <w:pPr>
              <w:adjustRightInd w:val="0"/>
              <w:snapToGrid w:val="0"/>
              <w:spacing w:line="240" w:lineRule="auto"/>
              <w:jc w:val="left"/>
              <w:rPr>
                <w:sz w:val="21"/>
                <w:szCs w:val="21"/>
              </w:rPr>
            </w:pPr>
            <w:r>
              <w:rPr>
                <w:sz w:val="21"/>
                <w:szCs w:val="21"/>
              </w:rPr>
              <w:t>高浓度蒸气具有明显麻醉作用，对眼、呼吸道的黏膜有刺激作用，能损伤视网膜及视神经。生理作用与乙醇相似，在体内几乎无蓄积，毒性、麻醉性以及对上呼吸道黏膜的刺激都比乙醇强，但不及丙醇。接触高浓度蒸气出现头痛、倦睡以及眼、鼻、喉刺激症状。食入或吸入大量的蒸汽可引起面红、头疼、精神抑郁、恶心、昏迷等。</w:t>
            </w:r>
          </w:p>
        </w:tc>
      </w:tr>
      <w:tr w14:paraId="2623B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Align w:val="center"/>
          </w:tcPr>
          <w:p w14:paraId="439A621C">
            <w:pPr>
              <w:adjustRightInd w:val="0"/>
              <w:snapToGrid w:val="0"/>
              <w:spacing w:line="240" w:lineRule="auto"/>
              <w:jc w:val="center"/>
              <w:rPr>
                <w:sz w:val="21"/>
                <w:szCs w:val="21"/>
              </w:rPr>
            </w:pPr>
            <w:r>
              <w:rPr>
                <w:sz w:val="21"/>
                <w:szCs w:val="21"/>
              </w:rPr>
              <w:t>急救</w:t>
            </w:r>
          </w:p>
        </w:tc>
        <w:tc>
          <w:tcPr>
            <w:tcW w:w="7661" w:type="dxa"/>
            <w:gridSpan w:val="2"/>
            <w:vAlign w:val="center"/>
          </w:tcPr>
          <w:p w14:paraId="5F7F8927">
            <w:pPr>
              <w:adjustRightInd w:val="0"/>
              <w:snapToGrid w:val="0"/>
              <w:spacing w:line="240" w:lineRule="auto"/>
              <w:jc w:val="left"/>
              <w:rPr>
                <w:sz w:val="21"/>
                <w:szCs w:val="21"/>
              </w:rPr>
            </w:pPr>
            <w:r>
              <w:rPr>
                <w:sz w:val="21"/>
                <w:szCs w:val="21"/>
              </w:rPr>
              <w:t>皮肤接触：脱去被污染的衣着，用肥皂水和清水彻底冲洗皮肤。</w:t>
            </w:r>
          </w:p>
          <w:p w14:paraId="1939A90F">
            <w:pPr>
              <w:adjustRightInd w:val="0"/>
              <w:snapToGrid w:val="0"/>
              <w:spacing w:line="240" w:lineRule="auto"/>
              <w:jc w:val="left"/>
              <w:rPr>
                <w:sz w:val="21"/>
                <w:szCs w:val="21"/>
              </w:rPr>
            </w:pPr>
            <w:r>
              <w:rPr>
                <w:sz w:val="21"/>
                <w:szCs w:val="21"/>
              </w:rPr>
              <w:t>眼睛接触：提起眼睑，用流动清水或生理盐水冲洗。就医。</w:t>
            </w:r>
          </w:p>
          <w:p w14:paraId="66FE70DA">
            <w:pPr>
              <w:adjustRightInd w:val="0"/>
              <w:snapToGrid w:val="0"/>
              <w:spacing w:line="240" w:lineRule="auto"/>
              <w:jc w:val="left"/>
              <w:rPr>
                <w:sz w:val="21"/>
                <w:szCs w:val="21"/>
              </w:rPr>
            </w:pPr>
            <w:r>
              <w:rPr>
                <w:sz w:val="21"/>
                <w:szCs w:val="21"/>
              </w:rPr>
              <w:t>吸入：迅速脱离现场至空气新鲜处。保持呼吸道通畅。如呼吸困难，给输氧。如</w:t>
            </w:r>
            <w:r>
              <w:rPr>
                <w:rFonts w:hint="eastAsia"/>
                <w:sz w:val="21"/>
                <w:szCs w:val="21"/>
              </w:rPr>
              <w:t>呼</w:t>
            </w:r>
            <w:r>
              <w:rPr>
                <w:sz w:val="21"/>
                <w:szCs w:val="21"/>
              </w:rPr>
              <w:t>吸停止，立即 进行人工呼吸。就医。</w:t>
            </w:r>
          </w:p>
          <w:p w14:paraId="0DB603C6">
            <w:pPr>
              <w:adjustRightInd w:val="0"/>
              <w:snapToGrid w:val="0"/>
              <w:spacing w:line="240" w:lineRule="auto"/>
              <w:jc w:val="left"/>
              <w:rPr>
                <w:sz w:val="21"/>
                <w:szCs w:val="21"/>
              </w:rPr>
            </w:pPr>
            <w:r>
              <w:rPr>
                <w:sz w:val="21"/>
                <w:szCs w:val="21"/>
              </w:rPr>
              <w:t>食入：洗胃。就医。</w:t>
            </w:r>
          </w:p>
        </w:tc>
      </w:tr>
      <w:tr w14:paraId="6A4369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Align w:val="center"/>
          </w:tcPr>
          <w:p w14:paraId="54FAA10F">
            <w:pPr>
              <w:adjustRightInd w:val="0"/>
              <w:snapToGrid w:val="0"/>
              <w:spacing w:line="240" w:lineRule="auto"/>
              <w:jc w:val="center"/>
              <w:rPr>
                <w:sz w:val="21"/>
                <w:szCs w:val="21"/>
              </w:rPr>
            </w:pPr>
            <w:r>
              <w:rPr>
                <w:sz w:val="21"/>
                <w:szCs w:val="21"/>
              </w:rPr>
              <w:t>防护</w:t>
            </w:r>
          </w:p>
        </w:tc>
        <w:tc>
          <w:tcPr>
            <w:tcW w:w="7661" w:type="dxa"/>
            <w:gridSpan w:val="2"/>
            <w:vAlign w:val="center"/>
          </w:tcPr>
          <w:p w14:paraId="797B84ED">
            <w:pPr>
              <w:adjustRightInd w:val="0"/>
              <w:snapToGrid w:val="0"/>
              <w:spacing w:line="240" w:lineRule="auto"/>
              <w:jc w:val="left"/>
              <w:rPr>
                <w:sz w:val="21"/>
                <w:szCs w:val="21"/>
              </w:rPr>
            </w:pPr>
            <w:r>
              <w:rPr>
                <w:sz w:val="21"/>
                <w:szCs w:val="21"/>
              </w:rPr>
              <w:t>呼吸系统防护：空气中浓度超标时，应该佩戴过滤式防毒面罩</w:t>
            </w:r>
            <w:r>
              <w:rPr>
                <w:rFonts w:hint="eastAsia"/>
                <w:sz w:val="21"/>
                <w:szCs w:val="21"/>
              </w:rPr>
              <w:t>（</w:t>
            </w:r>
            <w:r>
              <w:rPr>
                <w:sz w:val="21"/>
                <w:szCs w:val="21"/>
              </w:rPr>
              <w:t>半面罩</w:t>
            </w:r>
            <w:r>
              <w:rPr>
                <w:rFonts w:hint="eastAsia"/>
                <w:sz w:val="21"/>
                <w:szCs w:val="21"/>
              </w:rPr>
              <w:t>）</w:t>
            </w:r>
            <w:r>
              <w:rPr>
                <w:sz w:val="21"/>
                <w:szCs w:val="21"/>
              </w:rPr>
              <w:t>。</w:t>
            </w:r>
          </w:p>
          <w:p w14:paraId="4757D585">
            <w:pPr>
              <w:adjustRightInd w:val="0"/>
              <w:snapToGrid w:val="0"/>
              <w:spacing w:line="240" w:lineRule="auto"/>
              <w:jc w:val="left"/>
              <w:rPr>
                <w:sz w:val="21"/>
                <w:szCs w:val="21"/>
              </w:rPr>
            </w:pPr>
            <w:r>
              <w:rPr>
                <w:sz w:val="21"/>
                <w:szCs w:val="21"/>
              </w:rPr>
              <w:t>眼睛防护：一般不需要特殊防护，高浓度接触时可戴化学安全防护眼镜。</w:t>
            </w:r>
          </w:p>
          <w:p w14:paraId="2AED7BDB">
            <w:pPr>
              <w:adjustRightInd w:val="0"/>
              <w:snapToGrid w:val="0"/>
              <w:spacing w:line="240" w:lineRule="auto"/>
              <w:jc w:val="left"/>
              <w:rPr>
                <w:sz w:val="21"/>
                <w:szCs w:val="21"/>
              </w:rPr>
            </w:pPr>
            <w:r>
              <w:rPr>
                <w:sz w:val="21"/>
                <w:szCs w:val="21"/>
              </w:rPr>
              <w:t>身体防护：穿防静电工作服。</w:t>
            </w:r>
          </w:p>
          <w:p w14:paraId="486A9FD4">
            <w:pPr>
              <w:adjustRightInd w:val="0"/>
              <w:snapToGrid w:val="0"/>
              <w:spacing w:line="240" w:lineRule="auto"/>
              <w:jc w:val="left"/>
              <w:rPr>
                <w:sz w:val="21"/>
                <w:szCs w:val="21"/>
              </w:rPr>
            </w:pPr>
            <w:r>
              <w:rPr>
                <w:sz w:val="21"/>
                <w:szCs w:val="21"/>
              </w:rPr>
              <w:t>手防护：戴乳胶手套。</w:t>
            </w:r>
          </w:p>
          <w:p w14:paraId="662FA2A9">
            <w:pPr>
              <w:adjustRightInd w:val="0"/>
              <w:snapToGrid w:val="0"/>
              <w:spacing w:line="240" w:lineRule="auto"/>
              <w:jc w:val="left"/>
              <w:rPr>
                <w:sz w:val="21"/>
                <w:szCs w:val="21"/>
              </w:rPr>
            </w:pPr>
            <w:r>
              <w:rPr>
                <w:rFonts w:hint="eastAsia"/>
                <w:sz w:val="21"/>
                <w:szCs w:val="21"/>
              </w:rPr>
              <w:t>其他</w:t>
            </w:r>
            <w:r>
              <w:rPr>
                <w:sz w:val="21"/>
                <w:szCs w:val="21"/>
              </w:rPr>
              <w:t>：工作现场严禁吸烟。保持良好的卫生习惯。</w:t>
            </w:r>
          </w:p>
        </w:tc>
      </w:tr>
      <w:tr w14:paraId="02EFAB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Align w:val="center"/>
          </w:tcPr>
          <w:p w14:paraId="1991442C">
            <w:pPr>
              <w:adjustRightInd w:val="0"/>
              <w:snapToGrid w:val="0"/>
              <w:spacing w:line="240" w:lineRule="auto"/>
              <w:jc w:val="center"/>
              <w:rPr>
                <w:sz w:val="21"/>
                <w:szCs w:val="21"/>
              </w:rPr>
            </w:pPr>
            <w:r>
              <w:rPr>
                <w:sz w:val="21"/>
                <w:szCs w:val="21"/>
              </w:rPr>
              <w:t>泄漏</w:t>
            </w:r>
          </w:p>
        </w:tc>
        <w:tc>
          <w:tcPr>
            <w:tcW w:w="7661" w:type="dxa"/>
            <w:gridSpan w:val="2"/>
            <w:vAlign w:val="center"/>
          </w:tcPr>
          <w:p w14:paraId="504F0FF5">
            <w:pPr>
              <w:adjustRightInd w:val="0"/>
              <w:snapToGrid w:val="0"/>
              <w:spacing w:line="240" w:lineRule="auto"/>
              <w:jc w:val="left"/>
              <w:rPr>
                <w:sz w:val="21"/>
                <w:szCs w:val="21"/>
              </w:rPr>
            </w:pPr>
            <w:r>
              <w:rPr>
                <w:sz w:val="21"/>
                <w:szCs w:val="21"/>
              </w:rPr>
              <w:t>迅速撤离泄漏污染区人员至安全区，并进行隔离，严格限制出入。切断火源。建议应急处理人员戴自给正压式呼吸器，穿消防防护服。尽可能切断泄漏源，防止进入下水道、排洪沟等限制性空间。小量泄漏：用砂土</w:t>
            </w:r>
            <w:r>
              <w:rPr>
                <w:rFonts w:hint="eastAsia"/>
                <w:sz w:val="21"/>
                <w:szCs w:val="21"/>
              </w:rPr>
              <w:t>或其他</w:t>
            </w:r>
            <w:r>
              <w:rPr>
                <w:sz w:val="21"/>
                <w:szCs w:val="21"/>
              </w:rPr>
              <w:t>不燃材料吸附或吸收。也可以用大量水冲洗，洗液稀释后放入废水系统。大量泄漏：构筑围堤或挖坑收容；用泡沫覆盖，降低蒸气灾害。用防爆泵转移至槽车或专用收集器内。回收或运至废物处理场所处置。</w:t>
            </w:r>
          </w:p>
        </w:tc>
      </w:tr>
      <w:tr w14:paraId="3C998D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dxa"/>
            <w:vAlign w:val="center"/>
          </w:tcPr>
          <w:p w14:paraId="4159507F">
            <w:pPr>
              <w:adjustRightInd w:val="0"/>
              <w:snapToGrid w:val="0"/>
              <w:spacing w:line="240" w:lineRule="auto"/>
              <w:jc w:val="center"/>
              <w:rPr>
                <w:sz w:val="21"/>
                <w:szCs w:val="21"/>
              </w:rPr>
            </w:pPr>
            <w:r>
              <w:rPr>
                <w:sz w:val="21"/>
                <w:szCs w:val="21"/>
              </w:rPr>
              <w:t>储存运输</w:t>
            </w:r>
          </w:p>
        </w:tc>
        <w:tc>
          <w:tcPr>
            <w:tcW w:w="7661" w:type="dxa"/>
            <w:gridSpan w:val="2"/>
            <w:vAlign w:val="center"/>
          </w:tcPr>
          <w:p w14:paraId="16AA8BF1">
            <w:pPr>
              <w:adjustRightInd w:val="0"/>
              <w:snapToGrid w:val="0"/>
              <w:spacing w:line="240" w:lineRule="auto"/>
              <w:jc w:val="left"/>
              <w:rPr>
                <w:sz w:val="21"/>
                <w:szCs w:val="21"/>
              </w:rPr>
            </w:pPr>
            <w:r>
              <w:rPr>
                <w:sz w:val="21"/>
                <w:szCs w:val="21"/>
              </w:rPr>
              <w:t>存储于阴凉、通风的库房。远离火种、热源。库温不宜超过30℃。保持容器密封。应与氧化剂、酸类、碱金属、胺类等分开存放，切忌混储。采用防爆型照明、通风设施。禁止使用易产生火花的机械设备和工具。储区应备有泄漏应急处理设备和合适的收容材料。包装方法：小开口钢桶；小开口铝桶；螺纹口玻璃瓶、铁盖压口玻璃瓶、塑料瓶或金属桶（罐）外木板箱。螺纹口玻璃瓶、塑料瓶或镀锡薄钢板桶（罐）外满底板花格箱、纤维板箱或胶合板箱。铁路运输时应严格按照铁道部《危险货物运输规则》中的危险货物配装表进行配装。本品运输时限使用钢制企业自备罐车装运，运装前需报有关部门批准。运输时运输车辆应配备相应品种和数量的消防器材及泄漏应急处理设备。夏天最好早晚运输。运输时所使用</w:t>
            </w:r>
            <w:r>
              <w:rPr>
                <w:rFonts w:hint="eastAsia"/>
                <w:sz w:val="21"/>
                <w:szCs w:val="21"/>
              </w:rPr>
              <w:t>的</w:t>
            </w:r>
            <w:r>
              <w:rPr>
                <w:sz w:val="21"/>
                <w:szCs w:val="21"/>
              </w:rPr>
              <w:t>槽（罐）车应有接地链，槽内可设孔隔板以减少震荡产生静电。应单独运输，严禁与酸类、易燃物、有机物、氧化剂、自燃物品、遇湿易燃物品等并车混运。运输途中应防暴晒、雨淋、防高温。中途停留时应远离火种、热源、高温区。装运该物品的车辆排气管必须配备阻火装置，禁止使用易产生火花的机械设备和工具装卸。公路运输时要按照规定路线行驶，勿在居民区和人口稠密区停留。铁路运输时要禁止溜放。严禁用木船、水泥船散装运输。</w:t>
            </w:r>
          </w:p>
        </w:tc>
      </w:tr>
    </w:tbl>
    <w:p w14:paraId="4D840922">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表7.4-3 </w:t>
      </w:r>
      <w:r>
        <w:rPr>
          <w:rFonts w:hint="eastAsia" w:ascii="宋体" w:hAnsi="宋体" w:cs="宋体"/>
          <w:b/>
          <w:bCs/>
          <w:color w:val="auto"/>
          <w:kern w:val="2"/>
          <w:sz w:val="21"/>
          <w:szCs w:val="21"/>
          <w:lang w:val="en-US" w:eastAsia="zh-CN" w:bidi="ar-SA"/>
        </w:rPr>
        <w:t xml:space="preserve"> </w:t>
      </w:r>
      <w:r>
        <w:rPr>
          <w:rFonts w:hint="eastAsia"/>
        </w:rPr>
        <w:t>甲烷的</w:t>
      </w:r>
      <w:r>
        <w:t>理化性质及危险特性</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2374"/>
        <w:gridCol w:w="575"/>
        <w:gridCol w:w="500"/>
        <w:gridCol w:w="1155"/>
        <w:gridCol w:w="995"/>
        <w:gridCol w:w="2504"/>
      </w:tblGrid>
      <w:tr w14:paraId="485C5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restart"/>
            <w:tcBorders>
              <w:top w:val="single" w:color="auto" w:sz="12" w:space="0"/>
              <w:left w:val="single" w:color="auto" w:sz="12" w:space="0"/>
              <w:bottom w:val="single" w:color="auto" w:sz="4" w:space="0"/>
              <w:right w:val="single" w:color="auto" w:sz="4" w:space="0"/>
            </w:tcBorders>
            <w:vAlign w:val="center"/>
          </w:tcPr>
          <w:p w14:paraId="46A675DC">
            <w:pPr>
              <w:adjustRightInd w:val="0"/>
              <w:snapToGrid w:val="0"/>
              <w:spacing w:line="240" w:lineRule="auto"/>
              <w:jc w:val="center"/>
              <w:rPr>
                <w:sz w:val="21"/>
                <w:szCs w:val="21"/>
              </w:rPr>
            </w:pPr>
            <w:r>
              <w:rPr>
                <w:sz w:val="21"/>
                <w:szCs w:val="21"/>
              </w:rPr>
              <w:t>标识</w:t>
            </w:r>
          </w:p>
        </w:tc>
        <w:tc>
          <w:tcPr>
            <w:tcW w:w="3449" w:type="dxa"/>
            <w:gridSpan w:val="3"/>
            <w:tcBorders>
              <w:top w:val="single" w:color="auto" w:sz="12" w:space="0"/>
              <w:left w:val="single" w:color="auto" w:sz="4" w:space="0"/>
              <w:bottom w:val="single" w:color="auto" w:sz="4" w:space="0"/>
              <w:right w:val="single" w:color="auto" w:sz="4" w:space="0"/>
            </w:tcBorders>
            <w:vAlign w:val="center"/>
          </w:tcPr>
          <w:p w14:paraId="3138032A">
            <w:pPr>
              <w:adjustRightInd w:val="0"/>
              <w:snapToGrid w:val="0"/>
              <w:spacing w:line="240" w:lineRule="auto"/>
              <w:jc w:val="center"/>
              <w:rPr>
                <w:sz w:val="21"/>
                <w:szCs w:val="21"/>
              </w:rPr>
            </w:pPr>
            <w:r>
              <w:rPr>
                <w:sz w:val="21"/>
                <w:szCs w:val="21"/>
              </w:rPr>
              <w:t>中文名：甲烷、沼气</w:t>
            </w:r>
          </w:p>
        </w:tc>
        <w:tc>
          <w:tcPr>
            <w:tcW w:w="4654" w:type="dxa"/>
            <w:gridSpan w:val="3"/>
            <w:tcBorders>
              <w:top w:val="single" w:color="auto" w:sz="12" w:space="0"/>
              <w:left w:val="single" w:color="auto" w:sz="4" w:space="0"/>
              <w:bottom w:val="single" w:color="auto" w:sz="4" w:space="0"/>
              <w:right w:val="single" w:color="auto" w:sz="12" w:space="0"/>
            </w:tcBorders>
            <w:vAlign w:val="center"/>
          </w:tcPr>
          <w:p w14:paraId="76BF6F89">
            <w:pPr>
              <w:adjustRightInd w:val="0"/>
              <w:snapToGrid w:val="0"/>
              <w:spacing w:line="240" w:lineRule="auto"/>
              <w:jc w:val="center"/>
              <w:rPr>
                <w:sz w:val="21"/>
                <w:szCs w:val="21"/>
              </w:rPr>
            </w:pPr>
            <w:r>
              <w:rPr>
                <w:sz w:val="21"/>
                <w:szCs w:val="21"/>
              </w:rPr>
              <w:t>英文名：methane Marsh gas</w:t>
            </w:r>
          </w:p>
        </w:tc>
      </w:tr>
      <w:tr w14:paraId="4C5DE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5AB3B3C5">
            <w:pPr>
              <w:adjustRightInd w:val="0"/>
              <w:snapToGrid w:val="0"/>
              <w:spacing w:line="240" w:lineRule="auto"/>
              <w:jc w:val="center"/>
              <w:rPr>
                <w:sz w:val="21"/>
                <w:szCs w:val="21"/>
              </w:rPr>
            </w:pPr>
          </w:p>
        </w:tc>
        <w:tc>
          <w:tcPr>
            <w:tcW w:w="2949" w:type="dxa"/>
            <w:gridSpan w:val="2"/>
            <w:tcBorders>
              <w:top w:val="single" w:color="auto" w:sz="4" w:space="0"/>
              <w:left w:val="single" w:color="auto" w:sz="4" w:space="0"/>
              <w:bottom w:val="single" w:color="auto" w:sz="4" w:space="0"/>
              <w:right w:val="single" w:color="auto" w:sz="4" w:space="0"/>
            </w:tcBorders>
            <w:vAlign w:val="center"/>
          </w:tcPr>
          <w:p w14:paraId="266081B1">
            <w:pPr>
              <w:adjustRightInd w:val="0"/>
              <w:snapToGrid w:val="0"/>
              <w:spacing w:line="240" w:lineRule="auto"/>
              <w:jc w:val="center"/>
              <w:rPr>
                <w:sz w:val="21"/>
                <w:szCs w:val="21"/>
              </w:rPr>
            </w:pPr>
            <w:r>
              <w:rPr>
                <w:sz w:val="21"/>
                <w:szCs w:val="21"/>
              </w:rPr>
              <w:t>分子式：CH</w:t>
            </w:r>
            <w:r>
              <w:rPr>
                <w:sz w:val="21"/>
                <w:szCs w:val="21"/>
                <w:vertAlign w:val="subscript"/>
              </w:rPr>
              <w:t>4</w:t>
            </w:r>
          </w:p>
        </w:tc>
        <w:tc>
          <w:tcPr>
            <w:tcW w:w="2650" w:type="dxa"/>
            <w:gridSpan w:val="3"/>
            <w:tcBorders>
              <w:top w:val="single" w:color="auto" w:sz="4" w:space="0"/>
              <w:left w:val="single" w:color="auto" w:sz="4" w:space="0"/>
              <w:bottom w:val="single" w:color="auto" w:sz="4" w:space="0"/>
              <w:right w:val="single" w:color="auto" w:sz="4" w:space="0"/>
            </w:tcBorders>
            <w:vAlign w:val="center"/>
          </w:tcPr>
          <w:p w14:paraId="11664AD5">
            <w:pPr>
              <w:adjustRightInd w:val="0"/>
              <w:snapToGrid w:val="0"/>
              <w:spacing w:line="240" w:lineRule="auto"/>
              <w:jc w:val="center"/>
              <w:rPr>
                <w:sz w:val="21"/>
                <w:szCs w:val="21"/>
              </w:rPr>
            </w:pPr>
            <w:r>
              <w:rPr>
                <w:sz w:val="21"/>
                <w:szCs w:val="21"/>
              </w:rPr>
              <w:t>分子量：16.04</w:t>
            </w:r>
          </w:p>
        </w:tc>
        <w:tc>
          <w:tcPr>
            <w:tcW w:w="2504" w:type="dxa"/>
            <w:tcBorders>
              <w:top w:val="single" w:color="auto" w:sz="4" w:space="0"/>
              <w:left w:val="single" w:color="auto" w:sz="4" w:space="0"/>
              <w:bottom w:val="single" w:color="auto" w:sz="4" w:space="0"/>
              <w:right w:val="single" w:color="auto" w:sz="12" w:space="0"/>
            </w:tcBorders>
            <w:vAlign w:val="center"/>
          </w:tcPr>
          <w:p w14:paraId="3BC6BF25">
            <w:pPr>
              <w:adjustRightInd w:val="0"/>
              <w:snapToGrid w:val="0"/>
              <w:spacing w:line="240" w:lineRule="auto"/>
              <w:jc w:val="center"/>
              <w:rPr>
                <w:sz w:val="21"/>
                <w:szCs w:val="21"/>
              </w:rPr>
            </w:pPr>
            <w:r>
              <w:rPr>
                <w:sz w:val="21"/>
                <w:szCs w:val="21"/>
              </w:rPr>
              <w:t>CAS号：74－82－8</w:t>
            </w:r>
          </w:p>
        </w:tc>
      </w:tr>
      <w:tr w14:paraId="684F6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3B6BE122">
            <w:pPr>
              <w:adjustRightInd w:val="0"/>
              <w:snapToGrid w:val="0"/>
              <w:spacing w:line="240" w:lineRule="auto"/>
              <w:jc w:val="center"/>
              <w:rPr>
                <w:sz w:val="21"/>
                <w:szCs w:val="21"/>
              </w:rPr>
            </w:pP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07E6323A">
            <w:pPr>
              <w:adjustRightInd w:val="0"/>
              <w:snapToGrid w:val="0"/>
              <w:spacing w:line="240" w:lineRule="auto"/>
              <w:jc w:val="center"/>
              <w:rPr>
                <w:sz w:val="21"/>
                <w:szCs w:val="21"/>
              </w:rPr>
            </w:pPr>
            <w:r>
              <w:rPr>
                <w:sz w:val="21"/>
                <w:szCs w:val="21"/>
              </w:rPr>
              <w:t>危规号：21007</w:t>
            </w:r>
          </w:p>
        </w:tc>
      </w:tr>
      <w:tr w14:paraId="7EC27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restart"/>
            <w:tcBorders>
              <w:top w:val="single" w:color="auto" w:sz="4" w:space="0"/>
              <w:left w:val="single" w:color="auto" w:sz="12" w:space="0"/>
              <w:bottom w:val="single" w:color="auto" w:sz="4" w:space="0"/>
              <w:right w:val="single" w:color="auto" w:sz="4" w:space="0"/>
            </w:tcBorders>
            <w:vAlign w:val="center"/>
          </w:tcPr>
          <w:p w14:paraId="05B6D534">
            <w:pPr>
              <w:adjustRightInd w:val="0"/>
              <w:snapToGrid w:val="0"/>
              <w:spacing w:line="240" w:lineRule="auto"/>
              <w:jc w:val="center"/>
              <w:rPr>
                <w:sz w:val="21"/>
                <w:szCs w:val="21"/>
              </w:rPr>
            </w:pPr>
            <w:r>
              <w:rPr>
                <w:sz w:val="21"/>
                <w:szCs w:val="21"/>
              </w:rPr>
              <w:t>理化性质</w:t>
            </w: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3E3A9048">
            <w:pPr>
              <w:adjustRightInd w:val="0"/>
              <w:snapToGrid w:val="0"/>
              <w:spacing w:line="240" w:lineRule="auto"/>
              <w:jc w:val="center"/>
              <w:rPr>
                <w:sz w:val="21"/>
                <w:szCs w:val="21"/>
              </w:rPr>
            </w:pPr>
            <w:r>
              <w:rPr>
                <w:sz w:val="21"/>
                <w:szCs w:val="21"/>
              </w:rPr>
              <w:t>性状： 无色无臭气体。</w:t>
            </w:r>
          </w:p>
        </w:tc>
      </w:tr>
      <w:tr w14:paraId="191E5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0FE5A6BD">
            <w:pPr>
              <w:adjustRightInd w:val="0"/>
              <w:snapToGrid w:val="0"/>
              <w:spacing w:line="240" w:lineRule="auto"/>
              <w:jc w:val="center"/>
              <w:rPr>
                <w:sz w:val="21"/>
                <w:szCs w:val="21"/>
              </w:rPr>
            </w:pP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4A9071D5">
            <w:pPr>
              <w:adjustRightInd w:val="0"/>
              <w:snapToGrid w:val="0"/>
              <w:spacing w:line="240" w:lineRule="auto"/>
              <w:jc w:val="center"/>
              <w:rPr>
                <w:sz w:val="21"/>
                <w:szCs w:val="21"/>
              </w:rPr>
            </w:pPr>
            <w:r>
              <w:rPr>
                <w:sz w:val="21"/>
                <w:szCs w:val="21"/>
              </w:rPr>
              <w:t>溶解性：微溶于水，溶于醇、乙醚。</w:t>
            </w:r>
          </w:p>
        </w:tc>
      </w:tr>
      <w:tr w14:paraId="65944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6BF54211">
            <w:pPr>
              <w:adjustRightInd w:val="0"/>
              <w:snapToGrid w:val="0"/>
              <w:spacing w:line="240" w:lineRule="auto"/>
              <w:jc w:val="center"/>
              <w:rPr>
                <w:sz w:val="21"/>
                <w:szCs w:val="21"/>
              </w:rPr>
            </w:pPr>
          </w:p>
        </w:tc>
        <w:tc>
          <w:tcPr>
            <w:tcW w:w="2374" w:type="dxa"/>
            <w:tcBorders>
              <w:top w:val="single" w:color="auto" w:sz="4" w:space="0"/>
              <w:left w:val="single" w:color="auto" w:sz="4" w:space="0"/>
              <w:bottom w:val="single" w:color="auto" w:sz="4" w:space="0"/>
              <w:right w:val="single" w:color="auto" w:sz="4" w:space="0"/>
            </w:tcBorders>
            <w:vAlign w:val="center"/>
          </w:tcPr>
          <w:p w14:paraId="4BFA2B72">
            <w:pPr>
              <w:adjustRightInd w:val="0"/>
              <w:snapToGrid w:val="0"/>
              <w:spacing w:line="240" w:lineRule="auto"/>
              <w:jc w:val="center"/>
              <w:rPr>
                <w:sz w:val="21"/>
                <w:szCs w:val="21"/>
              </w:rPr>
            </w:pPr>
            <w:r>
              <w:rPr>
                <w:sz w:val="21"/>
                <w:szCs w:val="21"/>
              </w:rPr>
              <w:t>熔点（℃）：－182.5</w:t>
            </w:r>
          </w:p>
        </w:tc>
        <w:tc>
          <w:tcPr>
            <w:tcW w:w="2230" w:type="dxa"/>
            <w:gridSpan w:val="3"/>
            <w:tcBorders>
              <w:top w:val="single" w:color="auto" w:sz="4" w:space="0"/>
              <w:left w:val="single" w:color="auto" w:sz="4" w:space="0"/>
              <w:bottom w:val="single" w:color="auto" w:sz="4" w:space="0"/>
              <w:right w:val="single" w:color="auto" w:sz="4" w:space="0"/>
            </w:tcBorders>
            <w:vAlign w:val="center"/>
          </w:tcPr>
          <w:p w14:paraId="03F2BB89">
            <w:pPr>
              <w:adjustRightInd w:val="0"/>
              <w:snapToGrid w:val="0"/>
              <w:spacing w:line="240" w:lineRule="auto"/>
              <w:jc w:val="center"/>
              <w:rPr>
                <w:sz w:val="21"/>
                <w:szCs w:val="21"/>
              </w:rPr>
            </w:pPr>
            <w:r>
              <w:rPr>
                <w:sz w:val="21"/>
                <w:szCs w:val="21"/>
              </w:rPr>
              <w:t>沸点（℃）：－161.5</w:t>
            </w:r>
          </w:p>
        </w:tc>
        <w:tc>
          <w:tcPr>
            <w:tcW w:w="3499" w:type="dxa"/>
            <w:gridSpan w:val="2"/>
            <w:tcBorders>
              <w:top w:val="single" w:color="auto" w:sz="4" w:space="0"/>
              <w:left w:val="single" w:color="auto" w:sz="4" w:space="0"/>
              <w:bottom w:val="single" w:color="auto" w:sz="4" w:space="0"/>
              <w:right w:val="single" w:color="auto" w:sz="12" w:space="0"/>
            </w:tcBorders>
            <w:vAlign w:val="center"/>
          </w:tcPr>
          <w:p w14:paraId="5F11D2EB">
            <w:pPr>
              <w:adjustRightInd w:val="0"/>
              <w:snapToGrid w:val="0"/>
              <w:spacing w:line="240" w:lineRule="auto"/>
              <w:jc w:val="center"/>
              <w:rPr>
                <w:sz w:val="21"/>
                <w:szCs w:val="21"/>
              </w:rPr>
            </w:pPr>
            <w:r>
              <w:rPr>
                <w:sz w:val="21"/>
                <w:szCs w:val="21"/>
              </w:rPr>
              <w:t>相对密度（水＝1）：0.42（－164℃）</w:t>
            </w:r>
          </w:p>
        </w:tc>
      </w:tr>
      <w:tr w14:paraId="591B8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256D25E3">
            <w:pPr>
              <w:adjustRightInd w:val="0"/>
              <w:snapToGrid w:val="0"/>
              <w:spacing w:line="240" w:lineRule="auto"/>
              <w:jc w:val="center"/>
              <w:rPr>
                <w:sz w:val="21"/>
                <w:szCs w:val="21"/>
              </w:rPr>
            </w:pPr>
          </w:p>
        </w:tc>
        <w:tc>
          <w:tcPr>
            <w:tcW w:w="2374" w:type="dxa"/>
            <w:tcBorders>
              <w:top w:val="single" w:color="auto" w:sz="4" w:space="0"/>
              <w:left w:val="single" w:color="auto" w:sz="4" w:space="0"/>
              <w:bottom w:val="single" w:color="auto" w:sz="4" w:space="0"/>
              <w:right w:val="single" w:color="auto" w:sz="4" w:space="0"/>
            </w:tcBorders>
            <w:vAlign w:val="center"/>
          </w:tcPr>
          <w:p w14:paraId="7AE93FC3">
            <w:pPr>
              <w:adjustRightInd w:val="0"/>
              <w:snapToGrid w:val="0"/>
              <w:spacing w:line="240" w:lineRule="auto"/>
              <w:jc w:val="center"/>
              <w:rPr>
                <w:sz w:val="21"/>
                <w:szCs w:val="21"/>
              </w:rPr>
            </w:pPr>
            <w:r>
              <w:rPr>
                <w:sz w:val="21"/>
                <w:szCs w:val="21"/>
              </w:rPr>
              <w:t>临界温度（℃）：－82.6</w:t>
            </w:r>
          </w:p>
        </w:tc>
        <w:tc>
          <w:tcPr>
            <w:tcW w:w="2230" w:type="dxa"/>
            <w:gridSpan w:val="3"/>
            <w:tcBorders>
              <w:top w:val="single" w:color="auto" w:sz="4" w:space="0"/>
              <w:left w:val="single" w:color="auto" w:sz="4" w:space="0"/>
              <w:bottom w:val="single" w:color="auto" w:sz="4" w:space="0"/>
              <w:right w:val="single" w:color="auto" w:sz="4" w:space="0"/>
            </w:tcBorders>
            <w:vAlign w:val="center"/>
          </w:tcPr>
          <w:p w14:paraId="61D72054">
            <w:pPr>
              <w:adjustRightInd w:val="0"/>
              <w:snapToGrid w:val="0"/>
              <w:spacing w:line="240" w:lineRule="auto"/>
              <w:jc w:val="center"/>
              <w:rPr>
                <w:sz w:val="21"/>
                <w:szCs w:val="21"/>
              </w:rPr>
            </w:pPr>
            <w:r>
              <w:rPr>
                <w:sz w:val="21"/>
                <w:szCs w:val="21"/>
              </w:rPr>
              <w:t>临界压力（MPa）：4.59</w:t>
            </w:r>
          </w:p>
        </w:tc>
        <w:tc>
          <w:tcPr>
            <w:tcW w:w="3499" w:type="dxa"/>
            <w:gridSpan w:val="2"/>
            <w:tcBorders>
              <w:top w:val="single" w:color="auto" w:sz="4" w:space="0"/>
              <w:left w:val="single" w:color="auto" w:sz="4" w:space="0"/>
              <w:bottom w:val="single" w:color="auto" w:sz="4" w:space="0"/>
              <w:right w:val="single" w:color="auto" w:sz="12" w:space="0"/>
            </w:tcBorders>
            <w:vAlign w:val="center"/>
          </w:tcPr>
          <w:p w14:paraId="0F8756DA">
            <w:pPr>
              <w:adjustRightInd w:val="0"/>
              <w:snapToGrid w:val="0"/>
              <w:spacing w:line="240" w:lineRule="auto"/>
              <w:jc w:val="center"/>
              <w:rPr>
                <w:sz w:val="21"/>
                <w:szCs w:val="21"/>
              </w:rPr>
            </w:pPr>
            <w:r>
              <w:rPr>
                <w:sz w:val="21"/>
                <w:szCs w:val="21"/>
              </w:rPr>
              <w:t>相对密度（空气＝1）：0.55</w:t>
            </w:r>
          </w:p>
        </w:tc>
      </w:tr>
      <w:tr w14:paraId="019BC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73C21064">
            <w:pPr>
              <w:adjustRightInd w:val="0"/>
              <w:snapToGrid w:val="0"/>
              <w:spacing w:line="240" w:lineRule="auto"/>
              <w:jc w:val="center"/>
              <w:rPr>
                <w:sz w:val="21"/>
                <w:szCs w:val="21"/>
              </w:rPr>
            </w:pPr>
          </w:p>
        </w:tc>
        <w:tc>
          <w:tcPr>
            <w:tcW w:w="2374" w:type="dxa"/>
            <w:tcBorders>
              <w:top w:val="single" w:color="auto" w:sz="4" w:space="0"/>
              <w:left w:val="single" w:color="auto" w:sz="4" w:space="0"/>
              <w:bottom w:val="single" w:color="auto" w:sz="4" w:space="0"/>
              <w:right w:val="single" w:color="auto" w:sz="4" w:space="0"/>
            </w:tcBorders>
            <w:vAlign w:val="center"/>
          </w:tcPr>
          <w:p w14:paraId="187493C2">
            <w:pPr>
              <w:adjustRightInd w:val="0"/>
              <w:snapToGrid w:val="0"/>
              <w:spacing w:line="240" w:lineRule="auto"/>
              <w:jc w:val="center"/>
              <w:rPr>
                <w:sz w:val="21"/>
                <w:szCs w:val="21"/>
              </w:rPr>
            </w:pPr>
            <w:r>
              <w:rPr>
                <w:sz w:val="21"/>
                <w:szCs w:val="21"/>
              </w:rPr>
              <w:t>燃烧热（KJ/mol）：889.5</w:t>
            </w:r>
          </w:p>
        </w:tc>
        <w:tc>
          <w:tcPr>
            <w:tcW w:w="2230" w:type="dxa"/>
            <w:gridSpan w:val="3"/>
            <w:tcBorders>
              <w:top w:val="single" w:color="auto" w:sz="4" w:space="0"/>
              <w:left w:val="single" w:color="auto" w:sz="4" w:space="0"/>
              <w:bottom w:val="single" w:color="auto" w:sz="4" w:space="0"/>
              <w:right w:val="single" w:color="auto" w:sz="4" w:space="0"/>
            </w:tcBorders>
            <w:vAlign w:val="center"/>
          </w:tcPr>
          <w:p w14:paraId="4B9B6467">
            <w:pPr>
              <w:adjustRightInd w:val="0"/>
              <w:snapToGrid w:val="0"/>
              <w:spacing w:line="240" w:lineRule="auto"/>
              <w:jc w:val="center"/>
              <w:rPr>
                <w:sz w:val="21"/>
                <w:szCs w:val="21"/>
              </w:rPr>
            </w:pPr>
            <w:r>
              <w:rPr>
                <w:sz w:val="21"/>
                <w:szCs w:val="21"/>
              </w:rPr>
              <w:t>最小点火能（mJ）：0.28</w:t>
            </w:r>
          </w:p>
        </w:tc>
        <w:tc>
          <w:tcPr>
            <w:tcW w:w="3499" w:type="dxa"/>
            <w:gridSpan w:val="2"/>
            <w:tcBorders>
              <w:top w:val="single" w:color="auto" w:sz="4" w:space="0"/>
              <w:left w:val="single" w:color="auto" w:sz="4" w:space="0"/>
              <w:bottom w:val="single" w:color="auto" w:sz="4" w:space="0"/>
              <w:right w:val="single" w:color="auto" w:sz="12" w:space="0"/>
            </w:tcBorders>
            <w:vAlign w:val="center"/>
          </w:tcPr>
          <w:p w14:paraId="063DCC8C">
            <w:pPr>
              <w:adjustRightInd w:val="0"/>
              <w:snapToGrid w:val="0"/>
              <w:spacing w:line="240" w:lineRule="auto"/>
              <w:jc w:val="center"/>
              <w:rPr>
                <w:sz w:val="21"/>
                <w:szCs w:val="21"/>
              </w:rPr>
            </w:pPr>
            <w:r>
              <w:rPr>
                <w:sz w:val="21"/>
                <w:szCs w:val="21"/>
              </w:rPr>
              <w:t>饱和蒸汽压（KPa）：53.32（－168.8℃）</w:t>
            </w:r>
          </w:p>
        </w:tc>
      </w:tr>
      <w:tr w14:paraId="08CD6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restart"/>
            <w:tcBorders>
              <w:top w:val="single" w:color="auto" w:sz="4" w:space="0"/>
              <w:left w:val="single" w:color="auto" w:sz="12" w:space="0"/>
              <w:bottom w:val="single" w:color="auto" w:sz="4" w:space="0"/>
              <w:right w:val="single" w:color="auto" w:sz="4" w:space="0"/>
            </w:tcBorders>
            <w:vAlign w:val="center"/>
          </w:tcPr>
          <w:p w14:paraId="07FED8AB">
            <w:pPr>
              <w:adjustRightInd w:val="0"/>
              <w:snapToGrid w:val="0"/>
              <w:spacing w:line="240" w:lineRule="auto"/>
              <w:jc w:val="center"/>
              <w:rPr>
                <w:sz w:val="21"/>
                <w:szCs w:val="21"/>
              </w:rPr>
            </w:pPr>
            <w:r>
              <w:rPr>
                <w:sz w:val="21"/>
                <w:szCs w:val="21"/>
              </w:rPr>
              <w:t>燃烧爆炸危险性</w:t>
            </w:r>
          </w:p>
        </w:tc>
        <w:tc>
          <w:tcPr>
            <w:tcW w:w="2949" w:type="dxa"/>
            <w:gridSpan w:val="2"/>
            <w:tcBorders>
              <w:top w:val="single" w:color="auto" w:sz="4" w:space="0"/>
              <w:left w:val="single" w:color="auto" w:sz="4" w:space="0"/>
              <w:bottom w:val="single" w:color="auto" w:sz="4" w:space="0"/>
              <w:right w:val="single" w:color="auto" w:sz="4" w:space="0"/>
            </w:tcBorders>
            <w:vAlign w:val="center"/>
          </w:tcPr>
          <w:p w14:paraId="425F2296">
            <w:pPr>
              <w:adjustRightInd w:val="0"/>
              <w:snapToGrid w:val="0"/>
              <w:spacing w:line="240" w:lineRule="auto"/>
              <w:jc w:val="center"/>
              <w:rPr>
                <w:sz w:val="21"/>
                <w:szCs w:val="21"/>
              </w:rPr>
            </w:pPr>
            <w:r>
              <w:rPr>
                <w:sz w:val="21"/>
                <w:szCs w:val="21"/>
              </w:rPr>
              <w:t>燃烧性：易燃</w:t>
            </w:r>
          </w:p>
        </w:tc>
        <w:tc>
          <w:tcPr>
            <w:tcW w:w="5154" w:type="dxa"/>
            <w:gridSpan w:val="4"/>
            <w:tcBorders>
              <w:top w:val="single" w:color="auto" w:sz="4" w:space="0"/>
              <w:left w:val="single" w:color="auto" w:sz="4" w:space="0"/>
              <w:bottom w:val="single" w:color="auto" w:sz="4" w:space="0"/>
              <w:right w:val="single" w:color="auto" w:sz="12" w:space="0"/>
            </w:tcBorders>
            <w:vAlign w:val="center"/>
          </w:tcPr>
          <w:p w14:paraId="6CB55AE3">
            <w:pPr>
              <w:adjustRightInd w:val="0"/>
              <w:snapToGrid w:val="0"/>
              <w:spacing w:line="240" w:lineRule="auto"/>
              <w:jc w:val="center"/>
              <w:rPr>
                <w:sz w:val="21"/>
                <w:szCs w:val="21"/>
              </w:rPr>
            </w:pPr>
            <w:r>
              <w:rPr>
                <w:sz w:val="21"/>
                <w:szCs w:val="21"/>
              </w:rPr>
              <w:t>燃烧分解产物：一氧化碳、二氧化碳</w:t>
            </w:r>
          </w:p>
        </w:tc>
      </w:tr>
      <w:tr w14:paraId="2463E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6974064F">
            <w:pPr>
              <w:adjustRightInd w:val="0"/>
              <w:snapToGrid w:val="0"/>
              <w:spacing w:line="240" w:lineRule="auto"/>
              <w:jc w:val="center"/>
              <w:rPr>
                <w:sz w:val="21"/>
                <w:szCs w:val="21"/>
              </w:rPr>
            </w:pPr>
          </w:p>
        </w:tc>
        <w:tc>
          <w:tcPr>
            <w:tcW w:w="2949" w:type="dxa"/>
            <w:gridSpan w:val="2"/>
            <w:tcBorders>
              <w:top w:val="single" w:color="auto" w:sz="4" w:space="0"/>
              <w:left w:val="single" w:color="auto" w:sz="4" w:space="0"/>
              <w:bottom w:val="single" w:color="auto" w:sz="4" w:space="0"/>
              <w:right w:val="single" w:color="auto" w:sz="4" w:space="0"/>
            </w:tcBorders>
            <w:vAlign w:val="center"/>
          </w:tcPr>
          <w:p w14:paraId="2E2170A2">
            <w:pPr>
              <w:adjustRightInd w:val="0"/>
              <w:snapToGrid w:val="0"/>
              <w:spacing w:line="240" w:lineRule="auto"/>
              <w:jc w:val="center"/>
              <w:rPr>
                <w:sz w:val="21"/>
                <w:szCs w:val="21"/>
              </w:rPr>
            </w:pPr>
            <w:r>
              <w:rPr>
                <w:sz w:val="21"/>
                <w:szCs w:val="21"/>
              </w:rPr>
              <w:t>闪点（℃）：－188</w:t>
            </w:r>
          </w:p>
        </w:tc>
        <w:tc>
          <w:tcPr>
            <w:tcW w:w="5154" w:type="dxa"/>
            <w:gridSpan w:val="4"/>
            <w:tcBorders>
              <w:top w:val="single" w:color="auto" w:sz="4" w:space="0"/>
              <w:left w:val="single" w:color="auto" w:sz="4" w:space="0"/>
              <w:bottom w:val="single" w:color="auto" w:sz="4" w:space="0"/>
              <w:right w:val="single" w:color="auto" w:sz="12" w:space="0"/>
            </w:tcBorders>
            <w:vAlign w:val="center"/>
          </w:tcPr>
          <w:p w14:paraId="07910115">
            <w:pPr>
              <w:adjustRightInd w:val="0"/>
              <w:snapToGrid w:val="0"/>
              <w:spacing w:line="240" w:lineRule="auto"/>
              <w:jc w:val="center"/>
              <w:rPr>
                <w:sz w:val="21"/>
                <w:szCs w:val="21"/>
              </w:rPr>
            </w:pPr>
            <w:r>
              <w:rPr>
                <w:sz w:val="21"/>
                <w:szCs w:val="21"/>
              </w:rPr>
              <w:t>聚合危害：不聚合</w:t>
            </w:r>
          </w:p>
        </w:tc>
      </w:tr>
      <w:tr w14:paraId="4642D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020B9E10">
            <w:pPr>
              <w:adjustRightInd w:val="0"/>
              <w:snapToGrid w:val="0"/>
              <w:spacing w:line="240" w:lineRule="auto"/>
              <w:jc w:val="center"/>
              <w:rPr>
                <w:sz w:val="21"/>
                <w:szCs w:val="21"/>
              </w:rPr>
            </w:pPr>
          </w:p>
        </w:tc>
        <w:tc>
          <w:tcPr>
            <w:tcW w:w="2949" w:type="dxa"/>
            <w:gridSpan w:val="2"/>
            <w:tcBorders>
              <w:top w:val="single" w:color="auto" w:sz="4" w:space="0"/>
              <w:left w:val="single" w:color="auto" w:sz="4" w:space="0"/>
              <w:bottom w:val="single" w:color="auto" w:sz="4" w:space="0"/>
              <w:right w:val="single" w:color="auto" w:sz="4" w:space="0"/>
            </w:tcBorders>
            <w:vAlign w:val="center"/>
          </w:tcPr>
          <w:p w14:paraId="08195B06">
            <w:pPr>
              <w:adjustRightInd w:val="0"/>
              <w:snapToGrid w:val="0"/>
              <w:spacing w:line="240" w:lineRule="auto"/>
              <w:jc w:val="center"/>
              <w:rPr>
                <w:sz w:val="21"/>
                <w:szCs w:val="21"/>
              </w:rPr>
            </w:pPr>
            <w:r>
              <w:rPr>
                <w:sz w:val="21"/>
                <w:szCs w:val="21"/>
              </w:rPr>
              <w:t>爆炸下限（％）：5.3</w:t>
            </w:r>
          </w:p>
        </w:tc>
        <w:tc>
          <w:tcPr>
            <w:tcW w:w="5154" w:type="dxa"/>
            <w:gridSpan w:val="4"/>
            <w:tcBorders>
              <w:top w:val="single" w:color="auto" w:sz="4" w:space="0"/>
              <w:left w:val="single" w:color="auto" w:sz="4" w:space="0"/>
              <w:bottom w:val="single" w:color="auto" w:sz="4" w:space="0"/>
              <w:right w:val="single" w:color="auto" w:sz="12" w:space="0"/>
            </w:tcBorders>
            <w:vAlign w:val="center"/>
          </w:tcPr>
          <w:p w14:paraId="2F20CA4A">
            <w:pPr>
              <w:adjustRightInd w:val="0"/>
              <w:snapToGrid w:val="0"/>
              <w:spacing w:line="240" w:lineRule="auto"/>
              <w:jc w:val="center"/>
              <w:rPr>
                <w:sz w:val="21"/>
                <w:szCs w:val="21"/>
              </w:rPr>
            </w:pPr>
            <w:r>
              <w:rPr>
                <w:sz w:val="21"/>
                <w:szCs w:val="21"/>
              </w:rPr>
              <w:t>稳定性：稳定</w:t>
            </w:r>
          </w:p>
        </w:tc>
      </w:tr>
      <w:tr w14:paraId="1D522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167200BC">
            <w:pPr>
              <w:adjustRightInd w:val="0"/>
              <w:snapToGrid w:val="0"/>
              <w:spacing w:line="240" w:lineRule="auto"/>
              <w:jc w:val="center"/>
              <w:rPr>
                <w:sz w:val="21"/>
                <w:szCs w:val="21"/>
              </w:rPr>
            </w:pPr>
          </w:p>
        </w:tc>
        <w:tc>
          <w:tcPr>
            <w:tcW w:w="2949" w:type="dxa"/>
            <w:gridSpan w:val="2"/>
            <w:tcBorders>
              <w:top w:val="single" w:color="auto" w:sz="4" w:space="0"/>
              <w:left w:val="single" w:color="auto" w:sz="4" w:space="0"/>
              <w:bottom w:val="single" w:color="auto" w:sz="4" w:space="0"/>
              <w:right w:val="single" w:color="auto" w:sz="4" w:space="0"/>
            </w:tcBorders>
            <w:vAlign w:val="center"/>
          </w:tcPr>
          <w:p w14:paraId="203D7670">
            <w:pPr>
              <w:adjustRightInd w:val="0"/>
              <w:snapToGrid w:val="0"/>
              <w:spacing w:line="240" w:lineRule="auto"/>
              <w:jc w:val="center"/>
              <w:rPr>
                <w:sz w:val="21"/>
                <w:szCs w:val="21"/>
              </w:rPr>
            </w:pPr>
            <w:r>
              <w:rPr>
                <w:sz w:val="21"/>
                <w:szCs w:val="21"/>
              </w:rPr>
              <w:t>爆炸上限（％）：15</w:t>
            </w:r>
          </w:p>
        </w:tc>
        <w:tc>
          <w:tcPr>
            <w:tcW w:w="5154" w:type="dxa"/>
            <w:gridSpan w:val="4"/>
            <w:tcBorders>
              <w:top w:val="single" w:color="auto" w:sz="4" w:space="0"/>
              <w:left w:val="single" w:color="auto" w:sz="4" w:space="0"/>
              <w:bottom w:val="single" w:color="auto" w:sz="4" w:space="0"/>
              <w:right w:val="single" w:color="auto" w:sz="12" w:space="0"/>
            </w:tcBorders>
            <w:vAlign w:val="center"/>
          </w:tcPr>
          <w:p w14:paraId="07409A30">
            <w:pPr>
              <w:adjustRightInd w:val="0"/>
              <w:snapToGrid w:val="0"/>
              <w:spacing w:line="240" w:lineRule="auto"/>
              <w:jc w:val="center"/>
              <w:rPr>
                <w:sz w:val="21"/>
                <w:szCs w:val="21"/>
              </w:rPr>
            </w:pPr>
            <w:r>
              <w:rPr>
                <w:sz w:val="21"/>
                <w:szCs w:val="21"/>
              </w:rPr>
              <w:t>最大爆炸压力（MPa）：0.717</w:t>
            </w:r>
          </w:p>
        </w:tc>
      </w:tr>
      <w:tr w14:paraId="63E67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5DB86038">
            <w:pPr>
              <w:adjustRightInd w:val="0"/>
              <w:snapToGrid w:val="0"/>
              <w:spacing w:line="240" w:lineRule="auto"/>
              <w:jc w:val="center"/>
              <w:rPr>
                <w:sz w:val="21"/>
                <w:szCs w:val="21"/>
              </w:rPr>
            </w:pPr>
          </w:p>
        </w:tc>
        <w:tc>
          <w:tcPr>
            <w:tcW w:w="2949" w:type="dxa"/>
            <w:gridSpan w:val="2"/>
            <w:tcBorders>
              <w:top w:val="single" w:color="auto" w:sz="4" w:space="0"/>
              <w:left w:val="single" w:color="auto" w:sz="4" w:space="0"/>
              <w:bottom w:val="single" w:color="auto" w:sz="4" w:space="0"/>
              <w:right w:val="single" w:color="auto" w:sz="4" w:space="0"/>
            </w:tcBorders>
            <w:vAlign w:val="center"/>
          </w:tcPr>
          <w:p w14:paraId="7D1D6BDC">
            <w:pPr>
              <w:adjustRightInd w:val="0"/>
              <w:snapToGrid w:val="0"/>
              <w:spacing w:line="240" w:lineRule="auto"/>
              <w:jc w:val="center"/>
              <w:rPr>
                <w:sz w:val="21"/>
                <w:szCs w:val="21"/>
              </w:rPr>
            </w:pPr>
            <w:r>
              <w:rPr>
                <w:sz w:val="21"/>
                <w:szCs w:val="21"/>
              </w:rPr>
              <w:t>引燃温度（℃）：538</w:t>
            </w:r>
          </w:p>
        </w:tc>
        <w:tc>
          <w:tcPr>
            <w:tcW w:w="5154" w:type="dxa"/>
            <w:gridSpan w:val="4"/>
            <w:tcBorders>
              <w:top w:val="single" w:color="auto" w:sz="4" w:space="0"/>
              <w:left w:val="single" w:color="auto" w:sz="4" w:space="0"/>
              <w:bottom w:val="single" w:color="auto" w:sz="4" w:space="0"/>
              <w:right w:val="single" w:color="auto" w:sz="12" w:space="0"/>
            </w:tcBorders>
            <w:vAlign w:val="center"/>
          </w:tcPr>
          <w:p w14:paraId="075341D0">
            <w:pPr>
              <w:adjustRightInd w:val="0"/>
              <w:snapToGrid w:val="0"/>
              <w:spacing w:line="240" w:lineRule="auto"/>
              <w:jc w:val="center"/>
              <w:rPr>
                <w:sz w:val="21"/>
                <w:szCs w:val="21"/>
              </w:rPr>
            </w:pPr>
            <w:r>
              <w:rPr>
                <w:sz w:val="21"/>
                <w:szCs w:val="21"/>
              </w:rPr>
              <w:t>禁忌物：强氧化剂、氟、氯</w:t>
            </w:r>
          </w:p>
        </w:tc>
      </w:tr>
      <w:tr w14:paraId="2BF99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77BD5680">
            <w:pPr>
              <w:adjustRightInd w:val="0"/>
              <w:snapToGrid w:val="0"/>
              <w:spacing w:line="240" w:lineRule="auto"/>
              <w:jc w:val="center"/>
              <w:rPr>
                <w:sz w:val="21"/>
                <w:szCs w:val="21"/>
              </w:rPr>
            </w:pP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5F8B0160">
            <w:pPr>
              <w:adjustRightInd w:val="0"/>
              <w:snapToGrid w:val="0"/>
              <w:spacing w:line="240" w:lineRule="auto"/>
              <w:jc w:val="left"/>
              <w:rPr>
                <w:sz w:val="21"/>
                <w:szCs w:val="21"/>
              </w:rPr>
            </w:pPr>
            <w:r>
              <w:rPr>
                <w:sz w:val="21"/>
                <w:szCs w:val="21"/>
              </w:rPr>
              <w:t>危险特性：易燃，与空气混合能形成爆炸性混合物，遇热源和明火有燃烧爆炸的危险。与五氧化溴、氯气、次氯酸、三氟化氮、液氧、二氟化氧及其它强氧化剂接触剧烈反应。</w:t>
            </w:r>
          </w:p>
        </w:tc>
      </w:tr>
      <w:tr w14:paraId="6E6B8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9" w:type="dxa"/>
            <w:vMerge w:val="continue"/>
            <w:tcBorders>
              <w:top w:val="single" w:color="auto" w:sz="4" w:space="0"/>
              <w:left w:val="single" w:color="auto" w:sz="12" w:space="0"/>
              <w:bottom w:val="single" w:color="auto" w:sz="4" w:space="0"/>
              <w:right w:val="single" w:color="auto" w:sz="4" w:space="0"/>
            </w:tcBorders>
            <w:vAlign w:val="center"/>
          </w:tcPr>
          <w:p w14:paraId="6510D4E6">
            <w:pPr>
              <w:adjustRightInd w:val="0"/>
              <w:snapToGrid w:val="0"/>
              <w:spacing w:line="240" w:lineRule="auto"/>
              <w:jc w:val="center"/>
              <w:rPr>
                <w:sz w:val="21"/>
                <w:szCs w:val="21"/>
              </w:rPr>
            </w:pP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3486801B">
            <w:pPr>
              <w:adjustRightInd w:val="0"/>
              <w:snapToGrid w:val="0"/>
              <w:spacing w:line="240" w:lineRule="auto"/>
              <w:jc w:val="left"/>
              <w:rPr>
                <w:sz w:val="21"/>
                <w:szCs w:val="21"/>
              </w:rPr>
            </w:pPr>
            <w:r>
              <w:rPr>
                <w:sz w:val="21"/>
                <w:szCs w:val="21"/>
              </w:rPr>
              <w:t>消防措施：切断气源。若不能立即切断气源，则不允许熄灭正在燃烧的气体。喷水冷却容器，可能的话将容器从火场移至空旷处。灭火剂：雾状水、泡沫、二氧化碳、干粉。</w:t>
            </w:r>
          </w:p>
        </w:tc>
      </w:tr>
      <w:tr w14:paraId="60ED6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dxa"/>
            <w:tcBorders>
              <w:top w:val="single" w:color="auto" w:sz="4" w:space="0"/>
              <w:left w:val="single" w:color="auto" w:sz="12" w:space="0"/>
              <w:bottom w:val="single" w:color="auto" w:sz="4" w:space="0"/>
              <w:right w:val="single" w:color="auto" w:sz="4" w:space="0"/>
            </w:tcBorders>
            <w:vAlign w:val="center"/>
          </w:tcPr>
          <w:p w14:paraId="7C8D984B">
            <w:pPr>
              <w:adjustRightInd w:val="0"/>
              <w:snapToGrid w:val="0"/>
              <w:spacing w:line="240" w:lineRule="auto"/>
              <w:jc w:val="center"/>
              <w:rPr>
                <w:sz w:val="21"/>
                <w:szCs w:val="21"/>
              </w:rPr>
            </w:pPr>
            <w:r>
              <w:rPr>
                <w:sz w:val="21"/>
                <w:szCs w:val="21"/>
              </w:rPr>
              <w:t>毒性</w:t>
            </w: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6645E5BF">
            <w:pPr>
              <w:adjustRightInd w:val="0"/>
              <w:snapToGrid w:val="0"/>
              <w:spacing w:line="240" w:lineRule="auto"/>
              <w:jc w:val="left"/>
              <w:rPr>
                <w:sz w:val="21"/>
                <w:szCs w:val="21"/>
              </w:rPr>
            </w:pPr>
            <w:r>
              <w:rPr>
                <w:sz w:val="21"/>
                <w:szCs w:val="21"/>
              </w:rPr>
              <w:t>接触限值：中国MAC（mg/m</w:t>
            </w:r>
            <w:r>
              <w:rPr>
                <w:sz w:val="21"/>
                <w:szCs w:val="21"/>
                <w:vertAlign w:val="superscript"/>
              </w:rPr>
              <w:t>3</w:t>
            </w:r>
            <w:r>
              <w:rPr>
                <w:sz w:val="21"/>
                <w:szCs w:val="21"/>
              </w:rPr>
              <w:t>）未制定标准    前苏联MAC（mg/m</w:t>
            </w:r>
            <w:r>
              <w:rPr>
                <w:sz w:val="21"/>
                <w:szCs w:val="21"/>
                <w:vertAlign w:val="superscript"/>
              </w:rPr>
              <w:t>3</w:t>
            </w:r>
            <w:r>
              <w:rPr>
                <w:sz w:val="21"/>
                <w:szCs w:val="21"/>
              </w:rPr>
              <w:t>）300</w:t>
            </w:r>
          </w:p>
          <w:p w14:paraId="40B61D34">
            <w:pPr>
              <w:adjustRightInd w:val="0"/>
              <w:snapToGrid w:val="0"/>
              <w:spacing w:line="240" w:lineRule="auto"/>
              <w:jc w:val="left"/>
              <w:rPr>
                <w:sz w:val="21"/>
                <w:szCs w:val="21"/>
              </w:rPr>
            </w:pPr>
            <w:r>
              <w:rPr>
                <w:sz w:val="21"/>
                <w:szCs w:val="21"/>
              </w:rPr>
              <w:t>美国TVL－TWA  ACGIH 窒息性气体   美国TLV－STEL  未制定标准</w:t>
            </w:r>
          </w:p>
        </w:tc>
      </w:tr>
      <w:tr w14:paraId="05F9C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dxa"/>
            <w:tcBorders>
              <w:top w:val="single" w:color="auto" w:sz="4" w:space="0"/>
              <w:left w:val="single" w:color="auto" w:sz="12" w:space="0"/>
              <w:bottom w:val="single" w:color="auto" w:sz="4" w:space="0"/>
              <w:right w:val="single" w:color="auto" w:sz="4" w:space="0"/>
            </w:tcBorders>
            <w:vAlign w:val="center"/>
          </w:tcPr>
          <w:p w14:paraId="243AAB4B">
            <w:pPr>
              <w:adjustRightInd w:val="0"/>
              <w:snapToGrid w:val="0"/>
              <w:spacing w:line="240" w:lineRule="auto"/>
              <w:jc w:val="center"/>
              <w:rPr>
                <w:sz w:val="21"/>
                <w:szCs w:val="21"/>
              </w:rPr>
            </w:pPr>
            <w:r>
              <w:rPr>
                <w:sz w:val="21"/>
                <w:szCs w:val="21"/>
              </w:rPr>
              <w:t>对人体危害</w:t>
            </w: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4F02427B">
            <w:pPr>
              <w:adjustRightInd w:val="0"/>
              <w:snapToGrid w:val="0"/>
              <w:spacing w:line="240" w:lineRule="auto"/>
              <w:jc w:val="left"/>
              <w:rPr>
                <w:sz w:val="21"/>
                <w:szCs w:val="21"/>
              </w:rPr>
            </w:pPr>
            <w:r>
              <w:rPr>
                <w:sz w:val="21"/>
                <w:szCs w:val="21"/>
              </w:rPr>
              <w:t>侵入途径：吸入。</w:t>
            </w:r>
          </w:p>
          <w:p w14:paraId="29425857">
            <w:pPr>
              <w:adjustRightInd w:val="0"/>
              <w:snapToGrid w:val="0"/>
              <w:spacing w:line="240" w:lineRule="auto"/>
              <w:jc w:val="left"/>
              <w:rPr>
                <w:sz w:val="21"/>
                <w:szCs w:val="21"/>
              </w:rPr>
            </w:pPr>
            <w:r>
              <w:rPr>
                <w:sz w:val="21"/>
                <w:szCs w:val="21"/>
              </w:rPr>
              <w:t>健康危害：甲烷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14:paraId="3DF5A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dxa"/>
            <w:tcBorders>
              <w:top w:val="single" w:color="auto" w:sz="4" w:space="0"/>
              <w:left w:val="single" w:color="auto" w:sz="12" w:space="0"/>
              <w:bottom w:val="single" w:color="auto" w:sz="4" w:space="0"/>
              <w:right w:val="single" w:color="auto" w:sz="4" w:space="0"/>
            </w:tcBorders>
            <w:vAlign w:val="center"/>
          </w:tcPr>
          <w:p w14:paraId="13C40E54">
            <w:pPr>
              <w:adjustRightInd w:val="0"/>
              <w:snapToGrid w:val="0"/>
              <w:spacing w:line="240" w:lineRule="auto"/>
              <w:jc w:val="center"/>
              <w:rPr>
                <w:sz w:val="21"/>
                <w:szCs w:val="21"/>
              </w:rPr>
            </w:pPr>
            <w:r>
              <w:rPr>
                <w:sz w:val="21"/>
                <w:szCs w:val="21"/>
              </w:rPr>
              <w:t>急救</w:t>
            </w: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7FD4B01D">
            <w:pPr>
              <w:adjustRightInd w:val="0"/>
              <w:snapToGrid w:val="0"/>
              <w:spacing w:line="240" w:lineRule="auto"/>
              <w:jc w:val="left"/>
              <w:rPr>
                <w:sz w:val="21"/>
                <w:szCs w:val="21"/>
              </w:rPr>
            </w:pPr>
            <w:r>
              <w:rPr>
                <w:sz w:val="21"/>
                <w:szCs w:val="21"/>
              </w:rPr>
              <w:t>皮肤冻伤：若有冻伤，就医治疗。</w:t>
            </w:r>
          </w:p>
          <w:p w14:paraId="24C12530">
            <w:pPr>
              <w:adjustRightInd w:val="0"/>
              <w:snapToGrid w:val="0"/>
              <w:spacing w:line="240" w:lineRule="auto"/>
              <w:jc w:val="left"/>
              <w:rPr>
                <w:sz w:val="21"/>
                <w:szCs w:val="21"/>
              </w:rPr>
            </w:pPr>
            <w:r>
              <w:rPr>
                <w:sz w:val="21"/>
                <w:szCs w:val="21"/>
              </w:rPr>
              <w:t>吸入：迅速脱离现场至空气新鲜处，保持呼吸道通畅。如呼吸困难，给输氧。如呼吸停止，立即进行人工呼吸。就医。</w:t>
            </w:r>
          </w:p>
        </w:tc>
      </w:tr>
      <w:tr w14:paraId="5C8B9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dxa"/>
            <w:tcBorders>
              <w:top w:val="single" w:color="auto" w:sz="4" w:space="0"/>
              <w:left w:val="single" w:color="auto" w:sz="12" w:space="0"/>
              <w:bottom w:val="single" w:color="auto" w:sz="4" w:space="0"/>
              <w:right w:val="single" w:color="auto" w:sz="4" w:space="0"/>
            </w:tcBorders>
            <w:vAlign w:val="center"/>
          </w:tcPr>
          <w:p w14:paraId="7A58605D">
            <w:pPr>
              <w:adjustRightInd w:val="0"/>
              <w:snapToGrid w:val="0"/>
              <w:spacing w:line="240" w:lineRule="auto"/>
              <w:jc w:val="center"/>
              <w:rPr>
                <w:sz w:val="21"/>
                <w:szCs w:val="21"/>
              </w:rPr>
            </w:pPr>
            <w:r>
              <w:rPr>
                <w:sz w:val="21"/>
                <w:szCs w:val="21"/>
              </w:rPr>
              <w:t>防护</w:t>
            </w: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579790D8">
            <w:pPr>
              <w:adjustRightInd w:val="0"/>
              <w:snapToGrid w:val="0"/>
              <w:spacing w:line="240" w:lineRule="auto"/>
              <w:jc w:val="left"/>
              <w:rPr>
                <w:sz w:val="21"/>
                <w:szCs w:val="21"/>
              </w:rPr>
            </w:pPr>
            <w:r>
              <w:rPr>
                <w:sz w:val="21"/>
                <w:szCs w:val="21"/>
              </w:rPr>
              <w:t>工程防护：生产过程密闭，全面通风。</w:t>
            </w:r>
          </w:p>
          <w:p w14:paraId="6D45B6FF">
            <w:pPr>
              <w:adjustRightInd w:val="0"/>
              <w:snapToGrid w:val="0"/>
              <w:spacing w:line="240" w:lineRule="auto"/>
              <w:jc w:val="left"/>
              <w:rPr>
                <w:sz w:val="21"/>
                <w:szCs w:val="21"/>
              </w:rPr>
            </w:pPr>
            <w:r>
              <w:rPr>
                <w:sz w:val="21"/>
                <w:szCs w:val="21"/>
              </w:rPr>
              <w:t>个人防护：一般不需要特殊防护，但建议特殊情况下，佩戴自吸过滤式防毒面具（半面罩）。眼睛防护一般不需要特殊防护，高浓度接触时可戴安全防护眼镜，穿防静电工作服。戴一般作业防护手套。工作现场严禁吸烟。避免长期反复接触，进入罐、限制性空间或其它高浓度区作业，须有人监护。</w:t>
            </w:r>
          </w:p>
        </w:tc>
      </w:tr>
      <w:tr w14:paraId="14B31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dxa"/>
            <w:tcBorders>
              <w:top w:val="single" w:color="auto" w:sz="4" w:space="0"/>
              <w:left w:val="single" w:color="auto" w:sz="12" w:space="0"/>
              <w:bottom w:val="single" w:color="auto" w:sz="4" w:space="0"/>
              <w:right w:val="single" w:color="auto" w:sz="4" w:space="0"/>
            </w:tcBorders>
            <w:vAlign w:val="center"/>
          </w:tcPr>
          <w:p w14:paraId="5FF96AFF">
            <w:pPr>
              <w:adjustRightInd w:val="0"/>
              <w:snapToGrid w:val="0"/>
              <w:spacing w:line="240" w:lineRule="auto"/>
              <w:jc w:val="center"/>
              <w:rPr>
                <w:sz w:val="21"/>
                <w:szCs w:val="21"/>
              </w:rPr>
            </w:pPr>
            <w:r>
              <w:rPr>
                <w:sz w:val="21"/>
                <w:szCs w:val="21"/>
              </w:rPr>
              <w:t>泄漏处理</w:t>
            </w:r>
          </w:p>
        </w:tc>
        <w:tc>
          <w:tcPr>
            <w:tcW w:w="8103" w:type="dxa"/>
            <w:gridSpan w:val="6"/>
            <w:tcBorders>
              <w:top w:val="single" w:color="auto" w:sz="4" w:space="0"/>
              <w:left w:val="single" w:color="auto" w:sz="4" w:space="0"/>
              <w:bottom w:val="single" w:color="auto" w:sz="4" w:space="0"/>
              <w:right w:val="single" w:color="auto" w:sz="12" w:space="0"/>
            </w:tcBorders>
            <w:vAlign w:val="center"/>
          </w:tcPr>
          <w:p w14:paraId="304AB136">
            <w:pPr>
              <w:adjustRightInd w:val="0"/>
              <w:snapToGrid w:val="0"/>
              <w:spacing w:line="240" w:lineRule="auto"/>
              <w:jc w:val="left"/>
              <w:rPr>
                <w:sz w:val="21"/>
                <w:szCs w:val="21"/>
              </w:rPr>
            </w:pPr>
            <w:r>
              <w:rPr>
                <w:sz w:val="21"/>
                <w:szCs w:val="21"/>
              </w:rPr>
              <w:t>迅速撤离泄漏污染区人员至上风处，并进行隔离，严格限制出入。切断火源。建议应急处理人员戴自给正压式呼吸器，穿消防防护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14:paraId="5D0D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dxa"/>
            <w:tcBorders>
              <w:top w:val="single" w:color="auto" w:sz="4" w:space="0"/>
              <w:left w:val="single" w:color="auto" w:sz="12" w:space="0"/>
              <w:bottom w:val="single" w:color="auto" w:sz="12" w:space="0"/>
              <w:right w:val="single" w:color="auto" w:sz="4" w:space="0"/>
            </w:tcBorders>
            <w:vAlign w:val="center"/>
          </w:tcPr>
          <w:p w14:paraId="5C1647B0">
            <w:pPr>
              <w:adjustRightInd w:val="0"/>
              <w:snapToGrid w:val="0"/>
              <w:spacing w:line="240" w:lineRule="auto"/>
              <w:jc w:val="center"/>
              <w:rPr>
                <w:sz w:val="21"/>
                <w:szCs w:val="21"/>
              </w:rPr>
            </w:pPr>
            <w:r>
              <w:rPr>
                <w:sz w:val="21"/>
                <w:szCs w:val="21"/>
              </w:rPr>
              <w:t>贮运</w:t>
            </w:r>
          </w:p>
        </w:tc>
        <w:tc>
          <w:tcPr>
            <w:tcW w:w="8103" w:type="dxa"/>
            <w:gridSpan w:val="6"/>
            <w:tcBorders>
              <w:top w:val="single" w:color="auto" w:sz="4" w:space="0"/>
              <w:left w:val="single" w:color="auto" w:sz="4" w:space="0"/>
              <w:bottom w:val="single" w:color="auto" w:sz="12" w:space="0"/>
              <w:right w:val="single" w:color="auto" w:sz="12" w:space="0"/>
            </w:tcBorders>
            <w:vAlign w:val="center"/>
          </w:tcPr>
          <w:p w14:paraId="4A3B693F">
            <w:pPr>
              <w:adjustRightInd w:val="0"/>
              <w:snapToGrid w:val="0"/>
              <w:spacing w:line="240" w:lineRule="auto"/>
              <w:jc w:val="left"/>
              <w:rPr>
                <w:sz w:val="21"/>
                <w:szCs w:val="21"/>
              </w:rPr>
            </w:pPr>
            <w:r>
              <w:rPr>
                <w:sz w:val="21"/>
                <w:szCs w:val="21"/>
              </w:rPr>
              <w:t>包装标志：4       UN编号： 1971     包装分类：Ⅱ       包装方法：钢质气瓶</w:t>
            </w:r>
          </w:p>
          <w:p w14:paraId="729A019B">
            <w:pPr>
              <w:adjustRightInd w:val="0"/>
              <w:snapToGrid w:val="0"/>
              <w:spacing w:line="240" w:lineRule="auto"/>
              <w:jc w:val="left"/>
              <w:rPr>
                <w:sz w:val="21"/>
                <w:szCs w:val="21"/>
              </w:rPr>
            </w:pPr>
            <w:r>
              <w:rPr>
                <w:sz w:val="21"/>
                <w:szCs w:val="21"/>
              </w:rPr>
              <w:t>储运条件：易燃压缩气体。储存于阴凉、通风仓间内。仓温不宜超过30℃。远离火种、热源。防止阳光直射。应与氧气、压缩空气、卤素（氟、氯、溴）等分开存放。切忌混储混运。储存间的照明、通风等设施应采用防爆型，开关设在仓外。配备相应品种和数量的消防器材。罐储时要有防火防爆技术措施。露天贮罐夏季要有降温措施。禁止使用易产生火花的机械设备和工具。验收时要注意品名，注意验瓶日期，先进仓的先发用。搬运时轻装轻卸，防止钢瓶及附件破损。</w:t>
            </w:r>
          </w:p>
        </w:tc>
      </w:tr>
    </w:tbl>
    <w:p w14:paraId="00C53174">
      <w:pPr>
        <w:ind w:firstLine="480"/>
      </w:pPr>
    </w:p>
    <w:p w14:paraId="3B0ECE03">
      <w:pPr>
        <w:ind w:firstLine="480"/>
      </w:pPr>
    </w:p>
    <w:p w14:paraId="479CD84A">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表7.4-4 </w:t>
      </w:r>
      <w:r>
        <w:rPr>
          <w:rFonts w:hint="eastAsia" w:ascii="宋体" w:hAnsi="宋体" w:cs="宋体"/>
          <w:b/>
          <w:bCs/>
          <w:color w:val="auto"/>
          <w:kern w:val="2"/>
          <w:sz w:val="21"/>
          <w:szCs w:val="21"/>
          <w:lang w:val="en-US" w:eastAsia="zh-CN" w:bidi="ar-SA"/>
        </w:rPr>
        <w:t xml:space="preserve">    </w:t>
      </w:r>
      <w:r>
        <w:rPr>
          <w:rFonts w:hint="eastAsia"/>
        </w:rPr>
        <w:t>油类物质的</w:t>
      </w:r>
      <w:r>
        <w:t>理化性质及危险特性</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93"/>
        <w:gridCol w:w="6729"/>
      </w:tblGrid>
      <w:tr w14:paraId="7268FF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26" w:type="dxa"/>
            <w:tcBorders>
              <w:tl2br w:val="nil"/>
              <w:tr2bl w:val="nil"/>
            </w:tcBorders>
            <w:vAlign w:val="center"/>
          </w:tcPr>
          <w:p w14:paraId="1D6B14BE">
            <w:pPr>
              <w:adjustRightInd w:val="0"/>
              <w:snapToGrid w:val="0"/>
              <w:spacing w:line="240" w:lineRule="auto"/>
              <w:jc w:val="center"/>
              <w:rPr>
                <w:sz w:val="21"/>
                <w:szCs w:val="21"/>
              </w:rPr>
            </w:pPr>
            <w:r>
              <w:rPr>
                <w:rFonts w:hint="eastAsia"/>
                <w:sz w:val="21"/>
                <w:szCs w:val="21"/>
              </w:rPr>
              <w:t>包含种类</w:t>
            </w:r>
          </w:p>
        </w:tc>
        <w:tc>
          <w:tcPr>
            <w:tcW w:w="6866" w:type="dxa"/>
            <w:tcBorders>
              <w:tl2br w:val="nil"/>
              <w:tr2bl w:val="nil"/>
            </w:tcBorders>
            <w:vAlign w:val="center"/>
          </w:tcPr>
          <w:p w14:paraId="0CD40AC0">
            <w:pPr>
              <w:adjustRightInd w:val="0"/>
              <w:snapToGrid w:val="0"/>
              <w:spacing w:line="240" w:lineRule="auto"/>
              <w:jc w:val="center"/>
              <w:rPr>
                <w:sz w:val="21"/>
                <w:szCs w:val="21"/>
              </w:rPr>
            </w:pPr>
            <w:r>
              <w:rPr>
                <w:rFonts w:hint="eastAsia"/>
                <w:sz w:val="21"/>
                <w:szCs w:val="21"/>
              </w:rPr>
              <w:t>石油烃、矿物油、干性植物油、光油等</w:t>
            </w:r>
          </w:p>
        </w:tc>
      </w:tr>
      <w:tr w14:paraId="2849A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26" w:type="dxa"/>
            <w:tcBorders>
              <w:tl2br w:val="nil"/>
              <w:tr2bl w:val="nil"/>
            </w:tcBorders>
            <w:vAlign w:val="center"/>
          </w:tcPr>
          <w:p w14:paraId="42AB5269">
            <w:pPr>
              <w:adjustRightInd w:val="0"/>
              <w:snapToGrid w:val="0"/>
              <w:spacing w:line="240" w:lineRule="auto"/>
              <w:jc w:val="center"/>
              <w:rPr>
                <w:sz w:val="21"/>
                <w:szCs w:val="21"/>
              </w:rPr>
            </w:pPr>
            <w:r>
              <w:rPr>
                <w:sz w:val="21"/>
                <w:szCs w:val="21"/>
              </w:rPr>
              <w:t>危险特性</w:t>
            </w:r>
          </w:p>
        </w:tc>
        <w:tc>
          <w:tcPr>
            <w:tcW w:w="6866" w:type="dxa"/>
            <w:tcBorders>
              <w:tl2br w:val="nil"/>
              <w:tr2bl w:val="nil"/>
            </w:tcBorders>
            <w:vAlign w:val="center"/>
          </w:tcPr>
          <w:p w14:paraId="22BB0E46">
            <w:pPr>
              <w:adjustRightInd w:val="0"/>
              <w:snapToGrid w:val="0"/>
              <w:spacing w:line="240" w:lineRule="auto"/>
              <w:jc w:val="center"/>
              <w:rPr>
                <w:sz w:val="21"/>
                <w:szCs w:val="21"/>
              </w:rPr>
            </w:pPr>
            <w:r>
              <w:rPr>
                <w:rFonts w:hint="eastAsia"/>
                <w:sz w:val="21"/>
                <w:szCs w:val="21"/>
              </w:rPr>
              <w:t>闪点低、</w:t>
            </w:r>
            <w:r>
              <w:rPr>
                <w:sz w:val="21"/>
                <w:szCs w:val="21"/>
              </w:rPr>
              <w:t>易燃，遇高热、明火有引起燃烧的危险。</w:t>
            </w:r>
          </w:p>
        </w:tc>
      </w:tr>
      <w:tr w14:paraId="044314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26" w:type="dxa"/>
            <w:tcBorders>
              <w:tl2br w:val="nil"/>
              <w:tr2bl w:val="nil"/>
            </w:tcBorders>
            <w:vAlign w:val="center"/>
          </w:tcPr>
          <w:p w14:paraId="449F0918">
            <w:pPr>
              <w:adjustRightInd w:val="0"/>
              <w:snapToGrid w:val="0"/>
              <w:spacing w:line="240" w:lineRule="auto"/>
              <w:jc w:val="center"/>
              <w:rPr>
                <w:sz w:val="21"/>
                <w:szCs w:val="21"/>
              </w:rPr>
            </w:pPr>
            <w:r>
              <w:rPr>
                <w:sz w:val="21"/>
                <w:szCs w:val="21"/>
              </w:rPr>
              <w:t>储运条件</w:t>
            </w:r>
          </w:p>
          <w:p w14:paraId="75D9FE09">
            <w:pPr>
              <w:adjustRightInd w:val="0"/>
              <w:snapToGrid w:val="0"/>
              <w:spacing w:line="240" w:lineRule="auto"/>
              <w:jc w:val="center"/>
              <w:rPr>
                <w:sz w:val="21"/>
                <w:szCs w:val="21"/>
              </w:rPr>
            </w:pPr>
            <w:r>
              <w:rPr>
                <w:sz w:val="21"/>
                <w:szCs w:val="21"/>
              </w:rPr>
              <w:t>与泄漏处理</w:t>
            </w:r>
          </w:p>
        </w:tc>
        <w:tc>
          <w:tcPr>
            <w:tcW w:w="6866" w:type="dxa"/>
            <w:tcBorders>
              <w:tl2br w:val="nil"/>
              <w:tr2bl w:val="nil"/>
            </w:tcBorders>
            <w:vAlign w:val="center"/>
          </w:tcPr>
          <w:p w14:paraId="257E1952">
            <w:pPr>
              <w:adjustRightInd w:val="0"/>
              <w:snapToGrid w:val="0"/>
              <w:spacing w:line="240" w:lineRule="auto"/>
              <w:jc w:val="left"/>
              <w:rPr>
                <w:sz w:val="21"/>
                <w:szCs w:val="21"/>
              </w:rPr>
            </w:pPr>
            <w:r>
              <w:rPr>
                <w:sz w:val="21"/>
                <w:szCs w:val="21"/>
              </w:rPr>
              <w:t>储运条件：储存于阴凉、干燥、通风处。远离火种、热源。防止阳光直射。保持容器密封，应与碱类、H发泡剂</w:t>
            </w:r>
            <w:r>
              <w:rPr>
                <w:rFonts w:hint="eastAsia"/>
                <w:sz w:val="21"/>
                <w:szCs w:val="21"/>
              </w:rPr>
              <w:t>、</w:t>
            </w:r>
            <w:r>
              <w:rPr>
                <w:sz w:val="21"/>
                <w:szCs w:val="21"/>
              </w:rPr>
              <w:t>氧化剂、还原剂等分开存放，切忌混储。分装和搬运作业要注意个人防护。搬运时要轻装轻卸，防止包装和容器损坏。运输时所用的槽（罐）车应有接地链，槽内可设孔隔板以减少震荡产生静电。严禁与氧化剂、还原剂、食用化学品等混装混运。装运该物品的车辆排气管必须配备阻火装置，禁止使用易产生火花的机械设备和工具装卸。公路运输时要按规定路线行驶，勿在居民区和人口稠密区停留。铁路运输时要禁止溜放。泄漏处理：疏散泄漏污染区人员至安全区，禁止无关人员进入污染区，切断火源。建议应急处理人员戴好</w:t>
            </w:r>
            <w:r>
              <w:rPr>
                <w:rFonts w:hint="eastAsia"/>
                <w:sz w:val="21"/>
                <w:szCs w:val="21"/>
              </w:rPr>
              <w:t>防毒</w:t>
            </w:r>
            <w:r>
              <w:rPr>
                <w:sz w:val="21"/>
                <w:szCs w:val="21"/>
              </w:rPr>
              <w:t>面具，穿化学防护服。少量泄漏：用砂土或其它不燃材料吸收或吸附，也可用大量水冲洗，洗水稀释后放入废水系统。大量泄漏：构筑围堤或挖坑收容，用泡沫覆盖，降低蒸气灾害。用防爆泵转移至专用收集器，回收或运到废物处理场所处置。</w:t>
            </w:r>
          </w:p>
        </w:tc>
      </w:tr>
      <w:tr w14:paraId="23A1EF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26" w:type="dxa"/>
            <w:tcBorders>
              <w:tl2br w:val="nil"/>
              <w:tr2bl w:val="nil"/>
            </w:tcBorders>
            <w:vAlign w:val="center"/>
          </w:tcPr>
          <w:p w14:paraId="5AB0D208">
            <w:pPr>
              <w:adjustRightInd w:val="0"/>
              <w:snapToGrid w:val="0"/>
              <w:spacing w:line="240" w:lineRule="auto"/>
              <w:jc w:val="center"/>
              <w:rPr>
                <w:sz w:val="21"/>
                <w:szCs w:val="21"/>
              </w:rPr>
            </w:pPr>
            <w:r>
              <w:rPr>
                <w:sz w:val="21"/>
                <w:szCs w:val="21"/>
              </w:rPr>
              <w:t>灭火方法</w:t>
            </w:r>
          </w:p>
        </w:tc>
        <w:tc>
          <w:tcPr>
            <w:tcW w:w="6866" w:type="dxa"/>
            <w:tcBorders>
              <w:tl2br w:val="nil"/>
              <w:tr2bl w:val="nil"/>
            </w:tcBorders>
            <w:vAlign w:val="center"/>
          </w:tcPr>
          <w:p w14:paraId="3194B755">
            <w:pPr>
              <w:adjustRightInd w:val="0"/>
              <w:snapToGrid w:val="0"/>
              <w:spacing w:line="240" w:lineRule="auto"/>
              <w:jc w:val="left"/>
              <w:rPr>
                <w:sz w:val="21"/>
                <w:szCs w:val="21"/>
              </w:rPr>
            </w:pPr>
            <w:r>
              <w:rPr>
                <w:sz w:val="21"/>
                <w:szCs w:val="21"/>
              </w:rPr>
              <w:t>喷水冷却容器，可能的话将容器从火场移至空旷处。灭火剂：泡沫、干粉、二氧化碳、砂土。</w:t>
            </w:r>
          </w:p>
        </w:tc>
      </w:tr>
    </w:tbl>
    <w:p w14:paraId="232B455F">
      <w:pPr>
        <w:pStyle w:val="40"/>
        <w:ind w:firstLine="480"/>
      </w:pPr>
      <w:r>
        <w:t>本项目物质风险性识别结果如下：</w:t>
      </w:r>
    </w:p>
    <w:p w14:paraId="6B0A7096">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表7.4-5</w:t>
      </w:r>
      <w:r>
        <w:rPr>
          <w:rFonts w:hint="eastAsia" w:ascii="宋体" w:hAnsi="宋体" w:cs="宋体"/>
          <w:b/>
          <w:bCs/>
          <w:color w:val="auto"/>
          <w:kern w:val="2"/>
          <w:sz w:val="21"/>
          <w:szCs w:val="21"/>
          <w:lang w:val="en-US" w:eastAsia="zh-CN" w:bidi="ar-SA"/>
        </w:rPr>
        <w:t xml:space="preserve"> =2.4 </w:t>
      </w:r>
      <w:r>
        <w:rPr>
          <w:rFonts w:hint="default" w:ascii="宋体" w:hAnsi="宋体" w:eastAsia="宋体" w:cs="宋体"/>
          <w:b/>
          <w:bCs/>
          <w:color w:val="auto"/>
          <w:kern w:val="2"/>
          <w:sz w:val="21"/>
          <w:szCs w:val="21"/>
          <w:lang w:val="en-US" w:eastAsia="zh-CN" w:bidi="ar-SA"/>
        </w:rPr>
        <w:t xml:space="preserve"> </w:t>
      </w:r>
      <w:r>
        <w:rPr>
          <w:rFonts w:hint="eastAsia"/>
        </w:rPr>
        <w:t>本项目风险物质一览表</w:t>
      </w:r>
    </w:p>
    <w:tbl>
      <w:tblPr>
        <w:tblStyle w:val="66"/>
        <w:tblW w:w="513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51"/>
        <w:gridCol w:w="1567"/>
        <w:gridCol w:w="1336"/>
        <w:gridCol w:w="3834"/>
        <w:gridCol w:w="1270"/>
      </w:tblGrid>
      <w:tr w14:paraId="7BF20C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0" w:type="dxa"/>
            <w:tcBorders>
              <w:tl2br w:val="nil"/>
              <w:tr2bl w:val="nil"/>
            </w:tcBorders>
            <w:vAlign w:val="center"/>
          </w:tcPr>
          <w:p w14:paraId="00D2E4CB">
            <w:pPr>
              <w:widowControl w:val="0"/>
              <w:adjustRightInd w:val="0"/>
              <w:snapToGrid w:val="0"/>
              <w:spacing w:line="240" w:lineRule="auto"/>
              <w:jc w:val="center"/>
              <w:rPr>
                <w:sz w:val="21"/>
                <w:szCs w:val="21"/>
                <w:lang w:eastAsia="en-US"/>
              </w:rPr>
            </w:pPr>
            <w:r>
              <w:rPr>
                <w:sz w:val="21"/>
                <w:szCs w:val="21"/>
                <w:lang w:eastAsia="en-US"/>
              </w:rPr>
              <w:t>编号</w:t>
            </w:r>
          </w:p>
        </w:tc>
        <w:tc>
          <w:tcPr>
            <w:tcW w:w="1561" w:type="dxa"/>
            <w:tcBorders>
              <w:tl2br w:val="nil"/>
              <w:tr2bl w:val="nil"/>
            </w:tcBorders>
            <w:vAlign w:val="center"/>
          </w:tcPr>
          <w:p w14:paraId="69F07D28">
            <w:pPr>
              <w:widowControl w:val="0"/>
              <w:adjustRightInd w:val="0"/>
              <w:snapToGrid w:val="0"/>
              <w:spacing w:line="240" w:lineRule="auto"/>
              <w:jc w:val="center"/>
              <w:rPr>
                <w:sz w:val="21"/>
                <w:szCs w:val="21"/>
                <w:lang w:eastAsia="en-US"/>
              </w:rPr>
            </w:pPr>
            <w:r>
              <w:rPr>
                <w:sz w:val="21"/>
                <w:szCs w:val="21"/>
                <w:lang w:eastAsia="en-US"/>
              </w:rPr>
              <w:t>功能单元</w:t>
            </w:r>
          </w:p>
        </w:tc>
        <w:tc>
          <w:tcPr>
            <w:tcW w:w="1331" w:type="dxa"/>
            <w:tcBorders>
              <w:tl2br w:val="nil"/>
              <w:tr2bl w:val="nil"/>
            </w:tcBorders>
            <w:vAlign w:val="center"/>
          </w:tcPr>
          <w:p w14:paraId="5CEB5D1F">
            <w:pPr>
              <w:widowControl w:val="0"/>
              <w:adjustRightInd w:val="0"/>
              <w:snapToGrid w:val="0"/>
              <w:spacing w:line="240" w:lineRule="auto"/>
              <w:jc w:val="center"/>
              <w:rPr>
                <w:sz w:val="21"/>
                <w:szCs w:val="21"/>
                <w:lang w:eastAsia="en-US"/>
              </w:rPr>
            </w:pPr>
            <w:r>
              <w:rPr>
                <w:sz w:val="21"/>
                <w:szCs w:val="21"/>
                <w:lang w:eastAsia="en-US"/>
              </w:rPr>
              <w:t>主要功能</w:t>
            </w:r>
          </w:p>
        </w:tc>
        <w:tc>
          <w:tcPr>
            <w:tcW w:w="3820" w:type="dxa"/>
            <w:tcBorders>
              <w:tl2br w:val="nil"/>
              <w:tr2bl w:val="nil"/>
            </w:tcBorders>
            <w:vAlign w:val="center"/>
          </w:tcPr>
          <w:p w14:paraId="345B8A78">
            <w:pPr>
              <w:widowControl w:val="0"/>
              <w:adjustRightInd w:val="0"/>
              <w:snapToGrid w:val="0"/>
              <w:spacing w:line="240" w:lineRule="auto"/>
              <w:jc w:val="center"/>
              <w:rPr>
                <w:sz w:val="21"/>
                <w:szCs w:val="21"/>
                <w:lang w:eastAsia="en-US"/>
              </w:rPr>
            </w:pPr>
            <w:r>
              <w:rPr>
                <w:sz w:val="21"/>
                <w:szCs w:val="21"/>
                <w:lang w:eastAsia="en-US"/>
              </w:rPr>
              <w:t>危险因素</w:t>
            </w:r>
          </w:p>
        </w:tc>
        <w:tc>
          <w:tcPr>
            <w:tcW w:w="1265" w:type="dxa"/>
            <w:tcBorders>
              <w:tl2br w:val="nil"/>
              <w:tr2bl w:val="nil"/>
            </w:tcBorders>
            <w:vAlign w:val="center"/>
          </w:tcPr>
          <w:p w14:paraId="3471AAAF">
            <w:pPr>
              <w:widowControl w:val="0"/>
              <w:adjustRightInd w:val="0"/>
              <w:snapToGrid w:val="0"/>
              <w:spacing w:line="240" w:lineRule="auto"/>
              <w:jc w:val="center"/>
              <w:rPr>
                <w:sz w:val="21"/>
                <w:szCs w:val="21"/>
                <w:lang w:eastAsia="en-US"/>
              </w:rPr>
            </w:pPr>
            <w:r>
              <w:rPr>
                <w:sz w:val="21"/>
                <w:szCs w:val="21"/>
                <w:lang w:eastAsia="en-US"/>
              </w:rPr>
              <w:t>事故类型</w:t>
            </w:r>
          </w:p>
        </w:tc>
      </w:tr>
      <w:tr w14:paraId="463E87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0" w:type="dxa"/>
            <w:tcBorders>
              <w:tl2br w:val="nil"/>
              <w:tr2bl w:val="nil"/>
            </w:tcBorders>
            <w:vAlign w:val="center"/>
          </w:tcPr>
          <w:p w14:paraId="63D652A3">
            <w:pPr>
              <w:widowControl w:val="0"/>
              <w:adjustRightInd w:val="0"/>
              <w:snapToGrid w:val="0"/>
              <w:spacing w:line="240" w:lineRule="auto"/>
              <w:jc w:val="center"/>
              <w:rPr>
                <w:sz w:val="21"/>
                <w:szCs w:val="21"/>
                <w:lang w:eastAsia="en-US"/>
              </w:rPr>
            </w:pPr>
            <w:r>
              <w:rPr>
                <w:sz w:val="21"/>
                <w:szCs w:val="21"/>
                <w:lang w:eastAsia="en-US"/>
              </w:rPr>
              <w:t>1</w:t>
            </w:r>
          </w:p>
        </w:tc>
        <w:tc>
          <w:tcPr>
            <w:tcW w:w="1561" w:type="dxa"/>
            <w:tcBorders>
              <w:tl2br w:val="nil"/>
              <w:tr2bl w:val="nil"/>
            </w:tcBorders>
            <w:vAlign w:val="center"/>
          </w:tcPr>
          <w:p w14:paraId="19D3F9B7">
            <w:pPr>
              <w:widowControl w:val="0"/>
              <w:adjustRightInd w:val="0"/>
              <w:snapToGrid w:val="0"/>
              <w:spacing w:line="240" w:lineRule="auto"/>
              <w:jc w:val="center"/>
              <w:rPr>
                <w:sz w:val="21"/>
                <w:szCs w:val="21"/>
                <w:lang w:eastAsia="en-US"/>
              </w:rPr>
            </w:pPr>
            <w:r>
              <w:rPr>
                <w:rFonts w:hint="eastAsia"/>
                <w:sz w:val="21"/>
                <w:szCs w:val="21"/>
                <w:lang w:eastAsia="en-US"/>
              </w:rPr>
              <w:t>原料仓</w:t>
            </w:r>
            <w:r>
              <w:rPr>
                <w:sz w:val="21"/>
                <w:szCs w:val="21"/>
                <w:lang w:eastAsia="en-US"/>
              </w:rPr>
              <w:t>库</w:t>
            </w:r>
          </w:p>
        </w:tc>
        <w:tc>
          <w:tcPr>
            <w:tcW w:w="1331" w:type="dxa"/>
            <w:tcBorders>
              <w:tl2br w:val="nil"/>
              <w:tr2bl w:val="nil"/>
            </w:tcBorders>
            <w:vAlign w:val="center"/>
          </w:tcPr>
          <w:p w14:paraId="55447DC4">
            <w:pPr>
              <w:widowControl w:val="0"/>
              <w:adjustRightInd w:val="0"/>
              <w:snapToGrid w:val="0"/>
              <w:spacing w:line="240" w:lineRule="auto"/>
              <w:jc w:val="center"/>
              <w:rPr>
                <w:sz w:val="21"/>
                <w:szCs w:val="21"/>
                <w:lang w:eastAsia="en-US"/>
              </w:rPr>
            </w:pPr>
            <w:r>
              <w:rPr>
                <w:sz w:val="21"/>
                <w:szCs w:val="21"/>
                <w:lang w:eastAsia="en-US"/>
              </w:rPr>
              <w:t>储存</w:t>
            </w:r>
          </w:p>
        </w:tc>
        <w:tc>
          <w:tcPr>
            <w:tcW w:w="3820" w:type="dxa"/>
            <w:tcBorders>
              <w:tl2br w:val="nil"/>
              <w:tr2bl w:val="nil"/>
            </w:tcBorders>
            <w:vAlign w:val="center"/>
          </w:tcPr>
          <w:p w14:paraId="64545352">
            <w:pPr>
              <w:widowControl w:val="0"/>
              <w:adjustRightInd w:val="0"/>
              <w:snapToGrid w:val="0"/>
              <w:spacing w:line="240" w:lineRule="auto"/>
              <w:jc w:val="center"/>
              <w:rPr>
                <w:sz w:val="21"/>
                <w:szCs w:val="21"/>
                <w:lang w:eastAsia="en-US"/>
              </w:rPr>
            </w:pPr>
            <w:r>
              <w:rPr>
                <w:sz w:val="21"/>
                <w:szCs w:val="21"/>
                <w:lang w:eastAsia="en-US"/>
              </w:rPr>
              <w:t>遇火、高热可燃</w:t>
            </w:r>
          </w:p>
        </w:tc>
        <w:tc>
          <w:tcPr>
            <w:tcW w:w="1265" w:type="dxa"/>
            <w:tcBorders>
              <w:tl2br w:val="nil"/>
              <w:tr2bl w:val="nil"/>
            </w:tcBorders>
            <w:vAlign w:val="center"/>
          </w:tcPr>
          <w:p w14:paraId="3215730B">
            <w:pPr>
              <w:widowControl w:val="0"/>
              <w:adjustRightInd w:val="0"/>
              <w:snapToGrid w:val="0"/>
              <w:spacing w:line="240" w:lineRule="auto"/>
              <w:jc w:val="center"/>
              <w:rPr>
                <w:sz w:val="21"/>
                <w:szCs w:val="21"/>
                <w:lang w:eastAsia="en-US"/>
              </w:rPr>
            </w:pPr>
            <w:r>
              <w:rPr>
                <w:sz w:val="21"/>
                <w:szCs w:val="21"/>
                <w:lang w:eastAsia="en-US"/>
              </w:rPr>
              <w:t>泄漏、火灾</w:t>
            </w:r>
          </w:p>
        </w:tc>
      </w:tr>
      <w:tr w14:paraId="5A6271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0" w:type="dxa"/>
            <w:tcBorders>
              <w:tl2br w:val="nil"/>
              <w:tr2bl w:val="nil"/>
            </w:tcBorders>
            <w:vAlign w:val="center"/>
          </w:tcPr>
          <w:p w14:paraId="5EA6310D">
            <w:pPr>
              <w:widowControl w:val="0"/>
              <w:adjustRightInd w:val="0"/>
              <w:snapToGrid w:val="0"/>
              <w:spacing w:line="240" w:lineRule="auto"/>
              <w:jc w:val="center"/>
              <w:rPr>
                <w:sz w:val="21"/>
                <w:szCs w:val="21"/>
                <w:lang w:eastAsia="en-US"/>
              </w:rPr>
            </w:pPr>
            <w:r>
              <w:rPr>
                <w:rFonts w:hint="eastAsia"/>
                <w:sz w:val="21"/>
                <w:szCs w:val="21"/>
                <w:lang w:eastAsia="en-US"/>
              </w:rPr>
              <w:t>2</w:t>
            </w:r>
          </w:p>
        </w:tc>
        <w:tc>
          <w:tcPr>
            <w:tcW w:w="1561" w:type="dxa"/>
            <w:tcBorders>
              <w:tl2br w:val="nil"/>
              <w:tr2bl w:val="nil"/>
            </w:tcBorders>
            <w:vAlign w:val="center"/>
          </w:tcPr>
          <w:p w14:paraId="3BD71844">
            <w:pPr>
              <w:widowControl w:val="0"/>
              <w:adjustRightInd w:val="0"/>
              <w:snapToGrid w:val="0"/>
              <w:spacing w:line="240" w:lineRule="auto"/>
              <w:jc w:val="center"/>
              <w:rPr>
                <w:sz w:val="21"/>
                <w:szCs w:val="21"/>
                <w:lang w:eastAsia="en-US"/>
              </w:rPr>
            </w:pPr>
            <w:r>
              <w:rPr>
                <w:rFonts w:hint="eastAsia"/>
                <w:sz w:val="21"/>
                <w:szCs w:val="21"/>
                <w:lang w:eastAsia="en-US"/>
              </w:rPr>
              <w:t>危废间</w:t>
            </w:r>
          </w:p>
        </w:tc>
        <w:tc>
          <w:tcPr>
            <w:tcW w:w="1331" w:type="dxa"/>
            <w:tcBorders>
              <w:tl2br w:val="nil"/>
              <w:tr2bl w:val="nil"/>
            </w:tcBorders>
            <w:vAlign w:val="center"/>
          </w:tcPr>
          <w:p w14:paraId="7BAB21CA">
            <w:pPr>
              <w:widowControl w:val="0"/>
              <w:adjustRightInd w:val="0"/>
              <w:snapToGrid w:val="0"/>
              <w:spacing w:line="240" w:lineRule="auto"/>
              <w:jc w:val="center"/>
              <w:rPr>
                <w:sz w:val="21"/>
                <w:szCs w:val="21"/>
                <w:lang w:eastAsia="en-US"/>
              </w:rPr>
            </w:pPr>
            <w:r>
              <w:rPr>
                <w:sz w:val="21"/>
                <w:szCs w:val="21"/>
                <w:lang w:eastAsia="en-US"/>
              </w:rPr>
              <w:t>储存</w:t>
            </w:r>
          </w:p>
        </w:tc>
        <w:tc>
          <w:tcPr>
            <w:tcW w:w="3820" w:type="dxa"/>
            <w:tcBorders>
              <w:tl2br w:val="nil"/>
              <w:tr2bl w:val="nil"/>
            </w:tcBorders>
            <w:vAlign w:val="center"/>
          </w:tcPr>
          <w:p w14:paraId="6AB3E480">
            <w:pPr>
              <w:widowControl w:val="0"/>
              <w:adjustRightInd w:val="0"/>
              <w:snapToGrid w:val="0"/>
              <w:spacing w:line="240" w:lineRule="auto"/>
              <w:jc w:val="center"/>
              <w:rPr>
                <w:sz w:val="21"/>
                <w:szCs w:val="21"/>
                <w:lang w:eastAsia="en-US"/>
              </w:rPr>
            </w:pPr>
            <w:r>
              <w:rPr>
                <w:sz w:val="21"/>
                <w:szCs w:val="21"/>
                <w:lang w:eastAsia="en-US"/>
              </w:rPr>
              <w:t>遇火、高热可燃</w:t>
            </w:r>
          </w:p>
        </w:tc>
        <w:tc>
          <w:tcPr>
            <w:tcW w:w="1265" w:type="dxa"/>
            <w:tcBorders>
              <w:tl2br w:val="nil"/>
              <w:tr2bl w:val="nil"/>
            </w:tcBorders>
            <w:vAlign w:val="center"/>
          </w:tcPr>
          <w:p w14:paraId="0CA5BA05">
            <w:pPr>
              <w:widowControl w:val="0"/>
              <w:adjustRightInd w:val="0"/>
              <w:snapToGrid w:val="0"/>
              <w:spacing w:line="240" w:lineRule="auto"/>
              <w:jc w:val="center"/>
              <w:rPr>
                <w:sz w:val="21"/>
                <w:szCs w:val="21"/>
                <w:lang w:eastAsia="en-US"/>
              </w:rPr>
            </w:pPr>
            <w:r>
              <w:rPr>
                <w:sz w:val="21"/>
                <w:szCs w:val="21"/>
                <w:lang w:eastAsia="en-US"/>
              </w:rPr>
              <w:t>泄漏、火灾</w:t>
            </w:r>
          </w:p>
        </w:tc>
      </w:tr>
      <w:tr w14:paraId="2F469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0" w:type="dxa"/>
            <w:tcBorders>
              <w:tl2br w:val="nil"/>
              <w:tr2bl w:val="nil"/>
            </w:tcBorders>
            <w:vAlign w:val="center"/>
          </w:tcPr>
          <w:p w14:paraId="0CAF8052">
            <w:pPr>
              <w:widowControl w:val="0"/>
              <w:adjustRightInd w:val="0"/>
              <w:snapToGrid w:val="0"/>
              <w:spacing w:line="240" w:lineRule="auto"/>
              <w:jc w:val="center"/>
              <w:rPr>
                <w:sz w:val="21"/>
                <w:szCs w:val="21"/>
                <w:lang w:eastAsia="en-US"/>
              </w:rPr>
            </w:pPr>
            <w:r>
              <w:rPr>
                <w:rFonts w:hint="eastAsia"/>
                <w:sz w:val="21"/>
                <w:szCs w:val="21"/>
                <w:lang w:eastAsia="en-US"/>
              </w:rPr>
              <w:t>3</w:t>
            </w:r>
          </w:p>
        </w:tc>
        <w:tc>
          <w:tcPr>
            <w:tcW w:w="1561" w:type="dxa"/>
            <w:tcBorders>
              <w:tl2br w:val="nil"/>
              <w:tr2bl w:val="nil"/>
            </w:tcBorders>
            <w:vAlign w:val="center"/>
          </w:tcPr>
          <w:p w14:paraId="149D148B">
            <w:pPr>
              <w:widowControl w:val="0"/>
              <w:adjustRightInd w:val="0"/>
              <w:snapToGrid w:val="0"/>
              <w:spacing w:line="240" w:lineRule="auto"/>
              <w:jc w:val="center"/>
              <w:rPr>
                <w:sz w:val="21"/>
                <w:szCs w:val="21"/>
                <w:lang w:eastAsia="en-US"/>
              </w:rPr>
            </w:pPr>
            <w:r>
              <w:rPr>
                <w:sz w:val="21"/>
                <w:szCs w:val="21"/>
                <w:lang w:eastAsia="en-US"/>
              </w:rPr>
              <w:t>辅助生产区</w:t>
            </w:r>
          </w:p>
        </w:tc>
        <w:tc>
          <w:tcPr>
            <w:tcW w:w="1331" w:type="dxa"/>
            <w:tcBorders>
              <w:tl2br w:val="nil"/>
              <w:tr2bl w:val="nil"/>
            </w:tcBorders>
            <w:vAlign w:val="center"/>
          </w:tcPr>
          <w:p w14:paraId="3FFBD676">
            <w:pPr>
              <w:widowControl w:val="0"/>
              <w:adjustRightInd w:val="0"/>
              <w:snapToGrid w:val="0"/>
              <w:spacing w:line="240" w:lineRule="auto"/>
              <w:jc w:val="center"/>
              <w:rPr>
                <w:sz w:val="21"/>
                <w:szCs w:val="21"/>
                <w:lang w:eastAsia="en-US"/>
              </w:rPr>
            </w:pPr>
            <w:r>
              <w:rPr>
                <w:sz w:val="21"/>
                <w:szCs w:val="21"/>
                <w:lang w:eastAsia="en-US"/>
              </w:rPr>
              <w:t>消防</w:t>
            </w:r>
          </w:p>
        </w:tc>
        <w:tc>
          <w:tcPr>
            <w:tcW w:w="3820" w:type="dxa"/>
            <w:tcBorders>
              <w:tl2br w:val="nil"/>
              <w:tr2bl w:val="nil"/>
            </w:tcBorders>
            <w:vAlign w:val="center"/>
          </w:tcPr>
          <w:p w14:paraId="15651573">
            <w:pPr>
              <w:widowControl w:val="0"/>
              <w:adjustRightInd w:val="0"/>
              <w:snapToGrid w:val="0"/>
              <w:spacing w:line="240" w:lineRule="auto"/>
              <w:jc w:val="center"/>
              <w:rPr>
                <w:sz w:val="21"/>
                <w:szCs w:val="21"/>
                <w:lang w:eastAsia="zh-CN"/>
              </w:rPr>
            </w:pPr>
            <w:r>
              <w:rPr>
                <w:sz w:val="21"/>
                <w:szCs w:val="21"/>
                <w:lang w:eastAsia="zh-CN"/>
              </w:rPr>
              <w:t>重大事故引起火灾时用于灭火的消防水直排(或因处理不当部分直排)进入湘江</w:t>
            </w:r>
          </w:p>
        </w:tc>
        <w:tc>
          <w:tcPr>
            <w:tcW w:w="1265" w:type="dxa"/>
            <w:tcBorders>
              <w:tl2br w:val="nil"/>
              <w:tr2bl w:val="nil"/>
            </w:tcBorders>
            <w:vAlign w:val="center"/>
          </w:tcPr>
          <w:p w14:paraId="56852C55">
            <w:pPr>
              <w:widowControl w:val="0"/>
              <w:adjustRightInd w:val="0"/>
              <w:snapToGrid w:val="0"/>
              <w:spacing w:line="240" w:lineRule="auto"/>
              <w:jc w:val="center"/>
              <w:rPr>
                <w:sz w:val="21"/>
                <w:szCs w:val="21"/>
                <w:lang w:eastAsia="en-US"/>
              </w:rPr>
            </w:pPr>
            <w:r>
              <w:rPr>
                <w:sz w:val="21"/>
                <w:szCs w:val="21"/>
                <w:lang w:eastAsia="en-US"/>
              </w:rPr>
              <w:t>火灾</w:t>
            </w:r>
          </w:p>
        </w:tc>
      </w:tr>
      <w:tr w14:paraId="51F3C9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50" w:type="dxa"/>
            <w:tcBorders>
              <w:tl2br w:val="nil"/>
              <w:tr2bl w:val="nil"/>
            </w:tcBorders>
            <w:vAlign w:val="center"/>
          </w:tcPr>
          <w:p w14:paraId="7E799619">
            <w:pPr>
              <w:widowControl w:val="0"/>
              <w:adjustRightInd w:val="0"/>
              <w:snapToGrid w:val="0"/>
              <w:spacing w:line="240" w:lineRule="auto"/>
              <w:jc w:val="center"/>
              <w:rPr>
                <w:sz w:val="21"/>
                <w:szCs w:val="21"/>
                <w:lang w:eastAsia="en-US"/>
              </w:rPr>
            </w:pPr>
            <w:r>
              <w:rPr>
                <w:rFonts w:hint="eastAsia"/>
                <w:sz w:val="21"/>
                <w:szCs w:val="21"/>
                <w:lang w:eastAsia="en-US"/>
              </w:rPr>
              <w:t>4</w:t>
            </w:r>
          </w:p>
        </w:tc>
        <w:tc>
          <w:tcPr>
            <w:tcW w:w="1561" w:type="dxa"/>
            <w:tcBorders>
              <w:tl2br w:val="nil"/>
              <w:tr2bl w:val="nil"/>
            </w:tcBorders>
            <w:vAlign w:val="center"/>
          </w:tcPr>
          <w:p w14:paraId="21CEA1DB">
            <w:pPr>
              <w:widowControl w:val="0"/>
              <w:adjustRightInd w:val="0"/>
              <w:snapToGrid w:val="0"/>
              <w:spacing w:line="240" w:lineRule="auto"/>
              <w:jc w:val="center"/>
              <w:rPr>
                <w:sz w:val="21"/>
                <w:szCs w:val="21"/>
                <w:lang w:eastAsia="en-US"/>
              </w:rPr>
            </w:pPr>
            <w:r>
              <w:rPr>
                <w:sz w:val="21"/>
                <w:szCs w:val="21"/>
                <w:lang w:eastAsia="en-US"/>
              </w:rPr>
              <w:t>环保设施</w:t>
            </w:r>
          </w:p>
        </w:tc>
        <w:tc>
          <w:tcPr>
            <w:tcW w:w="1331" w:type="dxa"/>
            <w:tcBorders>
              <w:tl2br w:val="nil"/>
              <w:tr2bl w:val="nil"/>
            </w:tcBorders>
            <w:vAlign w:val="center"/>
          </w:tcPr>
          <w:p w14:paraId="2B3332E4">
            <w:pPr>
              <w:widowControl w:val="0"/>
              <w:adjustRightInd w:val="0"/>
              <w:snapToGrid w:val="0"/>
              <w:spacing w:line="240" w:lineRule="auto"/>
              <w:jc w:val="center"/>
              <w:rPr>
                <w:sz w:val="21"/>
                <w:szCs w:val="21"/>
                <w:lang w:eastAsia="en-US"/>
              </w:rPr>
            </w:pPr>
            <w:r>
              <w:rPr>
                <w:sz w:val="21"/>
                <w:szCs w:val="21"/>
                <w:lang w:eastAsia="en-US"/>
              </w:rPr>
              <w:t>废气处理设备</w:t>
            </w:r>
          </w:p>
        </w:tc>
        <w:tc>
          <w:tcPr>
            <w:tcW w:w="3820" w:type="dxa"/>
            <w:tcBorders>
              <w:tl2br w:val="nil"/>
              <w:tr2bl w:val="nil"/>
            </w:tcBorders>
            <w:vAlign w:val="center"/>
          </w:tcPr>
          <w:p w14:paraId="465818AA">
            <w:pPr>
              <w:widowControl w:val="0"/>
              <w:adjustRightInd w:val="0"/>
              <w:snapToGrid w:val="0"/>
              <w:spacing w:line="240" w:lineRule="auto"/>
              <w:jc w:val="center"/>
              <w:rPr>
                <w:sz w:val="21"/>
                <w:szCs w:val="21"/>
                <w:lang w:eastAsia="zh-CN"/>
              </w:rPr>
            </w:pPr>
            <w:r>
              <w:rPr>
                <w:sz w:val="21"/>
                <w:szCs w:val="21"/>
                <w:lang w:eastAsia="zh-CN"/>
              </w:rPr>
              <w:t>处理装置故障、废气处理不达标</w:t>
            </w:r>
          </w:p>
        </w:tc>
        <w:tc>
          <w:tcPr>
            <w:tcW w:w="1265" w:type="dxa"/>
            <w:tcBorders>
              <w:tl2br w:val="nil"/>
              <w:tr2bl w:val="nil"/>
            </w:tcBorders>
            <w:vAlign w:val="center"/>
          </w:tcPr>
          <w:p w14:paraId="475E6A2B">
            <w:pPr>
              <w:widowControl w:val="0"/>
              <w:adjustRightInd w:val="0"/>
              <w:snapToGrid w:val="0"/>
              <w:spacing w:line="240" w:lineRule="auto"/>
              <w:jc w:val="center"/>
              <w:rPr>
                <w:sz w:val="21"/>
                <w:szCs w:val="21"/>
                <w:lang w:eastAsia="en-US"/>
              </w:rPr>
            </w:pPr>
            <w:r>
              <w:rPr>
                <w:sz w:val="21"/>
                <w:szCs w:val="21"/>
                <w:lang w:eastAsia="en-US"/>
              </w:rPr>
              <w:t>事故排放</w:t>
            </w:r>
          </w:p>
        </w:tc>
      </w:tr>
    </w:tbl>
    <w:p w14:paraId="25F2BE5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7.4.2</w:t>
      </w:r>
      <w:r>
        <w:rPr>
          <w:rFonts w:hint="eastAsia"/>
        </w:rPr>
        <w:t>生产系统危险性识别</w:t>
      </w:r>
    </w:p>
    <w:p w14:paraId="2E04B6F8">
      <w:pPr>
        <w:ind w:firstLine="480"/>
      </w:pPr>
      <w:r>
        <w:t>①生产系统危险性识别范围</w:t>
      </w:r>
    </w:p>
    <w:p w14:paraId="2CA63E93">
      <w:pPr>
        <w:ind w:firstLine="480"/>
      </w:pPr>
      <w:r>
        <w:t>生产系统危险性识别，包括主要生产装置、储运设施、公用工程和辅助生产设施，以及环境保护设施等。</w:t>
      </w:r>
    </w:p>
    <w:p w14:paraId="1BBF0E23">
      <w:pPr>
        <w:ind w:firstLine="480"/>
      </w:pPr>
      <w:r>
        <w:t>②主要危险部位分析</w:t>
      </w:r>
    </w:p>
    <w:p w14:paraId="73161398">
      <w:pPr>
        <w:ind w:firstLine="480"/>
      </w:pPr>
      <w:r>
        <w:t>根据工艺流程和生产特点并结合物质风险性识别结果，项目生产过程主要危险部位为原料仓库、危废暂存间、废气处理系统。风险类型包括危险物质泄漏以及火灾、爆炸等引发的伴生/次生污染物排放。</w:t>
      </w:r>
    </w:p>
    <w:p w14:paraId="6B787EFD">
      <w:pPr>
        <w:ind w:firstLine="480"/>
      </w:pPr>
      <w:r>
        <w:t>③运输过程危险性分析</w:t>
      </w:r>
    </w:p>
    <w:p w14:paraId="5B6B9210">
      <w:pPr>
        <w:ind w:firstLine="480"/>
      </w:pPr>
      <w:r>
        <w:t>建设项目原料均采用汽车运输，本项目危险物质的运输全部委托有资质的单位运输。</w:t>
      </w:r>
    </w:p>
    <w:p w14:paraId="1502114C">
      <w:pPr>
        <w:ind w:firstLine="480"/>
      </w:pPr>
      <w:r>
        <w:t>汽车运输时，如不按照有关规范、要求包装危险废物，或不用专用危险废物运输车运输，如装车或运输途中发生包装破损导致漏液，进入河道会引起水体污染，并对周围人群造成潜在威胁。</w:t>
      </w:r>
    </w:p>
    <w:p w14:paraId="33E5D72C">
      <w:pPr>
        <w:ind w:firstLine="480"/>
      </w:pPr>
      <w:r>
        <w:t>运输车辆发生交通事故与各种因素有关，这些因素包括：驾驶员个人因素、运输量、车次、车速、交通量、道路状况等交通条件、道路所在地区气候条件等。危险物质运输必须严格按一定方式进行，同时应有固定的运输路线。随着运输方式、操作方法的不同，运输危险性程度不同。废物运输过程中可能出现的环境风险情况见表</w:t>
      </w:r>
      <w:r>
        <w:rPr>
          <w:rFonts w:hint="eastAsia"/>
        </w:rPr>
        <w:t>7.4</w:t>
      </w:r>
      <w:r>
        <w:t>-</w:t>
      </w:r>
      <w:r>
        <w:rPr>
          <w:rFonts w:hint="eastAsia"/>
        </w:rPr>
        <w:t>6</w:t>
      </w:r>
      <w:r>
        <w:t>。</w:t>
      </w:r>
    </w:p>
    <w:p w14:paraId="1D163597">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表7.4-6 </w:t>
      </w:r>
      <w:r>
        <w:rPr>
          <w:rFonts w:hint="eastAsia" w:ascii="宋体" w:hAnsi="宋体" w:cs="宋体"/>
          <w:b/>
          <w:bCs/>
          <w:color w:val="auto"/>
          <w:kern w:val="2"/>
          <w:sz w:val="21"/>
          <w:szCs w:val="21"/>
          <w:lang w:val="en-US" w:eastAsia="zh-CN" w:bidi="ar-SA"/>
        </w:rPr>
        <w:t xml:space="preserve">   </w:t>
      </w:r>
      <w:r>
        <w:rPr>
          <w:rFonts w:hint="eastAsia"/>
        </w:rPr>
        <w:t>运输过程风险性识别情况表</w:t>
      </w:r>
    </w:p>
    <w:tbl>
      <w:tblPr>
        <w:tblStyle w:val="66"/>
        <w:tblW w:w="8383"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837"/>
        <w:gridCol w:w="1390"/>
        <w:gridCol w:w="5156"/>
      </w:tblGrid>
      <w:tr w14:paraId="119ED3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8" w:hRule="atLeast"/>
        </w:trPr>
        <w:tc>
          <w:tcPr>
            <w:tcW w:w="1837" w:type="dxa"/>
            <w:tcBorders>
              <w:tl2br w:val="nil"/>
              <w:tr2bl w:val="nil"/>
            </w:tcBorders>
            <w:vAlign w:val="center"/>
          </w:tcPr>
          <w:p w14:paraId="470B5188">
            <w:pPr>
              <w:widowControl w:val="0"/>
              <w:adjustRightInd w:val="0"/>
              <w:snapToGrid w:val="0"/>
              <w:spacing w:line="240" w:lineRule="auto"/>
              <w:jc w:val="center"/>
              <w:rPr>
                <w:sz w:val="21"/>
                <w:szCs w:val="21"/>
                <w:lang w:eastAsia="en-US"/>
              </w:rPr>
            </w:pPr>
            <w:r>
              <w:rPr>
                <w:rFonts w:hint="eastAsia"/>
                <w:sz w:val="21"/>
                <w:szCs w:val="21"/>
                <w:lang w:eastAsia="en-US"/>
              </w:rPr>
              <w:t>风险源</w:t>
            </w:r>
          </w:p>
        </w:tc>
        <w:tc>
          <w:tcPr>
            <w:tcW w:w="1390" w:type="dxa"/>
            <w:tcBorders>
              <w:tl2br w:val="nil"/>
              <w:tr2bl w:val="nil"/>
            </w:tcBorders>
            <w:vAlign w:val="center"/>
          </w:tcPr>
          <w:p w14:paraId="756A41B7">
            <w:pPr>
              <w:widowControl w:val="0"/>
              <w:adjustRightInd w:val="0"/>
              <w:snapToGrid w:val="0"/>
              <w:spacing w:line="240" w:lineRule="auto"/>
              <w:jc w:val="center"/>
              <w:rPr>
                <w:sz w:val="21"/>
                <w:szCs w:val="21"/>
                <w:lang w:eastAsia="en-US"/>
              </w:rPr>
            </w:pPr>
            <w:r>
              <w:rPr>
                <w:rFonts w:hint="eastAsia"/>
                <w:sz w:val="21"/>
                <w:szCs w:val="21"/>
                <w:lang w:eastAsia="en-US"/>
              </w:rPr>
              <w:t>事故类型</w:t>
            </w:r>
          </w:p>
        </w:tc>
        <w:tc>
          <w:tcPr>
            <w:tcW w:w="5156" w:type="dxa"/>
            <w:tcBorders>
              <w:tl2br w:val="nil"/>
              <w:tr2bl w:val="nil"/>
            </w:tcBorders>
            <w:vAlign w:val="center"/>
          </w:tcPr>
          <w:p w14:paraId="7D32F245">
            <w:pPr>
              <w:widowControl w:val="0"/>
              <w:adjustRightInd w:val="0"/>
              <w:snapToGrid w:val="0"/>
              <w:spacing w:line="240" w:lineRule="auto"/>
              <w:jc w:val="center"/>
              <w:rPr>
                <w:sz w:val="21"/>
                <w:szCs w:val="21"/>
                <w:lang w:eastAsia="en-US"/>
              </w:rPr>
            </w:pPr>
            <w:r>
              <w:rPr>
                <w:rFonts w:hint="eastAsia"/>
                <w:sz w:val="21"/>
                <w:szCs w:val="21"/>
                <w:lang w:eastAsia="en-US"/>
              </w:rPr>
              <w:t>风险因素</w:t>
            </w:r>
          </w:p>
        </w:tc>
      </w:tr>
      <w:tr w14:paraId="424F42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1837" w:type="dxa"/>
            <w:tcBorders>
              <w:tl2br w:val="nil"/>
              <w:tr2bl w:val="nil"/>
            </w:tcBorders>
            <w:vAlign w:val="center"/>
          </w:tcPr>
          <w:p w14:paraId="6533CBED">
            <w:pPr>
              <w:widowControl w:val="0"/>
              <w:adjustRightInd w:val="0"/>
              <w:snapToGrid w:val="0"/>
              <w:spacing w:line="240" w:lineRule="auto"/>
              <w:jc w:val="center"/>
              <w:rPr>
                <w:sz w:val="21"/>
                <w:szCs w:val="21"/>
                <w:lang w:eastAsia="zh-CN"/>
              </w:rPr>
            </w:pPr>
            <w:r>
              <w:rPr>
                <w:sz w:val="21"/>
                <w:szCs w:val="21"/>
                <w:lang w:eastAsia="zh-CN"/>
              </w:rPr>
              <w:t>人口集中区（村、镇、集市或学校）</w:t>
            </w:r>
          </w:p>
        </w:tc>
        <w:tc>
          <w:tcPr>
            <w:tcW w:w="1390" w:type="dxa"/>
            <w:tcBorders>
              <w:tl2br w:val="nil"/>
              <w:tr2bl w:val="nil"/>
            </w:tcBorders>
            <w:vAlign w:val="center"/>
          </w:tcPr>
          <w:p w14:paraId="61542F18">
            <w:pPr>
              <w:widowControl w:val="0"/>
              <w:adjustRightInd w:val="0"/>
              <w:snapToGrid w:val="0"/>
              <w:spacing w:line="240" w:lineRule="auto"/>
              <w:jc w:val="center"/>
              <w:rPr>
                <w:sz w:val="21"/>
                <w:szCs w:val="21"/>
                <w:lang w:eastAsia="en-US"/>
              </w:rPr>
            </w:pPr>
            <w:r>
              <w:rPr>
                <w:sz w:val="21"/>
                <w:szCs w:val="21"/>
                <w:lang w:eastAsia="en-US"/>
              </w:rPr>
              <w:t>交通事故</w:t>
            </w:r>
          </w:p>
        </w:tc>
        <w:tc>
          <w:tcPr>
            <w:tcW w:w="5156" w:type="dxa"/>
            <w:tcBorders>
              <w:tl2br w:val="nil"/>
              <w:tr2bl w:val="nil"/>
            </w:tcBorders>
            <w:vAlign w:val="center"/>
          </w:tcPr>
          <w:p w14:paraId="1546C0D4">
            <w:pPr>
              <w:widowControl w:val="0"/>
              <w:adjustRightInd w:val="0"/>
              <w:snapToGrid w:val="0"/>
              <w:spacing w:line="240" w:lineRule="auto"/>
              <w:jc w:val="center"/>
              <w:rPr>
                <w:sz w:val="21"/>
                <w:szCs w:val="21"/>
                <w:lang w:eastAsia="zh-CN"/>
              </w:rPr>
            </w:pPr>
            <w:r>
              <w:rPr>
                <w:sz w:val="21"/>
                <w:szCs w:val="21"/>
                <w:lang w:eastAsia="zh-CN"/>
              </w:rPr>
              <w:t>危险物质散落地面，引起废物四处流动，蒸发扩散，污染土壤、空气，威胁周围人群安全</w:t>
            </w:r>
          </w:p>
        </w:tc>
      </w:tr>
      <w:tr w14:paraId="753141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1837" w:type="dxa"/>
            <w:tcBorders>
              <w:tl2br w:val="nil"/>
              <w:tr2bl w:val="nil"/>
            </w:tcBorders>
            <w:vAlign w:val="center"/>
          </w:tcPr>
          <w:p w14:paraId="0F818FE1">
            <w:pPr>
              <w:widowControl w:val="0"/>
              <w:adjustRightInd w:val="0"/>
              <w:snapToGrid w:val="0"/>
              <w:spacing w:line="240" w:lineRule="auto"/>
              <w:jc w:val="center"/>
              <w:rPr>
                <w:sz w:val="21"/>
                <w:szCs w:val="21"/>
                <w:lang w:eastAsia="en-US"/>
              </w:rPr>
            </w:pPr>
            <w:r>
              <w:rPr>
                <w:sz w:val="21"/>
                <w:szCs w:val="21"/>
                <w:lang w:eastAsia="en-US"/>
              </w:rPr>
              <w:t>水域敏感区</w:t>
            </w:r>
          </w:p>
        </w:tc>
        <w:tc>
          <w:tcPr>
            <w:tcW w:w="1390" w:type="dxa"/>
            <w:tcBorders>
              <w:tl2br w:val="nil"/>
              <w:tr2bl w:val="nil"/>
            </w:tcBorders>
            <w:vAlign w:val="center"/>
          </w:tcPr>
          <w:p w14:paraId="09A082C6">
            <w:pPr>
              <w:widowControl w:val="0"/>
              <w:adjustRightInd w:val="0"/>
              <w:snapToGrid w:val="0"/>
              <w:spacing w:line="240" w:lineRule="auto"/>
              <w:jc w:val="center"/>
              <w:rPr>
                <w:sz w:val="21"/>
                <w:szCs w:val="21"/>
                <w:lang w:eastAsia="en-US"/>
              </w:rPr>
            </w:pPr>
            <w:r>
              <w:rPr>
                <w:sz w:val="21"/>
                <w:szCs w:val="21"/>
                <w:lang w:eastAsia="en-US"/>
              </w:rPr>
              <w:t>交通事故</w:t>
            </w:r>
          </w:p>
        </w:tc>
        <w:tc>
          <w:tcPr>
            <w:tcW w:w="5156" w:type="dxa"/>
            <w:tcBorders>
              <w:tl2br w:val="nil"/>
              <w:tr2bl w:val="nil"/>
            </w:tcBorders>
            <w:vAlign w:val="center"/>
          </w:tcPr>
          <w:p w14:paraId="753A75F4">
            <w:pPr>
              <w:widowControl w:val="0"/>
              <w:adjustRightInd w:val="0"/>
              <w:snapToGrid w:val="0"/>
              <w:spacing w:line="240" w:lineRule="auto"/>
              <w:jc w:val="center"/>
              <w:rPr>
                <w:sz w:val="21"/>
                <w:szCs w:val="21"/>
                <w:lang w:eastAsia="zh-CN"/>
              </w:rPr>
            </w:pPr>
            <w:r>
              <w:rPr>
                <w:sz w:val="21"/>
                <w:szCs w:val="21"/>
                <w:lang w:eastAsia="zh-CN"/>
              </w:rPr>
              <w:t>危险物质进入水中，废物中的有毒有害物质污染水体</w:t>
            </w:r>
          </w:p>
        </w:tc>
      </w:tr>
      <w:tr w14:paraId="5C2C6F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1837" w:type="dxa"/>
            <w:tcBorders>
              <w:tl2br w:val="nil"/>
              <w:tr2bl w:val="nil"/>
            </w:tcBorders>
            <w:vAlign w:val="center"/>
          </w:tcPr>
          <w:p w14:paraId="575B07D5">
            <w:pPr>
              <w:widowControl w:val="0"/>
              <w:adjustRightInd w:val="0"/>
              <w:snapToGrid w:val="0"/>
              <w:spacing w:line="240" w:lineRule="auto"/>
              <w:jc w:val="center"/>
              <w:rPr>
                <w:sz w:val="21"/>
                <w:szCs w:val="21"/>
                <w:lang w:eastAsia="en-US"/>
              </w:rPr>
            </w:pPr>
            <w:r>
              <w:rPr>
                <w:sz w:val="21"/>
                <w:szCs w:val="21"/>
                <w:lang w:eastAsia="en-US"/>
              </w:rPr>
              <w:t>车辆易坠落区</w:t>
            </w:r>
          </w:p>
        </w:tc>
        <w:tc>
          <w:tcPr>
            <w:tcW w:w="1390" w:type="dxa"/>
            <w:tcBorders>
              <w:tl2br w:val="nil"/>
              <w:tr2bl w:val="nil"/>
            </w:tcBorders>
            <w:vAlign w:val="center"/>
          </w:tcPr>
          <w:p w14:paraId="6B76FC8E">
            <w:pPr>
              <w:widowControl w:val="0"/>
              <w:adjustRightInd w:val="0"/>
              <w:snapToGrid w:val="0"/>
              <w:spacing w:line="240" w:lineRule="auto"/>
              <w:jc w:val="center"/>
              <w:rPr>
                <w:sz w:val="21"/>
                <w:szCs w:val="21"/>
                <w:lang w:eastAsia="en-US"/>
              </w:rPr>
            </w:pPr>
            <w:r>
              <w:rPr>
                <w:sz w:val="21"/>
                <w:szCs w:val="21"/>
                <w:lang w:eastAsia="en-US"/>
              </w:rPr>
              <w:t>运输车辆坠落</w:t>
            </w:r>
          </w:p>
        </w:tc>
        <w:tc>
          <w:tcPr>
            <w:tcW w:w="5156" w:type="dxa"/>
            <w:tcBorders>
              <w:tl2br w:val="nil"/>
              <w:tr2bl w:val="nil"/>
            </w:tcBorders>
            <w:vAlign w:val="center"/>
          </w:tcPr>
          <w:p w14:paraId="725335F8">
            <w:pPr>
              <w:widowControl w:val="0"/>
              <w:adjustRightInd w:val="0"/>
              <w:snapToGrid w:val="0"/>
              <w:spacing w:line="240" w:lineRule="auto"/>
              <w:jc w:val="center"/>
              <w:rPr>
                <w:sz w:val="21"/>
                <w:szCs w:val="21"/>
                <w:lang w:eastAsia="zh-CN"/>
              </w:rPr>
            </w:pPr>
            <w:r>
              <w:rPr>
                <w:sz w:val="21"/>
                <w:szCs w:val="21"/>
                <w:lang w:eastAsia="zh-CN"/>
              </w:rPr>
              <w:t>危险物质散落地面，引起废物中的有毒有害物质污染水体、土壤、空气</w:t>
            </w:r>
          </w:p>
        </w:tc>
      </w:tr>
    </w:tbl>
    <w:p w14:paraId="2A2C813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7.4.3</w:t>
      </w:r>
      <w:r>
        <w:rPr>
          <w:rFonts w:hint="eastAsia"/>
        </w:rPr>
        <w:t>危险物质向环境转移的途径识别</w:t>
      </w:r>
    </w:p>
    <w:p w14:paraId="38E0229E">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有毒有害物质放散起因，分为泄漏、火灾和爆炸三种类型。本项目生产过程中泄漏事故出现的可能性较大，因此考虑由此造成的污染物事故排放。空气、水体和土壤等环境要素是危险性物质向环境转移的最基本的途径，同时这三种要素之间又随时发生着物质和能量的传递，污染物进入环境后，随着空气和水体环境发生推流迁移、分散稀释和降解转化运动。</w:t>
      </w:r>
    </w:p>
    <w:p w14:paraId="77C7DE1C">
      <w:pPr>
        <w:pStyle w:val="38"/>
        <w:ind w:firstLine="480"/>
        <w:rPr>
          <w:rFonts w:ascii="Times New Roman" w:hAnsi="Times New Roman" w:eastAsia="宋体" w:cs="Times New Roman"/>
          <w:color w:val="auto"/>
        </w:rPr>
      </w:pPr>
      <w:r>
        <w:rPr>
          <w:rFonts w:ascii="Times New Roman" w:hAnsi="Times New Roman" w:eastAsia="宋体" w:cs="Times New Roman"/>
          <w:color w:val="auto"/>
        </w:rPr>
        <w:t>本项目危险物质扩散途径主要有如下几个方面：</w:t>
      </w:r>
    </w:p>
    <w:p w14:paraId="268AB1F8">
      <w:pPr>
        <w:pStyle w:val="38"/>
        <w:ind w:firstLine="480"/>
        <w:rPr>
          <w:rFonts w:ascii="Times New Roman" w:hAnsi="Times New Roman" w:eastAsia="宋体" w:cs="Times New Roman"/>
          <w:color w:val="auto"/>
        </w:rPr>
      </w:pPr>
      <w:r>
        <w:rPr>
          <w:rFonts w:ascii="Times New Roman" w:hAnsi="Times New Roman" w:eastAsia="宋体" w:cs="Times New Roman"/>
          <w:color w:val="auto"/>
        </w:rPr>
        <w:t>大气扩散：项目风险物质泄漏后经挥发直接进入大气环境可造成窒息或中毒事故；易燃易爆物质泄漏，遇明火发生火灾爆炸事故时伴生污染物进入大气环境，通过大气扩散对周围环境和敏感目标造成危害；废气处理装置因法兰、阀门、密封不严或者管道破裂致使废气泄漏或者因装置故障造成事故性排放或爆炸等情况；废气处理装置集气装置堵塞或其他原因引起车间内或装置内浓度过高引起火灾、爆炸等情况，由此造成的污染事故。</w:t>
      </w:r>
    </w:p>
    <w:p w14:paraId="24CB2A27">
      <w:pPr>
        <w:pStyle w:val="38"/>
        <w:ind w:firstLine="480"/>
        <w:rPr>
          <w:rFonts w:ascii="Times New Roman" w:hAnsi="Times New Roman" w:eastAsia="宋体" w:cs="Times New Roman"/>
          <w:color w:val="auto"/>
        </w:rPr>
      </w:pPr>
      <w:r>
        <w:rPr>
          <w:rFonts w:ascii="Times New Roman" w:hAnsi="Times New Roman" w:eastAsia="宋体" w:cs="Times New Roman"/>
          <w:color w:val="auto"/>
        </w:rPr>
        <w:t>地表水扩散：地表水扩散途径主要为项目易燃易爆物质发生火灾事故时产生的消防废水或者泄漏的液态危险物质未能得到及时有效收集而漫流出厂界，通过市政雨水管网排放入纳污水体，对纳污水体环境造成影响。</w:t>
      </w:r>
    </w:p>
    <w:p w14:paraId="0DB2D350">
      <w:pPr>
        <w:pStyle w:val="38"/>
        <w:ind w:firstLine="480"/>
        <w:rPr>
          <w:rFonts w:ascii="Times New Roman" w:hAnsi="Times New Roman" w:eastAsia="宋体" w:cs="Times New Roman"/>
          <w:color w:val="auto"/>
        </w:rPr>
      </w:pPr>
      <w:r>
        <w:rPr>
          <w:rFonts w:ascii="Times New Roman" w:hAnsi="Times New Roman" w:eastAsia="宋体" w:cs="Times New Roman"/>
          <w:color w:val="auto"/>
        </w:rPr>
        <w:t>地下水、土壤扩散：项目液态危险物质泄漏或事故废水，通过厂区地面下渗至土壤及至地下含水层并向下游运移，对土壤以及地下水环境敏感目标造成风险事故。</w:t>
      </w:r>
    </w:p>
    <w:p w14:paraId="768A847B">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表7.4-7 </w:t>
      </w:r>
      <w:r>
        <w:rPr>
          <w:rFonts w:hint="eastAsia" w:ascii="宋体" w:hAnsi="宋体" w:cs="宋体"/>
          <w:b/>
          <w:bCs/>
          <w:color w:val="auto"/>
          <w:kern w:val="2"/>
          <w:sz w:val="21"/>
          <w:szCs w:val="21"/>
          <w:lang w:val="en-US" w:eastAsia="zh-CN" w:bidi="ar-SA"/>
        </w:rPr>
        <w:t xml:space="preserve">   </w:t>
      </w:r>
      <w:r>
        <w:rPr>
          <w:rFonts w:hint="eastAsia"/>
        </w:rPr>
        <w:t>风险识别情况一览表</w:t>
      </w:r>
    </w:p>
    <w:tbl>
      <w:tblPr>
        <w:tblStyle w:val="31"/>
        <w:tblW w:w="9186"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58"/>
        <w:gridCol w:w="876"/>
        <w:gridCol w:w="2269"/>
        <w:gridCol w:w="1245"/>
        <w:gridCol w:w="1369"/>
        <w:gridCol w:w="2969"/>
      </w:tblGrid>
      <w:tr w14:paraId="347C7A0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7" w:hRule="atLeast"/>
          <w:jc w:val="center"/>
        </w:trPr>
        <w:tc>
          <w:tcPr>
            <w:tcW w:w="458" w:type="dxa"/>
            <w:vMerge w:val="restart"/>
            <w:tcBorders>
              <w:bottom w:val="single" w:color="000000" w:sz="6" w:space="0"/>
              <w:right w:val="single" w:color="000000" w:sz="6" w:space="0"/>
            </w:tcBorders>
            <w:vAlign w:val="center"/>
          </w:tcPr>
          <w:p w14:paraId="53AEEA7E">
            <w:pPr>
              <w:adjustRightInd w:val="0"/>
              <w:snapToGrid w:val="0"/>
              <w:spacing w:line="240" w:lineRule="auto"/>
              <w:jc w:val="center"/>
              <w:rPr>
                <w:sz w:val="21"/>
                <w:szCs w:val="21"/>
              </w:rPr>
            </w:pPr>
            <w:r>
              <w:rPr>
                <w:sz w:val="21"/>
                <w:szCs w:val="21"/>
              </w:rPr>
              <w:t>序号</w:t>
            </w:r>
          </w:p>
        </w:tc>
        <w:tc>
          <w:tcPr>
            <w:tcW w:w="876" w:type="dxa"/>
            <w:vMerge w:val="restart"/>
            <w:tcBorders>
              <w:left w:val="single" w:color="000000" w:sz="6" w:space="0"/>
              <w:bottom w:val="single" w:color="000000" w:sz="6" w:space="0"/>
              <w:right w:val="single" w:color="000000" w:sz="6" w:space="0"/>
            </w:tcBorders>
            <w:vAlign w:val="center"/>
          </w:tcPr>
          <w:p w14:paraId="4805389F">
            <w:pPr>
              <w:adjustRightInd w:val="0"/>
              <w:snapToGrid w:val="0"/>
              <w:spacing w:line="240" w:lineRule="auto"/>
              <w:jc w:val="center"/>
              <w:rPr>
                <w:sz w:val="21"/>
                <w:szCs w:val="21"/>
              </w:rPr>
            </w:pPr>
            <w:r>
              <w:rPr>
                <w:sz w:val="21"/>
                <w:szCs w:val="21"/>
              </w:rPr>
              <w:t>主要危险部位</w:t>
            </w:r>
          </w:p>
        </w:tc>
        <w:tc>
          <w:tcPr>
            <w:tcW w:w="2269" w:type="dxa"/>
            <w:vMerge w:val="restart"/>
            <w:tcBorders>
              <w:left w:val="single" w:color="000000" w:sz="6" w:space="0"/>
              <w:bottom w:val="single" w:color="000000" w:sz="6" w:space="0"/>
              <w:right w:val="single" w:color="000000" w:sz="6" w:space="0"/>
            </w:tcBorders>
            <w:vAlign w:val="center"/>
          </w:tcPr>
          <w:p w14:paraId="6605165B">
            <w:pPr>
              <w:adjustRightInd w:val="0"/>
              <w:snapToGrid w:val="0"/>
              <w:spacing w:line="240" w:lineRule="auto"/>
              <w:jc w:val="center"/>
              <w:rPr>
                <w:sz w:val="21"/>
                <w:szCs w:val="21"/>
              </w:rPr>
            </w:pPr>
            <w:r>
              <w:rPr>
                <w:sz w:val="21"/>
                <w:szCs w:val="21"/>
              </w:rPr>
              <w:t>主要危险物质</w:t>
            </w:r>
          </w:p>
        </w:tc>
        <w:tc>
          <w:tcPr>
            <w:tcW w:w="5583" w:type="dxa"/>
            <w:gridSpan w:val="3"/>
            <w:tcBorders>
              <w:left w:val="single" w:color="000000" w:sz="6" w:space="0"/>
              <w:bottom w:val="single" w:color="000000" w:sz="6" w:space="0"/>
            </w:tcBorders>
            <w:vAlign w:val="center"/>
          </w:tcPr>
          <w:p w14:paraId="59C06D41">
            <w:pPr>
              <w:adjustRightInd w:val="0"/>
              <w:snapToGrid w:val="0"/>
              <w:spacing w:line="240" w:lineRule="auto"/>
              <w:jc w:val="center"/>
              <w:rPr>
                <w:sz w:val="21"/>
                <w:szCs w:val="21"/>
              </w:rPr>
            </w:pPr>
            <w:r>
              <w:rPr>
                <w:sz w:val="21"/>
                <w:szCs w:val="21"/>
              </w:rPr>
              <w:t>可能发生的事故</w:t>
            </w:r>
          </w:p>
        </w:tc>
      </w:tr>
      <w:tr w14:paraId="6CBEC03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1" w:hRule="atLeast"/>
          <w:jc w:val="center"/>
        </w:trPr>
        <w:tc>
          <w:tcPr>
            <w:tcW w:w="458" w:type="dxa"/>
            <w:vMerge w:val="continue"/>
            <w:tcBorders>
              <w:top w:val="nil"/>
              <w:bottom w:val="single" w:color="000000" w:sz="6" w:space="0"/>
              <w:right w:val="single" w:color="000000" w:sz="6" w:space="0"/>
            </w:tcBorders>
            <w:vAlign w:val="center"/>
          </w:tcPr>
          <w:p w14:paraId="1EDA684C">
            <w:pPr>
              <w:adjustRightInd w:val="0"/>
              <w:snapToGrid w:val="0"/>
              <w:spacing w:line="240" w:lineRule="auto"/>
              <w:jc w:val="center"/>
              <w:rPr>
                <w:sz w:val="21"/>
                <w:szCs w:val="21"/>
              </w:rPr>
            </w:pPr>
          </w:p>
        </w:tc>
        <w:tc>
          <w:tcPr>
            <w:tcW w:w="876" w:type="dxa"/>
            <w:vMerge w:val="continue"/>
            <w:tcBorders>
              <w:top w:val="nil"/>
              <w:left w:val="single" w:color="000000" w:sz="6" w:space="0"/>
              <w:bottom w:val="single" w:color="000000" w:sz="6" w:space="0"/>
              <w:right w:val="single" w:color="000000" w:sz="6" w:space="0"/>
            </w:tcBorders>
            <w:vAlign w:val="center"/>
          </w:tcPr>
          <w:p w14:paraId="4E7F1E85">
            <w:pPr>
              <w:adjustRightInd w:val="0"/>
              <w:snapToGrid w:val="0"/>
              <w:spacing w:line="240" w:lineRule="auto"/>
              <w:jc w:val="center"/>
              <w:rPr>
                <w:sz w:val="21"/>
                <w:szCs w:val="21"/>
              </w:rPr>
            </w:pPr>
          </w:p>
        </w:tc>
        <w:tc>
          <w:tcPr>
            <w:tcW w:w="2269" w:type="dxa"/>
            <w:vMerge w:val="continue"/>
            <w:tcBorders>
              <w:top w:val="nil"/>
              <w:left w:val="single" w:color="000000" w:sz="6" w:space="0"/>
              <w:bottom w:val="single" w:color="000000" w:sz="6" w:space="0"/>
              <w:right w:val="single" w:color="000000" w:sz="6" w:space="0"/>
            </w:tcBorders>
            <w:vAlign w:val="center"/>
          </w:tcPr>
          <w:p w14:paraId="246E6D13">
            <w:pPr>
              <w:adjustRightInd w:val="0"/>
              <w:snapToGrid w:val="0"/>
              <w:spacing w:line="240" w:lineRule="auto"/>
              <w:jc w:val="center"/>
              <w:rPr>
                <w:sz w:val="21"/>
                <w:szCs w:val="21"/>
              </w:rPr>
            </w:pPr>
          </w:p>
        </w:tc>
        <w:tc>
          <w:tcPr>
            <w:tcW w:w="1245" w:type="dxa"/>
            <w:tcBorders>
              <w:top w:val="single" w:color="000000" w:sz="6" w:space="0"/>
              <w:left w:val="single" w:color="000000" w:sz="6" w:space="0"/>
              <w:bottom w:val="single" w:color="000000" w:sz="6" w:space="0"/>
              <w:right w:val="single" w:color="000000" w:sz="6" w:space="0"/>
            </w:tcBorders>
            <w:vAlign w:val="center"/>
          </w:tcPr>
          <w:p w14:paraId="323A9C23">
            <w:pPr>
              <w:adjustRightInd w:val="0"/>
              <w:snapToGrid w:val="0"/>
              <w:spacing w:line="240" w:lineRule="auto"/>
              <w:jc w:val="center"/>
              <w:rPr>
                <w:sz w:val="21"/>
                <w:szCs w:val="21"/>
              </w:rPr>
            </w:pPr>
            <w:r>
              <w:rPr>
                <w:sz w:val="21"/>
                <w:szCs w:val="21"/>
              </w:rPr>
              <w:t>原因</w:t>
            </w:r>
          </w:p>
        </w:tc>
        <w:tc>
          <w:tcPr>
            <w:tcW w:w="1369" w:type="dxa"/>
            <w:tcBorders>
              <w:top w:val="single" w:color="000000" w:sz="6" w:space="0"/>
              <w:left w:val="single" w:color="000000" w:sz="6" w:space="0"/>
              <w:bottom w:val="single" w:color="000000" w:sz="6" w:space="0"/>
              <w:right w:val="single" w:color="000000" w:sz="6" w:space="0"/>
            </w:tcBorders>
            <w:vAlign w:val="center"/>
          </w:tcPr>
          <w:p w14:paraId="4D645980">
            <w:pPr>
              <w:adjustRightInd w:val="0"/>
              <w:snapToGrid w:val="0"/>
              <w:spacing w:line="240" w:lineRule="auto"/>
              <w:jc w:val="center"/>
              <w:rPr>
                <w:sz w:val="21"/>
                <w:szCs w:val="21"/>
              </w:rPr>
            </w:pPr>
            <w:r>
              <w:rPr>
                <w:sz w:val="21"/>
                <w:szCs w:val="21"/>
              </w:rPr>
              <w:t>事故类型</w:t>
            </w:r>
          </w:p>
        </w:tc>
        <w:tc>
          <w:tcPr>
            <w:tcW w:w="2969" w:type="dxa"/>
            <w:tcBorders>
              <w:top w:val="single" w:color="000000" w:sz="6" w:space="0"/>
              <w:left w:val="single" w:color="000000" w:sz="6" w:space="0"/>
              <w:bottom w:val="single" w:color="000000" w:sz="6" w:space="0"/>
            </w:tcBorders>
            <w:vAlign w:val="center"/>
          </w:tcPr>
          <w:p w14:paraId="71118212">
            <w:pPr>
              <w:adjustRightInd w:val="0"/>
              <w:snapToGrid w:val="0"/>
              <w:spacing w:line="240" w:lineRule="auto"/>
              <w:jc w:val="center"/>
              <w:rPr>
                <w:sz w:val="21"/>
                <w:szCs w:val="21"/>
              </w:rPr>
            </w:pPr>
            <w:r>
              <w:rPr>
                <w:sz w:val="21"/>
                <w:szCs w:val="21"/>
              </w:rPr>
              <w:t>后果</w:t>
            </w:r>
          </w:p>
        </w:tc>
      </w:tr>
      <w:tr w14:paraId="4CCEEF7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5" w:hRule="atLeast"/>
          <w:jc w:val="center"/>
        </w:trPr>
        <w:tc>
          <w:tcPr>
            <w:tcW w:w="458" w:type="dxa"/>
            <w:tcBorders>
              <w:top w:val="single" w:color="000000" w:sz="6" w:space="0"/>
              <w:bottom w:val="single" w:color="000000" w:sz="6" w:space="0"/>
              <w:right w:val="single" w:color="000000" w:sz="6" w:space="0"/>
            </w:tcBorders>
            <w:vAlign w:val="center"/>
          </w:tcPr>
          <w:p w14:paraId="5844DF6F">
            <w:pPr>
              <w:adjustRightInd w:val="0"/>
              <w:snapToGrid w:val="0"/>
              <w:spacing w:line="240" w:lineRule="auto"/>
              <w:jc w:val="center"/>
              <w:rPr>
                <w:sz w:val="21"/>
                <w:szCs w:val="21"/>
              </w:rPr>
            </w:pPr>
            <w:r>
              <w:rPr>
                <w:sz w:val="21"/>
                <w:szCs w:val="21"/>
              </w:rPr>
              <w:t>1</w:t>
            </w:r>
          </w:p>
        </w:tc>
        <w:tc>
          <w:tcPr>
            <w:tcW w:w="876" w:type="dxa"/>
            <w:tcBorders>
              <w:top w:val="single" w:color="000000" w:sz="6" w:space="0"/>
              <w:left w:val="single" w:color="000000" w:sz="6" w:space="0"/>
              <w:bottom w:val="single" w:color="000000" w:sz="6" w:space="0"/>
              <w:right w:val="single" w:color="000000" w:sz="6" w:space="0"/>
            </w:tcBorders>
            <w:vAlign w:val="center"/>
          </w:tcPr>
          <w:p w14:paraId="6F16D2D2">
            <w:pPr>
              <w:adjustRightInd w:val="0"/>
              <w:snapToGrid w:val="0"/>
              <w:spacing w:line="240" w:lineRule="auto"/>
              <w:jc w:val="center"/>
              <w:rPr>
                <w:sz w:val="21"/>
                <w:szCs w:val="21"/>
              </w:rPr>
            </w:pPr>
            <w:r>
              <w:rPr>
                <w:sz w:val="21"/>
                <w:szCs w:val="21"/>
              </w:rPr>
              <w:t>VOCs原料库</w:t>
            </w:r>
          </w:p>
        </w:tc>
        <w:tc>
          <w:tcPr>
            <w:tcW w:w="2269" w:type="dxa"/>
            <w:tcBorders>
              <w:top w:val="single" w:color="000000" w:sz="6" w:space="0"/>
              <w:left w:val="single" w:color="000000" w:sz="6" w:space="0"/>
              <w:bottom w:val="single" w:color="000000" w:sz="6" w:space="0"/>
              <w:right w:val="single" w:color="000000" w:sz="6" w:space="0"/>
            </w:tcBorders>
            <w:vAlign w:val="center"/>
          </w:tcPr>
          <w:p w14:paraId="7DF410D1">
            <w:pPr>
              <w:adjustRightInd w:val="0"/>
              <w:snapToGrid w:val="0"/>
              <w:spacing w:line="240" w:lineRule="auto"/>
              <w:jc w:val="center"/>
              <w:rPr>
                <w:sz w:val="21"/>
                <w:szCs w:val="21"/>
              </w:rPr>
            </w:pPr>
            <w:r>
              <w:rPr>
                <w:sz w:val="21"/>
                <w:szCs w:val="21"/>
              </w:rPr>
              <w:t>异丙醇、乙酸乙酯、</w:t>
            </w:r>
            <w:r>
              <w:rPr>
                <w:rFonts w:hint="eastAsia"/>
                <w:sz w:val="21"/>
                <w:szCs w:val="21"/>
              </w:rPr>
              <w:t>乙酸</w:t>
            </w:r>
            <w:r>
              <w:rPr>
                <w:sz w:val="21"/>
                <w:szCs w:val="21"/>
              </w:rPr>
              <w:t>正丙酯、油墨、聚氨酯胶</w:t>
            </w:r>
          </w:p>
          <w:p w14:paraId="3C77FEB7">
            <w:pPr>
              <w:adjustRightInd w:val="0"/>
              <w:snapToGrid w:val="0"/>
              <w:spacing w:line="240" w:lineRule="auto"/>
              <w:jc w:val="center"/>
              <w:rPr>
                <w:sz w:val="21"/>
                <w:szCs w:val="21"/>
              </w:rPr>
            </w:pPr>
            <w:r>
              <w:rPr>
                <w:sz w:val="21"/>
                <w:szCs w:val="21"/>
              </w:rPr>
              <w:t>水原料</w:t>
            </w:r>
          </w:p>
        </w:tc>
        <w:tc>
          <w:tcPr>
            <w:tcW w:w="1245" w:type="dxa"/>
            <w:tcBorders>
              <w:top w:val="single" w:color="000000" w:sz="6" w:space="0"/>
              <w:left w:val="single" w:color="000000" w:sz="6" w:space="0"/>
              <w:bottom w:val="single" w:color="000000" w:sz="6" w:space="0"/>
              <w:right w:val="single" w:color="000000" w:sz="6" w:space="0"/>
            </w:tcBorders>
            <w:vAlign w:val="center"/>
          </w:tcPr>
          <w:p w14:paraId="2E8649F4">
            <w:pPr>
              <w:adjustRightInd w:val="0"/>
              <w:snapToGrid w:val="0"/>
              <w:spacing w:line="240" w:lineRule="auto"/>
              <w:jc w:val="center"/>
              <w:rPr>
                <w:sz w:val="21"/>
                <w:szCs w:val="21"/>
              </w:rPr>
            </w:pPr>
            <w:r>
              <w:rPr>
                <w:sz w:val="21"/>
                <w:szCs w:val="21"/>
              </w:rPr>
              <w:t>操作不当</w:t>
            </w:r>
          </w:p>
        </w:tc>
        <w:tc>
          <w:tcPr>
            <w:tcW w:w="1369" w:type="dxa"/>
            <w:tcBorders>
              <w:top w:val="single" w:color="000000" w:sz="6" w:space="0"/>
              <w:left w:val="single" w:color="000000" w:sz="6" w:space="0"/>
              <w:bottom w:val="single" w:color="000000" w:sz="6" w:space="0"/>
              <w:right w:val="single" w:color="000000" w:sz="6" w:space="0"/>
            </w:tcBorders>
            <w:vAlign w:val="center"/>
          </w:tcPr>
          <w:p w14:paraId="57C2BEAF">
            <w:pPr>
              <w:adjustRightInd w:val="0"/>
              <w:snapToGrid w:val="0"/>
              <w:spacing w:line="240" w:lineRule="auto"/>
              <w:jc w:val="center"/>
              <w:rPr>
                <w:sz w:val="21"/>
                <w:szCs w:val="21"/>
              </w:rPr>
            </w:pPr>
            <w:r>
              <w:rPr>
                <w:sz w:val="21"/>
                <w:szCs w:val="21"/>
              </w:rPr>
              <w:t>原料泄漏</w:t>
            </w:r>
          </w:p>
        </w:tc>
        <w:tc>
          <w:tcPr>
            <w:tcW w:w="2969" w:type="dxa"/>
            <w:tcBorders>
              <w:top w:val="single" w:color="000000" w:sz="6" w:space="0"/>
              <w:left w:val="single" w:color="000000" w:sz="6" w:space="0"/>
              <w:bottom w:val="single" w:color="000000" w:sz="6" w:space="0"/>
            </w:tcBorders>
            <w:vAlign w:val="center"/>
          </w:tcPr>
          <w:p w14:paraId="7EC5672A">
            <w:pPr>
              <w:adjustRightInd w:val="0"/>
              <w:snapToGrid w:val="0"/>
              <w:spacing w:line="240" w:lineRule="auto"/>
              <w:jc w:val="center"/>
              <w:rPr>
                <w:sz w:val="21"/>
                <w:szCs w:val="21"/>
              </w:rPr>
            </w:pPr>
            <w:r>
              <w:rPr>
                <w:sz w:val="21"/>
                <w:szCs w:val="21"/>
              </w:rPr>
              <w:t>泄漏，污染地表水、地下水、土壤、大气环境；人员窒息事故；</w:t>
            </w:r>
          </w:p>
          <w:p w14:paraId="0B354DFB">
            <w:pPr>
              <w:adjustRightInd w:val="0"/>
              <w:snapToGrid w:val="0"/>
              <w:spacing w:line="240" w:lineRule="auto"/>
              <w:jc w:val="center"/>
              <w:rPr>
                <w:sz w:val="21"/>
                <w:szCs w:val="21"/>
              </w:rPr>
            </w:pPr>
            <w:r>
              <w:rPr>
                <w:sz w:val="21"/>
                <w:szCs w:val="21"/>
              </w:rPr>
              <w:t>引发火灾或爆炸</w:t>
            </w:r>
          </w:p>
        </w:tc>
      </w:tr>
      <w:tr w14:paraId="497C2C7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8" w:hRule="atLeast"/>
          <w:jc w:val="center"/>
        </w:trPr>
        <w:tc>
          <w:tcPr>
            <w:tcW w:w="458" w:type="dxa"/>
            <w:tcBorders>
              <w:top w:val="single" w:color="000000" w:sz="6" w:space="0"/>
              <w:bottom w:val="single" w:color="000000" w:sz="6" w:space="0"/>
              <w:right w:val="single" w:color="000000" w:sz="6" w:space="0"/>
            </w:tcBorders>
            <w:vAlign w:val="center"/>
          </w:tcPr>
          <w:p w14:paraId="3EFAAE24">
            <w:pPr>
              <w:adjustRightInd w:val="0"/>
              <w:snapToGrid w:val="0"/>
              <w:spacing w:line="240" w:lineRule="auto"/>
              <w:jc w:val="center"/>
              <w:rPr>
                <w:sz w:val="21"/>
                <w:szCs w:val="21"/>
              </w:rPr>
            </w:pPr>
            <w:r>
              <w:rPr>
                <w:sz w:val="21"/>
                <w:szCs w:val="21"/>
              </w:rPr>
              <w:t>2</w:t>
            </w:r>
          </w:p>
        </w:tc>
        <w:tc>
          <w:tcPr>
            <w:tcW w:w="876" w:type="dxa"/>
            <w:tcBorders>
              <w:top w:val="single" w:color="000000" w:sz="6" w:space="0"/>
              <w:left w:val="single" w:color="000000" w:sz="6" w:space="0"/>
              <w:bottom w:val="single" w:color="000000" w:sz="6" w:space="0"/>
              <w:right w:val="single" w:color="000000" w:sz="6" w:space="0"/>
            </w:tcBorders>
            <w:vAlign w:val="center"/>
          </w:tcPr>
          <w:p w14:paraId="5BCC6734">
            <w:pPr>
              <w:adjustRightInd w:val="0"/>
              <w:snapToGrid w:val="0"/>
              <w:spacing w:line="240" w:lineRule="auto"/>
              <w:jc w:val="center"/>
              <w:rPr>
                <w:sz w:val="21"/>
                <w:szCs w:val="21"/>
              </w:rPr>
            </w:pPr>
            <w:r>
              <w:rPr>
                <w:sz w:val="21"/>
                <w:szCs w:val="21"/>
              </w:rPr>
              <w:t>危废暂存间</w:t>
            </w:r>
          </w:p>
        </w:tc>
        <w:tc>
          <w:tcPr>
            <w:tcW w:w="2269" w:type="dxa"/>
            <w:tcBorders>
              <w:top w:val="single" w:color="000000" w:sz="6" w:space="0"/>
              <w:left w:val="single" w:color="000000" w:sz="6" w:space="0"/>
              <w:bottom w:val="single" w:color="000000" w:sz="6" w:space="0"/>
              <w:right w:val="single" w:color="000000" w:sz="6" w:space="0"/>
            </w:tcBorders>
            <w:vAlign w:val="center"/>
          </w:tcPr>
          <w:p w14:paraId="57D3E4E1">
            <w:pPr>
              <w:adjustRightInd w:val="0"/>
              <w:snapToGrid w:val="0"/>
              <w:spacing w:line="240" w:lineRule="auto"/>
              <w:jc w:val="center"/>
              <w:rPr>
                <w:sz w:val="21"/>
                <w:szCs w:val="21"/>
              </w:rPr>
            </w:pPr>
            <w:r>
              <w:rPr>
                <w:sz w:val="21"/>
                <w:szCs w:val="21"/>
              </w:rPr>
              <w:t>异丙醇、乙酸乙酯、</w:t>
            </w:r>
            <w:r>
              <w:rPr>
                <w:rFonts w:hint="eastAsia"/>
                <w:sz w:val="21"/>
                <w:szCs w:val="21"/>
              </w:rPr>
              <w:t>乙酸</w:t>
            </w:r>
            <w:r>
              <w:rPr>
                <w:sz w:val="21"/>
                <w:szCs w:val="21"/>
              </w:rPr>
              <w:t>正丙酯、油墨、聚氨酯胶</w:t>
            </w:r>
          </w:p>
          <w:p w14:paraId="5872022B">
            <w:pPr>
              <w:adjustRightInd w:val="0"/>
              <w:snapToGrid w:val="0"/>
              <w:spacing w:line="240" w:lineRule="auto"/>
              <w:jc w:val="center"/>
              <w:rPr>
                <w:sz w:val="21"/>
                <w:szCs w:val="21"/>
              </w:rPr>
            </w:pPr>
            <w:r>
              <w:rPr>
                <w:sz w:val="21"/>
                <w:szCs w:val="21"/>
              </w:rPr>
              <w:t>水废液</w:t>
            </w:r>
          </w:p>
        </w:tc>
        <w:tc>
          <w:tcPr>
            <w:tcW w:w="1245" w:type="dxa"/>
            <w:tcBorders>
              <w:top w:val="single" w:color="000000" w:sz="6" w:space="0"/>
              <w:left w:val="single" w:color="000000" w:sz="6" w:space="0"/>
              <w:bottom w:val="single" w:color="000000" w:sz="6" w:space="0"/>
              <w:right w:val="single" w:color="000000" w:sz="6" w:space="0"/>
            </w:tcBorders>
            <w:vAlign w:val="center"/>
          </w:tcPr>
          <w:p w14:paraId="28EEDE01">
            <w:pPr>
              <w:adjustRightInd w:val="0"/>
              <w:snapToGrid w:val="0"/>
              <w:spacing w:line="240" w:lineRule="auto"/>
              <w:jc w:val="center"/>
              <w:rPr>
                <w:sz w:val="21"/>
                <w:szCs w:val="21"/>
              </w:rPr>
            </w:pPr>
            <w:r>
              <w:rPr>
                <w:sz w:val="21"/>
                <w:szCs w:val="21"/>
              </w:rPr>
              <w:t>维护保养不当</w:t>
            </w:r>
          </w:p>
        </w:tc>
        <w:tc>
          <w:tcPr>
            <w:tcW w:w="1369" w:type="dxa"/>
            <w:tcBorders>
              <w:top w:val="single" w:color="000000" w:sz="6" w:space="0"/>
              <w:left w:val="single" w:color="000000" w:sz="6" w:space="0"/>
              <w:bottom w:val="single" w:color="000000" w:sz="6" w:space="0"/>
              <w:right w:val="single" w:color="000000" w:sz="6" w:space="0"/>
            </w:tcBorders>
            <w:vAlign w:val="center"/>
          </w:tcPr>
          <w:p w14:paraId="7D25A60F">
            <w:pPr>
              <w:adjustRightInd w:val="0"/>
              <w:snapToGrid w:val="0"/>
              <w:spacing w:line="240" w:lineRule="auto"/>
              <w:jc w:val="center"/>
              <w:rPr>
                <w:sz w:val="21"/>
                <w:szCs w:val="21"/>
              </w:rPr>
            </w:pPr>
            <w:r>
              <w:rPr>
                <w:sz w:val="21"/>
                <w:szCs w:val="21"/>
              </w:rPr>
              <w:t>废弃原料泄漏</w:t>
            </w:r>
          </w:p>
        </w:tc>
        <w:tc>
          <w:tcPr>
            <w:tcW w:w="2969" w:type="dxa"/>
            <w:tcBorders>
              <w:top w:val="single" w:color="000000" w:sz="6" w:space="0"/>
              <w:left w:val="single" w:color="000000" w:sz="6" w:space="0"/>
              <w:bottom w:val="single" w:color="000000" w:sz="6" w:space="0"/>
            </w:tcBorders>
            <w:vAlign w:val="center"/>
          </w:tcPr>
          <w:p w14:paraId="69D8F696">
            <w:pPr>
              <w:adjustRightInd w:val="0"/>
              <w:snapToGrid w:val="0"/>
              <w:spacing w:line="240" w:lineRule="auto"/>
              <w:jc w:val="center"/>
              <w:rPr>
                <w:sz w:val="21"/>
                <w:szCs w:val="21"/>
              </w:rPr>
            </w:pPr>
            <w:r>
              <w:rPr>
                <w:sz w:val="21"/>
                <w:szCs w:val="21"/>
              </w:rPr>
              <w:t>泄漏，污染地表水、地下水、土壤、大气环境；人员窒息事故；</w:t>
            </w:r>
          </w:p>
          <w:p w14:paraId="59B826EE">
            <w:pPr>
              <w:adjustRightInd w:val="0"/>
              <w:snapToGrid w:val="0"/>
              <w:spacing w:line="240" w:lineRule="auto"/>
              <w:jc w:val="center"/>
              <w:rPr>
                <w:sz w:val="21"/>
                <w:szCs w:val="21"/>
              </w:rPr>
            </w:pPr>
            <w:r>
              <w:rPr>
                <w:sz w:val="21"/>
                <w:szCs w:val="21"/>
              </w:rPr>
              <w:t>引发火灾或爆炸</w:t>
            </w:r>
          </w:p>
        </w:tc>
      </w:tr>
      <w:tr w14:paraId="090BFA5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jc w:val="center"/>
        </w:trPr>
        <w:tc>
          <w:tcPr>
            <w:tcW w:w="458" w:type="dxa"/>
            <w:tcBorders>
              <w:top w:val="single" w:color="000000" w:sz="6" w:space="0"/>
              <w:bottom w:val="single" w:color="000000" w:sz="6" w:space="0"/>
              <w:right w:val="single" w:color="000000" w:sz="6" w:space="0"/>
            </w:tcBorders>
            <w:vAlign w:val="center"/>
          </w:tcPr>
          <w:p w14:paraId="3124A835">
            <w:pPr>
              <w:adjustRightInd w:val="0"/>
              <w:snapToGrid w:val="0"/>
              <w:spacing w:line="240" w:lineRule="auto"/>
              <w:jc w:val="center"/>
              <w:rPr>
                <w:sz w:val="21"/>
                <w:szCs w:val="21"/>
              </w:rPr>
            </w:pPr>
            <w:r>
              <w:rPr>
                <w:sz w:val="21"/>
                <w:szCs w:val="21"/>
              </w:rPr>
              <w:t>3</w:t>
            </w:r>
          </w:p>
        </w:tc>
        <w:tc>
          <w:tcPr>
            <w:tcW w:w="876" w:type="dxa"/>
            <w:tcBorders>
              <w:top w:val="single" w:color="000000" w:sz="6" w:space="0"/>
              <w:left w:val="single" w:color="000000" w:sz="6" w:space="0"/>
              <w:bottom w:val="single" w:color="000000" w:sz="6" w:space="0"/>
              <w:right w:val="single" w:color="000000" w:sz="6" w:space="0"/>
            </w:tcBorders>
            <w:vAlign w:val="center"/>
          </w:tcPr>
          <w:p w14:paraId="5F464457">
            <w:pPr>
              <w:adjustRightInd w:val="0"/>
              <w:snapToGrid w:val="0"/>
              <w:spacing w:line="240" w:lineRule="auto"/>
              <w:jc w:val="center"/>
              <w:rPr>
                <w:sz w:val="21"/>
                <w:szCs w:val="21"/>
              </w:rPr>
            </w:pPr>
            <w:r>
              <w:rPr>
                <w:sz w:val="21"/>
                <w:szCs w:val="21"/>
              </w:rPr>
              <w:t>生产车间内</w:t>
            </w:r>
          </w:p>
        </w:tc>
        <w:tc>
          <w:tcPr>
            <w:tcW w:w="2269" w:type="dxa"/>
            <w:tcBorders>
              <w:top w:val="single" w:color="000000" w:sz="6" w:space="0"/>
              <w:left w:val="single" w:color="000000" w:sz="6" w:space="0"/>
              <w:bottom w:val="single" w:color="000000" w:sz="6" w:space="0"/>
              <w:right w:val="single" w:color="000000" w:sz="6" w:space="0"/>
            </w:tcBorders>
            <w:vAlign w:val="center"/>
          </w:tcPr>
          <w:p w14:paraId="548D5B2B">
            <w:pPr>
              <w:adjustRightInd w:val="0"/>
              <w:snapToGrid w:val="0"/>
              <w:spacing w:line="240" w:lineRule="auto"/>
              <w:jc w:val="center"/>
              <w:rPr>
                <w:sz w:val="21"/>
                <w:szCs w:val="21"/>
              </w:rPr>
            </w:pPr>
            <w:r>
              <w:rPr>
                <w:sz w:val="21"/>
                <w:szCs w:val="21"/>
              </w:rPr>
              <w:t>异丙醇、乙酸乙酯、正</w:t>
            </w:r>
          </w:p>
          <w:p w14:paraId="795421F3">
            <w:pPr>
              <w:adjustRightInd w:val="0"/>
              <w:snapToGrid w:val="0"/>
              <w:spacing w:line="240" w:lineRule="auto"/>
              <w:jc w:val="center"/>
              <w:rPr>
                <w:sz w:val="21"/>
                <w:szCs w:val="21"/>
              </w:rPr>
            </w:pPr>
            <w:r>
              <w:rPr>
                <w:sz w:val="21"/>
                <w:szCs w:val="21"/>
              </w:rPr>
              <w:t>丙酯、油墨、聚氨酯胶水</w:t>
            </w:r>
          </w:p>
        </w:tc>
        <w:tc>
          <w:tcPr>
            <w:tcW w:w="1245" w:type="dxa"/>
            <w:tcBorders>
              <w:top w:val="single" w:color="000000" w:sz="6" w:space="0"/>
              <w:left w:val="single" w:color="000000" w:sz="6" w:space="0"/>
              <w:bottom w:val="single" w:color="000000" w:sz="6" w:space="0"/>
              <w:right w:val="single" w:color="000000" w:sz="6" w:space="0"/>
            </w:tcBorders>
            <w:vAlign w:val="center"/>
          </w:tcPr>
          <w:p w14:paraId="5CED2661">
            <w:pPr>
              <w:adjustRightInd w:val="0"/>
              <w:snapToGrid w:val="0"/>
              <w:spacing w:line="240" w:lineRule="auto"/>
              <w:jc w:val="center"/>
              <w:rPr>
                <w:sz w:val="21"/>
                <w:szCs w:val="21"/>
              </w:rPr>
            </w:pPr>
            <w:r>
              <w:rPr>
                <w:sz w:val="21"/>
                <w:szCs w:val="21"/>
              </w:rPr>
              <w:t>操作不当、维护保养不当</w:t>
            </w:r>
          </w:p>
        </w:tc>
        <w:tc>
          <w:tcPr>
            <w:tcW w:w="1369" w:type="dxa"/>
            <w:tcBorders>
              <w:top w:val="single" w:color="000000" w:sz="6" w:space="0"/>
              <w:left w:val="single" w:color="000000" w:sz="6" w:space="0"/>
              <w:bottom w:val="single" w:color="000000" w:sz="6" w:space="0"/>
              <w:right w:val="single" w:color="000000" w:sz="6" w:space="0"/>
            </w:tcBorders>
            <w:vAlign w:val="center"/>
          </w:tcPr>
          <w:p w14:paraId="0141978B">
            <w:pPr>
              <w:adjustRightInd w:val="0"/>
              <w:snapToGrid w:val="0"/>
              <w:spacing w:line="240" w:lineRule="auto"/>
              <w:jc w:val="center"/>
              <w:rPr>
                <w:sz w:val="21"/>
                <w:szCs w:val="21"/>
              </w:rPr>
            </w:pPr>
            <w:r>
              <w:rPr>
                <w:sz w:val="21"/>
                <w:szCs w:val="21"/>
              </w:rPr>
              <w:t>生产用原料泄漏、车间内有机物浓度过大</w:t>
            </w:r>
          </w:p>
        </w:tc>
        <w:tc>
          <w:tcPr>
            <w:tcW w:w="2969" w:type="dxa"/>
            <w:tcBorders>
              <w:top w:val="single" w:color="000000" w:sz="6" w:space="0"/>
              <w:left w:val="single" w:color="000000" w:sz="6" w:space="0"/>
              <w:bottom w:val="single" w:color="000000" w:sz="6" w:space="0"/>
            </w:tcBorders>
            <w:vAlign w:val="center"/>
          </w:tcPr>
          <w:p w14:paraId="16B9C290">
            <w:pPr>
              <w:adjustRightInd w:val="0"/>
              <w:snapToGrid w:val="0"/>
              <w:spacing w:line="240" w:lineRule="auto"/>
              <w:jc w:val="center"/>
              <w:rPr>
                <w:sz w:val="21"/>
                <w:szCs w:val="21"/>
              </w:rPr>
            </w:pPr>
            <w:r>
              <w:rPr>
                <w:sz w:val="21"/>
                <w:szCs w:val="21"/>
              </w:rPr>
              <w:t>引发火灾或爆炸</w:t>
            </w:r>
          </w:p>
        </w:tc>
      </w:tr>
      <w:tr w14:paraId="230F96C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1" w:hRule="atLeast"/>
          <w:jc w:val="center"/>
        </w:trPr>
        <w:tc>
          <w:tcPr>
            <w:tcW w:w="458" w:type="dxa"/>
            <w:tcBorders>
              <w:top w:val="single" w:color="000000" w:sz="6" w:space="0"/>
              <w:right w:val="single" w:color="000000" w:sz="6" w:space="0"/>
            </w:tcBorders>
            <w:vAlign w:val="center"/>
          </w:tcPr>
          <w:p w14:paraId="6AC94101">
            <w:pPr>
              <w:adjustRightInd w:val="0"/>
              <w:snapToGrid w:val="0"/>
              <w:spacing w:line="240" w:lineRule="auto"/>
              <w:jc w:val="center"/>
              <w:rPr>
                <w:sz w:val="21"/>
                <w:szCs w:val="21"/>
              </w:rPr>
            </w:pPr>
            <w:r>
              <w:rPr>
                <w:sz w:val="21"/>
                <w:szCs w:val="21"/>
              </w:rPr>
              <w:t>4</w:t>
            </w:r>
          </w:p>
        </w:tc>
        <w:tc>
          <w:tcPr>
            <w:tcW w:w="876" w:type="dxa"/>
            <w:tcBorders>
              <w:top w:val="single" w:color="000000" w:sz="6" w:space="0"/>
              <w:left w:val="single" w:color="000000" w:sz="6" w:space="0"/>
              <w:right w:val="single" w:color="000000" w:sz="6" w:space="0"/>
            </w:tcBorders>
            <w:vAlign w:val="center"/>
          </w:tcPr>
          <w:p w14:paraId="08BE6DAE">
            <w:pPr>
              <w:adjustRightInd w:val="0"/>
              <w:snapToGrid w:val="0"/>
              <w:spacing w:line="240" w:lineRule="auto"/>
              <w:jc w:val="center"/>
              <w:rPr>
                <w:sz w:val="21"/>
                <w:szCs w:val="21"/>
              </w:rPr>
            </w:pPr>
            <w:r>
              <w:rPr>
                <w:sz w:val="21"/>
                <w:szCs w:val="21"/>
              </w:rPr>
              <w:t>废气处</w:t>
            </w:r>
          </w:p>
          <w:p w14:paraId="1E5E3AF2">
            <w:pPr>
              <w:adjustRightInd w:val="0"/>
              <w:snapToGrid w:val="0"/>
              <w:spacing w:line="240" w:lineRule="auto"/>
              <w:jc w:val="center"/>
              <w:rPr>
                <w:sz w:val="21"/>
                <w:szCs w:val="21"/>
              </w:rPr>
            </w:pPr>
            <w:r>
              <w:rPr>
                <w:sz w:val="21"/>
                <w:szCs w:val="21"/>
              </w:rPr>
              <w:t>置装置</w:t>
            </w:r>
          </w:p>
        </w:tc>
        <w:tc>
          <w:tcPr>
            <w:tcW w:w="2269" w:type="dxa"/>
            <w:tcBorders>
              <w:top w:val="single" w:color="000000" w:sz="6" w:space="0"/>
              <w:left w:val="single" w:color="000000" w:sz="6" w:space="0"/>
              <w:right w:val="single" w:color="000000" w:sz="6" w:space="0"/>
            </w:tcBorders>
            <w:vAlign w:val="center"/>
          </w:tcPr>
          <w:p w14:paraId="470A2EBA">
            <w:pPr>
              <w:adjustRightInd w:val="0"/>
              <w:snapToGrid w:val="0"/>
              <w:spacing w:line="240" w:lineRule="auto"/>
              <w:jc w:val="center"/>
              <w:rPr>
                <w:sz w:val="21"/>
                <w:szCs w:val="21"/>
              </w:rPr>
            </w:pPr>
            <w:r>
              <w:rPr>
                <w:rFonts w:hint="eastAsia"/>
                <w:sz w:val="21"/>
                <w:szCs w:val="21"/>
              </w:rPr>
              <w:t>挥发性有机物</w:t>
            </w:r>
          </w:p>
        </w:tc>
        <w:tc>
          <w:tcPr>
            <w:tcW w:w="1245" w:type="dxa"/>
            <w:tcBorders>
              <w:top w:val="single" w:color="000000" w:sz="6" w:space="0"/>
              <w:left w:val="single" w:color="000000" w:sz="6" w:space="0"/>
              <w:right w:val="single" w:color="000000" w:sz="6" w:space="0"/>
            </w:tcBorders>
            <w:vAlign w:val="center"/>
          </w:tcPr>
          <w:p w14:paraId="53D00171">
            <w:pPr>
              <w:adjustRightInd w:val="0"/>
              <w:snapToGrid w:val="0"/>
              <w:spacing w:line="240" w:lineRule="auto"/>
              <w:jc w:val="center"/>
              <w:rPr>
                <w:sz w:val="21"/>
                <w:szCs w:val="21"/>
              </w:rPr>
            </w:pPr>
            <w:r>
              <w:rPr>
                <w:sz w:val="21"/>
                <w:szCs w:val="21"/>
              </w:rPr>
              <w:t>维护保养不当</w:t>
            </w:r>
          </w:p>
        </w:tc>
        <w:tc>
          <w:tcPr>
            <w:tcW w:w="1369" w:type="dxa"/>
            <w:tcBorders>
              <w:top w:val="single" w:color="000000" w:sz="6" w:space="0"/>
              <w:left w:val="single" w:color="000000" w:sz="6" w:space="0"/>
              <w:right w:val="single" w:color="000000" w:sz="6" w:space="0"/>
            </w:tcBorders>
            <w:vAlign w:val="center"/>
          </w:tcPr>
          <w:p w14:paraId="5E3AF73B">
            <w:pPr>
              <w:adjustRightInd w:val="0"/>
              <w:snapToGrid w:val="0"/>
              <w:spacing w:line="240" w:lineRule="auto"/>
              <w:jc w:val="center"/>
              <w:rPr>
                <w:sz w:val="21"/>
                <w:szCs w:val="21"/>
              </w:rPr>
            </w:pPr>
            <w:r>
              <w:rPr>
                <w:sz w:val="21"/>
                <w:szCs w:val="21"/>
              </w:rPr>
              <w:t>事故排放、火灾、爆炸</w:t>
            </w:r>
          </w:p>
        </w:tc>
        <w:tc>
          <w:tcPr>
            <w:tcW w:w="2969" w:type="dxa"/>
            <w:tcBorders>
              <w:top w:val="single" w:color="000000" w:sz="6" w:space="0"/>
              <w:left w:val="single" w:color="000000" w:sz="6" w:space="0"/>
            </w:tcBorders>
            <w:vAlign w:val="center"/>
          </w:tcPr>
          <w:p w14:paraId="358C48BF">
            <w:pPr>
              <w:adjustRightInd w:val="0"/>
              <w:snapToGrid w:val="0"/>
              <w:spacing w:line="240" w:lineRule="auto"/>
              <w:jc w:val="center"/>
              <w:rPr>
                <w:sz w:val="21"/>
                <w:szCs w:val="21"/>
              </w:rPr>
            </w:pPr>
            <w:r>
              <w:rPr>
                <w:sz w:val="21"/>
                <w:szCs w:val="21"/>
              </w:rPr>
              <w:t>污染大气环境</w:t>
            </w:r>
          </w:p>
        </w:tc>
      </w:tr>
    </w:tbl>
    <w:p w14:paraId="727CA433">
      <w:pPr>
        <w:pStyle w:val="3"/>
        <w:numPr>
          <w:ilvl w:val="1"/>
          <w:numId w:val="0"/>
        </w:numPr>
        <w:ind w:left="567" w:leftChars="0" w:hanging="567" w:firstLineChars="0"/>
        <w:rPr>
          <w:sz w:val="28"/>
          <w:szCs w:val="28"/>
        </w:rPr>
      </w:pPr>
      <w:bookmarkStart w:id="148" w:name="_Toc17423"/>
      <w:r>
        <w:rPr>
          <w:rFonts w:hint="default" w:ascii="宋体" w:hAnsi="宋体" w:eastAsia="宋体" w:cs="宋体"/>
          <w:b/>
          <w:bCs/>
          <w:kern w:val="2"/>
          <w:sz w:val="28"/>
          <w:szCs w:val="28"/>
          <w:lang w:val="en-US" w:eastAsia="zh-CN" w:bidi="ar-SA"/>
        </w:rPr>
        <w:t>7.5</w:t>
      </w:r>
      <w:r>
        <w:rPr>
          <w:rFonts w:hint="eastAsia"/>
          <w:sz w:val="28"/>
          <w:szCs w:val="28"/>
        </w:rPr>
        <w:t>环境风险分析</w:t>
      </w:r>
      <w:bookmarkEnd w:id="148"/>
    </w:p>
    <w:p w14:paraId="6245D0F1">
      <w:pPr>
        <w:ind w:firstLine="480"/>
      </w:pPr>
      <w:r>
        <w:t>本项目危险物质的生产单元主要为</w:t>
      </w:r>
      <w:r>
        <w:rPr>
          <w:rFonts w:hint="eastAsia"/>
        </w:rPr>
        <w:t>原辅料</w:t>
      </w:r>
      <w:r>
        <w:t>仓库</w:t>
      </w:r>
      <w:r>
        <w:rPr>
          <w:rFonts w:hint="eastAsia"/>
        </w:rPr>
        <w:t>、印刷复合区、危废暂存</w:t>
      </w:r>
      <w:r>
        <w:t>间等，生产过程中可能存在以下风险：</w:t>
      </w:r>
    </w:p>
    <w:p w14:paraId="4797AA2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7.5.1</w:t>
      </w:r>
      <w:r>
        <w:rPr>
          <w:rFonts w:hint="eastAsia"/>
        </w:rPr>
        <w:t>次生火灾、爆炸环境风险</w:t>
      </w:r>
    </w:p>
    <w:p w14:paraId="041C9F3C">
      <w:pPr>
        <w:pStyle w:val="40"/>
        <w:ind w:firstLine="480"/>
      </w:pPr>
      <w:r>
        <w:t>原料仓库遇明火可能导致火灾，燃烧产生的污染物会对大气环境产生影响；未完全燃烧污染物受热分解产生的二次污染物也会对大气环境产生影响。以及在灭火过程中将产生大量的消防废水，若未及时拦截将对周边的环境水体或土壤造成一定影响。建设单位应编制并落实好应急预案，加强管理，在事故发生后及时对下风向敏感目标进行环境监测，根据监测结果采取相应措施降低对敏感点的影响。厂区应设置消防事故池，事故发生处理过程产生的消防废水可输送至消防事故池暂存，最后交由有资质单位处置，有效降低消防废水外流对周边环境的影响。</w:t>
      </w:r>
    </w:p>
    <w:p w14:paraId="4B190F7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7.5.2</w:t>
      </w:r>
      <w:r>
        <w:rPr>
          <w:rFonts w:hint="eastAsia"/>
        </w:rPr>
        <w:t>液体物料泄漏事故环境风险</w:t>
      </w:r>
    </w:p>
    <w:p w14:paraId="6A61662F">
      <w:pPr>
        <w:pStyle w:val="18"/>
        <w:ind w:firstLine="480"/>
        <w:rPr>
          <w:rFonts w:ascii="宋体" w:hAnsi="宋体" w:cs="宋体"/>
        </w:rPr>
      </w:pPr>
      <w:r>
        <w:rPr>
          <w:rFonts w:hint="eastAsia" w:ascii="宋体" w:hAnsi="宋体" w:cs="宋体"/>
        </w:rPr>
        <w:t>油墨</w:t>
      </w:r>
      <w:r>
        <w:rPr>
          <w:rFonts w:ascii="宋体" w:hAnsi="宋体" w:cs="宋体"/>
        </w:rPr>
        <w:t>、稀释剂</w:t>
      </w:r>
      <w:r>
        <w:rPr>
          <w:rFonts w:hint="eastAsia" w:ascii="宋体" w:hAnsi="宋体" w:cs="宋体"/>
        </w:rPr>
        <w:t>、粘合剂</w:t>
      </w:r>
      <w:r>
        <w:rPr>
          <w:rFonts w:ascii="宋体" w:hAnsi="宋体" w:cs="宋体"/>
        </w:rPr>
        <w:t>泄漏主要原因是贮存设施损坏，违章操作或错误操作等。当发生泄漏时应及时做好</w:t>
      </w:r>
      <w:r>
        <w:rPr>
          <w:rFonts w:hint="eastAsia"/>
        </w:rPr>
        <w:t>泄漏</w:t>
      </w:r>
      <w:r>
        <w:rPr>
          <w:rFonts w:ascii="宋体" w:hAnsi="宋体" w:cs="宋体"/>
        </w:rPr>
        <w:t>物料的收集处理，收集后</w:t>
      </w:r>
      <w:r>
        <w:rPr>
          <w:rFonts w:hint="eastAsia" w:ascii="宋体" w:hAnsi="宋体" w:cs="宋体"/>
        </w:rPr>
        <w:t>放入</w:t>
      </w:r>
      <w:r>
        <w:rPr>
          <w:rFonts w:ascii="宋体" w:hAnsi="宋体" w:cs="宋体"/>
        </w:rPr>
        <w:t>事故收集桶，交由有资质单位处理，泄漏产生的环境损失后果小。一旦发生泄漏事故，对周围环境的影响主要是泄漏的化学品进入到环境，污染周围水体、空气及土壤等生态环境。对自然水体、土壤甚至空气的环境质量造成不良影响。</w:t>
      </w:r>
    </w:p>
    <w:p w14:paraId="35DD66A4">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7.5.3</w:t>
      </w:r>
      <w:r>
        <w:rPr>
          <w:rFonts w:hint="eastAsia"/>
        </w:rPr>
        <w:t>环保设施事故风险</w:t>
      </w:r>
    </w:p>
    <w:p w14:paraId="375B1CD9">
      <w:pPr>
        <w:ind w:firstLine="480"/>
      </w:pPr>
      <w:r>
        <w:rPr>
          <w:rFonts w:hint="eastAsia" w:ascii="宋体" w:hAnsi="宋体" w:cs="宋体"/>
        </w:rPr>
        <w:t>印刷复合</w:t>
      </w:r>
      <w:r>
        <w:rPr>
          <w:rFonts w:ascii="宋体" w:hAnsi="宋体" w:cs="宋体"/>
        </w:rPr>
        <w:t>废气主要</w:t>
      </w:r>
      <w:r>
        <w:t>含</w:t>
      </w:r>
      <w:r>
        <w:rPr>
          <w:rFonts w:hint="eastAsia"/>
        </w:rPr>
        <w:t>挥发性有机物</w:t>
      </w:r>
      <w:r>
        <w:t>等污染物，若废气处理设施发生故障，未经处理的废气直接排放会对周边环境造成较大的影响。</w:t>
      </w:r>
      <w:r>
        <w:rPr>
          <w:rFonts w:hint="eastAsia"/>
        </w:rPr>
        <w:t>废气</w:t>
      </w:r>
      <w:r>
        <w:t>处理应制定有异常或紧急状态下的操作手册，并对操作人员进行培训，一旦发生废气处理设施发生故障，应采取立即停产处理等应急处置措施，达到废气处理设施故障对环境影响可控</w:t>
      </w:r>
      <w:r>
        <w:rPr>
          <w:rFonts w:hint="eastAsia"/>
        </w:rPr>
        <w:t>。</w:t>
      </w:r>
    </w:p>
    <w:p w14:paraId="5D1D3480">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7.5.4</w:t>
      </w:r>
      <w:r>
        <w:rPr>
          <w:rFonts w:hint="eastAsia"/>
        </w:rPr>
        <w:t>事故树分析</w:t>
      </w:r>
    </w:p>
    <w:p w14:paraId="5498797A">
      <w:pPr>
        <w:ind w:firstLine="480"/>
      </w:pPr>
      <w:r>
        <w:rPr>
          <w:rFonts w:hint="eastAsia"/>
        </w:rPr>
        <w:t>本项目风险事故主要是原料泄露引起的火灾、爆炸事故对环境的影响。项目顶端事故与基本事件关联见图7.5-1，容器、管道系统事件树见图7.5-2。</w:t>
      </w:r>
    </w:p>
    <w:p w14:paraId="3793838A">
      <w:pPr>
        <w:ind w:firstLine="400"/>
        <w:jc w:val="center"/>
      </w:pPr>
      <w:r>
        <w:rPr>
          <w:sz w:val="20"/>
        </w:rPr>
        <w:drawing>
          <wp:inline distT="0" distB="0" distL="0" distR="0">
            <wp:extent cx="2842895" cy="2405380"/>
            <wp:effectExtent l="0" t="0" r="14605" b="13970"/>
            <wp:docPr id="4"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9.jpeg"/>
                    <pic:cNvPicPr>
                      <a:picLocks noChangeAspect="1"/>
                    </pic:cNvPicPr>
                  </pic:nvPicPr>
                  <pic:blipFill>
                    <a:blip r:embed="rId138" cstate="print"/>
                    <a:stretch>
                      <a:fillRect/>
                    </a:stretch>
                  </pic:blipFill>
                  <pic:spPr>
                    <a:xfrm>
                      <a:off x="0" y="0"/>
                      <a:ext cx="2843130" cy="2405633"/>
                    </a:xfrm>
                    <a:prstGeom prst="rect">
                      <a:avLst/>
                    </a:prstGeom>
                  </pic:spPr>
                </pic:pic>
              </a:graphicData>
            </a:graphic>
          </wp:inline>
        </w:drawing>
      </w:r>
    </w:p>
    <w:p w14:paraId="68AAC267">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图7.5-1 </w:t>
      </w:r>
      <w:r>
        <w:rPr>
          <w:rFonts w:hint="eastAsia"/>
          <w:color w:val="auto"/>
        </w:rPr>
        <w:t>顶端事故与基本事件关联图</w:t>
      </w:r>
    </w:p>
    <w:p w14:paraId="1B72E85B">
      <w:pPr>
        <w:jc w:val="center"/>
      </w:pPr>
      <w:r>
        <w:rPr>
          <w:rFonts w:hint="eastAsia"/>
        </w:rPr>
        <w:drawing>
          <wp:inline distT="0" distB="0" distL="114300" distR="114300">
            <wp:extent cx="5219700" cy="1943100"/>
            <wp:effectExtent l="0" t="0" r="0" b="0"/>
            <wp:docPr id="59" name="图片 5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1"/>
                    <pic:cNvPicPr>
                      <a:picLocks noChangeAspect="1"/>
                    </pic:cNvPicPr>
                  </pic:nvPicPr>
                  <pic:blipFill>
                    <a:blip r:embed="rId139"/>
                    <a:stretch>
                      <a:fillRect/>
                    </a:stretch>
                  </pic:blipFill>
                  <pic:spPr>
                    <a:xfrm>
                      <a:off x="0" y="0"/>
                      <a:ext cx="5219700" cy="1943100"/>
                    </a:xfrm>
                    <a:prstGeom prst="rect">
                      <a:avLst/>
                    </a:prstGeom>
                  </pic:spPr>
                </pic:pic>
              </a:graphicData>
            </a:graphic>
          </wp:inline>
        </w:drawing>
      </w:r>
    </w:p>
    <w:p w14:paraId="52E88B09">
      <w:pPr>
        <w:pStyle w:val="45"/>
        <w:numPr>
          <w:ilvl w:val="6"/>
          <w:numId w:val="0"/>
        </w:numPr>
        <w:spacing w:before="156"/>
        <w:ind w:left="6096" w:leftChars="0" w:hanging="5529" w:firstLineChars="0"/>
        <w:rPr>
          <w:color w:val="auto"/>
        </w:rPr>
      </w:pPr>
      <w:r>
        <w:rPr>
          <w:rFonts w:hint="default" w:ascii="宋体" w:hAnsi="宋体" w:eastAsia="宋体" w:cs="宋体"/>
          <w:b/>
          <w:bCs/>
          <w:color w:val="auto"/>
          <w:kern w:val="2"/>
          <w:sz w:val="21"/>
          <w:szCs w:val="21"/>
          <w:lang w:val="en-US" w:eastAsia="zh-CN" w:bidi="ar-SA"/>
        </w:rPr>
        <w:t xml:space="preserve">图7.5-2 </w:t>
      </w:r>
      <w:r>
        <w:rPr>
          <w:rFonts w:hint="eastAsia"/>
          <w:color w:val="auto"/>
        </w:rPr>
        <w:t>泄漏事故树分析图</w:t>
      </w:r>
    </w:p>
    <w:p w14:paraId="2BA180CC">
      <w:pPr>
        <w:ind w:firstLine="480"/>
      </w:pPr>
      <w:r>
        <w:rPr>
          <w:rFonts w:hint="eastAsia"/>
        </w:rPr>
        <w:t>从图7.5-1可知，燃烧爆炸是由两个“中间事件”（设备泄漏、火源）同时发生所造成的，防止设备物料泄漏是防止发生燃爆事故的关键。另外，加强储存区安全管理，采取避雷和防静电措施，严禁吸烟和动用明火，防止铁器撞击，防止产生静电火花以及危化品储存区内电气设备要符合防火防爆要求等，也是防止燃爆事故发生的必要条件。</w:t>
      </w:r>
    </w:p>
    <w:p w14:paraId="01C16453">
      <w:pPr>
        <w:ind w:firstLine="480"/>
      </w:pPr>
      <w:r>
        <w:rPr>
          <w:rFonts w:hint="eastAsia"/>
        </w:rPr>
        <w:t>从图7.5-2可知，容器、管道等设备物料泄漏，可能引起中毒事故、燃爆危害事故或扩散污染事故。风险事故对环境的影响与泄漏时间及各种应急处理措施的有效性密切相关。</w:t>
      </w:r>
    </w:p>
    <w:p w14:paraId="654BDF00">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7.5.5</w:t>
      </w:r>
      <w:r>
        <w:rPr>
          <w:rFonts w:hint="eastAsia"/>
        </w:rPr>
        <w:t>最大可信事故</w:t>
      </w:r>
    </w:p>
    <w:p w14:paraId="7B8ED990">
      <w:pPr>
        <w:ind w:firstLine="480"/>
      </w:pPr>
      <w:r>
        <w:rPr>
          <w:rFonts w:hint="eastAsia"/>
        </w:rPr>
        <w:t>本项目最大可信事故类型为生产过程中的泄漏和火灾风险。</w:t>
      </w:r>
    </w:p>
    <w:p w14:paraId="2E9138E2">
      <w:pPr>
        <w:ind w:firstLine="480"/>
      </w:pPr>
      <w:r>
        <w:rPr>
          <w:rFonts w:hint="eastAsia"/>
        </w:rPr>
        <w:t>据统计资料表明，国内贮罐物料泄漏的事故概率在0.5×10</w:t>
      </w:r>
      <w:r>
        <w:rPr>
          <w:rFonts w:hint="eastAsia"/>
          <w:vertAlign w:val="superscript"/>
        </w:rPr>
        <w:t>-4</w:t>
      </w:r>
      <w:r>
        <w:rPr>
          <w:rFonts w:hint="eastAsia"/>
        </w:rPr>
        <w:t>次/年。本项目采用先进的工艺技术，管理规范、并有完善的安全防范措施，抗事故风险能力较高，因此确定最大可信事故为VOCs原料库的物料泄露，概率确定为5×10</w:t>
      </w:r>
      <w:r>
        <w:rPr>
          <w:rFonts w:hint="eastAsia"/>
          <w:vertAlign w:val="superscript"/>
        </w:rPr>
        <w:t>-5</w:t>
      </w:r>
      <w:r>
        <w:rPr>
          <w:rFonts w:hint="eastAsia"/>
        </w:rPr>
        <w:t>次/年。</w:t>
      </w:r>
    </w:p>
    <w:p w14:paraId="2B0EB3C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7.5.6</w:t>
      </w:r>
      <w:r>
        <w:rPr>
          <w:rFonts w:hint="eastAsia"/>
        </w:rPr>
        <w:t>事故源强设点</w:t>
      </w:r>
    </w:p>
    <w:p w14:paraId="48ED8868">
      <w:pPr>
        <w:ind w:firstLine="480"/>
      </w:pPr>
      <w:r>
        <w:rPr>
          <w:rFonts w:hint="eastAsia"/>
        </w:rPr>
        <w:t>项目大气环境风险评价工作等级划分为三级，仅需定性分析说明大气环境影响后果，本次评价不再定量给出大气事故源强；项目地表水以及地下水环境风险评价工作等级划分为简单分析，仅需定性分析说明地表水环境影响后果，本次评价不再定量给出地表水以及地下水的事故源强。</w:t>
      </w:r>
    </w:p>
    <w:p w14:paraId="6AE3178D">
      <w:pPr>
        <w:pStyle w:val="3"/>
        <w:numPr>
          <w:ilvl w:val="1"/>
          <w:numId w:val="0"/>
        </w:numPr>
        <w:ind w:left="567" w:leftChars="0" w:hanging="567" w:firstLineChars="0"/>
        <w:rPr>
          <w:sz w:val="28"/>
          <w:szCs w:val="28"/>
        </w:rPr>
      </w:pPr>
      <w:bookmarkStart w:id="149" w:name="_Toc4139"/>
      <w:r>
        <w:rPr>
          <w:rFonts w:hint="default" w:ascii="宋体" w:hAnsi="宋体" w:eastAsia="宋体" w:cs="宋体"/>
          <w:b/>
          <w:bCs/>
          <w:kern w:val="2"/>
          <w:sz w:val="28"/>
          <w:szCs w:val="28"/>
          <w:lang w:val="en-US" w:eastAsia="zh-CN" w:bidi="ar-SA"/>
        </w:rPr>
        <w:t>7.6</w:t>
      </w:r>
      <w:r>
        <w:rPr>
          <w:rFonts w:hint="eastAsia"/>
          <w:sz w:val="28"/>
          <w:szCs w:val="28"/>
        </w:rPr>
        <w:t>事故后果分析</w:t>
      </w:r>
      <w:bookmarkEnd w:id="149"/>
    </w:p>
    <w:p w14:paraId="0D807B5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7.6.1</w:t>
      </w:r>
      <w:r>
        <w:rPr>
          <w:rFonts w:hint="eastAsia"/>
        </w:rPr>
        <w:t>大气风险事故后果分析</w:t>
      </w:r>
    </w:p>
    <w:p w14:paraId="0EA4E259">
      <w:pPr>
        <w:ind w:firstLine="480"/>
      </w:pPr>
      <w:r>
        <w:rPr>
          <w:rFonts w:hint="eastAsia"/>
        </w:rPr>
        <w:t>本项目涉及的危险物质Q值较小，不涉及重点监管的危险化工工艺，周边大气环境敏感分级为E2级，因此项目大气环境风险潜势较小（Ⅱ级）。同时，本项目风险物质泄漏事故发生概率较小（5×10·5次/年）。在落实有效的环境风险措施后，项目大气环境风险可降至可防控水平。</w:t>
      </w:r>
    </w:p>
    <w:p w14:paraId="52FF1DD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7.6.2</w:t>
      </w:r>
      <w:r>
        <w:rPr>
          <w:rFonts w:hint="eastAsia"/>
        </w:rPr>
        <w:t>地表水风险事故后果分析</w:t>
      </w:r>
    </w:p>
    <w:p w14:paraId="5CBAF67E">
      <w:pPr>
        <w:ind w:firstLine="480"/>
      </w:pPr>
      <w:r>
        <w:rPr>
          <w:rFonts w:hint="eastAsia"/>
        </w:rPr>
        <w:t>本项目产生的生活污水，正常工况下经化粪池处理后全部进入湘潭县顺业污水处理有限公司污水处理厂，达标后排入湘江，本项目生活污水水质简单，水量较少，达标外排不会对纳污水体湘江产生污染影响。</w:t>
      </w:r>
    </w:p>
    <w:p w14:paraId="745A3815">
      <w:pPr>
        <w:tabs>
          <w:tab w:val="left" w:pos="4320"/>
        </w:tabs>
        <w:ind w:firstLine="480"/>
      </w:pPr>
      <w:r>
        <w:rPr>
          <w:rFonts w:hint="eastAsia"/>
        </w:rPr>
        <w:t>本次环评建议建设方采取严格的事故废水三级防控体系，物料储存区及生产区均按相关要求增设围堰并设置事故池一处，防止事故消防废水直接排放。在落实相应风险事故废水措施的情况下，项目发生风险事故时，不会造成携带污染物的事故废水进入外环境，不会对地表水环境产生不利影响。</w:t>
      </w:r>
    </w:p>
    <w:p w14:paraId="2417024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7.6.3</w:t>
      </w:r>
      <w:r>
        <w:rPr>
          <w:rFonts w:hint="eastAsia"/>
        </w:rPr>
        <w:t>地下水风险事故后果预测与评价</w:t>
      </w:r>
    </w:p>
    <w:p w14:paraId="051BD246">
      <w:pPr>
        <w:ind w:firstLine="480"/>
      </w:pPr>
      <w:r>
        <w:rPr>
          <w:rFonts w:hint="eastAsia"/>
        </w:rPr>
        <w:t>本次环评要求建设方采取防渗、防污措施，加强生产过程的管理，防止危险物质泄漏入渗地下，则地下水不利影响在可接受水平。</w:t>
      </w:r>
    </w:p>
    <w:p w14:paraId="37AAF22D">
      <w:pPr>
        <w:ind w:firstLine="480"/>
      </w:pPr>
      <w:r>
        <w:rPr>
          <w:rFonts w:hint="eastAsia"/>
        </w:rPr>
        <w:t>环境风险事故具有一定程度的不确定性。事故发生的条件有很多，事故发生的天气条件千差万别，具有极大的不确定性，发生事故排放的强度有多种可能。这样对风险事故的后果预测就存在着极大的不确定性。在采取有效的安全措施后，项目地下水环境风险可降至可防控水平。</w:t>
      </w:r>
    </w:p>
    <w:p w14:paraId="50DC1D50">
      <w:pPr>
        <w:pStyle w:val="3"/>
        <w:numPr>
          <w:ilvl w:val="1"/>
          <w:numId w:val="0"/>
        </w:numPr>
        <w:tabs>
          <w:tab w:val="left" w:pos="6769"/>
        </w:tabs>
        <w:ind w:left="567" w:leftChars="0" w:hanging="567" w:firstLineChars="0"/>
        <w:rPr>
          <w:sz w:val="28"/>
          <w:szCs w:val="28"/>
        </w:rPr>
      </w:pPr>
      <w:bookmarkStart w:id="150" w:name="_Toc576"/>
      <w:r>
        <w:rPr>
          <w:rFonts w:hint="default" w:ascii="宋体" w:hAnsi="宋体" w:eastAsia="宋体" w:cs="宋体"/>
          <w:b/>
          <w:bCs/>
          <w:kern w:val="2"/>
          <w:sz w:val="28"/>
          <w:szCs w:val="28"/>
          <w:lang w:val="en-US" w:eastAsia="zh-CN" w:bidi="ar-SA"/>
        </w:rPr>
        <w:t>7.7</w:t>
      </w:r>
      <w:r>
        <w:rPr>
          <w:rFonts w:hint="eastAsia"/>
          <w:sz w:val="28"/>
          <w:szCs w:val="28"/>
        </w:rPr>
        <w:t>环境风险防范措施及应急要求</w:t>
      </w:r>
      <w:bookmarkEnd w:id="150"/>
    </w:p>
    <w:p w14:paraId="06E2A6DA">
      <w:pPr>
        <w:pStyle w:val="41"/>
        <w:spacing w:before="0" w:beforeAutospacing="0" w:after="0" w:afterAutospacing="0"/>
        <w:ind w:firstLine="480"/>
        <w:rPr>
          <w:rFonts w:ascii="Times New Roman" w:hAnsi="Times New Roman" w:cs="Times New Roman"/>
          <w:sz w:val="24"/>
        </w:rPr>
      </w:pPr>
      <w:r>
        <w:rPr>
          <w:rFonts w:ascii="Times New Roman" w:hAnsi="Times New Roman" w:cs="Times New Roman"/>
          <w:sz w:val="24"/>
        </w:rPr>
        <w:t>为了及时发现和减少事故的潜在危害，确保生命财产和人身安全，有必要建立风险事故决策支持系统和事故应急监测技术支持系统，在事故发生时及时采取应急救援措施，形成风险安全系统工程。</w:t>
      </w:r>
    </w:p>
    <w:p w14:paraId="3BC0E814">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7.7.1</w:t>
      </w:r>
      <w:r>
        <w:rPr>
          <w:rFonts w:hint="eastAsia"/>
        </w:rPr>
        <w:t>选址、总图布置和建筑安全防范措施</w:t>
      </w:r>
    </w:p>
    <w:p w14:paraId="23CAC58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7.7.1.1</w:t>
      </w:r>
      <w:r>
        <w:rPr>
          <w:rFonts w:hint="eastAsia"/>
        </w:rPr>
        <w:t>选址、总图布置</w:t>
      </w:r>
    </w:p>
    <w:p w14:paraId="0ABD00AF">
      <w:pPr>
        <w:ind w:firstLine="480"/>
      </w:pPr>
      <w:r>
        <w:rPr>
          <w:rFonts w:hint="eastAsia"/>
        </w:rPr>
        <w:t>①建设项目位于天易经开区，四侧均为规划工业用地。</w:t>
      </w:r>
    </w:p>
    <w:p w14:paraId="0ADF4E8E">
      <w:pPr>
        <w:ind w:firstLine="480"/>
      </w:pPr>
      <w:r>
        <w:rPr>
          <w:rFonts w:hint="eastAsia"/>
        </w:rPr>
        <w:t>②项目厂区总平面布置严格执行《工业企业总平面设计规范》等国家有关法规及技术标准要求进行，所有建、构筑物之间或与其它场所之间留有足够的防火间距；严格按工艺处理物料特性，对厂区进行危险区划分。</w:t>
      </w:r>
    </w:p>
    <w:p w14:paraId="62574691">
      <w:pPr>
        <w:ind w:firstLine="480"/>
      </w:pPr>
      <w:r>
        <w:rPr>
          <w:rFonts w:hint="eastAsia"/>
        </w:rPr>
        <w:t>③厂区内划出专用车辆行驶路线、限速标志等并严格执行；厂区内运输和装卸应根据工艺布置、货物性质、运量大小以及消防和急救需要，保证主干道畅通无阻，道路净空高度不得小于5米；在厂区总平面布置中配套建设应急救援设施、救援通道、应急疏散避难所等防护设施。按《安全标志及其使用导则》GB 2894-2008定在装置区设置有关的安全标志。</w:t>
      </w:r>
    </w:p>
    <w:p w14:paraId="2B9B32E8">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7.7.1.2</w:t>
      </w:r>
      <w:r>
        <w:rPr>
          <w:rFonts w:hint="eastAsia"/>
        </w:rPr>
        <w:t>建筑安全防范</w:t>
      </w:r>
    </w:p>
    <w:p w14:paraId="4BE9144F">
      <w:pPr>
        <w:ind w:firstLine="480"/>
      </w:pPr>
      <w:r>
        <w:rPr>
          <w:rFonts w:hint="eastAsia"/>
        </w:rPr>
        <w:t>对人身造成危险的运转设备配备安全罩。高处作业平台、高空走廊、楼梯、钢爬梯上要按规范要求设计围栏、踢脚板或防护栏杆，围栏高度不应低于1.05米，脚板应使用防滑板。在楼板操作及检修平台有孔洞的地方设有盖板。</w:t>
      </w:r>
    </w:p>
    <w:p w14:paraId="382EAE9C">
      <w:pPr>
        <w:ind w:firstLine="480"/>
      </w:pPr>
      <w:r>
        <w:rPr>
          <w:rFonts w:hint="eastAsia"/>
        </w:rPr>
        <w:t>根据火灾危险性等级和防火、防爆要求，建筑物的防火等级均应采用国家现行规范要求按一、二级耐火等级设计，满足建筑防火要求。凡禁火区均设置明显标志牌。各种危险物质均储存在阴凉、通风处，远离火源；原辅料仓库不允许任何人员随便入内。安全出口及安全疏散距离应符合《建筑设计防火规范》（GB 50016-2014[2018年版]）的要求。</w:t>
      </w:r>
    </w:p>
    <w:p w14:paraId="0833717B">
      <w:pPr>
        <w:ind w:firstLine="480"/>
      </w:pPr>
      <w:r>
        <w:rPr>
          <w:rFonts w:hint="eastAsia"/>
        </w:rPr>
        <w:t>根据生产装置的特点，在生产车间按物料性质和人身可能意外接触到有害物质而引起烧伤、刺激或伤害皮肤的区域内，均设置紧急淋浴和洗眼器，并加以明显标记。并在装置区设置救护箱、工作人员配备必要的个人防护用品。</w:t>
      </w:r>
    </w:p>
    <w:p w14:paraId="309882EF">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7.7.2</w:t>
      </w:r>
      <w:r>
        <w:rPr>
          <w:rFonts w:hint="eastAsia"/>
        </w:rPr>
        <w:t>消防、火灾报警系统及消防废水处置</w:t>
      </w:r>
    </w:p>
    <w:p w14:paraId="623FA82E">
      <w:pPr>
        <w:ind w:firstLine="480"/>
      </w:pPr>
      <w:r>
        <w:rPr>
          <w:rFonts w:hint="eastAsia" w:ascii="宋体" w:hAnsi="宋体" w:cs="宋体"/>
        </w:rPr>
        <w:t>⑴根据火灾危险性等级和防火、防爆要求，建筑物的防火等级均应采用国家现行规范要求按一、二级耐火等级设计，满足建筑防火要求；凡禁火区均设置明显标志牌，厂区安全出口及安全疏散距离应符合《建筑设计防火规范》（</w:t>
      </w:r>
      <w:r>
        <w:t>GB 50016-2014[2018</w:t>
      </w:r>
      <w:r>
        <w:rPr>
          <w:rFonts w:hint="eastAsia" w:ascii="宋体" w:hAnsi="宋体" w:cs="宋体"/>
        </w:rPr>
        <w:t>年版]）的要求。</w:t>
      </w:r>
    </w:p>
    <w:p w14:paraId="1004C430">
      <w:pPr>
        <w:ind w:firstLine="480"/>
      </w:pPr>
      <w:r>
        <w:rPr>
          <w:rFonts w:hint="eastAsia" w:ascii="宋体" w:hAnsi="宋体" w:cs="宋体"/>
        </w:rPr>
        <w:t>⑵生产区设置干粉灭火器、室内消火栓，仓库及生产车间设计干粉灭火器。</w:t>
      </w:r>
    </w:p>
    <w:p w14:paraId="4C14771C">
      <w:pPr>
        <w:ind w:firstLine="480"/>
      </w:pPr>
      <w:r>
        <w:rPr>
          <w:rFonts w:hint="eastAsia" w:ascii="宋体" w:hAnsi="宋体" w:cs="宋体"/>
        </w:rPr>
        <w:t>⑶消防水是独立的稳高压消防水管网，消防水管道沿生产车间周围布置，在管道上按照规范要求配置消火栓。</w:t>
      </w:r>
    </w:p>
    <w:p w14:paraId="00F27C7B">
      <w:pPr>
        <w:ind w:firstLine="480"/>
        <w:rPr>
          <w:rFonts w:ascii="宋体" w:hAnsi="宋体" w:cs="宋体"/>
        </w:rPr>
      </w:pPr>
      <w:r>
        <w:rPr>
          <w:rFonts w:hint="eastAsia" w:ascii="宋体" w:hAnsi="宋体" w:cs="宋体"/>
        </w:rPr>
        <w:t>⑷在风险事故救援过程中，将会产生大量的消防废水，应立即调整项目与雨水管网之间设置的切换阀，完善事故废水收集系统，保证各单元发生事故时，消防废水能迅速、安全地进入项目的污水管网，进行必要的处理。</w:t>
      </w:r>
    </w:p>
    <w:p w14:paraId="6C3A2960">
      <w:pPr>
        <w:ind w:firstLine="480"/>
        <w:rPr>
          <w:rFonts w:ascii="宋体" w:hAnsi="宋体" w:cs="宋体"/>
        </w:rPr>
      </w:pPr>
      <w:r>
        <w:rPr>
          <w:rFonts w:hint="eastAsia" w:ascii="宋体" w:hAnsi="宋体" w:cs="宋体"/>
        </w:rPr>
        <w:t>⑸火灾报警系统：全厂采用电话报警，报警至消防局。根据需要设置报警装置。火灾报警信号报至中心控制室，再由中心控制室报至消防局。</w:t>
      </w:r>
    </w:p>
    <w:p w14:paraId="440645E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7.7.3</w:t>
      </w:r>
      <w:r>
        <w:rPr>
          <w:rFonts w:hint="eastAsia"/>
        </w:rPr>
        <w:t>危废储存安全防范措施</w:t>
      </w:r>
    </w:p>
    <w:p w14:paraId="73B6E89F">
      <w:pPr>
        <w:ind w:firstLine="480"/>
      </w:pPr>
      <w:r>
        <w:rPr>
          <w:rFonts w:hint="eastAsia"/>
        </w:rPr>
        <w:t>①本项目危废脂储存区应严格按照《危险废物识别标志设置技术规范》和《危险废物贮存污染控制标准》（GB18597-2023）的要求进行设置。同时应按照《常用化学危险品储存通则》的国家安全标准的要求，应设置防止液体散失的设施，按照规定设置安全警示标志，要配备相应的沙土等消防器材。同时VOCs原料及危废贮存还应满足GB15603、《危险化学品安全管理条例》、《废弃危险化学品污染环境防治办法》的要求。储存、转运及生产设施等需用防腐材质。生产过程中物料输送时对管道进行巡回检查，发现滴漏、进行堵漏，用滴漏盘收集漏液，并在适当的时候采取维修措施，在不进行物料输送时，至少每班巡回检查一次。建立管线定期检查制度，防止碰撞，控制管线的支撑磨损，定期检查管道、阀门等，确保无渗漏。</w:t>
      </w:r>
    </w:p>
    <w:p w14:paraId="11EEBA16">
      <w:pPr>
        <w:ind w:firstLine="480"/>
      </w:pPr>
      <w:r>
        <w:rPr>
          <w:rFonts w:hint="eastAsia"/>
        </w:rPr>
        <w:t>②装卸物料时，严格按照规章操作，尽量避免事故的发生，装卸区地面采取防滑防渗硬化处理，并在装卸区设地沟。</w:t>
      </w:r>
    </w:p>
    <w:p w14:paraId="4C4C777E">
      <w:pPr>
        <w:ind w:firstLine="480"/>
      </w:pPr>
      <w:r>
        <w:rPr>
          <w:rFonts w:hint="eastAsia"/>
        </w:rPr>
        <w:t>③危险废物储存区设围堰、集水沟和收集槽，对事故情况下泄漏的物料进行收集，防止泄漏物料扩散。围堰区均进行防渗防腐处理。发生事故时，围堰内容积作为消防事故污水的暂存应急缓冲池。</w:t>
      </w:r>
    </w:p>
    <w:p w14:paraId="7289CE7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7.7.4</w:t>
      </w:r>
      <w:r>
        <w:rPr>
          <w:rFonts w:hint="eastAsia"/>
        </w:rPr>
        <w:t>含VOCs原料贮存安全防范措施</w:t>
      </w:r>
    </w:p>
    <w:p w14:paraId="5E6B1E9D">
      <w:pPr>
        <w:ind w:firstLine="480"/>
      </w:pPr>
      <w:r>
        <w:rPr>
          <w:rFonts w:hint="eastAsia"/>
        </w:rPr>
        <w:t>含VOCs原料泄漏事故的防治是生产和储运过程中最重要的环节，发生泄漏事故可引起大气、地表水体等污染，更有可能引发火灾和爆炸等重大事故。项目使用的原料均为桶装不设槽罐储存，原料到厂时，必须进行检验。含VOCs原料桶的结构材料应与储存的物料和储存条件(温度、压力等)相适应，要定期对化学品桶外部检查，及时发现破损和漏处提前更换。</w:t>
      </w:r>
    </w:p>
    <w:p w14:paraId="6609AF85">
      <w:pPr>
        <w:ind w:firstLine="480"/>
      </w:pPr>
      <w:r>
        <w:t>含VOCs原料品运输车辆必须配备相应的安全装置，如排气管火花熄灭器、泄压阀、防液板、遮阳物、压力表、液位计、导除静电设备和必要的灭火设备。在运输过程中，运输人员不得吸烟和动用明火，无关人员不得搭车、不得停留在锅炉房、加油站等场所和公共聚集场所。驾驶员应严格遵守交通法规和操作规程，严禁疲劳驾驶和酒后驾车等。如途中车辆发生故障，人不离车，中途休息，车辆应由专人看管并注意周围的环境是否安全。</w:t>
      </w:r>
    </w:p>
    <w:p w14:paraId="53436377">
      <w:pPr>
        <w:ind w:firstLine="480"/>
      </w:pPr>
      <w:r>
        <w:t>①各种原料分库、分类贮存，禁忌物品分开存放。库房远离火种、热源，保证阴凉、通风，采用防爆型照明、通风设施。禁止使用易产生火花的机械设备和工具。保证仓库内容器密封。库房内应备有泄漏应急处理设备和合适的收容材料。</w:t>
      </w:r>
    </w:p>
    <w:p w14:paraId="5993FE3B">
      <w:pPr>
        <w:ind w:firstLine="480"/>
      </w:pPr>
      <w:r>
        <w:t>②在各含VOCs原料贮存地点与使用化学品的设备处，设立安全标志或涂刷相应的安全色。根据《</w:t>
      </w:r>
      <w:r>
        <w:rPr>
          <w:rFonts w:hint="eastAsia"/>
        </w:rPr>
        <w:t>工作场所职业病危害警示标识</w:t>
      </w:r>
      <w:r>
        <w:t>》（GBZ158-2003）的规定，在使用有毒有害物品作业场所设置黄色区域警示线、警示标识和中文警示说明，警示说明应当载明产生风险事故及职业病危害因素的种类、后果、预防以及应急救治措施等内容。</w:t>
      </w:r>
    </w:p>
    <w:p w14:paraId="71B98FA0">
      <w:pPr>
        <w:ind w:firstLine="480"/>
      </w:pPr>
      <w:r>
        <w:t>③坚持岗位培训和持证上岗制度，严格执行安全规章制度和操作规程，对所有重要设备（危险源）需作出清晰的警戒标示，并加强操作工人个人防护，上岗穿戴工作服和防护用具（眼镜、手套、工作帽、面罩等）。</w:t>
      </w:r>
    </w:p>
    <w:p w14:paraId="56A17720">
      <w:pPr>
        <w:ind w:firstLine="480"/>
      </w:pPr>
      <w:r>
        <w:t>④仓库应设置可燃气体自动报警装置，仓库内应配备有机溶剂浓度报警装置，当空气中可燃气体浓度达到报警限值时进行示警。</w:t>
      </w:r>
    </w:p>
    <w:p w14:paraId="088B6FBE">
      <w:pPr>
        <w:ind w:firstLine="480"/>
      </w:pPr>
      <w:r>
        <w:t>⑤做好仓库日常检查工作，发现容器发生破损、损坏现象，应及时采取有效措施，采用拦截物质，预防原料泄露。</w:t>
      </w:r>
    </w:p>
    <w:p w14:paraId="277626E4">
      <w:pPr>
        <w:ind w:firstLine="480"/>
      </w:pPr>
      <w:r>
        <w:t>⑥含VOCs原料储存地点设围堰、集水沟和收集槽，对事故情况下泄漏的物料进行收集，防止泄漏物料扩散。一旦发生泄漏或火灾事故，则化学品或消防水可经过围堰导流入事故应急池。围堰内的有效容积，不小于围堰内储罐的容积。围堰的高度不应小于0.15m。围堰区域的范围按设备最大外形再向外延伸0.8m。围堰内不允许有地漏，但是应有排水设施，围堰内的地面应坡向排水设施，坡度不应小于3‰。</w:t>
      </w:r>
    </w:p>
    <w:p w14:paraId="50E9BA68">
      <w:pPr>
        <w:ind w:firstLine="480"/>
      </w:pPr>
      <w:r>
        <w:t>⑦VOCs物料贮存区仓库设计，基础防渗，防渗层为至少2mm厚高密度聚乙烯（渗透系数≤10</w:t>
      </w:r>
      <w:r>
        <w:rPr>
          <w:vertAlign w:val="superscript"/>
        </w:rPr>
        <w:t>-10</w:t>
      </w:r>
      <w:r>
        <w:t>cm/s）；地面与群脚使用坚固、防渗材料建造，建筑材料必须与危险废物相容，仓库地面必须为耐腐蚀硬化地面，且表面无裂隙，并设有泄漏液体收集装置，防止液体废物意外泄漏造成无组织溢流渗入地下；仓库设计堵截泄漏的群脚，地面与群脚所围建的容积不低于堵截最大容器的最大储量或总储量的1/5。</w:t>
      </w:r>
    </w:p>
    <w:p w14:paraId="5F2DBE8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7.7.5</w:t>
      </w:r>
      <w:r>
        <w:rPr>
          <w:rFonts w:hint="eastAsia"/>
        </w:rPr>
        <w:t>含VOCs原料及危废运输安全防范措施</w:t>
      </w:r>
    </w:p>
    <w:p w14:paraId="507A1799">
      <w:pPr>
        <w:ind w:firstLine="480"/>
      </w:pPr>
      <w:r>
        <w:t>①VOCs原料及危废运输应委托具备危险化学品运输资质的单位采用专用运输车辆负责承运，驾驶员、押运员等从业人员应进行危险化学品执业资格培训，并经考核合格后取得上岗资格。</w:t>
      </w:r>
    </w:p>
    <w:p w14:paraId="044A4324">
      <w:pPr>
        <w:ind w:firstLine="480"/>
      </w:pPr>
      <w:r>
        <w:t>②危险废物运输车辆必须在车辆前部和后部、车厢两侧设置占用警示标识。</w:t>
      </w:r>
    </w:p>
    <w:p w14:paraId="5291A62E">
      <w:pPr>
        <w:ind w:firstLine="480"/>
      </w:pPr>
      <w:r>
        <w:t>③VOCs原料及危废运输过程采用联单制度，处理联单详细记录原料来源的企业名称、运输人、车牌号、运输时间、环保巡查组押车人等情况，以备查验；其次，联单上还应包括危废产生企业经办人及公章、接收单位（本项目）经办人及公章、当地环保部门经办人、审核人及公章等信息，确保VOCs原料及危废的运输和接收均责任到位。应当制定风险事故应急救援预案，配备应急救援人员和必要的应急救援器材、设备，并定期组织演练，并应报当地安监局备案。</w:t>
      </w:r>
    </w:p>
    <w:p w14:paraId="4E8449EB">
      <w:pPr>
        <w:ind w:firstLine="480"/>
      </w:pPr>
      <w:r>
        <w:t>④VOCs原料及危废运输除需办理齐全的手续，对每次进出的车辆做到清晰的台账记录外，还要对运输的全过程进行记录，做到对汽车的运输过程实时监控，当遇到突发性事故时，立即组织抢险队伍，赶赴事故现场，对外泄VOCs原料及危废收集及处理。</w:t>
      </w:r>
    </w:p>
    <w:p w14:paraId="6EF44F06">
      <w:pPr>
        <w:ind w:firstLine="480"/>
      </w:pPr>
      <w:r>
        <w:t>⑤严格控制运输车辆的车速，防治发生交通事故，导致VOCs原料及危废泄漏，从而污染土壤、地表水和地下水，同时做好防跑、冒、滴、漏等措施；运输车辆在厂区内行驶车速不得超过15km/h，出入大门不得超过5km/h。</w:t>
      </w:r>
    </w:p>
    <w:p w14:paraId="1A4AEF67">
      <w:pPr>
        <w:ind w:firstLine="480"/>
      </w:pPr>
      <w:r>
        <w:t>⑥在运输前应事先作出周密的运输计划，安排好运输车辆经过各路段的时间，尽量避免运输车辆在交通高峰期通过市区。</w:t>
      </w:r>
    </w:p>
    <w:p w14:paraId="29492C36">
      <w:pPr>
        <w:ind w:firstLine="480"/>
      </w:pPr>
      <w:r>
        <w:t>⑦在该项目投入运行前，应事先对各运输路线的路况进行调查，使司机对路面情况不好的道路、桥梁做到心中有数。</w:t>
      </w:r>
    </w:p>
    <w:p w14:paraId="37C2B710">
      <w:pPr>
        <w:ind w:firstLine="480"/>
      </w:pPr>
      <w:r>
        <w:t>⑧应制定事故应急和防止运输过程中泄漏、扬散的保障措施和配备必要的设备，在危险废液发生泄漏时可以及时将废液收集，减少散失。</w:t>
      </w:r>
    </w:p>
    <w:p w14:paraId="7BA5DBA8">
      <w:pPr>
        <w:ind w:firstLine="480"/>
      </w:pPr>
      <w:r>
        <w:t>⑨运输车辆在每次运输前都必须对车辆的车况进行检查，确保车况良好后方可出车，运输车辆负责人应对每辆运输车必须配备的辅助物品进行检查，确保完备；定期对运输车辆进行全面检查，减少和防止危险物质发生泄漏和交通事故的发生。</w:t>
      </w:r>
    </w:p>
    <w:p w14:paraId="788A7524">
      <w:pPr>
        <w:ind w:firstLine="480"/>
      </w:pPr>
      <w:r>
        <w:t>⑩合理安排运输频次，在气象条件不好的天气、如暴雨、台风等，不能运输危险物质，小雨天气可运输，但应小心驾驶并加强安全措施。运输容器等容器必须封口严密，能够承受正常运输条件下产生的内部压力和外部压力，保证化学品在运输中不因温度、湿度或者压力的变化而发生任何渗（洒）漏</w:t>
      </w:r>
      <w:r>
        <w:rPr>
          <w:rFonts w:hint="eastAsia"/>
        </w:rPr>
        <w:t>。</w:t>
      </w:r>
    </w:p>
    <w:p w14:paraId="5446F55C">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7.7.6</w:t>
      </w:r>
      <w:r>
        <w:rPr>
          <w:rFonts w:hint="eastAsia"/>
        </w:rPr>
        <w:t>生产车间风险防范措施</w:t>
      </w:r>
    </w:p>
    <w:p w14:paraId="19BE1879">
      <w:pPr>
        <w:ind w:firstLine="480"/>
      </w:pPr>
      <w:r>
        <w:t>①车间内管道系统必须按有关标准进行良好设计、制作及安装，由当地有关质检部门进行验收并通过后方能投入使用；</w:t>
      </w:r>
    </w:p>
    <w:p w14:paraId="65DEAB63">
      <w:pPr>
        <w:ind w:firstLine="480"/>
      </w:pPr>
      <w:r>
        <w:t>②各生产装置、出料应设紧急切断阀，操作台设紧急切断按钮。</w:t>
      </w:r>
    </w:p>
    <w:p w14:paraId="63F79145">
      <w:pPr>
        <w:ind w:firstLine="480"/>
      </w:pPr>
      <w:r>
        <w:t>③坚持岗位培训和持证上岗制度，严格执行安全规章制度和操作规程，对所有重要设备（危险源）需作出清晰的警戒标示。进入车间人员应穿戴好个人安全防护用品，如安全帽等。同时工作服要达到“三紧”，女职工的长发要束在安全帽内，以防意外事故的发生。</w:t>
      </w:r>
    </w:p>
    <w:p w14:paraId="1A7D992F">
      <w:pPr>
        <w:ind w:firstLine="480"/>
      </w:pPr>
      <w:r>
        <w:t>④生产车间设置收集沟，一旦发生泄漏，将收集在收集沟内，同时储备有泄漏应急处理设备和合适的收容材料。</w:t>
      </w:r>
    </w:p>
    <w:p w14:paraId="607005A7">
      <w:pPr>
        <w:ind w:firstLine="480"/>
      </w:pPr>
      <w:r>
        <w:t>⑤车间应设置可燃气体自动报警装置，生产车间应配备有机溶剂浓度报警装置，当空气中可燃气体浓度达到报警限值时进行示警。</w:t>
      </w:r>
    </w:p>
    <w:p w14:paraId="47FCC46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7.7.7</w:t>
      </w:r>
      <w:r>
        <w:rPr>
          <w:rFonts w:hint="eastAsia"/>
        </w:rPr>
        <w:t>废气事故风险预防措施</w:t>
      </w:r>
    </w:p>
    <w:p w14:paraId="716D9F08">
      <w:pPr>
        <w:ind w:firstLine="480"/>
      </w:pPr>
      <w:r>
        <w:rPr>
          <w:rFonts w:hint="eastAsia"/>
        </w:rPr>
        <w:t>发生事故的原因主要有以下几个：</w:t>
      </w:r>
    </w:p>
    <w:p w14:paraId="085CA2A8">
      <w:pPr>
        <w:ind w:firstLine="480"/>
      </w:pPr>
      <w:r>
        <w:rPr>
          <w:rFonts w:hint="eastAsia"/>
        </w:rPr>
        <w:t>①废气处理系统出现故障，未经处理或处理不到位的废气排入大气环境中；</w:t>
      </w:r>
    </w:p>
    <w:p w14:paraId="11273162">
      <w:pPr>
        <w:ind w:firstLine="480"/>
      </w:pPr>
      <w:r>
        <w:rPr>
          <w:rFonts w:hint="eastAsia"/>
        </w:rPr>
        <w:t>②生产过程中由于设备老化、腐蚀、失误操作等原因造成车间废气浓度超标；</w:t>
      </w:r>
    </w:p>
    <w:p w14:paraId="6A0FD603">
      <w:pPr>
        <w:ind w:firstLine="480"/>
      </w:pPr>
      <w:r>
        <w:rPr>
          <w:rFonts w:hint="eastAsia"/>
        </w:rPr>
        <w:t>③厂内突然停电，废气处理系统停止工作，致使废气不能得到及时处理而造成事故排放；</w:t>
      </w:r>
    </w:p>
    <w:p w14:paraId="17B4E770">
      <w:pPr>
        <w:ind w:firstLine="480"/>
      </w:pPr>
      <w:r>
        <w:rPr>
          <w:rFonts w:hint="eastAsia"/>
        </w:rPr>
        <w:t>④管理人员的疏忽和失职。</w:t>
      </w:r>
    </w:p>
    <w:p w14:paraId="20BCEF77">
      <w:pPr>
        <w:ind w:firstLine="480"/>
      </w:pPr>
      <w:r>
        <w:rPr>
          <w:rFonts w:hint="eastAsia"/>
        </w:rPr>
        <w:t>⑤若环保措施装置的自动控制系统发生故障，造成环保措施装置不能有效控制、集气不能正常进行，进气阀不能正常关闭、旁通阀不能及时打开等，会造成车间内或环保措施装置内浓度过高，严重时会造成火灾爆炸现象。</w:t>
      </w:r>
    </w:p>
    <w:p w14:paraId="42943B5E">
      <w:pPr>
        <w:ind w:firstLine="480"/>
      </w:pPr>
      <w:r>
        <w:rPr>
          <w:rFonts w:hint="eastAsia"/>
        </w:rPr>
        <w:t>⑥若环保措施装置用材料的质量及规格，以及安全附件如安全阀、紧急切断装置、测温仪表等不符合相应的国家标准行业标准的规定，则会由于材质选择不当而造成爆炸、火灾、中毒等事故。</w:t>
      </w:r>
    </w:p>
    <w:p w14:paraId="44D343A3">
      <w:pPr>
        <w:ind w:firstLine="480"/>
      </w:pPr>
      <w:r>
        <w:rPr>
          <w:rFonts w:hint="eastAsia"/>
        </w:rPr>
        <w:t>⑦电器电线安装没有达到规范要求，或由于环境潮湿，可能短路、漏电等现象，也是形成火灾的原因。</w:t>
      </w:r>
    </w:p>
    <w:p w14:paraId="3E76F62A">
      <w:pPr>
        <w:ind w:firstLine="480"/>
      </w:pPr>
      <w:r>
        <w:rPr>
          <w:rFonts w:hint="eastAsia"/>
        </w:rPr>
        <w:t>为杜绝因环保措施事故出现爆炸、火灾以及事故性废气排放，建议采用以下措施来确保废气达标排放：</w:t>
      </w:r>
    </w:p>
    <w:p w14:paraId="3D22A260">
      <w:pPr>
        <w:ind w:firstLine="480"/>
      </w:pPr>
      <w:r>
        <w:t>①</w:t>
      </w:r>
      <w:r>
        <w:rPr>
          <w:rFonts w:hint="eastAsia"/>
        </w:rPr>
        <w:t>环保措施</w:t>
      </w:r>
      <w:r>
        <w:t>装置材料以及安全附件如安全阀、紧急切断装置、测温仪表等均需符合相应的国家标准行业标准的规定；电器电线安装需达到规范要求。</w:t>
      </w:r>
    </w:p>
    <w:p w14:paraId="0C5F5707">
      <w:pPr>
        <w:ind w:firstLine="480"/>
      </w:pPr>
      <w:r>
        <w:t>②平时加强废气处理设施的维护保养，及时发现处理设备的隐患，并及时进行维修，确保废气处理系统正常运行；</w:t>
      </w:r>
    </w:p>
    <w:p w14:paraId="6C4858E9">
      <w:pPr>
        <w:ind w:firstLine="480"/>
      </w:pPr>
      <w:r>
        <w:t>③建立健全的环保机构，配置必要的监测仪器、可燃气体自动报警装置；对管理人员和技术人员进行岗位培训，对废气处理实行全过程跟踪控制。</w:t>
      </w:r>
    </w:p>
    <w:p w14:paraId="18455D97">
      <w:pPr>
        <w:pStyle w:val="3"/>
        <w:numPr>
          <w:ilvl w:val="1"/>
          <w:numId w:val="0"/>
        </w:numPr>
        <w:ind w:left="567" w:leftChars="0" w:hanging="567" w:firstLineChars="0"/>
        <w:rPr>
          <w:sz w:val="28"/>
          <w:szCs w:val="28"/>
        </w:rPr>
      </w:pPr>
      <w:bookmarkStart w:id="151" w:name="_Toc28663"/>
      <w:r>
        <w:rPr>
          <w:rFonts w:hint="default" w:ascii="宋体" w:hAnsi="宋体" w:eastAsia="宋体" w:cs="宋体"/>
          <w:b/>
          <w:bCs/>
          <w:kern w:val="2"/>
          <w:sz w:val="28"/>
          <w:szCs w:val="28"/>
          <w:lang w:val="en-US" w:eastAsia="zh-CN" w:bidi="ar-SA"/>
        </w:rPr>
        <w:t>7.8</w:t>
      </w:r>
      <w:r>
        <w:rPr>
          <w:rFonts w:hint="eastAsia"/>
          <w:sz w:val="28"/>
          <w:szCs w:val="28"/>
        </w:rPr>
        <w:t>应急预案</w:t>
      </w:r>
      <w:bookmarkEnd w:id="151"/>
    </w:p>
    <w:p w14:paraId="1AAB123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7.8.1</w:t>
      </w:r>
      <w:r>
        <w:rPr>
          <w:rFonts w:hint="eastAsia"/>
        </w:rPr>
        <w:t>应急要求</w:t>
      </w:r>
    </w:p>
    <w:p w14:paraId="798DFF9E">
      <w:pPr>
        <w:ind w:firstLine="480"/>
      </w:pPr>
      <w:r>
        <w:rPr>
          <w:rFonts w:hint="eastAsia"/>
        </w:rPr>
        <w:t>为满足突发环境事件应急管理的要求，贯彻《中华人民共和国突发事件应对法》和《突发环境事件应急预案管理暂行办法》及其它国家法律、法规及有关文件的要求，有效防范应对突发环境事件，保护人员生命安全，减少单位财产损失，</w:t>
      </w:r>
      <w:r>
        <w:t>建设单位应按照《</w:t>
      </w:r>
      <w:r>
        <w:rPr>
          <w:rFonts w:hint="eastAsia"/>
        </w:rPr>
        <w:t>湖南</w:t>
      </w:r>
      <w:r>
        <w:t>省突发环境事件应急预案（201</w:t>
      </w:r>
      <w:r>
        <w:rPr>
          <w:rFonts w:hint="eastAsia"/>
        </w:rPr>
        <w:t>8</w:t>
      </w:r>
      <w:r>
        <w:t>）》及《建设项目环境风险评价技术导则》（</w:t>
      </w:r>
      <w:r>
        <w:rPr>
          <w:rFonts w:hint="eastAsia"/>
        </w:rPr>
        <w:t>HJ 169-2018</w:t>
      </w:r>
      <w:r>
        <w:t>）等，组织专业人员或委托相关单位编制突发环境事件应急预案，并经环境保护行政管理部门备案。</w:t>
      </w:r>
    </w:p>
    <w:p w14:paraId="41CB99D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7.8.2</w:t>
      </w:r>
      <w:r>
        <w:rPr>
          <w:rFonts w:hint="eastAsia"/>
        </w:rPr>
        <w:t>环境风险应急组织机构设置及职责</w:t>
      </w:r>
    </w:p>
    <w:p w14:paraId="6AD19106">
      <w:pPr>
        <w:ind w:firstLine="480"/>
      </w:pPr>
      <w:r>
        <w:rPr>
          <w:rFonts w:hint="eastAsia"/>
        </w:rPr>
        <w:t>针对可能存在的环境风险，项目应当设立事故状态下的应急救援领导小组。应急救援领导小组是公司为预防和处置各类突发事故的常设机构，其主要职责有：</w:t>
      </w:r>
    </w:p>
    <w:p w14:paraId="517DE4BB">
      <w:pPr>
        <w:ind w:firstLine="480"/>
      </w:pPr>
      <w:r>
        <w:rPr>
          <w:rFonts w:hint="eastAsia" w:ascii="宋体" w:hAnsi="宋体" w:cs="宋体"/>
        </w:rPr>
        <w:t>⑴</w:t>
      </w:r>
      <w:r>
        <w:rPr>
          <w:rFonts w:hint="eastAsia"/>
        </w:rPr>
        <w:t>编制和修改事故应急救援预案。</w:t>
      </w:r>
    </w:p>
    <w:p w14:paraId="2F4F33AF">
      <w:pPr>
        <w:ind w:firstLine="480"/>
      </w:pPr>
      <w:r>
        <w:rPr>
          <w:rFonts w:hint="eastAsia" w:ascii="宋体" w:hAnsi="宋体" w:cs="宋体"/>
        </w:rPr>
        <w:t>⑵</w:t>
      </w:r>
      <w:r>
        <w:rPr>
          <w:rFonts w:hint="eastAsia"/>
        </w:rPr>
        <w:t>组建应急救援队伍并组织实施训练和演习。</w:t>
      </w:r>
    </w:p>
    <w:p w14:paraId="5B9063FC">
      <w:pPr>
        <w:ind w:firstLine="480"/>
      </w:pPr>
      <w:r>
        <w:rPr>
          <w:rFonts w:hint="eastAsia" w:ascii="宋体" w:hAnsi="宋体" w:cs="宋体"/>
        </w:rPr>
        <w:t>⑶</w:t>
      </w:r>
      <w:r>
        <w:rPr>
          <w:rFonts w:hint="eastAsia"/>
        </w:rPr>
        <w:t>检查各项安全工作的实施情况。</w:t>
      </w:r>
    </w:p>
    <w:p w14:paraId="4FDE9998">
      <w:pPr>
        <w:ind w:firstLine="480"/>
      </w:pPr>
      <w:r>
        <w:rPr>
          <w:rFonts w:hint="eastAsia" w:ascii="宋体" w:hAnsi="宋体" w:cs="宋体"/>
        </w:rPr>
        <w:t>⑷</w:t>
      </w:r>
      <w:r>
        <w:rPr>
          <w:rFonts w:hint="eastAsia"/>
        </w:rPr>
        <w:t>检查督促做好重大事故的预防措施和应急救援的各项准备工作。</w:t>
      </w:r>
    </w:p>
    <w:p w14:paraId="42CAD8C2">
      <w:pPr>
        <w:ind w:firstLine="480"/>
      </w:pPr>
      <w:r>
        <w:rPr>
          <w:rFonts w:hint="eastAsia" w:ascii="宋体" w:hAnsi="宋体" w:cs="宋体"/>
        </w:rPr>
        <w:t>⑸</w:t>
      </w:r>
      <w:r>
        <w:rPr>
          <w:rFonts w:hint="eastAsia"/>
        </w:rPr>
        <w:t>在应急救援行动中发布和解除各项命令。</w:t>
      </w:r>
    </w:p>
    <w:p w14:paraId="5923B2B2">
      <w:pPr>
        <w:ind w:firstLine="480"/>
      </w:pPr>
      <w:r>
        <w:rPr>
          <w:rFonts w:hint="eastAsia" w:ascii="宋体" w:hAnsi="宋体" w:cs="宋体"/>
        </w:rPr>
        <w:t>⑹</w:t>
      </w:r>
      <w:r>
        <w:rPr>
          <w:rFonts w:hint="eastAsia"/>
        </w:rPr>
        <w:t>负责向上级和政府有关部门报告以及向友邻单位、周边居民通报事故情况。</w:t>
      </w:r>
    </w:p>
    <w:p w14:paraId="3C83761B">
      <w:pPr>
        <w:ind w:firstLine="480"/>
      </w:pPr>
      <w:r>
        <w:rPr>
          <w:rFonts w:hint="eastAsia" w:ascii="宋体" w:hAnsi="宋体" w:cs="宋体"/>
        </w:rPr>
        <w:t>⑺</w:t>
      </w:r>
      <w:r>
        <w:rPr>
          <w:rFonts w:hint="eastAsia"/>
        </w:rPr>
        <w:t>负责组织调查事故发生的原因、妥善处理事故并总结经验教训。</w:t>
      </w:r>
    </w:p>
    <w:p w14:paraId="1EB351E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7.8.3</w:t>
      </w:r>
      <w:r>
        <w:rPr>
          <w:rFonts w:hint="eastAsia"/>
        </w:rPr>
        <w:t>风险事故处理措施</w:t>
      </w:r>
    </w:p>
    <w:p w14:paraId="5FB47A1A">
      <w:pPr>
        <w:ind w:firstLine="480"/>
      </w:pPr>
      <w:r>
        <w:rPr>
          <w:rFonts w:hint="eastAsia"/>
        </w:rPr>
        <w:t>为了有效地处理风险事故，应有切实可行的处置措施。项目风险事故应急措施包括设备器材、事故现场指挥、救护、通讯等系统的建立、现场应急措施方案、事故危害监测队伍、现场撤离和善后措施方案等。</w:t>
      </w:r>
    </w:p>
    <w:p w14:paraId="093C8D69">
      <w:pPr>
        <w:ind w:firstLine="480"/>
      </w:pPr>
      <w:r>
        <w:rPr>
          <w:rFonts w:hint="eastAsia" w:ascii="宋体" w:hAnsi="宋体" w:cs="宋体"/>
        </w:rPr>
        <w:t>⑴</w:t>
      </w:r>
      <w:r>
        <w:rPr>
          <w:rFonts w:hint="eastAsia"/>
        </w:rPr>
        <w:t>设立报警、通讯系统以及事故处置领导体系。</w:t>
      </w:r>
    </w:p>
    <w:p w14:paraId="22AB883B">
      <w:pPr>
        <w:ind w:firstLine="480"/>
      </w:pPr>
      <w:r>
        <w:rPr>
          <w:rFonts w:hint="eastAsia" w:ascii="宋体" w:hAnsi="宋体" w:cs="宋体"/>
        </w:rPr>
        <w:t>⑵</w:t>
      </w:r>
      <w:r>
        <w:rPr>
          <w:rFonts w:hint="eastAsia"/>
        </w:rPr>
        <w:t>制定有效处理事故的应急行动方案，并得到有关部门的认可，能与有关部门有效配合。</w:t>
      </w:r>
    </w:p>
    <w:p w14:paraId="30B135CA">
      <w:pPr>
        <w:ind w:firstLine="480"/>
      </w:pPr>
      <w:r>
        <w:rPr>
          <w:rFonts w:hint="eastAsia" w:ascii="宋体" w:hAnsi="宋体" w:cs="宋体"/>
        </w:rPr>
        <w:t>⑶</w:t>
      </w:r>
      <w:r>
        <w:rPr>
          <w:rFonts w:hint="eastAsia"/>
        </w:rPr>
        <w:t>明确职责，并落实到单位和有关人员。</w:t>
      </w:r>
    </w:p>
    <w:p w14:paraId="260A2A79">
      <w:pPr>
        <w:ind w:firstLine="480"/>
      </w:pPr>
      <w:r>
        <w:rPr>
          <w:rFonts w:hint="eastAsia" w:ascii="宋体" w:hAnsi="宋体" w:cs="宋体"/>
        </w:rPr>
        <w:t>⑷</w:t>
      </w:r>
      <w:r>
        <w:rPr>
          <w:rFonts w:hint="eastAsia"/>
        </w:rPr>
        <w:t>制定控制和减少事故影响范围、程度以及补救行动的实施计划。</w:t>
      </w:r>
    </w:p>
    <w:p w14:paraId="2B515D2D">
      <w:pPr>
        <w:ind w:firstLine="480"/>
      </w:pPr>
      <w:r>
        <w:rPr>
          <w:rFonts w:hint="eastAsia" w:ascii="宋体" w:hAnsi="宋体" w:cs="宋体"/>
        </w:rPr>
        <w:t>⑸</w:t>
      </w:r>
      <w:r>
        <w:rPr>
          <w:rFonts w:hint="eastAsia"/>
        </w:rPr>
        <w:t>对事故现场管理以及事故处置全过程的监督，应由富有事故处置经验的人员或有关部门工作人员承担。</w:t>
      </w:r>
    </w:p>
    <w:p w14:paraId="67B5EFDA">
      <w:pPr>
        <w:ind w:firstLine="480"/>
      </w:pPr>
      <w:r>
        <w:rPr>
          <w:rFonts w:hint="eastAsia" w:ascii="宋体" w:hAnsi="宋体" w:cs="宋体"/>
        </w:rPr>
        <w:t>⑹</w:t>
      </w:r>
      <w:r>
        <w:rPr>
          <w:rFonts w:hint="eastAsia"/>
        </w:rPr>
        <w:t>为提高事故处置队伍的协同救援水平和实战能力，检验救援体系的应急综合运作状态，提高其实战水平，应进行应急救援演练。</w:t>
      </w:r>
    </w:p>
    <w:p w14:paraId="54B1849E">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7.8.4</w:t>
      </w:r>
      <w:r>
        <w:rPr>
          <w:rFonts w:hint="eastAsia"/>
        </w:rPr>
        <w:t>风险事故应急计划</w:t>
      </w:r>
    </w:p>
    <w:p w14:paraId="6813BF79">
      <w:pPr>
        <w:ind w:firstLine="480"/>
      </w:pPr>
      <w:r>
        <w:rPr>
          <w:rFonts w:hint="eastAsia"/>
        </w:rPr>
        <w:t>1.机构与职责</w:t>
      </w:r>
    </w:p>
    <w:p w14:paraId="08BBFE13">
      <w:pPr>
        <w:ind w:firstLine="480"/>
      </w:pPr>
      <w:r>
        <w:rPr>
          <w:rFonts w:hint="eastAsia" w:ascii="宋体" w:hAnsi="宋体" w:cs="宋体"/>
        </w:rPr>
        <w:t>⑴成立安全领导小组和应急指挥部门：明确其负责人和组成人员，规定其指责，包括制定并实施应急计划，组建应急队伍和组织应急行动，发布和解除应急信号，通报事故情况，必要时请求支援，组织抢修抢建，分析事故原因并作出处理；</w:t>
      </w:r>
    </w:p>
    <w:p w14:paraId="3B119BA9">
      <w:pPr>
        <w:ind w:firstLine="480"/>
      </w:pPr>
      <w:r>
        <w:rPr>
          <w:rFonts w:hint="eastAsia" w:ascii="宋体" w:hAnsi="宋体" w:cs="宋体"/>
        </w:rPr>
        <w:t>⑵组织应急专业队：包括消防、清污、救护等，并明确其职责。</w:t>
      </w:r>
    </w:p>
    <w:p w14:paraId="607E4D6F">
      <w:pPr>
        <w:ind w:firstLine="480"/>
      </w:pPr>
      <w:r>
        <w:rPr>
          <w:rFonts w:hint="eastAsia"/>
        </w:rPr>
        <w:t>2.应急报告程序和通讯联络系统</w:t>
      </w:r>
    </w:p>
    <w:p w14:paraId="61FCCC4E">
      <w:pPr>
        <w:ind w:firstLine="480"/>
      </w:pPr>
      <w:r>
        <w:rPr>
          <w:rFonts w:hint="eastAsia"/>
        </w:rPr>
        <w:t>应急报告程序，包括企业内部的报告程序和要点，外部的报告程序和要点。列出企业安全领导小组、应急指挥部、应急专业队负责人名单及联络方式和政府主管机关、职责部门、友好单位以及社区负责人名单及联络方式。</w:t>
      </w:r>
    </w:p>
    <w:p w14:paraId="4E39CDBE">
      <w:pPr>
        <w:pStyle w:val="51"/>
        <w:numPr>
          <w:ilvl w:val="5"/>
          <w:numId w:val="0"/>
        </w:numPr>
        <w:tabs>
          <w:tab w:val="left" w:pos="4395"/>
        </w:tabs>
        <w:spacing w:before="156"/>
        <w:ind w:left="4969" w:leftChars="1054" w:hanging="2439" w:hangingChars="1157"/>
        <w:jc w:val="both"/>
      </w:pPr>
      <w:r>
        <w:rPr>
          <w:rFonts w:hint="default" w:ascii="宋体" w:hAnsi="宋体" w:eastAsia="宋体" w:cs="宋体"/>
          <w:b/>
          <w:bCs/>
          <w:color w:val="auto"/>
          <w:kern w:val="2"/>
          <w:sz w:val="21"/>
          <w:szCs w:val="21"/>
          <w:lang w:val="en-US" w:eastAsia="zh-CN" w:bidi="ar-SA"/>
        </w:rPr>
        <w:t xml:space="preserve">表7.8-1 </w:t>
      </w:r>
      <w:r>
        <w:t xml:space="preserve">   </w:t>
      </w:r>
      <w:r>
        <w:rPr>
          <w:rFonts w:hint="eastAsia"/>
        </w:rPr>
        <w:t>环境事故应急预案</w:t>
      </w:r>
    </w:p>
    <w:p w14:paraId="12DADBA9">
      <w:pPr>
        <w:spacing w:line="27" w:lineRule="exact"/>
        <w:ind w:firstLine="480"/>
      </w:pPr>
    </w:p>
    <w:tbl>
      <w:tblPr>
        <w:tblStyle w:val="66"/>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68"/>
        <w:gridCol w:w="2305"/>
        <w:gridCol w:w="5363"/>
      </w:tblGrid>
      <w:tr w14:paraId="7CFE82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616EE20A">
            <w:pPr>
              <w:widowControl w:val="0"/>
              <w:spacing w:line="240" w:lineRule="auto"/>
              <w:jc w:val="center"/>
              <w:rPr>
                <w:sz w:val="21"/>
                <w:szCs w:val="21"/>
                <w:lang w:eastAsia="en-US"/>
              </w:rPr>
            </w:pPr>
            <w:r>
              <w:rPr>
                <w:rFonts w:hint="eastAsia"/>
                <w:sz w:val="21"/>
                <w:szCs w:val="21"/>
                <w:lang w:eastAsia="en-US"/>
              </w:rPr>
              <w:t>序号</w:t>
            </w:r>
          </w:p>
        </w:tc>
        <w:tc>
          <w:tcPr>
            <w:tcW w:w="2304" w:type="dxa"/>
            <w:tcBorders>
              <w:tl2br w:val="nil"/>
              <w:tr2bl w:val="nil"/>
            </w:tcBorders>
            <w:vAlign w:val="center"/>
          </w:tcPr>
          <w:p w14:paraId="49C52114">
            <w:pPr>
              <w:widowControl w:val="0"/>
              <w:spacing w:line="240" w:lineRule="auto"/>
              <w:jc w:val="center"/>
              <w:rPr>
                <w:sz w:val="21"/>
                <w:szCs w:val="21"/>
                <w:lang w:eastAsia="en-US"/>
              </w:rPr>
            </w:pPr>
            <w:r>
              <w:rPr>
                <w:rFonts w:hint="eastAsia"/>
                <w:sz w:val="21"/>
                <w:szCs w:val="21"/>
                <w:lang w:eastAsia="en-US"/>
              </w:rPr>
              <w:t>项目</w:t>
            </w:r>
          </w:p>
        </w:tc>
        <w:tc>
          <w:tcPr>
            <w:tcW w:w="5361" w:type="dxa"/>
            <w:tcBorders>
              <w:tl2br w:val="nil"/>
              <w:tr2bl w:val="nil"/>
            </w:tcBorders>
            <w:vAlign w:val="center"/>
          </w:tcPr>
          <w:p w14:paraId="37EE83BA">
            <w:pPr>
              <w:widowControl w:val="0"/>
              <w:spacing w:line="240" w:lineRule="auto"/>
              <w:jc w:val="center"/>
              <w:rPr>
                <w:sz w:val="21"/>
                <w:szCs w:val="21"/>
                <w:lang w:eastAsia="en-US"/>
              </w:rPr>
            </w:pPr>
            <w:r>
              <w:rPr>
                <w:rFonts w:hint="eastAsia"/>
                <w:sz w:val="21"/>
                <w:szCs w:val="21"/>
                <w:lang w:eastAsia="en-US"/>
              </w:rPr>
              <w:t>内容及要求</w:t>
            </w:r>
          </w:p>
        </w:tc>
      </w:tr>
      <w:tr w14:paraId="0D24EC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08F0E79D">
            <w:pPr>
              <w:widowControl w:val="0"/>
              <w:spacing w:line="240" w:lineRule="auto"/>
              <w:jc w:val="center"/>
              <w:rPr>
                <w:sz w:val="21"/>
                <w:szCs w:val="21"/>
                <w:lang w:eastAsia="en-US"/>
              </w:rPr>
            </w:pPr>
            <w:r>
              <w:rPr>
                <w:rFonts w:hint="eastAsia"/>
                <w:sz w:val="21"/>
                <w:szCs w:val="21"/>
                <w:lang w:eastAsia="en-US"/>
              </w:rPr>
              <w:t>1</w:t>
            </w:r>
          </w:p>
        </w:tc>
        <w:tc>
          <w:tcPr>
            <w:tcW w:w="2304" w:type="dxa"/>
            <w:tcBorders>
              <w:tl2br w:val="nil"/>
              <w:tr2bl w:val="nil"/>
            </w:tcBorders>
            <w:vAlign w:val="center"/>
          </w:tcPr>
          <w:p w14:paraId="70C4DAD8">
            <w:pPr>
              <w:widowControl w:val="0"/>
              <w:spacing w:line="240" w:lineRule="auto"/>
              <w:jc w:val="center"/>
              <w:rPr>
                <w:sz w:val="21"/>
                <w:szCs w:val="21"/>
                <w:lang w:eastAsia="en-US"/>
              </w:rPr>
            </w:pPr>
            <w:r>
              <w:rPr>
                <w:rFonts w:hint="eastAsia"/>
                <w:sz w:val="21"/>
                <w:szCs w:val="21"/>
                <w:lang w:eastAsia="en-US"/>
              </w:rPr>
              <w:t>应急计划区</w:t>
            </w:r>
          </w:p>
        </w:tc>
        <w:tc>
          <w:tcPr>
            <w:tcW w:w="5361" w:type="dxa"/>
            <w:tcBorders>
              <w:tl2br w:val="nil"/>
              <w:tr2bl w:val="nil"/>
            </w:tcBorders>
            <w:vAlign w:val="center"/>
          </w:tcPr>
          <w:p w14:paraId="7781E22B">
            <w:pPr>
              <w:widowControl w:val="0"/>
              <w:spacing w:line="240" w:lineRule="auto"/>
              <w:jc w:val="center"/>
              <w:rPr>
                <w:sz w:val="21"/>
                <w:szCs w:val="21"/>
                <w:lang w:eastAsia="zh-CN"/>
              </w:rPr>
            </w:pPr>
            <w:r>
              <w:rPr>
                <w:rFonts w:hint="eastAsia"/>
                <w:sz w:val="21"/>
                <w:szCs w:val="21"/>
                <w:lang w:eastAsia="zh-CN"/>
              </w:rPr>
              <w:t>危险目标、装置区、环境保护目标</w:t>
            </w:r>
          </w:p>
        </w:tc>
      </w:tr>
      <w:tr w14:paraId="472B13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61D0635A">
            <w:pPr>
              <w:widowControl w:val="0"/>
              <w:spacing w:line="240" w:lineRule="auto"/>
              <w:jc w:val="center"/>
              <w:rPr>
                <w:sz w:val="21"/>
                <w:szCs w:val="21"/>
                <w:lang w:eastAsia="en-US"/>
              </w:rPr>
            </w:pPr>
            <w:r>
              <w:rPr>
                <w:rFonts w:hint="eastAsia"/>
                <w:sz w:val="21"/>
                <w:szCs w:val="21"/>
                <w:lang w:eastAsia="en-US"/>
              </w:rPr>
              <w:t>2</w:t>
            </w:r>
          </w:p>
        </w:tc>
        <w:tc>
          <w:tcPr>
            <w:tcW w:w="2304" w:type="dxa"/>
            <w:tcBorders>
              <w:tl2br w:val="nil"/>
              <w:tr2bl w:val="nil"/>
            </w:tcBorders>
            <w:vAlign w:val="center"/>
          </w:tcPr>
          <w:p w14:paraId="3EC6AF86">
            <w:pPr>
              <w:widowControl w:val="0"/>
              <w:spacing w:line="240" w:lineRule="auto"/>
              <w:jc w:val="center"/>
              <w:rPr>
                <w:sz w:val="21"/>
                <w:szCs w:val="21"/>
                <w:lang w:eastAsia="en-US"/>
              </w:rPr>
            </w:pPr>
            <w:r>
              <w:rPr>
                <w:rFonts w:hint="eastAsia"/>
                <w:sz w:val="21"/>
                <w:szCs w:val="21"/>
                <w:lang w:eastAsia="en-US"/>
              </w:rPr>
              <w:t>应急组织机构、人员</w:t>
            </w:r>
          </w:p>
        </w:tc>
        <w:tc>
          <w:tcPr>
            <w:tcW w:w="5361" w:type="dxa"/>
            <w:tcBorders>
              <w:tl2br w:val="nil"/>
              <w:tr2bl w:val="nil"/>
            </w:tcBorders>
            <w:vAlign w:val="center"/>
          </w:tcPr>
          <w:p w14:paraId="19C2EA1D">
            <w:pPr>
              <w:widowControl w:val="0"/>
              <w:spacing w:line="240" w:lineRule="auto"/>
              <w:jc w:val="center"/>
              <w:rPr>
                <w:sz w:val="21"/>
                <w:szCs w:val="21"/>
                <w:lang w:eastAsia="zh-CN"/>
              </w:rPr>
            </w:pPr>
            <w:r>
              <w:rPr>
                <w:rFonts w:hint="eastAsia"/>
                <w:sz w:val="21"/>
                <w:szCs w:val="21"/>
                <w:lang w:eastAsia="zh-CN"/>
              </w:rPr>
              <w:t>场区、地区应急组织机构、人员。</w:t>
            </w:r>
          </w:p>
        </w:tc>
      </w:tr>
      <w:tr w14:paraId="3E8DC4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5C4C0AD5">
            <w:pPr>
              <w:widowControl w:val="0"/>
              <w:spacing w:line="240" w:lineRule="auto"/>
              <w:jc w:val="center"/>
              <w:rPr>
                <w:sz w:val="21"/>
                <w:szCs w:val="21"/>
                <w:lang w:eastAsia="en-US"/>
              </w:rPr>
            </w:pPr>
            <w:r>
              <w:rPr>
                <w:rFonts w:hint="eastAsia"/>
                <w:sz w:val="21"/>
                <w:szCs w:val="21"/>
                <w:lang w:eastAsia="en-US"/>
              </w:rPr>
              <w:t>3</w:t>
            </w:r>
          </w:p>
        </w:tc>
        <w:tc>
          <w:tcPr>
            <w:tcW w:w="2304" w:type="dxa"/>
            <w:tcBorders>
              <w:tl2br w:val="nil"/>
              <w:tr2bl w:val="nil"/>
            </w:tcBorders>
            <w:vAlign w:val="center"/>
          </w:tcPr>
          <w:p w14:paraId="31012F07">
            <w:pPr>
              <w:widowControl w:val="0"/>
              <w:spacing w:line="240" w:lineRule="auto"/>
              <w:jc w:val="center"/>
              <w:rPr>
                <w:sz w:val="21"/>
                <w:szCs w:val="21"/>
                <w:lang w:eastAsia="en-US"/>
              </w:rPr>
            </w:pPr>
            <w:r>
              <w:rPr>
                <w:rFonts w:hint="eastAsia"/>
                <w:sz w:val="21"/>
                <w:szCs w:val="21"/>
                <w:lang w:eastAsia="en-US"/>
              </w:rPr>
              <w:t>预案分级影响条件</w:t>
            </w:r>
          </w:p>
        </w:tc>
        <w:tc>
          <w:tcPr>
            <w:tcW w:w="5361" w:type="dxa"/>
            <w:tcBorders>
              <w:tl2br w:val="nil"/>
              <w:tr2bl w:val="nil"/>
            </w:tcBorders>
            <w:vAlign w:val="center"/>
          </w:tcPr>
          <w:p w14:paraId="1380175E">
            <w:pPr>
              <w:widowControl w:val="0"/>
              <w:spacing w:line="240" w:lineRule="auto"/>
              <w:jc w:val="center"/>
              <w:rPr>
                <w:sz w:val="21"/>
                <w:szCs w:val="21"/>
                <w:lang w:eastAsia="zh-CN"/>
              </w:rPr>
            </w:pPr>
            <w:r>
              <w:rPr>
                <w:rFonts w:hint="eastAsia"/>
                <w:sz w:val="21"/>
                <w:szCs w:val="21"/>
                <w:lang w:eastAsia="zh-CN"/>
              </w:rPr>
              <w:t>规定预案的级别和分级影响程序</w:t>
            </w:r>
          </w:p>
        </w:tc>
      </w:tr>
      <w:tr w14:paraId="2CB4D4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3A46A654">
            <w:pPr>
              <w:widowControl w:val="0"/>
              <w:spacing w:line="240" w:lineRule="auto"/>
              <w:jc w:val="center"/>
              <w:rPr>
                <w:sz w:val="21"/>
                <w:szCs w:val="21"/>
                <w:lang w:eastAsia="en-US"/>
              </w:rPr>
            </w:pPr>
            <w:r>
              <w:rPr>
                <w:rFonts w:hint="eastAsia"/>
                <w:sz w:val="21"/>
                <w:szCs w:val="21"/>
                <w:lang w:eastAsia="en-US"/>
              </w:rPr>
              <w:t>4</w:t>
            </w:r>
          </w:p>
        </w:tc>
        <w:tc>
          <w:tcPr>
            <w:tcW w:w="2304" w:type="dxa"/>
            <w:tcBorders>
              <w:tl2br w:val="nil"/>
              <w:tr2bl w:val="nil"/>
            </w:tcBorders>
            <w:vAlign w:val="center"/>
          </w:tcPr>
          <w:p w14:paraId="2F203AA8">
            <w:pPr>
              <w:widowControl w:val="0"/>
              <w:spacing w:line="240" w:lineRule="auto"/>
              <w:jc w:val="center"/>
              <w:rPr>
                <w:sz w:val="21"/>
                <w:szCs w:val="21"/>
                <w:lang w:eastAsia="en-US"/>
              </w:rPr>
            </w:pPr>
            <w:r>
              <w:rPr>
                <w:rFonts w:hint="eastAsia"/>
                <w:sz w:val="21"/>
                <w:szCs w:val="21"/>
                <w:lang w:eastAsia="en-US"/>
              </w:rPr>
              <w:t>应急救援保障</w:t>
            </w:r>
          </w:p>
        </w:tc>
        <w:tc>
          <w:tcPr>
            <w:tcW w:w="5361" w:type="dxa"/>
            <w:tcBorders>
              <w:tl2br w:val="nil"/>
              <w:tr2bl w:val="nil"/>
            </w:tcBorders>
            <w:vAlign w:val="center"/>
          </w:tcPr>
          <w:p w14:paraId="41299E25">
            <w:pPr>
              <w:widowControl w:val="0"/>
              <w:spacing w:line="240" w:lineRule="auto"/>
              <w:jc w:val="center"/>
              <w:rPr>
                <w:sz w:val="21"/>
                <w:szCs w:val="21"/>
                <w:lang w:eastAsia="zh-CN"/>
              </w:rPr>
            </w:pPr>
            <w:r>
              <w:rPr>
                <w:rFonts w:hint="eastAsia"/>
                <w:sz w:val="21"/>
                <w:szCs w:val="21"/>
                <w:lang w:eastAsia="zh-CN"/>
              </w:rPr>
              <w:t>应急设施，设备与器材等</w:t>
            </w:r>
          </w:p>
        </w:tc>
      </w:tr>
      <w:tr w14:paraId="6558E4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117D4825">
            <w:pPr>
              <w:widowControl w:val="0"/>
              <w:spacing w:line="240" w:lineRule="auto"/>
              <w:jc w:val="center"/>
              <w:rPr>
                <w:sz w:val="21"/>
                <w:szCs w:val="21"/>
                <w:lang w:eastAsia="en-US"/>
              </w:rPr>
            </w:pPr>
            <w:r>
              <w:rPr>
                <w:rFonts w:hint="eastAsia"/>
                <w:sz w:val="21"/>
                <w:szCs w:val="21"/>
                <w:lang w:eastAsia="en-US"/>
              </w:rPr>
              <w:t>5</w:t>
            </w:r>
          </w:p>
        </w:tc>
        <w:tc>
          <w:tcPr>
            <w:tcW w:w="2304" w:type="dxa"/>
            <w:tcBorders>
              <w:tl2br w:val="nil"/>
              <w:tr2bl w:val="nil"/>
            </w:tcBorders>
            <w:vAlign w:val="center"/>
          </w:tcPr>
          <w:p w14:paraId="6CF7AC84">
            <w:pPr>
              <w:widowControl w:val="0"/>
              <w:spacing w:line="240" w:lineRule="auto"/>
              <w:jc w:val="center"/>
              <w:rPr>
                <w:sz w:val="21"/>
                <w:szCs w:val="21"/>
                <w:lang w:eastAsia="en-US"/>
              </w:rPr>
            </w:pPr>
            <w:r>
              <w:rPr>
                <w:rFonts w:hint="eastAsia"/>
                <w:sz w:val="21"/>
                <w:szCs w:val="21"/>
                <w:lang w:eastAsia="en-US"/>
              </w:rPr>
              <w:t>报警、通讯联络方式</w:t>
            </w:r>
          </w:p>
        </w:tc>
        <w:tc>
          <w:tcPr>
            <w:tcW w:w="5361" w:type="dxa"/>
            <w:tcBorders>
              <w:tl2br w:val="nil"/>
              <w:tr2bl w:val="nil"/>
            </w:tcBorders>
            <w:vAlign w:val="center"/>
          </w:tcPr>
          <w:p w14:paraId="47C7FE7E">
            <w:pPr>
              <w:widowControl w:val="0"/>
              <w:spacing w:line="240" w:lineRule="auto"/>
              <w:jc w:val="center"/>
              <w:rPr>
                <w:sz w:val="21"/>
                <w:szCs w:val="21"/>
                <w:lang w:eastAsia="zh-CN"/>
              </w:rPr>
            </w:pPr>
            <w:r>
              <w:rPr>
                <w:rFonts w:hint="eastAsia"/>
                <w:sz w:val="21"/>
                <w:szCs w:val="21"/>
                <w:lang w:eastAsia="zh-CN"/>
              </w:rPr>
              <w:t>规定应急状态下的报警通讯方式、通知方式和交通保障、管制</w:t>
            </w:r>
          </w:p>
        </w:tc>
      </w:tr>
      <w:tr w14:paraId="78B584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0DCB49D0">
            <w:pPr>
              <w:widowControl w:val="0"/>
              <w:spacing w:line="240" w:lineRule="auto"/>
              <w:jc w:val="center"/>
              <w:rPr>
                <w:sz w:val="21"/>
                <w:szCs w:val="21"/>
                <w:lang w:eastAsia="en-US"/>
              </w:rPr>
            </w:pPr>
            <w:r>
              <w:rPr>
                <w:rFonts w:hint="eastAsia"/>
                <w:sz w:val="21"/>
                <w:szCs w:val="21"/>
                <w:lang w:eastAsia="en-US"/>
              </w:rPr>
              <w:t>6</w:t>
            </w:r>
          </w:p>
        </w:tc>
        <w:tc>
          <w:tcPr>
            <w:tcW w:w="2304" w:type="dxa"/>
            <w:tcBorders>
              <w:tl2br w:val="nil"/>
              <w:tr2bl w:val="nil"/>
            </w:tcBorders>
            <w:vAlign w:val="center"/>
          </w:tcPr>
          <w:p w14:paraId="249B4CBD">
            <w:pPr>
              <w:widowControl w:val="0"/>
              <w:spacing w:line="240" w:lineRule="auto"/>
              <w:jc w:val="center"/>
              <w:rPr>
                <w:sz w:val="21"/>
                <w:szCs w:val="21"/>
                <w:lang w:eastAsia="zh-CN"/>
              </w:rPr>
            </w:pPr>
            <w:r>
              <w:rPr>
                <w:rFonts w:hint="eastAsia"/>
                <w:sz w:val="21"/>
                <w:szCs w:val="21"/>
                <w:lang w:eastAsia="zh-CN"/>
              </w:rPr>
              <w:t>应急环境监测、抢救、救 援及控制措施</w:t>
            </w:r>
          </w:p>
        </w:tc>
        <w:tc>
          <w:tcPr>
            <w:tcW w:w="5361" w:type="dxa"/>
            <w:tcBorders>
              <w:tl2br w:val="nil"/>
              <w:tr2bl w:val="nil"/>
            </w:tcBorders>
            <w:vAlign w:val="center"/>
          </w:tcPr>
          <w:p w14:paraId="5D729E9C">
            <w:pPr>
              <w:widowControl w:val="0"/>
              <w:spacing w:line="240" w:lineRule="auto"/>
              <w:jc w:val="center"/>
              <w:rPr>
                <w:sz w:val="21"/>
                <w:szCs w:val="21"/>
                <w:lang w:eastAsia="zh-CN"/>
              </w:rPr>
            </w:pPr>
            <w:r>
              <w:rPr>
                <w:rFonts w:hint="eastAsia"/>
                <w:sz w:val="21"/>
                <w:szCs w:val="21"/>
                <w:lang w:eastAsia="zh-CN"/>
              </w:rPr>
              <w:t>由专业队伍负责对事故现场进行侦察监测，对事故性质、参数后 果进行评估，为指挥部门提供决策依据。</w:t>
            </w:r>
          </w:p>
        </w:tc>
      </w:tr>
      <w:tr w14:paraId="10F62B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4F0EA49D">
            <w:pPr>
              <w:widowControl w:val="0"/>
              <w:spacing w:line="240" w:lineRule="auto"/>
              <w:jc w:val="center"/>
              <w:rPr>
                <w:sz w:val="21"/>
                <w:szCs w:val="21"/>
                <w:lang w:eastAsia="en-US"/>
              </w:rPr>
            </w:pPr>
            <w:r>
              <w:rPr>
                <w:rFonts w:hint="eastAsia"/>
                <w:sz w:val="21"/>
                <w:szCs w:val="21"/>
                <w:lang w:eastAsia="en-US"/>
              </w:rPr>
              <w:t>7</w:t>
            </w:r>
          </w:p>
        </w:tc>
        <w:tc>
          <w:tcPr>
            <w:tcW w:w="2304" w:type="dxa"/>
            <w:tcBorders>
              <w:tl2br w:val="nil"/>
              <w:tr2bl w:val="nil"/>
            </w:tcBorders>
            <w:vAlign w:val="center"/>
          </w:tcPr>
          <w:p w14:paraId="0748E584">
            <w:pPr>
              <w:widowControl w:val="0"/>
              <w:spacing w:line="240" w:lineRule="auto"/>
              <w:jc w:val="center"/>
              <w:rPr>
                <w:sz w:val="21"/>
                <w:szCs w:val="21"/>
                <w:lang w:eastAsia="zh-CN"/>
              </w:rPr>
            </w:pPr>
            <w:r>
              <w:rPr>
                <w:rFonts w:hint="eastAsia"/>
                <w:sz w:val="21"/>
                <w:szCs w:val="21"/>
                <w:lang w:eastAsia="zh-CN"/>
              </w:rPr>
              <w:t>应急监测、防护措施、清 除泄漏措施和器材</w:t>
            </w:r>
          </w:p>
        </w:tc>
        <w:tc>
          <w:tcPr>
            <w:tcW w:w="5361" w:type="dxa"/>
            <w:tcBorders>
              <w:tl2br w:val="nil"/>
              <w:tr2bl w:val="nil"/>
            </w:tcBorders>
            <w:vAlign w:val="center"/>
          </w:tcPr>
          <w:p w14:paraId="573AE72F">
            <w:pPr>
              <w:widowControl w:val="0"/>
              <w:spacing w:line="240" w:lineRule="auto"/>
              <w:jc w:val="center"/>
              <w:rPr>
                <w:sz w:val="21"/>
                <w:szCs w:val="21"/>
                <w:lang w:eastAsia="zh-CN"/>
              </w:rPr>
            </w:pPr>
            <w:r>
              <w:rPr>
                <w:rFonts w:hint="eastAsia"/>
                <w:sz w:val="21"/>
                <w:szCs w:val="21"/>
                <w:lang w:eastAsia="zh-CN"/>
              </w:rPr>
              <w:t>事故现场、邻近区域、控制防火区域、控制清除污染措施及相设施。</w:t>
            </w:r>
          </w:p>
        </w:tc>
      </w:tr>
      <w:tr w14:paraId="0448A7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57CE850C">
            <w:pPr>
              <w:widowControl w:val="0"/>
              <w:spacing w:line="240" w:lineRule="auto"/>
              <w:jc w:val="center"/>
              <w:rPr>
                <w:sz w:val="21"/>
                <w:szCs w:val="21"/>
                <w:lang w:eastAsia="en-US"/>
              </w:rPr>
            </w:pPr>
            <w:r>
              <w:rPr>
                <w:rFonts w:hint="eastAsia"/>
                <w:sz w:val="21"/>
                <w:szCs w:val="21"/>
                <w:lang w:eastAsia="en-US"/>
              </w:rPr>
              <w:t>8</w:t>
            </w:r>
          </w:p>
        </w:tc>
        <w:tc>
          <w:tcPr>
            <w:tcW w:w="2304" w:type="dxa"/>
            <w:tcBorders>
              <w:tl2br w:val="nil"/>
              <w:tr2bl w:val="nil"/>
            </w:tcBorders>
            <w:vAlign w:val="center"/>
          </w:tcPr>
          <w:p w14:paraId="48529E3D">
            <w:pPr>
              <w:widowControl w:val="0"/>
              <w:spacing w:line="240" w:lineRule="auto"/>
              <w:jc w:val="center"/>
              <w:rPr>
                <w:sz w:val="21"/>
                <w:szCs w:val="21"/>
                <w:lang w:eastAsia="zh-CN"/>
              </w:rPr>
            </w:pPr>
            <w:r>
              <w:rPr>
                <w:rFonts w:hint="eastAsia"/>
                <w:sz w:val="21"/>
                <w:szCs w:val="21"/>
                <w:lang w:eastAsia="zh-CN"/>
              </w:rPr>
              <w:t>人员紧急撤离、疏散，应</w:t>
            </w:r>
          </w:p>
          <w:p w14:paraId="3DCF3433">
            <w:pPr>
              <w:widowControl w:val="0"/>
              <w:spacing w:line="240" w:lineRule="auto"/>
              <w:jc w:val="center"/>
              <w:rPr>
                <w:sz w:val="21"/>
                <w:szCs w:val="21"/>
                <w:lang w:eastAsia="zh-CN"/>
              </w:rPr>
            </w:pPr>
            <w:r>
              <w:rPr>
                <w:rFonts w:hint="eastAsia"/>
                <w:sz w:val="21"/>
                <w:szCs w:val="21"/>
                <w:lang w:eastAsia="zh-CN"/>
              </w:rPr>
              <w:t>急剂量控制、撤离组织计</w:t>
            </w:r>
          </w:p>
          <w:p w14:paraId="712CC58B">
            <w:pPr>
              <w:widowControl w:val="0"/>
              <w:spacing w:line="240" w:lineRule="auto"/>
              <w:jc w:val="center"/>
              <w:rPr>
                <w:sz w:val="21"/>
                <w:szCs w:val="21"/>
                <w:lang w:eastAsia="en-US"/>
              </w:rPr>
            </w:pPr>
            <w:r>
              <w:rPr>
                <w:rFonts w:hint="eastAsia"/>
                <w:sz w:val="21"/>
                <w:szCs w:val="21"/>
                <w:lang w:eastAsia="en-US"/>
              </w:rPr>
              <w:t>划</w:t>
            </w:r>
          </w:p>
        </w:tc>
        <w:tc>
          <w:tcPr>
            <w:tcW w:w="5361" w:type="dxa"/>
            <w:tcBorders>
              <w:tl2br w:val="nil"/>
              <w:tr2bl w:val="nil"/>
            </w:tcBorders>
            <w:vAlign w:val="center"/>
          </w:tcPr>
          <w:p w14:paraId="318ADA8E">
            <w:pPr>
              <w:widowControl w:val="0"/>
              <w:spacing w:line="240" w:lineRule="auto"/>
              <w:jc w:val="center"/>
              <w:rPr>
                <w:sz w:val="21"/>
                <w:szCs w:val="21"/>
                <w:lang w:eastAsia="zh-CN"/>
              </w:rPr>
            </w:pPr>
            <w:r>
              <w:rPr>
                <w:rFonts w:hint="eastAsia"/>
                <w:sz w:val="21"/>
                <w:szCs w:val="21"/>
                <w:lang w:eastAsia="zh-CN"/>
              </w:rPr>
              <w:t>事故现场、场区邻近区、受事故影响的区域人员及公众对毒物应急剂量控制规定，撤离组织计划及救护，中毒人员医疗救护与公众健康。</w:t>
            </w:r>
          </w:p>
        </w:tc>
      </w:tr>
      <w:tr w14:paraId="17B104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6860488C">
            <w:pPr>
              <w:widowControl w:val="0"/>
              <w:spacing w:line="240" w:lineRule="auto"/>
              <w:jc w:val="center"/>
              <w:rPr>
                <w:sz w:val="21"/>
                <w:szCs w:val="21"/>
                <w:lang w:eastAsia="en-US"/>
              </w:rPr>
            </w:pPr>
            <w:r>
              <w:rPr>
                <w:rFonts w:hint="eastAsia"/>
                <w:sz w:val="21"/>
                <w:szCs w:val="21"/>
                <w:lang w:eastAsia="en-US"/>
              </w:rPr>
              <w:t>9</w:t>
            </w:r>
          </w:p>
        </w:tc>
        <w:tc>
          <w:tcPr>
            <w:tcW w:w="2304" w:type="dxa"/>
            <w:tcBorders>
              <w:tl2br w:val="nil"/>
              <w:tr2bl w:val="nil"/>
            </w:tcBorders>
            <w:vAlign w:val="center"/>
          </w:tcPr>
          <w:p w14:paraId="015A661C">
            <w:pPr>
              <w:widowControl w:val="0"/>
              <w:spacing w:line="240" w:lineRule="auto"/>
              <w:jc w:val="center"/>
              <w:rPr>
                <w:sz w:val="21"/>
                <w:szCs w:val="21"/>
                <w:lang w:eastAsia="zh-CN"/>
              </w:rPr>
            </w:pPr>
            <w:r>
              <w:rPr>
                <w:rFonts w:hint="eastAsia"/>
                <w:sz w:val="21"/>
                <w:szCs w:val="21"/>
                <w:lang w:eastAsia="zh-CN"/>
              </w:rPr>
              <w:t>事故应急救援关闭程序与恢复措施</w:t>
            </w:r>
          </w:p>
        </w:tc>
        <w:tc>
          <w:tcPr>
            <w:tcW w:w="5361" w:type="dxa"/>
            <w:tcBorders>
              <w:tl2br w:val="nil"/>
              <w:tr2bl w:val="nil"/>
            </w:tcBorders>
            <w:vAlign w:val="center"/>
          </w:tcPr>
          <w:p w14:paraId="25608CD8">
            <w:pPr>
              <w:widowControl w:val="0"/>
              <w:spacing w:line="240" w:lineRule="auto"/>
              <w:jc w:val="center"/>
              <w:rPr>
                <w:sz w:val="21"/>
                <w:szCs w:val="21"/>
                <w:lang w:eastAsia="zh-CN"/>
              </w:rPr>
            </w:pPr>
            <w:r>
              <w:rPr>
                <w:rFonts w:hint="eastAsia"/>
                <w:sz w:val="21"/>
                <w:szCs w:val="21"/>
                <w:lang w:eastAsia="zh-CN"/>
              </w:rPr>
              <w:t>规定应急状态终止程序</w:t>
            </w:r>
          </w:p>
          <w:p w14:paraId="25E1E3BB">
            <w:pPr>
              <w:widowControl w:val="0"/>
              <w:spacing w:line="240" w:lineRule="auto"/>
              <w:jc w:val="center"/>
              <w:rPr>
                <w:sz w:val="21"/>
                <w:szCs w:val="21"/>
                <w:lang w:eastAsia="zh-CN"/>
              </w:rPr>
            </w:pPr>
            <w:r>
              <w:rPr>
                <w:rFonts w:hint="eastAsia"/>
                <w:sz w:val="21"/>
                <w:szCs w:val="21"/>
                <w:lang w:eastAsia="zh-CN"/>
              </w:rPr>
              <w:t>事故现场善后处理，恢复措施</w:t>
            </w:r>
          </w:p>
          <w:p w14:paraId="329EB4BA">
            <w:pPr>
              <w:widowControl w:val="0"/>
              <w:spacing w:line="240" w:lineRule="auto"/>
              <w:jc w:val="center"/>
              <w:rPr>
                <w:sz w:val="21"/>
                <w:szCs w:val="21"/>
                <w:lang w:eastAsia="zh-CN"/>
              </w:rPr>
            </w:pPr>
            <w:r>
              <w:rPr>
                <w:rFonts w:hint="eastAsia"/>
                <w:sz w:val="21"/>
                <w:szCs w:val="21"/>
                <w:lang w:eastAsia="zh-CN"/>
              </w:rPr>
              <w:t>邻近区域解除事故警戒及善后恢复措施</w:t>
            </w:r>
          </w:p>
        </w:tc>
      </w:tr>
      <w:tr w14:paraId="5EF48A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20CEF001">
            <w:pPr>
              <w:widowControl w:val="0"/>
              <w:spacing w:line="240" w:lineRule="auto"/>
              <w:jc w:val="center"/>
              <w:rPr>
                <w:sz w:val="21"/>
                <w:szCs w:val="21"/>
                <w:lang w:eastAsia="en-US"/>
              </w:rPr>
            </w:pPr>
            <w:r>
              <w:rPr>
                <w:rFonts w:hint="eastAsia"/>
                <w:sz w:val="21"/>
                <w:szCs w:val="21"/>
                <w:lang w:eastAsia="en-US"/>
              </w:rPr>
              <w:t>10</w:t>
            </w:r>
          </w:p>
        </w:tc>
        <w:tc>
          <w:tcPr>
            <w:tcW w:w="2304" w:type="dxa"/>
            <w:tcBorders>
              <w:tl2br w:val="nil"/>
              <w:tr2bl w:val="nil"/>
            </w:tcBorders>
            <w:vAlign w:val="center"/>
          </w:tcPr>
          <w:p w14:paraId="6DBBC26D">
            <w:pPr>
              <w:widowControl w:val="0"/>
              <w:spacing w:line="240" w:lineRule="auto"/>
              <w:jc w:val="center"/>
              <w:rPr>
                <w:sz w:val="21"/>
                <w:szCs w:val="21"/>
                <w:lang w:eastAsia="en-US"/>
              </w:rPr>
            </w:pPr>
            <w:r>
              <w:rPr>
                <w:rFonts w:hint="eastAsia"/>
                <w:sz w:val="21"/>
                <w:szCs w:val="21"/>
                <w:lang w:eastAsia="en-US"/>
              </w:rPr>
              <w:t>应急培训计划</w:t>
            </w:r>
          </w:p>
        </w:tc>
        <w:tc>
          <w:tcPr>
            <w:tcW w:w="5361" w:type="dxa"/>
            <w:tcBorders>
              <w:tl2br w:val="nil"/>
              <w:tr2bl w:val="nil"/>
            </w:tcBorders>
            <w:vAlign w:val="center"/>
          </w:tcPr>
          <w:p w14:paraId="2BF67380">
            <w:pPr>
              <w:widowControl w:val="0"/>
              <w:spacing w:line="240" w:lineRule="auto"/>
              <w:jc w:val="center"/>
              <w:rPr>
                <w:sz w:val="21"/>
                <w:szCs w:val="21"/>
                <w:lang w:eastAsia="zh-CN"/>
              </w:rPr>
            </w:pPr>
            <w:r>
              <w:rPr>
                <w:rFonts w:hint="eastAsia"/>
                <w:sz w:val="21"/>
                <w:szCs w:val="21"/>
                <w:lang w:eastAsia="zh-CN"/>
              </w:rPr>
              <w:t>应急计划制定后，平时安排人员培训与演练</w:t>
            </w:r>
          </w:p>
        </w:tc>
      </w:tr>
      <w:tr w14:paraId="15D397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8" w:type="dxa"/>
            <w:tcBorders>
              <w:tl2br w:val="nil"/>
              <w:tr2bl w:val="nil"/>
            </w:tcBorders>
            <w:vAlign w:val="center"/>
          </w:tcPr>
          <w:p w14:paraId="74BB77F7">
            <w:pPr>
              <w:widowControl w:val="0"/>
              <w:spacing w:line="240" w:lineRule="auto"/>
              <w:jc w:val="center"/>
              <w:rPr>
                <w:sz w:val="21"/>
                <w:szCs w:val="21"/>
                <w:lang w:eastAsia="en-US"/>
              </w:rPr>
            </w:pPr>
            <w:r>
              <w:rPr>
                <w:rFonts w:hint="eastAsia"/>
                <w:sz w:val="21"/>
                <w:szCs w:val="21"/>
                <w:lang w:eastAsia="en-US"/>
              </w:rPr>
              <w:t>11</w:t>
            </w:r>
          </w:p>
        </w:tc>
        <w:tc>
          <w:tcPr>
            <w:tcW w:w="2304" w:type="dxa"/>
            <w:tcBorders>
              <w:tl2br w:val="nil"/>
              <w:tr2bl w:val="nil"/>
            </w:tcBorders>
            <w:vAlign w:val="center"/>
          </w:tcPr>
          <w:p w14:paraId="5CE46853">
            <w:pPr>
              <w:widowControl w:val="0"/>
              <w:spacing w:line="240" w:lineRule="auto"/>
              <w:jc w:val="center"/>
              <w:rPr>
                <w:sz w:val="21"/>
                <w:szCs w:val="21"/>
                <w:lang w:eastAsia="en-US"/>
              </w:rPr>
            </w:pPr>
            <w:r>
              <w:rPr>
                <w:rFonts w:hint="eastAsia"/>
                <w:sz w:val="21"/>
                <w:szCs w:val="21"/>
                <w:lang w:eastAsia="en-US"/>
              </w:rPr>
              <w:t>公众教育和信息</w:t>
            </w:r>
          </w:p>
        </w:tc>
        <w:tc>
          <w:tcPr>
            <w:tcW w:w="5361" w:type="dxa"/>
            <w:tcBorders>
              <w:tl2br w:val="nil"/>
              <w:tr2bl w:val="nil"/>
            </w:tcBorders>
            <w:vAlign w:val="center"/>
          </w:tcPr>
          <w:p w14:paraId="6AFF97EA">
            <w:pPr>
              <w:widowControl w:val="0"/>
              <w:spacing w:line="240" w:lineRule="auto"/>
              <w:jc w:val="center"/>
              <w:rPr>
                <w:sz w:val="21"/>
                <w:szCs w:val="21"/>
                <w:lang w:eastAsia="zh-CN"/>
              </w:rPr>
            </w:pPr>
            <w:r>
              <w:rPr>
                <w:rFonts w:hint="eastAsia"/>
                <w:sz w:val="21"/>
                <w:szCs w:val="21"/>
                <w:lang w:eastAsia="zh-CN"/>
              </w:rPr>
              <w:t>对场区邻近地区开展公众教育，培训和发布有关信息</w:t>
            </w:r>
          </w:p>
        </w:tc>
      </w:tr>
    </w:tbl>
    <w:p w14:paraId="33C18F7B">
      <w:pPr>
        <w:ind w:firstLine="480"/>
      </w:pPr>
      <w:r>
        <w:t>3.应急程序</w:t>
      </w:r>
    </w:p>
    <w:p w14:paraId="7BF314C7">
      <w:pPr>
        <w:ind w:firstLine="480"/>
      </w:pPr>
      <w:r>
        <w:t>⑴确定应急等级</w:t>
      </w:r>
    </w:p>
    <w:p w14:paraId="4D3E1D32">
      <w:pPr>
        <w:ind w:firstLine="480"/>
      </w:pPr>
      <w:r>
        <w:t>根据污染事故危害程度和区域，区分一般、重大、特大事故，决定应急行动等级、规模、方法和器材。</w:t>
      </w:r>
    </w:p>
    <w:p w14:paraId="7A63647A">
      <w:pPr>
        <w:ind w:firstLine="480"/>
      </w:pPr>
      <w:r>
        <w:t>⑵重点保护敏感区域</w:t>
      </w:r>
    </w:p>
    <w:p w14:paraId="11A58491">
      <w:pPr>
        <w:ind w:firstLine="480"/>
      </w:pPr>
      <w:r>
        <w:t>敏感区域，如自来水厂取水口、工农业用水点、学校、医院、水源保护区等。</w:t>
      </w:r>
    </w:p>
    <w:p w14:paraId="5CE1115F">
      <w:pPr>
        <w:ind w:firstLine="480"/>
      </w:pPr>
      <w:r>
        <w:t>⑶应急程序</w:t>
      </w:r>
    </w:p>
    <w:p w14:paraId="4160023E">
      <w:pPr>
        <w:ind w:firstLine="480"/>
      </w:pPr>
      <w:r>
        <w:t>应急程序包括报警、接报、发出应急救援命令、应急救援行动、现场处置、结束应急行动。</w:t>
      </w:r>
    </w:p>
    <w:p w14:paraId="4145D23A">
      <w:pPr>
        <w:ind w:firstLine="480"/>
      </w:pPr>
      <w:r>
        <w:rPr>
          <w:rFonts w:hint="eastAsia" w:ascii="宋体" w:hAnsi="宋体" w:cs="宋体"/>
        </w:rPr>
        <w:t>①</w:t>
      </w:r>
      <w:r>
        <w:rPr>
          <w:rFonts w:hint="eastAsia"/>
        </w:rPr>
        <w:t>报警</w:t>
      </w:r>
    </w:p>
    <w:p w14:paraId="0581729B">
      <w:pPr>
        <w:ind w:firstLine="480"/>
      </w:pPr>
      <w:r>
        <w:t>事故发生后立即打报警电话，报警内容包括：事故详细地点、现场伤亡人员数量、事故原因、性质、危害程度、事故的现状、采取的措施、其他相关情况。</w:t>
      </w:r>
    </w:p>
    <w:p w14:paraId="1CF85B66">
      <w:pPr>
        <w:ind w:firstLine="480"/>
        <w:rPr>
          <w:rFonts w:ascii="宋体" w:hAnsi="宋体" w:cs="宋体"/>
        </w:rPr>
      </w:pPr>
      <w:r>
        <w:rPr>
          <w:rFonts w:hint="eastAsia" w:ascii="宋体" w:hAnsi="宋体" w:cs="宋体"/>
        </w:rPr>
        <w:t>②接报</w:t>
      </w:r>
    </w:p>
    <w:p w14:paraId="6CC468BD">
      <w:pPr>
        <w:ind w:firstLine="480"/>
      </w:pPr>
      <w:r>
        <w:t>接报人一般由值班人员担任，其任务是：接到报警电话后，问清报告人姓名和联系电话；事故发生时间、地点、事故原因、事故性质、危害程度、范围等；做好记录；通知救援队伍；向上级报告。</w:t>
      </w:r>
    </w:p>
    <w:p w14:paraId="55C3DD07">
      <w:pPr>
        <w:ind w:firstLine="480"/>
        <w:rPr>
          <w:rFonts w:ascii="宋体" w:hAnsi="宋体" w:cs="宋体"/>
        </w:rPr>
      </w:pPr>
      <w:r>
        <w:rPr>
          <w:rFonts w:hint="eastAsia" w:ascii="宋体" w:hAnsi="宋体" w:cs="宋体"/>
        </w:rPr>
        <w:t>③发出应急救援命令</w:t>
      </w:r>
    </w:p>
    <w:p w14:paraId="2A8F0D6B">
      <w:pPr>
        <w:ind w:firstLine="480"/>
      </w:pPr>
      <w:r>
        <w:t>当事故规模较小（无人员伤亡、事故情况简单、现场救援力量充分）、接警人员熟悉救援部署的情况下，救援命令可由接警值班人员直接发出。当事故规模较大，具有同时通知各救援分队的通讯手段时，也可由接警值班人员直接发出救援命令。当事故情况复杂难以判断，应报告指挥中心，由指挥中心分别通知。无论何种情况，接报人员在发出救援通知后，必须报告指挥中心（指挥部）。</w:t>
      </w:r>
    </w:p>
    <w:p w14:paraId="7CAE3E62">
      <w:pPr>
        <w:ind w:firstLine="480"/>
        <w:rPr>
          <w:rFonts w:ascii="宋体" w:hAnsi="宋体" w:cs="宋体"/>
        </w:rPr>
      </w:pPr>
      <w:r>
        <w:rPr>
          <w:rFonts w:hint="eastAsia" w:ascii="宋体" w:hAnsi="宋体" w:cs="宋体"/>
        </w:rPr>
        <w:t>④应急救援行动</w:t>
      </w:r>
    </w:p>
    <w:p w14:paraId="115DF93D">
      <w:pPr>
        <w:ind w:firstLine="480"/>
        <w:rPr>
          <w:rFonts w:ascii="宋体" w:hAnsi="宋体" w:cs="宋体"/>
        </w:rPr>
      </w:pPr>
      <w:r>
        <w:rPr>
          <w:rFonts w:hint="eastAsia" w:ascii="宋体" w:hAnsi="宋体" w:cs="宋体"/>
        </w:rPr>
        <w:t>接到应急救援命令后，确定选择相应专业应急预案，制定并组织实施。监督抢险、抢救人员穿戴好防护用品。应急疏散人员，进入相应岗位。建立疏散和营救遇险者可以进入的安全区域。事故处理（危险排除、工程抢险、灭火等）。现场救护，现场处置等。</w:t>
      </w:r>
    </w:p>
    <w:p w14:paraId="7A6542E2">
      <w:pPr>
        <w:ind w:firstLine="480"/>
        <w:rPr>
          <w:rFonts w:ascii="宋体" w:hAnsi="宋体" w:cs="宋体"/>
        </w:rPr>
      </w:pPr>
      <w:r>
        <w:rPr>
          <w:rFonts w:hint="eastAsia" w:ascii="宋体" w:hAnsi="宋体" w:cs="宋体"/>
        </w:rPr>
        <w:t>具体程序见下图：</w:t>
      </w:r>
    </w:p>
    <w:p w14:paraId="6F48DF98">
      <w:pPr>
        <w:jc w:val="center"/>
        <w:rPr>
          <w:rFonts w:ascii="宋体" w:hAnsi="宋体" w:cs="宋体"/>
        </w:rPr>
      </w:pPr>
      <w:r>
        <w:rPr>
          <w:rFonts w:hint="eastAsia" w:ascii="宋体" w:hAnsi="宋体" w:cs="宋体"/>
        </w:rPr>
        <w:drawing>
          <wp:inline distT="0" distB="0" distL="114300" distR="114300">
            <wp:extent cx="5271770" cy="2272665"/>
            <wp:effectExtent l="0" t="0" r="5080" b="13335"/>
            <wp:docPr id="105" name="图片 105" descr="169043978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690439783479"/>
                    <pic:cNvPicPr>
                      <a:picLocks noChangeAspect="1"/>
                    </pic:cNvPicPr>
                  </pic:nvPicPr>
                  <pic:blipFill>
                    <a:blip r:embed="rId140"/>
                    <a:stretch>
                      <a:fillRect/>
                    </a:stretch>
                  </pic:blipFill>
                  <pic:spPr>
                    <a:xfrm>
                      <a:off x="0" y="0"/>
                      <a:ext cx="5271770" cy="2272665"/>
                    </a:xfrm>
                    <a:prstGeom prst="rect">
                      <a:avLst/>
                    </a:prstGeom>
                  </pic:spPr>
                </pic:pic>
              </a:graphicData>
            </a:graphic>
          </wp:inline>
        </w:drawing>
      </w:r>
    </w:p>
    <w:p w14:paraId="77E22C5E">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图7.8-1 </w:t>
      </w:r>
      <w:r>
        <w:rPr>
          <w:rFonts w:hint="eastAsia"/>
          <w:color w:val="auto"/>
        </w:rPr>
        <w:t>泄漏事故树分析图</w:t>
      </w:r>
    </w:p>
    <w:p w14:paraId="2D996CD8">
      <w:pPr>
        <w:ind w:firstLine="480"/>
        <w:rPr>
          <w:rFonts w:ascii="宋体" w:hAnsi="宋体" w:cs="宋体"/>
        </w:rPr>
      </w:pPr>
      <w:r>
        <w:rPr>
          <w:rFonts w:hint="eastAsia" w:ascii="宋体" w:hAnsi="宋体" w:cs="宋体"/>
        </w:rPr>
        <w:t>⑷应急行动</w:t>
      </w:r>
    </w:p>
    <w:p w14:paraId="785DC56C">
      <w:pPr>
        <w:ind w:firstLine="480"/>
        <w:rPr>
          <w:rFonts w:ascii="宋体" w:hAnsi="宋体" w:cs="宋体"/>
        </w:rPr>
      </w:pPr>
      <w:r>
        <w:rPr>
          <w:rFonts w:hint="eastAsia" w:ascii="宋体" w:hAnsi="宋体" w:cs="宋体"/>
        </w:rPr>
        <w:t>包括及时控制事故源和防止事故扩大，抢救受害人员和组织民众撤离，消除危害后果等。</w:t>
      </w:r>
    </w:p>
    <w:p w14:paraId="5FCCE2D3">
      <w:pPr>
        <w:ind w:firstLine="480"/>
        <w:rPr>
          <w:rFonts w:ascii="宋体" w:hAnsi="宋体" w:cs="宋体"/>
        </w:rPr>
      </w:pPr>
      <w:r>
        <w:rPr>
          <w:rFonts w:hint="eastAsia" w:ascii="宋体" w:hAnsi="宋体" w:cs="宋体"/>
        </w:rPr>
        <w:t>⑸应急设备和器材清单</w:t>
      </w:r>
    </w:p>
    <w:p w14:paraId="76CE48BD">
      <w:pPr>
        <w:ind w:firstLine="480"/>
        <w:rPr>
          <w:rFonts w:ascii="宋体" w:hAnsi="宋体" w:cs="宋体"/>
        </w:rPr>
      </w:pPr>
      <w:r>
        <w:rPr>
          <w:rFonts w:hint="eastAsia" w:ascii="宋体" w:hAnsi="宋体" w:cs="宋体"/>
        </w:rPr>
        <w:t>包括消防、医疗急救、污染物处理和处置、通讯联络、交通运输等设备和器材。</w:t>
      </w:r>
    </w:p>
    <w:p w14:paraId="5DF308A6">
      <w:pPr>
        <w:pStyle w:val="3"/>
        <w:numPr>
          <w:ilvl w:val="1"/>
          <w:numId w:val="0"/>
        </w:numPr>
        <w:ind w:left="567" w:leftChars="0" w:hanging="567" w:firstLineChars="0"/>
        <w:rPr>
          <w:sz w:val="28"/>
          <w:szCs w:val="28"/>
        </w:rPr>
      </w:pPr>
      <w:bookmarkStart w:id="152" w:name="_Toc17754"/>
      <w:r>
        <w:rPr>
          <w:rFonts w:hint="default" w:ascii="宋体" w:hAnsi="宋体" w:eastAsia="宋体" w:cs="宋体"/>
          <w:b/>
          <w:bCs/>
          <w:kern w:val="2"/>
          <w:sz w:val="28"/>
          <w:szCs w:val="28"/>
          <w:lang w:val="en-US" w:eastAsia="zh-CN" w:bidi="ar-SA"/>
        </w:rPr>
        <w:t>7.9</w:t>
      </w:r>
      <w:r>
        <w:rPr>
          <w:rFonts w:hint="eastAsia"/>
          <w:sz w:val="28"/>
          <w:szCs w:val="28"/>
        </w:rPr>
        <w:t>分析结论</w:t>
      </w:r>
      <w:bookmarkEnd w:id="152"/>
    </w:p>
    <w:p w14:paraId="6EBB7118">
      <w:pPr>
        <w:ind w:firstLine="480"/>
      </w:pPr>
      <w:r>
        <w:t>本项目原辅材料及产品中涉及有毒有害、易燃气体，环境危险潜势较小，项目危险物质的运输、储存符合危险化学品的储存、运输的相关规定、采取相应风险事故防范措施，同时制定相应的环境风险应急预案，项目涉及的环境风险性影响因素是可以降到最低水平的，可有效减少或者避免风险事故的发生。</w:t>
      </w:r>
    </w:p>
    <w:p w14:paraId="29B611B2">
      <w:pPr>
        <w:ind w:firstLine="480"/>
      </w:pPr>
      <w:r>
        <w:t>为了及时发现和减少事故的潜在危害，确保生命财产和人身安全，有必要建立风险事故决策支持系统和事故应急监测技术支持系统，在事故发生时及时采取应急救援措施，形成风险安全系统工程。</w:t>
      </w:r>
    </w:p>
    <w:p w14:paraId="2C3F057C">
      <w:pPr>
        <w:ind w:firstLine="480"/>
      </w:pPr>
      <w:r>
        <w:t>从环境控制的角度来评价，经采取相应应急措施，能大大减少事故发生概率，如一旦发生事故，能迅速采取有力措施，减小对环境污染。其潜在的事故风险是可以防范的。因此项目的建设，从风险评价的角度分析是可行的</w:t>
      </w:r>
      <w:r>
        <w:rPr>
          <w:rFonts w:hint="eastAsia"/>
        </w:rPr>
        <w:t>。</w:t>
      </w:r>
    </w:p>
    <w:p w14:paraId="1C42D893">
      <w:pPr>
        <w:ind w:firstLine="480"/>
      </w:pPr>
      <w:r>
        <w:rPr>
          <w:rFonts w:hint="eastAsia"/>
        </w:rPr>
        <w:t>本项目环境风险评价自查表见附表。</w:t>
      </w:r>
    </w:p>
    <w:p w14:paraId="58825F83">
      <w:pPr>
        <w:ind w:firstLine="480"/>
      </w:pPr>
    </w:p>
    <w:p w14:paraId="7A215113">
      <w:pPr>
        <w:ind w:firstLine="480"/>
      </w:pPr>
    </w:p>
    <w:p w14:paraId="519CE329">
      <w:pPr>
        <w:ind w:firstLine="480"/>
      </w:pPr>
    </w:p>
    <w:p w14:paraId="0C94FFE1">
      <w:pPr>
        <w:ind w:firstLine="480"/>
      </w:pPr>
    </w:p>
    <w:p w14:paraId="46487285">
      <w:pPr>
        <w:ind w:firstLine="480"/>
      </w:pPr>
    </w:p>
    <w:p w14:paraId="5E0A472F">
      <w:pPr>
        <w:ind w:firstLine="480"/>
      </w:pPr>
    </w:p>
    <w:p w14:paraId="46CDEECD">
      <w:pPr>
        <w:ind w:firstLine="480"/>
      </w:pPr>
    </w:p>
    <w:p w14:paraId="2355A04D">
      <w:pPr>
        <w:ind w:firstLine="480"/>
      </w:pPr>
    </w:p>
    <w:p w14:paraId="714698DE">
      <w:pPr>
        <w:ind w:firstLine="480"/>
      </w:pPr>
    </w:p>
    <w:p w14:paraId="34D12086">
      <w:pPr>
        <w:ind w:firstLine="480"/>
      </w:pPr>
    </w:p>
    <w:p w14:paraId="037BB41B">
      <w:pPr>
        <w:ind w:firstLine="480"/>
      </w:pPr>
    </w:p>
    <w:p w14:paraId="38D82056">
      <w:pPr>
        <w:ind w:firstLine="480"/>
      </w:pPr>
    </w:p>
    <w:p w14:paraId="3047E456">
      <w:pPr>
        <w:ind w:firstLine="480"/>
      </w:pPr>
    </w:p>
    <w:p w14:paraId="681EC6DF">
      <w:pPr>
        <w:ind w:firstLine="480"/>
      </w:pPr>
    </w:p>
    <w:p w14:paraId="6F78E2C1">
      <w:pPr>
        <w:ind w:firstLine="480"/>
      </w:pPr>
    </w:p>
    <w:p w14:paraId="0B8DC9D0">
      <w:pPr>
        <w:ind w:firstLine="480"/>
      </w:pPr>
    </w:p>
    <w:p w14:paraId="78A67100">
      <w:pPr>
        <w:ind w:firstLine="480"/>
      </w:pPr>
    </w:p>
    <w:p w14:paraId="335960E4">
      <w:pPr>
        <w:ind w:firstLine="480"/>
      </w:pPr>
    </w:p>
    <w:p w14:paraId="3E86DD7B">
      <w:pPr>
        <w:ind w:firstLine="480"/>
      </w:pPr>
    </w:p>
    <w:p w14:paraId="4259A7DD">
      <w:pPr>
        <w:ind w:firstLine="480"/>
      </w:pPr>
    </w:p>
    <w:p w14:paraId="6EA1CB2D">
      <w:pPr>
        <w:ind w:firstLine="480"/>
      </w:pPr>
    </w:p>
    <w:p w14:paraId="72A225CF">
      <w:pPr>
        <w:ind w:firstLine="480"/>
      </w:pPr>
    </w:p>
    <w:p w14:paraId="0D0F8DD4">
      <w:pPr>
        <w:ind w:firstLine="480"/>
      </w:pPr>
    </w:p>
    <w:p w14:paraId="286C5527">
      <w:pPr>
        <w:ind w:firstLine="480"/>
      </w:pPr>
    </w:p>
    <w:p w14:paraId="1497B307">
      <w:pPr>
        <w:ind w:firstLine="480"/>
      </w:pPr>
    </w:p>
    <w:p w14:paraId="7213876D">
      <w:pPr>
        <w:pStyle w:val="40"/>
        <w:ind w:firstLine="480"/>
        <w:rPr>
          <w:color w:val="FF0000"/>
        </w:rPr>
      </w:pPr>
    </w:p>
    <w:p w14:paraId="6793E69C">
      <w:pPr>
        <w:pStyle w:val="2"/>
        <w:numPr>
          <w:ilvl w:val="0"/>
          <w:numId w:val="0"/>
        </w:numPr>
        <w:ind w:left="425" w:leftChars="0" w:hanging="425" w:firstLineChars="0"/>
        <w:rPr>
          <w:color w:val="auto"/>
        </w:rPr>
      </w:pPr>
      <w:bookmarkStart w:id="153" w:name="_Toc27209"/>
      <w:r>
        <w:rPr>
          <w:rFonts w:hint="default" w:ascii="宋体" w:hAnsi="宋体" w:eastAsia="宋体" w:cs="宋体"/>
          <w:b/>
          <w:bCs/>
          <w:color w:val="auto"/>
          <w:kern w:val="44"/>
          <w:sz w:val="32"/>
          <w:szCs w:val="32"/>
          <w:lang w:val="en-US" w:eastAsia="zh-CN" w:bidi="ar-SA"/>
        </w:rPr>
        <w:t>第8章</w:t>
      </w:r>
      <w:r>
        <w:rPr>
          <w:rFonts w:hint="eastAsia"/>
          <w:color w:val="auto"/>
        </w:rPr>
        <w:t>环境保护措施及可行性论证</w:t>
      </w:r>
      <w:bookmarkEnd w:id="153"/>
    </w:p>
    <w:p w14:paraId="34684423">
      <w:pPr>
        <w:pStyle w:val="3"/>
        <w:numPr>
          <w:ilvl w:val="1"/>
          <w:numId w:val="0"/>
        </w:numPr>
        <w:ind w:left="567" w:leftChars="0" w:hanging="567" w:firstLineChars="0"/>
        <w:rPr>
          <w:sz w:val="28"/>
          <w:szCs w:val="28"/>
        </w:rPr>
      </w:pPr>
      <w:bookmarkStart w:id="154" w:name="_Toc18983"/>
      <w:r>
        <w:rPr>
          <w:rFonts w:hint="default" w:ascii="宋体" w:hAnsi="宋体" w:eastAsia="宋体" w:cs="宋体"/>
          <w:b/>
          <w:bCs/>
          <w:kern w:val="2"/>
          <w:sz w:val="28"/>
          <w:szCs w:val="28"/>
          <w:lang w:val="en-US" w:eastAsia="zh-CN" w:bidi="ar-SA"/>
        </w:rPr>
        <w:t>8.1</w:t>
      </w:r>
      <w:r>
        <w:rPr>
          <w:rFonts w:hint="eastAsia"/>
          <w:sz w:val="28"/>
          <w:szCs w:val="28"/>
        </w:rPr>
        <w:t>施工期环境保护措施评述</w:t>
      </w:r>
      <w:bookmarkEnd w:id="154"/>
    </w:p>
    <w:p w14:paraId="47EF4981">
      <w:pPr>
        <w:ind w:firstLine="480"/>
      </w:pPr>
      <w:r>
        <w:rPr>
          <w:rFonts w:hint="eastAsia"/>
        </w:rPr>
        <w:t>建设期内容主要为设备安装及调试。本次变更评价时，施工期内容已完成建设，在施工阶段未出现居民投诉情况，根据现场调查，厂内未发现施工期遗留环境问题。</w:t>
      </w:r>
      <w:r>
        <w:t xml:space="preserve"> </w:t>
      </w:r>
    </w:p>
    <w:p w14:paraId="329DEEF8">
      <w:pPr>
        <w:pStyle w:val="3"/>
        <w:numPr>
          <w:ilvl w:val="1"/>
          <w:numId w:val="0"/>
        </w:numPr>
        <w:ind w:left="567" w:leftChars="0" w:hanging="567" w:firstLineChars="0"/>
        <w:rPr>
          <w:sz w:val="28"/>
          <w:szCs w:val="28"/>
        </w:rPr>
      </w:pPr>
      <w:bookmarkStart w:id="155" w:name="_Toc17594"/>
      <w:r>
        <w:rPr>
          <w:rFonts w:hint="default" w:ascii="宋体" w:hAnsi="宋体" w:eastAsia="宋体" w:cs="宋体"/>
          <w:b/>
          <w:bCs/>
          <w:kern w:val="2"/>
          <w:sz w:val="28"/>
          <w:szCs w:val="28"/>
          <w:lang w:val="en-US" w:eastAsia="zh-CN" w:bidi="ar-SA"/>
        </w:rPr>
        <w:t>8.2</w:t>
      </w:r>
      <w:r>
        <w:rPr>
          <w:rFonts w:hint="eastAsia"/>
          <w:sz w:val="28"/>
          <w:szCs w:val="28"/>
        </w:rPr>
        <w:t>运营期环境保护措施及可行性分析</w:t>
      </w:r>
      <w:bookmarkEnd w:id="155"/>
    </w:p>
    <w:p w14:paraId="73DA5167">
      <w:pPr>
        <w:ind w:firstLine="480"/>
      </w:pPr>
      <w:r>
        <w:rPr>
          <w:rFonts w:hint="eastAsia"/>
        </w:rPr>
        <w:t>本次变更不调整现有环保设施，运营期环保措施可行性主要依据排污许可核发技术指南、污染防治技术指南等文件中的推荐处理方案进行比照，分析其方案合理性。本项目为印刷行业，根据《排污许可证申请与核发技术规范印刷工业》（HJ1066—2019）、《印刷工业污染防治可行技术指南》（HJ1089—2020）。</w:t>
      </w:r>
    </w:p>
    <w:p w14:paraId="6ADDA6FF">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8.2.1</w:t>
      </w:r>
      <w:r>
        <w:rPr>
          <w:rFonts w:hint="eastAsia"/>
        </w:rPr>
        <w:t>运营期废气治理及防治措施及可行性分析</w:t>
      </w:r>
    </w:p>
    <w:p w14:paraId="650A4073">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8.2.1.1</w:t>
      </w:r>
      <w:r>
        <w:rPr>
          <w:rFonts w:hint="eastAsia"/>
        </w:rPr>
        <w:t>以新带老整改措施可行性</w:t>
      </w:r>
    </w:p>
    <w:p w14:paraId="6DFD3C02">
      <w:pPr>
        <w:pStyle w:val="40"/>
        <w:spacing w:line="360" w:lineRule="auto"/>
        <w:ind w:firstLine="480"/>
        <w:rPr>
          <w:rFonts w:ascii="Times New Roman"/>
        </w:rPr>
      </w:pPr>
      <w:r>
        <w:rPr>
          <w:rFonts w:ascii="Times New Roman"/>
        </w:rPr>
        <w:t>针对现有工程的生产厂房全封闭运营，但是微负压效果不佳，生产车间内VOCs收集效果不佳，车间异味明显，</w:t>
      </w:r>
      <w:r>
        <w:rPr>
          <w:rFonts w:hint="eastAsia" w:ascii="Times New Roman"/>
        </w:rPr>
        <w:t>在建项目</w:t>
      </w:r>
      <w:r>
        <w:rPr>
          <w:rFonts w:ascii="Times New Roman"/>
        </w:rPr>
        <w:t>提出了相关整改方案，目前已完成整改，</w:t>
      </w:r>
      <w:r>
        <w:rPr>
          <w:rFonts w:hint="eastAsia" w:ascii="Times New Roman"/>
        </w:rPr>
        <w:t>详细</w:t>
      </w:r>
      <w:r>
        <w:rPr>
          <w:rFonts w:ascii="Times New Roman"/>
        </w:rPr>
        <w:t>措施如下：</w:t>
      </w:r>
    </w:p>
    <w:p w14:paraId="5123F962">
      <w:pPr>
        <w:pStyle w:val="40"/>
        <w:spacing w:line="360" w:lineRule="auto"/>
        <w:ind w:firstLine="480"/>
        <w:rPr>
          <w:rFonts w:ascii="Times New Roman"/>
        </w:rPr>
      </w:pPr>
      <w:r>
        <w:rPr>
          <w:rFonts w:hint="eastAsia" w:hAnsi="宋体" w:cs="宋体"/>
        </w:rPr>
        <w:t>⑴</w:t>
      </w:r>
      <w:r>
        <w:rPr>
          <w:rFonts w:hint="eastAsia" w:ascii="Times New Roman"/>
        </w:rPr>
        <w:t>密闭系统改造</w:t>
      </w:r>
    </w:p>
    <w:p w14:paraId="5F620668">
      <w:pPr>
        <w:pStyle w:val="40"/>
        <w:spacing w:line="360" w:lineRule="auto"/>
        <w:ind w:firstLine="480"/>
        <w:rPr>
          <w:rFonts w:ascii="Times New Roman"/>
        </w:rPr>
      </w:pPr>
      <w:r>
        <w:rPr>
          <w:rFonts w:ascii="Times New Roman"/>
        </w:rPr>
        <w:t>考虑到生产车间无组织排放的</w:t>
      </w:r>
      <w:r>
        <w:rPr>
          <w:rFonts w:hint="eastAsia" w:ascii="Times New Roman"/>
        </w:rPr>
        <w:t>挥发性有机物</w:t>
      </w:r>
      <w:r>
        <w:rPr>
          <w:rFonts w:ascii="Times New Roman"/>
        </w:rPr>
        <w:t>浓度较高，导致员工生产环境恶劣，首先将印刷、复合设备密闭处理。通过将无组织废气转化成有组织废气，提高有机废气的处理效率。因考虑到易于观察设备上方情况，围蔽采用了透明</w:t>
      </w:r>
      <w:r>
        <w:rPr>
          <w:rFonts w:hint="eastAsia" w:ascii="Times New Roman"/>
        </w:rPr>
        <w:t>PE</w:t>
      </w:r>
      <w:r>
        <w:rPr>
          <w:rFonts w:ascii="Times New Roman"/>
        </w:rPr>
        <w:t>材质和不锈钢支架，设备上方采用固定模式，单元间采用了PVC豪华透明折叠门，便于操作，</w:t>
      </w:r>
      <w:r>
        <w:rPr>
          <w:rFonts w:hint="eastAsia" w:ascii="Times New Roman"/>
        </w:rPr>
        <w:t>如下图</w:t>
      </w:r>
      <w:r>
        <w:rPr>
          <w:rFonts w:ascii="Times New Roman"/>
        </w:rPr>
        <w:t>所示：</w:t>
      </w:r>
    </w:p>
    <w:p w14:paraId="25BF8003">
      <w:pPr>
        <w:pStyle w:val="40"/>
        <w:spacing w:line="360" w:lineRule="auto"/>
        <w:ind w:firstLine="0"/>
        <w:rPr>
          <w:rFonts w:ascii="Times New Roman"/>
        </w:rPr>
      </w:pPr>
      <w:r>
        <w:rPr>
          <w:rFonts w:hint="eastAsia"/>
        </w:rPr>
        <w:drawing>
          <wp:inline distT="0" distB="0" distL="114300" distR="114300">
            <wp:extent cx="2745105" cy="2296795"/>
            <wp:effectExtent l="0" t="0" r="17145" b="8255"/>
            <wp:docPr id="20" name="图片 20" descr="af812a360bfbd7cd9fcabb637d85d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f812a360bfbd7cd9fcabb637d85dd2"/>
                    <pic:cNvPicPr>
                      <a:picLocks noChangeAspect="1"/>
                    </pic:cNvPicPr>
                  </pic:nvPicPr>
                  <pic:blipFill>
                    <a:blip r:embed="rId141"/>
                    <a:stretch>
                      <a:fillRect/>
                    </a:stretch>
                  </pic:blipFill>
                  <pic:spPr>
                    <a:xfrm>
                      <a:off x="0" y="0"/>
                      <a:ext cx="2745105" cy="2296795"/>
                    </a:xfrm>
                    <a:prstGeom prst="rect">
                      <a:avLst/>
                    </a:prstGeom>
                  </pic:spPr>
                </pic:pic>
              </a:graphicData>
            </a:graphic>
          </wp:inline>
        </w:drawing>
      </w:r>
      <w:r>
        <w:rPr>
          <w:rFonts w:hint="eastAsia"/>
        </w:rPr>
        <w:t xml:space="preserve"> </w:t>
      </w:r>
      <w:r>
        <w:rPr>
          <w:rFonts w:hint="eastAsia" w:ascii="Times New Roman"/>
        </w:rPr>
        <w:drawing>
          <wp:inline distT="0" distB="0" distL="114300" distR="114300">
            <wp:extent cx="2296795" cy="2299335"/>
            <wp:effectExtent l="0" t="0" r="8255" b="5715"/>
            <wp:docPr id="22" name="图片 22" descr="42f6b520d824de0fd31bcb0fdfb94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2f6b520d824de0fd31bcb0fdfb94de"/>
                    <pic:cNvPicPr>
                      <a:picLocks noChangeAspect="1"/>
                    </pic:cNvPicPr>
                  </pic:nvPicPr>
                  <pic:blipFill>
                    <a:blip r:embed="rId142"/>
                    <a:stretch>
                      <a:fillRect/>
                    </a:stretch>
                  </pic:blipFill>
                  <pic:spPr>
                    <a:xfrm>
                      <a:off x="0" y="0"/>
                      <a:ext cx="2296795" cy="2299335"/>
                    </a:xfrm>
                    <a:prstGeom prst="rect">
                      <a:avLst/>
                    </a:prstGeom>
                  </pic:spPr>
                </pic:pic>
              </a:graphicData>
            </a:graphic>
          </wp:inline>
        </w:drawing>
      </w:r>
    </w:p>
    <w:p w14:paraId="0BEA38E4">
      <w:pPr>
        <w:pStyle w:val="45"/>
        <w:numPr>
          <w:ilvl w:val="6"/>
          <w:numId w:val="0"/>
        </w:numPr>
        <w:spacing w:before="156"/>
        <w:ind w:left="6096" w:leftChars="0" w:hanging="5812" w:firstLineChars="0"/>
        <w:rPr>
          <w:color w:val="auto"/>
        </w:rPr>
      </w:pPr>
      <w:r>
        <w:rPr>
          <w:rFonts w:hint="default" w:ascii="宋体" w:hAnsi="宋体" w:eastAsia="宋体" w:cs="宋体"/>
          <w:b/>
          <w:bCs/>
          <w:color w:val="auto"/>
          <w:kern w:val="2"/>
          <w:sz w:val="21"/>
          <w:szCs w:val="21"/>
          <w:lang w:val="en-US" w:eastAsia="zh-CN" w:bidi="ar-SA"/>
        </w:rPr>
        <w:t xml:space="preserve">图8.2-1 </w:t>
      </w:r>
      <w:r>
        <w:rPr>
          <w:rFonts w:hint="eastAsia"/>
          <w:color w:val="auto"/>
        </w:rPr>
        <w:t xml:space="preserve"> 印刷区围蔽示意图</w:t>
      </w:r>
    </w:p>
    <w:p w14:paraId="7A6102C0">
      <w:pPr>
        <w:pStyle w:val="40"/>
        <w:spacing w:line="360" w:lineRule="auto"/>
        <w:ind w:firstLine="480"/>
        <w:rPr>
          <w:rFonts w:hint="eastAsia"/>
          <w:u w:val="single"/>
        </w:rPr>
      </w:pPr>
      <w:r>
        <w:rPr>
          <w:rFonts w:ascii="Times New Roman"/>
          <w:u w:val="single"/>
        </w:rPr>
        <w:t>印刷机和印刷机的传动侧设计为高温负压区。车间整体静态气流是由新风口（空调送风口）向印刷机后部流动的，再进入排风管道，再进入</w:t>
      </w:r>
      <w:r>
        <w:rPr>
          <w:rFonts w:hint="eastAsia" w:ascii="Times New Roman"/>
          <w:u w:val="single"/>
        </w:rPr>
        <w:t>溶剂回收系统</w:t>
      </w:r>
      <w:r>
        <w:rPr>
          <w:rFonts w:ascii="Times New Roman"/>
          <w:u w:val="single"/>
        </w:rPr>
        <w:t>。</w:t>
      </w:r>
      <w:r>
        <w:rPr>
          <w:rFonts w:hint="eastAsia"/>
          <w:u w:val="single"/>
        </w:rPr>
        <w:t>为了尽量减少无组织 VOCs 废气的产生，建设方拟采取密闭供墨及调墨系统、配胶系统，改善印刷烘箱进出料附近的风嘴吹风方向，减少烘箱溢风。通过气压压差分区和保温围挡，可以有效的将车间无组织废气集中到印刷机及复合机区域，为有效的将这部分 VOCs 废气收集、销毁，印刷机、复合机后部均需设置废气抽气管，通过地排风将无组织废气变成有组织废气。同时，在隔断内的印刷机每色组及复合上胶位置设置 LEL 减风增浓系统地排风抽气管，这些风抽入到印刷机干燥热风系统作为干燥新风。</w:t>
      </w:r>
    </w:p>
    <w:p w14:paraId="4616B3D4">
      <w:pPr>
        <w:pStyle w:val="40"/>
        <w:spacing w:line="360" w:lineRule="auto"/>
        <w:ind w:firstLine="480"/>
      </w:pPr>
      <w:r>
        <w:rPr>
          <w:u w:val="single"/>
        </w:rPr>
        <w:t>综上，生产厂房全封闭运营，对印刷机、干式复合机生产区域进行二次封闭处理，即采取分隔隔间，印刷机（含调墨、供墨、印刷、烘干、清洗等工序）、干式复合机工序（含调胶、复合</w:t>
      </w:r>
      <w:r>
        <w:rPr>
          <w:rFonts w:hint="eastAsia"/>
          <w:u w:val="single"/>
        </w:rPr>
        <w:t>、清洗</w:t>
      </w:r>
      <w:r>
        <w:rPr>
          <w:u w:val="single"/>
        </w:rPr>
        <w:t>等工序）产生的挥发性有机物通过管道单独负压收集后，经</w:t>
      </w:r>
      <w:r>
        <w:rPr>
          <w:rFonts w:hint="eastAsia"/>
          <w:u w:val="single"/>
        </w:rPr>
        <w:t>溶剂回收</w:t>
      </w:r>
      <w:r>
        <w:rPr>
          <w:u w:val="single"/>
        </w:rPr>
        <w:t>处理系统处理之后有组织排放，可有效减少车间异味和VOCs污染物排放。</w:t>
      </w:r>
    </w:p>
    <w:p w14:paraId="5B595459">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8.2.1.2</w:t>
      </w:r>
      <w:r>
        <w:rPr>
          <w:rFonts w:hint="eastAsia"/>
        </w:rPr>
        <w:t>废气处理措施可行性</w:t>
      </w:r>
    </w:p>
    <w:p w14:paraId="0D1123CA">
      <w:pPr>
        <w:pStyle w:val="40"/>
        <w:spacing w:line="360" w:lineRule="auto"/>
        <w:ind w:firstLine="480"/>
        <w:rPr>
          <w:rFonts w:ascii="Times New Roman"/>
        </w:rPr>
      </w:pPr>
      <w:r>
        <w:rPr>
          <w:rFonts w:hAnsi="宋体" w:cs="宋体"/>
        </w:rPr>
        <w:t>为</w:t>
      </w:r>
      <w:r>
        <w:rPr>
          <w:rFonts w:hAnsi="宋体" w:cs="宋体"/>
          <w:u w:val="single"/>
        </w:rPr>
        <w:t>提高生产效率和废气收集净化效率，</w:t>
      </w:r>
      <w:r>
        <w:rPr>
          <w:rFonts w:ascii="Times New Roman"/>
          <w:u w:val="single"/>
        </w:rPr>
        <w:t>降低废气排放量。</w:t>
      </w:r>
      <w:r>
        <w:rPr>
          <w:rFonts w:hint="eastAsia" w:ascii="Times New Roman"/>
          <w:u w:val="single"/>
        </w:rPr>
        <w:t>在建项目</w:t>
      </w:r>
      <w:r>
        <w:rPr>
          <w:rFonts w:ascii="Times New Roman"/>
          <w:u w:val="single"/>
        </w:rPr>
        <w:t>新建了1套收集的有机废气采取一</w:t>
      </w:r>
      <w:r>
        <w:rPr>
          <w:rFonts w:asciiTheme="minorEastAsia" w:hAnsiTheme="minorEastAsia" w:eastAsiaTheme="minorEastAsia"/>
          <w:u w:val="single"/>
        </w:rPr>
        <w:t>套“吸附浓缩+溶剂回收”环</w:t>
      </w:r>
      <w:r>
        <w:rPr>
          <w:rFonts w:ascii="Times New Roman"/>
          <w:u w:val="single"/>
        </w:rPr>
        <w:t>保措施，</w:t>
      </w:r>
      <w:r>
        <w:rPr>
          <w:rFonts w:hint="eastAsia" w:ascii="Times New Roman"/>
          <w:u w:val="single"/>
        </w:rPr>
        <w:t>本次</w:t>
      </w:r>
      <w:r>
        <w:rPr>
          <w:rFonts w:hint="eastAsia" w:ascii="Times New Roman"/>
          <w:u w:val="single"/>
          <w:lang w:val="en-US" w:eastAsia="zh-CN"/>
        </w:rPr>
        <w:t>为应对变更而大幅提高的生产转速，增大了印刷和复合烘干环节的风量，并采取了“减风增浓”工艺，</w:t>
      </w:r>
      <w:r>
        <w:rPr>
          <w:rFonts w:hint="eastAsia" w:ascii="Times New Roman"/>
          <w:u w:val="single"/>
        </w:rPr>
        <w:t>重新</w:t>
      </w:r>
      <w:r>
        <w:rPr>
          <w:rFonts w:hint="eastAsia" w:ascii="Times New Roman"/>
          <w:u w:val="single"/>
          <w:lang w:val="en-US" w:eastAsia="zh-CN"/>
        </w:rPr>
        <w:t>后的总量</w:t>
      </w:r>
      <w:r>
        <w:rPr>
          <w:rFonts w:hint="eastAsia" w:ascii="Times New Roman"/>
          <w:u w:val="single"/>
        </w:rPr>
        <w:t>风量：</w:t>
      </w:r>
      <w:r>
        <w:rPr>
          <w:rFonts w:ascii="Times New Roman"/>
          <w:u w:val="single"/>
        </w:rPr>
        <w:t>出口风量</w:t>
      </w:r>
      <w:r>
        <w:rPr>
          <w:rFonts w:hint="eastAsia" w:ascii="Times New Roman"/>
          <w:u w:val="single"/>
          <w:lang w:val="en-US" w:eastAsia="zh-CN"/>
        </w:rPr>
        <w:t>370200</w:t>
      </w:r>
      <w:r>
        <w:rPr>
          <w:rFonts w:ascii="Times New Roman"/>
          <w:u w:val="single"/>
        </w:rPr>
        <w:t>m</w:t>
      </w:r>
      <w:r>
        <w:rPr>
          <w:rFonts w:ascii="Times New Roman"/>
          <w:u w:val="single"/>
          <w:vertAlign w:val="superscript"/>
        </w:rPr>
        <w:t>3</w:t>
      </w:r>
      <w:r>
        <w:rPr>
          <w:rFonts w:ascii="Times New Roman"/>
          <w:u w:val="single"/>
        </w:rPr>
        <w:t>/h（印刷、干式复合车间）+8000m</w:t>
      </w:r>
      <w:r>
        <w:rPr>
          <w:rFonts w:ascii="Times New Roman"/>
          <w:u w:val="single"/>
          <w:vertAlign w:val="superscript"/>
        </w:rPr>
        <w:t>3</w:t>
      </w:r>
      <w:r>
        <w:rPr>
          <w:rFonts w:ascii="Times New Roman"/>
          <w:u w:val="single"/>
        </w:rPr>
        <w:t>/h（危废车间）+1800m</w:t>
      </w:r>
      <w:r>
        <w:rPr>
          <w:rFonts w:ascii="Times New Roman"/>
          <w:u w:val="single"/>
          <w:vertAlign w:val="superscript"/>
        </w:rPr>
        <w:t>3</w:t>
      </w:r>
      <w:r>
        <w:rPr>
          <w:rFonts w:ascii="Times New Roman"/>
          <w:u w:val="single"/>
        </w:rPr>
        <w:t>/h（调墨间、调胶间）=</w:t>
      </w:r>
      <w:r>
        <w:rPr>
          <w:rFonts w:hint="eastAsia" w:ascii="Times New Roman"/>
          <w:u w:val="single"/>
          <w:lang w:val="en-US" w:eastAsia="zh-CN"/>
        </w:rPr>
        <w:t>38</w:t>
      </w:r>
      <w:r>
        <w:rPr>
          <w:rFonts w:hint="eastAsia" w:ascii="Times New Roman"/>
          <w:u w:val="single"/>
        </w:rPr>
        <w:t>0000</w:t>
      </w:r>
      <w:r>
        <w:rPr>
          <w:rFonts w:ascii="Times New Roman"/>
          <w:u w:val="single"/>
        </w:rPr>
        <w:t>m</w:t>
      </w:r>
      <w:r>
        <w:rPr>
          <w:rFonts w:ascii="Times New Roman"/>
          <w:u w:val="single"/>
          <w:vertAlign w:val="superscript"/>
        </w:rPr>
        <w:t>3</w:t>
      </w:r>
      <w:r>
        <w:rPr>
          <w:rFonts w:ascii="Times New Roman"/>
          <w:u w:val="single"/>
        </w:rPr>
        <w:t>/h</w:t>
      </w:r>
      <w:r>
        <w:rPr>
          <w:rFonts w:asciiTheme="minorEastAsia" w:hAnsiTheme="minorEastAsia" w:eastAsiaTheme="minorEastAsia"/>
          <w:u w:val="single"/>
        </w:rPr>
        <w:t>。</w:t>
      </w:r>
      <w:r>
        <w:rPr>
          <w:rFonts w:hint="eastAsia" w:ascii="Times New Roman"/>
          <w:u w:val="single"/>
        </w:rPr>
        <w:t>根据</w:t>
      </w:r>
      <w:r>
        <w:rPr>
          <w:u w:val="single"/>
        </w:rPr>
        <w:t>《</w:t>
      </w:r>
      <w:r>
        <w:rPr>
          <w:rFonts w:hint="eastAsia"/>
          <w:u w:val="single"/>
        </w:rPr>
        <w:t>主要污染物总量减排核算技术指南</w:t>
      </w:r>
      <w:r>
        <w:rPr>
          <w:u w:val="single"/>
        </w:rPr>
        <w:t>》</w:t>
      </w:r>
      <w:r>
        <w:rPr>
          <w:rFonts w:hint="eastAsia" w:ascii="Times New Roman"/>
          <w:u w:val="single"/>
        </w:rPr>
        <w:t>，活性炭吸附系统（固定活化再生）对有机废气的净化效率约50%；根据《旋转式沸石吸附浓缩装置技术要求》（T/CAEPI31-2021），浓缩装置净化效率应</w:t>
      </w:r>
      <w:r>
        <w:rPr>
          <w:rFonts w:ascii="Times New Roman"/>
          <w:u w:val="single"/>
        </w:rPr>
        <w:t>≥</w:t>
      </w:r>
      <w:r>
        <w:rPr>
          <w:rFonts w:hint="eastAsia" w:ascii="Times New Roman"/>
          <w:u w:val="single"/>
        </w:rPr>
        <w:t>90%，则组合净化效率可达95%。</w:t>
      </w:r>
      <w:r>
        <w:rPr>
          <w:rFonts w:ascii="Times New Roman"/>
          <w:u w:val="single"/>
        </w:rPr>
        <w:t>处理后的有机废气通过</w:t>
      </w:r>
      <w:r>
        <w:rPr>
          <w:rFonts w:hint="eastAsia" w:ascii="Times New Roman"/>
          <w:u w:val="single"/>
        </w:rPr>
        <w:t>20.5</w:t>
      </w:r>
      <w:r>
        <w:rPr>
          <w:rFonts w:ascii="Times New Roman"/>
          <w:u w:val="single"/>
        </w:rPr>
        <w:t>m排气筒排放。环保措施</w:t>
      </w:r>
      <w:r>
        <w:rPr>
          <w:rFonts w:hint="eastAsia" w:ascii="Times New Roman"/>
          <w:u w:val="single"/>
        </w:rPr>
        <w:t>中的有机废气脱附和溶剂提纯环节</w:t>
      </w:r>
      <w:r>
        <w:rPr>
          <w:rFonts w:ascii="Times New Roman"/>
          <w:u w:val="single"/>
        </w:rPr>
        <w:t>需用天然气导热油锅炉加热，天然气产生的燃烧废气由16m高DA002排气筒排放。</w:t>
      </w:r>
    </w:p>
    <w:p w14:paraId="3EE8C815">
      <w:pPr>
        <w:ind w:firstLine="482"/>
        <w:rPr>
          <w:b/>
          <w:bCs/>
        </w:rPr>
      </w:pPr>
      <w:r>
        <w:rPr>
          <w:rFonts w:hint="eastAsia"/>
          <w:b/>
          <w:bCs/>
        </w:rPr>
        <w:t>1.废气处理方式：</w:t>
      </w:r>
    </w:p>
    <w:p w14:paraId="1A6D196E">
      <w:pPr>
        <w:ind w:firstLine="480"/>
      </w:pPr>
      <w:r>
        <w:rPr>
          <w:rFonts w:hint="eastAsia"/>
        </w:rPr>
        <w:t>为提高生产效率和废气收集净化效率，降低废气排放量。本项目拟新建1套收集的有机废气拟采取一套“吸附浓缩+溶剂回收”环保措施，处理后的有机废气通过20.5m排气筒排放。该环保系统由活性炭吸附、沸石转轮浓缩、冷凝回收、溶剂提纯组成。具体如下：</w:t>
      </w:r>
    </w:p>
    <w:p w14:paraId="726CA4E3">
      <w:pPr>
        <w:pStyle w:val="38"/>
        <w:ind w:firstLine="482"/>
        <w:rPr>
          <w:color w:val="auto"/>
        </w:rPr>
      </w:pPr>
      <w:r>
        <w:rPr>
          <w:rFonts w:hint="eastAsia" w:cs="Times New Roman"/>
          <w:bCs/>
          <w:color w:val="auto"/>
        </w:rPr>
        <w:t>环保措施具体工艺详</w:t>
      </w:r>
      <w:r>
        <w:rPr>
          <w:rFonts w:ascii="Times New Roman" w:hAnsi="Times New Roman" w:cs="Times New Roman"/>
          <w:bCs/>
          <w:color w:val="auto"/>
        </w:rPr>
        <w:t>见4.2.2运营</w:t>
      </w:r>
      <w:r>
        <w:rPr>
          <w:rFonts w:hint="eastAsia" w:cs="Times New Roman"/>
          <w:bCs/>
          <w:color w:val="auto"/>
        </w:rPr>
        <w:t>期工程分析中环保措施工艺简介。</w:t>
      </w:r>
    </w:p>
    <w:p w14:paraId="2C598F34">
      <w:pPr>
        <w:ind w:firstLine="480"/>
      </w:pPr>
      <w:r>
        <w:rPr>
          <w:rFonts w:hint="eastAsia"/>
        </w:rPr>
        <w:t>2.废气处理设备配置说明</w:t>
      </w:r>
    </w:p>
    <w:p w14:paraId="750A6F8E">
      <w:pPr>
        <w:ind w:firstLine="480"/>
      </w:pPr>
      <w:r>
        <w:rPr>
          <w:rFonts w:hint="eastAsia"/>
        </w:rPr>
        <w:t>该套装置由一套沸石转轮浓缩系统、一套溶剂回收设备、5套后处理提纯设备、导热油锅炉等组成。</w:t>
      </w:r>
    </w:p>
    <w:p w14:paraId="4E1183EA">
      <w:pPr>
        <w:pStyle w:val="38"/>
        <w:ind w:firstLine="480"/>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1</w:t>
      </w:r>
      <w:r>
        <w:rPr>
          <w:rFonts w:ascii="Times New Roman" w:hAnsi="Times New Roman" w:eastAsia="宋体" w:cs="Times New Roman"/>
          <w:color w:val="auto"/>
        </w:rPr>
        <w:t>）一套浓缩转轮系统</w:t>
      </w:r>
    </w:p>
    <w:p w14:paraId="1121DD88">
      <w:pPr>
        <w:ind w:firstLine="480"/>
      </w:pPr>
      <w:r>
        <w:t>转轮型号4550—V40型，转轮吸附净化后气体达标排放，转轮解析浓缩高浓度气体进入印刷回收设备的高浓度补偿吸附器吸附。</w:t>
      </w:r>
    </w:p>
    <w:p w14:paraId="139CC5C4">
      <w:pPr>
        <w:ind w:firstLine="480"/>
        <w:jc w:val="center"/>
      </w:pPr>
      <w:r>
        <w:rPr>
          <w:rFonts w:hint="eastAsia"/>
        </w:rPr>
        <w:drawing>
          <wp:inline distT="0" distB="0" distL="114300" distR="114300">
            <wp:extent cx="3308985" cy="2068830"/>
            <wp:effectExtent l="9525" t="9525" r="15240" b="17145"/>
            <wp:docPr id="7" name="图片 43" descr="32021312264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3" descr="320213122644_0001.jpg"/>
                    <pic:cNvPicPr>
                      <a:picLocks noChangeAspect="1"/>
                    </pic:cNvPicPr>
                  </pic:nvPicPr>
                  <pic:blipFill>
                    <a:blip r:embed="rId143"/>
                    <a:srcRect l="13177" t="24774" r="11732" b="41261"/>
                    <a:stretch>
                      <a:fillRect/>
                    </a:stretch>
                  </pic:blipFill>
                  <pic:spPr>
                    <a:xfrm>
                      <a:off x="0" y="0"/>
                      <a:ext cx="3308985" cy="2068830"/>
                    </a:xfrm>
                    <a:prstGeom prst="rect">
                      <a:avLst/>
                    </a:prstGeom>
                    <a:noFill/>
                    <a:ln w="9525" cap="flat" cmpd="sng">
                      <a:solidFill>
                        <a:srgbClr val="1F497D"/>
                      </a:solidFill>
                      <a:prstDash val="dash"/>
                      <a:miter/>
                      <a:headEnd type="none" w="med" len="med"/>
                      <a:tailEnd type="none" w="med" len="med"/>
                    </a:ln>
                  </pic:spPr>
                </pic:pic>
              </a:graphicData>
            </a:graphic>
          </wp:inline>
        </w:drawing>
      </w:r>
    </w:p>
    <w:p w14:paraId="09E44244">
      <w:pPr>
        <w:ind w:firstLine="480"/>
        <w:rPr>
          <w:rFonts w:ascii="宋体" w:hAnsi="宋体" w:cs="宋体"/>
        </w:rPr>
      </w:pPr>
      <w:r>
        <w:rPr>
          <w:rFonts w:hint="eastAsia" w:ascii="宋体" w:hAnsi="宋体" w:cs="宋体"/>
        </w:rPr>
        <w:t>⑵转轮性能参数</w:t>
      </w:r>
    </w:p>
    <w:p w14:paraId="7F73FB07">
      <w:pPr>
        <w:ind w:firstLine="480"/>
        <w:rPr>
          <w:rFonts w:ascii="宋体" w:hAnsi="宋体" w:cs="宋体"/>
          <w:color w:val="FF0000"/>
        </w:rPr>
      </w:pPr>
    </w:p>
    <w:p w14:paraId="7F0C8DB7">
      <w:pPr>
        <w:ind w:firstLine="480"/>
        <w:rPr>
          <w:rFonts w:ascii="宋体" w:hAnsi="宋体" w:cs="宋体"/>
          <w:color w:val="FF0000"/>
        </w:rPr>
      </w:pPr>
    </w:p>
    <w:p w14:paraId="53811303">
      <w:pPr>
        <w:ind w:firstLine="480"/>
        <w:rPr>
          <w:rFonts w:ascii="宋体" w:hAnsi="宋体" w:cs="宋体"/>
          <w:color w:val="FF0000"/>
        </w:rPr>
      </w:pPr>
    </w:p>
    <w:p w14:paraId="61521C7A">
      <w:pPr>
        <w:ind w:firstLine="480"/>
        <w:rPr>
          <w:rFonts w:ascii="宋体" w:hAnsi="宋体" w:cs="宋体"/>
          <w:u w:val="single"/>
        </w:rPr>
      </w:pPr>
      <w:r>
        <w:rPr>
          <w:rFonts w:hint="eastAsia" w:ascii="宋体" w:hAnsi="宋体" w:eastAsia="宋体" w:cs="宋体"/>
          <w:u w:val="single"/>
          <w:lang w:eastAsia="zh-CN"/>
        </w:rPr>
        <w:drawing>
          <wp:anchor distT="0" distB="0" distL="114300" distR="114300" simplePos="0" relativeHeight="251673600" behindDoc="0" locked="0" layoutInCell="1" allowOverlap="1">
            <wp:simplePos x="0" y="0"/>
            <wp:positionH relativeFrom="column">
              <wp:posOffset>0</wp:posOffset>
            </wp:positionH>
            <wp:positionV relativeFrom="paragraph">
              <wp:posOffset>85090</wp:posOffset>
            </wp:positionV>
            <wp:extent cx="5271770" cy="4688205"/>
            <wp:effectExtent l="0" t="0" r="5080" b="17145"/>
            <wp:wrapSquare wrapText="bothSides"/>
            <wp:docPr id="58" name="图片 5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1"/>
                    <pic:cNvPicPr>
                      <a:picLocks noChangeAspect="1"/>
                    </pic:cNvPicPr>
                  </pic:nvPicPr>
                  <pic:blipFill>
                    <a:blip r:embed="rId144"/>
                    <a:stretch>
                      <a:fillRect/>
                    </a:stretch>
                  </pic:blipFill>
                  <pic:spPr>
                    <a:xfrm>
                      <a:off x="0" y="0"/>
                      <a:ext cx="5271770" cy="4688205"/>
                    </a:xfrm>
                    <a:prstGeom prst="rect">
                      <a:avLst/>
                    </a:prstGeom>
                  </pic:spPr>
                </pic:pic>
              </a:graphicData>
            </a:graphic>
          </wp:anchor>
        </w:drawing>
      </w:r>
      <w:r>
        <w:rPr>
          <w:rFonts w:hint="eastAsia" w:ascii="宋体" w:hAnsi="宋体" w:cs="宋体"/>
          <w:u w:val="single"/>
        </w:rPr>
        <w:t>⑶ 沸石转轮停留时间</w:t>
      </w:r>
    </w:p>
    <w:p w14:paraId="799230B4">
      <w:pPr>
        <w:ind w:firstLine="480"/>
      </w:pPr>
      <w:r>
        <w:rPr>
          <w:u w:val="single"/>
        </w:rPr>
        <w:t>1个沸石转轮</w:t>
      </w:r>
      <w:r>
        <w:rPr>
          <w:rFonts w:hint="eastAsia"/>
          <w:u w:val="single"/>
        </w:rPr>
        <w:t>容积</w:t>
      </w:r>
      <w:r>
        <w:rPr>
          <w:u w:val="single"/>
        </w:rPr>
        <w:t>为2.5t，沸石通风处理面积：16平方，吸附风速3.8m/s。沸石转轮厚度0.4m</w:t>
      </w:r>
      <w:r>
        <w:rPr>
          <w:rFonts w:hint="eastAsia"/>
          <w:u w:val="single"/>
        </w:rPr>
        <w:t>，</w:t>
      </w:r>
      <w:r>
        <w:rPr>
          <w:u w:val="single"/>
        </w:rPr>
        <w:t>VOC</w:t>
      </w:r>
      <w:r>
        <w:rPr>
          <w:rFonts w:hint="eastAsia"/>
          <w:u w:val="single"/>
        </w:rPr>
        <w:t>s</w:t>
      </w:r>
      <w:r>
        <w:rPr>
          <w:u w:val="single"/>
        </w:rPr>
        <w:t>气体通过时间=0.1s。</w:t>
      </w:r>
    </w:p>
    <w:p w14:paraId="428C0BB4">
      <w:pPr>
        <w:ind w:firstLine="480"/>
        <w:rPr>
          <w:u w:val="single"/>
        </w:rPr>
      </w:pPr>
      <w:r>
        <w:rPr>
          <w:rFonts w:hint="eastAsia" w:ascii="宋体" w:hAnsi="宋体" w:cs="宋体"/>
          <w:u w:val="single"/>
        </w:rPr>
        <w:t>⑷一套大</w:t>
      </w:r>
      <w:r>
        <w:rPr>
          <w:u w:val="single"/>
        </w:rPr>
        <w:t>型TBSY-7025溶</w:t>
      </w:r>
      <w:r>
        <w:rPr>
          <w:rFonts w:hint="eastAsia" w:ascii="宋体" w:hAnsi="宋体" w:cs="宋体"/>
          <w:u w:val="single"/>
        </w:rPr>
        <w:t>剂回收设备</w:t>
      </w:r>
    </w:p>
    <w:p w14:paraId="4BC29243">
      <w:pPr>
        <w:ind w:firstLine="480"/>
        <w:rPr>
          <w:u w:val="single"/>
        </w:rPr>
      </w:pPr>
      <w:r>
        <w:rPr>
          <w:rFonts w:hint="eastAsia"/>
          <w:u w:val="single"/>
        </w:rPr>
        <w:t>TBSY-7025-25N型溶剂回收设备基本参数配置如下：</w:t>
      </w:r>
    </w:p>
    <w:p w14:paraId="6647B9A6">
      <w:pPr>
        <w:pStyle w:val="51"/>
        <w:numPr>
          <w:ilvl w:val="5"/>
          <w:numId w:val="0"/>
        </w:numPr>
        <w:tabs>
          <w:tab w:val="left" w:pos="4395"/>
        </w:tabs>
        <w:spacing w:before="156"/>
        <w:ind w:left="4700" w:leftChars="0" w:hanging="3260" w:firstLineChars="0"/>
        <w:rPr>
          <w:u w:val="single"/>
        </w:rPr>
      </w:pPr>
      <w:r>
        <w:rPr>
          <w:rFonts w:hint="default" w:ascii="宋体" w:hAnsi="宋体" w:eastAsia="宋体" w:cs="宋体"/>
          <w:b/>
          <w:bCs/>
          <w:color w:val="auto"/>
          <w:kern w:val="2"/>
          <w:sz w:val="21"/>
          <w:szCs w:val="21"/>
          <w:u w:val="single"/>
          <w:lang w:val="en-US" w:eastAsia="zh-CN" w:bidi="ar-SA"/>
        </w:rPr>
        <w:t xml:space="preserve">表8.2-2 </w:t>
      </w:r>
      <w:r>
        <w:rPr>
          <w:rFonts w:hint="eastAsia"/>
          <w:u w:val="single"/>
        </w:rPr>
        <w:t>设备基本参数</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05"/>
        <w:gridCol w:w="4817"/>
      </w:tblGrid>
      <w:tr w14:paraId="4A8FD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65A4B7B4">
            <w:pPr>
              <w:spacing w:line="240" w:lineRule="auto"/>
              <w:jc w:val="center"/>
              <w:rPr>
                <w:sz w:val="21"/>
                <w:szCs w:val="21"/>
                <w:u w:val="single"/>
              </w:rPr>
            </w:pPr>
            <w:r>
              <w:rPr>
                <w:sz w:val="21"/>
                <w:szCs w:val="21"/>
                <w:u w:val="single"/>
              </w:rPr>
              <w:t>设备细项</w:t>
            </w:r>
          </w:p>
        </w:tc>
        <w:tc>
          <w:tcPr>
            <w:tcW w:w="4740" w:type="dxa"/>
            <w:tcBorders>
              <w:tl2br w:val="nil"/>
              <w:tr2bl w:val="nil"/>
            </w:tcBorders>
            <w:vAlign w:val="center"/>
          </w:tcPr>
          <w:p w14:paraId="2DE9B2C8">
            <w:pPr>
              <w:spacing w:line="240" w:lineRule="auto"/>
              <w:jc w:val="center"/>
              <w:rPr>
                <w:sz w:val="21"/>
                <w:szCs w:val="21"/>
                <w:u w:val="single"/>
              </w:rPr>
            </w:pPr>
            <w:r>
              <w:rPr>
                <w:sz w:val="21"/>
                <w:szCs w:val="21"/>
                <w:u w:val="single"/>
              </w:rPr>
              <w:t>说明</w:t>
            </w:r>
          </w:p>
        </w:tc>
      </w:tr>
      <w:tr w14:paraId="7E0EC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103F98A1">
            <w:pPr>
              <w:spacing w:line="240" w:lineRule="auto"/>
              <w:jc w:val="center"/>
              <w:rPr>
                <w:sz w:val="21"/>
                <w:szCs w:val="21"/>
                <w:u w:val="single"/>
              </w:rPr>
            </w:pPr>
            <w:r>
              <w:rPr>
                <w:sz w:val="21"/>
                <w:szCs w:val="21"/>
                <w:u w:val="single"/>
              </w:rPr>
              <w:t>吸附介质</w:t>
            </w:r>
          </w:p>
        </w:tc>
        <w:tc>
          <w:tcPr>
            <w:tcW w:w="4740" w:type="dxa"/>
            <w:tcBorders>
              <w:tl2br w:val="nil"/>
              <w:tr2bl w:val="nil"/>
            </w:tcBorders>
            <w:vAlign w:val="center"/>
          </w:tcPr>
          <w:p w14:paraId="3A499D7F">
            <w:pPr>
              <w:spacing w:line="240" w:lineRule="auto"/>
              <w:jc w:val="center"/>
              <w:rPr>
                <w:sz w:val="21"/>
                <w:szCs w:val="21"/>
                <w:u w:val="single"/>
              </w:rPr>
            </w:pPr>
            <w:r>
              <w:rPr>
                <w:sz w:val="21"/>
                <w:szCs w:val="21"/>
                <w:u w:val="single"/>
              </w:rPr>
              <w:t>溶剂回收专用颗粒型活性炭</w:t>
            </w:r>
          </w:p>
        </w:tc>
      </w:tr>
      <w:tr w14:paraId="2E916E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3BCF01E0">
            <w:pPr>
              <w:spacing w:line="240" w:lineRule="auto"/>
              <w:jc w:val="center"/>
              <w:rPr>
                <w:sz w:val="21"/>
                <w:szCs w:val="21"/>
                <w:u w:val="single"/>
              </w:rPr>
            </w:pPr>
            <w:r>
              <w:rPr>
                <w:sz w:val="21"/>
                <w:szCs w:val="21"/>
                <w:u w:val="single"/>
              </w:rPr>
              <w:t>解吸用的介质</w:t>
            </w:r>
          </w:p>
        </w:tc>
        <w:tc>
          <w:tcPr>
            <w:tcW w:w="4740" w:type="dxa"/>
            <w:tcBorders>
              <w:tl2br w:val="nil"/>
              <w:tr2bl w:val="nil"/>
            </w:tcBorders>
            <w:vAlign w:val="center"/>
          </w:tcPr>
          <w:p w14:paraId="6DB3E092">
            <w:pPr>
              <w:spacing w:line="240" w:lineRule="auto"/>
              <w:jc w:val="center"/>
              <w:rPr>
                <w:sz w:val="21"/>
                <w:szCs w:val="21"/>
                <w:u w:val="single"/>
              </w:rPr>
            </w:pPr>
            <w:r>
              <w:rPr>
                <w:sz w:val="21"/>
                <w:szCs w:val="21"/>
                <w:u w:val="single"/>
              </w:rPr>
              <w:t>氮气</w:t>
            </w:r>
          </w:p>
        </w:tc>
      </w:tr>
      <w:tr w14:paraId="3F31FC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3061270E">
            <w:pPr>
              <w:spacing w:line="240" w:lineRule="auto"/>
              <w:jc w:val="center"/>
              <w:rPr>
                <w:sz w:val="21"/>
                <w:szCs w:val="21"/>
                <w:u w:val="single"/>
              </w:rPr>
            </w:pPr>
            <w:r>
              <w:rPr>
                <w:sz w:val="21"/>
                <w:szCs w:val="21"/>
                <w:u w:val="single"/>
              </w:rPr>
              <w:t>单个吸附器处理能力（最大风量）</w:t>
            </w:r>
          </w:p>
        </w:tc>
        <w:tc>
          <w:tcPr>
            <w:tcW w:w="4740" w:type="dxa"/>
            <w:tcBorders>
              <w:tl2br w:val="nil"/>
              <w:tr2bl w:val="nil"/>
            </w:tcBorders>
            <w:vAlign w:val="center"/>
          </w:tcPr>
          <w:p w14:paraId="2C16916A">
            <w:pPr>
              <w:spacing w:line="240" w:lineRule="auto"/>
              <w:jc w:val="center"/>
              <w:rPr>
                <w:sz w:val="21"/>
                <w:szCs w:val="21"/>
                <w:u w:val="single"/>
              </w:rPr>
            </w:pPr>
            <w:r>
              <w:rPr>
                <w:sz w:val="21"/>
                <w:szCs w:val="21"/>
                <w:u w:val="single"/>
              </w:rPr>
              <w:t>2.5万m³/h</w:t>
            </w:r>
          </w:p>
        </w:tc>
      </w:tr>
      <w:tr w14:paraId="6F991B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3F051B66">
            <w:pPr>
              <w:spacing w:line="240" w:lineRule="auto"/>
              <w:jc w:val="center"/>
              <w:rPr>
                <w:sz w:val="21"/>
                <w:szCs w:val="21"/>
                <w:u w:val="single"/>
              </w:rPr>
            </w:pPr>
            <w:r>
              <w:rPr>
                <w:sz w:val="21"/>
                <w:szCs w:val="21"/>
                <w:u w:val="single"/>
              </w:rPr>
              <w:t>设备日最大回收溶剂能力</w:t>
            </w:r>
          </w:p>
        </w:tc>
        <w:tc>
          <w:tcPr>
            <w:tcW w:w="4740" w:type="dxa"/>
            <w:tcBorders>
              <w:tl2br w:val="nil"/>
              <w:tr2bl w:val="nil"/>
            </w:tcBorders>
            <w:vAlign w:val="center"/>
          </w:tcPr>
          <w:p w14:paraId="3835F041">
            <w:pPr>
              <w:spacing w:line="240" w:lineRule="auto"/>
              <w:jc w:val="center"/>
              <w:rPr>
                <w:sz w:val="21"/>
                <w:szCs w:val="21"/>
                <w:u w:val="single"/>
              </w:rPr>
            </w:pPr>
            <w:r>
              <w:rPr>
                <w:sz w:val="21"/>
                <w:szCs w:val="21"/>
                <w:u w:val="single"/>
              </w:rPr>
              <w:t>10000L/天</w:t>
            </w:r>
          </w:p>
        </w:tc>
      </w:tr>
      <w:tr w14:paraId="38B13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118DC78E">
            <w:pPr>
              <w:spacing w:line="240" w:lineRule="auto"/>
              <w:jc w:val="center"/>
              <w:rPr>
                <w:sz w:val="21"/>
                <w:szCs w:val="21"/>
                <w:u w:val="single"/>
              </w:rPr>
            </w:pPr>
            <w:r>
              <w:rPr>
                <w:sz w:val="21"/>
                <w:szCs w:val="21"/>
                <w:u w:val="single"/>
              </w:rPr>
              <w:t>设备配置</w:t>
            </w:r>
          </w:p>
        </w:tc>
        <w:tc>
          <w:tcPr>
            <w:tcW w:w="4740" w:type="dxa"/>
            <w:tcBorders>
              <w:tl2br w:val="nil"/>
              <w:tr2bl w:val="nil"/>
            </w:tcBorders>
            <w:vAlign w:val="center"/>
          </w:tcPr>
          <w:p w14:paraId="077769F1">
            <w:pPr>
              <w:spacing w:line="240" w:lineRule="auto"/>
              <w:jc w:val="center"/>
              <w:rPr>
                <w:sz w:val="21"/>
                <w:szCs w:val="21"/>
                <w:u w:val="single"/>
              </w:rPr>
            </w:pPr>
            <w:r>
              <w:rPr>
                <w:sz w:val="21"/>
                <w:szCs w:val="21"/>
                <w:u w:val="single"/>
              </w:rPr>
              <w:t>7台一级吸附罐，一套25万风量气体浓缩转轮、</w:t>
            </w:r>
          </w:p>
          <w:p w14:paraId="0773C052">
            <w:pPr>
              <w:spacing w:line="240" w:lineRule="auto"/>
              <w:jc w:val="center"/>
              <w:rPr>
                <w:sz w:val="21"/>
                <w:szCs w:val="21"/>
                <w:u w:val="single"/>
              </w:rPr>
            </w:pPr>
            <w:r>
              <w:rPr>
                <w:sz w:val="21"/>
                <w:szCs w:val="21"/>
                <w:u w:val="single"/>
              </w:rPr>
              <w:t>5套溶剂提纯设备</w:t>
            </w:r>
          </w:p>
        </w:tc>
      </w:tr>
      <w:tr w14:paraId="773FA2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01568F53">
            <w:pPr>
              <w:spacing w:line="240" w:lineRule="auto"/>
              <w:jc w:val="center"/>
              <w:rPr>
                <w:sz w:val="21"/>
                <w:szCs w:val="21"/>
                <w:u w:val="single"/>
              </w:rPr>
            </w:pPr>
            <w:r>
              <w:rPr>
                <w:sz w:val="21"/>
                <w:szCs w:val="21"/>
                <w:u w:val="single"/>
              </w:rPr>
              <w:t>配置</w:t>
            </w:r>
            <w:r>
              <w:rPr>
                <w:rFonts w:hint="eastAsia"/>
                <w:sz w:val="21"/>
                <w:szCs w:val="21"/>
                <w:u w:val="single"/>
              </w:rPr>
              <w:t>最大</w:t>
            </w:r>
            <w:r>
              <w:rPr>
                <w:sz w:val="21"/>
                <w:szCs w:val="21"/>
                <w:u w:val="single"/>
              </w:rPr>
              <w:t>处理风量</w:t>
            </w:r>
          </w:p>
        </w:tc>
        <w:tc>
          <w:tcPr>
            <w:tcW w:w="4740" w:type="dxa"/>
            <w:tcBorders>
              <w:tl2br w:val="nil"/>
              <w:tr2bl w:val="nil"/>
            </w:tcBorders>
            <w:vAlign w:val="center"/>
          </w:tcPr>
          <w:p w14:paraId="2C161CC6">
            <w:pPr>
              <w:spacing w:line="240" w:lineRule="auto"/>
              <w:jc w:val="center"/>
              <w:rPr>
                <w:sz w:val="21"/>
                <w:szCs w:val="21"/>
                <w:u w:val="single"/>
              </w:rPr>
            </w:pPr>
            <w:r>
              <w:rPr>
                <w:rFonts w:hint="eastAsia"/>
                <w:sz w:val="21"/>
                <w:szCs w:val="21"/>
                <w:u w:val="single"/>
                <w:lang w:val="en-US" w:eastAsia="zh-CN"/>
              </w:rPr>
              <w:t>38</w:t>
            </w:r>
            <w:r>
              <w:rPr>
                <w:sz w:val="21"/>
                <w:szCs w:val="21"/>
                <w:u w:val="single"/>
              </w:rPr>
              <w:t>万m³/h</w:t>
            </w:r>
          </w:p>
        </w:tc>
      </w:tr>
      <w:tr w14:paraId="32B7A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44799121">
            <w:pPr>
              <w:spacing w:line="240" w:lineRule="auto"/>
              <w:jc w:val="center"/>
              <w:rPr>
                <w:sz w:val="21"/>
                <w:szCs w:val="21"/>
                <w:u w:val="single"/>
              </w:rPr>
            </w:pPr>
            <w:r>
              <w:rPr>
                <w:sz w:val="21"/>
                <w:szCs w:val="21"/>
                <w:u w:val="single"/>
              </w:rPr>
              <w:t>回收设备占地面积和高度（长宽高、米）提纯设备占地面积和高度（长宽高、米）</w:t>
            </w:r>
          </w:p>
        </w:tc>
        <w:tc>
          <w:tcPr>
            <w:tcW w:w="4740" w:type="dxa"/>
            <w:tcBorders>
              <w:tl2br w:val="nil"/>
              <w:tr2bl w:val="nil"/>
            </w:tcBorders>
            <w:vAlign w:val="center"/>
          </w:tcPr>
          <w:p w14:paraId="70FD7AC6">
            <w:pPr>
              <w:spacing w:line="240" w:lineRule="auto"/>
              <w:jc w:val="center"/>
              <w:rPr>
                <w:sz w:val="21"/>
                <w:szCs w:val="21"/>
                <w:u w:val="single"/>
              </w:rPr>
            </w:pPr>
            <w:r>
              <w:rPr>
                <w:sz w:val="21"/>
                <w:szCs w:val="21"/>
                <w:u w:val="single"/>
              </w:rPr>
              <w:t>36长×9宽×5.5高（不含辅助设备）</w:t>
            </w:r>
          </w:p>
          <w:p w14:paraId="4044A343">
            <w:pPr>
              <w:spacing w:line="240" w:lineRule="auto"/>
              <w:jc w:val="center"/>
              <w:rPr>
                <w:sz w:val="21"/>
                <w:szCs w:val="21"/>
                <w:u w:val="single"/>
              </w:rPr>
            </w:pPr>
            <w:r>
              <w:rPr>
                <w:sz w:val="21"/>
                <w:szCs w:val="21"/>
                <w:u w:val="single"/>
              </w:rPr>
              <w:t>10长×5宽×5高（不含辅助设备）</w:t>
            </w:r>
          </w:p>
        </w:tc>
      </w:tr>
      <w:tr w14:paraId="5A1E90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681B6F4C">
            <w:pPr>
              <w:spacing w:line="240" w:lineRule="auto"/>
              <w:jc w:val="center"/>
              <w:rPr>
                <w:sz w:val="21"/>
                <w:szCs w:val="21"/>
                <w:u w:val="single"/>
              </w:rPr>
            </w:pPr>
            <w:r>
              <w:rPr>
                <w:sz w:val="21"/>
                <w:szCs w:val="21"/>
                <w:u w:val="single"/>
              </w:rPr>
              <w:t>设备的总重量（T)</w:t>
            </w:r>
          </w:p>
        </w:tc>
        <w:tc>
          <w:tcPr>
            <w:tcW w:w="4740" w:type="dxa"/>
            <w:tcBorders>
              <w:tl2br w:val="nil"/>
              <w:tr2bl w:val="nil"/>
            </w:tcBorders>
            <w:vAlign w:val="center"/>
          </w:tcPr>
          <w:p w14:paraId="181062DC">
            <w:pPr>
              <w:spacing w:line="240" w:lineRule="auto"/>
              <w:jc w:val="center"/>
              <w:rPr>
                <w:sz w:val="21"/>
                <w:szCs w:val="21"/>
                <w:u w:val="single"/>
              </w:rPr>
            </w:pPr>
            <w:r>
              <w:rPr>
                <w:sz w:val="21"/>
                <w:szCs w:val="21"/>
                <w:u w:val="single"/>
              </w:rPr>
              <w:t>约150T（含辅助设备）</w:t>
            </w:r>
          </w:p>
        </w:tc>
      </w:tr>
      <w:tr w14:paraId="59A9BF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11466DDC">
            <w:pPr>
              <w:spacing w:line="240" w:lineRule="auto"/>
              <w:jc w:val="center"/>
              <w:rPr>
                <w:sz w:val="21"/>
                <w:szCs w:val="21"/>
                <w:u w:val="single"/>
              </w:rPr>
            </w:pPr>
            <w:r>
              <w:rPr>
                <w:sz w:val="21"/>
                <w:szCs w:val="21"/>
                <w:u w:val="single"/>
              </w:rPr>
              <w:t>单套设备中最重的部件的重量（T)</w:t>
            </w:r>
          </w:p>
        </w:tc>
        <w:tc>
          <w:tcPr>
            <w:tcW w:w="4740" w:type="dxa"/>
            <w:tcBorders>
              <w:tl2br w:val="nil"/>
              <w:tr2bl w:val="nil"/>
            </w:tcBorders>
            <w:vAlign w:val="center"/>
          </w:tcPr>
          <w:p w14:paraId="0C594A55">
            <w:pPr>
              <w:spacing w:line="240" w:lineRule="auto"/>
              <w:jc w:val="center"/>
              <w:rPr>
                <w:sz w:val="21"/>
                <w:szCs w:val="21"/>
                <w:u w:val="single"/>
              </w:rPr>
            </w:pPr>
            <w:r>
              <w:rPr>
                <w:sz w:val="21"/>
                <w:szCs w:val="21"/>
                <w:u w:val="single"/>
              </w:rPr>
              <w:t>约20T</w:t>
            </w:r>
          </w:p>
        </w:tc>
      </w:tr>
      <w:tr w14:paraId="3128C2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4DCBDEF7">
            <w:pPr>
              <w:spacing w:line="240" w:lineRule="auto"/>
              <w:jc w:val="center"/>
              <w:rPr>
                <w:sz w:val="21"/>
                <w:szCs w:val="21"/>
                <w:u w:val="single"/>
              </w:rPr>
            </w:pPr>
            <w:r>
              <w:rPr>
                <w:sz w:val="21"/>
                <w:szCs w:val="21"/>
                <w:u w:val="single"/>
              </w:rPr>
              <w:t>设备总装机功率（KW）</w:t>
            </w:r>
          </w:p>
        </w:tc>
        <w:tc>
          <w:tcPr>
            <w:tcW w:w="4740" w:type="dxa"/>
            <w:tcBorders>
              <w:tl2br w:val="nil"/>
              <w:tr2bl w:val="nil"/>
            </w:tcBorders>
            <w:vAlign w:val="center"/>
          </w:tcPr>
          <w:p w14:paraId="0A09757C">
            <w:pPr>
              <w:spacing w:line="240" w:lineRule="auto"/>
              <w:jc w:val="center"/>
              <w:rPr>
                <w:sz w:val="21"/>
                <w:szCs w:val="21"/>
                <w:u w:val="single"/>
              </w:rPr>
            </w:pPr>
            <w:r>
              <w:rPr>
                <w:sz w:val="21"/>
                <w:szCs w:val="21"/>
                <w:u w:val="single"/>
              </w:rPr>
              <w:t>300kw（不含外排风机，导热油加热方式）</w:t>
            </w:r>
          </w:p>
        </w:tc>
      </w:tr>
      <w:tr w14:paraId="4EFAEA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793E7840">
            <w:pPr>
              <w:spacing w:line="240" w:lineRule="auto"/>
              <w:jc w:val="center"/>
              <w:rPr>
                <w:sz w:val="21"/>
                <w:szCs w:val="21"/>
                <w:u w:val="single"/>
              </w:rPr>
            </w:pPr>
            <w:r>
              <w:rPr>
                <w:sz w:val="21"/>
                <w:szCs w:val="21"/>
                <w:u w:val="single"/>
              </w:rPr>
              <w:t>平均每天可解析次数</w:t>
            </w:r>
          </w:p>
        </w:tc>
        <w:tc>
          <w:tcPr>
            <w:tcW w:w="4740" w:type="dxa"/>
            <w:tcBorders>
              <w:tl2br w:val="nil"/>
              <w:tr2bl w:val="nil"/>
            </w:tcBorders>
            <w:vAlign w:val="center"/>
          </w:tcPr>
          <w:p w14:paraId="7D92305F">
            <w:pPr>
              <w:spacing w:line="240" w:lineRule="auto"/>
              <w:jc w:val="center"/>
              <w:rPr>
                <w:sz w:val="21"/>
                <w:szCs w:val="21"/>
                <w:u w:val="single"/>
              </w:rPr>
            </w:pPr>
            <w:r>
              <w:rPr>
                <w:sz w:val="21"/>
                <w:szCs w:val="21"/>
                <w:u w:val="single"/>
              </w:rPr>
              <w:t>5次</w:t>
            </w:r>
          </w:p>
        </w:tc>
      </w:tr>
      <w:tr w14:paraId="74221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50AC7A7D">
            <w:pPr>
              <w:spacing w:line="240" w:lineRule="auto"/>
              <w:jc w:val="center"/>
              <w:rPr>
                <w:sz w:val="21"/>
                <w:szCs w:val="21"/>
                <w:u w:val="single"/>
              </w:rPr>
            </w:pPr>
            <w:r>
              <w:rPr>
                <w:sz w:val="21"/>
                <w:szCs w:val="21"/>
                <w:u w:val="single"/>
              </w:rPr>
              <w:t>平均单次解析量（T）</w:t>
            </w:r>
          </w:p>
        </w:tc>
        <w:tc>
          <w:tcPr>
            <w:tcW w:w="4740" w:type="dxa"/>
            <w:tcBorders>
              <w:tl2br w:val="nil"/>
              <w:tr2bl w:val="nil"/>
            </w:tcBorders>
            <w:vAlign w:val="center"/>
          </w:tcPr>
          <w:p w14:paraId="600B7176">
            <w:pPr>
              <w:spacing w:line="240" w:lineRule="auto"/>
              <w:jc w:val="center"/>
              <w:rPr>
                <w:sz w:val="21"/>
                <w:szCs w:val="21"/>
                <w:u w:val="single"/>
              </w:rPr>
            </w:pPr>
            <w:r>
              <w:rPr>
                <w:sz w:val="21"/>
                <w:szCs w:val="21"/>
                <w:u w:val="single"/>
              </w:rPr>
              <w:t>约1800L-2200L</w:t>
            </w:r>
          </w:p>
        </w:tc>
      </w:tr>
      <w:tr w14:paraId="4C7C8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564EA857">
            <w:pPr>
              <w:spacing w:line="240" w:lineRule="auto"/>
              <w:jc w:val="center"/>
              <w:rPr>
                <w:sz w:val="21"/>
                <w:szCs w:val="21"/>
                <w:u w:val="single"/>
              </w:rPr>
            </w:pPr>
            <w:r>
              <w:rPr>
                <w:sz w:val="21"/>
                <w:szCs w:val="21"/>
                <w:u w:val="single"/>
              </w:rPr>
              <w:t>设备所需能源</w:t>
            </w:r>
          </w:p>
        </w:tc>
        <w:tc>
          <w:tcPr>
            <w:tcW w:w="4740" w:type="dxa"/>
            <w:tcBorders>
              <w:tl2br w:val="nil"/>
              <w:tr2bl w:val="nil"/>
            </w:tcBorders>
            <w:vAlign w:val="center"/>
          </w:tcPr>
          <w:p w14:paraId="6B8B6BC6">
            <w:pPr>
              <w:spacing w:line="240" w:lineRule="auto"/>
              <w:jc w:val="center"/>
              <w:rPr>
                <w:sz w:val="21"/>
                <w:szCs w:val="21"/>
                <w:u w:val="single"/>
              </w:rPr>
            </w:pPr>
            <w:r>
              <w:rPr>
                <w:sz w:val="21"/>
                <w:szCs w:val="21"/>
                <w:u w:val="single"/>
              </w:rPr>
              <w:t>自来水，压缩空气，电，天燃气（高温导热油）</w:t>
            </w:r>
          </w:p>
        </w:tc>
      </w:tr>
      <w:tr w14:paraId="69B54C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45" w:type="dxa"/>
            <w:tcBorders>
              <w:tl2br w:val="nil"/>
              <w:tr2bl w:val="nil"/>
            </w:tcBorders>
            <w:vAlign w:val="center"/>
          </w:tcPr>
          <w:p w14:paraId="4B02594B">
            <w:pPr>
              <w:spacing w:line="240" w:lineRule="auto"/>
              <w:jc w:val="center"/>
              <w:rPr>
                <w:sz w:val="21"/>
                <w:szCs w:val="21"/>
                <w:u w:val="single"/>
              </w:rPr>
            </w:pPr>
            <w:r>
              <w:rPr>
                <w:sz w:val="21"/>
                <w:szCs w:val="21"/>
                <w:u w:val="single"/>
              </w:rPr>
              <w:t>设备净化效率</w:t>
            </w:r>
          </w:p>
        </w:tc>
        <w:tc>
          <w:tcPr>
            <w:tcW w:w="4740" w:type="dxa"/>
            <w:tcBorders>
              <w:tl2br w:val="nil"/>
              <w:tr2bl w:val="nil"/>
            </w:tcBorders>
            <w:vAlign w:val="center"/>
          </w:tcPr>
          <w:p w14:paraId="183CF237">
            <w:pPr>
              <w:spacing w:line="240" w:lineRule="auto"/>
              <w:jc w:val="center"/>
              <w:rPr>
                <w:sz w:val="21"/>
                <w:szCs w:val="21"/>
                <w:u w:val="single"/>
              </w:rPr>
            </w:pPr>
            <w:r>
              <w:rPr>
                <w:sz w:val="21"/>
                <w:szCs w:val="21"/>
                <w:u w:val="single"/>
              </w:rPr>
              <w:t>不小于98%</w:t>
            </w:r>
          </w:p>
        </w:tc>
      </w:tr>
    </w:tbl>
    <w:p w14:paraId="3666E2ED">
      <w:pPr>
        <w:ind w:firstLine="480"/>
        <w:rPr>
          <w:u w:val="single"/>
        </w:rPr>
      </w:pPr>
      <w:r>
        <w:rPr>
          <w:rFonts w:hint="eastAsia" w:ascii="宋体" w:hAnsi="宋体" w:cs="宋体"/>
          <w:u w:val="single"/>
        </w:rPr>
        <w:t>⑸</w:t>
      </w:r>
      <w:r>
        <w:rPr>
          <w:rFonts w:hint="eastAsia"/>
          <w:u w:val="single"/>
        </w:rPr>
        <w:t>活性炭性能参数</w:t>
      </w:r>
    </w:p>
    <w:p w14:paraId="33327D1C">
      <w:pPr>
        <w:ind w:firstLine="480"/>
        <w:rPr>
          <w:color w:val="FF0000"/>
        </w:rPr>
      </w:pPr>
      <w:r>
        <w:drawing>
          <wp:inline distT="0" distB="0" distL="114300" distR="114300">
            <wp:extent cx="4108450" cy="5293360"/>
            <wp:effectExtent l="0" t="0" r="6350" b="2540"/>
            <wp:docPr id="60" name="图片 60" descr="91a69d9b3adb7ed9b608931547264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1a69d9b3adb7ed9b608931547264a2"/>
                    <pic:cNvPicPr>
                      <a:picLocks noChangeAspect="1"/>
                    </pic:cNvPicPr>
                  </pic:nvPicPr>
                  <pic:blipFill>
                    <a:blip r:embed="rId145"/>
                    <a:srcRect t="15337" b="12209"/>
                    <a:stretch>
                      <a:fillRect/>
                    </a:stretch>
                  </pic:blipFill>
                  <pic:spPr>
                    <a:xfrm>
                      <a:off x="0" y="0"/>
                      <a:ext cx="4108450" cy="5293360"/>
                    </a:xfrm>
                    <a:prstGeom prst="rect">
                      <a:avLst/>
                    </a:prstGeom>
                  </pic:spPr>
                </pic:pic>
              </a:graphicData>
            </a:graphic>
          </wp:inline>
        </w:drawing>
      </w:r>
    </w:p>
    <w:p w14:paraId="078FE1D7">
      <w:pPr>
        <w:ind w:firstLine="480"/>
        <w:rPr>
          <w:u w:val="single"/>
        </w:rPr>
      </w:pPr>
      <w:r>
        <w:rPr>
          <w:u w:val="single"/>
        </w:rPr>
        <w:t>⑹活性炭吸附停留时间：</w:t>
      </w:r>
    </w:p>
    <w:p w14:paraId="11A069E7">
      <w:pPr>
        <w:ind w:firstLine="480"/>
        <w:rPr>
          <w:u w:val="single"/>
        </w:rPr>
      </w:pPr>
      <w:r>
        <w:rPr>
          <w:rFonts w:hint="eastAsia"/>
          <w:u w:val="single"/>
        </w:rPr>
        <w:t>共配置7个活性炭吸附箱，</w:t>
      </w:r>
      <w:r>
        <w:rPr>
          <w:u w:val="single"/>
        </w:rPr>
        <w:t>每个活性炭箱体</w:t>
      </w:r>
      <w:r>
        <w:rPr>
          <w:rFonts w:hint="eastAsia"/>
          <w:u w:val="single"/>
        </w:rPr>
        <w:t>容积</w:t>
      </w:r>
      <w:r>
        <w:rPr>
          <w:u w:val="single"/>
        </w:rPr>
        <w:t>为</w:t>
      </w:r>
      <w:r>
        <w:rPr>
          <w:rFonts w:hint="eastAsia"/>
          <w:u w:val="single"/>
        </w:rPr>
        <w:t>10t</w:t>
      </w:r>
      <w:r>
        <w:rPr>
          <w:u w:val="single"/>
        </w:rPr>
        <w:t>，单个吸附器处理风量：25000m³/h，吸附器排风面积22.5平方。吸附风速0.3m/s。活性炭层高度1.2m，VOC气体通过时间=4s。</w:t>
      </w:r>
    </w:p>
    <w:p w14:paraId="5DED20C9">
      <w:pPr>
        <w:ind w:firstLine="480"/>
      </w:pPr>
      <w:r>
        <w:rPr>
          <w:rFonts w:hint="eastAsia" w:ascii="宋体" w:hAnsi="宋体" w:cs="宋体"/>
        </w:rPr>
        <w:t>⑺</w:t>
      </w:r>
      <w:r>
        <w:t>3套后处理提纯设备用于处理印刷回收溶剂</w:t>
      </w:r>
    </w:p>
    <w:p w14:paraId="2E5D16FF">
      <w:pPr>
        <w:pStyle w:val="9"/>
        <w:spacing w:line="360" w:lineRule="auto"/>
        <w:ind w:firstLine="480"/>
      </w:pPr>
      <w:r>
        <w:t>本项目印刷回收配套三套TBSY750型溶剂后处理设备。</w:t>
      </w:r>
    </w:p>
    <w:p w14:paraId="2A1FD808">
      <w:pPr>
        <w:pStyle w:val="9"/>
        <w:spacing w:line="360" w:lineRule="auto"/>
        <w:ind w:firstLine="480"/>
      </w:pPr>
      <w:r>
        <w:t>后处理设备包含脱酸、脱水、精馏提纯等功能。</w:t>
      </w:r>
    </w:p>
    <w:p w14:paraId="3A544F43">
      <w:pPr>
        <w:pStyle w:val="9"/>
        <w:spacing w:line="360" w:lineRule="auto"/>
        <w:ind w:firstLine="480"/>
      </w:pPr>
      <w:r>
        <w:t>TBSY750型溶剂回收设备基本参数配置如下：</w:t>
      </w:r>
    </w:p>
    <w:p w14:paraId="36BA9987">
      <w:pPr>
        <w:pStyle w:val="9"/>
        <w:spacing w:line="360" w:lineRule="auto"/>
        <w:ind w:firstLine="480"/>
      </w:pPr>
      <w:r>
        <w:t>工艺方案：脱酸、脱水、提纯分离；</w:t>
      </w:r>
    </w:p>
    <w:p w14:paraId="7FBB55A8">
      <w:pPr>
        <w:pStyle w:val="9"/>
        <w:spacing w:line="360" w:lineRule="auto"/>
        <w:ind w:firstLine="480"/>
      </w:pPr>
      <w:r>
        <w:t>单套尺寸：5m(长)5m(宽)5m(高)；</w:t>
      </w:r>
    </w:p>
    <w:p w14:paraId="7045993D">
      <w:pPr>
        <w:pStyle w:val="9"/>
        <w:spacing w:line="360" w:lineRule="auto"/>
        <w:ind w:firstLine="480"/>
      </w:pPr>
      <w:r>
        <w:t>设备重量：约15T（运载）；</w:t>
      </w:r>
    </w:p>
    <w:p w14:paraId="3AD64B61">
      <w:pPr>
        <w:pStyle w:val="9"/>
        <w:spacing w:line="360" w:lineRule="auto"/>
        <w:ind w:firstLine="480"/>
      </w:pPr>
      <w:r>
        <w:t>印刷提纯产品1：混合溶剂。</w:t>
      </w:r>
    </w:p>
    <w:p w14:paraId="349E510E">
      <w:pPr>
        <w:pStyle w:val="9"/>
        <w:spacing w:line="360" w:lineRule="auto"/>
        <w:ind w:firstLine="480"/>
      </w:pPr>
      <w:r>
        <w:t>回收后的溶剂经提纯后不分离，直接车间回用，用于色墨。</w:t>
      </w:r>
    </w:p>
    <w:p w14:paraId="7F67F092">
      <w:pPr>
        <w:pStyle w:val="9"/>
        <w:spacing w:line="360" w:lineRule="auto"/>
        <w:ind w:firstLine="480"/>
      </w:pPr>
      <w:r>
        <w:t>印刷提纯产品2：轻沸溶剂。</w:t>
      </w:r>
    </w:p>
    <w:p w14:paraId="7DE12092">
      <w:pPr>
        <w:pStyle w:val="9"/>
        <w:spacing w:line="360" w:lineRule="auto"/>
        <w:ind w:firstLine="480"/>
      </w:pPr>
      <w:r>
        <w:t>回收后的溶剂经提纯后分离出一部分轻沸溶剂，用于白墨。</w:t>
      </w:r>
    </w:p>
    <w:p w14:paraId="4749F155">
      <w:pPr>
        <w:pStyle w:val="38"/>
        <w:ind w:firstLine="480"/>
        <w:rPr>
          <w:rFonts w:ascii="Times New Roman" w:hAnsi="Times New Roman" w:eastAsia="宋体" w:cs="Times New Roman"/>
          <w:color w:val="auto"/>
        </w:rPr>
      </w:pPr>
      <w:r>
        <w:rPr>
          <w:rFonts w:hint="eastAsia" w:hAnsi="宋体" w:eastAsia="宋体"/>
          <w:color w:val="auto"/>
        </w:rPr>
        <w:t>⑻</w:t>
      </w:r>
      <w:r>
        <w:rPr>
          <w:rFonts w:ascii="Times New Roman" w:hAnsi="Times New Roman" w:eastAsia="宋体" w:cs="Times New Roman"/>
          <w:color w:val="auto"/>
        </w:rPr>
        <w:t>2套后处理提纯设备用于复合回收溶剂</w:t>
      </w:r>
    </w:p>
    <w:p w14:paraId="28E03FBB">
      <w:pPr>
        <w:ind w:firstLine="480"/>
        <w:outlineLvl w:val="4"/>
      </w:pPr>
      <w:r>
        <w:t>设计两套溶剂提纯设备（TBSY750），TBSY750型溶剂回收设备基本参数配置如下：</w:t>
      </w:r>
    </w:p>
    <w:p w14:paraId="73EC3844">
      <w:pPr>
        <w:ind w:firstLine="480"/>
        <w:outlineLvl w:val="4"/>
      </w:pPr>
      <w:r>
        <w:t>工艺方案：脱酸、脱水、提纯分离；</w:t>
      </w:r>
    </w:p>
    <w:p w14:paraId="1999A730">
      <w:pPr>
        <w:ind w:firstLine="480"/>
        <w:outlineLvl w:val="4"/>
      </w:pPr>
      <w:r>
        <w:t>单套尺寸：7m(长)5m(宽)5m(高)；</w:t>
      </w:r>
    </w:p>
    <w:p w14:paraId="3A3834C5">
      <w:pPr>
        <w:ind w:firstLine="480"/>
        <w:outlineLvl w:val="4"/>
      </w:pPr>
      <w:r>
        <w:t>设备重量：约15T（运载）；</w:t>
      </w:r>
    </w:p>
    <w:p w14:paraId="07BB79A7">
      <w:pPr>
        <w:pStyle w:val="40"/>
        <w:spacing w:line="360" w:lineRule="auto"/>
        <w:ind w:firstLine="480"/>
        <w:rPr>
          <w:rFonts w:ascii="Times New Roman"/>
        </w:rPr>
      </w:pPr>
      <w:r>
        <w:rPr>
          <w:rFonts w:ascii="Times New Roman"/>
        </w:rPr>
        <w:t>复合提纯产品：乙酸乙酯。把回收后的复合乙酯溶剂提纯分离后返回</w:t>
      </w:r>
      <w:r>
        <w:rPr>
          <w:rFonts w:hint="eastAsia" w:ascii="Times New Roman"/>
        </w:rPr>
        <w:t>生产</w:t>
      </w:r>
      <w:r>
        <w:rPr>
          <w:rFonts w:ascii="Times New Roman"/>
        </w:rPr>
        <w:t>。</w:t>
      </w:r>
    </w:p>
    <w:p w14:paraId="755F6CC4">
      <w:pPr>
        <w:ind w:firstLine="480"/>
      </w:pPr>
      <w:r>
        <w:rPr>
          <w:rFonts w:hint="eastAsia"/>
        </w:rPr>
        <w:t>3.溶剂回收设备特点</w:t>
      </w:r>
    </w:p>
    <w:p w14:paraId="476C0D24">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转轮浓缩：采用高效疏水型沸石转轮有效处理印刷机低浓度的环境排风，确保VOCs气体浓缩后高效吸附回收和废气净化达标排放。</w:t>
      </w:r>
    </w:p>
    <w:p w14:paraId="00125B86">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高浓度补偿：利用转轮浓缩的高浓度风对吸附器进行补偿吸附，提高吸附器吸附效率。</w:t>
      </w:r>
    </w:p>
    <w:p w14:paraId="5EFBC522">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溶剂回收专用活性炭：采用环保措施公司专门研发的针对彩印行业使用的吸附回收关键材料活性炭，确保回收的高效率及长久的实效性。</w:t>
      </w:r>
    </w:p>
    <w:p w14:paraId="13AE520B">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深冷回收：采用深冷辅助冷凝回收，降低循环返回风浓度确保吸附器解析彻底。</w:t>
      </w:r>
    </w:p>
    <w:p w14:paraId="150F8CE4">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节能换热：采用高效节能换热系统，有效降低整套回收设备能耗。</w:t>
      </w:r>
    </w:p>
    <w:p w14:paraId="1192DFFF">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溶剂提纯：</w:t>
      </w:r>
      <w:r>
        <w:rPr>
          <w:rFonts w:hint="eastAsia" w:hAnsi="宋体" w:eastAsia="宋体"/>
          <w:color w:val="auto"/>
        </w:rPr>
        <w:t>溶剂稀释剂和油墨中不能含有苯类、酮类、乙醇、甲醇、丙二醇甲醚等类型溶剂。油墨更换成组份比较简单、种类少的组份。如三组份或两组份的。</w:t>
      </w:r>
      <w:r>
        <w:rPr>
          <w:rFonts w:hint="eastAsia" w:ascii="Times New Roman" w:hAnsi="Times New Roman" w:eastAsia="宋体" w:cs="Times New Roman"/>
          <w:color w:val="auto"/>
        </w:rPr>
        <w:t>采用精馏脱酸工艺，提高产出效率、保证产品品质。</w:t>
      </w:r>
    </w:p>
    <w:p w14:paraId="54BA81B7">
      <w:pPr>
        <w:ind w:firstLine="480"/>
        <w:rPr>
          <w:rFonts w:hint="eastAsia" w:eastAsia="宋体"/>
          <w:u w:val="single"/>
          <w:lang w:val="en-US" w:eastAsia="zh-CN"/>
        </w:rPr>
      </w:pPr>
      <w:r>
        <w:rPr>
          <w:rFonts w:hint="eastAsia"/>
          <w:u w:val="single"/>
        </w:rPr>
        <w:t>4.废气处理方式可行性分析</w:t>
      </w:r>
      <w:r>
        <w:rPr>
          <w:rFonts w:hint="eastAsia"/>
          <w:u w:val="single"/>
          <w:lang w:val="en-US" w:eastAsia="zh-CN"/>
        </w:rPr>
        <w:t xml:space="preserve"> </w:t>
      </w:r>
    </w:p>
    <w:p w14:paraId="0C42A975">
      <w:pPr>
        <w:ind w:firstLine="480"/>
        <w:rPr>
          <w:u w:val="single"/>
        </w:rPr>
      </w:pPr>
      <w:r>
        <w:rPr>
          <w:rFonts w:hint="eastAsia" w:ascii="宋体" w:hAnsi="宋体" w:cs="宋体"/>
          <w:u w:val="single"/>
        </w:rPr>
        <w:t>⑴</w:t>
      </w:r>
      <w:r>
        <w:rPr>
          <w:rFonts w:hint="eastAsia"/>
          <w:u w:val="single"/>
        </w:rPr>
        <w:t>环保措施可行性分析</w:t>
      </w:r>
    </w:p>
    <w:p w14:paraId="3A70488F">
      <w:pPr>
        <w:ind w:firstLine="480"/>
        <w:rPr>
          <w:kern w:val="0"/>
          <w:u w:val="single"/>
          <w:lang w:bidi="ar"/>
        </w:rPr>
      </w:pPr>
      <w:r>
        <w:rPr>
          <w:rFonts w:hint="eastAsia"/>
          <w:u w:val="single"/>
        </w:rPr>
        <w:t>生态环境部于2020年1月发布了《印刷工业污染防治可行技术指南》（HJ1089-2020）、2020年4月发布了《包装印刷业有机废气治理工程技术规范（征求意见稿）》</w:t>
      </w:r>
      <w:r>
        <w:rPr>
          <w:kern w:val="0"/>
          <w:u w:val="single"/>
          <w:lang w:bidi="ar"/>
        </w:rPr>
        <w:t>上述文件明确了成分简单、具有物质回收价值，宜采用“颗粒活性炭/活性炭纤维吸附+水蒸气/热氮气再生+冷凝回收”工艺进行治理。回收的有机溶剂可用作油墨稀释剂和设备擦洗使用，有足够的稀释能力。该法工艺成熟简单、安全可靠、装置灵活性强，可适用于多种复杂物系，属废有机溶剂回收常用方法。通过对照《排污许可证申请与核发技术规范 印刷工业》（HJ1066-2019）表A.1废气治理可行技术参考表</w:t>
      </w:r>
      <w:r>
        <w:rPr>
          <w:rFonts w:hint="eastAsia"/>
          <w:kern w:val="0"/>
          <w:u w:val="single"/>
          <w:lang w:bidi="ar"/>
        </w:rPr>
        <w:t>，</w:t>
      </w:r>
      <w:r>
        <w:rPr>
          <w:kern w:val="0"/>
          <w:u w:val="single"/>
          <w:lang w:bidi="ar"/>
        </w:rPr>
        <w:t>项目拟采用的</w:t>
      </w:r>
      <w:r>
        <w:rPr>
          <w:rFonts w:hint="eastAsia"/>
          <w:kern w:val="0"/>
          <w:u w:val="single"/>
          <w:lang w:bidi="ar"/>
        </w:rPr>
        <w:t>“</w:t>
      </w:r>
      <w:r>
        <w:rPr>
          <w:kern w:val="0"/>
          <w:u w:val="single"/>
          <w:lang w:bidi="ar"/>
        </w:rPr>
        <w:t>吸附浓缩+溶剂回收</w:t>
      </w:r>
      <w:r>
        <w:rPr>
          <w:rFonts w:hint="eastAsia"/>
          <w:kern w:val="0"/>
          <w:u w:val="single"/>
          <w:lang w:bidi="ar"/>
        </w:rPr>
        <w:t>”</w:t>
      </w:r>
      <w:r>
        <w:rPr>
          <w:kern w:val="0"/>
          <w:u w:val="single"/>
          <w:lang w:bidi="ar"/>
        </w:rPr>
        <w:t>属于可行技术</w:t>
      </w:r>
      <w:r>
        <w:rPr>
          <w:rFonts w:hint="eastAsia"/>
          <w:kern w:val="0"/>
          <w:u w:val="single"/>
          <w:lang w:bidi="ar"/>
        </w:rPr>
        <w:t>，</w:t>
      </w:r>
      <w:r>
        <w:rPr>
          <w:kern w:val="0"/>
          <w:u w:val="single"/>
          <w:lang w:bidi="ar"/>
        </w:rPr>
        <w:t>具体对比见下表：</w:t>
      </w:r>
    </w:p>
    <w:p w14:paraId="5E84C97B">
      <w:pPr>
        <w:pStyle w:val="51"/>
        <w:numPr>
          <w:ilvl w:val="5"/>
          <w:numId w:val="0"/>
        </w:numPr>
        <w:tabs>
          <w:tab w:val="left" w:pos="4395"/>
        </w:tabs>
        <w:spacing w:before="156"/>
        <w:ind w:left="4700" w:leftChars="0" w:hanging="3260" w:firstLineChars="0"/>
        <w:rPr>
          <w:u w:val="single"/>
        </w:rPr>
      </w:pPr>
      <w:r>
        <w:rPr>
          <w:rFonts w:hint="default" w:ascii="宋体" w:hAnsi="宋体" w:eastAsia="宋体" w:cs="宋体"/>
          <w:b/>
          <w:bCs/>
          <w:color w:val="auto"/>
          <w:kern w:val="2"/>
          <w:sz w:val="21"/>
          <w:szCs w:val="21"/>
          <w:u w:val="single"/>
          <w:lang w:val="en-US" w:eastAsia="zh-CN" w:bidi="ar-SA"/>
        </w:rPr>
        <w:t xml:space="preserve">表8.2-3 </w:t>
      </w:r>
      <w:r>
        <w:rPr>
          <w:rFonts w:hint="eastAsia"/>
          <w:u w:val="single"/>
        </w:rPr>
        <w:t>项目废气治理措施可行性对照分析表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745"/>
        <w:gridCol w:w="3652"/>
        <w:gridCol w:w="1705"/>
      </w:tblGrid>
      <w:tr w14:paraId="79DE55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tl2br w:val="nil"/>
              <w:tr2bl w:val="nil"/>
            </w:tcBorders>
            <w:vAlign w:val="center"/>
          </w:tcPr>
          <w:p w14:paraId="090BF2A3">
            <w:pPr>
              <w:spacing w:line="240" w:lineRule="auto"/>
              <w:jc w:val="center"/>
              <w:rPr>
                <w:sz w:val="21"/>
                <w:szCs w:val="21"/>
                <w:u w:val="single"/>
              </w:rPr>
            </w:pPr>
          </w:p>
        </w:tc>
        <w:tc>
          <w:tcPr>
            <w:tcW w:w="1745" w:type="dxa"/>
            <w:tcBorders>
              <w:tl2br w:val="nil"/>
              <w:tr2bl w:val="nil"/>
            </w:tcBorders>
            <w:vAlign w:val="center"/>
          </w:tcPr>
          <w:p w14:paraId="5DACEEEF">
            <w:pPr>
              <w:spacing w:line="240" w:lineRule="auto"/>
              <w:jc w:val="center"/>
              <w:rPr>
                <w:sz w:val="21"/>
                <w:szCs w:val="21"/>
                <w:u w:val="single"/>
              </w:rPr>
            </w:pPr>
            <w:r>
              <w:rPr>
                <w:rFonts w:hint="eastAsia"/>
                <w:sz w:val="21"/>
                <w:szCs w:val="21"/>
                <w:u w:val="single"/>
              </w:rPr>
              <w:t>工艺环节</w:t>
            </w:r>
          </w:p>
        </w:tc>
        <w:tc>
          <w:tcPr>
            <w:tcW w:w="3652" w:type="dxa"/>
            <w:tcBorders>
              <w:tl2br w:val="nil"/>
              <w:tr2bl w:val="nil"/>
            </w:tcBorders>
            <w:vAlign w:val="center"/>
          </w:tcPr>
          <w:p w14:paraId="693F7B22">
            <w:pPr>
              <w:spacing w:line="240" w:lineRule="auto"/>
              <w:jc w:val="center"/>
              <w:rPr>
                <w:sz w:val="21"/>
                <w:szCs w:val="21"/>
                <w:u w:val="single"/>
              </w:rPr>
            </w:pPr>
            <w:r>
              <w:rPr>
                <w:rFonts w:hint="eastAsia"/>
                <w:sz w:val="21"/>
                <w:szCs w:val="21"/>
                <w:u w:val="single"/>
              </w:rPr>
              <w:t>废气来源</w:t>
            </w:r>
          </w:p>
        </w:tc>
        <w:tc>
          <w:tcPr>
            <w:tcW w:w="1705" w:type="dxa"/>
            <w:tcBorders>
              <w:tl2br w:val="nil"/>
              <w:tr2bl w:val="nil"/>
            </w:tcBorders>
            <w:vAlign w:val="center"/>
          </w:tcPr>
          <w:p w14:paraId="6ADB44E6">
            <w:pPr>
              <w:spacing w:line="240" w:lineRule="auto"/>
              <w:jc w:val="center"/>
              <w:rPr>
                <w:sz w:val="21"/>
                <w:szCs w:val="21"/>
                <w:u w:val="single"/>
              </w:rPr>
            </w:pPr>
            <w:r>
              <w:rPr>
                <w:rFonts w:hint="eastAsia"/>
                <w:sz w:val="21"/>
                <w:szCs w:val="21"/>
                <w:u w:val="single"/>
              </w:rPr>
              <w:t>可行技术</w:t>
            </w:r>
          </w:p>
        </w:tc>
      </w:tr>
      <w:tr w14:paraId="35CD0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tl2br w:val="nil"/>
              <w:tr2bl w:val="nil"/>
            </w:tcBorders>
            <w:vAlign w:val="center"/>
          </w:tcPr>
          <w:p w14:paraId="5971CE2C">
            <w:pPr>
              <w:spacing w:line="240" w:lineRule="auto"/>
              <w:jc w:val="center"/>
              <w:rPr>
                <w:sz w:val="21"/>
                <w:szCs w:val="21"/>
                <w:u w:val="single"/>
              </w:rPr>
            </w:pPr>
            <w:r>
              <w:rPr>
                <w:rFonts w:hint="eastAsia"/>
                <w:sz w:val="21"/>
                <w:szCs w:val="21"/>
                <w:u w:val="single"/>
              </w:rPr>
              <w:t>HJ1066-2019表A.1</w:t>
            </w:r>
          </w:p>
        </w:tc>
        <w:tc>
          <w:tcPr>
            <w:tcW w:w="1745" w:type="dxa"/>
            <w:tcBorders>
              <w:tl2br w:val="nil"/>
              <w:tr2bl w:val="nil"/>
            </w:tcBorders>
            <w:vAlign w:val="center"/>
          </w:tcPr>
          <w:p w14:paraId="035D0B4B">
            <w:pPr>
              <w:spacing w:line="240" w:lineRule="auto"/>
              <w:jc w:val="center"/>
              <w:rPr>
                <w:sz w:val="21"/>
                <w:szCs w:val="21"/>
                <w:u w:val="single"/>
              </w:rPr>
            </w:pPr>
            <w:r>
              <w:rPr>
                <w:rFonts w:hint="eastAsia"/>
                <w:sz w:val="21"/>
                <w:szCs w:val="21"/>
                <w:u w:val="single"/>
              </w:rPr>
              <w:t>印刷加工、印刷和复合涂布等其他生产单元</w:t>
            </w:r>
          </w:p>
        </w:tc>
        <w:tc>
          <w:tcPr>
            <w:tcW w:w="3652" w:type="dxa"/>
            <w:tcBorders>
              <w:tl2br w:val="nil"/>
              <w:tr2bl w:val="nil"/>
            </w:tcBorders>
            <w:vAlign w:val="center"/>
          </w:tcPr>
          <w:p w14:paraId="516193C2">
            <w:pPr>
              <w:spacing w:line="240" w:lineRule="auto"/>
              <w:jc w:val="center"/>
              <w:rPr>
                <w:sz w:val="21"/>
                <w:szCs w:val="21"/>
                <w:u w:val="single"/>
              </w:rPr>
            </w:pPr>
            <w:r>
              <w:rPr>
                <w:sz w:val="21"/>
                <w:szCs w:val="21"/>
                <w:u w:val="single"/>
              </w:rPr>
              <w:t>调墨、供墨、凹版印刷、平板印</w:t>
            </w:r>
          </w:p>
          <w:p w14:paraId="614CB383">
            <w:pPr>
              <w:spacing w:line="240" w:lineRule="auto"/>
              <w:jc w:val="center"/>
              <w:rPr>
                <w:sz w:val="21"/>
                <w:szCs w:val="21"/>
                <w:u w:val="single"/>
              </w:rPr>
            </w:pPr>
            <w:r>
              <w:rPr>
                <w:sz w:val="21"/>
                <w:szCs w:val="21"/>
                <w:u w:val="single"/>
              </w:rPr>
              <w:t>刷、凸版（柔版）印刷、孔版印</w:t>
            </w:r>
          </w:p>
          <w:p w14:paraId="32CEA718">
            <w:pPr>
              <w:spacing w:line="240" w:lineRule="auto"/>
              <w:jc w:val="center"/>
              <w:rPr>
                <w:sz w:val="21"/>
                <w:szCs w:val="21"/>
                <w:u w:val="single"/>
              </w:rPr>
            </w:pPr>
            <w:r>
              <w:rPr>
                <w:sz w:val="21"/>
                <w:szCs w:val="21"/>
                <w:u w:val="single"/>
              </w:rPr>
              <w:t>刷、复合（覆膜）、涂布等</w:t>
            </w:r>
          </w:p>
        </w:tc>
        <w:tc>
          <w:tcPr>
            <w:tcW w:w="1705" w:type="dxa"/>
            <w:tcBorders>
              <w:tl2br w:val="nil"/>
              <w:tr2bl w:val="nil"/>
            </w:tcBorders>
            <w:vAlign w:val="center"/>
          </w:tcPr>
          <w:p w14:paraId="4558061E">
            <w:pPr>
              <w:spacing w:line="240" w:lineRule="auto"/>
              <w:jc w:val="center"/>
              <w:rPr>
                <w:sz w:val="21"/>
                <w:szCs w:val="21"/>
                <w:u w:val="single"/>
              </w:rPr>
            </w:pPr>
            <w:r>
              <w:rPr>
                <w:rFonts w:hint="eastAsia"/>
                <w:sz w:val="21"/>
                <w:szCs w:val="21"/>
                <w:u w:val="single"/>
              </w:rPr>
              <w:t>吸附</w:t>
            </w:r>
            <w:r>
              <w:rPr>
                <w:sz w:val="21"/>
                <w:szCs w:val="21"/>
                <w:u w:val="single"/>
              </w:rPr>
              <w:t>+</w:t>
            </w:r>
            <w:r>
              <w:rPr>
                <w:rFonts w:hint="eastAsia"/>
                <w:sz w:val="21"/>
                <w:szCs w:val="21"/>
                <w:u w:val="single"/>
              </w:rPr>
              <w:t>冷凝回收</w:t>
            </w:r>
          </w:p>
        </w:tc>
      </w:tr>
      <w:tr w14:paraId="05EF2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0" w:type="dxa"/>
            <w:tcBorders>
              <w:tl2br w:val="nil"/>
              <w:tr2bl w:val="nil"/>
            </w:tcBorders>
            <w:vAlign w:val="center"/>
          </w:tcPr>
          <w:p w14:paraId="374A685F">
            <w:pPr>
              <w:spacing w:line="240" w:lineRule="auto"/>
              <w:jc w:val="center"/>
              <w:rPr>
                <w:sz w:val="21"/>
                <w:szCs w:val="21"/>
                <w:u w:val="single"/>
              </w:rPr>
            </w:pPr>
            <w:r>
              <w:rPr>
                <w:rFonts w:hint="eastAsia"/>
                <w:sz w:val="21"/>
                <w:szCs w:val="21"/>
                <w:u w:val="single"/>
              </w:rPr>
              <w:t>本项目</w:t>
            </w:r>
          </w:p>
        </w:tc>
        <w:tc>
          <w:tcPr>
            <w:tcW w:w="1745" w:type="dxa"/>
            <w:tcBorders>
              <w:tl2br w:val="nil"/>
              <w:tr2bl w:val="nil"/>
            </w:tcBorders>
            <w:vAlign w:val="center"/>
          </w:tcPr>
          <w:p w14:paraId="70AF3991">
            <w:pPr>
              <w:spacing w:line="240" w:lineRule="auto"/>
              <w:jc w:val="center"/>
              <w:rPr>
                <w:sz w:val="21"/>
                <w:szCs w:val="21"/>
                <w:u w:val="single"/>
              </w:rPr>
            </w:pPr>
            <w:r>
              <w:rPr>
                <w:rFonts w:hint="eastAsia"/>
                <w:sz w:val="21"/>
                <w:szCs w:val="21"/>
                <w:u w:val="single"/>
              </w:rPr>
              <w:t>印刷、复合</w:t>
            </w:r>
          </w:p>
        </w:tc>
        <w:tc>
          <w:tcPr>
            <w:tcW w:w="3652" w:type="dxa"/>
            <w:tcBorders>
              <w:tl2br w:val="nil"/>
              <w:tr2bl w:val="nil"/>
            </w:tcBorders>
            <w:vAlign w:val="center"/>
          </w:tcPr>
          <w:p w14:paraId="3FE0D350">
            <w:pPr>
              <w:spacing w:line="240" w:lineRule="auto"/>
              <w:jc w:val="center"/>
              <w:rPr>
                <w:sz w:val="21"/>
                <w:szCs w:val="21"/>
                <w:u w:val="single"/>
              </w:rPr>
            </w:pPr>
            <w:r>
              <w:rPr>
                <w:sz w:val="21"/>
                <w:szCs w:val="21"/>
                <w:u w:val="single"/>
              </w:rPr>
              <w:t>调墨</w:t>
            </w:r>
            <w:r>
              <w:rPr>
                <w:rFonts w:hint="eastAsia"/>
                <w:sz w:val="21"/>
                <w:szCs w:val="21"/>
                <w:u w:val="single"/>
              </w:rPr>
              <w:t>调胶</w:t>
            </w:r>
            <w:r>
              <w:rPr>
                <w:sz w:val="21"/>
                <w:szCs w:val="21"/>
                <w:u w:val="single"/>
              </w:rPr>
              <w:t>、凹版印刷、复合</w:t>
            </w:r>
            <w:r>
              <w:rPr>
                <w:rFonts w:hint="eastAsia"/>
                <w:sz w:val="21"/>
                <w:szCs w:val="21"/>
                <w:u w:val="single"/>
              </w:rPr>
              <w:t>、擦洗</w:t>
            </w:r>
          </w:p>
        </w:tc>
        <w:tc>
          <w:tcPr>
            <w:tcW w:w="1705" w:type="dxa"/>
            <w:tcBorders>
              <w:tl2br w:val="nil"/>
              <w:tr2bl w:val="nil"/>
            </w:tcBorders>
            <w:vAlign w:val="center"/>
          </w:tcPr>
          <w:p w14:paraId="6C6E02B7">
            <w:pPr>
              <w:spacing w:line="240" w:lineRule="auto"/>
              <w:jc w:val="center"/>
              <w:rPr>
                <w:sz w:val="21"/>
                <w:szCs w:val="21"/>
                <w:u w:val="single"/>
              </w:rPr>
            </w:pPr>
            <w:r>
              <w:rPr>
                <w:sz w:val="21"/>
                <w:szCs w:val="21"/>
                <w:u w:val="single"/>
              </w:rPr>
              <w:t>吸附浓缩+溶剂回收（精馏+冷凝回收）</w:t>
            </w:r>
          </w:p>
        </w:tc>
      </w:tr>
      <w:tr w14:paraId="7D3B34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7" w:type="dxa"/>
            <w:gridSpan w:val="3"/>
            <w:tcBorders>
              <w:tl2br w:val="nil"/>
              <w:tr2bl w:val="nil"/>
            </w:tcBorders>
            <w:vAlign w:val="center"/>
          </w:tcPr>
          <w:p w14:paraId="021AAD17">
            <w:pPr>
              <w:spacing w:line="240" w:lineRule="auto"/>
              <w:jc w:val="center"/>
              <w:rPr>
                <w:sz w:val="21"/>
                <w:szCs w:val="21"/>
                <w:u w:val="single"/>
              </w:rPr>
            </w:pPr>
            <w:r>
              <w:rPr>
                <w:rFonts w:hint="eastAsia"/>
                <w:sz w:val="21"/>
                <w:szCs w:val="21"/>
                <w:u w:val="single"/>
              </w:rPr>
              <w:t>可行性分析</w:t>
            </w:r>
          </w:p>
        </w:tc>
        <w:tc>
          <w:tcPr>
            <w:tcW w:w="1705" w:type="dxa"/>
            <w:tcBorders>
              <w:tl2br w:val="nil"/>
              <w:tr2bl w:val="nil"/>
            </w:tcBorders>
            <w:vAlign w:val="center"/>
          </w:tcPr>
          <w:p w14:paraId="4A0984BE">
            <w:pPr>
              <w:spacing w:line="240" w:lineRule="auto"/>
              <w:jc w:val="center"/>
              <w:rPr>
                <w:sz w:val="21"/>
                <w:szCs w:val="21"/>
                <w:u w:val="single"/>
              </w:rPr>
            </w:pPr>
            <w:r>
              <w:rPr>
                <w:rFonts w:hint="eastAsia"/>
                <w:sz w:val="21"/>
                <w:szCs w:val="21"/>
                <w:u w:val="single"/>
              </w:rPr>
              <w:t>技术可行</w:t>
            </w:r>
          </w:p>
        </w:tc>
      </w:tr>
    </w:tbl>
    <w:p w14:paraId="16B46435">
      <w:pPr>
        <w:ind w:firstLine="480"/>
        <w:rPr>
          <w:u w:val="single"/>
        </w:rPr>
      </w:pPr>
      <w:r>
        <w:rPr>
          <w:rFonts w:hint="eastAsia"/>
          <w:kern w:val="0"/>
          <w:u w:val="single"/>
          <w:lang w:bidi="ar"/>
        </w:rPr>
        <w:t>经“吸附浓缩+溶剂回收”设备处理后挥发性有机物</w:t>
      </w:r>
      <w:r>
        <w:rPr>
          <w:kern w:val="0"/>
          <w:u w:val="single"/>
          <w:lang w:bidi="ar"/>
        </w:rPr>
        <w:t>排放浓度满足</w:t>
      </w:r>
      <w:r>
        <w:rPr>
          <w:rFonts w:hint="eastAsia"/>
          <w:u w:val="single"/>
        </w:rPr>
        <w:t>《印刷工业大气污染物排放标准》（GB41616-2022）</w:t>
      </w:r>
      <w:r>
        <w:rPr>
          <w:kern w:val="0"/>
          <w:u w:val="single"/>
          <w:lang w:bidi="ar"/>
        </w:rPr>
        <w:t>中</w:t>
      </w:r>
      <w:r>
        <w:rPr>
          <w:rFonts w:hint="eastAsia"/>
          <w:kern w:val="0"/>
          <w:u w:val="single"/>
          <w:lang w:bidi="ar"/>
        </w:rPr>
        <w:t>对应</w:t>
      </w:r>
      <w:r>
        <w:rPr>
          <w:kern w:val="0"/>
          <w:u w:val="single"/>
          <w:lang w:bidi="ar"/>
        </w:rPr>
        <w:t>标准限值，对周边环境影响小，污染防治措施技术上可行。该废气处理设施投资对于建设单位来说，可带来良好的环境效益，投资占利润比例较小，建设单位可以接受，因此经济上是可行的。</w:t>
      </w:r>
    </w:p>
    <w:p w14:paraId="45C43E29">
      <w:pPr>
        <w:ind w:firstLine="480"/>
      </w:pPr>
      <w:r>
        <w:rPr>
          <w:rFonts w:hint="eastAsia" w:ascii="宋体" w:hAnsi="宋体" w:cs="宋体"/>
        </w:rPr>
        <w:t>⑵风量可行性分析</w:t>
      </w:r>
    </w:p>
    <w:p w14:paraId="3AE0AEAE">
      <w:pPr>
        <w:ind w:firstLine="480"/>
        <w:rPr>
          <w:highlight w:val="none"/>
          <w:u w:val="single"/>
        </w:rPr>
      </w:pPr>
      <w:r>
        <w:rPr>
          <w:rFonts w:hint="eastAsia" w:ascii="宋体" w:hAnsi="宋体" w:cs="宋体"/>
          <w:highlight w:val="none"/>
          <w:u w:val="single"/>
        </w:rPr>
        <w:t>①</w:t>
      </w:r>
      <w:r>
        <w:rPr>
          <w:rFonts w:hint="eastAsia"/>
          <w:highlight w:val="none"/>
          <w:u w:val="single"/>
        </w:rPr>
        <w:t>风量来源</w:t>
      </w:r>
    </w:p>
    <w:p w14:paraId="157507E5">
      <w:pPr>
        <w:ind w:firstLine="480"/>
        <w:rPr>
          <w:highlight w:val="yellow"/>
        </w:rPr>
      </w:pPr>
      <w:r>
        <w:rPr>
          <w:rFonts w:hint="eastAsia"/>
          <w:highlight w:val="none"/>
          <w:u w:val="single"/>
        </w:rPr>
        <w:t>设备设计设施出口风量1</w:t>
      </w:r>
      <w:r>
        <w:rPr>
          <w:rFonts w:hint="eastAsia"/>
          <w:highlight w:val="none"/>
          <w:u w:val="single"/>
          <w:lang w:val="en-US" w:eastAsia="zh-CN"/>
        </w:rPr>
        <w:t>800</w:t>
      </w:r>
      <w:r>
        <w:rPr>
          <w:rFonts w:hint="eastAsia"/>
          <w:highlight w:val="none"/>
          <w:u w:val="single"/>
        </w:rPr>
        <w:t>00m</w:t>
      </w:r>
      <w:r>
        <w:rPr>
          <w:rFonts w:hint="eastAsia"/>
          <w:highlight w:val="none"/>
          <w:u w:val="single"/>
          <w:vertAlign w:val="superscript"/>
        </w:rPr>
        <w:t>3</w:t>
      </w:r>
      <w:r>
        <w:rPr>
          <w:rFonts w:hint="eastAsia"/>
          <w:highlight w:val="none"/>
          <w:u w:val="single"/>
        </w:rPr>
        <w:t>/h（印刷复合机，印刷机7台，每台1</w:t>
      </w:r>
      <w:r>
        <w:rPr>
          <w:rFonts w:hint="eastAsia"/>
          <w:highlight w:val="none"/>
          <w:u w:val="single"/>
          <w:lang w:val="en-US" w:eastAsia="zh-CN"/>
        </w:rPr>
        <w:t>8</w:t>
      </w:r>
      <w:r>
        <w:rPr>
          <w:rFonts w:hint="eastAsia"/>
          <w:highlight w:val="none"/>
          <w:u w:val="single"/>
        </w:rPr>
        <w:t>000m</w:t>
      </w:r>
      <w:r>
        <w:rPr>
          <w:rFonts w:hint="eastAsia"/>
          <w:highlight w:val="none"/>
          <w:u w:val="single"/>
          <w:vertAlign w:val="superscript"/>
        </w:rPr>
        <w:t>3</w:t>
      </w:r>
      <w:r>
        <w:rPr>
          <w:rFonts w:hint="eastAsia"/>
          <w:highlight w:val="none"/>
          <w:u w:val="single"/>
        </w:rPr>
        <w:t>/h，复合机4台，每台</w:t>
      </w:r>
      <w:r>
        <w:rPr>
          <w:rFonts w:hint="eastAsia"/>
          <w:highlight w:val="none"/>
          <w:u w:val="single"/>
          <w:lang w:val="en-US" w:eastAsia="zh-CN"/>
        </w:rPr>
        <w:t>135</w:t>
      </w:r>
      <w:r>
        <w:rPr>
          <w:rFonts w:hint="eastAsia"/>
          <w:highlight w:val="none"/>
          <w:u w:val="single"/>
        </w:rPr>
        <w:t>00m</w:t>
      </w:r>
      <w:r>
        <w:rPr>
          <w:rFonts w:hint="eastAsia"/>
          <w:highlight w:val="none"/>
          <w:u w:val="single"/>
          <w:vertAlign w:val="superscript"/>
        </w:rPr>
        <w:t>3</w:t>
      </w:r>
      <w:r>
        <w:rPr>
          <w:rFonts w:hint="eastAsia"/>
          <w:highlight w:val="none"/>
          <w:u w:val="single"/>
        </w:rPr>
        <w:t>/h）+191000m</w:t>
      </w:r>
      <w:r>
        <w:rPr>
          <w:rFonts w:hint="eastAsia"/>
          <w:highlight w:val="none"/>
          <w:u w:val="single"/>
          <w:vertAlign w:val="superscript"/>
        </w:rPr>
        <w:t>3</w:t>
      </w:r>
      <w:r>
        <w:rPr>
          <w:rFonts w:hint="eastAsia"/>
          <w:highlight w:val="none"/>
          <w:u w:val="single"/>
        </w:rPr>
        <w:t>/h（印刷、复合区地排风，印刷区地排风7台，每台</w:t>
      </w:r>
      <w:r>
        <w:rPr>
          <w:rFonts w:hint="eastAsia"/>
          <w:highlight w:val="none"/>
          <w:u w:val="single"/>
          <w:lang w:val="en-US" w:eastAsia="zh-CN"/>
        </w:rPr>
        <w:t>190</w:t>
      </w:r>
      <w:r>
        <w:rPr>
          <w:rFonts w:hint="eastAsia"/>
          <w:highlight w:val="none"/>
          <w:u w:val="single"/>
        </w:rPr>
        <w:t>00m</w:t>
      </w:r>
      <w:r>
        <w:rPr>
          <w:rFonts w:hint="eastAsia"/>
          <w:highlight w:val="none"/>
          <w:u w:val="single"/>
          <w:vertAlign w:val="superscript"/>
        </w:rPr>
        <w:t>3</w:t>
      </w:r>
      <w:r>
        <w:rPr>
          <w:rFonts w:hint="eastAsia"/>
          <w:highlight w:val="none"/>
          <w:u w:val="single"/>
        </w:rPr>
        <w:t>/h，复合区地排风4台，每台</w:t>
      </w:r>
      <w:r>
        <w:rPr>
          <w:rFonts w:hint="eastAsia"/>
          <w:highlight w:val="none"/>
          <w:u w:val="single"/>
          <w:lang w:val="en-US" w:eastAsia="zh-CN"/>
        </w:rPr>
        <w:t>1450</w:t>
      </w:r>
      <w:r>
        <w:rPr>
          <w:rFonts w:hint="eastAsia"/>
          <w:highlight w:val="none"/>
          <w:u w:val="single"/>
        </w:rPr>
        <w:t>0m</w:t>
      </w:r>
      <w:r>
        <w:rPr>
          <w:rFonts w:hint="eastAsia"/>
          <w:highlight w:val="none"/>
          <w:u w:val="single"/>
          <w:vertAlign w:val="superscript"/>
        </w:rPr>
        <w:t>3</w:t>
      </w:r>
      <w:r>
        <w:rPr>
          <w:rFonts w:hint="eastAsia"/>
          <w:highlight w:val="none"/>
          <w:u w:val="single"/>
        </w:rPr>
        <w:t>/h）+8000m</w:t>
      </w:r>
      <w:r>
        <w:rPr>
          <w:rFonts w:hint="eastAsia"/>
          <w:highlight w:val="none"/>
          <w:u w:val="single"/>
          <w:vertAlign w:val="superscript"/>
        </w:rPr>
        <w:t>3</w:t>
      </w:r>
      <w:r>
        <w:rPr>
          <w:rFonts w:hint="eastAsia"/>
          <w:highlight w:val="none"/>
          <w:u w:val="single"/>
        </w:rPr>
        <w:t>/h（危废车间）+</w:t>
      </w:r>
      <w:r>
        <w:rPr>
          <w:rFonts w:hint="eastAsia"/>
          <w:highlight w:val="none"/>
          <w:u w:val="single"/>
          <w:lang w:val="en-US" w:eastAsia="zh-CN"/>
        </w:rPr>
        <w:t>10</w:t>
      </w:r>
      <w:r>
        <w:rPr>
          <w:rFonts w:hint="eastAsia"/>
          <w:highlight w:val="none"/>
          <w:u w:val="single"/>
        </w:rPr>
        <w:t>00m</w:t>
      </w:r>
      <w:r>
        <w:rPr>
          <w:rFonts w:hint="eastAsia"/>
          <w:highlight w:val="none"/>
          <w:u w:val="single"/>
          <w:vertAlign w:val="superscript"/>
        </w:rPr>
        <w:t>3</w:t>
      </w:r>
      <w:r>
        <w:rPr>
          <w:rFonts w:hint="eastAsia"/>
          <w:highlight w:val="none"/>
          <w:u w:val="single"/>
        </w:rPr>
        <w:t>/h（调墨间）=</w:t>
      </w:r>
      <w:r>
        <w:rPr>
          <w:rFonts w:hint="eastAsia"/>
          <w:highlight w:val="none"/>
          <w:u w:val="single"/>
          <w:lang w:val="en-US" w:eastAsia="zh-CN"/>
        </w:rPr>
        <w:t>38</w:t>
      </w:r>
      <w:r>
        <w:rPr>
          <w:rFonts w:hint="eastAsia"/>
          <w:highlight w:val="none"/>
          <w:u w:val="single"/>
        </w:rPr>
        <w:t>0000m</w:t>
      </w:r>
      <w:r>
        <w:rPr>
          <w:rFonts w:hint="eastAsia"/>
          <w:highlight w:val="none"/>
          <w:u w:val="single"/>
          <w:vertAlign w:val="superscript"/>
        </w:rPr>
        <w:t>3</w:t>
      </w:r>
      <w:r>
        <w:rPr>
          <w:rFonts w:hint="eastAsia"/>
          <w:highlight w:val="none"/>
          <w:u w:val="single"/>
        </w:rPr>
        <w:t>/h。</w:t>
      </w:r>
    </w:p>
    <w:p w14:paraId="2B43C3FC">
      <w:pPr>
        <w:ind w:firstLine="480"/>
        <w:rPr>
          <w:highlight w:val="none"/>
        </w:rPr>
      </w:pPr>
      <w:r>
        <w:rPr>
          <w:rFonts w:hint="eastAsia" w:ascii="宋体" w:hAnsi="宋体" w:cs="宋体"/>
          <w:highlight w:val="none"/>
        </w:rPr>
        <w:t>②</w:t>
      </w:r>
      <w:r>
        <w:rPr>
          <w:rFonts w:hint="eastAsia"/>
          <w:highlight w:val="none"/>
        </w:rPr>
        <w:t>废气收集方式</w:t>
      </w:r>
    </w:p>
    <w:p w14:paraId="6375DB1E">
      <w:pPr>
        <w:ind w:firstLine="480"/>
        <w:rPr>
          <w:highlight w:val="none"/>
        </w:rPr>
      </w:pPr>
      <w:r>
        <w:rPr>
          <w:rFonts w:hint="eastAsia"/>
          <w:highlight w:val="none"/>
        </w:rPr>
        <w:t>溶剂回收系统收集废气主要来自车间三的印刷、干式复合区、调墨调胶间以及车间四的危废暂存间，建设单位在生产车间内，对涉VOCs气体的工位单独设置密闭工区。调墨调胶间和危废暂存间也设置为封闭空间，配备风机收集有机废气，因此调墨调胶间以及危废暂存间处于微负压状态。</w:t>
      </w:r>
    </w:p>
    <w:p w14:paraId="5905E1F3">
      <w:pPr>
        <w:ind w:firstLine="480"/>
        <w:rPr>
          <w:highlight w:val="none"/>
        </w:rPr>
      </w:pPr>
      <w:r>
        <w:rPr>
          <w:rFonts w:hint="eastAsia"/>
          <w:highlight w:val="none"/>
        </w:rPr>
        <w:t>A.印刷烘干、复合烘干一体机废气收集处理措施</w:t>
      </w:r>
    </w:p>
    <w:p w14:paraId="6BCBEF83">
      <w:pPr>
        <w:ind w:firstLine="480"/>
        <w:rPr>
          <w:highlight w:val="yellow"/>
        </w:rPr>
      </w:pPr>
      <w:r>
        <w:rPr>
          <w:highlight w:val="none"/>
        </w:rPr>
        <w:t>项目每台印刷机的主要产污工段内部均配置相应数量的集气口和集气风管密闭连接，设备内部的产污工段区域可形成相对密闭的空间。</w:t>
      </w:r>
      <w:r>
        <w:rPr>
          <w:rFonts w:hint="eastAsia"/>
          <w:highlight w:val="none"/>
        </w:rPr>
        <w:t>参考《广东省工业源挥发性有机物减排量核算方法（试行）》中废气收集类型为：设备整体密闭只留产品进出口，且进出口处有废气收集措施，收集系统运行时周边基本无VOCs散发）的集气效率为</w:t>
      </w:r>
      <w:r>
        <w:rPr>
          <w:rFonts w:hint="eastAsia"/>
          <w:highlight w:val="none"/>
          <w:lang w:val="en-US" w:eastAsia="zh-CN"/>
        </w:rPr>
        <w:t>90</w:t>
      </w:r>
      <w:r>
        <w:rPr>
          <w:rFonts w:hint="eastAsia"/>
          <w:highlight w:val="none"/>
        </w:rPr>
        <w:t>%，本项目控制风速为8m/s，因此本项目负压集气效率为</w:t>
      </w:r>
      <w:r>
        <w:rPr>
          <w:rFonts w:hint="eastAsia"/>
          <w:highlight w:val="none"/>
          <w:lang w:val="en-US" w:eastAsia="zh-CN"/>
        </w:rPr>
        <w:t>90</w:t>
      </w:r>
      <w:r>
        <w:rPr>
          <w:rFonts w:hint="eastAsia"/>
          <w:highlight w:val="none"/>
        </w:rPr>
        <w:t>%。</w:t>
      </w:r>
    </w:p>
    <w:p w14:paraId="0CED1C54">
      <w:pPr>
        <w:ind w:firstLine="480"/>
      </w:pPr>
      <w:r>
        <w:rPr>
          <w:rFonts w:hint="eastAsia"/>
        </w:rPr>
        <w:t>B.印刷复合车间废气收集处理措施</w:t>
      </w:r>
    </w:p>
    <w:p w14:paraId="37DA4B5A">
      <w:pPr>
        <w:ind w:firstLine="480"/>
      </w:pPr>
      <w:r>
        <w:t>满负荷时排风量为</w:t>
      </w:r>
      <w:r>
        <w:rPr>
          <w:rFonts w:hint="eastAsia"/>
        </w:rPr>
        <w:t>1348</w:t>
      </w:r>
      <w:r>
        <w:t>00m³/h，涉VOCs设备所在空间体积为印刷车间尺寸：56×27米，复合车间尺寸：27×27米，总体积约83×27=2241m²，除去设备自身体积，平均高度按3.8米计算，则体积为2241×3.8=8516m³。因此设计总处理</w:t>
      </w:r>
      <w:r>
        <w:rPr>
          <w:rFonts w:hint="eastAsia"/>
        </w:rPr>
        <w:t>12.5</w:t>
      </w:r>
      <w:r>
        <w:t>万m³/h风量，</w:t>
      </w:r>
      <w:r>
        <w:rPr>
          <w:rFonts w:hint="eastAsia"/>
        </w:rPr>
        <w:t>12.5</w:t>
      </w:r>
      <w:r>
        <w:t>÷0.8516=</w:t>
      </w:r>
      <w:r>
        <w:rPr>
          <w:rFonts w:hint="eastAsia"/>
        </w:rPr>
        <w:t>14.7</w:t>
      </w:r>
      <w:r>
        <w:t>。</w:t>
      </w:r>
      <w:r>
        <w:rPr>
          <w:rFonts w:hint="eastAsia"/>
        </w:rPr>
        <w:t>根据《三废处理工程技术手册（废气卷）》（刘天齐主编）每小时换风次数不应小于6次/h，设计风量符合规范要求，印刷区、复合区在全密闭空间下作业就，设有送风和抽风系统，整体单层密闭负压收集，符合“VOCs产生源设置在封闭空间内，所有开口处，包括人员或物料出口处呈负压”条件。参考《广东省工业源挥发性有机物减排量核算方法（试行）》中废气收集方式为单层密闭负压的收集效率能够达到95%。本改建项目印刷复合工序为在车间三内另行设置的封闭区域，整体密闭但保留人员或物料进出口，本评价按85%计算。</w:t>
      </w:r>
    </w:p>
    <w:p w14:paraId="165A78B3">
      <w:pPr>
        <w:ind w:firstLine="480"/>
      </w:pPr>
      <w:r>
        <w:rPr>
          <w:rFonts w:hint="eastAsia"/>
        </w:rPr>
        <w:t>C.调墨调胶间、危废间废气收集处理措施</w:t>
      </w:r>
    </w:p>
    <w:p w14:paraId="32556BEA">
      <w:pPr>
        <w:ind w:firstLine="480"/>
      </w:pPr>
      <w:r>
        <w:rPr>
          <w:rFonts w:hint="eastAsia"/>
        </w:rPr>
        <w:t>调墨调胶间、危废间</w:t>
      </w:r>
      <w:r>
        <w:t>均处于全密闭的空间作业，</w:t>
      </w:r>
      <w:r>
        <w:rPr>
          <w:rFonts w:hint="eastAsia"/>
        </w:rPr>
        <w:t>仅进出货物时敞开运输门，配置风机进行抽风，因此调墨调胶间以及危废暂存间处于微负压状态。</w:t>
      </w:r>
      <w:r>
        <w:t>有机废气的收集效率按</w:t>
      </w:r>
      <w:r>
        <w:rPr>
          <w:rFonts w:hint="eastAsia"/>
        </w:rPr>
        <w:t>85</w:t>
      </w:r>
      <w:r>
        <w:t>%计算。</w:t>
      </w:r>
    </w:p>
    <w:p w14:paraId="52CE5BB8">
      <w:pPr>
        <w:ind w:firstLine="480"/>
      </w:pPr>
      <w:r>
        <w:t>综上，风量</w:t>
      </w:r>
      <w:r>
        <w:rPr>
          <w:rFonts w:hint="eastAsia"/>
        </w:rPr>
        <w:t>及收集效率</w:t>
      </w:r>
      <w:r>
        <w:t>可行。</w:t>
      </w:r>
    </w:p>
    <w:p w14:paraId="77E3421A">
      <w:pPr>
        <w:ind w:firstLine="480"/>
      </w:pPr>
      <w:r>
        <w:rPr>
          <w:rFonts w:hint="eastAsia" w:ascii="宋体" w:hAnsi="宋体" w:cs="宋体"/>
        </w:rPr>
        <w:t>③</w:t>
      </w:r>
      <w:r>
        <w:rPr>
          <w:rFonts w:hint="eastAsia"/>
        </w:rPr>
        <w:t>排气筒设置合理性分析</w:t>
      </w:r>
    </w:p>
    <w:p w14:paraId="306FD333">
      <w:pPr>
        <w:ind w:firstLine="480"/>
      </w:pPr>
      <w:r>
        <w:rPr>
          <w:rFonts w:hint="eastAsia"/>
        </w:rPr>
        <w:t>评价项目涉及排气筒排放的污染物根据实测或预测均可达标排放，且其最大落地浓度占标率均小于100%；排气筒高度均大于等于15m。</w:t>
      </w:r>
    </w:p>
    <w:p w14:paraId="4E7ABD49">
      <w:pPr>
        <w:ind w:firstLine="480"/>
      </w:pPr>
      <w:r>
        <w:rPr>
          <w:rFonts w:hint="eastAsia" w:ascii="宋体" w:hAnsi="宋体" w:cs="宋体"/>
        </w:rPr>
        <w:t>⑴根据</w:t>
      </w:r>
      <w:r>
        <w:rPr>
          <w:rFonts w:hint="eastAsia"/>
        </w:rPr>
        <w:t>《锅炉大气污染物排放标准》（GB13271-2014）表3中特别排放限值燃气锅炉标准，新建锅炉房的烟囱周围半径200m距离内有建筑物时，其烟囱应高出最高建筑物3m以上，本项目200m范围内最高建筑为车间四，高12m，本项目锅炉DA002排气筒高16m，满足排气筒几何高度。</w:t>
      </w:r>
    </w:p>
    <w:p w14:paraId="15A1155D">
      <w:pPr>
        <w:ind w:firstLine="480"/>
      </w:pPr>
      <w:r>
        <w:rPr>
          <w:rFonts w:hint="eastAsia" w:ascii="宋体" w:hAnsi="宋体" w:cs="宋体"/>
        </w:rPr>
        <w:t>⑵</w:t>
      </w:r>
      <w:r>
        <w:rPr>
          <w:rFonts w:hint="eastAsia"/>
        </w:rPr>
        <w:t>根据《工业企业挥发性有机物排放标准》（</w:t>
      </w:r>
      <w:r>
        <w:rPr>
          <w:rFonts w:hint="eastAsia"/>
          <w:lang w:val="en-US" w:eastAsia="zh-CN"/>
        </w:rPr>
        <w:t>DB43/3550-2026</w:t>
      </w:r>
      <w:r>
        <w:rPr>
          <w:rFonts w:hint="eastAsia"/>
        </w:rPr>
        <w:t>）排气筒高度不低于15m，具体高度按批复的环境影响评价文件要求确定。本项目溶剂回收排气筒主要排放印刷、干式复合有机废气，及印刷、干式复合烘干的天然气燃烧废气，排气筒DA001高度为20.5m。即评价项目各排气筒高度设置可行。</w:t>
      </w:r>
    </w:p>
    <w:p w14:paraId="306660D3">
      <w:pPr>
        <w:ind w:firstLine="480"/>
      </w:pPr>
      <w:r>
        <w:rPr>
          <w:rFonts w:hint="eastAsia"/>
        </w:rPr>
        <w:t>5</w:t>
      </w:r>
      <w:r>
        <w:t>.无组织排放控制要求</w:t>
      </w:r>
    </w:p>
    <w:p w14:paraId="0B520278">
      <w:pPr>
        <w:pStyle w:val="38"/>
        <w:ind w:firstLine="480"/>
        <w:rPr>
          <w:rFonts w:ascii="Times New Roman" w:hAnsi="Times New Roman" w:eastAsia="宋体" w:cs="Times New Roman"/>
          <w:color w:val="auto"/>
        </w:rPr>
      </w:pPr>
      <w:r>
        <w:rPr>
          <w:rFonts w:ascii="Times New Roman" w:hAnsi="Times New Roman" w:eastAsia="宋体" w:cs="Times New Roman"/>
          <w:color w:val="auto"/>
        </w:rPr>
        <w:t>根据</w:t>
      </w:r>
      <w:r>
        <w:rPr>
          <w:rFonts w:hint="eastAsia" w:ascii="Times New Roman" w:hAnsi="Times New Roman" w:eastAsia="宋体" w:cs="Times New Roman"/>
          <w:color w:val="auto"/>
        </w:rPr>
        <w:t>《工业企业挥发性有机物排放标准》（</w:t>
      </w:r>
      <w:r>
        <w:rPr>
          <w:rFonts w:hint="eastAsia" w:ascii="Times New Roman" w:hAnsi="Times New Roman" w:eastAsia="宋体" w:cs="Times New Roman"/>
          <w:color w:val="auto"/>
          <w:lang w:val="en-US" w:eastAsia="zh-CN"/>
        </w:rPr>
        <w:t>DB43/3550-2026</w:t>
      </w: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以及</w:t>
      </w:r>
      <w:r>
        <w:rPr>
          <w:rFonts w:ascii="Times New Roman" w:hAnsi="Times New Roman" w:eastAsia="宋体" w:cs="Times New Roman"/>
          <w:color w:val="auto"/>
        </w:rPr>
        <w:t>《挥发性有机物无组织排放控制标准》（GB37822-2019）中的相关要求，VOCs物料是指VOCs质量占比大于10%的物料，本项目所涉及的油墨、稀释剂、覆膜胶等需要满足相应物料转移和输送无组织排放控制要求、工艺过程VOCs无组织排放控制要求、含VOCs产品的使用过程及储存要求。</w:t>
      </w:r>
    </w:p>
    <w:p w14:paraId="42E5B815">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（1）</w:t>
      </w:r>
      <w:r>
        <w:rPr>
          <w:rFonts w:ascii="Times New Roman" w:hAnsi="Times New Roman" w:eastAsia="宋体" w:cs="Times New Roman"/>
          <w:color w:val="auto"/>
        </w:rPr>
        <w:t>物料转移和输送无组织排放控制要求如下：</w:t>
      </w:r>
    </w:p>
    <w:p w14:paraId="0347F10B">
      <w:pPr>
        <w:pStyle w:val="38"/>
        <w:ind w:firstLine="480"/>
        <w:rPr>
          <w:rFonts w:ascii="Times New Roman" w:hAnsi="Times New Roman" w:eastAsia="宋体" w:cs="Times New Roman"/>
          <w:color w:val="auto"/>
        </w:rPr>
      </w:pPr>
      <w:r>
        <w:rPr>
          <w:rFonts w:hint="eastAsia" w:hAnsi="宋体" w:eastAsia="宋体"/>
          <w:color w:val="auto"/>
        </w:rPr>
        <w:t>①</w:t>
      </w:r>
      <w:r>
        <w:rPr>
          <w:rFonts w:ascii="Times New Roman" w:hAnsi="Times New Roman" w:eastAsia="宋体" w:cs="Times New Roman"/>
          <w:color w:val="auto"/>
        </w:rPr>
        <w:t>液态VOCs物料应采用密闭管道输送。采用非管道输送方式转移液态VOCs物料时，应采用密闭容器、罐车。</w:t>
      </w:r>
    </w:p>
    <w:p w14:paraId="523B938E">
      <w:pPr>
        <w:pStyle w:val="38"/>
        <w:ind w:firstLine="480"/>
        <w:rPr>
          <w:rFonts w:ascii="Times New Roman" w:hAnsi="Times New Roman" w:eastAsia="宋体" w:cs="Times New Roman"/>
          <w:color w:val="auto"/>
        </w:rPr>
      </w:pPr>
      <w:r>
        <w:rPr>
          <w:rFonts w:hint="eastAsia" w:hAnsi="宋体" w:eastAsia="宋体"/>
          <w:color w:val="auto"/>
        </w:rPr>
        <w:t>②</w:t>
      </w:r>
      <w:r>
        <w:rPr>
          <w:rFonts w:ascii="Times New Roman" w:hAnsi="Times New Roman" w:eastAsia="宋体" w:cs="Times New Roman"/>
          <w:color w:val="auto"/>
        </w:rPr>
        <w:t>粉状、粒</w:t>
      </w:r>
      <w:r>
        <w:rPr>
          <w:rFonts w:hint="eastAsia" w:ascii="Times New Roman" w:hAnsi="Times New Roman" w:eastAsia="宋体" w:cs="Times New Roman"/>
          <w:color w:val="auto"/>
        </w:rPr>
        <w:t>状</w:t>
      </w:r>
      <w:r>
        <w:rPr>
          <w:rFonts w:ascii="Times New Roman" w:hAnsi="Times New Roman" w:eastAsia="宋体" w:cs="Times New Roman"/>
          <w:color w:val="auto"/>
        </w:rPr>
        <w:t>VOCs物料应用气力输送设备、管状带式输送机、螺旋输送机等密闭输送方式，或者采用密闭的包装袋、容器或罐车进行物料转移。</w:t>
      </w:r>
    </w:p>
    <w:p w14:paraId="053E8C51">
      <w:pPr>
        <w:pStyle w:val="38"/>
        <w:ind w:firstLine="480"/>
        <w:rPr>
          <w:rFonts w:ascii="Times New Roman" w:hAnsi="Times New Roman" w:eastAsia="宋体" w:cs="Times New Roman"/>
          <w:color w:val="auto"/>
        </w:rPr>
      </w:pPr>
      <w:r>
        <w:rPr>
          <w:rFonts w:ascii="Times New Roman" w:hAnsi="Times New Roman" w:eastAsia="宋体" w:cs="Times New Roman"/>
          <w:color w:val="auto"/>
        </w:rPr>
        <w:t>本项目使用的VOCs物料为粉状、粒</w:t>
      </w:r>
      <w:r>
        <w:rPr>
          <w:rFonts w:hint="eastAsia" w:ascii="Times New Roman" w:hAnsi="Times New Roman" w:eastAsia="宋体" w:cs="Times New Roman"/>
          <w:color w:val="auto"/>
        </w:rPr>
        <w:t>状</w:t>
      </w:r>
      <w:r>
        <w:rPr>
          <w:rFonts w:ascii="Times New Roman" w:hAnsi="Times New Roman" w:eastAsia="宋体" w:cs="Times New Roman"/>
          <w:color w:val="auto"/>
        </w:rPr>
        <w:t>，因此要求转移和输送过程应采用密闭输送方式或密闭的包装袋。</w:t>
      </w:r>
    </w:p>
    <w:p w14:paraId="2E8FE68C">
      <w:pPr>
        <w:pStyle w:val="38"/>
        <w:ind w:firstLine="480"/>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2</w:t>
      </w:r>
      <w:r>
        <w:rPr>
          <w:rFonts w:ascii="Times New Roman" w:hAnsi="Times New Roman" w:eastAsia="宋体" w:cs="Times New Roman"/>
          <w:color w:val="auto"/>
        </w:rPr>
        <w:t>）工艺过程VOCs无组织排放控制要求具体如下：</w:t>
      </w:r>
    </w:p>
    <w:p w14:paraId="03429D95">
      <w:pPr>
        <w:pStyle w:val="38"/>
        <w:ind w:firstLine="480"/>
        <w:rPr>
          <w:rFonts w:ascii="Times New Roman" w:hAnsi="Times New Roman" w:eastAsia="宋体" w:cs="Times New Roman"/>
          <w:color w:val="auto"/>
        </w:rPr>
      </w:pPr>
      <w:r>
        <w:rPr>
          <w:rFonts w:hint="eastAsia" w:hAnsi="宋体" w:eastAsia="宋体"/>
          <w:color w:val="auto"/>
        </w:rPr>
        <w:t>①</w:t>
      </w:r>
      <w:r>
        <w:rPr>
          <w:rFonts w:ascii="Times New Roman" w:hAnsi="Times New Roman" w:eastAsia="宋体" w:cs="Times New Roman"/>
          <w:color w:val="auto"/>
        </w:rPr>
        <w:t>液态VOCs物料应采用密闭管道输送方式或采用高位槽（罐）、桶泵等给料方式密闭投加。无法密闭投加的，应在密闭空间内操作，或进行局部气体收集，废气应排至VOCs废气收集处理系统。</w:t>
      </w:r>
    </w:p>
    <w:p w14:paraId="0A75A7E8">
      <w:pPr>
        <w:pStyle w:val="38"/>
        <w:ind w:firstLine="480"/>
        <w:rPr>
          <w:rFonts w:ascii="Times New Roman" w:hAnsi="Times New Roman" w:eastAsia="宋体" w:cs="Times New Roman"/>
          <w:color w:val="auto"/>
        </w:rPr>
      </w:pPr>
      <w:r>
        <w:rPr>
          <w:rFonts w:hint="eastAsia" w:hAnsi="宋体" w:eastAsia="宋体"/>
          <w:color w:val="auto"/>
        </w:rPr>
        <w:t>②</w:t>
      </w:r>
      <w:r>
        <w:rPr>
          <w:rFonts w:ascii="Times New Roman" w:hAnsi="Times New Roman" w:eastAsia="宋体" w:cs="Times New Roman"/>
          <w:color w:val="auto"/>
        </w:rPr>
        <w:t>粉状、粒状VOCs物料应采用气力输送方式或采用密闭固体投料器等给料方式密闭投加。无法密闭投加的，应在密闭空间内操作，或进行局部气体收集，废气应排至除尘设施、VOCs废气收集处理。</w:t>
      </w:r>
    </w:p>
    <w:p w14:paraId="0C2DB2A6">
      <w:pPr>
        <w:pStyle w:val="38"/>
        <w:ind w:firstLine="480"/>
        <w:rPr>
          <w:rFonts w:ascii="Times New Roman" w:hAnsi="Times New Roman" w:eastAsia="宋体" w:cs="Times New Roman"/>
          <w:color w:val="auto"/>
        </w:rPr>
      </w:pPr>
      <w:r>
        <w:rPr>
          <w:rFonts w:hint="eastAsia" w:hAnsi="宋体" w:eastAsia="宋体"/>
          <w:color w:val="auto"/>
        </w:rPr>
        <w:t>③</w:t>
      </w:r>
      <w:r>
        <w:rPr>
          <w:rFonts w:ascii="Times New Roman" w:hAnsi="Times New Roman" w:eastAsia="宋体" w:cs="Times New Roman"/>
          <w:color w:val="auto"/>
        </w:rPr>
        <w:t>VOCs物料卸（出、放）料过程应密，卸料废气应排至VOCs废气收集处理系统：无法密闭的，应采取局部气体收集措施，废气应排至VOCs废气收集处理系统。</w:t>
      </w:r>
    </w:p>
    <w:p w14:paraId="374E0B93">
      <w:pPr>
        <w:pStyle w:val="38"/>
        <w:ind w:firstLine="480"/>
        <w:rPr>
          <w:rFonts w:ascii="Times New Roman" w:hAnsi="Times New Roman" w:eastAsia="宋体" w:cs="Times New Roman"/>
          <w:color w:val="auto"/>
        </w:rPr>
      </w:pPr>
      <w:r>
        <w:rPr>
          <w:rFonts w:ascii="Times New Roman" w:hAnsi="Times New Roman" w:eastAsia="宋体" w:cs="Times New Roman"/>
          <w:color w:val="auto"/>
        </w:rPr>
        <w:t>本项目使用的VOCs物料为液体状，全部在密闭空间内操作且采用负压收集，并纳入VOCs废气处理系统。</w:t>
      </w:r>
    </w:p>
    <w:p w14:paraId="1661DB6B">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（3）</w:t>
      </w:r>
      <w:r>
        <w:rPr>
          <w:rFonts w:ascii="Times New Roman" w:hAnsi="Times New Roman" w:eastAsia="宋体" w:cs="Times New Roman"/>
          <w:color w:val="auto"/>
        </w:rPr>
        <w:t>含VOCs产品的使用过程</w:t>
      </w:r>
    </w:p>
    <w:p w14:paraId="7CB88FD2">
      <w:pPr>
        <w:pStyle w:val="38"/>
        <w:ind w:firstLine="480"/>
        <w:rPr>
          <w:rFonts w:ascii="Times New Roman" w:hAnsi="Times New Roman" w:eastAsia="宋体" w:cs="Times New Roman"/>
          <w:color w:val="auto"/>
        </w:rPr>
      </w:pPr>
      <w:r>
        <w:rPr>
          <w:rFonts w:ascii="Times New Roman" w:hAnsi="Times New Roman" w:eastAsia="宋体" w:cs="Times New Roman"/>
          <w:color w:val="auto"/>
        </w:rPr>
        <w:t>VOCs质量占比大于等于10％的含VOCs产品，其使用过程应采用密闭设备或在密闭空间内操作，废气应排至VOCs废气收集处理系统；无法密闭的，应采取局部气体收集措施，废气应排至VOCs废气收集处理系统。</w:t>
      </w:r>
    </w:p>
    <w:p w14:paraId="761D2845">
      <w:pPr>
        <w:pStyle w:val="38"/>
        <w:ind w:firstLine="480"/>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rPr>
        <w:t>4</w:t>
      </w:r>
      <w:r>
        <w:rPr>
          <w:rFonts w:ascii="Times New Roman" w:hAnsi="Times New Roman" w:eastAsia="宋体" w:cs="Times New Roman"/>
          <w:color w:val="auto"/>
        </w:rPr>
        <w:t>）挥发性有机物储存要求具体如下：</w:t>
      </w:r>
    </w:p>
    <w:p w14:paraId="53056065">
      <w:pPr>
        <w:pStyle w:val="38"/>
        <w:ind w:firstLine="480"/>
        <w:rPr>
          <w:rFonts w:ascii="Times New Roman" w:hAnsi="Times New Roman" w:eastAsia="宋体" w:cs="Times New Roman"/>
          <w:color w:val="auto"/>
        </w:rPr>
      </w:pPr>
      <w:r>
        <w:rPr>
          <w:rFonts w:hint="eastAsia" w:hAnsi="宋体" w:eastAsia="宋体"/>
          <w:color w:val="auto"/>
        </w:rPr>
        <w:t>①</w:t>
      </w:r>
      <w:r>
        <w:rPr>
          <w:rFonts w:ascii="Times New Roman" w:hAnsi="Times New Roman" w:eastAsia="宋体" w:cs="Times New Roman"/>
          <w:color w:val="auto"/>
        </w:rPr>
        <w:t>VOCs物料应储存于密闭的容器、包装袋、储罐、储库、料仓中。</w:t>
      </w:r>
    </w:p>
    <w:p w14:paraId="14B59D9F">
      <w:pPr>
        <w:pStyle w:val="38"/>
        <w:ind w:firstLine="480"/>
        <w:rPr>
          <w:rFonts w:ascii="Times New Roman" w:hAnsi="Times New Roman" w:eastAsia="宋体" w:cs="Times New Roman"/>
          <w:color w:val="auto"/>
        </w:rPr>
      </w:pPr>
      <w:r>
        <w:rPr>
          <w:rFonts w:hint="eastAsia" w:hAnsi="宋体" w:eastAsia="宋体"/>
          <w:color w:val="auto"/>
        </w:rPr>
        <w:t>②</w:t>
      </w:r>
      <w:r>
        <w:rPr>
          <w:rFonts w:ascii="Times New Roman" w:hAnsi="Times New Roman" w:eastAsia="宋体" w:cs="Times New Roman"/>
          <w:color w:val="auto"/>
        </w:rPr>
        <w:t>盛装VOCs物料的容器或包装袋应存放于室内，或存放于设置有雨棚、遮阳和防渗设施的专用场地。盛装VOCs物料的容器或包装袋在非取用状态时应加盖、封口，保持密闭。本项目使用的VOCs物料均为液体，因此应储存于密闭的容器中，并存放于室内。</w:t>
      </w:r>
    </w:p>
    <w:p w14:paraId="0377D91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8.2.2</w:t>
      </w:r>
      <w:r>
        <w:rPr>
          <w:rFonts w:hint="eastAsia"/>
        </w:rPr>
        <w:t>运营期废水污染防治措施及可行性分析</w:t>
      </w:r>
    </w:p>
    <w:p w14:paraId="5335741D">
      <w:pPr>
        <w:pStyle w:val="75"/>
        <w:ind w:firstLine="480"/>
        <w:rPr>
          <w:rFonts w:ascii="Times New Roman" w:hAnsi="Times New Roman" w:cs="Times New Roman"/>
          <w:szCs w:val="22"/>
        </w:rPr>
      </w:pPr>
      <w:r>
        <w:rPr>
          <w:rFonts w:ascii="Times New Roman" w:hAnsi="Times New Roman" w:cs="Times New Roman"/>
          <w:szCs w:val="22"/>
        </w:rPr>
        <w:t>1.生活污水</w:t>
      </w:r>
    </w:p>
    <w:p w14:paraId="5870CDCE">
      <w:pPr>
        <w:pStyle w:val="75"/>
        <w:ind w:firstLine="480"/>
        <w:rPr>
          <w:rFonts w:ascii="Times New Roman" w:hAnsi="Times New Roman" w:cs="Times New Roman"/>
          <w:szCs w:val="22"/>
        </w:rPr>
      </w:pPr>
      <w:r>
        <w:rPr>
          <w:rFonts w:ascii="Times New Roman" w:hAnsi="Times New Roman" w:cs="Times New Roman"/>
          <w:szCs w:val="22"/>
        </w:rPr>
        <w:t>本项目生活污水依托现有的化粪池等设施处理后，可达标排放至市政管网，企业位于</w:t>
      </w:r>
      <w:r>
        <w:rPr>
          <w:rFonts w:hint="eastAsia" w:ascii="Times New Roman" w:hAnsi="Times New Roman" w:cs="Times New Roman"/>
          <w:szCs w:val="22"/>
        </w:rPr>
        <w:t>湘潭县顺业污水处理有限公司污水处理厂</w:t>
      </w:r>
      <w:r>
        <w:rPr>
          <w:rFonts w:ascii="Times New Roman" w:hAnsi="Times New Roman" w:cs="Times New Roman"/>
          <w:szCs w:val="22"/>
        </w:rPr>
        <w:t>服务范围内，且企业至</w:t>
      </w:r>
      <w:r>
        <w:rPr>
          <w:rFonts w:hint="eastAsia" w:ascii="Times New Roman" w:hAnsi="Times New Roman" w:cs="Times New Roman"/>
          <w:szCs w:val="22"/>
        </w:rPr>
        <w:t>湘潭县顺业污水处理有限公司污水处理厂</w:t>
      </w:r>
      <w:r>
        <w:rPr>
          <w:rFonts w:ascii="Times New Roman" w:hAnsi="Times New Roman" w:cs="Times New Roman"/>
          <w:szCs w:val="22"/>
        </w:rPr>
        <w:t>之间的污水管网已建成，因此本项目废水进入</w:t>
      </w:r>
      <w:r>
        <w:rPr>
          <w:rFonts w:hint="eastAsia" w:ascii="Times New Roman" w:hAnsi="Times New Roman" w:cs="Times New Roman"/>
          <w:szCs w:val="22"/>
        </w:rPr>
        <w:t>湘潭县顺业污水处理有限公司污水处理厂</w:t>
      </w:r>
      <w:r>
        <w:rPr>
          <w:rFonts w:ascii="Times New Roman" w:hAnsi="Times New Roman" w:cs="Times New Roman"/>
          <w:szCs w:val="22"/>
        </w:rPr>
        <w:t>处理不存在管网制约因素。本项目废水水质较简单，项目废水经处理后，主要污染物排放浓度均能够满足</w:t>
      </w:r>
      <w:r>
        <w:rPr>
          <w:rFonts w:hint="eastAsia" w:ascii="Times New Roman" w:hAnsi="Times New Roman" w:cs="Times New Roman"/>
          <w:szCs w:val="22"/>
        </w:rPr>
        <w:t>湘潭县顺业污水处理有限公司污水处理厂</w:t>
      </w:r>
      <w:r>
        <w:rPr>
          <w:rFonts w:ascii="Times New Roman" w:hAnsi="Times New Roman" w:cs="Times New Roman"/>
          <w:szCs w:val="22"/>
        </w:rPr>
        <w:t>进水水质要求和《污水综合排放标准》（GB8978-1996）表4三级标准限值要求，</w:t>
      </w:r>
      <w:r>
        <w:rPr>
          <w:rFonts w:hint="eastAsia" w:ascii="Times New Roman" w:hAnsi="Times New Roman" w:cs="Times New Roman"/>
          <w:kern w:val="2"/>
          <w:szCs w:val="24"/>
        </w:rPr>
        <w:t>变更</w:t>
      </w:r>
      <w:r>
        <w:rPr>
          <w:rFonts w:ascii="Times New Roman" w:hAnsi="Times New Roman" w:cs="Times New Roman"/>
          <w:kern w:val="2"/>
          <w:szCs w:val="24"/>
        </w:rPr>
        <w:t>后不增加生活污水量，企业废水日均水量约</w:t>
      </w:r>
      <w:r>
        <w:rPr>
          <w:rFonts w:hint="eastAsia" w:ascii="Times New Roman" w:hAnsi="Times New Roman" w:cs="Times New Roman"/>
          <w:kern w:val="2"/>
          <w:szCs w:val="24"/>
        </w:rPr>
        <w:t>30.5</w:t>
      </w:r>
      <w:r>
        <w:rPr>
          <w:rFonts w:ascii="Times New Roman" w:hAnsi="Times New Roman" w:cs="Times New Roman"/>
          <w:kern w:val="2"/>
          <w:szCs w:val="24"/>
        </w:rPr>
        <w:t>t/d，占</w:t>
      </w:r>
      <w:r>
        <w:rPr>
          <w:rFonts w:hint="eastAsia" w:ascii="Times New Roman" w:hAnsi="Times New Roman" w:cs="Times New Roman"/>
          <w:kern w:val="2"/>
          <w:szCs w:val="24"/>
        </w:rPr>
        <w:t>湘潭县顺业污水处理有限公司污水处理厂</w:t>
      </w:r>
      <w:r>
        <w:rPr>
          <w:rFonts w:ascii="Times New Roman" w:hAnsi="Times New Roman" w:cs="Times New Roman"/>
          <w:kern w:val="2"/>
          <w:szCs w:val="24"/>
        </w:rPr>
        <w:t>现有日处理规模的0.098%，</w:t>
      </w:r>
      <w:r>
        <w:rPr>
          <w:rFonts w:ascii="Times New Roman" w:hAnsi="Times New Roman" w:cs="Times New Roman"/>
          <w:szCs w:val="22"/>
        </w:rPr>
        <w:t>且全部为生活污水，水质较简单，因此项目废水经预处理后排入</w:t>
      </w:r>
      <w:r>
        <w:rPr>
          <w:rFonts w:hint="eastAsia" w:ascii="Times New Roman" w:hAnsi="Times New Roman" w:cs="Times New Roman"/>
          <w:szCs w:val="22"/>
        </w:rPr>
        <w:t>湘潭县顺业污水处理有限公司污水处理厂</w:t>
      </w:r>
      <w:r>
        <w:rPr>
          <w:rFonts w:ascii="Times New Roman" w:hAnsi="Times New Roman" w:cs="Times New Roman"/>
          <w:szCs w:val="22"/>
        </w:rPr>
        <w:t>处理可行。</w:t>
      </w:r>
    </w:p>
    <w:p w14:paraId="51DEFEF2">
      <w:pPr>
        <w:pStyle w:val="75"/>
        <w:ind w:firstLine="480"/>
        <w:rPr>
          <w:rFonts w:ascii="Times New Roman" w:hAnsi="Times New Roman" w:eastAsia="Calibri" w:cs="Times New Roman"/>
          <w:szCs w:val="22"/>
        </w:rPr>
      </w:pPr>
      <w:r>
        <w:rPr>
          <w:rFonts w:hint="eastAsia" w:ascii="Times New Roman" w:hAnsi="Times New Roman" w:eastAsia="Calibri" w:cs="Times New Roman"/>
          <w:szCs w:val="22"/>
        </w:rPr>
        <w:t>2.生产废水</w:t>
      </w:r>
    </w:p>
    <w:p w14:paraId="59DF6500">
      <w:pPr>
        <w:ind w:firstLine="480"/>
        <w:jc w:val="left"/>
      </w:pPr>
      <w:r>
        <w:rPr>
          <w:rFonts w:hint="eastAsia" w:ascii="宋体" w:hAnsi="宋体" w:cs="宋体"/>
        </w:rPr>
        <w:t>⑴</w:t>
      </w:r>
      <w:r>
        <w:rPr>
          <w:rFonts w:hint="eastAsia"/>
        </w:rPr>
        <w:t>设备冷却循环水</w:t>
      </w:r>
    </w:p>
    <w:p w14:paraId="7B4B4319">
      <w:pPr>
        <w:ind w:firstLine="480"/>
        <w:jc w:val="left"/>
        <w:rPr>
          <w:color w:val="FF0000"/>
        </w:rPr>
      </w:pPr>
      <w:r>
        <w:t>本项目生产车间部分设备（制袋机、印刷机、复合机）工作温度较高，冷却采用冷却水进行冷却的方式，冷却水密闭循环使用，根据业主提供资料，设备冷却用水，进入1个约90m</w:t>
      </w:r>
      <w:r>
        <w:rPr>
          <w:vertAlign w:val="superscript"/>
        </w:rPr>
        <w:t>3</w:t>
      </w:r>
      <w:r>
        <w:t>（规格6m×5m×3m）的循环水池循环回收利用，不需要更换外排，需定期补充水量，项目补水量约为</w:t>
      </w:r>
      <w:r>
        <w:rPr>
          <w:rFonts w:hint="eastAsia"/>
        </w:rPr>
        <w:t>0.48</w:t>
      </w:r>
      <w:r>
        <w:t>m</w:t>
      </w:r>
      <w:r>
        <w:rPr>
          <w:vertAlign w:val="superscript"/>
        </w:rPr>
        <w:t>3</w:t>
      </w:r>
      <w:r>
        <w:t>t/</w:t>
      </w:r>
      <w:r>
        <w:rPr>
          <w:rFonts w:hint="eastAsia"/>
        </w:rPr>
        <w:t>h</w:t>
      </w:r>
      <w:r>
        <w:t>。</w:t>
      </w:r>
    </w:p>
    <w:p w14:paraId="3FC69E13">
      <w:pPr>
        <w:pStyle w:val="38"/>
        <w:ind w:firstLine="480"/>
        <w:rPr>
          <w:rFonts w:eastAsia="宋体"/>
          <w:color w:val="auto"/>
        </w:rPr>
      </w:pPr>
      <w:r>
        <w:rPr>
          <w:rFonts w:hint="eastAsia" w:hAnsi="宋体" w:eastAsia="宋体"/>
          <w:color w:val="auto"/>
        </w:rPr>
        <w:t>⑵</w:t>
      </w:r>
      <w:r>
        <w:rPr>
          <w:rFonts w:hint="eastAsia" w:eastAsia="宋体"/>
          <w:color w:val="auto"/>
        </w:rPr>
        <w:t>环保措施冷凝回收及提纯冷却用水</w:t>
      </w:r>
    </w:p>
    <w:p w14:paraId="20B1EDA3">
      <w:pPr>
        <w:ind w:firstLine="480"/>
      </w:pPr>
      <w:r>
        <w:rPr>
          <w:rFonts w:hint="eastAsia"/>
        </w:rPr>
        <w:t>环保措施冷凝回收及提纯冷却用水，共3个循环水泵，间接冷却水循环量分别为150t/h、200t/h、300t/h，由于水遇热会蒸发，损耗量按循环水量的2％计，年工作340天，平均每天运行时间24小时，</w:t>
      </w:r>
      <w:r>
        <w:t>新鲜补充水量为106080t/a（</w:t>
      </w:r>
      <w:r>
        <w:rPr>
          <w:rFonts w:hint="eastAsia"/>
        </w:rPr>
        <w:t>13</w:t>
      </w:r>
      <w:r>
        <w:t>m</w:t>
      </w:r>
      <w:r>
        <w:rPr>
          <w:vertAlign w:val="superscript"/>
        </w:rPr>
        <w:t>3</w:t>
      </w:r>
      <w:r>
        <w:t>/h）</w:t>
      </w:r>
      <w:r>
        <w:rPr>
          <w:rFonts w:hint="eastAsia"/>
        </w:rPr>
        <w:t>；本项目定期补充新鲜水，不外排。</w:t>
      </w:r>
    </w:p>
    <w:p w14:paraId="09DD0671">
      <w:pPr>
        <w:ind w:firstLine="480"/>
      </w:pPr>
      <w:r>
        <w:t>综上，本项目职工的生活污水水质能够符合《污水综合排放标准》（GB8978-1996）中的三级标准。项目外排废水纳管水质已符合相关标准限值，且排水量较小，对</w:t>
      </w:r>
      <w:r>
        <w:rPr>
          <w:rFonts w:hint="eastAsia"/>
        </w:rPr>
        <w:t>湘潭县顺业污水处理有限公司污水处理厂</w:t>
      </w:r>
      <w:r>
        <w:t>污水处理系统不会造成水量和水质上的冲击，也不会影响其工艺运转</w:t>
      </w:r>
      <w:r>
        <w:rPr>
          <w:rFonts w:hint="eastAsia"/>
        </w:rPr>
        <w:t>，</w:t>
      </w:r>
      <w:r>
        <w:t>因此本项目采取的污水处理工艺及纳管排放的措施可行。</w:t>
      </w:r>
    </w:p>
    <w:p w14:paraId="1575F4CD">
      <w:pPr>
        <w:pStyle w:val="75"/>
        <w:ind w:firstLine="480"/>
        <w:rPr>
          <w:rFonts w:ascii="Times New Roman" w:hAnsi="Times New Roman" w:eastAsia="Calibri" w:cs="Times New Roman"/>
          <w:szCs w:val="22"/>
        </w:rPr>
      </w:pPr>
      <w:r>
        <w:rPr>
          <w:rFonts w:hint="eastAsia" w:ascii="Times New Roman" w:hAnsi="Times New Roman" w:eastAsia="Calibri" w:cs="Times New Roman"/>
          <w:szCs w:val="22"/>
        </w:rPr>
        <w:t>1.废水接管可行性分析</w:t>
      </w:r>
    </w:p>
    <w:p w14:paraId="17B3EDBC">
      <w:pPr>
        <w:ind w:firstLine="480"/>
      </w:pPr>
      <w:r>
        <w:rPr>
          <w:rFonts w:hint="eastAsia"/>
        </w:rPr>
        <w:t>湘潭县城市污水处理厂（湘潭县顺业污水处理有限公司）位于湖南省湘潭县易俗河镇金桂北路，设计处理能力为日处理污水2.5万立方米。湘潭县城市污水处理厂（湘潭县顺业污水处理有限公司）自2009年10月正式投入运行以来，污水处理设备运转良好，厂区主体工艺采用氧化沟处理工艺，经处理后的污水水质排放标准为《城镇污水处理厂污染物排放标准》（GB18918-2002）一级A标准。</w:t>
      </w:r>
    </w:p>
    <w:p w14:paraId="06E65CE0">
      <w:pPr>
        <w:pStyle w:val="75"/>
        <w:ind w:firstLine="480"/>
        <w:rPr>
          <w:rFonts w:ascii="Times New Roman" w:hAnsi="Times New Roman" w:eastAsia="Calibri" w:cs="Times New Roman"/>
          <w:szCs w:val="22"/>
        </w:rPr>
      </w:pPr>
      <w:r>
        <w:rPr>
          <w:rFonts w:hint="eastAsia" w:ascii="Times New Roman" w:hAnsi="Times New Roman" w:eastAsia="Calibri" w:cs="Times New Roman"/>
          <w:szCs w:val="22"/>
        </w:rPr>
        <w:t>2.水量接管可行性</w:t>
      </w:r>
    </w:p>
    <w:p w14:paraId="24052213">
      <w:pPr>
        <w:ind w:firstLine="480"/>
      </w:pPr>
      <w:r>
        <w:rPr>
          <w:rFonts w:hint="eastAsia"/>
        </w:rPr>
        <w:t>根据本项目工程分析及废水防治措施分析，本项目废水排入湘潭县顺业污水处理有限公司污水处理厂处理技术上是可行的，本项目废水排放量占整个湘潭县顺业污水处理有限公司污水处理厂废水总量的比例很小，因此，从处理能力上讲，本项目污水进入湘潭县城市污水处理厂进行集中处理是可行的。</w:t>
      </w:r>
    </w:p>
    <w:p w14:paraId="2B4C3F22">
      <w:pPr>
        <w:pStyle w:val="75"/>
        <w:ind w:firstLine="480"/>
        <w:rPr>
          <w:rFonts w:ascii="Times New Roman" w:hAnsi="Times New Roman" w:eastAsia="Calibri" w:cs="Times New Roman"/>
          <w:szCs w:val="22"/>
        </w:rPr>
      </w:pPr>
      <w:r>
        <w:rPr>
          <w:rFonts w:hint="eastAsia" w:ascii="Times New Roman" w:hAnsi="Times New Roman" w:eastAsia="Calibri" w:cs="Times New Roman"/>
          <w:szCs w:val="22"/>
        </w:rPr>
        <w:t>3.水质接管可行性</w:t>
      </w:r>
    </w:p>
    <w:p w14:paraId="1D5D755A">
      <w:pPr>
        <w:ind w:firstLine="480"/>
      </w:pPr>
      <w:r>
        <w:rPr>
          <w:rFonts w:hint="eastAsia"/>
        </w:rPr>
        <w:t>本项目生活污水经化粪池处理后排入湘潭县顺业污水处理有限公司污水处理厂集中处理。根据工程分析，本项目排放的废水水质简单，各污染物浓度可以达到湘潭县顺业污水处理有限公司污水处理厂接管要求，因此从本项目排水的水质上来说，本项目废水接管至湘潭县顺业污水处理有限公司污水处理厂进行集中处理是可行的。</w:t>
      </w:r>
    </w:p>
    <w:p w14:paraId="39FA3EE2">
      <w:pPr>
        <w:pStyle w:val="75"/>
        <w:ind w:firstLine="480"/>
        <w:rPr>
          <w:rFonts w:ascii="Times New Roman" w:hAnsi="Times New Roman" w:eastAsia="Calibri" w:cs="Times New Roman"/>
          <w:szCs w:val="22"/>
        </w:rPr>
      </w:pPr>
      <w:r>
        <w:rPr>
          <w:rFonts w:hint="eastAsia" w:ascii="Times New Roman" w:hAnsi="Times New Roman" w:eastAsia="Calibri" w:cs="Times New Roman"/>
          <w:szCs w:val="22"/>
        </w:rPr>
        <w:t>4.处理工艺可行性</w:t>
      </w:r>
    </w:p>
    <w:p w14:paraId="3107B9D5">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湘潭县顺业污水处理有限公司污水处理厂</w:t>
      </w:r>
      <w:r>
        <w:rPr>
          <w:rFonts w:ascii="Times New Roman" w:hAnsi="Times New Roman" w:eastAsia="宋体" w:cs="Times New Roman"/>
          <w:color w:val="auto"/>
        </w:rPr>
        <w:t>采用A</w:t>
      </w:r>
      <w:r>
        <w:rPr>
          <w:rFonts w:ascii="Times New Roman" w:hAnsi="Times New Roman" w:eastAsia="宋体" w:cs="Times New Roman"/>
          <w:color w:val="auto"/>
          <w:vertAlign w:val="superscript"/>
        </w:rPr>
        <w:t>2</w:t>
      </w:r>
      <w:r>
        <w:rPr>
          <w:rFonts w:ascii="Times New Roman" w:hAnsi="Times New Roman" w:eastAsia="宋体" w:cs="Times New Roman"/>
          <w:color w:val="auto"/>
        </w:rPr>
        <w:t>/O氧化沟（其中二期工程采用微孔曝气形式）＋紫外线（UV）消毒池的处理工艺，处理后尾水排入湘江。根据相关环境管理要求，</w:t>
      </w:r>
      <w:r>
        <w:rPr>
          <w:rFonts w:hint="eastAsia" w:ascii="Times New Roman" w:hAnsi="Times New Roman" w:eastAsia="宋体" w:cs="Times New Roman"/>
          <w:color w:val="auto"/>
        </w:rPr>
        <w:t>湘潭县顺业污水处理有限公司污水处理厂</w:t>
      </w:r>
      <w:r>
        <w:rPr>
          <w:rFonts w:ascii="Times New Roman" w:hAnsi="Times New Roman" w:eastAsia="宋体" w:cs="Times New Roman"/>
          <w:color w:val="auto"/>
        </w:rPr>
        <w:t>对废水进行深度处理，废水经深度处理后，出水水质指标可以达到《城镇污水处理厂污染物排放标准》（GB18918－2002）中一级标准的A标准。从工艺上讲，本项目污水达到接管要求，接管排入</w:t>
      </w:r>
      <w:r>
        <w:rPr>
          <w:rFonts w:hint="eastAsia" w:ascii="Times New Roman" w:hAnsi="Times New Roman" w:eastAsia="宋体" w:cs="Times New Roman"/>
          <w:color w:val="auto"/>
        </w:rPr>
        <w:t>湘潭县顺业污水处理有限公司污水处理厂</w:t>
      </w:r>
      <w:r>
        <w:rPr>
          <w:rFonts w:ascii="Times New Roman" w:hAnsi="Times New Roman" w:eastAsia="宋体" w:cs="Times New Roman"/>
          <w:color w:val="auto"/>
        </w:rPr>
        <w:t>处理，完全可行。</w:t>
      </w:r>
    </w:p>
    <w:p w14:paraId="75FE0BE7">
      <w:pPr>
        <w:pStyle w:val="75"/>
        <w:ind w:firstLine="480"/>
        <w:rPr>
          <w:rFonts w:ascii="Times New Roman" w:hAnsi="Times New Roman" w:cs="Times New Roman" w:eastAsiaTheme="minorEastAsia"/>
          <w:szCs w:val="22"/>
        </w:rPr>
      </w:pPr>
      <w:r>
        <w:rPr>
          <w:rFonts w:hint="eastAsia" w:ascii="Times New Roman" w:hAnsi="Times New Roman" w:eastAsia="Calibri" w:cs="Times New Roman"/>
          <w:szCs w:val="22"/>
        </w:rPr>
        <w:t>5.管线、位置落实情况分析</w:t>
      </w:r>
    </w:p>
    <w:p w14:paraId="126D827D">
      <w:pPr>
        <w:ind w:firstLine="480"/>
      </w:pPr>
      <w:r>
        <w:rPr>
          <w:rFonts w:hint="eastAsia"/>
        </w:rPr>
        <w:t>本项目位于湘潭县易俗河天易示范区柏屹工业园内，位于湘潭县顺业污水处理有限公司污水处理厂纳污范围内，项目周边均已铺设了市政污水管网，建设单位已将项目域内污水管道接入了园区污水管道，本项目废水能实现域内污水纳管排放。项目废水经市政管网排入湘潭县顺业污水处理有限公司污水处理厂，最终处理达标后排入湘江。</w:t>
      </w:r>
    </w:p>
    <w:p w14:paraId="7DB021DE">
      <w:pPr>
        <w:ind w:firstLine="480"/>
      </w:pPr>
      <w:r>
        <w:rPr>
          <w:rFonts w:hint="eastAsia"/>
        </w:rPr>
        <w:t>综上，本项目职工的生活污水水质能够符合《污水综合排放标准》（GB8978-1996）中的三级标准。项目外排废水纳管水质已符合相关标准限值，且排水量较小，对湘潭县顺业污水处理有限公司污水处理厂污水处理系统不会造成水量和水质上的冲击，也不会影响其工艺运转，因此本项目采取的污水处理工艺及纳管排放的措施可行。</w:t>
      </w:r>
    </w:p>
    <w:p w14:paraId="3C3559BE">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8.2.3</w:t>
      </w:r>
      <w:r>
        <w:rPr>
          <w:rFonts w:hint="eastAsia"/>
        </w:rPr>
        <w:t>地下水、土壤防治措施及可行性分析</w:t>
      </w:r>
    </w:p>
    <w:p w14:paraId="4BDC376B">
      <w:pPr>
        <w:ind w:firstLine="480"/>
      </w:pPr>
      <w:r>
        <w:rPr>
          <w:rFonts w:hint="eastAsia"/>
        </w:rPr>
        <w:t>建设项目为了杜绝物料、废水等泄漏对土壤及地下水环境质量的影响，根据《中华人民共和国水污染防治法》的相关规范，按照“源头控制、分区防治、污染监控、应急响应”的原则，场地污染防治对策从以下方面考虑：</w:t>
      </w:r>
    </w:p>
    <w:p w14:paraId="7ED0D89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8.2.3.1</w:t>
      </w:r>
      <w:r>
        <w:rPr>
          <w:rFonts w:hint="eastAsia"/>
        </w:rPr>
        <w:t>源头控制措施</w:t>
      </w:r>
    </w:p>
    <w:p w14:paraId="5E1EF287">
      <w:pPr>
        <w:ind w:firstLine="480"/>
      </w:pPr>
      <w:r>
        <w:rPr>
          <w:rFonts w:hint="eastAsia"/>
        </w:rPr>
        <w:t>1.为防止和降低污染物跑、冒、滴、漏，将污染物泄漏的环境风险事故降到最低程度，加强对油漆原料仓库、危废暂存间等污染源头的监控。</w:t>
      </w:r>
    </w:p>
    <w:p w14:paraId="09E9C64B">
      <w:pPr>
        <w:ind w:firstLine="480"/>
      </w:pPr>
      <w:r>
        <w:rPr>
          <w:rFonts w:hint="eastAsia"/>
        </w:rPr>
        <w:t>2.处理和储存含危险介质的设备应按其物料的物性分类集中布置，对液体原料储罐区设围堰，围堰内应设导排系统，围堰地面应采取不渗透的材料铺砌；液体原料储罐需为专用的玻璃钢材质，且设备底部设置底部托盘，不与地面直接接触。</w:t>
      </w:r>
    </w:p>
    <w:p w14:paraId="471A42FB">
      <w:pPr>
        <w:ind w:firstLine="480"/>
      </w:pPr>
      <w:r>
        <w:rPr>
          <w:rFonts w:hint="eastAsia"/>
        </w:rPr>
        <w:t>3.加强对员工的培训，提高员工的责任感及专业性；加强对设备及防护设施、防渗设施的日常巡检、维护，填写巡检记录，明确责任人，确保防护设施及防渗设施完好，全面杜绝污染物质长时间连续渗漏及瞬时大量渗漏进入地下水体及土壤中的现象。</w:t>
      </w:r>
    </w:p>
    <w:p w14:paraId="0154856F">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8.2.3.2</w:t>
      </w:r>
      <w:r>
        <w:rPr>
          <w:rFonts w:hint="eastAsia"/>
        </w:rPr>
        <w:t>分区防治措施</w:t>
      </w:r>
    </w:p>
    <w:p w14:paraId="550CE41B">
      <w:pPr>
        <w:ind w:firstLine="480"/>
      </w:pPr>
      <w:r>
        <w:rPr>
          <w:rFonts w:hint="eastAsia"/>
        </w:rPr>
        <w:t>为了防止和减少泄漏的污染物渗漏进入地下水体及土壤中，建设方应按照“考虑重点，辐射全面”的防腐防渗原则，将全厂划分为一般防渗区、简单防渗区和重点防渗区。具体防渗分区见表8.2-5。</w:t>
      </w:r>
    </w:p>
    <w:p w14:paraId="10B3DEDD">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表8.2-5 </w:t>
      </w:r>
      <w:r>
        <w:rPr>
          <w:rFonts w:hint="eastAsia"/>
        </w:rPr>
        <w:t>厂区防渗分区</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299"/>
        <w:gridCol w:w="1342"/>
        <w:gridCol w:w="3692"/>
      </w:tblGrid>
      <w:tr w14:paraId="212952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9" w:type="pct"/>
            <w:tcBorders>
              <w:tl2br w:val="nil"/>
              <w:tr2bl w:val="nil"/>
            </w:tcBorders>
            <w:vAlign w:val="center"/>
          </w:tcPr>
          <w:p w14:paraId="6AFBE78F">
            <w:pPr>
              <w:spacing w:line="240" w:lineRule="auto"/>
              <w:jc w:val="center"/>
              <w:rPr>
                <w:sz w:val="21"/>
                <w:szCs w:val="21"/>
              </w:rPr>
            </w:pPr>
            <w:r>
              <w:rPr>
                <w:sz w:val="21"/>
                <w:szCs w:val="21"/>
              </w:rPr>
              <w:t>厂区单元名称</w:t>
            </w:r>
          </w:p>
        </w:tc>
        <w:tc>
          <w:tcPr>
            <w:tcW w:w="805" w:type="pct"/>
            <w:tcBorders>
              <w:tl2br w:val="nil"/>
              <w:tr2bl w:val="nil"/>
            </w:tcBorders>
            <w:vAlign w:val="center"/>
          </w:tcPr>
          <w:p w14:paraId="055732E8">
            <w:pPr>
              <w:spacing w:line="240" w:lineRule="auto"/>
              <w:jc w:val="center"/>
              <w:rPr>
                <w:sz w:val="21"/>
                <w:szCs w:val="21"/>
              </w:rPr>
            </w:pPr>
            <w:r>
              <w:rPr>
                <w:sz w:val="21"/>
                <w:szCs w:val="21"/>
              </w:rPr>
              <w:t>防渗分区</w:t>
            </w:r>
          </w:p>
        </w:tc>
        <w:tc>
          <w:tcPr>
            <w:tcW w:w="2215" w:type="pct"/>
            <w:tcBorders>
              <w:tl2br w:val="nil"/>
              <w:tr2bl w:val="nil"/>
            </w:tcBorders>
            <w:vAlign w:val="center"/>
          </w:tcPr>
          <w:p w14:paraId="79630E77">
            <w:pPr>
              <w:spacing w:line="240" w:lineRule="auto"/>
              <w:jc w:val="center"/>
              <w:rPr>
                <w:sz w:val="21"/>
                <w:szCs w:val="21"/>
              </w:rPr>
            </w:pPr>
            <w:r>
              <w:rPr>
                <w:sz w:val="21"/>
                <w:szCs w:val="21"/>
              </w:rPr>
              <w:t>防渗性能技术要求</w:t>
            </w:r>
          </w:p>
        </w:tc>
      </w:tr>
      <w:tr w14:paraId="5834A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9" w:type="pct"/>
            <w:tcBorders>
              <w:tl2br w:val="nil"/>
              <w:tr2bl w:val="nil"/>
            </w:tcBorders>
            <w:vAlign w:val="center"/>
          </w:tcPr>
          <w:p w14:paraId="74B5B701">
            <w:pPr>
              <w:spacing w:line="240" w:lineRule="auto"/>
              <w:jc w:val="center"/>
              <w:rPr>
                <w:sz w:val="21"/>
                <w:szCs w:val="21"/>
              </w:rPr>
            </w:pPr>
            <w:r>
              <w:rPr>
                <w:sz w:val="21"/>
                <w:szCs w:val="21"/>
              </w:rPr>
              <w:t>印刷区、复合区、原料仓库及危险废物暂存间</w:t>
            </w:r>
          </w:p>
        </w:tc>
        <w:tc>
          <w:tcPr>
            <w:tcW w:w="805" w:type="pct"/>
            <w:vMerge w:val="restart"/>
            <w:tcBorders>
              <w:tl2br w:val="nil"/>
              <w:tr2bl w:val="nil"/>
            </w:tcBorders>
            <w:vAlign w:val="center"/>
          </w:tcPr>
          <w:p w14:paraId="4AB73B98">
            <w:pPr>
              <w:spacing w:line="240" w:lineRule="auto"/>
              <w:jc w:val="center"/>
              <w:rPr>
                <w:sz w:val="21"/>
                <w:szCs w:val="21"/>
              </w:rPr>
            </w:pPr>
            <w:r>
              <w:rPr>
                <w:sz w:val="21"/>
                <w:szCs w:val="21"/>
              </w:rPr>
              <w:t>重点防渗区</w:t>
            </w:r>
          </w:p>
        </w:tc>
        <w:tc>
          <w:tcPr>
            <w:tcW w:w="2215" w:type="pct"/>
            <w:vMerge w:val="restart"/>
            <w:tcBorders>
              <w:tl2br w:val="nil"/>
              <w:tr2bl w:val="nil"/>
            </w:tcBorders>
            <w:vAlign w:val="center"/>
          </w:tcPr>
          <w:p w14:paraId="2213211B">
            <w:pPr>
              <w:spacing w:line="240" w:lineRule="auto"/>
              <w:jc w:val="center"/>
              <w:rPr>
                <w:sz w:val="21"/>
                <w:szCs w:val="21"/>
              </w:rPr>
            </w:pPr>
            <w:r>
              <w:rPr>
                <w:sz w:val="21"/>
                <w:szCs w:val="21"/>
              </w:rPr>
              <w:t>等效黏土防渗层Mb≥6.0m，K≤1×10</w:t>
            </w:r>
            <w:r>
              <w:rPr>
                <w:sz w:val="21"/>
                <w:szCs w:val="21"/>
                <w:vertAlign w:val="superscript"/>
              </w:rPr>
              <w:t>-7</w:t>
            </w:r>
            <w:r>
              <w:rPr>
                <w:sz w:val="21"/>
                <w:szCs w:val="21"/>
              </w:rPr>
              <w:t>cm/s</w:t>
            </w:r>
          </w:p>
        </w:tc>
      </w:tr>
      <w:tr w14:paraId="7820A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9" w:type="pct"/>
            <w:tcBorders>
              <w:tl2br w:val="nil"/>
              <w:tr2bl w:val="nil"/>
            </w:tcBorders>
            <w:vAlign w:val="center"/>
          </w:tcPr>
          <w:p w14:paraId="46D8EFD6">
            <w:pPr>
              <w:spacing w:line="240" w:lineRule="auto"/>
              <w:jc w:val="center"/>
              <w:rPr>
                <w:sz w:val="21"/>
                <w:szCs w:val="21"/>
              </w:rPr>
            </w:pPr>
            <w:r>
              <w:rPr>
                <w:sz w:val="21"/>
                <w:szCs w:val="21"/>
              </w:rPr>
              <w:t>生产厂房除印刷区、复合区以外的区域</w:t>
            </w:r>
          </w:p>
        </w:tc>
        <w:tc>
          <w:tcPr>
            <w:tcW w:w="805" w:type="pct"/>
            <w:tcBorders>
              <w:tl2br w:val="nil"/>
              <w:tr2bl w:val="nil"/>
            </w:tcBorders>
            <w:vAlign w:val="center"/>
          </w:tcPr>
          <w:p w14:paraId="5A1D5CBD">
            <w:pPr>
              <w:spacing w:line="240" w:lineRule="auto"/>
              <w:jc w:val="center"/>
              <w:rPr>
                <w:sz w:val="21"/>
                <w:szCs w:val="21"/>
              </w:rPr>
            </w:pPr>
            <w:r>
              <w:rPr>
                <w:sz w:val="21"/>
                <w:szCs w:val="21"/>
              </w:rPr>
              <w:t>一般防渗区</w:t>
            </w:r>
          </w:p>
        </w:tc>
        <w:tc>
          <w:tcPr>
            <w:tcW w:w="2215" w:type="pct"/>
            <w:tcBorders>
              <w:tl2br w:val="nil"/>
              <w:tr2bl w:val="nil"/>
            </w:tcBorders>
            <w:vAlign w:val="center"/>
          </w:tcPr>
          <w:p w14:paraId="06D48B72">
            <w:pPr>
              <w:spacing w:line="240" w:lineRule="auto"/>
              <w:jc w:val="center"/>
              <w:rPr>
                <w:sz w:val="21"/>
                <w:szCs w:val="21"/>
              </w:rPr>
            </w:pPr>
            <w:r>
              <w:rPr>
                <w:sz w:val="21"/>
                <w:szCs w:val="21"/>
              </w:rPr>
              <w:t>等效黏土防渗层Mb≥1.5m，K≤1×10</w:t>
            </w:r>
            <w:r>
              <w:rPr>
                <w:sz w:val="21"/>
                <w:szCs w:val="21"/>
                <w:vertAlign w:val="superscript"/>
              </w:rPr>
              <w:t>-7</w:t>
            </w:r>
            <w:r>
              <w:rPr>
                <w:sz w:val="21"/>
                <w:szCs w:val="21"/>
              </w:rPr>
              <w:t>cm/s</w:t>
            </w:r>
          </w:p>
        </w:tc>
      </w:tr>
      <w:tr w14:paraId="6190ED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9" w:type="pct"/>
            <w:tcBorders>
              <w:tl2br w:val="nil"/>
              <w:tr2bl w:val="nil"/>
            </w:tcBorders>
            <w:vAlign w:val="center"/>
          </w:tcPr>
          <w:p w14:paraId="00984DAF">
            <w:pPr>
              <w:spacing w:line="240" w:lineRule="auto"/>
              <w:jc w:val="center"/>
              <w:rPr>
                <w:sz w:val="21"/>
                <w:szCs w:val="21"/>
              </w:rPr>
            </w:pPr>
            <w:bookmarkStart w:id="156" w:name="_Toc533499678"/>
            <w:bookmarkStart w:id="157" w:name="_Toc60666299"/>
            <w:r>
              <w:rPr>
                <w:sz w:val="21"/>
                <w:szCs w:val="21"/>
              </w:rPr>
              <w:t>厂区除绿化外其他区域（办公区域）</w:t>
            </w:r>
          </w:p>
        </w:tc>
        <w:tc>
          <w:tcPr>
            <w:tcW w:w="805" w:type="pct"/>
            <w:tcBorders>
              <w:tl2br w:val="nil"/>
              <w:tr2bl w:val="nil"/>
            </w:tcBorders>
            <w:vAlign w:val="center"/>
          </w:tcPr>
          <w:p w14:paraId="5F5A1917">
            <w:pPr>
              <w:spacing w:line="240" w:lineRule="auto"/>
              <w:jc w:val="center"/>
              <w:rPr>
                <w:sz w:val="21"/>
                <w:szCs w:val="21"/>
              </w:rPr>
            </w:pPr>
            <w:r>
              <w:rPr>
                <w:sz w:val="21"/>
                <w:szCs w:val="21"/>
              </w:rPr>
              <w:t>简单防渗区</w:t>
            </w:r>
          </w:p>
        </w:tc>
        <w:tc>
          <w:tcPr>
            <w:tcW w:w="2215" w:type="pct"/>
            <w:tcBorders>
              <w:tl2br w:val="nil"/>
              <w:tr2bl w:val="nil"/>
            </w:tcBorders>
            <w:vAlign w:val="center"/>
          </w:tcPr>
          <w:p w14:paraId="73427962">
            <w:pPr>
              <w:spacing w:line="240" w:lineRule="auto"/>
              <w:jc w:val="center"/>
              <w:rPr>
                <w:sz w:val="21"/>
                <w:szCs w:val="21"/>
              </w:rPr>
            </w:pPr>
            <w:r>
              <w:rPr>
                <w:sz w:val="21"/>
                <w:szCs w:val="21"/>
              </w:rPr>
              <w:t>一般地面硬化</w:t>
            </w:r>
          </w:p>
        </w:tc>
      </w:tr>
      <w:bookmarkEnd w:id="156"/>
      <w:bookmarkEnd w:id="157"/>
    </w:tbl>
    <w:p w14:paraId="154ECE13">
      <w:pPr>
        <w:overflowPunct w:val="0"/>
        <w:autoSpaceDE w:val="0"/>
        <w:autoSpaceDN w:val="0"/>
        <w:adjustRightInd w:val="0"/>
        <w:ind w:firstLine="480"/>
      </w:pPr>
      <w:r>
        <w:t>综上分析，建设项目在落实好防渗、防污措施后，本项目污染物能得到有效处理，对地下水及土壤环境影响较小。</w:t>
      </w:r>
    </w:p>
    <w:p w14:paraId="6E2A76F6">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8.2.4</w:t>
      </w:r>
      <w:r>
        <w:rPr>
          <w:rFonts w:hint="eastAsia"/>
        </w:rPr>
        <w:t>营运期噪声污染防治措施及可行性分析</w:t>
      </w:r>
    </w:p>
    <w:p w14:paraId="011C92D4">
      <w:pPr>
        <w:overflowPunct w:val="0"/>
        <w:autoSpaceDE w:val="0"/>
        <w:autoSpaceDN w:val="0"/>
        <w:adjustRightInd w:val="0"/>
        <w:ind w:firstLine="480"/>
      </w:pPr>
      <w:r>
        <w:t>1</w:t>
      </w:r>
      <w:r>
        <w:rPr>
          <w:rFonts w:hint="eastAsia"/>
        </w:rPr>
        <w:t>.</w:t>
      </w:r>
      <w:r>
        <w:t>声源治理：在满足工艺设计的前提下，尽可能选用低噪声的设备。同时紧固设备上的所有部件，特别是需要经常更换的零部件，避免因个别部件的松动而产生的额外振动。</w:t>
      </w:r>
    </w:p>
    <w:p w14:paraId="725420E7">
      <w:pPr>
        <w:overflowPunct w:val="0"/>
        <w:autoSpaceDE w:val="0"/>
        <w:autoSpaceDN w:val="0"/>
        <w:adjustRightInd w:val="0"/>
        <w:ind w:firstLine="480"/>
      </w:pPr>
      <w:r>
        <w:t>2</w:t>
      </w:r>
      <w:r>
        <w:rPr>
          <w:rFonts w:hint="eastAsia"/>
        </w:rPr>
        <w:t>.</w:t>
      </w:r>
      <w:r>
        <w:t>对所有接触噪声的操作人员采取配带防声耳塞等个人防护措施，以降低噪声对现场人员的影响。</w:t>
      </w:r>
    </w:p>
    <w:p w14:paraId="0996FE11">
      <w:pPr>
        <w:overflowPunct w:val="0"/>
        <w:autoSpaceDE w:val="0"/>
        <w:autoSpaceDN w:val="0"/>
        <w:adjustRightInd w:val="0"/>
        <w:ind w:firstLine="480"/>
      </w:pPr>
      <w:r>
        <w:t>3</w:t>
      </w:r>
      <w:r>
        <w:rPr>
          <w:rFonts w:hint="eastAsia"/>
        </w:rPr>
        <w:t>.</w:t>
      </w:r>
      <w:r>
        <w:t>运输成品车辆在行驶过程中经过沿路的居民点时，应减速慢行、禁止鸣笛。</w:t>
      </w:r>
    </w:p>
    <w:p w14:paraId="4CEE4613">
      <w:pPr>
        <w:overflowPunct w:val="0"/>
        <w:autoSpaceDE w:val="0"/>
        <w:autoSpaceDN w:val="0"/>
        <w:adjustRightInd w:val="0"/>
        <w:ind w:firstLine="480"/>
      </w:pPr>
      <w:r>
        <w:t>4</w:t>
      </w:r>
      <w:r>
        <w:rPr>
          <w:rFonts w:hint="eastAsia"/>
        </w:rPr>
        <w:t>.</w:t>
      </w:r>
      <w:r>
        <w:t>在生产过程中选用低噪设备增加减震垫等设备设施及营造绿化隔声屏障。同时设置相应的标识（如</w:t>
      </w:r>
      <w:r>
        <w:rPr>
          <w:rFonts w:asciiTheme="minorEastAsia" w:hAnsiTheme="minorEastAsia" w:eastAsiaTheme="minorEastAsia"/>
        </w:rPr>
        <w:t>“禁止鸣笛”</w:t>
      </w:r>
      <w:r>
        <w:t>），提醒过往车辆注意，减少汽车噪声对居民生活的影响。</w:t>
      </w:r>
    </w:p>
    <w:p w14:paraId="0E11FA4E">
      <w:pPr>
        <w:overflowPunct w:val="0"/>
        <w:autoSpaceDE w:val="0"/>
        <w:autoSpaceDN w:val="0"/>
        <w:adjustRightInd w:val="0"/>
        <w:ind w:firstLine="480"/>
      </w:pPr>
      <w:r>
        <w:t>生产期间均为间歇性噪声源，各类声源均布置在车间内，采取相应的隔声和减震等措施后，可以使厂界噪声达到《工业企业厂界环境噪声排放标准》（GB1248-2008）的3类和4类标准。项目噪声对周边环境影响较小。</w:t>
      </w:r>
    </w:p>
    <w:p w14:paraId="1CE6C88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8.2.5</w:t>
      </w:r>
      <w:r>
        <w:rPr>
          <w:rFonts w:hint="eastAsia"/>
        </w:rPr>
        <w:t>溶剂回收系安全设计</w:t>
      </w:r>
    </w:p>
    <w:p w14:paraId="39BFE979">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8.2.5.1</w:t>
      </w:r>
      <w:r>
        <w:rPr>
          <w:rFonts w:hint="eastAsia"/>
        </w:rPr>
        <w:t>工艺系统</w:t>
      </w:r>
    </w:p>
    <w:p w14:paraId="001535FA">
      <w:pPr>
        <w:ind w:firstLine="480"/>
      </w:pPr>
      <w:r>
        <w:rPr>
          <w:rFonts w:hint="eastAsia"/>
        </w:rPr>
        <w:t>本项目不涉及重点监管的危险化工工艺，主要工艺过程采取的防泄漏、防火、防爆、防尘、防毒、防腐蚀等措施。</w:t>
      </w:r>
    </w:p>
    <w:p w14:paraId="4E5C9518">
      <w:pPr>
        <w:ind w:firstLine="480"/>
      </w:pPr>
      <w:r>
        <w:rPr>
          <w:rFonts w:hint="eastAsia" w:ascii="宋体" w:hAnsi="宋体" w:cs="宋体"/>
        </w:rPr>
        <w:t>⑴</w:t>
      </w:r>
      <w:r>
        <w:rPr>
          <w:rFonts w:hint="eastAsia"/>
        </w:rPr>
        <w:t>回收装置</w:t>
      </w:r>
    </w:p>
    <w:p w14:paraId="7C0F284E">
      <w:pPr>
        <w:ind w:firstLine="480"/>
      </w:pPr>
      <w:r>
        <w:rPr>
          <w:rFonts w:hint="eastAsia" w:ascii="宋体" w:hAnsi="宋体" w:cs="宋体"/>
        </w:rPr>
        <w:t>①</w:t>
      </w:r>
      <w:r>
        <w:rPr>
          <w:rFonts w:hint="eastAsia"/>
        </w:rPr>
        <w:t>吸附</w:t>
      </w:r>
    </w:p>
    <w:p w14:paraId="066387F6">
      <w:pPr>
        <w:ind w:firstLine="480"/>
      </w:pPr>
      <w:r>
        <w:rPr>
          <w:rFonts w:hint="eastAsia"/>
        </w:rPr>
        <w:t>含有机废气经引风机、表冷器进入活性碳吸附器，经吸附处理后排放，废气排放管设FID气体分析仪在线检测，当排放气体中溶剂含量达到设定值时，系统将一级吸附器由吸附状态切换到脱附状态。</w:t>
      </w:r>
    </w:p>
    <w:p w14:paraId="6D107B29">
      <w:pPr>
        <w:ind w:firstLine="480"/>
      </w:pPr>
      <w:r>
        <w:rPr>
          <w:rFonts w:hint="eastAsia" w:ascii="宋体" w:hAnsi="宋体" w:cs="宋体"/>
        </w:rPr>
        <w:t>②</w:t>
      </w:r>
      <w:r>
        <w:rPr>
          <w:rFonts w:hint="eastAsia"/>
        </w:rPr>
        <w:t>脱附</w:t>
      </w:r>
    </w:p>
    <w:p w14:paraId="06BE58B4">
      <w:pPr>
        <w:ind w:firstLine="480"/>
      </w:pPr>
      <w:r>
        <w:rPr>
          <w:rFonts w:hint="eastAsia"/>
        </w:rPr>
        <w:t>脱附在密闭的氮气循环过程中实现。当排放气体中溶剂含量达到设定值时，系统将一级吸附器由吸附状态切换到脱附状态。氮气置换程序将一级吸附器内的气体置换成氮气，置换过程由氧含量分析仪检测。当一级吸附器内气体氧含量&lt;3%时蒸汽和热导油加热器与循环风机开始对一级吸附器进行加热。</w:t>
      </w:r>
    </w:p>
    <w:p w14:paraId="013CAE30">
      <w:pPr>
        <w:ind w:firstLine="480"/>
      </w:pPr>
      <w:r>
        <w:rPr>
          <w:rFonts w:hint="eastAsia"/>
        </w:rPr>
        <w:t>蒸汽或热导油加热将循环气体加热到180℃进入一级吸附器，一级吸附器脱附出的溶剂气体经气体交换器降温后进入用冷却水冷却的交换器内除水，被降温除水后的高浓度溶剂气体进入二级吸附器进行二次吸附。吸附后低浓度溶剂气体经气体交换器换热后进入蒸汽和导热油加热器加热，然后返回一级吸附器。</w:t>
      </w:r>
    </w:p>
    <w:p w14:paraId="7878BB88">
      <w:pPr>
        <w:ind w:firstLine="480"/>
      </w:pPr>
      <w:r>
        <w:rPr>
          <w:rFonts w:hint="eastAsia"/>
        </w:rPr>
        <w:t>一级吸附器脱附完成后切换至下一吸附循环，脱附出的高浓度溶剂气体由二级吸附器吸附。</w:t>
      </w:r>
    </w:p>
    <w:p w14:paraId="034A98E4">
      <w:pPr>
        <w:ind w:firstLine="480"/>
      </w:pPr>
      <w:r>
        <w:rPr>
          <w:rFonts w:hint="eastAsia"/>
        </w:rPr>
        <w:t>二级吸脱附始终工作在气体自身循环的密闭状态，所以只需在首次系统运行时进行一次氮气置换。</w:t>
      </w:r>
    </w:p>
    <w:p w14:paraId="0C3843A0">
      <w:pPr>
        <w:ind w:firstLine="480"/>
      </w:pPr>
      <w:r>
        <w:rPr>
          <w:rFonts w:hint="eastAsia"/>
        </w:rPr>
        <w:t>蒸汽加热器将循环气体加热到180℃进入二级吸附器，二级吸附器脱附出的溶剂气体进入用冷却水冷却的冷凝器冷凝回收，回收后的气体经加热后重新返回二级吸附器，对二级吸附器进行循环加热脱附回收。</w:t>
      </w:r>
    </w:p>
    <w:p w14:paraId="3A80A592">
      <w:pPr>
        <w:ind w:firstLine="480"/>
      </w:pPr>
      <w:r>
        <w:rPr>
          <w:rFonts w:hint="eastAsia" w:ascii="宋体" w:hAnsi="宋体" w:cs="宋体"/>
        </w:rPr>
        <w:t>③</w:t>
      </w:r>
      <w:r>
        <w:rPr>
          <w:rFonts w:hint="eastAsia"/>
        </w:rPr>
        <w:t>其他</w:t>
      </w:r>
    </w:p>
    <w:p w14:paraId="6DBC097D">
      <w:pPr>
        <w:ind w:firstLine="480"/>
      </w:pPr>
      <w:r>
        <w:rPr>
          <w:rFonts w:hint="eastAsia"/>
        </w:rPr>
        <w:t>a.废气引风机、吸收循环泵电机电流信号引入控制室D系统集中监控，故障时报警。</w:t>
      </w:r>
    </w:p>
    <w:p w14:paraId="125E41AC">
      <w:pPr>
        <w:ind w:firstLine="480"/>
      </w:pPr>
      <w:r>
        <w:rPr>
          <w:rFonts w:hint="eastAsia"/>
        </w:rPr>
        <w:t>b.吸附罐设温度集中监控报警仪表；</w:t>
      </w:r>
    </w:p>
    <w:p w14:paraId="72919E68">
      <w:pPr>
        <w:ind w:firstLine="480"/>
      </w:pPr>
      <w:r>
        <w:rPr>
          <w:rFonts w:hint="eastAsia"/>
        </w:rPr>
        <w:t>c.脱附循环氮气温度设温度自控调节系统，加热导热油管、蒸汽管均设调节阀与排气温度传感器组成温度自控调节，超温时报警，并关闭加热导热油和蒸汽阀。</w:t>
      </w:r>
    </w:p>
    <w:p w14:paraId="0E4FB677">
      <w:pPr>
        <w:ind w:firstLine="480"/>
      </w:pPr>
      <w:r>
        <w:rPr>
          <w:rFonts w:hint="eastAsia"/>
        </w:rPr>
        <w:t>d.含有机废气管道设计上严格控制在安全流速以下。设备、管道按规范做好静电接地。</w:t>
      </w:r>
    </w:p>
    <w:p w14:paraId="293564DD">
      <w:pPr>
        <w:ind w:firstLine="480"/>
      </w:pPr>
      <w:r>
        <w:rPr>
          <w:rFonts w:hint="eastAsia"/>
        </w:rPr>
        <w:t>e.在车间涉及乙酸乙酯等易燃易爆物料的作业场所设计了可燃气体浓度报警仪等危险报警设施。</w:t>
      </w:r>
    </w:p>
    <w:p w14:paraId="2E5A2253">
      <w:pPr>
        <w:ind w:firstLine="480"/>
      </w:pPr>
      <w:r>
        <w:rPr>
          <w:rFonts w:hint="eastAsia" w:ascii="宋体" w:hAnsi="宋体" w:cs="宋体"/>
        </w:rPr>
        <w:t>⑵</w:t>
      </w:r>
      <w:r>
        <w:rPr>
          <w:rFonts w:hint="eastAsia"/>
        </w:rPr>
        <w:t>后处理装置</w:t>
      </w:r>
    </w:p>
    <w:p w14:paraId="10930024">
      <w:pPr>
        <w:ind w:firstLine="480"/>
      </w:pPr>
      <w:r>
        <w:rPr>
          <w:rFonts w:hint="eastAsia" w:ascii="宋体" w:hAnsi="宋体" w:cs="宋体"/>
        </w:rPr>
        <w:t>①计量罐、中间罐</w:t>
      </w:r>
    </w:p>
    <w:p w14:paraId="76199102">
      <w:pPr>
        <w:ind w:firstLine="480"/>
      </w:pPr>
      <w:r>
        <w:rPr>
          <w:rFonts w:hint="eastAsia"/>
        </w:rPr>
        <w:t>计量罐、中间罐均设集中液位仪表，进料到设定液位时联锁关闭进料阀、输送泵，并报警，以防止超装；出料到设定液位低限时报警。脱附液计量罐设充氮保护。</w:t>
      </w:r>
    </w:p>
    <w:p w14:paraId="1937CC71">
      <w:pPr>
        <w:ind w:firstLine="480"/>
        <w:rPr>
          <w:rFonts w:ascii="宋体" w:hAnsi="宋体" w:cs="宋体"/>
        </w:rPr>
      </w:pPr>
      <w:r>
        <w:rPr>
          <w:rFonts w:hint="eastAsia" w:ascii="宋体" w:hAnsi="宋体" w:cs="宋体"/>
        </w:rPr>
        <w:t>②蒸馏</w:t>
      </w:r>
    </w:p>
    <w:p w14:paraId="3B99FCA6">
      <w:pPr>
        <w:ind w:firstLine="480"/>
        <w:rPr>
          <w:rFonts w:ascii="宋体" w:hAnsi="宋体" w:cs="宋体"/>
        </w:rPr>
      </w:pPr>
      <w:r>
        <w:rPr>
          <w:rFonts w:hint="eastAsia" w:ascii="宋体" w:hAnsi="宋体" w:cs="宋体"/>
        </w:rPr>
        <w:t>a.蒸馏釜进料：脱附液设计量槽，按批次定量进料，进水设累计流量控制，定量进料，以防止超装。</w:t>
      </w:r>
    </w:p>
    <w:p w14:paraId="1AEA64E7">
      <w:pPr>
        <w:ind w:firstLine="480"/>
        <w:rPr>
          <w:rFonts w:ascii="宋体" w:hAnsi="宋体" w:cs="宋体"/>
        </w:rPr>
      </w:pPr>
      <w:r>
        <w:rPr>
          <w:rFonts w:hint="eastAsia" w:ascii="宋体" w:hAnsi="宋体" w:cs="宋体"/>
        </w:rPr>
        <w:t>b.蒸馏釜设温度自控调节系统，超温、搅拌故障时联锁关闭蒸汽阀，当温度超过设定值时联锁开启冷却水阀降温。蒸馏温度控制在80℃以下。</w:t>
      </w:r>
    </w:p>
    <w:p w14:paraId="0D49FC22">
      <w:pPr>
        <w:ind w:firstLine="480"/>
        <w:rPr>
          <w:rFonts w:ascii="宋体" w:hAnsi="宋体" w:cs="宋体"/>
        </w:rPr>
      </w:pPr>
      <w:r>
        <w:rPr>
          <w:rFonts w:hint="eastAsia" w:ascii="宋体" w:hAnsi="宋体" w:cs="宋体"/>
        </w:rPr>
        <w:t>c.蒸馏釜设充氮保护，设安全阀作为泄压附件。</w:t>
      </w:r>
    </w:p>
    <w:p w14:paraId="5FDEABE0">
      <w:pPr>
        <w:ind w:firstLine="480"/>
        <w:rPr>
          <w:rFonts w:ascii="宋体" w:hAnsi="宋体" w:cs="宋体"/>
        </w:rPr>
      </w:pPr>
      <w:r>
        <w:rPr>
          <w:rFonts w:hint="eastAsia" w:ascii="宋体" w:hAnsi="宋体" w:cs="宋体"/>
        </w:rPr>
        <w:t>③精馏</w:t>
      </w:r>
    </w:p>
    <w:p w14:paraId="5704FC38">
      <w:pPr>
        <w:ind w:firstLine="480"/>
        <w:rPr>
          <w:rFonts w:ascii="宋体" w:hAnsi="宋体" w:cs="宋体"/>
        </w:rPr>
      </w:pPr>
      <w:r>
        <w:rPr>
          <w:rFonts w:hint="eastAsia" w:ascii="宋体" w:hAnsi="宋体" w:cs="宋体"/>
        </w:rPr>
        <w:t>采用间歇式生产工艺，使用超重力旋转床精馏乙酸乙酯。</w:t>
      </w:r>
    </w:p>
    <w:p w14:paraId="4772C950">
      <w:pPr>
        <w:ind w:firstLine="480"/>
        <w:rPr>
          <w:rFonts w:ascii="宋体" w:hAnsi="宋体" w:cs="宋体"/>
        </w:rPr>
      </w:pPr>
      <w:r>
        <w:rPr>
          <w:rFonts w:hint="eastAsia" w:ascii="宋体" w:hAnsi="宋体" w:cs="宋体"/>
        </w:rPr>
        <w:t>a.再沸器设温度传感器、压力、液位集中监控仪表，与蒸汽调节阀组成温度自控调节，安全联锁控制。再沸器超温、超压、液位偏低时，报警并关闭蒸汽阀。流量、温度、压力、液位信号进控制室DCS系统集中监控，现场设声光报警。</w:t>
      </w:r>
    </w:p>
    <w:p w14:paraId="5D8E697D">
      <w:pPr>
        <w:ind w:firstLine="480"/>
        <w:rPr>
          <w:rFonts w:ascii="宋体" w:hAnsi="宋体" w:cs="宋体"/>
        </w:rPr>
      </w:pPr>
      <w:r>
        <w:rPr>
          <w:rFonts w:hint="eastAsia" w:ascii="宋体" w:hAnsi="宋体" w:cs="宋体"/>
        </w:rPr>
        <w:t>b.超重力床设温度传感器、回流流量计与馏份出料调节阀组成流量自控调节、温度安全联锁控制。超温时，报警。流量、温度信号进控制室系统集中监控，现场设声光报警。</w:t>
      </w:r>
    </w:p>
    <w:p w14:paraId="4E7D3A1C">
      <w:pPr>
        <w:ind w:firstLine="480"/>
        <w:rPr>
          <w:rFonts w:ascii="宋体" w:hAnsi="宋体" w:cs="宋体"/>
        </w:rPr>
      </w:pPr>
      <w:r>
        <w:rPr>
          <w:rFonts w:hint="eastAsia" w:ascii="宋体" w:hAnsi="宋体" w:cs="宋体"/>
        </w:rPr>
        <w:t>c.再沸器设充氮保护，设安全阀作为泄压附件。</w:t>
      </w:r>
    </w:p>
    <w:p w14:paraId="08D31A78">
      <w:pPr>
        <w:ind w:firstLine="480"/>
        <w:rPr>
          <w:rFonts w:ascii="宋体" w:hAnsi="宋体" w:cs="宋体"/>
        </w:rPr>
      </w:pPr>
      <w:r>
        <w:rPr>
          <w:rFonts w:hint="eastAsia" w:ascii="宋体" w:hAnsi="宋体" w:cs="宋体"/>
        </w:rPr>
        <w:t>④其他</w:t>
      </w:r>
    </w:p>
    <w:p w14:paraId="585737DD">
      <w:pPr>
        <w:ind w:firstLine="480"/>
        <w:rPr>
          <w:rFonts w:ascii="宋体" w:hAnsi="宋体" w:cs="宋体"/>
        </w:rPr>
      </w:pPr>
      <w:r>
        <w:rPr>
          <w:rFonts w:hint="eastAsia" w:ascii="宋体" w:hAnsi="宋体" w:cs="宋体"/>
        </w:rPr>
        <w:t>a.含乙酸乙酯放空废气采用管道收集至废气回收装置，经吸附处理达标后高空排放。</w:t>
      </w:r>
    </w:p>
    <w:p w14:paraId="2B94412A">
      <w:pPr>
        <w:ind w:firstLine="480"/>
        <w:rPr>
          <w:rFonts w:ascii="宋体" w:hAnsi="宋体" w:cs="宋体"/>
        </w:rPr>
      </w:pPr>
      <w:r>
        <w:rPr>
          <w:rFonts w:hint="eastAsia" w:ascii="宋体" w:hAnsi="宋体" w:cs="宋体"/>
        </w:rPr>
        <w:t>b.生产废水经管道收集至车间污水收集池后，送工业区污水处理站，处理达标后排放。</w:t>
      </w:r>
    </w:p>
    <w:p w14:paraId="69FC8843">
      <w:pPr>
        <w:ind w:firstLine="480"/>
        <w:rPr>
          <w:rFonts w:ascii="宋体" w:hAnsi="宋体" w:cs="宋体"/>
        </w:rPr>
      </w:pPr>
      <w:r>
        <w:rPr>
          <w:rFonts w:hint="eastAsia" w:ascii="宋体" w:hAnsi="宋体" w:cs="宋体"/>
        </w:rPr>
        <w:t>c.车间公用工程系统设置温度、压力监控仪表，蒸汽总管设置减压阀、安全阀。</w:t>
      </w:r>
    </w:p>
    <w:p w14:paraId="059377D9">
      <w:pPr>
        <w:ind w:firstLine="480"/>
        <w:rPr>
          <w:rFonts w:ascii="宋体" w:hAnsi="宋体" w:cs="宋体"/>
        </w:rPr>
      </w:pPr>
      <w:r>
        <w:rPr>
          <w:rFonts w:hint="eastAsia" w:ascii="宋体" w:hAnsi="宋体" w:cs="宋体"/>
        </w:rPr>
        <w:t>d.涉及乙酸乙酯的反应釜、储罐均采用氮气置换保护，取样检测合格后方可投料。易燃易爆物料输送方面，在管道设计上严格控制在安全流速以下。设备、管道按规范做好静电接地。</w:t>
      </w:r>
    </w:p>
    <w:p w14:paraId="752F4F08">
      <w:pPr>
        <w:ind w:firstLine="480"/>
        <w:rPr>
          <w:rFonts w:ascii="宋体" w:hAnsi="宋体" w:cs="宋体"/>
        </w:rPr>
      </w:pPr>
      <w:r>
        <w:rPr>
          <w:rFonts w:hint="eastAsia" w:ascii="宋体" w:hAnsi="宋体" w:cs="宋体"/>
        </w:rPr>
        <w:t>e.回收乙酸乙酯装桶设液位开关与进料阀、输送泵联锁，防止超装。</w:t>
      </w:r>
    </w:p>
    <w:p w14:paraId="23BC2A8E">
      <w:pPr>
        <w:ind w:firstLine="480"/>
        <w:rPr>
          <w:rFonts w:ascii="宋体" w:hAnsi="宋体" w:cs="宋体"/>
        </w:rPr>
      </w:pPr>
      <w:r>
        <w:rPr>
          <w:rFonts w:hint="eastAsia" w:ascii="宋体" w:hAnsi="宋体" w:cs="宋体"/>
        </w:rPr>
        <w:t>f.在车间涉及乙酸乙酯的作业场所设计了可燃气体浓度报警仪等危险报警设施。</w:t>
      </w:r>
    </w:p>
    <w:p w14:paraId="0CB74D62">
      <w:pPr>
        <w:ind w:firstLine="480"/>
      </w:pPr>
      <w:r>
        <w:rPr>
          <w:rFonts w:hint="eastAsia" w:ascii="宋体" w:hAnsi="宋体" w:cs="宋体"/>
        </w:rPr>
        <w:t>⑶其他工艺控制措施</w:t>
      </w:r>
    </w:p>
    <w:p w14:paraId="509341B1">
      <w:pPr>
        <w:ind w:firstLine="480"/>
      </w:pPr>
      <w:r>
        <w:rPr>
          <w:rFonts w:hint="eastAsia"/>
        </w:rPr>
        <w:t>工艺技术成熟可靠，降低生产中危险化学品使用量，减少生产场所危险化学品的储存量，及采用降低生产中的温度和压力等工艺控制参数的工艺技术来降低生产中的危险性。尽可能采用密闭生产工艺。涉及污染有害性废气的放空均采用管道集中放空，放空废气经集中处理达标后高空排放。放空系统设引风机，使放空管道系统形成微负压，减少废气串料和外溢。易燃、可燃流体输送方面，在管道设计上严格控制在安全流速以下。设备及管道按规范做好静电接地。公用工程系统设置温度、压力监控仪表，蒸汽总管设置减压阀、安全阀。根据工艺要求制定严格的安全操作规程，减少误操作。企业制定相应的在正常停开车、正常生产操作、异常生产操作处理及紧急事故处理时所对应的安全操作规程和对策措施。当生产工艺中需要改变工艺参数时，按规定程序经批准后实施。采用清洁生产工艺，减少废弃物的排放量。生产车间废气收集后去吸收处理。</w:t>
      </w:r>
    </w:p>
    <w:p w14:paraId="01D505E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8.2.5.2</w:t>
      </w:r>
      <w:r>
        <w:rPr>
          <w:rFonts w:hint="eastAsia"/>
        </w:rPr>
        <w:t>正常工况与非正常工况下危险物料的安全控制措施</w:t>
      </w:r>
    </w:p>
    <w:p w14:paraId="2251C8BC">
      <w:pPr>
        <w:ind w:firstLine="480"/>
      </w:pPr>
      <w:r>
        <w:rPr>
          <w:rFonts w:hint="eastAsia" w:ascii="宋体" w:hAnsi="宋体" w:cs="宋体"/>
        </w:rPr>
        <w:t>⑴</w:t>
      </w:r>
      <w:r>
        <w:rPr>
          <w:rFonts w:hint="eastAsia"/>
        </w:rPr>
        <w:t>正常工况下危险物料的安全控制措施</w:t>
      </w:r>
    </w:p>
    <w:p w14:paraId="0ED858F2">
      <w:pPr>
        <w:ind w:firstLine="480"/>
      </w:pPr>
      <w:r>
        <w:rPr>
          <w:rFonts w:hint="eastAsia"/>
        </w:rPr>
        <w:t>正常工况下，危险物料的安全控制措施从防泄漏、防毒、防腐蚀、防静电、防火、防爆等方面进行设计。</w:t>
      </w:r>
    </w:p>
    <w:p w14:paraId="20934A13">
      <w:pPr>
        <w:ind w:firstLine="480"/>
      </w:pPr>
      <w:r>
        <w:rPr>
          <w:rFonts w:hint="eastAsia" w:ascii="宋体" w:hAnsi="宋体" w:cs="宋体"/>
        </w:rPr>
        <w:t>⑵非正常工况下危险物料的安全控制措施</w:t>
      </w:r>
    </w:p>
    <w:p w14:paraId="7E555C75">
      <w:pPr>
        <w:ind w:firstLine="480"/>
      </w:pPr>
      <w:r>
        <w:rPr>
          <w:rFonts w:hint="eastAsia" w:ascii="宋体" w:hAnsi="宋体" w:cs="宋体"/>
        </w:rPr>
        <w:t>①</w:t>
      </w:r>
      <w:r>
        <w:rPr>
          <w:rFonts w:hint="eastAsia"/>
        </w:rPr>
        <w:t>回收装置</w:t>
      </w:r>
    </w:p>
    <w:p w14:paraId="467564B4">
      <w:pPr>
        <w:ind w:firstLine="480"/>
      </w:pPr>
      <w:r>
        <w:rPr>
          <w:rFonts w:hint="eastAsia"/>
        </w:rPr>
        <w:t>回收装置事故工况下的安全控制动作如下：</w:t>
      </w:r>
    </w:p>
    <w:p w14:paraId="5A2B1A1A">
      <w:pPr>
        <w:ind w:firstLine="480"/>
      </w:pPr>
      <w:r>
        <w:rPr>
          <w:rFonts w:hint="eastAsia"/>
        </w:rPr>
        <w:t>a.关闭加热蒸汽阀。</w:t>
      </w:r>
    </w:p>
    <w:p w14:paraId="7312474D">
      <w:pPr>
        <w:ind w:firstLine="480"/>
      </w:pPr>
      <w:r>
        <w:rPr>
          <w:rFonts w:hint="eastAsia"/>
        </w:rPr>
        <w:t>b.开启氮气开关阀。</w:t>
      </w:r>
    </w:p>
    <w:p w14:paraId="2DE5669D">
      <w:pPr>
        <w:ind w:firstLine="480"/>
        <w:rPr>
          <w:rFonts w:ascii="宋体" w:hAnsi="宋体" w:cs="宋体"/>
        </w:rPr>
      </w:pPr>
      <w:r>
        <w:rPr>
          <w:rFonts w:hint="eastAsia" w:ascii="宋体" w:hAnsi="宋体" w:cs="宋体"/>
        </w:rPr>
        <w:t>②后处理装置事故工况下的安全控制动作如下：</w:t>
      </w:r>
    </w:p>
    <w:p w14:paraId="305D77A5">
      <w:pPr>
        <w:ind w:firstLine="480"/>
        <w:rPr>
          <w:rFonts w:ascii="宋体" w:hAnsi="宋体" w:cs="宋体"/>
        </w:rPr>
      </w:pPr>
      <w:r>
        <w:rPr>
          <w:rFonts w:hint="eastAsia" w:ascii="宋体" w:hAnsi="宋体" w:cs="宋体"/>
        </w:rPr>
        <w:t>a.关闭加热蒸汽阀、开启冷却水阀。</w:t>
      </w:r>
    </w:p>
    <w:p w14:paraId="504F3097">
      <w:pPr>
        <w:ind w:firstLine="480"/>
        <w:rPr>
          <w:rFonts w:ascii="宋体" w:hAnsi="宋体" w:cs="宋体"/>
        </w:rPr>
      </w:pPr>
      <w:r>
        <w:rPr>
          <w:rFonts w:hint="eastAsia" w:ascii="宋体" w:hAnsi="宋体" w:cs="宋体"/>
        </w:rPr>
        <w:t>b.关闭各物料进料开关阀。</w:t>
      </w:r>
    </w:p>
    <w:p w14:paraId="4BE7A125">
      <w:pPr>
        <w:ind w:firstLine="480"/>
        <w:rPr>
          <w:rFonts w:ascii="宋体" w:hAnsi="宋体" w:cs="宋体"/>
        </w:rPr>
      </w:pPr>
      <w:r>
        <w:rPr>
          <w:rFonts w:hint="eastAsia" w:ascii="宋体" w:hAnsi="宋体" w:cs="宋体"/>
        </w:rPr>
        <w:t>c.关闭进料泵、出料泵、关闭搅拌电机。</w:t>
      </w:r>
    </w:p>
    <w:p w14:paraId="5FF19C02">
      <w:pPr>
        <w:overflowPunct w:val="0"/>
        <w:autoSpaceDE w:val="0"/>
        <w:autoSpaceDN w:val="0"/>
        <w:adjustRightInd w:val="0"/>
        <w:ind w:firstLine="480"/>
      </w:pPr>
      <w:r>
        <w:rPr>
          <w:rFonts w:hint="eastAsia" w:ascii="宋体" w:hAnsi="宋体" w:cs="宋体"/>
        </w:rPr>
        <w:t>d.关闭关闭精馏采出调节阀，实现全回流。</w:t>
      </w:r>
    </w:p>
    <w:p w14:paraId="0BBD37A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8.2.6</w:t>
      </w:r>
      <w:r>
        <w:rPr>
          <w:rFonts w:hint="eastAsia"/>
        </w:rPr>
        <w:t>营运期固体废物防治措施</w:t>
      </w:r>
    </w:p>
    <w:p w14:paraId="64336BFB">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8.2.6.1</w:t>
      </w:r>
      <w:r>
        <w:rPr>
          <w:rFonts w:hint="eastAsia"/>
        </w:rPr>
        <w:t>一般工业固废</w:t>
      </w:r>
    </w:p>
    <w:p w14:paraId="06CF5D3C">
      <w:pPr>
        <w:overflowPunct w:val="0"/>
        <w:autoSpaceDE w:val="0"/>
        <w:autoSpaceDN w:val="0"/>
        <w:adjustRightInd w:val="0"/>
        <w:ind w:firstLine="480"/>
      </w:pPr>
      <w:r>
        <w:t>本项目一般工业固体废物主要为废印刷版、废边角料、废烫金膜、不合格品、废弃包装材料等，该部分固废妥善收集于一般固废储存场所，可回收综合利用也可与生活垃圾一起交由环卫部门统一处理。一般工业固体废物贮存场所设置应符合《一般工业固体废物贮存和填埋污染控制标准》(GB18599-2020)的要求，尽可能设置于室内；为加强监督管理，贮存场所应按照《环境保护图形标志固体废物贮存(处置)场》(GB15562.2-1995)的要求设置环保图形标志。一般固体废物贮存、处置场图形标志如下表：</w:t>
      </w:r>
    </w:p>
    <w:p w14:paraId="2F9E4F4B">
      <w:pPr>
        <w:pStyle w:val="51"/>
        <w:numPr>
          <w:ilvl w:val="5"/>
          <w:numId w:val="0"/>
        </w:numPr>
        <w:tabs>
          <w:tab w:val="left" w:pos="4395"/>
        </w:tabs>
        <w:spacing w:before="0" w:beforeLines="0"/>
        <w:ind w:left="4700" w:leftChars="0" w:hanging="3260" w:firstLineChars="0"/>
      </w:pPr>
      <w:r>
        <w:rPr>
          <w:rFonts w:hint="default" w:ascii="宋体" w:hAnsi="宋体" w:eastAsia="宋体" w:cs="宋体"/>
          <w:b/>
          <w:bCs/>
          <w:color w:val="auto"/>
          <w:kern w:val="2"/>
          <w:sz w:val="21"/>
          <w:szCs w:val="21"/>
          <w:lang w:val="en-US" w:eastAsia="zh-CN" w:bidi="ar-SA"/>
        </w:rPr>
        <w:t xml:space="preserve">表8.2-6 </w:t>
      </w:r>
      <w:r>
        <w:rPr>
          <w:rFonts w:hint="eastAsia"/>
        </w:rPr>
        <w:t>一般固体废物贮存、处置场图形标志示例</w:t>
      </w:r>
    </w:p>
    <w:tbl>
      <w:tblPr>
        <w:tblStyle w:val="32"/>
        <w:tblW w:w="85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6"/>
        <w:gridCol w:w="3027"/>
        <w:gridCol w:w="2826"/>
        <w:gridCol w:w="840"/>
        <w:gridCol w:w="1320"/>
      </w:tblGrid>
      <w:tr w14:paraId="4A1CC1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dxa"/>
            <w:vAlign w:val="center"/>
          </w:tcPr>
          <w:p w14:paraId="17339F5C">
            <w:pPr>
              <w:spacing w:line="240" w:lineRule="auto"/>
              <w:jc w:val="center"/>
              <w:rPr>
                <w:sz w:val="21"/>
                <w:szCs w:val="21"/>
              </w:rPr>
            </w:pPr>
            <w:r>
              <w:rPr>
                <w:rFonts w:hint="eastAsia"/>
                <w:sz w:val="21"/>
                <w:szCs w:val="21"/>
              </w:rPr>
              <w:t>序号</w:t>
            </w:r>
          </w:p>
        </w:tc>
        <w:tc>
          <w:tcPr>
            <w:tcW w:w="3027" w:type="dxa"/>
            <w:vAlign w:val="center"/>
          </w:tcPr>
          <w:p w14:paraId="1D7956D8">
            <w:pPr>
              <w:spacing w:line="240" w:lineRule="auto"/>
              <w:jc w:val="center"/>
              <w:rPr>
                <w:sz w:val="21"/>
                <w:szCs w:val="21"/>
              </w:rPr>
            </w:pPr>
            <w:r>
              <w:rPr>
                <w:rFonts w:hint="eastAsia"/>
                <w:sz w:val="21"/>
                <w:szCs w:val="21"/>
              </w:rPr>
              <w:t>提示图形符号</w:t>
            </w:r>
          </w:p>
        </w:tc>
        <w:tc>
          <w:tcPr>
            <w:tcW w:w="2826" w:type="dxa"/>
            <w:vAlign w:val="center"/>
          </w:tcPr>
          <w:p w14:paraId="265BC4AD">
            <w:pPr>
              <w:spacing w:line="240" w:lineRule="auto"/>
              <w:jc w:val="center"/>
              <w:rPr>
                <w:sz w:val="21"/>
                <w:szCs w:val="21"/>
              </w:rPr>
            </w:pPr>
            <w:r>
              <w:rPr>
                <w:rFonts w:hint="eastAsia"/>
                <w:sz w:val="21"/>
                <w:szCs w:val="21"/>
              </w:rPr>
              <w:t>警告图形符号</w:t>
            </w:r>
          </w:p>
        </w:tc>
        <w:tc>
          <w:tcPr>
            <w:tcW w:w="840" w:type="dxa"/>
            <w:vAlign w:val="center"/>
          </w:tcPr>
          <w:p w14:paraId="16D1DE37">
            <w:pPr>
              <w:spacing w:line="240" w:lineRule="auto"/>
              <w:jc w:val="center"/>
              <w:rPr>
                <w:sz w:val="21"/>
                <w:szCs w:val="21"/>
              </w:rPr>
            </w:pPr>
            <w:r>
              <w:rPr>
                <w:rFonts w:hint="eastAsia"/>
                <w:sz w:val="21"/>
                <w:szCs w:val="21"/>
              </w:rPr>
              <w:t>名称</w:t>
            </w:r>
          </w:p>
        </w:tc>
        <w:tc>
          <w:tcPr>
            <w:tcW w:w="1320" w:type="dxa"/>
            <w:vAlign w:val="center"/>
          </w:tcPr>
          <w:p w14:paraId="26411018">
            <w:pPr>
              <w:spacing w:line="240" w:lineRule="auto"/>
              <w:jc w:val="center"/>
              <w:rPr>
                <w:sz w:val="21"/>
                <w:szCs w:val="21"/>
              </w:rPr>
            </w:pPr>
            <w:r>
              <w:rPr>
                <w:rFonts w:hint="eastAsia"/>
                <w:sz w:val="21"/>
                <w:szCs w:val="21"/>
              </w:rPr>
              <w:t>功能</w:t>
            </w:r>
          </w:p>
        </w:tc>
      </w:tr>
      <w:tr w14:paraId="664D5E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dxa"/>
            <w:vAlign w:val="center"/>
          </w:tcPr>
          <w:p w14:paraId="3191BFF7">
            <w:pPr>
              <w:spacing w:line="240" w:lineRule="auto"/>
              <w:jc w:val="center"/>
              <w:rPr>
                <w:sz w:val="21"/>
                <w:szCs w:val="21"/>
              </w:rPr>
            </w:pPr>
            <w:r>
              <w:rPr>
                <w:rFonts w:hint="eastAsia"/>
                <w:sz w:val="21"/>
                <w:szCs w:val="21"/>
              </w:rPr>
              <w:t>1</w:t>
            </w:r>
          </w:p>
        </w:tc>
        <w:tc>
          <w:tcPr>
            <w:tcW w:w="3027" w:type="dxa"/>
            <w:vAlign w:val="center"/>
          </w:tcPr>
          <w:p w14:paraId="3AF4E081">
            <w:pPr>
              <w:spacing w:line="240" w:lineRule="auto"/>
              <w:jc w:val="center"/>
              <w:rPr>
                <w:sz w:val="21"/>
                <w:szCs w:val="21"/>
              </w:rPr>
            </w:pPr>
            <w:r>
              <w:rPr>
                <w:sz w:val="21"/>
                <w:szCs w:val="21"/>
              </w:rPr>
              <w:drawing>
                <wp:inline distT="0" distB="0" distL="114300" distR="114300">
                  <wp:extent cx="1406525" cy="1337945"/>
                  <wp:effectExtent l="0" t="0" r="3175" b="14605"/>
                  <wp:docPr id="2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2"/>
                          <pic:cNvPicPr>
                            <a:picLocks noChangeAspect="1"/>
                          </pic:cNvPicPr>
                        </pic:nvPicPr>
                        <pic:blipFill>
                          <a:blip r:embed="rId146">
                            <a:lum/>
                          </a:blip>
                          <a:stretch>
                            <a:fillRect/>
                          </a:stretch>
                        </pic:blipFill>
                        <pic:spPr>
                          <a:xfrm>
                            <a:off x="0" y="0"/>
                            <a:ext cx="1406525" cy="1337945"/>
                          </a:xfrm>
                          <a:prstGeom prst="rect">
                            <a:avLst/>
                          </a:prstGeom>
                          <a:noFill/>
                          <a:ln>
                            <a:noFill/>
                          </a:ln>
                        </pic:spPr>
                      </pic:pic>
                    </a:graphicData>
                  </a:graphic>
                </wp:inline>
              </w:drawing>
            </w:r>
          </w:p>
        </w:tc>
        <w:tc>
          <w:tcPr>
            <w:tcW w:w="2826" w:type="dxa"/>
            <w:vAlign w:val="center"/>
          </w:tcPr>
          <w:p w14:paraId="7748BA12">
            <w:pPr>
              <w:spacing w:line="240" w:lineRule="auto"/>
              <w:jc w:val="center"/>
              <w:rPr>
                <w:sz w:val="21"/>
                <w:szCs w:val="21"/>
              </w:rPr>
            </w:pPr>
            <w:r>
              <w:rPr>
                <w:sz w:val="21"/>
                <w:szCs w:val="21"/>
              </w:rPr>
              <w:drawing>
                <wp:inline distT="0" distB="0" distL="114300" distR="114300">
                  <wp:extent cx="1474470" cy="1290320"/>
                  <wp:effectExtent l="0" t="0" r="11430" b="5080"/>
                  <wp:docPr id="2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3"/>
                          <pic:cNvPicPr>
                            <a:picLocks noChangeAspect="1"/>
                          </pic:cNvPicPr>
                        </pic:nvPicPr>
                        <pic:blipFill>
                          <a:blip r:embed="rId147">
                            <a:lum/>
                          </a:blip>
                          <a:stretch>
                            <a:fillRect/>
                          </a:stretch>
                        </pic:blipFill>
                        <pic:spPr>
                          <a:xfrm>
                            <a:off x="0" y="0"/>
                            <a:ext cx="1474470" cy="1290320"/>
                          </a:xfrm>
                          <a:prstGeom prst="rect">
                            <a:avLst/>
                          </a:prstGeom>
                          <a:noFill/>
                          <a:ln>
                            <a:noFill/>
                          </a:ln>
                        </pic:spPr>
                      </pic:pic>
                    </a:graphicData>
                  </a:graphic>
                </wp:inline>
              </w:drawing>
            </w:r>
          </w:p>
        </w:tc>
        <w:tc>
          <w:tcPr>
            <w:tcW w:w="840" w:type="dxa"/>
            <w:vAlign w:val="center"/>
          </w:tcPr>
          <w:p w14:paraId="760A440A">
            <w:pPr>
              <w:spacing w:line="240" w:lineRule="auto"/>
              <w:jc w:val="center"/>
              <w:rPr>
                <w:sz w:val="21"/>
                <w:szCs w:val="21"/>
              </w:rPr>
            </w:pPr>
            <w:r>
              <w:rPr>
                <w:rFonts w:hint="eastAsia"/>
                <w:sz w:val="21"/>
                <w:szCs w:val="21"/>
              </w:rPr>
              <w:t>一般固体废物</w:t>
            </w:r>
          </w:p>
        </w:tc>
        <w:tc>
          <w:tcPr>
            <w:tcW w:w="1320" w:type="dxa"/>
            <w:vAlign w:val="center"/>
          </w:tcPr>
          <w:p w14:paraId="23BC60D3">
            <w:pPr>
              <w:spacing w:line="240" w:lineRule="auto"/>
              <w:jc w:val="center"/>
              <w:rPr>
                <w:sz w:val="21"/>
                <w:szCs w:val="21"/>
              </w:rPr>
            </w:pPr>
            <w:r>
              <w:rPr>
                <w:rFonts w:hint="eastAsia"/>
                <w:sz w:val="21"/>
                <w:szCs w:val="21"/>
              </w:rPr>
              <w:t>表示一般固体废物贮存、处置场</w:t>
            </w:r>
          </w:p>
        </w:tc>
      </w:tr>
    </w:tbl>
    <w:p w14:paraId="0EC20930">
      <w:pPr>
        <w:pStyle w:val="5"/>
        <w:numPr>
          <w:ilvl w:val="3"/>
          <w:numId w:val="0"/>
        </w:numPr>
        <w:ind w:left="1984" w:leftChars="0" w:hanging="1984" w:firstLineChars="0"/>
      </w:pPr>
      <w:r>
        <w:rPr>
          <w:rFonts w:hint="default" w:ascii="宋体" w:hAnsi="宋体" w:eastAsia="宋体" w:cs="宋体"/>
          <w:b/>
          <w:bCs/>
          <w:kern w:val="2"/>
          <w:sz w:val="24"/>
          <w:szCs w:val="24"/>
          <w:lang w:val="en-US" w:eastAsia="zh-CN" w:bidi="ar-SA"/>
        </w:rPr>
        <w:t>8.2.6.2</w:t>
      </w:r>
      <w:r>
        <w:rPr>
          <w:rFonts w:hint="eastAsia"/>
        </w:rPr>
        <w:t>危险废物</w:t>
      </w:r>
    </w:p>
    <w:p w14:paraId="41A0A6BD">
      <w:pPr>
        <w:ind w:firstLine="480"/>
      </w:pPr>
      <w:r>
        <w:t>根据工艺分析，本项目产生的危险废物主要为</w:t>
      </w:r>
      <w:r>
        <w:rPr>
          <w:rFonts w:hint="eastAsia"/>
        </w:rPr>
        <w:t>废油墨、废溶剂、废胶水、废弃包装桶及内衬（沾有废油墨桶、废胶水桶等）、含油抹布手套、废过滤棉、废活性炭、废沸石、精馏残液、废润滑油及其包装桶</w:t>
      </w:r>
      <w:r>
        <w:t>等危险废物。危废暂存于车间四一楼西侧危废暂存间（</w:t>
      </w:r>
      <w:r>
        <w:rPr>
          <w:rFonts w:hint="eastAsia"/>
        </w:rPr>
        <w:t>272</w:t>
      </w:r>
      <w:r>
        <w:t>m</w:t>
      </w:r>
      <w:r>
        <w:rPr>
          <w:vertAlign w:val="superscript"/>
        </w:rPr>
        <w:t>2</w:t>
      </w:r>
      <w:r>
        <w:t>），危废暂存间内已做地面防渗措施。厂区内危险废物暂存场地的设置应按照《危险废物贮存污染控制标准》（GB18597-20</w:t>
      </w:r>
      <w:r>
        <w:rPr>
          <w:rFonts w:hint="eastAsia"/>
        </w:rPr>
        <w:t>23</w:t>
      </w:r>
      <w:r>
        <w:t>）中的相关规定和要求进一步进行规范设置，要求做到以下几点：</w:t>
      </w:r>
    </w:p>
    <w:p w14:paraId="61685CBC">
      <w:pPr>
        <w:ind w:firstLine="480"/>
      </w:pPr>
      <w:r>
        <w:rPr>
          <w:rFonts w:hint="eastAsia"/>
        </w:rPr>
        <w:t>1.危险废物收集污染防止措施分析</w:t>
      </w:r>
    </w:p>
    <w:p w14:paraId="748777AD">
      <w:pPr>
        <w:ind w:firstLine="480"/>
      </w:pPr>
      <w:r>
        <w:t>危险废物在收集时，应清楚废物的类别及主要成分，以方便委托处理单位处理，根据危险废物的性质和形态，需采用不同大小和不同材质的容器进行包装，所有包装容器应足够安全，并经过周密检查，严防在装载、搬移或运输途中出现渗漏、溢出、抛洒或挥发等情况。</w:t>
      </w:r>
    </w:p>
    <w:p w14:paraId="3614F44F">
      <w:pPr>
        <w:ind w:firstLine="480"/>
      </w:pPr>
      <w:r>
        <w:t>本项目产生的危险废物委托有资质单位处置，企业不得擅自处理。</w:t>
      </w:r>
    </w:p>
    <w:p w14:paraId="4F47C9C6">
      <w:pPr>
        <w:ind w:firstLine="480"/>
      </w:pPr>
      <w:r>
        <w:rPr>
          <w:rFonts w:hint="eastAsia"/>
        </w:rPr>
        <w:t>2.危险废物暂存污染防治措施分析</w:t>
      </w:r>
    </w:p>
    <w:p w14:paraId="210F3A7F">
      <w:pPr>
        <w:ind w:firstLine="480"/>
      </w:pPr>
      <w:r>
        <w:t>本项目危废暂存间（</w:t>
      </w:r>
      <w:r>
        <w:rPr>
          <w:rFonts w:hint="eastAsia"/>
        </w:rPr>
        <w:t>272</w:t>
      </w:r>
      <w:r>
        <w:t>m²）能满足危险废物收集处置的要求。危险废物应尽快送往处置单位处理，不宜在厂内存放过长时间，危险废物暂存应做到以下几点：</w:t>
      </w:r>
    </w:p>
    <w:p w14:paraId="31D9D5C0">
      <w:pPr>
        <w:ind w:firstLine="480"/>
      </w:pPr>
      <w:r>
        <w:t>①危险废物仓库内要设置观察窗口，危废仓库管理责任制要上墙。</w:t>
      </w:r>
    </w:p>
    <w:p w14:paraId="39E31F8D">
      <w:pPr>
        <w:ind w:firstLine="480"/>
      </w:pPr>
      <w:r>
        <w:t>②进一步加强危废间内防渗措施。厂内应设立危险废物临时贮存设施，贮存设施应符合《危险废物贮存污染控制标准》（GB18597-2023）的临时贮存控制要求，暂存间地面与裙脚要用坚固、防渗的材料建造，建筑材料必须与危险废物相容，门口要设置围堰。基础和裙脚必须防渗，防渗层为至少1米厚黏土层（渗透系数≤10⁻⁷cm/s），或 2 毫米厚高密度聚乙烯，或至少2毫米厚的其他人工材料，渗透系数≤10</w:t>
      </w:r>
      <w:r>
        <w:rPr>
          <w:vertAlign w:val="superscript"/>
        </w:rPr>
        <w:t>⁻</w:t>
      </w:r>
      <w:r>
        <w:rPr>
          <w:rFonts w:hint="eastAsia"/>
          <w:vertAlign w:val="superscript"/>
        </w:rPr>
        <w:t>10</w:t>
      </w:r>
      <w:r>
        <w:t>cm/s。</w:t>
      </w:r>
    </w:p>
    <w:p w14:paraId="1DFE9918">
      <w:pPr>
        <w:ind w:firstLine="480"/>
      </w:pPr>
      <w:r>
        <w:t>③贮存区内分类存放不同危险废物，禁止混放不相容的危险废物。</w:t>
      </w:r>
    </w:p>
    <w:p w14:paraId="6E4AD254">
      <w:pPr>
        <w:ind w:firstLine="480"/>
      </w:pPr>
      <w:r>
        <w:t>④危险废物贮存区设围堰、集水沟和收集槽，对事故情况下泄漏的物料进行收集，防止泄漏物料扩散。</w:t>
      </w:r>
    </w:p>
    <w:p w14:paraId="38B29929">
      <w:pPr>
        <w:ind w:firstLine="480"/>
      </w:pPr>
      <w:r>
        <w:t>⑤危险废物贮存区应符合消防要求。危险废物贮存设施应配备照明设施、安全防护服装及工具，并设有应急防护设施。</w:t>
      </w:r>
    </w:p>
    <w:p w14:paraId="6F0FBE30">
      <w:pPr>
        <w:ind w:firstLine="480"/>
      </w:pPr>
      <w:r>
        <w:t>⑥危废的暂存区必须有明显标志，具有耐腐蚀、耐压、密封和不与所贮存的废物发生反应等特性。</w:t>
      </w:r>
    </w:p>
    <w:p w14:paraId="710B1A6E">
      <w:pPr>
        <w:ind w:firstLine="480"/>
      </w:pPr>
      <w:r>
        <w:t>⑦危险废物贮存设施内清理出来的泄漏物，一律按危险废物处理；存放危废为具有挥发性气体的仓库内必须有导出口及气体净化装置；装载液体、半固体危险废物的容器内须留足够空间，容器顶部与液体表面之间保留</w:t>
      </w:r>
      <w:r>
        <w:rPr>
          <w:rFonts w:hint="eastAsia"/>
        </w:rPr>
        <w:t>100</w:t>
      </w:r>
      <w:r>
        <w:t>毫米以上的空间。用以存放装载液体、半固体危险废物容器的地方，必须有耐腐蚀的硬化地面，且表面无裂隙。</w:t>
      </w:r>
    </w:p>
    <w:p w14:paraId="28F95D04">
      <w:pPr>
        <w:ind w:firstLine="480"/>
      </w:pPr>
      <w:r>
        <w:rPr>
          <w:rFonts w:hint="eastAsia"/>
        </w:rPr>
        <w:t>3.危险废物运输污染防治措施分析</w:t>
      </w:r>
    </w:p>
    <w:p w14:paraId="519B31EF">
      <w:pPr>
        <w:ind w:firstLine="480"/>
      </w:pPr>
      <w:r>
        <w:t>危险废物运输中应做到以下几点：</w:t>
      </w:r>
    </w:p>
    <w:p w14:paraId="21D36282">
      <w:pPr>
        <w:ind w:firstLine="480"/>
      </w:pPr>
      <w:r>
        <w:t>①危险废物的运输车辆须经主管单位检查，并持有有关单位签发的许可证，负责运输的司机应通过培训，持有证明文件。</w:t>
      </w:r>
    </w:p>
    <w:p w14:paraId="1CAFA130">
      <w:pPr>
        <w:ind w:firstLine="480"/>
      </w:pPr>
      <w:r>
        <w:t>②承载危险废物的车辆须有明显的标志或适当的危险符号，以引起注意。</w:t>
      </w:r>
    </w:p>
    <w:p w14:paraId="73558E2A">
      <w:pPr>
        <w:ind w:firstLine="480"/>
      </w:pPr>
      <w:r>
        <w:t>③载有危险废物的车辆在公路上行驶时，需持有运输许可证，其上应注明废物来源、性质和运往地点。</w:t>
      </w:r>
    </w:p>
    <w:p w14:paraId="6BFE3F9D">
      <w:pPr>
        <w:ind w:firstLine="480"/>
      </w:pPr>
      <w:r>
        <w:t>④组织危险废物的运输单位，在事先需作出周密的运输计划和行驶路线，其中包括有效的废物泄漏情况下的应急措施。</w:t>
      </w:r>
    </w:p>
    <w:p w14:paraId="1264D564">
      <w:pPr>
        <w:ind w:firstLine="480"/>
      </w:pPr>
      <w:r>
        <w:t>通过采取上述措施和管理方案，可满足危险废物临时存放相关标准的要求，将危险废物可能带来的环境影响降到最低。</w:t>
      </w:r>
    </w:p>
    <w:p w14:paraId="4FD31C1D">
      <w:pPr>
        <w:ind w:firstLine="480"/>
      </w:pPr>
      <w:r>
        <w:rPr>
          <w:rFonts w:hint="eastAsia"/>
        </w:rPr>
        <w:t>4.</w:t>
      </w:r>
      <w:r>
        <w:t>危废暂存管理要求</w:t>
      </w:r>
    </w:p>
    <w:p w14:paraId="52595643">
      <w:pPr>
        <w:ind w:firstLine="482"/>
        <w:rPr>
          <w:b/>
          <w:bCs/>
        </w:rPr>
      </w:pPr>
      <w:r>
        <w:rPr>
          <w:b/>
          <w:bCs/>
        </w:rPr>
        <w:t>固废收集、暂存环境管理要求：</w:t>
      </w:r>
    </w:p>
    <w:p w14:paraId="6022743B">
      <w:pPr>
        <w:ind w:firstLine="480"/>
      </w:pPr>
      <w:r>
        <w:t>建设单位需要在明显位置设置相应的固废分类暂存设施，并将产生的废弃物分类存放于标识的容器内或存放区。</w:t>
      </w:r>
    </w:p>
    <w:p w14:paraId="7AE95722">
      <w:pPr>
        <w:ind w:firstLine="480"/>
      </w:pPr>
      <w:r>
        <w:t>危险废弃物存放在危废暂存间，必须粘贴危险废物标识，禁止厂区随意堆置危险废弃物。</w:t>
      </w:r>
    </w:p>
    <w:p w14:paraId="066E4C24">
      <w:pPr>
        <w:ind w:firstLine="482"/>
        <w:rPr>
          <w:b/>
          <w:bCs/>
        </w:rPr>
      </w:pPr>
      <w:r>
        <w:rPr>
          <w:b/>
          <w:bCs/>
        </w:rPr>
        <w:t>危险废物收集和暂存：</w:t>
      </w:r>
    </w:p>
    <w:p w14:paraId="0712B8C6">
      <w:pPr>
        <w:ind w:firstLine="480"/>
      </w:pPr>
      <w:r>
        <w:t>①产生危险废弃物的部门按废弃物类别配备相应的收集容器，容器不能有破损、盖子损坏或其它可能导致废弃物泄漏的隐患。废弃物收集容器应粘贴危险废弃物标签，明显标示其中的废弃物名称、主要成分与性质，并保持清晰可见。</w:t>
      </w:r>
    </w:p>
    <w:p w14:paraId="3D967534">
      <w:pPr>
        <w:ind w:firstLine="480"/>
      </w:pPr>
      <w:r>
        <w:t>②危险废弃物应严格投放在相应的收集容器中，严禁将危险废弃物与生活垃圾混装。</w:t>
      </w:r>
    </w:p>
    <w:p w14:paraId="0DA6ADCA">
      <w:pPr>
        <w:ind w:firstLine="480"/>
      </w:pPr>
      <w:r>
        <w:t>③危险废弃物收集容器应存放在符合安全与环保要求的专门场所及室内特定区域，要避免高温、日晒、雨淋，远离火源。存放危险废弃物的场所应张贴危险废弃物标志、危险废物管理制度、危险化学品及危险废物意外事故防范措施和应急预案、危险废物储存库房管理规定等。</w:t>
      </w:r>
    </w:p>
    <w:p w14:paraId="6C6BF441">
      <w:pPr>
        <w:ind w:firstLine="480"/>
      </w:pPr>
      <w:r>
        <w:t>④定期或不定期对危险固废暂存间进行检查，确保储存间地面无裂缝。</w:t>
      </w:r>
    </w:p>
    <w:p w14:paraId="43A346C2">
      <w:pPr>
        <w:ind w:firstLine="480"/>
      </w:pPr>
      <w:r>
        <w:t>⑤收集、贮存、运输、利用、处置危险废物的设施、场所，危险废物的容器和包装物必须按《危险废物贮存污染控制标准》（GB18597-2023）、《危险废物识别标志设置技术规范》（HJ1276-2022）和《环境保护图形标志－固体废物贮存（处置）场》（GB15562.2-1995）所示标签设置危险废物识别标志。</w:t>
      </w:r>
    </w:p>
    <w:p w14:paraId="653C30FC">
      <w:pPr>
        <w:ind w:firstLine="482"/>
        <w:rPr>
          <w:b/>
          <w:bCs/>
        </w:rPr>
      </w:pPr>
      <w:r>
        <w:rPr>
          <w:b/>
          <w:bCs/>
        </w:rPr>
        <w:t>危险废物管理制度：</w:t>
      </w:r>
    </w:p>
    <w:p w14:paraId="351CD735">
      <w:pPr>
        <w:ind w:firstLine="480"/>
      </w:pPr>
      <w:r>
        <w:t>①危险废物的收集、暂存、转移、综合利用活动必须遵守国家和地方有关规定。</w:t>
      </w:r>
    </w:p>
    <w:p w14:paraId="32F68FBD">
      <w:pPr>
        <w:ind w:firstLine="480"/>
      </w:pPr>
      <w:r>
        <w:t>②危险废物的容器和包装物以及收集、暂存、转移、处置危险废物的设施、场所，必须设置危险废物识别标志。</w:t>
      </w:r>
    </w:p>
    <w:p w14:paraId="35054FE6">
      <w:pPr>
        <w:ind w:firstLine="480"/>
      </w:pPr>
      <w:r>
        <w:t>③对危险废物暂时贮存场所要加强管理，定期巡检，确保危险废物不扩散、不渗漏、不丢失等。</w:t>
      </w:r>
    </w:p>
    <w:p w14:paraId="54E1E556">
      <w:pPr>
        <w:ind w:firstLine="480"/>
      </w:pPr>
      <w:r>
        <w:t>④制定危险废物管理计划，并向区生态环境部门申报危险废物的种类、产生量、流向、贮存、处置等有关资料。</w:t>
      </w:r>
    </w:p>
    <w:p w14:paraId="353BA703">
      <w:pPr>
        <w:ind w:firstLine="480"/>
      </w:pPr>
      <w:r>
        <w:t>⑤禁止向环境倾倒、堆置危险废物。</w:t>
      </w:r>
    </w:p>
    <w:p w14:paraId="4BB05D19">
      <w:pPr>
        <w:ind w:firstLine="480"/>
      </w:pPr>
      <w:r>
        <w:t>⑥禁止将危险废物混入非危险废物中收集、暂存、转移、处置。</w:t>
      </w:r>
    </w:p>
    <w:p w14:paraId="0C65E34D">
      <w:pPr>
        <w:ind w:firstLine="480"/>
      </w:pPr>
      <w:r>
        <w:t>⑦需要转移危险废物时，严格按照《危险废物转移联单管理办法》对危险废物进行转移处置，必须按照相关规定办理危险废物转移联单，未经批准，不得进行转移。</w:t>
      </w:r>
    </w:p>
    <w:p w14:paraId="2EB86D3B">
      <w:pPr>
        <w:ind w:firstLine="480"/>
      </w:pPr>
      <w:r>
        <w:t>⑧禁止将危险废物转移至无危险废物经营资质的单位。</w:t>
      </w:r>
    </w:p>
    <w:p w14:paraId="51A8A327">
      <w:pPr>
        <w:ind w:firstLine="480"/>
      </w:pPr>
      <w:r>
        <w:t>⑨运输危险废物，必须采取防止污染环境的措施，并遵守国家有关危险货物运输管理的规定。禁止将危险废物与旅客在同一运输工具上载运。</w:t>
      </w:r>
    </w:p>
    <w:p w14:paraId="49640700">
      <w:pPr>
        <w:ind w:firstLine="480"/>
      </w:pPr>
      <w:r>
        <w:t>⑩制定危险废物污染事故防范措施和应急预案，并报生态环境主管部门进行备案，建立健全危险废物管理台账。</w:t>
      </w:r>
    </w:p>
    <w:p w14:paraId="4E239C00">
      <w:pPr>
        <w:ind w:firstLine="480"/>
      </w:pPr>
      <w:r>
        <w:t>⑪因发生事故或者其他突发性事件，造成危险废物严重污染环境时，必须立即采取措施消除或者减轻对环境的污染危害，及时通报可能受到污染危害的单位和居民并向当地生态环境部门和有关部门报告，接受调查处理。</w:t>
      </w:r>
    </w:p>
    <w:p w14:paraId="6E41DE88">
      <w:pPr>
        <w:ind w:firstLine="480"/>
      </w:pPr>
      <w:r>
        <w:t>⑫禁止经中华人民共和国过境转移危险废物。</w:t>
      </w:r>
    </w:p>
    <w:p w14:paraId="06A87FC9">
      <w:pPr>
        <w:ind w:firstLine="482"/>
        <w:rPr>
          <w:b/>
          <w:bCs/>
        </w:rPr>
      </w:pPr>
      <w:r>
        <w:rPr>
          <w:b/>
          <w:bCs/>
        </w:rPr>
        <w:t>危废暂存间环境管理要求：</w:t>
      </w:r>
    </w:p>
    <w:p w14:paraId="0D3D9DAF">
      <w:pPr>
        <w:ind w:firstLine="480"/>
      </w:pPr>
      <w:r>
        <w:t>①禁止危险废物和生活垃圾混入；</w:t>
      </w:r>
    </w:p>
    <w:p w14:paraId="7388443B">
      <w:pPr>
        <w:ind w:firstLine="480"/>
      </w:pPr>
      <w:r>
        <w:t>②危险废物应当使用符合标准的容器分类盛装，无法装入常用容器的危险废物可用防漏胶袋等盛装；装载液体、半固体危险废物的容器内须留足够空间，容器顶部与液体表面之间保留100mm以上的空间。总贮存量不超过300kg（L）的危险废物要放入符合标准的容器内、加上标签、容器放入坚固的柜或箱中，柜或箱应设多个直径不少于30mm的排气孔。盛装危险废物的容器上必须粘贴符合标准的标签；</w:t>
      </w:r>
    </w:p>
    <w:p w14:paraId="03C8DC34">
      <w:pPr>
        <w:ind w:firstLine="480"/>
      </w:pPr>
      <w:r>
        <w:t>③禁止将不相容（相互反应）的危险废物在同一容器内混装；不相容危险废物要分别存放或存放在不渗透间隔分开的区域内。</w:t>
      </w:r>
    </w:p>
    <w:p w14:paraId="63B18453">
      <w:pPr>
        <w:ind w:firstLine="480"/>
      </w:pPr>
      <w:r>
        <w:t>④作好危险废物情况的记录。记录上须注明危险废物的名称、来源、数量、特性和包装容器的类别、入库日期、存放库位、废物出库日期及接收单位名称。危险废物的记录和货单在危险废物回取后应继续保留3年；</w:t>
      </w:r>
    </w:p>
    <w:p w14:paraId="0B844C7A">
      <w:pPr>
        <w:ind w:firstLine="480"/>
      </w:pPr>
      <w:r>
        <w:t>⑤必须定期对所贮存的危险废物包装容器及贮存设施进行检查，发现破损应及时采取措施清理更换；</w:t>
      </w:r>
    </w:p>
    <w:p w14:paraId="255A8D50">
      <w:pPr>
        <w:ind w:firstLine="480"/>
      </w:pPr>
      <w:r>
        <w:t>⑥按照盛装危险废物的容器上必须粘贴符合《危险废物识别标志设置技术规范》（HJ1276-2022）附录A所示的标签。危废间标签及危险固废暂堆场所的环境保护图形标志</w:t>
      </w:r>
      <w:r>
        <w:rPr>
          <w:rFonts w:hint="eastAsia"/>
        </w:rPr>
        <w:t>图例</w:t>
      </w:r>
      <w:r>
        <w:t>如下</w:t>
      </w:r>
      <w:r>
        <w:rPr>
          <w:rFonts w:hint="eastAsia"/>
        </w:rPr>
        <w:t>：</w:t>
      </w:r>
    </w:p>
    <w:p w14:paraId="1D3D7DCF">
      <w:pPr>
        <w:spacing w:line="520" w:lineRule="exact"/>
        <w:ind w:firstLine="482"/>
        <w:jc w:val="left"/>
        <w:rPr>
          <w:b/>
          <w:bCs/>
        </w:rPr>
      </w:pPr>
      <w:r>
        <w:rPr>
          <w:b/>
          <w:bCs/>
        </w:rPr>
        <w:t>危险废物标签</w:t>
      </w:r>
    </w:p>
    <w:p w14:paraId="4B220D5C">
      <w:pPr>
        <w:pStyle w:val="51"/>
        <w:numPr>
          <w:ilvl w:val="5"/>
          <w:numId w:val="0"/>
        </w:numPr>
        <w:tabs>
          <w:tab w:val="left" w:pos="4395"/>
        </w:tabs>
        <w:spacing w:before="0" w:beforeLines="0"/>
        <w:ind w:left="4700" w:leftChars="0" w:hanging="3260" w:firstLineChars="0"/>
      </w:pPr>
      <w:r>
        <w:rPr>
          <w:rFonts w:hint="default" w:ascii="宋体" w:hAnsi="宋体" w:eastAsia="宋体" w:cs="宋体"/>
          <w:b/>
          <w:bCs/>
          <w:color w:val="auto"/>
          <w:kern w:val="2"/>
          <w:sz w:val="21"/>
          <w:szCs w:val="21"/>
          <w:lang w:val="en-US" w:eastAsia="zh-CN" w:bidi="ar-SA"/>
        </w:rPr>
        <w:t xml:space="preserve">表8.2-7 </w:t>
      </w:r>
      <w:r>
        <w:rPr>
          <w:rFonts w:hint="eastAsia"/>
        </w:rPr>
        <w:t>危险废物标签样式</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1"/>
        <w:gridCol w:w="4879"/>
        <w:gridCol w:w="3202"/>
      </w:tblGrid>
      <w:tr w14:paraId="6B7EE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432" w:type="dxa"/>
            <w:vAlign w:val="center"/>
          </w:tcPr>
          <w:p w14:paraId="085ACFC5">
            <w:pPr>
              <w:adjustRightInd w:val="0"/>
              <w:snapToGrid w:val="0"/>
              <w:spacing w:line="240" w:lineRule="auto"/>
              <w:rPr>
                <w:sz w:val="21"/>
                <w:szCs w:val="21"/>
              </w:rPr>
            </w:pPr>
            <w:r>
              <w:rPr>
                <w:sz w:val="21"/>
                <w:szCs w:val="21"/>
              </w:rPr>
              <w:t>序号</w:t>
            </w:r>
          </w:p>
        </w:tc>
        <w:tc>
          <w:tcPr>
            <w:tcW w:w="4781" w:type="dxa"/>
            <w:vAlign w:val="center"/>
          </w:tcPr>
          <w:p w14:paraId="60232F52">
            <w:pPr>
              <w:adjustRightInd w:val="0"/>
              <w:snapToGrid w:val="0"/>
              <w:spacing w:line="240" w:lineRule="auto"/>
              <w:rPr>
                <w:sz w:val="21"/>
                <w:szCs w:val="21"/>
              </w:rPr>
            </w:pPr>
            <w:r>
              <w:rPr>
                <w:sz w:val="21"/>
                <w:szCs w:val="21"/>
              </w:rPr>
              <w:t>危险废物标签样式</w:t>
            </w:r>
          </w:p>
        </w:tc>
        <w:tc>
          <w:tcPr>
            <w:tcW w:w="3137" w:type="dxa"/>
            <w:vAlign w:val="center"/>
          </w:tcPr>
          <w:p w14:paraId="5D199FC3">
            <w:pPr>
              <w:adjustRightInd w:val="0"/>
              <w:snapToGrid w:val="0"/>
              <w:spacing w:line="240" w:lineRule="auto"/>
              <w:rPr>
                <w:sz w:val="21"/>
                <w:szCs w:val="21"/>
              </w:rPr>
            </w:pPr>
            <w:r>
              <w:rPr>
                <w:sz w:val="21"/>
                <w:szCs w:val="21"/>
              </w:rPr>
              <w:t>说明</w:t>
            </w:r>
          </w:p>
        </w:tc>
      </w:tr>
      <w:tr w14:paraId="5BD259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Align w:val="center"/>
          </w:tcPr>
          <w:p w14:paraId="652B86F5">
            <w:pPr>
              <w:adjustRightInd w:val="0"/>
              <w:snapToGrid w:val="0"/>
              <w:spacing w:line="240" w:lineRule="auto"/>
              <w:rPr>
                <w:sz w:val="21"/>
                <w:szCs w:val="21"/>
              </w:rPr>
            </w:pPr>
            <w:r>
              <w:rPr>
                <w:sz w:val="21"/>
                <w:szCs w:val="21"/>
              </w:rPr>
              <w:t>1</w:t>
            </w:r>
          </w:p>
        </w:tc>
        <w:tc>
          <w:tcPr>
            <w:tcW w:w="4781" w:type="dxa"/>
            <w:vAlign w:val="center"/>
          </w:tcPr>
          <w:p w14:paraId="3CDB007F">
            <w:pPr>
              <w:adjustRightInd w:val="0"/>
              <w:snapToGrid w:val="0"/>
              <w:spacing w:line="240" w:lineRule="auto"/>
              <w:rPr>
                <w:sz w:val="21"/>
                <w:szCs w:val="21"/>
              </w:rPr>
            </w:pPr>
            <w:r>
              <w:rPr>
                <w:rFonts w:hint="eastAsia"/>
                <w:sz w:val="21"/>
                <w:szCs w:val="21"/>
              </w:rPr>
              <w:drawing>
                <wp:inline distT="0" distB="0" distL="114300" distR="114300">
                  <wp:extent cx="2891155" cy="2891155"/>
                  <wp:effectExtent l="0" t="0" r="4445" b="4445"/>
                  <wp:docPr id="1"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
                          <pic:cNvPicPr>
                            <a:picLocks noChangeAspect="1"/>
                          </pic:cNvPicPr>
                        </pic:nvPicPr>
                        <pic:blipFill>
                          <a:blip r:embed="rId148"/>
                          <a:stretch>
                            <a:fillRect/>
                          </a:stretch>
                        </pic:blipFill>
                        <pic:spPr>
                          <a:xfrm>
                            <a:off x="0" y="0"/>
                            <a:ext cx="2891155" cy="2891155"/>
                          </a:xfrm>
                          <a:prstGeom prst="rect">
                            <a:avLst/>
                          </a:prstGeom>
                        </pic:spPr>
                      </pic:pic>
                    </a:graphicData>
                  </a:graphic>
                </wp:inline>
              </w:drawing>
            </w:r>
          </w:p>
        </w:tc>
        <w:tc>
          <w:tcPr>
            <w:tcW w:w="3137" w:type="dxa"/>
            <w:vAlign w:val="center"/>
          </w:tcPr>
          <w:p w14:paraId="236FDE9B">
            <w:pPr>
              <w:adjustRightInd w:val="0"/>
              <w:snapToGrid w:val="0"/>
              <w:spacing w:line="240" w:lineRule="auto"/>
              <w:rPr>
                <w:sz w:val="21"/>
                <w:szCs w:val="21"/>
              </w:rPr>
            </w:pPr>
            <w:r>
              <w:rPr>
                <w:sz w:val="21"/>
                <w:szCs w:val="21"/>
              </w:rPr>
              <w:t>颜色：</w:t>
            </w:r>
            <w:r>
              <w:rPr>
                <w:rFonts w:hint="eastAsia"/>
                <w:sz w:val="21"/>
                <w:szCs w:val="21"/>
              </w:rPr>
              <w:t>背景色应采用醒目的橘黄色，标签边框和字体颜色为黑；</w:t>
            </w:r>
          </w:p>
          <w:p w14:paraId="42CB1AF7">
            <w:pPr>
              <w:adjustRightInd w:val="0"/>
              <w:snapToGrid w:val="0"/>
              <w:spacing w:line="240" w:lineRule="auto"/>
              <w:rPr>
                <w:sz w:val="21"/>
                <w:szCs w:val="21"/>
              </w:rPr>
            </w:pPr>
            <w:r>
              <w:rPr>
                <w:sz w:val="21"/>
                <w:szCs w:val="21"/>
              </w:rPr>
              <w:t>字体：黑体字</w:t>
            </w:r>
            <w:r>
              <w:rPr>
                <w:rFonts w:hint="eastAsia"/>
                <w:sz w:val="21"/>
                <w:szCs w:val="21"/>
              </w:rPr>
              <w:t>，其中“危险废物”字样应加粗放大。</w:t>
            </w:r>
          </w:p>
          <w:p w14:paraId="24218CB3">
            <w:pPr>
              <w:adjustRightInd w:val="0"/>
              <w:snapToGrid w:val="0"/>
              <w:spacing w:line="240" w:lineRule="auto"/>
              <w:rPr>
                <w:sz w:val="21"/>
                <w:szCs w:val="21"/>
              </w:rPr>
            </w:pPr>
            <w:r>
              <w:rPr>
                <w:sz w:val="21"/>
                <w:szCs w:val="21"/>
              </w:rPr>
              <w:t>尺寸：</w:t>
            </w:r>
            <w:r>
              <w:rPr>
                <w:rFonts w:hint="eastAsia"/>
                <w:sz w:val="21"/>
                <w:szCs w:val="21"/>
              </w:rPr>
              <w:t>按照（HJ1276-2022）表1中的要求设置</w:t>
            </w:r>
          </w:p>
          <w:p w14:paraId="43FB0402">
            <w:pPr>
              <w:adjustRightInd w:val="0"/>
              <w:snapToGrid w:val="0"/>
              <w:spacing w:line="240" w:lineRule="auto"/>
              <w:rPr>
                <w:sz w:val="21"/>
                <w:szCs w:val="21"/>
              </w:rPr>
            </w:pPr>
            <w:r>
              <w:rPr>
                <w:rFonts w:hint="eastAsia"/>
                <w:sz w:val="21"/>
                <w:szCs w:val="21"/>
              </w:rPr>
              <w:t>危险废物标签的材质</w:t>
            </w:r>
            <w:r>
              <w:rPr>
                <w:sz w:val="21"/>
                <w:szCs w:val="21"/>
              </w:rPr>
              <w:t>：</w:t>
            </w:r>
            <w:r>
              <w:rPr>
                <w:rFonts w:hint="eastAsia"/>
                <w:sz w:val="21"/>
                <w:szCs w:val="21"/>
              </w:rPr>
              <w:t>耐用性和防水性，标签可采用不干胶印刷品，或印刷品外加防水塑料袋或塑封等</w:t>
            </w:r>
          </w:p>
          <w:p w14:paraId="542A1576">
            <w:pPr>
              <w:adjustRightInd w:val="0"/>
              <w:snapToGrid w:val="0"/>
              <w:spacing w:line="240" w:lineRule="auto"/>
              <w:rPr>
                <w:sz w:val="21"/>
                <w:szCs w:val="21"/>
              </w:rPr>
            </w:pPr>
            <w:r>
              <w:rPr>
                <w:rFonts w:hint="eastAsia"/>
                <w:sz w:val="21"/>
                <w:szCs w:val="21"/>
              </w:rPr>
              <w:t>危险废物标签的印刷</w:t>
            </w:r>
            <w:r>
              <w:rPr>
                <w:sz w:val="21"/>
                <w:szCs w:val="21"/>
              </w:rPr>
              <w:t>：</w:t>
            </w:r>
            <w:r>
              <w:rPr>
                <w:rFonts w:hint="eastAsia"/>
                <w:sz w:val="21"/>
                <w:szCs w:val="21"/>
              </w:rPr>
              <w:t>危险废物标签印刷的油墨应均匀，图案和文字应清晰、完整。危险废物标签的文字边缘宜加黑色边</w:t>
            </w:r>
          </w:p>
          <w:p w14:paraId="3C953645">
            <w:pPr>
              <w:adjustRightInd w:val="0"/>
              <w:snapToGrid w:val="0"/>
              <w:spacing w:line="240" w:lineRule="auto"/>
              <w:rPr>
                <w:sz w:val="21"/>
                <w:szCs w:val="21"/>
              </w:rPr>
            </w:pPr>
            <w:r>
              <w:rPr>
                <w:rFonts w:hint="eastAsia"/>
                <w:sz w:val="21"/>
                <w:szCs w:val="21"/>
              </w:rPr>
              <w:t>框，边框宽度不小于1mm，边框外宜留不小于3mm的空白。</w:t>
            </w:r>
          </w:p>
        </w:tc>
      </w:tr>
    </w:tbl>
    <w:p w14:paraId="1D34C3B4">
      <w:pPr>
        <w:ind w:firstLine="482"/>
        <w:jc w:val="left"/>
        <w:rPr>
          <w:b/>
          <w:bCs/>
        </w:rPr>
      </w:pPr>
      <w:r>
        <w:rPr>
          <w:rFonts w:hint="eastAsia"/>
          <w:b/>
          <w:bCs/>
        </w:rPr>
        <w:t>危险废物特性警示图形</w:t>
      </w:r>
    </w:p>
    <w:p w14:paraId="6D39E0F9">
      <w:pPr>
        <w:jc w:val="center"/>
        <w:rPr>
          <w:b/>
          <w:bCs/>
        </w:rPr>
      </w:pPr>
      <w:r>
        <w:rPr>
          <w:rFonts w:hint="eastAsia"/>
          <w:b/>
          <w:bCs/>
        </w:rPr>
        <w:drawing>
          <wp:inline distT="0" distB="0" distL="114300" distR="114300">
            <wp:extent cx="5290820" cy="3843655"/>
            <wp:effectExtent l="0" t="0" r="5080" b="4445"/>
            <wp:docPr id="5" name="图片 5" descr="7a2677add6b646f897096fbfa9dbca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a2677add6b646f897096fbfa9dbca1d"/>
                    <pic:cNvPicPr>
                      <a:picLocks noChangeAspect="1"/>
                    </pic:cNvPicPr>
                  </pic:nvPicPr>
                  <pic:blipFill>
                    <a:blip r:embed="rId149"/>
                    <a:stretch>
                      <a:fillRect/>
                    </a:stretch>
                  </pic:blipFill>
                  <pic:spPr>
                    <a:xfrm>
                      <a:off x="0" y="0"/>
                      <a:ext cx="5290820" cy="3843655"/>
                    </a:xfrm>
                    <a:prstGeom prst="rect">
                      <a:avLst/>
                    </a:prstGeom>
                  </pic:spPr>
                </pic:pic>
              </a:graphicData>
            </a:graphic>
          </wp:inline>
        </w:drawing>
      </w:r>
    </w:p>
    <w:p w14:paraId="5728AF92">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表8.2-8 </w:t>
      </w:r>
      <w:r>
        <w:rPr>
          <w:rFonts w:hint="eastAsia"/>
        </w:rPr>
        <w:t>危险固废暂堆场所的环境保护图形标志</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001"/>
        <w:gridCol w:w="6335"/>
      </w:tblGrid>
      <w:tr w14:paraId="7BECEC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00" w:type="dxa"/>
            <w:vAlign w:val="center"/>
          </w:tcPr>
          <w:p w14:paraId="4767946F">
            <w:pPr>
              <w:adjustRightInd w:val="0"/>
              <w:snapToGrid w:val="0"/>
              <w:spacing w:line="240" w:lineRule="auto"/>
              <w:ind w:firstLine="420"/>
              <w:jc w:val="center"/>
              <w:rPr>
                <w:sz w:val="21"/>
                <w:szCs w:val="21"/>
              </w:rPr>
            </w:pPr>
            <w:r>
              <w:rPr>
                <w:sz w:val="21"/>
                <w:szCs w:val="21"/>
              </w:rPr>
              <w:t>排放口名称</w:t>
            </w:r>
          </w:p>
        </w:tc>
        <w:tc>
          <w:tcPr>
            <w:tcW w:w="6331" w:type="dxa"/>
            <w:vAlign w:val="center"/>
          </w:tcPr>
          <w:p w14:paraId="15F9CB80">
            <w:pPr>
              <w:adjustRightInd w:val="0"/>
              <w:snapToGrid w:val="0"/>
              <w:spacing w:line="240" w:lineRule="auto"/>
              <w:ind w:firstLine="420"/>
              <w:jc w:val="center"/>
              <w:rPr>
                <w:sz w:val="21"/>
                <w:szCs w:val="21"/>
              </w:rPr>
            </w:pPr>
            <w:r>
              <w:rPr>
                <w:rFonts w:hint="eastAsia"/>
                <w:sz w:val="21"/>
                <w:szCs w:val="21"/>
              </w:rPr>
              <w:t>图形标志及内容</w:t>
            </w:r>
          </w:p>
        </w:tc>
      </w:tr>
      <w:tr w14:paraId="3DDA81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00" w:type="dxa"/>
            <w:vAlign w:val="center"/>
          </w:tcPr>
          <w:p w14:paraId="4E5660B3">
            <w:pPr>
              <w:adjustRightInd w:val="0"/>
              <w:snapToGrid w:val="0"/>
              <w:spacing w:line="240" w:lineRule="auto"/>
              <w:rPr>
                <w:sz w:val="21"/>
                <w:szCs w:val="21"/>
              </w:rPr>
            </w:pPr>
            <w:r>
              <w:rPr>
                <w:sz w:val="21"/>
                <w:szCs w:val="21"/>
              </w:rPr>
              <w:t>危险废物信息公开栏</w:t>
            </w:r>
          </w:p>
        </w:tc>
        <w:tc>
          <w:tcPr>
            <w:tcW w:w="6331" w:type="dxa"/>
            <w:vAlign w:val="center"/>
          </w:tcPr>
          <w:p w14:paraId="6A396EEB">
            <w:pPr>
              <w:pStyle w:val="56"/>
              <w:spacing w:line="240" w:lineRule="atLeast"/>
              <w:ind w:firstLine="480"/>
              <w:jc w:val="center"/>
              <w:rPr>
                <w:rFonts w:ascii="Times New Roman" w:hAnsi="Times New Roman" w:eastAsia="Times New Roman"/>
                <w:sz w:val="20"/>
              </w:rPr>
            </w:pPr>
            <w:r>
              <w:rPr>
                <w:rFonts w:ascii="Times New Roman" w:hAnsi="Times New Roman" w:cs="Times New Roman"/>
                <w:kern w:val="0"/>
                <w:lang w:val="en-US" w:bidi="ar-SA"/>
              </w:rPr>
              <w:drawing>
                <wp:anchor distT="0" distB="0" distL="114300" distR="114300" simplePos="0" relativeHeight="251662336" behindDoc="0" locked="0" layoutInCell="1" allowOverlap="1">
                  <wp:simplePos x="0" y="0"/>
                  <wp:positionH relativeFrom="column">
                    <wp:posOffset>279400</wp:posOffset>
                  </wp:positionH>
                  <wp:positionV relativeFrom="paragraph">
                    <wp:posOffset>41910</wp:posOffset>
                  </wp:positionV>
                  <wp:extent cx="3949065" cy="1699260"/>
                  <wp:effectExtent l="0" t="0" r="13335" b="15240"/>
                  <wp:wrapSquare wrapText="bothSides"/>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50">
                            <a:lum/>
                          </a:blip>
                          <a:stretch>
                            <a:fillRect/>
                          </a:stretch>
                        </pic:blipFill>
                        <pic:spPr>
                          <a:xfrm>
                            <a:off x="0" y="0"/>
                            <a:ext cx="3949065" cy="1699260"/>
                          </a:xfrm>
                          <a:prstGeom prst="rect">
                            <a:avLst/>
                          </a:prstGeom>
                          <a:noFill/>
                          <a:ln>
                            <a:noFill/>
                          </a:ln>
                        </pic:spPr>
                      </pic:pic>
                    </a:graphicData>
                  </a:graphic>
                </wp:anchor>
              </w:drawing>
            </w:r>
          </w:p>
        </w:tc>
      </w:tr>
      <w:tr w14:paraId="25C46C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00" w:type="dxa"/>
            <w:vAlign w:val="center"/>
          </w:tcPr>
          <w:p w14:paraId="5E458281">
            <w:pPr>
              <w:adjustRightInd w:val="0"/>
              <w:snapToGrid w:val="0"/>
              <w:spacing w:line="240" w:lineRule="auto"/>
              <w:rPr>
                <w:sz w:val="21"/>
                <w:szCs w:val="21"/>
              </w:rPr>
            </w:pPr>
            <w:r>
              <w:rPr>
                <w:sz w:val="21"/>
                <w:szCs w:val="21"/>
              </w:rPr>
              <w:t>贮存</w:t>
            </w:r>
            <w:r>
              <w:rPr>
                <w:rFonts w:hint="eastAsia"/>
                <w:sz w:val="21"/>
                <w:szCs w:val="21"/>
              </w:rPr>
              <w:t>、利用、处置</w:t>
            </w:r>
            <w:r>
              <w:rPr>
                <w:sz w:val="21"/>
                <w:szCs w:val="21"/>
              </w:rPr>
              <w:t>设施警示标志牌</w:t>
            </w:r>
          </w:p>
          <w:p w14:paraId="6F50D43A">
            <w:pPr>
              <w:adjustRightInd w:val="0"/>
              <w:snapToGrid w:val="0"/>
              <w:spacing w:line="240" w:lineRule="auto"/>
              <w:ind w:firstLine="420"/>
              <w:jc w:val="center"/>
              <w:rPr>
                <w:color w:val="FF0000"/>
                <w:sz w:val="21"/>
                <w:szCs w:val="21"/>
              </w:rPr>
            </w:pPr>
          </w:p>
        </w:tc>
        <w:tc>
          <w:tcPr>
            <w:tcW w:w="6331" w:type="dxa"/>
            <w:vAlign w:val="center"/>
          </w:tcPr>
          <w:p w14:paraId="1164D610">
            <w:pPr>
              <w:pStyle w:val="56"/>
              <w:ind w:firstLine="420"/>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SA"/>
              </w:rPr>
              <w:drawing>
                <wp:inline distT="0" distB="0" distL="114300" distR="114300">
                  <wp:extent cx="2896870" cy="1426845"/>
                  <wp:effectExtent l="0" t="0" r="17780" b="1905"/>
                  <wp:docPr id="24" name="图片 24" descr="725a7ae3fa2b4ca4be216d9cebb4e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725a7ae3fa2b4ca4be216d9cebb4e755"/>
                          <pic:cNvPicPr>
                            <a:picLocks noChangeAspect="1"/>
                          </pic:cNvPicPr>
                        </pic:nvPicPr>
                        <pic:blipFill>
                          <a:blip r:embed="rId151"/>
                          <a:stretch>
                            <a:fillRect/>
                          </a:stretch>
                        </pic:blipFill>
                        <pic:spPr>
                          <a:xfrm>
                            <a:off x="0" y="0"/>
                            <a:ext cx="2896870" cy="1426845"/>
                          </a:xfrm>
                          <a:prstGeom prst="rect">
                            <a:avLst/>
                          </a:prstGeom>
                        </pic:spPr>
                      </pic:pic>
                    </a:graphicData>
                  </a:graphic>
                </wp:inline>
              </w:drawing>
            </w:r>
          </w:p>
          <w:p w14:paraId="0DC7BF59">
            <w:pPr>
              <w:adjustRightInd w:val="0"/>
              <w:snapToGrid w:val="0"/>
              <w:spacing w:line="240" w:lineRule="auto"/>
              <w:rPr>
                <w:sz w:val="21"/>
                <w:szCs w:val="21"/>
              </w:rPr>
            </w:pPr>
            <w:r>
              <w:rPr>
                <w:rFonts w:hint="eastAsia"/>
                <w:sz w:val="21"/>
                <w:szCs w:val="21"/>
              </w:rPr>
              <w:t>颜色：背景</w:t>
            </w:r>
            <w:r>
              <w:rPr>
                <w:sz w:val="21"/>
                <w:szCs w:val="21"/>
              </w:rPr>
              <w:t>色黄色</w:t>
            </w:r>
            <w:r>
              <w:rPr>
                <w:rFonts w:hint="eastAsia"/>
                <w:sz w:val="21"/>
                <w:szCs w:val="21"/>
              </w:rPr>
              <w:t>，字体和边框颜色为黑色</w:t>
            </w:r>
          </w:p>
          <w:p w14:paraId="181A08A6">
            <w:pPr>
              <w:adjustRightInd w:val="0"/>
              <w:snapToGrid w:val="0"/>
              <w:spacing w:line="240" w:lineRule="auto"/>
              <w:rPr>
                <w:sz w:val="21"/>
                <w:szCs w:val="21"/>
              </w:rPr>
            </w:pPr>
            <w:r>
              <w:rPr>
                <w:sz w:val="21"/>
                <w:szCs w:val="21"/>
              </w:rPr>
              <w:t>字体：黑体字</w:t>
            </w:r>
            <w:r>
              <w:rPr>
                <w:rFonts w:hint="eastAsia"/>
                <w:sz w:val="21"/>
                <w:szCs w:val="21"/>
              </w:rPr>
              <w:t>，其中“危险废物贮存分区标志”字样应加粗放大并居中显示。</w:t>
            </w:r>
          </w:p>
          <w:p w14:paraId="18CD61ED">
            <w:pPr>
              <w:adjustRightInd w:val="0"/>
              <w:snapToGrid w:val="0"/>
              <w:spacing w:line="240" w:lineRule="auto"/>
              <w:rPr>
                <w:sz w:val="21"/>
                <w:szCs w:val="21"/>
              </w:rPr>
            </w:pPr>
            <w:r>
              <w:rPr>
                <w:sz w:val="21"/>
                <w:szCs w:val="21"/>
              </w:rPr>
              <w:t>尺寸：</w:t>
            </w:r>
            <w:r>
              <w:rPr>
                <w:rFonts w:hint="eastAsia"/>
                <w:sz w:val="21"/>
                <w:szCs w:val="21"/>
              </w:rPr>
              <w:t>按照（HJ1276-2022）表3中的要求设置</w:t>
            </w:r>
          </w:p>
          <w:p w14:paraId="080FB8F9">
            <w:pPr>
              <w:adjustRightInd w:val="0"/>
              <w:snapToGrid w:val="0"/>
              <w:spacing w:line="240" w:lineRule="auto"/>
              <w:rPr>
                <w:sz w:val="21"/>
                <w:szCs w:val="21"/>
              </w:rPr>
            </w:pPr>
            <w:r>
              <w:rPr>
                <w:rFonts w:hint="eastAsia"/>
                <w:sz w:val="21"/>
                <w:szCs w:val="21"/>
              </w:rPr>
              <w:t>材质</w:t>
            </w:r>
            <w:r>
              <w:rPr>
                <w:sz w:val="21"/>
                <w:szCs w:val="21"/>
              </w:rPr>
              <w:t>：</w:t>
            </w:r>
            <w:r>
              <w:rPr>
                <w:rFonts w:hint="eastAsia"/>
                <w:sz w:val="21"/>
                <w:szCs w:val="21"/>
              </w:rPr>
              <w:t>危险废物贮存、利用、处置设施标志宜采用坚固耐用的材料（如1.5mm～2mm冷轧钢板），并做搪瓷处理或贴膜处理。一般不宜使用遇水变形、变质或易燃的材料。柱式标志牌的立柱可采用38×4无缝钢管或其他坚固耐用的材料，并经过防腐处理。</w:t>
            </w:r>
          </w:p>
          <w:p w14:paraId="10049DD3">
            <w:pPr>
              <w:adjustRightInd w:val="0"/>
              <w:snapToGrid w:val="0"/>
              <w:spacing w:line="240" w:lineRule="auto"/>
              <w:rPr>
                <w:sz w:val="21"/>
                <w:szCs w:val="21"/>
              </w:rPr>
            </w:pPr>
            <w:r>
              <w:rPr>
                <w:rFonts w:hint="eastAsia"/>
                <w:sz w:val="21"/>
                <w:szCs w:val="21"/>
              </w:rPr>
              <w:t>印刷</w:t>
            </w:r>
            <w:r>
              <w:rPr>
                <w:sz w:val="21"/>
                <w:szCs w:val="21"/>
              </w:rPr>
              <w:t>：</w:t>
            </w:r>
            <w:r>
              <w:rPr>
                <w:rFonts w:hint="eastAsia"/>
                <w:sz w:val="21"/>
                <w:szCs w:val="21"/>
              </w:rPr>
              <w:t>的图形和文字应清晰、完整，保证在足够的观察距离条件下也不影响阅读。三角形警告性图形与其他信息间宜加黑色分界线区分，分界线的宽度宜不小于3mm。</w:t>
            </w:r>
          </w:p>
          <w:p w14:paraId="3C2C7F2B">
            <w:pPr>
              <w:pStyle w:val="56"/>
              <w:spacing w:line="240" w:lineRule="auto"/>
              <w:rPr>
                <w:rFonts w:ascii="Times New Roman" w:hAnsi="Times New Roman" w:cs="Times New Roman"/>
                <w:sz w:val="21"/>
                <w:szCs w:val="21"/>
                <w:lang w:val="en-US"/>
              </w:rPr>
            </w:pPr>
            <w:r>
              <w:rPr>
                <w:rFonts w:hint="eastAsia" w:ascii="Times New Roman" w:hAnsi="Times New Roman" w:cs="Times New Roman"/>
                <w:sz w:val="21"/>
                <w:szCs w:val="21"/>
                <w:lang w:val="en-US"/>
              </w:rPr>
              <w:t>外观质量要求：标志牌和立柱无明显变形。标志牌表面无气，膜或搪瓷无脱落。图案清晰，色泽一致，没有明显缺损。</w:t>
            </w:r>
          </w:p>
        </w:tc>
      </w:tr>
    </w:tbl>
    <w:p w14:paraId="097B156E">
      <w:pPr>
        <w:pStyle w:val="40"/>
        <w:spacing w:line="360" w:lineRule="auto"/>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rPr>
        <w:t>上述危险废物的收集和管理，公司委派专人负责，各种废弃物的储存容器都有很好的密封性，危废临时储存场所按照《危险废物贮存污染控制标准》（GB18597-2023）相关要求进行防渗、防漏处理，安全可靠，不会受到风雨侵蚀，可有效防止临时存放过程中二次污染。</w:t>
      </w:r>
    </w:p>
    <w:p w14:paraId="3779E7A9">
      <w:pPr>
        <w:pStyle w:val="2"/>
        <w:numPr>
          <w:ilvl w:val="0"/>
          <w:numId w:val="0"/>
        </w:numPr>
        <w:ind w:left="425" w:leftChars="0" w:hanging="425" w:firstLineChars="0"/>
        <w:rPr>
          <w:color w:val="auto"/>
        </w:rPr>
      </w:pPr>
      <w:bookmarkStart w:id="158" w:name="_Toc13292"/>
      <w:r>
        <w:rPr>
          <w:rFonts w:hint="default" w:ascii="宋体" w:hAnsi="宋体" w:eastAsia="宋体" w:cs="宋体"/>
          <w:b/>
          <w:bCs/>
          <w:color w:val="auto"/>
          <w:kern w:val="44"/>
          <w:sz w:val="32"/>
          <w:szCs w:val="32"/>
          <w:lang w:val="en-US" w:eastAsia="zh-CN" w:bidi="ar-SA"/>
        </w:rPr>
        <w:t>第9章</w:t>
      </w:r>
      <w:r>
        <w:rPr>
          <w:rFonts w:hint="eastAsia"/>
          <w:color w:val="auto"/>
        </w:rPr>
        <w:t>环境经济损益分析及清洁生产</w:t>
      </w:r>
      <w:bookmarkEnd w:id="158"/>
    </w:p>
    <w:p w14:paraId="11692AA3">
      <w:pPr>
        <w:ind w:firstLine="480"/>
      </w:pPr>
      <w:r>
        <w:rPr>
          <w:rFonts w:hint="eastAsia"/>
        </w:rPr>
        <w:t>环境经济损益分析是建设项目环境影响评价的一个重要组成部分，是综合评价、判断建设项目的环保投资是否能够补偿或多大程度上补偿由于污染造成环境损失的重要依据。环境经济损益分析除了需计算用于治理、控制污染所需的投资和费用外，还要同时核算可能收到的环境经济效益、社会环境效益和环境污染损失。</w:t>
      </w:r>
    </w:p>
    <w:p w14:paraId="2CE4FC65">
      <w:pPr>
        <w:ind w:firstLine="480"/>
      </w:pPr>
      <w:r>
        <w:rPr>
          <w:rFonts w:hint="eastAsia"/>
        </w:rPr>
        <w:t>环境经济损益分析的主要任务是衡量建设项目环保投资及所能收到的环境保护效果，通过环保设施技术可行性和经济合理性的论证分析及评价，更合理地选择环保设施，从而促进建设项目更好地实现环境效益、经济效益与社会效益的统一。</w:t>
      </w:r>
    </w:p>
    <w:p w14:paraId="14FB2DA8">
      <w:pPr>
        <w:pStyle w:val="3"/>
        <w:numPr>
          <w:ilvl w:val="1"/>
          <w:numId w:val="0"/>
        </w:numPr>
        <w:ind w:left="567" w:leftChars="0" w:hanging="567" w:firstLineChars="0"/>
        <w:rPr>
          <w:sz w:val="28"/>
          <w:szCs w:val="28"/>
        </w:rPr>
      </w:pPr>
      <w:bookmarkStart w:id="159" w:name="_Toc326"/>
      <w:r>
        <w:rPr>
          <w:rFonts w:hint="default" w:ascii="宋体" w:hAnsi="宋体" w:eastAsia="宋体" w:cs="宋体"/>
          <w:b/>
          <w:bCs/>
          <w:kern w:val="2"/>
          <w:sz w:val="28"/>
          <w:szCs w:val="28"/>
          <w:lang w:val="en-US" w:eastAsia="zh-CN" w:bidi="ar-SA"/>
        </w:rPr>
        <w:t>9.1</w:t>
      </w:r>
      <w:r>
        <w:rPr>
          <w:rFonts w:hint="eastAsia"/>
          <w:sz w:val="28"/>
          <w:szCs w:val="28"/>
        </w:rPr>
        <w:t>环境影响经济损益核算</w:t>
      </w:r>
      <w:bookmarkEnd w:id="159"/>
    </w:p>
    <w:p w14:paraId="11038912">
      <w:pPr>
        <w:ind w:firstLine="482"/>
        <w:rPr>
          <w:b/>
          <w:bCs/>
        </w:rPr>
      </w:pPr>
      <w:r>
        <w:rPr>
          <w:rFonts w:hint="eastAsia"/>
          <w:b/>
          <w:bCs/>
        </w:rPr>
        <w:t>1.经济、社会和环境效益分析的原则</w:t>
      </w:r>
    </w:p>
    <w:p w14:paraId="5701B737">
      <w:pPr>
        <w:ind w:firstLine="480"/>
      </w:pPr>
      <w:r>
        <w:rPr>
          <w:rFonts w:hint="eastAsia"/>
        </w:rPr>
        <w:t>建设项目经济、社会和环境效益分析必须进行全面预测，综合平衡，力求实现经济效益、环境效益和社会效益三者在现有认识水平上的统一，也就是说，在对建设项目进行损益分析（费用―效益分析）的时候，要对这三者各自的损益进行分析和对比，才能在综合效益上得到准确的结论。</w:t>
      </w:r>
    </w:p>
    <w:p w14:paraId="2A5979C6">
      <w:pPr>
        <w:ind w:firstLine="482"/>
        <w:rPr>
          <w:b/>
          <w:bCs/>
        </w:rPr>
      </w:pPr>
      <w:r>
        <w:rPr>
          <w:rFonts w:hint="eastAsia"/>
          <w:b/>
          <w:bCs/>
        </w:rPr>
        <w:t>2.经济、社会和环境效益分析的一般工作程序</w:t>
      </w:r>
    </w:p>
    <w:p w14:paraId="53D7CA33">
      <w:pPr>
        <w:ind w:firstLine="480"/>
      </w:pPr>
      <w:r>
        <mc:AlternateContent>
          <mc:Choice Requires="wpg">
            <w:drawing>
              <wp:anchor distT="0" distB="0" distL="114300" distR="114300" simplePos="0" relativeHeight="251667456" behindDoc="0" locked="0" layoutInCell="1" allowOverlap="1">
                <wp:simplePos x="0" y="0"/>
                <wp:positionH relativeFrom="column">
                  <wp:posOffset>271145</wp:posOffset>
                </wp:positionH>
                <wp:positionV relativeFrom="paragraph">
                  <wp:posOffset>1010920</wp:posOffset>
                </wp:positionV>
                <wp:extent cx="5085080" cy="2092325"/>
                <wp:effectExtent l="0" t="0" r="0" b="0"/>
                <wp:wrapSquare wrapText="bothSides"/>
                <wp:docPr id="46" name="组合 4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085080" cy="2092325"/>
                          <a:chOff x="1800" y="1050"/>
                          <a:chExt cx="8280" cy="3744"/>
                        </a:xfrm>
                      </wpg:grpSpPr>
                      <wps:wsp>
                        <wps:cNvPr id="25" name="矩形 25"/>
                        <wps:cNvSpPr>
                          <a:spLocks noChangeAspect="1" noTextEdit="1"/>
                        </wps:cNvSpPr>
                        <wps:spPr>
                          <a:xfrm>
                            <a:off x="1800" y="1050"/>
                            <a:ext cx="8280" cy="3744"/>
                          </a:xfrm>
                          <a:prstGeom prst="rect">
                            <a:avLst/>
                          </a:prstGeom>
                          <a:noFill/>
                          <a:ln>
                            <a:noFill/>
                          </a:ln>
                        </wps:spPr>
                        <wps:bodyPr wrap="none" lIns="87840" tIns="0" rIns="0" bIns="0" upright="1"/>
                      </wps:wsp>
                      <wpg:grpSp>
                        <wpg:cNvPr id="45" name="组合 45"/>
                        <wpg:cNvGrpSpPr/>
                        <wpg:grpSpPr>
                          <a:xfrm>
                            <a:off x="2352" y="1206"/>
                            <a:ext cx="7395" cy="2653"/>
                            <a:chOff x="2352" y="1674"/>
                            <a:chExt cx="7395" cy="2653"/>
                          </a:xfrm>
                        </wpg:grpSpPr>
                        <wps:wsp>
                          <wps:cNvPr id="26" name="流程图: 过程 26"/>
                          <wps:cNvSpPr/>
                          <wps:spPr>
                            <a:xfrm>
                              <a:off x="4499" y="1674"/>
                              <a:ext cx="3136"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E629381">
                                <w:r>
                                  <w:rPr>
                                    <w:rFonts w:hAnsi="宋体"/>
                                  </w:rPr>
                                  <w:t>经济，社会和环境效益分析</w:t>
                                </w:r>
                              </w:p>
                            </w:txbxContent>
                          </wps:txbx>
                          <wps:bodyPr wrap="none" lIns="87840" tIns="0" rIns="0" bIns="0" upright="1"/>
                        </wps:wsp>
                        <wps:wsp>
                          <wps:cNvPr id="31" name="流程图: 过程 31"/>
                          <wps:cNvSpPr/>
                          <wps:spPr>
                            <a:xfrm>
                              <a:off x="2352" y="2767"/>
                              <a:ext cx="1647"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50291DD1">
                                <w:r>
                                  <w:rPr>
                                    <w:rFonts w:hAnsi="宋体"/>
                                  </w:rPr>
                                  <w:t>经济效益分析</w:t>
                                </w:r>
                              </w:p>
                            </w:txbxContent>
                          </wps:txbx>
                          <wps:bodyPr wrap="none" lIns="87840" tIns="0" rIns="0" bIns="0" upright="1"/>
                        </wps:wsp>
                        <wps:wsp>
                          <wps:cNvPr id="32" name="流程图: 过程 32"/>
                          <wps:cNvSpPr/>
                          <wps:spPr>
                            <a:xfrm>
                              <a:off x="5274" y="2767"/>
                              <a:ext cx="1647"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64B1C73">
                                <w:r>
                                  <w:rPr>
                                    <w:rFonts w:hAnsi="宋体"/>
                                  </w:rPr>
                                  <w:t>社会效益分析</w:t>
                                </w:r>
                              </w:p>
                            </w:txbxContent>
                          </wps:txbx>
                          <wps:bodyPr wrap="none" lIns="87840" tIns="0" rIns="0" bIns="0" upright="1"/>
                        </wps:wsp>
                        <wps:wsp>
                          <wps:cNvPr id="33" name="流程图: 过程 33"/>
                          <wps:cNvSpPr/>
                          <wps:spPr>
                            <a:xfrm>
                              <a:off x="8100" y="2767"/>
                              <a:ext cx="1647"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1EA7AA76">
                                <w:r>
                                  <w:rPr>
                                    <w:rFonts w:hint="eastAsia" w:hAnsi="宋体"/>
                                  </w:rPr>
                                  <w:t>环境</w:t>
                                </w:r>
                                <w:r>
                                  <w:rPr>
                                    <w:rFonts w:hAnsi="宋体"/>
                                  </w:rPr>
                                  <w:t>效益分析</w:t>
                                </w:r>
                              </w:p>
                            </w:txbxContent>
                          </wps:txbx>
                          <wps:bodyPr wrap="none" lIns="87840" tIns="0" rIns="0" bIns="0" upright="1"/>
                        </wps:wsp>
                        <wps:wsp>
                          <wps:cNvPr id="34" name="流程图: 过程 34"/>
                          <wps:cNvSpPr/>
                          <wps:spPr>
                            <a:xfrm>
                              <a:off x="4509" y="3859"/>
                              <a:ext cx="2888"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12C4FB04">
                                <w:r>
                                  <w:rPr>
                                    <w:rFonts w:hAnsi="宋体"/>
                                  </w:rPr>
                                  <w:t>本项目有关的建议和结论</w:t>
                                </w:r>
                              </w:p>
                            </w:txbxContent>
                          </wps:txbx>
                          <wps:bodyPr wrap="none" lIns="87840" tIns="0" rIns="0" bIns="0" upright="1"/>
                        </wps:wsp>
                        <wps:wsp>
                          <wps:cNvPr id="35" name="直接连接符 35"/>
                          <wps:cNvCnPr/>
                          <wps:spPr>
                            <a:xfrm>
                              <a:off x="5940" y="2142"/>
                              <a:ext cx="1" cy="312"/>
                            </a:xfrm>
                            <a:prstGeom prst="line">
                              <a:avLst/>
                            </a:prstGeom>
                            <a:ln w="9525" cap="flat" cmpd="sng">
                              <a:solidFill>
                                <a:srgbClr val="000000"/>
                              </a:solidFill>
                              <a:prstDash val="solid"/>
                              <a:headEnd type="none" w="med" len="med"/>
                              <a:tailEnd type="triangle" w="med" len="med"/>
                            </a:ln>
                          </wps:spPr>
                          <wps:bodyPr/>
                        </wps:wsp>
                        <wps:wsp>
                          <wps:cNvPr id="36" name="直接连接符 36"/>
                          <wps:cNvCnPr/>
                          <wps:spPr>
                            <a:xfrm>
                              <a:off x="3600" y="2454"/>
                              <a:ext cx="4680" cy="0"/>
                            </a:xfrm>
                            <a:prstGeom prst="line">
                              <a:avLst/>
                            </a:prstGeom>
                            <a:ln w="9525" cap="flat" cmpd="sng">
                              <a:solidFill>
                                <a:srgbClr val="000000"/>
                              </a:solidFill>
                              <a:prstDash val="solid"/>
                              <a:headEnd type="none" w="med" len="med"/>
                              <a:tailEnd type="none" w="med" len="med"/>
                            </a:ln>
                          </wps:spPr>
                          <wps:bodyPr/>
                        </wps:wsp>
                        <wps:wsp>
                          <wps:cNvPr id="37" name="直接连接符 37"/>
                          <wps:cNvCnPr/>
                          <wps:spPr>
                            <a:xfrm>
                              <a:off x="3600" y="2454"/>
                              <a:ext cx="1" cy="312"/>
                            </a:xfrm>
                            <a:prstGeom prst="line">
                              <a:avLst/>
                            </a:prstGeom>
                            <a:ln w="9525" cap="flat" cmpd="sng">
                              <a:solidFill>
                                <a:srgbClr val="000000"/>
                              </a:solidFill>
                              <a:prstDash val="solid"/>
                              <a:headEnd type="none" w="med" len="med"/>
                              <a:tailEnd type="triangle" w="med" len="med"/>
                            </a:ln>
                          </wps:spPr>
                          <wps:bodyPr/>
                        </wps:wsp>
                        <wps:wsp>
                          <wps:cNvPr id="38" name="直接连接符 38"/>
                          <wps:cNvCnPr/>
                          <wps:spPr>
                            <a:xfrm>
                              <a:off x="5939" y="2454"/>
                              <a:ext cx="1" cy="312"/>
                            </a:xfrm>
                            <a:prstGeom prst="line">
                              <a:avLst/>
                            </a:prstGeom>
                            <a:ln w="9525" cap="flat" cmpd="sng">
                              <a:solidFill>
                                <a:srgbClr val="000000"/>
                              </a:solidFill>
                              <a:prstDash val="solid"/>
                              <a:headEnd type="none" w="med" len="med"/>
                              <a:tailEnd type="triangle" w="med" len="med"/>
                            </a:ln>
                          </wps:spPr>
                          <wps:bodyPr/>
                        </wps:wsp>
                        <wps:wsp>
                          <wps:cNvPr id="39" name="直接连接符 39"/>
                          <wps:cNvCnPr/>
                          <wps:spPr>
                            <a:xfrm>
                              <a:off x="8279" y="2454"/>
                              <a:ext cx="1" cy="312"/>
                            </a:xfrm>
                            <a:prstGeom prst="line">
                              <a:avLst/>
                            </a:prstGeom>
                            <a:ln w="9525" cap="flat" cmpd="sng">
                              <a:solidFill>
                                <a:srgbClr val="000000"/>
                              </a:solidFill>
                              <a:prstDash val="solid"/>
                              <a:headEnd type="none" w="med" len="med"/>
                              <a:tailEnd type="triangle" w="med" len="med"/>
                            </a:ln>
                          </wps:spPr>
                          <wps:bodyPr/>
                        </wps:wsp>
                        <wps:wsp>
                          <wps:cNvPr id="40" name="直接连接符 40"/>
                          <wps:cNvCnPr/>
                          <wps:spPr>
                            <a:xfrm>
                              <a:off x="3600" y="3234"/>
                              <a:ext cx="1" cy="312"/>
                            </a:xfrm>
                            <a:prstGeom prst="line">
                              <a:avLst/>
                            </a:prstGeom>
                            <a:ln w="9525" cap="flat" cmpd="sng">
                              <a:solidFill>
                                <a:srgbClr val="000000"/>
                              </a:solidFill>
                              <a:prstDash val="solid"/>
                              <a:headEnd type="none" w="med" len="med"/>
                              <a:tailEnd type="triangle" w="med" len="med"/>
                            </a:ln>
                          </wps:spPr>
                          <wps:bodyPr/>
                        </wps:wsp>
                        <wps:wsp>
                          <wps:cNvPr id="41" name="直接连接符 41"/>
                          <wps:cNvCnPr/>
                          <wps:spPr>
                            <a:xfrm>
                              <a:off x="5939" y="3234"/>
                              <a:ext cx="1" cy="312"/>
                            </a:xfrm>
                            <a:prstGeom prst="line">
                              <a:avLst/>
                            </a:prstGeom>
                            <a:ln w="9525" cap="flat" cmpd="sng">
                              <a:solidFill>
                                <a:srgbClr val="000000"/>
                              </a:solidFill>
                              <a:prstDash val="solid"/>
                              <a:headEnd type="none" w="med" len="med"/>
                              <a:tailEnd type="triangle" w="med" len="med"/>
                            </a:ln>
                          </wps:spPr>
                          <wps:bodyPr/>
                        </wps:wsp>
                        <wps:wsp>
                          <wps:cNvPr id="42" name="直接连接符 42"/>
                          <wps:cNvCnPr/>
                          <wps:spPr>
                            <a:xfrm>
                              <a:off x="8279" y="3234"/>
                              <a:ext cx="1" cy="312"/>
                            </a:xfrm>
                            <a:prstGeom prst="line">
                              <a:avLst/>
                            </a:prstGeom>
                            <a:ln w="9525" cap="flat" cmpd="sng">
                              <a:solidFill>
                                <a:srgbClr val="000000"/>
                              </a:solidFill>
                              <a:prstDash val="solid"/>
                              <a:headEnd type="none" w="med" len="med"/>
                              <a:tailEnd type="triangle" w="med" len="med"/>
                            </a:ln>
                          </wps:spPr>
                          <wps:bodyPr/>
                        </wps:wsp>
                        <wps:wsp>
                          <wps:cNvPr id="43" name="直接连接符 43"/>
                          <wps:cNvCnPr/>
                          <wps:spPr>
                            <a:xfrm>
                              <a:off x="3600" y="3545"/>
                              <a:ext cx="4680" cy="1"/>
                            </a:xfrm>
                            <a:prstGeom prst="line">
                              <a:avLst/>
                            </a:prstGeom>
                            <a:ln w="9525" cap="flat" cmpd="sng">
                              <a:solidFill>
                                <a:srgbClr val="000000"/>
                              </a:solidFill>
                              <a:prstDash val="solid"/>
                              <a:headEnd type="none" w="med" len="med"/>
                              <a:tailEnd type="none" w="med" len="med"/>
                            </a:ln>
                          </wps:spPr>
                          <wps:bodyPr/>
                        </wps:wsp>
                        <wps:wsp>
                          <wps:cNvPr id="44" name="直接连接符 44"/>
                          <wps:cNvCnPr/>
                          <wps:spPr>
                            <a:xfrm>
                              <a:off x="5940" y="3546"/>
                              <a:ext cx="1" cy="312"/>
                            </a:xfrm>
                            <a:prstGeom prst="line">
                              <a:avLst/>
                            </a:prstGeom>
                            <a:ln w="9525" cap="flat" cmpd="sng">
                              <a:solidFill>
                                <a:srgbClr val="000000"/>
                              </a:solidFill>
                              <a:prstDash val="solid"/>
                              <a:headEnd type="none" w="med" len="med"/>
                              <a:tailEnd type="triangle" w="med" len="med"/>
                            </a:ln>
                          </wps:spPr>
                          <wps:bodyPr/>
                        </wps:wsp>
                      </wpg:grpSp>
                    </wpg:wgp>
                  </a:graphicData>
                </a:graphic>
              </wp:anchor>
            </w:drawing>
          </mc:Choice>
          <mc:Fallback>
            <w:pict>
              <v:group id="_x0000_s1026" o:spid="_x0000_s1026" o:spt="203" style="position:absolute;left:0pt;margin-left:21.35pt;margin-top:79.6pt;height:164.75pt;width:400.4pt;mso-wrap-distance-bottom:0pt;mso-wrap-distance-left:9pt;mso-wrap-distance-right:9pt;mso-wrap-distance-top:0pt;z-index:251667456;mso-width-relative:page;mso-height-relative:page;" coordorigin="1800,1050" coordsize="8280,3744" o:gfxdata="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">
                <o:lock v:ext="edit" rotation="t" aspectratio="t"/>
                <v:rect id="_x0000_s1026" o:spid="_x0000_s1026" o:spt="1" style="position:absolute;left:1800;top:1050;height:3744;width:8280;mso-wrap-style:none;" filled="f" stroked="f" coordsize="21600,21600" o:gfxdata="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HNtrbsAAADb&#10;AAAADwAAAAAAAAABACAAAAAiAAAAZHJzL2Rvd25yZXYueG1sUEsBAhQAFAAAAAgAh07iQDMvBZ47&#10;AAAAOQAAABAAAAAAAAAAAQAgAAAACgEAAGRycy9zaGFwZXhtbC54bWxQSwUGAAAAAAYABgBbAQAA&#10;tAMAAAAA&#10;">
                  <v:fill on="f" focussize="0,0"/>
                  <v:stroke on="f"/>
                  <v:imagedata o:title=""/>
                  <o:lock v:ext="edit" text="t" aspectratio="t"/>
                  <v:textbox inset="2.44mm,0mm,0mm,0mm"/>
                </v:rect>
                <v:group id="_x0000_s1026" o:spid="_x0000_s1026" o:spt="203" style="position:absolute;left:2352;top:1206;height:2653;width:7395;" coordorigin="2352,1674" coordsize="7395,2653" o:gfxdata="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xyh2QvwAAANsAAAAPAAAAAAAAAAEAIAAAACIAAABkcnMvZG93bnJldi54&#10;bWxQSwECFAAUAAAACACHTuJAMy8FnjsAAAA5AAAAFQAAAAAAAAABACAAAAAOAQAAZHJzL2dyb3Vw&#10;c2hhcGV4bWwueG1sUEsFBgAAAAAGAAYAYAEAAMsDAAAAAA==&#10;">
                  <o:lock v:ext="edit" aspectratio="f"/>
                  <v:shape id="_x0000_s1026" o:spid="_x0000_s1026" o:spt="109" type="#_x0000_t109" style="position:absolute;left:4499;top:1674;height:468;width:3136;mso-wrap-style:none;" fillcolor="#FFFFFF" filled="t" stroked="t" coordsize="21600,21600" o:gfxdata="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glHru/&#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44mm,0mm,0mm,0mm">
                      <w:txbxContent>
                        <w:p w14:paraId="7E629381">
                          <w:r>
                            <w:rPr>
                              <w:rFonts w:hAnsi="宋体"/>
                            </w:rPr>
                            <w:t>经济，社会和环境效益分析</w:t>
                          </w:r>
                        </w:p>
                      </w:txbxContent>
                    </v:textbox>
                  </v:shape>
                  <v:shape id="_x0000_s1026" o:spid="_x0000_s1026" o:spt="109" type="#_x0000_t109" style="position:absolute;left:2352;top:2767;height:468;width:1647;mso-wrap-style:none;" fillcolor="#FFFFFF" filled="t" stroked="t" coordsize="21600,21600" o:gfxdata="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VEBK/&#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44mm,0mm,0mm,0mm">
                      <w:txbxContent>
                        <w:p w14:paraId="50291DD1">
                          <w:r>
                            <w:rPr>
                              <w:rFonts w:hAnsi="宋体"/>
                            </w:rPr>
                            <w:t>经济效益分析</w:t>
                          </w:r>
                        </w:p>
                      </w:txbxContent>
                    </v:textbox>
                  </v:shape>
                  <v:shape id="_x0000_s1026" o:spid="_x0000_s1026" o:spt="109" type="#_x0000_t109" style="position:absolute;left:5274;top:2767;height:468;width:1647;mso-wrap-style:none;" fillcolor="#FFFFFF" filled="t" stroked="t" coordsize="21600,21600" o:gfxdata="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HjmW/&#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44mm,0mm,0mm,0mm">
                      <w:txbxContent>
                        <w:p w14:paraId="764B1C73">
                          <w:r>
                            <w:rPr>
                              <w:rFonts w:hAnsi="宋体"/>
                            </w:rPr>
                            <w:t>社会效益分析</w:t>
                          </w:r>
                        </w:p>
                      </w:txbxContent>
                    </v:textbox>
                  </v:shape>
                  <v:shape id="_x0000_s1026" o:spid="_x0000_s1026" o:spt="109" type="#_x0000_t109" style="position:absolute;left:8100;top:2767;height:468;width:1647;mso-wrap-style:none;" fillcolor="#FFFFFF" filled="t" stroked="t" coordsize="21600,21600" o:gfxdata="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Ysr/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2.44mm,0mm,0mm,0mm">
                      <w:txbxContent>
                        <w:p w14:paraId="1EA7AA76">
                          <w:r>
                            <w:rPr>
                              <w:rFonts w:hint="eastAsia" w:hAnsi="宋体"/>
                            </w:rPr>
                            <w:t>环境</w:t>
                          </w:r>
                          <w:r>
                            <w:rPr>
                              <w:rFonts w:hAnsi="宋体"/>
                            </w:rPr>
                            <w:t>效益分析</w:t>
                          </w:r>
                        </w:p>
                      </w:txbxContent>
                    </v:textbox>
                  </v:shape>
                  <v:shape id="_x0000_s1026" o:spid="_x0000_s1026" o:spt="109" type="#_x0000_t109" style="position:absolute;left:4509;top:3859;height:468;width:2888;mso-wrap-style:none;" fillcolor="#FFFFFF" filled="t" stroked="t" coordsize="21600,21600" o:gfxdata="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is4q/&#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44mm,0mm,0mm,0mm">
                      <w:txbxContent>
                        <w:p w14:paraId="12C4FB04">
                          <w:r>
                            <w:rPr>
                              <w:rFonts w:hAnsi="宋体"/>
                            </w:rPr>
                            <w:t>本项目有关的建议和结论</w:t>
                          </w:r>
                        </w:p>
                      </w:txbxContent>
                    </v:textbox>
                  </v:shape>
                  <v:line id="_x0000_s1026" o:spid="_x0000_s1026" o:spt="20" style="position:absolute;left:5940;top:2142;height:312;width:1;" filled="f" stroked="t" coordsize="21600,21600" o:gfxdata="UEsDBAoAAAAAAIdO4kAAAAAAAAAAAAAAAAAEAAAAZHJzL1BLAwQUAAAACACHTuJAMmsDU78AAADb&#10;AAAADwAAAGRycy9kb3ducmV2LnhtbEWPT2vCQBTE7wW/w/KE3uoml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rA1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600;top:2454;height:0;width:4680;" filled="f" stroked="t" coordsize="21600,21600" o:gfxdata="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LLE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3600;top:2454;height:312;width:1;" filled="f" stroked="t" coordsize="21600,21600" o:gfxdata="UEsDBAoAAAAAAIdO4kAAAAAAAAAAAAAAAAAEAAAAZHJzL1BLAwQUAAAACACHTuJArfU4v78AAADb&#10;AAAADwAAAGRycy9kb3ducmV2LnhtbEWPT2vCQBTE7wW/w/KE3uomF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1OL+/&#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5939;top:2454;height:312;width:1;" filled="f" stroked="t" coordsize="21600,21600" o:gfxdata="UEsDBAoAAAAAAIdO4kAAAAAAAAAAAAAAAAAEAAAAZHJzL1BLAwQUAAAACACHTuJA3GqszbsAAADb&#10;AAAADwAAAGRycy9kb3ducmV2LnhtbEVPy4rCMBTdC/MP4Q6407QK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Gqsz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8279;top:2454;height:312;width:1;" filled="f" stroked="t" coordsize="21600,21600" o:gfxdata="UEsDBAoAAAAAAIdO4kAAAAAAAAAAAAAAAAAEAAAAZHJzL1BLAwQUAAAACACHTuJAsyYJVr8AAADb&#10;AAAADwAAAGRycy9kb3ducmV2LnhtbEWPT2vCQBTE7wW/w/KE3uomF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mCV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600;top:3234;height:312;width:1;" filled="f" stroked="t" coordsize="21600,21600" o:gfxdata="UEsDBAoAAAAAAIdO4kAAAAAAAAAAAAAAAAAEAAAAZHJzL1BLAwQUAAAACACHTuJAehrTtrsAAADb&#10;AAAADwAAAGRycy9kb3ducmV2LnhtbEVPy4rCMBTdC/MP4Q6407Qi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rTt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5939;top:3234;height:312;width:1;" filled="f" stroked="t" coordsize="21600,21600" o:gfxdata="UEsDBAoAAAAAAIdO4kAAAAAAAAAAAAAAAAAEAAAAZHJzL1BLAwQUAAAACACHTuJAFVZ2Lb4AAADb&#10;AAAADwAAAGRycy9kb3ducmV2LnhtbEWPQWvCQBSE7wX/w/IEb3UTk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Z2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8279;top:3234;height:312;width:1;" filled="f" stroked="t" coordsize="21600,21600" o:gfxdata="UEsDBAoAAAAAAIdO4kAAAAAAAAAAAAAAAAAEAAAAZHJzL1BLAwQUAAAACACHTuJA5YToWr8AAADb&#10;AAAADwAAAGRycy9kb3ducmV2LnhtbEWPT2vCQBTE7wW/w/IEb3UTk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6F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600;top:3545;height:1;width:4680;" filled="f" stroked="t" coordsize="21600,21600" o:gfxdata="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1hw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5940;top:3546;height:312;width:1;" filled="f" stroked="t" coordsize="21600,21600" o:gfxdata="UEsDBAoAAAAAAIdO4kAAAAAAAAAAAAAAAAAEAAAAZHJzL1BLAwQUAAAACACHTuJABSHVtb4AAADb&#10;AAAADwAAAGRycy9kb3ducmV2LnhtbEWPQWvCQBSE74L/YXmCN91EpI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HVt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w10:wrap type="square"/>
              </v:group>
            </w:pict>
          </mc:Fallback>
        </mc:AlternateContent>
      </w:r>
      <w:r>
        <w:rPr>
          <w:rFonts w:hint="eastAsia"/>
        </w:rPr>
        <w:t>建设工程项目涉及到经济效益（如国民经济、财务分析等）和社会效益分析（如市政设施、水体、社区居民就业及生活质量等），因而是一个多因子，多层次的网络结构，结构可用图9.1-1表示。</w:t>
      </w:r>
    </w:p>
    <w:p w14:paraId="31F4CC06">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图9.1-1 </w:t>
      </w:r>
      <w:r>
        <w:rPr>
          <w:rFonts w:hint="eastAsia"/>
          <w:color w:val="auto"/>
        </w:rPr>
        <w:t>项目综合效益的分解</w:t>
      </w:r>
    </w:p>
    <w:p w14:paraId="7B9C9AFF">
      <w:pPr>
        <w:ind w:firstLine="482"/>
        <w:rPr>
          <w:b/>
          <w:bCs/>
        </w:rPr>
      </w:pPr>
      <w:r>
        <w:rPr>
          <w:rFonts w:hint="eastAsia"/>
          <w:b/>
          <w:bCs/>
        </w:rPr>
        <w:t>3.经济、社会和环境效益分析方法</w:t>
      </w:r>
    </w:p>
    <w:p w14:paraId="0F03769B">
      <w:pPr>
        <w:ind w:firstLine="480"/>
      </w:pPr>
      <w:r>
        <w:rPr>
          <w:rFonts w:hint="eastAsia"/>
        </w:rPr>
        <w:t>根据有关的规定和标准，结合本项目的特点，其经济、社会和环境效益分析以资料分析为主，在详细了解本项目运营期概况以及各环节污染物及其影响程度和范围的基础上，对三个方面进行定性或者定量估算，并进行分析评价。</w:t>
      </w:r>
    </w:p>
    <w:p w14:paraId="017261DF">
      <w:pPr>
        <w:ind w:firstLine="480"/>
      </w:pPr>
      <w:r>
        <w:rPr>
          <w:rFonts w:hint="eastAsia"/>
        </w:rPr>
        <w:t>一般而言，项目的投资是可以得到的，也可以用货币表示，而造成的影响和带来的效益的估算则比较困难，因为社会效益和环境效益往往是抽象的，难以用货币表示。基于此，本次评价将采用定量和定性两种方法对本项目的环境、社会和经济损益进行分析。</w:t>
      </w:r>
    </w:p>
    <w:p w14:paraId="4F620512">
      <w:pPr>
        <w:pStyle w:val="3"/>
        <w:numPr>
          <w:ilvl w:val="1"/>
          <w:numId w:val="0"/>
        </w:numPr>
        <w:ind w:left="567" w:leftChars="0" w:hanging="567" w:firstLineChars="0"/>
        <w:rPr>
          <w:sz w:val="28"/>
          <w:szCs w:val="28"/>
        </w:rPr>
      </w:pPr>
      <w:bookmarkStart w:id="160" w:name="_Toc24917"/>
      <w:r>
        <w:rPr>
          <w:rFonts w:hint="default" w:ascii="宋体" w:hAnsi="宋体" w:eastAsia="宋体" w:cs="宋体"/>
          <w:b/>
          <w:bCs/>
          <w:kern w:val="2"/>
          <w:sz w:val="28"/>
          <w:szCs w:val="28"/>
          <w:lang w:val="en-US" w:eastAsia="zh-CN" w:bidi="ar-SA"/>
        </w:rPr>
        <w:t>9.2</w:t>
      </w:r>
      <w:r>
        <w:rPr>
          <w:rFonts w:hint="eastAsia"/>
          <w:sz w:val="28"/>
          <w:szCs w:val="28"/>
        </w:rPr>
        <w:t>经济损益核算</w:t>
      </w:r>
      <w:bookmarkEnd w:id="160"/>
    </w:p>
    <w:p w14:paraId="72481128">
      <w:pPr>
        <w:ind w:firstLine="480"/>
      </w:pPr>
      <w:r>
        <w:rPr>
          <w:rFonts w:hint="eastAsia"/>
        </w:rPr>
        <w:t>拟变更的在建项目总投资7200万，环保投资2585万元，约占工程总投资的35.9%。本次变更未调整原生产设备和环保设备，因此环保投资未变化。</w:t>
      </w:r>
    </w:p>
    <w:p w14:paraId="28237264">
      <w:pPr>
        <w:pStyle w:val="51"/>
        <w:numPr>
          <w:ilvl w:val="5"/>
          <w:numId w:val="0"/>
        </w:numPr>
        <w:spacing w:before="0" w:beforeLines="0" w:line="360" w:lineRule="auto"/>
        <w:ind w:left="305" w:leftChars="0" w:hanging="3260" w:firstLineChars="0"/>
      </w:pPr>
      <w:r>
        <w:rPr>
          <w:rFonts w:hint="default" w:ascii="宋体" w:hAnsi="宋体" w:eastAsia="宋体" w:cs="宋体"/>
          <w:b/>
          <w:bCs/>
          <w:color w:val="auto"/>
          <w:kern w:val="2"/>
          <w:sz w:val="21"/>
          <w:szCs w:val="21"/>
          <w:lang w:val="en-US" w:eastAsia="zh-CN" w:bidi="ar-SA"/>
        </w:rPr>
        <w:t xml:space="preserve">表9.2-1 </w:t>
      </w:r>
      <w:r>
        <w:rPr>
          <w:rFonts w:hint="eastAsia"/>
        </w:rPr>
        <w:t>环保投资估算表</w:t>
      </w:r>
    </w:p>
    <w:tbl>
      <w:tblPr>
        <w:tblStyle w:val="31"/>
        <w:tblW w:w="83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2183"/>
        <w:gridCol w:w="1104"/>
        <w:gridCol w:w="824"/>
        <w:gridCol w:w="1256"/>
        <w:gridCol w:w="2272"/>
      </w:tblGrid>
      <w:tr w14:paraId="7948DE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tcMar>
              <w:left w:w="57" w:type="dxa"/>
              <w:right w:w="57" w:type="dxa"/>
            </w:tcMar>
            <w:vAlign w:val="center"/>
          </w:tcPr>
          <w:p w14:paraId="69606721">
            <w:pPr>
              <w:spacing w:line="240" w:lineRule="auto"/>
              <w:jc w:val="center"/>
              <w:rPr>
                <w:sz w:val="21"/>
                <w:szCs w:val="21"/>
              </w:rPr>
            </w:pPr>
            <w:r>
              <w:rPr>
                <w:sz w:val="21"/>
                <w:szCs w:val="21"/>
              </w:rPr>
              <w:t>序号</w:t>
            </w:r>
          </w:p>
        </w:tc>
        <w:tc>
          <w:tcPr>
            <w:tcW w:w="2183" w:type="dxa"/>
            <w:tcMar>
              <w:left w:w="57" w:type="dxa"/>
              <w:right w:w="57" w:type="dxa"/>
            </w:tcMar>
            <w:vAlign w:val="center"/>
          </w:tcPr>
          <w:p w14:paraId="4FEE3FC2">
            <w:pPr>
              <w:spacing w:line="240" w:lineRule="auto"/>
              <w:jc w:val="center"/>
              <w:rPr>
                <w:sz w:val="21"/>
                <w:szCs w:val="21"/>
              </w:rPr>
            </w:pPr>
            <w:r>
              <w:rPr>
                <w:sz w:val="21"/>
                <w:szCs w:val="21"/>
              </w:rPr>
              <w:t>设施名称</w:t>
            </w:r>
          </w:p>
        </w:tc>
        <w:tc>
          <w:tcPr>
            <w:tcW w:w="1104" w:type="dxa"/>
            <w:tcMar>
              <w:left w:w="57" w:type="dxa"/>
              <w:right w:w="57" w:type="dxa"/>
            </w:tcMar>
            <w:vAlign w:val="center"/>
          </w:tcPr>
          <w:p w14:paraId="552FD288">
            <w:pPr>
              <w:spacing w:line="240" w:lineRule="auto"/>
              <w:jc w:val="center"/>
              <w:rPr>
                <w:sz w:val="21"/>
                <w:szCs w:val="21"/>
              </w:rPr>
            </w:pPr>
            <w:r>
              <w:rPr>
                <w:sz w:val="21"/>
                <w:szCs w:val="21"/>
              </w:rPr>
              <w:t>规格、型号</w:t>
            </w:r>
          </w:p>
        </w:tc>
        <w:tc>
          <w:tcPr>
            <w:tcW w:w="824" w:type="dxa"/>
            <w:tcMar>
              <w:left w:w="57" w:type="dxa"/>
              <w:right w:w="57" w:type="dxa"/>
            </w:tcMar>
            <w:vAlign w:val="center"/>
          </w:tcPr>
          <w:p w14:paraId="4BFA926C">
            <w:pPr>
              <w:spacing w:line="240" w:lineRule="auto"/>
              <w:jc w:val="center"/>
              <w:rPr>
                <w:sz w:val="21"/>
                <w:szCs w:val="21"/>
              </w:rPr>
            </w:pPr>
            <w:r>
              <w:rPr>
                <w:sz w:val="21"/>
                <w:szCs w:val="21"/>
              </w:rPr>
              <w:t>数量</w:t>
            </w:r>
          </w:p>
        </w:tc>
        <w:tc>
          <w:tcPr>
            <w:tcW w:w="1256" w:type="dxa"/>
            <w:tcMar>
              <w:left w:w="57" w:type="dxa"/>
              <w:right w:w="57" w:type="dxa"/>
            </w:tcMar>
            <w:vAlign w:val="center"/>
          </w:tcPr>
          <w:p w14:paraId="31976226">
            <w:pPr>
              <w:spacing w:line="240" w:lineRule="auto"/>
              <w:jc w:val="center"/>
              <w:rPr>
                <w:sz w:val="21"/>
                <w:szCs w:val="21"/>
              </w:rPr>
            </w:pPr>
            <w:r>
              <w:rPr>
                <w:sz w:val="21"/>
                <w:szCs w:val="21"/>
              </w:rPr>
              <w:t>金额（万元）</w:t>
            </w:r>
          </w:p>
        </w:tc>
        <w:tc>
          <w:tcPr>
            <w:tcW w:w="2272" w:type="dxa"/>
            <w:tcMar>
              <w:left w:w="57" w:type="dxa"/>
              <w:right w:w="57" w:type="dxa"/>
            </w:tcMar>
            <w:vAlign w:val="center"/>
          </w:tcPr>
          <w:p w14:paraId="64D32F50">
            <w:pPr>
              <w:spacing w:line="240" w:lineRule="auto"/>
              <w:jc w:val="center"/>
              <w:rPr>
                <w:sz w:val="21"/>
                <w:szCs w:val="21"/>
              </w:rPr>
            </w:pPr>
            <w:r>
              <w:rPr>
                <w:sz w:val="21"/>
                <w:szCs w:val="21"/>
              </w:rPr>
              <w:t>备注</w:t>
            </w:r>
          </w:p>
        </w:tc>
      </w:tr>
      <w:tr w14:paraId="08ABDD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Merge w:val="restart"/>
            <w:tcMar>
              <w:left w:w="57" w:type="dxa"/>
              <w:right w:w="57" w:type="dxa"/>
            </w:tcMar>
            <w:vAlign w:val="center"/>
          </w:tcPr>
          <w:p w14:paraId="292BE467">
            <w:pPr>
              <w:spacing w:line="240" w:lineRule="auto"/>
              <w:jc w:val="center"/>
              <w:rPr>
                <w:sz w:val="21"/>
                <w:szCs w:val="21"/>
              </w:rPr>
            </w:pPr>
            <w:r>
              <w:rPr>
                <w:sz w:val="21"/>
                <w:szCs w:val="21"/>
              </w:rPr>
              <w:t>1废气</w:t>
            </w:r>
          </w:p>
        </w:tc>
        <w:tc>
          <w:tcPr>
            <w:tcW w:w="2183" w:type="dxa"/>
            <w:tcMar>
              <w:left w:w="57" w:type="dxa"/>
              <w:right w:w="57" w:type="dxa"/>
            </w:tcMar>
            <w:vAlign w:val="center"/>
          </w:tcPr>
          <w:p w14:paraId="29BCEEFB">
            <w:pPr>
              <w:spacing w:line="240" w:lineRule="auto"/>
              <w:jc w:val="center"/>
              <w:rPr>
                <w:sz w:val="21"/>
                <w:szCs w:val="21"/>
              </w:rPr>
            </w:pPr>
            <w:r>
              <w:rPr>
                <w:rFonts w:hint="eastAsia"/>
                <w:sz w:val="21"/>
                <w:szCs w:val="21"/>
              </w:rPr>
              <w:t>吸附浓缩+溶剂回收</w:t>
            </w:r>
          </w:p>
        </w:tc>
        <w:tc>
          <w:tcPr>
            <w:tcW w:w="1104" w:type="dxa"/>
            <w:tcMar>
              <w:left w:w="57" w:type="dxa"/>
              <w:right w:w="57" w:type="dxa"/>
            </w:tcMar>
            <w:vAlign w:val="center"/>
          </w:tcPr>
          <w:p w14:paraId="00B0265E">
            <w:pPr>
              <w:spacing w:line="240" w:lineRule="auto"/>
              <w:jc w:val="center"/>
              <w:rPr>
                <w:sz w:val="21"/>
                <w:szCs w:val="21"/>
              </w:rPr>
            </w:pPr>
            <w:r>
              <w:rPr>
                <w:sz w:val="21"/>
                <w:szCs w:val="21"/>
              </w:rPr>
              <w:t>/</w:t>
            </w:r>
          </w:p>
        </w:tc>
        <w:tc>
          <w:tcPr>
            <w:tcW w:w="824" w:type="dxa"/>
            <w:tcMar>
              <w:left w:w="57" w:type="dxa"/>
              <w:right w:w="57" w:type="dxa"/>
            </w:tcMar>
            <w:vAlign w:val="center"/>
          </w:tcPr>
          <w:p w14:paraId="3C67825B">
            <w:pPr>
              <w:spacing w:line="240" w:lineRule="auto"/>
              <w:jc w:val="center"/>
              <w:rPr>
                <w:sz w:val="21"/>
                <w:szCs w:val="21"/>
              </w:rPr>
            </w:pPr>
            <w:r>
              <w:rPr>
                <w:sz w:val="21"/>
                <w:szCs w:val="21"/>
              </w:rPr>
              <w:t>1套</w:t>
            </w:r>
          </w:p>
        </w:tc>
        <w:tc>
          <w:tcPr>
            <w:tcW w:w="1256" w:type="dxa"/>
            <w:tcMar>
              <w:left w:w="57" w:type="dxa"/>
              <w:right w:w="57" w:type="dxa"/>
            </w:tcMar>
            <w:vAlign w:val="center"/>
          </w:tcPr>
          <w:p w14:paraId="32BFB224">
            <w:pPr>
              <w:spacing w:line="240" w:lineRule="auto"/>
              <w:jc w:val="center"/>
              <w:rPr>
                <w:sz w:val="21"/>
                <w:szCs w:val="21"/>
              </w:rPr>
            </w:pPr>
            <w:r>
              <w:rPr>
                <w:rFonts w:hint="eastAsia"/>
                <w:sz w:val="21"/>
                <w:szCs w:val="21"/>
              </w:rPr>
              <w:t>2570</w:t>
            </w:r>
          </w:p>
        </w:tc>
        <w:tc>
          <w:tcPr>
            <w:tcW w:w="2272" w:type="dxa"/>
            <w:tcMar>
              <w:left w:w="57" w:type="dxa"/>
              <w:right w:w="57" w:type="dxa"/>
            </w:tcMar>
            <w:vAlign w:val="center"/>
          </w:tcPr>
          <w:p w14:paraId="6BBD7C53">
            <w:pPr>
              <w:spacing w:line="240" w:lineRule="auto"/>
              <w:jc w:val="center"/>
              <w:rPr>
                <w:sz w:val="21"/>
                <w:szCs w:val="21"/>
              </w:rPr>
            </w:pPr>
            <w:r>
              <w:rPr>
                <w:rFonts w:hint="eastAsia"/>
                <w:sz w:val="21"/>
                <w:szCs w:val="21"/>
              </w:rPr>
              <w:t>在建</w:t>
            </w:r>
            <w:r>
              <w:rPr>
                <w:sz w:val="21"/>
                <w:szCs w:val="21"/>
              </w:rPr>
              <w:t>，处理有机废气</w:t>
            </w:r>
          </w:p>
        </w:tc>
      </w:tr>
      <w:tr w14:paraId="283BF8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Merge w:val="continue"/>
            <w:tcMar>
              <w:left w:w="57" w:type="dxa"/>
              <w:right w:w="57" w:type="dxa"/>
            </w:tcMar>
            <w:vAlign w:val="center"/>
          </w:tcPr>
          <w:p w14:paraId="4A999313">
            <w:pPr>
              <w:spacing w:line="240" w:lineRule="auto"/>
              <w:jc w:val="center"/>
              <w:rPr>
                <w:sz w:val="21"/>
                <w:szCs w:val="21"/>
              </w:rPr>
            </w:pPr>
          </w:p>
        </w:tc>
        <w:tc>
          <w:tcPr>
            <w:tcW w:w="2183" w:type="dxa"/>
            <w:tcMar>
              <w:left w:w="57" w:type="dxa"/>
              <w:right w:w="57" w:type="dxa"/>
            </w:tcMar>
            <w:vAlign w:val="center"/>
          </w:tcPr>
          <w:p w14:paraId="406982A4">
            <w:pPr>
              <w:spacing w:line="240" w:lineRule="auto"/>
              <w:jc w:val="center"/>
              <w:rPr>
                <w:sz w:val="21"/>
                <w:szCs w:val="21"/>
              </w:rPr>
            </w:pPr>
            <w:r>
              <w:rPr>
                <w:rFonts w:hint="eastAsia"/>
                <w:sz w:val="21"/>
                <w:szCs w:val="21"/>
              </w:rPr>
              <w:t>负压收集系统改造</w:t>
            </w:r>
          </w:p>
        </w:tc>
        <w:tc>
          <w:tcPr>
            <w:tcW w:w="1104" w:type="dxa"/>
            <w:tcMar>
              <w:left w:w="57" w:type="dxa"/>
              <w:right w:w="57" w:type="dxa"/>
            </w:tcMar>
            <w:vAlign w:val="center"/>
          </w:tcPr>
          <w:p w14:paraId="53B6297B">
            <w:pPr>
              <w:spacing w:line="240" w:lineRule="auto"/>
              <w:jc w:val="center"/>
              <w:rPr>
                <w:sz w:val="21"/>
                <w:szCs w:val="21"/>
              </w:rPr>
            </w:pPr>
            <w:r>
              <w:rPr>
                <w:sz w:val="21"/>
                <w:szCs w:val="21"/>
              </w:rPr>
              <w:t>/</w:t>
            </w:r>
          </w:p>
        </w:tc>
        <w:tc>
          <w:tcPr>
            <w:tcW w:w="824" w:type="dxa"/>
            <w:tcMar>
              <w:left w:w="57" w:type="dxa"/>
              <w:right w:w="57" w:type="dxa"/>
            </w:tcMar>
            <w:vAlign w:val="center"/>
          </w:tcPr>
          <w:p w14:paraId="08E9359C">
            <w:pPr>
              <w:spacing w:line="240" w:lineRule="auto"/>
              <w:jc w:val="center"/>
              <w:rPr>
                <w:sz w:val="21"/>
                <w:szCs w:val="21"/>
              </w:rPr>
            </w:pPr>
            <w:r>
              <w:rPr>
                <w:sz w:val="21"/>
                <w:szCs w:val="21"/>
              </w:rPr>
              <w:t>1套</w:t>
            </w:r>
          </w:p>
        </w:tc>
        <w:tc>
          <w:tcPr>
            <w:tcW w:w="1256" w:type="dxa"/>
            <w:tcMar>
              <w:left w:w="57" w:type="dxa"/>
              <w:right w:w="57" w:type="dxa"/>
            </w:tcMar>
            <w:vAlign w:val="center"/>
          </w:tcPr>
          <w:p w14:paraId="488CE170">
            <w:pPr>
              <w:spacing w:line="240" w:lineRule="auto"/>
              <w:jc w:val="center"/>
              <w:rPr>
                <w:sz w:val="21"/>
                <w:szCs w:val="21"/>
              </w:rPr>
            </w:pPr>
            <w:r>
              <w:rPr>
                <w:rFonts w:hint="eastAsia"/>
                <w:sz w:val="21"/>
                <w:szCs w:val="21"/>
              </w:rPr>
              <w:t>5</w:t>
            </w:r>
          </w:p>
        </w:tc>
        <w:tc>
          <w:tcPr>
            <w:tcW w:w="2272" w:type="dxa"/>
            <w:tcMar>
              <w:left w:w="57" w:type="dxa"/>
              <w:right w:w="57" w:type="dxa"/>
            </w:tcMar>
            <w:vAlign w:val="center"/>
          </w:tcPr>
          <w:p w14:paraId="2A2A914E">
            <w:pPr>
              <w:spacing w:line="240" w:lineRule="auto"/>
              <w:jc w:val="center"/>
              <w:rPr>
                <w:sz w:val="21"/>
                <w:szCs w:val="21"/>
              </w:rPr>
            </w:pPr>
            <w:r>
              <w:rPr>
                <w:rFonts w:hint="eastAsia"/>
                <w:sz w:val="21"/>
                <w:szCs w:val="21"/>
              </w:rPr>
              <w:t>在建</w:t>
            </w:r>
            <w:r>
              <w:rPr>
                <w:sz w:val="21"/>
                <w:szCs w:val="21"/>
              </w:rPr>
              <w:t>，</w:t>
            </w:r>
            <w:r>
              <w:rPr>
                <w:rFonts w:hint="eastAsia"/>
                <w:sz w:val="21"/>
                <w:szCs w:val="21"/>
              </w:rPr>
              <w:t>收集</w:t>
            </w:r>
            <w:r>
              <w:rPr>
                <w:sz w:val="21"/>
                <w:szCs w:val="21"/>
              </w:rPr>
              <w:t>有机废气</w:t>
            </w:r>
          </w:p>
        </w:tc>
      </w:tr>
      <w:tr w14:paraId="1101E4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tcMar>
              <w:left w:w="57" w:type="dxa"/>
              <w:right w:w="57" w:type="dxa"/>
            </w:tcMar>
            <w:vAlign w:val="center"/>
          </w:tcPr>
          <w:p w14:paraId="73A4D25F">
            <w:pPr>
              <w:spacing w:line="240" w:lineRule="auto"/>
              <w:jc w:val="center"/>
              <w:rPr>
                <w:sz w:val="21"/>
                <w:szCs w:val="21"/>
              </w:rPr>
            </w:pPr>
            <w:r>
              <w:rPr>
                <w:sz w:val="21"/>
                <w:szCs w:val="21"/>
              </w:rPr>
              <w:t>2废水</w:t>
            </w:r>
          </w:p>
        </w:tc>
        <w:tc>
          <w:tcPr>
            <w:tcW w:w="2183" w:type="dxa"/>
            <w:tcMar>
              <w:left w:w="57" w:type="dxa"/>
              <w:right w:w="57" w:type="dxa"/>
            </w:tcMar>
            <w:vAlign w:val="center"/>
          </w:tcPr>
          <w:p w14:paraId="1C473CC8">
            <w:pPr>
              <w:spacing w:line="240" w:lineRule="auto"/>
              <w:jc w:val="center"/>
              <w:rPr>
                <w:sz w:val="21"/>
                <w:szCs w:val="21"/>
              </w:rPr>
            </w:pPr>
            <w:r>
              <w:rPr>
                <w:sz w:val="21"/>
                <w:szCs w:val="21"/>
              </w:rPr>
              <w:t>化粪池</w:t>
            </w:r>
          </w:p>
        </w:tc>
        <w:tc>
          <w:tcPr>
            <w:tcW w:w="1104" w:type="dxa"/>
            <w:tcMar>
              <w:left w:w="57" w:type="dxa"/>
              <w:right w:w="57" w:type="dxa"/>
            </w:tcMar>
            <w:vAlign w:val="center"/>
          </w:tcPr>
          <w:p w14:paraId="74393B22">
            <w:pPr>
              <w:spacing w:line="240" w:lineRule="auto"/>
              <w:jc w:val="center"/>
              <w:rPr>
                <w:sz w:val="21"/>
                <w:szCs w:val="21"/>
              </w:rPr>
            </w:pPr>
            <w:r>
              <w:rPr>
                <w:sz w:val="21"/>
                <w:szCs w:val="21"/>
              </w:rPr>
              <w:t>/</w:t>
            </w:r>
          </w:p>
        </w:tc>
        <w:tc>
          <w:tcPr>
            <w:tcW w:w="824" w:type="dxa"/>
            <w:tcMar>
              <w:left w:w="57" w:type="dxa"/>
              <w:right w:w="57" w:type="dxa"/>
            </w:tcMar>
            <w:vAlign w:val="center"/>
          </w:tcPr>
          <w:p w14:paraId="73207FBC">
            <w:pPr>
              <w:spacing w:line="240" w:lineRule="auto"/>
              <w:jc w:val="center"/>
              <w:rPr>
                <w:sz w:val="21"/>
                <w:szCs w:val="21"/>
              </w:rPr>
            </w:pPr>
            <w:r>
              <w:rPr>
                <w:rFonts w:hint="eastAsia"/>
                <w:sz w:val="21"/>
                <w:szCs w:val="21"/>
              </w:rPr>
              <w:t>2</w:t>
            </w:r>
            <w:r>
              <w:rPr>
                <w:sz w:val="21"/>
                <w:szCs w:val="21"/>
              </w:rPr>
              <w:t>个</w:t>
            </w:r>
          </w:p>
        </w:tc>
        <w:tc>
          <w:tcPr>
            <w:tcW w:w="1256" w:type="dxa"/>
            <w:tcMar>
              <w:left w:w="57" w:type="dxa"/>
              <w:right w:w="57" w:type="dxa"/>
            </w:tcMar>
            <w:vAlign w:val="center"/>
          </w:tcPr>
          <w:p w14:paraId="02DCB842">
            <w:pPr>
              <w:spacing w:line="240" w:lineRule="auto"/>
              <w:jc w:val="center"/>
              <w:rPr>
                <w:sz w:val="21"/>
                <w:szCs w:val="21"/>
              </w:rPr>
            </w:pPr>
            <w:r>
              <w:rPr>
                <w:sz w:val="21"/>
                <w:szCs w:val="21"/>
              </w:rPr>
              <w:t>/</w:t>
            </w:r>
          </w:p>
        </w:tc>
        <w:tc>
          <w:tcPr>
            <w:tcW w:w="2272" w:type="dxa"/>
            <w:tcMar>
              <w:left w:w="57" w:type="dxa"/>
              <w:right w:w="57" w:type="dxa"/>
            </w:tcMar>
            <w:vAlign w:val="center"/>
          </w:tcPr>
          <w:p w14:paraId="78BFD5D7">
            <w:pPr>
              <w:spacing w:line="240" w:lineRule="auto"/>
              <w:jc w:val="center"/>
              <w:rPr>
                <w:sz w:val="21"/>
                <w:szCs w:val="21"/>
              </w:rPr>
            </w:pPr>
            <w:r>
              <w:rPr>
                <w:sz w:val="21"/>
                <w:szCs w:val="21"/>
              </w:rPr>
              <w:t>依托</w:t>
            </w:r>
            <w:r>
              <w:rPr>
                <w:rFonts w:hint="eastAsia"/>
                <w:sz w:val="21"/>
                <w:szCs w:val="21"/>
              </w:rPr>
              <w:t>已建</w:t>
            </w:r>
          </w:p>
        </w:tc>
      </w:tr>
      <w:tr w14:paraId="7F648F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51" w:type="dxa"/>
            <w:tcMar>
              <w:left w:w="57" w:type="dxa"/>
              <w:right w:w="57" w:type="dxa"/>
            </w:tcMar>
            <w:vAlign w:val="center"/>
          </w:tcPr>
          <w:p w14:paraId="2C1F88ED">
            <w:pPr>
              <w:spacing w:line="240" w:lineRule="auto"/>
              <w:jc w:val="center"/>
              <w:rPr>
                <w:sz w:val="21"/>
                <w:szCs w:val="21"/>
              </w:rPr>
            </w:pPr>
            <w:r>
              <w:rPr>
                <w:sz w:val="21"/>
                <w:szCs w:val="21"/>
              </w:rPr>
              <w:t>3噪声</w:t>
            </w:r>
          </w:p>
        </w:tc>
        <w:tc>
          <w:tcPr>
            <w:tcW w:w="2183" w:type="dxa"/>
            <w:tcMar>
              <w:left w:w="57" w:type="dxa"/>
              <w:right w:w="57" w:type="dxa"/>
            </w:tcMar>
            <w:vAlign w:val="center"/>
          </w:tcPr>
          <w:p w14:paraId="2A01821B">
            <w:pPr>
              <w:spacing w:line="240" w:lineRule="auto"/>
              <w:jc w:val="center"/>
              <w:rPr>
                <w:sz w:val="21"/>
                <w:szCs w:val="21"/>
              </w:rPr>
            </w:pPr>
            <w:r>
              <w:rPr>
                <w:sz w:val="21"/>
                <w:szCs w:val="21"/>
              </w:rPr>
              <w:t>车间隔声、设备减震</w:t>
            </w:r>
          </w:p>
        </w:tc>
        <w:tc>
          <w:tcPr>
            <w:tcW w:w="1104" w:type="dxa"/>
            <w:tcMar>
              <w:left w:w="57" w:type="dxa"/>
              <w:right w:w="57" w:type="dxa"/>
            </w:tcMar>
            <w:vAlign w:val="center"/>
          </w:tcPr>
          <w:p w14:paraId="46BFF94E">
            <w:pPr>
              <w:spacing w:line="240" w:lineRule="auto"/>
              <w:jc w:val="center"/>
              <w:rPr>
                <w:sz w:val="21"/>
                <w:szCs w:val="21"/>
              </w:rPr>
            </w:pPr>
            <w:r>
              <w:rPr>
                <w:sz w:val="21"/>
                <w:szCs w:val="21"/>
              </w:rPr>
              <w:t>/</w:t>
            </w:r>
          </w:p>
        </w:tc>
        <w:tc>
          <w:tcPr>
            <w:tcW w:w="824" w:type="dxa"/>
            <w:tcMar>
              <w:left w:w="57" w:type="dxa"/>
              <w:right w:w="57" w:type="dxa"/>
            </w:tcMar>
            <w:vAlign w:val="center"/>
          </w:tcPr>
          <w:p w14:paraId="00C4736C">
            <w:pPr>
              <w:spacing w:line="240" w:lineRule="auto"/>
              <w:jc w:val="center"/>
              <w:rPr>
                <w:sz w:val="21"/>
                <w:szCs w:val="21"/>
              </w:rPr>
            </w:pPr>
            <w:r>
              <w:rPr>
                <w:sz w:val="21"/>
                <w:szCs w:val="21"/>
              </w:rPr>
              <w:t>/</w:t>
            </w:r>
          </w:p>
        </w:tc>
        <w:tc>
          <w:tcPr>
            <w:tcW w:w="1256" w:type="dxa"/>
            <w:tcMar>
              <w:left w:w="57" w:type="dxa"/>
              <w:right w:w="57" w:type="dxa"/>
            </w:tcMar>
            <w:vAlign w:val="center"/>
          </w:tcPr>
          <w:p w14:paraId="6D1B708A">
            <w:pPr>
              <w:spacing w:line="240" w:lineRule="auto"/>
              <w:jc w:val="center"/>
              <w:rPr>
                <w:sz w:val="21"/>
                <w:szCs w:val="21"/>
              </w:rPr>
            </w:pPr>
            <w:r>
              <w:rPr>
                <w:rFonts w:hint="eastAsia"/>
                <w:sz w:val="21"/>
                <w:szCs w:val="21"/>
              </w:rPr>
              <w:t>10</w:t>
            </w:r>
          </w:p>
        </w:tc>
        <w:tc>
          <w:tcPr>
            <w:tcW w:w="2272" w:type="dxa"/>
            <w:tcMar>
              <w:left w:w="57" w:type="dxa"/>
              <w:right w:w="57" w:type="dxa"/>
            </w:tcMar>
            <w:vAlign w:val="center"/>
          </w:tcPr>
          <w:p w14:paraId="74D186A3">
            <w:pPr>
              <w:spacing w:line="240" w:lineRule="auto"/>
              <w:jc w:val="center"/>
              <w:rPr>
                <w:sz w:val="21"/>
                <w:szCs w:val="21"/>
              </w:rPr>
            </w:pPr>
            <w:r>
              <w:rPr>
                <w:sz w:val="21"/>
                <w:szCs w:val="21"/>
              </w:rPr>
              <w:t>设备减震</w:t>
            </w:r>
          </w:p>
        </w:tc>
      </w:tr>
      <w:tr w14:paraId="1BDA9C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tcMar>
              <w:left w:w="57" w:type="dxa"/>
              <w:right w:w="57" w:type="dxa"/>
            </w:tcMar>
            <w:vAlign w:val="center"/>
          </w:tcPr>
          <w:p w14:paraId="1E21F763">
            <w:pPr>
              <w:spacing w:line="240" w:lineRule="auto"/>
              <w:jc w:val="center"/>
              <w:rPr>
                <w:sz w:val="21"/>
                <w:szCs w:val="21"/>
              </w:rPr>
            </w:pPr>
            <w:r>
              <w:rPr>
                <w:sz w:val="21"/>
                <w:szCs w:val="21"/>
              </w:rPr>
              <w:t>4危险废物</w:t>
            </w:r>
          </w:p>
        </w:tc>
        <w:tc>
          <w:tcPr>
            <w:tcW w:w="2183" w:type="dxa"/>
            <w:tcMar>
              <w:left w:w="57" w:type="dxa"/>
              <w:right w:w="57" w:type="dxa"/>
            </w:tcMar>
            <w:vAlign w:val="center"/>
          </w:tcPr>
          <w:p w14:paraId="0525BBB5">
            <w:pPr>
              <w:spacing w:line="240" w:lineRule="auto"/>
              <w:jc w:val="center"/>
              <w:rPr>
                <w:sz w:val="21"/>
                <w:szCs w:val="21"/>
              </w:rPr>
            </w:pPr>
            <w:r>
              <w:rPr>
                <w:sz w:val="21"/>
                <w:szCs w:val="21"/>
              </w:rPr>
              <w:t>危险废物暂存间+外委处理</w:t>
            </w:r>
          </w:p>
        </w:tc>
        <w:tc>
          <w:tcPr>
            <w:tcW w:w="1104" w:type="dxa"/>
            <w:tcMar>
              <w:left w:w="57" w:type="dxa"/>
              <w:right w:w="57" w:type="dxa"/>
            </w:tcMar>
            <w:vAlign w:val="center"/>
          </w:tcPr>
          <w:p w14:paraId="56915380">
            <w:pPr>
              <w:spacing w:line="240" w:lineRule="auto"/>
              <w:jc w:val="center"/>
              <w:rPr>
                <w:sz w:val="21"/>
                <w:szCs w:val="21"/>
              </w:rPr>
            </w:pPr>
            <w:r>
              <w:rPr>
                <w:sz w:val="21"/>
                <w:szCs w:val="21"/>
              </w:rPr>
              <w:t>/</w:t>
            </w:r>
          </w:p>
        </w:tc>
        <w:tc>
          <w:tcPr>
            <w:tcW w:w="824" w:type="dxa"/>
            <w:tcMar>
              <w:left w:w="57" w:type="dxa"/>
              <w:right w:w="57" w:type="dxa"/>
            </w:tcMar>
            <w:vAlign w:val="center"/>
          </w:tcPr>
          <w:p w14:paraId="19459A6D">
            <w:pPr>
              <w:spacing w:line="240" w:lineRule="auto"/>
              <w:jc w:val="center"/>
              <w:rPr>
                <w:sz w:val="21"/>
                <w:szCs w:val="21"/>
              </w:rPr>
            </w:pPr>
            <w:r>
              <w:rPr>
                <w:sz w:val="21"/>
                <w:szCs w:val="21"/>
              </w:rPr>
              <w:t>1间</w:t>
            </w:r>
          </w:p>
        </w:tc>
        <w:tc>
          <w:tcPr>
            <w:tcW w:w="1256" w:type="dxa"/>
            <w:tcMar>
              <w:left w:w="57" w:type="dxa"/>
              <w:right w:w="57" w:type="dxa"/>
            </w:tcMar>
            <w:vAlign w:val="center"/>
          </w:tcPr>
          <w:p w14:paraId="4A4A4F11">
            <w:pPr>
              <w:spacing w:line="240" w:lineRule="auto"/>
              <w:jc w:val="center"/>
              <w:rPr>
                <w:sz w:val="21"/>
                <w:szCs w:val="21"/>
              </w:rPr>
            </w:pPr>
            <w:r>
              <w:rPr>
                <w:rFonts w:hint="eastAsia"/>
                <w:sz w:val="21"/>
                <w:szCs w:val="21"/>
              </w:rPr>
              <w:t>/</w:t>
            </w:r>
          </w:p>
        </w:tc>
        <w:tc>
          <w:tcPr>
            <w:tcW w:w="2272" w:type="dxa"/>
            <w:tcMar>
              <w:left w:w="57" w:type="dxa"/>
              <w:right w:w="57" w:type="dxa"/>
            </w:tcMar>
            <w:vAlign w:val="center"/>
          </w:tcPr>
          <w:p w14:paraId="05554CA7">
            <w:pPr>
              <w:spacing w:line="240" w:lineRule="auto"/>
              <w:jc w:val="center"/>
              <w:rPr>
                <w:sz w:val="21"/>
                <w:szCs w:val="21"/>
              </w:rPr>
            </w:pPr>
            <w:r>
              <w:rPr>
                <w:sz w:val="21"/>
                <w:szCs w:val="21"/>
              </w:rPr>
              <w:t>依托</w:t>
            </w:r>
            <w:r>
              <w:rPr>
                <w:rFonts w:hint="eastAsia"/>
                <w:sz w:val="21"/>
                <w:szCs w:val="21"/>
              </w:rPr>
              <w:t>已建</w:t>
            </w:r>
          </w:p>
        </w:tc>
      </w:tr>
      <w:tr w14:paraId="3B668B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4" w:type="dxa"/>
            <w:gridSpan w:val="2"/>
            <w:tcMar>
              <w:left w:w="57" w:type="dxa"/>
              <w:right w:w="57" w:type="dxa"/>
            </w:tcMar>
            <w:vAlign w:val="center"/>
          </w:tcPr>
          <w:p w14:paraId="204144F1">
            <w:pPr>
              <w:spacing w:line="240" w:lineRule="auto"/>
              <w:jc w:val="center"/>
              <w:rPr>
                <w:sz w:val="21"/>
                <w:szCs w:val="21"/>
              </w:rPr>
            </w:pPr>
            <w:r>
              <w:rPr>
                <w:sz w:val="21"/>
                <w:szCs w:val="21"/>
              </w:rPr>
              <w:t>合计</w:t>
            </w:r>
          </w:p>
        </w:tc>
        <w:tc>
          <w:tcPr>
            <w:tcW w:w="5456" w:type="dxa"/>
            <w:gridSpan w:val="4"/>
            <w:tcMar>
              <w:left w:w="57" w:type="dxa"/>
              <w:right w:w="57" w:type="dxa"/>
            </w:tcMar>
            <w:vAlign w:val="center"/>
          </w:tcPr>
          <w:p w14:paraId="2FA2557B">
            <w:pPr>
              <w:spacing w:line="240" w:lineRule="auto"/>
              <w:jc w:val="center"/>
              <w:rPr>
                <w:sz w:val="21"/>
                <w:szCs w:val="21"/>
              </w:rPr>
            </w:pPr>
            <w:r>
              <w:rPr>
                <w:rFonts w:hint="eastAsia"/>
                <w:sz w:val="21"/>
                <w:szCs w:val="21"/>
              </w:rPr>
              <w:t>2585</w:t>
            </w:r>
            <w:r>
              <w:rPr>
                <w:sz w:val="21"/>
                <w:szCs w:val="21"/>
              </w:rPr>
              <w:t>万元</w:t>
            </w:r>
          </w:p>
        </w:tc>
      </w:tr>
    </w:tbl>
    <w:p w14:paraId="789465CF">
      <w:pPr>
        <w:pStyle w:val="3"/>
        <w:numPr>
          <w:ilvl w:val="1"/>
          <w:numId w:val="0"/>
        </w:numPr>
        <w:ind w:left="567" w:leftChars="0" w:hanging="567" w:firstLineChars="0"/>
        <w:rPr>
          <w:sz w:val="28"/>
          <w:szCs w:val="28"/>
        </w:rPr>
      </w:pPr>
      <w:bookmarkStart w:id="161" w:name="_Toc24068"/>
      <w:r>
        <w:rPr>
          <w:rFonts w:hint="default" w:ascii="宋体" w:hAnsi="宋体" w:eastAsia="宋体" w:cs="宋体"/>
          <w:b/>
          <w:bCs/>
          <w:kern w:val="2"/>
          <w:sz w:val="28"/>
          <w:szCs w:val="28"/>
          <w:lang w:val="en-US" w:eastAsia="zh-CN" w:bidi="ar-SA"/>
        </w:rPr>
        <w:t>9.3</w:t>
      </w:r>
      <w:r>
        <w:rPr>
          <w:rFonts w:hint="eastAsia"/>
          <w:sz w:val="28"/>
          <w:szCs w:val="28"/>
        </w:rPr>
        <w:t>环境损益分析</w:t>
      </w:r>
      <w:bookmarkEnd w:id="161"/>
    </w:p>
    <w:p w14:paraId="676D5E6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9.3.1</w:t>
      </w:r>
      <w:r>
        <w:rPr>
          <w:rFonts w:hint="eastAsia"/>
        </w:rPr>
        <w:t>环境效益分析</w:t>
      </w:r>
    </w:p>
    <w:p w14:paraId="247CA41E">
      <w:pPr>
        <w:ind w:firstLine="480"/>
      </w:pPr>
      <w:r>
        <w:rPr>
          <w:rFonts w:hint="eastAsia"/>
        </w:rPr>
        <w:t>本次变更虽然增加了污染物排放量，但采取了较为先进的污染治理措施，各项污染因子经预测后，对周边的环境影响仍在可接受范围内，同时又直接促进区域经济效益的增加，从而形成一个良性循环。</w:t>
      </w:r>
    </w:p>
    <w:p w14:paraId="64C94E6C">
      <w:pPr>
        <w:ind w:firstLine="480"/>
      </w:pPr>
      <w:r>
        <w:rPr>
          <w:rFonts w:hint="eastAsia" w:ascii="宋体" w:hAnsi="宋体" w:cs="宋体"/>
        </w:rPr>
        <w:t>⑴</w:t>
      </w:r>
      <w:r>
        <w:rPr>
          <w:rFonts w:hint="eastAsia"/>
        </w:rPr>
        <w:t>废水处理效益：冷却水循环使用，环境效益显著。</w:t>
      </w:r>
    </w:p>
    <w:p w14:paraId="627591B0">
      <w:pPr>
        <w:ind w:firstLine="480"/>
      </w:pPr>
      <w:r>
        <w:rPr>
          <w:rFonts w:hint="eastAsia" w:ascii="宋体" w:hAnsi="宋体" w:cs="宋体"/>
        </w:rPr>
        <w:t>⑵</w:t>
      </w:r>
      <w:r>
        <w:rPr>
          <w:rFonts w:hint="eastAsia"/>
        </w:rPr>
        <w:t>废气治理环境效益：</w:t>
      </w:r>
    </w:p>
    <w:p w14:paraId="7909FDD7">
      <w:pPr>
        <w:ind w:firstLine="480"/>
      </w:pPr>
      <w:r>
        <w:rPr>
          <w:rFonts w:hint="eastAsia"/>
        </w:rPr>
        <w:t>变更后，全厂有机废气全部通过“吸附浓缩+溶剂回收”环保措施进行处理，</w:t>
      </w:r>
      <w:r>
        <w:rPr>
          <w:rFonts w:hint="eastAsia"/>
          <w:lang w:val="en-US" w:eastAsia="zh-CN"/>
        </w:rPr>
        <w:t>该措施是目前较为先经和稳定高效的有废气处理方案，同时溶剂回收也进一步降低危险废物的处置压力和企业运营成本</w:t>
      </w:r>
      <w:r>
        <w:rPr>
          <w:rFonts w:hint="eastAsia"/>
        </w:rPr>
        <w:t>，有利于改善湘潭县的环境质量。</w:t>
      </w:r>
    </w:p>
    <w:p w14:paraId="4B9B9679">
      <w:pPr>
        <w:ind w:firstLine="480"/>
      </w:pPr>
      <w:r>
        <w:rPr>
          <w:rFonts w:hint="eastAsia" w:ascii="宋体" w:hAnsi="宋体" w:cs="宋体"/>
        </w:rPr>
        <w:t>⑶</w:t>
      </w:r>
      <w:r>
        <w:rPr>
          <w:rFonts w:hint="eastAsia"/>
        </w:rPr>
        <w:t>噪声治理的环境效益：噪声治理措施落实后可确保厂界噪声达标，有良好的环境效益。</w:t>
      </w:r>
    </w:p>
    <w:p w14:paraId="6EEDF0E5">
      <w:pPr>
        <w:ind w:firstLine="480"/>
        <w:rPr>
          <w:rFonts w:ascii="宋体" w:hAnsi="宋体" w:cs="宋体"/>
        </w:rPr>
      </w:pPr>
      <w:r>
        <w:rPr>
          <w:rFonts w:hint="eastAsia" w:ascii="宋体" w:hAnsi="宋体" w:cs="宋体"/>
        </w:rPr>
        <w:t>⑷固废处置的环境效益：噪声治理措施落实后可确保厂界噪声达标，有良好的环境效益。</w:t>
      </w:r>
    </w:p>
    <w:p w14:paraId="45BBA7B2">
      <w:pPr>
        <w:ind w:firstLine="480"/>
      </w:pPr>
      <w:r>
        <w:rPr>
          <w:rFonts w:hint="eastAsia"/>
        </w:rPr>
        <w:t>由此可见，拟建项目在设计中严格执行各项环保标准，针对生产中排放的“三废”采取了有效的处理措施，实现达标排放，废水处理、废气处理、噪声治理、固废处置处理措施可行，环保工程投入的环境效益显著，体现了国家环保政策，贯彻了“总量控制”、“达标排放”的污染控制原则，达到保护环境的目的。</w:t>
      </w:r>
    </w:p>
    <w:p w14:paraId="104E5079">
      <w:pPr>
        <w:ind w:firstLine="480"/>
      </w:pPr>
      <w:r>
        <w:rPr>
          <w:rFonts w:hint="eastAsia"/>
        </w:rPr>
        <w:t>因此，建设项目所产生的环境效益较明显，实现了既发展生产又保护环境，达到环境、经济、社会三者的统一。</w:t>
      </w:r>
    </w:p>
    <w:p w14:paraId="4111D39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9.3.2</w:t>
      </w:r>
      <w:r>
        <w:rPr>
          <w:rFonts w:hint="eastAsia"/>
        </w:rPr>
        <w:t>经济效益分析</w:t>
      </w:r>
    </w:p>
    <w:p w14:paraId="2F60A9BA">
      <w:pPr>
        <w:ind w:firstLine="480"/>
      </w:pPr>
      <w:r>
        <w:rPr>
          <w:rFonts w:hint="eastAsia"/>
        </w:rPr>
        <w:t>本项目采用“吸附浓缩+溶剂回收”环保措施，经厂内提纯后，可回收溶剂返回生产工艺，有机溶剂能够被有效回收，并得到再利用，节约溶剂购买成本，实现了资源的高效利用和循环经济的理念。多余的溶剂由洛阳天宝新能源有限公司回收，产生经济效益，增加了公司的收入。同时，与燃烧法相比，吸附冷凝法将碳排放降至最低，有效减少了企业对环境的负面影响。由此可见，其经济效益是十分显著。</w:t>
      </w:r>
    </w:p>
    <w:p w14:paraId="7FC7F18B">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9.3.3</w:t>
      </w:r>
      <w:r>
        <w:rPr>
          <w:rFonts w:hint="eastAsia"/>
        </w:rPr>
        <w:t>社会效益分析</w:t>
      </w:r>
    </w:p>
    <w:p w14:paraId="5B54CCB3">
      <w:pPr>
        <w:ind w:firstLine="480"/>
      </w:pPr>
      <w:r>
        <w:rPr>
          <w:rFonts w:hint="eastAsia"/>
        </w:rPr>
        <w:t>本工程建设可为国家创造利润增值税及其它税收，还可以提供70个左右的工作岗位，该项目的建设不仅增加自身的经济效益，而且能够大大增加当地的税收，有助于当地的经济发展。项目建成后，大部分员工使用本地人员，对缓解当地就业压力，增加社会安定因素起到了积极作用。生产过程中产生的污染物皆能得到有效控制，对周边造成的环境影响有限。项目的经济效益良好，项目生产后可为湘潭市的经济繁荣做出贡献，具有良好的社会效益。</w:t>
      </w:r>
    </w:p>
    <w:p w14:paraId="51EB035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9.3.4</w:t>
      </w:r>
      <w:r>
        <w:rPr>
          <w:rFonts w:hint="eastAsia"/>
        </w:rPr>
        <w:t>环境影响经济损益综合分析</w:t>
      </w:r>
    </w:p>
    <w:p w14:paraId="415BA4CD">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1.正效益</w:t>
      </w:r>
    </w:p>
    <w:p w14:paraId="7ECACD33">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当项目实现对污染源的有效治理后，从长远看应当获得较好的社会、经济效益和一定的环境效益。</w:t>
      </w:r>
    </w:p>
    <w:p w14:paraId="2F5DC72F">
      <w:pPr>
        <w:pStyle w:val="38"/>
        <w:ind w:firstLine="480"/>
        <w:rPr>
          <w:rFonts w:ascii="Times New Roman" w:hAnsi="Times New Roman" w:eastAsia="宋体" w:cs="Times New Roman"/>
          <w:color w:val="auto"/>
        </w:rPr>
      </w:pPr>
      <w:r>
        <w:rPr>
          <w:rFonts w:hint="eastAsia" w:hAnsi="宋体" w:eastAsia="宋体"/>
          <w:color w:val="auto"/>
        </w:rPr>
        <w:t>⑴</w:t>
      </w:r>
      <w:r>
        <w:rPr>
          <w:rFonts w:hint="eastAsia" w:ascii="Times New Roman" w:hAnsi="Times New Roman" w:eastAsia="宋体" w:cs="Times New Roman"/>
          <w:color w:val="auto"/>
        </w:rPr>
        <w:t>减轻对区域环境的影响、防止环境纠纷的发生</w:t>
      </w:r>
    </w:p>
    <w:p w14:paraId="5E9B9B2D">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由于项目今后排放的废气和噪声将是对周围人居环境形成影响的最直接、最敏感的污染物，项目对污染源实现了有效的治理后，能起到减轻对区域环境的影响、防止环境纠纷发生的作用，从而达到保护区域环境空气质量、声环境质量、保护周围居民生活环境质量的目的。</w:t>
      </w:r>
    </w:p>
    <w:p w14:paraId="5AB23266">
      <w:pPr>
        <w:pStyle w:val="38"/>
        <w:ind w:firstLine="480"/>
        <w:rPr>
          <w:rFonts w:ascii="Times New Roman" w:hAnsi="Times New Roman" w:eastAsia="宋体" w:cs="Times New Roman"/>
          <w:color w:val="auto"/>
        </w:rPr>
      </w:pPr>
      <w:r>
        <w:rPr>
          <w:rFonts w:hint="eastAsia" w:hAnsi="宋体" w:eastAsia="宋体"/>
          <w:color w:val="auto"/>
        </w:rPr>
        <w:t>⑵</w:t>
      </w:r>
      <w:r>
        <w:rPr>
          <w:rFonts w:hint="eastAsia" w:ascii="Times New Roman" w:hAnsi="Times New Roman" w:eastAsia="宋体" w:cs="Times New Roman"/>
          <w:color w:val="auto"/>
        </w:rPr>
        <w:t>促进工厂的技术改造、增强职工的环保意识。</w:t>
      </w:r>
    </w:p>
    <w:p w14:paraId="4CEAAB93">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在实施污染源的全面治理过程中，为使治理设施的有效、正常运行，将会触动工厂的生产技术的改进、管理方法的完善、职工操作水平的提高和劳动纪律的增强等方面；从这种意义上讲，项目在实施污染源治理和加强环境保护措施的过程，也是自己不断前进、发展以适应行业、社会和环境保护要求的过程。</w:t>
      </w:r>
    </w:p>
    <w:p w14:paraId="6B3BAA47">
      <w:pPr>
        <w:pStyle w:val="38"/>
        <w:ind w:firstLine="480"/>
        <w:rPr>
          <w:rFonts w:ascii="Times New Roman" w:hAnsi="Times New Roman" w:eastAsia="宋体" w:cs="Times New Roman"/>
          <w:color w:val="auto"/>
        </w:rPr>
      </w:pPr>
      <w:r>
        <w:rPr>
          <w:rFonts w:hint="eastAsia" w:hAnsi="宋体" w:eastAsia="宋体"/>
          <w:color w:val="auto"/>
        </w:rPr>
        <w:t>⑶</w:t>
      </w:r>
      <w:r>
        <w:rPr>
          <w:rFonts w:hint="eastAsia" w:ascii="Times New Roman" w:hAnsi="Times New Roman" w:eastAsia="宋体" w:cs="Times New Roman"/>
          <w:color w:val="auto"/>
        </w:rPr>
        <w:t>具有良好的社会效益</w:t>
      </w:r>
    </w:p>
    <w:p w14:paraId="1C961E59">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项目的建设有利于地方经济发展、增加地方经济收入和提供了劳动力的新的就业岗位，对经济和社会稳定都能起到积极的作用。</w:t>
      </w:r>
    </w:p>
    <w:p w14:paraId="429EEB9E">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2.负效益</w:t>
      </w:r>
    </w:p>
    <w:p w14:paraId="5CBC4B93">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rPr>
        <w:t>建设项目的废气、废水、噪声、固废仍然增加当地的环境负荷，对环境的影响是不可避免的。但严格执行本报告所提各项环保措施，项目的环境负效益可以有所降低。</w:t>
      </w:r>
    </w:p>
    <w:p w14:paraId="1ABC4DA1">
      <w:pPr>
        <w:pStyle w:val="3"/>
        <w:numPr>
          <w:ilvl w:val="1"/>
          <w:numId w:val="0"/>
        </w:numPr>
        <w:ind w:left="567" w:leftChars="0" w:hanging="567" w:firstLineChars="0"/>
        <w:rPr>
          <w:sz w:val="28"/>
          <w:szCs w:val="28"/>
        </w:rPr>
      </w:pPr>
      <w:bookmarkStart w:id="162" w:name="_Toc29135"/>
      <w:r>
        <w:rPr>
          <w:rFonts w:hint="default" w:ascii="宋体" w:hAnsi="宋体" w:eastAsia="宋体" w:cs="宋体"/>
          <w:b/>
          <w:bCs/>
          <w:kern w:val="2"/>
          <w:sz w:val="28"/>
          <w:szCs w:val="28"/>
          <w:lang w:val="en-US" w:eastAsia="zh-CN" w:bidi="ar-SA"/>
        </w:rPr>
        <w:t>9.4</w:t>
      </w:r>
      <w:r>
        <w:rPr>
          <w:rFonts w:hint="eastAsia"/>
          <w:sz w:val="28"/>
          <w:szCs w:val="28"/>
        </w:rPr>
        <w:t>环境经济损益分析结论</w:t>
      </w:r>
      <w:bookmarkEnd w:id="162"/>
    </w:p>
    <w:p w14:paraId="00790F1B">
      <w:pPr>
        <w:pStyle w:val="40"/>
        <w:spacing w:line="360" w:lineRule="auto"/>
        <w:ind w:firstLine="480"/>
        <w:rPr>
          <w:rFonts w:ascii="Times New Roman"/>
        </w:rPr>
      </w:pPr>
      <w:r>
        <w:rPr>
          <w:rFonts w:hint="eastAsia" w:ascii="Times New Roman"/>
        </w:rPr>
        <w:t>从以上简要分析可知，企业可实现经济效益和环境效益的双赢。一方面，通过回收有机溶剂，企业实现了资源的再生利用，减少了原材料的消耗和成本的浪费。另一方面，由于吸附冷凝法减少了燃烧过程中的碳排放，企业成功减少了其对大气环境的污染，积极响应了国家碳减排目标。</w:t>
      </w:r>
    </w:p>
    <w:p w14:paraId="794F957D">
      <w:pPr>
        <w:pStyle w:val="40"/>
        <w:spacing w:line="360" w:lineRule="auto"/>
        <w:ind w:firstLine="480"/>
        <w:rPr>
          <w:rFonts w:ascii="Times New Roman"/>
        </w:rPr>
      </w:pPr>
      <w:r>
        <w:rPr>
          <w:rFonts w:hint="eastAsia" w:ascii="Times New Roman"/>
        </w:rPr>
        <w:t>此次有机废气处理设备的更换，不仅为该企业带来了积极的社会影响，也为塑料印刷行业提供了一个可行的绿色发展模式。作为社会主义核心价值观的重要组成部分，可持续发展理念必将引领企业在经济发展和环境保护之间寻求更好的平衡，推动绿色、低碳、可持续的现代化工业发展。该项目从环境经济损益的角度考虑是可行的。</w:t>
      </w:r>
    </w:p>
    <w:p w14:paraId="0E1EB9BE">
      <w:pPr>
        <w:pStyle w:val="3"/>
        <w:numPr>
          <w:ilvl w:val="1"/>
          <w:numId w:val="0"/>
        </w:numPr>
        <w:ind w:left="567" w:leftChars="0" w:hanging="567" w:firstLineChars="0"/>
        <w:rPr>
          <w:sz w:val="28"/>
          <w:szCs w:val="28"/>
        </w:rPr>
      </w:pPr>
      <w:bookmarkStart w:id="163" w:name="_Toc14230"/>
      <w:r>
        <w:rPr>
          <w:rFonts w:hint="default" w:ascii="宋体" w:hAnsi="宋体" w:eastAsia="宋体" w:cs="宋体"/>
          <w:b/>
          <w:bCs/>
          <w:kern w:val="2"/>
          <w:sz w:val="28"/>
          <w:szCs w:val="28"/>
          <w:lang w:val="en-US" w:eastAsia="zh-CN" w:bidi="ar-SA"/>
        </w:rPr>
        <w:t>9.5</w:t>
      </w:r>
      <w:r>
        <w:rPr>
          <w:rFonts w:hint="eastAsia"/>
          <w:sz w:val="28"/>
          <w:szCs w:val="28"/>
        </w:rPr>
        <w:t>清洁生产分析</w:t>
      </w:r>
      <w:bookmarkEnd w:id="163"/>
    </w:p>
    <w:p w14:paraId="415B73A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9.5.1</w:t>
      </w:r>
      <w:r>
        <w:rPr>
          <w:rFonts w:hint="eastAsia"/>
        </w:rPr>
        <w:t>清洁生产概述</w:t>
      </w:r>
    </w:p>
    <w:p w14:paraId="70E4C381">
      <w:pPr>
        <w:ind w:firstLine="480"/>
      </w:pPr>
      <w:r>
        <w:rPr>
          <w:rFonts w:hint="eastAsia"/>
        </w:rPr>
        <w:t>清洁生产是将整体预防的环境战略持续应用于生产过程和产品中，以减少对人类和环境地风险。生产过程清洁生产包括使用清洁的原材料和能源，采用先进的工艺技术和设备，在生产过程排放废物之前减少废物的数量和降低其毒性，改善管理，综合利用等方面，对产品旨在减少从原料到产品的最终处置的全生命周期的不利影响，以管理与技术为手段，从源头着手提高资源的利用效率，使污染物的产生量和排放量最小化，从而取代以往末端被动治理的污染控制政策。</w:t>
      </w:r>
    </w:p>
    <w:p w14:paraId="1F7513A8">
      <w:pPr>
        <w:ind w:firstLine="480"/>
      </w:pPr>
      <w:r>
        <w:rPr>
          <w:rFonts w:hint="eastAsia"/>
        </w:rPr>
        <w:t>实施清洁生产不仅可以避免“先污染，后治理”的状况，而且实现了经济效益与环境效益的有机结合，能调动企业防治工业污染的积极性，是保护环境、实现经济可持续发展的必由之路。</w:t>
      </w:r>
    </w:p>
    <w:p w14:paraId="7D451AC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9.5.2</w:t>
      </w:r>
      <w:r>
        <w:rPr>
          <w:rFonts w:hint="eastAsia"/>
        </w:rPr>
        <w:t>清洁生产水平分析</w:t>
      </w:r>
    </w:p>
    <w:p w14:paraId="29F6E819">
      <w:pPr>
        <w:pStyle w:val="38"/>
        <w:ind w:firstLine="480"/>
        <w:rPr>
          <w:rFonts w:ascii="Times New Roman" w:hAnsi="Times New Roman" w:cs="Times New Roman"/>
          <w:color w:val="auto"/>
        </w:rPr>
      </w:pPr>
      <w:r>
        <w:rPr>
          <w:rFonts w:hint="eastAsia" w:ascii="Times New Roman" w:hAnsi="Times New Roman" w:cs="Times New Roman"/>
          <w:color w:val="auto"/>
        </w:rPr>
        <w:t>本项目为印刷行业，《印刷业清洁生产评价指标体系》适用于印刷企业的清洁生产审核、清洁生产潜力与机会的判断以及清洁生产绩效评定和清洁生产绩效公告制度。本项目主要工序为印刷工序，因此参照《印刷业清洁生产评价指标体系》对于本项目的清洁生产水平进行评价，寻找清洁生产潜力与机会。</w:t>
      </w:r>
    </w:p>
    <w:p w14:paraId="52D94146">
      <w:pPr>
        <w:pStyle w:val="38"/>
        <w:ind w:firstLine="480"/>
        <w:rPr>
          <w:rFonts w:ascii="Times New Roman" w:hAnsi="Times New Roman" w:cs="Times New Roman"/>
          <w:color w:val="auto"/>
        </w:rPr>
      </w:pPr>
      <w:r>
        <w:rPr>
          <w:rFonts w:hint="eastAsia" w:ascii="Times New Roman" w:hAnsi="Times New Roman" w:cs="Times New Roman"/>
          <w:color w:val="auto"/>
        </w:rPr>
        <w:t>指标体系采用限定性指标评价和指标分级加权评价相结合的方法，在限定性指标达到Ⅲ级水平的基础上，采用指标分级加权评价方法，计算行业清洁生产</w:t>
      </w:r>
    </w:p>
    <w:p w14:paraId="20BB5A22">
      <w:pPr>
        <w:pStyle w:val="38"/>
        <w:ind w:firstLine="480"/>
        <w:rPr>
          <w:rFonts w:ascii="Times New Roman" w:hAnsi="Times New Roman" w:cs="Times New Roman"/>
          <w:color w:val="auto"/>
        </w:rPr>
      </w:pPr>
      <w:r>
        <w:rPr>
          <w:rFonts w:hint="eastAsia" w:ascii="Times New Roman" w:hAnsi="Times New Roman" w:cs="Times New Roman"/>
          <w:color w:val="auto"/>
        </w:rPr>
        <w:t>综合评价指数（Y），根据综合评价指数，确定清洁生产水平等级。其中，综合</w:t>
      </w:r>
    </w:p>
    <w:p w14:paraId="2A4FF1EF">
      <w:pPr>
        <w:pStyle w:val="38"/>
        <w:ind w:firstLine="480"/>
        <w:rPr>
          <w:rFonts w:ascii="Times New Roman" w:hAnsi="Times New Roman" w:cs="Times New Roman"/>
          <w:color w:val="auto"/>
        </w:rPr>
      </w:pPr>
      <w:r>
        <w:rPr>
          <w:rFonts w:hint="eastAsia" w:ascii="Times New Roman" w:hAnsi="Times New Roman" w:cs="Times New Roman"/>
          <w:color w:val="auto"/>
        </w:rPr>
        <w:t>评价指数（Y）计算方法如下：</w:t>
      </w:r>
    </w:p>
    <w:p w14:paraId="69716091">
      <w:pPr>
        <w:pStyle w:val="30"/>
        <w:spacing w:after="0" w:line="360" w:lineRule="auto"/>
        <w:ind w:left="0" w:leftChars="0" w:firstLine="480"/>
        <w:rPr>
          <w:sz w:val="24"/>
        </w:rPr>
      </w:pPr>
      <w:r>
        <w:rPr>
          <w:rFonts w:hint="eastAsia" w:ascii="宋体" w:hAnsi="宋体" w:cs="宋体"/>
          <w:sz w:val="24"/>
        </w:rPr>
        <w:t>⑴</w:t>
      </w:r>
      <w:r>
        <w:rPr>
          <w:rFonts w:hint="eastAsia"/>
          <w:sz w:val="24"/>
        </w:rPr>
        <w:t>指标无量纲化</w:t>
      </w:r>
    </w:p>
    <w:p w14:paraId="0C61025A">
      <w:pPr>
        <w:ind w:firstLine="480"/>
      </w:pPr>
      <w:r>
        <w:rPr>
          <w:rFonts w:hint="eastAsia"/>
        </w:rPr>
        <w:t xml:space="preserve">不同清洁生产指标由于量纲不同，不能直接比较，需要建立原始指标的函数。  </w:t>
      </w:r>
    </w:p>
    <w:p w14:paraId="4617DC9F">
      <w:pPr>
        <w:ind w:firstLine="480"/>
      </w:pPr>
    </w:p>
    <w:p w14:paraId="4C4AA97B">
      <w:pPr>
        <w:pStyle w:val="38"/>
        <w:ind w:firstLine="480"/>
        <w:rPr>
          <w:rFonts w:ascii="Times New Roman" w:hAnsi="Times New Roman" w:cs="Times New Roman"/>
          <w:color w:val="auto"/>
        </w:rPr>
      </w:pPr>
      <w:r>
        <w:rPr>
          <w:rFonts w:hint="eastAsia" w:ascii="Times New Roman" w:hAnsi="Times New Roman" w:eastAsia="宋体" w:cs="Times New Roman"/>
          <w:color w:val="auto"/>
        </w:rPr>
        <w:drawing>
          <wp:anchor distT="0" distB="0" distL="114300" distR="114300" simplePos="0" relativeHeight="251663360" behindDoc="0" locked="0" layoutInCell="1" allowOverlap="1">
            <wp:simplePos x="0" y="0"/>
            <wp:positionH relativeFrom="column">
              <wp:posOffset>786130</wp:posOffset>
            </wp:positionH>
            <wp:positionV relativeFrom="paragraph">
              <wp:posOffset>130810</wp:posOffset>
            </wp:positionV>
            <wp:extent cx="3915410" cy="582295"/>
            <wp:effectExtent l="0" t="0" r="8890" b="8255"/>
            <wp:wrapSquare wrapText="bothSides"/>
            <wp:docPr id="88" name="图片 35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58" descr="111"/>
                    <pic:cNvPicPr>
                      <a:picLocks noChangeAspect="1"/>
                    </pic:cNvPicPr>
                  </pic:nvPicPr>
                  <pic:blipFill>
                    <a:blip r:embed="rId152"/>
                    <a:stretch>
                      <a:fillRect/>
                    </a:stretch>
                  </pic:blipFill>
                  <pic:spPr>
                    <a:xfrm>
                      <a:off x="0" y="0"/>
                      <a:ext cx="3915410" cy="582295"/>
                    </a:xfrm>
                    <a:prstGeom prst="rect">
                      <a:avLst/>
                    </a:prstGeom>
                    <a:noFill/>
                    <a:ln>
                      <a:noFill/>
                    </a:ln>
                  </pic:spPr>
                </pic:pic>
              </a:graphicData>
            </a:graphic>
          </wp:anchor>
        </w:drawing>
      </w:r>
    </w:p>
    <w:p w14:paraId="6A7F9031">
      <w:pPr>
        <w:pStyle w:val="30"/>
        <w:ind w:left="480" w:firstLine="480"/>
        <w:rPr>
          <w:sz w:val="24"/>
        </w:rPr>
      </w:pPr>
    </w:p>
    <w:p w14:paraId="0084A47B">
      <w:pPr>
        <w:pStyle w:val="38"/>
        <w:ind w:firstLine="480"/>
        <w:rPr>
          <w:rFonts w:ascii="Times New Roman" w:hAnsi="Times New Roman" w:cs="Times New Roman"/>
          <w:color w:val="auto"/>
        </w:rPr>
      </w:pPr>
      <w:r>
        <w:rPr>
          <w:rFonts w:ascii="Times New Roman" w:hAnsi="Times New Roman" w:cs="Times New Roman"/>
          <w:color w:val="auto"/>
        </w:rPr>
        <w:t>式中，</w:t>
      </w:r>
      <w:r>
        <w:rPr>
          <w:rFonts w:hint="eastAsia" w:ascii="Times New Roman" w:hAnsi="Times New Roman" w:cs="Times New Roman"/>
          <w:color w:val="auto"/>
        </w:rPr>
        <w:t>X</w:t>
      </w:r>
      <w:r>
        <w:rPr>
          <w:rFonts w:ascii="Times New Roman" w:hAnsi="Times New Roman" w:cs="Times New Roman"/>
          <w:color w:val="auto"/>
        </w:rPr>
        <w:t>ij表示第i个一级指标下的第j个二级指标；gk表示二级指标基准值，其中g1为I级水平，g2为</w:t>
      </w:r>
      <w:r>
        <w:rPr>
          <w:rFonts w:hint="eastAsia" w:ascii="Times New Roman" w:hAnsi="Times New Roman" w:cs="Times New Roman"/>
          <w:color w:val="auto"/>
        </w:rPr>
        <w:t>Ⅱ</w:t>
      </w:r>
      <w:r>
        <w:rPr>
          <w:rFonts w:ascii="Times New Roman" w:hAnsi="Times New Roman" w:cs="Times New Roman"/>
          <w:color w:val="auto"/>
        </w:rPr>
        <w:t>级水平，g3为</w:t>
      </w:r>
      <w:r>
        <w:rPr>
          <w:rFonts w:hint="eastAsia" w:ascii="Times New Roman" w:hAnsi="Times New Roman" w:cs="Times New Roman"/>
          <w:color w:val="auto"/>
        </w:rPr>
        <w:t>Ⅲ</w:t>
      </w:r>
      <w:r>
        <w:rPr>
          <w:rFonts w:ascii="Times New Roman" w:hAnsi="Times New Roman" w:cs="Times New Roman"/>
          <w:color w:val="auto"/>
        </w:rPr>
        <w:t>级水平；Ygk（xij）为二级指标xij对于级别gk的函数。</w:t>
      </w:r>
    </w:p>
    <w:p w14:paraId="0EA57F0B">
      <w:pPr>
        <w:pStyle w:val="38"/>
        <w:ind w:firstLine="480"/>
        <w:rPr>
          <w:rFonts w:ascii="Times New Roman" w:hAnsi="Times New Roman" w:eastAsia="宋体" w:cs="Times New Roman"/>
          <w:color w:val="auto"/>
        </w:rPr>
      </w:pPr>
      <w:r>
        <w:rPr>
          <w:rFonts w:ascii="Times New Roman" w:hAnsi="Times New Roman" w:cs="Times New Roman"/>
          <w:color w:val="auto"/>
        </w:rPr>
        <w:t>如公式（5-1）所示，若指标 xij 属于级别 gk，则函数的值为 100，否则为 0。</w:t>
      </w:r>
    </w:p>
    <w:p w14:paraId="1CFDA110">
      <w:pPr>
        <w:pStyle w:val="38"/>
        <w:ind w:firstLine="240" w:firstLineChars="100"/>
        <w:rPr>
          <w:rFonts w:ascii="Times New Roman" w:hAnsi="Times New Roman" w:cs="Times New Roman"/>
          <w:color w:val="auto"/>
        </w:rPr>
      </w:pPr>
      <w:r>
        <w:rPr>
          <w:rFonts w:hint="eastAsia" w:hAnsi="宋体" w:eastAsia="宋体"/>
          <w:color w:val="auto"/>
        </w:rPr>
        <w:t>⑵</w:t>
      </w:r>
      <w:r>
        <w:rPr>
          <w:rFonts w:ascii="Times New Roman" w:hAnsi="Times New Roman" w:cs="Times New Roman"/>
          <w:color w:val="auto"/>
        </w:rPr>
        <w:t>综合评价指数计算</w:t>
      </w:r>
    </w:p>
    <w:p w14:paraId="24A11F2D">
      <w:pPr>
        <w:pStyle w:val="38"/>
        <w:ind w:firstLine="240" w:firstLineChars="100"/>
        <w:rPr>
          <w:rFonts w:ascii="Times New Roman" w:hAnsi="Times New Roman" w:cs="Times New Roman"/>
          <w:color w:val="auto"/>
        </w:rPr>
      </w:pPr>
      <w:r>
        <w:rPr>
          <w:rFonts w:ascii="Times New Roman" w:hAnsi="Times New Roman" w:cs="Times New Roman"/>
          <w:color w:val="auto"/>
        </w:rPr>
        <w:t>通过公式（</w:t>
      </w:r>
      <w:r>
        <w:rPr>
          <w:rFonts w:hint="eastAsia" w:ascii="Times New Roman" w:hAnsi="Times New Roman" w:cs="Times New Roman"/>
          <w:color w:val="auto"/>
        </w:rPr>
        <w:t>5-</w:t>
      </w:r>
      <w:r>
        <w:rPr>
          <w:rFonts w:ascii="Times New Roman" w:hAnsi="Times New Roman" w:cs="Times New Roman"/>
          <w:color w:val="auto"/>
        </w:rPr>
        <w:t>2）加权平均、逐层收敛可得到评价对象在不同级别 gk 的得分 Ygk。</w:t>
      </w:r>
    </w:p>
    <w:p w14:paraId="0F41B94F">
      <w:pPr>
        <w:pStyle w:val="30"/>
        <w:ind w:left="480" w:firstLine="480"/>
        <w:rPr>
          <w:sz w:val="24"/>
        </w:rPr>
      </w:pPr>
      <w:r>
        <w:rPr>
          <w:rFonts w:hint="eastAsia"/>
          <w:sz w:val="24"/>
        </w:rPr>
        <w:drawing>
          <wp:anchor distT="0" distB="0" distL="114300" distR="114300" simplePos="0" relativeHeight="251664384" behindDoc="0" locked="0" layoutInCell="1" allowOverlap="1">
            <wp:simplePos x="0" y="0"/>
            <wp:positionH relativeFrom="column">
              <wp:posOffset>826135</wp:posOffset>
            </wp:positionH>
            <wp:positionV relativeFrom="paragraph">
              <wp:posOffset>80010</wp:posOffset>
            </wp:positionV>
            <wp:extent cx="3803015" cy="582295"/>
            <wp:effectExtent l="0" t="0" r="6985" b="8255"/>
            <wp:wrapSquare wrapText="bothSides"/>
            <wp:docPr id="89" name="图片 35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59" descr="222"/>
                    <pic:cNvPicPr>
                      <a:picLocks noChangeAspect="1"/>
                    </pic:cNvPicPr>
                  </pic:nvPicPr>
                  <pic:blipFill>
                    <a:blip r:embed="rId153"/>
                    <a:stretch>
                      <a:fillRect/>
                    </a:stretch>
                  </pic:blipFill>
                  <pic:spPr>
                    <a:xfrm>
                      <a:off x="0" y="0"/>
                      <a:ext cx="3803015" cy="582295"/>
                    </a:xfrm>
                    <a:prstGeom prst="rect">
                      <a:avLst/>
                    </a:prstGeom>
                    <a:noFill/>
                    <a:ln>
                      <a:noFill/>
                    </a:ln>
                  </pic:spPr>
                </pic:pic>
              </a:graphicData>
            </a:graphic>
          </wp:anchor>
        </w:drawing>
      </w:r>
    </w:p>
    <w:p w14:paraId="6B80D882">
      <w:pPr>
        <w:ind w:firstLine="480"/>
      </w:pPr>
    </w:p>
    <w:p w14:paraId="5916AD0D">
      <w:pPr>
        <w:pStyle w:val="38"/>
        <w:ind w:firstLine="240" w:firstLineChars="100"/>
        <w:rPr>
          <w:rFonts w:ascii="Times New Roman" w:hAnsi="Times New Roman" w:cs="Times New Roman"/>
          <w:color w:val="auto"/>
        </w:rPr>
      </w:pPr>
    </w:p>
    <w:p w14:paraId="3E0165F2">
      <w:pPr>
        <w:pStyle w:val="38"/>
        <w:ind w:firstLine="240" w:firstLineChars="100"/>
        <w:rPr>
          <w:rFonts w:ascii="Times New Roman" w:hAnsi="Times New Roman" w:cs="Times New Roman"/>
          <w:color w:val="auto"/>
        </w:rPr>
      </w:pPr>
      <w:r>
        <w:rPr>
          <w:rFonts w:hint="eastAsia" w:ascii="Times New Roman" w:hAnsi="Times New Roman" w:cs="Times New Roman"/>
          <w:color w:val="auto"/>
        </w:rPr>
        <w:t>式中，Wi为第i个一级指标权重，Wij为第i个一级指标下的第j个二级指标的权重，其中</w:t>
      </w:r>
      <w:r>
        <w:rPr>
          <w:rFonts w:ascii="Times New Roman" w:hAnsi="Times New Roman" w:cs="Times New Roman"/>
          <w:color w:val="auto"/>
          <w:position w:val="-28"/>
        </w:rPr>
        <w:object>
          <v:shape id="_x0000_i1066" o:spt="75" type="#_x0000_t75" style="height:33.85pt;width:48.6pt;" o:ole="t" filled="f" o:preferrelative="t" stroked="f" coordsize="21600,21600">
            <v:path/>
            <v:fill on="f" focussize="0,0"/>
            <v:stroke on="f" joinstyle="miter"/>
            <v:imagedata r:id="rId155" o:title=""/>
            <o:lock v:ext="edit" aspectratio="t"/>
            <w10:wrap type="none"/>
            <w10:anchorlock/>
          </v:shape>
          <o:OLEObject Type="Embed" ProgID="Equation.3" ShapeID="_x0000_i1066" DrawAspect="Content" ObjectID="_1468075769" r:id="rId154">
            <o:LockedField>false</o:LockedField>
          </o:OLEObject>
        </w:object>
      </w:r>
      <w:r>
        <w:rPr>
          <w:rFonts w:hint="eastAsia" w:ascii="Times New Roman" w:hAnsi="Times New Roman" w:cs="Times New Roman"/>
          <w:color w:val="auto"/>
        </w:rPr>
        <w:t>，</w:t>
      </w:r>
      <w:r>
        <w:rPr>
          <w:rFonts w:ascii="Times New Roman" w:hAnsi="Times New Roman" w:cs="Times New Roman"/>
          <w:color w:val="auto"/>
          <w:position w:val="-28"/>
        </w:rPr>
        <w:object>
          <v:shape id="_x0000_i1067" o:spt="75" type="#_x0000_t75" style="height:33.85pt;width:53.8pt;" o:ole="t" filled="f" o:preferrelative="t" stroked="f" coordsize="21600,21600">
            <v:path/>
            <v:fill on="f" focussize="0,0"/>
            <v:stroke on="f" joinstyle="miter"/>
            <v:imagedata r:id="rId157" o:title=""/>
            <o:lock v:ext="edit" aspectratio="t"/>
            <w10:wrap type="none"/>
            <w10:anchorlock/>
          </v:shape>
          <o:OLEObject Type="Embed" ProgID="Equation.3" ShapeID="_x0000_i1067" DrawAspect="Content" ObjectID="_1468075770" r:id="rId156">
            <o:LockedField>false</o:LockedField>
          </o:OLEObject>
        </w:object>
      </w:r>
      <w:r>
        <w:rPr>
          <w:rFonts w:hint="eastAsia" w:ascii="Times New Roman" w:hAnsi="Times New Roman" w:cs="Times New Roman"/>
          <w:color w:val="auto"/>
        </w:rPr>
        <w:t>，m为一级指标的个数；ni为第i个一级指标下二级指标的个数。</w:t>
      </w:r>
    </w:p>
    <w:p w14:paraId="338F1004">
      <w:pPr>
        <w:pStyle w:val="30"/>
        <w:spacing w:after="0" w:line="360" w:lineRule="auto"/>
        <w:ind w:left="0" w:leftChars="0" w:firstLine="480"/>
        <w:rPr>
          <w:sz w:val="24"/>
        </w:rPr>
      </w:pPr>
      <w:r>
        <w:rPr>
          <w:rFonts w:hint="eastAsia"/>
          <w:sz w:val="24"/>
        </w:rPr>
        <w:t>另外，Yg1等同于Y，Yg2等同于Y，Yg3等同于Y。</w:t>
      </w:r>
    </w:p>
    <w:p w14:paraId="66D656E2">
      <w:pPr>
        <w:ind w:firstLine="480"/>
      </w:pPr>
      <w:r>
        <w:rPr>
          <w:rFonts w:hint="eastAsia"/>
        </w:rPr>
        <w:t>不同等级的清洁生产企业的综合评价指数见下表。</w:t>
      </w:r>
    </w:p>
    <w:p w14:paraId="1E92778B">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表9.5-1 </w:t>
      </w:r>
      <w:r>
        <w:rPr>
          <w:rFonts w:hint="eastAsia"/>
        </w:rPr>
        <w:t xml:space="preserve">  印刷行业清洁生产综合评价指数分级表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378"/>
        <w:gridCol w:w="5144"/>
      </w:tblGrid>
      <w:tr w14:paraId="447A0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4" w:type="dxa"/>
            <w:tcBorders>
              <w:tl2br w:val="nil"/>
              <w:tr2bl w:val="nil"/>
            </w:tcBorders>
            <w:vAlign w:val="center"/>
          </w:tcPr>
          <w:p w14:paraId="37F9846B">
            <w:pPr>
              <w:adjustRightInd w:val="0"/>
              <w:snapToGrid w:val="0"/>
              <w:spacing w:line="240" w:lineRule="auto"/>
              <w:jc w:val="center"/>
              <w:rPr>
                <w:sz w:val="21"/>
                <w:szCs w:val="21"/>
              </w:rPr>
            </w:pPr>
            <w:r>
              <w:rPr>
                <w:sz w:val="21"/>
                <w:szCs w:val="21"/>
              </w:rPr>
              <w:t>企业清洁生产水平</w:t>
            </w:r>
          </w:p>
        </w:tc>
        <w:tc>
          <w:tcPr>
            <w:tcW w:w="5093" w:type="dxa"/>
            <w:tcBorders>
              <w:tl2br w:val="nil"/>
              <w:tr2bl w:val="nil"/>
            </w:tcBorders>
            <w:vAlign w:val="center"/>
          </w:tcPr>
          <w:p w14:paraId="503CEF52">
            <w:pPr>
              <w:adjustRightInd w:val="0"/>
              <w:snapToGrid w:val="0"/>
              <w:spacing w:line="240" w:lineRule="auto"/>
              <w:jc w:val="center"/>
              <w:rPr>
                <w:sz w:val="21"/>
                <w:szCs w:val="21"/>
              </w:rPr>
            </w:pPr>
            <w:r>
              <w:rPr>
                <w:sz w:val="21"/>
                <w:szCs w:val="21"/>
              </w:rPr>
              <w:t>清洁生产综合评价指数</w:t>
            </w:r>
          </w:p>
        </w:tc>
      </w:tr>
      <w:tr w14:paraId="2184D9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44" w:type="dxa"/>
            <w:tcBorders>
              <w:tl2br w:val="nil"/>
              <w:tr2bl w:val="nil"/>
            </w:tcBorders>
            <w:vAlign w:val="center"/>
          </w:tcPr>
          <w:p w14:paraId="099A1787">
            <w:pPr>
              <w:adjustRightInd w:val="0"/>
              <w:snapToGrid w:val="0"/>
              <w:spacing w:line="240" w:lineRule="auto"/>
              <w:jc w:val="center"/>
              <w:rPr>
                <w:sz w:val="21"/>
                <w:szCs w:val="21"/>
              </w:rPr>
            </w:pPr>
            <w:r>
              <w:rPr>
                <w:sz w:val="21"/>
                <w:szCs w:val="21"/>
              </w:rPr>
              <w:fldChar w:fldCharType="begin"/>
            </w:r>
            <w:r>
              <w:rPr>
                <w:sz w:val="21"/>
                <w:szCs w:val="21"/>
              </w:rPr>
              <w:instrText xml:space="preserve"> = 1 \* ROMAN \* MERGEFORMAT </w:instrText>
            </w:r>
            <w:r>
              <w:rPr>
                <w:sz w:val="21"/>
                <w:szCs w:val="21"/>
              </w:rPr>
              <w:fldChar w:fldCharType="separate"/>
            </w:r>
            <w:r>
              <w:rPr>
                <w:sz w:val="21"/>
                <w:szCs w:val="21"/>
              </w:rPr>
              <w:t>I</w:t>
            </w:r>
            <w:r>
              <w:rPr>
                <w:sz w:val="21"/>
                <w:szCs w:val="21"/>
              </w:rPr>
              <w:fldChar w:fldCharType="end"/>
            </w:r>
            <w:r>
              <w:rPr>
                <w:sz w:val="21"/>
                <w:szCs w:val="21"/>
              </w:rPr>
              <w:t>级（国际清洁生产领先水平）</w:t>
            </w:r>
          </w:p>
        </w:tc>
        <w:tc>
          <w:tcPr>
            <w:tcW w:w="5093" w:type="dxa"/>
            <w:tcBorders>
              <w:tl2br w:val="nil"/>
              <w:tr2bl w:val="nil"/>
            </w:tcBorders>
            <w:vAlign w:val="center"/>
          </w:tcPr>
          <w:p w14:paraId="0A46A905">
            <w:pPr>
              <w:adjustRightInd w:val="0"/>
              <w:snapToGrid w:val="0"/>
              <w:spacing w:line="240" w:lineRule="auto"/>
              <w:jc w:val="center"/>
              <w:rPr>
                <w:sz w:val="21"/>
                <w:szCs w:val="21"/>
              </w:rPr>
            </w:pPr>
            <w:r>
              <w:rPr>
                <w:sz w:val="21"/>
                <w:szCs w:val="21"/>
              </w:rPr>
              <w:t>同时满足：Y</w:t>
            </w:r>
            <w:r>
              <w:rPr>
                <w:sz w:val="21"/>
                <w:szCs w:val="21"/>
              </w:rPr>
              <w:fldChar w:fldCharType="begin"/>
            </w:r>
            <w:r>
              <w:rPr>
                <w:sz w:val="21"/>
                <w:szCs w:val="21"/>
              </w:rPr>
              <w:instrText xml:space="preserve"> = 1 \* ROMAN \* MERGEFORMAT </w:instrText>
            </w:r>
            <w:r>
              <w:rPr>
                <w:sz w:val="21"/>
                <w:szCs w:val="21"/>
              </w:rPr>
              <w:fldChar w:fldCharType="separate"/>
            </w:r>
            <w:r>
              <w:rPr>
                <w:sz w:val="21"/>
                <w:szCs w:val="21"/>
              </w:rPr>
              <w:t>I</w:t>
            </w:r>
            <w:r>
              <w:rPr>
                <w:sz w:val="21"/>
                <w:szCs w:val="21"/>
              </w:rPr>
              <w:fldChar w:fldCharType="end"/>
            </w:r>
            <w:r>
              <w:rPr>
                <w:sz w:val="21"/>
                <w:szCs w:val="21"/>
              </w:rPr>
              <w:t>≥85；限定性指标全部满足</w:t>
            </w:r>
            <w:r>
              <w:rPr>
                <w:sz w:val="21"/>
                <w:szCs w:val="21"/>
              </w:rPr>
              <w:fldChar w:fldCharType="begin"/>
            </w:r>
            <w:r>
              <w:rPr>
                <w:sz w:val="21"/>
                <w:szCs w:val="21"/>
              </w:rPr>
              <w:instrText xml:space="preserve"> = 1 \* ROMAN \* MERGEFORMAT </w:instrText>
            </w:r>
            <w:r>
              <w:rPr>
                <w:sz w:val="21"/>
                <w:szCs w:val="21"/>
              </w:rPr>
              <w:fldChar w:fldCharType="separate"/>
            </w:r>
            <w:r>
              <w:rPr>
                <w:sz w:val="21"/>
                <w:szCs w:val="21"/>
              </w:rPr>
              <w:t>I</w:t>
            </w:r>
            <w:r>
              <w:rPr>
                <w:sz w:val="21"/>
                <w:szCs w:val="21"/>
              </w:rPr>
              <w:fldChar w:fldCharType="end"/>
            </w:r>
            <w:r>
              <w:rPr>
                <w:sz w:val="21"/>
                <w:szCs w:val="21"/>
              </w:rPr>
              <w:t>级基准值要求</w:t>
            </w:r>
          </w:p>
        </w:tc>
      </w:tr>
      <w:tr w14:paraId="583C8D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4" w:type="dxa"/>
            <w:tcBorders>
              <w:tl2br w:val="nil"/>
              <w:tr2bl w:val="nil"/>
            </w:tcBorders>
            <w:vAlign w:val="center"/>
          </w:tcPr>
          <w:p w14:paraId="203CAD6E">
            <w:pPr>
              <w:adjustRightInd w:val="0"/>
              <w:snapToGrid w:val="0"/>
              <w:spacing w:line="240" w:lineRule="auto"/>
              <w:jc w:val="center"/>
              <w:rPr>
                <w:sz w:val="21"/>
                <w:szCs w:val="21"/>
              </w:rPr>
            </w:pPr>
            <w:r>
              <w:rPr>
                <w:sz w:val="21"/>
                <w:szCs w:val="21"/>
              </w:rPr>
              <w:fldChar w:fldCharType="begin"/>
            </w:r>
            <w:r>
              <w:rPr>
                <w:sz w:val="21"/>
                <w:szCs w:val="21"/>
              </w:rPr>
              <w:instrText xml:space="preserve"> = 2 \* ROMAN \* MERGEFORMAT </w:instrText>
            </w:r>
            <w:r>
              <w:rPr>
                <w:sz w:val="21"/>
                <w:szCs w:val="21"/>
              </w:rPr>
              <w:fldChar w:fldCharType="separate"/>
            </w:r>
            <w:r>
              <w:rPr>
                <w:rFonts w:hint="eastAsia"/>
                <w:sz w:val="21"/>
                <w:szCs w:val="21"/>
              </w:rPr>
              <w:t>Ⅱ</w:t>
            </w:r>
            <w:r>
              <w:rPr>
                <w:sz w:val="21"/>
                <w:szCs w:val="21"/>
              </w:rPr>
              <w:fldChar w:fldCharType="end"/>
            </w:r>
            <w:r>
              <w:rPr>
                <w:sz w:val="21"/>
                <w:szCs w:val="21"/>
              </w:rPr>
              <w:t>级（国内清洁生产先进水平）</w:t>
            </w:r>
          </w:p>
        </w:tc>
        <w:tc>
          <w:tcPr>
            <w:tcW w:w="5093" w:type="dxa"/>
            <w:tcBorders>
              <w:tl2br w:val="nil"/>
              <w:tr2bl w:val="nil"/>
            </w:tcBorders>
            <w:vAlign w:val="center"/>
          </w:tcPr>
          <w:p w14:paraId="558A900D">
            <w:pPr>
              <w:adjustRightInd w:val="0"/>
              <w:snapToGrid w:val="0"/>
              <w:spacing w:line="240" w:lineRule="auto"/>
              <w:jc w:val="center"/>
              <w:rPr>
                <w:sz w:val="21"/>
                <w:szCs w:val="21"/>
              </w:rPr>
            </w:pPr>
            <w:r>
              <w:rPr>
                <w:sz w:val="21"/>
                <w:szCs w:val="21"/>
              </w:rPr>
              <w:t>同时满足：Y</w:t>
            </w:r>
            <w:r>
              <w:rPr>
                <w:sz w:val="21"/>
                <w:szCs w:val="21"/>
              </w:rPr>
              <w:fldChar w:fldCharType="begin"/>
            </w:r>
            <w:r>
              <w:rPr>
                <w:sz w:val="21"/>
                <w:szCs w:val="21"/>
              </w:rPr>
              <w:instrText xml:space="preserve"> = 2 \* ROMAN \* MERGEFORMAT </w:instrText>
            </w:r>
            <w:r>
              <w:rPr>
                <w:sz w:val="21"/>
                <w:szCs w:val="21"/>
              </w:rPr>
              <w:fldChar w:fldCharType="separate"/>
            </w:r>
            <w:r>
              <w:rPr>
                <w:rFonts w:hint="eastAsia"/>
                <w:sz w:val="21"/>
                <w:szCs w:val="21"/>
              </w:rPr>
              <w:t>Ⅱ</w:t>
            </w:r>
            <w:r>
              <w:rPr>
                <w:sz w:val="21"/>
                <w:szCs w:val="21"/>
              </w:rPr>
              <w:fldChar w:fldCharType="end"/>
            </w:r>
            <w:r>
              <w:rPr>
                <w:sz w:val="21"/>
                <w:szCs w:val="21"/>
              </w:rPr>
              <w:t>≥85；限定性指标全部满足</w:t>
            </w:r>
            <w:r>
              <w:rPr>
                <w:sz w:val="21"/>
                <w:szCs w:val="21"/>
              </w:rPr>
              <w:fldChar w:fldCharType="begin"/>
            </w:r>
            <w:r>
              <w:rPr>
                <w:sz w:val="21"/>
                <w:szCs w:val="21"/>
              </w:rPr>
              <w:instrText xml:space="preserve"> = 2 \* ROMAN \* MERGEFORMAT </w:instrText>
            </w:r>
            <w:r>
              <w:rPr>
                <w:sz w:val="21"/>
                <w:szCs w:val="21"/>
              </w:rPr>
              <w:fldChar w:fldCharType="separate"/>
            </w:r>
            <w:r>
              <w:rPr>
                <w:rFonts w:hint="eastAsia"/>
                <w:sz w:val="21"/>
                <w:szCs w:val="21"/>
              </w:rPr>
              <w:t>Ⅱ</w:t>
            </w:r>
            <w:r>
              <w:rPr>
                <w:sz w:val="21"/>
                <w:szCs w:val="21"/>
              </w:rPr>
              <w:fldChar w:fldCharType="end"/>
            </w:r>
            <w:r>
              <w:rPr>
                <w:sz w:val="21"/>
                <w:szCs w:val="21"/>
              </w:rPr>
              <w:t>级基准值要求</w:t>
            </w:r>
          </w:p>
        </w:tc>
      </w:tr>
      <w:tr w14:paraId="5AE58D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4" w:type="dxa"/>
            <w:tcBorders>
              <w:tl2br w:val="nil"/>
              <w:tr2bl w:val="nil"/>
            </w:tcBorders>
            <w:vAlign w:val="center"/>
          </w:tcPr>
          <w:p w14:paraId="2495FDD5">
            <w:pPr>
              <w:adjustRightInd w:val="0"/>
              <w:snapToGrid w:val="0"/>
              <w:spacing w:line="240" w:lineRule="auto"/>
              <w:jc w:val="center"/>
              <w:rPr>
                <w:sz w:val="21"/>
                <w:szCs w:val="21"/>
              </w:rPr>
            </w:pPr>
            <w:r>
              <w:rPr>
                <w:sz w:val="21"/>
                <w:szCs w:val="21"/>
              </w:rPr>
              <w:fldChar w:fldCharType="begin"/>
            </w:r>
            <w:r>
              <w:rPr>
                <w:sz w:val="21"/>
                <w:szCs w:val="21"/>
              </w:rPr>
              <w:instrText xml:space="preserve"> = 3 \* ROMAN \* MERGEFORMAT </w:instrText>
            </w:r>
            <w:r>
              <w:rPr>
                <w:sz w:val="21"/>
                <w:szCs w:val="21"/>
              </w:rPr>
              <w:fldChar w:fldCharType="separate"/>
            </w:r>
            <w:r>
              <w:rPr>
                <w:rFonts w:hint="eastAsia"/>
                <w:sz w:val="21"/>
                <w:szCs w:val="21"/>
              </w:rPr>
              <w:t>Ⅲ</w:t>
            </w:r>
            <w:r>
              <w:rPr>
                <w:sz w:val="21"/>
                <w:szCs w:val="21"/>
              </w:rPr>
              <w:fldChar w:fldCharType="end"/>
            </w:r>
            <w:r>
              <w:rPr>
                <w:sz w:val="21"/>
                <w:szCs w:val="21"/>
              </w:rPr>
              <w:t>级（国内清洁生产基本水平）</w:t>
            </w:r>
          </w:p>
        </w:tc>
        <w:tc>
          <w:tcPr>
            <w:tcW w:w="5093" w:type="dxa"/>
            <w:tcBorders>
              <w:tl2br w:val="nil"/>
              <w:tr2bl w:val="nil"/>
            </w:tcBorders>
            <w:vAlign w:val="center"/>
          </w:tcPr>
          <w:p w14:paraId="3A6B54C0">
            <w:pPr>
              <w:adjustRightInd w:val="0"/>
              <w:snapToGrid w:val="0"/>
              <w:spacing w:line="240" w:lineRule="auto"/>
              <w:jc w:val="center"/>
              <w:rPr>
                <w:sz w:val="21"/>
                <w:szCs w:val="21"/>
              </w:rPr>
            </w:pPr>
            <w:r>
              <w:rPr>
                <w:sz w:val="21"/>
                <w:szCs w:val="21"/>
              </w:rPr>
              <w:t>同时满足：Y</w:t>
            </w:r>
            <w:r>
              <w:rPr>
                <w:sz w:val="21"/>
                <w:szCs w:val="21"/>
              </w:rPr>
              <w:fldChar w:fldCharType="begin"/>
            </w:r>
            <w:r>
              <w:rPr>
                <w:sz w:val="21"/>
                <w:szCs w:val="21"/>
              </w:rPr>
              <w:instrText xml:space="preserve"> = 3 \* ROMAN \* MERGEFORMAT </w:instrText>
            </w:r>
            <w:r>
              <w:rPr>
                <w:sz w:val="21"/>
                <w:szCs w:val="21"/>
              </w:rPr>
              <w:fldChar w:fldCharType="separate"/>
            </w:r>
            <w:r>
              <w:rPr>
                <w:rFonts w:hint="eastAsia"/>
                <w:sz w:val="21"/>
                <w:szCs w:val="21"/>
              </w:rPr>
              <w:t>Ⅲ</w:t>
            </w:r>
            <w:r>
              <w:rPr>
                <w:sz w:val="21"/>
                <w:szCs w:val="21"/>
              </w:rPr>
              <w:fldChar w:fldCharType="end"/>
            </w:r>
            <w:r>
              <w:rPr>
                <w:sz w:val="21"/>
                <w:szCs w:val="21"/>
              </w:rPr>
              <w:t>=100；</w:t>
            </w:r>
          </w:p>
        </w:tc>
      </w:tr>
    </w:tbl>
    <w:p w14:paraId="6915D3E6">
      <w:pPr>
        <w:tabs>
          <w:tab w:val="left" w:pos="894"/>
        </w:tabs>
        <w:ind w:firstLine="480"/>
        <w:jc w:val="left"/>
      </w:pPr>
      <w:r>
        <w:rPr>
          <w:rFonts w:hint="eastAsia"/>
        </w:rPr>
        <w:t>本项目印刷工艺采用的是凹版印刷，因此本次参照指标体系中凹版印刷清洁生产指标对印刷工序清洁生产水平进行对标分析，详见下表。</w:t>
      </w:r>
    </w:p>
    <w:p w14:paraId="7E8C6F8F">
      <w:pPr>
        <w:ind w:firstLine="480"/>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34F3B267">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表9.5-2 </w:t>
      </w:r>
      <w:r>
        <w:rPr>
          <w:rFonts w:hint="eastAsia"/>
        </w:rPr>
        <w:t xml:space="preserve"> </w:t>
      </w:r>
      <w:r>
        <w:rPr>
          <w:rFonts w:hint="eastAsia"/>
          <w:lang w:val="en-US" w:eastAsia="zh-CN"/>
        </w:rPr>
        <w:t xml:space="preserve">    </w:t>
      </w:r>
      <w:r>
        <w:rPr>
          <w:rFonts w:hint="eastAsia"/>
        </w:rPr>
        <w:t>印刷工序现阶段清洁生产水平分析一览表</w:t>
      </w:r>
    </w:p>
    <w:tbl>
      <w:tblPr>
        <w:tblStyle w:val="31"/>
        <w:tblW w:w="13924"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533"/>
        <w:gridCol w:w="769"/>
        <w:gridCol w:w="702"/>
        <w:gridCol w:w="652"/>
        <w:gridCol w:w="262"/>
        <w:gridCol w:w="902"/>
        <w:gridCol w:w="821"/>
        <w:gridCol w:w="710"/>
        <w:gridCol w:w="2410"/>
        <w:gridCol w:w="1566"/>
        <w:gridCol w:w="210"/>
        <w:gridCol w:w="1258"/>
        <w:gridCol w:w="2355"/>
        <w:gridCol w:w="6"/>
        <w:gridCol w:w="759"/>
        <w:gridCol w:w="9"/>
      </w:tblGrid>
      <w:tr w14:paraId="521A7FE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0B25AA78">
            <w:pPr>
              <w:adjustRightInd w:val="0"/>
              <w:snapToGrid w:val="0"/>
              <w:spacing w:line="240" w:lineRule="auto"/>
              <w:jc w:val="center"/>
              <w:rPr>
                <w:sz w:val="21"/>
                <w:szCs w:val="21"/>
              </w:rPr>
            </w:pPr>
            <w:r>
              <w:rPr>
                <w:sz w:val="21"/>
                <w:szCs w:val="21"/>
              </w:rPr>
              <w:t>序号</w:t>
            </w:r>
          </w:p>
        </w:tc>
        <w:tc>
          <w:tcPr>
            <w:tcW w:w="770" w:type="dxa"/>
            <w:tcBorders>
              <w:tl2br w:val="nil"/>
              <w:tr2bl w:val="nil"/>
            </w:tcBorders>
            <w:vAlign w:val="center"/>
          </w:tcPr>
          <w:p w14:paraId="7433B19F">
            <w:pPr>
              <w:adjustRightInd w:val="0"/>
              <w:snapToGrid w:val="0"/>
              <w:spacing w:line="240" w:lineRule="auto"/>
              <w:jc w:val="center"/>
              <w:rPr>
                <w:sz w:val="21"/>
                <w:szCs w:val="21"/>
              </w:rPr>
            </w:pPr>
            <w:r>
              <w:rPr>
                <w:sz w:val="21"/>
                <w:szCs w:val="21"/>
              </w:rPr>
              <w:t>一级指标</w:t>
            </w:r>
          </w:p>
        </w:tc>
        <w:tc>
          <w:tcPr>
            <w:tcW w:w="703" w:type="dxa"/>
            <w:tcBorders>
              <w:tl2br w:val="nil"/>
              <w:tr2bl w:val="nil"/>
            </w:tcBorders>
            <w:vAlign w:val="center"/>
          </w:tcPr>
          <w:p w14:paraId="3798BC6F">
            <w:pPr>
              <w:adjustRightInd w:val="0"/>
              <w:snapToGrid w:val="0"/>
              <w:spacing w:line="240" w:lineRule="auto"/>
              <w:jc w:val="center"/>
              <w:rPr>
                <w:sz w:val="21"/>
                <w:szCs w:val="21"/>
              </w:rPr>
            </w:pPr>
            <w:r>
              <w:rPr>
                <w:sz w:val="21"/>
                <w:szCs w:val="21"/>
              </w:rPr>
              <w:t>一级</w:t>
            </w:r>
          </w:p>
          <w:p w14:paraId="700D178D">
            <w:pPr>
              <w:adjustRightInd w:val="0"/>
              <w:snapToGrid w:val="0"/>
              <w:spacing w:line="240" w:lineRule="auto"/>
              <w:jc w:val="center"/>
              <w:rPr>
                <w:sz w:val="21"/>
                <w:szCs w:val="21"/>
              </w:rPr>
            </w:pPr>
            <w:r>
              <w:rPr>
                <w:sz w:val="21"/>
                <w:szCs w:val="21"/>
              </w:rPr>
              <w:t>指标权重</w:t>
            </w:r>
          </w:p>
        </w:tc>
        <w:tc>
          <w:tcPr>
            <w:tcW w:w="1818" w:type="dxa"/>
            <w:gridSpan w:val="3"/>
            <w:tcBorders>
              <w:tl2br w:val="nil"/>
              <w:tr2bl w:val="nil"/>
            </w:tcBorders>
            <w:vAlign w:val="center"/>
          </w:tcPr>
          <w:p w14:paraId="508C5FBF">
            <w:pPr>
              <w:adjustRightInd w:val="0"/>
              <w:snapToGrid w:val="0"/>
              <w:spacing w:line="240" w:lineRule="auto"/>
              <w:jc w:val="center"/>
              <w:rPr>
                <w:sz w:val="21"/>
                <w:szCs w:val="21"/>
              </w:rPr>
            </w:pPr>
            <w:r>
              <w:rPr>
                <w:sz w:val="21"/>
                <w:szCs w:val="21"/>
              </w:rPr>
              <w:t>二级指标</w:t>
            </w:r>
          </w:p>
        </w:tc>
        <w:tc>
          <w:tcPr>
            <w:tcW w:w="822" w:type="dxa"/>
            <w:tcBorders>
              <w:tl2br w:val="nil"/>
              <w:tr2bl w:val="nil"/>
            </w:tcBorders>
            <w:vAlign w:val="center"/>
          </w:tcPr>
          <w:p w14:paraId="4AE5CB50">
            <w:pPr>
              <w:adjustRightInd w:val="0"/>
              <w:snapToGrid w:val="0"/>
              <w:spacing w:line="240" w:lineRule="auto"/>
              <w:jc w:val="center"/>
              <w:rPr>
                <w:sz w:val="21"/>
                <w:szCs w:val="21"/>
              </w:rPr>
            </w:pPr>
            <w:r>
              <w:rPr>
                <w:sz w:val="21"/>
                <w:szCs w:val="21"/>
              </w:rPr>
              <w:t>单位</w:t>
            </w:r>
          </w:p>
        </w:tc>
        <w:tc>
          <w:tcPr>
            <w:tcW w:w="708" w:type="dxa"/>
            <w:tcBorders>
              <w:tl2br w:val="nil"/>
              <w:tr2bl w:val="nil"/>
            </w:tcBorders>
            <w:vAlign w:val="center"/>
          </w:tcPr>
          <w:p w14:paraId="152A2184">
            <w:pPr>
              <w:adjustRightInd w:val="0"/>
              <w:snapToGrid w:val="0"/>
              <w:spacing w:line="240" w:lineRule="auto"/>
              <w:jc w:val="center"/>
              <w:rPr>
                <w:sz w:val="21"/>
                <w:szCs w:val="21"/>
              </w:rPr>
            </w:pPr>
            <w:r>
              <w:rPr>
                <w:sz w:val="21"/>
                <w:szCs w:val="21"/>
              </w:rPr>
              <w:t>二级</w:t>
            </w:r>
          </w:p>
          <w:p w14:paraId="3E51FD4C">
            <w:pPr>
              <w:adjustRightInd w:val="0"/>
              <w:snapToGrid w:val="0"/>
              <w:spacing w:line="240" w:lineRule="auto"/>
              <w:jc w:val="center"/>
              <w:rPr>
                <w:sz w:val="21"/>
                <w:szCs w:val="21"/>
              </w:rPr>
            </w:pPr>
            <w:r>
              <w:rPr>
                <w:sz w:val="21"/>
                <w:szCs w:val="21"/>
              </w:rPr>
              <w:t>指标权重</w:t>
            </w:r>
          </w:p>
        </w:tc>
        <w:tc>
          <w:tcPr>
            <w:tcW w:w="2413" w:type="dxa"/>
            <w:tcBorders>
              <w:tl2br w:val="nil"/>
              <w:tr2bl w:val="nil"/>
            </w:tcBorders>
            <w:vAlign w:val="center"/>
          </w:tcPr>
          <w:p w14:paraId="68CA7B42">
            <w:pPr>
              <w:adjustRightInd w:val="0"/>
              <w:snapToGrid w:val="0"/>
              <w:spacing w:line="240" w:lineRule="auto"/>
              <w:jc w:val="center"/>
              <w:rPr>
                <w:sz w:val="21"/>
                <w:szCs w:val="21"/>
              </w:rPr>
            </w:pPr>
            <w:r>
              <w:rPr>
                <w:sz w:val="21"/>
                <w:szCs w:val="21"/>
              </w:rPr>
              <w:t>I级基准值</w:t>
            </w:r>
          </w:p>
        </w:tc>
        <w:tc>
          <w:tcPr>
            <w:tcW w:w="1564" w:type="dxa"/>
            <w:tcBorders>
              <w:tl2br w:val="nil"/>
              <w:tr2bl w:val="nil"/>
            </w:tcBorders>
            <w:vAlign w:val="center"/>
          </w:tcPr>
          <w:p w14:paraId="06F49404">
            <w:pPr>
              <w:adjustRightInd w:val="0"/>
              <w:snapToGrid w:val="0"/>
              <w:spacing w:line="240" w:lineRule="auto"/>
              <w:jc w:val="center"/>
              <w:rPr>
                <w:sz w:val="21"/>
                <w:szCs w:val="21"/>
              </w:rPr>
            </w:pPr>
            <w:r>
              <w:rPr>
                <w:rFonts w:hint="eastAsia"/>
                <w:sz w:val="21"/>
                <w:szCs w:val="21"/>
              </w:rPr>
              <w:t>Ⅱ</w:t>
            </w:r>
            <w:r>
              <w:rPr>
                <w:sz w:val="21"/>
                <w:szCs w:val="21"/>
              </w:rPr>
              <w:t>级基准值</w:t>
            </w:r>
          </w:p>
        </w:tc>
        <w:tc>
          <w:tcPr>
            <w:tcW w:w="1469" w:type="dxa"/>
            <w:gridSpan w:val="2"/>
            <w:tcBorders>
              <w:tl2br w:val="nil"/>
              <w:tr2bl w:val="nil"/>
            </w:tcBorders>
            <w:vAlign w:val="center"/>
          </w:tcPr>
          <w:p w14:paraId="6561F46A">
            <w:pPr>
              <w:adjustRightInd w:val="0"/>
              <w:snapToGrid w:val="0"/>
              <w:spacing w:line="240" w:lineRule="auto"/>
              <w:jc w:val="center"/>
              <w:rPr>
                <w:sz w:val="21"/>
                <w:szCs w:val="21"/>
              </w:rPr>
            </w:pPr>
            <w:r>
              <w:rPr>
                <w:rFonts w:hint="eastAsia"/>
                <w:sz w:val="21"/>
                <w:szCs w:val="21"/>
              </w:rPr>
              <w:t>Ⅲ</w:t>
            </w:r>
            <w:r>
              <w:rPr>
                <w:sz w:val="21"/>
                <w:szCs w:val="21"/>
              </w:rPr>
              <w:t>级基准值</w:t>
            </w:r>
          </w:p>
        </w:tc>
        <w:tc>
          <w:tcPr>
            <w:tcW w:w="2357" w:type="dxa"/>
            <w:gridSpan w:val="2"/>
            <w:tcBorders>
              <w:tl2br w:val="nil"/>
              <w:tr2bl w:val="nil"/>
            </w:tcBorders>
            <w:vAlign w:val="center"/>
          </w:tcPr>
          <w:p w14:paraId="2EDC44F4">
            <w:pPr>
              <w:adjustRightInd w:val="0"/>
              <w:snapToGrid w:val="0"/>
              <w:spacing w:line="240" w:lineRule="auto"/>
              <w:jc w:val="center"/>
              <w:rPr>
                <w:sz w:val="21"/>
                <w:szCs w:val="21"/>
              </w:rPr>
            </w:pPr>
            <w:r>
              <w:rPr>
                <w:sz w:val="21"/>
                <w:szCs w:val="21"/>
              </w:rPr>
              <w:t>企业实际情况</w:t>
            </w:r>
          </w:p>
        </w:tc>
        <w:tc>
          <w:tcPr>
            <w:tcW w:w="767" w:type="dxa"/>
            <w:gridSpan w:val="2"/>
            <w:tcBorders>
              <w:tl2br w:val="nil"/>
              <w:tr2bl w:val="nil"/>
            </w:tcBorders>
            <w:vAlign w:val="center"/>
          </w:tcPr>
          <w:p w14:paraId="2F0A28CB">
            <w:pPr>
              <w:adjustRightInd w:val="0"/>
              <w:snapToGrid w:val="0"/>
              <w:spacing w:line="240" w:lineRule="auto"/>
              <w:jc w:val="center"/>
              <w:rPr>
                <w:sz w:val="21"/>
                <w:szCs w:val="21"/>
              </w:rPr>
            </w:pPr>
            <w:r>
              <w:rPr>
                <w:sz w:val="21"/>
                <w:szCs w:val="21"/>
              </w:rPr>
              <w:t>所属等级</w:t>
            </w:r>
          </w:p>
        </w:tc>
      </w:tr>
      <w:tr w14:paraId="0AB9BC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458A7C6A">
            <w:pPr>
              <w:adjustRightInd w:val="0"/>
              <w:snapToGrid w:val="0"/>
              <w:spacing w:line="240" w:lineRule="auto"/>
              <w:jc w:val="center"/>
              <w:rPr>
                <w:sz w:val="21"/>
                <w:szCs w:val="21"/>
              </w:rPr>
            </w:pPr>
            <w:r>
              <w:rPr>
                <w:sz w:val="21"/>
                <w:szCs w:val="21"/>
              </w:rPr>
              <w:t>1</w:t>
            </w:r>
          </w:p>
        </w:tc>
        <w:tc>
          <w:tcPr>
            <w:tcW w:w="770" w:type="dxa"/>
            <w:vMerge w:val="restart"/>
            <w:tcBorders>
              <w:tl2br w:val="nil"/>
              <w:tr2bl w:val="nil"/>
            </w:tcBorders>
            <w:vAlign w:val="center"/>
          </w:tcPr>
          <w:p w14:paraId="57C7329A">
            <w:pPr>
              <w:adjustRightInd w:val="0"/>
              <w:snapToGrid w:val="0"/>
              <w:spacing w:line="240" w:lineRule="auto"/>
              <w:jc w:val="center"/>
              <w:rPr>
                <w:sz w:val="21"/>
                <w:szCs w:val="21"/>
              </w:rPr>
            </w:pPr>
            <w:r>
              <w:rPr>
                <w:sz w:val="21"/>
                <w:szCs w:val="21"/>
              </w:rPr>
              <w:t>生产工艺与设备指标</w:t>
            </w:r>
          </w:p>
        </w:tc>
        <w:tc>
          <w:tcPr>
            <w:tcW w:w="703" w:type="dxa"/>
            <w:vMerge w:val="restart"/>
            <w:tcBorders>
              <w:tl2br w:val="nil"/>
              <w:tr2bl w:val="nil"/>
            </w:tcBorders>
            <w:vAlign w:val="center"/>
          </w:tcPr>
          <w:p w14:paraId="112FC8A9">
            <w:pPr>
              <w:adjustRightInd w:val="0"/>
              <w:snapToGrid w:val="0"/>
              <w:spacing w:line="240" w:lineRule="auto"/>
              <w:jc w:val="center"/>
              <w:rPr>
                <w:sz w:val="21"/>
                <w:szCs w:val="21"/>
              </w:rPr>
            </w:pPr>
            <w:r>
              <w:rPr>
                <w:sz w:val="21"/>
                <w:szCs w:val="21"/>
              </w:rPr>
              <w:t>0.21</w:t>
            </w:r>
          </w:p>
        </w:tc>
        <w:tc>
          <w:tcPr>
            <w:tcW w:w="915" w:type="dxa"/>
            <w:gridSpan w:val="2"/>
            <w:vMerge w:val="restart"/>
            <w:tcBorders>
              <w:tl2br w:val="nil"/>
              <w:tr2bl w:val="nil"/>
            </w:tcBorders>
            <w:vAlign w:val="center"/>
          </w:tcPr>
          <w:p w14:paraId="3F4971E4">
            <w:pPr>
              <w:adjustRightInd w:val="0"/>
              <w:snapToGrid w:val="0"/>
              <w:spacing w:line="240" w:lineRule="auto"/>
              <w:jc w:val="center"/>
              <w:rPr>
                <w:sz w:val="21"/>
                <w:szCs w:val="21"/>
              </w:rPr>
            </w:pPr>
            <w:r>
              <w:rPr>
                <w:sz w:val="21"/>
                <w:szCs w:val="21"/>
              </w:rPr>
              <w:t>环保型油墨使用占比</w:t>
            </w:r>
          </w:p>
        </w:tc>
        <w:tc>
          <w:tcPr>
            <w:tcW w:w="903" w:type="dxa"/>
            <w:tcBorders>
              <w:tl2br w:val="nil"/>
              <w:tr2bl w:val="nil"/>
            </w:tcBorders>
            <w:vAlign w:val="center"/>
          </w:tcPr>
          <w:p w14:paraId="4398A6AB">
            <w:pPr>
              <w:adjustRightInd w:val="0"/>
              <w:snapToGrid w:val="0"/>
              <w:spacing w:line="240" w:lineRule="auto"/>
              <w:jc w:val="center"/>
              <w:rPr>
                <w:sz w:val="21"/>
                <w:szCs w:val="21"/>
              </w:rPr>
            </w:pPr>
            <w:r>
              <w:rPr>
                <w:sz w:val="21"/>
                <w:szCs w:val="21"/>
              </w:rPr>
              <w:t>纸包装</w:t>
            </w:r>
          </w:p>
        </w:tc>
        <w:tc>
          <w:tcPr>
            <w:tcW w:w="822" w:type="dxa"/>
            <w:tcBorders>
              <w:tl2br w:val="nil"/>
              <w:tr2bl w:val="nil"/>
            </w:tcBorders>
            <w:vAlign w:val="center"/>
          </w:tcPr>
          <w:p w14:paraId="6ABBAEB9">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5384C081">
            <w:pPr>
              <w:adjustRightInd w:val="0"/>
              <w:snapToGrid w:val="0"/>
              <w:spacing w:line="240" w:lineRule="auto"/>
              <w:jc w:val="center"/>
              <w:rPr>
                <w:sz w:val="21"/>
                <w:szCs w:val="21"/>
              </w:rPr>
            </w:pPr>
            <w:r>
              <w:rPr>
                <w:sz w:val="21"/>
                <w:szCs w:val="21"/>
              </w:rPr>
              <w:t>0.2/n</w:t>
            </w:r>
          </w:p>
        </w:tc>
        <w:tc>
          <w:tcPr>
            <w:tcW w:w="2413" w:type="dxa"/>
            <w:tcBorders>
              <w:tl2br w:val="nil"/>
              <w:tr2bl w:val="nil"/>
            </w:tcBorders>
            <w:vAlign w:val="center"/>
          </w:tcPr>
          <w:p w14:paraId="277AA6AE">
            <w:pPr>
              <w:adjustRightInd w:val="0"/>
              <w:snapToGrid w:val="0"/>
              <w:spacing w:line="240" w:lineRule="auto"/>
              <w:jc w:val="center"/>
              <w:rPr>
                <w:sz w:val="21"/>
                <w:szCs w:val="21"/>
              </w:rPr>
            </w:pPr>
            <w:r>
              <w:rPr>
                <w:sz w:val="21"/>
                <w:szCs w:val="21"/>
              </w:rPr>
              <w:t>≥70</w:t>
            </w:r>
          </w:p>
        </w:tc>
        <w:tc>
          <w:tcPr>
            <w:tcW w:w="1564" w:type="dxa"/>
            <w:tcBorders>
              <w:tl2br w:val="nil"/>
              <w:tr2bl w:val="nil"/>
            </w:tcBorders>
            <w:vAlign w:val="center"/>
          </w:tcPr>
          <w:p w14:paraId="3849D762">
            <w:pPr>
              <w:adjustRightInd w:val="0"/>
              <w:snapToGrid w:val="0"/>
              <w:spacing w:line="240" w:lineRule="auto"/>
              <w:jc w:val="center"/>
              <w:rPr>
                <w:sz w:val="21"/>
                <w:szCs w:val="21"/>
              </w:rPr>
            </w:pPr>
            <w:r>
              <w:rPr>
                <w:sz w:val="21"/>
                <w:szCs w:val="21"/>
              </w:rPr>
              <w:t>≥50</w:t>
            </w:r>
          </w:p>
        </w:tc>
        <w:tc>
          <w:tcPr>
            <w:tcW w:w="1469" w:type="dxa"/>
            <w:gridSpan w:val="2"/>
            <w:tcBorders>
              <w:tl2br w:val="nil"/>
              <w:tr2bl w:val="nil"/>
            </w:tcBorders>
            <w:vAlign w:val="center"/>
          </w:tcPr>
          <w:p w14:paraId="25C84F4C">
            <w:pPr>
              <w:adjustRightInd w:val="0"/>
              <w:snapToGrid w:val="0"/>
              <w:spacing w:line="240" w:lineRule="auto"/>
              <w:jc w:val="center"/>
              <w:rPr>
                <w:sz w:val="21"/>
                <w:szCs w:val="21"/>
              </w:rPr>
            </w:pPr>
            <w:r>
              <w:rPr>
                <w:sz w:val="21"/>
                <w:szCs w:val="21"/>
              </w:rPr>
              <w:t>≥30</w:t>
            </w:r>
          </w:p>
        </w:tc>
        <w:tc>
          <w:tcPr>
            <w:tcW w:w="3124" w:type="dxa"/>
            <w:gridSpan w:val="4"/>
            <w:tcBorders>
              <w:tl2br w:val="nil"/>
              <w:tr2bl w:val="nil"/>
            </w:tcBorders>
            <w:vAlign w:val="center"/>
          </w:tcPr>
          <w:p w14:paraId="50A82FD2">
            <w:pPr>
              <w:adjustRightInd w:val="0"/>
              <w:snapToGrid w:val="0"/>
              <w:spacing w:line="240" w:lineRule="auto"/>
              <w:jc w:val="center"/>
              <w:rPr>
                <w:sz w:val="21"/>
                <w:szCs w:val="21"/>
              </w:rPr>
            </w:pPr>
            <w:r>
              <w:rPr>
                <w:sz w:val="21"/>
                <w:szCs w:val="21"/>
              </w:rPr>
              <w:t>无纸包装</w:t>
            </w:r>
          </w:p>
        </w:tc>
      </w:tr>
      <w:tr w14:paraId="7C1F6D7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4A482527">
            <w:pPr>
              <w:adjustRightInd w:val="0"/>
              <w:snapToGrid w:val="0"/>
              <w:spacing w:line="240" w:lineRule="auto"/>
              <w:jc w:val="center"/>
              <w:rPr>
                <w:sz w:val="21"/>
                <w:szCs w:val="21"/>
              </w:rPr>
            </w:pPr>
            <w:r>
              <w:rPr>
                <w:sz w:val="21"/>
                <w:szCs w:val="21"/>
              </w:rPr>
              <w:t>2</w:t>
            </w:r>
          </w:p>
        </w:tc>
        <w:tc>
          <w:tcPr>
            <w:tcW w:w="770" w:type="dxa"/>
            <w:vMerge w:val="continue"/>
            <w:tcBorders>
              <w:tl2br w:val="nil"/>
              <w:tr2bl w:val="nil"/>
            </w:tcBorders>
            <w:vAlign w:val="center"/>
          </w:tcPr>
          <w:p w14:paraId="775E9CB7">
            <w:pPr>
              <w:adjustRightInd w:val="0"/>
              <w:snapToGrid w:val="0"/>
              <w:spacing w:line="240" w:lineRule="auto"/>
              <w:jc w:val="center"/>
              <w:rPr>
                <w:sz w:val="21"/>
                <w:szCs w:val="21"/>
              </w:rPr>
            </w:pPr>
          </w:p>
        </w:tc>
        <w:tc>
          <w:tcPr>
            <w:tcW w:w="703" w:type="dxa"/>
            <w:vMerge w:val="continue"/>
            <w:tcBorders>
              <w:tl2br w:val="nil"/>
              <w:tr2bl w:val="nil"/>
            </w:tcBorders>
            <w:vAlign w:val="center"/>
          </w:tcPr>
          <w:p w14:paraId="1C2EB898">
            <w:pPr>
              <w:adjustRightInd w:val="0"/>
              <w:snapToGrid w:val="0"/>
              <w:spacing w:line="240" w:lineRule="auto"/>
              <w:jc w:val="center"/>
              <w:rPr>
                <w:sz w:val="21"/>
                <w:szCs w:val="21"/>
              </w:rPr>
            </w:pPr>
          </w:p>
        </w:tc>
        <w:tc>
          <w:tcPr>
            <w:tcW w:w="915" w:type="dxa"/>
            <w:gridSpan w:val="2"/>
            <w:vMerge w:val="continue"/>
            <w:tcBorders>
              <w:tl2br w:val="nil"/>
              <w:tr2bl w:val="nil"/>
            </w:tcBorders>
            <w:vAlign w:val="center"/>
          </w:tcPr>
          <w:p w14:paraId="4E0E8EE1">
            <w:pPr>
              <w:adjustRightInd w:val="0"/>
              <w:snapToGrid w:val="0"/>
              <w:spacing w:line="240" w:lineRule="auto"/>
              <w:jc w:val="center"/>
              <w:rPr>
                <w:sz w:val="21"/>
                <w:szCs w:val="21"/>
              </w:rPr>
            </w:pPr>
          </w:p>
        </w:tc>
        <w:tc>
          <w:tcPr>
            <w:tcW w:w="903" w:type="dxa"/>
            <w:tcBorders>
              <w:tl2br w:val="nil"/>
              <w:tr2bl w:val="nil"/>
            </w:tcBorders>
            <w:vAlign w:val="center"/>
          </w:tcPr>
          <w:p w14:paraId="60D92736">
            <w:pPr>
              <w:adjustRightInd w:val="0"/>
              <w:snapToGrid w:val="0"/>
              <w:spacing w:line="240" w:lineRule="auto"/>
              <w:jc w:val="center"/>
              <w:rPr>
                <w:sz w:val="21"/>
                <w:szCs w:val="21"/>
              </w:rPr>
            </w:pPr>
            <w:r>
              <w:rPr>
                <w:sz w:val="21"/>
                <w:szCs w:val="21"/>
              </w:rPr>
              <w:t>塑料包装</w:t>
            </w:r>
          </w:p>
        </w:tc>
        <w:tc>
          <w:tcPr>
            <w:tcW w:w="822" w:type="dxa"/>
            <w:tcBorders>
              <w:tl2br w:val="nil"/>
              <w:tr2bl w:val="nil"/>
            </w:tcBorders>
            <w:vAlign w:val="center"/>
          </w:tcPr>
          <w:p w14:paraId="432A2BA2">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3A0C4018">
            <w:pPr>
              <w:adjustRightInd w:val="0"/>
              <w:snapToGrid w:val="0"/>
              <w:spacing w:line="240" w:lineRule="auto"/>
              <w:jc w:val="center"/>
              <w:rPr>
                <w:sz w:val="21"/>
                <w:szCs w:val="21"/>
              </w:rPr>
            </w:pPr>
            <w:r>
              <w:rPr>
                <w:sz w:val="21"/>
                <w:szCs w:val="21"/>
              </w:rPr>
              <w:t>0.2/n</w:t>
            </w:r>
          </w:p>
        </w:tc>
        <w:tc>
          <w:tcPr>
            <w:tcW w:w="2413" w:type="dxa"/>
            <w:tcBorders>
              <w:tl2br w:val="nil"/>
              <w:tr2bl w:val="nil"/>
            </w:tcBorders>
            <w:vAlign w:val="center"/>
          </w:tcPr>
          <w:p w14:paraId="2561F08B">
            <w:pPr>
              <w:adjustRightInd w:val="0"/>
              <w:snapToGrid w:val="0"/>
              <w:spacing w:line="240" w:lineRule="auto"/>
              <w:jc w:val="center"/>
              <w:rPr>
                <w:sz w:val="21"/>
                <w:szCs w:val="21"/>
              </w:rPr>
            </w:pPr>
            <w:r>
              <w:rPr>
                <w:sz w:val="21"/>
                <w:szCs w:val="21"/>
              </w:rPr>
              <w:t>不含苯类、乙二醇醚及</w:t>
            </w:r>
          </w:p>
          <w:p w14:paraId="7A106397">
            <w:pPr>
              <w:adjustRightInd w:val="0"/>
              <w:snapToGrid w:val="0"/>
              <w:spacing w:line="240" w:lineRule="auto"/>
              <w:jc w:val="center"/>
              <w:rPr>
                <w:sz w:val="21"/>
                <w:szCs w:val="21"/>
              </w:rPr>
            </w:pPr>
            <w:r>
              <w:rPr>
                <w:sz w:val="21"/>
                <w:szCs w:val="21"/>
              </w:rPr>
              <w:t>酯类、卤代烃类、烷烃、酮类、醇类</w:t>
            </w:r>
          </w:p>
        </w:tc>
        <w:tc>
          <w:tcPr>
            <w:tcW w:w="3033" w:type="dxa"/>
            <w:gridSpan w:val="3"/>
            <w:tcBorders>
              <w:tl2br w:val="nil"/>
              <w:tr2bl w:val="nil"/>
            </w:tcBorders>
            <w:vAlign w:val="center"/>
          </w:tcPr>
          <w:p w14:paraId="2EEAA489">
            <w:pPr>
              <w:adjustRightInd w:val="0"/>
              <w:snapToGrid w:val="0"/>
              <w:spacing w:line="240" w:lineRule="auto"/>
              <w:jc w:val="center"/>
              <w:rPr>
                <w:sz w:val="21"/>
                <w:szCs w:val="21"/>
              </w:rPr>
            </w:pPr>
            <w:r>
              <w:rPr>
                <w:sz w:val="21"/>
                <w:szCs w:val="21"/>
              </w:rPr>
              <w:t>不含苯类、乙二醇醚、卤代烃类、烷烃、酮类</w:t>
            </w:r>
          </w:p>
        </w:tc>
        <w:tc>
          <w:tcPr>
            <w:tcW w:w="2357" w:type="dxa"/>
            <w:gridSpan w:val="2"/>
            <w:tcBorders>
              <w:tl2br w:val="nil"/>
              <w:tr2bl w:val="nil"/>
            </w:tcBorders>
            <w:vAlign w:val="center"/>
          </w:tcPr>
          <w:p w14:paraId="5A2CCA26">
            <w:pPr>
              <w:adjustRightInd w:val="0"/>
              <w:snapToGrid w:val="0"/>
              <w:spacing w:line="240" w:lineRule="auto"/>
              <w:jc w:val="center"/>
              <w:rPr>
                <w:sz w:val="21"/>
                <w:szCs w:val="21"/>
              </w:rPr>
            </w:pPr>
            <w:r>
              <w:rPr>
                <w:sz w:val="21"/>
                <w:szCs w:val="21"/>
              </w:rPr>
              <w:t>油墨为无苯无酮环保油墨（含醇类）</w:t>
            </w:r>
          </w:p>
        </w:tc>
        <w:tc>
          <w:tcPr>
            <w:tcW w:w="767" w:type="dxa"/>
            <w:gridSpan w:val="2"/>
            <w:tcBorders>
              <w:tl2br w:val="nil"/>
              <w:tr2bl w:val="nil"/>
            </w:tcBorders>
            <w:vAlign w:val="center"/>
          </w:tcPr>
          <w:p w14:paraId="77532F11">
            <w:pPr>
              <w:adjustRightInd w:val="0"/>
              <w:snapToGrid w:val="0"/>
              <w:spacing w:line="240" w:lineRule="auto"/>
              <w:jc w:val="center"/>
              <w:rPr>
                <w:sz w:val="21"/>
                <w:szCs w:val="21"/>
              </w:rPr>
            </w:pPr>
            <w:r>
              <w:rPr>
                <w:sz w:val="21"/>
                <w:szCs w:val="21"/>
              </w:rPr>
              <w:t>二级</w:t>
            </w:r>
          </w:p>
        </w:tc>
      </w:tr>
      <w:tr w14:paraId="1A2EA38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228116E8">
            <w:pPr>
              <w:adjustRightInd w:val="0"/>
              <w:snapToGrid w:val="0"/>
              <w:spacing w:line="240" w:lineRule="auto"/>
              <w:jc w:val="center"/>
              <w:rPr>
                <w:sz w:val="21"/>
                <w:szCs w:val="21"/>
              </w:rPr>
            </w:pPr>
            <w:r>
              <w:rPr>
                <w:sz w:val="21"/>
                <w:szCs w:val="21"/>
              </w:rPr>
              <w:t>3</w:t>
            </w:r>
          </w:p>
        </w:tc>
        <w:tc>
          <w:tcPr>
            <w:tcW w:w="770" w:type="dxa"/>
            <w:vMerge w:val="continue"/>
            <w:tcBorders>
              <w:tl2br w:val="nil"/>
              <w:tr2bl w:val="nil"/>
            </w:tcBorders>
            <w:vAlign w:val="center"/>
          </w:tcPr>
          <w:p w14:paraId="4AEAF46F">
            <w:pPr>
              <w:adjustRightInd w:val="0"/>
              <w:snapToGrid w:val="0"/>
              <w:spacing w:line="240" w:lineRule="auto"/>
              <w:jc w:val="center"/>
              <w:rPr>
                <w:sz w:val="21"/>
                <w:szCs w:val="21"/>
              </w:rPr>
            </w:pPr>
          </w:p>
        </w:tc>
        <w:tc>
          <w:tcPr>
            <w:tcW w:w="703" w:type="dxa"/>
            <w:vMerge w:val="continue"/>
            <w:tcBorders>
              <w:tl2br w:val="nil"/>
              <w:tr2bl w:val="nil"/>
            </w:tcBorders>
            <w:vAlign w:val="center"/>
          </w:tcPr>
          <w:p w14:paraId="7CFA85AC">
            <w:pPr>
              <w:adjustRightInd w:val="0"/>
              <w:snapToGrid w:val="0"/>
              <w:spacing w:line="240" w:lineRule="auto"/>
              <w:jc w:val="center"/>
              <w:rPr>
                <w:sz w:val="21"/>
                <w:szCs w:val="21"/>
              </w:rPr>
            </w:pPr>
          </w:p>
        </w:tc>
        <w:tc>
          <w:tcPr>
            <w:tcW w:w="1818" w:type="dxa"/>
            <w:gridSpan w:val="3"/>
            <w:tcBorders>
              <w:tl2br w:val="nil"/>
              <w:tr2bl w:val="nil"/>
            </w:tcBorders>
            <w:vAlign w:val="center"/>
          </w:tcPr>
          <w:p w14:paraId="0F52C93A">
            <w:pPr>
              <w:adjustRightInd w:val="0"/>
              <w:snapToGrid w:val="0"/>
              <w:spacing w:line="240" w:lineRule="auto"/>
              <w:jc w:val="center"/>
              <w:rPr>
                <w:sz w:val="21"/>
                <w:szCs w:val="21"/>
              </w:rPr>
            </w:pPr>
            <w:r>
              <w:rPr>
                <w:sz w:val="21"/>
                <w:szCs w:val="21"/>
              </w:rPr>
              <w:t>稀释剂</w:t>
            </w:r>
          </w:p>
        </w:tc>
        <w:tc>
          <w:tcPr>
            <w:tcW w:w="822" w:type="dxa"/>
            <w:tcBorders>
              <w:tl2br w:val="nil"/>
              <w:tr2bl w:val="nil"/>
            </w:tcBorders>
            <w:vAlign w:val="center"/>
          </w:tcPr>
          <w:p w14:paraId="472FB211">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7AF6CD04">
            <w:pPr>
              <w:adjustRightInd w:val="0"/>
              <w:snapToGrid w:val="0"/>
              <w:spacing w:line="240" w:lineRule="auto"/>
              <w:jc w:val="center"/>
              <w:rPr>
                <w:sz w:val="21"/>
                <w:szCs w:val="21"/>
              </w:rPr>
            </w:pPr>
            <w:r>
              <w:rPr>
                <w:sz w:val="21"/>
                <w:szCs w:val="21"/>
              </w:rPr>
              <w:t>0.2</w:t>
            </w:r>
          </w:p>
        </w:tc>
        <w:tc>
          <w:tcPr>
            <w:tcW w:w="2413" w:type="dxa"/>
            <w:tcBorders>
              <w:tl2br w:val="nil"/>
              <w:tr2bl w:val="nil"/>
            </w:tcBorders>
            <w:vAlign w:val="center"/>
          </w:tcPr>
          <w:p w14:paraId="2299F9FE">
            <w:pPr>
              <w:adjustRightInd w:val="0"/>
              <w:snapToGrid w:val="0"/>
              <w:spacing w:line="240" w:lineRule="auto"/>
              <w:jc w:val="center"/>
              <w:rPr>
                <w:sz w:val="21"/>
                <w:szCs w:val="21"/>
              </w:rPr>
            </w:pPr>
            <w:r>
              <w:rPr>
                <w:sz w:val="21"/>
                <w:szCs w:val="21"/>
              </w:rPr>
              <w:t>不含苯类、乙二醇醚及</w:t>
            </w:r>
          </w:p>
          <w:p w14:paraId="336BCA02">
            <w:pPr>
              <w:adjustRightInd w:val="0"/>
              <w:snapToGrid w:val="0"/>
              <w:spacing w:line="240" w:lineRule="auto"/>
              <w:jc w:val="center"/>
              <w:rPr>
                <w:sz w:val="21"/>
                <w:szCs w:val="21"/>
              </w:rPr>
            </w:pPr>
            <w:r>
              <w:rPr>
                <w:sz w:val="21"/>
                <w:szCs w:val="21"/>
              </w:rPr>
              <w:t>酯类、卤代烃类、烷烃、酮类、醇类</w:t>
            </w:r>
          </w:p>
        </w:tc>
        <w:tc>
          <w:tcPr>
            <w:tcW w:w="3033" w:type="dxa"/>
            <w:gridSpan w:val="3"/>
            <w:tcBorders>
              <w:tl2br w:val="nil"/>
              <w:tr2bl w:val="nil"/>
            </w:tcBorders>
            <w:vAlign w:val="center"/>
          </w:tcPr>
          <w:p w14:paraId="1234671C">
            <w:pPr>
              <w:adjustRightInd w:val="0"/>
              <w:snapToGrid w:val="0"/>
              <w:spacing w:line="240" w:lineRule="auto"/>
              <w:jc w:val="center"/>
              <w:rPr>
                <w:sz w:val="21"/>
                <w:szCs w:val="21"/>
              </w:rPr>
            </w:pPr>
            <w:r>
              <w:rPr>
                <w:sz w:val="21"/>
                <w:szCs w:val="21"/>
              </w:rPr>
              <w:t>不含苯类、乙二醇醚、卤代烃类、烷烃、酮类</w:t>
            </w:r>
          </w:p>
        </w:tc>
        <w:tc>
          <w:tcPr>
            <w:tcW w:w="2357" w:type="dxa"/>
            <w:gridSpan w:val="2"/>
            <w:tcBorders>
              <w:tl2br w:val="nil"/>
              <w:tr2bl w:val="nil"/>
            </w:tcBorders>
            <w:vAlign w:val="center"/>
          </w:tcPr>
          <w:p w14:paraId="22D67B90">
            <w:pPr>
              <w:adjustRightInd w:val="0"/>
              <w:snapToGrid w:val="0"/>
              <w:spacing w:line="240" w:lineRule="auto"/>
              <w:jc w:val="center"/>
              <w:rPr>
                <w:sz w:val="21"/>
                <w:szCs w:val="21"/>
              </w:rPr>
            </w:pPr>
            <w:r>
              <w:rPr>
                <w:sz w:val="21"/>
                <w:szCs w:val="21"/>
              </w:rPr>
              <w:t>本项目稀释剂为醇类以及酯类</w:t>
            </w:r>
          </w:p>
        </w:tc>
        <w:tc>
          <w:tcPr>
            <w:tcW w:w="767" w:type="dxa"/>
            <w:gridSpan w:val="2"/>
            <w:tcBorders>
              <w:tl2br w:val="nil"/>
              <w:tr2bl w:val="nil"/>
            </w:tcBorders>
            <w:vAlign w:val="center"/>
          </w:tcPr>
          <w:p w14:paraId="2D49CBCD">
            <w:pPr>
              <w:adjustRightInd w:val="0"/>
              <w:snapToGrid w:val="0"/>
              <w:spacing w:line="240" w:lineRule="auto"/>
              <w:jc w:val="center"/>
              <w:rPr>
                <w:sz w:val="21"/>
                <w:szCs w:val="21"/>
              </w:rPr>
            </w:pPr>
            <w:r>
              <w:rPr>
                <w:sz w:val="21"/>
                <w:szCs w:val="21"/>
              </w:rPr>
              <w:t>二级</w:t>
            </w:r>
          </w:p>
        </w:tc>
      </w:tr>
      <w:tr w14:paraId="47DD068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44E28646">
            <w:pPr>
              <w:adjustRightInd w:val="0"/>
              <w:snapToGrid w:val="0"/>
              <w:spacing w:line="240" w:lineRule="auto"/>
              <w:jc w:val="center"/>
              <w:rPr>
                <w:sz w:val="21"/>
                <w:szCs w:val="21"/>
              </w:rPr>
            </w:pPr>
            <w:r>
              <w:rPr>
                <w:sz w:val="21"/>
                <w:szCs w:val="21"/>
              </w:rPr>
              <w:t>4</w:t>
            </w:r>
          </w:p>
        </w:tc>
        <w:tc>
          <w:tcPr>
            <w:tcW w:w="770" w:type="dxa"/>
            <w:vMerge w:val="continue"/>
            <w:tcBorders>
              <w:tl2br w:val="nil"/>
              <w:tr2bl w:val="nil"/>
            </w:tcBorders>
            <w:vAlign w:val="center"/>
          </w:tcPr>
          <w:p w14:paraId="4832B183">
            <w:pPr>
              <w:adjustRightInd w:val="0"/>
              <w:snapToGrid w:val="0"/>
              <w:spacing w:line="240" w:lineRule="auto"/>
              <w:jc w:val="center"/>
              <w:rPr>
                <w:sz w:val="21"/>
                <w:szCs w:val="21"/>
              </w:rPr>
            </w:pPr>
          </w:p>
        </w:tc>
        <w:tc>
          <w:tcPr>
            <w:tcW w:w="703" w:type="dxa"/>
            <w:vMerge w:val="continue"/>
            <w:tcBorders>
              <w:tl2br w:val="nil"/>
              <w:tr2bl w:val="nil"/>
            </w:tcBorders>
            <w:vAlign w:val="center"/>
          </w:tcPr>
          <w:p w14:paraId="740F64E2">
            <w:pPr>
              <w:adjustRightInd w:val="0"/>
              <w:snapToGrid w:val="0"/>
              <w:spacing w:line="240" w:lineRule="auto"/>
              <w:jc w:val="center"/>
              <w:rPr>
                <w:sz w:val="21"/>
                <w:szCs w:val="21"/>
              </w:rPr>
            </w:pPr>
          </w:p>
        </w:tc>
        <w:tc>
          <w:tcPr>
            <w:tcW w:w="1818" w:type="dxa"/>
            <w:gridSpan w:val="3"/>
            <w:tcBorders>
              <w:tl2br w:val="nil"/>
              <w:tr2bl w:val="nil"/>
            </w:tcBorders>
            <w:vAlign w:val="center"/>
          </w:tcPr>
          <w:p w14:paraId="06766C5F">
            <w:pPr>
              <w:adjustRightInd w:val="0"/>
              <w:snapToGrid w:val="0"/>
              <w:spacing w:line="240" w:lineRule="auto"/>
              <w:jc w:val="center"/>
              <w:rPr>
                <w:sz w:val="21"/>
                <w:szCs w:val="21"/>
              </w:rPr>
            </w:pPr>
            <w:r>
              <w:rPr>
                <w:sz w:val="21"/>
                <w:szCs w:val="21"/>
              </w:rPr>
              <w:t>印刷机自动化</w:t>
            </w:r>
          </w:p>
        </w:tc>
        <w:tc>
          <w:tcPr>
            <w:tcW w:w="822" w:type="dxa"/>
            <w:tcBorders>
              <w:tl2br w:val="nil"/>
              <w:tr2bl w:val="nil"/>
            </w:tcBorders>
            <w:vAlign w:val="center"/>
          </w:tcPr>
          <w:p w14:paraId="457492AD">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55AEC3EF">
            <w:pPr>
              <w:adjustRightInd w:val="0"/>
              <w:snapToGrid w:val="0"/>
              <w:spacing w:line="240" w:lineRule="auto"/>
              <w:jc w:val="center"/>
              <w:rPr>
                <w:sz w:val="21"/>
                <w:szCs w:val="21"/>
              </w:rPr>
            </w:pPr>
            <w:r>
              <w:rPr>
                <w:sz w:val="21"/>
                <w:szCs w:val="21"/>
              </w:rPr>
              <w:t>0.2</w:t>
            </w:r>
          </w:p>
        </w:tc>
        <w:tc>
          <w:tcPr>
            <w:tcW w:w="2413" w:type="dxa"/>
            <w:tcBorders>
              <w:tl2br w:val="nil"/>
              <w:tr2bl w:val="nil"/>
            </w:tcBorders>
            <w:vAlign w:val="center"/>
          </w:tcPr>
          <w:p w14:paraId="3BE5164D">
            <w:pPr>
              <w:adjustRightInd w:val="0"/>
              <w:snapToGrid w:val="0"/>
              <w:spacing w:line="240" w:lineRule="auto"/>
              <w:jc w:val="center"/>
              <w:rPr>
                <w:sz w:val="21"/>
                <w:szCs w:val="21"/>
              </w:rPr>
            </w:pPr>
            <w:r>
              <w:rPr>
                <w:sz w:val="21"/>
                <w:szCs w:val="21"/>
              </w:rPr>
              <w:t>印刷机组全部达到自动化（自动套准、自动张力控制、自动换卷、自</w:t>
            </w:r>
          </w:p>
          <w:p w14:paraId="6E62EE6A">
            <w:pPr>
              <w:adjustRightInd w:val="0"/>
              <w:snapToGrid w:val="0"/>
              <w:spacing w:line="240" w:lineRule="auto"/>
              <w:jc w:val="center"/>
              <w:rPr>
                <w:sz w:val="21"/>
                <w:szCs w:val="21"/>
              </w:rPr>
            </w:pPr>
            <w:r>
              <w:rPr>
                <w:sz w:val="21"/>
                <w:szCs w:val="21"/>
              </w:rPr>
              <w:t>动翻转、自动收纸）</w:t>
            </w:r>
          </w:p>
        </w:tc>
        <w:tc>
          <w:tcPr>
            <w:tcW w:w="3033" w:type="dxa"/>
            <w:gridSpan w:val="3"/>
            <w:tcBorders>
              <w:tl2br w:val="nil"/>
              <w:tr2bl w:val="nil"/>
            </w:tcBorders>
            <w:vAlign w:val="center"/>
          </w:tcPr>
          <w:p w14:paraId="5E59C65D">
            <w:pPr>
              <w:adjustRightInd w:val="0"/>
              <w:snapToGrid w:val="0"/>
              <w:spacing w:line="240" w:lineRule="auto"/>
              <w:jc w:val="center"/>
              <w:rPr>
                <w:sz w:val="21"/>
                <w:szCs w:val="21"/>
              </w:rPr>
            </w:pPr>
            <w:r>
              <w:rPr>
                <w:sz w:val="21"/>
                <w:szCs w:val="21"/>
              </w:rPr>
              <w:t>50%印刷机组达到自动化（自动换卷、自动翻转、自动收纸）</w:t>
            </w:r>
          </w:p>
        </w:tc>
        <w:tc>
          <w:tcPr>
            <w:tcW w:w="2357" w:type="dxa"/>
            <w:gridSpan w:val="2"/>
            <w:tcBorders>
              <w:tl2br w:val="nil"/>
              <w:tr2bl w:val="nil"/>
            </w:tcBorders>
            <w:vAlign w:val="center"/>
          </w:tcPr>
          <w:p w14:paraId="0C0F8EAE">
            <w:pPr>
              <w:adjustRightInd w:val="0"/>
              <w:snapToGrid w:val="0"/>
              <w:spacing w:line="240" w:lineRule="auto"/>
              <w:jc w:val="center"/>
              <w:rPr>
                <w:sz w:val="21"/>
                <w:szCs w:val="21"/>
              </w:rPr>
            </w:pPr>
            <w:r>
              <w:rPr>
                <w:sz w:val="21"/>
                <w:szCs w:val="21"/>
              </w:rPr>
              <w:t>本项目印刷机组全部达到自动化</w:t>
            </w:r>
          </w:p>
        </w:tc>
        <w:tc>
          <w:tcPr>
            <w:tcW w:w="767" w:type="dxa"/>
            <w:gridSpan w:val="2"/>
            <w:tcBorders>
              <w:tl2br w:val="nil"/>
              <w:tr2bl w:val="nil"/>
            </w:tcBorders>
            <w:vAlign w:val="center"/>
          </w:tcPr>
          <w:p w14:paraId="784A8742">
            <w:pPr>
              <w:adjustRightInd w:val="0"/>
              <w:snapToGrid w:val="0"/>
              <w:spacing w:line="240" w:lineRule="auto"/>
              <w:jc w:val="center"/>
              <w:rPr>
                <w:sz w:val="21"/>
                <w:szCs w:val="21"/>
              </w:rPr>
            </w:pPr>
            <w:r>
              <w:rPr>
                <w:sz w:val="21"/>
                <w:szCs w:val="21"/>
              </w:rPr>
              <w:t>一级</w:t>
            </w:r>
          </w:p>
        </w:tc>
      </w:tr>
      <w:tr w14:paraId="2F65CC1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55CAC402">
            <w:pPr>
              <w:adjustRightInd w:val="0"/>
              <w:snapToGrid w:val="0"/>
              <w:spacing w:line="240" w:lineRule="auto"/>
              <w:jc w:val="center"/>
              <w:rPr>
                <w:sz w:val="21"/>
                <w:szCs w:val="21"/>
              </w:rPr>
            </w:pPr>
            <w:r>
              <w:rPr>
                <w:sz w:val="21"/>
                <w:szCs w:val="21"/>
              </w:rPr>
              <w:t>5</w:t>
            </w:r>
          </w:p>
        </w:tc>
        <w:tc>
          <w:tcPr>
            <w:tcW w:w="770" w:type="dxa"/>
            <w:vMerge w:val="continue"/>
            <w:tcBorders>
              <w:tl2br w:val="nil"/>
              <w:tr2bl w:val="nil"/>
            </w:tcBorders>
            <w:vAlign w:val="center"/>
          </w:tcPr>
          <w:p w14:paraId="2A2E0CD4">
            <w:pPr>
              <w:adjustRightInd w:val="0"/>
              <w:snapToGrid w:val="0"/>
              <w:spacing w:line="240" w:lineRule="auto"/>
              <w:jc w:val="center"/>
              <w:rPr>
                <w:sz w:val="21"/>
                <w:szCs w:val="21"/>
              </w:rPr>
            </w:pPr>
          </w:p>
        </w:tc>
        <w:tc>
          <w:tcPr>
            <w:tcW w:w="703" w:type="dxa"/>
            <w:vMerge w:val="continue"/>
            <w:tcBorders>
              <w:tl2br w:val="nil"/>
              <w:tr2bl w:val="nil"/>
            </w:tcBorders>
            <w:vAlign w:val="center"/>
          </w:tcPr>
          <w:p w14:paraId="27A675F6">
            <w:pPr>
              <w:adjustRightInd w:val="0"/>
              <w:snapToGrid w:val="0"/>
              <w:spacing w:line="240" w:lineRule="auto"/>
              <w:jc w:val="center"/>
              <w:rPr>
                <w:sz w:val="21"/>
                <w:szCs w:val="21"/>
              </w:rPr>
            </w:pPr>
          </w:p>
        </w:tc>
        <w:tc>
          <w:tcPr>
            <w:tcW w:w="1818" w:type="dxa"/>
            <w:gridSpan w:val="3"/>
            <w:tcBorders>
              <w:tl2br w:val="nil"/>
              <w:tr2bl w:val="nil"/>
            </w:tcBorders>
            <w:vAlign w:val="center"/>
          </w:tcPr>
          <w:p w14:paraId="58BC9272">
            <w:pPr>
              <w:adjustRightInd w:val="0"/>
              <w:snapToGrid w:val="0"/>
              <w:spacing w:line="240" w:lineRule="auto"/>
              <w:jc w:val="center"/>
              <w:rPr>
                <w:sz w:val="21"/>
                <w:szCs w:val="21"/>
              </w:rPr>
            </w:pPr>
            <w:r>
              <w:rPr>
                <w:sz w:val="21"/>
                <w:szCs w:val="21"/>
              </w:rPr>
              <w:t>供墨系统</w:t>
            </w:r>
          </w:p>
        </w:tc>
        <w:tc>
          <w:tcPr>
            <w:tcW w:w="822" w:type="dxa"/>
            <w:tcBorders>
              <w:tl2br w:val="nil"/>
              <w:tr2bl w:val="nil"/>
            </w:tcBorders>
            <w:vAlign w:val="center"/>
          </w:tcPr>
          <w:p w14:paraId="029760EB">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51740815">
            <w:pPr>
              <w:adjustRightInd w:val="0"/>
              <w:snapToGrid w:val="0"/>
              <w:spacing w:line="240" w:lineRule="auto"/>
              <w:jc w:val="center"/>
              <w:rPr>
                <w:sz w:val="21"/>
                <w:szCs w:val="21"/>
              </w:rPr>
            </w:pPr>
            <w:r>
              <w:rPr>
                <w:sz w:val="21"/>
                <w:szCs w:val="21"/>
              </w:rPr>
              <w:t>0.2</w:t>
            </w:r>
          </w:p>
        </w:tc>
        <w:tc>
          <w:tcPr>
            <w:tcW w:w="3977" w:type="dxa"/>
            <w:gridSpan w:val="2"/>
            <w:tcBorders>
              <w:tl2br w:val="nil"/>
              <w:tr2bl w:val="nil"/>
            </w:tcBorders>
            <w:vAlign w:val="center"/>
          </w:tcPr>
          <w:p w14:paraId="14C4BE46">
            <w:pPr>
              <w:adjustRightInd w:val="0"/>
              <w:snapToGrid w:val="0"/>
              <w:spacing w:line="240" w:lineRule="auto"/>
              <w:jc w:val="center"/>
              <w:rPr>
                <w:sz w:val="21"/>
                <w:szCs w:val="21"/>
              </w:rPr>
            </w:pPr>
            <w:r>
              <w:rPr>
                <w:sz w:val="21"/>
                <w:szCs w:val="21"/>
              </w:rPr>
              <w:t>采用自动密闭式循环供墨方式</w:t>
            </w:r>
          </w:p>
        </w:tc>
        <w:tc>
          <w:tcPr>
            <w:tcW w:w="1469" w:type="dxa"/>
            <w:gridSpan w:val="2"/>
            <w:tcBorders>
              <w:tl2br w:val="nil"/>
              <w:tr2bl w:val="nil"/>
            </w:tcBorders>
            <w:vAlign w:val="center"/>
          </w:tcPr>
          <w:p w14:paraId="0B262D4C">
            <w:pPr>
              <w:adjustRightInd w:val="0"/>
              <w:snapToGrid w:val="0"/>
              <w:spacing w:line="240" w:lineRule="auto"/>
              <w:jc w:val="center"/>
              <w:rPr>
                <w:sz w:val="21"/>
                <w:szCs w:val="21"/>
              </w:rPr>
            </w:pPr>
            <w:r>
              <w:rPr>
                <w:sz w:val="21"/>
                <w:szCs w:val="21"/>
              </w:rPr>
              <w:t>采用循环供</w:t>
            </w:r>
          </w:p>
          <w:p w14:paraId="52B3031D">
            <w:pPr>
              <w:adjustRightInd w:val="0"/>
              <w:snapToGrid w:val="0"/>
              <w:spacing w:line="240" w:lineRule="auto"/>
              <w:jc w:val="center"/>
              <w:rPr>
                <w:sz w:val="21"/>
                <w:szCs w:val="21"/>
              </w:rPr>
            </w:pPr>
            <w:r>
              <w:rPr>
                <w:sz w:val="21"/>
                <w:szCs w:val="21"/>
              </w:rPr>
              <w:t>墨方式</w:t>
            </w:r>
          </w:p>
        </w:tc>
        <w:tc>
          <w:tcPr>
            <w:tcW w:w="2357" w:type="dxa"/>
            <w:gridSpan w:val="2"/>
            <w:tcBorders>
              <w:tl2br w:val="nil"/>
              <w:tr2bl w:val="nil"/>
            </w:tcBorders>
            <w:vAlign w:val="center"/>
          </w:tcPr>
          <w:p w14:paraId="3A0A403C">
            <w:pPr>
              <w:adjustRightInd w:val="0"/>
              <w:snapToGrid w:val="0"/>
              <w:spacing w:line="240" w:lineRule="auto"/>
              <w:jc w:val="center"/>
              <w:rPr>
                <w:sz w:val="21"/>
                <w:szCs w:val="21"/>
              </w:rPr>
            </w:pPr>
            <w:r>
              <w:rPr>
                <w:sz w:val="21"/>
                <w:szCs w:val="21"/>
              </w:rPr>
              <w:t>本项目采用自动密闭式</w:t>
            </w:r>
          </w:p>
          <w:p w14:paraId="17D4C07D">
            <w:pPr>
              <w:adjustRightInd w:val="0"/>
              <w:snapToGrid w:val="0"/>
              <w:spacing w:line="240" w:lineRule="auto"/>
              <w:jc w:val="center"/>
              <w:rPr>
                <w:sz w:val="21"/>
                <w:szCs w:val="21"/>
              </w:rPr>
            </w:pPr>
            <w:r>
              <w:rPr>
                <w:sz w:val="21"/>
                <w:szCs w:val="21"/>
              </w:rPr>
              <w:t>循环供墨方式</w:t>
            </w:r>
          </w:p>
        </w:tc>
        <w:tc>
          <w:tcPr>
            <w:tcW w:w="767" w:type="dxa"/>
            <w:gridSpan w:val="2"/>
            <w:tcBorders>
              <w:tl2br w:val="nil"/>
              <w:tr2bl w:val="nil"/>
            </w:tcBorders>
            <w:vAlign w:val="center"/>
          </w:tcPr>
          <w:p w14:paraId="17C8BC9C">
            <w:pPr>
              <w:adjustRightInd w:val="0"/>
              <w:snapToGrid w:val="0"/>
              <w:spacing w:line="240" w:lineRule="auto"/>
              <w:jc w:val="center"/>
              <w:rPr>
                <w:sz w:val="21"/>
                <w:szCs w:val="21"/>
              </w:rPr>
            </w:pPr>
            <w:r>
              <w:rPr>
                <w:sz w:val="21"/>
                <w:szCs w:val="21"/>
              </w:rPr>
              <w:t>一级</w:t>
            </w:r>
          </w:p>
        </w:tc>
      </w:tr>
      <w:tr w14:paraId="3BC0103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35B668AC">
            <w:pPr>
              <w:adjustRightInd w:val="0"/>
              <w:snapToGrid w:val="0"/>
              <w:spacing w:line="240" w:lineRule="auto"/>
              <w:jc w:val="center"/>
              <w:rPr>
                <w:sz w:val="21"/>
                <w:szCs w:val="21"/>
              </w:rPr>
            </w:pPr>
            <w:r>
              <w:rPr>
                <w:sz w:val="21"/>
                <w:szCs w:val="21"/>
              </w:rPr>
              <w:t>6</w:t>
            </w:r>
          </w:p>
        </w:tc>
        <w:tc>
          <w:tcPr>
            <w:tcW w:w="770" w:type="dxa"/>
            <w:vMerge w:val="continue"/>
            <w:tcBorders>
              <w:tl2br w:val="nil"/>
              <w:tr2bl w:val="nil"/>
            </w:tcBorders>
            <w:vAlign w:val="center"/>
          </w:tcPr>
          <w:p w14:paraId="70CDC379">
            <w:pPr>
              <w:adjustRightInd w:val="0"/>
              <w:snapToGrid w:val="0"/>
              <w:spacing w:line="240" w:lineRule="auto"/>
              <w:jc w:val="center"/>
              <w:rPr>
                <w:sz w:val="21"/>
                <w:szCs w:val="21"/>
              </w:rPr>
            </w:pPr>
          </w:p>
        </w:tc>
        <w:tc>
          <w:tcPr>
            <w:tcW w:w="703" w:type="dxa"/>
            <w:vMerge w:val="continue"/>
            <w:tcBorders>
              <w:tl2br w:val="nil"/>
              <w:tr2bl w:val="nil"/>
            </w:tcBorders>
            <w:vAlign w:val="center"/>
          </w:tcPr>
          <w:p w14:paraId="10613BEE">
            <w:pPr>
              <w:adjustRightInd w:val="0"/>
              <w:snapToGrid w:val="0"/>
              <w:spacing w:line="240" w:lineRule="auto"/>
              <w:jc w:val="center"/>
              <w:rPr>
                <w:sz w:val="21"/>
                <w:szCs w:val="21"/>
              </w:rPr>
            </w:pPr>
          </w:p>
        </w:tc>
        <w:tc>
          <w:tcPr>
            <w:tcW w:w="653" w:type="dxa"/>
            <w:vMerge w:val="restart"/>
            <w:tcBorders>
              <w:tl2br w:val="nil"/>
              <w:tr2bl w:val="nil"/>
            </w:tcBorders>
            <w:vAlign w:val="center"/>
          </w:tcPr>
          <w:p w14:paraId="149DF6A3">
            <w:pPr>
              <w:adjustRightInd w:val="0"/>
              <w:snapToGrid w:val="0"/>
              <w:spacing w:line="240" w:lineRule="auto"/>
              <w:jc w:val="center"/>
              <w:rPr>
                <w:sz w:val="21"/>
                <w:szCs w:val="21"/>
              </w:rPr>
            </w:pPr>
            <w:r>
              <w:rPr>
                <w:sz w:val="21"/>
                <w:szCs w:val="21"/>
              </w:rPr>
              <w:t>其他原辅材料</w:t>
            </w:r>
          </w:p>
        </w:tc>
        <w:tc>
          <w:tcPr>
            <w:tcW w:w="1165" w:type="dxa"/>
            <w:gridSpan w:val="2"/>
            <w:tcBorders>
              <w:tl2br w:val="nil"/>
              <w:tr2bl w:val="nil"/>
            </w:tcBorders>
            <w:vAlign w:val="center"/>
          </w:tcPr>
          <w:p w14:paraId="1CD94ACB">
            <w:pPr>
              <w:adjustRightInd w:val="0"/>
              <w:snapToGrid w:val="0"/>
              <w:spacing w:line="240" w:lineRule="auto"/>
              <w:jc w:val="center"/>
              <w:rPr>
                <w:sz w:val="21"/>
                <w:szCs w:val="21"/>
              </w:rPr>
            </w:pPr>
            <w:r>
              <w:rPr>
                <w:sz w:val="21"/>
                <w:szCs w:val="21"/>
              </w:rPr>
              <w:t>环保型上</w:t>
            </w:r>
          </w:p>
          <w:p w14:paraId="79A1BAE3">
            <w:pPr>
              <w:adjustRightInd w:val="0"/>
              <w:snapToGrid w:val="0"/>
              <w:spacing w:line="240" w:lineRule="auto"/>
              <w:jc w:val="center"/>
              <w:rPr>
                <w:sz w:val="21"/>
                <w:szCs w:val="21"/>
              </w:rPr>
            </w:pPr>
            <w:r>
              <w:rPr>
                <w:sz w:val="21"/>
                <w:szCs w:val="21"/>
              </w:rPr>
              <w:t>光油使用占比</w:t>
            </w:r>
          </w:p>
        </w:tc>
        <w:tc>
          <w:tcPr>
            <w:tcW w:w="822" w:type="dxa"/>
            <w:tcBorders>
              <w:tl2br w:val="nil"/>
              <w:tr2bl w:val="nil"/>
            </w:tcBorders>
            <w:vAlign w:val="center"/>
          </w:tcPr>
          <w:p w14:paraId="363A10E7">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1D29EB0F">
            <w:pPr>
              <w:adjustRightInd w:val="0"/>
              <w:snapToGrid w:val="0"/>
              <w:spacing w:line="240" w:lineRule="auto"/>
              <w:jc w:val="center"/>
              <w:rPr>
                <w:sz w:val="21"/>
                <w:szCs w:val="21"/>
              </w:rPr>
            </w:pPr>
            <w:r>
              <w:rPr>
                <w:sz w:val="21"/>
                <w:szCs w:val="21"/>
              </w:rPr>
              <w:t>0.2/n</w:t>
            </w:r>
          </w:p>
        </w:tc>
        <w:tc>
          <w:tcPr>
            <w:tcW w:w="2413" w:type="dxa"/>
            <w:tcBorders>
              <w:tl2br w:val="nil"/>
              <w:tr2bl w:val="nil"/>
            </w:tcBorders>
            <w:vAlign w:val="center"/>
          </w:tcPr>
          <w:p w14:paraId="69EC85C4">
            <w:pPr>
              <w:adjustRightInd w:val="0"/>
              <w:snapToGrid w:val="0"/>
              <w:spacing w:line="240" w:lineRule="auto"/>
              <w:jc w:val="center"/>
              <w:rPr>
                <w:sz w:val="21"/>
                <w:szCs w:val="21"/>
              </w:rPr>
            </w:pPr>
            <w:r>
              <w:rPr>
                <w:sz w:val="21"/>
                <w:szCs w:val="21"/>
              </w:rPr>
              <w:t>100</w:t>
            </w:r>
          </w:p>
        </w:tc>
        <w:tc>
          <w:tcPr>
            <w:tcW w:w="1564" w:type="dxa"/>
            <w:tcBorders>
              <w:tl2br w:val="nil"/>
              <w:tr2bl w:val="nil"/>
            </w:tcBorders>
            <w:vAlign w:val="center"/>
          </w:tcPr>
          <w:p w14:paraId="0D7EE756">
            <w:pPr>
              <w:adjustRightInd w:val="0"/>
              <w:snapToGrid w:val="0"/>
              <w:spacing w:line="240" w:lineRule="auto"/>
              <w:jc w:val="center"/>
              <w:rPr>
                <w:sz w:val="21"/>
                <w:szCs w:val="21"/>
              </w:rPr>
            </w:pPr>
            <w:r>
              <w:rPr>
                <w:sz w:val="21"/>
                <w:szCs w:val="21"/>
              </w:rPr>
              <w:t>≥75</w:t>
            </w:r>
          </w:p>
        </w:tc>
        <w:tc>
          <w:tcPr>
            <w:tcW w:w="1469" w:type="dxa"/>
            <w:gridSpan w:val="2"/>
            <w:tcBorders>
              <w:tl2br w:val="nil"/>
              <w:tr2bl w:val="nil"/>
            </w:tcBorders>
            <w:vAlign w:val="center"/>
          </w:tcPr>
          <w:p w14:paraId="67E311C0">
            <w:pPr>
              <w:adjustRightInd w:val="0"/>
              <w:snapToGrid w:val="0"/>
              <w:spacing w:line="240" w:lineRule="auto"/>
              <w:jc w:val="center"/>
              <w:rPr>
                <w:sz w:val="21"/>
                <w:szCs w:val="21"/>
              </w:rPr>
            </w:pPr>
            <w:r>
              <w:rPr>
                <w:sz w:val="21"/>
                <w:szCs w:val="21"/>
              </w:rPr>
              <w:t>≥60</w:t>
            </w:r>
          </w:p>
        </w:tc>
        <w:tc>
          <w:tcPr>
            <w:tcW w:w="2357" w:type="dxa"/>
            <w:gridSpan w:val="2"/>
            <w:tcBorders>
              <w:tl2br w:val="nil"/>
              <w:tr2bl w:val="nil"/>
            </w:tcBorders>
            <w:vAlign w:val="center"/>
          </w:tcPr>
          <w:p w14:paraId="583E1CB8">
            <w:pPr>
              <w:adjustRightInd w:val="0"/>
              <w:snapToGrid w:val="0"/>
              <w:spacing w:line="240" w:lineRule="auto"/>
              <w:jc w:val="center"/>
              <w:rPr>
                <w:sz w:val="21"/>
                <w:szCs w:val="21"/>
              </w:rPr>
            </w:pPr>
            <w:r>
              <w:rPr>
                <w:sz w:val="21"/>
                <w:szCs w:val="21"/>
              </w:rPr>
              <w:t>无上光油</w:t>
            </w:r>
          </w:p>
        </w:tc>
        <w:tc>
          <w:tcPr>
            <w:tcW w:w="767" w:type="dxa"/>
            <w:gridSpan w:val="2"/>
            <w:tcBorders>
              <w:tl2br w:val="nil"/>
              <w:tr2bl w:val="nil"/>
            </w:tcBorders>
            <w:vAlign w:val="center"/>
          </w:tcPr>
          <w:p w14:paraId="72748E25">
            <w:pPr>
              <w:adjustRightInd w:val="0"/>
              <w:snapToGrid w:val="0"/>
              <w:spacing w:line="240" w:lineRule="auto"/>
              <w:jc w:val="center"/>
              <w:rPr>
                <w:sz w:val="21"/>
                <w:szCs w:val="21"/>
              </w:rPr>
            </w:pPr>
            <w:r>
              <w:rPr>
                <w:sz w:val="21"/>
                <w:szCs w:val="21"/>
              </w:rPr>
              <w:t>/</w:t>
            </w:r>
          </w:p>
        </w:tc>
      </w:tr>
      <w:tr w14:paraId="1F7F418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3A4FEAAA">
            <w:pPr>
              <w:adjustRightInd w:val="0"/>
              <w:snapToGrid w:val="0"/>
              <w:spacing w:line="240" w:lineRule="auto"/>
              <w:jc w:val="center"/>
              <w:rPr>
                <w:sz w:val="21"/>
                <w:szCs w:val="21"/>
              </w:rPr>
            </w:pPr>
            <w:r>
              <w:rPr>
                <w:sz w:val="21"/>
                <w:szCs w:val="21"/>
              </w:rPr>
              <w:t>7</w:t>
            </w:r>
          </w:p>
        </w:tc>
        <w:tc>
          <w:tcPr>
            <w:tcW w:w="770" w:type="dxa"/>
            <w:vMerge w:val="continue"/>
            <w:tcBorders>
              <w:tl2br w:val="nil"/>
              <w:tr2bl w:val="nil"/>
            </w:tcBorders>
            <w:vAlign w:val="center"/>
          </w:tcPr>
          <w:p w14:paraId="03A63980">
            <w:pPr>
              <w:adjustRightInd w:val="0"/>
              <w:snapToGrid w:val="0"/>
              <w:spacing w:line="240" w:lineRule="auto"/>
              <w:jc w:val="center"/>
              <w:rPr>
                <w:sz w:val="21"/>
                <w:szCs w:val="21"/>
              </w:rPr>
            </w:pPr>
          </w:p>
        </w:tc>
        <w:tc>
          <w:tcPr>
            <w:tcW w:w="703" w:type="dxa"/>
            <w:vMerge w:val="continue"/>
            <w:tcBorders>
              <w:tl2br w:val="nil"/>
              <w:tr2bl w:val="nil"/>
            </w:tcBorders>
            <w:vAlign w:val="center"/>
          </w:tcPr>
          <w:p w14:paraId="3DA5D1C9">
            <w:pPr>
              <w:adjustRightInd w:val="0"/>
              <w:snapToGrid w:val="0"/>
              <w:spacing w:line="240" w:lineRule="auto"/>
              <w:jc w:val="center"/>
              <w:rPr>
                <w:sz w:val="21"/>
                <w:szCs w:val="21"/>
              </w:rPr>
            </w:pPr>
          </w:p>
        </w:tc>
        <w:tc>
          <w:tcPr>
            <w:tcW w:w="653" w:type="dxa"/>
            <w:vMerge w:val="continue"/>
            <w:tcBorders>
              <w:tl2br w:val="nil"/>
              <w:tr2bl w:val="nil"/>
            </w:tcBorders>
            <w:vAlign w:val="center"/>
          </w:tcPr>
          <w:p w14:paraId="67E8576D">
            <w:pPr>
              <w:adjustRightInd w:val="0"/>
              <w:snapToGrid w:val="0"/>
              <w:spacing w:line="240" w:lineRule="auto"/>
              <w:jc w:val="center"/>
              <w:rPr>
                <w:sz w:val="21"/>
                <w:szCs w:val="21"/>
              </w:rPr>
            </w:pPr>
          </w:p>
        </w:tc>
        <w:tc>
          <w:tcPr>
            <w:tcW w:w="1165" w:type="dxa"/>
            <w:gridSpan w:val="2"/>
            <w:tcBorders>
              <w:tl2br w:val="nil"/>
              <w:tr2bl w:val="nil"/>
            </w:tcBorders>
            <w:vAlign w:val="center"/>
          </w:tcPr>
          <w:p w14:paraId="5D7A1064">
            <w:pPr>
              <w:adjustRightInd w:val="0"/>
              <w:snapToGrid w:val="0"/>
              <w:spacing w:line="240" w:lineRule="auto"/>
              <w:jc w:val="center"/>
              <w:rPr>
                <w:sz w:val="21"/>
                <w:szCs w:val="21"/>
              </w:rPr>
            </w:pPr>
            <w:r>
              <w:rPr>
                <w:sz w:val="21"/>
                <w:szCs w:val="21"/>
              </w:rPr>
              <w:t>环保型覆膜胶使用</w:t>
            </w:r>
          </w:p>
          <w:p w14:paraId="3DE2B6CF">
            <w:pPr>
              <w:adjustRightInd w:val="0"/>
              <w:snapToGrid w:val="0"/>
              <w:spacing w:line="240" w:lineRule="auto"/>
              <w:jc w:val="center"/>
              <w:rPr>
                <w:sz w:val="21"/>
                <w:szCs w:val="21"/>
              </w:rPr>
            </w:pPr>
            <w:r>
              <w:rPr>
                <w:sz w:val="21"/>
                <w:szCs w:val="21"/>
              </w:rPr>
              <w:t>占比</w:t>
            </w:r>
          </w:p>
        </w:tc>
        <w:tc>
          <w:tcPr>
            <w:tcW w:w="822" w:type="dxa"/>
            <w:tcBorders>
              <w:tl2br w:val="nil"/>
              <w:tr2bl w:val="nil"/>
            </w:tcBorders>
            <w:vAlign w:val="center"/>
          </w:tcPr>
          <w:p w14:paraId="11B334D7">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186CD35C">
            <w:pPr>
              <w:adjustRightInd w:val="0"/>
              <w:snapToGrid w:val="0"/>
              <w:spacing w:line="240" w:lineRule="auto"/>
              <w:jc w:val="center"/>
              <w:rPr>
                <w:sz w:val="21"/>
                <w:szCs w:val="21"/>
              </w:rPr>
            </w:pPr>
            <w:r>
              <w:rPr>
                <w:sz w:val="21"/>
                <w:szCs w:val="21"/>
              </w:rPr>
              <w:t>0.2/n</w:t>
            </w:r>
          </w:p>
        </w:tc>
        <w:tc>
          <w:tcPr>
            <w:tcW w:w="2413" w:type="dxa"/>
            <w:tcBorders>
              <w:tl2br w:val="nil"/>
              <w:tr2bl w:val="nil"/>
            </w:tcBorders>
            <w:vAlign w:val="center"/>
          </w:tcPr>
          <w:p w14:paraId="0D17994B">
            <w:pPr>
              <w:adjustRightInd w:val="0"/>
              <w:snapToGrid w:val="0"/>
              <w:spacing w:line="240" w:lineRule="auto"/>
              <w:jc w:val="center"/>
              <w:rPr>
                <w:sz w:val="21"/>
                <w:szCs w:val="21"/>
              </w:rPr>
            </w:pPr>
            <w:r>
              <w:rPr>
                <w:sz w:val="21"/>
                <w:szCs w:val="21"/>
              </w:rPr>
              <w:t>≥80</w:t>
            </w:r>
          </w:p>
        </w:tc>
        <w:tc>
          <w:tcPr>
            <w:tcW w:w="1564" w:type="dxa"/>
            <w:tcBorders>
              <w:tl2br w:val="nil"/>
              <w:tr2bl w:val="nil"/>
            </w:tcBorders>
            <w:vAlign w:val="center"/>
          </w:tcPr>
          <w:p w14:paraId="4ACC82B5">
            <w:pPr>
              <w:adjustRightInd w:val="0"/>
              <w:snapToGrid w:val="0"/>
              <w:spacing w:line="240" w:lineRule="auto"/>
              <w:jc w:val="center"/>
              <w:rPr>
                <w:sz w:val="21"/>
                <w:szCs w:val="21"/>
              </w:rPr>
            </w:pPr>
            <w:r>
              <w:rPr>
                <w:sz w:val="21"/>
                <w:szCs w:val="21"/>
              </w:rPr>
              <w:t>≥60</w:t>
            </w:r>
          </w:p>
        </w:tc>
        <w:tc>
          <w:tcPr>
            <w:tcW w:w="1469" w:type="dxa"/>
            <w:gridSpan w:val="2"/>
            <w:tcBorders>
              <w:tl2br w:val="nil"/>
              <w:tr2bl w:val="nil"/>
            </w:tcBorders>
            <w:vAlign w:val="center"/>
          </w:tcPr>
          <w:p w14:paraId="33C3CAEB">
            <w:pPr>
              <w:adjustRightInd w:val="0"/>
              <w:snapToGrid w:val="0"/>
              <w:spacing w:line="240" w:lineRule="auto"/>
              <w:jc w:val="center"/>
              <w:rPr>
                <w:sz w:val="21"/>
                <w:szCs w:val="21"/>
              </w:rPr>
            </w:pPr>
            <w:r>
              <w:rPr>
                <w:sz w:val="21"/>
                <w:szCs w:val="21"/>
              </w:rPr>
              <w:t>≥30</w:t>
            </w:r>
          </w:p>
        </w:tc>
        <w:tc>
          <w:tcPr>
            <w:tcW w:w="2357" w:type="dxa"/>
            <w:gridSpan w:val="2"/>
            <w:tcBorders>
              <w:tl2br w:val="nil"/>
              <w:tr2bl w:val="nil"/>
            </w:tcBorders>
            <w:vAlign w:val="center"/>
          </w:tcPr>
          <w:p w14:paraId="20ED925D">
            <w:pPr>
              <w:adjustRightInd w:val="0"/>
              <w:snapToGrid w:val="0"/>
              <w:spacing w:line="240" w:lineRule="auto"/>
              <w:jc w:val="center"/>
              <w:rPr>
                <w:sz w:val="21"/>
                <w:szCs w:val="21"/>
              </w:rPr>
            </w:pPr>
            <w:r>
              <w:rPr>
                <w:sz w:val="21"/>
                <w:szCs w:val="21"/>
              </w:rPr>
              <w:t>环保型覆膜胶占比</w:t>
            </w:r>
          </w:p>
          <w:p w14:paraId="383DDE2F">
            <w:pPr>
              <w:adjustRightInd w:val="0"/>
              <w:snapToGrid w:val="0"/>
              <w:spacing w:line="240" w:lineRule="auto"/>
              <w:jc w:val="center"/>
              <w:rPr>
                <w:sz w:val="21"/>
                <w:szCs w:val="21"/>
              </w:rPr>
            </w:pPr>
            <w:r>
              <w:rPr>
                <w:sz w:val="21"/>
                <w:szCs w:val="21"/>
              </w:rPr>
              <w:t>61.6%</w:t>
            </w:r>
          </w:p>
        </w:tc>
        <w:tc>
          <w:tcPr>
            <w:tcW w:w="767" w:type="dxa"/>
            <w:gridSpan w:val="2"/>
            <w:tcBorders>
              <w:tl2br w:val="nil"/>
              <w:tr2bl w:val="nil"/>
            </w:tcBorders>
            <w:vAlign w:val="center"/>
          </w:tcPr>
          <w:p w14:paraId="74868250">
            <w:pPr>
              <w:adjustRightInd w:val="0"/>
              <w:snapToGrid w:val="0"/>
              <w:spacing w:line="240" w:lineRule="auto"/>
              <w:jc w:val="center"/>
              <w:rPr>
                <w:sz w:val="21"/>
                <w:szCs w:val="21"/>
              </w:rPr>
            </w:pPr>
            <w:r>
              <w:rPr>
                <w:sz w:val="21"/>
                <w:szCs w:val="21"/>
              </w:rPr>
              <w:t>二级</w:t>
            </w:r>
          </w:p>
        </w:tc>
      </w:tr>
      <w:tr w14:paraId="503C264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1DB3AEA8">
            <w:pPr>
              <w:adjustRightInd w:val="0"/>
              <w:snapToGrid w:val="0"/>
              <w:spacing w:line="240" w:lineRule="auto"/>
              <w:jc w:val="center"/>
              <w:rPr>
                <w:sz w:val="21"/>
                <w:szCs w:val="21"/>
              </w:rPr>
            </w:pPr>
            <w:r>
              <w:rPr>
                <w:sz w:val="21"/>
                <w:szCs w:val="21"/>
              </w:rPr>
              <w:t>8</w:t>
            </w:r>
          </w:p>
        </w:tc>
        <w:tc>
          <w:tcPr>
            <w:tcW w:w="770" w:type="dxa"/>
            <w:vMerge w:val="restart"/>
            <w:tcBorders>
              <w:tl2br w:val="nil"/>
              <w:tr2bl w:val="nil"/>
            </w:tcBorders>
            <w:vAlign w:val="center"/>
          </w:tcPr>
          <w:p w14:paraId="5C7C3A47">
            <w:pPr>
              <w:adjustRightInd w:val="0"/>
              <w:snapToGrid w:val="0"/>
              <w:spacing w:line="240" w:lineRule="auto"/>
              <w:jc w:val="center"/>
              <w:rPr>
                <w:sz w:val="21"/>
                <w:szCs w:val="21"/>
              </w:rPr>
            </w:pPr>
            <w:r>
              <w:rPr>
                <w:sz w:val="21"/>
                <w:szCs w:val="21"/>
              </w:rPr>
              <w:t>资源与能源消耗指标</w:t>
            </w:r>
          </w:p>
        </w:tc>
        <w:tc>
          <w:tcPr>
            <w:tcW w:w="703" w:type="dxa"/>
            <w:vMerge w:val="restart"/>
            <w:tcBorders>
              <w:tl2br w:val="nil"/>
              <w:tr2bl w:val="nil"/>
            </w:tcBorders>
            <w:vAlign w:val="center"/>
          </w:tcPr>
          <w:p w14:paraId="5E50FF41">
            <w:pPr>
              <w:adjustRightInd w:val="0"/>
              <w:snapToGrid w:val="0"/>
              <w:spacing w:line="240" w:lineRule="auto"/>
              <w:jc w:val="center"/>
              <w:rPr>
                <w:sz w:val="21"/>
                <w:szCs w:val="21"/>
              </w:rPr>
            </w:pPr>
            <w:r>
              <w:rPr>
                <w:sz w:val="21"/>
                <w:szCs w:val="21"/>
              </w:rPr>
              <w:t>0.22</w:t>
            </w:r>
          </w:p>
        </w:tc>
        <w:tc>
          <w:tcPr>
            <w:tcW w:w="915" w:type="dxa"/>
            <w:gridSpan w:val="2"/>
            <w:vMerge w:val="restart"/>
            <w:tcBorders>
              <w:tl2br w:val="nil"/>
              <w:tr2bl w:val="nil"/>
            </w:tcBorders>
            <w:vAlign w:val="center"/>
          </w:tcPr>
          <w:p w14:paraId="5131FD13">
            <w:pPr>
              <w:adjustRightInd w:val="0"/>
              <w:snapToGrid w:val="0"/>
              <w:spacing w:line="240" w:lineRule="auto"/>
              <w:jc w:val="center"/>
              <w:rPr>
                <w:sz w:val="21"/>
                <w:szCs w:val="21"/>
              </w:rPr>
            </w:pPr>
            <w:r>
              <w:rPr>
                <w:sz w:val="21"/>
                <w:szCs w:val="21"/>
              </w:rPr>
              <w:t>*单位产品/产值综合</w:t>
            </w:r>
          </w:p>
          <w:p w14:paraId="1EE1F54C">
            <w:pPr>
              <w:adjustRightInd w:val="0"/>
              <w:snapToGrid w:val="0"/>
              <w:spacing w:line="240" w:lineRule="auto"/>
              <w:jc w:val="center"/>
              <w:rPr>
                <w:sz w:val="21"/>
                <w:szCs w:val="21"/>
              </w:rPr>
            </w:pPr>
            <w:r>
              <w:rPr>
                <w:sz w:val="21"/>
                <w:szCs w:val="21"/>
              </w:rPr>
              <w:t>能耗</w:t>
            </w:r>
          </w:p>
        </w:tc>
        <w:tc>
          <w:tcPr>
            <w:tcW w:w="903" w:type="dxa"/>
            <w:tcBorders>
              <w:tl2br w:val="nil"/>
              <w:tr2bl w:val="nil"/>
            </w:tcBorders>
            <w:vAlign w:val="center"/>
          </w:tcPr>
          <w:p w14:paraId="6FFADCBB">
            <w:pPr>
              <w:adjustRightInd w:val="0"/>
              <w:snapToGrid w:val="0"/>
              <w:spacing w:line="240" w:lineRule="auto"/>
              <w:jc w:val="center"/>
              <w:rPr>
                <w:sz w:val="21"/>
                <w:szCs w:val="21"/>
              </w:rPr>
            </w:pPr>
            <w:r>
              <w:rPr>
                <w:sz w:val="21"/>
                <w:szCs w:val="21"/>
              </w:rPr>
              <w:t>纸质包装</w:t>
            </w:r>
          </w:p>
        </w:tc>
        <w:tc>
          <w:tcPr>
            <w:tcW w:w="822" w:type="dxa"/>
            <w:tcBorders>
              <w:tl2br w:val="nil"/>
              <w:tr2bl w:val="nil"/>
            </w:tcBorders>
            <w:vAlign w:val="center"/>
          </w:tcPr>
          <w:p w14:paraId="47785B64">
            <w:pPr>
              <w:adjustRightInd w:val="0"/>
              <w:snapToGrid w:val="0"/>
              <w:spacing w:line="240" w:lineRule="auto"/>
              <w:jc w:val="center"/>
              <w:rPr>
                <w:sz w:val="21"/>
                <w:szCs w:val="21"/>
              </w:rPr>
            </w:pPr>
            <w:r>
              <w:rPr>
                <w:sz w:val="21"/>
                <w:szCs w:val="21"/>
              </w:rPr>
              <w:t>tce/千色令</w:t>
            </w:r>
          </w:p>
        </w:tc>
        <w:tc>
          <w:tcPr>
            <w:tcW w:w="708" w:type="dxa"/>
            <w:tcBorders>
              <w:tl2br w:val="nil"/>
              <w:tr2bl w:val="nil"/>
            </w:tcBorders>
            <w:vAlign w:val="center"/>
          </w:tcPr>
          <w:p w14:paraId="5A3E84D8">
            <w:pPr>
              <w:adjustRightInd w:val="0"/>
              <w:snapToGrid w:val="0"/>
              <w:spacing w:line="240" w:lineRule="auto"/>
              <w:jc w:val="center"/>
              <w:rPr>
                <w:sz w:val="21"/>
                <w:szCs w:val="21"/>
              </w:rPr>
            </w:pPr>
            <w:r>
              <w:rPr>
                <w:sz w:val="21"/>
                <w:szCs w:val="21"/>
              </w:rPr>
              <w:t>0.32/</w:t>
            </w:r>
          </w:p>
          <w:p w14:paraId="4D40D84D">
            <w:pPr>
              <w:adjustRightInd w:val="0"/>
              <w:snapToGrid w:val="0"/>
              <w:spacing w:line="240" w:lineRule="auto"/>
              <w:jc w:val="center"/>
              <w:rPr>
                <w:sz w:val="21"/>
                <w:szCs w:val="21"/>
              </w:rPr>
            </w:pPr>
            <w:r>
              <w:rPr>
                <w:sz w:val="21"/>
                <w:szCs w:val="21"/>
              </w:rPr>
              <w:t>n</w:t>
            </w:r>
          </w:p>
        </w:tc>
        <w:tc>
          <w:tcPr>
            <w:tcW w:w="2413" w:type="dxa"/>
            <w:tcBorders>
              <w:tl2br w:val="nil"/>
              <w:tr2bl w:val="nil"/>
            </w:tcBorders>
            <w:vAlign w:val="center"/>
          </w:tcPr>
          <w:p w14:paraId="6755E497">
            <w:pPr>
              <w:adjustRightInd w:val="0"/>
              <w:snapToGrid w:val="0"/>
              <w:spacing w:line="240" w:lineRule="auto"/>
              <w:jc w:val="center"/>
              <w:rPr>
                <w:sz w:val="21"/>
                <w:szCs w:val="21"/>
              </w:rPr>
            </w:pPr>
            <w:r>
              <w:rPr>
                <w:sz w:val="21"/>
                <w:szCs w:val="21"/>
              </w:rPr>
              <w:t>≤1.0</w:t>
            </w:r>
          </w:p>
        </w:tc>
        <w:tc>
          <w:tcPr>
            <w:tcW w:w="1564" w:type="dxa"/>
            <w:tcBorders>
              <w:tl2br w:val="nil"/>
              <w:tr2bl w:val="nil"/>
            </w:tcBorders>
            <w:vAlign w:val="center"/>
          </w:tcPr>
          <w:p w14:paraId="5F237E5E">
            <w:pPr>
              <w:adjustRightInd w:val="0"/>
              <w:snapToGrid w:val="0"/>
              <w:spacing w:line="240" w:lineRule="auto"/>
              <w:jc w:val="center"/>
              <w:rPr>
                <w:sz w:val="21"/>
                <w:szCs w:val="21"/>
              </w:rPr>
            </w:pPr>
            <w:r>
              <w:rPr>
                <w:sz w:val="21"/>
                <w:szCs w:val="21"/>
              </w:rPr>
              <w:t>≤1.8</w:t>
            </w:r>
          </w:p>
        </w:tc>
        <w:tc>
          <w:tcPr>
            <w:tcW w:w="1469" w:type="dxa"/>
            <w:gridSpan w:val="2"/>
            <w:tcBorders>
              <w:tl2br w:val="nil"/>
              <w:tr2bl w:val="nil"/>
            </w:tcBorders>
            <w:vAlign w:val="center"/>
          </w:tcPr>
          <w:p w14:paraId="64B325A3">
            <w:pPr>
              <w:adjustRightInd w:val="0"/>
              <w:snapToGrid w:val="0"/>
              <w:spacing w:line="240" w:lineRule="auto"/>
              <w:jc w:val="center"/>
              <w:rPr>
                <w:sz w:val="21"/>
                <w:szCs w:val="21"/>
              </w:rPr>
            </w:pPr>
            <w:r>
              <w:rPr>
                <w:sz w:val="21"/>
                <w:szCs w:val="21"/>
              </w:rPr>
              <w:t>≤3.0</w:t>
            </w:r>
          </w:p>
        </w:tc>
        <w:tc>
          <w:tcPr>
            <w:tcW w:w="2357" w:type="dxa"/>
            <w:gridSpan w:val="2"/>
            <w:tcBorders>
              <w:tl2br w:val="nil"/>
              <w:tr2bl w:val="nil"/>
            </w:tcBorders>
            <w:vAlign w:val="center"/>
          </w:tcPr>
          <w:p w14:paraId="3C8B738D">
            <w:pPr>
              <w:adjustRightInd w:val="0"/>
              <w:snapToGrid w:val="0"/>
              <w:spacing w:line="240" w:lineRule="auto"/>
              <w:jc w:val="center"/>
              <w:rPr>
                <w:sz w:val="21"/>
                <w:szCs w:val="21"/>
              </w:rPr>
            </w:pPr>
            <w:r>
              <w:rPr>
                <w:sz w:val="21"/>
                <w:szCs w:val="21"/>
              </w:rPr>
              <w:t>本项目无纸质包装</w:t>
            </w:r>
          </w:p>
        </w:tc>
        <w:tc>
          <w:tcPr>
            <w:tcW w:w="767" w:type="dxa"/>
            <w:gridSpan w:val="2"/>
            <w:tcBorders>
              <w:tl2br w:val="nil"/>
              <w:tr2bl w:val="nil"/>
            </w:tcBorders>
            <w:vAlign w:val="center"/>
          </w:tcPr>
          <w:p w14:paraId="4523D95B">
            <w:pPr>
              <w:adjustRightInd w:val="0"/>
              <w:snapToGrid w:val="0"/>
              <w:spacing w:line="240" w:lineRule="auto"/>
              <w:jc w:val="center"/>
              <w:rPr>
                <w:sz w:val="21"/>
                <w:szCs w:val="21"/>
              </w:rPr>
            </w:pPr>
            <w:r>
              <w:rPr>
                <w:sz w:val="21"/>
                <w:szCs w:val="21"/>
              </w:rPr>
              <w:t>/</w:t>
            </w:r>
          </w:p>
        </w:tc>
      </w:tr>
      <w:tr w14:paraId="5ED2E3AF">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2FE3DBC8">
            <w:pPr>
              <w:adjustRightInd w:val="0"/>
              <w:snapToGrid w:val="0"/>
              <w:spacing w:line="240" w:lineRule="auto"/>
              <w:jc w:val="center"/>
              <w:rPr>
                <w:sz w:val="21"/>
                <w:szCs w:val="21"/>
              </w:rPr>
            </w:pPr>
            <w:r>
              <w:rPr>
                <w:sz w:val="21"/>
                <w:szCs w:val="21"/>
              </w:rPr>
              <w:t>9</w:t>
            </w:r>
          </w:p>
        </w:tc>
        <w:tc>
          <w:tcPr>
            <w:tcW w:w="770" w:type="dxa"/>
            <w:vMerge w:val="continue"/>
            <w:tcBorders>
              <w:tl2br w:val="nil"/>
              <w:tr2bl w:val="nil"/>
            </w:tcBorders>
            <w:vAlign w:val="center"/>
          </w:tcPr>
          <w:p w14:paraId="72AEA745">
            <w:pPr>
              <w:adjustRightInd w:val="0"/>
              <w:snapToGrid w:val="0"/>
              <w:spacing w:line="240" w:lineRule="auto"/>
              <w:jc w:val="center"/>
              <w:rPr>
                <w:sz w:val="21"/>
                <w:szCs w:val="21"/>
              </w:rPr>
            </w:pPr>
          </w:p>
        </w:tc>
        <w:tc>
          <w:tcPr>
            <w:tcW w:w="703" w:type="dxa"/>
            <w:vMerge w:val="continue"/>
            <w:tcBorders>
              <w:tl2br w:val="nil"/>
              <w:tr2bl w:val="nil"/>
            </w:tcBorders>
            <w:vAlign w:val="center"/>
          </w:tcPr>
          <w:p w14:paraId="0F6ECD84">
            <w:pPr>
              <w:adjustRightInd w:val="0"/>
              <w:snapToGrid w:val="0"/>
              <w:spacing w:line="240" w:lineRule="auto"/>
              <w:jc w:val="center"/>
              <w:rPr>
                <w:sz w:val="21"/>
                <w:szCs w:val="21"/>
              </w:rPr>
            </w:pPr>
          </w:p>
        </w:tc>
        <w:tc>
          <w:tcPr>
            <w:tcW w:w="915" w:type="dxa"/>
            <w:gridSpan w:val="2"/>
            <w:vMerge w:val="continue"/>
            <w:tcBorders>
              <w:tl2br w:val="nil"/>
              <w:tr2bl w:val="nil"/>
            </w:tcBorders>
            <w:vAlign w:val="center"/>
          </w:tcPr>
          <w:p w14:paraId="4599A6C6">
            <w:pPr>
              <w:adjustRightInd w:val="0"/>
              <w:snapToGrid w:val="0"/>
              <w:spacing w:line="240" w:lineRule="auto"/>
              <w:jc w:val="center"/>
              <w:rPr>
                <w:sz w:val="21"/>
                <w:szCs w:val="21"/>
              </w:rPr>
            </w:pPr>
          </w:p>
        </w:tc>
        <w:tc>
          <w:tcPr>
            <w:tcW w:w="903" w:type="dxa"/>
            <w:tcBorders>
              <w:tl2br w:val="nil"/>
              <w:tr2bl w:val="nil"/>
            </w:tcBorders>
            <w:vAlign w:val="center"/>
          </w:tcPr>
          <w:p w14:paraId="708F3DCD">
            <w:pPr>
              <w:adjustRightInd w:val="0"/>
              <w:snapToGrid w:val="0"/>
              <w:spacing w:line="240" w:lineRule="auto"/>
              <w:jc w:val="center"/>
              <w:rPr>
                <w:sz w:val="21"/>
                <w:szCs w:val="21"/>
              </w:rPr>
            </w:pPr>
            <w:r>
              <w:rPr>
                <w:sz w:val="21"/>
                <w:szCs w:val="21"/>
              </w:rPr>
              <w:t>塑料包</w:t>
            </w:r>
          </w:p>
          <w:p w14:paraId="2D67A721">
            <w:pPr>
              <w:adjustRightInd w:val="0"/>
              <w:snapToGrid w:val="0"/>
              <w:spacing w:line="240" w:lineRule="auto"/>
              <w:jc w:val="center"/>
              <w:rPr>
                <w:sz w:val="21"/>
                <w:szCs w:val="21"/>
              </w:rPr>
            </w:pPr>
            <w:r>
              <w:rPr>
                <w:sz w:val="21"/>
                <w:szCs w:val="21"/>
              </w:rPr>
              <w:t>装</w:t>
            </w:r>
          </w:p>
        </w:tc>
        <w:tc>
          <w:tcPr>
            <w:tcW w:w="822" w:type="dxa"/>
            <w:tcBorders>
              <w:tl2br w:val="nil"/>
              <w:tr2bl w:val="nil"/>
            </w:tcBorders>
            <w:vAlign w:val="center"/>
          </w:tcPr>
          <w:p w14:paraId="7CA7DCB8">
            <w:pPr>
              <w:adjustRightInd w:val="0"/>
              <w:snapToGrid w:val="0"/>
              <w:spacing w:line="240" w:lineRule="auto"/>
              <w:jc w:val="center"/>
              <w:rPr>
                <w:sz w:val="21"/>
                <w:szCs w:val="21"/>
              </w:rPr>
            </w:pPr>
            <w:r>
              <w:rPr>
                <w:sz w:val="21"/>
                <w:szCs w:val="21"/>
              </w:rPr>
              <w:t>tce/万</w:t>
            </w:r>
          </w:p>
          <w:p w14:paraId="45C17D84">
            <w:pPr>
              <w:adjustRightInd w:val="0"/>
              <w:snapToGrid w:val="0"/>
              <w:spacing w:line="240" w:lineRule="auto"/>
              <w:jc w:val="center"/>
              <w:rPr>
                <w:sz w:val="21"/>
                <w:szCs w:val="21"/>
              </w:rPr>
            </w:pPr>
            <w:r>
              <w:rPr>
                <w:sz w:val="21"/>
                <w:szCs w:val="21"/>
              </w:rPr>
              <w:t>元</w:t>
            </w:r>
          </w:p>
        </w:tc>
        <w:tc>
          <w:tcPr>
            <w:tcW w:w="708" w:type="dxa"/>
            <w:tcBorders>
              <w:tl2br w:val="nil"/>
              <w:tr2bl w:val="nil"/>
            </w:tcBorders>
            <w:vAlign w:val="center"/>
          </w:tcPr>
          <w:p w14:paraId="0396B68C">
            <w:pPr>
              <w:adjustRightInd w:val="0"/>
              <w:snapToGrid w:val="0"/>
              <w:spacing w:line="240" w:lineRule="auto"/>
              <w:jc w:val="center"/>
              <w:rPr>
                <w:sz w:val="21"/>
                <w:szCs w:val="21"/>
              </w:rPr>
            </w:pPr>
            <w:r>
              <w:rPr>
                <w:sz w:val="21"/>
                <w:szCs w:val="21"/>
              </w:rPr>
              <w:t>0.32/</w:t>
            </w:r>
          </w:p>
          <w:p w14:paraId="0AD06E22">
            <w:pPr>
              <w:adjustRightInd w:val="0"/>
              <w:snapToGrid w:val="0"/>
              <w:spacing w:line="240" w:lineRule="auto"/>
              <w:jc w:val="center"/>
              <w:rPr>
                <w:sz w:val="21"/>
                <w:szCs w:val="21"/>
              </w:rPr>
            </w:pPr>
            <w:r>
              <w:rPr>
                <w:sz w:val="21"/>
                <w:szCs w:val="21"/>
              </w:rPr>
              <w:t>n</w:t>
            </w:r>
          </w:p>
        </w:tc>
        <w:tc>
          <w:tcPr>
            <w:tcW w:w="2413" w:type="dxa"/>
            <w:tcBorders>
              <w:tl2br w:val="nil"/>
              <w:tr2bl w:val="nil"/>
            </w:tcBorders>
            <w:vAlign w:val="center"/>
          </w:tcPr>
          <w:p w14:paraId="40060595">
            <w:pPr>
              <w:adjustRightInd w:val="0"/>
              <w:snapToGrid w:val="0"/>
              <w:spacing w:line="240" w:lineRule="auto"/>
              <w:jc w:val="center"/>
              <w:rPr>
                <w:sz w:val="21"/>
                <w:szCs w:val="21"/>
              </w:rPr>
            </w:pPr>
            <w:r>
              <w:rPr>
                <w:sz w:val="21"/>
                <w:szCs w:val="21"/>
              </w:rPr>
              <w:t>≤0.09</w:t>
            </w:r>
          </w:p>
        </w:tc>
        <w:tc>
          <w:tcPr>
            <w:tcW w:w="1564" w:type="dxa"/>
            <w:tcBorders>
              <w:tl2br w:val="nil"/>
              <w:tr2bl w:val="nil"/>
            </w:tcBorders>
            <w:vAlign w:val="center"/>
          </w:tcPr>
          <w:p w14:paraId="4AA8427E">
            <w:pPr>
              <w:adjustRightInd w:val="0"/>
              <w:snapToGrid w:val="0"/>
              <w:spacing w:line="240" w:lineRule="auto"/>
              <w:jc w:val="center"/>
              <w:rPr>
                <w:sz w:val="21"/>
                <w:szCs w:val="21"/>
              </w:rPr>
            </w:pPr>
            <w:r>
              <w:rPr>
                <w:sz w:val="21"/>
                <w:szCs w:val="21"/>
              </w:rPr>
              <w:t>≤0.105</w:t>
            </w:r>
          </w:p>
        </w:tc>
        <w:tc>
          <w:tcPr>
            <w:tcW w:w="1469" w:type="dxa"/>
            <w:gridSpan w:val="2"/>
            <w:tcBorders>
              <w:tl2br w:val="nil"/>
              <w:tr2bl w:val="nil"/>
            </w:tcBorders>
            <w:vAlign w:val="center"/>
          </w:tcPr>
          <w:p w14:paraId="52199B1C">
            <w:pPr>
              <w:adjustRightInd w:val="0"/>
              <w:snapToGrid w:val="0"/>
              <w:spacing w:line="240" w:lineRule="auto"/>
              <w:jc w:val="center"/>
              <w:rPr>
                <w:sz w:val="21"/>
                <w:szCs w:val="21"/>
              </w:rPr>
            </w:pPr>
            <w:r>
              <w:rPr>
                <w:sz w:val="21"/>
                <w:szCs w:val="21"/>
              </w:rPr>
              <w:t>≤0.150</w:t>
            </w:r>
          </w:p>
        </w:tc>
        <w:tc>
          <w:tcPr>
            <w:tcW w:w="2357" w:type="dxa"/>
            <w:gridSpan w:val="2"/>
            <w:tcBorders>
              <w:tl2br w:val="nil"/>
              <w:tr2bl w:val="nil"/>
            </w:tcBorders>
            <w:vAlign w:val="center"/>
          </w:tcPr>
          <w:p w14:paraId="5155D1AE">
            <w:pPr>
              <w:adjustRightInd w:val="0"/>
              <w:snapToGrid w:val="0"/>
              <w:spacing w:line="240" w:lineRule="auto"/>
              <w:jc w:val="center"/>
              <w:rPr>
                <w:sz w:val="21"/>
                <w:szCs w:val="21"/>
              </w:rPr>
            </w:pPr>
            <w:r>
              <w:rPr>
                <w:sz w:val="21"/>
                <w:szCs w:val="21"/>
              </w:rPr>
              <w:t>本项目单位产值能耗≤</w:t>
            </w:r>
          </w:p>
          <w:p w14:paraId="5A5739B2">
            <w:pPr>
              <w:adjustRightInd w:val="0"/>
              <w:snapToGrid w:val="0"/>
              <w:spacing w:line="240" w:lineRule="auto"/>
              <w:jc w:val="center"/>
              <w:rPr>
                <w:sz w:val="21"/>
                <w:szCs w:val="21"/>
              </w:rPr>
            </w:pPr>
            <w:r>
              <w:rPr>
                <w:rFonts w:hint="eastAsia"/>
                <w:sz w:val="21"/>
                <w:szCs w:val="21"/>
              </w:rPr>
              <w:t>0.14</w:t>
            </w:r>
          </w:p>
        </w:tc>
        <w:tc>
          <w:tcPr>
            <w:tcW w:w="767" w:type="dxa"/>
            <w:gridSpan w:val="2"/>
            <w:tcBorders>
              <w:tl2br w:val="nil"/>
              <w:tr2bl w:val="nil"/>
            </w:tcBorders>
            <w:vAlign w:val="center"/>
          </w:tcPr>
          <w:p w14:paraId="71C92E6C">
            <w:pPr>
              <w:adjustRightInd w:val="0"/>
              <w:snapToGrid w:val="0"/>
              <w:spacing w:line="240" w:lineRule="auto"/>
              <w:jc w:val="center"/>
              <w:rPr>
                <w:sz w:val="21"/>
                <w:szCs w:val="21"/>
              </w:rPr>
            </w:pPr>
            <w:r>
              <w:rPr>
                <w:rFonts w:hint="eastAsia"/>
                <w:sz w:val="21"/>
                <w:szCs w:val="21"/>
              </w:rPr>
              <w:t>三</w:t>
            </w:r>
            <w:r>
              <w:rPr>
                <w:sz w:val="21"/>
                <w:szCs w:val="21"/>
              </w:rPr>
              <w:t>级</w:t>
            </w:r>
          </w:p>
        </w:tc>
      </w:tr>
      <w:tr w14:paraId="10ADAC7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33" w:type="dxa"/>
            <w:tcBorders>
              <w:tl2br w:val="nil"/>
              <w:tr2bl w:val="nil"/>
            </w:tcBorders>
            <w:vAlign w:val="center"/>
          </w:tcPr>
          <w:p w14:paraId="7394EED5">
            <w:pPr>
              <w:adjustRightInd w:val="0"/>
              <w:snapToGrid w:val="0"/>
              <w:spacing w:line="240" w:lineRule="auto"/>
              <w:jc w:val="center"/>
              <w:rPr>
                <w:sz w:val="21"/>
                <w:szCs w:val="21"/>
              </w:rPr>
            </w:pPr>
            <w:r>
              <w:rPr>
                <w:sz w:val="21"/>
                <w:szCs w:val="21"/>
              </w:rPr>
              <w:t>10</w:t>
            </w:r>
          </w:p>
        </w:tc>
        <w:tc>
          <w:tcPr>
            <w:tcW w:w="770" w:type="dxa"/>
            <w:vMerge w:val="continue"/>
            <w:tcBorders>
              <w:tl2br w:val="nil"/>
              <w:tr2bl w:val="nil"/>
            </w:tcBorders>
            <w:vAlign w:val="center"/>
          </w:tcPr>
          <w:p w14:paraId="14471359">
            <w:pPr>
              <w:adjustRightInd w:val="0"/>
              <w:snapToGrid w:val="0"/>
              <w:spacing w:line="240" w:lineRule="auto"/>
              <w:jc w:val="center"/>
              <w:rPr>
                <w:sz w:val="21"/>
                <w:szCs w:val="21"/>
              </w:rPr>
            </w:pPr>
          </w:p>
        </w:tc>
        <w:tc>
          <w:tcPr>
            <w:tcW w:w="703" w:type="dxa"/>
            <w:vMerge w:val="continue"/>
            <w:tcBorders>
              <w:tl2br w:val="nil"/>
              <w:tr2bl w:val="nil"/>
            </w:tcBorders>
            <w:vAlign w:val="center"/>
          </w:tcPr>
          <w:p w14:paraId="50E7B5E1">
            <w:pPr>
              <w:adjustRightInd w:val="0"/>
              <w:snapToGrid w:val="0"/>
              <w:spacing w:line="240" w:lineRule="auto"/>
              <w:jc w:val="center"/>
              <w:rPr>
                <w:sz w:val="21"/>
                <w:szCs w:val="21"/>
              </w:rPr>
            </w:pPr>
          </w:p>
        </w:tc>
        <w:tc>
          <w:tcPr>
            <w:tcW w:w="915" w:type="dxa"/>
            <w:gridSpan w:val="2"/>
            <w:tcBorders>
              <w:tl2br w:val="nil"/>
              <w:tr2bl w:val="nil"/>
            </w:tcBorders>
            <w:vAlign w:val="center"/>
          </w:tcPr>
          <w:p w14:paraId="59AAB1EF">
            <w:pPr>
              <w:adjustRightInd w:val="0"/>
              <w:snapToGrid w:val="0"/>
              <w:spacing w:line="240" w:lineRule="auto"/>
              <w:jc w:val="center"/>
              <w:rPr>
                <w:sz w:val="21"/>
                <w:szCs w:val="21"/>
              </w:rPr>
            </w:pPr>
            <w:r>
              <w:rPr>
                <w:sz w:val="21"/>
                <w:szCs w:val="21"/>
              </w:rPr>
              <w:t>单位产</w:t>
            </w:r>
          </w:p>
          <w:p w14:paraId="716A35D3">
            <w:pPr>
              <w:adjustRightInd w:val="0"/>
              <w:snapToGrid w:val="0"/>
              <w:spacing w:line="240" w:lineRule="auto"/>
              <w:jc w:val="center"/>
              <w:rPr>
                <w:sz w:val="21"/>
                <w:szCs w:val="21"/>
              </w:rPr>
            </w:pPr>
            <w:r>
              <w:rPr>
                <w:sz w:val="21"/>
                <w:szCs w:val="21"/>
              </w:rPr>
              <w:t>品/产值</w:t>
            </w:r>
          </w:p>
        </w:tc>
        <w:tc>
          <w:tcPr>
            <w:tcW w:w="903" w:type="dxa"/>
            <w:tcBorders>
              <w:tl2br w:val="nil"/>
              <w:tr2bl w:val="nil"/>
            </w:tcBorders>
            <w:vAlign w:val="center"/>
          </w:tcPr>
          <w:p w14:paraId="12FE0C6B">
            <w:pPr>
              <w:adjustRightInd w:val="0"/>
              <w:snapToGrid w:val="0"/>
              <w:spacing w:line="240" w:lineRule="auto"/>
              <w:jc w:val="center"/>
              <w:rPr>
                <w:sz w:val="21"/>
                <w:szCs w:val="21"/>
              </w:rPr>
            </w:pPr>
            <w:r>
              <w:rPr>
                <w:sz w:val="21"/>
                <w:szCs w:val="21"/>
              </w:rPr>
              <w:t>纸质包</w:t>
            </w:r>
          </w:p>
          <w:p w14:paraId="18649F2B">
            <w:pPr>
              <w:adjustRightInd w:val="0"/>
              <w:snapToGrid w:val="0"/>
              <w:spacing w:line="240" w:lineRule="auto"/>
              <w:jc w:val="center"/>
              <w:rPr>
                <w:sz w:val="21"/>
                <w:szCs w:val="21"/>
              </w:rPr>
            </w:pPr>
            <w:r>
              <w:rPr>
                <w:sz w:val="21"/>
                <w:szCs w:val="21"/>
              </w:rPr>
              <w:t>装</w:t>
            </w:r>
          </w:p>
        </w:tc>
        <w:tc>
          <w:tcPr>
            <w:tcW w:w="822" w:type="dxa"/>
            <w:tcBorders>
              <w:tl2br w:val="nil"/>
              <w:tr2bl w:val="nil"/>
            </w:tcBorders>
            <w:vAlign w:val="center"/>
          </w:tcPr>
          <w:p w14:paraId="466EB492">
            <w:pPr>
              <w:adjustRightInd w:val="0"/>
              <w:snapToGrid w:val="0"/>
              <w:spacing w:line="240" w:lineRule="auto"/>
              <w:jc w:val="center"/>
              <w:rPr>
                <w:sz w:val="21"/>
                <w:szCs w:val="21"/>
              </w:rPr>
            </w:pPr>
            <w:r>
              <w:rPr>
                <w:sz w:val="21"/>
                <w:szCs w:val="21"/>
              </w:rPr>
              <w:t>m3/千</w:t>
            </w:r>
          </w:p>
          <w:p w14:paraId="09C70DD0">
            <w:pPr>
              <w:adjustRightInd w:val="0"/>
              <w:snapToGrid w:val="0"/>
              <w:spacing w:line="240" w:lineRule="auto"/>
              <w:jc w:val="center"/>
              <w:rPr>
                <w:sz w:val="21"/>
                <w:szCs w:val="21"/>
              </w:rPr>
            </w:pPr>
            <w:r>
              <w:rPr>
                <w:sz w:val="21"/>
                <w:szCs w:val="21"/>
              </w:rPr>
              <w:t>色令</w:t>
            </w:r>
          </w:p>
        </w:tc>
        <w:tc>
          <w:tcPr>
            <w:tcW w:w="708" w:type="dxa"/>
            <w:tcBorders>
              <w:tl2br w:val="nil"/>
              <w:tr2bl w:val="nil"/>
            </w:tcBorders>
            <w:vAlign w:val="center"/>
          </w:tcPr>
          <w:p w14:paraId="3227FD5C">
            <w:pPr>
              <w:adjustRightInd w:val="0"/>
              <w:snapToGrid w:val="0"/>
              <w:spacing w:line="240" w:lineRule="auto"/>
              <w:jc w:val="center"/>
              <w:rPr>
                <w:sz w:val="21"/>
                <w:szCs w:val="21"/>
              </w:rPr>
            </w:pPr>
            <w:r>
              <w:rPr>
                <w:sz w:val="21"/>
                <w:szCs w:val="21"/>
              </w:rPr>
              <w:t>0.26/</w:t>
            </w:r>
          </w:p>
          <w:p w14:paraId="2A07F585">
            <w:pPr>
              <w:adjustRightInd w:val="0"/>
              <w:snapToGrid w:val="0"/>
              <w:spacing w:line="240" w:lineRule="auto"/>
              <w:jc w:val="center"/>
              <w:rPr>
                <w:sz w:val="21"/>
                <w:szCs w:val="21"/>
              </w:rPr>
            </w:pPr>
            <w:r>
              <w:rPr>
                <w:sz w:val="21"/>
                <w:szCs w:val="21"/>
              </w:rPr>
              <w:t>n</w:t>
            </w:r>
          </w:p>
        </w:tc>
        <w:tc>
          <w:tcPr>
            <w:tcW w:w="2413" w:type="dxa"/>
            <w:tcBorders>
              <w:tl2br w:val="nil"/>
              <w:tr2bl w:val="nil"/>
            </w:tcBorders>
            <w:vAlign w:val="center"/>
          </w:tcPr>
          <w:p w14:paraId="4A0119F4">
            <w:pPr>
              <w:adjustRightInd w:val="0"/>
              <w:snapToGrid w:val="0"/>
              <w:spacing w:line="240" w:lineRule="auto"/>
              <w:jc w:val="center"/>
              <w:rPr>
                <w:sz w:val="21"/>
                <w:szCs w:val="21"/>
              </w:rPr>
            </w:pPr>
            <w:r>
              <w:rPr>
                <w:sz w:val="21"/>
                <w:szCs w:val="21"/>
              </w:rPr>
              <w:t>≤1.0</w:t>
            </w:r>
          </w:p>
        </w:tc>
        <w:tc>
          <w:tcPr>
            <w:tcW w:w="1564" w:type="dxa"/>
            <w:tcBorders>
              <w:tl2br w:val="nil"/>
              <w:tr2bl w:val="nil"/>
            </w:tcBorders>
            <w:vAlign w:val="center"/>
          </w:tcPr>
          <w:p w14:paraId="1ADBFA80">
            <w:pPr>
              <w:adjustRightInd w:val="0"/>
              <w:snapToGrid w:val="0"/>
              <w:spacing w:line="240" w:lineRule="auto"/>
              <w:jc w:val="center"/>
              <w:rPr>
                <w:sz w:val="21"/>
                <w:szCs w:val="21"/>
              </w:rPr>
            </w:pPr>
            <w:r>
              <w:rPr>
                <w:sz w:val="21"/>
                <w:szCs w:val="21"/>
              </w:rPr>
              <w:t>≤1.8</w:t>
            </w:r>
          </w:p>
        </w:tc>
        <w:tc>
          <w:tcPr>
            <w:tcW w:w="1469" w:type="dxa"/>
            <w:gridSpan w:val="2"/>
            <w:tcBorders>
              <w:tl2br w:val="nil"/>
              <w:tr2bl w:val="nil"/>
            </w:tcBorders>
            <w:vAlign w:val="center"/>
          </w:tcPr>
          <w:p w14:paraId="565C7E11">
            <w:pPr>
              <w:adjustRightInd w:val="0"/>
              <w:snapToGrid w:val="0"/>
              <w:spacing w:line="240" w:lineRule="auto"/>
              <w:jc w:val="center"/>
              <w:rPr>
                <w:sz w:val="21"/>
                <w:szCs w:val="21"/>
              </w:rPr>
            </w:pPr>
            <w:r>
              <w:rPr>
                <w:sz w:val="21"/>
                <w:szCs w:val="21"/>
              </w:rPr>
              <w:t>≤3.0</w:t>
            </w:r>
          </w:p>
        </w:tc>
        <w:tc>
          <w:tcPr>
            <w:tcW w:w="2357" w:type="dxa"/>
            <w:gridSpan w:val="2"/>
            <w:tcBorders>
              <w:tl2br w:val="nil"/>
              <w:tr2bl w:val="nil"/>
            </w:tcBorders>
            <w:vAlign w:val="center"/>
          </w:tcPr>
          <w:p w14:paraId="71273B2A">
            <w:pPr>
              <w:adjustRightInd w:val="0"/>
              <w:snapToGrid w:val="0"/>
              <w:spacing w:line="240" w:lineRule="auto"/>
              <w:jc w:val="center"/>
              <w:rPr>
                <w:sz w:val="21"/>
                <w:szCs w:val="21"/>
              </w:rPr>
            </w:pPr>
            <w:r>
              <w:rPr>
                <w:sz w:val="21"/>
                <w:szCs w:val="21"/>
              </w:rPr>
              <w:t>本项目无纸质包装</w:t>
            </w:r>
          </w:p>
        </w:tc>
        <w:tc>
          <w:tcPr>
            <w:tcW w:w="767" w:type="dxa"/>
            <w:gridSpan w:val="2"/>
            <w:tcBorders>
              <w:tl2br w:val="nil"/>
              <w:tr2bl w:val="nil"/>
            </w:tcBorders>
            <w:vAlign w:val="center"/>
          </w:tcPr>
          <w:p w14:paraId="2DF0A9C3">
            <w:pPr>
              <w:adjustRightInd w:val="0"/>
              <w:snapToGrid w:val="0"/>
              <w:spacing w:line="240" w:lineRule="auto"/>
              <w:jc w:val="center"/>
              <w:rPr>
                <w:sz w:val="21"/>
                <w:szCs w:val="21"/>
              </w:rPr>
            </w:pPr>
            <w:r>
              <w:rPr>
                <w:sz w:val="21"/>
                <w:szCs w:val="21"/>
              </w:rPr>
              <w:t>/</w:t>
            </w:r>
          </w:p>
        </w:tc>
      </w:tr>
      <w:tr w14:paraId="63142D3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5CC24346">
            <w:pPr>
              <w:adjustRightInd w:val="0"/>
              <w:snapToGrid w:val="0"/>
              <w:spacing w:line="240" w:lineRule="auto"/>
              <w:jc w:val="center"/>
              <w:rPr>
                <w:sz w:val="21"/>
                <w:szCs w:val="21"/>
              </w:rPr>
            </w:pPr>
            <w:r>
              <w:rPr>
                <w:sz w:val="21"/>
                <w:szCs w:val="21"/>
              </w:rPr>
              <w:t>11</w:t>
            </w:r>
          </w:p>
        </w:tc>
        <w:tc>
          <w:tcPr>
            <w:tcW w:w="770" w:type="dxa"/>
            <w:vMerge w:val="continue"/>
            <w:tcBorders>
              <w:tl2br w:val="nil"/>
              <w:tr2bl w:val="nil"/>
            </w:tcBorders>
            <w:vAlign w:val="center"/>
          </w:tcPr>
          <w:p w14:paraId="308845F9">
            <w:pPr>
              <w:adjustRightInd w:val="0"/>
              <w:snapToGrid w:val="0"/>
              <w:spacing w:line="240" w:lineRule="auto"/>
              <w:jc w:val="center"/>
              <w:rPr>
                <w:sz w:val="21"/>
                <w:szCs w:val="21"/>
              </w:rPr>
            </w:pPr>
          </w:p>
        </w:tc>
        <w:tc>
          <w:tcPr>
            <w:tcW w:w="703" w:type="dxa"/>
            <w:vMerge w:val="continue"/>
            <w:tcBorders>
              <w:tl2br w:val="nil"/>
              <w:tr2bl w:val="nil"/>
            </w:tcBorders>
            <w:vAlign w:val="center"/>
          </w:tcPr>
          <w:p w14:paraId="2AF34161">
            <w:pPr>
              <w:adjustRightInd w:val="0"/>
              <w:snapToGrid w:val="0"/>
              <w:spacing w:line="240" w:lineRule="auto"/>
              <w:jc w:val="center"/>
              <w:rPr>
                <w:sz w:val="21"/>
                <w:szCs w:val="21"/>
              </w:rPr>
            </w:pPr>
          </w:p>
        </w:tc>
        <w:tc>
          <w:tcPr>
            <w:tcW w:w="914" w:type="dxa"/>
            <w:gridSpan w:val="2"/>
            <w:tcBorders>
              <w:tl2br w:val="nil"/>
              <w:tr2bl w:val="nil"/>
            </w:tcBorders>
            <w:vAlign w:val="center"/>
          </w:tcPr>
          <w:p w14:paraId="4C55B9CB">
            <w:pPr>
              <w:adjustRightInd w:val="0"/>
              <w:snapToGrid w:val="0"/>
              <w:spacing w:line="240" w:lineRule="auto"/>
              <w:jc w:val="center"/>
              <w:rPr>
                <w:sz w:val="21"/>
                <w:szCs w:val="21"/>
              </w:rPr>
            </w:pPr>
            <w:r>
              <w:rPr>
                <w:sz w:val="21"/>
                <w:szCs w:val="21"/>
              </w:rPr>
              <w:t>新鲜水消耗</w:t>
            </w:r>
          </w:p>
        </w:tc>
        <w:tc>
          <w:tcPr>
            <w:tcW w:w="902" w:type="dxa"/>
            <w:tcBorders>
              <w:tl2br w:val="nil"/>
              <w:tr2bl w:val="nil"/>
            </w:tcBorders>
            <w:vAlign w:val="center"/>
          </w:tcPr>
          <w:p w14:paraId="70BA08A9">
            <w:pPr>
              <w:adjustRightInd w:val="0"/>
              <w:snapToGrid w:val="0"/>
              <w:spacing w:line="240" w:lineRule="auto"/>
              <w:jc w:val="center"/>
              <w:rPr>
                <w:sz w:val="21"/>
                <w:szCs w:val="21"/>
              </w:rPr>
            </w:pPr>
            <w:r>
              <w:rPr>
                <w:sz w:val="21"/>
                <w:szCs w:val="21"/>
              </w:rPr>
              <w:t>塑料包装</w:t>
            </w:r>
          </w:p>
        </w:tc>
        <w:tc>
          <w:tcPr>
            <w:tcW w:w="821" w:type="dxa"/>
            <w:tcBorders>
              <w:tl2br w:val="nil"/>
              <w:tr2bl w:val="nil"/>
            </w:tcBorders>
            <w:vAlign w:val="center"/>
          </w:tcPr>
          <w:p w14:paraId="38DD2F04">
            <w:pPr>
              <w:adjustRightInd w:val="0"/>
              <w:snapToGrid w:val="0"/>
              <w:spacing w:line="240" w:lineRule="auto"/>
              <w:jc w:val="center"/>
              <w:rPr>
                <w:sz w:val="21"/>
                <w:szCs w:val="21"/>
              </w:rPr>
            </w:pPr>
            <w:r>
              <w:rPr>
                <w:sz w:val="21"/>
                <w:szCs w:val="21"/>
              </w:rPr>
              <w:t>m3/万元</w:t>
            </w:r>
          </w:p>
        </w:tc>
        <w:tc>
          <w:tcPr>
            <w:tcW w:w="708" w:type="dxa"/>
            <w:tcBorders>
              <w:tl2br w:val="nil"/>
              <w:tr2bl w:val="nil"/>
            </w:tcBorders>
            <w:vAlign w:val="center"/>
          </w:tcPr>
          <w:p w14:paraId="68F340D5">
            <w:pPr>
              <w:adjustRightInd w:val="0"/>
              <w:snapToGrid w:val="0"/>
              <w:spacing w:line="240" w:lineRule="auto"/>
              <w:jc w:val="center"/>
              <w:rPr>
                <w:sz w:val="21"/>
                <w:szCs w:val="21"/>
              </w:rPr>
            </w:pPr>
            <w:r>
              <w:rPr>
                <w:sz w:val="21"/>
                <w:szCs w:val="21"/>
              </w:rPr>
              <w:t>0.26/</w:t>
            </w:r>
          </w:p>
          <w:p w14:paraId="30FAB3A8">
            <w:pPr>
              <w:adjustRightInd w:val="0"/>
              <w:snapToGrid w:val="0"/>
              <w:spacing w:line="240" w:lineRule="auto"/>
              <w:jc w:val="center"/>
              <w:rPr>
                <w:sz w:val="21"/>
                <w:szCs w:val="21"/>
              </w:rPr>
            </w:pPr>
            <w:r>
              <w:rPr>
                <w:sz w:val="21"/>
                <w:szCs w:val="21"/>
              </w:rPr>
              <w:t>n</w:t>
            </w:r>
          </w:p>
        </w:tc>
        <w:tc>
          <w:tcPr>
            <w:tcW w:w="2412" w:type="dxa"/>
            <w:tcBorders>
              <w:tl2br w:val="nil"/>
              <w:tr2bl w:val="nil"/>
            </w:tcBorders>
            <w:vAlign w:val="center"/>
          </w:tcPr>
          <w:p w14:paraId="1EA40900">
            <w:pPr>
              <w:adjustRightInd w:val="0"/>
              <w:snapToGrid w:val="0"/>
              <w:spacing w:line="240" w:lineRule="auto"/>
              <w:jc w:val="center"/>
              <w:rPr>
                <w:sz w:val="21"/>
                <w:szCs w:val="21"/>
              </w:rPr>
            </w:pPr>
            <w:r>
              <w:rPr>
                <w:sz w:val="21"/>
                <w:szCs w:val="21"/>
              </w:rPr>
              <w:t>≤1.1</w:t>
            </w:r>
          </w:p>
        </w:tc>
        <w:tc>
          <w:tcPr>
            <w:tcW w:w="1568" w:type="dxa"/>
            <w:tcBorders>
              <w:tl2br w:val="nil"/>
              <w:tr2bl w:val="nil"/>
            </w:tcBorders>
            <w:vAlign w:val="center"/>
          </w:tcPr>
          <w:p w14:paraId="7B823102">
            <w:pPr>
              <w:adjustRightInd w:val="0"/>
              <w:snapToGrid w:val="0"/>
              <w:spacing w:line="240" w:lineRule="auto"/>
              <w:jc w:val="center"/>
              <w:rPr>
                <w:sz w:val="21"/>
                <w:szCs w:val="21"/>
              </w:rPr>
            </w:pPr>
            <w:r>
              <w:rPr>
                <w:sz w:val="21"/>
                <w:szCs w:val="21"/>
              </w:rPr>
              <w:t>≤2.5</w:t>
            </w:r>
          </w:p>
        </w:tc>
        <w:tc>
          <w:tcPr>
            <w:tcW w:w="1462" w:type="dxa"/>
            <w:gridSpan w:val="2"/>
            <w:tcBorders>
              <w:tl2br w:val="nil"/>
              <w:tr2bl w:val="nil"/>
            </w:tcBorders>
            <w:vAlign w:val="center"/>
          </w:tcPr>
          <w:p w14:paraId="5375F39E">
            <w:pPr>
              <w:adjustRightInd w:val="0"/>
              <w:snapToGrid w:val="0"/>
              <w:spacing w:line="240" w:lineRule="auto"/>
              <w:jc w:val="center"/>
              <w:rPr>
                <w:sz w:val="21"/>
                <w:szCs w:val="21"/>
              </w:rPr>
            </w:pPr>
            <w:r>
              <w:rPr>
                <w:sz w:val="21"/>
                <w:szCs w:val="21"/>
              </w:rPr>
              <w:t>≤3.0</w:t>
            </w:r>
          </w:p>
        </w:tc>
        <w:tc>
          <w:tcPr>
            <w:tcW w:w="2358" w:type="dxa"/>
            <w:tcBorders>
              <w:tl2br w:val="nil"/>
              <w:tr2bl w:val="nil"/>
            </w:tcBorders>
            <w:vAlign w:val="center"/>
          </w:tcPr>
          <w:p w14:paraId="6E82A6DD">
            <w:pPr>
              <w:adjustRightInd w:val="0"/>
              <w:snapToGrid w:val="0"/>
              <w:spacing w:line="240" w:lineRule="auto"/>
              <w:jc w:val="center"/>
              <w:rPr>
                <w:sz w:val="21"/>
                <w:szCs w:val="21"/>
              </w:rPr>
            </w:pPr>
            <w:r>
              <w:rPr>
                <w:sz w:val="21"/>
                <w:szCs w:val="21"/>
              </w:rPr>
              <w:t>本项目单位产值新鲜水消耗量≤</w:t>
            </w:r>
            <w:r>
              <w:rPr>
                <w:rFonts w:hint="eastAsia"/>
                <w:sz w:val="21"/>
                <w:szCs w:val="21"/>
              </w:rPr>
              <w:t>0.41</w:t>
            </w:r>
          </w:p>
        </w:tc>
        <w:tc>
          <w:tcPr>
            <w:tcW w:w="764" w:type="dxa"/>
            <w:gridSpan w:val="2"/>
            <w:tcBorders>
              <w:tl2br w:val="nil"/>
              <w:tr2bl w:val="nil"/>
            </w:tcBorders>
            <w:vAlign w:val="center"/>
          </w:tcPr>
          <w:p w14:paraId="1107C6F9">
            <w:pPr>
              <w:adjustRightInd w:val="0"/>
              <w:snapToGrid w:val="0"/>
              <w:spacing w:line="240" w:lineRule="auto"/>
              <w:jc w:val="center"/>
              <w:rPr>
                <w:sz w:val="21"/>
                <w:szCs w:val="21"/>
              </w:rPr>
            </w:pPr>
            <w:r>
              <w:rPr>
                <w:sz w:val="21"/>
                <w:szCs w:val="21"/>
              </w:rPr>
              <w:t>一级</w:t>
            </w:r>
          </w:p>
        </w:tc>
      </w:tr>
      <w:tr w14:paraId="55884BA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63684BF3">
            <w:pPr>
              <w:adjustRightInd w:val="0"/>
              <w:snapToGrid w:val="0"/>
              <w:spacing w:line="240" w:lineRule="auto"/>
              <w:jc w:val="center"/>
              <w:rPr>
                <w:sz w:val="21"/>
                <w:szCs w:val="21"/>
              </w:rPr>
            </w:pPr>
            <w:r>
              <w:rPr>
                <w:sz w:val="21"/>
                <w:szCs w:val="21"/>
              </w:rPr>
              <w:t>12</w:t>
            </w:r>
          </w:p>
        </w:tc>
        <w:tc>
          <w:tcPr>
            <w:tcW w:w="770" w:type="dxa"/>
            <w:vMerge w:val="continue"/>
            <w:tcBorders>
              <w:tl2br w:val="nil"/>
              <w:tr2bl w:val="nil"/>
            </w:tcBorders>
            <w:vAlign w:val="center"/>
          </w:tcPr>
          <w:p w14:paraId="3681C542">
            <w:pPr>
              <w:adjustRightInd w:val="0"/>
              <w:snapToGrid w:val="0"/>
              <w:spacing w:line="240" w:lineRule="auto"/>
              <w:jc w:val="center"/>
              <w:rPr>
                <w:sz w:val="21"/>
                <w:szCs w:val="21"/>
              </w:rPr>
            </w:pPr>
          </w:p>
        </w:tc>
        <w:tc>
          <w:tcPr>
            <w:tcW w:w="703" w:type="dxa"/>
            <w:vMerge w:val="continue"/>
            <w:tcBorders>
              <w:tl2br w:val="nil"/>
              <w:tr2bl w:val="nil"/>
            </w:tcBorders>
            <w:vAlign w:val="center"/>
          </w:tcPr>
          <w:p w14:paraId="2F7F9297">
            <w:pPr>
              <w:adjustRightInd w:val="0"/>
              <w:snapToGrid w:val="0"/>
              <w:spacing w:line="240" w:lineRule="auto"/>
              <w:jc w:val="center"/>
              <w:rPr>
                <w:sz w:val="21"/>
                <w:szCs w:val="21"/>
              </w:rPr>
            </w:pPr>
          </w:p>
        </w:tc>
        <w:tc>
          <w:tcPr>
            <w:tcW w:w="914" w:type="dxa"/>
            <w:gridSpan w:val="2"/>
            <w:vMerge w:val="restart"/>
            <w:tcBorders>
              <w:tl2br w:val="nil"/>
              <w:tr2bl w:val="nil"/>
            </w:tcBorders>
            <w:vAlign w:val="center"/>
          </w:tcPr>
          <w:p w14:paraId="04D86D90">
            <w:pPr>
              <w:adjustRightInd w:val="0"/>
              <w:snapToGrid w:val="0"/>
              <w:spacing w:line="240" w:lineRule="auto"/>
              <w:jc w:val="center"/>
              <w:rPr>
                <w:sz w:val="21"/>
                <w:szCs w:val="21"/>
              </w:rPr>
            </w:pPr>
            <w:r>
              <w:rPr>
                <w:sz w:val="21"/>
                <w:szCs w:val="21"/>
              </w:rPr>
              <w:t>单位产值有机溶剂使</w:t>
            </w:r>
          </w:p>
          <w:p w14:paraId="380BD697">
            <w:pPr>
              <w:adjustRightInd w:val="0"/>
              <w:snapToGrid w:val="0"/>
              <w:spacing w:line="240" w:lineRule="auto"/>
              <w:jc w:val="center"/>
              <w:rPr>
                <w:sz w:val="21"/>
                <w:szCs w:val="21"/>
              </w:rPr>
            </w:pPr>
            <w:r>
              <w:rPr>
                <w:sz w:val="21"/>
                <w:szCs w:val="21"/>
              </w:rPr>
              <w:t>用量</w:t>
            </w:r>
          </w:p>
        </w:tc>
        <w:tc>
          <w:tcPr>
            <w:tcW w:w="902" w:type="dxa"/>
            <w:tcBorders>
              <w:tl2br w:val="nil"/>
              <w:tr2bl w:val="nil"/>
            </w:tcBorders>
            <w:vAlign w:val="center"/>
          </w:tcPr>
          <w:p w14:paraId="24C892C6">
            <w:pPr>
              <w:adjustRightInd w:val="0"/>
              <w:snapToGrid w:val="0"/>
              <w:spacing w:line="240" w:lineRule="auto"/>
              <w:jc w:val="center"/>
              <w:rPr>
                <w:sz w:val="21"/>
                <w:szCs w:val="21"/>
              </w:rPr>
            </w:pPr>
            <w:r>
              <w:rPr>
                <w:sz w:val="21"/>
                <w:szCs w:val="21"/>
              </w:rPr>
              <w:t>纸质包装</w:t>
            </w:r>
          </w:p>
        </w:tc>
        <w:tc>
          <w:tcPr>
            <w:tcW w:w="821" w:type="dxa"/>
            <w:tcBorders>
              <w:tl2br w:val="nil"/>
              <w:tr2bl w:val="nil"/>
            </w:tcBorders>
            <w:vAlign w:val="center"/>
          </w:tcPr>
          <w:p w14:paraId="05DAE9AB">
            <w:pPr>
              <w:adjustRightInd w:val="0"/>
              <w:snapToGrid w:val="0"/>
              <w:spacing w:line="240" w:lineRule="auto"/>
              <w:jc w:val="center"/>
              <w:rPr>
                <w:sz w:val="21"/>
                <w:szCs w:val="21"/>
              </w:rPr>
            </w:pPr>
            <w:r>
              <w:rPr>
                <w:sz w:val="21"/>
                <w:szCs w:val="21"/>
              </w:rPr>
              <w:t>kg/千色令</w:t>
            </w:r>
          </w:p>
        </w:tc>
        <w:tc>
          <w:tcPr>
            <w:tcW w:w="708" w:type="dxa"/>
            <w:tcBorders>
              <w:tl2br w:val="nil"/>
              <w:tr2bl w:val="nil"/>
            </w:tcBorders>
            <w:vAlign w:val="center"/>
          </w:tcPr>
          <w:p w14:paraId="406BA611">
            <w:pPr>
              <w:adjustRightInd w:val="0"/>
              <w:snapToGrid w:val="0"/>
              <w:spacing w:line="240" w:lineRule="auto"/>
              <w:jc w:val="center"/>
              <w:rPr>
                <w:sz w:val="21"/>
                <w:szCs w:val="21"/>
              </w:rPr>
            </w:pPr>
            <w:r>
              <w:rPr>
                <w:sz w:val="21"/>
                <w:szCs w:val="21"/>
              </w:rPr>
              <w:t>0.28/</w:t>
            </w:r>
          </w:p>
          <w:p w14:paraId="465693E8">
            <w:pPr>
              <w:adjustRightInd w:val="0"/>
              <w:snapToGrid w:val="0"/>
              <w:spacing w:line="240" w:lineRule="auto"/>
              <w:jc w:val="center"/>
              <w:rPr>
                <w:sz w:val="21"/>
                <w:szCs w:val="21"/>
              </w:rPr>
            </w:pPr>
            <w:r>
              <w:rPr>
                <w:sz w:val="21"/>
                <w:szCs w:val="21"/>
              </w:rPr>
              <w:t>n</w:t>
            </w:r>
          </w:p>
        </w:tc>
        <w:tc>
          <w:tcPr>
            <w:tcW w:w="2412" w:type="dxa"/>
            <w:tcBorders>
              <w:tl2br w:val="nil"/>
              <w:tr2bl w:val="nil"/>
            </w:tcBorders>
            <w:vAlign w:val="center"/>
          </w:tcPr>
          <w:p w14:paraId="278E99D0">
            <w:pPr>
              <w:adjustRightInd w:val="0"/>
              <w:snapToGrid w:val="0"/>
              <w:spacing w:line="240" w:lineRule="auto"/>
              <w:jc w:val="center"/>
              <w:rPr>
                <w:sz w:val="21"/>
                <w:szCs w:val="21"/>
              </w:rPr>
            </w:pPr>
            <w:r>
              <w:rPr>
                <w:sz w:val="21"/>
                <w:szCs w:val="21"/>
              </w:rPr>
              <w:t>≤70</w:t>
            </w:r>
          </w:p>
        </w:tc>
        <w:tc>
          <w:tcPr>
            <w:tcW w:w="1568" w:type="dxa"/>
            <w:tcBorders>
              <w:tl2br w:val="nil"/>
              <w:tr2bl w:val="nil"/>
            </w:tcBorders>
            <w:vAlign w:val="center"/>
          </w:tcPr>
          <w:p w14:paraId="3A6301D0">
            <w:pPr>
              <w:adjustRightInd w:val="0"/>
              <w:snapToGrid w:val="0"/>
              <w:spacing w:line="240" w:lineRule="auto"/>
              <w:jc w:val="center"/>
              <w:rPr>
                <w:sz w:val="21"/>
                <w:szCs w:val="21"/>
              </w:rPr>
            </w:pPr>
            <w:r>
              <w:rPr>
                <w:sz w:val="21"/>
                <w:szCs w:val="21"/>
              </w:rPr>
              <w:t>≤85</w:t>
            </w:r>
          </w:p>
        </w:tc>
        <w:tc>
          <w:tcPr>
            <w:tcW w:w="1462" w:type="dxa"/>
            <w:gridSpan w:val="2"/>
            <w:tcBorders>
              <w:tl2br w:val="nil"/>
              <w:tr2bl w:val="nil"/>
            </w:tcBorders>
            <w:vAlign w:val="center"/>
          </w:tcPr>
          <w:p w14:paraId="0A2BAA12">
            <w:pPr>
              <w:adjustRightInd w:val="0"/>
              <w:snapToGrid w:val="0"/>
              <w:spacing w:line="240" w:lineRule="auto"/>
              <w:jc w:val="center"/>
              <w:rPr>
                <w:sz w:val="21"/>
                <w:szCs w:val="21"/>
              </w:rPr>
            </w:pPr>
            <w:r>
              <w:rPr>
                <w:sz w:val="21"/>
                <w:szCs w:val="21"/>
              </w:rPr>
              <w:t>≤90</w:t>
            </w:r>
          </w:p>
        </w:tc>
        <w:tc>
          <w:tcPr>
            <w:tcW w:w="2358" w:type="dxa"/>
            <w:tcBorders>
              <w:tl2br w:val="nil"/>
              <w:tr2bl w:val="nil"/>
            </w:tcBorders>
            <w:vAlign w:val="center"/>
          </w:tcPr>
          <w:p w14:paraId="2552E028">
            <w:pPr>
              <w:adjustRightInd w:val="0"/>
              <w:snapToGrid w:val="0"/>
              <w:spacing w:line="240" w:lineRule="auto"/>
              <w:jc w:val="center"/>
              <w:rPr>
                <w:sz w:val="21"/>
                <w:szCs w:val="21"/>
              </w:rPr>
            </w:pPr>
            <w:r>
              <w:rPr>
                <w:sz w:val="21"/>
                <w:szCs w:val="21"/>
              </w:rPr>
              <w:t>本项目无纸质包装</w:t>
            </w:r>
          </w:p>
        </w:tc>
        <w:tc>
          <w:tcPr>
            <w:tcW w:w="764" w:type="dxa"/>
            <w:gridSpan w:val="2"/>
            <w:tcBorders>
              <w:tl2br w:val="nil"/>
              <w:tr2bl w:val="nil"/>
            </w:tcBorders>
            <w:vAlign w:val="center"/>
          </w:tcPr>
          <w:p w14:paraId="477F43C9">
            <w:pPr>
              <w:adjustRightInd w:val="0"/>
              <w:snapToGrid w:val="0"/>
              <w:spacing w:line="240" w:lineRule="auto"/>
              <w:jc w:val="center"/>
              <w:rPr>
                <w:sz w:val="21"/>
                <w:szCs w:val="21"/>
              </w:rPr>
            </w:pPr>
            <w:r>
              <w:rPr>
                <w:sz w:val="21"/>
                <w:szCs w:val="21"/>
              </w:rPr>
              <w:t>/</w:t>
            </w:r>
          </w:p>
        </w:tc>
      </w:tr>
      <w:tr w14:paraId="062AD62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3D7A3B37">
            <w:pPr>
              <w:adjustRightInd w:val="0"/>
              <w:snapToGrid w:val="0"/>
              <w:spacing w:line="240" w:lineRule="auto"/>
              <w:jc w:val="center"/>
              <w:rPr>
                <w:sz w:val="21"/>
                <w:szCs w:val="21"/>
              </w:rPr>
            </w:pPr>
            <w:r>
              <w:rPr>
                <w:sz w:val="21"/>
                <w:szCs w:val="21"/>
              </w:rPr>
              <w:t>13</w:t>
            </w:r>
          </w:p>
        </w:tc>
        <w:tc>
          <w:tcPr>
            <w:tcW w:w="770" w:type="dxa"/>
            <w:vMerge w:val="continue"/>
            <w:tcBorders>
              <w:tl2br w:val="nil"/>
              <w:tr2bl w:val="nil"/>
            </w:tcBorders>
            <w:vAlign w:val="center"/>
          </w:tcPr>
          <w:p w14:paraId="0C4118D5">
            <w:pPr>
              <w:adjustRightInd w:val="0"/>
              <w:snapToGrid w:val="0"/>
              <w:spacing w:line="240" w:lineRule="auto"/>
              <w:jc w:val="center"/>
              <w:rPr>
                <w:sz w:val="21"/>
                <w:szCs w:val="21"/>
              </w:rPr>
            </w:pPr>
          </w:p>
        </w:tc>
        <w:tc>
          <w:tcPr>
            <w:tcW w:w="703" w:type="dxa"/>
            <w:vMerge w:val="continue"/>
            <w:tcBorders>
              <w:tl2br w:val="nil"/>
              <w:tr2bl w:val="nil"/>
            </w:tcBorders>
            <w:vAlign w:val="center"/>
          </w:tcPr>
          <w:p w14:paraId="76D651BC">
            <w:pPr>
              <w:adjustRightInd w:val="0"/>
              <w:snapToGrid w:val="0"/>
              <w:spacing w:line="240" w:lineRule="auto"/>
              <w:jc w:val="center"/>
              <w:rPr>
                <w:sz w:val="21"/>
                <w:szCs w:val="21"/>
              </w:rPr>
            </w:pPr>
          </w:p>
        </w:tc>
        <w:tc>
          <w:tcPr>
            <w:tcW w:w="914" w:type="dxa"/>
            <w:gridSpan w:val="2"/>
            <w:vMerge w:val="continue"/>
            <w:tcBorders>
              <w:tl2br w:val="nil"/>
              <w:tr2bl w:val="nil"/>
            </w:tcBorders>
            <w:vAlign w:val="center"/>
          </w:tcPr>
          <w:p w14:paraId="4A00186E">
            <w:pPr>
              <w:adjustRightInd w:val="0"/>
              <w:snapToGrid w:val="0"/>
              <w:spacing w:line="240" w:lineRule="auto"/>
              <w:jc w:val="center"/>
              <w:rPr>
                <w:sz w:val="21"/>
                <w:szCs w:val="21"/>
              </w:rPr>
            </w:pPr>
          </w:p>
        </w:tc>
        <w:tc>
          <w:tcPr>
            <w:tcW w:w="902" w:type="dxa"/>
            <w:tcBorders>
              <w:tl2br w:val="nil"/>
              <w:tr2bl w:val="nil"/>
            </w:tcBorders>
            <w:vAlign w:val="center"/>
          </w:tcPr>
          <w:p w14:paraId="7FD59EA6">
            <w:pPr>
              <w:adjustRightInd w:val="0"/>
              <w:snapToGrid w:val="0"/>
              <w:spacing w:line="240" w:lineRule="auto"/>
              <w:jc w:val="center"/>
              <w:rPr>
                <w:sz w:val="21"/>
                <w:szCs w:val="21"/>
              </w:rPr>
            </w:pPr>
            <w:r>
              <w:rPr>
                <w:sz w:val="21"/>
                <w:szCs w:val="21"/>
              </w:rPr>
              <w:t>塑料包</w:t>
            </w:r>
          </w:p>
          <w:p w14:paraId="7C2B5C65">
            <w:pPr>
              <w:adjustRightInd w:val="0"/>
              <w:snapToGrid w:val="0"/>
              <w:spacing w:line="240" w:lineRule="auto"/>
              <w:jc w:val="center"/>
              <w:rPr>
                <w:sz w:val="21"/>
                <w:szCs w:val="21"/>
              </w:rPr>
            </w:pPr>
            <w:r>
              <w:rPr>
                <w:sz w:val="21"/>
                <w:szCs w:val="21"/>
              </w:rPr>
              <w:t>装</w:t>
            </w:r>
          </w:p>
        </w:tc>
        <w:tc>
          <w:tcPr>
            <w:tcW w:w="821" w:type="dxa"/>
            <w:tcBorders>
              <w:tl2br w:val="nil"/>
              <w:tr2bl w:val="nil"/>
            </w:tcBorders>
            <w:vAlign w:val="center"/>
          </w:tcPr>
          <w:p w14:paraId="1F128C67">
            <w:pPr>
              <w:adjustRightInd w:val="0"/>
              <w:snapToGrid w:val="0"/>
              <w:spacing w:line="240" w:lineRule="auto"/>
              <w:jc w:val="center"/>
              <w:rPr>
                <w:sz w:val="21"/>
                <w:szCs w:val="21"/>
              </w:rPr>
            </w:pPr>
            <w:r>
              <w:rPr>
                <w:sz w:val="21"/>
                <w:szCs w:val="21"/>
              </w:rPr>
              <w:t>kg/万</w:t>
            </w:r>
          </w:p>
          <w:p w14:paraId="5C665458">
            <w:pPr>
              <w:adjustRightInd w:val="0"/>
              <w:snapToGrid w:val="0"/>
              <w:spacing w:line="240" w:lineRule="auto"/>
              <w:jc w:val="center"/>
              <w:rPr>
                <w:sz w:val="21"/>
                <w:szCs w:val="21"/>
              </w:rPr>
            </w:pPr>
            <w:r>
              <w:rPr>
                <w:sz w:val="21"/>
                <w:szCs w:val="21"/>
              </w:rPr>
              <w:t>元</w:t>
            </w:r>
          </w:p>
        </w:tc>
        <w:tc>
          <w:tcPr>
            <w:tcW w:w="708" w:type="dxa"/>
            <w:tcBorders>
              <w:tl2br w:val="nil"/>
              <w:tr2bl w:val="nil"/>
            </w:tcBorders>
            <w:vAlign w:val="center"/>
          </w:tcPr>
          <w:p w14:paraId="60D90442">
            <w:pPr>
              <w:adjustRightInd w:val="0"/>
              <w:snapToGrid w:val="0"/>
              <w:spacing w:line="240" w:lineRule="auto"/>
              <w:jc w:val="center"/>
              <w:rPr>
                <w:sz w:val="21"/>
                <w:szCs w:val="21"/>
              </w:rPr>
            </w:pPr>
            <w:r>
              <w:rPr>
                <w:sz w:val="21"/>
                <w:szCs w:val="21"/>
              </w:rPr>
              <w:t>0.28/</w:t>
            </w:r>
          </w:p>
          <w:p w14:paraId="7DD98930">
            <w:pPr>
              <w:adjustRightInd w:val="0"/>
              <w:snapToGrid w:val="0"/>
              <w:spacing w:line="240" w:lineRule="auto"/>
              <w:jc w:val="center"/>
              <w:rPr>
                <w:sz w:val="21"/>
                <w:szCs w:val="21"/>
              </w:rPr>
            </w:pPr>
            <w:r>
              <w:rPr>
                <w:sz w:val="21"/>
                <w:szCs w:val="21"/>
              </w:rPr>
              <w:t>n</w:t>
            </w:r>
          </w:p>
        </w:tc>
        <w:tc>
          <w:tcPr>
            <w:tcW w:w="2412" w:type="dxa"/>
            <w:tcBorders>
              <w:tl2br w:val="nil"/>
              <w:tr2bl w:val="nil"/>
            </w:tcBorders>
            <w:vAlign w:val="center"/>
          </w:tcPr>
          <w:p w14:paraId="5B43DF9E">
            <w:pPr>
              <w:adjustRightInd w:val="0"/>
              <w:snapToGrid w:val="0"/>
              <w:spacing w:line="240" w:lineRule="auto"/>
              <w:jc w:val="center"/>
              <w:rPr>
                <w:sz w:val="21"/>
                <w:szCs w:val="21"/>
              </w:rPr>
            </w:pPr>
            <w:r>
              <w:rPr>
                <w:sz w:val="21"/>
                <w:szCs w:val="21"/>
              </w:rPr>
              <w:t>≤40</w:t>
            </w:r>
          </w:p>
        </w:tc>
        <w:tc>
          <w:tcPr>
            <w:tcW w:w="1568" w:type="dxa"/>
            <w:tcBorders>
              <w:tl2br w:val="nil"/>
              <w:tr2bl w:val="nil"/>
            </w:tcBorders>
            <w:vAlign w:val="center"/>
          </w:tcPr>
          <w:p w14:paraId="6793F22F">
            <w:pPr>
              <w:adjustRightInd w:val="0"/>
              <w:snapToGrid w:val="0"/>
              <w:spacing w:line="240" w:lineRule="auto"/>
              <w:jc w:val="center"/>
              <w:rPr>
                <w:sz w:val="21"/>
                <w:szCs w:val="21"/>
              </w:rPr>
            </w:pPr>
            <w:r>
              <w:rPr>
                <w:sz w:val="21"/>
                <w:szCs w:val="21"/>
              </w:rPr>
              <w:t>≤50</w:t>
            </w:r>
          </w:p>
        </w:tc>
        <w:tc>
          <w:tcPr>
            <w:tcW w:w="1462" w:type="dxa"/>
            <w:gridSpan w:val="2"/>
            <w:tcBorders>
              <w:tl2br w:val="nil"/>
              <w:tr2bl w:val="nil"/>
            </w:tcBorders>
            <w:vAlign w:val="center"/>
          </w:tcPr>
          <w:p w14:paraId="7B66E951">
            <w:pPr>
              <w:adjustRightInd w:val="0"/>
              <w:snapToGrid w:val="0"/>
              <w:spacing w:line="240" w:lineRule="auto"/>
              <w:jc w:val="center"/>
              <w:rPr>
                <w:sz w:val="21"/>
                <w:szCs w:val="21"/>
              </w:rPr>
            </w:pPr>
            <w:r>
              <w:rPr>
                <w:sz w:val="21"/>
                <w:szCs w:val="21"/>
              </w:rPr>
              <w:t>≤70</w:t>
            </w:r>
          </w:p>
        </w:tc>
        <w:tc>
          <w:tcPr>
            <w:tcW w:w="2358" w:type="dxa"/>
            <w:tcBorders>
              <w:tl2br w:val="nil"/>
              <w:tr2bl w:val="nil"/>
            </w:tcBorders>
            <w:vAlign w:val="center"/>
          </w:tcPr>
          <w:p w14:paraId="2C523593">
            <w:pPr>
              <w:adjustRightInd w:val="0"/>
              <w:snapToGrid w:val="0"/>
              <w:spacing w:line="240" w:lineRule="auto"/>
              <w:jc w:val="center"/>
              <w:rPr>
                <w:sz w:val="21"/>
                <w:szCs w:val="21"/>
              </w:rPr>
            </w:pPr>
            <w:r>
              <w:rPr>
                <w:sz w:val="21"/>
                <w:szCs w:val="21"/>
              </w:rPr>
              <w:t>本项目单位产值有机溶</w:t>
            </w:r>
          </w:p>
          <w:p w14:paraId="04DBC2C6">
            <w:pPr>
              <w:adjustRightInd w:val="0"/>
              <w:snapToGrid w:val="0"/>
              <w:spacing w:line="240" w:lineRule="auto"/>
              <w:jc w:val="center"/>
              <w:rPr>
                <w:sz w:val="21"/>
                <w:szCs w:val="21"/>
              </w:rPr>
            </w:pPr>
            <w:r>
              <w:rPr>
                <w:sz w:val="21"/>
                <w:szCs w:val="21"/>
              </w:rPr>
              <w:t>剂使用量≤</w:t>
            </w:r>
            <w:r>
              <w:rPr>
                <w:rFonts w:hint="eastAsia"/>
                <w:sz w:val="21"/>
                <w:szCs w:val="21"/>
              </w:rPr>
              <w:t>3.4</w:t>
            </w:r>
          </w:p>
        </w:tc>
        <w:tc>
          <w:tcPr>
            <w:tcW w:w="764" w:type="dxa"/>
            <w:gridSpan w:val="2"/>
            <w:tcBorders>
              <w:tl2br w:val="nil"/>
              <w:tr2bl w:val="nil"/>
            </w:tcBorders>
            <w:vAlign w:val="center"/>
          </w:tcPr>
          <w:p w14:paraId="4DECE21C">
            <w:pPr>
              <w:adjustRightInd w:val="0"/>
              <w:snapToGrid w:val="0"/>
              <w:spacing w:line="240" w:lineRule="auto"/>
              <w:jc w:val="center"/>
              <w:rPr>
                <w:sz w:val="21"/>
                <w:szCs w:val="21"/>
              </w:rPr>
            </w:pPr>
            <w:r>
              <w:rPr>
                <w:sz w:val="21"/>
                <w:szCs w:val="21"/>
              </w:rPr>
              <w:t>一级</w:t>
            </w:r>
          </w:p>
        </w:tc>
      </w:tr>
      <w:tr w14:paraId="5C2BF6E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714B2B8D">
            <w:pPr>
              <w:adjustRightInd w:val="0"/>
              <w:snapToGrid w:val="0"/>
              <w:spacing w:line="240" w:lineRule="auto"/>
              <w:jc w:val="center"/>
              <w:rPr>
                <w:sz w:val="21"/>
                <w:szCs w:val="21"/>
              </w:rPr>
            </w:pPr>
            <w:r>
              <w:rPr>
                <w:sz w:val="21"/>
                <w:szCs w:val="21"/>
              </w:rPr>
              <w:t>14</w:t>
            </w:r>
          </w:p>
        </w:tc>
        <w:tc>
          <w:tcPr>
            <w:tcW w:w="770" w:type="dxa"/>
            <w:vMerge w:val="continue"/>
            <w:tcBorders>
              <w:tl2br w:val="nil"/>
              <w:tr2bl w:val="nil"/>
            </w:tcBorders>
            <w:vAlign w:val="center"/>
          </w:tcPr>
          <w:p w14:paraId="3E90FB84">
            <w:pPr>
              <w:adjustRightInd w:val="0"/>
              <w:snapToGrid w:val="0"/>
              <w:spacing w:line="240" w:lineRule="auto"/>
              <w:jc w:val="center"/>
              <w:rPr>
                <w:sz w:val="21"/>
                <w:szCs w:val="21"/>
              </w:rPr>
            </w:pPr>
          </w:p>
        </w:tc>
        <w:tc>
          <w:tcPr>
            <w:tcW w:w="703" w:type="dxa"/>
            <w:vMerge w:val="continue"/>
            <w:tcBorders>
              <w:tl2br w:val="nil"/>
              <w:tr2bl w:val="nil"/>
            </w:tcBorders>
            <w:vAlign w:val="center"/>
          </w:tcPr>
          <w:p w14:paraId="6D7DD89C">
            <w:pPr>
              <w:adjustRightInd w:val="0"/>
              <w:snapToGrid w:val="0"/>
              <w:spacing w:line="240" w:lineRule="auto"/>
              <w:jc w:val="center"/>
              <w:rPr>
                <w:sz w:val="21"/>
                <w:szCs w:val="21"/>
              </w:rPr>
            </w:pPr>
          </w:p>
        </w:tc>
        <w:tc>
          <w:tcPr>
            <w:tcW w:w="1816" w:type="dxa"/>
            <w:gridSpan w:val="3"/>
            <w:tcBorders>
              <w:tl2br w:val="nil"/>
              <w:tr2bl w:val="nil"/>
            </w:tcBorders>
            <w:vAlign w:val="center"/>
          </w:tcPr>
          <w:p w14:paraId="4DD7C2DE">
            <w:pPr>
              <w:adjustRightInd w:val="0"/>
              <w:snapToGrid w:val="0"/>
              <w:spacing w:line="240" w:lineRule="auto"/>
              <w:jc w:val="center"/>
              <w:rPr>
                <w:sz w:val="21"/>
                <w:szCs w:val="21"/>
              </w:rPr>
            </w:pPr>
            <w:r>
              <w:rPr>
                <w:sz w:val="21"/>
                <w:szCs w:val="21"/>
              </w:rPr>
              <w:t>单位产品胶黏剂</w:t>
            </w:r>
          </w:p>
          <w:p w14:paraId="58FBBE3D">
            <w:pPr>
              <w:adjustRightInd w:val="0"/>
              <w:snapToGrid w:val="0"/>
              <w:spacing w:line="240" w:lineRule="auto"/>
              <w:jc w:val="center"/>
              <w:rPr>
                <w:sz w:val="21"/>
                <w:szCs w:val="21"/>
              </w:rPr>
            </w:pPr>
            <w:r>
              <w:rPr>
                <w:sz w:val="21"/>
                <w:szCs w:val="21"/>
              </w:rPr>
              <w:t>使用量</w:t>
            </w:r>
          </w:p>
        </w:tc>
        <w:tc>
          <w:tcPr>
            <w:tcW w:w="821" w:type="dxa"/>
            <w:tcBorders>
              <w:tl2br w:val="nil"/>
              <w:tr2bl w:val="nil"/>
            </w:tcBorders>
            <w:vAlign w:val="center"/>
          </w:tcPr>
          <w:p w14:paraId="1A7CEC2E">
            <w:pPr>
              <w:adjustRightInd w:val="0"/>
              <w:snapToGrid w:val="0"/>
              <w:spacing w:line="240" w:lineRule="auto"/>
              <w:jc w:val="center"/>
              <w:rPr>
                <w:sz w:val="21"/>
                <w:szCs w:val="21"/>
              </w:rPr>
            </w:pPr>
            <w:r>
              <w:rPr>
                <w:sz w:val="21"/>
                <w:szCs w:val="21"/>
              </w:rPr>
              <w:t>kg/千</w:t>
            </w:r>
          </w:p>
          <w:p w14:paraId="22EB3DD6">
            <w:pPr>
              <w:adjustRightInd w:val="0"/>
              <w:snapToGrid w:val="0"/>
              <w:spacing w:line="240" w:lineRule="auto"/>
              <w:jc w:val="center"/>
              <w:rPr>
                <w:sz w:val="21"/>
                <w:szCs w:val="21"/>
              </w:rPr>
            </w:pPr>
            <w:r>
              <w:rPr>
                <w:sz w:val="21"/>
                <w:szCs w:val="21"/>
              </w:rPr>
              <w:t>色令</w:t>
            </w:r>
          </w:p>
        </w:tc>
        <w:tc>
          <w:tcPr>
            <w:tcW w:w="708" w:type="dxa"/>
            <w:tcBorders>
              <w:tl2br w:val="nil"/>
              <w:tr2bl w:val="nil"/>
            </w:tcBorders>
            <w:vAlign w:val="center"/>
          </w:tcPr>
          <w:p w14:paraId="6308D0AC">
            <w:pPr>
              <w:adjustRightInd w:val="0"/>
              <w:snapToGrid w:val="0"/>
              <w:spacing w:line="240" w:lineRule="auto"/>
              <w:jc w:val="center"/>
              <w:rPr>
                <w:sz w:val="21"/>
                <w:szCs w:val="21"/>
              </w:rPr>
            </w:pPr>
            <w:r>
              <w:rPr>
                <w:sz w:val="21"/>
                <w:szCs w:val="21"/>
              </w:rPr>
              <w:t>0.14</w:t>
            </w:r>
          </w:p>
        </w:tc>
        <w:tc>
          <w:tcPr>
            <w:tcW w:w="2412" w:type="dxa"/>
            <w:tcBorders>
              <w:tl2br w:val="nil"/>
              <w:tr2bl w:val="nil"/>
            </w:tcBorders>
            <w:vAlign w:val="center"/>
          </w:tcPr>
          <w:p w14:paraId="3190C7F4">
            <w:pPr>
              <w:adjustRightInd w:val="0"/>
              <w:snapToGrid w:val="0"/>
              <w:spacing w:line="240" w:lineRule="auto"/>
              <w:jc w:val="center"/>
              <w:rPr>
                <w:sz w:val="21"/>
                <w:szCs w:val="21"/>
              </w:rPr>
            </w:pPr>
            <w:r>
              <w:rPr>
                <w:sz w:val="21"/>
                <w:szCs w:val="21"/>
              </w:rPr>
              <w:t>≤100</w:t>
            </w:r>
          </w:p>
        </w:tc>
        <w:tc>
          <w:tcPr>
            <w:tcW w:w="1568" w:type="dxa"/>
            <w:tcBorders>
              <w:tl2br w:val="nil"/>
              <w:tr2bl w:val="nil"/>
            </w:tcBorders>
            <w:vAlign w:val="center"/>
          </w:tcPr>
          <w:p w14:paraId="743ECA44">
            <w:pPr>
              <w:adjustRightInd w:val="0"/>
              <w:snapToGrid w:val="0"/>
              <w:spacing w:line="240" w:lineRule="auto"/>
              <w:jc w:val="center"/>
              <w:rPr>
                <w:sz w:val="21"/>
                <w:szCs w:val="21"/>
              </w:rPr>
            </w:pPr>
            <w:r>
              <w:rPr>
                <w:sz w:val="21"/>
                <w:szCs w:val="21"/>
              </w:rPr>
              <w:t>≤160</w:t>
            </w:r>
          </w:p>
        </w:tc>
        <w:tc>
          <w:tcPr>
            <w:tcW w:w="1462" w:type="dxa"/>
            <w:gridSpan w:val="2"/>
            <w:tcBorders>
              <w:tl2br w:val="nil"/>
              <w:tr2bl w:val="nil"/>
            </w:tcBorders>
            <w:vAlign w:val="center"/>
          </w:tcPr>
          <w:p w14:paraId="3371CA0C">
            <w:pPr>
              <w:adjustRightInd w:val="0"/>
              <w:snapToGrid w:val="0"/>
              <w:spacing w:line="240" w:lineRule="auto"/>
              <w:jc w:val="center"/>
              <w:rPr>
                <w:sz w:val="21"/>
                <w:szCs w:val="21"/>
              </w:rPr>
            </w:pPr>
            <w:r>
              <w:rPr>
                <w:sz w:val="21"/>
                <w:szCs w:val="21"/>
              </w:rPr>
              <w:t>≤200</w:t>
            </w:r>
          </w:p>
        </w:tc>
        <w:tc>
          <w:tcPr>
            <w:tcW w:w="3122" w:type="dxa"/>
            <w:gridSpan w:val="3"/>
            <w:tcBorders>
              <w:tl2br w:val="nil"/>
              <w:tr2bl w:val="nil"/>
            </w:tcBorders>
            <w:vAlign w:val="center"/>
          </w:tcPr>
          <w:p w14:paraId="6D601AF1">
            <w:pPr>
              <w:adjustRightInd w:val="0"/>
              <w:snapToGrid w:val="0"/>
              <w:spacing w:line="240" w:lineRule="auto"/>
              <w:jc w:val="center"/>
              <w:rPr>
                <w:sz w:val="21"/>
                <w:szCs w:val="21"/>
              </w:rPr>
            </w:pPr>
            <w:r>
              <w:rPr>
                <w:rFonts w:hint="eastAsia"/>
                <w:sz w:val="21"/>
                <w:szCs w:val="21"/>
              </w:rPr>
              <w:t>一级</w:t>
            </w:r>
          </w:p>
        </w:tc>
      </w:tr>
      <w:tr w14:paraId="6048134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3ED7B2E8">
            <w:pPr>
              <w:adjustRightInd w:val="0"/>
              <w:snapToGrid w:val="0"/>
              <w:spacing w:line="240" w:lineRule="auto"/>
              <w:jc w:val="center"/>
              <w:rPr>
                <w:sz w:val="21"/>
                <w:szCs w:val="21"/>
              </w:rPr>
            </w:pPr>
            <w:r>
              <w:rPr>
                <w:sz w:val="21"/>
                <w:szCs w:val="21"/>
              </w:rPr>
              <w:t>15</w:t>
            </w:r>
          </w:p>
        </w:tc>
        <w:tc>
          <w:tcPr>
            <w:tcW w:w="770" w:type="dxa"/>
            <w:vMerge w:val="restart"/>
            <w:tcBorders>
              <w:tl2br w:val="nil"/>
              <w:tr2bl w:val="nil"/>
            </w:tcBorders>
            <w:vAlign w:val="center"/>
          </w:tcPr>
          <w:p w14:paraId="7D5A6D00">
            <w:pPr>
              <w:adjustRightInd w:val="0"/>
              <w:snapToGrid w:val="0"/>
              <w:spacing w:line="240" w:lineRule="auto"/>
              <w:jc w:val="center"/>
              <w:rPr>
                <w:sz w:val="21"/>
                <w:szCs w:val="21"/>
              </w:rPr>
            </w:pPr>
            <w:r>
              <w:rPr>
                <w:sz w:val="21"/>
                <w:szCs w:val="21"/>
              </w:rPr>
              <w:t>产品特征指标</w:t>
            </w:r>
          </w:p>
        </w:tc>
        <w:tc>
          <w:tcPr>
            <w:tcW w:w="703" w:type="dxa"/>
            <w:vMerge w:val="restart"/>
            <w:tcBorders>
              <w:tl2br w:val="nil"/>
              <w:tr2bl w:val="nil"/>
            </w:tcBorders>
            <w:vAlign w:val="center"/>
          </w:tcPr>
          <w:p w14:paraId="5E7B2578">
            <w:pPr>
              <w:adjustRightInd w:val="0"/>
              <w:snapToGrid w:val="0"/>
              <w:spacing w:line="240" w:lineRule="auto"/>
              <w:jc w:val="center"/>
              <w:rPr>
                <w:sz w:val="21"/>
                <w:szCs w:val="21"/>
              </w:rPr>
            </w:pPr>
            <w:r>
              <w:rPr>
                <w:sz w:val="21"/>
                <w:szCs w:val="21"/>
              </w:rPr>
              <w:t>0.05</w:t>
            </w:r>
          </w:p>
        </w:tc>
        <w:tc>
          <w:tcPr>
            <w:tcW w:w="1816" w:type="dxa"/>
            <w:gridSpan w:val="3"/>
            <w:tcBorders>
              <w:tl2br w:val="nil"/>
              <w:tr2bl w:val="nil"/>
            </w:tcBorders>
            <w:vAlign w:val="center"/>
          </w:tcPr>
          <w:p w14:paraId="63A7BF2D">
            <w:pPr>
              <w:adjustRightInd w:val="0"/>
              <w:snapToGrid w:val="0"/>
              <w:spacing w:line="240" w:lineRule="auto"/>
              <w:jc w:val="center"/>
              <w:rPr>
                <w:sz w:val="21"/>
                <w:szCs w:val="21"/>
              </w:rPr>
            </w:pPr>
            <w:r>
              <w:rPr>
                <w:sz w:val="21"/>
                <w:szCs w:val="21"/>
              </w:rPr>
              <w:t>产品一次交验合</w:t>
            </w:r>
          </w:p>
          <w:p w14:paraId="4306BFB5">
            <w:pPr>
              <w:adjustRightInd w:val="0"/>
              <w:snapToGrid w:val="0"/>
              <w:spacing w:line="240" w:lineRule="auto"/>
              <w:jc w:val="center"/>
              <w:rPr>
                <w:sz w:val="21"/>
                <w:szCs w:val="21"/>
              </w:rPr>
            </w:pPr>
            <w:r>
              <w:rPr>
                <w:sz w:val="21"/>
                <w:szCs w:val="21"/>
              </w:rPr>
              <w:t>格率①</w:t>
            </w:r>
          </w:p>
        </w:tc>
        <w:tc>
          <w:tcPr>
            <w:tcW w:w="821" w:type="dxa"/>
            <w:tcBorders>
              <w:tl2br w:val="nil"/>
              <w:tr2bl w:val="nil"/>
            </w:tcBorders>
            <w:vAlign w:val="center"/>
          </w:tcPr>
          <w:p w14:paraId="4E6D245E">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56490745">
            <w:pPr>
              <w:adjustRightInd w:val="0"/>
              <w:snapToGrid w:val="0"/>
              <w:spacing w:line="240" w:lineRule="auto"/>
              <w:jc w:val="center"/>
              <w:rPr>
                <w:sz w:val="21"/>
                <w:szCs w:val="21"/>
              </w:rPr>
            </w:pPr>
            <w:r>
              <w:rPr>
                <w:sz w:val="21"/>
                <w:szCs w:val="21"/>
              </w:rPr>
              <w:t>0.4</w:t>
            </w:r>
          </w:p>
        </w:tc>
        <w:tc>
          <w:tcPr>
            <w:tcW w:w="2412" w:type="dxa"/>
            <w:tcBorders>
              <w:tl2br w:val="nil"/>
              <w:tr2bl w:val="nil"/>
            </w:tcBorders>
            <w:vAlign w:val="center"/>
          </w:tcPr>
          <w:p w14:paraId="428C71CB">
            <w:pPr>
              <w:adjustRightInd w:val="0"/>
              <w:snapToGrid w:val="0"/>
              <w:spacing w:line="240" w:lineRule="auto"/>
              <w:jc w:val="center"/>
              <w:rPr>
                <w:sz w:val="21"/>
                <w:szCs w:val="21"/>
              </w:rPr>
            </w:pPr>
            <w:r>
              <w:rPr>
                <w:sz w:val="21"/>
                <w:szCs w:val="21"/>
              </w:rPr>
              <w:t>&gt;99</w:t>
            </w:r>
          </w:p>
        </w:tc>
        <w:tc>
          <w:tcPr>
            <w:tcW w:w="1568" w:type="dxa"/>
            <w:tcBorders>
              <w:tl2br w:val="nil"/>
              <w:tr2bl w:val="nil"/>
            </w:tcBorders>
            <w:vAlign w:val="center"/>
          </w:tcPr>
          <w:p w14:paraId="3C299F97">
            <w:pPr>
              <w:adjustRightInd w:val="0"/>
              <w:snapToGrid w:val="0"/>
              <w:spacing w:line="240" w:lineRule="auto"/>
              <w:jc w:val="center"/>
              <w:rPr>
                <w:sz w:val="21"/>
                <w:szCs w:val="21"/>
              </w:rPr>
            </w:pPr>
            <w:r>
              <w:rPr>
                <w:sz w:val="21"/>
                <w:szCs w:val="21"/>
              </w:rPr>
              <w:t>&gt;97</w:t>
            </w:r>
          </w:p>
        </w:tc>
        <w:tc>
          <w:tcPr>
            <w:tcW w:w="1462" w:type="dxa"/>
            <w:gridSpan w:val="2"/>
            <w:tcBorders>
              <w:tl2br w:val="nil"/>
              <w:tr2bl w:val="nil"/>
            </w:tcBorders>
            <w:vAlign w:val="center"/>
          </w:tcPr>
          <w:p w14:paraId="114C3070">
            <w:pPr>
              <w:adjustRightInd w:val="0"/>
              <w:snapToGrid w:val="0"/>
              <w:spacing w:line="240" w:lineRule="auto"/>
              <w:jc w:val="center"/>
              <w:rPr>
                <w:sz w:val="21"/>
                <w:szCs w:val="21"/>
              </w:rPr>
            </w:pPr>
            <w:r>
              <w:rPr>
                <w:sz w:val="21"/>
                <w:szCs w:val="21"/>
              </w:rPr>
              <w:t>&gt;95</w:t>
            </w:r>
          </w:p>
        </w:tc>
        <w:tc>
          <w:tcPr>
            <w:tcW w:w="3122" w:type="dxa"/>
            <w:gridSpan w:val="3"/>
            <w:tcBorders>
              <w:tl2br w:val="nil"/>
              <w:tr2bl w:val="nil"/>
            </w:tcBorders>
            <w:vAlign w:val="center"/>
          </w:tcPr>
          <w:p w14:paraId="27FF499E">
            <w:pPr>
              <w:adjustRightInd w:val="0"/>
              <w:snapToGrid w:val="0"/>
              <w:spacing w:line="240" w:lineRule="auto"/>
              <w:jc w:val="center"/>
              <w:rPr>
                <w:sz w:val="21"/>
                <w:szCs w:val="21"/>
              </w:rPr>
            </w:pPr>
            <w:r>
              <w:rPr>
                <w:sz w:val="21"/>
                <w:szCs w:val="21"/>
              </w:rPr>
              <w:t>一级</w:t>
            </w:r>
          </w:p>
        </w:tc>
      </w:tr>
      <w:tr w14:paraId="0AA05D6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279930EF">
            <w:pPr>
              <w:adjustRightInd w:val="0"/>
              <w:snapToGrid w:val="0"/>
              <w:spacing w:line="240" w:lineRule="auto"/>
              <w:jc w:val="center"/>
              <w:rPr>
                <w:sz w:val="21"/>
                <w:szCs w:val="21"/>
              </w:rPr>
            </w:pPr>
            <w:r>
              <w:rPr>
                <w:sz w:val="21"/>
                <w:szCs w:val="21"/>
              </w:rPr>
              <w:t>16</w:t>
            </w:r>
          </w:p>
        </w:tc>
        <w:tc>
          <w:tcPr>
            <w:tcW w:w="770" w:type="dxa"/>
            <w:vMerge w:val="continue"/>
            <w:tcBorders>
              <w:tl2br w:val="nil"/>
              <w:tr2bl w:val="nil"/>
            </w:tcBorders>
            <w:vAlign w:val="center"/>
          </w:tcPr>
          <w:p w14:paraId="0B56A14D">
            <w:pPr>
              <w:adjustRightInd w:val="0"/>
              <w:snapToGrid w:val="0"/>
              <w:spacing w:line="240" w:lineRule="auto"/>
              <w:jc w:val="center"/>
              <w:rPr>
                <w:sz w:val="21"/>
                <w:szCs w:val="21"/>
              </w:rPr>
            </w:pPr>
          </w:p>
        </w:tc>
        <w:tc>
          <w:tcPr>
            <w:tcW w:w="703" w:type="dxa"/>
            <w:vMerge w:val="continue"/>
            <w:tcBorders>
              <w:tl2br w:val="nil"/>
              <w:tr2bl w:val="nil"/>
            </w:tcBorders>
            <w:vAlign w:val="center"/>
          </w:tcPr>
          <w:p w14:paraId="3967D5F2">
            <w:pPr>
              <w:adjustRightInd w:val="0"/>
              <w:snapToGrid w:val="0"/>
              <w:spacing w:line="240" w:lineRule="auto"/>
              <w:jc w:val="center"/>
              <w:rPr>
                <w:sz w:val="21"/>
                <w:szCs w:val="21"/>
              </w:rPr>
            </w:pPr>
          </w:p>
        </w:tc>
        <w:tc>
          <w:tcPr>
            <w:tcW w:w="1816" w:type="dxa"/>
            <w:gridSpan w:val="3"/>
            <w:tcBorders>
              <w:tl2br w:val="nil"/>
              <w:tr2bl w:val="nil"/>
            </w:tcBorders>
            <w:vAlign w:val="center"/>
          </w:tcPr>
          <w:p w14:paraId="7A108599">
            <w:pPr>
              <w:adjustRightInd w:val="0"/>
              <w:snapToGrid w:val="0"/>
              <w:spacing w:line="240" w:lineRule="auto"/>
              <w:jc w:val="center"/>
              <w:rPr>
                <w:sz w:val="21"/>
                <w:szCs w:val="21"/>
              </w:rPr>
            </w:pPr>
            <w:r>
              <w:rPr>
                <w:sz w:val="21"/>
                <w:szCs w:val="21"/>
              </w:rPr>
              <w:t>环境标志产品技术要求</w:t>
            </w:r>
          </w:p>
        </w:tc>
        <w:tc>
          <w:tcPr>
            <w:tcW w:w="821" w:type="dxa"/>
            <w:tcBorders>
              <w:tl2br w:val="nil"/>
              <w:tr2bl w:val="nil"/>
            </w:tcBorders>
            <w:vAlign w:val="center"/>
          </w:tcPr>
          <w:p w14:paraId="486295EC">
            <w:pPr>
              <w:adjustRightInd w:val="0"/>
              <w:snapToGrid w:val="0"/>
              <w:spacing w:line="240" w:lineRule="auto"/>
              <w:jc w:val="center"/>
              <w:rPr>
                <w:sz w:val="21"/>
                <w:szCs w:val="21"/>
              </w:rPr>
            </w:pPr>
            <w:r>
              <w:rPr>
                <w:sz w:val="21"/>
                <w:szCs w:val="21"/>
              </w:rPr>
              <w:t>-</w:t>
            </w:r>
          </w:p>
        </w:tc>
        <w:tc>
          <w:tcPr>
            <w:tcW w:w="708" w:type="dxa"/>
            <w:tcBorders>
              <w:tl2br w:val="nil"/>
              <w:tr2bl w:val="nil"/>
            </w:tcBorders>
            <w:vAlign w:val="center"/>
          </w:tcPr>
          <w:p w14:paraId="003D9DEC">
            <w:pPr>
              <w:adjustRightInd w:val="0"/>
              <w:snapToGrid w:val="0"/>
              <w:spacing w:line="240" w:lineRule="auto"/>
              <w:jc w:val="center"/>
              <w:rPr>
                <w:sz w:val="21"/>
                <w:szCs w:val="21"/>
              </w:rPr>
            </w:pPr>
            <w:r>
              <w:rPr>
                <w:sz w:val="21"/>
                <w:szCs w:val="21"/>
              </w:rPr>
              <w:t>0.6</w:t>
            </w:r>
          </w:p>
        </w:tc>
        <w:tc>
          <w:tcPr>
            <w:tcW w:w="5442" w:type="dxa"/>
            <w:gridSpan w:val="4"/>
            <w:tcBorders>
              <w:tl2br w:val="nil"/>
              <w:tr2bl w:val="nil"/>
            </w:tcBorders>
            <w:vAlign w:val="center"/>
          </w:tcPr>
          <w:p w14:paraId="377E7511">
            <w:pPr>
              <w:adjustRightInd w:val="0"/>
              <w:snapToGrid w:val="0"/>
              <w:spacing w:line="240" w:lineRule="auto"/>
              <w:jc w:val="center"/>
              <w:rPr>
                <w:sz w:val="21"/>
                <w:szCs w:val="21"/>
              </w:rPr>
            </w:pPr>
            <w:r>
              <w:rPr>
                <w:sz w:val="21"/>
                <w:szCs w:val="21"/>
              </w:rPr>
              <w:t>符合HJ2539</w:t>
            </w:r>
          </w:p>
        </w:tc>
        <w:tc>
          <w:tcPr>
            <w:tcW w:w="3122" w:type="dxa"/>
            <w:gridSpan w:val="3"/>
            <w:tcBorders>
              <w:tl2br w:val="nil"/>
              <w:tr2bl w:val="nil"/>
            </w:tcBorders>
            <w:vAlign w:val="center"/>
          </w:tcPr>
          <w:p w14:paraId="2727607A">
            <w:pPr>
              <w:adjustRightInd w:val="0"/>
              <w:snapToGrid w:val="0"/>
              <w:spacing w:line="240" w:lineRule="auto"/>
              <w:jc w:val="center"/>
              <w:rPr>
                <w:sz w:val="21"/>
                <w:szCs w:val="21"/>
              </w:rPr>
            </w:pPr>
            <w:r>
              <w:rPr>
                <w:sz w:val="21"/>
                <w:szCs w:val="21"/>
              </w:rPr>
              <w:t>一级</w:t>
            </w:r>
          </w:p>
        </w:tc>
      </w:tr>
      <w:tr w14:paraId="63D47F4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4CF8C5B5">
            <w:pPr>
              <w:adjustRightInd w:val="0"/>
              <w:snapToGrid w:val="0"/>
              <w:spacing w:line="240" w:lineRule="auto"/>
              <w:jc w:val="center"/>
              <w:rPr>
                <w:sz w:val="21"/>
                <w:szCs w:val="21"/>
              </w:rPr>
            </w:pPr>
            <w:r>
              <w:rPr>
                <w:sz w:val="21"/>
                <w:szCs w:val="21"/>
              </w:rPr>
              <w:t>17</w:t>
            </w:r>
          </w:p>
        </w:tc>
        <w:tc>
          <w:tcPr>
            <w:tcW w:w="770" w:type="dxa"/>
            <w:vMerge w:val="restart"/>
            <w:tcBorders>
              <w:tl2br w:val="nil"/>
              <w:tr2bl w:val="nil"/>
            </w:tcBorders>
            <w:vAlign w:val="center"/>
          </w:tcPr>
          <w:p w14:paraId="47732D8E">
            <w:pPr>
              <w:adjustRightInd w:val="0"/>
              <w:snapToGrid w:val="0"/>
              <w:spacing w:line="240" w:lineRule="auto"/>
              <w:jc w:val="center"/>
              <w:rPr>
                <w:sz w:val="21"/>
                <w:szCs w:val="21"/>
              </w:rPr>
            </w:pPr>
            <w:r>
              <w:rPr>
                <w:sz w:val="21"/>
                <w:szCs w:val="21"/>
              </w:rPr>
              <w:t>染物产生指标</w:t>
            </w:r>
          </w:p>
        </w:tc>
        <w:tc>
          <w:tcPr>
            <w:tcW w:w="703" w:type="dxa"/>
            <w:vMerge w:val="restart"/>
            <w:tcBorders>
              <w:tl2br w:val="nil"/>
              <w:tr2bl w:val="nil"/>
            </w:tcBorders>
            <w:vAlign w:val="center"/>
          </w:tcPr>
          <w:p w14:paraId="33650902">
            <w:pPr>
              <w:adjustRightInd w:val="0"/>
              <w:snapToGrid w:val="0"/>
              <w:spacing w:line="240" w:lineRule="auto"/>
              <w:jc w:val="center"/>
              <w:rPr>
                <w:sz w:val="21"/>
                <w:szCs w:val="21"/>
              </w:rPr>
            </w:pPr>
            <w:r>
              <w:rPr>
                <w:sz w:val="21"/>
                <w:szCs w:val="21"/>
              </w:rPr>
              <w:t>0.3</w:t>
            </w:r>
          </w:p>
        </w:tc>
        <w:tc>
          <w:tcPr>
            <w:tcW w:w="914" w:type="dxa"/>
            <w:gridSpan w:val="2"/>
            <w:vMerge w:val="restart"/>
            <w:tcBorders>
              <w:tl2br w:val="nil"/>
              <w:tr2bl w:val="nil"/>
            </w:tcBorders>
            <w:vAlign w:val="center"/>
          </w:tcPr>
          <w:p w14:paraId="2C0C0429">
            <w:pPr>
              <w:adjustRightInd w:val="0"/>
              <w:snapToGrid w:val="0"/>
              <w:spacing w:line="240" w:lineRule="auto"/>
              <w:jc w:val="center"/>
              <w:rPr>
                <w:sz w:val="21"/>
                <w:szCs w:val="21"/>
              </w:rPr>
            </w:pPr>
            <w:r>
              <w:rPr>
                <w:sz w:val="21"/>
                <w:szCs w:val="21"/>
              </w:rPr>
              <w:t>单位产品/产值废水产</w:t>
            </w:r>
          </w:p>
          <w:p w14:paraId="1234D537">
            <w:pPr>
              <w:adjustRightInd w:val="0"/>
              <w:snapToGrid w:val="0"/>
              <w:spacing w:line="240" w:lineRule="auto"/>
              <w:jc w:val="center"/>
              <w:rPr>
                <w:sz w:val="21"/>
                <w:szCs w:val="21"/>
              </w:rPr>
            </w:pPr>
            <w:r>
              <w:rPr>
                <w:sz w:val="21"/>
                <w:szCs w:val="21"/>
              </w:rPr>
              <w:t>生量*</w:t>
            </w:r>
          </w:p>
        </w:tc>
        <w:tc>
          <w:tcPr>
            <w:tcW w:w="902" w:type="dxa"/>
            <w:tcBorders>
              <w:tl2br w:val="nil"/>
              <w:tr2bl w:val="nil"/>
            </w:tcBorders>
            <w:vAlign w:val="center"/>
          </w:tcPr>
          <w:p w14:paraId="44BD86AB">
            <w:pPr>
              <w:adjustRightInd w:val="0"/>
              <w:snapToGrid w:val="0"/>
              <w:spacing w:line="240" w:lineRule="auto"/>
              <w:jc w:val="center"/>
              <w:rPr>
                <w:sz w:val="21"/>
                <w:szCs w:val="21"/>
              </w:rPr>
            </w:pPr>
            <w:r>
              <w:rPr>
                <w:sz w:val="21"/>
                <w:szCs w:val="21"/>
              </w:rPr>
              <w:t>纸质包装</w:t>
            </w:r>
          </w:p>
        </w:tc>
        <w:tc>
          <w:tcPr>
            <w:tcW w:w="821" w:type="dxa"/>
            <w:tcBorders>
              <w:tl2br w:val="nil"/>
              <w:tr2bl w:val="nil"/>
            </w:tcBorders>
            <w:vAlign w:val="center"/>
          </w:tcPr>
          <w:p w14:paraId="5BE2AEA0">
            <w:pPr>
              <w:adjustRightInd w:val="0"/>
              <w:snapToGrid w:val="0"/>
              <w:spacing w:line="240" w:lineRule="auto"/>
              <w:jc w:val="center"/>
              <w:rPr>
                <w:sz w:val="21"/>
                <w:szCs w:val="21"/>
              </w:rPr>
            </w:pPr>
            <w:r>
              <w:rPr>
                <w:sz w:val="21"/>
                <w:szCs w:val="21"/>
              </w:rPr>
              <w:t>m3/千色令</w:t>
            </w:r>
          </w:p>
        </w:tc>
        <w:tc>
          <w:tcPr>
            <w:tcW w:w="708" w:type="dxa"/>
            <w:tcBorders>
              <w:tl2br w:val="nil"/>
              <w:tr2bl w:val="nil"/>
            </w:tcBorders>
            <w:vAlign w:val="center"/>
          </w:tcPr>
          <w:p w14:paraId="51AC8096">
            <w:pPr>
              <w:adjustRightInd w:val="0"/>
              <w:snapToGrid w:val="0"/>
              <w:spacing w:line="240" w:lineRule="auto"/>
              <w:jc w:val="center"/>
              <w:rPr>
                <w:sz w:val="21"/>
                <w:szCs w:val="21"/>
              </w:rPr>
            </w:pPr>
            <w:r>
              <w:rPr>
                <w:sz w:val="21"/>
                <w:szCs w:val="21"/>
              </w:rPr>
              <w:t>0.25/</w:t>
            </w:r>
          </w:p>
          <w:p w14:paraId="724C06A6">
            <w:pPr>
              <w:adjustRightInd w:val="0"/>
              <w:snapToGrid w:val="0"/>
              <w:spacing w:line="240" w:lineRule="auto"/>
              <w:jc w:val="center"/>
              <w:rPr>
                <w:sz w:val="21"/>
                <w:szCs w:val="21"/>
              </w:rPr>
            </w:pPr>
            <w:r>
              <w:rPr>
                <w:sz w:val="21"/>
                <w:szCs w:val="21"/>
              </w:rPr>
              <w:t>n</w:t>
            </w:r>
          </w:p>
        </w:tc>
        <w:tc>
          <w:tcPr>
            <w:tcW w:w="2412" w:type="dxa"/>
            <w:tcBorders>
              <w:tl2br w:val="nil"/>
              <w:tr2bl w:val="nil"/>
            </w:tcBorders>
            <w:vAlign w:val="center"/>
          </w:tcPr>
          <w:p w14:paraId="04F4B3E5">
            <w:pPr>
              <w:adjustRightInd w:val="0"/>
              <w:snapToGrid w:val="0"/>
              <w:spacing w:line="240" w:lineRule="auto"/>
              <w:jc w:val="center"/>
              <w:rPr>
                <w:sz w:val="21"/>
                <w:szCs w:val="21"/>
              </w:rPr>
            </w:pPr>
            <w:r>
              <w:rPr>
                <w:sz w:val="21"/>
                <w:szCs w:val="21"/>
              </w:rPr>
              <w:t>≤0.8</w:t>
            </w:r>
          </w:p>
        </w:tc>
        <w:tc>
          <w:tcPr>
            <w:tcW w:w="1568" w:type="dxa"/>
            <w:tcBorders>
              <w:tl2br w:val="nil"/>
              <w:tr2bl w:val="nil"/>
            </w:tcBorders>
            <w:vAlign w:val="center"/>
          </w:tcPr>
          <w:p w14:paraId="36381C2D">
            <w:pPr>
              <w:adjustRightInd w:val="0"/>
              <w:snapToGrid w:val="0"/>
              <w:spacing w:line="240" w:lineRule="auto"/>
              <w:jc w:val="center"/>
              <w:rPr>
                <w:sz w:val="21"/>
                <w:szCs w:val="21"/>
              </w:rPr>
            </w:pPr>
            <w:r>
              <w:rPr>
                <w:sz w:val="21"/>
                <w:szCs w:val="21"/>
              </w:rPr>
              <w:t>≤1.44</w:t>
            </w:r>
          </w:p>
        </w:tc>
        <w:tc>
          <w:tcPr>
            <w:tcW w:w="1462" w:type="dxa"/>
            <w:gridSpan w:val="2"/>
            <w:tcBorders>
              <w:tl2br w:val="nil"/>
              <w:tr2bl w:val="nil"/>
            </w:tcBorders>
            <w:vAlign w:val="center"/>
          </w:tcPr>
          <w:p w14:paraId="3165F03C">
            <w:pPr>
              <w:adjustRightInd w:val="0"/>
              <w:snapToGrid w:val="0"/>
              <w:spacing w:line="240" w:lineRule="auto"/>
              <w:jc w:val="center"/>
              <w:rPr>
                <w:sz w:val="21"/>
                <w:szCs w:val="21"/>
              </w:rPr>
            </w:pPr>
            <w:r>
              <w:rPr>
                <w:sz w:val="21"/>
                <w:szCs w:val="21"/>
              </w:rPr>
              <w:t>≤2.4</w:t>
            </w:r>
          </w:p>
        </w:tc>
        <w:tc>
          <w:tcPr>
            <w:tcW w:w="3122" w:type="dxa"/>
            <w:gridSpan w:val="3"/>
            <w:tcBorders>
              <w:tl2br w:val="nil"/>
              <w:tr2bl w:val="nil"/>
            </w:tcBorders>
            <w:vAlign w:val="center"/>
          </w:tcPr>
          <w:p w14:paraId="5AAE04E9">
            <w:pPr>
              <w:adjustRightInd w:val="0"/>
              <w:snapToGrid w:val="0"/>
              <w:spacing w:line="240" w:lineRule="auto"/>
              <w:jc w:val="center"/>
              <w:rPr>
                <w:sz w:val="21"/>
                <w:szCs w:val="21"/>
              </w:rPr>
            </w:pPr>
            <w:r>
              <w:rPr>
                <w:sz w:val="21"/>
                <w:szCs w:val="21"/>
              </w:rPr>
              <w:t>/</w:t>
            </w:r>
          </w:p>
        </w:tc>
      </w:tr>
      <w:tr w14:paraId="4AE5984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68561DE4">
            <w:pPr>
              <w:adjustRightInd w:val="0"/>
              <w:snapToGrid w:val="0"/>
              <w:spacing w:line="240" w:lineRule="auto"/>
              <w:jc w:val="center"/>
              <w:rPr>
                <w:sz w:val="21"/>
                <w:szCs w:val="21"/>
              </w:rPr>
            </w:pPr>
            <w:r>
              <w:rPr>
                <w:sz w:val="21"/>
                <w:szCs w:val="21"/>
              </w:rPr>
              <w:t>18</w:t>
            </w:r>
          </w:p>
        </w:tc>
        <w:tc>
          <w:tcPr>
            <w:tcW w:w="770" w:type="dxa"/>
            <w:vMerge w:val="continue"/>
            <w:tcBorders>
              <w:tl2br w:val="nil"/>
              <w:tr2bl w:val="nil"/>
            </w:tcBorders>
            <w:vAlign w:val="center"/>
          </w:tcPr>
          <w:p w14:paraId="1522316A">
            <w:pPr>
              <w:adjustRightInd w:val="0"/>
              <w:snapToGrid w:val="0"/>
              <w:spacing w:line="240" w:lineRule="auto"/>
              <w:jc w:val="center"/>
              <w:rPr>
                <w:sz w:val="21"/>
                <w:szCs w:val="21"/>
              </w:rPr>
            </w:pPr>
          </w:p>
        </w:tc>
        <w:tc>
          <w:tcPr>
            <w:tcW w:w="703" w:type="dxa"/>
            <w:vMerge w:val="continue"/>
            <w:tcBorders>
              <w:tl2br w:val="nil"/>
              <w:tr2bl w:val="nil"/>
            </w:tcBorders>
            <w:vAlign w:val="center"/>
          </w:tcPr>
          <w:p w14:paraId="3F700F9B">
            <w:pPr>
              <w:adjustRightInd w:val="0"/>
              <w:snapToGrid w:val="0"/>
              <w:spacing w:line="240" w:lineRule="auto"/>
              <w:jc w:val="center"/>
              <w:rPr>
                <w:sz w:val="21"/>
                <w:szCs w:val="21"/>
              </w:rPr>
            </w:pPr>
          </w:p>
        </w:tc>
        <w:tc>
          <w:tcPr>
            <w:tcW w:w="914" w:type="dxa"/>
            <w:gridSpan w:val="2"/>
            <w:vMerge w:val="continue"/>
            <w:tcBorders>
              <w:tl2br w:val="nil"/>
              <w:tr2bl w:val="nil"/>
            </w:tcBorders>
            <w:vAlign w:val="center"/>
          </w:tcPr>
          <w:p w14:paraId="4E604605">
            <w:pPr>
              <w:adjustRightInd w:val="0"/>
              <w:snapToGrid w:val="0"/>
              <w:spacing w:line="240" w:lineRule="auto"/>
              <w:jc w:val="center"/>
              <w:rPr>
                <w:sz w:val="21"/>
                <w:szCs w:val="21"/>
              </w:rPr>
            </w:pPr>
          </w:p>
        </w:tc>
        <w:tc>
          <w:tcPr>
            <w:tcW w:w="902" w:type="dxa"/>
            <w:tcBorders>
              <w:tl2br w:val="nil"/>
              <w:tr2bl w:val="nil"/>
            </w:tcBorders>
            <w:vAlign w:val="center"/>
          </w:tcPr>
          <w:p w14:paraId="6B8ACF59">
            <w:pPr>
              <w:adjustRightInd w:val="0"/>
              <w:snapToGrid w:val="0"/>
              <w:spacing w:line="240" w:lineRule="auto"/>
              <w:jc w:val="center"/>
              <w:rPr>
                <w:sz w:val="21"/>
                <w:szCs w:val="21"/>
              </w:rPr>
            </w:pPr>
            <w:r>
              <w:rPr>
                <w:sz w:val="21"/>
                <w:szCs w:val="21"/>
              </w:rPr>
              <w:t>塑料包</w:t>
            </w:r>
          </w:p>
          <w:p w14:paraId="0EA199F5">
            <w:pPr>
              <w:adjustRightInd w:val="0"/>
              <w:snapToGrid w:val="0"/>
              <w:spacing w:line="240" w:lineRule="auto"/>
              <w:jc w:val="center"/>
              <w:rPr>
                <w:sz w:val="21"/>
                <w:szCs w:val="21"/>
              </w:rPr>
            </w:pPr>
            <w:r>
              <w:rPr>
                <w:sz w:val="21"/>
                <w:szCs w:val="21"/>
              </w:rPr>
              <w:t>装</w:t>
            </w:r>
          </w:p>
        </w:tc>
        <w:tc>
          <w:tcPr>
            <w:tcW w:w="821" w:type="dxa"/>
            <w:tcBorders>
              <w:tl2br w:val="nil"/>
              <w:tr2bl w:val="nil"/>
            </w:tcBorders>
            <w:vAlign w:val="center"/>
          </w:tcPr>
          <w:p w14:paraId="41789D6E">
            <w:pPr>
              <w:adjustRightInd w:val="0"/>
              <w:snapToGrid w:val="0"/>
              <w:spacing w:line="240" w:lineRule="auto"/>
              <w:jc w:val="center"/>
              <w:rPr>
                <w:sz w:val="21"/>
                <w:szCs w:val="21"/>
              </w:rPr>
            </w:pPr>
            <w:r>
              <w:rPr>
                <w:sz w:val="21"/>
                <w:szCs w:val="21"/>
              </w:rPr>
              <w:t>m3/万</w:t>
            </w:r>
          </w:p>
          <w:p w14:paraId="2CEEF413">
            <w:pPr>
              <w:adjustRightInd w:val="0"/>
              <w:snapToGrid w:val="0"/>
              <w:spacing w:line="240" w:lineRule="auto"/>
              <w:jc w:val="center"/>
              <w:rPr>
                <w:sz w:val="21"/>
                <w:szCs w:val="21"/>
              </w:rPr>
            </w:pPr>
            <w:r>
              <w:rPr>
                <w:sz w:val="21"/>
                <w:szCs w:val="21"/>
              </w:rPr>
              <w:t>元</w:t>
            </w:r>
          </w:p>
        </w:tc>
        <w:tc>
          <w:tcPr>
            <w:tcW w:w="711" w:type="dxa"/>
            <w:tcBorders>
              <w:tl2br w:val="nil"/>
              <w:tr2bl w:val="nil"/>
            </w:tcBorders>
            <w:vAlign w:val="center"/>
          </w:tcPr>
          <w:p w14:paraId="7A370883">
            <w:pPr>
              <w:adjustRightInd w:val="0"/>
              <w:snapToGrid w:val="0"/>
              <w:spacing w:line="240" w:lineRule="auto"/>
              <w:jc w:val="center"/>
              <w:rPr>
                <w:sz w:val="21"/>
                <w:szCs w:val="21"/>
              </w:rPr>
            </w:pPr>
            <w:r>
              <w:rPr>
                <w:sz w:val="21"/>
                <w:szCs w:val="21"/>
              </w:rPr>
              <w:t>0.25/</w:t>
            </w:r>
          </w:p>
          <w:p w14:paraId="4D3B6474">
            <w:pPr>
              <w:adjustRightInd w:val="0"/>
              <w:snapToGrid w:val="0"/>
              <w:spacing w:line="240" w:lineRule="auto"/>
              <w:jc w:val="center"/>
              <w:rPr>
                <w:sz w:val="21"/>
                <w:szCs w:val="21"/>
              </w:rPr>
            </w:pPr>
            <w:r>
              <w:rPr>
                <w:sz w:val="21"/>
                <w:szCs w:val="21"/>
              </w:rPr>
              <w:t>n</w:t>
            </w:r>
          </w:p>
        </w:tc>
        <w:tc>
          <w:tcPr>
            <w:tcW w:w="2413" w:type="dxa"/>
            <w:tcBorders>
              <w:tl2br w:val="nil"/>
              <w:tr2bl w:val="nil"/>
            </w:tcBorders>
            <w:vAlign w:val="center"/>
          </w:tcPr>
          <w:p w14:paraId="10F4ABE4">
            <w:pPr>
              <w:adjustRightInd w:val="0"/>
              <w:snapToGrid w:val="0"/>
              <w:spacing w:line="240" w:lineRule="auto"/>
              <w:jc w:val="center"/>
              <w:rPr>
                <w:sz w:val="21"/>
                <w:szCs w:val="21"/>
              </w:rPr>
            </w:pPr>
            <w:r>
              <w:rPr>
                <w:sz w:val="21"/>
                <w:szCs w:val="21"/>
              </w:rPr>
              <w:t>≤0.88</w:t>
            </w:r>
          </w:p>
        </w:tc>
        <w:tc>
          <w:tcPr>
            <w:tcW w:w="1564" w:type="dxa"/>
            <w:tcBorders>
              <w:tl2br w:val="nil"/>
              <w:tr2bl w:val="nil"/>
            </w:tcBorders>
            <w:vAlign w:val="center"/>
          </w:tcPr>
          <w:p w14:paraId="4A903061">
            <w:pPr>
              <w:adjustRightInd w:val="0"/>
              <w:snapToGrid w:val="0"/>
              <w:spacing w:line="240" w:lineRule="auto"/>
              <w:jc w:val="center"/>
              <w:rPr>
                <w:sz w:val="21"/>
                <w:szCs w:val="21"/>
              </w:rPr>
            </w:pPr>
            <w:r>
              <w:rPr>
                <w:sz w:val="21"/>
                <w:szCs w:val="21"/>
              </w:rPr>
              <w:t>≤2</w:t>
            </w:r>
          </w:p>
        </w:tc>
        <w:tc>
          <w:tcPr>
            <w:tcW w:w="1462" w:type="dxa"/>
            <w:gridSpan w:val="2"/>
            <w:tcBorders>
              <w:tl2br w:val="nil"/>
              <w:tr2bl w:val="nil"/>
            </w:tcBorders>
            <w:vAlign w:val="center"/>
          </w:tcPr>
          <w:p w14:paraId="37F5A5E9">
            <w:pPr>
              <w:adjustRightInd w:val="0"/>
              <w:snapToGrid w:val="0"/>
              <w:spacing w:line="240" w:lineRule="auto"/>
              <w:jc w:val="center"/>
              <w:rPr>
                <w:sz w:val="21"/>
                <w:szCs w:val="21"/>
              </w:rPr>
            </w:pPr>
            <w:r>
              <w:rPr>
                <w:sz w:val="21"/>
                <w:szCs w:val="21"/>
              </w:rPr>
              <w:t>≤2.4</w:t>
            </w:r>
          </w:p>
        </w:tc>
        <w:tc>
          <w:tcPr>
            <w:tcW w:w="3122" w:type="dxa"/>
            <w:gridSpan w:val="3"/>
            <w:tcBorders>
              <w:tl2br w:val="nil"/>
              <w:tr2bl w:val="nil"/>
            </w:tcBorders>
            <w:vAlign w:val="center"/>
          </w:tcPr>
          <w:p w14:paraId="79928017">
            <w:pPr>
              <w:adjustRightInd w:val="0"/>
              <w:snapToGrid w:val="0"/>
              <w:spacing w:line="240" w:lineRule="auto"/>
              <w:jc w:val="center"/>
              <w:rPr>
                <w:sz w:val="21"/>
                <w:szCs w:val="21"/>
              </w:rPr>
            </w:pPr>
            <w:r>
              <w:rPr>
                <w:rFonts w:hint="eastAsia"/>
                <w:sz w:val="21"/>
                <w:szCs w:val="21"/>
              </w:rPr>
              <w:t>一</w:t>
            </w:r>
            <w:r>
              <w:rPr>
                <w:sz w:val="21"/>
                <w:szCs w:val="21"/>
              </w:rPr>
              <w:t>级</w:t>
            </w:r>
          </w:p>
        </w:tc>
      </w:tr>
      <w:tr w14:paraId="7BF171B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487640A8">
            <w:pPr>
              <w:adjustRightInd w:val="0"/>
              <w:snapToGrid w:val="0"/>
              <w:spacing w:line="240" w:lineRule="auto"/>
              <w:jc w:val="center"/>
              <w:rPr>
                <w:sz w:val="21"/>
                <w:szCs w:val="21"/>
              </w:rPr>
            </w:pPr>
            <w:r>
              <w:rPr>
                <w:sz w:val="21"/>
                <w:szCs w:val="21"/>
              </w:rPr>
              <w:t>19</w:t>
            </w:r>
          </w:p>
        </w:tc>
        <w:tc>
          <w:tcPr>
            <w:tcW w:w="770" w:type="dxa"/>
            <w:vMerge w:val="continue"/>
            <w:tcBorders>
              <w:tl2br w:val="nil"/>
              <w:tr2bl w:val="nil"/>
            </w:tcBorders>
            <w:vAlign w:val="center"/>
          </w:tcPr>
          <w:p w14:paraId="7FCF5AA3">
            <w:pPr>
              <w:adjustRightInd w:val="0"/>
              <w:snapToGrid w:val="0"/>
              <w:spacing w:line="240" w:lineRule="auto"/>
              <w:jc w:val="center"/>
              <w:rPr>
                <w:sz w:val="21"/>
                <w:szCs w:val="21"/>
              </w:rPr>
            </w:pPr>
          </w:p>
        </w:tc>
        <w:tc>
          <w:tcPr>
            <w:tcW w:w="703" w:type="dxa"/>
            <w:vMerge w:val="continue"/>
            <w:tcBorders>
              <w:tl2br w:val="nil"/>
              <w:tr2bl w:val="nil"/>
            </w:tcBorders>
            <w:vAlign w:val="center"/>
          </w:tcPr>
          <w:p w14:paraId="75506B8E">
            <w:pPr>
              <w:adjustRightInd w:val="0"/>
              <w:snapToGrid w:val="0"/>
              <w:spacing w:line="240" w:lineRule="auto"/>
              <w:jc w:val="center"/>
              <w:rPr>
                <w:sz w:val="21"/>
                <w:szCs w:val="21"/>
              </w:rPr>
            </w:pPr>
          </w:p>
        </w:tc>
        <w:tc>
          <w:tcPr>
            <w:tcW w:w="914" w:type="dxa"/>
            <w:gridSpan w:val="2"/>
            <w:vMerge w:val="restart"/>
            <w:tcBorders>
              <w:tl2br w:val="nil"/>
              <w:tr2bl w:val="nil"/>
            </w:tcBorders>
            <w:vAlign w:val="center"/>
          </w:tcPr>
          <w:p w14:paraId="06C8E689">
            <w:pPr>
              <w:adjustRightInd w:val="0"/>
              <w:snapToGrid w:val="0"/>
              <w:spacing w:line="240" w:lineRule="auto"/>
              <w:jc w:val="center"/>
              <w:rPr>
                <w:sz w:val="21"/>
                <w:szCs w:val="21"/>
              </w:rPr>
            </w:pPr>
            <w:r>
              <w:rPr>
                <w:sz w:val="21"/>
                <w:szCs w:val="21"/>
              </w:rPr>
              <w:t>单位产品/产值挥发性有机物（VOC</w:t>
            </w:r>
          </w:p>
          <w:p w14:paraId="5493FD1F">
            <w:pPr>
              <w:adjustRightInd w:val="0"/>
              <w:snapToGrid w:val="0"/>
              <w:spacing w:line="240" w:lineRule="auto"/>
              <w:jc w:val="center"/>
              <w:rPr>
                <w:sz w:val="21"/>
                <w:szCs w:val="21"/>
              </w:rPr>
            </w:pPr>
            <w:r>
              <w:rPr>
                <w:sz w:val="21"/>
                <w:szCs w:val="21"/>
              </w:rPr>
              <w:t>s）产生量*</w:t>
            </w:r>
          </w:p>
        </w:tc>
        <w:tc>
          <w:tcPr>
            <w:tcW w:w="902" w:type="dxa"/>
            <w:tcBorders>
              <w:tl2br w:val="nil"/>
              <w:tr2bl w:val="nil"/>
            </w:tcBorders>
            <w:vAlign w:val="center"/>
          </w:tcPr>
          <w:p w14:paraId="019042D7">
            <w:pPr>
              <w:adjustRightInd w:val="0"/>
              <w:snapToGrid w:val="0"/>
              <w:spacing w:line="240" w:lineRule="auto"/>
              <w:jc w:val="center"/>
              <w:rPr>
                <w:sz w:val="21"/>
                <w:szCs w:val="21"/>
              </w:rPr>
            </w:pPr>
            <w:r>
              <w:rPr>
                <w:sz w:val="21"/>
                <w:szCs w:val="21"/>
              </w:rPr>
              <w:t>纸质包</w:t>
            </w:r>
          </w:p>
          <w:p w14:paraId="01E52B10">
            <w:pPr>
              <w:adjustRightInd w:val="0"/>
              <w:snapToGrid w:val="0"/>
              <w:spacing w:line="240" w:lineRule="auto"/>
              <w:jc w:val="center"/>
              <w:rPr>
                <w:sz w:val="21"/>
                <w:szCs w:val="21"/>
              </w:rPr>
            </w:pPr>
            <w:r>
              <w:rPr>
                <w:sz w:val="21"/>
                <w:szCs w:val="21"/>
              </w:rPr>
              <w:t>装</w:t>
            </w:r>
          </w:p>
        </w:tc>
        <w:tc>
          <w:tcPr>
            <w:tcW w:w="821" w:type="dxa"/>
            <w:tcBorders>
              <w:tl2br w:val="nil"/>
              <w:tr2bl w:val="nil"/>
            </w:tcBorders>
            <w:vAlign w:val="center"/>
          </w:tcPr>
          <w:p w14:paraId="45B4B02F">
            <w:pPr>
              <w:adjustRightInd w:val="0"/>
              <w:snapToGrid w:val="0"/>
              <w:spacing w:line="240" w:lineRule="auto"/>
              <w:jc w:val="center"/>
              <w:rPr>
                <w:sz w:val="21"/>
                <w:szCs w:val="21"/>
              </w:rPr>
            </w:pPr>
            <w:r>
              <w:rPr>
                <w:sz w:val="21"/>
                <w:szCs w:val="21"/>
              </w:rPr>
              <w:t>kg/千</w:t>
            </w:r>
          </w:p>
          <w:p w14:paraId="6F2F2379">
            <w:pPr>
              <w:adjustRightInd w:val="0"/>
              <w:snapToGrid w:val="0"/>
              <w:spacing w:line="240" w:lineRule="auto"/>
              <w:jc w:val="center"/>
              <w:rPr>
                <w:sz w:val="21"/>
                <w:szCs w:val="21"/>
              </w:rPr>
            </w:pPr>
            <w:r>
              <w:rPr>
                <w:sz w:val="21"/>
                <w:szCs w:val="21"/>
              </w:rPr>
              <w:t>色令</w:t>
            </w:r>
          </w:p>
        </w:tc>
        <w:tc>
          <w:tcPr>
            <w:tcW w:w="711" w:type="dxa"/>
            <w:tcBorders>
              <w:tl2br w:val="nil"/>
              <w:tr2bl w:val="nil"/>
            </w:tcBorders>
            <w:vAlign w:val="center"/>
          </w:tcPr>
          <w:p w14:paraId="34B25C89">
            <w:pPr>
              <w:adjustRightInd w:val="0"/>
              <w:snapToGrid w:val="0"/>
              <w:spacing w:line="240" w:lineRule="auto"/>
              <w:jc w:val="center"/>
              <w:rPr>
                <w:sz w:val="21"/>
                <w:szCs w:val="21"/>
              </w:rPr>
            </w:pPr>
            <w:r>
              <w:rPr>
                <w:sz w:val="21"/>
                <w:szCs w:val="21"/>
              </w:rPr>
              <w:t>0.35/</w:t>
            </w:r>
          </w:p>
          <w:p w14:paraId="3D08071D">
            <w:pPr>
              <w:adjustRightInd w:val="0"/>
              <w:snapToGrid w:val="0"/>
              <w:spacing w:line="240" w:lineRule="auto"/>
              <w:jc w:val="center"/>
              <w:rPr>
                <w:sz w:val="21"/>
                <w:szCs w:val="21"/>
              </w:rPr>
            </w:pPr>
            <w:r>
              <w:rPr>
                <w:sz w:val="21"/>
                <w:szCs w:val="21"/>
              </w:rPr>
              <w:t>n</w:t>
            </w:r>
          </w:p>
        </w:tc>
        <w:tc>
          <w:tcPr>
            <w:tcW w:w="2413" w:type="dxa"/>
            <w:tcBorders>
              <w:tl2br w:val="nil"/>
              <w:tr2bl w:val="nil"/>
            </w:tcBorders>
            <w:vAlign w:val="center"/>
          </w:tcPr>
          <w:p w14:paraId="4BC2718E">
            <w:pPr>
              <w:adjustRightInd w:val="0"/>
              <w:snapToGrid w:val="0"/>
              <w:spacing w:line="240" w:lineRule="auto"/>
              <w:jc w:val="center"/>
              <w:rPr>
                <w:sz w:val="21"/>
                <w:szCs w:val="21"/>
              </w:rPr>
            </w:pPr>
            <w:r>
              <w:rPr>
                <w:sz w:val="21"/>
                <w:szCs w:val="21"/>
              </w:rPr>
              <w:t>≤0.59</w:t>
            </w:r>
          </w:p>
        </w:tc>
        <w:tc>
          <w:tcPr>
            <w:tcW w:w="1564" w:type="dxa"/>
            <w:tcBorders>
              <w:tl2br w:val="nil"/>
              <w:tr2bl w:val="nil"/>
            </w:tcBorders>
            <w:vAlign w:val="center"/>
          </w:tcPr>
          <w:p w14:paraId="5F30A5FF">
            <w:pPr>
              <w:adjustRightInd w:val="0"/>
              <w:snapToGrid w:val="0"/>
              <w:spacing w:line="240" w:lineRule="auto"/>
              <w:jc w:val="center"/>
              <w:rPr>
                <w:sz w:val="21"/>
                <w:szCs w:val="21"/>
              </w:rPr>
            </w:pPr>
            <w:r>
              <w:rPr>
                <w:sz w:val="21"/>
                <w:szCs w:val="21"/>
              </w:rPr>
              <w:t>≤1.85</w:t>
            </w:r>
          </w:p>
        </w:tc>
        <w:tc>
          <w:tcPr>
            <w:tcW w:w="1462" w:type="dxa"/>
            <w:gridSpan w:val="2"/>
            <w:tcBorders>
              <w:tl2br w:val="nil"/>
              <w:tr2bl w:val="nil"/>
            </w:tcBorders>
            <w:vAlign w:val="center"/>
          </w:tcPr>
          <w:p w14:paraId="22011D52">
            <w:pPr>
              <w:adjustRightInd w:val="0"/>
              <w:snapToGrid w:val="0"/>
              <w:spacing w:line="240" w:lineRule="auto"/>
              <w:jc w:val="center"/>
              <w:rPr>
                <w:sz w:val="21"/>
                <w:szCs w:val="21"/>
              </w:rPr>
            </w:pPr>
            <w:r>
              <w:rPr>
                <w:sz w:val="21"/>
                <w:szCs w:val="21"/>
              </w:rPr>
              <w:t>≤15.56</w:t>
            </w:r>
          </w:p>
        </w:tc>
        <w:tc>
          <w:tcPr>
            <w:tcW w:w="3122" w:type="dxa"/>
            <w:gridSpan w:val="3"/>
            <w:tcBorders>
              <w:tl2br w:val="nil"/>
              <w:tr2bl w:val="nil"/>
            </w:tcBorders>
            <w:vAlign w:val="center"/>
          </w:tcPr>
          <w:p w14:paraId="44904280">
            <w:pPr>
              <w:adjustRightInd w:val="0"/>
              <w:snapToGrid w:val="0"/>
              <w:spacing w:line="240" w:lineRule="auto"/>
              <w:jc w:val="center"/>
              <w:rPr>
                <w:sz w:val="21"/>
                <w:szCs w:val="21"/>
              </w:rPr>
            </w:pPr>
            <w:r>
              <w:rPr>
                <w:sz w:val="21"/>
                <w:szCs w:val="21"/>
              </w:rPr>
              <w:t>/</w:t>
            </w:r>
          </w:p>
        </w:tc>
      </w:tr>
      <w:tr w14:paraId="19801E3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34BE1CE2">
            <w:pPr>
              <w:adjustRightInd w:val="0"/>
              <w:snapToGrid w:val="0"/>
              <w:spacing w:line="240" w:lineRule="auto"/>
              <w:jc w:val="center"/>
              <w:rPr>
                <w:sz w:val="21"/>
                <w:szCs w:val="21"/>
              </w:rPr>
            </w:pPr>
            <w:r>
              <w:rPr>
                <w:sz w:val="21"/>
                <w:szCs w:val="21"/>
              </w:rPr>
              <w:t>20</w:t>
            </w:r>
          </w:p>
        </w:tc>
        <w:tc>
          <w:tcPr>
            <w:tcW w:w="770" w:type="dxa"/>
            <w:vMerge w:val="continue"/>
            <w:tcBorders>
              <w:tl2br w:val="nil"/>
              <w:tr2bl w:val="nil"/>
            </w:tcBorders>
            <w:vAlign w:val="center"/>
          </w:tcPr>
          <w:p w14:paraId="287568CB">
            <w:pPr>
              <w:adjustRightInd w:val="0"/>
              <w:snapToGrid w:val="0"/>
              <w:spacing w:line="240" w:lineRule="auto"/>
              <w:jc w:val="center"/>
              <w:rPr>
                <w:sz w:val="21"/>
                <w:szCs w:val="21"/>
              </w:rPr>
            </w:pPr>
          </w:p>
        </w:tc>
        <w:tc>
          <w:tcPr>
            <w:tcW w:w="703" w:type="dxa"/>
            <w:vMerge w:val="continue"/>
            <w:tcBorders>
              <w:tl2br w:val="nil"/>
              <w:tr2bl w:val="nil"/>
            </w:tcBorders>
            <w:vAlign w:val="center"/>
          </w:tcPr>
          <w:p w14:paraId="7AFD6DAF">
            <w:pPr>
              <w:adjustRightInd w:val="0"/>
              <w:snapToGrid w:val="0"/>
              <w:spacing w:line="240" w:lineRule="auto"/>
              <w:jc w:val="center"/>
              <w:rPr>
                <w:sz w:val="21"/>
                <w:szCs w:val="21"/>
              </w:rPr>
            </w:pPr>
          </w:p>
        </w:tc>
        <w:tc>
          <w:tcPr>
            <w:tcW w:w="914" w:type="dxa"/>
            <w:gridSpan w:val="2"/>
            <w:vMerge w:val="continue"/>
            <w:tcBorders>
              <w:tl2br w:val="nil"/>
              <w:tr2bl w:val="nil"/>
            </w:tcBorders>
            <w:vAlign w:val="center"/>
          </w:tcPr>
          <w:p w14:paraId="5872C973">
            <w:pPr>
              <w:adjustRightInd w:val="0"/>
              <w:snapToGrid w:val="0"/>
              <w:spacing w:line="240" w:lineRule="auto"/>
              <w:jc w:val="center"/>
              <w:rPr>
                <w:sz w:val="21"/>
                <w:szCs w:val="21"/>
              </w:rPr>
            </w:pPr>
          </w:p>
        </w:tc>
        <w:tc>
          <w:tcPr>
            <w:tcW w:w="902" w:type="dxa"/>
            <w:tcBorders>
              <w:tl2br w:val="nil"/>
              <w:tr2bl w:val="nil"/>
            </w:tcBorders>
            <w:vAlign w:val="center"/>
          </w:tcPr>
          <w:p w14:paraId="6FEFE77D">
            <w:pPr>
              <w:adjustRightInd w:val="0"/>
              <w:snapToGrid w:val="0"/>
              <w:spacing w:line="240" w:lineRule="auto"/>
              <w:jc w:val="center"/>
              <w:rPr>
                <w:sz w:val="21"/>
                <w:szCs w:val="21"/>
              </w:rPr>
            </w:pPr>
            <w:r>
              <w:rPr>
                <w:sz w:val="21"/>
                <w:szCs w:val="21"/>
              </w:rPr>
              <w:t>塑料包装</w:t>
            </w:r>
          </w:p>
        </w:tc>
        <w:tc>
          <w:tcPr>
            <w:tcW w:w="821" w:type="dxa"/>
            <w:tcBorders>
              <w:tl2br w:val="nil"/>
              <w:tr2bl w:val="nil"/>
            </w:tcBorders>
            <w:vAlign w:val="center"/>
          </w:tcPr>
          <w:p w14:paraId="322EF832">
            <w:pPr>
              <w:adjustRightInd w:val="0"/>
              <w:snapToGrid w:val="0"/>
              <w:spacing w:line="240" w:lineRule="auto"/>
              <w:jc w:val="center"/>
              <w:rPr>
                <w:sz w:val="21"/>
                <w:szCs w:val="21"/>
              </w:rPr>
            </w:pPr>
            <w:r>
              <w:rPr>
                <w:sz w:val="21"/>
                <w:szCs w:val="21"/>
              </w:rPr>
              <w:t>kg/万元</w:t>
            </w:r>
          </w:p>
        </w:tc>
        <w:tc>
          <w:tcPr>
            <w:tcW w:w="711" w:type="dxa"/>
            <w:tcBorders>
              <w:tl2br w:val="nil"/>
              <w:tr2bl w:val="nil"/>
            </w:tcBorders>
            <w:vAlign w:val="center"/>
          </w:tcPr>
          <w:p w14:paraId="03271693">
            <w:pPr>
              <w:adjustRightInd w:val="0"/>
              <w:snapToGrid w:val="0"/>
              <w:spacing w:line="240" w:lineRule="auto"/>
              <w:jc w:val="center"/>
              <w:rPr>
                <w:sz w:val="21"/>
                <w:szCs w:val="21"/>
              </w:rPr>
            </w:pPr>
            <w:r>
              <w:rPr>
                <w:sz w:val="21"/>
                <w:szCs w:val="21"/>
              </w:rPr>
              <w:t>0.35/</w:t>
            </w:r>
          </w:p>
          <w:p w14:paraId="4272F318">
            <w:pPr>
              <w:adjustRightInd w:val="0"/>
              <w:snapToGrid w:val="0"/>
              <w:spacing w:line="240" w:lineRule="auto"/>
              <w:jc w:val="center"/>
              <w:rPr>
                <w:sz w:val="21"/>
                <w:szCs w:val="21"/>
              </w:rPr>
            </w:pPr>
            <w:r>
              <w:rPr>
                <w:sz w:val="21"/>
                <w:szCs w:val="21"/>
              </w:rPr>
              <w:t>n</w:t>
            </w:r>
          </w:p>
        </w:tc>
        <w:tc>
          <w:tcPr>
            <w:tcW w:w="2413" w:type="dxa"/>
            <w:tcBorders>
              <w:tl2br w:val="nil"/>
              <w:tr2bl w:val="nil"/>
            </w:tcBorders>
            <w:vAlign w:val="center"/>
          </w:tcPr>
          <w:p w14:paraId="12D3802E">
            <w:pPr>
              <w:adjustRightInd w:val="0"/>
              <w:snapToGrid w:val="0"/>
              <w:spacing w:line="240" w:lineRule="auto"/>
              <w:jc w:val="center"/>
              <w:rPr>
                <w:sz w:val="21"/>
                <w:szCs w:val="21"/>
              </w:rPr>
            </w:pPr>
            <w:r>
              <w:rPr>
                <w:sz w:val="21"/>
                <w:szCs w:val="21"/>
              </w:rPr>
              <w:t>≤0.94</w:t>
            </w:r>
          </w:p>
        </w:tc>
        <w:tc>
          <w:tcPr>
            <w:tcW w:w="1564" w:type="dxa"/>
            <w:tcBorders>
              <w:tl2br w:val="nil"/>
              <w:tr2bl w:val="nil"/>
            </w:tcBorders>
            <w:vAlign w:val="center"/>
          </w:tcPr>
          <w:p w14:paraId="027EE3A2">
            <w:pPr>
              <w:adjustRightInd w:val="0"/>
              <w:snapToGrid w:val="0"/>
              <w:spacing w:line="240" w:lineRule="auto"/>
              <w:jc w:val="center"/>
              <w:rPr>
                <w:sz w:val="21"/>
                <w:szCs w:val="21"/>
              </w:rPr>
            </w:pPr>
            <w:r>
              <w:rPr>
                <w:sz w:val="21"/>
                <w:szCs w:val="21"/>
              </w:rPr>
              <w:t>≤6.28</w:t>
            </w:r>
          </w:p>
        </w:tc>
        <w:tc>
          <w:tcPr>
            <w:tcW w:w="1462" w:type="dxa"/>
            <w:gridSpan w:val="2"/>
            <w:tcBorders>
              <w:tl2br w:val="nil"/>
              <w:tr2bl w:val="nil"/>
            </w:tcBorders>
            <w:vAlign w:val="center"/>
          </w:tcPr>
          <w:p w14:paraId="7B15B0D8">
            <w:pPr>
              <w:adjustRightInd w:val="0"/>
              <w:snapToGrid w:val="0"/>
              <w:spacing w:line="240" w:lineRule="auto"/>
              <w:jc w:val="center"/>
              <w:rPr>
                <w:sz w:val="21"/>
                <w:szCs w:val="21"/>
              </w:rPr>
            </w:pPr>
            <w:r>
              <w:rPr>
                <w:sz w:val="21"/>
                <w:szCs w:val="21"/>
              </w:rPr>
              <w:t>≤16.67</w:t>
            </w:r>
          </w:p>
        </w:tc>
        <w:tc>
          <w:tcPr>
            <w:tcW w:w="3122" w:type="dxa"/>
            <w:gridSpan w:val="3"/>
            <w:tcBorders>
              <w:tl2br w:val="nil"/>
              <w:tr2bl w:val="nil"/>
            </w:tcBorders>
            <w:vAlign w:val="center"/>
          </w:tcPr>
          <w:p w14:paraId="28D93FF4">
            <w:pPr>
              <w:adjustRightInd w:val="0"/>
              <w:snapToGrid w:val="0"/>
              <w:spacing w:line="240" w:lineRule="auto"/>
              <w:jc w:val="center"/>
              <w:rPr>
                <w:sz w:val="21"/>
                <w:szCs w:val="21"/>
              </w:rPr>
            </w:pPr>
            <w:r>
              <w:rPr>
                <w:rFonts w:hint="eastAsia"/>
                <w:sz w:val="21"/>
                <w:szCs w:val="21"/>
              </w:rPr>
              <w:t>三</w:t>
            </w:r>
            <w:r>
              <w:rPr>
                <w:sz w:val="21"/>
                <w:szCs w:val="21"/>
              </w:rPr>
              <w:t>级</w:t>
            </w:r>
          </w:p>
        </w:tc>
      </w:tr>
      <w:tr w14:paraId="5135CAE5">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5AF57EFC">
            <w:pPr>
              <w:adjustRightInd w:val="0"/>
              <w:snapToGrid w:val="0"/>
              <w:spacing w:line="240" w:lineRule="auto"/>
              <w:jc w:val="center"/>
              <w:rPr>
                <w:sz w:val="21"/>
                <w:szCs w:val="21"/>
              </w:rPr>
            </w:pPr>
            <w:r>
              <w:rPr>
                <w:sz w:val="21"/>
                <w:szCs w:val="21"/>
              </w:rPr>
              <w:t>21</w:t>
            </w:r>
          </w:p>
        </w:tc>
        <w:tc>
          <w:tcPr>
            <w:tcW w:w="770" w:type="dxa"/>
            <w:vMerge w:val="continue"/>
            <w:tcBorders>
              <w:tl2br w:val="nil"/>
              <w:tr2bl w:val="nil"/>
            </w:tcBorders>
            <w:vAlign w:val="center"/>
          </w:tcPr>
          <w:p w14:paraId="4905BBFB">
            <w:pPr>
              <w:adjustRightInd w:val="0"/>
              <w:snapToGrid w:val="0"/>
              <w:spacing w:line="240" w:lineRule="auto"/>
              <w:jc w:val="center"/>
              <w:rPr>
                <w:sz w:val="21"/>
                <w:szCs w:val="21"/>
              </w:rPr>
            </w:pPr>
          </w:p>
        </w:tc>
        <w:tc>
          <w:tcPr>
            <w:tcW w:w="703" w:type="dxa"/>
            <w:vMerge w:val="continue"/>
            <w:tcBorders>
              <w:tl2br w:val="nil"/>
              <w:tr2bl w:val="nil"/>
            </w:tcBorders>
            <w:vAlign w:val="center"/>
          </w:tcPr>
          <w:p w14:paraId="628C4F38">
            <w:pPr>
              <w:adjustRightInd w:val="0"/>
              <w:snapToGrid w:val="0"/>
              <w:spacing w:line="240" w:lineRule="auto"/>
              <w:jc w:val="center"/>
              <w:rPr>
                <w:sz w:val="21"/>
                <w:szCs w:val="21"/>
              </w:rPr>
            </w:pPr>
          </w:p>
        </w:tc>
        <w:tc>
          <w:tcPr>
            <w:tcW w:w="1816" w:type="dxa"/>
            <w:gridSpan w:val="3"/>
            <w:tcBorders>
              <w:tl2br w:val="nil"/>
              <w:tr2bl w:val="nil"/>
            </w:tcBorders>
            <w:vAlign w:val="center"/>
          </w:tcPr>
          <w:p w14:paraId="12EE5BBE">
            <w:pPr>
              <w:adjustRightInd w:val="0"/>
              <w:snapToGrid w:val="0"/>
              <w:spacing w:line="240" w:lineRule="auto"/>
              <w:jc w:val="center"/>
              <w:rPr>
                <w:sz w:val="21"/>
                <w:szCs w:val="21"/>
              </w:rPr>
            </w:pPr>
            <w:r>
              <w:rPr>
                <w:sz w:val="21"/>
                <w:szCs w:val="21"/>
              </w:rPr>
              <w:t>单位产值一般工业固体废弃物产</w:t>
            </w:r>
          </w:p>
          <w:p w14:paraId="4D941AB1">
            <w:pPr>
              <w:adjustRightInd w:val="0"/>
              <w:snapToGrid w:val="0"/>
              <w:spacing w:line="240" w:lineRule="auto"/>
              <w:jc w:val="center"/>
              <w:rPr>
                <w:sz w:val="21"/>
                <w:szCs w:val="21"/>
              </w:rPr>
            </w:pPr>
            <w:r>
              <w:rPr>
                <w:sz w:val="21"/>
                <w:szCs w:val="21"/>
              </w:rPr>
              <w:t>生量</w:t>
            </w:r>
          </w:p>
        </w:tc>
        <w:tc>
          <w:tcPr>
            <w:tcW w:w="821" w:type="dxa"/>
            <w:tcBorders>
              <w:tl2br w:val="nil"/>
              <w:tr2bl w:val="nil"/>
            </w:tcBorders>
            <w:vAlign w:val="center"/>
          </w:tcPr>
          <w:p w14:paraId="050978D9">
            <w:pPr>
              <w:adjustRightInd w:val="0"/>
              <w:snapToGrid w:val="0"/>
              <w:spacing w:line="240" w:lineRule="auto"/>
              <w:jc w:val="center"/>
              <w:rPr>
                <w:sz w:val="21"/>
                <w:szCs w:val="21"/>
              </w:rPr>
            </w:pPr>
            <w:r>
              <w:rPr>
                <w:sz w:val="21"/>
                <w:szCs w:val="21"/>
              </w:rPr>
              <w:t>kg/万元</w:t>
            </w:r>
          </w:p>
        </w:tc>
        <w:tc>
          <w:tcPr>
            <w:tcW w:w="711" w:type="dxa"/>
            <w:tcBorders>
              <w:tl2br w:val="nil"/>
              <w:tr2bl w:val="nil"/>
            </w:tcBorders>
            <w:vAlign w:val="center"/>
          </w:tcPr>
          <w:p w14:paraId="211DCF22">
            <w:pPr>
              <w:adjustRightInd w:val="0"/>
              <w:snapToGrid w:val="0"/>
              <w:spacing w:line="240" w:lineRule="auto"/>
              <w:jc w:val="center"/>
              <w:rPr>
                <w:sz w:val="21"/>
                <w:szCs w:val="21"/>
              </w:rPr>
            </w:pPr>
            <w:r>
              <w:rPr>
                <w:sz w:val="21"/>
                <w:szCs w:val="21"/>
              </w:rPr>
              <w:t>0.1</w:t>
            </w:r>
          </w:p>
        </w:tc>
        <w:tc>
          <w:tcPr>
            <w:tcW w:w="2413" w:type="dxa"/>
            <w:tcBorders>
              <w:tl2br w:val="nil"/>
              <w:tr2bl w:val="nil"/>
            </w:tcBorders>
            <w:vAlign w:val="center"/>
          </w:tcPr>
          <w:p w14:paraId="53A6EB4A">
            <w:pPr>
              <w:adjustRightInd w:val="0"/>
              <w:snapToGrid w:val="0"/>
              <w:spacing w:line="240" w:lineRule="auto"/>
              <w:jc w:val="center"/>
              <w:rPr>
                <w:sz w:val="21"/>
                <w:szCs w:val="21"/>
              </w:rPr>
            </w:pPr>
            <w:r>
              <w:rPr>
                <w:sz w:val="21"/>
                <w:szCs w:val="21"/>
              </w:rPr>
              <w:t>≤50</w:t>
            </w:r>
          </w:p>
        </w:tc>
        <w:tc>
          <w:tcPr>
            <w:tcW w:w="1564" w:type="dxa"/>
            <w:tcBorders>
              <w:tl2br w:val="nil"/>
              <w:tr2bl w:val="nil"/>
            </w:tcBorders>
            <w:vAlign w:val="center"/>
          </w:tcPr>
          <w:p w14:paraId="0875EF0F">
            <w:pPr>
              <w:adjustRightInd w:val="0"/>
              <w:snapToGrid w:val="0"/>
              <w:spacing w:line="240" w:lineRule="auto"/>
              <w:jc w:val="center"/>
              <w:rPr>
                <w:sz w:val="21"/>
                <w:szCs w:val="21"/>
              </w:rPr>
            </w:pPr>
            <w:r>
              <w:rPr>
                <w:sz w:val="21"/>
                <w:szCs w:val="21"/>
              </w:rPr>
              <w:t>≤100</w:t>
            </w:r>
          </w:p>
        </w:tc>
        <w:tc>
          <w:tcPr>
            <w:tcW w:w="1462" w:type="dxa"/>
            <w:gridSpan w:val="2"/>
            <w:tcBorders>
              <w:tl2br w:val="nil"/>
              <w:tr2bl w:val="nil"/>
            </w:tcBorders>
            <w:vAlign w:val="center"/>
          </w:tcPr>
          <w:p w14:paraId="3412F10F">
            <w:pPr>
              <w:adjustRightInd w:val="0"/>
              <w:snapToGrid w:val="0"/>
              <w:spacing w:line="240" w:lineRule="auto"/>
              <w:jc w:val="center"/>
              <w:rPr>
                <w:sz w:val="21"/>
                <w:szCs w:val="21"/>
              </w:rPr>
            </w:pPr>
            <w:r>
              <w:rPr>
                <w:sz w:val="21"/>
                <w:szCs w:val="21"/>
              </w:rPr>
              <w:t>≤150</w:t>
            </w:r>
          </w:p>
        </w:tc>
        <w:tc>
          <w:tcPr>
            <w:tcW w:w="3122" w:type="dxa"/>
            <w:gridSpan w:val="3"/>
            <w:tcBorders>
              <w:tl2br w:val="nil"/>
              <w:tr2bl w:val="nil"/>
            </w:tcBorders>
            <w:vAlign w:val="center"/>
          </w:tcPr>
          <w:p w14:paraId="03471A8B">
            <w:pPr>
              <w:adjustRightInd w:val="0"/>
              <w:snapToGrid w:val="0"/>
              <w:spacing w:line="240" w:lineRule="auto"/>
              <w:jc w:val="center"/>
              <w:rPr>
                <w:sz w:val="21"/>
                <w:szCs w:val="21"/>
              </w:rPr>
            </w:pPr>
            <w:r>
              <w:rPr>
                <w:rFonts w:hint="eastAsia"/>
                <w:sz w:val="21"/>
                <w:szCs w:val="21"/>
              </w:rPr>
              <w:t>一</w:t>
            </w:r>
            <w:r>
              <w:rPr>
                <w:sz w:val="21"/>
                <w:szCs w:val="21"/>
              </w:rPr>
              <w:t>级</w:t>
            </w:r>
          </w:p>
        </w:tc>
      </w:tr>
      <w:tr w14:paraId="67E4574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29181E29">
            <w:pPr>
              <w:adjustRightInd w:val="0"/>
              <w:snapToGrid w:val="0"/>
              <w:spacing w:line="240" w:lineRule="auto"/>
              <w:jc w:val="center"/>
              <w:rPr>
                <w:sz w:val="21"/>
                <w:szCs w:val="21"/>
              </w:rPr>
            </w:pPr>
            <w:r>
              <w:rPr>
                <w:sz w:val="21"/>
                <w:szCs w:val="21"/>
              </w:rPr>
              <w:t>22</w:t>
            </w:r>
          </w:p>
        </w:tc>
        <w:tc>
          <w:tcPr>
            <w:tcW w:w="770" w:type="dxa"/>
            <w:vMerge w:val="continue"/>
            <w:tcBorders>
              <w:tl2br w:val="nil"/>
              <w:tr2bl w:val="nil"/>
            </w:tcBorders>
            <w:vAlign w:val="center"/>
          </w:tcPr>
          <w:p w14:paraId="417C350F">
            <w:pPr>
              <w:adjustRightInd w:val="0"/>
              <w:snapToGrid w:val="0"/>
              <w:spacing w:line="240" w:lineRule="auto"/>
              <w:jc w:val="center"/>
              <w:rPr>
                <w:sz w:val="21"/>
                <w:szCs w:val="21"/>
              </w:rPr>
            </w:pPr>
          </w:p>
        </w:tc>
        <w:tc>
          <w:tcPr>
            <w:tcW w:w="703" w:type="dxa"/>
            <w:vMerge w:val="continue"/>
            <w:tcBorders>
              <w:tl2br w:val="nil"/>
              <w:tr2bl w:val="nil"/>
            </w:tcBorders>
            <w:vAlign w:val="center"/>
          </w:tcPr>
          <w:p w14:paraId="08CFF7E4">
            <w:pPr>
              <w:adjustRightInd w:val="0"/>
              <w:snapToGrid w:val="0"/>
              <w:spacing w:line="240" w:lineRule="auto"/>
              <w:jc w:val="center"/>
              <w:rPr>
                <w:sz w:val="21"/>
                <w:szCs w:val="21"/>
              </w:rPr>
            </w:pPr>
          </w:p>
        </w:tc>
        <w:tc>
          <w:tcPr>
            <w:tcW w:w="1816" w:type="dxa"/>
            <w:gridSpan w:val="3"/>
            <w:tcBorders>
              <w:tl2br w:val="nil"/>
              <w:tr2bl w:val="nil"/>
            </w:tcBorders>
            <w:vAlign w:val="center"/>
          </w:tcPr>
          <w:p w14:paraId="75364F38">
            <w:pPr>
              <w:adjustRightInd w:val="0"/>
              <w:snapToGrid w:val="0"/>
              <w:spacing w:line="240" w:lineRule="auto"/>
              <w:jc w:val="center"/>
              <w:rPr>
                <w:sz w:val="21"/>
                <w:szCs w:val="21"/>
              </w:rPr>
            </w:pPr>
            <w:r>
              <w:rPr>
                <w:sz w:val="21"/>
                <w:szCs w:val="21"/>
              </w:rPr>
              <w:t>单位产值危险废</w:t>
            </w:r>
          </w:p>
          <w:p w14:paraId="3EE6E2DC">
            <w:pPr>
              <w:adjustRightInd w:val="0"/>
              <w:snapToGrid w:val="0"/>
              <w:spacing w:line="240" w:lineRule="auto"/>
              <w:jc w:val="center"/>
              <w:rPr>
                <w:sz w:val="21"/>
                <w:szCs w:val="21"/>
              </w:rPr>
            </w:pPr>
            <w:r>
              <w:rPr>
                <w:sz w:val="21"/>
                <w:szCs w:val="21"/>
              </w:rPr>
              <w:t>物产生量*</w:t>
            </w:r>
          </w:p>
        </w:tc>
        <w:tc>
          <w:tcPr>
            <w:tcW w:w="821" w:type="dxa"/>
            <w:tcBorders>
              <w:tl2br w:val="nil"/>
              <w:tr2bl w:val="nil"/>
            </w:tcBorders>
            <w:vAlign w:val="center"/>
          </w:tcPr>
          <w:p w14:paraId="3C325569">
            <w:pPr>
              <w:adjustRightInd w:val="0"/>
              <w:snapToGrid w:val="0"/>
              <w:spacing w:line="240" w:lineRule="auto"/>
              <w:jc w:val="center"/>
              <w:rPr>
                <w:sz w:val="21"/>
                <w:szCs w:val="21"/>
              </w:rPr>
            </w:pPr>
            <w:r>
              <w:rPr>
                <w:sz w:val="21"/>
                <w:szCs w:val="21"/>
              </w:rPr>
              <w:t>kg/万</w:t>
            </w:r>
          </w:p>
          <w:p w14:paraId="30BA9F7A">
            <w:pPr>
              <w:adjustRightInd w:val="0"/>
              <w:snapToGrid w:val="0"/>
              <w:spacing w:line="240" w:lineRule="auto"/>
              <w:jc w:val="center"/>
              <w:rPr>
                <w:sz w:val="21"/>
                <w:szCs w:val="21"/>
              </w:rPr>
            </w:pPr>
            <w:r>
              <w:rPr>
                <w:sz w:val="21"/>
                <w:szCs w:val="21"/>
              </w:rPr>
              <w:t>元</w:t>
            </w:r>
          </w:p>
        </w:tc>
        <w:tc>
          <w:tcPr>
            <w:tcW w:w="711" w:type="dxa"/>
            <w:tcBorders>
              <w:tl2br w:val="nil"/>
              <w:tr2bl w:val="nil"/>
            </w:tcBorders>
            <w:vAlign w:val="center"/>
          </w:tcPr>
          <w:p w14:paraId="7CB0E23C">
            <w:pPr>
              <w:adjustRightInd w:val="0"/>
              <w:snapToGrid w:val="0"/>
              <w:spacing w:line="240" w:lineRule="auto"/>
              <w:jc w:val="center"/>
              <w:rPr>
                <w:sz w:val="21"/>
                <w:szCs w:val="21"/>
              </w:rPr>
            </w:pPr>
            <w:r>
              <w:rPr>
                <w:sz w:val="21"/>
                <w:szCs w:val="21"/>
              </w:rPr>
              <w:t>0.3</w:t>
            </w:r>
          </w:p>
        </w:tc>
        <w:tc>
          <w:tcPr>
            <w:tcW w:w="2413" w:type="dxa"/>
            <w:tcBorders>
              <w:tl2br w:val="nil"/>
              <w:tr2bl w:val="nil"/>
            </w:tcBorders>
            <w:vAlign w:val="center"/>
          </w:tcPr>
          <w:p w14:paraId="069F71CB">
            <w:pPr>
              <w:adjustRightInd w:val="0"/>
              <w:snapToGrid w:val="0"/>
              <w:spacing w:line="240" w:lineRule="auto"/>
              <w:jc w:val="center"/>
              <w:rPr>
                <w:sz w:val="21"/>
                <w:szCs w:val="21"/>
              </w:rPr>
            </w:pPr>
            <w:r>
              <w:rPr>
                <w:sz w:val="21"/>
                <w:szCs w:val="21"/>
              </w:rPr>
              <w:t>≤0.08</w:t>
            </w:r>
          </w:p>
        </w:tc>
        <w:tc>
          <w:tcPr>
            <w:tcW w:w="1564" w:type="dxa"/>
            <w:tcBorders>
              <w:tl2br w:val="nil"/>
              <w:tr2bl w:val="nil"/>
            </w:tcBorders>
            <w:vAlign w:val="center"/>
          </w:tcPr>
          <w:p w14:paraId="58CA570A">
            <w:pPr>
              <w:adjustRightInd w:val="0"/>
              <w:snapToGrid w:val="0"/>
              <w:spacing w:line="240" w:lineRule="auto"/>
              <w:jc w:val="center"/>
              <w:rPr>
                <w:sz w:val="21"/>
                <w:szCs w:val="21"/>
              </w:rPr>
            </w:pPr>
            <w:r>
              <w:rPr>
                <w:sz w:val="21"/>
                <w:szCs w:val="21"/>
              </w:rPr>
              <w:t>≤0.1</w:t>
            </w:r>
          </w:p>
        </w:tc>
        <w:tc>
          <w:tcPr>
            <w:tcW w:w="1462" w:type="dxa"/>
            <w:gridSpan w:val="2"/>
            <w:tcBorders>
              <w:tl2br w:val="nil"/>
              <w:tr2bl w:val="nil"/>
            </w:tcBorders>
            <w:vAlign w:val="center"/>
          </w:tcPr>
          <w:p w14:paraId="412B045B">
            <w:pPr>
              <w:adjustRightInd w:val="0"/>
              <w:snapToGrid w:val="0"/>
              <w:spacing w:line="240" w:lineRule="auto"/>
              <w:jc w:val="center"/>
              <w:rPr>
                <w:sz w:val="21"/>
                <w:szCs w:val="21"/>
              </w:rPr>
            </w:pPr>
            <w:r>
              <w:rPr>
                <w:sz w:val="21"/>
                <w:szCs w:val="21"/>
              </w:rPr>
              <w:t>≤0.2</w:t>
            </w:r>
          </w:p>
        </w:tc>
        <w:tc>
          <w:tcPr>
            <w:tcW w:w="3122" w:type="dxa"/>
            <w:gridSpan w:val="3"/>
            <w:tcBorders>
              <w:tl2br w:val="nil"/>
              <w:tr2bl w:val="nil"/>
            </w:tcBorders>
            <w:vAlign w:val="center"/>
          </w:tcPr>
          <w:p w14:paraId="4620BF4D">
            <w:pPr>
              <w:adjustRightInd w:val="0"/>
              <w:snapToGrid w:val="0"/>
              <w:spacing w:line="240" w:lineRule="auto"/>
              <w:jc w:val="center"/>
              <w:rPr>
                <w:sz w:val="21"/>
                <w:szCs w:val="21"/>
              </w:rPr>
            </w:pPr>
            <w:r>
              <w:rPr>
                <w:rFonts w:hint="eastAsia"/>
                <w:sz w:val="21"/>
                <w:szCs w:val="21"/>
              </w:rPr>
              <w:t>低于三</w:t>
            </w:r>
            <w:r>
              <w:rPr>
                <w:sz w:val="21"/>
                <w:szCs w:val="21"/>
              </w:rPr>
              <w:t>级</w:t>
            </w:r>
          </w:p>
        </w:tc>
      </w:tr>
      <w:tr w14:paraId="27AB7437">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9" w:type="dxa"/>
          <w:trHeight w:val="340" w:hRule="atLeast"/>
          <w:jc w:val="center"/>
        </w:trPr>
        <w:tc>
          <w:tcPr>
            <w:tcW w:w="533" w:type="dxa"/>
            <w:tcBorders>
              <w:tl2br w:val="nil"/>
              <w:tr2bl w:val="nil"/>
            </w:tcBorders>
            <w:vAlign w:val="center"/>
          </w:tcPr>
          <w:p w14:paraId="5B9DFC4C">
            <w:pPr>
              <w:adjustRightInd w:val="0"/>
              <w:snapToGrid w:val="0"/>
              <w:spacing w:line="240" w:lineRule="auto"/>
              <w:jc w:val="center"/>
              <w:rPr>
                <w:sz w:val="21"/>
                <w:szCs w:val="21"/>
              </w:rPr>
            </w:pPr>
            <w:r>
              <w:rPr>
                <w:sz w:val="21"/>
                <w:szCs w:val="21"/>
              </w:rPr>
              <w:t>23</w:t>
            </w:r>
          </w:p>
        </w:tc>
        <w:tc>
          <w:tcPr>
            <w:tcW w:w="770" w:type="dxa"/>
            <w:tcBorders>
              <w:tl2br w:val="nil"/>
              <w:tr2bl w:val="nil"/>
            </w:tcBorders>
            <w:vAlign w:val="center"/>
          </w:tcPr>
          <w:p w14:paraId="6286CC0B">
            <w:pPr>
              <w:adjustRightInd w:val="0"/>
              <w:snapToGrid w:val="0"/>
              <w:spacing w:line="240" w:lineRule="auto"/>
              <w:jc w:val="center"/>
              <w:rPr>
                <w:sz w:val="21"/>
                <w:szCs w:val="21"/>
              </w:rPr>
            </w:pPr>
            <w:r>
              <w:rPr>
                <w:sz w:val="21"/>
                <w:szCs w:val="21"/>
              </w:rPr>
              <w:t>资源</w:t>
            </w:r>
          </w:p>
          <w:p w14:paraId="3BBC51C7">
            <w:pPr>
              <w:adjustRightInd w:val="0"/>
              <w:snapToGrid w:val="0"/>
              <w:spacing w:line="240" w:lineRule="auto"/>
              <w:jc w:val="center"/>
              <w:rPr>
                <w:sz w:val="21"/>
                <w:szCs w:val="21"/>
              </w:rPr>
            </w:pPr>
            <w:r>
              <w:rPr>
                <w:sz w:val="21"/>
                <w:szCs w:val="21"/>
              </w:rPr>
              <w:t>综合利用指标</w:t>
            </w:r>
          </w:p>
        </w:tc>
        <w:tc>
          <w:tcPr>
            <w:tcW w:w="703" w:type="dxa"/>
            <w:tcBorders>
              <w:tl2br w:val="nil"/>
              <w:tr2bl w:val="nil"/>
            </w:tcBorders>
            <w:vAlign w:val="center"/>
          </w:tcPr>
          <w:p w14:paraId="45EC0123">
            <w:pPr>
              <w:adjustRightInd w:val="0"/>
              <w:snapToGrid w:val="0"/>
              <w:spacing w:line="240" w:lineRule="auto"/>
              <w:jc w:val="center"/>
              <w:rPr>
                <w:sz w:val="21"/>
                <w:szCs w:val="21"/>
              </w:rPr>
            </w:pPr>
            <w:r>
              <w:rPr>
                <w:sz w:val="21"/>
                <w:szCs w:val="21"/>
              </w:rPr>
              <w:t>0.09</w:t>
            </w:r>
          </w:p>
        </w:tc>
        <w:tc>
          <w:tcPr>
            <w:tcW w:w="2637" w:type="dxa"/>
            <w:gridSpan w:val="4"/>
            <w:tcBorders>
              <w:tl2br w:val="nil"/>
              <w:tr2bl w:val="nil"/>
            </w:tcBorders>
            <w:vAlign w:val="center"/>
          </w:tcPr>
          <w:p w14:paraId="469FC467">
            <w:pPr>
              <w:adjustRightInd w:val="0"/>
              <w:snapToGrid w:val="0"/>
              <w:spacing w:line="240" w:lineRule="auto"/>
              <w:jc w:val="center"/>
              <w:rPr>
                <w:sz w:val="21"/>
                <w:szCs w:val="21"/>
              </w:rPr>
            </w:pPr>
            <w:r>
              <w:rPr>
                <w:sz w:val="21"/>
                <w:szCs w:val="21"/>
              </w:rPr>
              <w:t>一般工业固体废物回收率</w:t>
            </w:r>
          </w:p>
          <w:p w14:paraId="1BE487BA">
            <w:pPr>
              <w:adjustRightInd w:val="0"/>
              <w:snapToGrid w:val="0"/>
              <w:spacing w:line="240" w:lineRule="auto"/>
              <w:jc w:val="center"/>
              <w:rPr>
                <w:sz w:val="21"/>
                <w:szCs w:val="21"/>
              </w:rPr>
            </w:pPr>
            <w:r>
              <w:rPr>
                <w:sz w:val="21"/>
                <w:szCs w:val="21"/>
              </w:rPr>
              <w:t>%</w:t>
            </w:r>
          </w:p>
        </w:tc>
        <w:tc>
          <w:tcPr>
            <w:tcW w:w="711" w:type="dxa"/>
            <w:tcBorders>
              <w:tl2br w:val="nil"/>
              <w:tr2bl w:val="nil"/>
            </w:tcBorders>
            <w:vAlign w:val="center"/>
          </w:tcPr>
          <w:p w14:paraId="11D69E71">
            <w:pPr>
              <w:adjustRightInd w:val="0"/>
              <w:snapToGrid w:val="0"/>
              <w:spacing w:line="240" w:lineRule="auto"/>
              <w:jc w:val="center"/>
              <w:rPr>
                <w:sz w:val="21"/>
                <w:szCs w:val="21"/>
              </w:rPr>
            </w:pPr>
            <w:r>
              <w:rPr>
                <w:sz w:val="21"/>
                <w:szCs w:val="21"/>
              </w:rPr>
              <w:t>1</w:t>
            </w:r>
          </w:p>
        </w:tc>
        <w:tc>
          <w:tcPr>
            <w:tcW w:w="2413" w:type="dxa"/>
            <w:tcBorders>
              <w:tl2br w:val="nil"/>
              <w:tr2bl w:val="nil"/>
            </w:tcBorders>
            <w:vAlign w:val="center"/>
          </w:tcPr>
          <w:p w14:paraId="29A192C3">
            <w:pPr>
              <w:adjustRightInd w:val="0"/>
              <w:snapToGrid w:val="0"/>
              <w:spacing w:line="240" w:lineRule="auto"/>
              <w:jc w:val="center"/>
              <w:rPr>
                <w:sz w:val="21"/>
                <w:szCs w:val="21"/>
              </w:rPr>
            </w:pPr>
            <w:r>
              <w:rPr>
                <w:sz w:val="21"/>
                <w:szCs w:val="21"/>
              </w:rPr>
              <w:t>100</w:t>
            </w:r>
          </w:p>
        </w:tc>
        <w:tc>
          <w:tcPr>
            <w:tcW w:w="1564" w:type="dxa"/>
            <w:tcBorders>
              <w:tl2br w:val="nil"/>
              <w:tr2bl w:val="nil"/>
            </w:tcBorders>
            <w:vAlign w:val="center"/>
          </w:tcPr>
          <w:p w14:paraId="03B0C909">
            <w:pPr>
              <w:adjustRightInd w:val="0"/>
              <w:snapToGrid w:val="0"/>
              <w:spacing w:line="240" w:lineRule="auto"/>
              <w:jc w:val="center"/>
              <w:rPr>
                <w:sz w:val="21"/>
                <w:szCs w:val="21"/>
              </w:rPr>
            </w:pPr>
            <w:r>
              <w:rPr>
                <w:rFonts w:hint="eastAsia"/>
                <w:sz w:val="21"/>
                <w:szCs w:val="21"/>
              </w:rPr>
              <w:t>&gt;</w:t>
            </w:r>
            <w:r>
              <w:rPr>
                <w:sz w:val="21"/>
                <w:szCs w:val="21"/>
              </w:rPr>
              <w:t>90</w:t>
            </w:r>
          </w:p>
        </w:tc>
        <w:tc>
          <w:tcPr>
            <w:tcW w:w="1462" w:type="dxa"/>
            <w:gridSpan w:val="2"/>
            <w:tcBorders>
              <w:tl2br w:val="nil"/>
              <w:tr2bl w:val="nil"/>
            </w:tcBorders>
            <w:vAlign w:val="center"/>
          </w:tcPr>
          <w:p w14:paraId="49DF5C71">
            <w:pPr>
              <w:adjustRightInd w:val="0"/>
              <w:snapToGrid w:val="0"/>
              <w:spacing w:line="240" w:lineRule="auto"/>
              <w:jc w:val="center"/>
              <w:rPr>
                <w:sz w:val="21"/>
                <w:szCs w:val="21"/>
              </w:rPr>
            </w:pPr>
            <w:r>
              <w:rPr>
                <w:rFonts w:hint="eastAsia"/>
                <w:sz w:val="21"/>
                <w:szCs w:val="21"/>
              </w:rPr>
              <w:t>&gt;</w:t>
            </w:r>
            <w:r>
              <w:rPr>
                <w:sz w:val="21"/>
                <w:szCs w:val="21"/>
              </w:rPr>
              <w:t>80</w:t>
            </w:r>
          </w:p>
        </w:tc>
        <w:tc>
          <w:tcPr>
            <w:tcW w:w="2364" w:type="dxa"/>
            <w:gridSpan w:val="2"/>
            <w:tcBorders>
              <w:tl2br w:val="nil"/>
              <w:tr2bl w:val="nil"/>
            </w:tcBorders>
            <w:vAlign w:val="center"/>
          </w:tcPr>
          <w:p w14:paraId="7276DE05">
            <w:pPr>
              <w:adjustRightInd w:val="0"/>
              <w:snapToGrid w:val="0"/>
              <w:spacing w:line="240" w:lineRule="auto"/>
              <w:jc w:val="center"/>
              <w:rPr>
                <w:sz w:val="21"/>
                <w:szCs w:val="21"/>
              </w:rPr>
            </w:pPr>
            <w:r>
              <w:rPr>
                <w:sz w:val="21"/>
                <w:szCs w:val="21"/>
              </w:rPr>
              <w:t>100</w:t>
            </w:r>
          </w:p>
        </w:tc>
        <w:tc>
          <w:tcPr>
            <w:tcW w:w="758" w:type="dxa"/>
            <w:tcBorders>
              <w:tl2br w:val="nil"/>
              <w:tr2bl w:val="nil"/>
            </w:tcBorders>
            <w:vAlign w:val="center"/>
          </w:tcPr>
          <w:p w14:paraId="2D1722AE">
            <w:pPr>
              <w:adjustRightInd w:val="0"/>
              <w:snapToGrid w:val="0"/>
              <w:spacing w:line="240" w:lineRule="auto"/>
              <w:jc w:val="center"/>
              <w:rPr>
                <w:sz w:val="21"/>
                <w:szCs w:val="21"/>
              </w:rPr>
            </w:pPr>
            <w:r>
              <w:rPr>
                <w:sz w:val="21"/>
                <w:szCs w:val="21"/>
              </w:rPr>
              <w:t>一级</w:t>
            </w:r>
          </w:p>
        </w:tc>
      </w:tr>
      <w:tr w14:paraId="49B03FC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59D5BD46">
            <w:pPr>
              <w:adjustRightInd w:val="0"/>
              <w:snapToGrid w:val="0"/>
              <w:spacing w:line="240" w:lineRule="auto"/>
              <w:jc w:val="center"/>
              <w:rPr>
                <w:sz w:val="21"/>
                <w:szCs w:val="21"/>
              </w:rPr>
            </w:pPr>
            <w:r>
              <w:rPr>
                <w:sz w:val="21"/>
                <w:szCs w:val="21"/>
              </w:rPr>
              <w:t>24</w:t>
            </w:r>
          </w:p>
        </w:tc>
        <w:tc>
          <w:tcPr>
            <w:tcW w:w="770" w:type="dxa"/>
            <w:vMerge w:val="restart"/>
            <w:tcBorders>
              <w:tl2br w:val="nil"/>
              <w:tr2bl w:val="nil"/>
            </w:tcBorders>
            <w:vAlign w:val="center"/>
          </w:tcPr>
          <w:p w14:paraId="66F37477">
            <w:pPr>
              <w:adjustRightInd w:val="0"/>
              <w:snapToGrid w:val="0"/>
              <w:spacing w:line="240" w:lineRule="auto"/>
              <w:jc w:val="center"/>
              <w:rPr>
                <w:sz w:val="21"/>
                <w:szCs w:val="21"/>
              </w:rPr>
            </w:pPr>
          </w:p>
          <w:p w14:paraId="0944E050">
            <w:pPr>
              <w:adjustRightInd w:val="0"/>
              <w:snapToGrid w:val="0"/>
              <w:spacing w:line="240" w:lineRule="auto"/>
              <w:jc w:val="center"/>
              <w:rPr>
                <w:sz w:val="21"/>
                <w:szCs w:val="21"/>
              </w:rPr>
            </w:pPr>
          </w:p>
          <w:p w14:paraId="57C7892C">
            <w:pPr>
              <w:adjustRightInd w:val="0"/>
              <w:snapToGrid w:val="0"/>
              <w:spacing w:line="240" w:lineRule="auto"/>
              <w:jc w:val="center"/>
              <w:rPr>
                <w:sz w:val="21"/>
                <w:szCs w:val="21"/>
              </w:rPr>
            </w:pPr>
          </w:p>
          <w:p w14:paraId="256DA772">
            <w:pPr>
              <w:adjustRightInd w:val="0"/>
              <w:snapToGrid w:val="0"/>
              <w:spacing w:line="240" w:lineRule="auto"/>
              <w:jc w:val="center"/>
              <w:rPr>
                <w:sz w:val="21"/>
                <w:szCs w:val="21"/>
              </w:rPr>
            </w:pPr>
          </w:p>
          <w:p w14:paraId="3208EF47">
            <w:pPr>
              <w:adjustRightInd w:val="0"/>
              <w:snapToGrid w:val="0"/>
              <w:spacing w:line="240" w:lineRule="auto"/>
              <w:jc w:val="center"/>
              <w:rPr>
                <w:sz w:val="21"/>
                <w:szCs w:val="21"/>
              </w:rPr>
            </w:pPr>
          </w:p>
          <w:p w14:paraId="1E418C20">
            <w:pPr>
              <w:adjustRightInd w:val="0"/>
              <w:snapToGrid w:val="0"/>
              <w:spacing w:line="240" w:lineRule="auto"/>
              <w:jc w:val="center"/>
              <w:rPr>
                <w:sz w:val="21"/>
                <w:szCs w:val="21"/>
              </w:rPr>
            </w:pPr>
          </w:p>
          <w:p w14:paraId="4849D6C8">
            <w:pPr>
              <w:adjustRightInd w:val="0"/>
              <w:snapToGrid w:val="0"/>
              <w:spacing w:line="240" w:lineRule="auto"/>
              <w:jc w:val="center"/>
              <w:rPr>
                <w:sz w:val="21"/>
                <w:szCs w:val="21"/>
              </w:rPr>
            </w:pPr>
          </w:p>
          <w:p w14:paraId="22943D15">
            <w:pPr>
              <w:adjustRightInd w:val="0"/>
              <w:snapToGrid w:val="0"/>
              <w:spacing w:line="240" w:lineRule="auto"/>
              <w:jc w:val="center"/>
              <w:rPr>
                <w:sz w:val="21"/>
                <w:szCs w:val="21"/>
              </w:rPr>
            </w:pPr>
          </w:p>
          <w:p w14:paraId="44FB6BEE">
            <w:pPr>
              <w:adjustRightInd w:val="0"/>
              <w:snapToGrid w:val="0"/>
              <w:spacing w:line="240" w:lineRule="auto"/>
              <w:jc w:val="center"/>
              <w:rPr>
                <w:sz w:val="21"/>
                <w:szCs w:val="21"/>
              </w:rPr>
            </w:pPr>
          </w:p>
          <w:p w14:paraId="562A27AD">
            <w:pPr>
              <w:adjustRightInd w:val="0"/>
              <w:snapToGrid w:val="0"/>
              <w:spacing w:line="240" w:lineRule="auto"/>
              <w:jc w:val="center"/>
              <w:rPr>
                <w:sz w:val="21"/>
                <w:szCs w:val="21"/>
              </w:rPr>
            </w:pPr>
          </w:p>
          <w:p w14:paraId="0CDC2DEB">
            <w:pPr>
              <w:adjustRightInd w:val="0"/>
              <w:snapToGrid w:val="0"/>
              <w:spacing w:line="240" w:lineRule="auto"/>
              <w:jc w:val="center"/>
              <w:rPr>
                <w:sz w:val="21"/>
                <w:szCs w:val="21"/>
              </w:rPr>
            </w:pPr>
          </w:p>
          <w:p w14:paraId="48F19758">
            <w:pPr>
              <w:adjustRightInd w:val="0"/>
              <w:snapToGrid w:val="0"/>
              <w:spacing w:line="240" w:lineRule="auto"/>
              <w:jc w:val="center"/>
              <w:rPr>
                <w:sz w:val="21"/>
                <w:szCs w:val="21"/>
              </w:rPr>
            </w:pPr>
          </w:p>
          <w:p w14:paraId="1CF111DE">
            <w:pPr>
              <w:adjustRightInd w:val="0"/>
              <w:snapToGrid w:val="0"/>
              <w:spacing w:line="240" w:lineRule="auto"/>
              <w:jc w:val="center"/>
              <w:rPr>
                <w:sz w:val="21"/>
                <w:szCs w:val="21"/>
              </w:rPr>
            </w:pPr>
          </w:p>
          <w:p w14:paraId="0DF48FCC">
            <w:pPr>
              <w:adjustRightInd w:val="0"/>
              <w:snapToGrid w:val="0"/>
              <w:spacing w:line="240" w:lineRule="auto"/>
              <w:jc w:val="center"/>
              <w:rPr>
                <w:sz w:val="21"/>
                <w:szCs w:val="21"/>
              </w:rPr>
            </w:pPr>
            <w:r>
              <w:rPr>
                <w:sz w:val="21"/>
                <w:szCs w:val="21"/>
              </w:rPr>
              <w:t>清洁生产管理指标</w:t>
            </w:r>
          </w:p>
        </w:tc>
        <w:tc>
          <w:tcPr>
            <w:tcW w:w="703" w:type="dxa"/>
            <w:vMerge w:val="restart"/>
            <w:tcBorders>
              <w:tl2br w:val="nil"/>
              <w:tr2bl w:val="nil"/>
            </w:tcBorders>
            <w:vAlign w:val="center"/>
          </w:tcPr>
          <w:p w14:paraId="1C98C5A7">
            <w:pPr>
              <w:adjustRightInd w:val="0"/>
              <w:snapToGrid w:val="0"/>
              <w:spacing w:line="240" w:lineRule="auto"/>
              <w:jc w:val="center"/>
              <w:rPr>
                <w:sz w:val="21"/>
                <w:szCs w:val="21"/>
              </w:rPr>
            </w:pPr>
          </w:p>
          <w:p w14:paraId="525D0915">
            <w:pPr>
              <w:adjustRightInd w:val="0"/>
              <w:snapToGrid w:val="0"/>
              <w:spacing w:line="240" w:lineRule="auto"/>
              <w:jc w:val="center"/>
              <w:rPr>
                <w:sz w:val="21"/>
                <w:szCs w:val="21"/>
              </w:rPr>
            </w:pPr>
          </w:p>
          <w:p w14:paraId="66DFCFE4">
            <w:pPr>
              <w:adjustRightInd w:val="0"/>
              <w:snapToGrid w:val="0"/>
              <w:spacing w:line="240" w:lineRule="auto"/>
              <w:jc w:val="center"/>
              <w:rPr>
                <w:sz w:val="21"/>
                <w:szCs w:val="21"/>
              </w:rPr>
            </w:pPr>
          </w:p>
          <w:p w14:paraId="43A850D2">
            <w:pPr>
              <w:adjustRightInd w:val="0"/>
              <w:snapToGrid w:val="0"/>
              <w:spacing w:line="240" w:lineRule="auto"/>
              <w:jc w:val="center"/>
              <w:rPr>
                <w:sz w:val="21"/>
                <w:szCs w:val="21"/>
              </w:rPr>
            </w:pPr>
          </w:p>
          <w:p w14:paraId="393DDCA8">
            <w:pPr>
              <w:adjustRightInd w:val="0"/>
              <w:snapToGrid w:val="0"/>
              <w:spacing w:line="240" w:lineRule="auto"/>
              <w:jc w:val="center"/>
              <w:rPr>
                <w:sz w:val="21"/>
                <w:szCs w:val="21"/>
              </w:rPr>
            </w:pPr>
          </w:p>
          <w:p w14:paraId="1163CD6B">
            <w:pPr>
              <w:adjustRightInd w:val="0"/>
              <w:snapToGrid w:val="0"/>
              <w:spacing w:line="240" w:lineRule="auto"/>
              <w:jc w:val="center"/>
              <w:rPr>
                <w:sz w:val="21"/>
                <w:szCs w:val="21"/>
              </w:rPr>
            </w:pPr>
          </w:p>
          <w:p w14:paraId="76782E8A">
            <w:pPr>
              <w:adjustRightInd w:val="0"/>
              <w:snapToGrid w:val="0"/>
              <w:spacing w:line="240" w:lineRule="auto"/>
              <w:jc w:val="center"/>
              <w:rPr>
                <w:sz w:val="21"/>
                <w:szCs w:val="21"/>
              </w:rPr>
            </w:pPr>
          </w:p>
          <w:p w14:paraId="59667C33">
            <w:pPr>
              <w:adjustRightInd w:val="0"/>
              <w:snapToGrid w:val="0"/>
              <w:spacing w:line="240" w:lineRule="auto"/>
              <w:jc w:val="center"/>
              <w:rPr>
                <w:sz w:val="21"/>
                <w:szCs w:val="21"/>
              </w:rPr>
            </w:pPr>
          </w:p>
          <w:p w14:paraId="3AB77534">
            <w:pPr>
              <w:adjustRightInd w:val="0"/>
              <w:snapToGrid w:val="0"/>
              <w:spacing w:line="240" w:lineRule="auto"/>
              <w:jc w:val="center"/>
              <w:rPr>
                <w:sz w:val="21"/>
                <w:szCs w:val="21"/>
              </w:rPr>
            </w:pPr>
          </w:p>
          <w:p w14:paraId="0C997EFE">
            <w:pPr>
              <w:adjustRightInd w:val="0"/>
              <w:snapToGrid w:val="0"/>
              <w:spacing w:line="240" w:lineRule="auto"/>
              <w:jc w:val="center"/>
              <w:rPr>
                <w:sz w:val="21"/>
                <w:szCs w:val="21"/>
              </w:rPr>
            </w:pPr>
          </w:p>
          <w:p w14:paraId="43CCE339">
            <w:pPr>
              <w:adjustRightInd w:val="0"/>
              <w:snapToGrid w:val="0"/>
              <w:spacing w:line="240" w:lineRule="auto"/>
              <w:jc w:val="center"/>
              <w:rPr>
                <w:sz w:val="21"/>
                <w:szCs w:val="21"/>
              </w:rPr>
            </w:pPr>
          </w:p>
          <w:p w14:paraId="0D20ADEA">
            <w:pPr>
              <w:adjustRightInd w:val="0"/>
              <w:snapToGrid w:val="0"/>
              <w:spacing w:line="240" w:lineRule="auto"/>
              <w:jc w:val="center"/>
              <w:rPr>
                <w:sz w:val="21"/>
                <w:szCs w:val="21"/>
              </w:rPr>
            </w:pPr>
          </w:p>
          <w:p w14:paraId="2797057D">
            <w:pPr>
              <w:adjustRightInd w:val="0"/>
              <w:snapToGrid w:val="0"/>
              <w:spacing w:line="240" w:lineRule="auto"/>
              <w:jc w:val="center"/>
              <w:rPr>
                <w:sz w:val="21"/>
                <w:szCs w:val="21"/>
              </w:rPr>
            </w:pPr>
          </w:p>
          <w:p w14:paraId="59D21CB8">
            <w:pPr>
              <w:adjustRightInd w:val="0"/>
              <w:snapToGrid w:val="0"/>
              <w:spacing w:line="240" w:lineRule="auto"/>
              <w:jc w:val="center"/>
              <w:rPr>
                <w:sz w:val="21"/>
                <w:szCs w:val="21"/>
              </w:rPr>
            </w:pPr>
            <w:r>
              <w:rPr>
                <w:sz w:val="21"/>
                <w:szCs w:val="21"/>
              </w:rPr>
              <w:t>0.13</w:t>
            </w:r>
          </w:p>
        </w:tc>
        <w:tc>
          <w:tcPr>
            <w:tcW w:w="2638" w:type="dxa"/>
            <w:gridSpan w:val="4"/>
            <w:tcBorders>
              <w:tl2br w:val="nil"/>
              <w:tr2bl w:val="nil"/>
            </w:tcBorders>
            <w:vAlign w:val="center"/>
          </w:tcPr>
          <w:p w14:paraId="5306C2E9">
            <w:pPr>
              <w:adjustRightInd w:val="0"/>
              <w:snapToGrid w:val="0"/>
              <w:spacing w:line="240" w:lineRule="auto"/>
              <w:jc w:val="center"/>
              <w:rPr>
                <w:sz w:val="21"/>
                <w:szCs w:val="21"/>
              </w:rPr>
            </w:pPr>
            <w:r>
              <w:rPr>
                <w:sz w:val="21"/>
                <w:szCs w:val="21"/>
              </w:rPr>
              <w:t>*产业政策执行情况及环境法律法规标准执行情况*</w:t>
            </w:r>
          </w:p>
        </w:tc>
        <w:tc>
          <w:tcPr>
            <w:tcW w:w="710" w:type="dxa"/>
            <w:tcBorders>
              <w:tl2br w:val="nil"/>
              <w:tr2bl w:val="nil"/>
            </w:tcBorders>
            <w:vAlign w:val="center"/>
          </w:tcPr>
          <w:p w14:paraId="4FE02D1A">
            <w:pPr>
              <w:adjustRightInd w:val="0"/>
              <w:snapToGrid w:val="0"/>
              <w:spacing w:line="240" w:lineRule="auto"/>
              <w:jc w:val="center"/>
              <w:rPr>
                <w:sz w:val="21"/>
                <w:szCs w:val="21"/>
              </w:rPr>
            </w:pPr>
            <w:r>
              <w:rPr>
                <w:sz w:val="21"/>
                <w:szCs w:val="21"/>
              </w:rPr>
              <w:t>0.3</w:t>
            </w:r>
          </w:p>
        </w:tc>
        <w:tc>
          <w:tcPr>
            <w:tcW w:w="7803" w:type="dxa"/>
            <w:gridSpan w:val="6"/>
            <w:tcBorders>
              <w:tl2br w:val="nil"/>
              <w:tr2bl w:val="nil"/>
            </w:tcBorders>
            <w:vAlign w:val="center"/>
          </w:tcPr>
          <w:p w14:paraId="00B962BE">
            <w:pPr>
              <w:adjustRightInd w:val="0"/>
              <w:snapToGrid w:val="0"/>
              <w:spacing w:line="240" w:lineRule="auto"/>
              <w:jc w:val="center"/>
              <w:rPr>
                <w:sz w:val="21"/>
                <w:szCs w:val="21"/>
              </w:rPr>
            </w:pPr>
            <w:r>
              <w:rPr>
                <w:sz w:val="21"/>
                <w:szCs w:val="21"/>
              </w:rPr>
              <w:t>符合国家和地方相关产业政策；不使用国家和地方明令淘汰或禁止的落后工艺和设备；符合国家和地方有关环境法律、法规，污染物排放达到国家和地方排放标准、总量控制和排污许可证管理要求。按行业无组织排放监管的相关政策要求，加强对无组织排放的防控措施，减少生产过程无组织排放。</w:t>
            </w:r>
          </w:p>
        </w:tc>
        <w:tc>
          <w:tcPr>
            <w:tcW w:w="760" w:type="dxa"/>
            <w:tcBorders>
              <w:tl2br w:val="nil"/>
              <w:tr2bl w:val="nil"/>
            </w:tcBorders>
            <w:vAlign w:val="center"/>
          </w:tcPr>
          <w:p w14:paraId="4F9EE86B">
            <w:pPr>
              <w:adjustRightInd w:val="0"/>
              <w:snapToGrid w:val="0"/>
              <w:spacing w:line="240" w:lineRule="auto"/>
              <w:jc w:val="center"/>
              <w:rPr>
                <w:sz w:val="21"/>
                <w:szCs w:val="21"/>
              </w:rPr>
            </w:pPr>
            <w:r>
              <w:rPr>
                <w:sz w:val="21"/>
                <w:szCs w:val="21"/>
              </w:rPr>
              <w:t>一级</w:t>
            </w:r>
          </w:p>
        </w:tc>
      </w:tr>
      <w:tr w14:paraId="7138BB3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5A7DA152">
            <w:pPr>
              <w:adjustRightInd w:val="0"/>
              <w:snapToGrid w:val="0"/>
              <w:spacing w:line="240" w:lineRule="auto"/>
              <w:jc w:val="center"/>
              <w:rPr>
                <w:sz w:val="21"/>
                <w:szCs w:val="21"/>
              </w:rPr>
            </w:pPr>
            <w:r>
              <w:rPr>
                <w:sz w:val="21"/>
                <w:szCs w:val="21"/>
              </w:rPr>
              <w:t>25</w:t>
            </w:r>
          </w:p>
        </w:tc>
        <w:tc>
          <w:tcPr>
            <w:tcW w:w="770" w:type="dxa"/>
            <w:vMerge w:val="continue"/>
            <w:tcBorders>
              <w:tl2br w:val="nil"/>
              <w:tr2bl w:val="nil"/>
            </w:tcBorders>
            <w:vAlign w:val="center"/>
          </w:tcPr>
          <w:p w14:paraId="76EC392F">
            <w:pPr>
              <w:adjustRightInd w:val="0"/>
              <w:snapToGrid w:val="0"/>
              <w:spacing w:line="240" w:lineRule="auto"/>
              <w:jc w:val="center"/>
              <w:rPr>
                <w:sz w:val="21"/>
                <w:szCs w:val="21"/>
              </w:rPr>
            </w:pPr>
          </w:p>
        </w:tc>
        <w:tc>
          <w:tcPr>
            <w:tcW w:w="703" w:type="dxa"/>
            <w:vMerge w:val="continue"/>
            <w:tcBorders>
              <w:tl2br w:val="nil"/>
              <w:tr2bl w:val="nil"/>
            </w:tcBorders>
            <w:vAlign w:val="center"/>
          </w:tcPr>
          <w:p w14:paraId="5BACABC5">
            <w:pPr>
              <w:adjustRightInd w:val="0"/>
              <w:snapToGrid w:val="0"/>
              <w:spacing w:line="240" w:lineRule="auto"/>
              <w:jc w:val="center"/>
              <w:rPr>
                <w:sz w:val="21"/>
                <w:szCs w:val="21"/>
              </w:rPr>
            </w:pPr>
          </w:p>
        </w:tc>
        <w:tc>
          <w:tcPr>
            <w:tcW w:w="2638" w:type="dxa"/>
            <w:gridSpan w:val="4"/>
            <w:tcBorders>
              <w:tl2br w:val="nil"/>
              <w:tr2bl w:val="nil"/>
            </w:tcBorders>
            <w:vAlign w:val="center"/>
          </w:tcPr>
          <w:p w14:paraId="398929A8">
            <w:pPr>
              <w:adjustRightInd w:val="0"/>
              <w:snapToGrid w:val="0"/>
              <w:spacing w:line="240" w:lineRule="auto"/>
              <w:jc w:val="center"/>
              <w:rPr>
                <w:sz w:val="21"/>
                <w:szCs w:val="21"/>
              </w:rPr>
            </w:pPr>
            <w:r>
              <w:rPr>
                <w:sz w:val="21"/>
                <w:szCs w:val="21"/>
              </w:rPr>
              <w:t>环境管理制度及执行情况</w:t>
            </w:r>
          </w:p>
        </w:tc>
        <w:tc>
          <w:tcPr>
            <w:tcW w:w="710" w:type="dxa"/>
            <w:tcBorders>
              <w:tl2br w:val="nil"/>
              <w:tr2bl w:val="nil"/>
            </w:tcBorders>
            <w:vAlign w:val="center"/>
          </w:tcPr>
          <w:p w14:paraId="35DB67CF">
            <w:pPr>
              <w:adjustRightInd w:val="0"/>
              <w:snapToGrid w:val="0"/>
              <w:spacing w:line="240" w:lineRule="auto"/>
              <w:jc w:val="center"/>
              <w:rPr>
                <w:sz w:val="21"/>
                <w:szCs w:val="21"/>
              </w:rPr>
            </w:pPr>
            <w:r>
              <w:rPr>
                <w:sz w:val="21"/>
                <w:szCs w:val="21"/>
              </w:rPr>
              <w:t>0.05</w:t>
            </w:r>
          </w:p>
        </w:tc>
        <w:tc>
          <w:tcPr>
            <w:tcW w:w="2413" w:type="dxa"/>
            <w:tcBorders>
              <w:tl2br w:val="nil"/>
              <w:tr2bl w:val="nil"/>
            </w:tcBorders>
            <w:vAlign w:val="center"/>
          </w:tcPr>
          <w:p w14:paraId="01CA6CB6">
            <w:pPr>
              <w:adjustRightInd w:val="0"/>
              <w:snapToGrid w:val="0"/>
              <w:spacing w:line="240" w:lineRule="auto"/>
              <w:jc w:val="center"/>
              <w:rPr>
                <w:sz w:val="21"/>
                <w:szCs w:val="21"/>
              </w:rPr>
            </w:pPr>
            <w:r>
              <w:rPr>
                <w:sz w:val="21"/>
                <w:szCs w:val="21"/>
              </w:rPr>
              <w:t>按照 GB/T 24001 建立环境管理体系，并取得认证，能有效运行；环境管理程序文件及作用文件齐备</w:t>
            </w:r>
          </w:p>
        </w:tc>
        <w:tc>
          <w:tcPr>
            <w:tcW w:w="1564" w:type="dxa"/>
            <w:tcBorders>
              <w:tl2br w:val="nil"/>
              <w:tr2bl w:val="nil"/>
            </w:tcBorders>
            <w:vAlign w:val="center"/>
          </w:tcPr>
          <w:p w14:paraId="228B5BAC">
            <w:pPr>
              <w:adjustRightInd w:val="0"/>
              <w:snapToGrid w:val="0"/>
              <w:spacing w:line="240" w:lineRule="auto"/>
              <w:jc w:val="center"/>
              <w:rPr>
                <w:sz w:val="21"/>
                <w:szCs w:val="21"/>
              </w:rPr>
            </w:pPr>
            <w:r>
              <w:rPr>
                <w:sz w:val="21"/>
                <w:szCs w:val="21"/>
              </w:rPr>
              <w:t>按照GB/T 24001 建立环境管理体系，并能有效运行；环境管理手册、程序文件及作用文件齐备</w:t>
            </w:r>
          </w:p>
        </w:tc>
        <w:tc>
          <w:tcPr>
            <w:tcW w:w="1464" w:type="dxa"/>
            <w:gridSpan w:val="2"/>
            <w:tcBorders>
              <w:tl2br w:val="nil"/>
              <w:tr2bl w:val="nil"/>
            </w:tcBorders>
            <w:vAlign w:val="center"/>
          </w:tcPr>
          <w:p w14:paraId="225A0577">
            <w:pPr>
              <w:adjustRightInd w:val="0"/>
              <w:snapToGrid w:val="0"/>
              <w:spacing w:line="240" w:lineRule="auto"/>
              <w:jc w:val="center"/>
              <w:rPr>
                <w:sz w:val="21"/>
                <w:szCs w:val="21"/>
              </w:rPr>
            </w:pPr>
            <w:r>
              <w:rPr>
                <w:sz w:val="21"/>
                <w:szCs w:val="21"/>
              </w:rPr>
              <w:t>环境管理手册、程序文件及作用文件齐全</w:t>
            </w:r>
          </w:p>
        </w:tc>
        <w:tc>
          <w:tcPr>
            <w:tcW w:w="2362" w:type="dxa"/>
            <w:gridSpan w:val="2"/>
            <w:tcBorders>
              <w:tl2br w:val="nil"/>
              <w:tr2bl w:val="nil"/>
            </w:tcBorders>
            <w:vAlign w:val="center"/>
          </w:tcPr>
          <w:p w14:paraId="542C9E28">
            <w:pPr>
              <w:adjustRightInd w:val="0"/>
              <w:snapToGrid w:val="0"/>
              <w:spacing w:line="240" w:lineRule="auto"/>
              <w:jc w:val="center"/>
              <w:rPr>
                <w:sz w:val="21"/>
                <w:szCs w:val="21"/>
              </w:rPr>
            </w:pPr>
            <w:r>
              <w:rPr>
                <w:sz w:val="21"/>
                <w:szCs w:val="21"/>
              </w:rPr>
              <w:t>投产后拟按照GB/T24001建立环境管理体系，并取得认证；环境管理程序文件及作用文件齐备</w:t>
            </w:r>
          </w:p>
        </w:tc>
        <w:tc>
          <w:tcPr>
            <w:tcW w:w="760" w:type="dxa"/>
            <w:tcBorders>
              <w:tl2br w:val="nil"/>
              <w:tr2bl w:val="nil"/>
            </w:tcBorders>
            <w:vAlign w:val="center"/>
          </w:tcPr>
          <w:p w14:paraId="00A0C9C0">
            <w:pPr>
              <w:adjustRightInd w:val="0"/>
              <w:snapToGrid w:val="0"/>
              <w:spacing w:line="240" w:lineRule="auto"/>
              <w:jc w:val="center"/>
              <w:rPr>
                <w:sz w:val="21"/>
                <w:szCs w:val="21"/>
              </w:rPr>
            </w:pPr>
            <w:r>
              <w:rPr>
                <w:sz w:val="21"/>
                <w:szCs w:val="21"/>
              </w:rPr>
              <w:t>一级</w:t>
            </w:r>
          </w:p>
        </w:tc>
      </w:tr>
      <w:tr w14:paraId="101BE49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2AEF3665">
            <w:pPr>
              <w:adjustRightInd w:val="0"/>
              <w:snapToGrid w:val="0"/>
              <w:spacing w:line="240" w:lineRule="auto"/>
              <w:jc w:val="center"/>
              <w:rPr>
                <w:sz w:val="21"/>
                <w:szCs w:val="21"/>
              </w:rPr>
            </w:pPr>
            <w:r>
              <w:rPr>
                <w:sz w:val="21"/>
                <w:szCs w:val="21"/>
              </w:rPr>
              <w:t>26</w:t>
            </w:r>
          </w:p>
        </w:tc>
        <w:tc>
          <w:tcPr>
            <w:tcW w:w="770" w:type="dxa"/>
            <w:vMerge w:val="continue"/>
            <w:tcBorders>
              <w:tl2br w:val="nil"/>
              <w:tr2bl w:val="nil"/>
            </w:tcBorders>
            <w:vAlign w:val="center"/>
          </w:tcPr>
          <w:p w14:paraId="13EB67E7">
            <w:pPr>
              <w:adjustRightInd w:val="0"/>
              <w:snapToGrid w:val="0"/>
              <w:spacing w:line="240" w:lineRule="auto"/>
              <w:jc w:val="center"/>
              <w:rPr>
                <w:sz w:val="21"/>
                <w:szCs w:val="21"/>
              </w:rPr>
            </w:pPr>
          </w:p>
        </w:tc>
        <w:tc>
          <w:tcPr>
            <w:tcW w:w="703" w:type="dxa"/>
            <w:vMerge w:val="continue"/>
            <w:tcBorders>
              <w:tl2br w:val="nil"/>
              <w:tr2bl w:val="nil"/>
            </w:tcBorders>
            <w:vAlign w:val="center"/>
          </w:tcPr>
          <w:p w14:paraId="3F770DE2">
            <w:pPr>
              <w:adjustRightInd w:val="0"/>
              <w:snapToGrid w:val="0"/>
              <w:spacing w:line="240" w:lineRule="auto"/>
              <w:jc w:val="center"/>
              <w:rPr>
                <w:sz w:val="21"/>
                <w:szCs w:val="21"/>
              </w:rPr>
            </w:pPr>
          </w:p>
        </w:tc>
        <w:tc>
          <w:tcPr>
            <w:tcW w:w="2638" w:type="dxa"/>
            <w:gridSpan w:val="4"/>
            <w:tcBorders>
              <w:tl2br w:val="nil"/>
              <w:tr2bl w:val="nil"/>
            </w:tcBorders>
            <w:vAlign w:val="center"/>
          </w:tcPr>
          <w:p w14:paraId="52D875F5">
            <w:pPr>
              <w:adjustRightInd w:val="0"/>
              <w:snapToGrid w:val="0"/>
              <w:spacing w:line="240" w:lineRule="auto"/>
              <w:jc w:val="center"/>
              <w:rPr>
                <w:sz w:val="21"/>
                <w:szCs w:val="21"/>
              </w:rPr>
            </w:pPr>
            <w:r>
              <w:rPr>
                <w:sz w:val="21"/>
                <w:szCs w:val="21"/>
              </w:rPr>
              <w:t>职业健康安全管理制度及运行情况</w:t>
            </w:r>
          </w:p>
        </w:tc>
        <w:tc>
          <w:tcPr>
            <w:tcW w:w="708" w:type="dxa"/>
            <w:tcBorders>
              <w:tl2br w:val="nil"/>
              <w:tr2bl w:val="nil"/>
            </w:tcBorders>
            <w:vAlign w:val="center"/>
          </w:tcPr>
          <w:p w14:paraId="7609EED9">
            <w:pPr>
              <w:adjustRightInd w:val="0"/>
              <w:snapToGrid w:val="0"/>
              <w:spacing w:line="240" w:lineRule="auto"/>
              <w:jc w:val="center"/>
              <w:rPr>
                <w:sz w:val="21"/>
                <w:szCs w:val="21"/>
              </w:rPr>
            </w:pPr>
            <w:r>
              <w:rPr>
                <w:sz w:val="21"/>
                <w:szCs w:val="21"/>
              </w:rPr>
              <w:t>0.05</w:t>
            </w:r>
          </w:p>
        </w:tc>
        <w:tc>
          <w:tcPr>
            <w:tcW w:w="5443" w:type="dxa"/>
            <w:gridSpan w:val="4"/>
            <w:tcBorders>
              <w:tl2br w:val="nil"/>
              <w:tr2bl w:val="nil"/>
            </w:tcBorders>
            <w:vAlign w:val="center"/>
          </w:tcPr>
          <w:p w14:paraId="38388E91">
            <w:pPr>
              <w:adjustRightInd w:val="0"/>
              <w:snapToGrid w:val="0"/>
              <w:spacing w:line="240" w:lineRule="auto"/>
              <w:jc w:val="center"/>
              <w:rPr>
                <w:sz w:val="21"/>
                <w:szCs w:val="21"/>
              </w:rPr>
            </w:pPr>
            <w:r>
              <w:rPr>
                <w:sz w:val="21"/>
                <w:szCs w:val="21"/>
              </w:rPr>
              <w:t>建立职业健康安全管理体系，并有效运行</w:t>
            </w:r>
          </w:p>
        </w:tc>
        <w:tc>
          <w:tcPr>
            <w:tcW w:w="2358" w:type="dxa"/>
            <w:tcBorders>
              <w:tl2br w:val="nil"/>
              <w:tr2bl w:val="nil"/>
            </w:tcBorders>
            <w:vAlign w:val="center"/>
          </w:tcPr>
          <w:p w14:paraId="352B0054">
            <w:pPr>
              <w:adjustRightInd w:val="0"/>
              <w:snapToGrid w:val="0"/>
              <w:spacing w:line="240" w:lineRule="auto"/>
              <w:jc w:val="center"/>
              <w:rPr>
                <w:sz w:val="21"/>
                <w:szCs w:val="21"/>
              </w:rPr>
            </w:pPr>
            <w:r>
              <w:rPr>
                <w:sz w:val="21"/>
                <w:szCs w:val="21"/>
              </w:rPr>
              <w:t>投产后将建立职业健康安全管理体系，并有效运行</w:t>
            </w:r>
          </w:p>
        </w:tc>
        <w:tc>
          <w:tcPr>
            <w:tcW w:w="764" w:type="dxa"/>
            <w:gridSpan w:val="2"/>
            <w:tcBorders>
              <w:tl2br w:val="nil"/>
              <w:tr2bl w:val="nil"/>
            </w:tcBorders>
            <w:vAlign w:val="center"/>
          </w:tcPr>
          <w:p w14:paraId="506787BC">
            <w:pPr>
              <w:adjustRightInd w:val="0"/>
              <w:snapToGrid w:val="0"/>
              <w:spacing w:line="240" w:lineRule="auto"/>
              <w:jc w:val="center"/>
              <w:rPr>
                <w:sz w:val="21"/>
                <w:szCs w:val="21"/>
              </w:rPr>
            </w:pPr>
            <w:r>
              <w:rPr>
                <w:sz w:val="21"/>
                <w:szCs w:val="21"/>
              </w:rPr>
              <w:t>一级</w:t>
            </w:r>
          </w:p>
        </w:tc>
      </w:tr>
      <w:tr w14:paraId="215D08F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04DBFAF3">
            <w:pPr>
              <w:adjustRightInd w:val="0"/>
              <w:snapToGrid w:val="0"/>
              <w:spacing w:line="240" w:lineRule="auto"/>
              <w:jc w:val="center"/>
              <w:rPr>
                <w:sz w:val="21"/>
                <w:szCs w:val="21"/>
              </w:rPr>
            </w:pPr>
            <w:r>
              <w:rPr>
                <w:sz w:val="21"/>
                <w:szCs w:val="21"/>
              </w:rPr>
              <w:t>27</w:t>
            </w:r>
          </w:p>
        </w:tc>
        <w:tc>
          <w:tcPr>
            <w:tcW w:w="770" w:type="dxa"/>
            <w:vMerge w:val="continue"/>
            <w:tcBorders>
              <w:tl2br w:val="nil"/>
              <w:tr2bl w:val="nil"/>
            </w:tcBorders>
            <w:vAlign w:val="center"/>
          </w:tcPr>
          <w:p w14:paraId="7F9BF21D">
            <w:pPr>
              <w:adjustRightInd w:val="0"/>
              <w:snapToGrid w:val="0"/>
              <w:spacing w:line="240" w:lineRule="auto"/>
              <w:jc w:val="center"/>
              <w:rPr>
                <w:sz w:val="21"/>
                <w:szCs w:val="21"/>
              </w:rPr>
            </w:pPr>
          </w:p>
        </w:tc>
        <w:tc>
          <w:tcPr>
            <w:tcW w:w="703" w:type="dxa"/>
            <w:vMerge w:val="continue"/>
            <w:tcBorders>
              <w:tl2br w:val="nil"/>
              <w:tr2bl w:val="nil"/>
            </w:tcBorders>
            <w:vAlign w:val="center"/>
          </w:tcPr>
          <w:p w14:paraId="34DE28AB">
            <w:pPr>
              <w:adjustRightInd w:val="0"/>
              <w:snapToGrid w:val="0"/>
              <w:spacing w:line="240" w:lineRule="auto"/>
              <w:jc w:val="center"/>
              <w:rPr>
                <w:sz w:val="21"/>
                <w:szCs w:val="21"/>
              </w:rPr>
            </w:pPr>
          </w:p>
        </w:tc>
        <w:tc>
          <w:tcPr>
            <w:tcW w:w="2638" w:type="dxa"/>
            <w:gridSpan w:val="4"/>
            <w:tcBorders>
              <w:tl2br w:val="nil"/>
              <w:tr2bl w:val="nil"/>
            </w:tcBorders>
            <w:vAlign w:val="center"/>
          </w:tcPr>
          <w:p w14:paraId="13BADA6D">
            <w:pPr>
              <w:adjustRightInd w:val="0"/>
              <w:snapToGrid w:val="0"/>
              <w:spacing w:line="240" w:lineRule="auto"/>
              <w:jc w:val="center"/>
              <w:rPr>
                <w:sz w:val="21"/>
                <w:szCs w:val="21"/>
              </w:rPr>
            </w:pPr>
            <w:r>
              <w:rPr>
                <w:sz w:val="21"/>
                <w:szCs w:val="21"/>
              </w:rPr>
              <w:t>节能减排管理制度及执行</w:t>
            </w:r>
          </w:p>
          <w:p w14:paraId="5DB2A566">
            <w:pPr>
              <w:adjustRightInd w:val="0"/>
              <w:snapToGrid w:val="0"/>
              <w:spacing w:line="240" w:lineRule="auto"/>
              <w:jc w:val="center"/>
              <w:rPr>
                <w:sz w:val="21"/>
                <w:szCs w:val="21"/>
              </w:rPr>
            </w:pPr>
            <w:r>
              <w:rPr>
                <w:sz w:val="21"/>
                <w:szCs w:val="21"/>
              </w:rPr>
              <w:t>情况</w:t>
            </w:r>
          </w:p>
        </w:tc>
        <w:tc>
          <w:tcPr>
            <w:tcW w:w="708" w:type="dxa"/>
            <w:tcBorders>
              <w:tl2br w:val="nil"/>
              <w:tr2bl w:val="nil"/>
            </w:tcBorders>
            <w:vAlign w:val="center"/>
          </w:tcPr>
          <w:p w14:paraId="7AB46B7B">
            <w:pPr>
              <w:adjustRightInd w:val="0"/>
              <w:snapToGrid w:val="0"/>
              <w:spacing w:line="240" w:lineRule="auto"/>
              <w:jc w:val="center"/>
              <w:rPr>
                <w:sz w:val="21"/>
                <w:szCs w:val="21"/>
              </w:rPr>
            </w:pPr>
            <w:r>
              <w:rPr>
                <w:sz w:val="21"/>
                <w:szCs w:val="21"/>
              </w:rPr>
              <w:t>0.05</w:t>
            </w:r>
          </w:p>
        </w:tc>
        <w:tc>
          <w:tcPr>
            <w:tcW w:w="5443" w:type="dxa"/>
            <w:gridSpan w:val="4"/>
            <w:tcBorders>
              <w:tl2br w:val="nil"/>
              <w:tr2bl w:val="nil"/>
            </w:tcBorders>
            <w:vAlign w:val="center"/>
          </w:tcPr>
          <w:p w14:paraId="335F7E60">
            <w:pPr>
              <w:adjustRightInd w:val="0"/>
              <w:snapToGrid w:val="0"/>
              <w:spacing w:line="240" w:lineRule="auto"/>
              <w:jc w:val="center"/>
              <w:rPr>
                <w:sz w:val="21"/>
                <w:szCs w:val="21"/>
              </w:rPr>
            </w:pPr>
            <w:r>
              <w:rPr>
                <w:sz w:val="21"/>
                <w:szCs w:val="21"/>
              </w:rPr>
              <w:t>建立节能减排管理制度，并有效执行</w:t>
            </w:r>
          </w:p>
        </w:tc>
        <w:tc>
          <w:tcPr>
            <w:tcW w:w="2358" w:type="dxa"/>
            <w:tcBorders>
              <w:tl2br w:val="nil"/>
              <w:tr2bl w:val="nil"/>
            </w:tcBorders>
            <w:vAlign w:val="center"/>
          </w:tcPr>
          <w:p w14:paraId="27DA53BF">
            <w:pPr>
              <w:adjustRightInd w:val="0"/>
              <w:snapToGrid w:val="0"/>
              <w:spacing w:line="240" w:lineRule="auto"/>
              <w:jc w:val="center"/>
              <w:rPr>
                <w:sz w:val="21"/>
                <w:szCs w:val="21"/>
              </w:rPr>
            </w:pPr>
            <w:r>
              <w:rPr>
                <w:sz w:val="21"/>
                <w:szCs w:val="21"/>
              </w:rPr>
              <w:t>投产后将建立节能减排管理制度，并有效执行</w:t>
            </w:r>
          </w:p>
        </w:tc>
        <w:tc>
          <w:tcPr>
            <w:tcW w:w="764" w:type="dxa"/>
            <w:gridSpan w:val="2"/>
            <w:tcBorders>
              <w:tl2br w:val="nil"/>
              <w:tr2bl w:val="nil"/>
            </w:tcBorders>
            <w:vAlign w:val="center"/>
          </w:tcPr>
          <w:p w14:paraId="5B1E7EC8">
            <w:pPr>
              <w:adjustRightInd w:val="0"/>
              <w:snapToGrid w:val="0"/>
              <w:spacing w:line="240" w:lineRule="auto"/>
              <w:jc w:val="center"/>
              <w:rPr>
                <w:sz w:val="21"/>
                <w:szCs w:val="21"/>
              </w:rPr>
            </w:pPr>
            <w:r>
              <w:rPr>
                <w:sz w:val="21"/>
                <w:szCs w:val="21"/>
              </w:rPr>
              <w:t>一级</w:t>
            </w:r>
          </w:p>
        </w:tc>
      </w:tr>
      <w:tr w14:paraId="470CF89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063F11B7">
            <w:pPr>
              <w:adjustRightInd w:val="0"/>
              <w:snapToGrid w:val="0"/>
              <w:spacing w:line="240" w:lineRule="auto"/>
              <w:jc w:val="center"/>
              <w:rPr>
                <w:sz w:val="21"/>
                <w:szCs w:val="21"/>
              </w:rPr>
            </w:pPr>
            <w:r>
              <w:rPr>
                <w:sz w:val="21"/>
                <w:szCs w:val="21"/>
              </w:rPr>
              <w:t>28</w:t>
            </w:r>
          </w:p>
        </w:tc>
        <w:tc>
          <w:tcPr>
            <w:tcW w:w="770" w:type="dxa"/>
            <w:vMerge w:val="continue"/>
            <w:tcBorders>
              <w:tl2br w:val="nil"/>
              <w:tr2bl w:val="nil"/>
            </w:tcBorders>
            <w:vAlign w:val="center"/>
          </w:tcPr>
          <w:p w14:paraId="5E017D52">
            <w:pPr>
              <w:adjustRightInd w:val="0"/>
              <w:snapToGrid w:val="0"/>
              <w:spacing w:line="240" w:lineRule="auto"/>
              <w:jc w:val="center"/>
              <w:rPr>
                <w:sz w:val="21"/>
                <w:szCs w:val="21"/>
              </w:rPr>
            </w:pPr>
          </w:p>
        </w:tc>
        <w:tc>
          <w:tcPr>
            <w:tcW w:w="703" w:type="dxa"/>
            <w:vMerge w:val="continue"/>
            <w:tcBorders>
              <w:tl2br w:val="nil"/>
              <w:tr2bl w:val="nil"/>
            </w:tcBorders>
            <w:vAlign w:val="center"/>
          </w:tcPr>
          <w:p w14:paraId="4AC7E9DF">
            <w:pPr>
              <w:adjustRightInd w:val="0"/>
              <w:snapToGrid w:val="0"/>
              <w:spacing w:line="240" w:lineRule="auto"/>
              <w:jc w:val="center"/>
              <w:rPr>
                <w:sz w:val="21"/>
                <w:szCs w:val="21"/>
              </w:rPr>
            </w:pPr>
          </w:p>
        </w:tc>
        <w:tc>
          <w:tcPr>
            <w:tcW w:w="2638" w:type="dxa"/>
            <w:gridSpan w:val="4"/>
            <w:tcBorders>
              <w:tl2br w:val="nil"/>
              <w:tr2bl w:val="nil"/>
            </w:tcBorders>
            <w:vAlign w:val="center"/>
          </w:tcPr>
          <w:p w14:paraId="38C7B35A">
            <w:pPr>
              <w:adjustRightInd w:val="0"/>
              <w:snapToGrid w:val="0"/>
              <w:spacing w:line="240" w:lineRule="auto"/>
              <w:jc w:val="center"/>
              <w:rPr>
                <w:sz w:val="21"/>
                <w:szCs w:val="21"/>
              </w:rPr>
            </w:pPr>
            <w:r>
              <w:rPr>
                <w:sz w:val="21"/>
                <w:szCs w:val="21"/>
              </w:rPr>
              <w:t>原辅材料及成品库管理情况</w:t>
            </w:r>
          </w:p>
        </w:tc>
        <w:tc>
          <w:tcPr>
            <w:tcW w:w="708" w:type="dxa"/>
            <w:tcBorders>
              <w:tl2br w:val="nil"/>
              <w:tr2bl w:val="nil"/>
            </w:tcBorders>
            <w:vAlign w:val="center"/>
          </w:tcPr>
          <w:p w14:paraId="4E49CB45">
            <w:pPr>
              <w:adjustRightInd w:val="0"/>
              <w:snapToGrid w:val="0"/>
              <w:spacing w:line="240" w:lineRule="auto"/>
              <w:jc w:val="center"/>
              <w:rPr>
                <w:sz w:val="21"/>
                <w:szCs w:val="21"/>
              </w:rPr>
            </w:pPr>
            <w:r>
              <w:rPr>
                <w:sz w:val="21"/>
                <w:szCs w:val="21"/>
              </w:rPr>
              <w:t>0.05</w:t>
            </w:r>
          </w:p>
        </w:tc>
        <w:tc>
          <w:tcPr>
            <w:tcW w:w="5443" w:type="dxa"/>
            <w:gridSpan w:val="4"/>
            <w:tcBorders>
              <w:tl2br w:val="nil"/>
              <w:tr2bl w:val="nil"/>
            </w:tcBorders>
            <w:vAlign w:val="center"/>
          </w:tcPr>
          <w:p w14:paraId="41DD3029">
            <w:pPr>
              <w:adjustRightInd w:val="0"/>
              <w:snapToGrid w:val="0"/>
              <w:spacing w:line="240" w:lineRule="auto"/>
              <w:jc w:val="center"/>
              <w:rPr>
                <w:sz w:val="21"/>
                <w:szCs w:val="21"/>
              </w:rPr>
            </w:pPr>
            <w:r>
              <w:rPr>
                <w:sz w:val="21"/>
                <w:szCs w:val="21"/>
              </w:rPr>
              <w:t>有完善的原辅材料以及产品的管理规章制度，并有效实施</w:t>
            </w:r>
          </w:p>
        </w:tc>
        <w:tc>
          <w:tcPr>
            <w:tcW w:w="2358" w:type="dxa"/>
            <w:tcBorders>
              <w:tl2br w:val="nil"/>
              <w:tr2bl w:val="nil"/>
            </w:tcBorders>
            <w:vAlign w:val="center"/>
          </w:tcPr>
          <w:p w14:paraId="7ECAA5C7">
            <w:pPr>
              <w:adjustRightInd w:val="0"/>
              <w:snapToGrid w:val="0"/>
              <w:spacing w:line="240" w:lineRule="auto"/>
              <w:jc w:val="center"/>
              <w:rPr>
                <w:sz w:val="21"/>
                <w:szCs w:val="21"/>
              </w:rPr>
            </w:pPr>
            <w:r>
              <w:rPr>
                <w:sz w:val="21"/>
                <w:szCs w:val="21"/>
              </w:rPr>
              <w:t>投产后将建立完善的原辅材料、产品管理规章制度，并有效实施</w:t>
            </w:r>
          </w:p>
        </w:tc>
        <w:tc>
          <w:tcPr>
            <w:tcW w:w="764" w:type="dxa"/>
            <w:gridSpan w:val="2"/>
            <w:tcBorders>
              <w:tl2br w:val="nil"/>
              <w:tr2bl w:val="nil"/>
            </w:tcBorders>
            <w:vAlign w:val="center"/>
          </w:tcPr>
          <w:p w14:paraId="0F7DD58E">
            <w:pPr>
              <w:adjustRightInd w:val="0"/>
              <w:snapToGrid w:val="0"/>
              <w:spacing w:line="240" w:lineRule="auto"/>
              <w:jc w:val="center"/>
              <w:rPr>
                <w:sz w:val="21"/>
                <w:szCs w:val="21"/>
              </w:rPr>
            </w:pPr>
            <w:r>
              <w:rPr>
                <w:sz w:val="21"/>
                <w:szCs w:val="21"/>
              </w:rPr>
              <w:t>一级</w:t>
            </w:r>
          </w:p>
        </w:tc>
      </w:tr>
      <w:tr w14:paraId="24B1155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3A863AA4">
            <w:pPr>
              <w:adjustRightInd w:val="0"/>
              <w:snapToGrid w:val="0"/>
              <w:spacing w:line="240" w:lineRule="auto"/>
              <w:jc w:val="center"/>
              <w:rPr>
                <w:sz w:val="21"/>
                <w:szCs w:val="21"/>
              </w:rPr>
            </w:pPr>
            <w:r>
              <w:rPr>
                <w:sz w:val="21"/>
                <w:szCs w:val="21"/>
              </w:rPr>
              <w:t>29</w:t>
            </w:r>
          </w:p>
        </w:tc>
        <w:tc>
          <w:tcPr>
            <w:tcW w:w="770" w:type="dxa"/>
            <w:vMerge w:val="continue"/>
            <w:tcBorders>
              <w:tl2br w:val="nil"/>
              <w:tr2bl w:val="nil"/>
            </w:tcBorders>
            <w:vAlign w:val="center"/>
          </w:tcPr>
          <w:p w14:paraId="1EC30E2B">
            <w:pPr>
              <w:adjustRightInd w:val="0"/>
              <w:snapToGrid w:val="0"/>
              <w:spacing w:line="240" w:lineRule="auto"/>
              <w:jc w:val="center"/>
              <w:rPr>
                <w:sz w:val="21"/>
                <w:szCs w:val="21"/>
              </w:rPr>
            </w:pPr>
          </w:p>
        </w:tc>
        <w:tc>
          <w:tcPr>
            <w:tcW w:w="703" w:type="dxa"/>
            <w:vMerge w:val="continue"/>
            <w:tcBorders>
              <w:tl2br w:val="nil"/>
              <w:tr2bl w:val="nil"/>
            </w:tcBorders>
            <w:vAlign w:val="center"/>
          </w:tcPr>
          <w:p w14:paraId="00AB16F2">
            <w:pPr>
              <w:adjustRightInd w:val="0"/>
              <w:snapToGrid w:val="0"/>
              <w:spacing w:line="240" w:lineRule="auto"/>
              <w:jc w:val="center"/>
              <w:rPr>
                <w:sz w:val="21"/>
                <w:szCs w:val="21"/>
              </w:rPr>
            </w:pPr>
          </w:p>
        </w:tc>
        <w:tc>
          <w:tcPr>
            <w:tcW w:w="2638" w:type="dxa"/>
            <w:gridSpan w:val="4"/>
            <w:tcBorders>
              <w:tl2br w:val="nil"/>
              <w:tr2bl w:val="nil"/>
            </w:tcBorders>
            <w:vAlign w:val="center"/>
          </w:tcPr>
          <w:p w14:paraId="6C6AA543">
            <w:pPr>
              <w:adjustRightInd w:val="0"/>
              <w:snapToGrid w:val="0"/>
              <w:spacing w:line="240" w:lineRule="auto"/>
              <w:jc w:val="center"/>
              <w:rPr>
                <w:sz w:val="21"/>
                <w:szCs w:val="21"/>
              </w:rPr>
            </w:pPr>
            <w:r>
              <w:rPr>
                <w:sz w:val="21"/>
                <w:szCs w:val="21"/>
              </w:rPr>
              <w:t>清洁能源</w:t>
            </w:r>
          </w:p>
        </w:tc>
        <w:tc>
          <w:tcPr>
            <w:tcW w:w="708" w:type="dxa"/>
            <w:tcBorders>
              <w:tl2br w:val="nil"/>
              <w:tr2bl w:val="nil"/>
            </w:tcBorders>
            <w:vAlign w:val="center"/>
          </w:tcPr>
          <w:p w14:paraId="31791AF5">
            <w:pPr>
              <w:adjustRightInd w:val="0"/>
              <w:snapToGrid w:val="0"/>
              <w:spacing w:line="240" w:lineRule="auto"/>
              <w:jc w:val="center"/>
              <w:rPr>
                <w:sz w:val="21"/>
                <w:szCs w:val="21"/>
              </w:rPr>
            </w:pPr>
            <w:r>
              <w:rPr>
                <w:sz w:val="21"/>
                <w:szCs w:val="21"/>
              </w:rPr>
              <w:t>0.1</w:t>
            </w:r>
          </w:p>
        </w:tc>
        <w:tc>
          <w:tcPr>
            <w:tcW w:w="5443" w:type="dxa"/>
            <w:gridSpan w:val="4"/>
            <w:tcBorders>
              <w:tl2br w:val="nil"/>
              <w:tr2bl w:val="nil"/>
            </w:tcBorders>
            <w:vAlign w:val="center"/>
          </w:tcPr>
          <w:p w14:paraId="1D903523">
            <w:pPr>
              <w:adjustRightInd w:val="0"/>
              <w:snapToGrid w:val="0"/>
              <w:spacing w:line="240" w:lineRule="auto"/>
              <w:jc w:val="center"/>
              <w:rPr>
                <w:sz w:val="21"/>
                <w:szCs w:val="21"/>
              </w:rPr>
            </w:pPr>
            <w:r>
              <w:rPr>
                <w:sz w:val="21"/>
                <w:szCs w:val="21"/>
              </w:rPr>
              <w:t>全部使用清洁能源</w:t>
            </w:r>
          </w:p>
        </w:tc>
        <w:tc>
          <w:tcPr>
            <w:tcW w:w="2358" w:type="dxa"/>
            <w:tcBorders>
              <w:tl2br w:val="nil"/>
              <w:tr2bl w:val="nil"/>
            </w:tcBorders>
            <w:vAlign w:val="center"/>
          </w:tcPr>
          <w:p w14:paraId="52D10360">
            <w:pPr>
              <w:adjustRightInd w:val="0"/>
              <w:snapToGrid w:val="0"/>
              <w:spacing w:line="240" w:lineRule="auto"/>
              <w:jc w:val="center"/>
              <w:rPr>
                <w:sz w:val="21"/>
                <w:szCs w:val="21"/>
              </w:rPr>
            </w:pPr>
            <w:r>
              <w:rPr>
                <w:sz w:val="21"/>
                <w:szCs w:val="21"/>
              </w:rPr>
              <w:t>能源主要是电和天然气，属于清洁生产</w:t>
            </w:r>
          </w:p>
        </w:tc>
        <w:tc>
          <w:tcPr>
            <w:tcW w:w="764" w:type="dxa"/>
            <w:gridSpan w:val="2"/>
            <w:tcBorders>
              <w:tl2br w:val="nil"/>
              <w:tr2bl w:val="nil"/>
            </w:tcBorders>
            <w:vAlign w:val="center"/>
          </w:tcPr>
          <w:p w14:paraId="6033EF00">
            <w:pPr>
              <w:adjustRightInd w:val="0"/>
              <w:snapToGrid w:val="0"/>
              <w:spacing w:line="240" w:lineRule="auto"/>
              <w:jc w:val="center"/>
              <w:rPr>
                <w:sz w:val="21"/>
                <w:szCs w:val="21"/>
              </w:rPr>
            </w:pPr>
            <w:r>
              <w:rPr>
                <w:sz w:val="21"/>
                <w:szCs w:val="21"/>
              </w:rPr>
              <w:t>一级</w:t>
            </w:r>
          </w:p>
        </w:tc>
      </w:tr>
      <w:tr w14:paraId="1453904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32DEE6D3">
            <w:pPr>
              <w:adjustRightInd w:val="0"/>
              <w:snapToGrid w:val="0"/>
              <w:spacing w:line="240" w:lineRule="auto"/>
              <w:jc w:val="center"/>
              <w:rPr>
                <w:sz w:val="21"/>
                <w:szCs w:val="21"/>
              </w:rPr>
            </w:pPr>
            <w:r>
              <w:rPr>
                <w:sz w:val="21"/>
                <w:szCs w:val="21"/>
              </w:rPr>
              <w:t>30</w:t>
            </w:r>
          </w:p>
        </w:tc>
        <w:tc>
          <w:tcPr>
            <w:tcW w:w="770" w:type="dxa"/>
            <w:vMerge w:val="continue"/>
            <w:tcBorders>
              <w:tl2br w:val="nil"/>
              <w:tr2bl w:val="nil"/>
            </w:tcBorders>
            <w:vAlign w:val="center"/>
          </w:tcPr>
          <w:p w14:paraId="0BD45861">
            <w:pPr>
              <w:adjustRightInd w:val="0"/>
              <w:snapToGrid w:val="0"/>
              <w:spacing w:line="240" w:lineRule="auto"/>
              <w:jc w:val="center"/>
              <w:rPr>
                <w:sz w:val="21"/>
                <w:szCs w:val="21"/>
              </w:rPr>
            </w:pPr>
          </w:p>
        </w:tc>
        <w:tc>
          <w:tcPr>
            <w:tcW w:w="703" w:type="dxa"/>
            <w:vMerge w:val="continue"/>
            <w:tcBorders>
              <w:tl2br w:val="nil"/>
              <w:tr2bl w:val="nil"/>
            </w:tcBorders>
            <w:vAlign w:val="center"/>
          </w:tcPr>
          <w:p w14:paraId="743D3CAB">
            <w:pPr>
              <w:adjustRightInd w:val="0"/>
              <w:snapToGrid w:val="0"/>
              <w:spacing w:line="240" w:lineRule="auto"/>
              <w:jc w:val="center"/>
              <w:rPr>
                <w:sz w:val="21"/>
                <w:szCs w:val="21"/>
              </w:rPr>
            </w:pPr>
          </w:p>
        </w:tc>
        <w:tc>
          <w:tcPr>
            <w:tcW w:w="2638" w:type="dxa"/>
            <w:gridSpan w:val="4"/>
            <w:tcBorders>
              <w:tl2br w:val="nil"/>
              <w:tr2bl w:val="nil"/>
            </w:tcBorders>
            <w:vAlign w:val="center"/>
          </w:tcPr>
          <w:p w14:paraId="1C2A3968">
            <w:pPr>
              <w:adjustRightInd w:val="0"/>
              <w:snapToGrid w:val="0"/>
              <w:spacing w:line="240" w:lineRule="auto"/>
              <w:jc w:val="center"/>
              <w:rPr>
                <w:sz w:val="21"/>
                <w:szCs w:val="21"/>
              </w:rPr>
            </w:pPr>
            <w:r>
              <w:rPr>
                <w:sz w:val="21"/>
                <w:szCs w:val="21"/>
              </w:rPr>
              <w:t>一般固体废物管理</w:t>
            </w:r>
          </w:p>
        </w:tc>
        <w:tc>
          <w:tcPr>
            <w:tcW w:w="708" w:type="dxa"/>
            <w:tcBorders>
              <w:tl2br w:val="nil"/>
              <w:tr2bl w:val="nil"/>
            </w:tcBorders>
            <w:vAlign w:val="center"/>
          </w:tcPr>
          <w:p w14:paraId="06A2D13F">
            <w:pPr>
              <w:adjustRightInd w:val="0"/>
              <w:snapToGrid w:val="0"/>
              <w:spacing w:line="240" w:lineRule="auto"/>
              <w:jc w:val="center"/>
              <w:rPr>
                <w:sz w:val="21"/>
                <w:szCs w:val="21"/>
              </w:rPr>
            </w:pPr>
            <w:r>
              <w:rPr>
                <w:sz w:val="21"/>
                <w:szCs w:val="21"/>
              </w:rPr>
              <w:t>0.05</w:t>
            </w:r>
          </w:p>
        </w:tc>
        <w:tc>
          <w:tcPr>
            <w:tcW w:w="5443" w:type="dxa"/>
            <w:gridSpan w:val="4"/>
            <w:tcBorders>
              <w:tl2br w:val="nil"/>
              <w:tr2bl w:val="nil"/>
            </w:tcBorders>
            <w:vAlign w:val="center"/>
          </w:tcPr>
          <w:p w14:paraId="09D4AEB2">
            <w:pPr>
              <w:adjustRightInd w:val="0"/>
              <w:snapToGrid w:val="0"/>
              <w:spacing w:line="240" w:lineRule="auto"/>
              <w:jc w:val="center"/>
              <w:rPr>
                <w:sz w:val="21"/>
                <w:szCs w:val="21"/>
              </w:rPr>
            </w:pPr>
            <w:r>
              <w:rPr>
                <w:sz w:val="21"/>
                <w:szCs w:val="21"/>
              </w:rPr>
              <w:t>对一般固体废物进行分类处理，可回收的回收处置，不可</w:t>
            </w:r>
          </w:p>
          <w:p w14:paraId="7CBBB6C2">
            <w:pPr>
              <w:adjustRightInd w:val="0"/>
              <w:snapToGrid w:val="0"/>
              <w:spacing w:line="240" w:lineRule="auto"/>
              <w:jc w:val="center"/>
              <w:rPr>
                <w:sz w:val="21"/>
                <w:szCs w:val="21"/>
              </w:rPr>
            </w:pPr>
            <w:r>
              <w:rPr>
                <w:sz w:val="21"/>
                <w:szCs w:val="21"/>
              </w:rPr>
              <w:t>回收的交相关单位处理、处置，不外排</w:t>
            </w:r>
          </w:p>
        </w:tc>
        <w:tc>
          <w:tcPr>
            <w:tcW w:w="2358" w:type="dxa"/>
            <w:tcBorders>
              <w:tl2br w:val="nil"/>
              <w:tr2bl w:val="nil"/>
            </w:tcBorders>
            <w:vAlign w:val="center"/>
          </w:tcPr>
          <w:p w14:paraId="7889E979">
            <w:pPr>
              <w:adjustRightInd w:val="0"/>
              <w:snapToGrid w:val="0"/>
              <w:spacing w:line="240" w:lineRule="auto"/>
              <w:jc w:val="center"/>
              <w:rPr>
                <w:sz w:val="21"/>
                <w:szCs w:val="21"/>
              </w:rPr>
            </w:pPr>
            <w:r>
              <w:rPr>
                <w:sz w:val="21"/>
                <w:szCs w:val="21"/>
              </w:rPr>
              <w:t>一般固体废物分类处理，回收处理</w:t>
            </w:r>
          </w:p>
        </w:tc>
        <w:tc>
          <w:tcPr>
            <w:tcW w:w="764" w:type="dxa"/>
            <w:gridSpan w:val="2"/>
            <w:tcBorders>
              <w:tl2br w:val="nil"/>
              <w:tr2bl w:val="nil"/>
            </w:tcBorders>
            <w:vAlign w:val="center"/>
          </w:tcPr>
          <w:p w14:paraId="18F5C707">
            <w:pPr>
              <w:adjustRightInd w:val="0"/>
              <w:snapToGrid w:val="0"/>
              <w:spacing w:line="240" w:lineRule="auto"/>
              <w:jc w:val="center"/>
              <w:rPr>
                <w:sz w:val="21"/>
                <w:szCs w:val="21"/>
              </w:rPr>
            </w:pPr>
            <w:r>
              <w:rPr>
                <w:sz w:val="21"/>
                <w:szCs w:val="21"/>
              </w:rPr>
              <w:t>一级</w:t>
            </w:r>
          </w:p>
        </w:tc>
      </w:tr>
      <w:tr w14:paraId="427CFED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7" w:type="dxa"/>
          <w:trHeight w:val="340" w:hRule="atLeast"/>
          <w:jc w:val="center"/>
        </w:trPr>
        <w:tc>
          <w:tcPr>
            <w:tcW w:w="533" w:type="dxa"/>
            <w:tcBorders>
              <w:tl2br w:val="nil"/>
              <w:tr2bl w:val="nil"/>
            </w:tcBorders>
            <w:vAlign w:val="center"/>
          </w:tcPr>
          <w:p w14:paraId="4867F77F">
            <w:pPr>
              <w:adjustRightInd w:val="0"/>
              <w:snapToGrid w:val="0"/>
              <w:spacing w:line="240" w:lineRule="auto"/>
              <w:jc w:val="center"/>
              <w:rPr>
                <w:sz w:val="21"/>
                <w:szCs w:val="21"/>
              </w:rPr>
            </w:pPr>
            <w:r>
              <w:rPr>
                <w:sz w:val="21"/>
                <w:szCs w:val="21"/>
              </w:rPr>
              <w:t>31</w:t>
            </w:r>
          </w:p>
        </w:tc>
        <w:tc>
          <w:tcPr>
            <w:tcW w:w="770" w:type="dxa"/>
            <w:vMerge w:val="continue"/>
            <w:tcBorders>
              <w:tl2br w:val="nil"/>
              <w:tr2bl w:val="nil"/>
            </w:tcBorders>
            <w:vAlign w:val="center"/>
          </w:tcPr>
          <w:p w14:paraId="536108BE">
            <w:pPr>
              <w:adjustRightInd w:val="0"/>
              <w:snapToGrid w:val="0"/>
              <w:spacing w:line="240" w:lineRule="auto"/>
              <w:jc w:val="center"/>
              <w:rPr>
                <w:sz w:val="21"/>
                <w:szCs w:val="21"/>
              </w:rPr>
            </w:pPr>
          </w:p>
        </w:tc>
        <w:tc>
          <w:tcPr>
            <w:tcW w:w="703" w:type="dxa"/>
            <w:vMerge w:val="continue"/>
            <w:tcBorders>
              <w:tl2br w:val="nil"/>
              <w:tr2bl w:val="nil"/>
            </w:tcBorders>
            <w:vAlign w:val="center"/>
          </w:tcPr>
          <w:p w14:paraId="25C9E5D6">
            <w:pPr>
              <w:adjustRightInd w:val="0"/>
              <w:snapToGrid w:val="0"/>
              <w:spacing w:line="240" w:lineRule="auto"/>
              <w:jc w:val="center"/>
              <w:rPr>
                <w:sz w:val="21"/>
                <w:szCs w:val="21"/>
              </w:rPr>
            </w:pPr>
          </w:p>
        </w:tc>
        <w:tc>
          <w:tcPr>
            <w:tcW w:w="2638" w:type="dxa"/>
            <w:gridSpan w:val="4"/>
            <w:tcBorders>
              <w:tl2br w:val="nil"/>
              <w:tr2bl w:val="nil"/>
            </w:tcBorders>
            <w:vAlign w:val="center"/>
          </w:tcPr>
          <w:p w14:paraId="64F10787">
            <w:pPr>
              <w:adjustRightInd w:val="0"/>
              <w:snapToGrid w:val="0"/>
              <w:spacing w:line="240" w:lineRule="auto"/>
              <w:jc w:val="center"/>
              <w:rPr>
                <w:sz w:val="21"/>
                <w:szCs w:val="21"/>
              </w:rPr>
            </w:pPr>
            <w:r>
              <w:rPr>
                <w:sz w:val="21"/>
                <w:szCs w:val="21"/>
              </w:rPr>
              <w:t>危险废物管理*</w:t>
            </w:r>
          </w:p>
        </w:tc>
        <w:tc>
          <w:tcPr>
            <w:tcW w:w="708" w:type="dxa"/>
            <w:tcBorders>
              <w:tl2br w:val="nil"/>
              <w:tr2bl w:val="nil"/>
            </w:tcBorders>
            <w:vAlign w:val="center"/>
          </w:tcPr>
          <w:p w14:paraId="1EB337B4">
            <w:pPr>
              <w:adjustRightInd w:val="0"/>
              <w:snapToGrid w:val="0"/>
              <w:spacing w:line="240" w:lineRule="auto"/>
              <w:jc w:val="center"/>
              <w:rPr>
                <w:sz w:val="21"/>
                <w:szCs w:val="21"/>
              </w:rPr>
            </w:pPr>
            <w:r>
              <w:rPr>
                <w:sz w:val="21"/>
                <w:szCs w:val="21"/>
              </w:rPr>
              <w:t>0.1</w:t>
            </w:r>
          </w:p>
        </w:tc>
        <w:tc>
          <w:tcPr>
            <w:tcW w:w="5443" w:type="dxa"/>
            <w:gridSpan w:val="4"/>
            <w:tcBorders>
              <w:tl2br w:val="nil"/>
              <w:tr2bl w:val="nil"/>
            </w:tcBorders>
            <w:vAlign w:val="center"/>
          </w:tcPr>
          <w:p w14:paraId="27C8CAB9">
            <w:pPr>
              <w:adjustRightInd w:val="0"/>
              <w:snapToGrid w:val="0"/>
              <w:spacing w:line="240" w:lineRule="auto"/>
              <w:jc w:val="center"/>
              <w:rPr>
                <w:sz w:val="21"/>
                <w:szCs w:val="21"/>
              </w:rPr>
            </w:pPr>
            <w:r>
              <w:rPr>
                <w:sz w:val="21"/>
                <w:szCs w:val="21"/>
              </w:rPr>
              <w:t>建有相关管理制度，台账记录、转移联单齐全；危险废弃物贮符合GB 18597等污染控制标准要求</w:t>
            </w:r>
          </w:p>
        </w:tc>
        <w:tc>
          <w:tcPr>
            <w:tcW w:w="2358" w:type="dxa"/>
            <w:tcBorders>
              <w:tl2br w:val="nil"/>
              <w:tr2bl w:val="nil"/>
            </w:tcBorders>
            <w:vAlign w:val="center"/>
          </w:tcPr>
          <w:p w14:paraId="527EC026">
            <w:pPr>
              <w:adjustRightInd w:val="0"/>
              <w:snapToGrid w:val="0"/>
              <w:spacing w:line="240" w:lineRule="auto"/>
              <w:jc w:val="center"/>
              <w:rPr>
                <w:sz w:val="21"/>
                <w:szCs w:val="21"/>
              </w:rPr>
            </w:pPr>
            <w:r>
              <w:rPr>
                <w:sz w:val="21"/>
                <w:szCs w:val="21"/>
              </w:rPr>
              <w:t>危险废弃物管理、贮存符合GB18597等污染控制标准要求；台账记录、转移联单齐全</w:t>
            </w:r>
          </w:p>
        </w:tc>
        <w:tc>
          <w:tcPr>
            <w:tcW w:w="764" w:type="dxa"/>
            <w:gridSpan w:val="2"/>
            <w:tcBorders>
              <w:tl2br w:val="nil"/>
              <w:tr2bl w:val="nil"/>
            </w:tcBorders>
            <w:vAlign w:val="center"/>
          </w:tcPr>
          <w:p w14:paraId="4ADF8F15">
            <w:pPr>
              <w:adjustRightInd w:val="0"/>
              <w:snapToGrid w:val="0"/>
              <w:spacing w:line="240" w:lineRule="auto"/>
              <w:jc w:val="center"/>
              <w:rPr>
                <w:sz w:val="21"/>
                <w:szCs w:val="21"/>
              </w:rPr>
            </w:pPr>
            <w:r>
              <w:rPr>
                <w:sz w:val="21"/>
                <w:szCs w:val="21"/>
              </w:rPr>
              <w:t>一级</w:t>
            </w:r>
          </w:p>
        </w:tc>
      </w:tr>
      <w:tr w14:paraId="40CE9FE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8" w:type="dxa"/>
          <w:trHeight w:val="340" w:hRule="atLeast"/>
          <w:jc w:val="center"/>
        </w:trPr>
        <w:tc>
          <w:tcPr>
            <w:tcW w:w="533" w:type="dxa"/>
            <w:tcBorders>
              <w:tl2br w:val="nil"/>
              <w:tr2bl w:val="nil"/>
            </w:tcBorders>
            <w:vAlign w:val="center"/>
          </w:tcPr>
          <w:p w14:paraId="1BD7F84C">
            <w:pPr>
              <w:adjustRightInd w:val="0"/>
              <w:snapToGrid w:val="0"/>
              <w:spacing w:line="240" w:lineRule="auto"/>
              <w:jc w:val="center"/>
              <w:rPr>
                <w:sz w:val="21"/>
                <w:szCs w:val="21"/>
              </w:rPr>
            </w:pPr>
            <w:r>
              <w:rPr>
                <w:sz w:val="21"/>
                <w:szCs w:val="21"/>
              </w:rPr>
              <w:t>32</w:t>
            </w:r>
          </w:p>
        </w:tc>
        <w:tc>
          <w:tcPr>
            <w:tcW w:w="770" w:type="dxa"/>
            <w:vMerge w:val="continue"/>
            <w:tcBorders>
              <w:tl2br w:val="nil"/>
              <w:tr2bl w:val="nil"/>
            </w:tcBorders>
            <w:vAlign w:val="center"/>
          </w:tcPr>
          <w:p w14:paraId="2DE3F5BC">
            <w:pPr>
              <w:adjustRightInd w:val="0"/>
              <w:snapToGrid w:val="0"/>
              <w:spacing w:line="240" w:lineRule="auto"/>
              <w:jc w:val="center"/>
              <w:rPr>
                <w:sz w:val="21"/>
                <w:szCs w:val="21"/>
              </w:rPr>
            </w:pPr>
          </w:p>
        </w:tc>
        <w:tc>
          <w:tcPr>
            <w:tcW w:w="703" w:type="dxa"/>
            <w:vMerge w:val="continue"/>
            <w:tcBorders>
              <w:tl2br w:val="nil"/>
              <w:tr2bl w:val="nil"/>
            </w:tcBorders>
            <w:vAlign w:val="center"/>
          </w:tcPr>
          <w:p w14:paraId="572542D0">
            <w:pPr>
              <w:adjustRightInd w:val="0"/>
              <w:snapToGrid w:val="0"/>
              <w:spacing w:line="240" w:lineRule="auto"/>
              <w:jc w:val="center"/>
              <w:rPr>
                <w:sz w:val="21"/>
                <w:szCs w:val="21"/>
              </w:rPr>
            </w:pPr>
          </w:p>
        </w:tc>
        <w:tc>
          <w:tcPr>
            <w:tcW w:w="2638" w:type="dxa"/>
            <w:gridSpan w:val="4"/>
            <w:tcBorders>
              <w:tl2br w:val="nil"/>
              <w:tr2bl w:val="nil"/>
            </w:tcBorders>
            <w:vAlign w:val="center"/>
          </w:tcPr>
          <w:p w14:paraId="3543276C">
            <w:pPr>
              <w:adjustRightInd w:val="0"/>
              <w:snapToGrid w:val="0"/>
              <w:spacing w:line="240" w:lineRule="auto"/>
              <w:jc w:val="center"/>
              <w:rPr>
                <w:sz w:val="21"/>
                <w:szCs w:val="21"/>
              </w:rPr>
            </w:pPr>
            <w:r>
              <w:rPr>
                <w:sz w:val="21"/>
                <w:szCs w:val="21"/>
              </w:rPr>
              <w:t>开展清洁生产审核情况</w:t>
            </w:r>
          </w:p>
        </w:tc>
        <w:tc>
          <w:tcPr>
            <w:tcW w:w="708" w:type="dxa"/>
            <w:tcBorders>
              <w:tl2br w:val="nil"/>
              <w:tr2bl w:val="nil"/>
            </w:tcBorders>
            <w:vAlign w:val="center"/>
          </w:tcPr>
          <w:p w14:paraId="103AEC0D">
            <w:pPr>
              <w:adjustRightInd w:val="0"/>
              <w:snapToGrid w:val="0"/>
              <w:spacing w:line="240" w:lineRule="auto"/>
              <w:jc w:val="center"/>
              <w:rPr>
                <w:sz w:val="21"/>
                <w:szCs w:val="21"/>
              </w:rPr>
            </w:pPr>
            <w:r>
              <w:rPr>
                <w:sz w:val="21"/>
                <w:szCs w:val="21"/>
              </w:rPr>
              <w:t>0.1</w:t>
            </w:r>
          </w:p>
        </w:tc>
        <w:tc>
          <w:tcPr>
            <w:tcW w:w="4191" w:type="dxa"/>
            <w:gridSpan w:val="3"/>
            <w:tcBorders>
              <w:tl2br w:val="nil"/>
              <w:tr2bl w:val="nil"/>
            </w:tcBorders>
            <w:vAlign w:val="center"/>
          </w:tcPr>
          <w:p w14:paraId="27C73B50">
            <w:pPr>
              <w:adjustRightInd w:val="0"/>
              <w:snapToGrid w:val="0"/>
              <w:spacing w:line="240" w:lineRule="auto"/>
              <w:jc w:val="center"/>
              <w:rPr>
                <w:sz w:val="21"/>
                <w:szCs w:val="21"/>
              </w:rPr>
            </w:pPr>
            <w:r>
              <w:rPr>
                <w:sz w:val="21"/>
                <w:szCs w:val="21"/>
              </w:rPr>
              <w:t>企业开展了清洁生产审核，并建立了持续清洁生产机制</w:t>
            </w:r>
          </w:p>
        </w:tc>
        <w:tc>
          <w:tcPr>
            <w:tcW w:w="1251" w:type="dxa"/>
            <w:tcBorders>
              <w:tl2br w:val="nil"/>
              <w:tr2bl w:val="nil"/>
            </w:tcBorders>
            <w:vAlign w:val="center"/>
          </w:tcPr>
          <w:p w14:paraId="1915411C">
            <w:pPr>
              <w:adjustRightInd w:val="0"/>
              <w:snapToGrid w:val="0"/>
              <w:spacing w:line="240" w:lineRule="auto"/>
              <w:jc w:val="center"/>
              <w:rPr>
                <w:sz w:val="21"/>
                <w:szCs w:val="21"/>
              </w:rPr>
            </w:pPr>
            <w:r>
              <w:rPr>
                <w:sz w:val="21"/>
                <w:szCs w:val="21"/>
              </w:rPr>
              <w:t>企业开展了清洁生产审核</w:t>
            </w:r>
          </w:p>
        </w:tc>
        <w:tc>
          <w:tcPr>
            <w:tcW w:w="2358" w:type="dxa"/>
            <w:tcBorders>
              <w:tl2br w:val="nil"/>
              <w:tr2bl w:val="nil"/>
            </w:tcBorders>
            <w:vAlign w:val="center"/>
          </w:tcPr>
          <w:p w14:paraId="27840EAC">
            <w:pPr>
              <w:adjustRightInd w:val="0"/>
              <w:snapToGrid w:val="0"/>
              <w:spacing w:line="240" w:lineRule="auto"/>
              <w:jc w:val="center"/>
              <w:rPr>
                <w:sz w:val="21"/>
                <w:szCs w:val="21"/>
              </w:rPr>
            </w:pPr>
            <w:r>
              <w:rPr>
                <w:sz w:val="21"/>
                <w:szCs w:val="21"/>
              </w:rPr>
              <w:t>投产后拟开展清洁生产审核，并建立了持续清洁生产机制</w:t>
            </w:r>
          </w:p>
        </w:tc>
        <w:tc>
          <w:tcPr>
            <w:tcW w:w="764" w:type="dxa"/>
            <w:gridSpan w:val="2"/>
            <w:tcBorders>
              <w:tl2br w:val="nil"/>
              <w:tr2bl w:val="nil"/>
            </w:tcBorders>
            <w:vAlign w:val="center"/>
          </w:tcPr>
          <w:p w14:paraId="0BA45522">
            <w:pPr>
              <w:adjustRightInd w:val="0"/>
              <w:snapToGrid w:val="0"/>
              <w:spacing w:line="240" w:lineRule="auto"/>
              <w:jc w:val="center"/>
              <w:rPr>
                <w:sz w:val="21"/>
                <w:szCs w:val="21"/>
              </w:rPr>
            </w:pPr>
            <w:r>
              <w:rPr>
                <w:sz w:val="21"/>
                <w:szCs w:val="21"/>
              </w:rPr>
              <w:t>一级</w:t>
            </w:r>
          </w:p>
        </w:tc>
      </w:tr>
      <w:tr w14:paraId="47BBEEC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8" w:type="dxa"/>
          <w:trHeight w:val="340" w:hRule="atLeast"/>
          <w:jc w:val="center"/>
        </w:trPr>
        <w:tc>
          <w:tcPr>
            <w:tcW w:w="533" w:type="dxa"/>
            <w:tcBorders>
              <w:tl2br w:val="nil"/>
              <w:tr2bl w:val="nil"/>
            </w:tcBorders>
            <w:vAlign w:val="center"/>
          </w:tcPr>
          <w:p w14:paraId="06CB445B">
            <w:pPr>
              <w:adjustRightInd w:val="0"/>
              <w:snapToGrid w:val="0"/>
              <w:spacing w:line="240" w:lineRule="auto"/>
              <w:jc w:val="center"/>
              <w:rPr>
                <w:sz w:val="21"/>
                <w:szCs w:val="21"/>
              </w:rPr>
            </w:pPr>
            <w:r>
              <w:rPr>
                <w:sz w:val="21"/>
                <w:szCs w:val="21"/>
              </w:rPr>
              <w:t>33</w:t>
            </w:r>
          </w:p>
        </w:tc>
        <w:tc>
          <w:tcPr>
            <w:tcW w:w="770" w:type="dxa"/>
            <w:vMerge w:val="continue"/>
            <w:tcBorders>
              <w:tl2br w:val="nil"/>
              <w:tr2bl w:val="nil"/>
            </w:tcBorders>
            <w:vAlign w:val="center"/>
          </w:tcPr>
          <w:p w14:paraId="2AD9DF42">
            <w:pPr>
              <w:adjustRightInd w:val="0"/>
              <w:snapToGrid w:val="0"/>
              <w:spacing w:line="240" w:lineRule="auto"/>
              <w:jc w:val="center"/>
              <w:rPr>
                <w:sz w:val="21"/>
                <w:szCs w:val="21"/>
              </w:rPr>
            </w:pPr>
          </w:p>
        </w:tc>
        <w:tc>
          <w:tcPr>
            <w:tcW w:w="703" w:type="dxa"/>
            <w:vMerge w:val="continue"/>
            <w:tcBorders>
              <w:tl2br w:val="nil"/>
              <w:tr2bl w:val="nil"/>
            </w:tcBorders>
            <w:vAlign w:val="center"/>
          </w:tcPr>
          <w:p w14:paraId="526CAB83">
            <w:pPr>
              <w:adjustRightInd w:val="0"/>
              <w:snapToGrid w:val="0"/>
              <w:spacing w:line="240" w:lineRule="auto"/>
              <w:jc w:val="center"/>
              <w:rPr>
                <w:sz w:val="21"/>
                <w:szCs w:val="21"/>
              </w:rPr>
            </w:pPr>
          </w:p>
        </w:tc>
        <w:tc>
          <w:tcPr>
            <w:tcW w:w="2638" w:type="dxa"/>
            <w:gridSpan w:val="4"/>
            <w:tcBorders>
              <w:tl2br w:val="nil"/>
              <w:tr2bl w:val="nil"/>
            </w:tcBorders>
            <w:vAlign w:val="center"/>
          </w:tcPr>
          <w:p w14:paraId="0D78E563">
            <w:pPr>
              <w:adjustRightInd w:val="0"/>
              <w:snapToGrid w:val="0"/>
              <w:spacing w:line="240" w:lineRule="auto"/>
              <w:jc w:val="center"/>
              <w:rPr>
                <w:sz w:val="21"/>
                <w:szCs w:val="21"/>
              </w:rPr>
            </w:pPr>
            <w:r>
              <w:rPr>
                <w:sz w:val="21"/>
                <w:szCs w:val="21"/>
              </w:rPr>
              <w:t>清洁生产部门和人员配备</w:t>
            </w:r>
          </w:p>
        </w:tc>
        <w:tc>
          <w:tcPr>
            <w:tcW w:w="710" w:type="dxa"/>
            <w:tcBorders>
              <w:tl2br w:val="nil"/>
              <w:tr2bl w:val="nil"/>
            </w:tcBorders>
            <w:vAlign w:val="center"/>
          </w:tcPr>
          <w:p w14:paraId="325CFAD2">
            <w:pPr>
              <w:adjustRightInd w:val="0"/>
              <w:snapToGrid w:val="0"/>
              <w:spacing w:line="240" w:lineRule="auto"/>
              <w:jc w:val="center"/>
              <w:rPr>
                <w:sz w:val="21"/>
                <w:szCs w:val="21"/>
              </w:rPr>
            </w:pPr>
            <w:r>
              <w:rPr>
                <w:sz w:val="21"/>
                <w:szCs w:val="21"/>
              </w:rPr>
              <w:t>0.05</w:t>
            </w:r>
          </w:p>
        </w:tc>
        <w:tc>
          <w:tcPr>
            <w:tcW w:w="4189" w:type="dxa"/>
            <w:gridSpan w:val="3"/>
            <w:tcBorders>
              <w:tl2br w:val="nil"/>
              <w:tr2bl w:val="nil"/>
            </w:tcBorders>
            <w:vAlign w:val="center"/>
          </w:tcPr>
          <w:p w14:paraId="6D52862B">
            <w:pPr>
              <w:adjustRightInd w:val="0"/>
              <w:snapToGrid w:val="0"/>
              <w:spacing w:line="240" w:lineRule="auto"/>
              <w:jc w:val="center"/>
              <w:rPr>
                <w:sz w:val="21"/>
                <w:szCs w:val="21"/>
              </w:rPr>
            </w:pPr>
            <w:r>
              <w:rPr>
                <w:sz w:val="21"/>
                <w:szCs w:val="21"/>
              </w:rPr>
              <w:t>设有清洁生产管理部门，配备专职管理人员且岗位职责分工明确</w:t>
            </w:r>
          </w:p>
        </w:tc>
        <w:tc>
          <w:tcPr>
            <w:tcW w:w="1251" w:type="dxa"/>
            <w:tcBorders>
              <w:tl2br w:val="nil"/>
              <w:tr2bl w:val="nil"/>
            </w:tcBorders>
            <w:vAlign w:val="center"/>
          </w:tcPr>
          <w:p w14:paraId="732DFCE5">
            <w:pPr>
              <w:adjustRightInd w:val="0"/>
              <w:snapToGrid w:val="0"/>
              <w:spacing w:line="240" w:lineRule="auto"/>
              <w:jc w:val="center"/>
              <w:rPr>
                <w:sz w:val="21"/>
                <w:szCs w:val="21"/>
              </w:rPr>
            </w:pPr>
            <w:r>
              <w:rPr>
                <w:sz w:val="21"/>
                <w:szCs w:val="21"/>
              </w:rPr>
              <w:t>设有清洁生产管理部门，配备兼职管理人员且岗位职责分工明确</w:t>
            </w:r>
          </w:p>
        </w:tc>
        <w:tc>
          <w:tcPr>
            <w:tcW w:w="2363" w:type="dxa"/>
            <w:gridSpan w:val="2"/>
            <w:tcBorders>
              <w:tl2br w:val="nil"/>
              <w:tr2bl w:val="nil"/>
            </w:tcBorders>
            <w:vAlign w:val="center"/>
          </w:tcPr>
          <w:p w14:paraId="1682D994">
            <w:pPr>
              <w:adjustRightInd w:val="0"/>
              <w:snapToGrid w:val="0"/>
              <w:spacing w:line="240" w:lineRule="auto"/>
              <w:jc w:val="center"/>
              <w:rPr>
                <w:sz w:val="21"/>
                <w:szCs w:val="21"/>
              </w:rPr>
            </w:pPr>
            <w:r>
              <w:rPr>
                <w:sz w:val="21"/>
                <w:szCs w:val="21"/>
              </w:rPr>
              <w:t>设有清洁生产管理部门，配备专职管理人员且岗位职责分工明确</w:t>
            </w:r>
          </w:p>
        </w:tc>
        <w:tc>
          <w:tcPr>
            <w:tcW w:w="759" w:type="dxa"/>
            <w:tcBorders>
              <w:tl2br w:val="nil"/>
              <w:tr2bl w:val="nil"/>
            </w:tcBorders>
            <w:vAlign w:val="center"/>
          </w:tcPr>
          <w:p w14:paraId="134E4A18">
            <w:pPr>
              <w:adjustRightInd w:val="0"/>
              <w:snapToGrid w:val="0"/>
              <w:spacing w:line="240" w:lineRule="auto"/>
              <w:jc w:val="center"/>
              <w:rPr>
                <w:sz w:val="21"/>
                <w:szCs w:val="21"/>
              </w:rPr>
            </w:pPr>
            <w:r>
              <w:rPr>
                <w:sz w:val="21"/>
                <w:szCs w:val="21"/>
              </w:rPr>
              <w:t>一级</w:t>
            </w:r>
          </w:p>
        </w:tc>
      </w:tr>
      <w:tr w14:paraId="6341964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8" w:type="dxa"/>
          <w:trHeight w:val="340" w:hRule="atLeast"/>
          <w:jc w:val="center"/>
        </w:trPr>
        <w:tc>
          <w:tcPr>
            <w:tcW w:w="533" w:type="dxa"/>
            <w:tcBorders>
              <w:tl2br w:val="nil"/>
              <w:tr2bl w:val="nil"/>
            </w:tcBorders>
            <w:vAlign w:val="center"/>
          </w:tcPr>
          <w:p w14:paraId="7F3F3A57">
            <w:pPr>
              <w:adjustRightInd w:val="0"/>
              <w:snapToGrid w:val="0"/>
              <w:spacing w:line="240" w:lineRule="auto"/>
              <w:jc w:val="center"/>
              <w:rPr>
                <w:sz w:val="21"/>
                <w:szCs w:val="21"/>
              </w:rPr>
            </w:pPr>
            <w:r>
              <w:rPr>
                <w:sz w:val="21"/>
                <w:szCs w:val="21"/>
              </w:rPr>
              <w:t>34</w:t>
            </w:r>
          </w:p>
        </w:tc>
        <w:tc>
          <w:tcPr>
            <w:tcW w:w="770" w:type="dxa"/>
            <w:vMerge w:val="continue"/>
            <w:tcBorders>
              <w:tl2br w:val="nil"/>
              <w:tr2bl w:val="nil"/>
            </w:tcBorders>
            <w:vAlign w:val="center"/>
          </w:tcPr>
          <w:p w14:paraId="05159818">
            <w:pPr>
              <w:adjustRightInd w:val="0"/>
              <w:snapToGrid w:val="0"/>
              <w:spacing w:line="240" w:lineRule="auto"/>
              <w:jc w:val="center"/>
              <w:rPr>
                <w:sz w:val="21"/>
                <w:szCs w:val="21"/>
              </w:rPr>
            </w:pPr>
          </w:p>
        </w:tc>
        <w:tc>
          <w:tcPr>
            <w:tcW w:w="703" w:type="dxa"/>
            <w:vMerge w:val="continue"/>
            <w:tcBorders>
              <w:tl2br w:val="nil"/>
              <w:tr2bl w:val="nil"/>
            </w:tcBorders>
            <w:vAlign w:val="center"/>
          </w:tcPr>
          <w:p w14:paraId="30C47B9D">
            <w:pPr>
              <w:adjustRightInd w:val="0"/>
              <w:snapToGrid w:val="0"/>
              <w:spacing w:line="240" w:lineRule="auto"/>
              <w:jc w:val="center"/>
              <w:rPr>
                <w:sz w:val="21"/>
                <w:szCs w:val="21"/>
              </w:rPr>
            </w:pPr>
          </w:p>
        </w:tc>
        <w:tc>
          <w:tcPr>
            <w:tcW w:w="2638" w:type="dxa"/>
            <w:gridSpan w:val="4"/>
            <w:tcBorders>
              <w:tl2br w:val="nil"/>
              <w:tr2bl w:val="nil"/>
            </w:tcBorders>
            <w:vAlign w:val="center"/>
          </w:tcPr>
          <w:p w14:paraId="7D91B013">
            <w:pPr>
              <w:adjustRightInd w:val="0"/>
              <w:snapToGrid w:val="0"/>
              <w:spacing w:line="240" w:lineRule="auto"/>
              <w:jc w:val="center"/>
              <w:rPr>
                <w:sz w:val="21"/>
                <w:szCs w:val="21"/>
              </w:rPr>
            </w:pPr>
            <w:r>
              <w:rPr>
                <w:sz w:val="21"/>
                <w:szCs w:val="21"/>
              </w:rPr>
              <w:t>环境监测及信息公开</w:t>
            </w:r>
          </w:p>
        </w:tc>
        <w:tc>
          <w:tcPr>
            <w:tcW w:w="710" w:type="dxa"/>
            <w:tcBorders>
              <w:tl2br w:val="nil"/>
              <w:tr2bl w:val="nil"/>
            </w:tcBorders>
            <w:vAlign w:val="center"/>
          </w:tcPr>
          <w:p w14:paraId="0D1C4F4C">
            <w:pPr>
              <w:adjustRightInd w:val="0"/>
              <w:snapToGrid w:val="0"/>
              <w:spacing w:line="240" w:lineRule="auto"/>
              <w:jc w:val="center"/>
              <w:rPr>
                <w:sz w:val="21"/>
                <w:szCs w:val="21"/>
              </w:rPr>
            </w:pPr>
            <w:r>
              <w:rPr>
                <w:sz w:val="21"/>
                <w:szCs w:val="21"/>
              </w:rPr>
              <w:t>0.1</w:t>
            </w:r>
          </w:p>
        </w:tc>
        <w:tc>
          <w:tcPr>
            <w:tcW w:w="5440" w:type="dxa"/>
            <w:gridSpan w:val="4"/>
            <w:tcBorders>
              <w:tl2br w:val="nil"/>
              <w:tr2bl w:val="nil"/>
            </w:tcBorders>
            <w:vAlign w:val="center"/>
          </w:tcPr>
          <w:p w14:paraId="291A4A29">
            <w:pPr>
              <w:adjustRightInd w:val="0"/>
              <w:snapToGrid w:val="0"/>
              <w:spacing w:line="240" w:lineRule="auto"/>
              <w:jc w:val="center"/>
              <w:rPr>
                <w:sz w:val="21"/>
                <w:szCs w:val="21"/>
              </w:rPr>
            </w:pPr>
            <w:r>
              <w:rPr>
                <w:sz w:val="21"/>
                <w:szCs w:val="21"/>
              </w:rPr>
              <w:t>建立主要污染物监测制度，应按相关部门要求定期进行环境监测和信息公开</w:t>
            </w:r>
          </w:p>
        </w:tc>
        <w:tc>
          <w:tcPr>
            <w:tcW w:w="2363" w:type="dxa"/>
            <w:gridSpan w:val="2"/>
            <w:tcBorders>
              <w:tl2br w:val="nil"/>
              <w:tr2bl w:val="nil"/>
            </w:tcBorders>
            <w:vAlign w:val="center"/>
          </w:tcPr>
          <w:p w14:paraId="5FAD3D8E">
            <w:pPr>
              <w:adjustRightInd w:val="0"/>
              <w:snapToGrid w:val="0"/>
              <w:spacing w:line="240" w:lineRule="auto"/>
              <w:jc w:val="center"/>
              <w:rPr>
                <w:sz w:val="21"/>
                <w:szCs w:val="21"/>
              </w:rPr>
            </w:pPr>
            <w:r>
              <w:rPr>
                <w:sz w:val="21"/>
                <w:szCs w:val="21"/>
              </w:rPr>
              <w:t>投产后将建立主要污染物监测制度，按相关部门要求定期进行环境监测和信息公开</w:t>
            </w:r>
          </w:p>
        </w:tc>
        <w:tc>
          <w:tcPr>
            <w:tcW w:w="759" w:type="dxa"/>
            <w:tcBorders>
              <w:tl2br w:val="nil"/>
              <w:tr2bl w:val="nil"/>
            </w:tcBorders>
            <w:vAlign w:val="center"/>
          </w:tcPr>
          <w:p w14:paraId="3F7FA28C">
            <w:pPr>
              <w:adjustRightInd w:val="0"/>
              <w:snapToGrid w:val="0"/>
              <w:spacing w:line="240" w:lineRule="auto"/>
              <w:jc w:val="center"/>
              <w:rPr>
                <w:sz w:val="21"/>
                <w:szCs w:val="21"/>
              </w:rPr>
            </w:pPr>
            <w:r>
              <w:rPr>
                <w:sz w:val="21"/>
                <w:szCs w:val="21"/>
              </w:rPr>
              <w:t>一级</w:t>
            </w:r>
          </w:p>
        </w:tc>
      </w:tr>
      <w:tr w14:paraId="00C5B0B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gridAfter w:val="1"/>
          <w:wAfter w:w="8" w:type="dxa"/>
          <w:trHeight w:val="340" w:hRule="atLeast"/>
          <w:jc w:val="center"/>
        </w:trPr>
        <w:tc>
          <w:tcPr>
            <w:tcW w:w="13916" w:type="dxa"/>
            <w:gridSpan w:val="15"/>
            <w:tcBorders>
              <w:tl2br w:val="nil"/>
              <w:tr2bl w:val="nil"/>
            </w:tcBorders>
            <w:vAlign w:val="center"/>
          </w:tcPr>
          <w:p w14:paraId="4AB94008">
            <w:pPr>
              <w:adjustRightInd w:val="0"/>
              <w:snapToGrid w:val="0"/>
              <w:spacing w:line="240" w:lineRule="auto"/>
              <w:jc w:val="center"/>
              <w:rPr>
                <w:sz w:val="21"/>
                <w:szCs w:val="21"/>
              </w:rPr>
            </w:pPr>
            <w:r>
              <w:rPr>
                <w:sz w:val="21"/>
                <w:szCs w:val="21"/>
              </w:rPr>
              <w:t>带</w:t>
            </w:r>
            <w:r>
              <w:rPr>
                <w:rFonts w:hint="eastAsia"/>
                <w:sz w:val="21"/>
                <w:szCs w:val="21"/>
              </w:rPr>
              <w:t>“</w:t>
            </w:r>
            <w:r>
              <w:rPr>
                <w:sz w:val="21"/>
                <w:szCs w:val="21"/>
              </w:rPr>
              <w:t>*</w:t>
            </w:r>
            <w:r>
              <w:rPr>
                <w:rFonts w:hint="eastAsia"/>
                <w:sz w:val="21"/>
                <w:szCs w:val="21"/>
              </w:rPr>
              <w:t>”</w:t>
            </w:r>
            <w:r>
              <w:rPr>
                <w:sz w:val="21"/>
                <w:szCs w:val="21"/>
              </w:rPr>
              <w:t>号的指标为限定性指标。</w:t>
            </w:r>
          </w:p>
          <w:p w14:paraId="02262C96">
            <w:pPr>
              <w:adjustRightInd w:val="0"/>
              <w:snapToGrid w:val="0"/>
              <w:spacing w:line="240" w:lineRule="auto"/>
              <w:jc w:val="center"/>
              <w:rPr>
                <w:sz w:val="21"/>
                <w:szCs w:val="21"/>
              </w:rPr>
            </w:pPr>
            <w:r>
              <w:rPr>
                <w:sz w:val="21"/>
                <w:szCs w:val="21"/>
              </w:rPr>
              <w:t>①是指生产过程中对主要工序的半成品初次检验合格率。</w:t>
            </w:r>
          </w:p>
        </w:tc>
      </w:tr>
    </w:tbl>
    <w:p w14:paraId="74C0B35F">
      <w:pPr>
        <w:ind w:firstLine="480"/>
      </w:pPr>
      <w:r>
        <w:t>YI=</w:t>
      </w:r>
      <w:r>
        <w:rPr>
          <w:rFonts w:hint="eastAsia"/>
        </w:rPr>
        <w:t>58</w:t>
      </w:r>
      <w:r>
        <w:rPr>
          <w:rFonts w:hint="eastAsia" w:ascii="宋体" w:hAnsi="宋体" w:cs="宋体"/>
        </w:rPr>
        <w:t>&lt;</w:t>
      </w:r>
      <w:r>
        <w:rPr>
          <w:rFonts w:hint="eastAsia"/>
        </w:rPr>
        <w:t>85；</w:t>
      </w:r>
      <w:r>
        <w:t>YII=</w:t>
      </w:r>
      <w:r>
        <w:rPr>
          <w:rFonts w:hint="eastAsia"/>
        </w:rPr>
        <w:t>61.12</w:t>
      </w:r>
      <w:r>
        <w:rPr>
          <w:rFonts w:hint="eastAsia" w:ascii="宋体" w:hAnsi="宋体" w:cs="宋体"/>
        </w:rPr>
        <w:t>&lt;</w:t>
      </w:r>
      <w:r>
        <w:t>85</w:t>
      </w:r>
      <w:r>
        <w:rPr>
          <w:rFonts w:hint="eastAsia"/>
        </w:rPr>
        <w:t>；</w:t>
      </w:r>
      <w:r>
        <w:t>Y</w:t>
      </w:r>
      <w:r>
        <w:rPr>
          <w:rFonts w:hint="eastAsia" w:ascii="宋体" w:hAnsi="宋体" w:cs="宋体"/>
        </w:rPr>
        <w:t>Ⅲ</w:t>
      </w:r>
      <w:r>
        <w:t>=</w:t>
      </w:r>
      <w:r>
        <w:rPr>
          <w:rFonts w:hint="eastAsia"/>
        </w:rPr>
        <w:t>91</w:t>
      </w:r>
      <w:r>
        <w:rPr>
          <w:rFonts w:hint="eastAsia" w:ascii="宋体" w:hAnsi="宋体" w:cs="宋体"/>
        </w:rPr>
        <w:t>&lt;</w:t>
      </w:r>
      <w:r>
        <w:rPr>
          <w:rFonts w:hint="eastAsia"/>
        </w:rPr>
        <w:t>100</w:t>
      </w:r>
    </w:p>
    <w:p w14:paraId="50B040E4">
      <w:pPr>
        <w:ind w:firstLine="480"/>
        <w:sectPr>
          <w:pgSz w:w="16838" w:h="11906" w:orient="landscape"/>
          <w:pgMar w:top="1576" w:right="1440" w:bottom="1576" w:left="1440" w:header="851" w:footer="992" w:gutter="0"/>
          <w:pgBorders>
            <w:top w:val="none" w:sz="0" w:space="0"/>
            <w:left w:val="none" w:sz="0" w:space="0"/>
            <w:bottom w:val="none" w:sz="0" w:space="0"/>
            <w:right w:val="none" w:sz="0" w:space="0"/>
          </w:pgBorders>
          <w:cols w:space="720" w:num="1"/>
          <w:docGrid w:type="lines" w:linePitch="312" w:charSpace="0"/>
        </w:sectPr>
      </w:pPr>
      <w:r>
        <w:t>根据上述</w:t>
      </w:r>
      <w:r>
        <w:rPr>
          <w:rFonts w:hint="eastAsia"/>
        </w:rPr>
        <w:t>分析</w:t>
      </w:r>
      <w:r>
        <w:t>结果，结合《印刷业清洁生产评价指标体系》，可知建设</w:t>
      </w:r>
      <w:r>
        <w:rPr>
          <w:rFonts w:hint="eastAsia"/>
        </w:rPr>
        <w:t>单位</w:t>
      </w:r>
      <w:r>
        <w:t>清洁生产</w:t>
      </w:r>
      <w:r>
        <w:rPr>
          <w:rFonts w:hint="eastAsia"/>
        </w:rPr>
        <w:t>水平有待提高，需努力提升薄弱环节（二级以下）的清洁生产水平，尽早达到国内清洁生产先进水平</w:t>
      </w:r>
      <w:r>
        <w:t>。</w:t>
      </w:r>
    </w:p>
    <w:p w14:paraId="5FB285D6">
      <w:pPr>
        <w:pStyle w:val="3"/>
        <w:numPr>
          <w:ilvl w:val="1"/>
          <w:numId w:val="0"/>
        </w:numPr>
        <w:ind w:left="567" w:leftChars="0" w:hanging="567" w:firstLineChars="0"/>
        <w:rPr>
          <w:sz w:val="28"/>
          <w:szCs w:val="28"/>
        </w:rPr>
      </w:pPr>
      <w:bookmarkStart w:id="164" w:name="_Toc18106"/>
      <w:r>
        <w:rPr>
          <w:rFonts w:hint="default" w:ascii="宋体" w:hAnsi="宋体" w:eastAsia="宋体" w:cs="宋体"/>
          <w:b/>
          <w:bCs/>
          <w:kern w:val="2"/>
          <w:sz w:val="28"/>
          <w:szCs w:val="28"/>
          <w:lang w:val="en-US" w:eastAsia="zh-CN" w:bidi="ar-SA"/>
        </w:rPr>
        <w:t>9.6</w:t>
      </w:r>
      <w:r>
        <w:rPr>
          <w:rFonts w:hint="eastAsia"/>
          <w:sz w:val="28"/>
          <w:szCs w:val="28"/>
        </w:rPr>
        <w:t>清洁生产建议</w:t>
      </w:r>
      <w:bookmarkEnd w:id="164"/>
    </w:p>
    <w:p w14:paraId="36BDE2DB">
      <w:pPr>
        <w:ind w:firstLine="480"/>
      </w:pPr>
      <w:r>
        <w:rPr>
          <w:rFonts w:hint="eastAsia"/>
        </w:rPr>
        <w:t>为了企业进一步推进清洁生产措施，从而实现项目污染物产生量、排放量最小化，以减少对人类和环境地污染，进而达到“节能、降耗、减污、增效”目的，使企业走上保护环境、经济可持续发展之路，最终实现经济效益、环境效益和社会效益相统一。结合本项目实际情况，本评价建议企业在本项目的实施过程中重点采取以下清洁生产措施。</w:t>
      </w:r>
    </w:p>
    <w:p w14:paraId="2BA09B1C">
      <w:pPr>
        <w:ind w:firstLine="480"/>
      </w:pPr>
      <w:r>
        <w:rPr>
          <w:rFonts w:hint="eastAsia"/>
        </w:rPr>
        <w:t>⑴设备维护和更新</w:t>
      </w:r>
    </w:p>
    <w:p w14:paraId="60A821B0">
      <w:pPr>
        <w:ind w:firstLine="480"/>
      </w:pPr>
      <w:r>
        <w:rPr>
          <w:rFonts w:hint="eastAsia"/>
        </w:rPr>
        <w:t>设备维护及更新的主要目的为减少跑、冒、滴、漏，项目生产设备采用自动化控制，在生产过程中要侧重于加强对环保设备的管理，防止设备漏气而产生无组织废气排放及对操作员工的身体损伤；加强管道、设备阀门等地检查和维护，防止泄露。</w:t>
      </w:r>
    </w:p>
    <w:p w14:paraId="495DCCB2">
      <w:pPr>
        <w:ind w:firstLine="480"/>
      </w:pPr>
      <w:r>
        <w:rPr>
          <w:rFonts w:hint="eastAsia"/>
        </w:rPr>
        <w:t>⑵加强管理</w:t>
      </w:r>
    </w:p>
    <w:p w14:paraId="0A423142">
      <w:pPr>
        <w:ind w:firstLine="480"/>
      </w:pPr>
      <w:r>
        <w:rPr>
          <w:rFonts w:hint="eastAsia"/>
        </w:rPr>
        <w:t>根据国内清洁生产试点工作经验，加强管理是排在所有方案中第一位的无费、低费和少费方案，约占清洁生产方案总数的40%，因此企业推行清洁生产，首先必须以加强管理着手，项目投产后，生产管理制度中应将节能、降耗和产品质量一起作为考核车间及班组生产业绩的首要指标，明确指标责任人，发挥工作人员的主观能动性和责任心，提高员工的环保意识。</w:t>
      </w:r>
    </w:p>
    <w:p w14:paraId="296FA775">
      <w:pPr>
        <w:ind w:firstLine="480"/>
      </w:pPr>
      <w:r>
        <w:rPr>
          <w:rFonts w:hint="eastAsia"/>
        </w:rPr>
        <w:t>建议按照ISO14001标准要求建立并运作环境管理体系，建立环境方针和目标及各项指标、环境管理手册、程序文件及作业指导表格文件化的环境管理体系。按时组织对环境管理体系进行管理评审和内部稽查，以确保环境管理体系被适当地实施与维持，识别环境管理体系中可能改善的部分，以确保环境管理体系持续的适宜性、有效性与充分性。</w:t>
      </w:r>
    </w:p>
    <w:p w14:paraId="517F7839">
      <w:pPr>
        <w:ind w:firstLine="480"/>
      </w:pPr>
      <w:r>
        <w:rPr>
          <w:rFonts w:hint="eastAsia"/>
        </w:rPr>
        <w:t>⑶员工素质提高及积极性的激励</w:t>
      </w:r>
    </w:p>
    <w:p w14:paraId="09F500C8">
      <w:pPr>
        <w:ind w:firstLine="480"/>
      </w:pPr>
      <w:r>
        <w:rPr>
          <w:rFonts w:hint="eastAsia"/>
        </w:rPr>
        <w:t>项目投产后，企业必须认真学习有关法律法规，如清洁生产法、消防法、危险品管理法规等，加强清洁生产宣传工作，使公司上下自觉投入到清洁生产工作中去。管理人员和生产人员思想意识的树立可使人的行为变得主动积极，为清洁生产奠定坚定基础。</w:t>
      </w:r>
    </w:p>
    <w:p w14:paraId="0CF2CEB9">
      <w:pPr>
        <w:ind w:firstLine="480"/>
      </w:pPr>
      <w:r>
        <w:rPr>
          <w:rFonts w:hint="eastAsia"/>
        </w:rPr>
        <w:t>⑷积极推进环保原料的使用</w:t>
      </w:r>
    </w:p>
    <w:p w14:paraId="4ACEBDB3">
      <w:pPr>
        <w:ind w:firstLine="480"/>
      </w:pPr>
      <w:r>
        <w:rPr>
          <w:rFonts w:hint="eastAsia"/>
        </w:rPr>
        <w:t>在满足工艺生产要求的前提下，积极推进使用不含苯类、乙二醇醚及酯类、卤代烃类、烷烃、酮类、醇类等低（无）VOCs含量的油墨、稀释剂、胶黏剂等，并在改进工艺、加强管理的基础上进一步降低各项原料（尤其是胶黏剂）的使用量。</w:t>
      </w:r>
    </w:p>
    <w:p w14:paraId="3DF9B506">
      <w:pPr>
        <w:ind w:firstLine="480"/>
      </w:pPr>
      <w:r>
        <w:rPr>
          <w:rFonts w:hint="eastAsia"/>
        </w:rPr>
        <w:t>综上，清洁生产是持续性的长期过程，是对产品和工艺持续不断地改进，项目投产后应坚持对整个产品生产过程实施清洁生产，建立完善的清洁生产体系，达到防治污染，提高效益的双重目的。评价认为，项目基本贯彻了清洁生产原则，符合清洁生产要求。</w:t>
      </w:r>
    </w:p>
    <w:p w14:paraId="3EB4FD98">
      <w:pPr>
        <w:pStyle w:val="38"/>
        <w:ind w:firstLine="480"/>
        <w:rPr>
          <w:color w:val="auto"/>
        </w:rPr>
        <w:sectPr>
          <w:pgSz w:w="11906" w:h="16838"/>
          <w:pgMar w:top="1440" w:right="1576" w:bottom="1440" w:left="1576" w:header="851" w:footer="992" w:gutter="0"/>
          <w:pgBorders>
            <w:top w:val="none" w:sz="0" w:space="0"/>
            <w:left w:val="none" w:sz="0" w:space="0"/>
            <w:bottom w:val="none" w:sz="0" w:space="0"/>
            <w:right w:val="none" w:sz="0" w:space="0"/>
          </w:pgBorders>
          <w:cols w:space="720" w:num="1"/>
          <w:docGrid w:type="lines" w:linePitch="312" w:charSpace="0"/>
        </w:sectPr>
      </w:pPr>
    </w:p>
    <w:p w14:paraId="60439266">
      <w:pPr>
        <w:pStyle w:val="2"/>
        <w:numPr>
          <w:ilvl w:val="0"/>
          <w:numId w:val="0"/>
        </w:numPr>
        <w:ind w:left="425" w:leftChars="0" w:hanging="425" w:firstLineChars="0"/>
        <w:rPr>
          <w:color w:val="auto"/>
        </w:rPr>
      </w:pPr>
      <w:bookmarkStart w:id="165" w:name="_Toc3095"/>
      <w:r>
        <w:rPr>
          <w:rFonts w:hint="default" w:ascii="宋体" w:hAnsi="宋体" w:eastAsia="宋体" w:cs="宋体"/>
          <w:b/>
          <w:bCs/>
          <w:color w:val="auto"/>
          <w:kern w:val="44"/>
          <w:sz w:val="32"/>
          <w:szCs w:val="32"/>
          <w:lang w:val="en-US" w:eastAsia="zh-CN" w:bidi="ar-SA"/>
        </w:rPr>
        <w:t>第10章</w:t>
      </w:r>
      <w:r>
        <w:rPr>
          <w:rFonts w:hint="eastAsia"/>
          <w:color w:val="auto"/>
        </w:rPr>
        <w:t>污染物总量控制</w:t>
      </w:r>
      <w:bookmarkEnd w:id="165"/>
    </w:p>
    <w:p w14:paraId="68A8F61B">
      <w:pPr>
        <w:pStyle w:val="3"/>
        <w:numPr>
          <w:ilvl w:val="1"/>
          <w:numId w:val="0"/>
        </w:numPr>
        <w:ind w:left="567" w:leftChars="0" w:hanging="567" w:firstLineChars="0"/>
        <w:rPr>
          <w:sz w:val="28"/>
          <w:szCs w:val="28"/>
        </w:rPr>
      </w:pPr>
      <w:bookmarkStart w:id="166" w:name="_Toc26387"/>
      <w:r>
        <w:rPr>
          <w:rFonts w:hint="default" w:ascii="宋体" w:hAnsi="宋体" w:eastAsia="宋体" w:cs="宋体"/>
          <w:b/>
          <w:bCs/>
          <w:kern w:val="2"/>
          <w:sz w:val="28"/>
          <w:szCs w:val="28"/>
          <w:lang w:val="en-US" w:eastAsia="zh-CN" w:bidi="ar-SA"/>
        </w:rPr>
        <w:t>10.1</w:t>
      </w:r>
      <w:r>
        <w:rPr>
          <w:rFonts w:hint="eastAsia"/>
          <w:sz w:val="28"/>
          <w:szCs w:val="28"/>
        </w:rPr>
        <w:t>总量控制因子</w:t>
      </w:r>
      <w:bookmarkEnd w:id="166"/>
    </w:p>
    <w:p w14:paraId="3BFC4146">
      <w:pPr>
        <w:ind w:firstLine="480"/>
        <w:jc w:val="left"/>
      </w:pPr>
      <w:r>
        <w:t>根据湖南省人民政府办公厅关于印发《湖南</w:t>
      </w:r>
      <w:r>
        <w:rPr>
          <w:rFonts w:asciiTheme="minorEastAsia" w:hAnsiTheme="minorEastAsia" w:eastAsiaTheme="minorEastAsia"/>
        </w:rPr>
        <w:t>省“十四五”节能</w:t>
      </w:r>
      <w:r>
        <w:t>减排综合工作实施方案》中相关规定：湘潭市总量控制因子为：化学需氧量、氨氮、二氧化硫、氮氧化物、挥发性有机物。</w:t>
      </w:r>
    </w:p>
    <w:p w14:paraId="1B7D76A5">
      <w:pPr>
        <w:pStyle w:val="3"/>
        <w:numPr>
          <w:ilvl w:val="1"/>
          <w:numId w:val="0"/>
        </w:numPr>
        <w:ind w:left="567" w:leftChars="0" w:hanging="567" w:firstLineChars="0"/>
        <w:rPr>
          <w:sz w:val="28"/>
          <w:szCs w:val="28"/>
        </w:rPr>
      </w:pPr>
      <w:bookmarkStart w:id="167" w:name="_Toc2713"/>
      <w:r>
        <w:rPr>
          <w:rFonts w:hint="default" w:ascii="宋体" w:hAnsi="宋体" w:eastAsia="宋体" w:cs="宋体"/>
          <w:b/>
          <w:bCs/>
          <w:kern w:val="2"/>
          <w:sz w:val="28"/>
          <w:szCs w:val="28"/>
          <w:lang w:val="en-US" w:eastAsia="zh-CN" w:bidi="ar-SA"/>
        </w:rPr>
        <w:t>10.2</w:t>
      </w:r>
      <w:r>
        <w:rPr>
          <w:rFonts w:hint="eastAsia"/>
          <w:sz w:val="28"/>
          <w:szCs w:val="28"/>
        </w:rPr>
        <w:t>污染物排放总量控制指标分析</w:t>
      </w:r>
      <w:bookmarkEnd w:id="167"/>
    </w:p>
    <w:p w14:paraId="3DA83035">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10.2.1</w:t>
      </w:r>
      <w:r>
        <w:rPr>
          <w:rFonts w:hint="eastAsia"/>
        </w:rPr>
        <w:t>项目废水污染排放</w:t>
      </w:r>
    </w:p>
    <w:p w14:paraId="4A60830B">
      <w:pPr>
        <w:ind w:firstLine="480"/>
        <w:jc w:val="left"/>
      </w:pPr>
      <w:r>
        <w:t>项目无生产废水产生，仅有职工的生活污水；根据《国务院关于加强环境保护重点工作的意见》（国发〔2011〕35号）、《湖南省主要污染物排污权有偿使用和交易管理暂行办法》（湘政</w:t>
      </w:r>
      <w:r>
        <w:rPr>
          <w:rFonts w:hint="eastAsia"/>
        </w:rPr>
        <w:t>办</w:t>
      </w:r>
      <w:r>
        <w:t>发〔20</w:t>
      </w:r>
      <w:r>
        <w:rPr>
          <w:rFonts w:hint="eastAsia"/>
        </w:rPr>
        <w:t>22</w:t>
      </w:r>
      <w:r>
        <w:t>〕</w:t>
      </w:r>
      <w:r>
        <w:rPr>
          <w:rFonts w:hint="eastAsia"/>
        </w:rPr>
        <w:t>26</w:t>
      </w:r>
      <w:r>
        <w:t>号）等文件要求，本项目生活污水排入</w:t>
      </w:r>
      <w:r>
        <w:rPr>
          <w:rFonts w:hint="eastAsia"/>
        </w:rPr>
        <w:t>湘潭县顺业污水处理有限公司污水处理厂</w:t>
      </w:r>
      <w:r>
        <w:t>，因此，本项目污水纳入</w:t>
      </w:r>
      <w:r>
        <w:rPr>
          <w:rFonts w:hint="eastAsia"/>
        </w:rPr>
        <w:t>湘潭县顺业污水处理有限公司污水处理厂</w:t>
      </w:r>
      <w:r>
        <w:t>总量控制指标内，不另行申请。</w:t>
      </w:r>
    </w:p>
    <w:p w14:paraId="237B4A70">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10.2.2</w:t>
      </w:r>
      <w:r>
        <w:rPr>
          <w:rFonts w:hint="eastAsia"/>
        </w:rPr>
        <w:t>本工程废气排放量</w:t>
      </w:r>
    </w:p>
    <w:p w14:paraId="3A432A6C">
      <w:pPr>
        <w:ind w:firstLine="480"/>
      </w:pPr>
      <w:r>
        <w:rPr>
          <w:rFonts w:hint="eastAsia" w:ascii="宋体" w:hAnsi="宋体" w:cs="宋体"/>
        </w:rPr>
        <w:t>根据《湖南省主要污染物排污权有偿使用和交易管理暂行办法》（湘政办发〔2022〕26号）、</w:t>
      </w:r>
      <w:r>
        <w:rPr>
          <w:rFonts w:hint="eastAsia" w:ascii="宋体" w:hAnsi="宋体" w:cs="宋体"/>
          <w:color w:val="000000"/>
          <w:kern w:val="0"/>
          <w:lang w:bidi="ar"/>
        </w:rPr>
        <w:t>环发〔</w:t>
      </w:r>
      <w:r>
        <w:rPr>
          <w:color w:val="000000"/>
          <w:kern w:val="0"/>
          <w:lang w:bidi="ar"/>
        </w:rPr>
        <w:t>2014</w:t>
      </w:r>
      <w:r>
        <w:rPr>
          <w:rFonts w:hint="eastAsia" w:ascii="宋体" w:hAnsi="宋体" w:cs="宋体"/>
          <w:color w:val="000000"/>
          <w:kern w:val="0"/>
          <w:lang w:bidi="ar"/>
        </w:rPr>
        <w:t>〕</w:t>
      </w:r>
      <w:r>
        <w:rPr>
          <w:color w:val="000000"/>
          <w:kern w:val="0"/>
          <w:lang w:bidi="ar"/>
        </w:rPr>
        <w:t>197</w:t>
      </w:r>
      <w:r>
        <w:rPr>
          <w:rFonts w:hint="eastAsia" w:ascii="宋体" w:hAnsi="宋体" w:cs="宋体"/>
          <w:color w:val="000000"/>
          <w:kern w:val="0"/>
          <w:lang w:bidi="ar"/>
        </w:rPr>
        <w:t>号《关于印发〈建设项目主要污染物排放总量指标审核及管理暂行办法〉的通知》：本项目为达标区进行等量交换。</w:t>
      </w:r>
      <w:r>
        <w:rPr>
          <w:rFonts w:hint="eastAsia"/>
        </w:rPr>
        <w:t>根据</w:t>
      </w:r>
      <w:r>
        <w:rPr>
          <w:kern w:val="0"/>
        </w:rPr>
        <w:t>工程分析章节分析结果，</w:t>
      </w:r>
      <w:r>
        <w:rPr>
          <w:rFonts w:hint="eastAsia"/>
        </w:rPr>
        <w:t>本次变更不调整在建工程的环保设施，仍为“吸附浓缩+溶剂回收”环保措施。但是总产能及各类原辅材料都有相应增加，总量指标需补充申请。</w:t>
      </w:r>
    </w:p>
    <w:p w14:paraId="3CF47A4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10.2.3</w:t>
      </w:r>
      <w:r>
        <w:rPr>
          <w:rFonts w:hint="eastAsia"/>
        </w:rPr>
        <w:t>核定总量</w:t>
      </w:r>
    </w:p>
    <w:p w14:paraId="4ABB809C">
      <w:pPr>
        <w:pStyle w:val="40"/>
        <w:spacing w:line="360" w:lineRule="auto"/>
        <w:ind w:firstLine="480"/>
      </w:pPr>
      <w:r>
        <w:rPr>
          <w:rFonts w:hint="eastAsia"/>
        </w:rPr>
        <w:t>根据本项目工程分析、</w:t>
      </w:r>
      <w:r>
        <w:rPr>
          <w:rFonts w:hint="eastAsia" w:ascii="Times New Roman"/>
        </w:rPr>
        <w:t>排污权证、2024年《年产15000吨印刷品改扩建项目环境影响报告书》的总量申请表，变更后整厂</w:t>
      </w:r>
      <w:r>
        <w:rPr>
          <w:rFonts w:ascii="Times New Roman"/>
        </w:rPr>
        <w:t>工程总</w:t>
      </w:r>
      <w:r>
        <w:t>量核定情况见下表。</w:t>
      </w:r>
    </w:p>
    <w:p w14:paraId="0EF934C0">
      <w:pPr>
        <w:pStyle w:val="41"/>
      </w:pPr>
    </w:p>
    <w:p w14:paraId="04CCFCAF">
      <w:pPr>
        <w:pStyle w:val="25"/>
        <w:ind w:left="480"/>
      </w:pPr>
    </w:p>
    <w:p w14:paraId="1BF74519">
      <w:pPr>
        <w:pStyle w:val="9"/>
      </w:pPr>
    </w:p>
    <w:p w14:paraId="0368E8C3">
      <w:pPr>
        <w:pStyle w:val="10"/>
      </w:pPr>
    </w:p>
    <w:p w14:paraId="1C8A9A0A">
      <w:pPr>
        <w:pStyle w:val="12"/>
        <w:ind w:left="480" w:hanging="480"/>
      </w:pPr>
    </w:p>
    <w:p w14:paraId="66FCB568">
      <w:pPr>
        <w:pStyle w:val="12"/>
        <w:ind w:left="480" w:hanging="480"/>
      </w:pPr>
    </w:p>
    <w:p w14:paraId="761DBC6B">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表10.2-1 </w:t>
      </w:r>
      <w:r>
        <w:rPr>
          <w:rFonts w:hint="eastAsia"/>
        </w:rPr>
        <w:t xml:space="preserve"> 污染物排放总量控制指标</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18"/>
        <w:gridCol w:w="803"/>
        <w:gridCol w:w="608"/>
        <w:gridCol w:w="1843"/>
        <w:gridCol w:w="1559"/>
        <w:gridCol w:w="1300"/>
        <w:gridCol w:w="1110"/>
        <w:gridCol w:w="1269"/>
      </w:tblGrid>
      <w:tr w14:paraId="1DA41B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restart"/>
            <w:vAlign w:val="center"/>
          </w:tcPr>
          <w:p w14:paraId="250E571B">
            <w:pPr>
              <w:adjustRightInd w:val="0"/>
              <w:snapToGrid w:val="0"/>
              <w:spacing w:line="240" w:lineRule="auto"/>
              <w:jc w:val="center"/>
              <w:rPr>
                <w:sz w:val="21"/>
                <w:szCs w:val="21"/>
              </w:rPr>
            </w:pPr>
            <w:r>
              <w:rPr>
                <w:sz w:val="21"/>
                <w:szCs w:val="21"/>
              </w:rPr>
              <w:t>序号</w:t>
            </w:r>
          </w:p>
        </w:tc>
        <w:tc>
          <w:tcPr>
            <w:tcW w:w="803" w:type="dxa"/>
            <w:vMerge w:val="restart"/>
            <w:vAlign w:val="center"/>
          </w:tcPr>
          <w:p w14:paraId="2BFA33F0">
            <w:pPr>
              <w:adjustRightInd w:val="0"/>
              <w:snapToGrid w:val="0"/>
              <w:spacing w:line="240" w:lineRule="auto"/>
              <w:jc w:val="center"/>
              <w:rPr>
                <w:sz w:val="21"/>
                <w:szCs w:val="21"/>
              </w:rPr>
            </w:pPr>
            <w:r>
              <w:rPr>
                <w:sz w:val="21"/>
                <w:szCs w:val="21"/>
              </w:rPr>
              <w:t>总量控制指标</w:t>
            </w:r>
          </w:p>
        </w:tc>
        <w:tc>
          <w:tcPr>
            <w:tcW w:w="608" w:type="dxa"/>
            <w:vMerge w:val="restart"/>
            <w:vAlign w:val="center"/>
          </w:tcPr>
          <w:p w14:paraId="791CD601">
            <w:pPr>
              <w:adjustRightInd w:val="0"/>
              <w:snapToGrid w:val="0"/>
              <w:spacing w:line="240" w:lineRule="auto"/>
              <w:jc w:val="center"/>
              <w:rPr>
                <w:sz w:val="21"/>
                <w:szCs w:val="21"/>
              </w:rPr>
            </w:pPr>
            <w:r>
              <w:rPr>
                <w:sz w:val="21"/>
                <w:szCs w:val="21"/>
              </w:rPr>
              <w:t>排放类型</w:t>
            </w:r>
          </w:p>
        </w:tc>
        <w:tc>
          <w:tcPr>
            <w:tcW w:w="1843" w:type="dxa"/>
            <w:vAlign w:val="center"/>
          </w:tcPr>
          <w:p w14:paraId="09646F70">
            <w:pPr>
              <w:adjustRightInd w:val="0"/>
              <w:snapToGrid w:val="0"/>
              <w:spacing w:line="240" w:lineRule="auto"/>
              <w:jc w:val="center"/>
              <w:rPr>
                <w:sz w:val="21"/>
                <w:szCs w:val="21"/>
              </w:rPr>
            </w:pPr>
            <w:r>
              <w:rPr>
                <w:rFonts w:hint="eastAsia"/>
                <w:sz w:val="21"/>
                <w:szCs w:val="21"/>
              </w:rPr>
              <w:t>“已建+在建”全厂</w:t>
            </w:r>
            <w:r>
              <w:rPr>
                <w:sz w:val="21"/>
                <w:szCs w:val="21"/>
              </w:rPr>
              <w:t>总排放量</w:t>
            </w:r>
          </w:p>
        </w:tc>
        <w:tc>
          <w:tcPr>
            <w:tcW w:w="1559" w:type="dxa"/>
            <w:vAlign w:val="center"/>
          </w:tcPr>
          <w:p w14:paraId="6FE2D288">
            <w:pPr>
              <w:adjustRightInd w:val="0"/>
              <w:snapToGrid w:val="0"/>
              <w:spacing w:line="240" w:lineRule="auto"/>
              <w:jc w:val="center"/>
              <w:rPr>
                <w:sz w:val="21"/>
                <w:szCs w:val="21"/>
              </w:rPr>
            </w:pPr>
            <w:r>
              <w:rPr>
                <w:sz w:val="21"/>
                <w:szCs w:val="21"/>
              </w:rPr>
              <w:t>已申请总量</w:t>
            </w:r>
          </w:p>
        </w:tc>
        <w:tc>
          <w:tcPr>
            <w:tcW w:w="1300" w:type="dxa"/>
            <w:vAlign w:val="center"/>
          </w:tcPr>
          <w:p w14:paraId="6E97F854">
            <w:pPr>
              <w:adjustRightInd w:val="0"/>
              <w:snapToGrid w:val="0"/>
              <w:spacing w:line="240" w:lineRule="auto"/>
              <w:jc w:val="center"/>
              <w:rPr>
                <w:sz w:val="21"/>
                <w:szCs w:val="21"/>
              </w:rPr>
            </w:pPr>
            <w:r>
              <w:rPr>
                <w:rFonts w:hint="eastAsia"/>
                <w:sz w:val="21"/>
                <w:szCs w:val="21"/>
              </w:rPr>
              <w:t>排污权证</w:t>
            </w:r>
          </w:p>
          <w:p w14:paraId="6FCC274C">
            <w:pPr>
              <w:adjustRightInd w:val="0"/>
              <w:snapToGrid w:val="0"/>
              <w:spacing w:line="240" w:lineRule="auto"/>
              <w:jc w:val="center"/>
              <w:rPr>
                <w:sz w:val="21"/>
                <w:szCs w:val="21"/>
              </w:rPr>
            </w:pPr>
            <w:r>
              <w:rPr>
                <w:rFonts w:hint="eastAsia"/>
                <w:sz w:val="21"/>
                <w:szCs w:val="21"/>
              </w:rPr>
              <w:t>指标</w:t>
            </w:r>
          </w:p>
        </w:tc>
        <w:tc>
          <w:tcPr>
            <w:tcW w:w="1110" w:type="dxa"/>
            <w:vAlign w:val="center"/>
          </w:tcPr>
          <w:p w14:paraId="01AEBE20">
            <w:pPr>
              <w:adjustRightInd w:val="0"/>
              <w:snapToGrid w:val="0"/>
              <w:spacing w:line="240" w:lineRule="auto"/>
              <w:jc w:val="center"/>
              <w:rPr>
                <w:sz w:val="21"/>
                <w:szCs w:val="21"/>
              </w:rPr>
            </w:pPr>
            <w:r>
              <w:rPr>
                <w:sz w:val="21"/>
                <w:szCs w:val="21"/>
              </w:rPr>
              <w:t>变更后全厂排放量</w:t>
            </w:r>
          </w:p>
        </w:tc>
        <w:tc>
          <w:tcPr>
            <w:tcW w:w="1269" w:type="dxa"/>
            <w:vAlign w:val="center"/>
          </w:tcPr>
          <w:p w14:paraId="66A08041">
            <w:pPr>
              <w:adjustRightInd w:val="0"/>
              <w:snapToGrid w:val="0"/>
              <w:spacing w:line="240" w:lineRule="auto"/>
              <w:jc w:val="center"/>
              <w:rPr>
                <w:sz w:val="21"/>
                <w:szCs w:val="21"/>
              </w:rPr>
            </w:pPr>
            <w:r>
              <w:rPr>
                <w:sz w:val="21"/>
                <w:szCs w:val="21"/>
              </w:rPr>
              <w:t>需新申请的总量</w:t>
            </w:r>
          </w:p>
        </w:tc>
      </w:tr>
      <w:tr w14:paraId="338DB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continue"/>
            <w:vAlign w:val="center"/>
          </w:tcPr>
          <w:p w14:paraId="6A498A8B">
            <w:pPr>
              <w:adjustRightInd w:val="0"/>
              <w:snapToGrid w:val="0"/>
              <w:spacing w:line="240" w:lineRule="auto"/>
              <w:jc w:val="center"/>
              <w:rPr>
                <w:sz w:val="21"/>
                <w:szCs w:val="21"/>
              </w:rPr>
            </w:pPr>
          </w:p>
        </w:tc>
        <w:tc>
          <w:tcPr>
            <w:tcW w:w="803" w:type="dxa"/>
            <w:vMerge w:val="continue"/>
            <w:vAlign w:val="center"/>
          </w:tcPr>
          <w:p w14:paraId="36133A94">
            <w:pPr>
              <w:adjustRightInd w:val="0"/>
              <w:snapToGrid w:val="0"/>
              <w:spacing w:line="240" w:lineRule="auto"/>
              <w:jc w:val="center"/>
              <w:rPr>
                <w:sz w:val="21"/>
                <w:szCs w:val="21"/>
              </w:rPr>
            </w:pPr>
          </w:p>
        </w:tc>
        <w:tc>
          <w:tcPr>
            <w:tcW w:w="608" w:type="dxa"/>
            <w:vMerge w:val="continue"/>
            <w:vAlign w:val="center"/>
          </w:tcPr>
          <w:p w14:paraId="7BEB371B">
            <w:pPr>
              <w:adjustRightInd w:val="0"/>
              <w:snapToGrid w:val="0"/>
              <w:spacing w:line="240" w:lineRule="auto"/>
              <w:jc w:val="center"/>
              <w:rPr>
                <w:sz w:val="21"/>
                <w:szCs w:val="21"/>
              </w:rPr>
            </w:pPr>
          </w:p>
        </w:tc>
        <w:tc>
          <w:tcPr>
            <w:tcW w:w="1843" w:type="dxa"/>
            <w:vAlign w:val="center"/>
          </w:tcPr>
          <w:p w14:paraId="33FF60C0">
            <w:pPr>
              <w:adjustRightInd w:val="0"/>
              <w:snapToGrid w:val="0"/>
              <w:spacing w:line="240" w:lineRule="auto"/>
              <w:jc w:val="center"/>
              <w:rPr>
                <w:sz w:val="21"/>
                <w:szCs w:val="21"/>
              </w:rPr>
            </w:pPr>
            <w:r>
              <w:rPr>
                <w:sz w:val="21"/>
                <w:szCs w:val="21"/>
              </w:rPr>
              <w:t>单位：t/a</w:t>
            </w:r>
          </w:p>
        </w:tc>
        <w:tc>
          <w:tcPr>
            <w:tcW w:w="1559" w:type="dxa"/>
            <w:vAlign w:val="center"/>
          </w:tcPr>
          <w:p w14:paraId="458B3F60">
            <w:pPr>
              <w:adjustRightInd w:val="0"/>
              <w:snapToGrid w:val="0"/>
              <w:spacing w:line="240" w:lineRule="auto"/>
              <w:jc w:val="center"/>
              <w:rPr>
                <w:sz w:val="21"/>
                <w:szCs w:val="21"/>
              </w:rPr>
            </w:pPr>
            <w:r>
              <w:rPr>
                <w:sz w:val="21"/>
                <w:szCs w:val="21"/>
              </w:rPr>
              <w:t>单位：t/a</w:t>
            </w:r>
          </w:p>
        </w:tc>
        <w:tc>
          <w:tcPr>
            <w:tcW w:w="1300" w:type="dxa"/>
            <w:vAlign w:val="center"/>
          </w:tcPr>
          <w:p w14:paraId="3572EFA0">
            <w:pPr>
              <w:adjustRightInd w:val="0"/>
              <w:snapToGrid w:val="0"/>
              <w:spacing w:line="240" w:lineRule="auto"/>
              <w:jc w:val="center"/>
              <w:rPr>
                <w:sz w:val="21"/>
                <w:szCs w:val="21"/>
              </w:rPr>
            </w:pPr>
            <w:r>
              <w:rPr>
                <w:sz w:val="21"/>
                <w:szCs w:val="21"/>
              </w:rPr>
              <w:t>单位：t/a</w:t>
            </w:r>
          </w:p>
        </w:tc>
        <w:tc>
          <w:tcPr>
            <w:tcW w:w="1110" w:type="dxa"/>
            <w:vAlign w:val="center"/>
          </w:tcPr>
          <w:p w14:paraId="6F3E733B">
            <w:pPr>
              <w:adjustRightInd w:val="0"/>
              <w:snapToGrid w:val="0"/>
              <w:spacing w:line="240" w:lineRule="auto"/>
              <w:jc w:val="center"/>
              <w:rPr>
                <w:sz w:val="21"/>
                <w:szCs w:val="21"/>
              </w:rPr>
            </w:pPr>
            <w:r>
              <w:rPr>
                <w:sz w:val="21"/>
                <w:szCs w:val="21"/>
              </w:rPr>
              <w:t>单位：t/a</w:t>
            </w:r>
          </w:p>
        </w:tc>
        <w:tc>
          <w:tcPr>
            <w:tcW w:w="1269" w:type="dxa"/>
            <w:vAlign w:val="center"/>
          </w:tcPr>
          <w:p w14:paraId="45B28BF0">
            <w:pPr>
              <w:adjustRightInd w:val="0"/>
              <w:snapToGrid w:val="0"/>
              <w:spacing w:line="240" w:lineRule="auto"/>
              <w:jc w:val="center"/>
              <w:rPr>
                <w:sz w:val="21"/>
                <w:szCs w:val="21"/>
              </w:rPr>
            </w:pPr>
            <w:r>
              <w:rPr>
                <w:sz w:val="21"/>
                <w:szCs w:val="21"/>
              </w:rPr>
              <w:t>单位：t/a</w:t>
            </w:r>
          </w:p>
        </w:tc>
      </w:tr>
      <w:tr w14:paraId="2C604D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8810" w:type="dxa"/>
            <w:gridSpan w:val="8"/>
            <w:vAlign w:val="center"/>
          </w:tcPr>
          <w:p w14:paraId="26B665F7">
            <w:pPr>
              <w:adjustRightInd w:val="0"/>
              <w:snapToGrid w:val="0"/>
              <w:spacing w:line="240" w:lineRule="auto"/>
              <w:jc w:val="center"/>
              <w:rPr>
                <w:sz w:val="21"/>
                <w:szCs w:val="21"/>
              </w:rPr>
            </w:pPr>
            <w:r>
              <w:rPr>
                <w:sz w:val="21"/>
                <w:szCs w:val="21"/>
              </w:rPr>
              <w:t>大气污染物</w:t>
            </w:r>
          </w:p>
        </w:tc>
      </w:tr>
      <w:tr w14:paraId="715745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restart"/>
            <w:vAlign w:val="center"/>
          </w:tcPr>
          <w:p w14:paraId="3C7662DF">
            <w:pPr>
              <w:adjustRightInd w:val="0"/>
              <w:snapToGrid w:val="0"/>
              <w:spacing w:line="240" w:lineRule="auto"/>
              <w:jc w:val="center"/>
              <w:rPr>
                <w:sz w:val="21"/>
                <w:szCs w:val="21"/>
              </w:rPr>
            </w:pPr>
            <w:r>
              <w:rPr>
                <w:sz w:val="21"/>
                <w:szCs w:val="21"/>
              </w:rPr>
              <w:t>1</w:t>
            </w:r>
          </w:p>
        </w:tc>
        <w:tc>
          <w:tcPr>
            <w:tcW w:w="803" w:type="dxa"/>
            <w:vMerge w:val="restart"/>
            <w:vAlign w:val="center"/>
          </w:tcPr>
          <w:p w14:paraId="4D14C217">
            <w:pPr>
              <w:adjustRightInd w:val="0"/>
              <w:snapToGrid w:val="0"/>
              <w:spacing w:line="240" w:lineRule="auto"/>
              <w:jc w:val="center"/>
              <w:rPr>
                <w:sz w:val="21"/>
                <w:szCs w:val="21"/>
              </w:rPr>
            </w:pPr>
            <w:r>
              <w:rPr>
                <w:sz w:val="21"/>
                <w:szCs w:val="21"/>
              </w:rPr>
              <w:t>VOCs</w:t>
            </w:r>
          </w:p>
        </w:tc>
        <w:tc>
          <w:tcPr>
            <w:tcW w:w="608" w:type="dxa"/>
            <w:tcBorders>
              <w:bottom w:val="single" w:color="auto" w:sz="4" w:space="0"/>
            </w:tcBorders>
            <w:vAlign w:val="center"/>
          </w:tcPr>
          <w:p w14:paraId="3D6DEC83">
            <w:pPr>
              <w:adjustRightInd w:val="0"/>
              <w:snapToGrid w:val="0"/>
              <w:spacing w:line="240" w:lineRule="auto"/>
              <w:jc w:val="center"/>
              <w:rPr>
                <w:sz w:val="21"/>
                <w:szCs w:val="21"/>
              </w:rPr>
            </w:pPr>
            <w:r>
              <w:rPr>
                <w:sz w:val="21"/>
                <w:szCs w:val="21"/>
              </w:rPr>
              <w:t>无组织</w:t>
            </w:r>
          </w:p>
        </w:tc>
        <w:tc>
          <w:tcPr>
            <w:tcW w:w="1843" w:type="dxa"/>
            <w:tcBorders>
              <w:bottom w:val="single" w:color="auto" w:sz="4" w:space="0"/>
            </w:tcBorders>
            <w:vAlign w:val="center"/>
          </w:tcPr>
          <w:p w14:paraId="5E14C19C">
            <w:pPr>
              <w:adjustRightInd w:val="0"/>
              <w:snapToGrid w:val="0"/>
              <w:spacing w:line="240" w:lineRule="auto"/>
              <w:jc w:val="center"/>
              <w:rPr>
                <w:sz w:val="21"/>
                <w:szCs w:val="21"/>
              </w:rPr>
            </w:pPr>
            <w:r>
              <w:rPr>
                <w:rFonts w:hint="eastAsia"/>
                <w:sz w:val="21"/>
                <w:szCs w:val="21"/>
              </w:rPr>
              <w:t>7.56</w:t>
            </w:r>
          </w:p>
        </w:tc>
        <w:tc>
          <w:tcPr>
            <w:tcW w:w="1559" w:type="dxa"/>
            <w:tcBorders>
              <w:bottom w:val="single" w:color="auto" w:sz="4" w:space="0"/>
            </w:tcBorders>
            <w:vAlign w:val="center"/>
          </w:tcPr>
          <w:p w14:paraId="5596A875">
            <w:pPr>
              <w:adjustRightInd w:val="0"/>
              <w:snapToGrid w:val="0"/>
              <w:spacing w:line="240" w:lineRule="auto"/>
              <w:jc w:val="center"/>
              <w:rPr>
                <w:sz w:val="21"/>
                <w:szCs w:val="21"/>
              </w:rPr>
            </w:pPr>
            <w:r>
              <w:rPr>
                <w:rFonts w:hint="eastAsia"/>
                <w:sz w:val="21"/>
                <w:szCs w:val="21"/>
              </w:rPr>
              <w:t>/</w:t>
            </w:r>
          </w:p>
        </w:tc>
        <w:tc>
          <w:tcPr>
            <w:tcW w:w="1300" w:type="dxa"/>
            <w:tcBorders>
              <w:bottom w:val="single" w:color="auto" w:sz="4" w:space="0"/>
            </w:tcBorders>
            <w:vAlign w:val="center"/>
          </w:tcPr>
          <w:p w14:paraId="4518F854">
            <w:pPr>
              <w:adjustRightInd w:val="0"/>
              <w:snapToGrid w:val="0"/>
              <w:spacing w:line="240" w:lineRule="auto"/>
              <w:jc w:val="center"/>
              <w:rPr>
                <w:sz w:val="21"/>
                <w:szCs w:val="21"/>
              </w:rPr>
            </w:pPr>
            <w:r>
              <w:rPr>
                <w:rFonts w:hint="eastAsia"/>
                <w:sz w:val="21"/>
                <w:szCs w:val="21"/>
              </w:rPr>
              <w:t>/</w:t>
            </w:r>
          </w:p>
        </w:tc>
        <w:tc>
          <w:tcPr>
            <w:tcW w:w="1110" w:type="dxa"/>
            <w:tcBorders>
              <w:bottom w:val="single" w:color="auto" w:sz="4" w:space="0"/>
            </w:tcBorders>
            <w:vAlign w:val="center"/>
          </w:tcPr>
          <w:p w14:paraId="6AC7AAF1">
            <w:pPr>
              <w:pStyle w:val="64"/>
              <w:spacing w:line="240" w:lineRule="auto"/>
              <w:ind w:firstLine="0"/>
              <w:rPr>
                <w:rFonts w:hint="default" w:eastAsia="宋体"/>
                <w:sz w:val="21"/>
                <w:szCs w:val="21"/>
                <w:lang w:val="en-US" w:eastAsia="zh-CN"/>
              </w:rPr>
            </w:pPr>
            <w:r>
              <w:rPr>
                <w:rFonts w:hint="eastAsia"/>
                <w:sz w:val="21"/>
                <w:szCs w:val="21"/>
                <w:lang w:val="en-US" w:eastAsia="zh-CN"/>
              </w:rPr>
              <w:t>35.102</w:t>
            </w:r>
          </w:p>
        </w:tc>
        <w:tc>
          <w:tcPr>
            <w:tcW w:w="1269" w:type="dxa"/>
            <w:tcBorders>
              <w:bottom w:val="single" w:color="auto" w:sz="4" w:space="0"/>
            </w:tcBorders>
            <w:vAlign w:val="center"/>
          </w:tcPr>
          <w:p w14:paraId="7627A25C">
            <w:pPr>
              <w:adjustRightInd w:val="0"/>
              <w:snapToGrid w:val="0"/>
              <w:spacing w:line="240" w:lineRule="auto"/>
              <w:jc w:val="center"/>
              <w:rPr>
                <w:sz w:val="21"/>
                <w:szCs w:val="21"/>
              </w:rPr>
            </w:pPr>
            <w:r>
              <w:rPr>
                <w:rFonts w:hint="eastAsia"/>
                <w:sz w:val="21"/>
                <w:szCs w:val="21"/>
              </w:rPr>
              <w:t>/</w:t>
            </w:r>
          </w:p>
        </w:tc>
      </w:tr>
      <w:tr w14:paraId="153CAC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continue"/>
            <w:vAlign w:val="center"/>
          </w:tcPr>
          <w:p w14:paraId="6FF7FC74">
            <w:pPr>
              <w:adjustRightInd w:val="0"/>
              <w:snapToGrid w:val="0"/>
              <w:spacing w:line="240" w:lineRule="auto"/>
              <w:jc w:val="center"/>
              <w:rPr>
                <w:sz w:val="21"/>
                <w:szCs w:val="21"/>
              </w:rPr>
            </w:pPr>
          </w:p>
        </w:tc>
        <w:tc>
          <w:tcPr>
            <w:tcW w:w="803" w:type="dxa"/>
            <w:vMerge w:val="continue"/>
            <w:vAlign w:val="center"/>
          </w:tcPr>
          <w:p w14:paraId="699F0E14">
            <w:pPr>
              <w:adjustRightInd w:val="0"/>
              <w:snapToGrid w:val="0"/>
              <w:spacing w:line="240" w:lineRule="auto"/>
              <w:jc w:val="center"/>
              <w:rPr>
                <w:sz w:val="21"/>
                <w:szCs w:val="21"/>
              </w:rPr>
            </w:pPr>
          </w:p>
        </w:tc>
        <w:tc>
          <w:tcPr>
            <w:tcW w:w="608" w:type="dxa"/>
            <w:tcBorders>
              <w:top w:val="single" w:color="auto" w:sz="4" w:space="0"/>
            </w:tcBorders>
            <w:vAlign w:val="center"/>
          </w:tcPr>
          <w:p w14:paraId="24A746EC">
            <w:pPr>
              <w:adjustRightInd w:val="0"/>
              <w:snapToGrid w:val="0"/>
              <w:spacing w:line="240" w:lineRule="auto"/>
              <w:jc w:val="center"/>
              <w:rPr>
                <w:sz w:val="21"/>
                <w:szCs w:val="21"/>
              </w:rPr>
            </w:pPr>
            <w:r>
              <w:rPr>
                <w:sz w:val="21"/>
                <w:szCs w:val="21"/>
              </w:rPr>
              <w:t>有组织</w:t>
            </w:r>
          </w:p>
        </w:tc>
        <w:tc>
          <w:tcPr>
            <w:tcW w:w="1843" w:type="dxa"/>
            <w:tcBorders>
              <w:top w:val="single" w:color="auto" w:sz="4" w:space="0"/>
            </w:tcBorders>
            <w:vAlign w:val="center"/>
          </w:tcPr>
          <w:p w14:paraId="33225787">
            <w:pPr>
              <w:adjustRightInd w:val="0"/>
              <w:snapToGrid w:val="0"/>
              <w:spacing w:line="240" w:lineRule="auto"/>
              <w:jc w:val="center"/>
              <w:rPr>
                <w:sz w:val="21"/>
                <w:szCs w:val="21"/>
              </w:rPr>
            </w:pPr>
            <w:r>
              <w:rPr>
                <w:rFonts w:hint="eastAsia"/>
                <w:sz w:val="21"/>
                <w:szCs w:val="21"/>
              </w:rPr>
              <w:t>27.86</w:t>
            </w:r>
          </w:p>
        </w:tc>
        <w:tc>
          <w:tcPr>
            <w:tcW w:w="1559" w:type="dxa"/>
            <w:tcBorders>
              <w:top w:val="single" w:color="auto" w:sz="4" w:space="0"/>
            </w:tcBorders>
            <w:vAlign w:val="center"/>
          </w:tcPr>
          <w:p w14:paraId="26CFA329">
            <w:pPr>
              <w:adjustRightInd w:val="0"/>
              <w:snapToGrid w:val="0"/>
              <w:spacing w:line="240" w:lineRule="auto"/>
              <w:jc w:val="center"/>
              <w:rPr>
                <w:sz w:val="21"/>
                <w:szCs w:val="21"/>
              </w:rPr>
            </w:pPr>
            <w:r>
              <w:rPr>
                <w:rFonts w:hint="eastAsia"/>
                <w:sz w:val="21"/>
                <w:szCs w:val="21"/>
              </w:rPr>
              <w:t>/</w:t>
            </w:r>
          </w:p>
        </w:tc>
        <w:tc>
          <w:tcPr>
            <w:tcW w:w="1300" w:type="dxa"/>
            <w:tcBorders>
              <w:top w:val="single" w:color="auto" w:sz="4" w:space="0"/>
            </w:tcBorders>
            <w:vAlign w:val="center"/>
          </w:tcPr>
          <w:p w14:paraId="3A29AB63">
            <w:pPr>
              <w:adjustRightInd w:val="0"/>
              <w:snapToGrid w:val="0"/>
              <w:spacing w:line="240" w:lineRule="auto"/>
              <w:jc w:val="center"/>
              <w:rPr>
                <w:sz w:val="21"/>
                <w:szCs w:val="21"/>
              </w:rPr>
            </w:pPr>
            <w:r>
              <w:rPr>
                <w:rFonts w:hint="eastAsia"/>
                <w:sz w:val="21"/>
                <w:szCs w:val="21"/>
              </w:rPr>
              <w:t>/</w:t>
            </w:r>
          </w:p>
        </w:tc>
        <w:tc>
          <w:tcPr>
            <w:tcW w:w="1110" w:type="dxa"/>
            <w:tcBorders>
              <w:top w:val="single" w:color="auto" w:sz="4" w:space="0"/>
            </w:tcBorders>
            <w:vAlign w:val="center"/>
          </w:tcPr>
          <w:p w14:paraId="781DCA8F">
            <w:pPr>
              <w:pStyle w:val="64"/>
              <w:spacing w:line="240" w:lineRule="auto"/>
              <w:ind w:firstLine="0"/>
              <w:rPr>
                <w:sz w:val="21"/>
                <w:szCs w:val="21"/>
              </w:rPr>
            </w:pPr>
            <w:r>
              <w:rPr>
                <w:rFonts w:hint="eastAsia"/>
                <w:sz w:val="21"/>
                <w:szCs w:val="21"/>
                <w:lang w:val="en-US" w:eastAsia="zh-CN"/>
              </w:rPr>
              <w:t>101.720</w:t>
            </w:r>
          </w:p>
        </w:tc>
        <w:tc>
          <w:tcPr>
            <w:tcW w:w="1269" w:type="dxa"/>
            <w:tcBorders>
              <w:top w:val="single" w:color="auto" w:sz="4" w:space="0"/>
            </w:tcBorders>
            <w:vAlign w:val="center"/>
          </w:tcPr>
          <w:p w14:paraId="058BDA67">
            <w:pPr>
              <w:adjustRightInd w:val="0"/>
              <w:snapToGrid w:val="0"/>
              <w:spacing w:line="240" w:lineRule="auto"/>
              <w:jc w:val="center"/>
              <w:rPr>
                <w:sz w:val="21"/>
                <w:szCs w:val="21"/>
              </w:rPr>
            </w:pPr>
            <w:r>
              <w:rPr>
                <w:rFonts w:hint="eastAsia"/>
                <w:sz w:val="21"/>
                <w:szCs w:val="21"/>
              </w:rPr>
              <w:t>/</w:t>
            </w:r>
          </w:p>
        </w:tc>
      </w:tr>
      <w:tr w14:paraId="4AE79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continue"/>
            <w:vAlign w:val="center"/>
          </w:tcPr>
          <w:p w14:paraId="1351317F">
            <w:pPr>
              <w:adjustRightInd w:val="0"/>
              <w:snapToGrid w:val="0"/>
              <w:spacing w:line="240" w:lineRule="auto"/>
              <w:jc w:val="center"/>
              <w:rPr>
                <w:sz w:val="21"/>
                <w:szCs w:val="21"/>
              </w:rPr>
            </w:pPr>
          </w:p>
        </w:tc>
        <w:tc>
          <w:tcPr>
            <w:tcW w:w="803" w:type="dxa"/>
            <w:vMerge w:val="continue"/>
            <w:vAlign w:val="center"/>
          </w:tcPr>
          <w:p w14:paraId="667B022A">
            <w:pPr>
              <w:adjustRightInd w:val="0"/>
              <w:snapToGrid w:val="0"/>
              <w:spacing w:line="240" w:lineRule="auto"/>
              <w:jc w:val="center"/>
              <w:rPr>
                <w:sz w:val="21"/>
                <w:szCs w:val="21"/>
              </w:rPr>
            </w:pPr>
          </w:p>
        </w:tc>
        <w:tc>
          <w:tcPr>
            <w:tcW w:w="608" w:type="dxa"/>
            <w:tcBorders>
              <w:top w:val="single" w:color="auto" w:sz="4" w:space="0"/>
            </w:tcBorders>
            <w:vAlign w:val="center"/>
          </w:tcPr>
          <w:p w14:paraId="766A6548">
            <w:pPr>
              <w:adjustRightInd w:val="0"/>
              <w:snapToGrid w:val="0"/>
              <w:spacing w:line="240" w:lineRule="auto"/>
              <w:jc w:val="center"/>
              <w:rPr>
                <w:sz w:val="21"/>
                <w:szCs w:val="21"/>
              </w:rPr>
            </w:pPr>
            <w:r>
              <w:rPr>
                <w:rFonts w:hint="eastAsia"/>
                <w:sz w:val="21"/>
                <w:szCs w:val="21"/>
              </w:rPr>
              <w:t>合计</w:t>
            </w:r>
          </w:p>
        </w:tc>
        <w:tc>
          <w:tcPr>
            <w:tcW w:w="1843" w:type="dxa"/>
            <w:tcBorders>
              <w:top w:val="single" w:color="auto" w:sz="4" w:space="0"/>
            </w:tcBorders>
            <w:vAlign w:val="center"/>
          </w:tcPr>
          <w:p w14:paraId="083194F5">
            <w:pPr>
              <w:adjustRightInd w:val="0"/>
              <w:snapToGrid w:val="0"/>
              <w:spacing w:line="240" w:lineRule="auto"/>
              <w:jc w:val="center"/>
              <w:rPr>
                <w:sz w:val="21"/>
                <w:szCs w:val="21"/>
              </w:rPr>
            </w:pPr>
            <w:r>
              <w:rPr>
                <w:rFonts w:hint="eastAsia"/>
                <w:sz w:val="21"/>
                <w:szCs w:val="21"/>
              </w:rPr>
              <w:t>35.42</w:t>
            </w:r>
          </w:p>
        </w:tc>
        <w:tc>
          <w:tcPr>
            <w:tcW w:w="1559" w:type="dxa"/>
            <w:tcBorders>
              <w:top w:val="single" w:color="auto" w:sz="4" w:space="0"/>
            </w:tcBorders>
            <w:vAlign w:val="center"/>
          </w:tcPr>
          <w:p w14:paraId="793EE3F1">
            <w:pPr>
              <w:adjustRightInd w:val="0"/>
              <w:snapToGrid w:val="0"/>
              <w:spacing w:line="240" w:lineRule="auto"/>
              <w:jc w:val="center"/>
              <w:rPr>
                <w:sz w:val="21"/>
                <w:szCs w:val="21"/>
              </w:rPr>
            </w:pPr>
            <w:r>
              <w:rPr>
                <w:rFonts w:hint="eastAsia"/>
                <w:sz w:val="21"/>
                <w:szCs w:val="21"/>
              </w:rPr>
              <w:t>38.3</w:t>
            </w:r>
          </w:p>
        </w:tc>
        <w:tc>
          <w:tcPr>
            <w:tcW w:w="1300" w:type="dxa"/>
            <w:tcBorders>
              <w:top w:val="single" w:color="auto" w:sz="4" w:space="0"/>
            </w:tcBorders>
            <w:vAlign w:val="center"/>
          </w:tcPr>
          <w:p w14:paraId="3A0456C4">
            <w:pPr>
              <w:adjustRightInd w:val="0"/>
              <w:snapToGrid w:val="0"/>
              <w:spacing w:line="240" w:lineRule="auto"/>
              <w:jc w:val="center"/>
              <w:rPr>
                <w:sz w:val="21"/>
                <w:szCs w:val="21"/>
              </w:rPr>
            </w:pPr>
            <w:r>
              <w:rPr>
                <w:rFonts w:hint="eastAsia"/>
                <w:sz w:val="21"/>
                <w:szCs w:val="21"/>
              </w:rPr>
              <w:t>/</w:t>
            </w:r>
          </w:p>
        </w:tc>
        <w:tc>
          <w:tcPr>
            <w:tcW w:w="1110" w:type="dxa"/>
            <w:tcBorders>
              <w:top w:val="single" w:color="auto" w:sz="4" w:space="0"/>
            </w:tcBorders>
            <w:vAlign w:val="center"/>
          </w:tcPr>
          <w:p w14:paraId="6F5EF704">
            <w:pPr>
              <w:pStyle w:val="64"/>
              <w:spacing w:line="240" w:lineRule="auto"/>
              <w:ind w:firstLine="0"/>
              <w:rPr>
                <w:sz w:val="21"/>
                <w:szCs w:val="21"/>
              </w:rPr>
            </w:pPr>
            <w:r>
              <w:rPr>
                <w:rFonts w:hint="eastAsia"/>
                <w:sz w:val="21"/>
                <w:szCs w:val="21"/>
              </w:rPr>
              <w:t>136.822</w:t>
            </w:r>
          </w:p>
        </w:tc>
        <w:tc>
          <w:tcPr>
            <w:tcW w:w="1269" w:type="dxa"/>
            <w:tcBorders>
              <w:top w:val="single" w:color="auto" w:sz="4" w:space="0"/>
            </w:tcBorders>
            <w:vAlign w:val="center"/>
          </w:tcPr>
          <w:p w14:paraId="6C3ACF38">
            <w:pPr>
              <w:pStyle w:val="64"/>
              <w:spacing w:line="240" w:lineRule="auto"/>
              <w:ind w:firstLine="0"/>
              <w:rPr>
                <w:sz w:val="21"/>
                <w:szCs w:val="21"/>
              </w:rPr>
            </w:pPr>
            <w:r>
              <w:rPr>
                <w:rFonts w:hint="eastAsia"/>
                <w:sz w:val="21"/>
                <w:szCs w:val="21"/>
              </w:rPr>
              <w:t>+98.522</w:t>
            </w:r>
          </w:p>
        </w:tc>
      </w:tr>
      <w:tr w14:paraId="4F62B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Align w:val="center"/>
          </w:tcPr>
          <w:p w14:paraId="5A7E8C50">
            <w:pPr>
              <w:adjustRightInd w:val="0"/>
              <w:snapToGrid w:val="0"/>
              <w:spacing w:line="240" w:lineRule="auto"/>
              <w:jc w:val="center"/>
              <w:rPr>
                <w:sz w:val="21"/>
                <w:szCs w:val="21"/>
              </w:rPr>
            </w:pPr>
            <w:r>
              <w:rPr>
                <w:sz w:val="21"/>
                <w:szCs w:val="21"/>
              </w:rPr>
              <w:t>2</w:t>
            </w:r>
          </w:p>
        </w:tc>
        <w:tc>
          <w:tcPr>
            <w:tcW w:w="803" w:type="dxa"/>
            <w:vAlign w:val="center"/>
          </w:tcPr>
          <w:p w14:paraId="1B654AA4">
            <w:pPr>
              <w:adjustRightInd w:val="0"/>
              <w:snapToGrid w:val="0"/>
              <w:spacing w:line="240" w:lineRule="auto"/>
              <w:jc w:val="center"/>
              <w:rPr>
                <w:sz w:val="21"/>
                <w:szCs w:val="21"/>
              </w:rPr>
            </w:pPr>
            <w:r>
              <w:rPr>
                <w:sz w:val="21"/>
                <w:szCs w:val="21"/>
              </w:rPr>
              <w:t>SO</w:t>
            </w:r>
            <w:r>
              <w:rPr>
                <w:sz w:val="21"/>
                <w:szCs w:val="21"/>
                <w:vertAlign w:val="subscript"/>
              </w:rPr>
              <w:t>2</w:t>
            </w:r>
          </w:p>
        </w:tc>
        <w:tc>
          <w:tcPr>
            <w:tcW w:w="608" w:type="dxa"/>
            <w:tcBorders>
              <w:top w:val="single" w:color="auto" w:sz="4" w:space="0"/>
            </w:tcBorders>
            <w:vAlign w:val="center"/>
          </w:tcPr>
          <w:p w14:paraId="208A1BFA">
            <w:pPr>
              <w:adjustRightInd w:val="0"/>
              <w:snapToGrid w:val="0"/>
              <w:spacing w:line="240" w:lineRule="auto"/>
              <w:jc w:val="center"/>
              <w:rPr>
                <w:sz w:val="21"/>
                <w:szCs w:val="21"/>
              </w:rPr>
            </w:pPr>
            <w:r>
              <w:rPr>
                <w:sz w:val="21"/>
                <w:szCs w:val="21"/>
              </w:rPr>
              <w:t>有组织</w:t>
            </w:r>
          </w:p>
        </w:tc>
        <w:tc>
          <w:tcPr>
            <w:tcW w:w="1843" w:type="dxa"/>
            <w:tcBorders>
              <w:top w:val="single" w:color="auto" w:sz="4" w:space="0"/>
            </w:tcBorders>
            <w:vAlign w:val="center"/>
          </w:tcPr>
          <w:p w14:paraId="468CFB3B">
            <w:pPr>
              <w:adjustRightInd w:val="0"/>
              <w:snapToGrid w:val="0"/>
              <w:spacing w:line="240" w:lineRule="auto"/>
              <w:jc w:val="center"/>
              <w:rPr>
                <w:sz w:val="21"/>
                <w:szCs w:val="21"/>
              </w:rPr>
            </w:pPr>
            <w:r>
              <w:rPr>
                <w:rFonts w:hint="eastAsia"/>
                <w:sz w:val="21"/>
                <w:szCs w:val="21"/>
              </w:rPr>
              <w:t>0.15</w:t>
            </w:r>
          </w:p>
        </w:tc>
        <w:tc>
          <w:tcPr>
            <w:tcW w:w="1559" w:type="dxa"/>
            <w:tcBorders>
              <w:top w:val="single" w:color="auto" w:sz="4" w:space="0"/>
            </w:tcBorders>
            <w:vAlign w:val="center"/>
          </w:tcPr>
          <w:p w14:paraId="3CBEEB8B">
            <w:pPr>
              <w:adjustRightInd w:val="0"/>
              <w:snapToGrid w:val="0"/>
              <w:spacing w:line="240" w:lineRule="auto"/>
              <w:jc w:val="center"/>
              <w:rPr>
                <w:sz w:val="21"/>
                <w:szCs w:val="21"/>
              </w:rPr>
            </w:pPr>
            <w:r>
              <w:rPr>
                <w:rFonts w:hint="eastAsia"/>
                <w:sz w:val="21"/>
                <w:szCs w:val="21"/>
              </w:rPr>
              <w:t>0.2</w:t>
            </w:r>
          </w:p>
        </w:tc>
        <w:tc>
          <w:tcPr>
            <w:tcW w:w="1300" w:type="dxa"/>
            <w:tcBorders>
              <w:top w:val="single" w:color="auto" w:sz="4" w:space="0"/>
            </w:tcBorders>
            <w:vAlign w:val="center"/>
          </w:tcPr>
          <w:p w14:paraId="23964AF5">
            <w:pPr>
              <w:adjustRightInd w:val="0"/>
              <w:snapToGrid w:val="0"/>
              <w:spacing w:line="240" w:lineRule="auto"/>
              <w:jc w:val="center"/>
              <w:rPr>
                <w:sz w:val="21"/>
                <w:szCs w:val="21"/>
              </w:rPr>
            </w:pPr>
            <w:r>
              <w:rPr>
                <w:rFonts w:hint="eastAsia"/>
                <w:sz w:val="21"/>
                <w:szCs w:val="21"/>
              </w:rPr>
              <w:t>0.2</w:t>
            </w:r>
          </w:p>
        </w:tc>
        <w:tc>
          <w:tcPr>
            <w:tcW w:w="1110" w:type="dxa"/>
            <w:tcBorders>
              <w:top w:val="single" w:color="auto" w:sz="4" w:space="0"/>
            </w:tcBorders>
            <w:vAlign w:val="center"/>
          </w:tcPr>
          <w:p w14:paraId="43CF4BD4">
            <w:pPr>
              <w:pStyle w:val="64"/>
              <w:spacing w:line="240" w:lineRule="auto"/>
              <w:ind w:firstLine="0"/>
              <w:rPr>
                <w:rFonts w:hint="default" w:eastAsia="宋体"/>
                <w:sz w:val="21"/>
                <w:szCs w:val="21"/>
                <w:lang w:val="en-US" w:eastAsia="zh-CN"/>
              </w:rPr>
            </w:pPr>
            <w:r>
              <w:rPr>
                <w:rFonts w:hint="eastAsia"/>
                <w:sz w:val="21"/>
                <w:szCs w:val="21"/>
              </w:rPr>
              <w:t>0.</w:t>
            </w:r>
            <w:r>
              <w:rPr>
                <w:rFonts w:hint="eastAsia"/>
                <w:sz w:val="21"/>
                <w:szCs w:val="21"/>
                <w:lang w:val="en-US" w:eastAsia="zh-CN"/>
              </w:rPr>
              <w:t>044</w:t>
            </w:r>
          </w:p>
        </w:tc>
        <w:tc>
          <w:tcPr>
            <w:tcW w:w="1269" w:type="dxa"/>
            <w:tcBorders>
              <w:top w:val="single" w:color="auto" w:sz="4" w:space="0"/>
            </w:tcBorders>
            <w:vAlign w:val="center"/>
          </w:tcPr>
          <w:p w14:paraId="75828CC7">
            <w:pPr>
              <w:pStyle w:val="64"/>
              <w:spacing w:line="240" w:lineRule="auto"/>
              <w:ind w:firstLine="0"/>
              <w:rPr>
                <w:rFonts w:hint="eastAsia" w:eastAsia="宋体"/>
                <w:sz w:val="21"/>
                <w:szCs w:val="21"/>
                <w:lang w:eastAsia="zh-CN"/>
              </w:rPr>
            </w:pPr>
            <w:r>
              <w:rPr>
                <w:rFonts w:hint="eastAsia"/>
                <w:sz w:val="21"/>
                <w:szCs w:val="21"/>
                <w:lang w:val="en-US" w:eastAsia="zh-CN"/>
              </w:rPr>
              <w:t>0</w:t>
            </w:r>
          </w:p>
        </w:tc>
      </w:tr>
      <w:tr w14:paraId="65E4FE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Align w:val="center"/>
          </w:tcPr>
          <w:p w14:paraId="6C98C2A4">
            <w:pPr>
              <w:adjustRightInd w:val="0"/>
              <w:snapToGrid w:val="0"/>
              <w:spacing w:line="240" w:lineRule="auto"/>
              <w:jc w:val="center"/>
              <w:rPr>
                <w:sz w:val="21"/>
                <w:szCs w:val="21"/>
              </w:rPr>
            </w:pPr>
            <w:r>
              <w:rPr>
                <w:sz w:val="21"/>
                <w:szCs w:val="21"/>
              </w:rPr>
              <w:t>3</w:t>
            </w:r>
          </w:p>
        </w:tc>
        <w:tc>
          <w:tcPr>
            <w:tcW w:w="803" w:type="dxa"/>
            <w:vAlign w:val="center"/>
          </w:tcPr>
          <w:p w14:paraId="0C3D0777">
            <w:pPr>
              <w:adjustRightInd w:val="0"/>
              <w:snapToGrid w:val="0"/>
              <w:spacing w:line="240" w:lineRule="auto"/>
              <w:jc w:val="center"/>
              <w:rPr>
                <w:sz w:val="21"/>
                <w:szCs w:val="21"/>
              </w:rPr>
            </w:pPr>
            <w:r>
              <w:rPr>
                <w:sz w:val="21"/>
                <w:szCs w:val="21"/>
              </w:rPr>
              <w:t>NOx</w:t>
            </w:r>
          </w:p>
        </w:tc>
        <w:tc>
          <w:tcPr>
            <w:tcW w:w="608" w:type="dxa"/>
            <w:tcBorders>
              <w:top w:val="single" w:color="auto" w:sz="4" w:space="0"/>
            </w:tcBorders>
            <w:vAlign w:val="center"/>
          </w:tcPr>
          <w:p w14:paraId="4F14F83F">
            <w:pPr>
              <w:adjustRightInd w:val="0"/>
              <w:snapToGrid w:val="0"/>
              <w:spacing w:line="240" w:lineRule="auto"/>
              <w:jc w:val="center"/>
              <w:rPr>
                <w:sz w:val="21"/>
                <w:szCs w:val="21"/>
              </w:rPr>
            </w:pPr>
            <w:r>
              <w:rPr>
                <w:sz w:val="21"/>
                <w:szCs w:val="21"/>
              </w:rPr>
              <w:t>有组织</w:t>
            </w:r>
          </w:p>
        </w:tc>
        <w:tc>
          <w:tcPr>
            <w:tcW w:w="1843" w:type="dxa"/>
            <w:tcBorders>
              <w:top w:val="single" w:color="auto" w:sz="4" w:space="0"/>
            </w:tcBorders>
            <w:vAlign w:val="center"/>
          </w:tcPr>
          <w:p w14:paraId="0B131169">
            <w:pPr>
              <w:adjustRightInd w:val="0"/>
              <w:snapToGrid w:val="0"/>
              <w:spacing w:line="240" w:lineRule="auto"/>
              <w:jc w:val="center"/>
              <w:rPr>
                <w:sz w:val="21"/>
                <w:szCs w:val="21"/>
              </w:rPr>
            </w:pPr>
            <w:r>
              <w:rPr>
                <w:rFonts w:hint="eastAsia"/>
                <w:sz w:val="21"/>
                <w:szCs w:val="21"/>
              </w:rPr>
              <w:t>1.09</w:t>
            </w:r>
          </w:p>
        </w:tc>
        <w:tc>
          <w:tcPr>
            <w:tcW w:w="1559" w:type="dxa"/>
            <w:tcBorders>
              <w:top w:val="single" w:color="auto" w:sz="4" w:space="0"/>
            </w:tcBorders>
            <w:vAlign w:val="center"/>
          </w:tcPr>
          <w:p w14:paraId="6434DF01">
            <w:pPr>
              <w:adjustRightInd w:val="0"/>
              <w:snapToGrid w:val="0"/>
              <w:spacing w:line="240" w:lineRule="auto"/>
              <w:jc w:val="center"/>
              <w:rPr>
                <w:sz w:val="21"/>
                <w:szCs w:val="21"/>
              </w:rPr>
            </w:pPr>
            <w:r>
              <w:rPr>
                <w:rFonts w:hint="eastAsia"/>
                <w:sz w:val="21"/>
                <w:szCs w:val="21"/>
              </w:rPr>
              <w:t>1.1</w:t>
            </w:r>
          </w:p>
        </w:tc>
        <w:tc>
          <w:tcPr>
            <w:tcW w:w="1300" w:type="dxa"/>
            <w:tcBorders>
              <w:top w:val="single" w:color="auto" w:sz="4" w:space="0"/>
            </w:tcBorders>
            <w:vAlign w:val="center"/>
          </w:tcPr>
          <w:p w14:paraId="61E2B4E7">
            <w:pPr>
              <w:adjustRightInd w:val="0"/>
              <w:snapToGrid w:val="0"/>
              <w:spacing w:line="240" w:lineRule="auto"/>
              <w:jc w:val="center"/>
              <w:rPr>
                <w:sz w:val="21"/>
                <w:szCs w:val="21"/>
              </w:rPr>
            </w:pPr>
            <w:r>
              <w:rPr>
                <w:rFonts w:hint="eastAsia"/>
                <w:sz w:val="21"/>
                <w:szCs w:val="21"/>
              </w:rPr>
              <w:t>1.8</w:t>
            </w:r>
          </w:p>
        </w:tc>
        <w:tc>
          <w:tcPr>
            <w:tcW w:w="1110" w:type="dxa"/>
            <w:tcBorders>
              <w:top w:val="single" w:color="auto" w:sz="4" w:space="0"/>
            </w:tcBorders>
            <w:vAlign w:val="center"/>
          </w:tcPr>
          <w:p w14:paraId="3FACDD76">
            <w:pPr>
              <w:pStyle w:val="64"/>
              <w:spacing w:line="240" w:lineRule="auto"/>
              <w:ind w:firstLine="0"/>
              <w:rPr>
                <w:sz w:val="21"/>
                <w:szCs w:val="21"/>
              </w:rPr>
            </w:pPr>
            <w:r>
              <w:rPr>
                <w:rFonts w:hint="eastAsia"/>
                <w:sz w:val="21"/>
                <w:szCs w:val="21"/>
              </w:rPr>
              <w:t>1.03</w:t>
            </w:r>
          </w:p>
        </w:tc>
        <w:tc>
          <w:tcPr>
            <w:tcW w:w="1269" w:type="dxa"/>
            <w:tcBorders>
              <w:top w:val="single" w:color="auto" w:sz="4" w:space="0"/>
            </w:tcBorders>
            <w:vAlign w:val="center"/>
          </w:tcPr>
          <w:p w14:paraId="4F6658A0">
            <w:pPr>
              <w:pStyle w:val="64"/>
              <w:spacing w:line="240" w:lineRule="auto"/>
              <w:ind w:firstLine="0"/>
              <w:rPr>
                <w:sz w:val="21"/>
                <w:szCs w:val="21"/>
              </w:rPr>
            </w:pPr>
            <w:r>
              <w:rPr>
                <w:rFonts w:hint="eastAsia"/>
                <w:sz w:val="21"/>
                <w:szCs w:val="21"/>
              </w:rPr>
              <w:t>0</w:t>
            </w:r>
          </w:p>
        </w:tc>
      </w:tr>
    </w:tbl>
    <w:p w14:paraId="228B830C">
      <w:pPr>
        <w:pStyle w:val="38"/>
        <w:ind w:firstLine="482"/>
        <w:rPr>
          <w:rFonts w:ascii="Times New Roman" w:hAnsi="Times New Roman" w:eastAsia="宋体" w:cs="Times New Roman"/>
          <w:b/>
          <w:bCs/>
        </w:rPr>
      </w:pPr>
      <w:r>
        <w:rPr>
          <w:rFonts w:ascii="Times New Roman" w:hAnsi="Times New Roman" w:eastAsia="宋体" w:cs="Times New Roman"/>
          <w:b/>
          <w:bCs/>
        </w:rPr>
        <w:t>总量替代方案可行性分析：</w:t>
      </w:r>
    </w:p>
    <w:p w14:paraId="1E1D7156">
      <w:pPr>
        <w:pStyle w:val="40"/>
        <w:spacing w:line="360" w:lineRule="auto"/>
        <w:ind w:firstLine="480"/>
        <w:rPr>
          <w:rFonts w:ascii="Times New Roman"/>
        </w:rPr>
      </w:pPr>
      <w:r>
        <w:rPr>
          <w:rFonts w:ascii="Times New Roman"/>
        </w:rPr>
        <w:t>根据湘潭市生态环境</w:t>
      </w:r>
      <w:r>
        <w:rPr>
          <w:rFonts w:asciiTheme="minorEastAsia" w:hAnsiTheme="minorEastAsia" w:eastAsiaTheme="minorEastAsia"/>
        </w:rPr>
        <w:t>局“关于做好大气污染物总量减排和替代削减工作的通知”</w:t>
      </w:r>
      <w:r>
        <w:rPr>
          <w:rFonts w:hint="eastAsia" w:ascii="Times New Roman"/>
          <w:lang w:eastAsia="zh-CN"/>
        </w:rPr>
        <w:t>，</w:t>
      </w:r>
      <w:r>
        <w:rPr>
          <w:rFonts w:hint="eastAsia"/>
          <w:u w:val="none"/>
          <w:lang w:val="en-US" w:eastAsia="zh-CN"/>
        </w:rPr>
        <w:t>本项目新申</w:t>
      </w:r>
      <w:r>
        <w:rPr>
          <w:rFonts w:hint="default" w:ascii="Times New Roman" w:hAnsi="Times New Roman" w:cs="Times New Roman"/>
          <w:u w:val="none"/>
          <w:lang w:val="en-US" w:eastAsia="zh-CN"/>
        </w:rPr>
        <w:t>总量98.522t/a需要施行倍量替代，即197.044t/a，湘潭县已无足够的VOCs，因此采</w:t>
      </w:r>
      <w:r>
        <w:rPr>
          <w:rFonts w:hint="eastAsia"/>
          <w:u w:val="none"/>
          <w:lang w:val="en-US" w:eastAsia="zh-CN"/>
        </w:rPr>
        <w:t>用跨区域调剂的方式，使用湘潭经开区泰富重工结构减排量用于本项目倍量替代来源，</w:t>
      </w:r>
      <w:r>
        <w:rPr>
          <w:rFonts w:hint="eastAsia" w:ascii="Times New Roman"/>
        </w:rPr>
        <w:t>总量替代方案如下：</w:t>
      </w:r>
    </w:p>
    <w:p w14:paraId="67DCCB1C">
      <w:pPr>
        <w:pStyle w:val="51"/>
        <w:numPr>
          <w:ilvl w:val="5"/>
          <w:numId w:val="0"/>
        </w:numPr>
        <w:spacing w:before="0" w:beforeLines="0" w:line="360" w:lineRule="auto"/>
        <w:ind w:left="305" w:leftChars="0" w:hanging="3260" w:firstLineChars="0"/>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表10.2-2 </w:t>
      </w:r>
      <w:r>
        <w:rPr>
          <w:rFonts w:hint="eastAsia" w:ascii="宋体" w:hAnsi="宋体" w:cs="宋体"/>
          <w:b/>
          <w:bCs/>
          <w:color w:val="auto"/>
          <w:kern w:val="2"/>
          <w:sz w:val="21"/>
          <w:szCs w:val="21"/>
          <w:lang w:val="en-US" w:eastAsia="zh-CN" w:bidi="ar-SA"/>
        </w:rPr>
        <w:t xml:space="preserve">      </w:t>
      </w:r>
      <w:r>
        <w:rPr>
          <w:rFonts w:hint="eastAsia"/>
        </w:rPr>
        <w:t>污染物排放总量控制指标</w:t>
      </w:r>
    </w:p>
    <w:tbl>
      <w:tblPr>
        <w:tblStyle w:val="31"/>
        <w:tblW w:w="5000"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Layout w:type="fixed"/>
        <w:tblCellMar>
          <w:top w:w="0" w:type="dxa"/>
          <w:left w:w="57" w:type="dxa"/>
          <w:bottom w:w="0" w:type="dxa"/>
          <w:right w:w="57" w:type="dxa"/>
        </w:tblCellMar>
      </w:tblPr>
      <w:tblGrid>
        <w:gridCol w:w="774"/>
        <w:gridCol w:w="1475"/>
        <w:gridCol w:w="1368"/>
        <w:gridCol w:w="954"/>
        <w:gridCol w:w="1776"/>
        <w:gridCol w:w="2521"/>
      </w:tblGrid>
      <w:tr w14:paraId="64927D5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57" w:type="dxa"/>
            <w:bottom w:w="0" w:type="dxa"/>
            <w:right w:w="57" w:type="dxa"/>
          </w:tblCellMar>
        </w:tblPrEx>
        <w:trPr>
          <w:trHeight w:val="660" w:hRule="atLeast"/>
          <w:jc w:val="center"/>
        </w:trPr>
        <w:tc>
          <w:tcPr>
            <w:tcW w:w="774" w:type="dxa"/>
            <w:tcBorders>
              <w:tl2br w:val="nil"/>
              <w:tr2bl w:val="nil"/>
            </w:tcBorders>
            <w:vAlign w:val="center"/>
          </w:tcPr>
          <w:p w14:paraId="6E3C14C3">
            <w:pPr>
              <w:adjustRightInd w:val="0"/>
              <w:snapToGrid w:val="0"/>
              <w:spacing w:line="240" w:lineRule="auto"/>
              <w:jc w:val="center"/>
              <w:rPr>
                <w:sz w:val="21"/>
                <w:szCs w:val="21"/>
              </w:rPr>
            </w:pPr>
            <w:r>
              <w:rPr>
                <w:sz w:val="21"/>
                <w:szCs w:val="21"/>
              </w:rPr>
              <w:t>污染物</w:t>
            </w:r>
          </w:p>
          <w:p w14:paraId="18704781">
            <w:pPr>
              <w:adjustRightInd w:val="0"/>
              <w:snapToGrid w:val="0"/>
              <w:spacing w:line="240" w:lineRule="auto"/>
              <w:jc w:val="center"/>
              <w:rPr>
                <w:sz w:val="21"/>
                <w:szCs w:val="21"/>
              </w:rPr>
            </w:pPr>
            <w:r>
              <w:rPr>
                <w:sz w:val="21"/>
                <w:szCs w:val="21"/>
              </w:rPr>
              <w:t>类别</w:t>
            </w:r>
          </w:p>
        </w:tc>
        <w:tc>
          <w:tcPr>
            <w:tcW w:w="1475" w:type="dxa"/>
            <w:tcBorders>
              <w:tl2br w:val="nil"/>
              <w:tr2bl w:val="nil"/>
            </w:tcBorders>
            <w:vAlign w:val="center"/>
          </w:tcPr>
          <w:p w14:paraId="5F81D004">
            <w:pPr>
              <w:adjustRightInd w:val="0"/>
              <w:snapToGrid w:val="0"/>
              <w:spacing w:line="240" w:lineRule="auto"/>
              <w:jc w:val="center"/>
              <w:rPr>
                <w:sz w:val="21"/>
                <w:szCs w:val="21"/>
              </w:rPr>
            </w:pPr>
            <w:r>
              <w:rPr>
                <w:sz w:val="21"/>
                <w:szCs w:val="21"/>
              </w:rPr>
              <w:t>本</w:t>
            </w:r>
            <w:r>
              <w:rPr>
                <w:rFonts w:hint="eastAsia"/>
                <w:sz w:val="21"/>
                <w:szCs w:val="21"/>
              </w:rPr>
              <w:t>厂</w:t>
            </w:r>
            <w:r>
              <w:rPr>
                <w:sz w:val="21"/>
                <w:szCs w:val="21"/>
              </w:rPr>
              <w:t>总量</w:t>
            </w:r>
            <w:r>
              <w:rPr>
                <w:rFonts w:hint="eastAsia"/>
                <w:sz w:val="21"/>
                <w:szCs w:val="21"/>
              </w:rPr>
              <w:t>（</w:t>
            </w:r>
            <w:r>
              <w:rPr>
                <w:sz w:val="21"/>
                <w:szCs w:val="21"/>
              </w:rPr>
              <w:t>t/a</w:t>
            </w:r>
            <w:r>
              <w:rPr>
                <w:rFonts w:hint="eastAsia"/>
                <w:sz w:val="21"/>
                <w:szCs w:val="21"/>
              </w:rPr>
              <w:t>）</w:t>
            </w:r>
          </w:p>
        </w:tc>
        <w:tc>
          <w:tcPr>
            <w:tcW w:w="1368" w:type="dxa"/>
            <w:tcBorders>
              <w:tl2br w:val="nil"/>
              <w:tr2bl w:val="nil"/>
            </w:tcBorders>
            <w:vAlign w:val="center"/>
          </w:tcPr>
          <w:p w14:paraId="1345A053">
            <w:pPr>
              <w:adjustRightInd w:val="0"/>
              <w:snapToGrid w:val="0"/>
              <w:spacing w:line="240" w:lineRule="auto"/>
              <w:jc w:val="center"/>
              <w:rPr>
                <w:sz w:val="21"/>
                <w:szCs w:val="21"/>
              </w:rPr>
            </w:pPr>
            <w:r>
              <w:rPr>
                <w:rFonts w:hint="eastAsia"/>
                <w:sz w:val="21"/>
                <w:szCs w:val="21"/>
              </w:rPr>
              <w:t>已批复总量（</w:t>
            </w:r>
            <w:r>
              <w:rPr>
                <w:sz w:val="21"/>
                <w:szCs w:val="21"/>
              </w:rPr>
              <w:t>t/a</w:t>
            </w:r>
            <w:r>
              <w:rPr>
                <w:rFonts w:hint="eastAsia"/>
                <w:sz w:val="21"/>
                <w:szCs w:val="21"/>
              </w:rPr>
              <w:t>）</w:t>
            </w:r>
          </w:p>
        </w:tc>
        <w:tc>
          <w:tcPr>
            <w:tcW w:w="954" w:type="dxa"/>
            <w:tcBorders>
              <w:tl2br w:val="nil"/>
              <w:tr2bl w:val="nil"/>
            </w:tcBorders>
            <w:vAlign w:val="center"/>
          </w:tcPr>
          <w:p w14:paraId="414360CA">
            <w:pPr>
              <w:adjustRightInd w:val="0"/>
              <w:snapToGrid w:val="0"/>
              <w:spacing w:line="240" w:lineRule="auto"/>
              <w:jc w:val="center"/>
              <w:rPr>
                <w:sz w:val="21"/>
                <w:szCs w:val="21"/>
              </w:rPr>
            </w:pPr>
            <w:r>
              <w:rPr>
                <w:rFonts w:hint="eastAsia"/>
                <w:sz w:val="21"/>
                <w:szCs w:val="21"/>
              </w:rPr>
              <w:t>排污权证指标</w:t>
            </w:r>
          </w:p>
        </w:tc>
        <w:tc>
          <w:tcPr>
            <w:tcW w:w="1776" w:type="dxa"/>
            <w:tcBorders>
              <w:tl2br w:val="nil"/>
              <w:tr2bl w:val="nil"/>
            </w:tcBorders>
            <w:vAlign w:val="center"/>
          </w:tcPr>
          <w:p w14:paraId="5DEEEC15">
            <w:pPr>
              <w:adjustRightInd w:val="0"/>
              <w:snapToGrid w:val="0"/>
              <w:spacing w:line="240" w:lineRule="auto"/>
              <w:jc w:val="center"/>
              <w:rPr>
                <w:sz w:val="21"/>
                <w:szCs w:val="21"/>
              </w:rPr>
            </w:pPr>
            <w:r>
              <w:rPr>
                <w:rFonts w:hint="eastAsia"/>
                <w:sz w:val="21"/>
                <w:szCs w:val="21"/>
                <w:lang w:val="en-US" w:eastAsia="zh-CN"/>
              </w:rPr>
              <w:t>须</w:t>
            </w:r>
            <w:r>
              <w:rPr>
                <w:rFonts w:hint="eastAsia"/>
                <w:sz w:val="21"/>
                <w:szCs w:val="21"/>
              </w:rPr>
              <w:t>新申请总量（</w:t>
            </w:r>
            <w:r>
              <w:rPr>
                <w:sz w:val="21"/>
                <w:szCs w:val="21"/>
              </w:rPr>
              <w:t>t/a</w:t>
            </w:r>
            <w:r>
              <w:rPr>
                <w:rFonts w:hint="eastAsia"/>
                <w:sz w:val="21"/>
                <w:szCs w:val="21"/>
              </w:rPr>
              <w:t>）</w:t>
            </w:r>
          </w:p>
        </w:tc>
        <w:tc>
          <w:tcPr>
            <w:tcW w:w="2521" w:type="dxa"/>
            <w:tcBorders>
              <w:tl2br w:val="nil"/>
              <w:tr2bl w:val="nil"/>
            </w:tcBorders>
            <w:vAlign w:val="center"/>
          </w:tcPr>
          <w:p w14:paraId="097CFD5A">
            <w:pPr>
              <w:adjustRightInd w:val="0"/>
              <w:snapToGrid w:val="0"/>
              <w:spacing w:line="240" w:lineRule="auto"/>
              <w:jc w:val="center"/>
              <w:rPr>
                <w:sz w:val="21"/>
                <w:szCs w:val="21"/>
              </w:rPr>
            </w:pPr>
            <w:r>
              <w:rPr>
                <w:sz w:val="21"/>
                <w:szCs w:val="21"/>
              </w:rPr>
              <w:t>总量来源</w:t>
            </w:r>
          </w:p>
        </w:tc>
      </w:tr>
      <w:tr w14:paraId="079F82B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PrEx>
        <w:trPr>
          <w:trHeight w:val="340" w:hRule="atLeast"/>
          <w:jc w:val="center"/>
        </w:trPr>
        <w:tc>
          <w:tcPr>
            <w:tcW w:w="774" w:type="dxa"/>
            <w:tcBorders>
              <w:tl2br w:val="nil"/>
              <w:tr2bl w:val="nil"/>
            </w:tcBorders>
            <w:vAlign w:val="center"/>
          </w:tcPr>
          <w:p w14:paraId="035BD5D5">
            <w:pPr>
              <w:adjustRightInd w:val="0"/>
              <w:snapToGrid w:val="0"/>
              <w:spacing w:line="240" w:lineRule="auto"/>
              <w:jc w:val="center"/>
              <w:rPr>
                <w:sz w:val="21"/>
                <w:szCs w:val="21"/>
              </w:rPr>
            </w:pPr>
            <w:r>
              <w:rPr>
                <w:sz w:val="21"/>
                <w:szCs w:val="21"/>
              </w:rPr>
              <w:t>VOCs</w:t>
            </w:r>
          </w:p>
        </w:tc>
        <w:tc>
          <w:tcPr>
            <w:tcW w:w="1475" w:type="dxa"/>
            <w:tcBorders>
              <w:tl2br w:val="nil"/>
              <w:tr2bl w:val="nil"/>
            </w:tcBorders>
            <w:vAlign w:val="center"/>
          </w:tcPr>
          <w:p w14:paraId="7E929E1F">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136.822</w:t>
            </w:r>
          </w:p>
        </w:tc>
        <w:tc>
          <w:tcPr>
            <w:tcW w:w="1368" w:type="dxa"/>
            <w:tcBorders>
              <w:tl2br w:val="nil"/>
              <w:tr2bl w:val="nil"/>
            </w:tcBorders>
            <w:vAlign w:val="center"/>
          </w:tcPr>
          <w:p w14:paraId="44813323">
            <w:pPr>
              <w:adjustRightInd w:val="0"/>
              <w:snapToGrid w:val="0"/>
              <w:spacing w:line="240" w:lineRule="auto"/>
              <w:jc w:val="center"/>
              <w:rPr>
                <w:sz w:val="21"/>
                <w:szCs w:val="21"/>
              </w:rPr>
            </w:pPr>
            <w:r>
              <w:rPr>
                <w:rFonts w:hint="eastAsia"/>
                <w:sz w:val="21"/>
                <w:szCs w:val="21"/>
              </w:rPr>
              <w:t>38.3</w:t>
            </w:r>
          </w:p>
        </w:tc>
        <w:tc>
          <w:tcPr>
            <w:tcW w:w="954" w:type="dxa"/>
            <w:tcBorders>
              <w:tl2br w:val="nil"/>
              <w:tr2bl w:val="nil"/>
            </w:tcBorders>
            <w:vAlign w:val="center"/>
          </w:tcPr>
          <w:p w14:paraId="0FFBF1D4">
            <w:pPr>
              <w:adjustRightInd w:val="0"/>
              <w:snapToGrid w:val="0"/>
              <w:spacing w:line="240" w:lineRule="auto"/>
              <w:jc w:val="center"/>
              <w:rPr>
                <w:sz w:val="21"/>
                <w:szCs w:val="21"/>
              </w:rPr>
            </w:pPr>
            <w:r>
              <w:rPr>
                <w:rFonts w:hint="eastAsia"/>
                <w:sz w:val="21"/>
                <w:szCs w:val="21"/>
              </w:rPr>
              <w:t>/</w:t>
            </w:r>
          </w:p>
        </w:tc>
        <w:tc>
          <w:tcPr>
            <w:tcW w:w="1776" w:type="dxa"/>
            <w:tcBorders>
              <w:tl2br w:val="nil"/>
              <w:tr2bl w:val="nil"/>
            </w:tcBorders>
            <w:vAlign w:val="center"/>
          </w:tcPr>
          <w:p w14:paraId="5456F627">
            <w:pPr>
              <w:adjustRightInd w:val="0"/>
              <w:snapToGrid w:val="0"/>
              <w:spacing w:line="240" w:lineRule="auto"/>
              <w:jc w:val="center"/>
              <w:rPr>
                <w:rFonts w:hint="eastAsia"/>
                <w:sz w:val="21"/>
                <w:szCs w:val="21"/>
                <w:lang w:val="en-US" w:eastAsia="zh-CN"/>
              </w:rPr>
            </w:pPr>
            <w:r>
              <w:rPr>
                <w:rFonts w:hint="eastAsia"/>
                <w:sz w:val="21"/>
                <w:szCs w:val="21"/>
                <w:lang w:val="en-US" w:eastAsia="zh-CN"/>
              </w:rPr>
              <w:t>98.522</w:t>
            </w:r>
          </w:p>
          <w:p w14:paraId="55971732">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（倍量后197.044）</w:t>
            </w:r>
          </w:p>
        </w:tc>
        <w:tc>
          <w:tcPr>
            <w:tcW w:w="2521" w:type="dxa"/>
            <w:tcBorders>
              <w:tl2br w:val="nil"/>
              <w:tr2bl w:val="nil"/>
            </w:tcBorders>
            <w:vAlign w:val="center"/>
          </w:tcPr>
          <w:p w14:paraId="0C5540AA">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采用跨区域调剂的方式，使用湘潭经开区泰富重工结构减排量用于本项目倍量替代来源</w:t>
            </w:r>
          </w:p>
        </w:tc>
      </w:tr>
      <w:tr w14:paraId="3CBB709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57" w:type="dxa"/>
            <w:bottom w:w="0" w:type="dxa"/>
            <w:right w:w="57" w:type="dxa"/>
          </w:tblCellMar>
        </w:tblPrEx>
        <w:trPr>
          <w:trHeight w:val="340" w:hRule="atLeast"/>
          <w:jc w:val="center"/>
        </w:trPr>
        <w:tc>
          <w:tcPr>
            <w:tcW w:w="774" w:type="dxa"/>
            <w:tcBorders>
              <w:tl2br w:val="nil"/>
              <w:tr2bl w:val="nil"/>
            </w:tcBorders>
            <w:vAlign w:val="center"/>
          </w:tcPr>
          <w:p w14:paraId="57AD090F">
            <w:pPr>
              <w:adjustRightInd w:val="0"/>
              <w:snapToGrid w:val="0"/>
              <w:spacing w:line="240" w:lineRule="auto"/>
              <w:jc w:val="center"/>
              <w:rPr>
                <w:sz w:val="21"/>
                <w:szCs w:val="21"/>
              </w:rPr>
            </w:pPr>
            <w:r>
              <w:rPr>
                <w:sz w:val="21"/>
                <w:szCs w:val="21"/>
              </w:rPr>
              <w:t>NOx</w:t>
            </w:r>
          </w:p>
        </w:tc>
        <w:tc>
          <w:tcPr>
            <w:tcW w:w="1475" w:type="dxa"/>
            <w:tcBorders>
              <w:tl2br w:val="nil"/>
              <w:tr2bl w:val="nil"/>
            </w:tcBorders>
            <w:vAlign w:val="center"/>
          </w:tcPr>
          <w:p w14:paraId="6DF6FA39">
            <w:pPr>
              <w:adjustRightInd w:val="0"/>
              <w:snapToGrid w:val="0"/>
              <w:spacing w:line="240" w:lineRule="auto"/>
              <w:jc w:val="center"/>
              <w:rPr>
                <w:sz w:val="21"/>
                <w:szCs w:val="21"/>
              </w:rPr>
            </w:pPr>
            <w:r>
              <w:rPr>
                <w:rFonts w:hint="eastAsia"/>
                <w:sz w:val="21"/>
                <w:szCs w:val="21"/>
              </w:rPr>
              <w:t>1.03</w:t>
            </w:r>
          </w:p>
        </w:tc>
        <w:tc>
          <w:tcPr>
            <w:tcW w:w="1368" w:type="dxa"/>
            <w:tcBorders>
              <w:tl2br w:val="nil"/>
              <w:tr2bl w:val="nil"/>
            </w:tcBorders>
            <w:vAlign w:val="center"/>
          </w:tcPr>
          <w:p w14:paraId="29A880ED">
            <w:pPr>
              <w:adjustRightInd w:val="0"/>
              <w:snapToGrid w:val="0"/>
              <w:spacing w:line="240" w:lineRule="auto"/>
              <w:jc w:val="center"/>
              <w:rPr>
                <w:sz w:val="21"/>
                <w:szCs w:val="21"/>
              </w:rPr>
            </w:pPr>
            <w:r>
              <w:rPr>
                <w:rFonts w:hint="eastAsia"/>
                <w:sz w:val="21"/>
                <w:szCs w:val="21"/>
              </w:rPr>
              <w:t>1.1</w:t>
            </w:r>
          </w:p>
        </w:tc>
        <w:tc>
          <w:tcPr>
            <w:tcW w:w="954" w:type="dxa"/>
            <w:tcBorders>
              <w:tl2br w:val="nil"/>
              <w:tr2bl w:val="nil"/>
            </w:tcBorders>
            <w:vAlign w:val="center"/>
          </w:tcPr>
          <w:p w14:paraId="64967EC4">
            <w:pPr>
              <w:adjustRightInd w:val="0"/>
              <w:snapToGrid w:val="0"/>
              <w:spacing w:line="240" w:lineRule="auto"/>
              <w:jc w:val="center"/>
              <w:rPr>
                <w:sz w:val="21"/>
                <w:szCs w:val="21"/>
              </w:rPr>
            </w:pPr>
            <w:r>
              <w:rPr>
                <w:rFonts w:hint="eastAsia"/>
                <w:sz w:val="21"/>
                <w:szCs w:val="21"/>
              </w:rPr>
              <w:t>1.8</w:t>
            </w:r>
          </w:p>
        </w:tc>
        <w:tc>
          <w:tcPr>
            <w:tcW w:w="1776" w:type="dxa"/>
            <w:tcBorders>
              <w:tl2br w:val="nil"/>
              <w:tr2bl w:val="nil"/>
            </w:tcBorders>
            <w:vAlign w:val="center"/>
          </w:tcPr>
          <w:p w14:paraId="16DCBB57">
            <w:pPr>
              <w:adjustRightInd w:val="0"/>
              <w:snapToGrid w:val="0"/>
              <w:spacing w:line="240" w:lineRule="auto"/>
              <w:jc w:val="center"/>
              <w:rPr>
                <w:sz w:val="21"/>
                <w:szCs w:val="21"/>
              </w:rPr>
            </w:pPr>
            <w:r>
              <w:rPr>
                <w:rFonts w:hint="eastAsia"/>
                <w:sz w:val="21"/>
                <w:szCs w:val="21"/>
              </w:rPr>
              <w:t>0</w:t>
            </w:r>
          </w:p>
        </w:tc>
        <w:tc>
          <w:tcPr>
            <w:tcW w:w="2521" w:type="dxa"/>
            <w:tcBorders>
              <w:tl2br w:val="nil"/>
              <w:tr2bl w:val="nil"/>
            </w:tcBorders>
            <w:vAlign w:val="center"/>
          </w:tcPr>
          <w:p w14:paraId="6B564368">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无需新申总量指标</w:t>
            </w:r>
          </w:p>
        </w:tc>
      </w:tr>
      <w:tr w14:paraId="702FB92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57" w:type="dxa"/>
            <w:bottom w:w="0" w:type="dxa"/>
            <w:right w:w="57" w:type="dxa"/>
          </w:tblCellMar>
        </w:tblPrEx>
        <w:trPr>
          <w:trHeight w:val="335" w:hRule="atLeast"/>
          <w:jc w:val="center"/>
        </w:trPr>
        <w:tc>
          <w:tcPr>
            <w:tcW w:w="774" w:type="dxa"/>
            <w:tcBorders>
              <w:tl2br w:val="nil"/>
              <w:tr2bl w:val="nil"/>
            </w:tcBorders>
            <w:vAlign w:val="center"/>
          </w:tcPr>
          <w:p w14:paraId="3B77EEA3">
            <w:pPr>
              <w:adjustRightInd w:val="0"/>
              <w:snapToGrid w:val="0"/>
              <w:spacing w:line="240" w:lineRule="auto"/>
              <w:jc w:val="center"/>
              <w:rPr>
                <w:sz w:val="21"/>
                <w:szCs w:val="21"/>
              </w:rPr>
            </w:pPr>
            <w:r>
              <w:rPr>
                <w:sz w:val="21"/>
                <w:szCs w:val="21"/>
              </w:rPr>
              <w:t>SO</w:t>
            </w:r>
            <w:r>
              <w:rPr>
                <w:sz w:val="21"/>
                <w:szCs w:val="21"/>
                <w:vertAlign w:val="subscript"/>
              </w:rPr>
              <w:t>2</w:t>
            </w:r>
          </w:p>
        </w:tc>
        <w:tc>
          <w:tcPr>
            <w:tcW w:w="1475" w:type="dxa"/>
            <w:tcBorders>
              <w:tl2br w:val="nil"/>
              <w:tr2bl w:val="nil"/>
            </w:tcBorders>
            <w:vAlign w:val="center"/>
          </w:tcPr>
          <w:p w14:paraId="16F2E492">
            <w:pPr>
              <w:adjustRightInd w:val="0"/>
              <w:snapToGrid w:val="0"/>
              <w:spacing w:line="240" w:lineRule="auto"/>
              <w:jc w:val="center"/>
              <w:rPr>
                <w:rFonts w:hint="default" w:eastAsia="宋体"/>
                <w:sz w:val="21"/>
                <w:szCs w:val="21"/>
                <w:lang w:val="en-US" w:eastAsia="zh-CN"/>
              </w:rPr>
            </w:pPr>
            <w:r>
              <w:rPr>
                <w:rFonts w:hint="eastAsia"/>
                <w:sz w:val="21"/>
                <w:szCs w:val="21"/>
              </w:rPr>
              <w:t>0.</w:t>
            </w:r>
            <w:r>
              <w:rPr>
                <w:rFonts w:hint="eastAsia"/>
                <w:sz w:val="21"/>
                <w:szCs w:val="21"/>
                <w:lang w:val="en-US" w:eastAsia="zh-CN"/>
              </w:rPr>
              <w:t>044</w:t>
            </w:r>
          </w:p>
        </w:tc>
        <w:tc>
          <w:tcPr>
            <w:tcW w:w="1368" w:type="dxa"/>
            <w:tcBorders>
              <w:tl2br w:val="nil"/>
              <w:tr2bl w:val="nil"/>
            </w:tcBorders>
            <w:vAlign w:val="center"/>
          </w:tcPr>
          <w:p w14:paraId="28DCF6DF">
            <w:pPr>
              <w:adjustRightInd w:val="0"/>
              <w:snapToGrid w:val="0"/>
              <w:spacing w:line="240" w:lineRule="auto"/>
              <w:jc w:val="center"/>
              <w:rPr>
                <w:sz w:val="21"/>
                <w:szCs w:val="21"/>
              </w:rPr>
            </w:pPr>
            <w:r>
              <w:rPr>
                <w:rFonts w:hint="eastAsia"/>
                <w:sz w:val="21"/>
                <w:szCs w:val="21"/>
              </w:rPr>
              <w:t>0.2</w:t>
            </w:r>
          </w:p>
        </w:tc>
        <w:tc>
          <w:tcPr>
            <w:tcW w:w="954" w:type="dxa"/>
            <w:tcBorders>
              <w:tl2br w:val="nil"/>
              <w:tr2bl w:val="nil"/>
            </w:tcBorders>
            <w:vAlign w:val="center"/>
          </w:tcPr>
          <w:p w14:paraId="53ED3601">
            <w:pPr>
              <w:adjustRightInd w:val="0"/>
              <w:snapToGrid w:val="0"/>
              <w:spacing w:line="240" w:lineRule="auto"/>
              <w:jc w:val="center"/>
              <w:rPr>
                <w:sz w:val="21"/>
                <w:szCs w:val="21"/>
              </w:rPr>
            </w:pPr>
            <w:r>
              <w:rPr>
                <w:rFonts w:hint="eastAsia"/>
                <w:sz w:val="21"/>
                <w:szCs w:val="21"/>
              </w:rPr>
              <w:t>0.2</w:t>
            </w:r>
          </w:p>
        </w:tc>
        <w:tc>
          <w:tcPr>
            <w:tcW w:w="1776" w:type="dxa"/>
            <w:tcBorders>
              <w:tl2br w:val="nil"/>
              <w:tr2bl w:val="nil"/>
            </w:tcBorders>
            <w:vAlign w:val="center"/>
          </w:tcPr>
          <w:p w14:paraId="0D8D1614">
            <w:pPr>
              <w:adjustRightInd w:val="0"/>
              <w:snapToGrid w:val="0"/>
              <w:spacing w:line="240" w:lineRule="auto"/>
              <w:jc w:val="center"/>
              <w:rPr>
                <w:rFonts w:hint="eastAsia" w:eastAsia="宋体"/>
                <w:sz w:val="21"/>
                <w:szCs w:val="21"/>
                <w:lang w:eastAsia="zh-CN"/>
              </w:rPr>
            </w:pPr>
            <w:r>
              <w:rPr>
                <w:rFonts w:hint="eastAsia"/>
                <w:sz w:val="21"/>
                <w:szCs w:val="21"/>
                <w:lang w:val="en-US" w:eastAsia="zh-CN"/>
              </w:rPr>
              <w:t>0</w:t>
            </w:r>
          </w:p>
        </w:tc>
        <w:tc>
          <w:tcPr>
            <w:tcW w:w="2521" w:type="dxa"/>
            <w:tcBorders>
              <w:tl2br w:val="nil"/>
              <w:tr2bl w:val="nil"/>
            </w:tcBorders>
            <w:vAlign w:val="center"/>
          </w:tcPr>
          <w:p w14:paraId="7A0D2595">
            <w:pPr>
              <w:adjustRightInd w:val="0"/>
              <w:snapToGrid w:val="0"/>
              <w:spacing w:line="240" w:lineRule="auto"/>
              <w:jc w:val="center"/>
              <w:rPr>
                <w:rFonts w:hint="default" w:eastAsia="宋体"/>
                <w:sz w:val="21"/>
                <w:szCs w:val="21"/>
                <w:lang w:val="en-US" w:eastAsia="zh-CN"/>
              </w:rPr>
            </w:pPr>
            <w:r>
              <w:rPr>
                <w:rFonts w:hint="eastAsia"/>
                <w:sz w:val="21"/>
                <w:szCs w:val="21"/>
                <w:lang w:val="en-US" w:eastAsia="zh-CN"/>
              </w:rPr>
              <w:t>无需新申总量指标</w:t>
            </w:r>
          </w:p>
        </w:tc>
      </w:tr>
    </w:tbl>
    <w:p w14:paraId="6E0181EE">
      <w:pPr>
        <w:pStyle w:val="25"/>
        <w:ind w:left="480" w:firstLine="480"/>
        <w:sectPr>
          <w:pgSz w:w="11906" w:h="16838"/>
          <w:pgMar w:top="1440" w:right="1576" w:bottom="1440" w:left="1576" w:header="851" w:footer="992" w:gutter="0"/>
          <w:pgBorders>
            <w:top w:val="none" w:sz="0" w:space="0"/>
            <w:left w:val="none" w:sz="0" w:space="0"/>
            <w:bottom w:val="none" w:sz="0" w:space="0"/>
            <w:right w:val="none" w:sz="0" w:space="0"/>
          </w:pgBorders>
          <w:cols w:space="720" w:num="1"/>
          <w:docGrid w:type="lines" w:linePitch="312" w:charSpace="0"/>
        </w:sectPr>
      </w:pPr>
    </w:p>
    <w:p w14:paraId="5EBCA7CC">
      <w:pPr>
        <w:pStyle w:val="2"/>
        <w:numPr>
          <w:ilvl w:val="0"/>
          <w:numId w:val="0"/>
        </w:numPr>
        <w:ind w:left="425" w:leftChars="0" w:hanging="425" w:firstLineChars="0"/>
        <w:rPr>
          <w:color w:val="auto"/>
        </w:rPr>
      </w:pPr>
      <w:bookmarkStart w:id="168" w:name="_Toc8583"/>
      <w:r>
        <w:rPr>
          <w:rFonts w:hint="default" w:ascii="宋体" w:hAnsi="宋体" w:eastAsia="宋体" w:cs="宋体"/>
          <w:b/>
          <w:bCs/>
          <w:color w:val="auto"/>
          <w:kern w:val="44"/>
          <w:sz w:val="32"/>
          <w:szCs w:val="32"/>
          <w:lang w:val="en-US" w:eastAsia="zh-CN" w:bidi="ar-SA"/>
        </w:rPr>
        <w:t>第11章</w:t>
      </w:r>
      <w:r>
        <w:rPr>
          <w:rFonts w:hint="eastAsia"/>
          <w:color w:val="auto"/>
        </w:rPr>
        <w:t>环境管理与监测计划</w:t>
      </w:r>
      <w:bookmarkEnd w:id="168"/>
    </w:p>
    <w:p w14:paraId="353B7009">
      <w:pPr>
        <w:pStyle w:val="3"/>
        <w:numPr>
          <w:ilvl w:val="1"/>
          <w:numId w:val="0"/>
        </w:numPr>
        <w:ind w:left="567" w:leftChars="0" w:hanging="567" w:firstLineChars="0"/>
        <w:rPr>
          <w:sz w:val="28"/>
          <w:szCs w:val="28"/>
        </w:rPr>
      </w:pPr>
      <w:bookmarkStart w:id="169" w:name="_Toc15213"/>
      <w:r>
        <w:rPr>
          <w:rFonts w:hint="default" w:ascii="宋体" w:hAnsi="宋体" w:eastAsia="宋体" w:cs="宋体"/>
          <w:b/>
          <w:bCs/>
          <w:kern w:val="2"/>
          <w:sz w:val="28"/>
          <w:szCs w:val="28"/>
          <w:lang w:val="en-US" w:eastAsia="zh-CN" w:bidi="ar-SA"/>
        </w:rPr>
        <w:t>11.1</w:t>
      </w:r>
      <w:r>
        <w:rPr>
          <w:rFonts w:hint="eastAsia"/>
          <w:sz w:val="28"/>
          <w:szCs w:val="28"/>
        </w:rPr>
        <w:t>环境管理</w:t>
      </w:r>
      <w:bookmarkEnd w:id="169"/>
    </w:p>
    <w:p w14:paraId="73BD54BB">
      <w:pPr>
        <w:ind w:firstLine="480"/>
      </w:pPr>
      <w:r>
        <w:rPr>
          <w:rFonts w:hint="eastAsia"/>
        </w:rPr>
        <w:t>环境保护的关键是环境监督与管理，实践证明企业的环境管理是现代企业管理的重要组成部分，是贯彻可持续发展战略的要求，它与计划、生产、质量、技术、财务等管理是同等重要的，它对促进环境效益、经济效益的提高，都起到了明显的作用。</w:t>
      </w:r>
    </w:p>
    <w:p w14:paraId="17DD49EA">
      <w:pPr>
        <w:ind w:firstLine="480"/>
      </w:pPr>
      <w:r>
        <w:rPr>
          <w:rFonts w:hint="eastAsia"/>
        </w:rPr>
        <w:t>环境管理的基本任务是以保护环境为目标，以清洁生产为手段，发展生产与经济为目的。主要是保证工程项目建成后，污染物治理设施的正常运行和各项污染物的达标排放，逐步向“清洁工艺”和“清洁生产”方向迈进，以取得经济效益、社会效益和环保效益的统一。</w:t>
      </w:r>
    </w:p>
    <w:p w14:paraId="34E69FEA">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11.1.1</w:t>
      </w:r>
      <w:r>
        <w:rPr>
          <w:rFonts w:hint="eastAsia"/>
        </w:rPr>
        <w:t>环境管理机构设置</w:t>
      </w:r>
    </w:p>
    <w:p w14:paraId="56435543">
      <w:pPr>
        <w:ind w:firstLine="480"/>
      </w:pPr>
      <w:r>
        <w:rPr>
          <w:rFonts w:hint="eastAsia"/>
        </w:rPr>
        <w:t>根据项目实际情况，项目应设置专门的环境管理机构，研究、制定有关环保事宜，统筹厂区的环境管理工作，实行监督管理。人数1~2人，该机构应接受上级各级环保部门的指导和监督，确保各项环保措施、环保制度的贯彻落实。环境管理机构设置示意见下图。</w:t>
      </w:r>
    </w:p>
    <w:p w14:paraId="6C8390AA">
      <w:pPr>
        <w:pStyle w:val="38"/>
        <w:rPr>
          <w:color w:val="FF0000"/>
        </w:rPr>
      </w:pPr>
      <w:r>
        <w:rPr>
          <w:rFonts w:ascii="Times New Roman" w:hAnsi="Times New Roman" w:eastAsia="宋体" w:cs="黑体"/>
          <w:color w:val="FF0000"/>
          <w:szCs w:val="22"/>
        </w:rPr>
        <w:drawing>
          <wp:inline distT="0" distB="0" distL="114300" distR="114300">
            <wp:extent cx="5201920" cy="2943860"/>
            <wp:effectExtent l="0" t="0" r="0" b="0"/>
            <wp:docPr id="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7"/>
                    <pic:cNvPicPr>
                      <a:picLocks noChangeAspect="1"/>
                    </pic:cNvPicPr>
                  </pic:nvPicPr>
                  <pic:blipFill>
                    <a:blip r:embed="rId158">
                      <a:clrChange>
                        <a:clrFrom>
                          <a:srgbClr val="FFFFFF"/>
                        </a:clrFrom>
                        <a:clrTo>
                          <a:srgbClr val="FFFFFF">
                            <a:alpha val="0"/>
                          </a:srgbClr>
                        </a:clrTo>
                      </a:clrChange>
                      <a:lum/>
                    </a:blip>
                    <a:stretch>
                      <a:fillRect/>
                    </a:stretch>
                  </pic:blipFill>
                  <pic:spPr>
                    <a:xfrm>
                      <a:off x="0" y="0"/>
                      <a:ext cx="5201920" cy="2943860"/>
                    </a:xfrm>
                    <a:prstGeom prst="rect">
                      <a:avLst/>
                    </a:prstGeom>
                    <a:noFill/>
                    <a:ln>
                      <a:noFill/>
                    </a:ln>
                  </pic:spPr>
                </pic:pic>
              </a:graphicData>
            </a:graphic>
          </wp:inline>
        </w:drawing>
      </w:r>
    </w:p>
    <w:p w14:paraId="33A67C71">
      <w:pPr>
        <w:pStyle w:val="45"/>
        <w:numPr>
          <w:ilvl w:val="6"/>
          <w:numId w:val="0"/>
        </w:numPr>
        <w:spacing w:before="156"/>
        <w:ind w:left="6096" w:leftChars="0" w:hanging="3827" w:firstLineChars="0"/>
        <w:rPr>
          <w:color w:val="auto"/>
        </w:rPr>
      </w:pPr>
      <w:r>
        <w:rPr>
          <w:rFonts w:hint="default" w:ascii="宋体" w:hAnsi="宋体" w:eastAsia="宋体" w:cs="宋体"/>
          <w:b/>
          <w:bCs/>
          <w:color w:val="auto"/>
          <w:kern w:val="2"/>
          <w:sz w:val="21"/>
          <w:szCs w:val="21"/>
          <w:lang w:val="en-US" w:eastAsia="zh-CN" w:bidi="ar-SA"/>
        </w:rPr>
        <w:t xml:space="preserve">图11.1-1 </w:t>
      </w:r>
      <w:r>
        <w:rPr>
          <w:rFonts w:hint="eastAsia"/>
          <w:color w:val="auto"/>
        </w:rPr>
        <w:t>环境管理机构设置示意图</w:t>
      </w:r>
    </w:p>
    <w:p w14:paraId="3A766D5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11.1.2</w:t>
      </w:r>
      <w:r>
        <w:rPr>
          <w:rFonts w:hint="eastAsia"/>
        </w:rPr>
        <w:t>环境管理机构职责</w:t>
      </w:r>
    </w:p>
    <w:p w14:paraId="6C5530D2">
      <w:pPr>
        <w:pStyle w:val="40"/>
        <w:spacing w:line="360" w:lineRule="auto"/>
        <w:ind w:firstLine="480"/>
      </w:pPr>
      <w:r>
        <w:rPr>
          <w:rFonts w:hint="eastAsia"/>
        </w:rPr>
        <w:t>环境管理机构负责本项目各项环保措施实施的监督管理，其主要职责有：</w:t>
      </w:r>
    </w:p>
    <w:p w14:paraId="06B66FEB">
      <w:pPr>
        <w:pStyle w:val="40"/>
        <w:spacing w:line="360" w:lineRule="auto"/>
        <w:ind w:firstLine="480"/>
      </w:pPr>
      <w:r>
        <w:rPr>
          <w:rFonts w:hint="eastAsia" w:hAnsi="宋体" w:cs="宋体"/>
        </w:rPr>
        <w:t>⑴</w:t>
      </w:r>
      <w:r>
        <w:rPr>
          <w:rFonts w:hint="eastAsia"/>
        </w:rPr>
        <w:t>配合当地环保部门对项目进行环境管理工作，宣传并贯彻、执行国家和地方的有关环保法规；</w:t>
      </w:r>
    </w:p>
    <w:p w14:paraId="5AE16339">
      <w:pPr>
        <w:pStyle w:val="40"/>
        <w:spacing w:line="360" w:lineRule="auto"/>
        <w:ind w:firstLine="480"/>
      </w:pPr>
      <w:r>
        <w:rPr>
          <w:rFonts w:hint="eastAsia" w:hAnsi="宋体" w:cs="宋体"/>
        </w:rPr>
        <w:t>⑵</w:t>
      </w:r>
      <w:r>
        <w:rPr>
          <w:rFonts w:hint="eastAsia"/>
        </w:rPr>
        <w:t>组织制定环保工作计划，责成有关企业落实；</w:t>
      </w:r>
    </w:p>
    <w:p w14:paraId="7ABCC86A">
      <w:pPr>
        <w:pStyle w:val="40"/>
        <w:spacing w:line="360" w:lineRule="auto"/>
        <w:ind w:firstLine="480"/>
      </w:pPr>
      <w:r>
        <w:rPr>
          <w:rFonts w:hint="eastAsia" w:hAnsi="宋体" w:cs="宋体"/>
        </w:rPr>
        <w:t>⑶</w:t>
      </w:r>
      <w:r>
        <w:rPr>
          <w:rFonts w:hint="eastAsia"/>
        </w:rPr>
        <w:t>监督企业环保措施的落实，确保建设项目主体工程与环保措施“三同时”，即同时设计、同时施工和同时运行；</w:t>
      </w:r>
    </w:p>
    <w:p w14:paraId="3691479C">
      <w:pPr>
        <w:pStyle w:val="40"/>
        <w:spacing w:line="360" w:lineRule="auto"/>
        <w:ind w:firstLine="480"/>
      </w:pPr>
      <w:r>
        <w:rPr>
          <w:rFonts w:hint="eastAsia" w:hAnsi="宋体" w:cs="宋体"/>
        </w:rPr>
        <w:t>⑷</w:t>
      </w:r>
      <w:r>
        <w:rPr>
          <w:rFonts w:hint="eastAsia"/>
        </w:rPr>
        <w:t>监督企业总量控制指标的实施；</w:t>
      </w:r>
    </w:p>
    <w:p w14:paraId="43773AAD">
      <w:pPr>
        <w:pStyle w:val="40"/>
        <w:spacing w:line="360" w:lineRule="auto"/>
        <w:ind w:firstLine="480"/>
      </w:pPr>
      <w:r>
        <w:rPr>
          <w:rFonts w:hint="eastAsia" w:hAnsi="宋体" w:cs="宋体"/>
        </w:rPr>
        <w:t>⑸</w:t>
      </w:r>
      <w:r>
        <w:rPr>
          <w:rFonts w:hint="eastAsia"/>
        </w:rPr>
        <w:t>负责审查企业水、气、声等污染源的监测计划，并监督监测计划的实施，监督污染治理设施正常运行，保证污染物达标排放。监督检查企业非正常排放的防范与应急处理计划，以杜绝事故排放；</w:t>
      </w:r>
    </w:p>
    <w:p w14:paraId="2714684F">
      <w:pPr>
        <w:pStyle w:val="40"/>
        <w:spacing w:line="360" w:lineRule="auto"/>
        <w:ind w:firstLine="480"/>
      </w:pPr>
      <w:r>
        <w:rPr>
          <w:rFonts w:hint="eastAsia" w:hAnsi="宋体" w:cs="宋体"/>
        </w:rPr>
        <w:t>⑹</w:t>
      </w:r>
      <w:r>
        <w:rPr>
          <w:rFonts w:hint="eastAsia"/>
        </w:rPr>
        <w:t>负责环境卫生和固体废物的处置管理工作；负责环境及污染物排放数据的统计，上报与存档。</w:t>
      </w:r>
    </w:p>
    <w:p w14:paraId="2C946E2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11.1.3</w:t>
      </w:r>
      <w:r>
        <w:rPr>
          <w:rFonts w:hint="eastAsia"/>
        </w:rPr>
        <w:t>环境管理体系</w:t>
      </w:r>
    </w:p>
    <w:p w14:paraId="5A8C8E6F">
      <w:pPr>
        <w:pStyle w:val="40"/>
        <w:spacing w:line="360" w:lineRule="auto"/>
        <w:ind w:firstLine="480"/>
        <w:rPr>
          <w:rFonts w:ascii="Times New Roman"/>
        </w:rPr>
      </w:pPr>
      <w:r>
        <w:rPr>
          <w:rFonts w:ascii="Times New Roman"/>
        </w:rPr>
        <w:t>我国已经正式将ISO14001等国际标准转化为中国的国家标准GB/T24001-1996 idt ISO14001等系列标准，并已于1997年4月l开始实施。建议建设单位应积极参照此标准执行本厂的环境管理体系文件、运行，通过有计划地评审和持续改进的循环，保持公司内部环境管理体系的不断完善与提高。</w:t>
      </w:r>
    </w:p>
    <w:p w14:paraId="04656986">
      <w:pPr>
        <w:pStyle w:val="40"/>
        <w:spacing w:line="360" w:lineRule="auto"/>
        <w:ind w:firstLine="480"/>
        <w:rPr>
          <w:rFonts w:ascii="Times New Roman"/>
        </w:rPr>
      </w:pPr>
      <w:r>
        <w:rPr>
          <w:rFonts w:ascii="Times New Roman"/>
        </w:rPr>
        <w:t>其环境管理体系的要点是：</w:t>
      </w:r>
    </w:p>
    <w:p w14:paraId="70EB8796">
      <w:pPr>
        <w:pStyle w:val="40"/>
        <w:spacing w:line="360" w:lineRule="auto"/>
        <w:ind w:firstLine="480"/>
        <w:rPr>
          <w:rFonts w:ascii="Times New Roman"/>
        </w:rPr>
      </w:pPr>
      <w:r>
        <w:rPr>
          <w:rFonts w:hint="eastAsia" w:hAnsi="宋体" w:cs="宋体"/>
        </w:rPr>
        <w:t>⑴</w:t>
      </w:r>
      <w:r>
        <w:rPr>
          <w:rFonts w:ascii="Times New Roman"/>
        </w:rPr>
        <w:t>应根据本公司的环境要素制定公司的环境方针，包括其持续改进和污染预防的承诺、遵守国家环境法律、法规及其他要求的承诺；</w:t>
      </w:r>
    </w:p>
    <w:p w14:paraId="29C01FFD">
      <w:pPr>
        <w:pStyle w:val="40"/>
        <w:spacing w:line="360" w:lineRule="auto"/>
        <w:ind w:firstLine="480"/>
        <w:rPr>
          <w:rFonts w:ascii="Times New Roman"/>
        </w:rPr>
      </w:pPr>
      <w:r>
        <w:rPr>
          <w:rFonts w:hint="eastAsia" w:hAnsi="宋体" w:cs="宋体"/>
        </w:rPr>
        <w:t>⑵</w:t>
      </w:r>
      <w:r>
        <w:rPr>
          <w:rFonts w:ascii="Times New Roman"/>
        </w:rPr>
        <w:t>制定本厂的环境目标、指标以及各种运行程序和文件；</w:t>
      </w:r>
    </w:p>
    <w:p w14:paraId="25186188">
      <w:pPr>
        <w:pStyle w:val="40"/>
        <w:spacing w:line="360" w:lineRule="auto"/>
        <w:ind w:firstLine="480"/>
        <w:rPr>
          <w:rFonts w:ascii="Times New Roman"/>
        </w:rPr>
      </w:pPr>
      <w:r>
        <w:rPr>
          <w:rFonts w:hint="eastAsia" w:hAnsi="宋体" w:cs="宋体"/>
        </w:rPr>
        <w:t>⑶</w:t>
      </w:r>
      <w:r>
        <w:rPr>
          <w:rFonts w:ascii="Times New Roman"/>
        </w:rPr>
        <w:t>通过培训、实施运行各种程序；</w:t>
      </w:r>
    </w:p>
    <w:p w14:paraId="70B50BF1">
      <w:pPr>
        <w:pStyle w:val="40"/>
        <w:spacing w:line="360" w:lineRule="auto"/>
        <w:ind w:firstLine="480"/>
        <w:rPr>
          <w:rFonts w:ascii="Times New Roman"/>
        </w:rPr>
      </w:pPr>
      <w:r>
        <w:rPr>
          <w:rFonts w:hint="eastAsia" w:hAnsi="宋体" w:cs="宋体"/>
        </w:rPr>
        <w:t>⑷</w:t>
      </w:r>
      <w:r>
        <w:rPr>
          <w:rFonts w:ascii="Times New Roman"/>
        </w:rPr>
        <w:t>不断地监测、检查和纠正；</w:t>
      </w:r>
    </w:p>
    <w:p w14:paraId="08D1136D">
      <w:pPr>
        <w:pStyle w:val="40"/>
        <w:spacing w:line="360" w:lineRule="auto"/>
        <w:ind w:firstLine="480"/>
        <w:rPr>
          <w:rFonts w:ascii="Times New Roman"/>
        </w:rPr>
      </w:pPr>
      <w:r>
        <w:rPr>
          <w:rFonts w:hint="eastAsia" w:hAnsi="宋体" w:cs="宋体"/>
        </w:rPr>
        <w:t>⑸</w:t>
      </w:r>
      <w:r>
        <w:rPr>
          <w:rFonts w:ascii="Times New Roman"/>
        </w:rPr>
        <w:t>经过内部管理评审和外部审核，不断地持续改进以达到良性循环。</w:t>
      </w:r>
    </w:p>
    <w:p w14:paraId="63C8A88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11.1.4</w:t>
      </w:r>
      <w:r>
        <w:rPr>
          <w:rFonts w:hint="eastAsia"/>
        </w:rPr>
        <w:t>环境管理计划</w:t>
      </w:r>
    </w:p>
    <w:p w14:paraId="20EA62C4">
      <w:pPr>
        <w:pStyle w:val="40"/>
        <w:spacing w:line="360" w:lineRule="auto"/>
        <w:ind w:firstLine="480"/>
        <w:rPr>
          <w:rFonts w:hAnsi="宋体" w:cs="宋体"/>
        </w:rPr>
      </w:pPr>
      <w:r>
        <w:rPr>
          <w:rFonts w:hint="eastAsia" w:hAnsi="宋体" w:cs="宋体"/>
        </w:rPr>
        <w:t>环境管理计划应贯穿于项目运营全过程，如运营阶段环保设施管理、信息反馈和群众监督等方面，形成网络一体化管理，对环境管理工作计划，其工作重点应放在指定环境管理规章制度，减少污染物排放，降低对环境影响等方面，根据本项目建设特点，其环境管理计划见下表。</w:t>
      </w:r>
    </w:p>
    <w:p w14:paraId="759F3FD3">
      <w:pPr>
        <w:pStyle w:val="41"/>
        <w:ind w:firstLine="400"/>
      </w:pPr>
    </w:p>
    <w:p w14:paraId="77BD6928">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表11.1-1 </w:t>
      </w:r>
      <w:r>
        <w:rPr>
          <w:rFonts w:hint="eastAsia"/>
        </w:rPr>
        <w:t>环境管理计划表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7336"/>
      </w:tblGrid>
      <w:tr w14:paraId="2FEFA3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tcBorders>
              <w:tl2br w:val="nil"/>
              <w:tr2bl w:val="nil"/>
            </w:tcBorders>
            <w:vAlign w:val="center"/>
          </w:tcPr>
          <w:p w14:paraId="3FAB36E5">
            <w:pPr>
              <w:spacing w:line="240" w:lineRule="auto"/>
              <w:jc w:val="center"/>
              <w:rPr>
                <w:sz w:val="21"/>
                <w:szCs w:val="21"/>
              </w:rPr>
            </w:pPr>
            <w:r>
              <w:rPr>
                <w:sz w:val="21"/>
                <w:szCs w:val="21"/>
              </w:rPr>
              <w:t>阶段</w:t>
            </w:r>
          </w:p>
        </w:tc>
        <w:tc>
          <w:tcPr>
            <w:tcW w:w="7858" w:type="dxa"/>
            <w:tcBorders>
              <w:tl2br w:val="nil"/>
              <w:tr2bl w:val="nil"/>
            </w:tcBorders>
            <w:vAlign w:val="center"/>
          </w:tcPr>
          <w:p w14:paraId="66E8FEFA">
            <w:pPr>
              <w:spacing w:line="240" w:lineRule="auto"/>
              <w:jc w:val="center"/>
              <w:rPr>
                <w:sz w:val="21"/>
                <w:szCs w:val="21"/>
              </w:rPr>
            </w:pPr>
            <w:r>
              <w:rPr>
                <w:sz w:val="21"/>
                <w:szCs w:val="21"/>
              </w:rPr>
              <w:t>环境管理工作内容</w:t>
            </w:r>
          </w:p>
        </w:tc>
      </w:tr>
      <w:tr w14:paraId="2E54F6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tcBorders>
              <w:tl2br w:val="nil"/>
              <w:tr2bl w:val="nil"/>
            </w:tcBorders>
            <w:vAlign w:val="center"/>
          </w:tcPr>
          <w:p w14:paraId="441C66C4">
            <w:pPr>
              <w:spacing w:line="240" w:lineRule="auto"/>
              <w:jc w:val="center"/>
              <w:rPr>
                <w:sz w:val="21"/>
                <w:szCs w:val="21"/>
              </w:rPr>
            </w:pPr>
            <w:r>
              <w:rPr>
                <w:sz w:val="21"/>
                <w:szCs w:val="21"/>
              </w:rPr>
              <w:t>环境管理要求</w:t>
            </w:r>
          </w:p>
        </w:tc>
        <w:tc>
          <w:tcPr>
            <w:tcW w:w="7858" w:type="dxa"/>
            <w:tcBorders>
              <w:tl2br w:val="nil"/>
              <w:tr2bl w:val="nil"/>
            </w:tcBorders>
            <w:vAlign w:val="center"/>
          </w:tcPr>
          <w:p w14:paraId="43B35322">
            <w:pPr>
              <w:spacing w:line="240" w:lineRule="auto"/>
              <w:jc w:val="left"/>
              <w:rPr>
                <w:sz w:val="21"/>
                <w:szCs w:val="21"/>
              </w:rPr>
            </w:pPr>
            <w:r>
              <w:rPr>
                <w:sz w:val="21"/>
                <w:szCs w:val="21"/>
              </w:rPr>
              <w:t>①委托评价单位进行环境影响评价工作，并根据报告提出要求，自查是否履行了“三同时”手续。</w:t>
            </w:r>
          </w:p>
          <w:p w14:paraId="11EB2559">
            <w:pPr>
              <w:spacing w:line="240" w:lineRule="auto"/>
              <w:jc w:val="left"/>
              <w:rPr>
                <w:sz w:val="21"/>
                <w:szCs w:val="21"/>
              </w:rPr>
            </w:pPr>
            <w:r>
              <w:rPr>
                <w:sz w:val="21"/>
                <w:szCs w:val="21"/>
              </w:rPr>
              <w:t>②根据国家建设项目的环境保护管理规定，认真落实各项环保手续、完善环保设施，并请当地环保部门监督、检查环保设施运行情况和治理效果。</w:t>
            </w:r>
          </w:p>
          <w:p w14:paraId="483305C5">
            <w:pPr>
              <w:spacing w:line="240" w:lineRule="auto"/>
              <w:jc w:val="left"/>
              <w:rPr>
                <w:sz w:val="21"/>
                <w:szCs w:val="21"/>
              </w:rPr>
            </w:pPr>
            <w:r>
              <w:rPr>
                <w:sz w:val="21"/>
                <w:szCs w:val="21"/>
              </w:rPr>
              <w:t>③配合地方环境监测站搞好监测工作。</w:t>
            </w:r>
          </w:p>
          <w:p w14:paraId="41E2104A">
            <w:pPr>
              <w:spacing w:line="240" w:lineRule="auto"/>
              <w:jc w:val="left"/>
              <w:rPr>
                <w:sz w:val="21"/>
                <w:szCs w:val="21"/>
              </w:rPr>
            </w:pPr>
            <w:r>
              <w:rPr>
                <w:sz w:val="21"/>
                <w:szCs w:val="21"/>
              </w:rPr>
              <w:t>④做好排污统计工作。</w:t>
            </w:r>
          </w:p>
        </w:tc>
      </w:tr>
      <w:tr w14:paraId="7D8648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tcBorders>
              <w:tl2br w:val="nil"/>
              <w:tr2bl w:val="nil"/>
            </w:tcBorders>
            <w:vAlign w:val="center"/>
          </w:tcPr>
          <w:p w14:paraId="61253BE7">
            <w:pPr>
              <w:spacing w:line="240" w:lineRule="auto"/>
              <w:jc w:val="center"/>
              <w:rPr>
                <w:sz w:val="21"/>
                <w:szCs w:val="21"/>
              </w:rPr>
            </w:pPr>
            <w:r>
              <w:rPr>
                <w:sz w:val="21"/>
                <w:szCs w:val="21"/>
              </w:rPr>
              <w:t>生产运营阶段</w:t>
            </w:r>
          </w:p>
        </w:tc>
        <w:tc>
          <w:tcPr>
            <w:tcW w:w="7858" w:type="dxa"/>
            <w:tcBorders>
              <w:tl2br w:val="nil"/>
              <w:tr2bl w:val="nil"/>
            </w:tcBorders>
            <w:vAlign w:val="center"/>
          </w:tcPr>
          <w:p w14:paraId="74974F44">
            <w:pPr>
              <w:spacing w:line="240" w:lineRule="auto"/>
              <w:jc w:val="left"/>
              <w:rPr>
                <w:sz w:val="21"/>
                <w:szCs w:val="21"/>
              </w:rPr>
            </w:pPr>
            <w:r>
              <w:rPr>
                <w:sz w:val="21"/>
                <w:szCs w:val="21"/>
              </w:rPr>
              <w:t>保证环保设施正常运行，主动接受环保部门监督，备有事故应急措施。</w:t>
            </w:r>
          </w:p>
          <w:p w14:paraId="221E9928">
            <w:pPr>
              <w:spacing w:line="240" w:lineRule="auto"/>
              <w:jc w:val="left"/>
              <w:rPr>
                <w:sz w:val="21"/>
                <w:szCs w:val="21"/>
              </w:rPr>
            </w:pPr>
            <w:r>
              <w:rPr>
                <w:sz w:val="21"/>
                <w:szCs w:val="21"/>
              </w:rPr>
              <w:t>①应向当地环境保护部门提交《排污申报登记表》，经环保部门调查核实达标排放和符合总量指标，发给排污许可证；对超标排放或未符合总量指标，应限期治理，治理期间发给临时排污许可证。</w:t>
            </w:r>
          </w:p>
          <w:p w14:paraId="575C61EC">
            <w:pPr>
              <w:spacing w:line="240" w:lineRule="auto"/>
              <w:jc w:val="left"/>
              <w:rPr>
                <w:sz w:val="21"/>
                <w:szCs w:val="21"/>
              </w:rPr>
            </w:pPr>
            <w:r>
              <w:rPr>
                <w:sz w:val="21"/>
                <w:szCs w:val="21"/>
              </w:rPr>
              <w:t>②根据环保部门对环保设施验收报告的批复意见进行补充完善。</w:t>
            </w:r>
          </w:p>
          <w:p w14:paraId="53A7950A">
            <w:pPr>
              <w:spacing w:line="240" w:lineRule="auto"/>
              <w:jc w:val="left"/>
              <w:rPr>
                <w:sz w:val="21"/>
                <w:szCs w:val="21"/>
              </w:rPr>
            </w:pPr>
            <w:r>
              <w:rPr>
                <w:sz w:val="21"/>
                <w:szCs w:val="21"/>
              </w:rPr>
              <w:t>③贯彻执行环保工作机构和工作制度以及监视性监测制度，并不断总结经验提高管理水平。</w:t>
            </w:r>
          </w:p>
          <w:p w14:paraId="787E99C9">
            <w:pPr>
              <w:spacing w:line="240" w:lineRule="auto"/>
              <w:jc w:val="left"/>
              <w:rPr>
                <w:sz w:val="21"/>
                <w:szCs w:val="21"/>
              </w:rPr>
            </w:pPr>
            <w:r>
              <w:rPr>
                <w:sz w:val="21"/>
                <w:szCs w:val="21"/>
              </w:rPr>
              <w:t>④加强对环保设施的运行管理，制定定期维修制度，如环保设施出现故障，应立即停产检修，严禁非正常排放。</w:t>
            </w:r>
          </w:p>
          <w:p w14:paraId="51F8B4BA">
            <w:pPr>
              <w:spacing w:line="240" w:lineRule="auto"/>
              <w:jc w:val="left"/>
              <w:rPr>
                <w:sz w:val="21"/>
                <w:szCs w:val="21"/>
              </w:rPr>
            </w:pPr>
            <w:r>
              <w:rPr>
                <w:sz w:val="21"/>
                <w:szCs w:val="21"/>
              </w:rPr>
              <w:t>⑤加强环境监测工作，重点是各污染的监测，并注意做好记录，不得弄虚作假。监测中如发现异常情况应及时向有关部门通报，及时采取应及措施，防止事故排放。</w:t>
            </w:r>
          </w:p>
          <w:p w14:paraId="483FA463">
            <w:pPr>
              <w:spacing w:line="240" w:lineRule="auto"/>
              <w:jc w:val="left"/>
              <w:rPr>
                <w:sz w:val="21"/>
                <w:szCs w:val="21"/>
              </w:rPr>
            </w:pPr>
            <w:r>
              <w:rPr>
                <w:sz w:val="21"/>
                <w:szCs w:val="21"/>
              </w:rPr>
              <w:t>⑥定期向环保部门汇报工作情况及污染治理设施运行情况和监视性监测结果。</w:t>
            </w:r>
          </w:p>
          <w:p w14:paraId="04135EEE">
            <w:pPr>
              <w:spacing w:line="240" w:lineRule="auto"/>
              <w:jc w:val="left"/>
              <w:rPr>
                <w:sz w:val="21"/>
                <w:szCs w:val="21"/>
              </w:rPr>
            </w:pPr>
            <w:r>
              <w:rPr>
                <w:sz w:val="21"/>
                <w:szCs w:val="21"/>
              </w:rPr>
              <w:t>⑦建立本公司的环境保护档案。档案包括：ａ污染物排放情况；ｂ污染物治理设施的运行、操作和管理情况；ｃ监测仪器、设备的型号和规格以及校验情况；ｄ采用监测分析方法和监测记录；ｅ限期治理执行情况；ｆ事故情况及有关记录；ｇ与污染有关的生产工艺、原材料使用方面的资料；ｈ其它与污染防治有关的情况和资料等。</w:t>
            </w:r>
          </w:p>
          <w:p w14:paraId="7F7C0C7B">
            <w:pPr>
              <w:spacing w:line="240" w:lineRule="auto"/>
              <w:jc w:val="left"/>
              <w:rPr>
                <w:sz w:val="21"/>
                <w:szCs w:val="21"/>
              </w:rPr>
            </w:pPr>
            <w:r>
              <w:rPr>
                <w:sz w:val="21"/>
                <w:szCs w:val="21"/>
              </w:rPr>
              <w:t>⑧建立污染事故报告制度。当污染事故发生时，必须在事故发生四十八小时内，向环保部门作出事故发生的时间、地点、类型和排放污染物的数量、经济损失等情况的初步报告，事故查清后，向环保部门书面报告事故原因，采取的措施，处理结果，并附有关证明，若发生污染事故，则有责任排除危害，同时对直接受到损害的单位或个人赔偿损失。</w:t>
            </w:r>
          </w:p>
        </w:tc>
      </w:tr>
      <w:tr w14:paraId="4D871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6" w:type="dxa"/>
            <w:tcBorders>
              <w:tl2br w:val="nil"/>
              <w:tr2bl w:val="nil"/>
            </w:tcBorders>
            <w:vAlign w:val="center"/>
          </w:tcPr>
          <w:p w14:paraId="5011F9E0">
            <w:pPr>
              <w:spacing w:line="240" w:lineRule="auto"/>
              <w:jc w:val="center"/>
              <w:rPr>
                <w:sz w:val="21"/>
                <w:szCs w:val="21"/>
              </w:rPr>
            </w:pPr>
            <w:r>
              <w:rPr>
                <w:sz w:val="21"/>
                <w:szCs w:val="21"/>
              </w:rPr>
              <w:t>信息反馈和群众监督</w:t>
            </w:r>
          </w:p>
        </w:tc>
        <w:tc>
          <w:tcPr>
            <w:tcW w:w="7858" w:type="dxa"/>
            <w:tcBorders>
              <w:tl2br w:val="nil"/>
              <w:tr2bl w:val="nil"/>
            </w:tcBorders>
            <w:vAlign w:val="center"/>
          </w:tcPr>
          <w:p w14:paraId="532AF3A5">
            <w:pPr>
              <w:spacing w:line="240" w:lineRule="auto"/>
              <w:jc w:val="left"/>
              <w:rPr>
                <w:sz w:val="21"/>
                <w:szCs w:val="21"/>
              </w:rPr>
            </w:pPr>
            <w:r>
              <w:rPr>
                <w:sz w:val="21"/>
                <w:szCs w:val="21"/>
              </w:rPr>
              <w:t>反馈常规监测数据，加强群众监督，改进污染治理工作。</w:t>
            </w:r>
          </w:p>
          <w:p w14:paraId="0E4F6666">
            <w:pPr>
              <w:spacing w:line="240" w:lineRule="auto"/>
              <w:jc w:val="left"/>
              <w:rPr>
                <w:sz w:val="21"/>
                <w:szCs w:val="21"/>
              </w:rPr>
            </w:pPr>
            <w:r>
              <w:rPr>
                <w:sz w:val="21"/>
                <w:szCs w:val="21"/>
              </w:rPr>
              <w:t>⑴建立奖惩制度，保证环保设施正常运作，并配合环保部门的检查验收。</w:t>
            </w:r>
          </w:p>
          <w:p w14:paraId="118FD12E">
            <w:pPr>
              <w:spacing w:line="240" w:lineRule="auto"/>
              <w:jc w:val="left"/>
              <w:rPr>
                <w:sz w:val="21"/>
                <w:szCs w:val="21"/>
              </w:rPr>
            </w:pPr>
            <w:r>
              <w:rPr>
                <w:sz w:val="21"/>
                <w:szCs w:val="21"/>
              </w:rPr>
              <w:t>⑵归纳整理监测数据，及时反馈给有关环保部门。</w:t>
            </w:r>
          </w:p>
          <w:p w14:paraId="0F5B066F">
            <w:pPr>
              <w:spacing w:line="240" w:lineRule="auto"/>
              <w:jc w:val="left"/>
              <w:rPr>
                <w:sz w:val="21"/>
                <w:szCs w:val="21"/>
              </w:rPr>
            </w:pPr>
            <w:r>
              <w:rPr>
                <w:sz w:val="21"/>
                <w:szCs w:val="21"/>
              </w:rPr>
              <w:t>⑶聘请附近村民为监督员，收集附近村民的意见。</w:t>
            </w:r>
          </w:p>
        </w:tc>
      </w:tr>
    </w:tbl>
    <w:p w14:paraId="09476583">
      <w:pPr>
        <w:pStyle w:val="3"/>
        <w:numPr>
          <w:ilvl w:val="1"/>
          <w:numId w:val="0"/>
        </w:numPr>
        <w:ind w:left="567" w:leftChars="0" w:hanging="567" w:firstLineChars="0"/>
      </w:pPr>
      <w:bookmarkStart w:id="170" w:name="_Toc26643"/>
      <w:r>
        <w:rPr>
          <w:rFonts w:hint="default" w:ascii="宋体" w:hAnsi="宋体" w:eastAsia="宋体" w:cs="宋体"/>
          <w:b/>
          <w:bCs/>
          <w:kern w:val="2"/>
          <w:sz w:val="28"/>
          <w:szCs w:val="28"/>
          <w:lang w:val="en-US" w:eastAsia="zh-CN" w:bidi="ar-SA"/>
        </w:rPr>
        <w:t>11.2</w:t>
      </w:r>
      <w:r>
        <w:rPr>
          <w:rFonts w:hint="eastAsia"/>
        </w:rPr>
        <w:t>环境监测</w:t>
      </w:r>
      <w:bookmarkEnd w:id="170"/>
    </w:p>
    <w:p w14:paraId="3B80A0A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11.2.1</w:t>
      </w:r>
      <w:r>
        <w:rPr>
          <w:rFonts w:hint="eastAsia"/>
        </w:rPr>
        <w:t>环境监测的目的</w:t>
      </w:r>
    </w:p>
    <w:p w14:paraId="5F0BB0E8">
      <w:pPr>
        <w:ind w:firstLine="480"/>
      </w:pPr>
      <w:r>
        <w:rPr>
          <w:rFonts w:hint="eastAsia"/>
        </w:rPr>
        <w:t>环境监测是实施有效的环境管理的前提。为确保环境质量和总量控制目标的实现，应制订环境监测计划。从保护环境出发，根据本建设项目的特点，尤其是所存在的不利环境问题，以及相应的环保措施，制定一套完善的环境监测制度和监测计划，其目的是要监测本建设项目在运行期间的各种环境因素，应用监测得到的反馈信息，及时发现运营过程中对环境产生的不利影响，及时修正原设计中环保措施的不足，使出现的环境问题能得到及时解决，防止环境质量下降，保障环境和经济的可持续发展目标。</w:t>
      </w:r>
    </w:p>
    <w:p w14:paraId="417B9C4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11.2.2</w:t>
      </w:r>
      <w:r>
        <w:rPr>
          <w:rFonts w:hint="eastAsia"/>
        </w:rPr>
        <w:t>环境监测机构</w:t>
      </w:r>
    </w:p>
    <w:p w14:paraId="55959D58">
      <w:pPr>
        <w:ind w:firstLine="480"/>
      </w:pPr>
      <w:r>
        <w:rPr>
          <w:rFonts w:hint="eastAsia"/>
        </w:rPr>
        <w:t>项目环境监测主要为运营期阶段，监测分两部分，一部分是环保主管部门对企业的监督性监测，另一部分是企业的常规监测。</w:t>
      </w:r>
    </w:p>
    <w:p w14:paraId="1CF57148">
      <w:pPr>
        <w:ind w:firstLine="480"/>
      </w:pPr>
      <w:r>
        <w:rPr>
          <w:rFonts w:hint="eastAsia"/>
        </w:rPr>
        <w:t>为保证环境监测工作的正常运行，企业应配备专门技术人员1人，负责全厂的监测工作。以满足日常污水处理系统和废气处理系统运作。如本厂技术力量不足，可委托有资质的监测单位协助进行定期监测。</w:t>
      </w:r>
    </w:p>
    <w:p w14:paraId="5A69004D">
      <w:pPr>
        <w:ind w:firstLine="480"/>
      </w:pPr>
      <w:r>
        <w:rPr>
          <w:rFonts w:hint="eastAsia"/>
        </w:rPr>
        <w:t>为使监测数据具有完整的质量特征：即准确性、精密性、完整性、代表性和可比性，监测人员必须进行专业技术培训。环境监测工作应按环境监测技术规范相关规定进行各项监测指标的监测，监测方法的选择必须是国家正式颁布确认的方法。</w:t>
      </w:r>
    </w:p>
    <w:p w14:paraId="20CCF0F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11.2.3</w:t>
      </w:r>
      <w:r>
        <w:rPr>
          <w:rFonts w:hint="eastAsia"/>
        </w:rPr>
        <w:t>环境监测计划</w:t>
      </w:r>
    </w:p>
    <w:p w14:paraId="70F87B65">
      <w:pPr>
        <w:ind w:firstLine="480"/>
      </w:pPr>
      <w:r>
        <w:rPr>
          <w:rFonts w:hint="eastAsia" w:ascii="宋体" w:hAnsi="宋体" w:cs="宋体"/>
        </w:rPr>
        <w:t>1.</w:t>
      </w:r>
      <w:r>
        <w:rPr>
          <w:rFonts w:hint="eastAsia"/>
        </w:rPr>
        <w:t>污染源监测计划</w:t>
      </w:r>
    </w:p>
    <w:p w14:paraId="10D06929">
      <w:pPr>
        <w:ind w:firstLine="480"/>
      </w:pPr>
      <w:r>
        <w:rPr>
          <w:rFonts w:hint="eastAsia"/>
        </w:rPr>
        <w:t>为确保环境质量目标的实施，除由环保行政主管部门负责组织实施工程验收监测、定期监督性监测等，企业内部需要制定常规监测计划。监测计划可委托当地环境监测站进行，监测结果应在监测工作完成后一个月内报环保行政主管部门。根据《排污许可证申请与核发技术规范 印刷工业》（HJ1066-2019）、《排污单位自行监测技术指南印刷工业》（HJ1246-2022）、《排污许可证申请与核发技术规范总则》（HJ942-2018）、《排污单位自行监测技术指南总则》（HJ 819-2017）、《排污单位自行监测技术指南火力发电及锅炉》（HJ820-2017）等规范的要求，本评价对项目提出如下监测计划详见表11.2-1。</w:t>
      </w:r>
    </w:p>
    <w:p w14:paraId="53203944">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表11.2-1 </w:t>
      </w:r>
      <w:r>
        <w:rPr>
          <w:rFonts w:hint="eastAsia"/>
        </w:rPr>
        <w:t>厂区运行期环境监测计划一览表</w:t>
      </w:r>
    </w:p>
    <w:tbl>
      <w:tblPr>
        <w:tblStyle w:val="31"/>
        <w:tblW w:w="5036"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929"/>
        <w:gridCol w:w="1272"/>
        <w:gridCol w:w="1056"/>
        <w:gridCol w:w="5139"/>
      </w:tblGrid>
      <w:tr w14:paraId="26FDB4B0">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nil"/>
              <w:tr2bl w:val="nil"/>
            </w:tcBorders>
            <w:tcMar>
              <w:left w:w="0" w:type="dxa"/>
              <w:right w:w="0" w:type="dxa"/>
            </w:tcMar>
            <w:vAlign w:val="center"/>
          </w:tcPr>
          <w:p w14:paraId="71271CE5">
            <w:pPr>
              <w:pStyle w:val="72"/>
              <w:rPr>
                <w:szCs w:val="21"/>
              </w:rPr>
            </w:pPr>
            <w:r>
              <w:rPr>
                <w:szCs w:val="21"/>
              </w:rPr>
              <w:t>监测点位</w:t>
            </w:r>
          </w:p>
        </w:tc>
        <w:tc>
          <w:tcPr>
            <w:tcW w:w="1267" w:type="dxa"/>
            <w:tcBorders>
              <w:tl2br w:val="nil"/>
              <w:tr2bl w:val="nil"/>
            </w:tcBorders>
            <w:tcMar>
              <w:left w:w="0" w:type="dxa"/>
              <w:right w:w="0" w:type="dxa"/>
            </w:tcMar>
            <w:vAlign w:val="center"/>
          </w:tcPr>
          <w:p w14:paraId="70907E22">
            <w:pPr>
              <w:pStyle w:val="72"/>
              <w:rPr>
                <w:szCs w:val="21"/>
              </w:rPr>
            </w:pPr>
            <w:r>
              <w:rPr>
                <w:szCs w:val="21"/>
              </w:rPr>
              <w:t>监测指标</w:t>
            </w:r>
          </w:p>
        </w:tc>
        <w:tc>
          <w:tcPr>
            <w:tcW w:w="1052" w:type="dxa"/>
            <w:tcBorders>
              <w:tl2br w:val="nil"/>
              <w:tr2bl w:val="nil"/>
            </w:tcBorders>
            <w:tcMar>
              <w:left w:w="0" w:type="dxa"/>
              <w:right w:w="0" w:type="dxa"/>
            </w:tcMar>
            <w:vAlign w:val="center"/>
          </w:tcPr>
          <w:p w14:paraId="0FBDCF3A">
            <w:pPr>
              <w:pStyle w:val="72"/>
              <w:rPr>
                <w:szCs w:val="21"/>
              </w:rPr>
            </w:pPr>
            <w:r>
              <w:rPr>
                <w:szCs w:val="21"/>
              </w:rPr>
              <w:t>监测频次</w:t>
            </w:r>
          </w:p>
        </w:tc>
        <w:tc>
          <w:tcPr>
            <w:tcW w:w="5121" w:type="dxa"/>
            <w:tcBorders>
              <w:tl2br w:val="nil"/>
              <w:tr2bl w:val="nil"/>
            </w:tcBorders>
            <w:tcMar>
              <w:left w:w="0" w:type="dxa"/>
              <w:right w:w="0" w:type="dxa"/>
            </w:tcMar>
            <w:vAlign w:val="center"/>
          </w:tcPr>
          <w:p w14:paraId="47888F5C">
            <w:pPr>
              <w:pStyle w:val="72"/>
              <w:rPr>
                <w:szCs w:val="21"/>
              </w:rPr>
            </w:pPr>
            <w:r>
              <w:rPr>
                <w:szCs w:val="21"/>
              </w:rPr>
              <w:t>执行排放标准</w:t>
            </w:r>
          </w:p>
        </w:tc>
      </w:tr>
      <w:tr w14:paraId="4D3AF34A">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restart"/>
            <w:tcBorders>
              <w:tl2br w:val="nil"/>
              <w:tr2bl w:val="nil"/>
            </w:tcBorders>
            <w:tcMar>
              <w:left w:w="0" w:type="dxa"/>
              <w:right w:w="0" w:type="dxa"/>
            </w:tcMar>
            <w:vAlign w:val="center"/>
          </w:tcPr>
          <w:p w14:paraId="65D6105D">
            <w:pPr>
              <w:pStyle w:val="72"/>
              <w:rPr>
                <w:szCs w:val="21"/>
              </w:rPr>
            </w:pPr>
            <w:r>
              <w:rPr>
                <w:rFonts w:hint="eastAsia"/>
                <w:szCs w:val="21"/>
              </w:rPr>
              <w:t>DA001</w:t>
            </w:r>
          </w:p>
          <w:p w14:paraId="39292CA6">
            <w:pPr>
              <w:pStyle w:val="72"/>
              <w:rPr>
                <w:szCs w:val="21"/>
              </w:rPr>
            </w:pPr>
            <w:r>
              <w:rPr>
                <w:rFonts w:hint="eastAsia"/>
                <w:szCs w:val="21"/>
              </w:rPr>
              <w:t>排气筒</w:t>
            </w:r>
          </w:p>
        </w:tc>
        <w:tc>
          <w:tcPr>
            <w:tcW w:w="1267" w:type="dxa"/>
            <w:tcBorders>
              <w:tl2br w:val="nil"/>
              <w:tr2bl w:val="nil"/>
            </w:tcBorders>
            <w:tcMar>
              <w:left w:w="0" w:type="dxa"/>
              <w:right w:w="0" w:type="dxa"/>
            </w:tcMar>
            <w:vAlign w:val="center"/>
          </w:tcPr>
          <w:p w14:paraId="20F02312">
            <w:pPr>
              <w:pStyle w:val="72"/>
              <w:rPr>
                <w:szCs w:val="21"/>
              </w:rPr>
            </w:pPr>
            <w:r>
              <w:rPr>
                <w:rFonts w:hint="eastAsia"/>
                <w:szCs w:val="21"/>
              </w:rPr>
              <w:t>挥发性有机物</w:t>
            </w:r>
          </w:p>
        </w:tc>
        <w:tc>
          <w:tcPr>
            <w:tcW w:w="1052" w:type="dxa"/>
            <w:tcBorders>
              <w:tl2br w:val="nil"/>
              <w:tr2bl w:val="nil"/>
            </w:tcBorders>
            <w:tcMar>
              <w:left w:w="0" w:type="dxa"/>
              <w:right w:w="0" w:type="dxa"/>
            </w:tcMar>
            <w:vAlign w:val="center"/>
          </w:tcPr>
          <w:p w14:paraId="50FED58A">
            <w:pPr>
              <w:pStyle w:val="72"/>
              <w:rPr>
                <w:szCs w:val="21"/>
              </w:rPr>
            </w:pPr>
            <w:r>
              <w:rPr>
                <w:rFonts w:hint="eastAsia"/>
                <w:szCs w:val="21"/>
              </w:rPr>
              <w:t>重点管理自动监测</w:t>
            </w:r>
          </w:p>
        </w:tc>
        <w:tc>
          <w:tcPr>
            <w:tcW w:w="5121" w:type="dxa"/>
            <w:vMerge w:val="restart"/>
            <w:tcBorders>
              <w:tl2br w:val="nil"/>
              <w:tr2bl w:val="nil"/>
            </w:tcBorders>
            <w:tcMar>
              <w:left w:w="0" w:type="dxa"/>
              <w:right w:w="0" w:type="dxa"/>
            </w:tcMar>
            <w:vAlign w:val="center"/>
          </w:tcPr>
          <w:p w14:paraId="48C1AD65">
            <w:pPr>
              <w:pStyle w:val="72"/>
              <w:rPr>
                <w:color w:val="FF0000"/>
                <w:szCs w:val="21"/>
              </w:rPr>
            </w:pPr>
            <w:r>
              <w:rPr>
                <w:rFonts w:hint="eastAsia"/>
                <w:u w:val="single"/>
              </w:rPr>
              <w:t>湖南省地标《工业企业挥发性有机物排放标准》（</w:t>
            </w:r>
            <w:r>
              <w:rPr>
                <w:rFonts w:hint="eastAsia"/>
                <w:u w:val="single"/>
                <w:lang w:val="en-US" w:eastAsia="zh-CN"/>
              </w:rPr>
              <w:t>DB43/3550-2026）</w:t>
            </w:r>
            <w:r>
              <w:rPr>
                <w:rFonts w:hint="eastAsia"/>
                <w:u w:val="single"/>
              </w:rPr>
              <w:t>表1中印刷业限值</w:t>
            </w:r>
          </w:p>
        </w:tc>
      </w:tr>
      <w:tr w14:paraId="0162873F">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tcBorders>
              <w:tl2br w:val="nil"/>
              <w:tr2bl w:val="nil"/>
            </w:tcBorders>
            <w:tcMar>
              <w:left w:w="0" w:type="dxa"/>
              <w:right w:w="0" w:type="dxa"/>
            </w:tcMar>
            <w:vAlign w:val="center"/>
          </w:tcPr>
          <w:p w14:paraId="36DEF0FC">
            <w:pPr>
              <w:pStyle w:val="72"/>
              <w:rPr>
                <w:szCs w:val="21"/>
              </w:rPr>
            </w:pPr>
          </w:p>
        </w:tc>
        <w:tc>
          <w:tcPr>
            <w:tcW w:w="1267" w:type="dxa"/>
            <w:tcBorders>
              <w:tl2br w:val="nil"/>
              <w:tr2bl w:val="nil"/>
            </w:tcBorders>
            <w:tcMar>
              <w:left w:w="0" w:type="dxa"/>
              <w:right w:w="0" w:type="dxa"/>
            </w:tcMar>
            <w:vAlign w:val="center"/>
          </w:tcPr>
          <w:p w14:paraId="2F81F86B">
            <w:pPr>
              <w:pStyle w:val="72"/>
              <w:rPr>
                <w:szCs w:val="21"/>
              </w:rPr>
            </w:pPr>
            <w:r>
              <w:rPr>
                <w:rFonts w:hint="eastAsia"/>
                <w:szCs w:val="21"/>
              </w:rPr>
              <w:t>甲苯</w:t>
            </w:r>
            <w:r>
              <w:rPr>
                <w:rFonts w:hint="eastAsia"/>
                <w:szCs w:val="21"/>
                <w:vertAlign w:val="superscript"/>
              </w:rPr>
              <w:t>C</w:t>
            </w:r>
            <w:r>
              <w:rPr>
                <w:rFonts w:hint="eastAsia"/>
                <w:szCs w:val="21"/>
              </w:rPr>
              <w:t>、二甲苯</w:t>
            </w:r>
            <w:r>
              <w:rPr>
                <w:rFonts w:hint="eastAsia"/>
                <w:szCs w:val="21"/>
                <w:vertAlign w:val="superscript"/>
              </w:rPr>
              <w:t>C</w:t>
            </w:r>
            <w:r>
              <w:rPr>
                <w:rFonts w:hint="eastAsia"/>
                <w:szCs w:val="21"/>
              </w:rPr>
              <w:t>、苯</w:t>
            </w:r>
            <w:r>
              <w:rPr>
                <w:rFonts w:hint="eastAsia"/>
                <w:szCs w:val="21"/>
                <w:vertAlign w:val="superscript"/>
              </w:rPr>
              <w:t>C</w:t>
            </w:r>
          </w:p>
        </w:tc>
        <w:tc>
          <w:tcPr>
            <w:tcW w:w="1052" w:type="dxa"/>
            <w:tcBorders>
              <w:tl2br w:val="nil"/>
              <w:tr2bl w:val="nil"/>
            </w:tcBorders>
            <w:tcMar>
              <w:left w:w="0" w:type="dxa"/>
              <w:right w:w="0" w:type="dxa"/>
            </w:tcMar>
            <w:vAlign w:val="center"/>
          </w:tcPr>
          <w:p w14:paraId="32B73E28">
            <w:pPr>
              <w:pStyle w:val="72"/>
              <w:rPr>
                <w:szCs w:val="21"/>
              </w:rPr>
            </w:pPr>
            <w:r>
              <w:rPr>
                <w:rFonts w:hint="eastAsia"/>
                <w:szCs w:val="21"/>
              </w:rPr>
              <w:t>1次/半年</w:t>
            </w:r>
          </w:p>
        </w:tc>
        <w:tc>
          <w:tcPr>
            <w:tcW w:w="5121" w:type="dxa"/>
            <w:vMerge w:val="continue"/>
            <w:tcBorders>
              <w:tl2br w:val="nil"/>
              <w:tr2bl w:val="nil"/>
            </w:tcBorders>
            <w:tcMar>
              <w:left w:w="0" w:type="dxa"/>
              <w:right w:w="0" w:type="dxa"/>
            </w:tcMar>
            <w:vAlign w:val="center"/>
          </w:tcPr>
          <w:p w14:paraId="20DF9C15">
            <w:pPr>
              <w:pStyle w:val="72"/>
              <w:rPr>
                <w:color w:val="FF0000"/>
                <w:szCs w:val="21"/>
              </w:rPr>
            </w:pPr>
          </w:p>
        </w:tc>
      </w:tr>
      <w:tr w14:paraId="7A5D5B3D">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tcBorders>
              <w:tl2br w:val="nil"/>
              <w:tr2bl w:val="nil"/>
            </w:tcBorders>
            <w:tcMar>
              <w:left w:w="0" w:type="dxa"/>
              <w:right w:w="0" w:type="dxa"/>
            </w:tcMar>
            <w:vAlign w:val="center"/>
          </w:tcPr>
          <w:p w14:paraId="0278853D">
            <w:pPr>
              <w:pStyle w:val="72"/>
              <w:rPr>
                <w:szCs w:val="21"/>
              </w:rPr>
            </w:pPr>
          </w:p>
        </w:tc>
        <w:tc>
          <w:tcPr>
            <w:tcW w:w="1267" w:type="dxa"/>
            <w:tcBorders>
              <w:tl2br w:val="nil"/>
              <w:tr2bl w:val="nil"/>
            </w:tcBorders>
            <w:tcMar>
              <w:left w:w="0" w:type="dxa"/>
              <w:right w:w="0" w:type="dxa"/>
            </w:tcMar>
            <w:vAlign w:val="center"/>
          </w:tcPr>
          <w:p w14:paraId="60F835E2">
            <w:pPr>
              <w:pStyle w:val="72"/>
              <w:rPr>
                <w:szCs w:val="21"/>
              </w:rPr>
            </w:pPr>
            <w:r>
              <w:rPr>
                <w:rFonts w:hint="eastAsia"/>
                <w:szCs w:val="21"/>
              </w:rPr>
              <w:t>臭气浓度</w:t>
            </w:r>
          </w:p>
        </w:tc>
        <w:tc>
          <w:tcPr>
            <w:tcW w:w="1052" w:type="dxa"/>
            <w:tcBorders>
              <w:tl2br w:val="nil"/>
              <w:tr2bl w:val="nil"/>
            </w:tcBorders>
            <w:tcMar>
              <w:left w:w="0" w:type="dxa"/>
              <w:right w:w="0" w:type="dxa"/>
            </w:tcMar>
            <w:vAlign w:val="center"/>
          </w:tcPr>
          <w:p w14:paraId="53AFE1DC">
            <w:pPr>
              <w:pStyle w:val="72"/>
              <w:rPr>
                <w:szCs w:val="21"/>
              </w:rPr>
            </w:pPr>
            <w:r>
              <w:rPr>
                <w:rFonts w:hint="eastAsia"/>
                <w:szCs w:val="21"/>
              </w:rPr>
              <w:t>1次/半年</w:t>
            </w:r>
          </w:p>
        </w:tc>
        <w:tc>
          <w:tcPr>
            <w:tcW w:w="5121" w:type="dxa"/>
            <w:tcBorders>
              <w:tl2br w:val="nil"/>
              <w:tr2bl w:val="nil"/>
            </w:tcBorders>
            <w:tcMar>
              <w:left w:w="0" w:type="dxa"/>
              <w:right w:w="0" w:type="dxa"/>
            </w:tcMar>
            <w:vAlign w:val="center"/>
          </w:tcPr>
          <w:p w14:paraId="08658216">
            <w:pPr>
              <w:pStyle w:val="72"/>
              <w:rPr>
                <w:color w:val="FF0000"/>
                <w:szCs w:val="21"/>
              </w:rPr>
            </w:pPr>
            <w:r>
              <w:rPr>
                <w:rFonts w:hint="eastAsia"/>
                <w:szCs w:val="21"/>
              </w:rPr>
              <w:t>《恶臭污染物排放标准》（GB14554-93）表2标准</w:t>
            </w:r>
          </w:p>
        </w:tc>
      </w:tr>
      <w:tr w14:paraId="4709226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restart"/>
            <w:tcBorders>
              <w:tl2br w:val="nil"/>
              <w:tr2bl w:val="nil"/>
            </w:tcBorders>
            <w:tcMar>
              <w:left w:w="0" w:type="dxa"/>
              <w:right w:w="0" w:type="dxa"/>
            </w:tcMar>
            <w:vAlign w:val="center"/>
          </w:tcPr>
          <w:p w14:paraId="02F493E1">
            <w:pPr>
              <w:pStyle w:val="72"/>
              <w:rPr>
                <w:szCs w:val="21"/>
              </w:rPr>
            </w:pPr>
            <w:r>
              <w:rPr>
                <w:rFonts w:hint="eastAsia"/>
                <w:szCs w:val="21"/>
              </w:rPr>
              <w:t>DA002</w:t>
            </w:r>
          </w:p>
          <w:p w14:paraId="5DA2843C">
            <w:pPr>
              <w:pStyle w:val="72"/>
              <w:rPr>
                <w:szCs w:val="21"/>
              </w:rPr>
            </w:pPr>
            <w:r>
              <w:rPr>
                <w:rFonts w:hint="eastAsia"/>
                <w:szCs w:val="21"/>
              </w:rPr>
              <w:t>排气筒</w:t>
            </w:r>
          </w:p>
        </w:tc>
        <w:tc>
          <w:tcPr>
            <w:tcW w:w="1267" w:type="dxa"/>
            <w:tcBorders>
              <w:tl2br w:val="nil"/>
              <w:tr2bl w:val="nil"/>
            </w:tcBorders>
            <w:tcMar>
              <w:left w:w="0" w:type="dxa"/>
              <w:right w:w="0" w:type="dxa"/>
            </w:tcMar>
            <w:vAlign w:val="center"/>
          </w:tcPr>
          <w:p w14:paraId="2F51B2AA">
            <w:pPr>
              <w:pStyle w:val="72"/>
              <w:rPr>
                <w:szCs w:val="21"/>
              </w:rPr>
            </w:pPr>
            <w:r>
              <w:rPr>
                <w:rFonts w:hint="eastAsia"/>
                <w:szCs w:val="21"/>
              </w:rPr>
              <w:t>颗粒物</w:t>
            </w:r>
          </w:p>
        </w:tc>
        <w:tc>
          <w:tcPr>
            <w:tcW w:w="1052" w:type="dxa"/>
            <w:vMerge w:val="restart"/>
            <w:tcBorders>
              <w:tl2br w:val="nil"/>
              <w:tr2bl w:val="nil"/>
            </w:tcBorders>
            <w:tcMar>
              <w:left w:w="0" w:type="dxa"/>
              <w:right w:w="0" w:type="dxa"/>
            </w:tcMar>
            <w:vAlign w:val="center"/>
          </w:tcPr>
          <w:p w14:paraId="2C0B034A">
            <w:pPr>
              <w:pStyle w:val="72"/>
              <w:rPr>
                <w:szCs w:val="21"/>
              </w:rPr>
            </w:pPr>
            <w:r>
              <w:rPr>
                <w:rFonts w:hint="eastAsia"/>
                <w:szCs w:val="21"/>
              </w:rPr>
              <w:t>1次/年</w:t>
            </w:r>
          </w:p>
        </w:tc>
        <w:tc>
          <w:tcPr>
            <w:tcW w:w="5121" w:type="dxa"/>
            <w:vMerge w:val="restart"/>
            <w:tcBorders>
              <w:tl2br w:val="nil"/>
              <w:tr2bl w:val="nil"/>
            </w:tcBorders>
            <w:tcMar>
              <w:left w:w="0" w:type="dxa"/>
              <w:right w:w="0" w:type="dxa"/>
            </w:tcMar>
            <w:vAlign w:val="center"/>
          </w:tcPr>
          <w:p w14:paraId="34DCFE4D">
            <w:pPr>
              <w:pStyle w:val="72"/>
              <w:rPr>
                <w:szCs w:val="21"/>
              </w:rPr>
            </w:pPr>
            <w:r>
              <w:rPr>
                <w:rFonts w:hint="eastAsia"/>
                <w:szCs w:val="21"/>
              </w:rPr>
              <w:t>《锅炉大气污染物排放标准》（GB13271-2014）表3中特别排放限值</w:t>
            </w:r>
          </w:p>
        </w:tc>
      </w:tr>
      <w:tr w14:paraId="1697FB47">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tcBorders>
              <w:tl2br w:val="nil"/>
              <w:tr2bl w:val="nil"/>
            </w:tcBorders>
            <w:tcMar>
              <w:left w:w="0" w:type="dxa"/>
              <w:right w:w="0" w:type="dxa"/>
            </w:tcMar>
            <w:vAlign w:val="center"/>
          </w:tcPr>
          <w:p w14:paraId="6C8D2D3F">
            <w:pPr>
              <w:pStyle w:val="72"/>
              <w:rPr>
                <w:color w:val="FF0000"/>
                <w:szCs w:val="21"/>
              </w:rPr>
            </w:pPr>
          </w:p>
        </w:tc>
        <w:tc>
          <w:tcPr>
            <w:tcW w:w="1267" w:type="dxa"/>
            <w:tcBorders>
              <w:tl2br w:val="nil"/>
              <w:tr2bl w:val="nil"/>
            </w:tcBorders>
            <w:tcMar>
              <w:left w:w="0" w:type="dxa"/>
              <w:right w:w="0" w:type="dxa"/>
            </w:tcMar>
            <w:vAlign w:val="center"/>
          </w:tcPr>
          <w:p w14:paraId="5E375503">
            <w:pPr>
              <w:pStyle w:val="72"/>
              <w:rPr>
                <w:szCs w:val="21"/>
              </w:rPr>
            </w:pPr>
            <w:r>
              <w:rPr>
                <w:rFonts w:hint="eastAsia"/>
                <w:szCs w:val="21"/>
              </w:rPr>
              <w:t>SO</w:t>
            </w:r>
            <w:r>
              <w:rPr>
                <w:rFonts w:hint="eastAsia"/>
                <w:szCs w:val="21"/>
                <w:vertAlign w:val="subscript"/>
              </w:rPr>
              <w:t>2</w:t>
            </w:r>
          </w:p>
        </w:tc>
        <w:tc>
          <w:tcPr>
            <w:tcW w:w="1052" w:type="dxa"/>
            <w:vMerge w:val="continue"/>
            <w:tcBorders>
              <w:tl2br w:val="nil"/>
              <w:tr2bl w:val="nil"/>
            </w:tcBorders>
            <w:tcMar>
              <w:left w:w="0" w:type="dxa"/>
              <w:right w:w="0" w:type="dxa"/>
            </w:tcMar>
            <w:vAlign w:val="center"/>
          </w:tcPr>
          <w:p w14:paraId="61F07180">
            <w:pPr>
              <w:pStyle w:val="72"/>
              <w:rPr>
                <w:szCs w:val="21"/>
              </w:rPr>
            </w:pPr>
          </w:p>
        </w:tc>
        <w:tc>
          <w:tcPr>
            <w:tcW w:w="5121" w:type="dxa"/>
            <w:vMerge w:val="continue"/>
            <w:tcBorders>
              <w:tl2br w:val="nil"/>
              <w:tr2bl w:val="nil"/>
            </w:tcBorders>
            <w:tcMar>
              <w:left w:w="0" w:type="dxa"/>
              <w:right w:w="0" w:type="dxa"/>
            </w:tcMar>
            <w:vAlign w:val="center"/>
          </w:tcPr>
          <w:p w14:paraId="4DC2E7CD">
            <w:pPr>
              <w:pStyle w:val="72"/>
              <w:rPr>
                <w:color w:val="FF0000"/>
                <w:szCs w:val="21"/>
              </w:rPr>
            </w:pPr>
          </w:p>
        </w:tc>
      </w:tr>
      <w:tr w14:paraId="7B8A2EC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tcBorders>
              <w:tl2br w:val="nil"/>
              <w:tr2bl w:val="nil"/>
            </w:tcBorders>
            <w:tcMar>
              <w:left w:w="0" w:type="dxa"/>
              <w:right w:w="0" w:type="dxa"/>
            </w:tcMar>
            <w:vAlign w:val="center"/>
          </w:tcPr>
          <w:p w14:paraId="79BC38D8">
            <w:pPr>
              <w:pStyle w:val="72"/>
              <w:rPr>
                <w:color w:val="FF0000"/>
                <w:szCs w:val="21"/>
              </w:rPr>
            </w:pPr>
          </w:p>
        </w:tc>
        <w:tc>
          <w:tcPr>
            <w:tcW w:w="1267" w:type="dxa"/>
            <w:tcBorders>
              <w:tl2br w:val="nil"/>
              <w:tr2bl w:val="nil"/>
            </w:tcBorders>
            <w:tcMar>
              <w:left w:w="0" w:type="dxa"/>
              <w:right w:w="0" w:type="dxa"/>
            </w:tcMar>
            <w:vAlign w:val="center"/>
          </w:tcPr>
          <w:p w14:paraId="5F1AF9BF">
            <w:pPr>
              <w:pStyle w:val="72"/>
              <w:rPr>
                <w:szCs w:val="21"/>
              </w:rPr>
            </w:pPr>
            <w:r>
              <w:rPr>
                <w:rFonts w:hint="eastAsia"/>
                <w:szCs w:val="21"/>
              </w:rPr>
              <w:t>NO</w:t>
            </w:r>
            <w:r>
              <w:rPr>
                <w:rFonts w:hint="eastAsia"/>
                <w:szCs w:val="21"/>
                <w:vertAlign w:val="subscript"/>
              </w:rPr>
              <w:t>X</w:t>
            </w:r>
          </w:p>
        </w:tc>
        <w:tc>
          <w:tcPr>
            <w:tcW w:w="1052" w:type="dxa"/>
            <w:tcBorders>
              <w:tl2br w:val="nil"/>
              <w:tr2bl w:val="nil"/>
            </w:tcBorders>
            <w:tcMar>
              <w:left w:w="0" w:type="dxa"/>
              <w:right w:w="0" w:type="dxa"/>
            </w:tcMar>
            <w:vAlign w:val="center"/>
          </w:tcPr>
          <w:p w14:paraId="354CF38E">
            <w:pPr>
              <w:pStyle w:val="72"/>
              <w:rPr>
                <w:szCs w:val="21"/>
              </w:rPr>
            </w:pPr>
            <w:r>
              <w:rPr>
                <w:rFonts w:hint="eastAsia"/>
                <w:szCs w:val="21"/>
              </w:rPr>
              <w:t>1次/月</w:t>
            </w:r>
          </w:p>
        </w:tc>
        <w:tc>
          <w:tcPr>
            <w:tcW w:w="5121" w:type="dxa"/>
            <w:vMerge w:val="continue"/>
            <w:tcBorders>
              <w:tl2br w:val="nil"/>
              <w:tr2bl w:val="nil"/>
            </w:tcBorders>
            <w:tcMar>
              <w:left w:w="0" w:type="dxa"/>
              <w:right w:w="0" w:type="dxa"/>
            </w:tcMar>
            <w:vAlign w:val="center"/>
          </w:tcPr>
          <w:p w14:paraId="73A1A930">
            <w:pPr>
              <w:pStyle w:val="72"/>
              <w:rPr>
                <w:color w:val="FF0000"/>
                <w:szCs w:val="21"/>
              </w:rPr>
            </w:pPr>
          </w:p>
        </w:tc>
      </w:tr>
      <w:tr w14:paraId="73639FA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restart"/>
            <w:tcBorders>
              <w:tl2br w:val="nil"/>
              <w:tr2bl w:val="nil"/>
            </w:tcBorders>
            <w:tcMar>
              <w:left w:w="0" w:type="dxa"/>
              <w:right w:w="0" w:type="dxa"/>
            </w:tcMar>
            <w:vAlign w:val="center"/>
          </w:tcPr>
          <w:p w14:paraId="6BEFA746">
            <w:pPr>
              <w:pStyle w:val="72"/>
              <w:rPr>
                <w:szCs w:val="21"/>
              </w:rPr>
            </w:pPr>
            <w:r>
              <w:rPr>
                <w:rFonts w:hint="eastAsia"/>
                <w:szCs w:val="21"/>
              </w:rPr>
              <w:t>厂界</w:t>
            </w:r>
          </w:p>
        </w:tc>
        <w:tc>
          <w:tcPr>
            <w:tcW w:w="1267" w:type="dxa"/>
            <w:tcBorders>
              <w:tl2br w:val="nil"/>
              <w:tr2bl w:val="nil"/>
            </w:tcBorders>
            <w:tcMar>
              <w:left w:w="0" w:type="dxa"/>
              <w:right w:w="0" w:type="dxa"/>
            </w:tcMar>
            <w:vAlign w:val="center"/>
          </w:tcPr>
          <w:p w14:paraId="03DE5C0B">
            <w:pPr>
              <w:pStyle w:val="72"/>
              <w:rPr>
                <w:szCs w:val="21"/>
              </w:rPr>
            </w:pPr>
            <w:r>
              <w:rPr>
                <w:rFonts w:hint="eastAsia"/>
                <w:szCs w:val="21"/>
              </w:rPr>
              <w:t>臭气浓度</w:t>
            </w:r>
          </w:p>
        </w:tc>
        <w:tc>
          <w:tcPr>
            <w:tcW w:w="1052" w:type="dxa"/>
            <w:tcBorders>
              <w:tl2br w:val="nil"/>
              <w:tr2bl w:val="nil"/>
            </w:tcBorders>
            <w:tcMar>
              <w:left w:w="0" w:type="dxa"/>
              <w:right w:w="0" w:type="dxa"/>
            </w:tcMar>
            <w:vAlign w:val="center"/>
          </w:tcPr>
          <w:p w14:paraId="7A93BCF1">
            <w:pPr>
              <w:pStyle w:val="72"/>
              <w:rPr>
                <w:szCs w:val="21"/>
              </w:rPr>
            </w:pPr>
            <w:r>
              <w:rPr>
                <w:rFonts w:hint="eastAsia"/>
                <w:szCs w:val="21"/>
              </w:rPr>
              <w:t>1次/年</w:t>
            </w:r>
          </w:p>
        </w:tc>
        <w:tc>
          <w:tcPr>
            <w:tcW w:w="5121" w:type="dxa"/>
            <w:tcBorders>
              <w:tl2br w:val="nil"/>
              <w:tr2bl w:val="nil"/>
            </w:tcBorders>
            <w:tcMar>
              <w:left w:w="0" w:type="dxa"/>
              <w:right w:w="0" w:type="dxa"/>
            </w:tcMar>
            <w:vAlign w:val="center"/>
          </w:tcPr>
          <w:p w14:paraId="4B258FB1">
            <w:pPr>
              <w:pStyle w:val="72"/>
              <w:rPr>
                <w:color w:val="FF0000"/>
                <w:szCs w:val="21"/>
              </w:rPr>
            </w:pPr>
            <w:r>
              <w:rPr>
                <w:rFonts w:hint="eastAsia"/>
                <w:szCs w:val="21"/>
              </w:rPr>
              <w:t>《恶臭污染物排放标准》（GB14554-93）表1中二级标准</w:t>
            </w:r>
          </w:p>
        </w:tc>
      </w:tr>
      <w:tr w14:paraId="3C38832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tcBorders>
              <w:tl2br w:val="nil"/>
              <w:tr2bl w:val="nil"/>
            </w:tcBorders>
            <w:tcMar>
              <w:left w:w="0" w:type="dxa"/>
              <w:right w:w="0" w:type="dxa"/>
            </w:tcMar>
            <w:vAlign w:val="center"/>
          </w:tcPr>
          <w:p w14:paraId="3353F8B4">
            <w:pPr>
              <w:pStyle w:val="72"/>
              <w:rPr>
                <w:szCs w:val="21"/>
              </w:rPr>
            </w:pPr>
          </w:p>
        </w:tc>
        <w:tc>
          <w:tcPr>
            <w:tcW w:w="1267" w:type="dxa"/>
            <w:tcBorders>
              <w:tl2br w:val="nil"/>
              <w:tr2bl w:val="nil"/>
            </w:tcBorders>
            <w:tcMar>
              <w:left w:w="0" w:type="dxa"/>
              <w:right w:w="0" w:type="dxa"/>
            </w:tcMar>
            <w:vAlign w:val="center"/>
          </w:tcPr>
          <w:p w14:paraId="78902578">
            <w:pPr>
              <w:pStyle w:val="72"/>
              <w:rPr>
                <w:szCs w:val="21"/>
              </w:rPr>
            </w:pPr>
            <w:r>
              <w:rPr>
                <w:rFonts w:hint="eastAsia"/>
                <w:szCs w:val="21"/>
              </w:rPr>
              <w:t>挥发性有机物</w:t>
            </w:r>
          </w:p>
        </w:tc>
        <w:tc>
          <w:tcPr>
            <w:tcW w:w="1052" w:type="dxa"/>
            <w:tcBorders>
              <w:bottom w:val="single" w:color="auto" w:sz="4" w:space="0"/>
              <w:tl2br w:val="nil"/>
              <w:tr2bl w:val="nil"/>
            </w:tcBorders>
            <w:tcMar>
              <w:left w:w="0" w:type="dxa"/>
              <w:right w:w="0" w:type="dxa"/>
            </w:tcMar>
            <w:vAlign w:val="center"/>
          </w:tcPr>
          <w:p w14:paraId="2FB592D0">
            <w:pPr>
              <w:pStyle w:val="72"/>
              <w:rPr>
                <w:szCs w:val="21"/>
              </w:rPr>
            </w:pPr>
            <w:r>
              <w:rPr>
                <w:rFonts w:hint="eastAsia"/>
                <w:szCs w:val="21"/>
              </w:rPr>
              <w:t>1次/年</w:t>
            </w:r>
          </w:p>
        </w:tc>
        <w:tc>
          <w:tcPr>
            <w:tcW w:w="5121" w:type="dxa"/>
            <w:tcBorders>
              <w:bottom w:val="single" w:color="auto" w:sz="4" w:space="0"/>
              <w:tl2br w:val="nil"/>
              <w:tr2bl w:val="nil"/>
            </w:tcBorders>
            <w:tcMar>
              <w:left w:w="0" w:type="dxa"/>
              <w:right w:w="0" w:type="dxa"/>
            </w:tcMar>
            <w:vAlign w:val="center"/>
          </w:tcPr>
          <w:p w14:paraId="77AB080F">
            <w:pPr>
              <w:pStyle w:val="72"/>
              <w:rPr>
                <w:szCs w:val="21"/>
              </w:rPr>
            </w:pPr>
            <w:r>
              <w:rPr>
                <w:rFonts w:hint="eastAsia"/>
                <w:sz w:val="21"/>
                <w:szCs w:val="21"/>
              </w:rPr>
              <w:t>《大气污染物综合排放标准》（GB16297-1996）表2</w:t>
            </w:r>
          </w:p>
        </w:tc>
      </w:tr>
      <w:tr w14:paraId="15066479">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nil"/>
              <w:tr2bl w:val="nil"/>
            </w:tcBorders>
            <w:tcMar>
              <w:left w:w="0" w:type="dxa"/>
              <w:right w:w="0" w:type="dxa"/>
            </w:tcMar>
            <w:vAlign w:val="center"/>
          </w:tcPr>
          <w:p w14:paraId="5702C104">
            <w:pPr>
              <w:pStyle w:val="72"/>
              <w:rPr>
                <w:szCs w:val="21"/>
              </w:rPr>
            </w:pPr>
            <w:r>
              <w:rPr>
                <w:rFonts w:hint="eastAsia"/>
                <w:szCs w:val="21"/>
              </w:rPr>
              <w:t>厂区</w:t>
            </w:r>
          </w:p>
        </w:tc>
        <w:tc>
          <w:tcPr>
            <w:tcW w:w="1267" w:type="dxa"/>
            <w:tcBorders>
              <w:tl2br w:val="nil"/>
              <w:tr2bl w:val="nil"/>
            </w:tcBorders>
            <w:tcMar>
              <w:left w:w="0" w:type="dxa"/>
              <w:right w:w="0" w:type="dxa"/>
            </w:tcMar>
            <w:vAlign w:val="center"/>
          </w:tcPr>
          <w:p w14:paraId="5AD56C2F">
            <w:pPr>
              <w:pStyle w:val="72"/>
              <w:rPr>
                <w:szCs w:val="21"/>
              </w:rPr>
            </w:pPr>
            <w:r>
              <w:rPr>
                <w:rFonts w:hint="eastAsia"/>
                <w:szCs w:val="21"/>
              </w:rPr>
              <w:t>挥发性有机物</w:t>
            </w:r>
          </w:p>
        </w:tc>
        <w:tc>
          <w:tcPr>
            <w:tcW w:w="1052" w:type="dxa"/>
            <w:tcBorders>
              <w:top w:val="single" w:color="auto" w:sz="4" w:space="0"/>
              <w:tl2br w:val="nil"/>
              <w:tr2bl w:val="nil"/>
            </w:tcBorders>
            <w:tcMar>
              <w:left w:w="0" w:type="dxa"/>
              <w:right w:w="0" w:type="dxa"/>
            </w:tcMar>
            <w:vAlign w:val="center"/>
          </w:tcPr>
          <w:p w14:paraId="7B1D3B3F">
            <w:pPr>
              <w:pStyle w:val="72"/>
              <w:rPr>
                <w:szCs w:val="21"/>
              </w:rPr>
            </w:pPr>
            <w:r>
              <w:rPr>
                <w:rFonts w:hint="eastAsia"/>
                <w:szCs w:val="21"/>
              </w:rPr>
              <w:t>1次/年</w:t>
            </w:r>
          </w:p>
        </w:tc>
        <w:tc>
          <w:tcPr>
            <w:tcW w:w="5121" w:type="dxa"/>
            <w:tcBorders>
              <w:top w:val="single" w:color="auto" w:sz="4" w:space="0"/>
              <w:tl2br w:val="nil"/>
              <w:tr2bl w:val="nil"/>
            </w:tcBorders>
            <w:tcMar>
              <w:left w:w="0" w:type="dxa"/>
              <w:right w:w="0" w:type="dxa"/>
            </w:tcMar>
            <w:vAlign w:val="center"/>
          </w:tcPr>
          <w:p w14:paraId="208AD015">
            <w:pPr>
              <w:pStyle w:val="72"/>
              <w:rPr>
                <w:color w:val="FF0000"/>
                <w:szCs w:val="21"/>
              </w:rPr>
            </w:pPr>
            <w:r>
              <w:rPr>
                <w:rFonts w:hint="eastAsia"/>
                <w:u w:val="single"/>
              </w:rPr>
              <w:t>湖南省地标《工业企业挥发性有机物排放标准》（</w:t>
            </w:r>
            <w:r>
              <w:rPr>
                <w:rFonts w:hint="eastAsia"/>
                <w:u w:val="single"/>
                <w:lang w:val="en-US" w:eastAsia="zh-CN"/>
              </w:rPr>
              <w:t>DB43/3550-2026）</w:t>
            </w:r>
            <w:r>
              <w:rPr>
                <w:rFonts w:hint="eastAsia"/>
                <w:u w:val="single"/>
              </w:rPr>
              <w:t>表</w:t>
            </w:r>
            <w:r>
              <w:rPr>
                <w:rFonts w:hint="eastAsia"/>
                <w:u w:val="single"/>
                <w:lang w:val="en-US" w:eastAsia="zh-CN"/>
              </w:rPr>
              <w:t>2</w:t>
            </w:r>
            <w:r>
              <w:rPr>
                <w:rFonts w:hint="eastAsia"/>
                <w:u w:val="single"/>
              </w:rPr>
              <w:t>限值</w:t>
            </w:r>
          </w:p>
        </w:tc>
      </w:tr>
      <w:tr w14:paraId="2F64A36C">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nil"/>
              <w:tr2bl w:val="nil"/>
            </w:tcBorders>
            <w:tcMar>
              <w:left w:w="0" w:type="dxa"/>
              <w:right w:w="0" w:type="dxa"/>
            </w:tcMar>
            <w:vAlign w:val="center"/>
          </w:tcPr>
          <w:p w14:paraId="0B8F67BE">
            <w:pPr>
              <w:pStyle w:val="72"/>
              <w:rPr>
                <w:szCs w:val="21"/>
              </w:rPr>
            </w:pPr>
            <w:r>
              <w:rPr>
                <w:rFonts w:hint="eastAsia"/>
                <w:szCs w:val="21"/>
                <w:lang w:val="zh-CN"/>
              </w:rPr>
              <w:t>污水管道排放口</w:t>
            </w:r>
          </w:p>
        </w:tc>
        <w:tc>
          <w:tcPr>
            <w:tcW w:w="1267" w:type="dxa"/>
            <w:tcBorders>
              <w:tl2br w:val="nil"/>
              <w:tr2bl w:val="nil"/>
            </w:tcBorders>
            <w:tcMar>
              <w:left w:w="0" w:type="dxa"/>
              <w:right w:w="0" w:type="dxa"/>
            </w:tcMar>
            <w:vAlign w:val="center"/>
          </w:tcPr>
          <w:p w14:paraId="2F752A79">
            <w:pPr>
              <w:pStyle w:val="72"/>
              <w:rPr>
                <w:szCs w:val="21"/>
              </w:rPr>
            </w:pPr>
            <w:r>
              <w:rPr>
                <w:rFonts w:hint="eastAsia"/>
                <w:szCs w:val="21"/>
              </w:rPr>
              <w:t>COD、BOD</w:t>
            </w:r>
            <w:r>
              <w:rPr>
                <w:rFonts w:hint="eastAsia"/>
                <w:szCs w:val="21"/>
                <w:vertAlign w:val="subscript"/>
              </w:rPr>
              <w:t>5</w:t>
            </w:r>
            <w:r>
              <w:rPr>
                <w:rFonts w:hint="eastAsia"/>
                <w:szCs w:val="21"/>
              </w:rPr>
              <w:t>、SS、NH</w:t>
            </w:r>
            <w:r>
              <w:rPr>
                <w:rFonts w:hint="eastAsia"/>
                <w:szCs w:val="21"/>
                <w:vertAlign w:val="subscript"/>
              </w:rPr>
              <w:t>3</w:t>
            </w:r>
            <w:r>
              <w:rPr>
                <w:rFonts w:hint="eastAsia"/>
                <w:szCs w:val="21"/>
              </w:rPr>
              <w:t>-N、动植物油</w:t>
            </w:r>
          </w:p>
        </w:tc>
        <w:tc>
          <w:tcPr>
            <w:tcW w:w="1052" w:type="dxa"/>
            <w:tcBorders>
              <w:tl2br w:val="nil"/>
              <w:tr2bl w:val="nil"/>
            </w:tcBorders>
            <w:tcMar>
              <w:left w:w="0" w:type="dxa"/>
              <w:right w:w="0" w:type="dxa"/>
            </w:tcMar>
            <w:vAlign w:val="center"/>
          </w:tcPr>
          <w:p w14:paraId="41B915B3">
            <w:pPr>
              <w:pStyle w:val="72"/>
              <w:rPr>
                <w:szCs w:val="21"/>
              </w:rPr>
            </w:pPr>
            <w:r>
              <w:rPr>
                <w:rFonts w:hint="eastAsia"/>
                <w:szCs w:val="21"/>
              </w:rPr>
              <w:t>/</w:t>
            </w:r>
          </w:p>
        </w:tc>
        <w:tc>
          <w:tcPr>
            <w:tcW w:w="5121" w:type="dxa"/>
            <w:tcBorders>
              <w:tl2br w:val="nil"/>
              <w:tr2bl w:val="nil"/>
            </w:tcBorders>
            <w:tcMar>
              <w:left w:w="0" w:type="dxa"/>
              <w:right w:w="0" w:type="dxa"/>
            </w:tcMar>
            <w:vAlign w:val="center"/>
          </w:tcPr>
          <w:p w14:paraId="71FB6B05">
            <w:pPr>
              <w:pStyle w:val="72"/>
              <w:rPr>
                <w:color w:val="FF0000"/>
                <w:szCs w:val="21"/>
              </w:rPr>
            </w:pPr>
            <w:r>
              <w:rPr>
                <w:rFonts w:hint="eastAsia"/>
                <w:szCs w:val="21"/>
              </w:rPr>
              <w:t>根据《排污许可证申请与核发技术规范  总则》（HJ942-2018）：单独排入城镇集中污水处理设施的生活污水仅说明排放去向</w:t>
            </w:r>
          </w:p>
        </w:tc>
      </w:tr>
      <w:tr w14:paraId="2CF2ACA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nil"/>
              <w:tr2bl w:val="nil"/>
            </w:tcBorders>
            <w:tcMar>
              <w:left w:w="0" w:type="dxa"/>
              <w:right w:w="0" w:type="dxa"/>
            </w:tcMar>
            <w:vAlign w:val="center"/>
          </w:tcPr>
          <w:p w14:paraId="63C90482">
            <w:pPr>
              <w:pStyle w:val="72"/>
              <w:rPr>
                <w:szCs w:val="21"/>
              </w:rPr>
            </w:pPr>
            <w:r>
              <w:rPr>
                <w:rFonts w:hint="eastAsia"/>
                <w:szCs w:val="21"/>
              </w:rPr>
              <w:t>厂界噪声</w:t>
            </w:r>
          </w:p>
        </w:tc>
        <w:tc>
          <w:tcPr>
            <w:tcW w:w="1267" w:type="dxa"/>
            <w:tcBorders>
              <w:tl2br w:val="nil"/>
              <w:tr2bl w:val="nil"/>
            </w:tcBorders>
            <w:tcMar>
              <w:left w:w="0" w:type="dxa"/>
              <w:right w:w="0" w:type="dxa"/>
            </w:tcMar>
            <w:vAlign w:val="center"/>
          </w:tcPr>
          <w:p w14:paraId="0D88A3F3">
            <w:pPr>
              <w:pStyle w:val="72"/>
              <w:rPr>
                <w:szCs w:val="21"/>
              </w:rPr>
            </w:pPr>
            <w:r>
              <w:rPr>
                <w:rFonts w:hint="eastAsia"/>
                <w:szCs w:val="21"/>
              </w:rPr>
              <w:t>LeqA</w:t>
            </w:r>
          </w:p>
        </w:tc>
        <w:tc>
          <w:tcPr>
            <w:tcW w:w="1052" w:type="dxa"/>
            <w:tcBorders>
              <w:tl2br w:val="nil"/>
              <w:tr2bl w:val="nil"/>
            </w:tcBorders>
            <w:tcMar>
              <w:left w:w="0" w:type="dxa"/>
              <w:right w:w="0" w:type="dxa"/>
            </w:tcMar>
            <w:vAlign w:val="center"/>
          </w:tcPr>
          <w:p w14:paraId="57086525">
            <w:pPr>
              <w:pStyle w:val="72"/>
              <w:rPr>
                <w:szCs w:val="21"/>
              </w:rPr>
            </w:pPr>
            <w:r>
              <w:rPr>
                <w:rFonts w:hint="eastAsia"/>
                <w:szCs w:val="21"/>
              </w:rPr>
              <w:t>一次/每季</w:t>
            </w:r>
          </w:p>
        </w:tc>
        <w:tc>
          <w:tcPr>
            <w:tcW w:w="5121" w:type="dxa"/>
            <w:tcBorders>
              <w:tl2br w:val="nil"/>
              <w:tr2bl w:val="nil"/>
            </w:tcBorders>
            <w:tcMar>
              <w:left w:w="0" w:type="dxa"/>
              <w:right w:w="0" w:type="dxa"/>
            </w:tcMar>
            <w:vAlign w:val="center"/>
          </w:tcPr>
          <w:p w14:paraId="05E8A8A0">
            <w:pPr>
              <w:pStyle w:val="72"/>
              <w:rPr>
                <w:szCs w:val="21"/>
              </w:rPr>
            </w:pPr>
            <w:r>
              <w:rPr>
                <w:rFonts w:hint="eastAsia"/>
                <w:szCs w:val="21"/>
              </w:rPr>
              <w:t>东、西、北厂界执行《工业企业厂界环境噪声排放标准》（GB12348-2008）中的3类标准；南厂界执行《工业企业厂界环境噪声排放标准》（GB12348-2008）中的4类标准</w:t>
            </w:r>
          </w:p>
        </w:tc>
      </w:tr>
      <w:tr w14:paraId="4ED2F124">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nil"/>
              <w:tr2bl w:val="nil"/>
            </w:tcBorders>
            <w:tcMar>
              <w:left w:w="0" w:type="dxa"/>
              <w:right w:w="0" w:type="dxa"/>
            </w:tcMar>
            <w:vAlign w:val="center"/>
          </w:tcPr>
          <w:p w14:paraId="68F97CD0">
            <w:pPr>
              <w:pStyle w:val="72"/>
              <w:rPr>
                <w:szCs w:val="21"/>
              </w:rPr>
            </w:pPr>
            <w:r>
              <w:rPr>
                <w:rFonts w:hint="eastAsia"/>
                <w:szCs w:val="21"/>
              </w:rPr>
              <w:t>一般工业固废</w:t>
            </w:r>
          </w:p>
        </w:tc>
        <w:tc>
          <w:tcPr>
            <w:tcW w:w="1267" w:type="dxa"/>
            <w:tcBorders>
              <w:tl2br w:val="nil"/>
              <w:tr2bl w:val="nil"/>
            </w:tcBorders>
            <w:tcMar>
              <w:left w:w="0" w:type="dxa"/>
              <w:right w:w="0" w:type="dxa"/>
            </w:tcMar>
            <w:vAlign w:val="center"/>
          </w:tcPr>
          <w:p w14:paraId="76D972EE">
            <w:pPr>
              <w:pStyle w:val="72"/>
              <w:rPr>
                <w:szCs w:val="21"/>
              </w:rPr>
            </w:pPr>
            <w:r>
              <w:rPr>
                <w:rFonts w:hint="eastAsia"/>
                <w:szCs w:val="21"/>
              </w:rPr>
              <w:t>固废台账</w:t>
            </w:r>
          </w:p>
        </w:tc>
        <w:tc>
          <w:tcPr>
            <w:tcW w:w="1052" w:type="dxa"/>
            <w:tcBorders>
              <w:tl2br w:val="nil"/>
              <w:tr2bl w:val="nil"/>
            </w:tcBorders>
            <w:tcMar>
              <w:left w:w="0" w:type="dxa"/>
              <w:right w:w="0" w:type="dxa"/>
            </w:tcMar>
            <w:vAlign w:val="center"/>
          </w:tcPr>
          <w:p w14:paraId="29C9A978">
            <w:pPr>
              <w:pStyle w:val="72"/>
              <w:rPr>
                <w:szCs w:val="21"/>
              </w:rPr>
            </w:pPr>
            <w:r>
              <w:rPr>
                <w:rFonts w:hint="eastAsia"/>
                <w:szCs w:val="21"/>
              </w:rPr>
              <w:t>年度</w:t>
            </w:r>
          </w:p>
        </w:tc>
        <w:tc>
          <w:tcPr>
            <w:tcW w:w="5121" w:type="dxa"/>
            <w:tcBorders>
              <w:tl2br w:val="nil"/>
              <w:tr2bl w:val="nil"/>
            </w:tcBorders>
            <w:tcMar>
              <w:left w:w="0" w:type="dxa"/>
              <w:right w:w="0" w:type="dxa"/>
            </w:tcMar>
            <w:vAlign w:val="center"/>
          </w:tcPr>
          <w:p w14:paraId="5FE9ADEE">
            <w:pPr>
              <w:pStyle w:val="72"/>
              <w:rPr>
                <w:szCs w:val="21"/>
              </w:rPr>
            </w:pPr>
            <w:r>
              <w:rPr>
                <w:rFonts w:hint="eastAsia"/>
                <w:szCs w:val="21"/>
              </w:rPr>
              <w:t>综合利用，不外排</w:t>
            </w:r>
          </w:p>
        </w:tc>
      </w:tr>
      <w:tr w14:paraId="1145D52E">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nil"/>
              <w:tr2bl w:val="nil"/>
            </w:tcBorders>
            <w:tcMar>
              <w:left w:w="0" w:type="dxa"/>
              <w:right w:w="0" w:type="dxa"/>
            </w:tcMar>
            <w:vAlign w:val="center"/>
          </w:tcPr>
          <w:p w14:paraId="4A7CC20E">
            <w:pPr>
              <w:pStyle w:val="72"/>
              <w:rPr>
                <w:szCs w:val="21"/>
              </w:rPr>
            </w:pPr>
            <w:r>
              <w:rPr>
                <w:rFonts w:hint="eastAsia"/>
                <w:szCs w:val="21"/>
              </w:rPr>
              <w:t>危险废物</w:t>
            </w:r>
          </w:p>
        </w:tc>
        <w:tc>
          <w:tcPr>
            <w:tcW w:w="1267" w:type="dxa"/>
            <w:tcBorders>
              <w:tl2br w:val="nil"/>
              <w:tr2bl w:val="nil"/>
            </w:tcBorders>
            <w:tcMar>
              <w:left w:w="0" w:type="dxa"/>
              <w:right w:w="0" w:type="dxa"/>
            </w:tcMar>
            <w:vAlign w:val="center"/>
          </w:tcPr>
          <w:p w14:paraId="48F29A30">
            <w:pPr>
              <w:pStyle w:val="72"/>
              <w:rPr>
                <w:szCs w:val="21"/>
              </w:rPr>
            </w:pPr>
            <w:r>
              <w:rPr>
                <w:rFonts w:hint="eastAsia"/>
                <w:szCs w:val="21"/>
              </w:rPr>
              <w:t>危废台账</w:t>
            </w:r>
          </w:p>
        </w:tc>
        <w:tc>
          <w:tcPr>
            <w:tcW w:w="1052" w:type="dxa"/>
            <w:tcBorders>
              <w:tl2br w:val="nil"/>
              <w:tr2bl w:val="nil"/>
            </w:tcBorders>
            <w:tcMar>
              <w:left w:w="0" w:type="dxa"/>
              <w:right w:w="0" w:type="dxa"/>
            </w:tcMar>
            <w:vAlign w:val="center"/>
          </w:tcPr>
          <w:p w14:paraId="57A4487F">
            <w:pPr>
              <w:pStyle w:val="72"/>
              <w:rPr>
                <w:szCs w:val="21"/>
              </w:rPr>
            </w:pPr>
            <w:r>
              <w:rPr>
                <w:rFonts w:hint="eastAsia"/>
                <w:szCs w:val="21"/>
              </w:rPr>
              <w:t>年度</w:t>
            </w:r>
          </w:p>
        </w:tc>
        <w:tc>
          <w:tcPr>
            <w:tcW w:w="5121" w:type="dxa"/>
            <w:tcBorders>
              <w:tl2br w:val="nil"/>
              <w:tr2bl w:val="nil"/>
            </w:tcBorders>
            <w:tcMar>
              <w:left w:w="0" w:type="dxa"/>
              <w:right w:w="0" w:type="dxa"/>
            </w:tcMar>
            <w:vAlign w:val="center"/>
          </w:tcPr>
          <w:p w14:paraId="601A2FD5">
            <w:pPr>
              <w:pStyle w:val="72"/>
              <w:rPr>
                <w:szCs w:val="21"/>
              </w:rPr>
            </w:pPr>
            <w:r>
              <w:rPr>
                <w:rFonts w:hint="eastAsia"/>
                <w:szCs w:val="21"/>
              </w:rPr>
              <w:t>安全贮存，委托资质单位处置</w:t>
            </w:r>
          </w:p>
        </w:tc>
      </w:tr>
      <w:tr w14:paraId="3DDCF0F5">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8366" w:type="dxa"/>
            <w:gridSpan w:val="4"/>
            <w:tcBorders>
              <w:tl2br w:val="nil"/>
              <w:tr2bl w:val="nil"/>
            </w:tcBorders>
            <w:tcMar>
              <w:left w:w="0" w:type="dxa"/>
              <w:right w:w="0" w:type="dxa"/>
            </w:tcMar>
            <w:vAlign w:val="center"/>
          </w:tcPr>
          <w:p w14:paraId="6204E0D8">
            <w:pPr>
              <w:pStyle w:val="72"/>
              <w:jc w:val="left"/>
              <w:rPr>
                <w:szCs w:val="21"/>
              </w:rPr>
            </w:pPr>
            <w:r>
              <w:rPr>
                <w:rFonts w:hint="eastAsia"/>
                <w:b/>
                <w:bCs/>
                <w:szCs w:val="21"/>
                <w:vertAlign w:val="superscript"/>
              </w:rPr>
              <w:t>C</w:t>
            </w:r>
            <w:r>
              <w:rPr>
                <w:rFonts w:hint="eastAsia"/>
                <w:b/>
                <w:bCs/>
                <w:szCs w:val="21"/>
              </w:rPr>
              <w:t>企业原辅料质检报告中确定含有的必须增加该监测指标。</w:t>
            </w:r>
          </w:p>
        </w:tc>
      </w:tr>
    </w:tbl>
    <w:p w14:paraId="7DCB33C5">
      <w:pPr>
        <w:ind w:firstLine="480"/>
      </w:pPr>
      <w:r>
        <w:t>⑵事故监测</w:t>
      </w:r>
    </w:p>
    <w:p w14:paraId="042B5698">
      <w:pPr>
        <w:ind w:firstLine="480"/>
      </w:pPr>
      <w:r>
        <w:t>对企业环保处理设施运行情况要严格监视，及时监测，当发现环保处理设施发生故障或运行不正常时，应及时向上级报告，并必须即时取样监测，分析污染物排放量，对事故发生原因、事故造成的后果和损失等进行调查统计，并建档、上报。</w:t>
      </w:r>
    </w:p>
    <w:p w14:paraId="0FB67D5D">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11.2.4</w:t>
      </w:r>
      <w:r>
        <w:rPr>
          <w:rFonts w:hint="eastAsia"/>
        </w:rPr>
        <w:t>监测上报制度</w:t>
      </w:r>
    </w:p>
    <w:p w14:paraId="250D4F67">
      <w:pPr>
        <w:ind w:firstLine="480"/>
      </w:pPr>
      <w:r>
        <w:rPr>
          <w:rFonts w:hint="eastAsia" w:ascii="宋体" w:hAnsi="宋体" w:cs="宋体"/>
        </w:rPr>
        <w:t>⑴</w:t>
      </w:r>
      <w:r>
        <w:rPr>
          <w:rFonts w:hint="eastAsia"/>
        </w:rPr>
        <w:t>每次监测都应有完整的记录。监测数据应及时整理、统计，并应做好监测资料的归档工作。</w:t>
      </w:r>
    </w:p>
    <w:p w14:paraId="5008EC5F">
      <w:pPr>
        <w:ind w:firstLine="480"/>
      </w:pPr>
      <w:r>
        <w:rPr>
          <w:rFonts w:hint="eastAsia" w:ascii="宋体" w:hAnsi="宋体" w:cs="宋体"/>
        </w:rPr>
        <w:t>⑵</w:t>
      </w:r>
      <w:r>
        <w:rPr>
          <w:rFonts w:hint="eastAsia"/>
        </w:rPr>
        <w:t>监测时发现有异常现象应及时向公司环境管理部门反映。</w:t>
      </w:r>
    </w:p>
    <w:p w14:paraId="42BD056D">
      <w:pPr>
        <w:ind w:firstLine="480"/>
      </w:pPr>
      <w:r>
        <w:rPr>
          <w:rFonts w:hint="eastAsia" w:ascii="宋体" w:hAnsi="宋体" w:cs="宋体"/>
        </w:rPr>
        <w:t>⑶</w:t>
      </w:r>
      <w:r>
        <w:rPr>
          <w:rFonts w:hint="eastAsia"/>
        </w:rPr>
        <w:t>监测结果要定期接受环保行政主管部门的考核。</w:t>
      </w:r>
    </w:p>
    <w:p w14:paraId="515471A4">
      <w:pPr>
        <w:pStyle w:val="3"/>
        <w:numPr>
          <w:ilvl w:val="1"/>
          <w:numId w:val="0"/>
        </w:numPr>
        <w:ind w:left="567" w:leftChars="0" w:hanging="567" w:firstLineChars="0"/>
        <w:rPr>
          <w:sz w:val="28"/>
          <w:szCs w:val="28"/>
        </w:rPr>
      </w:pPr>
      <w:bookmarkStart w:id="171" w:name="_Toc28620"/>
      <w:r>
        <w:rPr>
          <w:rFonts w:hint="default" w:ascii="宋体" w:hAnsi="宋体" w:eastAsia="宋体" w:cs="宋体"/>
          <w:b/>
          <w:bCs/>
          <w:kern w:val="2"/>
          <w:sz w:val="28"/>
          <w:szCs w:val="28"/>
          <w:lang w:val="en-US" w:eastAsia="zh-CN" w:bidi="ar-SA"/>
        </w:rPr>
        <w:t>11.3</w:t>
      </w:r>
      <w:r>
        <w:rPr>
          <w:rFonts w:hint="eastAsia"/>
          <w:sz w:val="28"/>
          <w:szCs w:val="28"/>
        </w:rPr>
        <w:t>环境保护验收</w:t>
      </w:r>
      <w:bookmarkEnd w:id="171"/>
    </w:p>
    <w:p w14:paraId="272A2A6D">
      <w:pPr>
        <w:ind w:firstLine="480"/>
      </w:pPr>
      <w:r>
        <w:t>为贯彻落实新修改的《建设项目环境保护管理条例》，规范建设项目竣工后建设单位自主开展环境保护验收的程序和标准。根据《建设项目竣工环境保护验收暂行办法》（国环规环评[2017]4号）（以下简称《暂行办法》），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2868D657">
      <w:pPr>
        <w:ind w:firstLine="480"/>
      </w:pPr>
      <w:r>
        <w:t>验收程序简述及相关要求如下：</w:t>
      </w:r>
    </w:p>
    <w:p w14:paraId="71B83436">
      <w:pPr>
        <w:ind w:firstLine="480"/>
      </w:pPr>
      <w:r>
        <w:t>⑴建设单位如实查验、监测记载环保设施的建设和调试情况。调试期间，建设单位应当确保该期间污染物排放符合国家和地方的有关污染物排放标准和排污许可等相关规定。环境保护设施未与主体工程同时建成的，或者应当取得排污许可证但未取得的，建设单位不得对该建设项目环境保护设施进行调试。</w:t>
      </w:r>
    </w:p>
    <w:p w14:paraId="1B85D450">
      <w:pPr>
        <w:ind w:firstLine="480"/>
      </w:pPr>
      <w:r>
        <w:t>⑵编制验收监测报告，本项以排放污染物为主的建设项目，参照《建设项目竣工环境保护验收技术指南污染影响类》编制验收监测报告，建设单位不具备自主验收能力的可以委托有能力的技术机构编制。</w:t>
      </w:r>
    </w:p>
    <w:p w14:paraId="44DE6C4A">
      <w:pPr>
        <w:ind w:firstLine="480"/>
      </w:pPr>
      <w:r>
        <w:t>⑶验收监测报告编制完成后，建设单位应当根据验收监测报告结论，逐一检查是否存在《建设项目竣工环保验收暂行办法》中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w:t>
      </w:r>
    </w:p>
    <w:p w14:paraId="0AD33D99">
      <w:pPr>
        <w:ind w:firstLine="480"/>
      </w:pPr>
      <w:r>
        <w:t>⑷验收报告编制完成后5个工作日内，公开验收报告，公示的期限不得少于20个工作日，同步公开环保设施竣工日期以及对环保设施公开调试的起始日期。建设单位公开上述信息的同时，应当向所在地县级以上环境保护主管部门报送相关信息，并接受监督检查。</w:t>
      </w:r>
    </w:p>
    <w:p w14:paraId="0C4909C7">
      <w:pPr>
        <w:ind w:firstLine="480"/>
      </w:pPr>
      <w:r>
        <w:t>⑸验收报告公示期满后5个工作日内，建设单位应当登录全国建设项目竣工环境保护验收信息平台，填报建设项目基本信息、环境保护设施验收情况等相关信息，环境保护主管部门对上述信息予以公开。</w:t>
      </w:r>
    </w:p>
    <w:p w14:paraId="0DC3A42B">
      <w:pPr>
        <w:ind w:firstLine="480"/>
      </w:pPr>
      <w:r>
        <w:t>⑹纳入排污许可管理的建设项目，排污单位应当在项目产生实际污染物排放之前，按照国家排污许可有关管理规定要求，申请排污许可证。建设项目验收报告中与污染物排放相关的主要内容应当纳入该项目验收完成当年排污许可证执行年报。</w:t>
      </w:r>
    </w:p>
    <w:p w14:paraId="3FA80C59">
      <w:pPr>
        <w:ind w:firstLine="480"/>
      </w:pPr>
      <w:r>
        <w:t>建设单位应严格按环境影响报告书的要求认真落实各环境保护措施，切实搞好环境管理和监测工作，保证环保设施的正常运行，项目竣工环境保护验收通过后建设单位方可正式投产运行。建设单位竣工环保</w:t>
      </w:r>
      <w:r>
        <w:rPr>
          <w:rFonts w:hint="eastAsia"/>
        </w:rPr>
        <w:t>“</w:t>
      </w:r>
      <w:r>
        <w:t>三同时</w:t>
      </w:r>
      <w:r>
        <w:rPr>
          <w:rFonts w:hint="eastAsia"/>
        </w:rPr>
        <w:t>”</w:t>
      </w:r>
      <w:r>
        <w:t>验收见下表。</w:t>
      </w:r>
    </w:p>
    <w:p w14:paraId="5DC3399D">
      <w:pPr>
        <w:pStyle w:val="51"/>
        <w:numPr>
          <w:ilvl w:val="5"/>
          <w:numId w:val="0"/>
        </w:numPr>
        <w:tabs>
          <w:tab w:val="left" w:pos="4395"/>
        </w:tabs>
        <w:spacing w:before="156"/>
        <w:ind w:left="4700" w:leftChars="0" w:hanging="3260" w:firstLineChars="0"/>
      </w:pPr>
      <w:r>
        <w:rPr>
          <w:rFonts w:hint="default" w:ascii="宋体" w:hAnsi="宋体" w:eastAsia="宋体" w:cs="宋体"/>
          <w:b/>
          <w:bCs/>
          <w:color w:val="auto"/>
          <w:kern w:val="2"/>
          <w:sz w:val="21"/>
          <w:szCs w:val="21"/>
          <w:lang w:val="en-US" w:eastAsia="zh-CN" w:bidi="ar-SA"/>
        </w:rPr>
        <w:t xml:space="preserve">表11.3-1 </w:t>
      </w:r>
      <w:r>
        <w:rPr>
          <w:rFonts w:hint="eastAsia"/>
        </w:rPr>
        <w:t>环保“三同时”验收一览表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67"/>
        <w:gridCol w:w="954"/>
        <w:gridCol w:w="1153"/>
        <w:gridCol w:w="1765"/>
        <w:gridCol w:w="974"/>
        <w:gridCol w:w="981"/>
        <w:gridCol w:w="1768"/>
      </w:tblGrid>
      <w:tr w14:paraId="41D196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Align w:val="center"/>
          </w:tcPr>
          <w:p w14:paraId="7DF36E60">
            <w:pPr>
              <w:pStyle w:val="72"/>
              <w:rPr>
                <w:szCs w:val="21"/>
              </w:rPr>
            </w:pPr>
            <w:r>
              <w:rPr>
                <w:rFonts w:hint="eastAsia"/>
                <w:szCs w:val="21"/>
              </w:rPr>
              <w:t>污染物类型</w:t>
            </w:r>
          </w:p>
        </w:tc>
        <w:tc>
          <w:tcPr>
            <w:tcW w:w="954" w:type="dxa"/>
            <w:vAlign w:val="center"/>
          </w:tcPr>
          <w:p w14:paraId="4E971531">
            <w:pPr>
              <w:pStyle w:val="72"/>
              <w:rPr>
                <w:szCs w:val="21"/>
              </w:rPr>
            </w:pPr>
            <w:r>
              <w:rPr>
                <w:rFonts w:hint="eastAsia"/>
                <w:szCs w:val="21"/>
              </w:rPr>
              <w:t>污染源</w:t>
            </w:r>
          </w:p>
        </w:tc>
        <w:tc>
          <w:tcPr>
            <w:tcW w:w="1153" w:type="dxa"/>
            <w:vAlign w:val="center"/>
          </w:tcPr>
          <w:p w14:paraId="6AD0D738">
            <w:pPr>
              <w:pStyle w:val="72"/>
              <w:rPr>
                <w:szCs w:val="21"/>
              </w:rPr>
            </w:pPr>
            <w:r>
              <w:rPr>
                <w:rFonts w:hint="eastAsia"/>
                <w:szCs w:val="21"/>
              </w:rPr>
              <w:t>主要污染因子</w:t>
            </w:r>
          </w:p>
        </w:tc>
        <w:tc>
          <w:tcPr>
            <w:tcW w:w="1765" w:type="dxa"/>
            <w:vAlign w:val="center"/>
          </w:tcPr>
          <w:p w14:paraId="37589189">
            <w:pPr>
              <w:pStyle w:val="72"/>
              <w:rPr>
                <w:szCs w:val="21"/>
              </w:rPr>
            </w:pPr>
            <w:r>
              <w:rPr>
                <w:rFonts w:hint="eastAsia"/>
                <w:szCs w:val="21"/>
              </w:rPr>
              <w:t>环保措施（包括环保设施处理工艺、数量与处理处置能力）</w:t>
            </w:r>
          </w:p>
        </w:tc>
        <w:tc>
          <w:tcPr>
            <w:tcW w:w="974" w:type="dxa"/>
            <w:vAlign w:val="center"/>
          </w:tcPr>
          <w:p w14:paraId="6686911B">
            <w:pPr>
              <w:pStyle w:val="72"/>
              <w:rPr>
                <w:szCs w:val="21"/>
              </w:rPr>
            </w:pPr>
            <w:r>
              <w:rPr>
                <w:rFonts w:hint="eastAsia"/>
                <w:szCs w:val="21"/>
              </w:rPr>
              <w:t>排放方式</w:t>
            </w:r>
          </w:p>
        </w:tc>
        <w:tc>
          <w:tcPr>
            <w:tcW w:w="981" w:type="dxa"/>
            <w:vAlign w:val="center"/>
          </w:tcPr>
          <w:p w14:paraId="127A33DB">
            <w:pPr>
              <w:pStyle w:val="72"/>
              <w:rPr>
                <w:szCs w:val="21"/>
              </w:rPr>
            </w:pPr>
            <w:r>
              <w:rPr>
                <w:rFonts w:hint="eastAsia"/>
                <w:szCs w:val="21"/>
              </w:rPr>
              <w:t>排放去向</w:t>
            </w:r>
          </w:p>
        </w:tc>
        <w:tc>
          <w:tcPr>
            <w:tcW w:w="1768" w:type="dxa"/>
            <w:vAlign w:val="center"/>
          </w:tcPr>
          <w:p w14:paraId="6D0976ED">
            <w:pPr>
              <w:pStyle w:val="72"/>
              <w:rPr>
                <w:szCs w:val="21"/>
              </w:rPr>
            </w:pPr>
            <w:r>
              <w:rPr>
                <w:rFonts w:hint="eastAsia"/>
                <w:szCs w:val="21"/>
              </w:rPr>
              <w:t>验收标准</w:t>
            </w:r>
          </w:p>
        </w:tc>
      </w:tr>
      <w:tr w14:paraId="2DCFE6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Merge w:val="restart"/>
            <w:vAlign w:val="center"/>
          </w:tcPr>
          <w:p w14:paraId="43E16CDA">
            <w:pPr>
              <w:pStyle w:val="72"/>
              <w:rPr>
                <w:szCs w:val="21"/>
              </w:rPr>
            </w:pPr>
            <w:r>
              <w:rPr>
                <w:rFonts w:hint="eastAsia"/>
                <w:szCs w:val="21"/>
              </w:rPr>
              <w:t>废气</w:t>
            </w:r>
          </w:p>
        </w:tc>
        <w:tc>
          <w:tcPr>
            <w:tcW w:w="954" w:type="dxa"/>
            <w:vAlign w:val="center"/>
          </w:tcPr>
          <w:p w14:paraId="2D8847BB">
            <w:pPr>
              <w:pStyle w:val="72"/>
              <w:rPr>
                <w:szCs w:val="21"/>
              </w:rPr>
            </w:pPr>
            <w:r>
              <w:rPr>
                <w:rFonts w:hint="eastAsia"/>
                <w:szCs w:val="21"/>
              </w:rPr>
              <w:t>印刷、复合（有组织）</w:t>
            </w:r>
          </w:p>
        </w:tc>
        <w:tc>
          <w:tcPr>
            <w:tcW w:w="1153" w:type="dxa"/>
            <w:vMerge w:val="restart"/>
            <w:vAlign w:val="center"/>
          </w:tcPr>
          <w:p w14:paraId="563C7965">
            <w:pPr>
              <w:pStyle w:val="72"/>
              <w:rPr>
                <w:szCs w:val="21"/>
              </w:rPr>
            </w:pPr>
            <w:r>
              <w:rPr>
                <w:rFonts w:hint="eastAsia"/>
                <w:szCs w:val="21"/>
              </w:rPr>
              <w:t>挥发性有机物</w:t>
            </w:r>
          </w:p>
        </w:tc>
        <w:tc>
          <w:tcPr>
            <w:tcW w:w="1765" w:type="dxa"/>
            <w:vAlign w:val="center"/>
          </w:tcPr>
          <w:p w14:paraId="601B4787">
            <w:pPr>
              <w:pStyle w:val="72"/>
              <w:rPr>
                <w:szCs w:val="21"/>
              </w:rPr>
            </w:pPr>
            <w:r>
              <w:rPr>
                <w:rFonts w:hint="eastAsia"/>
                <w:szCs w:val="21"/>
              </w:rPr>
              <w:t>“吸附浓缩+溶剂回收设备+20.5m排气筒”</w:t>
            </w:r>
          </w:p>
        </w:tc>
        <w:tc>
          <w:tcPr>
            <w:tcW w:w="974" w:type="dxa"/>
            <w:vAlign w:val="center"/>
          </w:tcPr>
          <w:p w14:paraId="62EA0B21">
            <w:pPr>
              <w:pStyle w:val="72"/>
              <w:rPr>
                <w:szCs w:val="21"/>
              </w:rPr>
            </w:pPr>
            <w:r>
              <w:rPr>
                <w:rFonts w:hint="eastAsia"/>
                <w:szCs w:val="21"/>
              </w:rPr>
              <w:t>DA001排气筒高空排放</w:t>
            </w:r>
          </w:p>
        </w:tc>
        <w:tc>
          <w:tcPr>
            <w:tcW w:w="981" w:type="dxa"/>
            <w:tcBorders>
              <w:bottom w:val="single" w:color="auto" w:sz="4" w:space="0"/>
            </w:tcBorders>
            <w:vAlign w:val="center"/>
          </w:tcPr>
          <w:p w14:paraId="6F388721">
            <w:pPr>
              <w:pStyle w:val="72"/>
              <w:rPr>
                <w:szCs w:val="21"/>
              </w:rPr>
            </w:pPr>
            <w:r>
              <w:rPr>
                <w:rFonts w:hint="eastAsia"/>
                <w:szCs w:val="21"/>
              </w:rPr>
              <w:t>室外排放</w:t>
            </w:r>
          </w:p>
        </w:tc>
        <w:tc>
          <w:tcPr>
            <w:tcW w:w="1768" w:type="dxa"/>
            <w:tcBorders>
              <w:bottom w:val="single" w:color="auto" w:sz="4" w:space="0"/>
            </w:tcBorders>
            <w:vAlign w:val="center"/>
          </w:tcPr>
          <w:p w14:paraId="2DB66C75">
            <w:pPr>
              <w:pStyle w:val="72"/>
              <w:rPr>
                <w:rFonts w:hint="default" w:eastAsia="宋体"/>
                <w:szCs w:val="21"/>
                <w:u w:val="single"/>
                <w:lang w:val="en-US" w:eastAsia="zh-CN"/>
              </w:rPr>
            </w:pPr>
            <w:r>
              <w:rPr>
                <w:rFonts w:hint="eastAsia"/>
                <w:sz w:val="21"/>
                <w:szCs w:val="21"/>
                <w:u w:val="single"/>
              </w:rPr>
              <w:t>湖南省地标《工业企业挥发性有机物排放标准》（</w:t>
            </w:r>
            <w:r>
              <w:rPr>
                <w:rFonts w:hint="eastAsia"/>
                <w:sz w:val="21"/>
                <w:szCs w:val="21"/>
                <w:u w:val="single"/>
                <w:lang w:val="en-US" w:eastAsia="zh-CN"/>
              </w:rPr>
              <w:t>DB43/3550-2026）</w:t>
            </w:r>
            <w:r>
              <w:rPr>
                <w:rFonts w:hint="eastAsia"/>
                <w:sz w:val="21"/>
                <w:szCs w:val="21"/>
                <w:u w:val="single"/>
              </w:rPr>
              <w:t>表1</w:t>
            </w:r>
            <w:r>
              <w:rPr>
                <w:rFonts w:hint="eastAsia"/>
                <w:sz w:val="21"/>
                <w:szCs w:val="21"/>
                <w:u w:val="single"/>
                <w:lang w:val="en-US" w:eastAsia="zh-CN"/>
              </w:rPr>
              <w:t>印刷业限值</w:t>
            </w:r>
          </w:p>
        </w:tc>
      </w:tr>
      <w:tr w14:paraId="50A771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Merge w:val="continue"/>
            <w:vAlign w:val="center"/>
          </w:tcPr>
          <w:p w14:paraId="1C1FA4E7">
            <w:pPr>
              <w:pStyle w:val="72"/>
              <w:rPr>
                <w:szCs w:val="21"/>
              </w:rPr>
            </w:pPr>
          </w:p>
        </w:tc>
        <w:tc>
          <w:tcPr>
            <w:tcW w:w="954" w:type="dxa"/>
            <w:vAlign w:val="center"/>
          </w:tcPr>
          <w:p w14:paraId="654F78C4">
            <w:pPr>
              <w:pStyle w:val="72"/>
              <w:rPr>
                <w:szCs w:val="21"/>
              </w:rPr>
            </w:pPr>
            <w:r>
              <w:rPr>
                <w:rFonts w:hint="eastAsia"/>
                <w:szCs w:val="21"/>
              </w:rPr>
              <w:t>印刷、复合（无组织）</w:t>
            </w:r>
          </w:p>
        </w:tc>
        <w:tc>
          <w:tcPr>
            <w:tcW w:w="1153" w:type="dxa"/>
            <w:vMerge w:val="continue"/>
            <w:vAlign w:val="center"/>
          </w:tcPr>
          <w:p w14:paraId="6BEC4A1B">
            <w:pPr>
              <w:pStyle w:val="72"/>
              <w:rPr>
                <w:szCs w:val="21"/>
              </w:rPr>
            </w:pPr>
          </w:p>
        </w:tc>
        <w:tc>
          <w:tcPr>
            <w:tcW w:w="1765" w:type="dxa"/>
            <w:vAlign w:val="center"/>
          </w:tcPr>
          <w:p w14:paraId="6EE6E4CB">
            <w:pPr>
              <w:pStyle w:val="72"/>
              <w:rPr>
                <w:szCs w:val="21"/>
                <w:lang w:val="zh-CN"/>
              </w:rPr>
            </w:pPr>
            <w:r>
              <w:rPr>
                <w:rFonts w:hint="eastAsia"/>
                <w:szCs w:val="21"/>
                <w:lang w:val="zh-CN"/>
              </w:rPr>
              <w:t>强化车间封闭、设备维护，尽可能减少无组织排放</w:t>
            </w:r>
          </w:p>
        </w:tc>
        <w:tc>
          <w:tcPr>
            <w:tcW w:w="974" w:type="dxa"/>
            <w:vAlign w:val="center"/>
          </w:tcPr>
          <w:p w14:paraId="6D97C266">
            <w:pPr>
              <w:pStyle w:val="72"/>
              <w:rPr>
                <w:szCs w:val="21"/>
              </w:rPr>
            </w:pPr>
            <w:r>
              <w:rPr>
                <w:rFonts w:hint="eastAsia"/>
                <w:szCs w:val="21"/>
              </w:rPr>
              <w:t>车间内</w:t>
            </w:r>
          </w:p>
          <w:p w14:paraId="4FF6BC3C">
            <w:pPr>
              <w:pStyle w:val="72"/>
              <w:rPr>
                <w:szCs w:val="21"/>
              </w:rPr>
            </w:pPr>
            <w:r>
              <w:rPr>
                <w:rFonts w:hint="eastAsia"/>
                <w:szCs w:val="21"/>
              </w:rPr>
              <w:t>散排</w:t>
            </w:r>
          </w:p>
        </w:tc>
        <w:tc>
          <w:tcPr>
            <w:tcW w:w="981" w:type="dxa"/>
            <w:tcBorders>
              <w:top w:val="single" w:color="auto" w:sz="4" w:space="0"/>
            </w:tcBorders>
            <w:vAlign w:val="center"/>
          </w:tcPr>
          <w:p w14:paraId="641F5924">
            <w:pPr>
              <w:pStyle w:val="72"/>
              <w:rPr>
                <w:szCs w:val="21"/>
              </w:rPr>
            </w:pPr>
            <w:r>
              <w:rPr>
                <w:rFonts w:hint="eastAsia"/>
                <w:szCs w:val="21"/>
              </w:rPr>
              <w:t>室内排放</w:t>
            </w:r>
          </w:p>
        </w:tc>
        <w:tc>
          <w:tcPr>
            <w:tcW w:w="1768" w:type="dxa"/>
            <w:tcBorders>
              <w:top w:val="single" w:color="auto" w:sz="4" w:space="0"/>
            </w:tcBorders>
            <w:vAlign w:val="center"/>
          </w:tcPr>
          <w:p w14:paraId="3DD5905E">
            <w:pPr>
              <w:pStyle w:val="72"/>
              <w:rPr>
                <w:rFonts w:hint="eastAsia" w:eastAsia="宋体"/>
                <w:sz w:val="21"/>
                <w:szCs w:val="21"/>
                <w:u w:val="single"/>
                <w:lang w:eastAsia="zh-CN"/>
              </w:rPr>
            </w:pPr>
            <w:r>
              <w:rPr>
                <w:rFonts w:hint="eastAsia"/>
                <w:sz w:val="21"/>
                <w:szCs w:val="21"/>
                <w:u w:val="single"/>
                <w:lang w:val="en-US" w:eastAsia="zh-CN"/>
              </w:rPr>
              <w:t>厂内：</w:t>
            </w:r>
            <w:r>
              <w:rPr>
                <w:rFonts w:hint="eastAsia"/>
                <w:sz w:val="21"/>
                <w:szCs w:val="21"/>
                <w:u w:val="single"/>
              </w:rPr>
              <w:t>湖南省地标《工业企业挥发性有机物排放标准》（</w:t>
            </w:r>
            <w:r>
              <w:rPr>
                <w:rFonts w:hint="eastAsia"/>
                <w:sz w:val="21"/>
                <w:szCs w:val="21"/>
                <w:u w:val="single"/>
                <w:lang w:val="en-US" w:eastAsia="zh-CN"/>
              </w:rPr>
              <w:t>DB43/3550-2026）</w:t>
            </w:r>
            <w:r>
              <w:rPr>
                <w:rFonts w:hint="eastAsia"/>
                <w:sz w:val="21"/>
                <w:szCs w:val="21"/>
                <w:u w:val="single"/>
              </w:rPr>
              <w:t>表</w:t>
            </w:r>
            <w:r>
              <w:rPr>
                <w:rFonts w:hint="eastAsia"/>
                <w:sz w:val="21"/>
                <w:szCs w:val="21"/>
                <w:u w:val="single"/>
                <w:lang w:val="en-US" w:eastAsia="zh-CN"/>
              </w:rPr>
              <w:t>2限值；</w:t>
            </w:r>
          </w:p>
          <w:p w14:paraId="4C08D0E4">
            <w:pPr>
              <w:pStyle w:val="72"/>
              <w:rPr>
                <w:szCs w:val="21"/>
                <w:u w:val="single"/>
              </w:rPr>
            </w:pPr>
            <w:r>
              <w:rPr>
                <w:rFonts w:hint="eastAsia"/>
                <w:sz w:val="21"/>
                <w:szCs w:val="21"/>
                <w:u w:val="single"/>
                <w:lang w:val="en-US" w:eastAsia="zh-CN"/>
              </w:rPr>
              <w:t>厂界：</w:t>
            </w:r>
            <w:r>
              <w:rPr>
                <w:rFonts w:hint="eastAsia"/>
                <w:sz w:val="21"/>
                <w:szCs w:val="21"/>
                <w:u w:val="single"/>
              </w:rPr>
              <w:t>《大气污染物综合排放标准》（GB16297-1996）表2</w:t>
            </w:r>
          </w:p>
        </w:tc>
      </w:tr>
      <w:tr w14:paraId="56CCA9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Merge w:val="continue"/>
            <w:vAlign w:val="center"/>
          </w:tcPr>
          <w:p w14:paraId="4D2FD595">
            <w:pPr>
              <w:pStyle w:val="72"/>
              <w:rPr>
                <w:szCs w:val="21"/>
              </w:rPr>
            </w:pPr>
          </w:p>
        </w:tc>
        <w:tc>
          <w:tcPr>
            <w:tcW w:w="954" w:type="dxa"/>
            <w:vMerge w:val="restart"/>
            <w:vAlign w:val="center"/>
          </w:tcPr>
          <w:p w14:paraId="6ED435FA">
            <w:pPr>
              <w:pStyle w:val="72"/>
              <w:rPr>
                <w:szCs w:val="21"/>
              </w:rPr>
            </w:pPr>
            <w:r>
              <w:rPr>
                <w:rFonts w:hint="eastAsia"/>
                <w:szCs w:val="21"/>
              </w:rPr>
              <w:t>印刷、复合</w:t>
            </w:r>
          </w:p>
        </w:tc>
        <w:tc>
          <w:tcPr>
            <w:tcW w:w="1153" w:type="dxa"/>
            <w:vMerge w:val="restart"/>
            <w:vAlign w:val="center"/>
          </w:tcPr>
          <w:p w14:paraId="536FAD57">
            <w:pPr>
              <w:pStyle w:val="72"/>
              <w:rPr>
                <w:szCs w:val="21"/>
              </w:rPr>
            </w:pPr>
            <w:r>
              <w:rPr>
                <w:rFonts w:hint="eastAsia"/>
                <w:szCs w:val="21"/>
              </w:rPr>
              <w:t>臭气浓度</w:t>
            </w:r>
          </w:p>
        </w:tc>
        <w:tc>
          <w:tcPr>
            <w:tcW w:w="1765" w:type="dxa"/>
            <w:vMerge w:val="restart"/>
            <w:vAlign w:val="center"/>
          </w:tcPr>
          <w:p w14:paraId="5AE4AEB0">
            <w:pPr>
              <w:pStyle w:val="72"/>
              <w:rPr>
                <w:szCs w:val="21"/>
              </w:rPr>
            </w:pPr>
            <w:r>
              <w:rPr>
                <w:rFonts w:hint="eastAsia"/>
                <w:szCs w:val="21"/>
              </w:rPr>
              <w:t>/</w:t>
            </w:r>
          </w:p>
        </w:tc>
        <w:tc>
          <w:tcPr>
            <w:tcW w:w="974" w:type="dxa"/>
            <w:vAlign w:val="center"/>
          </w:tcPr>
          <w:p w14:paraId="51C6F59B">
            <w:pPr>
              <w:pStyle w:val="72"/>
              <w:rPr>
                <w:szCs w:val="21"/>
              </w:rPr>
            </w:pPr>
            <w:r>
              <w:rPr>
                <w:rFonts w:hint="eastAsia"/>
                <w:szCs w:val="21"/>
              </w:rPr>
              <w:t>DA001排气筒高空排放</w:t>
            </w:r>
          </w:p>
        </w:tc>
        <w:tc>
          <w:tcPr>
            <w:tcW w:w="981" w:type="dxa"/>
            <w:tcBorders>
              <w:top w:val="single" w:color="auto" w:sz="4" w:space="0"/>
            </w:tcBorders>
            <w:vAlign w:val="center"/>
          </w:tcPr>
          <w:p w14:paraId="56B9B46E">
            <w:pPr>
              <w:pStyle w:val="72"/>
              <w:rPr>
                <w:szCs w:val="21"/>
              </w:rPr>
            </w:pPr>
            <w:r>
              <w:rPr>
                <w:rFonts w:hint="eastAsia"/>
                <w:szCs w:val="21"/>
              </w:rPr>
              <w:t>室外排放</w:t>
            </w:r>
          </w:p>
        </w:tc>
        <w:tc>
          <w:tcPr>
            <w:tcW w:w="1768" w:type="dxa"/>
            <w:tcBorders>
              <w:top w:val="single" w:color="auto" w:sz="4" w:space="0"/>
            </w:tcBorders>
            <w:vAlign w:val="center"/>
          </w:tcPr>
          <w:p w14:paraId="06A6B7CF">
            <w:pPr>
              <w:pStyle w:val="72"/>
              <w:rPr>
                <w:szCs w:val="21"/>
              </w:rPr>
            </w:pPr>
            <w:r>
              <w:rPr>
                <w:rFonts w:hint="eastAsia"/>
                <w:szCs w:val="21"/>
              </w:rPr>
              <w:t>《恶臭污染物排放标准》（GB14554-93）表2标准</w:t>
            </w:r>
          </w:p>
        </w:tc>
      </w:tr>
      <w:tr w14:paraId="076D33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Merge w:val="continue"/>
            <w:vAlign w:val="center"/>
          </w:tcPr>
          <w:p w14:paraId="708568C9">
            <w:pPr>
              <w:pStyle w:val="72"/>
              <w:rPr>
                <w:szCs w:val="21"/>
              </w:rPr>
            </w:pPr>
          </w:p>
        </w:tc>
        <w:tc>
          <w:tcPr>
            <w:tcW w:w="954" w:type="dxa"/>
            <w:vMerge w:val="continue"/>
            <w:vAlign w:val="center"/>
          </w:tcPr>
          <w:p w14:paraId="4EE85235">
            <w:pPr>
              <w:pStyle w:val="72"/>
              <w:rPr>
                <w:szCs w:val="21"/>
              </w:rPr>
            </w:pPr>
          </w:p>
        </w:tc>
        <w:tc>
          <w:tcPr>
            <w:tcW w:w="1153" w:type="dxa"/>
            <w:vMerge w:val="continue"/>
            <w:vAlign w:val="center"/>
          </w:tcPr>
          <w:p w14:paraId="0CB8419A">
            <w:pPr>
              <w:pStyle w:val="72"/>
              <w:rPr>
                <w:szCs w:val="21"/>
              </w:rPr>
            </w:pPr>
          </w:p>
        </w:tc>
        <w:tc>
          <w:tcPr>
            <w:tcW w:w="1765" w:type="dxa"/>
            <w:vMerge w:val="continue"/>
            <w:vAlign w:val="center"/>
          </w:tcPr>
          <w:p w14:paraId="727DFE9E">
            <w:pPr>
              <w:pStyle w:val="72"/>
              <w:rPr>
                <w:szCs w:val="21"/>
              </w:rPr>
            </w:pPr>
          </w:p>
        </w:tc>
        <w:tc>
          <w:tcPr>
            <w:tcW w:w="974" w:type="dxa"/>
            <w:vAlign w:val="center"/>
          </w:tcPr>
          <w:p w14:paraId="08CB8C74">
            <w:pPr>
              <w:pStyle w:val="72"/>
              <w:rPr>
                <w:szCs w:val="21"/>
              </w:rPr>
            </w:pPr>
            <w:r>
              <w:rPr>
                <w:rFonts w:hint="eastAsia"/>
                <w:szCs w:val="21"/>
              </w:rPr>
              <w:t>车间内</w:t>
            </w:r>
          </w:p>
          <w:p w14:paraId="133618EF">
            <w:pPr>
              <w:pStyle w:val="72"/>
              <w:rPr>
                <w:szCs w:val="21"/>
              </w:rPr>
            </w:pPr>
            <w:r>
              <w:rPr>
                <w:rFonts w:hint="eastAsia"/>
                <w:szCs w:val="21"/>
              </w:rPr>
              <w:t>散排</w:t>
            </w:r>
          </w:p>
        </w:tc>
        <w:tc>
          <w:tcPr>
            <w:tcW w:w="981" w:type="dxa"/>
            <w:tcBorders>
              <w:top w:val="single" w:color="auto" w:sz="4" w:space="0"/>
            </w:tcBorders>
            <w:vAlign w:val="center"/>
          </w:tcPr>
          <w:p w14:paraId="3378811A">
            <w:pPr>
              <w:pStyle w:val="72"/>
              <w:rPr>
                <w:szCs w:val="21"/>
              </w:rPr>
            </w:pPr>
            <w:r>
              <w:rPr>
                <w:rFonts w:hint="eastAsia"/>
                <w:szCs w:val="21"/>
              </w:rPr>
              <w:t>室内排放</w:t>
            </w:r>
          </w:p>
        </w:tc>
        <w:tc>
          <w:tcPr>
            <w:tcW w:w="1768" w:type="dxa"/>
            <w:tcBorders>
              <w:top w:val="single" w:color="auto" w:sz="4" w:space="0"/>
            </w:tcBorders>
            <w:vAlign w:val="center"/>
          </w:tcPr>
          <w:p w14:paraId="6AC7B344">
            <w:pPr>
              <w:pStyle w:val="72"/>
              <w:rPr>
                <w:szCs w:val="21"/>
              </w:rPr>
            </w:pPr>
            <w:r>
              <w:rPr>
                <w:rFonts w:hint="eastAsia"/>
                <w:szCs w:val="21"/>
              </w:rPr>
              <w:t>《恶臭污染物排放标准》（GB14554-93）表1中二级标准</w:t>
            </w:r>
          </w:p>
        </w:tc>
      </w:tr>
      <w:tr w14:paraId="2EC504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Merge w:val="continue"/>
            <w:vAlign w:val="center"/>
          </w:tcPr>
          <w:p w14:paraId="03872621">
            <w:pPr>
              <w:pStyle w:val="72"/>
              <w:rPr>
                <w:szCs w:val="21"/>
              </w:rPr>
            </w:pPr>
          </w:p>
        </w:tc>
        <w:tc>
          <w:tcPr>
            <w:tcW w:w="954" w:type="dxa"/>
            <w:vAlign w:val="center"/>
          </w:tcPr>
          <w:p w14:paraId="25244E72">
            <w:pPr>
              <w:pStyle w:val="72"/>
              <w:rPr>
                <w:szCs w:val="21"/>
              </w:rPr>
            </w:pPr>
            <w:r>
              <w:rPr>
                <w:rFonts w:hint="eastAsia"/>
                <w:szCs w:val="21"/>
                <w:lang w:val="en-US" w:eastAsia="zh-CN"/>
              </w:rPr>
              <w:t>导热油锅炉</w:t>
            </w:r>
            <w:r>
              <w:rPr>
                <w:rFonts w:hint="eastAsia"/>
                <w:szCs w:val="21"/>
              </w:rPr>
              <w:t>燃烧</w:t>
            </w:r>
          </w:p>
        </w:tc>
        <w:tc>
          <w:tcPr>
            <w:tcW w:w="1153" w:type="dxa"/>
            <w:vAlign w:val="center"/>
          </w:tcPr>
          <w:p w14:paraId="516E762F">
            <w:pPr>
              <w:pStyle w:val="72"/>
              <w:rPr>
                <w:szCs w:val="21"/>
              </w:rPr>
            </w:pPr>
            <w:r>
              <w:rPr>
                <w:rFonts w:hint="eastAsia"/>
                <w:szCs w:val="21"/>
              </w:rPr>
              <w:t>SO</w:t>
            </w:r>
            <w:r>
              <w:rPr>
                <w:rFonts w:hint="eastAsia"/>
                <w:szCs w:val="21"/>
                <w:vertAlign w:val="subscript"/>
              </w:rPr>
              <w:t>2</w:t>
            </w:r>
            <w:r>
              <w:rPr>
                <w:rFonts w:hint="eastAsia"/>
                <w:szCs w:val="21"/>
              </w:rPr>
              <w:t>、NO</w:t>
            </w:r>
            <w:r>
              <w:rPr>
                <w:rFonts w:hint="eastAsia"/>
                <w:szCs w:val="21"/>
                <w:vertAlign w:val="subscript"/>
              </w:rPr>
              <w:t>X</w:t>
            </w:r>
            <w:r>
              <w:rPr>
                <w:rFonts w:hint="eastAsia"/>
                <w:szCs w:val="21"/>
              </w:rPr>
              <w:t>、烟尘</w:t>
            </w:r>
          </w:p>
        </w:tc>
        <w:tc>
          <w:tcPr>
            <w:tcW w:w="1765" w:type="dxa"/>
            <w:vMerge w:val="restart"/>
            <w:vAlign w:val="center"/>
          </w:tcPr>
          <w:p w14:paraId="78ABC0EF">
            <w:pPr>
              <w:pStyle w:val="72"/>
              <w:rPr>
                <w:szCs w:val="21"/>
              </w:rPr>
            </w:pPr>
            <w:r>
              <w:rPr>
                <w:rFonts w:hint="eastAsia"/>
                <w:szCs w:val="21"/>
              </w:rPr>
              <w:t>低氮燃烧+16m排气筒（DA002）</w:t>
            </w:r>
          </w:p>
        </w:tc>
        <w:tc>
          <w:tcPr>
            <w:tcW w:w="974" w:type="dxa"/>
            <w:vMerge w:val="restart"/>
            <w:vAlign w:val="center"/>
          </w:tcPr>
          <w:p w14:paraId="1EC1E2DA">
            <w:pPr>
              <w:pStyle w:val="72"/>
              <w:rPr>
                <w:szCs w:val="21"/>
              </w:rPr>
            </w:pPr>
            <w:r>
              <w:rPr>
                <w:rFonts w:hint="eastAsia"/>
                <w:szCs w:val="21"/>
              </w:rPr>
              <w:t>高空排放</w:t>
            </w:r>
          </w:p>
        </w:tc>
        <w:tc>
          <w:tcPr>
            <w:tcW w:w="981" w:type="dxa"/>
            <w:vMerge w:val="restart"/>
            <w:tcBorders>
              <w:top w:val="single" w:color="auto" w:sz="4" w:space="0"/>
            </w:tcBorders>
            <w:vAlign w:val="center"/>
          </w:tcPr>
          <w:p w14:paraId="288C3529">
            <w:pPr>
              <w:pStyle w:val="72"/>
              <w:rPr>
                <w:szCs w:val="21"/>
              </w:rPr>
            </w:pPr>
            <w:r>
              <w:rPr>
                <w:rFonts w:hint="eastAsia"/>
                <w:szCs w:val="21"/>
              </w:rPr>
              <w:t>室外排放</w:t>
            </w:r>
          </w:p>
        </w:tc>
        <w:tc>
          <w:tcPr>
            <w:tcW w:w="1768" w:type="dxa"/>
            <w:vMerge w:val="restart"/>
            <w:tcBorders>
              <w:top w:val="single" w:color="auto" w:sz="4" w:space="0"/>
            </w:tcBorders>
            <w:vAlign w:val="center"/>
          </w:tcPr>
          <w:p w14:paraId="53F03F45">
            <w:pPr>
              <w:pStyle w:val="72"/>
              <w:rPr>
                <w:szCs w:val="21"/>
              </w:rPr>
            </w:pPr>
            <w:r>
              <w:rPr>
                <w:rFonts w:hint="eastAsia"/>
                <w:szCs w:val="21"/>
              </w:rPr>
              <w:t>《锅炉大气污染物排放标准》（GB13271-2014）中表3特别排放限值</w:t>
            </w:r>
          </w:p>
        </w:tc>
      </w:tr>
      <w:tr w14:paraId="00D41B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Merge w:val="continue"/>
            <w:vAlign w:val="center"/>
          </w:tcPr>
          <w:p w14:paraId="2B564C34">
            <w:pPr>
              <w:pStyle w:val="72"/>
              <w:rPr>
                <w:szCs w:val="21"/>
              </w:rPr>
            </w:pPr>
          </w:p>
        </w:tc>
        <w:tc>
          <w:tcPr>
            <w:tcW w:w="954" w:type="dxa"/>
            <w:vAlign w:val="center"/>
          </w:tcPr>
          <w:p w14:paraId="199A75AD">
            <w:pPr>
              <w:pStyle w:val="72"/>
              <w:rPr>
                <w:rFonts w:hint="eastAsia" w:eastAsia="宋体"/>
                <w:szCs w:val="21"/>
                <w:lang w:val="en-US" w:eastAsia="zh-CN"/>
              </w:rPr>
            </w:pPr>
            <w:r>
              <w:rPr>
                <w:rFonts w:hint="eastAsia"/>
                <w:szCs w:val="21"/>
                <w:lang w:val="en-US" w:eastAsia="zh-CN"/>
              </w:rPr>
              <w:t>热水锅炉</w:t>
            </w:r>
          </w:p>
          <w:p w14:paraId="361B3A32">
            <w:pPr>
              <w:pStyle w:val="72"/>
              <w:rPr>
                <w:szCs w:val="21"/>
              </w:rPr>
            </w:pPr>
            <w:r>
              <w:rPr>
                <w:rFonts w:hint="eastAsia"/>
                <w:szCs w:val="21"/>
              </w:rPr>
              <w:t>燃烧</w:t>
            </w:r>
          </w:p>
        </w:tc>
        <w:tc>
          <w:tcPr>
            <w:tcW w:w="1153" w:type="dxa"/>
            <w:vAlign w:val="center"/>
          </w:tcPr>
          <w:p w14:paraId="648C0F96">
            <w:pPr>
              <w:pStyle w:val="72"/>
              <w:rPr>
                <w:szCs w:val="21"/>
              </w:rPr>
            </w:pPr>
            <w:r>
              <w:rPr>
                <w:rFonts w:hint="eastAsia"/>
                <w:szCs w:val="21"/>
              </w:rPr>
              <w:t>SO</w:t>
            </w:r>
            <w:r>
              <w:rPr>
                <w:rFonts w:hint="eastAsia"/>
                <w:szCs w:val="21"/>
                <w:vertAlign w:val="subscript"/>
              </w:rPr>
              <w:t>2</w:t>
            </w:r>
            <w:r>
              <w:rPr>
                <w:rFonts w:hint="eastAsia"/>
                <w:szCs w:val="21"/>
              </w:rPr>
              <w:t>、NO</w:t>
            </w:r>
            <w:r>
              <w:rPr>
                <w:rFonts w:hint="eastAsia"/>
                <w:szCs w:val="21"/>
                <w:vertAlign w:val="subscript"/>
              </w:rPr>
              <w:t>X</w:t>
            </w:r>
            <w:r>
              <w:rPr>
                <w:rFonts w:hint="eastAsia"/>
                <w:szCs w:val="21"/>
              </w:rPr>
              <w:t>、烟尘</w:t>
            </w:r>
          </w:p>
        </w:tc>
        <w:tc>
          <w:tcPr>
            <w:tcW w:w="1765" w:type="dxa"/>
            <w:vMerge w:val="continue"/>
            <w:vAlign w:val="center"/>
          </w:tcPr>
          <w:p w14:paraId="406EF745">
            <w:pPr>
              <w:pStyle w:val="72"/>
              <w:rPr>
                <w:szCs w:val="21"/>
              </w:rPr>
            </w:pPr>
          </w:p>
        </w:tc>
        <w:tc>
          <w:tcPr>
            <w:tcW w:w="974" w:type="dxa"/>
            <w:vMerge w:val="continue"/>
            <w:vAlign w:val="center"/>
          </w:tcPr>
          <w:p w14:paraId="434E3072">
            <w:pPr>
              <w:pStyle w:val="72"/>
              <w:rPr>
                <w:szCs w:val="21"/>
              </w:rPr>
            </w:pPr>
          </w:p>
        </w:tc>
        <w:tc>
          <w:tcPr>
            <w:tcW w:w="981" w:type="dxa"/>
            <w:vMerge w:val="continue"/>
            <w:vAlign w:val="center"/>
          </w:tcPr>
          <w:p w14:paraId="614A91A2">
            <w:pPr>
              <w:pStyle w:val="72"/>
              <w:rPr>
                <w:szCs w:val="21"/>
              </w:rPr>
            </w:pPr>
          </w:p>
        </w:tc>
        <w:tc>
          <w:tcPr>
            <w:tcW w:w="1768" w:type="dxa"/>
            <w:vMerge w:val="continue"/>
            <w:vAlign w:val="center"/>
          </w:tcPr>
          <w:p w14:paraId="27ED786D">
            <w:pPr>
              <w:pStyle w:val="72"/>
              <w:rPr>
                <w:szCs w:val="21"/>
              </w:rPr>
            </w:pPr>
          </w:p>
        </w:tc>
      </w:tr>
      <w:tr w14:paraId="5EDB15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67" w:type="dxa"/>
            <w:vAlign w:val="center"/>
          </w:tcPr>
          <w:p w14:paraId="004AFBF5">
            <w:pPr>
              <w:pStyle w:val="72"/>
              <w:rPr>
                <w:szCs w:val="21"/>
              </w:rPr>
            </w:pPr>
            <w:r>
              <w:rPr>
                <w:rFonts w:hint="eastAsia"/>
                <w:szCs w:val="21"/>
              </w:rPr>
              <w:t>废水</w:t>
            </w:r>
          </w:p>
        </w:tc>
        <w:tc>
          <w:tcPr>
            <w:tcW w:w="954" w:type="dxa"/>
            <w:vAlign w:val="center"/>
          </w:tcPr>
          <w:p w14:paraId="05181578">
            <w:pPr>
              <w:pStyle w:val="72"/>
              <w:rPr>
                <w:szCs w:val="21"/>
              </w:rPr>
            </w:pPr>
            <w:r>
              <w:rPr>
                <w:rFonts w:hint="eastAsia"/>
                <w:szCs w:val="21"/>
              </w:rPr>
              <w:t>生活污水</w:t>
            </w:r>
          </w:p>
        </w:tc>
        <w:tc>
          <w:tcPr>
            <w:tcW w:w="1153" w:type="dxa"/>
            <w:vAlign w:val="center"/>
          </w:tcPr>
          <w:p w14:paraId="4FB9C67B">
            <w:pPr>
              <w:pStyle w:val="72"/>
              <w:rPr>
                <w:szCs w:val="21"/>
              </w:rPr>
            </w:pPr>
            <w:r>
              <w:rPr>
                <w:rFonts w:hint="eastAsia"/>
                <w:szCs w:val="21"/>
              </w:rPr>
              <w:t>COD、SS、NH</w:t>
            </w:r>
            <w:r>
              <w:rPr>
                <w:rFonts w:hint="eastAsia"/>
                <w:szCs w:val="21"/>
                <w:vertAlign w:val="subscript"/>
              </w:rPr>
              <w:t>3</w:t>
            </w:r>
            <w:r>
              <w:rPr>
                <w:rFonts w:hint="eastAsia"/>
                <w:szCs w:val="21"/>
              </w:rPr>
              <w:t>-N</w:t>
            </w:r>
            <w:r>
              <w:rPr>
                <w:rFonts w:hint="eastAsia"/>
                <w:szCs w:val="21"/>
                <w:lang w:val="pt-BR"/>
              </w:rPr>
              <w:t>、</w:t>
            </w:r>
            <w:r>
              <w:rPr>
                <w:rFonts w:hint="eastAsia"/>
                <w:szCs w:val="21"/>
              </w:rPr>
              <w:t>动植物油</w:t>
            </w:r>
          </w:p>
        </w:tc>
        <w:tc>
          <w:tcPr>
            <w:tcW w:w="1765" w:type="dxa"/>
            <w:vAlign w:val="center"/>
          </w:tcPr>
          <w:p w14:paraId="66C7F0CC">
            <w:pPr>
              <w:pStyle w:val="72"/>
              <w:rPr>
                <w:szCs w:val="21"/>
              </w:rPr>
            </w:pPr>
            <w:r>
              <w:rPr>
                <w:rFonts w:hint="eastAsia"/>
                <w:szCs w:val="21"/>
              </w:rPr>
              <w:t>厂区化粪池处理</w:t>
            </w:r>
          </w:p>
        </w:tc>
        <w:tc>
          <w:tcPr>
            <w:tcW w:w="974" w:type="dxa"/>
            <w:vAlign w:val="center"/>
          </w:tcPr>
          <w:p w14:paraId="31E8959C">
            <w:pPr>
              <w:pStyle w:val="72"/>
              <w:rPr>
                <w:szCs w:val="21"/>
              </w:rPr>
            </w:pPr>
            <w:r>
              <w:rPr>
                <w:rFonts w:hint="eastAsia"/>
                <w:szCs w:val="21"/>
              </w:rPr>
              <w:t>现有化粪池预处理后纳入城市污水处理厂</w:t>
            </w:r>
          </w:p>
        </w:tc>
        <w:tc>
          <w:tcPr>
            <w:tcW w:w="981" w:type="dxa"/>
            <w:vAlign w:val="center"/>
          </w:tcPr>
          <w:p w14:paraId="16E582F5">
            <w:pPr>
              <w:pStyle w:val="72"/>
              <w:rPr>
                <w:szCs w:val="21"/>
              </w:rPr>
            </w:pPr>
            <w:r>
              <w:rPr>
                <w:rFonts w:hint="eastAsia"/>
                <w:szCs w:val="21"/>
              </w:rPr>
              <w:t>纳入湘潭县污水处理厂，最终排湘江</w:t>
            </w:r>
          </w:p>
        </w:tc>
        <w:tc>
          <w:tcPr>
            <w:tcW w:w="1768" w:type="dxa"/>
            <w:vAlign w:val="center"/>
          </w:tcPr>
          <w:p w14:paraId="44492DFF">
            <w:pPr>
              <w:pStyle w:val="72"/>
              <w:rPr>
                <w:szCs w:val="21"/>
              </w:rPr>
            </w:pPr>
            <w:r>
              <w:rPr>
                <w:rFonts w:hint="eastAsia"/>
                <w:szCs w:val="21"/>
              </w:rPr>
              <w:t>厂区总排口达到《污水综合排放标准》（GB89781996）表4中三级标准</w:t>
            </w:r>
          </w:p>
        </w:tc>
      </w:tr>
      <w:tr w14:paraId="2650EA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Align w:val="center"/>
          </w:tcPr>
          <w:p w14:paraId="6740AD08">
            <w:pPr>
              <w:pStyle w:val="72"/>
              <w:rPr>
                <w:szCs w:val="21"/>
              </w:rPr>
            </w:pPr>
            <w:r>
              <w:rPr>
                <w:rFonts w:hint="eastAsia"/>
                <w:szCs w:val="21"/>
              </w:rPr>
              <w:t>固体废物类型</w:t>
            </w:r>
          </w:p>
        </w:tc>
        <w:tc>
          <w:tcPr>
            <w:tcW w:w="1153" w:type="dxa"/>
            <w:vAlign w:val="center"/>
          </w:tcPr>
          <w:p w14:paraId="1BB308D6">
            <w:pPr>
              <w:pStyle w:val="72"/>
              <w:rPr>
                <w:szCs w:val="21"/>
              </w:rPr>
            </w:pPr>
            <w:r>
              <w:rPr>
                <w:rFonts w:hint="eastAsia"/>
                <w:szCs w:val="21"/>
              </w:rPr>
              <w:t>名称</w:t>
            </w:r>
          </w:p>
        </w:tc>
        <w:tc>
          <w:tcPr>
            <w:tcW w:w="1765" w:type="dxa"/>
            <w:vAlign w:val="center"/>
          </w:tcPr>
          <w:p w14:paraId="0E06437F">
            <w:pPr>
              <w:pStyle w:val="72"/>
              <w:rPr>
                <w:szCs w:val="21"/>
              </w:rPr>
            </w:pPr>
            <w:r>
              <w:rPr>
                <w:rFonts w:hint="eastAsia"/>
                <w:szCs w:val="21"/>
              </w:rPr>
              <w:t>暂存或贮存场所</w:t>
            </w:r>
          </w:p>
        </w:tc>
        <w:tc>
          <w:tcPr>
            <w:tcW w:w="1955" w:type="dxa"/>
            <w:gridSpan w:val="2"/>
            <w:vAlign w:val="center"/>
          </w:tcPr>
          <w:p w14:paraId="02FA68C4">
            <w:pPr>
              <w:pStyle w:val="72"/>
              <w:rPr>
                <w:szCs w:val="21"/>
              </w:rPr>
            </w:pPr>
            <w:r>
              <w:rPr>
                <w:rFonts w:hint="eastAsia"/>
                <w:szCs w:val="21"/>
              </w:rPr>
              <w:t>处理处置方式</w:t>
            </w:r>
          </w:p>
        </w:tc>
        <w:tc>
          <w:tcPr>
            <w:tcW w:w="1768" w:type="dxa"/>
            <w:vAlign w:val="center"/>
          </w:tcPr>
          <w:p w14:paraId="6024B5D5">
            <w:pPr>
              <w:pStyle w:val="72"/>
              <w:rPr>
                <w:szCs w:val="21"/>
              </w:rPr>
            </w:pPr>
            <w:r>
              <w:rPr>
                <w:rFonts w:hint="eastAsia"/>
                <w:szCs w:val="21"/>
              </w:rPr>
              <w:t>验收标准</w:t>
            </w:r>
          </w:p>
        </w:tc>
      </w:tr>
      <w:tr w14:paraId="31A821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Align w:val="center"/>
          </w:tcPr>
          <w:p w14:paraId="5FEB1A09">
            <w:pPr>
              <w:pStyle w:val="72"/>
              <w:rPr>
                <w:szCs w:val="21"/>
              </w:rPr>
            </w:pPr>
            <w:r>
              <w:rPr>
                <w:rFonts w:hint="eastAsia"/>
                <w:szCs w:val="21"/>
              </w:rPr>
              <w:t>一般工业固废</w:t>
            </w:r>
          </w:p>
        </w:tc>
        <w:tc>
          <w:tcPr>
            <w:tcW w:w="1153" w:type="dxa"/>
            <w:tcBorders>
              <w:bottom w:val="single" w:color="auto" w:sz="4" w:space="0"/>
            </w:tcBorders>
            <w:vAlign w:val="center"/>
          </w:tcPr>
          <w:p w14:paraId="1D7C8AD3">
            <w:pPr>
              <w:pStyle w:val="72"/>
              <w:rPr>
                <w:szCs w:val="21"/>
              </w:rPr>
            </w:pPr>
            <w:r>
              <w:rPr>
                <w:rFonts w:hint="eastAsia"/>
                <w:szCs w:val="21"/>
              </w:rPr>
              <w:t>废印刷版、废边角料、废烫金膜、不合格品、废弃包装材料等</w:t>
            </w:r>
          </w:p>
        </w:tc>
        <w:tc>
          <w:tcPr>
            <w:tcW w:w="1765" w:type="dxa"/>
            <w:vAlign w:val="center"/>
          </w:tcPr>
          <w:p w14:paraId="3ACCEF74">
            <w:pPr>
              <w:pStyle w:val="72"/>
              <w:rPr>
                <w:szCs w:val="21"/>
              </w:rPr>
            </w:pPr>
            <w:r>
              <w:rPr>
                <w:rFonts w:hint="eastAsia"/>
                <w:szCs w:val="21"/>
              </w:rPr>
              <w:t>相应的收集区</w:t>
            </w:r>
          </w:p>
        </w:tc>
        <w:tc>
          <w:tcPr>
            <w:tcW w:w="1955" w:type="dxa"/>
            <w:gridSpan w:val="2"/>
            <w:vAlign w:val="center"/>
          </w:tcPr>
          <w:p w14:paraId="4A6540C9">
            <w:pPr>
              <w:pStyle w:val="72"/>
              <w:rPr>
                <w:szCs w:val="21"/>
              </w:rPr>
            </w:pPr>
            <w:r>
              <w:rPr>
                <w:rFonts w:hint="eastAsia"/>
                <w:szCs w:val="21"/>
              </w:rPr>
              <w:t>定期收集后外售处理</w:t>
            </w:r>
          </w:p>
        </w:tc>
        <w:tc>
          <w:tcPr>
            <w:tcW w:w="1768" w:type="dxa"/>
            <w:vAlign w:val="center"/>
          </w:tcPr>
          <w:p w14:paraId="1A5A38FF">
            <w:pPr>
              <w:pStyle w:val="72"/>
              <w:rPr>
                <w:szCs w:val="21"/>
              </w:rPr>
            </w:pPr>
            <w:r>
              <w:rPr>
                <w:rFonts w:hint="eastAsia"/>
                <w:szCs w:val="21"/>
              </w:rPr>
              <w:t>不外排</w:t>
            </w:r>
          </w:p>
        </w:tc>
      </w:tr>
      <w:tr w14:paraId="665D5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tcBorders>
              <w:top w:val="single" w:color="auto" w:sz="4" w:space="0"/>
            </w:tcBorders>
            <w:vAlign w:val="center"/>
          </w:tcPr>
          <w:p w14:paraId="394D8512">
            <w:pPr>
              <w:pStyle w:val="72"/>
              <w:rPr>
                <w:szCs w:val="21"/>
              </w:rPr>
            </w:pPr>
            <w:r>
              <w:rPr>
                <w:rFonts w:hint="eastAsia"/>
                <w:szCs w:val="21"/>
              </w:rPr>
              <w:t>生活垃圾</w:t>
            </w:r>
          </w:p>
        </w:tc>
        <w:tc>
          <w:tcPr>
            <w:tcW w:w="1153" w:type="dxa"/>
            <w:tcBorders>
              <w:top w:val="single" w:color="auto" w:sz="4" w:space="0"/>
            </w:tcBorders>
            <w:vAlign w:val="center"/>
          </w:tcPr>
          <w:p w14:paraId="7C96EDC2">
            <w:pPr>
              <w:pStyle w:val="72"/>
              <w:rPr>
                <w:szCs w:val="21"/>
              </w:rPr>
            </w:pPr>
            <w:r>
              <w:rPr>
                <w:rFonts w:hint="eastAsia"/>
                <w:szCs w:val="21"/>
              </w:rPr>
              <w:t>果皮纸屑</w:t>
            </w:r>
          </w:p>
        </w:tc>
        <w:tc>
          <w:tcPr>
            <w:tcW w:w="1765" w:type="dxa"/>
            <w:vAlign w:val="center"/>
          </w:tcPr>
          <w:p w14:paraId="3711E04B">
            <w:pPr>
              <w:pStyle w:val="72"/>
              <w:rPr>
                <w:szCs w:val="21"/>
              </w:rPr>
            </w:pPr>
            <w:r>
              <w:rPr>
                <w:rFonts w:hint="eastAsia"/>
                <w:szCs w:val="21"/>
              </w:rPr>
              <w:t>垃圾桶</w:t>
            </w:r>
          </w:p>
        </w:tc>
        <w:tc>
          <w:tcPr>
            <w:tcW w:w="1955" w:type="dxa"/>
            <w:gridSpan w:val="2"/>
            <w:vAlign w:val="center"/>
          </w:tcPr>
          <w:p w14:paraId="15888678">
            <w:pPr>
              <w:pStyle w:val="72"/>
              <w:rPr>
                <w:szCs w:val="21"/>
              </w:rPr>
            </w:pPr>
            <w:r>
              <w:rPr>
                <w:rFonts w:hint="eastAsia"/>
                <w:szCs w:val="21"/>
              </w:rPr>
              <w:t>收集后交由环卫部门处理</w:t>
            </w:r>
          </w:p>
        </w:tc>
        <w:tc>
          <w:tcPr>
            <w:tcW w:w="1768" w:type="dxa"/>
            <w:vAlign w:val="center"/>
          </w:tcPr>
          <w:p w14:paraId="275A1CCD">
            <w:pPr>
              <w:pStyle w:val="72"/>
              <w:rPr>
                <w:szCs w:val="21"/>
              </w:rPr>
            </w:pPr>
            <w:r>
              <w:rPr>
                <w:rFonts w:hint="eastAsia"/>
                <w:szCs w:val="21"/>
              </w:rPr>
              <w:t>妥善处理</w:t>
            </w:r>
          </w:p>
        </w:tc>
      </w:tr>
      <w:tr w14:paraId="28EE91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restart"/>
            <w:vAlign w:val="center"/>
          </w:tcPr>
          <w:p w14:paraId="6DBE791F">
            <w:pPr>
              <w:pStyle w:val="72"/>
              <w:rPr>
                <w:szCs w:val="21"/>
              </w:rPr>
            </w:pPr>
            <w:r>
              <w:rPr>
                <w:rFonts w:hint="eastAsia"/>
                <w:szCs w:val="21"/>
              </w:rPr>
              <w:t>危险废物</w:t>
            </w:r>
          </w:p>
        </w:tc>
        <w:tc>
          <w:tcPr>
            <w:tcW w:w="1153" w:type="dxa"/>
            <w:vAlign w:val="center"/>
          </w:tcPr>
          <w:p w14:paraId="6D653AAB">
            <w:pPr>
              <w:pStyle w:val="72"/>
              <w:rPr>
                <w:szCs w:val="21"/>
              </w:rPr>
            </w:pPr>
            <w:r>
              <w:rPr>
                <w:rFonts w:hint="eastAsia"/>
                <w:szCs w:val="21"/>
              </w:rPr>
              <w:t>废油墨</w:t>
            </w:r>
          </w:p>
        </w:tc>
        <w:tc>
          <w:tcPr>
            <w:tcW w:w="1765" w:type="dxa"/>
            <w:vMerge w:val="restart"/>
            <w:vAlign w:val="center"/>
          </w:tcPr>
          <w:p w14:paraId="4C56750A">
            <w:pPr>
              <w:pStyle w:val="72"/>
              <w:rPr>
                <w:szCs w:val="21"/>
              </w:rPr>
            </w:pPr>
            <w:r>
              <w:rPr>
                <w:rFonts w:hint="eastAsia"/>
                <w:szCs w:val="21"/>
              </w:rPr>
              <w:t>单独收集后置于独立危废暂存间</w:t>
            </w:r>
          </w:p>
        </w:tc>
        <w:tc>
          <w:tcPr>
            <w:tcW w:w="1955" w:type="dxa"/>
            <w:gridSpan w:val="2"/>
            <w:vMerge w:val="restart"/>
            <w:vAlign w:val="center"/>
          </w:tcPr>
          <w:p w14:paraId="07468A6E">
            <w:pPr>
              <w:pStyle w:val="72"/>
              <w:rPr>
                <w:szCs w:val="21"/>
              </w:rPr>
            </w:pPr>
            <w:r>
              <w:rPr>
                <w:rFonts w:hint="eastAsia"/>
                <w:szCs w:val="21"/>
              </w:rPr>
              <w:t>交由有资质单位处理</w:t>
            </w:r>
          </w:p>
        </w:tc>
        <w:tc>
          <w:tcPr>
            <w:tcW w:w="1768" w:type="dxa"/>
            <w:vMerge w:val="restart"/>
            <w:vAlign w:val="center"/>
          </w:tcPr>
          <w:p w14:paraId="742C7F37">
            <w:pPr>
              <w:pStyle w:val="72"/>
              <w:rPr>
                <w:szCs w:val="21"/>
              </w:rPr>
            </w:pPr>
            <w:r>
              <w:rPr>
                <w:rFonts w:hint="eastAsia"/>
                <w:szCs w:val="21"/>
              </w:rPr>
              <w:t>妥善处理</w:t>
            </w:r>
          </w:p>
        </w:tc>
      </w:tr>
      <w:tr w14:paraId="60D98C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34973315">
            <w:pPr>
              <w:pStyle w:val="72"/>
              <w:rPr>
                <w:color w:val="FF0000"/>
                <w:szCs w:val="21"/>
              </w:rPr>
            </w:pPr>
          </w:p>
        </w:tc>
        <w:tc>
          <w:tcPr>
            <w:tcW w:w="1153" w:type="dxa"/>
            <w:vAlign w:val="center"/>
          </w:tcPr>
          <w:p w14:paraId="655E4C82">
            <w:pPr>
              <w:pStyle w:val="72"/>
              <w:rPr>
                <w:szCs w:val="21"/>
              </w:rPr>
            </w:pPr>
            <w:r>
              <w:rPr>
                <w:rFonts w:hint="eastAsia"/>
                <w:szCs w:val="21"/>
              </w:rPr>
              <w:t>废溶剂</w:t>
            </w:r>
          </w:p>
        </w:tc>
        <w:tc>
          <w:tcPr>
            <w:tcW w:w="1765" w:type="dxa"/>
            <w:vMerge w:val="continue"/>
            <w:vAlign w:val="center"/>
          </w:tcPr>
          <w:p w14:paraId="1673BE57">
            <w:pPr>
              <w:pStyle w:val="72"/>
              <w:rPr>
                <w:color w:val="FF0000"/>
                <w:szCs w:val="21"/>
              </w:rPr>
            </w:pPr>
          </w:p>
        </w:tc>
        <w:tc>
          <w:tcPr>
            <w:tcW w:w="1955" w:type="dxa"/>
            <w:gridSpan w:val="2"/>
            <w:vMerge w:val="continue"/>
            <w:vAlign w:val="center"/>
          </w:tcPr>
          <w:p w14:paraId="72A2383B">
            <w:pPr>
              <w:pStyle w:val="72"/>
              <w:rPr>
                <w:color w:val="FF0000"/>
                <w:szCs w:val="21"/>
              </w:rPr>
            </w:pPr>
          </w:p>
        </w:tc>
        <w:tc>
          <w:tcPr>
            <w:tcW w:w="1768" w:type="dxa"/>
            <w:vMerge w:val="continue"/>
            <w:vAlign w:val="center"/>
          </w:tcPr>
          <w:p w14:paraId="331825E5">
            <w:pPr>
              <w:pStyle w:val="72"/>
              <w:rPr>
                <w:color w:val="FF0000"/>
                <w:szCs w:val="21"/>
              </w:rPr>
            </w:pPr>
          </w:p>
        </w:tc>
      </w:tr>
      <w:tr w14:paraId="67DE58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302C7590">
            <w:pPr>
              <w:pStyle w:val="72"/>
              <w:rPr>
                <w:color w:val="FF0000"/>
                <w:szCs w:val="21"/>
              </w:rPr>
            </w:pPr>
          </w:p>
        </w:tc>
        <w:tc>
          <w:tcPr>
            <w:tcW w:w="1153" w:type="dxa"/>
            <w:vAlign w:val="center"/>
          </w:tcPr>
          <w:p w14:paraId="268138F2">
            <w:pPr>
              <w:pStyle w:val="72"/>
              <w:rPr>
                <w:szCs w:val="21"/>
              </w:rPr>
            </w:pPr>
            <w:r>
              <w:rPr>
                <w:rFonts w:hint="eastAsia"/>
                <w:szCs w:val="21"/>
              </w:rPr>
              <w:t>废胶水</w:t>
            </w:r>
          </w:p>
        </w:tc>
        <w:tc>
          <w:tcPr>
            <w:tcW w:w="1765" w:type="dxa"/>
            <w:vMerge w:val="continue"/>
            <w:vAlign w:val="center"/>
          </w:tcPr>
          <w:p w14:paraId="37CB0145">
            <w:pPr>
              <w:pStyle w:val="72"/>
              <w:rPr>
                <w:color w:val="FF0000"/>
                <w:szCs w:val="21"/>
              </w:rPr>
            </w:pPr>
          </w:p>
        </w:tc>
        <w:tc>
          <w:tcPr>
            <w:tcW w:w="1955" w:type="dxa"/>
            <w:gridSpan w:val="2"/>
            <w:vMerge w:val="continue"/>
            <w:vAlign w:val="center"/>
          </w:tcPr>
          <w:p w14:paraId="732B61EE">
            <w:pPr>
              <w:pStyle w:val="72"/>
              <w:rPr>
                <w:color w:val="FF0000"/>
                <w:szCs w:val="21"/>
              </w:rPr>
            </w:pPr>
          </w:p>
        </w:tc>
        <w:tc>
          <w:tcPr>
            <w:tcW w:w="1768" w:type="dxa"/>
            <w:vMerge w:val="continue"/>
            <w:vAlign w:val="center"/>
          </w:tcPr>
          <w:p w14:paraId="774FD5C3">
            <w:pPr>
              <w:pStyle w:val="72"/>
              <w:rPr>
                <w:color w:val="FF0000"/>
                <w:szCs w:val="21"/>
              </w:rPr>
            </w:pPr>
          </w:p>
        </w:tc>
      </w:tr>
      <w:tr w14:paraId="530051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2DD1DD31">
            <w:pPr>
              <w:pStyle w:val="72"/>
              <w:rPr>
                <w:color w:val="FF0000"/>
                <w:szCs w:val="21"/>
              </w:rPr>
            </w:pPr>
          </w:p>
        </w:tc>
        <w:tc>
          <w:tcPr>
            <w:tcW w:w="1153" w:type="dxa"/>
            <w:vAlign w:val="center"/>
          </w:tcPr>
          <w:p w14:paraId="317F2F2E">
            <w:pPr>
              <w:pStyle w:val="72"/>
              <w:rPr>
                <w:szCs w:val="21"/>
              </w:rPr>
            </w:pPr>
            <w:r>
              <w:rPr>
                <w:rFonts w:hint="eastAsia"/>
                <w:szCs w:val="21"/>
              </w:rPr>
              <w:t>废弃包装桶及内衬</w:t>
            </w:r>
          </w:p>
        </w:tc>
        <w:tc>
          <w:tcPr>
            <w:tcW w:w="1765" w:type="dxa"/>
            <w:vMerge w:val="continue"/>
            <w:vAlign w:val="center"/>
          </w:tcPr>
          <w:p w14:paraId="4979F527">
            <w:pPr>
              <w:pStyle w:val="72"/>
              <w:rPr>
                <w:color w:val="FF0000"/>
                <w:szCs w:val="21"/>
              </w:rPr>
            </w:pPr>
          </w:p>
        </w:tc>
        <w:tc>
          <w:tcPr>
            <w:tcW w:w="1955" w:type="dxa"/>
            <w:gridSpan w:val="2"/>
            <w:vMerge w:val="continue"/>
            <w:vAlign w:val="center"/>
          </w:tcPr>
          <w:p w14:paraId="3ED8E14E">
            <w:pPr>
              <w:pStyle w:val="72"/>
              <w:rPr>
                <w:color w:val="FF0000"/>
                <w:szCs w:val="21"/>
              </w:rPr>
            </w:pPr>
          </w:p>
        </w:tc>
        <w:tc>
          <w:tcPr>
            <w:tcW w:w="1768" w:type="dxa"/>
            <w:vMerge w:val="continue"/>
            <w:vAlign w:val="center"/>
          </w:tcPr>
          <w:p w14:paraId="227C2C0E">
            <w:pPr>
              <w:pStyle w:val="72"/>
              <w:rPr>
                <w:color w:val="FF0000"/>
                <w:szCs w:val="21"/>
              </w:rPr>
            </w:pPr>
          </w:p>
        </w:tc>
      </w:tr>
      <w:tr w14:paraId="1E6A9E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56FE4789">
            <w:pPr>
              <w:pStyle w:val="72"/>
              <w:rPr>
                <w:color w:val="FF0000"/>
                <w:szCs w:val="21"/>
              </w:rPr>
            </w:pPr>
          </w:p>
        </w:tc>
        <w:tc>
          <w:tcPr>
            <w:tcW w:w="1153" w:type="dxa"/>
            <w:vAlign w:val="center"/>
          </w:tcPr>
          <w:p w14:paraId="7EB4521C">
            <w:pPr>
              <w:pStyle w:val="72"/>
              <w:rPr>
                <w:szCs w:val="21"/>
              </w:rPr>
            </w:pPr>
            <w:r>
              <w:rPr>
                <w:rFonts w:hint="eastAsia"/>
                <w:szCs w:val="21"/>
              </w:rPr>
              <w:t>含油抹布手套</w:t>
            </w:r>
          </w:p>
        </w:tc>
        <w:tc>
          <w:tcPr>
            <w:tcW w:w="1765" w:type="dxa"/>
            <w:vMerge w:val="continue"/>
            <w:vAlign w:val="center"/>
          </w:tcPr>
          <w:p w14:paraId="76FBC10F">
            <w:pPr>
              <w:pStyle w:val="72"/>
              <w:rPr>
                <w:color w:val="FF0000"/>
                <w:szCs w:val="21"/>
              </w:rPr>
            </w:pPr>
          </w:p>
        </w:tc>
        <w:tc>
          <w:tcPr>
            <w:tcW w:w="1955" w:type="dxa"/>
            <w:gridSpan w:val="2"/>
            <w:vMerge w:val="continue"/>
            <w:vAlign w:val="center"/>
          </w:tcPr>
          <w:p w14:paraId="72F3A80E">
            <w:pPr>
              <w:pStyle w:val="72"/>
              <w:rPr>
                <w:color w:val="FF0000"/>
                <w:szCs w:val="21"/>
              </w:rPr>
            </w:pPr>
          </w:p>
        </w:tc>
        <w:tc>
          <w:tcPr>
            <w:tcW w:w="1768" w:type="dxa"/>
            <w:vMerge w:val="continue"/>
            <w:vAlign w:val="center"/>
          </w:tcPr>
          <w:p w14:paraId="29B808F2">
            <w:pPr>
              <w:pStyle w:val="72"/>
              <w:rPr>
                <w:color w:val="FF0000"/>
                <w:szCs w:val="21"/>
              </w:rPr>
            </w:pPr>
          </w:p>
        </w:tc>
      </w:tr>
      <w:tr w14:paraId="4500F0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5D5D356B">
            <w:pPr>
              <w:pStyle w:val="72"/>
              <w:rPr>
                <w:color w:val="FF0000"/>
                <w:szCs w:val="21"/>
              </w:rPr>
            </w:pPr>
          </w:p>
        </w:tc>
        <w:tc>
          <w:tcPr>
            <w:tcW w:w="1153" w:type="dxa"/>
            <w:vAlign w:val="center"/>
          </w:tcPr>
          <w:p w14:paraId="113AD320">
            <w:pPr>
              <w:pStyle w:val="72"/>
              <w:rPr>
                <w:szCs w:val="21"/>
              </w:rPr>
            </w:pPr>
            <w:r>
              <w:rPr>
                <w:rFonts w:hint="eastAsia"/>
              </w:rPr>
              <w:t>废过滤棉</w:t>
            </w:r>
          </w:p>
        </w:tc>
        <w:tc>
          <w:tcPr>
            <w:tcW w:w="1765" w:type="dxa"/>
            <w:vMerge w:val="continue"/>
            <w:vAlign w:val="center"/>
          </w:tcPr>
          <w:p w14:paraId="33602AFF">
            <w:pPr>
              <w:pStyle w:val="72"/>
              <w:rPr>
                <w:color w:val="FF0000"/>
                <w:szCs w:val="21"/>
              </w:rPr>
            </w:pPr>
          </w:p>
        </w:tc>
        <w:tc>
          <w:tcPr>
            <w:tcW w:w="1955" w:type="dxa"/>
            <w:gridSpan w:val="2"/>
            <w:vMerge w:val="continue"/>
            <w:vAlign w:val="center"/>
          </w:tcPr>
          <w:p w14:paraId="454B32CA">
            <w:pPr>
              <w:pStyle w:val="72"/>
              <w:rPr>
                <w:color w:val="FF0000"/>
                <w:szCs w:val="21"/>
              </w:rPr>
            </w:pPr>
          </w:p>
        </w:tc>
        <w:tc>
          <w:tcPr>
            <w:tcW w:w="1768" w:type="dxa"/>
            <w:vMerge w:val="continue"/>
            <w:vAlign w:val="center"/>
          </w:tcPr>
          <w:p w14:paraId="5D076997">
            <w:pPr>
              <w:pStyle w:val="72"/>
              <w:rPr>
                <w:color w:val="FF0000"/>
                <w:szCs w:val="21"/>
              </w:rPr>
            </w:pPr>
          </w:p>
        </w:tc>
      </w:tr>
      <w:tr w14:paraId="2F8C22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46FE5004">
            <w:pPr>
              <w:pStyle w:val="72"/>
              <w:rPr>
                <w:color w:val="FF0000"/>
                <w:szCs w:val="21"/>
              </w:rPr>
            </w:pPr>
          </w:p>
        </w:tc>
        <w:tc>
          <w:tcPr>
            <w:tcW w:w="1153" w:type="dxa"/>
            <w:vAlign w:val="center"/>
          </w:tcPr>
          <w:p w14:paraId="13025972">
            <w:pPr>
              <w:pStyle w:val="72"/>
              <w:rPr>
                <w:color w:val="FF0000"/>
                <w:szCs w:val="21"/>
              </w:rPr>
            </w:pPr>
            <w:r>
              <w:rPr>
                <w:rFonts w:hint="eastAsia"/>
              </w:rPr>
              <w:t>废活性炭</w:t>
            </w:r>
          </w:p>
        </w:tc>
        <w:tc>
          <w:tcPr>
            <w:tcW w:w="1765" w:type="dxa"/>
            <w:vMerge w:val="continue"/>
            <w:vAlign w:val="center"/>
          </w:tcPr>
          <w:p w14:paraId="74CE7424">
            <w:pPr>
              <w:pStyle w:val="72"/>
              <w:rPr>
                <w:color w:val="FF0000"/>
                <w:szCs w:val="21"/>
              </w:rPr>
            </w:pPr>
          </w:p>
        </w:tc>
        <w:tc>
          <w:tcPr>
            <w:tcW w:w="1955" w:type="dxa"/>
            <w:gridSpan w:val="2"/>
            <w:vMerge w:val="continue"/>
            <w:vAlign w:val="center"/>
          </w:tcPr>
          <w:p w14:paraId="689EA568">
            <w:pPr>
              <w:pStyle w:val="72"/>
              <w:rPr>
                <w:color w:val="FF0000"/>
                <w:szCs w:val="21"/>
              </w:rPr>
            </w:pPr>
          </w:p>
        </w:tc>
        <w:tc>
          <w:tcPr>
            <w:tcW w:w="1768" w:type="dxa"/>
            <w:vMerge w:val="continue"/>
            <w:vAlign w:val="center"/>
          </w:tcPr>
          <w:p w14:paraId="77A8C863">
            <w:pPr>
              <w:pStyle w:val="72"/>
              <w:rPr>
                <w:color w:val="FF0000"/>
                <w:szCs w:val="21"/>
              </w:rPr>
            </w:pPr>
          </w:p>
        </w:tc>
      </w:tr>
      <w:tr w14:paraId="66645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32A0FD7C">
            <w:pPr>
              <w:pStyle w:val="72"/>
              <w:rPr>
                <w:color w:val="FF0000"/>
                <w:szCs w:val="21"/>
              </w:rPr>
            </w:pPr>
          </w:p>
        </w:tc>
        <w:tc>
          <w:tcPr>
            <w:tcW w:w="1153" w:type="dxa"/>
            <w:vAlign w:val="center"/>
          </w:tcPr>
          <w:p w14:paraId="240C6BCE">
            <w:pPr>
              <w:pStyle w:val="72"/>
              <w:rPr>
                <w:color w:val="FF0000"/>
                <w:szCs w:val="21"/>
              </w:rPr>
            </w:pPr>
            <w:r>
              <w:rPr>
                <w:rFonts w:hint="eastAsia"/>
              </w:rPr>
              <w:t>废沸石</w:t>
            </w:r>
          </w:p>
        </w:tc>
        <w:tc>
          <w:tcPr>
            <w:tcW w:w="1765" w:type="dxa"/>
            <w:vMerge w:val="continue"/>
            <w:vAlign w:val="center"/>
          </w:tcPr>
          <w:p w14:paraId="6F34395F">
            <w:pPr>
              <w:pStyle w:val="72"/>
              <w:rPr>
                <w:color w:val="FF0000"/>
                <w:szCs w:val="21"/>
              </w:rPr>
            </w:pPr>
          </w:p>
        </w:tc>
        <w:tc>
          <w:tcPr>
            <w:tcW w:w="1955" w:type="dxa"/>
            <w:gridSpan w:val="2"/>
            <w:vMerge w:val="continue"/>
            <w:vAlign w:val="center"/>
          </w:tcPr>
          <w:p w14:paraId="2DB1B7F0">
            <w:pPr>
              <w:pStyle w:val="72"/>
              <w:rPr>
                <w:color w:val="FF0000"/>
                <w:szCs w:val="21"/>
              </w:rPr>
            </w:pPr>
          </w:p>
        </w:tc>
        <w:tc>
          <w:tcPr>
            <w:tcW w:w="1768" w:type="dxa"/>
            <w:vMerge w:val="continue"/>
            <w:vAlign w:val="center"/>
          </w:tcPr>
          <w:p w14:paraId="34698883">
            <w:pPr>
              <w:pStyle w:val="72"/>
              <w:rPr>
                <w:color w:val="FF0000"/>
                <w:szCs w:val="21"/>
              </w:rPr>
            </w:pPr>
          </w:p>
        </w:tc>
      </w:tr>
      <w:tr w14:paraId="513ED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1959348A">
            <w:pPr>
              <w:pStyle w:val="72"/>
              <w:rPr>
                <w:color w:val="FF0000"/>
                <w:szCs w:val="21"/>
              </w:rPr>
            </w:pPr>
          </w:p>
        </w:tc>
        <w:tc>
          <w:tcPr>
            <w:tcW w:w="1153" w:type="dxa"/>
            <w:vAlign w:val="center"/>
          </w:tcPr>
          <w:p w14:paraId="269B674F">
            <w:pPr>
              <w:pStyle w:val="72"/>
            </w:pPr>
            <w:r>
              <w:rPr>
                <w:rFonts w:hint="eastAsia"/>
              </w:rPr>
              <w:t>精馏残液</w:t>
            </w:r>
          </w:p>
        </w:tc>
        <w:tc>
          <w:tcPr>
            <w:tcW w:w="1765" w:type="dxa"/>
            <w:vMerge w:val="continue"/>
            <w:vAlign w:val="center"/>
          </w:tcPr>
          <w:p w14:paraId="065D76A1">
            <w:pPr>
              <w:pStyle w:val="72"/>
              <w:rPr>
                <w:color w:val="FF0000"/>
                <w:szCs w:val="21"/>
              </w:rPr>
            </w:pPr>
          </w:p>
        </w:tc>
        <w:tc>
          <w:tcPr>
            <w:tcW w:w="1955" w:type="dxa"/>
            <w:gridSpan w:val="2"/>
            <w:vMerge w:val="continue"/>
            <w:vAlign w:val="center"/>
          </w:tcPr>
          <w:p w14:paraId="5A1EC13F">
            <w:pPr>
              <w:pStyle w:val="72"/>
              <w:rPr>
                <w:color w:val="FF0000"/>
                <w:szCs w:val="21"/>
              </w:rPr>
            </w:pPr>
          </w:p>
        </w:tc>
        <w:tc>
          <w:tcPr>
            <w:tcW w:w="1768" w:type="dxa"/>
            <w:vMerge w:val="continue"/>
            <w:vAlign w:val="center"/>
          </w:tcPr>
          <w:p w14:paraId="6F0A922E">
            <w:pPr>
              <w:pStyle w:val="72"/>
              <w:rPr>
                <w:color w:val="FF0000"/>
                <w:szCs w:val="21"/>
              </w:rPr>
            </w:pPr>
          </w:p>
        </w:tc>
      </w:tr>
      <w:tr w14:paraId="51DCF6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Merge w:val="continue"/>
            <w:vAlign w:val="center"/>
          </w:tcPr>
          <w:p w14:paraId="31AAB154">
            <w:pPr>
              <w:pStyle w:val="72"/>
              <w:rPr>
                <w:color w:val="FF0000"/>
                <w:szCs w:val="21"/>
              </w:rPr>
            </w:pPr>
          </w:p>
        </w:tc>
        <w:tc>
          <w:tcPr>
            <w:tcW w:w="1153" w:type="dxa"/>
            <w:vAlign w:val="center"/>
          </w:tcPr>
          <w:p w14:paraId="437D03C5">
            <w:pPr>
              <w:pStyle w:val="72"/>
            </w:pPr>
            <w:r>
              <w:rPr>
                <w:rFonts w:hint="eastAsia"/>
              </w:rPr>
              <w:t>废矿物油及其包装桶</w:t>
            </w:r>
          </w:p>
        </w:tc>
        <w:tc>
          <w:tcPr>
            <w:tcW w:w="1765" w:type="dxa"/>
            <w:vMerge w:val="continue"/>
            <w:vAlign w:val="center"/>
          </w:tcPr>
          <w:p w14:paraId="663E7A8D">
            <w:pPr>
              <w:pStyle w:val="72"/>
              <w:rPr>
                <w:color w:val="FF0000"/>
                <w:szCs w:val="21"/>
              </w:rPr>
            </w:pPr>
          </w:p>
        </w:tc>
        <w:tc>
          <w:tcPr>
            <w:tcW w:w="1955" w:type="dxa"/>
            <w:gridSpan w:val="2"/>
            <w:vMerge w:val="continue"/>
            <w:vAlign w:val="center"/>
          </w:tcPr>
          <w:p w14:paraId="4FC9BDB8">
            <w:pPr>
              <w:pStyle w:val="72"/>
              <w:rPr>
                <w:color w:val="FF0000"/>
                <w:szCs w:val="21"/>
              </w:rPr>
            </w:pPr>
          </w:p>
        </w:tc>
        <w:tc>
          <w:tcPr>
            <w:tcW w:w="1768" w:type="dxa"/>
            <w:vMerge w:val="continue"/>
            <w:vAlign w:val="center"/>
          </w:tcPr>
          <w:p w14:paraId="301CF97F">
            <w:pPr>
              <w:pStyle w:val="72"/>
              <w:rPr>
                <w:color w:val="FF0000"/>
                <w:szCs w:val="21"/>
              </w:rPr>
            </w:pPr>
          </w:p>
        </w:tc>
      </w:tr>
      <w:tr w14:paraId="285A2D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721" w:type="dxa"/>
            <w:gridSpan w:val="2"/>
            <w:vAlign w:val="center"/>
          </w:tcPr>
          <w:p w14:paraId="65AF0F82">
            <w:pPr>
              <w:pStyle w:val="72"/>
              <w:rPr>
                <w:szCs w:val="21"/>
              </w:rPr>
            </w:pPr>
            <w:r>
              <w:rPr>
                <w:rFonts w:hint="eastAsia"/>
                <w:szCs w:val="21"/>
              </w:rPr>
              <w:t>噪声防治措施</w:t>
            </w:r>
          </w:p>
        </w:tc>
        <w:tc>
          <w:tcPr>
            <w:tcW w:w="4873" w:type="dxa"/>
            <w:gridSpan w:val="4"/>
            <w:vAlign w:val="center"/>
          </w:tcPr>
          <w:p w14:paraId="25D413A5">
            <w:pPr>
              <w:pStyle w:val="72"/>
              <w:rPr>
                <w:szCs w:val="21"/>
              </w:rPr>
            </w:pPr>
            <w:r>
              <w:rPr>
                <w:rFonts w:hint="eastAsia"/>
                <w:szCs w:val="21"/>
              </w:rPr>
              <w:t>减振、厂房隔声</w:t>
            </w:r>
          </w:p>
        </w:tc>
        <w:tc>
          <w:tcPr>
            <w:tcW w:w="1768" w:type="dxa"/>
            <w:vAlign w:val="center"/>
          </w:tcPr>
          <w:p w14:paraId="00BE0CF6">
            <w:pPr>
              <w:pStyle w:val="72"/>
              <w:rPr>
                <w:szCs w:val="21"/>
              </w:rPr>
            </w:pPr>
            <w:r>
              <w:rPr>
                <w:rFonts w:hint="eastAsia"/>
                <w:szCs w:val="21"/>
              </w:rPr>
              <w:t>厂界噪声达到《工业企业厂界环境噪声排放标准》3、4类标准</w:t>
            </w:r>
          </w:p>
        </w:tc>
      </w:tr>
    </w:tbl>
    <w:p w14:paraId="22DD6BA9">
      <w:pPr>
        <w:pStyle w:val="3"/>
        <w:numPr>
          <w:ilvl w:val="1"/>
          <w:numId w:val="0"/>
        </w:numPr>
        <w:ind w:left="567" w:leftChars="0" w:hanging="567" w:firstLineChars="0"/>
        <w:rPr>
          <w:sz w:val="28"/>
          <w:szCs w:val="28"/>
        </w:rPr>
      </w:pPr>
      <w:bookmarkStart w:id="172" w:name="_Toc31123"/>
      <w:r>
        <w:rPr>
          <w:rFonts w:hint="default" w:ascii="宋体" w:hAnsi="宋体" w:eastAsia="宋体" w:cs="宋体"/>
          <w:b/>
          <w:bCs/>
          <w:kern w:val="2"/>
          <w:sz w:val="28"/>
          <w:szCs w:val="28"/>
          <w:lang w:val="en-US" w:eastAsia="zh-CN" w:bidi="ar-SA"/>
        </w:rPr>
        <w:t>11.4</w:t>
      </w:r>
      <w:r>
        <w:rPr>
          <w:rFonts w:hint="eastAsia"/>
          <w:sz w:val="28"/>
          <w:szCs w:val="28"/>
        </w:rPr>
        <w:t>排污口规范化管理</w:t>
      </w:r>
      <w:bookmarkEnd w:id="172"/>
    </w:p>
    <w:p w14:paraId="49CB805D">
      <w:pPr>
        <w:ind w:firstLine="480"/>
      </w:pPr>
      <w:r>
        <w:rPr>
          <w:rFonts w:hint="eastAsia"/>
        </w:rPr>
        <w:t>根据《排污口规范化整治技术要求（试行）》（环监〔1996〕470号），项目建设的同时应进行排污口规范化工作，以促进企业加强经营管理和污染治理，实现污染物排放的科学化、定量化管理。排污口规范化整治应遵循便于采集样品，便于计量监测，便于日常现场监督检查的原则。</w:t>
      </w:r>
    </w:p>
    <w:p w14:paraId="69C9C293">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11.4.1</w:t>
      </w:r>
      <w:r>
        <w:rPr>
          <w:rFonts w:hint="eastAsia"/>
        </w:rPr>
        <w:t>污水排放口</w:t>
      </w:r>
    </w:p>
    <w:p w14:paraId="58F8AE8D">
      <w:pPr>
        <w:ind w:firstLine="480"/>
      </w:pPr>
      <w:r>
        <w:rPr>
          <w:rFonts w:hint="eastAsia"/>
        </w:rPr>
        <w:t>所有废水管道必须设置明管，不得进行埋地敷设。</w:t>
      </w:r>
    </w:p>
    <w:p w14:paraId="7A5505E7">
      <w:pPr>
        <w:ind w:firstLine="480"/>
      </w:pPr>
      <w:r>
        <w:rPr>
          <w:rFonts w:hint="eastAsia"/>
        </w:rPr>
        <w:t>排污口必须具备方便采样和流量测定的条件，一般排放口视污水流量的大小参照《适应排污水口尺寸表》的有关规格要求设置，并安装流量计，污水面低于地面标高或高于地面超过1m的，应加建采样台或楼梯（宽度不小于800m）。</w:t>
      </w:r>
    </w:p>
    <w:p w14:paraId="31446C71">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11.4.2</w:t>
      </w:r>
      <w:r>
        <w:rPr>
          <w:rFonts w:hint="eastAsia"/>
        </w:rPr>
        <w:t>废气排放口</w:t>
      </w:r>
    </w:p>
    <w:p w14:paraId="02707CFD">
      <w:pPr>
        <w:pStyle w:val="38"/>
        <w:ind w:firstLine="480"/>
        <w:rPr>
          <w:color w:val="auto"/>
        </w:rPr>
      </w:pPr>
      <w:r>
        <w:rPr>
          <w:rFonts w:hint="eastAsia"/>
          <w:color w:val="auto"/>
        </w:rPr>
        <w:t>⑴对厂区排气筒数量、高度进行编号、归档并设置标志；</w:t>
      </w:r>
    </w:p>
    <w:p w14:paraId="28C24354">
      <w:pPr>
        <w:pStyle w:val="38"/>
        <w:ind w:firstLine="480"/>
        <w:rPr>
          <w:rFonts w:ascii="Times New Roman" w:hAnsi="Times New Roman" w:eastAsia="宋体" w:cs="Times New Roman"/>
          <w:color w:val="auto"/>
        </w:rPr>
      </w:pPr>
      <w:r>
        <w:rPr>
          <w:rFonts w:ascii="Times New Roman" w:hAnsi="Times New Roman" w:eastAsia="宋体" w:cs="Times New Roman"/>
          <w:color w:val="auto"/>
        </w:rPr>
        <w:t>⑵新增排气筒应设置便于人工采样、监测的采样口，采样口的设置应符合《污染源监测技术规范》要求。采样口必须设置常备电源，设置直径不小于75mm的采样口，如无法满足要求的，由环境监测站确定。</w:t>
      </w:r>
    </w:p>
    <w:p w14:paraId="24F514CC">
      <w:pPr>
        <w:pStyle w:val="38"/>
        <w:ind w:firstLine="480"/>
        <w:rPr>
          <w:color w:val="auto"/>
        </w:rPr>
      </w:pPr>
      <w:r>
        <w:rPr>
          <w:rFonts w:hint="eastAsia"/>
          <w:color w:val="auto"/>
        </w:rPr>
        <w:t>⑶根据《固定源废气监测技术规范》（HJ/T397-2007），采样位置应优先选择在垂直管段，应避开烟道弯头和断面急剧变化的部位。采样位置应设置在距弯头、阀门、变径管下游方向不小于6倍直径，和距上述部件上游方向不小于3倍直径处。</w:t>
      </w:r>
    </w:p>
    <w:p w14:paraId="7DC64F7F">
      <w:pPr>
        <w:pStyle w:val="38"/>
        <w:ind w:firstLine="480"/>
        <w:rPr>
          <w:color w:val="auto"/>
        </w:rPr>
      </w:pPr>
      <w:r>
        <w:rPr>
          <w:rFonts w:hint="eastAsia"/>
          <w:color w:val="auto"/>
        </w:rPr>
        <w:t>本项目设置两个废气排气筒，排气筒应设置便于采样、监测的采样口。采样口的设置应符合《污染源监测技术规范》要求。无法满足规定要求的，由地方环境监测部门、站共同确定。废气排口附近醒目处应竖立环保图形标志牌。</w:t>
      </w:r>
    </w:p>
    <w:p w14:paraId="5DF037B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11.4.3</w:t>
      </w:r>
      <w:r>
        <w:rPr>
          <w:rFonts w:hint="eastAsia"/>
        </w:rPr>
        <w:t>固体废物贮存、堆放场的整治</w:t>
      </w:r>
    </w:p>
    <w:p w14:paraId="3718343D">
      <w:pPr>
        <w:pStyle w:val="40"/>
        <w:ind w:firstLine="480"/>
      </w:pPr>
      <w:r>
        <w:rPr>
          <w:rFonts w:hint="eastAsia"/>
        </w:rPr>
        <w:t>一般固体废物应设置专用贮存、堆放场地。易造成二次扬尘的贮存、堆放场地，应采取不定时喷洒等防治措施；有毒有害固体废物等危险废物，应设置专用堆放场地，并必须有防扬散，防流失，防渗漏等防治措施。</w:t>
      </w:r>
    </w:p>
    <w:p w14:paraId="470F8DB2">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11.4.4</w:t>
      </w:r>
      <w:r>
        <w:rPr>
          <w:rFonts w:hint="eastAsia"/>
        </w:rPr>
        <w:t>噪声排放源</w:t>
      </w:r>
    </w:p>
    <w:p w14:paraId="5660B00D">
      <w:pPr>
        <w:pStyle w:val="41"/>
        <w:spacing w:before="0" w:beforeAutospacing="0" w:after="0" w:afterAutospacing="0"/>
        <w:ind w:firstLine="480"/>
        <w:rPr>
          <w:rFonts w:ascii="Times New Roman" w:hAnsi="Times New Roman" w:cs="Times New Roman"/>
          <w:kern w:val="2"/>
          <w:sz w:val="24"/>
        </w:rPr>
      </w:pPr>
      <w:r>
        <w:rPr>
          <w:rFonts w:ascii="Times New Roman" w:hAnsi="Times New Roman" w:cs="Times New Roman"/>
          <w:kern w:val="2"/>
          <w:sz w:val="24"/>
        </w:rPr>
        <w:t>厂界噪声测点应在法定厂界外1m、高度1.2m以上的噪声敏感处；在固定噪声源对外界影响最大处设置监测点。</w:t>
      </w:r>
    </w:p>
    <w:p w14:paraId="0FF678F8">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11.4.5</w:t>
      </w:r>
      <w:r>
        <w:rPr>
          <w:rFonts w:hint="eastAsia"/>
        </w:rPr>
        <w:t>设置排污标志牌要求</w:t>
      </w:r>
    </w:p>
    <w:p w14:paraId="3CD31124">
      <w:pPr>
        <w:pStyle w:val="25"/>
        <w:ind w:left="0" w:leftChars="0" w:firstLine="480"/>
      </w:pPr>
      <w:r>
        <w:rPr>
          <w:rFonts w:hint="eastAsia"/>
        </w:rPr>
        <w:t>根据国家标准《环境保护图形标志—排放口（源）》和国家环保总局《排污口规范化整治技术要求（试行）》（环监〔1996〕470号）的技术要求，企业所有排污口必须按照“便于采样，便于计量监测，便于日常现场监督检查”的原则和规范化要求，设置排污口标志牌，标志牌应设置在排污口（采样点）附近且醒目处，高度为标志牌上缘离地面2米，</w:t>
      </w:r>
    </w:p>
    <w:p w14:paraId="1CE84698">
      <w:pPr>
        <w:pStyle w:val="25"/>
        <w:ind w:left="0" w:leftChars="0" w:firstLine="480"/>
        <w:rPr>
          <w:rFonts w:hint="eastAsia"/>
        </w:rPr>
      </w:pPr>
      <w:r>
        <w:rPr>
          <w:rFonts w:hint="eastAsia"/>
        </w:rPr>
        <w:t>排污口附近1米范围内有建筑物的，设平面式标志牌，无建筑物的设立式标志牌。规范化排污口的有关设置（如方形标志牌、计量装置、监控装置等）属环保设施，排污单位必须负责日常的维护保养，任何单位和个人不得擅自拆除。</w:t>
      </w:r>
    </w:p>
    <w:p w14:paraId="23C03FF5">
      <w:pPr>
        <w:pStyle w:val="9"/>
        <w:rPr>
          <w:rFonts w:hint="eastAsia"/>
        </w:rPr>
      </w:pPr>
    </w:p>
    <w:p w14:paraId="4F7BADEC">
      <w:pPr>
        <w:pStyle w:val="10"/>
      </w:pPr>
    </w:p>
    <w:p w14:paraId="4500D8B6">
      <w:pPr>
        <w:pStyle w:val="51"/>
        <w:numPr>
          <w:ilvl w:val="5"/>
          <w:numId w:val="0"/>
        </w:numPr>
        <w:tabs>
          <w:tab w:val="left" w:pos="4395"/>
        </w:tabs>
        <w:spacing w:before="156"/>
        <w:ind w:left="4969" w:leftChars="1054" w:hanging="2439" w:hangingChars="1157"/>
        <w:jc w:val="both"/>
      </w:pPr>
      <w:r>
        <w:rPr>
          <w:rFonts w:hint="default" w:ascii="宋体" w:hAnsi="宋体" w:eastAsia="宋体" w:cs="宋体"/>
          <w:b/>
          <w:bCs/>
          <w:color w:val="auto"/>
          <w:kern w:val="2"/>
          <w:sz w:val="21"/>
          <w:szCs w:val="21"/>
          <w:lang w:val="en-US" w:eastAsia="zh-CN" w:bidi="ar-SA"/>
        </w:rPr>
        <w:t xml:space="preserve">表11.4-1 </w:t>
      </w:r>
      <w:r>
        <w:rPr>
          <w:rFonts w:hint="eastAsia" w:ascii="宋体" w:hAnsi="宋体" w:cs="宋体"/>
          <w:b/>
          <w:bCs/>
          <w:color w:val="auto"/>
          <w:kern w:val="2"/>
          <w:sz w:val="21"/>
          <w:szCs w:val="21"/>
          <w:lang w:val="en-US" w:eastAsia="zh-CN" w:bidi="ar-SA"/>
        </w:rPr>
        <w:t xml:space="preserve"> </w:t>
      </w:r>
      <w:r>
        <w:rPr>
          <w:rFonts w:hint="eastAsia"/>
        </w:rPr>
        <w:t>环境保护图形标志</w:t>
      </w:r>
    </w:p>
    <w:tbl>
      <w:tblPr>
        <w:tblStyle w:val="31"/>
        <w:tblW w:w="839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07"/>
        <w:gridCol w:w="2168"/>
        <w:gridCol w:w="2550"/>
        <w:gridCol w:w="1681"/>
        <w:gridCol w:w="1384"/>
      </w:tblGrid>
      <w:tr w14:paraId="2BC23CC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55" w:type="dxa"/>
            <w:tcBorders>
              <w:bottom w:val="single" w:color="000000" w:sz="6" w:space="0"/>
              <w:right w:val="single" w:color="000000" w:sz="6" w:space="0"/>
            </w:tcBorders>
          </w:tcPr>
          <w:p w14:paraId="4E10937E">
            <w:pPr>
              <w:pStyle w:val="72"/>
              <w:rPr>
                <w:szCs w:val="21"/>
              </w:rPr>
            </w:pPr>
            <w:r>
              <w:rPr>
                <w:szCs w:val="21"/>
              </w:rPr>
              <w:t>序号</w:t>
            </w:r>
          </w:p>
        </w:tc>
        <w:tc>
          <w:tcPr>
            <w:tcW w:w="2352" w:type="dxa"/>
            <w:tcBorders>
              <w:left w:val="single" w:color="000000" w:sz="6" w:space="0"/>
              <w:bottom w:val="single" w:color="000000" w:sz="6" w:space="0"/>
              <w:right w:val="single" w:color="000000" w:sz="6" w:space="0"/>
            </w:tcBorders>
          </w:tcPr>
          <w:p w14:paraId="2613264D">
            <w:pPr>
              <w:pStyle w:val="72"/>
              <w:rPr>
                <w:szCs w:val="21"/>
              </w:rPr>
            </w:pPr>
            <w:r>
              <w:rPr>
                <w:szCs w:val="21"/>
              </w:rPr>
              <w:t>提示图形符合</w:t>
            </w:r>
          </w:p>
        </w:tc>
        <w:tc>
          <w:tcPr>
            <w:tcW w:w="2767" w:type="dxa"/>
            <w:tcBorders>
              <w:left w:val="single" w:color="000000" w:sz="6" w:space="0"/>
              <w:bottom w:val="single" w:color="000000" w:sz="6" w:space="0"/>
              <w:right w:val="single" w:color="000000" w:sz="6" w:space="0"/>
            </w:tcBorders>
          </w:tcPr>
          <w:p w14:paraId="506E983D">
            <w:pPr>
              <w:pStyle w:val="72"/>
              <w:rPr>
                <w:szCs w:val="21"/>
              </w:rPr>
            </w:pPr>
            <w:r>
              <w:rPr>
                <w:szCs w:val="21"/>
              </w:rPr>
              <w:t>警告图形标志</w:t>
            </w:r>
          </w:p>
        </w:tc>
        <w:tc>
          <w:tcPr>
            <w:tcW w:w="1823" w:type="dxa"/>
            <w:tcBorders>
              <w:left w:val="single" w:color="000000" w:sz="6" w:space="0"/>
              <w:bottom w:val="single" w:color="000000" w:sz="6" w:space="0"/>
              <w:right w:val="single" w:color="000000" w:sz="6" w:space="0"/>
            </w:tcBorders>
          </w:tcPr>
          <w:p w14:paraId="7AD2C8B5">
            <w:pPr>
              <w:pStyle w:val="72"/>
              <w:rPr>
                <w:szCs w:val="21"/>
              </w:rPr>
            </w:pPr>
            <w:r>
              <w:rPr>
                <w:szCs w:val="21"/>
              </w:rPr>
              <w:t>名称</w:t>
            </w:r>
          </w:p>
        </w:tc>
        <w:tc>
          <w:tcPr>
            <w:tcW w:w="1500" w:type="dxa"/>
            <w:tcBorders>
              <w:left w:val="single" w:color="000000" w:sz="6" w:space="0"/>
              <w:bottom w:val="single" w:color="000000" w:sz="6" w:space="0"/>
            </w:tcBorders>
          </w:tcPr>
          <w:p w14:paraId="42CFE882">
            <w:pPr>
              <w:pStyle w:val="72"/>
              <w:rPr>
                <w:szCs w:val="21"/>
              </w:rPr>
            </w:pPr>
            <w:r>
              <w:rPr>
                <w:szCs w:val="21"/>
              </w:rPr>
              <w:t>功能</w:t>
            </w:r>
          </w:p>
        </w:tc>
      </w:tr>
      <w:tr w14:paraId="5C427F6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55" w:type="dxa"/>
            <w:tcBorders>
              <w:top w:val="single" w:color="000000" w:sz="6" w:space="0"/>
              <w:bottom w:val="single" w:color="000000" w:sz="6" w:space="0"/>
              <w:right w:val="single" w:color="000000" w:sz="6" w:space="0"/>
            </w:tcBorders>
            <w:vAlign w:val="center"/>
          </w:tcPr>
          <w:p w14:paraId="5ED075BC">
            <w:pPr>
              <w:pStyle w:val="72"/>
              <w:rPr>
                <w:szCs w:val="21"/>
              </w:rPr>
            </w:pPr>
            <w:r>
              <w:rPr>
                <w:szCs w:val="21"/>
              </w:rPr>
              <w:t>1</w:t>
            </w:r>
          </w:p>
        </w:tc>
        <w:tc>
          <w:tcPr>
            <w:tcW w:w="2352" w:type="dxa"/>
            <w:tcBorders>
              <w:top w:val="single" w:color="000000" w:sz="6" w:space="0"/>
              <w:left w:val="single" w:color="000000" w:sz="6" w:space="0"/>
              <w:bottom w:val="single" w:color="000000" w:sz="6" w:space="0"/>
              <w:right w:val="single" w:color="000000" w:sz="6" w:space="0"/>
            </w:tcBorders>
          </w:tcPr>
          <w:p w14:paraId="2C3F30E8">
            <w:pPr>
              <w:pStyle w:val="72"/>
              <w:rPr>
                <w:szCs w:val="21"/>
              </w:rPr>
            </w:pPr>
            <w:r>
              <w:rPr>
                <w:szCs w:val="21"/>
              </w:rPr>
              <w:drawing>
                <wp:inline distT="0" distB="0" distL="0" distR="0">
                  <wp:extent cx="673735" cy="680720"/>
                  <wp:effectExtent l="0" t="0" r="12065" b="5080"/>
                  <wp:docPr id="12"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0.jpeg"/>
                          <pic:cNvPicPr>
                            <a:picLocks noChangeAspect="1"/>
                          </pic:cNvPicPr>
                        </pic:nvPicPr>
                        <pic:blipFill>
                          <a:blip r:embed="rId159" cstate="print"/>
                          <a:stretch>
                            <a:fillRect/>
                          </a:stretch>
                        </pic:blipFill>
                        <pic:spPr>
                          <a:xfrm>
                            <a:off x="0" y="0"/>
                            <a:ext cx="674083" cy="681227"/>
                          </a:xfrm>
                          <a:prstGeom prst="rect">
                            <a:avLst/>
                          </a:prstGeom>
                        </pic:spPr>
                      </pic:pic>
                    </a:graphicData>
                  </a:graphic>
                </wp:inline>
              </w:drawing>
            </w:r>
          </w:p>
        </w:tc>
        <w:tc>
          <w:tcPr>
            <w:tcW w:w="2767" w:type="dxa"/>
            <w:tcBorders>
              <w:top w:val="single" w:color="000000" w:sz="6" w:space="0"/>
              <w:left w:val="single" w:color="000000" w:sz="6" w:space="0"/>
              <w:bottom w:val="single" w:color="000000" w:sz="6" w:space="0"/>
              <w:right w:val="single" w:color="000000" w:sz="6" w:space="0"/>
            </w:tcBorders>
          </w:tcPr>
          <w:p w14:paraId="40DF94FB">
            <w:pPr>
              <w:pStyle w:val="72"/>
              <w:rPr>
                <w:szCs w:val="21"/>
              </w:rPr>
            </w:pPr>
            <w:r>
              <w:rPr>
                <w:szCs w:val="21"/>
              </w:rPr>
              <w:drawing>
                <wp:inline distT="0" distB="0" distL="0" distR="0">
                  <wp:extent cx="799465" cy="697865"/>
                  <wp:effectExtent l="0" t="0" r="635" b="6985"/>
                  <wp:docPr id="47"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61.jpeg"/>
                          <pic:cNvPicPr>
                            <a:picLocks noChangeAspect="1"/>
                          </pic:cNvPicPr>
                        </pic:nvPicPr>
                        <pic:blipFill>
                          <a:blip r:embed="rId160" cstate="print"/>
                          <a:stretch>
                            <a:fillRect/>
                          </a:stretch>
                        </pic:blipFill>
                        <pic:spPr>
                          <a:xfrm>
                            <a:off x="0" y="0"/>
                            <a:ext cx="799465" cy="697865"/>
                          </a:xfrm>
                          <a:prstGeom prst="rect">
                            <a:avLst/>
                          </a:prstGeom>
                        </pic:spPr>
                      </pic:pic>
                    </a:graphicData>
                  </a:graphic>
                </wp:inline>
              </w:drawing>
            </w:r>
          </w:p>
        </w:tc>
        <w:tc>
          <w:tcPr>
            <w:tcW w:w="1823" w:type="dxa"/>
            <w:tcBorders>
              <w:top w:val="single" w:color="000000" w:sz="6" w:space="0"/>
              <w:left w:val="single" w:color="000000" w:sz="6" w:space="0"/>
              <w:bottom w:val="single" w:color="000000" w:sz="6" w:space="0"/>
              <w:right w:val="single" w:color="000000" w:sz="6" w:space="0"/>
            </w:tcBorders>
            <w:vAlign w:val="center"/>
          </w:tcPr>
          <w:p w14:paraId="5DA7D263">
            <w:pPr>
              <w:pStyle w:val="72"/>
              <w:rPr>
                <w:szCs w:val="21"/>
              </w:rPr>
            </w:pPr>
            <w:r>
              <w:rPr>
                <w:szCs w:val="21"/>
              </w:rPr>
              <w:t>污水排放口</w:t>
            </w:r>
          </w:p>
        </w:tc>
        <w:tc>
          <w:tcPr>
            <w:tcW w:w="1500" w:type="dxa"/>
            <w:tcBorders>
              <w:top w:val="single" w:color="000000" w:sz="6" w:space="0"/>
              <w:left w:val="single" w:color="000000" w:sz="6" w:space="0"/>
              <w:bottom w:val="single" w:color="000000" w:sz="6" w:space="0"/>
            </w:tcBorders>
            <w:vAlign w:val="center"/>
          </w:tcPr>
          <w:p w14:paraId="4FCE5FCF">
            <w:pPr>
              <w:pStyle w:val="72"/>
              <w:rPr>
                <w:szCs w:val="21"/>
              </w:rPr>
            </w:pPr>
            <w:r>
              <w:rPr>
                <w:szCs w:val="21"/>
              </w:rPr>
              <w:t>表示污水向水体排放</w:t>
            </w:r>
          </w:p>
        </w:tc>
      </w:tr>
      <w:tr w14:paraId="3F58D3E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55" w:type="dxa"/>
            <w:tcBorders>
              <w:top w:val="single" w:color="000000" w:sz="6" w:space="0"/>
              <w:bottom w:val="single" w:color="000000" w:sz="6" w:space="0"/>
              <w:right w:val="single" w:color="000000" w:sz="6" w:space="0"/>
            </w:tcBorders>
            <w:vAlign w:val="center"/>
          </w:tcPr>
          <w:p w14:paraId="135559E5">
            <w:pPr>
              <w:pStyle w:val="72"/>
              <w:rPr>
                <w:szCs w:val="21"/>
              </w:rPr>
            </w:pPr>
            <w:r>
              <w:rPr>
                <w:szCs w:val="21"/>
              </w:rPr>
              <w:t>2</w:t>
            </w:r>
          </w:p>
        </w:tc>
        <w:tc>
          <w:tcPr>
            <w:tcW w:w="2352" w:type="dxa"/>
            <w:tcBorders>
              <w:top w:val="single" w:color="000000" w:sz="6" w:space="0"/>
              <w:left w:val="single" w:color="000000" w:sz="6" w:space="0"/>
              <w:bottom w:val="single" w:color="000000" w:sz="6" w:space="0"/>
              <w:right w:val="single" w:color="000000" w:sz="6" w:space="0"/>
            </w:tcBorders>
          </w:tcPr>
          <w:p w14:paraId="178EB40E">
            <w:pPr>
              <w:pStyle w:val="72"/>
              <w:rPr>
                <w:szCs w:val="21"/>
              </w:rPr>
            </w:pPr>
            <w:r>
              <w:rPr>
                <w:szCs w:val="21"/>
              </w:rPr>
              <w:drawing>
                <wp:inline distT="0" distB="0" distL="0" distR="0">
                  <wp:extent cx="660400" cy="667385"/>
                  <wp:effectExtent l="0" t="0" r="6350" b="18415"/>
                  <wp:docPr id="9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62.jpeg"/>
                          <pic:cNvPicPr>
                            <a:picLocks noChangeAspect="1"/>
                          </pic:cNvPicPr>
                        </pic:nvPicPr>
                        <pic:blipFill>
                          <a:blip r:embed="rId161" cstate="print"/>
                          <a:stretch>
                            <a:fillRect/>
                          </a:stretch>
                        </pic:blipFill>
                        <pic:spPr>
                          <a:xfrm>
                            <a:off x="0" y="0"/>
                            <a:ext cx="660961" cy="667512"/>
                          </a:xfrm>
                          <a:prstGeom prst="rect">
                            <a:avLst/>
                          </a:prstGeom>
                        </pic:spPr>
                      </pic:pic>
                    </a:graphicData>
                  </a:graphic>
                </wp:inline>
              </w:drawing>
            </w:r>
          </w:p>
        </w:tc>
        <w:tc>
          <w:tcPr>
            <w:tcW w:w="2767" w:type="dxa"/>
            <w:tcBorders>
              <w:top w:val="single" w:color="000000" w:sz="6" w:space="0"/>
              <w:left w:val="single" w:color="000000" w:sz="6" w:space="0"/>
              <w:bottom w:val="single" w:color="000000" w:sz="6" w:space="0"/>
              <w:right w:val="single" w:color="000000" w:sz="6" w:space="0"/>
            </w:tcBorders>
          </w:tcPr>
          <w:p w14:paraId="387E703A">
            <w:pPr>
              <w:pStyle w:val="72"/>
              <w:rPr>
                <w:szCs w:val="21"/>
              </w:rPr>
            </w:pPr>
            <w:r>
              <w:rPr>
                <w:szCs w:val="21"/>
              </w:rPr>
              <w:drawing>
                <wp:inline distT="0" distB="0" distL="0" distR="0">
                  <wp:extent cx="775335" cy="674370"/>
                  <wp:effectExtent l="0" t="0" r="5715" b="11430"/>
                  <wp:docPr id="48"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63.jpeg"/>
                          <pic:cNvPicPr>
                            <a:picLocks noChangeAspect="1"/>
                          </pic:cNvPicPr>
                        </pic:nvPicPr>
                        <pic:blipFill>
                          <a:blip r:embed="rId162" cstate="print"/>
                          <a:stretch>
                            <a:fillRect/>
                          </a:stretch>
                        </pic:blipFill>
                        <pic:spPr>
                          <a:xfrm>
                            <a:off x="0" y="0"/>
                            <a:ext cx="775335" cy="674370"/>
                          </a:xfrm>
                          <a:prstGeom prst="rect">
                            <a:avLst/>
                          </a:prstGeom>
                        </pic:spPr>
                      </pic:pic>
                    </a:graphicData>
                  </a:graphic>
                </wp:inline>
              </w:drawing>
            </w:r>
          </w:p>
        </w:tc>
        <w:tc>
          <w:tcPr>
            <w:tcW w:w="1823" w:type="dxa"/>
            <w:tcBorders>
              <w:top w:val="single" w:color="000000" w:sz="6" w:space="0"/>
              <w:left w:val="single" w:color="000000" w:sz="6" w:space="0"/>
              <w:bottom w:val="single" w:color="000000" w:sz="6" w:space="0"/>
              <w:right w:val="single" w:color="000000" w:sz="6" w:space="0"/>
            </w:tcBorders>
            <w:vAlign w:val="center"/>
          </w:tcPr>
          <w:p w14:paraId="66B27259">
            <w:pPr>
              <w:pStyle w:val="72"/>
              <w:rPr>
                <w:szCs w:val="21"/>
              </w:rPr>
            </w:pPr>
            <w:r>
              <w:rPr>
                <w:szCs w:val="21"/>
              </w:rPr>
              <w:t>废气排放口</w:t>
            </w:r>
          </w:p>
        </w:tc>
        <w:tc>
          <w:tcPr>
            <w:tcW w:w="1500" w:type="dxa"/>
            <w:tcBorders>
              <w:top w:val="single" w:color="000000" w:sz="6" w:space="0"/>
              <w:left w:val="single" w:color="000000" w:sz="6" w:space="0"/>
              <w:bottom w:val="single" w:color="000000" w:sz="6" w:space="0"/>
            </w:tcBorders>
            <w:vAlign w:val="center"/>
          </w:tcPr>
          <w:p w14:paraId="024780D3">
            <w:pPr>
              <w:pStyle w:val="72"/>
              <w:rPr>
                <w:szCs w:val="21"/>
              </w:rPr>
            </w:pPr>
            <w:r>
              <w:rPr>
                <w:szCs w:val="21"/>
              </w:rPr>
              <w:t>表示废气向大气环境排放</w:t>
            </w:r>
          </w:p>
        </w:tc>
      </w:tr>
      <w:tr w14:paraId="2395D37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55" w:type="dxa"/>
            <w:tcBorders>
              <w:top w:val="single" w:color="000000" w:sz="6" w:space="0"/>
              <w:bottom w:val="single" w:color="000000" w:sz="6" w:space="0"/>
              <w:right w:val="single" w:color="000000" w:sz="6" w:space="0"/>
            </w:tcBorders>
            <w:vAlign w:val="center"/>
          </w:tcPr>
          <w:p w14:paraId="400F7E52">
            <w:pPr>
              <w:pStyle w:val="72"/>
              <w:rPr>
                <w:szCs w:val="21"/>
              </w:rPr>
            </w:pPr>
            <w:r>
              <w:rPr>
                <w:szCs w:val="21"/>
              </w:rPr>
              <w:t>3</w:t>
            </w:r>
          </w:p>
        </w:tc>
        <w:tc>
          <w:tcPr>
            <w:tcW w:w="2352" w:type="dxa"/>
            <w:tcBorders>
              <w:top w:val="single" w:color="000000" w:sz="6" w:space="0"/>
              <w:left w:val="single" w:color="000000" w:sz="6" w:space="0"/>
              <w:bottom w:val="single" w:color="000000" w:sz="6" w:space="0"/>
              <w:right w:val="single" w:color="000000" w:sz="6" w:space="0"/>
            </w:tcBorders>
          </w:tcPr>
          <w:p w14:paraId="4FAA8682">
            <w:pPr>
              <w:pStyle w:val="72"/>
              <w:rPr>
                <w:szCs w:val="21"/>
              </w:rPr>
            </w:pPr>
            <w:r>
              <w:rPr>
                <w:szCs w:val="21"/>
              </w:rPr>
              <w:drawing>
                <wp:inline distT="0" distB="0" distL="0" distR="0">
                  <wp:extent cx="666750" cy="676275"/>
                  <wp:effectExtent l="0" t="0" r="0" b="9525"/>
                  <wp:docPr id="49"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4.jpeg"/>
                          <pic:cNvPicPr>
                            <a:picLocks noChangeAspect="1"/>
                          </pic:cNvPicPr>
                        </pic:nvPicPr>
                        <pic:blipFill>
                          <a:blip r:embed="rId163" cstate="print"/>
                          <a:stretch>
                            <a:fillRect/>
                          </a:stretch>
                        </pic:blipFill>
                        <pic:spPr>
                          <a:xfrm>
                            <a:off x="0" y="0"/>
                            <a:ext cx="666938" cy="676656"/>
                          </a:xfrm>
                          <a:prstGeom prst="rect">
                            <a:avLst/>
                          </a:prstGeom>
                        </pic:spPr>
                      </pic:pic>
                    </a:graphicData>
                  </a:graphic>
                </wp:inline>
              </w:drawing>
            </w:r>
          </w:p>
        </w:tc>
        <w:tc>
          <w:tcPr>
            <w:tcW w:w="2767" w:type="dxa"/>
            <w:tcBorders>
              <w:top w:val="single" w:color="000000" w:sz="6" w:space="0"/>
              <w:left w:val="single" w:color="000000" w:sz="6" w:space="0"/>
              <w:bottom w:val="single" w:color="000000" w:sz="6" w:space="0"/>
              <w:right w:val="single" w:color="000000" w:sz="6" w:space="0"/>
            </w:tcBorders>
          </w:tcPr>
          <w:p w14:paraId="15A99BAA">
            <w:pPr>
              <w:pStyle w:val="72"/>
              <w:rPr>
                <w:szCs w:val="21"/>
              </w:rPr>
            </w:pPr>
            <w:r>
              <w:rPr>
                <w:szCs w:val="21"/>
              </w:rPr>
              <w:drawing>
                <wp:inline distT="0" distB="0" distL="0" distR="0">
                  <wp:extent cx="819785" cy="740410"/>
                  <wp:effectExtent l="0" t="0" r="18415" b="2540"/>
                  <wp:docPr id="50"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65.jpeg"/>
                          <pic:cNvPicPr>
                            <a:picLocks noChangeAspect="1"/>
                          </pic:cNvPicPr>
                        </pic:nvPicPr>
                        <pic:blipFill>
                          <a:blip r:embed="rId164" cstate="print"/>
                          <a:stretch>
                            <a:fillRect/>
                          </a:stretch>
                        </pic:blipFill>
                        <pic:spPr>
                          <a:xfrm>
                            <a:off x="0" y="0"/>
                            <a:ext cx="819820" cy="740663"/>
                          </a:xfrm>
                          <a:prstGeom prst="rect">
                            <a:avLst/>
                          </a:prstGeom>
                        </pic:spPr>
                      </pic:pic>
                    </a:graphicData>
                  </a:graphic>
                </wp:inline>
              </w:drawing>
            </w:r>
          </w:p>
        </w:tc>
        <w:tc>
          <w:tcPr>
            <w:tcW w:w="1823" w:type="dxa"/>
            <w:tcBorders>
              <w:top w:val="single" w:color="000000" w:sz="6" w:space="0"/>
              <w:left w:val="single" w:color="000000" w:sz="6" w:space="0"/>
              <w:bottom w:val="single" w:color="000000" w:sz="6" w:space="0"/>
              <w:right w:val="single" w:color="000000" w:sz="6" w:space="0"/>
            </w:tcBorders>
            <w:vAlign w:val="center"/>
          </w:tcPr>
          <w:p w14:paraId="15319BFB">
            <w:pPr>
              <w:pStyle w:val="72"/>
              <w:rPr>
                <w:szCs w:val="21"/>
              </w:rPr>
            </w:pPr>
            <w:r>
              <w:rPr>
                <w:szCs w:val="21"/>
              </w:rPr>
              <w:t>噪声排放源</w:t>
            </w:r>
          </w:p>
        </w:tc>
        <w:tc>
          <w:tcPr>
            <w:tcW w:w="1500" w:type="dxa"/>
            <w:tcBorders>
              <w:top w:val="single" w:color="000000" w:sz="6" w:space="0"/>
              <w:left w:val="single" w:color="000000" w:sz="6" w:space="0"/>
              <w:bottom w:val="single" w:color="000000" w:sz="6" w:space="0"/>
            </w:tcBorders>
            <w:vAlign w:val="center"/>
          </w:tcPr>
          <w:p w14:paraId="53430A0C">
            <w:pPr>
              <w:pStyle w:val="72"/>
              <w:rPr>
                <w:szCs w:val="21"/>
              </w:rPr>
            </w:pPr>
            <w:r>
              <w:rPr>
                <w:szCs w:val="21"/>
              </w:rPr>
              <w:t>表示噪声向外环境排放</w:t>
            </w:r>
          </w:p>
        </w:tc>
      </w:tr>
      <w:tr w14:paraId="78D6898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55" w:type="dxa"/>
            <w:tcBorders>
              <w:top w:val="single" w:color="000000" w:sz="6" w:space="0"/>
              <w:bottom w:val="single" w:color="000000" w:sz="6" w:space="0"/>
              <w:right w:val="single" w:color="000000" w:sz="6" w:space="0"/>
            </w:tcBorders>
            <w:vAlign w:val="center"/>
          </w:tcPr>
          <w:p w14:paraId="1EFB21A7">
            <w:pPr>
              <w:pStyle w:val="72"/>
              <w:rPr>
                <w:szCs w:val="21"/>
              </w:rPr>
            </w:pPr>
            <w:r>
              <w:rPr>
                <w:szCs w:val="21"/>
              </w:rPr>
              <w:t>4</w:t>
            </w:r>
          </w:p>
        </w:tc>
        <w:tc>
          <w:tcPr>
            <w:tcW w:w="2352" w:type="dxa"/>
            <w:tcBorders>
              <w:top w:val="single" w:color="000000" w:sz="6" w:space="0"/>
              <w:left w:val="single" w:color="000000" w:sz="6" w:space="0"/>
              <w:bottom w:val="single" w:color="000000" w:sz="6" w:space="0"/>
              <w:right w:val="single" w:color="000000" w:sz="6" w:space="0"/>
            </w:tcBorders>
          </w:tcPr>
          <w:p w14:paraId="51391EE8">
            <w:pPr>
              <w:pStyle w:val="72"/>
              <w:rPr>
                <w:szCs w:val="21"/>
              </w:rPr>
            </w:pPr>
            <w:r>
              <w:rPr>
                <w:szCs w:val="21"/>
              </w:rPr>
              <w:drawing>
                <wp:inline distT="0" distB="0" distL="0" distR="0">
                  <wp:extent cx="711200" cy="713105"/>
                  <wp:effectExtent l="0" t="0" r="12700" b="10795"/>
                  <wp:docPr id="5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66.jpeg"/>
                          <pic:cNvPicPr>
                            <a:picLocks noChangeAspect="1"/>
                          </pic:cNvPicPr>
                        </pic:nvPicPr>
                        <pic:blipFill>
                          <a:blip r:embed="rId165" cstate="print"/>
                          <a:stretch>
                            <a:fillRect/>
                          </a:stretch>
                        </pic:blipFill>
                        <pic:spPr>
                          <a:xfrm>
                            <a:off x="0" y="0"/>
                            <a:ext cx="711351" cy="713232"/>
                          </a:xfrm>
                          <a:prstGeom prst="rect">
                            <a:avLst/>
                          </a:prstGeom>
                        </pic:spPr>
                      </pic:pic>
                    </a:graphicData>
                  </a:graphic>
                </wp:inline>
              </w:drawing>
            </w:r>
          </w:p>
        </w:tc>
        <w:tc>
          <w:tcPr>
            <w:tcW w:w="2767" w:type="dxa"/>
            <w:tcBorders>
              <w:top w:val="single" w:color="000000" w:sz="6" w:space="0"/>
              <w:left w:val="single" w:color="000000" w:sz="6" w:space="0"/>
              <w:bottom w:val="single" w:color="000000" w:sz="6" w:space="0"/>
              <w:right w:val="single" w:color="000000" w:sz="6" w:space="0"/>
            </w:tcBorders>
          </w:tcPr>
          <w:p w14:paraId="3AEAADCB">
            <w:pPr>
              <w:pStyle w:val="72"/>
              <w:rPr>
                <w:szCs w:val="21"/>
              </w:rPr>
            </w:pPr>
            <w:r>
              <w:rPr>
                <w:szCs w:val="21"/>
              </w:rPr>
              <w:drawing>
                <wp:inline distT="0" distB="0" distL="0" distR="0">
                  <wp:extent cx="843280" cy="767715"/>
                  <wp:effectExtent l="0" t="0" r="13970" b="13335"/>
                  <wp:docPr id="52"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7.jpeg"/>
                          <pic:cNvPicPr>
                            <a:picLocks noChangeAspect="1"/>
                          </pic:cNvPicPr>
                        </pic:nvPicPr>
                        <pic:blipFill>
                          <a:blip r:embed="rId166" cstate="print"/>
                          <a:stretch>
                            <a:fillRect/>
                          </a:stretch>
                        </pic:blipFill>
                        <pic:spPr>
                          <a:xfrm>
                            <a:off x="0" y="0"/>
                            <a:ext cx="843379" cy="768096"/>
                          </a:xfrm>
                          <a:prstGeom prst="rect">
                            <a:avLst/>
                          </a:prstGeom>
                        </pic:spPr>
                      </pic:pic>
                    </a:graphicData>
                  </a:graphic>
                </wp:inline>
              </w:drawing>
            </w:r>
          </w:p>
        </w:tc>
        <w:tc>
          <w:tcPr>
            <w:tcW w:w="1823" w:type="dxa"/>
            <w:tcBorders>
              <w:top w:val="single" w:color="000000" w:sz="6" w:space="0"/>
              <w:left w:val="single" w:color="000000" w:sz="6" w:space="0"/>
              <w:bottom w:val="single" w:color="000000" w:sz="6" w:space="0"/>
              <w:right w:val="single" w:color="000000" w:sz="6" w:space="0"/>
            </w:tcBorders>
            <w:vAlign w:val="center"/>
          </w:tcPr>
          <w:p w14:paraId="58496E8E">
            <w:pPr>
              <w:pStyle w:val="72"/>
              <w:rPr>
                <w:szCs w:val="21"/>
              </w:rPr>
            </w:pPr>
            <w:r>
              <w:rPr>
                <w:szCs w:val="21"/>
              </w:rPr>
              <w:t>一般固体废物</w:t>
            </w:r>
          </w:p>
        </w:tc>
        <w:tc>
          <w:tcPr>
            <w:tcW w:w="1500" w:type="dxa"/>
            <w:tcBorders>
              <w:top w:val="single" w:color="000000" w:sz="6" w:space="0"/>
              <w:left w:val="single" w:color="000000" w:sz="6" w:space="0"/>
              <w:bottom w:val="single" w:color="000000" w:sz="6" w:space="0"/>
            </w:tcBorders>
            <w:vAlign w:val="center"/>
          </w:tcPr>
          <w:p w14:paraId="5E455162">
            <w:pPr>
              <w:pStyle w:val="72"/>
              <w:rPr>
                <w:szCs w:val="21"/>
              </w:rPr>
            </w:pPr>
            <w:r>
              <w:rPr>
                <w:szCs w:val="21"/>
              </w:rPr>
              <w:t>表示一般固体废物贮存、处置场</w:t>
            </w:r>
          </w:p>
        </w:tc>
      </w:tr>
      <w:tr w14:paraId="660200B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655" w:type="dxa"/>
            <w:tcBorders>
              <w:top w:val="single" w:color="000000" w:sz="6" w:space="0"/>
              <w:right w:val="single" w:color="000000" w:sz="6" w:space="0"/>
            </w:tcBorders>
            <w:vAlign w:val="center"/>
          </w:tcPr>
          <w:p w14:paraId="761E7D04">
            <w:pPr>
              <w:spacing w:line="240" w:lineRule="auto"/>
              <w:jc w:val="center"/>
              <w:rPr>
                <w:kern w:val="0"/>
                <w:sz w:val="21"/>
                <w:szCs w:val="21"/>
              </w:rPr>
            </w:pPr>
            <w:r>
              <w:rPr>
                <w:kern w:val="0"/>
                <w:sz w:val="21"/>
                <w:szCs w:val="21"/>
              </w:rPr>
              <w:t>5</w:t>
            </w:r>
          </w:p>
        </w:tc>
        <w:tc>
          <w:tcPr>
            <w:tcW w:w="2352" w:type="dxa"/>
            <w:tcBorders>
              <w:top w:val="single" w:color="000000" w:sz="6" w:space="0"/>
              <w:left w:val="single" w:color="000000" w:sz="6" w:space="0"/>
              <w:right w:val="single" w:color="000000" w:sz="6" w:space="0"/>
            </w:tcBorders>
            <w:vAlign w:val="center"/>
          </w:tcPr>
          <w:p w14:paraId="7911CEE2">
            <w:pPr>
              <w:spacing w:line="240" w:lineRule="auto"/>
              <w:ind w:firstLine="1050" w:firstLineChars="500"/>
              <w:rPr>
                <w:kern w:val="0"/>
                <w:sz w:val="21"/>
                <w:szCs w:val="21"/>
              </w:rPr>
            </w:pPr>
            <w:r>
              <w:rPr>
                <w:kern w:val="0"/>
                <w:sz w:val="21"/>
                <w:szCs w:val="21"/>
              </w:rPr>
              <w:t>/</w:t>
            </w:r>
          </w:p>
        </w:tc>
        <w:tc>
          <w:tcPr>
            <w:tcW w:w="2767" w:type="dxa"/>
            <w:tcBorders>
              <w:top w:val="single" w:color="000000" w:sz="6" w:space="0"/>
              <w:left w:val="single" w:color="000000" w:sz="6" w:space="0"/>
              <w:right w:val="single" w:color="000000" w:sz="6" w:space="0"/>
            </w:tcBorders>
          </w:tcPr>
          <w:p w14:paraId="042197B9">
            <w:pPr>
              <w:spacing w:line="240" w:lineRule="auto"/>
              <w:ind w:firstLine="480"/>
              <w:rPr>
                <w:kern w:val="0"/>
                <w:sz w:val="21"/>
                <w:szCs w:val="21"/>
              </w:rPr>
            </w:pPr>
            <w:r>
              <w:rPr>
                <w:rFonts w:hint="eastAsia"/>
              </w:rPr>
              <w:t xml:space="preserve"> </w:t>
            </w:r>
            <w:r>
              <w:drawing>
                <wp:inline distT="0" distB="0" distL="114300" distR="114300">
                  <wp:extent cx="845820" cy="733425"/>
                  <wp:effectExtent l="0" t="0" r="11430" b="9525"/>
                  <wp:docPr id="53" name="图片 53" descr="168627527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686275276393"/>
                          <pic:cNvPicPr>
                            <a:picLocks noChangeAspect="1"/>
                          </pic:cNvPicPr>
                        </pic:nvPicPr>
                        <pic:blipFill>
                          <a:blip r:embed="rId167"/>
                          <a:stretch>
                            <a:fillRect/>
                          </a:stretch>
                        </pic:blipFill>
                        <pic:spPr>
                          <a:xfrm>
                            <a:off x="0" y="0"/>
                            <a:ext cx="845820" cy="733425"/>
                          </a:xfrm>
                          <a:prstGeom prst="rect">
                            <a:avLst/>
                          </a:prstGeom>
                        </pic:spPr>
                      </pic:pic>
                    </a:graphicData>
                  </a:graphic>
                </wp:inline>
              </w:drawing>
            </w:r>
          </w:p>
        </w:tc>
        <w:tc>
          <w:tcPr>
            <w:tcW w:w="1823" w:type="dxa"/>
            <w:tcBorders>
              <w:top w:val="single" w:color="000000" w:sz="6" w:space="0"/>
              <w:left w:val="single" w:color="000000" w:sz="6" w:space="0"/>
              <w:right w:val="single" w:color="000000" w:sz="6" w:space="0"/>
            </w:tcBorders>
            <w:vAlign w:val="center"/>
          </w:tcPr>
          <w:p w14:paraId="0E17C117">
            <w:pPr>
              <w:spacing w:line="240" w:lineRule="auto"/>
              <w:jc w:val="center"/>
              <w:rPr>
                <w:kern w:val="0"/>
                <w:sz w:val="21"/>
                <w:szCs w:val="21"/>
              </w:rPr>
            </w:pPr>
            <w:r>
              <w:rPr>
                <w:rFonts w:hint="eastAsia"/>
                <w:kern w:val="0"/>
                <w:sz w:val="21"/>
                <w:szCs w:val="21"/>
              </w:rPr>
              <w:t>危</w:t>
            </w:r>
            <w:r>
              <w:rPr>
                <w:kern w:val="0"/>
                <w:sz w:val="21"/>
                <w:szCs w:val="21"/>
              </w:rPr>
              <w:t>险废物</w:t>
            </w:r>
          </w:p>
        </w:tc>
        <w:tc>
          <w:tcPr>
            <w:tcW w:w="1500" w:type="dxa"/>
            <w:tcBorders>
              <w:top w:val="single" w:color="000000" w:sz="6" w:space="0"/>
              <w:left w:val="single" w:color="000000" w:sz="6" w:space="0"/>
            </w:tcBorders>
            <w:vAlign w:val="center"/>
          </w:tcPr>
          <w:p w14:paraId="11306221">
            <w:pPr>
              <w:spacing w:line="240" w:lineRule="auto"/>
              <w:jc w:val="center"/>
              <w:rPr>
                <w:kern w:val="0"/>
                <w:sz w:val="21"/>
                <w:szCs w:val="21"/>
              </w:rPr>
            </w:pPr>
            <w:r>
              <w:rPr>
                <w:kern w:val="0"/>
                <w:sz w:val="21"/>
                <w:szCs w:val="21"/>
              </w:rPr>
              <w:t>表示危险废物贮存、处置场</w:t>
            </w:r>
          </w:p>
        </w:tc>
      </w:tr>
    </w:tbl>
    <w:p w14:paraId="5DAA14B5">
      <w:pPr>
        <w:ind w:firstLine="480"/>
        <w:rPr>
          <w:color w:val="FF0000"/>
        </w:rPr>
      </w:pPr>
    </w:p>
    <w:p w14:paraId="300518EF">
      <w:pPr>
        <w:pStyle w:val="16"/>
        <w:ind w:firstLine="360"/>
        <w:rPr>
          <w:color w:val="FF0000"/>
        </w:rPr>
        <w:sectPr>
          <w:pgSz w:w="11906" w:h="16838"/>
          <w:pgMar w:top="1440" w:right="1800" w:bottom="1440" w:left="1800" w:header="850" w:footer="964" w:gutter="0"/>
          <w:pgBorders>
            <w:top w:val="none" w:sz="0" w:space="0"/>
            <w:left w:val="none" w:sz="0" w:space="0"/>
            <w:bottom w:val="none" w:sz="0" w:space="0"/>
            <w:right w:val="none" w:sz="0" w:space="0"/>
          </w:pgBorders>
          <w:pgNumType w:fmt="numberInDash"/>
          <w:cols w:space="720" w:num="1"/>
          <w:docGrid w:type="lines" w:linePitch="312" w:charSpace="0"/>
        </w:sectPr>
      </w:pPr>
    </w:p>
    <w:p w14:paraId="105D90E0">
      <w:pPr>
        <w:pStyle w:val="2"/>
        <w:numPr>
          <w:ilvl w:val="0"/>
          <w:numId w:val="0"/>
        </w:numPr>
        <w:ind w:left="425" w:leftChars="0" w:hanging="425" w:firstLineChars="0"/>
        <w:rPr>
          <w:color w:val="auto"/>
        </w:rPr>
      </w:pPr>
      <w:bookmarkStart w:id="173" w:name="_Toc23445"/>
      <w:r>
        <w:rPr>
          <w:rFonts w:hint="default" w:ascii="宋体" w:hAnsi="宋体" w:eastAsia="宋体" w:cs="宋体"/>
          <w:b/>
          <w:bCs/>
          <w:color w:val="auto"/>
          <w:kern w:val="44"/>
          <w:sz w:val="32"/>
          <w:szCs w:val="32"/>
          <w:lang w:val="en-US" w:eastAsia="zh-CN" w:bidi="ar-SA"/>
        </w:rPr>
        <w:t>第12章</w:t>
      </w:r>
      <w:r>
        <w:rPr>
          <w:rFonts w:hint="eastAsia"/>
          <w:color w:val="auto"/>
        </w:rPr>
        <w:t>结论与建议</w:t>
      </w:r>
      <w:bookmarkEnd w:id="173"/>
    </w:p>
    <w:p w14:paraId="4B308F1D">
      <w:pPr>
        <w:pStyle w:val="3"/>
        <w:numPr>
          <w:ilvl w:val="1"/>
          <w:numId w:val="0"/>
        </w:numPr>
        <w:ind w:left="567" w:leftChars="0" w:hanging="567" w:firstLineChars="0"/>
        <w:rPr>
          <w:sz w:val="28"/>
          <w:szCs w:val="28"/>
        </w:rPr>
      </w:pPr>
      <w:bookmarkStart w:id="174" w:name="_Toc20730"/>
      <w:r>
        <w:rPr>
          <w:rFonts w:hint="default" w:ascii="宋体" w:hAnsi="宋体" w:eastAsia="宋体" w:cs="宋体"/>
          <w:b/>
          <w:bCs/>
          <w:kern w:val="2"/>
          <w:sz w:val="28"/>
          <w:szCs w:val="28"/>
          <w:lang w:val="en-US" w:eastAsia="zh-CN" w:bidi="ar-SA"/>
        </w:rPr>
        <w:t>12.1</w:t>
      </w:r>
      <w:r>
        <w:rPr>
          <w:rFonts w:hint="eastAsia"/>
          <w:sz w:val="28"/>
          <w:szCs w:val="28"/>
        </w:rPr>
        <w:t>结论</w:t>
      </w:r>
      <w:bookmarkEnd w:id="174"/>
    </w:p>
    <w:p w14:paraId="459D87E9">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12.1.1</w:t>
      </w:r>
      <w:r>
        <w:rPr>
          <w:rFonts w:hint="eastAsia"/>
        </w:rPr>
        <w:t>工程概况</w:t>
      </w:r>
    </w:p>
    <w:p w14:paraId="59C3D63D">
      <w:pPr>
        <w:ind w:firstLine="480"/>
      </w:pPr>
      <w:r>
        <w:rPr>
          <w:rFonts w:hint="eastAsia"/>
        </w:rPr>
        <w:t>本次拟</w:t>
      </w:r>
      <w:r>
        <w:rPr>
          <w:rFonts w:hint="eastAsia"/>
          <w:lang w:val="en-US" w:eastAsia="zh-CN"/>
        </w:rPr>
        <w:t>变动对象</w:t>
      </w:r>
      <w:r>
        <w:rPr>
          <w:rFonts w:hint="eastAsia"/>
        </w:rPr>
        <w:t>为《年产15000吨印刷品改扩建项目环境影响报告书》，</w:t>
      </w:r>
      <w:r>
        <w:rPr>
          <w:rFonts w:hint="eastAsia"/>
          <w:lang w:val="en-US" w:eastAsia="zh-CN"/>
        </w:rPr>
        <w:t>该项目</w:t>
      </w:r>
      <w:r>
        <w:rPr>
          <w:rFonts w:hint="eastAsia"/>
        </w:rPr>
        <w:t>2024年1月3日取得环评批复，批文号：潭环审（湘潭县）【2024】1号。该项目办理环评时，产能预估过小，根据设备调试阶段的测试，满负荷工作且生产时长不变的情况下，实际产能可达到</w:t>
      </w:r>
      <w:r>
        <w:rPr>
          <w:rFonts w:hint="eastAsia"/>
          <w:lang w:val="en-US" w:eastAsia="zh-CN"/>
        </w:rPr>
        <w:t>268</w:t>
      </w:r>
      <w:r>
        <w:rPr>
          <w:rFonts w:hint="eastAsia"/>
        </w:rPr>
        <w:t>00t/a，同时企业考虑近年来湘潭地区槟榔、熟食、休闲食品等行业发展稳定，对塑料软包装需求量逐年上涨，决定对在建项目进行变更：将全厂印刷品总产能由已批复的15000t/a提高至</w:t>
      </w:r>
      <w:r>
        <w:rPr>
          <w:rFonts w:hint="eastAsia"/>
          <w:lang w:val="en-US" w:eastAsia="zh-CN"/>
        </w:rPr>
        <w:t>268</w:t>
      </w:r>
      <w:r>
        <w:rPr>
          <w:rFonts w:hint="eastAsia"/>
        </w:rPr>
        <w:t>00t/a，同时增加相应原辅材料用量。</w:t>
      </w:r>
    </w:p>
    <w:p w14:paraId="319CDDFF">
      <w:pPr>
        <w:pStyle w:val="4"/>
        <w:numPr>
          <w:ilvl w:val="2"/>
          <w:numId w:val="0"/>
        </w:numPr>
        <w:ind w:left="0" w:leftChars="0" w:firstLine="0" w:firstLineChars="0"/>
      </w:pPr>
      <w:bookmarkStart w:id="175" w:name="_Toc24044"/>
      <w:bookmarkStart w:id="176" w:name="_Toc60666328"/>
      <w:bookmarkStart w:id="177" w:name="_Toc16796"/>
      <w:bookmarkStart w:id="178" w:name="_Toc22974"/>
      <w:r>
        <w:rPr>
          <w:rFonts w:hint="default" w:ascii="宋体" w:hAnsi="宋体" w:eastAsia="宋体" w:cs="宋体"/>
          <w:b/>
          <w:bCs/>
          <w:kern w:val="2"/>
          <w:sz w:val="24"/>
          <w:szCs w:val="24"/>
          <w:lang w:val="en-US" w:eastAsia="zh-CN" w:bidi="ar-SA"/>
        </w:rPr>
        <w:t>12.1.2</w:t>
      </w:r>
      <w:r>
        <w:t>产业政策及规划符合性</w:t>
      </w:r>
      <w:bookmarkEnd w:id="175"/>
      <w:bookmarkEnd w:id="176"/>
      <w:bookmarkEnd w:id="177"/>
      <w:bookmarkEnd w:id="178"/>
    </w:p>
    <w:p w14:paraId="2075F83E">
      <w:pPr>
        <w:ind w:firstLine="482"/>
        <w:jc w:val="left"/>
        <w:rPr>
          <w:b/>
        </w:rPr>
      </w:pPr>
      <w:r>
        <w:rPr>
          <w:rFonts w:hint="eastAsia" w:ascii="宋体" w:hAnsi="宋体" w:cs="宋体"/>
          <w:b/>
        </w:rPr>
        <w:t>⑴</w:t>
      </w:r>
      <w:r>
        <w:rPr>
          <w:rFonts w:hint="eastAsia"/>
          <w:b/>
        </w:rPr>
        <w:t>产业政策符合性判定</w:t>
      </w:r>
    </w:p>
    <w:p w14:paraId="3D06DD98">
      <w:pPr>
        <w:ind w:firstLine="499"/>
        <w:jc w:val="left"/>
      </w:pPr>
      <w:r>
        <w:rPr>
          <w:rFonts w:hint="eastAsia"/>
          <w:sz w:val="25"/>
          <w:szCs w:val="25"/>
        </w:rPr>
        <w:t>根据</w:t>
      </w:r>
      <w:r>
        <w:rPr>
          <w:kern w:val="0"/>
        </w:rPr>
        <w:t>《产业结构调整指导目录（20</w:t>
      </w:r>
      <w:r>
        <w:rPr>
          <w:rFonts w:hint="eastAsia"/>
          <w:kern w:val="0"/>
        </w:rPr>
        <w:t>24</w:t>
      </w:r>
      <w:r>
        <w:rPr>
          <w:kern w:val="0"/>
        </w:rPr>
        <w:t>年本）》，本项目不属于上述文件中的“鼓励类、限制类和淘汰类”，属于允许类；本项目生产设备、产品不属于目录中明令淘汰的落后生产工艺装备、落后产品，因此项目符合国家产业政策。具有较好的社会效益、经济效益和发展前景</w:t>
      </w:r>
      <w:r>
        <w:t>。</w:t>
      </w:r>
    </w:p>
    <w:p w14:paraId="5FC07FA8">
      <w:pPr>
        <w:ind w:firstLine="482"/>
        <w:jc w:val="left"/>
        <w:rPr>
          <w:b/>
        </w:rPr>
      </w:pPr>
      <w:r>
        <w:rPr>
          <w:rFonts w:hint="eastAsia" w:ascii="宋体" w:hAnsi="宋体" w:cs="宋体"/>
          <w:b/>
        </w:rPr>
        <w:t>⑵</w:t>
      </w:r>
      <w:r>
        <w:rPr>
          <w:rFonts w:hint="eastAsia"/>
          <w:b/>
        </w:rPr>
        <w:t>选址合理性分析</w:t>
      </w:r>
    </w:p>
    <w:p w14:paraId="4EA7B4CC">
      <w:pPr>
        <w:autoSpaceDE w:val="0"/>
        <w:autoSpaceDN w:val="0"/>
        <w:adjustRightInd w:val="0"/>
        <w:snapToGrid w:val="0"/>
        <w:ind w:firstLine="480"/>
        <w:rPr>
          <w:kern w:val="0"/>
          <w:szCs w:val="21"/>
        </w:rPr>
      </w:pPr>
      <w:r>
        <w:rPr>
          <w:kern w:val="0"/>
          <w:szCs w:val="21"/>
        </w:rPr>
        <w:t>本项目位于湘潭天易经济开发区海鸥路以北、丁香路以西，根据湘潭天易经济开发区总体布局以及湘潭县自然资源局颁发的建设用地规划许可证（地字第430321202000067），项目所在地块属工业用地，符合规划用地要求。项目所在地环境质量现状满足标准要求；环境影响分析表明，采取相应的措施后，项目环境</w:t>
      </w:r>
      <w:r>
        <w:rPr>
          <w:rFonts w:hint="eastAsia"/>
          <w:kern w:val="0"/>
          <w:szCs w:val="21"/>
        </w:rPr>
        <w:t>影响</w:t>
      </w:r>
      <w:r>
        <w:rPr>
          <w:kern w:val="0"/>
          <w:szCs w:val="21"/>
        </w:rPr>
        <w:t>较小。因此本项目选址合理。</w:t>
      </w:r>
    </w:p>
    <w:p w14:paraId="10130762">
      <w:pPr>
        <w:autoSpaceDE w:val="0"/>
        <w:autoSpaceDN w:val="0"/>
        <w:adjustRightInd w:val="0"/>
        <w:snapToGrid w:val="0"/>
        <w:ind w:firstLine="482"/>
        <w:jc w:val="left"/>
        <w:rPr>
          <w:sz w:val="25"/>
          <w:szCs w:val="25"/>
        </w:rPr>
      </w:pPr>
      <w:r>
        <w:rPr>
          <w:rFonts w:hint="eastAsia" w:ascii="宋体" w:hAnsi="宋体" w:cs="宋体"/>
          <w:b/>
          <w:bCs/>
        </w:rPr>
        <w:t>⑶</w:t>
      </w:r>
      <w:r>
        <w:rPr>
          <w:rFonts w:hint="eastAsia"/>
          <w:b/>
          <w:bCs/>
        </w:rPr>
        <w:t>与湘潭天易经济开发区的产业政策合理性分析</w:t>
      </w:r>
    </w:p>
    <w:p w14:paraId="0B3141F7">
      <w:pPr>
        <w:autoSpaceDE w:val="0"/>
        <w:autoSpaceDN w:val="0"/>
        <w:adjustRightInd w:val="0"/>
        <w:snapToGrid w:val="0"/>
        <w:ind w:firstLine="480"/>
        <w:jc w:val="left"/>
        <w:rPr>
          <w:kern w:val="0"/>
          <w:szCs w:val="21"/>
        </w:rPr>
      </w:pPr>
      <w:r>
        <w:rPr>
          <w:kern w:val="0"/>
          <w:szCs w:val="21"/>
        </w:rPr>
        <w:t>本项目位于湘潭天易经开区芙蓉路以东，天易路以南。湘潭天易经济开发区产业定位为“打造先进装备制造业、农产品精深加工业、现代服务业三大主导产业，新材料产业、节能环保产业两大战略性新兴产业的“3+2”现代产业体系”。本项目为</w:t>
      </w:r>
      <w:r>
        <w:rPr>
          <w:rFonts w:hint="eastAsia"/>
          <w:kern w:val="0"/>
          <w:szCs w:val="21"/>
        </w:rPr>
        <w:t>年产15000吨印刷品改扩建项目</w:t>
      </w:r>
      <w:r>
        <w:rPr>
          <w:kern w:val="0"/>
          <w:szCs w:val="21"/>
        </w:rPr>
        <w:t>，为食品行业服务，与现代服务业相符，项目的建设与湘潭天易经济开发区的产业政策相符合。</w:t>
      </w:r>
    </w:p>
    <w:p w14:paraId="388F5A5A">
      <w:pPr>
        <w:autoSpaceDE w:val="0"/>
        <w:autoSpaceDN w:val="0"/>
        <w:adjustRightInd w:val="0"/>
        <w:snapToGrid w:val="0"/>
        <w:ind w:left="480"/>
        <w:jc w:val="left"/>
        <w:rPr>
          <w:b/>
          <w:bCs/>
        </w:rPr>
      </w:pPr>
      <w:r>
        <w:rPr>
          <w:rFonts w:hint="eastAsia" w:ascii="宋体" w:hAnsi="宋体" w:cs="宋体"/>
          <w:b/>
          <w:bCs/>
        </w:rPr>
        <w:t>⑷</w:t>
      </w:r>
      <w:r>
        <w:rPr>
          <w:rFonts w:hint="eastAsia"/>
          <w:b/>
          <w:bCs/>
        </w:rPr>
        <w:t>“三线一单”符合性分析</w:t>
      </w:r>
    </w:p>
    <w:p w14:paraId="3E4E189C">
      <w:pPr>
        <w:tabs>
          <w:tab w:val="left" w:pos="1900"/>
        </w:tabs>
        <w:adjustRightInd w:val="0"/>
        <w:snapToGrid w:val="0"/>
        <w:ind w:firstLine="480"/>
      </w:pPr>
      <w:r>
        <w:t>对照</w:t>
      </w:r>
      <w:r>
        <w:rPr>
          <w:rStyle w:val="76"/>
        </w:rPr>
        <w:t>《湖南省人民政府关于推动实施“三线一单”生态环境分区管控的指导意见》</w:t>
      </w:r>
      <w:r>
        <w:rPr>
          <w:kern w:val="0"/>
        </w:rPr>
        <w:t>（潭政发</w:t>
      </w:r>
      <w:r>
        <w:rPr>
          <w:rFonts w:hint="eastAsia"/>
          <w:kern w:val="0"/>
        </w:rPr>
        <w:t>〔</w:t>
      </w:r>
      <w:r>
        <w:rPr>
          <w:kern w:val="0"/>
        </w:rPr>
        <w:t>2020</w:t>
      </w:r>
      <w:r>
        <w:rPr>
          <w:rFonts w:hint="eastAsia"/>
          <w:kern w:val="0"/>
        </w:rPr>
        <w:t>〕</w:t>
      </w:r>
      <w:r>
        <w:rPr>
          <w:kern w:val="0"/>
        </w:rPr>
        <w:t>12号）和《湖南省“三线一单”生态环境总体管控要求暨省级以上产业园区生态环境准入清单》</w:t>
      </w:r>
      <w:r>
        <w:t>，本项目符合</w:t>
      </w:r>
      <w:r>
        <w:rPr>
          <w:rFonts w:hint="eastAsia"/>
        </w:rPr>
        <w:t>相关</w:t>
      </w:r>
      <w:r>
        <w:t>的要求。</w:t>
      </w:r>
    </w:p>
    <w:p w14:paraId="1BE113E1">
      <w:pPr>
        <w:autoSpaceDE w:val="0"/>
        <w:autoSpaceDN w:val="0"/>
        <w:adjustRightInd w:val="0"/>
        <w:snapToGrid w:val="0"/>
        <w:ind w:firstLine="480"/>
        <w:jc w:val="left"/>
        <w:rPr>
          <w:rFonts w:ascii="新宋体" w:eastAsia="新宋体" w:cs="新宋体"/>
          <w:kern w:val="0"/>
        </w:rPr>
      </w:pPr>
      <w:r>
        <w:t>综上所述，本项目</w:t>
      </w:r>
      <w:r>
        <w:rPr>
          <w:rFonts w:asciiTheme="minorEastAsia" w:hAnsiTheme="minorEastAsia" w:eastAsiaTheme="minorEastAsia"/>
        </w:rPr>
        <w:t>满足“落实‘生态保护红线、环境质量底线、资源利用上线’约束”的</w:t>
      </w:r>
      <w:r>
        <w:t>要求，满足天易经济开发区产业园区生态环境准入清单要求</w:t>
      </w:r>
      <w:r>
        <w:rPr>
          <w:sz w:val="25"/>
          <w:szCs w:val="25"/>
        </w:rPr>
        <w:t>。</w:t>
      </w:r>
    </w:p>
    <w:p w14:paraId="35AE3057">
      <w:pPr>
        <w:pStyle w:val="4"/>
        <w:numPr>
          <w:ilvl w:val="2"/>
          <w:numId w:val="0"/>
        </w:numPr>
        <w:ind w:left="992" w:leftChars="0" w:hanging="992" w:firstLineChars="0"/>
      </w:pPr>
      <w:r>
        <w:rPr>
          <w:rFonts w:hint="default" w:ascii="宋体" w:hAnsi="宋体" w:eastAsia="宋体" w:cs="宋体"/>
          <w:b/>
          <w:bCs/>
          <w:kern w:val="2"/>
          <w:sz w:val="24"/>
          <w:szCs w:val="24"/>
          <w:lang w:val="en-US" w:eastAsia="zh-CN" w:bidi="ar-SA"/>
        </w:rPr>
        <w:t>12.1.3</w:t>
      </w:r>
      <w:r>
        <w:rPr>
          <w:rFonts w:hint="eastAsia"/>
        </w:rPr>
        <w:t>环境质量现状与评价</w:t>
      </w:r>
    </w:p>
    <w:p w14:paraId="6B7CAC56">
      <w:pPr>
        <w:ind w:firstLine="480"/>
      </w:pPr>
      <w:r>
        <w:rPr>
          <w:rFonts w:hint="eastAsia"/>
        </w:rPr>
        <w:t>根据现状监测可知，根据现状监测可知，湘潭县202</w:t>
      </w:r>
      <w:r>
        <w:rPr>
          <w:rFonts w:hint="eastAsia"/>
          <w:lang w:val="en-US" w:eastAsia="zh-CN"/>
        </w:rPr>
        <w:t>4年年度</w:t>
      </w:r>
      <w:r>
        <w:rPr>
          <w:rFonts w:hint="eastAsia"/>
        </w:rPr>
        <w:t>环境空气监测数据（湘潭县环境监测站监测），项目所在区域的基本污染物</w:t>
      </w:r>
      <w:r>
        <w:rPr>
          <w:rFonts w:hint="eastAsia"/>
          <w:lang w:val="en-US" w:eastAsia="zh-CN"/>
        </w:rPr>
        <w:t>均满足《环境空气质量标准》（GB3095-2026）表1二级标准（过渡阶段）</w:t>
      </w:r>
      <w:r>
        <w:rPr>
          <w:rFonts w:hint="eastAsia"/>
        </w:rPr>
        <w:t>，判定本项目所在区域为达标区。</w:t>
      </w:r>
    </w:p>
    <w:p w14:paraId="48BF57A1">
      <w:pPr>
        <w:ind w:firstLine="480"/>
      </w:pPr>
      <w:r>
        <w:rPr>
          <w:rFonts w:hint="eastAsia"/>
        </w:rPr>
        <w:t>特征污染因子TVOC可达到《环境影响评价技术导则-大气环境》（HJ2.2-2018）附录D中的参考限值。</w:t>
      </w:r>
    </w:p>
    <w:p w14:paraId="45357B85">
      <w:pPr>
        <w:ind w:firstLine="480"/>
      </w:pPr>
      <w:r>
        <w:rPr>
          <w:rFonts w:hint="eastAsia"/>
          <w:lang w:val="zh-CN"/>
        </w:rPr>
        <w:t>根据收集的历史监测表明，五星和易俗河水厂两个常规断面的</w:t>
      </w:r>
      <w:r>
        <w:rPr>
          <w:lang w:val="zh-CN"/>
        </w:rPr>
        <w:t>各监测因子在监测时段均达《地表水环境质量标准》（GB3838-2002）</w:t>
      </w:r>
      <w:r>
        <w:rPr>
          <w:rFonts w:cs="宋体"/>
          <w:lang w:val="zh-CN"/>
        </w:rPr>
        <w:fldChar w:fldCharType="begin"/>
      </w:r>
      <w:r>
        <w:rPr>
          <w:rFonts w:hint="eastAsia" w:cs="宋体"/>
          <w:lang w:val="zh-CN"/>
        </w:rPr>
        <w:instrText xml:space="preserve">=3\*ROMAN</w:instrText>
      </w:r>
      <w:r>
        <w:rPr>
          <w:rFonts w:cs="宋体"/>
          <w:lang w:val="zh-CN"/>
        </w:rPr>
        <w:fldChar w:fldCharType="separate"/>
      </w:r>
      <w:r>
        <w:rPr>
          <w:rFonts w:cs="宋体"/>
          <w:lang w:val="zh-CN"/>
        </w:rPr>
        <w:t>III</w:t>
      </w:r>
      <w:r>
        <w:rPr>
          <w:rFonts w:cs="宋体"/>
          <w:lang w:val="zh-CN"/>
        </w:rPr>
        <w:fldChar w:fldCharType="end"/>
      </w:r>
      <w:r>
        <w:rPr>
          <w:lang w:val="zh-CN"/>
        </w:rPr>
        <w:t>类标准要求</w:t>
      </w:r>
      <w:r>
        <w:rPr>
          <w:kern w:val="0"/>
          <w:lang w:val="zh-CN"/>
        </w:rPr>
        <w:t>。</w:t>
      </w:r>
    </w:p>
    <w:p w14:paraId="267757A3">
      <w:pPr>
        <w:ind w:firstLine="480"/>
      </w:pPr>
      <w:r>
        <w:rPr>
          <w:rFonts w:hint="eastAsia"/>
        </w:rPr>
        <w:t>根据现状监测表明，厂界处各</w:t>
      </w:r>
      <w:r>
        <w:t>监测点噪声值均满足《声环境质量标准》（GB3096-2008）相应标准要求</w:t>
      </w:r>
      <w:r>
        <w:rPr>
          <w:rFonts w:hint="eastAsia"/>
        </w:rPr>
        <w:t>。</w:t>
      </w:r>
    </w:p>
    <w:p w14:paraId="2E4A32FD">
      <w:pPr>
        <w:pStyle w:val="4"/>
        <w:numPr>
          <w:ilvl w:val="2"/>
          <w:numId w:val="0"/>
        </w:numPr>
        <w:ind w:left="992" w:leftChars="0" w:hanging="992" w:firstLineChars="0"/>
      </w:pPr>
      <w:bookmarkStart w:id="179" w:name="_Toc9076"/>
      <w:bookmarkStart w:id="180" w:name="_Toc32088"/>
      <w:bookmarkStart w:id="181" w:name="_Toc27538"/>
      <w:bookmarkStart w:id="182" w:name="_Toc60666327"/>
      <w:r>
        <w:rPr>
          <w:rFonts w:hint="default" w:ascii="宋体" w:hAnsi="宋体" w:eastAsia="宋体" w:cs="宋体"/>
          <w:b/>
          <w:bCs/>
          <w:kern w:val="2"/>
          <w:sz w:val="24"/>
          <w:szCs w:val="24"/>
          <w:lang w:val="en-US" w:eastAsia="zh-CN" w:bidi="ar-SA"/>
        </w:rPr>
        <w:t>12.1.4</w:t>
      </w:r>
      <w:r>
        <w:rPr>
          <w:rFonts w:hint="eastAsia"/>
        </w:rPr>
        <w:t>主要污染源、污染防治措施、环境影响</w:t>
      </w:r>
      <w:bookmarkEnd w:id="179"/>
      <w:bookmarkEnd w:id="180"/>
      <w:bookmarkEnd w:id="181"/>
    </w:p>
    <w:p w14:paraId="584CB380">
      <w:pPr>
        <w:pStyle w:val="5"/>
        <w:numPr>
          <w:ilvl w:val="3"/>
          <w:numId w:val="0"/>
        </w:numPr>
        <w:tabs>
          <w:tab w:val="clear" w:pos="0"/>
        </w:tabs>
        <w:ind w:left="1984" w:leftChars="0" w:hanging="1984" w:firstLineChars="0"/>
      </w:pPr>
      <w:r>
        <w:rPr>
          <w:rFonts w:hint="default" w:ascii="宋体" w:hAnsi="宋体" w:eastAsia="宋体" w:cs="宋体"/>
          <w:b/>
          <w:bCs/>
          <w:kern w:val="2"/>
          <w:sz w:val="24"/>
          <w:szCs w:val="24"/>
          <w:lang w:val="en-US" w:eastAsia="zh-CN" w:bidi="ar-SA"/>
        </w:rPr>
        <w:t>12.1.4.1</w:t>
      </w:r>
      <w:r>
        <w:rPr>
          <w:rFonts w:hint="eastAsia"/>
        </w:rPr>
        <w:t>废气</w:t>
      </w:r>
    </w:p>
    <w:p w14:paraId="48F137B5">
      <w:pPr>
        <w:ind w:firstLine="480"/>
      </w:pPr>
      <w:r>
        <w:rPr>
          <w:rFonts w:hint="eastAsia" w:ascii="宋体" w:hAnsi="宋体" w:cs="宋体"/>
        </w:rPr>
        <w:t>⑴印刷、干式复合</w:t>
      </w:r>
      <w:r>
        <w:rPr>
          <w:rFonts w:hint="eastAsia"/>
        </w:rPr>
        <w:t>有机废气</w:t>
      </w:r>
    </w:p>
    <w:p w14:paraId="00DF507D">
      <w:pPr>
        <w:ind w:firstLine="480"/>
      </w:pPr>
      <w:r>
        <w:t>①有组织</w:t>
      </w:r>
      <w:r>
        <w:rPr>
          <w:bCs/>
          <w:lang w:val="zh-CN"/>
        </w:rPr>
        <w:t>有机废气</w:t>
      </w:r>
      <w:r>
        <w:rPr>
          <w:rFonts w:hint="eastAsia"/>
        </w:rPr>
        <w:t>挥发性有机物</w:t>
      </w:r>
    </w:p>
    <w:p w14:paraId="262C1CA6">
      <w:pPr>
        <w:pStyle w:val="38"/>
        <w:ind w:firstLine="48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主要为</w:t>
      </w:r>
      <w:r>
        <w:rPr>
          <w:rFonts w:hint="eastAsia" w:ascii="Times New Roman" w:hAnsi="Times New Roman" w:eastAsia="宋体" w:cs="Times New Roman"/>
          <w:color w:val="auto"/>
        </w:rPr>
        <w:t>印刷复合、调墨调胶、设备擦洗和危废间所产生</w:t>
      </w:r>
      <w:r>
        <w:rPr>
          <w:rFonts w:ascii="Times New Roman" w:hAnsi="Times New Roman" w:eastAsia="宋体" w:cs="Times New Roman"/>
          <w:color w:val="auto"/>
        </w:rPr>
        <w:t>挥发性有机物</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rPr>
        <w:t>印刷复合及设备擦洗先经局部抽风收集和车间整体二次收集、调墨调胶和危废间经相应独立操作间收集，汇总进入</w:t>
      </w:r>
      <w:r>
        <w:rPr>
          <w:rFonts w:ascii="Times New Roman" w:hAnsi="Times New Roman" w:eastAsia="宋体" w:cs="Times New Roman"/>
          <w:color w:val="auto"/>
        </w:rPr>
        <w:t>“吸附浓缩+溶剂回收系统”处理后有机废气经</w:t>
      </w:r>
      <w:r>
        <w:rPr>
          <w:rFonts w:hint="eastAsia" w:ascii="Times New Roman" w:hAnsi="Times New Roman" w:eastAsia="宋体" w:cs="Times New Roman"/>
          <w:color w:val="auto"/>
        </w:rPr>
        <w:t>20.5</w:t>
      </w:r>
      <w:r>
        <w:rPr>
          <w:rFonts w:ascii="Times New Roman" w:hAnsi="Times New Roman" w:eastAsia="宋体" w:cs="Times New Roman"/>
          <w:color w:val="auto"/>
        </w:rPr>
        <w:t>m排气筒（DA001）外排，有组织最终排放量为</w:t>
      </w:r>
      <w:r>
        <w:rPr>
          <w:rFonts w:hint="eastAsia" w:ascii="Times New Roman" w:hAnsi="Times New Roman" w:eastAsia="宋体" w:cs="Times New Roman"/>
          <w:color w:val="auto"/>
          <w:lang w:val="en-US" w:eastAsia="zh-CN"/>
        </w:rPr>
        <w:t>101.720</w:t>
      </w:r>
      <w:r>
        <w:rPr>
          <w:rFonts w:ascii="Times New Roman" w:hAnsi="Times New Roman" w:eastAsia="宋体" w:cs="Times New Roman"/>
          <w:color w:val="auto"/>
        </w:rPr>
        <w:t>t/a，</w:t>
      </w:r>
      <w:r>
        <w:rPr>
          <w:rFonts w:hint="eastAsia" w:ascii="Times New Roman" w:hAnsi="Times New Roman" w:eastAsia="宋体" w:cs="Times New Roman"/>
          <w:color w:val="auto"/>
        </w:rPr>
        <w:t>排放速率为</w:t>
      </w:r>
      <w:r>
        <w:rPr>
          <w:rFonts w:hint="eastAsia" w:ascii="Times New Roman" w:hAnsi="Times New Roman" w:eastAsia="宋体" w:cs="Times New Roman"/>
          <w:color w:val="auto"/>
          <w:lang w:val="en-US" w:eastAsia="zh-CN"/>
        </w:rPr>
        <w:t>12.5</w:t>
      </w:r>
      <w:r>
        <w:rPr>
          <w:rFonts w:hint="eastAsia" w:ascii="Times New Roman" w:hAnsi="Times New Roman" w:eastAsia="宋体" w:cs="Times New Roman"/>
          <w:color w:val="auto"/>
        </w:rPr>
        <w:t>kg/h，浓度为</w:t>
      </w:r>
      <w:r>
        <w:rPr>
          <w:rFonts w:hint="eastAsia" w:ascii="Times New Roman" w:hAnsi="Times New Roman" w:eastAsia="宋体" w:cs="Times New Roman"/>
          <w:color w:val="auto"/>
          <w:lang w:val="en-US" w:eastAsia="zh-CN"/>
        </w:rPr>
        <w:t>32.8</w:t>
      </w:r>
      <w:r>
        <w:rPr>
          <w:rFonts w:hint="eastAsia" w:ascii="Times New Roman" w:hAnsi="Times New Roman" w:eastAsia="宋体" w:cs="Times New Roman"/>
          <w:color w:val="auto"/>
        </w:rPr>
        <w:t>mg/m</w:t>
      </w:r>
      <w:r>
        <w:rPr>
          <w:rFonts w:hint="eastAsia" w:ascii="Times New Roman" w:hAnsi="Times New Roman" w:eastAsia="宋体" w:cs="Times New Roman"/>
          <w:color w:val="auto"/>
          <w:vertAlign w:val="superscript"/>
        </w:rPr>
        <w:t>3</w:t>
      </w:r>
      <w:r>
        <w:rPr>
          <w:rFonts w:ascii="Times New Roman" w:hAnsi="Times New Roman" w:eastAsia="宋体" w:cs="Times New Roman"/>
          <w:color w:val="auto"/>
        </w:rPr>
        <w:t>。</w:t>
      </w:r>
      <w:r>
        <w:rPr>
          <w:kern w:val="0"/>
        </w:rPr>
        <w:t>本项目有组织</w:t>
      </w:r>
      <w:r>
        <w:t>挥发性有机物</w:t>
      </w:r>
      <w:r>
        <w:rPr>
          <w:kern w:val="0"/>
        </w:rPr>
        <w:t>的排放浓度满足</w:t>
      </w:r>
      <w:r>
        <w:rPr>
          <w:rFonts w:hint="eastAsia"/>
        </w:rPr>
        <w:t>湖南省地标《工业企业挥发性有机物排放标准》（</w:t>
      </w:r>
      <w:r>
        <w:rPr>
          <w:rFonts w:hint="default" w:ascii="Times New Roman" w:hAnsi="Times New Roman" w:cs="Times New Roman"/>
        </w:rPr>
        <w:t>DB43/ 3550-2026</w:t>
      </w:r>
      <w:r>
        <w:rPr>
          <w:rFonts w:hint="eastAsia"/>
        </w:rPr>
        <w:t>）表1中印刷业限值</w:t>
      </w:r>
      <w:r>
        <w:rPr>
          <w:kern w:val="0"/>
        </w:rPr>
        <w:t>。</w:t>
      </w:r>
    </w:p>
    <w:p w14:paraId="4CD3CFAB">
      <w:pPr>
        <w:pStyle w:val="38"/>
        <w:ind w:firstLine="480"/>
        <w:rPr>
          <w:rFonts w:ascii="Times New Roman" w:hAnsi="Times New Roman" w:eastAsia="宋体" w:cs="Times New Roman"/>
          <w:color w:val="auto"/>
        </w:rPr>
      </w:pPr>
      <w:r>
        <w:rPr>
          <w:rFonts w:ascii="Times New Roman" w:hAnsi="Times New Roman" w:eastAsia="宋体" w:cs="Times New Roman"/>
          <w:color w:val="auto"/>
        </w:rPr>
        <w:t>②无组织有机废气</w:t>
      </w:r>
    </w:p>
    <w:p w14:paraId="63F4831B">
      <w:pPr>
        <w:pStyle w:val="30"/>
        <w:spacing w:after="0" w:line="360" w:lineRule="auto"/>
        <w:ind w:left="0" w:leftChars="0" w:firstLine="480"/>
        <w:rPr>
          <w:rFonts w:hint="default" w:eastAsia="宋体"/>
          <w:sz w:val="24"/>
          <w:lang w:val="en-US" w:eastAsia="zh-CN"/>
        </w:rPr>
      </w:pPr>
      <w:r>
        <w:rPr>
          <w:sz w:val="24"/>
        </w:rPr>
        <w:t>本项目印刷复合设备采取了整体封闭集气，同时所在</w:t>
      </w:r>
      <w:r>
        <w:rPr>
          <w:rFonts w:hint="eastAsia"/>
          <w:sz w:val="24"/>
        </w:rPr>
        <w:t>3#</w:t>
      </w:r>
      <w:r>
        <w:rPr>
          <w:sz w:val="24"/>
        </w:rPr>
        <w:t>生产车间采取了整体负压二次集气收集，但由于</w:t>
      </w:r>
      <w:r>
        <w:rPr>
          <w:rFonts w:hint="eastAsia"/>
          <w:sz w:val="24"/>
        </w:rPr>
        <w:t>设备</w:t>
      </w:r>
      <w:r>
        <w:rPr>
          <w:sz w:val="24"/>
        </w:rPr>
        <w:t>物料进出口未封闭、车间人员物料进出，仍有小部分有机废气不可避免的逸散至车间并排放至外环境中</w:t>
      </w:r>
      <w:r>
        <w:rPr>
          <w:rFonts w:hint="eastAsia"/>
          <w:sz w:val="24"/>
        </w:rPr>
        <w:t>，无组织排放总量为</w:t>
      </w:r>
      <w:r>
        <w:rPr>
          <w:rFonts w:hint="eastAsia"/>
          <w:sz w:val="24"/>
          <w:lang w:val="en-US" w:eastAsia="zh-CN"/>
        </w:rPr>
        <w:t>35.102</w:t>
      </w:r>
      <w:r>
        <w:rPr>
          <w:rFonts w:hint="eastAsia"/>
          <w:sz w:val="24"/>
        </w:rPr>
        <w:t>t/a。</w:t>
      </w:r>
      <w:r>
        <w:rPr>
          <w:rFonts w:hint="eastAsia"/>
          <w:sz w:val="24"/>
          <w:lang w:val="en-US" w:eastAsia="zh-CN"/>
        </w:rPr>
        <w:t>确保厂内有机废气达到湖南省地标《工业企业挥发性有机物排放标准》（DB43/ 3550-2026）表2限值要求。</w:t>
      </w:r>
    </w:p>
    <w:p w14:paraId="10874A09">
      <w:pPr>
        <w:ind w:firstLine="720" w:firstLineChars="300"/>
      </w:pPr>
      <w:r>
        <w:rPr>
          <w:rFonts w:hint="eastAsia" w:ascii="宋体" w:hAnsi="宋体" w:cs="宋体"/>
          <w:kern w:val="0"/>
        </w:rPr>
        <w:t>⑵</w:t>
      </w:r>
      <w:r>
        <w:rPr>
          <w:rFonts w:hint="eastAsia" w:ascii="宋体" w:hAnsi="宋体" w:cs="宋体"/>
        </w:rPr>
        <w:t>印刷、干式复合</w:t>
      </w:r>
      <w:r>
        <w:rPr>
          <w:rFonts w:hint="eastAsia"/>
        </w:rPr>
        <w:t>恶臭</w:t>
      </w:r>
    </w:p>
    <w:p w14:paraId="3C221DCD">
      <w:pPr>
        <w:ind w:firstLine="480" w:firstLineChars="200"/>
      </w:pPr>
      <w:r>
        <w:rPr>
          <w:rFonts w:hint="eastAsia"/>
        </w:rPr>
        <w:t>依据感官测定法确定项目臭气强度为2级。环评要求公司应定期检查生产设备和管道的密封情况，加强员工的操作和管理，尽可能减少无组织排放的发生，确保恶臭可以达到《恶臭污染物排放标准》（GB14554-93）表1中二级标准、表2标准要求。</w:t>
      </w:r>
    </w:p>
    <w:p w14:paraId="0A92789E">
      <w:pPr>
        <w:ind w:firstLine="720" w:firstLineChars="300"/>
      </w:pPr>
      <w:r>
        <w:rPr>
          <w:rFonts w:hint="eastAsia" w:ascii="宋体" w:hAnsi="宋体" w:cs="宋体"/>
        </w:rPr>
        <w:t>⑶</w:t>
      </w:r>
      <w:r>
        <w:rPr>
          <w:rFonts w:hint="eastAsia"/>
        </w:rPr>
        <w:t>天然气燃烧废气</w:t>
      </w:r>
    </w:p>
    <w:p w14:paraId="7668624F">
      <w:pPr>
        <w:ind w:firstLine="720" w:firstLineChars="300"/>
      </w:pPr>
      <w:r>
        <w:t>本项目导热油锅炉及印刷烘干两部分需要使用天然气</w:t>
      </w:r>
      <w:r>
        <w:rPr>
          <w:rFonts w:hint="eastAsia"/>
        </w:rPr>
        <w:t>。</w:t>
      </w:r>
    </w:p>
    <w:p w14:paraId="072255D5">
      <w:pPr>
        <w:ind w:firstLine="480" w:firstLineChars="200"/>
      </w:pPr>
      <w:r>
        <w:t>导热油锅炉和烘干热水锅炉的天然气燃烧废气合并至经16m排气筒（DA002）外排，均采用低氮燃烧技术，计算得出天然气低氮燃烧产生的颗粒物、SO</w:t>
      </w:r>
      <w:r>
        <w:rPr>
          <w:vertAlign w:val="subscript"/>
        </w:rPr>
        <w:t>2</w:t>
      </w:r>
      <w:r>
        <w:t>、NOx排放量分别为0.315t/a、0.22t/a、1.03t/a，</w:t>
      </w:r>
      <w:r>
        <w:rPr>
          <w:rFonts w:hint="eastAsia"/>
        </w:rPr>
        <w:t>排放浓度峰值为18.7mg/m</w:t>
      </w:r>
      <w:r>
        <w:rPr>
          <w:rFonts w:hint="eastAsia"/>
          <w:vertAlign w:val="superscript"/>
        </w:rPr>
        <w:t>3</w:t>
      </w:r>
      <w:r>
        <w:t>、13.4</w:t>
      </w:r>
      <w:r>
        <w:rPr>
          <w:rFonts w:hint="eastAsia"/>
        </w:rPr>
        <w:t>mg/m</w:t>
      </w:r>
      <w:r>
        <w:rPr>
          <w:rFonts w:hint="eastAsia"/>
          <w:vertAlign w:val="superscript"/>
        </w:rPr>
        <w:t>3</w:t>
      </w:r>
      <w:r>
        <w:t>、62.2</w:t>
      </w:r>
      <w:r>
        <w:rPr>
          <w:rFonts w:hint="eastAsia"/>
        </w:rPr>
        <w:t>mg/m</w:t>
      </w:r>
      <w:r>
        <w:rPr>
          <w:rFonts w:hint="eastAsia"/>
          <w:vertAlign w:val="superscript"/>
        </w:rPr>
        <w:t>3</w:t>
      </w:r>
      <w:r>
        <w:rPr>
          <w:rFonts w:hint="eastAsia"/>
        </w:rPr>
        <w:t>，满足《锅炉大气污染物排放标准》（GB13271-2014）中表3特别排放限值（颗粒物20mg/m</w:t>
      </w:r>
      <w:r>
        <w:rPr>
          <w:rFonts w:hint="eastAsia"/>
          <w:vertAlign w:val="superscript"/>
        </w:rPr>
        <w:t>3</w:t>
      </w:r>
      <w:r>
        <w:rPr>
          <w:rFonts w:hint="eastAsia"/>
        </w:rPr>
        <w:t>、二氧化硫50mg/m</w:t>
      </w:r>
      <w:r>
        <w:rPr>
          <w:rFonts w:hint="eastAsia"/>
          <w:vertAlign w:val="superscript"/>
        </w:rPr>
        <w:t>3</w:t>
      </w:r>
      <w:r>
        <w:rPr>
          <w:rFonts w:hint="eastAsia"/>
        </w:rPr>
        <w:t>、氮氧化物150mg/m</w:t>
      </w:r>
      <w:r>
        <w:rPr>
          <w:rFonts w:hint="eastAsia"/>
          <w:vertAlign w:val="superscript"/>
        </w:rPr>
        <w:t>3</w:t>
      </w:r>
      <w:r>
        <w:rPr>
          <w:rFonts w:hint="eastAsia"/>
        </w:rPr>
        <w:t>）</w:t>
      </w:r>
      <w:r>
        <w:t>。</w:t>
      </w:r>
    </w:p>
    <w:p w14:paraId="23D4C106">
      <w:pPr>
        <w:pStyle w:val="5"/>
        <w:numPr>
          <w:ilvl w:val="3"/>
          <w:numId w:val="0"/>
        </w:numPr>
        <w:tabs>
          <w:tab w:val="clear" w:pos="0"/>
        </w:tabs>
        <w:ind w:left="1984" w:leftChars="0" w:hanging="1984" w:firstLineChars="0"/>
      </w:pPr>
      <w:r>
        <w:rPr>
          <w:rFonts w:hint="default" w:ascii="宋体" w:hAnsi="宋体" w:eastAsia="宋体" w:cs="宋体"/>
          <w:b/>
          <w:bCs/>
          <w:kern w:val="2"/>
          <w:sz w:val="24"/>
          <w:szCs w:val="24"/>
          <w:lang w:val="en-US" w:eastAsia="zh-CN" w:bidi="ar-SA"/>
        </w:rPr>
        <w:t>12.1.4.2</w:t>
      </w:r>
      <w:r>
        <w:rPr>
          <w:rFonts w:hint="eastAsia"/>
        </w:rPr>
        <w:t>废水</w:t>
      </w:r>
    </w:p>
    <w:p w14:paraId="05545874">
      <w:pPr>
        <w:ind w:firstLine="480"/>
      </w:pPr>
      <w:r>
        <w:rPr>
          <w:rFonts w:hint="eastAsia"/>
        </w:rPr>
        <w:t>项目无工艺废水排放，外排水仅有员工生活污水。</w:t>
      </w:r>
    </w:p>
    <w:p w14:paraId="46D02541">
      <w:pPr>
        <w:ind w:firstLine="480"/>
      </w:pPr>
      <w:r>
        <w:rPr>
          <w:rFonts w:hint="eastAsia"/>
        </w:rPr>
        <w:t>变更后全厂生活污水产生量为</w:t>
      </w:r>
      <w:r>
        <w:t>10366.4t/a</w:t>
      </w:r>
      <w:r>
        <w:rPr>
          <w:rFonts w:hint="eastAsia"/>
        </w:rPr>
        <w:t>，生活污水主要来自职工日常上班、办公区等，主要污染因子有COD、SS、NH</w:t>
      </w:r>
      <w:r>
        <w:rPr>
          <w:rFonts w:hint="eastAsia"/>
          <w:vertAlign w:val="subscript"/>
        </w:rPr>
        <w:t>3</w:t>
      </w:r>
      <w:r>
        <w:rPr>
          <w:rFonts w:hint="eastAsia"/>
        </w:rPr>
        <w:t>-N、BOD</w:t>
      </w:r>
      <w:r>
        <w:rPr>
          <w:rFonts w:hint="eastAsia"/>
          <w:vertAlign w:val="subscript"/>
        </w:rPr>
        <w:t>5</w:t>
      </w:r>
      <w:r>
        <w:rPr>
          <w:rFonts w:hint="eastAsia"/>
        </w:rPr>
        <w:t>等。生活污水经化粪池预处理后纳管，由园区污水管网纳入湘潭县顺业污水处理有限公司污水处理厂集中处理达《城镇污水处理厂污染物排放标准》（GB18918-2002）及修改单要求的一级A标准后外排湘江。</w:t>
      </w:r>
    </w:p>
    <w:p w14:paraId="22C74BA1">
      <w:pPr>
        <w:pStyle w:val="5"/>
        <w:numPr>
          <w:ilvl w:val="3"/>
          <w:numId w:val="0"/>
        </w:numPr>
        <w:tabs>
          <w:tab w:val="clear" w:pos="0"/>
        </w:tabs>
        <w:ind w:left="1984" w:leftChars="0" w:hanging="1984" w:firstLineChars="0"/>
      </w:pPr>
      <w:r>
        <w:rPr>
          <w:rFonts w:hint="default" w:ascii="宋体" w:hAnsi="宋体" w:eastAsia="宋体" w:cs="宋体"/>
          <w:b/>
          <w:bCs/>
          <w:kern w:val="2"/>
          <w:sz w:val="24"/>
          <w:szCs w:val="24"/>
          <w:lang w:val="en-US" w:eastAsia="zh-CN" w:bidi="ar-SA"/>
        </w:rPr>
        <w:t>12.1.4.3</w:t>
      </w:r>
      <w:r>
        <w:rPr>
          <w:rFonts w:hint="eastAsia"/>
        </w:rPr>
        <w:t>噪声</w:t>
      </w:r>
    </w:p>
    <w:p w14:paraId="48308BD7">
      <w:pPr>
        <w:ind w:firstLine="480"/>
      </w:pPr>
      <w:r>
        <w:rPr>
          <w:rFonts w:hint="eastAsia"/>
        </w:rPr>
        <w:t>项目营运期主要噪声源有印刷机、复合机和风机等机械设备，声源强度在75~95</w:t>
      </w:r>
      <w:r>
        <w:t>dB(A)</w:t>
      </w:r>
      <w:r>
        <w:rPr>
          <w:rFonts w:hint="eastAsia"/>
        </w:rPr>
        <w:t>左右。项目对高噪声设备采取减震降噪措施，根据噪声影响预测，</w:t>
      </w:r>
      <w:r>
        <w:t>运营期</w:t>
      </w:r>
      <w:r>
        <w:rPr>
          <w:rFonts w:hint="eastAsia"/>
        </w:rPr>
        <w:t>各</w:t>
      </w:r>
      <w:r>
        <w:t>厂界噪声可符合《工业企业厂界环境噪声排放标准》（GB12348-2008）</w:t>
      </w:r>
      <w:r>
        <w:rPr>
          <w:rFonts w:hint="eastAsia"/>
        </w:rPr>
        <w:t>相应标准要求</w:t>
      </w:r>
      <w:r>
        <w:t>，对周边声环境影响</w:t>
      </w:r>
      <w:r>
        <w:rPr>
          <w:rFonts w:hint="eastAsia"/>
        </w:rPr>
        <w:t>不大</w:t>
      </w:r>
      <w:r>
        <w:t>。</w:t>
      </w:r>
    </w:p>
    <w:p w14:paraId="696C4A90">
      <w:pPr>
        <w:pStyle w:val="5"/>
        <w:numPr>
          <w:ilvl w:val="3"/>
          <w:numId w:val="0"/>
        </w:numPr>
        <w:tabs>
          <w:tab w:val="clear" w:pos="0"/>
        </w:tabs>
        <w:ind w:left="1984" w:leftChars="0" w:hanging="1984" w:firstLineChars="0"/>
      </w:pPr>
      <w:r>
        <w:rPr>
          <w:rFonts w:hint="default" w:ascii="宋体" w:hAnsi="宋体" w:eastAsia="宋体" w:cs="宋体"/>
          <w:b/>
          <w:bCs/>
          <w:kern w:val="2"/>
          <w:sz w:val="24"/>
          <w:szCs w:val="24"/>
          <w:lang w:val="en-US" w:eastAsia="zh-CN" w:bidi="ar-SA"/>
        </w:rPr>
        <w:t>12.1.4.4</w:t>
      </w:r>
      <w:r>
        <w:rPr>
          <w:rFonts w:hint="eastAsia"/>
        </w:rPr>
        <w:t>固体废物</w:t>
      </w:r>
    </w:p>
    <w:p w14:paraId="5BA79484">
      <w:pPr>
        <w:ind w:firstLine="480"/>
      </w:pPr>
      <w:r>
        <w:rPr>
          <w:rFonts w:hint="eastAsia"/>
        </w:rPr>
        <w:t>本项目运营过程中产生的固废主要为废印刷版、废边角料、废烫金膜、不合格品、废溶剂桶、废弃包装材料等废油墨、废溶剂、废胶水、废弃包装桶及内衬（沾有废油墨桶、废胶水桶等）、含油抹布手套、废过滤棉、废活性炭、废沸石、精馏残液、废矿物油及其包装桶等及员工生活垃圾。</w:t>
      </w:r>
    </w:p>
    <w:p w14:paraId="5C73FD71">
      <w:pPr>
        <w:ind w:firstLine="480"/>
      </w:pPr>
      <w:r>
        <w:rPr>
          <w:rFonts w:hint="eastAsia"/>
        </w:rPr>
        <w:t>本次环评要求一般工业固废暂存间严格按《一般工业固体废物贮存和填埋污染控制标准》（GB18599-2020）的要求进行建设，具备防风、防雨、防晒、防渗漏等要求。采取以上处理处置措施后，几乎不会对环境造成不良影响。危险废物按照《危险废物贮存污染控制标准》（GB18597-2023）相关要求在厂区临时贮存，定期交由有资质的单位处置。危险废物暂存间采取防渗、防晒和防淋措施，避免二次污染；生活垃圾分类收集后由环卫部门及时清运。项目产生的固体废物经过上述措施妥善处理后，对周围环境影响不大。</w:t>
      </w:r>
    </w:p>
    <w:p w14:paraId="3F31AC84">
      <w:pPr>
        <w:pStyle w:val="4"/>
        <w:numPr>
          <w:ilvl w:val="2"/>
          <w:numId w:val="0"/>
        </w:numPr>
        <w:ind w:left="0" w:leftChars="0" w:firstLine="0" w:firstLineChars="0"/>
      </w:pPr>
      <w:bookmarkStart w:id="183" w:name="_Toc2989"/>
      <w:bookmarkStart w:id="184" w:name="_Toc19817"/>
      <w:bookmarkStart w:id="185" w:name="_Toc18534"/>
      <w:r>
        <w:rPr>
          <w:rFonts w:hint="default" w:ascii="宋体" w:hAnsi="宋体" w:eastAsia="宋体" w:cs="宋体"/>
          <w:b/>
          <w:bCs/>
          <w:kern w:val="2"/>
          <w:sz w:val="24"/>
          <w:szCs w:val="24"/>
          <w:lang w:val="en-US" w:eastAsia="zh-CN" w:bidi="ar-SA"/>
        </w:rPr>
        <w:t>12.1.5</w:t>
      </w:r>
      <w:r>
        <w:rPr>
          <w:rFonts w:hint="eastAsia"/>
        </w:rPr>
        <w:t>清洁生产与总量控制</w:t>
      </w:r>
      <w:bookmarkEnd w:id="183"/>
      <w:bookmarkEnd w:id="184"/>
      <w:bookmarkEnd w:id="185"/>
    </w:p>
    <w:p w14:paraId="19633E5C">
      <w:pPr>
        <w:ind w:firstLine="480"/>
        <w:rPr>
          <w:b/>
        </w:rPr>
      </w:pPr>
      <w:r>
        <w:rPr>
          <w:rFonts w:hint="eastAsia"/>
        </w:rPr>
        <w:t>项目不仅从源头有效降低了污染物产生量，在生产过程中也贯彻了循环利用、末端治理等要求，符合清洁生产要求。</w:t>
      </w:r>
    </w:p>
    <w:p w14:paraId="070130BB">
      <w:pPr>
        <w:ind w:firstLine="480"/>
        <w:rPr>
          <w:rFonts w:hint="eastAsia" w:eastAsia="宋体"/>
          <w:lang w:val="en-US" w:eastAsia="zh-CN"/>
        </w:rPr>
      </w:pPr>
      <w:r>
        <w:rPr>
          <w:rFonts w:hint="eastAsia"/>
        </w:rPr>
        <w:t>根据工程分析结果，项目生活污水经预处理后进入城市污水处理厂，</w:t>
      </w:r>
      <w:r>
        <w:rPr>
          <w:kern w:val="0"/>
        </w:rPr>
        <w:t>因此，本项目污水纳入</w:t>
      </w:r>
      <w:r>
        <w:rPr>
          <w:rFonts w:hint="eastAsia"/>
          <w:kern w:val="0"/>
        </w:rPr>
        <w:t>湘潭县顺业污水处理有限公司污水处理厂</w:t>
      </w:r>
      <w:r>
        <w:rPr>
          <w:kern w:val="0"/>
        </w:rPr>
        <w:t>总量控制指标内，不另行申请</w:t>
      </w:r>
      <w:r>
        <w:rPr>
          <w:rFonts w:hint="eastAsia"/>
          <w:kern w:val="0"/>
          <w:lang w:eastAsia="zh-CN"/>
        </w:rPr>
        <w:t>，</w:t>
      </w:r>
      <w:r>
        <w:rPr>
          <w:rFonts w:hint="eastAsia"/>
          <w:kern w:val="0"/>
          <w:lang w:val="en-US" w:eastAsia="zh-CN"/>
        </w:rPr>
        <w:t>需核定的总量指标为生产废气：VOCs、二氧化硫和氮氧化物，</w:t>
      </w:r>
      <w:r>
        <w:rPr>
          <w:rFonts w:hint="eastAsia"/>
        </w:rPr>
        <w:t>本次</w:t>
      </w:r>
      <w:r>
        <w:rPr>
          <w:rFonts w:hint="eastAsia"/>
          <w:lang w:val="en-US" w:eastAsia="zh-CN"/>
        </w:rPr>
        <w:t>总量指标情况</w:t>
      </w:r>
      <w:r>
        <w:rPr>
          <w:rFonts w:hint="eastAsia"/>
        </w:rPr>
        <w:t>见下表：</w:t>
      </w:r>
      <w:r>
        <w:rPr>
          <w:rFonts w:hint="eastAsia"/>
          <w:lang w:val="en-US" w:eastAsia="zh-CN"/>
        </w:rPr>
        <w:t xml:space="preserve"> </w:t>
      </w:r>
    </w:p>
    <w:p w14:paraId="323772AA">
      <w:pPr>
        <w:pStyle w:val="51"/>
        <w:numPr>
          <w:ilvl w:val="5"/>
          <w:numId w:val="0"/>
        </w:numPr>
        <w:spacing w:before="0" w:beforeLines="0" w:line="360" w:lineRule="auto"/>
        <w:ind w:left="305" w:leftChars="0" w:hanging="3260" w:firstLineChars="0"/>
        <w:rPr>
          <w:rFonts w:hint="eastAsia"/>
        </w:rPr>
      </w:pPr>
      <w:r>
        <w:rPr>
          <w:rFonts w:hint="eastAsia" w:ascii="宋体" w:hAnsi="宋体" w:cs="宋体"/>
          <w:b/>
          <w:bCs/>
          <w:color w:val="auto"/>
          <w:kern w:val="2"/>
          <w:sz w:val="21"/>
          <w:szCs w:val="21"/>
          <w:lang w:val="en-US" w:eastAsia="zh-CN" w:bidi="ar-SA"/>
        </w:rPr>
        <w:t xml:space="preserve">                </w:t>
      </w:r>
      <w:r>
        <w:rPr>
          <w:rFonts w:hint="default" w:ascii="宋体" w:hAnsi="宋体" w:eastAsia="宋体" w:cs="宋体"/>
          <w:b/>
          <w:bCs/>
          <w:color w:val="auto"/>
          <w:kern w:val="2"/>
          <w:sz w:val="21"/>
          <w:szCs w:val="21"/>
          <w:lang w:val="en-US" w:eastAsia="zh-CN" w:bidi="ar-SA"/>
        </w:rPr>
        <w:t xml:space="preserve">表12.1-1 </w:t>
      </w:r>
      <w:r>
        <w:rPr>
          <w:rFonts w:hint="eastAsia" w:ascii="宋体" w:hAnsi="宋体" w:cs="宋体"/>
          <w:b/>
          <w:bCs/>
          <w:color w:val="auto"/>
          <w:kern w:val="2"/>
          <w:sz w:val="21"/>
          <w:szCs w:val="21"/>
          <w:lang w:val="en-US" w:eastAsia="zh-CN" w:bidi="ar-SA"/>
        </w:rPr>
        <w:t xml:space="preserve">   </w:t>
      </w:r>
      <w:r>
        <w:rPr>
          <w:rFonts w:hint="eastAsia"/>
        </w:rPr>
        <w:t>污染物排放总量控制指标</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13"/>
        <w:gridCol w:w="782"/>
        <w:gridCol w:w="576"/>
        <w:gridCol w:w="1718"/>
        <w:gridCol w:w="1456"/>
        <w:gridCol w:w="1222"/>
        <w:gridCol w:w="1075"/>
        <w:gridCol w:w="1220"/>
      </w:tblGrid>
      <w:tr w14:paraId="446F94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restart"/>
            <w:vAlign w:val="center"/>
          </w:tcPr>
          <w:p w14:paraId="48030D99">
            <w:pPr>
              <w:adjustRightInd w:val="0"/>
              <w:snapToGrid w:val="0"/>
              <w:spacing w:line="240" w:lineRule="auto"/>
              <w:jc w:val="center"/>
              <w:rPr>
                <w:sz w:val="21"/>
                <w:szCs w:val="21"/>
              </w:rPr>
            </w:pPr>
            <w:r>
              <w:rPr>
                <w:sz w:val="21"/>
                <w:szCs w:val="21"/>
              </w:rPr>
              <w:t>序号</w:t>
            </w:r>
          </w:p>
        </w:tc>
        <w:tc>
          <w:tcPr>
            <w:tcW w:w="803" w:type="dxa"/>
            <w:vMerge w:val="restart"/>
            <w:vAlign w:val="center"/>
          </w:tcPr>
          <w:p w14:paraId="25168FF3">
            <w:pPr>
              <w:adjustRightInd w:val="0"/>
              <w:snapToGrid w:val="0"/>
              <w:spacing w:line="240" w:lineRule="auto"/>
              <w:jc w:val="center"/>
              <w:rPr>
                <w:sz w:val="21"/>
                <w:szCs w:val="21"/>
              </w:rPr>
            </w:pPr>
            <w:r>
              <w:rPr>
                <w:sz w:val="21"/>
                <w:szCs w:val="21"/>
              </w:rPr>
              <w:t>总量控制指标</w:t>
            </w:r>
          </w:p>
        </w:tc>
        <w:tc>
          <w:tcPr>
            <w:tcW w:w="608" w:type="dxa"/>
            <w:vMerge w:val="restart"/>
            <w:vAlign w:val="center"/>
          </w:tcPr>
          <w:p w14:paraId="5E3FAF9B">
            <w:pPr>
              <w:adjustRightInd w:val="0"/>
              <w:snapToGrid w:val="0"/>
              <w:spacing w:line="240" w:lineRule="auto"/>
              <w:jc w:val="center"/>
              <w:rPr>
                <w:sz w:val="21"/>
                <w:szCs w:val="21"/>
              </w:rPr>
            </w:pPr>
            <w:r>
              <w:rPr>
                <w:sz w:val="21"/>
                <w:szCs w:val="21"/>
              </w:rPr>
              <w:t>排放类型</w:t>
            </w:r>
          </w:p>
        </w:tc>
        <w:tc>
          <w:tcPr>
            <w:tcW w:w="1843" w:type="dxa"/>
            <w:vAlign w:val="center"/>
          </w:tcPr>
          <w:p w14:paraId="7D683904">
            <w:pPr>
              <w:adjustRightInd w:val="0"/>
              <w:snapToGrid w:val="0"/>
              <w:spacing w:line="240" w:lineRule="auto"/>
              <w:jc w:val="center"/>
              <w:rPr>
                <w:sz w:val="21"/>
                <w:szCs w:val="21"/>
              </w:rPr>
            </w:pPr>
            <w:r>
              <w:rPr>
                <w:rFonts w:hint="eastAsia"/>
                <w:sz w:val="21"/>
                <w:szCs w:val="21"/>
              </w:rPr>
              <w:t>“已建+在建”全厂</w:t>
            </w:r>
            <w:r>
              <w:rPr>
                <w:sz w:val="21"/>
                <w:szCs w:val="21"/>
              </w:rPr>
              <w:t>总排放量</w:t>
            </w:r>
          </w:p>
        </w:tc>
        <w:tc>
          <w:tcPr>
            <w:tcW w:w="1559" w:type="dxa"/>
            <w:vAlign w:val="center"/>
          </w:tcPr>
          <w:p w14:paraId="26C3C0D1">
            <w:pPr>
              <w:adjustRightInd w:val="0"/>
              <w:snapToGrid w:val="0"/>
              <w:spacing w:line="240" w:lineRule="auto"/>
              <w:jc w:val="center"/>
              <w:rPr>
                <w:sz w:val="21"/>
                <w:szCs w:val="21"/>
              </w:rPr>
            </w:pPr>
            <w:r>
              <w:rPr>
                <w:sz w:val="21"/>
                <w:szCs w:val="21"/>
              </w:rPr>
              <w:t>已申请总量</w:t>
            </w:r>
          </w:p>
        </w:tc>
        <w:tc>
          <w:tcPr>
            <w:tcW w:w="1300" w:type="dxa"/>
            <w:vAlign w:val="center"/>
          </w:tcPr>
          <w:p w14:paraId="0C90DFF7">
            <w:pPr>
              <w:adjustRightInd w:val="0"/>
              <w:snapToGrid w:val="0"/>
              <w:spacing w:line="240" w:lineRule="auto"/>
              <w:jc w:val="center"/>
              <w:rPr>
                <w:sz w:val="21"/>
                <w:szCs w:val="21"/>
              </w:rPr>
            </w:pPr>
            <w:r>
              <w:rPr>
                <w:rFonts w:hint="eastAsia"/>
                <w:sz w:val="21"/>
                <w:szCs w:val="21"/>
              </w:rPr>
              <w:t>排污权证</w:t>
            </w:r>
          </w:p>
          <w:p w14:paraId="3E76EA60">
            <w:pPr>
              <w:adjustRightInd w:val="0"/>
              <w:snapToGrid w:val="0"/>
              <w:spacing w:line="240" w:lineRule="auto"/>
              <w:jc w:val="center"/>
              <w:rPr>
                <w:sz w:val="21"/>
                <w:szCs w:val="21"/>
              </w:rPr>
            </w:pPr>
            <w:r>
              <w:rPr>
                <w:rFonts w:hint="eastAsia"/>
                <w:sz w:val="21"/>
                <w:szCs w:val="21"/>
              </w:rPr>
              <w:t>指标</w:t>
            </w:r>
          </w:p>
        </w:tc>
        <w:tc>
          <w:tcPr>
            <w:tcW w:w="1110" w:type="dxa"/>
            <w:vAlign w:val="center"/>
          </w:tcPr>
          <w:p w14:paraId="6525FA25">
            <w:pPr>
              <w:adjustRightInd w:val="0"/>
              <w:snapToGrid w:val="0"/>
              <w:spacing w:line="240" w:lineRule="auto"/>
              <w:jc w:val="center"/>
              <w:rPr>
                <w:sz w:val="21"/>
                <w:szCs w:val="21"/>
              </w:rPr>
            </w:pPr>
            <w:r>
              <w:rPr>
                <w:sz w:val="21"/>
                <w:szCs w:val="21"/>
              </w:rPr>
              <w:t>变更后全厂排放量</w:t>
            </w:r>
          </w:p>
        </w:tc>
        <w:tc>
          <w:tcPr>
            <w:tcW w:w="1269" w:type="dxa"/>
            <w:vAlign w:val="center"/>
          </w:tcPr>
          <w:p w14:paraId="15160A15">
            <w:pPr>
              <w:adjustRightInd w:val="0"/>
              <w:snapToGrid w:val="0"/>
              <w:spacing w:line="240" w:lineRule="auto"/>
              <w:jc w:val="center"/>
              <w:rPr>
                <w:sz w:val="21"/>
                <w:szCs w:val="21"/>
              </w:rPr>
            </w:pPr>
            <w:r>
              <w:rPr>
                <w:sz w:val="21"/>
                <w:szCs w:val="21"/>
              </w:rPr>
              <w:t>需新申请的总量</w:t>
            </w:r>
          </w:p>
        </w:tc>
      </w:tr>
      <w:tr w14:paraId="18488E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continue"/>
            <w:vAlign w:val="center"/>
          </w:tcPr>
          <w:p w14:paraId="55FAAE9F">
            <w:pPr>
              <w:adjustRightInd w:val="0"/>
              <w:snapToGrid w:val="0"/>
              <w:spacing w:line="240" w:lineRule="auto"/>
              <w:jc w:val="center"/>
              <w:rPr>
                <w:sz w:val="21"/>
                <w:szCs w:val="21"/>
              </w:rPr>
            </w:pPr>
          </w:p>
        </w:tc>
        <w:tc>
          <w:tcPr>
            <w:tcW w:w="803" w:type="dxa"/>
            <w:vMerge w:val="continue"/>
            <w:vAlign w:val="center"/>
          </w:tcPr>
          <w:p w14:paraId="3A8B8E7B">
            <w:pPr>
              <w:adjustRightInd w:val="0"/>
              <w:snapToGrid w:val="0"/>
              <w:spacing w:line="240" w:lineRule="auto"/>
              <w:jc w:val="center"/>
              <w:rPr>
                <w:sz w:val="21"/>
                <w:szCs w:val="21"/>
              </w:rPr>
            </w:pPr>
          </w:p>
        </w:tc>
        <w:tc>
          <w:tcPr>
            <w:tcW w:w="608" w:type="dxa"/>
            <w:vMerge w:val="continue"/>
            <w:vAlign w:val="center"/>
          </w:tcPr>
          <w:p w14:paraId="47CC901F">
            <w:pPr>
              <w:adjustRightInd w:val="0"/>
              <w:snapToGrid w:val="0"/>
              <w:spacing w:line="240" w:lineRule="auto"/>
              <w:jc w:val="center"/>
              <w:rPr>
                <w:sz w:val="21"/>
                <w:szCs w:val="21"/>
              </w:rPr>
            </w:pPr>
          </w:p>
        </w:tc>
        <w:tc>
          <w:tcPr>
            <w:tcW w:w="1843" w:type="dxa"/>
            <w:vAlign w:val="center"/>
          </w:tcPr>
          <w:p w14:paraId="4892E087">
            <w:pPr>
              <w:adjustRightInd w:val="0"/>
              <w:snapToGrid w:val="0"/>
              <w:spacing w:line="240" w:lineRule="auto"/>
              <w:jc w:val="center"/>
              <w:rPr>
                <w:sz w:val="21"/>
                <w:szCs w:val="21"/>
              </w:rPr>
            </w:pPr>
            <w:r>
              <w:rPr>
                <w:sz w:val="21"/>
                <w:szCs w:val="21"/>
              </w:rPr>
              <w:t>单位：t/a</w:t>
            </w:r>
          </w:p>
        </w:tc>
        <w:tc>
          <w:tcPr>
            <w:tcW w:w="1559" w:type="dxa"/>
            <w:vAlign w:val="center"/>
          </w:tcPr>
          <w:p w14:paraId="3280B568">
            <w:pPr>
              <w:adjustRightInd w:val="0"/>
              <w:snapToGrid w:val="0"/>
              <w:spacing w:line="240" w:lineRule="auto"/>
              <w:jc w:val="center"/>
              <w:rPr>
                <w:sz w:val="21"/>
                <w:szCs w:val="21"/>
              </w:rPr>
            </w:pPr>
            <w:r>
              <w:rPr>
                <w:sz w:val="21"/>
                <w:szCs w:val="21"/>
              </w:rPr>
              <w:t>单位：t/a</w:t>
            </w:r>
          </w:p>
        </w:tc>
        <w:tc>
          <w:tcPr>
            <w:tcW w:w="1300" w:type="dxa"/>
            <w:vAlign w:val="center"/>
          </w:tcPr>
          <w:p w14:paraId="1A258C30">
            <w:pPr>
              <w:adjustRightInd w:val="0"/>
              <w:snapToGrid w:val="0"/>
              <w:spacing w:line="240" w:lineRule="auto"/>
              <w:jc w:val="center"/>
              <w:rPr>
                <w:sz w:val="21"/>
                <w:szCs w:val="21"/>
              </w:rPr>
            </w:pPr>
            <w:r>
              <w:rPr>
                <w:sz w:val="21"/>
                <w:szCs w:val="21"/>
              </w:rPr>
              <w:t>单位：t/a</w:t>
            </w:r>
          </w:p>
        </w:tc>
        <w:tc>
          <w:tcPr>
            <w:tcW w:w="1110" w:type="dxa"/>
            <w:vAlign w:val="center"/>
          </w:tcPr>
          <w:p w14:paraId="11808EFB">
            <w:pPr>
              <w:adjustRightInd w:val="0"/>
              <w:snapToGrid w:val="0"/>
              <w:spacing w:line="240" w:lineRule="auto"/>
              <w:jc w:val="center"/>
              <w:rPr>
                <w:sz w:val="21"/>
                <w:szCs w:val="21"/>
              </w:rPr>
            </w:pPr>
            <w:r>
              <w:rPr>
                <w:sz w:val="21"/>
                <w:szCs w:val="21"/>
              </w:rPr>
              <w:t>单位：t/a</w:t>
            </w:r>
          </w:p>
        </w:tc>
        <w:tc>
          <w:tcPr>
            <w:tcW w:w="1269" w:type="dxa"/>
            <w:vAlign w:val="center"/>
          </w:tcPr>
          <w:p w14:paraId="434DB1D8">
            <w:pPr>
              <w:adjustRightInd w:val="0"/>
              <w:snapToGrid w:val="0"/>
              <w:spacing w:line="240" w:lineRule="auto"/>
              <w:jc w:val="center"/>
              <w:rPr>
                <w:sz w:val="21"/>
                <w:szCs w:val="21"/>
              </w:rPr>
            </w:pPr>
            <w:r>
              <w:rPr>
                <w:sz w:val="21"/>
                <w:szCs w:val="21"/>
              </w:rPr>
              <w:t>单位：t/a</w:t>
            </w:r>
          </w:p>
        </w:tc>
      </w:tr>
      <w:tr w14:paraId="234A56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8810" w:type="dxa"/>
            <w:gridSpan w:val="8"/>
            <w:vAlign w:val="center"/>
          </w:tcPr>
          <w:p w14:paraId="2781FB67">
            <w:pPr>
              <w:adjustRightInd w:val="0"/>
              <w:snapToGrid w:val="0"/>
              <w:spacing w:line="240" w:lineRule="auto"/>
              <w:jc w:val="center"/>
              <w:rPr>
                <w:sz w:val="21"/>
                <w:szCs w:val="21"/>
              </w:rPr>
            </w:pPr>
            <w:r>
              <w:rPr>
                <w:sz w:val="21"/>
                <w:szCs w:val="21"/>
              </w:rPr>
              <w:t>大气污染物</w:t>
            </w:r>
          </w:p>
        </w:tc>
      </w:tr>
      <w:tr w14:paraId="285BF7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restart"/>
            <w:vAlign w:val="center"/>
          </w:tcPr>
          <w:p w14:paraId="5F3F2089">
            <w:pPr>
              <w:adjustRightInd w:val="0"/>
              <w:snapToGrid w:val="0"/>
              <w:spacing w:line="240" w:lineRule="auto"/>
              <w:jc w:val="center"/>
              <w:rPr>
                <w:sz w:val="21"/>
                <w:szCs w:val="21"/>
              </w:rPr>
            </w:pPr>
            <w:r>
              <w:rPr>
                <w:sz w:val="21"/>
                <w:szCs w:val="21"/>
              </w:rPr>
              <w:t>1</w:t>
            </w:r>
          </w:p>
        </w:tc>
        <w:tc>
          <w:tcPr>
            <w:tcW w:w="803" w:type="dxa"/>
            <w:vMerge w:val="restart"/>
            <w:vAlign w:val="center"/>
          </w:tcPr>
          <w:p w14:paraId="15037671">
            <w:pPr>
              <w:adjustRightInd w:val="0"/>
              <w:snapToGrid w:val="0"/>
              <w:spacing w:line="240" w:lineRule="auto"/>
              <w:jc w:val="center"/>
              <w:rPr>
                <w:sz w:val="21"/>
                <w:szCs w:val="21"/>
              </w:rPr>
            </w:pPr>
            <w:r>
              <w:rPr>
                <w:sz w:val="21"/>
                <w:szCs w:val="21"/>
              </w:rPr>
              <w:t>VOCs</w:t>
            </w:r>
          </w:p>
        </w:tc>
        <w:tc>
          <w:tcPr>
            <w:tcW w:w="608" w:type="dxa"/>
            <w:tcBorders>
              <w:bottom w:val="single" w:color="auto" w:sz="4" w:space="0"/>
            </w:tcBorders>
            <w:vAlign w:val="center"/>
          </w:tcPr>
          <w:p w14:paraId="7BF8C350">
            <w:pPr>
              <w:adjustRightInd w:val="0"/>
              <w:snapToGrid w:val="0"/>
              <w:spacing w:line="240" w:lineRule="auto"/>
              <w:jc w:val="center"/>
              <w:rPr>
                <w:sz w:val="21"/>
                <w:szCs w:val="21"/>
              </w:rPr>
            </w:pPr>
            <w:r>
              <w:rPr>
                <w:sz w:val="21"/>
                <w:szCs w:val="21"/>
              </w:rPr>
              <w:t>无组织</w:t>
            </w:r>
          </w:p>
        </w:tc>
        <w:tc>
          <w:tcPr>
            <w:tcW w:w="1843" w:type="dxa"/>
            <w:tcBorders>
              <w:bottom w:val="single" w:color="auto" w:sz="4" w:space="0"/>
            </w:tcBorders>
            <w:vAlign w:val="center"/>
          </w:tcPr>
          <w:p w14:paraId="6DA0398F">
            <w:pPr>
              <w:adjustRightInd w:val="0"/>
              <w:snapToGrid w:val="0"/>
              <w:spacing w:line="240" w:lineRule="auto"/>
              <w:jc w:val="center"/>
              <w:rPr>
                <w:sz w:val="21"/>
                <w:szCs w:val="21"/>
              </w:rPr>
            </w:pPr>
            <w:r>
              <w:rPr>
                <w:rFonts w:hint="eastAsia"/>
                <w:sz w:val="21"/>
                <w:szCs w:val="21"/>
              </w:rPr>
              <w:t>7.56</w:t>
            </w:r>
          </w:p>
        </w:tc>
        <w:tc>
          <w:tcPr>
            <w:tcW w:w="1559" w:type="dxa"/>
            <w:tcBorders>
              <w:bottom w:val="single" w:color="auto" w:sz="4" w:space="0"/>
            </w:tcBorders>
            <w:vAlign w:val="center"/>
          </w:tcPr>
          <w:p w14:paraId="09ADA852">
            <w:pPr>
              <w:adjustRightInd w:val="0"/>
              <w:snapToGrid w:val="0"/>
              <w:spacing w:line="240" w:lineRule="auto"/>
              <w:jc w:val="center"/>
              <w:rPr>
                <w:sz w:val="21"/>
                <w:szCs w:val="21"/>
              </w:rPr>
            </w:pPr>
            <w:r>
              <w:rPr>
                <w:rFonts w:hint="eastAsia"/>
                <w:sz w:val="21"/>
                <w:szCs w:val="21"/>
              </w:rPr>
              <w:t>/</w:t>
            </w:r>
          </w:p>
        </w:tc>
        <w:tc>
          <w:tcPr>
            <w:tcW w:w="1300" w:type="dxa"/>
            <w:tcBorders>
              <w:bottom w:val="single" w:color="auto" w:sz="4" w:space="0"/>
            </w:tcBorders>
            <w:vAlign w:val="center"/>
          </w:tcPr>
          <w:p w14:paraId="1FB6FF9C">
            <w:pPr>
              <w:adjustRightInd w:val="0"/>
              <w:snapToGrid w:val="0"/>
              <w:spacing w:line="240" w:lineRule="auto"/>
              <w:jc w:val="center"/>
              <w:rPr>
                <w:sz w:val="21"/>
                <w:szCs w:val="21"/>
              </w:rPr>
            </w:pPr>
            <w:r>
              <w:rPr>
                <w:rFonts w:hint="eastAsia"/>
                <w:sz w:val="21"/>
                <w:szCs w:val="21"/>
              </w:rPr>
              <w:t>/</w:t>
            </w:r>
          </w:p>
        </w:tc>
        <w:tc>
          <w:tcPr>
            <w:tcW w:w="1110" w:type="dxa"/>
            <w:tcBorders>
              <w:bottom w:val="single" w:color="auto" w:sz="4" w:space="0"/>
            </w:tcBorders>
            <w:vAlign w:val="center"/>
          </w:tcPr>
          <w:p w14:paraId="0043DCC1">
            <w:pPr>
              <w:adjustRightInd w:val="0"/>
              <w:snapToGrid w:val="0"/>
              <w:spacing w:line="240" w:lineRule="auto"/>
              <w:jc w:val="center"/>
              <w:rPr>
                <w:rFonts w:hint="default"/>
                <w:sz w:val="21"/>
                <w:szCs w:val="21"/>
                <w:lang w:val="en-US" w:eastAsia="zh-CN"/>
              </w:rPr>
            </w:pPr>
            <w:r>
              <w:rPr>
                <w:rFonts w:hint="eastAsia"/>
                <w:sz w:val="21"/>
                <w:szCs w:val="21"/>
                <w:lang w:val="en-US" w:eastAsia="zh-CN"/>
              </w:rPr>
              <w:t>35.102</w:t>
            </w:r>
          </w:p>
        </w:tc>
        <w:tc>
          <w:tcPr>
            <w:tcW w:w="1269" w:type="dxa"/>
            <w:tcBorders>
              <w:bottom w:val="single" w:color="auto" w:sz="4" w:space="0"/>
            </w:tcBorders>
            <w:vAlign w:val="center"/>
          </w:tcPr>
          <w:p w14:paraId="35BE80CD">
            <w:pPr>
              <w:adjustRightInd w:val="0"/>
              <w:snapToGrid w:val="0"/>
              <w:spacing w:line="240" w:lineRule="auto"/>
              <w:jc w:val="center"/>
              <w:rPr>
                <w:sz w:val="21"/>
                <w:szCs w:val="21"/>
              </w:rPr>
            </w:pPr>
            <w:r>
              <w:rPr>
                <w:rFonts w:hint="eastAsia"/>
                <w:sz w:val="21"/>
                <w:szCs w:val="21"/>
              </w:rPr>
              <w:t>/</w:t>
            </w:r>
          </w:p>
        </w:tc>
      </w:tr>
      <w:tr w14:paraId="5BE552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continue"/>
            <w:vAlign w:val="center"/>
          </w:tcPr>
          <w:p w14:paraId="5C5E74E1">
            <w:pPr>
              <w:adjustRightInd w:val="0"/>
              <w:snapToGrid w:val="0"/>
              <w:spacing w:line="240" w:lineRule="auto"/>
              <w:jc w:val="center"/>
              <w:rPr>
                <w:sz w:val="21"/>
                <w:szCs w:val="21"/>
              </w:rPr>
            </w:pPr>
          </w:p>
        </w:tc>
        <w:tc>
          <w:tcPr>
            <w:tcW w:w="803" w:type="dxa"/>
            <w:vMerge w:val="continue"/>
            <w:vAlign w:val="center"/>
          </w:tcPr>
          <w:p w14:paraId="24858CA2">
            <w:pPr>
              <w:adjustRightInd w:val="0"/>
              <w:snapToGrid w:val="0"/>
              <w:spacing w:line="240" w:lineRule="auto"/>
              <w:jc w:val="center"/>
              <w:rPr>
                <w:sz w:val="21"/>
                <w:szCs w:val="21"/>
              </w:rPr>
            </w:pPr>
          </w:p>
        </w:tc>
        <w:tc>
          <w:tcPr>
            <w:tcW w:w="608" w:type="dxa"/>
            <w:tcBorders>
              <w:top w:val="single" w:color="auto" w:sz="4" w:space="0"/>
            </w:tcBorders>
            <w:vAlign w:val="center"/>
          </w:tcPr>
          <w:p w14:paraId="3195860A">
            <w:pPr>
              <w:adjustRightInd w:val="0"/>
              <w:snapToGrid w:val="0"/>
              <w:spacing w:line="240" w:lineRule="auto"/>
              <w:jc w:val="center"/>
              <w:rPr>
                <w:sz w:val="21"/>
                <w:szCs w:val="21"/>
              </w:rPr>
            </w:pPr>
            <w:r>
              <w:rPr>
                <w:sz w:val="21"/>
                <w:szCs w:val="21"/>
              </w:rPr>
              <w:t>有组织</w:t>
            </w:r>
          </w:p>
        </w:tc>
        <w:tc>
          <w:tcPr>
            <w:tcW w:w="1843" w:type="dxa"/>
            <w:tcBorders>
              <w:top w:val="single" w:color="auto" w:sz="4" w:space="0"/>
            </w:tcBorders>
            <w:vAlign w:val="center"/>
          </w:tcPr>
          <w:p w14:paraId="020E036F">
            <w:pPr>
              <w:adjustRightInd w:val="0"/>
              <w:snapToGrid w:val="0"/>
              <w:spacing w:line="240" w:lineRule="auto"/>
              <w:jc w:val="center"/>
              <w:rPr>
                <w:sz w:val="21"/>
                <w:szCs w:val="21"/>
              </w:rPr>
            </w:pPr>
            <w:r>
              <w:rPr>
                <w:rFonts w:hint="eastAsia"/>
                <w:sz w:val="21"/>
                <w:szCs w:val="21"/>
              </w:rPr>
              <w:t>27.86</w:t>
            </w:r>
          </w:p>
        </w:tc>
        <w:tc>
          <w:tcPr>
            <w:tcW w:w="1559" w:type="dxa"/>
            <w:tcBorders>
              <w:top w:val="single" w:color="auto" w:sz="4" w:space="0"/>
            </w:tcBorders>
            <w:vAlign w:val="center"/>
          </w:tcPr>
          <w:p w14:paraId="39605888">
            <w:pPr>
              <w:adjustRightInd w:val="0"/>
              <w:snapToGrid w:val="0"/>
              <w:spacing w:line="240" w:lineRule="auto"/>
              <w:jc w:val="center"/>
              <w:rPr>
                <w:sz w:val="21"/>
                <w:szCs w:val="21"/>
              </w:rPr>
            </w:pPr>
            <w:r>
              <w:rPr>
                <w:rFonts w:hint="eastAsia"/>
                <w:sz w:val="21"/>
                <w:szCs w:val="21"/>
              </w:rPr>
              <w:t>/</w:t>
            </w:r>
          </w:p>
        </w:tc>
        <w:tc>
          <w:tcPr>
            <w:tcW w:w="1300" w:type="dxa"/>
            <w:tcBorders>
              <w:top w:val="single" w:color="auto" w:sz="4" w:space="0"/>
            </w:tcBorders>
            <w:vAlign w:val="center"/>
          </w:tcPr>
          <w:p w14:paraId="43819F99">
            <w:pPr>
              <w:adjustRightInd w:val="0"/>
              <w:snapToGrid w:val="0"/>
              <w:spacing w:line="240" w:lineRule="auto"/>
              <w:jc w:val="center"/>
              <w:rPr>
                <w:sz w:val="21"/>
                <w:szCs w:val="21"/>
              </w:rPr>
            </w:pPr>
            <w:r>
              <w:rPr>
                <w:rFonts w:hint="eastAsia"/>
                <w:sz w:val="21"/>
                <w:szCs w:val="21"/>
              </w:rPr>
              <w:t>/</w:t>
            </w:r>
          </w:p>
        </w:tc>
        <w:tc>
          <w:tcPr>
            <w:tcW w:w="1110" w:type="dxa"/>
            <w:tcBorders>
              <w:top w:val="single" w:color="auto" w:sz="4" w:space="0"/>
            </w:tcBorders>
            <w:vAlign w:val="center"/>
          </w:tcPr>
          <w:p w14:paraId="37DCAEE5">
            <w:pPr>
              <w:adjustRightInd w:val="0"/>
              <w:snapToGrid w:val="0"/>
              <w:spacing w:line="240" w:lineRule="auto"/>
              <w:jc w:val="center"/>
              <w:rPr>
                <w:sz w:val="21"/>
                <w:szCs w:val="21"/>
              </w:rPr>
            </w:pPr>
            <w:r>
              <w:rPr>
                <w:rFonts w:hint="eastAsia"/>
                <w:sz w:val="21"/>
                <w:szCs w:val="21"/>
                <w:lang w:val="en-US" w:eastAsia="zh-CN"/>
              </w:rPr>
              <w:t>101.720</w:t>
            </w:r>
          </w:p>
        </w:tc>
        <w:tc>
          <w:tcPr>
            <w:tcW w:w="1269" w:type="dxa"/>
            <w:tcBorders>
              <w:top w:val="single" w:color="auto" w:sz="4" w:space="0"/>
            </w:tcBorders>
            <w:vAlign w:val="center"/>
          </w:tcPr>
          <w:p w14:paraId="1019EB1B">
            <w:pPr>
              <w:adjustRightInd w:val="0"/>
              <w:snapToGrid w:val="0"/>
              <w:spacing w:line="240" w:lineRule="auto"/>
              <w:jc w:val="center"/>
              <w:rPr>
                <w:sz w:val="21"/>
                <w:szCs w:val="21"/>
              </w:rPr>
            </w:pPr>
            <w:r>
              <w:rPr>
                <w:rFonts w:hint="eastAsia"/>
                <w:sz w:val="21"/>
                <w:szCs w:val="21"/>
              </w:rPr>
              <w:t>/</w:t>
            </w:r>
          </w:p>
        </w:tc>
      </w:tr>
      <w:tr w14:paraId="2C923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Merge w:val="continue"/>
            <w:vAlign w:val="center"/>
          </w:tcPr>
          <w:p w14:paraId="48255F7E">
            <w:pPr>
              <w:adjustRightInd w:val="0"/>
              <w:snapToGrid w:val="0"/>
              <w:spacing w:line="240" w:lineRule="auto"/>
              <w:jc w:val="center"/>
              <w:rPr>
                <w:sz w:val="21"/>
                <w:szCs w:val="21"/>
              </w:rPr>
            </w:pPr>
          </w:p>
        </w:tc>
        <w:tc>
          <w:tcPr>
            <w:tcW w:w="803" w:type="dxa"/>
            <w:vMerge w:val="continue"/>
            <w:vAlign w:val="center"/>
          </w:tcPr>
          <w:p w14:paraId="0692AD8B">
            <w:pPr>
              <w:adjustRightInd w:val="0"/>
              <w:snapToGrid w:val="0"/>
              <w:spacing w:line="240" w:lineRule="auto"/>
              <w:jc w:val="center"/>
              <w:rPr>
                <w:sz w:val="21"/>
                <w:szCs w:val="21"/>
              </w:rPr>
            </w:pPr>
          </w:p>
        </w:tc>
        <w:tc>
          <w:tcPr>
            <w:tcW w:w="608" w:type="dxa"/>
            <w:tcBorders>
              <w:top w:val="single" w:color="auto" w:sz="4" w:space="0"/>
            </w:tcBorders>
            <w:vAlign w:val="center"/>
          </w:tcPr>
          <w:p w14:paraId="74014181">
            <w:pPr>
              <w:adjustRightInd w:val="0"/>
              <w:snapToGrid w:val="0"/>
              <w:spacing w:line="240" w:lineRule="auto"/>
              <w:jc w:val="center"/>
              <w:rPr>
                <w:sz w:val="21"/>
                <w:szCs w:val="21"/>
              </w:rPr>
            </w:pPr>
            <w:r>
              <w:rPr>
                <w:rFonts w:hint="eastAsia"/>
                <w:sz w:val="21"/>
                <w:szCs w:val="21"/>
              </w:rPr>
              <w:t>合计</w:t>
            </w:r>
          </w:p>
        </w:tc>
        <w:tc>
          <w:tcPr>
            <w:tcW w:w="1843" w:type="dxa"/>
            <w:tcBorders>
              <w:top w:val="single" w:color="auto" w:sz="4" w:space="0"/>
            </w:tcBorders>
            <w:vAlign w:val="center"/>
          </w:tcPr>
          <w:p w14:paraId="59AF7514">
            <w:pPr>
              <w:adjustRightInd w:val="0"/>
              <w:snapToGrid w:val="0"/>
              <w:spacing w:line="240" w:lineRule="auto"/>
              <w:jc w:val="center"/>
              <w:rPr>
                <w:sz w:val="21"/>
                <w:szCs w:val="21"/>
              </w:rPr>
            </w:pPr>
            <w:r>
              <w:rPr>
                <w:rFonts w:hint="eastAsia"/>
                <w:sz w:val="21"/>
                <w:szCs w:val="21"/>
              </w:rPr>
              <w:t>35.42</w:t>
            </w:r>
          </w:p>
        </w:tc>
        <w:tc>
          <w:tcPr>
            <w:tcW w:w="1559" w:type="dxa"/>
            <w:tcBorders>
              <w:top w:val="single" w:color="auto" w:sz="4" w:space="0"/>
            </w:tcBorders>
            <w:vAlign w:val="center"/>
          </w:tcPr>
          <w:p w14:paraId="0F64A0A2">
            <w:pPr>
              <w:adjustRightInd w:val="0"/>
              <w:snapToGrid w:val="0"/>
              <w:spacing w:line="240" w:lineRule="auto"/>
              <w:jc w:val="center"/>
              <w:rPr>
                <w:sz w:val="21"/>
                <w:szCs w:val="21"/>
              </w:rPr>
            </w:pPr>
            <w:r>
              <w:rPr>
                <w:rFonts w:hint="eastAsia"/>
                <w:sz w:val="21"/>
                <w:szCs w:val="21"/>
              </w:rPr>
              <w:t>38.3</w:t>
            </w:r>
          </w:p>
        </w:tc>
        <w:tc>
          <w:tcPr>
            <w:tcW w:w="1300" w:type="dxa"/>
            <w:tcBorders>
              <w:top w:val="single" w:color="auto" w:sz="4" w:space="0"/>
            </w:tcBorders>
            <w:vAlign w:val="center"/>
          </w:tcPr>
          <w:p w14:paraId="77A320E1">
            <w:pPr>
              <w:adjustRightInd w:val="0"/>
              <w:snapToGrid w:val="0"/>
              <w:spacing w:line="240" w:lineRule="auto"/>
              <w:jc w:val="center"/>
              <w:rPr>
                <w:sz w:val="21"/>
                <w:szCs w:val="21"/>
              </w:rPr>
            </w:pPr>
            <w:r>
              <w:rPr>
                <w:rFonts w:hint="eastAsia"/>
                <w:sz w:val="21"/>
                <w:szCs w:val="21"/>
              </w:rPr>
              <w:t>/</w:t>
            </w:r>
          </w:p>
        </w:tc>
        <w:tc>
          <w:tcPr>
            <w:tcW w:w="1110" w:type="dxa"/>
            <w:tcBorders>
              <w:top w:val="single" w:color="auto" w:sz="4" w:space="0"/>
            </w:tcBorders>
            <w:vAlign w:val="center"/>
          </w:tcPr>
          <w:p w14:paraId="29E704C6">
            <w:pPr>
              <w:adjustRightInd w:val="0"/>
              <w:snapToGrid w:val="0"/>
              <w:spacing w:line="240" w:lineRule="auto"/>
              <w:jc w:val="center"/>
              <w:rPr>
                <w:sz w:val="21"/>
                <w:szCs w:val="21"/>
              </w:rPr>
            </w:pPr>
            <w:r>
              <w:rPr>
                <w:rFonts w:hint="eastAsia"/>
                <w:sz w:val="21"/>
                <w:szCs w:val="21"/>
              </w:rPr>
              <w:t>136.822</w:t>
            </w:r>
          </w:p>
        </w:tc>
        <w:tc>
          <w:tcPr>
            <w:tcW w:w="1269" w:type="dxa"/>
            <w:tcBorders>
              <w:top w:val="single" w:color="auto" w:sz="4" w:space="0"/>
            </w:tcBorders>
            <w:vAlign w:val="center"/>
          </w:tcPr>
          <w:p w14:paraId="59F54D0A">
            <w:pPr>
              <w:adjustRightInd w:val="0"/>
              <w:snapToGrid w:val="0"/>
              <w:spacing w:line="240" w:lineRule="auto"/>
              <w:jc w:val="center"/>
              <w:rPr>
                <w:sz w:val="21"/>
                <w:szCs w:val="21"/>
              </w:rPr>
            </w:pPr>
            <w:r>
              <w:rPr>
                <w:rFonts w:hint="eastAsia"/>
                <w:sz w:val="21"/>
                <w:szCs w:val="21"/>
              </w:rPr>
              <w:t>+98.522</w:t>
            </w:r>
          </w:p>
        </w:tc>
      </w:tr>
      <w:tr w14:paraId="5EAE24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Align w:val="center"/>
          </w:tcPr>
          <w:p w14:paraId="7E62E579">
            <w:pPr>
              <w:adjustRightInd w:val="0"/>
              <w:snapToGrid w:val="0"/>
              <w:spacing w:line="240" w:lineRule="auto"/>
              <w:jc w:val="center"/>
              <w:rPr>
                <w:sz w:val="21"/>
                <w:szCs w:val="21"/>
              </w:rPr>
            </w:pPr>
            <w:r>
              <w:rPr>
                <w:sz w:val="21"/>
                <w:szCs w:val="21"/>
              </w:rPr>
              <w:t>2</w:t>
            </w:r>
          </w:p>
        </w:tc>
        <w:tc>
          <w:tcPr>
            <w:tcW w:w="803" w:type="dxa"/>
            <w:vAlign w:val="center"/>
          </w:tcPr>
          <w:p w14:paraId="1EEA1C90">
            <w:pPr>
              <w:adjustRightInd w:val="0"/>
              <w:snapToGrid w:val="0"/>
              <w:spacing w:line="240" w:lineRule="auto"/>
              <w:jc w:val="center"/>
              <w:rPr>
                <w:sz w:val="21"/>
                <w:szCs w:val="21"/>
              </w:rPr>
            </w:pPr>
            <w:r>
              <w:rPr>
                <w:sz w:val="21"/>
                <w:szCs w:val="21"/>
              </w:rPr>
              <w:t>SO2</w:t>
            </w:r>
          </w:p>
        </w:tc>
        <w:tc>
          <w:tcPr>
            <w:tcW w:w="608" w:type="dxa"/>
            <w:tcBorders>
              <w:top w:val="single" w:color="auto" w:sz="4" w:space="0"/>
            </w:tcBorders>
            <w:vAlign w:val="center"/>
          </w:tcPr>
          <w:p w14:paraId="46C98079">
            <w:pPr>
              <w:adjustRightInd w:val="0"/>
              <w:snapToGrid w:val="0"/>
              <w:spacing w:line="240" w:lineRule="auto"/>
              <w:jc w:val="center"/>
              <w:rPr>
                <w:sz w:val="21"/>
                <w:szCs w:val="21"/>
              </w:rPr>
            </w:pPr>
            <w:r>
              <w:rPr>
                <w:sz w:val="21"/>
                <w:szCs w:val="21"/>
              </w:rPr>
              <w:t>有组织</w:t>
            </w:r>
          </w:p>
        </w:tc>
        <w:tc>
          <w:tcPr>
            <w:tcW w:w="1843" w:type="dxa"/>
            <w:tcBorders>
              <w:top w:val="single" w:color="auto" w:sz="4" w:space="0"/>
            </w:tcBorders>
            <w:vAlign w:val="center"/>
          </w:tcPr>
          <w:p w14:paraId="79F89E81">
            <w:pPr>
              <w:adjustRightInd w:val="0"/>
              <w:snapToGrid w:val="0"/>
              <w:spacing w:line="240" w:lineRule="auto"/>
              <w:jc w:val="center"/>
              <w:rPr>
                <w:sz w:val="21"/>
                <w:szCs w:val="21"/>
              </w:rPr>
            </w:pPr>
            <w:r>
              <w:rPr>
                <w:rFonts w:hint="eastAsia"/>
                <w:sz w:val="21"/>
                <w:szCs w:val="21"/>
              </w:rPr>
              <w:t>0.15</w:t>
            </w:r>
          </w:p>
        </w:tc>
        <w:tc>
          <w:tcPr>
            <w:tcW w:w="1559" w:type="dxa"/>
            <w:tcBorders>
              <w:top w:val="single" w:color="auto" w:sz="4" w:space="0"/>
            </w:tcBorders>
            <w:vAlign w:val="center"/>
          </w:tcPr>
          <w:p w14:paraId="7C8BBBB8">
            <w:pPr>
              <w:adjustRightInd w:val="0"/>
              <w:snapToGrid w:val="0"/>
              <w:spacing w:line="240" w:lineRule="auto"/>
              <w:jc w:val="center"/>
              <w:rPr>
                <w:sz w:val="21"/>
                <w:szCs w:val="21"/>
              </w:rPr>
            </w:pPr>
            <w:r>
              <w:rPr>
                <w:rFonts w:hint="eastAsia"/>
                <w:sz w:val="21"/>
                <w:szCs w:val="21"/>
              </w:rPr>
              <w:t>0.2</w:t>
            </w:r>
          </w:p>
        </w:tc>
        <w:tc>
          <w:tcPr>
            <w:tcW w:w="1300" w:type="dxa"/>
            <w:tcBorders>
              <w:top w:val="single" w:color="auto" w:sz="4" w:space="0"/>
            </w:tcBorders>
            <w:vAlign w:val="center"/>
          </w:tcPr>
          <w:p w14:paraId="57BDD7F0">
            <w:pPr>
              <w:adjustRightInd w:val="0"/>
              <w:snapToGrid w:val="0"/>
              <w:spacing w:line="240" w:lineRule="auto"/>
              <w:jc w:val="center"/>
              <w:rPr>
                <w:sz w:val="21"/>
                <w:szCs w:val="21"/>
              </w:rPr>
            </w:pPr>
            <w:r>
              <w:rPr>
                <w:rFonts w:hint="eastAsia"/>
                <w:sz w:val="21"/>
                <w:szCs w:val="21"/>
              </w:rPr>
              <w:t>0.2</w:t>
            </w:r>
          </w:p>
        </w:tc>
        <w:tc>
          <w:tcPr>
            <w:tcW w:w="1110" w:type="dxa"/>
            <w:tcBorders>
              <w:top w:val="single" w:color="auto" w:sz="4" w:space="0"/>
            </w:tcBorders>
            <w:vAlign w:val="center"/>
          </w:tcPr>
          <w:p w14:paraId="2E899C4B">
            <w:pPr>
              <w:adjustRightInd w:val="0"/>
              <w:snapToGrid w:val="0"/>
              <w:spacing w:line="240" w:lineRule="auto"/>
              <w:jc w:val="center"/>
              <w:rPr>
                <w:rFonts w:hint="default"/>
                <w:sz w:val="21"/>
                <w:szCs w:val="21"/>
                <w:lang w:val="en-US" w:eastAsia="zh-CN"/>
              </w:rPr>
            </w:pPr>
            <w:r>
              <w:rPr>
                <w:rFonts w:hint="eastAsia"/>
                <w:sz w:val="21"/>
                <w:szCs w:val="21"/>
              </w:rPr>
              <w:t>0.</w:t>
            </w:r>
            <w:r>
              <w:rPr>
                <w:rFonts w:hint="eastAsia"/>
                <w:sz w:val="21"/>
                <w:szCs w:val="21"/>
                <w:lang w:val="en-US" w:eastAsia="zh-CN"/>
              </w:rPr>
              <w:t>044</w:t>
            </w:r>
          </w:p>
        </w:tc>
        <w:tc>
          <w:tcPr>
            <w:tcW w:w="1269" w:type="dxa"/>
            <w:tcBorders>
              <w:top w:val="single" w:color="auto" w:sz="4" w:space="0"/>
            </w:tcBorders>
            <w:vAlign w:val="center"/>
          </w:tcPr>
          <w:p w14:paraId="16AD45C0">
            <w:pPr>
              <w:adjustRightInd w:val="0"/>
              <w:snapToGrid w:val="0"/>
              <w:spacing w:line="240" w:lineRule="auto"/>
              <w:jc w:val="center"/>
              <w:rPr>
                <w:rFonts w:hint="eastAsia"/>
                <w:sz w:val="21"/>
                <w:szCs w:val="21"/>
                <w:lang w:eastAsia="zh-CN"/>
              </w:rPr>
            </w:pPr>
            <w:r>
              <w:rPr>
                <w:rFonts w:hint="eastAsia"/>
                <w:sz w:val="21"/>
                <w:szCs w:val="21"/>
                <w:lang w:val="en-US" w:eastAsia="zh-CN"/>
              </w:rPr>
              <w:t>0</w:t>
            </w:r>
          </w:p>
        </w:tc>
      </w:tr>
      <w:tr w14:paraId="42C683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18" w:type="dxa"/>
            <w:vAlign w:val="center"/>
          </w:tcPr>
          <w:p w14:paraId="0A01B59A">
            <w:pPr>
              <w:adjustRightInd w:val="0"/>
              <w:snapToGrid w:val="0"/>
              <w:spacing w:line="240" w:lineRule="auto"/>
              <w:jc w:val="center"/>
              <w:rPr>
                <w:sz w:val="21"/>
                <w:szCs w:val="21"/>
              </w:rPr>
            </w:pPr>
            <w:r>
              <w:rPr>
                <w:sz w:val="21"/>
                <w:szCs w:val="21"/>
              </w:rPr>
              <w:t>3</w:t>
            </w:r>
          </w:p>
        </w:tc>
        <w:tc>
          <w:tcPr>
            <w:tcW w:w="803" w:type="dxa"/>
            <w:vAlign w:val="center"/>
          </w:tcPr>
          <w:p w14:paraId="22CE177D">
            <w:pPr>
              <w:adjustRightInd w:val="0"/>
              <w:snapToGrid w:val="0"/>
              <w:spacing w:line="240" w:lineRule="auto"/>
              <w:jc w:val="center"/>
              <w:rPr>
                <w:sz w:val="21"/>
                <w:szCs w:val="21"/>
              </w:rPr>
            </w:pPr>
            <w:r>
              <w:rPr>
                <w:sz w:val="21"/>
                <w:szCs w:val="21"/>
              </w:rPr>
              <w:t>NOx</w:t>
            </w:r>
          </w:p>
        </w:tc>
        <w:tc>
          <w:tcPr>
            <w:tcW w:w="608" w:type="dxa"/>
            <w:tcBorders>
              <w:top w:val="single" w:color="auto" w:sz="4" w:space="0"/>
            </w:tcBorders>
            <w:vAlign w:val="center"/>
          </w:tcPr>
          <w:p w14:paraId="07D2C814">
            <w:pPr>
              <w:adjustRightInd w:val="0"/>
              <w:snapToGrid w:val="0"/>
              <w:spacing w:line="240" w:lineRule="auto"/>
              <w:jc w:val="center"/>
              <w:rPr>
                <w:sz w:val="21"/>
                <w:szCs w:val="21"/>
              </w:rPr>
            </w:pPr>
            <w:r>
              <w:rPr>
                <w:sz w:val="21"/>
                <w:szCs w:val="21"/>
              </w:rPr>
              <w:t>有组织</w:t>
            </w:r>
          </w:p>
        </w:tc>
        <w:tc>
          <w:tcPr>
            <w:tcW w:w="1843" w:type="dxa"/>
            <w:tcBorders>
              <w:top w:val="single" w:color="auto" w:sz="4" w:space="0"/>
            </w:tcBorders>
            <w:vAlign w:val="center"/>
          </w:tcPr>
          <w:p w14:paraId="6C4029A3">
            <w:pPr>
              <w:adjustRightInd w:val="0"/>
              <w:snapToGrid w:val="0"/>
              <w:spacing w:line="240" w:lineRule="auto"/>
              <w:jc w:val="center"/>
              <w:rPr>
                <w:sz w:val="21"/>
                <w:szCs w:val="21"/>
              </w:rPr>
            </w:pPr>
            <w:r>
              <w:rPr>
                <w:rFonts w:hint="eastAsia"/>
                <w:sz w:val="21"/>
                <w:szCs w:val="21"/>
              </w:rPr>
              <w:t>1.09</w:t>
            </w:r>
          </w:p>
        </w:tc>
        <w:tc>
          <w:tcPr>
            <w:tcW w:w="1559" w:type="dxa"/>
            <w:tcBorders>
              <w:top w:val="single" w:color="auto" w:sz="4" w:space="0"/>
            </w:tcBorders>
            <w:vAlign w:val="center"/>
          </w:tcPr>
          <w:p w14:paraId="2366FDD4">
            <w:pPr>
              <w:adjustRightInd w:val="0"/>
              <w:snapToGrid w:val="0"/>
              <w:spacing w:line="240" w:lineRule="auto"/>
              <w:jc w:val="center"/>
              <w:rPr>
                <w:sz w:val="21"/>
                <w:szCs w:val="21"/>
              </w:rPr>
            </w:pPr>
            <w:r>
              <w:rPr>
                <w:rFonts w:hint="eastAsia"/>
                <w:sz w:val="21"/>
                <w:szCs w:val="21"/>
              </w:rPr>
              <w:t>1.1</w:t>
            </w:r>
          </w:p>
        </w:tc>
        <w:tc>
          <w:tcPr>
            <w:tcW w:w="1300" w:type="dxa"/>
            <w:tcBorders>
              <w:top w:val="single" w:color="auto" w:sz="4" w:space="0"/>
            </w:tcBorders>
            <w:vAlign w:val="center"/>
          </w:tcPr>
          <w:p w14:paraId="66C2E79A">
            <w:pPr>
              <w:adjustRightInd w:val="0"/>
              <w:snapToGrid w:val="0"/>
              <w:spacing w:line="240" w:lineRule="auto"/>
              <w:jc w:val="center"/>
              <w:rPr>
                <w:sz w:val="21"/>
                <w:szCs w:val="21"/>
              </w:rPr>
            </w:pPr>
            <w:r>
              <w:rPr>
                <w:rFonts w:hint="eastAsia"/>
                <w:sz w:val="21"/>
                <w:szCs w:val="21"/>
              </w:rPr>
              <w:t>1.8</w:t>
            </w:r>
          </w:p>
        </w:tc>
        <w:tc>
          <w:tcPr>
            <w:tcW w:w="1110" w:type="dxa"/>
            <w:tcBorders>
              <w:top w:val="single" w:color="auto" w:sz="4" w:space="0"/>
            </w:tcBorders>
            <w:vAlign w:val="center"/>
          </w:tcPr>
          <w:p w14:paraId="5C3FDBEA">
            <w:pPr>
              <w:adjustRightInd w:val="0"/>
              <w:snapToGrid w:val="0"/>
              <w:spacing w:line="240" w:lineRule="auto"/>
              <w:jc w:val="center"/>
              <w:rPr>
                <w:sz w:val="21"/>
                <w:szCs w:val="21"/>
              </w:rPr>
            </w:pPr>
            <w:r>
              <w:rPr>
                <w:rFonts w:hint="eastAsia"/>
                <w:sz w:val="21"/>
                <w:szCs w:val="21"/>
              </w:rPr>
              <w:t>1.03</w:t>
            </w:r>
          </w:p>
        </w:tc>
        <w:tc>
          <w:tcPr>
            <w:tcW w:w="1269" w:type="dxa"/>
            <w:tcBorders>
              <w:top w:val="single" w:color="auto" w:sz="4" w:space="0"/>
            </w:tcBorders>
            <w:vAlign w:val="center"/>
          </w:tcPr>
          <w:p w14:paraId="10821A43">
            <w:pPr>
              <w:adjustRightInd w:val="0"/>
              <w:snapToGrid w:val="0"/>
              <w:spacing w:line="240" w:lineRule="auto"/>
              <w:jc w:val="center"/>
              <w:rPr>
                <w:sz w:val="21"/>
                <w:szCs w:val="21"/>
              </w:rPr>
            </w:pPr>
            <w:r>
              <w:rPr>
                <w:rFonts w:hint="eastAsia"/>
                <w:sz w:val="21"/>
                <w:szCs w:val="21"/>
              </w:rPr>
              <w:t>0</w:t>
            </w:r>
          </w:p>
        </w:tc>
      </w:tr>
    </w:tbl>
    <w:p w14:paraId="0B129A17"/>
    <w:bookmarkEnd w:id="182"/>
    <w:p w14:paraId="45A5B67C">
      <w:pPr>
        <w:pStyle w:val="4"/>
        <w:numPr>
          <w:ilvl w:val="2"/>
          <w:numId w:val="0"/>
        </w:numPr>
        <w:ind w:left="0" w:leftChars="0" w:firstLine="0" w:firstLineChars="0"/>
      </w:pPr>
      <w:r>
        <w:rPr>
          <w:rFonts w:hint="default" w:ascii="宋体" w:hAnsi="宋体" w:eastAsia="宋体" w:cs="宋体"/>
          <w:b/>
          <w:bCs/>
          <w:kern w:val="2"/>
          <w:sz w:val="24"/>
          <w:szCs w:val="24"/>
          <w:lang w:val="en-US" w:eastAsia="zh-CN" w:bidi="ar-SA"/>
        </w:rPr>
        <w:t>12.1.6</w:t>
      </w:r>
      <w:r>
        <w:rPr>
          <w:rFonts w:hint="eastAsia"/>
        </w:rPr>
        <w:t>地下水、土壤环境影响</w:t>
      </w:r>
    </w:p>
    <w:p w14:paraId="19CBC753">
      <w:pPr>
        <w:ind w:firstLine="480"/>
      </w:pPr>
      <w:r>
        <w:rPr>
          <w:rFonts w:hint="eastAsia"/>
        </w:rPr>
        <w:t>根据项目实际情况，其正常运营情况下，不会对区域地下水、土壤环境产生影响。其潜在风险主要体现在风险状况下VOCs料贮存区发生泄漏遇明火发生火灾，危废暂存泄漏，影响主要为灭火过程中产生的消防废水以及有机液体，从地表渗透从而污染地下水、土壤的风险。但考虑项目所在地位于天易经开区已建厂房内，场内除绿化景观带以外，其余地面均已硬化处理，能够有效降低消防废水及渗滤液对地下水的污染风险，再进一步加强了防渗及各项管理措施后，项目对地下水、土壤环境影响较小。</w:t>
      </w:r>
    </w:p>
    <w:p w14:paraId="57D145EE">
      <w:pPr>
        <w:pStyle w:val="4"/>
        <w:numPr>
          <w:ilvl w:val="2"/>
          <w:numId w:val="0"/>
        </w:numPr>
        <w:ind w:left="0" w:leftChars="0" w:firstLine="0" w:firstLineChars="0"/>
      </w:pPr>
      <w:r>
        <w:rPr>
          <w:rFonts w:hint="default" w:ascii="宋体" w:hAnsi="宋体" w:eastAsia="宋体" w:cs="宋体"/>
          <w:b/>
          <w:bCs/>
          <w:kern w:val="2"/>
          <w:sz w:val="24"/>
          <w:szCs w:val="24"/>
          <w:lang w:val="en-US" w:eastAsia="zh-CN" w:bidi="ar-SA"/>
        </w:rPr>
        <w:t>12.1.7</w:t>
      </w:r>
      <w:r>
        <w:rPr>
          <w:rFonts w:hint="eastAsia"/>
        </w:rPr>
        <w:t>环境风险评价结论</w:t>
      </w:r>
    </w:p>
    <w:p w14:paraId="6893D389">
      <w:pPr>
        <w:ind w:firstLine="480"/>
      </w:pPr>
      <w:r>
        <w:rPr>
          <w:rFonts w:hint="eastAsia"/>
        </w:rPr>
        <w:t>项目地位于天易经开区规划的工业建设用地，不属于敏感地区，项目大气环境、地表水环境、地下水环境风险潜势分别为</w:t>
      </w:r>
      <w:r>
        <w:rPr>
          <w:rFonts w:hint="eastAsia" w:ascii="宋体" w:hAnsi="宋体" w:cs="宋体"/>
        </w:rPr>
        <w:t>Ⅱ</w:t>
      </w:r>
      <w:r>
        <w:rPr>
          <w:rFonts w:hint="eastAsia"/>
        </w:rPr>
        <w:t>、I、I级，大气环境、地表水环境地下水环境风险评价工作等级分别划分为三级、简单分析、简单分析，评价范围为厂址周围5km范围。</w:t>
      </w:r>
    </w:p>
    <w:p w14:paraId="7B4A3898">
      <w:pPr>
        <w:ind w:firstLine="480"/>
      </w:pPr>
      <w:r>
        <w:rPr>
          <w:rFonts w:hint="eastAsia"/>
        </w:rPr>
        <w:t>根据最大可信事故分析，本项目可能发生的事故主要包括VOCs物料贮存区泄漏发生火灾风险，一旦发生事故，后果较为严重。通过对项目运营期可能发生的环境风险事故进行定性分析，在落实风险管理的前提下，采取火灾、泄漏事故排放等事故预防管理措施和实施有效的事故应急处理预案的前提下，事故的环境风险处于可接受水平。</w:t>
      </w:r>
    </w:p>
    <w:p w14:paraId="0D9B4BAD">
      <w:pPr>
        <w:pStyle w:val="4"/>
        <w:numPr>
          <w:ilvl w:val="2"/>
          <w:numId w:val="0"/>
        </w:numPr>
        <w:ind w:left="0" w:leftChars="0" w:firstLine="0" w:firstLineChars="0"/>
      </w:pPr>
      <w:r>
        <w:rPr>
          <w:rFonts w:hint="default" w:ascii="宋体" w:hAnsi="宋体" w:eastAsia="宋体" w:cs="宋体"/>
          <w:b/>
          <w:bCs/>
          <w:kern w:val="2"/>
          <w:sz w:val="24"/>
          <w:szCs w:val="24"/>
          <w:lang w:val="en-US" w:eastAsia="zh-CN" w:bidi="ar-SA"/>
        </w:rPr>
        <w:t>12.1.8</w:t>
      </w:r>
      <w:r>
        <w:rPr>
          <w:rFonts w:hint="eastAsia"/>
        </w:rPr>
        <w:t>环境影响经济损益分析</w:t>
      </w:r>
    </w:p>
    <w:p w14:paraId="27D88483">
      <w:pPr>
        <w:ind w:firstLine="480"/>
      </w:pPr>
      <w:r>
        <w:rPr>
          <w:rFonts w:hint="eastAsia"/>
        </w:rPr>
        <w:t>本项目的建设对周边地区经济发展等方面有较大的促进作用，社会效益和经济效益明显，通过本报告提出的环保措施，将最大程度地减缓项目建设和运营对环境带来的负面效应，环境效益将大于环境损失。</w:t>
      </w:r>
    </w:p>
    <w:p w14:paraId="32BFCA3D">
      <w:pPr>
        <w:pStyle w:val="4"/>
        <w:numPr>
          <w:ilvl w:val="2"/>
          <w:numId w:val="0"/>
        </w:numPr>
        <w:ind w:left="0" w:leftChars="0" w:firstLine="0" w:firstLineChars="0"/>
      </w:pPr>
      <w:r>
        <w:rPr>
          <w:rFonts w:hint="default" w:ascii="宋体" w:hAnsi="宋体" w:eastAsia="宋体" w:cs="宋体"/>
          <w:b/>
          <w:bCs/>
          <w:kern w:val="2"/>
          <w:sz w:val="24"/>
          <w:szCs w:val="24"/>
          <w:lang w:val="en-US" w:eastAsia="zh-CN" w:bidi="ar-SA"/>
        </w:rPr>
        <w:t>12.1.9</w:t>
      </w:r>
      <w:r>
        <w:rPr>
          <w:rFonts w:hint="eastAsia"/>
        </w:rPr>
        <w:t>环境管理与监测计划</w:t>
      </w:r>
    </w:p>
    <w:p w14:paraId="0543F39E">
      <w:pPr>
        <w:ind w:firstLine="480"/>
      </w:pPr>
      <w:r>
        <w:rPr>
          <w:rFonts w:hint="eastAsia"/>
        </w:rPr>
        <w:t>为落实各项污染防治措施，加强环境保护工作的管理，本项目应根据项目的实际情况，制定各种类型的环保规章制度，认真落实环保设施的设计，施工任务，并积极落实有关环保经费，以保证环境保护设施实现“三同时”。</w:t>
      </w:r>
    </w:p>
    <w:p w14:paraId="3DDD895B">
      <w:pPr>
        <w:pStyle w:val="4"/>
        <w:numPr>
          <w:ilvl w:val="2"/>
          <w:numId w:val="0"/>
        </w:numPr>
        <w:ind w:left="0" w:leftChars="0" w:firstLine="0" w:firstLineChars="0"/>
      </w:pPr>
      <w:bookmarkStart w:id="186" w:name="_Toc18286"/>
      <w:bookmarkStart w:id="187" w:name="_Toc16231"/>
      <w:bookmarkStart w:id="188" w:name="_Toc30117"/>
      <w:bookmarkStart w:id="189" w:name="_Toc60666331"/>
      <w:r>
        <w:rPr>
          <w:rFonts w:hint="default" w:ascii="宋体" w:hAnsi="宋体" w:eastAsia="宋体" w:cs="宋体"/>
          <w:b/>
          <w:bCs/>
          <w:kern w:val="2"/>
          <w:sz w:val="24"/>
          <w:szCs w:val="24"/>
          <w:lang w:val="en-US" w:eastAsia="zh-CN" w:bidi="ar-SA"/>
        </w:rPr>
        <w:t>12.1.10</w:t>
      </w:r>
      <w:r>
        <w:rPr>
          <w:rFonts w:hint="eastAsia"/>
        </w:rPr>
        <w:t>公众参与</w:t>
      </w:r>
      <w:bookmarkEnd w:id="186"/>
      <w:bookmarkEnd w:id="187"/>
      <w:bookmarkEnd w:id="188"/>
      <w:bookmarkEnd w:id="189"/>
    </w:p>
    <w:p w14:paraId="72018661">
      <w:pPr>
        <w:ind w:firstLine="480"/>
      </w:pPr>
      <w:r>
        <w:rPr>
          <w:rFonts w:hint="eastAsia"/>
        </w:rPr>
        <w:t>为充分了解项目所在区域其它部门和群众的意见，使本项目被公众认可，支持和配合项目的建设，建设单位进行了公众参与调查，调查主要采用网上公示、现场张贴公示、报纸公示几种形式，并将调查结果整理成《年产15000吨印刷品改扩建项目</w:t>
      </w:r>
      <w:r>
        <w:rPr>
          <w:rFonts w:hint="eastAsia"/>
          <w:lang w:val="en-US" w:eastAsia="zh-CN"/>
        </w:rPr>
        <w:t>重大变动</w:t>
      </w:r>
      <w:r>
        <w:rPr>
          <w:rFonts w:hint="eastAsia"/>
        </w:rPr>
        <w:t>环境影响公众参与说明》，公示期间未收到反馈意见。本环评要求建设单位在营运阶段，要与当地政府和周边民众保持良好沟通和联系，采纳其提出的合理化、建设性意见，力求使该项目的建设带来较大的社会经济效益的同时，尽量减少可能随之而来的负面影响。</w:t>
      </w:r>
    </w:p>
    <w:p w14:paraId="5ED8F8C6">
      <w:pPr>
        <w:pStyle w:val="4"/>
        <w:numPr>
          <w:ilvl w:val="2"/>
          <w:numId w:val="0"/>
        </w:numPr>
        <w:ind w:left="0" w:leftChars="0" w:firstLine="0" w:firstLineChars="0"/>
      </w:pPr>
      <w:bookmarkStart w:id="190" w:name="_Toc8189"/>
      <w:bookmarkStart w:id="191" w:name="_Toc22536"/>
      <w:bookmarkStart w:id="192" w:name="_Toc25972"/>
      <w:r>
        <w:rPr>
          <w:rFonts w:hint="default" w:ascii="宋体" w:hAnsi="宋体" w:eastAsia="宋体" w:cs="宋体"/>
          <w:b/>
          <w:bCs/>
          <w:kern w:val="2"/>
          <w:sz w:val="24"/>
          <w:szCs w:val="24"/>
          <w:lang w:val="en-US" w:eastAsia="zh-CN" w:bidi="ar-SA"/>
        </w:rPr>
        <w:t>12.1.11</w:t>
      </w:r>
      <w:r>
        <w:rPr>
          <w:rFonts w:hint="eastAsia"/>
        </w:rPr>
        <w:t>评价结论</w:t>
      </w:r>
      <w:bookmarkEnd w:id="190"/>
      <w:bookmarkEnd w:id="191"/>
      <w:bookmarkEnd w:id="192"/>
    </w:p>
    <w:p w14:paraId="4855F4AE">
      <w:pPr>
        <w:tabs>
          <w:tab w:val="left" w:pos="0"/>
        </w:tabs>
        <w:ind w:firstLine="480"/>
        <w:rPr>
          <w:szCs w:val="20"/>
        </w:rPr>
      </w:pPr>
      <w:r>
        <w:rPr>
          <w:rFonts w:hint="eastAsia"/>
          <w:szCs w:val="20"/>
        </w:rPr>
        <w:t>综上所述，本项目符合国家产业政策；选址符合相关规划要求；各种污染物排放满足相应排放标准的规定；生产工艺基本达到国内先进清洁生产水平；污染物的集中治理后达标排放，能够满足区域总量控制要求；影响预测评价结果表明，项目建设运营对周围环境质量影响可以接受。</w:t>
      </w:r>
    </w:p>
    <w:p w14:paraId="4EB91AAD">
      <w:pPr>
        <w:tabs>
          <w:tab w:val="left" w:pos="0"/>
        </w:tabs>
        <w:ind w:firstLine="480"/>
        <w:rPr>
          <w:szCs w:val="20"/>
        </w:rPr>
      </w:pPr>
      <w:r>
        <w:rPr>
          <w:rFonts w:hint="eastAsia"/>
          <w:szCs w:val="20"/>
        </w:rPr>
        <w:t>建设单位在落实本报告提出的各项环保措施的基础上，严格执行</w:t>
      </w:r>
      <w:r>
        <w:rPr>
          <w:szCs w:val="20"/>
        </w:rPr>
        <w:t>“</w:t>
      </w:r>
      <w:r>
        <w:rPr>
          <w:rFonts w:hint="eastAsia"/>
          <w:szCs w:val="20"/>
        </w:rPr>
        <w:t>三同时</w:t>
      </w:r>
      <w:r>
        <w:rPr>
          <w:szCs w:val="20"/>
        </w:rPr>
        <w:t>”</w:t>
      </w:r>
      <w:r>
        <w:rPr>
          <w:rFonts w:hint="eastAsia"/>
          <w:szCs w:val="20"/>
        </w:rPr>
        <w:t>，从环境保护角度分析，项目的建设是可行的。</w:t>
      </w:r>
    </w:p>
    <w:p w14:paraId="3C350F5A">
      <w:pPr>
        <w:pStyle w:val="3"/>
        <w:numPr>
          <w:ilvl w:val="1"/>
          <w:numId w:val="0"/>
        </w:numPr>
        <w:ind w:left="567" w:leftChars="0" w:hanging="567" w:firstLineChars="0"/>
        <w:rPr>
          <w:sz w:val="28"/>
          <w:szCs w:val="28"/>
        </w:rPr>
      </w:pPr>
      <w:bookmarkStart w:id="193" w:name="_Toc23821"/>
      <w:bookmarkStart w:id="194" w:name="_Toc6572"/>
      <w:bookmarkStart w:id="195" w:name="_Toc510978930"/>
      <w:bookmarkStart w:id="196" w:name="_Toc12937"/>
      <w:bookmarkStart w:id="197" w:name="_Toc20071"/>
      <w:bookmarkStart w:id="198" w:name="_Toc60666333"/>
      <w:bookmarkStart w:id="199" w:name="_Toc4673"/>
      <w:r>
        <w:rPr>
          <w:rFonts w:hint="default" w:ascii="宋体" w:hAnsi="宋体" w:eastAsia="宋体" w:cs="宋体"/>
          <w:b/>
          <w:bCs/>
          <w:kern w:val="2"/>
          <w:sz w:val="28"/>
          <w:szCs w:val="28"/>
          <w:lang w:val="en-US" w:eastAsia="zh-CN" w:bidi="ar-SA"/>
        </w:rPr>
        <w:t>12.2</w:t>
      </w:r>
      <w:r>
        <w:rPr>
          <w:rFonts w:hint="eastAsia"/>
          <w:sz w:val="28"/>
          <w:szCs w:val="28"/>
        </w:rPr>
        <w:t>建议</w:t>
      </w:r>
      <w:bookmarkEnd w:id="193"/>
      <w:bookmarkEnd w:id="194"/>
      <w:bookmarkEnd w:id="195"/>
      <w:bookmarkEnd w:id="196"/>
      <w:bookmarkEnd w:id="197"/>
      <w:bookmarkEnd w:id="198"/>
      <w:bookmarkEnd w:id="199"/>
    </w:p>
    <w:p w14:paraId="5E644477">
      <w:pPr>
        <w:tabs>
          <w:tab w:val="left" w:pos="1021"/>
        </w:tabs>
        <w:adjustRightInd w:val="0"/>
        <w:snapToGrid w:val="0"/>
        <w:ind w:firstLine="480"/>
      </w:pPr>
      <w:r>
        <w:rPr>
          <w:rFonts w:hint="eastAsia"/>
        </w:rPr>
        <w:t>1.建设单位应认真贯彻执行有关建设项目环境保护管理文件的精神，建立健全各项环保规章制度，严格执行“三同时”。</w:t>
      </w:r>
    </w:p>
    <w:p w14:paraId="5C39099F">
      <w:pPr>
        <w:tabs>
          <w:tab w:val="left" w:pos="1021"/>
        </w:tabs>
        <w:adjustRightInd w:val="0"/>
        <w:snapToGrid w:val="0"/>
        <w:ind w:firstLine="480"/>
      </w:pPr>
      <w:r>
        <w:rPr>
          <w:rFonts w:hint="eastAsia"/>
        </w:rPr>
        <w:t>2.加强生产设施及污染防治设施运行的管理，定期对污染防治设施进行保养检修，确保污染物达标排放，避免污染事故发生。</w:t>
      </w:r>
    </w:p>
    <w:p w14:paraId="640B0E2F">
      <w:pPr>
        <w:tabs>
          <w:tab w:val="left" w:pos="1021"/>
        </w:tabs>
        <w:adjustRightInd w:val="0"/>
        <w:snapToGrid w:val="0"/>
        <w:ind w:firstLine="480"/>
      </w:pPr>
      <w:r>
        <w:rPr>
          <w:rFonts w:hint="eastAsia"/>
        </w:rPr>
        <w:t>3.本项目的建设应重视引进和建立先进的环保管理模式，完善管理机制，强化企业职工自身的环保意识。配备必要的环境管理专职人员，落实、检查环保设施的运行状况，配合当地环保部门做好本厂的环境管理、验收、监督和检查工作。</w:t>
      </w:r>
    </w:p>
    <w:p w14:paraId="26689E6F">
      <w:pPr>
        <w:tabs>
          <w:tab w:val="left" w:pos="1021"/>
        </w:tabs>
        <w:adjustRightInd w:val="0"/>
        <w:snapToGrid w:val="0"/>
        <w:ind w:firstLine="480"/>
      </w:pPr>
      <w:r>
        <w:rPr>
          <w:rFonts w:hint="eastAsia"/>
        </w:rPr>
        <w:t>4.对危险废物实行从收集、运送、贮存、外运的全过程管理，进一步完善危险废物贮存设施，对危险废物分类收集、贮存，对项目产生的危险废物交由相关单位进行处置利用。</w:t>
      </w:r>
    </w:p>
    <w:p w14:paraId="5FBDAB3A">
      <w:pPr>
        <w:tabs>
          <w:tab w:val="left" w:pos="1021"/>
        </w:tabs>
        <w:adjustRightInd w:val="0"/>
        <w:snapToGrid w:val="0"/>
        <w:ind w:firstLine="480"/>
      </w:pPr>
      <w:r>
        <w:rPr>
          <w:rFonts w:hint="eastAsia"/>
        </w:rPr>
        <w:t>5.建设单位须建立完善的安全生产管理系统和自动化的事故安全监控系统。建立健全事故防范措施及应急措施。</w:t>
      </w:r>
    </w:p>
    <w:p w14:paraId="28557EFB">
      <w:pPr>
        <w:tabs>
          <w:tab w:val="left" w:pos="1021"/>
        </w:tabs>
        <w:adjustRightInd w:val="0"/>
        <w:snapToGrid w:val="0"/>
        <w:ind w:firstLine="480"/>
      </w:pPr>
      <w:r>
        <w:rPr>
          <w:rFonts w:hint="eastAsia"/>
        </w:rPr>
        <w:t>6.应落实本报告书中提出的各项安全防范措施和环保措施。</w:t>
      </w:r>
    </w:p>
    <w:p w14:paraId="621151B8">
      <w:pPr>
        <w:tabs>
          <w:tab w:val="left" w:pos="1021"/>
        </w:tabs>
        <w:adjustRightInd w:val="0"/>
        <w:snapToGrid w:val="0"/>
        <w:ind w:firstLine="480"/>
      </w:pPr>
      <w:r>
        <w:rPr>
          <w:rFonts w:hint="eastAsia"/>
        </w:rPr>
        <w:t>7.本项目应严格落实本环评报告中各项环保措施（尤其是各项废气处理措施），并加强对其维护管理，确保各项污染物对环境的影响降到最低。</w:t>
      </w:r>
    </w:p>
    <w:p w14:paraId="56AB15A6">
      <w:pPr>
        <w:tabs>
          <w:tab w:val="left" w:pos="1021"/>
        </w:tabs>
        <w:adjustRightInd w:val="0"/>
        <w:snapToGrid w:val="0"/>
        <w:ind w:firstLine="480"/>
      </w:pPr>
      <w:r>
        <w:rPr>
          <w:rFonts w:hint="eastAsia"/>
        </w:rPr>
        <w:t>8.为保证室内员工工作环境符合职业卫生要求，需加强设备维护管理，保证封闭车间内废气及时有效收集，并保证封闭车间内换气次数。</w:t>
      </w:r>
    </w:p>
    <w:p w14:paraId="01036275">
      <w:pPr>
        <w:tabs>
          <w:tab w:val="left" w:pos="1021"/>
        </w:tabs>
        <w:adjustRightInd w:val="0"/>
        <w:snapToGrid w:val="0"/>
        <w:ind w:firstLine="480"/>
      </w:pPr>
      <w:r>
        <w:rPr>
          <w:rFonts w:hint="eastAsia"/>
        </w:rPr>
        <w:t>9.在满足工艺生产要求的前提下，建设方应积极推进使用低（无）VOCs含量原辅材料和环境友好型技术替代。在日后的生产过程中应根据生产工艺进行逐步替代，逐步提高无溶剂复合技术占比；在满足工艺生产要求的前提下逐步使用水醇性油墨、水性油墨、辐射固化油墨等替代现有使用的油性油墨；在满足工艺生产要求的前提下逐步使用紫外光固化光油、低（无）挥发和高沸点的清洁剂等代替现有使用的易挥发清洁剂（稀释剂）。</w:t>
      </w:r>
    </w:p>
    <w:p w14:paraId="7A28025C">
      <w:pPr>
        <w:tabs>
          <w:tab w:val="left" w:pos="1021"/>
        </w:tabs>
        <w:adjustRightInd w:val="0"/>
        <w:snapToGrid w:val="0"/>
        <w:ind w:firstLine="480"/>
      </w:pPr>
      <w:r>
        <w:rPr>
          <w:rFonts w:hint="eastAsia"/>
        </w:rPr>
        <w:t>同时，建设单位在日后的生产过程中应逐步调整印刷方式，在满足生产要求的前提下逐步采用柔印替代凹印、挤复代替溶剂复合，使用中央供墨系统等方式减小有机废气的产生量。</w:t>
      </w:r>
    </w:p>
    <w:sectPr>
      <w:pgSz w:w="11906" w:h="16838"/>
      <w:pgMar w:top="1497"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DY4+ZJTAfq-9">
    <w:altName w:val="宋体"/>
    <w:panose1 w:val="00000000000000000000"/>
    <w:charset w:val="86"/>
    <w:family w:val="auto"/>
    <w:pitch w:val="default"/>
    <w:sig w:usb0="00000000" w:usb1="00000000" w:usb2="00000010" w:usb3="00000000" w:csb0="00040000" w:csb1="00000000"/>
  </w:font>
  <w:font w:name="Helvetica">
    <w:altName w:val="Arial"/>
    <w:panose1 w:val="020B0604020202020204"/>
    <w:charset w:val="00"/>
    <w:family w:val="swiss"/>
    <w:pitch w:val="default"/>
    <w:sig w:usb0="00000000" w:usb1="00000000" w:usb2="00000009" w:usb3="00000000" w:csb0="000001FF"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新宋体">
    <w:panose1 w:val="02010609030101010101"/>
    <w:charset w:val="86"/>
    <w:family w:val="modern"/>
    <w:pitch w:val="default"/>
    <w:sig w:usb0="00000203" w:usb1="288F0000" w:usb2="0000000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7A5372">
    <w:pPr>
      <w:pBdr>
        <w:top w:val="single" w:color="auto" w:sz="4" w:space="1"/>
        <w:left w:val="none" w:color="auto" w:sz="0" w:space="4"/>
        <w:bottom w:val="none" w:color="auto" w:sz="0" w:space="1"/>
        <w:right w:val="none" w:color="auto" w:sz="0" w:space="4"/>
      </w:pBdr>
      <w:tabs>
        <w:tab w:val="center" w:pos="4153"/>
        <w:tab w:val="right" w:pos="8306"/>
      </w:tabs>
      <w:snapToGrid w:val="0"/>
      <w:spacing w:line="240" w:lineRule="auto"/>
      <w:jc w:val="left"/>
      <w:rPr>
        <w:sz w:val="21"/>
        <w:szCs w:val="21"/>
      </w:rPr>
    </w:pPr>
    <w:r>
      <w:rPr>
        <w:rFonts w:hint="eastAsia"/>
        <w:sz w:val="21"/>
        <w:szCs w:val="21"/>
      </w:rPr>
      <w:t>湖南国网环境科学研究院有限公司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333581">
    <w:pPr>
      <w:pStyle w:val="2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BC0BD1">
    <w:pPr>
      <w:pStyle w:val="2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BD207">
    <w:pPr>
      <w:pBdr>
        <w:top w:val="single" w:color="auto" w:sz="4" w:space="1"/>
        <w:left w:val="none" w:color="auto" w:sz="0" w:space="4"/>
        <w:bottom w:val="none" w:color="auto" w:sz="0" w:space="1"/>
        <w:right w:val="none" w:color="auto" w:sz="0" w:space="4"/>
      </w:pBdr>
      <w:tabs>
        <w:tab w:val="center" w:pos="4153"/>
        <w:tab w:val="right" w:pos="8306"/>
      </w:tabs>
      <w:snapToGrid w:val="0"/>
      <w:spacing w:line="240" w:lineRule="auto"/>
      <w:jc w:val="left"/>
      <w:rPr>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3CB401">
                          <w:pPr>
                            <w:tabs>
                              <w:tab w:val="center" w:pos="4153"/>
                              <w:tab w:val="right" w:pos="8306"/>
                            </w:tabs>
                            <w:ind w:firstLine="480"/>
                          </w:pPr>
                          <w:r>
                            <w:fldChar w:fldCharType="begin"/>
                          </w:r>
                          <w:r>
                            <w:instrText xml:space="preserve"> PAGE  \* MERGEFORMAT </w:instrText>
                          </w:r>
                          <w:r>
                            <w:fldChar w:fldCharType="separate"/>
                          </w:r>
                          <w:r>
                            <w:t>- 30 -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1C3CB401">
                    <w:pPr>
                      <w:tabs>
                        <w:tab w:val="center" w:pos="4153"/>
                        <w:tab w:val="right" w:pos="8306"/>
                      </w:tabs>
                      <w:ind w:firstLine="480"/>
                    </w:pPr>
                    <w:r>
                      <w:fldChar w:fldCharType="begin"/>
                    </w:r>
                    <w:r>
                      <w:instrText xml:space="preserve"> PAGE  \* MERGEFORMAT </w:instrText>
                    </w:r>
                    <w:r>
                      <w:fldChar w:fldCharType="separate"/>
                    </w:r>
                    <w:r>
                      <w:t>- 30 -</w:t>
                    </w:r>
                    <w:r>
                      <w:fldChar w:fldCharType="end"/>
                    </w:r>
                  </w:p>
                </w:txbxContent>
              </v:textbox>
            </v:shape>
          </w:pict>
        </mc:Fallback>
      </mc:AlternateContent>
    </w:r>
    <w:r>
      <w:rPr>
        <w:rFonts w:hint="eastAsia"/>
        <w:sz w:val="21"/>
        <w:szCs w:val="21"/>
      </w:rPr>
      <w:t>湖南国网环境科学研究院有限公司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F20BA">
    <w:pPr>
      <w:pBdr>
        <w:top w:val="single" w:color="auto" w:sz="4" w:space="1"/>
        <w:left w:val="none" w:color="auto" w:sz="0" w:space="4"/>
        <w:bottom w:val="none" w:color="auto" w:sz="0" w:space="1"/>
        <w:right w:val="none" w:color="auto" w:sz="0" w:space="4"/>
      </w:pBdr>
      <w:tabs>
        <w:tab w:val="center" w:pos="4153"/>
        <w:tab w:val="right" w:pos="8306"/>
      </w:tabs>
      <w:snapToGrid w:val="0"/>
      <w:spacing w:line="240" w:lineRule="auto"/>
    </w:pPr>
    <w:r>
      <w:rPr>
        <w:rFonts w:hint="eastAsia"/>
        <w:sz w:val="21"/>
        <w:szCs w:val="21"/>
      </w:rPr>
      <w:t>湖南国网环境科学研究院有限公司</w:t>
    </w: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D2ADCA">
                          <w:pPr>
                            <w:tabs>
                              <w:tab w:val="center" w:pos="4153"/>
                              <w:tab w:val="right" w:pos="8306"/>
                            </w:tabs>
                            <w:snapToGrid w:val="0"/>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- 37 -</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5BD2ADCA">
                    <w:pPr>
                      <w:tabs>
                        <w:tab w:val="center" w:pos="4153"/>
                        <w:tab w:val="right" w:pos="8306"/>
                      </w:tabs>
                      <w:snapToGrid w:val="0"/>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- 37 -</w:t>
                    </w:r>
                    <w:r>
                      <w:rPr>
                        <w:sz w:val="21"/>
                        <w:szCs w:val="21"/>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2542E">
    <w:pPr>
      <w:pBdr>
        <w:top w:val="single" w:color="auto" w:sz="4" w:space="1"/>
        <w:left w:val="none" w:color="auto" w:sz="0" w:space="4"/>
        <w:bottom w:val="none" w:color="auto" w:sz="0" w:space="1"/>
        <w:right w:val="none" w:color="auto" w:sz="0" w:space="4"/>
      </w:pBdr>
      <w:spacing w:line="240" w:lineRule="auto"/>
      <w:jc w:val="left"/>
      <w:rPr>
        <w:sz w:val="20"/>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E72822">
                          <w:pPr>
                            <w:tabs>
                              <w:tab w:val="center" w:pos="4153"/>
                              <w:tab w:val="right" w:pos="8306"/>
                            </w:tabs>
                            <w:ind w:firstLine="480"/>
                          </w:pPr>
                          <w:r>
                            <w:fldChar w:fldCharType="begin"/>
                          </w:r>
                          <w:r>
                            <w:instrText xml:space="preserve"> PAGE  \* MERGEFORMAT </w:instrText>
                          </w:r>
                          <w:r>
                            <w:fldChar w:fldCharType="separate"/>
                          </w:r>
                          <w:r>
                            <w:t>- 148 -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66E72822">
                    <w:pPr>
                      <w:tabs>
                        <w:tab w:val="center" w:pos="4153"/>
                        <w:tab w:val="right" w:pos="8306"/>
                      </w:tabs>
                      <w:ind w:firstLine="480"/>
                    </w:pPr>
                    <w:r>
                      <w:fldChar w:fldCharType="begin"/>
                    </w:r>
                    <w:r>
                      <w:instrText xml:space="preserve"> PAGE  \* MERGEFORMAT </w:instrText>
                    </w:r>
                    <w:r>
                      <w:fldChar w:fldCharType="separate"/>
                    </w:r>
                    <w:r>
                      <w:t>- 148 -</w:t>
                    </w:r>
                    <w:r>
                      <w:fldChar w:fldCharType="end"/>
                    </w:r>
                  </w:p>
                </w:txbxContent>
              </v:textbox>
            </v:shape>
          </w:pict>
        </mc:Fallback>
      </mc:AlternateContent>
    </w:r>
    <w:r>
      <w:rPr>
        <w:rFonts w:hint="eastAsia"/>
        <w:sz w:val="21"/>
        <w:szCs w:val="21"/>
      </w:rPr>
      <w:t>湖南国网环境科学研究院有限公司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53ADFD">
    <w:pPr>
      <w:pBdr>
        <w:bottom w:val="single" w:color="auto" w:sz="4" w:space="1"/>
      </w:pBdr>
      <w:tabs>
        <w:tab w:val="center" w:pos="4153"/>
        <w:tab w:val="right" w:pos="8306"/>
      </w:tabs>
      <w:snapToGrid w:val="0"/>
      <w:spacing w:line="240" w:lineRule="auto"/>
      <w:jc w:val="right"/>
    </w:pPr>
    <w:r>
      <w:rPr>
        <w:rFonts w:hint="eastAsia"/>
        <w:sz w:val="21"/>
        <w:szCs w:val="21"/>
      </w:rPr>
      <w:t>年产15000吨印刷品改扩建项目</w:t>
    </w:r>
    <w:r>
      <w:rPr>
        <w:rFonts w:hint="eastAsia"/>
        <w:sz w:val="21"/>
        <w:szCs w:val="21"/>
        <w:lang w:val="en-US" w:eastAsia="zh-CN"/>
      </w:rPr>
      <w:t>重大变动</w:t>
    </w:r>
    <w:r>
      <w:rPr>
        <w:rFonts w:hint="eastAsia"/>
        <w:sz w:val="21"/>
        <w:szCs w:val="21"/>
      </w:rPr>
      <w:t>环境影响报告书</w:t>
    </w:r>
  </w:p>
  <w:p w14:paraId="72827288">
    <w:pPr>
      <w:spacing w:before="120" w:after="120"/>
      <w:jc w:val="right"/>
      <w:rPr>
        <w:kern w:val="0"/>
        <w:sz w:val="1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74D4A4">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BCF270">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DF4BD5"/>
    <w:multiLevelType w:val="multilevel"/>
    <w:tmpl w:val="A0DF4BD5"/>
    <w:lvl w:ilvl="0" w:tentative="0">
      <w:start w:val="1"/>
      <w:numFmt w:val="decimal"/>
      <w:pStyle w:val="2"/>
      <w:isLgl/>
      <w:suff w:val="space"/>
      <w:lvlText w:val="第%1章"/>
      <w:lvlJc w:val="left"/>
      <w:pPr>
        <w:tabs>
          <w:tab w:val="left" w:pos="0"/>
        </w:tabs>
        <w:ind w:left="425" w:hanging="425"/>
      </w:pPr>
      <w:rPr>
        <w:rFonts w:hint="default" w:ascii="宋体" w:hAnsi="宋体" w:eastAsia="宋体" w:cs="宋体"/>
        <w:b/>
        <w:bCs/>
        <w:sz w:val="32"/>
        <w:szCs w:val="32"/>
      </w:rPr>
    </w:lvl>
    <w:lvl w:ilvl="1" w:tentative="0">
      <w:start w:val="1"/>
      <w:numFmt w:val="decimal"/>
      <w:pStyle w:val="3"/>
      <w:isLgl/>
      <w:suff w:val="space"/>
      <w:lvlText w:val="%1.%2"/>
      <w:lvlJc w:val="left"/>
      <w:pPr>
        <w:tabs>
          <w:tab w:val="left" w:pos="420"/>
        </w:tabs>
        <w:ind w:left="567" w:hanging="567"/>
      </w:pPr>
      <w:rPr>
        <w:rFonts w:hint="default" w:ascii="宋体" w:hAnsi="宋体" w:eastAsia="宋体" w:cs="宋体"/>
        <w:b/>
        <w:bCs/>
        <w:sz w:val="28"/>
        <w:szCs w:val="28"/>
      </w:rPr>
    </w:lvl>
    <w:lvl w:ilvl="2" w:tentative="0">
      <w:start w:val="1"/>
      <w:numFmt w:val="decimal"/>
      <w:pStyle w:val="4"/>
      <w:isLgl/>
      <w:suff w:val="space"/>
      <w:lvlText w:val="%1.%2.%3"/>
      <w:lvlJc w:val="left"/>
      <w:pPr>
        <w:tabs>
          <w:tab w:val="left" w:pos="0"/>
        </w:tabs>
        <w:ind w:left="992" w:hanging="992"/>
      </w:pPr>
      <w:rPr>
        <w:rFonts w:hint="default" w:ascii="宋体" w:hAnsi="宋体" w:eastAsia="宋体" w:cs="宋体"/>
        <w:b/>
        <w:bCs/>
        <w:sz w:val="24"/>
        <w:szCs w:val="24"/>
      </w:rPr>
    </w:lvl>
    <w:lvl w:ilvl="3" w:tentative="0">
      <w:start w:val="1"/>
      <w:numFmt w:val="decimal"/>
      <w:pStyle w:val="5"/>
      <w:isLgl/>
      <w:suff w:val="space"/>
      <w:lvlText w:val="%1.%2.%3.%4"/>
      <w:lvlJc w:val="left"/>
      <w:pPr>
        <w:tabs>
          <w:tab w:val="left" w:pos="420"/>
        </w:tabs>
        <w:ind w:left="1984" w:hanging="1984"/>
      </w:pPr>
      <w:rPr>
        <w:rFonts w:hint="default" w:ascii="宋体" w:hAnsi="宋体" w:eastAsia="宋体" w:cs="宋体"/>
        <w:b/>
        <w:bCs/>
        <w:sz w:val="24"/>
        <w:szCs w:val="24"/>
      </w:rPr>
    </w:lvl>
    <w:lvl w:ilvl="4" w:tentative="0">
      <w:start w:val="1"/>
      <w:numFmt w:val="decimal"/>
      <w:pStyle w:val="6"/>
      <w:isLgl/>
      <w:suff w:val="space"/>
      <w:lvlText w:val="%1.%2.%3.%4.%5"/>
      <w:lvlJc w:val="left"/>
      <w:pPr>
        <w:tabs>
          <w:tab w:val="left" w:pos="0"/>
        </w:tabs>
        <w:ind w:left="2551" w:hanging="2551"/>
      </w:pPr>
      <w:rPr>
        <w:rFonts w:hint="default" w:ascii="宋体" w:hAnsi="宋体" w:eastAsia="宋体" w:cs="宋体"/>
        <w:b/>
        <w:bCs/>
        <w:sz w:val="24"/>
        <w:szCs w:val="24"/>
      </w:rPr>
    </w:lvl>
    <w:lvl w:ilvl="5" w:tentative="0">
      <w:start w:val="1"/>
      <w:numFmt w:val="decimal"/>
      <w:lvlRestart w:val="2"/>
      <w:pStyle w:val="51"/>
      <w:suff w:val="space"/>
      <w:lvlText w:val="表%1.%2-%6 "/>
      <w:lvlJc w:val="left"/>
      <w:pPr>
        <w:tabs>
          <w:tab w:val="left" w:pos="4395"/>
        </w:tabs>
        <w:ind w:left="4700" w:hanging="3260"/>
      </w:pPr>
      <w:rPr>
        <w:rFonts w:hint="default" w:ascii="宋体" w:hAnsi="宋体" w:eastAsia="宋体" w:cs="宋体"/>
        <w:b/>
        <w:bCs/>
        <w:color w:val="auto"/>
        <w:sz w:val="21"/>
        <w:szCs w:val="21"/>
        <w:lang w:val="en-US"/>
      </w:rPr>
    </w:lvl>
    <w:lvl w:ilvl="6" w:tentative="0">
      <w:start w:val="1"/>
      <w:numFmt w:val="decimal"/>
      <w:lvlRestart w:val="2"/>
      <w:pStyle w:val="45"/>
      <w:suff w:val="space"/>
      <w:lvlText w:val="图%1.%2-%7 "/>
      <w:lvlJc w:val="left"/>
      <w:pPr>
        <w:tabs>
          <w:tab w:val="left" w:pos="2269"/>
        </w:tabs>
        <w:ind w:left="6096" w:hanging="3827"/>
      </w:pPr>
      <w:rPr>
        <w:rFonts w:hint="default" w:ascii="宋体" w:hAnsi="宋体" w:eastAsia="宋体" w:cs="宋体"/>
      </w:rPr>
    </w:lvl>
    <w:lvl w:ilvl="7" w:tentative="0">
      <w:start w:val="1"/>
      <w:numFmt w:val="decimal"/>
      <w:lvlText w:val="%1.%2.%3.%4.%5.%6.%7.%8"/>
      <w:lvlJc w:val="left"/>
      <w:pPr>
        <w:tabs>
          <w:tab w:val="left" w:pos="420"/>
        </w:tabs>
        <w:ind w:left="4394" w:hanging="1418"/>
      </w:pPr>
      <w:rPr>
        <w:rFonts w:hint="default" w:ascii="宋体" w:hAnsi="宋体" w:eastAsia="宋体" w:cs="宋体"/>
      </w:rPr>
    </w:lvl>
    <w:lvl w:ilvl="8" w:tentative="0">
      <w:start w:val="1"/>
      <w:numFmt w:val="decimal"/>
      <w:lvlText w:val="%1.%2.%3.%4.%5.%6.%7.%8.%9"/>
      <w:lvlJc w:val="left"/>
      <w:pPr>
        <w:ind w:left="5102" w:hanging="1700"/>
      </w:pPr>
      <w:rPr>
        <w:rFonts w:hint="eastAsia"/>
      </w:rPr>
    </w:lvl>
  </w:abstractNum>
  <w:abstractNum w:abstractNumId="1">
    <w:nsid w:val="3017B941"/>
    <w:multiLevelType w:val="singleLevel"/>
    <w:tmpl w:val="3017B941"/>
    <w:lvl w:ilvl="0" w:tentative="0">
      <w:start w:val="2"/>
      <w:numFmt w:val="decimal"/>
      <w:lvlText w:val="%1."/>
      <w:lvlJc w:val="left"/>
      <w:pPr>
        <w:tabs>
          <w:tab w:val="left" w:pos="312"/>
        </w:tabs>
      </w:pPr>
    </w:lvl>
  </w:abstractNum>
  <w:abstractNum w:abstractNumId="2">
    <w:nsid w:val="7A8A1E0B"/>
    <w:multiLevelType w:val="singleLevel"/>
    <w:tmpl w:val="7A8A1E0B"/>
    <w:lvl w:ilvl="0" w:tentative="0">
      <w:start w:val="1"/>
      <w:numFmt w:val="bullet"/>
      <w:pStyle w:val="13"/>
      <w:lvlText w:val=""/>
      <w:lvlJc w:val="left"/>
      <w:pPr>
        <w:tabs>
          <w:tab w:val="left" w:pos="780"/>
        </w:tabs>
        <w:ind w:left="780" w:hanging="360"/>
      </w:pPr>
      <w:rPr>
        <w:rFonts w:hint="default" w:ascii="Wingdings" w:hAnsi="Wingding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0"/>
  <w:defaultTabStop w:val="0"/>
  <w:drawingGridHorizontalSpacing w:val="120"/>
  <w:drawingGridVerticalSpacing w:val="163"/>
  <w:displayHorizontalDrawingGridEvery w:val="1"/>
  <w:displayVerticalDrawingGridEvery w:val="1"/>
  <w:noPunctuationKerning w:val="1"/>
  <w:characterSpacingControl w:val="compressPunctuation"/>
  <w:noLineBreaksAfter w:lang="zh-CN" w:val="$([{£¥·‘“〈《「『【〔〖〝﹙﹛﹝＄（．［｛￡￥"/>
  <w:noLineBreaksBefore w:lang="zh-CN" w:val="!%),.:;&gt;?]}¢¨°·ˇˉ―‖’”…‰′″›℃∶、。〃〉》」』】〕〗〞︶︺︾﹀﹄﹚﹜﹞！＂％＇），．：；？］｀｜｝～￠"/>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FiOGRmZTNiMzJiMGFlNDE3MDY5NWRhODc3ZjAzZDQifQ=="/>
  </w:docVars>
  <w:rsids>
    <w:rsidRoot w:val="00172A27"/>
    <w:rsid w:val="00004472"/>
    <w:rsid w:val="00011008"/>
    <w:rsid w:val="00012B57"/>
    <w:rsid w:val="00014257"/>
    <w:rsid w:val="0001657C"/>
    <w:rsid w:val="00016CA3"/>
    <w:rsid w:val="0001772D"/>
    <w:rsid w:val="00024135"/>
    <w:rsid w:val="00024FD6"/>
    <w:rsid w:val="000260A1"/>
    <w:rsid w:val="00027577"/>
    <w:rsid w:val="00027C72"/>
    <w:rsid w:val="00030983"/>
    <w:rsid w:val="00034BAD"/>
    <w:rsid w:val="000353AD"/>
    <w:rsid w:val="00035AF7"/>
    <w:rsid w:val="00037012"/>
    <w:rsid w:val="00040740"/>
    <w:rsid w:val="00043749"/>
    <w:rsid w:val="000444C7"/>
    <w:rsid w:val="00044E45"/>
    <w:rsid w:val="00051E6F"/>
    <w:rsid w:val="0005413A"/>
    <w:rsid w:val="000543C2"/>
    <w:rsid w:val="000556CC"/>
    <w:rsid w:val="00063414"/>
    <w:rsid w:val="0006350B"/>
    <w:rsid w:val="00063A08"/>
    <w:rsid w:val="000655D7"/>
    <w:rsid w:val="0006774F"/>
    <w:rsid w:val="00067C22"/>
    <w:rsid w:val="000735F6"/>
    <w:rsid w:val="00075093"/>
    <w:rsid w:val="00080F12"/>
    <w:rsid w:val="00081EEE"/>
    <w:rsid w:val="00084717"/>
    <w:rsid w:val="00085790"/>
    <w:rsid w:val="00086263"/>
    <w:rsid w:val="00092645"/>
    <w:rsid w:val="000937B9"/>
    <w:rsid w:val="00097445"/>
    <w:rsid w:val="000A0377"/>
    <w:rsid w:val="000A07EE"/>
    <w:rsid w:val="000A32BA"/>
    <w:rsid w:val="000B2639"/>
    <w:rsid w:val="000B4B07"/>
    <w:rsid w:val="000B5BAD"/>
    <w:rsid w:val="000B7244"/>
    <w:rsid w:val="000C1352"/>
    <w:rsid w:val="000C1AFE"/>
    <w:rsid w:val="000C420E"/>
    <w:rsid w:val="000C7950"/>
    <w:rsid w:val="000D271E"/>
    <w:rsid w:val="000D502B"/>
    <w:rsid w:val="000E172D"/>
    <w:rsid w:val="000E38A2"/>
    <w:rsid w:val="000E43A7"/>
    <w:rsid w:val="000E63C1"/>
    <w:rsid w:val="000F0285"/>
    <w:rsid w:val="000F19C6"/>
    <w:rsid w:val="000F242B"/>
    <w:rsid w:val="000F50F0"/>
    <w:rsid w:val="000F5AEB"/>
    <w:rsid w:val="001004DE"/>
    <w:rsid w:val="001011F8"/>
    <w:rsid w:val="0010490A"/>
    <w:rsid w:val="0010551A"/>
    <w:rsid w:val="00107150"/>
    <w:rsid w:val="00113589"/>
    <w:rsid w:val="0011383B"/>
    <w:rsid w:val="001138A3"/>
    <w:rsid w:val="00120139"/>
    <w:rsid w:val="00125C61"/>
    <w:rsid w:val="0013181B"/>
    <w:rsid w:val="0013294E"/>
    <w:rsid w:val="00133F69"/>
    <w:rsid w:val="00135543"/>
    <w:rsid w:val="00140DEB"/>
    <w:rsid w:val="001429D4"/>
    <w:rsid w:val="00142A40"/>
    <w:rsid w:val="00142F68"/>
    <w:rsid w:val="00143848"/>
    <w:rsid w:val="00144688"/>
    <w:rsid w:val="00145588"/>
    <w:rsid w:val="001457E6"/>
    <w:rsid w:val="00163EF9"/>
    <w:rsid w:val="00164DD4"/>
    <w:rsid w:val="00165401"/>
    <w:rsid w:val="00165DBF"/>
    <w:rsid w:val="00170798"/>
    <w:rsid w:val="00171A45"/>
    <w:rsid w:val="0017539D"/>
    <w:rsid w:val="00181AFE"/>
    <w:rsid w:val="00182789"/>
    <w:rsid w:val="00184501"/>
    <w:rsid w:val="00184E44"/>
    <w:rsid w:val="00186B90"/>
    <w:rsid w:val="00193BED"/>
    <w:rsid w:val="00194F95"/>
    <w:rsid w:val="00196D97"/>
    <w:rsid w:val="001A3D15"/>
    <w:rsid w:val="001B375F"/>
    <w:rsid w:val="001B3B51"/>
    <w:rsid w:val="001B6CDB"/>
    <w:rsid w:val="001C0329"/>
    <w:rsid w:val="001D13C4"/>
    <w:rsid w:val="001D284F"/>
    <w:rsid w:val="001D4734"/>
    <w:rsid w:val="001D6461"/>
    <w:rsid w:val="001D6F77"/>
    <w:rsid w:val="001D782F"/>
    <w:rsid w:val="001E225F"/>
    <w:rsid w:val="001E3CFF"/>
    <w:rsid w:val="001F091E"/>
    <w:rsid w:val="001F257A"/>
    <w:rsid w:val="001F5FDF"/>
    <w:rsid w:val="001F67F1"/>
    <w:rsid w:val="00201BB6"/>
    <w:rsid w:val="00203B61"/>
    <w:rsid w:val="002048D2"/>
    <w:rsid w:val="0020745E"/>
    <w:rsid w:val="002165B3"/>
    <w:rsid w:val="00216BBF"/>
    <w:rsid w:val="00221241"/>
    <w:rsid w:val="00224321"/>
    <w:rsid w:val="00233C3B"/>
    <w:rsid w:val="002404F1"/>
    <w:rsid w:val="002417DD"/>
    <w:rsid w:val="0024273C"/>
    <w:rsid w:val="00243F85"/>
    <w:rsid w:val="00250DDA"/>
    <w:rsid w:val="00251910"/>
    <w:rsid w:val="00252CD3"/>
    <w:rsid w:val="002561F8"/>
    <w:rsid w:val="00257672"/>
    <w:rsid w:val="00257BEF"/>
    <w:rsid w:val="0026083E"/>
    <w:rsid w:val="002612B6"/>
    <w:rsid w:val="00266C1E"/>
    <w:rsid w:val="00267840"/>
    <w:rsid w:val="00273024"/>
    <w:rsid w:val="002761D3"/>
    <w:rsid w:val="00280591"/>
    <w:rsid w:val="00280F7F"/>
    <w:rsid w:val="00281B79"/>
    <w:rsid w:val="00283E7A"/>
    <w:rsid w:val="00287086"/>
    <w:rsid w:val="002927C1"/>
    <w:rsid w:val="0029304F"/>
    <w:rsid w:val="002941E9"/>
    <w:rsid w:val="002975A3"/>
    <w:rsid w:val="00297805"/>
    <w:rsid w:val="002A0235"/>
    <w:rsid w:val="002A159C"/>
    <w:rsid w:val="002A62B7"/>
    <w:rsid w:val="002B3559"/>
    <w:rsid w:val="002B3D4B"/>
    <w:rsid w:val="002B75A2"/>
    <w:rsid w:val="002C16C5"/>
    <w:rsid w:val="002C4DBD"/>
    <w:rsid w:val="002E105F"/>
    <w:rsid w:val="002E1B71"/>
    <w:rsid w:val="002E3BAE"/>
    <w:rsid w:val="002E4B9C"/>
    <w:rsid w:val="002E5F08"/>
    <w:rsid w:val="002E6EBA"/>
    <w:rsid w:val="002F5954"/>
    <w:rsid w:val="002F5ADC"/>
    <w:rsid w:val="002F68D0"/>
    <w:rsid w:val="002F74CE"/>
    <w:rsid w:val="003010E5"/>
    <w:rsid w:val="00304D1B"/>
    <w:rsid w:val="00305989"/>
    <w:rsid w:val="00307F71"/>
    <w:rsid w:val="00310203"/>
    <w:rsid w:val="00310DAB"/>
    <w:rsid w:val="003115E5"/>
    <w:rsid w:val="00311E17"/>
    <w:rsid w:val="00312650"/>
    <w:rsid w:val="00312B67"/>
    <w:rsid w:val="0031360B"/>
    <w:rsid w:val="003168B0"/>
    <w:rsid w:val="00316988"/>
    <w:rsid w:val="00321738"/>
    <w:rsid w:val="00323911"/>
    <w:rsid w:val="0033173D"/>
    <w:rsid w:val="00331ADB"/>
    <w:rsid w:val="00332530"/>
    <w:rsid w:val="00337340"/>
    <w:rsid w:val="00345E69"/>
    <w:rsid w:val="00346B0D"/>
    <w:rsid w:val="00350B29"/>
    <w:rsid w:val="00351550"/>
    <w:rsid w:val="00351AC2"/>
    <w:rsid w:val="00351B6B"/>
    <w:rsid w:val="003561A7"/>
    <w:rsid w:val="003562C7"/>
    <w:rsid w:val="003614D1"/>
    <w:rsid w:val="00362690"/>
    <w:rsid w:val="003633F6"/>
    <w:rsid w:val="003636AA"/>
    <w:rsid w:val="003637CB"/>
    <w:rsid w:val="00363970"/>
    <w:rsid w:val="00364CD1"/>
    <w:rsid w:val="0036569F"/>
    <w:rsid w:val="00366571"/>
    <w:rsid w:val="003720B5"/>
    <w:rsid w:val="003737C2"/>
    <w:rsid w:val="003754FB"/>
    <w:rsid w:val="0038039F"/>
    <w:rsid w:val="00392AE2"/>
    <w:rsid w:val="003934B7"/>
    <w:rsid w:val="00397050"/>
    <w:rsid w:val="003A016A"/>
    <w:rsid w:val="003A73CC"/>
    <w:rsid w:val="003A7932"/>
    <w:rsid w:val="003B003C"/>
    <w:rsid w:val="003B0219"/>
    <w:rsid w:val="003B2168"/>
    <w:rsid w:val="003B26E2"/>
    <w:rsid w:val="003B40B4"/>
    <w:rsid w:val="003B70DC"/>
    <w:rsid w:val="003C1302"/>
    <w:rsid w:val="003C380D"/>
    <w:rsid w:val="003C4D9A"/>
    <w:rsid w:val="003C5C63"/>
    <w:rsid w:val="003C5CC7"/>
    <w:rsid w:val="003C68A2"/>
    <w:rsid w:val="003D0B58"/>
    <w:rsid w:val="003D0F0C"/>
    <w:rsid w:val="003D1A44"/>
    <w:rsid w:val="003D1CF9"/>
    <w:rsid w:val="003D4673"/>
    <w:rsid w:val="003D694C"/>
    <w:rsid w:val="003D7324"/>
    <w:rsid w:val="003E10A0"/>
    <w:rsid w:val="003E3F8D"/>
    <w:rsid w:val="003F2030"/>
    <w:rsid w:val="003F7917"/>
    <w:rsid w:val="00400574"/>
    <w:rsid w:val="00400B1A"/>
    <w:rsid w:val="004105EA"/>
    <w:rsid w:val="00412EDE"/>
    <w:rsid w:val="004132C5"/>
    <w:rsid w:val="0041344E"/>
    <w:rsid w:val="00415553"/>
    <w:rsid w:val="00421856"/>
    <w:rsid w:val="00421B65"/>
    <w:rsid w:val="00422329"/>
    <w:rsid w:val="00430852"/>
    <w:rsid w:val="00430CE8"/>
    <w:rsid w:val="0043453F"/>
    <w:rsid w:val="00434D98"/>
    <w:rsid w:val="00440295"/>
    <w:rsid w:val="004411FB"/>
    <w:rsid w:val="0044322F"/>
    <w:rsid w:val="00443FE1"/>
    <w:rsid w:val="00451F1D"/>
    <w:rsid w:val="00456A6A"/>
    <w:rsid w:val="00460B88"/>
    <w:rsid w:val="004627AB"/>
    <w:rsid w:val="00462BDC"/>
    <w:rsid w:val="0046331F"/>
    <w:rsid w:val="004701C3"/>
    <w:rsid w:val="00472EA1"/>
    <w:rsid w:val="0047345F"/>
    <w:rsid w:val="00476EE1"/>
    <w:rsid w:val="00477E30"/>
    <w:rsid w:val="00480165"/>
    <w:rsid w:val="00480486"/>
    <w:rsid w:val="00480CA4"/>
    <w:rsid w:val="00482838"/>
    <w:rsid w:val="004864DC"/>
    <w:rsid w:val="0049035C"/>
    <w:rsid w:val="004942DA"/>
    <w:rsid w:val="0049745A"/>
    <w:rsid w:val="004B237D"/>
    <w:rsid w:val="004B4104"/>
    <w:rsid w:val="004B5AB3"/>
    <w:rsid w:val="004C290C"/>
    <w:rsid w:val="004C2BD5"/>
    <w:rsid w:val="004C494D"/>
    <w:rsid w:val="004C6445"/>
    <w:rsid w:val="004C6D71"/>
    <w:rsid w:val="004D020C"/>
    <w:rsid w:val="004D2C11"/>
    <w:rsid w:val="004D35AB"/>
    <w:rsid w:val="004D3FB2"/>
    <w:rsid w:val="004D4AEB"/>
    <w:rsid w:val="004E1303"/>
    <w:rsid w:val="004E2E41"/>
    <w:rsid w:val="004E6EF0"/>
    <w:rsid w:val="004F3C1F"/>
    <w:rsid w:val="004F5E81"/>
    <w:rsid w:val="004F681F"/>
    <w:rsid w:val="004F73D2"/>
    <w:rsid w:val="00500043"/>
    <w:rsid w:val="00500138"/>
    <w:rsid w:val="005040B2"/>
    <w:rsid w:val="005066CB"/>
    <w:rsid w:val="0051094B"/>
    <w:rsid w:val="0051271F"/>
    <w:rsid w:val="005128C5"/>
    <w:rsid w:val="005155F6"/>
    <w:rsid w:val="00525A50"/>
    <w:rsid w:val="0052723B"/>
    <w:rsid w:val="005335AF"/>
    <w:rsid w:val="00533DCB"/>
    <w:rsid w:val="00536F33"/>
    <w:rsid w:val="005372DB"/>
    <w:rsid w:val="005374A3"/>
    <w:rsid w:val="00543686"/>
    <w:rsid w:val="00544267"/>
    <w:rsid w:val="005476BF"/>
    <w:rsid w:val="00550703"/>
    <w:rsid w:val="00552996"/>
    <w:rsid w:val="00553A03"/>
    <w:rsid w:val="00564F2F"/>
    <w:rsid w:val="00571E10"/>
    <w:rsid w:val="0057212B"/>
    <w:rsid w:val="005855F0"/>
    <w:rsid w:val="00587866"/>
    <w:rsid w:val="0059009C"/>
    <w:rsid w:val="00592926"/>
    <w:rsid w:val="005B1479"/>
    <w:rsid w:val="005B1E28"/>
    <w:rsid w:val="005B2882"/>
    <w:rsid w:val="005B34C4"/>
    <w:rsid w:val="005B4E20"/>
    <w:rsid w:val="005B5BD6"/>
    <w:rsid w:val="005B6E70"/>
    <w:rsid w:val="005C5A18"/>
    <w:rsid w:val="005C5F01"/>
    <w:rsid w:val="005D09DB"/>
    <w:rsid w:val="005D16FE"/>
    <w:rsid w:val="005D21DA"/>
    <w:rsid w:val="005E48DF"/>
    <w:rsid w:val="005E66DD"/>
    <w:rsid w:val="005E6BC2"/>
    <w:rsid w:val="005F17E1"/>
    <w:rsid w:val="005F1C2F"/>
    <w:rsid w:val="005F4FB6"/>
    <w:rsid w:val="005F7341"/>
    <w:rsid w:val="00600C1D"/>
    <w:rsid w:val="00603516"/>
    <w:rsid w:val="006113CD"/>
    <w:rsid w:val="006148B8"/>
    <w:rsid w:val="006217F4"/>
    <w:rsid w:val="0062232D"/>
    <w:rsid w:val="00623B9D"/>
    <w:rsid w:val="00623FEB"/>
    <w:rsid w:val="00625B95"/>
    <w:rsid w:val="00626F85"/>
    <w:rsid w:val="00634619"/>
    <w:rsid w:val="00634676"/>
    <w:rsid w:val="00645991"/>
    <w:rsid w:val="00645B2F"/>
    <w:rsid w:val="00646B4D"/>
    <w:rsid w:val="00653A4C"/>
    <w:rsid w:val="006615A9"/>
    <w:rsid w:val="00663329"/>
    <w:rsid w:val="00665A1B"/>
    <w:rsid w:val="00665BAD"/>
    <w:rsid w:val="00674918"/>
    <w:rsid w:val="00675ACA"/>
    <w:rsid w:val="00675C13"/>
    <w:rsid w:val="00675E8B"/>
    <w:rsid w:val="00676017"/>
    <w:rsid w:val="00680C48"/>
    <w:rsid w:val="00681DA6"/>
    <w:rsid w:val="0068213F"/>
    <w:rsid w:val="00682D6F"/>
    <w:rsid w:val="006857CE"/>
    <w:rsid w:val="006916AD"/>
    <w:rsid w:val="00692E98"/>
    <w:rsid w:val="0069315D"/>
    <w:rsid w:val="00693755"/>
    <w:rsid w:val="0069491A"/>
    <w:rsid w:val="006963FF"/>
    <w:rsid w:val="006A154A"/>
    <w:rsid w:val="006A5997"/>
    <w:rsid w:val="006B0692"/>
    <w:rsid w:val="006B089F"/>
    <w:rsid w:val="006B3FD5"/>
    <w:rsid w:val="006B409E"/>
    <w:rsid w:val="006B42D8"/>
    <w:rsid w:val="006B463C"/>
    <w:rsid w:val="006C4472"/>
    <w:rsid w:val="006D0387"/>
    <w:rsid w:val="006D0B22"/>
    <w:rsid w:val="006D1A1E"/>
    <w:rsid w:val="006D2283"/>
    <w:rsid w:val="006D4630"/>
    <w:rsid w:val="006E043D"/>
    <w:rsid w:val="006E05BE"/>
    <w:rsid w:val="006E2AB8"/>
    <w:rsid w:val="006E2DA1"/>
    <w:rsid w:val="006E4A51"/>
    <w:rsid w:val="006E531A"/>
    <w:rsid w:val="006E628B"/>
    <w:rsid w:val="006E7EA6"/>
    <w:rsid w:val="006F02AD"/>
    <w:rsid w:val="006F10E8"/>
    <w:rsid w:val="006F202A"/>
    <w:rsid w:val="006F5F0F"/>
    <w:rsid w:val="0070223D"/>
    <w:rsid w:val="00702588"/>
    <w:rsid w:val="00706ED4"/>
    <w:rsid w:val="007070E4"/>
    <w:rsid w:val="007116EA"/>
    <w:rsid w:val="00712971"/>
    <w:rsid w:val="00712FA2"/>
    <w:rsid w:val="00715EF0"/>
    <w:rsid w:val="0071794A"/>
    <w:rsid w:val="0072510E"/>
    <w:rsid w:val="007300EA"/>
    <w:rsid w:val="0073618B"/>
    <w:rsid w:val="00740490"/>
    <w:rsid w:val="00741544"/>
    <w:rsid w:val="00742CD1"/>
    <w:rsid w:val="00742F73"/>
    <w:rsid w:val="00743735"/>
    <w:rsid w:val="00743F6F"/>
    <w:rsid w:val="00745022"/>
    <w:rsid w:val="00746B76"/>
    <w:rsid w:val="00752818"/>
    <w:rsid w:val="00752AAC"/>
    <w:rsid w:val="00754BF0"/>
    <w:rsid w:val="007555FB"/>
    <w:rsid w:val="00757F75"/>
    <w:rsid w:val="007612A5"/>
    <w:rsid w:val="0076762C"/>
    <w:rsid w:val="007678F7"/>
    <w:rsid w:val="00770940"/>
    <w:rsid w:val="007715A7"/>
    <w:rsid w:val="00773702"/>
    <w:rsid w:val="0077558E"/>
    <w:rsid w:val="0077607C"/>
    <w:rsid w:val="00776349"/>
    <w:rsid w:val="007800E6"/>
    <w:rsid w:val="00780DBE"/>
    <w:rsid w:val="00780EBA"/>
    <w:rsid w:val="0078143C"/>
    <w:rsid w:val="00784982"/>
    <w:rsid w:val="007878F2"/>
    <w:rsid w:val="00791879"/>
    <w:rsid w:val="00797708"/>
    <w:rsid w:val="0079782D"/>
    <w:rsid w:val="007A1635"/>
    <w:rsid w:val="007B0042"/>
    <w:rsid w:val="007B0BD8"/>
    <w:rsid w:val="007B6BC5"/>
    <w:rsid w:val="007C4027"/>
    <w:rsid w:val="007C4C70"/>
    <w:rsid w:val="007C5C31"/>
    <w:rsid w:val="007C5C89"/>
    <w:rsid w:val="007C5E88"/>
    <w:rsid w:val="007C717F"/>
    <w:rsid w:val="007D0DFB"/>
    <w:rsid w:val="007D3A72"/>
    <w:rsid w:val="007D4013"/>
    <w:rsid w:val="007D47E3"/>
    <w:rsid w:val="007D489D"/>
    <w:rsid w:val="007E044E"/>
    <w:rsid w:val="007E53D9"/>
    <w:rsid w:val="007F0A1D"/>
    <w:rsid w:val="007F2515"/>
    <w:rsid w:val="007F7C47"/>
    <w:rsid w:val="007F7D00"/>
    <w:rsid w:val="008004A7"/>
    <w:rsid w:val="008009F3"/>
    <w:rsid w:val="0080306F"/>
    <w:rsid w:val="00804899"/>
    <w:rsid w:val="00804B1C"/>
    <w:rsid w:val="00812ACA"/>
    <w:rsid w:val="008145D2"/>
    <w:rsid w:val="0081519C"/>
    <w:rsid w:val="00835208"/>
    <w:rsid w:val="008365DA"/>
    <w:rsid w:val="008374B9"/>
    <w:rsid w:val="0083750C"/>
    <w:rsid w:val="00837AC7"/>
    <w:rsid w:val="008426EA"/>
    <w:rsid w:val="00843E97"/>
    <w:rsid w:val="00850290"/>
    <w:rsid w:val="00850A1C"/>
    <w:rsid w:val="008524F2"/>
    <w:rsid w:val="0085261F"/>
    <w:rsid w:val="00855459"/>
    <w:rsid w:val="00855C4C"/>
    <w:rsid w:val="00860AA9"/>
    <w:rsid w:val="00864176"/>
    <w:rsid w:val="00865B27"/>
    <w:rsid w:val="0087101F"/>
    <w:rsid w:val="00871897"/>
    <w:rsid w:val="00874346"/>
    <w:rsid w:val="00885D73"/>
    <w:rsid w:val="00890AAF"/>
    <w:rsid w:val="00892D20"/>
    <w:rsid w:val="00893C7D"/>
    <w:rsid w:val="008A6250"/>
    <w:rsid w:val="008A6268"/>
    <w:rsid w:val="008A7A77"/>
    <w:rsid w:val="008B0B94"/>
    <w:rsid w:val="008B24DB"/>
    <w:rsid w:val="008C2534"/>
    <w:rsid w:val="008C4B35"/>
    <w:rsid w:val="008C4C76"/>
    <w:rsid w:val="008C6641"/>
    <w:rsid w:val="008C7296"/>
    <w:rsid w:val="008D138C"/>
    <w:rsid w:val="008D50B6"/>
    <w:rsid w:val="008D748E"/>
    <w:rsid w:val="008D7ACA"/>
    <w:rsid w:val="008E0C60"/>
    <w:rsid w:val="008E2FDE"/>
    <w:rsid w:val="008E4A38"/>
    <w:rsid w:val="008E4E9D"/>
    <w:rsid w:val="008E61BC"/>
    <w:rsid w:val="008E6DF6"/>
    <w:rsid w:val="008F31A5"/>
    <w:rsid w:val="008F4AF8"/>
    <w:rsid w:val="008F5AA1"/>
    <w:rsid w:val="008F665A"/>
    <w:rsid w:val="008F7EC5"/>
    <w:rsid w:val="00903D51"/>
    <w:rsid w:val="0090609D"/>
    <w:rsid w:val="0090742D"/>
    <w:rsid w:val="009137A1"/>
    <w:rsid w:val="00920202"/>
    <w:rsid w:val="00924766"/>
    <w:rsid w:val="009251C6"/>
    <w:rsid w:val="00927193"/>
    <w:rsid w:val="00927913"/>
    <w:rsid w:val="00927942"/>
    <w:rsid w:val="00933290"/>
    <w:rsid w:val="009349B3"/>
    <w:rsid w:val="00934B9A"/>
    <w:rsid w:val="00935089"/>
    <w:rsid w:val="009352C5"/>
    <w:rsid w:val="00936041"/>
    <w:rsid w:val="0093641A"/>
    <w:rsid w:val="009366FC"/>
    <w:rsid w:val="00945403"/>
    <w:rsid w:val="0094623A"/>
    <w:rsid w:val="00951879"/>
    <w:rsid w:val="00951DFF"/>
    <w:rsid w:val="009528ED"/>
    <w:rsid w:val="00953268"/>
    <w:rsid w:val="009550EE"/>
    <w:rsid w:val="00960C68"/>
    <w:rsid w:val="00966C59"/>
    <w:rsid w:val="0097103A"/>
    <w:rsid w:val="009712C4"/>
    <w:rsid w:val="009721EA"/>
    <w:rsid w:val="0097473E"/>
    <w:rsid w:val="00977897"/>
    <w:rsid w:val="00985089"/>
    <w:rsid w:val="0098606A"/>
    <w:rsid w:val="0098676B"/>
    <w:rsid w:val="00986D89"/>
    <w:rsid w:val="00987C87"/>
    <w:rsid w:val="009905F7"/>
    <w:rsid w:val="00990F20"/>
    <w:rsid w:val="0099106B"/>
    <w:rsid w:val="00992245"/>
    <w:rsid w:val="00993C0E"/>
    <w:rsid w:val="00993CD6"/>
    <w:rsid w:val="00996342"/>
    <w:rsid w:val="009971FC"/>
    <w:rsid w:val="009A00F1"/>
    <w:rsid w:val="009B37F2"/>
    <w:rsid w:val="009B566E"/>
    <w:rsid w:val="009B5D27"/>
    <w:rsid w:val="009C3C39"/>
    <w:rsid w:val="009C68BF"/>
    <w:rsid w:val="009E36F6"/>
    <w:rsid w:val="009E4878"/>
    <w:rsid w:val="009E6F0B"/>
    <w:rsid w:val="009E77E7"/>
    <w:rsid w:val="009F113F"/>
    <w:rsid w:val="009F1F52"/>
    <w:rsid w:val="009F791A"/>
    <w:rsid w:val="009F7FCE"/>
    <w:rsid w:val="00A05985"/>
    <w:rsid w:val="00A05A53"/>
    <w:rsid w:val="00A153C7"/>
    <w:rsid w:val="00A2582F"/>
    <w:rsid w:val="00A308CE"/>
    <w:rsid w:val="00A335B4"/>
    <w:rsid w:val="00A344B4"/>
    <w:rsid w:val="00A44A8A"/>
    <w:rsid w:val="00A471CF"/>
    <w:rsid w:val="00A5166E"/>
    <w:rsid w:val="00A566E3"/>
    <w:rsid w:val="00A56C22"/>
    <w:rsid w:val="00A575B0"/>
    <w:rsid w:val="00A57966"/>
    <w:rsid w:val="00A6050D"/>
    <w:rsid w:val="00A62D68"/>
    <w:rsid w:val="00A7020B"/>
    <w:rsid w:val="00A77BCF"/>
    <w:rsid w:val="00A80C7F"/>
    <w:rsid w:val="00A819A5"/>
    <w:rsid w:val="00A82ACA"/>
    <w:rsid w:val="00A83AD0"/>
    <w:rsid w:val="00A85486"/>
    <w:rsid w:val="00A874E7"/>
    <w:rsid w:val="00A90E9E"/>
    <w:rsid w:val="00A91F13"/>
    <w:rsid w:val="00A92C21"/>
    <w:rsid w:val="00A93B41"/>
    <w:rsid w:val="00A969D0"/>
    <w:rsid w:val="00AA00A2"/>
    <w:rsid w:val="00AA2F38"/>
    <w:rsid w:val="00AA3D50"/>
    <w:rsid w:val="00AA4C21"/>
    <w:rsid w:val="00AB2450"/>
    <w:rsid w:val="00AB3C7D"/>
    <w:rsid w:val="00AB7EBD"/>
    <w:rsid w:val="00AC34C2"/>
    <w:rsid w:val="00AC5224"/>
    <w:rsid w:val="00AD14E3"/>
    <w:rsid w:val="00AD1605"/>
    <w:rsid w:val="00AD4807"/>
    <w:rsid w:val="00AD7DF3"/>
    <w:rsid w:val="00AE245C"/>
    <w:rsid w:val="00AE41C2"/>
    <w:rsid w:val="00AF263E"/>
    <w:rsid w:val="00AF4843"/>
    <w:rsid w:val="00AF771B"/>
    <w:rsid w:val="00B0079C"/>
    <w:rsid w:val="00B1116F"/>
    <w:rsid w:val="00B13FE4"/>
    <w:rsid w:val="00B16DEA"/>
    <w:rsid w:val="00B20255"/>
    <w:rsid w:val="00B21B1A"/>
    <w:rsid w:val="00B33686"/>
    <w:rsid w:val="00B36A96"/>
    <w:rsid w:val="00B37EB9"/>
    <w:rsid w:val="00B4174F"/>
    <w:rsid w:val="00B44E51"/>
    <w:rsid w:val="00B4611C"/>
    <w:rsid w:val="00B50C04"/>
    <w:rsid w:val="00B51FAF"/>
    <w:rsid w:val="00B52230"/>
    <w:rsid w:val="00B52AA8"/>
    <w:rsid w:val="00B5443F"/>
    <w:rsid w:val="00B55698"/>
    <w:rsid w:val="00B61C41"/>
    <w:rsid w:val="00B623E1"/>
    <w:rsid w:val="00B642F2"/>
    <w:rsid w:val="00B6653F"/>
    <w:rsid w:val="00B67F0E"/>
    <w:rsid w:val="00B73129"/>
    <w:rsid w:val="00B73492"/>
    <w:rsid w:val="00B7606D"/>
    <w:rsid w:val="00B76409"/>
    <w:rsid w:val="00B76740"/>
    <w:rsid w:val="00B80EEA"/>
    <w:rsid w:val="00B85744"/>
    <w:rsid w:val="00B85BD4"/>
    <w:rsid w:val="00B9067C"/>
    <w:rsid w:val="00B9317A"/>
    <w:rsid w:val="00B9652D"/>
    <w:rsid w:val="00B978EF"/>
    <w:rsid w:val="00B97ED5"/>
    <w:rsid w:val="00BC0034"/>
    <w:rsid w:val="00BC28CF"/>
    <w:rsid w:val="00BD346E"/>
    <w:rsid w:val="00BD4A03"/>
    <w:rsid w:val="00BD7550"/>
    <w:rsid w:val="00BE249F"/>
    <w:rsid w:val="00BE4BE5"/>
    <w:rsid w:val="00BE6A8E"/>
    <w:rsid w:val="00BF0B76"/>
    <w:rsid w:val="00BF38E9"/>
    <w:rsid w:val="00BF4322"/>
    <w:rsid w:val="00BF6040"/>
    <w:rsid w:val="00BF67DD"/>
    <w:rsid w:val="00BF6F9B"/>
    <w:rsid w:val="00BF737B"/>
    <w:rsid w:val="00C03BF4"/>
    <w:rsid w:val="00C06EFF"/>
    <w:rsid w:val="00C07B26"/>
    <w:rsid w:val="00C1244B"/>
    <w:rsid w:val="00C13205"/>
    <w:rsid w:val="00C15F3A"/>
    <w:rsid w:val="00C20753"/>
    <w:rsid w:val="00C21AAF"/>
    <w:rsid w:val="00C37936"/>
    <w:rsid w:val="00C403CC"/>
    <w:rsid w:val="00C40FC8"/>
    <w:rsid w:val="00C44520"/>
    <w:rsid w:val="00C45536"/>
    <w:rsid w:val="00C45E99"/>
    <w:rsid w:val="00C4637B"/>
    <w:rsid w:val="00C4681C"/>
    <w:rsid w:val="00C51D29"/>
    <w:rsid w:val="00C561CF"/>
    <w:rsid w:val="00C65247"/>
    <w:rsid w:val="00C70C50"/>
    <w:rsid w:val="00C716C0"/>
    <w:rsid w:val="00C8403B"/>
    <w:rsid w:val="00C854CE"/>
    <w:rsid w:val="00C85593"/>
    <w:rsid w:val="00C86DEA"/>
    <w:rsid w:val="00C86E90"/>
    <w:rsid w:val="00C920F4"/>
    <w:rsid w:val="00CA1D96"/>
    <w:rsid w:val="00CA5CFA"/>
    <w:rsid w:val="00CB0DBE"/>
    <w:rsid w:val="00CB10BC"/>
    <w:rsid w:val="00CB125A"/>
    <w:rsid w:val="00CB1D3C"/>
    <w:rsid w:val="00CB3540"/>
    <w:rsid w:val="00CB6732"/>
    <w:rsid w:val="00CB7830"/>
    <w:rsid w:val="00CC01FF"/>
    <w:rsid w:val="00CC43F6"/>
    <w:rsid w:val="00CC4D91"/>
    <w:rsid w:val="00CC65C1"/>
    <w:rsid w:val="00CD0A7F"/>
    <w:rsid w:val="00CD118E"/>
    <w:rsid w:val="00CE038C"/>
    <w:rsid w:val="00CE11D2"/>
    <w:rsid w:val="00CE1CEC"/>
    <w:rsid w:val="00CE21CE"/>
    <w:rsid w:val="00CE2FEF"/>
    <w:rsid w:val="00CF7A53"/>
    <w:rsid w:val="00D02CF4"/>
    <w:rsid w:val="00D03EDD"/>
    <w:rsid w:val="00D17DC1"/>
    <w:rsid w:val="00D205DF"/>
    <w:rsid w:val="00D20DC1"/>
    <w:rsid w:val="00D2297A"/>
    <w:rsid w:val="00D23943"/>
    <w:rsid w:val="00D2514B"/>
    <w:rsid w:val="00D253D7"/>
    <w:rsid w:val="00D255AD"/>
    <w:rsid w:val="00D25F89"/>
    <w:rsid w:val="00D26436"/>
    <w:rsid w:val="00D31FFC"/>
    <w:rsid w:val="00D32C98"/>
    <w:rsid w:val="00D471D2"/>
    <w:rsid w:val="00D47674"/>
    <w:rsid w:val="00D5133D"/>
    <w:rsid w:val="00D544CC"/>
    <w:rsid w:val="00D62F6E"/>
    <w:rsid w:val="00D6575A"/>
    <w:rsid w:val="00D76439"/>
    <w:rsid w:val="00D77BF7"/>
    <w:rsid w:val="00D82943"/>
    <w:rsid w:val="00D85DCA"/>
    <w:rsid w:val="00D871F4"/>
    <w:rsid w:val="00D92342"/>
    <w:rsid w:val="00D95544"/>
    <w:rsid w:val="00DA1C24"/>
    <w:rsid w:val="00DA36FD"/>
    <w:rsid w:val="00DA667F"/>
    <w:rsid w:val="00DB391C"/>
    <w:rsid w:val="00DC42AB"/>
    <w:rsid w:val="00DC51BD"/>
    <w:rsid w:val="00DC5DD7"/>
    <w:rsid w:val="00DC6614"/>
    <w:rsid w:val="00DC6812"/>
    <w:rsid w:val="00DD1347"/>
    <w:rsid w:val="00DD7E4E"/>
    <w:rsid w:val="00DE35EC"/>
    <w:rsid w:val="00DF3027"/>
    <w:rsid w:val="00DF3FA8"/>
    <w:rsid w:val="00DF44F0"/>
    <w:rsid w:val="00DF452D"/>
    <w:rsid w:val="00DF7C2F"/>
    <w:rsid w:val="00E001C8"/>
    <w:rsid w:val="00E0748C"/>
    <w:rsid w:val="00E12B8F"/>
    <w:rsid w:val="00E173C3"/>
    <w:rsid w:val="00E210F3"/>
    <w:rsid w:val="00E2140A"/>
    <w:rsid w:val="00E24C0A"/>
    <w:rsid w:val="00E25295"/>
    <w:rsid w:val="00E30906"/>
    <w:rsid w:val="00E309FB"/>
    <w:rsid w:val="00E34B85"/>
    <w:rsid w:val="00E351F2"/>
    <w:rsid w:val="00E35CA2"/>
    <w:rsid w:val="00E41873"/>
    <w:rsid w:val="00E43696"/>
    <w:rsid w:val="00E44951"/>
    <w:rsid w:val="00E46771"/>
    <w:rsid w:val="00E51123"/>
    <w:rsid w:val="00E5228F"/>
    <w:rsid w:val="00E5649E"/>
    <w:rsid w:val="00E56D4D"/>
    <w:rsid w:val="00E56EC6"/>
    <w:rsid w:val="00E627A1"/>
    <w:rsid w:val="00E6284A"/>
    <w:rsid w:val="00E670A7"/>
    <w:rsid w:val="00E676C8"/>
    <w:rsid w:val="00E7082E"/>
    <w:rsid w:val="00E70E70"/>
    <w:rsid w:val="00E77ED9"/>
    <w:rsid w:val="00E80E2B"/>
    <w:rsid w:val="00E87D31"/>
    <w:rsid w:val="00E9334C"/>
    <w:rsid w:val="00E9429F"/>
    <w:rsid w:val="00E96337"/>
    <w:rsid w:val="00E96AC5"/>
    <w:rsid w:val="00EA0F4C"/>
    <w:rsid w:val="00EA187B"/>
    <w:rsid w:val="00EA28F8"/>
    <w:rsid w:val="00EA377C"/>
    <w:rsid w:val="00EA3D02"/>
    <w:rsid w:val="00EA4C54"/>
    <w:rsid w:val="00EB1157"/>
    <w:rsid w:val="00EB2D09"/>
    <w:rsid w:val="00EB33F4"/>
    <w:rsid w:val="00EB44AB"/>
    <w:rsid w:val="00EB7057"/>
    <w:rsid w:val="00EB75A4"/>
    <w:rsid w:val="00EC12FD"/>
    <w:rsid w:val="00EC670E"/>
    <w:rsid w:val="00EC6765"/>
    <w:rsid w:val="00ED1BA8"/>
    <w:rsid w:val="00ED2F29"/>
    <w:rsid w:val="00ED35BE"/>
    <w:rsid w:val="00ED3A9B"/>
    <w:rsid w:val="00ED4386"/>
    <w:rsid w:val="00ED4A44"/>
    <w:rsid w:val="00ED6729"/>
    <w:rsid w:val="00EE077A"/>
    <w:rsid w:val="00EE278C"/>
    <w:rsid w:val="00EE7484"/>
    <w:rsid w:val="00EF00CD"/>
    <w:rsid w:val="00EF3A94"/>
    <w:rsid w:val="00EF3B2A"/>
    <w:rsid w:val="00EF4678"/>
    <w:rsid w:val="00EF7081"/>
    <w:rsid w:val="00F00BF1"/>
    <w:rsid w:val="00F01E08"/>
    <w:rsid w:val="00F030AA"/>
    <w:rsid w:val="00F050CB"/>
    <w:rsid w:val="00F0675E"/>
    <w:rsid w:val="00F073A9"/>
    <w:rsid w:val="00F07A66"/>
    <w:rsid w:val="00F201C6"/>
    <w:rsid w:val="00F204D1"/>
    <w:rsid w:val="00F207D3"/>
    <w:rsid w:val="00F21AA8"/>
    <w:rsid w:val="00F259F1"/>
    <w:rsid w:val="00F2778B"/>
    <w:rsid w:val="00F31C7C"/>
    <w:rsid w:val="00F32FD5"/>
    <w:rsid w:val="00F34EDA"/>
    <w:rsid w:val="00F3514C"/>
    <w:rsid w:val="00F35DE3"/>
    <w:rsid w:val="00F37BD9"/>
    <w:rsid w:val="00F41183"/>
    <w:rsid w:val="00F41DBB"/>
    <w:rsid w:val="00F43521"/>
    <w:rsid w:val="00F46321"/>
    <w:rsid w:val="00F51543"/>
    <w:rsid w:val="00F51EF4"/>
    <w:rsid w:val="00F5430F"/>
    <w:rsid w:val="00F56148"/>
    <w:rsid w:val="00F56949"/>
    <w:rsid w:val="00F60C82"/>
    <w:rsid w:val="00F63244"/>
    <w:rsid w:val="00F65AD5"/>
    <w:rsid w:val="00F7133F"/>
    <w:rsid w:val="00F713CA"/>
    <w:rsid w:val="00F73A05"/>
    <w:rsid w:val="00F75B77"/>
    <w:rsid w:val="00F77F5C"/>
    <w:rsid w:val="00F80A0C"/>
    <w:rsid w:val="00F80A8F"/>
    <w:rsid w:val="00F814B1"/>
    <w:rsid w:val="00F824B6"/>
    <w:rsid w:val="00F8572E"/>
    <w:rsid w:val="00F92A2D"/>
    <w:rsid w:val="00F96525"/>
    <w:rsid w:val="00F96A2A"/>
    <w:rsid w:val="00FA00A3"/>
    <w:rsid w:val="00FA432F"/>
    <w:rsid w:val="00FA463F"/>
    <w:rsid w:val="00FA4ED2"/>
    <w:rsid w:val="00FB08D2"/>
    <w:rsid w:val="00FB1B93"/>
    <w:rsid w:val="00FC2F82"/>
    <w:rsid w:val="00FC3CF7"/>
    <w:rsid w:val="00FD2E56"/>
    <w:rsid w:val="00FD3A42"/>
    <w:rsid w:val="00FD3BFA"/>
    <w:rsid w:val="00FD5149"/>
    <w:rsid w:val="00FD60A4"/>
    <w:rsid w:val="00FE1D89"/>
    <w:rsid w:val="00FE272D"/>
    <w:rsid w:val="00FE7F8F"/>
    <w:rsid w:val="00FF16B0"/>
    <w:rsid w:val="00FF38F2"/>
    <w:rsid w:val="00FF6696"/>
    <w:rsid w:val="00FF7683"/>
    <w:rsid w:val="00FF7914"/>
    <w:rsid w:val="0105534D"/>
    <w:rsid w:val="010E3C37"/>
    <w:rsid w:val="01131879"/>
    <w:rsid w:val="01176EA7"/>
    <w:rsid w:val="011B0745"/>
    <w:rsid w:val="011C3724"/>
    <w:rsid w:val="012670EA"/>
    <w:rsid w:val="01282E62"/>
    <w:rsid w:val="01396E1E"/>
    <w:rsid w:val="013B0DE8"/>
    <w:rsid w:val="013B4944"/>
    <w:rsid w:val="013E4434"/>
    <w:rsid w:val="01415CD2"/>
    <w:rsid w:val="01421910"/>
    <w:rsid w:val="01422176"/>
    <w:rsid w:val="01434018"/>
    <w:rsid w:val="01464A94"/>
    <w:rsid w:val="0146635B"/>
    <w:rsid w:val="014A13F3"/>
    <w:rsid w:val="014A2DD9"/>
    <w:rsid w:val="015123B9"/>
    <w:rsid w:val="01521ABD"/>
    <w:rsid w:val="0165305B"/>
    <w:rsid w:val="01687703"/>
    <w:rsid w:val="016D12C7"/>
    <w:rsid w:val="01703053"/>
    <w:rsid w:val="017240DE"/>
    <w:rsid w:val="0176597C"/>
    <w:rsid w:val="01785B98"/>
    <w:rsid w:val="017C414C"/>
    <w:rsid w:val="01867DAB"/>
    <w:rsid w:val="018A7679"/>
    <w:rsid w:val="018B1BF8"/>
    <w:rsid w:val="018F2EE2"/>
    <w:rsid w:val="01921ACD"/>
    <w:rsid w:val="01973B44"/>
    <w:rsid w:val="01973CA6"/>
    <w:rsid w:val="01980129"/>
    <w:rsid w:val="019D55FE"/>
    <w:rsid w:val="019F1377"/>
    <w:rsid w:val="01B35B8E"/>
    <w:rsid w:val="01B702E1"/>
    <w:rsid w:val="01BD35AB"/>
    <w:rsid w:val="01BE43C5"/>
    <w:rsid w:val="01BF5575"/>
    <w:rsid w:val="01C0753F"/>
    <w:rsid w:val="01C26E13"/>
    <w:rsid w:val="01C278D8"/>
    <w:rsid w:val="01C40DDD"/>
    <w:rsid w:val="01C460AB"/>
    <w:rsid w:val="01C5380A"/>
    <w:rsid w:val="01CE0DBD"/>
    <w:rsid w:val="01D34B7C"/>
    <w:rsid w:val="01DB4666"/>
    <w:rsid w:val="01DD1E9F"/>
    <w:rsid w:val="01DD7367"/>
    <w:rsid w:val="01DE4120"/>
    <w:rsid w:val="01DE6936"/>
    <w:rsid w:val="01EA0118"/>
    <w:rsid w:val="01EC6DCD"/>
    <w:rsid w:val="01EF572E"/>
    <w:rsid w:val="01EF722C"/>
    <w:rsid w:val="01F125D8"/>
    <w:rsid w:val="01F176F8"/>
    <w:rsid w:val="01F27108"/>
    <w:rsid w:val="01F47C63"/>
    <w:rsid w:val="01F50B3C"/>
    <w:rsid w:val="01FA60E0"/>
    <w:rsid w:val="01FA65AD"/>
    <w:rsid w:val="01FD19C1"/>
    <w:rsid w:val="02007B45"/>
    <w:rsid w:val="020470DB"/>
    <w:rsid w:val="020F6097"/>
    <w:rsid w:val="02181381"/>
    <w:rsid w:val="022655F4"/>
    <w:rsid w:val="02274EC8"/>
    <w:rsid w:val="022814E6"/>
    <w:rsid w:val="022E1CC2"/>
    <w:rsid w:val="022E6257"/>
    <w:rsid w:val="022F04D5"/>
    <w:rsid w:val="02305A50"/>
    <w:rsid w:val="023113AC"/>
    <w:rsid w:val="02467A44"/>
    <w:rsid w:val="024B4E52"/>
    <w:rsid w:val="024B5A70"/>
    <w:rsid w:val="024C276D"/>
    <w:rsid w:val="02500680"/>
    <w:rsid w:val="02593A38"/>
    <w:rsid w:val="026547FF"/>
    <w:rsid w:val="02704AC1"/>
    <w:rsid w:val="027374C7"/>
    <w:rsid w:val="027C5214"/>
    <w:rsid w:val="02800514"/>
    <w:rsid w:val="02891DD2"/>
    <w:rsid w:val="0292559B"/>
    <w:rsid w:val="02945538"/>
    <w:rsid w:val="02954528"/>
    <w:rsid w:val="02960ECA"/>
    <w:rsid w:val="02B21FFC"/>
    <w:rsid w:val="02B5507D"/>
    <w:rsid w:val="02BB22C4"/>
    <w:rsid w:val="02C170CB"/>
    <w:rsid w:val="02D01C0B"/>
    <w:rsid w:val="02D5522B"/>
    <w:rsid w:val="02DB6087"/>
    <w:rsid w:val="02E132C9"/>
    <w:rsid w:val="02E5725D"/>
    <w:rsid w:val="02EA7C6D"/>
    <w:rsid w:val="02EB264D"/>
    <w:rsid w:val="02ED42DD"/>
    <w:rsid w:val="02F56D74"/>
    <w:rsid w:val="03007CBB"/>
    <w:rsid w:val="03011BBD"/>
    <w:rsid w:val="030E3991"/>
    <w:rsid w:val="03183FDB"/>
    <w:rsid w:val="03192A63"/>
    <w:rsid w:val="03280EF8"/>
    <w:rsid w:val="032F0279"/>
    <w:rsid w:val="033C49A3"/>
    <w:rsid w:val="033E4BBF"/>
    <w:rsid w:val="0341020B"/>
    <w:rsid w:val="03423791"/>
    <w:rsid w:val="03463800"/>
    <w:rsid w:val="034E561E"/>
    <w:rsid w:val="035241C7"/>
    <w:rsid w:val="03561F09"/>
    <w:rsid w:val="03595555"/>
    <w:rsid w:val="035B5688"/>
    <w:rsid w:val="03604748"/>
    <w:rsid w:val="036C5AA6"/>
    <w:rsid w:val="03725F44"/>
    <w:rsid w:val="03806F86"/>
    <w:rsid w:val="03890CD1"/>
    <w:rsid w:val="039B157D"/>
    <w:rsid w:val="03A5079A"/>
    <w:rsid w:val="03AA4AB5"/>
    <w:rsid w:val="03C1490A"/>
    <w:rsid w:val="03C317DD"/>
    <w:rsid w:val="03C9544A"/>
    <w:rsid w:val="03D2472D"/>
    <w:rsid w:val="03D51538"/>
    <w:rsid w:val="03DB41BC"/>
    <w:rsid w:val="03DD7C9A"/>
    <w:rsid w:val="03E34763"/>
    <w:rsid w:val="03F01BBF"/>
    <w:rsid w:val="03F46098"/>
    <w:rsid w:val="03F82FC0"/>
    <w:rsid w:val="03FA6D38"/>
    <w:rsid w:val="03FD515B"/>
    <w:rsid w:val="0409052E"/>
    <w:rsid w:val="04153938"/>
    <w:rsid w:val="041B6CAE"/>
    <w:rsid w:val="04267B2D"/>
    <w:rsid w:val="042A0CA0"/>
    <w:rsid w:val="042A6EF2"/>
    <w:rsid w:val="042E0790"/>
    <w:rsid w:val="042F2C60"/>
    <w:rsid w:val="0439496B"/>
    <w:rsid w:val="04446205"/>
    <w:rsid w:val="046917C8"/>
    <w:rsid w:val="0471039E"/>
    <w:rsid w:val="047D34C5"/>
    <w:rsid w:val="047D5273"/>
    <w:rsid w:val="04833558"/>
    <w:rsid w:val="048C0345"/>
    <w:rsid w:val="04AC06B1"/>
    <w:rsid w:val="04AC3F56"/>
    <w:rsid w:val="04AF3580"/>
    <w:rsid w:val="04B94B14"/>
    <w:rsid w:val="04BC391D"/>
    <w:rsid w:val="04BE2226"/>
    <w:rsid w:val="04CE5ACF"/>
    <w:rsid w:val="04D166BC"/>
    <w:rsid w:val="04D255BF"/>
    <w:rsid w:val="04D87F3B"/>
    <w:rsid w:val="04DE21B6"/>
    <w:rsid w:val="04E92909"/>
    <w:rsid w:val="04F62F3E"/>
    <w:rsid w:val="050556B7"/>
    <w:rsid w:val="05104339"/>
    <w:rsid w:val="0518752C"/>
    <w:rsid w:val="052211E7"/>
    <w:rsid w:val="0534627A"/>
    <w:rsid w:val="053D26C0"/>
    <w:rsid w:val="05405ACE"/>
    <w:rsid w:val="05466DD0"/>
    <w:rsid w:val="05571F68"/>
    <w:rsid w:val="055962C4"/>
    <w:rsid w:val="055C757F"/>
    <w:rsid w:val="056106F1"/>
    <w:rsid w:val="056874D4"/>
    <w:rsid w:val="05697625"/>
    <w:rsid w:val="056B2183"/>
    <w:rsid w:val="056F1060"/>
    <w:rsid w:val="05791EDF"/>
    <w:rsid w:val="05834B0B"/>
    <w:rsid w:val="05852631"/>
    <w:rsid w:val="058663AA"/>
    <w:rsid w:val="05926AFC"/>
    <w:rsid w:val="05981CFF"/>
    <w:rsid w:val="059C427E"/>
    <w:rsid w:val="05A07575"/>
    <w:rsid w:val="05A52CD4"/>
    <w:rsid w:val="05A57ED0"/>
    <w:rsid w:val="05B20F4D"/>
    <w:rsid w:val="05B85A18"/>
    <w:rsid w:val="05C212B8"/>
    <w:rsid w:val="05C23970"/>
    <w:rsid w:val="05C869C2"/>
    <w:rsid w:val="05CF1AFF"/>
    <w:rsid w:val="05D56371"/>
    <w:rsid w:val="05D80FC6"/>
    <w:rsid w:val="05DA57CF"/>
    <w:rsid w:val="05DE5D29"/>
    <w:rsid w:val="05E03D0C"/>
    <w:rsid w:val="05E307DA"/>
    <w:rsid w:val="05E41A4E"/>
    <w:rsid w:val="06000D02"/>
    <w:rsid w:val="06021ED4"/>
    <w:rsid w:val="060A7F0C"/>
    <w:rsid w:val="060C6775"/>
    <w:rsid w:val="06145DC8"/>
    <w:rsid w:val="06155636"/>
    <w:rsid w:val="06255BC2"/>
    <w:rsid w:val="0626507B"/>
    <w:rsid w:val="06397016"/>
    <w:rsid w:val="063A56A0"/>
    <w:rsid w:val="06400C4E"/>
    <w:rsid w:val="064249C6"/>
    <w:rsid w:val="06471FDD"/>
    <w:rsid w:val="064C776E"/>
    <w:rsid w:val="064D67D9"/>
    <w:rsid w:val="064F3CCA"/>
    <w:rsid w:val="06515254"/>
    <w:rsid w:val="06567BDE"/>
    <w:rsid w:val="06653D51"/>
    <w:rsid w:val="06684230"/>
    <w:rsid w:val="067526A6"/>
    <w:rsid w:val="067803E8"/>
    <w:rsid w:val="067A43BB"/>
    <w:rsid w:val="06826B71"/>
    <w:rsid w:val="06840B3B"/>
    <w:rsid w:val="068523DF"/>
    <w:rsid w:val="06897EFF"/>
    <w:rsid w:val="068B1DF1"/>
    <w:rsid w:val="068E0384"/>
    <w:rsid w:val="06944B60"/>
    <w:rsid w:val="06976AC0"/>
    <w:rsid w:val="069914E0"/>
    <w:rsid w:val="069A1E13"/>
    <w:rsid w:val="06A06A88"/>
    <w:rsid w:val="06B56F46"/>
    <w:rsid w:val="06B64390"/>
    <w:rsid w:val="06BB2083"/>
    <w:rsid w:val="06C53390"/>
    <w:rsid w:val="06CB02AA"/>
    <w:rsid w:val="06CF7A92"/>
    <w:rsid w:val="06D82A04"/>
    <w:rsid w:val="06DA69AD"/>
    <w:rsid w:val="06DC71AE"/>
    <w:rsid w:val="06E45A7E"/>
    <w:rsid w:val="06EC23AB"/>
    <w:rsid w:val="06F7130D"/>
    <w:rsid w:val="06F7755F"/>
    <w:rsid w:val="06F85085"/>
    <w:rsid w:val="06FB3B03"/>
    <w:rsid w:val="07034156"/>
    <w:rsid w:val="07061550"/>
    <w:rsid w:val="07091040"/>
    <w:rsid w:val="071001D4"/>
    <w:rsid w:val="071137D1"/>
    <w:rsid w:val="07162680"/>
    <w:rsid w:val="07190F9C"/>
    <w:rsid w:val="072440CC"/>
    <w:rsid w:val="07264567"/>
    <w:rsid w:val="072D5B5D"/>
    <w:rsid w:val="072E4B55"/>
    <w:rsid w:val="072E638C"/>
    <w:rsid w:val="073025FB"/>
    <w:rsid w:val="073765D4"/>
    <w:rsid w:val="0737795B"/>
    <w:rsid w:val="073B1EA5"/>
    <w:rsid w:val="075B7A1B"/>
    <w:rsid w:val="07624DF3"/>
    <w:rsid w:val="0768220B"/>
    <w:rsid w:val="07690DCB"/>
    <w:rsid w:val="07745EC4"/>
    <w:rsid w:val="0776344D"/>
    <w:rsid w:val="0777244E"/>
    <w:rsid w:val="077E1111"/>
    <w:rsid w:val="0784476D"/>
    <w:rsid w:val="078A1921"/>
    <w:rsid w:val="078B5EF9"/>
    <w:rsid w:val="078F7797"/>
    <w:rsid w:val="07952E86"/>
    <w:rsid w:val="07A50D69"/>
    <w:rsid w:val="07A5520D"/>
    <w:rsid w:val="07A7181C"/>
    <w:rsid w:val="07A823A2"/>
    <w:rsid w:val="07AC69E6"/>
    <w:rsid w:val="07B0310A"/>
    <w:rsid w:val="07C04E84"/>
    <w:rsid w:val="07C35693"/>
    <w:rsid w:val="07C82872"/>
    <w:rsid w:val="07C92B37"/>
    <w:rsid w:val="07CB6F6E"/>
    <w:rsid w:val="07CD4764"/>
    <w:rsid w:val="07DB7ECB"/>
    <w:rsid w:val="07DE2FBD"/>
    <w:rsid w:val="07E12781"/>
    <w:rsid w:val="07E13D6B"/>
    <w:rsid w:val="07ED2710"/>
    <w:rsid w:val="07F73A81"/>
    <w:rsid w:val="07F91CED"/>
    <w:rsid w:val="07FC0BA5"/>
    <w:rsid w:val="08053EFD"/>
    <w:rsid w:val="08183C31"/>
    <w:rsid w:val="081D2FF5"/>
    <w:rsid w:val="08283444"/>
    <w:rsid w:val="08283748"/>
    <w:rsid w:val="08404F36"/>
    <w:rsid w:val="08457580"/>
    <w:rsid w:val="084A0341"/>
    <w:rsid w:val="085307CF"/>
    <w:rsid w:val="085465BF"/>
    <w:rsid w:val="0858402D"/>
    <w:rsid w:val="085F360E"/>
    <w:rsid w:val="08602EE2"/>
    <w:rsid w:val="086760F9"/>
    <w:rsid w:val="08710180"/>
    <w:rsid w:val="087B41C0"/>
    <w:rsid w:val="08856DEC"/>
    <w:rsid w:val="08872B64"/>
    <w:rsid w:val="08875F7E"/>
    <w:rsid w:val="08887952"/>
    <w:rsid w:val="088970C6"/>
    <w:rsid w:val="088C7227"/>
    <w:rsid w:val="08914DB2"/>
    <w:rsid w:val="08944689"/>
    <w:rsid w:val="08A13C26"/>
    <w:rsid w:val="08B12C05"/>
    <w:rsid w:val="08B56ACA"/>
    <w:rsid w:val="08BD3297"/>
    <w:rsid w:val="08C0663E"/>
    <w:rsid w:val="08C276F9"/>
    <w:rsid w:val="08C872B0"/>
    <w:rsid w:val="08CC5F7D"/>
    <w:rsid w:val="08D833C0"/>
    <w:rsid w:val="08DE084F"/>
    <w:rsid w:val="08E753B1"/>
    <w:rsid w:val="08EE04EE"/>
    <w:rsid w:val="08F04266"/>
    <w:rsid w:val="08F31FA8"/>
    <w:rsid w:val="09002112"/>
    <w:rsid w:val="090343E8"/>
    <w:rsid w:val="090E7D9A"/>
    <w:rsid w:val="090F55D9"/>
    <w:rsid w:val="091153EC"/>
    <w:rsid w:val="091704A5"/>
    <w:rsid w:val="09187C60"/>
    <w:rsid w:val="091C32AD"/>
    <w:rsid w:val="0935770F"/>
    <w:rsid w:val="093A4C30"/>
    <w:rsid w:val="093C74AB"/>
    <w:rsid w:val="093F6F9B"/>
    <w:rsid w:val="09493D36"/>
    <w:rsid w:val="09554A11"/>
    <w:rsid w:val="09617F44"/>
    <w:rsid w:val="09623D57"/>
    <w:rsid w:val="096C0FF4"/>
    <w:rsid w:val="0983332C"/>
    <w:rsid w:val="099941EE"/>
    <w:rsid w:val="099F15D7"/>
    <w:rsid w:val="09A3752A"/>
    <w:rsid w:val="09A412D6"/>
    <w:rsid w:val="09A45C60"/>
    <w:rsid w:val="09AB63DF"/>
    <w:rsid w:val="09AC3ECC"/>
    <w:rsid w:val="09AF4121"/>
    <w:rsid w:val="09B47989"/>
    <w:rsid w:val="09B80885"/>
    <w:rsid w:val="09BF31B7"/>
    <w:rsid w:val="09C556F2"/>
    <w:rsid w:val="09CC5F3D"/>
    <w:rsid w:val="09D26677"/>
    <w:rsid w:val="09E0252C"/>
    <w:rsid w:val="09E20FF7"/>
    <w:rsid w:val="09E33DCA"/>
    <w:rsid w:val="09EC7123"/>
    <w:rsid w:val="09EF02DA"/>
    <w:rsid w:val="09EF6C13"/>
    <w:rsid w:val="09F935EE"/>
    <w:rsid w:val="0A0420EC"/>
    <w:rsid w:val="0A0944BF"/>
    <w:rsid w:val="0A1D08D4"/>
    <w:rsid w:val="0A1D4625"/>
    <w:rsid w:val="0A2A19F9"/>
    <w:rsid w:val="0A2B33DF"/>
    <w:rsid w:val="0A3011AD"/>
    <w:rsid w:val="0A312D88"/>
    <w:rsid w:val="0A313B1B"/>
    <w:rsid w:val="0A3D4FC3"/>
    <w:rsid w:val="0A3E0021"/>
    <w:rsid w:val="0A4800D1"/>
    <w:rsid w:val="0A4A6D32"/>
    <w:rsid w:val="0A4B5296"/>
    <w:rsid w:val="0A4C3097"/>
    <w:rsid w:val="0A5B1F0B"/>
    <w:rsid w:val="0A6854E5"/>
    <w:rsid w:val="0A6A48F1"/>
    <w:rsid w:val="0A6D18E6"/>
    <w:rsid w:val="0A6E7023"/>
    <w:rsid w:val="0A773A3A"/>
    <w:rsid w:val="0A80786B"/>
    <w:rsid w:val="0A8245A3"/>
    <w:rsid w:val="0A874605"/>
    <w:rsid w:val="0A8E0114"/>
    <w:rsid w:val="0A8F2B76"/>
    <w:rsid w:val="0A9D21CB"/>
    <w:rsid w:val="0AA90B70"/>
    <w:rsid w:val="0AB344FD"/>
    <w:rsid w:val="0AB8072D"/>
    <w:rsid w:val="0ABB4230"/>
    <w:rsid w:val="0ABD08DF"/>
    <w:rsid w:val="0AC260D6"/>
    <w:rsid w:val="0AC63129"/>
    <w:rsid w:val="0AC93E68"/>
    <w:rsid w:val="0AC94BF5"/>
    <w:rsid w:val="0ACC485F"/>
    <w:rsid w:val="0ADF27E4"/>
    <w:rsid w:val="0AE13D17"/>
    <w:rsid w:val="0AF50F07"/>
    <w:rsid w:val="0AFE4255"/>
    <w:rsid w:val="0B0009AC"/>
    <w:rsid w:val="0B065FC2"/>
    <w:rsid w:val="0B071D3B"/>
    <w:rsid w:val="0B0758A7"/>
    <w:rsid w:val="0B085EF2"/>
    <w:rsid w:val="0B093D05"/>
    <w:rsid w:val="0B0C655A"/>
    <w:rsid w:val="0B0C7351"/>
    <w:rsid w:val="0B0D2543"/>
    <w:rsid w:val="0B115BF2"/>
    <w:rsid w:val="0B1465D2"/>
    <w:rsid w:val="0B1853F8"/>
    <w:rsid w:val="0B2561CB"/>
    <w:rsid w:val="0B2D7E9B"/>
    <w:rsid w:val="0B37185A"/>
    <w:rsid w:val="0B3C6B06"/>
    <w:rsid w:val="0B440899"/>
    <w:rsid w:val="0B445062"/>
    <w:rsid w:val="0B4813AA"/>
    <w:rsid w:val="0B505490"/>
    <w:rsid w:val="0B581670"/>
    <w:rsid w:val="0B723658"/>
    <w:rsid w:val="0B733189"/>
    <w:rsid w:val="0B776EC0"/>
    <w:rsid w:val="0B835CE0"/>
    <w:rsid w:val="0B8503D5"/>
    <w:rsid w:val="0B8953AF"/>
    <w:rsid w:val="0B896C81"/>
    <w:rsid w:val="0B906D1E"/>
    <w:rsid w:val="0B925DD0"/>
    <w:rsid w:val="0B973EF0"/>
    <w:rsid w:val="0BAB65B7"/>
    <w:rsid w:val="0BAD754A"/>
    <w:rsid w:val="0BBC023E"/>
    <w:rsid w:val="0BBC7CD2"/>
    <w:rsid w:val="0BC90966"/>
    <w:rsid w:val="0BCD419B"/>
    <w:rsid w:val="0BCD4D32"/>
    <w:rsid w:val="0BDA6741"/>
    <w:rsid w:val="0BDB654C"/>
    <w:rsid w:val="0BEF7DA3"/>
    <w:rsid w:val="0BF31EA4"/>
    <w:rsid w:val="0BF47A2C"/>
    <w:rsid w:val="0BF70001"/>
    <w:rsid w:val="0BFA364D"/>
    <w:rsid w:val="0C0137D8"/>
    <w:rsid w:val="0C037A3B"/>
    <w:rsid w:val="0C054469"/>
    <w:rsid w:val="0C0F70F9"/>
    <w:rsid w:val="0C117696"/>
    <w:rsid w:val="0C121CAD"/>
    <w:rsid w:val="0C1618B2"/>
    <w:rsid w:val="0C1F782F"/>
    <w:rsid w:val="0C26469F"/>
    <w:rsid w:val="0C272A00"/>
    <w:rsid w:val="0C2A0E82"/>
    <w:rsid w:val="0C2C7CAB"/>
    <w:rsid w:val="0C2E6D40"/>
    <w:rsid w:val="0C3A4C9D"/>
    <w:rsid w:val="0C3B21D0"/>
    <w:rsid w:val="0C432748"/>
    <w:rsid w:val="0C455461"/>
    <w:rsid w:val="0C4D5E73"/>
    <w:rsid w:val="0C54227B"/>
    <w:rsid w:val="0C6C2BF0"/>
    <w:rsid w:val="0C6C47E1"/>
    <w:rsid w:val="0C6D1992"/>
    <w:rsid w:val="0C6F381A"/>
    <w:rsid w:val="0C713A27"/>
    <w:rsid w:val="0C767178"/>
    <w:rsid w:val="0C9910B8"/>
    <w:rsid w:val="0C9977D7"/>
    <w:rsid w:val="0C9D5BF1"/>
    <w:rsid w:val="0CA43CE5"/>
    <w:rsid w:val="0CAA04BC"/>
    <w:rsid w:val="0CAD6B3C"/>
    <w:rsid w:val="0CAF7268"/>
    <w:rsid w:val="0CB06B5C"/>
    <w:rsid w:val="0CB8153E"/>
    <w:rsid w:val="0CBA3508"/>
    <w:rsid w:val="0CC73EE7"/>
    <w:rsid w:val="0CD10852"/>
    <w:rsid w:val="0CD25991"/>
    <w:rsid w:val="0CD7711C"/>
    <w:rsid w:val="0CE65DB2"/>
    <w:rsid w:val="0CEA6811"/>
    <w:rsid w:val="0CEC6D7E"/>
    <w:rsid w:val="0CEE6D0E"/>
    <w:rsid w:val="0CFB142B"/>
    <w:rsid w:val="0CFC3CC5"/>
    <w:rsid w:val="0D0227BA"/>
    <w:rsid w:val="0D0B50F2"/>
    <w:rsid w:val="0D10137A"/>
    <w:rsid w:val="0D166265"/>
    <w:rsid w:val="0D1674D8"/>
    <w:rsid w:val="0D1C7D1F"/>
    <w:rsid w:val="0D253FEF"/>
    <w:rsid w:val="0D2F40C4"/>
    <w:rsid w:val="0D38442D"/>
    <w:rsid w:val="0D3928BE"/>
    <w:rsid w:val="0D3C6F81"/>
    <w:rsid w:val="0D3E296D"/>
    <w:rsid w:val="0D4508F8"/>
    <w:rsid w:val="0D4A68A1"/>
    <w:rsid w:val="0D4C65C3"/>
    <w:rsid w:val="0D4E087D"/>
    <w:rsid w:val="0D4F2DB6"/>
    <w:rsid w:val="0D544A14"/>
    <w:rsid w:val="0D5931C0"/>
    <w:rsid w:val="0D5C66A0"/>
    <w:rsid w:val="0D5D7AA4"/>
    <w:rsid w:val="0D5F7C0C"/>
    <w:rsid w:val="0D6A4600"/>
    <w:rsid w:val="0D703DA1"/>
    <w:rsid w:val="0D7274AB"/>
    <w:rsid w:val="0D796E2B"/>
    <w:rsid w:val="0D7A2C98"/>
    <w:rsid w:val="0D7C07BE"/>
    <w:rsid w:val="0D837D9E"/>
    <w:rsid w:val="0D8A6105"/>
    <w:rsid w:val="0D8B6C53"/>
    <w:rsid w:val="0D906498"/>
    <w:rsid w:val="0D925D63"/>
    <w:rsid w:val="0D9A50E8"/>
    <w:rsid w:val="0DA24F7E"/>
    <w:rsid w:val="0DB42637"/>
    <w:rsid w:val="0DBE2B84"/>
    <w:rsid w:val="0DC61A39"/>
    <w:rsid w:val="0DCE08EE"/>
    <w:rsid w:val="0DCF4ECF"/>
    <w:rsid w:val="0DD35C4D"/>
    <w:rsid w:val="0DDA7292"/>
    <w:rsid w:val="0DDB0848"/>
    <w:rsid w:val="0DE36DCE"/>
    <w:rsid w:val="0DE40111"/>
    <w:rsid w:val="0DF513F2"/>
    <w:rsid w:val="0DF979A9"/>
    <w:rsid w:val="0DFE4B58"/>
    <w:rsid w:val="0DFF1B83"/>
    <w:rsid w:val="0E010CC3"/>
    <w:rsid w:val="0E070561"/>
    <w:rsid w:val="0E100F06"/>
    <w:rsid w:val="0E1C3D4F"/>
    <w:rsid w:val="0E2139B5"/>
    <w:rsid w:val="0E247683"/>
    <w:rsid w:val="0E2A38AE"/>
    <w:rsid w:val="0E323572"/>
    <w:rsid w:val="0E344BF5"/>
    <w:rsid w:val="0E345375"/>
    <w:rsid w:val="0E3B11CE"/>
    <w:rsid w:val="0E4D215A"/>
    <w:rsid w:val="0E4F5ED2"/>
    <w:rsid w:val="0E545297"/>
    <w:rsid w:val="0E5A4271"/>
    <w:rsid w:val="0E5E7B04"/>
    <w:rsid w:val="0E625C06"/>
    <w:rsid w:val="0E660E7D"/>
    <w:rsid w:val="0E68110A"/>
    <w:rsid w:val="0E6818AE"/>
    <w:rsid w:val="0E6B4319"/>
    <w:rsid w:val="0E6F3E7F"/>
    <w:rsid w:val="0E7B2823"/>
    <w:rsid w:val="0E7D2A40"/>
    <w:rsid w:val="0E811F50"/>
    <w:rsid w:val="0E820056"/>
    <w:rsid w:val="0E8A515C"/>
    <w:rsid w:val="0E945A78"/>
    <w:rsid w:val="0E947D89"/>
    <w:rsid w:val="0E9C038E"/>
    <w:rsid w:val="0E9C2E85"/>
    <w:rsid w:val="0E9F62EE"/>
    <w:rsid w:val="0EA60012"/>
    <w:rsid w:val="0EA81B9C"/>
    <w:rsid w:val="0EAC50D3"/>
    <w:rsid w:val="0EB43F87"/>
    <w:rsid w:val="0EBB2DAD"/>
    <w:rsid w:val="0EBD5B29"/>
    <w:rsid w:val="0ED41876"/>
    <w:rsid w:val="0ED463D8"/>
    <w:rsid w:val="0ED94DFE"/>
    <w:rsid w:val="0ED96E05"/>
    <w:rsid w:val="0EDE1004"/>
    <w:rsid w:val="0EDE21AB"/>
    <w:rsid w:val="0EE571BB"/>
    <w:rsid w:val="0EEE140B"/>
    <w:rsid w:val="0EF425D6"/>
    <w:rsid w:val="0F02119E"/>
    <w:rsid w:val="0F056D07"/>
    <w:rsid w:val="0F0767AD"/>
    <w:rsid w:val="0F0A1DF9"/>
    <w:rsid w:val="0F1A028E"/>
    <w:rsid w:val="0F1B7B63"/>
    <w:rsid w:val="0F1D6DF7"/>
    <w:rsid w:val="0F2729AB"/>
    <w:rsid w:val="0F2D61CB"/>
    <w:rsid w:val="0F360E40"/>
    <w:rsid w:val="0F362BEE"/>
    <w:rsid w:val="0F3A199C"/>
    <w:rsid w:val="0F3B6457"/>
    <w:rsid w:val="0F3E73CB"/>
    <w:rsid w:val="0F3E7E3A"/>
    <w:rsid w:val="0F4C27CC"/>
    <w:rsid w:val="0F4E652C"/>
    <w:rsid w:val="0F580937"/>
    <w:rsid w:val="0F6137E9"/>
    <w:rsid w:val="0F687B61"/>
    <w:rsid w:val="0F6B7807"/>
    <w:rsid w:val="0F6E0DC1"/>
    <w:rsid w:val="0F6E4136"/>
    <w:rsid w:val="0F704352"/>
    <w:rsid w:val="0F7668F1"/>
    <w:rsid w:val="0F792DCC"/>
    <w:rsid w:val="0F827239"/>
    <w:rsid w:val="0F830D32"/>
    <w:rsid w:val="0F865988"/>
    <w:rsid w:val="0F8676D2"/>
    <w:rsid w:val="0F975858"/>
    <w:rsid w:val="0FA1218F"/>
    <w:rsid w:val="0FA933C0"/>
    <w:rsid w:val="0FBB2D63"/>
    <w:rsid w:val="0FC02FE7"/>
    <w:rsid w:val="0FC30926"/>
    <w:rsid w:val="0FC53BEC"/>
    <w:rsid w:val="0FD61CDB"/>
    <w:rsid w:val="0FDD130A"/>
    <w:rsid w:val="0FF02D9D"/>
    <w:rsid w:val="0FF5734E"/>
    <w:rsid w:val="0FF90A42"/>
    <w:rsid w:val="0FF92EE0"/>
    <w:rsid w:val="0FFB5ED9"/>
    <w:rsid w:val="1002449F"/>
    <w:rsid w:val="1008458B"/>
    <w:rsid w:val="100A7DF8"/>
    <w:rsid w:val="100D577B"/>
    <w:rsid w:val="100F1F6B"/>
    <w:rsid w:val="10102A21"/>
    <w:rsid w:val="10115C48"/>
    <w:rsid w:val="101A2510"/>
    <w:rsid w:val="102A2753"/>
    <w:rsid w:val="103D49E7"/>
    <w:rsid w:val="1049724A"/>
    <w:rsid w:val="10525806"/>
    <w:rsid w:val="105C5B54"/>
    <w:rsid w:val="10606175"/>
    <w:rsid w:val="106612B1"/>
    <w:rsid w:val="10674CD5"/>
    <w:rsid w:val="108C633A"/>
    <w:rsid w:val="10A83EEB"/>
    <w:rsid w:val="10AB4F16"/>
    <w:rsid w:val="10B04957"/>
    <w:rsid w:val="10B3344D"/>
    <w:rsid w:val="10B4201D"/>
    <w:rsid w:val="10B4616B"/>
    <w:rsid w:val="10BC5AA5"/>
    <w:rsid w:val="10C03375"/>
    <w:rsid w:val="10D152F9"/>
    <w:rsid w:val="10D47815"/>
    <w:rsid w:val="10E723F2"/>
    <w:rsid w:val="10F62529"/>
    <w:rsid w:val="10F93ED3"/>
    <w:rsid w:val="11020FDA"/>
    <w:rsid w:val="110411F6"/>
    <w:rsid w:val="11052878"/>
    <w:rsid w:val="110747A8"/>
    <w:rsid w:val="110864A9"/>
    <w:rsid w:val="110A4333"/>
    <w:rsid w:val="110C7B6F"/>
    <w:rsid w:val="1112433B"/>
    <w:rsid w:val="11186A50"/>
    <w:rsid w:val="111D1A6D"/>
    <w:rsid w:val="111F7DDE"/>
    <w:rsid w:val="112A133D"/>
    <w:rsid w:val="112D75BA"/>
    <w:rsid w:val="11325710"/>
    <w:rsid w:val="113A22A4"/>
    <w:rsid w:val="113B1BFC"/>
    <w:rsid w:val="113B44EC"/>
    <w:rsid w:val="113C371A"/>
    <w:rsid w:val="1141425C"/>
    <w:rsid w:val="114A362C"/>
    <w:rsid w:val="11501EBF"/>
    <w:rsid w:val="11546271"/>
    <w:rsid w:val="115D0906"/>
    <w:rsid w:val="11621A79"/>
    <w:rsid w:val="11623881"/>
    <w:rsid w:val="116400FB"/>
    <w:rsid w:val="11662604"/>
    <w:rsid w:val="116E041E"/>
    <w:rsid w:val="11717F0E"/>
    <w:rsid w:val="1175598A"/>
    <w:rsid w:val="11773ABA"/>
    <w:rsid w:val="117F59A5"/>
    <w:rsid w:val="118E6D12"/>
    <w:rsid w:val="11910454"/>
    <w:rsid w:val="119A56B6"/>
    <w:rsid w:val="119F2CCD"/>
    <w:rsid w:val="11A21B40"/>
    <w:rsid w:val="11A97478"/>
    <w:rsid w:val="11AF4A68"/>
    <w:rsid w:val="11B00A36"/>
    <w:rsid w:val="11B9508D"/>
    <w:rsid w:val="11BA7B07"/>
    <w:rsid w:val="11BF435B"/>
    <w:rsid w:val="11CB5870"/>
    <w:rsid w:val="11CD670C"/>
    <w:rsid w:val="11E62B52"/>
    <w:rsid w:val="11E92CA2"/>
    <w:rsid w:val="11EB4770"/>
    <w:rsid w:val="11ED2BDB"/>
    <w:rsid w:val="11FB3505"/>
    <w:rsid w:val="1202500A"/>
    <w:rsid w:val="12071515"/>
    <w:rsid w:val="12072620"/>
    <w:rsid w:val="1213426D"/>
    <w:rsid w:val="121511E1"/>
    <w:rsid w:val="12170AB5"/>
    <w:rsid w:val="12174F59"/>
    <w:rsid w:val="121D1E44"/>
    <w:rsid w:val="12260CF8"/>
    <w:rsid w:val="122C2897"/>
    <w:rsid w:val="12333415"/>
    <w:rsid w:val="123C27D6"/>
    <w:rsid w:val="12457401"/>
    <w:rsid w:val="12463148"/>
    <w:rsid w:val="12484410"/>
    <w:rsid w:val="124F030C"/>
    <w:rsid w:val="12541D09"/>
    <w:rsid w:val="1255782F"/>
    <w:rsid w:val="125C296C"/>
    <w:rsid w:val="126A1B5C"/>
    <w:rsid w:val="126F77FD"/>
    <w:rsid w:val="12723F3D"/>
    <w:rsid w:val="12751C80"/>
    <w:rsid w:val="127A0C0E"/>
    <w:rsid w:val="12816876"/>
    <w:rsid w:val="1283614B"/>
    <w:rsid w:val="12860E0C"/>
    <w:rsid w:val="12865C3B"/>
    <w:rsid w:val="12905EB9"/>
    <w:rsid w:val="12A008E2"/>
    <w:rsid w:val="12AA36D7"/>
    <w:rsid w:val="12B502CE"/>
    <w:rsid w:val="12B7114A"/>
    <w:rsid w:val="12BB3C49"/>
    <w:rsid w:val="12BC78AF"/>
    <w:rsid w:val="12D1335A"/>
    <w:rsid w:val="12DA1AE3"/>
    <w:rsid w:val="12E017EF"/>
    <w:rsid w:val="12E55B08"/>
    <w:rsid w:val="12FE6C66"/>
    <w:rsid w:val="12FE7EC7"/>
    <w:rsid w:val="13052DC4"/>
    <w:rsid w:val="130804C5"/>
    <w:rsid w:val="130C3B50"/>
    <w:rsid w:val="13144FF5"/>
    <w:rsid w:val="13152417"/>
    <w:rsid w:val="13174AE5"/>
    <w:rsid w:val="13180760"/>
    <w:rsid w:val="13195F5F"/>
    <w:rsid w:val="132318D4"/>
    <w:rsid w:val="13390EFF"/>
    <w:rsid w:val="133B6082"/>
    <w:rsid w:val="134173F9"/>
    <w:rsid w:val="13441D7E"/>
    <w:rsid w:val="134428A9"/>
    <w:rsid w:val="13494D5B"/>
    <w:rsid w:val="13497394"/>
    <w:rsid w:val="134B3535"/>
    <w:rsid w:val="134E6759"/>
    <w:rsid w:val="13557860"/>
    <w:rsid w:val="13596EAB"/>
    <w:rsid w:val="136441CE"/>
    <w:rsid w:val="13710DA9"/>
    <w:rsid w:val="13734957"/>
    <w:rsid w:val="13741F37"/>
    <w:rsid w:val="13763F01"/>
    <w:rsid w:val="137905F3"/>
    <w:rsid w:val="137B32C6"/>
    <w:rsid w:val="137C28AD"/>
    <w:rsid w:val="13833F28"/>
    <w:rsid w:val="138403CC"/>
    <w:rsid w:val="13856F6E"/>
    <w:rsid w:val="138E161F"/>
    <w:rsid w:val="139013E3"/>
    <w:rsid w:val="13901A4D"/>
    <w:rsid w:val="13A22600"/>
    <w:rsid w:val="13A24CF6"/>
    <w:rsid w:val="13AD7468"/>
    <w:rsid w:val="13C0517C"/>
    <w:rsid w:val="13CB5D21"/>
    <w:rsid w:val="13D125D7"/>
    <w:rsid w:val="13D74E0E"/>
    <w:rsid w:val="13DC1FB6"/>
    <w:rsid w:val="13DD7ADC"/>
    <w:rsid w:val="13ED7DD5"/>
    <w:rsid w:val="13F2221A"/>
    <w:rsid w:val="13F46820"/>
    <w:rsid w:val="13F84916"/>
    <w:rsid w:val="140911CD"/>
    <w:rsid w:val="141B358F"/>
    <w:rsid w:val="141D70BF"/>
    <w:rsid w:val="14213865"/>
    <w:rsid w:val="14213E6D"/>
    <w:rsid w:val="142E50E2"/>
    <w:rsid w:val="14332C5E"/>
    <w:rsid w:val="143F3A5E"/>
    <w:rsid w:val="144933C4"/>
    <w:rsid w:val="144B7D94"/>
    <w:rsid w:val="144C72A7"/>
    <w:rsid w:val="14562ED4"/>
    <w:rsid w:val="145B1BB8"/>
    <w:rsid w:val="145F04F1"/>
    <w:rsid w:val="1461426A"/>
    <w:rsid w:val="146326CC"/>
    <w:rsid w:val="146A2B1E"/>
    <w:rsid w:val="14724FAA"/>
    <w:rsid w:val="147321EF"/>
    <w:rsid w:val="147512E9"/>
    <w:rsid w:val="147742FE"/>
    <w:rsid w:val="149A23F3"/>
    <w:rsid w:val="149C7998"/>
    <w:rsid w:val="14A01236"/>
    <w:rsid w:val="14A16D5C"/>
    <w:rsid w:val="14A465B5"/>
    <w:rsid w:val="14A46E3A"/>
    <w:rsid w:val="14A956EC"/>
    <w:rsid w:val="14AF1479"/>
    <w:rsid w:val="14B115C9"/>
    <w:rsid w:val="14C111AC"/>
    <w:rsid w:val="14C111C1"/>
    <w:rsid w:val="14C55641"/>
    <w:rsid w:val="14C55842"/>
    <w:rsid w:val="14CA62B3"/>
    <w:rsid w:val="14D7452C"/>
    <w:rsid w:val="14D93E23"/>
    <w:rsid w:val="14E05AD6"/>
    <w:rsid w:val="14E9656F"/>
    <w:rsid w:val="14EC159B"/>
    <w:rsid w:val="14FE0C13"/>
    <w:rsid w:val="14FE41AE"/>
    <w:rsid w:val="15057CC0"/>
    <w:rsid w:val="15174A79"/>
    <w:rsid w:val="151B4D60"/>
    <w:rsid w:val="151B6B0E"/>
    <w:rsid w:val="15206937"/>
    <w:rsid w:val="15212D2E"/>
    <w:rsid w:val="15263BEF"/>
    <w:rsid w:val="1528122B"/>
    <w:rsid w:val="1529706A"/>
    <w:rsid w:val="152C0FBD"/>
    <w:rsid w:val="153554BF"/>
    <w:rsid w:val="153A1235"/>
    <w:rsid w:val="153B0F5F"/>
    <w:rsid w:val="153D5D80"/>
    <w:rsid w:val="154041A8"/>
    <w:rsid w:val="15455939"/>
    <w:rsid w:val="1552003B"/>
    <w:rsid w:val="15520BE1"/>
    <w:rsid w:val="155572BB"/>
    <w:rsid w:val="156009C5"/>
    <w:rsid w:val="15625D85"/>
    <w:rsid w:val="15627B30"/>
    <w:rsid w:val="15650CEA"/>
    <w:rsid w:val="15651849"/>
    <w:rsid w:val="1565422D"/>
    <w:rsid w:val="156E7230"/>
    <w:rsid w:val="15724254"/>
    <w:rsid w:val="15755FBA"/>
    <w:rsid w:val="15787ABD"/>
    <w:rsid w:val="158278D5"/>
    <w:rsid w:val="158346B4"/>
    <w:rsid w:val="15913E07"/>
    <w:rsid w:val="1594066F"/>
    <w:rsid w:val="159951B5"/>
    <w:rsid w:val="159A783B"/>
    <w:rsid w:val="159E18F4"/>
    <w:rsid w:val="159F0E47"/>
    <w:rsid w:val="15AF5E60"/>
    <w:rsid w:val="15B11221"/>
    <w:rsid w:val="15B72137"/>
    <w:rsid w:val="15BA0E49"/>
    <w:rsid w:val="15BB1E89"/>
    <w:rsid w:val="15BB3E4D"/>
    <w:rsid w:val="15BD7BC5"/>
    <w:rsid w:val="15BE749A"/>
    <w:rsid w:val="15C374F1"/>
    <w:rsid w:val="15C423A4"/>
    <w:rsid w:val="15C47E49"/>
    <w:rsid w:val="15C50828"/>
    <w:rsid w:val="15C80049"/>
    <w:rsid w:val="15CB6F9C"/>
    <w:rsid w:val="15D66983"/>
    <w:rsid w:val="15DE32D9"/>
    <w:rsid w:val="15E8726B"/>
    <w:rsid w:val="15E9009E"/>
    <w:rsid w:val="15E92769"/>
    <w:rsid w:val="15EA64E1"/>
    <w:rsid w:val="15F15AC1"/>
    <w:rsid w:val="15F35395"/>
    <w:rsid w:val="15F829AC"/>
    <w:rsid w:val="1606315B"/>
    <w:rsid w:val="160C46A9"/>
    <w:rsid w:val="160D020B"/>
    <w:rsid w:val="16165EE2"/>
    <w:rsid w:val="161812A0"/>
    <w:rsid w:val="161B669A"/>
    <w:rsid w:val="161C0D90"/>
    <w:rsid w:val="162968E2"/>
    <w:rsid w:val="162F15A1"/>
    <w:rsid w:val="16303F21"/>
    <w:rsid w:val="16314110"/>
    <w:rsid w:val="16337E88"/>
    <w:rsid w:val="16377978"/>
    <w:rsid w:val="163A3342"/>
    <w:rsid w:val="163A7921"/>
    <w:rsid w:val="163E12C4"/>
    <w:rsid w:val="164D65A4"/>
    <w:rsid w:val="16664718"/>
    <w:rsid w:val="16672BA0"/>
    <w:rsid w:val="166A698A"/>
    <w:rsid w:val="166E0EC0"/>
    <w:rsid w:val="166E2C6E"/>
    <w:rsid w:val="166F711D"/>
    <w:rsid w:val="16721235"/>
    <w:rsid w:val="167406F6"/>
    <w:rsid w:val="167E206D"/>
    <w:rsid w:val="16824A3F"/>
    <w:rsid w:val="168626AD"/>
    <w:rsid w:val="168A1BEF"/>
    <w:rsid w:val="168E3310"/>
    <w:rsid w:val="16A0420F"/>
    <w:rsid w:val="16A44534"/>
    <w:rsid w:val="16A50D85"/>
    <w:rsid w:val="16B54D41"/>
    <w:rsid w:val="16BC1C2B"/>
    <w:rsid w:val="16BE35BD"/>
    <w:rsid w:val="16C4566D"/>
    <w:rsid w:val="16CB00C0"/>
    <w:rsid w:val="16D056D6"/>
    <w:rsid w:val="16D12AC9"/>
    <w:rsid w:val="16DA6555"/>
    <w:rsid w:val="16FA394B"/>
    <w:rsid w:val="17075EE6"/>
    <w:rsid w:val="170830EF"/>
    <w:rsid w:val="170D692B"/>
    <w:rsid w:val="170F4451"/>
    <w:rsid w:val="171001C9"/>
    <w:rsid w:val="1711672C"/>
    <w:rsid w:val="17153191"/>
    <w:rsid w:val="171A2056"/>
    <w:rsid w:val="171E35E1"/>
    <w:rsid w:val="172044D2"/>
    <w:rsid w:val="172653C4"/>
    <w:rsid w:val="172F6328"/>
    <w:rsid w:val="1730412D"/>
    <w:rsid w:val="17321AB6"/>
    <w:rsid w:val="173408D6"/>
    <w:rsid w:val="1735378C"/>
    <w:rsid w:val="173F40E5"/>
    <w:rsid w:val="174560C4"/>
    <w:rsid w:val="174D31CB"/>
    <w:rsid w:val="174D665F"/>
    <w:rsid w:val="174E5DF2"/>
    <w:rsid w:val="17560970"/>
    <w:rsid w:val="175D5335"/>
    <w:rsid w:val="17605073"/>
    <w:rsid w:val="17693EC4"/>
    <w:rsid w:val="176F7980"/>
    <w:rsid w:val="177F3211"/>
    <w:rsid w:val="17800EAB"/>
    <w:rsid w:val="178A1D29"/>
    <w:rsid w:val="17994C66"/>
    <w:rsid w:val="179D7CAF"/>
    <w:rsid w:val="17A3178F"/>
    <w:rsid w:val="17A4103D"/>
    <w:rsid w:val="17A80401"/>
    <w:rsid w:val="17A84AD5"/>
    <w:rsid w:val="17AC6144"/>
    <w:rsid w:val="17B62B1E"/>
    <w:rsid w:val="17B9616B"/>
    <w:rsid w:val="17BD6337"/>
    <w:rsid w:val="17BE45B6"/>
    <w:rsid w:val="17D00356"/>
    <w:rsid w:val="17D43216"/>
    <w:rsid w:val="17DD3F97"/>
    <w:rsid w:val="17E07B9B"/>
    <w:rsid w:val="17E66DE1"/>
    <w:rsid w:val="17EA27C8"/>
    <w:rsid w:val="17EC1FB0"/>
    <w:rsid w:val="17F94C98"/>
    <w:rsid w:val="18075128"/>
    <w:rsid w:val="18085D13"/>
    <w:rsid w:val="180C273E"/>
    <w:rsid w:val="180F0C4E"/>
    <w:rsid w:val="18155B7E"/>
    <w:rsid w:val="181E2472"/>
    <w:rsid w:val="18251A52"/>
    <w:rsid w:val="182A1DB2"/>
    <w:rsid w:val="18305897"/>
    <w:rsid w:val="18363C5F"/>
    <w:rsid w:val="183B1275"/>
    <w:rsid w:val="183B7D55"/>
    <w:rsid w:val="183C0E91"/>
    <w:rsid w:val="1841684A"/>
    <w:rsid w:val="184B5B6A"/>
    <w:rsid w:val="1850652D"/>
    <w:rsid w:val="185632CE"/>
    <w:rsid w:val="18590FAF"/>
    <w:rsid w:val="185A794E"/>
    <w:rsid w:val="18641B32"/>
    <w:rsid w:val="18736C61"/>
    <w:rsid w:val="187E1535"/>
    <w:rsid w:val="18867C12"/>
    <w:rsid w:val="18887BCD"/>
    <w:rsid w:val="18911D91"/>
    <w:rsid w:val="18925339"/>
    <w:rsid w:val="18950986"/>
    <w:rsid w:val="18A706B9"/>
    <w:rsid w:val="18A92683"/>
    <w:rsid w:val="18AE1A47"/>
    <w:rsid w:val="18B2778A"/>
    <w:rsid w:val="18B828C6"/>
    <w:rsid w:val="18BA663E"/>
    <w:rsid w:val="18C335EA"/>
    <w:rsid w:val="18C33A17"/>
    <w:rsid w:val="18CD2171"/>
    <w:rsid w:val="18CE5C46"/>
    <w:rsid w:val="18D47700"/>
    <w:rsid w:val="18DB4575"/>
    <w:rsid w:val="18DC313B"/>
    <w:rsid w:val="18ED6A14"/>
    <w:rsid w:val="18EF1F80"/>
    <w:rsid w:val="18F57676"/>
    <w:rsid w:val="18F7519C"/>
    <w:rsid w:val="190F698A"/>
    <w:rsid w:val="19213995"/>
    <w:rsid w:val="19252D5F"/>
    <w:rsid w:val="192F4AC7"/>
    <w:rsid w:val="192F4E41"/>
    <w:rsid w:val="19375EE1"/>
    <w:rsid w:val="193808C3"/>
    <w:rsid w:val="19436634"/>
    <w:rsid w:val="194C42DE"/>
    <w:rsid w:val="194F322A"/>
    <w:rsid w:val="19555B47"/>
    <w:rsid w:val="19576E2F"/>
    <w:rsid w:val="195A1EDE"/>
    <w:rsid w:val="195A46B8"/>
    <w:rsid w:val="195B5233"/>
    <w:rsid w:val="1977008B"/>
    <w:rsid w:val="19787FBA"/>
    <w:rsid w:val="197A1C24"/>
    <w:rsid w:val="197D150F"/>
    <w:rsid w:val="19854616"/>
    <w:rsid w:val="19856C4C"/>
    <w:rsid w:val="198804EA"/>
    <w:rsid w:val="199C5D44"/>
    <w:rsid w:val="19A5109C"/>
    <w:rsid w:val="19A61C3A"/>
    <w:rsid w:val="19A8293B"/>
    <w:rsid w:val="19AC41D9"/>
    <w:rsid w:val="19B033FA"/>
    <w:rsid w:val="19B802BF"/>
    <w:rsid w:val="19BE3F0C"/>
    <w:rsid w:val="19C42AEA"/>
    <w:rsid w:val="19C57049"/>
    <w:rsid w:val="19C73298"/>
    <w:rsid w:val="19C77265"/>
    <w:rsid w:val="19CC236B"/>
    <w:rsid w:val="19D92807"/>
    <w:rsid w:val="19DC4283"/>
    <w:rsid w:val="19DD25E4"/>
    <w:rsid w:val="19E17FAF"/>
    <w:rsid w:val="19E56821"/>
    <w:rsid w:val="19EA6CD0"/>
    <w:rsid w:val="19EF4695"/>
    <w:rsid w:val="19F11661"/>
    <w:rsid w:val="19F5712E"/>
    <w:rsid w:val="1A275A5A"/>
    <w:rsid w:val="1A275DFB"/>
    <w:rsid w:val="1A3B63C7"/>
    <w:rsid w:val="1A3C340A"/>
    <w:rsid w:val="1A472092"/>
    <w:rsid w:val="1A494C80"/>
    <w:rsid w:val="1A514D80"/>
    <w:rsid w:val="1A5B5472"/>
    <w:rsid w:val="1A606D71"/>
    <w:rsid w:val="1A63442D"/>
    <w:rsid w:val="1A646BE8"/>
    <w:rsid w:val="1A6B5E42"/>
    <w:rsid w:val="1A6C1BBA"/>
    <w:rsid w:val="1A716897"/>
    <w:rsid w:val="1A7226F6"/>
    <w:rsid w:val="1A73397C"/>
    <w:rsid w:val="1A744270"/>
    <w:rsid w:val="1A744BDA"/>
    <w:rsid w:val="1A762E52"/>
    <w:rsid w:val="1A793EE5"/>
    <w:rsid w:val="1A815D2D"/>
    <w:rsid w:val="1A824F3A"/>
    <w:rsid w:val="1A845156"/>
    <w:rsid w:val="1A862C7C"/>
    <w:rsid w:val="1A8B2E32"/>
    <w:rsid w:val="1A947142"/>
    <w:rsid w:val="1A963B52"/>
    <w:rsid w:val="1AA02AF5"/>
    <w:rsid w:val="1AA2382E"/>
    <w:rsid w:val="1AB33345"/>
    <w:rsid w:val="1AC0431E"/>
    <w:rsid w:val="1AC24E64"/>
    <w:rsid w:val="1AC35C7E"/>
    <w:rsid w:val="1AC52C1B"/>
    <w:rsid w:val="1AC752EA"/>
    <w:rsid w:val="1ACB68E1"/>
    <w:rsid w:val="1AD14509"/>
    <w:rsid w:val="1AD5150D"/>
    <w:rsid w:val="1AE17EB2"/>
    <w:rsid w:val="1AE43D03"/>
    <w:rsid w:val="1AE6196C"/>
    <w:rsid w:val="1AF17443"/>
    <w:rsid w:val="1AFE63D7"/>
    <w:rsid w:val="1AFF6057"/>
    <w:rsid w:val="1B017AA2"/>
    <w:rsid w:val="1B041DF3"/>
    <w:rsid w:val="1B077945"/>
    <w:rsid w:val="1B087B35"/>
    <w:rsid w:val="1B0D0831"/>
    <w:rsid w:val="1B0E67CD"/>
    <w:rsid w:val="1B133F19"/>
    <w:rsid w:val="1B171B26"/>
    <w:rsid w:val="1B1C538E"/>
    <w:rsid w:val="1B1E5236"/>
    <w:rsid w:val="1B2028BA"/>
    <w:rsid w:val="1B244243"/>
    <w:rsid w:val="1B245F4B"/>
    <w:rsid w:val="1B261D69"/>
    <w:rsid w:val="1B2D759B"/>
    <w:rsid w:val="1B324BB2"/>
    <w:rsid w:val="1B334486"/>
    <w:rsid w:val="1B3A75C2"/>
    <w:rsid w:val="1B3F05DC"/>
    <w:rsid w:val="1B466AA1"/>
    <w:rsid w:val="1B4D5F47"/>
    <w:rsid w:val="1B53059D"/>
    <w:rsid w:val="1B535AE1"/>
    <w:rsid w:val="1B593EEC"/>
    <w:rsid w:val="1B596F0A"/>
    <w:rsid w:val="1B5A7C65"/>
    <w:rsid w:val="1B5E64BF"/>
    <w:rsid w:val="1B5F2658"/>
    <w:rsid w:val="1B670199"/>
    <w:rsid w:val="1B6A4663"/>
    <w:rsid w:val="1B6D7998"/>
    <w:rsid w:val="1B6F4D9F"/>
    <w:rsid w:val="1B735DC4"/>
    <w:rsid w:val="1B75684C"/>
    <w:rsid w:val="1B7E354A"/>
    <w:rsid w:val="1B811695"/>
    <w:rsid w:val="1B921470"/>
    <w:rsid w:val="1B9A0316"/>
    <w:rsid w:val="1B9B1B2B"/>
    <w:rsid w:val="1B9B2757"/>
    <w:rsid w:val="1BA07391"/>
    <w:rsid w:val="1BA216CC"/>
    <w:rsid w:val="1BAD2BF6"/>
    <w:rsid w:val="1BBB4BA7"/>
    <w:rsid w:val="1BCC0B62"/>
    <w:rsid w:val="1BCD0437"/>
    <w:rsid w:val="1BCF41AF"/>
    <w:rsid w:val="1BD9502D"/>
    <w:rsid w:val="1BDF2521"/>
    <w:rsid w:val="1BF41E67"/>
    <w:rsid w:val="1BF44C42"/>
    <w:rsid w:val="1BF711F2"/>
    <w:rsid w:val="1BFB6D14"/>
    <w:rsid w:val="1BFD21A8"/>
    <w:rsid w:val="1C074B5F"/>
    <w:rsid w:val="1C0D1A17"/>
    <w:rsid w:val="1C185B56"/>
    <w:rsid w:val="1C204A0A"/>
    <w:rsid w:val="1C3B1844"/>
    <w:rsid w:val="1C3F6CF1"/>
    <w:rsid w:val="1C406E5A"/>
    <w:rsid w:val="1C4F32BF"/>
    <w:rsid w:val="1C547A87"/>
    <w:rsid w:val="1C5D50DD"/>
    <w:rsid w:val="1C6E0AF0"/>
    <w:rsid w:val="1C7979FF"/>
    <w:rsid w:val="1C7B0660"/>
    <w:rsid w:val="1C7E0123"/>
    <w:rsid w:val="1C8256C5"/>
    <w:rsid w:val="1C845425"/>
    <w:rsid w:val="1C8A55DB"/>
    <w:rsid w:val="1C9378D2"/>
    <w:rsid w:val="1CA127AD"/>
    <w:rsid w:val="1CA401D2"/>
    <w:rsid w:val="1CA572BB"/>
    <w:rsid w:val="1CB87339"/>
    <w:rsid w:val="1CB979D0"/>
    <w:rsid w:val="1CBC0BD7"/>
    <w:rsid w:val="1CC94D00"/>
    <w:rsid w:val="1CD17F65"/>
    <w:rsid w:val="1CE43C8A"/>
    <w:rsid w:val="1CE6621A"/>
    <w:rsid w:val="1CF3211F"/>
    <w:rsid w:val="1CF52E26"/>
    <w:rsid w:val="1CFC3AAF"/>
    <w:rsid w:val="1D01483C"/>
    <w:rsid w:val="1D0C2F6A"/>
    <w:rsid w:val="1D0D31E0"/>
    <w:rsid w:val="1D1232A7"/>
    <w:rsid w:val="1D1327C1"/>
    <w:rsid w:val="1D17360B"/>
    <w:rsid w:val="1D1A76AB"/>
    <w:rsid w:val="1D1C05C1"/>
    <w:rsid w:val="1D1C3424"/>
    <w:rsid w:val="1D1E11D5"/>
    <w:rsid w:val="1D284574"/>
    <w:rsid w:val="1D293D92"/>
    <w:rsid w:val="1D2A2B43"/>
    <w:rsid w:val="1D2D73DF"/>
    <w:rsid w:val="1D4D1EC3"/>
    <w:rsid w:val="1D50131F"/>
    <w:rsid w:val="1D56311B"/>
    <w:rsid w:val="1D5809A5"/>
    <w:rsid w:val="1D5C338E"/>
    <w:rsid w:val="1D694F9E"/>
    <w:rsid w:val="1D6B7F07"/>
    <w:rsid w:val="1D6D282C"/>
    <w:rsid w:val="1D7D4988"/>
    <w:rsid w:val="1D833C3B"/>
    <w:rsid w:val="1D882867"/>
    <w:rsid w:val="1D8E0C32"/>
    <w:rsid w:val="1D9A4E1B"/>
    <w:rsid w:val="1DA06BD3"/>
    <w:rsid w:val="1DA32664"/>
    <w:rsid w:val="1DAC53E1"/>
    <w:rsid w:val="1DB73E9D"/>
    <w:rsid w:val="1DC84D43"/>
    <w:rsid w:val="1DD13FE0"/>
    <w:rsid w:val="1DD41F50"/>
    <w:rsid w:val="1DE026A3"/>
    <w:rsid w:val="1DE303E5"/>
    <w:rsid w:val="1DE7131E"/>
    <w:rsid w:val="1DE93768"/>
    <w:rsid w:val="1DF223D6"/>
    <w:rsid w:val="1DF6646A"/>
    <w:rsid w:val="1DF83A4F"/>
    <w:rsid w:val="1DFD34C1"/>
    <w:rsid w:val="1E0062C5"/>
    <w:rsid w:val="1E01086B"/>
    <w:rsid w:val="1E032872"/>
    <w:rsid w:val="1E0839A8"/>
    <w:rsid w:val="1E0A3BC4"/>
    <w:rsid w:val="1E107C03"/>
    <w:rsid w:val="1E14059F"/>
    <w:rsid w:val="1E146797"/>
    <w:rsid w:val="1E255050"/>
    <w:rsid w:val="1E276524"/>
    <w:rsid w:val="1E30006D"/>
    <w:rsid w:val="1E312EFF"/>
    <w:rsid w:val="1E3536D1"/>
    <w:rsid w:val="1E3638C9"/>
    <w:rsid w:val="1E37428D"/>
    <w:rsid w:val="1E380731"/>
    <w:rsid w:val="1E384CEE"/>
    <w:rsid w:val="1E3A4E55"/>
    <w:rsid w:val="1E3B5B2B"/>
    <w:rsid w:val="1E3F625F"/>
    <w:rsid w:val="1E427CBA"/>
    <w:rsid w:val="1E4B2160"/>
    <w:rsid w:val="1E4E0624"/>
    <w:rsid w:val="1E564F90"/>
    <w:rsid w:val="1E5B1C03"/>
    <w:rsid w:val="1E5D3CF4"/>
    <w:rsid w:val="1E786D7F"/>
    <w:rsid w:val="1E7A3646"/>
    <w:rsid w:val="1E7E0D49"/>
    <w:rsid w:val="1E82375A"/>
    <w:rsid w:val="1E8F5E77"/>
    <w:rsid w:val="1E937715"/>
    <w:rsid w:val="1E9C7DFD"/>
    <w:rsid w:val="1EAA6178"/>
    <w:rsid w:val="1EBC7EE5"/>
    <w:rsid w:val="1EC10726"/>
    <w:rsid w:val="1ED32208"/>
    <w:rsid w:val="1EE80487"/>
    <w:rsid w:val="1EEE7D7A"/>
    <w:rsid w:val="1EF02DBA"/>
    <w:rsid w:val="1EFE05CB"/>
    <w:rsid w:val="1F022AED"/>
    <w:rsid w:val="1F071BF2"/>
    <w:rsid w:val="1F071EB1"/>
    <w:rsid w:val="1F2111F3"/>
    <w:rsid w:val="1F2C1918"/>
    <w:rsid w:val="1F2C661D"/>
    <w:rsid w:val="1F4629DA"/>
    <w:rsid w:val="1F4B6242"/>
    <w:rsid w:val="1F510363"/>
    <w:rsid w:val="1F52137F"/>
    <w:rsid w:val="1F53409F"/>
    <w:rsid w:val="1F547D24"/>
    <w:rsid w:val="1F550B64"/>
    <w:rsid w:val="1F550E6F"/>
    <w:rsid w:val="1F5A6485"/>
    <w:rsid w:val="1F5B5A4B"/>
    <w:rsid w:val="1F5C21FD"/>
    <w:rsid w:val="1F5E55CF"/>
    <w:rsid w:val="1F62533A"/>
    <w:rsid w:val="1F66260D"/>
    <w:rsid w:val="1F6D49F4"/>
    <w:rsid w:val="1F752B76"/>
    <w:rsid w:val="1F7943F8"/>
    <w:rsid w:val="1F7A641B"/>
    <w:rsid w:val="1F7D37A4"/>
    <w:rsid w:val="1F7E6617"/>
    <w:rsid w:val="1F8010E2"/>
    <w:rsid w:val="1F811C64"/>
    <w:rsid w:val="1F841754"/>
    <w:rsid w:val="1F850636"/>
    <w:rsid w:val="1F86727A"/>
    <w:rsid w:val="1F871B9D"/>
    <w:rsid w:val="1F8B235A"/>
    <w:rsid w:val="1F8C6655"/>
    <w:rsid w:val="1F8D685B"/>
    <w:rsid w:val="1F8F25D3"/>
    <w:rsid w:val="1F941997"/>
    <w:rsid w:val="1F953171"/>
    <w:rsid w:val="1F9E56AE"/>
    <w:rsid w:val="1FA0658E"/>
    <w:rsid w:val="1FA47700"/>
    <w:rsid w:val="1FA567E1"/>
    <w:rsid w:val="1FA93AE5"/>
    <w:rsid w:val="1FAA078A"/>
    <w:rsid w:val="1FAB5F21"/>
    <w:rsid w:val="1FB42039"/>
    <w:rsid w:val="1FB45B95"/>
    <w:rsid w:val="1FC60591"/>
    <w:rsid w:val="1FC7052F"/>
    <w:rsid w:val="1FCC4E53"/>
    <w:rsid w:val="1FCF6E73"/>
    <w:rsid w:val="1FD91AA0"/>
    <w:rsid w:val="1FDB5818"/>
    <w:rsid w:val="1FDD0348"/>
    <w:rsid w:val="1FE67D19"/>
    <w:rsid w:val="1FE7674F"/>
    <w:rsid w:val="1FF22990"/>
    <w:rsid w:val="1FF24910"/>
    <w:rsid w:val="1FF561AE"/>
    <w:rsid w:val="1FFF6B11"/>
    <w:rsid w:val="20052895"/>
    <w:rsid w:val="200D799B"/>
    <w:rsid w:val="201A430D"/>
    <w:rsid w:val="201B3E66"/>
    <w:rsid w:val="201C373B"/>
    <w:rsid w:val="20270A5D"/>
    <w:rsid w:val="2027280B"/>
    <w:rsid w:val="20346CD6"/>
    <w:rsid w:val="203A4BB0"/>
    <w:rsid w:val="203E7B55"/>
    <w:rsid w:val="204528C3"/>
    <w:rsid w:val="20512691"/>
    <w:rsid w:val="20581625"/>
    <w:rsid w:val="205A0BE5"/>
    <w:rsid w:val="205E3D53"/>
    <w:rsid w:val="2063127C"/>
    <w:rsid w:val="20686980"/>
    <w:rsid w:val="206F3636"/>
    <w:rsid w:val="207417C9"/>
    <w:rsid w:val="207B66B3"/>
    <w:rsid w:val="207D57F1"/>
    <w:rsid w:val="207E49DB"/>
    <w:rsid w:val="20855784"/>
    <w:rsid w:val="20875058"/>
    <w:rsid w:val="208766DE"/>
    <w:rsid w:val="20887022"/>
    <w:rsid w:val="208C08C0"/>
    <w:rsid w:val="208C6B12"/>
    <w:rsid w:val="208E288A"/>
    <w:rsid w:val="20A844D6"/>
    <w:rsid w:val="20AE75E0"/>
    <w:rsid w:val="20B024DA"/>
    <w:rsid w:val="20B16579"/>
    <w:rsid w:val="20B66E05"/>
    <w:rsid w:val="20B96BBD"/>
    <w:rsid w:val="20BA296B"/>
    <w:rsid w:val="20BB2F53"/>
    <w:rsid w:val="20BE2A44"/>
    <w:rsid w:val="20BE435D"/>
    <w:rsid w:val="20BE6C95"/>
    <w:rsid w:val="20BF4565"/>
    <w:rsid w:val="20C22EE1"/>
    <w:rsid w:val="20C42E30"/>
    <w:rsid w:val="20C847C5"/>
    <w:rsid w:val="20CC33B3"/>
    <w:rsid w:val="20CE712B"/>
    <w:rsid w:val="20D44015"/>
    <w:rsid w:val="20D858B3"/>
    <w:rsid w:val="20DA0FB5"/>
    <w:rsid w:val="20E85B7C"/>
    <w:rsid w:val="20EA4507"/>
    <w:rsid w:val="20FF72E4"/>
    <w:rsid w:val="21046996"/>
    <w:rsid w:val="211636D4"/>
    <w:rsid w:val="2118648C"/>
    <w:rsid w:val="211F239D"/>
    <w:rsid w:val="21222FD3"/>
    <w:rsid w:val="21224D81"/>
    <w:rsid w:val="21274A8D"/>
    <w:rsid w:val="212B54E9"/>
    <w:rsid w:val="212C6C44"/>
    <w:rsid w:val="2130749E"/>
    <w:rsid w:val="21363FA7"/>
    <w:rsid w:val="213F19B0"/>
    <w:rsid w:val="21424834"/>
    <w:rsid w:val="21425982"/>
    <w:rsid w:val="214679F1"/>
    <w:rsid w:val="21494A03"/>
    <w:rsid w:val="214E3D93"/>
    <w:rsid w:val="215A451A"/>
    <w:rsid w:val="215F4EB2"/>
    <w:rsid w:val="21610013"/>
    <w:rsid w:val="2164183D"/>
    <w:rsid w:val="21690C01"/>
    <w:rsid w:val="21721A3C"/>
    <w:rsid w:val="21935D34"/>
    <w:rsid w:val="21962254"/>
    <w:rsid w:val="219A0DBB"/>
    <w:rsid w:val="219E4D4F"/>
    <w:rsid w:val="219E6AFD"/>
    <w:rsid w:val="21A82844"/>
    <w:rsid w:val="21A954A2"/>
    <w:rsid w:val="21B03969"/>
    <w:rsid w:val="21BE719F"/>
    <w:rsid w:val="21C260D3"/>
    <w:rsid w:val="21C7260F"/>
    <w:rsid w:val="21CB71C6"/>
    <w:rsid w:val="21CC3AB9"/>
    <w:rsid w:val="21CF14FC"/>
    <w:rsid w:val="21D850A8"/>
    <w:rsid w:val="21D97A24"/>
    <w:rsid w:val="21DE514B"/>
    <w:rsid w:val="21DF2155"/>
    <w:rsid w:val="21EF6F89"/>
    <w:rsid w:val="21F5621A"/>
    <w:rsid w:val="21FA7A01"/>
    <w:rsid w:val="21FC1A76"/>
    <w:rsid w:val="22027146"/>
    <w:rsid w:val="220628F4"/>
    <w:rsid w:val="220D693F"/>
    <w:rsid w:val="22133EA1"/>
    <w:rsid w:val="221C4F27"/>
    <w:rsid w:val="221C5C74"/>
    <w:rsid w:val="221E1A69"/>
    <w:rsid w:val="221E7789"/>
    <w:rsid w:val="22205764"/>
    <w:rsid w:val="222335F4"/>
    <w:rsid w:val="22277108"/>
    <w:rsid w:val="222D54C8"/>
    <w:rsid w:val="222E604F"/>
    <w:rsid w:val="22375F03"/>
    <w:rsid w:val="226252B7"/>
    <w:rsid w:val="22634F28"/>
    <w:rsid w:val="226F7886"/>
    <w:rsid w:val="228A7CE8"/>
    <w:rsid w:val="228F28EA"/>
    <w:rsid w:val="2296509B"/>
    <w:rsid w:val="229C112C"/>
    <w:rsid w:val="22AA3280"/>
    <w:rsid w:val="22B16DB5"/>
    <w:rsid w:val="22CA0A67"/>
    <w:rsid w:val="22D12D99"/>
    <w:rsid w:val="22D32730"/>
    <w:rsid w:val="22D354B0"/>
    <w:rsid w:val="22D80950"/>
    <w:rsid w:val="22E70030"/>
    <w:rsid w:val="22E7651F"/>
    <w:rsid w:val="22E97074"/>
    <w:rsid w:val="22ED16EF"/>
    <w:rsid w:val="22F870EC"/>
    <w:rsid w:val="22FD18EE"/>
    <w:rsid w:val="22FD5AA5"/>
    <w:rsid w:val="22FF7A6F"/>
    <w:rsid w:val="230965BE"/>
    <w:rsid w:val="230C49BB"/>
    <w:rsid w:val="23270D74"/>
    <w:rsid w:val="232748D0"/>
    <w:rsid w:val="23290559"/>
    <w:rsid w:val="232B4D7F"/>
    <w:rsid w:val="232C1EE7"/>
    <w:rsid w:val="23384D2F"/>
    <w:rsid w:val="23386ADD"/>
    <w:rsid w:val="233A3E74"/>
    <w:rsid w:val="233F226F"/>
    <w:rsid w:val="23403F3F"/>
    <w:rsid w:val="23432C40"/>
    <w:rsid w:val="234C4337"/>
    <w:rsid w:val="235C20D3"/>
    <w:rsid w:val="235F6E08"/>
    <w:rsid w:val="23655AD8"/>
    <w:rsid w:val="2375388E"/>
    <w:rsid w:val="237613B4"/>
    <w:rsid w:val="237A1EED"/>
    <w:rsid w:val="23847980"/>
    <w:rsid w:val="239006C7"/>
    <w:rsid w:val="239161EE"/>
    <w:rsid w:val="239376FE"/>
    <w:rsid w:val="23953F30"/>
    <w:rsid w:val="239A3798"/>
    <w:rsid w:val="239B0E1A"/>
    <w:rsid w:val="239C706C"/>
    <w:rsid w:val="23A22E33"/>
    <w:rsid w:val="23A5639B"/>
    <w:rsid w:val="23AC3027"/>
    <w:rsid w:val="23B048C6"/>
    <w:rsid w:val="23B26890"/>
    <w:rsid w:val="23B5012E"/>
    <w:rsid w:val="23BC5F31"/>
    <w:rsid w:val="23BD5235"/>
    <w:rsid w:val="23C245F9"/>
    <w:rsid w:val="23C40371"/>
    <w:rsid w:val="23C465C3"/>
    <w:rsid w:val="23C959D7"/>
    <w:rsid w:val="23E07DF7"/>
    <w:rsid w:val="23E7405F"/>
    <w:rsid w:val="23EB7971"/>
    <w:rsid w:val="23ED6700"/>
    <w:rsid w:val="23F61D9E"/>
    <w:rsid w:val="23F7298C"/>
    <w:rsid w:val="24015121"/>
    <w:rsid w:val="240D46A2"/>
    <w:rsid w:val="240D7B39"/>
    <w:rsid w:val="240E11D3"/>
    <w:rsid w:val="240E1877"/>
    <w:rsid w:val="24150BCD"/>
    <w:rsid w:val="241A474A"/>
    <w:rsid w:val="241A5341"/>
    <w:rsid w:val="24246FC7"/>
    <w:rsid w:val="242A0654"/>
    <w:rsid w:val="242A28CA"/>
    <w:rsid w:val="242D3C66"/>
    <w:rsid w:val="243A5F74"/>
    <w:rsid w:val="243C25FD"/>
    <w:rsid w:val="24401F5B"/>
    <w:rsid w:val="244060CE"/>
    <w:rsid w:val="24415E66"/>
    <w:rsid w:val="244514B2"/>
    <w:rsid w:val="24482D50"/>
    <w:rsid w:val="244A6AC8"/>
    <w:rsid w:val="245142FB"/>
    <w:rsid w:val="245157A9"/>
    <w:rsid w:val="24521E21"/>
    <w:rsid w:val="245E2369"/>
    <w:rsid w:val="24635DDC"/>
    <w:rsid w:val="246B6FCE"/>
    <w:rsid w:val="246E7EEA"/>
    <w:rsid w:val="24741985"/>
    <w:rsid w:val="247B4ED4"/>
    <w:rsid w:val="247D74AC"/>
    <w:rsid w:val="248A1E01"/>
    <w:rsid w:val="248D578B"/>
    <w:rsid w:val="2492046F"/>
    <w:rsid w:val="24942439"/>
    <w:rsid w:val="249A7793"/>
    <w:rsid w:val="24A46A52"/>
    <w:rsid w:val="24A551E3"/>
    <w:rsid w:val="24B37B4E"/>
    <w:rsid w:val="24B46637"/>
    <w:rsid w:val="24B6427E"/>
    <w:rsid w:val="24B77ED6"/>
    <w:rsid w:val="24C90335"/>
    <w:rsid w:val="24D95CB5"/>
    <w:rsid w:val="24E0742D"/>
    <w:rsid w:val="24E44941"/>
    <w:rsid w:val="24ED0821"/>
    <w:rsid w:val="24ED56A6"/>
    <w:rsid w:val="24F67371"/>
    <w:rsid w:val="24FF0039"/>
    <w:rsid w:val="2503311B"/>
    <w:rsid w:val="250E5D48"/>
    <w:rsid w:val="251751FA"/>
    <w:rsid w:val="251A1D87"/>
    <w:rsid w:val="252437BD"/>
    <w:rsid w:val="25257535"/>
    <w:rsid w:val="252717F0"/>
    <w:rsid w:val="253A4D8F"/>
    <w:rsid w:val="25423C43"/>
    <w:rsid w:val="25445C0D"/>
    <w:rsid w:val="25453733"/>
    <w:rsid w:val="254B7A8F"/>
    <w:rsid w:val="254C6870"/>
    <w:rsid w:val="2558727E"/>
    <w:rsid w:val="255954CE"/>
    <w:rsid w:val="255A1AC2"/>
    <w:rsid w:val="256242E5"/>
    <w:rsid w:val="25861D82"/>
    <w:rsid w:val="258636AA"/>
    <w:rsid w:val="259124D5"/>
    <w:rsid w:val="25AD66BE"/>
    <w:rsid w:val="25B032A3"/>
    <w:rsid w:val="25B058B1"/>
    <w:rsid w:val="25B22AFD"/>
    <w:rsid w:val="25B368EF"/>
    <w:rsid w:val="25B521A5"/>
    <w:rsid w:val="25BC1C48"/>
    <w:rsid w:val="25BC57A4"/>
    <w:rsid w:val="25BD3A72"/>
    <w:rsid w:val="25BF3561"/>
    <w:rsid w:val="25C94365"/>
    <w:rsid w:val="25CD42FA"/>
    <w:rsid w:val="25D42C39"/>
    <w:rsid w:val="25E92311"/>
    <w:rsid w:val="25E927C7"/>
    <w:rsid w:val="25EA75D4"/>
    <w:rsid w:val="25F0369F"/>
    <w:rsid w:val="25F817B2"/>
    <w:rsid w:val="25FC0F7C"/>
    <w:rsid w:val="26005721"/>
    <w:rsid w:val="26006DF0"/>
    <w:rsid w:val="26093573"/>
    <w:rsid w:val="2619229C"/>
    <w:rsid w:val="261B149A"/>
    <w:rsid w:val="261C67A7"/>
    <w:rsid w:val="261F21D6"/>
    <w:rsid w:val="26235823"/>
    <w:rsid w:val="26247424"/>
    <w:rsid w:val="262B46D7"/>
    <w:rsid w:val="26315601"/>
    <w:rsid w:val="26355556"/>
    <w:rsid w:val="263C4B36"/>
    <w:rsid w:val="26431A21"/>
    <w:rsid w:val="2647597F"/>
    <w:rsid w:val="26492DAF"/>
    <w:rsid w:val="2650617A"/>
    <w:rsid w:val="265359DC"/>
    <w:rsid w:val="265C2EBC"/>
    <w:rsid w:val="265D45D0"/>
    <w:rsid w:val="26633E71"/>
    <w:rsid w:val="2665408D"/>
    <w:rsid w:val="266B424C"/>
    <w:rsid w:val="266E45B7"/>
    <w:rsid w:val="266E7847"/>
    <w:rsid w:val="266F1FBA"/>
    <w:rsid w:val="26720558"/>
    <w:rsid w:val="26760048"/>
    <w:rsid w:val="26812549"/>
    <w:rsid w:val="26887D7C"/>
    <w:rsid w:val="268B161A"/>
    <w:rsid w:val="269C55D5"/>
    <w:rsid w:val="269E759F"/>
    <w:rsid w:val="26AA7CF2"/>
    <w:rsid w:val="26B06615"/>
    <w:rsid w:val="26B30632"/>
    <w:rsid w:val="26C07516"/>
    <w:rsid w:val="26C1676C"/>
    <w:rsid w:val="26C22CB8"/>
    <w:rsid w:val="26CC7C68"/>
    <w:rsid w:val="26CF41D8"/>
    <w:rsid w:val="26D47194"/>
    <w:rsid w:val="26D63BC5"/>
    <w:rsid w:val="26E52AD8"/>
    <w:rsid w:val="2702368A"/>
    <w:rsid w:val="2708188E"/>
    <w:rsid w:val="27090EBD"/>
    <w:rsid w:val="270A0791"/>
    <w:rsid w:val="270D0281"/>
    <w:rsid w:val="271D4D8D"/>
    <w:rsid w:val="27215DF4"/>
    <w:rsid w:val="272763A3"/>
    <w:rsid w:val="27437438"/>
    <w:rsid w:val="27457B31"/>
    <w:rsid w:val="274F0899"/>
    <w:rsid w:val="2751016E"/>
    <w:rsid w:val="27524BBB"/>
    <w:rsid w:val="276023A4"/>
    <w:rsid w:val="27691C3B"/>
    <w:rsid w:val="276B1020"/>
    <w:rsid w:val="276E0D20"/>
    <w:rsid w:val="27734588"/>
    <w:rsid w:val="27750300"/>
    <w:rsid w:val="277A0619"/>
    <w:rsid w:val="277A14C9"/>
    <w:rsid w:val="277A3B68"/>
    <w:rsid w:val="277D71B5"/>
    <w:rsid w:val="278A3680"/>
    <w:rsid w:val="278C276F"/>
    <w:rsid w:val="27983FEE"/>
    <w:rsid w:val="279D33B3"/>
    <w:rsid w:val="279D5836"/>
    <w:rsid w:val="27AA1570"/>
    <w:rsid w:val="27AE3812"/>
    <w:rsid w:val="27B16E5E"/>
    <w:rsid w:val="27B32BD6"/>
    <w:rsid w:val="27B4482F"/>
    <w:rsid w:val="27B461E0"/>
    <w:rsid w:val="27B506FD"/>
    <w:rsid w:val="27BA21B7"/>
    <w:rsid w:val="27BA2D51"/>
    <w:rsid w:val="27C46B92"/>
    <w:rsid w:val="27C61D3C"/>
    <w:rsid w:val="27CC6398"/>
    <w:rsid w:val="27CC7C5C"/>
    <w:rsid w:val="27CD40FC"/>
    <w:rsid w:val="27CE0B04"/>
    <w:rsid w:val="27CE54DA"/>
    <w:rsid w:val="27CF5603"/>
    <w:rsid w:val="27D452C6"/>
    <w:rsid w:val="27DA4607"/>
    <w:rsid w:val="27DD40F7"/>
    <w:rsid w:val="27E15995"/>
    <w:rsid w:val="27E965F8"/>
    <w:rsid w:val="27EB6814"/>
    <w:rsid w:val="27ED433A"/>
    <w:rsid w:val="27F531EF"/>
    <w:rsid w:val="27FC27CF"/>
    <w:rsid w:val="28033B5E"/>
    <w:rsid w:val="280A1DA2"/>
    <w:rsid w:val="2811192C"/>
    <w:rsid w:val="28164551"/>
    <w:rsid w:val="28177CEF"/>
    <w:rsid w:val="28186220"/>
    <w:rsid w:val="281B4572"/>
    <w:rsid w:val="281F64BE"/>
    <w:rsid w:val="28202CB2"/>
    <w:rsid w:val="28212236"/>
    <w:rsid w:val="28221B0A"/>
    <w:rsid w:val="28256D6A"/>
    <w:rsid w:val="282615FA"/>
    <w:rsid w:val="28396551"/>
    <w:rsid w:val="283A1347"/>
    <w:rsid w:val="283D7E81"/>
    <w:rsid w:val="283E5C7F"/>
    <w:rsid w:val="28506118"/>
    <w:rsid w:val="285560B3"/>
    <w:rsid w:val="285A12A4"/>
    <w:rsid w:val="2862727C"/>
    <w:rsid w:val="28680D51"/>
    <w:rsid w:val="286914E7"/>
    <w:rsid w:val="28723F0E"/>
    <w:rsid w:val="28747240"/>
    <w:rsid w:val="287A28F9"/>
    <w:rsid w:val="2886146E"/>
    <w:rsid w:val="289326AB"/>
    <w:rsid w:val="289449F8"/>
    <w:rsid w:val="289C3D0A"/>
    <w:rsid w:val="28AA222B"/>
    <w:rsid w:val="28AB3FA6"/>
    <w:rsid w:val="28B50BD7"/>
    <w:rsid w:val="28B9246E"/>
    <w:rsid w:val="28C149C3"/>
    <w:rsid w:val="28CC03F4"/>
    <w:rsid w:val="28D15A0A"/>
    <w:rsid w:val="28D61AB0"/>
    <w:rsid w:val="28DA4193"/>
    <w:rsid w:val="28E15521"/>
    <w:rsid w:val="28F46B87"/>
    <w:rsid w:val="290C6A42"/>
    <w:rsid w:val="29161DF0"/>
    <w:rsid w:val="29196884"/>
    <w:rsid w:val="291A4A19"/>
    <w:rsid w:val="291D0C4F"/>
    <w:rsid w:val="291F75C2"/>
    <w:rsid w:val="29242BE0"/>
    <w:rsid w:val="292C6F58"/>
    <w:rsid w:val="293143F3"/>
    <w:rsid w:val="293164A9"/>
    <w:rsid w:val="293907A5"/>
    <w:rsid w:val="293F24A6"/>
    <w:rsid w:val="293F6969"/>
    <w:rsid w:val="29422464"/>
    <w:rsid w:val="294A6488"/>
    <w:rsid w:val="294D09EE"/>
    <w:rsid w:val="294D0D1A"/>
    <w:rsid w:val="29510EAC"/>
    <w:rsid w:val="295142D9"/>
    <w:rsid w:val="297A02F3"/>
    <w:rsid w:val="297D16EE"/>
    <w:rsid w:val="29803CD8"/>
    <w:rsid w:val="29804D3A"/>
    <w:rsid w:val="29817476"/>
    <w:rsid w:val="298422E4"/>
    <w:rsid w:val="298D1A91"/>
    <w:rsid w:val="298F1421"/>
    <w:rsid w:val="29915199"/>
    <w:rsid w:val="29930F11"/>
    <w:rsid w:val="2999739E"/>
    <w:rsid w:val="29997B56"/>
    <w:rsid w:val="29A053DC"/>
    <w:rsid w:val="29B449E4"/>
    <w:rsid w:val="29B80978"/>
    <w:rsid w:val="29B95010"/>
    <w:rsid w:val="29BA74D4"/>
    <w:rsid w:val="29BB2216"/>
    <w:rsid w:val="29BC45B1"/>
    <w:rsid w:val="29C037A2"/>
    <w:rsid w:val="29C15A7E"/>
    <w:rsid w:val="29C72969"/>
    <w:rsid w:val="29D15596"/>
    <w:rsid w:val="29E06B4E"/>
    <w:rsid w:val="29E259F5"/>
    <w:rsid w:val="29E4176D"/>
    <w:rsid w:val="29E928DF"/>
    <w:rsid w:val="29F0007A"/>
    <w:rsid w:val="29F15C38"/>
    <w:rsid w:val="29F41850"/>
    <w:rsid w:val="29FC3DBA"/>
    <w:rsid w:val="29FF72BC"/>
    <w:rsid w:val="2A0453C0"/>
    <w:rsid w:val="2A0E0B36"/>
    <w:rsid w:val="2A100353"/>
    <w:rsid w:val="2A105D28"/>
    <w:rsid w:val="2A1F4553"/>
    <w:rsid w:val="2A2C6C70"/>
    <w:rsid w:val="2A383867"/>
    <w:rsid w:val="2A387627"/>
    <w:rsid w:val="2A3D7746"/>
    <w:rsid w:val="2A444A48"/>
    <w:rsid w:val="2A462DFF"/>
    <w:rsid w:val="2A4F48C1"/>
    <w:rsid w:val="2A5005DB"/>
    <w:rsid w:val="2A560303"/>
    <w:rsid w:val="2A611BA7"/>
    <w:rsid w:val="2A663F30"/>
    <w:rsid w:val="2A720B27"/>
    <w:rsid w:val="2A726D79"/>
    <w:rsid w:val="2A863D65"/>
    <w:rsid w:val="2A9570F1"/>
    <w:rsid w:val="2A9F1043"/>
    <w:rsid w:val="2AA13EBA"/>
    <w:rsid w:val="2AAF56F4"/>
    <w:rsid w:val="2AB00CB9"/>
    <w:rsid w:val="2AB32EED"/>
    <w:rsid w:val="2AB77CB3"/>
    <w:rsid w:val="2AB925FA"/>
    <w:rsid w:val="2ABB2D11"/>
    <w:rsid w:val="2AC234BF"/>
    <w:rsid w:val="2AC33130"/>
    <w:rsid w:val="2AC414FB"/>
    <w:rsid w:val="2ACE1666"/>
    <w:rsid w:val="2ADC2444"/>
    <w:rsid w:val="2AE222A6"/>
    <w:rsid w:val="2AE64269"/>
    <w:rsid w:val="2AE6612C"/>
    <w:rsid w:val="2AEB78C2"/>
    <w:rsid w:val="2AF25B01"/>
    <w:rsid w:val="2AF61758"/>
    <w:rsid w:val="2AF8540A"/>
    <w:rsid w:val="2AFA50E7"/>
    <w:rsid w:val="2AFA7989"/>
    <w:rsid w:val="2AFB6893"/>
    <w:rsid w:val="2B0A0BD5"/>
    <w:rsid w:val="2B1A38C4"/>
    <w:rsid w:val="2B1F1CB8"/>
    <w:rsid w:val="2B200583"/>
    <w:rsid w:val="2B326508"/>
    <w:rsid w:val="2B361B54"/>
    <w:rsid w:val="2B3D2939"/>
    <w:rsid w:val="2B4104F9"/>
    <w:rsid w:val="2B421E23"/>
    <w:rsid w:val="2B540226"/>
    <w:rsid w:val="2B560E48"/>
    <w:rsid w:val="2B595843"/>
    <w:rsid w:val="2B5F385D"/>
    <w:rsid w:val="2B632B65"/>
    <w:rsid w:val="2B6562E1"/>
    <w:rsid w:val="2B7B7EAF"/>
    <w:rsid w:val="2B8C3E6A"/>
    <w:rsid w:val="2B91322F"/>
    <w:rsid w:val="2B933989"/>
    <w:rsid w:val="2B942D1F"/>
    <w:rsid w:val="2B944ACD"/>
    <w:rsid w:val="2BA47406"/>
    <w:rsid w:val="2BA61294"/>
    <w:rsid w:val="2BA80578"/>
    <w:rsid w:val="2BB304C5"/>
    <w:rsid w:val="2BC2788C"/>
    <w:rsid w:val="2BC4623B"/>
    <w:rsid w:val="2BD745B4"/>
    <w:rsid w:val="2BDE5669"/>
    <w:rsid w:val="2BEE3C69"/>
    <w:rsid w:val="2BF701AA"/>
    <w:rsid w:val="2BF76EE4"/>
    <w:rsid w:val="2BFC3EB7"/>
    <w:rsid w:val="2C026DFD"/>
    <w:rsid w:val="2C054070"/>
    <w:rsid w:val="2C0D368A"/>
    <w:rsid w:val="2C165497"/>
    <w:rsid w:val="2C1A4329"/>
    <w:rsid w:val="2C265648"/>
    <w:rsid w:val="2C275941"/>
    <w:rsid w:val="2C27642C"/>
    <w:rsid w:val="2C2F4DD8"/>
    <w:rsid w:val="2C354526"/>
    <w:rsid w:val="2C370819"/>
    <w:rsid w:val="2C385DA0"/>
    <w:rsid w:val="2C39262E"/>
    <w:rsid w:val="2C432030"/>
    <w:rsid w:val="2C4B162F"/>
    <w:rsid w:val="2C4F362A"/>
    <w:rsid w:val="2C573932"/>
    <w:rsid w:val="2C5A79A9"/>
    <w:rsid w:val="2C601D80"/>
    <w:rsid w:val="2C64117D"/>
    <w:rsid w:val="2C6571C1"/>
    <w:rsid w:val="2C6B2DB9"/>
    <w:rsid w:val="2C7A0167"/>
    <w:rsid w:val="2C7B7B25"/>
    <w:rsid w:val="2C8546E9"/>
    <w:rsid w:val="2C890E12"/>
    <w:rsid w:val="2C893B0D"/>
    <w:rsid w:val="2C8E59C0"/>
    <w:rsid w:val="2C8E70F9"/>
    <w:rsid w:val="2C98683F"/>
    <w:rsid w:val="2C994A91"/>
    <w:rsid w:val="2CAB6572"/>
    <w:rsid w:val="2CAC08A7"/>
    <w:rsid w:val="2CC56979"/>
    <w:rsid w:val="2CC6616B"/>
    <w:rsid w:val="2CC802C1"/>
    <w:rsid w:val="2CCA200A"/>
    <w:rsid w:val="2CCA3D2D"/>
    <w:rsid w:val="2CCD1B76"/>
    <w:rsid w:val="2CD723C8"/>
    <w:rsid w:val="2CD77D84"/>
    <w:rsid w:val="2CDF2696"/>
    <w:rsid w:val="2CEE645F"/>
    <w:rsid w:val="2CF5678B"/>
    <w:rsid w:val="2CF630DA"/>
    <w:rsid w:val="2CFA3FA6"/>
    <w:rsid w:val="2D087520"/>
    <w:rsid w:val="2D0937D9"/>
    <w:rsid w:val="2D0E36E8"/>
    <w:rsid w:val="2D177764"/>
    <w:rsid w:val="2D197980"/>
    <w:rsid w:val="2D1B54A6"/>
    <w:rsid w:val="2D1E73A5"/>
    <w:rsid w:val="2D240F39"/>
    <w:rsid w:val="2D2616C7"/>
    <w:rsid w:val="2D263E4A"/>
    <w:rsid w:val="2D3D562F"/>
    <w:rsid w:val="2D447B5D"/>
    <w:rsid w:val="2D4D587B"/>
    <w:rsid w:val="2D4F15F3"/>
    <w:rsid w:val="2D4F6EFD"/>
    <w:rsid w:val="2D5E1836"/>
    <w:rsid w:val="2D5E5392"/>
    <w:rsid w:val="2D60110A"/>
    <w:rsid w:val="2D630BFB"/>
    <w:rsid w:val="2D66017A"/>
    <w:rsid w:val="2D686211"/>
    <w:rsid w:val="2D727090"/>
    <w:rsid w:val="2D736B67"/>
    <w:rsid w:val="2D766B80"/>
    <w:rsid w:val="2D7A16DF"/>
    <w:rsid w:val="2D7E5A35"/>
    <w:rsid w:val="2D8139E8"/>
    <w:rsid w:val="2D834DF9"/>
    <w:rsid w:val="2D8A7529"/>
    <w:rsid w:val="2D8C0151"/>
    <w:rsid w:val="2D92328E"/>
    <w:rsid w:val="2D946C24"/>
    <w:rsid w:val="2D99053D"/>
    <w:rsid w:val="2D9E60D7"/>
    <w:rsid w:val="2DA059AB"/>
    <w:rsid w:val="2DA20D1C"/>
    <w:rsid w:val="2DA32A8E"/>
    <w:rsid w:val="2DA77776"/>
    <w:rsid w:val="2DA952D9"/>
    <w:rsid w:val="2DA9678E"/>
    <w:rsid w:val="2DAF3E40"/>
    <w:rsid w:val="2DB463C6"/>
    <w:rsid w:val="2DB63BF4"/>
    <w:rsid w:val="2DCC054E"/>
    <w:rsid w:val="2DD33FD2"/>
    <w:rsid w:val="2DDA5646"/>
    <w:rsid w:val="2DDC6AD8"/>
    <w:rsid w:val="2DE55AB4"/>
    <w:rsid w:val="2DE955A4"/>
    <w:rsid w:val="2DF7183C"/>
    <w:rsid w:val="2E075A2A"/>
    <w:rsid w:val="2E0B376C"/>
    <w:rsid w:val="2E106EF5"/>
    <w:rsid w:val="2E150147"/>
    <w:rsid w:val="2E152640"/>
    <w:rsid w:val="2E1B6AD8"/>
    <w:rsid w:val="2E1B7727"/>
    <w:rsid w:val="2E224612"/>
    <w:rsid w:val="2E2503A7"/>
    <w:rsid w:val="2E2675FA"/>
    <w:rsid w:val="2E2761F5"/>
    <w:rsid w:val="2E277E7A"/>
    <w:rsid w:val="2E2A2A49"/>
    <w:rsid w:val="2E2A546B"/>
    <w:rsid w:val="2E4E5407"/>
    <w:rsid w:val="2E4F6CC3"/>
    <w:rsid w:val="2E57625B"/>
    <w:rsid w:val="2E5B0F11"/>
    <w:rsid w:val="2E5B2B77"/>
    <w:rsid w:val="2E5C2B49"/>
    <w:rsid w:val="2E6331BE"/>
    <w:rsid w:val="2E642E7C"/>
    <w:rsid w:val="2E6609A2"/>
    <w:rsid w:val="2E67471B"/>
    <w:rsid w:val="2E701821"/>
    <w:rsid w:val="2E715B35"/>
    <w:rsid w:val="2E786928"/>
    <w:rsid w:val="2E797950"/>
    <w:rsid w:val="2E84707B"/>
    <w:rsid w:val="2E867152"/>
    <w:rsid w:val="2E884DBD"/>
    <w:rsid w:val="2E8C4181"/>
    <w:rsid w:val="2E8D2EEB"/>
    <w:rsid w:val="2E9D3AB1"/>
    <w:rsid w:val="2EA0012A"/>
    <w:rsid w:val="2EA65243"/>
    <w:rsid w:val="2EB07E70"/>
    <w:rsid w:val="2EB23BE8"/>
    <w:rsid w:val="2EB63E9A"/>
    <w:rsid w:val="2EB7395C"/>
    <w:rsid w:val="2EB931C8"/>
    <w:rsid w:val="2EBA6EE4"/>
    <w:rsid w:val="2EBB2B6B"/>
    <w:rsid w:val="2EBD0411"/>
    <w:rsid w:val="2EC23436"/>
    <w:rsid w:val="2EC35DCA"/>
    <w:rsid w:val="2EC67F23"/>
    <w:rsid w:val="2ED55B28"/>
    <w:rsid w:val="2ED84D84"/>
    <w:rsid w:val="2EDD789D"/>
    <w:rsid w:val="2EE3501E"/>
    <w:rsid w:val="2EE87609"/>
    <w:rsid w:val="2EEA070E"/>
    <w:rsid w:val="2EF064BE"/>
    <w:rsid w:val="2EF10F8E"/>
    <w:rsid w:val="2EF42EA6"/>
    <w:rsid w:val="2EF97A69"/>
    <w:rsid w:val="2EFA3CAF"/>
    <w:rsid w:val="2F005429"/>
    <w:rsid w:val="2F063F34"/>
    <w:rsid w:val="2F0C35F9"/>
    <w:rsid w:val="2F216E7C"/>
    <w:rsid w:val="2F237DAC"/>
    <w:rsid w:val="2F527A0D"/>
    <w:rsid w:val="2F544C9F"/>
    <w:rsid w:val="2F5E40B2"/>
    <w:rsid w:val="2F6409A0"/>
    <w:rsid w:val="2F6A5FB0"/>
    <w:rsid w:val="2F6B3D97"/>
    <w:rsid w:val="2F6B6364"/>
    <w:rsid w:val="2F6F7D2B"/>
    <w:rsid w:val="2F736A5D"/>
    <w:rsid w:val="2F740E9D"/>
    <w:rsid w:val="2F7C2DE1"/>
    <w:rsid w:val="2F805A94"/>
    <w:rsid w:val="2F8C48F9"/>
    <w:rsid w:val="2F901C22"/>
    <w:rsid w:val="2F927575"/>
    <w:rsid w:val="2F971D7D"/>
    <w:rsid w:val="2F9A0460"/>
    <w:rsid w:val="2F9B233E"/>
    <w:rsid w:val="2FA8493D"/>
    <w:rsid w:val="2FAD694E"/>
    <w:rsid w:val="2FB34ED1"/>
    <w:rsid w:val="2FB528D8"/>
    <w:rsid w:val="2FB70D51"/>
    <w:rsid w:val="2FBC1D2B"/>
    <w:rsid w:val="2FBE01D2"/>
    <w:rsid w:val="2FBE480E"/>
    <w:rsid w:val="2FCC6F2B"/>
    <w:rsid w:val="2FCD07FA"/>
    <w:rsid w:val="2FD7142C"/>
    <w:rsid w:val="2FD92178"/>
    <w:rsid w:val="2FE643BF"/>
    <w:rsid w:val="2FE85327"/>
    <w:rsid w:val="2FF52573"/>
    <w:rsid w:val="2FF63FA8"/>
    <w:rsid w:val="2FFE15AB"/>
    <w:rsid w:val="2FFF77F2"/>
    <w:rsid w:val="30030473"/>
    <w:rsid w:val="300C411D"/>
    <w:rsid w:val="300F377A"/>
    <w:rsid w:val="3011436C"/>
    <w:rsid w:val="30137EAD"/>
    <w:rsid w:val="301765D2"/>
    <w:rsid w:val="30182170"/>
    <w:rsid w:val="301B29A0"/>
    <w:rsid w:val="301D10D8"/>
    <w:rsid w:val="301D7498"/>
    <w:rsid w:val="3021158F"/>
    <w:rsid w:val="3024558B"/>
    <w:rsid w:val="302C6ACD"/>
    <w:rsid w:val="302F14C5"/>
    <w:rsid w:val="3032417B"/>
    <w:rsid w:val="303571F7"/>
    <w:rsid w:val="303D5733"/>
    <w:rsid w:val="304A7B85"/>
    <w:rsid w:val="304E5F9D"/>
    <w:rsid w:val="304F5466"/>
    <w:rsid w:val="30586A11"/>
    <w:rsid w:val="30656A38"/>
    <w:rsid w:val="306B04F2"/>
    <w:rsid w:val="306B55ED"/>
    <w:rsid w:val="307F360F"/>
    <w:rsid w:val="30830546"/>
    <w:rsid w:val="30937A49"/>
    <w:rsid w:val="30986E0D"/>
    <w:rsid w:val="30AE6631"/>
    <w:rsid w:val="30AF2964"/>
    <w:rsid w:val="30B359F5"/>
    <w:rsid w:val="30B73737"/>
    <w:rsid w:val="30B945AB"/>
    <w:rsid w:val="30C40563"/>
    <w:rsid w:val="30CC4D09"/>
    <w:rsid w:val="30CC6AB7"/>
    <w:rsid w:val="30D32CE3"/>
    <w:rsid w:val="30D342E9"/>
    <w:rsid w:val="30D34B63"/>
    <w:rsid w:val="30E0179F"/>
    <w:rsid w:val="30E025E1"/>
    <w:rsid w:val="30F36E3B"/>
    <w:rsid w:val="30F54260"/>
    <w:rsid w:val="30F93D50"/>
    <w:rsid w:val="31003685"/>
    <w:rsid w:val="31031477"/>
    <w:rsid w:val="310E70CF"/>
    <w:rsid w:val="31115856"/>
    <w:rsid w:val="311741D6"/>
    <w:rsid w:val="31197A6E"/>
    <w:rsid w:val="311A5A74"/>
    <w:rsid w:val="311E5564"/>
    <w:rsid w:val="31206915"/>
    <w:rsid w:val="31245438"/>
    <w:rsid w:val="312863E3"/>
    <w:rsid w:val="312D57A8"/>
    <w:rsid w:val="313034EA"/>
    <w:rsid w:val="31307046"/>
    <w:rsid w:val="3130734C"/>
    <w:rsid w:val="313D032A"/>
    <w:rsid w:val="31440DC5"/>
    <w:rsid w:val="31466AED"/>
    <w:rsid w:val="31570A76"/>
    <w:rsid w:val="315C42DF"/>
    <w:rsid w:val="316E2211"/>
    <w:rsid w:val="31782DD9"/>
    <w:rsid w:val="317C672F"/>
    <w:rsid w:val="317D308E"/>
    <w:rsid w:val="317F5394"/>
    <w:rsid w:val="318605CE"/>
    <w:rsid w:val="318873D1"/>
    <w:rsid w:val="319D5A2E"/>
    <w:rsid w:val="31A55C86"/>
    <w:rsid w:val="31AD4B93"/>
    <w:rsid w:val="31B859A2"/>
    <w:rsid w:val="31B859B9"/>
    <w:rsid w:val="31C7278F"/>
    <w:rsid w:val="31CA1248"/>
    <w:rsid w:val="31D10829"/>
    <w:rsid w:val="31D676E2"/>
    <w:rsid w:val="31D8596B"/>
    <w:rsid w:val="31DB7B50"/>
    <w:rsid w:val="31DE4CF4"/>
    <w:rsid w:val="31E80E0B"/>
    <w:rsid w:val="31F6203D"/>
    <w:rsid w:val="31F664E1"/>
    <w:rsid w:val="320504D2"/>
    <w:rsid w:val="32063522"/>
    <w:rsid w:val="320662F4"/>
    <w:rsid w:val="32087FC3"/>
    <w:rsid w:val="32094B9B"/>
    <w:rsid w:val="320A0A70"/>
    <w:rsid w:val="321F203B"/>
    <w:rsid w:val="321F34EA"/>
    <w:rsid w:val="32243EA7"/>
    <w:rsid w:val="32250B75"/>
    <w:rsid w:val="32272ACB"/>
    <w:rsid w:val="323B3563"/>
    <w:rsid w:val="323F1C36"/>
    <w:rsid w:val="324F1398"/>
    <w:rsid w:val="3253689B"/>
    <w:rsid w:val="326276D3"/>
    <w:rsid w:val="326351F9"/>
    <w:rsid w:val="32674CE9"/>
    <w:rsid w:val="3267573F"/>
    <w:rsid w:val="32694FCA"/>
    <w:rsid w:val="326A2A2B"/>
    <w:rsid w:val="326C004B"/>
    <w:rsid w:val="3271528A"/>
    <w:rsid w:val="32723F04"/>
    <w:rsid w:val="32725B2C"/>
    <w:rsid w:val="32737B32"/>
    <w:rsid w:val="32786EF6"/>
    <w:rsid w:val="32821FC4"/>
    <w:rsid w:val="328303DD"/>
    <w:rsid w:val="32870EE7"/>
    <w:rsid w:val="328F7449"/>
    <w:rsid w:val="32911D66"/>
    <w:rsid w:val="32931F82"/>
    <w:rsid w:val="32933D30"/>
    <w:rsid w:val="32A57E6A"/>
    <w:rsid w:val="32A61CB5"/>
    <w:rsid w:val="32B31CDC"/>
    <w:rsid w:val="32BB6DE3"/>
    <w:rsid w:val="32C03301"/>
    <w:rsid w:val="32C1089D"/>
    <w:rsid w:val="32C71C2C"/>
    <w:rsid w:val="32C920E8"/>
    <w:rsid w:val="32CC6916"/>
    <w:rsid w:val="32D94CDA"/>
    <w:rsid w:val="32DC3E61"/>
    <w:rsid w:val="32DD0626"/>
    <w:rsid w:val="32ED13AC"/>
    <w:rsid w:val="32F17E6C"/>
    <w:rsid w:val="32F56799"/>
    <w:rsid w:val="32FA49A1"/>
    <w:rsid w:val="3302598D"/>
    <w:rsid w:val="330B38AA"/>
    <w:rsid w:val="3310712F"/>
    <w:rsid w:val="3317670F"/>
    <w:rsid w:val="331D35FA"/>
    <w:rsid w:val="33224DA6"/>
    <w:rsid w:val="33233306"/>
    <w:rsid w:val="33240E2C"/>
    <w:rsid w:val="33245CBD"/>
    <w:rsid w:val="33267596"/>
    <w:rsid w:val="332819AF"/>
    <w:rsid w:val="332B7AB5"/>
    <w:rsid w:val="333A23FE"/>
    <w:rsid w:val="333C43C8"/>
    <w:rsid w:val="33423566"/>
    <w:rsid w:val="33426F5E"/>
    <w:rsid w:val="334852C1"/>
    <w:rsid w:val="334B6735"/>
    <w:rsid w:val="334C0420"/>
    <w:rsid w:val="33517CFF"/>
    <w:rsid w:val="33775400"/>
    <w:rsid w:val="338673F1"/>
    <w:rsid w:val="338A4963"/>
    <w:rsid w:val="338D69D1"/>
    <w:rsid w:val="338F44F8"/>
    <w:rsid w:val="33957634"/>
    <w:rsid w:val="339715FE"/>
    <w:rsid w:val="33997124"/>
    <w:rsid w:val="339D76A0"/>
    <w:rsid w:val="33A41CCA"/>
    <w:rsid w:val="33A45AC9"/>
    <w:rsid w:val="33A53886"/>
    <w:rsid w:val="33B026C0"/>
    <w:rsid w:val="33B201E6"/>
    <w:rsid w:val="33B3759D"/>
    <w:rsid w:val="33B421B0"/>
    <w:rsid w:val="33B7367F"/>
    <w:rsid w:val="33BF2903"/>
    <w:rsid w:val="33CC3D88"/>
    <w:rsid w:val="33D91096"/>
    <w:rsid w:val="33E16D1D"/>
    <w:rsid w:val="33E4528A"/>
    <w:rsid w:val="33E75960"/>
    <w:rsid w:val="33EB11AA"/>
    <w:rsid w:val="33F9150F"/>
    <w:rsid w:val="340127FF"/>
    <w:rsid w:val="34017831"/>
    <w:rsid w:val="34037270"/>
    <w:rsid w:val="340C5FD7"/>
    <w:rsid w:val="341177E5"/>
    <w:rsid w:val="341B222F"/>
    <w:rsid w:val="341E0667"/>
    <w:rsid w:val="341E3756"/>
    <w:rsid w:val="342635C9"/>
    <w:rsid w:val="342F15EB"/>
    <w:rsid w:val="34423DB9"/>
    <w:rsid w:val="3444054E"/>
    <w:rsid w:val="344D665C"/>
    <w:rsid w:val="344E7325"/>
    <w:rsid w:val="344F3E18"/>
    <w:rsid w:val="34525525"/>
    <w:rsid w:val="34565015"/>
    <w:rsid w:val="34601B4D"/>
    <w:rsid w:val="34661316"/>
    <w:rsid w:val="346B6B3A"/>
    <w:rsid w:val="34711A8A"/>
    <w:rsid w:val="348C744F"/>
    <w:rsid w:val="3491354B"/>
    <w:rsid w:val="34922855"/>
    <w:rsid w:val="34930017"/>
    <w:rsid w:val="34951291"/>
    <w:rsid w:val="349D1AEE"/>
    <w:rsid w:val="34A50647"/>
    <w:rsid w:val="34AF2977"/>
    <w:rsid w:val="34B47F8E"/>
    <w:rsid w:val="34C67823"/>
    <w:rsid w:val="34CD2A31"/>
    <w:rsid w:val="34CE72A2"/>
    <w:rsid w:val="34D0301A"/>
    <w:rsid w:val="34E24AFB"/>
    <w:rsid w:val="34EA2EB6"/>
    <w:rsid w:val="34EB0394"/>
    <w:rsid w:val="34F52A80"/>
    <w:rsid w:val="34F5482E"/>
    <w:rsid w:val="34FA1E45"/>
    <w:rsid w:val="35037688"/>
    <w:rsid w:val="350A1FC5"/>
    <w:rsid w:val="350A532A"/>
    <w:rsid w:val="351078BA"/>
    <w:rsid w:val="351A5E1F"/>
    <w:rsid w:val="351C2343"/>
    <w:rsid w:val="35271032"/>
    <w:rsid w:val="35284C04"/>
    <w:rsid w:val="352B46F4"/>
    <w:rsid w:val="352F793E"/>
    <w:rsid w:val="354513BC"/>
    <w:rsid w:val="35492DCC"/>
    <w:rsid w:val="3552098C"/>
    <w:rsid w:val="35531DB4"/>
    <w:rsid w:val="355619D4"/>
    <w:rsid w:val="3558300F"/>
    <w:rsid w:val="35624793"/>
    <w:rsid w:val="3567552A"/>
    <w:rsid w:val="356C7FB1"/>
    <w:rsid w:val="35702107"/>
    <w:rsid w:val="357524F9"/>
    <w:rsid w:val="35754C0B"/>
    <w:rsid w:val="357A4D33"/>
    <w:rsid w:val="35833D31"/>
    <w:rsid w:val="35863B80"/>
    <w:rsid w:val="358D0F0B"/>
    <w:rsid w:val="358D5522"/>
    <w:rsid w:val="358E358F"/>
    <w:rsid w:val="359027A9"/>
    <w:rsid w:val="359A7184"/>
    <w:rsid w:val="35A46254"/>
    <w:rsid w:val="35AF0E81"/>
    <w:rsid w:val="35B43683"/>
    <w:rsid w:val="35B450D6"/>
    <w:rsid w:val="35B93AAE"/>
    <w:rsid w:val="35BE5615"/>
    <w:rsid w:val="35C13F69"/>
    <w:rsid w:val="35C40807"/>
    <w:rsid w:val="35C557C9"/>
    <w:rsid w:val="35CB558F"/>
    <w:rsid w:val="35CD1307"/>
    <w:rsid w:val="35D17C42"/>
    <w:rsid w:val="35D52BEF"/>
    <w:rsid w:val="35D90BE5"/>
    <w:rsid w:val="35D95EFE"/>
    <w:rsid w:val="35DC686C"/>
    <w:rsid w:val="35DE0B48"/>
    <w:rsid w:val="35E0390B"/>
    <w:rsid w:val="35E419D1"/>
    <w:rsid w:val="35E52AF5"/>
    <w:rsid w:val="35F444AC"/>
    <w:rsid w:val="360D3DFA"/>
    <w:rsid w:val="360E2FFA"/>
    <w:rsid w:val="360F6088"/>
    <w:rsid w:val="36107446"/>
    <w:rsid w:val="36122DEB"/>
    <w:rsid w:val="361D7DD4"/>
    <w:rsid w:val="362A49AB"/>
    <w:rsid w:val="362F3A36"/>
    <w:rsid w:val="36315D3A"/>
    <w:rsid w:val="36321AB2"/>
    <w:rsid w:val="36363350"/>
    <w:rsid w:val="363713B7"/>
    <w:rsid w:val="363B44C3"/>
    <w:rsid w:val="36421CF5"/>
    <w:rsid w:val="364C4E24"/>
    <w:rsid w:val="36511F38"/>
    <w:rsid w:val="365612FD"/>
    <w:rsid w:val="36567D8B"/>
    <w:rsid w:val="365F5A54"/>
    <w:rsid w:val="366753DC"/>
    <w:rsid w:val="36723C5D"/>
    <w:rsid w:val="3676199F"/>
    <w:rsid w:val="3676374D"/>
    <w:rsid w:val="36794FEB"/>
    <w:rsid w:val="367A17DE"/>
    <w:rsid w:val="36843541"/>
    <w:rsid w:val="36892841"/>
    <w:rsid w:val="368C11C2"/>
    <w:rsid w:val="36940077"/>
    <w:rsid w:val="36987B67"/>
    <w:rsid w:val="369C3F13"/>
    <w:rsid w:val="36A1026B"/>
    <w:rsid w:val="36A77DAA"/>
    <w:rsid w:val="36AE1EFF"/>
    <w:rsid w:val="36BB5697"/>
    <w:rsid w:val="36BD75CE"/>
    <w:rsid w:val="36C02C1A"/>
    <w:rsid w:val="36C739BA"/>
    <w:rsid w:val="36C97CBE"/>
    <w:rsid w:val="36CA53FD"/>
    <w:rsid w:val="36CA6C45"/>
    <w:rsid w:val="36D36DF1"/>
    <w:rsid w:val="36E708D3"/>
    <w:rsid w:val="36ED7BDE"/>
    <w:rsid w:val="36EE4479"/>
    <w:rsid w:val="37040D59"/>
    <w:rsid w:val="37041358"/>
    <w:rsid w:val="370945C1"/>
    <w:rsid w:val="370E68A3"/>
    <w:rsid w:val="37111346"/>
    <w:rsid w:val="3724154D"/>
    <w:rsid w:val="372811B0"/>
    <w:rsid w:val="37314419"/>
    <w:rsid w:val="37337890"/>
    <w:rsid w:val="37342795"/>
    <w:rsid w:val="37381156"/>
    <w:rsid w:val="373A29CC"/>
    <w:rsid w:val="373D24BC"/>
    <w:rsid w:val="373F6235"/>
    <w:rsid w:val="37401471"/>
    <w:rsid w:val="37421881"/>
    <w:rsid w:val="374D77F6"/>
    <w:rsid w:val="375325B8"/>
    <w:rsid w:val="375A5088"/>
    <w:rsid w:val="375F68D7"/>
    <w:rsid w:val="376143FD"/>
    <w:rsid w:val="376543BD"/>
    <w:rsid w:val="376954D7"/>
    <w:rsid w:val="37711EAC"/>
    <w:rsid w:val="37790436"/>
    <w:rsid w:val="377C28E9"/>
    <w:rsid w:val="377D0B0B"/>
    <w:rsid w:val="37846422"/>
    <w:rsid w:val="37857A6C"/>
    <w:rsid w:val="378B147A"/>
    <w:rsid w:val="378D25E5"/>
    <w:rsid w:val="3790083E"/>
    <w:rsid w:val="37915737"/>
    <w:rsid w:val="37923D04"/>
    <w:rsid w:val="379426EC"/>
    <w:rsid w:val="379C00F0"/>
    <w:rsid w:val="37A15645"/>
    <w:rsid w:val="37A91900"/>
    <w:rsid w:val="37A91B54"/>
    <w:rsid w:val="37A92245"/>
    <w:rsid w:val="37AB029B"/>
    <w:rsid w:val="37AD7642"/>
    <w:rsid w:val="37B35EE9"/>
    <w:rsid w:val="37B54749"/>
    <w:rsid w:val="37BD779D"/>
    <w:rsid w:val="37BE5938"/>
    <w:rsid w:val="37BF1155"/>
    <w:rsid w:val="37CC38B5"/>
    <w:rsid w:val="37CF1F8E"/>
    <w:rsid w:val="37DD15AA"/>
    <w:rsid w:val="37DE5A4E"/>
    <w:rsid w:val="37E16244"/>
    <w:rsid w:val="37E666B0"/>
    <w:rsid w:val="37EA6225"/>
    <w:rsid w:val="37EF7C5B"/>
    <w:rsid w:val="37F063E3"/>
    <w:rsid w:val="37F24225"/>
    <w:rsid w:val="37F86A29"/>
    <w:rsid w:val="37F94BAD"/>
    <w:rsid w:val="38004098"/>
    <w:rsid w:val="380840B8"/>
    <w:rsid w:val="381672D6"/>
    <w:rsid w:val="381D2D9D"/>
    <w:rsid w:val="381F5F48"/>
    <w:rsid w:val="38211E89"/>
    <w:rsid w:val="38275C45"/>
    <w:rsid w:val="382C4516"/>
    <w:rsid w:val="38305B7D"/>
    <w:rsid w:val="38341B11"/>
    <w:rsid w:val="383513E6"/>
    <w:rsid w:val="38385FD0"/>
    <w:rsid w:val="38397128"/>
    <w:rsid w:val="38443870"/>
    <w:rsid w:val="38451629"/>
    <w:rsid w:val="38455ACD"/>
    <w:rsid w:val="38521EBD"/>
    <w:rsid w:val="385C2E16"/>
    <w:rsid w:val="385F700B"/>
    <w:rsid w:val="38610C01"/>
    <w:rsid w:val="38610ECB"/>
    <w:rsid w:val="38663170"/>
    <w:rsid w:val="386C1A40"/>
    <w:rsid w:val="387141C0"/>
    <w:rsid w:val="387A191B"/>
    <w:rsid w:val="387D7C13"/>
    <w:rsid w:val="388C36FB"/>
    <w:rsid w:val="3894610C"/>
    <w:rsid w:val="389B749B"/>
    <w:rsid w:val="389E51DD"/>
    <w:rsid w:val="38A26A7B"/>
    <w:rsid w:val="38A345A1"/>
    <w:rsid w:val="38AA3CB0"/>
    <w:rsid w:val="38AC5B4C"/>
    <w:rsid w:val="38BD5663"/>
    <w:rsid w:val="38C2711D"/>
    <w:rsid w:val="38C34C43"/>
    <w:rsid w:val="38C84008"/>
    <w:rsid w:val="38C924D5"/>
    <w:rsid w:val="38CB685C"/>
    <w:rsid w:val="38CC3AF8"/>
    <w:rsid w:val="38D34E86"/>
    <w:rsid w:val="38D66725"/>
    <w:rsid w:val="38D806EF"/>
    <w:rsid w:val="38D8249D"/>
    <w:rsid w:val="38DB3D3B"/>
    <w:rsid w:val="38DE0DF5"/>
    <w:rsid w:val="38E628F5"/>
    <w:rsid w:val="38E76B84"/>
    <w:rsid w:val="38EA6674"/>
    <w:rsid w:val="38EE0D7F"/>
    <w:rsid w:val="39094D4C"/>
    <w:rsid w:val="3917530A"/>
    <w:rsid w:val="391C16B6"/>
    <w:rsid w:val="391E348B"/>
    <w:rsid w:val="392177B7"/>
    <w:rsid w:val="392505F0"/>
    <w:rsid w:val="393D0552"/>
    <w:rsid w:val="394230EC"/>
    <w:rsid w:val="39463C3B"/>
    <w:rsid w:val="39494261"/>
    <w:rsid w:val="3950297B"/>
    <w:rsid w:val="39503ABF"/>
    <w:rsid w:val="39535FC7"/>
    <w:rsid w:val="395A7356"/>
    <w:rsid w:val="39616936"/>
    <w:rsid w:val="39641F82"/>
    <w:rsid w:val="39775781"/>
    <w:rsid w:val="39783C80"/>
    <w:rsid w:val="397D3044"/>
    <w:rsid w:val="398610CE"/>
    <w:rsid w:val="39971FE8"/>
    <w:rsid w:val="39986536"/>
    <w:rsid w:val="399D7242"/>
    <w:rsid w:val="39A04924"/>
    <w:rsid w:val="39A148C7"/>
    <w:rsid w:val="39A22309"/>
    <w:rsid w:val="39A255F9"/>
    <w:rsid w:val="39A57F58"/>
    <w:rsid w:val="39AD3EDE"/>
    <w:rsid w:val="39B21AF3"/>
    <w:rsid w:val="39BE5DF2"/>
    <w:rsid w:val="39BF18AF"/>
    <w:rsid w:val="39C81CC3"/>
    <w:rsid w:val="39CB2002"/>
    <w:rsid w:val="39D30959"/>
    <w:rsid w:val="39D6530A"/>
    <w:rsid w:val="39DA3FF3"/>
    <w:rsid w:val="39DD0E85"/>
    <w:rsid w:val="39DE5D3D"/>
    <w:rsid w:val="39DF5AAD"/>
    <w:rsid w:val="39E3559D"/>
    <w:rsid w:val="39E60BE9"/>
    <w:rsid w:val="39E71C6D"/>
    <w:rsid w:val="39EB5568"/>
    <w:rsid w:val="39F33306"/>
    <w:rsid w:val="39F350B4"/>
    <w:rsid w:val="39FA5767"/>
    <w:rsid w:val="39FB2DBB"/>
    <w:rsid w:val="3A03762F"/>
    <w:rsid w:val="3A074E84"/>
    <w:rsid w:val="3A0923AD"/>
    <w:rsid w:val="3A1B38E8"/>
    <w:rsid w:val="3A1E65D5"/>
    <w:rsid w:val="3A2020BF"/>
    <w:rsid w:val="3A233BEC"/>
    <w:rsid w:val="3A255BB6"/>
    <w:rsid w:val="3A281202"/>
    <w:rsid w:val="3A2C687D"/>
    <w:rsid w:val="3A2D05C6"/>
    <w:rsid w:val="3A2D3D16"/>
    <w:rsid w:val="3A3D3D52"/>
    <w:rsid w:val="3A3E0A25"/>
    <w:rsid w:val="3A483652"/>
    <w:rsid w:val="3A501F82"/>
    <w:rsid w:val="3A5475C9"/>
    <w:rsid w:val="3A573895"/>
    <w:rsid w:val="3A5B2B4D"/>
    <w:rsid w:val="3A62457B"/>
    <w:rsid w:val="3A7064D3"/>
    <w:rsid w:val="3A721073"/>
    <w:rsid w:val="3A737B4C"/>
    <w:rsid w:val="3A791A5E"/>
    <w:rsid w:val="3A8102DB"/>
    <w:rsid w:val="3A844E5B"/>
    <w:rsid w:val="3A992100"/>
    <w:rsid w:val="3A995C5C"/>
    <w:rsid w:val="3AA1560E"/>
    <w:rsid w:val="3AB31AA7"/>
    <w:rsid w:val="3ABC52C8"/>
    <w:rsid w:val="3AC8077D"/>
    <w:rsid w:val="3ACC6E0B"/>
    <w:rsid w:val="3AD0311D"/>
    <w:rsid w:val="3ADE7B13"/>
    <w:rsid w:val="3AE138A5"/>
    <w:rsid w:val="3AE803EA"/>
    <w:rsid w:val="3AF17846"/>
    <w:rsid w:val="3AFA2251"/>
    <w:rsid w:val="3B0557DF"/>
    <w:rsid w:val="3B0759D3"/>
    <w:rsid w:val="3B0E03F8"/>
    <w:rsid w:val="3B122AB1"/>
    <w:rsid w:val="3B1564CD"/>
    <w:rsid w:val="3B2000A5"/>
    <w:rsid w:val="3B201ED9"/>
    <w:rsid w:val="3B270426"/>
    <w:rsid w:val="3B3678E8"/>
    <w:rsid w:val="3B4031D4"/>
    <w:rsid w:val="3B4262F3"/>
    <w:rsid w:val="3B472506"/>
    <w:rsid w:val="3B4A33FA"/>
    <w:rsid w:val="3B4E2EEA"/>
    <w:rsid w:val="3B595715"/>
    <w:rsid w:val="3B620744"/>
    <w:rsid w:val="3B654331"/>
    <w:rsid w:val="3B675D5A"/>
    <w:rsid w:val="3B691AD2"/>
    <w:rsid w:val="3B76761C"/>
    <w:rsid w:val="3B7A783B"/>
    <w:rsid w:val="3B7F4E52"/>
    <w:rsid w:val="3B881A60"/>
    <w:rsid w:val="3B882938"/>
    <w:rsid w:val="3B8E39E8"/>
    <w:rsid w:val="3B8E778B"/>
    <w:rsid w:val="3B9308FD"/>
    <w:rsid w:val="3B9D79CE"/>
    <w:rsid w:val="3BA7084C"/>
    <w:rsid w:val="3BAB0D0E"/>
    <w:rsid w:val="3BAB268D"/>
    <w:rsid w:val="3BAC3B30"/>
    <w:rsid w:val="3BB2617C"/>
    <w:rsid w:val="3BB30F9F"/>
    <w:rsid w:val="3BC21C9A"/>
    <w:rsid w:val="3BCD02B3"/>
    <w:rsid w:val="3BD21711"/>
    <w:rsid w:val="3BD553B9"/>
    <w:rsid w:val="3BD72EE0"/>
    <w:rsid w:val="3BDF7962"/>
    <w:rsid w:val="3BE070A2"/>
    <w:rsid w:val="3BE70BD5"/>
    <w:rsid w:val="3BE850ED"/>
    <w:rsid w:val="3BEB727A"/>
    <w:rsid w:val="3BF34D89"/>
    <w:rsid w:val="3BFF2436"/>
    <w:rsid w:val="3C0149A1"/>
    <w:rsid w:val="3C0161AE"/>
    <w:rsid w:val="3C0B7B0F"/>
    <w:rsid w:val="3C0D0437"/>
    <w:rsid w:val="3C1C779D"/>
    <w:rsid w:val="3C306A4A"/>
    <w:rsid w:val="3C3A521C"/>
    <w:rsid w:val="3C3C2D43"/>
    <w:rsid w:val="3C3C618E"/>
    <w:rsid w:val="3C3D6ABB"/>
    <w:rsid w:val="3C4073BE"/>
    <w:rsid w:val="3C4211E1"/>
    <w:rsid w:val="3C447E49"/>
    <w:rsid w:val="3C4B6577"/>
    <w:rsid w:val="3C50001D"/>
    <w:rsid w:val="3C504456"/>
    <w:rsid w:val="3C5A7522"/>
    <w:rsid w:val="3C5E5292"/>
    <w:rsid w:val="3C6504EB"/>
    <w:rsid w:val="3C690AF6"/>
    <w:rsid w:val="3C691265"/>
    <w:rsid w:val="3C6F6718"/>
    <w:rsid w:val="3C7603D2"/>
    <w:rsid w:val="3C793F97"/>
    <w:rsid w:val="3C7E0081"/>
    <w:rsid w:val="3C8B502E"/>
    <w:rsid w:val="3C8D17F0"/>
    <w:rsid w:val="3C8F5568"/>
    <w:rsid w:val="3C920BB5"/>
    <w:rsid w:val="3C954F54"/>
    <w:rsid w:val="3C9A29F6"/>
    <w:rsid w:val="3CA71DE5"/>
    <w:rsid w:val="3CA90FE0"/>
    <w:rsid w:val="3CAA05F4"/>
    <w:rsid w:val="3CB23005"/>
    <w:rsid w:val="3CB2496C"/>
    <w:rsid w:val="3CB94393"/>
    <w:rsid w:val="3CBE19AA"/>
    <w:rsid w:val="3CBF31D5"/>
    <w:rsid w:val="3CC571DC"/>
    <w:rsid w:val="3CCC7430"/>
    <w:rsid w:val="3CD64441"/>
    <w:rsid w:val="3CD94A35"/>
    <w:rsid w:val="3CDC535E"/>
    <w:rsid w:val="3CE138EA"/>
    <w:rsid w:val="3CE66B2C"/>
    <w:rsid w:val="3CE84C78"/>
    <w:rsid w:val="3CEA7FFA"/>
    <w:rsid w:val="3CF4361D"/>
    <w:rsid w:val="3CF53A5A"/>
    <w:rsid w:val="3CF823AB"/>
    <w:rsid w:val="3D0B53AF"/>
    <w:rsid w:val="3D163594"/>
    <w:rsid w:val="3D166A6D"/>
    <w:rsid w:val="3D2421D1"/>
    <w:rsid w:val="3D254E4B"/>
    <w:rsid w:val="3D3D3216"/>
    <w:rsid w:val="3D3F6F8E"/>
    <w:rsid w:val="3D43157A"/>
    <w:rsid w:val="3D431D86"/>
    <w:rsid w:val="3D4836F0"/>
    <w:rsid w:val="3D524F0B"/>
    <w:rsid w:val="3D540560"/>
    <w:rsid w:val="3D560569"/>
    <w:rsid w:val="3D5A0B8E"/>
    <w:rsid w:val="3D61709F"/>
    <w:rsid w:val="3D646231"/>
    <w:rsid w:val="3D65276D"/>
    <w:rsid w:val="3D6528F4"/>
    <w:rsid w:val="3D687B67"/>
    <w:rsid w:val="3D6D3FDC"/>
    <w:rsid w:val="3D7012B1"/>
    <w:rsid w:val="3D756378"/>
    <w:rsid w:val="3D842BF3"/>
    <w:rsid w:val="3D8729D9"/>
    <w:rsid w:val="3D8A3F82"/>
    <w:rsid w:val="3D956BAE"/>
    <w:rsid w:val="3D9A71DB"/>
    <w:rsid w:val="3D9B1CEB"/>
    <w:rsid w:val="3DA16CAC"/>
    <w:rsid w:val="3DA46DF1"/>
    <w:rsid w:val="3DAE1A1E"/>
    <w:rsid w:val="3DB42F7D"/>
    <w:rsid w:val="3DC47D28"/>
    <w:rsid w:val="3DCC6348"/>
    <w:rsid w:val="3DD60F75"/>
    <w:rsid w:val="3DE2791A"/>
    <w:rsid w:val="3DE43692"/>
    <w:rsid w:val="3DE52CA9"/>
    <w:rsid w:val="3DF80EEB"/>
    <w:rsid w:val="3DFA4C63"/>
    <w:rsid w:val="3DFB1985"/>
    <w:rsid w:val="3DFD29A6"/>
    <w:rsid w:val="3DFD6621"/>
    <w:rsid w:val="3DFF04CC"/>
    <w:rsid w:val="3E020634"/>
    <w:rsid w:val="3E0537E2"/>
    <w:rsid w:val="3E06185A"/>
    <w:rsid w:val="3E0755D2"/>
    <w:rsid w:val="3E0B0C1F"/>
    <w:rsid w:val="3E1201FF"/>
    <w:rsid w:val="3E1371FC"/>
    <w:rsid w:val="3E174EC3"/>
    <w:rsid w:val="3E1E0959"/>
    <w:rsid w:val="3E245F84"/>
    <w:rsid w:val="3E344619"/>
    <w:rsid w:val="3E384456"/>
    <w:rsid w:val="3E3A7756"/>
    <w:rsid w:val="3E426FF1"/>
    <w:rsid w:val="3E510E13"/>
    <w:rsid w:val="3E524A9F"/>
    <w:rsid w:val="3E5541D1"/>
    <w:rsid w:val="3E581415"/>
    <w:rsid w:val="3E705497"/>
    <w:rsid w:val="3E8B1D5F"/>
    <w:rsid w:val="3E907DE5"/>
    <w:rsid w:val="3E950E30"/>
    <w:rsid w:val="3EA12EE7"/>
    <w:rsid w:val="3EA75E7E"/>
    <w:rsid w:val="3EA82911"/>
    <w:rsid w:val="3EAA3512"/>
    <w:rsid w:val="3EC60FE9"/>
    <w:rsid w:val="3ECA56C6"/>
    <w:rsid w:val="3ED06ABE"/>
    <w:rsid w:val="3ED158E3"/>
    <w:rsid w:val="3EDA6843"/>
    <w:rsid w:val="3EDE27D7"/>
    <w:rsid w:val="3EEA2F2A"/>
    <w:rsid w:val="3EF1250A"/>
    <w:rsid w:val="3EFB1A59"/>
    <w:rsid w:val="3EFC5C64"/>
    <w:rsid w:val="3F0264C5"/>
    <w:rsid w:val="3F0D070B"/>
    <w:rsid w:val="3F0D77B8"/>
    <w:rsid w:val="3F121A50"/>
    <w:rsid w:val="3F164352"/>
    <w:rsid w:val="3F16769C"/>
    <w:rsid w:val="3F192D2C"/>
    <w:rsid w:val="3F1E0E25"/>
    <w:rsid w:val="3F2521B4"/>
    <w:rsid w:val="3F255D10"/>
    <w:rsid w:val="3F2A77CA"/>
    <w:rsid w:val="3F3055E4"/>
    <w:rsid w:val="3F3D74FE"/>
    <w:rsid w:val="3F6C06EE"/>
    <w:rsid w:val="3F6F51DD"/>
    <w:rsid w:val="3F713C89"/>
    <w:rsid w:val="3F780536"/>
    <w:rsid w:val="3F786788"/>
    <w:rsid w:val="3F7D7A47"/>
    <w:rsid w:val="3F8769CB"/>
    <w:rsid w:val="3F945618"/>
    <w:rsid w:val="3F9B588B"/>
    <w:rsid w:val="3F9D0153"/>
    <w:rsid w:val="3FA702FB"/>
    <w:rsid w:val="3FB01B18"/>
    <w:rsid w:val="3FB01FB6"/>
    <w:rsid w:val="3FB34064"/>
    <w:rsid w:val="3FBB7E49"/>
    <w:rsid w:val="3FCE45FA"/>
    <w:rsid w:val="3FD60EEE"/>
    <w:rsid w:val="3FDD1FA2"/>
    <w:rsid w:val="3FDE1DBE"/>
    <w:rsid w:val="3FDF5019"/>
    <w:rsid w:val="3FE23C01"/>
    <w:rsid w:val="3FF27CBD"/>
    <w:rsid w:val="3FFD4EDF"/>
    <w:rsid w:val="400159AA"/>
    <w:rsid w:val="40084E9C"/>
    <w:rsid w:val="40093884"/>
    <w:rsid w:val="40095632"/>
    <w:rsid w:val="400D1324"/>
    <w:rsid w:val="40185875"/>
    <w:rsid w:val="40297A82"/>
    <w:rsid w:val="402B37FA"/>
    <w:rsid w:val="403125E7"/>
    <w:rsid w:val="403B5EE7"/>
    <w:rsid w:val="404043A0"/>
    <w:rsid w:val="40463747"/>
    <w:rsid w:val="404E62E0"/>
    <w:rsid w:val="404E74E8"/>
    <w:rsid w:val="404F2865"/>
    <w:rsid w:val="404F3CB6"/>
    <w:rsid w:val="405A435B"/>
    <w:rsid w:val="40632F94"/>
    <w:rsid w:val="406428AE"/>
    <w:rsid w:val="40672358"/>
    <w:rsid w:val="406A694A"/>
    <w:rsid w:val="406B38BC"/>
    <w:rsid w:val="40793DD5"/>
    <w:rsid w:val="4084115C"/>
    <w:rsid w:val="408B24EB"/>
    <w:rsid w:val="409115EA"/>
    <w:rsid w:val="40957F88"/>
    <w:rsid w:val="409749EB"/>
    <w:rsid w:val="409A0B88"/>
    <w:rsid w:val="40A52970"/>
    <w:rsid w:val="40B46221"/>
    <w:rsid w:val="40B74279"/>
    <w:rsid w:val="40BD62C9"/>
    <w:rsid w:val="40C7284E"/>
    <w:rsid w:val="40CA1DAF"/>
    <w:rsid w:val="40CA3013"/>
    <w:rsid w:val="40CB5916"/>
    <w:rsid w:val="40CB6D8B"/>
    <w:rsid w:val="40CE5B0D"/>
    <w:rsid w:val="40CF3951"/>
    <w:rsid w:val="40D0614F"/>
    <w:rsid w:val="40D2705F"/>
    <w:rsid w:val="40D65444"/>
    <w:rsid w:val="40DC4AF4"/>
    <w:rsid w:val="40E03A83"/>
    <w:rsid w:val="40E243D7"/>
    <w:rsid w:val="40E65973"/>
    <w:rsid w:val="40F167F2"/>
    <w:rsid w:val="40FF3F06"/>
    <w:rsid w:val="41097C06"/>
    <w:rsid w:val="41110C42"/>
    <w:rsid w:val="41123B8E"/>
    <w:rsid w:val="41140732"/>
    <w:rsid w:val="41151DB4"/>
    <w:rsid w:val="411841B3"/>
    <w:rsid w:val="412C6D3F"/>
    <w:rsid w:val="41356B31"/>
    <w:rsid w:val="41390199"/>
    <w:rsid w:val="41412BA9"/>
    <w:rsid w:val="414803DC"/>
    <w:rsid w:val="4148218A"/>
    <w:rsid w:val="41483F38"/>
    <w:rsid w:val="414A2BFB"/>
    <w:rsid w:val="414D59F2"/>
    <w:rsid w:val="41523BBA"/>
    <w:rsid w:val="41662610"/>
    <w:rsid w:val="416D1BF0"/>
    <w:rsid w:val="416D399E"/>
    <w:rsid w:val="416F7716"/>
    <w:rsid w:val="41764F49"/>
    <w:rsid w:val="417967E7"/>
    <w:rsid w:val="41852FBE"/>
    <w:rsid w:val="4188553D"/>
    <w:rsid w:val="418F1B67"/>
    <w:rsid w:val="41947049"/>
    <w:rsid w:val="419716E1"/>
    <w:rsid w:val="41984EBF"/>
    <w:rsid w:val="419E29B4"/>
    <w:rsid w:val="41A01FC6"/>
    <w:rsid w:val="41BC3DBD"/>
    <w:rsid w:val="41BD705C"/>
    <w:rsid w:val="41C932CA"/>
    <w:rsid w:val="41CA2B9F"/>
    <w:rsid w:val="41D35EF7"/>
    <w:rsid w:val="41D37B5F"/>
    <w:rsid w:val="41D41224"/>
    <w:rsid w:val="41D44F29"/>
    <w:rsid w:val="41D6060E"/>
    <w:rsid w:val="41DD6D76"/>
    <w:rsid w:val="41E579D9"/>
    <w:rsid w:val="41EF2091"/>
    <w:rsid w:val="41F20E5D"/>
    <w:rsid w:val="41F45E6E"/>
    <w:rsid w:val="41FA5106"/>
    <w:rsid w:val="420E6C2C"/>
    <w:rsid w:val="42114B0A"/>
    <w:rsid w:val="421554F2"/>
    <w:rsid w:val="421B5801"/>
    <w:rsid w:val="42277FF1"/>
    <w:rsid w:val="423176C7"/>
    <w:rsid w:val="42366486"/>
    <w:rsid w:val="423A0181"/>
    <w:rsid w:val="424B3CDF"/>
    <w:rsid w:val="424C1674"/>
    <w:rsid w:val="425A34B8"/>
    <w:rsid w:val="42612992"/>
    <w:rsid w:val="42705E47"/>
    <w:rsid w:val="42710F0D"/>
    <w:rsid w:val="427378E5"/>
    <w:rsid w:val="42754C79"/>
    <w:rsid w:val="42786A9F"/>
    <w:rsid w:val="427D6F5C"/>
    <w:rsid w:val="428223B9"/>
    <w:rsid w:val="4285031E"/>
    <w:rsid w:val="42980EEF"/>
    <w:rsid w:val="42995329"/>
    <w:rsid w:val="429A6A15"/>
    <w:rsid w:val="429D02B3"/>
    <w:rsid w:val="42A95426"/>
    <w:rsid w:val="42AD44F9"/>
    <w:rsid w:val="42B37AD7"/>
    <w:rsid w:val="42B86E9B"/>
    <w:rsid w:val="42BA0E65"/>
    <w:rsid w:val="42BA743D"/>
    <w:rsid w:val="42BD2703"/>
    <w:rsid w:val="42CA30AA"/>
    <w:rsid w:val="42CB4526"/>
    <w:rsid w:val="42CB4E20"/>
    <w:rsid w:val="42D30B47"/>
    <w:rsid w:val="42D56A86"/>
    <w:rsid w:val="42D77959"/>
    <w:rsid w:val="42F44314"/>
    <w:rsid w:val="42F82D4F"/>
    <w:rsid w:val="42FA42A8"/>
    <w:rsid w:val="42FA621E"/>
    <w:rsid w:val="430239E5"/>
    <w:rsid w:val="43052501"/>
    <w:rsid w:val="430D423B"/>
    <w:rsid w:val="43144A19"/>
    <w:rsid w:val="43151FA6"/>
    <w:rsid w:val="43170066"/>
    <w:rsid w:val="431D2BE2"/>
    <w:rsid w:val="43227B89"/>
    <w:rsid w:val="432804C5"/>
    <w:rsid w:val="432B1D63"/>
    <w:rsid w:val="432F3601"/>
    <w:rsid w:val="43324472"/>
    <w:rsid w:val="43346307"/>
    <w:rsid w:val="43362BE2"/>
    <w:rsid w:val="43370708"/>
    <w:rsid w:val="433B1FA6"/>
    <w:rsid w:val="433E2ADB"/>
    <w:rsid w:val="43457BC0"/>
    <w:rsid w:val="43544E16"/>
    <w:rsid w:val="43622167"/>
    <w:rsid w:val="436337CE"/>
    <w:rsid w:val="436361B0"/>
    <w:rsid w:val="43655275"/>
    <w:rsid w:val="4367746E"/>
    <w:rsid w:val="43746899"/>
    <w:rsid w:val="437548EC"/>
    <w:rsid w:val="43787A25"/>
    <w:rsid w:val="437E1E93"/>
    <w:rsid w:val="438020AF"/>
    <w:rsid w:val="43811A9E"/>
    <w:rsid w:val="43853221"/>
    <w:rsid w:val="439671DC"/>
    <w:rsid w:val="43972F54"/>
    <w:rsid w:val="43994E6F"/>
    <w:rsid w:val="43A20FFC"/>
    <w:rsid w:val="43A22025"/>
    <w:rsid w:val="43A65635"/>
    <w:rsid w:val="43AD4526"/>
    <w:rsid w:val="43B20A95"/>
    <w:rsid w:val="43B43B06"/>
    <w:rsid w:val="43B835F7"/>
    <w:rsid w:val="43BB08FE"/>
    <w:rsid w:val="43BE4985"/>
    <w:rsid w:val="43CC2BFE"/>
    <w:rsid w:val="43CD6976"/>
    <w:rsid w:val="43CF302C"/>
    <w:rsid w:val="43E31CC7"/>
    <w:rsid w:val="43E90A73"/>
    <w:rsid w:val="43EE5236"/>
    <w:rsid w:val="43F42155"/>
    <w:rsid w:val="43F63E0D"/>
    <w:rsid w:val="43FA1F6F"/>
    <w:rsid w:val="43FA75B3"/>
    <w:rsid w:val="43FB7987"/>
    <w:rsid w:val="44031873"/>
    <w:rsid w:val="440D2331"/>
    <w:rsid w:val="440E1469"/>
    <w:rsid w:val="440E16B6"/>
    <w:rsid w:val="440E76BA"/>
    <w:rsid w:val="4410680E"/>
    <w:rsid w:val="441E7550"/>
    <w:rsid w:val="44224F14"/>
    <w:rsid w:val="44290050"/>
    <w:rsid w:val="442D20D8"/>
    <w:rsid w:val="44331ACF"/>
    <w:rsid w:val="44337121"/>
    <w:rsid w:val="44354C47"/>
    <w:rsid w:val="44375E8B"/>
    <w:rsid w:val="443F6E95"/>
    <w:rsid w:val="4443314A"/>
    <w:rsid w:val="44444E8A"/>
    <w:rsid w:val="44472BCC"/>
    <w:rsid w:val="4447741F"/>
    <w:rsid w:val="44494618"/>
    <w:rsid w:val="444E7AB7"/>
    <w:rsid w:val="445F5EC9"/>
    <w:rsid w:val="4467501D"/>
    <w:rsid w:val="44736C5A"/>
    <w:rsid w:val="4475502E"/>
    <w:rsid w:val="447C5DA3"/>
    <w:rsid w:val="44823C05"/>
    <w:rsid w:val="448858FB"/>
    <w:rsid w:val="44974855"/>
    <w:rsid w:val="449823AC"/>
    <w:rsid w:val="449D459A"/>
    <w:rsid w:val="44A01FE3"/>
    <w:rsid w:val="44A142A6"/>
    <w:rsid w:val="44A6065D"/>
    <w:rsid w:val="44A75419"/>
    <w:rsid w:val="44B42B48"/>
    <w:rsid w:val="44B743E3"/>
    <w:rsid w:val="44B7553B"/>
    <w:rsid w:val="44BC186F"/>
    <w:rsid w:val="44BF5D48"/>
    <w:rsid w:val="44C26E74"/>
    <w:rsid w:val="44C83D0E"/>
    <w:rsid w:val="44CB1108"/>
    <w:rsid w:val="44CE6E4A"/>
    <w:rsid w:val="44CF75B8"/>
    <w:rsid w:val="44D216CD"/>
    <w:rsid w:val="44DA5705"/>
    <w:rsid w:val="44DC42CF"/>
    <w:rsid w:val="44DE708D"/>
    <w:rsid w:val="44E032D7"/>
    <w:rsid w:val="44E71197"/>
    <w:rsid w:val="44E81CBA"/>
    <w:rsid w:val="44E977E0"/>
    <w:rsid w:val="44F00417"/>
    <w:rsid w:val="44FC7513"/>
    <w:rsid w:val="4517041B"/>
    <w:rsid w:val="45175988"/>
    <w:rsid w:val="451D552C"/>
    <w:rsid w:val="452700D1"/>
    <w:rsid w:val="4527447A"/>
    <w:rsid w:val="45401AF6"/>
    <w:rsid w:val="454051B3"/>
    <w:rsid w:val="454154C3"/>
    <w:rsid w:val="45765517"/>
    <w:rsid w:val="45774DEB"/>
    <w:rsid w:val="457B0D80"/>
    <w:rsid w:val="458B6AE9"/>
    <w:rsid w:val="45A2455E"/>
    <w:rsid w:val="45A32084"/>
    <w:rsid w:val="45AF1A07"/>
    <w:rsid w:val="45B7168C"/>
    <w:rsid w:val="45BF0BE7"/>
    <w:rsid w:val="45C96AF7"/>
    <w:rsid w:val="45CA7A30"/>
    <w:rsid w:val="45D00ABC"/>
    <w:rsid w:val="45D333DD"/>
    <w:rsid w:val="45D603C3"/>
    <w:rsid w:val="45D72D53"/>
    <w:rsid w:val="45DF1F40"/>
    <w:rsid w:val="45E30CC2"/>
    <w:rsid w:val="45F14B9E"/>
    <w:rsid w:val="45F83A10"/>
    <w:rsid w:val="45FB77CB"/>
    <w:rsid w:val="45FD1795"/>
    <w:rsid w:val="460A6426"/>
    <w:rsid w:val="460F771A"/>
    <w:rsid w:val="46192347"/>
    <w:rsid w:val="46192D48"/>
    <w:rsid w:val="461D5993"/>
    <w:rsid w:val="46295A03"/>
    <w:rsid w:val="46297502"/>
    <w:rsid w:val="462A4554"/>
    <w:rsid w:val="46340F2E"/>
    <w:rsid w:val="46367216"/>
    <w:rsid w:val="46401681"/>
    <w:rsid w:val="464354AC"/>
    <w:rsid w:val="46456C98"/>
    <w:rsid w:val="4654311E"/>
    <w:rsid w:val="46585B76"/>
    <w:rsid w:val="465F1BD5"/>
    <w:rsid w:val="46640D69"/>
    <w:rsid w:val="46641814"/>
    <w:rsid w:val="46720BD5"/>
    <w:rsid w:val="468A2F91"/>
    <w:rsid w:val="468C0D6B"/>
    <w:rsid w:val="46900E72"/>
    <w:rsid w:val="46923508"/>
    <w:rsid w:val="46A249D3"/>
    <w:rsid w:val="46A44250"/>
    <w:rsid w:val="46A57A42"/>
    <w:rsid w:val="46AF0C46"/>
    <w:rsid w:val="46B138F5"/>
    <w:rsid w:val="46B479EA"/>
    <w:rsid w:val="46BF46F7"/>
    <w:rsid w:val="46CC73B9"/>
    <w:rsid w:val="46D63D94"/>
    <w:rsid w:val="46DF0E9A"/>
    <w:rsid w:val="46E47ABC"/>
    <w:rsid w:val="46E75FA1"/>
    <w:rsid w:val="46E841F3"/>
    <w:rsid w:val="46E87CF4"/>
    <w:rsid w:val="46ED1809"/>
    <w:rsid w:val="46FA6FB5"/>
    <w:rsid w:val="46FB0C02"/>
    <w:rsid w:val="4704684C"/>
    <w:rsid w:val="4710374A"/>
    <w:rsid w:val="47163D12"/>
    <w:rsid w:val="4716722E"/>
    <w:rsid w:val="471B7567"/>
    <w:rsid w:val="471D6C7A"/>
    <w:rsid w:val="47226FD9"/>
    <w:rsid w:val="4724337C"/>
    <w:rsid w:val="473C009B"/>
    <w:rsid w:val="473D6A6E"/>
    <w:rsid w:val="474433F3"/>
    <w:rsid w:val="474927B8"/>
    <w:rsid w:val="47497073"/>
    <w:rsid w:val="47507FEA"/>
    <w:rsid w:val="47520ED5"/>
    <w:rsid w:val="47531291"/>
    <w:rsid w:val="47532CF6"/>
    <w:rsid w:val="475353E4"/>
    <w:rsid w:val="47541D2E"/>
    <w:rsid w:val="475F15EE"/>
    <w:rsid w:val="476F0470"/>
    <w:rsid w:val="47745A86"/>
    <w:rsid w:val="47763042"/>
    <w:rsid w:val="47767A51"/>
    <w:rsid w:val="477A6E15"/>
    <w:rsid w:val="47863A0C"/>
    <w:rsid w:val="478F466E"/>
    <w:rsid w:val="47941C85"/>
    <w:rsid w:val="47994439"/>
    <w:rsid w:val="479E2B03"/>
    <w:rsid w:val="479F422F"/>
    <w:rsid w:val="47A65E5C"/>
    <w:rsid w:val="47B16CDB"/>
    <w:rsid w:val="47B265A7"/>
    <w:rsid w:val="47B96BB5"/>
    <w:rsid w:val="47BD1CB4"/>
    <w:rsid w:val="47BE6D02"/>
    <w:rsid w:val="47C02A7A"/>
    <w:rsid w:val="47C307BC"/>
    <w:rsid w:val="47C85DD2"/>
    <w:rsid w:val="47CD33E9"/>
    <w:rsid w:val="47CE1B71"/>
    <w:rsid w:val="47D14C87"/>
    <w:rsid w:val="47D869A2"/>
    <w:rsid w:val="47DD5E3B"/>
    <w:rsid w:val="47DE55F6"/>
    <w:rsid w:val="47E849F2"/>
    <w:rsid w:val="47F170D7"/>
    <w:rsid w:val="47F171FF"/>
    <w:rsid w:val="47FE19A3"/>
    <w:rsid w:val="481532D2"/>
    <w:rsid w:val="481B05F8"/>
    <w:rsid w:val="481B63B6"/>
    <w:rsid w:val="48221986"/>
    <w:rsid w:val="48273F97"/>
    <w:rsid w:val="482E2D3C"/>
    <w:rsid w:val="4835004F"/>
    <w:rsid w:val="48391B8D"/>
    <w:rsid w:val="484224EE"/>
    <w:rsid w:val="48463451"/>
    <w:rsid w:val="484C255F"/>
    <w:rsid w:val="484E4529"/>
    <w:rsid w:val="484E577D"/>
    <w:rsid w:val="484F781F"/>
    <w:rsid w:val="4851401A"/>
    <w:rsid w:val="48537D92"/>
    <w:rsid w:val="48561630"/>
    <w:rsid w:val="48613450"/>
    <w:rsid w:val="48627A7B"/>
    <w:rsid w:val="4863298F"/>
    <w:rsid w:val="486457A8"/>
    <w:rsid w:val="48647EA7"/>
    <w:rsid w:val="486C0E54"/>
    <w:rsid w:val="48734F6C"/>
    <w:rsid w:val="487D16C7"/>
    <w:rsid w:val="4880581D"/>
    <w:rsid w:val="48815B11"/>
    <w:rsid w:val="488241D3"/>
    <w:rsid w:val="488359E6"/>
    <w:rsid w:val="48897310"/>
    <w:rsid w:val="488C6E93"/>
    <w:rsid w:val="488E0DCA"/>
    <w:rsid w:val="48913BD1"/>
    <w:rsid w:val="48A02EC6"/>
    <w:rsid w:val="48A439A1"/>
    <w:rsid w:val="48A71838"/>
    <w:rsid w:val="48A91760"/>
    <w:rsid w:val="48C400DF"/>
    <w:rsid w:val="48C77FDD"/>
    <w:rsid w:val="48C95544"/>
    <w:rsid w:val="48CE11C6"/>
    <w:rsid w:val="48D33786"/>
    <w:rsid w:val="48D5279B"/>
    <w:rsid w:val="48E5658A"/>
    <w:rsid w:val="48E85E85"/>
    <w:rsid w:val="48F36E7F"/>
    <w:rsid w:val="48F71834"/>
    <w:rsid w:val="48F826E7"/>
    <w:rsid w:val="48FB0348"/>
    <w:rsid w:val="490121E7"/>
    <w:rsid w:val="49022A4B"/>
    <w:rsid w:val="49066BB2"/>
    <w:rsid w:val="490E3CB9"/>
    <w:rsid w:val="49115557"/>
    <w:rsid w:val="491312CF"/>
    <w:rsid w:val="491B5BE7"/>
    <w:rsid w:val="49221512"/>
    <w:rsid w:val="49262DB0"/>
    <w:rsid w:val="492658EC"/>
    <w:rsid w:val="493C6A78"/>
    <w:rsid w:val="493F377B"/>
    <w:rsid w:val="49463453"/>
    <w:rsid w:val="494A4C66"/>
    <w:rsid w:val="494C41EC"/>
    <w:rsid w:val="494C43B1"/>
    <w:rsid w:val="49634005"/>
    <w:rsid w:val="49654B19"/>
    <w:rsid w:val="496C4368"/>
    <w:rsid w:val="496D0116"/>
    <w:rsid w:val="496D4E83"/>
    <w:rsid w:val="496E5C9F"/>
    <w:rsid w:val="497E5577"/>
    <w:rsid w:val="49916930"/>
    <w:rsid w:val="49922C95"/>
    <w:rsid w:val="499917D4"/>
    <w:rsid w:val="49B46523"/>
    <w:rsid w:val="49C071EE"/>
    <w:rsid w:val="49C20652"/>
    <w:rsid w:val="49C240F1"/>
    <w:rsid w:val="49C83E68"/>
    <w:rsid w:val="49CE0617"/>
    <w:rsid w:val="49D2118A"/>
    <w:rsid w:val="49D609D4"/>
    <w:rsid w:val="49DF5239"/>
    <w:rsid w:val="49E04A15"/>
    <w:rsid w:val="49E27234"/>
    <w:rsid w:val="49E862B8"/>
    <w:rsid w:val="49E86A9E"/>
    <w:rsid w:val="49EB5F17"/>
    <w:rsid w:val="49F27137"/>
    <w:rsid w:val="49F51014"/>
    <w:rsid w:val="49FA46A4"/>
    <w:rsid w:val="4A0706B8"/>
    <w:rsid w:val="4A1470AD"/>
    <w:rsid w:val="4A1B48DF"/>
    <w:rsid w:val="4A20635C"/>
    <w:rsid w:val="4A2861F7"/>
    <w:rsid w:val="4A2917C1"/>
    <w:rsid w:val="4A336491"/>
    <w:rsid w:val="4A381B21"/>
    <w:rsid w:val="4A391B2C"/>
    <w:rsid w:val="4A394D65"/>
    <w:rsid w:val="4A4450A2"/>
    <w:rsid w:val="4A4E007D"/>
    <w:rsid w:val="4A4E2435"/>
    <w:rsid w:val="4A6507F3"/>
    <w:rsid w:val="4A722025"/>
    <w:rsid w:val="4A7A7858"/>
    <w:rsid w:val="4A883C26"/>
    <w:rsid w:val="4A8D7687"/>
    <w:rsid w:val="4A8F3747"/>
    <w:rsid w:val="4A904519"/>
    <w:rsid w:val="4A95285A"/>
    <w:rsid w:val="4A9D2593"/>
    <w:rsid w:val="4AA03036"/>
    <w:rsid w:val="4AA267A8"/>
    <w:rsid w:val="4AA30AF1"/>
    <w:rsid w:val="4AA61031"/>
    <w:rsid w:val="4AA74182"/>
    <w:rsid w:val="4AA95C1E"/>
    <w:rsid w:val="4AAB5447"/>
    <w:rsid w:val="4AB1309A"/>
    <w:rsid w:val="4AB272BA"/>
    <w:rsid w:val="4AB32D6A"/>
    <w:rsid w:val="4AB42918"/>
    <w:rsid w:val="4AB47801"/>
    <w:rsid w:val="4ABF34BD"/>
    <w:rsid w:val="4AC51705"/>
    <w:rsid w:val="4AC9433B"/>
    <w:rsid w:val="4ACB1AD6"/>
    <w:rsid w:val="4AD30D16"/>
    <w:rsid w:val="4ADE356C"/>
    <w:rsid w:val="4ADF76BB"/>
    <w:rsid w:val="4AEF2CD0"/>
    <w:rsid w:val="4AEF3676"/>
    <w:rsid w:val="4AF22BAC"/>
    <w:rsid w:val="4B06387A"/>
    <w:rsid w:val="4B074E64"/>
    <w:rsid w:val="4B081925"/>
    <w:rsid w:val="4B0B04B0"/>
    <w:rsid w:val="4B1B26BD"/>
    <w:rsid w:val="4B2A4224"/>
    <w:rsid w:val="4B302306"/>
    <w:rsid w:val="4B3D5884"/>
    <w:rsid w:val="4B4218C2"/>
    <w:rsid w:val="4B481704"/>
    <w:rsid w:val="4B4D0ED9"/>
    <w:rsid w:val="4B4F0B9C"/>
    <w:rsid w:val="4B5138E0"/>
    <w:rsid w:val="4B560061"/>
    <w:rsid w:val="4B607C8E"/>
    <w:rsid w:val="4B616322"/>
    <w:rsid w:val="4B62516E"/>
    <w:rsid w:val="4B663938"/>
    <w:rsid w:val="4B6865D4"/>
    <w:rsid w:val="4B6A3DF6"/>
    <w:rsid w:val="4B725159"/>
    <w:rsid w:val="4B7F49FA"/>
    <w:rsid w:val="4B856724"/>
    <w:rsid w:val="4B865D88"/>
    <w:rsid w:val="4B885FA4"/>
    <w:rsid w:val="4B891C31"/>
    <w:rsid w:val="4B904E59"/>
    <w:rsid w:val="4B905EAF"/>
    <w:rsid w:val="4B9318F2"/>
    <w:rsid w:val="4B967555"/>
    <w:rsid w:val="4B9A5CD8"/>
    <w:rsid w:val="4BA83F51"/>
    <w:rsid w:val="4BAD5A0B"/>
    <w:rsid w:val="4BBA0128"/>
    <w:rsid w:val="4BC32B39"/>
    <w:rsid w:val="4BD71D7A"/>
    <w:rsid w:val="4BE85725"/>
    <w:rsid w:val="4BF4363A"/>
    <w:rsid w:val="4C03562B"/>
    <w:rsid w:val="4C071E26"/>
    <w:rsid w:val="4C090024"/>
    <w:rsid w:val="4C0B2A08"/>
    <w:rsid w:val="4C0C3A2B"/>
    <w:rsid w:val="4C123AC0"/>
    <w:rsid w:val="4C175AA8"/>
    <w:rsid w:val="4C1F1BD5"/>
    <w:rsid w:val="4C213D03"/>
    <w:rsid w:val="4C26756B"/>
    <w:rsid w:val="4C2832AB"/>
    <w:rsid w:val="4C285091"/>
    <w:rsid w:val="4C2B51F3"/>
    <w:rsid w:val="4C2D2355"/>
    <w:rsid w:val="4C2D3C70"/>
    <w:rsid w:val="4C2D5106"/>
    <w:rsid w:val="4C2E5EE8"/>
    <w:rsid w:val="4C302981"/>
    <w:rsid w:val="4C310EB0"/>
    <w:rsid w:val="4C325550"/>
    <w:rsid w:val="4C3E2B07"/>
    <w:rsid w:val="4C403F79"/>
    <w:rsid w:val="4C414861"/>
    <w:rsid w:val="4C4A00F0"/>
    <w:rsid w:val="4C4A14AC"/>
    <w:rsid w:val="4C5756A1"/>
    <w:rsid w:val="4C6B47EC"/>
    <w:rsid w:val="4C743835"/>
    <w:rsid w:val="4C7E1155"/>
    <w:rsid w:val="4C7E5B79"/>
    <w:rsid w:val="4C871DB8"/>
    <w:rsid w:val="4C8853A9"/>
    <w:rsid w:val="4C927C83"/>
    <w:rsid w:val="4C96649F"/>
    <w:rsid w:val="4C9D5A49"/>
    <w:rsid w:val="4C9E7102"/>
    <w:rsid w:val="4CA706AC"/>
    <w:rsid w:val="4CA74986"/>
    <w:rsid w:val="4CB42DC9"/>
    <w:rsid w:val="4CC0351C"/>
    <w:rsid w:val="4CC56D84"/>
    <w:rsid w:val="4CD314A1"/>
    <w:rsid w:val="4CD367EB"/>
    <w:rsid w:val="4CD44FFC"/>
    <w:rsid w:val="4CD60F91"/>
    <w:rsid w:val="4CD945DE"/>
    <w:rsid w:val="4CE10CFC"/>
    <w:rsid w:val="4CE30FB8"/>
    <w:rsid w:val="4CE932B5"/>
    <w:rsid w:val="4CEA0599"/>
    <w:rsid w:val="4CEE0089"/>
    <w:rsid w:val="4CFB538C"/>
    <w:rsid w:val="4D0607D6"/>
    <w:rsid w:val="4D07739D"/>
    <w:rsid w:val="4D083ED2"/>
    <w:rsid w:val="4D0A22BA"/>
    <w:rsid w:val="4D0A29E9"/>
    <w:rsid w:val="4D156BC8"/>
    <w:rsid w:val="4D1A2C2C"/>
    <w:rsid w:val="4D1D0636"/>
    <w:rsid w:val="4D245859"/>
    <w:rsid w:val="4D2E027D"/>
    <w:rsid w:val="4D2F41FE"/>
    <w:rsid w:val="4D3121D0"/>
    <w:rsid w:val="4D38012C"/>
    <w:rsid w:val="4D3B0DF4"/>
    <w:rsid w:val="4D491763"/>
    <w:rsid w:val="4D5123C6"/>
    <w:rsid w:val="4D565C2E"/>
    <w:rsid w:val="4D5C1497"/>
    <w:rsid w:val="4D6E7940"/>
    <w:rsid w:val="4D7A63D4"/>
    <w:rsid w:val="4D7F6F33"/>
    <w:rsid w:val="4D862070"/>
    <w:rsid w:val="4D87403A"/>
    <w:rsid w:val="4D8B3B2A"/>
    <w:rsid w:val="4D922EE6"/>
    <w:rsid w:val="4D9C4C77"/>
    <w:rsid w:val="4D9D144F"/>
    <w:rsid w:val="4DA77758"/>
    <w:rsid w:val="4DAE7818"/>
    <w:rsid w:val="4DB7412A"/>
    <w:rsid w:val="4DB841F3"/>
    <w:rsid w:val="4DC1579E"/>
    <w:rsid w:val="4DC70E62"/>
    <w:rsid w:val="4DD3102D"/>
    <w:rsid w:val="4DD40EBD"/>
    <w:rsid w:val="4DD4573C"/>
    <w:rsid w:val="4DE00D02"/>
    <w:rsid w:val="4DE4323A"/>
    <w:rsid w:val="4DE87B46"/>
    <w:rsid w:val="4DF17607"/>
    <w:rsid w:val="4DF711BF"/>
    <w:rsid w:val="4E084756"/>
    <w:rsid w:val="4E0B6A19"/>
    <w:rsid w:val="4E190A51"/>
    <w:rsid w:val="4E1952BB"/>
    <w:rsid w:val="4E1A4CEF"/>
    <w:rsid w:val="4E1C4782"/>
    <w:rsid w:val="4E23705F"/>
    <w:rsid w:val="4E2A6045"/>
    <w:rsid w:val="4E353A96"/>
    <w:rsid w:val="4E391564"/>
    <w:rsid w:val="4E3C6134"/>
    <w:rsid w:val="4E487C6D"/>
    <w:rsid w:val="4E4D7031"/>
    <w:rsid w:val="4E512E8A"/>
    <w:rsid w:val="4E516B22"/>
    <w:rsid w:val="4E557C94"/>
    <w:rsid w:val="4E5A52AA"/>
    <w:rsid w:val="4E5A6B9D"/>
    <w:rsid w:val="4E683E6B"/>
    <w:rsid w:val="4E720846"/>
    <w:rsid w:val="4E726A98"/>
    <w:rsid w:val="4E810FA4"/>
    <w:rsid w:val="4E86609F"/>
    <w:rsid w:val="4E8972EB"/>
    <w:rsid w:val="4E910DA4"/>
    <w:rsid w:val="4E922C96"/>
    <w:rsid w:val="4E93713A"/>
    <w:rsid w:val="4E962786"/>
    <w:rsid w:val="4E9A3A42"/>
    <w:rsid w:val="4EA24A37"/>
    <w:rsid w:val="4EA8070C"/>
    <w:rsid w:val="4EAA4484"/>
    <w:rsid w:val="4EB726FD"/>
    <w:rsid w:val="4EB90223"/>
    <w:rsid w:val="4EBE20E6"/>
    <w:rsid w:val="4ECB21CD"/>
    <w:rsid w:val="4ECC4993"/>
    <w:rsid w:val="4ECE2CEB"/>
    <w:rsid w:val="4ED71797"/>
    <w:rsid w:val="4EDE5EDB"/>
    <w:rsid w:val="4EE47996"/>
    <w:rsid w:val="4EEC5046"/>
    <w:rsid w:val="4EEC684A"/>
    <w:rsid w:val="4EEE2E1A"/>
    <w:rsid w:val="4EF456FF"/>
    <w:rsid w:val="4EFB69B3"/>
    <w:rsid w:val="4EFF0C9B"/>
    <w:rsid w:val="4EFF657E"/>
    <w:rsid w:val="4F0E5B21"/>
    <w:rsid w:val="4F18493A"/>
    <w:rsid w:val="4F192763"/>
    <w:rsid w:val="4F195165"/>
    <w:rsid w:val="4F1A2BF5"/>
    <w:rsid w:val="4F2632E3"/>
    <w:rsid w:val="4F275AD4"/>
    <w:rsid w:val="4F2C2DEA"/>
    <w:rsid w:val="4F3A5808"/>
    <w:rsid w:val="4F3C7129"/>
    <w:rsid w:val="4F3E4828"/>
    <w:rsid w:val="4F4F6C6B"/>
    <w:rsid w:val="4F5376E9"/>
    <w:rsid w:val="4F54124B"/>
    <w:rsid w:val="4F594BCD"/>
    <w:rsid w:val="4F5D73E9"/>
    <w:rsid w:val="4F730D1A"/>
    <w:rsid w:val="4F732AC8"/>
    <w:rsid w:val="4F7505EE"/>
    <w:rsid w:val="4F820463"/>
    <w:rsid w:val="4F833BA5"/>
    <w:rsid w:val="4F8847C5"/>
    <w:rsid w:val="4F905428"/>
    <w:rsid w:val="4F910D6D"/>
    <w:rsid w:val="4F950C90"/>
    <w:rsid w:val="4F9713E6"/>
    <w:rsid w:val="4FA17635"/>
    <w:rsid w:val="4FAD422B"/>
    <w:rsid w:val="4FC13833"/>
    <w:rsid w:val="4FC406E1"/>
    <w:rsid w:val="4FCF3509"/>
    <w:rsid w:val="4FE92CD6"/>
    <w:rsid w:val="4FF04118"/>
    <w:rsid w:val="4FF96EB9"/>
    <w:rsid w:val="50037EC8"/>
    <w:rsid w:val="50045127"/>
    <w:rsid w:val="50047BC4"/>
    <w:rsid w:val="5019366F"/>
    <w:rsid w:val="5028099F"/>
    <w:rsid w:val="502B4BDB"/>
    <w:rsid w:val="502E6B92"/>
    <w:rsid w:val="503B1D58"/>
    <w:rsid w:val="504331CC"/>
    <w:rsid w:val="50446212"/>
    <w:rsid w:val="504924CE"/>
    <w:rsid w:val="504D7F6D"/>
    <w:rsid w:val="504F52E3"/>
    <w:rsid w:val="504F53BF"/>
    <w:rsid w:val="505843D2"/>
    <w:rsid w:val="5060178B"/>
    <w:rsid w:val="50610B72"/>
    <w:rsid w:val="506D116B"/>
    <w:rsid w:val="506F14E1"/>
    <w:rsid w:val="50724B2D"/>
    <w:rsid w:val="50796508"/>
    <w:rsid w:val="50811C90"/>
    <w:rsid w:val="50A3118B"/>
    <w:rsid w:val="50A54F03"/>
    <w:rsid w:val="50B22EF2"/>
    <w:rsid w:val="50C335DB"/>
    <w:rsid w:val="50C35389"/>
    <w:rsid w:val="50C4725E"/>
    <w:rsid w:val="50C51101"/>
    <w:rsid w:val="50CC6933"/>
    <w:rsid w:val="50D82D7F"/>
    <w:rsid w:val="50DB5CE2"/>
    <w:rsid w:val="50DB7A0F"/>
    <w:rsid w:val="50E21CB3"/>
    <w:rsid w:val="50E60A07"/>
    <w:rsid w:val="50EE68AA"/>
    <w:rsid w:val="50F84CC4"/>
    <w:rsid w:val="50FB0FC7"/>
    <w:rsid w:val="5100482F"/>
    <w:rsid w:val="510C31D4"/>
    <w:rsid w:val="510E6880"/>
    <w:rsid w:val="51144ABC"/>
    <w:rsid w:val="511827A0"/>
    <w:rsid w:val="511E4CB5"/>
    <w:rsid w:val="5127477C"/>
    <w:rsid w:val="51306E89"/>
    <w:rsid w:val="513370D3"/>
    <w:rsid w:val="51356BF3"/>
    <w:rsid w:val="513676D7"/>
    <w:rsid w:val="51373E1C"/>
    <w:rsid w:val="51396FBE"/>
    <w:rsid w:val="51475FBA"/>
    <w:rsid w:val="514774AD"/>
    <w:rsid w:val="514975A6"/>
    <w:rsid w:val="51545F7C"/>
    <w:rsid w:val="51596C16"/>
    <w:rsid w:val="51602842"/>
    <w:rsid w:val="516603B6"/>
    <w:rsid w:val="516C7D38"/>
    <w:rsid w:val="516E79EA"/>
    <w:rsid w:val="51705511"/>
    <w:rsid w:val="517862DB"/>
    <w:rsid w:val="518647B8"/>
    <w:rsid w:val="518843BF"/>
    <w:rsid w:val="51991216"/>
    <w:rsid w:val="519B00B4"/>
    <w:rsid w:val="519F4FAA"/>
    <w:rsid w:val="51A67184"/>
    <w:rsid w:val="51A97CDA"/>
    <w:rsid w:val="51B03B5F"/>
    <w:rsid w:val="51B22DB8"/>
    <w:rsid w:val="51BB730A"/>
    <w:rsid w:val="51C13FBE"/>
    <w:rsid w:val="51C23892"/>
    <w:rsid w:val="51C2710C"/>
    <w:rsid w:val="51C27D36"/>
    <w:rsid w:val="51CE66DB"/>
    <w:rsid w:val="51D05FAF"/>
    <w:rsid w:val="51DA0BDC"/>
    <w:rsid w:val="51DE24D5"/>
    <w:rsid w:val="51E41A5B"/>
    <w:rsid w:val="51E4278A"/>
    <w:rsid w:val="51EB2DE9"/>
    <w:rsid w:val="51F24178"/>
    <w:rsid w:val="51F2795F"/>
    <w:rsid w:val="51F31C9E"/>
    <w:rsid w:val="52045C59"/>
    <w:rsid w:val="52100AA2"/>
    <w:rsid w:val="52156B5D"/>
    <w:rsid w:val="522C710D"/>
    <w:rsid w:val="52322221"/>
    <w:rsid w:val="523522B6"/>
    <w:rsid w:val="523537D5"/>
    <w:rsid w:val="523A624E"/>
    <w:rsid w:val="52423116"/>
    <w:rsid w:val="52462715"/>
    <w:rsid w:val="524A2AC9"/>
    <w:rsid w:val="524F1A19"/>
    <w:rsid w:val="52612683"/>
    <w:rsid w:val="52816F9E"/>
    <w:rsid w:val="52817C6A"/>
    <w:rsid w:val="5285323E"/>
    <w:rsid w:val="528648C0"/>
    <w:rsid w:val="528B0439"/>
    <w:rsid w:val="528C3065"/>
    <w:rsid w:val="52942117"/>
    <w:rsid w:val="52943808"/>
    <w:rsid w:val="52A01E26"/>
    <w:rsid w:val="52A35472"/>
    <w:rsid w:val="52AB2578"/>
    <w:rsid w:val="52AB4DAC"/>
    <w:rsid w:val="52AD009F"/>
    <w:rsid w:val="52C04276"/>
    <w:rsid w:val="52C13B4A"/>
    <w:rsid w:val="52D27B05"/>
    <w:rsid w:val="52D4387D"/>
    <w:rsid w:val="52D970E6"/>
    <w:rsid w:val="52DC5004"/>
    <w:rsid w:val="52E066C6"/>
    <w:rsid w:val="52F42171"/>
    <w:rsid w:val="52F56770"/>
    <w:rsid w:val="52F62268"/>
    <w:rsid w:val="52F80580"/>
    <w:rsid w:val="52F821D4"/>
    <w:rsid w:val="52F83A10"/>
    <w:rsid w:val="52FE2AB7"/>
    <w:rsid w:val="530529F2"/>
    <w:rsid w:val="530D6D8F"/>
    <w:rsid w:val="53114997"/>
    <w:rsid w:val="531234AC"/>
    <w:rsid w:val="532C41AD"/>
    <w:rsid w:val="53361382"/>
    <w:rsid w:val="533C446C"/>
    <w:rsid w:val="533E519B"/>
    <w:rsid w:val="533F05E1"/>
    <w:rsid w:val="53402F01"/>
    <w:rsid w:val="5345143A"/>
    <w:rsid w:val="5345379F"/>
    <w:rsid w:val="534702D4"/>
    <w:rsid w:val="534815BD"/>
    <w:rsid w:val="53512A30"/>
    <w:rsid w:val="535677D6"/>
    <w:rsid w:val="53597CAA"/>
    <w:rsid w:val="535B5D4C"/>
    <w:rsid w:val="535C6E92"/>
    <w:rsid w:val="535E64A6"/>
    <w:rsid w:val="535F7ADD"/>
    <w:rsid w:val="5362532D"/>
    <w:rsid w:val="53672943"/>
    <w:rsid w:val="536A616D"/>
    <w:rsid w:val="53714D2C"/>
    <w:rsid w:val="537A08C9"/>
    <w:rsid w:val="537B678C"/>
    <w:rsid w:val="537E4CD3"/>
    <w:rsid w:val="53865484"/>
    <w:rsid w:val="538708F0"/>
    <w:rsid w:val="538D1507"/>
    <w:rsid w:val="53901E9A"/>
    <w:rsid w:val="53943986"/>
    <w:rsid w:val="53954603"/>
    <w:rsid w:val="53964FD7"/>
    <w:rsid w:val="53982AFD"/>
    <w:rsid w:val="539855CF"/>
    <w:rsid w:val="539D6365"/>
    <w:rsid w:val="53A94D0A"/>
    <w:rsid w:val="53BD07B5"/>
    <w:rsid w:val="53BE5764"/>
    <w:rsid w:val="53C0050E"/>
    <w:rsid w:val="53C27609"/>
    <w:rsid w:val="53C378F8"/>
    <w:rsid w:val="53CB1124"/>
    <w:rsid w:val="53D37FD9"/>
    <w:rsid w:val="53D855EF"/>
    <w:rsid w:val="53E126F6"/>
    <w:rsid w:val="53E43F94"/>
    <w:rsid w:val="53E47207"/>
    <w:rsid w:val="53E775E0"/>
    <w:rsid w:val="53F73ACA"/>
    <w:rsid w:val="53F80C0A"/>
    <w:rsid w:val="53F817ED"/>
    <w:rsid w:val="53FF492A"/>
    <w:rsid w:val="540A51E2"/>
    <w:rsid w:val="54104D89"/>
    <w:rsid w:val="541505F1"/>
    <w:rsid w:val="54260518"/>
    <w:rsid w:val="542645AC"/>
    <w:rsid w:val="54266722"/>
    <w:rsid w:val="54271911"/>
    <w:rsid w:val="54271E31"/>
    <w:rsid w:val="542F72A2"/>
    <w:rsid w:val="5435659E"/>
    <w:rsid w:val="543A42A2"/>
    <w:rsid w:val="543C5B7E"/>
    <w:rsid w:val="54417B4C"/>
    <w:rsid w:val="544E765F"/>
    <w:rsid w:val="54576514"/>
    <w:rsid w:val="545C1D7C"/>
    <w:rsid w:val="547D1CF3"/>
    <w:rsid w:val="54866880"/>
    <w:rsid w:val="54877DC4"/>
    <w:rsid w:val="54887C02"/>
    <w:rsid w:val="548B440F"/>
    <w:rsid w:val="548E0C37"/>
    <w:rsid w:val="54911B66"/>
    <w:rsid w:val="549577A9"/>
    <w:rsid w:val="549C661D"/>
    <w:rsid w:val="54A66564"/>
    <w:rsid w:val="54A72E72"/>
    <w:rsid w:val="54A86D6F"/>
    <w:rsid w:val="54AA6037"/>
    <w:rsid w:val="54AC059B"/>
    <w:rsid w:val="54AC2883"/>
    <w:rsid w:val="54B21AAF"/>
    <w:rsid w:val="54B63603"/>
    <w:rsid w:val="54BA6AA3"/>
    <w:rsid w:val="54C12C84"/>
    <w:rsid w:val="54C65448"/>
    <w:rsid w:val="54C76893"/>
    <w:rsid w:val="54D34109"/>
    <w:rsid w:val="54D45298"/>
    <w:rsid w:val="54DB45C6"/>
    <w:rsid w:val="54DD1CC8"/>
    <w:rsid w:val="54E35FFA"/>
    <w:rsid w:val="54FB52E2"/>
    <w:rsid w:val="55065893"/>
    <w:rsid w:val="55081CBA"/>
    <w:rsid w:val="55147C23"/>
    <w:rsid w:val="55150815"/>
    <w:rsid w:val="55186D00"/>
    <w:rsid w:val="551C12D3"/>
    <w:rsid w:val="551D79FF"/>
    <w:rsid w:val="552503C0"/>
    <w:rsid w:val="55324A38"/>
    <w:rsid w:val="553539DB"/>
    <w:rsid w:val="553C5B31"/>
    <w:rsid w:val="55481AEF"/>
    <w:rsid w:val="5551200A"/>
    <w:rsid w:val="555700EF"/>
    <w:rsid w:val="555869E7"/>
    <w:rsid w:val="556829A3"/>
    <w:rsid w:val="556F7038"/>
    <w:rsid w:val="55730F23"/>
    <w:rsid w:val="557667D8"/>
    <w:rsid w:val="55780E38"/>
    <w:rsid w:val="5579070C"/>
    <w:rsid w:val="55911EF9"/>
    <w:rsid w:val="55933AFE"/>
    <w:rsid w:val="559B015A"/>
    <w:rsid w:val="559E5653"/>
    <w:rsid w:val="559F231F"/>
    <w:rsid w:val="55A37D12"/>
    <w:rsid w:val="55AA2FBB"/>
    <w:rsid w:val="55AE2AAB"/>
    <w:rsid w:val="55B300C2"/>
    <w:rsid w:val="55B41D2B"/>
    <w:rsid w:val="55BD676B"/>
    <w:rsid w:val="55C27D23"/>
    <w:rsid w:val="55C859BC"/>
    <w:rsid w:val="55CA644D"/>
    <w:rsid w:val="55CE28D5"/>
    <w:rsid w:val="55DA0770"/>
    <w:rsid w:val="55DC72ED"/>
    <w:rsid w:val="55DD513F"/>
    <w:rsid w:val="55E756C6"/>
    <w:rsid w:val="55EC586C"/>
    <w:rsid w:val="55F52488"/>
    <w:rsid w:val="55F83D27"/>
    <w:rsid w:val="55FE049E"/>
    <w:rsid w:val="560315A6"/>
    <w:rsid w:val="56087E94"/>
    <w:rsid w:val="560C332E"/>
    <w:rsid w:val="560E1DB7"/>
    <w:rsid w:val="56130B60"/>
    <w:rsid w:val="5614285B"/>
    <w:rsid w:val="561B7A15"/>
    <w:rsid w:val="56206309"/>
    <w:rsid w:val="56207793"/>
    <w:rsid w:val="562468CA"/>
    <w:rsid w:val="562B4FB5"/>
    <w:rsid w:val="5635532E"/>
    <w:rsid w:val="563E2521"/>
    <w:rsid w:val="563F4B16"/>
    <w:rsid w:val="56411FA1"/>
    <w:rsid w:val="56417E90"/>
    <w:rsid w:val="564611CE"/>
    <w:rsid w:val="56542303"/>
    <w:rsid w:val="56576C9F"/>
    <w:rsid w:val="56586573"/>
    <w:rsid w:val="56605448"/>
    <w:rsid w:val="567134D2"/>
    <w:rsid w:val="56720BF8"/>
    <w:rsid w:val="56757125"/>
    <w:rsid w:val="56764C4B"/>
    <w:rsid w:val="568253C9"/>
    <w:rsid w:val="56856B95"/>
    <w:rsid w:val="56890E23"/>
    <w:rsid w:val="568A35F0"/>
    <w:rsid w:val="568D446F"/>
    <w:rsid w:val="5695689F"/>
    <w:rsid w:val="56994A44"/>
    <w:rsid w:val="56A24CEA"/>
    <w:rsid w:val="56A87DAB"/>
    <w:rsid w:val="56AF3C76"/>
    <w:rsid w:val="56B23ED5"/>
    <w:rsid w:val="56B2739C"/>
    <w:rsid w:val="56B57CB5"/>
    <w:rsid w:val="56B631D9"/>
    <w:rsid w:val="56C523B0"/>
    <w:rsid w:val="56C90CBE"/>
    <w:rsid w:val="56CA0969"/>
    <w:rsid w:val="56CC60D1"/>
    <w:rsid w:val="56CF6C31"/>
    <w:rsid w:val="56D26326"/>
    <w:rsid w:val="56D7393C"/>
    <w:rsid w:val="56DC0F52"/>
    <w:rsid w:val="56DD7F5E"/>
    <w:rsid w:val="56E37D34"/>
    <w:rsid w:val="56F0042E"/>
    <w:rsid w:val="56F50D49"/>
    <w:rsid w:val="56F57AE6"/>
    <w:rsid w:val="56F664B8"/>
    <w:rsid w:val="56FD2198"/>
    <w:rsid w:val="57016C0B"/>
    <w:rsid w:val="5709792C"/>
    <w:rsid w:val="5712706A"/>
    <w:rsid w:val="57144B90"/>
    <w:rsid w:val="5716094C"/>
    <w:rsid w:val="572D0293"/>
    <w:rsid w:val="572D6137"/>
    <w:rsid w:val="572F3778"/>
    <w:rsid w:val="57351B7E"/>
    <w:rsid w:val="573945F7"/>
    <w:rsid w:val="57397C3B"/>
    <w:rsid w:val="573A5879"/>
    <w:rsid w:val="57421B0C"/>
    <w:rsid w:val="5745332D"/>
    <w:rsid w:val="57566F57"/>
    <w:rsid w:val="57572CCF"/>
    <w:rsid w:val="575E3C09"/>
    <w:rsid w:val="57677973"/>
    <w:rsid w:val="57815511"/>
    <w:rsid w:val="578156BA"/>
    <w:rsid w:val="57827D4C"/>
    <w:rsid w:val="578414E8"/>
    <w:rsid w:val="57947A7F"/>
    <w:rsid w:val="57A11AE4"/>
    <w:rsid w:val="57A87D5B"/>
    <w:rsid w:val="57AD28EF"/>
    <w:rsid w:val="57B254AD"/>
    <w:rsid w:val="57B62E70"/>
    <w:rsid w:val="57CF3750"/>
    <w:rsid w:val="57D1482F"/>
    <w:rsid w:val="57E02CC4"/>
    <w:rsid w:val="57F36E52"/>
    <w:rsid w:val="57F646C7"/>
    <w:rsid w:val="57F86260"/>
    <w:rsid w:val="57F9079B"/>
    <w:rsid w:val="57FD3876"/>
    <w:rsid w:val="57FF596A"/>
    <w:rsid w:val="580A35FE"/>
    <w:rsid w:val="581524C7"/>
    <w:rsid w:val="58256929"/>
    <w:rsid w:val="582C0930"/>
    <w:rsid w:val="583354EA"/>
    <w:rsid w:val="58411BE0"/>
    <w:rsid w:val="58421289"/>
    <w:rsid w:val="58467845"/>
    <w:rsid w:val="5849029F"/>
    <w:rsid w:val="58496ABB"/>
    <w:rsid w:val="584E5E80"/>
    <w:rsid w:val="58554389"/>
    <w:rsid w:val="58690919"/>
    <w:rsid w:val="586E4969"/>
    <w:rsid w:val="587005A3"/>
    <w:rsid w:val="58724BEF"/>
    <w:rsid w:val="58765D26"/>
    <w:rsid w:val="58783407"/>
    <w:rsid w:val="587A2719"/>
    <w:rsid w:val="587B479B"/>
    <w:rsid w:val="587F072F"/>
    <w:rsid w:val="58816FA9"/>
    <w:rsid w:val="58920462"/>
    <w:rsid w:val="589563F3"/>
    <w:rsid w:val="589C308F"/>
    <w:rsid w:val="58A914CF"/>
    <w:rsid w:val="58AA3F39"/>
    <w:rsid w:val="58AC08F5"/>
    <w:rsid w:val="58AD5660"/>
    <w:rsid w:val="58AE4B70"/>
    <w:rsid w:val="58CA7BFC"/>
    <w:rsid w:val="58D64051"/>
    <w:rsid w:val="58D8399B"/>
    <w:rsid w:val="58D93C09"/>
    <w:rsid w:val="58DA3658"/>
    <w:rsid w:val="58DB3DB1"/>
    <w:rsid w:val="58DE79F9"/>
    <w:rsid w:val="58DF1921"/>
    <w:rsid w:val="58E00F5E"/>
    <w:rsid w:val="58E44CE6"/>
    <w:rsid w:val="58EC3CC6"/>
    <w:rsid w:val="58EF5F1D"/>
    <w:rsid w:val="58F5454D"/>
    <w:rsid w:val="58FB73D6"/>
    <w:rsid w:val="58FF4954"/>
    <w:rsid w:val="59044790"/>
    <w:rsid w:val="59114FB0"/>
    <w:rsid w:val="59131E8B"/>
    <w:rsid w:val="59150E7E"/>
    <w:rsid w:val="591C731D"/>
    <w:rsid w:val="591E3AA4"/>
    <w:rsid w:val="591F754F"/>
    <w:rsid w:val="59205A6E"/>
    <w:rsid w:val="59246BE1"/>
    <w:rsid w:val="592F3F03"/>
    <w:rsid w:val="593E4804"/>
    <w:rsid w:val="593E74E0"/>
    <w:rsid w:val="593F0F77"/>
    <w:rsid w:val="59483BB3"/>
    <w:rsid w:val="59593DC0"/>
    <w:rsid w:val="595E20F3"/>
    <w:rsid w:val="5963345D"/>
    <w:rsid w:val="596671F9"/>
    <w:rsid w:val="596719AD"/>
    <w:rsid w:val="5968239F"/>
    <w:rsid w:val="596C0A07"/>
    <w:rsid w:val="596F60AE"/>
    <w:rsid w:val="5971064D"/>
    <w:rsid w:val="5975785D"/>
    <w:rsid w:val="59771E25"/>
    <w:rsid w:val="59777658"/>
    <w:rsid w:val="59841D22"/>
    <w:rsid w:val="59875AED"/>
    <w:rsid w:val="59897866"/>
    <w:rsid w:val="598A4F96"/>
    <w:rsid w:val="598E0A6A"/>
    <w:rsid w:val="59967ADE"/>
    <w:rsid w:val="59A02AF6"/>
    <w:rsid w:val="59A321FB"/>
    <w:rsid w:val="59A570A2"/>
    <w:rsid w:val="59A707F4"/>
    <w:rsid w:val="59AA71CF"/>
    <w:rsid w:val="59AC5554"/>
    <w:rsid w:val="59BA16DB"/>
    <w:rsid w:val="59BE0DE3"/>
    <w:rsid w:val="59C06909"/>
    <w:rsid w:val="59C12681"/>
    <w:rsid w:val="59CE3918"/>
    <w:rsid w:val="59D45AEF"/>
    <w:rsid w:val="59D625D1"/>
    <w:rsid w:val="59D94A1E"/>
    <w:rsid w:val="59E3160A"/>
    <w:rsid w:val="59E5027C"/>
    <w:rsid w:val="59E74C9B"/>
    <w:rsid w:val="59EA35A3"/>
    <w:rsid w:val="59F20A8D"/>
    <w:rsid w:val="59FD190B"/>
    <w:rsid w:val="5A0D02E3"/>
    <w:rsid w:val="5A13112F"/>
    <w:rsid w:val="5A142DDF"/>
    <w:rsid w:val="5A166E71"/>
    <w:rsid w:val="5A221372"/>
    <w:rsid w:val="5A2D3FD3"/>
    <w:rsid w:val="5A3F0176"/>
    <w:rsid w:val="5A455061"/>
    <w:rsid w:val="5A4B62FE"/>
    <w:rsid w:val="5A4F17A1"/>
    <w:rsid w:val="5A551CD1"/>
    <w:rsid w:val="5A5B1DED"/>
    <w:rsid w:val="5A647BDD"/>
    <w:rsid w:val="5A664053"/>
    <w:rsid w:val="5A6C7A18"/>
    <w:rsid w:val="5A700DA8"/>
    <w:rsid w:val="5A8C2C8F"/>
    <w:rsid w:val="5A955FE8"/>
    <w:rsid w:val="5AA408D8"/>
    <w:rsid w:val="5AB0697E"/>
    <w:rsid w:val="5ABA40EA"/>
    <w:rsid w:val="5ABB5323"/>
    <w:rsid w:val="5AC210D4"/>
    <w:rsid w:val="5AC71F19"/>
    <w:rsid w:val="5AD3266C"/>
    <w:rsid w:val="5AD52888"/>
    <w:rsid w:val="5AD703AE"/>
    <w:rsid w:val="5AD75203"/>
    <w:rsid w:val="5AD848C7"/>
    <w:rsid w:val="5ADD1EAF"/>
    <w:rsid w:val="5AE77AE0"/>
    <w:rsid w:val="5AEE28E8"/>
    <w:rsid w:val="5AEE394A"/>
    <w:rsid w:val="5AF129E7"/>
    <w:rsid w:val="5AF15FF4"/>
    <w:rsid w:val="5AF51776"/>
    <w:rsid w:val="5AF63549"/>
    <w:rsid w:val="5AFD7381"/>
    <w:rsid w:val="5B0000C2"/>
    <w:rsid w:val="5B063CE0"/>
    <w:rsid w:val="5B123195"/>
    <w:rsid w:val="5B150ED7"/>
    <w:rsid w:val="5B1E607B"/>
    <w:rsid w:val="5B286E5C"/>
    <w:rsid w:val="5B296730"/>
    <w:rsid w:val="5B381344"/>
    <w:rsid w:val="5B4377F2"/>
    <w:rsid w:val="5B5309E2"/>
    <w:rsid w:val="5B5737EC"/>
    <w:rsid w:val="5B5D58F8"/>
    <w:rsid w:val="5B5F03C9"/>
    <w:rsid w:val="5B637E94"/>
    <w:rsid w:val="5B6768A5"/>
    <w:rsid w:val="5B6B0AF7"/>
    <w:rsid w:val="5B7219CF"/>
    <w:rsid w:val="5B743E4F"/>
    <w:rsid w:val="5B751975"/>
    <w:rsid w:val="5B80134A"/>
    <w:rsid w:val="5B8A0BB9"/>
    <w:rsid w:val="5B8A7C55"/>
    <w:rsid w:val="5B9242D5"/>
    <w:rsid w:val="5B962856"/>
    <w:rsid w:val="5B9749E7"/>
    <w:rsid w:val="5BA242CD"/>
    <w:rsid w:val="5BA83AF9"/>
    <w:rsid w:val="5BC84A32"/>
    <w:rsid w:val="5BD3284D"/>
    <w:rsid w:val="5BDA1AF4"/>
    <w:rsid w:val="5BDB09B2"/>
    <w:rsid w:val="5BDD6458"/>
    <w:rsid w:val="5BDD7C46"/>
    <w:rsid w:val="5BEF5FA4"/>
    <w:rsid w:val="5BF66DDB"/>
    <w:rsid w:val="5BF9510E"/>
    <w:rsid w:val="5BFA37A2"/>
    <w:rsid w:val="5BFB631F"/>
    <w:rsid w:val="5BFC461E"/>
    <w:rsid w:val="5C035A02"/>
    <w:rsid w:val="5C084598"/>
    <w:rsid w:val="5C095FF6"/>
    <w:rsid w:val="5C0D7E00"/>
    <w:rsid w:val="5C2A0B85"/>
    <w:rsid w:val="5C321615"/>
    <w:rsid w:val="5C337866"/>
    <w:rsid w:val="5C3830CF"/>
    <w:rsid w:val="5C3A1BDE"/>
    <w:rsid w:val="5C3E3098"/>
    <w:rsid w:val="5C406286"/>
    <w:rsid w:val="5C475CF4"/>
    <w:rsid w:val="5C514191"/>
    <w:rsid w:val="5C606821"/>
    <w:rsid w:val="5C62639E"/>
    <w:rsid w:val="5C647056"/>
    <w:rsid w:val="5C6A3A2D"/>
    <w:rsid w:val="5C6D273E"/>
    <w:rsid w:val="5C700ABB"/>
    <w:rsid w:val="5C720E3A"/>
    <w:rsid w:val="5C761E49"/>
    <w:rsid w:val="5C79623E"/>
    <w:rsid w:val="5C7A04C1"/>
    <w:rsid w:val="5C8A1451"/>
    <w:rsid w:val="5C8B66DE"/>
    <w:rsid w:val="5C8F0A52"/>
    <w:rsid w:val="5C92268F"/>
    <w:rsid w:val="5C950521"/>
    <w:rsid w:val="5CAC0FFE"/>
    <w:rsid w:val="5CAC586B"/>
    <w:rsid w:val="5CAE7C03"/>
    <w:rsid w:val="5CB22E1D"/>
    <w:rsid w:val="5CB43B8B"/>
    <w:rsid w:val="5CBD1826"/>
    <w:rsid w:val="5CC247A9"/>
    <w:rsid w:val="5CC8079F"/>
    <w:rsid w:val="5CCB1E1F"/>
    <w:rsid w:val="5CCC1488"/>
    <w:rsid w:val="5CD028DD"/>
    <w:rsid w:val="5CD64696"/>
    <w:rsid w:val="5CE172C2"/>
    <w:rsid w:val="5CE2128D"/>
    <w:rsid w:val="5CE67C21"/>
    <w:rsid w:val="5CED210B"/>
    <w:rsid w:val="5CF7705F"/>
    <w:rsid w:val="5CF8460C"/>
    <w:rsid w:val="5CFA0384"/>
    <w:rsid w:val="5D06275B"/>
    <w:rsid w:val="5D092F30"/>
    <w:rsid w:val="5D2062E5"/>
    <w:rsid w:val="5D2618E7"/>
    <w:rsid w:val="5D276C9F"/>
    <w:rsid w:val="5D2B12C0"/>
    <w:rsid w:val="5D2C288D"/>
    <w:rsid w:val="5D386368"/>
    <w:rsid w:val="5D3D64C3"/>
    <w:rsid w:val="5D513680"/>
    <w:rsid w:val="5D5615C2"/>
    <w:rsid w:val="5D5A7075"/>
    <w:rsid w:val="5D5C103F"/>
    <w:rsid w:val="5D5C261C"/>
    <w:rsid w:val="5D6A1CDE"/>
    <w:rsid w:val="5D6A4E62"/>
    <w:rsid w:val="5D795194"/>
    <w:rsid w:val="5D7E0FB5"/>
    <w:rsid w:val="5D883475"/>
    <w:rsid w:val="5D8A795A"/>
    <w:rsid w:val="5D8B1FAD"/>
    <w:rsid w:val="5D942216"/>
    <w:rsid w:val="5DA80F61"/>
    <w:rsid w:val="5DB37135"/>
    <w:rsid w:val="5DB524FD"/>
    <w:rsid w:val="5DB723C2"/>
    <w:rsid w:val="5DB8352F"/>
    <w:rsid w:val="5DB91FED"/>
    <w:rsid w:val="5DC866D4"/>
    <w:rsid w:val="5DCF11EE"/>
    <w:rsid w:val="5DE27D97"/>
    <w:rsid w:val="5DEB5F1F"/>
    <w:rsid w:val="5DED1C97"/>
    <w:rsid w:val="5DF53045"/>
    <w:rsid w:val="5DF64FF0"/>
    <w:rsid w:val="5DF66D9E"/>
    <w:rsid w:val="5DF809C2"/>
    <w:rsid w:val="5DFB2606"/>
    <w:rsid w:val="5E033269"/>
    <w:rsid w:val="5E0A2849"/>
    <w:rsid w:val="5E197006"/>
    <w:rsid w:val="5E1B1008"/>
    <w:rsid w:val="5E1B2EE1"/>
    <w:rsid w:val="5E1D07CE"/>
    <w:rsid w:val="5E20206C"/>
    <w:rsid w:val="5E23397E"/>
    <w:rsid w:val="5E272947"/>
    <w:rsid w:val="5E2841CF"/>
    <w:rsid w:val="5E390325"/>
    <w:rsid w:val="5E3B2B04"/>
    <w:rsid w:val="5E3C677A"/>
    <w:rsid w:val="5E47584B"/>
    <w:rsid w:val="5E562853"/>
    <w:rsid w:val="5E581806"/>
    <w:rsid w:val="5E5C0A2E"/>
    <w:rsid w:val="5E5E5F0F"/>
    <w:rsid w:val="5E700620"/>
    <w:rsid w:val="5E7423B8"/>
    <w:rsid w:val="5E750F85"/>
    <w:rsid w:val="5E7513B9"/>
    <w:rsid w:val="5E766130"/>
    <w:rsid w:val="5E784B90"/>
    <w:rsid w:val="5E8F2D4E"/>
    <w:rsid w:val="5E954808"/>
    <w:rsid w:val="5EA20CD3"/>
    <w:rsid w:val="5EA54320"/>
    <w:rsid w:val="5EA73711"/>
    <w:rsid w:val="5EAA18A8"/>
    <w:rsid w:val="5EB47819"/>
    <w:rsid w:val="5EB6176C"/>
    <w:rsid w:val="5EB6652D"/>
    <w:rsid w:val="5EB757F1"/>
    <w:rsid w:val="5EB86749"/>
    <w:rsid w:val="5EB97DCB"/>
    <w:rsid w:val="5EC7125A"/>
    <w:rsid w:val="5ED3379D"/>
    <w:rsid w:val="5ED512EE"/>
    <w:rsid w:val="5ED6097D"/>
    <w:rsid w:val="5EDC5D8E"/>
    <w:rsid w:val="5EDD68C7"/>
    <w:rsid w:val="5EE14F8C"/>
    <w:rsid w:val="5EE242F8"/>
    <w:rsid w:val="5EE25574"/>
    <w:rsid w:val="5EE30B66"/>
    <w:rsid w:val="5EE315DD"/>
    <w:rsid w:val="5EE339E8"/>
    <w:rsid w:val="5EEA77C7"/>
    <w:rsid w:val="5EF77271"/>
    <w:rsid w:val="5EFF58AC"/>
    <w:rsid w:val="5EFF6126"/>
    <w:rsid w:val="5F001FC2"/>
    <w:rsid w:val="5F090D52"/>
    <w:rsid w:val="5F096FA4"/>
    <w:rsid w:val="5F0C4CFE"/>
    <w:rsid w:val="5F0F6658"/>
    <w:rsid w:val="5F1A2F60"/>
    <w:rsid w:val="5F1F39A6"/>
    <w:rsid w:val="5F223BC2"/>
    <w:rsid w:val="5F225970"/>
    <w:rsid w:val="5F246AEA"/>
    <w:rsid w:val="5F290B88"/>
    <w:rsid w:val="5F337B7D"/>
    <w:rsid w:val="5F39195F"/>
    <w:rsid w:val="5F3E25A9"/>
    <w:rsid w:val="5F4955F3"/>
    <w:rsid w:val="5F4B136B"/>
    <w:rsid w:val="5F596ACC"/>
    <w:rsid w:val="5F6441DB"/>
    <w:rsid w:val="5F6661A5"/>
    <w:rsid w:val="5F675A73"/>
    <w:rsid w:val="5F683CCB"/>
    <w:rsid w:val="5F697A43"/>
    <w:rsid w:val="5F6B2DBA"/>
    <w:rsid w:val="5F6F1A2E"/>
    <w:rsid w:val="5F720222"/>
    <w:rsid w:val="5F7408C2"/>
    <w:rsid w:val="5F754C66"/>
    <w:rsid w:val="5F772160"/>
    <w:rsid w:val="5F7E529D"/>
    <w:rsid w:val="5F7F54F7"/>
    <w:rsid w:val="5F806221"/>
    <w:rsid w:val="5F8108E9"/>
    <w:rsid w:val="5F8403D9"/>
    <w:rsid w:val="5F8623A3"/>
    <w:rsid w:val="5F8A2898"/>
    <w:rsid w:val="5F8D7977"/>
    <w:rsid w:val="5F8F1CD2"/>
    <w:rsid w:val="5F926EFB"/>
    <w:rsid w:val="5F9977F6"/>
    <w:rsid w:val="5F9D31BC"/>
    <w:rsid w:val="5FA81A57"/>
    <w:rsid w:val="5FAC3308"/>
    <w:rsid w:val="5FAF4DD3"/>
    <w:rsid w:val="5FB17C29"/>
    <w:rsid w:val="5FB82E15"/>
    <w:rsid w:val="5FBE38EB"/>
    <w:rsid w:val="5FC627A0"/>
    <w:rsid w:val="5FDC6D68"/>
    <w:rsid w:val="5FE274DC"/>
    <w:rsid w:val="5FE86BBA"/>
    <w:rsid w:val="5FFC08B7"/>
    <w:rsid w:val="60011A1B"/>
    <w:rsid w:val="600212A4"/>
    <w:rsid w:val="60082DB8"/>
    <w:rsid w:val="601260A9"/>
    <w:rsid w:val="601E25DC"/>
    <w:rsid w:val="601F0B2B"/>
    <w:rsid w:val="602A2D2E"/>
    <w:rsid w:val="602D0C84"/>
    <w:rsid w:val="60321477"/>
    <w:rsid w:val="60467201"/>
    <w:rsid w:val="60545ED4"/>
    <w:rsid w:val="605D1356"/>
    <w:rsid w:val="606647BC"/>
    <w:rsid w:val="606F4BE5"/>
    <w:rsid w:val="607062FE"/>
    <w:rsid w:val="60781824"/>
    <w:rsid w:val="607D37A6"/>
    <w:rsid w:val="607D5554"/>
    <w:rsid w:val="607E5A53"/>
    <w:rsid w:val="60854874"/>
    <w:rsid w:val="608B5AEC"/>
    <w:rsid w:val="60914033"/>
    <w:rsid w:val="60934F33"/>
    <w:rsid w:val="609901A2"/>
    <w:rsid w:val="609E360F"/>
    <w:rsid w:val="60A46F85"/>
    <w:rsid w:val="60AF592A"/>
    <w:rsid w:val="60AF76D8"/>
    <w:rsid w:val="60B84026"/>
    <w:rsid w:val="60D07D7A"/>
    <w:rsid w:val="60D521B1"/>
    <w:rsid w:val="60D55103"/>
    <w:rsid w:val="60D9388D"/>
    <w:rsid w:val="60E170B6"/>
    <w:rsid w:val="60E530F9"/>
    <w:rsid w:val="60E66B18"/>
    <w:rsid w:val="60E75BD3"/>
    <w:rsid w:val="60EA0710"/>
    <w:rsid w:val="60EC4488"/>
    <w:rsid w:val="60F021CA"/>
    <w:rsid w:val="60F33F59"/>
    <w:rsid w:val="60F83D24"/>
    <w:rsid w:val="60F872D1"/>
    <w:rsid w:val="60FE6800"/>
    <w:rsid w:val="611213AC"/>
    <w:rsid w:val="61171596"/>
    <w:rsid w:val="612E684E"/>
    <w:rsid w:val="61314591"/>
    <w:rsid w:val="61363955"/>
    <w:rsid w:val="61436338"/>
    <w:rsid w:val="614B11AE"/>
    <w:rsid w:val="614B7400"/>
    <w:rsid w:val="614D1479"/>
    <w:rsid w:val="614E0C9F"/>
    <w:rsid w:val="6151078F"/>
    <w:rsid w:val="61587D6F"/>
    <w:rsid w:val="61596CFA"/>
    <w:rsid w:val="615971BD"/>
    <w:rsid w:val="615C33BC"/>
    <w:rsid w:val="615E4DF2"/>
    <w:rsid w:val="61691F7C"/>
    <w:rsid w:val="616B35FF"/>
    <w:rsid w:val="616D7559"/>
    <w:rsid w:val="616F73F2"/>
    <w:rsid w:val="61827AFC"/>
    <w:rsid w:val="61882403"/>
    <w:rsid w:val="61977057"/>
    <w:rsid w:val="61994561"/>
    <w:rsid w:val="619F599E"/>
    <w:rsid w:val="61A06617"/>
    <w:rsid w:val="61A44D62"/>
    <w:rsid w:val="61A60ADB"/>
    <w:rsid w:val="61AC733C"/>
    <w:rsid w:val="61CC6F89"/>
    <w:rsid w:val="61CD740E"/>
    <w:rsid w:val="61CF0031"/>
    <w:rsid w:val="61DA03D6"/>
    <w:rsid w:val="61E048F9"/>
    <w:rsid w:val="61E17D65"/>
    <w:rsid w:val="61E7515F"/>
    <w:rsid w:val="61EF4230"/>
    <w:rsid w:val="61F8532B"/>
    <w:rsid w:val="61FE0B3E"/>
    <w:rsid w:val="62065A1D"/>
    <w:rsid w:val="620677CB"/>
    <w:rsid w:val="62102AEC"/>
    <w:rsid w:val="62144C71"/>
    <w:rsid w:val="62147535"/>
    <w:rsid w:val="621E76F7"/>
    <w:rsid w:val="62261C1B"/>
    <w:rsid w:val="62292C19"/>
    <w:rsid w:val="62327299"/>
    <w:rsid w:val="623B56C7"/>
    <w:rsid w:val="623C143F"/>
    <w:rsid w:val="623E6F65"/>
    <w:rsid w:val="62420807"/>
    <w:rsid w:val="624511ED"/>
    <w:rsid w:val="624B36C6"/>
    <w:rsid w:val="624B4FA8"/>
    <w:rsid w:val="624D3A32"/>
    <w:rsid w:val="625B3673"/>
    <w:rsid w:val="625B7B17"/>
    <w:rsid w:val="62652744"/>
    <w:rsid w:val="626B6F06"/>
    <w:rsid w:val="626E2769"/>
    <w:rsid w:val="62727DCA"/>
    <w:rsid w:val="62774225"/>
    <w:rsid w:val="627A7F21"/>
    <w:rsid w:val="627C183B"/>
    <w:rsid w:val="6283706E"/>
    <w:rsid w:val="62880827"/>
    <w:rsid w:val="62891CB7"/>
    <w:rsid w:val="628B71A8"/>
    <w:rsid w:val="62946FB5"/>
    <w:rsid w:val="629848C7"/>
    <w:rsid w:val="62A14D81"/>
    <w:rsid w:val="62A258F2"/>
    <w:rsid w:val="62A6715D"/>
    <w:rsid w:val="62A82630"/>
    <w:rsid w:val="62B162F2"/>
    <w:rsid w:val="62B965EC"/>
    <w:rsid w:val="62BB2188"/>
    <w:rsid w:val="62C12BFD"/>
    <w:rsid w:val="62C22BBB"/>
    <w:rsid w:val="62C70CFE"/>
    <w:rsid w:val="62D33B51"/>
    <w:rsid w:val="62D83CB7"/>
    <w:rsid w:val="62D90A3C"/>
    <w:rsid w:val="62DF24F0"/>
    <w:rsid w:val="62E23D94"/>
    <w:rsid w:val="62E95227"/>
    <w:rsid w:val="62EE44E7"/>
    <w:rsid w:val="62EF4CDE"/>
    <w:rsid w:val="62F34ADC"/>
    <w:rsid w:val="62FD1D35"/>
    <w:rsid w:val="6309608B"/>
    <w:rsid w:val="6315739F"/>
    <w:rsid w:val="631877B6"/>
    <w:rsid w:val="631C6836"/>
    <w:rsid w:val="631D6B7A"/>
    <w:rsid w:val="631E01EC"/>
    <w:rsid w:val="631F34F5"/>
    <w:rsid w:val="63302D52"/>
    <w:rsid w:val="6331293E"/>
    <w:rsid w:val="63322A43"/>
    <w:rsid w:val="633D2BD8"/>
    <w:rsid w:val="634078EE"/>
    <w:rsid w:val="63452132"/>
    <w:rsid w:val="635357E1"/>
    <w:rsid w:val="6361115D"/>
    <w:rsid w:val="63617E09"/>
    <w:rsid w:val="63652A1B"/>
    <w:rsid w:val="636C5653"/>
    <w:rsid w:val="63894917"/>
    <w:rsid w:val="638B61DA"/>
    <w:rsid w:val="638C3D00"/>
    <w:rsid w:val="638D0016"/>
    <w:rsid w:val="638E3519"/>
    <w:rsid w:val="639B4DC3"/>
    <w:rsid w:val="639C03E7"/>
    <w:rsid w:val="63A01AA4"/>
    <w:rsid w:val="63A04029"/>
    <w:rsid w:val="63A75057"/>
    <w:rsid w:val="63AC081F"/>
    <w:rsid w:val="63AD6150"/>
    <w:rsid w:val="63B10704"/>
    <w:rsid w:val="63B340FB"/>
    <w:rsid w:val="63B76FCF"/>
    <w:rsid w:val="63C05839"/>
    <w:rsid w:val="63C67212"/>
    <w:rsid w:val="63CE715B"/>
    <w:rsid w:val="63D27965"/>
    <w:rsid w:val="63D82255"/>
    <w:rsid w:val="63DF0721"/>
    <w:rsid w:val="63E022EB"/>
    <w:rsid w:val="63E2236B"/>
    <w:rsid w:val="63E245CB"/>
    <w:rsid w:val="63E87AE3"/>
    <w:rsid w:val="63F91396"/>
    <w:rsid w:val="63F94F3A"/>
    <w:rsid w:val="63FA7BB1"/>
    <w:rsid w:val="63FC2C34"/>
    <w:rsid w:val="64020817"/>
    <w:rsid w:val="640502D6"/>
    <w:rsid w:val="64067F0D"/>
    <w:rsid w:val="64091019"/>
    <w:rsid w:val="640970FF"/>
    <w:rsid w:val="640D3093"/>
    <w:rsid w:val="640D6BEF"/>
    <w:rsid w:val="64233790"/>
    <w:rsid w:val="64292951"/>
    <w:rsid w:val="642D103F"/>
    <w:rsid w:val="64393E88"/>
    <w:rsid w:val="643A0656"/>
    <w:rsid w:val="643C5726"/>
    <w:rsid w:val="643E4C31"/>
    <w:rsid w:val="643E4F7D"/>
    <w:rsid w:val="64414AEB"/>
    <w:rsid w:val="644A511E"/>
    <w:rsid w:val="644E50A6"/>
    <w:rsid w:val="645021EC"/>
    <w:rsid w:val="6453662C"/>
    <w:rsid w:val="6456360A"/>
    <w:rsid w:val="645A5BAC"/>
    <w:rsid w:val="645C36D2"/>
    <w:rsid w:val="645F0DBE"/>
    <w:rsid w:val="646031C3"/>
    <w:rsid w:val="64607601"/>
    <w:rsid w:val="6461441A"/>
    <w:rsid w:val="64631C3B"/>
    <w:rsid w:val="64645574"/>
    <w:rsid w:val="64652625"/>
    <w:rsid w:val="64713C3C"/>
    <w:rsid w:val="647C3D75"/>
    <w:rsid w:val="647F342B"/>
    <w:rsid w:val="64800D38"/>
    <w:rsid w:val="64814073"/>
    <w:rsid w:val="64852C29"/>
    <w:rsid w:val="648669A1"/>
    <w:rsid w:val="648D7D30"/>
    <w:rsid w:val="649015CE"/>
    <w:rsid w:val="649E3595"/>
    <w:rsid w:val="64A42AF3"/>
    <w:rsid w:val="64AA2690"/>
    <w:rsid w:val="64AA7708"/>
    <w:rsid w:val="64AD03D2"/>
    <w:rsid w:val="64B147AF"/>
    <w:rsid w:val="64CA2D32"/>
    <w:rsid w:val="64CF0348"/>
    <w:rsid w:val="64D15E6F"/>
    <w:rsid w:val="64D23995"/>
    <w:rsid w:val="64DB6CED"/>
    <w:rsid w:val="64DD4813"/>
    <w:rsid w:val="64E75692"/>
    <w:rsid w:val="64E85052"/>
    <w:rsid w:val="64EB4FDD"/>
    <w:rsid w:val="64F14763"/>
    <w:rsid w:val="64F47DAF"/>
    <w:rsid w:val="64F8789F"/>
    <w:rsid w:val="64FF0C2E"/>
    <w:rsid w:val="650457AB"/>
    <w:rsid w:val="650D2C1F"/>
    <w:rsid w:val="650E0DDA"/>
    <w:rsid w:val="650E5143"/>
    <w:rsid w:val="65144483"/>
    <w:rsid w:val="65223234"/>
    <w:rsid w:val="65297A59"/>
    <w:rsid w:val="65334B65"/>
    <w:rsid w:val="65343893"/>
    <w:rsid w:val="653B0591"/>
    <w:rsid w:val="653D4C07"/>
    <w:rsid w:val="65402FF4"/>
    <w:rsid w:val="65420538"/>
    <w:rsid w:val="654B3E73"/>
    <w:rsid w:val="654B487E"/>
    <w:rsid w:val="654E74BF"/>
    <w:rsid w:val="65516FAF"/>
    <w:rsid w:val="65541D3C"/>
    <w:rsid w:val="65556AAC"/>
    <w:rsid w:val="656D50B9"/>
    <w:rsid w:val="656E5DB3"/>
    <w:rsid w:val="656F0784"/>
    <w:rsid w:val="65711400"/>
    <w:rsid w:val="65757142"/>
    <w:rsid w:val="65757752"/>
    <w:rsid w:val="65886E23"/>
    <w:rsid w:val="658F04F8"/>
    <w:rsid w:val="65913850"/>
    <w:rsid w:val="65996187"/>
    <w:rsid w:val="659A2659"/>
    <w:rsid w:val="659B4A46"/>
    <w:rsid w:val="659F5F6D"/>
    <w:rsid w:val="65A17F37"/>
    <w:rsid w:val="65A610A9"/>
    <w:rsid w:val="65A64481"/>
    <w:rsid w:val="65A73073"/>
    <w:rsid w:val="65AE168C"/>
    <w:rsid w:val="65C321BE"/>
    <w:rsid w:val="65C5353E"/>
    <w:rsid w:val="65D42BBB"/>
    <w:rsid w:val="65D45048"/>
    <w:rsid w:val="65D8322D"/>
    <w:rsid w:val="65DF2381"/>
    <w:rsid w:val="65E41BD1"/>
    <w:rsid w:val="65E47E23"/>
    <w:rsid w:val="65EA5D86"/>
    <w:rsid w:val="65EF0F14"/>
    <w:rsid w:val="65F016B7"/>
    <w:rsid w:val="65F10827"/>
    <w:rsid w:val="65F91EAA"/>
    <w:rsid w:val="65FA31A3"/>
    <w:rsid w:val="65FD2C93"/>
    <w:rsid w:val="65FF07B9"/>
    <w:rsid w:val="660039F4"/>
    <w:rsid w:val="66012DB4"/>
    <w:rsid w:val="6607163A"/>
    <w:rsid w:val="6607508D"/>
    <w:rsid w:val="660C0E4C"/>
    <w:rsid w:val="661204ED"/>
    <w:rsid w:val="661701F9"/>
    <w:rsid w:val="6618187B"/>
    <w:rsid w:val="661F2C0A"/>
    <w:rsid w:val="6626688C"/>
    <w:rsid w:val="662A0BAB"/>
    <w:rsid w:val="662A7440"/>
    <w:rsid w:val="663B1106"/>
    <w:rsid w:val="66417A9E"/>
    <w:rsid w:val="66486604"/>
    <w:rsid w:val="665662B2"/>
    <w:rsid w:val="66611474"/>
    <w:rsid w:val="66660410"/>
    <w:rsid w:val="66661AB5"/>
    <w:rsid w:val="66682803"/>
    <w:rsid w:val="66692CE9"/>
    <w:rsid w:val="66725C36"/>
    <w:rsid w:val="667271DD"/>
    <w:rsid w:val="667411A7"/>
    <w:rsid w:val="667967BE"/>
    <w:rsid w:val="667B02CD"/>
    <w:rsid w:val="667F18FA"/>
    <w:rsid w:val="668F70DB"/>
    <w:rsid w:val="66974E96"/>
    <w:rsid w:val="669C425A"/>
    <w:rsid w:val="669E6224"/>
    <w:rsid w:val="66A6332B"/>
    <w:rsid w:val="66A96EFB"/>
    <w:rsid w:val="66AA6977"/>
    <w:rsid w:val="66AC1035"/>
    <w:rsid w:val="66C057B2"/>
    <w:rsid w:val="66C56152"/>
    <w:rsid w:val="66C832A1"/>
    <w:rsid w:val="66CC035A"/>
    <w:rsid w:val="66CC1B1F"/>
    <w:rsid w:val="66D02156"/>
    <w:rsid w:val="66D25ECE"/>
    <w:rsid w:val="66D460EA"/>
    <w:rsid w:val="66DB6884"/>
    <w:rsid w:val="66E04A8F"/>
    <w:rsid w:val="66E14363"/>
    <w:rsid w:val="66E55C01"/>
    <w:rsid w:val="66EE7E3E"/>
    <w:rsid w:val="66EF082E"/>
    <w:rsid w:val="66EF478A"/>
    <w:rsid w:val="66F2031E"/>
    <w:rsid w:val="66F27773"/>
    <w:rsid w:val="6705401D"/>
    <w:rsid w:val="670A5414"/>
    <w:rsid w:val="671309C0"/>
    <w:rsid w:val="671343B2"/>
    <w:rsid w:val="672F2F4F"/>
    <w:rsid w:val="67357BB4"/>
    <w:rsid w:val="67397CFB"/>
    <w:rsid w:val="673F539A"/>
    <w:rsid w:val="67410BF9"/>
    <w:rsid w:val="67425882"/>
    <w:rsid w:val="674370F9"/>
    <w:rsid w:val="6747066A"/>
    <w:rsid w:val="674943E2"/>
    <w:rsid w:val="674D37A6"/>
    <w:rsid w:val="675608AD"/>
    <w:rsid w:val="676058DD"/>
    <w:rsid w:val="6760630D"/>
    <w:rsid w:val="67695728"/>
    <w:rsid w:val="676B1D80"/>
    <w:rsid w:val="67717495"/>
    <w:rsid w:val="67765EF4"/>
    <w:rsid w:val="677D1761"/>
    <w:rsid w:val="67801DCE"/>
    <w:rsid w:val="67835E93"/>
    <w:rsid w:val="6784541A"/>
    <w:rsid w:val="678717D8"/>
    <w:rsid w:val="678C42CF"/>
    <w:rsid w:val="679378FE"/>
    <w:rsid w:val="679A69EC"/>
    <w:rsid w:val="679C6C08"/>
    <w:rsid w:val="679D4D8D"/>
    <w:rsid w:val="679E650E"/>
    <w:rsid w:val="679F3ACA"/>
    <w:rsid w:val="67AF7FBD"/>
    <w:rsid w:val="67B956EC"/>
    <w:rsid w:val="67BC1058"/>
    <w:rsid w:val="67C1041C"/>
    <w:rsid w:val="67C439C6"/>
    <w:rsid w:val="67D31EFE"/>
    <w:rsid w:val="67D36A4A"/>
    <w:rsid w:val="67D37642"/>
    <w:rsid w:val="67D75C7D"/>
    <w:rsid w:val="67DB7004"/>
    <w:rsid w:val="67DF08A2"/>
    <w:rsid w:val="67E660D5"/>
    <w:rsid w:val="67ED6375"/>
    <w:rsid w:val="67EF7AB2"/>
    <w:rsid w:val="67F035ED"/>
    <w:rsid w:val="67F1641A"/>
    <w:rsid w:val="67F7116C"/>
    <w:rsid w:val="6800588A"/>
    <w:rsid w:val="68016A6B"/>
    <w:rsid w:val="68061D81"/>
    <w:rsid w:val="680B78E9"/>
    <w:rsid w:val="680E2F36"/>
    <w:rsid w:val="68106CAE"/>
    <w:rsid w:val="6817628E"/>
    <w:rsid w:val="681A18DB"/>
    <w:rsid w:val="681C6ADA"/>
    <w:rsid w:val="681D4BB1"/>
    <w:rsid w:val="68242294"/>
    <w:rsid w:val="683A3D2B"/>
    <w:rsid w:val="684233E6"/>
    <w:rsid w:val="68461114"/>
    <w:rsid w:val="68476448"/>
    <w:rsid w:val="684F4585"/>
    <w:rsid w:val="68565367"/>
    <w:rsid w:val="68565CBD"/>
    <w:rsid w:val="68573DCC"/>
    <w:rsid w:val="68583B39"/>
    <w:rsid w:val="685C7E46"/>
    <w:rsid w:val="685E0A5D"/>
    <w:rsid w:val="685E5C6B"/>
    <w:rsid w:val="68670E46"/>
    <w:rsid w:val="68680898"/>
    <w:rsid w:val="686D4100"/>
    <w:rsid w:val="68701E42"/>
    <w:rsid w:val="68880F3A"/>
    <w:rsid w:val="688E25CD"/>
    <w:rsid w:val="68994CF2"/>
    <w:rsid w:val="68A613C0"/>
    <w:rsid w:val="68AA1372"/>
    <w:rsid w:val="68AE79A3"/>
    <w:rsid w:val="68B01F7D"/>
    <w:rsid w:val="68B63CF9"/>
    <w:rsid w:val="68B97345"/>
    <w:rsid w:val="68BB4222"/>
    <w:rsid w:val="68C043C3"/>
    <w:rsid w:val="68C27C0F"/>
    <w:rsid w:val="68CC10BC"/>
    <w:rsid w:val="68CD3FDE"/>
    <w:rsid w:val="68CE02CC"/>
    <w:rsid w:val="68D43F3A"/>
    <w:rsid w:val="68E7049C"/>
    <w:rsid w:val="68EF39C7"/>
    <w:rsid w:val="68F17366"/>
    <w:rsid w:val="68F22857"/>
    <w:rsid w:val="68F241F9"/>
    <w:rsid w:val="690158BE"/>
    <w:rsid w:val="69040D09"/>
    <w:rsid w:val="690577E1"/>
    <w:rsid w:val="6908207B"/>
    <w:rsid w:val="69140510"/>
    <w:rsid w:val="691A6363"/>
    <w:rsid w:val="691C1682"/>
    <w:rsid w:val="691E6786"/>
    <w:rsid w:val="69270753"/>
    <w:rsid w:val="69513A22"/>
    <w:rsid w:val="695B05FC"/>
    <w:rsid w:val="695B664F"/>
    <w:rsid w:val="695D5F23"/>
    <w:rsid w:val="696C260A"/>
    <w:rsid w:val="696C7DCD"/>
    <w:rsid w:val="69713A6A"/>
    <w:rsid w:val="69724608"/>
    <w:rsid w:val="697B562E"/>
    <w:rsid w:val="69821E2D"/>
    <w:rsid w:val="698A6F34"/>
    <w:rsid w:val="69937B96"/>
    <w:rsid w:val="69A5736D"/>
    <w:rsid w:val="69A71894"/>
    <w:rsid w:val="69A973BA"/>
    <w:rsid w:val="69B22581"/>
    <w:rsid w:val="69B57C9A"/>
    <w:rsid w:val="69B83AA1"/>
    <w:rsid w:val="69C12C7C"/>
    <w:rsid w:val="69C97A5C"/>
    <w:rsid w:val="69CE3464"/>
    <w:rsid w:val="69D84CA4"/>
    <w:rsid w:val="69E05367"/>
    <w:rsid w:val="69E27A87"/>
    <w:rsid w:val="69F87A3E"/>
    <w:rsid w:val="69FB64B7"/>
    <w:rsid w:val="6A0445F0"/>
    <w:rsid w:val="6A083F67"/>
    <w:rsid w:val="6A096B68"/>
    <w:rsid w:val="6A0D5B9B"/>
    <w:rsid w:val="6A12254A"/>
    <w:rsid w:val="6A14410C"/>
    <w:rsid w:val="6A1B0891"/>
    <w:rsid w:val="6A2E6E71"/>
    <w:rsid w:val="6A3053E5"/>
    <w:rsid w:val="6A333127"/>
    <w:rsid w:val="6A356EA0"/>
    <w:rsid w:val="6A425452"/>
    <w:rsid w:val="6A452A79"/>
    <w:rsid w:val="6A4B221F"/>
    <w:rsid w:val="6A5F2753"/>
    <w:rsid w:val="6A647492"/>
    <w:rsid w:val="6A665113"/>
    <w:rsid w:val="6A6B28C1"/>
    <w:rsid w:val="6A6C10E4"/>
    <w:rsid w:val="6A6C63A9"/>
    <w:rsid w:val="6A707ED8"/>
    <w:rsid w:val="6A7A2B04"/>
    <w:rsid w:val="6A7C508D"/>
    <w:rsid w:val="6A7F3E66"/>
    <w:rsid w:val="6A863F6D"/>
    <w:rsid w:val="6A8B4D12"/>
    <w:rsid w:val="6A9F3684"/>
    <w:rsid w:val="6AB230F0"/>
    <w:rsid w:val="6ABC20AE"/>
    <w:rsid w:val="6AC10733"/>
    <w:rsid w:val="6AC769BB"/>
    <w:rsid w:val="6ACD460B"/>
    <w:rsid w:val="6AD93CCF"/>
    <w:rsid w:val="6ADC65C6"/>
    <w:rsid w:val="6AE037DE"/>
    <w:rsid w:val="6AE10DD5"/>
    <w:rsid w:val="6AE35D56"/>
    <w:rsid w:val="6AE425F9"/>
    <w:rsid w:val="6AEE2B45"/>
    <w:rsid w:val="6AF74155"/>
    <w:rsid w:val="6AFA044C"/>
    <w:rsid w:val="6B064398"/>
    <w:rsid w:val="6B124E35"/>
    <w:rsid w:val="6B124F7B"/>
    <w:rsid w:val="6B132D77"/>
    <w:rsid w:val="6B135022"/>
    <w:rsid w:val="6B1A20D3"/>
    <w:rsid w:val="6B1A6128"/>
    <w:rsid w:val="6B1B42E7"/>
    <w:rsid w:val="6B251937"/>
    <w:rsid w:val="6B264B93"/>
    <w:rsid w:val="6B2667E8"/>
    <w:rsid w:val="6B30012D"/>
    <w:rsid w:val="6B3727A3"/>
    <w:rsid w:val="6B3D7C7E"/>
    <w:rsid w:val="6B4C26F3"/>
    <w:rsid w:val="6B4E079F"/>
    <w:rsid w:val="6B4F43C3"/>
    <w:rsid w:val="6B5549CF"/>
    <w:rsid w:val="6B572A56"/>
    <w:rsid w:val="6B594E10"/>
    <w:rsid w:val="6B62131E"/>
    <w:rsid w:val="6B64707D"/>
    <w:rsid w:val="6B656B5C"/>
    <w:rsid w:val="6B696C8B"/>
    <w:rsid w:val="6B6F63E1"/>
    <w:rsid w:val="6B7632CC"/>
    <w:rsid w:val="6B7834E8"/>
    <w:rsid w:val="6B796319"/>
    <w:rsid w:val="6B8116B2"/>
    <w:rsid w:val="6B820CC0"/>
    <w:rsid w:val="6B8E2D0B"/>
    <w:rsid w:val="6B917134"/>
    <w:rsid w:val="6B95409A"/>
    <w:rsid w:val="6B980C3C"/>
    <w:rsid w:val="6B985938"/>
    <w:rsid w:val="6BA047ED"/>
    <w:rsid w:val="6BA240C1"/>
    <w:rsid w:val="6BA42CE1"/>
    <w:rsid w:val="6BA75B7B"/>
    <w:rsid w:val="6BAE3E81"/>
    <w:rsid w:val="6BB81476"/>
    <w:rsid w:val="6BB91E13"/>
    <w:rsid w:val="6BC67BE9"/>
    <w:rsid w:val="6BC8639A"/>
    <w:rsid w:val="6BCA3618"/>
    <w:rsid w:val="6BCC3ABE"/>
    <w:rsid w:val="6BCC4D91"/>
    <w:rsid w:val="6BD52E3A"/>
    <w:rsid w:val="6BD7311B"/>
    <w:rsid w:val="6BDE3191"/>
    <w:rsid w:val="6BE3474F"/>
    <w:rsid w:val="6BE558C2"/>
    <w:rsid w:val="6BE97129"/>
    <w:rsid w:val="6BEA17A2"/>
    <w:rsid w:val="6BF61C34"/>
    <w:rsid w:val="6BF7263C"/>
    <w:rsid w:val="6BF72F5E"/>
    <w:rsid w:val="6BFD3226"/>
    <w:rsid w:val="6C0176FD"/>
    <w:rsid w:val="6C032A06"/>
    <w:rsid w:val="6C0D0475"/>
    <w:rsid w:val="6C111246"/>
    <w:rsid w:val="6C112375"/>
    <w:rsid w:val="6C1325D3"/>
    <w:rsid w:val="6C153A1F"/>
    <w:rsid w:val="6C155E31"/>
    <w:rsid w:val="6C1B3E73"/>
    <w:rsid w:val="6C1F5C4A"/>
    <w:rsid w:val="6C20659F"/>
    <w:rsid w:val="6C283CFA"/>
    <w:rsid w:val="6C2B5ACD"/>
    <w:rsid w:val="6C2E1DF8"/>
    <w:rsid w:val="6C313697"/>
    <w:rsid w:val="6C335661"/>
    <w:rsid w:val="6C3A079D"/>
    <w:rsid w:val="6C467142"/>
    <w:rsid w:val="6C4E379B"/>
    <w:rsid w:val="6C507FC1"/>
    <w:rsid w:val="6C5B5F14"/>
    <w:rsid w:val="6C5C425E"/>
    <w:rsid w:val="6C617EFF"/>
    <w:rsid w:val="6C6770B8"/>
    <w:rsid w:val="6C68196A"/>
    <w:rsid w:val="6C6F08BD"/>
    <w:rsid w:val="6C74684C"/>
    <w:rsid w:val="6C77379F"/>
    <w:rsid w:val="6C826B60"/>
    <w:rsid w:val="6C8E0AE9"/>
    <w:rsid w:val="6C991968"/>
    <w:rsid w:val="6C9943AE"/>
    <w:rsid w:val="6C9C3206"/>
    <w:rsid w:val="6C9E1130"/>
    <w:rsid w:val="6CA16A6E"/>
    <w:rsid w:val="6CAD71C1"/>
    <w:rsid w:val="6CB247D7"/>
    <w:rsid w:val="6CB25A9E"/>
    <w:rsid w:val="6CBA7B30"/>
    <w:rsid w:val="6CBE317C"/>
    <w:rsid w:val="6CC67436"/>
    <w:rsid w:val="6CE2197B"/>
    <w:rsid w:val="6CE81285"/>
    <w:rsid w:val="6CEA2EC2"/>
    <w:rsid w:val="6CEB7CE9"/>
    <w:rsid w:val="6CFA1CDB"/>
    <w:rsid w:val="6CFC0E1C"/>
    <w:rsid w:val="6D010864"/>
    <w:rsid w:val="6D02333A"/>
    <w:rsid w:val="6D08089B"/>
    <w:rsid w:val="6D0D1A0E"/>
    <w:rsid w:val="6D170ADE"/>
    <w:rsid w:val="6D1D70C2"/>
    <w:rsid w:val="6D253A9E"/>
    <w:rsid w:val="6D2A0A99"/>
    <w:rsid w:val="6D2B159E"/>
    <w:rsid w:val="6D377C63"/>
    <w:rsid w:val="6D394241"/>
    <w:rsid w:val="6D3C6A44"/>
    <w:rsid w:val="6D3F3B91"/>
    <w:rsid w:val="6D4449B9"/>
    <w:rsid w:val="6D521F1F"/>
    <w:rsid w:val="6D5847CC"/>
    <w:rsid w:val="6D5904FB"/>
    <w:rsid w:val="6D5B6C1D"/>
    <w:rsid w:val="6D65184A"/>
    <w:rsid w:val="6D656DF9"/>
    <w:rsid w:val="6D6F7FB5"/>
    <w:rsid w:val="6D763B51"/>
    <w:rsid w:val="6D8749FD"/>
    <w:rsid w:val="6D9640F9"/>
    <w:rsid w:val="6D9C0D39"/>
    <w:rsid w:val="6D9C44AE"/>
    <w:rsid w:val="6D9E29F3"/>
    <w:rsid w:val="6D9E4D5C"/>
    <w:rsid w:val="6DA027CB"/>
    <w:rsid w:val="6DA560EA"/>
    <w:rsid w:val="6DA8467A"/>
    <w:rsid w:val="6DAC0C09"/>
    <w:rsid w:val="6DB74B0F"/>
    <w:rsid w:val="6DBC51E2"/>
    <w:rsid w:val="6DC31233"/>
    <w:rsid w:val="6DD4077E"/>
    <w:rsid w:val="6DD93FE6"/>
    <w:rsid w:val="6DDA2238"/>
    <w:rsid w:val="6DDB384E"/>
    <w:rsid w:val="6DE72678"/>
    <w:rsid w:val="6DEB6327"/>
    <w:rsid w:val="6DEE5CE3"/>
    <w:rsid w:val="6DF80910"/>
    <w:rsid w:val="6E0125FA"/>
    <w:rsid w:val="6E0F42CC"/>
    <w:rsid w:val="6E0F5B13"/>
    <w:rsid w:val="6E1F1379"/>
    <w:rsid w:val="6E2056EF"/>
    <w:rsid w:val="6E245552"/>
    <w:rsid w:val="6E2658FA"/>
    <w:rsid w:val="6E35746E"/>
    <w:rsid w:val="6E3C1ED4"/>
    <w:rsid w:val="6E412BF3"/>
    <w:rsid w:val="6E4678CD"/>
    <w:rsid w:val="6E607369"/>
    <w:rsid w:val="6E7004A6"/>
    <w:rsid w:val="6E75515A"/>
    <w:rsid w:val="6E777282"/>
    <w:rsid w:val="6E7B6E4B"/>
    <w:rsid w:val="6E835C4E"/>
    <w:rsid w:val="6E9F198F"/>
    <w:rsid w:val="6EAF41A5"/>
    <w:rsid w:val="6EB505AF"/>
    <w:rsid w:val="6EB81E4D"/>
    <w:rsid w:val="6EC7274E"/>
    <w:rsid w:val="6ED07197"/>
    <w:rsid w:val="6ED544CF"/>
    <w:rsid w:val="6EE052E0"/>
    <w:rsid w:val="6EE97267"/>
    <w:rsid w:val="6EEE4BC6"/>
    <w:rsid w:val="6EF93B92"/>
    <w:rsid w:val="6EFA5250"/>
    <w:rsid w:val="6F0E6B0E"/>
    <w:rsid w:val="6F152DFC"/>
    <w:rsid w:val="6F165DD9"/>
    <w:rsid w:val="6F280D81"/>
    <w:rsid w:val="6F2E1E17"/>
    <w:rsid w:val="6F3C2A7E"/>
    <w:rsid w:val="6F3C5208"/>
    <w:rsid w:val="6F433E0D"/>
    <w:rsid w:val="6F4B0F13"/>
    <w:rsid w:val="6F4F630E"/>
    <w:rsid w:val="6F6953FA"/>
    <w:rsid w:val="6F6D49E6"/>
    <w:rsid w:val="6F6F4E9F"/>
    <w:rsid w:val="6F72024E"/>
    <w:rsid w:val="6F751AEC"/>
    <w:rsid w:val="6F7810F5"/>
    <w:rsid w:val="6F795A80"/>
    <w:rsid w:val="6F7C2FFE"/>
    <w:rsid w:val="6F7D16DE"/>
    <w:rsid w:val="6F8A37EA"/>
    <w:rsid w:val="6F8C7562"/>
    <w:rsid w:val="6F912DCA"/>
    <w:rsid w:val="6FA61932"/>
    <w:rsid w:val="6FA81EC2"/>
    <w:rsid w:val="6FAD5071"/>
    <w:rsid w:val="6FB14B95"/>
    <w:rsid w:val="6FB42847"/>
    <w:rsid w:val="6FBA0703"/>
    <w:rsid w:val="6FBF3C48"/>
    <w:rsid w:val="6FC14D32"/>
    <w:rsid w:val="6FCA10E5"/>
    <w:rsid w:val="6FCA143B"/>
    <w:rsid w:val="6FCA62DC"/>
    <w:rsid w:val="6FCB02E8"/>
    <w:rsid w:val="6FCF326F"/>
    <w:rsid w:val="6FD42CB7"/>
    <w:rsid w:val="6FE56A1E"/>
    <w:rsid w:val="6FF819C3"/>
    <w:rsid w:val="6FFD4164"/>
    <w:rsid w:val="70090BB2"/>
    <w:rsid w:val="700A0487"/>
    <w:rsid w:val="700F1F41"/>
    <w:rsid w:val="700F6D92"/>
    <w:rsid w:val="702B1DB3"/>
    <w:rsid w:val="70311EB7"/>
    <w:rsid w:val="70387900"/>
    <w:rsid w:val="70390D6C"/>
    <w:rsid w:val="703A33DE"/>
    <w:rsid w:val="705042E7"/>
    <w:rsid w:val="705362D1"/>
    <w:rsid w:val="70560B9A"/>
    <w:rsid w:val="705B0CE2"/>
    <w:rsid w:val="705B2397"/>
    <w:rsid w:val="705B6F34"/>
    <w:rsid w:val="705F4A66"/>
    <w:rsid w:val="70651B61"/>
    <w:rsid w:val="70671D7D"/>
    <w:rsid w:val="706933FF"/>
    <w:rsid w:val="706D527D"/>
    <w:rsid w:val="70744BA6"/>
    <w:rsid w:val="707B1384"/>
    <w:rsid w:val="707C5453"/>
    <w:rsid w:val="70804DAD"/>
    <w:rsid w:val="708E47EA"/>
    <w:rsid w:val="709541F4"/>
    <w:rsid w:val="70962A36"/>
    <w:rsid w:val="709E2491"/>
    <w:rsid w:val="70A221ED"/>
    <w:rsid w:val="70A33C9F"/>
    <w:rsid w:val="70AB3A18"/>
    <w:rsid w:val="70AD09C0"/>
    <w:rsid w:val="70B54896"/>
    <w:rsid w:val="70C67F9E"/>
    <w:rsid w:val="70CA0C1A"/>
    <w:rsid w:val="70CA41F7"/>
    <w:rsid w:val="70CD3254"/>
    <w:rsid w:val="70D171F6"/>
    <w:rsid w:val="70D25448"/>
    <w:rsid w:val="70DD5B9B"/>
    <w:rsid w:val="70E424B4"/>
    <w:rsid w:val="70E62CA2"/>
    <w:rsid w:val="70EB7863"/>
    <w:rsid w:val="70F23777"/>
    <w:rsid w:val="70F6321B"/>
    <w:rsid w:val="70F919B3"/>
    <w:rsid w:val="70F96386"/>
    <w:rsid w:val="7104581E"/>
    <w:rsid w:val="710F044A"/>
    <w:rsid w:val="71124D16"/>
    <w:rsid w:val="711E068D"/>
    <w:rsid w:val="712026E3"/>
    <w:rsid w:val="71211194"/>
    <w:rsid w:val="71232FEB"/>
    <w:rsid w:val="71235CA4"/>
    <w:rsid w:val="71245578"/>
    <w:rsid w:val="71265794"/>
    <w:rsid w:val="71290DE0"/>
    <w:rsid w:val="71304BEC"/>
    <w:rsid w:val="713D47CC"/>
    <w:rsid w:val="713E6E12"/>
    <w:rsid w:val="714874B8"/>
    <w:rsid w:val="714D3D36"/>
    <w:rsid w:val="715220E5"/>
    <w:rsid w:val="715C11B6"/>
    <w:rsid w:val="716562BC"/>
    <w:rsid w:val="716A4E97"/>
    <w:rsid w:val="716B008C"/>
    <w:rsid w:val="716C6988"/>
    <w:rsid w:val="717207E2"/>
    <w:rsid w:val="71773FF6"/>
    <w:rsid w:val="717A293A"/>
    <w:rsid w:val="717E2EDA"/>
    <w:rsid w:val="7194523A"/>
    <w:rsid w:val="71A16BC9"/>
    <w:rsid w:val="71A66FCE"/>
    <w:rsid w:val="71AA1F21"/>
    <w:rsid w:val="71AA2B3E"/>
    <w:rsid w:val="71AE3D54"/>
    <w:rsid w:val="71B047FB"/>
    <w:rsid w:val="71B256A1"/>
    <w:rsid w:val="71B40FF2"/>
    <w:rsid w:val="71B44B4E"/>
    <w:rsid w:val="71C2114F"/>
    <w:rsid w:val="71C34FDA"/>
    <w:rsid w:val="71C97A48"/>
    <w:rsid w:val="71D376CA"/>
    <w:rsid w:val="71E54A16"/>
    <w:rsid w:val="71E573FD"/>
    <w:rsid w:val="71F4319C"/>
    <w:rsid w:val="71FB09CF"/>
    <w:rsid w:val="71FD4E21"/>
    <w:rsid w:val="72021DBB"/>
    <w:rsid w:val="720310A0"/>
    <w:rsid w:val="72056A3E"/>
    <w:rsid w:val="7212122A"/>
    <w:rsid w:val="72161365"/>
    <w:rsid w:val="72192C03"/>
    <w:rsid w:val="72214077"/>
    <w:rsid w:val="72263D41"/>
    <w:rsid w:val="722E33D9"/>
    <w:rsid w:val="723034E9"/>
    <w:rsid w:val="72316CDF"/>
    <w:rsid w:val="72367C59"/>
    <w:rsid w:val="7249173A"/>
    <w:rsid w:val="724E63C6"/>
    <w:rsid w:val="725338E4"/>
    <w:rsid w:val="725400DF"/>
    <w:rsid w:val="72540220"/>
    <w:rsid w:val="725561A2"/>
    <w:rsid w:val="725B2B9B"/>
    <w:rsid w:val="726440E1"/>
    <w:rsid w:val="72657E89"/>
    <w:rsid w:val="72671940"/>
    <w:rsid w:val="72684D25"/>
    <w:rsid w:val="726A7902"/>
    <w:rsid w:val="726F091C"/>
    <w:rsid w:val="726F4F19"/>
    <w:rsid w:val="7270316B"/>
    <w:rsid w:val="72706504"/>
    <w:rsid w:val="72710BA9"/>
    <w:rsid w:val="727366E6"/>
    <w:rsid w:val="72745891"/>
    <w:rsid w:val="72751246"/>
    <w:rsid w:val="72751C33"/>
    <w:rsid w:val="727939D6"/>
    <w:rsid w:val="72932477"/>
    <w:rsid w:val="729E5688"/>
    <w:rsid w:val="72A252EE"/>
    <w:rsid w:val="72AA7CFF"/>
    <w:rsid w:val="72AB5F51"/>
    <w:rsid w:val="72AC7F1B"/>
    <w:rsid w:val="72BB3CBA"/>
    <w:rsid w:val="72BC22AC"/>
    <w:rsid w:val="72C02163"/>
    <w:rsid w:val="72CB03A1"/>
    <w:rsid w:val="72D043AB"/>
    <w:rsid w:val="72DF209E"/>
    <w:rsid w:val="72E43211"/>
    <w:rsid w:val="72E66F89"/>
    <w:rsid w:val="72E77D71"/>
    <w:rsid w:val="72EB310F"/>
    <w:rsid w:val="72F119C8"/>
    <w:rsid w:val="72F316A6"/>
    <w:rsid w:val="72F5541E"/>
    <w:rsid w:val="72F81F40"/>
    <w:rsid w:val="72F83160"/>
    <w:rsid w:val="72F90EAF"/>
    <w:rsid w:val="7315161C"/>
    <w:rsid w:val="731A0B62"/>
    <w:rsid w:val="731F249B"/>
    <w:rsid w:val="73206699"/>
    <w:rsid w:val="732072E7"/>
    <w:rsid w:val="7321692F"/>
    <w:rsid w:val="7327134F"/>
    <w:rsid w:val="732912C4"/>
    <w:rsid w:val="732B0E40"/>
    <w:rsid w:val="734914B2"/>
    <w:rsid w:val="734E594C"/>
    <w:rsid w:val="735E2EFB"/>
    <w:rsid w:val="736153DB"/>
    <w:rsid w:val="73667E4A"/>
    <w:rsid w:val="736A24AB"/>
    <w:rsid w:val="736C3B18"/>
    <w:rsid w:val="736F345C"/>
    <w:rsid w:val="73770529"/>
    <w:rsid w:val="737F2F3A"/>
    <w:rsid w:val="73852C46"/>
    <w:rsid w:val="73893DB8"/>
    <w:rsid w:val="7390621F"/>
    <w:rsid w:val="7394143C"/>
    <w:rsid w:val="73952FB8"/>
    <w:rsid w:val="7396721F"/>
    <w:rsid w:val="7397398D"/>
    <w:rsid w:val="73975DC3"/>
    <w:rsid w:val="739D2CEC"/>
    <w:rsid w:val="73A51C9B"/>
    <w:rsid w:val="73A912D2"/>
    <w:rsid w:val="73AD5CF9"/>
    <w:rsid w:val="73AD77F7"/>
    <w:rsid w:val="73B07597"/>
    <w:rsid w:val="73B40E35"/>
    <w:rsid w:val="73C15474"/>
    <w:rsid w:val="73C62C4D"/>
    <w:rsid w:val="73C80E09"/>
    <w:rsid w:val="73CB43D1"/>
    <w:rsid w:val="73D27CE1"/>
    <w:rsid w:val="73E97387"/>
    <w:rsid w:val="73EC37FA"/>
    <w:rsid w:val="73ED2599"/>
    <w:rsid w:val="73FC658D"/>
    <w:rsid w:val="73FE0302"/>
    <w:rsid w:val="73FF0247"/>
    <w:rsid w:val="74027007"/>
    <w:rsid w:val="74060014"/>
    <w:rsid w:val="7408658E"/>
    <w:rsid w:val="740A5F00"/>
    <w:rsid w:val="740C3777"/>
    <w:rsid w:val="740E2F75"/>
    <w:rsid w:val="7414706E"/>
    <w:rsid w:val="741619FD"/>
    <w:rsid w:val="741E4179"/>
    <w:rsid w:val="742065DC"/>
    <w:rsid w:val="742329E9"/>
    <w:rsid w:val="74257F85"/>
    <w:rsid w:val="742C13B6"/>
    <w:rsid w:val="74334F60"/>
    <w:rsid w:val="74367F1C"/>
    <w:rsid w:val="7443665D"/>
    <w:rsid w:val="744A74A4"/>
    <w:rsid w:val="74557335"/>
    <w:rsid w:val="746016FA"/>
    <w:rsid w:val="74654825"/>
    <w:rsid w:val="74675E0B"/>
    <w:rsid w:val="74681C20"/>
    <w:rsid w:val="746C1F94"/>
    <w:rsid w:val="746D116A"/>
    <w:rsid w:val="7479207F"/>
    <w:rsid w:val="747A263E"/>
    <w:rsid w:val="747D527B"/>
    <w:rsid w:val="748368B4"/>
    <w:rsid w:val="748C3B60"/>
    <w:rsid w:val="749243E9"/>
    <w:rsid w:val="74945351"/>
    <w:rsid w:val="749905EE"/>
    <w:rsid w:val="749B605C"/>
    <w:rsid w:val="74B23C34"/>
    <w:rsid w:val="74B32E59"/>
    <w:rsid w:val="74C94DB4"/>
    <w:rsid w:val="74D32E9B"/>
    <w:rsid w:val="74D56038"/>
    <w:rsid w:val="74D97846"/>
    <w:rsid w:val="74DA2029"/>
    <w:rsid w:val="74E019EA"/>
    <w:rsid w:val="74E120FE"/>
    <w:rsid w:val="74E20FCC"/>
    <w:rsid w:val="74E44D56"/>
    <w:rsid w:val="74E724EC"/>
    <w:rsid w:val="74EB6AD9"/>
    <w:rsid w:val="74F141CA"/>
    <w:rsid w:val="74F6547D"/>
    <w:rsid w:val="74FD0A22"/>
    <w:rsid w:val="750162FC"/>
    <w:rsid w:val="750C4CA1"/>
    <w:rsid w:val="751248E1"/>
    <w:rsid w:val="751E6743"/>
    <w:rsid w:val="752124FA"/>
    <w:rsid w:val="75324707"/>
    <w:rsid w:val="75371D1E"/>
    <w:rsid w:val="754040CB"/>
    <w:rsid w:val="75474ECE"/>
    <w:rsid w:val="754E4859"/>
    <w:rsid w:val="754E7067"/>
    <w:rsid w:val="754F447F"/>
    <w:rsid w:val="75504B8E"/>
    <w:rsid w:val="7553569C"/>
    <w:rsid w:val="75556317"/>
    <w:rsid w:val="75622B13"/>
    <w:rsid w:val="75635FA7"/>
    <w:rsid w:val="7568637B"/>
    <w:rsid w:val="756B15C9"/>
    <w:rsid w:val="75790C57"/>
    <w:rsid w:val="75792336"/>
    <w:rsid w:val="757D464F"/>
    <w:rsid w:val="758111EB"/>
    <w:rsid w:val="7581368D"/>
    <w:rsid w:val="758808F6"/>
    <w:rsid w:val="758B02BC"/>
    <w:rsid w:val="75912BC7"/>
    <w:rsid w:val="75947170"/>
    <w:rsid w:val="75947B4F"/>
    <w:rsid w:val="759A0598"/>
    <w:rsid w:val="759C1F0C"/>
    <w:rsid w:val="75A2292C"/>
    <w:rsid w:val="75A32E1D"/>
    <w:rsid w:val="75AD2CAB"/>
    <w:rsid w:val="75AF12CF"/>
    <w:rsid w:val="75B74C0D"/>
    <w:rsid w:val="75BE4EBA"/>
    <w:rsid w:val="75E6724E"/>
    <w:rsid w:val="75EB41BC"/>
    <w:rsid w:val="75EE7637"/>
    <w:rsid w:val="75EF43A6"/>
    <w:rsid w:val="75F55735"/>
    <w:rsid w:val="75FB0F9D"/>
    <w:rsid w:val="760204EF"/>
    <w:rsid w:val="760360A4"/>
    <w:rsid w:val="76041807"/>
    <w:rsid w:val="76045AA6"/>
    <w:rsid w:val="76097038"/>
    <w:rsid w:val="76142A12"/>
    <w:rsid w:val="761734BF"/>
    <w:rsid w:val="761C7166"/>
    <w:rsid w:val="761E26E6"/>
    <w:rsid w:val="76224BBC"/>
    <w:rsid w:val="76244BB8"/>
    <w:rsid w:val="762565DA"/>
    <w:rsid w:val="762C371E"/>
    <w:rsid w:val="76395C95"/>
    <w:rsid w:val="763B583E"/>
    <w:rsid w:val="763F2271"/>
    <w:rsid w:val="76413834"/>
    <w:rsid w:val="764A58DF"/>
    <w:rsid w:val="764A5A81"/>
    <w:rsid w:val="764C0E19"/>
    <w:rsid w:val="764E40FB"/>
    <w:rsid w:val="76503D0E"/>
    <w:rsid w:val="76557E54"/>
    <w:rsid w:val="76631EA4"/>
    <w:rsid w:val="76674885"/>
    <w:rsid w:val="766C59F7"/>
    <w:rsid w:val="76724757"/>
    <w:rsid w:val="767825EE"/>
    <w:rsid w:val="76787B6C"/>
    <w:rsid w:val="76845770"/>
    <w:rsid w:val="76864515"/>
    <w:rsid w:val="768A40CF"/>
    <w:rsid w:val="76911902"/>
    <w:rsid w:val="76920715"/>
    <w:rsid w:val="7696369C"/>
    <w:rsid w:val="769F2009"/>
    <w:rsid w:val="76A70496"/>
    <w:rsid w:val="76A827A7"/>
    <w:rsid w:val="76AC74B5"/>
    <w:rsid w:val="76AF7FDA"/>
    <w:rsid w:val="76B13D52"/>
    <w:rsid w:val="76B93FEC"/>
    <w:rsid w:val="76BF021D"/>
    <w:rsid w:val="76BF39B5"/>
    <w:rsid w:val="76C23869"/>
    <w:rsid w:val="76C770D1"/>
    <w:rsid w:val="76CC0B8C"/>
    <w:rsid w:val="76D87530"/>
    <w:rsid w:val="76DD68F5"/>
    <w:rsid w:val="76DF439F"/>
    <w:rsid w:val="76E23F0B"/>
    <w:rsid w:val="76E47C83"/>
    <w:rsid w:val="76E97048"/>
    <w:rsid w:val="76EC7EE8"/>
    <w:rsid w:val="76ED14C6"/>
    <w:rsid w:val="76F16C4E"/>
    <w:rsid w:val="77030E31"/>
    <w:rsid w:val="770C71DA"/>
    <w:rsid w:val="771204C8"/>
    <w:rsid w:val="77147E3D"/>
    <w:rsid w:val="771F6F0D"/>
    <w:rsid w:val="77275DC2"/>
    <w:rsid w:val="77291B3A"/>
    <w:rsid w:val="773109EF"/>
    <w:rsid w:val="77387FC2"/>
    <w:rsid w:val="774150D6"/>
    <w:rsid w:val="77440722"/>
    <w:rsid w:val="77490EAB"/>
    <w:rsid w:val="774920BD"/>
    <w:rsid w:val="77562CF0"/>
    <w:rsid w:val="77636CA1"/>
    <w:rsid w:val="7767620F"/>
    <w:rsid w:val="77692D92"/>
    <w:rsid w:val="776A36F3"/>
    <w:rsid w:val="776D55C6"/>
    <w:rsid w:val="77770AF7"/>
    <w:rsid w:val="777A7420"/>
    <w:rsid w:val="777E5981"/>
    <w:rsid w:val="77833407"/>
    <w:rsid w:val="77866F8C"/>
    <w:rsid w:val="778E7227"/>
    <w:rsid w:val="779001A9"/>
    <w:rsid w:val="77955D14"/>
    <w:rsid w:val="779571D0"/>
    <w:rsid w:val="77961CB9"/>
    <w:rsid w:val="779A2A38"/>
    <w:rsid w:val="779D7E32"/>
    <w:rsid w:val="77A01F4F"/>
    <w:rsid w:val="77A92E06"/>
    <w:rsid w:val="77AF64E3"/>
    <w:rsid w:val="77B9605B"/>
    <w:rsid w:val="77C16217"/>
    <w:rsid w:val="77D221D2"/>
    <w:rsid w:val="77D73344"/>
    <w:rsid w:val="77E31CE9"/>
    <w:rsid w:val="77E47EF5"/>
    <w:rsid w:val="77E55684"/>
    <w:rsid w:val="77E67A2B"/>
    <w:rsid w:val="77E81DBD"/>
    <w:rsid w:val="77EB3293"/>
    <w:rsid w:val="77EB5041"/>
    <w:rsid w:val="77EE52A6"/>
    <w:rsid w:val="77FB61E7"/>
    <w:rsid w:val="77FF289B"/>
    <w:rsid w:val="7803238B"/>
    <w:rsid w:val="78085BF3"/>
    <w:rsid w:val="780B56E4"/>
    <w:rsid w:val="780C53C2"/>
    <w:rsid w:val="78127272"/>
    <w:rsid w:val="78171359"/>
    <w:rsid w:val="781E5417"/>
    <w:rsid w:val="78221022"/>
    <w:rsid w:val="78232A2D"/>
    <w:rsid w:val="78242DDA"/>
    <w:rsid w:val="7826619A"/>
    <w:rsid w:val="78321E81"/>
    <w:rsid w:val="78324A1E"/>
    <w:rsid w:val="78326FD3"/>
    <w:rsid w:val="7840713B"/>
    <w:rsid w:val="78484564"/>
    <w:rsid w:val="784D1858"/>
    <w:rsid w:val="784F0287"/>
    <w:rsid w:val="785506C7"/>
    <w:rsid w:val="78552F1F"/>
    <w:rsid w:val="78596A84"/>
    <w:rsid w:val="7860158C"/>
    <w:rsid w:val="78615304"/>
    <w:rsid w:val="78654DF4"/>
    <w:rsid w:val="7867540A"/>
    <w:rsid w:val="78682280"/>
    <w:rsid w:val="786F3127"/>
    <w:rsid w:val="7874534E"/>
    <w:rsid w:val="787677ED"/>
    <w:rsid w:val="78782095"/>
    <w:rsid w:val="787A3D0F"/>
    <w:rsid w:val="787E7C64"/>
    <w:rsid w:val="78807C47"/>
    <w:rsid w:val="78883343"/>
    <w:rsid w:val="788D2CD0"/>
    <w:rsid w:val="789604FB"/>
    <w:rsid w:val="789607FB"/>
    <w:rsid w:val="78986F77"/>
    <w:rsid w:val="78A0407E"/>
    <w:rsid w:val="78A05677"/>
    <w:rsid w:val="78AE679B"/>
    <w:rsid w:val="78B673FD"/>
    <w:rsid w:val="78B813C8"/>
    <w:rsid w:val="78BB0EB8"/>
    <w:rsid w:val="78BF6934"/>
    <w:rsid w:val="78CC05E7"/>
    <w:rsid w:val="78CC09CF"/>
    <w:rsid w:val="78CF17D1"/>
    <w:rsid w:val="78D26023"/>
    <w:rsid w:val="78DF3E8C"/>
    <w:rsid w:val="78EF5B4A"/>
    <w:rsid w:val="78F16688"/>
    <w:rsid w:val="78F65981"/>
    <w:rsid w:val="78F92189"/>
    <w:rsid w:val="78FF0DA4"/>
    <w:rsid w:val="7904460D"/>
    <w:rsid w:val="79075B7A"/>
    <w:rsid w:val="79076F20"/>
    <w:rsid w:val="79094CF5"/>
    <w:rsid w:val="790A1A19"/>
    <w:rsid w:val="790B7335"/>
    <w:rsid w:val="7914489A"/>
    <w:rsid w:val="79166739"/>
    <w:rsid w:val="79166AA4"/>
    <w:rsid w:val="791C775C"/>
    <w:rsid w:val="791D20CB"/>
    <w:rsid w:val="791F564C"/>
    <w:rsid w:val="79297B73"/>
    <w:rsid w:val="792A5904"/>
    <w:rsid w:val="792B7DEB"/>
    <w:rsid w:val="792F40AF"/>
    <w:rsid w:val="79386064"/>
    <w:rsid w:val="793E7C15"/>
    <w:rsid w:val="79454CFA"/>
    <w:rsid w:val="7949140A"/>
    <w:rsid w:val="79563FBF"/>
    <w:rsid w:val="7956473D"/>
    <w:rsid w:val="795D5ACB"/>
    <w:rsid w:val="79696AAA"/>
    <w:rsid w:val="79703A50"/>
    <w:rsid w:val="7973634F"/>
    <w:rsid w:val="79765133"/>
    <w:rsid w:val="7978378E"/>
    <w:rsid w:val="797F1EE5"/>
    <w:rsid w:val="79822FDC"/>
    <w:rsid w:val="799463A9"/>
    <w:rsid w:val="799878B2"/>
    <w:rsid w:val="799A0ACD"/>
    <w:rsid w:val="799F4335"/>
    <w:rsid w:val="79A067E7"/>
    <w:rsid w:val="79A429F8"/>
    <w:rsid w:val="79AD061E"/>
    <w:rsid w:val="79AF1FF8"/>
    <w:rsid w:val="79B31B8F"/>
    <w:rsid w:val="79B7167F"/>
    <w:rsid w:val="79BC0A44"/>
    <w:rsid w:val="79CD595E"/>
    <w:rsid w:val="79D50AC0"/>
    <w:rsid w:val="79DA35C0"/>
    <w:rsid w:val="79DF4732"/>
    <w:rsid w:val="79E21399"/>
    <w:rsid w:val="79E47F9A"/>
    <w:rsid w:val="79E557F7"/>
    <w:rsid w:val="79EA1A55"/>
    <w:rsid w:val="79F20909"/>
    <w:rsid w:val="79F403CC"/>
    <w:rsid w:val="79F63973"/>
    <w:rsid w:val="79FC31D0"/>
    <w:rsid w:val="79FF4DD4"/>
    <w:rsid w:val="7A0B19CB"/>
    <w:rsid w:val="7A0E5017"/>
    <w:rsid w:val="7A1563A6"/>
    <w:rsid w:val="7A183458"/>
    <w:rsid w:val="7A201E6A"/>
    <w:rsid w:val="7A27618C"/>
    <w:rsid w:val="7A27753D"/>
    <w:rsid w:val="7A312158"/>
    <w:rsid w:val="7A3A405E"/>
    <w:rsid w:val="7A432F13"/>
    <w:rsid w:val="7A444A03"/>
    <w:rsid w:val="7A474029"/>
    <w:rsid w:val="7A545120"/>
    <w:rsid w:val="7A546ECE"/>
    <w:rsid w:val="7A556EB1"/>
    <w:rsid w:val="7A581D27"/>
    <w:rsid w:val="7A5F71B9"/>
    <w:rsid w:val="7A605F4F"/>
    <w:rsid w:val="7A6F1F5A"/>
    <w:rsid w:val="7A6F5511"/>
    <w:rsid w:val="7A7D567C"/>
    <w:rsid w:val="7A817DE0"/>
    <w:rsid w:val="7A8D23E0"/>
    <w:rsid w:val="7A9279F6"/>
    <w:rsid w:val="7A9E283F"/>
    <w:rsid w:val="7AA36941"/>
    <w:rsid w:val="7AAD2A82"/>
    <w:rsid w:val="7AAF39D3"/>
    <w:rsid w:val="7AAF67FA"/>
    <w:rsid w:val="7AB21E46"/>
    <w:rsid w:val="7AB45C2C"/>
    <w:rsid w:val="7ABE675F"/>
    <w:rsid w:val="7AC70C29"/>
    <w:rsid w:val="7AC829AF"/>
    <w:rsid w:val="7ACD7F66"/>
    <w:rsid w:val="7AD85D51"/>
    <w:rsid w:val="7AD87333"/>
    <w:rsid w:val="7AE13CEE"/>
    <w:rsid w:val="7AF43C48"/>
    <w:rsid w:val="7B046B46"/>
    <w:rsid w:val="7B0665F1"/>
    <w:rsid w:val="7B131D54"/>
    <w:rsid w:val="7B1515FF"/>
    <w:rsid w:val="7B18614D"/>
    <w:rsid w:val="7B1D7C08"/>
    <w:rsid w:val="7B2127B7"/>
    <w:rsid w:val="7B2745E3"/>
    <w:rsid w:val="7B2A7C2F"/>
    <w:rsid w:val="7B33360D"/>
    <w:rsid w:val="7B39231C"/>
    <w:rsid w:val="7B3D0369"/>
    <w:rsid w:val="7B3D5BB4"/>
    <w:rsid w:val="7B4B274C"/>
    <w:rsid w:val="7B590472"/>
    <w:rsid w:val="7B5B25DA"/>
    <w:rsid w:val="7B5C4722"/>
    <w:rsid w:val="7B696CAE"/>
    <w:rsid w:val="7B6A44CF"/>
    <w:rsid w:val="7B701F7A"/>
    <w:rsid w:val="7B7348D3"/>
    <w:rsid w:val="7B7B56FA"/>
    <w:rsid w:val="7B7F2E2C"/>
    <w:rsid w:val="7B8B6B88"/>
    <w:rsid w:val="7B8C6B3B"/>
    <w:rsid w:val="7B8F24C4"/>
    <w:rsid w:val="7B9559F0"/>
    <w:rsid w:val="7B963516"/>
    <w:rsid w:val="7B966D48"/>
    <w:rsid w:val="7B974BA7"/>
    <w:rsid w:val="7B98728E"/>
    <w:rsid w:val="7B9C6019"/>
    <w:rsid w:val="7BA23C69"/>
    <w:rsid w:val="7BA656AB"/>
    <w:rsid w:val="7BAB5214"/>
    <w:rsid w:val="7BB23B17"/>
    <w:rsid w:val="7BB25888"/>
    <w:rsid w:val="7BB340C8"/>
    <w:rsid w:val="7BB42002"/>
    <w:rsid w:val="7BB87DCE"/>
    <w:rsid w:val="7BD32074"/>
    <w:rsid w:val="7BD32BE2"/>
    <w:rsid w:val="7BD760BE"/>
    <w:rsid w:val="7BD77DB7"/>
    <w:rsid w:val="7BDD1E8F"/>
    <w:rsid w:val="7BE13DCA"/>
    <w:rsid w:val="7BE505D2"/>
    <w:rsid w:val="7BEA7C3F"/>
    <w:rsid w:val="7BEC3C2A"/>
    <w:rsid w:val="7BF5648F"/>
    <w:rsid w:val="7BFB12AD"/>
    <w:rsid w:val="7BFB565B"/>
    <w:rsid w:val="7BFC781D"/>
    <w:rsid w:val="7C001D29"/>
    <w:rsid w:val="7C0713C3"/>
    <w:rsid w:val="7C127041"/>
    <w:rsid w:val="7C190C71"/>
    <w:rsid w:val="7C1D11E6"/>
    <w:rsid w:val="7C1E59E5"/>
    <w:rsid w:val="7C3664B7"/>
    <w:rsid w:val="7C4A67DB"/>
    <w:rsid w:val="7C5238E1"/>
    <w:rsid w:val="7C52777D"/>
    <w:rsid w:val="7C55072B"/>
    <w:rsid w:val="7C5A2796"/>
    <w:rsid w:val="7C5D6638"/>
    <w:rsid w:val="7C7A4BE6"/>
    <w:rsid w:val="7C7F7A12"/>
    <w:rsid w:val="7C814677"/>
    <w:rsid w:val="7C86434E"/>
    <w:rsid w:val="7C873C6D"/>
    <w:rsid w:val="7C8751F2"/>
    <w:rsid w:val="7C8F0691"/>
    <w:rsid w:val="7C8F68E3"/>
    <w:rsid w:val="7C984A62"/>
    <w:rsid w:val="7CA0464C"/>
    <w:rsid w:val="7CA13F21"/>
    <w:rsid w:val="7CA331DB"/>
    <w:rsid w:val="7CAA0F1D"/>
    <w:rsid w:val="7CB56087"/>
    <w:rsid w:val="7CB75805"/>
    <w:rsid w:val="7CBE4AD3"/>
    <w:rsid w:val="7CBE6CFA"/>
    <w:rsid w:val="7CC1643E"/>
    <w:rsid w:val="7CC37A72"/>
    <w:rsid w:val="7CCA791B"/>
    <w:rsid w:val="7CCD2624"/>
    <w:rsid w:val="7CDB19DD"/>
    <w:rsid w:val="7CE01085"/>
    <w:rsid w:val="7CE04CDF"/>
    <w:rsid w:val="7CF80C81"/>
    <w:rsid w:val="7CFC77C1"/>
    <w:rsid w:val="7D012C11"/>
    <w:rsid w:val="7D047082"/>
    <w:rsid w:val="7D0A5969"/>
    <w:rsid w:val="7D1248C6"/>
    <w:rsid w:val="7D1402B5"/>
    <w:rsid w:val="7D172435"/>
    <w:rsid w:val="7D175131"/>
    <w:rsid w:val="7D196392"/>
    <w:rsid w:val="7D20753B"/>
    <w:rsid w:val="7D221505"/>
    <w:rsid w:val="7D2D2CA0"/>
    <w:rsid w:val="7D395B17"/>
    <w:rsid w:val="7D3F7243"/>
    <w:rsid w:val="7D417D69"/>
    <w:rsid w:val="7D4A07BF"/>
    <w:rsid w:val="7D4C2667"/>
    <w:rsid w:val="7D4F1BCF"/>
    <w:rsid w:val="7D5471E5"/>
    <w:rsid w:val="7D666919"/>
    <w:rsid w:val="7D682F89"/>
    <w:rsid w:val="7D70338F"/>
    <w:rsid w:val="7D711B45"/>
    <w:rsid w:val="7D733B0F"/>
    <w:rsid w:val="7D741635"/>
    <w:rsid w:val="7D8201F6"/>
    <w:rsid w:val="7D8950E1"/>
    <w:rsid w:val="7D8B601E"/>
    <w:rsid w:val="7D8C4BD1"/>
    <w:rsid w:val="7D9329E8"/>
    <w:rsid w:val="7D9961B6"/>
    <w:rsid w:val="7D9D35A9"/>
    <w:rsid w:val="7D9E18C2"/>
    <w:rsid w:val="7DA17F1F"/>
    <w:rsid w:val="7DA74646"/>
    <w:rsid w:val="7DA95783"/>
    <w:rsid w:val="7DBA5E29"/>
    <w:rsid w:val="7DC04CDA"/>
    <w:rsid w:val="7DC97BD3"/>
    <w:rsid w:val="7DCA7571"/>
    <w:rsid w:val="7DCB4728"/>
    <w:rsid w:val="7DCE6F97"/>
    <w:rsid w:val="7DD30A52"/>
    <w:rsid w:val="7DD87E16"/>
    <w:rsid w:val="7DDD21D1"/>
    <w:rsid w:val="7DDF2F52"/>
    <w:rsid w:val="7DE642E1"/>
    <w:rsid w:val="7DF03CB9"/>
    <w:rsid w:val="7DF30B8D"/>
    <w:rsid w:val="7DF6105B"/>
    <w:rsid w:val="7DF71773"/>
    <w:rsid w:val="7DF804B8"/>
    <w:rsid w:val="7DFC1D56"/>
    <w:rsid w:val="7DFE17CE"/>
    <w:rsid w:val="7DFE434E"/>
    <w:rsid w:val="7DFE6BAD"/>
    <w:rsid w:val="7E040C0B"/>
    <w:rsid w:val="7E1B0636"/>
    <w:rsid w:val="7E1F6BF8"/>
    <w:rsid w:val="7E2117BD"/>
    <w:rsid w:val="7E290672"/>
    <w:rsid w:val="7E3C2153"/>
    <w:rsid w:val="7E3D5ECB"/>
    <w:rsid w:val="7E40312D"/>
    <w:rsid w:val="7E421268"/>
    <w:rsid w:val="7E447B78"/>
    <w:rsid w:val="7E4A3147"/>
    <w:rsid w:val="7E4B05E8"/>
    <w:rsid w:val="7E4E590A"/>
    <w:rsid w:val="7E4F4EC8"/>
    <w:rsid w:val="7E583D18"/>
    <w:rsid w:val="7E5971A9"/>
    <w:rsid w:val="7E5E1AA0"/>
    <w:rsid w:val="7E601B30"/>
    <w:rsid w:val="7E696CC0"/>
    <w:rsid w:val="7E6E5448"/>
    <w:rsid w:val="7E7502EB"/>
    <w:rsid w:val="7E7523DA"/>
    <w:rsid w:val="7E7E6C0F"/>
    <w:rsid w:val="7E8104AE"/>
    <w:rsid w:val="7E8119BC"/>
    <w:rsid w:val="7E861620"/>
    <w:rsid w:val="7E884F5A"/>
    <w:rsid w:val="7E8871A8"/>
    <w:rsid w:val="7E8C4C74"/>
    <w:rsid w:val="7E9A0745"/>
    <w:rsid w:val="7E9E696A"/>
    <w:rsid w:val="7EAA7A04"/>
    <w:rsid w:val="7EAD4449"/>
    <w:rsid w:val="7EAF0B77"/>
    <w:rsid w:val="7EB1275E"/>
    <w:rsid w:val="7EB919E9"/>
    <w:rsid w:val="7EBC7738"/>
    <w:rsid w:val="7EBE4A84"/>
    <w:rsid w:val="7EC01C5C"/>
    <w:rsid w:val="7EC31B26"/>
    <w:rsid w:val="7EC65650"/>
    <w:rsid w:val="7EC65EC0"/>
    <w:rsid w:val="7ECD2214"/>
    <w:rsid w:val="7ECE7C95"/>
    <w:rsid w:val="7ECF549D"/>
    <w:rsid w:val="7EDB02A8"/>
    <w:rsid w:val="7EE051D4"/>
    <w:rsid w:val="7EE527EB"/>
    <w:rsid w:val="7EF41428"/>
    <w:rsid w:val="7EF90044"/>
    <w:rsid w:val="7F01339C"/>
    <w:rsid w:val="7F17164D"/>
    <w:rsid w:val="7F1A37E8"/>
    <w:rsid w:val="7F1C1F84"/>
    <w:rsid w:val="7F245C4D"/>
    <w:rsid w:val="7F2577BF"/>
    <w:rsid w:val="7F2A28F3"/>
    <w:rsid w:val="7F361298"/>
    <w:rsid w:val="7F39083A"/>
    <w:rsid w:val="7F45236D"/>
    <w:rsid w:val="7F4A1858"/>
    <w:rsid w:val="7F4C09CB"/>
    <w:rsid w:val="7F5255E8"/>
    <w:rsid w:val="7F5744EC"/>
    <w:rsid w:val="7F576BAF"/>
    <w:rsid w:val="7F577530"/>
    <w:rsid w:val="7F586CE1"/>
    <w:rsid w:val="7F596D35"/>
    <w:rsid w:val="7F6556D9"/>
    <w:rsid w:val="7F672412"/>
    <w:rsid w:val="7F6B2A5B"/>
    <w:rsid w:val="7F6B4C36"/>
    <w:rsid w:val="7F721E44"/>
    <w:rsid w:val="7F732443"/>
    <w:rsid w:val="7F7A280B"/>
    <w:rsid w:val="7F7B6CAB"/>
    <w:rsid w:val="7F7F5AC1"/>
    <w:rsid w:val="7F871AF4"/>
    <w:rsid w:val="7F8D2652"/>
    <w:rsid w:val="7F9055B3"/>
    <w:rsid w:val="7F917180"/>
    <w:rsid w:val="7F945FBF"/>
    <w:rsid w:val="7F970C1D"/>
    <w:rsid w:val="7F9E7019"/>
    <w:rsid w:val="7F9F3B25"/>
    <w:rsid w:val="7F9F508F"/>
    <w:rsid w:val="7FA02BB5"/>
    <w:rsid w:val="7FA2248A"/>
    <w:rsid w:val="7FA85D93"/>
    <w:rsid w:val="7FAA7590"/>
    <w:rsid w:val="7FB56661"/>
    <w:rsid w:val="7FB95889"/>
    <w:rsid w:val="7FBF0B39"/>
    <w:rsid w:val="7FC91F6F"/>
    <w:rsid w:val="7FCC39AA"/>
    <w:rsid w:val="7FD15598"/>
    <w:rsid w:val="7FD16703"/>
    <w:rsid w:val="7FDC0EF6"/>
    <w:rsid w:val="7FDE3BDE"/>
    <w:rsid w:val="7FE26D2A"/>
    <w:rsid w:val="7FEC41D3"/>
    <w:rsid w:val="7FF47FE1"/>
    <w:rsid w:val="7FFA5B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semiHidden="0" w:name="heading 4" w:locked="1"/>
    <w:lsdException w:qFormat="1" w:uiPriority="0" w:semiHidden="0" w:name="heading 5" w:locked="1"/>
    <w:lsdException w:qFormat="1" w:uiPriority="9" w:semiHidden="0" w:name="heading 6" w:locked="1"/>
    <w:lsdException w:qFormat="1" w:uiPriority="0" w:name="heading 7" w:locked="1"/>
    <w:lsdException w:qFormat="1" w:uiPriority="0" w:name="heading 8" w:locked="1"/>
    <w:lsdException w:qFormat="1" w:unhideWhenUsed="0" w:uiPriority="0" w:semiHidden="0" w:name="heading 9" w:locked="1"/>
    <w:lsdException w:qFormat="1" w:uiPriority="99"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99" w:semiHidden="0" w:name="Normal Indent"/>
    <w:lsdException w:unhideWhenUsed="0" w:uiPriority="0" w:semiHidden="0" w:name="footnote text"/>
    <w:lsdException w:qFormat="1" w:uiPriority="99" w:semiHidden="0" w:name="annotation text"/>
    <w:lsdException w:qFormat="1" w:uiPriority="99" w:semiHidden="0" w:name="header"/>
    <w:lsdException w:qFormat="1" w:unhideWhenUsed="0" w:uiPriority="99" w:semiHidden="0" w:name="footer"/>
    <w:lsdException w:uiPriority="0" w:name="index heading"/>
    <w:lsdException w:qFormat="1" w:uiPriority="0" w:name="caption" w:locked="1"/>
    <w:lsdException w:uiPriority="0" w:name="table of figures"/>
    <w:lsdException w:uiPriority="0" w:name="envelope address"/>
    <w:lsdException w:uiPriority="0" w:name="envelope return"/>
    <w:lsdException w:unhideWhenUsed="0" w:uiPriority="0" w:semiHidden="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qFormat="1"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ocked="1"/>
    <w:lsdException w:uiPriority="0" w:name="Closing"/>
    <w:lsdException w:uiPriority="0" w:name="Signature"/>
    <w:lsdException w:qFormat="1" w:uiPriority="1" w:name="Default Paragraph Font"/>
    <w:lsdException w:qFormat="1" w:unhideWhenUsed="0" w:uiPriority="1"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ocked="1"/>
    <w:lsdException w:uiPriority="0" w:name="Salutation"/>
    <w:lsdException w:uiPriority="0" w:name="Date"/>
    <w:lsdException w:qFormat="1" w:unhideWhenUsed="0" w:uiPriority="99"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iPriority="0" w:name="HTML Acronym"/>
    <w:lsdException w:uiPriority="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0" w:name="HTML Preformatted"/>
    <w:lsdException w:unhideWhenUsed="0" w:uiPriority="0" w:semiHidden="0" w:name="HTML Sample"/>
    <w:lsdException w:uiPriority="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46"/>
    <w:qFormat/>
    <w:uiPriority w:val="99"/>
    <w:pPr>
      <w:keepNext/>
      <w:keepLines/>
      <w:numPr>
        <w:ilvl w:val="0"/>
        <w:numId w:val="1"/>
      </w:numPr>
      <w:jc w:val="center"/>
      <w:outlineLvl w:val="0"/>
    </w:pPr>
    <w:rPr>
      <w:b/>
      <w:bCs/>
      <w:color w:val="000000" w:themeColor="text1"/>
      <w:kern w:val="44"/>
      <w:sz w:val="32"/>
      <w:szCs w:val="32"/>
      <w14:textFill>
        <w14:solidFill>
          <w14:schemeClr w14:val="tx1"/>
        </w14:solidFill>
      </w14:textFill>
    </w:rPr>
  </w:style>
  <w:style w:type="paragraph" w:styleId="3">
    <w:name w:val="heading 2"/>
    <w:basedOn w:val="1"/>
    <w:next w:val="1"/>
    <w:link w:val="47"/>
    <w:qFormat/>
    <w:uiPriority w:val="99"/>
    <w:pPr>
      <w:keepNext/>
      <w:keepLines/>
      <w:numPr>
        <w:ilvl w:val="1"/>
        <w:numId w:val="1"/>
      </w:numPr>
      <w:tabs>
        <w:tab w:val="left" w:pos="0"/>
      </w:tabs>
      <w:outlineLvl w:val="1"/>
    </w:pPr>
    <w:rPr>
      <w:b/>
      <w:bCs/>
    </w:rPr>
  </w:style>
  <w:style w:type="paragraph" w:styleId="4">
    <w:name w:val="heading 3"/>
    <w:basedOn w:val="1"/>
    <w:next w:val="1"/>
    <w:link w:val="48"/>
    <w:qFormat/>
    <w:uiPriority w:val="99"/>
    <w:pPr>
      <w:keepNext/>
      <w:keepLines/>
      <w:numPr>
        <w:ilvl w:val="2"/>
        <w:numId w:val="1"/>
      </w:numPr>
      <w:outlineLvl w:val="2"/>
    </w:pPr>
    <w:rPr>
      <w:b/>
      <w:bCs/>
    </w:rPr>
  </w:style>
  <w:style w:type="paragraph" w:styleId="5">
    <w:name w:val="heading 4"/>
    <w:basedOn w:val="1"/>
    <w:next w:val="1"/>
    <w:link w:val="49"/>
    <w:unhideWhenUsed/>
    <w:qFormat/>
    <w:locked/>
    <w:uiPriority w:val="0"/>
    <w:pPr>
      <w:keepNext/>
      <w:keepLines/>
      <w:numPr>
        <w:ilvl w:val="3"/>
        <w:numId w:val="1"/>
      </w:numPr>
      <w:tabs>
        <w:tab w:val="left" w:pos="0"/>
      </w:tabs>
      <w:outlineLvl w:val="3"/>
    </w:pPr>
    <w:rPr>
      <w:rFonts w:ascii="宋体" w:hAnsi="宋体"/>
      <w:b/>
      <w:bCs/>
    </w:rPr>
  </w:style>
  <w:style w:type="paragraph" w:styleId="6">
    <w:name w:val="heading 5"/>
    <w:basedOn w:val="1"/>
    <w:next w:val="1"/>
    <w:link w:val="52"/>
    <w:unhideWhenUsed/>
    <w:qFormat/>
    <w:locked/>
    <w:uiPriority w:val="0"/>
    <w:pPr>
      <w:keepNext/>
      <w:keepLines/>
      <w:numPr>
        <w:ilvl w:val="4"/>
        <w:numId w:val="1"/>
      </w:numPr>
      <w:outlineLvl w:val="4"/>
    </w:pPr>
    <w:rPr>
      <w:b/>
    </w:rPr>
  </w:style>
  <w:style w:type="paragraph" w:styleId="7">
    <w:name w:val="heading 6"/>
    <w:basedOn w:val="1"/>
    <w:next w:val="1"/>
    <w:unhideWhenUsed/>
    <w:qFormat/>
    <w:locked/>
    <w:uiPriority w:val="9"/>
    <w:pPr>
      <w:keepNext/>
      <w:keepLines/>
      <w:spacing w:before="240" w:after="64" w:line="320" w:lineRule="auto"/>
      <w:outlineLvl w:val="5"/>
    </w:pPr>
    <w:rPr>
      <w:rFonts w:asciiTheme="majorHAnsi" w:hAnsiTheme="majorHAnsi" w:eastAsiaTheme="majorEastAsia" w:cstheme="majorBidi"/>
      <w:b/>
      <w:bCs/>
    </w:rPr>
  </w:style>
  <w:style w:type="paragraph" w:styleId="8">
    <w:name w:val="heading 9"/>
    <w:basedOn w:val="1"/>
    <w:next w:val="1"/>
    <w:qFormat/>
    <w:locked/>
    <w:uiPriority w:val="0"/>
    <w:pPr>
      <w:keepNext/>
      <w:keepLines/>
      <w:tabs>
        <w:tab w:val="left" w:pos="1584"/>
      </w:tabs>
      <w:spacing w:before="240" w:after="64" w:line="320" w:lineRule="auto"/>
      <w:ind w:left="1584" w:hanging="1584"/>
      <w:outlineLvl w:val="8"/>
    </w:pPr>
    <w:rPr>
      <w:rFonts w:ascii="Arial" w:hAnsi="Arial" w:eastAsia="黑体"/>
      <w:kern w:val="0"/>
      <w:sz w:val="20"/>
      <w:szCs w:val="20"/>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9">
    <w:name w:val="E-mail Signature"/>
    <w:basedOn w:val="1"/>
    <w:next w:val="10"/>
    <w:qFormat/>
    <w:uiPriority w:val="0"/>
    <w:pPr>
      <w:spacing w:line="460" w:lineRule="exact"/>
    </w:pPr>
  </w:style>
  <w:style w:type="paragraph" w:customStyle="1" w:styleId="10">
    <w:name w:val="文章"/>
    <w:basedOn w:val="11"/>
    <w:next w:val="12"/>
    <w:qFormat/>
    <w:uiPriority w:val="0"/>
    <w:pPr>
      <w:ind w:firstLine="480"/>
      <w:jc w:val="center"/>
    </w:pPr>
    <w:rPr>
      <w:rFonts w:ascii="Times New Roman" w:hAnsi="Times New Roman" w:cs="Times New Roman"/>
      <w:sz w:val="26"/>
    </w:rPr>
  </w:style>
  <w:style w:type="paragraph" w:styleId="11">
    <w:name w:val="Body Text"/>
    <w:basedOn w:val="1"/>
    <w:link w:val="35"/>
    <w:qFormat/>
    <w:uiPriority w:val="1"/>
    <w:pPr>
      <w:ind w:left="800"/>
    </w:pPr>
    <w:rPr>
      <w:rFonts w:ascii="宋体" w:hAnsi="宋体" w:cs="宋体"/>
      <w:sz w:val="28"/>
      <w:szCs w:val="28"/>
      <w:lang w:val="zh-CN" w:bidi="zh-CN"/>
    </w:rPr>
  </w:style>
  <w:style w:type="paragraph" w:styleId="12">
    <w:name w:val="List"/>
    <w:basedOn w:val="1"/>
    <w:next w:val="13"/>
    <w:qFormat/>
    <w:uiPriority w:val="0"/>
    <w:pPr>
      <w:spacing w:line="425" w:lineRule="atLeast"/>
      <w:ind w:left="200" w:hanging="200" w:hangingChars="200"/>
      <w:textAlignment w:val="baseline"/>
    </w:pPr>
    <w:rPr>
      <w:rFonts w:ascii="Calibri" w:hAnsi="Calibri"/>
      <w:color w:val="000000"/>
      <w:kern w:val="0"/>
      <w:u w:color="000000"/>
    </w:rPr>
  </w:style>
  <w:style w:type="paragraph" w:styleId="13">
    <w:name w:val="List Bullet 2"/>
    <w:basedOn w:val="1"/>
    <w:next w:val="14"/>
    <w:semiHidden/>
    <w:unhideWhenUsed/>
    <w:qFormat/>
    <w:uiPriority w:val="0"/>
    <w:pPr>
      <w:numPr>
        <w:ilvl w:val="0"/>
        <w:numId w:val="2"/>
      </w:numPr>
    </w:pPr>
  </w:style>
  <w:style w:type="paragraph" w:customStyle="1" w:styleId="14">
    <w:name w:val="xl70"/>
    <w:basedOn w:val="1"/>
    <w:next w:val="15"/>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rPr>
  </w:style>
  <w:style w:type="paragraph" w:customStyle="1" w:styleId="15">
    <w:name w:val="正文缩进1"/>
    <w:basedOn w:val="1"/>
    <w:next w:val="16"/>
    <w:qFormat/>
    <w:uiPriority w:val="0"/>
    <w:pPr>
      <w:ind w:firstLine="420"/>
    </w:pPr>
  </w:style>
  <w:style w:type="paragraph" w:customStyle="1" w:styleId="16">
    <w:name w:val="td1"/>
    <w:basedOn w:val="1"/>
    <w:next w:val="1"/>
    <w:qFormat/>
    <w:uiPriority w:val="0"/>
    <w:pPr>
      <w:spacing w:before="280" w:after="280" w:line="300" w:lineRule="atLeast"/>
    </w:pPr>
    <w:rPr>
      <w:color w:val="000000"/>
      <w:sz w:val="18"/>
    </w:rPr>
  </w:style>
  <w:style w:type="paragraph" w:styleId="17">
    <w:name w:val="Normal Indent"/>
    <w:basedOn w:val="1"/>
    <w:unhideWhenUsed/>
    <w:qFormat/>
    <w:uiPriority w:val="99"/>
    <w:pPr>
      <w:ind w:firstLine="420"/>
    </w:pPr>
  </w:style>
  <w:style w:type="paragraph" w:styleId="18">
    <w:name w:val="annotation text"/>
    <w:basedOn w:val="1"/>
    <w:unhideWhenUsed/>
    <w:qFormat/>
    <w:uiPriority w:val="99"/>
    <w:pPr>
      <w:jc w:val="left"/>
    </w:pPr>
  </w:style>
  <w:style w:type="paragraph" w:styleId="19">
    <w:name w:val="Body Text Indent"/>
    <w:basedOn w:val="1"/>
    <w:next w:val="20"/>
    <w:qFormat/>
    <w:uiPriority w:val="0"/>
    <w:pPr>
      <w:ind w:firstLine="420"/>
    </w:pPr>
    <w:rPr>
      <w:sz w:val="28"/>
    </w:rPr>
  </w:style>
  <w:style w:type="paragraph" w:styleId="20">
    <w:name w:val="header"/>
    <w:basedOn w:val="1"/>
    <w:next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Plain Text"/>
    <w:basedOn w:val="1"/>
    <w:qFormat/>
    <w:uiPriority w:val="0"/>
    <w:pPr>
      <w:spacing w:line="240" w:lineRule="auto"/>
    </w:pPr>
    <w:rPr>
      <w:rFonts w:ascii="宋体" w:hAnsi="Courier New"/>
      <w:kern w:val="0"/>
      <w:sz w:val="20"/>
      <w:szCs w:val="21"/>
    </w:rPr>
  </w:style>
  <w:style w:type="paragraph" w:styleId="22">
    <w:name w:val="Balloon Text"/>
    <w:basedOn w:val="1"/>
    <w:link w:val="92"/>
    <w:qFormat/>
    <w:uiPriority w:val="0"/>
    <w:pPr>
      <w:spacing w:line="240" w:lineRule="auto"/>
    </w:pPr>
    <w:rPr>
      <w:sz w:val="18"/>
      <w:szCs w:val="18"/>
    </w:rPr>
  </w:style>
  <w:style w:type="paragraph" w:styleId="23">
    <w:name w:val="footer"/>
    <w:basedOn w:val="1"/>
    <w:qFormat/>
    <w:uiPriority w:val="99"/>
    <w:pPr>
      <w:tabs>
        <w:tab w:val="center" w:pos="4153"/>
        <w:tab w:val="right" w:pos="8306"/>
      </w:tabs>
      <w:snapToGrid w:val="0"/>
      <w:jc w:val="left"/>
    </w:pPr>
    <w:rPr>
      <w:kern w:val="0"/>
      <w:sz w:val="18"/>
      <w:szCs w:val="20"/>
    </w:rPr>
  </w:style>
  <w:style w:type="paragraph" w:styleId="24">
    <w:name w:val="toc 1"/>
    <w:basedOn w:val="1"/>
    <w:next w:val="1"/>
    <w:qFormat/>
    <w:uiPriority w:val="0"/>
  </w:style>
  <w:style w:type="paragraph" w:styleId="25">
    <w:name w:val="toc 2"/>
    <w:basedOn w:val="1"/>
    <w:next w:val="9"/>
    <w:unhideWhenUsed/>
    <w:qFormat/>
    <w:uiPriority w:val="39"/>
    <w:pPr>
      <w:ind w:left="420" w:leftChars="200"/>
    </w:pPr>
  </w:style>
  <w:style w:type="paragraph" w:styleId="26">
    <w:name w:val="Normal (Web)"/>
    <w:basedOn w:val="1"/>
    <w:qFormat/>
    <w:uiPriority w:val="0"/>
    <w:pPr>
      <w:spacing w:beforeAutospacing="1" w:afterAutospacing="1"/>
      <w:jc w:val="left"/>
    </w:pPr>
    <w:rPr>
      <w:kern w:val="0"/>
    </w:rPr>
  </w:style>
  <w:style w:type="paragraph" w:styleId="27">
    <w:name w:val="index 1"/>
    <w:basedOn w:val="1"/>
    <w:next w:val="1"/>
    <w:unhideWhenUsed/>
    <w:qFormat/>
    <w:uiPriority w:val="99"/>
    <w:pPr>
      <w:jc w:val="center"/>
    </w:pPr>
    <w:rPr>
      <w:rFonts w:ascii="宋体" w:hAnsi="宋体"/>
      <w:spacing w:val="-20"/>
    </w:rPr>
  </w:style>
  <w:style w:type="paragraph" w:styleId="28">
    <w:name w:val="Title"/>
    <w:basedOn w:val="1"/>
    <w:next w:val="5"/>
    <w:link w:val="50"/>
    <w:qFormat/>
    <w:locked/>
    <w:uiPriority w:val="0"/>
    <w:pPr>
      <w:spacing w:before="240" w:after="60"/>
      <w:jc w:val="center"/>
      <w:outlineLvl w:val="0"/>
    </w:pPr>
    <w:rPr>
      <w:rFonts w:ascii="Cambria" w:hAnsi="Cambria"/>
      <w:b/>
      <w:bCs/>
      <w:sz w:val="44"/>
      <w:szCs w:val="32"/>
    </w:rPr>
  </w:style>
  <w:style w:type="paragraph" w:styleId="29">
    <w:name w:val="Body Text First Indent"/>
    <w:basedOn w:val="11"/>
    <w:next w:val="1"/>
    <w:qFormat/>
    <w:uiPriority w:val="99"/>
    <w:pPr>
      <w:ind w:firstLine="420" w:firstLineChars="100"/>
    </w:pPr>
  </w:style>
  <w:style w:type="paragraph" w:styleId="30">
    <w:name w:val="Body Text First Indent 2"/>
    <w:basedOn w:val="19"/>
    <w:next w:val="1"/>
    <w:qFormat/>
    <w:uiPriority w:val="0"/>
    <w:pPr>
      <w:spacing w:after="120" w:line="240" w:lineRule="auto"/>
      <w:ind w:left="420" w:leftChars="200"/>
    </w:pPr>
    <w:rPr>
      <w:sz w:val="21"/>
    </w:rPr>
  </w:style>
  <w:style w:type="table" w:styleId="32">
    <w:name w:val="Table Grid"/>
    <w:basedOn w:val="31"/>
    <w:qFormat/>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4">
    <w:name w:val="Strong"/>
    <w:basedOn w:val="35"/>
    <w:qFormat/>
    <w:uiPriority w:val="0"/>
    <w:rPr>
      <w:rFonts w:ascii="宋体" w:hAnsi="宋体" w:eastAsia="宋体" w:cs="宋体"/>
      <w:b/>
      <w:sz w:val="28"/>
      <w:szCs w:val="28"/>
      <w:lang w:val="zh-CN" w:eastAsia="zh-CN" w:bidi="zh-CN"/>
    </w:rPr>
  </w:style>
  <w:style w:type="character" w:customStyle="1" w:styleId="35">
    <w:name w:val="正文文本 Char"/>
    <w:basedOn w:val="33"/>
    <w:link w:val="11"/>
    <w:qFormat/>
    <w:uiPriority w:val="99"/>
    <w:rPr>
      <w:rFonts w:ascii="宋体" w:hAnsi="宋体" w:eastAsia="宋体" w:cs="宋体"/>
      <w:sz w:val="28"/>
      <w:szCs w:val="28"/>
      <w:lang w:val="zh-CN" w:eastAsia="zh-CN" w:bidi="zh-CN"/>
    </w:rPr>
  </w:style>
  <w:style w:type="character" w:styleId="36">
    <w:name w:val="Hyperlink"/>
    <w:basedOn w:val="33"/>
    <w:qFormat/>
    <w:uiPriority w:val="0"/>
    <w:rPr>
      <w:color w:val="0000FF"/>
      <w:u w:val="single"/>
    </w:rPr>
  </w:style>
  <w:style w:type="character" w:styleId="37">
    <w:name w:val="annotation reference"/>
    <w:basedOn w:val="33"/>
    <w:semiHidden/>
    <w:unhideWhenUsed/>
    <w:qFormat/>
    <w:uiPriority w:val="0"/>
    <w:rPr>
      <w:sz w:val="21"/>
      <w:szCs w:val="21"/>
    </w:rPr>
  </w:style>
  <w:style w:type="paragraph" w:customStyle="1" w:styleId="38">
    <w:name w:val="Default"/>
    <w:basedOn w:val="39"/>
    <w:qFormat/>
    <w:uiPriority w:val="0"/>
    <w:pPr>
      <w:autoSpaceDE w:val="0"/>
      <w:autoSpaceDN w:val="0"/>
    </w:pPr>
    <w:rPr>
      <w:rFonts w:cs="宋体" w:hAnsiTheme="minorHAnsi" w:eastAsiaTheme="minorEastAsia"/>
      <w:color w:val="000000"/>
    </w:rPr>
  </w:style>
  <w:style w:type="paragraph" w:customStyle="1" w:styleId="39">
    <w:name w:val="纯文本1"/>
    <w:basedOn w:val="1"/>
    <w:qFormat/>
    <w:uiPriority w:val="0"/>
    <w:pPr>
      <w:adjustRightInd w:val="0"/>
    </w:pPr>
    <w:rPr>
      <w:rFonts w:ascii="宋体" w:hAnsi="Courier New"/>
    </w:rPr>
  </w:style>
  <w:style w:type="paragraph" w:customStyle="1" w:styleId="40">
    <w:name w:val="样式35"/>
    <w:basedOn w:val="1"/>
    <w:next w:val="41"/>
    <w:qFormat/>
    <w:uiPriority w:val="0"/>
    <w:pPr>
      <w:spacing w:line="312" w:lineRule="auto"/>
      <w:ind w:firstLine="567"/>
    </w:pPr>
    <w:rPr>
      <w:rFonts w:ascii="宋体"/>
    </w:rPr>
  </w:style>
  <w:style w:type="paragraph" w:customStyle="1" w:styleId="41">
    <w:name w:val="font6"/>
    <w:basedOn w:val="1"/>
    <w:next w:val="25"/>
    <w:qFormat/>
    <w:uiPriority w:val="0"/>
    <w:pPr>
      <w:spacing w:before="100" w:beforeAutospacing="1" w:after="100" w:afterAutospacing="1"/>
      <w:jc w:val="left"/>
    </w:pPr>
    <w:rPr>
      <w:rFonts w:ascii="宋体" w:hAnsi="宋体" w:cs="宋体"/>
      <w:kern w:val="0"/>
      <w:sz w:val="20"/>
    </w:rPr>
  </w:style>
  <w:style w:type="paragraph" w:customStyle="1" w:styleId="42">
    <w:name w:val="xl27"/>
    <w:basedOn w:val="1"/>
    <w:next w:val="1"/>
    <w:qFormat/>
    <w:uiPriority w:val="0"/>
    <w:pPr>
      <w:pBdr>
        <w:top w:val="single" w:color="auto" w:sz="12" w:space="0"/>
        <w:left w:val="single" w:color="auto" w:sz="4" w:space="0"/>
        <w:bottom w:val="single" w:color="auto" w:sz="4" w:space="0"/>
        <w:right w:val="single" w:color="auto" w:sz="4" w:space="0"/>
      </w:pBdr>
      <w:shd w:val="clear" w:color="auto" w:fill="CCCCFF"/>
      <w:spacing w:before="100" w:beforeAutospacing="1" w:after="100" w:afterAutospacing="1"/>
      <w:jc w:val="center"/>
    </w:pPr>
    <w:rPr>
      <w:rFonts w:ascii="宋体" w:hAnsi="宋体"/>
      <w:kern w:val="0"/>
    </w:rPr>
  </w:style>
  <w:style w:type="paragraph" w:customStyle="1" w:styleId="43">
    <w:name w:val="Char Char Char Char1"/>
    <w:basedOn w:val="1"/>
    <w:qFormat/>
    <w:uiPriority w:val="0"/>
  </w:style>
  <w:style w:type="paragraph" w:customStyle="1" w:styleId="44">
    <w:name w:val="Default1"/>
    <w:qFormat/>
    <w:uiPriority w:val="0"/>
    <w:pPr>
      <w:widowControl w:val="0"/>
      <w:autoSpaceDE w:val="0"/>
      <w:autoSpaceDN w:val="0"/>
      <w:adjustRightInd w:val="0"/>
      <w:spacing w:line="360" w:lineRule="auto"/>
      <w:jc w:val="both"/>
    </w:pPr>
    <w:rPr>
      <w:rFonts w:ascii="Times New Roman" w:cs="Times New Roman" w:hAnsiTheme="minorHAnsi" w:eastAsiaTheme="minorEastAsia"/>
      <w:color w:val="000000"/>
      <w:sz w:val="24"/>
      <w:szCs w:val="24"/>
      <w:lang w:val="en-US" w:eastAsia="zh-CN" w:bidi="ar-SA"/>
    </w:rPr>
  </w:style>
  <w:style w:type="paragraph" w:customStyle="1" w:styleId="45">
    <w:name w:val="国网图标"/>
    <w:basedOn w:val="1"/>
    <w:next w:val="1"/>
    <w:qFormat/>
    <w:uiPriority w:val="0"/>
    <w:pPr>
      <w:numPr>
        <w:ilvl w:val="6"/>
        <w:numId w:val="1"/>
      </w:numPr>
      <w:tabs>
        <w:tab w:val="left" w:pos="0"/>
      </w:tabs>
      <w:autoSpaceDE w:val="0"/>
      <w:autoSpaceDN w:val="0"/>
      <w:adjustRightInd w:val="0"/>
      <w:spacing w:before="50" w:beforeLines="50" w:line="240" w:lineRule="auto"/>
      <w:jc w:val="center"/>
    </w:pPr>
    <w:rPr>
      <w:b/>
      <w:bCs/>
      <w:color w:val="000000"/>
      <w:sz w:val="21"/>
      <w:szCs w:val="21"/>
    </w:rPr>
  </w:style>
  <w:style w:type="character" w:customStyle="1" w:styleId="46">
    <w:name w:val="标题 1 Char"/>
    <w:basedOn w:val="33"/>
    <w:link w:val="2"/>
    <w:qFormat/>
    <w:locked/>
    <w:uiPriority w:val="99"/>
    <w:rPr>
      <w:b/>
      <w:bCs/>
      <w:color w:val="000000" w:themeColor="text1"/>
      <w:kern w:val="44"/>
      <w:sz w:val="32"/>
      <w:szCs w:val="32"/>
      <w14:textFill>
        <w14:solidFill>
          <w14:schemeClr w14:val="tx1"/>
        </w14:solidFill>
      </w14:textFill>
    </w:rPr>
  </w:style>
  <w:style w:type="character" w:customStyle="1" w:styleId="47">
    <w:name w:val="标题 2 Char"/>
    <w:basedOn w:val="33"/>
    <w:link w:val="3"/>
    <w:qFormat/>
    <w:locked/>
    <w:uiPriority w:val="99"/>
    <w:rPr>
      <w:b/>
      <w:bCs/>
      <w:kern w:val="2"/>
      <w:sz w:val="24"/>
      <w:szCs w:val="24"/>
    </w:rPr>
  </w:style>
  <w:style w:type="character" w:customStyle="1" w:styleId="48">
    <w:name w:val="标题 3 Char"/>
    <w:basedOn w:val="33"/>
    <w:link w:val="4"/>
    <w:qFormat/>
    <w:locked/>
    <w:uiPriority w:val="99"/>
    <w:rPr>
      <w:b/>
      <w:bCs/>
      <w:kern w:val="2"/>
      <w:sz w:val="24"/>
      <w:szCs w:val="24"/>
    </w:rPr>
  </w:style>
  <w:style w:type="character" w:customStyle="1" w:styleId="49">
    <w:name w:val="标题 4 Char"/>
    <w:basedOn w:val="33"/>
    <w:link w:val="5"/>
    <w:qFormat/>
    <w:uiPriority w:val="0"/>
    <w:rPr>
      <w:rFonts w:ascii="宋体" w:hAnsi="宋体"/>
      <w:b/>
      <w:bCs/>
      <w:kern w:val="2"/>
      <w:sz w:val="24"/>
      <w:szCs w:val="24"/>
    </w:rPr>
  </w:style>
  <w:style w:type="character" w:customStyle="1" w:styleId="50">
    <w:name w:val="标题 Char"/>
    <w:basedOn w:val="33"/>
    <w:link w:val="28"/>
    <w:qFormat/>
    <w:uiPriority w:val="0"/>
    <w:rPr>
      <w:rFonts w:ascii="Cambria" w:hAnsi="Cambria" w:eastAsia="宋体" w:cs="Times New Roman"/>
      <w:b/>
      <w:bCs/>
      <w:kern w:val="2"/>
      <w:sz w:val="44"/>
      <w:szCs w:val="32"/>
    </w:rPr>
  </w:style>
  <w:style w:type="paragraph" w:customStyle="1" w:styleId="51">
    <w:name w:val="国网表头"/>
    <w:basedOn w:val="1"/>
    <w:next w:val="1"/>
    <w:qFormat/>
    <w:uiPriority w:val="0"/>
    <w:pPr>
      <w:numPr>
        <w:ilvl w:val="5"/>
        <w:numId w:val="1"/>
      </w:numPr>
      <w:tabs>
        <w:tab w:val="left" w:pos="0"/>
        <w:tab w:val="left" w:pos="420"/>
        <w:tab w:val="clear" w:pos="4395"/>
      </w:tabs>
      <w:spacing w:before="50" w:beforeLines="50" w:line="240" w:lineRule="auto"/>
      <w:ind w:left="3260"/>
      <w:jc w:val="center"/>
    </w:pPr>
    <w:rPr>
      <w:b/>
      <w:bCs/>
      <w:sz w:val="21"/>
      <w:szCs w:val="21"/>
    </w:rPr>
  </w:style>
  <w:style w:type="character" w:customStyle="1" w:styleId="52">
    <w:name w:val="标题 5 Char"/>
    <w:link w:val="6"/>
    <w:qFormat/>
    <w:uiPriority w:val="0"/>
    <w:rPr>
      <w:b/>
      <w:kern w:val="2"/>
      <w:sz w:val="24"/>
      <w:szCs w:val="24"/>
    </w:rPr>
  </w:style>
  <w:style w:type="character" w:customStyle="1" w:styleId="53">
    <w:name w:val="font11"/>
    <w:basedOn w:val="33"/>
    <w:qFormat/>
    <w:uiPriority w:val="0"/>
    <w:rPr>
      <w:rFonts w:hint="eastAsia" w:ascii="宋体" w:hAnsi="宋体" w:eastAsia="宋体" w:cs="宋体"/>
      <w:color w:val="000000"/>
      <w:sz w:val="21"/>
      <w:szCs w:val="21"/>
      <w:u w:val="none"/>
    </w:rPr>
  </w:style>
  <w:style w:type="character" w:customStyle="1" w:styleId="54">
    <w:name w:val="font31"/>
    <w:basedOn w:val="33"/>
    <w:qFormat/>
    <w:uiPriority w:val="0"/>
    <w:rPr>
      <w:rFonts w:hint="default" w:ascii="Times New Roman" w:hAnsi="Times New Roman" w:cs="Times New Roman"/>
      <w:color w:val="000000"/>
      <w:sz w:val="21"/>
      <w:szCs w:val="21"/>
      <w:u w:val="none"/>
      <w:vertAlign w:val="subscript"/>
    </w:rPr>
  </w:style>
  <w:style w:type="character" w:customStyle="1" w:styleId="55">
    <w:name w:val="font21"/>
    <w:basedOn w:val="33"/>
    <w:qFormat/>
    <w:uiPriority w:val="0"/>
    <w:rPr>
      <w:rFonts w:hint="default" w:ascii="Times New Roman" w:hAnsi="Times New Roman" w:cs="Times New Roman"/>
      <w:color w:val="000000"/>
      <w:sz w:val="21"/>
      <w:szCs w:val="21"/>
      <w:u w:val="none"/>
    </w:rPr>
  </w:style>
  <w:style w:type="paragraph" w:customStyle="1" w:styleId="56">
    <w:name w:val="Table Paragraph"/>
    <w:basedOn w:val="1"/>
    <w:qFormat/>
    <w:uiPriority w:val="1"/>
    <w:rPr>
      <w:rFonts w:ascii="宋体" w:hAnsi="宋体" w:cs="宋体"/>
      <w:lang w:val="zh-CN" w:bidi="zh-CN"/>
    </w:rPr>
  </w:style>
  <w:style w:type="paragraph" w:styleId="57">
    <w:name w:val="List Paragraph"/>
    <w:basedOn w:val="1"/>
    <w:qFormat/>
    <w:uiPriority w:val="1"/>
    <w:pPr>
      <w:ind w:left="238" w:firstLine="480"/>
    </w:pPr>
    <w:rPr>
      <w:rFonts w:ascii="宋体" w:hAnsi="宋体" w:cs="宋体"/>
      <w:lang w:val="zh-CN" w:bidi="zh-CN"/>
    </w:rPr>
  </w:style>
  <w:style w:type="paragraph" w:customStyle="1" w:styleId="58">
    <w:name w:val="WPSOffice手动目录 1"/>
    <w:qFormat/>
    <w:uiPriority w:val="0"/>
    <w:pPr>
      <w:spacing w:line="360" w:lineRule="auto"/>
      <w:jc w:val="both"/>
    </w:pPr>
    <w:rPr>
      <w:rFonts w:ascii="Times New Roman" w:hAnsi="Times New Roman" w:eastAsia="宋体" w:cs="Times New Roman"/>
      <w:lang w:val="en-US" w:eastAsia="zh-CN" w:bidi="ar-SA"/>
    </w:rPr>
  </w:style>
  <w:style w:type="paragraph" w:customStyle="1" w:styleId="59">
    <w:name w:val="WPSOffice手动目录 2"/>
    <w:qFormat/>
    <w:uiPriority w:val="0"/>
    <w:pPr>
      <w:spacing w:line="360" w:lineRule="auto"/>
      <w:ind w:left="200" w:leftChars="200"/>
      <w:jc w:val="both"/>
    </w:pPr>
    <w:rPr>
      <w:rFonts w:ascii="Times New Roman" w:hAnsi="Times New Roman" w:eastAsia="宋体" w:cs="Times New Roman"/>
      <w:lang w:val="en-US" w:eastAsia="zh-CN" w:bidi="ar-SA"/>
    </w:rPr>
  </w:style>
  <w:style w:type="paragraph" w:customStyle="1" w:styleId="60">
    <w:name w:val="湘潭正文ztm"/>
    <w:basedOn w:val="1"/>
    <w:qFormat/>
    <w:uiPriority w:val="0"/>
    <w:pPr>
      <w:spacing w:line="400" w:lineRule="exact"/>
      <w:ind w:firstLine="420"/>
    </w:pPr>
    <w:rPr>
      <w:rFonts w:cs="宋体"/>
    </w:rPr>
  </w:style>
  <w:style w:type="table" w:customStyle="1" w:styleId="61">
    <w:name w:val="网格型1"/>
    <w:basedOn w:val="31"/>
    <w:qFormat/>
    <w:uiPriority w:val="5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
    <w:tcPr>
      <w:vAlign w:val="center"/>
    </w:tcPr>
  </w:style>
  <w:style w:type="table" w:customStyle="1" w:styleId="62">
    <w:name w:val="三线1"/>
    <w:basedOn w:val="3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3">
    <w:name w:val="表格正文"/>
    <w:basedOn w:val="1"/>
    <w:next w:val="1"/>
    <w:qFormat/>
    <w:uiPriority w:val="0"/>
    <w:pPr>
      <w:spacing w:line="360" w:lineRule="exact"/>
      <w:jc w:val="center"/>
    </w:pPr>
    <w:rPr>
      <w:rFonts w:ascii="Arial" w:hAnsi="Arial"/>
      <w:bCs/>
      <w:kern w:val="0"/>
      <w:sz w:val="21"/>
      <w:szCs w:val="20"/>
    </w:rPr>
  </w:style>
  <w:style w:type="paragraph" w:customStyle="1" w:styleId="64">
    <w:name w:val="表格文字"/>
    <w:basedOn w:val="17"/>
    <w:next w:val="1"/>
    <w:qFormat/>
    <w:uiPriority w:val="0"/>
    <w:pPr>
      <w:jc w:val="center"/>
    </w:pPr>
  </w:style>
  <w:style w:type="paragraph" w:customStyle="1" w:styleId="65">
    <w:name w:val="广环院正文"/>
    <w:basedOn w:val="1"/>
    <w:qFormat/>
    <w:uiPriority w:val="0"/>
    <w:rPr>
      <w:rFonts w:ascii="Calibri" w:hAnsi="Calibri" w:cs="宋体"/>
    </w:rPr>
  </w:style>
  <w:style w:type="table" w:customStyle="1" w:styleId="66">
    <w:name w:val="Table Normal"/>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67">
    <w:name w:val="表内格式"/>
    <w:basedOn w:val="1"/>
    <w:qFormat/>
    <w:uiPriority w:val="0"/>
    <w:pPr>
      <w:spacing w:line="240" w:lineRule="auto"/>
      <w:jc w:val="center"/>
    </w:pPr>
    <w:rPr>
      <w:sz w:val="18"/>
      <w:szCs w:val="20"/>
    </w:rPr>
  </w:style>
  <w:style w:type="paragraph" w:customStyle="1" w:styleId="68">
    <w:name w:val="样式 小四 首行缩进:  0.85 厘米 行距: 1.5 倍行距"/>
    <w:basedOn w:val="1"/>
    <w:qFormat/>
    <w:uiPriority w:val="0"/>
    <w:pPr>
      <w:overflowPunct w:val="0"/>
      <w:autoSpaceDE w:val="0"/>
      <w:autoSpaceDN w:val="0"/>
      <w:adjustRightInd w:val="0"/>
      <w:ind w:firstLine="482"/>
      <w:textAlignment w:val="baseline"/>
    </w:pPr>
    <w:rPr>
      <w:rFonts w:eastAsia="仿宋_GB2312"/>
      <w:kern w:val="0"/>
      <w:szCs w:val="20"/>
    </w:rPr>
  </w:style>
  <w:style w:type="paragraph" w:customStyle="1" w:styleId="69">
    <w:name w:val="表格文本"/>
    <w:basedOn w:val="1"/>
    <w:next w:val="1"/>
    <w:qFormat/>
    <w:uiPriority w:val="0"/>
    <w:pPr>
      <w:spacing w:line="360" w:lineRule="exact"/>
      <w:ind w:left="-60" w:leftChars="-25" w:right="-60" w:rightChars="-25"/>
      <w:jc w:val="center"/>
    </w:pPr>
    <w:rPr>
      <w:rFonts w:ascii="Calibri" w:hAnsi="Calibri"/>
    </w:rPr>
  </w:style>
  <w:style w:type="paragraph" w:customStyle="1" w:styleId="70">
    <w:name w:val="段"/>
    <w:qFormat/>
    <w:uiPriority w:val="0"/>
    <w:pPr>
      <w:autoSpaceDE w:val="0"/>
      <w:autoSpaceDN w:val="0"/>
      <w:spacing w:line="360" w:lineRule="auto"/>
      <w:ind w:firstLine="200" w:firstLineChars="200"/>
      <w:jc w:val="both"/>
    </w:pPr>
    <w:rPr>
      <w:rFonts w:ascii="宋体" w:hAnsi="Calibri" w:eastAsia="宋体" w:cs="Times New Roman"/>
      <w:sz w:val="21"/>
      <w:szCs w:val="22"/>
      <w:lang w:val="zh-CN" w:eastAsia="zh-CN" w:bidi="ar-SA"/>
    </w:rPr>
  </w:style>
  <w:style w:type="paragraph" w:customStyle="1" w:styleId="71">
    <w:name w:val="表文字"/>
    <w:basedOn w:val="1"/>
    <w:qFormat/>
    <w:uiPriority w:val="0"/>
    <w:pPr>
      <w:spacing w:line="320" w:lineRule="exact"/>
    </w:pPr>
    <w:rPr>
      <w:kern w:val="0"/>
      <w:sz w:val="20"/>
      <w:szCs w:val="20"/>
    </w:rPr>
  </w:style>
  <w:style w:type="paragraph" w:customStyle="1" w:styleId="72">
    <w:name w:val="表文字1"/>
    <w:basedOn w:val="1"/>
    <w:qFormat/>
    <w:uiPriority w:val="0"/>
    <w:pPr>
      <w:tabs>
        <w:tab w:val="left" w:pos="1021"/>
      </w:tabs>
      <w:spacing w:line="240" w:lineRule="auto"/>
      <w:jc w:val="center"/>
    </w:pPr>
    <w:rPr>
      <w:sz w:val="21"/>
    </w:rPr>
  </w:style>
  <w:style w:type="table" w:customStyle="1" w:styleId="73">
    <w:name w:val="报告书中表格样式"/>
    <w:basedOn w:val="31"/>
    <w:qFormat/>
    <w:uiPriority w:val="0"/>
    <w:pPr>
      <w:jc w:val="center"/>
    </w:pPr>
    <w:rPr>
      <w:sz w:val="21"/>
      <w:szCs w:val="21"/>
    </w:rPr>
    <w:tblPr>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
    <w:trPr>
      <w:jc w:val="center"/>
    </w:trPr>
    <w:tcPr>
      <w:shd w:val="clear" w:color="auto" w:fill="auto"/>
      <w:tcMar>
        <w:left w:w="28" w:type="dxa"/>
        <w:right w:w="28" w:type="dxa"/>
      </w:tcMar>
      <w:vAlign w:val="center"/>
    </w:tcPr>
    <w:tblStylePr w:type="firstRow">
      <w:pPr>
        <w:jc w:val="center"/>
      </w:pPr>
      <w:rPr>
        <w:rFonts w:ascii="Times New Roman" w:hAnsi="Times New Roman" w:eastAsia="DY4+ZJTAfq-9"/>
        <w:sz w:val="21"/>
      </w:rPr>
      <w:tcPr>
        <w:tcBorders>
          <w:top w:val="single" w:color="auto" w:sz="12" w:space="0"/>
          <w:left w:val="nil"/>
          <w:bottom w:val="single" w:color="auto" w:sz="12" w:space="0"/>
          <w:right w:val="single" w:color="auto" w:sz="12" w:space="0"/>
          <w:insideH w:val="nil"/>
          <w:insideV w:val="nil"/>
          <w:tl2br w:val="nil"/>
          <w:tr2bl w:val="nil"/>
        </w:tcBorders>
        <w:shd w:val="clear" w:color="auto" w:fill="CCCCCC"/>
      </w:tcPr>
    </w:tblStylePr>
    <w:tblStylePr w:type="firstCol">
      <w:pPr>
        <w:jc w:val="center"/>
      </w:pPr>
      <w:rPr>
        <w:rFonts w:ascii="Times New Roman" w:hAnsi="Times New Roman" w:eastAsia="DY4+ZJTAfq-9"/>
        <w:sz w:val="21"/>
      </w:rPr>
      <w:tcPr>
        <w:tcBorders>
          <w:top w:val="single" w:color="auto" w:sz="12" w:space="0"/>
          <w:left w:val="single" w:color="auto" w:sz="12" w:space="0"/>
          <w:bottom w:val="single" w:color="auto" w:sz="12" w:space="0"/>
          <w:right w:val="single" w:color="auto" w:sz="4" w:space="0"/>
          <w:insideH w:val="nil"/>
          <w:insideV w:val="nil"/>
          <w:tl2br w:val="nil"/>
          <w:tr2bl w:val="nil"/>
        </w:tcBorders>
        <w:shd w:val="clear" w:color="auto" w:fill="CCCCCC"/>
      </w:tcPr>
    </w:tblStylePr>
  </w:style>
  <w:style w:type="paragraph" w:customStyle="1" w:styleId="74">
    <w:name w:val="样式 样式 样式 首行缩进:  2 字符 + 居中 + 行距: 固定值 17 磅"/>
    <w:basedOn w:val="1"/>
    <w:qFormat/>
    <w:uiPriority w:val="0"/>
    <w:pPr>
      <w:tabs>
        <w:tab w:val="left" w:pos="1021"/>
      </w:tabs>
      <w:adjustRightInd w:val="0"/>
      <w:snapToGrid w:val="0"/>
      <w:spacing w:line="340" w:lineRule="exact"/>
      <w:jc w:val="center"/>
    </w:pPr>
    <w:rPr>
      <w:color w:val="000000"/>
      <w:szCs w:val="20"/>
    </w:rPr>
  </w:style>
  <w:style w:type="paragraph" w:customStyle="1" w:styleId="75">
    <w:name w:val="正文5"/>
    <w:qFormat/>
    <w:uiPriority w:val="0"/>
    <w:pPr>
      <w:spacing w:line="360" w:lineRule="auto"/>
      <w:ind w:firstLine="200" w:firstLineChars="200"/>
      <w:jc w:val="both"/>
    </w:pPr>
    <w:rPr>
      <w:rFonts w:ascii="Calibri" w:hAnsi="Calibri" w:eastAsia="宋体" w:cs="宋体"/>
      <w:sz w:val="24"/>
      <w:lang w:val="en-US" w:eastAsia="zh-CN" w:bidi="ar-SA"/>
    </w:rPr>
  </w:style>
  <w:style w:type="character" w:customStyle="1" w:styleId="76">
    <w:name w:val="04正文 Char"/>
    <w:link w:val="77"/>
    <w:qFormat/>
    <w:uiPriority w:val="0"/>
    <w:rPr>
      <w:sz w:val="24"/>
    </w:rPr>
  </w:style>
  <w:style w:type="paragraph" w:customStyle="1" w:styleId="77">
    <w:name w:val="04正文"/>
    <w:basedOn w:val="1"/>
    <w:link w:val="76"/>
    <w:qFormat/>
    <w:uiPriority w:val="0"/>
    <w:pPr>
      <w:ind w:firstLine="480"/>
    </w:pPr>
  </w:style>
  <w:style w:type="paragraph" w:customStyle="1" w:styleId="78">
    <w:name w:val="小罗文本"/>
    <w:basedOn w:val="1"/>
    <w:qFormat/>
    <w:uiPriority w:val="0"/>
    <w:pPr>
      <w:spacing w:line="500" w:lineRule="exact"/>
    </w:pPr>
    <w:rPr>
      <w:rFonts w:ascii="宋体" w:hAnsi="Calibri"/>
    </w:rPr>
  </w:style>
  <w:style w:type="paragraph" w:customStyle="1" w:styleId="79">
    <w:name w:val="无间隔1"/>
    <w:qFormat/>
    <w:uiPriority w:val="0"/>
    <w:pPr>
      <w:spacing w:before="20" w:after="20" w:line="240" w:lineRule="atLeast"/>
      <w:jc w:val="center"/>
    </w:pPr>
    <w:rPr>
      <w:rFonts w:ascii="Calibri" w:hAnsi="Calibri" w:eastAsia="宋体" w:cs="Times New Roman"/>
      <w:sz w:val="22"/>
      <w:szCs w:val="22"/>
      <w:lang w:val="en-US" w:eastAsia="zh-CN" w:bidi="ar-SA"/>
    </w:rPr>
  </w:style>
  <w:style w:type="paragraph" w:customStyle="1" w:styleId="80">
    <w:name w:val="表内文字"/>
    <w:basedOn w:val="81"/>
    <w:next w:val="1"/>
    <w:qFormat/>
    <w:uiPriority w:val="0"/>
    <w:pPr>
      <w:adjustRightInd w:val="0"/>
      <w:snapToGrid w:val="0"/>
      <w:spacing w:line="240" w:lineRule="auto"/>
      <w:ind w:left="-20" w:leftChars="-20" w:right="-20" w:rightChars="-20"/>
    </w:pPr>
    <w:rPr>
      <w:rFonts w:cs="Times New Roman"/>
      <w:sz w:val="21"/>
      <w:szCs w:val="21"/>
    </w:rPr>
  </w:style>
  <w:style w:type="paragraph" w:customStyle="1" w:styleId="81">
    <w:name w:val="表头"/>
    <w:basedOn w:val="82"/>
    <w:next w:val="8"/>
    <w:qFormat/>
    <w:uiPriority w:val="0"/>
    <w:pPr>
      <w:spacing w:line="500" w:lineRule="exact"/>
      <w:ind w:firstLine="0"/>
      <w:jc w:val="center"/>
    </w:pPr>
  </w:style>
  <w:style w:type="paragraph" w:customStyle="1" w:styleId="82">
    <w:name w:val="样式 正  文 + 首行缩进:  2 字符"/>
    <w:basedOn w:val="83"/>
    <w:qFormat/>
    <w:uiPriority w:val="0"/>
    <w:pPr>
      <w:spacing w:line="240" w:lineRule="auto"/>
      <w:ind w:firstLine="200"/>
    </w:pPr>
    <w:rPr>
      <w:rFonts w:cs="宋体"/>
      <w:sz w:val="24"/>
    </w:rPr>
  </w:style>
  <w:style w:type="paragraph" w:customStyle="1" w:styleId="83">
    <w:name w:val="正  文"/>
    <w:basedOn w:val="1"/>
    <w:next w:val="1"/>
    <w:qFormat/>
    <w:uiPriority w:val="0"/>
    <w:pPr>
      <w:ind w:firstLine="560"/>
    </w:pPr>
    <w:rPr>
      <w:rFonts w:ascii="仿宋_GB2312" w:hAnsi="仿宋_GB2312" w:cs="仿宋_GB2312"/>
      <w:sz w:val="28"/>
      <w:szCs w:val="28"/>
    </w:rPr>
  </w:style>
  <w:style w:type="paragraph" w:customStyle="1" w:styleId="84">
    <w:name w:val="表格内容"/>
    <w:basedOn w:val="85"/>
    <w:qFormat/>
    <w:uiPriority w:val="0"/>
    <w:pPr>
      <w:adjustRightInd w:val="0"/>
      <w:snapToGrid w:val="0"/>
      <w:spacing w:line="240" w:lineRule="auto"/>
    </w:pPr>
    <w:rPr>
      <w:szCs w:val="21"/>
    </w:rPr>
  </w:style>
  <w:style w:type="paragraph" w:customStyle="1" w:styleId="85">
    <w:name w:val="表 图 内容"/>
    <w:basedOn w:val="1"/>
    <w:qFormat/>
    <w:uiPriority w:val="0"/>
    <w:pPr>
      <w:jc w:val="center"/>
    </w:pPr>
    <w:rPr>
      <w:rFonts w:hAnsi="宋体"/>
      <w:b/>
      <w:color w:val="000000"/>
      <w:sz w:val="21"/>
    </w:rPr>
  </w:style>
  <w:style w:type="paragraph" w:customStyle="1" w:styleId="86">
    <w:name w:val="表格第一行"/>
    <w:next w:val="1"/>
    <w:qFormat/>
    <w:uiPriority w:val="0"/>
    <w:pPr>
      <w:adjustRightInd w:val="0"/>
      <w:snapToGrid w:val="0"/>
      <w:spacing w:line="360" w:lineRule="auto"/>
      <w:jc w:val="center"/>
      <w:textAlignment w:val="baseline"/>
    </w:pPr>
    <w:rPr>
      <w:rFonts w:ascii="Calibri" w:hAnsi="Calibri" w:eastAsia="宋体" w:cs="Times New Roman"/>
      <w:b/>
      <w:sz w:val="21"/>
      <w:szCs w:val="21"/>
      <w:lang w:val="en-US" w:eastAsia="zh-CN" w:bidi="ar-SA"/>
    </w:rPr>
  </w:style>
  <w:style w:type="paragraph" w:customStyle="1" w:styleId="87">
    <w:name w:val="表格"/>
    <w:basedOn w:val="17"/>
    <w:next w:val="1"/>
    <w:qFormat/>
    <w:uiPriority w:val="0"/>
    <w:pPr>
      <w:adjustRightInd w:val="0"/>
      <w:snapToGrid w:val="0"/>
      <w:spacing w:beforeLines="10" w:afterLines="10" w:line="259" w:lineRule="auto"/>
      <w:jc w:val="center"/>
    </w:pPr>
    <w:rPr>
      <w:rFonts w:ascii="宋体"/>
      <w:kern w:val="0"/>
      <w:szCs w:val="20"/>
    </w:rPr>
  </w:style>
  <w:style w:type="paragraph" w:customStyle="1" w:styleId="88">
    <w:name w:val="表中文字"/>
    <w:basedOn w:val="1"/>
    <w:qFormat/>
    <w:uiPriority w:val="0"/>
    <w:pPr>
      <w:spacing w:line="240" w:lineRule="auto"/>
      <w:jc w:val="center"/>
    </w:pPr>
    <w:rPr>
      <w:sz w:val="21"/>
      <w:szCs w:val="20"/>
    </w:rPr>
  </w:style>
  <w:style w:type="paragraph" w:customStyle="1" w:styleId="89">
    <w:name w:val="表"/>
    <w:basedOn w:val="1"/>
    <w:qFormat/>
    <w:uiPriority w:val="0"/>
    <w:pPr>
      <w:spacing w:line="240" w:lineRule="auto"/>
      <w:jc w:val="center"/>
    </w:pPr>
    <w:rPr>
      <w:sz w:val="21"/>
    </w:rPr>
  </w:style>
  <w:style w:type="paragraph" w:customStyle="1" w:styleId="90">
    <w:name w:val="报告表正文"/>
    <w:basedOn w:val="1"/>
    <w:next w:val="1"/>
    <w:qFormat/>
    <w:uiPriority w:val="0"/>
    <w:pPr>
      <w:outlineLvl w:val="0"/>
    </w:pPr>
    <w:rPr>
      <w:bCs/>
      <w:color w:val="000000"/>
    </w:rPr>
  </w:style>
  <w:style w:type="paragraph" w:customStyle="1" w:styleId="91">
    <w:name w:val="Table Text"/>
    <w:basedOn w:val="1"/>
    <w:semiHidden/>
    <w:qFormat/>
    <w:uiPriority w:val="0"/>
    <w:rPr>
      <w:rFonts w:ascii="Arial" w:hAnsi="Arial" w:eastAsia="Arial" w:cs="Arial"/>
      <w:sz w:val="21"/>
      <w:szCs w:val="21"/>
      <w:lang w:eastAsia="en-US"/>
    </w:rPr>
  </w:style>
  <w:style w:type="character" w:customStyle="1" w:styleId="92">
    <w:name w:val="批注框文本 Char"/>
    <w:basedOn w:val="33"/>
    <w:link w:val="22"/>
    <w:qFormat/>
    <w:uiPriority w:val="0"/>
    <w:rPr>
      <w:kern w:val="2"/>
      <w:sz w:val="18"/>
      <w:szCs w:val="18"/>
    </w:rPr>
  </w:style>
  <w:style w:type="paragraph" w:customStyle="1" w:styleId="93">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94">
    <w:name w:val="Other|1"/>
    <w:basedOn w:val="1"/>
    <w:qFormat/>
    <w:uiPriority w:val="0"/>
    <w:pPr>
      <w:widowControl w:val="0"/>
      <w:shd w:val="clear" w:color="auto" w:fill="auto"/>
      <w:spacing w:line="265" w:lineRule="exact"/>
    </w:pPr>
    <w:rPr>
      <w:rFonts w:ascii="宋体" w:hAnsi="宋体" w:eastAsia="宋体" w:cs="宋体"/>
      <w:sz w:val="18"/>
      <w:szCs w:val="18"/>
      <w:u w:val="none"/>
      <w:shd w:val="clear" w:color="auto" w:fill="auto"/>
      <w:lang w:val="zh-TW" w:eastAsia="zh-TW" w:bidi="zh-TW"/>
    </w:rPr>
  </w:style>
  <w:style w:type="paragraph" w:customStyle="1" w:styleId="95">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3.bin"/><Relationship Id="rId98" Type="http://schemas.openxmlformats.org/officeDocument/2006/relationships/image" Target="media/image60.wmf"/><Relationship Id="rId97" Type="http://schemas.openxmlformats.org/officeDocument/2006/relationships/oleObject" Target="embeddings/oleObject22.bin"/><Relationship Id="rId96" Type="http://schemas.openxmlformats.org/officeDocument/2006/relationships/image" Target="media/image59.wmf"/><Relationship Id="rId95" Type="http://schemas.openxmlformats.org/officeDocument/2006/relationships/oleObject" Target="embeddings/oleObject21.bin"/><Relationship Id="rId94" Type="http://schemas.openxmlformats.org/officeDocument/2006/relationships/image" Target="media/image58.wmf"/><Relationship Id="rId93" Type="http://schemas.openxmlformats.org/officeDocument/2006/relationships/oleObject" Target="embeddings/oleObject20.bin"/><Relationship Id="rId92" Type="http://schemas.openxmlformats.org/officeDocument/2006/relationships/image" Target="media/image57.wmf"/><Relationship Id="rId91" Type="http://schemas.openxmlformats.org/officeDocument/2006/relationships/oleObject" Target="embeddings/oleObject19.bin"/><Relationship Id="rId90" Type="http://schemas.openxmlformats.org/officeDocument/2006/relationships/image" Target="media/image56.wmf"/><Relationship Id="rId9" Type="http://schemas.openxmlformats.org/officeDocument/2006/relationships/footer" Target="footer2.xml"/><Relationship Id="rId89" Type="http://schemas.openxmlformats.org/officeDocument/2006/relationships/oleObject" Target="embeddings/oleObject18.bin"/><Relationship Id="rId88" Type="http://schemas.openxmlformats.org/officeDocument/2006/relationships/image" Target="media/image55.wmf"/><Relationship Id="rId87" Type="http://schemas.openxmlformats.org/officeDocument/2006/relationships/oleObject" Target="embeddings/oleObject17.bin"/><Relationship Id="rId86" Type="http://schemas.openxmlformats.org/officeDocument/2006/relationships/image" Target="media/image54.wmf"/><Relationship Id="rId85" Type="http://schemas.openxmlformats.org/officeDocument/2006/relationships/oleObject" Target="embeddings/oleObject16.bin"/><Relationship Id="rId84" Type="http://schemas.openxmlformats.org/officeDocument/2006/relationships/image" Target="media/image53.wmf"/><Relationship Id="rId83" Type="http://schemas.openxmlformats.org/officeDocument/2006/relationships/oleObject" Target="embeddings/oleObject15.bin"/><Relationship Id="rId82" Type="http://schemas.openxmlformats.org/officeDocument/2006/relationships/image" Target="media/image52.wmf"/><Relationship Id="rId81" Type="http://schemas.openxmlformats.org/officeDocument/2006/relationships/oleObject" Target="embeddings/oleObject14.bin"/><Relationship Id="rId80" Type="http://schemas.openxmlformats.org/officeDocument/2006/relationships/image" Target="media/image51.jpeg"/><Relationship Id="rId8" Type="http://schemas.openxmlformats.org/officeDocument/2006/relationships/footer" Target="footer1.xml"/><Relationship Id="rId79" Type="http://schemas.openxmlformats.org/officeDocument/2006/relationships/image" Target="media/image50.wmf"/><Relationship Id="rId78" Type="http://schemas.openxmlformats.org/officeDocument/2006/relationships/oleObject" Target="embeddings/oleObject13.bin"/><Relationship Id="rId77" Type="http://schemas.openxmlformats.org/officeDocument/2006/relationships/image" Target="media/image49.wmf"/><Relationship Id="rId76" Type="http://schemas.openxmlformats.org/officeDocument/2006/relationships/oleObject" Target="embeddings/oleObject12.bin"/><Relationship Id="rId75" Type="http://schemas.openxmlformats.org/officeDocument/2006/relationships/image" Target="media/image48.wmf"/><Relationship Id="rId74" Type="http://schemas.openxmlformats.org/officeDocument/2006/relationships/oleObject" Target="embeddings/oleObject11.bin"/><Relationship Id="rId73" Type="http://schemas.openxmlformats.org/officeDocument/2006/relationships/image" Target="media/image47.jpeg"/><Relationship Id="rId72" Type="http://schemas.openxmlformats.org/officeDocument/2006/relationships/image" Target="media/image46.jpeg"/><Relationship Id="rId71" Type="http://schemas.openxmlformats.org/officeDocument/2006/relationships/image" Target="media/image45.jpeg"/><Relationship Id="rId70" Type="http://schemas.openxmlformats.org/officeDocument/2006/relationships/image" Target="media/image44.jpeg"/><Relationship Id="rId7" Type="http://schemas.openxmlformats.org/officeDocument/2006/relationships/header" Target="header3.xml"/><Relationship Id="rId69" Type="http://schemas.openxmlformats.org/officeDocument/2006/relationships/image" Target="media/image43.jpeg"/><Relationship Id="rId68" Type="http://schemas.openxmlformats.org/officeDocument/2006/relationships/image" Target="media/image42.jpeg"/><Relationship Id="rId67" Type="http://schemas.openxmlformats.org/officeDocument/2006/relationships/image" Target="media/image41.jpeg"/><Relationship Id="rId66" Type="http://schemas.openxmlformats.org/officeDocument/2006/relationships/image" Target="media/image40.jpeg"/><Relationship Id="rId65" Type="http://schemas.openxmlformats.org/officeDocument/2006/relationships/image" Target="media/image39.jpeg"/><Relationship Id="rId64" Type="http://schemas.openxmlformats.org/officeDocument/2006/relationships/image" Target="media/image38.jpeg"/><Relationship Id="rId63" Type="http://schemas.openxmlformats.org/officeDocument/2006/relationships/image" Target="media/image37.jpeg"/><Relationship Id="rId62" Type="http://schemas.openxmlformats.org/officeDocument/2006/relationships/image" Target="media/image36.jpeg"/><Relationship Id="rId61" Type="http://schemas.openxmlformats.org/officeDocument/2006/relationships/image" Target="media/image35.jpeg"/><Relationship Id="rId60" Type="http://schemas.openxmlformats.org/officeDocument/2006/relationships/image" Target="media/image34.jpeg"/><Relationship Id="rId6" Type="http://schemas.openxmlformats.org/officeDocument/2006/relationships/header" Target="header2.xml"/><Relationship Id="rId59" Type="http://schemas.openxmlformats.org/officeDocument/2006/relationships/image" Target="media/image33.jpeg"/><Relationship Id="rId58" Type="http://schemas.openxmlformats.org/officeDocument/2006/relationships/image" Target="media/image32.jpeg"/><Relationship Id="rId57" Type="http://schemas.openxmlformats.org/officeDocument/2006/relationships/image" Target="media/image31.jpeg"/><Relationship Id="rId56" Type="http://schemas.openxmlformats.org/officeDocument/2006/relationships/image" Target="media/image30.jpeg"/><Relationship Id="rId55" Type="http://schemas.openxmlformats.org/officeDocument/2006/relationships/image" Target="media/image29.jpeg"/><Relationship Id="rId54" Type="http://schemas.openxmlformats.org/officeDocument/2006/relationships/image" Target="media/image28.jpeg"/><Relationship Id="rId53" Type="http://schemas.openxmlformats.org/officeDocument/2006/relationships/image" Target="media/image27.jpeg"/><Relationship Id="rId52" Type="http://schemas.openxmlformats.org/officeDocument/2006/relationships/image" Target="media/image26.jpeg"/><Relationship Id="rId51" Type="http://schemas.openxmlformats.org/officeDocument/2006/relationships/image" Target="media/image25.png"/><Relationship Id="rId50" Type="http://schemas.openxmlformats.org/officeDocument/2006/relationships/oleObject" Target="embeddings/oleObject10.bin"/><Relationship Id="rId5" Type="http://schemas.openxmlformats.org/officeDocument/2006/relationships/header" Target="header1.xml"/><Relationship Id="rId49" Type="http://schemas.openxmlformats.org/officeDocument/2006/relationships/image" Target="media/image24.png"/><Relationship Id="rId48" Type="http://schemas.openxmlformats.org/officeDocument/2006/relationships/chart" Target="charts/chart2.xml"/><Relationship Id="rId47" Type="http://schemas.openxmlformats.org/officeDocument/2006/relationships/chart" Target="charts/chart1.xml"/><Relationship Id="rId46" Type="http://schemas.openxmlformats.org/officeDocument/2006/relationships/image" Target="media/image23.png"/><Relationship Id="rId45" Type="http://schemas.openxmlformats.org/officeDocument/2006/relationships/image" Target="media/image22.emf"/><Relationship Id="rId44" Type="http://schemas.openxmlformats.org/officeDocument/2006/relationships/oleObject" Target="embeddings/oleObject9.bin"/><Relationship Id="rId43" Type="http://schemas.openxmlformats.org/officeDocument/2006/relationships/image" Target="media/image21.emf"/><Relationship Id="rId42" Type="http://schemas.openxmlformats.org/officeDocument/2006/relationships/oleObject" Target="embeddings/oleObject8.bin"/><Relationship Id="rId41" Type="http://schemas.openxmlformats.org/officeDocument/2006/relationships/image" Target="media/image20.emf"/><Relationship Id="rId40" Type="http://schemas.openxmlformats.org/officeDocument/2006/relationships/oleObject" Target="embeddings/oleObject7.bin"/><Relationship Id="rId4" Type="http://schemas.openxmlformats.org/officeDocument/2006/relationships/endnotes" Target="endnotes.xml"/><Relationship Id="rId39" Type="http://schemas.openxmlformats.org/officeDocument/2006/relationships/image" Target="media/image19.emf"/><Relationship Id="rId38" Type="http://schemas.openxmlformats.org/officeDocument/2006/relationships/oleObject" Target="embeddings/oleObject6.bin"/><Relationship Id="rId37" Type="http://schemas.openxmlformats.org/officeDocument/2006/relationships/image" Target="media/image18.emf"/><Relationship Id="rId36" Type="http://schemas.openxmlformats.org/officeDocument/2006/relationships/oleObject" Target="embeddings/oleObject5.bin"/><Relationship Id="rId35" Type="http://schemas.openxmlformats.org/officeDocument/2006/relationships/image" Target="media/image17.png"/><Relationship Id="rId34" Type="http://schemas.openxmlformats.org/officeDocument/2006/relationships/image" Target="media/image16.emf"/><Relationship Id="rId33" Type="http://schemas.openxmlformats.org/officeDocument/2006/relationships/oleObject" Target="embeddings/oleObject4.bin"/><Relationship Id="rId32" Type="http://schemas.openxmlformats.org/officeDocument/2006/relationships/image" Target="media/image15.emf"/><Relationship Id="rId31" Type="http://schemas.openxmlformats.org/officeDocument/2006/relationships/oleObject" Target="embeddings/oleObject3.bin"/><Relationship Id="rId30" Type="http://schemas.openxmlformats.org/officeDocument/2006/relationships/image" Target="media/image14.emf"/><Relationship Id="rId3" Type="http://schemas.openxmlformats.org/officeDocument/2006/relationships/footnotes" Target="footnotes.xml"/><Relationship Id="rId29" Type="http://schemas.openxmlformats.org/officeDocument/2006/relationships/oleObject" Target="embeddings/oleObject2.bin"/><Relationship Id="rId28" Type="http://schemas.openxmlformats.org/officeDocument/2006/relationships/image" Target="media/image13.pn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2" Type="http://schemas.openxmlformats.org/officeDocument/2006/relationships/glossaryDocument" Target="glossary/document.xml"/><Relationship Id="rId171" Type="http://schemas.openxmlformats.org/officeDocument/2006/relationships/fontTable" Target="fontTable.xml"/><Relationship Id="rId170" Type="http://schemas.openxmlformats.org/officeDocument/2006/relationships/customXml" Target="../customXml/item2.xml"/><Relationship Id="rId17" Type="http://schemas.openxmlformats.org/officeDocument/2006/relationships/image" Target="media/image2.wmf"/><Relationship Id="rId169" Type="http://schemas.openxmlformats.org/officeDocument/2006/relationships/numbering" Target="numbering.xml"/><Relationship Id="rId168" Type="http://schemas.openxmlformats.org/officeDocument/2006/relationships/customXml" Target="../customXml/item1.xml"/><Relationship Id="rId167" Type="http://schemas.openxmlformats.org/officeDocument/2006/relationships/image" Target="media/image105.png"/><Relationship Id="rId166" Type="http://schemas.openxmlformats.org/officeDocument/2006/relationships/image" Target="media/image104.jpeg"/><Relationship Id="rId165" Type="http://schemas.openxmlformats.org/officeDocument/2006/relationships/image" Target="media/image103.jpeg"/><Relationship Id="rId164" Type="http://schemas.openxmlformats.org/officeDocument/2006/relationships/image" Target="media/image102.jpeg"/><Relationship Id="rId163" Type="http://schemas.openxmlformats.org/officeDocument/2006/relationships/image" Target="media/image101.jpeg"/><Relationship Id="rId162" Type="http://schemas.openxmlformats.org/officeDocument/2006/relationships/image" Target="media/image100.jpeg"/><Relationship Id="rId161" Type="http://schemas.openxmlformats.org/officeDocument/2006/relationships/image" Target="media/image99.jpeg"/><Relationship Id="rId160" Type="http://schemas.openxmlformats.org/officeDocument/2006/relationships/image" Target="media/image98.jpeg"/><Relationship Id="rId16" Type="http://schemas.openxmlformats.org/officeDocument/2006/relationships/oleObject" Target="embeddings/oleObject1.bin"/><Relationship Id="rId159" Type="http://schemas.openxmlformats.org/officeDocument/2006/relationships/image" Target="media/image97.jpeg"/><Relationship Id="rId158" Type="http://schemas.openxmlformats.org/officeDocument/2006/relationships/image" Target="media/image96.png"/><Relationship Id="rId157" Type="http://schemas.openxmlformats.org/officeDocument/2006/relationships/image" Target="media/image95.wmf"/><Relationship Id="rId156" Type="http://schemas.openxmlformats.org/officeDocument/2006/relationships/oleObject" Target="embeddings/oleObject46.bin"/><Relationship Id="rId155" Type="http://schemas.openxmlformats.org/officeDocument/2006/relationships/image" Target="media/image94.wmf"/><Relationship Id="rId154" Type="http://schemas.openxmlformats.org/officeDocument/2006/relationships/oleObject" Target="embeddings/oleObject45.bin"/><Relationship Id="rId153" Type="http://schemas.openxmlformats.org/officeDocument/2006/relationships/image" Target="media/image93.jpeg"/><Relationship Id="rId152" Type="http://schemas.openxmlformats.org/officeDocument/2006/relationships/image" Target="media/image92.jpeg"/><Relationship Id="rId151" Type="http://schemas.openxmlformats.org/officeDocument/2006/relationships/image" Target="media/image91.png"/><Relationship Id="rId150" Type="http://schemas.openxmlformats.org/officeDocument/2006/relationships/image" Target="media/image90.png"/><Relationship Id="rId15" Type="http://schemas.openxmlformats.org/officeDocument/2006/relationships/image" Target="media/image1.png"/><Relationship Id="rId149" Type="http://schemas.openxmlformats.org/officeDocument/2006/relationships/image" Target="media/image89.png"/><Relationship Id="rId148" Type="http://schemas.openxmlformats.org/officeDocument/2006/relationships/image" Target="media/image88.png"/><Relationship Id="rId147" Type="http://schemas.openxmlformats.org/officeDocument/2006/relationships/image" Target="media/image87.png"/><Relationship Id="rId146" Type="http://schemas.openxmlformats.org/officeDocument/2006/relationships/image" Target="media/image86.png"/><Relationship Id="rId145" Type="http://schemas.openxmlformats.org/officeDocument/2006/relationships/image" Target="media/image85.jpeg"/><Relationship Id="rId144" Type="http://schemas.openxmlformats.org/officeDocument/2006/relationships/image" Target="media/image84.jpeg"/><Relationship Id="rId143" Type="http://schemas.openxmlformats.org/officeDocument/2006/relationships/image" Target="media/image83.jpeg"/><Relationship Id="rId142" Type="http://schemas.openxmlformats.org/officeDocument/2006/relationships/image" Target="media/image82.jpeg"/><Relationship Id="rId141" Type="http://schemas.openxmlformats.org/officeDocument/2006/relationships/image" Target="media/image81.jpeg"/><Relationship Id="rId140" Type="http://schemas.openxmlformats.org/officeDocument/2006/relationships/image" Target="media/image80.png"/><Relationship Id="rId14" Type="http://schemas.openxmlformats.org/officeDocument/2006/relationships/theme" Target="theme/theme1.xml"/><Relationship Id="rId139" Type="http://schemas.openxmlformats.org/officeDocument/2006/relationships/image" Target="media/image79.jpeg"/><Relationship Id="rId138" Type="http://schemas.openxmlformats.org/officeDocument/2006/relationships/image" Target="media/image78.jpeg"/><Relationship Id="rId137" Type="http://schemas.openxmlformats.org/officeDocument/2006/relationships/image" Target="media/image77.png"/><Relationship Id="rId136" Type="http://schemas.openxmlformats.org/officeDocument/2006/relationships/oleObject" Target="embeddings/oleObject44.bin"/><Relationship Id="rId135" Type="http://schemas.openxmlformats.org/officeDocument/2006/relationships/oleObject" Target="embeddings/oleObject43.bin"/><Relationship Id="rId134" Type="http://schemas.openxmlformats.org/officeDocument/2006/relationships/image" Target="media/image76.wmf"/><Relationship Id="rId133" Type="http://schemas.openxmlformats.org/officeDocument/2006/relationships/oleObject" Target="embeddings/oleObject42.bin"/><Relationship Id="rId132" Type="http://schemas.openxmlformats.org/officeDocument/2006/relationships/image" Target="media/image75.wmf"/><Relationship Id="rId131" Type="http://schemas.openxmlformats.org/officeDocument/2006/relationships/oleObject" Target="embeddings/oleObject41.bin"/><Relationship Id="rId130" Type="http://schemas.openxmlformats.org/officeDocument/2006/relationships/oleObject" Target="embeddings/oleObject40.bin"/><Relationship Id="rId13" Type="http://schemas.openxmlformats.org/officeDocument/2006/relationships/footer" Target="footer6.xml"/><Relationship Id="rId129" Type="http://schemas.openxmlformats.org/officeDocument/2006/relationships/oleObject" Target="embeddings/oleObject39.bin"/><Relationship Id="rId128" Type="http://schemas.openxmlformats.org/officeDocument/2006/relationships/image" Target="media/image74.wmf"/><Relationship Id="rId127" Type="http://schemas.openxmlformats.org/officeDocument/2006/relationships/oleObject" Target="embeddings/oleObject38.bin"/><Relationship Id="rId126" Type="http://schemas.openxmlformats.org/officeDocument/2006/relationships/oleObject" Target="embeddings/oleObject37.bin"/><Relationship Id="rId125" Type="http://schemas.openxmlformats.org/officeDocument/2006/relationships/image" Target="media/image73.wmf"/><Relationship Id="rId124" Type="http://schemas.openxmlformats.org/officeDocument/2006/relationships/oleObject" Target="embeddings/oleObject36.bin"/><Relationship Id="rId123" Type="http://schemas.openxmlformats.org/officeDocument/2006/relationships/image" Target="media/image72.wmf"/><Relationship Id="rId122" Type="http://schemas.openxmlformats.org/officeDocument/2006/relationships/oleObject" Target="embeddings/oleObject35.bin"/><Relationship Id="rId121" Type="http://schemas.openxmlformats.org/officeDocument/2006/relationships/image" Target="media/image71.wmf"/><Relationship Id="rId120" Type="http://schemas.openxmlformats.org/officeDocument/2006/relationships/oleObject" Target="embeddings/oleObject34.bin"/><Relationship Id="rId12" Type="http://schemas.openxmlformats.org/officeDocument/2006/relationships/footer" Target="footer5.xml"/><Relationship Id="rId119" Type="http://schemas.openxmlformats.org/officeDocument/2006/relationships/image" Target="media/image70.wmf"/><Relationship Id="rId118" Type="http://schemas.openxmlformats.org/officeDocument/2006/relationships/oleObject" Target="embeddings/oleObject33.bin"/><Relationship Id="rId117" Type="http://schemas.openxmlformats.org/officeDocument/2006/relationships/image" Target="media/image69.wmf"/><Relationship Id="rId116" Type="http://schemas.openxmlformats.org/officeDocument/2006/relationships/oleObject" Target="embeddings/oleObject32.bin"/><Relationship Id="rId115" Type="http://schemas.openxmlformats.org/officeDocument/2006/relationships/oleObject" Target="embeddings/oleObject31.bin"/><Relationship Id="rId114" Type="http://schemas.openxmlformats.org/officeDocument/2006/relationships/image" Target="media/image68.wmf"/><Relationship Id="rId113" Type="http://schemas.openxmlformats.org/officeDocument/2006/relationships/oleObject" Target="embeddings/oleObject30.bin"/><Relationship Id="rId112" Type="http://schemas.openxmlformats.org/officeDocument/2006/relationships/image" Target="media/image67.wmf"/><Relationship Id="rId111" Type="http://schemas.openxmlformats.org/officeDocument/2006/relationships/oleObject" Target="embeddings/oleObject29.bin"/><Relationship Id="rId110" Type="http://schemas.openxmlformats.org/officeDocument/2006/relationships/image" Target="media/image66.wmf"/><Relationship Id="rId11" Type="http://schemas.openxmlformats.org/officeDocument/2006/relationships/footer" Target="footer4.xml"/><Relationship Id="rId109" Type="http://schemas.openxmlformats.org/officeDocument/2006/relationships/oleObject" Target="embeddings/oleObject28.bin"/><Relationship Id="rId108" Type="http://schemas.openxmlformats.org/officeDocument/2006/relationships/image" Target="media/image65.wmf"/><Relationship Id="rId107" Type="http://schemas.openxmlformats.org/officeDocument/2006/relationships/oleObject" Target="embeddings/oleObject27.bin"/><Relationship Id="rId106" Type="http://schemas.openxmlformats.org/officeDocument/2006/relationships/image" Target="media/image64.wmf"/><Relationship Id="rId105" Type="http://schemas.openxmlformats.org/officeDocument/2006/relationships/oleObject" Target="embeddings/oleObject26.bin"/><Relationship Id="rId104" Type="http://schemas.openxmlformats.org/officeDocument/2006/relationships/image" Target="media/image63.wmf"/><Relationship Id="rId103" Type="http://schemas.openxmlformats.org/officeDocument/2006/relationships/oleObject" Target="embeddings/oleObject25.bin"/><Relationship Id="rId102" Type="http://schemas.openxmlformats.org/officeDocument/2006/relationships/image" Target="media/image62.wmf"/><Relationship Id="rId101" Type="http://schemas.openxmlformats.org/officeDocument/2006/relationships/oleObject" Target="embeddings/oleObject24.bin"/><Relationship Id="rId100" Type="http://schemas.openxmlformats.org/officeDocument/2006/relationships/image" Target="media/image61.wmf"/><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F:\1&#22269;&#32593;&#30005;&#21147;&#29615;&#35780;\2023\2&#26032;&#21521;&#32500;&#25913;&#25193;&#24314;\1&#25253;&#21578;&#20070;&#36827;&#21270;&#21490;\2023&#24180;\&#36827;&#21270;&#21490;\&#22823;&#27668;&#39044;&#27979;\&#27668;&#35937;&#25968;&#25454;.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22269;&#32593;&#30005;&#21147;&#29615;&#35780;\2023\2&#26032;&#21521;&#32500;&#25913;&#25193;&#24314;\1&#25253;&#21578;&#20070;&#36827;&#21270;&#21490;\2023&#24180;\&#36827;&#21270;&#21490;\&#22823;&#27668;&#39044;&#27979;\&#27668;&#35937;&#25968;&#2545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  </a:t>
            </a:r>
            <a:r>
              <a:rPr lang="en-US" altLang="zh-CN"/>
              <a:t>&lt;1&gt;</a:t>
            </a:r>
            <a:r>
              <a:rPr lang="zh-CN" altLang="en-US"/>
              <a:t>附表</a:t>
            </a:r>
            <a:r>
              <a:rPr lang="en-US"/>
              <a:t>C.11 </a:t>
            </a:r>
            <a:r>
              <a:rPr lang="zh-CN" altLang="en-US"/>
              <a:t>年平均温度的月变化图  </a:t>
            </a:r>
            <a:endParaRPr lang="zh-CN" alt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title>
    <c:autoTitleDeleted val="0"/>
    <c:plotArea>
      <c:layout>
        <c:manualLayout>
          <c:layoutTarget val="inner"/>
          <c:xMode val="edge"/>
          <c:yMode val="edge"/>
          <c:x val="0.101"/>
          <c:y val="0.20225"/>
          <c:w val="0.84375"/>
          <c:h val="0.63975"/>
        </c:manualLayout>
      </c:layout>
      <c:lineChart>
        <c:grouping val="standard"/>
        <c:varyColors val="0"/>
        <c:ser>
          <c:idx val="0"/>
          <c:order val="0"/>
          <c:tx>
            <c:strRef>
              <c:f>[气象数据.xls]数据!$A$3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[气象数据.xls]数据!$B$2:$M$2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[气象数据.xls]数据!$B$3:$M$3</c:f>
              <c:numCache>
                <c:formatCode>0.00_ </c:formatCode>
                <c:ptCount val="12"/>
                <c:pt idx="0">
                  <c:v>6.07000017166138</c:v>
                </c:pt>
                <c:pt idx="1">
                  <c:v>5.01000022888184</c:v>
                </c:pt>
                <c:pt idx="2">
                  <c:v>15.5</c:v>
                </c:pt>
                <c:pt idx="3">
                  <c:v>19.1200008392334</c:v>
                </c:pt>
                <c:pt idx="4">
                  <c:v>20.5</c:v>
                </c:pt>
                <c:pt idx="5">
                  <c:v>27.2999992370605</c:v>
                </c:pt>
                <c:pt idx="6">
                  <c:v>30.3999996185303</c:v>
                </c:pt>
                <c:pt idx="7">
                  <c:v>31.9200000762939</c:v>
                </c:pt>
                <c:pt idx="8">
                  <c:v>26.8199996948242</c:v>
                </c:pt>
                <c:pt idx="9">
                  <c:v>19.5900001525879</c:v>
                </c:pt>
                <c:pt idx="10">
                  <c:v>16.8199996948242</c:v>
                </c:pt>
                <c:pt idx="11">
                  <c:v>6.59000015258789</c:v>
                </c:pt>
              </c:numCache>
            </c:numRef>
          </c:val>
          <c:smooth val="0"/>
        </c:ser>
        <c:dLbls>
          <c:showLegendKey val="0"/>
          <c:showVal val="0"/>
          <c:showCatName val="0"/>
          <c:showSerName val="0"/>
          <c:showPercent val="0"/>
          <c:showBubbleSize val="0"/>
        </c:dLbls>
        <c:marker val="1"/>
        <c:smooth val="0"/>
        <c:axId val="258003456"/>
        <c:axId val="259268608"/>
      </c:lineChart>
      <c:catAx>
        <c:axId val="258003456"/>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59268608"/>
        <c:crosses val="autoZero"/>
        <c:auto val="1"/>
        <c:lblAlgn val="ctr"/>
        <c:lblOffset val="100"/>
        <c:noMultiLvlLbl val="0"/>
      </c:catAx>
      <c:valAx>
        <c:axId val="259268608"/>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温度</a:t>
                </a:r>
                <a:r>
                  <a:rPr lang="en-US" altLang="zh-CN"/>
                  <a:t>(℃) </a:t>
                </a:r>
                <a:endParaRPr lang="zh-CN" alt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
              <c:y val="0.411585607058126"/>
            </c:manualLayout>
          </c:layout>
          <c:overlay val="0"/>
        </c:title>
        <c:numFmt formatCode="0.00_ " sourceLinked="1"/>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58003456"/>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extLst>
      <c:ext uri="{0b15fc19-7d7d-44ad-8c2d-2c3a37ce22c3}">
        <chartProps xmlns="https://web.wps.cn/et/2018/main" chartId="{b8910109-a708-4190-b170-acc6d0f7a81e}"/>
      </c:ext>
    </c:extLst>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 </a:t>
            </a:r>
            <a:r>
              <a:rPr lang="en-US" altLang="zh-CN"/>
              <a:t>&lt;2&gt;</a:t>
            </a:r>
            <a:r>
              <a:rPr lang="zh-CN" altLang="en-US"/>
              <a:t>附表</a:t>
            </a:r>
            <a:r>
              <a:rPr lang="en-US"/>
              <a:t>C.12 </a:t>
            </a:r>
            <a:r>
              <a:rPr lang="zh-CN" altLang="en-US"/>
              <a:t>年平均风速的月变化  </a:t>
            </a:r>
            <a:endParaRPr lang="zh-CN" alt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title>
    <c:autoTitleDeleted val="0"/>
    <c:plotArea>
      <c:layout>
        <c:manualLayout>
          <c:layoutTarget val="inner"/>
          <c:xMode val="edge"/>
          <c:yMode val="edge"/>
          <c:x val="0.122"/>
          <c:y val="0.20225"/>
          <c:w val="0.83075"/>
          <c:h val="0.63975"/>
        </c:manualLayout>
      </c:layout>
      <c:lineChart>
        <c:grouping val="standard"/>
        <c:varyColors val="0"/>
        <c:ser>
          <c:idx val="0"/>
          <c:order val="0"/>
          <c:tx>
            <c:strRef>
              <c:f>[气象数据.xls]数据!$A$7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dLbls>
            <c:delete val="1"/>
          </c:dLbls>
          <c:cat>
            <c:strRef>
              <c:f>[气象数据.xls]数据!$B$6:$M$6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[气象数据.xls]数据!$B$7:$M$7</c:f>
              <c:numCache>
                <c:formatCode>0.00_ </c:formatCode>
                <c:ptCount val="12"/>
                <c:pt idx="0">
                  <c:v>2.0699999332428</c:v>
                </c:pt>
                <c:pt idx="1">
                  <c:v>1.9099999666214</c:v>
                </c:pt>
                <c:pt idx="2">
                  <c:v>2.25999999046326</c:v>
                </c:pt>
                <c:pt idx="3">
                  <c:v>2.09999990463257</c:v>
                </c:pt>
                <c:pt idx="4">
                  <c:v>1.89999997615814</c:v>
                </c:pt>
                <c:pt idx="5">
                  <c:v>2.16000008583069</c:v>
                </c:pt>
                <c:pt idx="6">
                  <c:v>2.35999989509583</c:v>
                </c:pt>
                <c:pt idx="7">
                  <c:v>2.60999989509583</c:v>
                </c:pt>
                <c:pt idx="8">
                  <c:v>2.5699999332428</c:v>
                </c:pt>
                <c:pt idx="9">
                  <c:v>2.85999989509583</c:v>
                </c:pt>
                <c:pt idx="10">
                  <c:v>2.4300000667572</c:v>
                </c:pt>
                <c:pt idx="11">
                  <c:v>2.21000003814697</c:v>
                </c:pt>
              </c:numCache>
            </c:numRef>
          </c:val>
          <c:smooth val="0"/>
        </c:ser>
        <c:dLbls>
          <c:showLegendKey val="0"/>
          <c:showVal val="0"/>
          <c:showCatName val="0"/>
          <c:showSerName val="0"/>
          <c:showPercent val="0"/>
          <c:showBubbleSize val="0"/>
        </c:dLbls>
        <c:marker val="1"/>
        <c:smooth val="0"/>
        <c:axId val="348677120"/>
        <c:axId val="259273792"/>
      </c:lineChart>
      <c:catAx>
        <c:axId val="348677120"/>
        <c:scaling>
          <c:orientation val="minMax"/>
        </c:scaling>
        <c:delete val="0"/>
        <c:axPos val="b"/>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59273792"/>
        <c:crosses val="autoZero"/>
        <c:auto val="1"/>
        <c:lblAlgn val="ctr"/>
        <c:lblOffset val="100"/>
        <c:noMultiLvlLbl val="0"/>
      </c:catAx>
      <c:valAx>
        <c:axId val="259273792"/>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t>m/s) </a:t>
                </a:r>
                <a:endParaRPr 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
              <c:y val="0.374480107058126"/>
            </c:manualLayout>
          </c:layout>
          <c:overlay val="0"/>
        </c:title>
        <c:numFmt formatCode="0.00_ " sourceLinked="0"/>
        <c:majorTickMark val="in"/>
        <c:minorTickMark val="none"/>
        <c:tickLblPos val="nextTo"/>
        <c:spPr>
          <a:ln w="3175" cap="flat" cmpd="sng" algn="ctr">
            <a:solidFill>
              <a:srgbClr val="000000"/>
            </a:solidFill>
            <a:prstDash val="solid"/>
            <a:round/>
          </a:ln>
        </c:spPr>
        <c:txPr>
          <a:bodyPr rot="-600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348677120"/>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extLst>
      <c:ext uri="{0b15fc19-7d7d-44ad-8c2d-2c3a37ce22c3}">
        <chartProps xmlns="https://web.wps.cn/et/2018/main" chartId="{441a6467-ce0b-471a-8ab3-7787e5709f3b}"/>
      </c:ext>
    </c:extLst>
  </c:chart>
  <c:spPr>
    <a:solidFill>
      <a:srgbClr val="FFFFFF"/>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DefaultPlaceholder_2098659788"/>
        <w:style w:val=""/>
        <w:category>
          <w:name w:val="常规"/>
          <w:gallery w:val="placeholder"/>
        </w:category>
        <w:types>
          <w:type w:val="bbPlcHdr"/>
        </w:types>
        <w:behaviors>
          <w:behavior w:val="content"/>
        </w:behaviors>
        <w:description w:val=""/>
        <w:guid w:val="{f93df15d-3865-4c09-a369-e4c91e73f0f1}"/>
      </w:docPartPr>
      <w:docPartBody>
        <w:p w14:paraId="4FBFE889">
          <w:r>
            <w:rPr>
              <w:color w:val="808080"/>
            </w:rPr>
            <w:t>在此处键入公式。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compat>
    <w:useFELayout/>
    <w:splitPgBreakAndParaMark/>
    <w:compatSetting w:name="compatibilityMode" w:uri="http://schemas.microsoft.com/office/word" w:val="14"/>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style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71"/>
    <customShpInfo spid="_x0000_s1115"/>
    <customShpInfo spid="_x0000_s1266"/>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00F2690-625B-45A2-962D-18784BBC5033}">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286</Pages>
  <Words>9481</Words>
  <Characters>10235</Characters>
  <Lines>1769</Lines>
  <Paragraphs>498</Paragraphs>
  <TotalTime>12</TotalTime>
  <ScaleCrop>false</ScaleCrop>
  <LinksUpToDate>false</LinksUpToDate>
  <CharactersWithSpaces>10609</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2024-10-29T07:54:00Z</dcterms:created>
  <dc:creator>微软用户</dc:creator>
  <cp:lastModifiedBy>张浪巍</cp:lastModifiedBy>
  <cp:lastPrinted>2025-09-18T06:42:00Z</cp:lastPrinted>
  <dcterms:modified xsi:type="dcterms:W3CDTF">2026-05-15T08:07:05Z</dcterms:modified>
  <dc:title>产品采购合同  （杨磊 03） </dc:title>
  <cp:revision>373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B79B4DB95C3F4E03BAE596E66010C1B7_13</vt:lpwstr>
  </property>
  <property fmtid="{D5CDD505-2E9C-101B-9397-08002B2CF9AE}" pid="4" name="KSOTemplateDocerSaveRecord">
    <vt:lpwstr>eyJoZGlkIjoiYWY4Nzg1MDJkMTE4M2U2MzQ2NmE0OWYxNzdiOWE3MjAiLCJ1c2VySWQiOiIyNzYwMTg2NzIifQ==</vt:lpwstr>
  </property>
</Properties>
</file>